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64380B" w14:textId="25CB50E9" w:rsidR="003F3F89" w:rsidRPr="00D9745D" w:rsidRDefault="002B0ADA" w:rsidP="002B0ADA">
      <w:pPr>
        <w:pStyle w:val="Pagedecouverture"/>
        <w:rPr>
          <w:noProof/>
        </w:rPr>
      </w:pPr>
      <w:bookmarkStart w:id="0" w:name="LW_BM_COVERPAGE"/>
      <w:r>
        <w:rPr>
          <w:noProof/>
        </w:rPr>
        <w:pict w14:anchorId="6DF49D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D9DDDF9-2C98-4833-823A-66895AA52EFF" style="width:455.25pt;height:327.75pt">
            <v:imagedata r:id="rId11" o:title=""/>
          </v:shape>
        </w:pict>
      </w:r>
    </w:p>
    <w:bookmarkEnd w:id="0"/>
    <w:p w14:paraId="3616A4D7" w14:textId="77777777" w:rsidR="003F3F89" w:rsidRPr="00D9745D" w:rsidRDefault="003F3F89" w:rsidP="003F3F89">
      <w:pPr>
        <w:rPr>
          <w:rFonts w:ascii="Times New Roman" w:hAnsi="Times New Roman" w:cs="Times New Roman"/>
          <w:noProof/>
          <w:sz w:val="24"/>
          <w:szCs w:val="24"/>
        </w:rPr>
        <w:sectPr w:rsidR="003F3F89" w:rsidRPr="00D9745D" w:rsidSect="002B0AD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29039F3" w14:textId="77777777" w:rsidR="004A1FF9" w:rsidRPr="00D9745D" w:rsidRDefault="004A1FF9" w:rsidP="004A1FF9">
      <w:pPr>
        <w:pStyle w:val="Style1"/>
        <w:numPr>
          <w:ilvl w:val="0"/>
          <w:numId w:val="4"/>
        </w:numPr>
        <w:spacing w:before="120"/>
      </w:pPr>
      <w:bookmarkStart w:id="1" w:name="_GoBack"/>
      <w:bookmarkEnd w:id="1"/>
      <w:r>
        <w:lastRenderedPageBreak/>
        <w:t xml:space="preserve">INTRODUCERE </w:t>
      </w:r>
    </w:p>
    <w:p w14:paraId="420BD826" w14:textId="2E791837" w:rsidR="004A1FF9" w:rsidRPr="00D9745D" w:rsidRDefault="004A1FF9" w:rsidP="004A1FF9">
      <w:pPr>
        <w:spacing w:before="120" w:after="120"/>
        <w:jc w:val="both"/>
        <w:rPr>
          <w:rStyle w:val="super"/>
          <w:rFonts w:ascii="Times New Roman" w:hAnsi="Times New Roman" w:cs="Times New Roman"/>
          <w:b/>
          <w:smallCaps/>
          <w:noProof/>
          <w:sz w:val="24"/>
          <w:szCs w:val="24"/>
        </w:rPr>
      </w:pPr>
      <w:r>
        <w:rPr>
          <w:rStyle w:val="super"/>
          <w:rFonts w:ascii="Times New Roman" w:hAnsi="Times New Roman"/>
          <w:noProof/>
          <w:sz w:val="24"/>
        </w:rPr>
        <w:t>Prezentul raport vizează punerea în aplicare a măsurilor privind informarea referitoare la politica agricolă comună (PAC) pentru 2023 și 2024, în conformitate cu articolul 46 din Regulamentul (UE) nr. 2021/2116 al Parlamentului European și al Consiliului din 2 decembrie 2021 privind finanțarea, gestionarea și monitorizarea politicii agricole comune</w:t>
      </w:r>
      <w:r>
        <w:rPr>
          <w:rStyle w:val="FootnoteReference"/>
          <w:rFonts w:ascii="Times New Roman" w:hAnsi="Times New Roman" w:cs="Times New Roman"/>
          <w:noProof/>
          <w:sz w:val="24"/>
          <w:szCs w:val="24"/>
        </w:rPr>
        <w:footnoteReference w:id="2"/>
      </w:r>
      <w:r>
        <w:rPr>
          <w:rStyle w:val="super"/>
          <w:rFonts w:ascii="Times New Roman" w:hAnsi="Times New Roman"/>
          <w:noProof/>
          <w:sz w:val="24"/>
        </w:rPr>
        <w:t xml:space="preserve"> (denumit în continuare „regulamentul”).</w:t>
      </w:r>
    </w:p>
    <w:p w14:paraId="4526C16F" w14:textId="2D2F9E25" w:rsidR="00EB3FC8" w:rsidRPr="00D9745D" w:rsidRDefault="00EB3FC8" w:rsidP="00EB3FC8">
      <w:pPr>
        <w:autoSpaceDE w:val="0"/>
        <w:autoSpaceDN w:val="0"/>
        <w:adjustRightInd w:val="0"/>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Articolul 46 alineatul (1) primul paragraf din regulament prevede că măsurile privind informarea finanțate „</w:t>
      </w:r>
      <w:r>
        <w:rPr>
          <w:rStyle w:val="super"/>
          <w:rFonts w:ascii="Times New Roman" w:hAnsi="Times New Roman"/>
          <w:i/>
          <w:iCs/>
          <w:noProof/>
          <w:sz w:val="24"/>
        </w:rPr>
        <w:t>a[u] mai ales scopul de a contribui la explicarea, punerea în aplicare și dezvoltarea PAC și de a sensibiliza publicul în legătură cu conținutul și obiectivele acesteia, inclusiv în ceea ce privește interacțiunea sa cu clima, mediul și bunăstarea animalelor.</w:t>
      </w:r>
      <w:r>
        <w:rPr>
          <w:rStyle w:val="super"/>
          <w:rFonts w:ascii="Times New Roman" w:hAnsi="Times New Roman"/>
          <w:i/>
          <w:noProof/>
          <w:sz w:val="24"/>
        </w:rPr>
        <w:t xml:space="preserve"> </w:t>
      </w:r>
      <w:r>
        <w:rPr>
          <w:rStyle w:val="super"/>
          <w:rFonts w:ascii="Times New Roman" w:hAnsi="Times New Roman"/>
          <w:i/>
          <w:iCs/>
          <w:noProof/>
          <w:sz w:val="24"/>
        </w:rPr>
        <w:t>Obiectivul urmărit este de a informa cetățenii în legătură cu provocările cu care se confruntă agricultura și sistemele alimentare, de a informa fermierii și consumatorii, de a reda consumatorilor încrederea, în urma crizelor, prin campanii de</w:t>
      </w:r>
      <w:r>
        <w:rPr>
          <w:rStyle w:val="super"/>
          <w:rFonts w:ascii="Times New Roman" w:hAnsi="Times New Roman"/>
          <w:noProof/>
          <w:sz w:val="24"/>
        </w:rPr>
        <w:t xml:space="preserve"> </w:t>
      </w:r>
      <w:r>
        <w:rPr>
          <w:rStyle w:val="super"/>
          <w:rFonts w:ascii="Times New Roman" w:hAnsi="Times New Roman"/>
          <w:i/>
          <w:iCs/>
          <w:noProof/>
          <w:sz w:val="24"/>
        </w:rPr>
        <w:t>informare, de a informa alte părți interesate care își desfășoară activitatea în zonele rurale și de a promova un model de agricultură al Uniunii mai durabil, precum și de a ajuta cetățenii să îl înțeleagă.”</w:t>
      </w:r>
    </w:p>
    <w:p w14:paraId="7AD78FB8" w14:textId="77777777" w:rsidR="00EB3FC8" w:rsidRPr="00D9745D" w:rsidRDefault="00EB3FC8" w:rsidP="00EB3FC8">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Măsurile privind informarea finanțate se încadrează în două categorii principale:</w:t>
      </w:r>
    </w:p>
    <w:p w14:paraId="3AB1823A" w14:textId="34FE3FCC" w:rsidR="00EB3FC8" w:rsidRPr="00D9745D" w:rsidRDefault="00EB3FC8" w:rsidP="00EB3FC8">
      <w:pPr>
        <w:pStyle w:val="ListParagraph"/>
        <w:numPr>
          <w:ilvl w:val="0"/>
          <w:numId w:val="3"/>
        </w:numPr>
        <w:spacing w:before="120" w:after="120" w:line="240" w:lineRule="auto"/>
        <w:contextualSpacing w:val="0"/>
        <w:jc w:val="both"/>
        <w:rPr>
          <w:rStyle w:val="super"/>
          <w:rFonts w:ascii="Times New Roman" w:hAnsi="Times New Roman" w:cs="Times New Roman"/>
          <w:noProof/>
          <w:sz w:val="24"/>
          <w:szCs w:val="24"/>
        </w:rPr>
      </w:pPr>
      <w:r>
        <w:rPr>
          <w:rStyle w:val="super"/>
          <w:rFonts w:ascii="Times New Roman" w:hAnsi="Times New Roman"/>
          <w:noProof/>
          <w:sz w:val="24"/>
        </w:rPr>
        <w:t>măsuri prezentate de organizații terțe pentru cofinanțare în cadrul Fondului european de garantare agricolă - FEGA (granturi);</w:t>
      </w:r>
    </w:p>
    <w:p w14:paraId="46DDB2A0" w14:textId="5ED87B0A" w:rsidR="00EB3FC8" w:rsidRPr="00D9745D" w:rsidRDefault="00EB3FC8" w:rsidP="00EB3FC8">
      <w:pPr>
        <w:pStyle w:val="ListParagraph"/>
        <w:numPr>
          <w:ilvl w:val="0"/>
          <w:numId w:val="3"/>
        </w:numPr>
        <w:spacing w:before="120" w:after="120" w:line="240" w:lineRule="auto"/>
        <w:contextualSpacing w:val="0"/>
        <w:jc w:val="both"/>
        <w:rPr>
          <w:rStyle w:val="super"/>
          <w:rFonts w:ascii="Times New Roman" w:hAnsi="Times New Roman" w:cs="Times New Roman"/>
          <w:noProof/>
          <w:sz w:val="24"/>
          <w:szCs w:val="24"/>
        </w:rPr>
      </w:pPr>
      <w:r>
        <w:rPr>
          <w:rStyle w:val="super"/>
          <w:rFonts w:ascii="Times New Roman" w:hAnsi="Times New Roman"/>
          <w:noProof/>
          <w:sz w:val="24"/>
        </w:rPr>
        <w:t>măsuri întreprinse la inițiativa Comisiei și finanțate în proporție de 100 % din FEGA (acțiuni directe/achiziții publice).</w:t>
      </w:r>
    </w:p>
    <w:p w14:paraId="421A8FDF" w14:textId="77777777" w:rsidR="00EB3FC8" w:rsidRPr="00D9745D" w:rsidRDefault="00EB3FC8" w:rsidP="00EB3FC8">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Articolul 46 alineatul (2) ultimul paragraf prevede că aceste măsuri „</w:t>
      </w:r>
      <w:r>
        <w:rPr>
          <w:rStyle w:val="super"/>
          <w:rFonts w:ascii="Times New Roman" w:hAnsi="Times New Roman"/>
          <w:i/>
          <w:noProof/>
          <w:sz w:val="24"/>
        </w:rPr>
        <w:t>contribuie, de asemenea, la asigurarea comunicării instituționale a priorităților politice ale Uniunii, în măsura în care aceste priorități sunt legate de obiectivele generale ale prezentului regulament</w:t>
      </w:r>
      <w:r>
        <w:rPr>
          <w:rStyle w:val="super"/>
          <w:rFonts w:ascii="Times New Roman" w:hAnsi="Times New Roman"/>
          <w:noProof/>
          <w:sz w:val="24"/>
        </w:rPr>
        <w:t>”.</w:t>
      </w:r>
    </w:p>
    <w:p w14:paraId="2252785E" w14:textId="37F7C184" w:rsidR="004A1FF9" w:rsidRPr="00D9745D" w:rsidRDefault="00EB3FC8" w:rsidP="004A1FF9">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În conformitate cu articolul 46 alineatul (5) din regulament, la fiecare doi ani, Comisia prezintă Parlamentului European și Consiliului un raport cu privire la punerea în aplicare a măsurilor privind informarea în temeiul regulamentului. Prezentul raport este cel de-al unsprezecelea</w:t>
      </w:r>
      <w:r>
        <w:rPr>
          <w:rStyle w:val="FootnoteReference"/>
          <w:rFonts w:ascii="Times New Roman" w:hAnsi="Times New Roman" w:cs="Times New Roman"/>
          <w:noProof/>
          <w:sz w:val="24"/>
          <w:szCs w:val="24"/>
        </w:rPr>
        <w:footnoteReference w:id="3"/>
      </w:r>
      <w:r>
        <w:rPr>
          <w:rStyle w:val="super"/>
          <w:rFonts w:ascii="Times New Roman" w:hAnsi="Times New Roman"/>
          <w:noProof/>
          <w:sz w:val="24"/>
        </w:rPr>
        <w:t>.</w:t>
      </w:r>
    </w:p>
    <w:p w14:paraId="400CAB3A" w14:textId="1015DCBC" w:rsidR="0053294C" w:rsidRPr="00D9745D" w:rsidRDefault="0053294C" w:rsidP="0053294C">
      <w:pPr>
        <w:pStyle w:val="Style1"/>
        <w:numPr>
          <w:ilvl w:val="0"/>
          <w:numId w:val="4"/>
        </w:numPr>
        <w:spacing w:before="120"/>
        <w:rPr>
          <w:caps/>
          <w:smallCaps w:val="0"/>
          <w:color w:val="000000" w:themeColor="text1"/>
        </w:rPr>
      </w:pPr>
      <w:r>
        <w:rPr>
          <w:caps/>
          <w:smallCaps w:val="0"/>
          <w:color w:val="000000" w:themeColor="text1"/>
        </w:rPr>
        <w:t>Contextul</w:t>
      </w:r>
    </w:p>
    <w:p w14:paraId="4AB3DEAE" w14:textId="78D9EA88" w:rsidR="00CB4AB1" w:rsidRPr="00D9745D" w:rsidRDefault="00036B33" w:rsidP="00CB4AB1">
      <w:pPr>
        <w:autoSpaceDE w:val="0"/>
        <w:autoSpaceDN w:val="0"/>
        <w:adjustRightInd w:val="0"/>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 xml:space="preserve">În perioada de referință, dezbaterea publică privind agricultura UE a fost marcată de tensiuni geopolitice, dezastre naturale și proteste ale fermierilor. Eforturile de comunicare ale Direcției Generale Agricultură și Dezvoltare Rurală (DG AGRI) din cadrul Comisiei s-au axat pe sensibilizarea cu privire la contribuția </w:t>
      </w:r>
      <w:r>
        <w:rPr>
          <w:rFonts w:ascii="Times New Roman" w:hAnsi="Times New Roman"/>
          <w:noProof/>
          <w:sz w:val="24"/>
        </w:rPr>
        <w:t>agriculturii UE la o Europă mai durabilă și mai rezilientă și pe consolidarea sprijinului în acest sens, precum și pe importanța acesteia pentru economia europeană în ansamblu și pentru comunitățile rurale în special.</w:t>
      </w:r>
    </w:p>
    <w:p w14:paraId="7CFF0212" w14:textId="5B075CDD" w:rsidR="0088254C" w:rsidRPr="00D9745D" w:rsidRDefault="00E37A7F" w:rsidP="00074C29">
      <w:pPr>
        <w:autoSpaceDE w:val="0"/>
        <w:autoSpaceDN w:val="0"/>
        <w:adjustRightInd w:val="0"/>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 xml:space="preserve">Anul 2023 a fost primul an de punere în aplicare a PAC 2023-2027. În perioada respectivă, Comisia </w:t>
      </w:r>
      <w:r>
        <w:rPr>
          <w:rFonts w:ascii="Times New Roman" w:hAnsi="Times New Roman"/>
          <w:noProof/>
          <w:sz w:val="24"/>
        </w:rPr>
        <w:t xml:space="preserve">a comunicat noua PAC, obiectivele acesteia și noul său model de punere în aplicare, odată cu începerea punerii în aplicare a planurilor strategice PAC din 2023, reamintind totodată rolul central al PAC în asigurarea securității alimentare. </w:t>
      </w:r>
      <w:r>
        <w:rPr>
          <w:rStyle w:val="super"/>
          <w:rFonts w:ascii="Times New Roman" w:hAnsi="Times New Roman"/>
          <w:noProof/>
          <w:sz w:val="24"/>
        </w:rPr>
        <w:t>S-au depus eforturi substanțiale pentru a oferi statelor membre sprijinul necesar pentru a se asigura că noua PAC este pusă în aplicare prompt în toate statele membre, astfel încât fermierii să poată beneficia în continuare de sprijinul PAC.</w:t>
      </w:r>
    </w:p>
    <w:p w14:paraId="04B67CA8" w14:textId="77777777" w:rsidR="00CB4AB1" w:rsidRPr="00D9745D" w:rsidRDefault="00CB4AB1" w:rsidP="00074C29">
      <w:pPr>
        <w:autoSpaceDE w:val="0"/>
        <w:autoSpaceDN w:val="0"/>
        <w:adjustRightInd w:val="0"/>
        <w:spacing w:before="120" w:after="120"/>
        <w:jc w:val="both"/>
        <w:rPr>
          <w:rStyle w:val="super"/>
          <w:rFonts w:ascii="Times New Roman" w:hAnsi="Times New Roman" w:cs="Times New Roman"/>
          <w:noProof/>
          <w:sz w:val="24"/>
          <w:szCs w:val="24"/>
        </w:rPr>
      </w:pPr>
    </w:p>
    <w:p w14:paraId="37D2D70F" w14:textId="4482750F" w:rsidR="00CB4AB1" w:rsidRPr="00D9745D" w:rsidRDefault="00CB4AB1" w:rsidP="00CB4AB1">
      <w:pPr>
        <w:autoSpaceDE w:val="0"/>
        <w:autoSpaceDN w:val="0"/>
        <w:adjustRightInd w:val="0"/>
        <w:spacing w:before="120" w:after="120"/>
        <w:jc w:val="both"/>
        <w:rPr>
          <w:rFonts w:ascii="Times New Roman" w:hAnsi="Times New Roman" w:cs="Times New Roman"/>
          <w:noProof/>
          <w:sz w:val="24"/>
          <w:szCs w:val="24"/>
        </w:rPr>
      </w:pPr>
      <w:r>
        <w:rPr>
          <w:rFonts w:ascii="Times New Roman" w:hAnsi="Times New Roman"/>
          <w:noProof/>
          <w:sz w:val="24"/>
        </w:rPr>
        <w:t xml:space="preserve">În 2024, a fost lansat un dialog strategic privind viitorul agriculturii în UE, în vederea continuării colaborării cu fermierii, cu părțile interesate din lanțul alimentar și cu cetățenii. Comisia a sprijinit activitatea dialogului și a promovat vizibilitatea raportului său final, prezentat mai târziu în cursul anului. </w:t>
      </w:r>
    </w:p>
    <w:p w14:paraId="22D2DD0C" w14:textId="5BD19411" w:rsidR="00CB4AB1" w:rsidRPr="00D9745D" w:rsidRDefault="00CB4AB1" w:rsidP="00BB6078">
      <w:pPr>
        <w:autoSpaceDE w:val="0"/>
        <w:autoSpaceDN w:val="0"/>
        <w:adjustRightInd w:val="0"/>
        <w:spacing w:before="120" w:after="120"/>
        <w:jc w:val="both"/>
        <w:rPr>
          <w:rStyle w:val="super"/>
          <w:rFonts w:ascii="Times New Roman" w:hAnsi="Times New Roman" w:cs="Times New Roman"/>
          <w:noProof/>
          <w:sz w:val="24"/>
          <w:szCs w:val="24"/>
        </w:rPr>
      </w:pPr>
      <w:r>
        <w:rPr>
          <w:rFonts w:ascii="Times New Roman" w:hAnsi="Times New Roman"/>
          <w:noProof/>
          <w:sz w:val="24"/>
        </w:rPr>
        <w:t>Având în vedere alegerile europene</w:t>
      </w:r>
      <w:r>
        <w:rPr>
          <w:rFonts w:ascii="Times New Roman" w:hAnsi="Times New Roman"/>
          <w:b/>
          <w:noProof/>
          <w:sz w:val="24"/>
        </w:rPr>
        <w:t xml:space="preserve"> </w:t>
      </w:r>
      <w:r>
        <w:rPr>
          <w:rFonts w:ascii="Times New Roman" w:hAnsi="Times New Roman"/>
          <w:noProof/>
          <w:sz w:val="24"/>
        </w:rPr>
        <w:t xml:space="preserve">care au avut loc în iunie 2024, Comisia a contribuit la efortul mai amplu de a transmite mesaje puternice și relevante cu privire la importanța Europei pentru europeni. În special, DG AGRI s-a axat pe rolul fermierilor în asigurarea securității alimentare și a producției alimentare pentru toți europenii. </w:t>
      </w:r>
    </w:p>
    <w:p w14:paraId="57CDB20F" w14:textId="2C609EA3" w:rsidR="00E37A7F" w:rsidRPr="00D9745D" w:rsidRDefault="00074C29" w:rsidP="00074C29">
      <w:pPr>
        <w:autoSpaceDE w:val="0"/>
        <w:autoSpaceDN w:val="0"/>
        <w:adjustRightInd w:val="0"/>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În perioada de referință, DG AGRI a contribuit în continuare la acțiunile de comunicare instituțională ale Comisiei.</w:t>
      </w:r>
    </w:p>
    <w:p w14:paraId="6B45E1E5" w14:textId="77777777" w:rsidR="0088254C" w:rsidRPr="00D9745D" w:rsidRDefault="0088254C" w:rsidP="0053294C">
      <w:pPr>
        <w:pStyle w:val="Style1"/>
        <w:numPr>
          <w:ilvl w:val="0"/>
          <w:numId w:val="4"/>
        </w:numPr>
        <w:spacing w:before="120"/>
        <w:rPr>
          <w:color w:val="000000" w:themeColor="text1"/>
        </w:rPr>
      </w:pPr>
      <w:bookmarkStart w:id="2" w:name="_Toc478655575"/>
      <w:bookmarkStart w:id="3" w:name="_Toc478656305"/>
      <w:r>
        <w:rPr>
          <w:color w:val="000000" w:themeColor="text1"/>
        </w:rPr>
        <w:t>BUGET</w:t>
      </w:r>
      <w:bookmarkEnd w:id="2"/>
      <w:bookmarkEnd w:id="3"/>
      <w:r>
        <w:rPr>
          <w:color w:val="000000" w:themeColor="text1"/>
        </w:rPr>
        <w:t xml:space="preserve"> </w:t>
      </w:r>
    </w:p>
    <w:p w14:paraId="7BAC3DD4" w14:textId="27574DCB" w:rsidR="00BA4789" w:rsidRPr="00D9745D" w:rsidRDefault="00BA4789" w:rsidP="00BA4789">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Bugetul pus la dispoziție pentru măsurile privind informarea în cadrul liniei bugetare 08 02 06 03, prevăzut inițial în decizia de finanțare</w:t>
      </w:r>
      <w:r>
        <w:rPr>
          <w:rStyle w:val="FootnoteReference"/>
          <w:rFonts w:ascii="Times New Roman" w:hAnsi="Times New Roman" w:cs="Times New Roman"/>
          <w:noProof/>
          <w:sz w:val="24"/>
          <w:szCs w:val="24"/>
        </w:rPr>
        <w:footnoteReference w:id="4"/>
      </w:r>
      <w:r>
        <w:rPr>
          <w:rStyle w:val="super"/>
          <w:rFonts w:ascii="Times New Roman" w:hAnsi="Times New Roman"/>
          <w:noProof/>
          <w:sz w:val="24"/>
        </w:rPr>
        <w:t>, a fost de 10,51 milioane EUR în 2023 (inclusiv contribuția la expoziția mondială de la Osaka și contribuția la instrumentele informatice instituționale) și de 12,69 milioane EUR în 2024 (inclusiv contribuția la instrumentele informatice instituționale și concentrarea la începutul perioadei pentru granturi 2025). În plus, 11,185 milioane EUR în 2023 și 20,570 milioane EUR în 2024 au fost alocate campaniilor instituționale ale Comisiei.</w:t>
      </w:r>
    </w:p>
    <w:p w14:paraId="19CCD891" w14:textId="77777777" w:rsidR="00BA4789" w:rsidRPr="00D9745D" w:rsidRDefault="00BA4789" w:rsidP="00BA4789">
      <w:pPr>
        <w:keepNext/>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Defalcarea pe achiziții publice (acțiuni întreprinse la inițiativa Comisiei) și granturi (acțiuni cofinanțate) a bugetului alocat a fost următoarea:</w:t>
      </w:r>
    </w:p>
    <w:p w14:paraId="629CF18A" w14:textId="77777777" w:rsidR="00BA4789" w:rsidRPr="00B26AFD" w:rsidRDefault="00BA4789" w:rsidP="00BA4789">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2023: achiziții publice (4,51 milioane EUR) (53 %) – Granturi (4 milioane EUR) (47 %) – Contribuție la expoziția mondială de la Osaka (2 milioane EUR)</w:t>
      </w:r>
    </w:p>
    <w:p w14:paraId="39EB242F" w14:textId="058F8718" w:rsidR="00BA4789" w:rsidRPr="00B26AFD" w:rsidRDefault="00BA4789" w:rsidP="00BA4789">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2024:</w:t>
      </w:r>
      <w:r w:rsidR="005808F7">
        <w:rPr>
          <w:rStyle w:val="super"/>
          <w:rFonts w:ascii="Times New Roman" w:hAnsi="Times New Roman"/>
          <w:noProof/>
          <w:sz w:val="24"/>
        </w:rPr>
        <w:t xml:space="preserve"> </w:t>
      </w:r>
      <w:r>
        <w:rPr>
          <w:rStyle w:val="super"/>
          <w:rFonts w:ascii="Times New Roman" w:hAnsi="Times New Roman"/>
          <w:noProof/>
          <w:sz w:val="24"/>
        </w:rPr>
        <w:t>achiziții publice (8,15 milioane EUR) (64,20 %) – granturi (4,54 milioane EUR) (35,80 %)</w:t>
      </w:r>
      <w:r>
        <w:rPr>
          <w:rStyle w:val="FootnoteReference"/>
          <w:rFonts w:ascii="Times New Roman" w:hAnsi="Times New Roman" w:cs="Times New Roman"/>
          <w:noProof/>
          <w:sz w:val="24"/>
          <w:szCs w:val="24"/>
        </w:rPr>
        <w:footnoteReference w:id="5"/>
      </w:r>
      <w:r>
        <w:rPr>
          <w:rStyle w:val="super"/>
          <w:rFonts w:ascii="Times New Roman" w:hAnsi="Times New Roman"/>
          <w:noProof/>
          <w:sz w:val="24"/>
        </w:rPr>
        <w:t xml:space="preserve"> </w:t>
      </w:r>
    </w:p>
    <w:p w14:paraId="0CD7EBE1" w14:textId="52A43C04" w:rsidR="00BA4789" w:rsidRPr="00D9745D" w:rsidRDefault="00BA4789" w:rsidP="00BA4789">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 xml:space="preserve">Execuția măsurilor din 2023 a atins 99,99 % în ceea ce privește angajamentele (inclusiv contribuția la expoziția mondială de la Osaka) și 91,80 % în ceea ce privește plățile sumelor angajate. </w:t>
      </w:r>
    </w:p>
    <w:p w14:paraId="5280D12E" w14:textId="77777777" w:rsidR="00BA4789" w:rsidRPr="00D9745D" w:rsidRDefault="00BA4789" w:rsidP="00BA4789">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Execuția măsurilor din 2024 a atins 100 % în ceea ce privește angajamentele; cifrele referitoare la plățile aferente măsurilor din 2024 nu erau încă finalizate la momentul elaborării prezentului raport, întrucât se mai puteau efectua plăți până la 31 decembrie 2025 sau chiar mai târziu.</w:t>
      </w:r>
    </w:p>
    <w:p w14:paraId="1E869F53" w14:textId="77777777" w:rsidR="0053294C" w:rsidRPr="00D9745D" w:rsidRDefault="0053294C" w:rsidP="0053294C">
      <w:pPr>
        <w:pStyle w:val="Style1"/>
        <w:numPr>
          <w:ilvl w:val="0"/>
          <w:numId w:val="4"/>
        </w:numPr>
        <w:spacing w:before="120"/>
        <w:rPr>
          <w:color w:val="000000" w:themeColor="text1"/>
        </w:rPr>
      </w:pPr>
      <w:r>
        <w:rPr>
          <w:color w:val="000000" w:themeColor="text1"/>
        </w:rPr>
        <w:t>DEFALCAREA ACȚIUNILOR FINANȚATE</w:t>
      </w:r>
    </w:p>
    <w:p w14:paraId="10584FBA" w14:textId="77777777" w:rsidR="0053294C" w:rsidRPr="00D9745D" w:rsidRDefault="0053294C" w:rsidP="0053294C">
      <w:pPr>
        <w:pStyle w:val="Style2"/>
        <w:numPr>
          <w:ilvl w:val="0"/>
          <w:numId w:val="7"/>
        </w:numPr>
        <w:spacing w:before="120" w:after="120"/>
        <w:rPr>
          <w:color w:val="000000" w:themeColor="text1"/>
        </w:rPr>
      </w:pPr>
      <w:r>
        <w:t xml:space="preserve">Granturi (măsuri privind informarea cofinanțate întreprinse la inițiativa unor </w:t>
      </w:r>
      <w:r>
        <w:rPr>
          <w:color w:val="000000" w:themeColor="text1"/>
        </w:rPr>
        <w:t>organizații terțe)</w:t>
      </w:r>
    </w:p>
    <w:p w14:paraId="26F750EA" w14:textId="1701CEEB" w:rsidR="0053294C" w:rsidRPr="00D9745D" w:rsidRDefault="0053294C" w:rsidP="0053294C">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Articolul 46 (Măsuri privind informarea) din regulament are în vedere două tipuri de măsuri care să fie finanțate prin granturi: programe anuale de lucru sau alte măsuri specifice prezentate de părți terțe. Prin măsuri privind informarea specifice se înțelege activitățile de informare limitate în timp și spațiu și puse în aplicare pe baza unui buget unic. Activitățile incluse pot varia de la conferințe la o campanie de informare cuprinzătoare care acoperă mai multe tipuri de activități de informare, cum ar fi producții audiovizuale,</w:t>
      </w:r>
      <w:r>
        <w:rPr>
          <w:noProof/>
        </w:rPr>
        <w:t xml:space="preserve"> </w:t>
      </w:r>
      <w:r>
        <w:rPr>
          <w:rStyle w:val="super"/>
          <w:rFonts w:ascii="Times New Roman" w:hAnsi="Times New Roman"/>
          <w:noProof/>
          <w:sz w:val="24"/>
        </w:rPr>
        <w:t xml:space="preserve">reels, podcasturi articole de presă (tradițională sau online), comunicare digitală în mass-media, inclusiv postări pe platformele de comunicare socială, organizarea de seminare și de conferințe sau participarea la târguri agroalimentare, desfășurate în diferite regiuni și/sau state membre. </w:t>
      </w:r>
    </w:p>
    <w:p w14:paraId="00B34E60" w14:textId="523DC1B9" w:rsidR="0024091E" w:rsidRPr="00D9745D" w:rsidRDefault="0053294C" w:rsidP="0053294C">
      <w:pPr>
        <w:pStyle w:val="Normal1"/>
        <w:spacing w:before="120" w:beforeAutospacing="0" w:after="120" w:afterAutospacing="0"/>
        <w:jc w:val="both"/>
        <w:rPr>
          <w:noProof/>
        </w:rPr>
      </w:pPr>
      <w:r>
        <w:rPr>
          <w:rStyle w:val="super"/>
          <w:noProof/>
        </w:rPr>
        <w:t>Cererea de propuneri pentru granturile din 2023</w:t>
      </w:r>
      <w:r>
        <w:rPr>
          <w:rStyle w:val="FootnoteReference"/>
          <w:noProof/>
        </w:rPr>
        <w:footnoteReference w:id="6"/>
      </w:r>
      <w:r>
        <w:rPr>
          <w:rStyle w:val="super"/>
          <w:noProof/>
        </w:rPr>
        <w:t xml:space="preserve">, care s-a desfășurat în perioada 8 noiembrie 2022–5 ianuarie 2023, s-a axat pe </w:t>
      </w:r>
      <w:r>
        <w:rPr>
          <w:noProof/>
        </w:rPr>
        <w:t>măsuri privind informarea și comunicarea la scară largă care abordează percepțiile greșite și dezinformarea cu privire la agricultura europeană și la PAC, cu o perspectivă specifică asupra modului în care Strategia „De la fermă la consumator”, Strategia privind biodiversitatea și Planul de acțiune pentru dezvoltarea producției ecologice pot aborda aspecte relevante pentru agricultură și zonele rurale, inclusiv trecerea la o agricultură mai durabilă în ceea ce privește aspectele economice, sociale și de mediu. Mai precis, cererea de propuneri din 2023 a reamintit modul în care Strategia „De la fermă la consumator” va permite tranziția către un sistem alimentar al UE mai durabil, care să protejeze securitatea alimentară, să reducă amprenta de mediu și climatică a sistemului alimentar al UE și să consolideze reziliența acestuia, protejând sănătatea cetățenilor și asigurând mijloacele de subzistență ale operatorilor economici, contribuind la atingerea obiectivelor stabilite în Pactul verde european. Cererea de propuneri din 2023 a reamintit, de asemenea, modul în care Strategia privind biodiversitatea promovează adoptarea practicilor agroecologice și urmărește să extindă terenurile agricole dedicate agriculturii ecologice. Cererea de propuneri din 2023 a făcut trimitere la Planul de acțiune pentru dezvoltarea producției ecologice, care vizează stimularea producției și a consumului de produse ecologice.</w:t>
      </w:r>
    </w:p>
    <w:p w14:paraId="1E43CAD1" w14:textId="43678161" w:rsidR="00F4667D" w:rsidRPr="00D9745D" w:rsidRDefault="0024091E" w:rsidP="0053294C">
      <w:pPr>
        <w:pStyle w:val="Normal1"/>
        <w:spacing w:before="120" w:beforeAutospacing="0" w:after="120" w:afterAutospacing="0"/>
        <w:jc w:val="both"/>
        <w:rPr>
          <w:noProof/>
        </w:rPr>
      </w:pPr>
      <w:r>
        <w:rPr>
          <w:rStyle w:val="super"/>
          <w:noProof/>
        </w:rPr>
        <w:t>Cererea de propuneri din 2024</w:t>
      </w:r>
      <w:r>
        <w:rPr>
          <w:rStyle w:val="FootnoteReference"/>
          <w:noProof/>
        </w:rPr>
        <w:footnoteReference w:id="7"/>
      </w:r>
      <w:r>
        <w:rPr>
          <w:rStyle w:val="super"/>
          <w:noProof/>
        </w:rPr>
        <w:t xml:space="preserve"> a fost deschisă pentru candidaturi în perioada 17 octombrie 2023–9 ianuarie 2024.</w:t>
      </w:r>
      <w:r>
        <w:rPr>
          <w:noProof/>
        </w:rPr>
        <w:t xml:space="preserve"> Proiectele de măsuri privind informarea trebuiau să ilustreze modul în care PAC (inclusiv planurile strategice naționale ale PAC) va contribui la realizarea priorităților politice ale Comisiei, în special asigurarea unei aprovizionări stabile cu alimente la prețuri accesibile, combaterea schimbărilor climatice, promovarea gestionării durabile a resurselor naturale, încurajarea celor mai înalte standarde de bunăstare a animalelor și sprijinirea economiei rurale. Se aștepta ca acestea să acorde o atenție deosebită unui sistem durabil de producție alimentară, care să asigure securitatea alimentară și reziliența pe termen lung a agriculturii UE, inclusiv, printre altele, punerea accentului pe sprijinirea tinerilor fermieri, îmbunătățirea echilibrului de gen, încurajarea reînnoirii generațiilor sau creșterea participării femeilor în agricultură.</w:t>
      </w:r>
    </w:p>
    <w:p w14:paraId="71876270" w14:textId="63FF87E2" w:rsidR="0053294C" w:rsidRPr="00D9745D" w:rsidRDefault="0053294C" w:rsidP="0053294C">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Candidaturile au fost evaluate în funcție de criterii de eligibilitate, de excludere, de selecție și de atribuire stabilite în cererile de propuneri. De la cererea de propuneri din 2024, în cadrul procesului de evaluare sunt numiți experți externi. Acest lucru a fost în conformitate cu Regulamentul financiar și a reflectat obiectivul Comisiei de a se asigura egalitatea de tratament și o concurență loială între candidați</w:t>
      </w:r>
      <w:r>
        <w:rPr>
          <w:rStyle w:val="FootnoteReference"/>
          <w:rFonts w:ascii="Times New Roman" w:hAnsi="Times New Roman" w:cs="Times New Roman"/>
          <w:noProof/>
          <w:sz w:val="24"/>
          <w:szCs w:val="24"/>
        </w:rPr>
        <w:footnoteReference w:id="8"/>
      </w:r>
      <w:r>
        <w:rPr>
          <w:rStyle w:val="super"/>
          <w:rFonts w:ascii="Times New Roman" w:hAnsi="Times New Roman"/>
          <w:noProof/>
          <w:sz w:val="24"/>
        </w:rPr>
        <w:t>. În perioada de referință au fost cofinanțate, în total, 45 de acțiuni, toate la o rată de 60 % din costurile eligibile suportate efectiv, plus o contribuție forfetară de 7 % din costurile eligibile. În special:</w:t>
      </w:r>
    </w:p>
    <w:p w14:paraId="5EFC37D8" w14:textId="77777777" w:rsidR="008C68C2" w:rsidRPr="00D9745D" w:rsidRDefault="006C68F6" w:rsidP="008C68C2">
      <w:pPr>
        <w:pStyle w:val="Normal1"/>
        <w:numPr>
          <w:ilvl w:val="0"/>
          <w:numId w:val="18"/>
        </w:numPr>
        <w:spacing w:before="120" w:beforeAutospacing="0" w:after="120" w:afterAutospacing="0"/>
        <w:jc w:val="both"/>
        <w:rPr>
          <w:rStyle w:val="super"/>
          <w:rFonts w:eastAsia="Calibri"/>
          <w:noProof/>
        </w:rPr>
      </w:pPr>
      <w:r>
        <w:rPr>
          <w:rStyle w:val="super"/>
          <w:noProof/>
        </w:rPr>
        <w:t>23 de proiecte au primit un grant pentru punerea în aplicare a măsurilor privind informarea cu privire la PAC în cadrul cererii de propuneri din 2023;</w:t>
      </w:r>
    </w:p>
    <w:p w14:paraId="4495DAF1" w14:textId="52C3EDFE" w:rsidR="006C68F6" w:rsidRPr="00D9745D" w:rsidRDefault="006C68F6" w:rsidP="00AF6249">
      <w:pPr>
        <w:pStyle w:val="Normal1"/>
        <w:numPr>
          <w:ilvl w:val="0"/>
          <w:numId w:val="18"/>
        </w:numPr>
        <w:spacing w:before="120" w:beforeAutospacing="0" w:after="120" w:afterAutospacing="0"/>
        <w:jc w:val="both"/>
        <w:rPr>
          <w:rStyle w:val="super"/>
          <w:rFonts w:eastAsia="Calibri"/>
          <w:noProof/>
        </w:rPr>
      </w:pPr>
      <w:r>
        <w:rPr>
          <w:rStyle w:val="super"/>
          <w:noProof/>
        </w:rPr>
        <w:t>22 de proiecte au primit un grant în cadrul cererii de propuneri din 2024</w:t>
      </w:r>
      <w:r>
        <w:rPr>
          <w:rStyle w:val="FootnoteReference"/>
          <w:noProof/>
        </w:rPr>
        <w:footnoteReference w:id="9"/>
      </w:r>
      <w:r>
        <w:rPr>
          <w:rStyle w:val="super"/>
          <w:noProof/>
        </w:rPr>
        <w:t xml:space="preserve">. </w:t>
      </w:r>
    </w:p>
    <w:p w14:paraId="71D86762" w14:textId="0321905E" w:rsidR="0053294C" w:rsidRPr="00D9745D" w:rsidRDefault="0053294C" w:rsidP="3F388EA0">
      <w:pPr>
        <w:pStyle w:val="Normal1"/>
        <w:spacing w:before="120" w:beforeAutospacing="0" w:after="120" w:afterAutospacing="0"/>
        <w:jc w:val="both"/>
        <w:rPr>
          <w:rStyle w:val="super"/>
          <w:noProof/>
        </w:rPr>
      </w:pPr>
      <w:r>
        <w:rPr>
          <w:rStyle w:val="super"/>
          <w:noProof/>
        </w:rPr>
        <w:t xml:space="preserve">În perioada 2023-2024 au fost acordate granturi unor agenții de media, de consultanță și de comunicare sau altor organizații pentru măsuri care promovează conștientizarea importanței agriculturii și a zonelor rurale pentru societate în general; aceste măsuri au inclus acțiuni cu o componentă transnațională, desfășurate de organizații active în diferite state membre. Proiectele au ilustrat modul în care PAC a contribuit la realizarea priorităților în materie de politici ale Uniunii și au abordat sustenabilitatea agriculturii, în toate dimensiunile sale. Adesea, aceste acțiuni au inclus componente pedagogice și activități de sensibilizare cu privire la alimentație și agricultură, rolul sprijinului acordat de UE și importanța reînnoirii generațiilor pentru sector sau rolul femeilor în agricultură. </w:t>
      </w:r>
    </w:p>
    <w:p w14:paraId="16030ED1" w14:textId="74DB38CE" w:rsidR="0053294C" w:rsidRPr="00D9745D" w:rsidRDefault="0053294C" w:rsidP="2272D394">
      <w:pPr>
        <w:pStyle w:val="Normal1"/>
        <w:spacing w:before="120" w:beforeAutospacing="0" w:after="120" w:afterAutospacing="0"/>
        <w:jc w:val="both"/>
        <w:rPr>
          <w:rStyle w:val="super"/>
          <w:noProof/>
        </w:rPr>
      </w:pPr>
      <w:r>
        <w:rPr>
          <w:rStyle w:val="super"/>
          <w:noProof/>
        </w:rPr>
        <w:t xml:space="preserve">A fost acordat, de asemenea, sprijin pentru acțiuni la nivel național coordonate de asociații de producători sau de entități care au legături strânse cu sectorul agricol; aceste proiecte s-au axat pe provocările actuale și viitoare cu care se confruntă agricultura și zonele rurale din UE, precum și, printre altele, pe promovarea sustenabilității. Printre altele, tot la nivel național, mai multe proiecte s-au axat pe viitoarele oportunități pentru tinerii fermieri. </w:t>
      </w:r>
    </w:p>
    <w:p w14:paraId="0E5C3747" w14:textId="77777777" w:rsidR="0053294C" w:rsidRPr="00D9745D" w:rsidRDefault="0053294C" w:rsidP="0053294C">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Proiectele finanțate prin granturi au inclus, adeseori, o componentă educațională destinată elevilor, profesorilor și studenților. Aceste acțiuni au fost concepute pentru a-i implica pe tineri și pentru a spori gradul de conștientizare în rândul acestora cu privire la PAC și la contribuția acesteia în multe domenii, cum ar fi schimbările climatice, securitatea alimentară și promovarea unei alimentații sănătoase ca stil de viață.</w:t>
      </w:r>
    </w:p>
    <w:p w14:paraId="4F8BFB12" w14:textId="77777777" w:rsidR="0053294C" w:rsidRPr="00D9745D" w:rsidRDefault="0053294C" w:rsidP="0053294C">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Documentul de lucru al serviciilor Comisiei care însoțește prezentul raport oferă informații detaliate privind granturile acordate pe parcursul perioadei de raportare, inclusiv numărul de candidaturi acceptate per stat membru.</w:t>
      </w:r>
    </w:p>
    <w:p w14:paraId="482BC80B" w14:textId="5A33D67E" w:rsidR="0053294C" w:rsidRPr="00D9745D" w:rsidRDefault="0053294C" w:rsidP="0053294C">
      <w:pPr>
        <w:autoSpaceDE w:val="0"/>
        <w:autoSpaceDN w:val="0"/>
        <w:adjustRightInd w:val="0"/>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Este important de subliniat că, în perioada 2023-2024, un număr considerabil de acțiuni cofinanțate au avut o audiență care a depășit numărul de participanți direcți, datorită efectului multiplicator al presei de specialitate și al mass-mediei, precum și datorită creșterii masive a gradului de utilizare a mijloacelor de comunicare digitale și a platformelor de comunicare socială ca instrumente de diseminare.</w:t>
      </w:r>
    </w:p>
    <w:p w14:paraId="4BCEA8DA" w14:textId="77777777" w:rsidR="0053294C" w:rsidRPr="00D9745D" w:rsidRDefault="0053294C" w:rsidP="0053294C">
      <w:pPr>
        <w:pStyle w:val="Style2"/>
        <w:numPr>
          <w:ilvl w:val="0"/>
          <w:numId w:val="7"/>
        </w:numPr>
        <w:spacing w:before="120" w:after="120"/>
      </w:pPr>
      <w:r>
        <w:t>Acțiuni directe/achiziții publice (măsuri privind informarea întreprinse la inițiativa Comisiei)</w:t>
      </w:r>
    </w:p>
    <w:p w14:paraId="52309B32" w14:textId="55893573" w:rsidR="0053294C" w:rsidRPr="00D9745D" w:rsidRDefault="0053294C" w:rsidP="0053294C">
      <w:pPr>
        <w:pStyle w:val="Style3"/>
        <w:rPr>
          <w:rStyle w:val="super"/>
          <w:b w:val="0"/>
        </w:rPr>
      </w:pPr>
      <w:r>
        <w:rPr>
          <w:rStyle w:val="super"/>
          <w:b w:val="0"/>
        </w:rPr>
        <w:t xml:space="preserve">În perioada 2023-2024, la fel ca în anii anteriori, un număr important de măsuri privind informarea au fost realizate la inițiativa Comisiei. </w:t>
      </w:r>
    </w:p>
    <w:p w14:paraId="2DBEAB80" w14:textId="191F3D7C" w:rsidR="0053294C" w:rsidRPr="00D9745D" w:rsidRDefault="0053294C" w:rsidP="0053294C">
      <w:pPr>
        <w:pStyle w:val="Style3"/>
        <w:rPr>
          <w:rStyle w:val="super"/>
          <w:b w:val="0"/>
        </w:rPr>
      </w:pPr>
      <w:r>
        <w:rPr>
          <w:rStyle w:val="super"/>
          <w:b w:val="0"/>
        </w:rPr>
        <w:t>Mai multe informații cu privire la acțiunile directe se găsesc în documentul de lucru al serviciilor Comisiei care însoțește prezentul raport.</w:t>
      </w:r>
    </w:p>
    <w:p w14:paraId="06C61B48" w14:textId="77777777" w:rsidR="0053294C" w:rsidRPr="00D9745D" w:rsidRDefault="0053294C" w:rsidP="0053294C">
      <w:pPr>
        <w:pStyle w:val="Style3"/>
        <w:rPr>
          <w:b w:val="0"/>
        </w:rPr>
      </w:pPr>
      <w:r>
        <w:t xml:space="preserve">Mass-media </w:t>
      </w:r>
    </w:p>
    <w:p w14:paraId="79113B18" w14:textId="519F263E" w:rsidR="0053294C" w:rsidRPr="00D9745D" w:rsidRDefault="0053294C" w:rsidP="0053294C">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 xml:space="preserve">În această perioadă, a fost acordat în continuare un sprijin semnificativ mass-mediei prin furnizarea de informații relevante în timp util cu privire la actuala și viitoarea PAC și la politica de dezvoltare rurală. Platforma </w:t>
      </w:r>
      <w:hyperlink r:id="rId18">
        <w:r>
          <w:rPr>
            <w:rStyle w:val="Hyperlink"/>
            <w:rFonts w:ascii="Times New Roman" w:hAnsi="Times New Roman"/>
            <w:noProof/>
            <w:sz w:val="24"/>
          </w:rPr>
          <w:t>Agri-Press</w:t>
        </w:r>
      </w:hyperlink>
      <w:r>
        <w:rPr>
          <w:rFonts w:ascii="Times New Roman" w:hAnsi="Times New Roman"/>
          <w:noProof/>
          <w:sz w:val="24"/>
        </w:rPr>
        <w:t xml:space="preserve"> </w:t>
      </w:r>
      <w:r>
        <w:rPr>
          <w:rStyle w:val="super"/>
          <w:rFonts w:ascii="Times New Roman" w:hAnsi="Times New Roman"/>
          <w:noProof/>
          <w:sz w:val="24"/>
        </w:rPr>
        <w:t>destinată jurnaliștilor interesați de chestiuni legate de agricultură a fost consolidată în continuare</w:t>
      </w:r>
      <w:bookmarkStart w:id="4" w:name="_Hlk144734233"/>
      <w:r>
        <w:rPr>
          <w:rStyle w:val="super"/>
          <w:rFonts w:ascii="Times New Roman" w:hAnsi="Times New Roman"/>
          <w:noProof/>
          <w:sz w:val="24"/>
        </w:rPr>
        <w:t>.</w:t>
      </w:r>
    </w:p>
    <w:p w14:paraId="5D3B67BA" w14:textId="238DA96A" w:rsidR="009F431E" w:rsidRPr="00D9745D" w:rsidRDefault="00624C20" w:rsidP="009F431E">
      <w:pPr>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În 2023, rețeaua Agri-Press a achiziționat 67 de noi membri (o creștere de 8 %, cu mult peste obiectivul de 5 %). Numărul total de membri se ridica la 1 278 la 31 decembrie 2023. În cursul anului 2023, au fost organizate următoarele evenimente Agri-Press:</w:t>
      </w:r>
    </w:p>
    <w:p w14:paraId="4B073CD6" w14:textId="2A2208A5" w:rsidR="009F431E" w:rsidRPr="00D9745D" w:rsidRDefault="009F431E" w:rsidP="009F431E">
      <w:pPr>
        <w:pStyle w:val="Style3"/>
        <w:numPr>
          <w:ilvl w:val="0"/>
          <w:numId w:val="8"/>
        </w:numPr>
        <w:rPr>
          <w:rStyle w:val="super"/>
          <w:b w:val="0"/>
        </w:rPr>
      </w:pPr>
      <w:r>
        <w:rPr>
          <w:rStyle w:val="super"/>
          <w:b w:val="0"/>
        </w:rPr>
        <w:t xml:space="preserve">seminar privind </w:t>
      </w:r>
      <w:r>
        <w:rPr>
          <w:rStyle w:val="super"/>
          <w:b w:val="0"/>
          <w:i/>
        </w:rPr>
        <w:t>Îngrășămintele, accesibilitatea prețurilor alimentelor și măsurile de piață</w:t>
      </w:r>
      <w:r>
        <w:rPr>
          <w:rStyle w:val="super"/>
          <w:b w:val="0"/>
        </w:rPr>
        <w:t>, împreună cu o vizită pe teren în Flandra, Belgia, 27-29 martie 2023. Toți participanții (100 %) au oferit feedback pozitiv cu privire la eveniment. În ceea ce privește producția media, a fost colectat cel puțin 1 articol de la 57 % dintre participanți;</w:t>
      </w:r>
    </w:p>
    <w:p w14:paraId="6FB5B7A7" w14:textId="58CA59D8" w:rsidR="009F431E" w:rsidRPr="00D9745D" w:rsidRDefault="009F431E" w:rsidP="009F431E">
      <w:pPr>
        <w:pStyle w:val="Style3"/>
        <w:numPr>
          <w:ilvl w:val="0"/>
          <w:numId w:val="8"/>
        </w:numPr>
        <w:rPr>
          <w:rStyle w:val="super"/>
          <w:b w:val="0"/>
        </w:rPr>
      </w:pPr>
      <w:r>
        <w:rPr>
          <w:rStyle w:val="super"/>
          <w:b w:val="0"/>
        </w:rPr>
        <w:t xml:space="preserve">vizită de presă la Skåne, Suedia, 14-16 iunie 2023. Subiectele au vizat </w:t>
      </w:r>
      <w:r>
        <w:rPr>
          <w:rStyle w:val="super"/>
          <w:b w:val="0"/>
          <w:i/>
        </w:rPr>
        <w:t>Îngrășămintele și sustenabilitatea economică și de mediu în agricultura suedeză.</w:t>
      </w:r>
      <w:r>
        <w:rPr>
          <w:rStyle w:val="super"/>
          <w:b w:val="0"/>
        </w:rPr>
        <w:t xml:space="preserve"> Aproape toți participanții (93 %) au oferit feedback pozitiv la eveniment prin intermediul unui sondaj care a urmat evenimentului. În ceea ce privește producția media, a fost colectat cel puțin 1 articol de la 80 % dintre participanți, depășindu-se obiectivul de 70 %;</w:t>
      </w:r>
    </w:p>
    <w:p w14:paraId="510E6A03" w14:textId="1E879CED" w:rsidR="009F431E" w:rsidRPr="00D9745D" w:rsidRDefault="009F431E" w:rsidP="009F431E">
      <w:pPr>
        <w:pStyle w:val="Style3"/>
        <w:numPr>
          <w:ilvl w:val="0"/>
          <w:numId w:val="8"/>
        </w:numPr>
        <w:rPr>
          <w:rStyle w:val="super"/>
        </w:rPr>
      </w:pPr>
      <w:r>
        <w:rPr>
          <w:rStyle w:val="super"/>
          <w:b w:val="0"/>
        </w:rPr>
        <w:t xml:space="preserve">vizită de presă în Aragón, Spania, 23-25 noiembrie 2023. Subiectele au vizat </w:t>
      </w:r>
      <w:r>
        <w:rPr>
          <w:rStyle w:val="super"/>
          <w:b w:val="0"/>
          <w:i/>
        </w:rPr>
        <w:t>Sustenabilitatea și inovarea în agricultura spaniolă</w:t>
      </w:r>
      <w:r>
        <w:rPr>
          <w:rStyle w:val="super"/>
          <w:b w:val="0"/>
        </w:rPr>
        <w:t>. Ca urmare a acestei activități, 73 % dintre jurnaliștii participanți au scris cel puțin un articol de presă de specialitate, depășind obiectivul de 70 %. Toți jurnaliștii participanți (100 %) au oferit feedback pozitiv prin intermediul unui sondaj care a urmat evenimentului.</w:t>
      </w:r>
    </w:p>
    <w:bookmarkEnd w:id="4"/>
    <w:p w14:paraId="73A8447D" w14:textId="65F209DF" w:rsidR="004E2428" w:rsidRPr="00D9745D" w:rsidRDefault="00F66200" w:rsidP="0053294C">
      <w:pPr>
        <w:pStyle w:val="Style3"/>
        <w:rPr>
          <w:rStyle w:val="super"/>
          <w:b w:val="0"/>
        </w:rPr>
      </w:pPr>
      <w:r>
        <w:rPr>
          <w:rStyle w:val="super"/>
          <w:b w:val="0"/>
        </w:rPr>
        <w:t>La 31 decembrie 2024, numărul total de membri era de 793, întrucât 81 de noi membri s-au alăturat platformei după migrarea din 22 aprilie 2024. Aceasta reprezintă o creștere cu 11 % a numărului de membri în 8 luni.</w:t>
      </w:r>
      <w:r w:rsidR="005808F7">
        <w:rPr>
          <w:rStyle w:val="super"/>
          <w:b w:val="0"/>
        </w:rPr>
        <w:t xml:space="preserve"> </w:t>
      </w:r>
      <w:r>
        <w:rPr>
          <w:rStyle w:val="super"/>
          <w:b w:val="0"/>
        </w:rPr>
        <w:t>Cu ocazia migrării rețelei Agri-Press către o platformă web modernizată găzduită pe site-ul Europa, membrii inactivi</w:t>
      </w:r>
      <w:r>
        <w:rPr>
          <w:rStyle w:val="FootnoteReference"/>
          <w:b w:val="0"/>
        </w:rPr>
        <w:footnoteReference w:id="10"/>
      </w:r>
      <w:r>
        <w:rPr>
          <w:rStyle w:val="super"/>
          <w:b w:val="0"/>
        </w:rPr>
        <w:t xml:space="preserve"> au fost eliminați, după o serie de avertismente. Aceasta explică reducerea numărului total de membri între 31 decembrie 2023 și 31 decembrie 2024. </w:t>
      </w:r>
    </w:p>
    <w:p w14:paraId="33F6AE73" w14:textId="163E6B54" w:rsidR="0053294C" w:rsidRPr="00D9745D" w:rsidRDefault="0053294C" w:rsidP="0053294C">
      <w:pPr>
        <w:pStyle w:val="Style3"/>
        <w:rPr>
          <w:rStyle w:val="super"/>
          <w:b w:val="0"/>
        </w:rPr>
      </w:pPr>
      <w:r>
        <w:rPr>
          <w:rStyle w:val="super"/>
          <w:b w:val="0"/>
        </w:rPr>
        <w:t>În 2024, au fost organizate următoarele evenimente:</w:t>
      </w:r>
    </w:p>
    <w:p w14:paraId="05D343C0" w14:textId="51A87558" w:rsidR="00447E87" w:rsidRPr="00D9745D" w:rsidRDefault="00447E87" w:rsidP="00447E87">
      <w:pPr>
        <w:pStyle w:val="Style3"/>
        <w:numPr>
          <w:ilvl w:val="0"/>
          <w:numId w:val="8"/>
        </w:numPr>
        <w:rPr>
          <w:rStyle w:val="super"/>
          <w:b w:val="0"/>
        </w:rPr>
      </w:pPr>
      <w:r>
        <w:rPr>
          <w:rStyle w:val="super"/>
          <w:b w:val="0"/>
        </w:rPr>
        <w:t xml:space="preserve">vizită de presă în </w:t>
      </w:r>
      <w:r>
        <w:rPr>
          <w:rStyle w:val="super"/>
          <w:b w:val="0"/>
          <w:i/>
        </w:rPr>
        <w:t>Grecia</w:t>
      </w:r>
      <w:r>
        <w:rPr>
          <w:rStyle w:val="super"/>
          <w:b w:val="0"/>
        </w:rPr>
        <w:t>:</w:t>
      </w:r>
      <w:r>
        <w:rPr>
          <w:rStyle w:val="super"/>
          <w:b w:val="0"/>
          <w:i/>
        </w:rPr>
        <w:t xml:space="preserve"> diversitatea agriculturii și răspunsul UE la dezastrele naturale care afectează fermele</w:t>
      </w:r>
      <w:r>
        <w:rPr>
          <w:rStyle w:val="super"/>
          <w:b w:val="0"/>
        </w:rPr>
        <w:t>, Tesalia, 22-24 aprilie 2024.</w:t>
      </w:r>
      <w:r>
        <w:t xml:space="preserve"> </w:t>
      </w:r>
      <w:r>
        <w:rPr>
          <w:rStyle w:val="super"/>
          <w:b w:val="0"/>
        </w:rPr>
        <w:t>Toți respondenții au oferit un feedback pozitiv cu privire la eveniment. În ceea ce privește producția media, a fost colectat cel puțin 1 articol de la 95 % dintre participanți;</w:t>
      </w:r>
    </w:p>
    <w:p w14:paraId="14DADCD1" w14:textId="1F1C4D2D" w:rsidR="00447E87" w:rsidRPr="00D9745D" w:rsidRDefault="00447E87" w:rsidP="00447E87">
      <w:pPr>
        <w:pStyle w:val="Style3"/>
        <w:numPr>
          <w:ilvl w:val="0"/>
          <w:numId w:val="8"/>
        </w:numPr>
        <w:rPr>
          <w:rStyle w:val="super"/>
          <w:b w:val="0"/>
        </w:rPr>
      </w:pPr>
      <w:r>
        <w:rPr>
          <w:rStyle w:val="super"/>
          <w:b w:val="0"/>
        </w:rPr>
        <w:t xml:space="preserve">seminar și vizită pe teren privind </w:t>
      </w:r>
      <w:r>
        <w:rPr>
          <w:rStyle w:val="super"/>
          <w:b w:val="0"/>
          <w:i/>
        </w:rPr>
        <w:t>Situația actuală a agriculturii în perspectiva alegerilor europene – Cum poate PAC să abordeze provocările cu care se confruntă fermierii</w:t>
      </w:r>
      <w:r>
        <w:rPr>
          <w:rStyle w:val="super"/>
          <w:b w:val="0"/>
        </w:rPr>
        <w:t>, Belgia, 27-29 mai 2024. Toți respondenții au oferit un feedback pozitiv cu privire la eveniment. În ceea ce privește producția media, a fost colectat cel puțin 1 articol de la 56 % dintre participanți;</w:t>
      </w:r>
    </w:p>
    <w:p w14:paraId="6878FB95" w14:textId="486FBA18" w:rsidR="0053294C" w:rsidRPr="00D9745D" w:rsidRDefault="00447E87" w:rsidP="00447E87">
      <w:pPr>
        <w:pStyle w:val="Style3"/>
        <w:numPr>
          <w:ilvl w:val="0"/>
          <w:numId w:val="8"/>
        </w:numPr>
        <w:rPr>
          <w:rStyle w:val="super"/>
          <w:b w:val="0"/>
        </w:rPr>
      </w:pPr>
      <w:r>
        <w:rPr>
          <w:rStyle w:val="super"/>
          <w:b w:val="0"/>
        </w:rPr>
        <w:t xml:space="preserve">seminar și vizită pe teren privind </w:t>
      </w:r>
      <w:r>
        <w:rPr>
          <w:rStyle w:val="super"/>
          <w:b w:val="0"/>
          <w:i/>
        </w:rPr>
        <w:t>Atenuarea schimbărilor climatice prin practici agricole și rolul organizațiilor de producători în consolidarea poziției fermierilor în cadrul lanțului alimentar</w:t>
      </w:r>
      <w:r>
        <w:rPr>
          <w:rStyle w:val="super"/>
          <w:b w:val="0"/>
        </w:rPr>
        <w:t xml:space="preserve"> în Ungaria, 8-10 octombrie 2024.</w:t>
      </w:r>
      <w:r>
        <w:t xml:space="preserve"> </w:t>
      </w:r>
      <w:r>
        <w:rPr>
          <w:rStyle w:val="super"/>
          <w:b w:val="0"/>
        </w:rPr>
        <w:t>Ca acțiune subsecventă, 41 % dintre jurnaliștii participanți au scris cel puțin un articol, în timp ce toți respondenții au oferit feedback pozitiv.</w:t>
      </w:r>
    </w:p>
    <w:p w14:paraId="0458788C" w14:textId="77777777" w:rsidR="0053294C" w:rsidRPr="00D9745D" w:rsidRDefault="0053294C" w:rsidP="0053294C">
      <w:pPr>
        <w:pStyle w:val="Style3"/>
        <w:rPr>
          <w:rStyle w:val="super"/>
          <w:bCs/>
        </w:rPr>
      </w:pPr>
      <w:r>
        <w:rPr>
          <w:rStyle w:val="super"/>
        </w:rPr>
        <w:t>Site-ul</w:t>
      </w:r>
    </w:p>
    <w:p w14:paraId="5115382C" w14:textId="48D6D9DC" w:rsidR="0053294C" w:rsidRPr="00D9745D" w:rsidRDefault="0053294C" w:rsidP="0053294C">
      <w:pPr>
        <w:pStyle w:val="Style3"/>
        <w:rPr>
          <w:rStyle w:val="super"/>
          <w:b w:val="0"/>
        </w:rPr>
      </w:pPr>
      <w:r>
        <w:rPr>
          <w:rStyle w:val="super"/>
          <w:b w:val="0"/>
        </w:rPr>
        <w:t xml:space="preserve">Site-ul rămâne o sursă importantă de informații de specialitate privind agricultura și dezvoltarea rurală, care sunt actualizate periodic. În perioada de raportare s-au înregistrat schimbări importante în ceea ce privește prezența online a Comisiei, care au avut scopul de a face site-ul mai ușor de utilizat și mai relevant pentru publicul larg. </w:t>
      </w:r>
    </w:p>
    <w:p w14:paraId="1287C12B" w14:textId="50348EA7" w:rsidR="0053294C" w:rsidRPr="00D9745D" w:rsidRDefault="0F4059AC" w:rsidP="6633F73A">
      <w:pPr>
        <w:pStyle w:val="Style3"/>
        <w:rPr>
          <w:rStyle w:val="super"/>
          <w:b w:val="0"/>
        </w:rPr>
      </w:pPr>
      <w:r>
        <w:rPr>
          <w:rStyle w:val="super"/>
          <w:b w:val="0"/>
        </w:rPr>
        <w:t xml:space="preserve">Site-ul </w:t>
      </w:r>
      <w:hyperlink r:id="rId19">
        <w:r>
          <w:rPr>
            <w:rStyle w:val="Hyperlink"/>
            <w:b w:val="0"/>
          </w:rPr>
          <w:t>agriculture.ec.europa.eu</w:t>
        </w:r>
      </w:hyperlink>
      <w:r>
        <w:rPr>
          <w:rStyle w:val="super"/>
          <w:b w:val="0"/>
        </w:rPr>
        <w:t xml:space="preserve"> afișează un conținut mult mai dinamic, de la materiale video, galerii media și grafice care contribuie la sprijinirea mesajelor de politică. De asemenea, au fost publicate noi secțiuni în urma celor mai recente evoluții ale politicilor. În 2023, a fost creată secțiunea </w:t>
      </w:r>
      <w:hyperlink r:id="rId20">
        <w:r>
          <w:rPr>
            <w:rStyle w:val="Hyperlink"/>
            <w:b w:val="0"/>
          </w:rPr>
          <w:t>„PAC în țara mea”</w:t>
        </w:r>
      </w:hyperlink>
      <w:r>
        <w:rPr>
          <w:rStyle w:val="super"/>
          <w:b w:val="0"/>
        </w:rPr>
        <w:t xml:space="preserve"> pentru a oferi informații cu privire la intrarea în vigoare a politicii agricole comune 2023-2027 și la aplicarea acesteia în fiecare țară din UE prin intermediul planurilor strategice PAC specifice. În 2024, a fost creată o nouă secțiune pentru prezentarea diverselor </w:t>
      </w:r>
      <w:hyperlink r:id="rId21">
        <w:r>
          <w:rPr>
            <w:rStyle w:val="Hyperlink"/>
            <w:b w:val="0"/>
          </w:rPr>
          <w:t>măsuri de simplificare</w:t>
        </w:r>
      </w:hyperlink>
      <w:r>
        <w:rPr>
          <w:rStyle w:val="super"/>
          <w:b w:val="0"/>
        </w:rPr>
        <w:t xml:space="preserve"> a PAC ca răspuns la preocupările fermierilor</w:t>
      </w:r>
      <w:r>
        <w:t>.</w:t>
      </w:r>
      <w:r w:rsidR="005808F7">
        <w:rPr>
          <w:rStyle w:val="super"/>
          <w:b w:val="0"/>
        </w:rPr>
        <w:t xml:space="preserve"> </w:t>
      </w:r>
    </w:p>
    <w:p w14:paraId="4AC4BD0A" w14:textId="418DFB05" w:rsidR="00FF77EE" w:rsidRPr="00D9745D" w:rsidRDefault="2631D39E" w:rsidP="00FF77EE">
      <w:pPr>
        <w:pStyle w:val="Style3"/>
        <w:rPr>
          <w:rStyle w:val="super"/>
          <w:rFonts w:eastAsia="Times New Roman"/>
          <w:b w:val="0"/>
          <w14:ligatures w14:val="none"/>
        </w:rPr>
      </w:pPr>
      <w:r>
        <w:rPr>
          <w:rStyle w:val="super"/>
          <w:b w:val="0"/>
        </w:rPr>
        <w:t xml:space="preserve">Ca parte a materialelor de comunicare, site-ul găzduiește seria de podcasturi </w:t>
      </w:r>
      <w:r>
        <w:rPr>
          <w:b w:val="0"/>
        </w:rPr>
        <w:t>„</w:t>
      </w:r>
      <w:hyperlink r:id="rId22">
        <w:r>
          <w:rPr>
            <w:b w:val="0"/>
            <w:color w:val="0000FF"/>
            <w:u w:val="single"/>
          </w:rPr>
          <w:t>Food for Europe</w:t>
        </w:r>
      </w:hyperlink>
      <w:r>
        <w:rPr>
          <w:b w:val="0"/>
        </w:rPr>
        <w:t xml:space="preserve">” (Alimente pentru Europa), </w:t>
      </w:r>
      <w:r>
        <w:rPr>
          <w:rStyle w:val="super"/>
          <w:b w:val="0"/>
        </w:rPr>
        <w:t xml:space="preserve">care este disponibilă în trei limbi: Limbile engleză, franceză și germană. Diferitele episoade prezintă subiecte relevante privind evenimente politice sau inițiative politice recente și dau glas cetățenilor, experților și factorilor de decizie politică. Aceste serii de podcasturi sunt disponibile pe diferite platforme (Spotify, YouTube, Google podcast) și sunt, de asemenea, promovate în mod regulat pe canalele de comunicare socială. </w:t>
      </w:r>
      <w:r>
        <w:rPr>
          <w:b w:val="0"/>
        </w:rPr>
        <w:t xml:space="preserve">În 2023 și 2024, adică sezoanele 5 și 6, au fost lansate </w:t>
      </w:r>
      <w:r>
        <w:rPr>
          <w:rStyle w:val="super"/>
          <w:b w:val="0"/>
        </w:rPr>
        <w:t>douăzeci și două de episoade</w:t>
      </w:r>
      <w:r>
        <w:rPr>
          <w:b w:val="0"/>
        </w:rPr>
        <w:t>, 11 episoade în fiecare an. În 2023, s-au înregistrat, în medie, peste 750 de ascultări per episod de podcast, în timp ce, în 2024, numărul mediu de ascultări per episod de podcast a depășit 1 100.</w:t>
      </w:r>
    </w:p>
    <w:p w14:paraId="59F58B0C" w14:textId="5E868142" w:rsidR="00F66200" w:rsidRPr="00D9745D" w:rsidRDefault="00BB1581" w:rsidP="6633F73A">
      <w:pPr>
        <w:pStyle w:val="Style3"/>
        <w:rPr>
          <w:rStyle w:val="super"/>
          <w:b w:val="0"/>
        </w:rPr>
      </w:pPr>
      <w:r>
        <w:rPr>
          <w:rStyle w:val="super"/>
          <w:b w:val="0"/>
        </w:rPr>
        <w:t xml:space="preserve">Site-ul Comisiei a înregistrat peste 1,7 milioane de vizitatori și aproape 4,4 milioane de vizualizări de pagini în 2023, respectiv aproape 2 milioane de vizitatori și 4,5 milioane de vizualizări de pagini în 2024. </w:t>
      </w:r>
    </w:p>
    <w:p w14:paraId="0300543F" w14:textId="1E23245A" w:rsidR="0053294C" w:rsidRPr="00D9745D" w:rsidRDefault="0053294C" w:rsidP="0053294C">
      <w:pPr>
        <w:pStyle w:val="Style3"/>
        <w:rPr>
          <w:rStyle w:val="super"/>
        </w:rPr>
      </w:pPr>
      <w:r>
        <w:rPr>
          <w:rStyle w:val="super"/>
        </w:rPr>
        <w:t>Platformele de comunicare socială</w:t>
      </w:r>
    </w:p>
    <w:p w14:paraId="1630579C" w14:textId="15F07A20" w:rsidR="00F66200" w:rsidRPr="00D9745D" w:rsidRDefault="00BB1581" w:rsidP="0053294C">
      <w:pPr>
        <w:pStyle w:val="Style3"/>
        <w:rPr>
          <w:b w:val="0"/>
          <w:bCs/>
          <w:color w:val="000000" w:themeColor="text1"/>
        </w:rPr>
      </w:pPr>
      <w:r>
        <w:rPr>
          <w:rStyle w:val="super"/>
          <w:b w:val="0"/>
        </w:rPr>
        <w:t xml:space="preserve">Comisia </w:t>
      </w:r>
      <w:r>
        <w:rPr>
          <w:b w:val="0"/>
          <w:color w:val="000000" w:themeColor="text1"/>
        </w:rPr>
        <w:t xml:space="preserve">a continuat să utilizeze mijloacele de comunicare socială pentru a informa cetățenii și părțile interesate cu privire la toate aspectele activităților PAC. </w:t>
      </w:r>
    </w:p>
    <w:p w14:paraId="61052D5D" w14:textId="57749296" w:rsidR="00A42921" w:rsidRPr="00D9745D" w:rsidRDefault="00F66200" w:rsidP="00BB05C5">
      <w:pPr>
        <w:pStyle w:val="Style3"/>
        <w:rPr>
          <w:b w:val="0"/>
          <w:bCs/>
          <w:color w:val="000000" w:themeColor="text1"/>
        </w:rPr>
      </w:pPr>
      <w:r>
        <w:rPr>
          <w:b w:val="0"/>
          <w:color w:val="000000" w:themeColor="text1"/>
        </w:rPr>
        <w:t xml:space="preserve">În 2023, numărul de urmăritori pe toate platformele sociale a ajuns la 309 634, cu mult peste obiectivul de 275 000. </w:t>
      </w:r>
      <w:r>
        <w:rPr>
          <w:rStyle w:val="super"/>
          <w:b w:val="0"/>
        </w:rPr>
        <w:t xml:space="preserve">Comisia a înregistrat o </w:t>
      </w:r>
      <w:r>
        <w:rPr>
          <w:b w:val="0"/>
          <w:color w:val="000000" w:themeColor="text1"/>
        </w:rPr>
        <w:t>creștere a numărului de afișări de conținut, ajungând la 88 de milioane de afișări.</w:t>
      </w:r>
      <w:r>
        <w:t xml:space="preserve"> </w:t>
      </w:r>
      <w:r>
        <w:rPr>
          <w:b w:val="0"/>
          <w:color w:val="000000" w:themeColor="text1"/>
        </w:rPr>
        <w:t xml:space="preserve">S-a pus un accent mai mare pe sensibilizarea cu privire la prioritățile PAC, atât prin publicitate plătită pe platformele de comunicare socială, cât și prin implicarea unui public specific în activități specifice: </w:t>
      </w:r>
    </w:p>
    <w:p w14:paraId="1EAA2D0B" w14:textId="67E7CC45" w:rsidR="00A42921" w:rsidRPr="00D9745D" w:rsidRDefault="00A42921" w:rsidP="75FB4F92">
      <w:pPr>
        <w:pStyle w:val="ListParagraph"/>
        <w:numPr>
          <w:ilvl w:val="0"/>
          <w:numId w:val="14"/>
        </w:numPr>
        <w:rPr>
          <w:rFonts w:ascii="Times New Roman" w:eastAsia="Times New Roman" w:hAnsi="Times New Roman" w:cs="Times New Roman"/>
          <w:noProof/>
          <w:kern w:val="0"/>
          <w:sz w:val="24"/>
          <w:szCs w:val="24"/>
          <w14:ligatures w14:val="none"/>
        </w:rPr>
      </w:pPr>
      <w:r>
        <w:rPr>
          <w:rFonts w:ascii="Times New Roman" w:hAnsi="Times New Roman"/>
          <w:noProof/>
          <w:sz w:val="24"/>
        </w:rPr>
        <w:t>campanie pe platformele de comunicare socială pentru a marca înregistrarea celei de a 3 500-a indicație geografică (IG), cu 31 300 de afișări pe platforma X (fostă Twitter) și Facebook;</w:t>
      </w:r>
    </w:p>
    <w:p w14:paraId="018EB3D3" w14:textId="3B6BC98A" w:rsidR="00A42921" w:rsidRPr="00FA2DF9" w:rsidRDefault="00D45A80" w:rsidP="00FA2DF9">
      <w:pPr>
        <w:pStyle w:val="Style3"/>
        <w:numPr>
          <w:ilvl w:val="0"/>
          <w:numId w:val="8"/>
        </w:numPr>
        <w:rPr>
          <w:rFonts w:eastAsia="Times New Roman"/>
          <w:b w:val="0"/>
          <w14:ligatures w14:val="none"/>
        </w:rPr>
      </w:pPr>
      <w:bookmarkStart w:id="5" w:name="_Hlk216273959"/>
      <w:r>
        <w:rPr>
          <w:b w:val="0"/>
        </w:rPr>
        <w:t xml:space="preserve">campanie pe platformele de comunicare </w:t>
      </w:r>
      <w:r>
        <w:rPr>
          <w:rStyle w:val="super"/>
          <w:b w:val="0"/>
        </w:rPr>
        <w:t>socială</w:t>
      </w:r>
      <w:r>
        <w:rPr>
          <w:b w:val="0"/>
        </w:rPr>
        <w:t xml:space="preserve"> de promovare a celei de a doua ediții a premiilor #EUOrganic Awards și materiale video cu câștigătorii pe Instagram, Facebook și X. Campania a înregistrat 24 de milioane (24 223 394) de afișări. Hashtagul #EUOrganic a înregistrat în total 2 951 de postări din partea a 871 de utilizatori, care au generat 28 000 de interacțiuni;</w:t>
      </w:r>
    </w:p>
    <w:bookmarkEnd w:id="5"/>
    <w:p w14:paraId="0FB751EB" w14:textId="3B7CB1AB" w:rsidR="00A42921" w:rsidRPr="00D9745D" w:rsidRDefault="00A42921" w:rsidP="00A42921">
      <w:pPr>
        <w:numPr>
          <w:ilvl w:val="0"/>
          <w:numId w:val="14"/>
        </w:numPr>
        <w:spacing w:after="120" w:line="240" w:lineRule="auto"/>
        <w:jc w:val="both"/>
        <w:rPr>
          <w:rFonts w:eastAsia="Times New Roman"/>
          <w:noProof/>
          <w14:ligatures w14:val="none"/>
        </w:rPr>
      </w:pPr>
      <w:r>
        <w:rPr>
          <w:rFonts w:ascii="Times New Roman" w:hAnsi="Times New Roman"/>
          <w:noProof/>
          <w:sz w:val="24"/>
        </w:rPr>
        <w:t>vizualizarea datelor pe tema „</w:t>
      </w:r>
      <w:hyperlink r:id="rId23" w:history="1">
        <w:r>
          <w:rPr>
            <w:rFonts w:ascii="Times New Roman" w:hAnsi="Times New Roman"/>
            <w:noProof/>
            <w:color w:val="0000FF"/>
            <w:sz w:val="24"/>
            <w:u w:val="single"/>
          </w:rPr>
          <w:t>Ce ne spune știința despre durabilitatea practicilor agricole (#FarmingPractices)”</w:t>
        </w:r>
      </w:hyperlink>
      <w:r>
        <w:rPr>
          <w:rFonts w:ascii="Times New Roman" w:hAnsi="Times New Roman"/>
          <w:noProof/>
          <w:sz w:val="24"/>
        </w:rPr>
        <w:t xml:space="preserve"> pentru promovarea rezultatelor bazate pe date științifice cu scopul de a încuraja adoptarea unor practici agricole durabile. S-a înregistrat în total 72 000 de afișări pe cele trei canale (X/Twitter, Facebook, Instagram), postările generând 3 500 de interacțiuni și 382 de clicuri de link care redirecționau către setul de date iMAP FP, o bibliotecă de dovezi privind efectele practicilor agricole asupra mediului și climei</w:t>
      </w:r>
      <w:r>
        <w:rPr>
          <w:rStyle w:val="FootnoteReference"/>
          <w:rFonts w:ascii="Times New Roman" w:eastAsia="Calibri" w:hAnsi="Times New Roman" w:cs="Times New Roman"/>
          <w:noProof/>
          <w:sz w:val="24"/>
          <w:szCs w:val="24"/>
          <w:lang w:eastAsia="en-GB"/>
        </w:rPr>
        <w:footnoteReference w:id="11"/>
      </w:r>
      <w:r>
        <w:rPr>
          <w:rFonts w:ascii="Times New Roman" w:hAnsi="Times New Roman"/>
          <w:noProof/>
          <w:sz w:val="24"/>
        </w:rPr>
        <w:t xml:space="preserve">; </w:t>
      </w:r>
    </w:p>
    <w:p w14:paraId="048A877C" w14:textId="5487C2F5" w:rsidR="00A42921" w:rsidRPr="00D9745D" w:rsidRDefault="00FB7438" w:rsidP="00A42921">
      <w:pPr>
        <w:pStyle w:val="Style3"/>
        <w:numPr>
          <w:ilvl w:val="0"/>
          <w:numId w:val="8"/>
        </w:numPr>
        <w:rPr>
          <w:rStyle w:val="super"/>
          <w:b w:val="0"/>
        </w:rPr>
      </w:pPr>
      <w:bookmarkStart w:id="6" w:name="_Hlk216274019"/>
      <w:r>
        <w:rPr>
          <w:rStyle w:val="super"/>
          <w:b w:val="0"/>
        </w:rPr>
        <w:t>lansarea Observatorului rural #RuralVisionEU, cu un număr total de 107 562 de afișări și interacțiuni;</w:t>
      </w:r>
    </w:p>
    <w:bookmarkEnd w:id="6"/>
    <w:p w14:paraId="32AE65D0" w14:textId="4295EA4C" w:rsidR="7E5838CE" w:rsidRPr="00D9745D" w:rsidRDefault="7E5838CE" w:rsidP="007312C9">
      <w:pPr>
        <w:pStyle w:val="Style3"/>
        <w:numPr>
          <w:ilvl w:val="0"/>
          <w:numId w:val="8"/>
        </w:numPr>
        <w:rPr>
          <w:rStyle w:val="super"/>
        </w:rPr>
      </w:pPr>
      <w:r>
        <w:rPr>
          <w:rStyle w:val="super"/>
          <w:b w:val="0"/>
        </w:rPr>
        <w:t xml:space="preserve">campanie pe platformele de comunicare socială pentru a sensibiliza publicul cu privire la prima ediție a evenimentului „Zilele agroalimentare ale UE”, cu un total de </w:t>
      </w:r>
      <w:r>
        <w:rPr>
          <w:b w:val="0"/>
        </w:rPr>
        <w:t>17 497 245 de afișări și 91 751 de clicuri;</w:t>
      </w:r>
    </w:p>
    <w:p w14:paraId="3E18AEFF" w14:textId="26CD8865" w:rsidR="5A5AE741" w:rsidRPr="00D9745D" w:rsidRDefault="5A5AE741" w:rsidP="6FBF8753">
      <w:pPr>
        <w:pStyle w:val="Style3"/>
        <w:numPr>
          <w:ilvl w:val="0"/>
          <w:numId w:val="8"/>
        </w:numPr>
        <w:rPr>
          <w:rStyle w:val="super"/>
          <w:b w:val="0"/>
        </w:rPr>
      </w:pPr>
      <w:r>
        <w:rPr>
          <w:rStyle w:val="super"/>
          <w:b w:val="0"/>
        </w:rPr>
        <w:t xml:space="preserve">campanie video pe YouTube pentru a promova rezultatele conferinței AgriResearch și profilurile de cercetare, cu </w:t>
      </w:r>
      <w:r>
        <w:rPr>
          <w:b w:val="0"/>
        </w:rPr>
        <w:t>562 647 de afișări și 269 059 de vizualizări</w:t>
      </w:r>
      <w:r>
        <w:rPr>
          <w:rStyle w:val="super"/>
          <w:b w:val="0"/>
        </w:rPr>
        <w:t xml:space="preserve">; </w:t>
      </w:r>
    </w:p>
    <w:p w14:paraId="072082B3" w14:textId="1F9A2B6C" w:rsidR="67FB5E05" w:rsidRPr="00D9745D" w:rsidRDefault="67FB5E05" w:rsidP="6FBF8753">
      <w:pPr>
        <w:pStyle w:val="Style3"/>
        <w:numPr>
          <w:ilvl w:val="0"/>
          <w:numId w:val="8"/>
        </w:numPr>
        <w:rPr>
          <w:rStyle w:val="super"/>
          <w:b w:val="0"/>
        </w:rPr>
      </w:pPr>
      <w:r>
        <w:rPr>
          <w:rStyle w:val="super"/>
          <w:b w:val="0"/>
        </w:rPr>
        <w:t>campanie pe platformele de comunicare socială pentru a marca intrarea în vigoare a PAC 2023-2027.</w:t>
      </w:r>
    </w:p>
    <w:p w14:paraId="0FFBA675" w14:textId="2E28586A" w:rsidR="0053294C" w:rsidRPr="00D9745D" w:rsidRDefault="00F66200" w:rsidP="0053294C">
      <w:pPr>
        <w:pStyle w:val="Style3"/>
        <w:rPr>
          <w:rStyle w:val="super"/>
          <w:b w:val="0"/>
          <w:bCs/>
        </w:rPr>
      </w:pPr>
      <w:r>
        <w:rPr>
          <w:rStyle w:val="super"/>
          <w:b w:val="0"/>
        </w:rPr>
        <w:t>În 2024, numărul de urmăritori pe toate platformele sociale a ajuns la 330 194, cu mult peste obiectivul de 275 000. Comisia a înregistrat o creștere a numărului afișări de conținut, ajungând la aproape 42 de milioane de afișări. Cele mai remarcabile activități pe platformele de comunicare socială în 2024 au fost:</w:t>
      </w:r>
    </w:p>
    <w:p w14:paraId="6D967188" w14:textId="5280794A" w:rsidR="00D82ADB" w:rsidRPr="00D9745D" w:rsidRDefault="00D82ADB" w:rsidP="00A823B5">
      <w:pPr>
        <w:pStyle w:val="Style3"/>
        <w:numPr>
          <w:ilvl w:val="0"/>
          <w:numId w:val="8"/>
        </w:numPr>
        <w:rPr>
          <w:rStyle w:val="super"/>
          <w:bCs/>
        </w:rPr>
      </w:pPr>
      <w:r>
        <w:rPr>
          <w:rStyle w:val="super"/>
          <w:b w:val="0"/>
        </w:rPr>
        <w:t xml:space="preserve">campanie pe platformele de comunicare socială pentru a promova perioada de depunere a candidaturilor pentru politica de promovare a agriculturii pe Facebook și Instagram, cu </w:t>
      </w:r>
      <w:r>
        <w:rPr>
          <w:b w:val="0"/>
        </w:rPr>
        <w:t>23 942 de clicuri de link și 2 194 194 de afișări</w:t>
      </w:r>
      <w:r>
        <w:rPr>
          <w:rStyle w:val="super"/>
          <w:b w:val="0"/>
        </w:rPr>
        <w:t>;</w:t>
      </w:r>
    </w:p>
    <w:p w14:paraId="3F8E635F" w14:textId="63EF43A4" w:rsidR="00D82ADB" w:rsidRPr="00D9745D" w:rsidRDefault="00D82ADB" w:rsidP="00D82ADB">
      <w:pPr>
        <w:pStyle w:val="Style3"/>
        <w:numPr>
          <w:ilvl w:val="0"/>
          <w:numId w:val="8"/>
        </w:numPr>
        <w:rPr>
          <w:rStyle w:val="super"/>
          <w:b w:val="0"/>
          <w:bCs/>
        </w:rPr>
      </w:pPr>
      <w:r>
        <w:rPr>
          <w:rStyle w:val="super"/>
          <w:b w:val="0"/>
        </w:rPr>
        <w:t>campanie pe platformele de comunicare socială de promovare a celei de a treia ediții a premiilor #EUOrganic Awards și materiale video cu câștigătorii pe Instagram și Facebook. Campania a înregistrat 18 milioane (18 551 142) de afișări, cu un nivel ridicat de 6,3 milioane de afișări în septembrie 2024 și, în medie, 3 milioane de persoane pe parcursul întregii perioade de raportare. Hashtagul #EUOrganic a înregistrat în total 2 312 postări din partea a 445 de utilizatori, care au generat 21 400 de interacțiuni;</w:t>
      </w:r>
    </w:p>
    <w:p w14:paraId="5486FBD1" w14:textId="6CFF8293" w:rsidR="00D82ADB" w:rsidRPr="00D9745D" w:rsidRDefault="00D82ADB" w:rsidP="00D82ADB">
      <w:pPr>
        <w:pStyle w:val="Style3"/>
        <w:numPr>
          <w:ilvl w:val="0"/>
          <w:numId w:val="8"/>
        </w:numPr>
        <w:rPr>
          <w:rStyle w:val="super"/>
          <w:b w:val="0"/>
          <w:bCs/>
        </w:rPr>
      </w:pPr>
      <w:r>
        <w:rPr>
          <w:rStyle w:val="super"/>
          <w:b w:val="0"/>
        </w:rPr>
        <w:t>campanie pe platformele de comunicare socială Facebook și Instagram pentru a promova cererea de candidaturi pentru granturile IMCAP, care a înregistrat 9 990 213 afișări și 138 605 clicuri de link;</w:t>
      </w:r>
    </w:p>
    <w:p w14:paraId="597765A1" w14:textId="20B9629D" w:rsidR="00D82ADB" w:rsidRPr="00D9745D" w:rsidRDefault="00D82ADB" w:rsidP="00D82ADB">
      <w:pPr>
        <w:pStyle w:val="Style3"/>
        <w:numPr>
          <w:ilvl w:val="0"/>
          <w:numId w:val="8"/>
        </w:numPr>
        <w:rPr>
          <w:rStyle w:val="super"/>
          <w:b w:val="0"/>
          <w:bCs/>
        </w:rPr>
      </w:pPr>
      <w:r>
        <w:rPr>
          <w:rStyle w:val="super"/>
          <w:b w:val="0"/>
        </w:rPr>
        <w:t>campanie pe platformele de comunicare socială Facebook și Instagram pentru a promova sondajul privind Practicile comerciale neloiale</w:t>
      </w:r>
      <w:r>
        <w:t>,</w:t>
      </w:r>
      <w:r>
        <w:rPr>
          <w:rStyle w:val="super"/>
          <w:b w:val="0"/>
        </w:rPr>
        <w:t xml:space="preserve"> care a înregistrat 3 438 863 de afișări și 67 578 de clicuri de link;</w:t>
      </w:r>
    </w:p>
    <w:p w14:paraId="4D62F30D" w14:textId="575A17B9" w:rsidR="0053294C" w:rsidRPr="00D9745D" w:rsidRDefault="00D82ADB" w:rsidP="00D82ADB">
      <w:pPr>
        <w:pStyle w:val="Style3"/>
        <w:numPr>
          <w:ilvl w:val="0"/>
          <w:numId w:val="8"/>
        </w:numPr>
        <w:rPr>
          <w:rStyle w:val="super"/>
          <w:b w:val="0"/>
          <w:bCs/>
        </w:rPr>
      </w:pPr>
      <w:r>
        <w:rPr>
          <w:rStyle w:val="super"/>
          <w:b w:val="0"/>
        </w:rPr>
        <w:t xml:space="preserve">campanie pe platformele de comunicare socială Facebook și Instagram pentru a promova evenimentul „Zilele agroalimentare ale UE” (EU Agri Food Days), care a înregistrat 6 912 749 de vizualizări și 109 176 de clicuri de link. </w:t>
      </w:r>
    </w:p>
    <w:p w14:paraId="68131762" w14:textId="77777777" w:rsidR="0053294C" w:rsidRPr="00D9745D" w:rsidRDefault="0053294C" w:rsidP="0053294C">
      <w:pPr>
        <w:pStyle w:val="Style3"/>
      </w:pPr>
      <w:r>
        <w:t>Conferințe</w:t>
      </w:r>
    </w:p>
    <w:p w14:paraId="3F74E664" w14:textId="5CD49EC4" w:rsidR="0053294C" w:rsidRPr="00D9745D" w:rsidRDefault="0053294C" w:rsidP="00AA1ED1">
      <w:pPr>
        <w:pStyle w:val="Style3"/>
        <w:rPr>
          <w:rStyle w:val="super"/>
        </w:rPr>
      </w:pPr>
      <w:r>
        <w:rPr>
          <w:rStyle w:val="super"/>
          <w:b w:val="0"/>
        </w:rPr>
        <w:t>În această perioadă, implicarea părților interesate și comunicarea cu publicul larg au continuat să fie o prioritate pentru acțiunile de comunicare ale Comisiei. Conferințele au reprezentat un mijloc important de consultare și de schimb de informații și de idei cu privire la aspecte de politică esențiale între Comisie și un număr mare de părți interesate, la nivel regional, național și internațional.</w:t>
      </w:r>
      <w:r>
        <w:rPr>
          <w:rStyle w:val="super"/>
        </w:rPr>
        <w:t xml:space="preserve"> </w:t>
      </w:r>
    </w:p>
    <w:p w14:paraId="195C9042" w14:textId="6EBB0EF0" w:rsidR="000D0D98" w:rsidRPr="00D9745D" w:rsidRDefault="000D0D98" w:rsidP="000D0D98">
      <w:pPr>
        <w:pStyle w:val="Style3"/>
        <w:rPr>
          <w:rStyle w:val="super"/>
          <w:b w:val="0"/>
          <w:bCs/>
        </w:rPr>
      </w:pPr>
      <w:r>
        <w:rPr>
          <w:rStyle w:val="super"/>
          <w:b w:val="0"/>
        </w:rPr>
        <w:t xml:space="preserve">În 2023, Comisia a lansat un nou concept legat de </w:t>
      </w:r>
      <w:r>
        <w:rPr>
          <w:rStyle w:val="super"/>
          <w:b w:val="0"/>
          <w:i/>
        </w:rPr>
        <w:t>Zilele agroalimentare ale UE</w:t>
      </w:r>
      <w:r>
        <w:rPr>
          <w:rStyle w:val="super"/>
          <w:b w:val="0"/>
        </w:rPr>
        <w:t>, evenimentul său emblematic anual, grupând Conferința privind perspectivele agricole și Conferința privind mediul digital. Evenimentul a avut loc în perioada 6-8 decembrie 2023 și a fost deschis de președinta Comisiei prin intermediul unui mesaj video, urmat de un discurs inaugural al comisarului pentru agricultură. Au avut loc discuții privind perspectivele agriculturii europene, tendințele pieței, securitatea alimentară, durabilitatea și inovarea digitală. Acest eveniment internațional a reunit fermieri, factori de decizie, lideri din mediul de afaceri, analiști și experți din întreaga lume pentru a promova dialogul și a inspira idei transformatoare. Pe parcursul celor 3 zile, s-au înregistrat 1 523 de participanți la fața locului și 3 550 de participanți online, cu o rată medie de satisfacție de 93,75 %.</w:t>
      </w:r>
    </w:p>
    <w:p w14:paraId="0F16EBA7" w14:textId="77777777" w:rsidR="000D0D98" w:rsidRPr="00D9745D" w:rsidRDefault="000D0D98" w:rsidP="000D0D98">
      <w:pPr>
        <w:pStyle w:val="Style3"/>
        <w:rPr>
          <w:rStyle w:val="super"/>
          <w:b w:val="0"/>
          <w:bCs/>
        </w:rPr>
      </w:pPr>
      <w:r>
        <w:rPr>
          <w:rStyle w:val="super"/>
          <w:b w:val="0"/>
        </w:rPr>
        <w:t xml:space="preserve">Înainte de lansarea oficială, Zilele agroalimentare ale UE au inclus, de asemenea, conferința privind </w:t>
      </w:r>
      <w:r>
        <w:rPr>
          <w:rStyle w:val="super"/>
          <w:b w:val="0"/>
          <w:i/>
        </w:rPr>
        <w:t>Dialogul UE-Canada în materie de agricultură durabilă</w:t>
      </w:r>
      <w:r>
        <w:rPr>
          <w:rStyle w:val="super"/>
          <w:b w:val="0"/>
        </w:rPr>
        <w:t xml:space="preserve"> din 5 decembrie. Părțile interesate și factorii de decizie au analizat progresele înregistrate până în prezent și au discutat despre prioritățile viitoare pentru următoarea etapă a dialogului în curs dintre UE-Canada privind agricultura durabilă. La eveniment au participat numeroase și diverse părți interesate din domeniul agriculturii, atât din Canada, cât și din UE (90 de participanți).</w:t>
      </w:r>
    </w:p>
    <w:p w14:paraId="5E587D66" w14:textId="41519F3B" w:rsidR="000D0D98" w:rsidRPr="00D9745D" w:rsidRDefault="000D0D98" w:rsidP="000D0D98">
      <w:pPr>
        <w:pStyle w:val="Style3"/>
        <w:rPr>
          <w:rStyle w:val="super"/>
          <w:rFonts w:asciiTheme="minorHAnsi" w:eastAsiaTheme="minorHAnsi" w:hAnsiTheme="minorHAnsi" w:cstheme="minorBidi"/>
          <w:b w:val="0"/>
          <w:bCs/>
          <w:kern w:val="2"/>
          <w:sz w:val="22"/>
          <w:szCs w:val="22"/>
        </w:rPr>
      </w:pPr>
      <w:r>
        <w:rPr>
          <w:rStyle w:val="super"/>
          <w:b w:val="0"/>
        </w:rPr>
        <w:t>În 2023, cea de a 5-a Conferință ministerială privind agricultura dintre Uniunea Africană (UA) și Uniunea Europeană (UE) a avut loc, de asemenea, la Roma, la 30 iunie. Participanții au monitorizat progresele înregistrate între summituri pentru a promova cooperarea dintre Uniunea Africană și Uniunea Europeană.</w:t>
      </w:r>
      <w:r>
        <w:t xml:space="preserve"> </w:t>
      </w:r>
      <w:r>
        <w:rPr>
          <w:rStyle w:val="super"/>
          <w:b w:val="0"/>
        </w:rPr>
        <w:t>La conferință au fost reprezentate 37 de delegații naționale, dintre care 22 de țări africane, cu un total de 400 de participanți. Sesiunea plenară a fost urmărită de 805 spectatori online.</w:t>
      </w:r>
    </w:p>
    <w:p w14:paraId="1C670C54" w14:textId="45EFBB5B" w:rsidR="006C5F18" w:rsidRPr="00D9745D" w:rsidRDefault="006C5F18" w:rsidP="006C5F18">
      <w:pPr>
        <w:pStyle w:val="Style3"/>
        <w:rPr>
          <w:rStyle w:val="super"/>
          <w:b w:val="0"/>
          <w:bCs/>
        </w:rPr>
      </w:pPr>
      <w:r>
        <w:rPr>
          <w:rStyle w:val="super"/>
          <w:b w:val="0"/>
        </w:rPr>
        <w:t>În 2024, au fost organizate o conferință importantă și un dialog politic:</w:t>
      </w:r>
    </w:p>
    <w:p w14:paraId="35A17A57" w14:textId="51D14D27" w:rsidR="004141B8" w:rsidRPr="00D9745D" w:rsidRDefault="009F298A" w:rsidP="00AF6249">
      <w:pPr>
        <w:pStyle w:val="Style3"/>
        <w:numPr>
          <w:ilvl w:val="0"/>
          <w:numId w:val="8"/>
        </w:numPr>
        <w:rPr>
          <w:rFonts w:eastAsia="Times New Roman"/>
          <w:bCs/>
          <w:color w:val="404040"/>
          <w14:ligatures w14:val="none"/>
        </w:rPr>
      </w:pPr>
      <w:r>
        <w:rPr>
          <w:b w:val="0"/>
        </w:rPr>
        <w:t>În perioada 10-12 decembrie</w:t>
      </w:r>
      <w:r>
        <w:rPr>
          <w:rStyle w:val="super"/>
          <w:b w:val="0"/>
        </w:rPr>
        <w:t xml:space="preserve"> 2024, a avut loc la Bruxelles </w:t>
      </w:r>
      <w:r>
        <w:rPr>
          <w:b w:val="0"/>
        </w:rPr>
        <w:t xml:space="preserve">cea de a doua ediție a </w:t>
      </w:r>
      <w:hyperlink r:id="rId24" w:history="1">
        <w:r>
          <w:rPr>
            <w:b w:val="0"/>
            <w:i/>
          </w:rPr>
          <w:t>Zilelor agroalimentare ale UE</w:t>
        </w:r>
      </w:hyperlink>
      <w:r>
        <w:rPr>
          <w:b w:val="0"/>
        </w:rPr>
        <w:t>. Evenimentul a fost structurat în jurul Conferinței privind perspectivele politice și economice și mediul digital, care a inclus subiecte legate de lanțul alimentar, cercetare și inovare.</w:t>
      </w:r>
      <w:r w:rsidR="005808F7">
        <w:rPr>
          <w:b w:val="0"/>
        </w:rPr>
        <w:t xml:space="preserve"> </w:t>
      </w:r>
      <w:r>
        <w:rPr>
          <w:b w:val="0"/>
        </w:rPr>
        <w:t xml:space="preserve">Evenimentul a fost deschis de președinta Comisiei printr-un mesaj video urmat de </w:t>
      </w:r>
      <w:r>
        <w:rPr>
          <w:b w:val="0"/>
          <w:color w:val="404040"/>
        </w:rPr>
        <w:t>discursuri inaugurale ale președintei Băncii Europene de Investiții (BEI) și ale comisarului pentru agricultură. Discuțiile s-au axat pe cele mai recente tendințe agricole, opțiuni de politică, evoluții ale pieței, precum și pe cercetare, inovare și tehnologii digitale. Comisarul Hansen a găzduit un punct de presă în prima zi a evenimentului, la care au fost prezenți aproximativ 20 de jurnaliști (corespondenți de la Bruxelles și mass-media națională). Acest eveniment anual a reunit părți interesate din sistemul agroalimentar, societatea civilă, consumatori, mediul academic și factori de decizie din întreaga UE. În cele 3 zile, s-au înregistrat peste 1 000 de participanți la fața locului și 6 500 de participanți online, rata medie de satisfacție fiind de 90 %.</w:t>
      </w:r>
    </w:p>
    <w:p w14:paraId="57FDD704" w14:textId="69419462" w:rsidR="00BC09E8" w:rsidRPr="00D9745D" w:rsidRDefault="007A464C" w:rsidP="00AF6249">
      <w:pPr>
        <w:pStyle w:val="Style3"/>
        <w:numPr>
          <w:ilvl w:val="0"/>
          <w:numId w:val="8"/>
        </w:numPr>
        <w:rPr>
          <w:rFonts w:eastAsia="Times New Roman"/>
          <w:bCs/>
          <w14:ligatures w14:val="none"/>
        </w:rPr>
      </w:pPr>
      <w:r>
        <w:rPr>
          <w:b w:val="0"/>
        </w:rPr>
        <w:t>La 11 decembrie 2024, a fost organizat, de asemenea,</w:t>
      </w:r>
      <w:bookmarkStart w:id="7" w:name="_Hlk210744270"/>
      <w:r>
        <w:rPr>
          <w:b w:val="0"/>
        </w:rPr>
        <w:t xml:space="preserve"> primul </w:t>
      </w:r>
      <w:r>
        <w:rPr>
          <w:b w:val="0"/>
          <w:i/>
        </w:rPr>
        <w:t>Dialog în materie de politici pentru tineret</w:t>
      </w:r>
      <w:bookmarkEnd w:id="7"/>
      <w:r>
        <w:t xml:space="preserve"> </w:t>
      </w:r>
      <w:r>
        <w:rPr>
          <w:b w:val="0"/>
        </w:rPr>
        <w:t>cu comisarul Hansen, la Bruxelles, cu ocazia Zilelor agroalimentare ale UE. 25 de participanți din 14 state membre cu experiență în agricultură, alimentație și zone rurale s-au întâlnit cu comisarul și au propus soluții pentru reînnoirea generațiilor, durabilitate, competitivitate și antreprenoriat în sectorul agricol</w:t>
      </w:r>
      <w:r>
        <w:t xml:space="preserve">. </w:t>
      </w:r>
      <w:r>
        <w:rPr>
          <w:b w:val="0"/>
        </w:rPr>
        <w:t xml:space="preserve">Evenimentul a fost mediatizat pe scară largă pe canalele de comunicare socială ale </w:t>
      </w:r>
      <w:r>
        <w:rPr>
          <w:rStyle w:val="super"/>
          <w:b w:val="0"/>
        </w:rPr>
        <w:t>Comisiei</w:t>
      </w:r>
      <w:r>
        <w:rPr>
          <w:b w:val="0"/>
        </w:rPr>
        <w:t xml:space="preserve"> (10 169 de vizualizări).</w:t>
      </w:r>
    </w:p>
    <w:p w14:paraId="114B55B4" w14:textId="77777777" w:rsidR="0053294C" w:rsidRPr="00D9745D" w:rsidRDefault="0053294C" w:rsidP="00AA1ED1">
      <w:pPr>
        <w:pStyle w:val="Style3"/>
        <w:rPr>
          <w:rStyle w:val="super"/>
        </w:rPr>
      </w:pPr>
      <w:r>
        <w:rPr>
          <w:rStyle w:val="super"/>
        </w:rPr>
        <w:t>Târguri și evenimente</w:t>
      </w:r>
    </w:p>
    <w:p w14:paraId="1D231D52" w14:textId="0729E339" w:rsidR="009D1F02" w:rsidRPr="00D9745D" w:rsidRDefault="00182260" w:rsidP="00AA1ED1">
      <w:pPr>
        <w:autoSpaceDE w:val="0"/>
        <w:autoSpaceDN w:val="0"/>
        <w:adjustRightInd w:val="0"/>
        <w:spacing w:before="120"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Comisia a participat cu un stand la </w:t>
      </w:r>
      <w:r>
        <w:rPr>
          <w:rFonts w:ascii="Times New Roman" w:hAnsi="Times New Roman"/>
          <w:i/>
          <w:noProof/>
          <w:sz w:val="24"/>
        </w:rPr>
        <w:t>Internationale Grüne Woche</w:t>
      </w:r>
      <w:r>
        <w:rPr>
          <w:rFonts w:ascii="Times New Roman" w:hAnsi="Times New Roman"/>
          <w:noProof/>
          <w:sz w:val="24"/>
        </w:rPr>
        <w:t xml:space="preserve"> de la Berlin, Germania (20-29 ianuarie 2023 și 19-28 ianuarie 2024) și la </w:t>
      </w:r>
      <w:r>
        <w:rPr>
          <w:rFonts w:ascii="Times New Roman" w:hAnsi="Times New Roman"/>
          <w:i/>
          <w:noProof/>
          <w:sz w:val="24"/>
        </w:rPr>
        <w:t>Salon international de l’agriculture</w:t>
      </w:r>
      <w:r>
        <w:rPr>
          <w:rFonts w:ascii="Times New Roman" w:hAnsi="Times New Roman"/>
          <w:noProof/>
          <w:sz w:val="24"/>
        </w:rPr>
        <w:t xml:space="preserve"> de la Paris, Franța (25 februarie-5 martie 2023 și 24 februarie-3 martie 2024). Standurile s-au bucurat de popularitate, primind 2 064 de vizitatori/zi (Berlin) și 4 187 de vizitatori/zi (Paris) în 2023. În 2024, s-au înregistrat 1 253 de vizitatori/zi (Berlin) și 2 100 </w:t>
      </w:r>
      <w:bookmarkStart w:id="8" w:name="_Hlk210744361"/>
      <w:r>
        <w:rPr>
          <w:rFonts w:ascii="Times New Roman" w:hAnsi="Times New Roman"/>
          <w:noProof/>
          <w:sz w:val="24"/>
        </w:rPr>
        <w:t>de vizitatori/zi (Paris)</w:t>
      </w:r>
      <w:bookmarkEnd w:id="8"/>
      <w:r>
        <w:rPr>
          <w:rFonts w:ascii="Times New Roman" w:hAnsi="Times New Roman"/>
          <w:noProof/>
          <w:sz w:val="24"/>
        </w:rPr>
        <w:t>.</w:t>
      </w:r>
    </w:p>
    <w:p w14:paraId="37EA8505" w14:textId="6CFEC092" w:rsidR="009D1F02" w:rsidRPr="00D9745D" w:rsidRDefault="009D1F02" w:rsidP="00AD2E4E">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Ca parte a informării publicului-țintă din statele membre, Comisia a fost prezentă la târgul agricol </w:t>
      </w:r>
      <w:r>
        <w:rPr>
          <w:rFonts w:ascii="Times New Roman" w:hAnsi="Times New Roman"/>
          <w:i/>
          <w:noProof/>
          <w:sz w:val="24"/>
        </w:rPr>
        <w:t>Demo Agro 2023</w:t>
      </w:r>
      <w:r>
        <w:rPr>
          <w:rFonts w:ascii="Times New Roman" w:hAnsi="Times New Roman"/>
          <w:noProof/>
          <w:sz w:val="24"/>
        </w:rPr>
        <w:t xml:space="preserve"> din Spania în perioada 23-25 mai 2023. Noile activități desfășurate în cadrul standului s-au axat pe transmiterea de mesaje-cheie cu privire la două subiecte principale: noua politică agricolă comună (prin intermediul unor materiale vizuale modernizate și al unui concurs de întrebări și răspunsuri adaptat atât pentru adulți, cât și pentru copii) și indicațiile geografice (cu o nouă activitate care prezintă și explică sistemele de indicații geografice și încurajează vizitatorii să recunoască logo-urile DOP și IGP). S-au înregistrat 2 000 de vizitatori/zi.</w:t>
      </w:r>
    </w:p>
    <w:p w14:paraId="32F78271" w14:textId="042E8A18" w:rsidR="00AA1ED1" w:rsidRPr="00D9745D" w:rsidRDefault="00AA1ED1" w:rsidP="00AA1ED1">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În perioada 26-29 iulie 2024, Comisia a participat, de asemenea, cu un stand la târgul agricol din Libramont, Belgia. În medie, târgul a atras 1 570 de persoane/zi.</w:t>
      </w:r>
    </w:p>
    <w:p w14:paraId="0FAA1DF8" w14:textId="0874614F" w:rsidR="00AA1ED1" w:rsidRPr="00D9745D" w:rsidRDefault="00AA1ED1" w:rsidP="00AA1ED1">
      <w:pPr>
        <w:spacing w:after="120" w:line="240" w:lineRule="auto"/>
        <w:jc w:val="both"/>
        <w:rPr>
          <w:rFonts w:ascii="Times New Roman" w:eastAsia="Times New Roman" w:hAnsi="Times New Roman" w:cs="Times New Roman"/>
          <w:noProof/>
          <w:kern w:val="0"/>
          <w:sz w:val="24"/>
          <w:szCs w:val="20"/>
          <w14:ligatures w14:val="none"/>
        </w:rPr>
      </w:pPr>
      <w:r>
        <w:rPr>
          <w:rFonts w:ascii="Times New Roman" w:hAnsi="Times New Roman"/>
          <w:noProof/>
          <w:sz w:val="24"/>
        </w:rPr>
        <w:t xml:space="preserve">Atât în 2023, cât și în 2024, Comisia a participat la </w:t>
      </w:r>
      <w:r>
        <w:rPr>
          <w:rFonts w:ascii="Times New Roman" w:hAnsi="Times New Roman"/>
          <w:i/>
          <w:noProof/>
          <w:sz w:val="24"/>
        </w:rPr>
        <w:t>Ziua porților deschise a UE</w:t>
      </w:r>
      <w:r>
        <w:rPr>
          <w:rFonts w:ascii="Times New Roman" w:hAnsi="Times New Roman"/>
          <w:noProof/>
          <w:sz w:val="24"/>
        </w:rPr>
        <w:t xml:space="preserve"> de la Bruxelles, în cadrul festivităților cu ocazia zilei de 9 mai. Standul a inclus activități referitoare la noua PAC și o degustare de produse cu indicații geografice. Aproximativ 10 000 de vizitatori au participat la eveniment în 2023 și în 2024.</w:t>
      </w:r>
      <w:r>
        <w:rPr>
          <w:noProof/>
        </w:rPr>
        <w:t xml:space="preserve"> </w:t>
      </w:r>
    </w:p>
    <w:p w14:paraId="3425B5BA" w14:textId="0ED8DC26" w:rsidR="009D1F02" w:rsidRPr="00D9745D" w:rsidRDefault="009D1F02" w:rsidP="00127381">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Cea de a doua și cea de a treia </w:t>
      </w:r>
      <w:r>
        <w:rPr>
          <w:rFonts w:ascii="Times New Roman" w:hAnsi="Times New Roman"/>
          <w:i/>
          <w:noProof/>
          <w:sz w:val="24"/>
        </w:rPr>
        <w:t>ceremonie de decernare a Premiilor europene pentru producția ecologică</w:t>
      </w:r>
      <w:r>
        <w:rPr>
          <w:rFonts w:ascii="Times New Roman" w:hAnsi="Times New Roman"/>
          <w:noProof/>
          <w:sz w:val="24"/>
        </w:rPr>
        <w:t xml:space="preserve"> au avut loc la Bruxelles la 25 septembrie 2023 (în prezența a 125 de participanți la fața locului și a 970 de participanți online, cu o rată de satisfacție de 80 %), respectiv la 23 septembrie 2024 (în prezența a 123 de participanți la fața locului și a 970 de participanți online), imediat după Ziua europeană a producției ecologice. </w:t>
      </w:r>
      <w:r>
        <w:rPr>
          <w:rFonts w:ascii="Times New Roman" w:hAnsi="Times New Roman"/>
          <w:noProof/>
          <w:color w:val="404040"/>
          <w:sz w:val="24"/>
        </w:rPr>
        <w:t xml:space="preserve">Premiile europene pentru producția ecologică recunosc excelența în cadrul lanțului valoric ecologic. Acestea cuprind 7 categorii și 8 premii individuale. Ceremonia de decernare a premiilor </w:t>
      </w:r>
      <w:r>
        <w:rPr>
          <w:rFonts w:ascii="Times New Roman" w:hAnsi="Times New Roman"/>
          <w:noProof/>
          <w:sz w:val="24"/>
        </w:rPr>
        <w:t xml:space="preserve">a fost deschisă de comisarul </w:t>
      </w:r>
      <w:r>
        <w:rPr>
          <w:rFonts w:ascii="Times New Roman" w:hAnsi="Times New Roman"/>
          <w:noProof/>
          <w:color w:val="404040"/>
          <w:sz w:val="24"/>
        </w:rPr>
        <w:t>pentru agricultură</w:t>
      </w:r>
      <w:r>
        <w:rPr>
          <w:rFonts w:ascii="Times New Roman" w:hAnsi="Times New Roman"/>
          <w:noProof/>
          <w:sz w:val="24"/>
        </w:rPr>
        <w:t>. În 2023, un episod al podcastului „Food for Europe” a fost dedicat premiilor UE în domeniul agriculturii ecologice, în cadrul căruia diverși vorbitori au analizat multe dintre aspectele legate de producția și consumul de produse ecologice (</w:t>
      </w:r>
      <w:hyperlink r:id="rId25" w:history="1">
        <w:r>
          <w:rPr>
            <w:rFonts w:ascii="Times New Roman" w:hAnsi="Times New Roman"/>
            <w:noProof/>
            <w:color w:val="0000FF"/>
            <w:sz w:val="24"/>
            <w:u w:val="single"/>
          </w:rPr>
          <w:t>14.</w:t>
        </w:r>
      </w:hyperlink>
      <w:hyperlink r:id="rId26" w:history="1">
        <w:r>
          <w:rPr>
            <w:rFonts w:ascii="Times New Roman" w:hAnsi="Times New Roman"/>
            <w:noProof/>
            <w:color w:val="0000FF"/>
            <w:sz w:val="24"/>
            <w:u w:val="single"/>
          </w:rPr>
          <w:t xml:space="preserve"> #Organic:</w:t>
        </w:r>
      </w:hyperlink>
      <w:hyperlink r:id="rId27" w:history="1">
        <w:r>
          <w:rPr>
            <w:rFonts w:ascii="Times New Roman" w:hAnsi="Times New Roman"/>
            <w:noProof/>
            <w:color w:val="0000FF"/>
            <w:sz w:val="24"/>
            <w:u w:val="single"/>
          </w:rPr>
          <w:t xml:space="preserve"> EU Organic Awards by Food for Europe</w:t>
        </w:r>
      </w:hyperlink>
      <w:r>
        <w:rPr>
          <w:rFonts w:ascii="Times New Roman" w:hAnsi="Times New Roman"/>
          <w:noProof/>
          <w:sz w:val="24"/>
        </w:rPr>
        <w:t>).</w:t>
      </w:r>
    </w:p>
    <w:p w14:paraId="0F25CA01" w14:textId="77777777" w:rsidR="0053294C" w:rsidRPr="00D9745D" w:rsidRDefault="0053294C" w:rsidP="0053294C">
      <w:pPr>
        <w:pStyle w:val="Style3"/>
        <w:rPr>
          <w:rStyle w:val="super"/>
        </w:rPr>
      </w:pPr>
      <w:r>
        <w:rPr>
          <w:rStyle w:val="super"/>
        </w:rPr>
        <w:t>Publicații</w:t>
      </w:r>
    </w:p>
    <w:p w14:paraId="29BA4E69" w14:textId="77777777" w:rsidR="00687C66" w:rsidRPr="00D9745D" w:rsidRDefault="0053294C" w:rsidP="0053294C">
      <w:pPr>
        <w:pStyle w:val="Style3"/>
        <w:rPr>
          <w:rStyle w:val="super"/>
          <w:b w:val="0"/>
          <w:bCs/>
        </w:rPr>
      </w:pPr>
      <w:r>
        <w:rPr>
          <w:rStyle w:val="super"/>
          <w:b w:val="0"/>
        </w:rPr>
        <w:t>Ca și înainte, s-a pus în continuare accentul pe elaborarea publicațiilor mai ales în formate electronice. A fost asigurat un volum limitat de publicații-cheie pe suport de hârtie, în principal pentru a fi distribuite în timpul evenimentelor, în cadrul unor conferințe și de către rețelele UE, de exemplu prin intermediul centrelor Europe Direct și al reprezentanțelor.</w:t>
      </w:r>
    </w:p>
    <w:p w14:paraId="13494054" w14:textId="73C5DC14" w:rsidR="00127381" w:rsidRPr="00D9745D" w:rsidRDefault="00127381" w:rsidP="0053294C">
      <w:pPr>
        <w:pStyle w:val="Style3"/>
        <w:rPr>
          <w:rStyle w:val="super"/>
          <w:b w:val="0"/>
          <w:bCs/>
        </w:rPr>
      </w:pPr>
      <w:r>
        <w:rPr>
          <w:rStyle w:val="super"/>
          <w:b w:val="0"/>
        </w:rPr>
        <w:t xml:space="preserve">În 2022, a început elaborarea unui set de instrumente privind indicațiile geografice (faza conceptuală), menit să încurajeze producătorii din statele membre să înregistreze o IG. Comisia a continuat să elaboreze la nivel intern o serie de fișe informative, infografice și publicații pentru a răspunde diferitelor nevoi exprimate de unitățile direcției generale. Pe parcursul anilor 2023 și 2024, etapa de producție a materialelor video explicative care prezintă modul de înregistrare a unei IG a avansat, iar producția celor 5 materiale video cu mărturii ale producătorilor de IG și a materialului video privind IG destinat consumatorilor a fost finalizată. </w:t>
      </w:r>
    </w:p>
    <w:p w14:paraId="59E0E17F" w14:textId="77777777" w:rsidR="0053294C" w:rsidRPr="00D9745D" w:rsidRDefault="0053294C" w:rsidP="0053294C">
      <w:pPr>
        <w:pStyle w:val="Style3"/>
        <w:rPr>
          <w:rStyle w:val="super"/>
        </w:rPr>
      </w:pPr>
      <w:r>
        <w:rPr>
          <w:rStyle w:val="super"/>
        </w:rPr>
        <w:t>Sondajul Eurobarometru</w:t>
      </w:r>
    </w:p>
    <w:p w14:paraId="224173DA" w14:textId="196D7D5C" w:rsidR="00687C66" w:rsidRPr="00D9745D" w:rsidRDefault="00687C66" w:rsidP="00687C66">
      <w:pPr>
        <w:autoSpaceDE w:val="0"/>
        <w:autoSpaceDN w:val="0"/>
        <w:adjustRightInd w:val="0"/>
        <w:spacing w:before="120" w:after="120"/>
        <w:jc w:val="both"/>
        <w:rPr>
          <w:rStyle w:val="super"/>
          <w:rFonts w:ascii="Times New Roman" w:hAnsi="Times New Roman" w:cs="Times New Roman"/>
          <w:bCs/>
          <w:noProof/>
          <w:sz w:val="24"/>
          <w:szCs w:val="24"/>
        </w:rPr>
      </w:pPr>
      <w:bookmarkStart w:id="9" w:name="_Toc274037488"/>
      <w:bookmarkStart w:id="10" w:name="_Toc306201868"/>
      <w:bookmarkStart w:id="11" w:name="_Toc342402620"/>
      <w:bookmarkStart w:id="12" w:name="_Toc371601674"/>
      <w:bookmarkStart w:id="13" w:name="_Toc406681594"/>
      <w:bookmarkStart w:id="14" w:name="_Toc439688434"/>
      <w:bookmarkStart w:id="15" w:name="_Toc485889813"/>
      <w:bookmarkStart w:id="16" w:name="_Toc511665470"/>
      <w:bookmarkStart w:id="17" w:name="_Toc98143371"/>
      <w:r>
        <w:rPr>
          <w:rStyle w:val="super"/>
          <w:rFonts w:ascii="Times New Roman" w:hAnsi="Times New Roman"/>
          <w:noProof/>
          <w:sz w:val="24"/>
        </w:rPr>
        <w:t xml:space="preserve">În iunie și iulie 2024, un sondaj special Eurobarometru 556 privind </w:t>
      </w:r>
      <w:r>
        <w:rPr>
          <w:rFonts w:ascii="Times New Roman" w:hAnsi="Times New Roman"/>
          <w:noProof/>
          <w:sz w:val="24"/>
        </w:rPr>
        <w:t>„</w:t>
      </w:r>
      <w:hyperlink r:id="rId28" w:history="1">
        <w:r>
          <w:rPr>
            <w:rFonts w:ascii="Times New Roman" w:hAnsi="Times New Roman"/>
            <w:noProof/>
            <w:color w:val="0000FF"/>
            <w:sz w:val="24"/>
            <w:u w:val="single"/>
          </w:rPr>
          <w:t>Europenii, agricultura și PAC</w:t>
        </w:r>
      </w:hyperlink>
      <w:r>
        <w:rPr>
          <w:rFonts w:ascii="Times New Roman" w:hAnsi="Times New Roman"/>
          <w:noProof/>
          <w:sz w:val="24"/>
        </w:rPr>
        <w:t>”</w:t>
      </w:r>
      <w:r>
        <w:rPr>
          <w:rStyle w:val="super"/>
          <w:rFonts w:ascii="Times New Roman" w:hAnsi="Times New Roman"/>
          <w:noProof/>
          <w:sz w:val="24"/>
        </w:rPr>
        <w:t xml:space="preserve"> a fost realizat pe teren și publicat în ianuarie 2025. De peste 15 ani (din 2007), Comisia sondează de două ori pe an opinia cetățenilor europeni cu privire la agricultură, în general, și la PAC, în special. Acest sondaj contribuie la o mai bună direcționare a acțiunilor de comunicare ale Comisiei în legătură cu PAC. În plus, acesta furnizează date pentru evaluarea strategiei de comunicare externă și contribuie la pregătirea următoarei strategii. </w:t>
      </w:r>
    </w:p>
    <w:p w14:paraId="445DFD78" w14:textId="76481A1D" w:rsidR="00687C66" w:rsidRPr="00D9745D" w:rsidRDefault="00687C66" w:rsidP="00687C66">
      <w:pPr>
        <w:autoSpaceDE w:val="0"/>
        <w:autoSpaceDN w:val="0"/>
        <w:adjustRightInd w:val="0"/>
        <w:spacing w:before="120" w:after="120"/>
        <w:jc w:val="both"/>
        <w:rPr>
          <w:rStyle w:val="super"/>
          <w:rFonts w:ascii="Times New Roman" w:hAnsi="Times New Roman" w:cs="Times New Roman"/>
          <w:bCs/>
          <w:noProof/>
          <w:sz w:val="24"/>
          <w:szCs w:val="24"/>
        </w:rPr>
      </w:pPr>
      <w:r>
        <w:rPr>
          <w:rStyle w:val="super"/>
          <w:rFonts w:ascii="Times New Roman" w:hAnsi="Times New Roman"/>
          <w:noProof/>
          <w:sz w:val="24"/>
        </w:rPr>
        <w:t>78 % dintre respondenții la sondajul Eurobarometru din 2024 dețineau cunoștințe despre politica agricolă comună a UE, reprezentând cel mai înalt nivel de sensibilizare a publicului cu privire la PAC din 2007, când nivelul de conștientizare a fost de 64 %.</w:t>
      </w:r>
    </w:p>
    <w:bookmarkEnd w:id="9"/>
    <w:bookmarkEnd w:id="10"/>
    <w:bookmarkEnd w:id="11"/>
    <w:bookmarkEnd w:id="12"/>
    <w:bookmarkEnd w:id="13"/>
    <w:bookmarkEnd w:id="14"/>
    <w:bookmarkEnd w:id="15"/>
    <w:bookmarkEnd w:id="16"/>
    <w:bookmarkEnd w:id="17"/>
    <w:p w14:paraId="4DF6C4F1" w14:textId="77777777" w:rsidR="0053294C" w:rsidRPr="00D9745D" w:rsidRDefault="0053294C" w:rsidP="0053294C">
      <w:pPr>
        <w:pStyle w:val="Style2"/>
        <w:numPr>
          <w:ilvl w:val="0"/>
          <w:numId w:val="7"/>
        </w:numPr>
        <w:spacing w:before="120" w:after="120"/>
      </w:pPr>
      <w:r>
        <w:t>Comunicare instituțională</w:t>
      </w:r>
    </w:p>
    <w:p w14:paraId="72740F69" w14:textId="16330D7A" w:rsidR="00A04E38" w:rsidRPr="00D9745D" w:rsidRDefault="00A04E38" w:rsidP="0053294C">
      <w:pPr>
        <w:autoSpaceDE w:val="0"/>
        <w:autoSpaceDN w:val="0"/>
        <w:adjustRightInd w:val="0"/>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Comunicarea instituțională joacă un rol esențial în implicarea cetățenilor europeni și în îmbunătățirea înțelegerii de către aceștia a valorilor, priorităților politice și politicilor UE. Această abordare este esențială pentru construirea și menținerea unei imagini pozitive a UE în rândul unui public divers din întreaga UE. Prin combinarea mesajelor specifice sectoarelor cu o strategie de comunicare mai amplă și unificată, Comisia asigură un maximum de eficacitate și eficiență din punctul de vedere al costurilor prin intermediul unei comunicări strategice, coerente și multilingve.</w:t>
      </w:r>
    </w:p>
    <w:p w14:paraId="47F56FA5" w14:textId="487E34A0" w:rsidR="00A04E38" w:rsidRPr="00D9745D" w:rsidRDefault="00A04E38" w:rsidP="0053294C">
      <w:pPr>
        <w:autoSpaceDE w:val="0"/>
        <w:autoSpaceDN w:val="0"/>
        <w:adjustRightInd w:val="0"/>
        <w:spacing w:before="120" w:after="120"/>
        <w:jc w:val="both"/>
        <w:rPr>
          <w:rStyle w:val="super"/>
          <w:rFonts w:ascii="Times New Roman" w:hAnsi="Times New Roman" w:cs="Times New Roman"/>
          <w:noProof/>
          <w:sz w:val="24"/>
          <w:szCs w:val="24"/>
        </w:rPr>
      </w:pPr>
      <w:r>
        <w:rPr>
          <w:rStyle w:val="super"/>
          <w:rFonts w:ascii="Times New Roman" w:hAnsi="Times New Roman"/>
          <w:noProof/>
          <w:sz w:val="24"/>
        </w:rPr>
        <w:t xml:space="preserve">Campania de comunicare privind </w:t>
      </w:r>
      <w:r>
        <w:rPr>
          <w:rStyle w:val="super"/>
          <w:rFonts w:ascii="Times New Roman" w:hAnsi="Times New Roman"/>
          <w:i/>
          <w:noProof/>
          <w:sz w:val="24"/>
        </w:rPr>
        <w:t>NextGenEU</w:t>
      </w:r>
      <w:r>
        <w:rPr>
          <w:rStyle w:val="super"/>
          <w:rFonts w:ascii="Times New Roman" w:hAnsi="Times New Roman"/>
          <w:noProof/>
          <w:sz w:val="24"/>
        </w:rPr>
        <w:t xml:space="preserve"> a fost lansată în 2021 pentru a prezenta modul în care UE modelează o Europă mai sănătoasă, mai verde și mai digitală. Deși inițial a vizat un public larg, campania a evoluat pentru a se concentra asupra sectorului de afaceri, evidențiind oportunitățile de investiții în tehnologii curate. În 2024, campania s-a reorientat către o implicare mai mare la nivel local, adresându-se direct cetățenilor și demonstrând efectele tangibile asupra vieții lor de zi cu zi. Anumite aspecte importante ale campaniilor au reflectat angajamentul UE față de dezvoltarea agricolă și rurală, în strânsă concordanță cu obiectivele PAC.</w:t>
      </w:r>
    </w:p>
    <w:p w14:paraId="5076933C" w14:textId="5368522B" w:rsidR="00A04E38" w:rsidRPr="00D9745D" w:rsidRDefault="00A04E38" w:rsidP="00FB366A">
      <w:pPr>
        <w:autoSpaceDE w:val="0"/>
        <w:autoSpaceDN w:val="0"/>
        <w:adjustRightInd w:val="0"/>
        <w:spacing w:before="120" w:after="120"/>
        <w:jc w:val="both"/>
        <w:rPr>
          <w:rFonts w:ascii="Times New Roman" w:hAnsi="Times New Roman" w:cs="Times New Roman"/>
          <w:noProof/>
          <w:sz w:val="24"/>
          <w:szCs w:val="24"/>
        </w:rPr>
      </w:pPr>
      <w:r>
        <w:rPr>
          <w:rFonts w:ascii="Times New Roman" w:hAnsi="Times New Roman"/>
          <w:noProof/>
          <w:sz w:val="24"/>
        </w:rPr>
        <w:t xml:space="preserve">În ianuarie 2024, DG COMM a încheiat campania </w:t>
      </w:r>
      <w:r>
        <w:rPr>
          <w:rFonts w:ascii="Times New Roman" w:hAnsi="Times New Roman"/>
          <w:i/>
          <w:noProof/>
          <w:sz w:val="24"/>
        </w:rPr>
        <w:t>You are EU</w:t>
      </w:r>
      <w:r>
        <w:rPr>
          <w:rFonts w:ascii="Times New Roman" w:hAnsi="Times New Roman"/>
          <w:noProof/>
          <w:sz w:val="24"/>
        </w:rPr>
        <w:t>, care a făcut legătura între tranziția energetică și valorile fundamentale ale UE. Această campanie a completat eforturile naționale de economisire a energiei</w:t>
      </w:r>
      <w:r>
        <w:rPr>
          <w:noProof/>
        </w:rPr>
        <w:t xml:space="preserve"> </w:t>
      </w:r>
      <w:r>
        <w:rPr>
          <w:rFonts w:ascii="Times New Roman" w:hAnsi="Times New Roman"/>
          <w:noProof/>
          <w:sz w:val="24"/>
        </w:rPr>
        <w:t>și a avut un impact deosebit în zonele rurale. Folosind o combinație de mijloace media tradiționale (panouri publicitare, radio) și platforme digitale, campania a ajuns la aproximativ 350 de milioane de europeni cu vârsta de cel puțin 15 ani.</w:t>
      </w:r>
    </w:p>
    <w:p w14:paraId="6BF4C5FC" w14:textId="6C61484C" w:rsidR="009D32D5" w:rsidRPr="00D9745D" w:rsidRDefault="00A04E38" w:rsidP="009B08F9">
      <w:pPr>
        <w:autoSpaceDE w:val="0"/>
        <w:autoSpaceDN w:val="0"/>
        <w:adjustRightInd w:val="0"/>
        <w:spacing w:before="120" w:after="120"/>
        <w:jc w:val="both"/>
        <w:rPr>
          <w:rStyle w:val="super"/>
          <w:rFonts w:ascii="Times New Roman" w:hAnsi="Times New Roman" w:cs="Times New Roman"/>
          <w:noProof/>
          <w:sz w:val="24"/>
          <w:szCs w:val="24"/>
        </w:rPr>
      </w:pPr>
      <w:r>
        <w:rPr>
          <w:rFonts w:ascii="Times New Roman" w:hAnsi="Times New Roman"/>
          <w:noProof/>
          <w:sz w:val="24"/>
        </w:rPr>
        <w:t xml:space="preserve">Mesajele </w:t>
      </w:r>
      <w:r>
        <w:rPr>
          <w:rFonts w:ascii="Times New Roman" w:hAnsi="Times New Roman"/>
          <w:i/>
          <w:noProof/>
          <w:sz w:val="24"/>
        </w:rPr>
        <w:t>NextGenEU</w:t>
      </w:r>
      <w:r>
        <w:rPr>
          <w:rFonts w:ascii="Times New Roman" w:hAnsi="Times New Roman"/>
          <w:noProof/>
          <w:sz w:val="24"/>
        </w:rPr>
        <w:t xml:space="preserve"> și </w:t>
      </w:r>
      <w:r>
        <w:rPr>
          <w:rFonts w:ascii="Times New Roman" w:hAnsi="Times New Roman"/>
          <w:i/>
          <w:noProof/>
          <w:sz w:val="24"/>
        </w:rPr>
        <w:t>You are EU</w:t>
      </w:r>
      <w:r>
        <w:rPr>
          <w:rFonts w:ascii="Times New Roman" w:hAnsi="Times New Roman"/>
          <w:noProof/>
          <w:sz w:val="24"/>
        </w:rPr>
        <w:t xml:space="preserve"> au legătură cu obiectivele PAC. Promovarea tranziției verzi și digitale nu numai că servește obiectivelor economice și de mediu, ci și consolidează misiunea PAC de a sprijini agricultura durabilă, de a proteja resursele naturale și de a îndeplini angajamentele UE în materie de climă și biodiversitate, inclusiv cele asumate în temeiul Acordului de la Paris.</w:t>
      </w:r>
      <w:r>
        <w:rPr>
          <w:rStyle w:val="super"/>
          <w:rFonts w:ascii="Times New Roman" w:hAnsi="Times New Roman"/>
          <w:noProof/>
          <w:sz w:val="24"/>
        </w:rPr>
        <w:t xml:space="preserve"> </w:t>
      </w:r>
    </w:p>
    <w:p w14:paraId="24CFFAD1" w14:textId="77777777" w:rsidR="0053294C" w:rsidRPr="00D9745D" w:rsidRDefault="0053294C" w:rsidP="0053294C">
      <w:pPr>
        <w:pStyle w:val="Style1"/>
        <w:numPr>
          <w:ilvl w:val="0"/>
          <w:numId w:val="4"/>
        </w:numPr>
        <w:spacing w:before="120"/>
        <w:ind w:left="714" w:hanging="357"/>
        <w:outlineLvl w:val="9"/>
      </w:pPr>
      <w:bookmarkStart w:id="18" w:name="_Toc478655577"/>
      <w:bookmarkStart w:id="19" w:name="_Toc478656307"/>
      <w:r>
        <w:t>REPARTIZAREA CHELTUIELILOR (ANGAJAMENTE ȘI PLĂȚI) ÎNTRE ACȚIUNILE COFINANȚATE LA INIȚIATIVA TERȚILOR (GRANTURI) ȘI ACȚIUNILE DE INFORMARE LA INIȚIATIVA COMISIEI (ACHIZIȚII PUBLICE)</w:t>
      </w:r>
      <w:r>
        <w:rPr>
          <w:rStyle w:val="FootnoteReference"/>
        </w:rPr>
        <w:footnoteReference w:id="12"/>
      </w:r>
      <w:r>
        <w:t xml:space="preserve"> </w:t>
      </w:r>
      <w:bookmarkEnd w:id="18"/>
      <w:bookmarkEnd w:id="19"/>
    </w:p>
    <w:tbl>
      <w:tblPr>
        <w:tblpPr w:leftFromText="180" w:rightFromText="180" w:vertAnchor="text" w:horzAnchor="margin" w:tblpY="97"/>
        <w:tblW w:w="9753" w:type="dxa"/>
        <w:shd w:val="clear" w:color="auto" w:fill="FFFFFF" w:themeFill="background1"/>
        <w:tblLayout w:type="fixed"/>
        <w:tblLook w:val="04A0" w:firstRow="1" w:lastRow="0" w:firstColumn="1" w:lastColumn="0" w:noHBand="0" w:noVBand="1"/>
      </w:tblPr>
      <w:tblGrid>
        <w:gridCol w:w="1668"/>
        <w:gridCol w:w="1260"/>
        <w:gridCol w:w="1485"/>
        <w:gridCol w:w="1305"/>
        <w:gridCol w:w="1275"/>
        <w:gridCol w:w="1372"/>
        <w:gridCol w:w="1388"/>
      </w:tblGrid>
      <w:tr w:rsidR="00BB7588" w:rsidRPr="00D9745D" w14:paraId="2DE0BBCE" w14:textId="77777777" w:rsidTr="00BE0E0C">
        <w:trPr>
          <w:trHeight w:val="300"/>
        </w:trPr>
        <w:tc>
          <w:tcPr>
            <w:tcW w:w="1668" w:type="dxa"/>
            <w:tcBorders>
              <w:top w:val="nil"/>
              <w:left w:val="nil"/>
              <w:bottom w:val="nil"/>
              <w:right w:val="nil"/>
            </w:tcBorders>
            <w:shd w:val="clear" w:color="auto" w:fill="FFFFFF" w:themeFill="background1"/>
            <w:vAlign w:val="center"/>
            <w:hideMark/>
          </w:tcPr>
          <w:p w14:paraId="5AC4028E" w14:textId="77777777" w:rsidR="00BB7588" w:rsidRPr="00D9745D" w:rsidRDefault="00BB7588" w:rsidP="00BB7588">
            <w:pPr>
              <w:spacing w:before="120"/>
              <w:jc w:val="center"/>
              <w:rPr>
                <w:rFonts w:ascii="Times New Roman" w:eastAsia="Times New Roman" w:hAnsi="Times New Roman" w:cs="Times New Roman"/>
                <w:noProof/>
                <w:color w:val="000000"/>
                <w:lang w:eastAsia="en-IE"/>
              </w:rPr>
            </w:pPr>
          </w:p>
        </w:tc>
        <w:tc>
          <w:tcPr>
            <w:tcW w:w="405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A2E578"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b/>
                <w:noProof/>
                <w:color w:val="000000"/>
              </w:rPr>
              <w:t>2023</w:t>
            </w:r>
          </w:p>
        </w:tc>
        <w:tc>
          <w:tcPr>
            <w:tcW w:w="4035"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0049E4F2"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b/>
                <w:noProof/>
                <w:color w:val="000000"/>
              </w:rPr>
              <w:t>2024</w:t>
            </w:r>
          </w:p>
        </w:tc>
      </w:tr>
      <w:tr w:rsidR="00BB7588" w:rsidRPr="00D9745D" w14:paraId="08517276" w14:textId="77777777" w:rsidTr="00BE0E0C">
        <w:trPr>
          <w:trHeight w:val="810"/>
        </w:trPr>
        <w:tc>
          <w:tcPr>
            <w:tcW w:w="1668" w:type="dxa"/>
            <w:tcBorders>
              <w:top w:val="nil"/>
              <w:left w:val="nil"/>
              <w:bottom w:val="nil"/>
              <w:right w:val="nil"/>
            </w:tcBorders>
            <w:shd w:val="clear" w:color="auto" w:fill="FFFFFF" w:themeFill="background1"/>
            <w:vAlign w:val="center"/>
            <w:hideMark/>
          </w:tcPr>
          <w:p w14:paraId="2191A7E7" w14:textId="77777777" w:rsidR="00BB7588" w:rsidRPr="00D9745D" w:rsidRDefault="00BB7588" w:rsidP="00BB7588">
            <w:pPr>
              <w:spacing w:before="120"/>
              <w:jc w:val="center"/>
              <w:rPr>
                <w:rFonts w:ascii="Times New Roman" w:eastAsia="Times New Roman" w:hAnsi="Times New Roman" w:cs="Times New Roman"/>
                <w:i/>
                <w:iCs/>
                <w:noProof/>
                <w:color w:val="000000"/>
              </w:rPr>
            </w:pPr>
            <w:r>
              <w:rPr>
                <w:rFonts w:ascii="Times New Roman" w:hAnsi="Times New Roman"/>
                <w:i/>
                <w:noProof/>
                <w:color w:val="000000" w:themeColor="text1"/>
              </w:rPr>
              <w:t>Sume în EUR</w:t>
            </w:r>
          </w:p>
        </w:tc>
        <w:tc>
          <w:tcPr>
            <w:tcW w:w="126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BE31784"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Granturi</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020A118D"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Achiziții publice</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57500598"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Total</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33F37AFA"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Granturi</w:t>
            </w:r>
          </w:p>
        </w:tc>
        <w:tc>
          <w:tcPr>
            <w:tcW w:w="1372" w:type="dxa"/>
            <w:tcBorders>
              <w:top w:val="nil"/>
              <w:left w:val="nil"/>
              <w:bottom w:val="single" w:sz="4" w:space="0" w:color="auto"/>
              <w:right w:val="single" w:sz="4" w:space="0" w:color="auto"/>
            </w:tcBorders>
            <w:shd w:val="clear" w:color="auto" w:fill="FFFFFF" w:themeFill="background1"/>
            <w:vAlign w:val="center"/>
            <w:hideMark/>
          </w:tcPr>
          <w:p w14:paraId="1EC1A2BD"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Achiziții publice</w:t>
            </w:r>
          </w:p>
        </w:tc>
        <w:tc>
          <w:tcPr>
            <w:tcW w:w="1388" w:type="dxa"/>
            <w:tcBorders>
              <w:top w:val="nil"/>
              <w:left w:val="nil"/>
              <w:bottom w:val="single" w:sz="4" w:space="0" w:color="auto"/>
              <w:right w:val="single" w:sz="4" w:space="0" w:color="auto"/>
            </w:tcBorders>
            <w:shd w:val="clear" w:color="auto" w:fill="FFFFFF" w:themeFill="background1"/>
            <w:vAlign w:val="center"/>
            <w:hideMark/>
          </w:tcPr>
          <w:p w14:paraId="058CDEF1"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Total</w:t>
            </w:r>
          </w:p>
        </w:tc>
      </w:tr>
      <w:tr w:rsidR="00BB7588" w:rsidRPr="00D9745D" w14:paraId="5200C629" w14:textId="77777777" w:rsidTr="00BE0E0C">
        <w:trPr>
          <w:trHeight w:val="435"/>
        </w:trPr>
        <w:tc>
          <w:tcPr>
            <w:tcW w:w="16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A0C11B"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b/>
                <w:noProof/>
                <w:color w:val="000000"/>
              </w:rPr>
              <w:t>Buget efectiv</w:t>
            </w:r>
          </w:p>
        </w:tc>
        <w:tc>
          <w:tcPr>
            <w:tcW w:w="1260" w:type="dxa"/>
            <w:tcBorders>
              <w:top w:val="nil"/>
              <w:left w:val="nil"/>
              <w:bottom w:val="single" w:sz="4" w:space="0" w:color="auto"/>
              <w:right w:val="single" w:sz="4" w:space="0" w:color="auto"/>
            </w:tcBorders>
            <w:shd w:val="clear" w:color="auto" w:fill="FFFFFF" w:themeFill="background1"/>
            <w:vAlign w:val="center"/>
            <w:hideMark/>
          </w:tcPr>
          <w:p w14:paraId="2D1CF10A"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4 042 650</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4A57EA5E"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17 827 446</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29C6FAE8"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21 870 096</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51945931"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4 923 731</w:t>
            </w:r>
          </w:p>
        </w:tc>
        <w:tc>
          <w:tcPr>
            <w:tcW w:w="1372" w:type="dxa"/>
            <w:tcBorders>
              <w:top w:val="nil"/>
              <w:left w:val="nil"/>
              <w:bottom w:val="nil"/>
              <w:right w:val="single" w:sz="4" w:space="0" w:color="auto"/>
            </w:tcBorders>
            <w:shd w:val="clear" w:color="auto" w:fill="FFFFFF" w:themeFill="background1"/>
            <w:vAlign w:val="center"/>
            <w:hideMark/>
          </w:tcPr>
          <w:p w14:paraId="432E8E82"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41 099 239</w:t>
            </w:r>
          </w:p>
        </w:tc>
        <w:tc>
          <w:tcPr>
            <w:tcW w:w="1388" w:type="dxa"/>
            <w:tcBorders>
              <w:top w:val="nil"/>
              <w:left w:val="nil"/>
              <w:bottom w:val="nil"/>
              <w:right w:val="single" w:sz="4" w:space="0" w:color="auto"/>
            </w:tcBorders>
            <w:shd w:val="clear" w:color="auto" w:fill="FFFFFF" w:themeFill="background1"/>
            <w:vAlign w:val="center"/>
            <w:hideMark/>
          </w:tcPr>
          <w:p w14:paraId="6C1DE5AB"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46 022 969</w:t>
            </w:r>
          </w:p>
        </w:tc>
      </w:tr>
      <w:tr w:rsidR="00BB7588" w:rsidRPr="00D9745D" w14:paraId="6243A213" w14:textId="77777777" w:rsidTr="00BE0E0C">
        <w:trPr>
          <w:trHeight w:val="1095"/>
        </w:trPr>
        <w:tc>
          <w:tcPr>
            <w:tcW w:w="16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02BEE23F"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b/>
                <w:noProof/>
                <w:color w:val="000000"/>
              </w:rPr>
              <w:t>Angajamente+</w:t>
            </w:r>
            <w:r>
              <w:rPr>
                <w:noProof/>
              </w:rPr>
              <w:t xml:space="preserve"> </w:t>
            </w:r>
            <w:r>
              <w:rPr>
                <w:noProof/>
              </w:rPr>
              <w:br/>
            </w:r>
            <w:r>
              <w:rPr>
                <w:rFonts w:ascii="Times New Roman" w:hAnsi="Times New Roman"/>
                <w:b/>
                <w:noProof/>
                <w:color w:val="000000"/>
              </w:rPr>
              <w:t>co-delegare (*)</w:t>
            </w:r>
          </w:p>
        </w:tc>
        <w:tc>
          <w:tcPr>
            <w:tcW w:w="126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FFA4C12"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4 042 650</w:t>
            </w:r>
          </w:p>
        </w:tc>
        <w:tc>
          <w:tcPr>
            <w:tcW w:w="1485" w:type="dxa"/>
            <w:tcBorders>
              <w:top w:val="nil"/>
              <w:left w:val="single" w:sz="4" w:space="0" w:color="auto"/>
              <w:bottom w:val="single" w:sz="4" w:space="0" w:color="auto"/>
              <w:right w:val="single" w:sz="4" w:space="0" w:color="auto"/>
            </w:tcBorders>
            <w:shd w:val="clear" w:color="auto" w:fill="FFFFFF" w:themeFill="background1"/>
            <w:vAlign w:val="center"/>
            <w:hideMark/>
          </w:tcPr>
          <w:p w14:paraId="70454FCA" w14:textId="77777777" w:rsidR="00BB7588" w:rsidRPr="00D9745D" w:rsidRDefault="00BB7588" w:rsidP="00BB7588">
            <w:pPr>
              <w:spacing w:before="120"/>
              <w:jc w:val="center"/>
              <w:rPr>
                <w:rFonts w:ascii="Times New Roman" w:eastAsia="Times New Roman" w:hAnsi="Times New Roman" w:cs="Times New Roman"/>
                <w:noProof/>
                <w:color w:val="000000"/>
              </w:rPr>
            </w:pPr>
            <w:r>
              <w:rPr>
                <w:rFonts w:ascii="Times New Roman" w:hAnsi="Times New Roman"/>
                <w:noProof/>
                <w:color w:val="000000"/>
              </w:rPr>
              <w:t>17 825 319</w:t>
            </w:r>
          </w:p>
        </w:tc>
        <w:tc>
          <w:tcPr>
            <w:tcW w:w="1305" w:type="dxa"/>
            <w:tcBorders>
              <w:top w:val="nil"/>
              <w:left w:val="single" w:sz="4" w:space="0" w:color="auto"/>
              <w:bottom w:val="single" w:sz="4" w:space="0" w:color="auto"/>
              <w:right w:val="single" w:sz="4" w:space="0" w:color="auto"/>
            </w:tcBorders>
            <w:shd w:val="clear" w:color="auto" w:fill="FFFFFF" w:themeFill="background1"/>
            <w:vAlign w:val="center"/>
            <w:hideMark/>
          </w:tcPr>
          <w:p w14:paraId="2E12F5E4" w14:textId="77777777" w:rsidR="00BB7588" w:rsidRPr="00D9745D" w:rsidRDefault="00BB7588" w:rsidP="00BB7588">
            <w:pPr>
              <w:spacing w:before="120"/>
              <w:jc w:val="center"/>
              <w:rPr>
                <w:rFonts w:ascii="Times New Roman" w:eastAsia="Times New Roman" w:hAnsi="Times New Roman" w:cs="Times New Roman"/>
                <w:b/>
                <w:bCs/>
                <w:noProof/>
              </w:rPr>
            </w:pPr>
            <w:r>
              <w:rPr>
                <w:rFonts w:ascii="Times New Roman" w:hAnsi="Times New Roman"/>
                <w:noProof/>
                <w:color w:val="000000"/>
              </w:rPr>
              <w:t>21 867 969</w:t>
            </w:r>
          </w:p>
        </w:tc>
        <w:tc>
          <w:tcPr>
            <w:tcW w:w="1275" w:type="dxa"/>
            <w:tcBorders>
              <w:top w:val="nil"/>
              <w:left w:val="single" w:sz="4" w:space="0" w:color="auto"/>
              <w:bottom w:val="single" w:sz="4" w:space="0" w:color="auto"/>
              <w:right w:val="nil"/>
            </w:tcBorders>
            <w:shd w:val="clear" w:color="auto" w:fill="FFFFFF" w:themeFill="background1"/>
            <w:vAlign w:val="center"/>
            <w:hideMark/>
          </w:tcPr>
          <w:p w14:paraId="286FE8E5"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color w:val="000000"/>
              </w:rPr>
              <w:t>4 923 731</w:t>
            </w:r>
          </w:p>
        </w:tc>
        <w:tc>
          <w:tcPr>
            <w:tcW w:w="1372" w:type="dxa"/>
            <w:tcBorders>
              <w:top w:val="single" w:sz="4" w:space="0" w:color="auto"/>
              <w:left w:val="single" w:sz="4" w:space="0" w:color="auto"/>
              <w:bottom w:val="single" w:sz="4" w:space="0" w:color="auto"/>
              <w:right w:val="nil"/>
            </w:tcBorders>
            <w:shd w:val="clear" w:color="auto" w:fill="FFFFFF" w:themeFill="background1"/>
            <w:vAlign w:val="center"/>
          </w:tcPr>
          <w:p w14:paraId="68467474"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41 099 239</w:t>
            </w:r>
            <w:r>
              <w:rPr>
                <w:noProof/>
              </w:rPr>
              <w:t xml:space="preserve"> </w:t>
            </w:r>
            <w:r>
              <w:rPr>
                <w:noProof/>
              </w:rPr>
              <w:br/>
            </w:r>
            <w:r>
              <w:rPr>
                <w:rFonts w:ascii="Times New Roman" w:hAnsi="Times New Roman"/>
                <w:noProof/>
              </w:rPr>
              <w:t>(**)</w:t>
            </w:r>
          </w:p>
        </w:tc>
        <w:tc>
          <w:tcPr>
            <w:tcW w:w="13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EE691E"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46 022 969</w:t>
            </w:r>
            <w:r>
              <w:rPr>
                <w:noProof/>
              </w:rPr>
              <w:t xml:space="preserve"> </w:t>
            </w:r>
            <w:r>
              <w:rPr>
                <w:noProof/>
              </w:rPr>
              <w:br/>
            </w:r>
            <w:r>
              <w:rPr>
                <w:rFonts w:ascii="Times New Roman" w:hAnsi="Times New Roman"/>
                <w:noProof/>
              </w:rPr>
              <w:t>(**)</w:t>
            </w:r>
          </w:p>
        </w:tc>
      </w:tr>
      <w:tr w:rsidR="00BB7588" w:rsidRPr="00D9745D" w14:paraId="6E48AC3B" w14:textId="77777777" w:rsidTr="00BE0E0C">
        <w:trPr>
          <w:trHeight w:val="300"/>
        </w:trPr>
        <w:tc>
          <w:tcPr>
            <w:tcW w:w="16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57ADAE9C"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b/>
                <w:noProof/>
                <w:color w:val="000000"/>
              </w:rPr>
              <w:t>% de utilizare</w:t>
            </w:r>
          </w:p>
        </w:tc>
        <w:tc>
          <w:tcPr>
            <w:tcW w:w="1260" w:type="dxa"/>
            <w:tcBorders>
              <w:top w:val="nil"/>
              <w:left w:val="nil"/>
              <w:bottom w:val="single" w:sz="4" w:space="0" w:color="auto"/>
              <w:right w:val="single" w:sz="4" w:space="0" w:color="auto"/>
            </w:tcBorders>
            <w:shd w:val="clear" w:color="auto" w:fill="FFFFFF" w:themeFill="background1"/>
            <w:vAlign w:val="center"/>
            <w:hideMark/>
          </w:tcPr>
          <w:p w14:paraId="3D106C3E"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100 %</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3A154AA2"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99,99 %</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5DDD06F6"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99,99 %</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0360EA9B"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100 %</w:t>
            </w:r>
          </w:p>
        </w:tc>
        <w:tc>
          <w:tcPr>
            <w:tcW w:w="1372" w:type="dxa"/>
            <w:tcBorders>
              <w:top w:val="single" w:sz="4" w:space="0" w:color="auto"/>
              <w:left w:val="nil"/>
              <w:bottom w:val="single" w:sz="4" w:space="0" w:color="auto"/>
              <w:right w:val="single" w:sz="4" w:space="0" w:color="auto"/>
            </w:tcBorders>
            <w:shd w:val="clear" w:color="auto" w:fill="FFFFFF" w:themeFill="background1"/>
            <w:vAlign w:val="center"/>
            <w:hideMark/>
          </w:tcPr>
          <w:p w14:paraId="3814EA9D"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100 %</w:t>
            </w:r>
          </w:p>
        </w:tc>
        <w:tc>
          <w:tcPr>
            <w:tcW w:w="1388" w:type="dxa"/>
            <w:tcBorders>
              <w:top w:val="single" w:sz="4" w:space="0" w:color="auto"/>
              <w:left w:val="nil"/>
              <w:bottom w:val="single" w:sz="4" w:space="0" w:color="auto"/>
              <w:right w:val="single" w:sz="4" w:space="0" w:color="auto"/>
            </w:tcBorders>
            <w:shd w:val="clear" w:color="auto" w:fill="FFFFFF" w:themeFill="background1"/>
            <w:vAlign w:val="center"/>
            <w:hideMark/>
          </w:tcPr>
          <w:p w14:paraId="15796C9E"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100,00 %</w:t>
            </w:r>
          </w:p>
        </w:tc>
      </w:tr>
      <w:tr w:rsidR="00BB7588" w:rsidRPr="00D9745D" w14:paraId="7DD174E9" w14:textId="77777777" w:rsidTr="00BE0E0C">
        <w:trPr>
          <w:trHeight w:val="660"/>
        </w:trPr>
        <w:tc>
          <w:tcPr>
            <w:tcW w:w="16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75045488" w14:textId="241CDF84"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b/>
                <w:noProof/>
                <w:color w:val="000000"/>
              </w:rPr>
              <w:t>Plăți</w:t>
            </w:r>
            <w:r>
              <w:rPr>
                <w:rStyle w:val="FootnoteReference"/>
                <w:rFonts w:ascii="Times New Roman" w:eastAsia="Times New Roman" w:hAnsi="Times New Roman" w:cs="Times New Roman"/>
                <w:b/>
                <w:bCs/>
                <w:noProof/>
                <w:color w:val="000000"/>
                <w:lang w:eastAsia="en-IE"/>
              </w:rPr>
              <w:footnoteReference w:id="13"/>
            </w:r>
          </w:p>
        </w:tc>
        <w:tc>
          <w:tcPr>
            <w:tcW w:w="1260" w:type="dxa"/>
            <w:tcBorders>
              <w:top w:val="nil"/>
              <w:left w:val="nil"/>
              <w:bottom w:val="single" w:sz="4" w:space="0" w:color="auto"/>
              <w:right w:val="single" w:sz="4" w:space="0" w:color="auto"/>
            </w:tcBorders>
            <w:shd w:val="clear" w:color="auto" w:fill="FFFFFF" w:themeFill="background1"/>
            <w:vAlign w:val="center"/>
            <w:hideMark/>
          </w:tcPr>
          <w:p w14:paraId="422BE469"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noProof/>
                <w:color w:val="000000"/>
              </w:rPr>
              <w:t>3 875 729</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28E6657D"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noProof/>
                <w:color w:val="000000"/>
              </w:rPr>
              <w:t>16 199 664</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29D041FB" w14:textId="77777777" w:rsidR="00BB7588" w:rsidRPr="00D9745D" w:rsidRDefault="00BB7588" w:rsidP="00BB7588">
            <w:pPr>
              <w:spacing w:before="120"/>
              <w:jc w:val="center"/>
              <w:rPr>
                <w:rFonts w:ascii="Times New Roman" w:eastAsia="Times New Roman" w:hAnsi="Times New Roman" w:cs="Times New Roman"/>
                <w:b/>
                <w:bCs/>
                <w:noProof/>
              </w:rPr>
            </w:pPr>
            <w:r>
              <w:rPr>
                <w:rFonts w:ascii="Times New Roman" w:hAnsi="Times New Roman"/>
                <w:noProof/>
                <w:color w:val="000000"/>
              </w:rPr>
              <w:t>20 075 593</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357FFE4B"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N/A</w:t>
            </w:r>
            <w:r>
              <w:rPr>
                <w:noProof/>
              </w:rPr>
              <w:t xml:space="preserve"> </w:t>
            </w:r>
            <w:r>
              <w:rPr>
                <w:noProof/>
              </w:rPr>
              <w:br/>
            </w:r>
            <w:r>
              <w:rPr>
                <w:rFonts w:ascii="Times New Roman" w:hAnsi="Times New Roman"/>
                <w:noProof/>
              </w:rPr>
              <w:t>(***)</w:t>
            </w:r>
          </w:p>
        </w:tc>
        <w:tc>
          <w:tcPr>
            <w:tcW w:w="1372" w:type="dxa"/>
            <w:tcBorders>
              <w:top w:val="nil"/>
              <w:left w:val="nil"/>
              <w:bottom w:val="single" w:sz="4" w:space="0" w:color="auto"/>
              <w:right w:val="single" w:sz="4" w:space="0" w:color="auto"/>
            </w:tcBorders>
            <w:shd w:val="clear" w:color="auto" w:fill="FFFFFF" w:themeFill="background1"/>
            <w:vAlign w:val="center"/>
            <w:hideMark/>
          </w:tcPr>
          <w:p w14:paraId="0A4B615C"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N/A</w:t>
            </w:r>
            <w:r>
              <w:rPr>
                <w:noProof/>
              </w:rPr>
              <w:t xml:space="preserve"> </w:t>
            </w:r>
            <w:r>
              <w:rPr>
                <w:noProof/>
              </w:rPr>
              <w:br/>
            </w:r>
            <w:r>
              <w:rPr>
                <w:rFonts w:ascii="Times New Roman" w:hAnsi="Times New Roman"/>
                <w:noProof/>
              </w:rPr>
              <w:t>(***)</w:t>
            </w:r>
          </w:p>
        </w:tc>
        <w:tc>
          <w:tcPr>
            <w:tcW w:w="1388" w:type="dxa"/>
            <w:tcBorders>
              <w:top w:val="nil"/>
              <w:left w:val="nil"/>
              <w:bottom w:val="single" w:sz="4" w:space="0" w:color="auto"/>
              <w:right w:val="single" w:sz="4" w:space="0" w:color="auto"/>
            </w:tcBorders>
            <w:shd w:val="clear" w:color="auto" w:fill="FFFFFF" w:themeFill="background1"/>
            <w:vAlign w:val="center"/>
            <w:hideMark/>
          </w:tcPr>
          <w:p w14:paraId="08E2BF4C"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N/A</w:t>
            </w:r>
            <w:r>
              <w:rPr>
                <w:noProof/>
              </w:rPr>
              <w:t xml:space="preserve"> </w:t>
            </w:r>
            <w:r>
              <w:rPr>
                <w:noProof/>
              </w:rPr>
              <w:br/>
            </w:r>
            <w:r>
              <w:rPr>
                <w:rFonts w:ascii="Times New Roman" w:hAnsi="Times New Roman"/>
                <w:noProof/>
              </w:rPr>
              <w:t>(***)</w:t>
            </w:r>
          </w:p>
        </w:tc>
      </w:tr>
      <w:tr w:rsidR="00BB7588" w:rsidRPr="00D9745D" w14:paraId="537BEC5D" w14:textId="77777777" w:rsidTr="00BE0E0C">
        <w:trPr>
          <w:trHeight w:val="345"/>
        </w:trPr>
        <w:tc>
          <w:tcPr>
            <w:tcW w:w="16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677F1896" w14:textId="77777777" w:rsidR="00BB7588" w:rsidRPr="00D9745D" w:rsidRDefault="00BB7588" w:rsidP="00BB7588">
            <w:pPr>
              <w:spacing w:before="120"/>
              <w:jc w:val="center"/>
              <w:rPr>
                <w:rFonts w:ascii="Times New Roman" w:eastAsia="Times New Roman" w:hAnsi="Times New Roman" w:cs="Times New Roman"/>
                <w:b/>
                <w:bCs/>
                <w:noProof/>
                <w:color w:val="000000"/>
              </w:rPr>
            </w:pPr>
            <w:r>
              <w:rPr>
                <w:rFonts w:ascii="Times New Roman" w:hAnsi="Times New Roman"/>
                <w:b/>
                <w:noProof/>
                <w:color w:val="000000"/>
              </w:rPr>
              <w:t>% sume plătite în raport cu angajamentele/co-delegarea (*)</w:t>
            </w:r>
          </w:p>
        </w:tc>
        <w:tc>
          <w:tcPr>
            <w:tcW w:w="1260" w:type="dxa"/>
            <w:tcBorders>
              <w:top w:val="nil"/>
              <w:left w:val="nil"/>
              <w:bottom w:val="single" w:sz="4" w:space="0" w:color="auto"/>
              <w:right w:val="single" w:sz="4" w:space="0" w:color="auto"/>
            </w:tcBorders>
            <w:shd w:val="clear" w:color="auto" w:fill="FFFFFF" w:themeFill="background1"/>
            <w:vAlign w:val="center"/>
            <w:hideMark/>
          </w:tcPr>
          <w:p w14:paraId="11DF1BC5"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95,87 %</w:t>
            </w:r>
          </w:p>
        </w:tc>
        <w:tc>
          <w:tcPr>
            <w:tcW w:w="1485" w:type="dxa"/>
            <w:tcBorders>
              <w:top w:val="nil"/>
              <w:left w:val="nil"/>
              <w:bottom w:val="single" w:sz="4" w:space="0" w:color="auto"/>
              <w:right w:val="single" w:sz="4" w:space="0" w:color="auto"/>
            </w:tcBorders>
            <w:shd w:val="clear" w:color="auto" w:fill="FFFFFF" w:themeFill="background1"/>
            <w:vAlign w:val="center"/>
            <w:hideMark/>
          </w:tcPr>
          <w:p w14:paraId="37390FE9"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90,88 %</w:t>
            </w:r>
          </w:p>
        </w:tc>
        <w:tc>
          <w:tcPr>
            <w:tcW w:w="1305" w:type="dxa"/>
            <w:tcBorders>
              <w:top w:val="nil"/>
              <w:left w:val="nil"/>
              <w:bottom w:val="single" w:sz="4" w:space="0" w:color="auto"/>
              <w:right w:val="single" w:sz="4" w:space="0" w:color="auto"/>
            </w:tcBorders>
            <w:shd w:val="clear" w:color="auto" w:fill="FFFFFF" w:themeFill="background1"/>
            <w:vAlign w:val="center"/>
            <w:hideMark/>
          </w:tcPr>
          <w:p w14:paraId="23243217"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91,80 %</w:t>
            </w:r>
          </w:p>
        </w:tc>
        <w:tc>
          <w:tcPr>
            <w:tcW w:w="1275" w:type="dxa"/>
            <w:tcBorders>
              <w:top w:val="nil"/>
              <w:left w:val="nil"/>
              <w:bottom w:val="single" w:sz="4" w:space="0" w:color="auto"/>
              <w:right w:val="single" w:sz="4" w:space="0" w:color="auto"/>
            </w:tcBorders>
            <w:shd w:val="clear" w:color="auto" w:fill="FFFFFF" w:themeFill="background1"/>
            <w:vAlign w:val="center"/>
            <w:hideMark/>
          </w:tcPr>
          <w:p w14:paraId="3EA26B08"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N/A</w:t>
            </w:r>
            <w:r>
              <w:rPr>
                <w:noProof/>
              </w:rPr>
              <w:t xml:space="preserve"> </w:t>
            </w:r>
            <w:r>
              <w:rPr>
                <w:noProof/>
              </w:rPr>
              <w:br/>
            </w:r>
            <w:r>
              <w:rPr>
                <w:rFonts w:ascii="Times New Roman" w:hAnsi="Times New Roman"/>
                <w:noProof/>
              </w:rPr>
              <w:t>(***)</w:t>
            </w:r>
          </w:p>
        </w:tc>
        <w:tc>
          <w:tcPr>
            <w:tcW w:w="1372" w:type="dxa"/>
            <w:tcBorders>
              <w:top w:val="nil"/>
              <w:left w:val="nil"/>
              <w:bottom w:val="single" w:sz="4" w:space="0" w:color="auto"/>
              <w:right w:val="single" w:sz="4" w:space="0" w:color="auto"/>
            </w:tcBorders>
            <w:shd w:val="clear" w:color="auto" w:fill="FFFFFF" w:themeFill="background1"/>
            <w:vAlign w:val="center"/>
            <w:hideMark/>
          </w:tcPr>
          <w:p w14:paraId="77F0E11A"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N/A</w:t>
            </w:r>
            <w:r>
              <w:rPr>
                <w:noProof/>
              </w:rPr>
              <w:t xml:space="preserve"> </w:t>
            </w:r>
            <w:r>
              <w:rPr>
                <w:noProof/>
              </w:rPr>
              <w:br/>
            </w:r>
            <w:r>
              <w:rPr>
                <w:rFonts w:ascii="Times New Roman" w:hAnsi="Times New Roman"/>
                <w:noProof/>
              </w:rPr>
              <w:t>(***)</w:t>
            </w:r>
          </w:p>
        </w:tc>
        <w:tc>
          <w:tcPr>
            <w:tcW w:w="1388" w:type="dxa"/>
            <w:tcBorders>
              <w:top w:val="nil"/>
              <w:left w:val="nil"/>
              <w:bottom w:val="single" w:sz="4" w:space="0" w:color="auto"/>
              <w:right w:val="single" w:sz="4" w:space="0" w:color="auto"/>
            </w:tcBorders>
            <w:shd w:val="clear" w:color="auto" w:fill="FFFFFF" w:themeFill="background1"/>
            <w:vAlign w:val="center"/>
            <w:hideMark/>
          </w:tcPr>
          <w:p w14:paraId="6EF8A26C" w14:textId="77777777" w:rsidR="00BB7588" w:rsidRPr="00D9745D" w:rsidRDefault="00BB7588" w:rsidP="00BB7588">
            <w:pPr>
              <w:spacing w:before="120"/>
              <w:jc w:val="center"/>
              <w:rPr>
                <w:rFonts w:ascii="Times New Roman" w:eastAsia="Times New Roman" w:hAnsi="Times New Roman" w:cs="Times New Roman"/>
                <w:noProof/>
              </w:rPr>
            </w:pPr>
            <w:r>
              <w:rPr>
                <w:rFonts w:ascii="Times New Roman" w:hAnsi="Times New Roman"/>
                <w:noProof/>
              </w:rPr>
              <w:t>N/A</w:t>
            </w:r>
            <w:r>
              <w:rPr>
                <w:noProof/>
              </w:rPr>
              <w:t xml:space="preserve"> </w:t>
            </w:r>
            <w:r>
              <w:rPr>
                <w:noProof/>
              </w:rPr>
              <w:br/>
            </w:r>
            <w:r>
              <w:rPr>
                <w:rFonts w:ascii="Times New Roman" w:hAnsi="Times New Roman"/>
                <w:noProof/>
              </w:rPr>
              <w:t>(***)</w:t>
            </w:r>
          </w:p>
        </w:tc>
      </w:tr>
    </w:tbl>
    <w:p w14:paraId="6B4D8062" w14:textId="14BF1D4D" w:rsidR="00B62C5D" w:rsidRPr="00D9745D" w:rsidRDefault="009B08F9" w:rsidP="00B62C5D">
      <w:pPr>
        <w:spacing w:before="120" w:after="120"/>
        <w:jc w:val="both"/>
        <w:rPr>
          <w:rFonts w:ascii="Times New Roman" w:hAnsi="Times New Roman" w:cs="Times New Roman"/>
          <w:noProof/>
          <w:sz w:val="20"/>
          <w:szCs w:val="20"/>
        </w:rPr>
      </w:pPr>
      <w:r>
        <w:rPr>
          <w:rFonts w:ascii="Times New Roman" w:hAnsi="Times New Roman"/>
          <w:noProof/>
          <w:sz w:val="20"/>
        </w:rPr>
        <w:t xml:space="preserve"> (*) Cifre care includ angajamentele de nivelul 1 sau 2 (credite C1 sau C8), precum și bugetul cheltuit de entitățile co-delegate.</w:t>
      </w:r>
    </w:p>
    <w:p w14:paraId="1743308E" w14:textId="0898D6F1" w:rsidR="00B62C5D" w:rsidRPr="00D9745D" w:rsidRDefault="00B62C5D" w:rsidP="00B62C5D">
      <w:pPr>
        <w:spacing w:before="120" w:after="120"/>
        <w:jc w:val="both"/>
        <w:rPr>
          <w:rFonts w:ascii="Times New Roman" w:hAnsi="Times New Roman" w:cs="Times New Roman"/>
          <w:noProof/>
          <w:sz w:val="20"/>
          <w:szCs w:val="20"/>
        </w:rPr>
      </w:pPr>
      <w:r>
        <w:rPr>
          <w:rFonts w:ascii="Times New Roman" w:hAnsi="Times New Roman"/>
          <w:noProof/>
          <w:sz w:val="20"/>
        </w:rPr>
        <w:t>(**) Pe baza modificării planului de acțiune pentru comunicare externă al DG AGRI.</w:t>
      </w:r>
    </w:p>
    <w:p w14:paraId="07AA824B" w14:textId="77777777" w:rsidR="00B62C5D" w:rsidRPr="00D9745D" w:rsidRDefault="00B62C5D" w:rsidP="00B62C5D">
      <w:pPr>
        <w:spacing w:before="120" w:after="120"/>
        <w:jc w:val="both"/>
        <w:rPr>
          <w:rFonts w:ascii="Times New Roman" w:hAnsi="Times New Roman" w:cs="Times New Roman"/>
          <w:noProof/>
          <w:sz w:val="20"/>
          <w:szCs w:val="20"/>
        </w:rPr>
      </w:pPr>
      <w:r>
        <w:rPr>
          <w:rFonts w:ascii="Times New Roman" w:hAnsi="Times New Roman"/>
          <w:noProof/>
          <w:sz w:val="20"/>
        </w:rPr>
        <w:t>(***) Plățile aferente acestor acțiuni sunt în curs de efectuare și nu sunt încă finalizate.</w:t>
      </w:r>
    </w:p>
    <w:p w14:paraId="6D766BFF" w14:textId="77777777" w:rsidR="0053294C" w:rsidRPr="00D9745D" w:rsidRDefault="0053294C" w:rsidP="0053294C">
      <w:pPr>
        <w:pStyle w:val="Style1"/>
        <w:numPr>
          <w:ilvl w:val="0"/>
          <w:numId w:val="4"/>
        </w:numPr>
        <w:spacing w:before="120"/>
        <w:outlineLvl w:val="9"/>
        <w:rPr>
          <w:color w:val="000000" w:themeColor="text1"/>
        </w:rPr>
      </w:pPr>
      <w:bookmarkStart w:id="20" w:name="_Toc478655578"/>
      <w:bookmarkStart w:id="21" w:name="_Toc478656308"/>
      <w:r>
        <w:rPr>
          <w:color w:val="000000" w:themeColor="text1"/>
        </w:rPr>
        <w:t>CONCLUZIE</w:t>
      </w:r>
      <w:bookmarkEnd w:id="20"/>
      <w:bookmarkEnd w:id="21"/>
      <w:r>
        <w:rPr>
          <w:color w:val="000000" w:themeColor="text1"/>
        </w:rPr>
        <w:t xml:space="preserve"> </w:t>
      </w:r>
    </w:p>
    <w:p w14:paraId="3602A38E" w14:textId="17963631" w:rsidR="00DA0B8A" w:rsidRPr="00D9745D" w:rsidRDefault="0053294C" w:rsidP="00D9745D">
      <w:pPr>
        <w:jc w:val="both"/>
        <w:rPr>
          <w:rFonts w:ascii="Times New Roman" w:hAnsi="Times New Roman" w:cs="Times New Roman"/>
          <w:noProof/>
          <w:sz w:val="24"/>
          <w:szCs w:val="24"/>
        </w:rPr>
      </w:pPr>
      <w:r>
        <w:rPr>
          <w:rStyle w:val="super"/>
          <w:rFonts w:ascii="Times New Roman" w:hAnsi="Times New Roman"/>
          <w:noProof/>
          <w:sz w:val="24"/>
        </w:rPr>
        <w:t xml:space="preserve">Măsurile privind informarea întreprinse în legătură cu politica agricolă comună în 2023 și 2024 s-au axat pe revizuirea politicii și pe capacitatea acesteia de a răspunde mai bine provocărilor economice, de mediu și sociale emergente. Activitățile de comunicare s-au axat pe contribuția PAC la îndeplinirea obiectivelor Pactului verde, ale Pactului climatic și ale Strategiei </w:t>
      </w:r>
      <w:r>
        <w:rPr>
          <w:rFonts w:ascii="Times New Roman" w:hAnsi="Times New Roman"/>
          <w:noProof/>
          <w:sz w:val="24"/>
        </w:rPr>
        <w:t xml:space="preserve">„De la fermă la consumator”, precum și la securitatea și reziliența alimentară în contextul războiului de agresiune al Rusiei împotriva Ucrainei. </w:t>
      </w:r>
    </w:p>
    <w:sectPr w:rsidR="00DA0B8A" w:rsidRPr="00D9745D" w:rsidSect="003F3F89">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88C996" w14:textId="77777777" w:rsidR="00B36EE0" w:rsidRDefault="00B36EE0" w:rsidP="003F3F89">
      <w:pPr>
        <w:spacing w:after="0" w:line="240" w:lineRule="auto"/>
      </w:pPr>
      <w:r>
        <w:separator/>
      </w:r>
    </w:p>
  </w:endnote>
  <w:endnote w:type="continuationSeparator" w:id="0">
    <w:p w14:paraId="760979D9" w14:textId="77777777" w:rsidR="00B36EE0" w:rsidRDefault="00B36EE0" w:rsidP="003F3F89">
      <w:pPr>
        <w:spacing w:after="0" w:line="240" w:lineRule="auto"/>
      </w:pPr>
      <w:r>
        <w:continuationSeparator/>
      </w:r>
    </w:p>
  </w:endnote>
  <w:endnote w:type="continuationNotice" w:id="1">
    <w:p w14:paraId="2EB8C16A" w14:textId="77777777" w:rsidR="00B36EE0" w:rsidRDefault="00B36E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DCABD" w14:textId="73A53317" w:rsidR="002B0ADA" w:rsidRPr="002B0ADA" w:rsidRDefault="002B0ADA" w:rsidP="002B0ADA">
    <w:pPr>
      <w:pStyle w:val="FooterCoverPage"/>
      <w:rPr>
        <w:rFonts w:ascii="Arial" w:hAnsi="Arial" w:cs="Arial"/>
        <w:b/>
        <w:sz w:val="48"/>
      </w:rPr>
    </w:pPr>
    <w:r w:rsidRPr="002B0ADA">
      <w:rPr>
        <w:rFonts w:ascii="Arial" w:hAnsi="Arial" w:cs="Arial"/>
        <w:b/>
        <w:sz w:val="48"/>
      </w:rPr>
      <w:t>RO</w:t>
    </w:r>
    <w:r w:rsidRPr="002B0ADA">
      <w:rPr>
        <w:rFonts w:ascii="Arial" w:hAnsi="Arial" w:cs="Arial"/>
        <w:b/>
        <w:sz w:val="48"/>
      </w:rPr>
      <w:tab/>
    </w:r>
    <w:r w:rsidRPr="002B0ADA">
      <w:rPr>
        <w:rFonts w:ascii="Arial" w:hAnsi="Arial" w:cs="Arial"/>
        <w:b/>
        <w:sz w:val="48"/>
      </w:rPr>
      <w:tab/>
    </w:r>
    <w:r w:rsidRPr="002B0ADA">
      <w:tab/>
    </w:r>
    <w:r w:rsidRPr="002B0AD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B3A09" w14:textId="32F35840" w:rsidR="002B0ADA" w:rsidRPr="002B0ADA" w:rsidRDefault="002B0ADA" w:rsidP="002B0ADA">
    <w:pPr>
      <w:pStyle w:val="FooterCoverPage"/>
      <w:rPr>
        <w:rFonts w:ascii="Arial" w:hAnsi="Arial" w:cs="Arial"/>
        <w:b/>
        <w:sz w:val="48"/>
      </w:rPr>
    </w:pPr>
    <w:r w:rsidRPr="002B0ADA">
      <w:rPr>
        <w:rFonts w:ascii="Arial" w:hAnsi="Arial" w:cs="Arial"/>
        <w:b/>
        <w:sz w:val="48"/>
      </w:rPr>
      <w:t>RO</w:t>
    </w:r>
    <w:r w:rsidRPr="002B0ADA">
      <w:rPr>
        <w:rFonts w:ascii="Arial" w:hAnsi="Arial" w:cs="Arial"/>
        <w:b/>
        <w:sz w:val="48"/>
      </w:rPr>
      <w:tab/>
    </w:r>
    <w:r w:rsidRPr="002B0ADA">
      <w:rPr>
        <w:rFonts w:ascii="Arial" w:hAnsi="Arial" w:cs="Arial"/>
        <w:b/>
        <w:sz w:val="48"/>
      </w:rPr>
      <w:tab/>
    </w:r>
    <w:r w:rsidRPr="002B0ADA">
      <w:tab/>
    </w:r>
    <w:r w:rsidRPr="002B0AD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068FF" w14:textId="77777777" w:rsidR="002B0ADA" w:rsidRPr="002B0ADA" w:rsidRDefault="002B0ADA" w:rsidP="002B0AD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FAB9B" w14:textId="77777777" w:rsidR="003F3F89" w:rsidRDefault="003F3F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182376"/>
      <w:docPartObj>
        <w:docPartGallery w:val="Page Numbers (Bottom of Page)"/>
        <w:docPartUnique/>
      </w:docPartObj>
    </w:sdtPr>
    <w:sdtEndPr>
      <w:rPr>
        <w:noProof/>
      </w:rPr>
    </w:sdtEndPr>
    <w:sdtContent>
      <w:p w14:paraId="7F338CD9" w14:textId="5F11774C" w:rsidR="005D05F5" w:rsidRDefault="005D05F5">
        <w:pPr>
          <w:pStyle w:val="Footer"/>
          <w:jc w:val="center"/>
        </w:pPr>
        <w:r>
          <w:fldChar w:fldCharType="begin"/>
        </w:r>
        <w:r>
          <w:instrText xml:space="preserve"> PAGE   \* MERGEFORMAT </w:instrText>
        </w:r>
        <w:r>
          <w:fldChar w:fldCharType="separate"/>
        </w:r>
        <w:r w:rsidR="002B0ADA">
          <w:rPr>
            <w:noProof/>
          </w:rPr>
          <w:t>1</w:t>
        </w:r>
        <w:r>
          <w:fldChar w:fldCharType="end"/>
        </w:r>
      </w:p>
    </w:sdtContent>
  </w:sdt>
  <w:p w14:paraId="7CA4C4AB" w14:textId="77777777" w:rsidR="003F3F89" w:rsidRDefault="003F3F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9B313" w14:textId="77777777" w:rsidR="003F3F89" w:rsidRDefault="003F3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B9B923" w14:textId="77777777" w:rsidR="00B36EE0" w:rsidRDefault="00B36EE0" w:rsidP="003F3F89">
      <w:pPr>
        <w:spacing w:after="0" w:line="240" w:lineRule="auto"/>
      </w:pPr>
      <w:r>
        <w:separator/>
      </w:r>
    </w:p>
  </w:footnote>
  <w:footnote w:type="continuationSeparator" w:id="0">
    <w:p w14:paraId="009A7C05" w14:textId="77777777" w:rsidR="00B36EE0" w:rsidRDefault="00B36EE0" w:rsidP="003F3F89">
      <w:pPr>
        <w:spacing w:after="0" w:line="240" w:lineRule="auto"/>
      </w:pPr>
      <w:r>
        <w:continuationSeparator/>
      </w:r>
    </w:p>
  </w:footnote>
  <w:footnote w:type="continuationNotice" w:id="1">
    <w:p w14:paraId="7615923F" w14:textId="77777777" w:rsidR="00B36EE0" w:rsidRDefault="00B36EE0">
      <w:pPr>
        <w:spacing w:after="0" w:line="240" w:lineRule="auto"/>
      </w:pPr>
    </w:p>
  </w:footnote>
  <w:footnote w:id="2">
    <w:p w14:paraId="50E06871" w14:textId="0135B811" w:rsidR="004A1FF9" w:rsidRPr="00B93628" w:rsidRDefault="004A1FF9" w:rsidP="004A1FF9">
      <w:pPr>
        <w:pStyle w:val="FootnoteText"/>
      </w:pPr>
      <w:r>
        <w:rPr>
          <w:rStyle w:val="FootnoteReference"/>
        </w:rPr>
        <w:footnoteRef/>
      </w:r>
      <w:r>
        <w:tab/>
        <w:t>JO L 435, 6.12.2021, p. 187.</w:t>
      </w:r>
    </w:p>
  </w:footnote>
  <w:footnote w:id="3">
    <w:p w14:paraId="4C139D07" w14:textId="2D7CA8DA" w:rsidR="004A1FF9" w:rsidRPr="00B93628" w:rsidRDefault="004A1FF9" w:rsidP="004A1FF9">
      <w:pPr>
        <w:pStyle w:val="FootnoteText"/>
      </w:pPr>
      <w:r>
        <w:rPr>
          <w:rStyle w:val="FootnoteReference"/>
        </w:rPr>
        <w:footnoteRef/>
      </w:r>
      <w:r>
        <w:tab/>
        <w:t>COM(2003) 235 final din 8.5.2003; COM(2007) 324 final din 13.6.2007; COM(2009) 237 final din 20.5.2009; COM(2011) 294 final din 25.5.2011; COM(2013) 645 final din 20.9.2013; COM(2016) 83 final din 23.2.2016; COM(2017) 777 final din 19.12.2017; COM(2019) 634 final din 17.12.2019; COM(2021) 822 final din 20.12.2021; COM(2023) 767 final din 6.12.2023.</w:t>
      </w:r>
    </w:p>
  </w:footnote>
  <w:footnote w:id="4">
    <w:p w14:paraId="3C68558E" w14:textId="392D9DC3" w:rsidR="00BA4789" w:rsidRPr="00B92309" w:rsidRDefault="00BA4789" w:rsidP="00BA4789">
      <w:pPr>
        <w:pStyle w:val="FootnoteText"/>
      </w:pPr>
      <w:r>
        <w:rPr>
          <w:rStyle w:val="FootnoteReference"/>
        </w:rPr>
        <w:footnoteRef/>
      </w:r>
      <w:r>
        <w:tab/>
        <w:t>Decizia de punere în aplicare din 2023 a Comisiei: C(2022) 8914 final, Decizia de punere în aplicare a Comisiei din 2024: C(2023) 8513 final, modificată prin C(2024) 2473 final, C(2024) 5968 final și C(2024) 8375 final.</w:t>
      </w:r>
    </w:p>
  </w:footnote>
  <w:footnote w:id="5">
    <w:p w14:paraId="6E643D1F" w14:textId="7B9DB764" w:rsidR="006959C0" w:rsidRPr="00D9745D" w:rsidRDefault="006959C0">
      <w:pPr>
        <w:pStyle w:val="FootnoteText"/>
      </w:pPr>
      <w:r>
        <w:rPr>
          <w:rStyle w:val="FootnoteReference"/>
        </w:rPr>
        <w:footnoteRef/>
      </w:r>
      <w:r>
        <w:tab/>
        <w:t>Trebuie remarcat faptul că, în 2024, s-a aplicat o flexibilitate bugetară, inclusiv concentrarea la începutul perioadei a bugetului suplimentar, ceea ce a condus la cifre reale ușor diferite de cele menționate mai sus (a se vedea punctul V pentru sumele angajate/plătite efectiv).</w:t>
      </w:r>
    </w:p>
  </w:footnote>
  <w:footnote w:id="6">
    <w:p w14:paraId="46A2DA72" w14:textId="062C2654" w:rsidR="0053294C" w:rsidRPr="000D4E04" w:rsidRDefault="0053294C" w:rsidP="0053294C">
      <w:pPr>
        <w:pStyle w:val="FootnoteText"/>
      </w:pPr>
      <w:r>
        <w:rPr>
          <w:rStyle w:val="FootnoteReference"/>
        </w:rPr>
        <w:footnoteRef/>
      </w:r>
      <w:r>
        <w:tab/>
        <w:t xml:space="preserve">Cerere de propuneri pentru granturi 2023, publicată pe portalul pentru oportunități de finanțare și ofertare al Comisiei Europene cu numărul de identificare al temei IMCAP-2023-INFOME </w:t>
      </w:r>
      <w:hyperlink r:id="rId1" w:history="1">
        <w:r>
          <w:rPr>
            <w:rStyle w:val="Hyperlink"/>
          </w:rPr>
          <w:t>Finanțare din partea UE și ofertare</w:t>
        </w:r>
      </w:hyperlink>
      <w:r>
        <w:t>.</w:t>
      </w:r>
    </w:p>
  </w:footnote>
  <w:footnote w:id="7">
    <w:p w14:paraId="23AAD38A" w14:textId="77777777" w:rsidR="0024091E" w:rsidRPr="000D4E04" w:rsidRDefault="0024091E" w:rsidP="0024091E">
      <w:pPr>
        <w:pStyle w:val="FootnoteText"/>
      </w:pPr>
      <w:r>
        <w:rPr>
          <w:rStyle w:val="FootnoteReference"/>
        </w:rPr>
        <w:footnoteRef/>
      </w:r>
      <w:r>
        <w:tab/>
        <w:t xml:space="preserve">Cerere de propuneri pentru granturi 2024, publicată pe portalul pentru oportunități de finanțare și ofertare al Comisiei Europene cu numărul de identificare al temei IMCAP-2024-INFOME </w:t>
      </w:r>
      <w:hyperlink r:id="rId2" w:history="1">
        <w:r>
          <w:rPr>
            <w:rStyle w:val="Hyperlink"/>
          </w:rPr>
          <w:t>Finanțare din partea UE și ofertare</w:t>
        </w:r>
      </w:hyperlink>
      <w:r>
        <w:t xml:space="preserve">. </w:t>
      </w:r>
    </w:p>
  </w:footnote>
  <w:footnote w:id="8">
    <w:p w14:paraId="5026C6AD" w14:textId="7B6753BB" w:rsidR="0053294C" w:rsidRPr="000D4E04" w:rsidRDefault="0053294C" w:rsidP="0053294C">
      <w:pPr>
        <w:pStyle w:val="FootnoteText"/>
      </w:pPr>
      <w:r>
        <w:rPr>
          <w:rStyle w:val="FootnoteReference"/>
        </w:rPr>
        <w:footnoteRef/>
      </w:r>
      <w:r>
        <w:tab/>
        <w:t xml:space="preserve">Informații suplimentare privind granturile sunt disponibile, de asemenea, pe site-ul Europa: </w:t>
      </w:r>
      <w:hyperlink r:id="rId3" w:history="1">
        <w:r>
          <w:rPr>
            <w:rStyle w:val="Hyperlink"/>
          </w:rPr>
          <w:t>Granturi pentru măsurile de informare – Comisia Europeană</w:t>
        </w:r>
      </w:hyperlink>
      <w:r>
        <w:t xml:space="preserve">. </w:t>
      </w:r>
    </w:p>
  </w:footnote>
  <w:footnote w:id="9">
    <w:p w14:paraId="3767E26D" w14:textId="084210AF" w:rsidR="006C68F6" w:rsidRPr="00837FAB" w:rsidRDefault="006C68F6" w:rsidP="006C68F6">
      <w:pPr>
        <w:pStyle w:val="FootnoteText"/>
        <w:ind w:left="0" w:firstLine="0"/>
      </w:pPr>
      <w:r>
        <w:rPr>
          <w:rStyle w:val="FootnoteReference"/>
        </w:rPr>
        <w:footnoteRef/>
      </w:r>
      <w:r>
        <w:t xml:space="preserve"> </w:t>
      </w:r>
      <w:r>
        <w:tab/>
      </w:r>
      <w:r>
        <w:rPr>
          <w:rStyle w:val="super"/>
        </w:rPr>
        <w:t xml:space="preserve">Informații detaliate privind proiectele sunt disponibile pe site-ul </w:t>
      </w:r>
      <w:hyperlink r:id="rId4" w:history="1">
        <w:r>
          <w:rPr>
            <w:rStyle w:val="Hyperlink"/>
          </w:rPr>
          <w:t>Beneficiari – Comisia Europeană</w:t>
        </w:r>
      </w:hyperlink>
      <w:r>
        <w:t>.</w:t>
      </w:r>
    </w:p>
  </w:footnote>
  <w:footnote w:id="10">
    <w:p w14:paraId="3181FCD4" w14:textId="1F5A078F" w:rsidR="004E2428" w:rsidRPr="00AF6249" w:rsidRDefault="004E2428">
      <w:pPr>
        <w:pStyle w:val="FootnoteText"/>
      </w:pPr>
      <w:r>
        <w:rPr>
          <w:rStyle w:val="FootnoteReference"/>
        </w:rPr>
        <w:footnoteRef/>
      </w:r>
      <w:r>
        <w:t>Definiți ca membri care nu s-au conectat la platformă în ultimele 48 de luni.</w:t>
      </w:r>
    </w:p>
  </w:footnote>
  <w:footnote w:id="11">
    <w:p w14:paraId="2F9B8E6F" w14:textId="24EC5E56" w:rsidR="000270D8" w:rsidRPr="000270D8" w:rsidRDefault="000270D8">
      <w:pPr>
        <w:pStyle w:val="FootnoteText"/>
      </w:pPr>
      <w:r>
        <w:rPr>
          <w:rStyle w:val="FootnoteReference"/>
        </w:rPr>
        <w:footnoteRef/>
      </w:r>
      <w:r>
        <w:t xml:space="preserve"> </w:t>
      </w:r>
      <w:hyperlink r:id="rId5" w:history="1">
        <w:r>
          <w:rPr>
            <w:rStyle w:val="Hyperlink"/>
          </w:rPr>
          <w:t>JRC – Farming Practices Evidence library (Centrul Comun de Cercetare – Biblioteca de dovezi privind practicile agricole)</w:t>
        </w:r>
      </w:hyperlink>
      <w:r>
        <w:t>.</w:t>
      </w:r>
    </w:p>
  </w:footnote>
  <w:footnote w:id="12">
    <w:p w14:paraId="427D8EB9" w14:textId="6E1D8006" w:rsidR="0053294C" w:rsidRPr="00454C51" w:rsidRDefault="0053294C" w:rsidP="0053294C">
      <w:pPr>
        <w:pStyle w:val="FootnoteText"/>
      </w:pPr>
      <w:r>
        <w:rPr>
          <w:rStyle w:val="FootnoteReference"/>
        </w:rPr>
        <w:footnoteRef/>
      </w:r>
      <w:r>
        <w:tab/>
        <w:t>Contribuția din 2023 și 2024 în valoare de 31 755 000 EUR pentru comunicarea instituțională nu este inclusă în acest tabel. Nici contribuția la expoziția mondială de la Osaka.</w:t>
      </w:r>
    </w:p>
  </w:footnote>
  <w:footnote w:id="13">
    <w:p w14:paraId="02B78780" w14:textId="153A1C6D" w:rsidR="006959C0" w:rsidRPr="00D9745D" w:rsidRDefault="006959C0">
      <w:pPr>
        <w:pStyle w:val="FootnoteText"/>
      </w:pPr>
      <w:r>
        <w:rPr>
          <w:rStyle w:val="FootnoteReference"/>
        </w:rPr>
        <w:footnoteRef/>
      </w:r>
      <w:r>
        <w:t xml:space="preserve"> </w:t>
      </w:r>
      <w:r>
        <w:tab/>
        <w:t>Plățile sunt, în general, mai scăzute decât sumele angajate inițial. În cazul granturilor, costurile reale ale activităților pot fi mai mici decât cele prevăzute inițial în bugetul provizoriu al acordului de grant și, în al doilea rând, deoarece unele costuri declarate de beneficiari ar putea fi considerate neeligibile. În cazul acțiunilor realizate la inițiativa Comisiei, diferența dintre plăți și angajamente rezultă din faptul că, în timp ce angajamentele sunt fixe, cheltuielile reale ar putea fi mai mici decât cele prevăzute, ca urmare a economiilor și/sau a utilizării unor măsuri mai eficiente din punctul de vedere al costurilor pe parcursul punerii în aplicare.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71DFE" w14:textId="77777777" w:rsidR="002B0ADA" w:rsidRPr="002B0ADA" w:rsidRDefault="002B0ADA" w:rsidP="002B0AD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293D0" w14:textId="77777777" w:rsidR="002B0ADA" w:rsidRPr="002B0ADA" w:rsidRDefault="002B0ADA" w:rsidP="002B0AD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4B263" w14:textId="77777777" w:rsidR="002B0ADA" w:rsidRPr="002B0ADA" w:rsidRDefault="002B0ADA" w:rsidP="002B0AD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3E255" w14:textId="77777777" w:rsidR="003F3F89" w:rsidRDefault="003F3F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DCBE2" w14:textId="77777777" w:rsidR="003F3F89" w:rsidRDefault="003F3F8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9A9F2" w14:textId="77777777" w:rsidR="003F3F89" w:rsidRDefault="003F3F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2BCFC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82C71"/>
    <w:multiLevelType w:val="hybridMultilevel"/>
    <w:tmpl w:val="2DC0A1C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094E36CE"/>
    <w:multiLevelType w:val="hybridMultilevel"/>
    <w:tmpl w:val="56FC6322"/>
    <w:lvl w:ilvl="0" w:tplc="15EEA442">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8C6027"/>
    <w:multiLevelType w:val="hybridMultilevel"/>
    <w:tmpl w:val="0D90AB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BE50C0"/>
    <w:multiLevelType w:val="hybridMultilevel"/>
    <w:tmpl w:val="D7186FE8"/>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5" w15:restartNumberingAfterBreak="0">
    <w:nsid w:val="1CF41725"/>
    <w:multiLevelType w:val="hybridMultilevel"/>
    <w:tmpl w:val="498AA6E6"/>
    <w:lvl w:ilvl="0" w:tplc="6B948150">
      <w:start w:val="1"/>
      <w:numFmt w:val="bullet"/>
      <w:lvlText w:val=""/>
      <w:lvlJc w:val="left"/>
      <w:pPr>
        <w:ind w:left="720" w:hanging="360"/>
      </w:pPr>
      <w:rPr>
        <w:rFonts w:ascii="Symbol" w:hAnsi="Symbol" w:hint="default"/>
      </w:rPr>
    </w:lvl>
    <w:lvl w:ilvl="1" w:tplc="6E1247B8">
      <w:start w:val="1"/>
      <w:numFmt w:val="bullet"/>
      <w:lvlText w:val="o"/>
      <w:lvlJc w:val="left"/>
      <w:pPr>
        <w:ind w:left="1440" w:hanging="360"/>
      </w:pPr>
      <w:rPr>
        <w:rFonts w:ascii="Courier New" w:hAnsi="Courier New" w:hint="default"/>
      </w:rPr>
    </w:lvl>
    <w:lvl w:ilvl="2" w:tplc="ECF4F3C6">
      <w:start w:val="1"/>
      <w:numFmt w:val="bullet"/>
      <w:lvlText w:val=""/>
      <w:lvlJc w:val="left"/>
      <w:pPr>
        <w:ind w:left="2160" w:hanging="360"/>
      </w:pPr>
      <w:rPr>
        <w:rFonts w:ascii="Wingdings" w:hAnsi="Wingdings" w:hint="default"/>
      </w:rPr>
    </w:lvl>
    <w:lvl w:ilvl="3" w:tplc="BD20EA82">
      <w:start w:val="1"/>
      <w:numFmt w:val="bullet"/>
      <w:lvlText w:val=""/>
      <w:lvlJc w:val="left"/>
      <w:pPr>
        <w:ind w:left="2880" w:hanging="360"/>
      </w:pPr>
      <w:rPr>
        <w:rFonts w:ascii="Symbol" w:hAnsi="Symbol" w:hint="default"/>
      </w:rPr>
    </w:lvl>
    <w:lvl w:ilvl="4" w:tplc="FD0E9298">
      <w:start w:val="1"/>
      <w:numFmt w:val="bullet"/>
      <w:lvlText w:val="o"/>
      <w:lvlJc w:val="left"/>
      <w:pPr>
        <w:ind w:left="3600" w:hanging="360"/>
      </w:pPr>
      <w:rPr>
        <w:rFonts w:ascii="Courier New" w:hAnsi="Courier New" w:hint="default"/>
      </w:rPr>
    </w:lvl>
    <w:lvl w:ilvl="5" w:tplc="6628A370">
      <w:start w:val="1"/>
      <w:numFmt w:val="bullet"/>
      <w:lvlText w:val=""/>
      <w:lvlJc w:val="left"/>
      <w:pPr>
        <w:ind w:left="4320" w:hanging="360"/>
      </w:pPr>
      <w:rPr>
        <w:rFonts w:ascii="Wingdings" w:hAnsi="Wingdings" w:hint="default"/>
      </w:rPr>
    </w:lvl>
    <w:lvl w:ilvl="6" w:tplc="887C8532">
      <w:start w:val="1"/>
      <w:numFmt w:val="bullet"/>
      <w:lvlText w:val=""/>
      <w:lvlJc w:val="left"/>
      <w:pPr>
        <w:ind w:left="5040" w:hanging="360"/>
      </w:pPr>
      <w:rPr>
        <w:rFonts w:ascii="Symbol" w:hAnsi="Symbol" w:hint="default"/>
      </w:rPr>
    </w:lvl>
    <w:lvl w:ilvl="7" w:tplc="6D583820">
      <w:start w:val="1"/>
      <w:numFmt w:val="bullet"/>
      <w:lvlText w:val="o"/>
      <w:lvlJc w:val="left"/>
      <w:pPr>
        <w:ind w:left="5760" w:hanging="360"/>
      </w:pPr>
      <w:rPr>
        <w:rFonts w:ascii="Courier New" w:hAnsi="Courier New" w:hint="default"/>
      </w:rPr>
    </w:lvl>
    <w:lvl w:ilvl="8" w:tplc="894489C0">
      <w:start w:val="1"/>
      <w:numFmt w:val="bullet"/>
      <w:lvlText w:val=""/>
      <w:lvlJc w:val="left"/>
      <w:pPr>
        <w:ind w:left="6480" w:hanging="360"/>
      </w:pPr>
      <w:rPr>
        <w:rFonts w:ascii="Wingdings" w:hAnsi="Wingdings" w:hint="default"/>
      </w:rPr>
    </w:lvl>
  </w:abstractNum>
  <w:abstractNum w:abstractNumId="6" w15:restartNumberingAfterBreak="0">
    <w:nsid w:val="219055D5"/>
    <w:multiLevelType w:val="hybridMultilevel"/>
    <w:tmpl w:val="424E126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7620CCF"/>
    <w:multiLevelType w:val="hybridMultilevel"/>
    <w:tmpl w:val="EC32D58A"/>
    <w:lvl w:ilvl="0" w:tplc="15EEA44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D01273"/>
    <w:multiLevelType w:val="hybridMultilevel"/>
    <w:tmpl w:val="EFE02060"/>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926E1D"/>
    <w:multiLevelType w:val="hybridMultilevel"/>
    <w:tmpl w:val="4CA83244"/>
    <w:lvl w:ilvl="0" w:tplc="DC6A796A">
      <w:start w:val="1"/>
      <w:numFmt w:val="lowerLetter"/>
      <w:lvlText w:val="%1)"/>
      <w:lvlJc w:val="left"/>
      <w:pPr>
        <w:ind w:left="1020" w:hanging="360"/>
      </w:pPr>
    </w:lvl>
    <w:lvl w:ilvl="1" w:tplc="4196A10C">
      <w:start w:val="1"/>
      <w:numFmt w:val="lowerLetter"/>
      <w:lvlText w:val="%2)"/>
      <w:lvlJc w:val="left"/>
      <w:pPr>
        <w:ind w:left="1020" w:hanging="360"/>
      </w:pPr>
    </w:lvl>
    <w:lvl w:ilvl="2" w:tplc="DAA476C8">
      <w:start w:val="1"/>
      <w:numFmt w:val="lowerLetter"/>
      <w:lvlText w:val="%3)"/>
      <w:lvlJc w:val="left"/>
      <w:pPr>
        <w:ind w:left="1020" w:hanging="360"/>
      </w:pPr>
    </w:lvl>
    <w:lvl w:ilvl="3" w:tplc="59A47E94">
      <w:start w:val="1"/>
      <w:numFmt w:val="lowerLetter"/>
      <w:lvlText w:val="%4)"/>
      <w:lvlJc w:val="left"/>
      <w:pPr>
        <w:ind w:left="1020" w:hanging="360"/>
      </w:pPr>
    </w:lvl>
    <w:lvl w:ilvl="4" w:tplc="71A425C0">
      <w:start w:val="1"/>
      <w:numFmt w:val="lowerLetter"/>
      <w:lvlText w:val="%5)"/>
      <w:lvlJc w:val="left"/>
      <w:pPr>
        <w:ind w:left="1020" w:hanging="360"/>
      </w:pPr>
    </w:lvl>
    <w:lvl w:ilvl="5" w:tplc="AF3862DC">
      <w:start w:val="1"/>
      <w:numFmt w:val="lowerLetter"/>
      <w:lvlText w:val="%6)"/>
      <w:lvlJc w:val="left"/>
      <w:pPr>
        <w:ind w:left="1020" w:hanging="360"/>
      </w:pPr>
    </w:lvl>
    <w:lvl w:ilvl="6" w:tplc="F498F61A">
      <w:start w:val="1"/>
      <w:numFmt w:val="lowerLetter"/>
      <w:lvlText w:val="%7)"/>
      <w:lvlJc w:val="left"/>
      <w:pPr>
        <w:ind w:left="1020" w:hanging="360"/>
      </w:pPr>
    </w:lvl>
    <w:lvl w:ilvl="7" w:tplc="D1F2B394">
      <w:start w:val="1"/>
      <w:numFmt w:val="lowerLetter"/>
      <w:lvlText w:val="%8)"/>
      <w:lvlJc w:val="left"/>
      <w:pPr>
        <w:ind w:left="1020" w:hanging="360"/>
      </w:pPr>
    </w:lvl>
    <w:lvl w:ilvl="8" w:tplc="CB0C1D24">
      <w:start w:val="1"/>
      <w:numFmt w:val="lowerLetter"/>
      <w:lvlText w:val="%9)"/>
      <w:lvlJc w:val="left"/>
      <w:pPr>
        <w:ind w:left="1020" w:hanging="360"/>
      </w:pPr>
    </w:lvl>
  </w:abstractNum>
  <w:abstractNum w:abstractNumId="10" w15:restartNumberingAfterBreak="0">
    <w:nsid w:val="3FC36BAA"/>
    <w:multiLevelType w:val="hybridMultilevel"/>
    <w:tmpl w:val="9B0EEEE8"/>
    <w:lvl w:ilvl="0" w:tplc="15EEA44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82B5EB2"/>
    <w:multiLevelType w:val="hybridMultilevel"/>
    <w:tmpl w:val="04BA8F02"/>
    <w:lvl w:ilvl="0" w:tplc="18090001">
      <w:start w:val="1"/>
      <w:numFmt w:val="bullet"/>
      <w:lvlText w:val=""/>
      <w:lvlJc w:val="left"/>
      <w:pPr>
        <w:ind w:left="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2" w15:restartNumberingAfterBreak="0">
    <w:nsid w:val="4F827963"/>
    <w:multiLevelType w:val="hybridMultilevel"/>
    <w:tmpl w:val="48C4194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4A747D4"/>
    <w:multiLevelType w:val="hybridMultilevel"/>
    <w:tmpl w:val="A23C7B4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D9F72B0"/>
    <w:multiLevelType w:val="hybridMultilevel"/>
    <w:tmpl w:val="3BCA18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DB66BC3"/>
    <w:multiLevelType w:val="hybridMultilevel"/>
    <w:tmpl w:val="85CA30CA"/>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3EE69B7"/>
    <w:multiLevelType w:val="hybridMultilevel"/>
    <w:tmpl w:val="41966432"/>
    <w:lvl w:ilvl="0" w:tplc="6C9E535A">
      <w:start w:val="1"/>
      <w:numFmt w:val="bullet"/>
      <w:lvlText w:val=""/>
      <w:lvlJc w:val="left"/>
      <w:pPr>
        <w:ind w:left="720" w:hanging="360"/>
      </w:pPr>
      <w:rPr>
        <w:rFonts w:ascii="Symbol" w:hAnsi="Symbol" w:hint="default"/>
      </w:rPr>
    </w:lvl>
    <w:lvl w:ilvl="1" w:tplc="1624A87A">
      <w:start w:val="1"/>
      <w:numFmt w:val="bullet"/>
      <w:lvlText w:val="o"/>
      <w:lvlJc w:val="left"/>
      <w:pPr>
        <w:ind w:left="1440" w:hanging="360"/>
      </w:pPr>
      <w:rPr>
        <w:rFonts w:ascii="Courier New" w:hAnsi="Courier New" w:hint="default"/>
      </w:rPr>
    </w:lvl>
    <w:lvl w:ilvl="2" w:tplc="E1029BFA">
      <w:start w:val="1"/>
      <w:numFmt w:val="bullet"/>
      <w:lvlText w:val=""/>
      <w:lvlJc w:val="left"/>
      <w:pPr>
        <w:ind w:left="2160" w:hanging="360"/>
      </w:pPr>
      <w:rPr>
        <w:rFonts w:ascii="Wingdings" w:hAnsi="Wingdings" w:hint="default"/>
      </w:rPr>
    </w:lvl>
    <w:lvl w:ilvl="3" w:tplc="3EFCC1F6">
      <w:start w:val="1"/>
      <w:numFmt w:val="bullet"/>
      <w:lvlText w:val=""/>
      <w:lvlJc w:val="left"/>
      <w:pPr>
        <w:ind w:left="2880" w:hanging="360"/>
      </w:pPr>
      <w:rPr>
        <w:rFonts w:ascii="Symbol" w:hAnsi="Symbol" w:hint="default"/>
      </w:rPr>
    </w:lvl>
    <w:lvl w:ilvl="4" w:tplc="8AC89A3E">
      <w:start w:val="1"/>
      <w:numFmt w:val="bullet"/>
      <w:lvlText w:val="o"/>
      <w:lvlJc w:val="left"/>
      <w:pPr>
        <w:ind w:left="3600" w:hanging="360"/>
      </w:pPr>
      <w:rPr>
        <w:rFonts w:ascii="Courier New" w:hAnsi="Courier New" w:hint="default"/>
      </w:rPr>
    </w:lvl>
    <w:lvl w:ilvl="5" w:tplc="CEFADEDA">
      <w:start w:val="1"/>
      <w:numFmt w:val="bullet"/>
      <w:lvlText w:val=""/>
      <w:lvlJc w:val="left"/>
      <w:pPr>
        <w:ind w:left="4320" w:hanging="360"/>
      </w:pPr>
      <w:rPr>
        <w:rFonts w:ascii="Wingdings" w:hAnsi="Wingdings" w:hint="default"/>
      </w:rPr>
    </w:lvl>
    <w:lvl w:ilvl="6" w:tplc="D82A502E">
      <w:start w:val="1"/>
      <w:numFmt w:val="bullet"/>
      <w:lvlText w:val=""/>
      <w:lvlJc w:val="left"/>
      <w:pPr>
        <w:ind w:left="5040" w:hanging="360"/>
      </w:pPr>
      <w:rPr>
        <w:rFonts w:ascii="Symbol" w:hAnsi="Symbol" w:hint="default"/>
      </w:rPr>
    </w:lvl>
    <w:lvl w:ilvl="7" w:tplc="81B0E030">
      <w:start w:val="1"/>
      <w:numFmt w:val="bullet"/>
      <w:lvlText w:val="o"/>
      <w:lvlJc w:val="left"/>
      <w:pPr>
        <w:ind w:left="5760" w:hanging="360"/>
      </w:pPr>
      <w:rPr>
        <w:rFonts w:ascii="Courier New" w:hAnsi="Courier New" w:hint="default"/>
      </w:rPr>
    </w:lvl>
    <w:lvl w:ilvl="8" w:tplc="2E4EB31A">
      <w:start w:val="1"/>
      <w:numFmt w:val="bullet"/>
      <w:lvlText w:val=""/>
      <w:lvlJc w:val="left"/>
      <w:pPr>
        <w:ind w:left="6480" w:hanging="360"/>
      </w:pPr>
      <w:rPr>
        <w:rFonts w:ascii="Wingdings" w:hAnsi="Wingdings" w:hint="default"/>
      </w:rPr>
    </w:lvl>
  </w:abstractNum>
  <w:abstractNum w:abstractNumId="17" w15:restartNumberingAfterBreak="0">
    <w:nsid w:val="7F4B288A"/>
    <w:multiLevelType w:val="hybridMultilevel"/>
    <w:tmpl w:val="04F201AC"/>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6"/>
  </w:num>
  <w:num w:numId="2">
    <w:abstractNumId w:val="5"/>
  </w:num>
  <w:num w:numId="3">
    <w:abstractNumId w:val="7"/>
  </w:num>
  <w:num w:numId="4">
    <w:abstractNumId w:val="15"/>
  </w:num>
  <w:num w:numId="5">
    <w:abstractNumId w:val="13"/>
  </w:num>
  <w:num w:numId="6">
    <w:abstractNumId w:val="8"/>
  </w:num>
  <w:num w:numId="7">
    <w:abstractNumId w:val="17"/>
  </w:num>
  <w:num w:numId="8">
    <w:abstractNumId w:val="2"/>
  </w:num>
  <w:num w:numId="9">
    <w:abstractNumId w:val="12"/>
  </w:num>
  <w:num w:numId="10">
    <w:abstractNumId w:val="0"/>
  </w:num>
  <w:num w:numId="11">
    <w:abstractNumId w:val="3"/>
  </w:num>
  <w:num w:numId="12">
    <w:abstractNumId w:val="9"/>
  </w:num>
  <w:num w:numId="13">
    <w:abstractNumId w:val="6"/>
  </w:num>
  <w:num w:numId="14">
    <w:abstractNumId w:val="10"/>
  </w:num>
  <w:num w:numId="15">
    <w:abstractNumId w:val="4"/>
  </w:num>
  <w:num w:numId="16">
    <w:abstractNumId w:val="11"/>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8D9DDDF9-2C98-4833-823A-66895AA52EFF"/>
    <w:docVar w:name="LW_COVERPAGE_TYPE" w:val="1"/>
    <w:docVar w:name="LW_CROSSREFERENCE" w:val="{SWD(2026) 8 final}"/>
    <w:docVar w:name="LW_DocType" w:val="NORMAL"/>
    <w:docVar w:name="LW_EMISSION" w:val="23.1.2026"/>
    <w:docVar w:name="LW_EMISSION_ISODATE" w:val="2026-01-23"/>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punerea în aplicare a articolului 46 din Regulamentul (UE) 2021/2116 al Parlamentului European \u537?i al Consiliului din 2 decembrie 2021 privind finan\u539?area, gestionarea \u537?i monitorizarea politicii agricole comune&lt;/FMT&gt;_x000b_"/>
    <w:docVar w:name="LW_TYPE.DOC.CP" w:val="RAPORT AL COMISIEI C\u258?TRE PARLAMENTUL EUROPEAN \u536?I CONSILIU"/>
    <w:docVar w:name="LwApiVersions" w:val="LW4CoDe 1.24.5.0; LW 9.2, Build 20251112"/>
  </w:docVars>
  <w:rsids>
    <w:rsidRoot w:val="003F3F89"/>
    <w:rsid w:val="00002DF0"/>
    <w:rsid w:val="000038E8"/>
    <w:rsid w:val="000254CF"/>
    <w:rsid w:val="000270D8"/>
    <w:rsid w:val="000310FD"/>
    <w:rsid w:val="000327A7"/>
    <w:rsid w:val="00036B33"/>
    <w:rsid w:val="00037244"/>
    <w:rsid w:val="000465D9"/>
    <w:rsid w:val="0005066A"/>
    <w:rsid w:val="00052096"/>
    <w:rsid w:val="00054968"/>
    <w:rsid w:val="0006295F"/>
    <w:rsid w:val="00072FFF"/>
    <w:rsid w:val="00074C29"/>
    <w:rsid w:val="000759D3"/>
    <w:rsid w:val="00076402"/>
    <w:rsid w:val="00077847"/>
    <w:rsid w:val="000844E2"/>
    <w:rsid w:val="00095F2C"/>
    <w:rsid w:val="000A247B"/>
    <w:rsid w:val="000A5DFA"/>
    <w:rsid w:val="000B7235"/>
    <w:rsid w:val="000D0D98"/>
    <w:rsid w:val="000D6723"/>
    <w:rsid w:val="000E12B7"/>
    <w:rsid w:val="000F027F"/>
    <w:rsid w:val="000F3CAB"/>
    <w:rsid w:val="00111759"/>
    <w:rsid w:val="00120B65"/>
    <w:rsid w:val="00127381"/>
    <w:rsid w:val="00132424"/>
    <w:rsid w:val="00133EE0"/>
    <w:rsid w:val="00147000"/>
    <w:rsid w:val="00177792"/>
    <w:rsid w:val="00182260"/>
    <w:rsid w:val="0019508F"/>
    <w:rsid w:val="001A0161"/>
    <w:rsid w:val="001A0DC7"/>
    <w:rsid w:val="001A14BA"/>
    <w:rsid w:val="001C1BEE"/>
    <w:rsid w:val="001C3636"/>
    <w:rsid w:val="001C6D19"/>
    <w:rsid w:val="001D6163"/>
    <w:rsid w:val="001D77FD"/>
    <w:rsid w:val="001E7CB9"/>
    <w:rsid w:val="00201FD2"/>
    <w:rsid w:val="00202DDB"/>
    <w:rsid w:val="002075B1"/>
    <w:rsid w:val="00210529"/>
    <w:rsid w:val="00221FE0"/>
    <w:rsid w:val="00223795"/>
    <w:rsid w:val="00227B6D"/>
    <w:rsid w:val="002329DF"/>
    <w:rsid w:val="0024091E"/>
    <w:rsid w:val="002413DA"/>
    <w:rsid w:val="00244CA2"/>
    <w:rsid w:val="002539B8"/>
    <w:rsid w:val="00254271"/>
    <w:rsid w:val="00262FAF"/>
    <w:rsid w:val="0027036F"/>
    <w:rsid w:val="00272FCF"/>
    <w:rsid w:val="002751CD"/>
    <w:rsid w:val="00281EE0"/>
    <w:rsid w:val="00283C30"/>
    <w:rsid w:val="002846D5"/>
    <w:rsid w:val="002A087D"/>
    <w:rsid w:val="002A1517"/>
    <w:rsid w:val="002A5A6D"/>
    <w:rsid w:val="002B0ADA"/>
    <w:rsid w:val="002B1948"/>
    <w:rsid w:val="002B6090"/>
    <w:rsid w:val="002C4642"/>
    <w:rsid w:val="002E0086"/>
    <w:rsid w:val="002E4221"/>
    <w:rsid w:val="002F11C0"/>
    <w:rsid w:val="002F3A00"/>
    <w:rsid w:val="002F5FD7"/>
    <w:rsid w:val="0031409B"/>
    <w:rsid w:val="00317E32"/>
    <w:rsid w:val="0032319C"/>
    <w:rsid w:val="00325BB6"/>
    <w:rsid w:val="003340AB"/>
    <w:rsid w:val="00335E75"/>
    <w:rsid w:val="00352F5F"/>
    <w:rsid w:val="003539A4"/>
    <w:rsid w:val="00355867"/>
    <w:rsid w:val="00365A9D"/>
    <w:rsid w:val="00366615"/>
    <w:rsid w:val="00366D76"/>
    <w:rsid w:val="00366F4F"/>
    <w:rsid w:val="00367CD5"/>
    <w:rsid w:val="00374D93"/>
    <w:rsid w:val="00375E71"/>
    <w:rsid w:val="00380FF9"/>
    <w:rsid w:val="0038738B"/>
    <w:rsid w:val="003A317C"/>
    <w:rsid w:val="003A3720"/>
    <w:rsid w:val="003B0D87"/>
    <w:rsid w:val="003B6D8D"/>
    <w:rsid w:val="003C0282"/>
    <w:rsid w:val="003C0CE2"/>
    <w:rsid w:val="003D6189"/>
    <w:rsid w:val="003F3F89"/>
    <w:rsid w:val="003F79EE"/>
    <w:rsid w:val="00404AE2"/>
    <w:rsid w:val="00406757"/>
    <w:rsid w:val="00407FBD"/>
    <w:rsid w:val="004111ED"/>
    <w:rsid w:val="00411D93"/>
    <w:rsid w:val="00412036"/>
    <w:rsid w:val="004141B8"/>
    <w:rsid w:val="00415DF1"/>
    <w:rsid w:val="00422AE8"/>
    <w:rsid w:val="004270AF"/>
    <w:rsid w:val="00433B9A"/>
    <w:rsid w:val="00437281"/>
    <w:rsid w:val="0044051E"/>
    <w:rsid w:val="0044294E"/>
    <w:rsid w:val="00447E87"/>
    <w:rsid w:val="004504A3"/>
    <w:rsid w:val="004512B7"/>
    <w:rsid w:val="0045765B"/>
    <w:rsid w:val="004859DA"/>
    <w:rsid w:val="004875F0"/>
    <w:rsid w:val="00493B36"/>
    <w:rsid w:val="00495040"/>
    <w:rsid w:val="004A09C4"/>
    <w:rsid w:val="004A0BCC"/>
    <w:rsid w:val="004A1FF9"/>
    <w:rsid w:val="004C2CD5"/>
    <w:rsid w:val="004C5333"/>
    <w:rsid w:val="004D143D"/>
    <w:rsid w:val="004D2667"/>
    <w:rsid w:val="004D3FFC"/>
    <w:rsid w:val="004E2428"/>
    <w:rsid w:val="004F350D"/>
    <w:rsid w:val="00502F1B"/>
    <w:rsid w:val="00505481"/>
    <w:rsid w:val="005113E6"/>
    <w:rsid w:val="00515461"/>
    <w:rsid w:val="00515FE5"/>
    <w:rsid w:val="00516FE0"/>
    <w:rsid w:val="005216C1"/>
    <w:rsid w:val="00524DBC"/>
    <w:rsid w:val="0053294C"/>
    <w:rsid w:val="00534710"/>
    <w:rsid w:val="0053479E"/>
    <w:rsid w:val="00547688"/>
    <w:rsid w:val="0055008E"/>
    <w:rsid w:val="00551A40"/>
    <w:rsid w:val="005557C6"/>
    <w:rsid w:val="005735C3"/>
    <w:rsid w:val="005808F7"/>
    <w:rsid w:val="00585089"/>
    <w:rsid w:val="005855FF"/>
    <w:rsid w:val="0058733F"/>
    <w:rsid w:val="00587753"/>
    <w:rsid w:val="00587804"/>
    <w:rsid w:val="00590EC4"/>
    <w:rsid w:val="0059233E"/>
    <w:rsid w:val="00593E05"/>
    <w:rsid w:val="00594A9F"/>
    <w:rsid w:val="005966AE"/>
    <w:rsid w:val="00597290"/>
    <w:rsid w:val="005A07CC"/>
    <w:rsid w:val="005A0EB0"/>
    <w:rsid w:val="005A37C4"/>
    <w:rsid w:val="005A3875"/>
    <w:rsid w:val="005C4965"/>
    <w:rsid w:val="005D05F5"/>
    <w:rsid w:val="005D6B5A"/>
    <w:rsid w:val="005F258E"/>
    <w:rsid w:val="00613A9D"/>
    <w:rsid w:val="00624C20"/>
    <w:rsid w:val="00624D84"/>
    <w:rsid w:val="0063057A"/>
    <w:rsid w:val="0064615E"/>
    <w:rsid w:val="006620CF"/>
    <w:rsid w:val="006643AC"/>
    <w:rsid w:val="00664A62"/>
    <w:rsid w:val="00680564"/>
    <w:rsid w:val="00687C66"/>
    <w:rsid w:val="006959C0"/>
    <w:rsid w:val="00697FB5"/>
    <w:rsid w:val="006A3FA7"/>
    <w:rsid w:val="006A61DF"/>
    <w:rsid w:val="006A68A7"/>
    <w:rsid w:val="006A7F70"/>
    <w:rsid w:val="006B466E"/>
    <w:rsid w:val="006C41B3"/>
    <w:rsid w:val="006C5F18"/>
    <w:rsid w:val="006C68F6"/>
    <w:rsid w:val="006C7681"/>
    <w:rsid w:val="006D35DF"/>
    <w:rsid w:val="006E0CBF"/>
    <w:rsid w:val="006E6A06"/>
    <w:rsid w:val="007032CA"/>
    <w:rsid w:val="00706CCD"/>
    <w:rsid w:val="0071466E"/>
    <w:rsid w:val="00716181"/>
    <w:rsid w:val="007210C5"/>
    <w:rsid w:val="00722084"/>
    <w:rsid w:val="0072708F"/>
    <w:rsid w:val="007312C9"/>
    <w:rsid w:val="007322EA"/>
    <w:rsid w:val="007407AA"/>
    <w:rsid w:val="00755FF2"/>
    <w:rsid w:val="007603D6"/>
    <w:rsid w:val="00760CED"/>
    <w:rsid w:val="007649F2"/>
    <w:rsid w:val="00770274"/>
    <w:rsid w:val="00783568"/>
    <w:rsid w:val="0079417D"/>
    <w:rsid w:val="00795A1A"/>
    <w:rsid w:val="007A1CCA"/>
    <w:rsid w:val="007A3FD3"/>
    <w:rsid w:val="007A4093"/>
    <w:rsid w:val="007A464C"/>
    <w:rsid w:val="007D0039"/>
    <w:rsid w:val="007D42F5"/>
    <w:rsid w:val="007D5846"/>
    <w:rsid w:val="007E5E9B"/>
    <w:rsid w:val="00814376"/>
    <w:rsid w:val="00826505"/>
    <w:rsid w:val="00831D11"/>
    <w:rsid w:val="00864937"/>
    <w:rsid w:val="00877323"/>
    <w:rsid w:val="0088254C"/>
    <w:rsid w:val="00885640"/>
    <w:rsid w:val="00891586"/>
    <w:rsid w:val="0089629F"/>
    <w:rsid w:val="008B03DA"/>
    <w:rsid w:val="008B08B4"/>
    <w:rsid w:val="008B336D"/>
    <w:rsid w:val="008B4A76"/>
    <w:rsid w:val="008C5315"/>
    <w:rsid w:val="008C68C2"/>
    <w:rsid w:val="008D15BC"/>
    <w:rsid w:val="008D67B9"/>
    <w:rsid w:val="008D68FC"/>
    <w:rsid w:val="008E47B9"/>
    <w:rsid w:val="008F30BD"/>
    <w:rsid w:val="008F4B6A"/>
    <w:rsid w:val="009050EA"/>
    <w:rsid w:val="0092056F"/>
    <w:rsid w:val="0092388D"/>
    <w:rsid w:val="009259A2"/>
    <w:rsid w:val="00927ECA"/>
    <w:rsid w:val="00935FE6"/>
    <w:rsid w:val="00941E11"/>
    <w:rsid w:val="00946514"/>
    <w:rsid w:val="00946C82"/>
    <w:rsid w:val="00955676"/>
    <w:rsid w:val="00960A65"/>
    <w:rsid w:val="00962CB2"/>
    <w:rsid w:val="00963D7A"/>
    <w:rsid w:val="00982B8A"/>
    <w:rsid w:val="00986067"/>
    <w:rsid w:val="009A274A"/>
    <w:rsid w:val="009B08F9"/>
    <w:rsid w:val="009B165A"/>
    <w:rsid w:val="009B2421"/>
    <w:rsid w:val="009B35E8"/>
    <w:rsid w:val="009B5317"/>
    <w:rsid w:val="009C0804"/>
    <w:rsid w:val="009D1F02"/>
    <w:rsid w:val="009D32D5"/>
    <w:rsid w:val="009D573F"/>
    <w:rsid w:val="009D70BD"/>
    <w:rsid w:val="009D7C5B"/>
    <w:rsid w:val="009F298A"/>
    <w:rsid w:val="009F2E72"/>
    <w:rsid w:val="009F3A98"/>
    <w:rsid w:val="009F431E"/>
    <w:rsid w:val="009F694A"/>
    <w:rsid w:val="00A04E38"/>
    <w:rsid w:val="00A1348B"/>
    <w:rsid w:val="00A13F95"/>
    <w:rsid w:val="00A16407"/>
    <w:rsid w:val="00A16C1B"/>
    <w:rsid w:val="00A235A1"/>
    <w:rsid w:val="00A31396"/>
    <w:rsid w:val="00A36FBE"/>
    <w:rsid w:val="00A42921"/>
    <w:rsid w:val="00A70777"/>
    <w:rsid w:val="00A71399"/>
    <w:rsid w:val="00A8204B"/>
    <w:rsid w:val="00A823B5"/>
    <w:rsid w:val="00A8482B"/>
    <w:rsid w:val="00A85598"/>
    <w:rsid w:val="00A92A7B"/>
    <w:rsid w:val="00A93822"/>
    <w:rsid w:val="00AA1ED1"/>
    <w:rsid w:val="00AA657B"/>
    <w:rsid w:val="00AB5969"/>
    <w:rsid w:val="00AB7587"/>
    <w:rsid w:val="00AC1288"/>
    <w:rsid w:val="00AC28A7"/>
    <w:rsid w:val="00AC452D"/>
    <w:rsid w:val="00AD2E4E"/>
    <w:rsid w:val="00AD55A7"/>
    <w:rsid w:val="00AE2D16"/>
    <w:rsid w:val="00AF0A8D"/>
    <w:rsid w:val="00AF1A44"/>
    <w:rsid w:val="00AF6249"/>
    <w:rsid w:val="00B10237"/>
    <w:rsid w:val="00B1353D"/>
    <w:rsid w:val="00B26AFD"/>
    <w:rsid w:val="00B32A09"/>
    <w:rsid w:val="00B33F24"/>
    <w:rsid w:val="00B36B25"/>
    <w:rsid w:val="00B36EE0"/>
    <w:rsid w:val="00B51536"/>
    <w:rsid w:val="00B578DA"/>
    <w:rsid w:val="00B579AD"/>
    <w:rsid w:val="00B62C5D"/>
    <w:rsid w:val="00B6528B"/>
    <w:rsid w:val="00B70505"/>
    <w:rsid w:val="00B7724F"/>
    <w:rsid w:val="00B7742A"/>
    <w:rsid w:val="00B83B7D"/>
    <w:rsid w:val="00B85FA3"/>
    <w:rsid w:val="00BA4789"/>
    <w:rsid w:val="00BB05C5"/>
    <w:rsid w:val="00BB1581"/>
    <w:rsid w:val="00BB459F"/>
    <w:rsid w:val="00BB6078"/>
    <w:rsid w:val="00BB7588"/>
    <w:rsid w:val="00BC09E8"/>
    <w:rsid w:val="00BD0225"/>
    <w:rsid w:val="00BD3264"/>
    <w:rsid w:val="00BD5BF2"/>
    <w:rsid w:val="00BE0E0C"/>
    <w:rsid w:val="00BE1763"/>
    <w:rsid w:val="00BE29D8"/>
    <w:rsid w:val="00BE6319"/>
    <w:rsid w:val="00BF148B"/>
    <w:rsid w:val="00BF52E6"/>
    <w:rsid w:val="00BF70AF"/>
    <w:rsid w:val="00C039BF"/>
    <w:rsid w:val="00C05B73"/>
    <w:rsid w:val="00C10948"/>
    <w:rsid w:val="00C14F19"/>
    <w:rsid w:val="00C17C23"/>
    <w:rsid w:val="00C244C2"/>
    <w:rsid w:val="00C27FA5"/>
    <w:rsid w:val="00C3076D"/>
    <w:rsid w:val="00C34ADD"/>
    <w:rsid w:val="00C528BB"/>
    <w:rsid w:val="00C531CE"/>
    <w:rsid w:val="00C6150D"/>
    <w:rsid w:val="00C63913"/>
    <w:rsid w:val="00C95366"/>
    <w:rsid w:val="00C97FC0"/>
    <w:rsid w:val="00CA125B"/>
    <w:rsid w:val="00CA19A4"/>
    <w:rsid w:val="00CA26A6"/>
    <w:rsid w:val="00CA6D58"/>
    <w:rsid w:val="00CA7F3D"/>
    <w:rsid w:val="00CB3901"/>
    <w:rsid w:val="00CB4AB1"/>
    <w:rsid w:val="00CC7638"/>
    <w:rsid w:val="00CD3142"/>
    <w:rsid w:val="00CF1043"/>
    <w:rsid w:val="00CF1B41"/>
    <w:rsid w:val="00CF703C"/>
    <w:rsid w:val="00D03DDD"/>
    <w:rsid w:val="00D119D7"/>
    <w:rsid w:val="00D12BB2"/>
    <w:rsid w:val="00D45A80"/>
    <w:rsid w:val="00D503A2"/>
    <w:rsid w:val="00D63785"/>
    <w:rsid w:val="00D7228D"/>
    <w:rsid w:val="00D82ADB"/>
    <w:rsid w:val="00D83946"/>
    <w:rsid w:val="00D864C3"/>
    <w:rsid w:val="00D877E8"/>
    <w:rsid w:val="00D96643"/>
    <w:rsid w:val="00D9745D"/>
    <w:rsid w:val="00DA0B8A"/>
    <w:rsid w:val="00DA1ADB"/>
    <w:rsid w:val="00DA6EE0"/>
    <w:rsid w:val="00DA72F4"/>
    <w:rsid w:val="00DB1507"/>
    <w:rsid w:val="00DB51FC"/>
    <w:rsid w:val="00DB5E97"/>
    <w:rsid w:val="00DB69FA"/>
    <w:rsid w:val="00DB6FBF"/>
    <w:rsid w:val="00DC04F0"/>
    <w:rsid w:val="00DC7E4D"/>
    <w:rsid w:val="00DE4513"/>
    <w:rsid w:val="00DE6000"/>
    <w:rsid w:val="00DE7072"/>
    <w:rsid w:val="00DF3778"/>
    <w:rsid w:val="00E01BAE"/>
    <w:rsid w:val="00E06D3F"/>
    <w:rsid w:val="00E12ACE"/>
    <w:rsid w:val="00E12C26"/>
    <w:rsid w:val="00E1487A"/>
    <w:rsid w:val="00E151E3"/>
    <w:rsid w:val="00E24776"/>
    <w:rsid w:val="00E24B70"/>
    <w:rsid w:val="00E37A7F"/>
    <w:rsid w:val="00E42625"/>
    <w:rsid w:val="00E468AA"/>
    <w:rsid w:val="00E54BDD"/>
    <w:rsid w:val="00E5750B"/>
    <w:rsid w:val="00E60011"/>
    <w:rsid w:val="00E61F22"/>
    <w:rsid w:val="00E67EA1"/>
    <w:rsid w:val="00E80054"/>
    <w:rsid w:val="00E83DFA"/>
    <w:rsid w:val="00E86F83"/>
    <w:rsid w:val="00E93D0E"/>
    <w:rsid w:val="00EA77E1"/>
    <w:rsid w:val="00EB3194"/>
    <w:rsid w:val="00EB3FC8"/>
    <w:rsid w:val="00EE20FE"/>
    <w:rsid w:val="00EF7F25"/>
    <w:rsid w:val="00F0242F"/>
    <w:rsid w:val="00F20C61"/>
    <w:rsid w:val="00F22C1D"/>
    <w:rsid w:val="00F30A1A"/>
    <w:rsid w:val="00F4551B"/>
    <w:rsid w:val="00F4667D"/>
    <w:rsid w:val="00F541D1"/>
    <w:rsid w:val="00F66200"/>
    <w:rsid w:val="00F8338F"/>
    <w:rsid w:val="00F8788F"/>
    <w:rsid w:val="00F9150A"/>
    <w:rsid w:val="00FA19C5"/>
    <w:rsid w:val="00FA2DF9"/>
    <w:rsid w:val="00FB366A"/>
    <w:rsid w:val="00FB7438"/>
    <w:rsid w:val="00FB7B33"/>
    <w:rsid w:val="00FB7DDB"/>
    <w:rsid w:val="00FC3369"/>
    <w:rsid w:val="00FC3512"/>
    <w:rsid w:val="00FD0D86"/>
    <w:rsid w:val="00FD3D4C"/>
    <w:rsid w:val="00FE3F5E"/>
    <w:rsid w:val="00FE4672"/>
    <w:rsid w:val="00FE7C29"/>
    <w:rsid w:val="00FF0B37"/>
    <w:rsid w:val="00FF77EE"/>
    <w:rsid w:val="02F52F1C"/>
    <w:rsid w:val="0365D3E2"/>
    <w:rsid w:val="03EAA16C"/>
    <w:rsid w:val="03F1D4F0"/>
    <w:rsid w:val="0473AD9C"/>
    <w:rsid w:val="06376635"/>
    <w:rsid w:val="076A9FD7"/>
    <w:rsid w:val="07923A7D"/>
    <w:rsid w:val="08290163"/>
    <w:rsid w:val="093E054F"/>
    <w:rsid w:val="09DBECD1"/>
    <w:rsid w:val="09FB3FD5"/>
    <w:rsid w:val="0AA9C911"/>
    <w:rsid w:val="0AC4F0F4"/>
    <w:rsid w:val="0C305BB9"/>
    <w:rsid w:val="0CFD6954"/>
    <w:rsid w:val="0D5D4386"/>
    <w:rsid w:val="0DD0C47C"/>
    <w:rsid w:val="0F4059AC"/>
    <w:rsid w:val="100ACE21"/>
    <w:rsid w:val="10DD2CC5"/>
    <w:rsid w:val="1161D7F8"/>
    <w:rsid w:val="117A695B"/>
    <w:rsid w:val="1214EE94"/>
    <w:rsid w:val="144A95CD"/>
    <w:rsid w:val="1578F91B"/>
    <w:rsid w:val="16938765"/>
    <w:rsid w:val="16A4A078"/>
    <w:rsid w:val="18B140EE"/>
    <w:rsid w:val="1A1F9FFD"/>
    <w:rsid w:val="1B321732"/>
    <w:rsid w:val="1BBECE06"/>
    <w:rsid w:val="1BEB9882"/>
    <w:rsid w:val="1CD7003C"/>
    <w:rsid w:val="1D39B2FC"/>
    <w:rsid w:val="1FD82972"/>
    <w:rsid w:val="20340E17"/>
    <w:rsid w:val="2089D8E5"/>
    <w:rsid w:val="20D50509"/>
    <w:rsid w:val="20FDB24E"/>
    <w:rsid w:val="215DFF83"/>
    <w:rsid w:val="222420A9"/>
    <w:rsid w:val="2272D394"/>
    <w:rsid w:val="233884F5"/>
    <w:rsid w:val="23722348"/>
    <w:rsid w:val="23D0DDF3"/>
    <w:rsid w:val="25C5A057"/>
    <w:rsid w:val="2623DF46"/>
    <w:rsid w:val="2631D39E"/>
    <w:rsid w:val="27EC4A50"/>
    <w:rsid w:val="2883151E"/>
    <w:rsid w:val="292681DB"/>
    <w:rsid w:val="29AE5AF3"/>
    <w:rsid w:val="29F67D8C"/>
    <w:rsid w:val="2B1746C0"/>
    <w:rsid w:val="2B2A9912"/>
    <w:rsid w:val="2CB0A14C"/>
    <w:rsid w:val="2CC0D551"/>
    <w:rsid w:val="2D79E421"/>
    <w:rsid w:val="2DF277C6"/>
    <w:rsid w:val="2DF51FC5"/>
    <w:rsid w:val="2ECDD0A3"/>
    <w:rsid w:val="2FC55995"/>
    <w:rsid w:val="3093F093"/>
    <w:rsid w:val="3156D244"/>
    <w:rsid w:val="327EC836"/>
    <w:rsid w:val="344EC82B"/>
    <w:rsid w:val="34AB5468"/>
    <w:rsid w:val="357E71FE"/>
    <w:rsid w:val="36C0A3DF"/>
    <w:rsid w:val="36C623DF"/>
    <w:rsid w:val="384699E8"/>
    <w:rsid w:val="3A1190AE"/>
    <w:rsid w:val="3A4EEB48"/>
    <w:rsid w:val="3A71482D"/>
    <w:rsid w:val="3AEC2C7D"/>
    <w:rsid w:val="3B13EB23"/>
    <w:rsid w:val="3C567F8D"/>
    <w:rsid w:val="3D4446D4"/>
    <w:rsid w:val="3DE68AF6"/>
    <w:rsid w:val="3F388EA0"/>
    <w:rsid w:val="3F8DAC0C"/>
    <w:rsid w:val="4083CD36"/>
    <w:rsid w:val="40BE1231"/>
    <w:rsid w:val="40C809C1"/>
    <w:rsid w:val="417E1E13"/>
    <w:rsid w:val="41AA9DDC"/>
    <w:rsid w:val="41DA495D"/>
    <w:rsid w:val="422EAFC0"/>
    <w:rsid w:val="43A7E740"/>
    <w:rsid w:val="4484B279"/>
    <w:rsid w:val="44BE3877"/>
    <w:rsid w:val="45086C02"/>
    <w:rsid w:val="453EEF03"/>
    <w:rsid w:val="4735CF6C"/>
    <w:rsid w:val="4896C499"/>
    <w:rsid w:val="48E38CC3"/>
    <w:rsid w:val="48F860CD"/>
    <w:rsid w:val="4A662200"/>
    <w:rsid w:val="4D9F9EED"/>
    <w:rsid w:val="4E4DD95B"/>
    <w:rsid w:val="4EE002EE"/>
    <w:rsid w:val="501AFCBC"/>
    <w:rsid w:val="502DEA46"/>
    <w:rsid w:val="50F67782"/>
    <w:rsid w:val="51D55706"/>
    <w:rsid w:val="52FDD4B2"/>
    <w:rsid w:val="537BE361"/>
    <w:rsid w:val="54E76841"/>
    <w:rsid w:val="54F25269"/>
    <w:rsid w:val="54F581DE"/>
    <w:rsid w:val="577ED403"/>
    <w:rsid w:val="58C74FF2"/>
    <w:rsid w:val="59376C70"/>
    <w:rsid w:val="59BBEACA"/>
    <w:rsid w:val="5A5AE741"/>
    <w:rsid w:val="5AC825C7"/>
    <w:rsid w:val="5C05F3F2"/>
    <w:rsid w:val="5C225652"/>
    <w:rsid w:val="5C75B308"/>
    <w:rsid w:val="5FA207AB"/>
    <w:rsid w:val="60478582"/>
    <w:rsid w:val="6437CE63"/>
    <w:rsid w:val="64B5DA4E"/>
    <w:rsid w:val="65BB91EB"/>
    <w:rsid w:val="6633F73A"/>
    <w:rsid w:val="6643E99C"/>
    <w:rsid w:val="66E42663"/>
    <w:rsid w:val="67FB5E05"/>
    <w:rsid w:val="68230273"/>
    <w:rsid w:val="68C90ABA"/>
    <w:rsid w:val="68EA52A8"/>
    <w:rsid w:val="6A104F84"/>
    <w:rsid w:val="6AD1ADD8"/>
    <w:rsid w:val="6C0DCB78"/>
    <w:rsid w:val="6CF7F034"/>
    <w:rsid w:val="6D3D39F3"/>
    <w:rsid w:val="6DE5BA90"/>
    <w:rsid w:val="6E303A50"/>
    <w:rsid w:val="6E574AC8"/>
    <w:rsid w:val="6F4BCFAE"/>
    <w:rsid w:val="6F7D950D"/>
    <w:rsid w:val="6F9D17B3"/>
    <w:rsid w:val="6FBF8753"/>
    <w:rsid w:val="70C2D2CA"/>
    <w:rsid w:val="72DA5098"/>
    <w:rsid w:val="734CCB44"/>
    <w:rsid w:val="7487EBB4"/>
    <w:rsid w:val="75FB4F92"/>
    <w:rsid w:val="7623FE97"/>
    <w:rsid w:val="7672CACA"/>
    <w:rsid w:val="772000AB"/>
    <w:rsid w:val="778B9C21"/>
    <w:rsid w:val="782F6C48"/>
    <w:rsid w:val="7920C549"/>
    <w:rsid w:val="7AB0E036"/>
    <w:rsid w:val="7AD13DAA"/>
    <w:rsid w:val="7CE1798A"/>
    <w:rsid w:val="7CE2417C"/>
    <w:rsid w:val="7D942723"/>
    <w:rsid w:val="7E13651F"/>
    <w:rsid w:val="7E5838CE"/>
    <w:rsid w:val="7F7A802A"/>
    <w:rsid w:val="7FC0FE31"/>
    <w:rsid w:val="7FF96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729233"/>
  <w15:chartTrackingRefBased/>
  <w15:docId w15:val="{9C685C8D-F079-4FD7-B14F-34E253F1A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F3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3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3F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3F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3F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3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3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3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3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F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3F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3F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3F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3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3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F89"/>
    <w:rPr>
      <w:rFonts w:eastAsiaTheme="majorEastAsia" w:cstheme="majorBidi"/>
      <w:color w:val="272727" w:themeColor="text1" w:themeTint="D8"/>
    </w:rPr>
  </w:style>
  <w:style w:type="paragraph" w:styleId="Title">
    <w:name w:val="Title"/>
    <w:basedOn w:val="Normal"/>
    <w:next w:val="Normal"/>
    <w:link w:val="TitleChar"/>
    <w:uiPriority w:val="10"/>
    <w:qFormat/>
    <w:rsid w:val="003F3F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3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F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F89"/>
    <w:pPr>
      <w:spacing w:before="160"/>
      <w:jc w:val="center"/>
    </w:pPr>
    <w:rPr>
      <w:i/>
      <w:iCs/>
      <w:color w:val="404040" w:themeColor="text1" w:themeTint="BF"/>
    </w:rPr>
  </w:style>
  <w:style w:type="character" w:customStyle="1" w:styleId="QuoteChar">
    <w:name w:val="Quote Char"/>
    <w:basedOn w:val="DefaultParagraphFont"/>
    <w:link w:val="Quote"/>
    <w:uiPriority w:val="29"/>
    <w:rsid w:val="003F3F89"/>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3F3F89"/>
    <w:pPr>
      <w:ind w:left="720"/>
      <w:contextualSpacing/>
    </w:pPr>
  </w:style>
  <w:style w:type="character" w:styleId="IntenseEmphasis">
    <w:name w:val="Intense Emphasis"/>
    <w:basedOn w:val="DefaultParagraphFont"/>
    <w:uiPriority w:val="21"/>
    <w:qFormat/>
    <w:rsid w:val="003F3F89"/>
    <w:rPr>
      <w:i/>
      <w:iCs/>
      <w:color w:val="0F4761" w:themeColor="accent1" w:themeShade="BF"/>
    </w:rPr>
  </w:style>
  <w:style w:type="paragraph" w:styleId="IntenseQuote">
    <w:name w:val="Intense Quote"/>
    <w:basedOn w:val="Normal"/>
    <w:next w:val="Normal"/>
    <w:link w:val="IntenseQuoteChar"/>
    <w:uiPriority w:val="30"/>
    <w:qFormat/>
    <w:rsid w:val="003F3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3F89"/>
    <w:rPr>
      <w:i/>
      <w:iCs/>
      <w:color w:val="0F4761" w:themeColor="accent1" w:themeShade="BF"/>
    </w:rPr>
  </w:style>
  <w:style w:type="character" w:styleId="IntenseReference">
    <w:name w:val="Intense Reference"/>
    <w:basedOn w:val="DefaultParagraphFont"/>
    <w:uiPriority w:val="32"/>
    <w:qFormat/>
    <w:rsid w:val="003F3F89"/>
    <w:rPr>
      <w:b/>
      <w:bCs/>
      <w:smallCaps/>
      <w:color w:val="0F4761" w:themeColor="accent1" w:themeShade="BF"/>
      <w:spacing w:val="5"/>
    </w:rPr>
  </w:style>
  <w:style w:type="character" w:customStyle="1" w:styleId="Marker">
    <w:name w:val="Marker"/>
    <w:basedOn w:val="DefaultParagraphFont"/>
    <w:rsid w:val="003F3F89"/>
    <w:rPr>
      <w:color w:val="0000FF"/>
      <w:shd w:val="clear" w:color="auto" w:fill="auto"/>
    </w:rPr>
  </w:style>
  <w:style w:type="paragraph" w:styleId="Header">
    <w:name w:val="header"/>
    <w:basedOn w:val="Normal"/>
    <w:link w:val="HeaderChar"/>
    <w:uiPriority w:val="99"/>
    <w:unhideWhenUsed/>
    <w:rsid w:val="003F3F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3F89"/>
  </w:style>
  <w:style w:type="paragraph" w:styleId="Footer">
    <w:name w:val="footer"/>
    <w:basedOn w:val="Normal"/>
    <w:link w:val="FooterChar"/>
    <w:uiPriority w:val="99"/>
    <w:unhideWhenUsed/>
    <w:rsid w:val="003F3F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3F89"/>
  </w:style>
  <w:style w:type="paragraph" w:customStyle="1" w:styleId="Pagedecouverture">
    <w:name w:val="Page de couverture"/>
    <w:basedOn w:val="Normal"/>
    <w:next w:val="Normal"/>
    <w:rsid w:val="003F3F89"/>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3F3F8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F3F89"/>
    <w:rPr>
      <w:rFonts w:ascii="Times New Roman" w:hAnsi="Times New Roman" w:cs="Times New Roman"/>
      <w:sz w:val="24"/>
    </w:rPr>
  </w:style>
  <w:style w:type="paragraph" w:customStyle="1" w:styleId="FooterSensitivity">
    <w:name w:val="Footer Sensitivity"/>
    <w:basedOn w:val="Normal"/>
    <w:link w:val="FooterSensitivityChar"/>
    <w:rsid w:val="003F3F8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F3F89"/>
    <w:rPr>
      <w:rFonts w:ascii="Times New Roman" w:hAnsi="Times New Roman" w:cs="Times New Roman"/>
      <w:b/>
      <w:sz w:val="32"/>
    </w:rPr>
  </w:style>
  <w:style w:type="paragraph" w:customStyle="1" w:styleId="HeaderCoverPage">
    <w:name w:val="Header Cover Page"/>
    <w:basedOn w:val="Normal"/>
    <w:link w:val="HeaderCoverPageChar"/>
    <w:rsid w:val="003F3F8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F3F89"/>
    <w:rPr>
      <w:rFonts w:ascii="Times New Roman" w:hAnsi="Times New Roman" w:cs="Times New Roman"/>
      <w:sz w:val="24"/>
    </w:rPr>
  </w:style>
  <w:style w:type="paragraph" w:customStyle="1" w:styleId="HeaderSensitivity">
    <w:name w:val="Header Sensitivity"/>
    <w:basedOn w:val="Normal"/>
    <w:link w:val="HeaderSensitivityChar"/>
    <w:rsid w:val="003F3F8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F3F89"/>
    <w:rPr>
      <w:rFonts w:ascii="Times New Roman" w:hAnsi="Times New Roman" w:cs="Times New Roman"/>
      <w:b/>
      <w:sz w:val="32"/>
    </w:rPr>
  </w:style>
  <w:style w:type="paragraph" w:customStyle="1" w:styleId="HeaderSensitivityRight">
    <w:name w:val="Header Sensitivity Right"/>
    <w:basedOn w:val="Normal"/>
    <w:link w:val="HeaderSensitivityRightChar"/>
    <w:rsid w:val="003F3F8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F3F89"/>
    <w:rPr>
      <w:rFonts w:ascii="Times New Roman" w:hAnsi="Times New Roman" w:cs="Times New Roman"/>
      <w:sz w:val="28"/>
    </w:rPr>
  </w:style>
  <w:style w:type="paragraph" w:styleId="FootnoteText">
    <w:name w:val="footnote text"/>
    <w:basedOn w:val="Normal"/>
    <w:link w:val="FootnoteTextChar"/>
    <w:uiPriority w:val="99"/>
    <w:rsid w:val="004A1FF9"/>
    <w:pPr>
      <w:spacing w:after="0" w:line="240" w:lineRule="auto"/>
      <w:ind w:left="720" w:hanging="720"/>
      <w:jc w:val="both"/>
    </w:pPr>
    <w:rPr>
      <w:rFonts w:ascii="Times New Roman" w:eastAsia="Times New Roman" w:hAnsi="Times New Roman" w:cs="Times New Roman"/>
      <w:kern w:val="0"/>
      <w:sz w:val="20"/>
      <w:szCs w:val="20"/>
    </w:rPr>
  </w:style>
  <w:style w:type="character" w:customStyle="1" w:styleId="FootnoteTextChar">
    <w:name w:val="Footnote Text Char"/>
    <w:basedOn w:val="DefaultParagraphFont"/>
    <w:link w:val="FootnoteText"/>
    <w:uiPriority w:val="99"/>
    <w:rsid w:val="004A1FF9"/>
    <w:rPr>
      <w:rFonts w:ascii="Times New Roman" w:eastAsia="Times New Roman" w:hAnsi="Times New Roman" w:cs="Times New Roman"/>
      <w:kern w:val="0"/>
      <w:sz w:val="20"/>
      <w:szCs w:val="20"/>
    </w:rPr>
  </w:style>
  <w:style w:type="character" w:styleId="FootnoteReference">
    <w:name w:val="footnote reference"/>
    <w:uiPriority w:val="99"/>
    <w:rsid w:val="004A1FF9"/>
    <w:rPr>
      <w:shd w:val="clear" w:color="auto" w:fill="auto"/>
      <w:vertAlign w:val="superscript"/>
    </w:rPr>
  </w:style>
  <w:style w:type="paragraph" w:customStyle="1" w:styleId="Style1">
    <w:name w:val="Style1"/>
    <w:basedOn w:val="Normal"/>
    <w:link w:val="Style1Char"/>
    <w:qFormat/>
    <w:rsid w:val="004A1FF9"/>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noProof/>
      <w:kern w:val="0"/>
      <w:sz w:val="24"/>
      <w:szCs w:val="24"/>
    </w:rPr>
  </w:style>
  <w:style w:type="character" w:customStyle="1" w:styleId="Style1Char">
    <w:name w:val="Style1 Char"/>
    <w:basedOn w:val="DefaultParagraphFont"/>
    <w:link w:val="Style1"/>
    <w:rsid w:val="004A1FF9"/>
    <w:rPr>
      <w:rFonts w:ascii="Times New Roman" w:eastAsia="Times New Roman" w:hAnsi="Times New Roman" w:cs="Times New Roman"/>
      <w:b/>
      <w:smallCaps/>
      <w:noProof/>
      <w:kern w:val="0"/>
      <w:sz w:val="24"/>
      <w:szCs w:val="24"/>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sid w:val="004A1FF9"/>
  </w:style>
  <w:style w:type="character" w:customStyle="1" w:styleId="super">
    <w:name w:val="super"/>
    <w:basedOn w:val="DefaultParagraphFont"/>
    <w:rsid w:val="004A1FF9"/>
  </w:style>
  <w:style w:type="character" w:styleId="Hyperlink">
    <w:name w:val="Hyperlink"/>
    <w:uiPriority w:val="99"/>
    <w:unhideWhenUsed/>
    <w:rsid w:val="0053294C"/>
    <w:rPr>
      <w:color w:val="0000FF"/>
      <w:u w:val="single"/>
      <w:shd w:val="clear" w:color="auto" w:fill="auto"/>
    </w:rPr>
  </w:style>
  <w:style w:type="paragraph" w:customStyle="1" w:styleId="Style2">
    <w:name w:val="Style2"/>
    <w:basedOn w:val="Normal"/>
    <w:qFormat/>
    <w:rsid w:val="0053294C"/>
    <w:pPr>
      <w:spacing w:after="0" w:line="240" w:lineRule="auto"/>
      <w:jc w:val="both"/>
    </w:pPr>
    <w:rPr>
      <w:rFonts w:ascii="Times New Roman" w:eastAsia="Calibri" w:hAnsi="Times New Roman" w:cs="Times New Roman"/>
      <w:b/>
      <w:noProof/>
      <w:kern w:val="0"/>
      <w:sz w:val="24"/>
      <w:szCs w:val="24"/>
    </w:rPr>
  </w:style>
  <w:style w:type="paragraph" w:customStyle="1" w:styleId="Style3">
    <w:name w:val="Style3"/>
    <w:basedOn w:val="Normal"/>
    <w:qFormat/>
    <w:rsid w:val="0053294C"/>
    <w:pPr>
      <w:spacing w:before="120" w:after="120" w:line="240" w:lineRule="auto"/>
      <w:jc w:val="both"/>
    </w:pPr>
    <w:rPr>
      <w:rFonts w:ascii="Times New Roman" w:eastAsia="Calibri" w:hAnsi="Times New Roman" w:cs="Times New Roman"/>
      <w:b/>
      <w:noProof/>
      <w:kern w:val="0"/>
      <w:sz w:val="24"/>
      <w:szCs w:val="24"/>
    </w:rPr>
  </w:style>
  <w:style w:type="paragraph" w:customStyle="1" w:styleId="Normal1">
    <w:name w:val="Normal1"/>
    <w:basedOn w:val="Normal"/>
    <w:rsid w:val="0053294C"/>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UnresolvedMention">
    <w:name w:val="Unresolved Mention"/>
    <w:basedOn w:val="DefaultParagraphFont"/>
    <w:uiPriority w:val="99"/>
    <w:semiHidden/>
    <w:unhideWhenUsed/>
    <w:rsid w:val="00367CD5"/>
    <w:rPr>
      <w:color w:val="605E5C"/>
      <w:shd w:val="clear" w:color="auto" w:fill="E1DFDD"/>
    </w:rPr>
  </w:style>
  <w:style w:type="character" w:styleId="FollowedHyperlink">
    <w:name w:val="FollowedHyperlink"/>
    <w:basedOn w:val="DefaultParagraphFont"/>
    <w:uiPriority w:val="99"/>
    <w:semiHidden/>
    <w:unhideWhenUsed/>
    <w:rsid w:val="00367CD5"/>
    <w:rPr>
      <w:color w:val="96607D" w:themeColor="followedHyperlink"/>
      <w:u w:val="single"/>
    </w:rPr>
  </w:style>
  <w:style w:type="character" w:styleId="CommentReference">
    <w:name w:val="annotation reference"/>
    <w:basedOn w:val="DefaultParagraphFont"/>
    <w:uiPriority w:val="99"/>
    <w:semiHidden/>
    <w:unhideWhenUsed/>
    <w:rsid w:val="00254271"/>
    <w:rPr>
      <w:sz w:val="16"/>
      <w:szCs w:val="16"/>
    </w:rPr>
  </w:style>
  <w:style w:type="paragraph" w:styleId="CommentText">
    <w:name w:val="annotation text"/>
    <w:basedOn w:val="Normal"/>
    <w:link w:val="CommentTextChar"/>
    <w:uiPriority w:val="99"/>
    <w:unhideWhenUsed/>
    <w:rsid w:val="00254271"/>
    <w:pPr>
      <w:spacing w:line="240" w:lineRule="auto"/>
    </w:pPr>
    <w:rPr>
      <w:sz w:val="20"/>
      <w:szCs w:val="20"/>
    </w:rPr>
  </w:style>
  <w:style w:type="character" w:customStyle="1" w:styleId="CommentTextChar">
    <w:name w:val="Comment Text Char"/>
    <w:basedOn w:val="DefaultParagraphFont"/>
    <w:link w:val="CommentText"/>
    <w:uiPriority w:val="99"/>
    <w:rsid w:val="00254271"/>
    <w:rPr>
      <w:sz w:val="20"/>
      <w:szCs w:val="20"/>
    </w:rPr>
  </w:style>
  <w:style w:type="paragraph" w:styleId="CommentSubject">
    <w:name w:val="annotation subject"/>
    <w:basedOn w:val="CommentText"/>
    <w:next w:val="CommentText"/>
    <w:link w:val="CommentSubjectChar"/>
    <w:uiPriority w:val="99"/>
    <w:semiHidden/>
    <w:unhideWhenUsed/>
    <w:rsid w:val="00254271"/>
    <w:rPr>
      <w:b/>
      <w:bCs/>
    </w:rPr>
  </w:style>
  <w:style w:type="character" w:customStyle="1" w:styleId="CommentSubjectChar">
    <w:name w:val="Comment Subject Char"/>
    <w:basedOn w:val="CommentTextChar"/>
    <w:link w:val="CommentSubject"/>
    <w:uiPriority w:val="99"/>
    <w:semiHidden/>
    <w:rsid w:val="00254271"/>
    <w:rPr>
      <w:b/>
      <w:bCs/>
      <w:sz w:val="20"/>
      <w:szCs w:val="20"/>
    </w:rPr>
  </w:style>
  <w:style w:type="paragraph" w:styleId="NormalWeb">
    <w:name w:val="Normal (Web)"/>
    <w:basedOn w:val="Normal"/>
    <w:uiPriority w:val="99"/>
    <w:unhideWhenUsed/>
    <w:rsid w:val="009F431E"/>
    <w:pPr>
      <w:spacing w:after="240" w:line="240" w:lineRule="auto"/>
      <w:jc w:val="both"/>
    </w:pPr>
    <w:rPr>
      <w:rFonts w:ascii="Times New Roman" w:eastAsia="Times New Roman" w:hAnsi="Times New Roman" w:cs="Times New Roman"/>
      <w:kern w:val="0"/>
      <w:sz w:val="24"/>
      <w:szCs w:val="24"/>
      <w:lang w:eastAsia="en-GB"/>
    </w:rPr>
  </w:style>
  <w:style w:type="paragraph" w:styleId="ListBullet">
    <w:name w:val="List Bullet"/>
    <w:basedOn w:val="Normal"/>
    <w:uiPriority w:val="99"/>
    <w:semiHidden/>
    <w:unhideWhenUsed/>
    <w:rsid w:val="00447E87"/>
    <w:pPr>
      <w:numPr>
        <w:numId w:val="10"/>
      </w:numPr>
      <w:contextualSpacing/>
    </w:pPr>
  </w:style>
  <w:style w:type="paragraph" w:styleId="Revision">
    <w:name w:val="Revision"/>
    <w:hidden/>
    <w:uiPriority w:val="99"/>
    <w:semiHidden/>
    <w:rsid w:val="00AA657B"/>
    <w:pPr>
      <w:spacing w:after="0" w:line="240" w:lineRule="auto"/>
    </w:pPr>
  </w:style>
  <w:style w:type="paragraph" w:customStyle="1" w:styleId="Languesfaisantfoi">
    <w:name w:val="Langues faisant foi"/>
    <w:basedOn w:val="Normal"/>
    <w:next w:val="Normal"/>
    <w:rsid w:val="00FF0B37"/>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FF0B37"/>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FF0B37"/>
    <w:pPr>
      <w:spacing w:after="0"/>
    </w:pPr>
  </w:style>
  <w:style w:type="paragraph" w:customStyle="1" w:styleId="IntrtEEEPagedecouverture">
    <w:name w:val="Intérêt EEE (Page de couverture)"/>
    <w:basedOn w:val="IntrtEEE"/>
    <w:next w:val="Normal"/>
    <w:rsid w:val="00FF0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87580">
      <w:bodyDiv w:val="1"/>
      <w:marLeft w:val="0"/>
      <w:marRight w:val="0"/>
      <w:marTop w:val="0"/>
      <w:marBottom w:val="0"/>
      <w:divBdr>
        <w:top w:val="none" w:sz="0" w:space="0" w:color="auto"/>
        <w:left w:val="none" w:sz="0" w:space="0" w:color="auto"/>
        <w:bottom w:val="none" w:sz="0" w:space="0" w:color="auto"/>
        <w:right w:val="none" w:sz="0" w:space="0" w:color="auto"/>
      </w:divBdr>
    </w:div>
    <w:div w:id="355889038">
      <w:bodyDiv w:val="1"/>
      <w:marLeft w:val="0"/>
      <w:marRight w:val="0"/>
      <w:marTop w:val="0"/>
      <w:marBottom w:val="0"/>
      <w:divBdr>
        <w:top w:val="none" w:sz="0" w:space="0" w:color="auto"/>
        <w:left w:val="none" w:sz="0" w:space="0" w:color="auto"/>
        <w:bottom w:val="none" w:sz="0" w:space="0" w:color="auto"/>
        <w:right w:val="none" w:sz="0" w:space="0" w:color="auto"/>
      </w:divBdr>
    </w:div>
    <w:div w:id="411238759">
      <w:bodyDiv w:val="1"/>
      <w:marLeft w:val="0"/>
      <w:marRight w:val="0"/>
      <w:marTop w:val="0"/>
      <w:marBottom w:val="0"/>
      <w:divBdr>
        <w:top w:val="none" w:sz="0" w:space="0" w:color="auto"/>
        <w:left w:val="none" w:sz="0" w:space="0" w:color="auto"/>
        <w:bottom w:val="none" w:sz="0" w:space="0" w:color="auto"/>
        <w:right w:val="none" w:sz="0" w:space="0" w:color="auto"/>
      </w:divBdr>
    </w:div>
    <w:div w:id="465708103">
      <w:bodyDiv w:val="1"/>
      <w:marLeft w:val="0"/>
      <w:marRight w:val="0"/>
      <w:marTop w:val="0"/>
      <w:marBottom w:val="0"/>
      <w:divBdr>
        <w:top w:val="none" w:sz="0" w:space="0" w:color="auto"/>
        <w:left w:val="none" w:sz="0" w:space="0" w:color="auto"/>
        <w:bottom w:val="none" w:sz="0" w:space="0" w:color="auto"/>
        <w:right w:val="none" w:sz="0" w:space="0" w:color="auto"/>
      </w:divBdr>
    </w:div>
    <w:div w:id="555315765">
      <w:bodyDiv w:val="1"/>
      <w:marLeft w:val="0"/>
      <w:marRight w:val="0"/>
      <w:marTop w:val="0"/>
      <w:marBottom w:val="0"/>
      <w:divBdr>
        <w:top w:val="none" w:sz="0" w:space="0" w:color="auto"/>
        <w:left w:val="none" w:sz="0" w:space="0" w:color="auto"/>
        <w:bottom w:val="none" w:sz="0" w:space="0" w:color="auto"/>
        <w:right w:val="none" w:sz="0" w:space="0" w:color="auto"/>
      </w:divBdr>
    </w:div>
    <w:div w:id="1219978407">
      <w:bodyDiv w:val="1"/>
      <w:marLeft w:val="0"/>
      <w:marRight w:val="0"/>
      <w:marTop w:val="0"/>
      <w:marBottom w:val="0"/>
      <w:divBdr>
        <w:top w:val="none" w:sz="0" w:space="0" w:color="auto"/>
        <w:left w:val="none" w:sz="0" w:space="0" w:color="auto"/>
        <w:bottom w:val="none" w:sz="0" w:space="0" w:color="auto"/>
        <w:right w:val="none" w:sz="0" w:space="0" w:color="auto"/>
      </w:divBdr>
    </w:div>
    <w:div w:id="1907032281">
      <w:bodyDiv w:val="1"/>
      <w:marLeft w:val="0"/>
      <w:marRight w:val="0"/>
      <w:marTop w:val="0"/>
      <w:marBottom w:val="0"/>
      <w:divBdr>
        <w:top w:val="none" w:sz="0" w:space="0" w:color="auto"/>
        <w:left w:val="none" w:sz="0" w:space="0" w:color="auto"/>
        <w:bottom w:val="none" w:sz="0" w:space="0" w:color="auto"/>
        <w:right w:val="none" w:sz="0" w:space="0" w:color="auto"/>
      </w:divBdr>
    </w:div>
    <w:div w:id="191295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agri-press.network.europa.eu/" TargetMode="External"/><Relationship Id="rId26" Type="http://schemas.openxmlformats.org/officeDocument/2006/relationships/hyperlink" Target="https://soundcloud.com/foodforeurope/14-organic-eu-organic-awards" TargetMode="External"/><Relationship Id="rId3" Type="http://schemas.openxmlformats.org/officeDocument/2006/relationships/customXml" Target="../customXml/item3.xml"/><Relationship Id="rId21" Type="http://schemas.openxmlformats.org/officeDocument/2006/relationships/hyperlink" Target="https://agriculture.ec.europa.eu/overview-vision-agriculture-food/eu-actions-address-farmers-concerns_ro" TargetMode="External"/><Relationship Id="rId34"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soundcloud.com/foodforeurope/14-organic-eu-organic-awards" TargetMode="External"/><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agriculture.ec.europa.eu/cap-my-country/cap-strategic-plans_ro"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agriculture.ec.europa.eu/eu-agri-food-days_en" TargetMode="Externa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twitter.com/EUAgri/status/1671132460107571200" TargetMode="External"/><Relationship Id="rId28" Type="http://schemas.openxmlformats.org/officeDocument/2006/relationships/hyperlink" Target="https://europa.eu/eurobarometer/surveys/detail/3226"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griculture.ec.europa.eu/index_ro"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agriculture.ec.europa.eu/farming/food-europe-podcast_en" TargetMode="External"/><Relationship Id="rId27" Type="http://schemas.openxmlformats.org/officeDocument/2006/relationships/hyperlink" Target="https://soundcloud.com/foodforeurope/14-organic-eu-organic-awards" TargetMode="External"/><Relationship Id="rId30" Type="http://schemas.openxmlformats.org/officeDocument/2006/relationships/header" Target="header5.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agriculture.ec.europa.eu/common-agricultural-policy/financing-cap/cap-funds/grants-information_ro" TargetMode="External"/><Relationship Id="rId2" Type="http://schemas.openxmlformats.org/officeDocument/2006/relationships/hyperlink" Target="https://ec.europa.eu/info/funding-tenders/opportunities/portal/screen/opportunities/topic-details/imcap-2024-infome?keywords=imcap" TargetMode="External"/><Relationship Id="rId1" Type="http://schemas.openxmlformats.org/officeDocument/2006/relationships/hyperlink" Target="https://ec.europa.eu/info/funding-tenders/opportunities/portal/screen/opportunities/topic-details/imcap-2023-infome" TargetMode="External"/><Relationship Id="rId5" Type="http://schemas.openxmlformats.org/officeDocument/2006/relationships/hyperlink" Target="https://datam.jrc.ec.europa.eu/datam/mashup/JRC_FP_EVIDENCE_LIBRARY/index.html" TargetMode="External"/><Relationship Id="rId4" Type="http://schemas.openxmlformats.org/officeDocument/2006/relationships/hyperlink" Target="https://agriculture.ec.europa.eu/common-agricultural-policy/financing-cap/beneficiaries_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125BA01A0E634E9F173AB330F6F1A5" ma:contentTypeVersion="15" ma:contentTypeDescription="Create a new document." ma:contentTypeScope="" ma:versionID="987cb83f042a42ce088e2add57580a1e">
  <xsd:schema xmlns:xsd="http://www.w3.org/2001/XMLSchema" xmlns:xs="http://www.w3.org/2001/XMLSchema" xmlns:p="http://schemas.microsoft.com/office/2006/metadata/properties" xmlns:ns2="9a215eb7-92ce-4f3a-bafb-9cdeffecda7b" xmlns:ns3="ffc590e1-b774-4e01-a2f2-e7363e27188f" targetNamespace="http://schemas.microsoft.com/office/2006/metadata/properties" ma:root="true" ma:fieldsID="91e73d557caf57e93d76fcb48e54a686" ns2:_="" ns3:_="">
    <xsd:import namespace="9a215eb7-92ce-4f3a-bafb-9cdeffecda7b"/>
    <xsd:import namespace="ffc590e1-b774-4e01-a2f2-e7363e2718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15eb7-92ce-4f3a-bafb-9cdeffecd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comment" ma:index="21"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c590e1-b774-4e01-a2f2-e7363e27188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c6f68cc-17f1-4201-8879-c8181b253535}" ma:internalName="TaxCatchAll" ma:showField="CatchAllData" ma:web="ffc590e1-b774-4e01-a2f2-e7363e2718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215eb7-92ce-4f3a-bafb-9cdeffecda7b">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fc590e1-b774-4e01-a2f2-e7363e27188f" xsi:nil="true"/>
    <comment xmlns="9a215eb7-92ce-4f3a-bafb-9cdeffecda7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4AAAE-0DD3-4CBF-A846-5DD42A9D46D2}">
  <ds:schemaRefs>
    <ds:schemaRef ds:uri="http://schemas.microsoft.com/sharepoint/v3/contenttype/forms"/>
  </ds:schemaRefs>
</ds:datastoreItem>
</file>

<file path=customXml/itemProps2.xml><?xml version="1.0" encoding="utf-8"?>
<ds:datastoreItem xmlns:ds="http://schemas.openxmlformats.org/officeDocument/2006/customXml" ds:itemID="{5657DC0E-C064-48BE-A157-765E28FA9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15eb7-92ce-4f3a-bafb-9cdeffecda7b"/>
    <ds:schemaRef ds:uri="ffc590e1-b774-4e01-a2f2-e7363e271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CD3E37-6D85-4D01-8399-6E682A68438E}">
  <ds:schemaRefs>
    <ds:schemaRef ds:uri="http://schemas.microsoft.com/office/2006/metadata/properties"/>
    <ds:schemaRef ds:uri="http://schemas.microsoft.com/office/infopath/2007/PartnerControls"/>
    <ds:schemaRef ds:uri="9a215eb7-92ce-4f3a-bafb-9cdeffecda7b"/>
    <ds:schemaRef ds:uri="ffc590e1-b774-4e01-a2f2-e7363e27188f"/>
  </ds:schemaRefs>
</ds:datastoreItem>
</file>

<file path=customXml/itemProps4.xml><?xml version="1.0" encoding="utf-8"?>
<ds:datastoreItem xmlns:ds="http://schemas.openxmlformats.org/officeDocument/2006/customXml" ds:itemID="{CE885F6C-A254-4B93-B041-6B77A6F30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5256</Words>
  <Characters>29960</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2025-12-11T08:18:00Z</dcterms:created>
  <dcterms:modified xsi:type="dcterms:W3CDTF">2026-01-14T18:16:00Z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2025-06-16T15:38:46Z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e683eb0f-b8e1-4b4c-923d-afdfc440df1b</vt:lpwstr>
  </property>
  <property fmtid="{D5CDD505-2E9C-101B-9397-08002B2CF9AE}" pid="15" name="MSIP_Label_6bd9ddd1-4d20-43f6-abfa-fc3c07406f94_ContentBits">
    <vt:lpwstr>0</vt:lpwstr>
  </property>
  <property fmtid="{D5CDD505-2E9C-101B-9397-08002B2CF9AE}" pid="16" name="ContentTypeId">
    <vt:lpwstr>0x01010073A165BACF021D459DE7D69C8009F9F6</vt:lpwstr>
  </property>
  <property fmtid="{D5CDD505-2E9C-101B-9397-08002B2CF9AE}" pid="17" name="MediaServiceImageTags">
    <vt:lpwstr/>
  </property>
</Properties>
</file>