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5D390A99" w:rsidR="00446D5D" w:rsidRPr="004B0196" w:rsidRDefault="00CD5137" w:rsidP="00CD5137">
      <w:pPr>
        <w:pStyle w:val="Pagedecouverture"/>
        <w:rPr>
          <w:noProof/>
          <w:lang w:val="en-IE"/>
        </w:rPr>
      </w:pPr>
      <w:r>
        <w:rPr>
          <w:noProof/>
          <w:lang w:val="en-IE"/>
        </w:rPr>
        <w:pict w14:anchorId="77CEB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14299A-F18F-425B-ACF3-85A172014F55" style="width:455.25pt;height:371.25pt">
            <v:imagedata r:id="rId11" o:title=""/>
          </v:shape>
        </w:pict>
      </w:r>
    </w:p>
    <w:p w14:paraId="39B19A61" w14:textId="77777777" w:rsidR="00945E1A" w:rsidRPr="004B0196" w:rsidRDefault="00945E1A" w:rsidP="008F3A8B">
      <w:pPr>
        <w:spacing w:line="276" w:lineRule="auto"/>
        <w:rPr>
          <w:noProof/>
          <w:lang w:val="en-IE"/>
        </w:rPr>
        <w:sectPr w:rsidR="00945E1A" w:rsidRPr="004B0196" w:rsidSect="00CD5137">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4B0196" w:rsidRDefault="00C064F5" w:rsidP="008F3A8B">
      <w:pPr>
        <w:pStyle w:val="Exposdesmotifstitre"/>
        <w:spacing w:line="276" w:lineRule="auto"/>
        <w:ind w:left="360"/>
        <w:rPr>
          <w:noProof/>
          <w:sz w:val="2"/>
          <w:szCs w:val="2"/>
          <w:lang w:val="en-IE"/>
        </w:rPr>
      </w:pPr>
      <w:bookmarkStart w:id="0" w:name="_GoBack"/>
      <w:bookmarkEnd w:id="0"/>
    </w:p>
    <w:p w14:paraId="56BEA797" w14:textId="77777777" w:rsidR="00C064F5" w:rsidRPr="004B0196" w:rsidRDefault="00C064F5" w:rsidP="008F3A8B">
      <w:pPr>
        <w:spacing w:line="276" w:lineRule="auto"/>
        <w:rPr>
          <w:noProof/>
          <w:sz w:val="2"/>
          <w:szCs w:val="2"/>
          <w:lang w:val="en-IE"/>
        </w:rPr>
      </w:pPr>
    </w:p>
    <w:p w14:paraId="6B3034FA" w14:textId="00F7AF21" w:rsidR="00A04C54" w:rsidRPr="00BC6487" w:rsidRDefault="00774C06" w:rsidP="00774C06">
      <w:pPr>
        <w:pStyle w:val="Rfrenceinterinstitutionnelle"/>
        <w:rPr>
          <w:noProof/>
        </w:rPr>
      </w:pPr>
      <w:r>
        <w:rPr>
          <w:noProof/>
        </w:rPr>
        <w:t>2026/0100 (NLE)</w:t>
      </w:r>
    </w:p>
    <w:p w14:paraId="336D54F4" w14:textId="405A6BC3" w:rsidR="00446D5D" w:rsidRPr="004B0196" w:rsidRDefault="00774C06" w:rsidP="00774C06">
      <w:pPr>
        <w:pStyle w:val="Statut"/>
        <w:rPr>
          <w:noProof/>
          <w:lang w:val="en-IE"/>
        </w:rPr>
      </w:pPr>
      <w:r w:rsidRPr="00774C06">
        <w:rPr>
          <w:noProof/>
        </w:rPr>
        <w:t>Proposal for a</w:t>
      </w:r>
    </w:p>
    <w:p w14:paraId="0460F17B" w14:textId="57547825" w:rsidR="00446D5D" w:rsidRPr="004B0196" w:rsidRDefault="00774C06" w:rsidP="00774C06">
      <w:pPr>
        <w:pStyle w:val="Typedudocument"/>
        <w:rPr>
          <w:noProof/>
          <w:lang w:val="en-IE"/>
        </w:rPr>
      </w:pPr>
      <w:r w:rsidRPr="00774C06">
        <w:rPr>
          <w:noProof/>
        </w:rPr>
        <w:t>COUNCIL IMPLEMENTING DECISION</w:t>
      </w:r>
    </w:p>
    <w:p w14:paraId="161CB12F" w14:textId="13420A30" w:rsidR="00446D5D" w:rsidRPr="003511D1" w:rsidRDefault="00774C06" w:rsidP="00774C06">
      <w:pPr>
        <w:pStyle w:val="Titreobjet"/>
        <w:rPr>
          <w:noProof/>
          <w:lang w:val="en-IE"/>
        </w:rPr>
      </w:pPr>
      <w:r w:rsidRPr="00774C06">
        <w:rPr>
          <w:noProof/>
        </w:rPr>
        <w:t>establishing the satisfactory fulfilment of the conditions for partial payment under the seventh instalment of the Ukraine Plan of the Ukraine Facility and amending Implementing Decision (EU) 2024/1447</w:t>
      </w:r>
      <w:r w:rsidRPr="00774C06">
        <w:rPr>
          <w:noProof/>
        </w:rPr>
        <w:br/>
      </w:r>
    </w:p>
    <w:p w14:paraId="08B1986E" w14:textId="77777777" w:rsidR="00C0112C" w:rsidRPr="00C434E6" w:rsidRDefault="00C0112C" w:rsidP="00C0112C">
      <w:pPr>
        <w:pStyle w:val="Institutionquiagit"/>
        <w:rPr>
          <w:noProof/>
        </w:rPr>
      </w:pPr>
      <w:r w:rsidRPr="00C434E6">
        <w:rPr>
          <w:noProof/>
        </w:rPr>
        <w:t xml:space="preserve">THE COUNCIL OF THE EUROPEAN </w:t>
      </w:r>
      <w:smartTag w:uri="urn:schemas-microsoft-com:office:smarttags" w:element="place">
        <w:r w:rsidRPr="00C434E6">
          <w:rPr>
            <w:noProof/>
          </w:rPr>
          <w:t>UNION</w:t>
        </w:r>
      </w:smartTag>
      <w:r w:rsidRPr="00C434E6">
        <w:rPr>
          <w:noProof/>
        </w:rPr>
        <w:t>,</w:t>
      </w:r>
    </w:p>
    <w:p w14:paraId="20316424" w14:textId="77777777" w:rsidR="00C0112C" w:rsidRPr="00C434E6" w:rsidRDefault="00C0112C" w:rsidP="00C0112C">
      <w:pPr>
        <w:rPr>
          <w:noProof/>
        </w:rPr>
      </w:pPr>
      <w:r w:rsidRPr="00C434E6">
        <w:rPr>
          <w:noProof/>
        </w:rPr>
        <w:t xml:space="preserve">Having regard to the Treaty on the Functioning of the European Union, </w:t>
      </w:r>
    </w:p>
    <w:p w14:paraId="21DB8B0D" w14:textId="77777777" w:rsidR="00C0112C" w:rsidRPr="00C434E6" w:rsidRDefault="00C0112C" w:rsidP="00C0112C">
      <w:pPr>
        <w:rPr>
          <w:noProof/>
        </w:rPr>
      </w:pPr>
      <w:r w:rsidRPr="00C434E6">
        <w:rPr>
          <w:noProof/>
        </w:rPr>
        <w:t xml:space="preserve">Having regard to </w:t>
      </w:r>
      <w:r w:rsidRPr="004B0196">
        <w:rPr>
          <w:noProof/>
          <w:lang w:val="en-IE"/>
        </w:rPr>
        <w:t>Regulation (EU) 2024/792 of the European Parliament and of the Council of</w:t>
      </w:r>
      <w:r>
        <w:rPr>
          <w:noProof/>
          <w:lang w:val="en-IE"/>
        </w:rPr>
        <w:t> </w:t>
      </w:r>
      <w:r w:rsidRPr="004B0196">
        <w:rPr>
          <w:noProof/>
          <w:lang w:val="en-IE"/>
        </w:rPr>
        <w:t>29</w:t>
      </w:r>
      <w:r>
        <w:rPr>
          <w:noProof/>
          <w:lang w:val="en-IE"/>
        </w:rPr>
        <w:t> </w:t>
      </w:r>
      <w:r w:rsidRPr="004B0196">
        <w:rPr>
          <w:noProof/>
          <w:lang w:val="en-IE"/>
        </w:rPr>
        <w:t>February</w:t>
      </w:r>
      <w:r>
        <w:rPr>
          <w:noProof/>
          <w:lang w:val="en-IE"/>
        </w:rPr>
        <w:t> </w:t>
      </w:r>
      <w:r w:rsidRPr="004B0196">
        <w:rPr>
          <w:noProof/>
          <w:lang w:val="en-IE"/>
        </w:rPr>
        <w:t>2024 establishing the Ukraine Facility</w:t>
      </w:r>
      <w:r w:rsidRPr="00C434E6">
        <w:rPr>
          <w:rStyle w:val="FootnoteReference"/>
          <w:noProof/>
        </w:rPr>
        <w:footnoteReference w:id="2"/>
      </w:r>
      <w:r w:rsidRPr="00C434E6">
        <w:rPr>
          <w:noProof/>
        </w:rPr>
        <w:t>, and in particular Article</w:t>
      </w:r>
      <w:r>
        <w:rPr>
          <w:noProof/>
        </w:rPr>
        <w:t> 20(2) and Article </w:t>
      </w:r>
      <w:r w:rsidRPr="00F6075E">
        <w:rPr>
          <w:noProof/>
        </w:rPr>
        <w:t>26(4)</w:t>
      </w:r>
      <w:r w:rsidRPr="00C434E6">
        <w:rPr>
          <w:noProof/>
        </w:rPr>
        <w:t xml:space="preserve"> thereof,</w:t>
      </w:r>
    </w:p>
    <w:p w14:paraId="7E72409E" w14:textId="77777777" w:rsidR="00C0112C" w:rsidRPr="00C434E6" w:rsidRDefault="00C0112C" w:rsidP="00C0112C">
      <w:pPr>
        <w:rPr>
          <w:noProof/>
        </w:rPr>
      </w:pPr>
      <w:r w:rsidRPr="00C434E6">
        <w:rPr>
          <w:noProof/>
        </w:rPr>
        <w:t>Having regard to the proposal from the European Commission,</w:t>
      </w:r>
    </w:p>
    <w:p w14:paraId="0025F7DF" w14:textId="77777777" w:rsidR="00C0112C" w:rsidRPr="00C434E6" w:rsidRDefault="00C0112C" w:rsidP="00C0112C">
      <w:pPr>
        <w:rPr>
          <w:noProof/>
        </w:rPr>
      </w:pPr>
      <w:r w:rsidRPr="00C434E6">
        <w:rPr>
          <w:noProof/>
        </w:rPr>
        <w:t>Whereas:</w:t>
      </w:r>
    </w:p>
    <w:p w14:paraId="4BA2CCE6" w14:textId="77777777" w:rsidR="00C0112C" w:rsidRPr="00C434E6" w:rsidRDefault="00C0112C" w:rsidP="001A46B9">
      <w:pPr>
        <w:pStyle w:val="ManualConsidrant"/>
        <w:rPr>
          <w:noProof/>
        </w:rPr>
      </w:pPr>
      <w:r>
        <w:rPr>
          <w:noProof/>
        </w:rPr>
        <w:t>(1)</w:t>
      </w:r>
      <w:r>
        <w:rPr>
          <w:noProof/>
        </w:rPr>
        <w:tab/>
      </w:r>
      <w:r w:rsidRPr="63003196">
        <w:rPr>
          <w:noProof/>
          <w:lang w:val="en-IE"/>
        </w:rPr>
        <w:t>Pillar I of the Ukraine Facility (‘the Facility’) makes financial support of up to EUR </w:t>
      </w:r>
      <w:r w:rsidRPr="00EE0CC0">
        <w:rPr>
          <w:noProof/>
          <w:lang w:val="en-IE"/>
        </w:rPr>
        <w:t>38 338 555</w:t>
      </w:r>
      <w:r>
        <w:rPr>
          <w:noProof/>
          <w:lang w:val="en-IE"/>
        </w:rPr>
        <w:t> </w:t>
      </w:r>
      <w:r w:rsidRPr="00EE0CC0">
        <w:rPr>
          <w:noProof/>
          <w:lang w:val="en-IE"/>
        </w:rPr>
        <w:t>759</w:t>
      </w:r>
      <w:r>
        <w:rPr>
          <w:noProof/>
          <w:lang w:val="en-IE"/>
        </w:rPr>
        <w:t xml:space="preserve"> </w:t>
      </w:r>
      <w:r w:rsidRPr="533784B7">
        <w:rPr>
          <w:rFonts w:eastAsia="Times New Roman"/>
          <w:noProof/>
          <w:color w:val="000000" w:themeColor="text1"/>
          <w:szCs w:val="24"/>
          <w:lang w:val="en-IE"/>
        </w:rPr>
        <w:t>and SEK</w:t>
      </w:r>
      <w:r>
        <w:rPr>
          <w:rFonts w:eastAsia="Times New Roman"/>
          <w:noProof/>
          <w:color w:val="000000" w:themeColor="text1"/>
          <w:szCs w:val="24"/>
          <w:lang w:val="en-IE"/>
        </w:rPr>
        <w:t> </w:t>
      </w:r>
      <w:r w:rsidRPr="533784B7">
        <w:rPr>
          <w:rFonts w:eastAsia="Times New Roman"/>
          <w:noProof/>
          <w:color w:val="000000" w:themeColor="text1"/>
          <w:szCs w:val="24"/>
          <w:lang w:val="en-IE"/>
        </w:rPr>
        <w:t>2</w:t>
      </w:r>
      <w:r>
        <w:rPr>
          <w:rFonts w:eastAsia="Times New Roman"/>
          <w:noProof/>
          <w:color w:val="000000" w:themeColor="text1"/>
          <w:szCs w:val="24"/>
          <w:lang w:val="en-IE"/>
        </w:rPr>
        <w:t> </w:t>
      </w:r>
      <w:r w:rsidRPr="533784B7">
        <w:rPr>
          <w:rFonts w:eastAsia="Times New Roman"/>
          <w:noProof/>
          <w:color w:val="000000" w:themeColor="text1"/>
          <w:szCs w:val="24"/>
          <w:lang w:val="en-IE"/>
        </w:rPr>
        <w:t>000</w:t>
      </w:r>
      <w:r>
        <w:rPr>
          <w:rFonts w:eastAsia="Times New Roman"/>
          <w:noProof/>
          <w:color w:val="000000" w:themeColor="text1"/>
          <w:szCs w:val="24"/>
          <w:lang w:val="en-IE"/>
        </w:rPr>
        <w:t> </w:t>
      </w:r>
      <w:r w:rsidRPr="533784B7">
        <w:rPr>
          <w:rFonts w:eastAsia="Times New Roman"/>
          <w:noProof/>
          <w:color w:val="000000" w:themeColor="text1"/>
          <w:szCs w:val="24"/>
          <w:lang w:val="en-IE"/>
        </w:rPr>
        <w:t>000</w:t>
      </w:r>
      <w:r>
        <w:rPr>
          <w:rFonts w:eastAsia="Times New Roman"/>
          <w:noProof/>
          <w:color w:val="000000" w:themeColor="text1"/>
          <w:szCs w:val="24"/>
          <w:lang w:val="en-IE"/>
        </w:rPr>
        <w:t> </w:t>
      </w:r>
      <w:r w:rsidRPr="533784B7">
        <w:rPr>
          <w:rFonts w:eastAsia="Times New Roman"/>
          <w:noProof/>
          <w:color w:val="000000" w:themeColor="text1"/>
          <w:szCs w:val="24"/>
          <w:lang w:val="en-IE"/>
        </w:rPr>
        <w:t>000</w:t>
      </w:r>
      <w:r>
        <w:rPr>
          <w:rStyle w:val="FootnoteReference"/>
          <w:noProof/>
          <w:lang w:val="en-IE"/>
        </w:rPr>
        <w:footnoteReference w:id="3"/>
      </w:r>
      <w:r w:rsidRPr="301AF9B6">
        <w:rPr>
          <w:noProof/>
          <w:lang w:val="en-IE"/>
        </w:rPr>
        <w:t xml:space="preserve"> available to Ukraine for the period 2024-2027 in the form of non-repayable support and a loan. Financing under Pillar I is mainly allocated on the basis of the Ukraine Plan of the Ukraine Facility (‘the Plan’). The Plan sets out Ukraine’s reform and investment agenda and the qualitative and quantitative steps that are linked to funding under Pillar I of the Facility.</w:t>
      </w:r>
    </w:p>
    <w:p w14:paraId="3F9B77D0" w14:textId="77777777" w:rsidR="00C0112C" w:rsidRPr="00925F28" w:rsidRDefault="00C0112C" w:rsidP="00C0112C">
      <w:pPr>
        <w:pStyle w:val="ManualConsidrant"/>
        <w:rPr>
          <w:noProof/>
        </w:rPr>
      </w:pPr>
      <w:r>
        <w:rPr>
          <w:noProof/>
        </w:rPr>
        <w:t>(2)</w:t>
      </w:r>
      <w:r>
        <w:rPr>
          <w:noProof/>
        </w:rPr>
        <w:tab/>
      </w:r>
      <w:r w:rsidRPr="004B0196">
        <w:rPr>
          <w:noProof/>
          <w:lang w:val="en-IE"/>
        </w:rPr>
        <w:t>Pursuant to Article 19 of Regulation (EU) 2024/792, the Council adopted Implementing Decision (EU) 2024/1447</w:t>
      </w:r>
      <w:r w:rsidRPr="004B0196">
        <w:rPr>
          <w:rStyle w:val="FootnoteReference"/>
          <w:noProof/>
          <w:lang w:val="en-IE"/>
        </w:rPr>
        <w:footnoteReference w:id="4"/>
      </w:r>
      <w:r>
        <w:rPr>
          <w:noProof/>
        </w:rPr>
        <w:t xml:space="preserve">. </w:t>
      </w:r>
      <w:r w:rsidRPr="004B0196">
        <w:rPr>
          <w:noProof/>
          <w:lang w:val="en-IE"/>
        </w:rPr>
        <w:t>The timetable for monitoring and implementing the Plan, including the qualitative and quantitative steps that are linked to funding under Pillar I of the Facility, is set out in the Annex to that Decisio</w:t>
      </w:r>
      <w:r>
        <w:rPr>
          <w:noProof/>
          <w:lang w:val="en-IE"/>
        </w:rPr>
        <w:t>n.</w:t>
      </w:r>
    </w:p>
    <w:p w14:paraId="4A5029C6" w14:textId="77777777" w:rsidR="00C0112C" w:rsidRPr="003342A6" w:rsidRDefault="00C0112C" w:rsidP="00C0112C">
      <w:pPr>
        <w:pStyle w:val="ManualConsidrant"/>
        <w:rPr>
          <w:noProof/>
          <w:lang w:val="en-IE"/>
        </w:rPr>
      </w:pPr>
      <w:r>
        <w:rPr>
          <w:noProof/>
        </w:rPr>
        <w:t>(3)</w:t>
      </w:r>
      <w:r>
        <w:rPr>
          <w:noProof/>
        </w:rPr>
        <w:tab/>
      </w:r>
      <w:r w:rsidRPr="222A471C">
        <w:rPr>
          <w:noProof/>
          <w:lang w:val="en-IE"/>
        </w:rPr>
        <w:t>The total sum of financial resources made available for the Plan under Implementing Decision (EU) 2024/1447 amounts to EUR</w:t>
      </w:r>
      <w:r w:rsidRPr="222A471C">
        <w:rPr>
          <w:rFonts w:eastAsia="Times New Roman"/>
          <w:noProof/>
          <w:lang w:val="en-IE"/>
        </w:rPr>
        <w:t xml:space="preserve"> 32 338 555 759, of which </w:t>
      </w:r>
      <w:bookmarkStart w:id="1" w:name="_Hlk181809472"/>
      <w:r w:rsidRPr="222A471C">
        <w:rPr>
          <w:rFonts w:eastAsia="Times New Roman"/>
          <w:noProof/>
          <w:lang w:val="en-IE"/>
        </w:rPr>
        <w:t>EUR</w:t>
      </w:r>
      <w:r w:rsidRPr="222A471C">
        <w:rPr>
          <w:rFonts w:eastAsia="Times New Roman"/>
          <w:noProof/>
          <w:sz w:val="28"/>
          <w:szCs w:val="28"/>
          <w:lang w:val="en-IE"/>
        </w:rPr>
        <w:t> </w:t>
      </w:r>
      <w:r w:rsidRPr="222A471C">
        <w:rPr>
          <w:noProof/>
          <w:lang w:val="en-IE"/>
        </w:rPr>
        <w:t>5 338 </w:t>
      </w:r>
      <w:bookmarkEnd w:id="1"/>
      <w:r w:rsidRPr="222A471C">
        <w:rPr>
          <w:noProof/>
          <w:lang w:val="en-IE"/>
        </w:rPr>
        <w:t>555 759 and SEK</w:t>
      </w:r>
      <w:r>
        <w:rPr>
          <w:noProof/>
          <w:lang w:val="en-IE"/>
        </w:rPr>
        <w:t> </w:t>
      </w:r>
      <w:r w:rsidRPr="222A471C">
        <w:rPr>
          <w:noProof/>
          <w:lang w:val="en-IE"/>
        </w:rPr>
        <w:t>2</w:t>
      </w:r>
      <w:r>
        <w:rPr>
          <w:noProof/>
          <w:lang w:val="en-IE"/>
        </w:rPr>
        <w:t> </w:t>
      </w:r>
      <w:r w:rsidRPr="222A471C">
        <w:rPr>
          <w:noProof/>
          <w:lang w:val="en-IE"/>
        </w:rPr>
        <w:t>000</w:t>
      </w:r>
      <w:r>
        <w:rPr>
          <w:noProof/>
          <w:lang w:val="en-IE"/>
        </w:rPr>
        <w:t> </w:t>
      </w:r>
      <w:r w:rsidRPr="222A471C">
        <w:rPr>
          <w:noProof/>
          <w:lang w:val="en-IE"/>
        </w:rPr>
        <w:t>000</w:t>
      </w:r>
      <w:r>
        <w:rPr>
          <w:noProof/>
          <w:lang w:val="en-IE"/>
        </w:rPr>
        <w:t> </w:t>
      </w:r>
      <w:r w:rsidRPr="222A471C">
        <w:rPr>
          <w:noProof/>
          <w:lang w:val="en-IE"/>
        </w:rPr>
        <w:t>000 are in the form of non-repayable financial support and up to EUR 27 000 000 000 is in the form of a loan.</w:t>
      </w:r>
    </w:p>
    <w:p w14:paraId="005F6827" w14:textId="77777777" w:rsidR="00C0112C" w:rsidRPr="003342A6" w:rsidRDefault="00C0112C" w:rsidP="00C0112C">
      <w:pPr>
        <w:pStyle w:val="ManualConsidrant"/>
        <w:rPr>
          <w:noProof/>
        </w:rPr>
      </w:pPr>
      <w:r>
        <w:rPr>
          <w:noProof/>
        </w:rPr>
        <w:t>(4)</w:t>
      </w:r>
      <w:r>
        <w:rPr>
          <w:noProof/>
        </w:rPr>
        <w:tab/>
      </w:r>
      <w:r w:rsidRPr="222A471C">
        <w:rPr>
          <w:noProof/>
          <w:lang w:val="en-IE"/>
        </w:rPr>
        <w:t xml:space="preserve">In accordance with Articles 24 and 25 of Regulation (EU) 2024/792, EUR 6 000 000 000 has been disbursed to Ukraine as exceptional bridge financing and </w:t>
      </w:r>
      <w:r w:rsidRPr="222A471C">
        <w:rPr>
          <w:noProof/>
          <w:lang w:val="en-IE"/>
        </w:rPr>
        <w:lastRenderedPageBreak/>
        <w:t>EUR 1 890 000 000 in the form of pre-financing, representing an advance payment of</w:t>
      </w:r>
      <w:r>
        <w:rPr>
          <w:noProof/>
          <w:lang w:val="en-IE"/>
        </w:rPr>
        <w:t> </w:t>
      </w:r>
      <w:r w:rsidRPr="222A471C">
        <w:rPr>
          <w:noProof/>
          <w:lang w:val="en-IE"/>
        </w:rPr>
        <w:t>7% of the loan support that Ukraine is eligible to receive under the Plan.</w:t>
      </w:r>
    </w:p>
    <w:p w14:paraId="672B3DC3" w14:textId="77777777" w:rsidR="00C0112C" w:rsidRPr="00EE0CC0" w:rsidRDefault="00C0112C" w:rsidP="00C0112C">
      <w:pPr>
        <w:pStyle w:val="ManualConsidrant"/>
        <w:rPr>
          <w:noProof/>
        </w:rPr>
      </w:pPr>
      <w:r>
        <w:rPr>
          <w:noProof/>
        </w:rPr>
        <w:t>(5)</w:t>
      </w:r>
      <w:r>
        <w:rPr>
          <w:noProof/>
        </w:rPr>
        <w:tab/>
      </w:r>
      <w:r w:rsidRPr="008D638F">
        <w:rPr>
          <w:noProof/>
          <w:lang w:val="en-IE"/>
        </w:rPr>
        <w:t>In accordance with Article 26(4) of Regulation (EU) 2024/792, EUR</w:t>
      </w:r>
      <w:r>
        <w:rPr>
          <w:noProof/>
          <w:lang w:val="en-IE"/>
        </w:rPr>
        <w:t> </w:t>
      </w:r>
      <w:r w:rsidRPr="008D638F">
        <w:rPr>
          <w:noProof/>
          <w:lang w:val="en-IE"/>
        </w:rPr>
        <w:t>18</w:t>
      </w:r>
      <w:r>
        <w:rPr>
          <w:noProof/>
          <w:lang w:val="en-IE"/>
        </w:rPr>
        <w:t> </w:t>
      </w:r>
      <w:r w:rsidRPr="008D638F">
        <w:rPr>
          <w:noProof/>
          <w:lang w:val="en-IE"/>
        </w:rPr>
        <w:t>874</w:t>
      </w:r>
      <w:r>
        <w:rPr>
          <w:noProof/>
          <w:lang w:val="en-IE"/>
        </w:rPr>
        <w:t> </w:t>
      </w:r>
      <w:r w:rsidRPr="008D638F">
        <w:rPr>
          <w:noProof/>
          <w:lang w:val="en-IE"/>
        </w:rPr>
        <w:t>654</w:t>
      </w:r>
      <w:r>
        <w:rPr>
          <w:noProof/>
          <w:lang w:val="en-IE"/>
        </w:rPr>
        <w:t> </w:t>
      </w:r>
      <w:r w:rsidRPr="008D638F">
        <w:rPr>
          <w:noProof/>
          <w:lang w:val="en-IE"/>
        </w:rPr>
        <w:t>180 has been disbursed to Ukraine in the first six instalments under the Plan, of which EUR 3</w:t>
      </w:r>
      <w:r>
        <w:rPr>
          <w:noProof/>
          <w:lang w:val="en-IE"/>
        </w:rPr>
        <w:t> </w:t>
      </w:r>
      <w:r w:rsidRPr="008D638F">
        <w:rPr>
          <w:noProof/>
          <w:lang w:val="en-IE"/>
        </w:rPr>
        <w:t>601</w:t>
      </w:r>
      <w:r>
        <w:rPr>
          <w:noProof/>
          <w:lang w:val="en-IE"/>
        </w:rPr>
        <w:t> </w:t>
      </w:r>
      <w:r w:rsidRPr="008D638F">
        <w:rPr>
          <w:noProof/>
          <w:lang w:val="en-IE"/>
        </w:rPr>
        <w:t>252</w:t>
      </w:r>
      <w:r>
        <w:rPr>
          <w:noProof/>
          <w:lang w:val="en-IE"/>
        </w:rPr>
        <w:t> </w:t>
      </w:r>
      <w:r w:rsidRPr="008D638F">
        <w:rPr>
          <w:noProof/>
          <w:lang w:val="en-IE"/>
        </w:rPr>
        <w:t>880 has been disbursed in the form of non-repayable financial support and EUR 15</w:t>
      </w:r>
      <w:r>
        <w:rPr>
          <w:noProof/>
          <w:lang w:val="en-IE"/>
        </w:rPr>
        <w:t> </w:t>
      </w:r>
      <w:r w:rsidRPr="008D638F">
        <w:rPr>
          <w:noProof/>
          <w:lang w:val="en-IE"/>
        </w:rPr>
        <w:t>273</w:t>
      </w:r>
      <w:r>
        <w:rPr>
          <w:noProof/>
          <w:lang w:val="en-IE"/>
        </w:rPr>
        <w:t> </w:t>
      </w:r>
      <w:r w:rsidRPr="008D638F">
        <w:rPr>
          <w:noProof/>
          <w:lang w:val="en-IE"/>
        </w:rPr>
        <w:t>401</w:t>
      </w:r>
      <w:r>
        <w:rPr>
          <w:noProof/>
          <w:lang w:val="en-IE"/>
        </w:rPr>
        <w:t> </w:t>
      </w:r>
      <w:r w:rsidRPr="008D638F">
        <w:rPr>
          <w:noProof/>
          <w:lang w:val="en-IE"/>
        </w:rPr>
        <w:t xml:space="preserve">300 in the form of a loan. </w:t>
      </w:r>
      <w:r w:rsidRPr="008D638F">
        <w:rPr>
          <w:rFonts w:eastAsia="Times New Roman"/>
          <w:noProof/>
          <w:lang w:val="en-IE"/>
        </w:rPr>
        <w:t>In accordance with the Loan Agreement concluded between the Union and Ukraine pursuant to Article 22 of</w:t>
      </w:r>
      <w:r>
        <w:rPr>
          <w:rFonts w:eastAsia="Times New Roman"/>
          <w:noProof/>
          <w:lang w:val="en-IE"/>
        </w:rPr>
        <w:t> </w:t>
      </w:r>
      <w:r w:rsidRPr="008D638F">
        <w:rPr>
          <w:rFonts w:eastAsia="Times New Roman"/>
          <w:noProof/>
          <w:lang w:val="en-IE"/>
        </w:rPr>
        <w:t>Regulation (EU) 2024/792, an amount of EUR</w:t>
      </w:r>
      <w:r>
        <w:rPr>
          <w:rFonts w:eastAsia="Times New Roman"/>
          <w:noProof/>
          <w:lang w:val="en-IE"/>
        </w:rPr>
        <w:t> </w:t>
      </w:r>
      <w:r w:rsidRPr="008D638F">
        <w:rPr>
          <w:rFonts w:eastAsia="Times New Roman"/>
          <w:noProof/>
          <w:lang w:val="en-IE"/>
        </w:rPr>
        <w:t>1</w:t>
      </w:r>
      <w:r>
        <w:rPr>
          <w:rFonts w:eastAsia="Times New Roman"/>
          <w:noProof/>
          <w:lang w:val="en-IE"/>
        </w:rPr>
        <w:t> </w:t>
      </w:r>
      <w:r w:rsidRPr="008D638F">
        <w:rPr>
          <w:rFonts w:eastAsia="Times New Roman"/>
          <w:noProof/>
          <w:lang w:val="en-IE"/>
        </w:rPr>
        <w:t>149</w:t>
      </w:r>
      <w:r>
        <w:rPr>
          <w:rFonts w:eastAsia="Times New Roman"/>
          <w:noProof/>
          <w:lang w:val="en-IE"/>
        </w:rPr>
        <w:t> </w:t>
      </w:r>
      <w:r w:rsidRPr="008D638F">
        <w:rPr>
          <w:rFonts w:eastAsia="Times New Roman"/>
          <w:noProof/>
          <w:lang w:val="en-IE"/>
        </w:rPr>
        <w:t>610</w:t>
      </w:r>
      <w:r>
        <w:rPr>
          <w:rFonts w:eastAsia="Times New Roman"/>
          <w:noProof/>
          <w:lang w:val="en-IE"/>
        </w:rPr>
        <w:t> </w:t>
      </w:r>
      <w:r w:rsidRPr="008D638F">
        <w:rPr>
          <w:rFonts w:eastAsia="Times New Roman"/>
          <w:noProof/>
          <w:lang w:val="en-IE"/>
        </w:rPr>
        <w:t>850 from the first six instalments was used to clear the pre-financing of the loan.</w:t>
      </w:r>
    </w:p>
    <w:p w14:paraId="00ED5862" w14:textId="77777777" w:rsidR="00C0112C" w:rsidRPr="00EE0CC0" w:rsidRDefault="00C0112C" w:rsidP="00C0112C">
      <w:pPr>
        <w:pStyle w:val="ManualConsidrant"/>
        <w:rPr>
          <w:rStyle w:val="normaltextrun"/>
          <w:noProof/>
          <w:color w:val="000000" w:themeColor="text1"/>
        </w:rPr>
      </w:pPr>
      <w:r>
        <w:rPr>
          <w:noProof/>
        </w:rPr>
        <w:t>(6)</w:t>
      </w:r>
      <w:r>
        <w:rPr>
          <w:noProof/>
        </w:rPr>
        <w:tab/>
      </w:r>
      <w:r>
        <w:rPr>
          <w:rStyle w:val="normaltextrun"/>
          <w:noProof/>
          <w:color w:val="000000" w:themeColor="text1"/>
        </w:rPr>
        <w:t>T</w:t>
      </w:r>
      <w:r w:rsidRPr="222A471C">
        <w:rPr>
          <w:rStyle w:val="normaltextrun"/>
          <w:noProof/>
          <w:color w:val="000000" w:themeColor="text1"/>
        </w:rPr>
        <w:t xml:space="preserve">he </w:t>
      </w:r>
      <w:r w:rsidRPr="222A471C">
        <w:rPr>
          <w:noProof/>
          <w:lang w:val="en-IE"/>
        </w:rPr>
        <w:t>methodology for handling the partial fulfilment of steps</w:t>
      </w:r>
      <w:r w:rsidRPr="222A471C">
        <w:rPr>
          <w:rStyle w:val="normaltextrun"/>
          <w:noProof/>
          <w:color w:val="000000" w:themeColor="text1"/>
        </w:rPr>
        <w:t xml:space="preserve"> in </w:t>
      </w:r>
      <w:bookmarkStart w:id="2" w:name="_Int_NH8pHxhu"/>
      <w:r w:rsidRPr="222A471C">
        <w:rPr>
          <w:rStyle w:val="normaltextrun"/>
          <w:noProof/>
          <w:color w:val="000000" w:themeColor="text1"/>
        </w:rPr>
        <w:t>the Ukraine</w:t>
      </w:r>
      <w:bookmarkEnd w:id="2"/>
      <w:r w:rsidRPr="222A471C">
        <w:rPr>
          <w:rStyle w:val="normaltextrun"/>
          <w:noProof/>
          <w:color w:val="000000" w:themeColor="text1"/>
        </w:rPr>
        <w:t xml:space="preserve"> Plan</w:t>
      </w:r>
      <w:r>
        <w:rPr>
          <w:rStyle w:val="FootnoteReference"/>
          <w:noProof/>
          <w:color w:val="000000" w:themeColor="text1"/>
        </w:rPr>
        <w:footnoteReference w:id="5"/>
      </w:r>
      <w:r>
        <w:rPr>
          <w:rStyle w:val="normaltextrun"/>
          <w:noProof/>
          <w:color w:val="000000" w:themeColor="text1"/>
        </w:rPr>
        <w:t xml:space="preserve"> </w:t>
      </w:r>
      <w:r w:rsidRPr="222A471C">
        <w:rPr>
          <w:rStyle w:val="normaltextrun"/>
          <w:noProof/>
          <w:color w:val="000000" w:themeColor="text1"/>
        </w:rPr>
        <w:t>adopted on 24 March 2025 in accordance with Article 26(5) of Regulation (EU) 2024/792</w:t>
      </w:r>
      <w:r>
        <w:rPr>
          <w:rStyle w:val="normaltextrun"/>
          <w:noProof/>
          <w:color w:val="000000" w:themeColor="text1"/>
        </w:rPr>
        <w:t xml:space="preserve">. </w:t>
      </w:r>
      <w:r w:rsidRPr="222A471C">
        <w:rPr>
          <w:rStyle w:val="normaltextrun"/>
          <w:noProof/>
          <w:color w:val="000000" w:themeColor="text1"/>
        </w:rPr>
        <w:t>After one year of application</w:t>
      </w:r>
      <w:r>
        <w:rPr>
          <w:rStyle w:val="normaltextrun"/>
          <w:noProof/>
          <w:color w:val="000000" w:themeColor="text1"/>
        </w:rPr>
        <w:t>,</w:t>
      </w:r>
      <w:r w:rsidRPr="222A471C">
        <w:rPr>
          <w:rStyle w:val="normaltextrun"/>
          <w:noProof/>
          <w:color w:val="000000" w:themeColor="text1"/>
        </w:rPr>
        <w:t xml:space="preserve"> sufficient practical experience has been gained to warrant a review of th</w:t>
      </w:r>
      <w:r>
        <w:rPr>
          <w:rStyle w:val="normaltextrun"/>
          <w:noProof/>
          <w:color w:val="000000" w:themeColor="text1"/>
        </w:rPr>
        <w:t>is</w:t>
      </w:r>
      <w:r w:rsidRPr="222A471C">
        <w:rPr>
          <w:rStyle w:val="normaltextrun"/>
          <w:noProof/>
          <w:color w:val="000000" w:themeColor="text1"/>
        </w:rPr>
        <w:t xml:space="preserve"> methodology. In addition, the continuation of the Russian war of aggression against Ukraine and the intensification of attacks against Ukrainian critical civilian and energy infrastructures create serious disturbances to the</w:t>
      </w:r>
      <w:r>
        <w:rPr>
          <w:rStyle w:val="normaltextrun"/>
          <w:noProof/>
          <w:color w:val="000000" w:themeColor="text1"/>
        </w:rPr>
        <w:t> </w:t>
      </w:r>
      <w:r w:rsidRPr="222A471C">
        <w:rPr>
          <w:rStyle w:val="normaltextrun"/>
          <w:noProof/>
          <w:color w:val="000000" w:themeColor="text1"/>
        </w:rPr>
        <w:t>legislative work of the Verkhovna Rada and continue to weigh on Ukraine’s administrative capacities. In line with the methodology adopted by the Commission on 16</w:t>
      </w:r>
      <w:r>
        <w:rPr>
          <w:rStyle w:val="normaltextrun"/>
          <w:noProof/>
          <w:color w:val="000000" w:themeColor="text1"/>
        </w:rPr>
        <w:t> </w:t>
      </w:r>
      <w:r w:rsidRPr="222A471C">
        <w:rPr>
          <w:rStyle w:val="normaltextrun"/>
          <w:noProof/>
          <w:color w:val="000000" w:themeColor="text1"/>
        </w:rPr>
        <w:t>April 2026</w:t>
      </w:r>
      <w:r>
        <w:rPr>
          <w:rStyle w:val="FootnoteReference"/>
          <w:noProof/>
          <w:color w:val="000000" w:themeColor="text1"/>
        </w:rPr>
        <w:footnoteReference w:id="6"/>
      </w:r>
      <w:r w:rsidRPr="222A471C">
        <w:rPr>
          <w:rStyle w:val="normaltextrun"/>
          <w:noProof/>
          <w:color w:val="000000" w:themeColor="text1"/>
        </w:rPr>
        <w:t xml:space="preserve">, the suspension value </w:t>
      </w:r>
      <w:r w:rsidRPr="222A471C">
        <w:rPr>
          <w:noProof/>
          <w:lang w:val="en-IE"/>
        </w:rPr>
        <w:t xml:space="preserve">might </w:t>
      </w:r>
      <w:r w:rsidRPr="222A471C">
        <w:rPr>
          <w:rStyle w:val="normaltextrun"/>
          <w:noProof/>
          <w:color w:val="000000" w:themeColor="text1"/>
        </w:rPr>
        <w:t xml:space="preserve">be adjusted </w:t>
      </w:r>
      <w:r w:rsidRPr="222A471C">
        <w:rPr>
          <w:noProof/>
          <w:lang w:val="en-IE"/>
        </w:rPr>
        <w:t xml:space="preserve">to </w:t>
      </w:r>
      <w:r w:rsidRPr="222A471C">
        <w:rPr>
          <w:rStyle w:val="normaltextrun"/>
          <w:noProof/>
          <w:color w:val="000000" w:themeColor="text1"/>
        </w:rPr>
        <w:t>take into account mitigating factors. The application of mitigating factors and the final determination of the</w:t>
      </w:r>
      <w:r>
        <w:rPr>
          <w:rStyle w:val="normaltextrun"/>
          <w:noProof/>
          <w:color w:val="000000" w:themeColor="text1"/>
        </w:rPr>
        <w:t> </w:t>
      </w:r>
      <w:r w:rsidRPr="222A471C">
        <w:rPr>
          <w:rStyle w:val="normaltextrun"/>
          <w:noProof/>
          <w:color w:val="000000" w:themeColor="text1"/>
        </w:rPr>
        <w:t>adjusted suspension value</w:t>
      </w:r>
      <w:r>
        <w:rPr>
          <w:rStyle w:val="normaltextrun"/>
          <w:noProof/>
          <w:color w:val="000000" w:themeColor="text1"/>
        </w:rPr>
        <w:t xml:space="preserve"> should</w:t>
      </w:r>
      <w:r w:rsidRPr="222A471C">
        <w:rPr>
          <w:rStyle w:val="normaltextrun"/>
          <w:noProof/>
          <w:color w:val="000000" w:themeColor="text1"/>
        </w:rPr>
        <w:t xml:space="preserve"> be established by the Council, in line with Articles 19, 20 and 26 </w:t>
      </w:r>
      <w:r>
        <w:rPr>
          <w:rStyle w:val="normaltextrun"/>
          <w:noProof/>
          <w:color w:val="000000" w:themeColor="text1"/>
        </w:rPr>
        <w:t xml:space="preserve">of </w:t>
      </w:r>
      <w:r w:rsidRPr="222A471C">
        <w:rPr>
          <w:rStyle w:val="normaltextrun"/>
          <w:noProof/>
          <w:color w:val="000000" w:themeColor="text1"/>
        </w:rPr>
        <w:t>Regulation (EU) 2024/792.</w:t>
      </w:r>
    </w:p>
    <w:p w14:paraId="2C6450BD" w14:textId="77777777" w:rsidR="00C0112C" w:rsidRDefault="00C0112C" w:rsidP="00C0112C">
      <w:pPr>
        <w:pStyle w:val="ManualConsidrant"/>
        <w:rPr>
          <w:noProof/>
        </w:rPr>
      </w:pPr>
      <w:r>
        <w:rPr>
          <w:noProof/>
        </w:rPr>
        <w:t>(7)</w:t>
      </w:r>
      <w:r>
        <w:rPr>
          <w:noProof/>
        </w:rPr>
        <w:tab/>
      </w:r>
      <w:r w:rsidRPr="7DE9DFE9">
        <w:rPr>
          <w:noProof/>
          <w:lang w:val="en-IE"/>
        </w:rPr>
        <w:t>In accordance with Article 26(2) of Regulation (EU) 2024/792, on 14</w:t>
      </w:r>
      <w:r>
        <w:rPr>
          <w:noProof/>
          <w:lang w:val="en-IE"/>
        </w:rPr>
        <w:t> </w:t>
      </w:r>
      <w:r w:rsidRPr="7DE9DFE9">
        <w:rPr>
          <w:noProof/>
          <w:lang w:val="en-IE"/>
        </w:rPr>
        <w:t xml:space="preserve">April 2026, Ukraine submitted a duly justified request for the payment of part of the fifth, sixth and seventh instalments of the non-repayable financial support and of the loan support, amounting to </w:t>
      </w:r>
      <w:r w:rsidRPr="7DE9DFE9">
        <w:rPr>
          <w:rFonts w:eastAsia="Times New Roman"/>
          <w:noProof/>
          <w:lang w:val="en-IE"/>
        </w:rPr>
        <w:t>EUR </w:t>
      </w:r>
      <w:r w:rsidRPr="008B78FA">
        <w:rPr>
          <w:rFonts w:eastAsia="Times New Roman"/>
          <w:noProof/>
          <w:lang w:val="en-IE"/>
        </w:rPr>
        <w:t>2</w:t>
      </w:r>
      <w:r>
        <w:rPr>
          <w:rFonts w:eastAsia="Times New Roman"/>
          <w:noProof/>
          <w:lang w:val="en-IE"/>
        </w:rPr>
        <w:t> </w:t>
      </w:r>
      <w:r w:rsidRPr="008B78FA">
        <w:rPr>
          <w:rFonts w:eastAsia="Times New Roman"/>
          <w:noProof/>
          <w:lang w:val="en-IE"/>
        </w:rPr>
        <w:t>949</w:t>
      </w:r>
      <w:r>
        <w:rPr>
          <w:rFonts w:eastAsia="Times New Roman"/>
          <w:noProof/>
          <w:lang w:val="en-IE"/>
        </w:rPr>
        <w:t> </w:t>
      </w:r>
      <w:r w:rsidRPr="008B78FA">
        <w:rPr>
          <w:rFonts w:eastAsia="Times New Roman"/>
          <w:noProof/>
          <w:lang w:val="en-IE"/>
        </w:rPr>
        <w:t>367</w:t>
      </w:r>
      <w:r>
        <w:rPr>
          <w:rFonts w:eastAsia="Times New Roman"/>
          <w:noProof/>
          <w:lang w:val="en-IE"/>
        </w:rPr>
        <w:t> </w:t>
      </w:r>
      <w:r w:rsidRPr="008B78FA">
        <w:rPr>
          <w:rFonts w:eastAsia="Times New Roman"/>
          <w:noProof/>
          <w:lang w:val="en-IE"/>
        </w:rPr>
        <w:t>660</w:t>
      </w:r>
      <w:r w:rsidRPr="7DE9DFE9">
        <w:rPr>
          <w:rFonts w:eastAsia="Times New Roman"/>
          <w:noProof/>
          <w:lang w:val="en-IE"/>
        </w:rPr>
        <w:t xml:space="preserve">. The request also covered four steps from subsequent instalments. </w:t>
      </w:r>
      <w:r w:rsidRPr="7DE9DFE9">
        <w:rPr>
          <w:noProof/>
          <w:lang w:val="en-IE"/>
        </w:rPr>
        <w:t>The request was accompanied by a series of documents evidencing the satisfactory fulfilment of one step in the fifth instalment, two steps in the sixth instalment, eleven steps in the seventh instalment, two steps in the eight instalment and two steps in the ninth instalment. It also submitted all documents required under Article 12 of the Framework Agreement, Article 5 of the Financing Agreement and Article 6 of the Loan Agreement concluded between the Union and Ukraine pursuant to Articles 9, 10 and 22, respectively, of Regulation (EU) 2024/792</w:t>
      </w:r>
      <w:r w:rsidRPr="7DE9DFE9">
        <w:rPr>
          <w:noProof/>
        </w:rPr>
        <w:t>.</w:t>
      </w:r>
    </w:p>
    <w:p w14:paraId="1F7A31CA" w14:textId="77777777" w:rsidR="00C0112C" w:rsidRPr="006973F5" w:rsidRDefault="00C0112C" w:rsidP="00C0112C">
      <w:pPr>
        <w:pStyle w:val="ManualConsidrant"/>
        <w:rPr>
          <w:rFonts w:eastAsia="Times New Roman"/>
          <w:noProof/>
          <w:color w:val="000000" w:themeColor="text1"/>
          <w:sz w:val="23"/>
          <w:szCs w:val="23"/>
        </w:rPr>
      </w:pPr>
      <w:r>
        <w:rPr>
          <w:noProof/>
        </w:rPr>
        <w:t>(8)</w:t>
      </w:r>
      <w:r>
        <w:rPr>
          <w:noProof/>
        </w:rPr>
        <w:tab/>
      </w:r>
      <w:r w:rsidRPr="207F0BA2">
        <w:rPr>
          <w:noProof/>
          <w:lang w:val="en-IE"/>
        </w:rPr>
        <w:t xml:space="preserve">The steps underpinning Ukraine’s latest request relate to various reforms set out in the Plan under the chapters on public financial management, </w:t>
      </w:r>
      <w:r>
        <w:rPr>
          <w:noProof/>
          <w:lang w:val="en-IE"/>
        </w:rPr>
        <w:t xml:space="preserve">the </w:t>
      </w:r>
      <w:r w:rsidRPr="207F0BA2">
        <w:rPr>
          <w:noProof/>
          <w:lang w:val="en-IE"/>
        </w:rPr>
        <w:t xml:space="preserve">judicial system, </w:t>
      </w:r>
      <w:r>
        <w:rPr>
          <w:noProof/>
          <w:lang w:val="en-IE"/>
        </w:rPr>
        <w:t xml:space="preserve">the </w:t>
      </w:r>
      <w:r w:rsidRPr="207F0BA2">
        <w:rPr>
          <w:noProof/>
          <w:lang w:val="en-IE"/>
        </w:rPr>
        <w:t xml:space="preserve">fight against corruption and money laundering, financial markets, management of public assets, human capital, business environment, energy sector, transport, </w:t>
      </w:r>
      <w:r>
        <w:rPr>
          <w:noProof/>
          <w:lang w:val="en-IE"/>
        </w:rPr>
        <w:t xml:space="preserve">the </w:t>
      </w:r>
      <w:r w:rsidRPr="207F0BA2">
        <w:rPr>
          <w:noProof/>
          <w:lang w:val="en-IE"/>
        </w:rPr>
        <w:t xml:space="preserve">agri-food sector, </w:t>
      </w:r>
      <w:r>
        <w:rPr>
          <w:noProof/>
          <w:lang w:val="en-IE"/>
        </w:rPr>
        <w:t xml:space="preserve">the </w:t>
      </w:r>
      <w:r w:rsidRPr="207F0BA2">
        <w:rPr>
          <w:noProof/>
          <w:lang w:val="en-IE"/>
        </w:rPr>
        <w:t xml:space="preserve">management of critical raw materials, digital transformation and </w:t>
      </w:r>
      <w:r>
        <w:rPr>
          <w:noProof/>
          <w:lang w:val="en-IE"/>
        </w:rPr>
        <w:t xml:space="preserve">the </w:t>
      </w:r>
      <w:r w:rsidRPr="207F0BA2">
        <w:rPr>
          <w:noProof/>
          <w:lang w:val="en-IE"/>
        </w:rPr>
        <w:t>green transition and environmental protection. T</w:t>
      </w:r>
      <w:r w:rsidRPr="207F0BA2">
        <w:rPr>
          <w:rFonts w:eastAsia="Times New Roman"/>
          <w:noProof/>
          <w:color w:val="000000" w:themeColor="text1"/>
        </w:rPr>
        <w:t>he medium-term state debt management strategy, amendments to the relevant legislation on state financial control, the</w:t>
      </w:r>
      <w:r>
        <w:rPr>
          <w:rFonts w:eastAsia="Times New Roman"/>
          <w:noProof/>
          <w:color w:val="000000" w:themeColor="text1"/>
        </w:rPr>
        <w:t> </w:t>
      </w:r>
      <w:r w:rsidRPr="207F0BA2">
        <w:rPr>
          <w:rFonts w:eastAsia="Times New Roman"/>
          <w:noProof/>
          <w:color w:val="000000" w:themeColor="text1"/>
        </w:rPr>
        <w:t>population employment strategy, the state targeted economic programme for the</w:t>
      </w:r>
      <w:r>
        <w:rPr>
          <w:rFonts w:eastAsia="Times New Roman"/>
          <w:noProof/>
          <w:color w:val="000000" w:themeColor="text1"/>
        </w:rPr>
        <w:t> </w:t>
      </w:r>
      <w:r w:rsidRPr="207F0BA2">
        <w:rPr>
          <w:rFonts w:eastAsia="Times New Roman"/>
          <w:noProof/>
          <w:color w:val="000000" w:themeColor="text1"/>
        </w:rPr>
        <w:t xml:space="preserve">energy modernisation of heat generating enterprises for the period up to 2030 and the resolution on the Scientific and Expert Council on Climate Change and Preservation of the Ozone Layer </w:t>
      </w:r>
      <w:r>
        <w:rPr>
          <w:rFonts w:eastAsia="Times New Roman"/>
          <w:noProof/>
          <w:color w:val="000000" w:themeColor="text1"/>
        </w:rPr>
        <w:t xml:space="preserve">have been </w:t>
      </w:r>
      <w:r w:rsidRPr="207F0BA2">
        <w:rPr>
          <w:rFonts w:eastAsia="Times New Roman"/>
          <w:noProof/>
          <w:color w:val="000000" w:themeColor="text1"/>
        </w:rPr>
        <w:t xml:space="preserve">adopted. At least 20% of judicial vacances </w:t>
      </w:r>
      <w:r>
        <w:rPr>
          <w:rFonts w:eastAsia="Times New Roman"/>
          <w:noProof/>
          <w:color w:val="000000" w:themeColor="text1"/>
        </w:rPr>
        <w:t xml:space="preserve">have been </w:t>
      </w:r>
      <w:r w:rsidRPr="207F0BA2">
        <w:rPr>
          <w:rFonts w:eastAsia="Times New Roman"/>
          <w:noProof/>
          <w:color w:val="000000" w:themeColor="text1"/>
        </w:rPr>
        <w:t xml:space="preserve">filled, the 20% of old disciplinary cases not considered as of end of 2023 </w:t>
      </w:r>
      <w:r>
        <w:rPr>
          <w:rFonts w:eastAsia="Times New Roman"/>
          <w:noProof/>
          <w:color w:val="000000" w:themeColor="text1"/>
        </w:rPr>
        <w:t>have been</w:t>
      </w:r>
      <w:r w:rsidRPr="207F0BA2">
        <w:rPr>
          <w:rFonts w:eastAsia="Times New Roman"/>
          <w:noProof/>
          <w:color w:val="000000" w:themeColor="text1"/>
        </w:rPr>
        <w:t xml:space="preserve"> settled, and the qualification evaluation (vetting) in respect of 50 % of </w:t>
      </w:r>
      <w:r w:rsidRPr="207F0BA2">
        <w:rPr>
          <w:rFonts w:eastAsia="Times New Roman"/>
          <w:noProof/>
          <w:color w:val="000000" w:themeColor="text1"/>
        </w:rPr>
        <w:lastRenderedPageBreak/>
        <w:t>judges who still had to undergo it as of 30</w:t>
      </w:r>
      <w:r>
        <w:rPr>
          <w:rFonts w:eastAsia="Times New Roman"/>
          <w:noProof/>
          <w:color w:val="000000" w:themeColor="text1"/>
        </w:rPr>
        <w:t> </w:t>
      </w:r>
      <w:r w:rsidRPr="207F0BA2">
        <w:rPr>
          <w:rFonts w:eastAsia="Times New Roman"/>
          <w:noProof/>
          <w:color w:val="000000" w:themeColor="text1"/>
        </w:rPr>
        <w:t xml:space="preserve">September 2016 </w:t>
      </w:r>
      <w:r>
        <w:rPr>
          <w:rFonts w:eastAsia="Times New Roman"/>
          <w:noProof/>
          <w:color w:val="000000" w:themeColor="text1"/>
        </w:rPr>
        <w:t>has been</w:t>
      </w:r>
      <w:r w:rsidRPr="207F0BA2">
        <w:rPr>
          <w:rFonts w:eastAsia="Times New Roman"/>
          <w:noProof/>
          <w:color w:val="000000" w:themeColor="text1"/>
        </w:rPr>
        <w:t xml:space="preserve"> completed. The law on the enforcement of court decisions related to monetary and non-monetary obligations and further digitali</w:t>
      </w:r>
      <w:r>
        <w:rPr>
          <w:rFonts w:eastAsia="Times New Roman"/>
          <w:noProof/>
          <w:color w:val="000000" w:themeColor="text1"/>
        </w:rPr>
        <w:t>s</w:t>
      </w:r>
      <w:r w:rsidRPr="207F0BA2">
        <w:rPr>
          <w:rFonts w:eastAsia="Times New Roman"/>
          <w:noProof/>
          <w:color w:val="000000" w:themeColor="text1"/>
        </w:rPr>
        <w:t>ing the enforcement proceedings, the law on the</w:t>
      </w:r>
      <w:r>
        <w:rPr>
          <w:rFonts w:eastAsia="Times New Roman"/>
          <w:noProof/>
          <w:color w:val="000000" w:themeColor="text1"/>
        </w:rPr>
        <w:t> </w:t>
      </w:r>
      <w:r w:rsidRPr="207F0BA2">
        <w:rPr>
          <w:rFonts w:eastAsia="Times New Roman"/>
          <w:noProof/>
          <w:color w:val="000000" w:themeColor="text1"/>
        </w:rPr>
        <w:t xml:space="preserve">improvement of the state regulation for capital markets and organised commodity markets, the legislation on the basic principles of housing policy, the legislation in </w:t>
      </w:r>
      <w:r>
        <w:rPr>
          <w:rFonts w:eastAsia="Times New Roman"/>
          <w:noProof/>
          <w:color w:val="000000" w:themeColor="text1"/>
        </w:rPr>
        <w:t>line</w:t>
      </w:r>
      <w:r w:rsidRPr="207F0BA2">
        <w:rPr>
          <w:rFonts w:eastAsia="Times New Roman"/>
          <w:noProof/>
          <w:color w:val="000000" w:themeColor="text1"/>
        </w:rPr>
        <w:t xml:space="preserve"> with the </w:t>
      </w:r>
      <w:r>
        <w:rPr>
          <w:rFonts w:eastAsia="Times New Roman"/>
          <w:noProof/>
          <w:color w:val="000000" w:themeColor="text1"/>
        </w:rPr>
        <w:t>a</w:t>
      </w:r>
      <w:r w:rsidRPr="207F0BA2">
        <w:rPr>
          <w:rFonts w:eastAsia="Times New Roman"/>
          <w:noProof/>
          <w:color w:val="000000" w:themeColor="text1"/>
        </w:rPr>
        <w:t xml:space="preserve">ction </w:t>
      </w:r>
      <w:r>
        <w:rPr>
          <w:rFonts w:eastAsia="Times New Roman"/>
          <w:noProof/>
          <w:color w:val="000000" w:themeColor="text1"/>
        </w:rPr>
        <w:t>p</w:t>
      </w:r>
      <w:r w:rsidRPr="207F0BA2">
        <w:rPr>
          <w:rFonts w:eastAsia="Times New Roman"/>
          <w:noProof/>
          <w:color w:val="000000" w:themeColor="text1"/>
        </w:rPr>
        <w:t>lan on deregulation in specific sectors, the law on the transposition of the electricity integraton package and the legal act on the functioning of the Integrated Electronic Identification System</w:t>
      </w:r>
      <w:r>
        <w:rPr>
          <w:rFonts w:eastAsia="Times New Roman"/>
          <w:noProof/>
          <w:color w:val="000000" w:themeColor="text1"/>
        </w:rPr>
        <w:t xml:space="preserve"> have</w:t>
      </w:r>
      <w:r w:rsidRPr="207F0BA2">
        <w:rPr>
          <w:rFonts w:eastAsia="Times New Roman"/>
          <w:noProof/>
          <w:color w:val="000000" w:themeColor="text1"/>
        </w:rPr>
        <w:t xml:space="preserve"> entered into force. A data collection system on the enforcement of court decisions </w:t>
      </w:r>
      <w:r>
        <w:rPr>
          <w:rFonts w:eastAsia="Times New Roman"/>
          <w:noProof/>
          <w:color w:val="000000" w:themeColor="text1"/>
        </w:rPr>
        <w:t xml:space="preserve">has </w:t>
      </w:r>
      <w:r w:rsidRPr="207F0BA2">
        <w:rPr>
          <w:rFonts w:eastAsia="Times New Roman"/>
          <w:noProof/>
          <w:color w:val="000000" w:themeColor="text1"/>
        </w:rPr>
        <w:t>bec</w:t>
      </w:r>
      <w:r>
        <w:rPr>
          <w:rFonts w:eastAsia="Times New Roman"/>
          <w:noProof/>
          <w:color w:val="000000" w:themeColor="text1"/>
        </w:rPr>
        <w:t>o</w:t>
      </w:r>
      <w:r w:rsidRPr="207F0BA2">
        <w:rPr>
          <w:rFonts w:eastAsia="Times New Roman"/>
          <w:noProof/>
          <w:color w:val="000000" w:themeColor="text1"/>
        </w:rPr>
        <w:t xml:space="preserve">me operational. The resilience assessment </w:t>
      </w:r>
      <w:r>
        <w:rPr>
          <w:rFonts w:eastAsia="Times New Roman"/>
          <w:noProof/>
          <w:color w:val="000000" w:themeColor="text1"/>
        </w:rPr>
        <w:t>of</w:t>
      </w:r>
      <w:r w:rsidRPr="207F0BA2">
        <w:rPr>
          <w:rFonts w:eastAsia="Times New Roman"/>
          <w:noProof/>
          <w:color w:val="000000" w:themeColor="text1"/>
        </w:rPr>
        <w:t xml:space="preserve"> the banking system, the report on the implementation of state support through the </w:t>
      </w:r>
      <w:r>
        <w:rPr>
          <w:rFonts w:eastAsia="Times New Roman"/>
          <w:noProof/>
          <w:color w:val="000000" w:themeColor="text1"/>
        </w:rPr>
        <w:t xml:space="preserve">State </w:t>
      </w:r>
      <w:r w:rsidRPr="207F0BA2">
        <w:rPr>
          <w:rFonts w:eastAsia="Times New Roman"/>
          <w:noProof/>
          <w:color w:val="000000" w:themeColor="text1"/>
        </w:rPr>
        <w:t xml:space="preserve">Agricultural Register and a study on the legislation on ESG reporting </w:t>
      </w:r>
      <w:r>
        <w:rPr>
          <w:rFonts w:eastAsia="Times New Roman"/>
          <w:noProof/>
          <w:color w:val="000000" w:themeColor="text1"/>
        </w:rPr>
        <w:t>have been</w:t>
      </w:r>
      <w:r w:rsidRPr="207F0BA2">
        <w:rPr>
          <w:rFonts w:eastAsia="Times New Roman"/>
          <w:noProof/>
          <w:color w:val="000000" w:themeColor="text1"/>
        </w:rPr>
        <w:t xml:space="preserve"> published. </w:t>
      </w:r>
    </w:p>
    <w:p w14:paraId="2DD4CA2B" w14:textId="77777777" w:rsidR="00C0112C" w:rsidRPr="002A0CA7" w:rsidRDefault="00C0112C" w:rsidP="00C0112C">
      <w:pPr>
        <w:pStyle w:val="ManualConsidrant"/>
        <w:rPr>
          <w:noProof/>
        </w:rPr>
      </w:pPr>
      <w:r>
        <w:rPr>
          <w:noProof/>
        </w:rPr>
        <w:t>(9)</w:t>
      </w:r>
      <w:r>
        <w:rPr>
          <w:noProof/>
        </w:rPr>
        <w:tab/>
      </w:r>
      <w:r w:rsidRPr="3A0451AB">
        <w:rPr>
          <w:noProof/>
          <w:lang w:val="en-IE"/>
        </w:rPr>
        <w:t xml:space="preserve">In accordance with Article 26(3) of Regulation (EU) 2024/792, the Commission has assessed Ukraine’s request in detail and made a positive assessment of the satisfactory fulfilment of </w:t>
      </w:r>
      <w:r w:rsidRPr="3A0451AB">
        <w:rPr>
          <w:rFonts w:eastAsia="Times New Roman"/>
          <w:noProof/>
          <w:lang w:val="en-IE"/>
        </w:rPr>
        <w:t xml:space="preserve">one of the two outstanding steps required for the fifth instalment, </w:t>
      </w:r>
      <w:r>
        <w:rPr>
          <w:rFonts w:eastAsia="Times New Roman"/>
          <w:noProof/>
          <w:lang w:val="en-IE"/>
        </w:rPr>
        <w:t>both</w:t>
      </w:r>
      <w:r w:rsidRPr="3A0451AB">
        <w:rPr>
          <w:rFonts w:eastAsia="Times New Roman"/>
          <w:noProof/>
          <w:lang w:val="en-IE"/>
        </w:rPr>
        <w:t xml:space="preserve"> of the two outstanding steps required for the sixth instalment and</w:t>
      </w:r>
      <w:r w:rsidRPr="3A0451AB">
        <w:rPr>
          <w:noProof/>
          <w:lang w:val="en-IE"/>
        </w:rPr>
        <w:t xml:space="preserve"> </w:t>
      </w:r>
      <w:r w:rsidRPr="008B78FA">
        <w:rPr>
          <w:noProof/>
          <w:lang w:val="en-IE"/>
        </w:rPr>
        <w:t>eleven</w:t>
      </w:r>
      <w:r w:rsidRPr="3A0451AB">
        <w:rPr>
          <w:noProof/>
          <w:lang w:val="en-IE"/>
        </w:rPr>
        <w:t xml:space="preserve"> of the twenty steps required for the seventh instalment</w:t>
      </w:r>
      <w:r>
        <w:rPr>
          <w:noProof/>
          <w:lang w:val="en-IE"/>
        </w:rPr>
        <w:t>,</w:t>
      </w:r>
      <w:r w:rsidRPr="3A0451AB">
        <w:rPr>
          <w:noProof/>
          <w:lang w:val="en-IE"/>
        </w:rPr>
        <w:t xml:space="preserve"> as </w:t>
      </w:r>
      <w:r>
        <w:rPr>
          <w:noProof/>
          <w:lang w:val="en-IE"/>
        </w:rPr>
        <w:t>set out in detail</w:t>
      </w:r>
      <w:r w:rsidRPr="3A0451AB">
        <w:rPr>
          <w:noProof/>
          <w:lang w:val="en-IE"/>
        </w:rPr>
        <w:t xml:space="preserve"> in the Annex to this Decision. </w:t>
      </w:r>
      <w:r w:rsidRPr="2E7F18D5">
        <w:rPr>
          <w:rFonts w:eastAsia="Times New Roman"/>
          <w:noProof/>
          <w:color w:val="000000" w:themeColor="text1"/>
          <w:lang w:val="en-IE"/>
        </w:rPr>
        <w:t>This assessment has been made in the context of the implementation of the</w:t>
      </w:r>
      <w:r>
        <w:rPr>
          <w:rFonts w:eastAsia="Times New Roman"/>
          <w:noProof/>
          <w:color w:val="000000" w:themeColor="text1"/>
          <w:lang w:val="en-IE"/>
        </w:rPr>
        <w:t> </w:t>
      </w:r>
      <w:r w:rsidRPr="2E7F18D5">
        <w:rPr>
          <w:rFonts w:eastAsia="Times New Roman"/>
          <w:noProof/>
          <w:color w:val="000000" w:themeColor="text1"/>
          <w:lang w:val="en-IE"/>
        </w:rPr>
        <w:t xml:space="preserve">Plan. Further alignment with the Union </w:t>
      </w:r>
      <w:r w:rsidRPr="2E7F18D5">
        <w:rPr>
          <w:rFonts w:eastAsia="Times New Roman"/>
          <w:i/>
          <w:iCs/>
          <w:noProof/>
          <w:color w:val="000000" w:themeColor="text1"/>
          <w:lang w:val="en-IE"/>
        </w:rPr>
        <w:t xml:space="preserve">acquis </w:t>
      </w:r>
      <w:r w:rsidRPr="2E7F18D5">
        <w:rPr>
          <w:rFonts w:eastAsia="Times New Roman"/>
          <w:noProof/>
          <w:color w:val="000000" w:themeColor="text1"/>
          <w:lang w:val="en-IE"/>
        </w:rPr>
        <w:t>will be facilitated through the EU accession process.</w:t>
      </w:r>
      <w:r w:rsidRPr="2E7F18D5">
        <w:rPr>
          <w:noProof/>
          <w:lang w:val="en-IE"/>
        </w:rPr>
        <w:t xml:space="preserve"> </w:t>
      </w:r>
      <w:r w:rsidRPr="3A0451AB">
        <w:rPr>
          <w:noProof/>
          <w:lang w:val="en-IE"/>
        </w:rPr>
        <w:t>In addition, the Commission made a positive assessment of the</w:t>
      </w:r>
      <w:r>
        <w:rPr>
          <w:noProof/>
          <w:lang w:val="en-IE"/>
        </w:rPr>
        <w:t> </w:t>
      </w:r>
      <w:r w:rsidRPr="3A0451AB">
        <w:rPr>
          <w:noProof/>
          <w:lang w:val="en-IE"/>
        </w:rPr>
        <w:t>satisfactory fulfilment of two steps in the eighth instalment and two steps in the ninth instalment and has included its assessment of those steps in the Annex to this Decision. This assessment is</w:t>
      </w:r>
      <w:r w:rsidRPr="2E7F18D5">
        <w:rPr>
          <w:noProof/>
          <w:lang w:val="en-IE"/>
        </w:rPr>
        <w:t xml:space="preserve"> </w:t>
      </w:r>
      <w:r>
        <w:rPr>
          <w:noProof/>
          <w:lang w:val="en-IE"/>
        </w:rPr>
        <w:t xml:space="preserve">for the moment </w:t>
      </w:r>
      <w:r w:rsidRPr="2E7F18D5">
        <w:rPr>
          <w:noProof/>
          <w:lang w:val="en-IE"/>
        </w:rPr>
        <w:t>undertaken solely with a view to the application of the partial payment methodology and is</w:t>
      </w:r>
      <w:r w:rsidRPr="3A0451AB">
        <w:rPr>
          <w:noProof/>
          <w:lang w:val="en-IE"/>
        </w:rPr>
        <w:t xml:space="preserve"> without prejudice to the assessment of the eighth and ninth instalments respectively. </w:t>
      </w:r>
      <w:r w:rsidRPr="2E7F18D5">
        <w:rPr>
          <w:noProof/>
          <w:lang w:val="en-IE"/>
        </w:rPr>
        <w:t>B</w:t>
      </w:r>
      <w:r w:rsidRPr="3A0451AB">
        <w:rPr>
          <w:noProof/>
          <w:lang w:val="en-IE"/>
        </w:rPr>
        <w:t xml:space="preserve">ased on this assessment and in line with the methodology for handling the partial fulfilment of steps </w:t>
      </w:r>
      <w:r w:rsidRPr="3A0451AB">
        <w:rPr>
          <w:rStyle w:val="normaltextrun"/>
          <w:noProof/>
          <w:color w:val="000000" w:themeColor="text1"/>
        </w:rPr>
        <w:t>in the Ukraine</w:t>
      </w:r>
      <w:r w:rsidRPr="2E7F18D5">
        <w:rPr>
          <w:rStyle w:val="normaltextrun"/>
          <w:noProof/>
          <w:color w:val="000000" w:themeColor="text1"/>
        </w:rPr>
        <w:t xml:space="preserve"> Plan</w:t>
      </w:r>
      <w:r w:rsidRPr="3A0451AB">
        <w:rPr>
          <w:rStyle w:val="FootnoteReference"/>
          <w:noProof/>
          <w:color w:val="000000" w:themeColor="text1"/>
        </w:rPr>
        <w:footnoteReference w:id="7"/>
      </w:r>
      <w:r w:rsidRPr="3A0451AB">
        <w:rPr>
          <w:noProof/>
          <w:lang w:val="en-IE"/>
        </w:rPr>
        <w:t>, t</w:t>
      </w:r>
      <w:r w:rsidRPr="3A0451AB">
        <w:rPr>
          <w:rStyle w:val="normaltextrun"/>
          <w:noProof/>
          <w:color w:val="000000" w:themeColor="text1"/>
        </w:rPr>
        <w:t>he Commission proposes adjust</w:t>
      </w:r>
      <w:r>
        <w:rPr>
          <w:rStyle w:val="normaltextrun"/>
          <w:noProof/>
          <w:color w:val="000000" w:themeColor="text1"/>
        </w:rPr>
        <w:t>ing</w:t>
      </w:r>
      <w:r w:rsidRPr="3A0451AB">
        <w:rPr>
          <w:rStyle w:val="normaltextrun"/>
          <w:noProof/>
          <w:color w:val="000000" w:themeColor="text1"/>
        </w:rPr>
        <w:t xml:space="preserve"> the suspension value relating to the unfulfilled steps under the seventh instalment downwards</w:t>
      </w:r>
      <w:r>
        <w:rPr>
          <w:rStyle w:val="normaltextrun"/>
          <w:noProof/>
          <w:color w:val="000000" w:themeColor="text1"/>
        </w:rPr>
        <w:t>,</w:t>
      </w:r>
      <w:r w:rsidRPr="3A0451AB">
        <w:rPr>
          <w:rStyle w:val="normaltextrun"/>
          <w:noProof/>
          <w:color w:val="000000" w:themeColor="text1"/>
        </w:rPr>
        <w:t xml:space="preserve"> while ensuring </w:t>
      </w:r>
      <w:r>
        <w:rPr>
          <w:rStyle w:val="normaltextrun"/>
          <w:noProof/>
          <w:color w:val="000000" w:themeColor="text1"/>
        </w:rPr>
        <w:t xml:space="preserve">that </w:t>
      </w:r>
      <w:r w:rsidRPr="3A0451AB">
        <w:rPr>
          <w:rStyle w:val="normaltextrun"/>
          <w:noProof/>
          <w:color w:val="000000" w:themeColor="text1"/>
        </w:rPr>
        <w:t>sufficient incentives for the implementation of the non-fulfilled steps are maintained</w:t>
      </w:r>
      <w:r w:rsidRPr="3A0451AB">
        <w:rPr>
          <w:rStyle w:val="normaltextrun"/>
          <w:rFonts w:eastAsia="Times New Roman"/>
          <w:noProof/>
          <w:color w:val="000000" w:themeColor="text1"/>
        </w:rPr>
        <w:t>.</w:t>
      </w:r>
      <w:r w:rsidRPr="3A0451AB">
        <w:rPr>
          <w:rFonts w:eastAsia="Times New Roman"/>
          <w:noProof/>
          <w:color w:val="000000" w:themeColor="text1"/>
          <w:lang w:val="en-IE"/>
        </w:rPr>
        <w:t xml:space="preserve"> </w:t>
      </w:r>
    </w:p>
    <w:p w14:paraId="575CA328" w14:textId="77777777" w:rsidR="00C0112C" w:rsidRPr="00EE0CC0" w:rsidRDefault="00C0112C" w:rsidP="00C0112C">
      <w:pPr>
        <w:pStyle w:val="ManualConsidrant"/>
        <w:rPr>
          <w:noProof/>
        </w:rPr>
      </w:pPr>
      <w:r>
        <w:rPr>
          <w:noProof/>
        </w:rPr>
        <w:t>(10)</w:t>
      </w:r>
      <w:r>
        <w:rPr>
          <w:noProof/>
        </w:rPr>
        <w:tab/>
      </w:r>
      <w:r w:rsidRPr="77102547">
        <w:rPr>
          <w:noProof/>
        </w:rPr>
        <w:t>In its payment request, Ukraine confirmed that it has not reversed any measure related to the steps which it had previously satisfactorily fulfilled.</w:t>
      </w:r>
    </w:p>
    <w:p w14:paraId="17EC1B53" w14:textId="77777777" w:rsidR="00C0112C" w:rsidRPr="00EE0CC0" w:rsidRDefault="00C0112C" w:rsidP="00C0112C">
      <w:pPr>
        <w:pStyle w:val="ManualConsidrant"/>
        <w:rPr>
          <w:noProof/>
        </w:rPr>
      </w:pPr>
      <w:r>
        <w:rPr>
          <w:noProof/>
        </w:rPr>
        <w:t>(11)</w:t>
      </w:r>
      <w:r>
        <w:rPr>
          <w:noProof/>
        </w:rPr>
        <w:tab/>
      </w:r>
      <w:r w:rsidRPr="2E7F18D5">
        <w:rPr>
          <w:noProof/>
          <w:lang w:val="en-IE"/>
        </w:rPr>
        <w:t>The Commission has further assessed that Ukraine continues to fulfil the pre-condition for Union support set out in Article 5 of Regulation (EU) 2024/792. In particular, Ukraine continues to uphold and respect effective democratic mechanisms, including amulti-party parliamentary system and the rule of law, and to guarantee respect for human rights, including the rights of persons belonging to minorities.</w:t>
      </w:r>
    </w:p>
    <w:p w14:paraId="57E0FC98" w14:textId="77777777" w:rsidR="00C0112C" w:rsidRPr="00925F28" w:rsidRDefault="00C0112C" w:rsidP="00C0112C">
      <w:pPr>
        <w:pStyle w:val="ManualConsidrant"/>
        <w:rPr>
          <w:noProof/>
        </w:rPr>
      </w:pPr>
      <w:r>
        <w:rPr>
          <w:noProof/>
        </w:rPr>
        <w:t>(12)</w:t>
      </w:r>
      <w:r>
        <w:rPr>
          <w:noProof/>
        </w:rPr>
        <w:tab/>
      </w:r>
      <w:r w:rsidRPr="3BF71C9A">
        <w:rPr>
          <w:noProof/>
          <w:lang w:val="en-IE"/>
        </w:rPr>
        <w:t>This Decision should therefore establish that the relevant conditions for the payment of the</w:t>
      </w:r>
      <w:r w:rsidRPr="3BF71C9A">
        <w:rPr>
          <w:rFonts w:eastAsia="Times New Roman"/>
          <w:noProof/>
          <w:lang w:val="en-IE"/>
        </w:rPr>
        <w:t xml:space="preserve"> fifth instalment in respect of one of the two outstanding steps, of the sixth instalment in respect of both of the two outstanding steps and of the</w:t>
      </w:r>
      <w:r w:rsidRPr="3BF71C9A">
        <w:rPr>
          <w:noProof/>
          <w:lang w:val="en-IE"/>
        </w:rPr>
        <w:t xml:space="preserve"> seventh instalment in respect of eleven of the twenty steps under the Plan have been satisfactorily fulfilled.</w:t>
      </w:r>
    </w:p>
    <w:p w14:paraId="6D472AF5" w14:textId="77777777" w:rsidR="00C0112C" w:rsidRPr="00C434E6" w:rsidRDefault="00C0112C" w:rsidP="00C0112C">
      <w:pPr>
        <w:pStyle w:val="ManualConsidrant"/>
        <w:rPr>
          <w:noProof/>
        </w:rPr>
      </w:pPr>
      <w:r>
        <w:rPr>
          <w:noProof/>
        </w:rPr>
        <w:t>(13)</w:t>
      </w:r>
      <w:r>
        <w:rPr>
          <w:noProof/>
        </w:rPr>
        <w:tab/>
        <w:t>Implementing Decision (EU) 2024/1447 should therefore be amended accordingly.</w:t>
      </w:r>
    </w:p>
    <w:p w14:paraId="5E47EDBE" w14:textId="77777777" w:rsidR="00C0112C" w:rsidRPr="00C434E6" w:rsidRDefault="00C0112C" w:rsidP="00C0112C">
      <w:pPr>
        <w:pStyle w:val="ManualConsidrant"/>
        <w:rPr>
          <w:noProof/>
        </w:rPr>
      </w:pPr>
      <w:r>
        <w:rPr>
          <w:noProof/>
        </w:rPr>
        <w:lastRenderedPageBreak/>
        <w:t>(14)</w:t>
      </w:r>
      <w:r>
        <w:rPr>
          <w:noProof/>
        </w:rPr>
        <w:tab/>
      </w:r>
      <w:r w:rsidRPr="2E7F18D5">
        <w:rPr>
          <w:noProof/>
          <w:lang w:val="en-IE"/>
        </w:rPr>
        <w:t xml:space="preserve">Considering Ukraine’s urgent financing needs, it is of the utmost importance to disburse the funds as soon as possible. Given the urgency of the situation and with aview to expediting the process, this Decision should enter into force on the day of its publication in the </w:t>
      </w:r>
      <w:r w:rsidRPr="2E7F18D5">
        <w:rPr>
          <w:i/>
          <w:iCs/>
          <w:noProof/>
          <w:lang w:val="en-IE"/>
        </w:rPr>
        <w:t>Official Journal of the European Union</w:t>
      </w:r>
      <w:r w:rsidRPr="2E7F18D5">
        <w:rPr>
          <w:noProof/>
          <w:lang w:val="en-IE"/>
        </w:rPr>
        <w:t xml:space="preserve"> and should apply from the date of its adoption</w:t>
      </w:r>
      <w:r w:rsidRPr="00C434E6">
        <w:rPr>
          <w:noProof/>
        </w:rPr>
        <w:t>,</w:t>
      </w:r>
    </w:p>
    <w:p w14:paraId="08786BDE" w14:textId="77777777" w:rsidR="00C0112C" w:rsidRPr="00C434E6" w:rsidRDefault="00C0112C" w:rsidP="00C0112C">
      <w:pPr>
        <w:pStyle w:val="Formuledadoption"/>
        <w:rPr>
          <w:noProof/>
        </w:rPr>
      </w:pPr>
      <w:r w:rsidRPr="00C434E6">
        <w:rPr>
          <w:noProof/>
        </w:rPr>
        <w:t xml:space="preserve">HAS ADOPTED THIS DECISION: </w:t>
      </w:r>
    </w:p>
    <w:p w14:paraId="0ECECEF6" w14:textId="77777777" w:rsidR="00C0112C" w:rsidRDefault="00C0112C" w:rsidP="00C0112C">
      <w:pPr>
        <w:pStyle w:val="Titrearticle"/>
        <w:rPr>
          <w:noProof/>
        </w:rPr>
      </w:pPr>
      <w:r w:rsidRPr="00C434E6">
        <w:rPr>
          <w:noProof/>
        </w:rPr>
        <w:t>Article 1</w:t>
      </w:r>
    </w:p>
    <w:p w14:paraId="2EE66665" w14:textId="77777777" w:rsidR="00C0112C" w:rsidRDefault="00C0112C" w:rsidP="00C0112C">
      <w:pPr>
        <w:jc w:val="center"/>
        <w:rPr>
          <w:b/>
          <w:bCs/>
          <w:noProof/>
        </w:rPr>
      </w:pPr>
      <w:r w:rsidRPr="77102547">
        <w:rPr>
          <w:b/>
          <w:bCs/>
          <w:noProof/>
        </w:rPr>
        <w:t>Establishment of the satisfactory fulfilment of the conditions for the payment</w:t>
      </w:r>
    </w:p>
    <w:p w14:paraId="57F2FEEA" w14:textId="77777777" w:rsidR="00C0112C" w:rsidRPr="000225CA" w:rsidRDefault="00C0112C" w:rsidP="001A46B9">
      <w:pPr>
        <w:pStyle w:val="Point0"/>
        <w:rPr>
          <w:noProof/>
          <w:lang w:val="en-IE"/>
        </w:rPr>
      </w:pPr>
      <w:r>
        <w:rPr>
          <w:noProof/>
        </w:rPr>
        <w:t>(1)</w:t>
      </w:r>
      <w:r>
        <w:rPr>
          <w:noProof/>
        </w:rPr>
        <w:tab/>
      </w:r>
      <w:r w:rsidRPr="2E7F18D5">
        <w:rPr>
          <w:noProof/>
        </w:rPr>
        <w:t>The satisfactory fulfilment of the relevant conditions for the partial payment of the fifth, sixth and seventh instalments of the non-repayable financial support and of the loan support amounting in total to EUR</w:t>
      </w:r>
      <w:r w:rsidRPr="000225CA">
        <w:rPr>
          <w:rFonts w:ascii="Aptos Narrow" w:hAnsi="Aptos Narrow"/>
          <w:noProof/>
          <w:color w:val="000000" w:themeColor="text1"/>
          <w:lang w:eastAsia="de-DE"/>
        </w:rPr>
        <w:t> </w:t>
      </w:r>
      <w:r w:rsidRPr="008B78FA">
        <w:rPr>
          <w:noProof/>
        </w:rPr>
        <w:t>2</w:t>
      </w:r>
      <w:r>
        <w:rPr>
          <w:noProof/>
        </w:rPr>
        <w:t> </w:t>
      </w:r>
      <w:r w:rsidRPr="008B78FA">
        <w:rPr>
          <w:noProof/>
        </w:rPr>
        <w:t>949</w:t>
      </w:r>
      <w:r>
        <w:rPr>
          <w:noProof/>
        </w:rPr>
        <w:t> </w:t>
      </w:r>
      <w:r w:rsidRPr="008B78FA">
        <w:rPr>
          <w:noProof/>
        </w:rPr>
        <w:t>367</w:t>
      </w:r>
      <w:r>
        <w:rPr>
          <w:noProof/>
        </w:rPr>
        <w:t> </w:t>
      </w:r>
      <w:r w:rsidRPr="008B78FA">
        <w:rPr>
          <w:noProof/>
        </w:rPr>
        <w:t>660</w:t>
      </w:r>
      <w:r w:rsidRPr="2E7F18D5">
        <w:rPr>
          <w:noProof/>
        </w:rPr>
        <w:t xml:space="preserve"> before clearing the pre-financing, out of which EUR</w:t>
      </w:r>
      <w:r>
        <w:rPr>
          <w:noProof/>
        </w:rPr>
        <w:t> </w:t>
      </w:r>
      <w:r w:rsidRPr="008B78FA">
        <w:rPr>
          <w:noProof/>
        </w:rPr>
        <w:t>386</w:t>
      </w:r>
      <w:r>
        <w:rPr>
          <w:noProof/>
        </w:rPr>
        <w:t> </w:t>
      </w:r>
      <w:r w:rsidRPr="008B78FA">
        <w:rPr>
          <w:noProof/>
        </w:rPr>
        <w:t>258</w:t>
      </w:r>
      <w:r>
        <w:rPr>
          <w:noProof/>
        </w:rPr>
        <w:t> </w:t>
      </w:r>
      <w:r w:rsidRPr="008B78FA">
        <w:rPr>
          <w:noProof/>
        </w:rPr>
        <w:t>902</w:t>
      </w:r>
      <w:r w:rsidRPr="2E7F18D5">
        <w:rPr>
          <w:noProof/>
        </w:rPr>
        <w:t xml:space="preserve"> corresponds to the fifth instalment, EUR </w:t>
      </w:r>
      <w:r w:rsidRPr="008B78FA">
        <w:rPr>
          <w:noProof/>
        </w:rPr>
        <w:t>796</w:t>
      </w:r>
      <w:r>
        <w:rPr>
          <w:noProof/>
        </w:rPr>
        <w:t> </w:t>
      </w:r>
      <w:r w:rsidRPr="008B78FA">
        <w:rPr>
          <w:noProof/>
        </w:rPr>
        <w:t>658</w:t>
      </w:r>
      <w:r>
        <w:rPr>
          <w:noProof/>
        </w:rPr>
        <w:t> </w:t>
      </w:r>
      <w:r w:rsidRPr="008B78FA">
        <w:rPr>
          <w:noProof/>
        </w:rPr>
        <w:t>985</w:t>
      </w:r>
      <w:r w:rsidRPr="2E7F18D5">
        <w:rPr>
          <w:noProof/>
        </w:rPr>
        <w:t xml:space="preserve"> corresponds to the sixth instalment and EUR</w:t>
      </w:r>
      <w:r>
        <w:rPr>
          <w:noProof/>
        </w:rPr>
        <w:t> </w:t>
      </w:r>
      <w:r w:rsidRPr="008B78FA">
        <w:rPr>
          <w:noProof/>
        </w:rPr>
        <w:t>1</w:t>
      </w:r>
      <w:r>
        <w:rPr>
          <w:noProof/>
        </w:rPr>
        <w:t> </w:t>
      </w:r>
      <w:r w:rsidRPr="008B78FA">
        <w:rPr>
          <w:noProof/>
        </w:rPr>
        <w:t>766</w:t>
      </w:r>
      <w:r>
        <w:rPr>
          <w:noProof/>
        </w:rPr>
        <w:t> </w:t>
      </w:r>
      <w:r w:rsidRPr="008B78FA">
        <w:rPr>
          <w:noProof/>
        </w:rPr>
        <w:t>449</w:t>
      </w:r>
      <w:r>
        <w:rPr>
          <w:noProof/>
        </w:rPr>
        <w:t> </w:t>
      </w:r>
      <w:r w:rsidRPr="008B78FA">
        <w:rPr>
          <w:noProof/>
        </w:rPr>
        <w:t>773</w:t>
      </w:r>
      <w:r w:rsidRPr="2E7F18D5">
        <w:rPr>
          <w:noProof/>
        </w:rPr>
        <w:t xml:space="preserve"> corresponds to the seventh instalment, is established in line with the assessment provided by the Commission in accordance with Article 26 of Regulation (EU) 2024/792 and annexed to this Decision.</w:t>
      </w:r>
    </w:p>
    <w:p w14:paraId="202A4920" w14:textId="77777777" w:rsidR="00C0112C" w:rsidRPr="005D79CB" w:rsidRDefault="00C0112C" w:rsidP="001A46B9">
      <w:pPr>
        <w:pStyle w:val="Point0"/>
        <w:rPr>
          <w:noProof/>
          <w:lang w:val="en-IE"/>
        </w:rPr>
      </w:pPr>
      <w:r>
        <w:rPr>
          <w:noProof/>
        </w:rPr>
        <w:t>(2)</w:t>
      </w:r>
      <w:r>
        <w:rPr>
          <w:noProof/>
        </w:rPr>
        <w:tab/>
      </w:r>
      <w:r w:rsidRPr="00EB4E53">
        <w:rPr>
          <w:noProof/>
          <w:lang w:val="en-IE"/>
        </w:rPr>
        <w:t>The application of the mitigating factor is established, taking into account the importance of the steps that have not been fulfilled and of the reasons for the</w:t>
      </w:r>
      <w:r>
        <w:rPr>
          <w:noProof/>
          <w:lang w:val="en-IE"/>
        </w:rPr>
        <w:t>ir</w:t>
      </w:r>
      <w:r w:rsidRPr="00EB4E53">
        <w:rPr>
          <w:noProof/>
          <w:lang w:val="en-IE"/>
        </w:rPr>
        <w:t xml:space="preserve"> non-fulfilment, as well as the importance of the quantitative and qualitative steps that have been fulfilled early. The application of the mitigating factor </w:t>
      </w:r>
      <w:r>
        <w:rPr>
          <w:noProof/>
          <w:lang w:val="en-IE"/>
        </w:rPr>
        <w:t xml:space="preserve">shall </w:t>
      </w:r>
      <w:r w:rsidRPr="00EB4E53">
        <w:rPr>
          <w:noProof/>
          <w:lang w:val="en-IE"/>
        </w:rPr>
        <w:t>lead to a</w:t>
      </w:r>
      <w:r>
        <w:rPr>
          <w:noProof/>
          <w:lang w:val="en-IE"/>
        </w:rPr>
        <w:t> </w:t>
      </w:r>
      <w:r w:rsidRPr="00EB4E53">
        <w:rPr>
          <w:noProof/>
          <w:lang w:val="en-IE"/>
        </w:rPr>
        <w:t xml:space="preserve">reduction of the suspension value corresponding to </w:t>
      </w:r>
      <w:r w:rsidRPr="00EB4E53">
        <w:rPr>
          <w:rStyle w:val="normaltextrun"/>
          <w:noProof/>
          <w:color w:val="000000" w:themeColor="text1"/>
        </w:rPr>
        <w:t>the unfulfilled steps under the seventh instalment by the amount of EUR</w:t>
      </w:r>
      <w:r>
        <w:rPr>
          <w:rStyle w:val="normaltextrun"/>
          <w:noProof/>
          <w:color w:val="000000" w:themeColor="text1"/>
        </w:rPr>
        <w:t> </w:t>
      </w:r>
      <w:r w:rsidRPr="00EB4E53">
        <w:rPr>
          <w:rFonts w:eastAsia="Times New Roman"/>
          <w:noProof/>
          <w:color w:val="000000" w:themeColor="text1"/>
        </w:rPr>
        <w:t>392</w:t>
      </w:r>
      <w:r>
        <w:rPr>
          <w:rFonts w:eastAsia="Times New Roman"/>
          <w:noProof/>
          <w:color w:val="000000" w:themeColor="text1"/>
        </w:rPr>
        <w:t> </w:t>
      </w:r>
      <w:r w:rsidRPr="00EB4E53">
        <w:rPr>
          <w:rFonts w:eastAsia="Times New Roman"/>
          <w:noProof/>
          <w:color w:val="000000" w:themeColor="text1"/>
        </w:rPr>
        <w:t>544</w:t>
      </w:r>
      <w:r>
        <w:rPr>
          <w:rFonts w:eastAsia="Times New Roman"/>
          <w:noProof/>
          <w:color w:val="000000" w:themeColor="text1"/>
        </w:rPr>
        <w:t> </w:t>
      </w:r>
      <w:r w:rsidRPr="00EB4E53">
        <w:rPr>
          <w:rFonts w:eastAsia="Times New Roman"/>
          <w:noProof/>
          <w:color w:val="000000" w:themeColor="text1"/>
        </w:rPr>
        <w:t>392</w:t>
      </w:r>
      <w:r w:rsidRPr="00EB4E53">
        <w:rPr>
          <w:rStyle w:val="normaltextrun"/>
          <w:noProof/>
          <w:color w:val="000000" w:themeColor="text1"/>
        </w:rPr>
        <w:t>.</w:t>
      </w:r>
    </w:p>
    <w:p w14:paraId="11441C9B" w14:textId="77777777" w:rsidR="00C0112C" w:rsidRPr="00C434E6" w:rsidRDefault="00C0112C" w:rsidP="00C0112C">
      <w:pPr>
        <w:pStyle w:val="ListParagraph"/>
        <w:rPr>
          <w:noProof/>
        </w:rPr>
      </w:pPr>
    </w:p>
    <w:p w14:paraId="7D0A20D3" w14:textId="77777777" w:rsidR="00C0112C" w:rsidRPr="00505E6B" w:rsidRDefault="00C0112C" w:rsidP="00C0112C">
      <w:pPr>
        <w:pStyle w:val="Titrearticle"/>
        <w:rPr>
          <w:noProof/>
        </w:rPr>
      </w:pPr>
      <w:r w:rsidRPr="00C0112C">
        <w:rPr>
          <w:noProof/>
        </w:rPr>
        <w:t xml:space="preserve">Article </w:t>
      </w:r>
      <w:r w:rsidRPr="00505E6B">
        <w:rPr>
          <w:noProof/>
        </w:rPr>
        <w:t>2</w:t>
      </w:r>
    </w:p>
    <w:p w14:paraId="089A398A" w14:textId="77777777" w:rsidR="00C0112C" w:rsidRDefault="00C0112C" w:rsidP="00C0112C">
      <w:pPr>
        <w:jc w:val="center"/>
        <w:rPr>
          <w:b/>
          <w:bCs/>
          <w:noProof/>
        </w:rPr>
      </w:pPr>
      <w:r w:rsidRPr="77102547">
        <w:rPr>
          <w:b/>
          <w:bCs/>
          <w:noProof/>
        </w:rPr>
        <w:t>Amendments to Implementing Decision (EU) 2024/1447</w:t>
      </w:r>
    </w:p>
    <w:p w14:paraId="1F9E126A" w14:textId="77777777" w:rsidR="00C0112C" w:rsidRDefault="00C0112C" w:rsidP="00C0112C">
      <w:pPr>
        <w:rPr>
          <w:noProof/>
        </w:rPr>
      </w:pPr>
      <w:r>
        <w:rPr>
          <w:noProof/>
        </w:rPr>
        <w:t>Implementing Decision (EU) 2024/1447 is amended as follows:</w:t>
      </w:r>
    </w:p>
    <w:p w14:paraId="0E353797" w14:textId="77777777" w:rsidR="00C0112C" w:rsidRDefault="00C0112C" w:rsidP="001A46B9">
      <w:pPr>
        <w:pStyle w:val="Point0"/>
        <w:rPr>
          <w:noProof/>
        </w:rPr>
      </w:pPr>
      <w:r>
        <w:rPr>
          <w:noProof/>
        </w:rPr>
        <w:t>(1)</w:t>
      </w:r>
      <w:r>
        <w:rPr>
          <w:noProof/>
        </w:rPr>
        <w:tab/>
        <w:t>in Article 2, the following paragraph is added:</w:t>
      </w:r>
    </w:p>
    <w:p w14:paraId="2AA24F7C" w14:textId="77777777" w:rsidR="00C0112C" w:rsidRDefault="00C0112C" w:rsidP="00C0112C">
      <w:pPr>
        <w:pStyle w:val="ListParagraph"/>
        <w:rPr>
          <w:noProof/>
        </w:rPr>
      </w:pPr>
    </w:p>
    <w:p w14:paraId="2FD0014B" w14:textId="77777777" w:rsidR="00C0112C" w:rsidRDefault="00C0112C" w:rsidP="00C0112C">
      <w:pPr>
        <w:pStyle w:val="ListParagraph"/>
        <w:rPr>
          <w:noProof/>
          <w:lang w:val="en-IE"/>
        </w:rPr>
      </w:pPr>
      <w:r>
        <w:rPr>
          <w:noProof/>
        </w:rPr>
        <w:t xml:space="preserve">‘6. </w:t>
      </w:r>
      <w:r w:rsidRPr="533784B7">
        <w:rPr>
          <w:noProof/>
          <w:lang w:val="en-IE"/>
        </w:rPr>
        <w:t xml:space="preserve">Where Ukraine has not satisfactorily fulfilled one or more qualitative and quantitative steps due under a given instalment, as identified in the Annex, but it has already satisfactorily fulfilled one or more qualitative and quantitative steps due under a subsequent instalment or can demonstrate that a quantitative step has been partially fulfilled, the Council, upon a proposal from the Commission, may take into account such early or partial fulfilment as a factor in determining the amount of the partial payment to Ukraine under the first of </w:t>
      </w:r>
      <w:r>
        <w:rPr>
          <w:noProof/>
          <w:lang w:val="en-IE"/>
        </w:rPr>
        <w:t xml:space="preserve">those </w:t>
      </w:r>
      <w:r w:rsidRPr="533784B7">
        <w:rPr>
          <w:noProof/>
          <w:lang w:val="en-IE"/>
        </w:rPr>
        <w:t>instalments. Account shall be taken of the importance of the qualitative and quantitative steps that have not been fulfilled and of the reasons for the non-fulfilment thereof, as well as of the importance of the quantitative and qualitative steps that have been fulfilled early.’;</w:t>
      </w:r>
    </w:p>
    <w:p w14:paraId="59CE6B64" w14:textId="77777777" w:rsidR="00C0112C" w:rsidRDefault="00C0112C" w:rsidP="00C0112C">
      <w:pPr>
        <w:pStyle w:val="ListParagraph"/>
        <w:rPr>
          <w:noProof/>
          <w:lang w:val="en-IE"/>
        </w:rPr>
      </w:pPr>
    </w:p>
    <w:p w14:paraId="5EFAD0AA" w14:textId="77777777" w:rsidR="00C0112C" w:rsidRPr="00AB511E" w:rsidRDefault="00C0112C" w:rsidP="00C0112C">
      <w:pPr>
        <w:pStyle w:val="Point0"/>
        <w:rPr>
          <w:noProof/>
          <w:lang w:val="en-IE"/>
        </w:rPr>
      </w:pPr>
      <w:r>
        <w:rPr>
          <w:noProof/>
        </w:rPr>
        <w:t>(2)</w:t>
      </w:r>
      <w:r>
        <w:rPr>
          <w:noProof/>
        </w:rPr>
        <w:tab/>
        <w:t>in Article 3, the following paragraph is added:</w:t>
      </w:r>
    </w:p>
    <w:p w14:paraId="5723F4D4" w14:textId="77777777" w:rsidR="00C0112C" w:rsidRDefault="00C0112C" w:rsidP="00C0112C">
      <w:pPr>
        <w:pStyle w:val="ListParagraph"/>
        <w:rPr>
          <w:noProof/>
        </w:rPr>
      </w:pPr>
    </w:p>
    <w:p w14:paraId="19745883" w14:textId="77777777" w:rsidR="00C0112C" w:rsidRPr="005D79CB" w:rsidRDefault="00C0112C" w:rsidP="00C0112C">
      <w:pPr>
        <w:pStyle w:val="ListParagraph"/>
        <w:rPr>
          <w:noProof/>
          <w:lang w:val="en-IE"/>
        </w:rPr>
      </w:pPr>
      <w:r>
        <w:rPr>
          <w:noProof/>
        </w:rPr>
        <w:t xml:space="preserve">‘5. </w:t>
      </w:r>
      <w:r w:rsidRPr="3BF71C9A">
        <w:rPr>
          <w:noProof/>
          <w:lang w:val="en-IE"/>
        </w:rPr>
        <w:t xml:space="preserve">Where Ukraine has not satisfactorily fulfilled one or more qualitative and quantitative steps due under a given instalment, as identified in the Annex, but it has </w:t>
      </w:r>
      <w:r w:rsidRPr="3BF71C9A">
        <w:rPr>
          <w:noProof/>
          <w:lang w:val="en-IE"/>
        </w:rPr>
        <w:lastRenderedPageBreak/>
        <w:t xml:space="preserve">already satisfactorily fulfilled one or more qualitative and quantitative steps due under a subsequent instalment or can demonstrate that a quantitative step has been partially fulfilled, the Council, upon a proposal from the Commission, may take into account such early or partial fulfilment as a factor in determining the amount of the partial payment to Ukraine under the first of </w:t>
      </w:r>
      <w:r>
        <w:rPr>
          <w:noProof/>
          <w:lang w:val="en-IE"/>
        </w:rPr>
        <w:t xml:space="preserve">those </w:t>
      </w:r>
      <w:r w:rsidRPr="3BF71C9A">
        <w:rPr>
          <w:noProof/>
          <w:lang w:val="en-IE"/>
        </w:rPr>
        <w:t>instalments. Account shall be taken of the importance of the qualitative and quantitative steps that have not been fulfilled and of the reasons for the non-fulfilment thereof, as well as of the importance of the quantitative and qualitative steps that have been fulfilled early.’</w:t>
      </w:r>
    </w:p>
    <w:p w14:paraId="1F7457DC" w14:textId="77777777" w:rsidR="00C0112C" w:rsidRPr="00925F28" w:rsidRDefault="00C0112C" w:rsidP="00C0112C">
      <w:pPr>
        <w:rPr>
          <w:noProof/>
          <w:lang w:val="en-IE"/>
        </w:rPr>
      </w:pPr>
    </w:p>
    <w:p w14:paraId="4D5B4439" w14:textId="77777777" w:rsidR="00C0112C" w:rsidRPr="00505E6B" w:rsidRDefault="00C0112C" w:rsidP="00C0112C">
      <w:pPr>
        <w:pStyle w:val="Titrearticle"/>
        <w:rPr>
          <w:noProof/>
        </w:rPr>
      </w:pPr>
      <w:r w:rsidRPr="00C0112C">
        <w:rPr>
          <w:noProof/>
        </w:rPr>
        <w:t xml:space="preserve">Article </w:t>
      </w:r>
      <w:r w:rsidRPr="00505E6B">
        <w:rPr>
          <w:noProof/>
        </w:rPr>
        <w:t>3</w:t>
      </w:r>
    </w:p>
    <w:p w14:paraId="41552C7A" w14:textId="77777777" w:rsidR="00C0112C" w:rsidRPr="00334E9D" w:rsidRDefault="00C0112C" w:rsidP="00C0112C">
      <w:pPr>
        <w:ind w:left="2880" w:firstLine="720"/>
        <w:rPr>
          <w:b/>
          <w:bCs/>
          <w:noProof/>
        </w:rPr>
      </w:pPr>
      <w:r w:rsidRPr="00334E9D">
        <w:rPr>
          <w:b/>
          <w:bCs/>
          <w:noProof/>
        </w:rPr>
        <w:t>Entry into force</w:t>
      </w:r>
    </w:p>
    <w:p w14:paraId="7B982221" w14:textId="77777777" w:rsidR="00C0112C" w:rsidRPr="00925F28" w:rsidRDefault="00C0112C" w:rsidP="00C0112C">
      <w:pPr>
        <w:rPr>
          <w:noProof/>
        </w:rPr>
      </w:pPr>
    </w:p>
    <w:p w14:paraId="166235B7" w14:textId="77777777" w:rsidR="00C0112C" w:rsidRDefault="00C0112C" w:rsidP="00C0112C">
      <w:pPr>
        <w:keepNext/>
        <w:keepLines/>
        <w:rPr>
          <w:noProof/>
        </w:rPr>
      </w:pPr>
      <w:r w:rsidRPr="00C434E6">
        <w:rPr>
          <w:noProof/>
        </w:rPr>
        <w:t xml:space="preserve">This Decision shall enter into force on the day of its publication in the </w:t>
      </w:r>
      <w:r w:rsidRPr="00C434E6">
        <w:rPr>
          <w:i/>
          <w:noProof/>
        </w:rPr>
        <w:t>Official Journal of the European Union</w:t>
      </w:r>
      <w:r w:rsidRPr="00C434E6">
        <w:rPr>
          <w:noProof/>
        </w:rPr>
        <w:t>.</w:t>
      </w:r>
    </w:p>
    <w:p w14:paraId="50B36C58" w14:textId="77777777" w:rsidR="00C0112C" w:rsidRDefault="00C0112C" w:rsidP="00C0112C">
      <w:pPr>
        <w:keepNext/>
        <w:keepLines/>
        <w:rPr>
          <w:noProof/>
        </w:rPr>
      </w:pPr>
      <w:r>
        <w:rPr>
          <w:noProof/>
        </w:rPr>
        <w:t>It shall apply from the date of its adoption.</w:t>
      </w:r>
    </w:p>
    <w:p w14:paraId="214A2AA2" w14:textId="18656BA9" w:rsidR="008E4815" w:rsidRDefault="00774C06" w:rsidP="001E3159">
      <w:pPr>
        <w:pStyle w:val="Fait"/>
        <w:rPr>
          <w:noProof/>
        </w:rPr>
      </w:pPr>
      <w:r>
        <w:rPr>
          <w:noProof/>
        </w:rPr>
        <w:t>Done at Brussels,</w:t>
      </w:r>
    </w:p>
    <w:p w14:paraId="35525B59" w14:textId="77777777" w:rsidR="008E4815" w:rsidRDefault="008E4815" w:rsidP="001E3159">
      <w:pPr>
        <w:pStyle w:val="Institutionquisigne"/>
        <w:rPr>
          <w:noProof/>
        </w:rPr>
      </w:pPr>
      <w:r w:rsidRPr="003342A6">
        <w:rPr>
          <w:noProof/>
        </w:rPr>
        <w:tab/>
        <w:t>For the Council</w:t>
      </w:r>
    </w:p>
    <w:p w14:paraId="3928F1D1" w14:textId="3CBF65C9" w:rsidR="00446D5D" w:rsidRPr="008E4815" w:rsidRDefault="008E4815" w:rsidP="008E4815">
      <w:pPr>
        <w:pStyle w:val="Personnequisigne"/>
        <w:rPr>
          <w:noProof/>
        </w:rPr>
      </w:pPr>
      <w:r w:rsidRPr="003342A6">
        <w:rPr>
          <w:noProof/>
        </w:rPr>
        <w:tab/>
        <w:t>The President</w:t>
      </w:r>
    </w:p>
    <w:sectPr w:rsidR="00446D5D" w:rsidRPr="008E4815" w:rsidSect="00CD513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5A5ED" w14:textId="77777777" w:rsidR="00753034" w:rsidRDefault="00753034" w:rsidP="00446D5D">
      <w:pPr>
        <w:spacing w:before="0" w:after="0"/>
      </w:pPr>
      <w:r>
        <w:separator/>
      </w:r>
    </w:p>
  </w:endnote>
  <w:endnote w:type="continuationSeparator" w:id="0">
    <w:p w14:paraId="1AB7EE76" w14:textId="77777777" w:rsidR="00753034" w:rsidRDefault="00753034" w:rsidP="00446D5D">
      <w:pPr>
        <w:spacing w:before="0" w:after="0"/>
      </w:pPr>
      <w:r>
        <w:continuationSeparator/>
      </w:r>
    </w:p>
  </w:endnote>
  <w:endnote w:type="continuationNotice" w:id="1">
    <w:p w14:paraId="4E50FF55" w14:textId="77777777" w:rsidR="00753034" w:rsidRDefault="00753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84BDA" w14:textId="3077B5EA" w:rsidR="00CD5137" w:rsidRPr="00CD5137" w:rsidRDefault="00CD5137" w:rsidP="00CD5137">
    <w:pPr>
      <w:pStyle w:val="Footer"/>
      <w:rPr>
        <w:rFonts w:ascii="Arial" w:hAnsi="Arial" w:cs="Arial"/>
        <w:b/>
        <w:sz w:val="48"/>
      </w:rPr>
    </w:pPr>
    <w:r w:rsidRPr="00CD5137">
      <w:rPr>
        <w:rFonts w:ascii="Arial" w:hAnsi="Arial" w:cs="Arial"/>
        <w:b/>
        <w:sz w:val="48"/>
      </w:rPr>
      <w:t>EN</w:t>
    </w:r>
    <w:r w:rsidRPr="00CD5137">
      <w:rPr>
        <w:rFonts w:ascii="Arial" w:hAnsi="Arial" w:cs="Arial"/>
        <w:b/>
        <w:sz w:val="48"/>
      </w:rPr>
      <w:tab/>
    </w:r>
    <w:r w:rsidRPr="00CD5137">
      <w:rPr>
        <w:rFonts w:ascii="Arial" w:hAnsi="Arial" w:cs="Arial"/>
        <w:b/>
        <w:sz w:val="48"/>
      </w:rPr>
      <w:tab/>
    </w:r>
    <w:r w:rsidRPr="00CD5137">
      <w:tab/>
    </w:r>
    <w:r w:rsidRPr="00CD513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6D6E" w14:textId="51CC3F34" w:rsidR="00CD5137" w:rsidRPr="00CD5137" w:rsidRDefault="00CD5137" w:rsidP="00CD5137">
    <w:pPr>
      <w:pStyle w:val="Footer"/>
      <w:rPr>
        <w:rFonts w:ascii="Arial" w:hAnsi="Arial" w:cs="Arial"/>
        <w:b/>
        <w:sz w:val="48"/>
      </w:rPr>
    </w:pPr>
    <w:r w:rsidRPr="00CD5137">
      <w:rPr>
        <w:rFonts w:ascii="Arial" w:hAnsi="Arial" w:cs="Arial"/>
        <w:b/>
        <w:sz w:val="48"/>
      </w:rPr>
      <w:t>EN</w:t>
    </w:r>
    <w:r w:rsidRPr="00CD5137">
      <w:rPr>
        <w:rFonts w:ascii="Arial" w:hAnsi="Arial" w:cs="Arial"/>
        <w:b/>
        <w:sz w:val="48"/>
      </w:rPr>
      <w:tab/>
    </w:r>
    <w:r w:rsidRPr="00CD5137">
      <w:rPr>
        <w:rFonts w:ascii="Arial" w:hAnsi="Arial" w:cs="Arial"/>
        <w:b/>
        <w:sz w:val="48"/>
      </w:rPr>
      <w:tab/>
    </w:r>
    <w:r w:rsidRPr="00CD5137">
      <w:tab/>
    </w:r>
    <w:r w:rsidRPr="00CD513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C24E5" w14:textId="77777777" w:rsidR="00CD5137" w:rsidRDefault="00CD51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616E1" w14:textId="7C5F1302" w:rsidR="00CD5137" w:rsidRPr="00CD5137" w:rsidRDefault="00CD5137" w:rsidP="00CD5137">
    <w:pPr>
      <w:pStyle w:val="Footer"/>
      <w:rPr>
        <w:rFonts w:ascii="Arial" w:hAnsi="Arial" w:cs="Arial"/>
        <w:b/>
        <w:sz w:val="48"/>
      </w:rPr>
    </w:pPr>
    <w:r w:rsidRPr="00CD5137">
      <w:rPr>
        <w:rFonts w:ascii="Arial" w:hAnsi="Arial" w:cs="Arial"/>
        <w:b/>
        <w:sz w:val="48"/>
      </w:rPr>
      <w:t>EN</w:t>
    </w:r>
    <w:r w:rsidRPr="00CD5137">
      <w:rPr>
        <w:rFonts w:ascii="Arial" w:hAnsi="Arial" w:cs="Arial"/>
        <w:b/>
        <w:sz w:val="48"/>
      </w:rPr>
      <w:tab/>
    </w:r>
    <w:r>
      <w:fldChar w:fldCharType="begin"/>
    </w:r>
    <w:r>
      <w:instrText xml:space="preserve"> PAGE  \* MERGEFORMAT </w:instrText>
    </w:r>
    <w:r>
      <w:fldChar w:fldCharType="separate"/>
    </w:r>
    <w:r w:rsidR="00B56CE6">
      <w:rPr>
        <w:noProof/>
      </w:rPr>
      <w:t>1</w:t>
    </w:r>
    <w:r>
      <w:fldChar w:fldCharType="end"/>
    </w:r>
    <w:r>
      <w:tab/>
    </w:r>
    <w:r w:rsidRPr="00CD5137">
      <w:tab/>
    </w:r>
    <w:r w:rsidRPr="00CD513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16C70" w14:textId="77777777" w:rsidR="00CD5137" w:rsidRDefault="00CD5137" w:rsidP="00CD5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C98CF" w14:textId="77777777" w:rsidR="00753034" w:rsidRDefault="00753034" w:rsidP="00446D5D">
      <w:pPr>
        <w:spacing w:before="0" w:after="0"/>
      </w:pPr>
      <w:r>
        <w:separator/>
      </w:r>
    </w:p>
  </w:footnote>
  <w:footnote w:type="continuationSeparator" w:id="0">
    <w:p w14:paraId="103C1A42" w14:textId="77777777" w:rsidR="00753034" w:rsidRDefault="00753034" w:rsidP="00446D5D">
      <w:pPr>
        <w:spacing w:before="0" w:after="0"/>
      </w:pPr>
      <w:r>
        <w:continuationSeparator/>
      </w:r>
    </w:p>
  </w:footnote>
  <w:footnote w:type="continuationNotice" w:id="1">
    <w:p w14:paraId="5383BD44" w14:textId="77777777" w:rsidR="00753034" w:rsidRDefault="00753034">
      <w:pPr>
        <w:spacing w:before="0" w:after="0"/>
      </w:pPr>
    </w:p>
  </w:footnote>
  <w:footnote w:id="2">
    <w:p w14:paraId="0E505506" w14:textId="77777777" w:rsidR="00C0112C" w:rsidRPr="003342A6" w:rsidRDefault="00C0112C" w:rsidP="00C0112C">
      <w:pPr>
        <w:pStyle w:val="FootnoteText"/>
        <w:rPr>
          <w:b/>
          <w:bCs/>
          <w:lang w:val="pl-PL"/>
        </w:rPr>
      </w:pPr>
      <w:r>
        <w:rPr>
          <w:rStyle w:val="FootnoteReference"/>
        </w:rPr>
        <w:footnoteRef/>
      </w:r>
      <w:r w:rsidRPr="003342A6">
        <w:rPr>
          <w:lang w:val="pl-PL"/>
        </w:rPr>
        <w:tab/>
      </w:r>
      <w:r w:rsidRPr="00C72BE5">
        <w:rPr>
          <w:lang w:val="pl-PL"/>
        </w:rPr>
        <w:t>O</w:t>
      </w:r>
      <w:r w:rsidRPr="006D4371">
        <w:rPr>
          <w:lang w:val="pl-PL"/>
        </w:rPr>
        <w:t>J L, 2024/792, 29.2.2024, ELI:</w:t>
      </w:r>
      <w:r>
        <w:rPr>
          <w:lang w:val="pl-PL"/>
        </w:rPr>
        <w:t xml:space="preserve"> </w:t>
      </w:r>
      <w:hyperlink r:id="rId1" w:history="1">
        <w:r w:rsidRPr="00C815E0">
          <w:rPr>
            <w:rStyle w:val="Hyperlink"/>
            <w:lang w:val="pl-PL"/>
          </w:rPr>
          <w:t>http://data.europa.eu/eli/reg/2024/792/oj</w:t>
        </w:r>
      </w:hyperlink>
      <w:r>
        <w:rPr>
          <w:lang w:val="pl-PL"/>
        </w:rPr>
        <w:t>.</w:t>
      </w:r>
    </w:p>
  </w:footnote>
  <w:footnote w:id="3">
    <w:p w14:paraId="3ADA6D9E" w14:textId="77777777" w:rsidR="00C0112C" w:rsidRPr="00304D16" w:rsidRDefault="00C0112C" w:rsidP="00C0112C">
      <w:pPr>
        <w:pStyle w:val="FootnoteText"/>
      </w:pPr>
      <w:r w:rsidRPr="00BF3380">
        <w:rPr>
          <w:rStyle w:val="FootnoteReference"/>
        </w:rPr>
        <w:footnoteRef/>
      </w:r>
      <w:r w:rsidRPr="00272415">
        <w:rPr>
          <w:lang w:val="pl-PL"/>
        </w:rPr>
        <w:tab/>
        <w:t xml:space="preserve">OJ L, 2026/480, 23.2.2026, ELI: </w:t>
      </w:r>
      <w:hyperlink r:id="rId2" w:tooltip="Gives access to this document through its ELI URI." w:history="1">
        <w:r w:rsidRPr="001C3DCE">
          <w:rPr>
            <w:rStyle w:val="Hyperlink"/>
            <w:lang w:val="pl-PL"/>
          </w:rPr>
          <w:t>http://data.europa.eu/eli/dec_impl/2026/480/oj</w:t>
        </w:r>
      </w:hyperlink>
      <w:r w:rsidRPr="00E91604">
        <w:rPr>
          <w:lang w:val="pl-PL"/>
        </w:rPr>
        <w:t xml:space="preserve">. </w:t>
      </w:r>
      <w:r w:rsidRPr="00FD589E">
        <w:t>In accordance with Council Implementing Decision (EU) 202</w:t>
      </w:r>
      <w:r>
        <w:t>6</w:t>
      </w:r>
      <w:r w:rsidRPr="00FD589E">
        <w:t>/</w:t>
      </w:r>
      <w:r>
        <w:t>480</w:t>
      </w:r>
      <w:r w:rsidRPr="00FD589E">
        <w:t xml:space="preserve"> amending Implementing Decision (EU) 2024/1447, Sweden will provide SEK</w:t>
      </w:r>
      <w:r>
        <w:t> 2 00</w:t>
      </w:r>
      <w:r w:rsidRPr="00FD589E">
        <w:t>0</w:t>
      </w:r>
      <w:r>
        <w:t> </w:t>
      </w:r>
      <w:r w:rsidRPr="00FD589E">
        <w:t>000</w:t>
      </w:r>
      <w:r>
        <w:t> </w:t>
      </w:r>
      <w:r w:rsidRPr="00FD589E">
        <w:t>00</w:t>
      </w:r>
      <w:r>
        <w:t>0</w:t>
      </w:r>
      <w:r w:rsidRPr="00FD589E">
        <w:t xml:space="preserve"> as </w:t>
      </w:r>
      <w:r>
        <w:t xml:space="preserve">an </w:t>
      </w:r>
      <w:r w:rsidRPr="00FD589E">
        <w:t>additional financial contribution to Pillar I of the Ukraine Facility in the form of non-repayable financial support following the entry into force of a</w:t>
      </w:r>
      <w:r>
        <w:t> </w:t>
      </w:r>
      <w:r w:rsidRPr="00FD589E">
        <w:t>transfer agreement between Sweden and the Commission and the transfer of the related financial contribution.</w:t>
      </w:r>
    </w:p>
  </w:footnote>
  <w:footnote w:id="4">
    <w:p w14:paraId="68AC2734" w14:textId="77777777" w:rsidR="00C0112C" w:rsidRPr="007D3614" w:rsidRDefault="00C0112C" w:rsidP="00C0112C">
      <w:pPr>
        <w:pStyle w:val="FootnoteText"/>
        <w:rPr>
          <w:rFonts w:eastAsia="Times New Roman"/>
          <w:color w:val="000000" w:themeColor="text1"/>
          <w:sz w:val="19"/>
          <w:szCs w:val="19"/>
          <w:lang w:val="en-IE"/>
        </w:rPr>
      </w:pPr>
      <w:r w:rsidRPr="00E44E4D">
        <w:rPr>
          <w:rStyle w:val="FootnoteReference"/>
        </w:rPr>
        <w:footnoteRef/>
      </w:r>
      <w:r>
        <w:tab/>
        <w:t>Council Implementing Decision (EU) 2024/1447 of 14 May 2024 on the approval of the assessment of the Ukraine Plan (</w:t>
      </w:r>
      <w:r w:rsidRPr="00A10156">
        <w:rPr>
          <w:rFonts w:eastAsia="Times New Roman"/>
          <w:color w:val="000000" w:themeColor="text1"/>
          <w:lang w:val="en-IE"/>
        </w:rPr>
        <w:t>OJ</w:t>
      </w:r>
      <w:r>
        <w:rPr>
          <w:rFonts w:eastAsia="Times New Roman"/>
          <w:color w:val="000000" w:themeColor="text1"/>
          <w:lang w:val="en-IE"/>
        </w:rPr>
        <w:t> </w:t>
      </w:r>
      <w:r w:rsidRPr="00A10156">
        <w:rPr>
          <w:rFonts w:eastAsia="Times New Roman"/>
          <w:color w:val="000000" w:themeColor="text1"/>
          <w:lang w:val="en-IE"/>
        </w:rPr>
        <w:t>L, 2024/1447, 24.5.2024, ELI:</w:t>
      </w:r>
      <w:r>
        <w:rPr>
          <w:rFonts w:eastAsia="Times New Roman"/>
          <w:color w:val="000000" w:themeColor="text1"/>
          <w:lang w:val="en-IE"/>
        </w:rPr>
        <w:t> </w:t>
      </w:r>
      <w:hyperlink r:id="rId3" w:history="1">
        <w:r w:rsidRPr="007D3614">
          <w:rPr>
            <w:rStyle w:val="Hyperlink"/>
            <w:rFonts w:eastAsia="Times New Roman"/>
            <w:sz w:val="19"/>
            <w:szCs w:val="19"/>
            <w:lang w:val="en-IE"/>
          </w:rPr>
          <w:t>http://data.europa.eu/eli/dec_impl/2024/1447/oj</w:t>
        </w:r>
      </w:hyperlink>
      <w:r>
        <w:t>).</w:t>
      </w:r>
    </w:p>
  </w:footnote>
  <w:footnote w:id="5">
    <w:p w14:paraId="2F68E9CE" w14:textId="03EA38FA" w:rsidR="00C0112C" w:rsidRPr="005D79CB" w:rsidRDefault="00C0112C" w:rsidP="00C0112C">
      <w:pPr>
        <w:pStyle w:val="FootnoteText"/>
        <w:rPr>
          <w:lang w:val="pl-PL"/>
        </w:rPr>
      </w:pPr>
      <w:r w:rsidRPr="0015028B">
        <w:rPr>
          <w:rStyle w:val="FootnoteReference"/>
        </w:rPr>
        <w:footnoteRef/>
      </w:r>
      <w:r>
        <w:rPr>
          <w:lang w:val="pl-PL"/>
        </w:rPr>
        <w:tab/>
      </w:r>
      <w:hyperlink r:id="rId4" w:history="1">
        <w:r w:rsidRPr="000225CA">
          <w:rPr>
            <w:rStyle w:val="Hyperlink"/>
            <w:lang w:val="es-ES"/>
          </w:rPr>
          <w:t>OJ C, C/2025/2114, 3.4.2025, ELI: http://data.europa.eu/eli/C/2025/2114/oj</w:t>
        </w:r>
      </w:hyperlink>
      <w:r w:rsidRPr="00FD67C8">
        <w:rPr>
          <w:lang w:val="es-ES"/>
        </w:rPr>
        <w:t>.</w:t>
      </w:r>
      <w:r w:rsidRPr="005D79CB">
        <w:rPr>
          <w:lang w:val="pl-PL"/>
        </w:rPr>
        <w:t xml:space="preserve"> </w:t>
      </w:r>
    </w:p>
  </w:footnote>
  <w:footnote w:id="6">
    <w:p w14:paraId="66DE5D99" w14:textId="77777777" w:rsidR="00C0112C" w:rsidRPr="005D79CB" w:rsidRDefault="00C0112C" w:rsidP="00C0112C">
      <w:pPr>
        <w:pStyle w:val="FootnoteText"/>
        <w:rPr>
          <w:lang w:val="pl-PL"/>
        </w:rPr>
      </w:pPr>
      <w:r w:rsidRPr="0015028B">
        <w:rPr>
          <w:rStyle w:val="FootnoteReference"/>
        </w:rPr>
        <w:footnoteRef/>
      </w:r>
      <w:r>
        <w:rPr>
          <w:lang w:val="pl-PL"/>
        </w:rPr>
        <w:tab/>
      </w:r>
      <w:r w:rsidRPr="005D79CB">
        <w:rPr>
          <w:lang w:val="pl-PL"/>
        </w:rPr>
        <w:t>OJ C, C/2026/2328, 17.4.2026, ELI: http://data.europa.eu/eli/C/2026/2328/oj.</w:t>
      </w:r>
    </w:p>
  </w:footnote>
  <w:footnote w:id="7">
    <w:p w14:paraId="7BB9A7A5" w14:textId="77777777" w:rsidR="00C0112C" w:rsidRDefault="00C0112C" w:rsidP="00C0112C">
      <w:pPr>
        <w:pStyle w:val="FootnoteText"/>
      </w:pPr>
      <w:r w:rsidRPr="00774C06">
        <w:rPr>
          <w:rStyle w:val="FootnoteReference"/>
        </w:rPr>
        <w:footnoteRef/>
      </w:r>
      <w:r>
        <w:tab/>
      </w:r>
      <w:r w:rsidRPr="00BF2C90">
        <w:t xml:space="preserve">Communication from the Commission amending the methodology for handling the partial fulfilment of steps in the Ukraine Plan under the Ukraine Facility Regulation and replacing Communication C(2025) 1725 </w:t>
      </w:r>
      <w:r>
        <w:t>(</w:t>
      </w:r>
      <w:r w:rsidRPr="00F90169">
        <w:t xml:space="preserve">OJ </w:t>
      </w:r>
      <w:r>
        <w:t>C</w:t>
      </w:r>
      <w:r w:rsidRPr="00F90169">
        <w:t>, 202</w:t>
      </w:r>
      <w:r>
        <w:t>6</w:t>
      </w:r>
      <w:r w:rsidRPr="00F90169">
        <w:t>/</w:t>
      </w:r>
      <w:r>
        <w:t>2328</w:t>
      </w:r>
      <w:r w:rsidRPr="00F90169">
        <w:t xml:space="preserve">, </w:t>
      </w:r>
      <w:r>
        <w:t>17</w:t>
      </w:r>
      <w:r w:rsidRPr="00F90169">
        <w:t>.</w:t>
      </w:r>
      <w:r>
        <w:t>4</w:t>
      </w:r>
      <w:r w:rsidRPr="00F90169">
        <w:t>.202</w:t>
      </w:r>
      <w:r>
        <w:t>6</w:t>
      </w:r>
      <w:r w:rsidRPr="00F90169">
        <w:t xml:space="preserve">, </w:t>
      </w:r>
      <w:r>
        <w:t xml:space="preserve">ELI: </w:t>
      </w:r>
      <w:hyperlink r:id="rId5" w:history="1">
        <w:r w:rsidRPr="00696DB7">
          <w:rPr>
            <w:rStyle w:val="Hyperlink"/>
          </w:rPr>
          <w:t>http://data.europa.eu/eli/C/2026/2328/oj</w:t>
        </w:r>
      </w:hyperlink>
      <w:r>
        <w:t>)</w:t>
      </w:r>
      <w:r w:rsidRPr="00BF2C9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C9ED" w14:textId="77777777" w:rsidR="00CD5137" w:rsidRDefault="00CD51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7C3CE" w14:textId="77777777" w:rsidR="00CD5137" w:rsidRDefault="00CD5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 w:numId="28">
    <w:abstractNumId w:val="20"/>
  </w:num>
  <w:num w:numId="29">
    <w:abstractNumId w:val="13"/>
  </w:num>
  <w:num w:numId="30">
    <w:abstractNumId w:val="22"/>
  </w:num>
  <w:num w:numId="31">
    <w:abstractNumId w:val="11"/>
  </w:num>
  <w:num w:numId="32">
    <w:abstractNumId w:val="14"/>
  </w:num>
  <w:num w:numId="33">
    <w:abstractNumId w:val="15"/>
  </w:num>
  <w:num w:numId="34">
    <w:abstractNumId w:val="9"/>
  </w:num>
  <w:num w:numId="35">
    <w:abstractNumId w:val="21"/>
  </w:num>
  <w:num w:numId="36">
    <w:abstractNumId w:val="8"/>
  </w:num>
  <w:num w:numId="37">
    <w:abstractNumId w:val="16"/>
  </w:num>
  <w:num w:numId="38">
    <w:abstractNumId w:val="18"/>
  </w:num>
  <w:num w:numId="39">
    <w:abstractNumId w:val="19"/>
  </w:num>
  <w:num w:numId="40">
    <w:abstractNumId w:val="10"/>
  </w:num>
  <w:num w:numId="41">
    <w:abstractNumId w:val="17"/>
  </w:num>
  <w:num w:numId="4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8 09:21: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114299A-F18F-425B-ACF3-85A172014F55"/>
    <w:docVar w:name="LW_COVERPAGE_TYPE" w:val="1"/>
    <w:docVar w:name="LW_CROSSREFERENCE" w:val="&lt;UNUSED&gt;"/>
    <w:docVar w:name="LW_DocType" w:val="COM"/>
    <w:docVar w:name="LW_EMISSION" w:val="29.4.2026"/>
    <w:docVar w:name="LW_EMISSION_ISODATE" w:val="2026-04-29"/>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0"/>
    <w:docVar w:name="LW_REF.II.NEW.CP_YEAR" w:val="2026"/>
    <w:docVar w:name="LW_REF.INST.NEW" w:val="COM"/>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satisfactory fulfilment of the conditions for partial payment under the seventh instalment of the Ukraine Plan of the Ukraine Facility and amending Implementing Decision (EU) 2024/1447_x000b_"/>
    <w:docVar w:name="LW_TYPE.DOC.CP" w:val="COUNCIL IMPLEMENTING DECISION"/>
    <w:docVar w:name="LwApiVersions" w:val="LW4CoDe 1.24.5.0; LW 9.2, Build 20251112"/>
  </w:docVars>
  <w:rsids>
    <w:rsidRoot w:val="00446D5D"/>
    <w:rsid w:val="00000EEA"/>
    <w:rsid w:val="0000782C"/>
    <w:rsid w:val="00016F49"/>
    <w:rsid w:val="000209A9"/>
    <w:rsid w:val="00021430"/>
    <w:rsid w:val="000273D6"/>
    <w:rsid w:val="00032527"/>
    <w:rsid w:val="00034A97"/>
    <w:rsid w:val="00034EE9"/>
    <w:rsid w:val="000351B1"/>
    <w:rsid w:val="00040BF9"/>
    <w:rsid w:val="00040CE6"/>
    <w:rsid w:val="000425B0"/>
    <w:rsid w:val="00042C15"/>
    <w:rsid w:val="00044922"/>
    <w:rsid w:val="00047B7D"/>
    <w:rsid w:val="00050027"/>
    <w:rsid w:val="00050B92"/>
    <w:rsid w:val="000516C4"/>
    <w:rsid w:val="00052C06"/>
    <w:rsid w:val="00052DA8"/>
    <w:rsid w:val="00053231"/>
    <w:rsid w:val="000563EE"/>
    <w:rsid w:val="00061D85"/>
    <w:rsid w:val="000633F4"/>
    <w:rsid w:val="0006593E"/>
    <w:rsid w:val="00065F34"/>
    <w:rsid w:val="00066A8E"/>
    <w:rsid w:val="00075605"/>
    <w:rsid w:val="00075835"/>
    <w:rsid w:val="00085F2F"/>
    <w:rsid w:val="000864C0"/>
    <w:rsid w:val="00090FDA"/>
    <w:rsid w:val="000911AC"/>
    <w:rsid w:val="00092F5D"/>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42DF"/>
    <w:rsid w:val="000C4C40"/>
    <w:rsid w:val="000C6F42"/>
    <w:rsid w:val="000D302C"/>
    <w:rsid w:val="000D3505"/>
    <w:rsid w:val="000D39EF"/>
    <w:rsid w:val="000D453F"/>
    <w:rsid w:val="000D4FCD"/>
    <w:rsid w:val="000D59D6"/>
    <w:rsid w:val="000D5EBA"/>
    <w:rsid w:val="000D6931"/>
    <w:rsid w:val="000D6B30"/>
    <w:rsid w:val="000D74D2"/>
    <w:rsid w:val="000E00A9"/>
    <w:rsid w:val="000E0860"/>
    <w:rsid w:val="000E0938"/>
    <w:rsid w:val="000E106D"/>
    <w:rsid w:val="000E166D"/>
    <w:rsid w:val="000F08B4"/>
    <w:rsid w:val="000F0B9D"/>
    <w:rsid w:val="000F1194"/>
    <w:rsid w:val="000F733C"/>
    <w:rsid w:val="001065F5"/>
    <w:rsid w:val="00107EF6"/>
    <w:rsid w:val="00110390"/>
    <w:rsid w:val="00113BA1"/>
    <w:rsid w:val="001201D7"/>
    <w:rsid w:val="00121F1D"/>
    <w:rsid w:val="00122CCF"/>
    <w:rsid w:val="00123769"/>
    <w:rsid w:val="001238EF"/>
    <w:rsid w:val="0012573F"/>
    <w:rsid w:val="00126B5A"/>
    <w:rsid w:val="00127D89"/>
    <w:rsid w:val="00130393"/>
    <w:rsid w:val="00135DF2"/>
    <w:rsid w:val="001371B2"/>
    <w:rsid w:val="00140AAF"/>
    <w:rsid w:val="0014144D"/>
    <w:rsid w:val="001439D1"/>
    <w:rsid w:val="0014647B"/>
    <w:rsid w:val="00146672"/>
    <w:rsid w:val="00146F17"/>
    <w:rsid w:val="001474D9"/>
    <w:rsid w:val="00147CB4"/>
    <w:rsid w:val="0015333E"/>
    <w:rsid w:val="00162008"/>
    <w:rsid w:val="00162073"/>
    <w:rsid w:val="00162111"/>
    <w:rsid w:val="0016222D"/>
    <w:rsid w:val="00164200"/>
    <w:rsid w:val="00170D03"/>
    <w:rsid w:val="00170DE7"/>
    <w:rsid w:val="00171646"/>
    <w:rsid w:val="00171B18"/>
    <w:rsid w:val="001738B0"/>
    <w:rsid w:val="00180B97"/>
    <w:rsid w:val="001828F1"/>
    <w:rsid w:val="001838E1"/>
    <w:rsid w:val="00185992"/>
    <w:rsid w:val="00196364"/>
    <w:rsid w:val="00197613"/>
    <w:rsid w:val="001A46B9"/>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6D43"/>
    <w:rsid w:val="001D7F92"/>
    <w:rsid w:val="001E082D"/>
    <w:rsid w:val="001E1372"/>
    <w:rsid w:val="001E1699"/>
    <w:rsid w:val="001E1FEB"/>
    <w:rsid w:val="001E3159"/>
    <w:rsid w:val="001E54BA"/>
    <w:rsid w:val="001E5B56"/>
    <w:rsid w:val="001F446C"/>
    <w:rsid w:val="001F4EA7"/>
    <w:rsid w:val="001F7077"/>
    <w:rsid w:val="0020325C"/>
    <w:rsid w:val="00205D3A"/>
    <w:rsid w:val="00213002"/>
    <w:rsid w:val="002149A4"/>
    <w:rsid w:val="002153A6"/>
    <w:rsid w:val="00215459"/>
    <w:rsid w:val="00215D4A"/>
    <w:rsid w:val="002176A4"/>
    <w:rsid w:val="00221A84"/>
    <w:rsid w:val="002224FF"/>
    <w:rsid w:val="00222E1F"/>
    <w:rsid w:val="002243C8"/>
    <w:rsid w:val="0022494F"/>
    <w:rsid w:val="00230525"/>
    <w:rsid w:val="00231526"/>
    <w:rsid w:val="0023164B"/>
    <w:rsid w:val="002318F3"/>
    <w:rsid w:val="00233C1F"/>
    <w:rsid w:val="00233DC7"/>
    <w:rsid w:val="00240D4C"/>
    <w:rsid w:val="00247779"/>
    <w:rsid w:val="0025553A"/>
    <w:rsid w:val="002560CB"/>
    <w:rsid w:val="002621C8"/>
    <w:rsid w:val="00262AFF"/>
    <w:rsid w:val="00262FF9"/>
    <w:rsid w:val="00265454"/>
    <w:rsid w:val="00267065"/>
    <w:rsid w:val="00267E45"/>
    <w:rsid w:val="002708B5"/>
    <w:rsid w:val="00272DDF"/>
    <w:rsid w:val="002778CC"/>
    <w:rsid w:val="00282139"/>
    <w:rsid w:val="00285BEE"/>
    <w:rsid w:val="002860FC"/>
    <w:rsid w:val="0029019B"/>
    <w:rsid w:val="00292A16"/>
    <w:rsid w:val="002950EA"/>
    <w:rsid w:val="0029533F"/>
    <w:rsid w:val="002955C7"/>
    <w:rsid w:val="002A00B8"/>
    <w:rsid w:val="002A1097"/>
    <w:rsid w:val="002A4108"/>
    <w:rsid w:val="002A46A8"/>
    <w:rsid w:val="002A5C80"/>
    <w:rsid w:val="002A7BEE"/>
    <w:rsid w:val="002B021F"/>
    <w:rsid w:val="002B183D"/>
    <w:rsid w:val="002B1EEE"/>
    <w:rsid w:val="002B2C20"/>
    <w:rsid w:val="002B30AF"/>
    <w:rsid w:val="002B5388"/>
    <w:rsid w:val="002B6230"/>
    <w:rsid w:val="002B7F3F"/>
    <w:rsid w:val="002C0B27"/>
    <w:rsid w:val="002C3579"/>
    <w:rsid w:val="002C4CA4"/>
    <w:rsid w:val="002C65F8"/>
    <w:rsid w:val="002C6CCE"/>
    <w:rsid w:val="002D4A4D"/>
    <w:rsid w:val="002E17E2"/>
    <w:rsid w:val="002E76CD"/>
    <w:rsid w:val="002F039E"/>
    <w:rsid w:val="002F25F4"/>
    <w:rsid w:val="002F2AC8"/>
    <w:rsid w:val="002F55D0"/>
    <w:rsid w:val="002F756B"/>
    <w:rsid w:val="002F7D7F"/>
    <w:rsid w:val="0030362B"/>
    <w:rsid w:val="00306507"/>
    <w:rsid w:val="00312BE0"/>
    <w:rsid w:val="00312CB4"/>
    <w:rsid w:val="0031354B"/>
    <w:rsid w:val="00315F1B"/>
    <w:rsid w:val="0031630D"/>
    <w:rsid w:val="00317B2B"/>
    <w:rsid w:val="0032359E"/>
    <w:rsid w:val="003313C0"/>
    <w:rsid w:val="0033344A"/>
    <w:rsid w:val="003364CE"/>
    <w:rsid w:val="0033687D"/>
    <w:rsid w:val="00337B41"/>
    <w:rsid w:val="00340B14"/>
    <w:rsid w:val="00342FEE"/>
    <w:rsid w:val="00343CCF"/>
    <w:rsid w:val="00344C1D"/>
    <w:rsid w:val="00346D9A"/>
    <w:rsid w:val="003511D1"/>
    <w:rsid w:val="0035478B"/>
    <w:rsid w:val="00354D78"/>
    <w:rsid w:val="003553FC"/>
    <w:rsid w:val="003605E3"/>
    <w:rsid w:val="00363E0D"/>
    <w:rsid w:val="0036445B"/>
    <w:rsid w:val="00365722"/>
    <w:rsid w:val="0036659E"/>
    <w:rsid w:val="00367B8F"/>
    <w:rsid w:val="003714EA"/>
    <w:rsid w:val="00375C71"/>
    <w:rsid w:val="0037634B"/>
    <w:rsid w:val="003850C5"/>
    <w:rsid w:val="00390975"/>
    <w:rsid w:val="003933A6"/>
    <w:rsid w:val="00395C5C"/>
    <w:rsid w:val="00396DDA"/>
    <w:rsid w:val="003A0DF4"/>
    <w:rsid w:val="003A1571"/>
    <w:rsid w:val="003A6D4E"/>
    <w:rsid w:val="003B0B2C"/>
    <w:rsid w:val="003B1A4E"/>
    <w:rsid w:val="003B3056"/>
    <w:rsid w:val="003B3D81"/>
    <w:rsid w:val="003B663E"/>
    <w:rsid w:val="003C2CFD"/>
    <w:rsid w:val="003C70EC"/>
    <w:rsid w:val="003D0A3C"/>
    <w:rsid w:val="003D111A"/>
    <w:rsid w:val="003D7597"/>
    <w:rsid w:val="003E1291"/>
    <w:rsid w:val="003E1F54"/>
    <w:rsid w:val="003E3CE5"/>
    <w:rsid w:val="003E5F16"/>
    <w:rsid w:val="003F06F8"/>
    <w:rsid w:val="003F2F66"/>
    <w:rsid w:val="003F5213"/>
    <w:rsid w:val="003F5258"/>
    <w:rsid w:val="003F792A"/>
    <w:rsid w:val="00402E24"/>
    <w:rsid w:val="00404A93"/>
    <w:rsid w:val="00406ACB"/>
    <w:rsid w:val="00407A49"/>
    <w:rsid w:val="00412614"/>
    <w:rsid w:val="00414ADA"/>
    <w:rsid w:val="00415A54"/>
    <w:rsid w:val="00415B98"/>
    <w:rsid w:val="0041615F"/>
    <w:rsid w:val="00417102"/>
    <w:rsid w:val="00417D76"/>
    <w:rsid w:val="004215E9"/>
    <w:rsid w:val="00421CAD"/>
    <w:rsid w:val="004262C3"/>
    <w:rsid w:val="0042648E"/>
    <w:rsid w:val="00427508"/>
    <w:rsid w:val="00431C64"/>
    <w:rsid w:val="00432CC1"/>
    <w:rsid w:val="004337A2"/>
    <w:rsid w:val="004337EB"/>
    <w:rsid w:val="00436ABF"/>
    <w:rsid w:val="00436BB6"/>
    <w:rsid w:val="004373B6"/>
    <w:rsid w:val="00437B07"/>
    <w:rsid w:val="00437D1B"/>
    <w:rsid w:val="00437ECF"/>
    <w:rsid w:val="00441916"/>
    <w:rsid w:val="004421E4"/>
    <w:rsid w:val="00443224"/>
    <w:rsid w:val="00443EBF"/>
    <w:rsid w:val="0044456D"/>
    <w:rsid w:val="00445EA7"/>
    <w:rsid w:val="00446D5D"/>
    <w:rsid w:val="00450E86"/>
    <w:rsid w:val="00451586"/>
    <w:rsid w:val="004517EC"/>
    <w:rsid w:val="00451E8A"/>
    <w:rsid w:val="00454724"/>
    <w:rsid w:val="00455288"/>
    <w:rsid w:val="004553FE"/>
    <w:rsid w:val="0046037B"/>
    <w:rsid w:val="00461192"/>
    <w:rsid w:val="004612F5"/>
    <w:rsid w:val="00461CC8"/>
    <w:rsid w:val="00461ECC"/>
    <w:rsid w:val="00462A4D"/>
    <w:rsid w:val="00463C0E"/>
    <w:rsid w:val="00464163"/>
    <w:rsid w:val="004677EA"/>
    <w:rsid w:val="0047335E"/>
    <w:rsid w:val="00484FE6"/>
    <w:rsid w:val="00485CD1"/>
    <w:rsid w:val="004916D9"/>
    <w:rsid w:val="00492D48"/>
    <w:rsid w:val="0049344B"/>
    <w:rsid w:val="004936D2"/>
    <w:rsid w:val="004A1847"/>
    <w:rsid w:val="004A3199"/>
    <w:rsid w:val="004A681B"/>
    <w:rsid w:val="004A7CD7"/>
    <w:rsid w:val="004B0196"/>
    <w:rsid w:val="004B2375"/>
    <w:rsid w:val="004B4E82"/>
    <w:rsid w:val="004C1246"/>
    <w:rsid w:val="004C402F"/>
    <w:rsid w:val="004C438E"/>
    <w:rsid w:val="004C50B0"/>
    <w:rsid w:val="004D0746"/>
    <w:rsid w:val="004D2532"/>
    <w:rsid w:val="004D4290"/>
    <w:rsid w:val="004D4ADC"/>
    <w:rsid w:val="004D5A9F"/>
    <w:rsid w:val="004D5CAD"/>
    <w:rsid w:val="004D71C5"/>
    <w:rsid w:val="004E4109"/>
    <w:rsid w:val="004E5438"/>
    <w:rsid w:val="004E5A7B"/>
    <w:rsid w:val="004F11CE"/>
    <w:rsid w:val="004F1436"/>
    <w:rsid w:val="004F2CE7"/>
    <w:rsid w:val="004F3A23"/>
    <w:rsid w:val="004F55DC"/>
    <w:rsid w:val="004F65C8"/>
    <w:rsid w:val="0050034F"/>
    <w:rsid w:val="00501FF3"/>
    <w:rsid w:val="00502D85"/>
    <w:rsid w:val="00503C04"/>
    <w:rsid w:val="00505577"/>
    <w:rsid w:val="00505CE2"/>
    <w:rsid w:val="00505E6B"/>
    <w:rsid w:val="0050700D"/>
    <w:rsid w:val="00512432"/>
    <w:rsid w:val="00513050"/>
    <w:rsid w:val="00515B0D"/>
    <w:rsid w:val="00517262"/>
    <w:rsid w:val="00520890"/>
    <w:rsid w:val="00522D32"/>
    <w:rsid w:val="005235F9"/>
    <w:rsid w:val="00524287"/>
    <w:rsid w:val="005253C0"/>
    <w:rsid w:val="00525D20"/>
    <w:rsid w:val="005267DD"/>
    <w:rsid w:val="00527261"/>
    <w:rsid w:val="0053024F"/>
    <w:rsid w:val="005311F2"/>
    <w:rsid w:val="0053788D"/>
    <w:rsid w:val="00543C9B"/>
    <w:rsid w:val="0054646A"/>
    <w:rsid w:val="005508C2"/>
    <w:rsid w:val="005525BA"/>
    <w:rsid w:val="00553355"/>
    <w:rsid w:val="00554E5C"/>
    <w:rsid w:val="00555E4D"/>
    <w:rsid w:val="00555ECC"/>
    <w:rsid w:val="00556034"/>
    <w:rsid w:val="00556C5B"/>
    <w:rsid w:val="00561CAF"/>
    <w:rsid w:val="005637E7"/>
    <w:rsid w:val="00566FA8"/>
    <w:rsid w:val="005673EC"/>
    <w:rsid w:val="005721F1"/>
    <w:rsid w:val="00573112"/>
    <w:rsid w:val="0057448C"/>
    <w:rsid w:val="005827FC"/>
    <w:rsid w:val="005841EF"/>
    <w:rsid w:val="00586BDD"/>
    <w:rsid w:val="0058D03F"/>
    <w:rsid w:val="00595441"/>
    <w:rsid w:val="0059579D"/>
    <w:rsid w:val="00596146"/>
    <w:rsid w:val="005A262C"/>
    <w:rsid w:val="005A5E6A"/>
    <w:rsid w:val="005A662E"/>
    <w:rsid w:val="005A684A"/>
    <w:rsid w:val="005B1192"/>
    <w:rsid w:val="005B17AD"/>
    <w:rsid w:val="005B1EB6"/>
    <w:rsid w:val="005B1EBE"/>
    <w:rsid w:val="005B5F89"/>
    <w:rsid w:val="005B677A"/>
    <w:rsid w:val="005C0CE9"/>
    <w:rsid w:val="005C1F7C"/>
    <w:rsid w:val="005C2C35"/>
    <w:rsid w:val="005C462E"/>
    <w:rsid w:val="005C6B25"/>
    <w:rsid w:val="005D1F3A"/>
    <w:rsid w:val="005D3CD0"/>
    <w:rsid w:val="005D5B7C"/>
    <w:rsid w:val="005E0A34"/>
    <w:rsid w:val="005E145A"/>
    <w:rsid w:val="005E2E39"/>
    <w:rsid w:val="005E3D91"/>
    <w:rsid w:val="005E3DA8"/>
    <w:rsid w:val="005E3F99"/>
    <w:rsid w:val="005E4FCE"/>
    <w:rsid w:val="005F08A2"/>
    <w:rsid w:val="005F16D6"/>
    <w:rsid w:val="005F3FD8"/>
    <w:rsid w:val="005F7BF1"/>
    <w:rsid w:val="00600F12"/>
    <w:rsid w:val="00602D48"/>
    <w:rsid w:val="00607765"/>
    <w:rsid w:val="00610C11"/>
    <w:rsid w:val="00615521"/>
    <w:rsid w:val="0062259A"/>
    <w:rsid w:val="00622692"/>
    <w:rsid w:val="006250D5"/>
    <w:rsid w:val="00625E5F"/>
    <w:rsid w:val="0062661D"/>
    <w:rsid w:val="00627798"/>
    <w:rsid w:val="00627D19"/>
    <w:rsid w:val="0062849E"/>
    <w:rsid w:val="00630ECE"/>
    <w:rsid w:val="0063329D"/>
    <w:rsid w:val="0063427B"/>
    <w:rsid w:val="0063511A"/>
    <w:rsid w:val="00635389"/>
    <w:rsid w:val="0064108B"/>
    <w:rsid w:val="006419D6"/>
    <w:rsid w:val="00641FBD"/>
    <w:rsid w:val="006434A0"/>
    <w:rsid w:val="006478C1"/>
    <w:rsid w:val="00647BE1"/>
    <w:rsid w:val="006505AA"/>
    <w:rsid w:val="00650823"/>
    <w:rsid w:val="00653DF9"/>
    <w:rsid w:val="00653EBE"/>
    <w:rsid w:val="0065493B"/>
    <w:rsid w:val="00662ABC"/>
    <w:rsid w:val="00663E46"/>
    <w:rsid w:val="00671DF6"/>
    <w:rsid w:val="00672184"/>
    <w:rsid w:val="00672B41"/>
    <w:rsid w:val="00677D15"/>
    <w:rsid w:val="00681804"/>
    <w:rsid w:val="0068327A"/>
    <w:rsid w:val="0068465D"/>
    <w:rsid w:val="00684EE1"/>
    <w:rsid w:val="00685149"/>
    <w:rsid w:val="0069106B"/>
    <w:rsid w:val="006962D8"/>
    <w:rsid w:val="00696A91"/>
    <w:rsid w:val="006A1335"/>
    <w:rsid w:val="006A3B62"/>
    <w:rsid w:val="006A573F"/>
    <w:rsid w:val="006B0766"/>
    <w:rsid w:val="006B1FDA"/>
    <w:rsid w:val="006B2773"/>
    <w:rsid w:val="006B390C"/>
    <w:rsid w:val="006B3B30"/>
    <w:rsid w:val="006B5226"/>
    <w:rsid w:val="006B6AD3"/>
    <w:rsid w:val="006B71C4"/>
    <w:rsid w:val="006B7239"/>
    <w:rsid w:val="006C01C9"/>
    <w:rsid w:val="006C2E47"/>
    <w:rsid w:val="006C3FAD"/>
    <w:rsid w:val="006C68DF"/>
    <w:rsid w:val="006C7AD2"/>
    <w:rsid w:val="006D2B43"/>
    <w:rsid w:val="006D7A56"/>
    <w:rsid w:val="006E0D23"/>
    <w:rsid w:val="006E37BD"/>
    <w:rsid w:val="006E3CB5"/>
    <w:rsid w:val="006E3FA9"/>
    <w:rsid w:val="006E4C0E"/>
    <w:rsid w:val="006E4CF3"/>
    <w:rsid w:val="006E75AA"/>
    <w:rsid w:val="006F05F8"/>
    <w:rsid w:val="006F1831"/>
    <w:rsid w:val="006F7454"/>
    <w:rsid w:val="006F7D00"/>
    <w:rsid w:val="00700AB0"/>
    <w:rsid w:val="00700C71"/>
    <w:rsid w:val="007017D6"/>
    <w:rsid w:val="00702077"/>
    <w:rsid w:val="007035F8"/>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4B28"/>
    <w:rsid w:val="00736AF3"/>
    <w:rsid w:val="00736D7D"/>
    <w:rsid w:val="00740287"/>
    <w:rsid w:val="00741380"/>
    <w:rsid w:val="00747DF5"/>
    <w:rsid w:val="00750C8E"/>
    <w:rsid w:val="00750E99"/>
    <w:rsid w:val="0075207E"/>
    <w:rsid w:val="0075258D"/>
    <w:rsid w:val="00753034"/>
    <w:rsid w:val="0076009E"/>
    <w:rsid w:val="007651CE"/>
    <w:rsid w:val="00766547"/>
    <w:rsid w:val="00771416"/>
    <w:rsid w:val="00771CE9"/>
    <w:rsid w:val="00773331"/>
    <w:rsid w:val="00774C06"/>
    <w:rsid w:val="00775C21"/>
    <w:rsid w:val="0078030A"/>
    <w:rsid w:val="00781972"/>
    <w:rsid w:val="00783A53"/>
    <w:rsid w:val="0078426D"/>
    <w:rsid w:val="00785D87"/>
    <w:rsid w:val="00786EB6"/>
    <w:rsid w:val="007876AA"/>
    <w:rsid w:val="00790F2E"/>
    <w:rsid w:val="007920C8"/>
    <w:rsid w:val="00792610"/>
    <w:rsid w:val="00792C37"/>
    <w:rsid w:val="007932EF"/>
    <w:rsid w:val="00794224"/>
    <w:rsid w:val="007961D6"/>
    <w:rsid w:val="00796E42"/>
    <w:rsid w:val="007A00FD"/>
    <w:rsid w:val="007A02EA"/>
    <w:rsid w:val="007A0D2B"/>
    <w:rsid w:val="007A12F4"/>
    <w:rsid w:val="007A15C9"/>
    <w:rsid w:val="007A3187"/>
    <w:rsid w:val="007A326D"/>
    <w:rsid w:val="007A5012"/>
    <w:rsid w:val="007B043A"/>
    <w:rsid w:val="007B0B34"/>
    <w:rsid w:val="007B1732"/>
    <w:rsid w:val="007B1C4D"/>
    <w:rsid w:val="007B3098"/>
    <w:rsid w:val="007B7EE7"/>
    <w:rsid w:val="007C3177"/>
    <w:rsid w:val="007C4A17"/>
    <w:rsid w:val="007C6934"/>
    <w:rsid w:val="007D2838"/>
    <w:rsid w:val="007D3614"/>
    <w:rsid w:val="007D39C9"/>
    <w:rsid w:val="007D4EC7"/>
    <w:rsid w:val="007D5D4F"/>
    <w:rsid w:val="007D6134"/>
    <w:rsid w:val="007D6C3B"/>
    <w:rsid w:val="007E05B0"/>
    <w:rsid w:val="007E1BB2"/>
    <w:rsid w:val="007E6728"/>
    <w:rsid w:val="007F10C9"/>
    <w:rsid w:val="007F2DCC"/>
    <w:rsid w:val="007F4B86"/>
    <w:rsid w:val="007F6E47"/>
    <w:rsid w:val="007F7A7B"/>
    <w:rsid w:val="0080054D"/>
    <w:rsid w:val="00803CDD"/>
    <w:rsid w:val="00805EB2"/>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325EA"/>
    <w:rsid w:val="00832EDC"/>
    <w:rsid w:val="00834496"/>
    <w:rsid w:val="008377E5"/>
    <w:rsid w:val="00837F4C"/>
    <w:rsid w:val="00840B28"/>
    <w:rsid w:val="008411B3"/>
    <w:rsid w:val="0084124B"/>
    <w:rsid w:val="008425D8"/>
    <w:rsid w:val="00844CAF"/>
    <w:rsid w:val="008472C1"/>
    <w:rsid w:val="0085210B"/>
    <w:rsid w:val="00853B58"/>
    <w:rsid w:val="00856E73"/>
    <w:rsid w:val="00865E82"/>
    <w:rsid w:val="0086767D"/>
    <w:rsid w:val="00870A0B"/>
    <w:rsid w:val="00873512"/>
    <w:rsid w:val="00874D22"/>
    <w:rsid w:val="00876431"/>
    <w:rsid w:val="00877021"/>
    <w:rsid w:val="0088014E"/>
    <w:rsid w:val="00881113"/>
    <w:rsid w:val="00881455"/>
    <w:rsid w:val="0088308C"/>
    <w:rsid w:val="008831A1"/>
    <w:rsid w:val="0088488A"/>
    <w:rsid w:val="008848E2"/>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4321"/>
    <w:rsid w:val="008C4F63"/>
    <w:rsid w:val="008C5296"/>
    <w:rsid w:val="008C6873"/>
    <w:rsid w:val="008C6CC3"/>
    <w:rsid w:val="008C922D"/>
    <w:rsid w:val="008D028F"/>
    <w:rsid w:val="008D19DA"/>
    <w:rsid w:val="008D1A47"/>
    <w:rsid w:val="008D4188"/>
    <w:rsid w:val="008D5A21"/>
    <w:rsid w:val="008D7C9B"/>
    <w:rsid w:val="008E14DD"/>
    <w:rsid w:val="008E1949"/>
    <w:rsid w:val="008E4243"/>
    <w:rsid w:val="008E4815"/>
    <w:rsid w:val="008E4D8E"/>
    <w:rsid w:val="008E50F2"/>
    <w:rsid w:val="008E56EA"/>
    <w:rsid w:val="008E5795"/>
    <w:rsid w:val="008E7D51"/>
    <w:rsid w:val="008F2ADA"/>
    <w:rsid w:val="008F3A8B"/>
    <w:rsid w:val="008F7454"/>
    <w:rsid w:val="00900062"/>
    <w:rsid w:val="0090223C"/>
    <w:rsid w:val="0090489F"/>
    <w:rsid w:val="009067AD"/>
    <w:rsid w:val="0091065E"/>
    <w:rsid w:val="00911D67"/>
    <w:rsid w:val="009158AD"/>
    <w:rsid w:val="0092201E"/>
    <w:rsid w:val="009251B9"/>
    <w:rsid w:val="0092597E"/>
    <w:rsid w:val="00925C7D"/>
    <w:rsid w:val="009260EE"/>
    <w:rsid w:val="00927228"/>
    <w:rsid w:val="009363D4"/>
    <w:rsid w:val="00936E4A"/>
    <w:rsid w:val="0093736D"/>
    <w:rsid w:val="00941389"/>
    <w:rsid w:val="00945E1A"/>
    <w:rsid w:val="009465E3"/>
    <w:rsid w:val="00946BE8"/>
    <w:rsid w:val="00946C65"/>
    <w:rsid w:val="009471C4"/>
    <w:rsid w:val="009483A5"/>
    <w:rsid w:val="009500DD"/>
    <w:rsid w:val="00951FBB"/>
    <w:rsid w:val="009549C0"/>
    <w:rsid w:val="00954AEA"/>
    <w:rsid w:val="00955079"/>
    <w:rsid w:val="00956338"/>
    <w:rsid w:val="00956CBB"/>
    <w:rsid w:val="0095709D"/>
    <w:rsid w:val="00957853"/>
    <w:rsid w:val="0096233A"/>
    <w:rsid w:val="0096315A"/>
    <w:rsid w:val="0096347A"/>
    <w:rsid w:val="00964FD5"/>
    <w:rsid w:val="00971F86"/>
    <w:rsid w:val="00972011"/>
    <w:rsid w:val="009776E3"/>
    <w:rsid w:val="00982E91"/>
    <w:rsid w:val="00985D11"/>
    <w:rsid w:val="00990284"/>
    <w:rsid w:val="00991ED7"/>
    <w:rsid w:val="009A22FC"/>
    <w:rsid w:val="009B1609"/>
    <w:rsid w:val="009B1950"/>
    <w:rsid w:val="009B25A3"/>
    <w:rsid w:val="009B32EB"/>
    <w:rsid w:val="009B3575"/>
    <w:rsid w:val="009B70E0"/>
    <w:rsid w:val="009C42E7"/>
    <w:rsid w:val="009C4B57"/>
    <w:rsid w:val="009C7146"/>
    <w:rsid w:val="009D014F"/>
    <w:rsid w:val="009D0172"/>
    <w:rsid w:val="009D6082"/>
    <w:rsid w:val="009D6A16"/>
    <w:rsid w:val="009D6D7D"/>
    <w:rsid w:val="009E7FCC"/>
    <w:rsid w:val="009F4C11"/>
    <w:rsid w:val="009F6926"/>
    <w:rsid w:val="009F6ED6"/>
    <w:rsid w:val="00A01547"/>
    <w:rsid w:val="00A01844"/>
    <w:rsid w:val="00A04C54"/>
    <w:rsid w:val="00A10156"/>
    <w:rsid w:val="00A11498"/>
    <w:rsid w:val="00A1185E"/>
    <w:rsid w:val="00A13061"/>
    <w:rsid w:val="00A14D53"/>
    <w:rsid w:val="00A16737"/>
    <w:rsid w:val="00A20B82"/>
    <w:rsid w:val="00A230FB"/>
    <w:rsid w:val="00A23CF7"/>
    <w:rsid w:val="00A24727"/>
    <w:rsid w:val="00A2575A"/>
    <w:rsid w:val="00A27FB8"/>
    <w:rsid w:val="00A354CC"/>
    <w:rsid w:val="00A35C73"/>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7EF0"/>
    <w:rsid w:val="00A81B32"/>
    <w:rsid w:val="00A81C85"/>
    <w:rsid w:val="00A92FB1"/>
    <w:rsid w:val="00A93F79"/>
    <w:rsid w:val="00A94546"/>
    <w:rsid w:val="00A9636C"/>
    <w:rsid w:val="00A96382"/>
    <w:rsid w:val="00AA0857"/>
    <w:rsid w:val="00AA1F72"/>
    <w:rsid w:val="00AA2C3C"/>
    <w:rsid w:val="00AA3E83"/>
    <w:rsid w:val="00AA4AE3"/>
    <w:rsid w:val="00AA5DFF"/>
    <w:rsid w:val="00AA5FAA"/>
    <w:rsid w:val="00AA7D65"/>
    <w:rsid w:val="00AB0996"/>
    <w:rsid w:val="00AB15C4"/>
    <w:rsid w:val="00AB4F7A"/>
    <w:rsid w:val="00AC032F"/>
    <w:rsid w:val="00AC2A6C"/>
    <w:rsid w:val="00AC6F86"/>
    <w:rsid w:val="00AC704B"/>
    <w:rsid w:val="00AD05DC"/>
    <w:rsid w:val="00AD131E"/>
    <w:rsid w:val="00AD23C1"/>
    <w:rsid w:val="00AD3491"/>
    <w:rsid w:val="00AD4801"/>
    <w:rsid w:val="00AD7F54"/>
    <w:rsid w:val="00AE146B"/>
    <w:rsid w:val="00AE21BF"/>
    <w:rsid w:val="00AE48E3"/>
    <w:rsid w:val="00AE6ECC"/>
    <w:rsid w:val="00AE72D4"/>
    <w:rsid w:val="00AF28C3"/>
    <w:rsid w:val="00AF3973"/>
    <w:rsid w:val="00AF3AA4"/>
    <w:rsid w:val="00AF4926"/>
    <w:rsid w:val="00B01A6D"/>
    <w:rsid w:val="00B04A34"/>
    <w:rsid w:val="00B05BB2"/>
    <w:rsid w:val="00B1190B"/>
    <w:rsid w:val="00B13B14"/>
    <w:rsid w:val="00B13FCD"/>
    <w:rsid w:val="00B14A63"/>
    <w:rsid w:val="00B14F18"/>
    <w:rsid w:val="00B15678"/>
    <w:rsid w:val="00B15BF2"/>
    <w:rsid w:val="00B2050D"/>
    <w:rsid w:val="00B214EF"/>
    <w:rsid w:val="00B215C5"/>
    <w:rsid w:val="00B22A09"/>
    <w:rsid w:val="00B249AB"/>
    <w:rsid w:val="00B26735"/>
    <w:rsid w:val="00B26C06"/>
    <w:rsid w:val="00B31C31"/>
    <w:rsid w:val="00B34394"/>
    <w:rsid w:val="00B34542"/>
    <w:rsid w:val="00B34EDD"/>
    <w:rsid w:val="00B37D64"/>
    <w:rsid w:val="00B41621"/>
    <w:rsid w:val="00B42A85"/>
    <w:rsid w:val="00B52A68"/>
    <w:rsid w:val="00B533C6"/>
    <w:rsid w:val="00B53606"/>
    <w:rsid w:val="00B567B0"/>
    <w:rsid w:val="00B56CE6"/>
    <w:rsid w:val="00B600EB"/>
    <w:rsid w:val="00B63111"/>
    <w:rsid w:val="00B63DE9"/>
    <w:rsid w:val="00B66125"/>
    <w:rsid w:val="00B66F87"/>
    <w:rsid w:val="00B752AB"/>
    <w:rsid w:val="00B753D1"/>
    <w:rsid w:val="00B75A29"/>
    <w:rsid w:val="00B762CB"/>
    <w:rsid w:val="00B77ED8"/>
    <w:rsid w:val="00B85227"/>
    <w:rsid w:val="00B934F1"/>
    <w:rsid w:val="00B95372"/>
    <w:rsid w:val="00B956F2"/>
    <w:rsid w:val="00B96C28"/>
    <w:rsid w:val="00BA0395"/>
    <w:rsid w:val="00BA0857"/>
    <w:rsid w:val="00BA0BCF"/>
    <w:rsid w:val="00BA0C22"/>
    <w:rsid w:val="00BA1054"/>
    <w:rsid w:val="00BA4E53"/>
    <w:rsid w:val="00BA60CC"/>
    <w:rsid w:val="00BA78D9"/>
    <w:rsid w:val="00BB0668"/>
    <w:rsid w:val="00BB3126"/>
    <w:rsid w:val="00BB7F58"/>
    <w:rsid w:val="00BC0981"/>
    <w:rsid w:val="00BC0AB5"/>
    <w:rsid w:val="00BC0AF0"/>
    <w:rsid w:val="00BC3C84"/>
    <w:rsid w:val="00BC491C"/>
    <w:rsid w:val="00BC6487"/>
    <w:rsid w:val="00BC68DE"/>
    <w:rsid w:val="00BC6BA7"/>
    <w:rsid w:val="00BC6DEE"/>
    <w:rsid w:val="00BC7D23"/>
    <w:rsid w:val="00BD07C4"/>
    <w:rsid w:val="00BD2260"/>
    <w:rsid w:val="00BD67FE"/>
    <w:rsid w:val="00BD7268"/>
    <w:rsid w:val="00BD741C"/>
    <w:rsid w:val="00BE061D"/>
    <w:rsid w:val="00BE0918"/>
    <w:rsid w:val="00BE3960"/>
    <w:rsid w:val="00BE3D40"/>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6E36"/>
    <w:rsid w:val="00C17F87"/>
    <w:rsid w:val="00C20864"/>
    <w:rsid w:val="00C2142E"/>
    <w:rsid w:val="00C21D4C"/>
    <w:rsid w:val="00C235C1"/>
    <w:rsid w:val="00C239D0"/>
    <w:rsid w:val="00C25CCF"/>
    <w:rsid w:val="00C274D7"/>
    <w:rsid w:val="00C275DE"/>
    <w:rsid w:val="00C276C0"/>
    <w:rsid w:val="00C27B1D"/>
    <w:rsid w:val="00C31BAE"/>
    <w:rsid w:val="00C3551D"/>
    <w:rsid w:val="00C35E38"/>
    <w:rsid w:val="00C40848"/>
    <w:rsid w:val="00C41AB6"/>
    <w:rsid w:val="00C43D08"/>
    <w:rsid w:val="00C46530"/>
    <w:rsid w:val="00C498B6"/>
    <w:rsid w:val="00C52048"/>
    <w:rsid w:val="00C523ED"/>
    <w:rsid w:val="00C53D3E"/>
    <w:rsid w:val="00C55249"/>
    <w:rsid w:val="00C564BE"/>
    <w:rsid w:val="00C6202E"/>
    <w:rsid w:val="00C62DC7"/>
    <w:rsid w:val="00C62F41"/>
    <w:rsid w:val="00C63ABB"/>
    <w:rsid w:val="00C63D96"/>
    <w:rsid w:val="00C650B2"/>
    <w:rsid w:val="00C65B93"/>
    <w:rsid w:val="00C65FCB"/>
    <w:rsid w:val="00C668F9"/>
    <w:rsid w:val="00C66A47"/>
    <w:rsid w:val="00C71F79"/>
    <w:rsid w:val="00C73801"/>
    <w:rsid w:val="00C73979"/>
    <w:rsid w:val="00C746E7"/>
    <w:rsid w:val="00C754CE"/>
    <w:rsid w:val="00C800BD"/>
    <w:rsid w:val="00C81CA6"/>
    <w:rsid w:val="00C8311E"/>
    <w:rsid w:val="00C8416B"/>
    <w:rsid w:val="00C86361"/>
    <w:rsid w:val="00C8655D"/>
    <w:rsid w:val="00C92878"/>
    <w:rsid w:val="00C92A57"/>
    <w:rsid w:val="00C961F8"/>
    <w:rsid w:val="00C962E7"/>
    <w:rsid w:val="00C96544"/>
    <w:rsid w:val="00C96B2C"/>
    <w:rsid w:val="00C974BA"/>
    <w:rsid w:val="00CA14FD"/>
    <w:rsid w:val="00CA3EAE"/>
    <w:rsid w:val="00CB1623"/>
    <w:rsid w:val="00CB28C0"/>
    <w:rsid w:val="00CB4643"/>
    <w:rsid w:val="00CB548D"/>
    <w:rsid w:val="00CB5DE3"/>
    <w:rsid w:val="00CB6B5A"/>
    <w:rsid w:val="00CC177F"/>
    <w:rsid w:val="00CC742A"/>
    <w:rsid w:val="00CC7629"/>
    <w:rsid w:val="00CD0E6E"/>
    <w:rsid w:val="00CD2078"/>
    <w:rsid w:val="00CD25CC"/>
    <w:rsid w:val="00CD3F44"/>
    <w:rsid w:val="00CD5137"/>
    <w:rsid w:val="00CD54BA"/>
    <w:rsid w:val="00CD7F86"/>
    <w:rsid w:val="00CE0C3D"/>
    <w:rsid w:val="00CE2477"/>
    <w:rsid w:val="00CE7E51"/>
    <w:rsid w:val="00CF0723"/>
    <w:rsid w:val="00CF079D"/>
    <w:rsid w:val="00CF07DC"/>
    <w:rsid w:val="00CF1A3A"/>
    <w:rsid w:val="00CF25A6"/>
    <w:rsid w:val="00CF42E9"/>
    <w:rsid w:val="00CF4C2D"/>
    <w:rsid w:val="00D02B23"/>
    <w:rsid w:val="00D02DDA"/>
    <w:rsid w:val="00D031C6"/>
    <w:rsid w:val="00D04E75"/>
    <w:rsid w:val="00D067D8"/>
    <w:rsid w:val="00D0739C"/>
    <w:rsid w:val="00D11D06"/>
    <w:rsid w:val="00D17DCE"/>
    <w:rsid w:val="00D20381"/>
    <w:rsid w:val="00D23E3F"/>
    <w:rsid w:val="00D30903"/>
    <w:rsid w:val="00D320AF"/>
    <w:rsid w:val="00D3266A"/>
    <w:rsid w:val="00D33AA6"/>
    <w:rsid w:val="00D36583"/>
    <w:rsid w:val="00D40D01"/>
    <w:rsid w:val="00D453CB"/>
    <w:rsid w:val="00D45B77"/>
    <w:rsid w:val="00D515FC"/>
    <w:rsid w:val="00D5530B"/>
    <w:rsid w:val="00D60C84"/>
    <w:rsid w:val="00D61AF9"/>
    <w:rsid w:val="00D61C2E"/>
    <w:rsid w:val="00D634B0"/>
    <w:rsid w:val="00D65DD3"/>
    <w:rsid w:val="00D66A7C"/>
    <w:rsid w:val="00D6743C"/>
    <w:rsid w:val="00D67892"/>
    <w:rsid w:val="00D746DC"/>
    <w:rsid w:val="00D75E29"/>
    <w:rsid w:val="00D77C40"/>
    <w:rsid w:val="00D81EDA"/>
    <w:rsid w:val="00D82BEE"/>
    <w:rsid w:val="00D83269"/>
    <w:rsid w:val="00D8423C"/>
    <w:rsid w:val="00D846E1"/>
    <w:rsid w:val="00D86DAB"/>
    <w:rsid w:val="00D87D84"/>
    <w:rsid w:val="00D909FE"/>
    <w:rsid w:val="00D92C7B"/>
    <w:rsid w:val="00D92E63"/>
    <w:rsid w:val="00D93F7A"/>
    <w:rsid w:val="00DA13EE"/>
    <w:rsid w:val="00DA2A66"/>
    <w:rsid w:val="00DA3866"/>
    <w:rsid w:val="00DA4923"/>
    <w:rsid w:val="00DA7FBC"/>
    <w:rsid w:val="00DB09E8"/>
    <w:rsid w:val="00DB1915"/>
    <w:rsid w:val="00DB28D0"/>
    <w:rsid w:val="00DB48B9"/>
    <w:rsid w:val="00DB563D"/>
    <w:rsid w:val="00DB74E3"/>
    <w:rsid w:val="00DC1321"/>
    <w:rsid w:val="00DC28BF"/>
    <w:rsid w:val="00DC6879"/>
    <w:rsid w:val="00DD02D1"/>
    <w:rsid w:val="00DD0B78"/>
    <w:rsid w:val="00DD44AB"/>
    <w:rsid w:val="00DD5D1F"/>
    <w:rsid w:val="00DD63EA"/>
    <w:rsid w:val="00DD6D4B"/>
    <w:rsid w:val="00DD73BD"/>
    <w:rsid w:val="00DE04D9"/>
    <w:rsid w:val="00DE0A78"/>
    <w:rsid w:val="00DE65C2"/>
    <w:rsid w:val="00DE663E"/>
    <w:rsid w:val="00DE70F9"/>
    <w:rsid w:val="00DE7269"/>
    <w:rsid w:val="00DF32F8"/>
    <w:rsid w:val="00DF3416"/>
    <w:rsid w:val="00DF4F6B"/>
    <w:rsid w:val="00DF7915"/>
    <w:rsid w:val="00E00B5C"/>
    <w:rsid w:val="00E02844"/>
    <w:rsid w:val="00E136F5"/>
    <w:rsid w:val="00E1700C"/>
    <w:rsid w:val="00E1751F"/>
    <w:rsid w:val="00E21974"/>
    <w:rsid w:val="00E222C4"/>
    <w:rsid w:val="00E22562"/>
    <w:rsid w:val="00E23FD8"/>
    <w:rsid w:val="00E2694F"/>
    <w:rsid w:val="00E26FF1"/>
    <w:rsid w:val="00E279BD"/>
    <w:rsid w:val="00E30783"/>
    <w:rsid w:val="00E3295E"/>
    <w:rsid w:val="00E34158"/>
    <w:rsid w:val="00E36400"/>
    <w:rsid w:val="00E4290C"/>
    <w:rsid w:val="00E44E4D"/>
    <w:rsid w:val="00E47885"/>
    <w:rsid w:val="00E50620"/>
    <w:rsid w:val="00E5324F"/>
    <w:rsid w:val="00E567BF"/>
    <w:rsid w:val="00E61380"/>
    <w:rsid w:val="00E61CEE"/>
    <w:rsid w:val="00E63449"/>
    <w:rsid w:val="00E65408"/>
    <w:rsid w:val="00E65C0D"/>
    <w:rsid w:val="00E66459"/>
    <w:rsid w:val="00E7038A"/>
    <w:rsid w:val="00E71029"/>
    <w:rsid w:val="00E72291"/>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7638"/>
    <w:rsid w:val="00EB0608"/>
    <w:rsid w:val="00EB3E33"/>
    <w:rsid w:val="00EB4E53"/>
    <w:rsid w:val="00EB5562"/>
    <w:rsid w:val="00EB5E32"/>
    <w:rsid w:val="00EB7A40"/>
    <w:rsid w:val="00EC2128"/>
    <w:rsid w:val="00EC2175"/>
    <w:rsid w:val="00EC4257"/>
    <w:rsid w:val="00EC66A6"/>
    <w:rsid w:val="00EC7E0D"/>
    <w:rsid w:val="00ED1AF7"/>
    <w:rsid w:val="00ED3834"/>
    <w:rsid w:val="00EE3037"/>
    <w:rsid w:val="00EE3D7A"/>
    <w:rsid w:val="00EE48F4"/>
    <w:rsid w:val="00EE789B"/>
    <w:rsid w:val="00EF2622"/>
    <w:rsid w:val="00EF4713"/>
    <w:rsid w:val="00EF5DCE"/>
    <w:rsid w:val="00EF7B36"/>
    <w:rsid w:val="00F0132F"/>
    <w:rsid w:val="00F02B06"/>
    <w:rsid w:val="00F06D3F"/>
    <w:rsid w:val="00F075DA"/>
    <w:rsid w:val="00F07F11"/>
    <w:rsid w:val="00F10BFC"/>
    <w:rsid w:val="00F1383F"/>
    <w:rsid w:val="00F13BCB"/>
    <w:rsid w:val="00F13D4F"/>
    <w:rsid w:val="00F14B21"/>
    <w:rsid w:val="00F207E1"/>
    <w:rsid w:val="00F22138"/>
    <w:rsid w:val="00F24819"/>
    <w:rsid w:val="00F248F5"/>
    <w:rsid w:val="00F25A88"/>
    <w:rsid w:val="00F26E1D"/>
    <w:rsid w:val="00F272AF"/>
    <w:rsid w:val="00F3077C"/>
    <w:rsid w:val="00F311F3"/>
    <w:rsid w:val="00F31C9A"/>
    <w:rsid w:val="00F336F1"/>
    <w:rsid w:val="00F34BDE"/>
    <w:rsid w:val="00F350AC"/>
    <w:rsid w:val="00F41D34"/>
    <w:rsid w:val="00F44D9D"/>
    <w:rsid w:val="00F4534F"/>
    <w:rsid w:val="00F46E78"/>
    <w:rsid w:val="00F52662"/>
    <w:rsid w:val="00F5280B"/>
    <w:rsid w:val="00F52CDF"/>
    <w:rsid w:val="00F54451"/>
    <w:rsid w:val="00F5520D"/>
    <w:rsid w:val="00F570E7"/>
    <w:rsid w:val="00F57235"/>
    <w:rsid w:val="00F6076F"/>
    <w:rsid w:val="00F61D49"/>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31D4"/>
    <w:rsid w:val="00F83869"/>
    <w:rsid w:val="00F86160"/>
    <w:rsid w:val="00F9024A"/>
    <w:rsid w:val="00F9061A"/>
    <w:rsid w:val="00F90A59"/>
    <w:rsid w:val="00F90C91"/>
    <w:rsid w:val="00F969BE"/>
    <w:rsid w:val="00F97D99"/>
    <w:rsid w:val="00FA00D9"/>
    <w:rsid w:val="00FA1424"/>
    <w:rsid w:val="00FA19E5"/>
    <w:rsid w:val="00FA1E2D"/>
    <w:rsid w:val="00FA3E8C"/>
    <w:rsid w:val="00FA6F85"/>
    <w:rsid w:val="00FA7FBF"/>
    <w:rsid w:val="00FB57BD"/>
    <w:rsid w:val="00FC071C"/>
    <w:rsid w:val="00FC2C2B"/>
    <w:rsid w:val="00FC3247"/>
    <w:rsid w:val="00FC36B7"/>
    <w:rsid w:val="00FC38F8"/>
    <w:rsid w:val="00FC3C40"/>
    <w:rsid w:val="00FC4654"/>
    <w:rsid w:val="00FC4885"/>
    <w:rsid w:val="00FC517A"/>
    <w:rsid w:val="00FC5C72"/>
    <w:rsid w:val="00FD6CB4"/>
    <w:rsid w:val="00FE1111"/>
    <w:rsid w:val="00FE1250"/>
    <w:rsid w:val="00FE178C"/>
    <w:rsid w:val="00FE3A79"/>
    <w:rsid w:val="00FE4036"/>
    <w:rsid w:val="00FE72B9"/>
    <w:rsid w:val="00FE7FDD"/>
    <w:rsid w:val="00FF2896"/>
    <w:rsid w:val="00FF311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F3A6A"/>
    <w:rsid w:val="4615A9C7"/>
    <w:rsid w:val="46B392D3"/>
    <w:rsid w:val="46CE1865"/>
    <w:rsid w:val="46EC44AA"/>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AD8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en-GB"/>
    </w:rPr>
  </w:style>
  <w:style w:type="paragraph" w:styleId="Revision">
    <w:name w:val="Revision"/>
    <w:hidden/>
    <w:uiPriority w:val="99"/>
    <w:semiHidden/>
    <w:rsid w:val="00AC6F86"/>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
    <w:name w:val="Unresolved Mention"/>
    <w:basedOn w:val="DefaultParagraphFont"/>
    <w:uiPriority w:val="99"/>
    <w:semiHidden/>
    <w:unhideWhenUsed/>
    <w:rsid w:val="00774C06"/>
    <w:rPr>
      <w:color w:val="605E5C"/>
      <w:shd w:val="clear" w:color="auto" w:fill="E1DFDD"/>
    </w:rPr>
  </w:style>
  <w:style w:type="character" w:customStyle="1" w:styleId="HeaderChar">
    <w:name w:val="Header Char"/>
    <w:basedOn w:val="DefaultParagraphFont"/>
    <w:link w:val="Header"/>
    <w:uiPriority w:val="99"/>
    <w:rsid w:val="00CD5137"/>
    <w:rPr>
      <w:rFonts w:ascii="Times New Roman" w:hAnsi="Times New Roman" w:cs="Times New Roman"/>
      <w:sz w:val="24"/>
      <w:lang w:val="en-GB"/>
    </w:rPr>
  </w:style>
  <w:style w:type="character" w:customStyle="1" w:styleId="FooterChar">
    <w:name w:val="Footer Char"/>
    <w:basedOn w:val="DefaultParagraphFont"/>
    <w:link w:val="Footer"/>
    <w:uiPriority w:val="99"/>
    <w:rsid w:val="00CD513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D513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D5137"/>
    <w:pPr>
      <w:spacing w:before="0"/>
      <w:jc w:val="right"/>
    </w:pPr>
    <w:rPr>
      <w:sz w:val="28"/>
    </w:rPr>
  </w:style>
  <w:style w:type="paragraph" w:customStyle="1" w:styleId="FooterSensitivity">
    <w:name w:val="Footer Sensitivity"/>
    <w:basedOn w:val="Normal"/>
    <w:rsid w:val="00CD513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D5137"/>
    <w:pPr>
      <w:tabs>
        <w:tab w:val="center" w:pos="4535"/>
        <w:tab w:val="right" w:pos="9071"/>
      </w:tabs>
      <w:spacing w:before="0"/>
    </w:pPr>
  </w:style>
  <w:style w:type="paragraph" w:customStyle="1" w:styleId="HeaderLandscape">
    <w:name w:val="HeaderLandscape"/>
    <w:basedOn w:val="Normal"/>
    <w:rsid w:val="00CD5137"/>
    <w:pPr>
      <w:tabs>
        <w:tab w:val="center" w:pos="7285"/>
        <w:tab w:val="right" w:pos="14003"/>
      </w:tabs>
      <w:spacing w:before="0"/>
    </w:pPr>
  </w:style>
  <w:style w:type="paragraph" w:styleId="Footer">
    <w:name w:val="footer"/>
    <w:basedOn w:val="Normal"/>
    <w:link w:val="FooterChar"/>
    <w:uiPriority w:val="99"/>
    <w:unhideWhenUsed/>
    <w:rsid w:val="00CD513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D513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4/1447/oj" TargetMode="External"/><Relationship Id="rId2" Type="http://schemas.openxmlformats.org/officeDocument/2006/relationships/hyperlink" Target="http://data.europa.eu/eli/dec_impl/2026/480/oj" TargetMode="External"/><Relationship Id="rId1" Type="http://schemas.openxmlformats.org/officeDocument/2006/relationships/hyperlink" Target="http://data.europa.eu/eli/reg/2024/792/oj" TargetMode="External"/><Relationship Id="rId5" Type="http://schemas.openxmlformats.org/officeDocument/2006/relationships/hyperlink" Target="http://data.europa.eu/eli/C/2026/2328/oj" TargetMode="External"/><Relationship Id="rId4" Type="http://schemas.openxmlformats.org/officeDocument/2006/relationships/hyperlink" Target="file:///C:\Users\stanjul\Downloads\OJ%20C,%20C\2025\2114,%203.4.2025,%20ELI:&#160;http:\data.europa.eu\eli\C\2025\211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09CBBF-1CAC-4657-A80C-AAD66DF8E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2026-04-27T07:15:00Z</dcterms:created>
  <dcterms:modified xsi:type="dcterms:W3CDTF">2026-04-28T07:21:00Z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