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244680" w14:textId="7F94E378" w:rsidR="00446D5D" w:rsidRPr="003F7842" w:rsidRDefault="007E5165" w:rsidP="007E5165">
      <w:pPr>
        <w:pStyle w:val="Pagedecouverture"/>
        <w:rPr>
          <w:noProof/>
        </w:rPr>
      </w:pPr>
      <w:r>
        <w:rPr>
          <w:noProof/>
        </w:rPr>
        <w:pict w14:anchorId="71D4EF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D917EB8-BB37-4567-A6C5-DC7251F1132E" style="width:455.25pt;height:371.25pt">
            <v:imagedata r:id="rId11" o:title=""/>
          </v:shape>
        </w:pict>
      </w:r>
    </w:p>
    <w:p w14:paraId="39B19A61" w14:textId="77777777" w:rsidR="00945E1A" w:rsidRPr="003F7842" w:rsidRDefault="00945E1A" w:rsidP="008F3A8B">
      <w:pPr>
        <w:spacing w:line="276" w:lineRule="auto"/>
        <w:rPr>
          <w:noProof/>
        </w:rPr>
        <w:sectPr w:rsidR="00945E1A" w:rsidRPr="003F7842" w:rsidSect="007E5165">
          <w:footerReference w:type="even" r:id="rId12"/>
          <w:footerReference w:type="default" r:id="rId13"/>
          <w:pgSz w:w="11907" w:h="16839"/>
          <w:pgMar w:top="1134" w:right="1417" w:bottom="1134" w:left="1417" w:header="709" w:footer="709" w:gutter="0"/>
          <w:pgNumType w:start="0"/>
          <w:cols w:space="720"/>
          <w:docGrid w:linePitch="360"/>
        </w:sectPr>
      </w:pPr>
    </w:p>
    <w:p w14:paraId="6D7C5B12" w14:textId="77777777" w:rsidR="00C064F5" w:rsidRPr="0069291E" w:rsidRDefault="00C064F5" w:rsidP="008F3A8B">
      <w:pPr>
        <w:pStyle w:val="Exposdesmotifstitre"/>
        <w:spacing w:line="276" w:lineRule="auto"/>
        <w:ind w:left="360"/>
        <w:rPr>
          <w:noProof/>
          <w:sz w:val="2"/>
          <w:szCs w:val="2"/>
        </w:rPr>
      </w:pPr>
      <w:bookmarkStart w:id="0" w:name="_GoBack"/>
      <w:bookmarkEnd w:id="0"/>
    </w:p>
    <w:p w14:paraId="56BEA797" w14:textId="77777777" w:rsidR="00C064F5" w:rsidRPr="003F7842" w:rsidRDefault="00C064F5" w:rsidP="008F3A8B">
      <w:pPr>
        <w:spacing w:line="276" w:lineRule="auto"/>
        <w:rPr>
          <w:noProof/>
          <w:sz w:val="2"/>
          <w:szCs w:val="2"/>
        </w:rPr>
      </w:pPr>
    </w:p>
    <w:p w14:paraId="6B3034FA" w14:textId="539710C1" w:rsidR="00A04C54" w:rsidRPr="003F7842" w:rsidRDefault="003F7842" w:rsidP="003F7842">
      <w:pPr>
        <w:pStyle w:val="Rfrenceinterinstitutionnelle"/>
        <w:rPr>
          <w:noProof/>
        </w:rPr>
      </w:pPr>
      <w:r>
        <w:rPr>
          <w:noProof/>
        </w:rPr>
        <w:t>2026/0100 (NLE)</w:t>
      </w:r>
    </w:p>
    <w:p w14:paraId="336D54F4" w14:textId="4612D749" w:rsidR="00446D5D" w:rsidRPr="003F7842" w:rsidRDefault="003F7842" w:rsidP="003F7842">
      <w:pPr>
        <w:pStyle w:val="Statut"/>
        <w:rPr>
          <w:noProof/>
        </w:rPr>
      </w:pPr>
      <w:r w:rsidRPr="003F7842">
        <w:rPr>
          <w:noProof/>
        </w:rPr>
        <w:t>Propunere de</w:t>
      </w:r>
    </w:p>
    <w:p w14:paraId="0460F17B" w14:textId="513DEC39" w:rsidR="00446D5D" w:rsidRPr="0069291E" w:rsidRDefault="003F7842" w:rsidP="003F7842">
      <w:pPr>
        <w:pStyle w:val="Typedudocument"/>
        <w:rPr>
          <w:noProof/>
        </w:rPr>
      </w:pPr>
      <w:r w:rsidRPr="0069291E">
        <w:rPr>
          <w:noProof/>
        </w:rPr>
        <w:t>DECIZIE DE PUNERE ÎN APLICARE A CONSILIULUI</w:t>
      </w:r>
    </w:p>
    <w:p w14:paraId="161CB12F" w14:textId="3B5FBB70" w:rsidR="00446D5D" w:rsidRPr="0069291E" w:rsidRDefault="003F7842" w:rsidP="003F7842">
      <w:pPr>
        <w:pStyle w:val="Titreobjet"/>
        <w:rPr>
          <w:noProof/>
        </w:rPr>
      </w:pPr>
      <w:r w:rsidRPr="0069291E">
        <w:rPr>
          <w:noProof/>
        </w:rPr>
        <w:t xml:space="preserve">privind constatarea îndeplinirii în mod satisfăcător a condițiilor pentru plata parțială a celei de a șaptea tranșe din cadrul Planului pentru Ucraina al Mecanismului pentru Ucraina și de modificare a Deciziei de punere în aplicare (UE) 2024/1447 </w:t>
      </w:r>
      <w:r w:rsidRPr="0069291E">
        <w:rPr>
          <w:noProof/>
        </w:rPr>
        <w:br/>
      </w:r>
    </w:p>
    <w:p w14:paraId="08B1986E" w14:textId="77777777" w:rsidR="00C0112C" w:rsidRPr="003F7842" w:rsidRDefault="00C0112C" w:rsidP="00C0112C">
      <w:pPr>
        <w:pStyle w:val="Institutionquiagit"/>
        <w:rPr>
          <w:noProof/>
        </w:rPr>
      </w:pPr>
      <w:r w:rsidRPr="003F7842">
        <w:rPr>
          <w:noProof/>
        </w:rPr>
        <w:t>CONSILIUL UNIUNII EUROPENE,</w:t>
      </w:r>
    </w:p>
    <w:p w14:paraId="20316424" w14:textId="77777777" w:rsidR="00C0112C" w:rsidRPr="003F7842" w:rsidRDefault="00C0112C" w:rsidP="00C0112C">
      <w:pPr>
        <w:rPr>
          <w:noProof/>
        </w:rPr>
      </w:pPr>
      <w:r w:rsidRPr="003F7842">
        <w:rPr>
          <w:noProof/>
        </w:rPr>
        <w:t xml:space="preserve">având în vedere Tratatul privind funcționarea Uniunii Europene, </w:t>
      </w:r>
    </w:p>
    <w:p w14:paraId="21DB8B0D" w14:textId="77777777" w:rsidR="00C0112C" w:rsidRPr="003F7842" w:rsidRDefault="00C0112C" w:rsidP="00C0112C">
      <w:pPr>
        <w:rPr>
          <w:noProof/>
        </w:rPr>
      </w:pPr>
      <w:r w:rsidRPr="003F7842">
        <w:rPr>
          <w:noProof/>
        </w:rPr>
        <w:t xml:space="preserve">având în vedere Regulamentul (UE) </w:t>
      </w:r>
      <w:r w:rsidRPr="0069291E">
        <w:rPr>
          <w:noProof/>
        </w:rPr>
        <w:t>2024</w:t>
      </w:r>
      <w:r w:rsidRPr="003F7842">
        <w:rPr>
          <w:noProof/>
        </w:rPr>
        <w:t>/</w:t>
      </w:r>
      <w:r w:rsidRPr="0069291E">
        <w:rPr>
          <w:noProof/>
        </w:rPr>
        <w:t>792</w:t>
      </w:r>
      <w:r w:rsidRPr="003F7842">
        <w:rPr>
          <w:noProof/>
        </w:rPr>
        <w:t xml:space="preserve"> al Parlamentului European și al Consiliului din </w:t>
      </w:r>
      <w:r w:rsidRPr="0069291E">
        <w:rPr>
          <w:noProof/>
        </w:rPr>
        <w:t>29</w:t>
      </w:r>
      <w:r w:rsidRPr="003F7842">
        <w:rPr>
          <w:noProof/>
        </w:rPr>
        <w:t xml:space="preserve"> februarie </w:t>
      </w:r>
      <w:r w:rsidRPr="0069291E">
        <w:rPr>
          <w:noProof/>
        </w:rPr>
        <w:t>2024</w:t>
      </w:r>
      <w:r w:rsidRPr="003F7842">
        <w:rPr>
          <w:noProof/>
        </w:rPr>
        <w:t xml:space="preserve"> de instituire a Mecanismului pentru Ucraina</w:t>
      </w:r>
      <w:r w:rsidRPr="003F7842">
        <w:rPr>
          <w:rStyle w:val="FootnoteReference"/>
          <w:noProof/>
        </w:rPr>
        <w:footnoteReference w:id="2"/>
      </w:r>
      <w:r w:rsidRPr="003F7842">
        <w:rPr>
          <w:noProof/>
        </w:rPr>
        <w:t>, în special articolul </w:t>
      </w:r>
      <w:r w:rsidRPr="0069291E">
        <w:rPr>
          <w:noProof/>
        </w:rPr>
        <w:t>20</w:t>
      </w:r>
      <w:r w:rsidRPr="003F7842">
        <w:rPr>
          <w:noProof/>
        </w:rPr>
        <w:t xml:space="preserve"> alineatul (</w:t>
      </w:r>
      <w:r w:rsidRPr="0069291E">
        <w:rPr>
          <w:noProof/>
        </w:rPr>
        <w:t>2</w:t>
      </w:r>
      <w:r w:rsidRPr="003F7842">
        <w:rPr>
          <w:noProof/>
        </w:rPr>
        <w:t xml:space="preserve">) și articolul </w:t>
      </w:r>
      <w:r w:rsidRPr="0069291E">
        <w:rPr>
          <w:noProof/>
        </w:rPr>
        <w:t>26</w:t>
      </w:r>
      <w:r w:rsidRPr="003F7842">
        <w:rPr>
          <w:noProof/>
        </w:rPr>
        <w:t xml:space="preserve"> alineatul (</w:t>
      </w:r>
      <w:r w:rsidRPr="0069291E">
        <w:rPr>
          <w:noProof/>
        </w:rPr>
        <w:t>4</w:t>
      </w:r>
      <w:r w:rsidRPr="003F7842">
        <w:rPr>
          <w:noProof/>
        </w:rPr>
        <w:t>),</w:t>
      </w:r>
    </w:p>
    <w:p w14:paraId="7E72409E" w14:textId="77777777" w:rsidR="00C0112C" w:rsidRPr="003F7842" w:rsidRDefault="00C0112C" w:rsidP="00C0112C">
      <w:pPr>
        <w:rPr>
          <w:noProof/>
        </w:rPr>
      </w:pPr>
      <w:r w:rsidRPr="003F7842">
        <w:rPr>
          <w:noProof/>
        </w:rPr>
        <w:t>având în vedere propunerea Comisiei Europene,</w:t>
      </w:r>
    </w:p>
    <w:p w14:paraId="0025F7DF" w14:textId="77777777" w:rsidR="00C0112C" w:rsidRPr="003F7842" w:rsidRDefault="00C0112C" w:rsidP="00C0112C">
      <w:pPr>
        <w:rPr>
          <w:noProof/>
        </w:rPr>
      </w:pPr>
      <w:r w:rsidRPr="003F7842">
        <w:rPr>
          <w:noProof/>
        </w:rPr>
        <w:t>întrucât:</w:t>
      </w:r>
    </w:p>
    <w:p w14:paraId="4BA2CCE6" w14:textId="77777777" w:rsidR="00C0112C" w:rsidRPr="003F7842" w:rsidRDefault="00C0112C" w:rsidP="001A46B9">
      <w:pPr>
        <w:pStyle w:val="ManualConsidrant"/>
        <w:rPr>
          <w:noProof/>
        </w:rPr>
      </w:pPr>
      <w:r>
        <w:rPr>
          <w:noProof/>
        </w:rPr>
        <w:t>(1)</w:t>
      </w:r>
      <w:r>
        <w:rPr>
          <w:noProof/>
        </w:rPr>
        <w:tab/>
      </w:r>
      <w:r w:rsidRPr="003F7842">
        <w:rPr>
          <w:noProof/>
        </w:rPr>
        <w:t xml:space="preserve">În cadrul pilonului I al Mecanismului pentru Ucraina (denumit în continuare „mecanismul”) se pune la dispoziția Ucrainei un sprijin financiar de până la </w:t>
      </w:r>
      <w:r w:rsidRPr="0069291E">
        <w:rPr>
          <w:noProof/>
        </w:rPr>
        <w:t>38</w:t>
      </w:r>
      <w:r w:rsidRPr="003F7842">
        <w:rPr>
          <w:noProof/>
        </w:rPr>
        <w:t> </w:t>
      </w:r>
      <w:r w:rsidRPr="0069291E">
        <w:rPr>
          <w:noProof/>
        </w:rPr>
        <w:t>338</w:t>
      </w:r>
      <w:r w:rsidRPr="003F7842">
        <w:rPr>
          <w:noProof/>
        </w:rPr>
        <w:t> </w:t>
      </w:r>
      <w:r w:rsidRPr="0069291E">
        <w:rPr>
          <w:noProof/>
        </w:rPr>
        <w:t>555</w:t>
      </w:r>
      <w:r w:rsidRPr="003F7842">
        <w:rPr>
          <w:noProof/>
        </w:rPr>
        <w:t xml:space="preserve"> </w:t>
      </w:r>
      <w:r w:rsidRPr="0069291E">
        <w:rPr>
          <w:noProof/>
        </w:rPr>
        <w:t>759</w:t>
      </w:r>
      <w:r w:rsidRPr="003F7842">
        <w:rPr>
          <w:noProof/>
        </w:rPr>
        <w:t xml:space="preserve"> EUR și </w:t>
      </w:r>
      <w:r w:rsidRPr="0069291E">
        <w:rPr>
          <w:noProof/>
        </w:rPr>
        <w:t>2</w:t>
      </w:r>
      <w:r w:rsidRPr="003F7842">
        <w:rPr>
          <w:noProof/>
        </w:rPr>
        <w:t xml:space="preserve"> </w:t>
      </w:r>
      <w:r w:rsidRPr="0069291E">
        <w:rPr>
          <w:noProof/>
        </w:rPr>
        <w:t>000</w:t>
      </w:r>
      <w:r w:rsidRPr="003F7842">
        <w:rPr>
          <w:noProof/>
        </w:rPr>
        <w:t xml:space="preserve"> </w:t>
      </w:r>
      <w:r w:rsidRPr="0069291E">
        <w:rPr>
          <w:noProof/>
        </w:rPr>
        <w:t>000</w:t>
      </w:r>
      <w:r w:rsidRPr="003F7842">
        <w:rPr>
          <w:noProof/>
        </w:rPr>
        <w:t xml:space="preserve"> </w:t>
      </w:r>
      <w:r w:rsidRPr="0069291E">
        <w:rPr>
          <w:noProof/>
        </w:rPr>
        <w:t>000</w:t>
      </w:r>
      <w:r w:rsidRPr="003F7842">
        <w:rPr>
          <w:noProof/>
        </w:rPr>
        <w:t xml:space="preserve"> SEK</w:t>
      </w:r>
      <w:r w:rsidRPr="003F7842">
        <w:rPr>
          <w:rStyle w:val="FootnoteReference"/>
          <w:noProof/>
        </w:rPr>
        <w:footnoteReference w:id="3"/>
      </w:r>
      <w:r w:rsidRPr="003F7842">
        <w:rPr>
          <w:noProof/>
        </w:rPr>
        <w:t xml:space="preserve"> pentru perioada </w:t>
      </w:r>
      <w:r w:rsidRPr="0069291E">
        <w:rPr>
          <w:noProof/>
        </w:rPr>
        <w:t>2024</w:t>
      </w:r>
      <w:r w:rsidRPr="003F7842">
        <w:rPr>
          <w:noProof/>
        </w:rPr>
        <w:t>-</w:t>
      </w:r>
      <w:r w:rsidRPr="0069291E">
        <w:rPr>
          <w:noProof/>
        </w:rPr>
        <w:t>2027</w:t>
      </w:r>
      <w:r w:rsidRPr="003F7842">
        <w:rPr>
          <w:noProof/>
        </w:rPr>
        <w:t xml:space="preserve"> sub formă de sprijin nerambursabil și de împrumut. Finanțarea în cadrul pilonului I este alocată în principal pe baza Planului pentru Ucraina al Mecanismului pentru Ucraina (denumit în continuare „planul”). Planul stabilește agenda Ucrainei de reforme și investiții, precum și etapele calitative și cantitative care sunt legate de finanțarea în cadrul pilonului I al mecanismului.</w:t>
      </w:r>
    </w:p>
    <w:p w14:paraId="3F9B77D0" w14:textId="77777777" w:rsidR="00C0112C" w:rsidRPr="003F7842" w:rsidRDefault="00C0112C" w:rsidP="00C0112C">
      <w:pPr>
        <w:pStyle w:val="ManualConsidrant"/>
        <w:rPr>
          <w:noProof/>
        </w:rPr>
      </w:pPr>
      <w:r>
        <w:rPr>
          <w:noProof/>
        </w:rPr>
        <w:t>(2)</w:t>
      </w:r>
      <w:r>
        <w:rPr>
          <w:noProof/>
        </w:rPr>
        <w:tab/>
      </w:r>
      <w:r w:rsidRPr="003F7842">
        <w:rPr>
          <w:noProof/>
        </w:rPr>
        <w:t>În temeiul articolului </w:t>
      </w:r>
      <w:r w:rsidRPr="0069291E">
        <w:rPr>
          <w:noProof/>
        </w:rPr>
        <w:t>19</w:t>
      </w:r>
      <w:r w:rsidRPr="003F7842">
        <w:rPr>
          <w:noProof/>
        </w:rPr>
        <w:t xml:space="preserve"> din Regulamentul (UE) </w:t>
      </w:r>
      <w:r w:rsidRPr="0069291E">
        <w:rPr>
          <w:noProof/>
        </w:rPr>
        <w:t>2024</w:t>
      </w:r>
      <w:r w:rsidRPr="003F7842">
        <w:rPr>
          <w:noProof/>
        </w:rPr>
        <w:t>/</w:t>
      </w:r>
      <w:r w:rsidRPr="0069291E">
        <w:rPr>
          <w:noProof/>
        </w:rPr>
        <w:t>792</w:t>
      </w:r>
      <w:r w:rsidRPr="003F7842">
        <w:rPr>
          <w:noProof/>
        </w:rPr>
        <w:t xml:space="preserve">, Consiliul a adoptat Decizia de punere în aplicare (UE) </w:t>
      </w:r>
      <w:r w:rsidRPr="0069291E">
        <w:rPr>
          <w:noProof/>
        </w:rPr>
        <w:t>2024</w:t>
      </w:r>
      <w:r w:rsidRPr="003F7842">
        <w:rPr>
          <w:noProof/>
        </w:rPr>
        <w:t>/</w:t>
      </w:r>
      <w:r w:rsidRPr="0069291E">
        <w:rPr>
          <w:noProof/>
        </w:rPr>
        <w:t>1447</w:t>
      </w:r>
      <w:r w:rsidRPr="003F7842">
        <w:rPr>
          <w:rStyle w:val="FootnoteReference"/>
          <w:noProof/>
        </w:rPr>
        <w:footnoteReference w:id="4"/>
      </w:r>
      <w:r w:rsidRPr="003F7842">
        <w:rPr>
          <w:noProof/>
        </w:rPr>
        <w:t>. Calendarul pentru monitorizarea și punerea în aplicare a planului, inclusiv etapele calitative și cantitative care sunt legate de finanțarea în cadrul pilonului I al mecanismului, sunt prevăzute în anexa la decizia menționată.</w:t>
      </w:r>
    </w:p>
    <w:p w14:paraId="4A5029C6" w14:textId="77777777" w:rsidR="00C0112C" w:rsidRPr="003F7842" w:rsidRDefault="00C0112C" w:rsidP="00C0112C">
      <w:pPr>
        <w:pStyle w:val="ManualConsidrant"/>
        <w:rPr>
          <w:noProof/>
        </w:rPr>
      </w:pPr>
      <w:r>
        <w:rPr>
          <w:noProof/>
        </w:rPr>
        <w:t>(3)</w:t>
      </w:r>
      <w:r>
        <w:rPr>
          <w:noProof/>
        </w:rPr>
        <w:tab/>
      </w:r>
      <w:r w:rsidRPr="003F7842">
        <w:rPr>
          <w:noProof/>
        </w:rPr>
        <w:t xml:space="preserve">Valoarea totală a resurselor financiare puse la dispoziția planului în temeiul Deciziei de punere în aplicare (UE) </w:t>
      </w:r>
      <w:r w:rsidRPr="0069291E">
        <w:rPr>
          <w:noProof/>
        </w:rPr>
        <w:t>2024</w:t>
      </w:r>
      <w:r w:rsidRPr="003F7842">
        <w:rPr>
          <w:noProof/>
        </w:rPr>
        <w:t>/</w:t>
      </w:r>
      <w:r w:rsidRPr="0069291E">
        <w:rPr>
          <w:noProof/>
        </w:rPr>
        <w:t>1447</w:t>
      </w:r>
      <w:r w:rsidRPr="003F7842">
        <w:rPr>
          <w:noProof/>
        </w:rPr>
        <w:t xml:space="preserve"> se ridică la </w:t>
      </w:r>
      <w:r w:rsidRPr="0069291E">
        <w:rPr>
          <w:noProof/>
        </w:rPr>
        <w:t>32</w:t>
      </w:r>
      <w:r w:rsidRPr="003F7842">
        <w:rPr>
          <w:noProof/>
        </w:rPr>
        <w:t> </w:t>
      </w:r>
      <w:r w:rsidRPr="0069291E">
        <w:rPr>
          <w:noProof/>
        </w:rPr>
        <w:t>338</w:t>
      </w:r>
      <w:r w:rsidRPr="003F7842">
        <w:rPr>
          <w:noProof/>
        </w:rPr>
        <w:t> </w:t>
      </w:r>
      <w:r w:rsidRPr="0069291E">
        <w:rPr>
          <w:noProof/>
        </w:rPr>
        <w:t>555</w:t>
      </w:r>
      <w:r w:rsidRPr="003F7842">
        <w:rPr>
          <w:noProof/>
        </w:rPr>
        <w:t> </w:t>
      </w:r>
      <w:r w:rsidRPr="0069291E">
        <w:rPr>
          <w:noProof/>
        </w:rPr>
        <w:t>759</w:t>
      </w:r>
      <w:r w:rsidRPr="003F7842">
        <w:rPr>
          <w:noProof/>
        </w:rPr>
        <w:t xml:space="preserve"> EUR, din care </w:t>
      </w:r>
      <w:bookmarkStart w:id="1" w:name="_Hlk181809472"/>
      <w:r w:rsidRPr="0069291E">
        <w:rPr>
          <w:noProof/>
        </w:rPr>
        <w:lastRenderedPageBreak/>
        <w:t>5</w:t>
      </w:r>
      <w:r w:rsidRPr="003F7842">
        <w:rPr>
          <w:noProof/>
        </w:rPr>
        <w:t> </w:t>
      </w:r>
      <w:r w:rsidRPr="0069291E">
        <w:rPr>
          <w:noProof/>
        </w:rPr>
        <w:t>338</w:t>
      </w:r>
      <w:r w:rsidRPr="003F7842">
        <w:rPr>
          <w:noProof/>
        </w:rPr>
        <w:t> </w:t>
      </w:r>
      <w:bookmarkEnd w:id="1"/>
      <w:r w:rsidRPr="0069291E">
        <w:rPr>
          <w:noProof/>
        </w:rPr>
        <w:t>555</w:t>
      </w:r>
      <w:r w:rsidRPr="003F7842">
        <w:rPr>
          <w:noProof/>
        </w:rPr>
        <w:t> </w:t>
      </w:r>
      <w:r w:rsidRPr="0069291E">
        <w:rPr>
          <w:noProof/>
        </w:rPr>
        <w:t>759</w:t>
      </w:r>
      <w:r w:rsidRPr="003F7842">
        <w:rPr>
          <w:noProof/>
        </w:rPr>
        <w:t xml:space="preserve"> EUR și </w:t>
      </w:r>
      <w:r w:rsidRPr="0069291E">
        <w:rPr>
          <w:noProof/>
        </w:rPr>
        <w:t>2</w:t>
      </w:r>
      <w:r w:rsidRPr="003F7842">
        <w:rPr>
          <w:noProof/>
        </w:rPr>
        <w:t xml:space="preserve"> </w:t>
      </w:r>
      <w:r w:rsidRPr="0069291E">
        <w:rPr>
          <w:noProof/>
        </w:rPr>
        <w:t>000</w:t>
      </w:r>
      <w:r w:rsidRPr="003F7842">
        <w:rPr>
          <w:noProof/>
        </w:rPr>
        <w:t xml:space="preserve"> </w:t>
      </w:r>
      <w:r w:rsidRPr="0069291E">
        <w:rPr>
          <w:noProof/>
        </w:rPr>
        <w:t>000</w:t>
      </w:r>
      <w:r w:rsidRPr="003F7842">
        <w:rPr>
          <w:noProof/>
        </w:rPr>
        <w:t xml:space="preserve"> </w:t>
      </w:r>
      <w:r w:rsidRPr="0069291E">
        <w:rPr>
          <w:noProof/>
        </w:rPr>
        <w:t>000</w:t>
      </w:r>
      <w:r w:rsidRPr="003F7842">
        <w:rPr>
          <w:noProof/>
        </w:rPr>
        <w:t xml:space="preserve"> SEK sub formă de sprijin financiar nerambursabil și până la </w:t>
      </w:r>
      <w:r w:rsidRPr="0069291E">
        <w:rPr>
          <w:noProof/>
        </w:rPr>
        <w:t>27</w:t>
      </w:r>
      <w:r w:rsidRPr="003F7842">
        <w:rPr>
          <w:noProof/>
        </w:rPr>
        <w:t> </w:t>
      </w:r>
      <w:r w:rsidRPr="0069291E">
        <w:rPr>
          <w:noProof/>
        </w:rPr>
        <w:t>000</w:t>
      </w:r>
      <w:r w:rsidRPr="003F7842">
        <w:rPr>
          <w:noProof/>
        </w:rPr>
        <w:t> </w:t>
      </w:r>
      <w:r w:rsidRPr="0069291E">
        <w:rPr>
          <w:noProof/>
        </w:rPr>
        <w:t>000</w:t>
      </w:r>
      <w:r w:rsidRPr="003F7842">
        <w:rPr>
          <w:noProof/>
        </w:rPr>
        <w:t> </w:t>
      </w:r>
      <w:r w:rsidRPr="0069291E">
        <w:rPr>
          <w:noProof/>
        </w:rPr>
        <w:t>000</w:t>
      </w:r>
      <w:r w:rsidRPr="003F7842">
        <w:rPr>
          <w:noProof/>
        </w:rPr>
        <w:t> EUR sub formă de împrumut.</w:t>
      </w:r>
    </w:p>
    <w:p w14:paraId="005F6827" w14:textId="77777777" w:rsidR="00C0112C" w:rsidRPr="003F7842" w:rsidRDefault="00C0112C" w:rsidP="00C0112C">
      <w:pPr>
        <w:pStyle w:val="ManualConsidrant"/>
        <w:rPr>
          <w:noProof/>
        </w:rPr>
      </w:pPr>
      <w:r>
        <w:rPr>
          <w:noProof/>
        </w:rPr>
        <w:t>(4)</w:t>
      </w:r>
      <w:r>
        <w:rPr>
          <w:noProof/>
        </w:rPr>
        <w:tab/>
      </w:r>
      <w:r w:rsidRPr="003F7842">
        <w:rPr>
          <w:noProof/>
        </w:rPr>
        <w:t>În conformitate cu articolele </w:t>
      </w:r>
      <w:r w:rsidRPr="0069291E">
        <w:rPr>
          <w:noProof/>
        </w:rPr>
        <w:t>24</w:t>
      </w:r>
      <w:r w:rsidRPr="003F7842">
        <w:rPr>
          <w:noProof/>
        </w:rPr>
        <w:t xml:space="preserve"> și </w:t>
      </w:r>
      <w:r w:rsidRPr="0069291E">
        <w:rPr>
          <w:noProof/>
        </w:rPr>
        <w:t>25</w:t>
      </w:r>
      <w:r w:rsidRPr="003F7842">
        <w:rPr>
          <w:noProof/>
        </w:rPr>
        <w:t xml:space="preserve"> din Regulamentul (UE) </w:t>
      </w:r>
      <w:r w:rsidRPr="0069291E">
        <w:rPr>
          <w:noProof/>
        </w:rPr>
        <w:t>2024</w:t>
      </w:r>
      <w:r w:rsidRPr="003F7842">
        <w:rPr>
          <w:noProof/>
        </w:rPr>
        <w:t>/</w:t>
      </w:r>
      <w:r w:rsidRPr="0069291E">
        <w:rPr>
          <w:noProof/>
        </w:rPr>
        <w:t>792</w:t>
      </w:r>
      <w:r w:rsidRPr="003F7842">
        <w:rPr>
          <w:noProof/>
        </w:rPr>
        <w:t xml:space="preserve">, suma de </w:t>
      </w:r>
      <w:r w:rsidRPr="0069291E">
        <w:rPr>
          <w:noProof/>
        </w:rPr>
        <w:t>6</w:t>
      </w:r>
      <w:r w:rsidRPr="003F7842">
        <w:rPr>
          <w:noProof/>
        </w:rPr>
        <w:t> </w:t>
      </w:r>
      <w:r w:rsidRPr="0069291E">
        <w:rPr>
          <w:noProof/>
        </w:rPr>
        <w:t>000</w:t>
      </w:r>
      <w:r w:rsidRPr="003F7842">
        <w:rPr>
          <w:noProof/>
        </w:rPr>
        <w:t> </w:t>
      </w:r>
      <w:r w:rsidRPr="0069291E">
        <w:rPr>
          <w:noProof/>
        </w:rPr>
        <w:t>000</w:t>
      </w:r>
      <w:r w:rsidRPr="003F7842">
        <w:rPr>
          <w:noProof/>
        </w:rPr>
        <w:t> </w:t>
      </w:r>
      <w:r w:rsidRPr="0069291E">
        <w:rPr>
          <w:noProof/>
        </w:rPr>
        <w:t>000</w:t>
      </w:r>
      <w:r w:rsidRPr="003F7842">
        <w:rPr>
          <w:noProof/>
        </w:rPr>
        <w:t xml:space="preserve"> EUR a fost plătită Ucrainei ca finanțare-punte excepțională, iar suma de </w:t>
      </w:r>
      <w:r w:rsidRPr="0069291E">
        <w:rPr>
          <w:noProof/>
        </w:rPr>
        <w:t>1</w:t>
      </w:r>
      <w:r w:rsidRPr="003F7842">
        <w:rPr>
          <w:noProof/>
        </w:rPr>
        <w:t> </w:t>
      </w:r>
      <w:r w:rsidRPr="0069291E">
        <w:rPr>
          <w:noProof/>
        </w:rPr>
        <w:t>890</w:t>
      </w:r>
      <w:r w:rsidRPr="003F7842">
        <w:rPr>
          <w:noProof/>
        </w:rPr>
        <w:t> </w:t>
      </w:r>
      <w:r w:rsidRPr="0069291E">
        <w:rPr>
          <w:noProof/>
        </w:rPr>
        <w:t>000</w:t>
      </w:r>
      <w:r w:rsidRPr="003F7842">
        <w:rPr>
          <w:noProof/>
        </w:rPr>
        <w:t> </w:t>
      </w:r>
      <w:r w:rsidRPr="0069291E">
        <w:rPr>
          <w:noProof/>
        </w:rPr>
        <w:t>000</w:t>
      </w:r>
      <w:r w:rsidRPr="003F7842">
        <w:rPr>
          <w:noProof/>
        </w:rPr>
        <w:t xml:space="preserve"> EUR – sub formă de prefinanțare, reprezentând o plată în avans de </w:t>
      </w:r>
      <w:r w:rsidRPr="0069291E">
        <w:rPr>
          <w:noProof/>
        </w:rPr>
        <w:t>7</w:t>
      </w:r>
      <w:r w:rsidRPr="003F7842">
        <w:rPr>
          <w:noProof/>
        </w:rPr>
        <w:t> % din sprijinul sub formă de împrumut pe care Ucraina este eligibilă să îl primească în cadrul planului.</w:t>
      </w:r>
    </w:p>
    <w:p w14:paraId="672B3DC3" w14:textId="08475050" w:rsidR="00C0112C" w:rsidRPr="003F7842" w:rsidRDefault="00C0112C" w:rsidP="00C0112C">
      <w:pPr>
        <w:pStyle w:val="ManualConsidrant"/>
        <w:rPr>
          <w:noProof/>
        </w:rPr>
      </w:pPr>
      <w:r>
        <w:rPr>
          <w:noProof/>
        </w:rPr>
        <w:t>(5)</w:t>
      </w:r>
      <w:r>
        <w:rPr>
          <w:noProof/>
        </w:rPr>
        <w:tab/>
      </w:r>
      <w:r w:rsidRPr="003F7842">
        <w:rPr>
          <w:noProof/>
        </w:rPr>
        <w:t>În conformitate cu articolul </w:t>
      </w:r>
      <w:r w:rsidRPr="0069291E">
        <w:rPr>
          <w:noProof/>
        </w:rPr>
        <w:t>26</w:t>
      </w:r>
      <w:r w:rsidRPr="003F7842">
        <w:rPr>
          <w:noProof/>
        </w:rPr>
        <w:t xml:space="preserve"> alineatul (</w:t>
      </w:r>
      <w:r w:rsidRPr="0069291E">
        <w:rPr>
          <w:noProof/>
        </w:rPr>
        <w:t>4</w:t>
      </w:r>
      <w:r w:rsidRPr="003F7842">
        <w:rPr>
          <w:noProof/>
        </w:rPr>
        <w:t xml:space="preserve">) din Regulamentul (UE) </w:t>
      </w:r>
      <w:r w:rsidRPr="0069291E">
        <w:rPr>
          <w:noProof/>
        </w:rPr>
        <w:t>2024</w:t>
      </w:r>
      <w:r w:rsidRPr="003F7842">
        <w:rPr>
          <w:noProof/>
        </w:rPr>
        <w:t>/</w:t>
      </w:r>
      <w:r w:rsidRPr="0069291E">
        <w:rPr>
          <w:noProof/>
        </w:rPr>
        <w:t>792</w:t>
      </w:r>
      <w:r w:rsidRPr="003F7842">
        <w:rPr>
          <w:noProof/>
        </w:rPr>
        <w:t xml:space="preserve">, un cuantum de </w:t>
      </w:r>
      <w:r w:rsidRPr="0069291E">
        <w:rPr>
          <w:noProof/>
        </w:rPr>
        <w:t>18</w:t>
      </w:r>
      <w:r w:rsidRPr="003F7842">
        <w:rPr>
          <w:noProof/>
        </w:rPr>
        <w:t> </w:t>
      </w:r>
      <w:r w:rsidRPr="0069291E">
        <w:rPr>
          <w:noProof/>
        </w:rPr>
        <w:t>874</w:t>
      </w:r>
      <w:r w:rsidRPr="003F7842">
        <w:rPr>
          <w:noProof/>
        </w:rPr>
        <w:t> </w:t>
      </w:r>
      <w:r w:rsidRPr="0069291E">
        <w:rPr>
          <w:noProof/>
        </w:rPr>
        <w:t>654</w:t>
      </w:r>
      <w:r w:rsidRPr="003F7842">
        <w:rPr>
          <w:noProof/>
        </w:rPr>
        <w:t> </w:t>
      </w:r>
      <w:r w:rsidRPr="0069291E">
        <w:rPr>
          <w:noProof/>
        </w:rPr>
        <w:t>180</w:t>
      </w:r>
      <w:r w:rsidRPr="003F7842">
        <w:rPr>
          <w:noProof/>
        </w:rPr>
        <w:t xml:space="preserve"> EUR a fost vărsat Ucrainei în primele șase tranșe în cadrul planului, din care un cuantum de </w:t>
      </w:r>
      <w:r w:rsidRPr="0069291E">
        <w:rPr>
          <w:noProof/>
        </w:rPr>
        <w:t>3</w:t>
      </w:r>
      <w:r w:rsidRPr="003F7842">
        <w:rPr>
          <w:noProof/>
        </w:rPr>
        <w:t> </w:t>
      </w:r>
      <w:r w:rsidRPr="0069291E">
        <w:rPr>
          <w:noProof/>
        </w:rPr>
        <w:t>601</w:t>
      </w:r>
      <w:r w:rsidRPr="003F7842">
        <w:rPr>
          <w:noProof/>
        </w:rPr>
        <w:t> </w:t>
      </w:r>
      <w:r w:rsidRPr="0069291E">
        <w:rPr>
          <w:noProof/>
        </w:rPr>
        <w:t>252</w:t>
      </w:r>
      <w:r w:rsidRPr="003F7842">
        <w:rPr>
          <w:noProof/>
        </w:rPr>
        <w:t> </w:t>
      </w:r>
      <w:r w:rsidRPr="0069291E">
        <w:rPr>
          <w:noProof/>
        </w:rPr>
        <w:t>880</w:t>
      </w:r>
      <w:r w:rsidRPr="003F7842">
        <w:rPr>
          <w:noProof/>
        </w:rPr>
        <w:t> EUR a fost vărsat sub formă de sprijin financiar nerambursabil și </w:t>
      </w:r>
      <w:r w:rsidRPr="0069291E">
        <w:rPr>
          <w:noProof/>
        </w:rPr>
        <w:t>15</w:t>
      </w:r>
      <w:r w:rsidRPr="003F7842">
        <w:rPr>
          <w:noProof/>
        </w:rPr>
        <w:t> </w:t>
      </w:r>
      <w:r w:rsidRPr="0069291E">
        <w:rPr>
          <w:noProof/>
        </w:rPr>
        <w:t>273</w:t>
      </w:r>
      <w:r w:rsidRPr="003F7842">
        <w:rPr>
          <w:noProof/>
        </w:rPr>
        <w:t> </w:t>
      </w:r>
      <w:r w:rsidRPr="0069291E">
        <w:rPr>
          <w:noProof/>
        </w:rPr>
        <w:t>401</w:t>
      </w:r>
      <w:r w:rsidRPr="003F7842">
        <w:rPr>
          <w:noProof/>
        </w:rPr>
        <w:t> </w:t>
      </w:r>
      <w:r w:rsidRPr="0069291E">
        <w:rPr>
          <w:noProof/>
        </w:rPr>
        <w:t>300</w:t>
      </w:r>
      <w:r w:rsidRPr="003F7842">
        <w:rPr>
          <w:noProof/>
        </w:rPr>
        <w:t xml:space="preserve"> EUR sub formă de împrumut. În conformitate cu acordul de împrumut încheiat între Uniune și Ucraina în temeiul articolului </w:t>
      </w:r>
      <w:r w:rsidRPr="0069291E">
        <w:rPr>
          <w:noProof/>
        </w:rPr>
        <w:t>22</w:t>
      </w:r>
      <w:r w:rsidRPr="003F7842">
        <w:rPr>
          <w:noProof/>
        </w:rPr>
        <w:t xml:space="preserve"> din Regulamentul (UE) </w:t>
      </w:r>
      <w:r w:rsidRPr="0069291E">
        <w:rPr>
          <w:noProof/>
        </w:rPr>
        <w:t>2024</w:t>
      </w:r>
      <w:r w:rsidRPr="003F7842">
        <w:rPr>
          <w:noProof/>
        </w:rPr>
        <w:t>/</w:t>
      </w:r>
      <w:r w:rsidRPr="0069291E">
        <w:rPr>
          <w:noProof/>
        </w:rPr>
        <w:t>792</w:t>
      </w:r>
      <w:r w:rsidRPr="003F7842">
        <w:rPr>
          <w:noProof/>
        </w:rPr>
        <w:t xml:space="preserve">, un cuantum de </w:t>
      </w:r>
      <w:r w:rsidRPr="0069291E">
        <w:rPr>
          <w:noProof/>
        </w:rPr>
        <w:t>1</w:t>
      </w:r>
      <w:r w:rsidRPr="003F7842">
        <w:rPr>
          <w:noProof/>
        </w:rPr>
        <w:t xml:space="preserve"> </w:t>
      </w:r>
      <w:r w:rsidRPr="0069291E">
        <w:rPr>
          <w:noProof/>
        </w:rPr>
        <w:t>149</w:t>
      </w:r>
      <w:r w:rsidRPr="003F7842">
        <w:rPr>
          <w:noProof/>
        </w:rPr>
        <w:t xml:space="preserve"> </w:t>
      </w:r>
      <w:r w:rsidRPr="0069291E">
        <w:rPr>
          <w:noProof/>
        </w:rPr>
        <w:t>610</w:t>
      </w:r>
      <w:r w:rsidRPr="003F7842">
        <w:rPr>
          <w:noProof/>
        </w:rPr>
        <w:t xml:space="preserve"> </w:t>
      </w:r>
      <w:r w:rsidRPr="0069291E">
        <w:rPr>
          <w:noProof/>
        </w:rPr>
        <w:t>850</w:t>
      </w:r>
      <w:r w:rsidRPr="003F7842">
        <w:rPr>
          <w:noProof/>
        </w:rPr>
        <w:t> EUR aferent primelor șase tranșe a fost utilizat pentru lichidarea prefinanțării împrumutului.</w:t>
      </w:r>
    </w:p>
    <w:p w14:paraId="00ED5862" w14:textId="3B4CC8EB" w:rsidR="00C0112C" w:rsidRPr="003F7842" w:rsidRDefault="00C0112C" w:rsidP="00C0112C">
      <w:pPr>
        <w:pStyle w:val="ManualConsidrant"/>
        <w:rPr>
          <w:rStyle w:val="normaltextrun"/>
          <w:noProof/>
          <w:color w:val="000000" w:themeColor="text1"/>
        </w:rPr>
      </w:pPr>
      <w:r>
        <w:rPr>
          <w:noProof/>
        </w:rPr>
        <w:t>(6)</w:t>
      </w:r>
      <w:r>
        <w:rPr>
          <w:noProof/>
        </w:rPr>
        <w:tab/>
      </w:r>
      <w:r w:rsidRPr="003F7842">
        <w:rPr>
          <w:rStyle w:val="normaltextrun"/>
          <w:noProof/>
          <w:color w:val="000000" w:themeColor="text1"/>
        </w:rPr>
        <w:t xml:space="preserve">Metodologia </w:t>
      </w:r>
      <w:r w:rsidRPr="003F7842">
        <w:rPr>
          <w:noProof/>
        </w:rPr>
        <w:t>de gestionare a îndeplinirii parțiale a etapelor</w:t>
      </w:r>
      <w:r w:rsidR="0069291E">
        <w:rPr>
          <w:noProof/>
        </w:rPr>
        <w:t xml:space="preserve"> </w:t>
      </w:r>
      <w:r w:rsidRPr="003F7842">
        <w:rPr>
          <w:rStyle w:val="normaltextrun"/>
          <w:noProof/>
          <w:color w:val="000000" w:themeColor="text1"/>
        </w:rPr>
        <w:t>Planului</w:t>
      </w:r>
      <w:bookmarkStart w:id="2" w:name="_Int_NH8pHxhu"/>
      <w:r w:rsidRPr="003F7842">
        <w:rPr>
          <w:rStyle w:val="normaltextrun"/>
          <w:noProof/>
          <w:color w:val="000000" w:themeColor="text1"/>
        </w:rPr>
        <w:t xml:space="preserve"> pentru</w:t>
      </w:r>
      <w:bookmarkEnd w:id="2"/>
      <w:r w:rsidR="0069291E">
        <w:rPr>
          <w:rStyle w:val="normaltextrun"/>
          <w:noProof/>
          <w:color w:val="000000" w:themeColor="text1"/>
        </w:rPr>
        <w:t xml:space="preserve"> </w:t>
      </w:r>
      <w:r w:rsidRPr="003F7842">
        <w:rPr>
          <w:rStyle w:val="normaltextrun"/>
          <w:noProof/>
          <w:color w:val="000000" w:themeColor="text1"/>
        </w:rPr>
        <w:t>Ucraina</w:t>
      </w:r>
      <w:r w:rsidRPr="003F7842">
        <w:rPr>
          <w:rStyle w:val="FootnoteReference"/>
          <w:noProof/>
          <w:color w:val="000000" w:themeColor="text1"/>
        </w:rPr>
        <w:footnoteReference w:id="5"/>
      </w:r>
      <w:r w:rsidRPr="003F7842">
        <w:rPr>
          <w:rStyle w:val="normaltextrun"/>
          <w:noProof/>
          <w:color w:val="000000" w:themeColor="text1"/>
        </w:rPr>
        <w:t xml:space="preserve"> a fost adoptată la </w:t>
      </w:r>
      <w:r w:rsidRPr="0069291E">
        <w:rPr>
          <w:rStyle w:val="normaltextrun"/>
          <w:noProof/>
          <w:color w:val="000000" w:themeColor="text1"/>
        </w:rPr>
        <w:t>24</w:t>
      </w:r>
      <w:r w:rsidRPr="003F7842">
        <w:rPr>
          <w:rStyle w:val="normaltextrun"/>
          <w:noProof/>
          <w:color w:val="000000" w:themeColor="text1"/>
        </w:rPr>
        <w:t xml:space="preserve"> martie </w:t>
      </w:r>
      <w:r w:rsidRPr="0069291E">
        <w:rPr>
          <w:rStyle w:val="normaltextrun"/>
          <w:noProof/>
          <w:color w:val="000000" w:themeColor="text1"/>
        </w:rPr>
        <w:t>2025</w:t>
      </w:r>
      <w:r w:rsidRPr="003F7842">
        <w:rPr>
          <w:rStyle w:val="normaltextrun"/>
          <w:noProof/>
          <w:color w:val="000000" w:themeColor="text1"/>
        </w:rPr>
        <w:t xml:space="preserve"> în conformitate cu articolul </w:t>
      </w:r>
      <w:r w:rsidRPr="0069291E">
        <w:rPr>
          <w:rStyle w:val="normaltextrun"/>
          <w:noProof/>
          <w:color w:val="000000" w:themeColor="text1"/>
        </w:rPr>
        <w:t>26</w:t>
      </w:r>
      <w:r w:rsidRPr="003F7842">
        <w:rPr>
          <w:rStyle w:val="normaltextrun"/>
          <w:noProof/>
          <w:color w:val="000000" w:themeColor="text1"/>
        </w:rPr>
        <w:t xml:space="preserve"> alineatul (</w:t>
      </w:r>
      <w:r w:rsidRPr="0069291E">
        <w:rPr>
          <w:rStyle w:val="normaltextrun"/>
          <w:noProof/>
          <w:color w:val="000000" w:themeColor="text1"/>
        </w:rPr>
        <w:t>5</w:t>
      </w:r>
      <w:r w:rsidRPr="003F7842">
        <w:rPr>
          <w:rStyle w:val="normaltextrun"/>
          <w:noProof/>
          <w:color w:val="000000" w:themeColor="text1"/>
        </w:rPr>
        <w:t xml:space="preserve">) din Regulamentul (UE) </w:t>
      </w:r>
      <w:r w:rsidRPr="0069291E">
        <w:rPr>
          <w:rStyle w:val="normaltextrun"/>
          <w:noProof/>
          <w:color w:val="000000" w:themeColor="text1"/>
        </w:rPr>
        <w:t>2024</w:t>
      </w:r>
      <w:r w:rsidRPr="003F7842">
        <w:rPr>
          <w:rStyle w:val="normaltextrun"/>
          <w:noProof/>
          <w:color w:val="000000" w:themeColor="text1"/>
        </w:rPr>
        <w:t>/</w:t>
      </w:r>
      <w:r w:rsidRPr="0069291E">
        <w:rPr>
          <w:rStyle w:val="normaltextrun"/>
          <w:noProof/>
          <w:color w:val="000000" w:themeColor="text1"/>
        </w:rPr>
        <w:t>792</w:t>
      </w:r>
      <w:r w:rsidRPr="003F7842">
        <w:rPr>
          <w:rStyle w:val="normaltextrun"/>
          <w:noProof/>
          <w:color w:val="000000" w:themeColor="text1"/>
        </w:rPr>
        <w:t xml:space="preserve">. După un an de aplicare, s-a dobândit suficientă experiență practică pentru a se justifica o revizuire a acestei metodologii. În plus, continuarea războiului de agresiune al Rusiei împotriva Ucrainei și intensificarea atacurilor împotriva infrastructurilor civile și energetice critice ucrainene creează perturbări grave ale activității legislative a Radei Supreme și continuă să afecteze capacitățile administrative ale Ucrainei. În conformitate cu metodologia adoptată de Comisie la </w:t>
      </w:r>
      <w:r w:rsidRPr="0069291E">
        <w:rPr>
          <w:rStyle w:val="normaltextrun"/>
          <w:noProof/>
          <w:color w:val="000000" w:themeColor="text1"/>
        </w:rPr>
        <w:t>16</w:t>
      </w:r>
      <w:r w:rsidRPr="003F7842">
        <w:rPr>
          <w:rStyle w:val="normaltextrun"/>
          <w:noProof/>
          <w:color w:val="000000" w:themeColor="text1"/>
        </w:rPr>
        <w:t xml:space="preserve"> aprilie </w:t>
      </w:r>
      <w:r w:rsidRPr="0069291E">
        <w:rPr>
          <w:rStyle w:val="normaltextrun"/>
          <w:noProof/>
          <w:color w:val="000000" w:themeColor="text1"/>
        </w:rPr>
        <w:t>2026</w:t>
      </w:r>
      <w:r w:rsidRPr="003F7842">
        <w:rPr>
          <w:rStyle w:val="FootnoteReference"/>
          <w:noProof/>
          <w:color w:val="000000" w:themeColor="text1"/>
        </w:rPr>
        <w:footnoteReference w:id="6"/>
      </w:r>
      <w:r w:rsidRPr="003F7842">
        <w:rPr>
          <w:rStyle w:val="normaltextrun"/>
          <w:noProof/>
          <w:color w:val="000000" w:themeColor="text1"/>
        </w:rPr>
        <w:t xml:space="preserve">, valoarea suspendării </w:t>
      </w:r>
      <w:r w:rsidRPr="003F7842">
        <w:rPr>
          <w:noProof/>
        </w:rPr>
        <w:t xml:space="preserve">ar putea </w:t>
      </w:r>
      <w:r w:rsidRPr="003F7842">
        <w:rPr>
          <w:rStyle w:val="normaltextrun"/>
          <w:noProof/>
          <w:color w:val="000000" w:themeColor="text1"/>
        </w:rPr>
        <w:t xml:space="preserve">fi ajustată </w:t>
      </w:r>
      <w:r w:rsidRPr="003F7842">
        <w:rPr>
          <w:noProof/>
        </w:rPr>
        <w:t xml:space="preserve">pentru </w:t>
      </w:r>
      <w:r w:rsidRPr="003F7842">
        <w:rPr>
          <w:rStyle w:val="normaltextrun"/>
          <w:noProof/>
          <w:color w:val="000000" w:themeColor="text1"/>
        </w:rPr>
        <w:t xml:space="preserve">a se ține seama de factorii atenuanți. Aplicarea factorilor atenuanți și determinarea finală a valorii ajustate a suspendării ar trebui să fie stabilite de Consiliu, în conformitate cu articolele </w:t>
      </w:r>
      <w:r w:rsidRPr="0069291E">
        <w:rPr>
          <w:rStyle w:val="normaltextrun"/>
          <w:noProof/>
          <w:color w:val="000000" w:themeColor="text1"/>
        </w:rPr>
        <w:t>19</w:t>
      </w:r>
      <w:r w:rsidRPr="003F7842">
        <w:rPr>
          <w:rStyle w:val="normaltextrun"/>
          <w:noProof/>
          <w:color w:val="000000" w:themeColor="text1"/>
        </w:rPr>
        <w:t xml:space="preserve">, </w:t>
      </w:r>
      <w:r w:rsidRPr="0069291E">
        <w:rPr>
          <w:rStyle w:val="normaltextrun"/>
          <w:noProof/>
          <w:color w:val="000000" w:themeColor="text1"/>
        </w:rPr>
        <w:t>20</w:t>
      </w:r>
      <w:r w:rsidRPr="003F7842">
        <w:rPr>
          <w:rStyle w:val="normaltextrun"/>
          <w:noProof/>
          <w:color w:val="000000" w:themeColor="text1"/>
        </w:rPr>
        <w:t xml:space="preserve"> și </w:t>
      </w:r>
      <w:r w:rsidRPr="0069291E">
        <w:rPr>
          <w:rStyle w:val="normaltextrun"/>
          <w:noProof/>
          <w:color w:val="000000" w:themeColor="text1"/>
        </w:rPr>
        <w:t>26</w:t>
      </w:r>
      <w:r w:rsidRPr="003F7842">
        <w:rPr>
          <w:rStyle w:val="normaltextrun"/>
          <w:noProof/>
          <w:color w:val="000000" w:themeColor="text1"/>
        </w:rPr>
        <w:t xml:space="preserve"> din Regulamentul (UE) </w:t>
      </w:r>
      <w:r w:rsidRPr="0069291E">
        <w:rPr>
          <w:rStyle w:val="normaltextrun"/>
          <w:noProof/>
          <w:color w:val="000000" w:themeColor="text1"/>
        </w:rPr>
        <w:t>2024</w:t>
      </w:r>
      <w:r w:rsidRPr="003F7842">
        <w:rPr>
          <w:rStyle w:val="normaltextrun"/>
          <w:noProof/>
          <w:color w:val="000000" w:themeColor="text1"/>
        </w:rPr>
        <w:t>/</w:t>
      </w:r>
      <w:r w:rsidRPr="0069291E">
        <w:rPr>
          <w:rStyle w:val="normaltextrun"/>
          <w:noProof/>
          <w:color w:val="000000" w:themeColor="text1"/>
        </w:rPr>
        <w:t>792</w:t>
      </w:r>
      <w:r w:rsidRPr="003F7842">
        <w:rPr>
          <w:rStyle w:val="normaltextrun"/>
          <w:noProof/>
          <w:color w:val="000000" w:themeColor="text1"/>
        </w:rPr>
        <w:t>.</w:t>
      </w:r>
    </w:p>
    <w:p w14:paraId="2C6450BD" w14:textId="39475B3B" w:rsidR="00C0112C" w:rsidRPr="003F7842" w:rsidRDefault="00C0112C" w:rsidP="00C0112C">
      <w:pPr>
        <w:pStyle w:val="ManualConsidrant"/>
        <w:rPr>
          <w:noProof/>
        </w:rPr>
      </w:pPr>
      <w:r>
        <w:rPr>
          <w:noProof/>
        </w:rPr>
        <w:t>(7)</w:t>
      </w:r>
      <w:r>
        <w:rPr>
          <w:noProof/>
        </w:rPr>
        <w:tab/>
      </w:r>
      <w:r w:rsidRPr="003F7842">
        <w:rPr>
          <w:noProof/>
        </w:rPr>
        <w:t>În conformitate cu articolul </w:t>
      </w:r>
      <w:r w:rsidRPr="0069291E">
        <w:rPr>
          <w:noProof/>
        </w:rPr>
        <w:t>26</w:t>
      </w:r>
      <w:r w:rsidRPr="003F7842">
        <w:rPr>
          <w:noProof/>
        </w:rPr>
        <w:t xml:space="preserve"> alineatul (</w:t>
      </w:r>
      <w:r w:rsidRPr="0069291E">
        <w:rPr>
          <w:noProof/>
        </w:rPr>
        <w:t>2</w:t>
      </w:r>
      <w:r w:rsidRPr="003F7842">
        <w:rPr>
          <w:noProof/>
        </w:rPr>
        <w:t>) din Regulamentul (UE) </w:t>
      </w:r>
      <w:r w:rsidRPr="0069291E">
        <w:rPr>
          <w:noProof/>
        </w:rPr>
        <w:t>2024</w:t>
      </w:r>
      <w:r w:rsidRPr="003F7842">
        <w:rPr>
          <w:noProof/>
        </w:rPr>
        <w:t>/</w:t>
      </w:r>
      <w:r w:rsidRPr="0069291E">
        <w:rPr>
          <w:noProof/>
        </w:rPr>
        <w:t>792</w:t>
      </w:r>
      <w:r w:rsidRPr="003F7842">
        <w:rPr>
          <w:noProof/>
        </w:rPr>
        <w:t>, la</w:t>
      </w:r>
      <w:r w:rsidR="0069291E">
        <w:rPr>
          <w:noProof/>
        </w:rPr>
        <w:t xml:space="preserve"> </w:t>
      </w:r>
      <w:r w:rsidRPr="0069291E">
        <w:rPr>
          <w:noProof/>
        </w:rPr>
        <w:t>14</w:t>
      </w:r>
      <w:r w:rsidR="0069291E">
        <w:rPr>
          <w:noProof/>
        </w:rPr>
        <w:t> </w:t>
      </w:r>
      <w:r w:rsidRPr="003F7842">
        <w:rPr>
          <w:noProof/>
        </w:rPr>
        <w:t xml:space="preserve">aprilie </w:t>
      </w:r>
      <w:r w:rsidRPr="0069291E">
        <w:rPr>
          <w:noProof/>
        </w:rPr>
        <w:t>2026</w:t>
      </w:r>
      <w:r w:rsidRPr="003F7842">
        <w:rPr>
          <w:noProof/>
        </w:rPr>
        <w:t>, Ucraina a prezentat o cerere justificată în mod corespunzător pentru plata unei părți din cea de a cincea, a șasea și a șaptea tranșă a sprijinului financiar nerambursabil și a celui sub formă de împrumut, în valoare de </w:t>
      </w:r>
      <w:r w:rsidRPr="0069291E">
        <w:rPr>
          <w:noProof/>
        </w:rPr>
        <w:t>2</w:t>
      </w:r>
      <w:r w:rsidRPr="003F7842">
        <w:rPr>
          <w:noProof/>
        </w:rPr>
        <w:t> </w:t>
      </w:r>
      <w:r w:rsidRPr="0069291E">
        <w:rPr>
          <w:noProof/>
        </w:rPr>
        <w:t>949</w:t>
      </w:r>
      <w:r w:rsidRPr="003F7842">
        <w:rPr>
          <w:noProof/>
        </w:rPr>
        <w:t> </w:t>
      </w:r>
      <w:r w:rsidRPr="0069291E">
        <w:rPr>
          <w:noProof/>
        </w:rPr>
        <w:t>367</w:t>
      </w:r>
      <w:r w:rsidRPr="003F7842">
        <w:rPr>
          <w:noProof/>
        </w:rPr>
        <w:t> </w:t>
      </w:r>
      <w:r w:rsidRPr="0069291E">
        <w:rPr>
          <w:noProof/>
        </w:rPr>
        <w:t>660</w:t>
      </w:r>
      <w:r w:rsidRPr="003F7842">
        <w:rPr>
          <w:noProof/>
        </w:rPr>
        <w:t> EUR. Cererea acoperea, de asemenea, patru etape din tranșele ulterioare. Cererea a fost însoțită de o serie de documente care atestă îndeplinirea satisfăcătoare a unei etape din cadrul celei de a cincea tranșe, a două etape din cadrul celei de a șasea tranșe, a unsprezece etape din cadrul celei de a șaptea tranșe, a două etape din cadrul celei de a opta tranșe și a două etape din cadrul celei de a noua tranșe. De asemenea, Ucraina a prezentat, toate documentele necesare în temeiul articolului </w:t>
      </w:r>
      <w:r w:rsidRPr="0069291E">
        <w:rPr>
          <w:noProof/>
        </w:rPr>
        <w:t>12</w:t>
      </w:r>
      <w:r w:rsidRPr="003F7842">
        <w:rPr>
          <w:noProof/>
        </w:rPr>
        <w:t xml:space="preserve"> din acordul-cadru, al articolului </w:t>
      </w:r>
      <w:r w:rsidRPr="0069291E">
        <w:rPr>
          <w:noProof/>
        </w:rPr>
        <w:t>5</w:t>
      </w:r>
      <w:r w:rsidRPr="003F7842">
        <w:rPr>
          <w:noProof/>
        </w:rPr>
        <w:t xml:space="preserve"> din acordul de finanțare și al articolului </w:t>
      </w:r>
      <w:r w:rsidRPr="0069291E">
        <w:rPr>
          <w:noProof/>
        </w:rPr>
        <w:t>6</w:t>
      </w:r>
      <w:r w:rsidRPr="003F7842">
        <w:rPr>
          <w:noProof/>
        </w:rPr>
        <w:t xml:space="preserve"> din acordul de împrumut încheiate între Uniune și Ucraina în temeiul articolelor </w:t>
      </w:r>
      <w:r w:rsidRPr="0069291E">
        <w:rPr>
          <w:noProof/>
        </w:rPr>
        <w:t>9</w:t>
      </w:r>
      <w:r w:rsidRPr="003F7842">
        <w:rPr>
          <w:noProof/>
        </w:rPr>
        <w:t xml:space="preserve">, </w:t>
      </w:r>
      <w:r w:rsidRPr="0069291E">
        <w:rPr>
          <w:noProof/>
        </w:rPr>
        <w:t>10</w:t>
      </w:r>
      <w:r w:rsidRPr="003F7842">
        <w:rPr>
          <w:noProof/>
        </w:rPr>
        <w:t xml:space="preserve"> și </w:t>
      </w:r>
      <w:r w:rsidRPr="0069291E">
        <w:rPr>
          <w:noProof/>
        </w:rPr>
        <w:t>22</w:t>
      </w:r>
      <w:r w:rsidRPr="003F7842">
        <w:rPr>
          <w:noProof/>
        </w:rPr>
        <w:t xml:space="preserve"> din Regulamentul (UE) </w:t>
      </w:r>
      <w:r w:rsidRPr="0069291E">
        <w:rPr>
          <w:noProof/>
        </w:rPr>
        <w:t>2024</w:t>
      </w:r>
      <w:r w:rsidRPr="003F7842">
        <w:rPr>
          <w:noProof/>
        </w:rPr>
        <w:t>/</w:t>
      </w:r>
      <w:r w:rsidRPr="0069291E">
        <w:rPr>
          <w:noProof/>
        </w:rPr>
        <w:t>792</w:t>
      </w:r>
      <w:r w:rsidRPr="003F7842">
        <w:rPr>
          <w:noProof/>
        </w:rPr>
        <w:t>.</w:t>
      </w:r>
    </w:p>
    <w:p w14:paraId="1F7A31CA" w14:textId="3606D404" w:rsidR="00C0112C" w:rsidRPr="003F7842" w:rsidRDefault="00C0112C" w:rsidP="00C0112C">
      <w:pPr>
        <w:pStyle w:val="ManualConsidrant"/>
        <w:rPr>
          <w:rFonts w:eastAsia="Times New Roman"/>
          <w:noProof/>
          <w:color w:val="000000" w:themeColor="text1"/>
          <w:sz w:val="23"/>
          <w:szCs w:val="23"/>
        </w:rPr>
      </w:pPr>
      <w:r>
        <w:rPr>
          <w:noProof/>
        </w:rPr>
        <w:t>(8)</w:t>
      </w:r>
      <w:r>
        <w:rPr>
          <w:noProof/>
        </w:rPr>
        <w:tab/>
      </w:r>
      <w:r w:rsidRPr="003F7842">
        <w:rPr>
          <w:noProof/>
        </w:rPr>
        <w:t xml:space="preserve">Etapele care stau la baza ultimei cereri a Ucrainei se referă la diverse reforme prevăzute în plan în cadrul capitolelor privind gestionarea finanțelor publice, sistemul judiciar, lupta împotriva corupției și a spălării banilor, piețele financiare, gestionarea activelor publice, capitalul uman, mediul de afaceri, sectorul energiei, transportul, sectorul agroalimentar, gestionarea materiilor prime critice, transformarea digitală și tranziția verde și protecția mediului. Au fost adoptate strategia de gestionare a datoriei </w:t>
      </w:r>
      <w:r w:rsidRPr="003F7842">
        <w:rPr>
          <w:noProof/>
        </w:rPr>
        <w:lastRenderedPageBreak/>
        <w:t xml:space="preserve">publice pe termen mediu, modificările aduse legislației relevante privind controlul financiar de stat, strategia privind ocuparea forței de muncă în rândul populației, programul economic specific de stat pentru modernizarea energetică a întreprinderilor producătoare de energie termică pentru perioada de până în </w:t>
      </w:r>
      <w:r w:rsidRPr="0069291E">
        <w:rPr>
          <w:noProof/>
        </w:rPr>
        <w:t>2030</w:t>
      </w:r>
      <w:r w:rsidRPr="003F7842">
        <w:rPr>
          <w:noProof/>
        </w:rPr>
        <w:t xml:space="preserve"> și rezoluția privind Consiliul științific și de experți privind schimbările climatice și conservarea stratului de ozon.</w:t>
      </w:r>
      <w:r w:rsidRPr="003F7842">
        <w:rPr>
          <w:noProof/>
          <w:color w:val="000000" w:themeColor="text1"/>
        </w:rPr>
        <w:t xml:space="preserve"> Au fost ocupate cel puțin </w:t>
      </w:r>
      <w:r w:rsidRPr="0069291E">
        <w:rPr>
          <w:noProof/>
          <w:color w:val="000000" w:themeColor="text1"/>
        </w:rPr>
        <w:t>20</w:t>
      </w:r>
      <w:r w:rsidRPr="003F7842">
        <w:rPr>
          <w:noProof/>
          <w:color w:val="000000" w:themeColor="text1"/>
        </w:rPr>
        <w:t xml:space="preserve"> % din posturile vacante din sistemul judiciar, au fost soluționate </w:t>
      </w:r>
      <w:r w:rsidRPr="0069291E">
        <w:rPr>
          <w:noProof/>
          <w:color w:val="000000" w:themeColor="text1"/>
        </w:rPr>
        <w:t>20</w:t>
      </w:r>
      <w:r w:rsidRPr="003F7842">
        <w:rPr>
          <w:noProof/>
          <w:color w:val="000000" w:themeColor="text1"/>
        </w:rPr>
        <w:t xml:space="preserve"> % din cauzele disciplinare vechi care nu fuseseră luate în considerare până la sfârșitul anului </w:t>
      </w:r>
      <w:r w:rsidRPr="0069291E">
        <w:rPr>
          <w:noProof/>
          <w:color w:val="000000" w:themeColor="text1"/>
        </w:rPr>
        <w:t>2023</w:t>
      </w:r>
      <w:r w:rsidRPr="003F7842">
        <w:rPr>
          <w:noProof/>
          <w:color w:val="000000" w:themeColor="text1"/>
        </w:rPr>
        <w:t xml:space="preserve"> și a fost finalizată evaluarea calificărilor (verificarea) a </w:t>
      </w:r>
      <w:r w:rsidRPr="0069291E">
        <w:rPr>
          <w:noProof/>
          <w:color w:val="000000" w:themeColor="text1"/>
        </w:rPr>
        <w:t>50</w:t>
      </w:r>
      <w:r w:rsidRPr="003F7842">
        <w:rPr>
          <w:noProof/>
          <w:color w:val="000000" w:themeColor="text1"/>
        </w:rPr>
        <w:t xml:space="preserve"> % din judecătorii care încă nu trecuseră prin acest proces la </w:t>
      </w:r>
      <w:r w:rsidRPr="0069291E">
        <w:rPr>
          <w:noProof/>
          <w:color w:val="000000" w:themeColor="text1"/>
        </w:rPr>
        <w:t>30</w:t>
      </w:r>
      <w:r w:rsidR="0069291E">
        <w:rPr>
          <w:noProof/>
          <w:color w:val="000000" w:themeColor="text1"/>
        </w:rPr>
        <w:t> </w:t>
      </w:r>
      <w:r w:rsidRPr="003F7842">
        <w:rPr>
          <w:noProof/>
          <w:color w:val="000000" w:themeColor="text1"/>
        </w:rPr>
        <w:t xml:space="preserve">septembrie </w:t>
      </w:r>
      <w:r w:rsidRPr="0069291E">
        <w:rPr>
          <w:noProof/>
          <w:color w:val="000000" w:themeColor="text1"/>
        </w:rPr>
        <w:t>2016</w:t>
      </w:r>
      <w:r w:rsidRPr="003F7842">
        <w:rPr>
          <w:noProof/>
          <w:color w:val="000000" w:themeColor="text1"/>
        </w:rPr>
        <w:t xml:space="preserve">. Au intrat în vigoare legea privind executarea hotărârilor judecătorești referitoare la obligațiile monetare și nemonetare și privind digitalizarea în continuare a procedurilor de executare, legea privind îmbunătățirea reglementării de către stat a piețelor de capital și a piețelor organizate ale mărfurilor, legislația privind principiile de bază ale politicii în domeniul locuințelor, legislația în conformitate cu planul de acțiune privind dereglementarea în sectoare specifice, legea privind transpunerea pachetului de integrare a energiei electrice și actul juridic privind funcționarea sistemului integrat de identificare electronică. A devenit operațional un sistem de colectare a datelor privind executarea hotărârilor judecătorești. Au fost publicate evaluarea rezilienței sistemului bancar, raportul privind punerea în aplicare a sprijinului de stat prin intermediul Registrului agricol de stat și un studiu referitor la legislația privind raportarea în domeniul mediului, social și al guvernanței. </w:t>
      </w:r>
    </w:p>
    <w:p w14:paraId="2DD4CA2B" w14:textId="77777777" w:rsidR="00C0112C" w:rsidRPr="003F7842" w:rsidRDefault="00C0112C" w:rsidP="00C0112C">
      <w:pPr>
        <w:pStyle w:val="ManualConsidrant"/>
        <w:rPr>
          <w:noProof/>
        </w:rPr>
      </w:pPr>
      <w:r>
        <w:rPr>
          <w:noProof/>
        </w:rPr>
        <w:t>(9)</w:t>
      </w:r>
      <w:r>
        <w:rPr>
          <w:noProof/>
        </w:rPr>
        <w:tab/>
      </w:r>
      <w:r w:rsidRPr="003F7842">
        <w:rPr>
          <w:noProof/>
        </w:rPr>
        <w:t xml:space="preserve">În conformitate cu articolul </w:t>
      </w:r>
      <w:r w:rsidRPr="0069291E">
        <w:rPr>
          <w:noProof/>
        </w:rPr>
        <w:t>26</w:t>
      </w:r>
      <w:r w:rsidRPr="003F7842">
        <w:rPr>
          <w:noProof/>
        </w:rPr>
        <w:t xml:space="preserve"> alineatul (</w:t>
      </w:r>
      <w:r w:rsidRPr="0069291E">
        <w:rPr>
          <w:noProof/>
        </w:rPr>
        <w:t>3</w:t>
      </w:r>
      <w:r w:rsidRPr="003F7842">
        <w:rPr>
          <w:noProof/>
        </w:rPr>
        <w:t xml:space="preserve">) din Regulamentul (UE) </w:t>
      </w:r>
      <w:r w:rsidRPr="0069291E">
        <w:rPr>
          <w:noProof/>
        </w:rPr>
        <w:t>2024</w:t>
      </w:r>
      <w:r w:rsidRPr="003F7842">
        <w:rPr>
          <w:noProof/>
        </w:rPr>
        <w:t>/</w:t>
      </w:r>
      <w:r w:rsidRPr="0069291E">
        <w:rPr>
          <w:noProof/>
        </w:rPr>
        <w:t>792</w:t>
      </w:r>
      <w:r w:rsidRPr="003F7842">
        <w:rPr>
          <w:noProof/>
        </w:rPr>
        <w:t xml:space="preserve">, Comisia a analizat în detaliu cererea Ucrainei și a efectuat o evaluare pozitivă a îndeplinirii în mod satisfăcător a uneia dintre cele două etape restante necesare pentru cea de a cincea tranșă, a celor două etape restante necesare pentru a șasea tranșă și a unsprezece din cele douăzeci de etape necesare pentru cea de a șaptea tranșă, astfel cum se descrie în detaliu în anexa la prezenta decizie. </w:t>
      </w:r>
      <w:r w:rsidRPr="003F7842">
        <w:rPr>
          <w:noProof/>
          <w:color w:val="000000" w:themeColor="text1"/>
        </w:rPr>
        <w:t>Evaluarea a fost realizată în contextul punerii în aplicare a planului. Continuarea alinierii la acquis-ul Uniunii va fi facilitată prin procesul de aderare la UE.</w:t>
      </w:r>
      <w:r w:rsidRPr="003F7842">
        <w:rPr>
          <w:noProof/>
        </w:rPr>
        <w:t xml:space="preserve"> În plus, Comisia a evaluat pozitiv îndeplinirea satisfăcătoare a două etape în cadrul celei de a opta tranșe și a două etape în cadrul celei de a noua tranșe și a inclus evaluarea sa cu privire la etapele respective în anexa la prezenta decizie. Pentru moment, această evaluare este efectuată exclusiv în vederea aplicării metodologiei de plată parțială și nu aduce atingere evaluării celei de a opta și, respectiv, a celei de a noua tranșe. Pe baza acestei evaluări și în concordanță cu metodologia de gestionare a îndeplinirii parțiale a etapelor </w:t>
      </w:r>
      <w:r w:rsidRPr="003F7842">
        <w:rPr>
          <w:rStyle w:val="normaltextrun"/>
          <w:noProof/>
          <w:color w:val="000000" w:themeColor="text1"/>
        </w:rPr>
        <w:t>Planului pentru Ucraina</w:t>
      </w:r>
      <w:r w:rsidRPr="003F7842">
        <w:rPr>
          <w:rStyle w:val="FootnoteReference"/>
          <w:noProof/>
          <w:color w:val="000000" w:themeColor="text1"/>
        </w:rPr>
        <w:footnoteReference w:id="7"/>
      </w:r>
      <w:r w:rsidRPr="003F7842">
        <w:rPr>
          <w:noProof/>
        </w:rPr>
        <w:t xml:space="preserve">, </w:t>
      </w:r>
      <w:r w:rsidRPr="003F7842">
        <w:rPr>
          <w:rStyle w:val="normaltextrun"/>
          <w:noProof/>
          <w:color w:val="000000" w:themeColor="text1"/>
        </w:rPr>
        <w:t>Comisia propune ajustarea, în sens descrescător, a valorii suspendării legate de etapele neîndeplinite din cadrul celei de a șaptea tranșe, asigurând totodată menținerea unor stimulente suficiente pentru punerea în aplicare a etapelor care nu au fost îndeplinite.</w:t>
      </w:r>
      <w:r w:rsidRPr="003F7842">
        <w:rPr>
          <w:noProof/>
          <w:color w:val="000000" w:themeColor="text1"/>
        </w:rPr>
        <w:t xml:space="preserve"> </w:t>
      </w:r>
    </w:p>
    <w:p w14:paraId="575CA328" w14:textId="77777777" w:rsidR="00C0112C" w:rsidRPr="003F7842" w:rsidRDefault="00C0112C" w:rsidP="00C0112C">
      <w:pPr>
        <w:pStyle w:val="ManualConsidrant"/>
        <w:rPr>
          <w:noProof/>
        </w:rPr>
      </w:pPr>
      <w:r>
        <w:rPr>
          <w:noProof/>
        </w:rPr>
        <w:t>(10)</w:t>
      </w:r>
      <w:r>
        <w:rPr>
          <w:noProof/>
        </w:rPr>
        <w:tab/>
      </w:r>
      <w:r w:rsidRPr="003F7842">
        <w:rPr>
          <w:noProof/>
        </w:rPr>
        <w:t>În cererea sa de plată, Ucraina a confirmat că nu a anulat nicio măsură legată de etapele pe care aceasta le îndeplinise anterior în mod satisfăcător.</w:t>
      </w:r>
    </w:p>
    <w:p w14:paraId="17EC1B53" w14:textId="77777777" w:rsidR="00C0112C" w:rsidRPr="003F7842" w:rsidRDefault="00C0112C" w:rsidP="00C0112C">
      <w:pPr>
        <w:pStyle w:val="ManualConsidrant"/>
        <w:rPr>
          <w:noProof/>
        </w:rPr>
      </w:pPr>
      <w:r>
        <w:rPr>
          <w:noProof/>
        </w:rPr>
        <w:t>(11)</w:t>
      </w:r>
      <w:r>
        <w:rPr>
          <w:noProof/>
        </w:rPr>
        <w:tab/>
      </w:r>
      <w:r w:rsidRPr="003F7842">
        <w:rPr>
          <w:noProof/>
        </w:rPr>
        <w:t>De asemenea, Comisia a considerat că Ucraina îndeplinește în continuare condiția prealabilă pentru acordarea sprijinului din partea Uniunii, prevăzută la articolul </w:t>
      </w:r>
      <w:r w:rsidRPr="0069291E">
        <w:rPr>
          <w:noProof/>
        </w:rPr>
        <w:t>5</w:t>
      </w:r>
      <w:r w:rsidRPr="003F7842">
        <w:rPr>
          <w:noProof/>
        </w:rPr>
        <w:t xml:space="preserve"> din Regulamentul (UE) </w:t>
      </w:r>
      <w:r w:rsidRPr="0069291E">
        <w:rPr>
          <w:noProof/>
        </w:rPr>
        <w:t>2024</w:t>
      </w:r>
      <w:r w:rsidRPr="003F7842">
        <w:rPr>
          <w:noProof/>
        </w:rPr>
        <w:t>/</w:t>
      </w:r>
      <w:r w:rsidRPr="0069291E">
        <w:rPr>
          <w:noProof/>
        </w:rPr>
        <w:t>792</w:t>
      </w:r>
      <w:r w:rsidRPr="003F7842">
        <w:rPr>
          <w:noProof/>
        </w:rPr>
        <w:t xml:space="preserve">. În special, Ucraina continuă să susțină și să respecte mecanisme democratice eficace, inclusiv un sistem parlamentar pluripartit și statul de </w:t>
      </w:r>
      <w:r w:rsidRPr="003F7842">
        <w:rPr>
          <w:noProof/>
        </w:rPr>
        <w:lastRenderedPageBreak/>
        <w:t>drept, precum și să garanteze respectarea drepturilor omului, inclusiv a drepturilor persoanelor care aparțin minorităților.</w:t>
      </w:r>
    </w:p>
    <w:p w14:paraId="57E0FC98" w14:textId="77777777" w:rsidR="00C0112C" w:rsidRPr="003F7842" w:rsidRDefault="00C0112C" w:rsidP="00C0112C">
      <w:pPr>
        <w:pStyle w:val="ManualConsidrant"/>
        <w:rPr>
          <w:noProof/>
        </w:rPr>
      </w:pPr>
      <w:r>
        <w:rPr>
          <w:noProof/>
        </w:rPr>
        <w:t>(12)</w:t>
      </w:r>
      <w:r>
        <w:rPr>
          <w:noProof/>
        </w:rPr>
        <w:tab/>
      </w:r>
      <w:r w:rsidRPr="003F7842">
        <w:rPr>
          <w:noProof/>
        </w:rPr>
        <w:t>Prin urmare, prezenta decizie ar trebui să constate faptul că au fost îndeplinite în mod satisfăcător condițiile relevante pentru plata celei de a cincea tranșe din cadrul planului cu privire la una dintre cele două etape restante și a celei de a șasea tranșe din cadrul planului cu privire la una dintre cele două etape restante și a celei de a șaptea tranșe din cadrul planului cu privire la unsprezece din cele douăzeci de etape.</w:t>
      </w:r>
    </w:p>
    <w:p w14:paraId="6D472AF5" w14:textId="77777777" w:rsidR="00C0112C" w:rsidRPr="003F7842" w:rsidRDefault="00C0112C" w:rsidP="00C0112C">
      <w:pPr>
        <w:pStyle w:val="ManualConsidrant"/>
        <w:rPr>
          <w:noProof/>
        </w:rPr>
      </w:pPr>
      <w:r>
        <w:rPr>
          <w:noProof/>
        </w:rPr>
        <w:t>(13)</w:t>
      </w:r>
      <w:r>
        <w:rPr>
          <w:noProof/>
        </w:rPr>
        <w:tab/>
      </w:r>
      <w:r w:rsidRPr="003F7842">
        <w:rPr>
          <w:noProof/>
        </w:rPr>
        <w:t>Prin urmare, este necesar ca Decizia de punere în aplicare (UE) </w:t>
      </w:r>
      <w:r w:rsidRPr="0069291E">
        <w:rPr>
          <w:noProof/>
        </w:rPr>
        <w:t>2024</w:t>
      </w:r>
      <w:r w:rsidRPr="003F7842">
        <w:rPr>
          <w:noProof/>
        </w:rPr>
        <w:t>/</w:t>
      </w:r>
      <w:r w:rsidRPr="0069291E">
        <w:rPr>
          <w:noProof/>
        </w:rPr>
        <w:t>1447</w:t>
      </w:r>
      <w:r w:rsidRPr="003F7842">
        <w:rPr>
          <w:noProof/>
        </w:rPr>
        <w:t xml:space="preserve"> să fie modificată în consecință.</w:t>
      </w:r>
    </w:p>
    <w:p w14:paraId="5E47EDBE" w14:textId="77777777" w:rsidR="00C0112C" w:rsidRPr="003F7842" w:rsidRDefault="00C0112C" w:rsidP="00C0112C">
      <w:pPr>
        <w:pStyle w:val="ManualConsidrant"/>
        <w:rPr>
          <w:noProof/>
        </w:rPr>
      </w:pPr>
      <w:r>
        <w:rPr>
          <w:noProof/>
        </w:rPr>
        <w:t>(14)</w:t>
      </w:r>
      <w:r>
        <w:rPr>
          <w:noProof/>
        </w:rPr>
        <w:tab/>
      </w:r>
      <w:r w:rsidRPr="003F7842">
        <w:rPr>
          <w:noProof/>
        </w:rPr>
        <w:t xml:space="preserve">Având în vedere nevoile financiare urgente ale Ucrainei, este extrem de important ca fondurile să fie vărsate cât mai curând posibil. Dat fiind caracterul urgent al situației și pentru a accelera procesul, prezenta decizie ar trebui să intre în vigoare la data publicării în </w:t>
      </w:r>
      <w:r w:rsidRPr="0069291E">
        <w:rPr>
          <w:i/>
          <w:iCs/>
          <w:noProof/>
        </w:rPr>
        <w:t>Jurnalul Oficial al Uniunii Europene</w:t>
      </w:r>
      <w:r w:rsidRPr="003F7842">
        <w:rPr>
          <w:noProof/>
        </w:rPr>
        <w:t xml:space="preserve"> și ar trebui să se aplice de la data adoptării sale,</w:t>
      </w:r>
    </w:p>
    <w:p w14:paraId="08786BDE" w14:textId="77777777" w:rsidR="00C0112C" w:rsidRPr="003F7842" w:rsidRDefault="00C0112C" w:rsidP="00C0112C">
      <w:pPr>
        <w:pStyle w:val="Formuledadoption"/>
        <w:rPr>
          <w:noProof/>
        </w:rPr>
      </w:pPr>
      <w:r w:rsidRPr="003F7842">
        <w:rPr>
          <w:noProof/>
        </w:rPr>
        <w:t xml:space="preserve">ADOPTĂ PREZENTA DECIZIE: </w:t>
      </w:r>
    </w:p>
    <w:p w14:paraId="0ECECEF6" w14:textId="77777777" w:rsidR="00C0112C" w:rsidRPr="0069291E" w:rsidRDefault="00C0112C" w:rsidP="00C0112C">
      <w:pPr>
        <w:pStyle w:val="Titrearticle"/>
        <w:rPr>
          <w:noProof/>
        </w:rPr>
      </w:pPr>
      <w:r w:rsidRPr="0069291E">
        <w:rPr>
          <w:noProof/>
        </w:rPr>
        <w:t>Articolul 1</w:t>
      </w:r>
    </w:p>
    <w:p w14:paraId="2EE66665" w14:textId="77777777" w:rsidR="00C0112C" w:rsidRPr="0069291E" w:rsidRDefault="00C0112C" w:rsidP="00C0112C">
      <w:pPr>
        <w:jc w:val="center"/>
        <w:rPr>
          <w:b/>
          <w:bCs/>
          <w:noProof/>
        </w:rPr>
      </w:pPr>
      <w:r w:rsidRPr="0069291E">
        <w:rPr>
          <w:b/>
          <w:noProof/>
        </w:rPr>
        <w:t>Constatarea îndeplinirii satisfăcătoare a condițiilor pentru plată</w:t>
      </w:r>
    </w:p>
    <w:p w14:paraId="57F2FEEA" w14:textId="77777777" w:rsidR="00C0112C" w:rsidRPr="003F7842" w:rsidRDefault="00C0112C" w:rsidP="001A46B9">
      <w:pPr>
        <w:pStyle w:val="Point0"/>
        <w:rPr>
          <w:noProof/>
        </w:rPr>
      </w:pPr>
      <w:r>
        <w:rPr>
          <w:noProof/>
        </w:rPr>
        <w:t>(1)</w:t>
      </w:r>
      <w:r>
        <w:rPr>
          <w:noProof/>
        </w:rPr>
        <w:tab/>
      </w:r>
      <w:r w:rsidRPr="003F7842">
        <w:rPr>
          <w:noProof/>
        </w:rPr>
        <w:t xml:space="preserve">Se constată îndeplinirea în mod satisfăcător a condițiilor relevante pentru plata parțială a celei de a cincea, a șasea și a șaptea tranșe a sprijinului financiar nerambursabil și a sprijinului sub formă de împrumut în cuantum total de </w:t>
      </w:r>
      <w:r w:rsidRPr="0069291E">
        <w:rPr>
          <w:noProof/>
        </w:rPr>
        <w:t>2</w:t>
      </w:r>
      <w:r w:rsidRPr="003F7842">
        <w:rPr>
          <w:noProof/>
        </w:rPr>
        <w:t> </w:t>
      </w:r>
      <w:r w:rsidRPr="0069291E">
        <w:rPr>
          <w:noProof/>
        </w:rPr>
        <w:t>949</w:t>
      </w:r>
      <w:r w:rsidRPr="003F7842">
        <w:rPr>
          <w:noProof/>
        </w:rPr>
        <w:t> </w:t>
      </w:r>
      <w:r w:rsidRPr="0069291E">
        <w:rPr>
          <w:noProof/>
        </w:rPr>
        <w:t>367</w:t>
      </w:r>
      <w:r w:rsidRPr="003F7842">
        <w:rPr>
          <w:noProof/>
        </w:rPr>
        <w:t> </w:t>
      </w:r>
      <w:r w:rsidRPr="0069291E">
        <w:rPr>
          <w:noProof/>
        </w:rPr>
        <w:t>660</w:t>
      </w:r>
      <w:r w:rsidRPr="003F7842">
        <w:rPr>
          <w:noProof/>
        </w:rPr>
        <w:t xml:space="preserve"> EUR, înainte de verificarea prefinanțării, din care </w:t>
      </w:r>
      <w:r w:rsidRPr="0069291E">
        <w:rPr>
          <w:noProof/>
        </w:rPr>
        <w:t>386</w:t>
      </w:r>
      <w:r w:rsidRPr="003F7842">
        <w:rPr>
          <w:noProof/>
        </w:rPr>
        <w:t xml:space="preserve"> </w:t>
      </w:r>
      <w:r w:rsidRPr="0069291E">
        <w:rPr>
          <w:noProof/>
        </w:rPr>
        <w:t>258</w:t>
      </w:r>
      <w:r w:rsidRPr="003F7842">
        <w:rPr>
          <w:noProof/>
        </w:rPr>
        <w:t xml:space="preserve"> </w:t>
      </w:r>
      <w:r w:rsidRPr="0069291E">
        <w:rPr>
          <w:noProof/>
        </w:rPr>
        <w:t>902</w:t>
      </w:r>
      <w:r w:rsidRPr="003F7842">
        <w:rPr>
          <w:noProof/>
        </w:rPr>
        <w:t xml:space="preserve"> EUR corespund celei de a cincea tranșe, </w:t>
      </w:r>
      <w:r w:rsidRPr="0069291E">
        <w:rPr>
          <w:noProof/>
        </w:rPr>
        <w:t>796</w:t>
      </w:r>
      <w:r w:rsidRPr="003F7842">
        <w:rPr>
          <w:noProof/>
        </w:rPr>
        <w:t xml:space="preserve"> </w:t>
      </w:r>
      <w:r w:rsidRPr="0069291E">
        <w:rPr>
          <w:noProof/>
        </w:rPr>
        <w:t>658</w:t>
      </w:r>
      <w:r w:rsidRPr="003F7842">
        <w:rPr>
          <w:noProof/>
        </w:rPr>
        <w:t xml:space="preserve"> </w:t>
      </w:r>
      <w:r w:rsidRPr="0069291E">
        <w:rPr>
          <w:noProof/>
        </w:rPr>
        <w:t>985</w:t>
      </w:r>
      <w:r w:rsidRPr="003F7842">
        <w:rPr>
          <w:noProof/>
        </w:rPr>
        <w:t xml:space="preserve"> EUR corespund celei de a șasea tranșe, iar </w:t>
      </w:r>
      <w:r w:rsidRPr="0069291E">
        <w:rPr>
          <w:noProof/>
        </w:rPr>
        <w:t>1</w:t>
      </w:r>
      <w:r w:rsidRPr="003F7842">
        <w:rPr>
          <w:noProof/>
        </w:rPr>
        <w:t xml:space="preserve"> </w:t>
      </w:r>
      <w:r w:rsidRPr="0069291E">
        <w:rPr>
          <w:noProof/>
        </w:rPr>
        <w:t>766</w:t>
      </w:r>
      <w:r w:rsidRPr="003F7842">
        <w:rPr>
          <w:noProof/>
        </w:rPr>
        <w:t xml:space="preserve"> </w:t>
      </w:r>
      <w:r w:rsidRPr="0069291E">
        <w:rPr>
          <w:noProof/>
        </w:rPr>
        <w:t>449</w:t>
      </w:r>
      <w:r w:rsidRPr="003F7842">
        <w:rPr>
          <w:noProof/>
        </w:rPr>
        <w:t xml:space="preserve"> </w:t>
      </w:r>
      <w:r w:rsidRPr="0069291E">
        <w:rPr>
          <w:noProof/>
        </w:rPr>
        <w:t>773</w:t>
      </w:r>
      <w:r w:rsidRPr="003F7842">
        <w:rPr>
          <w:noProof/>
        </w:rPr>
        <w:t>EUR celei de a șaptea tranșe, în concordanță cu evaluarea furnizată de Comisie în conformitate cu articolul </w:t>
      </w:r>
      <w:r w:rsidRPr="0069291E">
        <w:rPr>
          <w:noProof/>
        </w:rPr>
        <w:t>26</w:t>
      </w:r>
      <w:r w:rsidRPr="003F7842">
        <w:rPr>
          <w:noProof/>
        </w:rPr>
        <w:t xml:space="preserve"> din Regulamentul (UE) </w:t>
      </w:r>
      <w:r w:rsidRPr="0069291E">
        <w:rPr>
          <w:noProof/>
        </w:rPr>
        <w:t>2024</w:t>
      </w:r>
      <w:r w:rsidRPr="003F7842">
        <w:rPr>
          <w:noProof/>
        </w:rPr>
        <w:t>/</w:t>
      </w:r>
      <w:r w:rsidRPr="0069291E">
        <w:rPr>
          <w:noProof/>
        </w:rPr>
        <w:t>792</w:t>
      </w:r>
      <w:r w:rsidRPr="003F7842">
        <w:rPr>
          <w:noProof/>
        </w:rPr>
        <w:t xml:space="preserve"> și anexată la prezenta decizie.</w:t>
      </w:r>
    </w:p>
    <w:p w14:paraId="202A4920" w14:textId="77777777" w:rsidR="00C0112C" w:rsidRPr="003F7842" w:rsidRDefault="00C0112C" w:rsidP="001A46B9">
      <w:pPr>
        <w:pStyle w:val="Point0"/>
        <w:rPr>
          <w:noProof/>
        </w:rPr>
      </w:pPr>
      <w:r>
        <w:rPr>
          <w:noProof/>
        </w:rPr>
        <w:t>(2)</w:t>
      </w:r>
      <w:r>
        <w:rPr>
          <w:noProof/>
        </w:rPr>
        <w:tab/>
      </w:r>
      <w:r w:rsidRPr="003F7842">
        <w:rPr>
          <w:noProof/>
        </w:rPr>
        <w:t xml:space="preserve">Aplicarea factorului atenuant este stabilită ținând seama de importanța etapelor care nu au fost îndeplinite și de motivele neîndeplinirii acestora, precum și de importanța etapelor cantitative și calitative care au fost îndeplinite din timp. Aplicarea factorului atenuant conduce la o reducere a valorii suspendării corespunzătoare </w:t>
      </w:r>
      <w:r w:rsidRPr="003F7842">
        <w:rPr>
          <w:rStyle w:val="normaltextrun"/>
          <w:noProof/>
          <w:color w:val="000000" w:themeColor="text1"/>
        </w:rPr>
        <w:t xml:space="preserve">etapelor neîndeplinite din cadrul celei de a șaptea tranșe, cu suma de </w:t>
      </w:r>
      <w:r w:rsidRPr="0069291E">
        <w:rPr>
          <w:noProof/>
          <w:color w:val="000000" w:themeColor="text1"/>
        </w:rPr>
        <w:t>392</w:t>
      </w:r>
      <w:r w:rsidRPr="003F7842">
        <w:rPr>
          <w:noProof/>
          <w:color w:val="000000" w:themeColor="text1"/>
        </w:rPr>
        <w:t> </w:t>
      </w:r>
      <w:r w:rsidRPr="0069291E">
        <w:rPr>
          <w:noProof/>
          <w:color w:val="000000" w:themeColor="text1"/>
        </w:rPr>
        <w:t>544</w:t>
      </w:r>
      <w:r w:rsidRPr="003F7842">
        <w:rPr>
          <w:noProof/>
          <w:color w:val="000000" w:themeColor="text1"/>
        </w:rPr>
        <w:t> </w:t>
      </w:r>
      <w:r w:rsidRPr="0069291E">
        <w:rPr>
          <w:noProof/>
          <w:color w:val="000000" w:themeColor="text1"/>
        </w:rPr>
        <w:t>392</w:t>
      </w:r>
      <w:r w:rsidRPr="003F7842">
        <w:rPr>
          <w:noProof/>
          <w:color w:val="000000" w:themeColor="text1"/>
        </w:rPr>
        <w:t> EUR</w:t>
      </w:r>
      <w:r w:rsidRPr="003F7842">
        <w:rPr>
          <w:rStyle w:val="normaltextrun"/>
          <w:noProof/>
          <w:color w:val="000000" w:themeColor="text1"/>
        </w:rPr>
        <w:t>.</w:t>
      </w:r>
    </w:p>
    <w:p w14:paraId="11441C9B" w14:textId="77777777" w:rsidR="00C0112C" w:rsidRPr="003F7842" w:rsidRDefault="00C0112C" w:rsidP="00C0112C">
      <w:pPr>
        <w:pStyle w:val="ListParagraph"/>
        <w:rPr>
          <w:noProof/>
        </w:rPr>
      </w:pPr>
    </w:p>
    <w:p w14:paraId="7D0A20D3" w14:textId="77777777" w:rsidR="00C0112C" w:rsidRPr="0069291E" w:rsidRDefault="00C0112C" w:rsidP="00C0112C">
      <w:pPr>
        <w:pStyle w:val="Titrearticle"/>
        <w:rPr>
          <w:noProof/>
        </w:rPr>
      </w:pPr>
      <w:r w:rsidRPr="0069291E">
        <w:rPr>
          <w:noProof/>
        </w:rPr>
        <w:t>Articolul 2</w:t>
      </w:r>
    </w:p>
    <w:p w14:paraId="089A398A" w14:textId="77777777" w:rsidR="00C0112C" w:rsidRPr="0069291E" w:rsidRDefault="00C0112C" w:rsidP="00C0112C">
      <w:pPr>
        <w:jc w:val="center"/>
        <w:rPr>
          <w:b/>
          <w:bCs/>
          <w:noProof/>
        </w:rPr>
      </w:pPr>
      <w:r w:rsidRPr="0069291E">
        <w:rPr>
          <w:b/>
          <w:noProof/>
        </w:rPr>
        <w:t>Modificări ale Deciziei de punere în aplicare (UE) 2024/1447</w:t>
      </w:r>
    </w:p>
    <w:p w14:paraId="1F9E126A" w14:textId="77777777" w:rsidR="00C0112C" w:rsidRPr="003F7842" w:rsidRDefault="00C0112C" w:rsidP="00C0112C">
      <w:pPr>
        <w:rPr>
          <w:noProof/>
        </w:rPr>
      </w:pPr>
      <w:r w:rsidRPr="003F7842">
        <w:rPr>
          <w:noProof/>
        </w:rPr>
        <w:t xml:space="preserve">Decizia de punere în aplicare (UE) </w:t>
      </w:r>
      <w:r w:rsidRPr="0069291E">
        <w:rPr>
          <w:noProof/>
        </w:rPr>
        <w:t>2024</w:t>
      </w:r>
      <w:r w:rsidRPr="003F7842">
        <w:rPr>
          <w:noProof/>
        </w:rPr>
        <w:t>/</w:t>
      </w:r>
      <w:r w:rsidRPr="0069291E">
        <w:rPr>
          <w:noProof/>
        </w:rPr>
        <w:t>1447</w:t>
      </w:r>
      <w:r w:rsidRPr="003F7842">
        <w:rPr>
          <w:noProof/>
        </w:rPr>
        <w:t xml:space="preserve"> se modifică după cum urmează:</w:t>
      </w:r>
    </w:p>
    <w:p w14:paraId="0E353797" w14:textId="77777777" w:rsidR="00C0112C" w:rsidRPr="003F7842" w:rsidRDefault="00C0112C" w:rsidP="001A46B9">
      <w:pPr>
        <w:pStyle w:val="Point0"/>
        <w:rPr>
          <w:noProof/>
        </w:rPr>
      </w:pPr>
      <w:r>
        <w:rPr>
          <w:noProof/>
        </w:rPr>
        <w:t>(1)</w:t>
      </w:r>
      <w:r>
        <w:rPr>
          <w:noProof/>
        </w:rPr>
        <w:tab/>
      </w:r>
      <w:r w:rsidRPr="003F7842">
        <w:rPr>
          <w:noProof/>
        </w:rPr>
        <w:t xml:space="preserve">la articolul </w:t>
      </w:r>
      <w:r w:rsidRPr="0069291E">
        <w:rPr>
          <w:noProof/>
        </w:rPr>
        <w:t>2</w:t>
      </w:r>
      <w:r w:rsidRPr="003F7842">
        <w:rPr>
          <w:noProof/>
        </w:rPr>
        <w:t xml:space="preserve"> se adaugă următorul alineat:</w:t>
      </w:r>
    </w:p>
    <w:p w14:paraId="2AA24F7C" w14:textId="77777777" w:rsidR="00C0112C" w:rsidRPr="003F7842" w:rsidRDefault="00C0112C" w:rsidP="00C0112C">
      <w:pPr>
        <w:pStyle w:val="ListParagraph"/>
        <w:rPr>
          <w:noProof/>
        </w:rPr>
      </w:pPr>
    </w:p>
    <w:p w14:paraId="2FD0014B" w14:textId="77777777" w:rsidR="00C0112C" w:rsidRPr="003F7842" w:rsidRDefault="00C0112C" w:rsidP="00C0112C">
      <w:pPr>
        <w:pStyle w:val="ListParagraph"/>
        <w:rPr>
          <w:noProof/>
        </w:rPr>
      </w:pPr>
      <w:r w:rsidRPr="003F7842">
        <w:rPr>
          <w:noProof/>
        </w:rPr>
        <w:t>„(</w:t>
      </w:r>
      <w:r w:rsidRPr="0069291E">
        <w:rPr>
          <w:noProof/>
        </w:rPr>
        <w:t>6</w:t>
      </w:r>
      <w:r w:rsidRPr="003F7842">
        <w:rPr>
          <w:noProof/>
        </w:rPr>
        <w:t xml:space="preserve">) În cazul în care Ucraina nu a îndeplinit în mod satisfăcător una sau mai multe etape calitative și cantitative necesare în cadrul unei anumite tranșe, astfel cum sunt identificate în anexă, dar a îndeplinit deja în mod satisfăcător una sau mai multe etape calitative și cantitative necesare în cadrul unei tranșe ulterioare sau poate demonstra că o etapă cantitativă a fost parțial îndeplinită, Consiliul, la propunerea Comisiei, poate lua în considerare o astfel de îndeplinire anticipată sau parțială ca factor pentru stabilirea cuantumului plății parțiale către Ucraina în cadrul primei tranșe. Se ține </w:t>
      </w:r>
      <w:r w:rsidRPr="003F7842">
        <w:rPr>
          <w:noProof/>
        </w:rPr>
        <w:lastRenderedPageBreak/>
        <w:t>seama de importanța etapelor calitative și cantitative care nu au fost îndeplinite și de motivele neîndeplinirii acestora, precum și de importanța etapelor cantitative și calitative care au fost îndeplinite din timp.”;</w:t>
      </w:r>
    </w:p>
    <w:p w14:paraId="59CE6B64" w14:textId="77777777" w:rsidR="00C0112C" w:rsidRPr="003F7842" w:rsidRDefault="00C0112C" w:rsidP="00C0112C">
      <w:pPr>
        <w:pStyle w:val="ListParagraph"/>
        <w:rPr>
          <w:noProof/>
        </w:rPr>
      </w:pPr>
    </w:p>
    <w:p w14:paraId="5EFAD0AA" w14:textId="77777777" w:rsidR="00C0112C" w:rsidRPr="003F7842" w:rsidRDefault="00C0112C" w:rsidP="00C0112C">
      <w:pPr>
        <w:pStyle w:val="Point0"/>
        <w:rPr>
          <w:noProof/>
        </w:rPr>
      </w:pPr>
      <w:r>
        <w:rPr>
          <w:noProof/>
        </w:rPr>
        <w:t>(2)</w:t>
      </w:r>
      <w:r>
        <w:rPr>
          <w:noProof/>
        </w:rPr>
        <w:tab/>
      </w:r>
      <w:r w:rsidRPr="003F7842">
        <w:rPr>
          <w:noProof/>
        </w:rPr>
        <w:t xml:space="preserve">la articolul </w:t>
      </w:r>
      <w:r w:rsidRPr="0069291E">
        <w:rPr>
          <w:noProof/>
        </w:rPr>
        <w:t>3</w:t>
      </w:r>
      <w:r w:rsidRPr="003F7842">
        <w:rPr>
          <w:noProof/>
        </w:rPr>
        <w:t xml:space="preserve"> se adaugă următorul alineat:</w:t>
      </w:r>
    </w:p>
    <w:p w14:paraId="5723F4D4" w14:textId="77777777" w:rsidR="00C0112C" w:rsidRPr="003F7842" w:rsidRDefault="00C0112C" w:rsidP="00C0112C">
      <w:pPr>
        <w:pStyle w:val="ListParagraph"/>
        <w:rPr>
          <w:noProof/>
        </w:rPr>
      </w:pPr>
    </w:p>
    <w:p w14:paraId="19745883" w14:textId="77777777" w:rsidR="00C0112C" w:rsidRPr="003F7842" w:rsidRDefault="00C0112C" w:rsidP="00C0112C">
      <w:pPr>
        <w:pStyle w:val="ListParagraph"/>
        <w:rPr>
          <w:noProof/>
        </w:rPr>
      </w:pPr>
      <w:r w:rsidRPr="003F7842">
        <w:rPr>
          <w:noProof/>
        </w:rPr>
        <w:t>„(</w:t>
      </w:r>
      <w:r w:rsidRPr="0069291E">
        <w:rPr>
          <w:noProof/>
        </w:rPr>
        <w:t>5</w:t>
      </w:r>
      <w:r w:rsidRPr="003F7842">
        <w:rPr>
          <w:noProof/>
        </w:rPr>
        <w:t>) În cazul în care Ucraina nu a îndeplinit în mod satisfăcător una sau mai multe etape calitative și cantitative necesare în cadrul unei anumite tranșe, astfel cum sunt identificate în anexă, dar a îndeplinit deja în mod satisfăcător una sau mai multe etape calitative și cantitative necesare în cadrul unei tranșe ulterioare sau poate demonstra că o etapă cantitativă a fost parțial îndeplinită, Consiliul, la propunerea Comisiei, poate lua în considerare o astfel de îndeplinire anticipată sau parțială ca factor pentru stabilirea cuantumului plății parțiale către Ucraina în cadrul primei tranșe. Se ține seama de importanța etapelor calitative și cantitative care nu au fost îndeplinite și de motivele neîndeplinirii acestora, precum și de importanța etapelor cantitative și calitative care au fost îndeplinite din timp.”;</w:t>
      </w:r>
    </w:p>
    <w:p w14:paraId="1F7457DC" w14:textId="77777777" w:rsidR="00C0112C" w:rsidRPr="003F7842" w:rsidRDefault="00C0112C" w:rsidP="00C0112C">
      <w:pPr>
        <w:rPr>
          <w:noProof/>
        </w:rPr>
      </w:pPr>
    </w:p>
    <w:p w14:paraId="4D5B4439" w14:textId="77777777" w:rsidR="00C0112C" w:rsidRPr="0069291E" w:rsidRDefault="00C0112C" w:rsidP="00C0112C">
      <w:pPr>
        <w:pStyle w:val="Titrearticle"/>
        <w:rPr>
          <w:noProof/>
        </w:rPr>
      </w:pPr>
      <w:r w:rsidRPr="0069291E">
        <w:rPr>
          <w:noProof/>
        </w:rPr>
        <w:t>Articolul 3</w:t>
      </w:r>
    </w:p>
    <w:p w14:paraId="41552C7A" w14:textId="77777777" w:rsidR="00C0112C" w:rsidRPr="0069291E" w:rsidRDefault="00C0112C" w:rsidP="00C0112C">
      <w:pPr>
        <w:ind w:left="2880" w:firstLine="720"/>
        <w:rPr>
          <w:b/>
          <w:bCs/>
          <w:noProof/>
        </w:rPr>
      </w:pPr>
      <w:r w:rsidRPr="0069291E">
        <w:rPr>
          <w:b/>
          <w:noProof/>
        </w:rPr>
        <w:t>Intrare în vigoare</w:t>
      </w:r>
    </w:p>
    <w:p w14:paraId="7B982221" w14:textId="77777777" w:rsidR="00C0112C" w:rsidRPr="003F7842" w:rsidRDefault="00C0112C" w:rsidP="00C0112C">
      <w:pPr>
        <w:rPr>
          <w:noProof/>
        </w:rPr>
      </w:pPr>
    </w:p>
    <w:p w14:paraId="166235B7" w14:textId="77777777" w:rsidR="00C0112C" w:rsidRPr="003F7842" w:rsidRDefault="00C0112C" w:rsidP="00C0112C">
      <w:pPr>
        <w:keepNext/>
        <w:keepLines/>
        <w:rPr>
          <w:noProof/>
        </w:rPr>
      </w:pPr>
      <w:r w:rsidRPr="003F7842">
        <w:rPr>
          <w:noProof/>
        </w:rPr>
        <w:t xml:space="preserve">Prezenta decizie intră în vigoare la data publicării în </w:t>
      </w:r>
      <w:r w:rsidRPr="0069291E">
        <w:rPr>
          <w:i/>
          <w:iCs/>
          <w:noProof/>
        </w:rPr>
        <w:t>Jurnalul Oficial al Uniunii Europene</w:t>
      </w:r>
      <w:r w:rsidRPr="003F7842">
        <w:rPr>
          <w:noProof/>
        </w:rPr>
        <w:t>.</w:t>
      </w:r>
    </w:p>
    <w:p w14:paraId="50B36C58" w14:textId="77777777" w:rsidR="00C0112C" w:rsidRPr="003F7842" w:rsidRDefault="00C0112C" w:rsidP="00C0112C">
      <w:pPr>
        <w:keepNext/>
        <w:keepLines/>
        <w:rPr>
          <w:noProof/>
        </w:rPr>
      </w:pPr>
      <w:r w:rsidRPr="003F7842">
        <w:rPr>
          <w:noProof/>
        </w:rPr>
        <w:t>Prezenta decizie se aplică de la data adoptării.</w:t>
      </w:r>
    </w:p>
    <w:p w14:paraId="214A2AA2" w14:textId="6468C928" w:rsidR="008E4815" w:rsidRPr="003F7842" w:rsidRDefault="003F7842" w:rsidP="008939F9">
      <w:pPr>
        <w:pStyle w:val="Fait"/>
        <w:rPr>
          <w:noProof/>
        </w:rPr>
      </w:pPr>
      <w:r>
        <w:rPr>
          <w:noProof/>
        </w:rPr>
        <w:t>Adoptată la Bruxelles,</w:t>
      </w:r>
    </w:p>
    <w:p w14:paraId="35525B59" w14:textId="77777777" w:rsidR="008E4815" w:rsidRPr="0069291E" w:rsidRDefault="008E4815" w:rsidP="008939F9">
      <w:pPr>
        <w:pStyle w:val="Institutionquisigne"/>
        <w:rPr>
          <w:noProof/>
        </w:rPr>
      </w:pPr>
      <w:r w:rsidRPr="0069291E">
        <w:rPr>
          <w:noProof/>
        </w:rPr>
        <w:tab/>
        <w:t>Pentru Consiliu</w:t>
      </w:r>
    </w:p>
    <w:p w14:paraId="3928F1D1" w14:textId="3CBF65C9" w:rsidR="00446D5D" w:rsidRPr="0069291E" w:rsidRDefault="008E4815" w:rsidP="008E4815">
      <w:pPr>
        <w:pStyle w:val="Personnequisigne"/>
        <w:rPr>
          <w:noProof/>
        </w:rPr>
      </w:pPr>
      <w:r w:rsidRPr="0069291E">
        <w:rPr>
          <w:noProof/>
        </w:rPr>
        <w:tab/>
        <w:t>Președintele</w:t>
      </w:r>
    </w:p>
    <w:sectPr w:rsidR="00446D5D" w:rsidRPr="0069291E" w:rsidSect="007E5165">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95A5ED" w14:textId="77777777" w:rsidR="00753034" w:rsidRDefault="00753034" w:rsidP="00446D5D">
      <w:pPr>
        <w:spacing w:before="0" w:after="0"/>
      </w:pPr>
      <w:r>
        <w:separator/>
      </w:r>
    </w:p>
  </w:endnote>
  <w:endnote w:type="continuationSeparator" w:id="0">
    <w:p w14:paraId="1AB7EE76" w14:textId="77777777" w:rsidR="00753034" w:rsidRDefault="00753034" w:rsidP="00446D5D">
      <w:pPr>
        <w:spacing w:before="0" w:after="0"/>
      </w:pPr>
      <w:r>
        <w:continuationSeparator/>
      </w:r>
    </w:p>
  </w:endnote>
  <w:endnote w:type="continuationNotice" w:id="1">
    <w:p w14:paraId="4E50FF55" w14:textId="77777777" w:rsidR="00753034" w:rsidRDefault="00753034">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ECAB8B" w14:textId="2AAC0ECB" w:rsidR="007E5165" w:rsidRPr="007E5165" w:rsidRDefault="007E5165" w:rsidP="007E5165">
    <w:pPr>
      <w:pStyle w:val="Footer"/>
      <w:rPr>
        <w:rFonts w:ascii="Arial" w:hAnsi="Arial" w:cs="Arial"/>
        <w:b/>
        <w:sz w:val="48"/>
      </w:rPr>
    </w:pPr>
    <w:r w:rsidRPr="007E5165">
      <w:rPr>
        <w:rFonts w:ascii="Arial" w:hAnsi="Arial" w:cs="Arial"/>
        <w:b/>
        <w:sz w:val="48"/>
      </w:rPr>
      <w:t>RO</w:t>
    </w:r>
    <w:r w:rsidRPr="007E5165">
      <w:rPr>
        <w:rFonts w:ascii="Arial" w:hAnsi="Arial" w:cs="Arial"/>
        <w:b/>
        <w:sz w:val="48"/>
      </w:rPr>
      <w:tab/>
    </w:r>
    <w:r w:rsidRPr="007E5165">
      <w:rPr>
        <w:rFonts w:ascii="Arial" w:hAnsi="Arial" w:cs="Arial"/>
        <w:b/>
        <w:sz w:val="48"/>
      </w:rPr>
      <w:tab/>
    </w:r>
    <w:r w:rsidRPr="007E5165">
      <w:tab/>
    </w:r>
    <w:r w:rsidRPr="007E5165">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C247D5" w14:textId="0F08E113" w:rsidR="007E5165" w:rsidRPr="007E5165" w:rsidRDefault="007E5165" w:rsidP="007E5165">
    <w:pPr>
      <w:pStyle w:val="Footer"/>
      <w:rPr>
        <w:rFonts w:ascii="Arial" w:hAnsi="Arial" w:cs="Arial"/>
        <w:b/>
        <w:sz w:val="48"/>
      </w:rPr>
    </w:pPr>
    <w:r w:rsidRPr="007E5165">
      <w:rPr>
        <w:rFonts w:ascii="Arial" w:hAnsi="Arial" w:cs="Arial"/>
        <w:b/>
        <w:sz w:val="48"/>
      </w:rPr>
      <w:t>RO</w:t>
    </w:r>
    <w:r w:rsidRPr="007E5165">
      <w:rPr>
        <w:rFonts w:ascii="Arial" w:hAnsi="Arial" w:cs="Arial"/>
        <w:b/>
        <w:sz w:val="48"/>
      </w:rPr>
      <w:tab/>
    </w:r>
    <w:r w:rsidRPr="007E5165">
      <w:rPr>
        <w:rFonts w:ascii="Arial" w:hAnsi="Arial" w:cs="Arial"/>
        <w:b/>
        <w:sz w:val="48"/>
      </w:rPr>
      <w:tab/>
    </w:r>
    <w:r w:rsidRPr="007E5165">
      <w:tab/>
    </w:r>
    <w:r w:rsidRPr="007E5165">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AAD431" w14:textId="77777777" w:rsidR="007E5165" w:rsidRDefault="007E516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2C8782" w14:textId="05AFA895" w:rsidR="007E5165" w:rsidRPr="007E5165" w:rsidRDefault="007E5165" w:rsidP="007E5165">
    <w:pPr>
      <w:pStyle w:val="Footer"/>
      <w:rPr>
        <w:rFonts w:ascii="Arial" w:hAnsi="Arial" w:cs="Arial"/>
        <w:b/>
        <w:sz w:val="48"/>
      </w:rPr>
    </w:pPr>
    <w:r w:rsidRPr="007E5165">
      <w:rPr>
        <w:rFonts w:ascii="Arial" w:hAnsi="Arial" w:cs="Arial"/>
        <w:b/>
        <w:sz w:val="48"/>
      </w:rPr>
      <w:t>RO</w:t>
    </w:r>
    <w:r w:rsidRPr="007E5165">
      <w:rPr>
        <w:rFonts w:ascii="Arial" w:hAnsi="Arial" w:cs="Arial"/>
        <w:b/>
        <w:sz w:val="48"/>
      </w:rPr>
      <w:tab/>
    </w:r>
    <w:r>
      <w:fldChar w:fldCharType="begin"/>
    </w:r>
    <w:r>
      <w:instrText xml:space="preserve"> PAGE  \* MERGEFORMAT </w:instrText>
    </w:r>
    <w:r>
      <w:fldChar w:fldCharType="separate"/>
    </w:r>
    <w:r w:rsidR="00CA5AAA">
      <w:rPr>
        <w:noProof/>
      </w:rPr>
      <w:t>1</w:t>
    </w:r>
    <w:r>
      <w:fldChar w:fldCharType="end"/>
    </w:r>
    <w:r>
      <w:tab/>
    </w:r>
    <w:r w:rsidRPr="007E5165">
      <w:tab/>
    </w:r>
    <w:r w:rsidRPr="007E5165">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9F049E" w14:textId="77777777" w:rsidR="007E5165" w:rsidRDefault="007E5165" w:rsidP="007E51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3C98CF" w14:textId="77777777" w:rsidR="00753034" w:rsidRDefault="00753034" w:rsidP="00446D5D">
      <w:pPr>
        <w:spacing w:before="0" w:after="0"/>
      </w:pPr>
      <w:r>
        <w:separator/>
      </w:r>
    </w:p>
  </w:footnote>
  <w:footnote w:type="continuationSeparator" w:id="0">
    <w:p w14:paraId="103C1A42" w14:textId="77777777" w:rsidR="00753034" w:rsidRDefault="00753034" w:rsidP="00446D5D">
      <w:pPr>
        <w:spacing w:before="0" w:after="0"/>
      </w:pPr>
      <w:r>
        <w:continuationSeparator/>
      </w:r>
    </w:p>
  </w:footnote>
  <w:footnote w:type="continuationNotice" w:id="1">
    <w:p w14:paraId="5383BD44" w14:textId="77777777" w:rsidR="00753034" w:rsidRDefault="00753034">
      <w:pPr>
        <w:spacing w:before="0" w:after="0"/>
      </w:pPr>
    </w:p>
  </w:footnote>
  <w:footnote w:id="2">
    <w:p w14:paraId="0E505506" w14:textId="77777777" w:rsidR="00C0112C" w:rsidRPr="0069291E" w:rsidRDefault="00C0112C" w:rsidP="00C0112C">
      <w:pPr>
        <w:pStyle w:val="FootnoteText"/>
        <w:rPr>
          <w:b/>
          <w:bCs/>
        </w:rPr>
      </w:pPr>
      <w:r>
        <w:rPr>
          <w:rStyle w:val="FootnoteReference"/>
        </w:rPr>
        <w:footnoteRef/>
      </w:r>
      <w:r>
        <w:tab/>
        <w:t xml:space="preserve">JO L, </w:t>
      </w:r>
      <w:r w:rsidRPr="0069291E">
        <w:t>2024</w:t>
      </w:r>
      <w:r>
        <w:t>/</w:t>
      </w:r>
      <w:r w:rsidRPr="0069291E">
        <w:t>792</w:t>
      </w:r>
      <w:r>
        <w:t xml:space="preserve">, </w:t>
      </w:r>
      <w:r w:rsidRPr="0069291E">
        <w:t>29</w:t>
      </w:r>
      <w:r>
        <w:t>.</w:t>
      </w:r>
      <w:r w:rsidRPr="0069291E">
        <w:t>2</w:t>
      </w:r>
      <w:r>
        <w:t>.</w:t>
      </w:r>
      <w:r w:rsidRPr="0069291E">
        <w:t>2024</w:t>
      </w:r>
      <w:r>
        <w:t xml:space="preserve">, ELI: </w:t>
      </w:r>
      <w:hyperlink r:id="rId1" w:history="1">
        <w:r w:rsidRPr="0069291E">
          <w:rPr>
            <w:rStyle w:val="Hyperlink"/>
          </w:rPr>
          <w:t>http://data.europa.eu/eli/reg/2024/792/oj</w:t>
        </w:r>
      </w:hyperlink>
      <w:r>
        <w:t>.</w:t>
      </w:r>
    </w:p>
  </w:footnote>
  <w:footnote w:id="3">
    <w:p w14:paraId="3ADA6D9E" w14:textId="77777777" w:rsidR="00C0112C" w:rsidRPr="00304D16" w:rsidRDefault="00C0112C" w:rsidP="00C0112C">
      <w:pPr>
        <w:pStyle w:val="FootnoteText"/>
      </w:pPr>
      <w:r>
        <w:rPr>
          <w:rStyle w:val="FootnoteReference"/>
        </w:rPr>
        <w:footnoteRef/>
      </w:r>
      <w:r>
        <w:tab/>
        <w:t xml:space="preserve">JO L, </w:t>
      </w:r>
      <w:r w:rsidRPr="0069291E">
        <w:t>2026</w:t>
      </w:r>
      <w:r>
        <w:t>/</w:t>
      </w:r>
      <w:r w:rsidRPr="0069291E">
        <w:t>480</w:t>
      </w:r>
      <w:r>
        <w:t xml:space="preserve">, </w:t>
      </w:r>
      <w:r w:rsidRPr="0069291E">
        <w:t>23</w:t>
      </w:r>
      <w:r>
        <w:t>.</w:t>
      </w:r>
      <w:r w:rsidRPr="0069291E">
        <w:t>2</w:t>
      </w:r>
      <w:r>
        <w:t>.</w:t>
      </w:r>
      <w:r w:rsidRPr="0069291E">
        <w:t>2026</w:t>
      </w:r>
      <w:r>
        <w:t xml:space="preserve">, ELI: </w:t>
      </w:r>
      <w:hyperlink r:id="rId2" w:tooltip="Oferă acces la acest document prin identificatorul său uniform de resurse ELI." w:history="1">
        <w:r w:rsidRPr="0069291E">
          <w:rPr>
            <w:rStyle w:val="Hyperlink"/>
          </w:rPr>
          <w:t>http://data.europa.eu/eli/dec_impl/2026/480/oj</w:t>
        </w:r>
      </w:hyperlink>
      <w:r>
        <w:t xml:space="preserve">. În conformitate cu Decizia de punere în aplicare (UE) </w:t>
      </w:r>
      <w:r w:rsidRPr="0069291E">
        <w:t>2026</w:t>
      </w:r>
      <w:r>
        <w:t>/</w:t>
      </w:r>
      <w:r w:rsidRPr="0069291E">
        <w:t>480</w:t>
      </w:r>
      <w:r>
        <w:t xml:space="preserve"> a Consiliului de modificare a Deciziei de punere în aplicare (UE) </w:t>
      </w:r>
      <w:r w:rsidRPr="0069291E">
        <w:t>2024</w:t>
      </w:r>
      <w:r>
        <w:t>/</w:t>
      </w:r>
      <w:r w:rsidRPr="0069291E">
        <w:t>1447</w:t>
      </w:r>
      <w:r>
        <w:t xml:space="preserve">, Suedia va furniza </w:t>
      </w:r>
      <w:r w:rsidRPr="0069291E">
        <w:t>2</w:t>
      </w:r>
      <w:r>
        <w:t> </w:t>
      </w:r>
      <w:r w:rsidRPr="0069291E">
        <w:t>000</w:t>
      </w:r>
      <w:r>
        <w:t xml:space="preserve"> </w:t>
      </w:r>
      <w:r w:rsidRPr="0069291E">
        <w:t>000</w:t>
      </w:r>
      <w:r>
        <w:t xml:space="preserve"> </w:t>
      </w:r>
      <w:r w:rsidRPr="0069291E">
        <w:t>000</w:t>
      </w:r>
      <w:r>
        <w:t> SEK drept contribuție financiară suplimentară la pilonul I al Mecanismului pentru Ucraina, sub formă de sprijin financiar nerambursabil, în urma intrării în vigoare a unui acord de transfer între Suedia și Comisie și a transferului contribuției financiare aferente.</w:t>
      </w:r>
    </w:p>
  </w:footnote>
  <w:footnote w:id="4">
    <w:p w14:paraId="68AC2734" w14:textId="77777777" w:rsidR="00C0112C" w:rsidRPr="007D3614" w:rsidRDefault="00C0112C" w:rsidP="00C0112C">
      <w:pPr>
        <w:pStyle w:val="FootnoteText"/>
        <w:rPr>
          <w:rFonts w:eastAsia="Times New Roman"/>
          <w:color w:val="000000" w:themeColor="text1"/>
          <w:sz w:val="19"/>
          <w:szCs w:val="19"/>
        </w:rPr>
      </w:pPr>
      <w:r>
        <w:rPr>
          <w:rStyle w:val="FootnoteReference"/>
        </w:rPr>
        <w:footnoteRef/>
      </w:r>
      <w:r>
        <w:tab/>
        <w:t>Decizia de punere în aplicare (UE) </w:t>
      </w:r>
      <w:r w:rsidRPr="0069291E">
        <w:t>2024</w:t>
      </w:r>
      <w:r>
        <w:t>/</w:t>
      </w:r>
      <w:r w:rsidRPr="0069291E">
        <w:t>1447</w:t>
      </w:r>
      <w:r>
        <w:t xml:space="preserve"> a Consiliului din </w:t>
      </w:r>
      <w:r w:rsidRPr="0069291E">
        <w:t>14</w:t>
      </w:r>
      <w:r>
        <w:t> mai </w:t>
      </w:r>
      <w:r w:rsidRPr="0069291E">
        <w:t>2024</w:t>
      </w:r>
      <w:r>
        <w:t xml:space="preserve"> de aprobare a evaluării Planului pentru Ucraina (JO L, </w:t>
      </w:r>
      <w:r w:rsidRPr="0069291E">
        <w:t>2024</w:t>
      </w:r>
      <w:r>
        <w:t>/</w:t>
      </w:r>
      <w:r w:rsidRPr="0069291E">
        <w:t>1447</w:t>
      </w:r>
      <w:r>
        <w:t xml:space="preserve">, </w:t>
      </w:r>
      <w:r w:rsidRPr="0069291E">
        <w:t>24</w:t>
      </w:r>
      <w:r>
        <w:t>.</w:t>
      </w:r>
      <w:r w:rsidRPr="0069291E">
        <w:t>5</w:t>
      </w:r>
      <w:r>
        <w:t>.</w:t>
      </w:r>
      <w:r w:rsidRPr="0069291E">
        <w:t>2024</w:t>
      </w:r>
      <w:r>
        <w:t>, ELI:</w:t>
      </w:r>
      <w:r>
        <w:rPr>
          <w:color w:val="000000" w:themeColor="text1"/>
        </w:rPr>
        <w:t xml:space="preserve"> </w:t>
      </w:r>
      <w:hyperlink r:id="rId3" w:history="1">
        <w:r w:rsidRPr="0069291E">
          <w:rPr>
            <w:rStyle w:val="Hyperlink"/>
            <w:sz w:val="19"/>
          </w:rPr>
          <w:t>http://data.europa.eu/eli/dec_impl/2024/1447/oj</w:t>
        </w:r>
      </w:hyperlink>
      <w:r>
        <w:t>.</w:t>
      </w:r>
    </w:p>
  </w:footnote>
  <w:footnote w:id="5">
    <w:p w14:paraId="2F68E9CE" w14:textId="03EA38FA" w:rsidR="00C0112C" w:rsidRPr="005D79CB" w:rsidRDefault="00C0112C" w:rsidP="00C0112C">
      <w:pPr>
        <w:pStyle w:val="FootnoteText"/>
      </w:pPr>
      <w:r>
        <w:rPr>
          <w:rStyle w:val="FootnoteReference"/>
        </w:rPr>
        <w:footnoteRef/>
      </w:r>
      <w:r>
        <w:tab/>
      </w:r>
      <w:hyperlink r:id="rId4" w:history="1">
        <w:r w:rsidRPr="0069291E">
          <w:rPr>
            <w:rStyle w:val="Hyperlink"/>
          </w:rPr>
          <w:t>JO C, C/2025/2114, 3.4.2025, ELI:</w:t>
        </w:r>
      </w:hyperlink>
      <w:hyperlink r:id="rId5" w:history="1">
        <w:r w:rsidRPr="0069291E">
          <w:rPr>
            <w:rStyle w:val="Hyperlink"/>
          </w:rPr>
          <w:t> http://data.europa.eu/eli/C/2025/2114/oj</w:t>
        </w:r>
      </w:hyperlink>
      <w:r>
        <w:t xml:space="preserve">. </w:t>
      </w:r>
    </w:p>
  </w:footnote>
  <w:footnote w:id="6">
    <w:p w14:paraId="66DE5D99" w14:textId="77777777" w:rsidR="00C0112C" w:rsidRPr="005D79CB" w:rsidRDefault="00C0112C" w:rsidP="00C0112C">
      <w:pPr>
        <w:pStyle w:val="FootnoteText"/>
      </w:pPr>
      <w:r>
        <w:rPr>
          <w:rStyle w:val="FootnoteReference"/>
        </w:rPr>
        <w:footnoteRef/>
      </w:r>
      <w:r>
        <w:tab/>
        <w:t>JO C, C/</w:t>
      </w:r>
      <w:r w:rsidRPr="0069291E">
        <w:t>2026</w:t>
      </w:r>
      <w:r>
        <w:t>/</w:t>
      </w:r>
      <w:r w:rsidRPr="0069291E">
        <w:t>2328</w:t>
      </w:r>
      <w:r>
        <w:t xml:space="preserve">, </w:t>
      </w:r>
      <w:r w:rsidRPr="0069291E">
        <w:t>17</w:t>
      </w:r>
      <w:r>
        <w:t>.</w:t>
      </w:r>
      <w:r w:rsidRPr="0069291E">
        <w:t>4</w:t>
      </w:r>
      <w:r>
        <w:t>.</w:t>
      </w:r>
      <w:r w:rsidRPr="0069291E">
        <w:t>2026</w:t>
      </w:r>
      <w:r>
        <w:t>, ELI: http://data.europa.eu/eli/C/</w:t>
      </w:r>
      <w:r w:rsidRPr="0069291E">
        <w:t>2026</w:t>
      </w:r>
      <w:r>
        <w:t>/</w:t>
      </w:r>
      <w:r w:rsidRPr="0069291E">
        <w:t>2328</w:t>
      </w:r>
      <w:r>
        <w:t>/oj.</w:t>
      </w:r>
    </w:p>
  </w:footnote>
  <w:footnote w:id="7">
    <w:p w14:paraId="7BB9A7A5" w14:textId="1E14347B" w:rsidR="00C0112C" w:rsidRDefault="00C0112C" w:rsidP="00C0112C">
      <w:pPr>
        <w:pStyle w:val="FootnoteText"/>
      </w:pPr>
      <w:r>
        <w:rPr>
          <w:rStyle w:val="FootnoteReference"/>
        </w:rPr>
        <w:footnoteRef/>
      </w:r>
      <w:r>
        <w:tab/>
        <w:t>Comunicare a Comisiei de modificare a metodologiei de gestionare a îndeplinirii parțiale a etapelor Planului pentru Ucraina în temeiul Regulamentului privind Mecanismul pentru Ucraina și de înlocuire a Comunicării</w:t>
      </w:r>
      <w:r w:rsidR="0069291E">
        <w:t> </w:t>
      </w:r>
      <w:r>
        <w:t>C(</w:t>
      </w:r>
      <w:r w:rsidRPr="0069291E">
        <w:t>2025</w:t>
      </w:r>
      <w:r>
        <w:t>)</w:t>
      </w:r>
      <w:r w:rsidRPr="0069291E">
        <w:t>1725</w:t>
      </w:r>
      <w:r w:rsidR="0069291E">
        <w:t> </w:t>
      </w:r>
      <w:r>
        <w:t>(JO</w:t>
      </w:r>
      <w:r w:rsidR="0069291E">
        <w:t> </w:t>
      </w:r>
      <w:r>
        <w:t>C,</w:t>
      </w:r>
      <w:r w:rsidR="0069291E">
        <w:t> </w:t>
      </w:r>
      <w:r w:rsidRPr="0069291E">
        <w:t>2026</w:t>
      </w:r>
      <w:r>
        <w:t>/</w:t>
      </w:r>
      <w:r w:rsidRPr="0069291E">
        <w:t>2328</w:t>
      </w:r>
      <w:r>
        <w:t>,</w:t>
      </w:r>
      <w:r w:rsidR="0069291E">
        <w:t> </w:t>
      </w:r>
      <w:r w:rsidRPr="0069291E">
        <w:t>17</w:t>
      </w:r>
      <w:r>
        <w:t>.</w:t>
      </w:r>
      <w:r w:rsidRPr="0069291E">
        <w:t>4</w:t>
      </w:r>
      <w:r>
        <w:t>.</w:t>
      </w:r>
      <w:r w:rsidRPr="0069291E">
        <w:t>2026</w:t>
      </w:r>
      <w:r>
        <w:t xml:space="preserve">, ELI: </w:t>
      </w:r>
      <w:hyperlink r:id="rId6" w:history="1">
        <w:r w:rsidRPr="0069291E">
          <w:rPr>
            <w:rStyle w:val="Hyperlink"/>
          </w:rPr>
          <w:t> http://data.europa.eu/eli/C/2026/2328/oj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7E1565" w14:textId="77777777" w:rsidR="007E5165" w:rsidRDefault="007E51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BC52B" w14:textId="77777777" w:rsidR="007E5165" w:rsidRDefault="007E51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D5268B1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3DBA85A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59125FBA"/>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54A6FF1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2F00674E"/>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3A0ADE4E"/>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0936D6A4"/>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F9C6C1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12"/>
  </w:num>
  <w:num w:numId="6">
    <w:abstractNumId w:val="6"/>
  </w:num>
  <w:num w:numId="7">
    <w:abstractNumId w:val="2"/>
  </w:num>
  <w:num w:numId="8">
    <w:abstractNumId w:val="1"/>
  </w:num>
  <w:num w:numId="9">
    <w:abstractNumId w:val="0"/>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3"/>
    <w:lvlOverride w:ilvl="0">
      <w:startOverride w:val="1"/>
    </w:lvlOverride>
  </w:num>
  <w:num w:numId="13">
    <w:abstractNumId w:val="20"/>
  </w:num>
  <w:num w:numId="14">
    <w:abstractNumId w:val="13"/>
  </w:num>
  <w:num w:numId="15">
    <w:abstractNumId w:val="22"/>
  </w:num>
  <w:num w:numId="16">
    <w:abstractNumId w:val="11"/>
  </w:num>
  <w:num w:numId="17">
    <w:abstractNumId w:val="14"/>
  </w:num>
  <w:num w:numId="18">
    <w:abstractNumId w:val="15"/>
  </w:num>
  <w:num w:numId="19">
    <w:abstractNumId w:val="9"/>
  </w:num>
  <w:num w:numId="20">
    <w:abstractNumId w:val="21"/>
  </w:num>
  <w:num w:numId="21">
    <w:abstractNumId w:val="8"/>
  </w:num>
  <w:num w:numId="22">
    <w:abstractNumId w:val="16"/>
  </w:num>
  <w:num w:numId="23">
    <w:abstractNumId w:val="18"/>
  </w:num>
  <w:num w:numId="24">
    <w:abstractNumId w:val="19"/>
  </w:num>
  <w:num w:numId="25">
    <w:abstractNumId w:val="10"/>
  </w:num>
  <w:num w:numId="26">
    <w:abstractNumId w:val="17"/>
  </w:num>
  <w:num w:numId="27">
    <w:abstractNumId w:val="2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5-05 08:33:0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2D917EB8-BB37-4567-A6C5-DC7251F1132E"/>
    <w:docVar w:name="LW_COVERPAGE_TYPE" w:val="1"/>
    <w:docVar w:name="LW_CROSSREFERENCE" w:val="&lt;UNUSED&gt;"/>
    <w:docVar w:name="LW_DocType" w:val="COM"/>
    <w:docVar w:name="LW_EMISSION" w:val="29.4.2026"/>
    <w:docVar w:name="LW_EMISSION_ISODATE" w:val="2026-04-29"/>
    <w:docVar w:name="LW_EMISSION_LOCATION" w:val="BRX"/>
    <w:docVar w:name="LW_EMISSION_PREFIX" w:val="Bruxelles, "/>
    <w:docVar w:name="LW_EMISSION_SUFFIX" w:val=" "/>
    <w:docVar w:name="LW_ID_DOCMODEL" w:val="SJ-021"/>
    <w:docVar w:name="LW_ID_DOCSIGNATURE" w:val="SJ-021"/>
    <w:docVar w:name="LW_ID_DOCSTRUCTURE" w:val="COM/PL/ORG"/>
    <w:docVar w:name="LW_ID_DOCTYPE" w:val="SJ-021"/>
    <w:docVar w:name="LW_ID_STATUT" w:val="SJ-021"/>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100"/>
    <w:docVar w:name="LW_REF.II.NEW.CP_YEAR" w:val="2026"/>
    <w:docVar w:name="LW_REF.INST.NEW" w:val="COM"/>
    <w:docVar w:name="LW_REF.INST.NEW_ADOPTED" w:val="final"/>
    <w:docVar w:name="LW_REF.INST.NEW_TEXT" w:val="(2026) 18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constatarea îndeplinirii în mod satisf\u259?c\u259?tor a condi\u539?iilor pentru plata par\u539?ial\u259? a celei de a \u537?aptea tran\u537?e din cadrul Planului pentru Ucraina al Mecanismului pentru Ucraina \u537?i de modificare a Deciziei de punere în aplicare (UE) 2024/1447 _x000b_"/>
    <w:docVar w:name="LW_TYPE.DOC.CP" w:val="DECIZIE DE PUNERE ÎN APLICARE A CONSILIULUI"/>
    <w:docVar w:name="LwApiVersions" w:val="LW4CoDe 1.24.5.0; LW 9.2, Build 20251112"/>
  </w:docVars>
  <w:rsids>
    <w:rsidRoot w:val="00446D5D"/>
    <w:rsid w:val="00000EEA"/>
    <w:rsid w:val="0000782C"/>
    <w:rsid w:val="00016F49"/>
    <w:rsid w:val="000209A9"/>
    <w:rsid w:val="00021430"/>
    <w:rsid w:val="000273D6"/>
    <w:rsid w:val="00032527"/>
    <w:rsid w:val="00034A97"/>
    <w:rsid w:val="00034EE9"/>
    <w:rsid w:val="000351B1"/>
    <w:rsid w:val="00040BF9"/>
    <w:rsid w:val="00040CE6"/>
    <w:rsid w:val="000425B0"/>
    <w:rsid w:val="00042C15"/>
    <w:rsid w:val="00044922"/>
    <w:rsid w:val="00047B7D"/>
    <w:rsid w:val="00050027"/>
    <w:rsid w:val="00050B92"/>
    <w:rsid w:val="000516C4"/>
    <w:rsid w:val="00052C06"/>
    <w:rsid w:val="00052DA8"/>
    <w:rsid w:val="00053231"/>
    <w:rsid w:val="00053E61"/>
    <w:rsid w:val="000563EE"/>
    <w:rsid w:val="00061D85"/>
    <w:rsid w:val="000633F4"/>
    <w:rsid w:val="0006593E"/>
    <w:rsid w:val="00065F34"/>
    <w:rsid w:val="00066A8E"/>
    <w:rsid w:val="00075605"/>
    <w:rsid w:val="00075835"/>
    <w:rsid w:val="00085F2F"/>
    <w:rsid w:val="000864C0"/>
    <w:rsid w:val="00090FDA"/>
    <w:rsid w:val="000911AC"/>
    <w:rsid w:val="00092F5D"/>
    <w:rsid w:val="000971DE"/>
    <w:rsid w:val="000A0AE3"/>
    <w:rsid w:val="000A0AFC"/>
    <w:rsid w:val="000A1D48"/>
    <w:rsid w:val="000A593B"/>
    <w:rsid w:val="000B15A4"/>
    <w:rsid w:val="000B3B5F"/>
    <w:rsid w:val="000B49AE"/>
    <w:rsid w:val="000B4B84"/>
    <w:rsid w:val="000B4CF7"/>
    <w:rsid w:val="000B54AB"/>
    <w:rsid w:val="000C1A9C"/>
    <w:rsid w:val="000C1D84"/>
    <w:rsid w:val="000C215B"/>
    <w:rsid w:val="000C42DF"/>
    <w:rsid w:val="000C4C40"/>
    <w:rsid w:val="000C6F42"/>
    <w:rsid w:val="000D302C"/>
    <w:rsid w:val="000D3505"/>
    <w:rsid w:val="000D39EF"/>
    <w:rsid w:val="000D453F"/>
    <w:rsid w:val="000D4FCD"/>
    <w:rsid w:val="000D59D6"/>
    <w:rsid w:val="000D5EBA"/>
    <w:rsid w:val="000D6931"/>
    <w:rsid w:val="000D6B30"/>
    <w:rsid w:val="000D74D2"/>
    <w:rsid w:val="000E00A9"/>
    <w:rsid w:val="000E0860"/>
    <w:rsid w:val="000E0938"/>
    <w:rsid w:val="000E106D"/>
    <w:rsid w:val="000E166D"/>
    <w:rsid w:val="000F08B4"/>
    <w:rsid w:val="000F0B9D"/>
    <w:rsid w:val="000F1194"/>
    <w:rsid w:val="000F733C"/>
    <w:rsid w:val="001065F5"/>
    <w:rsid w:val="00107EF6"/>
    <w:rsid w:val="00110390"/>
    <w:rsid w:val="00113BA1"/>
    <w:rsid w:val="001201D7"/>
    <w:rsid w:val="00121F1D"/>
    <w:rsid w:val="00122CCF"/>
    <w:rsid w:val="00123769"/>
    <w:rsid w:val="001238EF"/>
    <w:rsid w:val="0012573F"/>
    <w:rsid w:val="00126B5A"/>
    <w:rsid w:val="00127D89"/>
    <w:rsid w:val="00130393"/>
    <w:rsid w:val="00135DF2"/>
    <w:rsid w:val="001371B2"/>
    <w:rsid w:val="00140AAF"/>
    <w:rsid w:val="0014144D"/>
    <w:rsid w:val="001439D1"/>
    <w:rsid w:val="0014647B"/>
    <w:rsid w:val="00146672"/>
    <w:rsid w:val="00146F17"/>
    <w:rsid w:val="001474D9"/>
    <w:rsid w:val="00147CB4"/>
    <w:rsid w:val="0015333E"/>
    <w:rsid w:val="00162008"/>
    <w:rsid w:val="00162073"/>
    <w:rsid w:val="00162111"/>
    <w:rsid w:val="0016222D"/>
    <w:rsid w:val="00164200"/>
    <w:rsid w:val="00170D03"/>
    <w:rsid w:val="00170DE7"/>
    <w:rsid w:val="00171646"/>
    <w:rsid w:val="00171B18"/>
    <w:rsid w:val="001738B0"/>
    <w:rsid w:val="00180B97"/>
    <w:rsid w:val="001828F1"/>
    <w:rsid w:val="001838E1"/>
    <w:rsid w:val="00185992"/>
    <w:rsid w:val="00196364"/>
    <w:rsid w:val="00197613"/>
    <w:rsid w:val="001A46B9"/>
    <w:rsid w:val="001A6A9C"/>
    <w:rsid w:val="001B01A4"/>
    <w:rsid w:val="001B12D8"/>
    <w:rsid w:val="001B1301"/>
    <w:rsid w:val="001B1E1D"/>
    <w:rsid w:val="001B24F2"/>
    <w:rsid w:val="001B2F39"/>
    <w:rsid w:val="001B3CB2"/>
    <w:rsid w:val="001B53C9"/>
    <w:rsid w:val="001B7896"/>
    <w:rsid w:val="001B7C8D"/>
    <w:rsid w:val="001C245B"/>
    <w:rsid w:val="001C2501"/>
    <w:rsid w:val="001C3E32"/>
    <w:rsid w:val="001C3F97"/>
    <w:rsid w:val="001C507C"/>
    <w:rsid w:val="001D32E3"/>
    <w:rsid w:val="001D6689"/>
    <w:rsid w:val="001D6D43"/>
    <w:rsid w:val="001D7F92"/>
    <w:rsid w:val="001E082D"/>
    <w:rsid w:val="001E1372"/>
    <w:rsid w:val="001E1699"/>
    <w:rsid w:val="001E1FEB"/>
    <w:rsid w:val="001E54BA"/>
    <w:rsid w:val="001E5B56"/>
    <w:rsid w:val="001F446C"/>
    <w:rsid w:val="001F4EA7"/>
    <w:rsid w:val="001F7077"/>
    <w:rsid w:val="0020325C"/>
    <w:rsid w:val="00205D3A"/>
    <w:rsid w:val="00213002"/>
    <w:rsid w:val="002149A4"/>
    <w:rsid w:val="002153A6"/>
    <w:rsid w:val="00215459"/>
    <w:rsid w:val="00215D4A"/>
    <w:rsid w:val="002176A4"/>
    <w:rsid w:val="00221A84"/>
    <w:rsid w:val="002224FF"/>
    <w:rsid w:val="00222E1F"/>
    <w:rsid w:val="002243C8"/>
    <w:rsid w:val="0022494F"/>
    <w:rsid w:val="00230525"/>
    <w:rsid w:val="00231526"/>
    <w:rsid w:val="0023164B"/>
    <w:rsid w:val="002318F3"/>
    <w:rsid w:val="00233C1F"/>
    <w:rsid w:val="00233DC7"/>
    <w:rsid w:val="00240D4C"/>
    <w:rsid w:val="00247779"/>
    <w:rsid w:val="00254A17"/>
    <w:rsid w:val="0025553A"/>
    <w:rsid w:val="002560CB"/>
    <w:rsid w:val="002621C8"/>
    <w:rsid w:val="00262AFF"/>
    <w:rsid w:val="00262FF9"/>
    <w:rsid w:val="00265454"/>
    <w:rsid w:val="00267065"/>
    <w:rsid w:val="00267E45"/>
    <w:rsid w:val="002708B5"/>
    <w:rsid w:val="00272DDF"/>
    <w:rsid w:val="002778CC"/>
    <w:rsid w:val="00282139"/>
    <w:rsid w:val="00285BEE"/>
    <w:rsid w:val="002860FC"/>
    <w:rsid w:val="0029019B"/>
    <w:rsid w:val="00292A16"/>
    <w:rsid w:val="002950EA"/>
    <w:rsid w:val="0029533F"/>
    <w:rsid w:val="002955C7"/>
    <w:rsid w:val="002A00B8"/>
    <w:rsid w:val="002A1097"/>
    <w:rsid w:val="002A4108"/>
    <w:rsid w:val="002A46A8"/>
    <w:rsid w:val="002A5C80"/>
    <w:rsid w:val="002A7BEE"/>
    <w:rsid w:val="002B021F"/>
    <w:rsid w:val="002B183D"/>
    <w:rsid w:val="002B1EEE"/>
    <w:rsid w:val="002B2C20"/>
    <w:rsid w:val="002B30AF"/>
    <w:rsid w:val="002B5388"/>
    <w:rsid w:val="002B6230"/>
    <w:rsid w:val="002B7F3F"/>
    <w:rsid w:val="002C0B27"/>
    <w:rsid w:val="002C3579"/>
    <w:rsid w:val="002C4CA4"/>
    <w:rsid w:val="002C65F8"/>
    <w:rsid w:val="002C6CCE"/>
    <w:rsid w:val="002D4A4D"/>
    <w:rsid w:val="002E17E2"/>
    <w:rsid w:val="002E76CD"/>
    <w:rsid w:val="002F039E"/>
    <w:rsid w:val="002F25F4"/>
    <w:rsid w:val="002F2AC8"/>
    <w:rsid w:val="002F55D0"/>
    <w:rsid w:val="002F756B"/>
    <w:rsid w:val="002F7D7F"/>
    <w:rsid w:val="0030362B"/>
    <w:rsid w:val="00306507"/>
    <w:rsid w:val="00312BE0"/>
    <w:rsid w:val="00312CB4"/>
    <w:rsid w:val="0031354B"/>
    <w:rsid w:val="00315F1B"/>
    <w:rsid w:val="0031630D"/>
    <w:rsid w:val="00317B2B"/>
    <w:rsid w:val="0032359E"/>
    <w:rsid w:val="003313C0"/>
    <w:rsid w:val="0033344A"/>
    <w:rsid w:val="003364CE"/>
    <w:rsid w:val="0033687D"/>
    <w:rsid w:val="00337B41"/>
    <w:rsid w:val="00340B14"/>
    <w:rsid w:val="00342FEE"/>
    <w:rsid w:val="00343CCF"/>
    <w:rsid w:val="00344C1D"/>
    <w:rsid w:val="00346D9A"/>
    <w:rsid w:val="003511D1"/>
    <w:rsid w:val="0035478B"/>
    <w:rsid w:val="00354D78"/>
    <w:rsid w:val="003553FC"/>
    <w:rsid w:val="003605E3"/>
    <w:rsid w:val="00363E0D"/>
    <w:rsid w:val="0036445B"/>
    <w:rsid w:val="00365722"/>
    <w:rsid w:val="0036659E"/>
    <w:rsid w:val="00367B8F"/>
    <w:rsid w:val="003714EA"/>
    <w:rsid w:val="00375C71"/>
    <w:rsid w:val="0037634B"/>
    <w:rsid w:val="003850C5"/>
    <w:rsid w:val="00390975"/>
    <w:rsid w:val="003933A6"/>
    <w:rsid w:val="00395C5C"/>
    <w:rsid w:val="00396DDA"/>
    <w:rsid w:val="003A0DF4"/>
    <w:rsid w:val="003A1571"/>
    <w:rsid w:val="003A6D4E"/>
    <w:rsid w:val="003B0B2C"/>
    <w:rsid w:val="003B1A4E"/>
    <w:rsid w:val="003B3056"/>
    <w:rsid w:val="003B3D81"/>
    <w:rsid w:val="003B663E"/>
    <w:rsid w:val="003C2CFD"/>
    <w:rsid w:val="003C70EC"/>
    <w:rsid w:val="003D0A3C"/>
    <w:rsid w:val="003D111A"/>
    <w:rsid w:val="003D7597"/>
    <w:rsid w:val="003E1291"/>
    <w:rsid w:val="003E1F54"/>
    <w:rsid w:val="003E3CE5"/>
    <w:rsid w:val="003E5F16"/>
    <w:rsid w:val="003F06F8"/>
    <w:rsid w:val="003F2F66"/>
    <w:rsid w:val="003F5213"/>
    <w:rsid w:val="003F5258"/>
    <w:rsid w:val="003F7842"/>
    <w:rsid w:val="003F792A"/>
    <w:rsid w:val="00402E24"/>
    <w:rsid w:val="00404A93"/>
    <w:rsid w:val="00406ACB"/>
    <w:rsid w:val="00407A49"/>
    <w:rsid w:val="00412614"/>
    <w:rsid w:val="00414ADA"/>
    <w:rsid w:val="00415A54"/>
    <w:rsid w:val="00415B98"/>
    <w:rsid w:val="0041615F"/>
    <w:rsid w:val="00417102"/>
    <w:rsid w:val="00417D76"/>
    <w:rsid w:val="004215E9"/>
    <w:rsid w:val="00421CAD"/>
    <w:rsid w:val="004262C3"/>
    <w:rsid w:val="0042648E"/>
    <w:rsid w:val="00427508"/>
    <w:rsid w:val="00431C64"/>
    <w:rsid w:val="00432CC1"/>
    <w:rsid w:val="004337A2"/>
    <w:rsid w:val="004337EB"/>
    <w:rsid w:val="00436ABF"/>
    <w:rsid w:val="00436BB6"/>
    <w:rsid w:val="004373B6"/>
    <w:rsid w:val="00437B07"/>
    <w:rsid w:val="00437D1B"/>
    <w:rsid w:val="00437ECF"/>
    <w:rsid w:val="00441916"/>
    <w:rsid w:val="004421E4"/>
    <w:rsid w:val="00443224"/>
    <w:rsid w:val="00443EBF"/>
    <w:rsid w:val="0044456D"/>
    <w:rsid w:val="00445EA7"/>
    <w:rsid w:val="00446D5D"/>
    <w:rsid w:val="00450E86"/>
    <w:rsid w:val="00451586"/>
    <w:rsid w:val="004517EC"/>
    <w:rsid w:val="00451E8A"/>
    <w:rsid w:val="00454724"/>
    <w:rsid w:val="00455288"/>
    <w:rsid w:val="004553FE"/>
    <w:rsid w:val="0046037B"/>
    <w:rsid w:val="004612F5"/>
    <w:rsid w:val="00461CC8"/>
    <w:rsid w:val="00461ECC"/>
    <w:rsid w:val="00462A4D"/>
    <w:rsid w:val="00463C0E"/>
    <w:rsid w:val="00464163"/>
    <w:rsid w:val="004677EA"/>
    <w:rsid w:val="0047335E"/>
    <w:rsid w:val="00484FE6"/>
    <w:rsid w:val="00485CD1"/>
    <w:rsid w:val="004916D9"/>
    <w:rsid w:val="00492D48"/>
    <w:rsid w:val="0049344B"/>
    <w:rsid w:val="004936D2"/>
    <w:rsid w:val="004A1847"/>
    <w:rsid w:val="004A3199"/>
    <w:rsid w:val="004A681B"/>
    <w:rsid w:val="004A7CD7"/>
    <w:rsid w:val="004B0196"/>
    <w:rsid w:val="004B2375"/>
    <w:rsid w:val="004B4E82"/>
    <w:rsid w:val="004C1246"/>
    <w:rsid w:val="004C2319"/>
    <w:rsid w:val="004C402F"/>
    <w:rsid w:val="004C438E"/>
    <w:rsid w:val="004C50B0"/>
    <w:rsid w:val="004D0746"/>
    <w:rsid w:val="004D2532"/>
    <w:rsid w:val="004D4290"/>
    <w:rsid w:val="004D4ADC"/>
    <w:rsid w:val="004D5A9F"/>
    <w:rsid w:val="004D5CAD"/>
    <w:rsid w:val="004D71C5"/>
    <w:rsid w:val="004E4109"/>
    <w:rsid w:val="004E5438"/>
    <w:rsid w:val="004E5A7B"/>
    <w:rsid w:val="004F11CE"/>
    <w:rsid w:val="004F1436"/>
    <w:rsid w:val="004F2CE7"/>
    <w:rsid w:val="004F3A23"/>
    <w:rsid w:val="004F55DC"/>
    <w:rsid w:val="004F65C8"/>
    <w:rsid w:val="0050034F"/>
    <w:rsid w:val="00501FF3"/>
    <w:rsid w:val="00502D85"/>
    <w:rsid w:val="00503C04"/>
    <w:rsid w:val="00505577"/>
    <w:rsid w:val="00505CE2"/>
    <w:rsid w:val="00505E6B"/>
    <w:rsid w:val="0050700D"/>
    <w:rsid w:val="00512432"/>
    <w:rsid w:val="00513050"/>
    <w:rsid w:val="00515B0D"/>
    <w:rsid w:val="00517262"/>
    <w:rsid w:val="00520890"/>
    <w:rsid w:val="00522D32"/>
    <w:rsid w:val="005235F9"/>
    <w:rsid w:val="00524287"/>
    <w:rsid w:val="005253C0"/>
    <w:rsid w:val="00525D20"/>
    <w:rsid w:val="005267DD"/>
    <w:rsid w:val="00527261"/>
    <w:rsid w:val="0053024F"/>
    <w:rsid w:val="005311F2"/>
    <w:rsid w:val="0053788D"/>
    <w:rsid w:val="00543C9B"/>
    <w:rsid w:val="0054646A"/>
    <w:rsid w:val="005508C2"/>
    <w:rsid w:val="005525BA"/>
    <w:rsid w:val="00553355"/>
    <w:rsid w:val="00554E5C"/>
    <w:rsid w:val="00555E4D"/>
    <w:rsid w:val="00555ECC"/>
    <w:rsid w:val="00556034"/>
    <w:rsid w:val="00556C5B"/>
    <w:rsid w:val="00561CAF"/>
    <w:rsid w:val="005637E7"/>
    <w:rsid w:val="00566FA8"/>
    <w:rsid w:val="005673EC"/>
    <w:rsid w:val="005721F1"/>
    <w:rsid w:val="00573112"/>
    <w:rsid w:val="0057448C"/>
    <w:rsid w:val="00577996"/>
    <w:rsid w:val="005827FC"/>
    <w:rsid w:val="005841EF"/>
    <w:rsid w:val="00586BDD"/>
    <w:rsid w:val="0058D03F"/>
    <w:rsid w:val="00595441"/>
    <w:rsid w:val="0059579D"/>
    <w:rsid w:val="00596146"/>
    <w:rsid w:val="005A262C"/>
    <w:rsid w:val="005A5E6A"/>
    <w:rsid w:val="005A662E"/>
    <w:rsid w:val="005A684A"/>
    <w:rsid w:val="005B1192"/>
    <w:rsid w:val="005B17AD"/>
    <w:rsid w:val="005B1EB6"/>
    <w:rsid w:val="005B1EBE"/>
    <w:rsid w:val="005B5F89"/>
    <w:rsid w:val="005B677A"/>
    <w:rsid w:val="005C0CE9"/>
    <w:rsid w:val="005C1F7C"/>
    <w:rsid w:val="005C2C35"/>
    <w:rsid w:val="005C462E"/>
    <w:rsid w:val="005C6B25"/>
    <w:rsid w:val="005D1F3A"/>
    <w:rsid w:val="005D3CD0"/>
    <w:rsid w:val="005D5B7C"/>
    <w:rsid w:val="005E0A34"/>
    <w:rsid w:val="005E145A"/>
    <w:rsid w:val="005E2E39"/>
    <w:rsid w:val="005E3D91"/>
    <w:rsid w:val="005E3DA8"/>
    <w:rsid w:val="005E3F99"/>
    <w:rsid w:val="005E4FCE"/>
    <w:rsid w:val="005F08A2"/>
    <w:rsid w:val="005F16D6"/>
    <w:rsid w:val="005F3FD8"/>
    <w:rsid w:val="005F7BF1"/>
    <w:rsid w:val="00600F12"/>
    <w:rsid w:val="00602D48"/>
    <w:rsid w:val="00607765"/>
    <w:rsid w:val="00610C11"/>
    <w:rsid w:val="00615521"/>
    <w:rsid w:val="0062259A"/>
    <w:rsid w:val="00622692"/>
    <w:rsid w:val="006250D5"/>
    <w:rsid w:val="00625E5F"/>
    <w:rsid w:val="0062661D"/>
    <w:rsid w:val="00627798"/>
    <w:rsid w:val="00627D19"/>
    <w:rsid w:val="0062849E"/>
    <w:rsid w:val="00630ECE"/>
    <w:rsid w:val="0063329D"/>
    <w:rsid w:val="0063427B"/>
    <w:rsid w:val="0063511A"/>
    <w:rsid w:val="00635389"/>
    <w:rsid w:val="0064108B"/>
    <w:rsid w:val="006419D6"/>
    <w:rsid w:val="00641FBD"/>
    <w:rsid w:val="006434A0"/>
    <w:rsid w:val="006478C1"/>
    <w:rsid w:val="00647BE1"/>
    <w:rsid w:val="006505AA"/>
    <w:rsid w:val="00650823"/>
    <w:rsid w:val="00653DF9"/>
    <w:rsid w:val="00653EBE"/>
    <w:rsid w:val="0065493B"/>
    <w:rsid w:val="00662ABC"/>
    <w:rsid w:val="00663E46"/>
    <w:rsid w:val="00671DF6"/>
    <w:rsid w:val="00672184"/>
    <w:rsid w:val="00672B41"/>
    <w:rsid w:val="00677D15"/>
    <w:rsid w:val="00681804"/>
    <w:rsid w:val="0068327A"/>
    <w:rsid w:val="0068465D"/>
    <w:rsid w:val="00684EE1"/>
    <w:rsid w:val="00685149"/>
    <w:rsid w:val="0069106B"/>
    <w:rsid w:val="0069291E"/>
    <w:rsid w:val="006962D8"/>
    <w:rsid w:val="00696A91"/>
    <w:rsid w:val="006A1335"/>
    <w:rsid w:val="006A3B62"/>
    <w:rsid w:val="006A573F"/>
    <w:rsid w:val="006B0766"/>
    <w:rsid w:val="006B1FDA"/>
    <w:rsid w:val="006B2773"/>
    <w:rsid w:val="006B390C"/>
    <w:rsid w:val="006B3B30"/>
    <w:rsid w:val="006B5226"/>
    <w:rsid w:val="006B6AD3"/>
    <w:rsid w:val="006B71C4"/>
    <w:rsid w:val="006B7239"/>
    <w:rsid w:val="006C01C9"/>
    <w:rsid w:val="006C2E47"/>
    <w:rsid w:val="006C3FAD"/>
    <w:rsid w:val="006C68DF"/>
    <w:rsid w:val="006C7AD2"/>
    <w:rsid w:val="006D2B43"/>
    <w:rsid w:val="006D7A56"/>
    <w:rsid w:val="006E0D23"/>
    <w:rsid w:val="006E37BD"/>
    <w:rsid w:val="006E3CB5"/>
    <w:rsid w:val="006E3FA9"/>
    <w:rsid w:val="006E4C0E"/>
    <w:rsid w:val="006E4CF3"/>
    <w:rsid w:val="006E75AA"/>
    <w:rsid w:val="006F05F8"/>
    <w:rsid w:val="006F1831"/>
    <w:rsid w:val="006F7454"/>
    <w:rsid w:val="006F7D00"/>
    <w:rsid w:val="00700AB0"/>
    <w:rsid w:val="00700C71"/>
    <w:rsid w:val="007017D6"/>
    <w:rsid w:val="00702077"/>
    <w:rsid w:val="007035F8"/>
    <w:rsid w:val="00707597"/>
    <w:rsid w:val="00710886"/>
    <w:rsid w:val="00711A02"/>
    <w:rsid w:val="00712FE2"/>
    <w:rsid w:val="00714909"/>
    <w:rsid w:val="00722006"/>
    <w:rsid w:val="00722BAA"/>
    <w:rsid w:val="00723E76"/>
    <w:rsid w:val="00725E68"/>
    <w:rsid w:val="00727608"/>
    <w:rsid w:val="00730915"/>
    <w:rsid w:val="007309D7"/>
    <w:rsid w:val="0073200F"/>
    <w:rsid w:val="00732E2C"/>
    <w:rsid w:val="00734B28"/>
    <w:rsid w:val="00736AF3"/>
    <w:rsid w:val="00736D7D"/>
    <w:rsid w:val="00740287"/>
    <w:rsid w:val="00741380"/>
    <w:rsid w:val="00747DF5"/>
    <w:rsid w:val="00750C8E"/>
    <w:rsid w:val="00750E99"/>
    <w:rsid w:val="0075207E"/>
    <w:rsid w:val="0075258D"/>
    <w:rsid w:val="00753034"/>
    <w:rsid w:val="0076009E"/>
    <w:rsid w:val="007651CE"/>
    <w:rsid w:val="00766547"/>
    <w:rsid w:val="00771416"/>
    <w:rsid w:val="00771CE9"/>
    <w:rsid w:val="00773331"/>
    <w:rsid w:val="00774C06"/>
    <w:rsid w:val="00775C21"/>
    <w:rsid w:val="0078030A"/>
    <w:rsid w:val="00781972"/>
    <w:rsid w:val="00783A53"/>
    <w:rsid w:val="0078426D"/>
    <w:rsid w:val="00785D87"/>
    <w:rsid w:val="00786EB6"/>
    <w:rsid w:val="007876AA"/>
    <w:rsid w:val="00790F2E"/>
    <w:rsid w:val="007920C8"/>
    <w:rsid w:val="00792610"/>
    <w:rsid w:val="00792C37"/>
    <w:rsid w:val="007932EF"/>
    <w:rsid w:val="00794224"/>
    <w:rsid w:val="007961D6"/>
    <w:rsid w:val="00796E42"/>
    <w:rsid w:val="007A00FD"/>
    <w:rsid w:val="007A02EA"/>
    <w:rsid w:val="007A0D2B"/>
    <w:rsid w:val="007A12F4"/>
    <w:rsid w:val="007A15C9"/>
    <w:rsid w:val="007A3187"/>
    <w:rsid w:val="007A326D"/>
    <w:rsid w:val="007A5012"/>
    <w:rsid w:val="007B043A"/>
    <w:rsid w:val="007B0B34"/>
    <w:rsid w:val="007B1732"/>
    <w:rsid w:val="007B1C4D"/>
    <w:rsid w:val="007B3098"/>
    <w:rsid w:val="007B7EE7"/>
    <w:rsid w:val="007C3177"/>
    <w:rsid w:val="007C4A17"/>
    <w:rsid w:val="007C6934"/>
    <w:rsid w:val="007D2838"/>
    <w:rsid w:val="007D3614"/>
    <w:rsid w:val="007D39C9"/>
    <w:rsid w:val="007D4EC7"/>
    <w:rsid w:val="007D5D4F"/>
    <w:rsid w:val="007D6134"/>
    <w:rsid w:val="007D6C3B"/>
    <w:rsid w:val="007E05B0"/>
    <w:rsid w:val="007E1BB2"/>
    <w:rsid w:val="007E5165"/>
    <w:rsid w:val="007E6728"/>
    <w:rsid w:val="007F10C9"/>
    <w:rsid w:val="007F2DCC"/>
    <w:rsid w:val="007F2E6F"/>
    <w:rsid w:val="007F4B86"/>
    <w:rsid w:val="007F6E47"/>
    <w:rsid w:val="007F7A7B"/>
    <w:rsid w:val="0080054D"/>
    <w:rsid w:val="00803CDD"/>
    <w:rsid w:val="00805EB2"/>
    <w:rsid w:val="00811671"/>
    <w:rsid w:val="008123E5"/>
    <w:rsid w:val="008124D0"/>
    <w:rsid w:val="008129BB"/>
    <w:rsid w:val="00812C1B"/>
    <w:rsid w:val="00812E54"/>
    <w:rsid w:val="00813B5B"/>
    <w:rsid w:val="00816490"/>
    <w:rsid w:val="00817352"/>
    <w:rsid w:val="00817470"/>
    <w:rsid w:val="00818C39"/>
    <w:rsid w:val="00823B93"/>
    <w:rsid w:val="00824125"/>
    <w:rsid w:val="0082471E"/>
    <w:rsid w:val="00825813"/>
    <w:rsid w:val="00825D60"/>
    <w:rsid w:val="008325EA"/>
    <w:rsid w:val="00832EDC"/>
    <w:rsid w:val="00834496"/>
    <w:rsid w:val="008377E5"/>
    <w:rsid w:val="00837F4C"/>
    <w:rsid w:val="00840B28"/>
    <w:rsid w:val="008411B3"/>
    <w:rsid w:val="0084124B"/>
    <w:rsid w:val="008425D8"/>
    <w:rsid w:val="00844CAF"/>
    <w:rsid w:val="008472C1"/>
    <w:rsid w:val="0085210B"/>
    <w:rsid w:val="00853B58"/>
    <w:rsid w:val="00856A21"/>
    <w:rsid w:val="00856E73"/>
    <w:rsid w:val="00865E82"/>
    <w:rsid w:val="0086767D"/>
    <w:rsid w:val="00870A0B"/>
    <w:rsid w:val="00873512"/>
    <w:rsid w:val="00874D22"/>
    <w:rsid w:val="00876431"/>
    <w:rsid w:val="00877021"/>
    <w:rsid w:val="0088014E"/>
    <w:rsid w:val="00881113"/>
    <w:rsid w:val="00881455"/>
    <w:rsid w:val="0088308C"/>
    <w:rsid w:val="008831A1"/>
    <w:rsid w:val="0088488A"/>
    <w:rsid w:val="008848E2"/>
    <w:rsid w:val="0088538A"/>
    <w:rsid w:val="008857A5"/>
    <w:rsid w:val="008857B9"/>
    <w:rsid w:val="00886646"/>
    <w:rsid w:val="008866C9"/>
    <w:rsid w:val="0088AE84"/>
    <w:rsid w:val="00890510"/>
    <w:rsid w:val="00890EF7"/>
    <w:rsid w:val="008939F9"/>
    <w:rsid w:val="00894E5E"/>
    <w:rsid w:val="00896E6D"/>
    <w:rsid w:val="008A05AF"/>
    <w:rsid w:val="008A1739"/>
    <w:rsid w:val="008A245A"/>
    <w:rsid w:val="008A2914"/>
    <w:rsid w:val="008A2B82"/>
    <w:rsid w:val="008A4786"/>
    <w:rsid w:val="008A4D82"/>
    <w:rsid w:val="008A6BD6"/>
    <w:rsid w:val="008A72A2"/>
    <w:rsid w:val="008AA115"/>
    <w:rsid w:val="008B351E"/>
    <w:rsid w:val="008B3EFA"/>
    <w:rsid w:val="008B465E"/>
    <w:rsid w:val="008B6BEE"/>
    <w:rsid w:val="008C06B0"/>
    <w:rsid w:val="008C12DB"/>
    <w:rsid w:val="008C4321"/>
    <w:rsid w:val="008C4F63"/>
    <w:rsid w:val="008C5296"/>
    <w:rsid w:val="008C6873"/>
    <w:rsid w:val="008C6CC3"/>
    <w:rsid w:val="008C922D"/>
    <w:rsid w:val="008D028F"/>
    <w:rsid w:val="008D19DA"/>
    <w:rsid w:val="008D1A47"/>
    <w:rsid w:val="008D4188"/>
    <w:rsid w:val="008D5A21"/>
    <w:rsid w:val="008D7C9B"/>
    <w:rsid w:val="008E14DD"/>
    <w:rsid w:val="008E1949"/>
    <w:rsid w:val="008E4243"/>
    <w:rsid w:val="008E4815"/>
    <w:rsid w:val="008E4D8E"/>
    <w:rsid w:val="008E50F2"/>
    <w:rsid w:val="008E56EA"/>
    <w:rsid w:val="008E5795"/>
    <w:rsid w:val="008E7D51"/>
    <w:rsid w:val="008F2ADA"/>
    <w:rsid w:val="008F3A8B"/>
    <w:rsid w:val="008F7454"/>
    <w:rsid w:val="00900062"/>
    <w:rsid w:val="0090223C"/>
    <w:rsid w:val="0090489F"/>
    <w:rsid w:val="009067AD"/>
    <w:rsid w:val="0091065E"/>
    <w:rsid w:val="00911D67"/>
    <w:rsid w:val="009158AD"/>
    <w:rsid w:val="0092201E"/>
    <w:rsid w:val="009251B9"/>
    <w:rsid w:val="0092597E"/>
    <w:rsid w:val="00925C7D"/>
    <w:rsid w:val="009260EE"/>
    <w:rsid w:val="00927228"/>
    <w:rsid w:val="009363D4"/>
    <w:rsid w:val="00936E4A"/>
    <w:rsid w:val="0093736D"/>
    <w:rsid w:val="00941389"/>
    <w:rsid w:val="00945E1A"/>
    <w:rsid w:val="009465E3"/>
    <w:rsid w:val="00946BE8"/>
    <w:rsid w:val="00946C65"/>
    <w:rsid w:val="009471C4"/>
    <w:rsid w:val="009483A5"/>
    <w:rsid w:val="009500DD"/>
    <w:rsid w:val="00951FBB"/>
    <w:rsid w:val="009549C0"/>
    <w:rsid w:val="00954AEA"/>
    <w:rsid w:val="00955079"/>
    <w:rsid w:val="00956338"/>
    <w:rsid w:val="00956CBB"/>
    <w:rsid w:val="0095709D"/>
    <w:rsid w:val="00957853"/>
    <w:rsid w:val="0096233A"/>
    <w:rsid w:val="0096315A"/>
    <w:rsid w:val="0096347A"/>
    <w:rsid w:val="00964FD5"/>
    <w:rsid w:val="00971F86"/>
    <w:rsid w:val="00972011"/>
    <w:rsid w:val="009773B3"/>
    <w:rsid w:val="009776E3"/>
    <w:rsid w:val="00982E91"/>
    <w:rsid w:val="00985D11"/>
    <w:rsid w:val="00990284"/>
    <w:rsid w:val="00991ED7"/>
    <w:rsid w:val="009A22FC"/>
    <w:rsid w:val="009B1609"/>
    <w:rsid w:val="009B1950"/>
    <w:rsid w:val="009B25A3"/>
    <w:rsid w:val="009B32EB"/>
    <w:rsid w:val="009B3575"/>
    <w:rsid w:val="009B70E0"/>
    <w:rsid w:val="009C42E7"/>
    <w:rsid w:val="009C4B57"/>
    <w:rsid w:val="009C7146"/>
    <w:rsid w:val="009D014F"/>
    <w:rsid w:val="009D0172"/>
    <w:rsid w:val="009D6082"/>
    <w:rsid w:val="009D6A16"/>
    <w:rsid w:val="009D6D7D"/>
    <w:rsid w:val="009E7FCC"/>
    <w:rsid w:val="009F416F"/>
    <w:rsid w:val="009F4C11"/>
    <w:rsid w:val="009F6926"/>
    <w:rsid w:val="009F6ED6"/>
    <w:rsid w:val="00A01547"/>
    <w:rsid w:val="00A01844"/>
    <w:rsid w:val="00A04C54"/>
    <w:rsid w:val="00A10156"/>
    <w:rsid w:val="00A11498"/>
    <w:rsid w:val="00A1185E"/>
    <w:rsid w:val="00A13061"/>
    <w:rsid w:val="00A14D53"/>
    <w:rsid w:val="00A16737"/>
    <w:rsid w:val="00A20B82"/>
    <w:rsid w:val="00A230FB"/>
    <w:rsid w:val="00A23CF7"/>
    <w:rsid w:val="00A24727"/>
    <w:rsid w:val="00A2575A"/>
    <w:rsid w:val="00A27FB8"/>
    <w:rsid w:val="00A354CC"/>
    <w:rsid w:val="00A35C73"/>
    <w:rsid w:val="00A434EC"/>
    <w:rsid w:val="00A43895"/>
    <w:rsid w:val="00A475FF"/>
    <w:rsid w:val="00A502C2"/>
    <w:rsid w:val="00A50EB6"/>
    <w:rsid w:val="00A534D6"/>
    <w:rsid w:val="00A5404E"/>
    <w:rsid w:val="00A55012"/>
    <w:rsid w:val="00A56CA9"/>
    <w:rsid w:val="00A56F2B"/>
    <w:rsid w:val="00A67AC5"/>
    <w:rsid w:val="00A71610"/>
    <w:rsid w:val="00A73082"/>
    <w:rsid w:val="00A74DD1"/>
    <w:rsid w:val="00A77EF0"/>
    <w:rsid w:val="00A81B32"/>
    <w:rsid w:val="00A81C85"/>
    <w:rsid w:val="00A92FB1"/>
    <w:rsid w:val="00A93F79"/>
    <w:rsid w:val="00A94546"/>
    <w:rsid w:val="00A9636C"/>
    <w:rsid w:val="00A96382"/>
    <w:rsid w:val="00AA0857"/>
    <w:rsid w:val="00AA1F72"/>
    <w:rsid w:val="00AA2C3C"/>
    <w:rsid w:val="00AA3E83"/>
    <w:rsid w:val="00AA4AE3"/>
    <w:rsid w:val="00AA5DFF"/>
    <w:rsid w:val="00AA5FAA"/>
    <w:rsid w:val="00AA7D65"/>
    <w:rsid w:val="00AB0996"/>
    <w:rsid w:val="00AB15C4"/>
    <w:rsid w:val="00AB4F7A"/>
    <w:rsid w:val="00AC032F"/>
    <w:rsid w:val="00AC2A6C"/>
    <w:rsid w:val="00AC6F86"/>
    <w:rsid w:val="00AC704B"/>
    <w:rsid w:val="00AD05DC"/>
    <w:rsid w:val="00AD131E"/>
    <w:rsid w:val="00AD23C1"/>
    <w:rsid w:val="00AD3491"/>
    <w:rsid w:val="00AD4801"/>
    <w:rsid w:val="00AD7F54"/>
    <w:rsid w:val="00AE146B"/>
    <w:rsid w:val="00AE21BF"/>
    <w:rsid w:val="00AE48E3"/>
    <w:rsid w:val="00AE6ECC"/>
    <w:rsid w:val="00AE72D4"/>
    <w:rsid w:val="00AF28C3"/>
    <w:rsid w:val="00AF3973"/>
    <w:rsid w:val="00AF3AA4"/>
    <w:rsid w:val="00AF4926"/>
    <w:rsid w:val="00B01A6D"/>
    <w:rsid w:val="00B04A34"/>
    <w:rsid w:val="00B05BB2"/>
    <w:rsid w:val="00B1190B"/>
    <w:rsid w:val="00B13B14"/>
    <w:rsid w:val="00B13FCD"/>
    <w:rsid w:val="00B14A63"/>
    <w:rsid w:val="00B14F18"/>
    <w:rsid w:val="00B15678"/>
    <w:rsid w:val="00B15BF2"/>
    <w:rsid w:val="00B2050D"/>
    <w:rsid w:val="00B214EF"/>
    <w:rsid w:val="00B215C5"/>
    <w:rsid w:val="00B22A09"/>
    <w:rsid w:val="00B249AB"/>
    <w:rsid w:val="00B26735"/>
    <w:rsid w:val="00B26C06"/>
    <w:rsid w:val="00B31C31"/>
    <w:rsid w:val="00B34394"/>
    <w:rsid w:val="00B34542"/>
    <w:rsid w:val="00B34EDD"/>
    <w:rsid w:val="00B37D64"/>
    <w:rsid w:val="00B40AA0"/>
    <w:rsid w:val="00B41621"/>
    <w:rsid w:val="00B42A85"/>
    <w:rsid w:val="00B52A68"/>
    <w:rsid w:val="00B533C6"/>
    <w:rsid w:val="00B53606"/>
    <w:rsid w:val="00B567B0"/>
    <w:rsid w:val="00B600EB"/>
    <w:rsid w:val="00B63111"/>
    <w:rsid w:val="00B63DE9"/>
    <w:rsid w:val="00B66125"/>
    <w:rsid w:val="00B66F87"/>
    <w:rsid w:val="00B752AB"/>
    <w:rsid w:val="00B753D1"/>
    <w:rsid w:val="00B75A29"/>
    <w:rsid w:val="00B762CB"/>
    <w:rsid w:val="00B77ED8"/>
    <w:rsid w:val="00B85227"/>
    <w:rsid w:val="00B934F1"/>
    <w:rsid w:val="00B95372"/>
    <w:rsid w:val="00B956F2"/>
    <w:rsid w:val="00B96C28"/>
    <w:rsid w:val="00BA0395"/>
    <w:rsid w:val="00BA0857"/>
    <w:rsid w:val="00BA0BCF"/>
    <w:rsid w:val="00BA0C22"/>
    <w:rsid w:val="00BA1054"/>
    <w:rsid w:val="00BA4E53"/>
    <w:rsid w:val="00BA60CC"/>
    <w:rsid w:val="00BA78D9"/>
    <w:rsid w:val="00BB0668"/>
    <w:rsid w:val="00BB3126"/>
    <w:rsid w:val="00BB7F58"/>
    <w:rsid w:val="00BC0981"/>
    <w:rsid w:val="00BC0AB5"/>
    <w:rsid w:val="00BC0AF0"/>
    <w:rsid w:val="00BC226B"/>
    <w:rsid w:val="00BC3C84"/>
    <w:rsid w:val="00BC491C"/>
    <w:rsid w:val="00BC6487"/>
    <w:rsid w:val="00BC68DE"/>
    <w:rsid w:val="00BC6BA7"/>
    <w:rsid w:val="00BC6DEE"/>
    <w:rsid w:val="00BC7D23"/>
    <w:rsid w:val="00BD07C4"/>
    <w:rsid w:val="00BD2260"/>
    <w:rsid w:val="00BD3739"/>
    <w:rsid w:val="00BD67FE"/>
    <w:rsid w:val="00BD7268"/>
    <w:rsid w:val="00BD741C"/>
    <w:rsid w:val="00BD77AA"/>
    <w:rsid w:val="00BE061D"/>
    <w:rsid w:val="00BE0918"/>
    <w:rsid w:val="00BE3960"/>
    <w:rsid w:val="00BE3D40"/>
    <w:rsid w:val="00BF2355"/>
    <w:rsid w:val="00BF33ED"/>
    <w:rsid w:val="00BF3749"/>
    <w:rsid w:val="00BF39EF"/>
    <w:rsid w:val="00BF3E15"/>
    <w:rsid w:val="00BF5E02"/>
    <w:rsid w:val="00BF5FD3"/>
    <w:rsid w:val="00BF750F"/>
    <w:rsid w:val="00C00341"/>
    <w:rsid w:val="00C0112C"/>
    <w:rsid w:val="00C045F0"/>
    <w:rsid w:val="00C060ED"/>
    <w:rsid w:val="00C064F5"/>
    <w:rsid w:val="00C12301"/>
    <w:rsid w:val="00C125C5"/>
    <w:rsid w:val="00C16E36"/>
    <w:rsid w:val="00C17F87"/>
    <w:rsid w:val="00C20864"/>
    <w:rsid w:val="00C2142E"/>
    <w:rsid w:val="00C21D4C"/>
    <w:rsid w:val="00C235C1"/>
    <w:rsid w:val="00C239D0"/>
    <w:rsid w:val="00C25CCF"/>
    <w:rsid w:val="00C274D7"/>
    <w:rsid w:val="00C275DE"/>
    <w:rsid w:val="00C276C0"/>
    <w:rsid w:val="00C27B1D"/>
    <w:rsid w:val="00C31BAE"/>
    <w:rsid w:val="00C3551D"/>
    <w:rsid w:val="00C35E38"/>
    <w:rsid w:val="00C40848"/>
    <w:rsid w:val="00C41AB6"/>
    <w:rsid w:val="00C43D08"/>
    <w:rsid w:val="00C46530"/>
    <w:rsid w:val="00C498B6"/>
    <w:rsid w:val="00C52048"/>
    <w:rsid w:val="00C523ED"/>
    <w:rsid w:val="00C53D3E"/>
    <w:rsid w:val="00C55249"/>
    <w:rsid w:val="00C564BE"/>
    <w:rsid w:val="00C6202E"/>
    <w:rsid w:val="00C62DC7"/>
    <w:rsid w:val="00C62F41"/>
    <w:rsid w:val="00C63ABB"/>
    <w:rsid w:val="00C63D96"/>
    <w:rsid w:val="00C650B2"/>
    <w:rsid w:val="00C65B93"/>
    <w:rsid w:val="00C65FCB"/>
    <w:rsid w:val="00C668F9"/>
    <w:rsid w:val="00C66A47"/>
    <w:rsid w:val="00C71F79"/>
    <w:rsid w:val="00C73801"/>
    <w:rsid w:val="00C73979"/>
    <w:rsid w:val="00C746E7"/>
    <w:rsid w:val="00C754CE"/>
    <w:rsid w:val="00C800BD"/>
    <w:rsid w:val="00C81CA6"/>
    <w:rsid w:val="00C8311E"/>
    <w:rsid w:val="00C8416B"/>
    <w:rsid w:val="00C86361"/>
    <w:rsid w:val="00C8655D"/>
    <w:rsid w:val="00C92878"/>
    <w:rsid w:val="00C92A57"/>
    <w:rsid w:val="00C961F8"/>
    <w:rsid w:val="00C962E7"/>
    <w:rsid w:val="00C96544"/>
    <w:rsid w:val="00C96B2C"/>
    <w:rsid w:val="00C974BA"/>
    <w:rsid w:val="00CA14FD"/>
    <w:rsid w:val="00CA3EAE"/>
    <w:rsid w:val="00CA5AAA"/>
    <w:rsid w:val="00CB1623"/>
    <w:rsid w:val="00CB28C0"/>
    <w:rsid w:val="00CB4643"/>
    <w:rsid w:val="00CB548D"/>
    <w:rsid w:val="00CB5DE3"/>
    <w:rsid w:val="00CB6B5A"/>
    <w:rsid w:val="00CC177F"/>
    <w:rsid w:val="00CC742A"/>
    <w:rsid w:val="00CC7629"/>
    <w:rsid w:val="00CD0E6E"/>
    <w:rsid w:val="00CD2078"/>
    <w:rsid w:val="00CD25CC"/>
    <w:rsid w:val="00CD3F44"/>
    <w:rsid w:val="00CD54BA"/>
    <w:rsid w:val="00CD7F86"/>
    <w:rsid w:val="00CE0C3D"/>
    <w:rsid w:val="00CE2477"/>
    <w:rsid w:val="00CE7E51"/>
    <w:rsid w:val="00CF0723"/>
    <w:rsid w:val="00CF079D"/>
    <w:rsid w:val="00CF07DC"/>
    <w:rsid w:val="00CF1A3A"/>
    <w:rsid w:val="00CF25A6"/>
    <w:rsid w:val="00CF42E9"/>
    <w:rsid w:val="00CF4C2D"/>
    <w:rsid w:val="00D02B23"/>
    <w:rsid w:val="00D02DDA"/>
    <w:rsid w:val="00D04E75"/>
    <w:rsid w:val="00D067D8"/>
    <w:rsid w:val="00D0739C"/>
    <w:rsid w:val="00D11D06"/>
    <w:rsid w:val="00D17DCE"/>
    <w:rsid w:val="00D20381"/>
    <w:rsid w:val="00D30903"/>
    <w:rsid w:val="00D320AF"/>
    <w:rsid w:val="00D3266A"/>
    <w:rsid w:val="00D33AA6"/>
    <w:rsid w:val="00D36583"/>
    <w:rsid w:val="00D40D01"/>
    <w:rsid w:val="00D453CB"/>
    <w:rsid w:val="00D45B77"/>
    <w:rsid w:val="00D515FC"/>
    <w:rsid w:val="00D5530B"/>
    <w:rsid w:val="00D60C84"/>
    <w:rsid w:val="00D61AF9"/>
    <w:rsid w:val="00D61C2E"/>
    <w:rsid w:val="00D634B0"/>
    <w:rsid w:val="00D65DD3"/>
    <w:rsid w:val="00D66A7C"/>
    <w:rsid w:val="00D6743C"/>
    <w:rsid w:val="00D67892"/>
    <w:rsid w:val="00D746DC"/>
    <w:rsid w:val="00D75E29"/>
    <w:rsid w:val="00D77C40"/>
    <w:rsid w:val="00D81EDA"/>
    <w:rsid w:val="00D82BEE"/>
    <w:rsid w:val="00D83269"/>
    <w:rsid w:val="00D8423C"/>
    <w:rsid w:val="00D846E1"/>
    <w:rsid w:val="00D86DAB"/>
    <w:rsid w:val="00D87D84"/>
    <w:rsid w:val="00D909FE"/>
    <w:rsid w:val="00D92C7B"/>
    <w:rsid w:val="00D92E63"/>
    <w:rsid w:val="00D93F7A"/>
    <w:rsid w:val="00DA13EE"/>
    <w:rsid w:val="00DA2A66"/>
    <w:rsid w:val="00DA3866"/>
    <w:rsid w:val="00DA4923"/>
    <w:rsid w:val="00DA7FBC"/>
    <w:rsid w:val="00DB09E8"/>
    <w:rsid w:val="00DB1915"/>
    <w:rsid w:val="00DB28D0"/>
    <w:rsid w:val="00DB48B9"/>
    <w:rsid w:val="00DB563D"/>
    <w:rsid w:val="00DB74E3"/>
    <w:rsid w:val="00DC1321"/>
    <w:rsid w:val="00DC28BF"/>
    <w:rsid w:val="00DC6879"/>
    <w:rsid w:val="00DD02D1"/>
    <w:rsid w:val="00DD0B78"/>
    <w:rsid w:val="00DD44AB"/>
    <w:rsid w:val="00DD5D1F"/>
    <w:rsid w:val="00DD63EA"/>
    <w:rsid w:val="00DD6D4B"/>
    <w:rsid w:val="00DD73BD"/>
    <w:rsid w:val="00DE04D9"/>
    <w:rsid w:val="00DE0A78"/>
    <w:rsid w:val="00DE65C2"/>
    <w:rsid w:val="00DE663E"/>
    <w:rsid w:val="00DE70F9"/>
    <w:rsid w:val="00DE7269"/>
    <w:rsid w:val="00DF32F8"/>
    <w:rsid w:val="00DF3416"/>
    <w:rsid w:val="00DF4F6B"/>
    <w:rsid w:val="00DF7915"/>
    <w:rsid w:val="00E00B5C"/>
    <w:rsid w:val="00E02844"/>
    <w:rsid w:val="00E136F5"/>
    <w:rsid w:val="00E1700C"/>
    <w:rsid w:val="00E1751F"/>
    <w:rsid w:val="00E21974"/>
    <w:rsid w:val="00E222C4"/>
    <w:rsid w:val="00E22562"/>
    <w:rsid w:val="00E23FD8"/>
    <w:rsid w:val="00E2694F"/>
    <w:rsid w:val="00E26FF1"/>
    <w:rsid w:val="00E279BD"/>
    <w:rsid w:val="00E30783"/>
    <w:rsid w:val="00E3295E"/>
    <w:rsid w:val="00E34158"/>
    <w:rsid w:val="00E36400"/>
    <w:rsid w:val="00E4290C"/>
    <w:rsid w:val="00E44E4D"/>
    <w:rsid w:val="00E47885"/>
    <w:rsid w:val="00E50620"/>
    <w:rsid w:val="00E5324F"/>
    <w:rsid w:val="00E567BF"/>
    <w:rsid w:val="00E61380"/>
    <w:rsid w:val="00E61CEE"/>
    <w:rsid w:val="00E63449"/>
    <w:rsid w:val="00E65408"/>
    <w:rsid w:val="00E65C0D"/>
    <w:rsid w:val="00E66459"/>
    <w:rsid w:val="00E7038A"/>
    <w:rsid w:val="00E71029"/>
    <w:rsid w:val="00E72291"/>
    <w:rsid w:val="00E74B1E"/>
    <w:rsid w:val="00E76D05"/>
    <w:rsid w:val="00E77499"/>
    <w:rsid w:val="00E82C1A"/>
    <w:rsid w:val="00E82C23"/>
    <w:rsid w:val="00E8313C"/>
    <w:rsid w:val="00E853C2"/>
    <w:rsid w:val="00E8705A"/>
    <w:rsid w:val="00E87219"/>
    <w:rsid w:val="00E87442"/>
    <w:rsid w:val="00E876B9"/>
    <w:rsid w:val="00E87D91"/>
    <w:rsid w:val="00E92F9B"/>
    <w:rsid w:val="00E93598"/>
    <w:rsid w:val="00E94935"/>
    <w:rsid w:val="00E95A83"/>
    <w:rsid w:val="00E96941"/>
    <w:rsid w:val="00EA06A1"/>
    <w:rsid w:val="00EA2EC5"/>
    <w:rsid w:val="00EA349B"/>
    <w:rsid w:val="00EA5F39"/>
    <w:rsid w:val="00EA7638"/>
    <w:rsid w:val="00EB0608"/>
    <w:rsid w:val="00EB3E33"/>
    <w:rsid w:val="00EB4E53"/>
    <w:rsid w:val="00EB5562"/>
    <w:rsid w:val="00EB5E32"/>
    <w:rsid w:val="00EB7A40"/>
    <w:rsid w:val="00EC2128"/>
    <w:rsid w:val="00EC2175"/>
    <w:rsid w:val="00EC4257"/>
    <w:rsid w:val="00EC66A6"/>
    <w:rsid w:val="00EC7E0D"/>
    <w:rsid w:val="00ED1AF7"/>
    <w:rsid w:val="00ED3834"/>
    <w:rsid w:val="00EE3037"/>
    <w:rsid w:val="00EE3D7A"/>
    <w:rsid w:val="00EE48F4"/>
    <w:rsid w:val="00EE789B"/>
    <w:rsid w:val="00EF2622"/>
    <w:rsid w:val="00EF4713"/>
    <w:rsid w:val="00EF5DCE"/>
    <w:rsid w:val="00EF7B36"/>
    <w:rsid w:val="00F0132F"/>
    <w:rsid w:val="00F02B06"/>
    <w:rsid w:val="00F06D3F"/>
    <w:rsid w:val="00F075DA"/>
    <w:rsid w:val="00F07F11"/>
    <w:rsid w:val="00F10BFC"/>
    <w:rsid w:val="00F1383F"/>
    <w:rsid w:val="00F13BCB"/>
    <w:rsid w:val="00F13D4F"/>
    <w:rsid w:val="00F14B21"/>
    <w:rsid w:val="00F207E1"/>
    <w:rsid w:val="00F22138"/>
    <w:rsid w:val="00F24819"/>
    <w:rsid w:val="00F248F5"/>
    <w:rsid w:val="00F25A88"/>
    <w:rsid w:val="00F26E1D"/>
    <w:rsid w:val="00F272AF"/>
    <w:rsid w:val="00F3077C"/>
    <w:rsid w:val="00F311F3"/>
    <w:rsid w:val="00F31C9A"/>
    <w:rsid w:val="00F336F1"/>
    <w:rsid w:val="00F34BDE"/>
    <w:rsid w:val="00F350AC"/>
    <w:rsid w:val="00F41D34"/>
    <w:rsid w:val="00F44D9D"/>
    <w:rsid w:val="00F4534F"/>
    <w:rsid w:val="00F46E78"/>
    <w:rsid w:val="00F52662"/>
    <w:rsid w:val="00F5280B"/>
    <w:rsid w:val="00F52CDF"/>
    <w:rsid w:val="00F54451"/>
    <w:rsid w:val="00F5520D"/>
    <w:rsid w:val="00F570E7"/>
    <w:rsid w:val="00F57235"/>
    <w:rsid w:val="00F6076F"/>
    <w:rsid w:val="00F61D49"/>
    <w:rsid w:val="00F62F0C"/>
    <w:rsid w:val="00F651CC"/>
    <w:rsid w:val="00F65203"/>
    <w:rsid w:val="00F711BD"/>
    <w:rsid w:val="00F71EE8"/>
    <w:rsid w:val="00F72B88"/>
    <w:rsid w:val="00F73684"/>
    <w:rsid w:val="00F742E8"/>
    <w:rsid w:val="00F7582F"/>
    <w:rsid w:val="00F7673E"/>
    <w:rsid w:val="00F76A40"/>
    <w:rsid w:val="00F76B06"/>
    <w:rsid w:val="00F80F78"/>
    <w:rsid w:val="00F814E6"/>
    <w:rsid w:val="00F831D4"/>
    <w:rsid w:val="00F83869"/>
    <w:rsid w:val="00F86160"/>
    <w:rsid w:val="00F9024A"/>
    <w:rsid w:val="00F9061A"/>
    <w:rsid w:val="00F90A59"/>
    <w:rsid w:val="00F90C91"/>
    <w:rsid w:val="00F969BE"/>
    <w:rsid w:val="00F97D99"/>
    <w:rsid w:val="00FA00D9"/>
    <w:rsid w:val="00FA1424"/>
    <w:rsid w:val="00FA19E5"/>
    <w:rsid w:val="00FA1E2D"/>
    <w:rsid w:val="00FA3E8C"/>
    <w:rsid w:val="00FA6F85"/>
    <w:rsid w:val="00FA7FBF"/>
    <w:rsid w:val="00FB57BD"/>
    <w:rsid w:val="00FC071C"/>
    <w:rsid w:val="00FC2C2B"/>
    <w:rsid w:val="00FC3247"/>
    <w:rsid w:val="00FC36B7"/>
    <w:rsid w:val="00FC38F8"/>
    <w:rsid w:val="00FC3C40"/>
    <w:rsid w:val="00FC4654"/>
    <w:rsid w:val="00FC4885"/>
    <w:rsid w:val="00FC517A"/>
    <w:rsid w:val="00FC5C72"/>
    <w:rsid w:val="00FD6CB4"/>
    <w:rsid w:val="00FE1111"/>
    <w:rsid w:val="00FE1250"/>
    <w:rsid w:val="00FE178C"/>
    <w:rsid w:val="00FE3A79"/>
    <w:rsid w:val="00FE4036"/>
    <w:rsid w:val="00FE72B9"/>
    <w:rsid w:val="00FE7FDD"/>
    <w:rsid w:val="00FF2896"/>
    <w:rsid w:val="00FF3112"/>
    <w:rsid w:val="012D1AFF"/>
    <w:rsid w:val="0132107E"/>
    <w:rsid w:val="01876007"/>
    <w:rsid w:val="018BF1BC"/>
    <w:rsid w:val="01FFC1FA"/>
    <w:rsid w:val="0226C3A3"/>
    <w:rsid w:val="026B7CCD"/>
    <w:rsid w:val="026D4184"/>
    <w:rsid w:val="031B1F60"/>
    <w:rsid w:val="03276BB3"/>
    <w:rsid w:val="0365D88C"/>
    <w:rsid w:val="037D3E95"/>
    <w:rsid w:val="03836109"/>
    <w:rsid w:val="03A579A0"/>
    <w:rsid w:val="03BA3396"/>
    <w:rsid w:val="03DE322B"/>
    <w:rsid w:val="03DF7BC4"/>
    <w:rsid w:val="0425AE70"/>
    <w:rsid w:val="042703CF"/>
    <w:rsid w:val="04820F6A"/>
    <w:rsid w:val="04A0E94E"/>
    <w:rsid w:val="04A321E8"/>
    <w:rsid w:val="04AE5132"/>
    <w:rsid w:val="04C3FFE6"/>
    <w:rsid w:val="04D89DDF"/>
    <w:rsid w:val="04E58D35"/>
    <w:rsid w:val="0500275D"/>
    <w:rsid w:val="0508DEB9"/>
    <w:rsid w:val="051EDC45"/>
    <w:rsid w:val="054354FC"/>
    <w:rsid w:val="054F3AD5"/>
    <w:rsid w:val="05583D31"/>
    <w:rsid w:val="0585D312"/>
    <w:rsid w:val="058B3CEB"/>
    <w:rsid w:val="0596040B"/>
    <w:rsid w:val="05A9CF81"/>
    <w:rsid w:val="05AC94DF"/>
    <w:rsid w:val="06236EC0"/>
    <w:rsid w:val="067AF373"/>
    <w:rsid w:val="06894F51"/>
    <w:rsid w:val="069E218A"/>
    <w:rsid w:val="06B7FADB"/>
    <w:rsid w:val="06CF229A"/>
    <w:rsid w:val="06DC13B0"/>
    <w:rsid w:val="06E3BB73"/>
    <w:rsid w:val="070FC1F9"/>
    <w:rsid w:val="07288F11"/>
    <w:rsid w:val="073657D7"/>
    <w:rsid w:val="07748539"/>
    <w:rsid w:val="07879692"/>
    <w:rsid w:val="07BBF85B"/>
    <w:rsid w:val="07F2553D"/>
    <w:rsid w:val="07F5F6C8"/>
    <w:rsid w:val="07FBA906"/>
    <w:rsid w:val="081F0144"/>
    <w:rsid w:val="0822E2CC"/>
    <w:rsid w:val="08367266"/>
    <w:rsid w:val="0871D127"/>
    <w:rsid w:val="0873FE09"/>
    <w:rsid w:val="08927AD9"/>
    <w:rsid w:val="08A18884"/>
    <w:rsid w:val="08F4F6E0"/>
    <w:rsid w:val="08F5AE30"/>
    <w:rsid w:val="0911C733"/>
    <w:rsid w:val="09376371"/>
    <w:rsid w:val="09396FDA"/>
    <w:rsid w:val="09831E55"/>
    <w:rsid w:val="098FF33A"/>
    <w:rsid w:val="09C20C0A"/>
    <w:rsid w:val="09F341B7"/>
    <w:rsid w:val="0A0028B9"/>
    <w:rsid w:val="0A488DAC"/>
    <w:rsid w:val="0AC02CDE"/>
    <w:rsid w:val="0AF49A89"/>
    <w:rsid w:val="0AF53AC5"/>
    <w:rsid w:val="0B05A426"/>
    <w:rsid w:val="0B0D9B18"/>
    <w:rsid w:val="0B1AE20E"/>
    <w:rsid w:val="0B24903B"/>
    <w:rsid w:val="0B591546"/>
    <w:rsid w:val="0B6DF086"/>
    <w:rsid w:val="0BA1A780"/>
    <w:rsid w:val="0BA96CD9"/>
    <w:rsid w:val="0BBAA102"/>
    <w:rsid w:val="0BBF68DD"/>
    <w:rsid w:val="0C943B39"/>
    <w:rsid w:val="0CB972FE"/>
    <w:rsid w:val="0CBEE970"/>
    <w:rsid w:val="0CC9A4F2"/>
    <w:rsid w:val="0CCBAA81"/>
    <w:rsid w:val="0CCC3393"/>
    <w:rsid w:val="0CF0E2D1"/>
    <w:rsid w:val="0D0D1F80"/>
    <w:rsid w:val="0D3F2608"/>
    <w:rsid w:val="0DC51C59"/>
    <w:rsid w:val="0DF81A7B"/>
    <w:rsid w:val="0E0ADD02"/>
    <w:rsid w:val="0E1BC916"/>
    <w:rsid w:val="0E5D4830"/>
    <w:rsid w:val="0E893749"/>
    <w:rsid w:val="0ED6CE6E"/>
    <w:rsid w:val="0EF070FD"/>
    <w:rsid w:val="0EFB2C1A"/>
    <w:rsid w:val="0F0757C6"/>
    <w:rsid w:val="0F079058"/>
    <w:rsid w:val="0F0B2325"/>
    <w:rsid w:val="0F177AA3"/>
    <w:rsid w:val="0F476C8B"/>
    <w:rsid w:val="0F6B141A"/>
    <w:rsid w:val="0F79E15D"/>
    <w:rsid w:val="0FE1FFF4"/>
    <w:rsid w:val="1002444A"/>
    <w:rsid w:val="101227D6"/>
    <w:rsid w:val="102D9D7F"/>
    <w:rsid w:val="1030002D"/>
    <w:rsid w:val="1103B3F5"/>
    <w:rsid w:val="1126EFC7"/>
    <w:rsid w:val="1148DA84"/>
    <w:rsid w:val="1169CAD0"/>
    <w:rsid w:val="11975402"/>
    <w:rsid w:val="11A737C1"/>
    <w:rsid w:val="120C4C06"/>
    <w:rsid w:val="12161BFD"/>
    <w:rsid w:val="121C5C89"/>
    <w:rsid w:val="12248A5B"/>
    <w:rsid w:val="12591E4D"/>
    <w:rsid w:val="127CDEBC"/>
    <w:rsid w:val="12898506"/>
    <w:rsid w:val="12AB8FD8"/>
    <w:rsid w:val="12BE6F9A"/>
    <w:rsid w:val="12E9FC1C"/>
    <w:rsid w:val="130004C2"/>
    <w:rsid w:val="1317F2A9"/>
    <w:rsid w:val="1320076D"/>
    <w:rsid w:val="13215B2F"/>
    <w:rsid w:val="13303290"/>
    <w:rsid w:val="13782478"/>
    <w:rsid w:val="13A02A94"/>
    <w:rsid w:val="141176F4"/>
    <w:rsid w:val="1434D6BD"/>
    <w:rsid w:val="14BB042E"/>
    <w:rsid w:val="14C8DF9A"/>
    <w:rsid w:val="14F25BB0"/>
    <w:rsid w:val="1502B509"/>
    <w:rsid w:val="15050999"/>
    <w:rsid w:val="152608E9"/>
    <w:rsid w:val="15482435"/>
    <w:rsid w:val="15561E5B"/>
    <w:rsid w:val="1558553A"/>
    <w:rsid w:val="1576178C"/>
    <w:rsid w:val="157ACC6A"/>
    <w:rsid w:val="1593468C"/>
    <w:rsid w:val="15A42781"/>
    <w:rsid w:val="15EBFC60"/>
    <w:rsid w:val="16131E2A"/>
    <w:rsid w:val="164B61A4"/>
    <w:rsid w:val="16540C3B"/>
    <w:rsid w:val="16D23FF9"/>
    <w:rsid w:val="16E64717"/>
    <w:rsid w:val="16FB3814"/>
    <w:rsid w:val="1728FA9B"/>
    <w:rsid w:val="173425F1"/>
    <w:rsid w:val="175548B9"/>
    <w:rsid w:val="176BE265"/>
    <w:rsid w:val="17960538"/>
    <w:rsid w:val="18580BF1"/>
    <w:rsid w:val="18CDA770"/>
    <w:rsid w:val="18EBC8FC"/>
    <w:rsid w:val="18EFFB4D"/>
    <w:rsid w:val="1900D9CF"/>
    <w:rsid w:val="190E0C5C"/>
    <w:rsid w:val="191A905D"/>
    <w:rsid w:val="193E443C"/>
    <w:rsid w:val="1981DCE0"/>
    <w:rsid w:val="19A11F35"/>
    <w:rsid w:val="19A5EA17"/>
    <w:rsid w:val="19B290C6"/>
    <w:rsid w:val="19ECBB86"/>
    <w:rsid w:val="1A12FD30"/>
    <w:rsid w:val="1A74197A"/>
    <w:rsid w:val="1A773E37"/>
    <w:rsid w:val="1ABE2E83"/>
    <w:rsid w:val="1AD1F62D"/>
    <w:rsid w:val="1AE6F282"/>
    <w:rsid w:val="1AFFB734"/>
    <w:rsid w:val="1B0A2988"/>
    <w:rsid w:val="1B471B1C"/>
    <w:rsid w:val="1B55CD7F"/>
    <w:rsid w:val="1B6FAC6D"/>
    <w:rsid w:val="1B6FDFA3"/>
    <w:rsid w:val="1B70B133"/>
    <w:rsid w:val="1B777074"/>
    <w:rsid w:val="1B820FF5"/>
    <w:rsid w:val="1B9FFE18"/>
    <w:rsid w:val="1BF0DCD0"/>
    <w:rsid w:val="1C1E7DDD"/>
    <w:rsid w:val="1C204E96"/>
    <w:rsid w:val="1C23D277"/>
    <w:rsid w:val="1C54523F"/>
    <w:rsid w:val="1C5C6CFD"/>
    <w:rsid w:val="1C70A584"/>
    <w:rsid w:val="1C8EE802"/>
    <w:rsid w:val="1CA304E0"/>
    <w:rsid w:val="1CA820FE"/>
    <w:rsid w:val="1CD3B19D"/>
    <w:rsid w:val="1CE398AD"/>
    <w:rsid w:val="1D29975C"/>
    <w:rsid w:val="1D40E48F"/>
    <w:rsid w:val="1D42AF2A"/>
    <w:rsid w:val="1DB64DCC"/>
    <w:rsid w:val="1DCA0D55"/>
    <w:rsid w:val="1DDB9D07"/>
    <w:rsid w:val="1DF28B9E"/>
    <w:rsid w:val="1E1E4A83"/>
    <w:rsid w:val="1E4CD5C5"/>
    <w:rsid w:val="1E510B7E"/>
    <w:rsid w:val="1E617C15"/>
    <w:rsid w:val="1E7D540B"/>
    <w:rsid w:val="1E99DD82"/>
    <w:rsid w:val="1E9BABED"/>
    <w:rsid w:val="1EA1538B"/>
    <w:rsid w:val="1ED5C055"/>
    <w:rsid w:val="1EE5D16E"/>
    <w:rsid w:val="1EE84D77"/>
    <w:rsid w:val="1EEF034E"/>
    <w:rsid w:val="1F026542"/>
    <w:rsid w:val="1F5F78DB"/>
    <w:rsid w:val="1F6232A5"/>
    <w:rsid w:val="1F664839"/>
    <w:rsid w:val="1FA28B26"/>
    <w:rsid w:val="1FAE2DF9"/>
    <w:rsid w:val="1FC841E7"/>
    <w:rsid w:val="1FE85D6E"/>
    <w:rsid w:val="2010A09B"/>
    <w:rsid w:val="2031E2AA"/>
    <w:rsid w:val="203C6E40"/>
    <w:rsid w:val="2041F701"/>
    <w:rsid w:val="20A45A9A"/>
    <w:rsid w:val="20AB9210"/>
    <w:rsid w:val="20DBC7B4"/>
    <w:rsid w:val="20FA29B3"/>
    <w:rsid w:val="216A6C5D"/>
    <w:rsid w:val="218A9A6C"/>
    <w:rsid w:val="219E637F"/>
    <w:rsid w:val="21CDB594"/>
    <w:rsid w:val="2208EDE4"/>
    <w:rsid w:val="227AAF14"/>
    <w:rsid w:val="228C77F7"/>
    <w:rsid w:val="22B4E027"/>
    <w:rsid w:val="230B8042"/>
    <w:rsid w:val="232E538C"/>
    <w:rsid w:val="233ECC3D"/>
    <w:rsid w:val="237F2EEB"/>
    <w:rsid w:val="23B0B757"/>
    <w:rsid w:val="243B19CD"/>
    <w:rsid w:val="244FE1B0"/>
    <w:rsid w:val="2456A858"/>
    <w:rsid w:val="245FF27E"/>
    <w:rsid w:val="2474AA75"/>
    <w:rsid w:val="24C67379"/>
    <w:rsid w:val="24CCE9EF"/>
    <w:rsid w:val="24D7AC80"/>
    <w:rsid w:val="24DAC853"/>
    <w:rsid w:val="25054A57"/>
    <w:rsid w:val="25527531"/>
    <w:rsid w:val="2560961E"/>
    <w:rsid w:val="2587B927"/>
    <w:rsid w:val="2590D678"/>
    <w:rsid w:val="25F2DA5C"/>
    <w:rsid w:val="2606ABE8"/>
    <w:rsid w:val="26114B19"/>
    <w:rsid w:val="2618BA5C"/>
    <w:rsid w:val="262904D5"/>
    <w:rsid w:val="268960D8"/>
    <w:rsid w:val="26A9714F"/>
    <w:rsid w:val="26C61C5F"/>
    <w:rsid w:val="26E4E706"/>
    <w:rsid w:val="270B9B3F"/>
    <w:rsid w:val="272332B2"/>
    <w:rsid w:val="27668F31"/>
    <w:rsid w:val="277C36B9"/>
    <w:rsid w:val="2797A48D"/>
    <w:rsid w:val="27AC9566"/>
    <w:rsid w:val="27B37D0E"/>
    <w:rsid w:val="27B6D8A7"/>
    <w:rsid w:val="27BB8800"/>
    <w:rsid w:val="27EF9ED9"/>
    <w:rsid w:val="28236DD2"/>
    <w:rsid w:val="28237D2A"/>
    <w:rsid w:val="2827BDE9"/>
    <w:rsid w:val="28399160"/>
    <w:rsid w:val="289CB573"/>
    <w:rsid w:val="28ADB12C"/>
    <w:rsid w:val="28ECE249"/>
    <w:rsid w:val="28EF2020"/>
    <w:rsid w:val="28F52645"/>
    <w:rsid w:val="28FDF27C"/>
    <w:rsid w:val="292AE39B"/>
    <w:rsid w:val="294F75FE"/>
    <w:rsid w:val="29B124F3"/>
    <w:rsid w:val="29C51CD1"/>
    <w:rsid w:val="2A3C0A35"/>
    <w:rsid w:val="2A43DA4B"/>
    <w:rsid w:val="2A47E4A6"/>
    <w:rsid w:val="2A4E99E2"/>
    <w:rsid w:val="2AB6E0D6"/>
    <w:rsid w:val="2ABBD113"/>
    <w:rsid w:val="2B00679B"/>
    <w:rsid w:val="2B114F01"/>
    <w:rsid w:val="2B12152A"/>
    <w:rsid w:val="2B164BBB"/>
    <w:rsid w:val="2B5A8D32"/>
    <w:rsid w:val="2B7EC2E8"/>
    <w:rsid w:val="2B808607"/>
    <w:rsid w:val="2BCEF40F"/>
    <w:rsid w:val="2C098B91"/>
    <w:rsid w:val="2C13FDDC"/>
    <w:rsid w:val="2C5B5037"/>
    <w:rsid w:val="2C672B2A"/>
    <w:rsid w:val="2C79A894"/>
    <w:rsid w:val="2C9F5EEA"/>
    <w:rsid w:val="2CA9D9CB"/>
    <w:rsid w:val="2CD7CDB6"/>
    <w:rsid w:val="2CDF0CB7"/>
    <w:rsid w:val="2D0ABBC1"/>
    <w:rsid w:val="2D426FA6"/>
    <w:rsid w:val="2D50163B"/>
    <w:rsid w:val="2D77FECE"/>
    <w:rsid w:val="2D909687"/>
    <w:rsid w:val="2D929478"/>
    <w:rsid w:val="2E1BC3B4"/>
    <w:rsid w:val="2E31386D"/>
    <w:rsid w:val="2EA188AA"/>
    <w:rsid w:val="2EFA7D4D"/>
    <w:rsid w:val="2F19E3D1"/>
    <w:rsid w:val="2F20339A"/>
    <w:rsid w:val="2F3316DD"/>
    <w:rsid w:val="2F529224"/>
    <w:rsid w:val="2F691E90"/>
    <w:rsid w:val="2F78EAB0"/>
    <w:rsid w:val="2F9E9CD1"/>
    <w:rsid w:val="2FC389C6"/>
    <w:rsid w:val="2FF0B603"/>
    <w:rsid w:val="3005876D"/>
    <w:rsid w:val="30255831"/>
    <w:rsid w:val="3093B4C6"/>
    <w:rsid w:val="309B45E4"/>
    <w:rsid w:val="30B84291"/>
    <w:rsid w:val="30C74353"/>
    <w:rsid w:val="3106314B"/>
    <w:rsid w:val="3156791D"/>
    <w:rsid w:val="31868445"/>
    <w:rsid w:val="31897E99"/>
    <w:rsid w:val="31AC3411"/>
    <w:rsid w:val="31FCA27B"/>
    <w:rsid w:val="3251CE9B"/>
    <w:rsid w:val="32A81EAF"/>
    <w:rsid w:val="32B22CF2"/>
    <w:rsid w:val="32DDA0BF"/>
    <w:rsid w:val="32DFEE98"/>
    <w:rsid w:val="3303D89B"/>
    <w:rsid w:val="33083F4D"/>
    <w:rsid w:val="332AD833"/>
    <w:rsid w:val="33631C2E"/>
    <w:rsid w:val="33F9904F"/>
    <w:rsid w:val="3438B6B7"/>
    <w:rsid w:val="3480407B"/>
    <w:rsid w:val="3498661C"/>
    <w:rsid w:val="34AD1E7E"/>
    <w:rsid w:val="353862D3"/>
    <w:rsid w:val="353E4A15"/>
    <w:rsid w:val="35684C80"/>
    <w:rsid w:val="35B89B09"/>
    <w:rsid w:val="35DF7409"/>
    <w:rsid w:val="35EEB5DD"/>
    <w:rsid w:val="35FBBBBB"/>
    <w:rsid w:val="3659E70E"/>
    <w:rsid w:val="365FBC15"/>
    <w:rsid w:val="3675513E"/>
    <w:rsid w:val="368F7649"/>
    <w:rsid w:val="3697F48F"/>
    <w:rsid w:val="36B8FE6B"/>
    <w:rsid w:val="36BE4DC2"/>
    <w:rsid w:val="37106DB9"/>
    <w:rsid w:val="372DD380"/>
    <w:rsid w:val="37544EF8"/>
    <w:rsid w:val="37873451"/>
    <w:rsid w:val="37A79F28"/>
    <w:rsid w:val="37C32B2D"/>
    <w:rsid w:val="37DAD846"/>
    <w:rsid w:val="37DCC815"/>
    <w:rsid w:val="37EBFC1E"/>
    <w:rsid w:val="37F11D84"/>
    <w:rsid w:val="381BB2A8"/>
    <w:rsid w:val="382E1C8D"/>
    <w:rsid w:val="3842A4A2"/>
    <w:rsid w:val="38674F08"/>
    <w:rsid w:val="386FA555"/>
    <w:rsid w:val="3882371D"/>
    <w:rsid w:val="38890076"/>
    <w:rsid w:val="388BEAF2"/>
    <w:rsid w:val="3893EFBC"/>
    <w:rsid w:val="38BC9CC6"/>
    <w:rsid w:val="38E0CD7A"/>
    <w:rsid w:val="38EE2C7B"/>
    <w:rsid w:val="38F53CF7"/>
    <w:rsid w:val="38FA3ED1"/>
    <w:rsid w:val="3920E768"/>
    <w:rsid w:val="392C17C2"/>
    <w:rsid w:val="3951BDCA"/>
    <w:rsid w:val="3953F5C7"/>
    <w:rsid w:val="39579EAD"/>
    <w:rsid w:val="39A7F7F9"/>
    <w:rsid w:val="39BA0029"/>
    <w:rsid w:val="3A24763D"/>
    <w:rsid w:val="3A2A38E3"/>
    <w:rsid w:val="3A31FC68"/>
    <w:rsid w:val="3A33D496"/>
    <w:rsid w:val="3A535463"/>
    <w:rsid w:val="3A576A5D"/>
    <w:rsid w:val="3A8FE737"/>
    <w:rsid w:val="3AE412CE"/>
    <w:rsid w:val="3AFEF8BD"/>
    <w:rsid w:val="3B322D17"/>
    <w:rsid w:val="3B5562C6"/>
    <w:rsid w:val="3B5EBE9B"/>
    <w:rsid w:val="3BB44C4C"/>
    <w:rsid w:val="3C5CA172"/>
    <w:rsid w:val="3C72090B"/>
    <w:rsid w:val="3C937948"/>
    <w:rsid w:val="3CA3545D"/>
    <w:rsid w:val="3D05AC3E"/>
    <w:rsid w:val="3D20C779"/>
    <w:rsid w:val="3D2AC85C"/>
    <w:rsid w:val="3D3B09D7"/>
    <w:rsid w:val="3D41BCCF"/>
    <w:rsid w:val="3D430FF7"/>
    <w:rsid w:val="3DED16ED"/>
    <w:rsid w:val="3DF22F48"/>
    <w:rsid w:val="3E596D9F"/>
    <w:rsid w:val="3E70DDFB"/>
    <w:rsid w:val="3E9B7881"/>
    <w:rsid w:val="3F0A14C5"/>
    <w:rsid w:val="3F108F34"/>
    <w:rsid w:val="3F90810D"/>
    <w:rsid w:val="3FC92187"/>
    <w:rsid w:val="3FF45FBA"/>
    <w:rsid w:val="4007D866"/>
    <w:rsid w:val="4018027E"/>
    <w:rsid w:val="402E8283"/>
    <w:rsid w:val="403BCEB3"/>
    <w:rsid w:val="4055C4CE"/>
    <w:rsid w:val="40A87F53"/>
    <w:rsid w:val="40C01149"/>
    <w:rsid w:val="40D8101F"/>
    <w:rsid w:val="40E63FB3"/>
    <w:rsid w:val="41010CAE"/>
    <w:rsid w:val="41273B63"/>
    <w:rsid w:val="4185A6D2"/>
    <w:rsid w:val="4186C18B"/>
    <w:rsid w:val="41D747A2"/>
    <w:rsid w:val="425A645B"/>
    <w:rsid w:val="425BC895"/>
    <w:rsid w:val="425DEE6A"/>
    <w:rsid w:val="426AF8C4"/>
    <w:rsid w:val="428BC90A"/>
    <w:rsid w:val="42EAF21B"/>
    <w:rsid w:val="42FEACFD"/>
    <w:rsid w:val="4330874C"/>
    <w:rsid w:val="4362E7AE"/>
    <w:rsid w:val="436B620D"/>
    <w:rsid w:val="43A30C0F"/>
    <w:rsid w:val="43AB3567"/>
    <w:rsid w:val="43B105A8"/>
    <w:rsid w:val="43D1AD9D"/>
    <w:rsid w:val="43EC3928"/>
    <w:rsid w:val="445DC788"/>
    <w:rsid w:val="449D1CEB"/>
    <w:rsid w:val="44B57B04"/>
    <w:rsid w:val="44BF7892"/>
    <w:rsid w:val="44CD51CC"/>
    <w:rsid w:val="4501B4EF"/>
    <w:rsid w:val="4525481A"/>
    <w:rsid w:val="452D0AFF"/>
    <w:rsid w:val="45869F17"/>
    <w:rsid w:val="45D07B26"/>
    <w:rsid w:val="45DF3A6A"/>
    <w:rsid w:val="4615A9C7"/>
    <w:rsid w:val="46B392D3"/>
    <w:rsid w:val="46CE1865"/>
    <w:rsid w:val="46EC44AA"/>
    <w:rsid w:val="474F3D41"/>
    <w:rsid w:val="4765657C"/>
    <w:rsid w:val="4780B78E"/>
    <w:rsid w:val="47A12A3B"/>
    <w:rsid w:val="47B7FF0A"/>
    <w:rsid w:val="47FD2C8B"/>
    <w:rsid w:val="48493A24"/>
    <w:rsid w:val="486FAD50"/>
    <w:rsid w:val="489DEA45"/>
    <w:rsid w:val="48E4180F"/>
    <w:rsid w:val="490BE7DC"/>
    <w:rsid w:val="493E030D"/>
    <w:rsid w:val="49532CB4"/>
    <w:rsid w:val="49780627"/>
    <w:rsid w:val="49818478"/>
    <w:rsid w:val="49B57375"/>
    <w:rsid w:val="49EAA477"/>
    <w:rsid w:val="4A0060AE"/>
    <w:rsid w:val="4A33B10A"/>
    <w:rsid w:val="4A42DDCB"/>
    <w:rsid w:val="4A44753B"/>
    <w:rsid w:val="4A6B8E11"/>
    <w:rsid w:val="4A7241BE"/>
    <w:rsid w:val="4A85E182"/>
    <w:rsid w:val="4AC8CC81"/>
    <w:rsid w:val="4ADDAF62"/>
    <w:rsid w:val="4B549329"/>
    <w:rsid w:val="4B5FB7CE"/>
    <w:rsid w:val="4BD6BF21"/>
    <w:rsid w:val="4BE53003"/>
    <w:rsid w:val="4BE5E6C8"/>
    <w:rsid w:val="4BF55480"/>
    <w:rsid w:val="4C3AB6E1"/>
    <w:rsid w:val="4C5A157A"/>
    <w:rsid w:val="4C6DBD78"/>
    <w:rsid w:val="4C7754F9"/>
    <w:rsid w:val="4CB61DCC"/>
    <w:rsid w:val="4CB70B27"/>
    <w:rsid w:val="4CDE5A61"/>
    <w:rsid w:val="4CF8EF60"/>
    <w:rsid w:val="4D0376A1"/>
    <w:rsid w:val="4D8C7FAA"/>
    <w:rsid w:val="4DAB7E00"/>
    <w:rsid w:val="4DBAD394"/>
    <w:rsid w:val="4DFB0CFC"/>
    <w:rsid w:val="4E0552FA"/>
    <w:rsid w:val="4E20DC3C"/>
    <w:rsid w:val="4E3174AE"/>
    <w:rsid w:val="4E44961E"/>
    <w:rsid w:val="4E67069E"/>
    <w:rsid w:val="4EA50700"/>
    <w:rsid w:val="4F03B4A1"/>
    <w:rsid w:val="4F45C983"/>
    <w:rsid w:val="4F9F15E8"/>
    <w:rsid w:val="4FEA4827"/>
    <w:rsid w:val="50076170"/>
    <w:rsid w:val="5015C04A"/>
    <w:rsid w:val="501F8385"/>
    <w:rsid w:val="50556098"/>
    <w:rsid w:val="505F5902"/>
    <w:rsid w:val="50747FC3"/>
    <w:rsid w:val="50879709"/>
    <w:rsid w:val="50BBE37C"/>
    <w:rsid w:val="50C5DC6A"/>
    <w:rsid w:val="5105B947"/>
    <w:rsid w:val="512E4557"/>
    <w:rsid w:val="514FA4D7"/>
    <w:rsid w:val="51686FC1"/>
    <w:rsid w:val="51D6B5DE"/>
    <w:rsid w:val="5214883A"/>
    <w:rsid w:val="52302507"/>
    <w:rsid w:val="52438077"/>
    <w:rsid w:val="524FADF8"/>
    <w:rsid w:val="5260D394"/>
    <w:rsid w:val="52856A05"/>
    <w:rsid w:val="5298CF6E"/>
    <w:rsid w:val="52A7A8DD"/>
    <w:rsid w:val="52D2CCB4"/>
    <w:rsid w:val="52DC9BD2"/>
    <w:rsid w:val="52FBE47E"/>
    <w:rsid w:val="5307AC28"/>
    <w:rsid w:val="534412F8"/>
    <w:rsid w:val="534C708B"/>
    <w:rsid w:val="535BD78D"/>
    <w:rsid w:val="53CCB437"/>
    <w:rsid w:val="53D854E0"/>
    <w:rsid w:val="53F7C2EF"/>
    <w:rsid w:val="5418BE57"/>
    <w:rsid w:val="54617F11"/>
    <w:rsid w:val="54676F2F"/>
    <w:rsid w:val="547012B8"/>
    <w:rsid w:val="548FA2D6"/>
    <w:rsid w:val="5493890E"/>
    <w:rsid w:val="54B403AC"/>
    <w:rsid w:val="54E52960"/>
    <w:rsid w:val="55118022"/>
    <w:rsid w:val="553BE84F"/>
    <w:rsid w:val="5561FF60"/>
    <w:rsid w:val="556EA346"/>
    <w:rsid w:val="55810133"/>
    <w:rsid w:val="55ADF842"/>
    <w:rsid w:val="55FCF717"/>
    <w:rsid w:val="55FEF6D6"/>
    <w:rsid w:val="561C3E6C"/>
    <w:rsid w:val="5624F7ED"/>
    <w:rsid w:val="567ABCE9"/>
    <w:rsid w:val="568BDB9D"/>
    <w:rsid w:val="56AB8A2A"/>
    <w:rsid w:val="56CA2D84"/>
    <w:rsid w:val="56EFDF1D"/>
    <w:rsid w:val="570FE2FD"/>
    <w:rsid w:val="5714E2E2"/>
    <w:rsid w:val="575C4AD8"/>
    <w:rsid w:val="578A2D95"/>
    <w:rsid w:val="57E7797C"/>
    <w:rsid w:val="580D2BCC"/>
    <w:rsid w:val="584F5EB8"/>
    <w:rsid w:val="585CFE61"/>
    <w:rsid w:val="58C69473"/>
    <w:rsid w:val="58E3A4F7"/>
    <w:rsid w:val="5914DDDF"/>
    <w:rsid w:val="594E642E"/>
    <w:rsid w:val="596A8132"/>
    <w:rsid w:val="597D8060"/>
    <w:rsid w:val="5A216B67"/>
    <w:rsid w:val="5A36F02B"/>
    <w:rsid w:val="5A3D2215"/>
    <w:rsid w:val="5AB25188"/>
    <w:rsid w:val="5AC1BAB5"/>
    <w:rsid w:val="5AD8BCCF"/>
    <w:rsid w:val="5AF44C1E"/>
    <w:rsid w:val="5AF97FCB"/>
    <w:rsid w:val="5B5AE558"/>
    <w:rsid w:val="5B5E8845"/>
    <w:rsid w:val="5B78B1B0"/>
    <w:rsid w:val="5B964AB0"/>
    <w:rsid w:val="5BCA065B"/>
    <w:rsid w:val="5C703172"/>
    <w:rsid w:val="5C7BB61B"/>
    <w:rsid w:val="5C889288"/>
    <w:rsid w:val="5C88CD6E"/>
    <w:rsid w:val="5C9C927E"/>
    <w:rsid w:val="5CB2987F"/>
    <w:rsid w:val="5CB6811B"/>
    <w:rsid w:val="5CDEC329"/>
    <w:rsid w:val="5CE7CE04"/>
    <w:rsid w:val="5CFE75C0"/>
    <w:rsid w:val="5D03BDC3"/>
    <w:rsid w:val="5DB620DD"/>
    <w:rsid w:val="5E63B7FE"/>
    <w:rsid w:val="5E640ACA"/>
    <w:rsid w:val="5ED59664"/>
    <w:rsid w:val="5ED78E08"/>
    <w:rsid w:val="5EE1A372"/>
    <w:rsid w:val="5F2218E9"/>
    <w:rsid w:val="5F32E550"/>
    <w:rsid w:val="5F79708F"/>
    <w:rsid w:val="5F7B3744"/>
    <w:rsid w:val="5F9336D4"/>
    <w:rsid w:val="5F959770"/>
    <w:rsid w:val="5F9CC2E8"/>
    <w:rsid w:val="5FB143E8"/>
    <w:rsid w:val="5FCCB232"/>
    <w:rsid w:val="5FDA0D42"/>
    <w:rsid w:val="60099A18"/>
    <w:rsid w:val="601F7F63"/>
    <w:rsid w:val="6036A790"/>
    <w:rsid w:val="6066E0D6"/>
    <w:rsid w:val="60E71D01"/>
    <w:rsid w:val="60E90C65"/>
    <w:rsid w:val="6126F71E"/>
    <w:rsid w:val="613D1AF9"/>
    <w:rsid w:val="6156FC45"/>
    <w:rsid w:val="61663BBE"/>
    <w:rsid w:val="6192EDB7"/>
    <w:rsid w:val="61A0CCB6"/>
    <w:rsid w:val="62093EFF"/>
    <w:rsid w:val="620FB2E8"/>
    <w:rsid w:val="62333F05"/>
    <w:rsid w:val="625B81AF"/>
    <w:rsid w:val="62953680"/>
    <w:rsid w:val="62ABFA27"/>
    <w:rsid w:val="62B20ED3"/>
    <w:rsid w:val="62C31FF9"/>
    <w:rsid w:val="62D59FAD"/>
    <w:rsid w:val="62FCDE97"/>
    <w:rsid w:val="632234B2"/>
    <w:rsid w:val="632FEE7B"/>
    <w:rsid w:val="6354D58E"/>
    <w:rsid w:val="635FFF2E"/>
    <w:rsid w:val="636B20D4"/>
    <w:rsid w:val="638CB839"/>
    <w:rsid w:val="63BB61B8"/>
    <w:rsid w:val="64212B11"/>
    <w:rsid w:val="64312435"/>
    <w:rsid w:val="643A3854"/>
    <w:rsid w:val="64552DC3"/>
    <w:rsid w:val="6481ED05"/>
    <w:rsid w:val="649F98C5"/>
    <w:rsid w:val="64C667AF"/>
    <w:rsid w:val="64C9C7DB"/>
    <w:rsid w:val="64E0F0C7"/>
    <w:rsid w:val="64E36B8A"/>
    <w:rsid w:val="64F4BA9C"/>
    <w:rsid w:val="652E407D"/>
    <w:rsid w:val="6541BFB4"/>
    <w:rsid w:val="655081B1"/>
    <w:rsid w:val="6558CD78"/>
    <w:rsid w:val="655A2BFF"/>
    <w:rsid w:val="655CFF0D"/>
    <w:rsid w:val="65793CE6"/>
    <w:rsid w:val="65894C58"/>
    <w:rsid w:val="65E21ED2"/>
    <w:rsid w:val="6605A96D"/>
    <w:rsid w:val="667343D1"/>
    <w:rsid w:val="66742450"/>
    <w:rsid w:val="6714B2A5"/>
    <w:rsid w:val="677FB63D"/>
    <w:rsid w:val="67824E86"/>
    <w:rsid w:val="6796F4DE"/>
    <w:rsid w:val="67BCB6F2"/>
    <w:rsid w:val="67D49D37"/>
    <w:rsid w:val="67EFAD0F"/>
    <w:rsid w:val="68056AD3"/>
    <w:rsid w:val="6840CA36"/>
    <w:rsid w:val="6863CBF0"/>
    <w:rsid w:val="6877D831"/>
    <w:rsid w:val="68DD13B8"/>
    <w:rsid w:val="68E5CA57"/>
    <w:rsid w:val="68FFE74E"/>
    <w:rsid w:val="6968AF32"/>
    <w:rsid w:val="69B63310"/>
    <w:rsid w:val="69FECB21"/>
    <w:rsid w:val="6A32093F"/>
    <w:rsid w:val="6A62B209"/>
    <w:rsid w:val="6A996F76"/>
    <w:rsid w:val="6A9E7709"/>
    <w:rsid w:val="6AC5AB15"/>
    <w:rsid w:val="6AD375A3"/>
    <w:rsid w:val="6AD4AE18"/>
    <w:rsid w:val="6AF8491F"/>
    <w:rsid w:val="6B5F0271"/>
    <w:rsid w:val="6B632290"/>
    <w:rsid w:val="6BC4C24C"/>
    <w:rsid w:val="6BD167B8"/>
    <w:rsid w:val="6BEDE0A5"/>
    <w:rsid w:val="6BFDCEE7"/>
    <w:rsid w:val="6C11E0C9"/>
    <w:rsid w:val="6C37E441"/>
    <w:rsid w:val="6C37E883"/>
    <w:rsid w:val="6C8F6892"/>
    <w:rsid w:val="6C93BBAA"/>
    <w:rsid w:val="6CCA0043"/>
    <w:rsid w:val="6CD6AC7C"/>
    <w:rsid w:val="6D71E9FC"/>
    <w:rsid w:val="6DAF66E4"/>
    <w:rsid w:val="6DBB1BEE"/>
    <w:rsid w:val="6DCECF18"/>
    <w:rsid w:val="6DF35B7F"/>
    <w:rsid w:val="6E027285"/>
    <w:rsid w:val="6E469D03"/>
    <w:rsid w:val="6E73AA01"/>
    <w:rsid w:val="6E8043BB"/>
    <w:rsid w:val="6E83F2DB"/>
    <w:rsid w:val="6E958D38"/>
    <w:rsid w:val="6EA65C63"/>
    <w:rsid w:val="6EAB24B3"/>
    <w:rsid w:val="6EDDE438"/>
    <w:rsid w:val="6F169190"/>
    <w:rsid w:val="6F670431"/>
    <w:rsid w:val="6F9BBAC4"/>
    <w:rsid w:val="6FBC58E6"/>
    <w:rsid w:val="6FFC8EF9"/>
    <w:rsid w:val="70069BF4"/>
    <w:rsid w:val="701BBA1A"/>
    <w:rsid w:val="701BDDB5"/>
    <w:rsid w:val="703866ED"/>
    <w:rsid w:val="705D2628"/>
    <w:rsid w:val="7064FC91"/>
    <w:rsid w:val="70841BED"/>
    <w:rsid w:val="70F83285"/>
    <w:rsid w:val="7111F523"/>
    <w:rsid w:val="718EBE38"/>
    <w:rsid w:val="72D15E7D"/>
    <w:rsid w:val="734B09AE"/>
    <w:rsid w:val="73CED8A1"/>
    <w:rsid w:val="73CF6C7D"/>
    <w:rsid w:val="73FEA3E1"/>
    <w:rsid w:val="740D5804"/>
    <w:rsid w:val="749263C6"/>
    <w:rsid w:val="74A08E0C"/>
    <w:rsid w:val="74BCCEEB"/>
    <w:rsid w:val="74BD315D"/>
    <w:rsid w:val="74F83A53"/>
    <w:rsid w:val="74FC503F"/>
    <w:rsid w:val="75149E43"/>
    <w:rsid w:val="7553C11F"/>
    <w:rsid w:val="764792B6"/>
    <w:rsid w:val="76620841"/>
    <w:rsid w:val="7667D9B7"/>
    <w:rsid w:val="76B687EC"/>
    <w:rsid w:val="7722A28C"/>
    <w:rsid w:val="7766E1C9"/>
    <w:rsid w:val="778A68DE"/>
    <w:rsid w:val="77C28868"/>
    <w:rsid w:val="77D8AFC6"/>
    <w:rsid w:val="77E4E33E"/>
    <w:rsid w:val="77FB04F0"/>
    <w:rsid w:val="78251339"/>
    <w:rsid w:val="7826A317"/>
    <w:rsid w:val="7853B33A"/>
    <w:rsid w:val="78988FAE"/>
    <w:rsid w:val="78A2C95F"/>
    <w:rsid w:val="78DF4650"/>
    <w:rsid w:val="78FD1074"/>
    <w:rsid w:val="79108195"/>
    <w:rsid w:val="792A3D5F"/>
    <w:rsid w:val="795C2DB5"/>
    <w:rsid w:val="797E97E7"/>
    <w:rsid w:val="79A4B35C"/>
    <w:rsid w:val="79C41C87"/>
    <w:rsid w:val="79DA10CE"/>
    <w:rsid w:val="7A23866B"/>
    <w:rsid w:val="7A36AB00"/>
    <w:rsid w:val="7A5016DC"/>
    <w:rsid w:val="7A64305F"/>
    <w:rsid w:val="7A6B0F2B"/>
    <w:rsid w:val="7A9C22DC"/>
    <w:rsid w:val="7AAC13E0"/>
    <w:rsid w:val="7AC2B42D"/>
    <w:rsid w:val="7ADE5F9D"/>
    <w:rsid w:val="7B08D1F3"/>
    <w:rsid w:val="7B5D5FDE"/>
    <w:rsid w:val="7B8CB7A2"/>
    <w:rsid w:val="7BB0B233"/>
    <w:rsid w:val="7BE475B1"/>
    <w:rsid w:val="7BE90A76"/>
    <w:rsid w:val="7BF10244"/>
    <w:rsid w:val="7BF576E6"/>
    <w:rsid w:val="7C0B9288"/>
    <w:rsid w:val="7C1562BD"/>
    <w:rsid w:val="7C25AC55"/>
    <w:rsid w:val="7C8D7A82"/>
    <w:rsid w:val="7C9CA0D5"/>
    <w:rsid w:val="7CBE8DF4"/>
    <w:rsid w:val="7D39A216"/>
    <w:rsid w:val="7D515DC0"/>
    <w:rsid w:val="7D605035"/>
    <w:rsid w:val="7D70EF8D"/>
    <w:rsid w:val="7D87E3B2"/>
    <w:rsid w:val="7D8E18BC"/>
    <w:rsid w:val="7DABE842"/>
    <w:rsid w:val="7DCC72F7"/>
    <w:rsid w:val="7E07ECFD"/>
    <w:rsid w:val="7E0E35F5"/>
    <w:rsid w:val="7E67A8DC"/>
    <w:rsid w:val="7E93F686"/>
    <w:rsid w:val="7E9EFDFE"/>
    <w:rsid w:val="7E9F8101"/>
    <w:rsid w:val="7EC25780"/>
    <w:rsid w:val="7EDC3B77"/>
    <w:rsid w:val="7EE4B221"/>
    <w:rsid w:val="7EF447DF"/>
    <w:rsid w:val="7F93B8DD"/>
    <w:rsid w:val="7FB9F6C4"/>
    <w:rsid w:val="7FCDE339"/>
    <w:rsid w:val="7FF77DA8"/>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AD8F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46D5D"/>
    <w:rPr>
      <w:color w:val="0000FF" w:themeColor="hyperlink"/>
      <w:u w:val="single"/>
    </w:rPr>
  </w:style>
  <w:style w:type="character" w:customStyle="1" w:styleId="cf01">
    <w:name w:val="cf01"/>
    <w:basedOn w:val="DefaultParagraphFont"/>
    <w:rsid w:val="00446D5D"/>
    <w:rPr>
      <w:rFonts w:ascii="Segoe UI" w:hAnsi="Segoe UI" w:cs="Segoe UI" w:hint="default"/>
      <w:color w:val="333333"/>
      <w:sz w:val="18"/>
      <w:szCs w:val="18"/>
      <w:shd w:val="clear" w:color="auto" w:fill="FFFFFF"/>
    </w:rPr>
  </w:style>
  <w:style w:type="paragraph" w:styleId="ListBullet">
    <w:name w:val="List Bullet"/>
    <w:basedOn w:val="Normal"/>
    <w:uiPriority w:val="99"/>
    <w:semiHidden/>
    <w:unhideWhenUsed/>
    <w:rsid w:val="00CB1623"/>
    <w:pPr>
      <w:numPr>
        <w:numId w:val="1"/>
      </w:numPr>
      <w:contextualSpacing/>
    </w:pPr>
  </w:style>
  <w:style w:type="paragraph" w:styleId="ListBullet2">
    <w:name w:val="List Bullet 2"/>
    <w:basedOn w:val="Normal"/>
    <w:uiPriority w:val="99"/>
    <w:semiHidden/>
    <w:unhideWhenUsed/>
    <w:rsid w:val="00CB1623"/>
    <w:pPr>
      <w:numPr>
        <w:numId w:val="2"/>
      </w:numPr>
      <w:contextualSpacing/>
    </w:pPr>
  </w:style>
  <w:style w:type="paragraph" w:styleId="ListBullet3">
    <w:name w:val="List Bullet 3"/>
    <w:basedOn w:val="Normal"/>
    <w:uiPriority w:val="99"/>
    <w:semiHidden/>
    <w:unhideWhenUsed/>
    <w:rsid w:val="00CB1623"/>
    <w:pPr>
      <w:numPr>
        <w:numId w:val="3"/>
      </w:numPr>
      <w:contextualSpacing/>
    </w:pPr>
  </w:style>
  <w:style w:type="paragraph" w:styleId="ListBullet4">
    <w:name w:val="List Bullet 4"/>
    <w:basedOn w:val="Normal"/>
    <w:uiPriority w:val="99"/>
    <w:semiHidden/>
    <w:unhideWhenUsed/>
    <w:rsid w:val="00CB1623"/>
    <w:pPr>
      <w:numPr>
        <w:numId w:val="4"/>
      </w:numPr>
      <w:contextualSpacing/>
    </w:pPr>
  </w:style>
  <w:style w:type="character" w:styleId="CommentReference">
    <w:name w:val="annotation reference"/>
    <w:basedOn w:val="DefaultParagraphFont"/>
    <w:uiPriority w:val="99"/>
    <w:semiHidden/>
    <w:unhideWhenUsed/>
    <w:rsid w:val="000B49AE"/>
    <w:rPr>
      <w:sz w:val="16"/>
      <w:szCs w:val="16"/>
    </w:rPr>
  </w:style>
  <w:style w:type="paragraph" w:styleId="CommentText">
    <w:name w:val="annotation text"/>
    <w:basedOn w:val="Normal"/>
    <w:link w:val="CommentTextChar"/>
    <w:uiPriority w:val="99"/>
    <w:unhideWhenUsed/>
    <w:rsid w:val="000B49AE"/>
    <w:rPr>
      <w:sz w:val="20"/>
      <w:szCs w:val="20"/>
    </w:rPr>
  </w:style>
  <w:style w:type="character" w:customStyle="1" w:styleId="CommentTextChar">
    <w:name w:val="Comment Text Char"/>
    <w:basedOn w:val="DefaultParagraphFont"/>
    <w:link w:val="CommentText"/>
    <w:uiPriority w:val="99"/>
    <w:rsid w:val="000B49AE"/>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0B49AE"/>
    <w:rPr>
      <w:b/>
      <w:bCs/>
    </w:rPr>
  </w:style>
  <w:style w:type="character" w:customStyle="1" w:styleId="CommentSubjectChar">
    <w:name w:val="Comment Subject Char"/>
    <w:basedOn w:val="CommentTextChar"/>
    <w:link w:val="CommentSubject"/>
    <w:uiPriority w:val="99"/>
    <w:semiHidden/>
    <w:rsid w:val="000B49AE"/>
    <w:rPr>
      <w:rFonts w:ascii="Times New Roman" w:hAnsi="Times New Roman" w:cs="Times New Roman"/>
      <w:b/>
      <w:bCs/>
      <w:sz w:val="20"/>
      <w:szCs w:val="20"/>
      <w:lang w:val="ro-RO"/>
    </w:rPr>
  </w:style>
  <w:style w:type="paragraph" w:styleId="Revision">
    <w:name w:val="Revision"/>
    <w:hidden/>
    <w:uiPriority w:val="99"/>
    <w:semiHidden/>
    <w:rsid w:val="00AC6F86"/>
    <w:pPr>
      <w:spacing w:after="0" w:line="240" w:lineRule="auto"/>
    </w:pPr>
    <w:rPr>
      <w:rFonts w:ascii="Times New Roman" w:hAnsi="Times New Roman" w:cs="Times New Roman"/>
      <w:sz w:val="24"/>
    </w:rPr>
  </w:style>
  <w:style w:type="character" w:customStyle="1" w:styleId="UnresolvedMention1">
    <w:name w:val="Unresolved Mention1"/>
    <w:basedOn w:val="DefaultParagraphFont"/>
    <w:uiPriority w:val="99"/>
    <w:semiHidden/>
    <w:unhideWhenUsed/>
    <w:rsid w:val="00D02DDA"/>
    <w:rPr>
      <w:color w:val="605E5C"/>
      <w:shd w:val="clear" w:color="auto" w:fill="E1DFDD"/>
    </w:rPr>
  </w:style>
  <w:style w:type="character" w:customStyle="1" w:styleId="normaltextrun">
    <w:name w:val="normaltextrun"/>
    <w:basedOn w:val="DefaultParagraphFont"/>
    <w:rsid w:val="006E0D23"/>
  </w:style>
  <w:style w:type="character" w:customStyle="1" w:styleId="UnresolvedMention2">
    <w:name w:val="Unresolved Mention2"/>
    <w:basedOn w:val="DefaultParagraphFont"/>
    <w:uiPriority w:val="99"/>
    <w:semiHidden/>
    <w:unhideWhenUsed/>
    <w:rsid w:val="00C25CCF"/>
    <w:rPr>
      <w:color w:val="605E5C"/>
      <w:shd w:val="clear" w:color="auto" w:fill="E1DFDD"/>
    </w:rPr>
  </w:style>
  <w:style w:type="paragraph" w:customStyle="1" w:styleId="LegalNumPar">
    <w:name w:val="LegalNumPar"/>
    <w:basedOn w:val="Normal"/>
    <w:rsid w:val="005637E7"/>
    <w:pPr>
      <w:numPr>
        <w:numId w:val="5"/>
      </w:numPr>
      <w:spacing w:line="360" w:lineRule="auto"/>
    </w:pPr>
  </w:style>
  <w:style w:type="paragraph" w:customStyle="1" w:styleId="LegalNumPar2">
    <w:name w:val="LegalNumPar2"/>
    <w:basedOn w:val="Normal"/>
    <w:rsid w:val="005637E7"/>
    <w:pPr>
      <w:numPr>
        <w:ilvl w:val="1"/>
        <w:numId w:val="5"/>
      </w:numPr>
      <w:spacing w:line="360" w:lineRule="auto"/>
    </w:pPr>
  </w:style>
  <w:style w:type="paragraph" w:customStyle="1" w:styleId="LegalNumPar3">
    <w:name w:val="LegalNumPar3"/>
    <w:basedOn w:val="Normal"/>
    <w:rsid w:val="005637E7"/>
    <w:pPr>
      <w:numPr>
        <w:ilvl w:val="2"/>
        <w:numId w:val="5"/>
      </w:numPr>
      <w:spacing w:line="360" w:lineRule="auto"/>
    </w:pPr>
  </w:style>
  <w:style w:type="character" w:customStyle="1" w:styleId="Mention1">
    <w:name w:val="Mention1"/>
    <w:basedOn w:val="DefaultParagraphFont"/>
    <w:uiPriority w:val="99"/>
    <w:unhideWhenUsed/>
    <w:rsid w:val="00445EA7"/>
    <w:rPr>
      <w:color w:val="2B579A"/>
      <w:shd w:val="clear" w:color="auto" w:fill="E1DFDD"/>
    </w:rPr>
  </w:style>
  <w:style w:type="paragraph" w:styleId="ListParagraph">
    <w:name w:val="List Paragraph"/>
    <w:basedOn w:val="Normal"/>
    <w:uiPriority w:val="34"/>
    <w:qFormat/>
    <w:rsid w:val="004517EC"/>
    <w:pPr>
      <w:ind w:left="720"/>
      <w:contextualSpacing/>
    </w:pPr>
  </w:style>
  <w:style w:type="paragraph" w:styleId="Caption">
    <w:name w:val="caption"/>
    <w:basedOn w:val="Normal"/>
    <w:next w:val="Normal"/>
    <w:uiPriority w:val="35"/>
    <w:semiHidden/>
    <w:unhideWhenUsed/>
    <w:qFormat/>
    <w:rsid w:val="00AB4F7A"/>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AB4F7A"/>
    <w:pPr>
      <w:spacing w:after="0"/>
    </w:pPr>
  </w:style>
  <w:style w:type="paragraph" w:styleId="ListNumber">
    <w:name w:val="List Number"/>
    <w:basedOn w:val="Normal"/>
    <w:uiPriority w:val="99"/>
    <w:semiHidden/>
    <w:unhideWhenUsed/>
    <w:rsid w:val="00AB4F7A"/>
    <w:pPr>
      <w:numPr>
        <w:numId w:val="6"/>
      </w:numPr>
      <w:contextualSpacing/>
    </w:pPr>
  </w:style>
  <w:style w:type="paragraph" w:styleId="ListNumber2">
    <w:name w:val="List Number 2"/>
    <w:basedOn w:val="Normal"/>
    <w:uiPriority w:val="99"/>
    <w:semiHidden/>
    <w:unhideWhenUsed/>
    <w:rsid w:val="00AB4F7A"/>
    <w:pPr>
      <w:numPr>
        <w:numId w:val="7"/>
      </w:numPr>
      <w:contextualSpacing/>
    </w:pPr>
  </w:style>
  <w:style w:type="paragraph" w:styleId="ListNumber3">
    <w:name w:val="List Number 3"/>
    <w:basedOn w:val="Normal"/>
    <w:uiPriority w:val="99"/>
    <w:semiHidden/>
    <w:unhideWhenUsed/>
    <w:rsid w:val="00AB4F7A"/>
    <w:pPr>
      <w:numPr>
        <w:numId w:val="8"/>
      </w:numPr>
      <w:contextualSpacing/>
    </w:pPr>
  </w:style>
  <w:style w:type="paragraph" w:styleId="ListNumber4">
    <w:name w:val="List Number 4"/>
    <w:basedOn w:val="Normal"/>
    <w:uiPriority w:val="99"/>
    <w:semiHidden/>
    <w:unhideWhenUsed/>
    <w:rsid w:val="00AB4F7A"/>
    <w:pPr>
      <w:numPr>
        <w:numId w:val="9"/>
      </w:numPr>
      <w:contextualSpacing/>
    </w:pPr>
  </w:style>
  <w:style w:type="character" w:customStyle="1" w:styleId="UnresolvedMention">
    <w:name w:val="Unresolved Mention"/>
    <w:basedOn w:val="DefaultParagraphFont"/>
    <w:uiPriority w:val="99"/>
    <w:semiHidden/>
    <w:unhideWhenUsed/>
    <w:rsid w:val="00774C06"/>
    <w:rPr>
      <w:color w:val="605E5C"/>
      <w:shd w:val="clear" w:color="auto" w:fill="E1DFDD"/>
    </w:rPr>
  </w:style>
  <w:style w:type="character" w:styleId="FollowedHyperlink">
    <w:name w:val="FollowedHyperlink"/>
    <w:basedOn w:val="DefaultParagraphFont"/>
    <w:uiPriority w:val="99"/>
    <w:semiHidden/>
    <w:unhideWhenUsed/>
    <w:rsid w:val="0069291E"/>
    <w:rPr>
      <w:color w:val="800080" w:themeColor="followedHyperlink"/>
      <w:u w:val="single"/>
    </w:rPr>
  </w:style>
  <w:style w:type="character" w:customStyle="1" w:styleId="HeaderChar">
    <w:name w:val="Header Char"/>
    <w:basedOn w:val="DefaultParagraphFont"/>
    <w:link w:val="Header"/>
    <w:uiPriority w:val="99"/>
    <w:rsid w:val="007E5165"/>
    <w:rPr>
      <w:rFonts w:ascii="Times New Roman" w:hAnsi="Times New Roman" w:cs="Times New Roman"/>
      <w:sz w:val="24"/>
      <w:lang w:val="ro-RO"/>
    </w:rPr>
  </w:style>
  <w:style w:type="character" w:customStyle="1" w:styleId="FooterChar">
    <w:name w:val="Footer Char"/>
    <w:basedOn w:val="DefaultParagraphFont"/>
    <w:link w:val="Footer"/>
    <w:uiPriority w:val="99"/>
    <w:rsid w:val="007E5165"/>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7E516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7E5165"/>
    <w:pPr>
      <w:spacing w:before="0"/>
      <w:jc w:val="right"/>
    </w:pPr>
    <w:rPr>
      <w:sz w:val="28"/>
    </w:rPr>
  </w:style>
  <w:style w:type="paragraph" w:customStyle="1" w:styleId="FooterSensitivity">
    <w:name w:val="Footer Sensitivity"/>
    <w:basedOn w:val="Normal"/>
    <w:rsid w:val="007E516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3"/>
      </w:numPr>
    </w:pPr>
  </w:style>
  <w:style w:type="paragraph" w:customStyle="1" w:styleId="Tiret1">
    <w:name w:val="Tiret 1"/>
    <w:basedOn w:val="Point1"/>
    <w:pPr>
      <w:numPr>
        <w:numId w:val="14"/>
      </w:numPr>
    </w:pPr>
  </w:style>
  <w:style w:type="paragraph" w:customStyle="1" w:styleId="Tiret2">
    <w:name w:val="Tiret 2"/>
    <w:basedOn w:val="Point2"/>
    <w:pPr>
      <w:numPr>
        <w:numId w:val="15"/>
      </w:numPr>
    </w:pPr>
  </w:style>
  <w:style w:type="paragraph" w:customStyle="1" w:styleId="Tiret3">
    <w:name w:val="Tiret 3"/>
    <w:basedOn w:val="Point3"/>
    <w:pPr>
      <w:numPr>
        <w:numId w:val="16"/>
      </w:numPr>
    </w:pPr>
  </w:style>
  <w:style w:type="paragraph" w:customStyle="1" w:styleId="Tiret4">
    <w:name w:val="Tiret 4"/>
    <w:basedOn w:val="Point4"/>
    <w:pPr>
      <w:numPr>
        <w:numId w:val="17"/>
      </w:numPr>
    </w:pPr>
  </w:style>
  <w:style w:type="paragraph" w:customStyle="1" w:styleId="Tiret5">
    <w:name w:val="Tiret 5"/>
    <w:basedOn w:val="Point5"/>
    <w:pPr>
      <w:numPr>
        <w:numId w:val="1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9"/>
      </w:numPr>
    </w:pPr>
  </w:style>
  <w:style w:type="paragraph" w:customStyle="1" w:styleId="NumPar2">
    <w:name w:val="NumPar 2"/>
    <w:basedOn w:val="Normal"/>
    <w:next w:val="Text1"/>
    <w:pPr>
      <w:numPr>
        <w:ilvl w:val="1"/>
        <w:numId w:val="19"/>
      </w:numPr>
    </w:pPr>
  </w:style>
  <w:style w:type="paragraph" w:customStyle="1" w:styleId="NumPar3">
    <w:name w:val="NumPar 3"/>
    <w:basedOn w:val="Normal"/>
    <w:next w:val="Text1"/>
    <w:pPr>
      <w:numPr>
        <w:ilvl w:val="2"/>
        <w:numId w:val="19"/>
      </w:numPr>
    </w:pPr>
  </w:style>
  <w:style w:type="paragraph" w:customStyle="1" w:styleId="NumPar4">
    <w:name w:val="NumPar 4"/>
    <w:basedOn w:val="Normal"/>
    <w:next w:val="Text1"/>
    <w:pPr>
      <w:numPr>
        <w:ilvl w:val="3"/>
        <w:numId w:val="19"/>
      </w:numPr>
    </w:pPr>
  </w:style>
  <w:style w:type="paragraph" w:customStyle="1" w:styleId="NumPar5">
    <w:name w:val="NumPar 5"/>
    <w:basedOn w:val="Normal"/>
    <w:next w:val="Text2"/>
    <w:pPr>
      <w:numPr>
        <w:ilvl w:val="4"/>
        <w:numId w:val="19"/>
      </w:numPr>
    </w:pPr>
  </w:style>
  <w:style w:type="paragraph" w:customStyle="1" w:styleId="NumPar6">
    <w:name w:val="NumPar 6"/>
    <w:basedOn w:val="Normal"/>
    <w:next w:val="Text2"/>
    <w:pPr>
      <w:numPr>
        <w:ilvl w:val="5"/>
        <w:numId w:val="19"/>
      </w:numPr>
    </w:pPr>
  </w:style>
  <w:style w:type="paragraph" w:customStyle="1" w:styleId="NumPar7">
    <w:name w:val="NumPar 7"/>
    <w:basedOn w:val="Normal"/>
    <w:next w:val="Text2"/>
    <w:pPr>
      <w:numPr>
        <w:ilvl w:val="6"/>
        <w:numId w:val="1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1"/>
      </w:numPr>
    </w:pPr>
  </w:style>
  <w:style w:type="paragraph" w:customStyle="1" w:styleId="Point1number">
    <w:name w:val="Point 1 (number)"/>
    <w:basedOn w:val="Normal"/>
    <w:pPr>
      <w:numPr>
        <w:ilvl w:val="2"/>
        <w:numId w:val="21"/>
      </w:numPr>
    </w:pPr>
  </w:style>
  <w:style w:type="paragraph" w:customStyle="1" w:styleId="Point2number">
    <w:name w:val="Point 2 (number)"/>
    <w:basedOn w:val="Normal"/>
    <w:pPr>
      <w:numPr>
        <w:ilvl w:val="4"/>
        <w:numId w:val="21"/>
      </w:numPr>
    </w:pPr>
  </w:style>
  <w:style w:type="paragraph" w:customStyle="1" w:styleId="Point3number">
    <w:name w:val="Point 3 (number)"/>
    <w:basedOn w:val="Normal"/>
    <w:pPr>
      <w:numPr>
        <w:ilvl w:val="6"/>
        <w:numId w:val="21"/>
      </w:numPr>
    </w:pPr>
  </w:style>
  <w:style w:type="paragraph" w:customStyle="1" w:styleId="Point0letter">
    <w:name w:val="Point 0 (letter)"/>
    <w:basedOn w:val="Normal"/>
    <w:pPr>
      <w:numPr>
        <w:ilvl w:val="1"/>
        <w:numId w:val="21"/>
      </w:numPr>
    </w:pPr>
  </w:style>
  <w:style w:type="paragraph" w:customStyle="1" w:styleId="Point1letter">
    <w:name w:val="Point 1 (letter)"/>
    <w:basedOn w:val="Normal"/>
    <w:pPr>
      <w:numPr>
        <w:ilvl w:val="3"/>
        <w:numId w:val="21"/>
      </w:numPr>
    </w:pPr>
  </w:style>
  <w:style w:type="paragraph" w:customStyle="1" w:styleId="Point2letter">
    <w:name w:val="Point 2 (letter)"/>
    <w:basedOn w:val="Normal"/>
    <w:pPr>
      <w:numPr>
        <w:ilvl w:val="5"/>
        <w:numId w:val="21"/>
      </w:numPr>
    </w:pPr>
  </w:style>
  <w:style w:type="paragraph" w:customStyle="1" w:styleId="Point3letter">
    <w:name w:val="Point 3 (letter)"/>
    <w:basedOn w:val="Normal"/>
    <w:pPr>
      <w:numPr>
        <w:ilvl w:val="7"/>
        <w:numId w:val="21"/>
      </w:numPr>
    </w:pPr>
  </w:style>
  <w:style w:type="paragraph" w:customStyle="1" w:styleId="Point4letter">
    <w:name w:val="Point 4 (letter)"/>
    <w:basedOn w:val="Normal"/>
    <w:pPr>
      <w:numPr>
        <w:ilvl w:val="8"/>
        <w:numId w:val="21"/>
      </w:numPr>
    </w:pPr>
  </w:style>
  <w:style w:type="paragraph" w:customStyle="1" w:styleId="Bullet0">
    <w:name w:val="Bullet 0"/>
    <w:basedOn w:val="Normal"/>
    <w:pPr>
      <w:numPr>
        <w:numId w:val="22"/>
      </w:numPr>
    </w:pPr>
  </w:style>
  <w:style w:type="paragraph" w:customStyle="1" w:styleId="Bullet1">
    <w:name w:val="Bullet 1"/>
    <w:basedOn w:val="Normal"/>
    <w:pPr>
      <w:numPr>
        <w:numId w:val="23"/>
      </w:numPr>
    </w:pPr>
  </w:style>
  <w:style w:type="paragraph" w:customStyle="1" w:styleId="Bullet2">
    <w:name w:val="Bullet 2"/>
    <w:basedOn w:val="Normal"/>
    <w:pPr>
      <w:numPr>
        <w:numId w:val="24"/>
      </w:numPr>
    </w:pPr>
  </w:style>
  <w:style w:type="paragraph" w:customStyle="1" w:styleId="Bullet3">
    <w:name w:val="Bullet 3"/>
    <w:basedOn w:val="Normal"/>
    <w:pPr>
      <w:numPr>
        <w:numId w:val="25"/>
      </w:numPr>
    </w:pPr>
  </w:style>
  <w:style w:type="paragraph" w:customStyle="1" w:styleId="Bullet4">
    <w:name w:val="Bullet 4"/>
    <w:basedOn w:val="Normal"/>
    <w:pPr>
      <w:numPr>
        <w:numId w:val="2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7E5165"/>
    <w:pPr>
      <w:tabs>
        <w:tab w:val="center" w:pos="4535"/>
        <w:tab w:val="right" w:pos="9071"/>
      </w:tabs>
      <w:spacing w:before="0"/>
    </w:pPr>
  </w:style>
  <w:style w:type="paragraph" w:customStyle="1" w:styleId="HeaderLandscape">
    <w:name w:val="HeaderLandscape"/>
    <w:basedOn w:val="Normal"/>
    <w:rsid w:val="007E5165"/>
    <w:pPr>
      <w:tabs>
        <w:tab w:val="center" w:pos="7285"/>
        <w:tab w:val="right" w:pos="14003"/>
      </w:tabs>
      <w:spacing w:before="0"/>
    </w:pPr>
  </w:style>
  <w:style w:type="paragraph" w:styleId="Footer">
    <w:name w:val="footer"/>
    <w:basedOn w:val="Normal"/>
    <w:link w:val="FooterChar"/>
    <w:uiPriority w:val="99"/>
    <w:unhideWhenUsed/>
    <w:rsid w:val="007E5165"/>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7E5165"/>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5192451">
      <w:bodyDiv w:val="1"/>
      <w:marLeft w:val="0"/>
      <w:marRight w:val="0"/>
      <w:marTop w:val="0"/>
      <w:marBottom w:val="0"/>
      <w:divBdr>
        <w:top w:val="none" w:sz="0" w:space="0" w:color="auto"/>
        <w:left w:val="none" w:sz="0" w:space="0" w:color="auto"/>
        <w:bottom w:val="none" w:sz="0" w:space="0" w:color="auto"/>
        <w:right w:val="none" w:sz="0" w:space="0" w:color="auto"/>
      </w:divBdr>
      <w:divsChild>
        <w:div w:id="1618176328">
          <w:marLeft w:val="0"/>
          <w:marRight w:val="0"/>
          <w:marTop w:val="0"/>
          <w:marBottom w:val="0"/>
          <w:divBdr>
            <w:top w:val="none" w:sz="0" w:space="0" w:color="auto"/>
            <w:left w:val="none" w:sz="0" w:space="0" w:color="auto"/>
            <w:bottom w:val="none" w:sz="0" w:space="0" w:color="auto"/>
            <w:right w:val="none" w:sz="0" w:space="0" w:color="auto"/>
          </w:divBdr>
        </w:div>
      </w:divsChild>
    </w:div>
    <w:div w:id="1103107931">
      <w:bodyDiv w:val="1"/>
      <w:marLeft w:val="0"/>
      <w:marRight w:val="0"/>
      <w:marTop w:val="0"/>
      <w:marBottom w:val="0"/>
      <w:divBdr>
        <w:top w:val="none" w:sz="0" w:space="0" w:color="auto"/>
        <w:left w:val="none" w:sz="0" w:space="0" w:color="auto"/>
        <w:bottom w:val="none" w:sz="0" w:space="0" w:color="auto"/>
        <w:right w:val="none" w:sz="0" w:space="0" w:color="auto"/>
      </w:divBdr>
    </w:div>
    <w:div w:id="1532842187">
      <w:bodyDiv w:val="1"/>
      <w:marLeft w:val="0"/>
      <w:marRight w:val="0"/>
      <w:marTop w:val="0"/>
      <w:marBottom w:val="0"/>
      <w:divBdr>
        <w:top w:val="none" w:sz="0" w:space="0" w:color="auto"/>
        <w:left w:val="none" w:sz="0" w:space="0" w:color="auto"/>
        <w:bottom w:val="none" w:sz="0" w:space="0" w:color="auto"/>
        <w:right w:val="none" w:sz="0" w:space="0" w:color="auto"/>
      </w:divBdr>
    </w:div>
    <w:div w:id="2005429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ec_impl/2024/1447/oj" TargetMode="External"/><Relationship Id="rId2" Type="http://schemas.openxmlformats.org/officeDocument/2006/relationships/hyperlink" Target="http://data.europa.eu/eli/dec_impl/2026/480/oj" TargetMode="External"/><Relationship Id="rId1" Type="http://schemas.openxmlformats.org/officeDocument/2006/relationships/hyperlink" Target="http://data.europa.eu/eli/reg/2024/792/oj" TargetMode="External"/><Relationship Id="rId6" Type="http://schemas.openxmlformats.org/officeDocument/2006/relationships/hyperlink" Target="http://data.europa.eu/eli/C/2026/2328/oj" TargetMode="External"/><Relationship Id="rId5" Type="http://schemas.openxmlformats.org/officeDocument/2006/relationships/hyperlink" Target="file:///C:\Users\stanjul\Downloads\OJ%20C,%20C\2025\2114,%203.4.2025,%20ELI:&#160;http:\data.europa.eu\eli\C\2025\2114\oj" TargetMode="External"/><Relationship Id="rId4" Type="http://schemas.openxmlformats.org/officeDocument/2006/relationships/hyperlink" Target="file:///C:\Users\stanjul\Downloads\OJ%20C,%20C\2025\2114,%203.4.2025,%20ELI:&#160;http:\data.europa.eu\eli\C\2025\2114\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A035B8C3EAA64A9CFE17FEB37C94B7" ma:contentTypeVersion="14" ma:contentTypeDescription="Create a new document." ma:contentTypeScope="" ma:versionID="788ae97eaf1c6661b4b5369a5a51e409">
  <xsd:schema xmlns:xsd="http://www.w3.org/2001/XMLSchema" xmlns:xs="http://www.w3.org/2001/XMLSchema" xmlns:p="http://schemas.microsoft.com/office/2006/metadata/properties" xmlns:ns2="f46a404f-b2a3-4040-9043-f235421f67a9" xmlns:ns3="143df74d-9af4-4f98-9378-663f31c63d7c" targetNamespace="http://schemas.microsoft.com/office/2006/metadata/properties" ma:root="true" ma:fieldsID="177e8980f36abfe104d358ca9d141286" ns2:_="" ns3:_="">
    <xsd:import namespace="f46a404f-b2a3-4040-9043-f235421f67a9"/>
    <xsd:import namespace="143df74d-9af4-4f98-9378-663f31c63d7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6a404f-b2a3-4040-9043-f235421f67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43df74d-9af4-4f98-9378-663f31c63d7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6eaa164-67b1-4009-9506-aa3f45407dd2}" ma:internalName="TaxCatchAll" ma:showField="CatchAllData" ma:web="143df74d-9af4-4f98-9378-663f31c63d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46a404f-b2a3-4040-9043-f235421f67a9">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143df74d-9af4-4f98-9378-663f31c63d7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E66AF3-77BD-4D3C-86DE-F6985F8189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6a404f-b2a3-4040-9043-f235421f67a9"/>
    <ds:schemaRef ds:uri="143df74d-9af4-4f98-9378-663f31c63d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1E6A81E-4273-4C1C-94EB-347DEC0EBD30}">
  <ds:schemaRefs>
    <ds:schemaRef ds:uri="http://schemas.microsoft.com/sharepoint/v3/contenttype/forms"/>
  </ds:schemaRefs>
</ds:datastoreItem>
</file>

<file path=customXml/itemProps3.xml><?xml version="1.0" encoding="utf-8"?>
<ds:datastoreItem xmlns:ds="http://schemas.openxmlformats.org/officeDocument/2006/customXml" ds:itemID="{757E8230-EA63-49C6-BB9C-D2E2FBF3C148}">
  <ds:schemaRefs>
    <ds:schemaRef ds:uri="http://schemas.microsoft.com/office/2006/metadata/properties"/>
    <ds:schemaRef ds:uri="http://schemas.microsoft.com/office/infopath/2007/PartnerControls"/>
    <ds:schemaRef ds:uri="f46a404f-b2a3-4040-9043-f235421f67a9"/>
    <ds:schemaRef ds:uri="143df74d-9af4-4f98-9378-663f31c63d7c"/>
  </ds:schemaRefs>
</ds:datastoreItem>
</file>

<file path=customXml/itemProps4.xml><?xml version="1.0" encoding="utf-8"?>
<ds:datastoreItem xmlns:ds="http://schemas.openxmlformats.org/officeDocument/2006/customXml" ds:itemID="{5FACADA5-2D73-4D0B-9094-1579F2B50C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6</Pages>
  <Words>2024</Words>
  <Characters>11543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2026-04-27T07:15:00Z</dcterms:created>
  <dcterms:modified xsi:type="dcterms:W3CDTF">2026-05-05T06:33:00Z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Category">
    <vt:lpwstr>COM/PL/ORG</vt:lpwstr>
  </property>
  <property fmtid="{D5CDD505-2E9C-101B-9397-08002B2CF9AE}" pid="4" name="Version">
    <vt:lpwstr>8.0.25.0</vt:lpwstr>
  </property>
  <property fmtid="{D5CDD505-2E9C-101B-9397-08002B2CF9AE}" pid="5" name="Created using">
    <vt:lpwstr>LW 9.0, Build 20230317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SJ-021</vt:lpwstr>
  </property>
  <property fmtid="{D5CDD505-2E9C-101B-9397-08002B2CF9AE}" pid="10" name="MSIP_Label_6bd9ddd1-4d20-43f6-abfa-fc3c07406f94_Enabled">
    <vt:lpwstr>true</vt:lpwstr>
  </property>
  <property fmtid="{D5CDD505-2E9C-101B-9397-08002B2CF9AE}" pid="11" name="MSIP_Label_6bd9ddd1-4d20-43f6-abfa-fc3c07406f94_SetDate">
    <vt:lpwstr>2024-07-17T11:37:53Z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00b229e1-a42a-4753-93f8-f11c8b4585bb</vt:lpwstr>
  </property>
  <property fmtid="{D5CDD505-2E9C-101B-9397-08002B2CF9AE}" pid="16" name="MSIP_Label_6bd9ddd1-4d20-43f6-abfa-fc3c07406f94_ContentBits">
    <vt:lpwstr>0</vt:lpwstr>
  </property>
  <property fmtid="{D5CDD505-2E9C-101B-9397-08002B2CF9AE}" pid="17" name="ContentTypeId">
    <vt:lpwstr>0x01010089A035B8C3EAA64A9CFE17FEB37C94B7</vt:lpwstr>
  </property>
  <property fmtid="{D5CDD505-2E9C-101B-9397-08002B2CF9AE}" pid="18" name="MediaServiceImageTags">
    <vt:lpwstr/>
  </property>
  <property fmtid="{D5CDD505-2E9C-101B-9397-08002B2CF9AE}" pid="19" name="DQCStatus">
    <vt:lpwstr>Green (DQC version 03)</vt:lpwstr>
  </property>
</Properties>
</file>