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AB1F48" w:rsidRDefault="00231734" w:rsidP="0023173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04AEED2-E0F1-4E62-B319-8EBCF3B3DC33" style="width:455.25pt;height:342.75pt">
            <v:imagedata r:id="rId11" o:title=""/>
          </v:shape>
        </w:pict>
      </w:r>
    </w:p>
    <w:p w:rsidR="00A83B18" w:rsidRPr="00AB1F48" w:rsidRDefault="00A83B18" w:rsidP="00A83B18">
      <w:pPr>
        <w:pStyle w:val="Pagedecouverture"/>
        <w:rPr>
          <w:noProof/>
        </w:rPr>
        <w:sectPr w:rsidR="00A83B18" w:rsidRPr="00AB1F48" w:rsidSect="00231734">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AB1F48" w:rsidRDefault="00DB38C7" w:rsidP="00DB38C7">
      <w:pPr>
        <w:pStyle w:val="Exposdesmotifstitre"/>
        <w:rPr>
          <w:noProof/>
        </w:rPr>
      </w:pPr>
      <w:bookmarkStart w:id="1" w:name="_GoBack"/>
      <w:bookmarkEnd w:id="1"/>
    </w:p>
    <w:p w:rsidR="00607CA2" w:rsidRPr="00AB1F48" w:rsidRDefault="00607CA2" w:rsidP="00607CA2">
      <w:pPr>
        <w:rPr>
          <w:noProof/>
        </w:rPr>
      </w:pPr>
    </w:p>
    <w:p w:rsidR="00841EFF" w:rsidRDefault="00B12B3B">
      <w:pPr>
        <w:pStyle w:val="Rfrenceinterinstitutionnelle"/>
        <w:rPr>
          <w:noProof/>
        </w:rPr>
      </w:pPr>
      <w:r>
        <w:rPr>
          <w:noProof/>
        </w:rPr>
        <w:t>2026/0102 (NLE)</w:t>
      </w:r>
    </w:p>
    <w:p w:rsidR="002709B6" w:rsidRPr="00AB1F48" w:rsidRDefault="00AB1F48" w:rsidP="00AB1F48">
      <w:pPr>
        <w:pStyle w:val="Statut"/>
        <w:rPr>
          <w:noProof/>
        </w:rPr>
      </w:pPr>
      <w:r w:rsidRPr="00AB1F48">
        <w:rPr>
          <w:noProof/>
        </w:rPr>
        <w:t>Proposition de</w:t>
      </w:r>
    </w:p>
    <w:p w:rsidR="002709B6" w:rsidRPr="00AB1F48" w:rsidRDefault="00AB1F48" w:rsidP="00AB1F48">
      <w:pPr>
        <w:pStyle w:val="Typedudocument"/>
        <w:rPr>
          <w:noProof/>
        </w:rPr>
      </w:pPr>
      <w:r w:rsidRPr="00AB1F48">
        <w:rPr>
          <w:noProof/>
        </w:rPr>
        <w:t>DÉCISION D’EXÉCUTION DU CONSEIL</w:t>
      </w:r>
    </w:p>
    <w:p w:rsidR="002F19B5" w:rsidRPr="00AB1F48" w:rsidRDefault="00AB1F48" w:rsidP="00AB1F48">
      <w:pPr>
        <w:pStyle w:val="Titreobjet"/>
        <w:rPr>
          <w:noProof/>
        </w:rPr>
      </w:pPr>
      <w:r w:rsidRPr="00AB1F48">
        <w:rPr>
          <w:noProof/>
        </w:rPr>
        <w:t>modifiant la décision d’exécution du 4 mai 2022 relative à l’approbation de l’évaluation du plan pour la reprise et la résilience pour la Bulgarie</w:t>
      </w:r>
    </w:p>
    <w:p w:rsidR="00007F85" w:rsidRPr="00AB1F48" w:rsidRDefault="00007F85" w:rsidP="002F19B5">
      <w:pPr>
        <w:pStyle w:val="Institutionquiagit"/>
        <w:rPr>
          <w:noProof/>
        </w:rPr>
      </w:pPr>
      <w:r w:rsidRPr="00AB1F48">
        <w:rPr>
          <w:noProof/>
        </w:rPr>
        <w:t>LE CONSEIL DE L’UNION EUROPÉENNE,</w:t>
      </w:r>
    </w:p>
    <w:p w:rsidR="00007F85" w:rsidRPr="00AB1F48" w:rsidRDefault="00007F85" w:rsidP="00007F85">
      <w:pPr>
        <w:rPr>
          <w:noProof/>
        </w:rPr>
      </w:pPr>
      <w:r w:rsidRPr="00AB1F48">
        <w:rPr>
          <w:noProof/>
        </w:rPr>
        <w:t xml:space="preserve">vu le traité sur le fonctionnement de l’Union européenne, </w:t>
      </w:r>
    </w:p>
    <w:p w:rsidR="00007F85" w:rsidRPr="00AB1F48" w:rsidRDefault="00007F85" w:rsidP="00007F85">
      <w:pPr>
        <w:rPr>
          <w:noProof/>
        </w:rPr>
      </w:pPr>
      <w:r w:rsidRPr="00AB1F48">
        <w:rPr>
          <w:noProof/>
        </w:rPr>
        <w:t>vu le règlement (UE) 2021/241 du Parlement européen et du Conseil du 12 février 2021 établissant la facilité pour la reprise et la résilience</w:t>
      </w:r>
      <w:r w:rsidRPr="00AB1F48">
        <w:rPr>
          <w:rStyle w:val="FootnoteReference"/>
          <w:rFonts w:eastAsia="Times New Roman"/>
          <w:noProof/>
        </w:rPr>
        <w:footnoteReference w:id="2"/>
      </w:r>
      <w:r w:rsidRPr="00AB1F48">
        <w:rPr>
          <w:noProof/>
        </w:rPr>
        <w:t>, et notamment son article 20, paragraphe 1,</w:t>
      </w:r>
    </w:p>
    <w:p w:rsidR="00007F85" w:rsidRPr="00AB1F48" w:rsidRDefault="00007F85" w:rsidP="00007F85">
      <w:pPr>
        <w:rPr>
          <w:noProof/>
        </w:rPr>
      </w:pPr>
      <w:r w:rsidRPr="00AB1F48">
        <w:rPr>
          <w:noProof/>
        </w:rPr>
        <w:t>vu la proposition de la Commission européenne,</w:t>
      </w:r>
    </w:p>
    <w:p w:rsidR="00007F85" w:rsidRPr="00AB1F48" w:rsidRDefault="00007F85" w:rsidP="00007F85">
      <w:pPr>
        <w:rPr>
          <w:noProof/>
        </w:rPr>
      </w:pPr>
      <w:r w:rsidRPr="00AB1F48">
        <w:rPr>
          <w:noProof/>
        </w:rPr>
        <w:t>considérant ce qui suit:</w:t>
      </w:r>
    </w:p>
    <w:p w:rsidR="00007F85" w:rsidRPr="00AB1F48" w:rsidRDefault="00007F85" w:rsidP="0038678F">
      <w:pPr>
        <w:pStyle w:val="ManualConsidrant"/>
        <w:rPr>
          <w:noProof/>
        </w:rPr>
      </w:pPr>
      <w:r>
        <w:rPr>
          <w:noProof/>
        </w:rPr>
        <w:t>(1)</w:t>
      </w:r>
      <w:r>
        <w:rPr>
          <w:noProof/>
        </w:rPr>
        <w:tab/>
      </w:r>
      <w:r w:rsidRPr="00AB1F48">
        <w:rPr>
          <w:noProof/>
        </w:rPr>
        <w:t>Après la présentation, par la Bulgarie, de son plan national pour la reprise et la résilience (ci-après le «PRR») le 15 octobre 2021, la Commission a proposé au Conseil que ce PRR reçoive une évaluation positive. Le 4 mai 2022, le Conseil a approuvé cette évaluation positive par une décision d’exécution (ci-après la «décision d’exécution du Conseil du 4 mai 2022»)</w:t>
      </w:r>
      <w:r w:rsidRPr="00AB1F48">
        <w:rPr>
          <w:rStyle w:val="FootnoteReference"/>
          <w:noProof/>
        </w:rPr>
        <w:footnoteReference w:id="3"/>
      </w:r>
      <w:r w:rsidRPr="00AB1F48">
        <w:rPr>
          <w:noProof/>
        </w:rPr>
        <w:t>.</w:t>
      </w:r>
      <w:r w:rsidRPr="00AB1F48">
        <w:rPr>
          <w:noProof/>
          <w:vertAlign w:val="superscript"/>
        </w:rPr>
        <w:t xml:space="preserve"> </w:t>
      </w:r>
      <w:r w:rsidRPr="00AB1F48">
        <w:rPr>
          <w:noProof/>
        </w:rPr>
        <w:t>La décision d’exécution du Conseil du 4 mai 2022 a été modifiée par les décisions d’exécution du Conseil du 8 décembre 2023</w:t>
      </w:r>
      <w:r w:rsidRPr="00AB1F48">
        <w:rPr>
          <w:rStyle w:val="FootnoteReference"/>
          <w:noProof/>
        </w:rPr>
        <w:footnoteReference w:id="4"/>
      </w:r>
      <w:r w:rsidRPr="00AB1F48">
        <w:rPr>
          <w:noProof/>
        </w:rPr>
        <w:t>, du 18 juillet 2025</w:t>
      </w:r>
      <w:r w:rsidRPr="00AB1F48">
        <w:rPr>
          <w:rStyle w:val="FootnoteReference"/>
          <w:noProof/>
        </w:rPr>
        <w:footnoteReference w:id="5"/>
      </w:r>
      <w:r w:rsidRPr="00AB1F48">
        <w:rPr>
          <w:noProof/>
        </w:rPr>
        <w:t xml:space="preserve"> et du 27 novembre 2025</w:t>
      </w:r>
      <w:r w:rsidRPr="00AB1F48">
        <w:rPr>
          <w:rStyle w:val="FootnoteReference"/>
          <w:noProof/>
        </w:rPr>
        <w:footnoteReference w:id="6"/>
      </w:r>
      <w:r w:rsidRPr="00AB1F48">
        <w:rPr>
          <w:noProof/>
        </w:rPr>
        <w:t>.</w:t>
      </w:r>
    </w:p>
    <w:p w:rsidR="00007F85" w:rsidRPr="00AB1F48" w:rsidRDefault="00007F85" w:rsidP="0009599B">
      <w:pPr>
        <w:pStyle w:val="ManualConsidrant"/>
        <w:rPr>
          <w:noProof/>
        </w:rPr>
      </w:pPr>
      <w:r>
        <w:rPr>
          <w:noProof/>
        </w:rPr>
        <w:t>(2)</w:t>
      </w:r>
      <w:r>
        <w:rPr>
          <w:noProof/>
        </w:rPr>
        <w:tab/>
      </w:r>
      <w:r w:rsidRPr="00AB1F48">
        <w:rPr>
          <w:noProof/>
        </w:rPr>
        <w:t xml:space="preserve">Le 24 avril 2026, </w:t>
      </w:r>
      <w:bookmarkStart w:id="2" w:name="_Hlk130805569"/>
      <w:r w:rsidRPr="00AB1F48">
        <w:rPr>
          <w:noProof/>
        </w:rPr>
        <w:t>estimant que son PRR ne pouvait plus être respecté en partie, en raison de circonstances objectives, la Bulgarie a adressé à la Commission une demande motivée l’invitant à présenter une proposition visant à modifier la décision d’exécution du Conseil du 4 mai 2022 conformément à l’article 21, paragraphe 1, du règlement (UE) 2021/241. Sur cette base, la Bulgarie a présenté un PRR modifié.</w:t>
      </w:r>
      <w:bookmarkEnd w:id="2"/>
    </w:p>
    <w:p w:rsidR="00007F85" w:rsidRPr="00AB1F48" w:rsidRDefault="00007F85" w:rsidP="00007F85">
      <w:pPr>
        <w:rPr>
          <w:b/>
          <w:bCs/>
          <w:i/>
          <w:iCs/>
          <w:noProof/>
        </w:rPr>
      </w:pPr>
      <w:r w:rsidRPr="00AB1F48">
        <w:rPr>
          <w:b/>
          <w:i/>
          <w:noProof/>
        </w:rPr>
        <w:t xml:space="preserve">Modifications fondées sur l’article 21 du règlement (UE) 2021/241 </w:t>
      </w:r>
    </w:p>
    <w:p w:rsidR="00007F85" w:rsidRPr="00AB1F48" w:rsidRDefault="00007F85" w:rsidP="00007F85">
      <w:pPr>
        <w:pStyle w:val="ManualConsidrant"/>
        <w:rPr>
          <w:rFonts w:eastAsia="Times New Roman"/>
          <w:noProof/>
        </w:rPr>
      </w:pPr>
      <w:r>
        <w:rPr>
          <w:noProof/>
        </w:rPr>
        <w:t>(3)</w:t>
      </w:r>
      <w:r>
        <w:rPr>
          <w:noProof/>
        </w:rPr>
        <w:tab/>
      </w:r>
      <w:r w:rsidRPr="00AB1F48">
        <w:rPr>
          <w:noProof/>
          <w:color w:val="000000" w:themeColor="text1"/>
        </w:rPr>
        <w:t>Les modifications du PRR présentées par la Bulgarie</w:t>
      </w:r>
      <w:r w:rsidRPr="00AB1F48">
        <w:rPr>
          <w:noProof/>
        </w:rPr>
        <w:t xml:space="preserve"> en raison de circonstances objectives </w:t>
      </w:r>
      <w:r w:rsidRPr="00AB1F48">
        <w:rPr>
          <w:noProof/>
          <w:color w:val="000000" w:themeColor="text1"/>
        </w:rPr>
        <w:t>concernent neuf mesures</w:t>
      </w:r>
      <w:r w:rsidRPr="00AB1F48">
        <w:rPr>
          <w:noProof/>
        </w:rPr>
        <w:t>.</w:t>
      </w:r>
      <w:r w:rsidRPr="00AB1F48">
        <w:rPr>
          <w:noProof/>
          <w:color w:val="000000" w:themeColor="text1"/>
        </w:rPr>
        <w:t xml:space="preserve">  </w:t>
      </w:r>
    </w:p>
    <w:p w:rsidR="00007F85" w:rsidRPr="00AB1F48" w:rsidRDefault="00EA00AA" w:rsidP="00007F85">
      <w:pPr>
        <w:pStyle w:val="ManualConsidrant"/>
        <w:rPr>
          <w:rFonts w:eastAsia="Times New Roman"/>
          <w:noProof/>
        </w:rPr>
      </w:pPr>
      <w:r>
        <w:rPr>
          <w:noProof/>
        </w:rPr>
        <w:t>(4)</w:t>
      </w:r>
      <w:r>
        <w:rPr>
          <w:noProof/>
        </w:rPr>
        <w:tab/>
      </w:r>
      <w:bookmarkStart w:id="3" w:name="_Hlk158894031"/>
      <w:r w:rsidRPr="00AB1F48">
        <w:rPr>
          <w:noProof/>
          <w:color w:val="000000" w:themeColor="text1"/>
        </w:rPr>
        <w:t>La Bulgarie a expliqué qu’une mesure n’était en partie plus réalisable dans les délais prévus dans l’annexe de la décision d’exécution du Conseil du 4 mai 2022, en raison de retards inattendus dans le processus législatif causés par la tenue d’élections législatives anticipées. Cela concerne la mesure C10.R2 (Lutte contre la corruption)</w:t>
      </w:r>
      <w:r w:rsidRPr="00AB1F48">
        <w:rPr>
          <w:noProof/>
        </w:rPr>
        <w:t xml:space="preserve">. Sur cette base, </w:t>
      </w:r>
      <w:r w:rsidRPr="00AB1F48">
        <w:rPr>
          <w:noProof/>
          <w:color w:val="000000" w:themeColor="text1"/>
        </w:rPr>
        <w:t>la Bulgarie</w:t>
      </w:r>
      <w:r w:rsidRPr="00AB1F48">
        <w:rPr>
          <w:noProof/>
        </w:rPr>
        <w:t xml:space="preserve"> a demandé la modification de cette mesure</w:t>
      </w:r>
      <w:r w:rsidRPr="00AB1F48">
        <w:rPr>
          <w:noProof/>
          <w:color w:val="000000" w:themeColor="text1"/>
        </w:rPr>
        <w:t xml:space="preserve">. </w:t>
      </w:r>
      <w:r w:rsidRPr="00AB1F48">
        <w:rPr>
          <w:noProof/>
        </w:rPr>
        <w:t xml:space="preserve">Il convient de modifier la décision d’exécution du Conseil du 4 mai 2022 en conséquence.  </w:t>
      </w:r>
    </w:p>
    <w:bookmarkEnd w:id="3"/>
    <w:p w:rsidR="00007F85" w:rsidRPr="00AB1F48" w:rsidRDefault="008E2ED2" w:rsidP="0009599B">
      <w:pPr>
        <w:pStyle w:val="ManualConsidrant"/>
        <w:rPr>
          <w:rFonts w:eastAsia="Times New Roman"/>
          <w:noProof/>
          <w:color w:val="000000" w:themeColor="text1"/>
        </w:rPr>
      </w:pPr>
      <w:r>
        <w:rPr>
          <w:noProof/>
        </w:rPr>
        <w:t>(5)</w:t>
      </w:r>
      <w:r>
        <w:rPr>
          <w:noProof/>
        </w:rPr>
        <w:tab/>
      </w:r>
      <w:r w:rsidRPr="00AB1F48">
        <w:rPr>
          <w:noProof/>
        </w:rPr>
        <w:t xml:space="preserve">La Bulgarie a expliqué que huit mesures avaient été modifiées au profit de solutions plus efficaces permettant de réduire la charge administrative et de simplifier la décision d’exécution du Conseil tout en continuant d’atteindre les objectifs des mesures en question. </w:t>
      </w:r>
      <w:r w:rsidRPr="00AB1F48">
        <w:rPr>
          <w:noProof/>
          <w:color w:val="000000" w:themeColor="text1"/>
        </w:rPr>
        <w:t xml:space="preserve">Cela concerne les mesures C1.R1 (Réforme de l’enseignement préscolaire et scolaire ainsi que de l’enseignement et de la formation professionnels), C3.I2 </w:t>
      </w:r>
      <w:r w:rsidRPr="00AB1F48">
        <w:rPr>
          <w:noProof/>
        </w:rPr>
        <w:t xml:space="preserve">(Programme de transformation économique), </w:t>
      </w:r>
      <w:r w:rsidRPr="00AB1F48">
        <w:rPr>
          <w:noProof/>
          <w:color w:val="000000" w:themeColor="text1"/>
        </w:rPr>
        <w:t>C4.I2 (Soutien aux énergies renouvelables pour les ménages), C4.I7 (Accroître l’utilisation des énergies renouvelables provenant de sources géothermiques), C6.I2 (Numérisation des processus de la ferme à la table), C8.R1 (Cadre stratégique des transports), C8.R4 (Transports publics intégrés), C8.R5 (Mobilité électrique)</w:t>
      </w:r>
      <w:r w:rsidRPr="00AB1F48">
        <w:rPr>
          <w:noProof/>
        </w:rPr>
        <w:t>.</w:t>
      </w:r>
      <w:r w:rsidRPr="00AB1F48">
        <w:rPr>
          <w:noProof/>
          <w:color w:val="000000" w:themeColor="text1"/>
        </w:rPr>
        <w:t xml:space="preserve"> </w:t>
      </w:r>
      <w:r w:rsidRPr="00AB1F48">
        <w:rPr>
          <w:noProof/>
        </w:rPr>
        <w:t>Sur cette base, la Bulgarie a demandé la modification de ces mesures.</w:t>
      </w:r>
      <w:r w:rsidRPr="00AB1F48">
        <w:rPr>
          <w:noProof/>
          <w:color w:val="000000" w:themeColor="text1"/>
        </w:rPr>
        <w:t xml:space="preserve"> </w:t>
      </w:r>
      <w:r w:rsidRPr="00AB1F48">
        <w:rPr>
          <w:noProof/>
        </w:rPr>
        <w:t xml:space="preserve">Il convient de modifier la décision d’exécution du Conseil du 4 mai 2022 en conséquence.  </w:t>
      </w:r>
    </w:p>
    <w:p w:rsidR="00540224" w:rsidRPr="00AB1F48" w:rsidRDefault="00540224" w:rsidP="00B7500E">
      <w:pPr>
        <w:rPr>
          <w:b/>
          <w:bCs/>
          <w:i/>
          <w:iCs/>
          <w:noProof/>
        </w:rPr>
      </w:pPr>
      <w:r w:rsidRPr="00AB1F48">
        <w:rPr>
          <w:b/>
          <w:i/>
          <w:noProof/>
        </w:rPr>
        <w:t>Répartition des jalons et des cibles</w:t>
      </w:r>
    </w:p>
    <w:bookmarkEnd w:id="0"/>
    <w:p w:rsidR="00007F85" w:rsidRPr="00AB1F48" w:rsidRDefault="00007F85" w:rsidP="00007F85">
      <w:pPr>
        <w:pStyle w:val="ManualConsidrant"/>
        <w:rPr>
          <w:rFonts w:eastAsia="Times New Roman"/>
          <w:noProof/>
        </w:rPr>
      </w:pPr>
      <w:r>
        <w:rPr>
          <w:noProof/>
        </w:rPr>
        <w:t>(6)</w:t>
      </w:r>
      <w:r>
        <w:rPr>
          <w:noProof/>
        </w:rPr>
        <w:tab/>
      </w:r>
      <w:r w:rsidRPr="00AB1F48">
        <w:rPr>
          <w:noProof/>
        </w:rPr>
        <w:t>Il y a lieu de modifier la répartition des jalons et des cibles par tranches afin de tenir compte des modifications apportées au PRR et du calendrier indicatif présenté par la Bulgarie.</w:t>
      </w:r>
    </w:p>
    <w:p w:rsidR="00007F85" w:rsidRPr="00AB1F48" w:rsidDel="00A97624" w:rsidRDefault="00007F85" w:rsidP="00007F85">
      <w:pPr>
        <w:rPr>
          <w:b/>
          <w:bCs/>
          <w:i/>
          <w:iCs/>
          <w:noProof/>
        </w:rPr>
      </w:pPr>
      <w:r w:rsidRPr="00AB1F48">
        <w:rPr>
          <w:b/>
          <w:i/>
          <w:noProof/>
        </w:rPr>
        <w:t>Correction d’erreurs matérielles</w:t>
      </w:r>
    </w:p>
    <w:p w:rsidR="51337714" w:rsidRPr="00AB1F48" w:rsidRDefault="004F5440" w:rsidP="009C24C0">
      <w:pPr>
        <w:pStyle w:val="ManualConsidrant"/>
        <w:rPr>
          <w:noProof/>
        </w:rPr>
      </w:pPr>
      <w:r>
        <w:rPr>
          <w:noProof/>
        </w:rPr>
        <w:t>(7)</w:t>
      </w:r>
      <w:r>
        <w:rPr>
          <w:noProof/>
        </w:rPr>
        <w:tab/>
      </w:r>
      <w:r w:rsidRPr="00AB1F48">
        <w:rPr>
          <w:noProof/>
        </w:rPr>
        <w:t>Une erreur matérielle a été relevée dans le texte de la décision d’exécution du Conseil du 4 mai 2022, concernant la composante 9: développement local. Il y a lieu de modifier la décision d’exécution du Conseil du 4 mai 2022 afin de corriger cette erreur matérielle qui ne reflète pas le contenu du PRR présenté à la Commission le 16 avril 2025, comme convenu entre la Commission et la Bulgarie. Cette erreur matérielle concerne la description de la composante 9: développement local. Cette correction n’a pas d’incidence sur la mise en œuvre du PRR.</w:t>
      </w:r>
    </w:p>
    <w:p w:rsidR="00007F85" w:rsidRPr="00AB1F48" w:rsidRDefault="00007F85" w:rsidP="00007F85">
      <w:pPr>
        <w:rPr>
          <w:b/>
          <w:bCs/>
          <w:i/>
          <w:iCs/>
          <w:noProof/>
        </w:rPr>
      </w:pPr>
      <w:r w:rsidRPr="00AB1F48">
        <w:rPr>
          <w:b/>
          <w:i/>
          <w:noProof/>
        </w:rPr>
        <w:t>Évaluation par la Commission</w:t>
      </w:r>
    </w:p>
    <w:p w:rsidR="00007F85" w:rsidRPr="00AB1F48" w:rsidRDefault="00007F85" w:rsidP="00007F85">
      <w:pPr>
        <w:pStyle w:val="ManualConsidrant"/>
        <w:rPr>
          <w:rFonts w:eastAsia="Times New Roman"/>
          <w:noProof/>
        </w:rPr>
      </w:pPr>
      <w:r>
        <w:rPr>
          <w:noProof/>
        </w:rPr>
        <w:t>(8)</w:t>
      </w:r>
      <w:r>
        <w:rPr>
          <w:noProof/>
        </w:rPr>
        <w:tab/>
      </w:r>
      <w:r w:rsidRPr="00AB1F48">
        <w:rPr>
          <w:noProof/>
        </w:rPr>
        <w:t>La Commission a évalué le PRR modifié au regard des critères d’évaluation énoncés à l’article 19, paragraphe 3, du règlement (UE) 2021/241.</w:t>
      </w:r>
    </w:p>
    <w:p w:rsidR="00007F85" w:rsidRPr="00AB1F48" w:rsidRDefault="00007F85" w:rsidP="00007F85">
      <w:pPr>
        <w:pStyle w:val="ManualConsidrant"/>
        <w:rPr>
          <w:rStyle w:val="normaltextrun"/>
          <w:rFonts w:eastAsia="Times New Roman"/>
          <w:noProof/>
        </w:rPr>
      </w:pPr>
      <w:r>
        <w:rPr>
          <w:noProof/>
        </w:rPr>
        <w:t>(9)</w:t>
      </w:r>
      <w:r>
        <w:rPr>
          <w:noProof/>
        </w:rPr>
        <w:tab/>
      </w:r>
      <w:r w:rsidRPr="00AB1F48">
        <w:rPr>
          <w:noProof/>
        </w:rPr>
        <w:t>La Commission considère que les modifications proposées par la Bulgarie n’ont pas d’incidence sur l’évaluation positive du PRR présentée dans la décision d’exécution du Conseil du 4 mai 2022 en ce qui concerne la pertinence, l’efficacité, l’efficience et la cohérence du PRR au regard des critères d’évaluation énoncés à l’article 19, paragraphe 3, points </w:t>
      </w:r>
      <w:r w:rsidRPr="00AB1F48">
        <w:rPr>
          <w:rStyle w:val="normaltextrun"/>
          <w:noProof/>
          <w:shd w:val="clear" w:color="auto" w:fill="FFFFFF"/>
        </w:rPr>
        <w:t>a), b), c), d), d </w:t>
      </w:r>
      <w:r w:rsidRPr="00AB1F48">
        <w:rPr>
          <w:rStyle w:val="normaltextrun"/>
          <w:i/>
          <w:iCs/>
          <w:noProof/>
          <w:shd w:val="clear" w:color="auto" w:fill="FFFFFF"/>
        </w:rPr>
        <w:t>bis</w:t>
      </w:r>
      <w:r w:rsidRPr="00AB1F48">
        <w:rPr>
          <w:rStyle w:val="normaltextrun"/>
          <w:noProof/>
          <w:shd w:val="clear" w:color="auto" w:fill="FFFFFF"/>
        </w:rPr>
        <w:t>), d </w:t>
      </w:r>
      <w:r w:rsidRPr="00AB1F48">
        <w:rPr>
          <w:rStyle w:val="normaltextrun"/>
          <w:i/>
          <w:iCs/>
          <w:noProof/>
          <w:shd w:val="clear" w:color="auto" w:fill="FFFFFF"/>
        </w:rPr>
        <w:t>ter</w:t>
      </w:r>
      <w:r w:rsidRPr="00AB1F48">
        <w:rPr>
          <w:rStyle w:val="normaltextrun"/>
          <w:noProof/>
          <w:shd w:val="clear" w:color="auto" w:fill="FFFFFF"/>
        </w:rPr>
        <w:t>), e), f), g), h), i), j) et k)</w:t>
      </w:r>
      <w:r w:rsidRPr="00AB1F48">
        <w:rPr>
          <w:noProof/>
        </w:rPr>
        <w:t>, du règlement (UE) 2021/241.</w:t>
      </w:r>
    </w:p>
    <w:p w:rsidR="00007F85" w:rsidRPr="00AB1F48" w:rsidRDefault="00007F85" w:rsidP="00007F85">
      <w:pPr>
        <w:rPr>
          <w:b/>
          <w:bCs/>
          <w:i/>
          <w:iCs/>
          <w:noProof/>
        </w:rPr>
      </w:pPr>
      <w:r w:rsidRPr="00AB1F48">
        <w:rPr>
          <w:b/>
          <w:i/>
          <w:noProof/>
        </w:rPr>
        <w:t>Évaluation positive</w:t>
      </w:r>
    </w:p>
    <w:p w:rsidR="00007F85" w:rsidRPr="00AB1F48" w:rsidRDefault="00007F85" w:rsidP="00007F85">
      <w:pPr>
        <w:pStyle w:val="ManualConsidrant"/>
        <w:rPr>
          <w:rFonts w:eastAsia="Times New Roman"/>
          <w:noProof/>
        </w:rPr>
      </w:pPr>
      <w:r>
        <w:rPr>
          <w:noProof/>
        </w:rPr>
        <w:t>(10)</w:t>
      </w:r>
      <w:r>
        <w:rPr>
          <w:noProof/>
        </w:rPr>
        <w:tab/>
      </w:r>
      <w:r w:rsidRPr="00AB1F48">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ainsi que les jalons, cibles et indicateurs pertinents, et le montant mis à disposition par l’Union pour la mise en œuvre du PRR modifié.</w:t>
      </w:r>
    </w:p>
    <w:p w:rsidR="00007F85" w:rsidRPr="00AB1F48" w:rsidRDefault="00007F85" w:rsidP="00007F85">
      <w:pPr>
        <w:rPr>
          <w:b/>
          <w:bCs/>
          <w:i/>
          <w:iCs/>
          <w:noProof/>
        </w:rPr>
      </w:pPr>
      <w:r w:rsidRPr="00AB1F48">
        <w:rPr>
          <w:b/>
          <w:i/>
          <w:noProof/>
        </w:rPr>
        <w:t>Contribution financière</w:t>
      </w:r>
    </w:p>
    <w:p w:rsidR="00DE16EF" w:rsidRPr="00AB1F48" w:rsidRDefault="00007F85" w:rsidP="00447D79">
      <w:pPr>
        <w:pStyle w:val="ManualConsidrant"/>
        <w:rPr>
          <w:noProof/>
        </w:rPr>
      </w:pPr>
      <w:r>
        <w:rPr>
          <w:noProof/>
        </w:rPr>
        <w:t>(11)</w:t>
      </w:r>
      <w:r>
        <w:rPr>
          <w:noProof/>
        </w:rPr>
        <w:tab/>
      </w:r>
      <w:r w:rsidRPr="00AB1F48">
        <w:rPr>
          <w:noProof/>
        </w:rPr>
        <w:t>Le coût total du PRR modifié de la Bulgarie est estimé à 6 174 106 145 EUR. Le montant des coûts totaux estimés du PRR modifié étant égal à la contribution financière maximale actualisée disponible pour la Bulgarie, la contribution financière déterminée conformément à l’article 4 </w:t>
      </w:r>
      <w:r w:rsidRPr="00AB1F48">
        <w:rPr>
          <w:i/>
          <w:iCs/>
          <w:noProof/>
        </w:rPr>
        <w:t>bis</w:t>
      </w:r>
      <w:r w:rsidRPr="00AB1F48">
        <w:rPr>
          <w:noProof/>
        </w:rPr>
        <w:t xml:space="preserve"> du règlement (UE) 2021/1755 du Parlement européen et du Conseil</w:t>
      </w:r>
      <w:r w:rsidRPr="00AB1F48">
        <w:rPr>
          <w:rStyle w:val="FootnoteReference"/>
          <w:noProof/>
        </w:rPr>
        <w:footnoteReference w:id="7"/>
      </w:r>
      <w:r w:rsidRPr="00AB1F48">
        <w:rPr>
          <w:noProof/>
        </w:rPr>
        <w:t xml:space="preserve"> ainsi qu’à l’article 20, paragraphe 4, et à l’article 21 </w:t>
      </w:r>
      <w:r w:rsidRPr="00AB1F48">
        <w:rPr>
          <w:i/>
          <w:iCs/>
          <w:noProof/>
        </w:rPr>
        <w:t>bis</w:t>
      </w:r>
      <w:r w:rsidRPr="00AB1F48">
        <w:rPr>
          <w:noProof/>
        </w:rPr>
        <w:t>, paragraphe 6, du règlement (UE) 2021/241, allouée au PRR modifié de la Bulgarie devrait être égale à 6 174 106 145 EUR. Par conséquent, la contribution financière mise à la disposition de la Bulgarie reste inchangée.</w:t>
      </w:r>
    </w:p>
    <w:p w:rsidR="00007F85" w:rsidRPr="00AB1F48" w:rsidRDefault="00007F85" w:rsidP="00007F85">
      <w:pPr>
        <w:pStyle w:val="ManualConsidrant"/>
        <w:ind w:left="720" w:hanging="720"/>
        <w:rPr>
          <w:rFonts w:eastAsia="Times New Roman"/>
          <w:noProof/>
        </w:rPr>
      </w:pPr>
      <w:r>
        <w:rPr>
          <w:noProof/>
        </w:rPr>
        <w:t>(12)</w:t>
      </w:r>
      <w:r>
        <w:rPr>
          <w:noProof/>
        </w:rPr>
        <w:tab/>
      </w:r>
      <w:r w:rsidRPr="00AB1F48">
        <w:rPr>
          <w:noProof/>
        </w:rPr>
        <w:t>Il y a donc lieu de modifier la décision d’exécution du Conseil relative à la Bulgarie en conséquence. Par souci de clarté, il convient de remplacer intégralement l’annexe de la décision d’exécution du Conseil du 4 mai 2022.</w:t>
      </w:r>
    </w:p>
    <w:p w:rsidR="00CD54FA" w:rsidRPr="00AB1F48" w:rsidRDefault="00CD54FA" w:rsidP="00007F85">
      <w:pPr>
        <w:pStyle w:val="ManualConsidrant"/>
        <w:ind w:left="720" w:hanging="720"/>
        <w:rPr>
          <w:rFonts w:eastAsia="Times New Roman"/>
          <w:noProof/>
        </w:rPr>
      </w:pPr>
      <w:r>
        <w:rPr>
          <w:noProof/>
        </w:rPr>
        <w:t>(13)</w:t>
      </w:r>
      <w:r>
        <w:rPr>
          <w:noProof/>
        </w:rPr>
        <w:tab/>
      </w:r>
      <w:r w:rsidRPr="00AB1F48">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AB1F48" w:rsidRDefault="00007F85" w:rsidP="00007F85">
      <w:pPr>
        <w:pStyle w:val="Formuledadoption"/>
        <w:rPr>
          <w:noProof/>
        </w:rPr>
      </w:pPr>
      <w:r w:rsidRPr="00AB1F48">
        <w:rPr>
          <w:noProof/>
        </w:rPr>
        <w:t xml:space="preserve">A ADOPTÉ LA PRÉSENTE DÉCISION: </w:t>
      </w:r>
    </w:p>
    <w:p w:rsidR="00007F85" w:rsidRPr="00AB1F48" w:rsidRDefault="00007F85" w:rsidP="00007F85">
      <w:pPr>
        <w:pStyle w:val="Titrearticle"/>
        <w:rPr>
          <w:noProof/>
        </w:rPr>
      </w:pPr>
      <w:r w:rsidRPr="00AB1F48">
        <w:rPr>
          <w:noProof/>
        </w:rPr>
        <w:t xml:space="preserve">Article premier </w:t>
      </w:r>
      <w:r w:rsidRPr="00AB1F48">
        <w:rPr>
          <w:noProof/>
        </w:rPr>
        <w:br/>
        <w:t>Approbation de l’évaluation du PRR</w:t>
      </w:r>
    </w:p>
    <w:p w:rsidR="00007F85" w:rsidRPr="00AB1F48" w:rsidRDefault="00007F85" w:rsidP="00007F85">
      <w:pPr>
        <w:rPr>
          <w:rFonts w:eastAsia="Times New Roman"/>
          <w:noProof/>
        </w:rPr>
      </w:pPr>
      <w:r w:rsidRPr="00AB1F48">
        <w:rPr>
          <w:noProof/>
        </w:rPr>
        <w:t xml:space="preserve">L’évaluation du PRR modifié de la Bulgarie sur la base des critères prévus à l’article 19, paragraphe 3, du règlement (UE) 2021/241 est approuvée. </w:t>
      </w:r>
    </w:p>
    <w:p w:rsidR="00007F85" w:rsidRPr="00AB1F48" w:rsidRDefault="00007F85" w:rsidP="00007F85">
      <w:pPr>
        <w:pStyle w:val="Titrearticle"/>
        <w:rPr>
          <w:noProof/>
        </w:rPr>
      </w:pPr>
      <w:r w:rsidRPr="00AB1F48">
        <w:rPr>
          <w:noProof/>
        </w:rPr>
        <w:t xml:space="preserve">Article 2 </w:t>
      </w:r>
      <w:r w:rsidRPr="00AB1F48">
        <w:rPr>
          <w:noProof/>
        </w:rPr>
        <w:br/>
        <w:t>Modifications</w:t>
      </w:r>
    </w:p>
    <w:p w:rsidR="00007F85" w:rsidRPr="00AB1F48" w:rsidRDefault="00007F85" w:rsidP="00007F85">
      <w:pPr>
        <w:rPr>
          <w:noProof/>
        </w:rPr>
      </w:pPr>
      <w:r w:rsidRPr="00AB1F48">
        <w:rPr>
          <w:noProof/>
        </w:rPr>
        <w:t xml:space="preserve">La décision d’exécution du Conseil du 4 mai 2022 relative à l’approbation de l’évaluation du plan pour la reprise et la résilience pour la Bulgarie est modifiée comme suit: </w:t>
      </w:r>
    </w:p>
    <w:p w:rsidR="00007F85" w:rsidRPr="00AB1F48" w:rsidRDefault="00007F85" w:rsidP="00007F85">
      <w:pPr>
        <w:rPr>
          <w:noProof/>
        </w:rPr>
      </w:pPr>
      <w:r w:rsidRPr="00AB1F48">
        <w:rPr>
          <w:noProof/>
        </w:rPr>
        <w:t>L’annexe est remplacée par le texte figurant à l’annexe de la présente décision.</w:t>
      </w:r>
    </w:p>
    <w:p w:rsidR="00007F85" w:rsidRPr="00AB1F48" w:rsidRDefault="00007F85" w:rsidP="008825A2">
      <w:pPr>
        <w:pStyle w:val="Titrearticle"/>
        <w:rPr>
          <w:noProof/>
        </w:rPr>
      </w:pPr>
      <w:r w:rsidRPr="00AB1F48">
        <w:rPr>
          <w:noProof/>
        </w:rPr>
        <w:t xml:space="preserve">Article 3 </w:t>
      </w:r>
      <w:r w:rsidRPr="00AB1F48">
        <w:rPr>
          <w:noProof/>
        </w:rPr>
        <w:br/>
        <w:t>Destinataire</w:t>
      </w:r>
    </w:p>
    <w:p w:rsidR="00007F85" w:rsidRPr="00AB1F48" w:rsidRDefault="00007F85" w:rsidP="008825A2">
      <w:pPr>
        <w:keepNext/>
        <w:keepLines/>
        <w:rPr>
          <w:noProof/>
        </w:rPr>
      </w:pPr>
      <w:r w:rsidRPr="00AB1F48">
        <w:rPr>
          <w:noProof/>
        </w:rPr>
        <w:t>La République de Bulgarie est destinataire de la présente décision.</w:t>
      </w:r>
    </w:p>
    <w:p w:rsidR="00007F85" w:rsidRPr="00AB1F48" w:rsidRDefault="00AB1F48" w:rsidP="008825A2">
      <w:pPr>
        <w:pStyle w:val="Fait"/>
        <w:rPr>
          <w:noProof/>
        </w:rPr>
      </w:pPr>
      <w:r>
        <w:rPr>
          <w:noProof/>
        </w:rPr>
        <w:t>Fait à Bruxelles, le</w:t>
      </w:r>
    </w:p>
    <w:p w:rsidR="00007F85" w:rsidRPr="00AB1F48" w:rsidRDefault="00007F85" w:rsidP="008825A2">
      <w:pPr>
        <w:pStyle w:val="Institutionquisigne"/>
        <w:rPr>
          <w:noProof/>
        </w:rPr>
      </w:pPr>
      <w:r w:rsidRPr="00AB1F48">
        <w:rPr>
          <w:noProof/>
        </w:rPr>
        <w:tab/>
        <w:t>Par le Conseil</w:t>
      </w:r>
    </w:p>
    <w:p w:rsidR="002709B6" w:rsidRPr="00AB1F48" w:rsidRDefault="00007F85" w:rsidP="00A1233B">
      <w:pPr>
        <w:pStyle w:val="Personnequisigne"/>
        <w:rPr>
          <w:noProof/>
          <w:color w:val="008000"/>
        </w:rPr>
      </w:pPr>
      <w:r w:rsidRPr="00AB1F48">
        <w:rPr>
          <w:noProof/>
        </w:rPr>
        <w:tab/>
        <w:t>Le président/La présidente</w:t>
      </w:r>
    </w:p>
    <w:sectPr w:rsidR="002709B6" w:rsidRPr="00AB1F48" w:rsidSect="0023173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5F8" w:rsidRDefault="003625F8">
      <w:pPr>
        <w:spacing w:before="0" w:after="0"/>
      </w:pPr>
      <w:r>
        <w:separator/>
      </w:r>
    </w:p>
  </w:endnote>
  <w:endnote w:type="continuationSeparator" w:id="0">
    <w:p w:rsidR="003625F8" w:rsidRDefault="003625F8">
      <w:pPr>
        <w:spacing w:before="0" w:after="0"/>
      </w:pPr>
      <w:r>
        <w:continuationSeparator/>
      </w:r>
    </w:p>
  </w:endnote>
  <w:endnote w:type="continuationNotice" w:id="1">
    <w:p w:rsidR="003625F8" w:rsidRDefault="003625F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34" w:rsidRPr="00231734" w:rsidRDefault="00231734" w:rsidP="00231734">
    <w:pPr>
      <w:pStyle w:val="Footer"/>
      <w:rPr>
        <w:rFonts w:ascii="Arial" w:hAnsi="Arial" w:cs="Arial"/>
        <w:b/>
        <w:sz w:val="48"/>
      </w:rPr>
    </w:pPr>
    <w:r w:rsidRPr="00231734">
      <w:rPr>
        <w:rFonts w:ascii="Arial" w:hAnsi="Arial" w:cs="Arial"/>
        <w:b/>
        <w:sz w:val="48"/>
      </w:rPr>
      <w:t>FR</w:t>
    </w:r>
    <w:r w:rsidRPr="00231734">
      <w:rPr>
        <w:rFonts w:ascii="Arial" w:hAnsi="Arial" w:cs="Arial"/>
        <w:b/>
        <w:sz w:val="48"/>
      </w:rPr>
      <w:tab/>
    </w:r>
    <w:r w:rsidRPr="00231734">
      <w:rPr>
        <w:rFonts w:ascii="Arial" w:hAnsi="Arial" w:cs="Arial"/>
        <w:b/>
        <w:sz w:val="48"/>
      </w:rPr>
      <w:tab/>
    </w:r>
    <w:r w:rsidRPr="00231734">
      <w:tab/>
    </w:r>
    <w:r w:rsidRPr="0023173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34" w:rsidRPr="00231734" w:rsidRDefault="00231734" w:rsidP="00231734">
    <w:pPr>
      <w:pStyle w:val="Footer"/>
      <w:rPr>
        <w:rFonts w:ascii="Arial" w:hAnsi="Arial" w:cs="Arial"/>
        <w:b/>
        <w:sz w:val="48"/>
      </w:rPr>
    </w:pPr>
    <w:r w:rsidRPr="00231734">
      <w:rPr>
        <w:rFonts w:ascii="Arial" w:hAnsi="Arial" w:cs="Arial"/>
        <w:b/>
        <w:sz w:val="48"/>
      </w:rPr>
      <w:t>FR</w:t>
    </w:r>
    <w:r w:rsidRPr="00231734">
      <w:rPr>
        <w:rFonts w:ascii="Arial" w:hAnsi="Arial" w:cs="Arial"/>
        <w:b/>
        <w:sz w:val="48"/>
      </w:rPr>
      <w:tab/>
    </w:r>
    <w:r w:rsidRPr="00231734">
      <w:rPr>
        <w:rFonts w:ascii="Arial" w:hAnsi="Arial" w:cs="Arial"/>
        <w:b/>
        <w:sz w:val="48"/>
      </w:rPr>
      <w:tab/>
    </w:r>
    <w:r w:rsidRPr="00231734">
      <w:tab/>
    </w:r>
    <w:r w:rsidRPr="0023173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34" w:rsidRDefault="002317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34" w:rsidRPr="00231734" w:rsidRDefault="00231734" w:rsidP="00231734">
    <w:pPr>
      <w:pStyle w:val="Footer"/>
      <w:rPr>
        <w:rFonts w:ascii="Arial" w:hAnsi="Arial" w:cs="Arial"/>
        <w:b/>
        <w:sz w:val="48"/>
      </w:rPr>
    </w:pPr>
    <w:r w:rsidRPr="00231734">
      <w:rPr>
        <w:rFonts w:ascii="Arial" w:hAnsi="Arial" w:cs="Arial"/>
        <w:b/>
        <w:sz w:val="48"/>
      </w:rPr>
      <w:t>FR</w:t>
    </w:r>
    <w:r w:rsidRPr="00231734">
      <w:rPr>
        <w:rFonts w:ascii="Arial" w:hAnsi="Arial" w:cs="Arial"/>
        <w:b/>
        <w:sz w:val="48"/>
      </w:rPr>
      <w:tab/>
    </w:r>
    <w:r>
      <w:fldChar w:fldCharType="begin"/>
    </w:r>
    <w:r>
      <w:instrText xml:space="preserve"> PAGE  \* MERGEFORMAT </w:instrText>
    </w:r>
    <w:r>
      <w:fldChar w:fldCharType="separate"/>
    </w:r>
    <w:r w:rsidR="008825A2">
      <w:rPr>
        <w:noProof/>
      </w:rPr>
      <w:t>4</w:t>
    </w:r>
    <w:r>
      <w:fldChar w:fldCharType="end"/>
    </w:r>
    <w:r>
      <w:tab/>
    </w:r>
    <w:r w:rsidRPr="00231734">
      <w:tab/>
    </w:r>
    <w:r w:rsidRPr="00231734">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34" w:rsidRDefault="00231734" w:rsidP="00231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5F8" w:rsidRDefault="003625F8">
      <w:pPr>
        <w:spacing w:before="0" w:after="0"/>
      </w:pPr>
      <w:r>
        <w:separator/>
      </w:r>
    </w:p>
  </w:footnote>
  <w:footnote w:type="continuationSeparator" w:id="0">
    <w:p w:rsidR="003625F8" w:rsidRDefault="003625F8">
      <w:pPr>
        <w:spacing w:before="0" w:after="0"/>
      </w:pPr>
      <w:r>
        <w:continuationSeparator/>
      </w:r>
    </w:p>
  </w:footnote>
  <w:footnote w:type="continuationNotice" w:id="1">
    <w:p w:rsidR="003625F8" w:rsidRDefault="003625F8">
      <w:pPr>
        <w:spacing w:before="0" w:after="0"/>
      </w:pPr>
    </w:p>
  </w:footnote>
  <w:footnote w:id="2">
    <w:p w:rsidR="00487751" w:rsidRPr="00AB1F48" w:rsidRDefault="00487751" w:rsidP="00487751">
      <w:pPr>
        <w:pStyle w:val="FootnoteText"/>
        <w:rPr>
          <w:lang w:val="fr-BE"/>
        </w:rPr>
      </w:pPr>
      <w:r>
        <w:rPr>
          <w:rStyle w:val="FootnoteReference"/>
        </w:rPr>
        <w:footnoteRef/>
      </w:r>
      <w:r w:rsidRPr="00AB1F48">
        <w:rPr>
          <w:lang w:val="fr-BE"/>
        </w:rPr>
        <w:tab/>
        <w:t xml:space="preserve">JO L 57 du 18.2.2021, p. 17, ELI: </w:t>
      </w:r>
      <w:hyperlink r:id="rId1" w:history="1">
        <w:r w:rsidRPr="00AB1F48">
          <w:rPr>
            <w:rStyle w:val="Hyperlink"/>
            <w:lang w:val="fr-BE"/>
          </w:rPr>
          <w:t>https://eur-lex.europa.eu/eli/reg/2021/241/oj</w:t>
        </w:r>
      </w:hyperlink>
      <w:r w:rsidRPr="00AB1F48">
        <w:rPr>
          <w:lang w:val="fr-BE"/>
        </w:rPr>
        <w:t>.</w:t>
      </w:r>
    </w:p>
  </w:footnote>
  <w:footnote w:id="3">
    <w:p w:rsidR="001E4D9C" w:rsidRPr="00AB1F48" w:rsidRDefault="001E4D9C">
      <w:pPr>
        <w:pStyle w:val="FootnoteText"/>
        <w:rPr>
          <w:lang w:val="fr-BE"/>
        </w:rPr>
      </w:pPr>
      <w:r>
        <w:rPr>
          <w:rStyle w:val="FootnoteReference"/>
        </w:rPr>
        <w:footnoteRef/>
      </w:r>
      <w:r w:rsidRPr="00AB1F48">
        <w:rPr>
          <w:lang w:val="fr-BE"/>
        </w:rPr>
        <w:tab/>
        <w:t xml:space="preserve">Voir documents ST 8091/22 INIT et ST 8091/22 ADD 1, disponibles à l’adresse suivante: </w:t>
      </w:r>
      <w:hyperlink r:id="rId2" w:history="1">
        <w:r w:rsidRPr="00AB1F48">
          <w:rPr>
            <w:rStyle w:val="Hyperlink"/>
            <w:lang w:val="fr-BE"/>
          </w:rPr>
          <w:t>https://www.consilium.europa.eu/fr/documents/public-register/</w:t>
        </w:r>
      </w:hyperlink>
      <w:r w:rsidRPr="00AB1F48">
        <w:rPr>
          <w:lang w:val="fr-BE"/>
        </w:rPr>
        <w:t>.</w:t>
      </w:r>
    </w:p>
  </w:footnote>
  <w:footnote w:id="4">
    <w:p w:rsidR="005D0956" w:rsidRPr="00AB1F48" w:rsidRDefault="005D0956">
      <w:pPr>
        <w:pStyle w:val="FootnoteText"/>
        <w:rPr>
          <w:lang w:val="fr-BE"/>
        </w:rPr>
      </w:pPr>
      <w:r>
        <w:rPr>
          <w:rStyle w:val="FootnoteReference"/>
        </w:rPr>
        <w:footnoteRef/>
      </w:r>
      <w:r w:rsidRPr="00AB1F48">
        <w:rPr>
          <w:lang w:val="fr-BE"/>
        </w:rPr>
        <w:tab/>
        <w:t xml:space="preserve">Voir documents ST 15837/23 INIT et ST 15837/23 ADD 1, disponibles à l’adresse suivante: </w:t>
      </w:r>
      <w:hyperlink r:id="rId3" w:history="1">
        <w:r w:rsidRPr="00AB1F48">
          <w:rPr>
            <w:rStyle w:val="Hyperlink"/>
            <w:lang w:val="fr-BE"/>
          </w:rPr>
          <w:t>https://www.consilium.europa.eu/fr/documents/public-register/</w:t>
        </w:r>
      </w:hyperlink>
      <w:r w:rsidRPr="00AB1F48">
        <w:rPr>
          <w:lang w:val="fr-BE"/>
        </w:rPr>
        <w:t xml:space="preserve">. </w:t>
      </w:r>
    </w:p>
  </w:footnote>
  <w:footnote w:id="5">
    <w:p w:rsidR="00A075D1" w:rsidRPr="00AB1F48" w:rsidRDefault="00A075D1">
      <w:pPr>
        <w:pStyle w:val="FootnoteText"/>
        <w:rPr>
          <w:lang w:val="fr-BE"/>
        </w:rPr>
      </w:pPr>
      <w:r>
        <w:rPr>
          <w:rStyle w:val="FootnoteReference"/>
        </w:rPr>
        <w:footnoteRef/>
      </w:r>
      <w:r w:rsidRPr="00AB1F48">
        <w:rPr>
          <w:lang w:val="fr-BE"/>
        </w:rPr>
        <w:tab/>
        <w:t xml:space="preserve">Voir documents ST 11242/25 INIT et ST 11242/25 ADD 1, disponibles à l’adresse suivante: </w:t>
      </w:r>
      <w:hyperlink r:id="rId4" w:history="1">
        <w:r w:rsidRPr="00AB1F48">
          <w:rPr>
            <w:rStyle w:val="Hyperlink"/>
            <w:lang w:val="fr-BE"/>
          </w:rPr>
          <w:t>https://www.consilium.europa.eu/fr/documents/public-register/</w:t>
        </w:r>
      </w:hyperlink>
      <w:r w:rsidRPr="00AB1F48">
        <w:rPr>
          <w:lang w:val="fr-BE"/>
        </w:rPr>
        <w:t>.</w:t>
      </w:r>
    </w:p>
  </w:footnote>
  <w:footnote w:id="6">
    <w:p w:rsidR="00A075D1" w:rsidRPr="00AB1F48" w:rsidRDefault="00A075D1">
      <w:pPr>
        <w:pStyle w:val="FootnoteText"/>
        <w:rPr>
          <w:lang w:val="fr-BE"/>
        </w:rPr>
      </w:pPr>
      <w:r>
        <w:rPr>
          <w:rStyle w:val="FootnoteReference"/>
        </w:rPr>
        <w:footnoteRef/>
      </w:r>
      <w:r w:rsidRPr="00AB1F48">
        <w:rPr>
          <w:lang w:val="fr-BE"/>
        </w:rPr>
        <w:tab/>
        <w:t xml:space="preserve">Voir documents ST 15108/25 INIT et ST 15108/25 ADD 1, disponibles à l’adresse suivante: </w:t>
      </w:r>
      <w:hyperlink r:id="rId5" w:history="1">
        <w:r w:rsidRPr="00AB1F48">
          <w:rPr>
            <w:rStyle w:val="Hyperlink"/>
            <w:lang w:val="fr-BE"/>
          </w:rPr>
          <w:t>https://www.consilium.europa.eu/fr/documents/public-register/</w:t>
        </w:r>
      </w:hyperlink>
      <w:r w:rsidRPr="00AB1F48">
        <w:rPr>
          <w:lang w:val="fr-BE"/>
        </w:rPr>
        <w:t>.</w:t>
      </w:r>
    </w:p>
  </w:footnote>
  <w:footnote w:id="7">
    <w:p w:rsidR="00007F85" w:rsidRPr="00AB1F48" w:rsidRDefault="00007F85" w:rsidP="00007F85">
      <w:pPr>
        <w:pStyle w:val="FootnoteText"/>
        <w:rPr>
          <w:lang w:val="fr-BE"/>
        </w:rPr>
      </w:pPr>
      <w:r>
        <w:rPr>
          <w:rStyle w:val="FootnoteReference"/>
        </w:rPr>
        <w:footnoteRef/>
      </w:r>
      <w:r w:rsidRPr="00AB1F48">
        <w:rPr>
          <w:lang w:val="fr-BE"/>
        </w:rPr>
        <w:tab/>
        <w:t>Règlement (UE) 2021/1755 du Parlement européen et du Conseil du 6 octobre 2021 établissant la réserve d’ajustement au Brexit (JO L 357 du 8.10.2021, p. 1, ELI: </w:t>
      </w:r>
      <w:hyperlink r:id="rId6" w:history="1">
        <w:r w:rsidRPr="00AB1F48">
          <w:rPr>
            <w:lang w:val="fr-BE"/>
          </w:rPr>
          <w:t>http://data.europa.eu/eli/reg/2021/1755/oj</w:t>
        </w:r>
      </w:hyperlink>
      <w:r w:rsidRPr="00AB1F48">
        <w:rPr>
          <w:lang w:val="fr-BE"/>
        </w:rPr>
        <w:t>).</w:t>
      </w:r>
    </w:p>
    <w:p w:rsidR="00007F85" w:rsidRPr="00AB1F48"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34" w:rsidRDefault="00231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1734" w:rsidRDefault="002317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07 15:47: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04AEED2-E0F1-4E62-B319-8EBCF3B3DC33"/>
    <w:docVar w:name="LW_COVERPAGE_TYPE" w:val="1"/>
    <w:docVar w:name="LW_CROSSREFERENCE" w:val="&lt;UNUSED&gt;"/>
    <w:docVar w:name="LW_DocType" w:val="COM"/>
    <w:docVar w:name="LW_EMISSION" w:val="30.4.2026"/>
    <w:docVar w:name="LW_EMISSION_ISODATE" w:val="2026-04-3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2"/>
    <w:docVar w:name="LW_REF.II.NEW.CP_YEAR" w:val="2026"/>
    <w:docVar w:name="LW_REF.INST.NEW" w:val="COM"/>
    <w:docVar w:name="LW_REF.INST.NEW_ADOPTED" w:val="final"/>
    <w:docVar w:name="LW_REF.INST.NEW_TEXT" w:val="(2026) 1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4 mai 2022 relative à l\u8217?approbation de l\u8217?évaluation du plan pour la reprise et la résilience pour la Bulgar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3EAC"/>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C7C"/>
    <w:rsid w:val="00011F86"/>
    <w:rsid w:val="000128E3"/>
    <w:rsid w:val="00012AF9"/>
    <w:rsid w:val="00012C15"/>
    <w:rsid w:val="00012C1E"/>
    <w:rsid w:val="00012CD5"/>
    <w:rsid w:val="00013078"/>
    <w:rsid w:val="0001311B"/>
    <w:rsid w:val="000132F2"/>
    <w:rsid w:val="000133E1"/>
    <w:rsid w:val="000134DA"/>
    <w:rsid w:val="0001383B"/>
    <w:rsid w:val="000139DE"/>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0BB"/>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CFE"/>
    <w:rsid w:val="00027D08"/>
    <w:rsid w:val="00027D17"/>
    <w:rsid w:val="00027D40"/>
    <w:rsid w:val="00027FED"/>
    <w:rsid w:val="000302ED"/>
    <w:rsid w:val="00030622"/>
    <w:rsid w:val="00030B2A"/>
    <w:rsid w:val="00030C0F"/>
    <w:rsid w:val="00030CC4"/>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06F"/>
    <w:rsid w:val="00041218"/>
    <w:rsid w:val="0004159E"/>
    <w:rsid w:val="00041662"/>
    <w:rsid w:val="000416C1"/>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435"/>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4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716"/>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D01"/>
    <w:rsid w:val="00094E98"/>
    <w:rsid w:val="00094F6E"/>
    <w:rsid w:val="000952F4"/>
    <w:rsid w:val="000955C5"/>
    <w:rsid w:val="000956C6"/>
    <w:rsid w:val="00095790"/>
    <w:rsid w:val="0009599B"/>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6B"/>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C2"/>
    <w:rsid w:val="000C3990"/>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AAE"/>
    <w:rsid w:val="000D2B21"/>
    <w:rsid w:val="000D2DA5"/>
    <w:rsid w:val="000D2EDB"/>
    <w:rsid w:val="000D2FF2"/>
    <w:rsid w:val="000D3147"/>
    <w:rsid w:val="000D3576"/>
    <w:rsid w:val="000D3581"/>
    <w:rsid w:val="000D35ED"/>
    <w:rsid w:val="000D387B"/>
    <w:rsid w:val="000D39E2"/>
    <w:rsid w:val="000D3B4D"/>
    <w:rsid w:val="000D3EA9"/>
    <w:rsid w:val="000D41D1"/>
    <w:rsid w:val="000D45BC"/>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18"/>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3C"/>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664"/>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645"/>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9A"/>
    <w:rsid w:val="00135FA9"/>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E51"/>
    <w:rsid w:val="00152FB5"/>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7CF"/>
    <w:rsid w:val="0016184A"/>
    <w:rsid w:val="00161BD4"/>
    <w:rsid w:val="00161F7F"/>
    <w:rsid w:val="001621D9"/>
    <w:rsid w:val="00162245"/>
    <w:rsid w:val="0016264C"/>
    <w:rsid w:val="0016265D"/>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EEA"/>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2CE"/>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AA6"/>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2D"/>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EB1"/>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917"/>
    <w:rsid w:val="001D5928"/>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C79"/>
    <w:rsid w:val="001E3E51"/>
    <w:rsid w:val="001E3F0A"/>
    <w:rsid w:val="001E3F93"/>
    <w:rsid w:val="001E40D6"/>
    <w:rsid w:val="001E437C"/>
    <w:rsid w:val="001E450E"/>
    <w:rsid w:val="001E4515"/>
    <w:rsid w:val="001E45E7"/>
    <w:rsid w:val="001E4960"/>
    <w:rsid w:val="001E4C7A"/>
    <w:rsid w:val="001E4D9C"/>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C08"/>
    <w:rsid w:val="00217D50"/>
    <w:rsid w:val="00217FC4"/>
    <w:rsid w:val="00217FF2"/>
    <w:rsid w:val="0022007E"/>
    <w:rsid w:val="002202C3"/>
    <w:rsid w:val="00220428"/>
    <w:rsid w:val="002205B2"/>
    <w:rsid w:val="00220890"/>
    <w:rsid w:val="00220A12"/>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14E"/>
    <w:rsid w:val="00231208"/>
    <w:rsid w:val="002312C2"/>
    <w:rsid w:val="00231337"/>
    <w:rsid w:val="00231408"/>
    <w:rsid w:val="00231579"/>
    <w:rsid w:val="00231734"/>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A3F"/>
    <w:rsid w:val="00233B31"/>
    <w:rsid w:val="00233E44"/>
    <w:rsid w:val="00233E6F"/>
    <w:rsid w:val="00233ECF"/>
    <w:rsid w:val="00233F6E"/>
    <w:rsid w:val="00233FD6"/>
    <w:rsid w:val="0023406F"/>
    <w:rsid w:val="002340E7"/>
    <w:rsid w:val="002342DD"/>
    <w:rsid w:val="00234910"/>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3E4"/>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4"/>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C5A"/>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67F"/>
    <w:rsid w:val="002717D2"/>
    <w:rsid w:val="002717EF"/>
    <w:rsid w:val="00271C83"/>
    <w:rsid w:val="00271E11"/>
    <w:rsid w:val="0027217E"/>
    <w:rsid w:val="002721C6"/>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4DC"/>
    <w:rsid w:val="002935B1"/>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AD482"/>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1F58"/>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55"/>
    <w:rsid w:val="002E58A4"/>
    <w:rsid w:val="002E5926"/>
    <w:rsid w:val="002E5A15"/>
    <w:rsid w:val="002E62F9"/>
    <w:rsid w:val="002E648E"/>
    <w:rsid w:val="002E657E"/>
    <w:rsid w:val="002E673E"/>
    <w:rsid w:val="002E67DB"/>
    <w:rsid w:val="002E6A98"/>
    <w:rsid w:val="002E6E92"/>
    <w:rsid w:val="002E6F7E"/>
    <w:rsid w:val="002E6FE4"/>
    <w:rsid w:val="002E718D"/>
    <w:rsid w:val="002E7897"/>
    <w:rsid w:val="002E792E"/>
    <w:rsid w:val="002E79A1"/>
    <w:rsid w:val="002E7BE9"/>
    <w:rsid w:val="002F0030"/>
    <w:rsid w:val="002F02A1"/>
    <w:rsid w:val="002F02B8"/>
    <w:rsid w:val="002F02B9"/>
    <w:rsid w:val="002F03CB"/>
    <w:rsid w:val="002F04AC"/>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B9D"/>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D2"/>
    <w:rsid w:val="00313BD6"/>
    <w:rsid w:val="00313E26"/>
    <w:rsid w:val="00313ED4"/>
    <w:rsid w:val="00313FF7"/>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12"/>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01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425"/>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B48"/>
    <w:rsid w:val="003510B2"/>
    <w:rsid w:val="00351180"/>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5F8"/>
    <w:rsid w:val="00362873"/>
    <w:rsid w:val="003629C3"/>
    <w:rsid w:val="003629E4"/>
    <w:rsid w:val="00362AB8"/>
    <w:rsid w:val="00362CE8"/>
    <w:rsid w:val="00362D74"/>
    <w:rsid w:val="00362E80"/>
    <w:rsid w:val="003630B8"/>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1C"/>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43B"/>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62B"/>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78F"/>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AD1"/>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6BD"/>
    <w:rsid w:val="003C4731"/>
    <w:rsid w:val="003C4A77"/>
    <w:rsid w:val="003C4A98"/>
    <w:rsid w:val="003C4AAA"/>
    <w:rsid w:val="003C50AB"/>
    <w:rsid w:val="003C5177"/>
    <w:rsid w:val="003C52DD"/>
    <w:rsid w:val="003C535F"/>
    <w:rsid w:val="003C5702"/>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9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470"/>
    <w:rsid w:val="003E4689"/>
    <w:rsid w:val="003E468D"/>
    <w:rsid w:val="003E4799"/>
    <w:rsid w:val="003E4845"/>
    <w:rsid w:val="003E4998"/>
    <w:rsid w:val="003E49C7"/>
    <w:rsid w:val="003E4A5A"/>
    <w:rsid w:val="003E4B7E"/>
    <w:rsid w:val="003E4E64"/>
    <w:rsid w:val="003E4FB6"/>
    <w:rsid w:val="003E4FCE"/>
    <w:rsid w:val="003E53CA"/>
    <w:rsid w:val="003E56A9"/>
    <w:rsid w:val="003E56B7"/>
    <w:rsid w:val="003E5E82"/>
    <w:rsid w:val="003E5EC4"/>
    <w:rsid w:val="003E5F96"/>
    <w:rsid w:val="003E601B"/>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AB0"/>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5C5"/>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235"/>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D79"/>
    <w:rsid w:val="00447E2E"/>
    <w:rsid w:val="004500CA"/>
    <w:rsid w:val="0045017D"/>
    <w:rsid w:val="00450251"/>
    <w:rsid w:val="00450525"/>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B0"/>
    <w:rsid w:val="00454450"/>
    <w:rsid w:val="004546C7"/>
    <w:rsid w:val="00454C18"/>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57FBE"/>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0B"/>
    <w:rsid w:val="00467D52"/>
    <w:rsid w:val="00467EB7"/>
    <w:rsid w:val="004700DB"/>
    <w:rsid w:val="004702BD"/>
    <w:rsid w:val="00470312"/>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76"/>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AD2"/>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4E"/>
    <w:rsid w:val="004846D1"/>
    <w:rsid w:val="004848F6"/>
    <w:rsid w:val="00484B2D"/>
    <w:rsid w:val="004850F1"/>
    <w:rsid w:val="004851B2"/>
    <w:rsid w:val="0048564E"/>
    <w:rsid w:val="00485753"/>
    <w:rsid w:val="004858B0"/>
    <w:rsid w:val="00485986"/>
    <w:rsid w:val="004859CB"/>
    <w:rsid w:val="00485B5C"/>
    <w:rsid w:val="004860CF"/>
    <w:rsid w:val="00486144"/>
    <w:rsid w:val="004863CB"/>
    <w:rsid w:val="00486A81"/>
    <w:rsid w:val="00486D84"/>
    <w:rsid w:val="00486F1C"/>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6F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7B4"/>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B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4C"/>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1C3"/>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53CD"/>
    <w:rsid w:val="004F5440"/>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78"/>
    <w:rsid w:val="005045C9"/>
    <w:rsid w:val="0050471C"/>
    <w:rsid w:val="0050494E"/>
    <w:rsid w:val="00504C6F"/>
    <w:rsid w:val="00504CD3"/>
    <w:rsid w:val="00505006"/>
    <w:rsid w:val="00505014"/>
    <w:rsid w:val="005051BD"/>
    <w:rsid w:val="005051F1"/>
    <w:rsid w:val="005053DC"/>
    <w:rsid w:val="00505750"/>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2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13"/>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DA8"/>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95E"/>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5FE4"/>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4A1"/>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785"/>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015"/>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7A3"/>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625"/>
    <w:rsid w:val="005C783D"/>
    <w:rsid w:val="005C7E52"/>
    <w:rsid w:val="005D0150"/>
    <w:rsid w:val="005D02E8"/>
    <w:rsid w:val="005D0734"/>
    <w:rsid w:val="005D080C"/>
    <w:rsid w:val="005D0836"/>
    <w:rsid w:val="005D095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BB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5A"/>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1F31"/>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5F4"/>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ED"/>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D6A"/>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302"/>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2F"/>
    <w:rsid w:val="006A1B34"/>
    <w:rsid w:val="006A1E87"/>
    <w:rsid w:val="006A2026"/>
    <w:rsid w:val="006A203E"/>
    <w:rsid w:val="006A2432"/>
    <w:rsid w:val="006A244C"/>
    <w:rsid w:val="006A25F7"/>
    <w:rsid w:val="006A2931"/>
    <w:rsid w:val="006A2AE6"/>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D39"/>
    <w:rsid w:val="006A7ED3"/>
    <w:rsid w:val="006A7F9C"/>
    <w:rsid w:val="006B0053"/>
    <w:rsid w:val="006B030E"/>
    <w:rsid w:val="006B03E1"/>
    <w:rsid w:val="006B03F1"/>
    <w:rsid w:val="006B0452"/>
    <w:rsid w:val="006B08A7"/>
    <w:rsid w:val="006B0A89"/>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85F"/>
    <w:rsid w:val="006D6AB7"/>
    <w:rsid w:val="006D6C6D"/>
    <w:rsid w:val="006D6DCC"/>
    <w:rsid w:val="006D711C"/>
    <w:rsid w:val="006D71EC"/>
    <w:rsid w:val="006D7285"/>
    <w:rsid w:val="006D7451"/>
    <w:rsid w:val="006D747A"/>
    <w:rsid w:val="006D7536"/>
    <w:rsid w:val="006D7805"/>
    <w:rsid w:val="006D7881"/>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6B1"/>
    <w:rsid w:val="006E289B"/>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8E8"/>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1CA"/>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713"/>
    <w:rsid w:val="006F58A8"/>
    <w:rsid w:val="006F5A74"/>
    <w:rsid w:val="006F5F2A"/>
    <w:rsid w:val="006F5F66"/>
    <w:rsid w:val="006F6298"/>
    <w:rsid w:val="006F635D"/>
    <w:rsid w:val="006F6475"/>
    <w:rsid w:val="006F6505"/>
    <w:rsid w:val="006F6D77"/>
    <w:rsid w:val="006F70EA"/>
    <w:rsid w:val="006F7230"/>
    <w:rsid w:val="006F7408"/>
    <w:rsid w:val="006F7562"/>
    <w:rsid w:val="006F756D"/>
    <w:rsid w:val="006F77BE"/>
    <w:rsid w:val="006F7B1A"/>
    <w:rsid w:val="006F7B8F"/>
    <w:rsid w:val="006F7BA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86C"/>
    <w:rsid w:val="00704948"/>
    <w:rsid w:val="00704B92"/>
    <w:rsid w:val="00705520"/>
    <w:rsid w:val="007058EE"/>
    <w:rsid w:val="00705B08"/>
    <w:rsid w:val="00705B5A"/>
    <w:rsid w:val="00705BB6"/>
    <w:rsid w:val="00705E14"/>
    <w:rsid w:val="00705EA5"/>
    <w:rsid w:val="0070612C"/>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BEA"/>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02"/>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0C"/>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79"/>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3F9C"/>
    <w:rsid w:val="00754183"/>
    <w:rsid w:val="00754382"/>
    <w:rsid w:val="007548E9"/>
    <w:rsid w:val="00754CEB"/>
    <w:rsid w:val="00754ED2"/>
    <w:rsid w:val="00754F84"/>
    <w:rsid w:val="00755099"/>
    <w:rsid w:val="00755160"/>
    <w:rsid w:val="007551A4"/>
    <w:rsid w:val="0075523D"/>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3E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4A"/>
    <w:rsid w:val="00770E64"/>
    <w:rsid w:val="00770F95"/>
    <w:rsid w:val="00771050"/>
    <w:rsid w:val="00771172"/>
    <w:rsid w:val="007711B7"/>
    <w:rsid w:val="0077124A"/>
    <w:rsid w:val="007713F6"/>
    <w:rsid w:val="007714AE"/>
    <w:rsid w:val="007715AD"/>
    <w:rsid w:val="0077189A"/>
    <w:rsid w:val="00771A18"/>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4AB"/>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0D2E"/>
    <w:rsid w:val="007814A3"/>
    <w:rsid w:val="0078161E"/>
    <w:rsid w:val="0078176F"/>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989"/>
    <w:rsid w:val="00791A3D"/>
    <w:rsid w:val="00791E43"/>
    <w:rsid w:val="00791F19"/>
    <w:rsid w:val="00791F5D"/>
    <w:rsid w:val="00792067"/>
    <w:rsid w:val="007921F4"/>
    <w:rsid w:val="007927F0"/>
    <w:rsid w:val="007928EA"/>
    <w:rsid w:val="00792AA5"/>
    <w:rsid w:val="00792BF0"/>
    <w:rsid w:val="00792D45"/>
    <w:rsid w:val="00792EE3"/>
    <w:rsid w:val="007932C0"/>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A6B"/>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2E85"/>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4AF6"/>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112"/>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2F81"/>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199D"/>
    <w:rsid w:val="007D2448"/>
    <w:rsid w:val="007D247C"/>
    <w:rsid w:val="007D24D9"/>
    <w:rsid w:val="007D26F7"/>
    <w:rsid w:val="007D27A9"/>
    <w:rsid w:val="007D28F9"/>
    <w:rsid w:val="007D2AEC"/>
    <w:rsid w:val="007D2B40"/>
    <w:rsid w:val="007D2BA5"/>
    <w:rsid w:val="007D2FD7"/>
    <w:rsid w:val="007D3318"/>
    <w:rsid w:val="007D3466"/>
    <w:rsid w:val="007D3491"/>
    <w:rsid w:val="007D3521"/>
    <w:rsid w:val="007D356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188"/>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0A2"/>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8F0"/>
    <w:rsid w:val="007F5B4F"/>
    <w:rsid w:val="007F5FAE"/>
    <w:rsid w:val="007F603A"/>
    <w:rsid w:val="007F61A7"/>
    <w:rsid w:val="007F63DE"/>
    <w:rsid w:val="007F64D0"/>
    <w:rsid w:val="007F64FF"/>
    <w:rsid w:val="007F6681"/>
    <w:rsid w:val="007F6793"/>
    <w:rsid w:val="007F67E9"/>
    <w:rsid w:val="007F6C14"/>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3E90"/>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3D7"/>
    <w:rsid w:val="008336B7"/>
    <w:rsid w:val="0083377A"/>
    <w:rsid w:val="00833780"/>
    <w:rsid w:val="008338E1"/>
    <w:rsid w:val="0083391E"/>
    <w:rsid w:val="008339E9"/>
    <w:rsid w:val="00833BBC"/>
    <w:rsid w:val="00833FA2"/>
    <w:rsid w:val="00834284"/>
    <w:rsid w:val="00834594"/>
    <w:rsid w:val="008346FB"/>
    <w:rsid w:val="00834BA4"/>
    <w:rsid w:val="00834C7E"/>
    <w:rsid w:val="00834DA2"/>
    <w:rsid w:val="008351A4"/>
    <w:rsid w:val="008351C8"/>
    <w:rsid w:val="00835310"/>
    <w:rsid w:val="008353EC"/>
    <w:rsid w:val="00835587"/>
    <w:rsid w:val="008356BC"/>
    <w:rsid w:val="008356DD"/>
    <w:rsid w:val="00835AC7"/>
    <w:rsid w:val="00835F69"/>
    <w:rsid w:val="00835FD3"/>
    <w:rsid w:val="008360B3"/>
    <w:rsid w:val="008361F7"/>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1"/>
    <w:rsid w:val="00841EFE"/>
    <w:rsid w:val="00841EFF"/>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268"/>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03B"/>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DE1"/>
    <w:rsid w:val="0086706A"/>
    <w:rsid w:val="008670E1"/>
    <w:rsid w:val="008672F1"/>
    <w:rsid w:val="00867496"/>
    <w:rsid w:val="008675AD"/>
    <w:rsid w:val="00867A8F"/>
    <w:rsid w:val="00867C0D"/>
    <w:rsid w:val="008700B2"/>
    <w:rsid w:val="008704C4"/>
    <w:rsid w:val="00870579"/>
    <w:rsid w:val="008705D7"/>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9C"/>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7CE"/>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5A2"/>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6B7"/>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9E4"/>
    <w:rsid w:val="008A6AE0"/>
    <w:rsid w:val="008A6BD3"/>
    <w:rsid w:val="008A6C26"/>
    <w:rsid w:val="008A6C75"/>
    <w:rsid w:val="008A7471"/>
    <w:rsid w:val="008A74E1"/>
    <w:rsid w:val="008A7541"/>
    <w:rsid w:val="008A7789"/>
    <w:rsid w:val="008A7CD9"/>
    <w:rsid w:val="008A7E89"/>
    <w:rsid w:val="008B0135"/>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78A"/>
    <w:rsid w:val="008B48ED"/>
    <w:rsid w:val="008B4AA4"/>
    <w:rsid w:val="008B4AD7"/>
    <w:rsid w:val="008B4CD4"/>
    <w:rsid w:val="008B4E73"/>
    <w:rsid w:val="008B4F43"/>
    <w:rsid w:val="008B5171"/>
    <w:rsid w:val="008B51CA"/>
    <w:rsid w:val="008B5534"/>
    <w:rsid w:val="008B5721"/>
    <w:rsid w:val="008B5893"/>
    <w:rsid w:val="008B5C4A"/>
    <w:rsid w:val="008B5DDB"/>
    <w:rsid w:val="008B5EAA"/>
    <w:rsid w:val="008B5F03"/>
    <w:rsid w:val="008B5F2A"/>
    <w:rsid w:val="008B62DF"/>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C3B"/>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2ED2"/>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028"/>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9BE"/>
    <w:rsid w:val="008F0A94"/>
    <w:rsid w:val="008F0DCC"/>
    <w:rsid w:val="008F0F16"/>
    <w:rsid w:val="008F10AE"/>
    <w:rsid w:val="008F10E4"/>
    <w:rsid w:val="008F14E4"/>
    <w:rsid w:val="008F152E"/>
    <w:rsid w:val="008F17F2"/>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444"/>
    <w:rsid w:val="008F7955"/>
    <w:rsid w:val="008F79AC"/>
    <w:rsid w:val="008F7C90"/>
    <w:rsid w:val="008F7CBF"/>
    <w:rsid w:val="008F7E0D"/>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DE6"/>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10"/>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27F"/>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22"/>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E47"/>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DB"/>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6EA"/>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127"/>
    <w:rsid w:val="00953201"/>
    <w:rsid w:val="00953450"/>
    <w:rsid w:val="009534B1"/>
    <w:rsid w:val="00953931"/>
    <w:rsid w:val="00953AAC"/>
    <w:rsid w:val="00953B04"/>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3E49"/>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BDD"/>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2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315"/>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4F6"/>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B0"/>
    <w:rsid w:val="009C0BD7"/>
    <w:rsid w:val="009C1494"/>
    <w:rsid w:val="009C1614"/>
    <w:rsid w:val="009C1760"/>
    <w:rsid w:val="009C17CD"/>
    <w:rsid w:val="009C185E"/>
    <w:rsid w:val="009C18B5"/>
    <w:rsid w:val="009C1D56"/>
    <w:rsid w:val="009C1FF8"/>
    <w:rsid w:val="009C20FC"/>
    <w:rsid w:val="009C2138"/>
    <w:rsid w:val="009C22A3"/>
    <w:rsid w:val="009C2307"/>
    <w:rsid w:val="009C2311"/>
    <w:rsid w:val="009C24A5"/>
    <w:rsid w:val="009C24C0"/>
    <w:rsid w:val="009C2AB2"/>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5D1"/>
    <w:rsid w:val="00A0768F"/>
    <w:rsid w:val="00A0770F"/>
    <w:rsid w:val="00A07834"/>
    <w:rsid w:val="00A07B08"/>
    <w:rsid w:val="00A07B31"/>
    <w:rsid w:val="00A07B54"/>
    <w:rsid w:val="00A07C26"/>
    <w:rsid w:val="00A07D58"/>
    <w:rsid w:val="00A07D7B"/>
    <w:rsid w:val="00A07E6F"/>
    <w:rsid w:val="00A07E82"/>
    <w:rsid w:val="00A07F40"/>
    <w:rsid w:val="00A103B4"/>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2C4"/>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690"/>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D21"/>
    <w:rsid w:val="00A54EE5"/>
    <w:rsid w:val="00A54F34"/>
    <w:rsid w:val="00A5505F"/>
    <w:rsid w:val="00A552B9"/>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24"/>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9E4"/>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3B6"/>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624"/>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48"/>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15"/>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FF1"/>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599"/>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EA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41"/>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78D"/>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AF7EF2"/>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AE3"/>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D29"/>
    <w:rsid w:val="00B16E65"/>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7E2A"/>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479"/>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9C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491"/>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A59"/>
    <w:rsid w:val="00B52B87"/>
    <w:rsid w:val="00B52F08"/>
    <w:rsid w:val="00B530FD"/>
    <w:rsid w:val="00B533AE"/>
    <w:rsid w:val="00B533FD"/>
    <w:rsid w:val="00B535E0"/>
    <w:rsid w:val="00B536BD"/>
    <w:rsid w:val="00B53772"/>
    <w:rsid w:val="00B5387C"/>
    <w:rsid w:val="00B538A9"/>
    <w:rsid w:val="00B538F9"/>
    <w:rsid w:val="00B53925"/>
    <w:rsid w:val="00B53A02"/>
    <w:rsid w:val="00B53BA8"/>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4E2E"/>
    <w:rsid w:val="00B550BA"/>
    <w:rsid w:val="00B55178"/>
    <w:rsid w:val="00B552DC"/>
    <w:rsid w:val="00B553F2"/>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9F8"/>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72"/>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00E"/>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7E"/>
    <w:rsid w:val="00B76BD5"/>
    <w:rsid w:val="00B76D95"/>
    <w:rsid w:val="00B76DA2"/>
    <w:rsid w:val="00B76E87"/>
    <w:rsid w:val="00B76EA7"/>
    <w:rsid w:val="00B77006"/>
    <w:rsid w:val="00B770C6"/>
    <w:rsid w:val="00B77147"/>
    <w:rsid w:val="00B77376"/>
    <w:rsid w:val="00B7748E"/>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3AA"/>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AE8"/>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2F9"/>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9E2"/>
    <w:rsid w:val="00BE4A85"/>
    <w:rsid w:val="00BE4A8A"/>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5A7"/>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1B"/>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848"/>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05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4F5"/>
    <w:rsid w:val="00C32748"/>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08A"/>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395"/>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352"/>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BC8"/>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1A"/>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33D"/>
    <w:rsid w:val="00CB248C"/>
    <w:rsid w:val="00CB281F"/>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10"/>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001"/>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28B"/>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34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3E3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3F9"/>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5"/>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0EF"/>
    <w:rsid w:val="00D171F7"/>
    <w:rsid w:val="00D17CCF"/>
    <w:rsid w:val="00D17D45"/>
    <w:rsid w:val="00D17FAC"/>
    <w:rsid w:val="00D202D7"/>
    <w:rsid w:val="00D204EE"/>
    <w:rsid w:val="00D2064D"/>
    <w:rsid w:val="00D20915"/>
    <w:rsid w:val="00D20954"/>
    <w:rsid w:val="00D209F9"/>
    <w:rsid w:val="00D20B6C"/>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76D"/>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7C2"/>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3BA"/>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04"/>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303"/>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9C"/>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27B"/>
    <w:rsid w:val="00DC03EF"/>
    <w:rsid w:val="00DC083D"/>
    <w:rsid w:val="00DC0A56"/>
    <w:rsid w:val="00DC0AA3"/>
    <w:rsid w:val="00DC0B1F"/>
    <w:rsid w:val="00DC0D44"/>
    <w:rsid w:val="00DC0F19"/>
    <w:rsid w:val="00DC1088"/>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6EF"/>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CC3"/>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74F"/>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50"/>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37F"/>
    <w:rsid w:val="00E065E0"/>
    <w:rsid w:val="00E06A7C"/>
    <w:rsid w:val="00E06B58"/>
    <w:rsid w:val="00E06EEB"/>
    <w:rsid w:val="00E06F75"/>
    <w:rsid w:val="00E0707B"/>
    <w:rsid w:val="00E07297"/>
    <w:rsid w:val="00E072CC"/>
    <w:rsid w:val="00E0741E"/>
    <w:rsid w:val="00E0756D"/>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D55"/>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5B60"/>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706"/>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68A"/>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CD7"/>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35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87"/>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0AA"/>
    <w:rsid w:val="00EA01BF"/>
    <w:rsid w:val="00EA0216"/>
    <w:rsid w:val="00EA057B"/>
    <w:rsid w:val="00EA0629"/>
    <w:rsid w:val="00EA0779"/>
    <w:rsid w:val="00EA09C0"/>
    <w:rsid w:val="00EA0A60"/>
    <w:rsid w:val="00EA0A9A"/>
    <w:rsid w:val="00EA0B48"/>
    <w:rsid w:val="00EA0C3F"/>
    <w:rsid w:val="00EA0CF2"/>
    <w:rsid w:val="00EA0E0E"/>
    <w:rsid w:val="00EA0E8E"/>
    <w:rsid w:val="00EA0FD6"/>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290D"/>
    <w:rsid w:val="00EC33B2"/>
    <w:rsid w:val="00EC3996"/>
    <w:rsid w:val="00EC3E63"/>
    <w:rsid w:val="00EC3F1D"/>
    <w:rsid w:val="00EC3F26"/>
    <w:rsid w:val="00EC403C"/>
    <w:rsid w:val="00EC40F9"/>
    <w:rsid w:val="00EC4264"/>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049"/>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A8A"/>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1E5C"/>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B"/>
    <w:rsid w:val="00F053AF"/>
    <w:rsid w:val="00F0540D"/>
    <w:rsid w:val="00F0570B"/>
    <w:rsid w:val="00F0583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48C"/>
    <w:rsid w:val="00F137FB"/>
    <w:rsid w:val="00F138E9"/>
    <w:rsid w:val="00F13A68"/>
    <w:rsid w:val="00F140A6"/>
    <w:rsid w:val="00F14184"/>
    <w:rsid w:val="00F14194"/>
    <w:rsid w:val="00F14325"/>
    <w:rsid w:val="00F14587"/>
    <w:rsid w:val="00F14608"/>
    <w:rsid w:val="00F1472C"/>
    <w:rsid w:val="00F14BCE"/>
    <w:rsid w:val="00F14D2E"/>
    <w:rsid w:val="00F14EC6"/>
    <w:rsid w:val="00F14FF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2"/>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EC6"/>
    <w:rsid w:val="00F46F9A"/>
    <w:rsid w:val="00F47429"/>
    <w:rsid w:val="00F474BB"/>
    <w:rsid w:val="00F474D8"/>
    <w:rsid w:val="00F474F1"/>
    <w:rsid w:val="00F4750D"/>
    <w:rsid w:val="00F47592"/>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750"/>
    <w:rsid w:val="00F5083A"/>
    <w:rsid w:val="00F5098C"/>
    <w:rsid w:val="00F50BD3"/>
    <w:rsid w:val="00F50D4E"/>
    <w:rsid w:val="00F50D53"/>
    <w:rsid w:val="00F50EBD"/>
    <w:rsid w:val="00F5107E"/>
    <w:rsid w:val="00F511FD"/>
    <w:rsid w:val="00F512BF"/>
    <w:rsid w:val="00F5143A"/>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6A53"/>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487"/>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5BF"/>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07A"/>
    <w:rsid w:val="00F951DC"/>
    <w:rsid w:val="00F954E3"/>
    <w:rsid w:val="00F95590"/>
    <w:rsid w:val="00F9565F"/>
    <w:rsid w:val="00F9577A"/>
    <w:rsid w:val="00F957E3"/>
    <w:rsid w:val="00F95EE6"/>
    <w:rsid w:val="00F9607B"/>
    <w:rsid w:val="00F961D6"/>
    <w:rsid w:val="00F962D3"/>
    <w:rsid w:val="00F9638B"/>
    <w:rsid w:val="00F96675"/>
    <w:rsid w:val="00F96BFB"/>
    <w:rsid w:val="00F96C3D"/>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593"/>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C65"/>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09A"/>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7DA"/>
    <w:rsid w:val="00FD78D5"/>
    <w:rsid w:val="00FD7AA1"/>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D9"/>
    <w:rsid w:val="00FE28EA"/>
    <w:rsid w:val="00FE2FB7"/>
    <w:rsid w:val="00FE3014"/>
    <w:rsid w:val="00FE35DD"/>
    <w:rsid w:val="00FE38A4"/>
    <w:rsid w:val="00FE3B43"/>
    <w:rsid w:val="00FE3B79"/>
    <w:rsid w:val="00FE3C2B"/>
    <w:rsid w:val="00FE3DFA"/>
    <w:rsid w:val="00FE4216"/>
    <w:rsid w:val="00FE429C"/>
    <w:rsid w:val="00FE42EC"/>
    <w:rsid w:val="00FE48A6"/>
    <w:rsid w:val="00FE493D"/>
    <w:rsid w:val="00FE4B2B"/>
    <w:rsid w:val="00FE4EA8"/>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B1E2A"/>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8A940"/>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80F1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9FC8B"/>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29386"/>
    <w:rsid w:val="144E45B8"/>
    <w:rsid w:val="14533BB1"/>
    <w:rsid w:val="145401A3"/>
    <w:rsid w:val="1458A74C"/>
    <w:rsid w:val="1460C185"/>
    <w:rsid w:val="1464FE5C"/>
    <w:rsid w:val="14748408"/>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62135"/>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73D05F"/>
    <w:rsid w:val="1678E1CD"/>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1F089"/>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B40A8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CF90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67BC1"/>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0F0E1"/>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CF7A9C"/>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987804"/>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1FD8E"/>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06D5F"/>
    <w:rsid w:val="3BA12EA8"/>
    <w:rsid w:val="3BA6FF64"/>
    <w:rsid w:val="3BA7BF18"/>
    <w:rsid w:val="3BAC1500"/>
    <w:rsid w:val="3BB2095A"/>
    <w:rsid w:val="3BB2D234"/>
    <w:rsid w:val="3BB7181C"/>
    <w:rsid w:val="3BBCAC79"/>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CFD1C57"/>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0A2C"/>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4FD904"/>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8ECE3E"/>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DADBDE"/>
    <w:rsid w:val="44E60F4B"/>
    <w:rsid w:val="44EBCB8C"/>
    <w:rsid w:val="44EEF729"/>
    <w:rsid w:val="44FDB8EF"/>
    <w:rsid w:val="44FEC764"/>
    <w:rsid w:val="450C8FD5"/>
    <w:rsid w:val="450CA94F"/>
    <w:rsid w:val="451ECCEC"/>
    <w:rsid w:val="4527196E"/>
    <w:rsid w:val="4527AE39"/>
    <w:rsid w:val="4534A6D7"/>
    <w:rsid w:val="4537C9D6"/>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41ED1"/>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53DE0"/>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0ED5AD"/>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37714"/>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C426B"/>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D8FDA"/>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06A7A"/>
    <w:rsid w:val="5CF160B1"/>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451BC"/>
    <w:rsid w:val="601FD9BA"/>
    <w:rsid w:val="602666C0"/>
    <w:rsid w:val="602908D5"/>
    <w:rsid w:val="603145DA"/>
    <w:rsid w:val="60359DEB"/>
    <w:rsid w:val="603A9692"/>
    <w:rsid w:val="603FD6E8"/>
    <w:rsid w:val="6041E3EF"/>
    <w:rsid w:val="604B20B1"/>
    <w:rsid w:val="60577057"/>
    <w:rsid w:val="605D6A23"/>
    <w:rsid w:val="605F5F9A"/>
    <w:rsid w:val="6061CE5B"/>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4E53F"/>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2FA6F"/>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A21D3"/>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DDFA6"/>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E9885"/>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31EF5"/>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58D12"/>
    <w:rsid w:val="7236B13F"/>
    <w:rsid w:val="723974B0"/>
    <w:rsid w:val="723AD251"/>
    <w:rsid w:val="723DC87A"/>
    <w:rsid w:val="72454995"/>
    <w:rsid w:val="724839D1"/>
    <w:rsid w:val="7252CFE7"/>
    <w:rsid w:val="726D761A"/>
    <w:rsid w:val="7271A962"/>
    <w:rsid w:val="727F8F6E"/>
    <w:rsid w:val="7282106E"/>
    <w:rsid w:val="7283CBEC"/>
    <w:rsid w:val="72891BC6"/>
    <w:rsid w:val="728FCFBC"/>
    <w:rsid w:val="7294C5FD"/>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4F1F6"/>
    <w:rsid w:val="73DCDD90"/>
    <w:rsid w:val="73E25560"/>
    <w:rsid w:val="73EC8416"/>
    <w:rsid w:val="73F77AD1"/>
    <w:rsid w:val="73FE258E"/>
    <w:rsid w:val="73FF90AB"/>
    <w:rsid w:val="742BC3E1"/>
    <w:rsid w:val="742F1947"/>
    <w:rsid w:val="743128BC"/>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8786"/>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16432"/>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9D0B8D2-4557-4228-8F90-DB184BB73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styleId="FollowedHyperlink">
    <w:name w:val="FollowedHyperlink"/>
    <w:basedOn w:val="DefaultParagraphFont"/>
    <w:uiPriority w:val="99"/>
    <w:semiHidden/>
    <w:unhideWhenUsed/>
    <w:rsid w:val="00D77A04"/>
    <w:rPr>
      <w:color w:val="800080" w:themeColor="followedHyperlink"/>
      <w:u w:val="single"/>
    </w:rPr>
  </w:style>
  <w:style w:type="character" w:customStyle="1" w:styleId="HeaderChar">
    <w:name w:val="Header Char"/>
    <w:basedOn w:val="DefaultParagraphFont"/>
    <w:link w:val="Header"/>
    <w:uiPriority w:val="99"/>
    <w:rsid w:val="00231734"/>
    <w:rPr>
      <w:rFonts w:ascii="Times New Roman" w:hAnsi="Times New Roman" w:cs="Times New Roman"/>
      <w:sz w:val="24"/>
      <w:lang w:val="fr-FR"/>
    </w:rPr>
  </w:style>
  <w:style w:type="character" w:customStyle="1" w:styleId="FooterChar">
    <w:name w:val="Footer Char"/>
    <w:basedOn w:val="DefaultParagraphFont"/>
    <w:link w:val="Footer"/>
    <w:uiPriority w:val="99"/>
    <w:rsid w:val="0023173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3173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31734"/>
    <w:pPr>
      <w:spacing w:before="0"/>
      <w:jc w:val="right"/>
    </w:pPr>
    <w:rPr>
      <w:sz w:val="28"/>
    </w:rPr>
  </w:style>
  <w:style w:type="paragraph" w:customStyle="1" w:styleId="FooterSensitivity">
    <w:name w:val="Footer Sensitivity"/>
    <w:basedOn w:val="Normal"/>
    <w:rsid w:val="0023173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31734"/>
    <w:pPr>
      <w:tabs>
        <w:tab w:val="center" w:pos="4535"/>
        <w:tab w:val="right" w:pos="9071"/>
      </w:tabs>
      <w:spacing w:before="0"/>
    </w:pPr>
  </w:style>
  <w:style w:type="paragraph" w:customStyle="1" w:styleId="HeaderLandscape">
    <w:name w:val="HeaderLandscape"/>
    <w:basedOn w:val="Normal"/>
    <w:rsid w:val="00231734"/>
    <w:pPr>
      <w:tabs>
        <w:tab w:val="center" w:pos="7285"/>
        <w:tab w:val="right" w:pos="14003"/>
      </w:tabs>
      <w:spacing w:before="0"/>
    </w:pPr>
  </w:style>
  <w:style w:type="paragraph" w:styleId="Footer">
    <w:name w:val="footer"/>
    <w:basedOn w:val="Normal"/>
    <w:link w:val="FooterChar"/>
    <w:uiPriority w:val="99"/>
    <w:unhideWhenUsed/>
    <w:rsid w:val="0023173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3173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487329763">
      <w:bodyDiv w:val="1"/>
      <w:marLeft w:val="0"/>
      <w:marRight w:val="0"/>
      <w:marTop w:val="0"/>
      <w:marBottom w:val="0"/>
      <w:divBdr>
        <w:top w:val="none" w:sz="0" w:space="0" w:color="auto"/>
        <w:left w:val="none" w:sz="0" w:space="0" w:color="auto"/>
        <w:bottom w:val="none" w:sz="0" w:space="0" w:color="auto"/>
        <w:right w:val="none" w:sz="0" w:space="0" w:color="auto"/>
      </w:divBdr>
    </w:div>
    <w:div w:id="596209408">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75628713">
      <w:bodyDiv w:val="1"/>
      <w:marLeft w:val="0"/>
      <w:marRight w:val="0"/>
      <w:marTop w:val="0"/>
      <w:marBottom w:val="0"/>
      <w:divBdr>
        <w:top w:val="none" w:sz="0" w:space="0" w:color="auto"/>
        <w:left w:val="none" w:sz="0" w:space="0" w:color="auto"/>
        <w:bottom w:val="none" w:sz="0" w:space="0" w:color="auto"/>
        <w:right w:val="none" w:sz="0" w:space="0" w:color="auto"/>
      </w:divBdr>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fr/documents/public-register/" TargetMode="External"/><Relationship Id="rId2" Type="http://schemas.openxmlformats.org/officeDocument/2006/relationships/hyperlink" Target="https://www.consilium.europa.eu/fr/documents/public-register/" TargetMode="External"/><Relationship Id="rId1" Type="http://schemas.openxmlformats.org/officeDocument/2006/relationships/hyperlink" Target="https://eur-lex.europa.eu/eli/reg/2021/241/oj" TargetMode="External"/><Relationship Id="rId6" Type="http://schemas.openxmlformats.org/officeDocument/2006/relationships/hyperlink" Target="http://data.europa.eu/eli/reg/2021/1755/oj" TargetMode="External"/><Relationship Id="rId5" Type="http://schemas.openxmlformats.org/officeDocument/2006/relationships/hyperlink" Target="https://www.consilium.europa.eu/fr/documents/public-register/" TargetMode="External"/><Relationship Id="rId4" Type="http://schemas.openxmlformats.org/officeDocument/2006/relationships/hyperlink" Target="https://www.consilium.europa.eu/fr/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69540217-dd4d-4552-b080-f316f8754f84" xsi:nil="true"/>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2.xml><?xml version="1.0" encoding="utf-8"?>
<ds:datastoreItem xmlns:ds="http://schemas.openxmlformats.org/officeDocument/2006/customXml" ds:itemID="{5E24F03B-A418-4A8F-A4DA-019E2A6B5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0B6BBC9D-FD1B-46C5-99E1-AE0FF785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5</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7209</CharactersWithSpaces>
  <SharedDoc>false</SharedDoc>
  <HLinks>
    <vt:vector size="36" baseType="variant">
      <vt:variant>
        <vt:i4>7143534</vt:i4>
      </vt:variant>
      <vt:variant>
        <vt:i4>15</vt:i4>
      </vt:variant>
      <vt:variant>
        <vt:i4>0</vt:i4>
      </vt:variant>
      <vt:variant>
        <vt:i4>5</vt:i4>
      </vt:variant>
      <vt:variant>
        <vt:lpwstr>http://data.europa.eu/eli/reg/2021/1755/oj</vt:lpwstr>
      </vt:variant>
      <vt:variant>
        <vt:lpwstr/>
      </vt:variant>
      <vt:variant>
        <vt:i4>1835103</vt:i4>
      </vt:variant>
      <vt:variant>
        <vt:i4>12</vt:i4>
      </vt:variant>
      <vt:variant>
        <vt:i4>0</vt:i4>
      </vt:variant>
      <vt:variant>
        <vt:i4>5</vt:i4>
      </vt:variant>
      <vt:variant>
        <vt:lpwstr>http://register.consilium.europa.eu/</vt:lpwstr>
      </vt:variant>
      <vt:variant>
        <vt:lpwstr/>
      </vt:variant>
      <vt:variant>
        <vt:i4>1835103</vt:i4>
      </vt:variant>
      <vt:variant>
        <vt:i4>9</vt:i4>
      </vt:variant>
      <vt:variant>
        <vt:i4>0</vt:i4>
      </vt:variant>
      <vt:variant>
        <vt:i4>5</vt:i4>
      </vt:variant>
      <vt:variant>
        <vt:lpwstr>http://register.consilium.europa.eu/</vt:lpwstr>
      </vt:variant>
      <vt:variant>
        <vt:lpwstr/>
      </vt:variant>
      <vt:variant>
        <vt:i4>1835103</vt:i4>
      </vt:variant>
      <vt:variant>
        <vt:i4>6</vt:i4>
      </vt:variant>
      <vt:variant>
        <vt:i4>0</vt:i4>
      </vt:variant>
      <vt:variant>
        <vt:i4>5</vt:i4>
      </vt:variant>
      <vt:variant>
        <vt:lpwstr>http://register.consilium.europa.eu/</vt:lpwstr>
      </vt:variant>
      <vt:variant>
        <vt:lpwstr/>
      </vt:variant>
      <vt:variant>
        <vt:i4>1835103</vt:i4>
      </vt:variant>
      <vt:variant>
        <vt:i4>3</vt:i4>
      </vt:variant>
      <vt:variant>
        <vt:i4>0</vt:i4>
      </vt:variant>
      <vt:variant>
        <vt:i4>5</vt:i4>
      </vt:variant>
      <vt:variant>
        <vt:lpwstr>http://register.consilium.europa.eu/</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2026-04-30T08:44:00Z</dcterms:created>
  <dcterms:modified xsi:type="dcterms:W3CDTF">2026-05-07T13:47:00Z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