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051" w:rsidRPr="00061047" w:rsidRDefault="0066163A" w:rsidP="0066163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80DB37E-EC2E-4C28-B656-B7D1813734D7" style="width:455.25pt;height:330pt">
            <v:imagedata r:id="rId11" o:title=""/>
          </v:shape>
        </w:pict>
      </w:r>
    </w:p>
    <w:p w:rsidR="00E67051" w:rsidRPr="00061047" w:rsidRDefault="00E67051" w:rsidP="00E67051">
      <w:pPr>
        <w:rPr>
          <w:noProof/>
        </w:rPr>
        <w:sectPr w:rsidR="00E67051" w:rsidRPr="00061047" w:rsidSect="0066163A">
          <w:footerReference w:type="even" r:id="rId12"/>
          <w:footerReference w:type="default" r:id="rId13"/>
          <w:pgSz w:w="11907" w:h="16839"/>
          <w:pgMar w:top="1134" w:right="1417" w:bottom="1134" w:left="1417" w:header="709" w:footer="709" w:gutter="0"/>
          <w:pgNumType w:start="0"/>
          <w:cols w:space="720"/>
          <w:docGrid w:linePitch="360"/>
        </w:sectPr>
      </w:pPr>
    </w:p>
    <w:p w:rsidR="00E67051" w:rsidRPr="00061047" w:rsidRDefault="00E67051" w:rsidP="004313E8">
      <w:pPr>
        <w:pStyle w:val="Exposdesmotifstitre"/>
        <w:rPr>
          <w:noProof/>
        </w:rPr>
      </w:pPr>
      <w:bookmarkStart w:id="0" w:name="_GoBack"/>
      <w:bookmarkEnd w:id="0"/>
      <w:r w:rsidRPr="00061047">
        <w:rPr>
          <w:noProof/>
        </w:rPr>
        <w:lastRenderedPageBreak/>
        <w:t>EXPUNERE DE MOTIVE</w:t>
      </w:r>
    </w:p>
    <w:p w:rsidR="00E67051" w:rsidRPr="00061047" w:rsidRDefault="00E67051" w:rsidP="004313E8">
      <w:pPr>
        <w:pStyle w:val="ManualHeading1"/>
        <w:rPr>
          <w:noProof/>
        </w:rPr>
      </w:pPr>
      <w:r w:rsidRPr="00061047">
        <w:rPr>
          <w:noProof/>
        </w:rPr>
        <w:t>1.</w:t>
      </w:r>
      <w:r w:rsidRPr="00061047">
        <w:rPr>
          <w:noProof/>
        </w:rPr>
        <w:tab/>
        <w:t>CONTEXTUL PROPUNERII</w:t>
      </w:r>
    </w:p>
    <w:p w:rsidR="00E67051" w:rsidRPr="00061047" w:rsidRDefault="00E67051" w:rsidP="004313E8">
      <w:pPr>
        <w:pStyle w:val="ManualHeading2"/>
        <w:rPr>
          <w:rFonts w:eastAsia="Arial Unicode MS"/>
          <w:noProof/>
        </w:rPr>
      </w:pPr>
      <w:r w:rsidRPr="00061047">
        <w:rPr>
          <w:noProof/>
          <w:color w:val="000000"/>
          <w:bdr w:val="nil"/>
        </w:rPr>
        <w:t>•</w:t>
      </w:r>
      <w:r w:rsidRPr="00061047">
        <w:rPr>
          <w:noProof/>
        </w:rPr>
        <w:tab/>
        <w:t>Motivele și obiectivele propunerii</w:t>
      </w:r>
    </w:p>
    <w:p w:rsidR="00934E78" w:rsidRPr="00061047" w:rsidRDefault="00934E78" w:rsidP="478AD43F">
      <w:pPr>
        <w:pBdr>
          <w:top w:val="nil"/>
          <w:left w:val="nil"/>
          <w:bottom w:val="nil"/>
          <w:right w:val="nil"/>
          <w:between w:val="nil"/>
          <w:bar w:val="nil"/>
        </w:pBdr>
        <w:spacing w:before="0" w:after="240"/>
        <w:rPr>
          <w:rFonts w:eastAsia="Arial Unicode MS"/>
          <w:noProof/>
        </w:rPr>
      </w:pPr>
      <w:r w:rsidRPr="00061047">
        <w:rPr>
          <w:noProof/>
        </w:rPr>
        <w:t>În ultimii ani, UE s-a confruntat cu o creștere bruscă a intensității și frecvenței incendiilor de vegetație. Suprafața afectată de incendii a depășit media istorică în patru din ultimii cinci ani, ceea ce a dus la creșterea numărului de misiuni de răspuns la incendii de vegetație desfășurate în cadrul Mecanismului de protecție civilă al Uniunii (UCPM)</w:t>
      </w:r>
      <w:r w:rsidRPr="00061047">
        <w:rPr>
          <w:rStyle w:val="FootnoteReference"/>
          <w:rFonts w:eastAsia="Arial Unicode MS"/>
          <w:noProof/>
        </w:rPr>
        <w:footnoteReference w:id="1"/>
      </w:r>
      <w:r w:rsidRPr="00061047">
        <w:rPr>
          <w:noProof/>
        </w:rPr>
        <w:t>. În 2025, pentru prima dată, suprafața totală afectată de incendii de vegetație în UE a depășit un milion de hectare, o dimensiune mai mare decât cea a Ciprului. În același timp, se constată o creștere a numărului de megaincendii, adică incendii de vegetație de foarte mare amploare, care reprezintă o provocare majoră pentru metodele tradiționale de stingere. Se preconizează că astfel de fenomene extreme se vor produce din ce în ce mai frecvent în viitor.</w:t>
      </w:r>
    </w:p>
    <w:p w:rsidR="00934E78" w:rsidRPr="00061047" w:rsidRDefault="00934E78" w:rsidP="478AD43F">
      <w:pPr>
        <w:pBdr>
          <w:top w:val="nil"/>
          <w:left w:val="nil"/>
          <w:bottom w:val="nil"/>
          <w:right w:val="nil"/>
          <w:between w:val="nil"/>
          <w:bar w:val="nil"/>
        </w:pBdr>
        <w:spacing w:before="0" w:after="240"/>
        <w:rPr>
          <w:rFonts w:eastAsia="Arial Unicode MS"/>
          <w:noProof/>
        </w:rPr>
      </w:pPr>
      <w:r w:rsidRPr="00061047">
        <w:rPr>
          <w:noProof/>
        </w:rPr>
        <w:t>Incendiile de vegetație pot avea efecte profunde și devastatoare asupra mediului, infrastructurii, economiei și societății. Acestea provoacă pierderi de vieți omenești, perturbă mijloacele de trai, degradează calitatea aerului, distrug ecosisteme și cauzează pagube semnificative în agricultură și silvicultură. Numai costurile economice directe, generate de daunele aduse bunurilor și infrastructurii, sunt estimate la aproximativ 2,5 miliarde EUR pe an</w:t>
      </w:r>
      <w:r w:rsidRPr="00061047">
        <w:rPr>
          <w:rStyle w:val="FootnoteReference"/>
          <w:rFonts w:eastAsia="Arial Unicode MS"/>
          <w:noProof/>
        </w:rPr>
        <w:footnoteReference w:id="2"/>
      </w:r>
      <w:r w:rsidRPr="00061047">
        <w:rPr>
          <w:noProof/>
        </w:rPr>
        <w:t>.</w:t>
      </w:r>
    </w:p>
    <w:p w:rsidR="00934E78" w:rsidRPr="00061047" w:rsidRDefault="0074128F" w:rsidP="478AD43F">
      <w:pPr>
        <w:pBdr>
          <w:top w:val="nil"/>
          <w:left w:val="nil"/>
          <w:bottom w:val="nil"/>
          <w:right w:val="nil"/>
          <w:between w:val="nil"/>
          <w:bar w:val="nil"/>
        </w:pBdr>
        <w:spacing w:before="0" w:after="240"/>
        <w:rPr>
          <w:rFonts w:eastAsia="Arial Unicode MS"/>
          <w:noProof/>
        </w:rPr>
      </w:pPr>
      <w:r w:rsidRPr="00061047">
        <w:rPr>
          <w:noProof/>
        </w:rPr>
        <w:t>Schimbările climatice și gestionarea nesustenabilă a terenurilor sunt principalele cauze ale creșterii riscului de incendii de vegetație. Pe măsură ce schimbările climatice se accelerează, tendințele meteorologice extreme, precum valurile de căldură și seceta, devin tot mai frecvente, creând condiții favorabile propagării incendiilor de vegetație. În plus, abandonarea terenurilor, gestionarea necorespunzătoare a pădurilor și extinderea zonelor urbane în păduri și zone naturale au dus la acumularea de materiale combustibile, ceea ce sporește expunerea populației și a infrastructurii la riscul de incendii de vegetație.</w:t>
      </w:r>
    </w:p>
    <w:p w:rsidR="00934E78" w:rsidRPr="00061047" w:rsidRDefault="00934E78" w:rsidP="478AD43F">
      <w:pPr>
        <w:pBdr>
          <w:top w:val="nil"/>
          <w:left w:val="nil"/>
          <w:bottom w:val="nil"/>
          <w:right w:val="nil"/>
          <w:between w:val="nil"/>
          <w:bar w:val="nil"/>
        </w:pBdr>
        <w:spacing w:before="0" w:after="240"/>
        <w:rPr>
          <w:rFonts w:eastAsia="Arial Unicode MS"/>
          <w:noProof/>
        </w:rPr>
      </w:pPr>
      <w:r w:rsidRPr="00061047">
        <w:rPr>
          <w:noProof/>
        </w:rPr>
        <w:t>În majoritatea covârșitoare a situațiilor, activitățile umane reprezintă factorul declanșator al incendiilor de vegetație, inclusiv prin neglijență, incendiere intenționată și scântei generate de infrastructură. Aceste riscuri sunt exacerbate și mai mult de coordonarea insuficientă a politicilor între autoritățile publice de la diferite niveluri, care limitează eficacitatea generală a măsurilor de gestionare a riscurilor de incendii de vegetație, precum și de atenția insuficientă acordată măsurilor de prevenire.</w:t>
      </w:r>
    </w:p>
    <w:p w:rsidR="00934E78" w:rsidRPr="00061047" w:rsidRDefault="29A160A1" w:rsidP="79E95CA2">
      <w:pPr>
        <w:pBdr>
          <w:top w:val="nil"/>
          <w:left w:val="nil"/>
          <w:bottom w:val="nil"/>
          <w:right w:val="nil"/>
          <w:between w:val="nil"/>
          <w:bar w:val="nil"/>
        </w:pBdr>
        <w:spacing w:before="0" w:after="240"/>
        <w:rPr>
          <w:rFonts w:eastAsia="Arial Unicode MS"/>
          <w:noProof/>
        </w:rPr>
      </w:pPr>
      <w:r w:rsidRPr="00061047">
        <w:rPr>
          <w:noProof/>
        </w:rPr>
        <w:t>Responsabilitatea pentru gestionarea riscurilor de incendii de vegetație le revine în primul rând statelor membre și autorităților lor regionale și locale. UE are un rol de sprijin, prin furnizarea de finanțare, date, coordonare și schimb de cunoștințe, precum și de resurse suplimentare în cazul în care un incendiu de vegetație depășește capacitatea de răspuns la nivel național. Având în vedere diversitatea peisajelor și a condițiilor climatice din Europa, gestionarea riscului de incendii de vegetație trebuie adaptată la contextul local și susținută, în același timp, prin coordonare la nivelul UE.</w:t>
      </w:r>
    </w:p>
    <w:p w:rsidR="005916E4" w:rsidRPr="00061047" w:rsidRDefault="0034739A" w:rsidP="79E95CA2">
      <w:pPr>
        <w:pBdr>
          <w:top w:val="nil"/>
          <w:left w:val="nil"/>
          <w:bottom w:val="nil"/>
          <w:right w:val="nil"/>
          <w:between w:val="nil"/>
          <w:bar w:val="nil"/>
        </w:pBdr>
        <w:spacing w:before="0" w:after="240"/>
        <w:rPr>
          <w:rFonts w:eastAsia="Arial Unicode MS"/>
          <w:noProof/>
        </w:rPr>
      </w:pPr>
      <w:r w:rsidRPr="00061047">
        <w:rPr>
          <w:noProof/>
        </w:rPr>
        <w:lastRenderedPageBreak/>
        <w:t>În acest context, Comisia a publicat o comunicare privind gestionarea integrată a riscurilor de incendii forestiere</w:t>
      </w:r>
      <w:r w:rsidRPr="00061047">
        <w:rPr>
          <w:rStyle w:val="FootnoteReference"/>
          <w:rFonts w:eastAsia="Arial Unicode MS"/>
          <w:noProof/>
        </w:rPr>
        <w:footnoteReference w:id="3"/>
      </w:r>
      <w:r w:rsidRPr="00061047">
        <w:rPr>
          <w:noProof/>
        </w:rPr>
        <w:t>, în care a prezentat un set cuprinzător de măsuri considerate necesare pentru a aborda amenințarea tot mai mare reprezentată de incendiile forestiere.</w:t>
      </w:r>
    </w:p>
    <w:p w:rsidR="000077A8" w:rsidRPr="00061047" w:rsidRDefault="005A1A86" w:rsidP="79E95CA2">
      <w:pPr>
        <w:pBdr>
          <w:top w:val="nil"/>
          <w:left w:val="nil"/>
          <w:bottom w:val="nil"/>
          <w:right w:val="nil"/>
          <w:between w:val="nil"/>
          <w:bar w:val="nil"/>
        </w:pBdr>
        <w:spacing w:before="0" w:after="240"/>
        <w:rPr>
          <w:rFonts w:eastAsia="Arial Unicode MS"/>
          <w:noProof/>
        </w:rPr>
      </w:pPr>
      <w:r w:rsidRPr="00061047">
        <w:rPr>
          <w:noProof/>
        </w:rPr>
        <w:t>Pe baza acestor constatări, Comisia consideră că este necesară o abordare integrată la nivelul UE pentru a consolida gestionarea riscurilor de incendii de vegetație în toate etapele ciclului de gestionare a riscurilor, și anume prevenirea, pregătirea, răspunsul și redresarea. În același timp, trebuie luat în considerare și impactul ecologic, social, economic și cultural al incendiilor de vegetație.</w:t>
      </w:r>
    </w:p>
    <w:p w:rsidR="00F10324" w:rsidRPr="00061047" w:rsidRDefault="005916E4" w:rsidP="79E95CA2">
      <w:pPr>
        <w:pBdr>
          <w:bar w:val="nil"/>
        </w:pBdr>
        <w:spacing w:before="0" w:after="240"/>
        <w:rPr>
          <w:rFonts w:eastAsia="Times New Roman"/>
          <w:noProof/>
        </w:rPr>
      </w:pPr>
      <w:r w:rsidRPr="00061047">
        <w:rPr>
          <w:noProof/>
        </w:rPr>
        <w:t>Aceste obiective pot fi realizate cel mai bine printr-o recomandare a Consiliului care, dacă ar fi adoptată, ar permite statelor membre să adapteze măsurile la condițiile lor geografice, climatice și socioeconomice specifice, asigurând, în același timp, echilibrul adecvat între coordonarea la nivelul UE și responsabilitatea în primul rând națională pentru gestionarea riscurilor.</w:t>
      </w:r>
    </w:p>
    <w:p w:rsidR="00F10324" w:rsidRPr="00061047" w:rsidRDefault="00F10324" w:rsidP="5E6F2AAE">
      <w:pPr>
        <w:spacing w:before="0" w:after="240"/>
        <w:rPr>
          <w:rFonts w:eastAsia="Arial Unicode MS"/>
          <w:noProof/>
        </w:rPr>
      </w:pPr>
      <w:r w:rsidRPr="00061047">
        <w:rPr>
          <w:noProof/>
        </w:rPr>
        <w:t>În special, recomandarea ar trebui să promoveze acțiuni în următoarele domenii:</w:t>
      </w:r>
    </w:p>
    <w:p w:rsidR="00F10324" w:rsidRPr="00061047" w:rsidRDefault="00F10324" w:rsidP="478AD43F">
      <w:pPr>
        <w:pBdr>
          <w:top w:val="nil"/>
          <w:left w:val="nil"/>
          <w:bottom w:val="nil"/>
          <w:right w:val="nil"/>
          <w:between w:val="nil"/>
          <w:bar w:val="nil"/>
        </w:pBdr>
        <w:spacing w:before="0" w:after="240"/>
        <w:rPr>
          <w:rFonts w:eastAsia="Arial Unicode MS"/>
          <w:noProof/>
        </w:rPr>
      </w:pPr>
      <w:r w:rsidRPr="00061047">
        <w:rPr>
          <w:noProof/>
        </w:rPr>
        <w:t xml:space="preserve">(1) </w:t>
      </w:r>
      <w:r w:rsidRPr="00061047">
        <w:rPr>
          <w:b/>
          <w:noProof/>
        </w:rPr>
        <w:t>consolidarea</w:t>
      </w:r>
      <w:r w:rsidRPr="00061047">
        <w:rPr>
          <w:noProof/>
        </w:rPr>
        <w:t xml:space="preserve"> </w:t>
      </w:r>
      <w:r w:rsidRPr="00061047">
        <w:rPr>
          <w:b/>
          <w:noProof/>
        </w:rPr>
        <w:t>prevenirii prin gestionarea peisajelor și refacerea ecosistemelor</w:t>
      </w:r>
      <w:r w:rsidRPr="00061047">
        <w:rPr>
          <w:noProof/>
        </w:rPr>
        <w:t>, inclusiv prin practici agricole și silvice durabile care favorizează diversitatea peisajelor și integrează riscul de incendii de vegetație în politicile de refacere și conservare;</w:t>
      </w:r>
    </w:p>
    <w:p w:rsidR="00F10324" w:rsidRPr="00061047" w:rsidRDefault="00F10324" w:rsidP="79E95CA2">
      <w:pPr>
        <w:pBdr>
          <w:top w:val="nil"/>
          <w:left w:val="nil"/>
          <w:bottom w:val="nil"/>
          <w:right w:val="nil"/>
          <w:between w:val="nil"/>
          <w:bar w:val="nil"/>
        </w:pBdr>
        <w:spacing w:before="0" w:after="240"/>
        <w:rPr>
          <w:rFonts w:eastAsia="Arial Unicode MS"/>
          <w:noProof/>
        </w:rPr>
      </w:pPr>
      <w:r w:rsidRPr="00061047">
        <w:rPr>
          <w:noProof/>
        </w:rPr>
        <w:t xml:space="preserve">(2) </w:t>
      </w:r>
      <w:r w:rsidRPr="00061047">
        <w:rPr>
          <w:b/>
          <w:noProof/>
        </w:rPr>
        <w:t>consolidarea pregătirii prin îmbunătățirea datelor și a statisticilor, a monitorizării și a cercetării</w:t>
      </w:r>
      <w:r w:rsidRPr="00061047">
        <w:rPr>
          <w:noProof/>
        </w:rPr>
        <w:t>, inclusiv prin evaluări mai precise ale riscului de incendii de vegetație, sisteme de avertizare timpurie mai eficiente, capacități de modelare îmbunătățite și utilizarea instrumentelor UE, precum Sistemul european de informare privind incendiile forestiere (EFFIS), serviciile Copernicus și Destinația Pământ;</w:t>
      </w:r>
    </w:p>
    <w:p w:rsidR="00F10324" w:rsidRPr="00061047" w:rsidRDefault="00F10324" w:rsidP="79E95CA2">
      <w:pPr>
        <w:pBdr>
          <w:top w:val="nil"/>
          <w:left w:val="nil"/>
          <w:bottom w:val="nil"/>
          <w:right w:val="nil"/>
          <w:between w:val="nil"/>
          <w:bar w:val="nil"/>
        </w:pBdr>
        <w:spacing w:before="0" w:after="240"/>
        <w:rPr>
          <w:rFonts w:eastAsia="Arial Unicode MS"/>
          <w:noProof/>
        </w:rPr>
      </w:pPr>
      <w:r w:rsidRPr="00061047">
        <w:rPr>
          <w:noProof/>
        </w:rPr>
        <w:t xml:space="preserve">(3) </w:t>
      </w:r>
      <w:r w:rsidRPr="00061047">
        <w:rPr>
          <w:b/>
          <w:noProof/>
        </w:rPr>
        <w:t>creșterea gradului de informare și de pregătire a populației</w:t>
      </w:r>
      <w:r w:rsidRPr="00061047">
        <w:rPr>
          <w:noProof/>
        </w:rPr>
        <w:t xml:space="preserve">, inclusiv printr-un acces mai bun la informații, strategii de comunicare specifice, abordări participative și implicarea persoanelor aflate în situații vulnerabile sau marginalizate, asigurând totodată accesibilitatea pentru persoanele cu handicap; </w:t>
      </w:r>
    </w:p>
    <w:p w:rsidR="00F10324" w:rsidRPr="00061047" w:rsidRDefault="00F10324" w:rsidP="3FEDCB4E">
      <w:pPr>
        <w:pBdr>
          <w:top w:val="nil"/>
          <w:left w:val="nil"/>
          <w:bottom w:val="nil"/>
          <w:right w:val="nil"/>
          <w:between w:val="nil"/>
          <w:bar w:val="nil"/>
        </w:pBdr>
        <w:spacing w:before="0" w:after="240"/>
        <w:rPr>
          <w:rFonts w:eastAsia="Arial Unicode MS"/>
          <w:noProof/>
        </w:rPr>
      </w:pPr>
      <w:r w:rsidRPr="00061047">
        <w:rPr>
          <w:noProof/>
        </w:rPr>
        <w:t xml:space="preserve">(4) </w:t>
      </w:r>
      <w:r w:rsidRPr="00061047">
        <w:rPr>
          <w:b/>
          <w:noProof/>
        </w:rPr>
        <w:t>consolidarea capacității de răspuns coordonat</w:t>
      </w:r>
      <w:r w:rsidRPr="00061047">
        <w:rPr>
          <w:noProof/>
        </w:rPr>
        <w:t>, inclusiv printr-o mai bună coordonare, interoperabilitate, capacități de analiză, formare, dotare și prepoziționare a pompierilor, în special în cadrul Mecanismului de protecție civilă al Uniunii (UCPM), care include Rezerva europeană de protecție civilă și rescEU;</w:t>
      </w:r>
    </w:p>
    <w:p w:rsidR="00F10324" w:rsidRPr="00061047" w:rsidRDefault="00F10324" w:rsidP="478AD43F">
      <w:pPr>
        <w:pBdr>
          <w:top w:val="nil"/>
          <w:left w:val="nil"/>
          <w:bottom w:val="nil"/>
          <w:right w:val="nil"/>
          <w:between w:val="nil"/>
          <w:bar w:val="nil"/>
        </w:pBdr>
        <w:spacing w:before="0" w:after="240"/>
        <w:rPr>
          <w:rFonts w:eastAsia="Arial Unicode MS"/>
          <w:noProof/>
        </w:rPr>
      </w:pPr>
      <w:r w:rsidRPr="00061047">
        <w:rPr>
          <w:noProof/>
        </w:rPr>
        <w:t xml:space="preserve">(5) </w:t>
      </w:r>
      <w:r w:rsidRPr="00061047">
        <w:rPr>
          <w:b/>
          <w:noProof/>
        </w:rPr>
        <w:t>sprijinirea unei redresări reziliente după incendii</w:t>
      </w:r>
      <w:r w:rsidRPr="00061047">
        <w:rPr>
          <w:noProof/>
        </w:rPr>
        <w:t>, inclusiv prin refacerea ecosistemelor și a comunităților și prin îmbunătățirea colectării datelor privind impactul incendiilor de vegetație;</w:t>
      </w:r>
    </w:p>
    <w:p w:rsidR="00F10324" w:rsidRPr="00061047" w:rsidRDefault="00F10324" w:rsidP="79E95CA2">
      <w:pPr>
        <w:pBdr>
          <w:top w:val="nil"/>
          <w:left w:val="nil"/>
          <w:bottom w:val="nil"/>
          <w:right w:val="nil"/>
          <w:between w:val="nil"/>
          <w:bar w:val="nil"/>
        </w:pBdr>
        <w:spacing w:before="0" w:after="240"/>
        <w:rPr>
          <w:rFonts w:eastAsia="Arial Unicode MS"/>
          <w:noProof/>
        </w:rPr>
      </w:pPr>
      <w:r w:rsidRPr="00061047">
        <w:rPr>
          <w:noProof/>
        </w:rPr>
        <w:t xml:space="preserve">(6) </w:t>
      </w:r>
      <w:r w:rsidRPr="00061047">
        <w:rPr>
          <w:b/>
          <w:noProof/>
        </w:rPr>
        <w:t>consolidarea guvernanței, a coordonării și a finanțării</w:t>
      </w:r>
      <w:r w:rsidRPr="00061047">
        <w:rPr>
          <w:noProof/>
        </w:rPr>
        <w:t>, inclusiv prin integrarea politicilor, mobilizarea investițiilor și utilizarea eficace a instrumentelor de sprijin ale UE;</w:t>
      </w:r>
    </w:p>
    <w:p w:rsidR="00772861" w:rsidRPr="00061047" w:rsidRDefault="00772861" w:rsidP="79E95CA2">
      <w:pPr>
        <w:pBdr>
          <w:top w:val="nil"/>
          <w:left w:val="nil"/>
          <w:bottom w:val="nil"/>
          <w:right w:val="nil"/>
          <w:between w:val="nil"/>
          <w:bar w:val="nil"/>
        </w:pBdr>
        <w:spacing w:before="0" w:after="240"/>
        <w:rPr>
          <w:rFonts w:eastAsia="Arial Unicode MS"/>
          <w:noProof/>
        </w:rPr>
      </w:pPr>
      <w:r w:rsidRPr="00061047">
        <w:rPr>
          <w:noProof/>
        </w:rPr>
        <w:t xml:space="preserve">(7) </w:t>
      </w:r>
      <w:r w:rsidRPr="00061047">
        <w:rPr>
          <w:b/>
          <w:noProof/>
        </w:rPr>
        <w:t>consolidarea colaborării internaționale cu partenerii internaționali</w:t>
      </w:r>
      <w:r w:rsidRPr="00061047">
        <w:rPr>
          <w:noProof/>
        </w:rPr>
        <w:t xml:space="preserve"> în domeniul gestionării integrate a riscului de incendii de vegetație.</w:t>
      </w:r>
    </w:p>
    <w:p w:rsidR="00E67051" w:rsidRPr="00061047" w:rsidRDefault="00E67051" w:rsidP="004313E8">
      <w:pPr>
        <w:pStyle w:val="ManualHeading2"/>
        <w:rPr>
          <w:rFonts w:eastAsia="Arial Unicode MS"/>
          <w:noProof/>
          <w:color w:val="000000"/>
          <w:bdr w:val="nil"/>
        </w:rPr>
      </w:pPr>
      <w:r w:rsidRPr="00061047">
        <w:rPr>
          <w:noProof/>
          <w:color w:val="000000"/>
          <w:bdr w:val="nil"/>
        </w:rPr>
        <w:lastRenderedPageBreak/>
        <w:t>•</w:t>
      </w:r>
      <w:r w:rsidRPr="00061047">
        <w:rPr>
          <w:noProof/>
        </w:rPr>
        <w:tab/>
        <w:t>Coerența cu dispozițiile existente în domeniul de politică vizat</w:t>
      </w:r>
    </w:p>
    <w:p w:rsidR="005B7241" w:rsidRPr="00061047" w:rsidRDefault="00F10324" w:rsidP="79E95CA2">
      <w:pPr>
        <w:pBdr>
          <w:bar w:val="nil"/>
        </w:pBdr>
        <w:spacing w:before="0" w:after="240"/>
        <w:rPr>
          <w:rFonts w:eastAsia="Arial Unicode MS"/>
          <w:noProof/>
        </w:rPr>
      </w:pPr>
      <w:r w:rsidRPr="00061047">
        <w:rPr>
          <w:noProof/>
        </w:rPr>
        <w:t>Prezenta propunere recomandă o abordare integrată a gestionării riscurilor de incendii de vegetație în ceea ce privește prevenirea, pregătirea, răspunsul și redresarea. Abordarea propusă se bazează pe sprijinul existent al UE în domeniul protecției civile, al datelor și al monitorizării, al cercetării și inovării și al sprijinului tehnic.</w:t>
      </w:r>
    </w:p>
    <w:p w:rsidR="00A97384" w:rsidRPr="00061047" w:rsidRDefault="74A67F5E" w:rsidP="3FEDCB4E">
      <w:pPr>
        <w:pBdr>
          <w:bar w:val="nil"/>
        </w:pBdr>
        <w:spacing w:before="0" w:after="240"/>
        <w:rPr>
          <w:rFonts w:eastAsia="Arial Unicode MS"/>
          <w:noProof/>
        </w:rPr>
      </w:pPr>
      <w:r w:rsidRPr="00061047">
        <w:rPr>
          <w:noProof/>
        </w:rPr>
        <w:t>Propunerea este în concordanță cu politicile actuale ale UE în domeniul mediului și agriculturii și cu acțiunea UE în domeniul protecției civile, precum și cu Strategia privind o uniune a pregătirii. Dacă va fi adoptată, aceasta va consolida coordonarea în cadrul UCPM și va sprijini prevenirea riscurilor și pregătirea în conformitate cu obiectivele de mediu ale UE. În acest sens, propunerea contribuie la asigurarea unor condiții de viață și de muncă echitabile în zone rurale dinamice, în conformitate cu Viziunea pentru agricultură și sectorul alimentar, contribuie la creșterea rezilienței pădurilor, în conformitate cu Strategia UE pentru păduri pentru 2030, și susține refacerea ecosistemelor, în conformitate cu Regulamentul privind restaurarea naturii. Aceasta ar contribui, de asemenea, la îmbunătățirea evaluării riscurilor, a cooperării transfrontaliere și a abordărilor bazate pe ecosisteme, menținându-se totodată în limitele cadrului de politici existent.</w:t>
      </w:r>
    </w:p>
    <w:p w:rsidR="00E67051" w:rsidRPr="00061047" w:rsidRDefault="00A97384" w:rsidP="00A97384">
      <w:pPr>
        <w:pStyle w:val="ManualHeading2"/>
        <w:rPr>
          <w:rFonts w:eastAsia="Arial Unicode MS"/>
          <w:noProof/>
          <w:color w:val="000000"/>
          <w:bdr w:val="nil"/>
        </w:rPr>
      </w:pPr>
      <w:r w:rsidRPr="00061047">
        <w:rPr>
          <w:noProof/>
          <w:color w:val="000000"/>
          <w:bdr w:val="nil"/>
        </w:rPr>
        <w:t>•</w:t>
      </w:r>
      <w:r w:rsidRPr="00061047">
        <w:rPr>
          <w:noProof/>
        </w:rPr>
        <w:tab/>
        <w:t>Coerența cu alte politici ale UE</w:t>
      </w:r>
    </w:p>
    <w:p w:rsidR="00E67051" w:rsidRPr="00061047" w:rsidRDefault="00F10324" w:rsidP="3FEDCB4E">
      <w:pPr>
        <w:pBdr>
          <w:bar w:val="nil"/>
        </w:pBdr>
        <w:spacing w:before="0" w:after="240"/>
        <w:rPr>
          <w:rFonts w:eastAsia="Times New Roman"/>
          <w:b/>
          <w:bCs/>
          <w:i/>
          <w:iCs/>
          <w:noProof/>
        </w:rPr>
      </w:pPr>
      <w:r w:rsidRPr="00061047">
        <w:rPr>
          <w:noProof/>
        </w:rPr>
        <w:t>Propunerea contribuie la obiectivele mai ample ale UE legate de neutralitatea climatică și reziliența la schimbările climatice, gestionarea riscurilor de dezastre, protecția mediului și utilizarea durabilă a terenurilor, sprijinind în același timp acțiunile coordonate între statele membre. Abordarea integrată propusă în recomandare ar asigura o gestionare a incendiilor de vegetație care nu numai că este coerentă cu obiectivele mai ample ale UE în materie de reziliență, cum ar fi cele integrate în UCPM, în Strategia UE pentru păduri pentru 2030, în Strategia UE privind adaptarea la schimbările climatice, în Regulamentul privind refacerea naturii și în politica agricolă comună, ci și le amplifică.</w:t>
      </w:r>
    </w:p>
    <w:p w:rsidR="00E67051" w:rsidRPr="00061047" w:rsidRDefault="00E67051" w:rsidP="004313E8">
      <w:pPr>
        <w:pStyle w:val="ManualHeading1"/>
        <w:rPr>
          <w:noProof/>
        </w:rPr>
      </w:pPr>
      <w:r w:rsidRPr="00061047">
        <w:rPr>
          <w:noProof/>
        </w:rPr>
        <w:t>2.</w:t>
      </w:r>
      <w:r w:rsidRPr="00061047">
        <w:rPr>
          <w:noProof/>
        </w:rPr>
        <w:tab/>
        <w:t>TEMEI JURIDIC, SUBSIDIARITATE ȘI PROPORȚIONALITATE</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Temeiul juridic</w:t>
      </w:r>
    </w:p>
    <w:p w:rsidR="00D358AE" w:rsidRPr="00061047" w:rsidRDefault="00EB63EC" w:rsidP="79E95CA2">
      <w:pPr>
        <w:pBdr>
          <w:top w:val="nil"/>
          <w:left w:val="nil"/>
          <w:bottom w:val="nil"/>
          <w:right w:val="nil"/>
          <w:between w:val="nil"/>
          <w:bar w:val="nil"/>
        </w:pBdr>
        <w:spacing w:before="0" w:after="240"/>
        <w:rPr>
          <w:noProof/>
        </w:rPr>
      </w:pPr>
      <w:r w:rsidRPr="00061047">
        <w:rPr>
          <w:noProof/>
        </w:rPr>
        <w:t>Propunerea se întemeiază pe articolul 192 și pe articolul 196, coroborate cu articolul 292, din Tratatul privind funcționarea Uniunii Europene.</w:t>
      </w:r>
      <w:r w:rsidR="00F66812">
        <w:rPr>
          <w:noProof/>
        </w:rPr>
        <w:t xml:space="preserve"> </w:t>
      </w:r>
    </w:p>
    <w:p w:rsidR="00E67051" w:rsidRPr="00061047" w:rsidRDefault="00EB63EC" w:rsidP="79E95CA2">
      <w:pPr>
        <w:pBdr>
          <w:top w:val="nil"/>
          <w:left w:val="nil"/>
          <w:bottom w:val="nil"/>
          <w:right w:val="nil"/>
          <w:between w:val="nil"/>
          <w:bar w:val="nil"/>
        </w:pBdr>
        <w:spacing w:before="0" w:after="240"/>
        <w:rPr>
          <w:noProof/>
        </w:rPr>
      </w:pPr>
      <w:r w:rsidRPr="00061047">
        <w:rPr>
          <w:noProof/>
        </w:rPr>
        <w:t>În conformitate cu articolul 292 din TFUE, Consiliul hotărăște, la propunerea Comisiei, în toate cazurile în care tratatele prevăd că adoptă acte la propunerea Comisiei.</w:t>
      </w:r>
    </w:p>
    <w:p w:rsidR="00E67051" w:rsidRPr="00061047" w:rsidRDefault="7E776B20" w:rsidP="79E95CA2">
      <w:pPr>
        <w:pBdr>
          <w:top w:val="nil"/>
          <w:left w:val="nil"/>
          <w:bottom w:val="nil"/>
          <w:right w:val="nil"/>
          <w:between w:val="nil"/>
          <w:bar w:val="nil"/>
        </w:pBdr>
        <w:spacing w:before="0" w:after="240"/>
        <w:rPr>
          <w:noProof/>
        </w:rPr>
      </w:pPr>
      <w:r w:rsidRPr="00061047">
        <w:rPr>
          <w:noProof/>
        </w:rPr>
        <w:t>Articolul 192 din TFUE constituie temeiul juridic pentru adoptarea de către Uniune a unor măsuri în vederea realizării obiectivelor de conservare, protecție și îmbunătățire a calității mediului, de protecție a sănătății umane și de asigurare a utilizării prudente și raționale a resurselor naturale.</w:t>
      </w:r>
    </w:p>
    <w:p w:rsidR="00E67051" w:rsidRPr="00061047" w:rsidRDefault="644CF885" w:rsidP="478AD43F">
      <w:pPr>
        <w:pBdr>
          <w:top w:val="nil"/>
          <w:left w:val="nil"/>
          <w:bottom w:val="nil"/>
          <w:right w:val="nil"/>
          <w:between w:val="nil"/>
          <w:bar w:val="nil"/>
        </w:pBdr>
        <w:spacing w:before="0" w:after="240"/>
        <w:rPr>
          <w:noProof/>
        </w:rPr>
      </w:pPr>
      <w:r w:rsidRPr="00061047">
        <w:rPr>
          <w:noProof/>
        </w:rPr>
        <w:t>Articolul 196 din TFUE constituie temeiul juridic pentru adoptarea de către Uniune a unor măsuri de încurajare a cooperării între statele membre, în vederea îmbunătățirii eficacității sistemelor de prevenire și de protecție împotriva catastrofelor naturale sau provocate de om.</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Subsidiaritatea (în cazul competențelor neexclusive)</w:t>
      </w:r>
    </w:p>
    <w:p w:rsidR="00EB63EC" w:rsidRPr="00061047" w:rsidRDefault="0674AF55" w:rsidP="478AD43F">
      <w:pPr>
        <w:pBdr>
          <w:top w:val="nil"/>
          <w:left w:val="nil"/>
          <w:bottom w:val="nil"/>
          <w:right w:val="nil"/>
          <w:between w:val="nil"/>
          <w:bar w:val="nil"/>
        </w:pBdr>
        <w:spacing w:before="0" w:after="240"/>
        <w:rPr>
          <w:rFonts w:eastAsia="Arial Unicode MS"/>
          <w:noProof/>
        </w:rPr>
      </w:pPr>
      <w:r w:rsidRPr="00061047">
        <w:rPr>
          <w:noProof/>
        </w:rPr>
        <w:t>Propunerea respectă principiul subsidiarității prevăzut la articolul 5 alineatul (3) din Tratatul privind Uniunea Europeană (TUE).</w:t>
      </w:r>
    </w:p>
    <w:p w:rsidR="00EB63EC" w:rsidRPr="00061047" w:rsidRDefault="00EB63EC" w:rsidP="00EB63EC">
      <w:pPr>
        <w:pBdr>
          <w:top w:val="nil"/>
          <w:left w:val="nil"/>
          <w:bottom w:val="nil"/>
          <w:right w:val="nil"/>
          <w:between w:val="nil"/>
          <w:bar w:val="nil"/>
        </w:pBdr>
        <w:spacing w:before="0" w:after="240"/>
        <w:rPr>
          <w:rFonts w:eastAsia="Arial Unicode MS"/>
          <w:noProof/>
        </w:rPr>
      </w:pPr>
      <w:r w:rsidRPr="00061047">
        <w:rPr>
          <w:noProof/>
        </w:rPr>
        <w:lastRenderedPageBreak/>
        <w:t>Adoptarea unei recomandări la nivelul Uniunii este justificată de caracterul transfrontalier al incendiilor de vegetație, de impactul comun asupra mediului și climei, de necesitatea unei pregătiri și a unui răspuns coordonat, precum și de importanța unei abordări integrate și a asigurării coerenței politicilor.</w:t>
      </w:r>
    </w:p>
    <w:p w:rsidR="00EB63EC" w:rsidRPr="00061047" w:rsidRDefault="00EB63EC" w:rsidP="00EB63EC">
      <w:pPr>
        <w:pBdr>
          <w:top w:val="nil"/>
          <w:left w:val="nil"/>
          <w:bottom w:val="nil"/>
          <w:right w:val="nil"/>
          <w:between w:val="nil"/>
          <w:bar w:val="nil"/>
        </w:pBdr>
        <w:spacing w:before="0" w:after="240"/>
        <w:rPr>
          <w:rFonts w:eastAsia="Arial Unicode MS"/>
          <w:noProof/>
        </w:rPr>
      </w:pPr>
      <w:r w:rsidRPr="00061047">
        <w:rPr>
          <w:noProof/>
        </w:rPr>
        <w:t>Cu toate acestea, prezenta propunere respectă competența principală a statelor membre în domeniul gestionării riscului de incendii de vegetație. În special, propunerea recomandă anumite acțiuni care ar urma să fie întreprinse de statele membre, lăsând totodată acestora deplină flexibilitate în ceea ce privește adaptarea abordărilor la sistemele lor de guvernanță și la realitățile teritoriale.</w:t>
      </w:r>
      <w:r w:rsidR="00F66812">
        <w:rPr>
          <w:noProof/>
        </w:rPr>
        <w:t xml:space="preserve">  </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Proporționalitatea</w:t>
      </w:r>
    </w:p>
    <w:p w:rsidR="00F978D2" w:rsidRPr="00061047" w:rsidRDefault="4BFA8081" w:rsidP="3FEDCB4E">
      <w:pPr>
        <w:pBdr>
          <w:top w:val="nil"/>
          <w:left w:val="nil"/>
          <w:bottom w:val="nil"/>
          <w:right w:val="nil"/>
          <w:between w:val="nil"/>
          <w:bar w:val="nil"/>
        </w:pBdr>
        <w:spacing w:before="0" w:after="240"/>
        <w:rPr>
          <w:rFonts w:eastAsia="Arial Unicode MS"/>
          <w:noProof/>
        </w:rPr>
      </w:pPr>
      <w:r w:rsidRPr="00061047">
        <w:rPr>
          <w:noProof/>
        </w:rPr>
        <w:t>Propunerea de recomandare a Consiliului privind gestionarea integrată a riscurilor de incendii de vegetație respectă principiul proporționalității prevăzut la articolul 5 alineatul (4) din TUE.</w:t>
      </w:r>
    </w:p>
    <w:p w:rsidR="00E67051" w:rsidRPr="00061047" w:rsidRDefault="4BFA8081" w:rsidP="3FEDCB4E">
      <w:pPr>
        <w:pBdr>
          <w:top w:val="nil"/>
          <w:left w:val="nil"/>
          <w:bottom w:val="nil"/>
          <w:right w:val="nil"/>
          <w:between w:val="nil"/>
          <w:bar w:val="nil"/>
        </w:pBdr>
        <w:spacing w:before="0" w:after="240"/>
        <w:rPr>
          <w:rFonts w:eastAsia="Arial Unicode MS"/>
          <w:noProof/>
        </w:rPr>
      </w:pPr>
      <w:r w:rsidRPr="00061047">
        <w:rPr>
          <w:noProof/>
        </w:rPr>
        <w:t xml:space="preserve">Nici conținutul, nici forma recomandării propuse nu depășesc ceea ce este necesar pentru atingerea obiectivelor sale. Acțiunile recomandate propuse respectă practicile statelor membre și diversitatea sistemelor din întreaga UE. Orice angajamente ale statelor membre ar urma să aibă un caracter voluntar, iar fiecare stat membru ar urma să fie liber să decidă asupra modalității de punere în aplicare a acestora. </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Alegerea instrumentului</w:t>
      </w:r>
    </w:p>
    <w:p w:rsidR="00E67051" w:rsidRPr="00061047" w:rsidRDefault="000077A8" w:rsidP="79E95CA2">
      <w:pPr>
        <w:pBdr>
          <w:top w:val="nil"/>
          <w:left w:val="nil"/>
          <w:bottom w:val="nil"/>
          <w:right w:val="nil"/>
          <w:between w:val="nil"/>
          <w:bar w:val="nil"/>
        </w:pBdr>
        <w:spacing w:before="0" w:after="240"/>
        <w:rPr>
          <w:rFonts w:eastAsia="Arial Unicode MS"/>
          <w:noProof/>
        </w:rPr>
      </w:pPr>
      <w:r w:rsidRPr="00061047">
        <w:rPr>
          <w:noProof/>
        </w:rPr>
        <w:t>O recomandare a Consiliului (articolul 292 din TFUE) este instrumentul adecvat pentru a sprijini acțiunea coordonată între statele membre, asigurând în același timp o punere în aplicare flexibilă și respectând competența acestora. Ca act juridic, deși nu are caracter obligatoriu, o recomandare a Consiliului semnalează angajamentul statelor membre față de măsurile propuse și oferă o bază politică solidă pentru cooperare, respectând pe deplin prerogativele statelor membre.</w:t>
      </w:r>
    </w:p>
    <w:p w:rsidR="00E67051" w:rsidRPr="00061047" w:rsidRDefault="00E67051" w:rsidP="004313E8">
      <w:pPr>
        <w:pStyle w:val="ManualHeading1"/>
        <w:rPr>
          <w:noProof/>
        </w:rPr>
      </w:pPr>
      <w:r w:rsidRPr="00061047">
        <w:rPr>
          <w:noProof/>
        </w:rPr>
        <w:t>3.</w:t>
      </w:r>
      <w:r w:rsidRPr="00061047">
        <w:rPr>
          <w:noProof/>
        </w:rPr>
        <w:tab/>
        <w:t xml:space="preserve">REZULTATELE EVALUĂRILOR </w:t>
      </w:r>
      <w:r w:rsidRPr="00061047">
        <w:rPr>
          <w:i/>
          <w:noProof/>
        </w:rPr>
        <w:t>EX POST</w:t>
      </w:r>
      <w:r w:rsidRPr="00061047">
        <w:rPr>
          <w:noProof/>
        </w:rPr>
        <w:t>, ALE CONSULTĂRILOR CU PĂRȚILE INTERESATE ȘI ALE EVALUĂRILOR IMPACTULUI</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 xml:space="preserve">Evaluările </w:t>
      </w:r>
      <w:r w:rsidRPr="00061047">
        <w:rPr>
          <w:i/>
          <w:iCs/>
          <w:noProof/>
          <w:bdr w:val="nil"/>
        </w:rPr>
        <w:t>ex post</w:t>
      </w:r>
      <w:r w:rsidRPr="00061047">
        <w:rPr>
          <w:noProof/>
          <w:bdr w:val="nil"/>
        </w:rPr>
        <w:t>/verificarea adecvării legislației existente</w:t>
      </w:r>
    </w:p>
    <w:p w:rsidR="00E67051" w:rsidRPr="00061047" w:rsidRDefault="000077A8" w:rsidP="478AD43F">
      <w:pPr>
        <w:pBdr>
          <w:top w:val="nil"/>
          <w:left w:val="nil"/>
          <w:bottom w:val="nil"/>
          <w:right w:val="nil"/>
          <w:between w:val="nil"/>
          <w:bar w:val="nil"/>
        </w:pBdr>
        <w:spacing w:before="0" w:after="240"/>
        <w:rPr>
          <w:rFonts w:eastAsia="Arial Unicode MS"/>
          <w:noProof/>
        </w:rPr>
      </w:pPr>
      <w:r w:rsidRPr="00061047">
        <w:rPr>
          <w:noProof/>
        </w:rPr>
        <w:t>[nu se aplică]</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Consultarea cu părțile interesate</w:t>
      </w:r>
    </w:p>
    <w:p w:rsidR="000077A8" w:rsidRPr="00061047" w:rsidRDefault="000077A8" w:rsidP="79E95CA2">
      <w:pPr>
        <w:pBdr>
          <w:top w:val="nil"/>
          <w:left w:val="nil"/>
          <w:bottom w:val="nil"/>
          <w:right w:val="nil"/>
          <w:between w:val="nil"/>
          <w:bar w:val="nil"/>
        </w:pBdr>
        <w:spacing w:before="0" w:after="240"/>
        <w:rPr>
          <w:rFonts w:eastAsia="Arial Unicode MS"/>
          <w:noProof/>
        </w:rPr>
      </w:pPr>
      <w:r w:rsidRPr="00061047">
        <w:rPr>
          <w:noProof/>
        </w:rPr>
        <w:t xml:space="preserve">Prezenta propunere vine în continuarea </w:t>
      </w:r>
      <w:r w:rsidRPr="00061047">
        <w:rPr>
          <w:b/>
          <w:noProof/>
        </w:rPr>
        <w:t>Comunicării Comisiei privind gestionarea integrată a riscurilor de incendii forestiere</w:t>
      </w:r>
      <w:r w:rsidRPr="00061047">
        <w:rPr>
          <w:noProof/>
        </w:rPr>
        <w:t>. Comisia a consultat patru grupuri de experți alcătuite din reprezentanți ai statelor membre (Grupul de experți în materie de incendii forestiere, Grupul de experți pentru prevenirea dezastrelor, Grupul de experți privind punerea în aplicare a planurilor strategice ale politicii agricole comune și Comitetul forestier permanent), precum și părți interesate relevante și experți în domenii legate de gestionarea riscurilor de incendii de vegetație.</w:t>
      </w:r>
    </w:p>
    <w:p w:rsidR="000077A8" w:rsidRPr="00061047" w:rsidRDefault="000077A8" w:rsidP="79E95CA2">
      <w:pPr>
        <w:pBdr>
          <w:top w:val="nil"/>
          <w:left w:val="nil"/>
          <w:bottom w:val="nil"/>
          <w:right w:val="nil"/>
          <w:between w:val="nil"/>
          <w:bar w:val="nil"/>
        </w:pBdr>
        <w:spacing w:before="0" w:after="240"/>
        <w:rPr>
          <w:rFonts w:eastAsia="Arial Unicode MS"/>
          <w:noProof/>
        </w:rPr>
      </w:pPr>
      <w:r w:rsidRPr="00061047">
        <w:rPr>
          <w:noProof/>
        </w:rPr>
        <w:t xml:space="preserve">Discuțiile și contribuțiile scrise primite au evidențiat riscul tot mai mare de incendii de vegetație în UE, necesitatea unei abordări mai integrate în întregul ciclu de gestionare a riscurilor de incendii forestiere și importanța coordonării la nivelul UE în ceea ce privește instrumentele, utilizarea datelor și capacitățile de răspuns, printre altele. În special, contribuțiile primite au sugerat necesitatea concentrării pe următoarele domenii: gestionarea și redresarea peisajului, guvernanța riscurilor de incendii de vegetație, dezvoltarea în continuare </w:t>
      </w:r>
      <w:r w:rsidRPr="00061047">
        <w:rPr>
          <w:noProof/>
        </w:rPr>
        <w:lastRenderedPageBreak/>
        <w:t>a EFFIS, sensibilizarea și pregătirea publicului, operațiunile comune de răspuns, cooperarea transfrontalieră, nevoile în materie de echipamente, prepoziționarea pompierilor și alerta timpurie.</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Obținerea și utilizarea cunoștințelor de specialitate</w:t>
      </w:r>
    </w:p>
    <w:p w:rsidR="00E67051" w:rsidRPr="00061047" w:rsidRDefault="075ED8D6" w:rsidP="3FEDCB4E">
      <w:pPr>
        <w:pBdr>
          <w:top w:val="nil"/>
          <w:left w:val="nil"/>
          <w:bottom w:val="nil"/>
          <w:right w:val="nil"/>
          <w:between w:val="nil"/>
          <w:bar w:val="nil"/>
        </w:pBdr>
        <w:spacing w:before="0" w:after="240"/>
        <w:rPr>
          <w:rFonts w:eastAsia="Arial Unicode MS"/>
          <w:noProof/>
        </w:rPr>
      </w:pPr>
      <w:r w:rsidRPr="00061047">
        <w:rPr>
          <w:noProof/>
        </w:rPr>
        <w:t xml:space="preserve">Comisia a utilizat rezultatele cercetărilor privind gestionarea riscurilor de incendii de vegetație efectuate în ultimii cinci ani, în special ale proiectelor finanțate de UE în cadrul programului Orizont Europa, ale rapoartelor de evaluare </w:t>
      </w:r>
      <w:r w:rsidRPr="00061047">
        <w:rPr>
          <w:i/>
          <w:iCs/>
          <w:noProof/>
        </w:rPr>
        <w:t>inter pares</w:t>
      </w:r>
      <w:r w:rsidRPr="00061047">
        <w:rPr>
          <w:noProof/>
        </w:rPr>
        <w:t xml:space="preserve"> și ale altor studii și publicații menționate în Comunicarea privind gestionarea integrată a riscurilor de incendii forestiere.</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Evaluarea impactului</w:t>
      </w:r>
    </w:p>
    <w:p w:rsidR="00F978D2" w:rsidRPr="00061047" w:rsidRDefault="00F978D2" w:rsidP="00F978D2">
      <w:pPr>
        <w:pBdr>
          <w:top w:val="nil"/>
          <w:left w:val="nil"/>
          <w:bottom w:val="nil"/>
          <w:right w:val="nil"/>
          <w:between w:val="nil"/>
          <w:bar w:val="nil"/>
        </w:pBdr>
        <w:spacing w:before="0" w:after="240"/>
        <w:rPr>
          <w:noProof/>
        </w:rPr>
      </w:pPr>
      <w:r w:rsidRPr="00061047">
        <w:rPr>
          <w:noProof/>
        </w:rPr>
        <w:t xml:space="preserve">Având în vedere caracterul neobligatoriu al unei recomandări a Consiliului și absența unor obligații financiare sau de reglementare directe pentru statele membre impuse de aceasta, nu a fost efectuată nicio evaluare a impactului, deoarece inițiativa propusă urmărește în primul rând să sprijine acțiunile statelor membre și coordonarea acestora în cadrele de politică existente. </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Adecvarea reglementărilor și simplificarea</w:t>
      </w:r>
    </w:p>
    <w:p w:rsidR="00E67051" w:rsidRPr="00061047" w:rsidRDefault="000077A8" w:rsidP="478AD43F">
      <w:pPr>
        <w:pBdr>
          <w:top w:val="nil"/>
          <w:left w:val="nil"/>
          <w:bottom w:val="nil"/>
          <w:right w:val="nil"/>
          <w:between w:val="nil"/>
          <w:bar w:val="nil"/>
        </w:pBdr>
        <w:spacing w:before="0" w:after="240"/>
        <w:rPr>
          <w:rFonts w:eastAsia="Arial Unicode MS"/>
          <w:noProof/>
        </w:rPr>
      </w:pPr>
      <w:r w:rsidRPr="00061047">
        <w:rPr>
          <w:noProof/>
        </w:rPr>
        <w:t>[nu se aplică]</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Drepturile fundamentale</w:t>
      </w:r>
    </w:p>
    <w:p w:rsidR="00E67051" w:rsidRPr="00061047" w:rsidRDefault="000077A8" w:rsidP="79E95CA2">
      <w:pPr>
        <w:pBdr>
          <w:top w:val="nil"/>
          <w:left w:val="nil"/>
          <w:bottom w:val="nil"/>
          <w:right w:val="nil"/>
          <w:between w:val="nil"/>
          <w:bar w:val="nil"/>
        </w:pBdr>
        <w:spacing w:before="0" w:after="240"/>
        <w:rPr>
          <w:rFonts w:eastAsia="Arial Unicode MS"/>
          <w:noProof/>
        </w:rPr>
      </w:pPr>
      <w:r w:rsidRPr="00061047">
        <w:rPr>
          <w:noProof/>
        </w:rPr>
        <w:t>Propunerea respectă drepturile fundamentale și principiile înscrise în Carta drepturilor fundamentale a Uniunii Europene.</w:t>
      </w:r>
    </w:p>
    <w:p w:rsidR="00E67051" w:rsidRPr="00061047" w:rsidRDefault="00E67051" w:rsidP="004313E8">
      <w:pPr>
        <w:pStyle w:val="ManualHeading1"/>
        <w:rPr>
          <w:noProof/>
        </w:rPr>
      </w:pPr>
      <w:r w:rsidRPr="00061047">
        <w:rPr>
          <w:noProof/>
        </w:rPr>
        <w:t>4.</w:t>
      </w:r>
      <w:r w:rsidRPr="00061047">
        <w:rPr>
          <w:noProof/>
        </w:rPr>
        <w:tab/>
        <w:t>IMPLICAȚII BUGETARE</w:t>
      </w:r>
    </w:p>
    <w:p w:rsidR="00E67051" w:rsidRPr="00061047" w:rsidRDefault="0088107B" w:rsidP="79E95CA2">
      <w:pPr>
        <w:pBdr>
          <w:top w:val="nil"/>
          <w:left w:val="nil"/>
          <w:bottom w:val="nil"/>
          <w:right w:val="nil"/>
          <w:between w:val="nil"/>
          <w:bar w:val="nil"/>
        </w:pBdr>
        <w:spacing w:before="0" w:after="240"/>
        <w:rPr>
          <w:rFonts w:eastAsia="Arial Unicode MS"/>
          <w:noProof/>
        </w:rPr>
      </w:pPr>
      <w:r w:rsidRPr="00061047">
        <w:rPr>
          <w:noProof/>
        </w:rPr>
        <w:t>Prezenta propunere nu are implicații bugetare directe suplimentare. Măsurile legate de gestionarea riscurilor de incendii de vegetație sunt sprijinite prin instrumentele existente ale UE, inclusiv prin finanțare, servicii de date, programe de cercetare și inovare și mecanisme de sprijin tehnic.</w:t>
      </w:r>
    </w:p>
    <w:p w:rsidR="00E67051" w:rsidRPr="00061047" w:rsidRDefault="00E67051" w:rsidP="004313E8">
      <w:pPr>
        <w:pStyle w:val="ManualHeading1"/>
        <w:rPr>
          <w:noProof/>
        </w:rPr>
      </w:pPr>
      <w:r w:rsidRPr="00061047">
        <w:rPr>
          <w:noProof/>
        </w:rPr>
        <w:t>5.</w:t>
      </w:r>
      <w:r w:rsidRPr="00061047">
        <w:rPr>
          <w:noProof/>
        </w:rPr>
        <w:tab/>
        <w:t>ALTE ELEMENTE</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Planurile de punere în aplicare și măsurile de monitorizare, evaluare și raportare</w:t>
      </w:r>
    </w:p>
    <w:p w:rsidR="00E67051" w:rsidRPr="00061047" w:rsidRDefault="0088107B" w:rsidP="478AD43F">
      <w:pPr>
        <w:pBdr>
          <w:top w:val="nil"/>
          <w:left w:val="nil"/>
          <w:bottom w:val="nil"/>
          <w:right w:val="nil"/>
          <w:between w:val="nil"/>
          <w:bar w:val="nil"/>
        </w:pBdr>
        <w:spacing w:before="0" w:after="240"/>
        <w:rPr>
          <w:rFonts w:eastAsia="Arial Unicode MS"/>
          <w:noProof/>
        </w:rPr>
      </w:pPr>
      <w:r w:rsidRPr="00061047">
        <w:rPr>
          <w:noProof/>
        </w:rPr>
        <w:t>[nu se aplică]</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Documentele explicative (în cazul directivelor)</w:t>
      </w:r>
    </w:p>
    <w:p w:rsidR="00E67051" w:rsidRPr="00061047" w:rsidRDefault="0088107B" w:rsidP="478AD43F">
      <w:pPr>
        <w:pBdr>
          <w:top w:val="nil"/>
          <w:left w:val="nil"/>
          <w:bottom w:val="nil"/>
          <w:right w:val="nil"/>
          <w:between w:val="nil"/>
          <w:bar w:val="nil"/>
        </w:pBdr>
        <w:spacing w:before="0" w:after="240"/>
        <w:rPr>
          <w:rFonts w:eastAsia="Arial Unicode MS"/>
          <w:noProof/>
        </w:rPr>
      </w:pPr>
      <w:r w:rsidRPr="00061047">
        <w:rPr>
          <w:noProof/>
        </w:rPr>
        <w:t>[nu se aplică]</w:t>
      </w:r>
    </w:p>
    <w:p w:rsidR="00E67051" w:rsidRPr="00061047" w:rsidRDefault="00E67051" w:rsidP="004313E8">
      <w:pPr>
        <w:pStyle w:val="ManualHeading2"/>
        <w:rPr>
          <w:rFonts w:eastAsia="Arial Unicode MS"/>
          <w:noProof/>
          <w:bdr w:val="nil"/>
        </w:rPr>
      </w:pPr>
      <w:r w:rsidRPr="00061047">
        <w:rPr>
          <w:noProof/>
          <w:bdr w:val="nil"/>
        </w:rPr>
        <w:t>•</w:t>
      </w:r>
      <w:r w:rsidRPr="00061047">
        <w:rPr>
          <w:noProof/>
        </w:rPr>
        <w:tab/>
      </w:r>
      <w:r w:rsidRPr="00061047">
        <w:rPr>
          <w:noProof/>
          <w:bdr w:val="nil"/>
        </w:rPr>
        <w:t>Explicarea detaliată a dispozițiilor specifice ale propunerii</w:t>
      </w:r>
    </w:p>
    <w:p w:rsidR="00E67051" w:rsidRPr="00061047" w:rsidRDefault="0088107B" w:rsidP="478AD43F">
      <w:pPr>
        <w:pBdr>
          <w:top w:val="nil"/>
          <w:left w:val="nil"/>
          <w:bottom w:val="nil"/>
          <w:right w:val="nil"/>
          <w:between w:val="nil"/>
          <w:bar w:val="nil"/>
        </w:pBdr>
        <w:spacing w:before="0" w:after="240"/>
        <w:rPr>
          <w:rFonts w:eastAsia="Arial Unicode MS"/>
          <w:noProof/>
        </w:rPr>
      </w:pPr>
      <w:r w:rsidRPr="00061047">
        <w:rPr>
          <w:noProof/>
        </w:rPr>
        <w:t>[nu se aplică]</w:t>
      </w:r>
    </w:p>
    <w:p w:rsidR="00E67051" w:rsidRPr="00061047" w:rsidRDefault="00E67051" w:rsidP="004313E8">
      <w:pPr>
        <w:rPr>
          <w:noProof/>
        </w:rPr>
        <w:sectPr w:rsidR="00E67051" w:rsidRPr="00061047" w:rsidSect="0066163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D4228" w:rsidRDefault="00326805">
      <w:pPr>
        <w:pStyle w:val="Rfrenceinterinstitutionnelle"/>
        <w:rPr>
          <w:noProof/>
        </w:rPr>
      </w:pPr>
      <w:r>
        <w:rPr>
          <w:noProof/>
        </w:rPr>
        <w:lastRenderedPageBreak/>
        <w:t>2026/0103 (NLE)</w:t>
      </w:r>
    </w:p>
    <w:p w:rsidR="00E67051" w:rsidRPr="00061047" w:rsidRDefault="00061047" w:rsidP="00061047">
      <w:pPr>
        <w:pStyle w:val="Statut"/>
        <w:rPr>
          <w:noProof/>
        </w:rPr>
      </w:pPr>
      <w:r w:rsidRPr="00061047">
        <w:rPr>
          <w:noProof/>
        </w:rPr>
        <w:t>Propunere de</w:t>
      </w:r>
    </w:p>
    <w:p w:rsidR="00E67051" w:rsidRPr="00061047" w:rsidRDefault="00061047" w:rsidP="00061047">
      <w:pPr>
        <w:pStyle w:val="Typedudocument"/>
        <w:rPr>
          <w:noProof/>
        </w:rPr>
      </w:pPr>
      <w:r w:rsidRPr="00061047">
        <w:rPr>
          <w:noProof/>
        </w:rPr>
        <w:t>RECOMANDARE A CONSILIULUI</w:t>
      </w:r>
    </w:p>
    <w:p w:rsidR="00E67051" w:rsidRPr="00061047" w:rsidRDefault="00061047" w:rsidP="00061047">
      <w:pPr>
        <w:pStyle w:val="Titreobjet"/>
        <w:rPr>
          <w:noProof/>
        </w:rPr>
      </w:pPr>
      <w:r w:rsidRPr="00061047">
        <w:rPr>
          <w:noProof/>
        </w:rPr>
        <w:t>privind gestionarea integrată a riscurilor de incendii de vegetație</w:t>
      </w:r>
    </w:p>
    <w:p w:rsidR="00E67051" w:rsidRPr="00061047" w:rsidRDefault="00E67051" w:rsidP="004313E8">
      <w:pPr>
        <w:pStyle w:val="Institutionquiagit"/>
        <w:rPr>
          <w:noProof/>
        </w:rPr>
      </w:pPr>
      <w:r w:rsidRPr="00061047">
        <w:rPr>
          <w:noProof/>
        </w:rPr>
        <w:t>CONSILIUL UNIUNII EUROPENE,</w:t>
      </w:r>
    </w:p>
    <w:p w:rsidR="00E67051" w:rsidRPr="00061047" w:rsidRDefault="00E67051" w:rsidP="004313E8">
      <w:pPr>
        <w:rPr>
          <w:noProof/>
        </w:rPr>
      </w:pPr>
      <w:r w:rsidRPr="00061047">
        <w:rPr>
          <w:noProof/>
        </w:rPr>
        <w:t>având în vedere Tratatul privind funcționarea Uniunii Europene, în special articolul 192 și articolul 196, coroborate cu articolul 292,</w:t>
      </w:r>
    </w:p>
    <w:p w:rsidR="00E67051" w:rsidRPr="00061047" w:rsidRDefault="00E67051" w:rsidP="004313E8">
      <w:pPr>
        <w:rPr>
          <w:noProof/>
        </w:rPr>
      </w:pPr>
      <w:r w:rsidRPr="00061047">
        <w:rPr>
          <w:noProof/>
        </w:rPr>
        <w:t>întrucât:</w:t>
      </w:r>
    </w:p>
    <w:p w:rsidR="00E67051" w:rsidRPr="00061047" w:rsidRDefault="00445BF1" w:rsidP="00182A47">
      <w:pPr>
        <w:pStyle w:val="ManualConsidrant"/>
        <w:rPr>
          <w:noProof/>
        </w:rPr>
      </w:pPr>
      <w:r>
        <w:rPr>
          <w:noProof/>
        </w:rPr>
        <w:t>(1)</w:t>
      </w:r>
      <w:r>
        <w:rPr>
          <w:noProof/>
        </w:rPr>
        <w:tab/>
      </w:r>
      <w:r w:rsidRPr="00061047">
        <w:rPr>
          <w:noProof/>
        </w:rPr>
        <w:t>Vara anului 2025 a fost marcată de o serie de incendii de vegetație grave în întreaga Europă, ceea ce evidențiază necesitatea urgentă de a acționa împotriva acestei amenințări tot mai mari. Deși eforturile de prevenire și pregătire au fost intensificate atât la nivel național, cât și la nivelul Uniunii, suprafața cumulată afectată de incendii în Uniunea Europeană a depășit pentru prima dată un milion de hectare, iar Mecanismul de protecție civilă al Uniunii (UCPM) a fost activat cu o frecvență fără precedent pentru a acorda sprijin statelor membre în combaterea incendiilor.</w:t>
      </w:r>
    </w:p>
    <w:p w:rsidR="00E67051" w:rsidRPr="00061047" w:rsidRDefault="006C77C2" w:rsidP="004313E8">
      <w:pPr>
        <w:pStyle w:val="ManualConsidrant"/>
        <w:rPr>
          <w:noProof/>
        </w:rPr>
      </w:pPr>
      <w:r>
        <w:rPr>
          <w:noProof/>
        </w:rPr>
        <w:t>(2)</w:t>
      </w:r>
      <w:r>
        <w:rPr>
          <w:noProof/>
        </w:rPr>
        <w:tab/>
      </w:r>
      <w:r w:rsidRPr="00061047">
        <w:rPr>
          <w:noProof/>
        </w:rPr>
        <w:t>În ultimii ani, activitatea legată de incendiile de vegetație s-a intensificat semnificativ în întreaga Uniune. Suprafața afectată de incendii s-a situat peste media multianuală în patru din ultimii cinci ani, iar incendiile de vegetație devin tot mai extinse și mai intense. Situația este agravată și mai mult de faptul că megaincendiile, adică incendiile de proporții excepționale care sunt dificil de controlat prin mijloace tradiționale de intervenție, devin tot mai frecvente, tendință care se preconizează că va continua.</w:t>
      </w:r>
    </w:p>
    <w:p w:rsidR="00E67051" w:rsidRPr="00061047" w:rsidRDefault="006C77C2" w:rsidP="004313E8">
      <w:pPr>
        <w:pStyle w:val="ManualConsidrant"/>
        <w:rPr>
          <w:noProof/>
        </w:rPr>
      </w:pPr>
      <w:r>
        <w:rPr>
          <w:noProof/>
        </w:rPr>
        <w:t>(3)</w:t>
      </w:r>
      <w:r>
        <w:rPr>
          <w:noProof/>
        </w:rPr>
        <w:tab/>
      </w:r>
      <w:r w:rsidRPr="00061047">
        <w:rPr>
          <w:noProof/>
        </w:rPr>
        <w:t>Incendiile de vegetație reprezintă o provocare complexă, având potențialul de a provoca daune profunde societății, economiei, mediului, climei, infrastructurii și patrimoniului cultural. Acestea pot provoca pierderi de vieți omenești și de mijloace de trai, pot cauza pagube considerabile bunurilor și infrastructurii și pot conduce la deteriorarea calității aerului și la degradarea ecosistemelor, cu efecte negative asupra agriculturii și silviculturii.</w:t>
      </w:r>
    </w:p>
    <w:p w:rsidR="00E67051" w:rsidRPr="00061047" w:rsidRDefault="006C77C2" w:rsidP="004313E8">
      <w:pPr>
        <w:pStyle w:val="ManualConsidrant"/>
        <w:rPr>
          <w:noProof/>
        </w:rPr>
      </w:pPr>
      <w:r>
        <w:rPr>
          <w:noProof/>
        </w:rPr>
        <w:t>(4)</w:t>
      </w:r>
      <w:r>
        <w:rPr>
          <w:noProof/>
        </w:rPr>
        <w:tab/>
      </w:r>
      <w:r w:rsidRPr="00061047">
        <w:rPr>
          <w:noProof/>
        </w:rPr>
        <w:t>Creșterea riscului de incendii de vegetație este determinată în principal de schimbările climatice și de modificările survenite în gestionarea terenurilor. Schimbările climatice determină o frecvență mai mare și o intensitate sporită a valurilor de căldură și a secetei, ceea ce conduce la uscarea vegetației, deci la acumularea de material combustibil favorabil izbucnirii incendiilor de vegetație. Pe măsură ce încălzirea globală se accentuează, se preconizează că aceste condiții se vor agrava și vor afecta porțiuni tot mai extinse ale Europei. În același timp, abandonarea terenurilor, depopularea zonelor rurale și gestionarea necorespunzătoare a pădurilor conduc la acumularea de materiale inflamabile. Combinată cu extinderea zonelor urbane către păduri și zone naturale, această evoluție expune tot mai mult populația și infrastructura la riscurile asociate incendiilor de vegetație.</w:t>
      </w:r>
    </w:p>
    <w:p w:rsidR="00E67051" w:rsidRPr="00061047" w:rsidRDefault="006C77C2" w:rsidP="004313E8">
      <w:pPr>
        <w:pStyle w:val="ManualConsidrant"/>
        <w:rPr>
          <w:noProof/>
        </w:rPr>
      </w:pPr>
      <w:r>
        <w:rPr>
          <w:noProof/>
        </w:rPr>
        <w:t>(5)</w:t>
      </w:r>
      <w:r>
        <w:rPr>
          <w:noProof/>
        </w:rPr>
        <w:tab/>
      </w:r>
      <w:r w:rsidRPr="00061047">
        <w:rPr>
          <w:noProof/>
        </w:rPr>
        <w:t xml:space="preserve">În majoritatea covârșitoare a situațiilor, activitatea umană reprezintă factorul declanșator al incendiilor de vegetație în Uniune, inclusiv prin neglijență, incendiere intenționată și scântei provenite din infrastructură. Aceste riscuri sunt amplificate de </w:t>
      </w:r>
      <w:r w:rsidRPr="00061047">
        <w:rPr>
          <w:noProof/>
        </w:rPr>
        <w:lastRenderedPageBreak/>
        <w:t>coordonarea deficitară a politicilor între autoritățile de la diferite niveluri, ceea ce reduce eficacitatea măsurilor de gestionare a riscurilor de incendii de vegetație.</w:t>
      </w:r>
    </w:p>
    <w:p w:rsidR="00E67051" w:rsidRPr="00061047" w:rsidRDefault="006C77C2" w:rsidP="004313E8">
      <w:pPr>
        <w:pStyle w:val="ManualConsidrant"/>
        <w:rPr>
          <w:noProof/>
        </w:rPr>
      </w:pPr>
      <w:r>
        <w:rPr>
          <w:noProof/>
        </w:rPr>
        <w:t>(6)</w:t>
      </w:r>
      <w:r>
        <w:rPr>
          <w:noProof/>
        </w:rPr>
        <w:tab/>
      </w:r>
      <w:r w:rsidRPr="00061047">
        <w:rPr>
          <w:noProof/>
        </w:rPr>
        <w:t>Responsabilitatea pentru gestionarea riscurilor de incendii de vegetație le revine în primul rând statelor membre, autorităților regionale și administratorilor de terenuri, în timp ce Uniunea oferă sprijin prin finanțare, furnizarea de date, coordonare și schimb de cunoștințe. Diversitatea peisajelor, a structurilor forestiere și a condițiilor climatice din Europa impune ca gestionarea riscurilor de incendii de vegetație să fie adaptată contextului local, beneficiind totodată de un sprijin coordonat la nivelul Uniunii.</w:t>
      </w:r>
    </w:p>
    <w:p w:rsidR="00E67051" w:rsidRPr="00061047" w:rsidRDefault="00F30BB2" w:rsidP="004313E8">
      <w:pPr>
        <w:pStyle w:val="ManualConsidrant"/>
        <w:rPr>
          <w:noProof/>
        </w:rPr>
      </w:pPr>
      <w:r>
        <w:rPr>
          <w:noProof/>
        </w:rPr>
        <w:t>(7)</w:t>
      </w:r>
      <w:r>
        <w:rPr>
          <w:noProof/>
        </w:rPr>
        <w:tab/>
      </w:r>
      <w:r w:rsidRPr="00061047">
        <w:rPr>
          <w:noProof/>
        </w:rPr>
        <w:t>Pentru a aborda mai eficient riscul tot mai ridicat de incendii de vegetație, este necesară o abordare integrată, care să acopere întregul ciclu de gestionare a riscurilor de dezastre, incluzând prevenirea, pregătirea, intervenția și redresarea. Această abordare ar trebui, de asemenea, să țină seama de dimensiunile ecologice, sociale, economice și culturale ale incendiilor de vegetație.</w:t>
      </w:r>
    </w:p>
    <w:p w:rsidR="00640920" w:rsidRPr="00061047" w:rsidRDefault="00640920" w:rsidP="004313E8">
      <w:pPr>
        <w:pStyle w:val="ManualConsidrant"/>
        <w:rPr>
          <w:noProof/>
        </w:rPr>
      </w:pPr>
      <w:r>
        <w:rPr>
          <w:noProof/>
        </w:rPr>
        <w:t>(8)</w:t>
      </w:r>
      <w:r>
        <w:rPr>
          <w:noProof/>
        </w:rPr>
        <w:tab/>
      </w:r>
      <w:r w:rsidRPr="00061047">
        <w:rPr>
          <w:noProof/>
        </w:rPr>
        <w:t>În contextul în care incendiile de vegetație devin mai frecvente și mai dificil de controlat, capacitățile de răspuns trebuie consolidate prin îmbunătățirea coordonării, interoperabilității, formării, dotării și capacităților de analiză, precum și prin punerea în comun a resurselor și a expertizei de către statele membre.</w:t>
      </w:r>
    </w:p>
    <w:p w:rsidR="00640920" w:rsidRPr="00061047" w:rsidRDefault="004F1405" w:rsidP="00640920">
      <w:pPr>
        <w:pStyle w:val="ManualConsidrant"/>
        <w:rPr>
          <w:noProof/>
        </w:rPr>
      </w:pPr>
      <w:r>
        <w:rPr>
          <w:noProof/>
        </w:rPr>
        <w:t>(9)</w:t>
      </w:r>
      <w:r>
        <w:rPr>
          <w:noProof/>
        </w:rPr>
        <w:tab/>
      </w:r>
      <w:r w:rsidRPr="00061047">
        <w:rPr>
          <w:noProof/>
        </w:rPr>
        <w:t>Acest lucru necesită o guvernanță consolidată, care să asigure coordonarea politicilor la diferite niveluri administrative, precum și o finanțare mai integrată și mobilizarea investițiilor publice și private în toate etapele ciclului de gestionare a riscurilor.</w:t>
      </w:r>
    </w:p>
    <w:p w:rsidR="00640920" w:rsidRPr="00061047" w:rsidRDefault="00640920" w:rsidP="00640920">
      <w:pPr>
        <w:pStyle w:val="ManualConsidrant"/>
        <w:rPr>
          <w:noProof/>
        </w:rPr>
      </w:pPr>
      <w:r>
        <w:rPr>
          <w:noProof/>
        </w:rPr>
        <w:t>(10)</w:t>
      </w:r>
      <w:r>
        <w:rPr>
          <w:noProof/>
        </w:rPr>
        <w:tab/>
      </w:r>
      <w:r w:rsidRPr="00061047">
        <w:rPr>
          <w:noProof/>
        </w:rPr>
        <w:t>Redresarea după incendii trebuie să urmărească refacerea ecosistemelor și a serviciilor furnizate de acestea, precum și sprijinirea redresării comunităților într-un mod care să prevină degradarea pe termen lung și să susțină utilizarea durabilă a terenurilor, ținând seama totodată de condițiile climatice viitoare</w:t>
      </w:r>
      <w:r w:rsidRPr="00061047">
        <w:rPr>
          <w:rStyle w:val="FootnoteReference"/>
          <w:noProof/>
        </w:rPr>
        <w:footnoteReference w:id="4"/>
      </w:r>
      <w:r w:rsidRPr="00061047">
        <w:rPr>
          <w:noProof/>
        </w:rPr>
        <w:t xml:space="preserve">. De asemenea, este necesară îmbunătățirea colectării datelor privind impactul incendiilor de vegetație, pentru a permite o cuantificare mai precisă a pierderilor și pentru a fundamenta mai solid gestionarea riscurilor în viitor. </w:t>
      </w:r>
    </w:p>
    <w:p w:rsidR="00E67051" w:rsidRPr="00061047" w:rsidRDefault="00A74FA5" w:rsidP="004313E8">
      <w:pPr>
        <w:pStyle w:val="ManualConsidrant"/>
        <w:rPr>
          <w:noProof/>
        </w:rPr>
      </w:pPr>
      <w:r>
        <w:rPr>
          <w:noProof/>
        </w:rPr>
        <w:t>(11)</w:t>
      </w:r>
      <w:r>
        <w:rPr>
          <w:noProof/>
        </w:rPr>
        <w:tab/>
      </w:r>
      <w:r w:rsidRPr="00061047">
        <w:rPr>
          <w:noProof/>
        </w:rPr>
        <w:t>Riscurile de incendii de vegetație sunt determinate în mare măsură de modul în care sunt gestionate terenurile. Depopularea zonelor rurale și abandonarea terenurilor conduc la acumularea de vegetație inflamabilă și la formarea unor peisaje cu potențial ridicat de comportament extrem al incendiilor. Practicile tradiționale care contribuie la reducerea încărcăturii de material combustibil, precum arderile controlate și pășunatul extensiv, s-au diminuat, însă acestea ar trebui încurajate ca parte integrantă a gestionării terenurilor și pădurilor la nivel local, alături de intervenții active de gestionare forestieră durabilă, precum răritul, toaletarea și diversificarea speciilor. Peisajele mai diverse, alcătuite din păduri, pajiști și terenuri cultivate pot încetini răspândirea incendiilor și pot reduce probabilitatea unor incendii la scară largă.</w:t>
      </w:r>
    </w:p>
    <w:p w:rsidR="00E67051" w:rsidRPr="00061047" w:rsidRDefault="006C77C2" w:rsidP="004313E8">
      <w:pPr>
        <w:pStyle w:val="ManualConsidrant"/>
        <w:rPr>
          <w:noProof/>
        </w:rPr>
      </w:pPr>
      <w:r>
        <w:rPr>
          <w:noProof/>
        </w:rPr>
        <w:t>(12)</w:t>
      </w:r>
      <w:r>
        <w:rPr>
          <w:noProof/>
        </w:rPr>
        <w:tab/>
      </w:r>
      <w:r w:rsidRPr="00061047">
        <w:rPr>
          <w:noProof/>
        </w:rPr>
        <w:t>Gestionarea adaptativă a terenurilor și planificarea integrată a peisajului sunt esențiale pentru a crea peisaje multifuncționale reziliente la incendii. Aceasta presupune gestionarea durabilă a pădurilor, sprijinirea mijloacelor de trai din mediul rural și măsuri specifice în zonele de interfață dintre zonele naturale și zonele urbane, unde măsurile de prevenire pot reduce semnificativ riscurile de incendii de vegetație.</w:t>
      </w:r>
    </w:p>
    <w:p w:rsidR="018021DF" w:rsidRPr="00061047" w:rsidRDefault="006C77C2" w:rsidP="00A97384">
      <w:pPr>
        <w:pStyle w:val="ManualConsidrant"/>
        <w:rPr>
          <w:noProof/>
        </w:rPr>
      </w:pPr>
      <w:r>
        <w:rPr>
          <w:noProof/>
        </w:rPr>
        <w:t>(13)</w:t>
      </w:r>
      <w:r>
        <w:rPr>
          <w:noProof/>
        </w:rPr>
        <w:tab/>
      </w:r>
      <w:r w:rsidRPr="00061047">
        <w:rPr>
          <w:noProof/>
        </w:rPr>
        <w:t xml:space="preserve">Protecția și refacerea naturii contribuie la gestionarea riscurilor de incendii de vegetație prin creșterea rezilienței ecosistemelor și reducerea riscului și a impactului </w:t>
      </w:r>
      <w:r w:rsidRPr="00061047">
        <w:rPr>
          <w:noProof/>
        </w:rPr>
        <w:lastRenderedPageBreak/>
        <w:t>fenomenelor extreme. Refacerea zonelor umede, a turbăriilor, a râurilor și a luncilor inundabile creează bariere naturale împotriva incendiilor și contribuie la stabilizarea ciclurilor hidrologice, reducând astfel riscurile de incendii de vegetație. Prin urmare, obiectivele privind biodiversitatea, reziliența în domeniul apei și gestionarea riscurilor de incendii de vegetație se suprapun și ar trebui urmărite împreună, într-o logică de complementaritate.</w:t>
      </w:r>
    </w:p>
    <w:p w:rsidR="00E67051" w:rsidRPr="00061047" w:rsidRDefault="006C77C2" w:rsidP="004313E8">
      <w:pPr>
        <w:pStyle w:val="ManualConsidrant"/>
        <w:rPr>
          <w:noProof/>
        </w:rPr>
      </w:pPr>
      <w:r>
        <w:rPr>
          <w:noProof/>
        </w:rPr>
        <w:t>(14)</w:t>
      </w:r>
      <w:r>
        <w:rPr>
          <w:noProof/>
        </w:rPr>
        <w:tab/>
      </w:r>
      <w:r w:rsidRPr="00061047">
        <w:rPr>
          <w:noProof/>
        </w:rPr>
        <w:t>Monitorizarea incendiilor de vegetație și evaluarea riscurilor aferente la nivelul Uniunii se confruntă cu provocări semnificative, cum ar fi deficiențe privind disponibilitatea și coerența datelor, integrarea transfrontalieră insuficientă și integrarea limitată a riscurilor în cascadă, precum alunecările de teren, poluarea aerului și eroziunea solului. Aceste deficiențe reduc eficacitatea măsurilor de prevenire, pregătire și intervenție.</w:t>
      </w:r>
    </w:p>
    <w:p w:rsidR="00B55DCB" w:rsidRPr="00061047" w:rsidRDefault="00B26623" w:rsidP="004313E8">
      <w:pPr>
        <w:pStyle w:val="ManualConsidrant"/>
        <w:rPr>
          <w:noProof/>
        </w:rPr>
      </w:pPr>
      <w:r>
        <w:rPr>
          <w:noProof/>
        </w:rPr>
        <w:t>(15)</w:t>
      </w:r>
      <w:r>
        <w:rPr>
          <w:noProof/>
        </w:rPr>
        <w:tab/>
      </w:r>
      <w:r w:rsidRPr="00061047">
        <w:rPr>
          <w:noProof/>
        </w:rPr>
        <w:t>Pentru a consolida gradul de pregătire, este necesar să se îmbunătățească metodele de evaluare a riscurilor de incendii de vegetație, să se perfecționeze sistemele de alertă timpurie și să se extindă capacitățile de modelare a comportamentului incendiilor. De asemenea, trebuie să se utilizeze în mod sistematic datele și instrumentele disponibile pentru a sprijini procesul decizional bazat pe dovezi.</w:t>
      </w:r>
    </w:p>
    <w:p w:rsidR="00B55DCB" w:rsidRPr="00061047" w:rsidRDefault="00EF1B86" w:rsidP="004313E8">
      <w:pPr>
        <w:pStyle w:val="ManualConsidrant"/>
        <w:rPr>
          <w:noProof/>
        </w:rPr>
      </w:pPr>
      <w:r>
        <w:rPr>
          <w:noProof/>
        </w:rPr>
        <w:t>(16)</w:t>
      </w:r>
      <w:r>
        <w:rPr>
          <w:noProof/>
        </w:rPr>
        <w:tab/>
      </w:r>
      <w:r w:rsidRPr="00061047">
        <w:rPr>
          <w:noProof/>
        </w:rPr>
        <w:t>Riscul de incendii de vegetație poate fi redus și prin creșterea gradului de conștientizare a publicului și încurajarea schimbărilor de comportament, inclusiv prin facilitarea accesului la informații privind riscul de incendii. Aceasta presupune, totodată, strategii de comunicare specifice și abordări favorabile incluziunii, care să țină seama de grupurile vulnerabile și de diversitatea contextelor sociale.</w:t>
      </w:r>
    </w:p>
    <w:p w:rsidR="00B55DCB" w:rsidRPr="00061047" w:rsidRDefault="00947540" w:rsidP="004313E8">
      <w:pPr>
        <w:pStyle w:val="ManualConsidrant"/>
        <w:rPr>
          <w:noProof/>
        </w:rPr>
      </w:pPr>
      <w:r>
        <w:rPr>
          <w:noProof/>
        </w:rPr>
        <w:t>(17)</w:t>
      </w:r>
      <w:r>
        <w:rPr>
          <w:noProof/>
        </w:rPr>
        <w:tab/>
      </w:r>
      <w:r w:rsidRPr="00061047">
        <w:rPr>
          <w:noProof/>
        </w:rPr>
        <w:t>Gradul de pregătire al comunităților în caz de incendii de vegetație trebuie consolidat printr-o abordare participativă, care să implice fermieri, silvicultori, autorități locale, parteneri sociali, organizații ale societății civile și alte părți interesate, precum și prin activități de educație, formare și sensibilizare.</w:t>
      </w:r>
    </w:p>
    <w:p w:rsidR="00B55DCB" w:rsidRPr="00061047" w:rsidRDefault="646F6F10" w:rsidP="004313E8">
      <w:pPr>
        <w:pStyle w:val="ManualConsidrant"/>
        <w:rPr>
          <w:noProof/>
        </w:rPr>
      </w:pPr>
      <w:r>
        <w:rPr>
          <w:noProof/>
        </w:rPr>
        <w:t>(18)</w:t>
      </w:r>
      <w:r>
        <w:rPr>
          <w:noProof/>
        </w:rPr>
        <w:tab/>
      </w:r>
      <w:r w:rsidRPr="00061047">
        <w:rPr>
          <w:noProof/>
        </w:rPr>
        <w:t>Incendiile de vegetație reprezintă un fenomen global, care impune cooperare regională și internațională, în special cu țările învecinate. Inițiativele regionale, precum Baza regională cipriotă de intervenție aeriană pentru stingerea incendiilor (</w:t>
      </w:r>
      <w:r w:rsidRPr="00061047">
        <w:rPr>
          <w:i/>
          <w:iCs/>
          <w:noProof/>
        </w:rPr>
        <w:t>Cyprus Regional Aerial Firefighting Station</w:t>
      </w:r>
      <w:r w:rsidRPr="00061047">
        <w:rPr>
          <w:noProof/>
        </w:rPr>
        <w:t xml:space="preserve"> – CRAFS), ar putea consolida în continuare cooperarea Uniunii cu vecinătatea sudică a Europei în domeniul gestionării riscurilor de incendii de vegetație.</w:t>
      </w:r>
    </w:p>
    <w:p w:rsidR="00640920" w:rsidRPr="00061047" w:rsidRDefault="00640920" w:rsidP="00640920">
      <w:pPr>
        <w:pStyle w:val="ManualConsidrant"/>
        <w:rPr>
          <w:noProof/>
        </w:rPr>
      </w:pPr>
      <w:r>
        <w:rPr>
          <w:noProof/>
        </w:rPr>
        <w:t>(19)</w:t>
      </w:r>
      <w:r>
        <w:rPr>
          <w:noProof/>
        </w:rPr>
        <w:tab/>
      </w:r>
      <w:r w:rsidRPr="00061047">
        <w:rPr>
          <w:noProof/>
        </w:rPr>
        <w:t xml:space="preserve">Măsuri precum evaluările </w:t>
      </w:r>
      <w:r w:rsidRPr="00061047">
        <w:rPr>
          <w:i/>
          <w:iCs/>
          <w:noProof/>
        </w:rPr>
        <w:t>inter pares</w:t>
      </w:r>
      <w:r w:rsidRPr="00061047">
        <w:rPr>
          <w:noProof/>
        </w:rPr>
        <w:t>, misiunile de consiliere, schimburile de experți și prepoziționarea mijloacelor de stingere a incendiilor ar putea contribui la sporirea interoperabilității, a nivelului de cunoaștere a situației operative și a gradului de pregătire al personalului care asigură prima intervenție. Acestea ar încuraja, de asemenea, un angajament mai puternic și o mai bună coordonare între statele membre.</w:t>
      </w:r>
    </w:p>
    <w:p w:rsidR="00640920" w:rsidRPr="00061047" w:rsidRDefault="00711EFC" w:rsidP="00640920">
      <w:pPr>
        <w:pStyle w:val="ManualConsidrant"/>
        <w:rPr>
          <w:noProof/>
        </w:rPr>
      </w:pPr>
      <w:r>
        <w:rPr>
          <w:noProof/>
        </w:rPr>
        <w:t>(20)</w:t>
      </w:r>
      <w:r>
        <w:rPr>
          <w:noProof/>
        </w:rPr>
        <w:tab/>
      </w:r>
      <w:r w:rsidRPr="00061047">
        <w:rPr>
          <w:noProof/>
        </w:rPr>
        <w:t>Pentru a fi utilizate în mod eficace, finanțarea din partea Uniunii, sprijinul tehnic, precum și schimbul de informații operative și de date în timp real – în special privind comportamentul incendiilor forestiere – trebuie coordonate mai bine. În plus, procesul decizional poate fi îmbunătățit prin armonizarea strategiilor și a planurilor de acțiune naționale și regionale de gestionare a riscurilor de incendii forestiere. Dacă sunt utilizate în mod eficace și corelate cu nevoile operaționale, datele, instrumentele și serviciile Uniunii, precum cele furnizate prin Sistemul european de informare privind incendiile forestiere (</w:t>
      </w:r>
      <w:r w:rsidRPr="00061047">
        <w:rPr>
          <w:i/>
          <w:iCs/>
          <w:noProof/>
        </w:rPr>
        <w:t>European Forest Fire Information System</w:t>
      </w:r>
      <w:r w:rsidRPr="00061047">
        <w:rPr>
          <w:noProof/>
        </w:rPr>
        <w:t xml:space="preserve"> – EFFIS), operat în </w:t>
      </w:r>
      <w:r w:rsidRPr="00061047">
        <w:rPr>
          <w:noProof/>
        </w:rPr>
        <w:lastRenderedPageBreak/>
        <w:t>cadrul serviciului Copernicus de gestionare a situațiilor de urgență</w:t>
      </w:r>
      <w:r w:rsidRPr="00061047">
        <w:rPr>
          <w:rStyle w:val="FootnoteReference"/>
          <w:noProof/>
        </w:rPr>
        <w:footnoteReference w:id="5"/>
      </w:r>
      <w:r w:rsidRPr="00061047">
        <w:rPr>
          <w:noProof/>
        </w:rPr>
        <w:t>, pot îmbunătăți monitorizarea, cartografierea și evaluarea riscurilor de incendii de vegetație, în timp ce instrumentele avansate de modelare și prognoză, precum Destinația Pământ, pot consolida modelarea riscurilor și capacitatea de anticipare.</w:t>
      </w:r>
    </w:p>
    <w:p w:rsidR="00640920" w:rsidRPr="00061047" w:rsidRDefault="00B304DD" w:rsidP="00640920">
      <w:pPr>
        <w:pStyle w:val="ManualConsidrant"/>
        <w:rPr>
          <w:noProof/>
        </w:rPr>
      </w:pPr>
      <w:r>
        <w:rPr>
          <w:noProof/>
        </w:rPr>
        <w:t>(21)</w:t>
      </w:r>
      <w:r>
        <w:rPr>
          <w:noProof/>
        </w:rPr>
        <w:tab/>
      </w:r>
      <w:r w:rsidRPr="00061047">
        <w:rPr>
          <w:noProof/>
        </w:rPr>
        <w:t xml:space="preserve">Instrumentele Uniunii, inclusiv Mecanismul de redresare și reziliență, oferă sprijin statelor membre pentru elaborarea și punerea în aplicare a reformelor, consolidarea guvernanței și dezvoltarea capacităților în domeniul gestionării riscurilor de incendii de vegetație. </w:t>
      </w:r>
    </w:p>
    <w:p w:rsidR="00B55DCB" w:rsidRPr="00061047" w:rsidRDefault="006C77C2" w:rsidP="004313E8">
      <w:pPr>
        <w:pStyle w:val="ManualConsidrant"/>
        <w:rPr>
          <w:noProof/>
        </w:rPr>
      </w:pPr>
      <w:r>
        <w:rPr>
          <w:noProof/>
        </w:rPr>
        <w:t>(22)</w:t>
      </w:r>
      <w:r>
        <w:rPr>
          <w:noProof/>
        </w:rPr>
        <w:tab/>
      </w:r>
      <w:r w:rsidRPr="00061047">
        <w:rPr>
          <w:noProof/>
        </w:rPr>
        <w:t>Mecanismul de protecție civilă al Uniunii, care include Rezerva europeană de protecție civilă, rescEU și Rețeaua de cunoștințe, poate consolida pregătirea și răspunsul prin facilitarea cooperării, a formării, a schimbului de expertiză, a mobilizării resurselor și a schimbului de bune practici între statele membre.</w:t>
      </w:r>
    </w:p>
    <w:p w:rsidR="66549C36" w:rsidRPr="00061047" w:rsidRDefault="00640920" w:rsidP="00847AE5">
      <w:pPr>
        <w:pStyle w:val="ManualConsidrant"/>
        <w:rPr>
          <w:noProof/>
        </w:rPr>
      </w:pPr>
      <w:r>
        <w:rPr>
          <w:noProof/>
        </w:rPr>
        <w:t>(23)</w:t>
      </w:r>
      <w:r>
        <w:rPr>
          <w:noProof/>
        </w:rPr>
        <w:tab/>
      </w:r>
      <w:r w:rsidRPr="00061047">
        <w:rPr>
          <w:noProof/>
        </w:rPr>
        <w:t>Cercetarea și inovarea sprijinite la nivelul Uniunii, inclusiv prin intermediul programului Orizont Europa, contribuie la dezvoltarea de noi tehnologii, soluții operaționale și tehnici de gestionare a terenurilor. Cu toate acestea, adoptarea și operaționalizarea acestor rezultate în gestionarea riscurilor de incendii de vegetație ar putea fi îmbunătățite.</w:t>
      </w:r>
    </w:p>
    <w:p w:rsidR="00E67051" w:rsidRPr="00061047" w:rsidRDefault="00E67051" w:rsidP="004313E8">
      <w:pPr>
        <w:pStyle w:val="Formuledadoption"/>
        <w:rPr>
          <w:noProof/>
        </w:rPr>
      </w:pPr>
      <w:r w:rsidRPr="00061047">
        <w:rPr>
          <w:noProof/>
        </w:rPr>
        <w:t>RECOMANDĂ:</w:t>
      </w:r>
    </w:p>
    <w:p w:rsidR="00E67051" w:rsidRPr="00061047" w:rsidRDefault="005C3F6E" w:rsidP="004313E8">
      <w:pPr>
        <w:rPr>
          <w:noProof/>
        </w:rPr>
      </w:pPr>
      <w:r w:rsidRPr="00061047">
        <w:rPr>
          <w:noProof/>
        </w:rPr>
        <w:t>Măsuri de prevenire a incendiilor de vegetație prin gestionarea și restaurarea peisajului</w:t>
      </w:r>
    </w:p>
    <w:p w:rsidR="00E85437" w:rsidRPr="00061047" w:rsidRDefault="00E85437" w:rsidP="009E0055">
      <w:pPr>
        <w:pStyle w:val="ManualNumPar1"/>
        <w:rPr>
          <w:noProof/>
        </w:rPr>
      </w:pPr>
      <w:r>
        <w:rPr>
          <w:noProof/>
        </w:rPr>
        <w:t>1.</w:t>
      </w:r>
      <w:r>
        <w:rPr>
          <w:noProof/>
        </w:rPr>
        <w:tab/>
      </w:r>
      <w:r w:rsidRPr="00061047">
        <w:rPr>
          <w:noProof/>
        </w:rPr>
        <w:t>Statele membre ar trebui să instituie mecanisme de stimulare pentru a sprijini gestionarea durabilă a terenurilor și refacerea acestora în regiunile predispuse la incendii, inclusiv prin utilizarea instrumentelor de finanțare ale UE pe care le gestionează.</w:t>
      </w:r>
    </w:p>
    <w:p w:rsidR="00DE535D" w:rsidRPr="00061047" w:rsidRDefault="00DE535D" w:rsidP="008F4DAD">
      <w:pPr>
        <w:pStyle w:val="ManualNumPar1"/>
        <w:rPr>
          <w:noProof/>
        </w:rPr>
      </w:pPr>
      <w:r>
        <w:rPr>
          <w:noProof/>
        </w:rPr>
        <w:t>2.</w:t>
      </w:r>
      <w:r>
        <w:rPr>
          <w:noProof/>
        </w:rPr>
        <w:tab/>
      </w:r>
      <w:r w:rsidRPr="00061047">
        <w:rPr>
          <w:noProof/>
        </w:rPr>
        <w:t>Statele membre ar trebui să promoveze gestionarea durabilă a pădurilor și structuri forestiere diversificate, acolo unde este posibil, inclusiv utilizarea de alternative la plantațiile în monocultură de specii cu grad ridicat de inflamabilitate, în conformitate cu criteriile de gestionare durabilă a pădurilor, astfel cum sunt definite de Forest Europe, și, după caz, cu orientările existente privind gestionarea pădurilor mai apropiată de natură și împădurirea și reîmpădurirea favorabile biodiversității.</w:t>
      </w:r>
    </w:p>
    <w:p w:rsidR="00491B2A" w:rsidRPr="00061047" w:rsidRDefault="00556ACF" w:rsidP="008F4DAD">
      <w:pPr>
        <w:pStyle w:val="ManualNumPar1"/>
        <w:rPr>
          <w:noProof/>
        </w:rPr>
      </w:pPr>
      <w:r>
        <w:rPr>
          <w:noProof/>
        </w:rPr>
        <w:t>3.</w:t>
      </w:r>
      <w:r>
        <w:rPr>
          <w:noProof/>
        </w:rPr>
        <w:tab/>
      </w:r>
      <w:r w:rsidRPr="00061047">
        <w:rPr>
          <w:noProof/>
        </w:rPr>
        <w:t>Statele membre ar trebui să elaboreze orientări și instrumente adaptate contextului local pentru gestionarea încărcăturii de material combustibil și să implice partenerii sociali și autoritățile locale în această activitate. În acest sens, statele membre ar trebui să analizeze utilizarea arderilor controlate ca modalitate de reducere a încărcăturii de material combustibil în gestionarea terenurilor și a pădurilor și să își revizuiască normele de autorizare pentru a asigura niveluri adecvate de siguranță și protecție a mediului.</w:t>
      </w:r>
    </w:p>
    <w:p w:rsidR="00556ACF" w:rsidRPr="00061047" w:rsidRDefault="00254CF4" w:rsidP="008F4DAD">
      <w:pPr>
        <w:pStyle w:val="ManualNumPar1"/>
        <w:rPr>
          <w:noProof/>
        </w:rPr>
      </w:pPr>
      <w:r>
        <w:rPr>
          <w:noProof/>
        </w:rPr>
        <w:t>4.</w:t>
      </w:r>
      <w:r>
        <w:rPr>
          <w:noProof/>
        </w:rPr>
        <w:tab/>
      </w:r>
      <w:r w:rsidRPr="00061047">
        <w:rPr>
          <w:noProof/>
        </w:rPr>
        <w:t>În conformitate cu planurile lor strategice din cadrul politicii agricole comune, statele membre ar trebui să țină seama de provocările specifice legate de incendiile de vegetație atunci când lansează cereri de propuneri privind soluții adaptate pentru gestionarea integrată a riscurilor de incendii forestiere în cadrul parteneriatelor europene pentru inovare (PEI-AGRI).</w:t>
      </w:r>
    </w:p>
    <w:p w:rsidR="003A7D2F" w:rsidRPr="00061047" w:rsidRDefault="003A7D2F" w:rsidP="00DE1242">
      <w:pPr>
        <w:pStyle w:val="ManualNumPar1"/>
        <w:rPr>
          <w:noProof/>
        </w:rPr>
      </w:pPr>
      <w:r>
        <w:rPr>
          <w:noProof/>
        </w:rPr>
        <w:lastRenderedPageBreak/>
        <w:t>5.</w:t>
      </w:r>
      <w:r>
        <w:rPr>
          <w:noProof/>
        </w:rPr>
        <w:tab/>
      </w:r>
      <w:r w:rsidRPr="00061047">
        <w:rPr>
          <w:noProof/>
        </w:rPr>
        <w:t>Statele membre ar trebui să ia în considerare riscul de incendii de vegetație atunci când elaborează planuri și strategii naționale, regionale și locale de conservare a naturii, inclusiv planuri naționale de refacere și planuri de gestionare pentru zonele protejate. În mod similar, planificarea gestionării riscurilor de incendii de vegetație ar trebui să ia în considerare obiectivele de conservare și refacere a biodiversității, inclusiv în perspectiva condițiilor climatice viitoare. Ar trebui să se acorde prioritate măsurilor care contribuie simultan la prevenirea riscurilor de incendii de vegetație și la protecția și refacerea naturii.</w:t>
      </w:r>
    </w:p>
    <w:p w:rsidR="00EC1C24" w:rsidRPr="00061047" w:rsidRDefault="003A7D2F" w:rsidP="00DE1242">
      <w:pPr>
        <w:pStyle w:val="ManualNumPar1"/>
        <w:rPr>
          <w:noProof/>
        </w:rPr>
      </w:pPr>
      <w:r>
        <w:rPr>
          <w:noProof/>
        </w:rPr>
        <w:t>6.</w:t>
      </w:r>
      <w:r>
        <w:rPr>
          <w:noProof/>
        </w:rPr>
        <w:tab/>
      </w:r>
      <w:r w:rsidRPr="00061047">
        <w:rPr>
          <w:noProof/>
        </w:rPr>
        <w:t xml:space="preserve">Statele membre ar trebui să aibă în vedere luarea de măsuri pentru refacerea zonelor umede, a turbăriilor, a râurilor și a zonelor inundabile care să contribuie, de asemenea, la reducerea riscurilor de incendii de vegetație și la integrarea gestionării acestor riscuri în politicile lor de gestionare a apei. </w:t>
      </w:r>
    </w:p>
    <w:p w:rsidR="00A03017" w:rsidRPr="00061047" w:rsidRDefault="00EC1C24" w:rsidP="00D63ABA">
      <w:pPr>
        <w:pStyle w:val="ManualNumPar1"/>
        <w:rPr>
          <w:noProof/>
        </w:rPr>
      </w:pPr>
      <w:r>
        <w:rPr>
          <w:noProof/>
        </w:rPr>
        <w:t>7.</w:t>
      </w:r>
      <w:r>
        <w:rPr>
          <w:noProof/>
        </w:rPr>
        <w:tab/>
      </w:r>
      <w:r w:rsidRPr="00061047">
        <w:rPr>
          <w:noProof/>
        </w:rPr>
        <w:t>Statele membre sunt încurajate să pună în aplicare măsuri inovatoare de prevenire a incendiilor de vegetație bazate pe gestionarea terenurilor, inclusiv soluții bazate pe natură, precum și practici eficace de agricultură durabilă și gestionare durabilă a pădurilor, demonstrate deja cu succes în cadrul diferitelor proiecte finanțate de UE.</w:t>
      </w:r>
    </w:p>
    <w:p w:rsidR="005C3F6E" w:rsidRPr="00061047" w:rsidRDefault="005C3F6E" w:rsidP="004313E8">
      <w:pPr>
        <w:rPr>
          <w:noProof/>
        </w:rPr>
      </w:pPr>
      <w:r w:rsidRPr="00061047">
        <w:rPr>
          <w:noProof/>
        </w:rPr>
        <w:t>Măsuri de consolidare a pregătirii prin îmbunătățirea datelor și a cercetării</w:t>
      </w:r>
    </w:p>
    <w:p w:rsidR="00556ACF" w:rsidRPr="00061047" w:rsidRDefault="00556ACF" w:rsidP="005740BC">
      <w:pPr>
        <w:pStyle w:val="ManualNumPar1"/>
        <w:rPr>
          <w:noProof/>
        </w:rPr>
      </w:pPr>
      <w:r>
        <w:rPr>
          <w:noProof/>
        </w:rPr>
        <w:t>8.</w:t>
      </w:r>
      <w:r>
        <w:rPr>
          <w:noProof/>
        </w:rPr>
        <w:tab/>
      </w:r>
      <w:r w:rsidRPr="00061047">
        <w:rPr>
          <w:noProof/>
        </w:rPr>
        <w:t>Statele membre ar trebui să participe la dezvoltarea și promovarea inițiativei „Destinația Pământ”, prin utilizarea acesteia în cazuri de utilizare pilot pentru modelarea și anticiparea riscurilor de incendii de vegetație.</w:t>
      </w:r>
    </w:p>
    <w:p w:rsidR="00556ACF" w:rsidRPr="00061047" w:rsidRDefault="00556ACF" w:rsidP="005740BC">
      <w:pPr>
        <w:pStyle w:val="ManualNumPar1"/>
        <w:rPr>
          <w:noProof/>
        </w:rPr>
      </w:pPr>
      <w:r>
        <w:rPr>
          <w:noProof/>
        </w:rPr>
        <w:t>9.</w:t>
      </w:r>
      <w:r>
        <w:rPr>
          <w:noProof/>
        </w:rPr>
        <w:tab/>
      </w:r>
      <w:r w:rsidRPr="00061047">
        <w:rPr>
          <w:noProof/>
        </w:rPr>
        <w:t>Statele membre ar trebui să utilizeze în mod sistematic instrumentele și datele de la nivelul Uniunii, inclusiv serviciile Copernicus și EFFIS, pentru a sprijini gestionarea bazată pe dovezi a riscurilor de incendii de vegetație și deciziile de finanțare a proiectelor.</w:t>
      </w:r>
    </w:p>
    <w:p w:rsidR="00556ACF" w:rsidRPr="00061047" w:rsidRDefault="00556ACF" w:rsidP="005740BC">
      <w:pPr>
        <w:pStyle w:val="ManualNumPar1"/>
        <w:rPr>
          <w:noProof/>
        </w:rPr>
      </w:pPr>
      <w:r>
        <w:rPr>
          <w:noProof/>
        </w:rPr>
        <w:t>10.</w:t>
      </w:r>
      <w:r>
        <w:rPr>
          <w:noProof/>
        </w:rPr>
        <w:tab/>
      </w:r>
      <w:r w:rsidRPr="00061047">
        <w:rPr>
          <w:noProof/>
        </w:rPr>
        <w:t>Statele membre ar trebui să își actualizeze evaluările riscurilor de incendii de vegetație și să utilizeze instrumente îmbunătățite de analiză a comportamentului incendiilor pentru a desemna zonele prioritare pentru prevenire și pregătire.</w:t>
      </w:r>
    </w:p>
    <w:p w:rsidR="00556ACF" w:rsidRPr="00061047" w:rsidRDefault="00556ACF" w:rsidP="005740BC">
      <w:pPr>
        <w:pStyle w:val="ManualNumPar1"/>
        <w:rPr>
          <w:noProof/>
        </w:rPr>
      </w:pPr>
      <w:r>
        <w:rPr>
          <w:noProof/>
        </w:rPr>
        <w:t>11.</w:t>
      </w:r>
      <w:r>
        <w:rPr>
          <w:noProof/>
        </w:rPr>
        <w:tab/>
      </w:r>
      <w:r w:rsidRPr="00061047">
        <w:rPr>
          <w:noProof/>
        </w:rPr>
        <w:t>Statele membre ar trebui să dezvolte capacități de analiză a comportamentului incendiilor de vegetație și sisteme de sprijinire a deciziilor în scopul gestionării riscurilor de incendii de vegetație.</w:t>
      </w:r>
    </w:p>
    <w:p w:rsidR="0B8B288F" w:rsidRPr="00061047" w:rsidRDefault="0B8B288F" w:rsidP="005740BC">
      <w:pPr>
        <w:pStyle w:val="ManualNumPar1"/>
        <w:rPr>
          <w:noProof/>
        </w:rPr>
      </w:pPr>
      <w:r>
        <w:rPr>
          <w:noProof/>
        </w:rPr>
        <w:t>12.</w:t>
      </w:r>
      <w:r>
        <w:rPr>
          <w:noProof/>
        </w:rPr>
        <w:tab/>
      </w:r>
      <w:r w:rsidRPr="00061047">
        <w:rPr>
          <w:noProof/>
        </w:rPr>
        <w:t>Statele membre ar trebui să aprofundeze investigarea cauzelor incendiilor de vegetație, pentru a înțelege mai bine factorii declanșatori și rolul factorului uman.</w:t>
      </w:r>
    </w:p>
    <w:p w:rsidR="59BC9BB0" w:rsidRPr="00061047" w:rsidRDefault="00A712B1">
      <w:pPr>
        <w:pStyle w:val="ManualNumPar1"/>
        <w:rPr>
          <w:noProof/>
        </w:rPr>
      </w:pPr>
      <w:r>
        <w:rPr>
          <w:noProof/>
        </w:rPr>
        <w:t>13.</w:t>
      </w:r>
      <w:r>
        <w:rPr>
          <w:noProof/>
        </w:rPr>
        <w:tab/>
      </w:r>
      <w:r w:rsidRPr="00061047">
        <w:rPr>
          <w:noProof/>
        </w:rPr>
        <w:t>Statele membre sunt încurajate să continue cercetarea în domeniul practicilor de gestionare a terenurilor pentru prevenirea incendiilor, în special în ceea ce privește gestionarea pădurilor, conservarea și refacerea ecosistemelor, pășunatul și agrosilvicultura.</w:t>
      </w:r>
    </w:p>
    <w:p w:rsidR="00002D6C" w:rsidRPr="00061047" w:rsidRDefault="00002D6C" w:rsidP="00DE1242">
      <w:pPr>
        <w:pStyle w:val="ManualNumPar1"/>
        <w:rPr>
          <w:noProof/>
        </w:rPr>
      </w:pPr>
      <w:r>
        <w:rPr>
          <w:noProof/>
        </w:rPr>
        <w:t>14.</w:t>
      </w:r>
      <w:r>
        <w:rPr>
          <w:noProof/>
        </w:rPr>
        <w:tab/>
      </w:r>
      <w:r w:rsidRPr="00061047">
        <w:rPr>
          <w:noProof/>
        </w:rPr>
        <w:t>Statele membre ar trebui să utilizeze soluțiile și instrumentele puse la dispoziție prin intermediul misiunii UE „Adaptarea la schimbările climatice” pentru a consolida sistemele de avertizare timpurie, gestionarea pădurilor și pregătirea comunităților în fața incendiilor de vegetație .</w:t>
      </w:r>
    </w:p>
    <w:p w:rsidR="005C3F6E" w:rsidRPr="00061047" w:rsidRDefault="0041142A" w:rsidP="004313E8">
      <w:pPr>
        <w:rPr>
          <w:noProof/>
        </w:rPr>
      </w:pPr>
      <w:r w:rsidRPr="00061047">
        <w:rPr>
          <w:noProof/>
        </w:rPr>
        <w:t>Măsuri de sensibilizare și pregătire a populației</w:t>
      </w:r>
    </w:p>
    <w:p w:rsidR="00B35B58" w:rsidRPr="00061047" w:rsidRDefault="00B35B58" w:rsidP="005740BC">
      <w:pPr>
        <w:pStyle w:val="ManualNumPar1"/>
        <w:rPr>
          <w:noProof/>
        </w:rPr>
      </w:pPr>
      <w:r>
        <w:rPr>
          <w:noProof/>
        </w:rPr>
        <w:t>15.</w:t>
      </w:r>
      <w:r>
        <w:rPr>
          <w:noProof/>
        </w:rPr>
        <w:tab/>
      </w:r>
      <w:r w:rsidRPr="00061047">
        <w:rPr>
          <w:noProof/>
        </w:rPr>
        <w:t>Statele membre ar trebui să sensibilizeze fermierii și silvicultorii cu privire la riscurile de declanșare a incendiilor și să îi implice în dezvoltarea și utilizarea instrumentelor de detectare timpurie a incendiilor.</w:t>
      </w:r>
    </w:p>
    <w:p w:rsidR="00387278" w:rsidRPr="00061047" w:rsidRDefault="00176B9A" w:rsidP="005740BC">
      <w:pPr>
        <w:pStyle w:val="ManualNumPar1"/>
        <w:rPr>
          <w:noProof/>
        </w:rPr>
      </w:pPr>
      <w:r>
        <w:rPr>
          <w:noProof/>
        </w:rPr>
        <w:lastRenderedPageBreak/>
        <w:t>16.</w:t>
      </w:r>
      <w:r>
        <w:rPr>
          <w:noProof/>
        </w:rPr>
        <w:tab/>
      </w:r>
      <w:r w:rsidRPr="00061047">
        <w:rPr>
          <w:noProof/>
        </w:rPr>
        <w:t>Statele membre ar trebui să încurajeze în mod activ schimburile de tineri pompieri, pentru a promova o cultură comună europeană a pregătirii pentru intervenție.</w:t>
      </w:r>
    </w:p>
    <w:p w:rsidR="00556ACF" w:rsidRPr="00061047" w:rsidRDefault="00556ACF" w:rsidP="005740BC">
      <w:pPr>
        <w:pStyle w:val="ManualNumPar1"/>
        <w:rPr>
          <w:noProof/>
        </w:rPr>
      </w:pPr>
      <w:r>
        <w:rPr>
          <w:noProof/>
        </w:rPr>
        <w:t>17.</w:t>
      </w:r>
      <w:r>
        <w:rPr>
          <w:noProof/>
        </w:rPr>
        <w:tab/>
      </w:r>
      <w:r w:rsidRPr="00061047">
        <w:rPr>
          <w:noProof/>
        </w:rPr>
        <w:t>Statele membre ar trebui să exploreze instrumente inovatoare pentru creșterea gradului de conștientizare în rândul copiilor și tinerilor, precum jocuri educaționale sau campanii pe platformele de comunicare socială. De asemenea, acestea ar trebui să integreze materiale relevante, inclusiv materiale elaborate în cooperare cu Comisia Europeană, în programele lor școlare.</w:t>
      </w:r>
    </w:p>
    <w:p w:rsidR="00556ACF" w:rsidRPr="00061047" w:rsidRDefault="00556ACF" w:rsidP="005740BC">
      <w:pPr>
        <w:pStyle w:val="ManualNumPar1"/>
        <w:rPr>
          <w:noProof/>
        </w:rPr>
      </w:pPr>
      <w:r>
        <w:rPr>
          <w:noProof/>
        </w:rPr>
        <w:t>18.</w:t>
      </w:r>
      <w:r>
        <w:rPr>
          <w:noProof/>
        </w:rPr>
        <w:tab/>
      </w:r>
      <w:r w:rsidRPr="00061047">
        <w:rPr>
          <w:noProof/>
        </w:rPr>
        <w:t>Statele membre ar trebui să încurajeze operatorii din turism, fermierii, silvicultorii, autoritățile locale și experții în protecția împotriva incendiilor să coopereze pentru a sensibiliza turiștii cu privire la riscuri.</w:t>
      </w:r>
    </w:p>
    <w:p w:rsidR="00556ACF" w:rsidRPr="00061047" w:rsidRDefault="00556ACF" w:rsidP="005740BC">
      <w:pPr>
        <w:pStyle w:val="ManualNumPar1"/>
        <w:rPr>
          <w:noProof/>
        </w:rPr>
      </w:pPr>
      <w:r>
        <w:rPr>
          <w:noProof/>
        </w:rPr>
        <w:t>19.</w:t>
      </w:r>
      <w:r>
        <w:rPr>
          <w:noProof/>
        </w:rPr>
        <w:tab/>
      </w:r>
      <w:r w:rsidRPr="00061047">
        <w:rPr>
          <w:noProof/>
        </w:rPr>
        <w:t>Statele membre ar trebui să sprijine continuitatea activității prin promovarea formării pentru întreprinderile mici și mijlocii și prin acordarea de asistență financiară țintită în urma unui dezastru. De asemenea, acestea ar trebui să încurajeze companiile de asigurări să faciliteze plata rapidă a despăgubirilor.</w:t>
      </w:r>
    </w:p>
    <w:p w:rsidR="00556ACF" w:rsidRPr="00061047" w:rsidRDefault="00556ACF" w:rsidP="005740BC">
      <w:pPr>
        <w:pStyle w:val="ManualNumPar1"/>
        <w:rPr>
          <w:noProof/>
        </w:rPr>
      </w:pPr>
      <w:r>
        <w:rPr>
          <w:noProof/>
        </w:rPr>
        <w:t>20.</w:t>
      </w:r>
      <w:r>
        <w:rPr>
          <w:noProof/>
        </w:rPr>
        <w:tab/>
      </w:r>
      <w:r w:rsidRPr="00061047">
        <w:rPr>
          <w:noProof/>
        </w:rPr>
        <w:t>Statele membre ar trebui să se asigure că persoanele în vârstă, persoanele cu dizabilități și persoanele care se confruntă cu discriminarea, sărăcia sau excluziunea socială au acces ușor la informațiile relevante.</w:t>
      </w:r>
    </w:p>
    <w:p w:rsidR="00556ACF" w:rsidRPr="00061047" w:rsidRDefault="00556ACF" w:rsidP="005740BC">
      <w:pPr>
        <w:pStyle w:val="ManualNumPar1"/>
        <w:rPr>
          <w:noProof/>
        </w:rPr>
      </w:pPr>
      <w:r>
        <w:rPr>
          <w:noProof/>
        </w:rPr>
        <w:t>21.</w:t>
      </w:r>
      <w:r>
        <w:rPr>
          <w:noProof/>
        </w:rPr>
        <w:tab/>
      </w:r>
      <w:r w:rsidRPr="00061047">
        <w:rPr>
          <w:noProof/>
        </w:rPr>
        <w:t>Statele membre ar trebui să integreze considerentele legate de gestionarea riscurilor de incendii forestiere în standardele de construcție și în deciziile de amenajare a teritoriului pentru a aborda, de exemplu, gestionarea riscurilor de incendii de vegetație la interfața dintre zonele naturale și zonele urbane.</w:t>
      </w:r>
    </w:p>
    <w:p w:rsidR="61E91290" w:rsidRPr="00061047" w:rsidRDefault="61E91290" w:rsidP="005740BC">
      <w:pPr>
        <w:pStyle w:val="ManualNumPar1"/>
        <w:rPr>
          <w:noProof/>
        </w:rPr>
      </w:pPr>
      <w:r>
        <w:rPr>
          <w:noProof/>
        </w:rPr>
        <w:t>22.</w:t>
      </w:r>
      <w:r>
        <w:rPr>
          <w:noProof/>
        </w:rPr>
        <w:tab/>
      </w:r>
      <w:r w:rsidRPr="00061047">
        <w:rPr>
          <w:noProof/>
        </w:rPr>
        <w:t>Statele membre ar trebui să adopte măsuri de sprijin pentru comunitățile locale din zonele aflate la interfața dintre zonele naturale și zonele urbane, pentru a consolida gradul de pregătire în fața riscurilor de incendii de vegetație.</w:t>
      </w:r>
    </w:p>
    <w:p w:rsidR="005C3F6E" w:rsidRPr="00061047" w:rsidRDefault="005C3F6E" w:rsidP="004313E8">
      <w:pPr>
        <w:rPr>
          <w:noProof/>
        </w:rPr>
      </w:pPr>
      <w:r w:rsidRPr="00061047">
        <w:rPr>
          <w:noProof/>
        </w:rPr>
        <w:t>Măsuri de sprijinire a unui răspuns coordonat</w:t>
      </w:r>
    </w:p>
    <w:p w:rsidR="00556ACF" w:rsidRPr="00061047" w:rsidRDefault="00556ACF" w:rsidP="005740BC">
      <w:pPr>
        <w:pStyle w:val="ManualNumPar1"/>
        <w:rPr>
          <w:noProof/>
        </w:rPr>
      </w:pPr>
      <w:r>
        <w:rPr>
          <w:noProof/>
        </w:rPr>
        <w:t>23.</w:t>
      </w:r>
      <w:r>
        <w:rPr>
          <w:noProof/>
        </w:rPr>
        <w:tab/>
      </w:r>
      <w:r w:rsidRPr="00061047">
        <w:rPr>
          <w:noProof/>
        </w:rPr>
        <w:t>Statele membre ar trebui să facă schimb activ de bune practici și lecții învățate în materie de prevenire și de intervenție, acoperind întregul ciclu de gestionare a riscurilor de dezastre, inclusiv prin reuniunile dedicate lecțiilor învățate din cadrul UCPM.</w:t>
      </w:r>
    </w:p>
    <w:p w:rsidR="4E56E65F" w:rsidRPr="00061047" w:rsidRDefault="4E56E65F" w:rsidP="005740BC">
      <w:pPr>
        <w:pStyle w:val="ManualNumPar1"/>
        <w:rPr>
          <w:noProof/>
        </w:rPr>
      </w:pPr>
      <w:r>
        <w:rPr>
          <w:noProof/>
        </w:rPr>
        <w:t>24.</w:t>
      </w:r>
      <w:r>
        <w:rPr>
          <w:noProof/>
        </w:rPr>
        <w:tab/>
      </w:r>
      <w:r w:rsidRPr="00061047">
        <w:rPr>
          <w:noProof/>
        </w:rPr>
        <w:t>Statele membre ar trebui să colecteze și să facă schimb de date în timp real privind comportamentul incendiilor de vegetație, pentru a îmbunătăți analiza acestora. Indicatorii relevanți privind incendiile ar trebui, de asemenea, utilizați în procedurile operaționale interne de solicitare a asistenței și pentru sprijinirea procesului decizional la nivelul Uniunii, astfel încât resursele mobilizate să fie utilizate în mod eficient.</w:t>
      </w:r>
    </w:p>
    <w:p w:rsidR="00556ACF" w:rsidRPr="00061047" w:rsidRDefault="00556ACF" w:rsidP="005740BC">
      <w:pPr>
        <w:pStyle w:val="ManualNumPar1"/>
        <w:rPr>
          <w:noProof/>
        </w:rPr>
      </w:pPr>
      <w:r>
        <w:rPr>
          <w:noProof/>
        </w:rPr>
        <w:t>25.</w:t>
      </w:r>
      <w:r>
        <w:rPr>
          <w:noProof/>
        </w:rPr>
        <w:tab/>
      </w:r>
      <w:r w:rsidRPr="00061047">
        <w:rPr>
          <w:noProof/>
        </w:rPr>
        <w:t>Statele membre ar trebui să utilizeze prepoziționarea sau schimbul de experți și să pună la dispoziția UCPM personal și experți pentru a facilita schimbul de bune practici. Acestea ar trebui, de asemenea, să își consolideze capacitățile de sprijin în țara-gazdă în vederea integrării asistenței internaționale UCPM în sistemele lor naționale de răspuns.</w:t>
      </w:r>
    </w:p>
    <w:p w:rsidR="00556ACF" w:rsidRPr="00061047" w:rsidRDefault="00556ACF" w:rsidP="005740BC">
      <w:pPr>
        <w:pStyle w:val="ManualNumPar1"/>
        <w:rPr>
          <w:noProof/>
        </w:rPr>
      </w:pPr>
      <w:r>
        <w:rPr>
          <w:noProof/>
        </w:rPr>
        <w:t>26.</w:t>
      </w:r>
      <w:r>
        <w:rPr>
          <w:noProof/>
        </w:rPr>
        <w:tab/>
      </w:r>
      <w:r w:rsidRPr="00061047">
        <w:rPr>
          <w:noProof/>
        </w:rPr>
        <w:t>Statele membre ar trebui să colecteze date relevante privind personalul de stingere a incendiilor și să evalueze nevoile legate de forța de muncă, ținând seama în mod corespunzător de caracterul sezonier al activităților de stingere a incendiilor, în vederea asigurării disponibilității unei forțe de muncă de dimensiuni adecvate și bine pregătite.</w:t>
      </w:r>
    </w:p>
    <w:p w:rsidR="00556ACF" w:rsidRPr="00061047" w:rsidRDefault="0034317D" w:rsidP="005740BC">
      <w:pPr>
        <w:pStyle w:val="ManualNumPar1"/>
        <w:rPr>
          <w:noProof/>
        </w:rPr>
      </w:pPr>
      <w:r>
        <w:rPr>
          <w:noProof/>
        </w:rPr>
        <w:lastRenderedPageBreak/>
        <w:t>27.</w:t>
      </w:r>
      <w:r>
        <w:rPr>
          <w:noProof/>
        </w:rPr>
        <w:tab/>
      </w:r>
      <w:r w:rsidRPr="00061047">
        <w:rPr>
          <w:noProof/>
        </w:rPr>
        <w:t>Implicând partenerii sociali, după caz, statele membre ar trebui să ofere condiții de muncă sigure și durabile pentru pompieri, inclusiv formare adecvată, echipamente de protecție și sprijin în materie de sănătate.</w:t>
      </w:r>
    </w:p>
    <w:p w:rsidR="00556ACF" w:rsidRPr="00061047" w:rsidRDefault="00556ACF" w:rsidP="005740BC">
      <w:pPr>
        <w:pStyle w:val="ManualNumPar1"/>
        <w:rPr>
          <w:noProof/>
        </w:rPr>
      </w:pPr>
      <w:r>
        <w:rPr>
          <w:noProof/>
        </w:rPr>
        <w:t>28.</w:t>
      </w:r>
      <w:r>
        <w:rPr>
          <w:noProof/>
        </w:rPr>
        <w:tab/>
      </w:r>
      <w:r w:rsidRPr="00061047">
        <w:rPr>
          <w:noProof/>
        </w:rPr>
        <w:t>Statele membre ar trebui să consolideze coordonarea între nivelurile de guvernanță pentru a asigura conștientizarea optimă a situației în situații de urgență.</w:t>
      </w:r>
    </w:p>
    <w:p w:rsidR="00556ACF" w:rsidRPr="00061047" w:rsidRDefault="00556ACF" w:rsidP="005740BC">
      <w:pPr>
        <w:pStyle w:val="ManualNumPar1"/>
        <w:rPr>
          <w:noProof/>
        </w:rPr>
      </w:pPr>
      <w:r>
        <w:rPr>
          <w:noProof/>
        </w:rPr>
        <w:t>29.</w:t>
      </w:r>
      <w:r>
        <w:rPr>
          <w:noProof/>
        </w:rPr>
        <w:tab/>
      </w:r>
      <w:r w:rsidRPr="00061047">
        <w:rPr>
          <w:noProof/>
        </w:rPr>
        <w:t>Statele membre ar trebui să asigure disponibilitatea unui număr suficient de mijloace aeriene, inclusiv prin utilizarea fondurilor Uniunii.</w:t>
      </w:r>
    </w:p>
    <w:p w:rsidR="00556ACF" w:rsidRPr="00061047" w:rsidRDefault="00556ACF" w:rsidP="005740BC">
      <w:pPr>
        <w:pStyle w:val="ManualNumPar1"/>
        <w:rPr>
          <w:noProof/>
        </w:rPr>
      </w:pPr>
      <w:r>
        <w:rPr>
          <w:noProof/>
        </w:rPr>
        <w:t>30.</w:t>
      </w:r>
      <w:r>
        <w:rPr>
          <w:noProof/>
        </w:rPr>
        <w:tab/>
      </w:r>
      <w:r w:rsidRPr="00061047">
        <w:rPr>
          <w:noProof/>
        </w:rPr>
        <w:t>Statele membre ar trebui să angajeze în continuare resurse de combatere a incendiilor forestiere în Rezerva europeană de protecție civilă. Acest lucru este valabil în special, dar nu exclusiv, pentru activele achiziționate cu sprijinul finanțării din partea Uniunii.</w:t>
      </w:r>
    </w:p>
    <w:p w:rsidR="42C65972" w:rsidRPr="00061047" w:rsidRDefault="42C65972" w:rsidP="005740BC">
      <w:pPr>
        <w:pStyle w:val="ManualNumPar1"/>
        <w:rPr>
          <w:noProof/>
        </w:rPr>
      </w:pPr>
      <w:r>
        <w:rPr>
          <w:noProof/>
        </w:rPr>
        <w:t>31.</w:t>
      </w:r>
      <w:r>
        <w:rPr>
          <w:noProof/>
        </w:rPr>
        <w:tab/>
      </w:r>
      <w:r w:rsidRPr="00061047">
        <w:rPr>
          <w:noProof/>
        </w:rPr>
        <w:t>Statele membre ar trebui să încerce să îmbunătățească interoperabilitatea echipamentelor de stingere a incendiilor.</w:t>
      </w:r>
    </w:p>
    <w:p w:rsidR="005C3F6E" w:rsidRPr="00061047" w:rsidRDefault="00F1154F" w:rsidP="004313E8">
      <w:pPr>
        <w:rPr>
          <w:noProof/>
        </w:rPr>
      </w:pPr>
      <w:r w:rsidRPr="00061047">
        <w:rPr>
          <w:noProof/>
        </w:rPr>
        <w:t>Măsuri de redresare după incendii</w:t>
      </w:r>
    </w:p>
    <w:p w:rsidR="00556ACF" w:rsidRPr="00061047" w:rsidRDefault="00556ACF" w:rsidP="005740BC">
      <w:pPr>
        <w:pStyle w:val="ManualNumPar1"/>
        <w:rPr>
          <w:noProof/>
        </w:rPr>
      </w:pPr>
      <w:r>
        <w:rPr>
          <w:noProof/>
        </w:rPr>
        <w:t>32.</w:t>
      </w:r>
      <w:r>
        <w:rPr>
          <w:noProof/>
        </w:rPr>
        <w:tab/>
      </w:r>
      <w:r w:rsidRPr="00061047">
        <w:rPr>
          <w:noProof/>
        </w:rPr>
        <w:t>Statele membre ar trebui să colecteze date suplimentare, intersectoriale și socio-demografice, pentru a cuantifica și evalua impacturile fizice și financiare ale incendiilor de vegetație.</w:t>
      </w:r>
    </w:p>
    <w:p w:rsidR="00AB18F2" w:rsidRPr="00061047" w:rsidRDefault="6B1EF543" w:rsidP="005740BC">
      <w:pPr>
        <w:pStyle w:val="ManualNumPar1"/>
        <w:rPr>
          <w:noProof/>
        </w:rPr>
      </w:pPr>
      <w:r>
        <w:rPr>
          <w:noProof/>
        </w:rPr>
        <w:t>33.</w:t>
      </w:r>
      <w:r>
        <w:rPr>
          <w:noProof/>
        </w:rPr>
        <w:tab/>
      </w:r>
      <w:r w:rsidRPr="00061047">
        <w:rPr>
          <w:noProof/>
        </w:rPr>
        <w:t>Statele membre ar trebui să identifice măsuri de redresare după incendii în vederea orientării comunităților locale către o redresare durabilă și favorabilă incluziunii.</w:t>
      </w:r>
    </w:p>
    <w:p w:rsidR="005C3F6E" w:rsidRPr="00061047" w:rsidRDefault="005C3F6E" w:rsidP="004313E8">
      <w:pPr>
        <w:rPr>
          <w:noProof/>
        </w:rPr>
      </w:pPr>
      <w:r w:rsidRPr="00061047">
        <w:rPr>
          <w:noProof/>
        </w:rPr>
        <w:t>Măsuri de consolidare a guvernanței și a finanțării</w:t>
      </w:r>
    </w:p>
    <w:p w:rsidR="00E0001D" w:rsidRPr="00061047" w:rsidRDefault="00556ACF" w:rsidP="00E0001D">
      <w:pPr>
        <w:pStyle w:val="ManualNumPar1"/>
        <w:rPr>
          <w:noProof/>
        </w:rPr>
      </w:pPr>
      <w:r>
        <w:rPr>
          <w:noProof/>
        </w:rPr>
        <w:t>34.</w:t>
      </w:r>
      <w:r>
        <w:rPr>
          <w:noProof/>
        </w:rPr>
        <w:tab/>
      </w:r>
      <w:r w:rsidRPr="00061047">
        <w:rPr>
          <w:noProof/>
        </w:rPr>
        <w:t>Statele membre ar trebui să planifice și să asigure finanțare pe termen lung pentru toate etapele ciclului de gestionare a riscurilor de incendii de vegetație și să utilizeze pe deplin oportunitățile de finanțare disponibile atât la nivel național, cât și la nivelul Uniunii.</w:t>
      </w:r>
    </w:p>
    <w:p w:rsidR="0069204D" w:rsidRPr="00061047" w:rsidRDefault="0069204D" w:rsidP="00E0001D">
      <w:pPr>
        <w:pStyle w:val="ManualNumPar1"/>
        <w:rPr>
          <w:noProof/>
        </w:rPr>
      </w:pPr>
      <w:r>
        <w:rPr>
          <w:noProof/>
        </w:rPr>
        <w:t>35.</w:t>
      </w:r>
      <w:r>
        <w:rPr>
          <w:noProof/>
        </w:rPr>
        <w:tab/>
      </w:r>
      <w:r w:rsidRPr="00061047">
        <w:rPr>
          <w:noProof/>
        </w:rPr>
        <w:t>Statele membre ar trebui să stimuleze utilizarea asigurărilor private care acoperă riscurile de incendii de vegetație și alte riscuri climatice, pentru a reduce pierderile economice și presiunea fiscală generată de dezastre și pentru a sprijini redresarea, de exemplu prin promovarea recunoașterii de către asigurători a măsurilor de adaptare la stabilirea primelor, prin parteneriate public-privat sau prin mecanisme de partajare a riscurilor între actorii economici, cum ar fi transferul riscurilor către piețele de capital.</w:t>
      </w:r>
    </w:p>
    <w:p w:rsidR="00556ACF" w:rsidRPr="00061047" w:rsidRDefault="00556ACF" w:rsidP="005740BC">
      <w:pPr>
        <w:pStyle w:val="ManualNumPar1"/>
        <w:rPr>
          <w:noProof/>
        </w:rPr>
      </w:pPr>
      <w:r>
        <w:rPr>
          <w:noProof/>
        </w:rPr>
        <w:t>36.</w:t>
      </w:r>
      <w:r>
        <w:rPr>
          <w:noProof/>
        </w:rPr>
        <w:tab/>
      </w:r>
      <w:r w:rsidRPr="00061047">
        <w:rPr>
          <w:noProof/>
        </w:rPr>
        <w:t>Statele membre ar trebui să elaboreze strategii și planuri de acțiune integrate privind gestionarea riscurilor de incendii de vegetație, la nivel național sau local.</w:t>
      </w:r>
    </w:p>
    <w:p w:rsidR="00556ACF" w:rsidRPr="00061047" w:rsidRDefault="00556ACF" w:rsidP="005740BC">
      <w:pPr>
        <w:pStyle w:val="ManualNumPar1"/>
        <w:rPr>
          <w:noProof/>
        </w:rPr>
      </w:pPr>
      <w:r>
        <w:rPr>
          <w:noProof/>
        </w:rPr>
        <w:t>37.</w:t>
      </w:r>
      <w:r>
        <w:rPr>
          <w:noProof/>
        </w:rPr>
        <w:tab/>
      </w:r>
      <w:r w:rsidRPr="00061047">
        <w:rPr>
          <w:noProof/>
        </w:rPr>
        <w:t>Statele membre ar trebui să adopte noile tehnologii și inovații și să le pună în aplicare prin granturi de consolidare a capacităților în cadrul programelor relevante ale UE.</w:t>
      </w:r>
    </w:p>
    <w:p w:rsidR="00556ACF" w:rsidRPr="00061047" w:rsidRDefault="00556ACF" w:rsidP="005740BC">
      <w:pPr>
        <w:pStyle w:val="ManualNumPar1"/>
        <w:rPr>
          <w:noProof/>
        </w:rPr>
      </w:pPr>
      <w:r>
        <w:rPr>
          <w:noProof/>
        </w:rPr>
        <w:t>38.</w:t>
      </w:r>
      <w:r>
        <w:rPr>
          <w:noProof/>
        </w:rPr>
        <w:tab/>
      </w:r>
      <w:r w:rsidRPr="00061047">
        <w:rPr>
          <w:noProof/>
        </w:rPr>
        <w:t>Statele membre ar trebui să utilizeze pe deplin sprijinul acordat prin intermediul inițiativelor Uniunii pentru a consolida sistemele de alertă timpurie, evaluările riscurilor, pregătirea comunităților și orice alt domeniu prioritar identificat.</w:t>
      </w:r>
    </w:p>
    <w:p w:rsidR="10817411" w:rsidRPr="00061047" w:rsidRDefault="10817411" w:rsidP="00A97384">
      <w:pPr>
        <w:rPr>
          <w:noProof/>
        </w:rPr>
      </w:pPr>
      <w:r w:rsidRPr="00061047">
        <w:rPr>
          <w:noProof/>
        </w:rPr>
        <w:t>Măsuri de consolidare a angajamentului internațional</w:t>
      </w:r>
    </w:p>
    <w:p w:rsidR="10817411" w:rsidRPr="00061047" w:rsidRDefault="10817411" w:rsidP="005740BC">
      <w:pPr>
        <w:pStyle w:val="ManualNumPar1"/>
        <w:rPr>
          <w:noProof/>
        </w:rPr>
      </w:pPr>
      <w:r>
        <w:rPr>
          <w:noProof/>
        </w:rPr>
        <w:t>39.</w:t>
      </w:r>
      <w:r>
        <w:rPr>
          <w:noProof/>
        </w:rPr>
        <w:tab/>
      </w:r>
      <w:r w:rsidRPr="00061047">
        <w:rPr>
          <w:noProof/>
        </w:rPr>
        <w:t>Statele membre ar trebui să încerce să consolideze în continuare cooperarea în materie de gestionare a riscurilor de incendii de vegetație cu partenerii internaționali, în special cu țările învecinate cu Uniunea.</w:t>
      </w:r>
    </w:p>
    <w:p w:rsidR="10817411" w:rsidRPr="00061047" w:rsidRDefault="10817411" w:rsidP="005740BC">
      <w:pPr>
        <w:pStyle w:val="ManualNumPar1"/>
        <w:rPr>
          <w:noProof/>
        </w:rPr>
      </w:pPr>
      <w:r>
        <w:rPr>
          <w:noProof/>
        </w:rPr>
        <w:t>40.</w:t>
      </w:r>
      <w:r>
        <w:rPr>
          <w:noProof/>
        </w:rPr>
        <w:tab/>
      </w:r>
      <w:r w:rsidRPr="00061047">
        <w:rPr>
          <w:noProof/>
        </w:rPr>
        <w:t>Statele membre ar trebui să analizeze modul în care ar putea contribui la obiectivele Bazei regionale cipriote de intervenție aeriană pentru stingerea incendiilor (</w:t>
      </w:r>
      <w:r w:rsidRPr="00061047">
        <w:rPr>
          <w:i/>
          <w:iCs/>
          <w:noProof/>
        </w:rPr>
        <w:t xml:space="preserve">Cyprus </w:t>
      </w:r>
      <w:r w:rsidRPr="00061047">
        <w:rPr>
          <w:i/>
          <w:iCs/>
          <w:noProof/>
        </w:rPr>
        <w:lastRenderedPageBreak/>
        <w:t>Regional Aerial Firefighting Station</w:t>
      </w:r>
      <w:r w:rsidRPr="00061047">
        <w:rPr>
          <w:noProof/>
        </w:rPr>
        <w:t xml:space="preserve"> – CRAFS) și ar putea crea sinergii pentru a sprijini aceste obiective.</w:t>
      </w:r>
    </w:p>
    <w:p w:rsidR="00223269" w:rsidRPr="00061047" w:rsidRDefault="00F40950" w:rsidP="00F40950">
      <w:pPr>
        <w:pStyle w:val="ManualNumPar1"/>
        <w:rPr>
          <w:noProof/>
        </w:rPr>
      </w:pPr>
      <w:r>
        <w:rPr>
          <w:noProof/>
        </w:rPr>
        <w:t>41.</w:t>
      </w:r>
      <w:r>
        <w:rPr>
          <w:noProof/>
        </w:rPr>
        <w:tab/>
      </w:r>
      <w:r w:rsidRPr="00061047">
        <w:rPr>
          <w:noProof/>
        </w:rPr>
        <w:t>Statele membre ar trebui să colaboreze îndeaproape cu Forest Europe și cu nou-înființatul său Mecanism privind riscurile forestiere (FoRISK) pentru a promova consolidarea capacităților și schimbul de cunoștințe în materie de prevenire a incendiilor.</w:t>
      </w:r>
    </w:p>
    <w:p w:rsidR="5E6F2AAE" w:rsidRPr="00061047" w:rsidRDefault="5E6F2AAE" w:rsidP="79E95CA2">
      <w:pPr>
        <w:ind w:left="720" w:hanging="360"/>
        <w:rPr>
          <w:noProof/>
        </w:rPr>
      </w:pPr>
    </w:p>
    <w:p w:rsidR="00E67051" w:rsidRPr="00061047" w:rsidRDefault="00061047" w:rsidP="008C1420">
      <w:pPr>
        <w:pStyle w:val="Fait"/>
        <w:rPr>
          <w:noProof/>
        </w:rPr>
      </w:pPr>
      <w:r>
        <w:rPr>
          <w:noProof/>
        </w:rPr>
        <w:t>Adoptată la Bruxelles,</w:t>
      </w:r>
    </w:p>
    <w:p w:rsidR="00E67051" w:rsidRPr="00061047" w:rsidRDefault="00E67051" w:rsidP="008C1420">
      <w:pPr>
        <w:pStyle w:val="Institutionquisigne"/>
        <w:rPr>
          <w:noProof/>
        </w:rPr>
      </w:pPr>
      <w:r w:rsidRPr="00061047">
        <w:rPr>
          <w:noProof/>
        </w:rPr>
        <w:tab/>
        <w:t>Pentru Consiliu</w:t>
      </w:r>
    </w:p>
    <w:p w:rsidR="00E67051" w:rsidRPr="00061047" w:rsidRDefault="00E67051" w:rsidP="00E67051">
      <w:pPr>
        <w:pStyle w:val="Personnequisigne"/>
        <w:rPr>
          <w:noProof/>
        </w:rPr>
      </w:pPr>
      <w:r w:rsidRPr="00061047">
        <w:rPr>
          <w:noProof/>
        </w:rPr>
        <w:tab/>
        <w:t>Președintele</w:t>
      </w:r>
    </w:p>
    <w:sectPr w:rsidR="00E67051" w:rsidRPr="00061047" w:rsidSect="0066163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F14" w:rsidRPr="00481EB3" w:rsidRDefault="00401F14" w:rsidP="00E67051">
      <w:pPr>
        <w:spacing w:before="0" w:after="0"/>
      </w:pPr>
      <w:r>
        <w:separator/>
      </w:r>
    </w:p>
  </w:endnote>
  <w:endnote w:type="continuationSeparator" w:id="0">
    <w:p w:rsidR="00401F14" w:rsidRPr="00481EB3" w:rsidRDefault="00401F14" w:rsidP="00E670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3A" w:rsidRPr="0066163A" w:rsidRDefault="0066163A" w:rsidP="0066163A">
    <w:pPr>
      <w:pStyle w:val="Footer"/>
      <w:rPr>
        <w:rFonts w:ascii="Arial" w:hAnsi="Arial" w:cs="Arial"/>
        <w:b/>
        <w:sz w:val="48"/>
      </w:rPr>
    </w:pPr>
    <w:r w:rsidRPr="0066163A">
      <w:rPr>
        <w:rFonts w:ascii="Arial" w:hAnsi="Arial" w:cs="Arial"/>
        <w:b/>
        <w:sz w:val="48"/>
      </w:rPr>
      <w:t>RO</w:t>
    </w:r>
    <w:r w:rsidRPr="0066163A">
      <w:rPr>
        <w:rFonts w:ascii="Arial" w:hAnsi="Arial" w:cs="Arial"/>
        <w:b/>
        <w:sz w:val="48"/>
      </w:rPr>
      <w:tab/>
    </w:r>
    <w:r w:rsidRPr="0066163A">
      <w:rPr>
        <w:rFonts w:ascii="Arial" w:hAnsi="Arial" w:cs="Arial"/>
        <w:b/>
        <w:sz w:val="48"/>
      </w:rPr>
      <w:tab/>
    </w:r>
    <w:r w:rsidRPr="0066163A">
      <w:tab/>
    </w:r>
    <w:r w:rsidRPr="0066163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3A" w:rsidRPr="0066163A" w:rsidRDefault="0066163A" w:rsidP="0066163A">
    <w:pPr>
      <w:pStyle w:val="Footer"/>
      <w:rPr>
        <w:rFonts w:ascii="Arial" w:hAnsi="Arial" w:cs="Arial"/>
        <w:b/>
        <w:sz w:val="48"/>
      </w:rPr>
    </w:pPr>
    <w:r w:rsidRPr="0066163A">
      <w:rPr>
        <w:rFonts w:ascii="Arial" w:hAnsi="Arial" w:cs="Arial"/>
        <w:b/>
        <w:sz w:val="48"/>
      </w:rPr>
      <w:t>RO</w:t>
    </w:r>
    <w:r w:rsidRPr="0066163A">
      <w:rPr>
        <w:rFonts w:ascii="Arial" w:hAnsi="Arial" w:cs="Arial"/>
        <w:b/>
        <w:sz w:val="48"/>
      </w:rPr>
      <w:tab/>
    </w:r>
    <w:r w:rsidRPr="0066163A">
      <w:rPr>
        <w:rFonts w:ascii="Arial" w:hAnsi="Arial" w:cs="Arial"/>
        <w:b/>
        <w:sz w:val="48"/>
      </w:rPr>
      <w:tab/>
    </w:r>
    <w:r w:rsidRPr="0066163A">
      <w:tab/>
    </w:r>
    <w:r w:rsidRPr="0066163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3A" w:rsidRDefault="006616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3A" w:rsidRPr="0066163A" w:rsidRDefault="0066163A" w:rsidP="0066163A">
    <w:pPr>
      <w:pStyle w:val="Footer"/>
      <w:rPr>
        <w:rFonts w:ascii="Arial" w:hAnsi="Arial" w:cs="Arial"/>
        <w:b/>
        <w:sz w:val="48"/>
      </w:rPr>
    </w:pPr>
    <w:r w:rsidRPr="0066163A">
      <w:rPr>
        <w:rFonts w:ascii="Arial" w:hAnsi="Arial" w:cs="Arial"/>
        <w:b/>
        <w:sz w:val="48"/>
      </w:rPr>
      <w:t>RO</w:t>
    </w:r>
    <w:r w:rsidRPr="0066163A">
      <w:rPr>
        <w:rFonts w:ascii="Arial" w:hAnsi="Arial" w:cs="Arial"/>
        <w:b/>
        <w:sz w:val="48"/>
      </w:rPr>
      <w:tab/>
    </w:r>
    <w:r>
      <w:fldChar w:fldCharType="begin"/>
    </w:r>
    <w:r>
      <w:instrText xml:space="preserve"> PAGE  \* MERGEFORMAT </w:instrText>
    </w:r>
    <w:r>
      <w:fldChar w:fldCharType="separate"/>
    </w:r>
    <w:r w:rsidR="008C1420">
      <w:rPr>
        <w:noProof/>
      </w:rPr>
      <w:t>13</w:t>
    </w:r>
    <w:r>
      <w:fldChar w:fldCharType="end"/>
    </w:r>
    <w:r>
      <w:tab/>
    </w:r>
    <w:r w:rsidRPr="0066163A">
      <w:tab/>
    </w:r>
    <w:r w:rsidRPr="0066163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3A" w:rsidRDefault="0066163A" w:rsidP="00661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F14" w:rsidRPr="00481EB3" w:rsidRDefault="00401F14" w:rsidP="00E67051">
      <w:pPr>
        <w:spacing w:before="0" w:after="0"/>
      </w:pPr>
      <w:r>
        <w:separator/>
      </w:r>
    </w:p>
  </w:footnote>
  <w:footnote w:type="continuationSeparator" w:id="0">
    <w:p w:rsidR="00401F14" w:rsidRPr="00481EB3" w:rsidRDefault="00401F14" w:rsidP="00E67051">
      <w:pPr>
        <w:spacing w:before="0" w:after="0"/>
      </w:pPr>
      <w:r>
        <w:continuationSeparator/>
      </w:r>
    </w:p>
  </w:footnote>
  <w:footnote w:id="1">
    <w:p w:rsidR="00E8186F" w:rsidRPr="00F66812" w:rsidRDefault="00E8186F">
      <w:pPr>
        <w:pStyle w:val="FootnoteText"/>
      </w:pPr>
      <w:r>
        <w:rPr>
          <w:rStyle w:val="FootnoteReference"/>
        </w:rPr>
        <w:footnoteRef/>
      </w:r>
      <w:r w:rsidRPr="00061047">
        <w:rPr>
          <w:lang w:val="fr-BE"/>
        </w:rPr>
        <w:tab/>
      </w:r>
      <w:r w:rsidRPr="00F66812">
        <w:t>Au existat 9 misiuni UCPM în 2021, 12 în 2022, 13 în 2023, 16 în 2024 și 19 în 2025.</w:t>
      </w:r>
    </w:p>
  </w:footnote>
  <w:footnote w:id="2">
    <w:p w:rsidR="003865B2" w:rsidRPr="00F66812" w:rsidRDefault="003865B2">
      <w:pPr>
        <w:pStyle w:val="FootnoteText"/>
      </w:pPr>
      <w:r w:rsidRPr="00F66812">
        <w:rPr>
          <w:rStyle w:val="FootnoteReference"/>
        </w:rPr>
        <w:footnoteRef/>
      </w:r>
      <w:r w:rsidRPr="00F66812">
        <w:tab/>
      </w:r>
      <w:hyperlink r:id="rId1" w:history="1">
        <w:r w:rsidRPr="00F66812">
          <w:rPr>
            <w:rStyle w:val="Hyperlink"/>
          </w:rPr>
          <w:t>https://discomap.eea.europa.eu/ClimatePreparedness2025/?page=Wildfires-in-Europe</w:t>
        </w:r>
      </w:hyperlink>
      <w:r w:rsidRPr="00F66812">
        <w:t>.</w:t>
      </w:r>
    </w:p>
  </w:footnote>
  <w:footnote w:id="3">
    <w:p w:rsidR="00E8186F" w:rsidRPr="00F66812" w:rsidRDefault="00E8186F">
      <w:pPr>
        <w:pStyle w:val="FootnoteText"/>
      </w:pPr>
      <w:r w:rsidRPr="00F66812">
        <w:rPr>
          <w:rStyle w:val="FootnoteReference"/>
        </w:rPr>
        <w:footnoteRef/>
      </w:r>
      <w:r w:rsidRPr="00F66812">
        <w:tab/>
        <w:t>COM(2026) 330 din 25.3.2026.</w:t>
      </w:r>
    </w:p>
  </w:footnote>
  <w:footnote w:id="4">
    <w:p w:rsidR="00AC47D1" w:rsidRPr="00F66812" w:rsidRDefault="00AC47D1" w:rsidP="003F7473">
      <w:pPr>
        <w:pStyle w:val="FootnoteText"/>
      </w:pPr>
      <w:r w:rsidRPr="00F66812">
        <w:rPr>
          <w:rStyle w:val="FootnoteReference"/>
        </w:rPr>
        <w:footnoteRef/>
      </w:r>
      <w:r w:rsidRPr="00F66812">
        <w:tab/>
        <w:t xml:space="preserve">Astfel cum se descrie, printre altele, în nota Centrului Comun de Cercetare din 2026, </w:t>
      </w:r>
      <w:r w:rsidRPr="00F66812">
        <w:rPr>
          <w:i/>
        </w:rPr>
        <w:t>Forest resilience against wildfire</w:t>
      </w:r>
      <w:r w:rsidRPr="00F66812">
        <w:t xml:space="preserve"> (Reziliența pădurilor împotriva incendiilor de vegetație), </w:t>
      </w:r>
      <w:hyperlink r:id="rId2" w:history="1">
        <w:r w:rsidRPr="00F66812">
          <w:rPr>
            <w:rStyle w:val="Hyperlink"/>
          </w:rPr>
          <w:t>https://publications.jrc.ec.europa.eu/repository/handle/JRC145919</w:t>
        </w:r>
      </w:hyperlink>
      <w:r w:rsidRPr="00F66812">
        <w:t>.</w:t>
      </w:r>
    </w:p>
  </w:footnote>
  <w:footnote w:id="5">
    <w:p w:rsidR="003865B2" w:rsidRPr="00F66812" w:rsidRDefault="003865B2">
      <w:pPr>
        <w:pStyle w:val="FootnoteText"/>
      </w:pPr>
      <w:r w:rsidRPr="00F66812">
        <w:rPr>
          <w:rStyle w:val="FootnoteReference"/>
        </w:rPr>
        <w:footnoteRef/>
      </w:r>
      <w:r w:rsidRPr="00F66812">
        <w:tab/>
        <w:t>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3A" w:rsidRDefault="006616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3A" w:rsidRDefault="006616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A44A28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8746EF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052C2E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B305E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7 16:37: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80DB37E-EC2E-4C28-B656-B7D1813734D7"/>
    <w:docVar w:name="LW_COVERPAGE_TYPE" w:val="1"/>
    <w:docVar w:name="LW_CreatedUtc" w:val="2026-03-22T13:58:49.5177604Z"/>
    <w:docVar w:name="LW_CROSSREFERENCE" w:val="&lt;UNUSED&gt;"/>
    <w:docVar w:name="LW_DocType" w:val="COM"/>
    <w:docVar w:name="LW_EMISSION" w:val="4.5.2026"/>
    <w:docVar w:name="LW_EMISSION_ISODATE" w:val="2026-05-04"/>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3"/>
    <w:docVar w:name="LW_REF.II.NEW.CP_YEAR" w:val="2026"/>
    <w:docVar w:name="LW_REF.INST.NEW" w:val="COM"/>
    <w:docVar w:name="LW_REF.INST.NEW_ADOPTED" w:val="final"/>
    <w:docVar w:name="LW_REF.INST.NEW_TEXT" w:val="(2026) 1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gestionarea integrat\u259? a riscurilor de incendii de vegeta\u539?ie"/>
    <w:docVar w:name="LW_TYPE.DOC.CP" w:val="RECOMANDARE A CONSILIULUI"/>
    <w:docVar w:name="LwApiVersions" w:val="LW4CoDe 1.24.5.0; LW 9.2, Build 20251112"/>
  </w:docVars>
  <w:rsids>
    <w:rsidRoot w:val="00E67051"/>
    <w:rsid w:val="00000985"/>
    <w:rsid w:val="00002D6C"/>
    <w:rsid w:val="00003E25"/>
    <w:rsid w:val="00005B12"/>
    <w:rsid w:val="000068B4"/>
    <w:rsid w:val="000069C9"/>
    <w:rsid w:val="00007259"/>
    <w:rsid w:val="0000779C"/>
    <w:rsid w:val="000077A8"/>
    <w:rsid w:val="00013DDD"/>
    <w:rsid w:val="00014C74"/>
    <w:rsid w:val="0001615E"/>
    <w:rsid w:val="00017924"/>
    <w:rsid w:val="00017E77"/>
    <w:rsid w:val="000203FC"/>
    <w:rsid w:val="00020575"/>
    <w:rsid w:val="00021CE2"/>
    <w:rsid w:val="000230CE"/>
    <w:rsid w:val="000238A5"/>
    <w:rsid w:val="00024BEA"/>
    <w:rsid w:val="000255CC"/>
    <w:rsid w:val="000273F3"/>
    <w:rsid w:val="00031316"/>
    <w:rsid w:val="00032BC6"/>
    <w:rsid w:val="000331E8"/>
    <w:rsid w:val="0004244D"/>
    <w:rsid w:val="00043932"/>
    <w:rsid w:val="000450D4"/>
    <w:rsid w:val="00046C63"/>
    <w:rsid w:val="0004701B"/>
    <w:rsid w:val="0004768D"/>
    <w:rsid w:val="00047841"/>
    <w:rsid w:val="000501A4"/>
    <w:rsid w:val="00051BDD"/>
    <w:rsid w:val="00052590"/>
    <w:rsid w:val="000530F9"/>
    <w:rsid w:val="000553AE"/>
    <w:rsid w:val="00055D47"/>
    <w:rsid w:val="00057BC5"/>
    <w:rsid w:val="00061047"/>
    <w:rsid w:val="000620B6"/>
    <w:rsid w:val="00062A7E"/>
    <w:rsid w:val="0007090E"/>
    <w:rsid w:val="00072B20"/>
    <w:rsid w:val="000742E6"/>
    <w:rsid w:val="0007607B"/>
    <w:rsid w:val="000843E7"/>
    <w:rsid w:val="000863C9"/>
    <w:rsid w:val="0008661D"/>
    <w:rsid w:val="000877C2"/>
    <w:rsid w:val="00087B07"/>
    <w:rsid w:val="00091656"/>
    <w:rsid w:val="000916A6"/>
    <w:rsid w:val="00095BD2"/>
    <w:rsid w:val="00095DC4"/>
    <w:rsid w:val="00096D56"/>
    <w:rsid w:val="000A3340"/>
    <w:rsid w:val="000A4EF0"/>
    <w:rsid w:val="000A5D9B"/>
    <w:rsid w:val="000A5F9D"/>
    <w:rsid w:val="000AF6C2"/>
    <w:rsid w:val="000B12E5"/>
    <w:rsid w:val="000B225D"/>
    <w:rsid w:val="000B4A04"/>
    <w:rsid w:val="000BD7B2"/>
    <w:rsid w:val="000C1AC5"/>
    <w:rsid w:val="000C4C02"/>
    <w:rsid w:val="000C4F74"/>
    <w:rsid w:val="000C5E0A"/>
    <w:rsid w:val="000D1594"/>
    <w:rsid w:val="000D18A4"/>
    <w:rsid w:val="000D25ED"/>
    <w:rsid w:val="000D3D28"/>
    <w:rsid w:val="000D7644"/>
    <w:rsid w:val="000E0975"/>
    <w:rsid w:val="000E1BDD"/>
    <w:rsid w:val="000E338B"/>
    <w:rsid w:val="000E468E"/>
    <w:rsid w:val="000E4CB6"/>
    <w:rsid w:val="000E7419"/>
    <w:rsid w:val="000F0012"/>
    <w:rsid w:val="000F1630"/>
    <w:rsid w:val="000F2984"/>
    <w:rsid w:val="000F3186"/>
    <w:rsid w:val="000F4A74"/>
    <w:rsid w:val="000F53B5"/>
    <w:rsid w:val="000F60B3"/>
    <w:rsid w:val="000F7553"/>
    <w:rsid w:val="000F7D64"/>
    <w:rsid w:val="000F7EA3"/>
    <w:rsid w:val="000F7FDD"/>
    <w:rsid w:val="00100EDA"/>
    <w:rsid w:val="00101BD3"/>
    <w:rsid w:val="0010536D"/>
    <w:rsid w:val="001065F5"/>
    <w:rsid w:val="0011455E"/>
    <w:rsid w:val="00117DB7"/>
    <w:rsid w:val="00121F99"/>
    <w:rsid w:val="00122236"/>
    <w:rsid w:val="001238EF"/>
    <w:rsid w:val="00124CAB"/>
    <w:rsid w:val="001261D2"/>
    <w:rsid w:val="00126EB4"/>
    <w:rsid w:val="001277D7"/>
    <w:rsid w:val="00133C26"/>
    <w:rsid w:val="00133D16"/>
    <w:rsid w:val="00142981"/>
    <w:rsid w:val="001440DB"/>
    <w:rsid w:val="00146872"/>
    <w:rsid w:val="00146DA9"/>
    <w:rsid w:val="00150B8E"/>
    <w:rsid w:val="00154190"/>
    <w:rsid w:val="00155996"/>
    <w:rsid w:val="00155B68"/>
    <w:rsid w:val="00155CC3"/>
    <w:rsid w:val="001569A4"/>
    <w:rsid w:val="00156E10"/>
    <w:rsid w:val="00162781"/>
    <w:rsid w:val="00164323"/>
    <w:rsid w:val="0016541C"/>
    <w:rsid w:val="00165427"/>
    <w:rsid w:val="00170D15"/>
    <w:rsid w:val="001711C1"/>
    <w:rsid w:val="00171C66"/>
    <w:rsid w:val="0017286E"/>
    <w:rsid w:val="00176698"/>
    <w:rsid w:val="00176B9A"/>
    <w:rsid w:val="00182A47"/>
    <w:rsid w:val="001851FC"/>
    <w:rsid w:val="0018594D"/>
    <w:rsid w:val="00186B59"/>
    <w:rsid w:val="0019090E"/>
    <w:rsid w:val="00193A59"/>
    <w:rsid w:val="0019420F"/>
    <w:rsid w:val="0019460D"/>
    <w:rsid w:val="0019529E"/>
    <w:rsid w:val="0019593E"/>
    <w:rsid w:val="00196B8A"/>
    <w:rsid w:val="001973D7"/>
    <w:rsid w:val="00197613"/>
    <w:rsid w:val="001A44ED"/>
    <w:rsid w:val="001A5E74"/>
    <w:rsid w:val="001A7743"/>
    <w:rsid w:val="001A7E23"/>
    <w:rsid w:val="001B09C8"/>
    <w:rsid w:val="001B104E"/>
    <w:rsid w:val="001B34F3"/>
    <w:rsid w:val="001B37B8"/>
    <w:rsid w:val="001B624E"/>
    <w:rsid w:val="001B7727"/>
    <w:rsid w:val="001C5441"/>
    <w:rsid w:val="001C5D42"/>
    <w:rsid w:val="001D050D"/>
    <w:rsid w:val="001D1329"/>
    <w:rsid w:val="001D1E24"/>
    <w:rsid w:val="001D21ED"/>
    <w:rsid w:val="001D3EFD"/>
    <w:rsid w:val="001D5A0B"/>
    <w:rsid w:val="001D5C0B"/>
    <w:rsid w:val="001D5D13"/>
    <w:rsid w:val="001D607C"/>
    <w:rsid w:val="001E0963"/>
    <w:rsid w:val="001E2FBE"/>
    <w:rsid w:val="001E389B"/>
    <w:rsid w:val="001E5CB9"/>
    <w:rsid w:val="001F05B1"/>
    <w:rsid w:val="001F0B6F"/>
    <w:rsid w:val="001F0C84"/>
    <w:rsid w:val="001F28AD"/>
    <w:rsid w:val="001F3750"/>
    <w:rsid w:val="001F558A"/>
    <w:rsid w:val="001F6EBC"/>
    <w:rsid w:val="001F73A4"/>
    <w:rsid w:val="002008BC"/>
    <w:rsid w:val="00204709"/>
    <w:rsid w:val="00211353"/>
    <w:rsid w:val="00211C60"/>
    <w:rsid w:val="00214E54"/>
    <w:rsid w:val="0021512C"/>
    <w:rsid w:val="00221BF4"/>
    <w:rsid w:val="00222600"/>
    <w:rsid w:val="00223269"/>
    <w:rsid w:val="00223305"/>
    <w:rsid w:val="00223B63"/>
    <w:rsid w:val="0022575B"/>
    <w:rsid w:val="002269E8"/>
    <w:rsid w:val="0022706D"/>
    <w:rsid w:val="00227FA1"/>
    <w:rsid w:val="002305BE"/>
    <w:rsid w:val="002312E0"/>
    <w:rsid w:val="00233DC7"/>
    <w:rsid w:val="00236676"/>
    <w:rsid w:val="00236FFE"/>
    <w:rsid w:val="00240FF7"/>
    <w:rsid w:val="0024347F"/>
    <w:rsid w:val="0024493D"/>
    <w:rsid w:val="00247779"/>
    <w:rsid w:val="00251483"/>
    <w:rsid w:val="00254C12"/>
    <w:rsid w:val="00254CF4"/>
    <w:rsid w:val="002607CA"/>
    <w:rsid w:val="0026108E"/>
    <w:rsid w:val="0026274D"/>
    <w:rsid w:val="002637AE"/>
    <w:rsid w:val="00264F0B"/>
    <w:rsid w:val="00265A27"/>
    <w:rsid w:val="00270450"/>
    <w:rsid w:val="00272ED8"/>
    <w:rsid w:val="00274734"/>
    <w:rsid w:val="00277B65"/>
    <w:rsid w:val="00280830"/>
    <w:rsid w:val="00280BA6"/>
    <w:rsid w:val="002843DC"/>
    <w:rsid w:val="00285BEE"/>
    <w:rsid w:val="00287105"/>
    <w:rsid w:val="0028765F"/>
    <w:rsid w:val="00292260"/>
    <w:rsid w:val="0029356A"/>
    <w:rsid w:val="00293DD4"/>
    <w:rsid w:val="0029533F"/>
    <w:rsid w:val="00295ADD"/>
    <w:rsid w:val="00296CB3"/>
    <w:rsid w:val="0029718A"/>
    <w:rsid w:val="002A0E50"/>
    <w:rsid w:val="002A26FD"/>
    <w:rsid w:val="002A499B"/>
    <w:rsid w:val="002A4F7C"/>
    <w:rsid w:val="002A6ACB"/>
    <w:rsid w:val="002B1568"/>
    <w:rsid w:val="002B1B07"/>
    <w:rsid w:val="002B29E0"/>
    <w:rsid w:val="002B30AF"/>
    <w:rsid w:val="002B6893"/>
    <w:rsid w:val="002B6A78"/>
    <w:rsid w:val="002C0F4D"/>
    <w:rsid w:val="002C5207"/>
    <w:rsid w:val="002C639D"/>
    <w:rsid w:val="002D1218"/>
    <w:rsid w:val="002D1CDD"/>
    <w:rsid w:val="002D2EBE"/>
    <w:rsid w:val="002D3E8C"/>
    <w:rsid w:val="002D441A"/>
    <w:rsid w:val="002E29D9"/>
    <w:rsid w:val="002E421A"/>
    <w:rsid w:val="002E6602"/>
    <w:rsid w:val="002E6913"/>
    <w:rsid w:val="002F0A0C"/>
    <w:rsid w:val="002F4BD2"/>
    <w:rsid w:val="002F6004"/>
    <w:rsid w:val="002F63BD"/>
    <w:rsid w:val="002F7338"/>
    <w:rsid w:val="00301326"/>
    <w:rsid w:val="00301DA8"/>
    <w:rsid w:val="00302755"/>
    <w:rsid w:val="0031486B"/>
    <w:rsid w:val="00323992"/>
    <w:rsid w:val="003245B4"/>
    <w:rsid w:val="00324F0E"/>
    <w:rsid w:val="003252E5"/>
    <w:rsid w:val="00325AA6"/>
    <w:rsid w:val="0032624B"/>
    <w:rsid w:val="003277DF"/>
    <w:rsid w:val="00327D28"/>
    <w:rsid w:val="00330FD6"/>
    <w:rsid w:val="003311F2"/>
    <w:rsid w:val="00332C4D"/>
    <w:rsid w:val="003333ED"/>
    <w:rsid w:val="0033344A"/>
    <w:rsid w:val="00334F8F"/>
    <w:rsid w:val="00335C8D"/>
    <w:rsid w:val="003378D7"/>
    <w:rsid w:val="0034002A"/>
    <w:rsid w:val="00340086"/>
    <w:rsid w:val="0034317D"/>
    <w:rsid w:val="003452E9"/>
    <w:rsid w:val="00345820"/>
    <w:rsid w:val="0034739A"/>
    <w:rsid w:val="00347A9B"/>
    <w:rsid w:val="00347AE5"/>
    <w:rsid w:val="0035130E"/>
    <w:rsid w:val="00353707"/>
    <w:rsid w:val="00353945"/>
    <w:rsid w:val="00353F92"/>
    <w:rsid w:val="0035482D"/>
    <w:rsid w:val="003552AD"/>
    <w:rsid w:val="00357EE6"/>
    <w:rsid w:val="00360039"/>
    <w:rsid w:val="0036412D"/>
    <w:rsid w:val="003644ED"/>
    <w:rsid w:val="003646E0"/>
    <w:rsid w:val="00365E1E"/>
    <w:rsid w:val="00366B29"/>
    <w:rsid w:val="00367266"/>
    <w:rsid w:val="0037061C"/>
    <w:rsid w:val="00370DE7"/>
    <w:rsid w:val="00372294"/>
    <w:rsid w:val="003725A9"/>
    <w:rsid w:val="003728BD"/>
    <w:rsid w:val="00373018"/>
    <w:rsid w:val="00375C7B"/>
    <w:rsid w:val="00376615"/>
    <w:rsid w:val="00377AC1"/>
    <w:rsid w:val="003815D0"/>
    <w:rsid w:val="00383FCB"/>
    <w:rsid w:val="003865B2"/>
    <w:rsid w:val="00387278"/>
    <w:rsid w:val="003908CA"/>
    <w:rsid w:val="00391081"/>
    <w:rsid w:val="003913A0"/>
    <w:rsid w:val="00391C1D"/>
    <w:rsid w:val="003944CC"/>
    <w:rsid w:val="003964ED"/>
    <w:rsid w:val="00396B10"/>
    <w:rsid w:val="00397C2C"/>
    <w:rsid w:val="003A18E3"/>
    <w:rsid w:val="003A1F32"/>
    <w:rsid w:val="003A2349"/>
    <w:rsid w:val="003A2626"/>
    <w:rsid w:val="003A29DF"/>
    <w:rsid w:val="003A2FC7"/>
    <w:rsid w:val="003A4AB5"/>
    <w:rsid w:val="003A6E75"/>
    <w:rsid w:val="003A7243"/>
    <w:rsid w:val="003A7D2F"/>
    <w:rsid w:val="003B5634"/>
    <w:rsid w:val="003B7A0F"/>
    <w:rsid w:val="003C0861"/>
    <w:rsid w:val="003C2769"/>
    <w:rsid w:val="003C2914"/>
    <w:rsid w:val="003C3307"/>
    <w:rsid w:val="003D04C1"/>
    <w:rsid w:val="003D32C4"/>
    <w:rsid w:val="003D48FF"/>
    <w:rsid w:val="003D790A"/>
    <w:rsid w:val="003E7A67"/>
    <w:rsid w:val="003F1B2F"/>
    <w:rsid w:val="003F51F0"/>
    <w:rsid w:val="003F57C1"/>
    <w:rsid w:val="003F7473"/>
    <w:rsid w:val="003F7C30"/>
    <w:rsid w:val="00400377"/>
    <w:rsid w:val="00401F14"/>
    <w:rsid w:val="004028E5"/>
    <w:rsid w:val="0040409A"/>
    <w:rsid w:val="00406613"/>
    <w:rsid w:val="00406DA6"/>
    <w:rsid w:val="0040734D"/>
    <w:rsid w:val="004074B0"/>
    <w:rsid w:val="00407F3B"/>
    <w:rsid w:val="0041142A"/>
    <w:rsid w:val="00411B0B"/>
    <w:rsid w:val="004146A8"/>
    <w:rsid w:val="00416169"/>
    <w:rsid w:val="00417BFA"/>
    <w:rsid w:val="004209DF"/>
    <w:rsid w:val="004217F6"/>
    <w:rsid w:val="00421B4B"/>
    <w:rsid w:val="00421E47"/>
    <w:rsid w:val="0042395D"/>
    <w:rsid w:val="0042648E"/>
    <w:rsid w:val="004313E8"/>
    <w:rsid w:val="00431407"/>
    <w:rsid w:val="00433CDD"/>
    <w:rsid w:val="00435243"/>
    <w:rsid w:val="004355E1"/>
    <w:rsid w:val="004360F1"/>
    <w:rsid w:val="00436323"/>
    <w:rsid w:val="0044142C"/>
    <w:rsid w:val="004431BF"/>
    <w:rsid w:val="00443569"/>
    <w:rsid w:val="00445BF1"/>
    <w:rsid w:val="00445CDB"/>
    <w:rsid w:val="00447288"/>
    <w:rsid w:val="0044746F"/>
    <w:rsid w:val="004551EC"/>
    <w:rsid w:val="004567ED"/>
    <w:rsid w:val="004575D9"/>
    <w:rsid w:val="00457D66"/>
    <w:rsid w:val="00460D89"/>
    <w:rsid w:val="00461164"/>
    <w:rsid w:val="0046145F"/>
    <w:rsid w:val="00461A9C"/>
    <w:rsid w:val="00461C1C"/>
    <w:rsid w:val="00462512"/>
    <w:rsid w:val="00465CF0"/>
    <w:rsid w:val="00466E2F"/>
    <w:rsid w:val="00466EEB"/>
    <w:rsid w:val="0046795C"/>
    <w:rsid w:val="0047387C"/>
    <w:rsid w:val="0047530F"/>
    <w:rsid w:val="00476672"/>
    <w:rsid w:val="00476807"/>
    <w:rsid w:val="0048063E"/>
    <w:rsid w:val="00481AAC"/>
    <w:rsid w:val="00481EB3"/>
    <w:rsid w:val="004836D7"/>
    <w:rsid w:val="00483E8D"/>
    <w:rsid w:val="00491B2A"/>
    <w:rsid w:val="004936D2"/>
    <w:rsid w:val="004947D6"/>
    <w:rsid w:val="00494CAF"/>
    <w:rsid w:val="0049677A"/>
    <w:rsid w:val="004967B3"/>
    <w:rsid w:val="00497C7A"/>
    <w:rsid w:val="004A3277"/>
    <w:rsid w:val="004A33C8"/>
    <w:rsid w:val="004A5DBB"/>
    <w:rsid w:val="004A688A"/>
    <w:rsid w:val="004B034D"/>
    <w:rsid w:val="004B3B24"/>
    <w:rsid w:val="004B4EDF"/>
    <w:rsid w:val="004B7A1F"/>
    <w:rsid w:val="004C3CA6"/>
    <w:rsid w:val="004C530C"/>
    <w:rsid w:val="004C53FD"/>
    <w:rsid w:val="004C6D0D"/>
    <w:rsid w:val="004D14F9"/>
    <w:rsid w:val="004D1577"/>
    <w:rsid w:val="004D2BA3"/>
    <w:rsid w:val="004D739A"/>
    <w:rsid w:val="004D74E2"/>
    <w:rsid w:val="004E0558"/>
    <w:rsid w:val="004E0BDB"/>
    <w:rsid w:val="004E2143"/>
    <w:rsid w:val="004E24D9"/>
    <w:rsid w:val="004E5D0F"/>
    <w:rsid w:val="004E6555"/>
    <w:rsid w:val="004E71EF"/>
    <w:rsid w:val="004F0659"/>
    <w:rsid w:val="004F1405"/>
    <w:rsid w:val="004F2834"/>
    <w:rsid w:val="004F5A77"/>
    <w:rsid w:val="00501F16"/>
    <w:rsid w:val="00504C6F"/>
    <w:rsid w:val="005114E2"/>
    <w:rsid w:val="0051304D"/>
    <w:rsid w:val="005143B2"/>
    <w:rsid w:val="00517A4F"/>
    <w:rsid w:val="00534F16"/>
    <w:rsid w:val="00535D8D"/>
    <w:rsid w:val="005367D2"/>
    <w:rsid w:val="00541CA2"/>
    <w:rsid w:val="00542367"/>
    <w:rsid w:val="005473EE"/>
    <w:rsid w:val="00550136"/>
    <w:rsid w:val="00553708"/>
    <w:rsid w:val="005545F2"/>
    <w:rsid w:val="00556ACF"/>
    <w:rsid w:val="00556AF8"/>
    <w:rsid w:val="0056116A"/>
    <w:rsid w:val="00561198"/>
    <w:rsid w:val="00561B13"/>
    <w:rsid w:val="00563B79"/>
    <w:rsid w:val="00565E16"/>
    <w:rsid w:val="00567C70"/>
    <w:rsid w:val="00570649"/>
    <w:rsid w:val="0057408D"/>
    <w:rsid w:val="005740BC"/>
    <w:rsid w:val="00584254"/>
    <w:rsid w:val="0058743E"/>
    <w:rsid w:val="00590770"/>
    <w:rsid w:val="00590DD1"/>
    <w:rsid w:val="005916E4"/>
    <w:rsid w:val="0059356F"/>
    <w:rsid w:val="00593B53"/>
    <w:rsid w:val="00594030"/>
    <w:rsid w:val="005A08CC"/>
    <w:rsid w:val="005A1A86"/>
    <w:rsid w:val="005A24A4"/>
    <w:rsid w:val="005A4665"/>
    <w:rsid w:val="005A69C8"/>
    <w:rsid w:val="005B1206"/>
    <w:rsid w:val="005B1EB6"/>
    <w:rsid w:val="005B2A2F"/>
    <w:rsid w:val="005B2BCE"/>
    <w:rsid w:val="005B356A"/>
    <w:rsid w:val="005B48AD"/>
    <w:rsid w:val="005B7241"/>
    <w:rsid w:val="005B7C8A"/>
    <w:rsid w:val="005C0B5B"/>
    <w:rsid w:val="005C27C0"/>
    <w:rsid w:val="005C3F6E"/>
    <w:rsid w:val="005C4547"/>
    <w:rsid w:val="005C673C"/>
    <w:rsid w:val="005C6AF3"/>
    <w:rsid w:val="005C6D02"/>
    <w:rsid w:val="005D1F90"/>
    <w:rsid w:val="005D32FD"/>
    <w:rsid w:val="005D3B5A"/>
    <w:rsid w:val="005D445B"/>
    <w:rsid w:val="005D5D6F"/>
    <w:rsid w:val="005D6752"/>
    <w:rsid w:val="005D6AFC"/>
    <w:rsid w:val="005D6E01"/>
    <w:rsid w:val="005E036C"/>
    <w:rsid w:val="005E10E2"/>
    <w:rsid w:val="005E1137"/>
    <w:rsid w:val="005E417C"/>
    <w:rsid w:val="005E6C95"/>
    <w:rsid w:val="005F3430"/>
    <w:rsid w:val="005F3520"/>
    <w:rsid w:val="005F4352"/>
    <w:rsid w:val="005F5CD4"/>
    <w:rsid w:val="005F6964"/>
    <w:rsid w:val="005F6ADE"/>
    <w:rsid w:val="005F77CA"/>
    <w:rsid w:val="00600AB5"/>
    <w:rsid w:val="0060222F"/>
    <w:rsid w:val="00602260"/>
    <w:rsid w:val="0060314A"/>
    <w:rsid w:val="0060363B"/>
    <w:rsid w:val="006053E4"/>
    <w:rsid w:val="00607FB6"/>
    <w:rsid w:val="00611D58"/>
    <w:rsid w:val="006123C5"/>
    <w:rsid w:val="00612845"/>
    <w:rsid w:val="00612F55"/>
    <w:rsid w:val="006136CE"/>
    <w:rsid w:val="00613966"/>
    <w:rsid w:val="0061757D"/>
    <w:rsid w:val="00622410"/>
    <w:rsid w:val="00623ACB"/>
    <w:rsid w:val="006252F1"/>
    <w:rsid w:val="00625CA1"/>
    <w:rsid w:val="0062793E"/>
    <w:rsid w:val="00631D30"/>
    <w:rsid w:val="00634E71"/>
    <w:rsid w:val="00635D0B"/>
    <w:rsid w:val="00636BDD"/>
    <w:rsid w:val="00637844"/>
    <w:rsid w:val="00640920"/>
    <w:rsid w:val="0064120D"/>
    <w:rsid w:val="00641293"/>
    <w:rsid w:val="00641598"/>
    <w:rsid w:val="00642A1B"/>
    <w:rsid w:val="006438CE"/>
    <w:rsid w:val="00643AC3"/>
    <w:rsid w:val="00645E99"/>
    <w:rsid w:val="0065353D"/>
    <w:rsid w:val="006561E6"/>
    <w:rsid w:val="00660773"/>
    <w:rsid w:val="00660B28"/>
    <w:rsid w:val="0066163A"/>
    <w:rsid w:val="00662CF5"/>
    <w:rsid w:val="00666101"/>
    <w:rsid w:val="00671634"/>
    <w:rsid w:val="00673D1B"/>
    <w:rsid w:val="0067486D"/>
    <w:rsid w:val="00676EEF"/>
    <w:rsid w:val="0067755D"/>
    <w:rsid w:val="006811D8"/>
    <w:rsid w:val="00681654"/>
    <w:rsid w:val="00683A95"/>
    <w:rsid w:val="006858C6"/>
    <w:rsid w:val="006876D2"/>
    <w:rsid w:val="00690FAC"/>
    <w:rsid w:val="0069204D"/>
    <w:rsid w:val="00692B2F"/>
    <w:rsid w:val="00696D12"/>
    <w:rsid w:val="00697261"/>
    <w:rsid w:val="006A20EC"/>
    <w:rsid w:val="006A2A14"/>
    <w:rsid w:val="006A53FD"/>
    <w:rsid w:val="006A72DD"/>
    <w:rsid w:val="006B1F92"/>
    <w:rsid w:val="006B252C"/>
    <w:rsid w:val="006B26F0"/>
    <w:rsid w:val="006B2B24"/>
    <w:rsid w:val="006B5363"/>
    <w:rsid w:val="006B62E6"/>
    <w:rsid w:val="006C5F44"/>
    <w:rsid w:val="006C6F4A"/>
    <w:rsid w:val="006C77C2"/>
    <w:rsid w:val="006D3C7E"/>
    <w:rsid w:val="006D5072"/>
    <w:rsid w:val="006E00E5"/>
    <w:rsid w:val="006E11A0"/>
    <w:rsid w:val="006E182E"/>
    <w:rsid w:val="006E1A64"/>
    <w:rsid w:val="006E25CE"/>
    <w:rsid w:val="006E3C42"/>
    <w:rsid w:val="006E59BA"/>
    <w:rsid w:val="006E5AB7"/>
    <w:rsid w:val="006E5E5F"/>
    <w:rsid w:val="006E7D49"/>
    <w:rsid w:val="006F025F"/>
    <w:rsid w:val="006F24DC"/>
    <w:rsid w:val="006F702A"/>
    <w:rsid w:val="006F7225"/>
    <w:rsid w:val="006F7E1D"/>
    <w:rsid w:val="00701136"/>
    <w:rsid w:val="007033D7"/>
    <w:rsid w:val="00704127"/>
    <w:rsid w:val="00711DF0"/>
    <w:rsid w:val="00711EFC"/>
    <w:rsid w:val="0071273D"/>
    <w:rsid w:val="00721DFA"/>
    <w:rsid w:val="0072245F"/>
    <w:rsid w:val="00723368"/>
    <w:rsid w:val="00725639"/>
    <w:rsid w:val="007272FA"/>
    <w:rsid w:val="00727BC9"/>
    <w:rsid w:val="00731553"/>
    <w:rsid w:val="007316C6"/>
    <w:rsid w:val="00732141"/>
    <w:rsid w:val="007369EB"/>
    <w:rsid w:val="00736CA6"/>
    <w:rsid w:val="0074128F"/>
    <w:rsid w:val="00742C20"/>
    <w:rsid w:val="007450CC"/>
    <w:rsid w:val="007463F9"/>
    <w:rsid w:val="00747B97"/>
    <w:rsid w:val="00751018"/>
    <w:rsid w:val="0075154F"/>
    <w:rsid w:val="00751BC4"/>
    <w:rsid w:val="00751F4F"/>
    <w:rsid w:val="00752150"/>
    <w:rsid w:val="00754247"/>
    <w:rsid w:val="00754511"/>
    <w:rsid w:val="007547B5"/>
    <w:rsid w:val="00755062"/>
    <w:rsid w:val="00756C17"/>
    <w:rsid w:val="0076001B"/>
    <w:rsid w:val="00760551"/>
    <w:rsid w:val="00760B6F"/>
    <w:rsid w:val="0076609C"/>
    <w:rsid w:val="007661EB"/>
    <w:rsid w:val="007717E9"/>
    <w:rsid w:val="00771B66"/>
    <w:rsid w:val="00772277"/>
    <w:rsid w:val="007725CA"/>
    <w:rsid w:val="007725E6"/>
    <w:rsid w:val="00772861"/>
    <w:rsid w:val="00773331"/>
    <w:rsid w:val="00773BAC"/>
    <w:rsid w:val="00775FFD"/>
    <w:rsid w:val="00777667"/>
    <w:rsid w:val="007804D0"/>
    <w:rsid w:val="00780FF1"/>
    <w:rsid w:val="00782A32"/>
    <w:rsid w:val="00783198"/>
    <w:rsid w:val="007854CE"/>
    <w:rsid w:val="007865B2"/>
    <w:rsid w:val="007914E5"/>
    <w:rsid w:val="00791F3B"/>
    <w:rsid w:val="007932EF"/>
    <w:rsid w:val="0079340B"/>
    <w:rsid w:val="007A0D4C"/>
    <w:rsid w:val="007A148A"/>
    <w:rsid w:val="007A37A5"/>
    <w:rsid w:val="007A5056"/>
    <w:rsid w:val="007A50EF"/>
    <w:rsid w:val="007A52B9"/>
    <w:rsid w:val="007A7F08"/>
    <w:rsid w:val="007B1859"/>
    <w:rsid w:val="007B1E90"/>
    <w:rsid w:val="007B4E65"/>
    <w:rsid w:val="007C005D"/>
    <w:rsid w:val="007C0539"/>
    <w:rsid w:val="007C12D8"/>
    <w:rsid w:val="007C2B2E"/>
    <w:rsid w:val="007C3F82"/>
    <w:rsid w:val="007C433C"/>
    <w:rsid w:val="007C569D"/>
    <w:rsid w:val="007C6D3D"/>
    <w:rsid w:val="007D3128"/>
    <w:rsid w:val="007D4228"/>
    <w:rsid w:val="007D5B99"/>
    <w:rsid w:val="007D68C8"/>
    <w:rsid w:val="007E05B0"/>
    <w:rsid w:val="007E18E3"/>
    <w:rsid w:val="007E3B34"/>
    <w:rsid w:val="007E796B"/>
    <w:rsid w:val="007F1329"/>
    <w:rsid w:val="007F1C29"/>
    <w:rsid w:val="007F2104"/>
    <w:rsid w:val="007F22D5"/>
    <w:rsid w:val="007F3273"/>
    <w:rsid w:val="007F3CAC"/>
    <w:rsid w:val="007F5329"/>
    <w:rsid w:val="007F5FAD"/>
    <w:rsid w:val="007F6E74"/>
    <w:rsid w:val="00804CDF"/>
    <w:rsid w:val="00804DA8"/>
    <w:rsid w:val="00806C0E"/>
    <w:rsid w:val="0081059C"/>
    <w:rsid w:val="0081165A"/>
    <w:rsid w:val="00813011"/>
    <w:rsid w:val="0081421C"/>
    <w:rsid w:val="00814C8E"/>
    <w:rsid w:val="00816B3F"/>
    <w:rsid w:val="00816EEB"/>
    <w:rsid w:val="00817D88"/>
    <w:rsid w:val="008207CE"/>
    <w:rsid w:val="00820825"/>
    <w:rsid w:val="00831644"/>
    <w:rsid w:val="008331B8"/>
    <w:rsid w:val="00833988"/>
    <w:rsid w:val="00837FF1"/>
    <w:rsid w:val="00840003"/>
    <w:rsid w:val="0084140D"/>
    <w:rsid w:val="0084161C"/>
    <w:rsid w:val="00841740"/>
    <w:rsid w:val="00844AF2"/>
    <w:rsid w:val="008453F2"/>
    <w:rsid w:val="00845AFB"/>
    <w:rsid w:val="008471BE"/>
    <w:rsid w:val="008528B3"/>
    <w:rsid w:val="00852A63"/>
    <w:rsid w:val="00853E2D"/>
    <w:rsid w:val="0085560A"/>
    <w:rsid w:val="00860503"/>
    <w:rsid w:val="00864AB0"/>
    <w:rsid w:val="0086531D"/>
    <w:rsid w:val="008657E2"/>
    <w:rsid w:val="00866C0B"/>
    <w:rsid w:val="008709CC"/>
    <w:rsid w:val="00873262"/>
    <w:rsid w:val="0087449C"/>
    <w:rsid w:val="00874D22"/>
    <w:rsid w:val="00875B7D"/>
    <w:rsid w:val="00875D4F"/>
    <w:rsid w:val="0087668A"/>
    <w:rsid w:val="00877CB3"/>
    <w:rsid w:val="0088107B"/>
    <w:rsid w:val="00881391"/>
    <w:rsid w:val="008825A6"/>
    <w:rsid w:val="00886111"/>
    <w:rsid w:val="00890DBD"/>
    <w:rsid w:val="00891D5E"/>
    <w:rsid w:val="008959EE"/>
    <w:rsid w:val="00896C81"/>
    <w:rsid w:val="008A01E4"/>
    <w:rsid w:val="008A08ED"/>
    <w:rsid w:val="008A18B3"/>
    <w:rsid w:val="008A2914"/>
    <w:rsid w:val="008A2960"/>
    <w:rsid w:val="008B10ED"/>
    <w:rsid w:val="008B15CE"/>
    <w:rsid w:val="008B2BAC"/>
    <w:rsid w:val="008B4965"/>
    <w:rsid w:val="008B558F"/>
    <w:rsid w:val="008B5A5F"/>
    <w:rsid w:val="008B6AA5"/>
    <w:rsid w:val="008C0463"/>
    <w:rsid w:val="008C1420"/>
    <w:rsid w:val="008C2808"/>
    <w:rsid w:val="008C3000"/>
    <w:rsid w:val="008C5DF5"/>
    <w:rsid w:val="008D0417"/>
    <w:rsid w:val="008D3823"/>
    <w:rsid w:val="008D699D"/>
    <w:rsid w:val="008D7A8A"/>
    <w:rsid w:val="008E1448"/>
    <w:rsid w:val="008E1F90"/>
    <w:rsid w:val="008E30A6"/>
    <w:rsid w:val="008E3EB2"/>
    <w:rsid w:val="008E4D8E"/>
    <w:rsid w:val="008F01D5"/>
    <w:rsid w:val="008F2C43"/>
    <w:rsid w:val="008F4C0D"/>
    <w:rsid w:val="008F4DAD"/>
    <w:rsid w:val="008F5503"/>
    <w:rsid w:val="008F6568"/>
    <w:rsid w:val="008F66D4"/>
    <w:rsid w:val="008F7CB4"/>
    <w:rsid w:val="008F7F0E"/>
    <w:rsid w:val="009046AC"/>
    <w:rsid w:val="00905885"/>
    <w:rsid w:val="00907916"/>
    <w:rsid w:val="00907B34"/>
    <w:rsid w:val="009103C7"/>
    <w:rsid w:val="00910C5E"/>
    <w:rsid w:val="009127F7"/>
    <w:rsid w:val="0091284A"/>
    <w:rsid w:val="009131FF"/>
    <w:rsid w:val="009135EA"/>
    <w:rsid w:val="00914BAC"/>
    <w:rsid w:val="009153F7"/>
    <w:rsid w:val="00915726"/>
    <w:rsid w:val="00915968"/>
    <w:rsid w:val="00916465"/>
    <w:rsid w:val="009168F3"/>
    <w:rsid w:val="00916A9B"/>
    <w:rsid w:val="00916C13"/>
    <w:rsid w:val="009213AD"/>
    <w:rsid w:val="009214D7"/>
    <w:rsid w:val="00923E27"/>
    <w:rsid w:val="0092433A"/>
    <w:rsid w:val="00926EBE"/>
    <w:rsid w:val="00926EF7"/>
    <w:rsid w:val="009333E1"/>
    <w:rsid w:val="00933F5D"/>
    <w:rsid w:val="00934E78"/>
    <w:rsid w:val="00937F96"/>
    <w:rsid w:val="009432C2"/>
    <w:rsid w:val="00943744"/>
    <w:rsid w:val="009464BC"/>
    <w:rsid w:val="00947540"/>
    <w:rsid w:val="0094795F"/>
    <w:rsid w:val="00950866"/>
    <w:rsid w:val="00952E41"/>
    <w:rsid w:val="0095308B"/>
    <w:rsid w:val="00953D5A"/>
    <w:rsid w:val="00954ABF"/>
    <w:rsid w:val="00955B21"/>
    <w:rsid w:val="00956115"/>
    <w:rsid w:val="00961176"/>
    <w:rsid w:val="009651B4"/>
    <w:rsid w:val="00965DB1"/>
    <w:rsid w:val="00966CD4"/>
    <w:rsid w:val="00967240"/>
    <w:rsid w:val="00970ACC"/>
    <w:rsid w:val="0097314B"/>
    <w:rsid w:val="00980246"/>
    <w:rsid w:val="00981BF3"/>
    <w:rsid w:val="00991547"/>
    <w:rsid w:val="009933CA"/>
    <w:rsid w:val="00996F15"/>
    <w:rsid w:val="009A088A"/>
    <w:rsid w:val="009A330A"/>
    <w:rsid w:val="009A397B"/>
    <w:rsid w:val="009A5AB1"/>
    <w:rsid w:val="009A635D"/>
    <w:rsid w:val="009A64DE"/>
    <w:rsid w:val="009B2622"/>
    <w:rsid w:val="009B391C"/>
    <w:rsid w:val="009B7E4B"/>
    <w:rsid w:val="009C1843"/>
    <w:rsid w:val="009C262D"/>
    <w:rsid w:val="009C29F0"/>
    <w:rsid w:val="009C58F4"/>
    <w:rsid w:val="009C6AB9"/>
    <w:rsid w:val="009C77BC"/>
    <w:rsid w:val="009D3A2A"/>
    <w:rsid w:val="009D60AD"/>
    <w:rsid w:val="009E0055"/>
    <w:rsid w:val="009E1FD7"/>
    <w:rsid w:val="009E2F24"/>
    <w:rsid w:val="009E354D"/>
    <w:rsid w:val="009E3C9E"/>
    <w:rsid w:val="009E3CD5"/>
    <w:rsid w:val="009E591F"/>
    <w:rsid w:val="009E7E06"/>
    <w:rsid w:val="009F123B"/>
    <w:rsid w:val="009F33A0"/>
    <w:rsid w:val="009F3EEB"/>
    <w:rsid w:val="009F50AE"/>
    <w:rsid w:val="009F6EB7"/>
    <w:rsid w:val="009F6FDA"/>
    <w:rsid w:val="009F7113"/>
    <w:rsid w:val="00A00289"/>
    <w:rsid w:val="00A02E41"/>
    <w:rsid w:val="00A03017"/>
    <w:rsid w:val="00A031A7"/>
    <w:rsid w:val="00A03304"/>
    <w:rsid w:val="00A06457"/>
    <w:rsid w:val="00A13E0C"/>
    <w:rsid w:val="00A158A1"/>
    <w:rsid w:val="00A16F36"/>
    <w:rsid w:val="00A174A4"/>
    <w:rsid w:val="00A20697"/>
    <w:rsid w:val="00A2109E"/>
    <w:rsid w:val="00A25CA1"/>
    <w:rsid w:val="00A2651F"/>
    <w:rsid w:val="00A30EC8"/>
    <w:rsid w:val="00A31FDF"/>
    <w:rsid w:val="00A32979"/>
    <w:rsid w:val="00A355C0"/>
    <w:rsid w:val="00A35AA8"/>
    <w:rsid w:val="00A41941"/>
    <w:rsid w:val="00A45E33"/>
    <w:rsid w:val="00A50845"/>
    <w:rsid w:val="00A5356E"/>
    <w:rsid w:val="00A54727"/>
    <w:rsid w:val="00A5562B"/>
    <w:rsid w:val="00A5693F"/>
    <w:rsid w:val="00A600FA"/>
    <w:rsid w:val="00A60E43"/>
    <w:rsid w:val="00A620DE"/>
    <w:rsid w:val="00A62A73"/>
    <w:rsid w:val="00A66D07"/>
    <w:rsid w:val="00A71159"/>
    <w:rsid w:val="00A712B1"/>
    <w:rsid w:val="00A713AC"/>
    <w:rsid w:val="00A72CED"/>
    <w:rsid w:val="00A73C86"/>
    <w:rsid w:val="00A73CA8"/>
    <w:rsid w:val="00A74FA5"/>
    <w:rsid w:val="00A77D56"/>
    <w:rsid w:val="00A809DC"/>
    <w:rsid w:val="00A8252F"/>
    <w:rsid w:val="00A848CA"/>
    <w:rsid w:val="00A901FB"/>
    <w:rsid w:val="00A93D78"/>
    <w:rsid w:val="00A94F68"/>
    <w:rsid w:val="00A95944"/>
    <w:rsid w:val="00A96CC2"/>
    <w:rsid w:val="00A97384"/>
    <w:rsid w:val="00AA2152"/>
    <w:rsid w:val="00AA3351"/>
    <w:rsid w:val="00AA5B30"/>
    <w:rsid w:val="00AA662F"/>
    <w:rsid w:val="00AA6CE8"/>
    <w:rsid w:val="00AA7130"/>
    <w:rsid w:val="00AB14A1"/>
    <w:rsid w:val="00AB18F2"/>
    <w:rsid w:val="00AB4246"/>
    <w:rsid w:val="00AB5433"/>
    <w:rsid w:val="00AB5916"/>
    <w:rsid w:val="00AB6DAD"/>
    <w:rsid w:val="00AB704D"/>
    <w:rsid w:val="00AB7F39"/>
    <w:rsid w:val="00AC0D6E"/>
    <w:rsid w:val="00AC1D1C"/>
    <w:rsid w:val="00AC1E55"/>
    <w:rsid w:val="00AC27AC"/>
    <w:rsid w:val="00AC3038"/>
    <w:rsid w:val="00AC3888"/>
    <w:rsid w:val="00AC47D1"/>
    <w:rsid w:val="00AC7B1B"/>
    <w:rsid w:val="00AD12F8"/>
    <w:rsid w:val="00AD2B63"/>
    <w:rsid w:val="00AD36A3"/>
    <w:rsid w:val="00AD639C"/>
    <w:rsid w:val="00AE0FE0"/>
    <w:rsid w:val="00AE390A"/>
    <w:rsid w:val="00AE3A3C"/>
    <w:rsid w:val="00AE4DA8"/>
    <w:rsid w:val="00AE529B"/>
    <w:rsid w:val="00AE5FC5"/>
    <w:rsid w:val="00AE6465"/>
    <w:rsid w:val="00AF5865"/>
    <w:rsid w:val="00AF6141"/>
    <w:rsid w:val="00B00372"/>
    <w:rsid w:val="00B024CD"/>
    <w:rsid w:val="00B03231"/>
    <w:rsid w:val="00B03E25"/>
    <w:rsid w:val="00B05740"/>
    <w:rsid w:val="00B058D7"/>
    <w:rsid w:val="00B11B92"/>
    <w:rsid w:val="00B16C86"/>
    <w:rsid w:val="00B212E3"/>
    <w:rsid w:val="00B23D4C"/>
    <w:rsid w:val="00B24ED1"/>
    <w:rsid w:val="00B25AC5"/>
    <w:rsid w:val="00B26623"/>
    <w:rsid w:val="00B268BB"/>
    <w:rsid w:val="00B304DD"/>
    <w:rsid w:val="00B305D6"/>
    <w:rsid w:val="00B30C93"/>
    <w:rsid w:val="00B35B58"/>
    <w:rsid w:val="00B410D7"/>
    <w:rsid w:val="00B41F4E"/>
    <w:rsid w:val="00B43AC0"/>
    <w:rsid w:val="00B4451B"/>
    <w:rsid w:val="00B46CE4"/>
    <w:rsid w:val="00B47445"/>
    <w:rsid w:val="00B534D6"/>
    <w:rsid w:val="00B55DCB"/>
    <w:rsid w:val="00B55E16"/>
    <w:rsid w:val="00B56A9C"/>
    <w:rsid w:val="00B5761C"/>
    <w:rsid w:val="00B57AF7"/>
    <w:rsid w:val="00B63388"/>
    <w:rsid w:val="00B650CB"/>
    <w:rsid w:val="00B664CC"/>
    <w:rsid w:val="00B7066B"/>
    <w:rsid w:val="00B752AE"/>
    <w:rsid w:val="00B75706"/>
    <w:rsid w:val="00B766A1"/>
    <w:rsid w:val="00B766AD"/>
    <w:rsid w:val="00B814FD"/>
    <w:rsid w:val="00B815AC"/>
    <w:rsid w:val="00B82614"/>
    <w:rsid w:val="00B82CB9"/>
    <w:rsid w:val="00B83C80"/>
    <w:rsid w:val="00B83E47"/>
    <w:rsid w:val="00B8409E"/>
    <w:rsid w:val="00B84DAB"/>
    <w:rsid w:val="00B84E97"/>
    <w:rsid w:val="00B8500D"/>
    <w:rsid w:val="00B8578D"/>
    <w:rsid w:val="00B86D45"/>
    <w:rsid w:val="00B90D6E"/>
    <w:rsid w:val="00B92D45"/>
    <w:rsid w:val="00B92DB2"/>
    <w:rsid w:val="00B93746"/>
    <w:rsid w:val="00B960EE"/>
    <w:rsid w:val="00B96E81"/>
    <w:rsid w:val="00BA0006"/>
    <w:rsid w:val="00BA10F1"/>
    <w:rsid w:val="00BA2E98"/>
    <w:rsid w:val="00BA4A9C"/>
    <w:rsid w:val="00BA79C0"/>
    <w:rsid w:val="00BB0D10"/>
    <w:rsid w:val="00BB1D83"/>
    <w:rsid w:val="00BB2189"/>
    <w:rsid w:val="00BB37AA"/>
    <w:rsid w:val="00BB399F"/>
    <w:rsid w:val="00BB513C"/>
    <w:rsid w:val="00BC0FDF"/>
    <w:rsid w:val="00BC38A8"/>
    <w:rsid w:val="00BC3B74"/>
    <w:rsid w:val="00BC48FC"/>
    <w:rsid w:val="00BC5563"/>
    <w:rsid w:val="00BC6167"/>
    <w:rsid w:val="00BC6B43"/>
    <w:rsid w:val="00BD00C7"/>
    <w:rsid w:val="00BD2081"/>
    <w:rsid w:val="00BD230A"/>
    <w:rsid w:val="00BD32DC"/>
    <w:rsid w:val="00BD57CB"/>
    <w:rsid w:val="00BD6ADC"/>
    <w:rsid w:val="00BE074F"/>
    <w:rsid w:val="00BE0D6B"/>
    <w:rsid w:val="00BE155E"/>
    <w:rsid w:val="00BE161E"/>
    <w:rsid w:val="00BE203E"/>
    <w:rsid w:val="00BE3002"/>
    <w:rsid w:val="00BE3BB0"/>
    <w:rsid w:val="00BE3DB7"/>
    <w:rsid w:val="00BE48C3"/>
    <w:rsid w:val="00BE4E3B"/>
    <w:rsid w:val="00BF128E"/>
    <w:rsid w:val="00BF45FB"/>
    <w:rsid w:val="00BF48E1"/>
    <w:rsid w:val="00BF503C"/>
    <w:rsid w:val="00BF62D8"/>
    <w:rsid w:val="00BF72CC"/>
    <w:rsid w:val="00BF785D"/>
    <w:rsid w:val="00BF7C95"/>
    <w:rsid w:val="00C01B4D"/>
    <w:rsid w:val="00C02D3D"/>
    <w:rsid w:val="00C03687"/>
    <w:rsid w:val="00C06C51"/>
    <w:rsid w:val="00C06E93"/>
    <w:rsid w:val="00C1134D"/>
    <w:rsid w:val="00C12301"/>
    <w:rsid w:val="00C1304B"/>
    <w:rsid w:val="00C1389F"/>
    <w:rsid w:val="00C168CB"/>
    <w:rsid w:val="00C21A9E"/>
    <w:rsid w:val="00C24183"/>
    <w:rsid w:val="00C25075"/>
    <w:rsid w:val="00C2541A"/>
    <w:rsid w:val="00C25926"/>
    <w:rsid w:val="00C25995"/>
    <w:rsid w:val="00C30C8D"/>
    <w:rsid w:val="00C310AB"/>
    <w:rsid w:val="00C32955"/>
    <w:rsid w:val="00C33098"/>
    <w:rsid w:val="00C33989"/>
    <w:rsid w:val="00C4119D"/>
    <w:rsid w:val="00C42B12"/>
    <w:rsid w:val="00C4357D"/>
    <w:rsid w:val="00C462F9"/>
    <w:rsid w:val="00C47C43"/>
    <w:rsid w:val="00C50071"/>
    <w:rsid w:val="00C5217C"/>
    <w:rsid w:val="00C53D06"/>
    <w:rsid w:val="00C54C07"/>
    <w:rsid w:val="00C54F94"/>
    <w:rsid w:val="00C56298"/>
    <w:rsid w:val="00C56FD4"/>
    <w:rsid w:val="00C6004B"/>
    <w:rsid w:val="00C6388F"/>
    <w:rsid w:val="00C64DFE"/>
    <w:rsid w:val="00C675AE"/>
    <w:rsid w:val="00C678AF"/>
    <w:rsid w:val="00C705F7"/>
    <w:rsid w:val="00C724BF"/>
    <w:rsid w:val="00C7356F"/>
    <w:rsid w:val="00C74887"/>
    <w:rsid w:val="00C848B8"/>
    <w:rsid w:val="00C84E9A"/>
    <w:rsid w:val="00C87FC2"/>
    <w:rsid w:val="00C90D90"/>
    <w:rsid w:val="00C9662E"/>
    <w:rsid w:val="00C9701D"/>
    <w:rsid w:val="00C97F50"/>
    <w:rsid w:val="00CA054D"/>
    <w:rsid w:val="00CA0C2A"/>
    <w:rsid w:val="00CA123B"/>
    <w:rsid w:val="00CA2EBC"/>
    <w:rsid w:val="00CA33AE"/>
    <w:rsid w:val="00CA4DDA"/>
    <w:rsid w:val="00CA5272"/>
    <w:rsid w:val="00CA66B6"/>
    <w:rsid w:val="00CB0091"/>
    <w:rsid w:val="00CB17C3"/>
    <w:rsid w:val="00CB3DBD"/>
    <w:rsid w:val="00CB5F80"/>
    <w:rsid w:val="00CC6F0A"/>
    <w:rsid w:val="00CC7A4A"/>
    <w:rsid w:val="00CD1682"/>
    <w:rsid w:val="00CD29F3"/>
    <w:rsid w:val="00CD43FD"/>
    <w:rsid w:val="00CD4C5D"/>
    <w:rsid w:val="00CD5FC3"/>
    <w:rsid w:val="00CD6948"/>
    <w:rsid w:val="00CE0168"/>
    <w:rsid w:val="00CE3F14"/>
    <w:rsid w:val="00CE450F"/>
    <w:rsid w:val="00CE46BE"/>
    <w:rsid w:val="00CE5474"/>
    <w:rsid w:val="00CE560A"/>
    <w:rsid w:val="00CE5A00"/>
    <w:rsid w:val="00CE6AB0"/>
    <w:rsid w:val="00CE6F48"/>
    <w:rsid w:val="00CF1A1B"/>
    <w:rsid w:val="00CF3C89"/>
    <w:rsid w:val="00CF4BEA"/>
    <w:rsid w:val="00CF561B"/>
    <w:rsid w:val="00D00020"/>
    <w:rsid w:val="00D006B5"/>
    <w:rsid w:val="00D02604"/>
    <w:rsid w:val="00D0323A"/>
    <w:rsid w:val="00D10231"/>
    <w:rsid w:val="00D11659"/>
    <w:rsid w:val="00D1215A"/>
    <w:rsid w:val="00D1276E"/>
    <w:rsid w:val="00D12DB6"/>
    <w:rsid w:val="00D1535A"/>
    <w:rsid w:val="00D157D0"/>
    <w:rsid w:val="00D20381"/>
    <w:rsid w:val="00D2137E"/>
    <w:rsid w:val="00D21674"/>
    <w:rsid w:val="00D24B96"/>
    <w:rsid w:val="00D25224"/>
    <w:rsid w:val="00D26806"/>
    <w:rsid w:val="00D30330"/>
    <w:rsid w:val="00D3097A"/>
    <w:rsid w:val="00D30EED"/>
    <w:rsid w:val="00D3228D"/>
    <w:rsid w:val="00D33CD3"/>
    <w:rsid w:val="00D358AE"/>
    <w:rsid w:val="00D40855"/>
    <w:rsid w:val="00D435D7"/>
    <w:rsid w:val="00D44420"/>
    <w:rsid w:val="00D44A4F"/>
    <w:rsid w:val="00D46973"/>
    <w:rsid w:val="00D50703"/>
    <w:rsid w:val="00D55164"/>
    <w:rsid w:val="00D5659B"/>
    <w:rsid w:val="00D57572"/>
    <w:rsid w:val="00D60636"/>
    <w:rsid w:val="00D61F17"/>
    <w:rsid w:val="00D639F6"/>
    <w:rsid w:val="00D63ABA"/>
    <w:rsid w:val="00D64413"/>
    <w:rsid w:val="00D64D8C"/>
    <w:rsid w:val="00D65DD4"/>
    <w:rsid w:val="00D66AE6"/>
    <w:rsid w:val="00D67F30"/>
    <w:rsid w:val="00D7136D"/>
    <w:rsid w:val="00D748B4"/>
    <w:rsid w:val="00D7788F"/>
    <w:rsid w:val="00D80388"/>
    <w:rsid w:val="00D81EC8"/>
    <w:rsid w:val="00D82E3D"/>
    <w:rsid w:val="00D86811"/>
    <w:rsid w:val="00D87EC4"/>
    <w:rsid w:val="00D932D3"/>
    <w:rsid w:val="00D94575"/>
    <w:rsid w:val="00D9645F"/>
    <w:rsid w:val="00DA0656"/>
    <w:rsid w:val="00DA358B"/>
    <w:rsid w:val="00DA7276"/>
    <w:rsid w:val="00DB01DD"/>
    <w:rsid w:val="00DB2D32"/>
    <w:rsid w:val="00DB4AE1"/>
    <w:rsid w:val="00DB6572"/>
    <w:rsid w:val="00DC0679"/>
    <w:rsid w:val="00DC15D4"/>
    <w:rsid w:val="00DC2720"/>
    <w:rsid w:val="00DC3390"/>
    <w:rsid w:val="00DC412B"/>
    <w:rsid w:val="00DC4303"/>
    <w:rsid w:val="00DC73B9"/>
    <w:rsid w:val="00DD2540"/>
    <w:rsid w:val="00DD2FCA"/>
    <w:rsid w:val="00DD46E1"/>
    <w:rsid w:val="00DE0CB6"/>
    <w:rsid w:val="00DE1242"/>
    <w:rsid w:val="00DE230E"/>
    <w:rsid w:val="00DE363D"/>
    <w:rsid w:val="00DE3FD0"/>
    <w:rsid w:val="00DE4BBA"/>
    <w:rsid w:val="00DE535D"/>
    <w:rsid w:val="00DE5744"/>
    <w:rsid w:val="00DE57CC"/>
    <w:rsid w:val="00DE67E8"/>
    <w:rsid w:val="00DE7846"/>
    <w:rsid w:val="00DF1253"/>
    <w:rsid w:val="00DF3018"/>
    <w:rsid w:val="00DF513B"/>
    <w:rsid w:val="00DF5764"/>
    <w:rsid w:val="00E0001D"/>
    <w:rsid w:val="00E01A47"/>
    <w:rsid w:val="00E06EB4"/>
    <w:rsid w:val="00E06F09"/>
    <w:rsid w:val="00E1189D"/>
    <w:rsid w:val="00E15524"/>
    <w:rsid w:val="00E2171B"/>
    <w:rsid w:val="00E22594"/>
    <w:rsid w:val="00E22A80"/>
    <w:rsid w:val="00E25A69"/>
    <w:rsid w:val="00E260DA"/>
    <w:rsid w:val="00E26B89"/>
    <w:rsid w:val="00E31110"/>
    <w:rsid w:val="00E33F6B"/>
    <w:rsid w:val="00E341FE"/>
    <w:rsid w:val="00E34BD9"/>
    <w:rsid w:val="00E356CB"/>
    <w:rsid w:val="00E37083"/>
    <w:rsid w:val="00E37174"/>
    <w:rsid w:val="00E41A83"/>
    <w:rsid w:val="00E41EF2"/>
    <w:rsid w:val="00E430FC"/>
    <w:rsid w:val="00E43A89"/>
    <w:rsid w:val="00E44C1D"/>
    <w:rsid w:val="00E4682F"/>
    <w:rsid w:val="00E508CB"/>
    <w:rsid w:val="00E52155"/>
    <w:rsid w:val="00E612CF"/>
    <w:rsid w:val="00E621ED"/>
    <w:rsid w:val="00E65B79"/>
    <w:rsid w:val="00E664ED"/>
    <w:rsid w:val="00E67051"/>
    <w:rsid w:val="00E72072"/>
    <w:rsid w:val="00E72288"/>
    <w:rsid w:val="00E73F16"/>
    <w:rsid w:val="00E74B63"/>
    <w:rsid w:val="00E807DB"/>
    <w:rsid w:val="00E8186F"/>
    <w:rsid w:val="00E82591"/>
    <w:rsid w:val="00E8301E"/>
    <w:rsid w:val="00E85437"/>
    <w:rsid w:val="00E85B09"/>
    <w:rsid w:val="00E93636"/>
    <w:rsid w:val="00E93ADA"/>
    <w:rsid w:val="00E949E8"/>
    <w:rsid w:val="00E95F1C"/>
    <w:rsid w:val="00E97FF4"/>
    <w:rsid w:val="00EA0CAB"/>
    <w:rsid w:val="00EA163C"/>
    <w:rsid w:val="00EA19C8"/>
    <w:rsid w:val="00EA6BBD"/>
    <w:rsid w:val="00EA7951"/>
    <w:rsid w:val="00EB5AD7"/>
    <w:rsid w:val="00EB63EC"/>
    <w:rsid w:val="00EB71FA"/>
    <w:rsid w:val="00EB73DE"/>
    <w:rsid w:val="00EC06C1"/>
    <w:rsid w:val="00EC1C24"/>
    <w:rsid w:val="00EC3D2D"/>
    <w:rsid w:val="00EC4B6D"/>
    <w:rsid w:val="00ED06CE"/>
    <w:rsid w:val="00ED3212"/>
    <w:rsid w:val="00ED3241"/>
    <w:rsid w:val="00ED3FF0"/>
    <w:rsid w:val="00ED47DA"/>
    <w:rsid w:val="00ED4B06"/>
    <w:rsid w:val="00ED5528"/>
    <w:rsid w:val="00EE1F43"/>
    <w:rsid w:val="00EE41C3"/>
    <w:rsid w:val="00EE5DCD"/>
    <w:rsid w:val="00EF11B9"/>
    <w:rsid w:val="00EF1B86"/>
    <w:rsid w:val="00EF2C2D"/>
    <w:rsid w:val="00F00B48"/>
    <w:rsid w:val="00F04AEF"/>
    <w:rsid w:val="00F04EA3"/>
    <w:rsid w:val="00F06905"/>
    <w:rsid w:val="00F07523"/>
    <w:rsid w:val="00F10324"/>
    <w:rsid w:val="00F1125D"/>
    <w:rsid w:val="00F1154F"/>
    <w:rsid w:val="00F11B4B"/>
    <w:rsid w:val="00F1483A"/>
    <w:rsid w:val="00F15E19"/>
    <w:rsid w:val="00F20287"/>
    <w:rsid w:val="00F20C32"/>
    <w:rsid w:val="00F21618"/>
    <w:rsid w:val="00F223D5"/>
    <w:rsid w:val="00F22F09"/>
    <w:rsid w:val="00F24D5B"/>
    <w:rsid w:val="00F25149"/>
    <w:rsid w:val="00F3031B"/>
    <w:rsid w:val="00F30BB2"/>
    <w:rsid w:val="00F314AB"/>
    <w:rsid w:val="00F334BC"/>
    <w:rsid w:val="00F35535"/>
    <w:rsid w:val="00F35700"/>
    <w:rsid w:val="00F3590B"/>
    <w:rsid w:val="00F378F5"/>
    <w:rsid w:val="00F37BCB"/>
    <w:rsid w:val="00F40950"/>
    <w:rsid w:val="00F42AC2"/>
    <w:rsid w:val="00F42EA9"/>
    <w:rsid w:val="00F44DA3"/>
    <w:rsid w:val="00F47241"/>
    <w:rsid w:val="00F50E43"/>
    <w:rsid w:val="00F51289"/>
    <w:rsid w:val="00F51CE8"/>
    <w:rsid w:val="00F57D2F"/>
    <w:rsid w:val="00F62DB2"/>
    <w:rsid w:val="00F66401"/>
    <w:rsid w:val="00F66812"/>
    <w:rsid w:val="00F72CEB"/>
    <w:rsid w:val="00F7467D"/>
    <w:rsid w:val="00F8122D"/>
    <w:rsid w:val="00F82B98"/>
    <w:rsid w:val="00F83FF9"/>
    <w:rsid w:val="00F86D77"/>
    <w:rsid w:val="00F8790B"/>
    <w:rsid w:val="00F9025B"/>
    <w:rsid w:val="00F938BE"/>
    <w:rsid w:val="00F94861"/>
    <w:rsid w:val="00F952EA"/>
    <w:rsid w:val="00F978D2"/>
    <w:rsid w:val="00FA0AEA"/>
    <w:rsid w:val="00FA1355"/>
    <w:rsid w:val="00FA160B"/>
    <w:rsid w:val="00FA1D16"/>
    <w:rsid w:val="00FA279F"/>
    <w:rsid w:val="00FA3FE4"/>
    <w:rsid w:val="00FA4BCF"/>
    <w:rsid w:val="00FA69F0"/>
    <w:rsid w:val="00FA79F5"/>
    <w:rsid w:val="00FB0D14"/>
    <w:rsid w:val="00FB17F6"/>
    <w:rsid w:val="00FB4FE8"/>
    <w:rsid w:val="00FB557C"/>
    <w:rsid w:val="00FB6A35"/>
    <w:rsid w:val="00FB74FC"/>
    <w:rsid w:val="00FC0448"/>
    <w:rsid w:val="00FC1741"/>
    <w:rsid w:val="00FC38F8"/>
    <w:rsid w:val="00FC609B"/>
    <w:rsid w:val="00FC7DFA"/>
    <w:rsid w:val="00FD1B9E"/>
    <w:rsid w:val="00FD283C"/>
    <w:rsid w:val="00FD2E19"/>
    <w:rsid w:val="00FD307C"/>
    <w:rsid w:val="00FD67A0"/>
    <w:rsid w:val="00FD7484"/>
    <w:rsid w:val="00FE1081"/>
    <w:rsid w:val="00FE42C0"/>
    <w:rsid w:val="00FE5DD9"/>
    <w:rsid w:val="00FE7150"/>
    <w:rsid w:val="00FE7167"/>
    <w:rsid w:val="00FE7734"/>
    <w:rsid w:val="00FF1CEE"/>
    <w:rsid w:val="00FF40AB"/>
    <w:rsid w:val="00FF7105"/>
    <w:rsid w:val="00FF7A38"/>
    <w:rsid w:val="013042B9"/>
    <w:rsid w:val="016BC33E"/>
    <w:rsid w:val="016E4E20"/>
    <w:rsid w:val="018021DF"/>
    <w:rsid w:val="018A5DA6"/>
    <w:rsid w:val="0196C39C"/>
    <w:rsid w:val="01A0C334"/>
    <w:rsid w:val="01F52BE3"/>
    <w:rsid w:val="020A30BE"/>
    <w:rsid w:val="02308BBF"/>
    <w:rsid w:val="02A8C476"/>
    <w:rsid w:val="02D39F6F"/>
    <w:rsid w:val="032A0CD0"/>
    <w:rsid w:val="0362E3E4"/>
    <w:rsid w:val="03D6EF5C"/>
    <w:rsid w:val="0406522A"/>
    <w:rsid w:val="0411DC38"/>
    <w:rsid w:val="04360B28"/>
    <w:rsid w:val="0436EB83"/>
    <w:rsid w:val="044AE9DC"/>
    <w:rsid w:val="048237C7"/>
    <w:rsid w:val="0485EB70"/>
    <w:rsid w:val="0591DCD8"/>
    <w:rsid w:val="05A796BD"/>
    <w:rsid w:val="05D9B8A5"/>
    <w:rsid w:val="05F0842A"/>
    <w:rsid w:val="060C9B50"/>
    <w:rsid w:val="065D981A"/>
    <w:rsid w:val="0664DE02"/>
    <w:rsid w:val="0674AF55"/>
    <w:rsid w:val="069864D3"/>
    <w:rsid w:val="06B16BEB"/>
    <w:rsid w:val="06DDAFCB"/>
    <w:rsid w:val="0711FE1B"/>
    <w:rsid w:val="07229935"/>
    <w:rsid w:val="072DA220"/>
    <w:rsid w:val="07544965"/>
    <w:rsid w:val="075ED8D6"/>
    <w:rsid w:val="07614629"/>
    <w:rsid w:val="081A05E0"/>
    <w:rsid w:val="083371CF"/>
    <w:rsid w:val="08DD6C93"/>
    <w:rsid w:val="08F23038"/>
    <w:rsid w:val="09104E2B"/>
    <w:rsid w:val="0920BCE9"/>
    <w:rsid w:val="097CC189"/>
    <w:rsid w:val="09B3EA40"/>
    <w:rsid w:val="09BDF3F2"/>
    <w:rsid w:val="09DADD72"/>
    <w:rsid w:val="0A9E51D6"/>
    <w:rsid w:val="0AC6D8F9"/>
    <w:rsid w:val="0AEFE658"/>
    <w:rsid w:val="0B28E39D"/>
    <w:rsid w:val="0B8B288F"/>
    <w:rsid w:val="0BA9C8C7"/>
    <w:rsid w:val="0C27C3B9"/>
    <w:rsid w:val="0C4E5DD4"/>
    <w:rsid w:val="0CB6A21C"/>
    <w:rsid w:val="0D5C393A"/>
    <w:rsid w:val="0E0C296C"/>
    <w:rsid w:val="0E11449C"/>
    <w:rsid w:val="0E153F42"/>
    <w:rsid w:val="0EB2F242"/>
    <w:rsid w:val="0ED51A53"/>
    <w:rsid w:val="0EDA0A4B"/>
    <w:rsid w:val="0F194D8A"/>
    <w:rsid w:val="0F3881BF"/>
    <w:rsid w:val="0F6CF956"/>
    <w:rsid w:val="0FCE2814"/>
    <w:rsid w:val="1041B810"/>
    <w:rsid w:val="10817411"/>
    <w:rsid w:val="10F3B2C9"/>
    <w:rsid w:val="11350DF9"/>
    <w:rsid w:val="11436310"/>
    <w:rsid w:val="11487A57"/>
    <w:rsid w:val="11696677"/>
    <w:rsid w:val="1184F2CB"/>
    <w:rsid w:val="118788D8"/>
    <w:rsid w:val="12076C57"/>
    <w:rsid w:val="1215A4EC"/>
    <w:rsid w:val="123C4B8E"/>
    <w:rsid w:val="13195A70"/>
    <w:rsid w:val="136C05DA"/>
    <w:rsid w:val="13A9666A"/>
    <w:rsid w:val="13FC9352"/>
    <w:rsid w:val="141E4ADA"/>
    <w:rsid w:val="142041B5"/>
    <w:rsid w:val="14383AEA"/>
    <w:rsid w:val="145C33C6"/>
    <w:rsid w:val="148E5F3B"/>
    <w:rsid w:val="149F2F6A"/>
    <w:rsid w:val="14CC8EDC"/>
    <w:rsid w:val="14E0CA3B"/>
    <w:rsid w:val="14FE5418"/>
    <w:rsid w:val="1584D703"/>
    <w:rsid w:val="159B81FE"/>
    <w:rsid w:val="15E6D19D"/>
    <w:rsid w:val="15E8EDAA"/>
    <w:rsid w:val="15EBC751"/>
    <w:rsid w:val="160904C1"/>
    <w:rsid w:val="164478A2"/>
    <w:rsid w:val="168368ED"/>
    <w:rsid w:val="16BA7D0C"/>
    <w:rsid w:val="16BF33B3"/>
    <w:rsid w:val="1721D2F2"/>
    <w:rsid w:val="1725DFB6"/>
    <w:rsid w:val="172F3BDA"/>
    <w:rsid w:val="17B34148"/>
    <w:rsid w:val="17D4C874"/>
    <w:rsid w:val="17E16203"/>
    <w:rsid w:val="182C8BEC"/>
    <w:rsid w:val="184806D1"/>
    <w:rsid w:val="18BFAF5C"/>
    <w:rsid w:val="18C7967E"/>
    <w:rsid w:val="1973BF28"/>
    <w:rsid w:val="19C08859"/>
    <w:rsid w:val="19C43842"/>
    <w:rsid w:val="19C765BD"/>
    <w:rsid w:val="19EF21A9"/>
    <w:rsid w:val="1A70E30D"/>
    <w:rsid w:val="1A7AC07C"/>
    <w:rsid w:val="1B569CF0"/>
    <w:rsid w:val="1B91AC2D"/>
    <w:rsid w:val="1BF118E1"/>
    <w:rsid w:val="1BFC9BE6"/>
    <w:rsid w:val="1C2CF89C"/>
    <w:rsid w:val="1C371C92"/>
    <w:rsid w:val="1C40B915"/>
    <w:rsid w:val="1C4D05C2"/>
    <w:rsid w:val="1C61DB98"/>
    <w:rsid w:val="1CB8FE55"/>
    <w:rsid w:val="1CBCC064"/>
    <w:rsid w:val="1CDD63A6"/>
    <w:rsid w:val="1CFD560A"/>
    <w:rsid w:val="1D328491"/>
    <w:rsid w:val="1D5A7B62"/>
    <w:rsid w:val="1D85E95A"/>
    <w:rsid w:val="1DA20C92"/>
    <w:rsid w:val="1DD82814"/>
    <w:rsid w:val="1DD8FDFF"/>
    <w:rsid w:val="1DF1469C"/>
    <w:rsid w:val="1E1F7394"/>
    <w:rsid w:val="1F16C183"/>
    <w:rsid w:val="1F21495F"/>
    <w:rsid w:val="1F429D26"/>
    <w:rsid w:val="1FA2509A"/>
    <w:rsid w:val="20247757"/>
    <w:rsid w:val="2034B85C"/>
    <w:rsid w:val="2079A432"/>
    <w:rsid w:val="20A6FCAE"/>
    <w:rsid w:val="20C8FB29"/>
    <w:rsid w:val="20D3C92F"/>
    <w:rsid w:val="20F3215A"/>
    <w:rsid w:val="2116E7A8"/>
    <w:rsid w:val="2128B8D2"/>
    <w:rsid w:val="21477C18"/>
    <w:rsid w:val="2163484C"/>
    <w:rsid w:val="2182690C"/>
    <w:rsid w:val="21826C9D"/>
    <w:rsid w:val="21CB9B78"/>
    <w:rsid w:val="21F18146"/>
    <w:rsid w:val="21FE8FCD"/>
    <w:rsid w:val="220A11A8"/>
    <w:rsid w:val="2223099D"/>
    <w:rsid w:val="2229A367"/>
    <w:rsid w:val="223B7015"/>
    <w:rsid w:val="2265F51F"/>
    <w:rsid w:val="22832274"/>
    <w:rsid w:val="23084D72"/>
    <w:rsid w:val="23329A78"/>
    <w:rsid w:val="23350CE1"/>
    <w:rsid w:val="23B07251"/>
    <w:rsid w:val="241AFF07"/>
    <w:rsid w:val="2429E861"/>
    <w:rsid w:val="2435DE8C"/>
    <w:rsid w:val="24577F25"/>
    <w:rsid w:val="247526C6"/>
    <w:rsid w:val="24E0205F"/>
    <w:rsid w:val="24EC1755"/>
    <w:rsid w:val="2510D8DB"/>
    <w:rsid w:val="25F17A70"/>
    <w:rsid w:val="261A0AF3"/>
    <w:rsid w:val="263CCC6D"/>
    <w:rsid w:val="264EC4F6"/>
    <w:rsid w:val="26926FFE"/>
    <w:rsid w:val="26B73904"/>
    <w:rsid w:val="26C75686"/>
    <w:rsid w:val="26F9ED37"/>
    <w:rsid w:val="27905D21"/>
    <w:rsid w:val="27BEB1A6"/>
    <w:rsid w:val="27FA8955"/>
    <w:rsid w:val="2800BEAF"/>
    <w:rsid w:val="2831897A"/>
    <w:rsid w:val="2845BB6C"/>
    <w:rsid w:val="28528415"/>
    <w:rsid w:val="286608DF"/>
    <w:rsid w:val="2876E525"/>
    <w:rsid w:val="2878705C"/>
    <w:rsid w:val="28A319E7"/>
    <w:rsid w:val="28B85564"/>
    <w:rsid w:val="28BB0244"/>
    <w:rsid w:val="28D612B5"/>
    <w:rsid w:val="292F2542"/>
    <w:rsid w:val="2956CD7D"/>
    <w:rsid w:val="296A01E7"/>
    <w:rsid w:val="2971C832"/>
    <w:rsid w:val="2976172E"/>
    <w:rsid w:val="298756A8"/>
    <w:rsid w:val="298E5DA4"/>
    <w:rsid w:val="299BFEBE"/>
    <w:rsid w:val="29A160A1"/>
    <w:rsid w:val="29B3DA4D"/>
    <w:rsid w:val="29B5E2D3"/>
    <w:rsid w:val="29C5232D"/>
    <w:rsid w:val="2A05F9C9"/>
    <w:rsid w:val="2A2DA9AA"/>
    <w:rsid w:val="2A3A8E6A"/>
    <w:rsid w:val="2A62E035"/>
    <w:rsid w:val="2AC9DA49"/>
    <w:rsid w:val="2B3AF45B"/>
    <w:rsid w:val="2B73C68F"/>
    <w:rsid w:val="2BA333D5"/>
    <w:rsid w:val="2C3CBD4A"/>
    <w:rsid w:val="2C4AD4D9"/>
    <w:rsid w:val="2C54D805"/>
    <w:rsid w:val="2C7EB14F"/>
    <w:rsid w:val="2CCFDB09"/>
    <w:rsid w:val="2D245030"/>
    <w:rsid w:val="2D28B997"/>
    <w:rsid w:val="2D8CBB23"/>
    <w:rsid w:val="2DD9D606"/>
    <w:rsid w:val="2E236BFD"/>
    <w:rsid w:val="2EBE2101"/>
    <w:rsid w:val="2EFB3B82"/>
    <w:rsid w:val="2F739749"/>
    <w:rsid w:val="2FA59CB3"/>
    <w:rsid w:val="2FB7912C"/>
    <w:rsid w:val="2FB81624"/>
    <w:rsid w:val="30114755"/>
    <w:rsid w:val="301F2F1F"/>
    <w:rsid w:val="302F4427"/>
    <w:rsid w:val="3037CE7A"/>
    <w:rsid w:val="3049A790"/>
    <w:rsid w:val="3071BD12"/>
    <w:rsid w:val="308D1953"/>
    <w:rsid w:val="30BA57C3"/>
    <w:rsid w:val="30E3EB01"/>
    <w:rsid w:val="311BED2A"/>
    <w:rsid w:val="312055F7"/>
    <w:rsid w:val="314B5243"/>
    <w:rsid w:val="318B7012"/>
    <w:rsid w:val="31FC0DEE"/>
    <w:rsid w:val="325E4BDB"/>
    <w:rsid w:val="32740D5A"/>
    <w:rsid w:val="32E9D689"/>
    <w:rsid w:val="32F5348C"/>
    <w:rsid w:val="335FD53A"/>
    <w:rsid w:val="33B52266"/>
    <w:rsid w:val="33E7B4BD"/>
    <w:rsid w:val="34402994"/>
    <w:rsid w:val="34512EC9"/>
    <w:rsid w:val="347E6CA6"/>
    <w:rsid w:val="3487A95E"/>
    <w:rsid w:val="3491B6A8"/>
    <w:rsid w:val="34D3145C"/>
    <w:rsid w:val="35079EE7"/>
    <w:rsid w:val="350EC13D"/>
    <w:rsid w:val="3528868F"/>
    <w:rsid w:val="353A4F3D"/>
    <w:rsid w:val="353CA5FE"/>
    <w:rsid w:val="356F1C5E"/>
    <w:rsid w:val="35787732"/>
    <w:rsid w:val="35828C59"/>
    <w:rsid w:val="358C875E"/>
    <w:rsid w:val="3596D523"/>
    <w:rsid w:val="35CED949"/>
    <w:rsid w:val="35F1718E"/>
    <w:rsid w:val="35F8552A"/>
    <w:rsid w:val="36163BFF"/>
    <w:rsid w:val="364236B9"/>
    <w:rsid w:val="36E1497B"/>
    <w:rsid w:val="37219B7F"/>
    <w:rsid w:val="3744EB1C"/>
    <w:rsid w:val="37485C84"/>
    <w:rsid w:val="3770A98E"/>
    <w:rsid w:val="379887AC"/>
    <w:rsid w:val="37A7BAA0"/>
    <w:rsid w:val="37AE6B4B"/>
    <w:rsid w:val="37B71800"/>
    <w:rsid w:val="37E3C121"/>
    <w:rsid w:val="37F1945A"/>
    <w:rsid w:val="37FFEC3B"/>
    <w:rsid w:val="380C67CA"/>
    <w:rsid w:val="3827D3A2"/>
    <w:rsid w:val="382E6057"/>
    <w:rsid w:val="38A658DA"/>
    <w:rsid w:val="38AAB2BC"/>
    <w:rsid w:val="38B7D3C0"/>
    <w:rsid w:val="38BA3C53"/>
    <w:rsid w:val="38C11268"/>
    <w:rsid w:val="38F61A6F"/>
    <w:rsid w:val="38FD9CA2"/>
    <w:rsid w:val="39114851"/>
    <w:rsid w:val="3914CB47"/>
    <w:rsid w:val="394B4B69"/>
    <w:rsid w:val="39BE3EBC"/>
    <w:rsid w:val="39F19060"/>
    <w:rsid w:val="3ADC457D"/>
    <w:rsid w:val="3B7B2EF7"/>
    <w:rsid w:val="3BD460FF"/>
    <w:rsid w:val="3BF9B50B"/>
    <w:rsid w:val="3BF9B632"/>
    <w:rsid w:val="3C32CF97"/>
    <w:rsid w:val="3CD93BFF"/>
    <w:rsid w:val="3CF941C0"/>
    <w:rsid w:val="3D0EA8E6"/>
    <w:rsid w:val="3D38A90A"/>
    <w:rsid w:val="3D511FC9"/>
    <w:rsid w:val="3D8E50DD"/>
    <w:rsid w:val="3DB34B73"/>
    <w:rsid w:val="3DE6AD01"/>
    <w:rsid w:val="3E625E0E"/>
    <w:rsid w:val="3E7B192E"/>
    <w:rsid w:val="3E909E1F"/>
    <w:rsid w:val="3E9275D4"/>
    <w:rsid w:val="3F30236C"/>
    <w:rsid w:val="3F747074"/>
    <w:rsid w:val="3FB84E41"/>
    <w:rsid w:val="3FCE2166"/>
    <w:rsid w:val="3FD886AC"/>
    <w:rsid w:val="3FEDCB4E"/>
    <w:rsid w:val="401B51A7"/>
    <w:rsid w:val="40211D16"/>
    <w:rsid w:val="404EE43A"/>
    <w:rsid w:val="40B7A321"/>
    <w:rsid w:val="40CEB40D"/>
    <w:rsid w:val="40DB7E18"/>
    <w:rsid w:val="40FE8624"/>
    <w:rsid w:val="41055207"/>
    <w:rsid w:val="41175385"/>
    <w:rsid w:val="4163420B"/>
    <w:rsid w:val="417B5214"/>
    <w:rsid w:val="41933B1C"/>
    <w:rsid w:val="41DC55FA"/>
    <w:rsid w:val="42335DE2"/>
    <w:rsid w:val="4244A29A"/>
    <w:rsid w:val="42C65972"/>
    <w:rsid w:val="42E39C3F"/>
    <w:rsid w:val="430369A3"/>
    <w:rsid w:val="430D4981"/>
    <w:rsid w:val="430E43FD"/>
    <w:rsid w:val="43143099"/>
    <w:rsid w:val="4325F293"/>
    <w:rsid w:val="43324573"/>
    <w:rsid w:val="4342F109"/>
    <w:rsid w:val="434AE2A8"/>
    <w:rsid w:val="434CF3BB"/>
    <w:rsid w:val="4414416A"/>
    <w:rsid w:val="445E3148"/>
    <w:rsid w:val="4470CA69"/>
    <w:rsid w:val="447D1E37"/>
    <w:rsid w:val="44C613DD"/>
    <w:rsid w:val="44D8C8F9"/>
    <w:rsid w:val="44EEC8B2"/>
    <w:rsid w:val="4513ABAE"/>
    <w:rsid w:val="45761AB7"/>
    <w:rsid w:val="45ACBE04"/>
    <w:rsid w:val="45DE8EC1"/>
    <w:rsid w:val="460C0C4C"/>
    <w:rsid w:val="461231B9"/>
    <w:rsid w:val="4631510C"/>
    <w:rsid w:val="464FD939"/>
    <w:rsid w:val="46AB6F60"/>
    <w:rsid w:val="46ADCCD1"/>
    <w:rsid w:val="46DFE83D"/>
    <w:rsid w:val="472EC03E"/>
    <w:rsid w:val="474121E0"/>
    <w:rsid w:val="478AD43F"/>
    <w:rsid w:val="47927EB5"/>
    <w:rsid w:val="4805BD57"/>
    <w:rsid w:val="4813D500"/>
    <w:rsid w:val="482825DF"/>
    <w:rsid w:val="48514335"/>
    <w:rsid w:val="4854178C"/>
    <w:rsid w:val="486D56D3"/>
    <w:rsid w:val="48BC50F8"/>
    <w:rsid w:val="48C99947"/>
    <w:rsid w:val="493D2C72"/>
    <w:rsid w:val="4963C245"/>
    <w:rsid w:val="49AC79E5"/>
    <w:rsid w:val="49BBD56E"/>
    <w:rsid w:val="49D0BA84"/>
    <w:rsid w:val="4A08A000"/>
    <w:rsid w:val="4A48ECF0"/>
    <w:rsid w:val="4A4C2352"/>
    <w:rsid w:val="4A66327B"/>
    <w:rsid w:val="4A74D6B2"/>
    <w:rsid w:val="4ADAB0D1"/>
    <w:rsid w:val="4AE6DB3C"/>
    <w:rsid w:val="4B557AF6"/>
    <w:rsid w:val="4B718538"/>
    <w:rsid w:val="4B989749"/>
    <w:rsid w:val="4B9E5AE6"/>
    <w:rsid w:val="4BA5D248"/>
    <w:rsid w:val="4BA7FD46"/>
    <w:rsid w:val="4BCB44B0"/>
    <w:rsid w:val="4BD36811"/>
    <w:rsid w:val="4BE5E447"/>
    <w:rsid w:val="4BEF7EAC"/>
    <w:rsid w:val="4BFA8081"/>
    <w:rsid w:val="4C0E037D"/>
    <w:rsid w:val="4C884E51"/>
    <w:rsid w:val="4D1E45CF"/>
    <w:rsid w:val="4D7BC61D"/>
    <w:rsid w:val="4D9186ED"/>
    <w:rsid w:val="4D9A31D4"/>
    <w:rsid w:val="4DC6FFE8"/>
    <w:rsid w:val="4DC8EC6B"/>
    <w:rsid w:val="4E054DC8"/>
    <w:rsid w:val="4E0730E5"/>
    <w:rsid w:val="4E535DC0"/>
    <w:rsid w:val="4E56E65F"/>
    <w:rsid w:val="4E7C8BB0"/>
    <w:rsid w:val="4EA0E1A3"/>
    <w:rsid w:val="4EBDCFE6"/>
    <w:rsid w:val="4EC15B43"/>
    <w:rsid w:val="4F48E63D"/>
    <w:rsid w:val="4F4C7DED"/>
    <w:rsid w:val="4F539766"/>
    <w:rsid w:val="4F68B77C"/>
    <w:rsid w:val="4FA6C673"/>
    <w:rsid w:val="4FB2B86B"/>
    <w:rsid w:val="5007315F"/>
    <w:rsid w:val="503E5A64"/>
    <w:rsid w:val="5086E131"/>
    <w:rsid w:val="50A3F981"/>
    <w:rsid w:val="50C654D1"/>
    <w:rsid w:val="50FFCBA2"/>
    <w:rsid w:val="5111E3AF"/>
    <w:rsid w:val="515464C5"/>
    <w:rsid w:val="51AC067B"/>
    <w:rsid w:val="51B4442E"/>
    <w:rsid w:val="520C5F7C"/>
    <w:rsid w:val="52159B3B"/>
    <w:rsid w:val="52507A9C"/>
    <w:rsid w:val="52CFCED5"/>
    <w:rsid w:val="531FFC9E"/>
    <w:rsid w:val="5330203D"/>
    <w:rsid w:val="53433095"/>
    <w:rsid w:val="538EE185"/>
    <w:rsid w:val="5397E9FE"/>
    <w:rsid w:val="53F45FFC"/>
    <w:rsid w:val="54206345"/>
    <w:rsid w:val="5439DA6E"/>
    <w:rsid w:val="54648989"/>
    <w:rsid w:val="54E503C0"/>
    <w:rsid w:val="54EE1CF8"/>
    <w:rsid w:val="556BE8F9"/>
    <w:rsid w:val="55AB7481"/>
    <w:rsid w:val="55DD633C"/>
    <w:rsid w:val="560CEE43"/>
    <w:rsid w:val="5636306A"/>
    <w:rsid w:val="56637618"/>
    <w:rsid w:val="5694294C"/>
    <w:rsid w:val="56CCF6DB"/>
    <w:rsid w:val="56EE2B03"/>
    <w:rsid w:val="57066F6A"/>
    <w:rsid w:val="57215CB9"/>
    <w:rsid w:val="572A52A5"/>
    <w:rsid w:val="57328A5F"/>
    <w:rsid w:val="57A2E3A7"/>
    <w:rsid w:val="57D25365"/>
    <w:rsid w:val="57F49367"/>
    <w:rsid w:val="580113C2"/>
    <w:rsid w:val="58087352"/>
    <w:rsid w:val="580D3A89"/>
    <w:rsid w:val="58DEE633"/>
    <w:rsid w:val="59174C47"/>
    <w:rsid w:val="592BF024"/>
    <w:rsid w:val="59655F8B"/>
    <w:rsid w:val="59656AB4"/>
    <w:rsid w:val="5981A362"/>
    <w:rsid w:val="598FDBBC"/>
    <w:rsid w:val="5994C3DC"/>
    <w:rsid w:val="59ADE5C3"/>
    <w:rsid w:val="59BC9BB0"/>
    <w:rsid w:val="59C03024"/>
    <w:rsid w:val="59C3E0C5"/>
    <w:rsid w:val="59D0C87D"/>
    <w:rsid w:val="5A17B8FD"/>
    <w:rsid w:val="5A7DEA2F"/>
    <w:rsid w:val="5A7E6BED"/>
    <w:rsid w:val="5AB8A7A2"/>
    <w:rsid w:val="5B41E922"/>
    <w:rsid w:val="5B893C02"/>
    <w:rsid w:val="5BBC4E46"/>
    <w:rsid w:val="5BD5D249"/>
    <w:rsid w:val="5C09BD9E"/>
    <w:rsid w:val="5C30EC51"/>
    <w:rsid w:val="5C3AC4B7"/>
    <w:rsid w:val="5C671167"/>
    <w:rsid w:val="5C69112B"/>
    <w:rsid w:val="5CFF1377"/>
    <w:rsid w:val="5D271C42"/>
    <w:rsid w:val="5D310995"/>
    <w:rsid w:val="5D3773BE"/>
    <w:rsid w:val="5DC43C9D"/>
    <w:rsid w:val="5E1050EF"/>
    <w:rsid w:val="5E43EBC1"/>
    <w:rsid w:val="5E5E0E90"/>
    <w:rsid w:val="5E6F2AAE"/>
    <w:rsid w:val="5F426276"/>
    <w:rsid w:val="5F9E286B"/>
    <w:rsid w:val="5FA16723"/>
    <w:rsid w:val="602AA137"/>
    <w:rsid w:val="605ABB20"/>
    <w:rsid w:val="60673B5A"/>
    <w:rsid w:val="6069FCCB"/>
    <w:rsid w:val="60D7E65C"/>
    <w:rsid w:val="611438E6"/>
    <w:rsid w:val="6133F23B"/>
    <w:rsid w:val="614F20C0"/>
    <w:rsid w:val="616AD59E"/>
    <w:rsid w:val="6170BFE1"/>
    <w:rsid w:val="61CA1A3F"/>
    <w:rsid w:val="61D8A866"/>
    <w:rsid w:val="61E91290"/>
    <w:rsid w:val="61FC6F6D"/>
    <w:rsid w:val="61FDE138"/>
    <w:rsid w:val="622C8202"/>
    <w:rsid w:val="623BB88B"/>
    <w:rsid w:val="62A374C3"/>
    <w:rsid w:val="62D9FC87"/>
    <w:rsid w:val="634B339F"/>
    <w:rsid w:val="63623ED9"/>
    <w:rsid w:val="644CF885"/>
    <w:rsid w:val="646F6F10"/>
    <w:rsid w:val="649DD53F"/>
    <w:rsid w:val="64A9FD8B"/>
    <w:rsid w:val="6589F502"/>
    <w:rsid w:val="658AA0AA"/>
    <w:rsid w:val="659CA1F4"/>
    <w:rsid w:val="65D898C5"/>
    <w:rsid w:val="65EADDBF"/>
    <w:rsid w:val="6600563F"/>
    <w:rsid w:val="66549C36"/>
    <w:rsid w:val="665AD983"/>
    <w:rsid w:val="6668696D"/>
    <w:rsid w:val="66B13D41"/>
    <w:rsid w:val="670B8B58"/>
    <w:rsid w:val="671F4727"/>
    <w:rsid w:val="6751E419"/>
    <w:rsid w:val="679A90B2"/>
    <w:rsid w:val="67BFE85B"/>
    <w:rsid w:val="67E50D80"/>
    <w:rsid w:val="67ED83E6"/>
    <w:rsid w:val="67F5A7EA"/>
    <w:rsid w:val="68179DA6"/>
    <w:rsid w:val="683A1EE1"/>
    <w:rsid w:val="683F37F8"/>
    <w:rsid w:val="68999D63"/>
    <w:rsid w:val="68A83ABE"/>
    <w:rsid w:val="68BDD3E9"/>
    <w:rsid w:val="691D9837"/>
    <w:rsid w:val="69659485"/>
    <w:rsid w:val="69E8CE6B"/>
    <w:rsid w:val="6A1346D1"/>
    <w:rsid w:val="6A581423"/>
    <w:rsid w:val="6A8AE98A"/>
    <w:rsid w:val="6A921FD7"/>
    <w:rsid w:val="6B04504D"/>
    <w:rsid w:val="6B1C52C3"/>
    <w:rsid w:val="6B1EF543"/>
    <w:rsid w:val="6B5DD072"/>
    <w:rsid w:val="6B838FF3"/>
    <w:rsid w:val="6BA6B718"/>
    <w:rsid w:val="6BDBC5AD"/>
    <w:rsid w:val="6C10B130"/>
    <w:rsid w:val="6C23F84D"/>
    <w:rsid w:val="6C6230D0"/>
    <w:rsid w:val="6C6E70E7"/>
    <w:rsid w:val="6CA328AE"/>
    <w:rsid w:val="6D7A4E5F"/>
    <w:rsid w:val="6DE7AA97"/>
    <w:rsid w:val="6E454A8C"/>
    <w:rsid w:val="6E48F632"/>
    <w:rsid w:val="6E6E8792"/>
    <w:rsid w:val="6EA1C8E4"/>
    <w:rsid w:val="6EDA5495"/>
    <w:rsid w:val="6EEB0FDD"/>
    <w:rsid w:val="6F2C104E"/>
    <w:rsid w:val="6F5179EF"/>
    <w:rsid w:val="6F6BB782"/>
    <w:rsid w:val="6F7849B4"/>
    <w:rsid w:val="6FA88CFA"/>
    <w:rsid w:val="700A7411"/>
    <w:rsid w:val="70217716"/>
    <w:rsid w:val="702AAC39"/>
    <w:rsid w:val="7030F1C4"/>
    <w:rsid w:val="70673557"/>
    <w:rsid w:val="707B9FD6"/>
    <w:rsid w:val="70AA7C68"/>
    <w:rsid w:val="70B19652"/>
    <w:rsid w:val="710EF102"/>
    <w:rsid w:val="711E3078"/>
    <w:rsid w:val="712FDA3A"/>
    <w:rsid w:val="7159778B"/>
    <w:rsid w:val="716A9A5C"/>
    <w:rsid w:val="719446AA"/>
    <w:rsid w:val="71C5CF89"/>
    <w:rsid w:val="71C6B843"/>
    <w:rsid w:val="71EC9C52"/>
    <w:rsid w:val="720C0FAA"/>
    <w:rsid w:val="72239D3F"/>
    <w:rsid w:val="7257D352"/>
    <w:rsid w:val="728BC2CE"/>
    <w:rsid w:val="72BF24B7"/>
    <w:rsid w:val="72C4804E"/>
    <w:rsid w:val="72D58C3C"/>
    <w:rsid w:val="72E41B7D"/>
    <w:rsid w:val="732A26A2"/>
    <w:rsid w:val="737BD674"/>
    <w:rsid w:val="738AF056"/>
    <w:rsid w:val="739ABC87"/>
    <w:rsid w:val="73CFE98E"/>
    <w:rsid w:val="7457DF34"/>
    <w:rsid w:val="7499736E"/>
    <w:rsid w:val="74A67F5E"/>
    <w:rsid w:val="7540579A"/>
    <w:rsid w:val="755B9F3A"/>
    <w:rsid w:val="75B6CE72"/>
    <w:rsid w:val="75C93236"/>
    <w:rsid w:val="75E91CAC"/>
    <w:rsid w:val="760A971D"/>
    <w:rsid w:val="763A831D"/>
    <w:rsid w:val="765BD1F4"/>
    <w:rsid w:val="7660105F"/>
    <w:rsid w:val="7680D5BB"/>
    <w:rsid w:val="76FB96BE"/>
    <w:rsid w:val="7780B102"/>
    <w:rsid w:val="779E0406"/>
    <w:rsid w:val="77B58674"/>
    <w:rsid w:val="77C26DBC"/>
    <w:rsid w:val="77F0EFBC"/>
    <w:rsid w:val="78659B9B"/>
    <w:rsid w:val="7872B692"/>
    <w:rsid w:val="7889D825"/>
    <w:rsid w:val="78D0A4DA"/>
    <w:rsid w:val="78F8616D"/>
    <w:rsid w:val="7913399A"/>
    <w:rsid w:val="793C63E1"/>
    <w:rsid w:val="7946AA12"/>
    <w:rsid w:val="794FDFD9"/>
    <w:rsid w:val="7952BDEF"/>
    <w:rsid w:val="795FE296"/>
    <w:rsid w:val="79E95CA2"/>
    <w:rsid w:val="79F075DC"/>
    <w:rsid w:val="7A31FC68"/>
    <w:rsid w:val="7A4FB71A"/>
    <w:rsid w:val="7A9BF03E"/>
    <w:rsid w:val="7AFA7CCD"/>
    <w:rsid w:val="7B0BE68E"/>
    <w:rsid w:val="7B7FC6D9"/>
    <w:rsid w:val="7C1EEA81"/>
    <w:rsid w:val="7C550892"/>
    <w:rsid w:val="7C9DF0AE"/>
    <w:rsid w:val="7D0A5B62"/>
    <w:rsid w:val="7D5CA524"/>
    <w:rsid w:val="7DBD4C86"/>
    <w:rsid w:val="7DE7B34A"/>
    <w:rsid w:val="7E237CA5"/>
    <w:rsid w:val="7E754FA7"/>
    <w:rsid w:val="7E776B20"/>
    <w:rsid w:val="7EC0FE03"/>
    <w:rsid w:val="7ECE2DF4"/>
    <w:rsid w:val="7EE06FBB"/>
    <w:rsid w:val="7F391558"/>
    <w:rsid w:val="7F75680F"/>
    <w:rsid w:val="7F7D15A0"/>
    <w:rsid w:val="7FBCF4AE"/>
    <w:rsid w:val="7FF4BB9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541DF04-0F79-4D8F-84F7-C2A2DCD4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77C2"/>
    <w:pPr>
      <w:spacing w:before="100" w:beforeAutospacing="1" w:after="100" w:afterAutospacing="1"/>
      <w:jc w:val="left"/>
    </w:pPr>
    <w:rPr>
      <w:rFonts w:eastAsia="Times New Roman"/>
      <w:szCs w:val="24"/>
      <w:lang w:eastAsia="fr-BE"/>
    </w:rPr>
  </w:style>
  <w:style w:type="paragraph" w:styleId="ListParagraph">
    <w:name w:val="List Paragraph"/>
    <w:basedOn w:val="Normal"/>
    <w:uiPriority w:val="34"/>
    <w:qFormat/>
    <w:rsid w:val="006C77C2"/>
    <w:pPr>
      <w:ind w:left="720"/>
      <w:contextualSpacing/>
    </w:pPr>
  </w:style>
  <w:style w:type="paragraph" w:styleId="ListBullet">
    <w:name w:val="List Bullet"/>
    <w:basedOn w:val="Normal"/>
    <w:uiPriority w:val="99"/>
    <w:semiHidden/>
    <w:unhideWhenUsed/>
    <w:rsid w:val="00F10324"/>
    <w:pPr>
      <w:numPr>
        <w:numId w:val="1"/>
      </w:numPr>
      <w:contextualSpacing/>
    </w:pPr>
  </w:style>
  <w:style w:type="paragraph" w:styleId="ListBullet2">
    <w:name w:val="List Bullet 2"/>
    <w:basedOn w:val="Normal"/>
    <w:uiPriority w:val="99"/>
    <w:semiHidden/>
    <w:unhideWhenUsed/>
    <w:rsid w:val="00F10324"/>
    <w:pPr>
      <w:numPr>
        <w:numId w:val="2"/>
      </w:numPr>
      <w:contextualSpacing/>
    </w:pPr>
  </w:style>
  <w:style w:type="paragraph" w:styleId="ListBullet3">
    <w:name w:val="List Bullet 3"/>
    <w:basedOn w:val="Normal"/>
    <w:uiPriority w:val="99"/>
    <w:semiHidden/>
    <w:unhideWhenUsed/>
    <w:rsid w:val="00F10324"/>
    <w:pPr>
      <w:numPr>
        <w:numId w:val="3"/>
      </w:numPr>
      <w:contextualSpacing/>
    </w:pPr>
  </w:style>
  <w:style w:type="paragraph" w:styleId="ListBullet4">
    <w:name w:val="List Bullet 4"/>
    <w:basedOn w:val="Normal"/>
    <w:uiPriority w:val="99"/>
    <w:semiHidden/>
    <w:unhideWhenUsed/>
    <w:rsid w:val="00F10324"/>
    <w:pPr>
      <w:numPr>
        <w:numId w:val="4"/>
      </w:numPr>
      <w:contextualSpacing/>
    </w:pPr>
  </w:style>
  <w:style w:type="paragraph" w:styleId="Revision">
    <w:name w:val="Revision"/>
    <w:hidden/>
    <w:uiPriority w:val="99"/>
    <w:semiHidden/>
    <w:rsid w:val="00590DD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F0B6F"/>
    <w:rPr>
      <w:sz w:val="16"/>
      <w:szCs w:val="16"/>
    </w:rPr>
  </w:style>
  <w:style w:type="paragraph" w:styleId="CommentText">
    <w:name w:val="annotation text"/>
    <w:basedOn w:val="Normal"/>
    <w:link w:val="CommentTextChar"/>
    <w:uiPriority w:val="99"/>
    <w:unhideWhenUsed/>
    <w:rsid w:val="001F0B6F"/>
    <w:rPr>
      <w:sz w:val="20"/>
      <w:szCs w:val="20"/>
    </w:rPr>
  </w:style>
  <w:style w:type="character" w:customStyle="1" w:styleId="CommentTextChar">
    <w:name w:val="Comment Text Char"/>
    <w:basedOn w:val="DefaultParagraphFont"/>
    <w:link w:val="CommentText"/>
    <w:uiPriority w:val="99"/>
    <w:rsid w:val="001F0B6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F0B6F"/>
    <w:rPr>
      <w:b/>
      <w:bCs/>
    </w:rPr>
  </w:style>
  <w:style w:type="character" w:customStyle="1" w:styleId="CommentSubjectChar">
    <w:name w:val="Comment Subject Char"/>
    <w:basedOn w:val="CommentTextChar"/>
    <w:link w:val="CommentSubject"/>
    <w:uiPriority w:val="99"/>
    <w:semiHidden/>
    <w:rsid w:val="001F0B6F"/>
    <w:rPr>
      <w:rFonts w:ascii="Times New Roman" w:hAnsi="Times New Roman" w:cs="Times New Roman"/>
      <w:b/>
      <w:bCs/>
      <w:sz w:val="20"/>
      <w:szCs w:val="20"/>
      <w:lang w:val="ro-RO"/>
    </w:rPr>
  </w:style>
  <w:style w:type="character" w:styleId="Hyperlink">
    <w:name w:val="Hyperlink"/>
    <w:basedOn w:val="DefaultParagraphFont"/>
    <w:uiPriority w:val="99"/>
    <w:unhideWhenUsed/>
    <w:rsid w:val="004209DF"/>
    <w:rPr>
      <w:color w:val="0000FF" w:themeColor="hyperlink"/>
      <w:u w:val="single"/>
    </w:rPr>
  </w:style>
  <w:style w:type="character" w:customStyle="1" w:styleId="UnresolvedMention">
    <w:name w:val="Unresolved Mention"/>
    <w:basedOn w:val="DefaultParagraphFont"/>
    <w:uiPriority w:val="99"/>
    <w:semiHidden/>
    <w:unhideWhenUsed/>
    <w:rsid w:val="00BE161E"/>
    <w:rPr>
      <w:color w:val="605E5C"/>
      <w:shd w:val="clear" w:color="auto" w:fill="E1DFDD"/>
    </w:rPr>
  </w:style>
  <w:style w:type="character" w:customStyle="1" w:styleId="Mention">
    <w:name w:val="Mention"/>
    <w:basedOn w:val="DefaultParagraphFont"/>
    <w:uiPriority w:val="99"/>
    <w:unhideWhenUsed/>
    <w:rsid w:val="00F40950"/>
    <w:rPr>
      <w:color w:val="2B579A"/>
      <w:shd w:val="clear" w:color="auto" w:fill="E1DFDD"/>
    </w:rPr>
  </w:style>
  <w:style w:type="character" w:customStyle="1" w:styleId="HeaderChar">
    <w:name w:val="Header Char"/>
    <w:basedOn w:val="DefaultParagraphFont"/>
    <w:link w:val="Header"/>
    <w:uiPriority w:val="99"/>
    <w:rsid w:val="0066163A"/>
    <w:rPr>
      <w:rFonts w:ascii="Times New Roman" w:hAnsi="Times New Roman" w:cs="Times New Roman"/>
      <w:sz w:val="24"/>
      <w:lang w:val="ro-RO"/>
    </w:rPr>
  </w:style>
  <w:style w:type="character" w:customStyle="1" w:styleId="FooterChar">
    <w:name w:val="Footer Char"/>
    <w:basedOn w:val="DefaultParagraphFont"/>
    <w:link w:val="Footer"/>
    <w:uiPriority w:val="99"/>
    <w:rsid w:val="0066163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6163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6163A"/>
    <w:pPr>
      <w:spacing w:before="0"/>
      <w:jc w:val="right"/>
    </w:pPr>
    <w:rPr>
      <w:sz w:val="28"/>
    </w:rPr>
  </w:style>
  <w:style w:type="paragraph" w:customStyle="1" w:styleId="FooterSensitivity">
    <w:name w:val="Footer Sensitivity"/>
    <w:basedOn w:val="Normal"/>
    <w:rsid w:val="0066163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6163A"/>
    <w:pPr>
      <w:tabs>
        <w:tab w:val="center" w:pos="4535"/>
        <w:tab w:val="right" w:pos="9071"/>
      </w:tabs>
      <w:spacing w:before="0"/>
    </w:pPr>
  </w:style>
  <w:style w:type="paragraph" w:customStyle="1" w:styleId="HeaderLandscape">
    <w:name w:val="HeaderLandscape"/>
    <w:basedOn w:val="Normal"/>
    <w:rsid w:val="0066163A"/>
    <w:pPr>
      <w:tabs>
        <w:tab w:val="center" w:pos="7285"/>
        <w:tab w:val="right" w:pos="14003"/>
      </w:tabs>
      <w:spacing w:before="0"/>
    </w:pPr>
  </w:style>
  <w:style w:type="paragraph" w:styleId="Footer">
    <w:name w:val="footer"/>
    <w:basedOn w:val="Normal"/>
    <w:link w:val="FooterChar"/>
    <w:uiPriority w:val="99"/>
    <w:unhideWhenUsed/>
    <w:rsid w:val="0066163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6163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591">
      <w:bodyDiv w:val="1"/>
      <w:marLeft w:val="0"/>
      <w:marRight w:val="0"/>
      <w:marTop w:val="0"/>
      <w:marBottom w:val="0"/>
      <w:divBdr>
        <w:top w:val="none" w:sz="0" w:space="0" w:color="auto"/>
        <w:left w:val="none" w:sz="0" w:space="0" w:color="auto"/>
        <w:bottom w:val="none" w:sz="0" w:space="0" w:color="auto"/>
        <w:right w:val="none" w:sz="0" w:space="0" w:color="auto"/>
      </w:divBdr>
    </w:div>
    <w:div w:id="35470080">
      <w:bodyDiv w:val="1"/>
      <w:marLeft w:val="0"/>
      <w:marRight w:val="0"/>
      <w:marTop w:val="0"/>
      <w:marBottom w:val="0"/>
      <w:divBdr>
        <w:top w:val="none" w:sz="0" w:space="0" w:color="auto"/>
        <w:left w:val="none" w:sz="0" w:space="0" w:color="auto"/>
        <w:bottom w:val="none" w:sz="0" w:space="0" w:color="auto"/>
        <w:right w:val="none" w:sz="0" w:space="0" w:color="auto"/>
      </w:divBdr>
    </w:div>
    <w:div w:id="123236218">
      <w:bodyDiv w:val="1"/>
      <w:marLeft w:val="0"/>
      <w:marRight w:val="0"/>
      <w:marTop w:val="0"/>
      <w:marBottom w:val="0"/>
      <w:divBdr>
        <w:top w:val="none" w:sz="0" w:space="0" w:color="auto"/>
        <w:left w:val="none" w:sz="0" w:space="0" w:color="auto"/>
        <w:bottom w:val="none" w:sz="0" w:space="0" w:color="auto"/>
        <w:right w:val="none" w:sz="0" w:space="0" w:color="auto"/>
      </w:divBdr>
    </w:div>
    <w:div w:id="311176041">
      <w:bodyDiv w:val="1"/>
      <w:marLeft w:val="0"/>
      <w:marRight w:val="0"/>
      <w:marTop w:val="0"/>
      <w:marBottom w:val="0"/>
      <w:divBdr>
        <w:top w:val="none" w:sz="0" w:space="0" w:color="auto"/>
        <w:left w:val="none" w:sz="0" w:space="0" w:color="auto"/>
        <w:bottom w:val="none" w:sz="0" w:space="0" w:color="auto"/>
        <w:right w:val="none" w:sz="0" w:space="0" w:color="auto"/>
      </w:divBdr>
    </w:div>
    <w:div w:id="750586084">
      <w:bodyDiv w:val="1"/>
      <w:marLeft w:val="0"/>
      <w:marRight w:val="0"/>
      <w:marTop w:val="0"/>
      <w:marBottom w:val="0"/>
      <w:divBdr>
        <w:top w:val="none" w:sz="0" w:space="0" w:color="auto"/>
        <w:left w:val="none" w:sz="0" w:space="0" w:color="auto"/>
        <w:bottom w:val="none" w:sz="0" w:space="0" w:color="auto"/>
        <w:right w:val="none" w:sz="0" w:space="0" w:color="auto"/>
      </w:divBdr>
    </w:div>
    <w:div w:id="776175492">
      <w:bodyDiv w:val="1"/>
      <w:marLeft w:val="0"/>
      <w:marRight w:val="0"/>
      <w:marTop w:val="0"/>
      <w:marBottom w:val="0"/>
      <w:divBdr>
        <w:top w:val="none" w:sz="0" w:space="0" w:color="auto"/>
        <w:left w:val="none" w:sz="0" w:space="0" w:color="auto"/>
        <w:bottom w:val="none" w:sz="0" w:space="0" w:color="auto"/>
        <w:right w:val="none" w:sz="0" w:space="0" w:color="auto"/>
      </w:divBdr>
    </w:div>
    <w:div w:id="829368577">
      <w:bodyDiv w:val="1"/>
      <w:marLeft w:val="0"/>
      <w:marRight w:val="0"/>
      <w:marTop w:val="0"/>
      <w:marBottom w:val="0"/>
      <w:divBdr>
        <w:top w:val="none" w:sz="0" w:space="0" w:color="auto"/>
        <w:left w:val="none" w:sz="0" w:space="0" w:color="auto"/>
        <w:bottom w:val="none" w:sz="0" w:space="0" w:color="auto"/>
        <w:right w:val="none" w:sz="0" w:space="0" w:color="auto"/>
      </w:divBdr>
    </w:div>
    <w:div w:id="868031566">
      <w:bodyDiv w:val="1"/>
      <w:marLeft w:val="0"/>
      <w:marRight w:val="0"/>
      <w:marTop w:val="0"/>
      <w:marBottom w:val="0"/>
      <w:divBdr>
        <w:top w:val="none" w:sz="0" w:space="0" w:color="auto"/>
        <w:left w:val="none" w:sz="0" w:space="0" w:color="auto"/>
        <w:bottom w:val="none" w:sz="0" w:space="0" w:color="auto"/>
        <w:right w:val="none" w:sz="0" w:space="0" w:color="auto"/>
      </w:divBdr>
    </w:div>
    <w:div w:id="908154693">
      <w:bodyDiv w:val="1"/>
      <w:marLeft w:val="0"/>
      <w:marRight w:val="0"/>
      <w:marTop w:val="0"/>
      <w:marBottom w:val="0"/>
      <w:divBdr>
        <w:top w:val="none" w:sz="0" w:space="0" w:color="auto"/>
        <w:left w:val="none" w:sz="0" w:space="0" w:color="auto"/>
        <w:bottom w:val="none" w:sz="0" w:space="0" w:color="auto"/>
        <w:right w:val="none" w:sz="0" w:space="0" w:color="auto"/>
      </w:divBdr>
    </w:div>
    <w:div w:id="911282481">
      <w:bodyDiv w:val="1"/>
      <w:marLeft w:val="0"/>
      <w:marRight w:val="0"/>
      <w:marTop w:val="0"/>
      <w:marBottom w:val="0"/>
      <w:divBdr>
        <w:top w:val="none" w:sz="0" w:space="0" w:color="auto"/>
        <w:left w:val="none" w:sz="0" w:space="0" w:color="auto"/>
        <w:bottom w:val="none" w:sz="0" w:space="0" w:color="auto"/>
        <w:right w:val="none" w:sz="0" w:space="0" w:color="auto"/>
      </w:divBdr>
    </w:div>
    <w:div w:id="1046947806">
      <w:bodyDiv w:val="1"/>
      <w:marLeft w:val="0"/>
      <w:marRight w:val="0"/>
      <w:marTop w:val="0"/>
      <w:marBottom w:val="0"/>
      <w:divBdr>
        <w:top w:val="none" w:sz="0" w:space="0" w:color="auto"/>
        <w:left w:val="none" w:sz="0" w:space="0" w:color="auto"/>
        <w:bottom w:val="none" w:sz="0" w:space="0" w:color="auto"/>
        <w:right w:val="none" w:sz="0" w:space="0" w:color="auto"/>
      </w:divBdr>
    </w:div>
    <w:div w:id="1113548391">
      <w:bodyDiv w:val="1"/>
      <w:marLeft w:val="0"/>
      <w:marRight w:val="0"/>
      <w:marTop w:val="0"/>
      <w:marBottom w:val="0"/>
      <w:divBdr>
        <w:top w:val="none" w:sz="0" w:space="0" w:color="auto"/>
        <w:left w:val="none" w:sz="0" w:space="0" w:color="auto"/>
        <w:bottom w:val="none" w:sz="0" w:space="0" w:color="auto"/>
        <w:right w:val="none" w:sz="0" w:space="0" w:color="auto"/>
      </w:divBdr>
    </w:div>
    <w:div w:id="1209226541">
      <w:bodyDiv w:val="1"/>
      <w:marLeft w:val="0"/>
      <w:marRight w:val="0"/>
      <w:marTop w:val="0"/>
      <w:marBottom w:val="0"/>
      <w:divBdr>
        <w:top w:val="none" w:sz="0" w:space="0" w:color="auto"/>
        <w:left w:val="none" w:sz="0" w:space="0" w:color="auto"/>
        <w:bottom w:val="none" w:sz="0" w:space="0" w:color="auto"/>
        <w:right w:val="none" w:sz="0" w:space="0" w:color="auto"/>
      </w:divBdr>
    </w:div>
    <w:div w:id="1322613015">
      <w:bodyDiv w:val="1"/>
      <w:marLeft w:val="0"/>
      <w:marRight w:val="0"/>
      <w:marTop w:val="0"/>
      <w:marBottom w:val="0"/>
      <w:divBdr>
        <w:top w:val="none" w:sz="0" w:space="0" w:color="auto"/>
        <w:left w:val="none" w:sz="0" w:space="0" w:color="auto"/>
        <w:bottom w:val="none" w:sz="0" w:space="0" w:color="auto"/>
        <w:right w:val="none" w:sz="0" w:space="0" w:color="auto"/>
      </w:divBdr>
    </w:div>
    <w:div w:id="188378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publications.jrc.ec.europa.eu/repository/handle/JRC145919" TargetMode="External"/><Relationship Id="rId1" Type="http://schemas.openxmlformats.org/officeDocument/2006/relationships/hyperlink" Target="https://discomap.eea.europa.eu/ClimatePreparedness2025/?page=Wildfires-i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7CCEB-056A-4CC0-8750-18163EF16918}">
  <ds:schemaRefs>
    <ds:schemaRef ds:uri="http://schemas.microsoft.com/sharepoint/v3/contenttype/forms"/>
  </ds:schemaRefs>
</ds:datastoreItem>
</file>

<file path=customXml/itemProps2.xml><?xml version="1.0" encoding="utf-8"?>
<ds:datastoreItem xmlns:ds="http://schemas.openxmlformats.org/officeDocument/2006/customXml" ds:itemID="{0A349607-B177-4766-AF90-896CFF5BDE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F77757-C947-4600-BA8A-AC2987B5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FF7B4-60BD-4A70-ACCB-8693D34E8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13</Pages>
  <Words>5686</Words>
  <Characters>32411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38021</CharactersWithSpaces>
  <SharedDoc>false</SharedDoc>
  <HLinks>
    <vt:vector size="18" baseType="variant">
      <vt:variant>
        <vt:i4>4915284</vt:i4>
      </vt:variant>
      <vt:variant>
        <vt:i4>0</vt:i4>
      </vt:variant>
      <vt:variant>
        <vt:i4>0</vt:i4>
      </vt:variant>
      <vt:variant>
        <vt:i4>5</vt:i4>
      </vt:variant>
      <vt:variant>
        <vt:lpwstr>https://discomap.eea.europa.eu/ClimatePreparedness2025/?page=Wildfires-in-Europe</vt:lpwstr>
      </vt:variant>
      <vt:variant>
        <vt:lpwstr/>
      </vt:variant>
      <vt:variant>
        <vt:i4>6815866</vt:i4>
      </vt:variant>
      <vt:variant>
        <vt:i4>3</vt:i4>
      </vt:variant>
      <vt:variant>
        <vt:i4>0</vt:i4>
      </vt:variant>
      <vt:variant>
        <vt:i4>5</vt:i4>
      </vt:variant>
      <vt:variant>
        <vt:lpwstr>https://eur-lex.europa.eu/legal-content/en/TXT/?uri=CELEX%3A32021R0696</vt:lpwstr>
      </vt:variant>
      <vt:variant>
        <vt:lpwstr/>
      </vt:variant>
      <vt:variant>
        <vt:i4>6815866</vt:i4>
      </vt:variant>
      <vt:variant>
        <vt:i4>0</vt:i4>
      </vt:variant>
      <vt:variant>
        <vt:i4>0</vt:i4>
      </vt:variant>
      <vt:variant>
        <vt:i4>5</vt:i4>
      </vt:variant>
      <vt:variant>
        <vt:lpwstr>https://eur-lex.europa.eu/legal-content/en/TXT/?uri=CELEX%3A32021R0696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2026-04-28T12:52:00Z</cp:lastPrinted>
  <dcterms:created xsi:type="dcterms:W3CDTF">2026-04-28T13:42:00Z</dcterms:created>
  <dcterms:modified xsi:type="dcterms:W3CDTF">2026-05-17T14:37:00Z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2026-04-22T13:38:38Z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5a14062f-10ba-4239-96ae-3294b2ebd92e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ContentTypeId">
    <vt:lpwstr>0x0101007FB3BB308FB7BE4CB435D4CCC7D28B6C</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DQCStatus">
    <vt:lpwstr>Green (DQC version 03)</vt:lpwstr>
  </property>
</Properties>
</file>