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BE0" w:rsidRPr="0071108D" w:rsidRDefault="002728C6" w:rsidP="002728C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0A04663-A7E7-4913-B5E6-F457D44EB17E" style="width:455.25pt;height:357.75pt">
            <v:imagedata r:id="rId11" o:title=""/>
          </v:shape>
        </w:pict>
      </w:r>
    </w:p>
    <w:p w:rsidR="006C5BE0" w:rsidRPr="0071108D" w:rsidRDefault="006C5BE0" w:rsidP="006C5BE0">
      <w:pPr>
        <w:rPr>
          <w:noProof/>
        </w:rPr>
        <w:sectPr w:rsidR="006C5BE0" w:rsidRPr="0071108D" w:rsidSect="002728C6">
          <w:footerReference w:type="even" r:id="rId12"/>
          <w:footerReference w:type="default" r:id="rId13"/>
          <w:pgSz w:w="11907" w:h="16839"/>
          <w:pgMar w:top="1134" w:right="1417" w:bottom="1134" w:left="1417" w:header="709" w:footer="709" w:gutter="0"/>
          <w:pgNumType w:start="0"/>
          <w:cols w:space="720"/>
          <w:docGrid w:linePitch="360"/>
        </w:sectPr>
      </w:pPr>
    </w:p>
    <w:p w:rsidR="006C5BE0" w:rsidRPr="0071108D" w:rsidRDefault="006C5BE0" w:rsidP="00BB6B30">
      <w:pPr>
        <w:pStyle w:val="Exposdesmotifstitre"/>
        <w:rPr>
          <w:noProof/>
        </w:rPr>
      </w:pPr>
      <w:bookmarkStart w:id="0" w:name="_GoBack"/>
      <w:bookmarkEnd w:id="0"/>
      <w:r w:rsidRPr="0071108D">
        <w:rPr>
          <w:noProof/>
        </w:rPr>
        <w:lastRenderedPageBreak/>
        <w:t>EXPUNERE DE MOTIVE</w:t>
      </w:r>
    </w:p>
    <w:p w:rsidR="006C5BE0" w:rsidRPr="0071108D" w:rsidRDefault="006C5BE0" w:rsidP="00BB6B30">
      <w:pPr>
        <w:pStyle w:val="ManualHeading1"/>
        <w:rPr>
          <w:noProof/>
        </w:rPr>
      </w:pPr>
      <w:r w:rsidRPr="0071108D">
        <w:rPr>
          <w:noProof/>
        </w:rPr>
        <w:t>1.</w:t>
      </w:r>
      <w:r w:rsidRPr="0071108D">
        <w:rPr>
          <w:noProof/>
        </w:rPr>
        <w:tab/>
        <w:t>CONTEXTUL PROPUNERII</w:t>
      </w:r>
    </w:p>
    <w:p w:rsidR="006C5BE0" w:rsidRPr="0071108D" w:rsidRDefault="006C5BE0" w:rsidP="00044058">
      <w:pPr>
        <w:pStyle w:val="ManualHeading2"/>
        <w:rPr>
          <w:rFonts w:eastAsia="Arial Unicode MS"/>
          <w:noProof/>
        </w:rPr>
      </w:pPr>
      <w:r w:rsidRPr="0071108D">
        <w:rPr>
          <w:noProof/>
          <w:color w:val="000000"/>
          <w:u w:color="000000"/>
          <w:bdr w:val="nil"/>
        </w:rPr>
        <w:t>•</w:t>
      </w:r>
      <w:r w:rsidRPr="0071108D">
        <w:rPr>
          <w:noProof/>
        </w:rPr>
        <w:tab/>
        <w:t>Motivele și obiectivele propunerii</w:t>
      </w:r>
    </w:p>
    <w:p w:rsidR="006C5BE0" w:rsidRPr="0071108D" w:rsidRDefault="006C5BE0" w:rsidP="006C5BE0">
      <w:pPr>
        <w:pBdr>
          <w:top w:val="nil"/>
          <w:left w:val="nil"/>
          <w:bottom w:val="nil"/>
          <w:right w:val="nil"/>
          <w:between w:val="nil"/>
          <w:bar w:val="nil"/>
        </w:pBdr>
        <w:spacing w:before="0" w:after="240"/>
        <w:rPr>
          <w:noProof/>
        </w:rPr>
      </w:pPr>
      <w:r w:rsidRPr="0071108D">
        <w:rPr>
          <w:noProof/>
        </w:rPr>
        <w:t>Impozitarea produselor energetice și a energiei electrice în Uniune este reglementată de Directiva 2003/96/CE a Consiliului din 27 octombrie 2003 privind restructurarea cadrului comunitar de impozitare a produselor energetice și a electricității</w:t>
      </w:r>
      <w:r w:rsidRPr="0071108D">
        <w:rPr>
          <w:rStyle w:val="FootnoteReference"/>
          <w:rFonts w:eastAsia="Arial Unicode MS"/>
          <w:noProof/>
        </w:rPr>
        <w:footnoteReference w:id="1"/>
      </w:r>
      <w:r w:rsidRPr="0071108D">
        <w:rPr>
          <w:noProof/>
        </w:rPr>
        <w:t xml:space="preserve"> („Directiva privind impozitarea energiei” sau „directiva”).</w:t>
      </w:r>
    </w:p>
    <w:p w:rsidR="006C5BE0" w:rsidRPr="0071108D" w:rsidRDefault="006C5BE0" w:rsidP="006C5BE0">
      <w:pPr>
        <w:pBdr>
          <w:top w:val="nil"/>
          <w:left w:val="nil"/>
          <w:bottom w:val="nil"/>
          <w:right w:val="nil"/>
          <w:between w:val="nil"/>
          <w:bar w:val="nil"/>
        </w:pBdr>
        <w:spacing w:before="0" w:after="240"/>
        <w:rPr>
          <w:noProof/>
        </w:rPr>
      </w:pPr>
      <w:r w:rsidRPr="0071108D">
        <w:rPr>
          <w:noProof/>
        </w:rPr>
        <w:t>În conformitate cu articolul 19 alineatul (1) din directivă, pe lângă dispozițiile prevăzute în special la articolele 5, 15 și 17, Consiliul, hotărând în unanimitate la propunerea Comisiei, poate autoriza orice stat membru să introducă alte scutiri sau reduceri ale nivelului de impozitare din motive de politică specifice.</w:t>
      </w:r>
    </w:p>
    <w:p w:rsidR="006C5BE0" w:rsidRPr="0071108D" w:rsidRDefault="006C5BE0" w:rsidP="006C5BE0">
      <w:pPr>
        <w:pBdr>
          <w:top w:val="nil"/>
          <w:left w:val="nil"/>
          <w:bottom w:val="nil"/>
          <w:right w:val="nil"/>
          <w:between w:val="nil"/>
          <w:bar w:val="nil"/>
        </w:pBdr>
        <w:spacing w:before="0" w:after="240"/>
        <w:rPr>
          <w:noProof/>
        </w:rPr>
      </w:pPr>
      <w:r w:rsidRPr="0071108D">
        <w:rPr>
          <w:noProof/>
        </w:rPr>
        <w:t>Prin scrisoarea din 26 martie 2026, autoritățile suedeze au informat Comisia cu privire la intenția lor de a solicita o autorizație de aplicare a unei reduceri temporare a ratelor naționale de impozitare pentru motorina și benzina fără plumb utilizate drept carburanți, care se situează sub nivelurile minime de impozitare stabilite la articolul 7 și în tabelul A din anexa I la directivă. Reducerea solicitată este de 2,4 SEK</w:t>
      </w:r>
      <w:r w:rsidRPr="0071108D">
        <w:rPr>
          <w:rStyle w:val="FootnoteReference"/>
          <w:noProof/>
        </w:rPr>
        <w:footnoteReference w:id="2"/>
      </w:r>
      <w:r w:rsidRPr="0071108D">
        <w:rPr>
          <w:noProof/>
        </w:rPr>
        <w:t xml:space="preserve"> pe litru atât pentru motorină, cât și pentru benzina fără plumb, iar reducerea s-ar aplica componentei CO2 a taxei.</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Perioada de valabilitate solicitată este de 5 luni, începând de îndată ce decizia este adoptată de Consiliu, ceea ce se încadrează în perioada maximă permisă de articolul 19 alineatul (2) din Directiva privind impozitarea energiei.</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Potrivit autorităților suedeze, scopul măsurii este de a atenua prețurile ridicate cu amănuntul ale motorinei și benzinei din țară, datorate recentelor evoluții geopolitice și care afectează în mod direct atât gospodăriile, cât și întreprinderile.</w:t>
      </w:r>
    </w:p>
    <w:p w:rsidR="006C5BE0" w:rsidRPr="0071108D" w:rsidRDefault="006C5BE0" w:rsidP="006C5BE0">
      <w:pPr>
        <w:pBdr>
          <w:top w:val="nil"/>
          <w:left w:val="nil"/>
          <w:bottom w:val="nil"/>
          <w:right w:val="nil"/>
          <w:between w:val="nil"/>
          <w:bar w:val="nil"/>
        </w:pBdr>
        <w:spacing w:before="0" w:after="240"/>
        <w:rPr>
          <w:noProof/>
        </w:rPr>
      </w:pPr>
      <w:r w:rsidRPr="0071108D">
        <w:rPr>
          <w:noProof/>
        </w:rPr>
        <w:t>În concluziile sale din 19 martie 2026, Consiliul European a subliniat că tranziția energetică rămâne cea mai eficace strategie pentru realizarea autonomiei strategice a Europei, consolidarea rezilienței, scăderea structurală a prețurilor la energie și furnizarea energiei curate, abundente și autohtone necesare pentru a alimenta economia viitorului.</w:t>
      </w:r>
    </w:p>
    <w:p w:rsidR="006C5BE0" w:rsidRPr="0071108D" w:rsidRDefault="006C5BE0" w:rsidP="006C5BE0">
      <w:pPr>
        <w:pBdr>
          <w:top w:val="nil"/>
          <w:left w:val="nil"/>
          <w:bottom w:val="nil"/>
          <w:right w:val="nil"/>
          <w:between w:val="nil"/>
          <w:bar w:val="nil"/>
        </w:pBdr>
        <w:spacing w:before="0" w:after="240"/>
        <w:rPr>
          <w:noProof/>
        </w:rPr>
      </w:pPr>
      <w:r w:rsidRPr="0071108D">
        <w:rPr>
          <w:noProof/>
        </w:rPr>
        <w:t xml:space="preserve">În același timp, Consiliul European a recunoscut că sunt necesare soluții specifice pe termen scurt pentru a asigura o energie la prețuri accesibile, ținând seama de neutralitatea tehnologică și de situațiile specifice ale statelor membre, de expunerea deosebită a anumitor sectoare industriale la riscul de relocare și de necesitatea de a îmbunătăți condițiile pentru sectoarele inovatoare mari consumatoare de energie, fără a submina previzibilitatea și condițiile de concurență echitabile. </w:t>
      </w:r>
    </w:p>
    <w:p w:rsidR="006C5BE0" w:rsidRPr="0071108D" w:rsidRDefault="006C5BE0" w:rsidP="006C5BE0">
      <w:pPr>
        <w:pBdr>
          <w:top w:val="nil"/>
          <w:left w:val="nil"/>
          <w:bottom w:val="nil"/>
          <w:right w:val="nil"/>
          <w:between w:val="nil"/>
          <w:bar w:val="nil"/>
        </w:pBdr>
        <w:spacing w:before="0" w:after="240"/>
        <w:rPr>
          <w:noProof/>
        </w:rPr>
      </w:pPr>
      <w:r w:rsidRPr="0071108D">
        <w:rPr>
          <w:noProof/>
        </w:rPr>
        <w:t xml:space="preserve">Având în vedere cele de mai sus, Consiliul European a invitat Comisia să prezinte fără întârziere un set de măsuri temporare specifice pentru a aborda recentele creșteri ale prețurilor la combustibilii fosili importați generate de criza din Orientul Mijlociu. Concluziile Consiliului European oferă orientări politice din partea statelor membre și constituie un mandat politic pentru adoptarea de măsuri fiscale care să permită flexibilitățile solicitate. Aceste concluzii pledează în mod clar pentru utilizarea deplină a derogărilor și a </w:t>
      </w:r>
      <w:r w:rsidRPr="0071108D">
        <w:rPr>
          <w:noProof/>
        </w:rPr>
        <w:lastRenderedPageBreak/>
        <w:t>flexibilităților prevăzute în Directiva privind impozitarea energiei, printre care adoptarea unor rate reduse temporare, strâns legate de circumstanțele extraordinare și de obiectivele privind accesibilitatea energiei.</w:t>
      </w:r>
    </w:p>
    <w:p w:rsidR="006C5BE0" w:rsidRPr="0071108D" w:rsidRDefault="006C5BE0" w:rsidP="006C5BE0">
      <w:pPr>
        <w:pBdr>
          <w:top w:val="nil"/>
          <w:left w:val="nil"/>
          <w:bottom w:val="nil"/>
          <w:right w:val="nil"/>
          <w:between w:val="nil"/>
          <w:bar w:val="nil"/>
        </w:pBdr>
        <w:spacing w:before="0" w:after="240"/>
        <w:rPr>
          <w:noProof/>
        </w:rPr>
      </w:pPr>
      <w:r w:rsidRPr="0071108D">
        <w:rPr>
          <w:noProof/>
        </w:rPr>
        <w:t>Obiectivele unor astfel de măsuri ar fi de a permite statelor membre să elaboreze soluții specifice și temporare pentru a face față impactului negativ al actualelor crize energetice asupra prețurilor. Sunt necesare soluții specifice pe termen scurt pentru a asigura o energie la prețuri accesibile, ținând seama de neutralitatea tehnologică și de situațiile specifice ale statelor membre, de expunerea deosebită a anumitor sectoare industriale la riscul de relocare și de necesitatea de a îmbunătăți condițiile pentru sectoarele inovatoare mari consumatoare de energie, fără a submina previzibilitatea și condițiile de concurență echitabile.</w:t>
      </w:r>
    </w:p>
    <w:p w:rsidR="006C5BE0" w:rsidRPr="0071108D" w:rsidRDefault="006C5BE0" w:rsidP="006C5BE0">
      <w:pPr>
        <w:pBdr>
          <w:top w:val="nil"/>
          <w:left w:val="nil"/>
          <w:bottom w:val="nil"/>
          <w:right w:val="nil"/>
          <w:between w:val="nil"/>
          <w:bar w:val="nil"/>
        </w:pBdr>
        <w:spacing w:before="0" w:after="240"/>
        <w:rPr>
          <w:noProof/>
        </w:rPr>
      </w:pPr>
      <w:r w:rsidRPr="0071108D">
        <w:rPr>
          <w:noProof/>
        </w:rPr>
        <w:t>De la izbucnirea conflictului și perturbarea ulterioară a Strâmtorii Ormuz, prețul petrolului (Brent) a crescut de la aproximativ 60 EUR/barilul la peste 90 EUR/barilul</w:t>
      </w:r>
      <w:r w:rsidRPr="0071108D">
        <w:rPr>
          <w:rStyle w:val="FootnoteReference"/>
          <w:noProof/>
        </w:rPr>
        <w:footnoteReference w:id="3"/>
      </w:r>
      <w:r w:rsidRPr="0071108D">
        <w:rPr>
          <w:noProof/>
        </w:rPr>
        <w:t>. În urma acestei creșteri a prețurilor, în Suedia au fost înregistrate următoarele prețuri medii la carburanți</w:t>
      </w:r>
      <w:r w:rsidRPr="0071108D">
        <w:rPr>
          <w:rStyle w:val="FootnoteReference"/>
          <w:noProof/>
        </w:rPr>
        <w:footnoteReference w:id="4"/>
      </w:r>
      <w:r w:rsidRPr="0071108D">
        <w:rPr>
          <w:noProof/>
        </w:rPr>
        <w:t>:</w:t>
      </w:r>
    </w:p>
    <w:tbl>
      <w:tblPr>
        <w:tblStyle w:val="GridTable1Light"/>
        <w:tblW w:w="4684" w:type="dxa"/>
        <w:tblLook w:val="06A0" w:firstRow="1" w:lastRow="0" w:firstColumn="1" w:lastColumn="0" w:noHBand="1" w:noVBand="1"/>
      </w:tblPr>
      <w:tblGrid>
        <w:gridCol w:w="1374"/>
        <w:gridCol w:w="1428"/>
        <w:gridCol w:w="1882"/>
      </w:tblGrid>
      <w:tr w:rsidR="006C5BE0" w:rsidRPr="0071108D" w:rsidTr="00CB250E">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74" w:type="dxa"/>
          </w:tcPr>
          <w:p w:rsidR="006C5BE0" w:rsidRPr="0071108D" w:rsidRDefault="006C5BE0" w:rsidP="0095161E">
            <w:pPr>
              <w:rPr>
                <w:noProof/>
              </w:rPr>
            </w:pPr>
          </w:p>
        </w:tc>
        <w:tc>
          <w:tcPr>
            <w:tcW w:w="1428" w:type="dxa"/>
          </w:tcPr>
          <w:p w:rsidR="006B4DD0" w:rsidRPr="0071108D" w:rsidRDefault="006C5BE0" w:rsidP="0095161E">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b w:val="0"/>
                <w:noProof/>
                <w:color w:val="000000" w:themeColor="text1"/>
                <w:sz w:val="22"/>
              </w:rPr>
              <w:t>Benzină</w:t>
            </w:r>
          </w:p>
          <w:p w:rsidR="006C5BE0" w:rsidRPr="0071108D" w:rsidRDefault="006C5BE0" w:rsidP="0095161E">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b w:val="0"/>
                <w:noProof/>
                <w:color w:val="000000" w:themeColor="text1"/>
                <w:sz w:val="22"/>
              </w:rPr>
              <w:t>(Super 95)</w:t>
            </w:r>
          </w:p>
        </w:tc>
        <w:tc>
          <w:tcPr>
            <w:tcW w:w="1882" w:type="dxa"/>
          </w:tcPr>
          <w:p w:rsidR="006C5BE0" w:rsidRPr="0071108D" w:rsidRDefault="006C5BE0" w:rsidP="0095161E">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b w:val="0"/>
                <w:noProof/>
                <w:color w:val="000000" w:themeColor="text1"/>
                <w:sz w:val="22"/>
              </w:rPr>
              <w:t>Motorină</w:t>
            </w:r>
          </w:p>
        </w:tc>
      </w:tr>
      <w:tr w:rsidR="006C5BE0" w:rsidRPr="0071108D"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71108D" w:rsidRDefault="006C5BE0" w:rsidP="0095161E">
            <w:pPr>
              <w:spacing w:before="0" w:after="0"/>
              <w:jc w:val="right"/>
              <w:rPr>
                <w:rFonts w:ascii="Calibri" w:eastAsia="Calibri" w:hAnsi="Calibri" w:cs="Calibri"/>
                <w:noProof/>
                <w:color w:val="000000" w:themeColor="text1"/>
                <w:sz w:val="22"/>
              </w:rPr>
            </w:pPr>
            <w:r w:rsidRPr="0071108D">
              <w:rPr>
                <w:rFonts w:ascii="Calibri" w:hAnsi="Calibri"/>
                <w:b w:val="0"/>
                <w:noProof/>
                <w:color w:val="000000" w:themeColor="text1"/>
                <w:sz w:val="22"/>
              </w:rPr>
              <w:t>30.3.26</w:t>
            </w:r>
          </w:p>
        </w:tc>
        <w:tc>
          <w:tcPr>
            <w:tcW w:w="1428"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1,71 </w:t>
            </w:r>
          </w:p>
        </w:tc>
        <w:tc>
          <w:tcPr>
            <w:tcW w:w="1882"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2,15 </w:t>
            </w:r>
          </w:p>
        </w:tc>
      </w:tr>
      <w:tr w:rsidR="006C5BE0" w:rsidRPr="0071108D"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71108D" w:rsidRDefault="006C5BE0" w:rsidP="0095161E">
            <w:pPr>
              <w:spacing w:before="0" w:after="0"/>
              <w:jc w:val="right"/>
              <w:rPr>
                <w:rFonts w:ascii="Calibri" w:eastAsia="Calibri" w:hAnsi="Calibri" w:cs="Calibri"/>
                <w:noProof/>
                <w:color w:val="000000" w:themeColor="text1"/>
                <w:sz w:val="22"/>
              </w:rPr>
            </w:pPr>
            <w:r w:rsidRPr="0071108D">
              <w:rPr>
                <w:rFonts w:ascii="Calibri" w:hAnsi="Calibri"/>
                <w:b w:val="0"/>
                <w:noProof/>
                <w:color w:val="000000" w:themeColor="text1"/>
                <w:sz w:val="22"/>
              </w:rPr>
              <w:t>23.3.26</w:t>
            </w:r>
          </w:p>
        </w:tc>
        <w:tc>
          <w:tcPr>
            <w:tcW w:w="1428"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1,77 </w:t>
            </w:r>
          </w:p>
        </w:tc>
        <w:tc>
          <w:tcPr>
            <w:tcW w:w="1882"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2,24 </w:t>
            </w:r>
          </w:p>
        </w:tc>
      </w:tr>
      <w:tr w:rsidR="006C5BE0" w:rsidRPr="0071108D"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71108D" w:rsidRDefault="006C5BE0" w:rsidP="0095161E">
            <w:pPr>
              <w:spacing w:before="0" w:after="0"/>
              <w:jc w:val="right"/>
              <w:rPr>
                <w:rFonts w:ascii="Calibri" w:eastAsia="Calibri" w:hAnsi="Calibri" w:cs="Calibri"/>
                <w:noProof/>
                <w:color w:val="000000" w:themeColor="text1"/>
                <w:sz w:val="22"/>
              </w:rPr>
            </w:pPr>
            <w:r w:rsidRPr="0071108D">
              <w:rPr>
                <w:rFonts w:ascii="Calibri" w:hAnsi="Calibri"/>
                <w:b w:val="0"/>
                <w:noProof/>
                <w:color w:val="000000" w:themeColor="text1"/>
                <w:sz w:val="22"/>
              </w:rPr>
              <w:t>16.3.26</w:t>
            </w:r>
          </w:p>
        </w:tc>
        <w:tc>
          <w:tcPr>
            <w:tcW w:w="1428"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1,65 </w:t>
            </w:r>
          </w:p>
        </w:tc>
        <w:tc>
          <w:tcPr>
            <w:tcW w:w="1882"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1,99 </w:t>
            </w:r>
          </w:p>
        </w:tc>
      </w:tr>
      <w:tr w:rsidR="006C5BE0" w:rsidRPr="0071108D"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71108D" w:rsidRDefault="006C5BE0" w:rsidP="0095161E">
            <w:pPr>
              <w:spacing w:before="0" w:after="0"/>
              <w:jc w:val="right"/>
              <w:rPr>
                <w:rFonts w:ascii="Calibri" w:eastAsia="Calibri" w:hAnsi="Calibri" w:cs="Calibri"/>
                <w:noProof/>
                <w:color w:val="000000" w:themeColor="text1"/>
                <w:sz w:val="22"/>
              </w:rPr>
            </w:pPr>
            <w:r w:rsidRPr="0071108D">
              <w:rPr>
                <w:rFonts w:ascii="Calibri" w:hAnsi="Calibri"/>
                <w:b w:val="0"/>
                <w:noProof/>
                <w:color w:val="000000" w:themeColor="text1"/>
                <w:sz w:val="22"/>
              </w:rPr>
              <w:t>9.3.26</w:t>
            </w:r>
          </w:p>
        </w:tc>
        <w:tc>
          <w:tcPr>
            <w:tcW w:w="1428"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1,51 </w:t>
            </w:r>
          </w:p>
        </w:tc>
        <w:tc>
          <w:tcPr>
            <w:tcW w:w="1882"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1,78 </w:t>
            </w:r>
          </w:p>
        </w:tc>
      </w:tr>
      <w:tr w:rsidR="006C5BE0" w:rsidRPr="0071108D"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71108D" w:rsidRDefault="006C5BE0" w:rsidP="0095161E">
            <w:pPr>
              <w:spacing w:before="0" w:after="0"/>
              <w:jc w:val="right"/>
              <w:rPr>
                <w:rFonts w:ascii="Calibri" w:eastAsia="Calibri" w:hAnsi="Calibri" w:cs="Calibri"/>
                <w:noProof/>
                <w:color w:val="000000" w:themeColor="text1"/>
                <w:sz w:val="22"/>
              </w:rPr>
            </w:pPr>
            <w:r w:rsidRPr="0071108D">
              <w:rPr>
                <w:rFonts w:ascii="Calibri" w:hAnsi="Calibri"/>
                <w:b w:val="0"/>
                <w:noProof/>
                <w:color w:val="000000" w:themeColor="text1"/>
                <w:sz w:val="22"/>
              </w:rPr>
              <w:t>2.3.26</w:t>
            </w:r>
          </w:p>
        </w:tc>
        <w:tc>
          <w:tcPr>
            <w:tcW w:w="1428"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1,44 </w:t>
            </w:r>
          </w:p>
        </w:tc>
        <w:tc>
          <w:tcPr>
            <w:tcW w:w="1882"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1,58 </w:t>
            </w:r>
          </w:p>
        </w:tc>
      </w:tr>
      <w:tr w:rsidR="006C5BE0" w:rsidRPr="0071108D"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71108D" w:rsidRDefault="006C5BE0" w:rsidP="0095161E">
            <w:pPr>
              <w:spacing w:before="0" w:after="0"/>
              <w:jc w:val="right"/>
              <w:rPr>
                <w:rFonts w:ascii="Calibri" w:eastAsia="Calibri" w:hAnsi="Calibri" w:cs="Calibri"/>
                <w:noProof/>
                <w:color w:val="000000" w:themeColor="text1"/>
                <w:sz w:val="22"/>
              </w:rPr>
            </w:pPr>
            <w:r w:rsidRPr="0071108D">
              <w:rPr>
                <w:rFonts w:ascii="Calibri" w:hAnsi="Calibri"/>
                <w:b w:val="0"/>
                <w:noProof/>
                <w:color w:val="000000" w:themeColor="text1"/>
                <w:sz w:val="22"/>
              </w:rPr>
              <w:t>23.2.26</w:t>
            </w:r>
          </w:p>
        </w:tc>
        <w:tc>
          <w:tcPr>
            <w:tcW w:w="1428"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1,43 </w:t>
            </w:r>
          </w:p>
        </w:tc>
        <w:tc>
          <w:tcPr>
            <w:tcW w:w="1882"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1,57 </w:t>
            </w:r>
          </w:p>
        </w:tc>
      </w:tr>
      <w:tr w:rsidR="006C5BE0" w:rsidRPr="0071108D"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Pr="0071108D" w:rsidRDefault="006C5BE0" w:rsidP="0095161E">
            <w:pPr>
              <w:spacing w:before="0" w:after="0"/>
              <w:jc w:val="right"/>
              <w:rPr>
                <w:rFonts w:ascii="Calibri" w:eastAsia="Calibri" w:hAnsi="Calibri" w:cs="Calibri"/>
                <w:noProof/>
                <w:color w:val="000000" w:themeColor="text1"/>
                <w:sz w:val="22"/>
              </w:rPr>
            </w:pPr>
            <w:r w:rsidRPr="0071108D">
              <w:rPr>
                <w:rFonts w:ascii="Calibri" w:hAnsi="Calibri"/>
                <w:b w:val="0"/>
                <w:noProof/>
                <w:color w:val="000000" w:themeColor="text1"/>
                <w:sz w:val="22"/>
              </w:rPr>
              <w:t>16.2.26</w:t>
            </w:r>
          </w:p>
        </w:tc>
        <w:tc>
          <w:tcPr>
            <w:tcW w:w="1428"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1,42 </w:t>
            </w:r>
          </w:p>
        </w:tc>
        <w:tc>
          <w:tcPr>
            <w:tcW w:w="1882" w:type="dxa"/>
          </w:tcPr>
          <w:p w:rsidR="006C5BE0" w:rsidRPr="0071108D"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71108D">
              <w:rPr>
                <w:rFonts w:ascii="Calibri" w:hAnsi="Calibri"/>
                <w:noProof/>
                <w:color w:val="000000" w:themeColor="text1"/>
                <w:sz w:val="22"/>
              </w:rPr>
              <w:t xml:space="preserve"> €       1,53</w:t>
            </w:r>
          </w:p>
        </w:tc>
      </w:tr>
    </w:tbl>
    <w:p w:rsidR="006C5BE0" w:rsidRPr="0071108D" w:rsidRDefault="006C5BE0" w:rsidP="006C5BE0">
      <w:pPr>
        <w:rPr>
          <w:noProof/>
        </w:rPr>
      </w:pPr>
      <w:r w:rsidRPr="0071108D">
        <w:rPr>
          <w:noProof/>
        </w:rPr>
        <w:t>Analizând perspectivele de evoluție a prețurilor petrolului în perioada acestei derogări, se preconizează că prețurile vor continua să fie ridicate. Mai târziu, perspectivele depind în mare măsură de durata conflictului din Orientul Mijlociu și de perturbarea Strâmtorii Ormuz.</w:t>
      </w:r>
    </w:p>
    <w:p w:rsidR="006C5BE0" w:rsidRPr="0071108D" w:rsidRDefault="006C5BE0" w:rsidP="006C5BE0">
      <w:pPr>
        <w:rPr>
          <w:noProof/>
        </w:rPr>
      </w:pPr>
      <w:r w:rsidRPr="0071108D">
        <w:rPr>
          <w:noProof/>
        </w:rPr>
        <w:t>Se preconizează că prețurile petrolului vor rămâne ridicate pe durata conflictului și a perturbării Strâmtorii Ormuz. Prețurile combustibililor urmează dinamica prețului țițeiului cu o întârziere de o săptămână sau două, cu distincția că prețurile benzinei tind să reacționeze mai puțin direct la prețurile petrolului, în timp ce motorina și combustibilul turboreactor pe care UE le importă tind să fie mai volatile decât prețurile țițeiului.</w:t>
      </w:r>
    </w:p>
    <w:p w:rsidR="006C5BE0" w:rsidRPr="0071108D" w:rsidRDefault="006C5BE0" w:rsidP="006C5BE0">
      <w:pPr>
        <w:rPr>
          <w:noProof/>
        </w:rPr>
      </w:pPr>
      <w:r w:rsidRPr="0071108D">
        <w:rPr>
          <w:noProof/>
        </w:rPr>
        <w:t>Caracterul mondial al prețurilor petrolului și influența limitată a statelor membre asupra acestor prețuri fac ca această criză să fie o criză exogenă. Prețurile mondiale la produsele energetice vor fi similare pentru toate statele membre ale UE. Cu toate acestea, capacitatea de a face față creșterii prețurilor va varia în mod semnificativ, depinzând, de exemplu, de venituri, de modul de transport, de sursa de încălzire și de eficiența energetică a locuințelor. Acest lucru va face ca efectele creșterii prețurilor să fie asimetrice. În plus, gospodăriile cu venituri mai mici tind să cheltuiască o parte mai mare a veniturilor lor pentru consum, și nu pe investiții sau economii. Acest lucru face ca creșterile prețurilor de consum să aibă un impact mai mare pentru gospodăriile cu venituri mai mici.</w:t>
      </w:r>
    </w:p>
    <w:p w:rsidR="006C5BE0" w:rsidRPr="0071108D" w:rsidRDefault="006C5BE0" w:rsidP="00044058">
      <w:pPr>
        <w:pStyle w:val="ManualHeading2"/>
        <w:rPr>
          <w:rFonts w:eastAsia="Arial Unicode MS"/>
          <w:noProof/>
          <w:color w:val="000000"/>
          <w:u w:color="000000"/>
          <w:bdr w:val="nil"/>
        </w:rPr>
      </w:pPr>
      <w:r w:rsidRPr="0071108D">
        <w:rPr>
          <w:noProof/>
          <w:color w:val="000000"/>
          <w:u w:color="000000"/>
          <w:bdr w:val="nil"/>
        </w:rPr>
        <w:lastRenderedPageBreak/>
        <w:t>•</w:t>
      </w:r>
      <w:r w:rsidRPr="0071108D">
        <w:rPr>
          <w:noProof/>
        </w:rPr>
        <w:tab/>
        <w:t>Coerența cu dispozițiile de politică deja existente în domeniul de politică vizat</w:t>
      </w:r>
    </w:p>
    <w:p w:rsidR="006C5BE0" w:rsidRPr="0071108D" w:rsidRDefault="006C5BE0" w:rsidP="006C5BE0">
      <w:pPr>
        <w:pBdr>
          <w:top w:val="nil"/>
          <w:left w:val="nil"/>
          <w:bottom w:val="nil"/>
          <w:right w:val="nil"/>
          <w:between w:val="nil"/>
          <w:bar w:val="nil"/>
        </w:pBdr>
        <w:spacing w:before="0" w:after="240"/>
        <w:rPr>
          <w:noProof/>
        </w:rPr>
      </w:pPr>
      <w:r w:rsidRPr="0071108D">
        <w:rPr>
          <w:noProof/>
        </w:rPr>
        <w:t xml:space="preserve">Articolul 19 alineatul (1) primul paragraf din directivă are următorul conținut: </w:t>
      </w:r>
    </w:p>
    <w:p w:rsidR="006C5BE0" w:rsidRPr="0071108D" w:rsidRDefault="006C5BE0" w:rsidP="006C5BE0">
      <w:pPr>
        <w:pBdr>
          <w:top w:val="nil"/>
          <w:left w:val="nil"/>
          <w:bottom w:val="nil"/>
          <w:right w:val="nil"/>
          <w:between w:val="nil"/>
          <w:bar w:val="nil"/>
        </w:pBdr>
        <w:spacing w:before="0" w:after="240"/>
        <w:rPr>
          <w:noProof/>
        </w:rPr>
      </w:pPr>
      <w:r w:rsidRPr="0071108D">
        <w:rPr>
          <w:noProof/>
        </w:rPr>
        <w:t>„Pe lângă dispozițiile prevăzute în articolele anterioare, în special articolele 5, 15 și 17, Consiliul, hotărând în unanimitate la propunerea Comisiei, poate autoriza orice stat membru să introducă alte scutiri sau reduceri din motive de politică specifice.”</w:t>
      </w:r>
    </w:p>
    <w:p w:rsidR="006C5BE0" w:rsidRPr="0071108D" w:rsidRDefault="006C5BE0" w:rsidP="006C5BE0">
      <w:pPr>
        <w:pBdr>
          <w:top w:val="nil"/>
          <w:left w:val="nil"/>
          <w:bottom w:val="nil"/>
          <w:right w:val="nil"/>
          <w:between w:val="nil"/>
          <w:bar w:val="nil"/>
        </w:pBdr>
        <w:spacing w:before="0" w:after="240"/>
        <w:rPr>
          <w:rFonts w:eastAsia="Arial Unicode MS"/>
          <w:iCs/>
          <w:noProof/>
          <w:color w:val="000000" w:themeColor="text1"/>
        </w:rPr>
      </w:pPr>
      <w:r w:rsidRPr="0071108D">
        <w:rPr>
          <w:noProof/>
          <w:color w:val="000000" w:themeColor="text1"/>
        </w:rPr>
        <w:t>Prin intermediul reducerii fiscale în cauză, autoritățile suedeze intenționează să reducă prețurile mari cu amănuntul ale combustibililor utilizați transporturi, ale motorinei și ale benzinei, declanșate de conflictul din Orientul Mijlociu și, în cele din urmă, să urmărească obiectivul de a reduce impactul social și economic al situației geopolitice actuale care afectează atât gospodăriile, cât și întreprinderile.</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Aceste reduceri fiscale ar conduce la o situație în care beneficiarilor li s-ar percepe rate naționale, care pot scădea sub ratele minime de impozitare la nivelul UE în temeiul Directivei privind impozitarea energiei, ceea ce explică autorizația în discuție. Acest lucru poate contribui la obiectivele de politică declarate.</w:t>
      </w:r>
    </w:p>
    <w:p w:rsidR="006C5BE0" w:rsidRPr="0071108D" w:rsidRDefault="006C5BE0" w:rsidP="006C5BE0">
      <w:pPr>
        <w:pBdr>
          <w:top w:val="nil"/>
          <w:left w:val="nil"/>
          <w:bottom w:val="nil"/>
          <w:right w:val="nil"/>
          <w:between w:val="nil"/>
          <w:bar w:val="nil"/>
        </w:pBdr>
        <w:spacing w:before="0" w:after="240"/>
        <w:rPr>
          <w:rFonts w:eastAsia="Arial Unicode MS"/>
          <w:iCs/>
          <w:noProof/>
          <w:color w:val="FF0000"/>
        </w:rPr>
      </w:pPr>
      <w:r w:rsidRPr="0071108D">
        <w:rPr>
          <w:noProof/>
          <w:color w:val="000000" w:themeColor="text1"/>
        </w:rPr>
        <w:t>Posibilitatea de a introduce o astfel de reducere fiscală poate fi avută în vedere în temeiul articolului 19 din directivă, întrucât scopul acesteia este de a permite statelor membre să introducă noi scutiri sau reduceri din considerente de politică specifice.</w:t>
      </w:r>
      <w:r w:rsidRPr="0071108D">
        <w:rPr>
          <w:noProof/>
          <w:color w:val="FF0000"/>
        </w:rPr>
        <w:t xml:space="preserve"> </w:t>
      </w:r>
    </w:p>
    <w:p w:rsidR="006C5BE0" w:rsidRPr="0071108D" w:rsidRDefault="006C5BE0" w:rsidP="006C5BE0">
      <w:pPr>
        <w:pBdr>
          <w:top w:val="nil"/>
          <w:left w:val="nil"/>
          <w:bottom w:val="nil"/>
          <w:right w:val="nil"/>
          <w:between w:val="nil"/>
          <w:bar w:val="nil"/>
        </w:pBdr>
        <w:spacing w:before="0" w:after="240"/>
        <w:rPr>
          <w:rFonts w:eastAsia="Arial Unicode MS"/>
          <w:iCs/>
          <w:noProof/>
        </w:rPr>
      </w:pPr>
      <w:r w:rsidRPr="0071108D">
        <w:rPr>
          <w:noProof/>
        </w:rPr>
        <w:t xml:space="preserve">Perioada limitată de valabilitate a autorizației, de </w:t>
      </w:r>
      <w:r w:rsidR="0071108D" w:rsidRPr="0071108D">
        <w:rPr>
          <w:noProof/>
        </w:rPr>
        <w:t>cinci</w:t>
      </w:r>
      <w:r w:rsidRPr="0071108D">
        <w:rPr>
          <w:noProof/>
        </w:rPr>
        <w:t xml:space="preserve"> luni de la intrarea în vigoare a deciziei de punere în aplicare a Consiliului, se încadrează în perioada maximă permisă de articolul 19 alineatul (2) din Directiva privind impozitarea energiei, cu posibilitatea de reînnoire.</w:t>
      </w:r>
    </w:p>
    <w:p w:rsidR="006C5BE0" w:rsidRPr="0071108D" w:rsidRDefault="006C5BE0" w:rsidP="006C5BE0">
      <w:pPr>
        <w:pBdr>
          <w:top w:val="nil"/>
          <w:left w:val="nil"/>
          <w:bottom w:val="nil"/>
          <w:right w:val="nil"/>
          <w:between w:val="nil"/>
          <w:bar w:val="nil"/>
        </w:pBdr>
        <w:spacing w:before="0" w:after="240"/>
        <w:rPr>
          <w:rFonts w:eastAsia="Arial Unicode MS"/>
          <w:iCs/>
          <w:noProof/>
        </w:rPr>
      </w:pPr>
      <w:r w:rsidRPr="0071108D">
        <w:rPr>
          <w:noProof/>
        </w:rPr>
        <w:t>În cele din urmă, reducerea fiscală nu este cumulativă cu alte tipuri de reduceri fiscale.</w:t>
      </w:r>
    </w:p>
    <w:p w:rsidR="006C5BE0" w:rsidRPr="0071108D" w:rsidRDefault="006C5BE0" w:rsidP="006C5BE0">
      <w:pPr>
        <w:pBdr>
          <w:top w:val="nil"/>
          <w:left w:val="nil"/>
          <w:bottom w:val="nil"/>
          <w:right w:val="nil"/>
          <w:between w:val="nil"/>
          <w:bar w:val="nil"/>
        </w:pBdr>
        <w:spacing w:before="0" w:after="240"/>
        <w:rPr>
          <w:rFonts w:eastAsia="Arial Unicode MS"/>
          <w:iCs/>
          <w:noProof/>
        </w:rPr>
      </w:pPr>
      <w:r w:rsidRPr="0071108D">
        <w:rPr>
          <w:noProof/>
        </w:rPr>
        <w:t>În aceste circumstanțe, pare oportun să se acorde autorizația pentru perioada solicitată.</w:t>
      </w:r>
    </w:p>
    <w:p w:rsidR="00F90832" w:rsidRPr="0071108D" w:rsidRDefault="00F90832" w:rsidP="006C5BE0">
      <w:pPr>
        <w:pBdr>
          <w:top w:val="nil"/>
          <w:left w:val="nil"/>
          <w:bottom w:val="nil"/>
          <w:right w:val="nil"/>
          <w:between w:val="nil"/>
          <w:bar w:val="nil"/>
        </w:pBdr>
        <w:spacing w:before="0" w:after="240"/>
        <w:rPr>
          <w:rFonts w:eastAsia="Arial Unicode MS"/>
          <w:iCs/>
          <w:noProof/>
        </w:rPr>
      </w:pPr>
      <w:r w:rsidRPr="0071108D">
        <w:rPr>
          <w:noProof/>
        </w:rPr>
        <w:t>În același timp, reducerile fiscale nespecifice implică costuri bugetare semnificative și tind să crească cererea de combustibili fosili, exacerbând astfel dezechilibrul dintre cerere și ofertă. Prin urmare, măsura ar trebui să rămână strict limitată în timp, iar impactul său preconizat asupra cererii de combustibili fosili, dar și costul său bugetar ar trebui evaluate. Dacă este necesar, ar trebui luate măsuri compensatorii.</w:t>
      </w:r>
    </w:p>
    <w:p w:rsidR="006C5BE0" w:rsidRPr="0071108D" w:rsidRDefault="006C5BE0" w:rsidP="006C5BE0">
      <w:pPr>
        <w:pBdr>
          <w:top w:val="nil"/>
          <w:left w:val="nil"/>
          <w:bottom w:val="nil"/>
          <w:right w:val="nil"/>
          <w:between w:val="nil"/>
          <w:bar w:val="nil"/>
        </w:pBdr>
        <w:spacing w:before="0" w:after="240"/>
        <w:rPr>
          <w:rFonts w:eastAsia="Arial Unicode MS"/>
          <w:i/>
          <w:noProof/>
        </w:rPr>
      </w:pPr>
      <w:r w:rsidRPr="0071108D">
        <w:rPr>
          <w:i/>
          <w:noProof/>
        </w:rPr>
        <w:t>Norme privind ajutoarele de stat</w:t>
      </w:r>
    </w:p>
    <w:p w:rsidR="006C5BE0" w:rsidRPr="0071108D" w:rsidRDefault="006C5BE0" w:rsidP="006C5BE0">
      <w:pPr>
        <w:rPr>
          <w:rFonts w:eastAsia="Arial Unicode MS"/>
          <w:noProof/>
        </w:rPr>
      </w:pPr>
      <w:r w:rsidRPr="0071108D">
        <w:rPr>
          <w:noProof/>
        </w:rPr>
        <w:t xml:space="preserve">Reducerea fiscală temporară solicitată de autoritățile suedeze se va situa sub nivelurile minime de impozitare a combustibililor utilizați în transporturi, astfel cum sunt prevăzute la articolul 7 și în tabelul A din anexa I la directivă, cu 2,4 SEK pe litru. </w:t>
      </w:r>
    </w:p>
    <w:p w:rsidR="006C5BE0" w:rsidRPr="0071108D" w:rsidRDefault="006C5BE0" w:rsidP="006C5BE0">
      <w:pPr>
        <w:rPr>
          <w:iCs/>
          <w:noProof/>
        </w:rPr>
      </w:pPr>
    </w:p>
    <w:p w:rsidR="006C5BE0" w:rsidRPr="0071108D" w:rsidRDefault="006C5BE0" w:rsidP="006C5BE0">
      <w:pPr>
        <w:rPr>
          <w:iCs/>
          <w:noProof/>
        </w:rPr>
      </w:pPr>
      <w:r w:rsidRPr="0071108D">
        <w:rPr>
          <w:noProof/>
        </w:rPr>
        <w:t>Prezenta propunere nu aduce atingere niciunei evaluări a măsurii suedeze în temeiul normelor privind ajutoarele de stat. În plus, propunerea de decizie de punere în aplicare a Consiliului nu aduce atingere obligației statului membru respectiv de a asigura respectarea normelor privind ajutoarele de stat.</w:t>
      </w:r>
    </w:p>
    <w:p w:rsidR="006C5BE0" w:rsidRPr="0071108D" w:rsidRDefault="006C5BE0" w:rsidP="00A4693B">
      <w:pPr>
        <w:pStyle w:val="ManualHeading2"/>
        <w:rPr>
          <w:rFonts w:eastAsia="Arial Unicode MS"/>
          <w:noProof/>
        </w:rPr>
      </w:pPr>
      <w:r w:rsidRPr="0071108D">
        <w:rPr>
          <w:noProof/>
          <w:color w:val="000000"/>
          <w:u w:color="000000"/>
          <w:bdr w:val="nil"/>
        </w:rPr>
        <w:t>•</w:t>
      </w:r>
      <w:r w:rsidRPr="0071108D">
        <w:rPr>
          <w:noProof/>
        </w:rPr>
        <w:tab/>
        <w:t>Coerența cu alte politici ale Uniunii</w:t>
      </w:r>
    </w:p>
    <w:p w:rsidR="006C5BE0" w:rsidRPr="0071108D" w:rsidRDefault="006C5BE0" w:rsidP="006C5BE0">
      <w:pPr>
        <w:rPr>
          <w:rFonts w:eastAsia="Arial Unicode MS"/>
          <w:iCs/>
          <w:noProof/>
        </w:rPr>
      </w:pPr>
      <w:r w:rsidRPr="0071108D">
        <w:rPr>
          <w:noProof/>
        </w:rPr>
        <w:t xml:space="preserve">Comisia trebuie să examineze fiecare proiect de derogare în temeiul articolului 19 din directiva privind impozitarea energiei și să ia în considerare buna funcționare a pieței interne, </w:t>
      </w:r>
      <w:r w:rsidRPr="0071108D">
        <w:rPr>
          <w:noProof/>
        </w:rPr>
        <w:lastRenderedPageBreak/>
        <w:t xml:space="preserve">necesitatea de a asigura o concurență loială și politicile UE privind sănătatea, mediul, energia și transporturile. </w:t>
      </w:r>
    </w:p>
    <w:p w:rsidR="006C5BE0" w:rsidRPr="0071108D" w:rsidRDefault="006C5BE0" w:rsidP="006C5BE0">
      <w:pPr>
        <w:rPr>
          <w:rFonts w:eastAsia="Arial Unicode MS"/>
          <w:iCs/>
          <w:noProof/>
        </w:rPr>
      </w:pPr>
      <w:r w:rsidRPr="0071108D">
        <w:rPr>
          <w:noProof/>
        </w:rPr>
        <w:t>Potrivit autorităților suedeze, reducerea fiscală avută în vedere ar trebui să atenueze parțial povara socială și economică a populației suedeze cauzată de recenta creștere a prețurilor combustibililor utilizați în transporturi, care a rezultat, de asemenea, din conflictul din Iran și din perturbarea Strâmtorii Ormuz.</w:t>
      </w:r>
    </w:p>
    <w:p w:rsidR="006C5BE0" w:rsidRPr="0071108D" w:rsidRDefault="006C5BE0" w:rsidP="006C5BE0">
      <w:pPr>
        <w:rPr>
          <w:rFonts w:eastAsia="Arial Unicode MS"/>
          <w:iCs/>
          <w:noProof/>
        </w:rPr>
      </w:pPr>
      <w:r w:rsidRPr="0071108D">
        <w:rPr>
          <w:noProof/>
        </w:rPr>
        <w:t xml:space="preserve">Ca urmare a acestei situații excepționale, este puțin probabil ca această măsură temporară să afecteze comerțul intra-UE. Per ansamblu, măsura pare acceptabilă din punctul de vedere al bunei funcționări a pieței interne și al necesității de a asigura o concurență loială. Având în vedere că atât durata, cât și efectele sale sunt limitate, măsura nu ar trebui să denatureze concurența sau să împiedice funcționarea pieței interne. </w:t>
      </w:r>
    </w:p>
    <w:p w:rsidR="006C5BE0" w:rsidRPr="0071108D" w:rsidRDefault="006C5BE0" w:rsidP="006C5BE0">
      <w:pPr>
        <w:rPr>
          <w:noProof/>
        </w:rPr>
      </w:pPr>
    </w:p>
    <w:p w:rsidR="006C5BE0" w:rsidRPr="0071108D" w:rsidRDefault="006C5BE0" w:rsidP="006C5BE0">
      <w:pPr>
        <w:pBdr>
          <w:top w:val="nil"/>
          <w:left w:val="nil"/>
          <w:bottom w:val="nil"/>
          <w:right w:val="nil"/>
          <w:between w:val="nil"/>
          <w:bar w:val="nil"/>
        </w:pBdr>
        <w:spacing w:before="0" w:after="240"/>
        <w:rPr>
          <w:rFonts w:eastAsia="Arial Unicode MS"/>
          <w:b/>
          <w:bCs/>
          <w:noProof/>
        </w:rPr>
      </w:pPr>
      <w:r w:rsidRPr="0071108D">
        <w:rPr>
          <w:b/>
          <w:noProof/>
        </w:rPr>
        <w:t>Politica privind mediul și clima</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Uniunea își menține angajamentul ferm față de obiectivele sale în materie de climă și energie, astfel cum se prevede în Legea europeană a climei [Regulamentul (UE) 2021/1119]. Reducerile fiscale temporare permise de acest act nu ar trebui să conducă la o slăbire structurală a semnalelor de preț care încurajează eficiența energetică și tranziția către surse regenerabile de energie.</w:t>
      </w:r>
    </w:p>
    <w:p w:rsidR="006C5BE0" w:rsidRPr="0071108D" w:rsidRDefault="006C5BE0" w:rsidP="006C5BE0">
      <w:pPr>
        <w:pBdr>
          <w:top w:val="nil"/>
          <w:left w:val="nil"/>
          <w:bottom w:val="nil"/>
          <w:right w:val="nil"/>
          <w:between w:val="nil"/>
          <w:bar w:val="nil"/>
        </w:pBdr>
        <w:spacing w:before="0" w:after="240"/>
        <w:rPr>
          <w:rFonts w:eastAsia="Arial Unicode MS"/>
          <w:b/>
          <w:bCs/>
          <w:noProof/>
        </w:rPr>
      </w:pPr>
      <w:r w:rsidRPr="0071108D">
        <w:rPr>
          <w:b/>
          <w:noProof/>
        </w:rPr>
        <w:t>Politica energetică</w:t>
      </w:r>
    </w:p>
    <w:p w:rsidR="006C5BE0" w:rsidRPr="0071108D" w:rsidRDefault="006C5BE0" w:rsidP="006C5BE0">
      <w:pPr>
        <w:rPr>
          <w:noProof/>
        </w:rPr>
      </w:pPr>
      <w:r w:rsidRPr="0071108D">
        <w:rPr>
          <w:noProof/>
        </w:rPr>
        <w:t xml:space="preserve">Având în vedere amploarea actualei creșteri bruște a prețurilor la energie care rezultă din situația din Orientul Mijlociu, statele membre trebuie să aibă posibilitatea de a reduce temporar ratele accizelor sub ratele minime ale UE pentru produsele care nu intră sub incidența dispoziției de mai sus. </w:t>
      </w:r>
    </w:p>
    <w:p w:rsidR="006C5BE0" w:rsidRPr="0071108D" w:rsidRDefault="006C5BE0" w:rsidP="006C5BE0">
      <w:pPr>
        <w:rPr>
          <w:rFonts w:eastAsia="Arial Unicode MS"/>
          <w:noProof/>
        </w:rPr>
      </w:pPr>
      <w:r w:rsidRPr="0071108D">
        <w:rPr>
          <w:noProof/>
        </w:rPr>
        <w:t xml:space="preserve">Având în vedere durata sa scurtă și circumstanțele excepționale actuale legate de situația geopolitică, împreună cu un preț de piață excepțional de ridicat al produselor energetice, posibilitatea de a reduce ratele accizelor sub ratele minime stabilite în temeiul Directivei 2003/96/CE este considerată adecvată și proporțională cu necesitatea de a echilibra obiectivele de politică specifice enumerate la articolul 19 din Directiva privind impozitarea energiei și, în special, politica de mediu a UE cu imperativul de urgență de a asigura accesibilitatea energiei pentru întreprinderi și gospodării. </w:t>
      </w:r>
    </w:p>
    <w:p w:rsidR="006C5BE0" w:rsidRPr="0071108D" w:rsidRDefault="006C5BE0" w:rsidP="006C5BE0">
      <w:pPr>
        <w:pBdr>
          <w:top w:val="nil"/>
          <w:left w:val="nil"/>
          <w:bottom w:val="nil"/>
          <w:right w:val="nil"/>
          <w:between w:val="nil"/>
          <w:bar w:val="nil"/>
        </w:pBdr>
        <w:spacing w:before="0" w:after="240"/>
        <w:rPr>
          <w:rFonts w:eastAsia="Arial Unicode MS"/>
          <w:b/>
          <w:bCs/>
          <w:noProof/>
        </w:rPr>
      </w:pPr>
      <w:r w:rsidRPr="0071108D">
        <w:rPr>
          <w:b/>
          <w:noProof/>
        </w:rPr>
        <w:t>Politica privind piața internă și concurența loială</w:t>
      </w:r>
    </w:p>
    <w:p w:rsidR="006C5BE0" w:rsidRPr="0071108D" w:rsidRDefault="006C5BE0" w:rsidP="006C5BE0">
      <w:pPr>
        <w:rPr>
          <w:rFonts w:eastAsia="Arial Unicode MS"/>
          <w:iCs/>
          <w:noProof/>
        </w:rPr>
      </w:pPr>
      <w:r w:rsidRPr="0071108D">
        <w:rPr>
          <w:noProof/>
        </w:rPr>
        <w:t xml:space="preserve">Ca urmare a situației excepționale, este puțin probabil ca această măsură temporară să afecteze comerțul intra-UE. Per ansamblu, măsura pare acceptabilă din punctul de vedere al bunei funcționări a pieței interne și al necesității de a asigura o concurență loială. Având în vedere că atât durata, cât și efectele sale sunt limitate, măsura nu ar trebui să denatureze concurența sau să împiedice funcționarea pieței interne. </w:t>
      </w:r>
    </w:p>
    <w:p w:rsidR="006C5BE0" w:rsidRPr="0071108D" w:rsidRDefault="006C5BE0" w:rsidP="006C5BE0">
      <w:pPr>
        <w:rPr>
          <w:rFonts w:eastAsia="Arial Unicode MS"/>
          <w:b/>
          <w:bCs/>
          <w:noProof/>
        </w:rPr>
      </w:pPr>
      <w:r w:rsidRPr="0071108D">
        <w:rPr>
          <w:b/>
          <w:noProof/>
        </w:rPr>
        <w:t xml:space="preserve">Politica socială </w:t>
      </w:r>
    </w:p>
    <w:p w:rsidR="006C5BE0" w:rsidRPr="0071108D" w:rsidRDefault="006C5BE0" w:rsidP="006C5BE0">
      <w:pPr>
        <w:rPr>
          <w:rFonts w:eastAsia="Arial Unicode MS"/>
          <w:noProof/>
        </w:rPr>
      </w:pPr>
      <w:r w:rsidRPr="0071108D">
        <w:rPr>
          <w:noProof/>
        </w:rPr>
        <w:t>Creșterea observată și preconizată a costului energiei în întreaga Uniune are un impact disproporționat asupra gospodăriilor cu venituri mici, având în vedere că costurile energiei constituie, în general, o parte mai mare din bugetele lor</w:t>
      </w:r>
      <w:r w:rsidRPr="0071108D">
        <w:rPr>
          <w:rStyle w:val="FootnoteReference"/>
          <w:rFonts w:eastAsia="Arial Unicode MS"/>
          <w:noProof/>
        </w:rPr>
        <w:footnoteReference w:id="5"/>
      </w:r>
      <w:r w:rsidRPr="0071108D">
        <w:rPr>
          <w:noProof/>
        </w:rPr>
        <w:t xml:space="preserve">. Prin urmare, reducerile accizelor la </w:t>
      </w:r>
      <w:r w:rsidRPr="0071108D">
        <w:rPr>
          <w:noProof/>
        </w:rPr>
        <w:lastRenderedPageBreak/>
        <w:t xml:space="preserve">produsele energetice pot avea un impact social pozitiv, contribuind la reducerea costurilor energiei pentru gospodăriile cu venituri mici. </w:t>
      </w:r>
    </w:p>
    <w:p w:rsidR="006C5BE0" w:rsidRPr="0071108D" w:rsidRDefault="006C5BE0" w:rsidP="0029266A">
      <w:pPr>
        <w:pBdr>
          <w:top w:val="nil"/>
          <w:left w:val="nil"/>
          <w:bottom w:val="nil"/>
          <w:right w:val="nil"/>
          <w:between w:val="nil"/>
          <w:bar w:val="nil"/>
        </w:pBdr>
        <w:spacing w:before="0" w:after="240"/>
        <w:rPr>
          <w:rFonts w:eastAsia="Arial Unicode MS"/>
          <w:noProof/>
        </w:rPr>
      </w:pPr>
    </w:p>
    <w:p w:rsidR="006C5BE0" w:rsidRPr="0071108D" w:rsidRDefault="006C5BE0" w:rsidP="00550536">
      <w:pPr>
        <w:pStyle w:val="ManualHeading1"/>
        <w:rPr>
          <w:noProof/>
        </w:rPr>
      </w:pPr>
      <w:r w:rsidRPr="0071108D">
        <w:rPr>
          <w:noProof/>
        </w:rPr>
        <w:t>2.</w:t>
      </w:r>
      <w:r w:rsidRPr="0071108D">
        <w:rPr>
          <w:noProof/>
        </w:rPr>
        <w:tab/>
        <w:t>TEMEI JURIDIC, SUBSIDIARITATE ȘI PROPORȚIONALITATE</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Temei juridic</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Articolul 19 din Directiva 2003/96/CE a Consiliului.</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 xml:space="preserve">Subsidiaritatea (în cazul competențelor neexclusive) </w:t>
      </w:r>
    </w:p>
    <w:p w:rsidR="006C5BE0" w:rsidRPr="0071108D" w:rsidRDefault="006C5BE0" w:rsidP="006C5BE0">
      <w:pPr>
        <w:pBdr>
          <w:top w:val="nil"/>
          <w:left w:val="nil"/>
          <w:bottom w:val="nil"/>
          <w:right w:val="nil"/>
          <w:between w:val="nil"/>
          <w:bar w:val="nil"/>
        </w:pBdr>
        <w:spacing w:before="0" w:after="240"/>
        <w:rPr>
          <w:noProof/>
        </w:rPr>
      </w:pPr>
      <w:r w:rsidRPr="0071108D">
        <w:rPr>
          <w:noProof/>
        </w:rPr>
        <w:t>Domeniul fiscalității indirecte, reglementat de articolul 113 din TFUE nu ține, în sine, de competența exclusivă a Uniunii Europene în sensul articolului 3 din TFUE.</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Cu toate acestea, în temeiul articolului 19 din Directiva 2003/96/CE, Consiliul a primit competența exclusivă, în virtutea legislației secundare, de a autoriza statele membre să introducă și alte scutiri sau reduceri în sensul dispoziției respective. Prin urmare, statele membre nu se pot substitui Consiliului. În consecință, principiul subsidiarității nu este aplicabil în cazul prezentei decizii de punere în aplicare. În orice caz, întrucât nu este un proiect de act legislativ, prezentul act nu trebuie transmis parlamentelor naționale în temeiul Protocolului nr. 2 la tratate, pentru verificarea conformității cu principiul subsidiarității.</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Proporționalitatea</w:t>
      </w:r>
    </w:p>
    <w:p w:rsidR="006C5BE0" w:rsidRPr="0071108D" w:rsidRDefault="006C5BE0" w:rsidP="006C5BE0">
      <w:pPr>
        <w:pBdr>
          <w:top w:val="nil"/>
          <w:left w:val="nil"/>
          <w:bottom w:val="nil"/>
          <w:right w:val="nil"/>
          <w:between w:val="nil"/>
          <w:bar w:val="nil"/>
        </w:pBdr>
        <w:spacing w:before="0" w:after="240"/>
        <w:rPr>
          <w:noProof/>
        </w:rPr>
      </w:pPr>
      <w:r w:rsidRPr="0071108D">
        <w:rPr>
          <w:noProof/>
        </w:rPr>
        <w:t xml:space="preserve">Propunerea respectă principiul proporționalității. Reducerile fiscale nu depășesc ceea ce este necesar pentru atingerea obiectivului urmărit. </w:t>
      </w:r>
    </w:p>
    <w:p w:rsidR="006C5BE0" w:rsidRPr="0071108D" w:rsidRDefault="006C5BE0" w:rsidP="006C5BE0">
      <w:pPr>
        <w:pBdr>
          <w:top w:val="nil"/>
          <w:left w:val="nil"/>
          <w:bottom w:val="nil"/>
          <w:right w:val="nil"/>
          <w:between w:val="nil"/>
          <w:bar w:val="nil"/>
        </w:pBdr>
        <w:spacing w:before="0" w:after="240"/>
        <w:rPr>
          <w:rFonts w:eastAsia="Arial Unicode MS"/>
          <w:iCs/>
          <w:noProof/>
        </w:rPr>
      </w:pPr>
      <w:r w:rsidRPr="0071108D">
        <w:rPr>
          <w:noProof/>
        </w:rPr>
        <w:t xml:space="preserve">Autorizația se acordă pentru o perioadă foarte limitată de timp, și anume </w:t>
      </w:r>
      <w:r w:rsidR="0071108D" w:rsidRPr="0071108D">
        <w:rPr>
          <w:noProof/>
        </w:rPr>
        <w:t>cinci</w:t>
      </w:r>
      <w:r w:rsidRPr="0071108D">
        <w:rPr>
          <w:noProof/>
        </w:rPr>
        <w:t xml:space="preserve"> luni, și într-un context de criză energetică. </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Alegerea instrumentului</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Instrumentul propus este o decizie de punere în aplicare a Consiliului. Articolul 19 din Directiva 2003/96/CE prevede numai acest tip de măsură.</w:t>
      </w:r>
    </w:p>
    <w:p w:rsidR="006C5BE0" w:rsidRPr="0071108D" w:rsidRDefault="006C5BE0" w:rsidP="00550536">
      <w:pPr>
        <w:pStyle w:val="ManualHeading1"/>
        <w:rPr>
          <w:noProof/>
        </w:rPr>
      </w:pPr>
      <w:r w:rsidRPr="0071108D">
        <w:rPr>
          <w:noProof/>
        </w:rPr>
        <w:t>3.</w:t>
      </w:r>
      <w:r w:rsidRPr="0071108D">
        <w:rPr>
          <w:noProof/>
        </w:rPr>
        <w:tab/>
        <w:t>REZULTATELE EVALUĂRILOR EX POST, ALE CONSULTĂRILOR CU PĂRȚILE INTERESATE ȘI ALE EVALUĂRILOR IMPACTULUI</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Evaluările ex post/verificarea adecvării legislației existente</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Măsura nu impune o evaluare a legislației existente.</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Consultarea cu părțile interesate</w:t>
      </w:r>
    </w:p>
    <w:p w:rsidR="006C5BE0" w:rsidRPr="0071108D" w:rsidRDefault="006C5BE0" w:rsidP="006C5BE0">
      <w:pPr>
        <w:pBdr>
          <w:top w:val="nil"/>
          <w:left w:val="nil"/>
          <w:bottom w:val="nil"/>
          <w:right w:val="nil"/>
          <w:between w:val="nil"/>
          <w:bar w:val="nil"/>
        </w:pBdr>
        <w:spacing w:before="0" w:after="240"/>
        <w:rPr>
          <w:noProof/>
        </w:rPr>
      </w:pPr>
      <w:r w:rsidRPr="0071108D">
        <w:rPr>
          <w:noProof/>
        </w:rPr>
        <w:t xml:space="preserve">Prezenta propunere se bazează pe o cerere înaintată de Suedia și se referă doar la acest stat membru. </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Obținerea și utilizarea cunoștințelor de specialitate</w:t>
      </w:r>
    </w:p>
    <w:p w:rsidR="006C5BE0" w:rsidRPr="0071108D" w:rsidRDefault="006C5BE0" w:rsidP="006C5BE0">
      <w:pPr>
        <w:pBdr>
          <w:top w:val="nil"/>
          <w:left w:val="nil"/>
          <w:bottom w:val="nil"/>
          <w:right w:val="nil"/>
          <w:between w:val="nil"/>
          <w:bar w:val="nil"/>
        </w:pBdr>
        <w:spacing w:before="0" w:after="240"/>
        <w:rPr>
          <w:noProof/>
        </w:rPr>
      </w:pPr>
      <w:r w:rsidRPr="0071108D">
        <w:rPr>
          <w:noProof/>
        </w:rPr>
        <w:t>Nu a fost necesar să se recurgă la cunoștințe de specialitate externe.</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Evaluarea impactului</w:t>
      </w:r>
    </w:p>
    <w:p w:rsidR="006C5BE0" w:rsidRPr="0071108D" w:rsidRDefault="006C5BE0" w:rsidP="006C5BE0">
      <w:pPr>
        <w:pBdr>
          <w:top w:val="nil"/>
          <w:left w:val="nil"/>
          <w:bottom w:val="nil"/>
          <w:right w:val="nil"/>
          <w:between w:val="nil"/>
          <w:bar w:val="nil"/>
        </w:pBdr>
        <w:spacing w:before="0" w:after="240"/>
        <w:rPr>
          <w:noProof/>
        </w:rPr>
      </w:pPr>
      <w:r w:rsidRPr="0071108D">
        <w:rPr>
          <w:noProof/>
        </w:rPr>
        <w:t xml:space="preserve">Prezenta propunere se referă la acordarea unei autorizații unui stat membru, la cererea acestuia, și nu necesită efectuarea unei evaluări a impactului. În conformitate cu normele </w:t>
      </w:r>
      <w:r w:rsidRPr="0071108D">
        <w:rPr>
          <w:noProof/>
        </w:rPr>
        <w:lastRenderedPageBreak/>
        <w:t>privind o mai bună legiferare, aceste tipuri de acte nu fac obiectul unei evaluări a impactului, prin natura lor.</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Adecvarea reglementărilor și simplificarea</w:t>
      </w:r>
    </w:p>
    <w:p w:rsidR="006C5BE0" w:rsidRPr="0071108D" w:rsidRDefault="006C5BE0" w:rsidP="006C5BE0">
      <w:pPr>
        <w:pBdr>
          <w:top w:val="nil"/>
          <w:left w:val="nil"/>
          <w:bottom w:val="nil"/>
          <w:right w:val="nil"/>
          <w:between w:val="nil"/>
          <w:bar w:val="nil"/>
        </w:pBdr>
        <w:spacing w:before="0" w:after="240"/>
        <w:rPr>
          <w:noProof/>
        </w:rPr>
      </w:pPr>
      <w:r w:rsidRPr="0071108D">
        <w:rPr>
          <w:noProof/>
        </w:rPr>
        <w:t>Măsura nu prevede o simplificare. Ea se bazează pe o cerere înaintată de Suedia și se referă doar la acest stat membru.</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Drepturile fundamentale</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Măsura nu privește drepturile fundamentale.</w:t>
      </w:r>
    </w:p>
    <w:p w:rsidR="006C5BE0" w:rsidRPr="0071108D" w:rsidRDefault="006C5BE0" w:rsidP="00550536">
      <w:pPr>
        <w:pStyle w:val="ManualHeading1"/>
        <w:rPr>
          <w:noProof/>
        </w:rPr>
      </w:pPr>
      <w:r w:rsidRPr="0071108D">
        <w:rPr>
          <w:noProof/>
        </w:rPr>
        <w:t>4.</w:t>
      </w:r>
      <w:r w:rsidRPr="0071108D">
        <w:rPr>
          <w:noProof/>
        </w:rPr>
        <w:tab/>
        <w:t>IMPLICAȚII BUGETARE</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Această măsură nu impune Uniunii nicio sarcină financiară sau administrativă. Prin urmare, propunerea nu are implicații asupra bugetului Uniunii Europene.</w:t>
      </w:r>
    </w:p>
    <w:p w:rsidR="006C5BE0" w:rsidRPr="0071108D" w:rsidRDefault="006C5BE0" w:rsidP="00550536">
      <w:pPr>
        <w:pStyle w:val="ManualHeading1"/>
        <w:rPr>
          <w:noProof/>
        </w:rPr>
      </w:pPr>
      <w:r w:rsidRPr="0071108D">
        <w:rPr>
          <w:noProof/>
        </w:rPr>
        <w:t>5.</w:t>
      </w:r>
      <w:r w:rsidRPr="0071108D">
        <w:rPr>
          <w:noProof/>
        </w:rPr>
        <w:tab/>
        <w:t>ALTE ELEMENTE</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Planurile de punere în aplicare și măsurile de monitorizare, evaluare și raportare</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Nu este necesar un plan de punere în aplicare. Prezenta propunere se referă la autorizarea unei reduceri fiscale, care este prevăzută pentru o perioadă foarte limitată de timp. Cotele de impozitare aplicabile pot scădea sub ratele minime de impozitare stabilite de Directiva privind impozitarea energiei. Măsura poate fi evaluată în cazul unei propuneri de prelungire a valabilității acestei decizii.</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Documentele explicative (în cazul directivelor)</w:t>
      </w:r>
    </w:p>
    <w:p w:rsidR="006C5BE0" w:rsidRPr="0071108D" w:rsidRDefault="006C5BE0" w:rsidP="006C5BE0">
      <w:pPr>
        <w:pBdr>
          <w:top w:val="nil"/>
          <w:left w:val="nil"/>
          <w:bottom w:val="nil"/>
          <w:right w:val="nil"/>
          <w:between w:val="nil"/>
          <w:bar w:val="nil"/>
        </w:pBdr>
        <w:spacing w:before="0" w:after="240"/>
        <w:rPr>
          <w:rFonts w:eastAsia="Arial Unicode MS"/>
          <w:noProof/>
        </w:rPr>
      </w:pPr>
      <w:r w:rsidRPr="0071108D">
        <w:rPr>
          <w:noProof/>
        </w:rPr>
        <w:t>Propunerea nu necesită documente explicative privind transpunerea.</w:t>
      </w:r>
    </w:p>
    <w:p w:rsidR="006C5BE0" w:rsidRPr="0071108D" w:rsidRDefault="006C5BE0" w:rsidP="00A4693B">
      <w:pPr>
        <w:pStyle w:val="ManualHeading2"/>
        <w:rPr>
          <w:rFonts w:eastAsia="Arial Unicode MS"/>
          <w:noProof/>
          <w:u w:color="000000"/>
          <w:bdr w:val="nil"/>
        </w:rPr>
      </w:pPr>
      <w:r w:rsidRPr="0071108D">
        <w:rPr>
          <w:noProof/>
          <w:u w:color="000000"/>
          <w:bdr w:val="nil"/>
        </w:rPr>
        <w:t>•</w:t>
      </w:r>
      <w:r w:rsidRPr="0071108D">
        <w:rPr>
          <w:noProof/>
        </w:rPr>
        <w:tab/>
      </w:r>
      <w:r w:rsidRPr="0071108D">
        <w:rPr>
          <w:noProof/>
          <w:u w:color="000000"/>
          <w:bdr w:val="nil"/>
        </w:rPr>
        <w:t>Explicarea detaliată a dispozițiilor specifice ale propunerii</w:t>
      </w:r>
    </w:p>
    <w:p w:rsidR="006C5BE0" w:rsidRPr="0071108D" w:rsidRDefault="006C5BE0" w:rsidP="006C5BE0">
      <w:pPr>
        <w:pBdr>
          <w:top w:val="nil"/>
          <w:left w:val="nil"/>
          <w:bottom w:val="nil"/>
          <w:right w:val="nil"/>
          <w:between w:val="nil"/>
          <w:bar w:val="nil"/>
        </w:pBdr>
        <w:spacing w:before="0" w:after="240"/>
        <w:rPr>
          <w:noProof/>
        </w:rPr>
      </w:pPr>
      <w:r w:rsidRPr="0071108D">
        <w:rPr>
          <w:noProof/>
        </w:rPr>
        <w:t>Articolul 1 prevede că Suediei i se va permite să aplice rate reduse ale impozitelor la motorina și benzina fără plumb utilizate drept carburanți, sub ratele minime de impozitare.</w:t>
      </w:r>
    </w:p>
    <w:p w:rsidR="006C5BE0" w:rsidRPr="0071108D" w:rsidRDefault="006C5BE0" w:rsidP="006C5BE0">
      <w:pPr>
        <w:pBdr>
          <w:top w:val="nil"/>
          <w:left w:val="nil"/>
          <w:bottom w:val="nil"/>
          <w:right w:val="nil"/>
          <w:between w:val="nil"/>
          <w:bar w:val="nil"/>
        </w:pBdr>
        <w:spacing w:before="0" w:after="240"/>
        <w:rPr>
          <w:noProof/>
        </w:rPr>
      </w:pPr>
      <w:r w:rsidRPr="0071108D">
        <w:rPr>
          <w:noProof/>
        </w:rPr>
        <w:t xml:space="preserve">Articolul 2 prevede că autorizația solicitată se acordă pentru </w:t>
      </w:r>
      <w:r w:rsidR="0071108D" w:rsidRPr="0071108D">
        <w:rPr>
          <w:noProof/>
        </w:rPr>
        <w:t>cinci</w:t>
      </w:r>
      <w:r w:rsidRPr="0071108D">
        <w:rPr>
          <w:noProof/>
        </w:rPr>
        <w:t xml:space="preserve"> luni după intrarea în vigoare a deciziei, astfel cum solicită Suedia, în limita perioadei maxime de </w:t>
      </w:r>
      <w:r w:rsidR="0071108D" w:rsidRPr="0071108D">
        <w:rPr>
          <w:noProof/>
        </w:rPr>
        <w:t>șase</w:t>
      </w:r>
      <w:r w:rsidRPr="0071108D">
        <w:rPr>
          <w:noProof/>
        </w:rPr>
        <w:t xml:space="preserve"> ani permise de directivă.</w:t>
      </w:r>
    </w:p>
    <w:p w:rsidR="006C5BE0" w:rsidRPr="0071108D" w:rsidRDefault="006C5BE0" w:rsidP="00D8676A">
      <w:pPr>
        <w:rPr>
          <w:noProof/>
        </w:rPr>
        <w:sectPr w:rsidR="006C5BE0" w:rsidRPr="0071108D" w:rsidSect="002728C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0C5B27" w:rsidRDefault="00FC140F">
      <w:pPr>
        <w:pStyle w:val="Rfrenceinterinstitutionnelle"/>
        <w:rPr>
          <w:noProof/>
        </w:rPr>
      </w:pPr>
      <w:r>
        <w:rPr>
          <w:noProof/>
        </w:rPr>
        <w:lastRenderedPageBreak/>
        <w:t>2026/0104 (NLE)</w:t>
      </w:r>
    </w:p>
    <w:p w:rsidR="006C5BE0" w:rsidRPr="0071108D" w:rsidRDefault="0049525E" w:rsidP="0049525E">
      <w:pPr>
        <w:pStyle w:val="Statut"/>
        <w:rPr>
          <w:noProof/>
        </w:rPr>
      </w:pPr>
      <w:r w:rsidRPr="0071108D">
        <w:rPr>
          <w:noProof/>
        </w:rPr>
        <w:t>Propunere de</w:t>
      </w:r>
    </w:p>
    <w:p w:rsidR="006C5BE0" w:rsidRPr="0071108D" w:rsidRDefault="0049525E" w:rsidP="0049525E">
      <w:pPr>
        <w:pStyle w:val="Typedudocument"/>
        <w:rPr>
          <w:noProof/>
        </w:rPr>
      </w:pPr>
      <w:r w:rsidRPr="0071108D">
        <w:rPr>
          <w:noProof/>
        </w:rPr>
        <w:t>DECIZIE DE PUNERE ÎN APLICARE A CONSILIULUI</w:t>
      </w:r>
    </w:p>
    <w:p w:rsidR="006C5BE0" w:rsidRPr="0071108D" w:rsidRDefault="0049525E" w:rsidP="0049525E">
      <w:pPr>
        <w:pStyle w:val="Titreobjet"/>
        <w:rPr>
          <w:noProof/>
        </w:rPr>
      </w:pPr>
      <w:r w:rsidRPr="0071108D">
        <w:rPr>
          <w:noProof/>
        </w:rPr>
        <w:t>de autorizare a Suediei să aplice rate reduse ale accizelor la motorina și benzina fără plumb utilizate drept carburanți, în conformitate cu articolul 19 din Directiva 2003/96/CE</w:t>
      </w:r>
    </w:p>
    <w:p w:rsidR="006C5BE0" w:rsidRPr="0071108D" w:rsidRDefault="006C5BE0" w:rsidP="00CE1658">
      <w:pPr>
        <w:pStyle w:val="Institutionquiagit"/>
        <w:rPr>
          <w:noProof/>
        </w:rPr>
      </w:pPr>
      <w:r w:rsidRPr="0071108D">
        <w:rPr>
          <w:noProof/>
        </w:rPr>
        <w:t>CONSILIUL UNIUNII EUROPENE,</w:t>
      </w:r>
    </w:p>
    <w:p w:rsidR="006C5BE0" w:rsidRPr="0071108D" w:rsidRDefault="006C5BE0" w:rsidP="006C5BE0">
      <w:pPr>
        <w:rPr>
          <w:noProof/>
        </w:rPr>
      </w:pPr>
      <w:r w:rsidRPr="0071108D">
        <w:rPr>
          <w:noProof/>
        </w:rPr>
        <w:t xml:space="preserve">având în vedere Tratatul privind funcționarea Uniunii Europene, </w:t>
      </w:r>
    </w:p>
    <w:p w:rsidR="006C5BE0" w:rsidRPr="0071108D" w:rsidRDefault="006C5BE0" w:rsidP="006C5BE0">
      <w:pPr>
        <w:rPr>
          <w:noProof/>
        </w:rPr>
      </w:pPr>
      <w:r w:rsidRPr="0071108D">
        <w:rPr>
          <w:noProof/>
        </w:rPr>
        <w:t>având în vedere Directiva 2003/96/CE a Consiliului din 27 octombrie 2003 privind restructurarea cadrului comunitar de impozitare a produselor energetice și a electricității</w:t>
      </w:r>
      <w:r w:rsidRPr="0071108D">
        <w:rPr>
          <w:rStyle w:val="FootnoteReference"/>
          <w:noProof/>
        </w:rPr>
        <w:footnoteReference w:id="6"/>
      </w:r>
      <w:r w:rsidRPr="0071108D">
        <w:rPr>
          <w:noProof/>
        </w:rPr>
        <w:t>, în special articolul 19 alineatul (1),</w:t>
      </w:r>
    </w:p>
    <w:p w:rsidR="006C5BE0" w:rsidRPr="0071108D" w:rsidRDefault="006C5BE0" w:rsidP="006C5BE0">
      <w:pPr>
        <w:rPr>
          <w:noProof/>
        </w:rPr>
      </w:pPr>
      <w:r w:rsidRPr="0071108D">
        <w:rPr>
          <w:noProof/>
        </w:rPr>
        <w:t>având în vedere propunerea Comisiei Europene,</w:t>
      </w:r>
    </w:p>
    <w:p w:rsidR="006C5BE0" w:rsidRPr="0071108D" w:rsidRDefault="006C5BE0" w:rsidP="00CE1658">
      <w:pPr>
        <w:rPr>
          <w:noProof/>
        </w:rPr>
      </w:pPr>
      <w:r w:rsidRPr="0071108D">
        <w:rPr>
          <w:noProof/>
        </w:rPr>
        <w:t>întrucât:</w:t>
      </w:r>
    </w:p>
    <w:p w:rsidR="006C5BE0" w:rsidRPr="0071108D" w:rsidRDefault="00DD4F9D" w:rsidP="001B1D60">
      <w:pPr>
        <w:pStyle w:val="ManualConsidrant"/>
        <w:rPr>
          <w:noProof/>
        </w:rPr>
      </w:pPr>
      <w:r>
        <w:rPr>
          <w:noProof/>
        </w:rPr>
        <w:t>(1)</w:t>
      </w:r>
      <w:r>
        <w:rPr>
          <w:noProof/>
        </w:rPr>
        <w:tab/>
      </w:r>
      <w:r w:rsidRPr="0071108D">
        <w:rPr>
          <w:noProof/>
        </w:rPr>
        <w:t>În săptămânile care au precedat adoptarea prezentei decizii, s-au observat creșteri bruște și persistente ale prețurilor angro și cu amănuntul la produsele energetice în întreaga Uniune, declanșate de evoluțiile geopolitice din Orientul Mijlociu, care au afectat lanțurile de aprovizionare cu petrol și produse petroliere la nivel mondial. Aceste evoluții au avut efecte negative semnificative asupra gospodăriilor, în special asupra consumatorilor vulnerabili, și asupra întreprinderilor, inclusiv asupra întreprinderilor mici și mijlocii, prezentând astfel un risc grav pentru coeziunea socială, stabilitatea economică și buna funcționare a pieței interne.</w:t>
      </w:r>
    </w:p>
    <w:p w:rsidR="006C5BE0" w:rsidRPr="0071108D" w:rsidRDefault="006C5BE0" w:rsidP="006C5BE0">
      <w:pPr>
        <w:pStyle w:val="ManualConsidrant"/>
        <w:rPr>
          <w:noProof/>
        </w:rPr>
      </w:pPr>
      <w:r>
        <w:rPr>
          <w:noProof/>
        </w:rPr>
        <w:t>(2)</w:t>
      </w:r>
      <w:r>
        <w:rPr>
          <w:noProof/>
        </w:rPr>
        <w:tab/>
      </w:r>
      <w:r w:rsidRPr="0071108D">
        <w:rPr>
          <w:noProof/>
        </w:rPr>
        <w:t>În concluziile sale din 19 martie 2026</w:t>
      </w:r>
      <w:r w:rsidRPr="0071108D">
        <w:rPr>
          <w:rStyle w:val="FootnoteReference"/>
          <w:noProof/>
        </w:rPr>
        <w:footnoteReference w:id="7"/>
      </w:r>
      <w:r w:rsidRPr="0071108D">
        <w:rPr>
          <w:noProof/>
        </w:rPr>
        <w:t>, Consiliul European a recunoscut caracterul extraordinar al situației de pe piața energiei și implicațiile sale macroeconomice. În concluzii, statele membre au fost invitate să utilizeze pe deplin instrumentele disponibile în cadrul legal al Uniunii, inclusiv măsurile fiscale, pentru a remedia consecințele sociale și economice negative ale șocului prețurilor la energie generat de criza din Orientul Mijlociu și s-a subliniat în special necesitatea unei coordonări strânse a răspunsurilor naționale, astfel încât să se evite fragmentarea, să se prevină denaturările grave ale concurenței și să se asigure condiții de concurență echitabile în cadrul pieței interne.</w:t>
      </w:r>
    </w:p>
    <w:p w:rsidR="006C5BE0" w:rsidRPr="0071108D" w:rsidRDefault="006C5BE0" w:rsidP="006C5BE0">
      <w:pPr>
        <w:pStyle w:val="ManualConsidrant"/>
        <w:rPr>
          <w:noProof/>
        </w:rPr>
      </w:pPr>
      <w:r>
        <w:rPr>
          <w:noProof/>
        </w:rPr>
        <w:t>(3)</w:t>
      </w:r>
      <w:r>
        <w:rPr>
          <w:noProof/>
        </w:rPr>
        <w:tab/>
      </w:r>
      <w:r w:rsidRPr="0071108D">
        <w:rPr>
          <w:noProof/>
        </w:rPr>
        <w:t xml:space="preserve">Accizele stabilite prin Directiva 2003/96/CE contribuie la costul final al produselor energetice furnizate în Uniune. O reducere a accizelor sub ratele minime poate atenua unele dintre creșterile costurilor energiei cu care se confruntă în prezent statele membre. </w:t>
      </w:r>
    </w:p>
    <w:p w:rsidR="006C5BE0" w:rsidRPr="0071108D" w:rsidRDefault="006C5BE0" w:rsidP="006C5BE0">
      <w:pPr>
        <w:pStyle w:val="ManualConsidrant"/>
        <w:rPr>
          <w:noProof/>
        </w:rPr>
      </w:pPr>
      <w:r>
        <w:rPr>
          <w:noProof/>
        </w:rPr>
        <w:t>(4)</w:t>
      </w:r>
      <w:r>
        <w:rPr>
          <w:noProof/>
        </w:rPr>
        <w:tab/>
      </w:r>
      <w:r w:rsidRPr="0071108D">
        <w:rPr>
          <w:noProof/>
        </w:rPr>
        <w:t xml:space="preserve">Mecanismele de flexibilitate prevăzute de Directiva 2003/96/CE permit statelor membre, în limite definite, să reducă sarcina fiscală asupra anumitor produse energetice într-un mod țintit și temporar. Având în vedere caracterul excepțional și </w:t>
      </w:r>
      <w:r w:rsidRPr="0071108D">
        <w:rPr>
          <w:noProof/>
        </w:rPr>
        <w:lastRenderedPageBreak/>
        <w:t xml:space="preserve">urgent al situației actuale, este necesar să se prevadă flexibilități specifice, limitate în timp, destinate în mod explicit să atenueze impactul șocului prețurilor la energie. </w:t>
      </w:r>
    </w:p>
    <w:p w:rsidR="006C5BE0" w:rsidRPr="0071108D" w:rsidRDefault="006C5BE0" w:rsidP="006C5BE0">
      <w:pPr>
        <w:pStyle w:val="ManualConsidrant"/>
        <w:rPr>
          <w:noProof/>
        </w:rPr>
      </w:pPr>
      <w:r>
        <w:rPr>
          <w:noProof/>
        </w:rPr>
        <w:t>(5)</w:t>
      </w:r>
      <w:r>
        <w:rPr>
          <w:noProof/>
        </w:rPr>
        <w:tab/>
      </w:r>
      <w:r w:rsidRPr="0071108D">
        <w:rPr>
          <w:noProof/>
        </w:rPr>
        <w:t>Reducerile temporare ale impozitării anumitor produse energetice pot oferi un ajutor rapid gospodăriilor și întreprinderilor prin scăderea directă a prețurilor pentru utilizatorii finali. În situația actuală, astfel de reduceri extraordinare reprezintă un instrument adecvat și necesar pentru a aborda problema perturbării serioase a economiei cauzate de șocul prețurilor la energie.</w:t>
      </w:r>
    </w:p>
    <w:p w:rsidR="006C5BE0" w:rsidRPr="0071108D" w:rsidRDefault="006C5BE0" w:rsidP="006C5BE0">
      <w:pPr>
        <w:pStyle w:val="ManualConsidrant"/>
        <w:rPr>
          <w:noProof/>
        </w:rPr>
      </w:pPr>
      <w:r>
        <w:rPr>
          <w:noProof/>
        </w:rPr>
        <w:t>(6)</w:t>
      </w:r>
      <w:r>
        <w:rPr>
          <w:noProof/>
        </w:rPr>
        <w:tab/>
      </w:r>
      <w:r w:rsidRPr="0071108D">
        <w:rPr>
          <w:noProof/>
        </w:rPr>
        <w:t>Prin scrisoarea din 26 martie 2026, autoritățile suedeze au solicitat autorizarea, în conformitate cu articolul 19 din Directiva 2003/96/CE, de a aplica rate reduse cu 2,4 SEK pe litru de combustibil ale accizelor la motorina și benzina fără plumb utilizate drept carburanți, care se situează sub ratele minime de impozitare aplicabile carburanților menționați la articolul 7 din directiva respectivă. Autorizația a fost solicitată pentru o perioadă de cinci luni.</w:t>
      </w:r>
    </w:p>
    <w:p w:rsidR="006C5BE0" w:rsidRPr="0071108D" w:rsidRDefault="006C5BE0" w:rsidP="006C5BE0">
      <w:pPr>
        <w:pStyle w:val="ManualConsidrant"/>
        <w:rPr>
          <w:noProof/>
        </w:rPr>
      </w:pPr>
      <w:r>
        <w:rPr>
          <w:noProof/>
        </w:rPr>
        <w:t>(7)</w:t>
      </w:r>
      <w:r>
        <w:rPr>
          <w:noProof/>
        </w:rPr>
        <w:tab/>
      </w:r>
      <w:r w:rsidRPr="0071108D">
        <w:rPr>
          <w:noProof/>
        </w:rPr>
        <w:t>Potrivit autorităților suedeze, aplicarea unei rate reduse a accizelor vizează atenuarea impactului social și economic al prețurilor cu amănuntul ridicate ale benzinei și motorinei ca urmare a situației geopolitice și care afectează în mod direct atât gospodăriile, cât și întreprinderile.</w:t>
      </w:r>
    </w:p>
    <w:p w:rsidR="006C5BE0" w:rsidRPr="0071108D" w:rsidRDefault="006C5BE0" w:rsidP="006C5BE0">
      <w:pPr>
        <w:pStyle w:val="ManualConsidrant"/>
        <w:rPr>
          <w:noProof/>
        </w:rPr>
      </w:pPr>
      <w:r>
        <w:rPr>
          <w:noProof/>
        </w:rPr>
        <w:t>(8)</w:t>
      </w:r>
      <w:r>
        <w:rPr>
          <w:noProof/>
        </w:rPr>
        <w:tab/>
      </w:r>
      <w:r w:rsidRPr="0071108D">
        <w:rPr>
          <w:noProof/>
        </w:rPr>
        <w:t xml:space="preserve">Autorizația solicitată nu este susceptibilă să denatureze nejustificat concurența sau să împiedice buna funcționare a pieței interne. Având în vedere durata sa scurtă și circumstanțele excepționale legate de situația geopolitică, împreună cu un preț de piață excepțional de ridicat al petrolului, derogarea solicitată a fost considerată adecvată și proporțională, având în vedere necesitatea de a găsi un echilibru între obiectivele de politică specifice enumerate la articolul 19 alineatul (1) din Directiva 2003/96/CE, în special politica de mediu a Uniunii, și imperativul de urgență de a asigura accesibilitatea energiei pentru întreprinderi și gospodării. </w:t>
      </w:r>
    </w:p>
    <w:p w:rsidR="006C5BE0" w:rsidRPr="0071108D" w:rsidRDefault="006C5BE0" w:rsidP="006C5BE0">
      <w:pPr>
        <w:pStyle w:val="ManualConsidrant"/>
        <w:rPr>
          <w:noProof/>
        </w:rPr>
      </w:pPr>
      <w:r>
        <w:rPr>
          <w:noProof/>
        </w:rPr>
        <w:t>(9)</w:t>
      </w:r>
      <w:r>
        <w:rPr>
          <w:noProof/>
        </w:rPr>
        <w:tab/>
      </w:r>
      <w:r w:rsidRPr="0071108D">
        <w:rPr>
          <w:noProof/>
        </w:rPr>
        <w:t>Prin urmare, Suedia ar trebui să fie autorizată să aplice temporar rate reduse ale accizelor sub nivelurile minime din Uniune la motorina și benzina fără plumb utilizate drept carburanți.</w:t>
      </w:r>
    </w:p>
    <w:p w:rsidR="00F90832" w:rsidRPr="0071108D" w:rsidRDefault="00F90832" w:rsidP="00F90832">
      <w:pPr>
        <w:pStyle w:val="ManualConsidrant"/>
        <w:rPr>
          <w:noProof/>
        </w:rPr>
      </w:pPr>
      <w:r>
        <w:rPr>
          <w:noProof/>
        </w:rPr>
        <w:t>(10)</w:t>
      </w:r>
      <w:r>
        <w:rPr>
          <w:noProof/>
        </w:rPr>
        <w:tab/>
      </w:r>
      <w:r w:rsidRPr="0071108D">
        <w:rPr>
          <w:noProof/>
        </w:rPr>
        <w:t>În același timp, reducerile fiscale nespecifice implică costuri bugetare semnificative și tind să crească cererea de combustibili fosili, exacerbând astfel dezechilibrul dintre cerere și ofertă. Prin urmare, măsura ar trebui să rămână strict limitată în timp, iar impactul său preconizat asupra cererii de combustibili fosili, dar și costul său bugetar ar trebui evaluate. Dacă este necesar, ar trebui luate măsuri compensatorii,</w:t>
      </w:r>
    </w:p>
    <w:p w:rsidR="006C5BE0" w:rsidRPr="0071108D" w:rsidRDefault="006C5BE0" w:rsidP="00CE1658">
      <w:pPr>
        <w:pStyle w:val="Formuledadoption"/>
        <w:rPr>
          <w:noProof/>
        </w:rPr>
      </w:pPr>
      <w:r w:rsidRPr="0071108D">
        <w:rPr>
          <w:noProof/>
        </w:rPr>
        <w:t xml:space="preserve">ADOPTĂ PREZENTA DECIZIE: </w:t>
      </w:r>
    </w:p>
    <w:p w:rsidR="006C5BE0" w:rsidRPr="0071108D" w:rsidRDefault="006C5BE0" w:rsidP="00CE1658">
      <w:pPr>
        <w:pStyle w:val="Titrearticle"/>
        <w:rPr>
          <w:noProof/>
        </w:rPr>
      </w:pPr>
      <w:r w:rsidRPr="0071108D">
        <w:rPr>
          <w:noProof/>
        </w:rPr>
        <w:t>Articolul 1</w:t>
      </w:r>
    </w:p>
    <w:p w:rsidR="006C5BE0" w:rsidRPr="0071108D" w:rsidRDefault="006C5BE0" w:rsidP="006C5BE0">
      <w:pPr>
        <w:rPr>
          <w:noProof/>
        </w:rPr>
      </w:pPr>
      <w:r w:rsidRPr="0071108D">
        <w:rPr>
          <w:noProof/>
        </w:rPr>
        <w:t>Suedia este autorizată să aplice o reducere de 2,4 SEK pe litru la ratele minime ale accizelor menționate la articolul 7 din Directiva 2003/96/CE pentru motorina și benzina fără plumb utilizate drept carburanți.</w:t>
      </w:r>
    </w:p>
    <w:p w:rsidR="006C5BE0" w:rsidRPr="0071108D" w:rsidRDefault="006C5BE0" w:rsidP="006C5BE0">
      <w:pPr>
        <w:pStyle w:val="Titrearticle"/>
        <w:rPr>
          <w:noProof/>
        </w:rPr>
      </w:pPr>
      <w:r w:rsidRPr="0071108D">
        <w:rPr>
          <w:noProof/>
        </w:rPr>
        <w:t>Articolul 2</w:t>
      </w:r>
    </w:p>
    <w:p w:rsidR="006C5BE0" w:rsidRPr="0071108D" w:rsidRDefault="006C5BE0" w:rsidP="006C5BE0">
      <w:pPr>
        <w:rPr>
          <w:noProof/>
        </w:rPr>
      </w:pPr>
      <w:r w:rsidRPr="0071108D">
        <w:rPr>
          <w:noProof/>
        </w:rPr>
        <w:t>Aceasta expiră la [5 luni de la data notificării].</w:t>
      </w:r>
    </w:p>
    <w:p w:rsidR="006C5BE0" w:rsidRPr="0071108D" w:rsidRDefault="006C5BE0" w:rsidP="008571D3">
      <w:pPr>
        <w:pStyle w:val="Titrearticle"/>
        <w:rPr>
          <w:noProof/>
        </w:rPr>
      </w:pPr>
      <w:r w:rsidRPr="0071108D">
        <w:rPr>
          <w:noProof/>
        </w:rPr>
        <w:lastRenderedPageBreak/>
        <w:t>Articolul 3</w:t>
      </w:r>
    </w:p>
    <w:p w:rsidR="006C5BE0" w:rsidRPr="0071108D" w:rsidRDefault="006C5BE0" w:rsidP="008571D3">
      <w:pPr>
        <w:keepNext/>
        <w:keepLines/>
        <w:rPr>
          <w:noProof/>
        </w:rPr>
      </w:pPr>
      <w:r w:rsidRPr="0071108D">
        <w:rPr>
          <w:noProof/>
        </w:rPr>
        <w:t>Prezenta decizie se adresează Regatului Suediei.</w:t>
      </w:r>
    </w:p>
    <w:p w:rsidR="006C5BE0" w:rsidRPr="0071108D" w:rsidRDefault="0049525E" w:rsidP="008571D3">
      <w:pPr>
        <w:pStyle w:val="Fait"/>
        <w:rPr>
          <w:noProof/>
        </w:rPr>
      </w:pPr>
      <w:r>
        <w:rPr>
          <w:noProof/>
        </w:rPr>
        <w:t>Adoptată la Bruxelles,</w:t>
      </w:r>
    </w:p>
    <w:p w:rsidR="006C5BE0" w:rsidRPr="0071108D" w:rsidRDefault="006C5BE0" w:rsidP="008571D3">
      <w:pPr>
        <w:pStyle w:val="Institutionquisigne"/>
        <w:rPr>
          <w:noProof/>
        </w:rPr>
      </w:pPr>
      <w:r w:rsidRPr="0071108D">
        <w:rPr>
          <w:noProof/>
        </w:rPr>
        <w:tab/>
        <w:t>Pentru Consiliu,</w:t>
      </w:r>
    </w:p>
    <w:p w:rsidR="006C5BE0" w:rsidRPr="0071108D" w:rsidRDefault="006C5BE0" w:rsidP="006C5BE0">
      <w:pPr>
        <w:pStyle w:val="Personnequisigne"/>
        <w:rPr>
          <w:noProof/>
        </w:rPr>
      </w:pPr>
      <w:r w:rsidRPr="0071108D">
        <w:rPr>
          <w:noProof/>
        </w:rPr>
        <w:tab/>
        <w:t>Președintele</w:t>
      </w:r>
    </w:p>
    <w:sectPr w:rsidR="006C5BE0" w:rsidRPr="0071108D" w:rsidSect="002728C6">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827" w:rsidRDefault="003E7827" w:rsidP="006C5BE0">
      <w:pPr>
        <w:spacing w:before="0" w:after="0"/>
      </w:pPr>
      <w:r>
        <w:separator/>
      </w:r>
    </w:p>
  </w:endnote>
  <w:endnote w:type="continuationSeparator" w:id="0">
    <w:p w:rsidR="003E7827" w:rsidRDefault="003E7827" w:rsidP="006C5BE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C6" w:rsidRPr="002728C6" w:rsidRDefault="002728C6" w:rsidP="002728C6">
    <w:pPr>
      <w:pStyle w:val="Footer"/>
      <w:rPr>
        <w:rFonts w:ascii="Arial" w:hAnsi="Arial" w:cs="Arial"/>
        <w:b/>
        <w:sz w:val="48"/>
      </w:rPr>
    </w:pPr>
    <w:r w:rsidRPr="002728C6">
      <w:rPr>
        <w:rFonts w:ascii="Arial" w:hAnsi="Arial" w:cs="Arial"/>
        <w:b/>
        <w:sz w:val="48"/>
      </w:rPr>
      <w:t>RO</w:t>
    </w:r>
    <w:r w:rsidRPr="002728C6">
      <w:rPr>
        <w:rFonts w:ascii="Arial" w:hAnsi="Arial" w:cs="Arial"/>
        <w:b/>
        <w:sz w:val="48"/>
      </w:rPr>
      <w:tab/>
    </w:r>
    <w:r w:rsidRPr="002728C6">
      <w:rPr>
        <w:rFonts w:ascii="Arial" w:hAnsi="Arial" w:cs="Arial"/>
        <w:b/>
        <w:sz w:val="48"/>
      </w:rPr>
      <w:tab/>
    </w:r>
    <w:r w:rsidRPr="002728C6">
      <w:tab/>
    </w:r>
    <w:r w:rsidRPr="002728C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C6" w:rsidRPr="002728C6" w:rsidRDefault="002728C6" w:rsidP="002728C6">
    <w:pPr>
      <w:pStyle w:val="Footer"/>
      <w:rPr>
        <w:rFonts w:ascii="Arial" w:hAnsi="Arial" w:cs="Arial"/>
        <w:b/>
        <w:sz w:val="48"/>
      </w:rPr>
    </w:pPr>
    <w:r w:rsidRPr="002728C6">
      <w:rPr>
        <w:rFonts w:ascii="Arial" w:hAnsi="Arial" w:cs="Arial"/>
        <w:b/>
        <w:sz w:val="48"/>
      </w:rPr>
      <w:t>RO</w:t>
    </w:r>
    <w:r w:rsidRPr="002728C6">
      <w:rPr>
        <w:rFonts w:ascii="Arial" w:hAnsi="Arial" w:cs="Arial"/>
        <w:b/>
        <w:sz w:val="48"/>
      </w:rPr>
      <w:tab/>
    </w:r>
    <w:r w:rsidRPr="002728C6">
      <w:rPr>
        <w:rFonts w:ascii="Arial" w:hAnsi="Arial" w:cs="Arial"/>
        <w:b/>
        <w:sz w:val="48"/>
      </w:rPr>
      <w:tab/>
    </w:r>
    <w:r w:rsidRPr="002728C6">
      <w:tab/>
    </w:r>
    <w:r w:rsidRPr="002728C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C6" w:rsidRDefault="002728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C6" w:rsidRPr="002728C6" w:rsidRDefault="002728C6" w:rsidP="002728C6">
    <w:pPr>
      <w:pStyle w:val="Footer"/>
      <w:rPr>
        <w:rFonts w:ascii="Arial" w:hAnsi="Arial" w:cs="Arial"/>
        <w:b/>
        <w:sz w:val="48"/>
      </w:rPr>
    </w:pPr>
    <w:r w:rsidRPr="002728C6">
      <w:rPr>
        <w:rFonts w:ascii="Arial" w:hAnsi="Arial" w:cs="Arial"/>
        <w:b/>
        <w:sz w:val="48"/>
      </w:rPr>
      <w:t>RO</w:t>
    </w:r>
    <w:r w:rsidRPr="002728C6">
      <w:rPr>
        <w:rFonts w:ascii="Arial" w:hAnsi="Arial" w:cs="Arial"/>
        <w:b/>
        <w:sz w:val="48"/>
      </w:rPr>
      <w:tab/>
    </w:r>
    <w:r>
      <w:fldChar w:fldCharType="begin"/>
    </w:r>
    <w:r>
      <w:instrText xml:space="preserve"> PAGE  \* MERGEFORMAT </w:instrText>
    </w:r>
    <w:r>
      <w:fldChar w:fldCharType="separate"/>
    </w:r>
    <w:r w:rsidR="008571D3">
      <w:rPr>
        <w:noProof/>
      </w:rPr>
      <w:t>9</w:t>
    </w:r>
    <w:r>
      <w:fldChar w:fldCharType="end"/>
    </w:r>
    <w:r>
      <w:tab/>
    </w:r>
    <w:r w:rsidRPr="002728C6">
      <w:tab/>
    </w:r>
    <w:r w:rsidRPr="002728C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C6" w:rsidRDefault="002728C6" w:rsidP="00272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827" w:rsidRDefault="003E7827" w:rsidP="006C5BE0">
      <w:pPr>
        <w:spacing w:before="0" w:after="0"/>
      </w:pPr>
      <w:r>
        <w:separator/>
      </w:r>
    </w:p>
  </w:footnote>
  <w:footnote w:type="continuationSeparator" w:id="0">
    <w:p w:rsidR="003E7827" w:rsidRDefault="003E7827" w:rsidP="006C5BE0">
      <w:pPr>
        <w:spacing w:before="0" w:after="0"/>
      </w:pPr>
      <w:r>
        <w:continuationSeparator/>
      </w:r>
    </w:p>
  </w:footnote>
  <w:footnote w:id="1">
    <w:p w:rsidR="006C5BE0" w:rsidRPr="0071108D" w:rsidRDefault="006C5BE0" w:rsidP="006C5BE0">
      <w:pPr>
        <w:pStyle w:val="FootnoteText"/>
      </w:pPr>
      <w:r w:rsidRPr="0071108D">
        <w:rPr>
          <w:rStyle w:val="FootnoteReference"/>
        </w:rPr>
        <w:footnoteRef/>
      </w:r>
      <w:r w:rsidRPr="0071108D">
        <w:tab/>
        <w:t>JO L 283, 31.10.2003, p. 51.</w:t>
      </w:r>
    </w:p>
  </w:footnote>
  <w:footnote w:id="2">
    <w:p w:rsidR="00BD05A9" w:rsidRPr="0071108D" w:rsidRDefault="00BD05A9">
      <w:pPr>
        <w:pStyle w:val="FootnoteText"/>
      </w:pPr>
      <w:r w:rsidRPr="0071108D">
        <w:rPr>
          <w:rStyle w:val="FootnoteReference"/>
        </w:rPr>
        <w:footnoteRef/>
      </w:r>
      <w:r w:rsidRPr="0071108D">
        <w:tab/>
        <w:t xml:space="preserve">Aceasta este egală cu 0,217 EUR pe litru, pe baza cursului de schimb oficial din 1 octombrie 2025 (1 EUR = 11,035 SEK). </w:t>
      </w:r>
    </w:p>
  </w:footnote>
  <w:footnote w:id="3">
    <w:p w:rsidR="00620CB6" w:rsidRPr="0071108D" w:rsidRDefault="00620CB6">
      <w:pPr>
        <w:pStyle w:val="FootnoteText"/>
      </w:pPr>
      <w:r w:rsidRPr="0071108D">
        <w:rPr>
          <w:rStyle w:val="FootnoteReference"/>
        </w:rPr>
        <w:footnoteRef/>
      </w:r>
      <w:r w:rsidRPr="0071108D">
        <w:tab/>
        <w:t xml:space="preserve">DG ENER, </w:t>
      </w:r>
      <w:r w:rsidRPr="0071108D">
        <w:rPr>
          <w:i/>
          <w:iCs/>
        </w:rPr>
        <w:t>Weekly oil bulletin</w:t>
      </w:r>
      <w:r w:rsidRPr="0071108D">
        <w:t xml:space="preserve"> (Buletinul săptămânal privind petrolul), 2 aprilie 2026, https://energy.ec.europa.eu/data-and-analysis/weekly-oil-bulletin_en</w:t>
      </w:r>
      <w:r w:rsidR="0071108D" w:rsidRPr="0071108D">
        <w:t>.</w:t>
      </w:r>
    </w:p>
  </w:footnote>
  <w:footnote w:id="4">
    <w:p w:rsidR="006C5BE0" w:rsidRPr="0071108D" w:rsidRDefault="006C5BE0" w:rsidP="006C5BE0">
      <w:pPr>
        <w:pStyle w:val="FootnoteText"/>
      </w:pPr>
      <w:r w:rsidRPr="0071108D">
        <w:rPr>
          <w:rStyle w:val="FootnoteReference"/>
        </w:rPr>
        <w:footnoteRef/>
      </w:r>
      <w:r w:rsidRPr="0071108D">
        <w:tab/>
        <w:t xml:space="preserve">DG ENER, </w:t>
      </w:r>
      <w:r w:rsidRPr="0071108D">
        <w:rPr>
          <w:i/>
          <w:iCs/>
        </w:rPr>
        <w:t>Weekly oil bulletin</w:t>
      </w:r>
      <w:r w:rsidRPr="0071108D">
        <w:t xml:space="preserve"> (Buletinul săptămânal privind petrolul), 2 aprilie 2026, https://energy.ec.europa.eu/data-and-analysis/weekly-oil-bulletin_en.</w:t>
      </w:r>
    </w:p>
  </w:footnote>
  <w:footnote w:id="5">
    <w:p w:rsidR="006C5BE0" w:rsidRPr="0071108D" w:rsidRDefault="006C5BE0" w:rsidP="006C5BE0">
      <w:pPr>
        <w:pStyle w:val="FootnoteText"/>
      </w:pPr>
      <w:r w:rsidRPr="0071108D">
        <w:rPr>
          <w:rStyle w:val="FootnoteReference"/>
        </w:rPr>
        <w:footnoteRef/>
      </w:r>
      <w:r w:rsidRPr="0071108D">
        <w:tab/>
      </w:r>
      <w:hyperlink r:id="rId1">
        <w:r w:rsidRPr="0071108D">
          <w:rPr>
            <w:rStyle w:val="Hyperlink"/>
          </w:rPr>
          <w:t>Efectele economice și distributive ale creșterii prețurilor la energie asupra gospodăriilor din UE – Ocuparea forței de muncă, afaceri sociale și incluziune</w:t>
        </w:r>
      </w:hyperlink>
      <w:r w:rsidR="0071108D" w:rsidRPr="0071108D">
        <w:t>.</w:t>
      </w:r>
    </w:p>
  </w:footnote>
  <w:footnote w:id="6">
    <w:p w:rsidR="006C5BE0" w:rsidRPr="0071108D" w:rsidRDefault="006C5BE0" w:rsidP="006C5BE0">
      <w:pPr>
        <w:pStyle w:val="FootnoteText"/>
      </w:pPr>
      <w:r w:rsidRPr="0071108D">
        <w:rPr>
          <w:rStyle w:val="FootnoteReference"/>
        </w:rPr>
        <w:footnoteRef/>
      </w:r>
      <w:r w:rsidRPr="0071108D">
        <w:tab/>
        <w:t>JO L 283, 31.10.2003, p. 51, ELI: </w:t>
      </w:r>
      <w:hyperlink r:id="rId2" w:tooltip="Oferă acces la acest document prin identificatorul său uniform de resurse ELI." w:history="1">
        <w:r w:rsidRPr="0071108D">
          <w:rPr>
            <w:rStyle w:val="Hyperlink"/>
          </w:rPr>
          <w:t>http://data.europa.eu/eli/dir/2003/96/oj</w:t>
        </w:r>
      </w:hyperlink>
      <w:r w:rsidRPr="0071108D">
        <w:t>.</w:t>
      </w:r>
    </w:p>
  </w:footnote>
  <w:footnote w:id="7">
    <w:p w:rsidR="006D4462" w:rsidRPr="0071108D" w:rsidRDefault="006D4462">
      <w:pPr>
        <w:pStyle w:val="FootnoteText"/>
      </w:pPr>
      <w:r w:rsidRPr="0071108D">
        <w:rPr>
          <w:rStyle w:val="FootnoteReference"/>
        </w:rPr>
        <w:footnoteRef/>
      </w:r>
      <w:r w:rsidRPr="0071108D">
        <w:tab/>
        <w:t>https://www.consilium.europa.eu/media/lwhk3itd/en-20260319-european-council-conclusions.pdf</w:t>
      </w:r>
      <w:r w:rsidR="0071108D" w:rsidRPr="0071108D">
        <w:t>.</w:t>
      </w:r>
    </w:p>
    <w:p w:rsidR="006D4462" w:rsidRPr="0071108D" w:rsidRDefault="006D446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C6" w:rsidRDefault="00272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C6" w:rsidRDefault="00272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CEC093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4D258B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8D69AB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6 17:32: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0A04663-A7E7-4913-B5E6-F457D44EB17E"/>
    <w:docVar w:name="LW_COVERPAGE_TYPE" w:val="1"/>
    <w:docVar w:name="LW_CreatedUtc" w:val="2026-04-14T10:00:30.5726614Z"/>
    <w:docVar w:name="LW_CROSSREFERENCE" w:val="&lt;UNUSED&gt;"/>
    <w:docVar w:name="LW_DocType" w:val="COM"/>
    <w:docVar w:name="LW_EMISSION" w:val="4.5.2026"/>
    <w:docVar w:name="LW_EMISSION_ISODATE" w:val="2026-05-04"/>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4"/>
    <w:docVar w:name="LW_REF.II.NEW.CP_YEAR" w:val="2026"/>
    <w:docVar w:name="LW_REF.INST.NEW" w:val="COM"/>
    <w:docVar w:name="LW_REF.INST.NEW_ADOPTED" w:val="final"/>
    <w:docVar w:name="LW_REF.INST.NEW_TEXT" w:val="(2026) 1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autorizare a Suediei s\u259? aplice rate reduse ale accizelor la motorina \u537?i benzina f\u259?r\u259? plumb utilizate drept carburan\u539?i, în conformitate cu articolul 19 din Directiva 2003/96/CE"/>
    <w:docVar w:name="LW_TYPE.DOC.CP" w:val="DECIZIE DE PUNERE ÎN APLICARE A CONSILIULUI"/>
    <w:docVar w:name="LwApiVersions" w:val="LW4CoDe 1.24.5.0; LW 9.2, Build 20251112"/>
  </w:docVars>
  <w:rsids>
    <w:rsidRoot w:val="006C5BE0"/>
    <w:rsid w:val="00014376"/>
    <w:rsid w:val="0003167C"/>
    <w:rsid w:val="00054BAF"/>
    <w:rsid w:val="000857C8"/>
    <w:rsid w:val="000A1CEE"/>
    <w:rsid w:val="000C5B27"/>
    <w:rsid w:val="000D1E02"/>
    <w:rsid w:val="000E19EB"/>
    <w:rsid w:val="000E52B5"/>
    <w:rsid w:val="000E76F6"/>
    <w:rsid w:val="0010477C"/>
    <w:rsid w:val="001065F5"/>
    <w:rsid w:val="00121A4B"/>
    <w:rsid w:val="00122AEE"/>
    <w:rsid w:val="001238EF"/>
    <w:rsid w:val="00132F08"/>
    <w:rsid w:val="00136289"/>
    <w:rsid w:val="0016033A"/>
    <w:rsid w:val="00166967"/>
    <w:rsid w:val="00173CC4"/>
    <w:rsid w:val="0018020D"/>
    <w:rsid w:val="001902AA"/>
    <w:rsid w:val="00194BCA"/>
    <w:rsid w:val="00197613"/>
    <w:rsid w:val="001A401D"/>
    <w:rsid w:val="001A5244"/>
    <w:rsid w:val="001A7066"/>
    <w:rsid w:val="001B1D60"/>
    <w:rsid w:val="001B302F"/>
    <w:rsid w:val="001B590B"/>
    <w:rsid w:val="001C72AA"/>
    <w:rsid w:val="001D397B"/>
    <w:rsid w:val="001F5D40"/>
    <w:rsid w:val="001F60A3"/>
    <w:rsid w:val="00203A8D"/>
    <w:rsid w:val="00205DE9"/>
    <w:rsid w:val="0020749E"/>
    <w:rsid w:val="00214A89"/>
    <w:rsid w:val="002242B8"/>
    <w:rsid w:val="002268B4"/>
    <w:rsid w:val="00233DC7"/>
    <w:rsid w:val="002460A8"/>
    <w:rsid w:val="00247779"/>
    <w:rsid w:val="00250E67"/>
    <w:rsid w:val="00256DC8"/>
    <w:rsid w:val="002728C6"/>
    <w:rsid w:val="002765FD"/>
    <w:rsid w:val="00285BEE"/>
    <w:rsid w:val="0029533F"/>
    <w:rsid w:val="002A5B87"/>
    <w:rsid w:val="002B138F"/>
    <w:rsid w:val="002B30AF"/>
    <w:rsid w:val="002C7DDE"/>
    <w:rsid w:val="002D1EFE"/>
    <w:rsid w:val="002D217C"/>
    <w:rsid w:val="002D2A82"/>
    <w:rsid w:val="002E3DC9"/>
    <w:rsid w:val="002F3700"/>
    <w:rsid w:val="00314F99"/>
    <w:rsid w:val="0033344A"/>
    <w:rsid w:val="00347C19"/>
    <w:rsid w:val="003665E1"/>
    <w:rsid w:val="00376583"/>
    <w:rsid w:val="00387C4A"/>
    <w:rsid w:val="003A1ABE"/>
    <w:rsid w:val="003B0E69"/>
    <w:rsid w:val="003B39F7"/>
    <w:rsid w:val="003C07F4"/>
    <w:rsid w:val="003C54B4"/>
    <w:rsid w:val="003D264B"/>
    <w:rsid w:val="003D585D"/>
    <w:rsid w:val="003E23C3"/>
    <w:rsid w:val="003E6B98"/>
    <w:rsid w:val="003E7827"/>
    <w:rsid w:val="00401BC3"/>
    <w:rsid w:val="00410435"/>
    <w:rsid w:val="00414A27"/>
    <w:rsid w:val="00421DA9"/>
    <w:rsid w:val="004244DB"/>
    <w:rsid w:val="0042648E"/>
    <w:rsid w:val="00427CB1"/>
    <w:rsid w:val="00437999"/>
    <w:rsid w:val="00437BDA"/>
    <w:rsid w:val="00440008"/>
    <w:rsid w:val="004508B9"/>
    <w:rsid w:val="00454E7C"/>
    <w:rsid w:val="0046591A"/>
    <w:rsid w:val="0047233E"/>
    <w:rsid w:val="00475D01"/>
    <w:rsid w:val="0048747B"/>
    <w:rsid w:val="004936D2"/>
    <w:rsid w:val="0049525E"/>
    <w:rsid w:val="004A6E61"/>
    <w:rsid w:val="004B48E6"/>
    <w:rsid w:val="004B60E1"/>
    <w:rsid w:val="004C0646"/>
    <w:rsid w:val="004D2C36"/>
    <w:rsid w:val="004D5EFB"/>
    <w:rsid w:val="004E1DFF"/>
    <w:rsid w:val="004E7986"/>
    <w:rsid w:val="004F469E"/>
    <w:rsid w:val="00506BDD"/>
    <w:rsid w:val="00540A97"/>
    <w:rsid w:val="00544431"/>
    <w:rsid w:val="00550185"/>
    <w:rsid w:val="00551E10"/>
    <w:rsid w:val="00555AB1"/>
    <w:rsid w:val="0056543D"/>
    <w:rsid w:val="00592D3B"/>
    <w:rsid w:val="00594719"/>
    <w:rsid w:val="00597ECB"/>
    <w:rsid w:val="005A3177"/>
    <w:rsid w:val="005B1EB6"/>
    <w:rsid w:val="005C3F3A"/>
    <w:rsid w:val="005D1F90"/>
    <w:rsid w:val="005D396B"/>
    <w:rsid w:val="005D5FDD"/>
    <w:rsid w:val="005D6964"/>
    <w:rsid w:val="00603BCA"/>
    <w:rsid w:val="00620CB6"/>
    <w:rsid w:val="00620FA2"/>
    <w:rsid w:val="00627422"/>
    <w:rsid w:val="00637099"/>
    <w:rsid w:val="0064014F"/>
    <w:rsid w:val="00642D63"/>
    <w:rsid w:val="00652F1E"/>
    <w:rsid w:val="006667B5"/>
    <w:rsid w:val="006739EE"/>
    <w:rsid w:val="00680AA7"/>
    <w:rsid w:val="00682EE0"/>
    <w:rsid w:val="00691D08"/>
    <w:rsid w:val="00694034"/>
    <w:rsid w:val="006A1475"/>
    <w:rsid w:val="006B4DD0"/>
    <w:rsid w:val="006B57A8"/>
    <w:rsid w:val="006C1FF5"/>
    <w:rsid w:val="006C2411"/>
    <w:rsid w:val="006C5BE0"/>
    <w:rsid w:val="006C72FC"/>
    <w:rsid w:val="006D4462"/>
    <w:rsid w:val="006E1EA4"/>
    <w:rsid w:val="006E233E"/>
    <w:rsid w:val="006E2652"/>
    <w:rsid w:val="006F583F"/>
    <w:rsid w:val="006F6C28"/>
    <w:rsid w:val="007062D7"/>
    <w:rsid w:val="0071108D"/>
    <w:rsid w:val="007111DF"/>
    <w:rsid w:val="00714170"/>
    <w:rsid w:val="00714DE7"/>
    <w:rsid w:val="0073381F"/>
    <w:rsid w:val="00761EED"/>
    <w:rsid w:val="00763AAC"/>
    <w:rsid w:val="007664C9"/>
    <w:rsid w:val="00773331"/>
    <w:rsid w:val="0077459E"/>
    <w:rsid w:val="007932EF"/>
    <w:rsid w:val="007B1AB9"/>
    <w:rsid w:val="007C0854"/>
    <w:rsid w:val="007C1AE2"/>
    <w:rsid w:val="007C3452"/>
    <w:rsid w:val="007D7BE5"/>
    <w:rsid w:val="007E05B0"/>
    <w:rsid w:val="007E5419"/>
    <w:rsid w:val="00804DED"/>
    <w:rsid w:val="00806EBB"/>
    <w:rsid w:val="00844514"/>
    <w:rsid w:val="008535CB"/>
    <w:rsid w:val="008571D3"/>
    <w:rsid w:val="00863583"/>
    <w:rsid w:val="00874D22"/>
    <w:rsid w:val="00876520"/>
    <w:rsid w:val="00886903"/>
    <w:rsid w:val="008958B4"/>
    <w:rsid w:val="00896F71"/>
    <w:rsid w:val="008972E2"/>
    <w:rsid w:val="008A2914"/>
    <w:rsid w:val="008A4A5C"/>
    <w:rsid w:val="008B5C15"/>
    <w:rsid w:val="008B5F7D"/>
    <w:rsid w:val="008C3273"/>
    <w:rsid w:val="008D030E"/>
    <w:rsid w:val="008E4D8E"/>
    <w:rsid w:val="008E5242"/>
    <w:rsid w:val="008F2D95"/>
    <w:rsid w:val="009001F5"/>
    <w:rsid w:val="00926D55"/>
    <w:rsid w:val="00945B40"/>
    <w:rsid w:val="00951025"/>
    <w:rsid w:val="0095198A"/>
    <w:rsid w:val="00951BFE"/>
    <w:rsid w:val="00955E6E"/>
    <w:rsid w:val="00957A95"/>
    <w:rsid w:val="009617E8"/>
    <w:rsid w:val="00967353"/>
    <w:rsid w:val="00996281"/>
    <w:rsid w:val="009B3405"/>
    <w:rsid w:val="009B3B80"/>
    <w:rsid w:val="009B5EE9"/>
    <w:rsid w:val="009B7B5F"/>
    <w:rsid w:val="009C1251"/>
    <w:rsid w:val="009C3A74"/>
    <w:rsid w:val="009C4BD4"/>
    <w:rsid w:val="009F0B67"/>
    <w:rsid w:val="00A04F88"/>
    <w:rsid w:val="00A0626A"/>
    <w:rsid w:val="00A25D1D"/>
    <w:rsid w:val="00A41B5C"/>
    <w:rsid w:val="00A51CFF"/>
    <w:rsid w:val="00A604CA"/>
    <w:rsid w:val="00A75A9C"/>
    <w:rsid w:val="00A7601D"/>
    <w:rsid w:val="00A81D74"/>
    <w:rsid w:val="00A8323E"/>
    <w:rsid w:val="00A92E7E"/>
    <w:rsid w:val="00AA2A39"/>
    <w:rsid w:val="00AB121F"/>
    <w:rsid w:val="00AE100E"/>
    <w:rsid w:val="00AE1C05"/>
    <w:rsid w:val="00B0132B"/>
    <w:rsid w:val="00B06790"/>
    <w:rsid w:val="00B140C0"/>
    <w:rsid w:val="00B21E31"/>
    <w:rsid w:val="00B52660"/>
    <w:rsid w:val="00B53068"/>
    <w:rsid w:val="00B54A38"/>
    <w:rsid w:val="00B5516C"/>
    <w:rsid w:val="00B61574"/>
    <w:rsid w:val="00B6303B"/>
    <w:rsid w:val="00B71F3B"/>
    <w:rsid w:val="00B92AD3"/>
    <w:rsid w:val="00BA1829"/>
    <w:rsid w:val="00BC4ABF"/>
    <w:rsid w:val="00BD056D"/>
    <w:rsid w:val="00BD05A9"/>
    <w:rsid w:val="00BF6F37"/>
    <w:rsid w:val="00C05F78"/>
    <w:rsid w:val="00C12301"/>
    <w:rsid w:val="00C2282B"/>
    <w:rsid w:val="00C23559"/>
    <w:rsid w:val="00C46CAF"/>
    <w:rsid w:val="00C515E4"/>
    <w:rsid w:val="00C849AD"/>
    <w:rsid w:val="00C8701D"/>
    <w:rsid w:val="00C944EB"/>
    <w:rsid w:val="00CA1EC1"/>
    <w:rsid w:val="00CA45E0"/>
    <w:rsid w:val="00CB250E"/>
    <w:rsid w:val="00CB370F"/>
    <w:rsid w:val="00CB390F"/>
    <w:rsid w:val="00CC4BA9"/>
    <w:rsid w:val="00CD68D5"/>
    <w:rsid w:val="00CE27E4"/>
    <w:rsid w:val="00CF1334"/>
    <w:rsid w:val="00CF41CE"/>
    <w:rsid w:val="00D20381"/>
    <w:rsid w:val="00D21652"/>
    <w:rsid w:val="00D315BD"/>
    <w:rsid w:val="00D32C26"/>
    <w:rsid w:val="00D33E71"/>
    <w:rsid w:val="00D34E9F"/>
    <w:rsid w:val="00D35EE1"/>
    <w:rsid w:val="00D40C78"/>
    <w:rsid w:val="00D42EF5"/>
    <w:rsid w:val="00D5545E"/>
    <w:rsid w:val="00D652AE"/>
    <w:rsid w:val="00D86969"/>
    <w:rsid w:val="00D94EFB"/>
    <w:rsid w:val="00D97F35"/>
    <w:rsid w:val="00DC4705"/>
    <w:rsid w:val="00DD394B"/>
    <w:rsid w:val="00DD4F9D"/>
    <w:rsid w:val="00DE4E59"/>
    <w:rsid w:val="00DE71E0"/>
    <w:rsid w:val="00DF5C4D"/>
    <w:rsid w:val="00DF76AF"/>
    <w:rsid w:val="00DF7DB9"/>
    <w:rsid w:val="00E10432"/>
    <w:rsid w:val="00E10CF6"/>
    <w:rsid w:val="00E11F65"/>
    <w:rsid w:val="00E13839"/>
    <w:rsid w:val="00E22063"/>
    <w:rsid w:val="00E272F2"/>
    <w:rsid w:val="00E27623"/>
    <w:rsid w:val="00E32F9E"/>
    <w:rsid w:val="00E338F4"/>
    <w:rsid w:val="00E52865"/>
    <w:rsid w:val="00E55E84"/>
    <w:rsid w:val="00E664ED"/>
    <w:rsid w:val="00E97A67"/>
    <w:rsid w:val="00EA0810"/>
    <w:rsid w:val="00EA1C59"/>
    <w:rsid w:val="00EA7887"/>
    <w:rsid w:val="00EC20C6"/>
    <w:rsid w:val="00F0307A"/>
    <w:rsid w:val="00F061B5"/>
    <w:rsid w:val="00F17104"/>
    <w:rsid w:val="00F2680F"/>
    <w:rsid w:val="00F27A46"/>
    <w:rsid w:val="00F564FF"/>
    <w:rsid w:val="00F57431"/>
    <w:rsid w:val="00F577EE"/>
    <w:rsid w:val="00F6511E"/>
    <w:rsid w:val="00F90832"/>
    <w:rsid w:val="00FA2CEF"/>
    <w:rsid w:val="00FA70A3"/>
    <w:rsid w:val="00FB06A0"/>
    <w:rsid w:val="00FC38F8"/>
    <w:rsid w:val="00FD19AD"/>
    <w:rsid w:val="00FD3C50"/>
    <w:rsid w:val="00FE32E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89A9E41-F5C9-4F01-B88E-1E4993895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6C5BE0"/>
    <w:pPr>
      <w:numPr>
        <w:numId w:val="1"/>
      </w:numPr>
      <w:tabs>
        <w:tab w:val="clear" w:pos="360"/>
      </w:tabs>
      <w:ind w:left="0" w:firstLine="0"/>
    </w:pPr>
    <w:rPr>
      <w:rFonts w:eastAsia="Times New Roman"/>
      <w:lang w:eastAsia="en-GB"/>
    </w:rPr>
  </w:style>
  <w:style w:type="table" w:styleId="GridTable1Light">
    <w:name w:val="Grid Table 1 Light"/>
    <w:basedOn w:val="TableNormal"/>
    <w:uiPriority w:val="46"/>
    <w:rsid w:val="006C5BE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6C5BE0"/>
    <w:rPr>
      <w:color w:val="0000FF"/>
      <w:u w:val="single"/>
    </w:rPr>
  </w:style>
  <w:style w:type="character" w:styleId="CommentReference">
    <w:name w:val="annotation reference"/>
    <w:basedOn w:val="DefaultParagraphFont"/>
    <w:uiPriority w:val="99"/>
    <w:semiHidden/>
    <w:unhideWhenUsed/>
    <w:rsid w:val="00B21E31"/>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ListBullet2">
    <w:name w:val="List Bullet 2"/>
    <w:basedOn w:val="Normal"/>
    <w:uiPriority w:val="99"/>
    <w:semiHidden/>
    <w:unhideWhenUsed/>
    <w:rsid w:val="001B1D60"/>
    <w:pPr>
      <w:numPr>
        <w:numId w:val="3"/>
      </w:numPr>
      <w:contextualSpacing/>
    </w:pPr>
  </w:style>
  <w:style w:type="paragraph" w:styleId="ListBullet3">
    <w:name w:val="List Bullet 3"/>
    <w:basedOn w:val="Normal"/>
    <w:uiPriority w:val="99"/>
    <w:semiHidden/>
    <w:unhideWhenUsed/>
    <w:rsid w:val="001B1D60"/>
    <w:pPr>
      <w:numPr>
        <w:numId w:val="4"/>
      </w:numPr>
      <w:contextualSpacing/>
    </w:pPr>
  </w:style>
  <w:style w:type="paragraph" w:styleId="ListBullet4">
    <w:name w:val="List Bullet 4"/>
    <w:basedOn w:val="Normal"/>
    <w:uiPriority w:val="99"/>
    <w:semiHidden/>
    <w:unhideWhenUsed/>
    <w:rsid w:val="001B1D60"/>
    <w:pPr>
      <w:numPr>
        <w:numId w:val="5"/>
      </w:numPr>
      <w:contextualSpacing/>
    </w:pPr>
  </w:style>
  <w:style w:type="paragraph" w:styleId="Revision">
    <w:name w:val="Revision"/>
    <w:hidden/>
    <w:uiPriority w:val="99"/>
    <w:semiHidden/>
    <w:rsid w:val="005D5FDD"/>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5D5FD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B0E69"/>
    <w:rPr>
      <w:b/>
      <w:bCs/>
    </w:rPr>
  </w:style>
  <w:style w:type="character" w:customStyle="1" w:styleId="CommentSubjectChar">
    <w:name w:val="Comment Subject Char"/>
    <w:basedOn w:val="CommentTextChar"/>
    <w:link w:val="CommentSubject"/>
    <w:uiPriority w:val="99"/>
    <w:semiHidden/>
    <w:rsid w:val="003B0E69"/>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sid w:val="006D4462"/>
    <w:rPr>
      <w:color w:val="800080" w:themeColor="followedHyperlink"/>
      <w:u w:val="single"/>
    </w:rPr>
  </w:style>
  <w:style w:type="character" w:customStyle="1" w:styleId="HeaderChar">
    <w:name w:val="Header Char"/>
    <w:basedOn w:val="DefaultParagraphFont"/>
    <w:link w:val="Header"/>
    <w:uiPriority w:val="99"/>
    <w:rsid w:val="002728C6"/>
    <w:rPr>
      <w:rFonts w:ascii="Times New Roman" w:hAnsi="Times New Roman" w:cs="Times New Roman"/>
      <w:sz w:val="24"/>
      <w:lang w:val="ro-RO"/>
    </w:rPr>
  </w:style>
  <w:style w:type="character" w:customStyle="1" w:styleId="FooterChar">
    <w:name w:val="Footer Char"/>
    <w:basedOn w:val="DefaultParagraphFont"/>
    <w:link w:val="Footer"/>
    <w:uiPriority w:val="99"/>
    <w:rsid w:val="002728C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728C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728C6"/>
    <w:pPr>
      <w:spacing w:before="0"/>
      <w:jc w:val="right"/>
    </w:pPr>
    <w:rPr>
      <w:sz w:val="28"/>
    </w:rPr>
  </w:style>
  <w:style w:type="paragraph" w:customStyle="1" w:styleId="FooterSensitivity">
    <w:name w:val="Footer Sensitivity"/>
    <w:basedOn w:val="Normal"/>
    <w:rsid w:val="002728C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728C6"/>
    <w:pPr>
      <w:tabs>
        <w:tab w:val="center" w:pos="4535"/>
        <w:tab w:val="right" w:pos="9071"/>
      </w:tabs>
      <w:spacing w:before="0"/>
    </w:pPr>
  </w:style>
  <w:style w:type="paragraph" w:customStyle="1" w:styleId="HeaderLandscape">
    <w:name w:val="HeaderLandscape"/>
    <w:basedOn w:val="Normal"/>
    <w:rsid w:val="002728C6"/>
    <w:pPr>
      <w:tabs>
        <w:tab w:val="center" w:pos="7285"/>
        <w:tab w:val="right" w:pos="14003"/>
      </w:tabs>
      <w:spacing w:before="0"/>
    </w:pPr>
  </w:style>
  <w:style w:type="paragraph" w:styleId="Footer">
    <w:name w:val="footer"/>
    <w:basedOn w:val="Normal"/>
    <w:link w:val="FooterChar"/>
    <w:uiPriority w:val="99"/>
    <w:unhideWhenUsed/>
    <w:rsid w:val="002728C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728C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03/96/oj" TargetMode="External"/><Relationship Id="rId1" Type="http://schemas.openxmlformats.org/officeDocument/2006/relationships/hyperlink" Target="https://employment-social-affairs.ec.europa.eu/economic-and-distributional-effects-higher-energy-prices-households-eu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C4FE4-F6A0-4497-B76F-90208A007D69}">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B3EA2C4E-FB1D-4C71-9992-DB1E0C41E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327916-BE2C-4E26-9723-3133DA462302}">
  <ds:schemaRefs>
    <ds:schemaRef ds:uri="http://schemas.microsoft.com/sharepoint/v3/contenttype/forms"/>
  </ds:schemaRefs>
</ds:datastoreItem>
</file>

<file path=customXml/itemProps4.xml><?xml version="1.0" encoding="utf-8"?>
<ds:datastoreItem xmlns:ds="http://schemas.openxmlformats.org/officeDocument/2006/customXml" ds:itemID="{B5905586-1715-4644-9B85-05BD0A8FC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21</TotalTime>
  <Pages>10</Pages>
  <Words>3233</Words>
  <Characters>18430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21620</CharactersWithSpaces>
  <SharedDoc>false</SharedDoc>
  <HLinks>
    <vt:vector size="12" baseType="variant">
      <vt:variant>
        <vt:i4>6160475</vt:i4>
      </vt:variant>
      <vt:variant>
        <vt:i4>3</vt:i4>
      </vt:variant>
      <vt:variant>
        <vt:i4>0</vt:i4>
      </vt:variant>
      <vt:variant>
        <vt:i4>5</vt:i4>
      </vt:variant>
      <vt:variant>
        <vt:lpwstr>http://data.europa.eu/eli/dir/2003/96/oj</vt:lpwstr>
      </vt:variant>
      <vt:variant>
        <vt:lpwstr/>
      </vt:variant>
      <vt:variant>
        <vt:i4>7798784</vt:i4>
      </vt:variant>
      <vt:variant>
        <vt:i4>0</vt:i4>
      </vt:variant>
      <vt:variant>
        <vt:i4>0</vt:i4>
      </vt:variant>
      <vt:variant>
        <vt:i4>5</vt:i4>
      </vt:variant>
      <vt:variant>
        <vt:lpwstr>https://employment-social-affairs.ec.europa.eu/economic-and-distributional-effects-higher-energy-prices-households-eu_en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2026-04-24T13:25:00Z</dcterms:created>
  <dcterms:modified xsi:type="dcterms:W3CDTF">2026-05-06T15:32:00Z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2026-04-14T10:19:37Z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c7b2a583-697b-4a4e-bcba-c59027ba89dd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