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1.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2.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A58C1" w14:textId="15044083" w:rsidR="009D5428" w:rsidRPr="00E84250" w:rsidRDefault="00F05D51" w:rsidP="00F05D51">
      <w:pPr>
        <w:pStyle w:val="Pagedecouverture"/>
        <w:rPr>
          <w:noProof/>
        </w:rPr>
      </w:pPr>
      <w:bookmarkStart w:id="0" w:name="LW_BM_COVERPAGE"/>
      <w:r>
        <w:rPr>
          <w:noProof/>
        </w:rPr>
        <w:pict w14:anchorId="01D64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3EFC65C-94A0-45D9-AD66-97910F3F4B94" style="width:455.25pt;height:313.5pt">
            <v:imagedata r:id="rId14" o:title=""/>
          </v:shape>
        </w:pict>
      </w:r>
    </w:p>
    <w:bookmarkEnd w:id="0"/>
    <w:p w14:paraId="63F69CA6" w14:textId="77777777" w:rsidR="007678CB" w:rsidRPr="00E84250" w:rsidRDefault="007678CB" w:rsidP="001B562A">
      <w:pPr>
        <w:rPr>
          <w:noProof/>
        </w:rPr>
        <w:sectPr w:rsidR="007678CB" w:rsidRPr="00E84250" w:rsidSect="00F05D51">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47DCB04D" w14:textId="0207DC4A" w:rsidR="00356F0A" w:rsidRDefault="00356F0A" w:rsidP="001B562A">
      <w:pPr>
        <w:rPr>
          <w:b/>
          <w:noProof/>
          <w:sz w:val="28"/>
          <w:szCs w:val="28"/>
        </w:rPr>
      </w:pPr>
      <w:bookmarkStart w:id="1" w:name="_GoBack"/>
      <w:bookmarkEnd w:id="1"/>
      <w:r w:rsidRPr="00316896">
        <w:rPr>
          <w:b/>
          <w:noProof/>
          <w:sz w:val="28"/>
          <w:szCs w:val="28"/>
        </w:rPr>
        <w:lastRenderedPageBreak/>
        <w:t>Executive Summary</w:t>
      </w:r>
    </w:p>
    <w:p w14:paraId="40F94CEB" w14:textId="710F6F34" w:rsidR="0049610C" w:rsidRDefault="0049610C" w:rsidP="0049610C">
      <w:pPr>
        <w:rPr>
          <w:noProof/>
        </w:rPr>
      </w:pPr>
      <w:r>
        <w:rPr>
          <w:noProof/>
        </w:rPr>
        <w:t>In December 2025, the European Parliament and the Council adopted an amendment to Regulation (EU) 2023/1115 (hereafter the Regulation or the EUDR). In the revised legal framework, the co-legislators mandated the Commission to carry out a simplification review of the Regulation and to present a report to the European Parliament and to the Council, accompanied, where appropriate, by a legislative proposal, by 30 April 2026.</w:t>
      </w:r>
    </w:p>
    <w:p w14:paraId="3708A784" w14:textId="5F20D91F" w:rsidR="0049610C" w:rsidRDefault="2DA8DC69" w:rsidP="0049610C">
      <w:pPr>
        <w:rPr>
          <w:noProof/>
        </w:rPr>
      </w:pPr>
      <w:r>
        <w:rPr>
          <w:noProof/>
        </w:rPr>
        <w:t xml:space="preserve">With this Report, the Commission fulfils its </w:t>
      </w:r>
      <w:r w:rsidR="5DC30D78">
        <w:rPr>
          <w:noProof/>
        </w:rPr>
        <w:t xml:space="preserve">mandate </w:t>
      </w:r>
      <w:r>
        <w:rPr>
          <w:noProof/>
        </w:rPr>
        <w:t>under Article 34(1a) of the Regulation. The Report provides an overview of the simplification measures introduced since the entry into force of the EUDR in June 2023 and assesses their impact on administrative burden and on the overall functioning of the Regulation, with particular attention to micro and small operators</w:t>
      </w:r>
      <w:r w:rsidR="00864D4B">
        <w:rPr>
          <w:noProof/>
        </w:rPr>
        <w:t>, such as farmers and foresters</w:t>
      </w:r>
      <w:r>
        <w:rPr>
          <w:noProof/>
        </w:rPr>
        <w:t xml:space="preserve">. It also presents additional facilitation measures accompanying this Report, as well as progress in key implementation workstreams, notably the Information System, with a view to ensuring the effective application of the Regulation </w:t>
      </w:r>
      <w:r w:rsidR="00BF6C3F">
        <w:rPr>
          <w:noProof/>
        </w:rPr>
        <w:t xml:space="preserve">as of </w:t>
      </w:r>
      <w:r>
        <w:rPr>
          <w:noProof/>
        </w:rPr>
        <w:t>the end of 2026.</w:t>
      </w:r>
    </w:p>
    <w:p w14:paraId="620F4C1E" w14:textId="3DC5D7BD" w:rsidR="0049610C" w:rsidRDefault="0049610C" w:rsidP="0049610C">
      <w:pPr>
        <w:rPr>
          <w:noProof/>
        </w:rPr>
      </w:pPr>
      <w:r>
        <w:rPr>
          <w:noProof/>
        </w:rPr>
        <w:t>As a pioneering instrument to reduce the Union’s contribution to global deforestation and forest degradation, the EUDR has already been subject to two targeted legislative revisions, in 2024 and 2025</w:t>
      </w:r>
      <w:r w:rsidR="00253373">
        <w:rPr>
          <w:noProof/>
        </w:rPr>
        <w:t xml:space="preserve"> a</w:t>
      </w:r>
      <w:r w:rsidR="00476DDC">
        <w:rPr>
          <w:noProof/>
        </w:rPr>
        <w:t xml:space="preserve">nd in those years, there have been as well two comprehensive </w:t>
      </w:r>
      <w:r w:rsidR="00980878">
        <w:rPr>
          <w:noProof/>
        </w:rPr>
        <w:t>set</w:t>
      </w:r>
      <w:r w:rsidR="00476DDC">
        <w:rPr>
          <w:noProof/>
        </w:rPr>
        <w:t>s</w:t>
      </w:r>
      <w:r w:rsidR="009024AA">
        <w:rPr>
          <w:noProof/>
        </w:rPr>
        <w:t xml:space="preserve"> </w:t>
      </w:r>
      <w:r w:rsidR="00980878">
        <w:rPr>
          <w:noProof/>
        </w:rPr>
        <w:t>of measures</w:t>
      </w:r>
      <w:r w:rsidR="00E13747" w:rsidRPr="00864B54">
        <w:rPr>
          <w:noProof/>
        </w:rPr>
        <w:t> (</w:t>
      </w:r>
      <w:r w:rsidR="00E13747">
        <w:rPr>
          <w:rStyle w:val="FootnoteReference"/>
          <w:noProof/>
        </w:rPr>
        <w:footnoteReference w:id="1"/>
      </w:r>
      <w:r w:rsidR="00E13747">
        <w:rPr>
          <w:noProof/>
        </w:rPr>
        <w:t>)</w:t>
      </w:r>
      <w:r w:rsidR="00980878">
        <w:rPr>
          <w:noProof/>
        </w:rPr>
        <w:t xml:space="preserve"> </w:t>
      </w:r>
      <w:r w:rsidR="00F576BF">
        <w:rPr>
          <w:noProof/>
        </w:rPr>
        <w:t xml:space="preserve">with the aim of </w:t>
      </w:r>
      <w:r w:rsidR="00980878">
        <w:rPr>
          <w:noProof/>
        </w:rPr>
        <w:t>facilitating the implementation</w:t>
      </w:r>
      <w:r w:rsidR="00847B5F">
        <w:rPr>
          <w:noProof/>
        </w:rPr>
        <w:t xml:space="preserve">. </w:t>
      </w:r>
    </w:p>
    <w:p w14:paraId="7FE7FA94" w14:textId="202C2C15" w:rsidR="0049610C" w:rsidRDefault="2DA8DC69" w:rsidP="0049610C">
      <w:pPr>
        <w:rPr>
          <w:noProof/>
        </w:rPr>
      </w:pPr>
      <w:r w:rsidRPr="00B911C8">
        <w:rPr>
          <w:b/>
          <w:bCs/>
          <w:noProof/>
        </w:rPr>
        <w:t>Th</w:t>
      </w:r>
      <w:r w:rsidR="00005C75">
        <w:rPr>
          <w:b/>
          <w:bCs/>
          <w:noProof/>
        </w:rPr>
        <w:t>e</w:t>
      </w:r>
      <w:r w:rsidRPr="00B911C8">
        <w:rPr>
          <w:b/>
          <w:bCs/>
          <w:noProof/>
        </w:rPr>
        <w:t xml:space="preserve"> review </w:t>
      </w:r>
      <w:r w:rsidR="00150C7C">
        <w:rPr>
          <w:b/>
          <w:bCs/>
          <w:noProof/>
        </w:rPr>
        <w:t>concludes</w:t>
      </w:r>
      <w:r w:rsidR="00150C7C" w:rsidRPr="00B911C8">
        <w:rPr>
          <w:b/>
          <w:bCs/>
          <w:noProof/>
        </w:rPr>
        <w:t xml:space="preserve"> </w:t>
      </w:r>
      <w:r w:rsidRPr="00B911C8">
        <w:rPr>
          <w:b/>
          <w:bCs/>
          <w:noProof/>
        </w:rPr>
        <w:t xml:space="preserve">that the measures introduced </w:t>
      </w:r>
      <w:r w:rsidR="00BB3758">
        <w:rPr>
          <w:b/>
          <w:bCs/>
          <w:noProof/>
        </w:rPr>
        <w:t>in</w:t>
      </w:r>
      <w:r w:rsidRPr="00B911C8">
        <w:rPr>
          <w:b/>
          <w:bCs/>
          <w:noProof/>
        </w:rPr>
        <w:t xml:space="preserve"> 2024 and 2025, together with the December 2025 amendment</w:t>
      </w:r>
      <w:r w:rsidR="00921BDD">
        <w:rPr>
          <w:b/>
          <w:bCs/>
          <w:noProof/>
        </w:rPr>
        <w:t>s</w:t>
      </w:r>
      <w:r w:rsidRPr="00B911C8">
        <w:rPr>
          <w:b/>
          <w:bCs/>
          <w:noProof/>
        </w:rPr>
        <w:t xml:space="preserve"> and </w:t>
      </w:r>
      <w:r w:rsidR="00476DDC">
        <w:rPr>
          <w:b/>
          <w:bCs/>
          <w:noProof/>
        </w:rPr>
        <w:t>new simplification</w:t>
      </w:r>
      <w:r w:rsidRPr="00B911C8">
        <w:rPr>
          <w:b/>
          <w:bCs/>
          <w:noProof/>
        </w:rPr>
        <w:t xml:space="preserve"> measures accompanying this Report, </w:t>
      </w:r>
      <w:r w:rsidR="00005C75">
        <w:rPr>
          <w:b/>
          <w:bCs/>
          <w:noProof/>
        </w:rPr>
        <w:t>lead</w:t>
      </w:r>
      <w:r w:rsidRPr="00B911C8">
        <w:rPr>
          <w:b/>
          <w:bCs/>
          <w:noProof/>
        </w:rPr>
        <w:t xml:space="preserve"> to a substantial reduction in administrative burden</w:t>
      </w:r>
      <w:r w:rsidR="72D2E6D1" w:rsidRPr="00B911C8">
        <w:rPr>
          <w:b/>
          <w:bCs/>
          <w:noProof/>
        </w:rPr>
        <w:t xml:space="preserve"> and a considerable simplification for companies </w:t>
      </w:r>
      <w:r w:rsidR="00921BDD">
        <w:rPr>
          <w:b/>
          <w:bCs/>
          <w:noProof/>
        </w:rPr>
        <w:t>which</w:t>
      </w:r>
      <w:r w:rsidR="00921BDD" w:rsidRPr="00B911C8">
        <w:rPr>
          <w:b/>
          <w:bCs/>
          <w:noProof/>
        </w:rPr>
        <w:t xml:space="preserve"> </w:t>
      </w:r>
      <w:r w:rsidR="72D2E6D1" w:rsidRPr="00B911C8">
        <w:rPr>
          <w:b/>
          <w:bCs/>
          <w:noProof/>
        </w:rPr>
        <w:t xml:space="preserve">fall under the scope of the </w:t>
      </w:r>
      <w:r w:rsidR="7B895408" w:rsidRPr="7A228EF8">
        <w:rPr>
          <w:b/>
          <w:bCs/>
          <w:noProof/>
        </w:rPr>
        <w:t>R</w:t>
      </w:r>
      <w:r w:rsidR="72D2E6D1" w:rsidRPr="00B911C8">
        <w:rPr>
          <w:b/>
          <w:bCs/>
          <w:noProof/>
        </w:rPr>
        <w:t>egulation</w:t>
      </w:r>
      <w:r w:rsidRPr="00B911C8">
        <w:rPr>
          <w:b/>
          <w:bCs/>
          <w:noProof/>
        </w:rPr>
        <w:t>.</w:t>
      </w:r>
      <w:r>
        <w:rPr>
          <w:noProof/>
        </w:rPr>
        <w:t xml:space="preserve"> Th</w:t>
      </w:r>
      <w:r w:rsidR="07BA7CDF">
        <w:rPr>
          <w:noProof/>
        </w:rPr>
        <w:t>is</w:t>
      </w:r>
      <w:r>
        <w:rPr>
          <w:noProof/>
        </w:rPr>
        <w:t xml:space="preserve"> reduction </w:t>
      </w:r>
      <w:r w:rsidR="07BA7CDF">
        <w:rPr>
          <w:noProof/>
        </w:rPr>
        <w:t>is</w:t>
      </w:r>
      <w:r>
        <w:rPr>
          <w:noProof/>
        </w:rPr>
        <w:t xml:space="preserve"> particularly relevant for operators sourcing from low-risk countries, for micro and small primary operators, and for downstream actors, notably through the introduction of simplified procedures.</w:t>
      </w:r>
      <w:r w:rsidR="3D74ACE7">
        <w:rPr>
          <w:noProof/>
        </w:rPr>
        <w:t xml:space="preserve"> </w:t>
      </w:r>
      <w:r w:rsidR="00005C75">
        <w:rPr>
          <w:noProof/>
        </w:rPr>
        <w:t xml:space="preserve">The </w:t>
      </w:r>
      <w:r w:rsidR="00005C75" w:rsidDel="003F2160">
        <w:rPr>
          <w:noProof/>
        </w:rPr>
        <w:t xml:space="preserve">new </w:t>
      </w:r>
      <w:r w:rsidR="00005C75">
        <w:rPr>
          <w:noProof/>
        </w:rPr>
        <w:t xml:space="preserve">measures </w:t>
      </w:r>
      <w:r w:rsidR="42ECAFA5">
        <w:rPr>
          <w:noProof/>
        </w:rPr>
        <w:t xml:space="preserve">presented below </w:t>
      </w:r>
      <w:r w:rsidR="00005C75">
        <w:rPr>
          <w:noProof/>
        </w:rPr>
        <w:t xml:space="preserve">include </w:t>
      </w:r>
      <w:r w:rsidR="00973454">
        <w:rPr>
          <w:noProof/>
        </w:rPr>
        <w:t xml:space="preserve">proposed </w:t>
      </w:r>
      <w:r w:rsidR="00005C75">
        <w:rPr>
          <w:noProof/>
        </w:rPr>
        <w:t xml:space="preserve">changes to the </w:t>
      </w:r>
      <w:r w:rsidR="00DF2346">
        <w:rPr>
          <w:noProof/>
        </w:rPr>
        <w:t xml:space="preserve">product </w:t>
      </w:r>
      <w:r w:rsidR="00005C75">
        <w:rPr>
          <w:noProof/>
        </w:rPr>
        <w:t xml:space="preserve">scope of the Regulation, clarifications and simplifications of certain provisions, as well as updates to the information system, implementing the recent legislative changes and making sure that it is as user friendly as possible. </w:t>
      </w:r>
      <w:r w:rsidR="3D74ACE7">
        <w:rPr>
          <w:noProof/>
        </w:rPr>
        <w:t xml:space="preserve">In order to preserve legal certainty and ensure a stable and predictable regulatory framework for economic </w:t>
      </w:r>
      <w:r w:rsidR="6B158165">
        <w:rPr>
          <w:noProof/>
        </w:rPr>
        <w:t>operators</w:t>
      </w:r>
      <w:r w:rsidR="00921BDD">
        <w:rPr>
          <w:noProof/>
        </w:rPr>
        <w:t>,</w:t>
      </w:r>
      <w:r w:rsidR="6B158165">
        <w:rPr>
          <w:noProof/>
        </w:rPr>
        <w:t xml:space="preserve"> and</w:t>
      </w:r>
      <w:r w:rsidR="3D74ACE7">
        <w:rPr>
          <w:noProof/>
        </w:rPr>
        <w:t xml:space="preserve"> taking into account the progress made in reducing compliance costs, the Commission does not consider it appropriate</w:t>
      </w:r>
      <w:r w:rsidR="7A04C6BC">
        <w:rPr>
          <w:noProof/>
        </w:rPr>
        <w:t xml:space="preserve"> </w:t>
      </w:r>
      <w:r w:rsidR="3D74ACE7">
        <w:rPr>
          <w:noProof/>
        </w:rPr>
        <w:t xml:space="preserve">to propose further amendments to the </w:t>
      </w:r>
      <w:r w:rsidR="47824988">
        <w:rPr>
          <w:noProof/>
        </w:rPr>
        <w:t>basic</w:t>
      </w:r>
      <w:r w:rsidR="3D74ACE7">
        <w:rPr>
          <w:noProof/>
        </w:rPr>
        <w:t xml:space="preserve"> legal text. </w:t>
      </w:r>
    </w:p>
    <w:p w14:paraId="52005A8E" w14:textId="7F8EE352" w:rsidR="00005C75" w:rsidRDefault="2288D01B" w:rsidP="007C20E2">
      <w:pPr>
        <w:spacing w:line="259" w:lineRule="auto"/>
        <w:rPr>
          <w:noProof/>
        </w:rPr>
      </w:pPr>
      <w:r>
        <w:rPr>
          <w:noProof/>
        </w:rPr>
        <w:t xml:space="preserve">The Report </w:t>
      </w:r>
      <w:r w:rsidR="00921BDD">
        <w:rPr>
          <w:noProof/>
        </w:rPr>
        <w:t>includes</w:t>
      </w:r>
      <w:r>
        <w:rPr>
          <w:noProof/>
        </w:rPr>
        <w:t xml:space="preserve"> </w:t>
      </w:r>
      <w:r w:rsidR="00005C75">
        <w:rPr>
          <w:noProof/>
        </w:rPr>
        <w:t>a number of new simplification measures:</w:t>
      </w:r>
    </w:p>
    <w:p w14:paraId="7513053F" w14:textId="5FBCC071" w:rsidR="53C74A16" w:rsidRDefault="00005C75" w:rsidP="007C20E2">
      <w:pPr>
        <w:spacing w:line="259" w:lineRule="auto"/>
        <w:rPr>
          <w:noProof/>
        </w:rPr>
      </w:pPr>
      <w:r>
        <w:rPr>
          <w:noProof/>
        </w:rPr>
        <w:t xml:space="preserve">First, </w:t>
      </w:r>
      <w:r w:rsidR="2288D01B">
        <w:rPr>
          <w:noProof/>
        </w:rPr>
        <w:t xml:space="preserve">the </w:t>
      </w:r>
      <w:r w:rsidR="281A361D">
        <w:rPr>
          <w:noProof/>
        </w:rPr>
        <w:t xml:space="preserve">Commission </w:t>
      </w:r>
      <w:r w:rsidR="78729871">
        <w:rPr>
          <w:noProof/>
        </w:rPr>
        <w:t xml:space="preserve">has </w:t>
      </w:r>
      <w:r w:rsidR="2288D01B" w:rsidRPr="00B911C8">
        <w:rPr>
          <w:b/>
          <w:bCs/>
          <w:noProof/>
        </w:rPr>
        <w:t xml:space="preserve">updated </w:t>
      </w:r>
      <w:r w:rsidR="00921BDD">
        <w:rPr>
          <w:b/>
          <w:bCs/>
          <w:noProof/>
        </w:rPr>
        <w:t xml:space="preserve">the </w:t>
      </w:r>
      <w:r w:rsidR="2288D01B" w:rsidRPr="00B911C8">
        <w:rPr>
          <w:b/>
          <w:bCs/>
          <w:noProof/>
        </w:rPr>
        <w:t xml:space="preserve">Guidance and Frequently Asked Questions </w:t>
      </w:r>
      <w:r w:rsidR="03F49BB7" w:rsidRPr="7A228EF8">
        <w:rPr>
          <w:b/>
          <w:bCs/>
          <w:noProof/>
        </w:rPr>
        <w:t xml:space="preserve">to </w:t>
      </w:r>
      <w:r w:rsidR="2288D01B" w:rsidRPr="00B911C8">
        <w:rPr>
          <w:b/>
          <w:bCs/>
          <w:noProof/>
        </w:rPr>
        <w:t>address key stakeholder concerns</w:t>
      </w:r>
      <w:r w:rsidR="2288D01B">
        <w:rPr>
          <w:noProof/>
        </w:rPr>
        <w:t>.</w:t>
      </w:r>
      <w:r w:rsidR="301338B8">
        <w:rPr>
          <w:noProof/>
        </w:rPr>
        <w:t xml:space="preserve"> </w:t>
      </w:r>
      <w:r w:rsidR="2288D01B">
        <w:rPr>
          <w:noProof/>
        </w:rPr>
        <w:t>In particular,</w:t>
      </w:r>
      <w:r w:rsidR="4B5ADCA5">
        <w:rPr>
          <w:noProof/>
        </w:rPr>
        <w:t xml:space="preserve"> </w:t>
      </w:r>
      <w:r w:rsidR="0A4FA5DC">
        <w:rPr>
          <w:noProof/>
        </w:rPr>
        <w:t>th</w:t>
      </w:r>
      <w:r w:rsidR="4B5ADCA5">
        <w:rPr>
          <w:noProof/>
        </w:rPr>
        <w:t>e</w:t>
      </w:r>
      <w:r w:rsidR="44924D70">
        <w:rPr>
          <w:noProof/>
        </w:rPr>
        <w:t>se</w:t>
      </w:r>
      <w:r w:rsidR="4B5ADCA5">
        <w:rPr>
          <w:noProof/>
        </w:rPr>
        <w:t xml:space="preserve"> documents </w:t>
      </w:r>
      <w:r w:rsidR="00227C92">
        <w:rPr>
          <w:noProof/>
        </w:rPr>
        <w:t>clarif</w:t>
      </w:r>
      <w:r w:rsidR="00921BDD">
        <w:rPr>
          <w:noProof/>
        </w:rPr>
        <w:t>y</w:t>
      </w:r>
      <w:r w:rsidR="21D19B87">
        <w:rPr>
          <w:noProof/>
        </w:rPr>
        <w:t xml:space="preserve"> the possibility to cover multiple shipments under a single due diligence statement and expla</w:t>
      </w:r>
      <w:r w:rsidR="0EF1D367">
        <w:rPr>
          <w:noProof/>
        </w:rPr>
        <w:t>i</w:t>
      </w:r>
      <w:r w:rsidR="21D19B87">
        <w:rPr>
          <w:noProof/>
        </w:rPr>
        <w:t>n</w:t>
      </w:r>
      <w:r w:rsidR="008E330C">
        <w:rPr>
          <w:noProof/>
        </w:rPr>
        <w:t>,</w:t>
      </w:r>
      <w:r w:rsidR="21D19B87">
        <w:rPr>
          <w:noProof/>
        </w:rPr>
        <w:t xml:space="preserve"> </w:t>
      </w:r>
      <w:r w:rsidR="6FF88C14" w:rsidRPr="00B911C8">
        <w:rPr>
          <w:noProof/>
        </w:rPr>
        <w:t>for instance</w:t>
      </w:r>
      <w:r w:rsidR="008E330C">
        <w:rPr>
          <w:noProof/>
        </w:rPr>
        <w:t>,</w:t>
      </w:r>
      <w:r w:rsidR="6FF88C14" w:rsidRPr="00B911C8">
        <w:rPr>
          <w:noProof/>
        </w:rPr>
        <w:t xml:space="preserve"> </w:t>
      </w:r>
      <w:r w:rsidR="21D19B87" w:rsidRPr="00B911C8">
        <w:rPr>
          <w:noProof/>
        </w:rPr>
        <w:t>how forest associations can submit information on behalf of individual forest owners.</w:t>
      </w:r>
      <w:r w:rsidR="000F4839" w:rsidRPr="00B911C8">
        <w:rPr>
          <w:noProof/>
        </w:rPr>
        <w:t xml:space="preserve"> </w:t>
      </w:r>
      <w:r w:rsidR="61AB5C80" w:rsidRPr="00B911C8">
        <w:rPr>
          <w:noProof/>
        </w:rPr>
        <w:t xml:space="preserve">The </w:t>
      </w:r>
      <w:r w:rsidR="6C7C4720" w:rsidRPr="00B911C8">
        <w:rPr>
          <w:noProof/>
        </w:rPr>
        <w:t>Commission</w:t>
      </w:r>
      <w:r w:rsidR="61AB5C80" w:rsidRPr="00B911C8">
        <w:rPr>
          <w:noProof/>
        </w:rPr>
        <w:t xml:space="preserve"> </w:t>
      </w:r>
      <w:r>
        <w:rPr>
          <w:noProof/>
        </w:rPr>
        <w:t xml:space="preserve">also </w:t>
      </w:r>
      <w:r w:rsidR="517AAE65" w:rsidRPr="00B911C8">
        <w:rPr>
          <w:noProof/>
        </w:rPr>
        <w:t>provide</w:t>
      </w:r>
      <w:r w:rsidR="6C7C4720" w:rsidRPr="00B911C8">
        <w:rPr>
          <w:noProof/>
        </w:rPr>
        <w:t>s</w:t>
      </w:r>
      <w:r w:rsidR="517AAE65" w:rsidRPr="00B911C8">
        <w:rPr>
          <w:noProof/>
        </w:rPr>
        <w:t xml:space="preserve"> </w:t>
      </w:r>
      <w:r w:rsidRPr="00B911C8">
        <w:rPr>
          <w:noProof/>
        </w:rPr>
        <w:t xml:space="preserve">further </w:t>
      </w:r>
      <w:r w:rsidR="517AAE65" w:rsidRPr="00B911C8">
        <w:rPr>
          <w:noProof/>
        </w:rPr>
        <w:t xml:space="preserve">practical guidance on </w:t>
      </w:r>
      <w:r w:rsidR="229DA702" w:rsidRPr="00B911C8">
        <w:rPr>
          <w:noProof/>
        </w:rPr>
        <w:t>the obligations of downstream operators, including the identification of their position in supply chains</w:t>
      </w:r>
      <w:r w:rsidR="00366429" w:rsidRPr="00B911C8">
        <w:rPr>
          <w:noProof/>
        </w:rPr>
        <w:t xml:space="preserve"> and</w:t>
      </w:r>
      <w:r w:rsidR="229DA702" w:rsidRPr="00B911C8">
        <w:rPr>
          <w:noProof/>
        </w:rPr>
        <w:t xml:space="preserve"> </w:t>
      </w:r>
      <w:r w:rsidR="003571C4" w:rsidRPr="00B911C8">
        <w:rPr>
          <w:noProof/>
        </w:rPr>
        <w:t>the possibility of</w:t>
      </w:r>
      <w:r w:rsidR="008E330C">
        <w:rPr>
          <w:noProof/>
        </w:rPr>
        <w:t xml:space="preserve"> a</w:t>
      </w:r>
      <w:r w:rsidR="003571C4" w:rsidRPr="00B911C8">
        <w:rPr>
          <w:noProof/>
        </w:rPr>
        <w:t xml:space="preserve"> compan</w:t>
      </w:r>
      <w:r w:rsidR="008E330C">
        <w:rPr>
          <w:noProof/>
        </w:rPr>
        <w:t>y to be both</w:t>
      </w:r>
      <w:r w:rsidR="003571C4" w:rsidRPr="00B911C8">
        <w:rPr>
          <w:noProof/>
        </w:rPr>
        <w:t xml:space="preserve"> </w:t>
      </w:r>
      <w:r>
        <w:rPr>
          <w:noProof/>
        </w:rPr>
        <w:t>importer and producer</w:t>
      </w:r>
      <w:r w:rsidR="00A903BF">
        <w:rPr>
          <w:noProof/>
        </w:rPr>
        <w:t>. It also</w:t>
      </w:r>
      <w:r w:rsidR="229DA702" w:rsidRPr="00B911C8">
        <w:rPr>
          <w:noProof/>
        </w:rPr>
        <w:t xml:space="preserve"> confirm</w:t>
      </w:r>
      <w:r w:rsidR="5EDFF6FF" w:rsidRPr="00B911C8">
        <w:rPr>
          <w:noProof/>
        </w:rPr>
        <w:t>s</w:t>
      </w:r>
      <w:r w:rsidR="229DA702" w:rsidRPr="00B911C8">
        <w:rPr>
          <w:noProof/>
        </w:rPr>
        <w:t xml:space="preserve"> that their role is limited to passive collection and retention of relevant information</w:t>
      </w:r>
      <w:r w:rsidR="4B7C8181" w:rsidRPr="00B911C8">
        <w:rPr>
          <w:noProof/>
        </w:rPr>
        <w:t>.</w:t>
      </w:r>
      <w:r w:rsidR="517AAE65" w:rsidRPr="00B911C8">
        <w:rPr>
          <w:noProof/>
        </w:rPr>
        <w:t xml:space="preserve"> </w:t>
      </w:r>
      <w:r w:rsidR="5E2C6342" w:rsidRPr="00B911C8">
        <w:rPr>
          <w:noProof/>
        </w:rPr>
        <w:t>Explanations are</w:t>
      </w:r>
      <w:r w:rsidR="517AAE65" w:rsidRPr="00B911C8">
        <w:rPr>
          <w:noProof/>
        </w:rPr>
        <w:t xml:space="preserve"> </w:t>
      </w:r>
      <w:r w:rsidR="5E2C6342" w:rsidRPr="00B911C8">
        <w:rPr>
          <w:noProof/>
        </w:rPr>
        <w:t>provided on</w:t>
      </w:r>
      <w:r w:rsidR="517AAE65" w:rsidRPr="00B911C8">
        <w:rPr>
          <w:noProof/>
        </w:rPr>
        <w:t xml:space="preserve"> </w:t>
      </w:r>
      <w:r w:rsidR="599AE358" w:rsidRPr="00B911C8">
        <w:rPr>
          <w:noProof/>
        </w:rPr>
        <w:t xml:space="preserve">issues such as e-commerce, </w:t>
      </w:r>
      <w:r w:rsidR="517AAE65" w:rsidRPr="00B911C8">
        <w:rPr>
          <w:noProof/>
        </w:rPr>
        <w:t>geolocation alternatives</w:t>
      </w:r>
      <w:r w:rsidR="2288D01B" w:rsidRPr="00B911C8">
        <w:rPr>
          <w:noProof/>
        </w:rPr>
        <w:t xml:space="preserve"> and on the determination of </w:t>
      </w:r>
      <w:r w:rsidR="517AAE65" w:rsidRPr="00B911C8">
        <w:rPr>
          <w:noProof/>
        </w:rPr>
        <w:t xml:space="preserve">size thresholds </w:t>
      </w:r>
      <w:r w:rsidR="2288D01B" w:rsidRPr="00B911C8">
        <w:rPr>
          <w:noProof/>
        </w:rPr>
        <w:t xml:space="preserve">for </w:t>
      </w:r>
      <w:r w:rsidR="517AAE65" w:rsidRPr="00B911C8">
        <w:rPr>
          <w:noProof/>
        </w:rPr>
        <w:t xml:space="preserve">micro </w:t>
      </w:r>
      <w:r w:rsidR="2288D01B" w:rsidRPr="00B911C8">
        <w:rPr>
          <w:noProof/>
        </w:rPr>
        <w:t>and</w:t>
      </w:r>
      <w:r w:rsidR="517AAE65" w:rsidRPr="00B911C8">
        <w:rPr>
          <w:noProof/>
        </w:rPr>
        <w:t xml:space="preserve"> small primary </w:t>
      </w:r>
      <w:r w:rsidR="2288D01B" w:rsidRPr="00B911C8">
        <w:rPr>
          <w:noProof/>
        </w:rPr>
        <w:t xml:space="preserve">operators. In addition, the </w:t>
      </w:r>
      <w:r w:rsidR="00AE5290">
        <w:rPr>
          <w:noProof/>
        </w:rPr>
        <w:t>G</w:t>
      </w:r>
      <w:r w:rsidR="5EB54E0E" w:rsidRPr="00B911C8">
        <w:rPr>
          <w:noProof/>
        </w:rPr>
        <w:t>uidance</w:t>
      </w:r>
      <w:r w:rsidR="00AE5290">
        <w:rPr>
          <w:noProof/>
        </w:rPr>
        <w:t xml:space="preserve"> and </w:t>
      </w:r>
      <w:r w:rsidR="001D73B0">
        <w:rPr>
          <w:noProof/>
        </w:rPr>
        <w:t xml:space="preserve">Frequently Asked Questions </w:t>
      </w:r>
      <w:r w:rsidR="5EB54E0E" w:rsidRPr="00B911C8">
        <w:rPr>
          <w:noProof/>
        </w:rPr>
        <w:t xml:space="preserve">documents </w:t>
      </w:r>
      <w:r w:rsidR="1067069D" w:rsidRPr="00B911C8">
        <w:rPr>
          <w:noProof/>
        </w:rPr>
        <w:t xml:space="preserve">clarify </w:t>
      </w:r>
      <w:r w:rsidR="517AAE65" w:rsidRPr="00B911C8">
        <w:rPr>
          <w:noProof/>
        </w:rPr>
        <w:t xml:space="preserve">that </w:t>
      </w:r>
      <w:r w:rsidR="63AB11A5" w:rsidRPr="00B911C8">
        <w:rPr>
          <w:noProof/>
        </w:rPr>
        <w:t xml:space="preserve">information collection related to </w:t>
      </w:r>
      <w:r w:rsidR="517AAE65" w:rsidRPr="00B911C8">
        <w:rPr>
          <w:noProof/>
        </w:rPr>
        <w:t xml:space="preserve">legality </w:t>
      </w:r>
      <w:r w:rsidR="227A367E" w:rsidRPr="00B911C8">
        <w:rPr>
          <w:noProof/>
        </w:rPr>
        <w:t xml:space="preserve">should be </w:t>
      </w:r>
      <w:r w:rsidR="2288D01B" w:rsidRPr="00B911C8">
        <w:rPr>
          <w:noProof/>
        </w:rPr>
        <w:t>proportionate to the level of risk, with more detailed</w:t>
      </w:r>
      <w:r w:rsidR="227A367E" w:rsidRPr="00B911C8">
        <w:rPr>
          <w:noProof/>
        </w:rPr>
        <w:t xml:space="preserve"> evidence required only </w:t>
      </w:r>
      <w:r w:rsidR="2288D01B" w:rsidRPr="00B911C8">
        <w:rPr>
          <w:noProof/>
        </w:rPr>
        <w:t>in</w:t>
      </w:r>
      <w:r w:rsidR="227A367E" w:rsidRPr="00B911C8">
        <w:rPr>
          <w:noProof/>
        </w:rPr>
        <w:t xml:space="preserve"> higher</w:t>
      </w:r>
      <w:r w:rsidR="2288D01B" w:rsidRPr="00B911C8">
        <w:rPr>
          <w:noProof/>
        </w:rPr>
        <w:t>-risk supply chains</w:t>
      </w:r>
      <w:r w:rsidR="227A367E" w:rsidRPr="00B911C8">
        <w:rPr>
          <w:noProof/>
        </w:rPr>
        <w:t xml:space="preserve">. </w:t>
      </w:r>
      <w:r w:rsidR="00AE557E">
        <w:rPr>
          <w:noProof/>
        </w:rPr>
        <w:t>Moreover, u</w:t>
      </w:r>
      <w:r w:rsidR="002C07EA" w:rsidRPr="00B911C8">
        <w:rPr>
          <w:noProof/>
        </w:rPr>
        <w:t xml:space="preserve">ser-friendly </w:t>
      </w:r>
      <w:r w:rsidR="00141C28" w:rsidRPr="00B911C8">
        <w:rPr>
          <w:noProof/>
        </w:rPr>
        <w:t>practical</w:t>
      </w:r>
      <w:r w:rsidR="00C1110F" w:rsidRPr="00B911C8">
        <w:rPr>
          <w:noProof/>
        </w:rPr>
        <w:t xml:space="preserve"> examples </w:t>
      </w:r>
      <w:r w:rsidR="00C26DD9" w:rsidRPr="00B911C8">
        <w:rPr>
          <w:noProof/>
        </w:rPr>
        <w:t>illustrating</w:t>
      </w:r>
      <w:r w:rsidR="00E477A9" w:rsidRPr="00B911C8">
        <w:rPr>
          <w:noProof/>
        </w:rPr>
        <w:t xml:space="preserve"> the </w:t>
      </w:r>
      <w:r w:rsidR="00C26DD9" w:rsidRPr="00B911C8">
        <w:rPr>
          <w:noProof/>
        </w:rPr>
        <w:t>various</w:t>
      </w:r>
      <w:r w:rsidR="00C144CE" w:rsidRPr="00B911C8">
        <w:rPr>
          <w:noProof/>
        </w:rPr>
        <w:t xml:space="preserve"> supply chain</w:t>
      </w:r>
      <w:r w:rsidR="00C26DD9" w:rsidRPr="00B911C8">
        <w:rPr>
          <w:noProof/>
        </w:rPr>
        <w:t xml:space="preserve"> scenarios </w:t>
      </w:r>
      <w:r w:rsidR="005B5631" w:rsidRPr="00B911C8">
        <w:rPr>
          <w:noProof/>
        </w:rPr>
        <w:t>are</w:t>
      </w:r>
      <w:r w:rsidR="005B5631" w:rsidRPr="00EB2485">
        <w:rPr>
          <w:noProof/>
        </w:rPr>
        <w:t xml:space="preserve"> provided</w:t>
      </w:r>
      <w:r w:rsidR="00152A8E" w:rsidRPr="00EB2485">
        <w:rPr>
          <w:noProof/>
        </w:rPr>
        <w:t xml:space="preserve"> in</w:t>
      </w:r>
      <w:r w:rsidR="005B5631" w:rsidRPr="00EB2485">
        <w:rPr>
          <w:noProof/>
        </w:rPr>
        <w:t xml:space="preserve"> the</w:t>
      </w:r>
      <w:r w:rsidR="00E477A9">
        <w:rPr>
          <w:noProof/>
        </w:rPr>
        <w:t xml:space="preserve"> updated</w:t>
      </w:r>
      <w:r w:rsidR="005B5631" w:rsidRPr="00EB2485">
        <w:rPr>
          <w:noProof/>
        </w:rPr>
        <w:t xml:space="preserve"> EUDR Supply Chain Infographics</w:t>
      </w:r>
      <w:r w:rsidR="00152A8E" w:rsidRPr="00EB2485">
        <w:rPr>
          <w:noProof/>
        </w:rPr>
        <w:t>.</w:t>
      </w:r>
      <w:r>
        <w:rPr>
          <w:noProof/>
        </w:rPr>
        <w:t xml:space="preserve"> The Commission will continue to update the Guidance and the Frequently Asked Questions as necessary, considering stakeholder feedback.</w:t>
      </w:r>
    </w:p>
    <w:p w14:paraId="794AC55C" w14:textId="6E142930" w:rsidR="009D17F2" w:rsidRPr="00383F45" w:rsidRDefault="00005C75" w:rsidP="0049610C">
      <w:pPr>
        <w:rPr>
          <w:noProof/>
          <w:lang w:val="en-IE"/>
        </w:rPr>
      </w:pPr>
      <w:r>
        <w:rPr>
          <w:noProof/>
        </w:rPr>
        <w:t>Second, t</w:t>
      </w:r>
      <w:r w:rsidR="538968D8">
        <w:rPr>
          <w:noProof/>
        </w:rPr>
        <w:t xml:space="preserve">he </w:t>
      </w:r>
      <w:r w:rsidR="538968D8" w:rsidRPr="00B911C8">
        <w:rPr>
          <w:b/>
          <w:bCs/>
          <w:noProof/>
        </w:rPr>
        <w:t>product scope has been refined</w:t>
      </w:r>
      <w:r w:rsidR="00973454">
        <w:rPr>
          <w:b/>
          <w:bCs/>
          <w:noProof/>
        </w:rPr>
        <w:t xml:space="preserve"> </w:t>
      </w:r>
      <w:r w:rsidR="000B5A7C">
        <w:rPr>
          <w:noProof/>
        </w:rPr>
        <w:t>in</w:t>
      </w:r>
      <w:r w:rsidR="00973454" w:rsidRPr="00637B48">
        <w:rPr>
          <w:noProof/>
        </w:rPr>
        <w:t xml:space="preserve"> the </w:t>
      </w:r>
      <w:r w:rsidR="00AA1A86">
        <w:rPr>
          <w:noProof/>
        </w:rPr>
        <w:t>draft</w:t>
      </w:r>
      <w:r w:rsidR="00973454">
        <w:rPr>
          <w:noProof/>
        </w:rPr>
        <w:t xml:space="preserve"> </w:t>
      </w:r>
      <w:r w:rsidR="00973454" w:rsidRPr="00637B48">
        <w:rPr>
          <w:noProof/>
        </w:rPr>
        <w:t>Delegated Act</w:t>
      </w:r>
      <w:r w:rsidR="00A55F6B" w:rsidRPr="00A55F6B">
        <w:rPr>
          <w:noProof/>
        </w:rPr>
        <w:t> (</w:t>
      </w:r>
      <w:r w:rsidR="00A55F6B">
        <w:rPr>
          <w:rStyle w:val="FootnoteReference"/>
          <w:noProof/>
        </w:rPr>
        <w:footnoteReference w:id="2"/>
      </w:r>
      <w:r w:rsidR="00A55F6B">
        <w:rPr>
          <w:noProof/>
        </w:rPr>
        <w:t>)</w:t>
      </w:r>
      <w:r w:rsidR="009109B2">
        <w:rPr>
          <w:noProof/>
        </w:rPr>
        <w:t xml:space="preserve"> </w:t>
      </w:r>
      <w:r w:rsidR="00316242">
        <w:rPr>
          <w:noProof/>
        </w:rPr>
        <w:t>published for public feedback</w:t>
      </w:r>
      <w:r w:rsidR="001D73B0">
        <w:rPr>
          <w:noProof/>
        </w:rPr>
        <w:t xml:space="preserve"> </w:t>
      </w:r>
      <w:r w:rsidR="538968D8">
        <w:rPr>
          <w:noProof/>
        </w:rPr>
        <w:t xml:space="preserve">to ensure a more coherent application of the Regulation, including proposed </w:t>
      </w:r>
      <w:r w:rsidR="1091CD32">
        <w:rPr>
          <w:noProof/>
        </w:rPr>
        <w:t>additions</w:t>
      </w:r>
      <w:r w:rsidR="538968D8">
        <w:rPr>
          <w:noProof/>
        </w:rPr>
        <w:t xml:space="preserve"> of selected downstream products, such as soluble coffe</w:t>
      </w:r>
      <w:r w:rsidR="538968D8" w:rsidRPr="00B911C8">
        <w:rPr>
          <w:noProof/>
        </w:rPr>
        <w:t>e</w:t>
      </w:r>
      <w:r w:rsidR="00694AA7">
        <w:rPr>
          <w:noProof/>
        </w:rPr>
        <w:t xml:space="preserve"> and</w:t>
      </w:r>
      <w:r w:rsidR="5827A40B" w:rsidRPr="00B911C8">
        <w:rPr>
          <w:noProof/>
        </w:rPr>
        <w:t xml:space="preserve"> </w:t>
      </w:r>
      <w:r w:rsidR="00694AA7" w:rsidRPr="00694AA7">
        <w:rPr>
          <w:noProof/>
        </w:rPr>
        <w:t xml:space="preserve">certain palm oil derivatives </w:t>
      </w:r>
      <w:r w:rsidR="00272604">
        <w:rPr>
          <w:noProof/>
        </w:rPr>
        <w:t>(</w:t>
      </w:r>
      <w:r w:rsidR="00694AA7" w:rsidRPr="00694AA7">
        <w:rPr>
          <w:noProof/>
        </w:rPr>
        <w:t>including soap made with palm oil</w:t>
      </w:r>
      <w:r w:rsidR="00272604">
        <w:rPr>
          <w:noProof/>
        </w:rPr>
        <w:t>)</w:t>
      </w:r>
      <w:r w:rsidR="00694AA7">
        <w:rPr>
          <w:noProof/>
        </w:rPr>
        <w:t xml:space="preserve"> </w:t>
      </w:r>
      <w:r w:rsidR="6A4989C3" w:rsidRPr="00B911C8">
        <w:rPr>
          <w:noProof/>
        </w:rPr>
        <w:t xml:space="preserve"> a</w:t>
      </w:r>
      <w:r w:rsidR="04D0CA54" w:rsidRPr="00B911C8">
        <w:rPr>
          <w:noProof/>
        </w:rPr>
        <w:t>s well as</w:t>
      </w:r>
      <w:r w:rsidR="6A4989C3" w:rsidRPr="00B911C8">
        <w:rPr>
          <w:noProof/>
        </w:rPr>
        <w:t xml:space="preserve"> some proposed exclusions of the scope, such as leather, samples and retreaded tyres</w:t>
      </w:r>
      <w:r w:rsidR="538968D8" w:rsidRPr="00B911C8">
        <w:rPr>
          <w:noProof/>
        </w:rPr>
        <w:t>.</w:t>
      </w:r>
      <w:r w:rsidR="6C2A1255" w:rsidRPr="00B911C8">
        <w:rPr>
          <w:noProof/>
        </w:rPr>
        <w:t xml:space="preserve"> </w:t>
      </w:r>
    </w:p>
    <w:p w14:paraId="03D786CC" w14:textId="539334AC" w:rsidR="00910705" w:rsidRDefault="00005C75" w:rsidP="0049610C">
      <w:pPr>
        <w:rPr>
          <w:noProof/>
        </w:rPr>
      </w:pPr>
      <w:r>
        <w:rPr>
          <w:noProof/>
        </w:rPr>
        <w:t>Third, t</w:t>
      </w:r>
      <w:r w:rsidR="00910705" w:rsidRPr="00B911C8">
        <w:rPr>
          <w:noProof/>
        </w:rPr>
        <w:t xml:space="preserve">he Report also outlines </w:t>
      </w:r>
      <w:r w:rsidR="00910705" w:rsidRPr="00D21269">
        <w:rPr>
          <w:b/>
          <w:bCs/>
          <w:noProof/>
        </w:rPr>
        <w:t xml:space="preserve">further developments </w:t>
      </w:r>
      <w:r>
        <w:rPr>
          <w:b/>
          <w:bCs/>
          <w:noProof/>
        </w:rPr>
        <w:t>of</w:t>
      </w:r>
      <w:r w:rsidRPr="00D21269">
        <w:rPr>
          <w:b/>
          <w:bCs/>
          <w:noProof/>
        </w:rPr>
        <w:t xml:space="preserve"> </w:t>
      </w:r>
      <w:r w:rsidR="00910705" w:rsidRPr="00D21269">
        <w:rPr>
          <w:b/>
          <w:bCs/>
          <w:noProof/>
        </w:rPr>
        <w:t>the Information System</w:t>
      </w:r>
      <w:r w:rsidR="00910705" w:rsidRPr="00D21269">
        <w:rPr>
          <w:noProof/>
        </w:rPr>
        <w:t>.</w:t>
      </w:r>
      <w:r w:rsidR="00910705" w:rsidRPr="00B911C8">
        <w:rPr>
          <w:noProof/>
        </w:rPr>
        <w:t xml:space="preserve"> These</w:t>
      </w:r>
      <w:r w:rsidR="00910705">
        <w:rPr>
          <w:noProof/>
        </w:rPr>
        <w:t xml:space="preserve"> include the updates </w:t>
      </w:r>
      <w:r w:rsidR="00910705" w:rsidRPr="00B911C8">
        <w:rPr>
          <w:noProof/>
        </w:rPr>
        <w:t xml:space="preserve">required by the revised EUDR text, such as the inclusion of simplified declarations, as well as additional functionalities requested by stakeholders, including the voluntary grouping of Due Diligence </w:t>
      </w:r>
      <w:r w:rsidR="76EB50EC" w:rsidRPr="00B911C8">
        <w:rPr>
          <w:noProof/>
        </w:rPr>
        <w:t xml:space="preserve">Statements </w:t>
      </w:r>
      <w:r w:rsidR="476DA6B9" w:rsidRPr="00B911C8">
        <w:rPr>
          <w:noProof/>
        </w:rPr>
        <w:t>r</w:t>
      </w:r>
      <w:r w:rsidR="00910705" w:rsidRPr="00B911C8">
        <w:rPr>
          <w:noProof/>
        </w:rPr>
        <w:t xml:space="preserve">eference numbers. </w:t>
      </w:r>
      <w:r w:rsidR="00910705" w:rsidRPr="00D21269">
        <w:rPr>
          <w:noProof/>
        </w:rPr>
        <w:t>Overall, these improvements will ensure that the system is robust and ready to support the smooth application of the Regulation from the date it enters into application.</w:t>
      </w:r>
    </w:p>
    <w:p w14:paraId="0184FE40" w14:textId="4D744355" w:rsidR="0049610C" w:rsidRDefault="00005C75" w:rsidP="0049610C">
      <w:pPr>
        <w:rPr>
          <w:noProof/>
        </w:rPr>
      </w:pPr>
      <w:r>
        <w:rPr>
          <w:noProof/>
        </w:rPr>
        <w:t>Fourth</w:t>
      </w:r>
      <w:r w:rsidR="00561570">
        <w:rPr>
          <w:noProof/>
        </w:rPr>
        <w:t xml:space="preserve">, the Report </w:t>
      </w:r>
      <w:r w:rsidR="00E35AAF">
        <w:rPr>
          <w:noProof/>
        </w:rPr>
        <w:t xml:space="preserve">presents </w:t>
      </w:r>
      <w:r w:rsidR="027EEC03">
        <w:rPr>
          <w:noProof/>
        </w:rPr>
        <w:t xml:space="preserve">the </w:t>
      </w:r>
      <w:r w:rsidR="027EEC03" w:rsidRPr="00B911C8">
        <w:rPr>
          <w:b/>
          <w:bCs/>
          <w:noProof/>
        </w:rPr>
        <w:t xml:space="preserve">planned establishment of </w:t>
      </w:r>
      <w:r w:rsidR="00847B5F">
        <w:rPr>
          <w:b/>
          <w:bCs/>
          <w:noProof/>
        </w:rPr>
        <w:t xml:space="preserve">new </w:t>
      </w:r>
      <w:r w:rsidR="00E35AAF" w:rsidRPr="00B911C8">
        <w:rPr>
          <w:b/>
          <w:bCs/>
          <w:noProof/>
        </w:rPr>
        <w:t>trade facilitation tools</w:t>
      </w:r>
      <w:r w:rsidR="002E7ED8">
        <w:rPr>
          <w:b/>
          <w:bCs/>
          <w:noProof/>
        </w:rPr>
        <w:t xml:space="preserve">, </w:t>
      </w:r>
      <w:r w:rsidR="002E7ED8" w:rsidRPr="00B911C8">
        <w:rPr>
          <w:noProof/>
        </w:rPr>
        <w:t>such</w:t>
      </w:r>
      <w:r w:rsidR="00E35AAF">
        <w:rPr>
          <w:noProof/>
        </w:rPr>
        <w:t xml:space="preserve"> as </w:t>
      </w:r>
      <w:r w:rsidR="027EEC03">
        <w:rPr>
          <w:noProof/>
        </w:rPr>
        <w:t xml:space="preserve">repositories of legislation of countries </w:t>
      </w:r>
      <w:r w:rsidR="00193D60">
        <w:rPr>
          <w:noProof/>
        </w:rPr>
        <w:t xml:space="preserve">producing relevant EUDR </w:t>
      </w:r>
      <w:r w:rsidR="00962B01">
        <w:rPr>
          <w:noProof/>
        </w:rPr>
        <w:t>products</w:t>
      </w:r>
      <w:r w:rsidR="00193D60">
        <w:rPr>
          <w:noProof/>
        </w:rPr>
        <w:t xml:space="preserve"> </w:t>
      </w:r>
      <w:r w:rsidR="027EEC03">
        <w:rPr>
          <w:noProof/>
        </w:rPr>
        <w:t xml:space="preserve">and certification </w:t>
      </w:r>
      <w:r w:rsidR="00193D60">
        <w:rPr>
          <w:noProof/>
        </w:rPr>
        <w:t xml:space="preserve">or other third-party verified </w:t>
      </w:r>
      <w:r w:rsidR="027EEC03">
        <w:rPr>
          <w:noProof/>
        </w:rPr>
        <w:t>schemes applicable to commodities covered by the EUDR, with a view to facilitating compliance</w:t>
      </w:r>
      <w:r w:rsidRPr="00005C75">
        <w:rPr>
          <w:noProof/>
        </w:rPr>
        <w:t xml:space="preserve"> </w:t>
      </w:r>
      <w:r>
        <w:rPr>
          <w:noProof/>
        </w:rPr>
        <w:t>and legality assessments</w:t>
      </w:r>
      <w:r w:rsidR="027EEC03">
        <w:rPr>
          <w:noProof/>
        </w:rPr>
        <w:t xml:space="preserve">. </w:t>
      </w:r>
    </w:p>
    <w:p w14:paraId="661A81BD" w14:textId="467D34C2" w:rsidR="0049610C" w:rsidRPr="00B911C8" w:rsidRDefault="0049610C" w:rsidP="44DF46F2">
      <w:pPr>
        <w:rPr>
          <w:b/>
          <w:bCs/>
          <w:noProof/>
          <w:highlight w:val="yellow"/>
        </w:rPr>
      </w:pPr>
      <w:r w:rsidRPr="00B911C8">
        <w:rPr>
          <w:b/>
          <w:bCs/>
          <w:noProof/>
        </w:rPr>
        <w:t>The quantitative assessment indicates that, taken</w:t>
      </w:r>
      <w:r w:rsidR="00973454">
        <w:rPr>
          <w:b/>
          <w:bCs/>
          <w:noProof/>
        </w:rPr>
        <w:t xml:space="preserve"> </w:t>
      </w:r>
      <w:r w:rsidRPr="00B911C8">
        <w:rPr>
          <w:b/>
          <w:bCs/>
          <w:noProof/>
        </w:rPr>
        <w:t>together, the</w:t>
      </w:r>
      <w:r w:rsidR="00A74E10">
        <w:rPr>
          <w:b/>
          <w:bCs/>
          <w:noProof/>
        </w:rPr>
        <w:t xml:space="preserve"> outlined</w:t>
      </w:r>
      <w:r w:rsidRPr="00B911C8">
        <w:rPr>
          <w:b/>
          <w:bCs/>
          <w:noProof/>
        </w:rPr>
        <w:t xml:space="preserve"> </w:t>
      </w:r>
      <w:r w:rsidRPr="00B911C8" w:rsidDel="00973454">
        <w:rPr>
          <w:b/>
          <w:bCs/>
          <w:noProof/>
        </w:rPr>
        <w:t xml:space="preserve">simplification measures </w:t>
      </w:r>
      <w:r w:rsidRPr="00B911C8">
        <w:rPr>
          <w:b/>
          <w:bCs/>
          <w:noProof/>
        </w:rPr>
        <w:t xml:space="preserve">are expected to reduce annual compliance </w:t>
      </w:r>
      <w:r w:rsidRPr="00AC7AB0">
        <w:rPr>
          <w:b/>
          <w:bCs/>
          <w:noProof/>
        </w:rPr>
        <w:t xml:space="preserve">costs </w:t>
      </w:r>
      <w:r w:rsidR="000345B9" w:rsidRPr="00AC7AB0">
        <w:rPr>
          <w:b/>
          <w:bCs/>
          <w:noProof/>
        </w:rPr>
        <w:t>for companies subject to EUDR obligations</w:t>
      </w:r>
      <w:r w:rsidR="005A5773">
        <w:rPr>
          <w:b/>
          <w:bCs/>
          <w:noProof/>
        </w:rPr>
        <w:t xml:space="preserve"> </w:t>
      </w:r>
      <w:r w:rsidR="49B953FF" w:rsidRPr="281EBC5B">
        <w:rPr>
          <w:b/>
          <w:bCs/>
          <w:noProof/>
        </w:rPr>
        <w:t xml:space="preserve">by </w:t>
      </w:r>
      <w:r w:rsidR="12295896" w:rsidRPr="44DF46F2">
        <w:rPr>
          <w:b/>
          <w:bCs/>
          <w:noProof/>
        </w:rPr>
        <w:t>about</w:t>
      </w:r>
      <w:r w:rsidRPr="00B911C8">
        <w:rPr>
          <w:b/>
          <w:bCs/>
          <w:noProof/>
        </w:rPr>
        <w:t xml:space="preserve"> 75%</w:t>
      </w:r>
      <w:r w:rsidR="005E27F1" w:rsidRPr="44DF46F2">
        <w:rPr>
          <w:b/>
          <w:bCs/>
          <w:noProof/>
        </w:rPr>
        <w:t xml:space="preserve"> </w:t>
      </w:r>
      <w:r w:rsidR="5D6C7EBE" w:rsidRPr="44DF46F2">
        <w:rPr>
          <w:b/>
          <w:bCs/>
          <w:noProof/>
        </w:rPr>
        <w:t xml:space="preserve">compared to </w:t>
      </w:r>
      <w:r w:rsidR="541080B9" w:rsidRPr="44DF46F2">
        <w:rPr>
          <w:b/>
          <w:bCs/>
          <w:noProof/>
        </w:rPr>
        <w:t xml:space="preserve">the initial </w:t>
      </w:r>
      <w:r w:rsidR="005E27F1" w:rsidRPr="44DF46F2">
        <w:rPr>
          <w:b/>
          <w:bCs/>
          <w:noProof/>
        </w:rPr>
        <w:t>compliance costs</w:t>
      </w:r>
      <w:r w:rsidRPr="00B911C8">
        <w:rPr>
          <w:b/>
          <w:bCs/>
          <w:noProof/>
        </w:rPr>
        <w:t>.</w:t>
      </w:r>
      <w:r w:rsidR="624E8F30" w:rsidRPr="44DF46F2">
        <w:rPr>
          <w:b/>
          <w:bCs/>
          <w:noProof/>
        </w:rPr>
        <w:t xml:space="preserve">  </w:t>
      </w:r>
    </w:p>
    <w:p w14:paraId="21F01B1C" w14:textId="05AF3EC7" w:rsidR="0049610C" w:rsidRDefault="0049610C" w:rsidP="0049610C">
      <w:pPr>
        <w:rPr>
          <w:noProof/>
        </w:rPr>
      </w:pPr>
      <w:r>
        <w:rPr>
          <w:noProof/>
        </w:rPr>
        <w:t>At the same time, the Regulation is expected to generate significant environmental and economic benefits</w:t>
      </w:r>
      <w:r w:rsidR="00BD4EC5" w:rsidRPr="00BD4EC5">
        <w:rPr>
          <w:noProof/>
        </w:rPr>
        <w:t> (</w:t>
      </w:r>
      <w:r w:rsidR="00BD4EC5">
        <w:rPr>
          <w:rStyle w:val="FootnoteReference"/>
          <w:noProof/>
        </w:rPr>
        <w:footnoteReference w:id="3"/>
      </w:r>
      <w:r w:rsidR="00BD4EC5">
        <w:rPr>
          <w:noProof/>
        </w:rPr>
        <w:t>)</w:t>
      </w:r>
      <w:r w:rsidR="00C8474F">
        <w:rPr>
          <w:noProof/>
        </w:rPr>
        <w:t xml:space="preserve">. </w:t>
      </w:r>
      <w:r w:rsidR="687B18FB">
        <w:rPr>
          <w:noProof/>
        </w:rPr>
        <w:t>E</w:t>
      </w:r>
      <w:r>
        <w:rPr>
          <w:noProof/>
        </w:rPr>
        <w:t>arly evidence suggests that the EUDR is contributing to structural changes in global supply chains</w:t>
      </w:r>
      <w:r w:rsidR="005973A5">
        <w:rPr>
          <w:noProof/>
        </w:rPr>
        <w:t xml:space="preserve"> </w:t>
      </w:r>
      <w:r w:rsidR="00CF0FD0">
        <w:rPr>
          <w:noProof/>
        </w:rPr>
        <w:t>driven</w:t>
      </w:r>
      <w:r w:rsidR="005973A5">
        <w:rPr>
          <w:noProof/>
        </w:rPr>
        <w:t xml:space="preserve"> by public and private sector synergies</w:t>
      </w:r>
      <w:r>
        <w:rPr>
          <w:noProof/>
        </w:rPr>
        <w:t xml:space="preserve">, including increased investment in traceability, enhanced transparency and wider uptake of digital solutions, thereby supporting more sustainable </w:t>
      </w:r>
      <w:r w:rsidR="00541737">
        <w:rPr>
          <w:noProof/>
        </w:rPr>
        <w:t xml:space="preserve">and competitive </w:t>
      </w:r>
      <w:r>
        <w:rPr>
          <w:noProof/>
        </w:rPr>
        <w:t>production practices.</w:t>
      </w:r>
      <w:r w:rsidR="00432559">
        <w:rPr>
          <w:noProof/>
        </w:rPr>
        <w:t xml:space="preserve"> </w:t>
      </w:r>
    </w:p>
    <w:p w14:paraId="3DADB030" w14:textId="77777777" w:rsidR="00356F0A" w:rsidRPr="0012174E" w:rsidRDefault="00356F0A" w:rsidP="001B562A">
      <w:pPr>
        <w:spacing w:after="0"/>
        <w:jc w:val="left"/>
        <w:rPr>
          <w:b/>
          <w:noProof/>
          <w:sz w:val="28"/>
          <w:szCs w:val="28"/>
        </w:rPr>
      </w:pPr>
      <w:r w:rsidRPr="0012174E">
        <w:rPr>
          <w:b/>
          <w:noProof/>
          <w:sz w:val="28"/>
          <w:szCs w:val="28"/>
        </w:rPr>
        <w:br w:type="page"/>
      </w:r>
    </w:p>
    <w:p w14:paraId="4CAF42EE" w14:textId="4652739E" w:rsidR="00E63F32" w:rsidRPr="0012174E" w:rsidRDefault="00E63F32" w:rsidP="001B562A">
      <w:pPr>
        <w:rPr>
          <w:b/>
          <w:bCs/>
          <w:noProof/>
          <w:sz w:val="28"/>
          <w:szCs w:val="28"/>
        </w:rPr>
      </w:pPr>
      <w:r w:rsidRPr="0012174E">
        <w:rPr>
          <w:b/>
          <w:bCs/>
          <w:noProof/>
          <w:sz w:val="28"/>
          <w:szCs w:val="28"/>
        </w:rPr>
        <w:t>1. Introduction</w:t>
      </w:r>
    </w:p>
    <w:p w14:paraId="148A03A3" w14:textId="48422E2E" w:rsidR="004E1E17" w:rsidRPr="0012174E" w:rsidRDefault="004E1E17" w:rsidP="0012174E">
      <w:pPr>
        <w:spacing w:after="80"/>
        <w:jc w:val="left"/>
        <w:rPr>
          <w:b/>
          <w:bCs/>
          <w:noProof/>
          <w:szCs w:val="24"/>
        </w:rPr>
      </w:pPr>
      <w:r w:rsidRPr="0012174E">
        <w:rPr>
          <w:b/>
          <w:bCs/>
          <w:noProof/>
          <w:szCs w:val="24"/>
        </w:rPr>
        <w:t xml:space="preserve">1.1 Policy rationale </w:t>
      </w:r>
    </w:p>
    <w:p w14:paraId="6D259C97" w14:textId="1B7C0F52" w:rsidR="007C507C" w:rsidRPr="00E84250" w:rsidRDefault="007C507C" w:rsidP="0012174E">
      <w:pPr>
        <w:spacing w:after="120"/>
        <w:rPr>
          <w:noProof/>
          <w:szCs w:val="24"/>
        </w:rPr>
      </w:pPr>
      <w:r w:rsidRPr="5553D90E">
        <w:rPr>
          <w:noProof/>
        </w:rPr>
        <w:t>The European Union</w:t>
      </w:r>
      <w:r w:rsidR="18C54384" w:rsidRPr="5553D90E">
        <w:rPr>
          <w:noProof/>
        </w:rPr>
        <w:t xml:space="preserve"> (EU)</w:t>
      </w:r>
      <w:r w:rsidRPr="5553D90E">
        <w:rPr>
          <w:noProof/>
        </w:rPr>
        <w:t xml:space="preserve"> plays a leading role in global efforts to protect critical ecosystems and combat climate change, in line with the Paris Agreement</w:t>
      </w:r>
      <w:r w:rsidRPr="00E84250">
        <w:rPr>
          <w:noProof/>
          <w:szCs w:val="24"/>
        </w:rPr>
        <w:t> (</w:t>
      </w:r>
      <w:r w:rsidRPr="5553D90E">
        <w:rPr>
          <w:rStyle w:val="FootnoteReference"/>
          <w:noProof/>
        </w:rPr>
        <w:footnoteReference w:id="4"/>
      </w:r>
      <w:r w:rsidRPr="00E84250">
        <w:rPr>
          <w:noProof/>
          <w:szCs w:val="24"/>
        </w:rPr>
        <w:t>)</w:t>
      </w:r>
      <w:r w:rsidRPr="5553D90E">
        <w:rPr>
          <w:noProof/>
        </w:rPr>
        <w:t>, the Convention on Biological Diversity</w:t>
      </w:r>
      <w:r w:rsidR="00D9627A" w:rsidRPr="00E84250">
        <w:rPr>
          <w:noProof/>
          <w:szCs w:val="24"/>
        </w:rPr>
        <w:t xml:space="preserve"> (</w:t>
      </w:r>
      <w:r w:rsidR="00D9627A" w:rsidRPr="5553D90E">
        <w:rPr>
          <w:rStyle w:val="FootnoteReference"/>
          <w:noProof/>
        </w:rPr>
        <w:footnoteReference w:id="5"/>
      </w:r>
      <w:r w:rsidR="00D9627A" w:rsidRPr="00E84250">
        <w:rPr>
          <w:noProof/>
          <w:szCs w:val="24"/>
        </w:rPr>
        <w:t>)</w:t>
      </w:r>
      <w:r w:rsidRPr="5553D90E">
        <w:rPr>
          <w:noProof/>
        </w:rPr>
        <w:t>, the Glasgow Leaders’ Declaration on Forests and Land Use</w:t>
      </w:r>
      <w:r w:rsidRPr="00E84250">
        <w:rPr>
          <w:noProof/>
          <w:szCs w:val="24"/>
        </w:rPr>
        <w:t> (</w:t>
      </w:r>
      <w:r w:rsidRPr="5553D90E">
        <w:rPr>
          <w:rStyle w:val="FootnoteReference"/>
          <w:noProof/>
        </w:rPr>
        <w:footnoteReference w:id="6"/>
      </w:r>
      <w:r w:rsidRPr="00E84250">
        <w:rPr>
          <w:noProof/>
          <w:szCs w:val="24"/>
        </w:rPr>
        <w:t xml:space="preserve">) </w:t>
      </w:r>
      <w:r w:rsidRPr="5553D90E">
        <w:rPr>
          <w:noProof/>
        </w:rPr>
        <w:t>and the UN Sustainable Development Goals</w:t>
      </w:r>
      <w:r w:rsidRPr="00E84250">
        <w:rPr>
          <w:noProof/>
          <w:szCs w:val="24"/>
        </w:rPr>
        <w:t> (</w:t>
      </w:r>
      <w:r w:rsidRPr="5553D90E">
        <w:rPr>
          <w:rStyle w:val="FootnoteReference"/>
          <w:noProof/>
        </w:rPr>
        <w:footnoteReference w:id="7"/>
      </w:r>
      <w:r w:rsidRPr="00E84250">
        <w:rPr>
          <w:noProof/>
          <w:szCs w:val="24"/>
        </w:rPr>
        <w:t>)</w:t>
      </w:r>
      <w:r w:rsidRPr="5553D90E">
        <w:rPr>
          <w:noProof/>
        </w:rPr>
        <w:t>. This includes tackling deforestation and forest degradation, a priority recently reaffirmed at 30th Conference of Parties of the UN Framework Convention on Climate Change (COP30) in Belém, where the COP30 Presidency proposed a Roadmap to Halting and Reversing Deforestation and Forest Degradation by 2030</w:t>
      </w:r>
      <w:r w:rsidRPr="00E84250">
        <w:rPr>
          <w:noProof/>
          <w:szCs w:val="24"/>
        </w:rPr>
        <w:t> (</w:t>
      </w:r>
      <w:r w:rsidRPr="5553D90E">
        <w:rPr>
          <w:rStyle w:val="FootnoteReference"/>
          <w:noProof/>
        </w:rPr>
        <w:footnoteReference w:id="8"/>
      </w:r>
      <w:r w:rsidRPr="00E84250">
        <w:rPr>
          <w:noProof/>
          <w:szCs w:val="24"/>
        </w:rPr>
        <w:t xml:space="preserve">). </w:t>
      </w:r>
    </w:p>
    <w:p w14:paraId="53B9E71A" w14:textId="2204D7DB" w:rsidR="00D45788" w:rsidRPr="0012174E" w:rsidRDefault="00B949D5" w:rsidP="0012174E">
      <w:pPr>
        <w:spacing w:after="120"/>
        <w:rPr>
          <w:noProof/>
          <w:szCs w:val="24"/>
        </w:rPr>
      </w:pPr>
      <w:r w:rsidRPr="0012174E">
        <w:rPr>
          <w:noProof/>
          <w:szCs w:val="24"/>
        </w:rPr>
        <w:t xml:space="preserve">The latest </w:t>
      </w:r>
      <w:r w:rsidR="004165C9">
        <w:rPr>
          <w:noProof/>
          <w:szCs w:val="24"/>
        </w:rPr>
        <w:t xml:space="preserve">2025 </w:t>
      </w:r>
      <w:r w:rsidRPr="0012174E">
        <w:rPr>
          <w:noProof/>
          <w:szCs w:val="24"/>
        </w:rPr>
        <w:t xml:space="preserve">figures from the </w:t>
      </w:r>
      <w:r w:rsidR="00816853" w:rsidRPr="0012174E">
        <w:rPr>
          <w:rFonts w:eastAsia="Arial"/>
          <w:noProof/>
          <w:szCs w:val="24"/>
        </w:rPr>
        <w:t xml:space="preserve">Food and Agriculture Organization </w:t>
      </w:r>
      <w:r w:rsidR="005A0F02" w:rsidRPr="0012174E">
        <w:rPr>
          <w:rFonts w:eastAsia="Arial"/>
          <w:noProof/>
          <w:szCs w:val="24"/>
        </w:rPr>
        <w:t xml:space="preserve">(FAO) </w:t>
      </w:r>
      <w:r w:rsidRPr="0012174E">
        <w:rPr>
          <w:noProof/>
          <w:szCs w:val="24"/>
        </w:rPr>
        <w:t>Global Forest Resources Assessment</w:t>
      </w:r>
      <w:r w:rsidR="00816853" w:rsidRPr="0012174E">
        <w:rPr>
          <w:noProof/>
          <w:szCs w:val="24"/>
        </w:rPr>
        <w:t> (</w:t>
      </w:r>
      <w:r w:rsidR="00816853" w:rsidRPr="0012174E">
        <w:rPr>
          <w:rStyle w:val="FootnoteReference"/>
          <w:noProof/>
          <w:szCs w:val="24"/>
        </w:rPr>
        <w:footnoteReference w:id="9"/>
      </w:r>
      <w:r w:rsidR="00816853" w:rsidRPr="0012174E">
        <w:rPr>
          <w:noProof/>
          <w:szCs w:val="24"/>
        </w:rPr>
        <w:t>)</w:t>
      </w:r>
      <w:r w:rsidRPr="0012174E">
        <w:rPr>
          <w:noProof/>
          <w:szCs w:val="24"/>
        </w:rPr>
        <w:t xml:space="preserve"> indicate that, after slow</w:t>
      </w:r>
      <w:r w:rsidR="00CC3C1F">
        <w:rPr>
          <w:noProof/>
          <w:szCs w:val="24"/>
        </w:rPr>
        <w:t>ing during the</w:t>
      </w:r>
      <w:r w:rsidRPr="0012174E">
        <w:rPr>
          <w:noProof/>
          <w:szCs w:val="24"/>
        </w:rPr>
        <w:t xml:space="preserve"> </w:t>
      </w:r>
      <w:r w:rsidR="00CC3C1F">
        <w:rPr>
          <w:noProof/>
          <w:szCs w:val="24"/>
        </w:rPr>
        <w:t xml:space="preserve">period </w:t>
      </w:r>
      <w:r w:rsidRPr="0012174E">
        <w:rPr>
          <w:noProof/>
          <w:szCs w:val="24"/>
        </w:rPr>
        <w:t xml:space="preserve">2010-2020, the </w:t>
      </w:r>
      <w:r w:rsidR="00CE28D2">
        <w:rPr>
          <w:noProof/>
          <w:szCs w:val="24"/>
        </w:rPr>
        <w:t xml:space="preserve">worldwide </w:t>
      </w:r>
      <w:r w:rsidRPr="0012174E">
        <w:rPr>
          <w:noProof/>
          <w:szCs w:val="24"/>
        </w:rPr>
        <w:t>annual net forest loss rate has increased again and now exceeds 5 million hectares per year</w:t>
      </w:r>
      <w:r w:rsidR="00080C32">
        <w:rPr>
          <w:noProof/>
          <w:szCs w:val="24"/>
        </w:rPr>
        <w:t>,</w:t>
      </w:r>
      <w:r w:rsidRPr="0012174E">
        <w:rPr>
          <w:noProof/>
          <w:szCs w:val="24"/>
        </w:rPr>
        <w:t xml:space="preserve"> compared to 3.6 million </w:t>
      </w:r>
      <w:r w:rsidR="00193D60">
        <w:rPr>
          <w:noProof/>
          <w:szCs w:val="24"/>
        </w:rPr>
        <w:t xml:space="preserve">per year </w:t>
      </w:r>
      <w:r w:rsidRPr="0012174E">
        <w:rPr>
          <w:noProof/>
          <w:szCs w:val="24"/>
        </w:rPr>
        <w:t>in the period from 2010 to 2020</w:t>
      </w:r>
      <w:r w:rsidR="0043166F" w:rsidRPr="0043166F">
        <w:rPr>
          <w:noProof/>
          <w:szCs w:val="24"/>
        </w:rPr>
        <w:t> (</w:t>
      </w:r>
      <w:r w:rsidR="0043166F">
        <w:rPr>
          <w:rStyle w:val="FootnoteReference"/>
          <w:noProof/>
          <w:szCs w:val="24"/>
        </w:rPr>
        <w:footnoteReference w:id="10"/>
      </w:r>
      <w:r w:rsidR="0043166F">
        <w:rPr>
          <w:noProof/>
          <w:szCs w:val="24"/>
        </w:rPr>
        <w:t>)</w:t>
      </w:r>
      <w:r w:rsidR="00D45788" w:rsidRPr="00D45788">
        <w:rPr>
          <w:noProof/>
          <w:szCs w:val="24"/>
        </w:rPr>
        <w:t>.</w:t>
      </w:r>
    </w:p>
    <w:p w14:paraId="63EE0B15" w14:textId="572782A9" w:rsidR="00A55CB8" w:rsidRPr="0012174E" w:rsidRDefault="0089061A" w:rsidP="0012174E">
      <w:pPr>
        <w:spacing w:after="120"/>
        <w:rPr>
          <w:noProof/>
          <w:szCs w:val="24"/>
        </w:rPr>
      </w:pPr>
      <w:r w:rsidRPr="0089061A">
        <w:rPr>
          <w:noProof/>
        </w:rPr>
        <w:t>The main driver of deforestation</w:t>
      </w:r>
      <w:r w:rsidR="00234240">
        <w:rPr>
          <w:noProof/>
        </w:rPr>
        <w:t xml:space="preserve"> </w:t>
      </w:r>
      <w:r w:rsidRPr="0089061A">
        <w:rPr>
          <w:noProof/>
        </w:rPr>
        <w:t>remains the expansion of agricultural land</w:t>
      </w:r>
      <w:r w:rsidR="009024AA" w:rsidRPr="00DF2346">
        <w:rPr>
          <w:noProof/>
        </w:rPr>
        <w:t> (</w:t>
      </w:r>
      <w:r w:rsidR="009024AA">
        <w:rPr>
          <w:rStyle w:val="FootnoteReference"/>
          <w:noProof/>
        </w:rPr>
        <w:footnoteReference w:id="11"/>
      </w:r>
      <w:r w:rsidR="009024AA">
        <w:rPr>
          <w:noProof/>
        </w:rPr>
        <w:t>)</w:t>
      </w:r>
      <w:r w:rsidRPr="0089061A">
        <w:rPr>
          <w:noProof/>
        </w:rPr>
        <w:t xml:space="preserve">. </w:t>
      </w:r>
      <w:r w:rsidR="00A927A6" w:rsidRPr="00CB4164">
        <w:rPr>
          <w:noProof/>
        </w:rPr>
        <w:t xml:space="preserve">As a major global economy, the EU is a </w:t>
      </w:r>
      <w:r w:rsidR="00193D60">
        <w:rPr>
          <w:noProof/>
        </w:rPr>
        <w:t xml:space="preserve">producer and </w:t>
      </w:r>
      <w:r w:rsidR="005653E8">
        <w:rPr>
          <w:noProof/>
        </w:rPr>
        <w:t>a</w:t>
      </w:r>
      <w:r w:rsidR="005653E8" w:rsidRPr="005653E8">
        <w:rPr>
          <w:noProof/>
        </w:rPr>
        <w:t xml:space="preserve"> </w:t>
      </w:r>
      <w:r w:rsidR="005653E8" w:rsidRPr="00CB4164">
        <w:rPr>
          <w:noProof/>
        </w:rPr>
        <w:t xml:space="preserve">significant </w:t>
      </w:r>
      <w:r w:rsidR="00A927A6" w:rsidRPr="00CB4164">
        <w:rPr>
          <w:noProof/>
        </w:rPr>
        <w:t xml:space="preserve">consumer of commodities linked to forest loss and </w:t>
      </w:r>
      <w:r w:rsidR="06791AD4" w:rsidRPr="1418AAC3">
        <w:rPr>
          <w:noProof/>
        </w:rPr>
        <w:t xml:space="preserve">hence contributing </w:t>
      </w:r>
      <w:r w:rsidR="6D95B2C2" w:rsidRPr="1418AAC3">
        <w:rPr>
          <w:noProof/>
        </w:rPr>
        <w:t>to</w:t>
      </w:r>
      <w:r w:rsidR="00A927A6" w:rsidRPr="00E84250">
        <w:rPr>
          <w:noProof/>
          <w:szCs w:val="24"/>
        </w:rPr>
        <w:t xml:space="preserve"> </w:t>
      </w:r>
      <w:r w:rsidR="00A927A6" w:rsidRPr="00CB4164">
        <w:rPr>
          <w:noProof/>
        </w:rPr>
        <w:t xml:space="preserve">the </w:t>
      </w:r>
      <w:r w:rsidR="00005C75">
        <w:rPr>
          <w:noProof/>
        </w:rPr>
        <w:t>challenge</w:t>
      </w:r>
      <w:r w:rsidR="00005C75" w:rsidRPr="00E84250">
        <w:rPr>
          <w:noProof/>
          <w:szCs w:val="24"/>
        </w:rPr>
        <w:t> </w:t>
      </w:r>
      <w:r w:rsidR="005A1DD1" w:rsidRPr="00E84250">
        <w:rPr>
          <w:noProof/>
          <w:szCs w:val="24"/>
        </w:rPr>
        <w:t>(</w:t>
      </w:r>
      <w:r w:rsidR="005A1DD1" w:rsidRPr="1418AAC3">
        <w:rPr>
          <w:rStyle w:val="FootnoteReference"/>
          <w:noProof/>
        </w:rPr>
        <w:footnoteReference w:id="12"/>
      </w:r>
      <w:r w:rsidR="005A1DD1" w:rsidRPr="00E84250">
        <w:rPr>
          <w:noProof/>
          <w:szCs w:val="24"/>
        </w:rPr>
        <w:t>)</w:t>
      </w:r>
      <w:r w:rsidR="00A927A6" w:rsidRPr="00E84250">
        <w:rPr>
          <w:noProof/>
          <w:szCs w:val="24"/>
        </w:rPr>
        <w:t xml:space="preserve">. </w:t>
      </w:r>
      <w:r w:rsidR="00AF2BA1" w:rsidRPr="00CB4164">
        <w:rPr>
          <w:noProof/>
        </w:rPr>
        <w:t>Th</w:t>
      </w:r>
      <w:r w:rsidR="00CE57E6">
        <w:rPr>
          <w:noProof/>
        </w:rPr>
        <w:t>is</w:t>
      </w:r>
      <w:r w:rsidR="00AF2BA1" w:rsidRPr="00CB4164">
        <w:rPr>
          <w:noProof/>
        </w:rPr>
        <w:t xml:space="preserve"> is why</w:t>
      </w:r>
      <w:r w:rsidR="00CE57E6">
        <w:rPr>
          <w:noProof/>
        </w:rPr>
        <w:t>,</w:t>
      </w:r>
      <w:r w:rsidR="00AF2BA1" w:rsidRPr="00CB4164">
        <w:rPr>
          <w:noProof/>
        </w:rPr>
        <w:t xml:space="preserve"> the EU </w:t>
      </w:r>
      <w:r w:rsidR="00AF2BA1" w:rsidRPr="1418AAC3">
        <w:rPr>
          <w:noProof/>
        </w:rPr>
        <w:t xml:space="preserve">adopted in May 2023 </w:t>
      </w:r>
      <w:r w:rsidR="00005C75">
        <w:rPr>
          <w:noProof/>
        </w:rPr>
        <w:t>the EUDR</w:t>
      </w:r>
      <w:r w:rsidR="005A1DD1" w:rsidRPr="00E84250">
        <w:rPr>
          <w:noProof/>
          <w:szCs w:val="24"/>
        </w:rPr>
        <w:t> (</w:t>
      </w:r>
      <w:r w:rsidR="005A1DD1" w:rsidRPr="1418AAC3">
        <w:rPr>
          <w:rStyle w:val="FootnoteReference"/>
          <w:noProof/>
        </w:rPr>
        <w:footnoteReference w:id="13"/>
      </w:r>
      <w:r w:rsidR="005A1DD1" w:rsidRPr="00E84250">
        <w:rPr>
          <w:noProof/>
          <w:szCs w:val="24"/>
        </w:rPr>
        <w:t>)</w:t>
      </w:r>
      <w:r w:rsidR="4C59345F" w:rsidRPr="00E84250">
        <w:rPr>
          <w:iCs/>
          <w:noProof/>
          <w:szCs w:val="24"/>
        </w:rPr>
        <w:t>,</w:t>
      </w:r>
      <w:r w:rsidR="00AF2BA1" w:rsidRPr="00CB4164">
        <w:rPr>
          <w:noProof/>
        </w:rPr>
        <w:t xml:space="preserve"> with </w:t>
      </w:r>
      <w:r w:rsidR="00A65739">
        <w:rPr>
          <w:noProof/>
        </w:rPr>
        <w:t>the aim of reducing</w:t>
      </w:r>
      <w:r w:rsidR="00AF2BA1" w:rsidRPr="00E84250">
        <w:rPr>
          <w:noProof/>
          <w:szCs w:val="24"/>
        </w:rPr>
        <w:t xml:space="preserve"> </w:t>
      </w:r>
      <w:r w:rsidR="3A40C248" w:rsidRPr="1418AAC3">
        <w:rPr>
          <w:noProof/>
        </w:rPr>
        <w:t>the</w:t>
      </w:r>
      <w:r w:rsidR="614975E0" w:rsidRPr="00E84250">
        <w:rPr>
          <w:noProof/>
          <w:szCs w:val="24"/>
        </w:rPr>
        <w:t xml:space="preserve"> </w:t>
      </w:r>
      <w:r w:rsidR="00AF2BA1" w:rsidRPr="1418AAC3">
        <w:rPr>
          <w:noProof/>
        </w:rPr>
        <w:t>EU’s contribution to global deforestation and forest degradation</w:t>
      </w:r>
      <w:r w:rsidR="00AF7C20" w:rsidRPr="00E84250">
        <w:rPr>
          <w:noProof/>
          <w:szCs w:val="24"/>
        </w:rPr>
        <w:t xml:space="preserve">. </w:t>
      </w:r>
      <w:r w:rsidR="00A55CB8" w:rsidRPr="1418AAC3">
        <w:rPr>
          <w:noProof/>
        </w:rPr>
        <w:t xml:space="preserve">By addressing </w:t>
      </w:r>
      <w:r w:rsidR="00AA5083" w:rsidRPr="00AA5083">
        <w:rPr>
          <w:noProof/>
        </w:rPr>
        <w:t>agricultural expansion into forest areas</w:t>
      </w:r>
      <w:r w:rsidR="00A55CB8" w:rsidRPr="1418AAC3">
        <w:rPr>
          <w:noProof/>
        </w:rPr>
        <w:t>, the</w:t>
      </w:r>
      <w:r w:rsidR="00A55CB8" w:rsidRPr="00E84250">
        <w:rPr>
          <w:noProof/>
          <w:szCs w:val="24"/>
        </w:rPr>
        <w:t xml:space="preserve"> </w:t>
      </w:r>
      <w:r w:rsidR="00A55CB8" w:rsidRPr="1418AAC3">
        <w:rPr>
          <w:noProof/>
        </w:rPr>
        <w:t>Regulation seeks to preserve forests</w:t>
      </w:r>
      <w:r w:rsidR="00A55CB8" w:rsidRPr="00E84250">
        <w:rPr>
          <w:noProof/>
          <w:szCs w:val="24"/>
        </w:rPr>
        <w:t xml:space="preserve">, </w:t>
      </w:r>
      <w:r w:rsidR="00A55CB8" w:rsidRPr="1418AAC3">
        <w:rPr>
          <w:noProof/>
        </w:rPr>
        <w:t>thereby</w:t>
      </w:r>
      <w:r w:rsidR="00A55CB8" w:rsidRPr="00E84250">
        <w:rPr>
          <w:noProof/>
          <w:szCs w:val="24"/>
        </w:rPr>
        <w:t xml:space="preserve"> </w:t>
      </w:r>
      <w:r w:rsidR="00A55CB8" w:rsidRPr="1418AAC3">
        <w:rPr>
          <w:noProof/>
        </w:rPr>
        <w:t xml:space="preserve">reducing associated greenhouse gas emissions and protecting ecosystems and the species that depend on them. The Regulation entered into force in June 2023 and has been revised twice, </w:t>
      </w:r>
      <w:r w:rsidR="00E66CD7">
        <w:rPr>
          <w:noProof/>
        </w:rPr>
        <w:t xml:space="preserve">at the </w:t>
      </w:r>
      <w:r w:rsidR="00A55CB8" w:rsidRPr="1418AAC3">
        <w:rPr>
          <w:noProof/>
        </w:rPr>
        <w:t xml:space="preserve">end </w:t>
      </w:r>
      <w:r w:rsidR="0070789E">
        <w:rPr>
          <w:noProof/>
        </w:rPr>
        <w:t xml:space="preserve">of </w:t>
      </w:r>
      <w:r w:rsidR="00A55CB8" w:rsidRPr="1418AAC3">
        <w:rPr>
          <w:noProof/>
        </w:rPr>
        <w:t xml:space="preserve">2024 and </w:t>
      </w:r>
      <w:r w:rsidR="00E66CD7">
        <w:rPr>
          <w:noProof/>
        </w:rPr>
        <w:t xml:space="preserve">again at the </w:t>
      </w:r>
      <w:r w:rsidR="00A55CB8" w:rsidRPr="1418AAC3">
        <w:rPr>
          <w:noProof/>
        </w:rPr>
        <w:t xml:space="preserve">end </w:t>
      </w:r>
      <w:r w:rsidR="0070789E">
        <w:rPr>
          <w:noProof/>
        </w:rPr>
        <w:t xml:space="preserve">of </w:t>
      </w:r>
      <w:r w:rsidR="00A55CB8" w:rsidRPr="1418AAC3">
        <w:rPr>
          <w:noProof/>
        </w:rPr>
        <w:t>2025</w:t>
      </w:r>
      <w:r w:rsidR="00A55CB8" w:rsidRPr="00E84250">
        <w:rPr>
          <w:noProof/>
          <w:szCs w:val="24"/>
        </w:rPr>
        <w:t>,</w:t>
      </w:r>
      <w:r w:rsidR="00A55CB8" w:rsidRPr="1418AAC3">
        <w:rPr>
          <w:noProof/>
        </w:rPr>
        <w:t xml:space="preserve"> introducing targeted simplifications and an</w:t>
      </w:r>
      <w:r w:rsidR="00A55CB8" w:rsidRPr="00E84250">
        <w:rPr>
          <w:noProof/>
          <w:szCs w:val="24"/>
        </w:rPr>
        <w:t xml:space="preserve"> </w:t>
      </w:r>
      <w:r w:rsidR="00A55CB8" w:rsidRPr="1418AAC3">
        <w:rPr>
          <w:noProof/>
        </w:rPr>
        <w:t xml:space="preserve">extended period for </w:t>
      </w:r>
      <w:r w:rsidR="00A347B6">
        <w:rPr>
          <w:noProof/>
        </w:rPr>
        <w:t>its</w:t>
      </w:r>
      <w:r w:rsidR="00A55CB8" w:rsidRPr="1418AAC3">
        <w:rPr>
          <w:noProof/>
        </w:rPr>
        <w:t xml:space="preserve"> application</w:t>
      </w:r>
      <w:r w:rsidR="00A55CB8" w:rsidRPr="00E84250">
        <w:rPr>
          <w:noProof/>
          <w:szCs w:val="24"/>
        </w:rPr>
        <w:t>.</w:t>
      </w:r>
    </w:p>
    <w:p w14:paraId="4BB48DE3" w14:textId="29CA401F" w:rsidR="00B348DA" w:rsidRPr="0012174E" w:rsidRDefault="00524784" w:rsidP="0012174E">
      <w:pPr>
        <w:spacing w:after="120"/>
        <w:rPr>
          <w:noProof/>
        </w:rPr>
      </w:pPr>
      <w:r w:rsidRPr="1418AAC3">
        <w:rPr>
          <w:noProof/>
        </w:rPr>
        <w:t xml:space="preserve">The </w:t>
      </w:r>
      <w:r w:rsidRPr="00CB4164">
        <w:rPr>
          <w:noProof/>
        </w:rPr>
        <w:t>scope of the EUDR</w:t>
      </w:r>
      <w:r w:rsidRPr="00E84250">
        <w:rPr>
          <w:noProof/>
          <w:szCs w:val="24"/>
        </w:rPr>
        <w:t xml:space="preserve"> </w:t>
      </w:r>
      <w:r w:rsidRPr="00CB4164">
        <w:rPr>
          <w:noProof/>
        </w:rPr>
        <w:t>covers seven commodities</w:t>
      </w:r>
      <w:r w:rsidRPr="00E84250">
        <w:rPr>
          <w:noProof/>
          <w:szCs w:val="24"/>
        </w:rPr>
        <w:t xml:space="preserve"> - </w:t>
      </w:r>
      <w:r w:rsidRPr="00CB4164">
        <w:rPr>
          <w:noProof/>
          <w:lang w:val="en-IE"/>
        </w:rPr>
        <w:t>cattle, cocoa, coffee, palm oil, soy, wood and rubber</w:t>
      </w:r>
      <w:r w:rsidRPr="00E84250">
        <w:rPr>
          <w:noProof/>
          <w:szCs w:val="24"/>
        </w:rPr>
        <w:t xml:space="preserve">. </w:t>
      </w:r>
      <w:r w:rsidR="47C877A2" w:rsidRPr="4591D6B6">
        <w:rPr>
          <w:noProof/>
        </w:rPr>
        <w:t>Research</w:t>
      </w:r>
      <w:r w:rsidR="005A1DD1" w:rsidRPr="0012174E">
        <w:rPr>
          <w:noProof/>
          <w:szCs w:val="24"/>
        </w:rPr>
        <w:t> (</w:t>
      </w:r>
      <w:r w:rsidR="00B348DA" w:rsidRPr="4591D6B6">
        <w:rPr>
          <w:rStyle w:val="FootnoteReference"/>
          <w:noProof/>
        </w:rPr>
        <w:footnoteReference w:id="14"/>
      </w:r>
      <w:r w:rsidR="005A1DD1" w:rsidRPr="0012174E">
        <w:rPr>
          <w:noProof/>
          <w:szCs w:val="24"/>
        </w:rPr>
        <w:t>)</w:t>
      </w:r>
      <w:r w:rsidR="47C877A2" w:rsidRPr="4591D6B6">
        <w:rPr>
          <w:noProof/>
        </w:rPr>
        <w:t xml:space="preserve"> indicates that</w:t>
      </w:r>
      <w:r w:rsidR="00B348DA" w:rsidRPr="4591D6B6">
        <w:rPr>
          <w:noProof/>
        </w:rPr>
        <w:t xml:space="preserve"> these seven commodities accounted for more than 4 million hectares of deforestation globally each year between 2015 and 2020</w:t>
      </w:r>
      <w:r w:rsidR="74830BDD" w:rsidRPr="0012174E">
        <w:rPr>
          <w:noProof/>
          <w:szCs w:val="24"/>
        </w:rPr>
        <w:t>,</w:t>
      </w:r>
      <w:r w:rsidR="007C033C" w:rsidRPr="4591D6B6">
        <w:rPr>
          <w:noProof/>
        </w:rPr>
        <w:t xml:space="preserve"> thereby </w:t>
      </w:r>
      <w:r w:rsidR="2E604CBF" w:rsidRPr="4591D6B6">
        <w:rPr>
          <w:noProof/>
        </w:rPr>
        <w:t xml:space="preserve">representing </w:t>
      </w:r>
      <w:r w:rsidR="007343EB" w:rsidRPr="4591D6B6">
        <w:rPr>
          <w:noProof/>
        </w:rPr>
        <w:t>approximately 70% of the agricultural driven deforestation</w:t>
      </w:r>
      <w:r w:rsidR="00B348DA" w:rsidRPr="4591D6B6">
        <w:rPr>
          <w:noProof/>
        </w:rPr>
        <w:t xml:space="preserve"> (Figure </w:t>
      </w:r>
      <w:r w:rsidR="001C2E77" w:rsidRPr="4591D6B6">
        <w:rPr>
          <w:noProof/>
        </w:rPr>
        <w:t>1</w:t>
      </w:r>
      <w:r w:rsidR="00B348DA" w:rsidRPr="0012174E">
        <w:rPr>
          <w:noProof/>
          <w:szCs w:val="24"/>
        </w:rPr>
        <w:t>).</w:t>
      </w:r>
    </w:p>
    <w:p w14:paraId="0B77F9B4" w14:textId="21CB411E" w:rsidR="00FE1AE5" w:rsidRPr="0012174E" w:rsidRDefault="00FE1AE5" w:rsidP="001B562A">
      <w:pPr>
        <w:pStyle w:val="Caption"/>
        <w:keepNext/>
        <w:rPr>
          <w:noProof/>
          <w:sz w:val="24"/>
          <w:szCs w:val="24"/>
        </w:rPr>
      </w:pPr>
      <w:r w:rsidRPr="0012174E">
        <w:rPr>
          <w:noProof/>
          <w:sz w:val="24"/>
          <w:szCs w:val="24"/>
        </w:rPr>
        <w:t xml:space="preserve">Figure </w:t>
      </w:r>
      <w:r w:rsidR="001C2E77" w:rsidRPr="0012174E">
        <w:rPr>
          <w:noProof/>
          <w:sz w:val="24"/>
          <w:szCs w:val="24"/>
        </w:rPr>
        <w:t>1</w:t>
      </w:r>
      <w:r w:rsidRPr="0012174E">
        <w:rPr>
          <w:noProof/>
          <w:sz w:val="24"/>
          <w:szCs w:val="24"/>
        </w:rPr>
        <w:t xml:space="preserve">: </w:t>
      </w:r>
      <w:r w:rsidR="00E761BE" w:rsidRPr="0012174E">
        <w:rPr>
          <w:noProof/>
          <w:sz w:val="24"/>
          <w:szCs w:val="24"/>
        </w:rPr>
        <w:t>Global d</w:t>
      </w:r>
      <w:r w:rsidRPr="0012174E">
        <w:rPr>
          <w:noProof/>
          <w:sz w:val="24"/>
          <w:szCs w:val="24"/>
        </w:rPr>
        <w:t xml:space="preserve">eforestation, in thousand hectares per year, </w:t>
      </w:r>
      <w:r w:rsidR="00E761BE" w:rsidRPr="0012174E">
        <w:rPr>
          <w:noProof/>
          <w:sz w:val="24"/>
          <w:szCs w:val="24"/>
        </w:rPr>
        <w:t xml:space="preserve">driven by </w:t>
      </w:r>
      <w:r w:rsidRPr="0012174E">
        <w:rPr>
          <w:noProof/>
          <w:sz w:val="24"/>
          <w:szCs w:val="24"/>
        </w:rPr>
        <w:t>the seven commodities in scope of the EUDR between 2015 and 2020</w:t>
      </w:r>
      <w:r w:rsidR="00B348DA" w:rsidRPr="0012174E">
        <w:rPr>
          <w:noProof/>
          <w:sz w:val="24"/>
          <w:szCs w:val="24"/>
        </w:rPr>
        <w:t xml:space="preserve"> (Singh &amp; Persson, 2026)</w:t>
      </w:r>
      <w:r w:rsidRPr="0012174E">
        <w:rPr>
          <w:noProof/>
          <w:sz w:val="24"/>
          <w:szCs w:val="24"/>
        </w:rPr>
        <w:t xml:space="preserve">. </w:t>
      </w:r>
    </w:p>
    <w:p w14:paraId="531036B1" w14:textId="129BE026" w:rsidR="000A0446" w:rsidRPr="0012174E" w:rsidRDefault="007E30F6" w:rsidP="001B562A">
      <w:pPr>
        <w:rPr>
          <w:noProof/>
          <w:szCs w:val="24"/>
        </w:rPr>
      </w:pPr>
      <w:r w:rsidRPr="0012174E">
        <w:rPr>
          <w:noProof/>
          <w:szCs w:val="24"/>
          <w:lang w:eastAsia="en-GB"/>
        </w:rPr>
        <mc:AlternateContent>
          <mc:Choice Requires="cx1">
            <w:drawing>
              <wp:inline distT="0" distB="0" distL="0" distR="0" wp14:anchorId="00F2DDA3" wp14:editId="5F08A5CF">
                <wp:extent cx="5322627" cy="2647950"/>
                <wp:effectExtent l="0" t="0" r="11430" b="0"/>
                <wp:docPr id="1849479790" name="Chart 2"/>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1"/>
                  </a:graphicData>
                </a:graphic>
              </wp:inline>
            </w:drawing>
          </mc:Choice>
          <mc:Fallback xmlns:arto="http://schemas.microsoft.com/office/word/2006/arto" xmlns:c="http://schemas.openxmlformats.org/drawingml/2006/chart"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inline distT="0" distB="0" distL="0" distR="0" wp14:anchorId="369E484F" wp14:editId="5F08A5CF">
                <wp:extent cx="5322627" cy="2647950"/>
                <wp:effectExtent l="0" t="0" r="11430" b="0"/>
                <wp:docPr id="777735448" name="Chart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849479790" name="Chart 2"/>
                        <pic:cNvPicPr>
                          <a:picLocks noGrp="1" noRot="1" noChangeAspect="1" noMove="1" noResize="1" noEditPoints="1" noAdjustHandles="1" noChangeArrowheads="1" noChangeShapeType="1"/>
                        </pic:cNvPicPr>
                      </pic:nvPicPr>
                      <pic:blipFill>
                        <a:blip r:embed="rId22"/>
                        <a:stretch>
                          <a:fillRect/>
                        </a:stretch>
                      </pic:blipFill>
                      <pic:spPr>
                        <a:xfrm>
                          <a:off x="0" y="0"/>
                          <a:ext cx="5322570" cy="2647950"/>
                        </a:xfrm>
                        <a:prstGeom prst="rect">
                          <a:avLst/>
                        </a:prstGeom>
                      </pic:spPr>
                    </pic:pic>
                  </a:graphicData>
                </a:graphic>
              </wp:inline>
            </w:drawing>
          </mc:Fallback>
        </mc:AlternateContent>
      </w:r>
    </w:p>
    <w:p w14:paraId="13193784" w14:textId="29C0A651" w:rsidR="00B348DA" w:rsidRPr="0012174E" w:rsidRDefault="00353C14" w:rsidP="001B562A">
      <w:pPr>
        <w:rPr>
          <w:b/>
          <w:bCs/>
          <w:noProof/>
          <w:szCs w:val="24"/>
        </w:rPr>
      </w:pPr>
      <w:r>
        <w:rPr>
          <w:noProof/>
        </w:rPr>
        <w:br/>
      </w:r>
      <w:r w:rsidR="00B348DA" w:rsidRPr="0012174E">
        <w:rPr>
          <w:b/>
          <w:bCs/>
          <w:noProof/>
          <w:szCs w:val="24"/>
        </w:rPr>
        <w:t xml:space="preserve">1.2 </w:t>
      </w:r>
      <w:r w:rsidR="00005C75">
        <w:rPr>
          <w:b/>
          <w:bCs/>
          <w:noProof/>
          <w:szCs w:val="24"/>
        </w:rPr>
        <w:t>Recent</w:t>
      </w:r>
      <w:r w:rsidR="00005C75" w:rsidRPr="0012174E">
        <w:rPr>
          <w:b/>
          <w:bCs/>
          <w:noProof/>
          <w:szCs w:val="24"/>
        </w:rPr>
        <w:t xml:space="preserve"> </w:t>
      </w:r>
      <w:r w:rsidR="00B348DA" w:rsidRPr="0012174E">
        <w:rPr>
          <w:b/>
          <w:bCs/>
          <w:noProof/>
          <w:szCs w:val="24"/>
        </w:rPr>
        <w:t xml:space="preserve">trends and developments </w:t>
      </w:r>
    </w:p>
    <w:p w14:paraId="263B40C5" w14:textId="46ED69E4" w:rsidR="00B348DA" w:rsidRPr="0012174E" w:rsidRDefault="00005C75" w:rsidP="0012174E">
      <w:pPr>
        <w:spacing w:after="120"/>
        <w:rPr>
          <w:noProof/>
        </w:rPr>
      </w:pPr>
      <w:r w:rsidRPr="00637B48">
        <w:rPr>
          <w:rFonts w:eastAsia="Arial"/>
          <w:b/>
          <w:bCs/>
          <w:noProof/>
        </w:rPr>
        <w:t>C</w:t>
      </w:r>
      <w:r w:rsidR="00B348DA" w:rsidRPr="00B911C8">
        <w:rPr>
          <w:rFonts w:eastAsia="Arial"/>
          <w:b/>
          <w:noProof/>
        </w:rPr>
        <w:t xml:space="preserve">ountries across the globe </w:t>
      </w:r>
      <w:r w:rsidR="00A347B6" w:rsidRPr="00B911C8">
        <w:rPr>
          <w:rFonts w:eastAsia="Arial"/>
          <w:b/>
          <w:noProof/>
        </w:rPr>
        <w:t>are</w:t>
      </w:r>
      <w:r w:rsidR="0E46F424" w:rsidRPr="00B911C8">
        <w:rPr>
          <w:rFonts w:eastAsia="Arial"/>
          <w:b/>
          <w:noProof/>
        </w:rPr>
        <w:t xml:space="preserve"> </w:t>
      </w:r>
      <w:r>
        <w:rPr>
          <w:rFonts w:eastAsia="Arial"/>
          <w:b/>
          <w:noProof/>
        </w:rPr>
        <w:t xml:space="preserve">already </w:t>
      </w:r>
      <w:r w:rsidR="0E46F424" w:rsidRPr="00B911C8">
        <w:rPr>
          <w:rFonts w:eastAsia="Arial"/>
          <w:b/>
          <w:noProof/>
        </w:rPr>
        <w:t>prepar</w:t>
      </w:r>
      <w:r w:rsidR="00A347B6" w:rsidRPr="00B911C8">
        <w:rPr>
          <w:rFonts w:eastAsia="Arial"/>
          <w:b/>
          <w:noProof/>
        </w:rPr>
        <w:t>ing</w:t>
      </w:r>
      <w:r w:rsidR="0E46F424" w:rsidRPr="00B911C8">
        <w:rPr>
          <w:rFonts w:eastAsia="Arial"/>
          <w:b/>
          <w:noProof/>
        </w:rPr>
        <w:t xml:space="preserve"> for the impl</w:t>
      </w:r>
      <w:r w:rsidR="1E043158" w:rsidRPr="00B911C8">
        <w:rPr>
          <w:rFonts w:eastAsia="Arial"/>
          <w:b/>
          <w:noProof/>
        </w:rPr>
        <w:t>e</w:t>
      </w:r>
      <w:r w:rsidR="0E46F424" w:rsidRPr="00B911C8">
        <w:rPr>
          <w:rFonts w:eastAsia="Arial"/>
          <w:b/>
          <w:noProof/>
        </w:rPr>
        <w:t xml:space="preserve">mentation of </w:t>
      </w:r>
      <w:r w:rsidR="6E41B2F4" w:rsidRPr="00B911C8">
        <w:rPr>
          <w:rFonts w:eastAsia="Arial"/>
          <w:b/>
          <w:noProof/>
        </w:rPr>
        <w:t>the</w:t>
      </w:r>
      <w:r w:rsidR="00B348DA" w:rsidRPr="00B911C8">
        <w:rPr>
          <w:rFonts w:eastAsia="Arial"/>
          <w:b/>
          <w:noProof/>
        </w:rPr>
        <w:t xml:space="preserve"> EU Deforestation Regulation</w:t>
      </w:r>
      <w:r w:rsidR="00B348DA" w:rsidRPr="188C1DF8">
        <w:rPr>
          <w:rFonts w:eastAsia="Arial"/>
          <w:noProof/>
        </w:rPr>
        <w:t>, often using it as a catalyst to strengthen traceability systems</w:t>
      </w:r>
      <w:r w:rsidR="00A470CD" w:rsidRPr="188C1DF8">
        <w:rPr>
          <w:noProof/>
        </w:rPr>
        <w:t xml:space="preserve"> and sustainability initiatives across commodity supply chains</w:t>
      </w:r>
      <w:r w:rsidR="00252786" w:rsidRPr="0012174E">
        <w:rPr>
          <w:noProof/>
          <w:szCs w:val="24"/>
        </w:rPr>
        <w:t xml:space="preserve"> </w:t>
      </w:r>
      <w:r w:rsidR="00A470CD" w:rsidRPr="188C1DF8">
        <w:rPr>
          <w:noProof/>
        </w:rPr>
        <w:t>and</w:t>
      </w:r>
      <w:r w:rsidR="00252786" w:rsidRPr="0012174E">
        <w:rPr>
          <w:noProof/>
          <w:szCs w:val="24"/>
        </w:rPr>
        <w:t xml:space="preserve"> </w:t>
      </w:r>
      <w:r w:rsidR="4AB22527" w:rsidRPr="188C1DF8">
        <w:rPr>
          <w:noProof/>
        </w:rPr>
        <w:t xml:space="preserve">to </w:t>
      </w:r>
      <w:r w:rsidR="00252786" w:rsidRPr="188C1DF8">
        <w:rPr>
          <w:noProof/>
        </w:rPr>
        <w:t xml:space="preserve">improve forest </w:t>
      </w:r>
      <w:r w:rsidR="008E61D1" w:rsidRPr="188C1DF8">
        <w:rPr>
          <w:noProof/>
        </w:rPr>
        <w:t xml:space="preserve">and agricultural </w:t>
      </w:r>
      <w:r w:rsidR="00252786" w:rsidRPr="188C1DF8">
        <w:rPr>
          <w:noProof/>
        </w:rPr>
        <w:t>monitoring</w:t>
      </w:r>
      <w:r w:rsidR="00B348DA" w:rsidRPr="188C1DF8">
        <w:rPr>
          <w:rFonts w:eastAsia="Arial"/>
          <w:noProof/>
        </w:rPr>
        <w:t xml:space="preserve"> </w:t>
      </w:r>
      <w:r w:rsidR="008E61D1" w:rsidRPr="188C1DF8">
        <w:rPr>
          <w:noProof/>
        </w:rPr>
        <w:t xml:space="preserve">and </w:t>
      </w:r>
      <w:r w:rsidR="00B348DA" w:rsidRPr="188C1DF8">
        <w:rPr>
          <w:rFonts w:eastAsia="Arial"/>
          <w:noProof/>
        </w:rPr>
        <w:t>governance.</w:t>
      </w:r>
      <w:r w:rsidR="008E61D1" w:rsidRPr="0012174E">
        <w:rPr>
          <w:noProof/>
          <w:szCs w:val="24"/>
        </w:rPr>
        <w:t xml:space="preserve"> </w:t>
      </w:r>
      <w:r w:rsidR="5BBB3C7F" w:rsidRPr="0012174E">
        <w:rPr>
          <w:noProof/>
          <w:szCs w:val="24"/>
        </w:rPr>
        <w:t xml:space="preserve">These </w:t>
      </w:r>
      <w:r w:rsidR="5BBB3C7F" w:rsidRPr="0012174E" w:rsidDel="00193D60">
        <w:rPr>
          <w:noProof/>
          <w:szCs w:val="24"/>
        </w:rPr>
        <w:t xml:space="preserve">positive </w:t>
      </w:r>
      <w:r w:rsidR="1A661306" w:rsidRPr="0012174E">
        <w:rPr>
          <w:noProof/>
          <w:szCs w:val="24"/>
        </w:rPr>
        <w:t xml:space="preserve">effects </w:t>
      </w:r>
      <w:r w:rsidR="5BBB3C7F" w:rsidRPr="0012174E">
        <w:rPr>
          <w:noProof/>
          <w:szCs w:val="24"/>
        </w:rPr>
        <w:t xml:space="preserve">have been </w:t>
      </w:r>
      <w:r w:rsidR="001422CE">
        <w:rPr>
          <w:noProof/>
          <w:szCs w:val="24"/>
        </w:rPr>
        <w:t>documented</w:t>
      </w:r>
      <w:r w:rsidR="5BBB3C7F" w:rsidRPr="0012174E">
        <w:rPr>
          <w:noProof/>
          <w:szCs w:val="24"/>
        </w:rPr>
        <w:t xml:space="preserve"> in</w:t>
      </w:r>
      <w:r w:rsidR="4282B88E" w:rsidRPr="0012174E">
        <w:rPr>
          <w:noProof/>
          <w:szCs w:val="24"/>
        </w:rPr>
        <w:t xml:space="preserve"> </w:t>
      </w:r>
      <w:r w:rsidR="0018487B">
        <w:rPr>
          <w:noProof/>
          <w:szCs w:val="24"/>
        </w:rPr>
        <w:t>recent research</w:t>
      </w:r>
      <w:r w:rsidR="00F162B5">
        <w:rPr>
          <w:noProof/>
          <w:szCs w:val="24"/>
        </w:rPr>
        <w:t xml:space="preserve"> </w:t>
      </w:r>
      <w:r w:rsidR="001A2D2E" w:rsidRPr="00A01C04">
        <w:rPr>
          <w:noProof/>
          <w:szCs w:val="24"/>
        </w:rPr>
        <w:t>(</w:t>
      </w:r>
      <w:r w:rsidR="001A2D2E">
        <w:rPr>
          <w:rStyle w:val="FootnoteReference"/>
          <w:noProof/>
          <w:szCs w:val="24"/>
        </w:rPr>
        <w:footnoteReference w:id="15"/>
      </w:r>
      <w:r w:rsidR="001A2D2E">
        <w:rPr>
          <w:noProof/>
          <w:szCs w:val="24"/>
        </w:rPr>
        <w:t>)</w:t>
      </w:r>
      <w:r w:rsidR="00C60103">
        <w:rPr>
          <w:noProof/>
          <w:szCs w:val="24"/>
        </w:rPr>
        <w:t xml:space="preserve">, </w:t>
      </w:r>
      <w:r w:rsidR="001422CE">
        <w:rPr>
          <w:noProof/>
          <w:szCs w:val="24"/>
        </w:rPr>
        <w:t>demonstrating</w:t>
      </w:r>
      <w:r w:rsidR="00C60103">
        <w:rPr>
          <w:noProof/>
          <w:szCs w:val="24"/>
        </w:rPr>
        <w:t xml:space="preserve"> </w:t>
      </w:r>
      <w:r w:rsidR="00C251B8">
        <w:rPr>
          <w:noProof/>
          <w:szCs w:val="24"/>
        </w:rPr>
        <w:t xml:space="preserve">growing </w:t>
      </w:r>
      <w:r w:rsidR="00B04668">
        <w:rPr>
          <w:noProof/>
          <w:szCs w:val="24"/>
        </w:rPr>
        <w:t>synerg</w:t>
      </w:r>
      <w:r w:rsidR="009F1336">
        <w:rPr>
          <w:noProof/>
          <w:szCs w:val="24"/>
        </w:rPr>
        <w:t>ies</w:t>
      </w:r>
      <w:r w:rsidR="00C251B8">
        <w:rPr>
          <w:noProof/>
          <w:szCs w:val="24"/>
        </w:rPr>
        <w:t xml:space="preserve"> between </w:t>
      </w:r>
      <w:r w:rsidR="001422CE">
        <w:rPr>
          <w:noProof/>
          <w:szCs w:val="24"/>
        </w:rPr>
        <w:t>g</w:t>
      </w:r>
      <w:r w:rsidR="00CF2504">
        <w:rPr>
          <w:noProof/>
          <w:szCs w:val="24"/>
        </w:rPr>
        <w:t xml:space="preserve">overnment and private </w:t>
      </w:r>
      <w:r w:rsidR="00F4744C">
        <w:rPr>
          <w:noProof/>
          <w:szCs w:val="24"/>
        </w:rPr>
        <w:t>sector</w:t>
      </w:r>
      <w:r w:rsidR="00B04668">
        <w:rPr>
          <w:noProof/>
          <w:szCs w:val="24"/>
        </w:rPr>
        <w:t xml:space="preserve"> initiatives</w:t>
      </w:r>
      <w:r w:rsidR="001A2D2E">
        <w:rPr>
          <w:noProof/>
          <w:szCs w:val="24"/>
        </w:rPr>
        <w:t xml:space="preserve"> </w:t>
      </w:r>
      <w:r w:rsidR="00CE761A">
        <w:rPr>
          <w:noProof/>
          <w:szCs w:val="24"/>
        </w:rPr>
        <w:t>worldwide</w:t>
      </w:r>
      <w:r w:rsidR="4282B88E" w:rsidRPr="0012174E">
        <w:rPr>
          <w:noProof/>
          <w:szCs w:val="24"/>
        </w:rPr>
        <w:t>.</w:t>
      </w:r>
      <w:r w:rsidR="00A01C04" w:rsidRPr="00A01C04">
        <w:rPr>
          <w:noProof/>
          <w:szCs w:val="24"/>
        </w:rPr>
        <w:t> </w:t>
      </w:r>
      <w:r w:rsidR="00071451">
        <w:rPr>
          <w:noProof/>
          <w:szCs w:val="24"/>
        </w:rPr>
        <w:t>For instance, a</w:t>
      </w:r>
      <w:r w:rsidR="009F1336" w:rsidRPr="009F1336">
        <w:rPr>
          <w:noProof/>
          <w:szCs w:val="24"/>
        </w:rPr>
        <w:t xml:space="preserve"> report by Forest Trends indicates that, as of February 2026, at least 25 producer countries are implementing over 60 government-led initiatives linked to EUDR compliance, many of which address broader governance issues such as land tenure, traceability, and legal clarity beyond individual supply </w:t>
      </w:r>
      <w:r w:rsidR="000939F3" w:rsidRPr="009F1336">
        <w:rPr>
          <w:noProof/>
          <w:szCs w:val="24"/>
        </w:rPr>
        <w:t>chains</w:t>
      </w:r>
      <w:r w:rsidR="006D538B">
        <w:rPr>
          <w:noProof/>
          <w:szCs w:val="24"/>
        </w:rPr>
        <w:t xml:space="preserve"> </w:t>
      </w:r>
      <w:r w:rsidR="006D538B" w:rsidRPr="00A01C04">
        <w:rPr>
          <w:noProof/>
          <w:szCs w:val="24"/>
        </w:rPr>
        <w:t>(</w:t>
      </w:r>
      <w:r w:rsidR="006D538B">
        <w:rPr>
          <w:rStyle w:val="FootnoteReference"/>
          <w:noProof/>
          <w:szCs w:val="24"/>
        </w:rPr>
        <w:footnoteReference w:id="16"/>
      </w:r>
      <w:r w:rsidR="006D538B">
        <w:rPr>
          <w:noProof/>
          <w:szCs w:val="24"/>
        </w:rPr>
        <w:t>)</w:t>
      </w:r>
      <w:r w:rsidR="000939F3" w:rsidRPr="009F1336">
        <w:rPr>
          <w:noProof/>
          <w:szCs w:val="24"/>
        </w:rPr>
        <w:t>.</w:t>
      </w:r>
    </w:p>
    <w:p w14:paraId="497380C5" w14:textId="63F66580" w:rsidR="00B348DA" w:rsidRPr="0012174E" w:rsidRDefault="00434127" w:rsidP="0012174E">
      <w:pPr>
        <w:spacing w:after="120"/>
        <w:rPr>
          <w:rFonts w:eastAsia="Arial"/>
          <w:noProof/>
        </w:rPr>
      </w:pPr>
      <w:r>
        <w:rPr>
          <w:rFonts w:eastAsia="Arial"/>
          <w:noProof/>
        </w:rPr>
        <w:t xml:space="preserve">A substantial part </w:t>
      </w:r>
      <w:r w:rsidR="00D35FF6">
        <w:rPr>
          <w:rFonts w:eastAsia="Arial"/>
          <w:noProof/>
        </w:rPr>
        <w:t>of</w:t>
      </w:r>
      <w:r>
        <w:rPr>
          <w:rFonts w:eastAsia="Arial"/>
          <w:noProof/>
        </w:rPr>
        <w:t xml:space="preserve"> these</w:t>
      </w:r>
      <w:r w:rsidRPr="188C1DF8">
        <w:rPr>
          <w:rFonts w:eastAsia="Arial"/>
          <w:noProof/>
        </w:rPr>
        <w:t xml:space="preserve"> </w:t>
      </w:r>
      <w:r w:rsidR="3ADECCBD" w:rsidRPr="188C1DF8">
        <w:rPr>
          <w:rFonts w:eastAsia="Arial"/>
          <w:noProof/>
        </w:rPr>
        <w:t xml:space="preserve">efforts </w:t>
      </w:r>
      <w:r>
        <w:rPr>
          <w:rFonts w:eastAsia="Arial"/>
          <w:noProof/>
        </w:rPr>
        <w:t>has been</w:t>
      </w:r>
      <w:r w:rsidR="00B348DA" w:rsidRPr="188C1DF8">
        <w:rPr>
          <w:rFonts w:eastAsia="Arial"/>
          <w:noProof/>
        </w:rPr>
        <w:t xml:space="preserve"> facilitated by </w:t>
      </w:r>
      <w:r w:rsidR="18980AFE" w:rsidRPr="188C1DF8">
        <w:rPr>
          <w:rFonts w:eastAsia="Arial"/>
          <w:noProof/>
        </w:rPr>
        <w:t xml:space="preserve">EU </w:t>
      </w:r>
      <w:r w:rsidR="1A693311" w:rsidRPr="188C1DF8">
        <w:rPr>
          <w:rFonts w:eastAsia="Arial"/>
          <w:noProof/>
        </w:rPr>
        <w:t xml:space="preserve">and Member States </w:t>
      </w:r>
      <w:r w:rsidR="18980AFE" w:rsidRPr="188C1DF8">
        <w:rPr>
          <w:rFonts w:eastAsia="Arial"/>
          <w:noProof/>
        </w:rPr>
        <w:t>funding via</w:t>
      </w:r>
      <w:r w:rsidR="00B348DA" w:rsidRPr="188C1DF8">
        <w:rPr>
          <w:rFonts w:eastAsia="Arial"/>
          <w:noProof/>
        </w:rPr>
        <w:t xml:space="preserve"> technical support </w:t>
      </w:r>
      <w:r w:rsidR="00515478" w:rsidRPr="188C1DF8">
        <w:rPr>
          <w:rFonts w:eastAsia="Arial"/>
          <w:noProof/>
        </w:rPr>
        <w:t xml:space="preserve">and </w:t>
      </w:r>
      <w:r w:rsidR="00B348DA" w:rsidRPr="188C1DF8">
        <w:rPr>
          <w:rFonts w:eastAsia="Arial"/>
          <w:noProof/>
        </w:rPr>
        <w:t>programmes</w:t>
      </w:r>
      <w:r w:rsidR="005A1DD1">
        <w:rPr>
          <w:noProof/>
        </w:rPr>
        <w:t> (</w:t>
      </w:r>
      <w:r w:rsidR="00B348DA" w:rsidRPr="188C1DF8">
        <w:rPr>
          <w:rStyle w:val="FootnoteReference"/>
          <w:noProof/>
        </w:rPr>
        <w:footnoteReference w:id="17"/>
      </w:r>
      <w:r w:rsidR="005A1DD1">
        <w:rPr>
          <w:noProof/>
        </w:rPr>
        <w:t>)</w:t>
      </w:r>
      <w:r w:rsidR="65D53568">
        <w:rPr>
          <w:noProof/>
        </w:rPr>
        <w:t xml:space="preserve"> </w:t>
      </w:r>
      <w:r w:rsidR="65D53568" w:rsidRPr="188C1DF8">
        <w:rPr>
          <w:rFonts w:eastAsia="Arial"/>
          <w:noProof/>
        </w:rPr>
        <w:t xml:space="preserve">empowering </w:t>
      </w:r>
      <w:r w:rsidR="65D53568" w:rsidRPr="188C1DF8">
        <w:rPr>
          <w:rFonts w:eastAsia="Raleway"/>
          <w:noProof/>
        </w:rPr>
        <w:t>smallholders, incentivising forest preservation, and strengthening local capabilities for sustainable land use and agriculture</w:t>
      </w:r>
      <w:r w:rsidR="5DA9587F" w:rsidRPr="188C1DF8">
        <w:rPr>
          <w:rFonts w:eastAsia="Raleway"/>
          <w:noProof/>
        </w:rPr>
        <w:t xml:space="preserve"> as well as job creation.</w:t>
      </w:r>
      <w:r w:rsidR="002F3B8A">
        <w:rPr>
          <w:rFonts w:eastAsia="Raleway"/>
          <w:noProof/>
        </w:rPr>
        <w:t xml:space="preserve"> </w:t>
      </w:r>
    </w:p>
    <w:p w14:paraId="239A1429" w14:textId="3FF15D66" w:rsidR="00515478" w:rsidRDefault="00005C75" w:rsidP="0012174E">
      <w:pPr>
        <w:spacing w:after="120"/>
        <w:rPr>
          <w:noProof/>
          <w:szCs w:val="24"/>
          <w:lang w:val="en-IE"/>
        </w:rPr>
      </w:pPr>
      <w:r>
        <w:rPr>
          <w:noProof/>
          <w:szCs w:val="24"/>
          <w:lang w:val="en-IE"/>
        </w:rPr>
        <w:t>Experience</w:t>
      </w:r>
      <w:r w:rsidRPr="0012174E">
        <w:rPr>
          <w:noProof/>
          <w:szCs w:val="24"/>
          <w:lang w:val="en-IE"/>
        </w:rPr>
        <w:t xml:space="preserve"> </w:t>
      </w:r>
      <w:r w:rsidR="644DC0F8" w:rsidRPr="0012174E">
        <w:rPr>
          <w:noProof/>
          <w:szCs w:val="24"/>
          <w:lang w:val="en-IE"/>
        </w:rPr>
        <w:t xml:space="preserve">from </w:t>
      </w:r>
      <w:r w:rsidR="1BA2B364" w:rsidRPr="0012174E">
        <w:rPr>
          <w:noProof/>
          <w:szCs w:val="24"/>
          <w:lang w:val="en-IE"/>
        </w:rPr>
        <w:t>ong</w:t>
      </w:r>
      <w:r w:rsidR="0028786B" w:rsidRPr="0012174E">
        <w:rPr>
          <w:noProof/>
          <w:szCs w:val="24"/>
          <w:lang w:val="en-IE"/>
        </w:rPr>
        <w:t>o</w:t>
      </w:r>
      <w:r w:rsidR="1BA2B364" w:rsidRPr="0012174E">
        <w:rPr>
          <w:noProof/>
          <w:szCs w:val="24"/>
          <w:lang w:val="en-IE"/>
        </w:rPr>
        <w:t>ing</w:t>
      </w:r>
      <w:r w:rsidR="644DC0F8" w:rsidRPr="0012174E">
        <w:rPr>
          <w:noProof/>
          <w:szCs w:val="24"/>
          <w:lang w:val="en-IE"/>
        </w:rPr>
        <w:t xml:space="preserve"> programs and initiatives showcase t</w:t>
      </w:r>
      <w:r w:rsidR="00816527" w:rsidRPr="0012174E">
        <w:rPr>
          <w:noProof/>
          <w:szCs w:val="24"/>
          <w:lang w:val="en-IE"/>
        </w:rPr>
        <w:t xml:space="preserve">hree major trends across case studies in Africa, Asia and Latin America: </w:t>
      </w:r>
    </w:p>
    <w:p w14:paraId="46B5943A" w14:textId="6EAF4E79" w:rsidR="00515478" w:rsidRPr="00515478" w:rsidRDefault="00816527" w:rsidP="000153CA">
      <w:pPr>
        <w:pStyle w:val="ListParagraph"/>
        <w:numPr>
          <w:ilvl w:val="0"/>
          <w:numId w:val="76"/>
        </w:numPr>
        <w:spacing w:after="120"/>
        <w:rPr>
          <w:noProof/>
          <w:szCs w:val="24"/>
          <w:lang w:val="en-IE"/>
        </w:rPr>
      </w:pPr>
      <w:r w:rsidRPr="00515478">
        <w:rPr>
          <w:noProof/>
          <w:szCs w:val="24"/>
          <w:lang w:val="en-IE"/>
        </w:rPr>
        <w:t xml:space="preserve">the rapid development and continuous improvement of traceability </w:t>
      </w:r>
      <w:r w:rsidR="31D76BBD" w:rsidRPr="00515478">
        <w:rPr>
          <w:noProof/>
          <w:szCs w:val="24"/>
          <w:lang w:val="en-IE"/>
        </w:rPr>
        <w:t xml:space="preserve">of supply chains </w:t>
      </w:r>
      <w:r w:rsidRPr="00515478">
        <w:rPr>
          <w:noProof/>
          <w:szCs w:val="24"/>
          <w:lang w:val="en-IE"/>
        </w:rPr>
        <w:t xml:space="preserve">and geolocation systems; </w:t>
      </w:r>
    </w:p>
    <w:p w14:paraId="00715AF0" w14:textId="56625A7D" w:rsidR="00515478" w:rsidRPr="00515478" w:rsidRDefault="00816527" w:rsidP="000153CA">
      <w:pPr>
        <w:pStyle w:val="ListParagraph"/>
        <w:numPr>
          <w:ilvl w:val="0"/>
          <w:numId w:val="76"/>
        </w:numPr>
        <w:spacing w:after="120"/>
        <w:rPr>
          <w:noProof/>
          <w:szCs w:val="24"/>
          <w:lang w:val="en-IE"/>
        </w:rPr>
      </w:pPr>
      <w:r w:rsidRPr="00515478">
        <w:rPr>
          <w:noProof/>
          <w:szCs w:val="24"/>
          <w:lang w:val="en-IE"/>
        </w:rPr>
        <w:t xml:space="preserve">the strengthening of national data and certification frameworks; and </w:t>
      </w:r>
    </w:p>
    <w:p w14:paraId="1641638A" w14:textId="163641DB" w:rsidR="00816527" w:rsidRPr="00515478" w:rsidRDefault="00816527" w:rsidP="000153CA">
      <w:pPr>
        <w:pStyle w:val="ListParagraph"/>
        <w:numPr>
          <w:ilvl w:val="0"/>
          <w:numId w:val="76"/>
        </w:numPr>
        <w:spacing w:after="120"/>
        <w:rPr>
          <w:noProof/>
          <w:szCs w:val="24"/>
          <w:lang w:val="en-IE"/>
        </w:rPr>
      </w:pPr>
      <w:r w:rsidRPr="00515478">
        <w:rPr>
          <w:noProof/>
          <w:szCs w:val="24"/>
          <w:lang w:val="en-IE"/>
        </w:rPr>
        <w:t>the emergence of innovative digital systems.</w:t>
      </w:r>
    </w:p>
    <w:p w14:paraId="6EC14FF0" w14:textId="1E39237F" w:rsidR="00090C72" w:rsidRDefault="00581F5B" w:rsidP="0012174E">
      <w:pPr>
        <w:spacing w:after="120"/>
        <w:rPr>
          <w:rFonts w:eastAsia="Arial"/>
          <w:noProof/>
        </w:rPr>
      </w:pPr>
      <w:r w:rsidRPr="0012174E">
        <w:rPr>
          <w:noProof/>
          <w:szCs w:val="24"/>
        </w:rPr>
        <w:t>For example, a</w:t>
      </w:r>
      <w:r w:rsidR="00B348DA" w:rsidRPr="0012174E">
        <w:rPr>
          <w:noProof/>
          <w:szCs w:val="24"/>
        </w:rPr>
        <w:t xml:space="preserve"> digital coffee traceability system </w:t>
      </w:r>
      <w:r w:rsidR="00E308EE" w:rsidRPr="0012174E">
        <w:rPr>
          <w:noProof/>
          <w:szCs w:val="24"/>
        </w:rPr>
        <w:t>introduced in Ethiopia</w:t>
      </w:r>
      <w:r w:rsidR="00B348DA" w:rsidRPr="0012174E">
        <w:rPr>
          <w:noProof/>
          <w:szCs w:val="24"/>
        </w:rPr>
        <w:t xml:space="preserve"> records the supply chain from farm to export and captures geospatial data via mobile applications to verify that coffee is </w:t>
      </w:r>
      <w:r w:rsidR="00E308EE" w:rsidRPr="0012174E">
        <w:rPr>
          <w:noProof/>
          <w:szCs w:val="24"/>
        </w:rPr>
        <w:t>d</w:t>
      </w:r>
      <w:r w:rsidR="00B348DA" w:rsidRPr="0012174E">
        <w:rPr>
          <w:noProof/>
          <w:szCs w:val="24"/>
        </w:rPr>
        <w:t xml:space="preserve">eforestation-free. Similarly, Ghana has rolled out the </w:t>
      </w:r>
      <w:r w:rsidR="00B348DA" w:rsidRPr="00D21269">
        <w:rPr>
          <w:i/>
          <w:iCs/>
          <w:noProof/>
          <w:szCs w:val="24"/>
        </w:rPr>
        <w:t>Ghana Cocoa Traceability System</w:t>
      </w:r>
      <w:r w:rsidR="00B348DA" w:rsidRPr="0012174E">
        <w:rPr>
          <w:noProof/>
          <w:szCs w:val="24"/>
        </w:rPr>
        <w:t xml:space="preserve">, mapping thousands of farms and linking farmer registration to export data, enabling buyer-facing due-diligence reports. </w:t>
      </w:r>
      <w:r w:rsidR="00886601">
        <w:rPr>
          <w:noProof/>
          <w:szCs w:val="24"/>
        </w:rPr>
        <w:t xml:space="preserve">Kenya is also making use of remote sensing technologies </w:t>
      </w:r>
      <w:r w:rsidR="00C631C6">
        <w:rPr>
          <w:noProof/>
          <w:szCs w:val="24"/>
        </w:rPr>
        <w:t>in preparation</w:t>
      </w:r>
      <w:r w:rsidR="00886601">
        <w:rPr>
          <w:noProof/>
          <w:szCs w:val="24"/>
        </w:rPr>
        <w:t xml:space="preserve"> for the EUDR implementation</w:t>
      </w:r>
      <w:r w:rsidR="006D538B">
        <w:rPr>
          <w:noProof/>
          <w:szCs w:val="24"/>
        </w:rPr>
        <w:t xml:space="preserve"> </w:t>
      </w:r>
      <w:r w:rsidR="006D538B" w:rsidRPr="00216248">
        <w:rPr>
          <w:rFonts w:eastAsia="Arial"/>
          <w:noProof/>
        </w:rPr>
        <w:t>(</w:t>
      </w:r>
      <w:r w:rsidR="006D538B">
        <w:rPr>
          <w:rStyle w:val="FootnoteReference"/>
          <w:rFonts w:eastAsia="Arial"/>
          <w:noProof/>
        </w:rPr>
        <w:footnoteReference w:id="18"/>
      </w:r>
      <w:r w:rsidR="006D538B">
        <w:rPr>
          <w:rFonts w:eastAsia="Arial"/>
          <w:noProof/>
        </w:rPr>
        <w:t>)</w:t>
      </w:r>
      <w:r w:rsidR="00886601">
        <w:rPr>
          <w:noProof/>
          <w:szCs w:val="24"/>
        </w:rPr>
        <w:t>.</w:t>
      </w:r>
      <w:r w:rsidR="0014465B">
        <w:rPr>
          <w:rFonts w:eastAsia="Arial"/>
          <w:noProof/>
        </w:rPr>
        <w:t xml:space="preserve"> </w:t>
      </w:r>
      <w:r w:rsidR="00403ED5">
        <w:rPr>
          <w:noProof/>
        </w:rPr>
        <w:t>H</w:t>
      </w:r>
      <w:r w:rsidR="00B348DA">
        <w:rPr>
          <w:noProof/>
        </w:rPr>
        <w:t>ighly accurate national land-use map</w:t>
      </w:r>
      <w:r w:rsidR="00403ED5">
        <w:rPr>
          <w:noProof/>
        </w:rPr>
        <w:t>s have been developed in</w:t>
      </w:r>
      <w:r w:rsidR="00B348DA">
        <w:rPr>
          <w:noProof/>
        </w:rPr>
        <w:t xml:space="preserve"> </w:t>
      </w:r>
      <w:r w:rsidR="00403ED5">
        <w:rPr>
          <w:noProof/>
        </w:rPr>
        <w:t>Côte d’Ivoire</w:t>
      </w:r>
      <w:r w:rsidR="0089119D">
        <w:rPr>
          <w:noProof/>
        </w:rPr>
        <w:t xml:space="preserve">, </w:t>
      </w:r>
      <w:r w:rsidR="00B348DA">
        <w:rPr>
          <w:noProof/>
        </w:rPr>
        <w:t xml:space="preserve">in close coordination with the </w:t>
      </w:r>
      <w:r w:rsidR="007A6167" w:rsidRPr="065A5B99">
        <w:rPr>
          <w:rFonts w:eastAsia="Calibri"/>
          <w:noProof/>
        </w:rPr>
        <w:t xml:space="preserve">Commission’s </w:t>
      </w:r>
      <w:r w:rsidR="00B348DA">
        <w:rPr>
          <w:noProof/>
        </w:rPr>
        <w:t>Joint Research Centre</w:t>
      </w:r>
      <w:r w:rsidR="007A6167">
        <w:rPr>
          <w:noProof/>
        </w:rPr>
        <w:t xml:space="preserve"> (JRC)</w:t>
      </w:r>
      <w:r w:rsidR="00B348DA">
        <w:rPr>
          <w:noProof/>
        </w:rPr>
        <w:t xml:space="preserve">. </w:t>
      </w:r>
      <w:r w:rsidR="00B348DA" w:rsidRPr="04FCC814">
        <w:rPr>
          <w:rFonts w:eastAsia="Arial"/>
          <w:noProof/>
        </w:rPr>
        <w:t>Innovative digital platforms</w:t>
      </w:r>
      <w:r w:rsidR="00296B65">
        <w:rPr>
          <w:noProof/>
        </w:rPr>
        <w:t xml:space="preserve">, such as </w:t>
      </w:r>
      <w:r w:rsidR="00B348DA" w:rsidRPr="04FCC814">
        <w:rPr>
          <w:rFonts w:eastAsia="Arial"/>
          <w:noProof/>
        </w:rPr>
        <w:t>Argentina’s VISEC platform enable traceab</w:t>
      </w:r>
      <w:r w:rsidR="009C6120">
        <w:rPr>
          <w:rFonts w:eastAsia="Arial"/>
          <w:noProof/>
        </w:rPr>
        <w:t>ility</w:t>
      </w:r>
      <w:r w:rsidR="00AB7CDB">
        <w:rPr>
          <w:rFonts w:eastAsia="Arial"/>
          <w:noProof/>
        </w:rPr>
        <w:t xml:space="preserve"> of</w:t>
      </w:r>
      <w:r w:rsidR="00B348DA" w:rsidRPr="04FCC814">
        <w:rPr>
          <w:rFonts w:eastAsia="Arial"/>
          <w:noProof/>
        </w:rPr>
        <w:t xml:space="preserve"> soy exports</w:t>
      </w:r>
      <w:r w:rsidR="00296B65">
        <w:rPr>
          <w:noProof/>
        </w:rPr>
        <w:t>.</w:t>
      </w:r>
      <w:r w:rsidR="00B348DA" w:rsidRPr="04FCC814">
        <w:rPr>
          <w:rFonts w:eastAsia="Arial"/>
          <w:noProof/>
        </w:rPr>
        <w:t xml:space="preserve"> Brazil’s </w:t>
      </w:r>
      <w:r w:rsidR="00B77369">
        <w:rPr>
          <w:noProof/>
        </w:rPr>
        <w:t xml:space="preserve">innovative </w:t>
      </w:r>
      <w:r w:rsidR="00B348DA" w:rsidRPr="04FCC814">
        <w:rPr>
          <w:rFonts w:eastAsia="Arial"/>
          <w:noProof/>
        </w:rPr>
        <w:t xml:space="preserve">“Selo Verde” </w:t>
      </w:r>
      <w:r w:rsidR="001C6047">
        <w:rPr>
          <w:rFonts w:eastAsia="Arial"/>
          <w:noProof/>
        </w:rPr>
        <w:t xml:space="preserve">governmental </w:t>
      </w:r>
      <w:r w:rsidR="00B348DA" w:rsidRPr="04FCC814">
        <w:rPr>
          <w:rFonts w:eastAsia="Arial"/>
          <w:noProof/>
        </w:rPr>
        <w:t xml:space="preserve">system integrates environmental data and farm registries to monitor compliance with forest legislation. </w:t>
      </w:r>
      <w:r w:rsidR="5B387F08" w:rsidRPr="04FCC814">
        <w:rPr>
          <w:rFonts w:eastAsia="Arial"/>
          <w:noProof/>
        </w:rPr>
        <w:t xml:space="preserve">Honduras has already shipped fully traceable coffee to the EU using an open digital infrastructure that includes smallholder </w:t>
      </w:r>
      <w:r w:rsidR="00B348DA" w:rsidRPr="04FCC814">
        <w:rPr>
          <w:rFonts w:eastAsia="Arial"/>
          <w:noProof/>
        </w:rPr>
        <w:t>farmers</w:t>
      </w:r>
      <w:r w:rsidR="5B387F08" w:rsidRPr="04FCC814">
        <w:rPr>
          <w:rFonts w:eastAsia="Arial"/>
          <w:noProof/>
        </w:rPr>
        <w:t xml:space="preserve">, demonstrating the potential of such systems to support deforestation-free supply chains. </w:t>
      </w:r>
      <w:r w:rsidR="0064233A" w:rsidRPr="04FCC814">
        <w:rPr>
          <w:rFonts w:eastAsia="Arial"/>
          <w:noProof/>
        </w:rPr>
        <w:t>Thailand has built EUDR THAI Traceability platform - a traceability system that functions as a single central database for deforestation and legality inputs, across all seven commodities.</w:t>
      </w:r>
      <w:r w:rsidR="0E67733F" w:rsidRPr="04FCC814">
        <w:rPr>
          <w:rFonts w:eastAsia="Arial"/>
          <w:noProof/>
        </w:rPr>
        <w:t xml:space="preserve"> </w:t>
      </w:r>
      <w:r w:rsidR="003C469C">
        <w:rPr>
          <w:noProof/>
        </w:rPr>
        <w:t xml:space="preserve">In Malaysia, national sustainability standards for palm oil, rubber and timber have been upgraded and aligned with EUDR information requirements. </w:t>
      </w:r>
      <w:r w:rsidR="00FA3C22">
        <w:rPr>
          <w:rFonts w:eastAsia="Arial"/>
          <w:noProof/>
        </w:rPr>
        <w:t>Likewise</w:t>
      </w:r>
      <w:r w:rsidR="00E04266">
        <w:rPr>
          <w:rFonts w:eastAsia="Arial"/>
          <w:noProof/>
        </w:rPr>
        <w:t xml:space="preserve">, </w:t>
      </w:r>
      <w:r w:rsidR="0005592D" w:rsidRPr="0005592D">
        <w:rPr>
          <w:rFonts w:eastAsia="Arial"/>
          <w:noProof/>
        </w:rPr>
        <w:t xml:space="preserve">Indonesia and Malaysia are </w:t>
      </w:r>
      <w:r w:rsidR="00413DD9">
        <w:rPr>
          <w:rFonts w:eastAsia="Arial"/>
          <w:noProof/>
        </w:rPr>
        <w:t>adapting their</w:t>
      </w:r>
      <w:r w:rsidR="0005592D" w:rsidRPr="0005592D">
        <w:rPr>
          <w:rFonts w:eastAsia="Arial"/>
          <w:noProof/>
        </w:rPr>
        <w:t xml:space="preserve"> national sustainability standards and developing integrated traceability systems</w:t>
      </w:r>
      <w:r w:rsidR="007428B6">
        <w:rPr>
          <w:rFonts w:eastAsia="Arial"/>
          <w:noProof/>
        </w:rPr>
        <w:t>.</w:t>
      </w:r>
      <w:r w:rsidR="00DB6B54">
        <w:rPr>
          <w:rFonts w:eastAsia="Arial"/>
          <w:noProof/>
        </w:rPr>
        <w:t xml:space="preserve"> </w:t>
      </w:r>
      <w:r w:rsidR="00BB4BDB" w:rsidRPr="00413DD9">
        <w:rPr>
          <w:rFonts w:eastAsia="Arial"/>
          <w:noProof/>
        </w:rPr>
        <w:t>(</w:t>
      </w:r>
      <w:r w:rsidR="00BB4BDB">
        <w:rPr>
          <w:rStyle w:val="FootnoteReference"/>
          <w:rFonts w:eastAsia="Arial"/>
          <w:noProof/>
        </w:rPr>
        <w:footnoteReference w:id="19"/>
      </w:r>
      <w:r w:rsidR="00BB4BDB">
        <w:rPr>
          <w:rFonts w:eastAsia="Arial"/>
          <w:noProof/>
        </w:rPr>
        <w:t xml:space="preserve">) </w:t>
      </w:r>
    </w:p>
    <w:p w14:paraId="7966BC12" w14:textId="09C522B1" w:rsidR="0014465B" w:rsidRDefault="00373A34" w:rsidP="0012174E">
      <w:pPr>
        <w:spacing w:after="120"/>
        <w:rPr>
          <w:rFonts w:eastAsia="Arial"/>
          <w:noProof/>
        </w:rPr>
      </w:pPr>
      <w:r w:rsidRPr="00373A34">
        <w:rPr>
          <w:rFonts w:eastAsia="Arial"/>
          <w:noProof/>
        </w:rPr>
        <w:t>The EU remains committed to implementing the EUDR</w:t>
      </w:r>
      <w:r w:rsidR="00090C72">
        <w:rPr>
          <w:rFonts w:eastAsia="Arial"/>
          <w:noProof/>
        </w:rPr>
        <w:t xml:space="preserve"> </w:t>
      </w:r>
      <w:r w:rsidR="00295E6F">
        <w:rPr>
          <w:rFonts w:eastAsia="Arial"/>
          <w:noProof/>
        </w:rPr>
        <w:t>through</w:t>
      </w:r>
      <w:r w:rsidRPr="00373A34">
        <w:rPr>
          <w:rFonts w:eastAsia="Arial"/>
          <w:noProof/>
        </w:rPr>
        <w:t xml:space="preserve"> </w:t>
      </w:r>
      <w:r w:rsidR="00B125EC">
        <w:rPr>
          <w:rFonts w:eastAsia="Arial"/>
          <w:noProof/>
        </w:rPr>
        <w:t>collaboration</w:t>
      </w:r>
      <w:r w:rsidRPr="00373A34">
        <w:rPr>
          <w:rFonts w:eastAsia="Arial"/>
          <w:noProof/>
        </w:rPr>
        <w:t xml:space="preserve">, transparency, and open dialogue with </w:t>
      </w:r>
      <w:r w:rsidR="00234240">
        <w:rPr>
          <w:noProof/>
          <w:lang w:val="en-IE"/>
        </w:rPr>
        <w:t>its trading partners</w:t>
      </w:r>
      <w:r w:rsidR="00B125EC">
        <w:rPr>
          <w:noProof/>
          <w:lang w:val="en-IE"/>
        </w:rPr>
        <w:t xml:space="preserve">, </w:t>
      </w:r>
      <w:r w:rsidR="00234240">
        <w:rPr>
          <w:noProof/>
          <w:lang w:val="en-IE"/>
        </w:rPr>
        <w:t>including through trade agreements</w:t>
      </w:r>
      <w:r w:rsidR="00924B8C">
        <w:rPr>
          <w:noProof/>
          <w:lang w:val="en-IE"/>
        </w:rPr>
        <w:t xml:space="preserve">, </w:t>
      </w:r>
      <w:r w:rsidR="00234240">
        <w:rPr>
          <w:noProof/>
          <w:lang w:val="en-IE"/>
        </w:rPr>
        <w:t xml:space="preserve">related platforms </w:t>
      </w:r>
      <w:r w:rsidR="00924B8C">
        <w:rPr>
          <w:noProof/>
          <w:lang w:val="en-IE"/>
        </w:rPr>
        <w:t>and through</w:t>
      </w:r>
      <w:r w:rsidR="00234240">
        <w:rPr>
          <w:noProof/>
          <w:lang w:val="en-IE"/>
        </w:rPr>
        <w:t xml:space="preserve"> the W</w:t>
      </w:r>
      <w:r w:rsidR="00924B8C">
        <w:rPr>
          <w:noProof/>
          <w:lang w:val="en-IE"/>
        </w:rPr>
        <w:t xml:space="preserve">orld Trade </w:t>
      </w:r>
      <w:r w:rsidR="00234240">
        <w:rPr>
          <w:noProof/>
          <w:lang w:val="en-IE"/>
        </w:rPr>
        <w:t>O</w:t>
      </w:r>
      <w:r w:rsidR="00924B8C">
        <w:rPr>
          <w:noProof/>
          <w:lang w:val="en-IE"/>
        </w:rPr>
        <w:t>rganisation</w:t>
      </w:r>
      <w:r w:rsidR="00DB6B54">
        <w:rPr>
          <w:rFonts w:eastAsia="Arial"/>
          <w:noProof/>
        </w:rPr>
        <w:t xml:space="preserve">. </w:t>
      </w:r>
      <w:r w:rsidR="00295E6F">
        <w:rPr>
          <w:rFonts w:eastAsia="Arial"/>
          <w:noProof/>
        </w:rPr>
        <w:t xml:space="preserve">The simplification measures outlined in this Report </w:t>
      </w:r>
      <w:r w:rsidR="00937C32">
        <w:rPr>
          <w:rFonts w:eastAsia="Arial"/>
          <w:noProof/>
        </w:rPr>
        <w:t>explain</w:t>
      </w:r>
      <w:r w:rsidR="00295E6F">
        <w:rPr>
          <w:rFonts w:eastAsia="Arial"/>
          <w:noProof/>
        </w:rPr>
        <w:t xml:space="preserve"> applicable rules and </w:t>
      </w:r>
      <w:r w:rsidR="00BE32D7" w:rsidRPr="00BE32D7">
        <w:rPr>
          <w:rFonts w:eastAsia="Arial"/>
          <w:noProof/>
        </w:rPr>
        <w:t xml:space="preserve">provide </w:t>
      </w:r>
      <w:r w:rsidR="00B87104">
        <w:rPr>
          <w:rFonts w:eastAsia="Arial"/>
          <w:noProof/>
        </w:rPr>
        <w:t>clarifications</w:t>
      </w:r>
      <w:r w:rsidR="00BE32D7" w:rsidRPr="00BE32D7">
        <w:rPr>
          <w:rFonts w:eastAsia="Arial"/>
          <w:noProof/>
        </w:rPr>
        <w:t xml:space="preserve"> for third countries exporting to the EU</w:t>
      </w:r>
      <w:r w:rsidR="00B125EC">
        <w:rPr>
          <w:rFonts w:eastAsia="Arial"/>
          <w:noProof/>
        </w:rPr>
        <w:t>.</w:t>
      </w:r>
      <w:r w:rsidR="00295E6F">
        <w:rPr>
          <w:rFonts w:eastAsia="Arial"/>
          <w:noProof/>
        </w:rPr>
        <w:t xml:space="preserve"> The Commission</w:t>
      </w:r>
      <w:r w:rsidR="00DB6B54">
        <w:rPr>
          <w:rFonts w:eastAsia="Arial"/>
          <w:noProof/>
        </w:rPr>
        <w:t xml:space="preserve"> </w:t>
      </w:r>
      <w:r w:rsidR="00295E6F">
        <w:rPr>
          <w:rFonts w:eastAsia="Arial"/>
          <w:noProof/>
        </w:rPr>
        <w:t>will continue</w:t>
      </w:r>
      <w:r w:rsidR="00DB6B54">
        <w:rPr>
          <w:rFonts w:eastAsia="Arial"/>
          <w:noProof/>
        </w:rPr>
        <w:t xml:space="preserve"> </w:t>
      </w:r>
      <w:r w:rsidR="00295E6F">
        <w:rPr>
          <w:rFonts w:eastAsia="Arial"/>
          <w:noProof/>
        </w:rPr>
        <w:t>its outreach and support third countries in addressing challenges related to ensuring deforestation-free supply chains.</w:t>
      </w:r>
    </w:p>
    <w:p w14:paraId="03D0E6FD" w14:textId="4C5DC3CD" w:rsidR="003B3780" w:rsidRPr="00637B48" w:rsidRDefault="003B3780" w:rsidP="00637B48">
      <w:pPr>
        <w:rPr>
          <w:noProof/>
        </w:rPr>
      </w:pPr>
      <w:bookmarkStart w:id="2" w:name="_Hlk227673479"/>
      <w:r>
        <w:rPr>
          <w:noProof/>
        </w:rPr>
        <w:t>EU Member States are also making steady progress in implementing the EUDR</w:t>
      </w:r>
      <w:r w:rsidR="00C61501">
        <w:rPr>
          <w:noProof/>
        </w:rPr>
        <w:t xml:space="preserve">, including adoption of </w:t>
      </w:r>
      <w:r w:rsidR="00C61501" w:rsidRPr="00C61501">
        <w:rPr>
          <w:noProof/>
        </w:rPr>
        <w:t>national laws implementing the EUDR</w:t>
      </w:r>
      <w:r>
        <w:rPr>
          <w:noProof/>
        </w:rPr>
        <w:t xml:space="preserve">. </w:t>
      </w:r>
      <w:r w:rsidR="00C61501">
        <w:rPr>
          <w:noProof/>
        </w:rPr>
        <w:t xml:space="preserve">Member States’ </w:t>
      </w:r>
      <w:r>
        <w:rPr>
          <w:noProof/>
        </w:rPr>
        <w:t xml:space="preserve">competent authorities are actively engaging with national stakeholders through </w:t>
      </w:r>
      <w:r w:rsidR="00533022">
        <w:rPr>
          <w:noProof/>
        </w:rPr>
        <w:t xml:space="preserve">dedicated </w:t>
      </w:r>
      <w:r>
        <w:rPr>
          <w:noProof/>
        </w:rPr>
        <w:t>seminars</w:t>
      </w:r>
      <w:r w:rsidR="00EF2C03">
        <w:rPr>
          <w:noProof/>
        </w:rPr>
        <w:t xml:space="preserve"> and</w:t>
      </w:r>
      <w:r>
        <w:rPr>
          <w:noProof/>
        </w:rPr>
        <w:t xml:space="preserve"> </w:t>
      </w:r>
      <w:r w:rsidR="00533022">
        <w:rPr>
          <w:noProof/>
        </w:rPr>
        <w:t>information campaigns</w:t>
      </w:r>
      <w:r w:rsidR="00EF2C03">
        <w:rPr>
          <w:noProof/>
        </w:rPr>
        <w:t>,</w:t>
      </w:r>
      <w:r>
        <w:rPr>
          <w:noProof/>
        </w:rPr>
        <w:t xml:space="preserve"> </w:t>
      </w:r>
      <w:r w:rsidR="00533022">
        <w:rPr>
          <w:noProof/>
        </w:rPr>
        <w:t>as well as</w:t>
      </w:r>
      <w:r w:rsidRPr="003B3780">
        <w:rPr>
          <w:noProof/>
        </w:rPr>
        <w:t xml:space="preserve"> </w:t>
      </w:r>
      <w:r w:rsidR="00EF2C03">
        <w:rPr>
          <w:noProof/>
        </w:rPr>
        <w:t xml:space="preserve">by adapting and </w:t>
      </w:r>
      <w:r w:rsidR="00533022">
        <w:rPr>
          <w:noProof/>
        </w:rPr>
        <w:t>expanding</w:t>
      </w:r>
      <w:r>
        <w:rPr>
          <w:noProof/>
        </w:rPr>
        <w:t xml:space="preserve"> their IT infrastructure to support compliance. Member States</w:t>
      </w:r>
      <w:r w:rsidR="00EF2C03">
        <w:rPr>
          <w:noProof/>
        </w:rPr>
        <w:t>,</w:t>
      </w:r>
      <w:r>
        <w:rPr>
          <w:noProof/>
        </w:rPr>
        <w:t xml:space="preserve"> </w:t>
      </w:r>
      <w:r w:rsidR="00533022">
        <w:rPr>
          <w:noProof/>
        </w:rPr>
        <w:t>supported by the Commission</w:t>
      </w:r>
      <w:r w:rsidR="00EF2C03">
        <w:rPr>
          <w:noProof/>
        </w:rPr>
        <w:t>,</w:t>
      </w:r>
      <w:r w:rsidR="00533022">
        <w:rPr>
          <w:noProof/>
        </w:rPr>
        <w:t xml:space="preserve"> </w:t>
      </w:r>
      <w:r>
        <w:rPr>
          <w:noProof/>
        </w:rPr>
        <w:t xml:space="preserve">are </w:t>
      </w:r>
      <w:r w:rsidR="00295E6F">
        <w:rPr>
          <w:noProof/>
        </w:rPr>
        <w:t xml:space="preserve">also </w:t>
      </w:r>
      <w:r>
        <w:rPr>
          <w:noProof/>
        </w:rPr>
        <w:t xml:space="preserve">focusing on harmonised enforcement. </w:t>
      </w:r>
      <w:r w:rsidR="00533022">
        <w:rPr>
          <w:noProof/>
        </w:rPr>
        <w:t>For example, a</w:t>
      </w:r>
      <w:r>
        <w:rPr>
          <w:noProof/>
        </w:rPr>
        <w:t>s part of the EU</w:t>
      </w:r>
      <w:r w:rsidR="00533022">
        <w:rPr>
          <w:noProof/>
        </w:rPr>
        <w:t>-</w:t>
      </w:r>
      <w:r>
        <w:rPr>
          <w:noProof/>
        </w:rPr>
        <w:t xml:space="preserve">funded EUDR Preparedness Exercise, Member States </w:t>
      </w:r>
      <w:r w:rsidR="00533022">
        <w:rPr>
          <w:noProof/>
        </w:rPr>
        <w:t>have conducted, in cooperation with selected companies</w:t>
      </w:r>
      <w:r w:rsidR="00EF2C03">
        <w:rPr>
          <w:noProof/>
        </w:rPr>
        <w:t xml:space="preserve"> across the EUDR-sectors</w:t>
      </w:r>
      <w:r w:rsidR="00533022">
        <w:rPr>
          <w:noProof/>
        </w:rPr>
        <w:t>, multi-</w:t>
      </w:r>
      <w:r>
        <w:rPr>
          <w:noProof/>
        </w:rPr>
        <w:t xml:space="preserve">month voluntary compliance </w:t>
      </w:r>
      <w:r w:rsidR="00533022">
        <w:rPr>
          <w:noProof/>
        </w:rPr>
        <w:t>inspections</w:t>
      </w:r>
      <w:r>
        <w:rPr>
          <w:noProof/>
        </w:rPr>
        <w:t xml:space="preserve"> (</w:t>
      </w:r>
      <w:r w:rsidR="00533022">
        <w:rPr>
          <w:noProof/>
        </w:rPr>
        <w:t>commonly referred to as</w:t>
      </w:r>
      <w:r>
        <w:rPr>
          <w:noProof/>
        </w:rPr>
        <w:t xml:space="preserve"> “dry runs”).</w:t>
      </w:r>
      <w:r w:rsidR="00EF2C03" w:rsidRPr="00EF2C03">
        <w:rPr>
          <w:noProof/>
        </w:rPr>
        <w:t> (</w:t>
      </w:r>
      <w:r w:rsidR="00EF2C03">
        <w:rPr>
          <w:rStyle w:val="FootnoteReference"/>
          <w:noProof/>
        </w:rPr>
        <w:footnoteReference w:id="20"/>
      </w:r>
      <w:r w:rsidR="00EF2C03">
        <w:rPr>
          <w:noProof/>
        </w:rPr>
        <w:t>)</w:t>
      </w:r>
      <w:r w:rsidR="009F052A">
        <w:rPr>
          <w:noProof/>
        </w:rPr>
        <w:t xml:space="preserve"> The Commission also organised </w:t>
      </w:r>
      <w:r w:rsidR="00540602">
        <w:rPr>
          <w:noProof/>
        </w:rPr>
        <w:t xml:space="preserve">end of </w:t>
      </w:r>
      <w:r w:rsidR="009F052A">
        <w:rPr>
          <w:noProof/>
        </w:rPr>
        <w:t xml:space="preserve">November 2025, as part of its </w:t>
      </w:r>
      <w:r w:rsidR="009F052A" w:rsidRPr="009F052A">
        <w:rPr>
          <w:noProof/>
        </w:rPr>
        <w:t xml:space="preserve">Technical Assistance and Information Exchange </w:t>
      </w:r>
      <w:r w:rsidR="009F052A">
        <w:rPr>
          <w:noProof/>
        </w:rPr>
        <w:t xml:space="preserve">programme, </w:t>
      </w:r>
      <w:r w:rsidR="00540602">
        <w:rPr>
          <w:noProof/>
        </w:rPr>
        <w:t>the</w:t>
      </w:r>
      <w:r w:rsidR="009F052A">
        <w:rPr>
          <w:noProof/>
        </w:rPr>
        <w:t xml:space="preserve"> </w:t>
      </w:r>
      <w:r w:rsidR="00540602" w:rsidRPr="00540602">
        <w:rPr>
          <w:noProof/>
        </w:rPr>
        <w:t>Flagship Multicountry Workshop on the implementation and enforcement of the EU Deforestation Regulation</w:t>
      </w:r>
      <w:r w:rsidR="00540602">
        <w:rPr>
          <w:noProof/>
        </w:rPr>
        <w:t xml:space="preserve"> </w:t>
      </w:r>
      <w:r w:rsidR="009F052A">
        <w:rPr>
          <w:noProof/>
        </w:rPr>
        <w:t>where Member States</w:t>
      </w:r>
      <w:r w:rsidR="00540602">
        <w:rPr>
          <w:noProof/>
        </w:rPr>
        <w:t xml:space="preserve"> </w:t>
      </w:r>
      <w:r w:rsidR="009F052A" w:rsidRPr="009F052A">
        <w:rPr>
          <w:noProof/>
        </w:rPr>
        <w:t>shared information, best practice</w:t>
      </w:r>
      <w:r w:rsidR="00540602">
        <w:rPr>
          <w:noProof/>
        </w:rPr>
        <w:t>s and</w:t>
      </w:r>
      <w:r w:rsidR="009F052A" w:rsidRPr="009F052A">
        <w:rPr>
          <w:noProof/>
        </w:rPr>
        <w:t xml:space="preserve"> lessons learned</w:t>
      </w:r>
      <w:r w:rsidR="009F052A">
        <w:rPr>
          <w:noProof/>
        </w:rPr>
        <w:t>.</w:t>
      </w:r>
      <w:r w:rsidR="009F052A" w:rsidRPr="009F052A">
        <w:rPr>
          <w:noProof/>
        </w:rPr>
        <w:t xml:space="preserve"> </w:t>
      </w:r>
    </w:p>
    <w:bookmarkEnd w:id="2"/>
    <w:p w14:paraId="0992CA11" w14:textId="1E7B7175" w:rsidR="003B3A98" w:rsidRDefault="121F5611" w:rsidP="0012174E">
      <w:pPr>
        <w:spacing w:after="120"/>
        <w:rPr>
          <w:rFonts w:eastAsia="Calibri"/>
          <w:noProof/>
        </w:rPr>
      </w:pPr>
      <w:r w:rsidRPr="000153CA">
        <w:rPr>
          <w:rFonts w:eastAsia="Calibri"/>
          <w:b/>
          <w:noProof/>
        </w:rPr>
        <w:t>S</w:t>
      </w:r>
      <w:r w:rsidR="1E874854" w:rsidRPr="000153CA">
        <w:rPr>
          <w:rFonts w:eastAsia="Calibri"/>
          <w:b/>
          <w:noProof/>
        </w:rPr>
        <w:t>ignificant</w:t>
      </w:r>
      <w:r w:rsidR="4720A293" w:rsidRPr="000153CA">
        <w:rPr>
          <w:rFonts w:eastAsia="Calibri"/>
          <w:b/>
          <w:noProof/>
        </w:rPr>
        <w:t xml:space="preserve"> progress has also been made in mapping global forest cover and land cover using remote sensing </w:t>
      </w:r>
      <w:r w:rsidR="00FF4048" w:rsidRPr="000153CA">
        <w:rPr>
          <w:b/>
          <w:noProof/>
        </w:rPr>
        <w:t>tools</w:t>
      </w:r>
      <w:r w:rsidR="4720A293" w:rsidRPr="04FCC814">
        <w:rPr>
          <w:rFonts w:eastAsia="Calibri"/>
          <w:noProof/>
        </w:rPr>
        <w:t xml:space="preserve">. A new global forest layer has been developed by the JRC as part of Commission’s work on the EU Observatory on Deforestation and Forest Degradation, to support risk assessments under the EUDR. The Global Forest Cover map for the year 2020 provides a harmonized, globally consistent representation of </w:t>
      </w:r>
      <w:r w:rsidR="1E874854" w:rsidRPr="04FCC814">
        <w:rPr>
          <w:rFonts w:eastAsia="Calibri"/>
          <w:noProof/>
        </w:rPr>
        <w:t>forest</w:t>
      </w:r>
      <w:r w:rsidR="1F30816D" w:rsidRPr="04FCC814">
        <w:rPr>
          <w:rFonts w:eastAsia="Calibri"/>
          <w:noProof/>
        </w:rPr>
        <w:t>s</w:t>
      </w:r>
      <w:r w:rsidR="1E874854" w:rsidRPr="04FCC814">
        <w:rPr>
          <w:rFonts w:eastAsia="Calibri"/>
          <w:noProof/>
        </w:rPr>
        <w:t xml:space="preserve"> </w:t>
      </w:r>
      <w:r w:rsidR="4720A293" w:rsidRPr="04FCC814">
        <w:rPr>
          <w:rFonts w:eastAsia="Calibri"/>
          <w:noProof/>
        </w:rPr>
        <w:t xml:space="preserve">at 10m spatial resolution, meeting the </w:t>
      </w:r>
      <w:r w:rsidR="18B4C924" w:rsidRPr="04FCC814">
        <w:rPr>
          <w:rFonts w:eastAsia="Calibri"/>
          <w:noProof/>
        </w:rPr>
        <w:t xml:space="preserve">forest </w:t>
      </w:r>
      <w:r w:rsidR="4720A293" w:rsidRPr="04FCC814">
        <w:rPr>
          <w:rFonts w:eastAsia="Calibri"/>
          <w:noProof/>
        </w:rPr>
        <w:t xml:space="preserve">definition as set out </w:t>
      </w:r>
      <w:r w:rsidR="14EEF035" w:rsidRPr="04FCC814">
        <w:rPr>
          <w:rFonts w:eastAsia="Calibri"/>
          <w:noProof/>
        </w:rPr>
        <w:t>in</w:t>
      </w:r>
      <w:r w:rsidR="4720A293" w:rsidRPr="04FCC814">
        <w:rPr>
          <w:rFonts w:eastAsia="Calibri"/>
          <w:noProof/>
        </w:rPr>
        <w:t xml:space="preserve"> the EUDR</w:t>
      </w:r>
      <w:r w:rsidR="00DF2346" w:rsidRPr="00DF2346">
        <w:rPr>
          <w:rFonts w:eastAsia="Calibri"/>
          <w:noProof/>
        </w:rPr>
        <w:t> (</w:t>
      </w:r>
      <w:r w:rsidR="00DF2346">
        <w:rPr>
          <w:rStyle w:val="FootnoteReference"/>
          <w:rFonts w:eastAsia="Calibri"/>
          <w:noProof/>
        </w:rPr>
        <w:footnoteReference w:id="21"/>
      </w:r>
      <w:r w:rsidR="00DF2346">
        <w:rPr>
          <w:rFonts w:eastAsia="Calibri"/>
          <w:noProof/>
        </w:rPr>
        <w:t>)</w:t>
      </w:r>
      <w:r w:rsidR="4720A293" w:rsidRPr="04FCC814">
        <w:rPr>
          <w:rFonts w:eastAsia="Calibri"/>
          <w:noProof/>
        </w:rPr>
        <w:t>. It has been created by integrating multiple satellite-based datasets</w:t>
      </w:r>
      <w:r w:rsidR="005A1DD1" w:rsidRPr="065A5B99">
        <w:rPr>
          <w:rFonts w:eastAsia="Calibri"/>
          <w:noProof/>
        </w:rPr>
        <w:t> (</w:t>
      </w:r>
      <w:r w:rsidR="4720A293" w:rsidRPr="04FCC814">
        <w:rPr>
          <w:rStyle w:val="FootnoteReference"/>
          <w:rFonts w:eastAsia="Calibri"/>
          <w:noProof/>
        </w:rPr>
        <w:footnoteReference w:id="22"/>
      </w:r>
      <w:r w:rsidR="005A1DD1" w:rsidRPr="065A5B99">
        <w:rPr>
          <w:rFonts w:eastAsia="Calibri"/>
          <w:noProof/>
        </w:rPr>
        <w:t>)</w:t>
      </w:r>
      <w:r w:rsidR="4720A293" w:rsidRPr="04FCC814">
        <w:rPr>
          <w:rFonts w:eastAsia="Calibri"/>
          <w:noProof/>
        </w:rPr>
        <w:t xml:space="preserve">. The map is continuously updated as new data and user feedback become available, </w:t>
      </w:r>
      <w:r w:rsidR="1E874854" w:rsidRPr="04FCC814">
        <w:rPr>
          <w:rFonts w:eastAsia="Calibri"/>
          <w:noProof/>
        </w:rPr>
        <w:t>enhanc</w:t>
      </w:r>
      <w:r w:rsidR="491A7421" w:rsidRPr="04FCC814">
        <w:rPr>
          <w:rFonts w:eastAsia="Calibri"/>
          <w:noProof/>
        </w:rPr>
        <w:t>i</w:t>
      </w:r>
      <w:r w:rsidR="1E874854" w:rsidRPr="04FCC814">
        <w:rPr>
          <w:rFonts w:eastAsia="Calibri"/>
          <w:noProof/>
        </w:rPr>
        <w:t>ng</w:t>
      </w:r>
      <w:r w:rsidR="4720A293" w:rsidRPr="04FCC814">
        <w:rPr>
          <w:rFonts w:eastAsia="Calibri"/>
          <w:noProof/>
        </w:rPr>
        <w:t xml:space="preserve"> accuracy and representation of forests worldwide. There is also a </w:t>
      </w:r>
      <w:r w:rsidR="0014541B" w:rsidRPr="04FCC814">
        <w:rPr>
          <w:rFonts w:eastAsia="Calibri"/>
          <w:noProof/>
        </w:rPr>
        <w:t>notable</w:t>
      </w:r>
      <w:r w:rsidR="4720A293" w:rsidRPr="04FCC814">
        <w:rPr>
          <w:rFonts w:eastAsia="Calibri"/>
          <w:noProof/>
        </w:rPr>
        <w:t xml:space="preserve"> boost in </w:t>
      </w:r>
      <w:r w:rsidR="7BFB6CC9" w:rsidRPr="04FCC814">
        <w:rPr>
          <w:rFonts w:eastAsia="Calibri"/>
          <w:noProof/>
        </w:rPr>
        <w:t>the</w:t>
      </w:r>
      <w:r w:rsidR="4720A293" w:rsidRPr="04FCC814">
        <w:rPr>
          <w:rFonts w:eastAsia="Calibri"/>
          <w:noProof/>
        </w:rPr>
        <w:t xml:space="preserve"> development of new commercial geo-spatial information tools in the private sector</w:t>
      </w:r>
      <w:r w:rsidR="6EFDF156" w:rsidRPr="04FCC814">
        <w:rPr>
          <w:rFonts w:eastAsia="Calibri"/>
          <w:noProof/>
        </w:rPr>
        <w:t>.</w:t>
      </w:r>
      <w:r w:rsidR="5C13EBB7" w:rsidRPr="458B70F2">
        <w:rPr>
          <w:rFonts w:eastAsia="Calibri"/>
          <w:noProof/>
        </w:rPr>
        <w:t xml:space="preserve"> </w:t>
      </w:r>
      <w:r w:rsidR="44DB713E" w:rsidRPr="458B70F2">
        <w:rPr>
          <w:rFonts w:eastAsia="Calibri"/>
          <w:noProof/>
        </w:rPr>
        <w:t xml:space="preserve">The Commission regularly showcases and facilitates the exchange of best practices </w:t>
      </w:r>
      <w:r w:rsidR="44DB713E" w:rsidRPr="179A40DC">
        <w:rPr>
          <w:rFonts w:eastAsia="Calibri"/>
          <w:noProof/>
        </w:rPr>
        <w:t xml:space="preserve">among EU Member States, </w:t>
      </w:r>
      <w:r w:rsidR="44DB713E" w:rsidRPr="6F58AF36">
        <w:rPr>
          <w:rFonts w:eastAsia="Calibri"/>
          <w:noProof/>
        </w:rPr>
        <w:t>third countries and private stakeholders via</w:t>
      </w:r>
      <w:r w:rsidR="44DB713E" w:rsidRPr="458B70F2">
        <w:rPr>
          <w:rFonts w:eastAsia="Calibri"/>
          <w:noProof/>
        </w:rPr>
        <w:t xml:space="preserve"> </w:t>
      </w:r>
      <w:r w:rsidR="44DB713E" w:rsidRPr="1B1364F5">
        <w:rPr>
          <w:rFonts w:eastAsia="Calibri"/>
          <w:noProof/>
        </w:rPr>
        <w:t xml:space="preserve">the </w:t>
      </w:r>
      <w:r w:rsidR="44DB713E" w:rsidRPr="179A40DC">
        <w:rPr>
          <w:rFonts w:eastAsia="Calibri"/>
          <w:noProof/>
        </w:rPr>
        <w:t>Expert Group Multi</w:t>
      </w:r>
      <w:r w:rsidR="44DB713E" w:rsidRPr="1B1364F5">
        <w:rPr>
          <w:rFonts w:eastAsia="Calibri"/>
          <w:noProof/>
        </w:rPr>
        <w:t xml:space="preserve">-Stakeholder Platform on Protecting and Restoring the World’s Forests </w:t>
      </w:r>
      <w:r w:rsidR="2F9AE8C6" w:rsidRPr="6F58AF36">
        <w:rPr>
          <w:rFonts w:eastAsia="Calibri"/>
          <w:noProof/>
        </w:rPr>
        <w:t>(</w:t>
      </w:r>
      <w:r w:rsidR="2F9AE8C6" w:rsidRPr="43B8063D">
        <w:rPr>
          <w:rFonts w:eastAsia="Calibri"/>
          <w:noProof/>
        </w:rPr>
        <w:t xml:space="preserve">see </w:t>
      </w:r>
      <w:r w:rsidR="00DD0F0E">
        <w:rPr>
          <w:rFonts w:eastAsia="Calibri"/>
          <w:noProof/>
        </w:rPr>
        <w:t>C</w:t>
      </w:r>
      <w:r w:rsidR="2F9AE8C6" w:rsidRPr="43B8063D">
        <w:rPr>
          <w:rFonts w:eastAsia="Calibri"/>
          <w:noProof/>
        </w:rPr>
        <w:t xml:space="preserve">hapter 2.1 </w:t>
      </w:r>
      <w:r w:rsidR="2F9AE8C6" w:rsidRPr="79281BC5">
        <w:rPr>
          <w:rFonts w:eastAsia="Calibri"/>
          <w:noProof/>
        </w:rPr>
        <w:t>for more information)</w:t>
      </w:r>
      <w:r w:rsidR="00A3566D">
        <w:rPr>
          <w:rFonts w:eastAsia="Calibri"/>
          <w:noProof/>
        </w:rPr>
        <w:t>.</w:t>
      </w:r>
    </w:p>
    <w:p w14:paraId="149A6904" w14:textId="7B161F2D" w:rsidR="00E63F32" w:rsidRPr="0012174E" w:rsidRDefault="00E63F32" w:rsidP="0012174E">
      <w:pPr>
        <w:spacing w:after="120"/>
        <w:rPr>
          <w:b/>
          <w:bCs/>
          <w:noProof/>
          <w:szCs w:val="24"/>
        </w:rPr>
      </w:pPr>
      <w:r w:rsidRPr="0012174E">
        <w:rPr>
          <w:b/>
          <w:bCs/>
          <w:noProof/>
          <w:szCs w:val="24"/>
        </w:rPr>
        <w:t>1.</w:t>
      </w:r>
      <w:r w:rsidR="00E761BE" w:rsidRPr="0012174E">
        <w:rPr>
          <w:b/>
          <w:bCs/>
          <w:noProof/>
          <w:szCs w:val="24"/>
        </w:rPr>
        <w:t>3</w:t>
      </w:r>
      <w:r w:rsidRPr="0012174E">
        <w:rPr>
          <w:b/>
          <w:bCs/>
          <w:noProof/>
          <w:szCs w:val="24"/>
        </w:rPr>
        <w:t xml:space="preserve"> </w:t>
      </w:r>
      <w:r w:rsidR="00A44034" w:rsidRPr="0012174E">
        <w:rPr>
          <w:b/>
          <w:bCs/>
          <w:noProof/>
          <w:szCs w:val="24"/>
        </w:rPr>
        <w:t>Back</w:t>
      </w:r>
      <w:r w:rsidR="005610BA" w:rsidRPr="0012174E">
        <w:rPr>
          <w:b/>
          <w:bCs/>
          <w:noProof/>
          <w:szCs w:val="24"/>
        </w:rPr>
        <w:t xml:space="preserve">ground </w:t>
      </w:r>
      <w:r w:rsidR="00E577AE">
        <w:rPr>
          <w:b/>
          <w:bCs/>
          <w:noProof/>
          <w:szCs w:val="24"/>
        </w:rPr>
        <w:t>to the</w:t>
      </w:r>
      <w:r w:rsidR="00E577AE" w:rsidRPr="0012174E">
        <w:rPr>
          <w:b/>
          <w:bCs/>
          <w:noProof/>
          <w:szCs w:val="24"/>
        </w:rPr>
        <w:t xml:space="preserve"> </w:t>
      </w:r>
      <w:r w:rsidR="392C35CC" w:rsidRPr="0012174E">
        <w:rPr>
          <w:b/>
          <w:bCs/>
          <w:noProof/>
          <w:szCs w:val="24"/>
        </w:rPr>
        <w:t xml:space="preserve">EUDR </w:t>
      </w:r>
      <w:r w:rsidRPr="0012174E">
        <w:rPr>
          <w:b/>
          <w:bCs/>
          <w:noProof/>
          <w:szCs w:val="24"/>
        </w:rPr>
        <w:t xml:space="preserve">simplification </w:t>
      </w:r>
      <w:r w:rsidR="36BA3317" w:rsidRPr="0012174E">
        <w:rPr>
          <w:b/>
          <w:bCs/>
          <w:noProof/>
          <w:szCs w:val="24"/>
        </w:rPr>
        <w:t>measures</w:t>
      </w:r>
      <w:r w:rsidR="00D6584B" w:rsidRPr="0012174E">
        <w:rPr>
          <w:b/>
          <w:bCs/>
          <w:noProof/>
          <w:szCs w:val="24"/>
        </w:rPr>
        <w:t xml:space="preserve"> </w:t>
      </w:r>
    </w:p>
    <w:p w14:paraId="4E4E9A85" w14:textId="530EE200" w:rsidR="00335312" w:rsidRPr="0012174E" w:rsidRDefault="00295E6F" w:rsidP="0012174E">
      <w:pPr>
        <w:spacing w:after="120"/>
        <w:rPr>
          <w:noProof/>
          <w:szCs w:val="24"/>
        </w:rPr>
      </w:pPr>
      <w:r>
        <w:rPr>
          <w:noProof/>
          <w:szCs w:val="24"/>
        </w:rPr>
        <w:t>The</w:t>
      </w:r>
      <w:r w:rsidR="6BE335EA" w:rsidRPr="0012174E">
        <w:rPr>
          <w:noProof/>
          <w:szCs w:val="24"/>
        </w:rPr>
        <w:t xml:space="preserve"> two revisions of the EUDR legal text </w:t>
      </w:r>
      <w:r w:rsidR="0021719F">
        <w:rPr>
          <w:noProof/>
          <w:szCs w:val="24"/>
        </w:rPr>
        <w:t>were</w:t>
      </w:r>
      <w:r w:rsidR="00B3090E">
        <w:rPr>
          <w:noProof/>
          <w:szCs w:val="24"/>
        </w:rPr>
        <w:t xml:space="preserve"> </w:t>
      </w:r>
      <w:r w:rsidR="00E577AE">
        <w:rPr>
          <w:noProof/>
          <w:szCs w:val="24"/>
        </w:rPr>
        <w:t>initiated</w:t>
      </w:r>
      <w:r w:rsidR="00E577AE" w:rsidRPr="0012174E">
        <w:rPr>
          <w:noProof/>
          <w:szCs w:val="24"/>
        </w:rPr>
        <w:t xml:space="preserve"> </w:t>
      </w:r>
      <w:r w:rsidR="0021719F">
        <w:rPr>
          <w:noProof/>
          <w:szCs w:val="24"/>
        </w:rPr>
        <w:t xml:space="preserve">following comments from various stakeholders to provide </w:t>
      </w:r>
      <w:r w:rsidR="178AB7C1" w:rsidRPr="0012174E">
        <w:rPr>
          <w:noProof/>
          <w:szCs w:val="24"/>
        </w:rPr>
        <w:t>more time for all countries and stakeholder</w:t>
      </w:r>
      <w:r w:rsidR="0021719F">
        <w:rPr>
          <w:noProof/>
          <w:szCs w:val="24"/>
        </w:rPr>
        <w:t>s</w:t>
      </w:r>
      <w:r w:rsidR="178AB7C1" w:rsidRPr="0012174E">
        <w:rPr>
          <w:noProof/>
          <w:szCs w:val="24"/>
        </w:rPr>
        <w:t xml:space="preserve"> for its implementation and </w:t>
      </w:r>
      <w:r w:rsidR="00B3090E">
        <w:rPr>
          <w:noProof/>
          <w:szCs w:val="24"/>
        </w:rPr>
        <w:t xml:space="preserve">to </w:t>
      </w:r>
      <w:r w:rsidR="00D9155E">
        <w:rPr>
          <w:noProof/>
          <w:szCs w:val="24"/>
        </w:rPr>
        <w:t xml:space="preserve">ensure </w:t>
      </w:r>
      <w:r w:rsidR="00B3090E">
        <w:rPr>
          <w:noProof/>
          <w:szCs w:val="24"/>
        </w:rPr>
        <w:t>meaningful</w:t>
      </w:r>
      <w:r w:rsidR="08F15C67" w:rsidRPr="0012174E">
        <w:rPr>
          <w:noProof/>
          <w:szCs w:val="24"/>
        </w:rPr>
        <w:t xml:space="preserve"> simplifi</w:t>
      </w:r>
      <w:r w:rsidR="412D7E1D" w:rsidRPr="0012174E">
        <w:rPr>
          <w:noProof/>
          <w:szCs w:val="24"/>
        </w:rPr>
        <w:t>c</w:t>
      </w:r>
      <w:r w:rsidR="08F15C67" w:rsidRPr="0012174E">
        <w:rPr>
          <w:noProof/>
          <w:szCs w:val="24"/>
        </w:rPr>
        <w:t xml:space="preserve">ations. </w:t>
      </w:r>
    </w:p>
    <w:p w14:paraId="35AC79C1" w14:textId="442D7AB2" w:rsidR="00951A2E" w:rsidRPr="0012174E" w:rsidRDefault="7E89858C" w:rsidP="0012174E">
      <w:pPr>
        <w:spacing w:after="120"/>
        <w:rPr>
          <w:noProof/>
        </w:rPr>
      </w:pPr>
      <w:r w:rsidRPr="4591D6B6">
        <w:rPr>
          <w:noProof/>
        </w:rPr>
        <w:t>In December 202</w:t>
      </w:r>
      <w:r w:rsidR="0C657B48" w:rsidRPr="4591D6B6">
        <w:rPr>
          <w:noProof/>
        </w:rPr>
        <w:t>4</w:t>
      </w:r>
      <w:r w:rsidRPr="0012174E">
        <w:rPr>
          <w:noProof/>
          <w:szCs w:val="24"/>
        </w:rPr>
        <w:t xml:space="preserve">, </w:t>
      </w:r>
      <w:r w:rsidR="00904652">
        <w:rPr>
          <w:noProof/>
        </w:rPr>
        <w:t xml:space="preserve">based on a Commission proposal, </w:t>
      </w:r>
      <w:r w:rsidR="6A15796D" w:rsidRPr="4591D6B6">
        <w:rPr>
          <w:noProof/>
        </w:rPr>
        <w:t xml:space="preserve">the </w:t>
      </w:r>
      <w:r w:rsidR="59DF1623" w:rsidRPr="4591D6B6">
        <w:rPr>
          <w:noProof/>
        </w:rPr>
        <w:t xml:space="preserve">European </w:t>
      </w:r>
      <w:r w:rsidR="4FDF3062" w:rsidRPr="4591D6B6">
        <w:rPr>
          <w:noProof/>
        </w:rPr>
        <w:t>P</w:t>
      </w:r>
      <w:r w:rsidR="59DF1623" w:rsidRPr="4591D6B6">
        <w:rPr>
          <w:noProof/>
        </w:rPr>
        <w:t xml:space="preserve">arliament and the Council </w:t>
      </w:r>
      <w:r w:rsidR="3CDB1538" w:rsidRPr="4591D6B6">
        <w:rPr>
          <w:noProof/>
        </w:rPr>
        <w:t>added an extra year for the entry into application</w:t>
      </w:r>
      <w:r w:rsidR="00D9155E">
        <w:rPr>
          <w:noProof/>
          <w:szCs w:val="24"/>
        </w:rPr>
        <w:t>.</w:t>
      </w:r>
      <w:r w:rsidR="009024AA">
        <w:rPr>
          <w:noProof/>
          <w:szCs w:val="24"/>
        </w:rPr>
        <w:t xml:space="preserve"> </w:t>
      </w:r>
      <w:r w:rsidR="00D9155E">
        <w:rPr>
          <w:noProof/>
        </w:rPr>
        <w:t>I</w:t>
      </w:r>
      <w:r w:rsidR="3CDB1538" w:rsidRPr="4591D6B6">
        <w:rPr>
          <w:noProof/>
        </w:rPr>
        <w:t>n December 2025</w:t>
      </w:r>
      <w:r w:rsidR="00335312" w:rsidRPr="0012174E">
        <w:rPr>
          <w:noProof/>
          <w:szCs w:val="24"/>
        </w:rPr>
        <w:t>,</w:t>
      </w:r>
      <w:r w:rsidR="3CDB1538" w:rsidRPr="4591D6B6">
        <w:rPr>
          <w:noProof/>
        </w:rPr>
        <w:t xml:space="preserve"> they </w:t>
      </w:r>
      <w:r w:rsidRPr="4591D6B6">
        <w:rPr>
          <w:noProof/>
        </w:rPr>
        <w:t xml:space="preserve">adopted </w:t>
      </w:r>
      <w:r w:rsidR="00954A0B" w:rsidRPr="4591D6B6">
        <w:rPr>
          <w:noProof/>
        </w:rPr>
        <w:t xml:space="preserve">an </w:t>
      </w:r>
      <w:r w:rsidR="00D9155E">
        <w:rPr>
          <w:noProof/>
        </w:rPr>
        <w:t xml:space="preserve">additional </w:t>
      </w:r>
      <w:r w:rsidR="00954A0B" w:rsidRPr="4591D6B6">
        <w:rPr>
          <w:noProof/>
        </w:rPr>
        <w:t>amendment of the EUDR</w:t>
      </w:r>
      <w:r w:rsidR="002611E5">
        <w:rPr>
          <w:noProof/>
        </w:rPr>
        <w:t xml:space="preserve"> (</w:t>
      </w:r>
      <w:r w:rsidR="00954A0B" w:rsidRPr="4591D6B6">
        <w:rPr>
          <w:rStyle w:val="FootnoteReference"/>
          <w:noProof/>
        </w:rPr>
        <w:footnoteReference w:id="23"/>
      </w:r>
      <w:r w:rsidR="002611E5">
        <w:rPr>
          <w:noProof/>
        </w:rPr>
        <w:t>)</w:t>
      </w:r>
      <w:r w:rsidR="00954A0B" w:rsidRPr="4591D6B6">
        <w:rPr>
          <w:noProof/>
        </w:rPr>
        <w:t xml:space="preserve">, building on </w:t>
      </w:r>
      <w:r w:rsidR="00904652">
        <w:rPr>
          <w:noProof/>
        </w:rPr>
        <w:t>a</w:t>
      </w:r>
      <w:r w:rsidR="00B57BBB">
        <w:rPr>
          <w:noProof/>
        </w:rPr>
        <w:t xml:space="preserve"> second</w:t>
      </w:r>
      <w:r w:rsidR="00904652">
        <w:rPr>
          <w:noProof/>
        </w:rPr>
        <w:t xml:space="preserve"> </w:t>
      </w:r>
      <w:r w:rsidR="00954A0B" w:rsidRPr="4591D6B6">
        <w:rPr>
          <w:noProof/>
        </w:rPr>
        <w:t>Commission proposal </w:t>
      </w:r>
      <w:r w:rsidR="002611E5">
        <w:rPr>
          <w:noProof/>
        </w:rPr>
        <w:t>(</w:t>
      </w:r>
      <w:r w:rsidR="00954A0B" w:rsidRPr="4591D6B6">
        <w:rPr>
          <w:rStyle w:val="FootnoteReference"/>
          <w:noProof/>
        </w:rPr>
        <w:footnoteReference w:id="24"/>
      </w:r>
      <w:r w:rsidR="002611E5">
        <w:rPr>
          <w:noProof/>
        </w:rPr>
        <w:t>)</w:t>
      </w:r>
      <w:r w:rsidR="00593900" w:rsidRPr="0012174E">
        <w:rPr>
          <w:noProof/>
          <w:szCs w:val="24"/>
        </w:rPr>
        <w:t xml:space="preserve">, </w:t>
      </w:r>
      <w:r w:rsidR="553F97CF" w:rsidRPr="4591D6B6">
        <w:rPr>
          <w:noProof/>
        </w:rPr>
        <w:t xml:space="preserve">adding </w:t>
      </w:r>
      <w:r w:rsidR="7BD45BA7" w:rsidRPr="4591D6B6">
        <w:rPr>
          <w:noProof/>
        </w:rPr>
        <w:t>another</w:t>
      </w:r>
      <w:r w:rsidR="00120A37" w:rsidRPr="0012174E">
        <w:rPr>
          <w:noProof/>
          <w:szCs w:val="24"/>
        </w:rPr>
        <w:t xml:space="preserve"> </w:t>
      </w:r>
      <w:r w:rsidR="6F9995CA" w:rsidRPr="4591D6B6">
        <w:rPr>
          <w:noProof/>
        </w:rPr>
        <w:t xml:space="preserve">year before </w:t>
      </w:r>
      <w:r w:rsidR="00120A37" w:rsidRPr="4591D6B6">
        <w:rPr>
          <w:noProof/>
        </w:rPr>
        <w:t xml:space="preserve">entry into application </w:t>
      </w:r>
      <w:r w:rsidR="49ACCC3A" w:rsidRPr="4591D6B6">
        <w:rPr>
          <w:noProof/>
        </w:rPr>
        <w:t xml:space="preserve">(December 2026) </w:t>
      </w:r>
      <w:r w:rsidR="00120A37" w:rsidRPr="4591D6B6">
        <w:rPr>
          <w:noProof/>
        </w:rPr>
        <w:t xml:space="preserve">and introducing </w:t>
      </w:r>
      <w:r w:rsidR="050C2A6F" w:rsidRPr="4591D6B6">
        <w:rPr>
          <w:noProof/>
        </w:rPr>
        <w:t xml:space="preserve">some </w:t>
      </w:r>
      <w:r w:rsidR="2D44992D" w:rsidRPr="4591D6B6">
        <w:rPr>
          <w:noProof/>
        </w:rPr>
        <w:t>changes on substance</w:t>
      </w:r>
      <w:r w:rsidR="7DD2A253" w:rsidRPr="4591D6B6">
        <w:rPr>
          <w:noProof/>
        </w:rPr>
        <w:t xml:space="preserve">, </w:t>
      </w:r>
      <w:r w:rsidR="00D9155E">
        <w:rPr>
          <w:noProof/>
        </w:rPr>
        <w:t xml:space="preserve">in order </w:t>
      </w:r>
      <w:r w:rsidR="7DD2A253" w:rsidRPr="4591D6B6">
        <w:rPr>
          <w:noProof/>
        </w:rPr>
        <w:t xml:space="preserve">to simplify the practical implementation and reduce the amount of data </w:t>
      </w:r>
      <w:r w:rsidR="006E678C">
        <w:rPr>
          <w:noProof/>
        </w:rPr>
        <w:t xml:space="preserve">submissions </w:t>
      </w:r>
      <w:r w:rsidR="7DD2A253" w:rsidRPr="4591D6B6">
        <w:rPr>
          <w:noProof/>
        </w:rPr>
        <w:t>required</w:t>
      </w:r>
      <w:r w:rsidR="00120A37" w:rsidRPr="0012174E">
        <w:rPr>
          <w:noProof/>
          <w:szCs w:val="24"/>
        </w:rPr>
        <w:t>.</w:t>
      </w:r>
      <w:r w:rsidR="00A5581D" w:rsidRPr="0012174E">
        <w:rPr>
          <w:noProof/>
          <w:szCs w:val="24"/>
        </w:rPr>
        <w:t xml:space="preserve"> </w:t>
      </w:r>
    </w:p>
    <w:p w14:paraId="4F13F8C6" w14:textId="227DD79B" w:rsidR="00951A2E" w:rsidRPr="0012174E" w:rsidRDefault="00DC6727" w:rsidP="0012174E">
      <w:pPr>
        <w:spacing w:after="120"/>
        <w:rPr>
          <w:noProof/>
        </w:rPr>
      </w:pPr>
      <w:r w:rsidRPr="4591D6B6">
        <w:rPr>
          <w:noProof/>
        </w:rPr>
        <w:t xml:space="preserve">In </w:t>
      </w:r>
      <w:r w:rsidR="00973454">
        <w:rPr>
          <w:noProof/>
        </w:rPr>
        <w:t>Regulation (EU) 2025/2650</w:t>
      </w:r>
      <w:r w:rsidRPr="4591D6B6">
        <w:rPr>
          <w:noProof/>
        </w:rPr>
        <w:t>, t</w:t>
      </w:r>
      <w:r w:rsidR="00940236" w:rsidRPr="4591D6B6">
        <w:rPr>
          <w:noProof/>
        </w:rPr>
        <w:t xml:space="preserve">he </w:t>
      </w:r>
      <w:r w:rsidR="000A0DD0" w:rsidRPr="4591D6B6">
        <w:rPr>
          <w:noProof/>
        </w:rPr>
        <w:t xml:space="preserve">Council and the European Parliament </w:t>
      </w:r>
      <w:r w:rsidR="0C026747" w:rsidRPr="4591D6B6">
        <w:rPr>
          <w:noProof/>
        </w:rPr>
        <w:t xml:space="preserve">also </w:t>
      </w:r>
      <w:r w:rsidR="00635D8C" w:rsidRPr="4591D6B6">
        <w:rPr>
          <w:noProof/>
        </w:rPr>
        <w:t>included</w:t>
      </w:r>
      <w:r w:rsidR="000A0DD0" w:rsidRPr="4591D6B6">
        <w:rPr>
          <w:noProof/>
        </w:rPr>
        <w:t xml:space="preserve"> a clause </w:t>
      </w:r>
      <w:r w:rsidR="00904652">
        <w:rPr>
          <w:noProof/>
        </w:rPr>
        <w:t>(Art</w:t>
      </w:r>
      <w:r w:rsidR="00973454">
        <w:rPr>
          <w:noProof/>
        </w:rPr>
        <w:t>icle</w:t>
      </w:r>
      <w:r w:rsidR="00904652">
        <w:rPr>
          <w:noProof/>
        </w:rPr>
        <w:t xml:space="preserve"> 34(1a)) </w:t>
      </w:r>
      <w:r w:rsidR="00570610" w:rsidRPr="4591D6B6">
        <w:rPr>
          <w:noProof/>
        </w:rPr>
        <w:t>requiring</w:t>
      </w:r>
      <w:r w:rsidR="000A0DD0" w:rsidRPr="0012174E">
        <w:rPr>
          <w:noProof/>
          <w:szCs w:val="24"/>
        </w:rPr>
        <w:t xml:space="preserve"> </w:t>
      </w:r>
      <w:r w:rsidR="23214AA6" w:rsidRPr="4591D6B6">
        <w:rPr>
          <w:noProof/>
        </w:rPr>
        <w:t xml:space="preserve">the Commission to carry out </w:t>
      </w:r>
      <w:r w:rsidR="000A0DD0" w:rsidRPr="4591D6B6">
        <w:rPr>
          <w:noProof/>
        </w:rPr>
        <w:t>a “</w:t>
      </w:r>
      <w:r w:rsidR="000A0DD0" w:rsidRPr="4591D6B6">
        <w:rPr>
          <w:i/>
          <w:iCs/>
          <w:noProof/>
        </w:rPr>
        <w:t>simplification review</w:t>
      </w:r>
      <w:r w:rsidR="002268EF" w:rsidRPr="4591D6B6">
        <w:rPr>
          <w:i/>
          <w:iCs/>
          <w:noProof/>
        </w:rPr>
        <w:t xml:space="preserve"> </w:t>
      </w:r>
      <w:r w:rsidR="00676AE8" w:rsidRPr="4591D6B6">
        <w:rPr>
          <w:i/>
          <w:iCs/>
          <w:noProof/>
        </w:rPr>
        <w:t xml:space="preserve">of this Regulation </w:t>
      </w:r>
      <w:r w:rsidR="002268EF" w:rsidRPr="4591D6B6">
        <w:rPr>
          <w:i/>
          <w:iCs/>
          <w:noProof/>
        </w:rPr>
        <w:t>and on this basis present a report to the European Parliament and to the Council accompanied, where appropriate, by a legislative proposal</w:t>
      </w:r>
      <w:r w:rsidR="000A0DD0" w:rsidRPr="0012174E">
        <w:rPr>
          <w:noProof/>
          <w:szCs w:val="24"/>
        </w:rPr>
        <w:t>”</w:t>
      </w:r>
      <w:r w:rsidR="0082412D" w:rsidRPr="4591D6B6">
        <w:rPr>
          <w:noProof/>
        </w:rPr>
        <w:t xml:space="preserve"> to be delivered by 30 April 2026</w:t>
      </w:r>
      <w:r w:rsidR="002268EF" w:rsidRPr="0012174E">
        <w:rPr>
          <w:noProof/>
          <w:szCs w:val="24"/>
        </w:rPr>
        <w:t>.</w:t>
      </w:r>
      <w:r w:rsidR="004D1E35" w:rsidRPr="0012174E">
        <w:rPr>
          <w:noProof/>
          <w:szCs w:val="24"/>
        </w:rPr>
        <w:t xml:space="preserve"> </w:t>
      </w:r>
    </w:p>
    <w:p w14:paraId="2EF56AB7" w14:textId="7C1431D5" w:rsidR="00940236" w:rsidRPr="0012174E" w:rsidRDefault="004D1E35" w:rsidP="0012174E">
      <w:pPr>
        <w:spacing w:after="120"/>
        <w:rPr>
          <w:noProof/>
          <w:szCs w:val="24"/>
        </w:rPr>
      </w:pPr>
      <w:r w:rsidRPr="0015231C">
        <w:rPr>
          <w:noProof/>
          <w:szCs w:val="24"/>
        </w:rPr>
        <w:t>Recital 14 of the amending Regulation further states that “</w:t>
      </w:r>
      <w:r w:rsidRPr="0015231C">
        <w:rPr>
          <w:i/>
          <w:iCs/>
          <w:noProof/>
          <w:szCs w:val="24"/>
        </w:rPr>
        <w:t>the report should evaluate the administrative burden and impact of that Regulation, in particular for micro or small operators. Furthermore, in the report, the Commission should indicate possible ways to address the identified issues, including through technical guidelines, improvements to the IT system, and delegated or implementing acts</w:t>
      </w:r>
      <w:r w:rsidR="00AC0B8A" w:rsidRPr="0015231C">
        <w:rPr>
          <w:i/>
          <w:iCs/>
          <w:noProof/>
          <w:szCs w:val="24"/>
        </w:rPr>
        <w:t>.</w:t>
      </w:r>
      <w:r w:rsidRPr="0015231C">
        <w:rPr>
          <w:i/>
          <w:iCs/>
          <w:noProof/>
          <w:szCs w:val="24"/>
        </w:rPr>
        <w:t>”</w:t>
      </w:r>
    </w:p>
    <w:p w14:paraId="22E36468" w14:textId="2EDDA551" w:rsidR="0003409D" w:rsidRPr="00E84250" w:rsidRDefault="00B3090E" w:rsidP="0012174E">
      <w:pPr>
        <w:spacing w:after="120"/>
        <w:rPr>
          <w:noProof/>
        </w:rPr>
      </w:pPr>
      <w:r>
        <w:rPr>
          <w:noProof/>
        </w:rPr>
        <w:t>As mentioned above, t</w:t>
      </w:r>
      <w:r w:rsidR="0003409D">
        <w:rPr>
          <w:noProof/>
        </w:rPr>
        <w:t xml:space="preserve">he </w:t>
      </w:r>
      <w:r w:rsidR="0070789E">
        <w:rPr>
          <w:noProof/>
        </w:rPr>
        <w:t>R</w:t>
      </w:r>
      <w:r w:rsidR="0003409D">
        <w:rPr>
          <w:noProof/>
        </w:rPr>
        <w:t>eport outlines the simplification measures introduced under the EUDR since its entry into force in June 2023 and provides an assessment of the resulting administrative burden and overall impact of the Regulation, in particular for micro or small operators. It also evaluates the extent to which these simplifications have contributed to reducing administrative burden</w:t>
      </w:r>
      <w:r w:rsidR="00983DFD">
        <w:rPr>
          <w:noProof/>
        </w:rPr>
        <w:t xml:space="preserve"> on operators and traders</w:t>
      </w:r>
      <w:r w:rsidR="0003409D">
        <w:rPr>
          <w:noProof/>
        </w:rPr>
        <w:t xml:space="preserve">. In addition, the </w:t>
      </w:r>
      <w:r w:rsidR="00973454">
        <w:rPr>
          <w:noProof/>
        </w:rPr>
        <w:t>R</w:t>
      </w:r>
      <w:r w:rsidR="0003409D">
        <w:rPr>
          <w:noProof/>
        </w:rPr>
        <w:t xml:space="preserve">eport presents further facilitation measures proposed by the Commission </w:t>
      </w:r>
      <w:r w:rsidR="0009219D">
        <w:rPr>
          <w:noProof/>
        </w:rPr>
        <w:t>following the EUDR revision of December 2025</w:t>
      </w:r>
      <w:r w:rsidR="00C76687">
        <w:rPr>
          <w:noProof/>
        </w:rPr>
        <w:t xml:space="preserve">, </w:t>
      </w:r>
      <w:r w:rsidR="00F37116">
        <w:rPr>
          <w:noProof/>
        </w:rPr>
        <w:t xml:space="preserve">including </w:t>
      </w:r>
      <w:r w:rsidR="00DC6749">
        <w:rPr>
          <w:noProof/>
        </w:rPr>
        <w:t>update of the FAQs and Guidance documents,</w:t>
      </w:r>
      <w:r w:rsidR="00F37116">
        <w:rPr>
          <w:noProof/>
        </w:rPr>
        <w:t xml:space="preserve"> </w:t>
      </w:r>
      <w:r w:rsidR="00F12582">
        <w:rPr>
          <w:noProof/>
        </w:rPr>
        <w:t xml:space="preserve">draft Delegated Act </w:t>
      </w:r>
      <w:r w:rsidR="00CD6418">
        <w:rPr>
          <w:noProof/>
        </w:rPr>
        <w:t>proposal</w:t>
      </w:r>
      <w:r w:rsidR="00F12582">
        <w:rPr>
          <w:noProof/>
        </w:rPr>
        <w:t xml:space="preserve"> </w:t>
      </w:r>
      <w:r w:rsidR="00F37116">
        <w:rPr>
          <w:noProof/>
        </w:rPr>
        <w:t xml:space="preserve">on the </w:t>
      </w:r>
      <w:r w:rsidR="00CD6418">
        <w:rPr>
          <w:noProof/>
        </w:rPr>
        <w:t>product</w:t>
      </w:r>
      <w:r w:rsidR="00F37116">
        <w:rPr>
          <w:noProof/>
        </w:rPr>
        <w:t xml:space="preserve"> scope</w:t>
      </w:r>
      <w:r w:rsidR="0003409D">
        <w:rPr>
          <w:noProof/>
        </w:rPr>
        <w:t xml:space="preserve">, </w:t>
      </w:r>
      <w:r w:rsidR="00A41A75">
        <w:rPr>
          <w:noProof/>
        </w:rPr>
        <w:t>as well as</w:t>
      </w:r>
      <w:r w:rsidR="002611E5">
        <w:rPr>
          <w:noProof/>
        </w:rPr>
        <w:t xml:space="preserve"> </w:t>
      </w:r>
      <w:r w:rsidR="0003409D">
        <w:rPr>
          <w:noProof/>
        </w:rPr>
        <w:t>development</w:t>
      </w:r>
      <w:r w:rsidR="003D6576">
        <w:rPr>
          <w:noProof/>
        </w:rPr>
        <w:t>s</w:t>
      </w:r>
      <w:r w:rsidR="0003409D">
        <w:rPr>
          <w:noProof/>
        </w:rPr>
        <w:t xml:space="preserve"> </w:t>
      </w:r>
      <w:r w:rsidR="003D6576">
        <w:rPr>
          <w:noProof/>
        </w:rPr>
        <w:t>relating to</w:t>
      </w:r>
      <w:r w:rsidR="0003409D">
        <w:rPr>
          <w:noProof/>
        </w:rPr>
        <w:t xml:space="preserve"> the </w:t>
      </w:r>
      <w:r w:rsidR="003F3125">
        <w:rPr>
          <w:noProof/>
        </w:rPr>
        <w:t>information</w:t>
      </w:r>
      <w:r w:rsidR="0003409D">
        <w:rPr>
          <w:noProof/>
        </w:rPr>
        <w:t xml:space="preserve"> system, aimed </w:t>
      </w:r>
      <w:r w:rsidR="5AE065BB">
        <w:rPr>
          <w:noProof/>
        </w:rPr>
        <w:t xml:space="preserve">to </w:t>
      </w:r>
      <w:r w:rsidR="0003409D">
        <w:rPr>
          <w:noProof/>
        </w:rPr>
        <w:t>ensur</w:t>
      </w:r>
      <w:r w:rsidR="6D23EEED">
        <w:rPr>
          <w:noProof/>
        </w:rPr>
        <w:t>e</w:t>
      </w:r>
      <w:r w:rsidR="0003409D">
        <w:rPr>
          <w:noProof/>
        </w:rPr>
        <w:t xml:space="preserve"> the effective application of the Regulation by the end of 2026.</w:t>
      </w:r>
    </w:p>
    <w:p w14:paraId="2F6211AC" w14:textId="0C4F4677" w:rsidR="006B2C2F" w:rsidRDefault="5B4A756F">
      <w:pPr>
        <w:spacing w:after="0"/>
        <w:jc w:val="left"/>
        <w:rPr>
          <w:b/>
          <w:bCs/>
          <w:noProof/>
          <w:sz w:val="28"/>
          <w:szCs w:val="28"/>
        </w:rPr>
      </w:pPr>
      <w:r w:rsidRPr="0012174E">
        <w:rPr>
          <w:noProof/>
          <w:szCs w:val="24"/>
        </w:rPr>
        <w:t>Th</w:t>
      </w:r>
      <w:r w:rsidR="6843C1A1" w:rsidRPr="0012174E">
        <w:rPr>
          <w:noProof/>
          <w:szCs w:val="24"/>
        </w:rPr>
        <w:t>e</w:t>
      </w:r>
      <w:r w:rsidR="006A0475" w:rsidRPr="0012174E">
        <w:rPr>
          <w:noProof/>
          <w:szCs w:val="24"/>
        </w:rPr>
        <w:t xml:space="preserve"> </w:t>
      </w:r>
      <w:r w:rsidR="0070789E">
        <w:rPr>
          <w:noProof/>
          <w:szCs w:val="24"/>
        </w:rPr>
        <w:t>R</w:t>
      </w:r>
      <w:r w:rsidR="401707E5" w:rsidRPr="0012174E">
        <w:rPr>
          <w:noProof/>
          <w:szCs w:val="24"/>
        </w:rPr>
        <w:t>eport</w:t>
      </w:r>
      <w:r w:rsidR="006A0475" w:rsidRPr="0012174E">
        <w:rPr>
          <w:noProof/>
          <w:szCs w:val="24"/>
        </w:rPr>
        <w:t xml:space="preserve"> presents </w:t>
      </w:r>
      <w:r w:rsidR="008C3540" w:rsidRPr="0012174E">
        <w:rPr>
          <w:noProof/>
          <w:szCs w:val="24"/>
        </w:rPr>
        <w:t>in Chapter 2</w:t>
      </w:r>
      <w:r w:rsidR="006D538B">
        <w:rPr>
          <w:noProof/>
          <w:szCs w:val="24"/>
        </w:rPr>
        <w:t xml:space="preserve"> </w:t>
      </w:r>
      <w:r w:rsidR="006A0475" w:rsidRPr="0012174E">
        <w:rPr>
          <w:noProof/>
          <w:szCs w:val="24"/>
        </w:rPr>
        <w:t xml:space="preserve">the </w:t>
      </w:r>
      <w:r w:rsidR="00BC51A3" w:rsidRPr="0012174E">
        <w:rPr>
          <w:noProof/>
          <w:szCs w:val="24"/>
        </w:rPr>
        <w:t xml:space="preserve">simplification measures </w:t>
      </w:r>
      <w:r w:rsidR="00587544" w:rsidRPr="0012174E">
        <w:rPr>
          <w:noProof/>
          <w:szCs w:val="24"/>
        </w:rPr>
        <w:t>already implemented since the entry into force</w:t>
      </w:r>
      <w:r w:rsidR="002E51F1" w:rsidRPr="0012174E">
        <w:rPr>
          <w:noProof/>
          <w:szCs w:val="24"/>
        </w:rPr>
        <w:t xml:space="preserve">. Chapter 3 </w:t>
      </w:r>
      <w:r w:rsidR="00A0040B" w:rsidRPr="0012174E">
        <w:rPr>
          <w:noProof/>
          <w:szCs w:val="24"/>
        </w:rPr>
        <w:t>outlines</w:t>
      </w:r>
      <w:r w:rsidR="002E51F1" w:rsidRPr="0012174E">
        <w:rPr>
          <w:noProof/>
          <w:szCs w:val="24"/>
        </w:rPr>
        <w:t xml:space="preserve"> the</w:t>
      </w:r>
      <w:r w:rsidR="006A0475" w:rsidRPr="0012174E">
        <w:rPr>
          <w:noProof/>
          <w:szCs w:val="24"/>
        </w:rPr>
        <w:t xml:space="preserve"> stakeholder feedback, inputs, and evidence base underpinning the </w:t>
      </w:r>
      <w:r w:rsidR="002E51F1" w:rsidRPr="0012174E">
        <w:rPr>
          <w:noProof/>
          <w:szCs w:val="24"/>
        </w:rPr>
        <w:t xml:space="preserve">new </w:t>
      </w:r>
      <w:r w:rsidR="006A0475" w:rsidRPr="0012174E">
        <w:rPr>
          <w:noProof/>
          <w:szCs w:val="24"/>
        </w:rPr>
        <w:t xml:space="preserve">simplification measures </w:t>
      </w:r>
      <w:r w:rsidR="00082791" w:rsidRPr="0012174E">
        <w:rPr>
          <w:noProof/>
          <w:szCs w:val="24"/>
        </w:rPr>
        <w:t xml:space="preserve">introduced as part of the </w:t>
      </w:r>
      <w:r w:rsidR="6F376ED5" w:rsidRPr="0012174E">
        <w:rPr>
          <w:noProof/>
          <w:szCs w:val="24"/>
        </w:rPr>
        <w:t>current</w:t>
      </w:r>
      <w:r w:rsidR="00082791" w:rsidRPr="0012174E">
        <w:rPr>
          <w:noProof/>
          <w:szCs w:val="24"/>
        </w:rPr>
        <w:t xml:space="preserve"> simplification package</w:t>
      </w:r>
      <w:r w:rsidR="0077177F" w:rsidRPr="0012174E">
        <w:rPr>
          <w:noProof/>
          <w:szCs w:val="24"/>
        </w:rPr>
        <w:t>.</w:t>
      </w:r>
      <w:r w:rsidR="006A0475" w:rsidRPr="0012174E">
        <w:rPr>
          <w:noProof/>
          <w:szCs w:val="24"/>
        </w:rPr>
        <w:t xml:space="preserve"> </w:t>
      </w:r>
      <w:r w:rsidR="006971F8" w:rsidRPr="0012174E">
        <w:rPr>
          <w:noProof/>
          <w:szCs w:val="24"/>
        </w:rPr>
        <w:t>These measures are</w:t>
      </w:r>
      <w:r w:rsidR="01BDB597" w:rsidRPr="0012174E">
        <w:rPr>
          <w:noProof/>
          <w:szCs w:val="24"/>
        </w:rPr>
        <w:t xml:space="preserve"> </w:t>
      </w:r>
      <w:r w:rsidR="009C620C" w:rsidRPr="0012174E">
        <w:rPr>
          <w:noProof/>
          <w:szCs w:val="24"/>
        </w:rPr>
        <w:t xml:space="preserve">summarised </w:t>
      </w:r>
      <w:r w:rsidR="006971F8" w:rsidRPr="0012174E">
        <w:rPr>
          <w:noProof/>
          <w:szCs w:val="24"/>
        </w:rPr>
        <w:t xml:space="preserve">in </w:t>
      </w:r>
      <w:r w:rsidR="006A0475" w:rsidRPr="0012174E">
        <w:rPr>
          <w:noProof/>
          <w:szCs w:val="24"/>
        </w:rPr>
        <w:t>Chapter 4</w:t>
      </w:r>
      <w:r w:rsidR="6681F981" w:rsidRPr="0012174E">
        <w:rPr>
          <w:noProof/>
          <w:szCs w:val="24"/>
        </w:rPr>
        <w:t xml:space="preserve"> while</w:t>
      </w:r>
      <w:r w:rsidR="47B9845D" w:rsidRPr="0012174E">
        <w:rPr>
          <w:noProof/>
          <w:szCs w:val="24"/>
        </w:rPr>
        <w:t xml:space="preserve"> </w:t>
      </w:r>
      <w:r w:rsidR="00F73F70">
        <w:rPr>
          <w:noProof/>
          <w:szCs w:val="24"/>
        </w:rPr>
        <w:t>C</w:t>
      </w:r>
      <w:r w:rsidR="006A0475" w:rsidRPr="0012174E">
        <w:rPr>
          <w:noProof/>
          <w:szCs w:val="24"/>
        </w:rPr>
        <w:t xml:space="preserve">hapter 5 </w:t>
      </w:r>
      <w:r w:rsidR="00782E56" w:rsidRPr="0012174E">
        <w:rPr>
          <w:noProof/>
          <w:szCs w:val="24"/>
        </w:rPr>
        <w:t>presents</w:t>
      </w:r>
      <w:r w:rsidR="006A0475" w:rsidRPr="0012174E">
        <w:rPr>
          <w:noProof/>
          <w:szCs w:val="24"/>
        </w:rPr>
        <w:t xml:space="preserve"> </w:t>
      </w:r>
      <w:r w:rsidR="11661BD9" w:rsidRPr="0012174E">
        <w:rPr>
          <w:noProof/>
          <w:szCs w:val="24"/>
        </w:rPr>
        <w:t>the</w:t>
      </w:r>
      <w:r w:rsidR="006A0475" w:rsidRPr="0012174E">
        <w:rPr>
          <w:noProof/>
          <w:szCs w:val="24"/>
        </w:rPr>
        <w:t xml:space="preserve"> </w:t>
      </w:r>
      <w:r w:rsidR="7619F8D6" w:rsidRPr="0012174E">
        <w:rPr>
          <w:noProof/>
          <w:szCs w:val="24"/>
        </w:rPr>
        <w:t xml:space="preserve">estimated </w:t>
      </w:r>
      <w:r w:rsidR="006A0475" w:rsidRPr="0012174E">
        <w:rPr>
          <w:noProof/>
          <w:szCs w:val="24"/>
        </w:rPr>
        <w:t>quantitative impact</w:t>
      </w:r>
      <w:r w:rsidR="6FFAB0E9" w:rsidRPr="0012174E">
        <w:rPr>
          <w:noProof/>
          <w:szCs w:val="24"/>
        </w:rPr>
        <w:t>s</w:t>
      </w:r>
      <w:r w:rsidR="006A0475" w:rsidRPr="0012174E">
        <w:rPr>
          <w:noProof/>
          <w:szCs w:val="24"/>
        </w:rPr>
        <w:t xml:space="preserve"> of </w:t>
      </w:r>
      <w:r w:rsidR="00B97638" w:rsidRPr="0012174E">
        <w:rPr>
          <w:noProof/>
          <w:szCs w:val="24"/>
        </w:rPr>
        <w:t xml:space="preserve">both the </w:t>
      </w:r>
      <w:r w:rsidR="00B40A16" w:rsidRPr="0012174E">
        <w:rPr>
          <w:noProof/>
          <w:szCs w:val="24"/>
        </w:rPr>
        <w:t xml:space="preserve">previous and new simplification </w:t>
      </w:r>
      <w:r w:rsidR="00D41544" w:rsidRPr="0012174E">
        <w:rPr>
          <w:noProof/>
          <w:szCs w:val="24"/>
        </w:rPr>
        <w:t>package</w:t>
      </w:r>
      <w:r w:rsidR="006A0475" w:rsidRPr="0012174E">
        <w:rPr>
          <w:noProof/>
          <w:szCs w:val="24"/>
        </w:rPr>
        <w:t>.</w:t>
      </w:r>
    </w:p>
    <w:p w14:paraId="665E8650" w14:textId="77777777" w:rsidR="009024AA" w:rsidRDefault="009024AA">
      <w:pPr>
        <w:spacing w:after="0"/>
        <w:jc w:val="left"/>
        <w:rPr>
          <w:b/>
          <w:bCs/>
          <w:noProof/>
          <w:sz w:val="28"/>
          <w:szCs w:val="28"/>
        </w:rPr>
      </w:pPr>
    </w:p>
    <w:p w14:paraId="7AC7DBB5" w14:textId="2683F531" w:rsidR="00E63F32" w:rsidRPr="00E84250" w:rsidRDefault="00E63F32" w:rsidP="0012174E">
      <w:pPr>
        <w:spacing w:after="120"/>
        <w:rPr>
          <w:b/>
          <w:bCs/>
          <w:noProof/>
          <w:sz w:val="28"/>
          <w:szCs w:val="28"/>
        </w:rPr>
      </w:pPr>
      <w:r w:rsidRPr="00E84250">
        <w:rPr>
          <w:b/>
          <w:bCs/>
          <w:noProof/>
          <w:sz w:val="28"/>
          <w:szCs w:val="28"/>
        </w:rPr>
        <w:t xml:space="preserve">2. </w:t>
      </w:r>
      <w:r w:rsidR="00942808" w:rsidRPr="00E84250">
        <w:rPr>
          <w:b/>
          <w:bCs/>
          <w:noProof/>
          <w:sz w:val="28"/>
          <w:szCs w:val="28"/>
        </w:rPr>
        <w:t>S</w:t>
      </w:r>
      <w:r w:rsidR="00AF5D67" w:rsidRPr="00E84250">
        <w:rPr>
          <w:b/>
          <w:bCs/>
          <w:noProof/>
          <w:sz w:val="28"/>
          <w:szCs w:val="28"/>
        </w:rPr>
        <w:t xml:space="preserve">implification measures implemented </w:t>
      </w:r>
      <w:r w:rsidR="091F801C" w:rsidRPr="00E84250">
        <w:rPr>
          <w:b/>
          <w:bCs/>
          <w:noProof/>
          <w:sz w:val="28"/>
          <w:szCs w:val="28"/>
        </w:rPr>
        <w:t xml:space="preserve">up to </w:t>
      </w:r>
      <w:r w:rsidR="78AAFE7F" w:rsidRPr="00E84250">
        <w:rPr>
          <w:b/>
          <w:bCs/>
          <w:noProof/>
          <w:sz w:val="28"/>
          <w:szCs w:val="28"/>
        </w:rPr>
        <w:t xml:space="preserve">the end of </w:t>
      </w:r>
      <w:r w:rsidR="091F801C" w:rsidRPr="00E84250">
        <w:rPr>
          <w:b/>
          <w:bCs/>
          <w:noProof/>
          <w:sz w:val="28"/>
          <w:szCs w:val="28"/>
        </w:rPr>
        <w:t>2025</w:t>
      </w:r>
    </w:p>
    <w:p w14:paraId="18527E9F" w14:textId="5F57F7B1" w:rsidR="00604D4B" w:rsidRPr="00D21269" w:rsidRDefault="00604D4B" w:rsidP="0012174E">
      <w:pPr>
        <w:spacing w:after="120"/>
        <w:rPr>
          <w:b/>
          <w:bCs/>
          <w:noProof/>
          <w:szCs w:val="24"/>
          <w:lang w:val="en-IE"/>
        </w:rPr>
      </w:pPr>
      <w:r w:rsidRPr="00D21269">
        <w:rPr>
          <w:b/>
          <w:bCs/>
          <w:noProof/>
          <w:szCs w:val="24"/>
          <w:lang w:val="en-IE"/>
        </w:rPr>
        <w:t>2.1. Engagement with stakeholders</w:t>
      </w:r>
      <w:r w:rsidR="00A146F0">
        <w:rPr>
          <w:b/>
          <w:bCs/>
          <w:noProof/>
          <w:szCs w:val="24"/>
          <w:lang w:val="en-IE"/>
        </w:rPr>
        <w:t xml:space="preserve"> </w:t>
      </w:r>
    </w:p>
    <w:p w14:paraId="2EF30435" w14:textId="68E3708A" w:rsidR="00CA55B4" w:rsidRPr="0012174E" w:rsidRDefault="00CA55B4" w:rsidP="0012174E">
      <w:pPr>
        <w:spacing w:after="120"/>
        <w:rPr>
          <w:noProof/>
          <w:szCs w:val="24"/>
          <w:lang w:val="en-IE"/>
        </w:rPr>
      </w:pPr>
      <w:r w:rsidRPr="0012174E">
        <w:rPr>
          <w:noProof/>
          <w:szCs w:val="24"/>
          <w:lang w:val="en-IE"/>
        </w:rPr>
        <w:t>Since the entry into force of the EUDR</w:t>
      </w:r>
      <w:r w:rsidR="000906C8" w:rsidRPr="0012174E">
        <w:rPr>
          <w:noProof/>
          <w:szCs w:val="24"/>
          <w:lang w:val="en-IE"/>
        </w:rPr>
        <w:t xml:space="preserve"> in June 202</w:t>
      </w:r>
      <w:r w:rsidR="004A1610" w:rsidRPr="0012174E">
        <w:rPr>
          <w:noProof/>
          <w:szCs w:val="24"/>
          <w:lang w:val="en-IE"/>
        </w:rPr>
        <w:t>3</w:t>
      </w:r>
      <w:r w:rsidRPr="0012174E">
        <w:rPr>
          <w:noProof/>
          <w:szCs w:val="24"/>
          <w:lang w:val="en-IE"/>
        </w:rPr>
        <w:t xml:space="preserve">, the Commission has </w:t>
      </w:r>
      <w:r w:rsidR="00AC727C" w:rsidRPr="0012174E">
        <w:rPr>
          <w:noProof/>
          <w:szCs w:val="24"/>
          <w:lang w:val="en-IE"/>
        </w:rPr>
        <w:t>adopted</w:t>
      </w:r>
      <w:r w:rsidR="00D802EE" w:rsidRPr="0012174E">
        <w:rPr>
          <w:noProof/>
          <w:szCs w:val="24"/>
          <w:lang w:val="en-IE"/>
        </w:rPr>
        <w:t xml:space="preserve"> </w:t>
      </w:r>
      <w:r w:rsidR="0082510F" w:rsidRPr="0012174E">
        <w:rPr>
          <w:noProof/>
          <w:szCs w:val="24"/>
          <w:lang w:val="en-IE"/>
        </w:rPr>
        <w:t>a</w:t>
      </w:r>
      <w:r w:rsidR="00D802EE" w:rsidRPr="0012174E">
        <w:rPr>
          <w:noProof/>
          <w:szCs w:val="24"/>
          <w:lang w:val="en-IE"/>
        </w:rPr>
        <w:t xml:space="preserve"> range of </w:t>
      </w:r>
      <w:r w:rsidR="00AC727C" w:rsidRPr="0012174E">
        <w:rPr>
          <w:noProof/>
          <w:szCs w:val="24"/>
          <w:lang w:val="en-IE"/>
        </w:rPr>
        <w:t>measures</w:t>
      </w:r>
      <w:r w:rsidR="00D802EE" w:rsidRPr="0012174E">
        <w:rPr>
          <w:noProof/>
          <w:szCs w:val="24"/>
          <w:lang w:val="en-IE"/>
        </w:rPr>
        <w:t xml:space="preserve"> to support its implementation</w:t>
      </w:r>
      <w:r w:rsidR="00D411AB">
        <w:rPr>
          <w:noProof/>
          <w:szCs w:val="24"/>
          <w:lang w:val="en-IE"/>
        </w:rPr>
        <w:t>,</w:t>
      </w:r>
      <w:r w:rsidR="4F7331A1" w:rsidRPr="0012174E">
        <w:rPr>
          <w:noProof/>
          <w:szCs w:val="24"/>
          <w:lang w:val="en-IE"/>
        </w:rPr>
        <w:t xml:space="preserve"> </w:t>
      </w:r>
      <w:r w:rsidR="00AC727C" w:rsidRPr="0012174E">
        <w:rPr>
          <w:noProof/>
          <w:szCs w:val="24"/>
          <w:lang w:val="en-IE"/>
        </w:rPr>
        <w:t xml:space="preserve">based on </w:t>
      </w:r>
      <w:r w:rsidR="00F355EF" w:rsidRPr="0012174E">
        <w:rPr>
          <w:noProof/>
          <w:szCs w:val="24"/>
          <w:lang w:val="en-IE"/>
        </w:rPr>
        <w:t>input</w:t>
      </w:r>
      <w:r w:rsidR="00625FF0" w:rsidRPr="0012174E">
        <w:rPr>
          <w:noProof/>
          <w:szCs w:val="24"/>
          <w:lang w:val="en-IE"/>
        </w:rPr>
        <w:t xml:space="preserve"> and </w:t>
      </w:r>
      <w:r w:rsidR="00A356A8" w:rsidRPr="0012174E">
        <w:rPr>
          <w:noProof/>
          <w:szCs w:val="24"/>
          <w:lang w:val="en-IE"/>
        </w:rPr>
        <w:t>evidence collected from stakeholders</w:t>
      </w:r>
      <w:r w:rsidR="00625FF0" w:rsidRPr="0012174E">
        <w:rPr>
          <w:noProof/>
          <w:szCs w:val="24"/>
          <w:lang w:val="en-IE"/>
        </w:rPr>
        <w:t xml:space="preserve"> and Member States</w:t>
      </w:r>
      <w:r w:rsidR="00AE11D0" w:rsidRPr="0012174E">
        <w:rPr>
          <w:noProof/>
          <w:szCs w:val="24"/>
          <w:lang w:val="en-IE"/>
        </w:rPr>
        <w:t>.</w:t>
      </w:r>
    </w:p>
    <w:p w14:paraId="398A5655" w14:textId="47C4F7F4" w:rsidR="0003409D" w:rsidRPr="0012174E" w:rsidRDefault="546BFE6D" w:rsidP="44DF46F2">
      <w:pPr>
        <w:spacing w:after="120"/>
        <w:rPr>
          <w:noProof/>
          <w:lang w:val="en-IE"/>
        </w:rPr>
      </w:pPr>
      <w:r w:rsidRPr="44DF46F2">
        <w:rPr>
          <w:noProof/>
          <w:lang w:val="en-IE"/>
        </w:rPr>
        <w:t xml:space="preserve">All along, </w:t>
      </w:r>
      <w:r w:rsidR="3BEA42DD" w:rsidRPr="44DF46F2">
        <w:rPr>
          <w:noProof/>
          <w:lang w:val="en-IE"/>
        </w:rPr>
        <w:t xml:space="preserve">the Commission has gathered stakeholder </w:t>
      </w:r>
      <w:r w:rsidR="00881A86" w:rsidRPr="44DF46F2">
        <w:rPr>
          <w:noProof/>
          <w:lang w:val="en-IE"/>
        </w:rPr>
        <w:t xml:space="preserve">feedback through consultations, workshops, studies, bilateral meetings, and expert platform discussions. </w:t>
      </w:r>
    </w:p>
    <w:p w14:paraId="7F6CAE8B" w14:textId="46CF448F" w:rsidR="00A813AE" w:rsidRPr="0012174E" w:rsidDel="002C099C" w:rsidRDefault="0094652B" w:rsidP="0012174E">
      <w:pPr>
        <w:spacing w:after="120"/>
        <w:rPr>
          <w:noProof/>
          <w:lang w:val="en-IE"/>
        </w:rPr>
      </w:pPr>
      <w:r w:rsidRPr="040E2F6E" w:rsidDel="002C099C">
        <w:rPr>
          <w:noProof/>
          <w:lang w:val="en-IE"/>
        </w:rPr>
        <w:t xml:space="preserve">In </w:t>
      </w:r>
      <w:r w:rsidR="00686980" w:rsidRPr="040E2F6E">
        <w:rPr>
          <w:noProof/>
          <w:lang w:val="en-IE"/>
        </w:rPr>
        <w:t>2024</w:t>
      </w:r>
      <w:r w:rsidR="00EC2AF8" w:rsidRPr="040E2F6E">
        <w:rPr>
          <w:noProof/>
          <w:lang w:val="en-IE"/>
        </w:rPr>
        <w:t xml:space="preserve"> </w:t>
      </w:r>
      <w:r w:rsidR="00014555" w:rsidRPr="040E2F6E">
        <w:rPr>
          <w:noProof/>
          <w:lang w:val="en-IE"/>
        </w:rPr>
        <w:t xml:space="preserve">and </w:t>
      </w:r>
      <w:r w:rsidRPr="040E2F6E" w:rsidDel="002C099C">
        <w:rPr>
          <w:noProof/>
          <w:lang w:val="en-IE"/>
        </w:rPr>
        <w:t xml:space="preserve">2025, </w:t>
      </w:r>
      <w:r w:rsidR="00E010AE">
        <w:rPr>
          <w:noProof/>
          <w:lang w:val="en-IE"/>
        </w:rPr>
        <w:t xml:space="preserve">the </w:t>
      </w:r>
      <w:r w:rsidR="008004F4" w:rsidRPr="00FE5445">
        <w:rPr>
          <w:noProof/>
          <w:lang w:val="en-IE"/>
        </w:rPr>
        <w:t xml:space="preserve">Directorate-General for Environment </w:t>
      </w:r>
      <w:r w:rsidR="00616E28" w:rsidRPr="00FE5445">
        <w:rPr>
          <w:noProof/>
          <w:lang w:val="en-IE"/>
        </w:rPr>
        <w:t xml:space="preserve">has organised </w:t>
      </w:r>
      <w:r w:rsidR="00C56941" w:rsidRPr="040E2F6E">
        <w:rPr>
          <w:noProof/>
          <w:lang w:val="en-IE"/>
        </w:rPr>
        <w:t>around</w:t>
      </w:r>
      <w:r w:rsidRPr="040E2F6E" w:rsidDel="002C099C">
        <w:rPr>
          <w:noProof/>
          <w:lang w:val="en-IE"/>
        </w:rPr>
        <w:t xml:space="preserve"> </w:t>
      </w:r>
      <w:r w:rsidR="00494FEB" w:rsidRPr="040E2F6E">
        <w:rPr>
          <w:noProof/>
          <w:lang w:val="en-IE"/>
        </w:rPr>
        <w:t xml:space="preserve">700 </w:t>
      </w:r>
      <w:r w:rsidRPr="040E2F6E" w:rsidDel="002C099C">
        <w:rPr>
          <w:noProof/>
          <w:lang w:val="en-IE"/>
        </w:rPr>
        <w:t xml:space="preserve">bilateral </w:t>
      </w:r>
      <w:r w:rsidR="009D2E8E" w:rsidRPr="040E2F6E" w:rsidDel="002C099C">
        <w:rPr>
          <w:noProof/>
          <w:lang w:val="en-IE"/>
        </w:rPr>
        <w:t>meetings with</w:t>
      </w:r>
      <w:r w:rsidRPr="040E2F6E" w:rsidDel="002C099C">
        <w:rPr>
          <w:noProof/>
          <w:lang w:val="en-IE"/>
        </w:rPr>
        <w:t xml:space="preserve"> stakeholders to gather input and address questions. </w:t>
      </w:r>
      <w:r w:rsidR="00494FEB" w:rsidRPr="040E2F6E">
        <w:rPr>
          <w:noProof/>
          <w:lang w:val="en-IE"/>
        </w:rPr>
        <w:t>Half o</w:t>
      </w:r>
      <w:r w:rsidRPr="040E2F6E" w:rsidDel="002C099C">
        <w:rPr>
          <w:noProof/>
          <w:lang w:val="en-IE"/>
        </w:rPr>
        <w:t>f these</w:t>
      </w:r>
      <w:r w:rsidR="006D42B9">
        <w:rPr>
          <w:noProof/>
          <w:lang w:val="en-IE"/>
        </w:rPr>
        <w:t xml:space="preserve"> </w:t>
      </w:r>
      <w:r w:rsidRPr="040E2F6E" w:rsidDel="00494FEB">
        <w:rPr>
          <w:noProof/>
          <w:lang w:val="en-IE"/>
        </w:rPr>
        <w:t xml:space="preserve">meetings </w:t>
      </w:r>
      <w:r w:rsidRPr="040E2F6E" w:rsidDel="002C099C">
        <w:rPr>
          <w:noProof/>
          <w:lang w:val="en-IE"/>
        </w:rPr>
        <w:t xml:space="preserve">involved </w:t>
      </w:r>
      <w:r w:rsidR="54392B0A" w:rsidRPr="040E2F6E">
        <w:rPr>
          <w:noProof/>
          <w:lang w:val="en-IE"/>
        </w:rPr>
        <w:t>engag</w:t>
      </w:r>
      <w:r w:rsidR="7A247946" w:rsidRPr="040E2F6E">
        <w:rPr>
          <w:noProof/>
          <w:lang w:val="en-IE"/>
        </w:rPr>
        <w:t>ements</w:t>
      </w:r>
      <w:r w:rsidRPr="040E2F6E" w:rsidDel="002C099C">
        <w:rPr>
          <w:noProof/>
          <w:lang w:val="en-IE"/>
        </w:rPr>
        <w:t xml:space="preserve"> with private sector actors, including business associations, companies, NGOs, as well as IT service providers and research institutions. </w:t>
      </w:r>
      <w:r w:rsidR="008A23F0" w:rsidRPr="040E2F6E">
        <w:rPr>
          <w:noProof/>
          <w:lang w:val="en-IE"/>
        </w:rPr>
        <w:t>Most of the</w:t>
      </w:r>
      <w:r w:rsidR="000F16D1" w:rsidRPr="040E2F6E">
        <w:rPr>
          <w:noProof/>
          <w:lang w:val="en-IE"/>
        </w:rPr>
        <w:t xml:space="preserve"> </w:t>
      </w:r>
      <w:r w:rsidR="009D2E8E" w:rsidRPr="040E2F6E">
        <w:rPr>
          <w:noProof/>
          <w:lang w:val="en-IE"/>
        </w:rPr>
        <w:t>other meetings</w:t>
      </w:r>
      <w:r w:rsidR="008A23F0" w:rsidRPr="040E2F6E">
        <w:rPr>
          <w:noProof/>
          <w:lang w:val="en-IE"/>
        </w:rPr>
        <w:t xml:space="preserve"> </w:t>
      </w:r>
      <w:r w:rsidRPr="040E2F6E" w:rsidDel="002C099C">
        <w:rPr>
          <w:noProof/>
          <w:lang w:val="en-IE"/>
        </w:rPr>
        <w:t>were held with third countries</w:t>
      </w:r>
      <w:r w:rsidR="55758C70" w:rsidRPr="040E2F6E">
        <w:rPr>
          <w:noProof/>
          <w:lang w:val="en-IE"/>
        </w:rPr>
        <w:t xml:space="preserve"> representatives</w:t>
      </w:r>
      <w:r w:rsidR="19FD9B68" w:rsidRPr="040E2F6E">
        <w:rPr>
          <w:noProof/>
          <w:lang w:val="en-IE"/>
        </w:rPr>
        <w:t xml:space="preserve"> (</w:t>
      </w:r>
      <w:r w:rsidR="2ACF62F6" w:rsidRPr="040E2F6E">
        <w:rPr>
          <w:noProof/>
          <w:lang w:val="en-IE"/>
        </w:rPr>
        <w:t>government officials</w:t>
      </w:r>
      <w:r w:rsidR="4933962B" w:rsidRPr="040E2F6E">
        <w:rPr>
          <w:noProof/>
          <w:lang w:val="en-IE"/>
        </w:rPr>
        <w:t>,</w:t>
      </w:r>
      <w:r w:rsidR="2ACF62F6" w:rsidRPr="040E2F6E">
        <w:rPr>
          <w:noProof/>
          <w:lang w:val="en-IE"/>
        </w:rPr>
        <w:t xml:space="preserve"> </w:t>
      </w:r>
      <w:r w:rsidR="61831E03" w:rsidRPr="040E2F6E">
        <w:rPr>
          <w:noProof/>
          <w:lang w:val="en-IE"/>
        </w:rPr>
        <w:t xml:space="preserve">businesses and business </w:t>
      </w:r>
      <w:r w:rsidR="0003409D" w:rsidRPr="040E2F6E">
        <w:rPr>
          <w:noProof/>
          <w:lang w:val="en-IE"/>
        </w:rPr>
        <w:t>associations</w:t>
      </w:r>
      <w:r w:rsidR="7F6A3952" w:rsidRPr="040E2F6E">
        <w:rPr>
          <w:noProof/>
          <w:lang w:val="en-IE"/>
        </w:rPr>
        <w:t>, civil society actors, etc)</w:t>
      </w:r>
      <w:r w:rsidRPr="040E2F6E" w:rsidDel="002C099C">
        <w:rPr>
          <w:noProof/>
          <w:lang w:val="en-IE"/>
        </w:rPr>
        <w:t xml:space="preserve"> in Brussels, during</w:t>
      </w:r>
      <w:r w:rsidR="00C335CC" w:rsidRPr="040E2F6E">
        <w:rPr>
          <w:noProof/>
          <w:lang w:val="en-IE"/>
        </w:rPr>
        <w:t xml:space="preserve"> meetings in </w:t>
      </w:r>
      <w:r w:rsidR="00E010AE">
        <w:rPr>
          <w:noProof/>
          <w:lang w:val="en-IE"/>
        </w:rPr>
        <w:t>partner</w:t>
      </w:r>
      <w:r w:rsidR="00E010AE" w:rsidRPr="040E2F6E">
        <w:rPr>
          <w:noProof/>
          <w:lang w:val="en-IE"/>
        </w:rPr>
        <w:t xml:space="preserve"> </w:t>
      </w:r>
      <w:r w:rsidR="009D056E" w:rsidRPr="009F6CA5">
        <w:rPr>
          <w:noProof/>
          <w:lang w:val="en-IE"/>
        </w:rPr>
        <w:t>c</w:t>
      </w:r>
      <w:r w:rsidR="00C335CC" w:rsidRPr="040E2F6E">
        <w:rPr>
          <w:noProof/>
          <w:lang w:val="en-IE"/>
        </w:rPr>
        <w:t>ountries</w:t>
      </w:r>
      <w:r w:rsidRPr="040E2F6E" w:rsidDel="002C099C">
        <w:rPr>
          <w:noProof/>
          <w:lang w:val="en-IE"/>
        </w:rPr>
        <w:t xml:space="preserve">, and online. </w:t>
      </w:r>
    </w:p>
    <w:p w14:paraId="66DE19F5" w14:textId="349B4AC0" w:rsidR="00D97FB2" w:rsidRPr="0012174E" w:rsidRDefault="00B3090E" w:rsidP="0012174E">
      <w:pPr>
        <w:spacing w:after="120"/>
        <w:rPr>
          <w:noProof/>
          <w:lang w:val="en-IE"/>
        </w:rPr>
      </w:pPr>
      <w:r>
        <w:rPr>
          <w:noProof/>
          <w:lang w:val="en-IE"/>
        </w:rPr>
        <w:t>T</w:t>
      </w:r>
      <w:r w:rsidR="00CA50AA" w:rsidRPr="188C1DF8">
        <w:rPr>
          <w:noProof/>
          <w:lang w:val="en-IE"/>
        </w:rPr>
        <w:t>he</w:t>
      </w:r>
      <w:r w:rsidR="00CA50AA" w:rsidRPr="188C1DF8" w:rsidDel="002C099C">
        <w:rPr>
          <w:noProof/>
          <w:lang w:val="en-IE"/>
        </w:rPr>
        <w:t xml:space="preserve"> </w:t>
      </w:r>
      <w:r w:rsidR="2C3D092A" w:rsidRPr="188C1DF8">
        <w:rPr>
          <w:noProof/>
          <w:lang w:val="en-IE"/>
        </w:rPr>
        <w:t xml:space="preserve">dedicated </w:t>
      </w:r>
      <w:r w:rsidR="00CA50AA">
        <w:rPr>
          <w:noProof/>
        </w:rPr>
        <w:t>Multi-Stakeholder Platform</w:t>
      </w:r>
      <w:r w:rsidR="00CA50AA" w:rsidDel="002C099C">
        <w:rPr>
          <w:noProof/>
        </w:rPr>
        <w:t xml:space="preserve"> </w:t>
      </w:r>
      <w:r w:rsidR="00911864">
        <w:rPr>
          <w:noProof/>
        </w:rPr>
        <w:t>on Protecting and Restoring the World’s Forests</w:t>
      </w:r>
      <w:r w:rsidR="00CA50AA" w:rsidRPr="188C1DF8">
        <w:rPr>
          <w:noProof/>
          <w:lang w:val="en-IE"/>
        </w:rPr>
        <w:t xml:space="preserve"> </w:t>
      </w:r>
      <w:r w:rsidR="00CA50AA" w:rsidRPr="188C1DF8" w:rsidDel="002C099C">
        <w:rPr>
          <w:noProof/>
          <w:lang w:val="en-IE"/>
        </w:rPr>
        <w:t xml:space="preserve">(MSP), </w:t>
      </w:r>
      <w:r w:rsidR="00C542D7" w:rsidRPr="188C1DF8">
        <w:rPr>
          <w:noProof/>
          <w:lang w:val="en-IE"/>
        </w:rPr>
        <w:t>an expert group of the Commission</w:t>
      </w:r>
      <w:r>
        <w:rPr>
          <w:noProof/>
          <w:lang w:val="en-IE"/>
        </w:rPr>
        <w:t>, is also an important source of input and feedback</w:t>
      </w:r>
      <w:r w:rsidR="00A12B7B" w:rsidRPr="188C1DF8">
        <w:rPr>
          <w:noProof/>
          <w:lang w:val="en-IE"/>
        </w:rPr>
        <w:t xml:space="preserve">. </w:t>
      </w:r>
      <w:r w:rsidR="24A1F61C" w:rsidRPr="188C1DF8">
        <w:rPr>
          <w:noProof/>
          <w:lang w:val="en-IE"/>
        </w:rPr>
        <w:t>Th</w:t>
      </w:r>
      <w:r w:rsidR="10B8CA58" w:rsidRPr="188C1DF8">
        <w:rPr>
          <w:noProof/>
          <w:lang w:val="en-IE"/>
        </w:rPr>
        <w:t>e</w:t>
      </w:r>
      <w:r w:rsidR="00A12B7B" w:rsidRPr="188C1DF8">
        <w:rPr>
          <w:noProof/>
          <w:lang w:val="en-IE"/>
        </w:rPr>
        <w:t xml:space="preserve"> Pla</w:t>
      </w:r>
      <w:r w:rsidR="00F24292" w:rsidRPr="188C1DF8">
        <w:rPr>
          <w:noProof/>
          <w:lang w:val="en-IE"/>
        </w:rPr>
        <w:t xml:space="preserve">tform </w:t>
      </w:r>
      <w:r w:rsidR="6B38BC7C" w:rsidRPr="188C1DF8">
        <w:rPr>
          <w:noProof/>
          <w:lang w:val="en-IE"/>
        </w:rPr>
        <w:t>provide</w:t>
      </w:r>
      <w:r w:rsidR="5EB14A32" w:rsidRPr="188C1DF8">
        <w:rPr>
          <w:noProof/>
          <w:lang w:val="en-IE"/>
        </w:rPr>
        <w:t>s</w:t>
      </w:r>
      <w:r w:rsidR="00CA50AA" w:rsidRPr="188C1DF8" w:rsidDel="002C099C">
        <w:rPr>
          <w:noProof/>
          <w:lang w:val="en-IE"/>
        </w:rPr>
        <w:t xml:space="preserve"> guidance and support to the Commission on the implementation of the </w:t>
      </w:r>
      <w:r w:rsidR="00C95212" w:rsidRPr="188C1DF8">
        <w:rPr>
          <w:noProof/>
          <w:lang w:val="en-IE"/>
        </w:rPr>
        <w:t>EUDR</w:t>
      </w:r>
      <w:r w:rsidR="00CA50AA" w:rsidRPr="188C1DF8" w:rsidDel="002C099C">
        <w:rPr>
          <w:noProof/>
          <w:lang w:val="en-IE"/>
        </w:rPr>
        <w:t xml:space="preserve">, the preparation of delegated </w:t>
      </w:r>
      <w:r w:rsidR="4B6B9914" w:rsidRPr="188C1DF8">
        <w:rPr>
          <w:noProof/>
          <w:lang w:val="en-IE"/>
        </w:rPr>
        <w:t xml:space="preserve">and implemented </w:t>
      </w:r>
      <w:r w:rsidR="00CA50AA" w:rsidRPr="188C1DF8" w:rsidDel="002C099C">
        <w:rPr>
          <w:noProof/>
          <w:lang w:val="en-IE"/>
        </w:rPr>
        <w:t xml:space="preserve">acts, and the enforcement of EU legislation, programmes, and policies related to the protection and restoration of global forests, including combating illegal logging. It also facilitates coordination with Member States and other stakeholders. The Platform currently has </w:t>
      </w:r>
      <w:r w:rsidR="371C7986" w:rsidRPr="188C1DF8">
        <w:rPr>
          <w:noProof/>
          <w:lang w:val="en-IE"/>
        </w:rPr>
        <w:t>89</w:t>
      </w:r>
      <w:r w:rsidR="00CA50AA" w:rsidRPr="188C1DF8" w:rsidDel="002C099C">
        <w:rPr>
          <w:noProof/>
          <w:lang w:val="en-IE"/>
        </w:rPr>
        <w:t xml:space="preserve"> </w:t>
      </w:r>
      <w:r w:rsidR="00D275A8" w:rsidRPr="188C1DF8">
        <w:rPr>
          <w:noProof/>
          <w:lang w:val="en-IE"/>
        </w:rPr>
        <w:t>members</w:t>
      </w:r>
      <w:r w:rsidR="00CA50AA" w:rsidRPr="188C1DF8" w:rsidDel="002C099C">
        <w:rPr>
          <w:noProof/>
          <w:lang w:val="en-IE"/>
        </w:rPr>
        <w:t xml:space="preserve">: </w:t>
      </w:r>
      <w:r w:rsidR="6B38BC7C" w:rsidRPr="188C1DF8">
        <w:rPr>
          <w:noProof/>
          <w:lang w:val="en-IE"/>
        </w:rPr>
        <w:t>6</w:t>
      </w:r>
      <w:r w:rsidR="5B426969" w:rsidRPr="188C1DF8">
        <w:rPr>
          <w:noProof/>
          <w:lang w:val="en-IE"/>
        </w:rPr>
        <w:t>2</w:t>
      </w:r>
      <w:r w:rsidR="00CA50AA" w:rsidRPr="188C1DF8" w:rsidDel="002C099C">
        <w:rPr>
          <w:noProof/>
          <w:lang w:val="en-IE"/>
        </w:rPr>
        <w:t xml:space="preserve"> stakeholders</w:t>
      </w:r>
      <w:r w:rsidR="5B5CF22B" w:rsidRPr="188C1DF8">
        <w:rPr>
          <w:noProof/>
          <w:lang w:val="en-IE"/>
        </w:rPr>
        <w:t>,</w:t>
      </w:r>
      <w:r w:rsidR="00CA50AA" w:rsidRPr="188C1DF8" w:rsidDel="002C099C">
        <w:rPr>
          <w:noProof/>
          <w:lang w:val="en-IE"/>
        </w:rPr>
        <w:t xml:space="preserve"> and </w:t>
      </w:r>
      <w:r w:rsidR="6558D4C0" w:rsidRPr="188C1DF8">
        <w:rPr>
          <w:noProof/>
          <w:lang w:val="en-IE"/>
        </w:rPr>
        <w:t>27</w:t>
      </w:r>
      <w:r w:rsidR="00CA50AA" w:rsidRPr="188C1DF8" w:rsidDel="002C099C">
        <w:rPr>
          <w:noProof/>
          <w:lang w:val="en-IE"/>
        </w:rPr>
        <w:t xml:space="preserve"> Member </w:t>
      </w:r>
      <w:r w:rsidR="6B38BC7C" w:rsidRPr="188C1DF8">
        <w:rPr>
          <w:noProof/>
          <w:lang w:val="en-IE"/>
        </w:rPr>
        <w:t>State</w:t>
      </w:r>
      <w:r w:rsidR="15666C8B" w:rsidRPr="188C1DF8">
        <w:rPr>
          <w:noProof/>
          <w:lang w:val="en-IE"/>
        </w:rPr>
        <w:t>s</w:t>
      </w:r>
      <w:r w:rsidR="6B38BC7C" w:rsidRPr="188C1DF8">
        <w:rPr>
          <w:noProof/>
          <w:lang w:val="en-IE"/>
        </w:rPr>
        <w:t>.</w:t>
      </w:r>
      <w:r w:rsidR="00CA50AA" w:rsidRPr="188C1DF8" w:rsidDel="002C099C">
        <w:rPr>
          <w:noProof/>
          <w:lang w:val="en-IE"/>
        </w:rPr>
        <w:t xml:space="preserve"> </w:t>
      </w:r>
      <w:r w:rsidR="001F62B8" w:rsidRPr="188C1DF8">
        <w:rPr>
          <w:noProof/>
          <w:lang w:val="en-IE"/>
        </w:rPr>
        <w:t xml:space="preserve">Third </w:t>
      </w:r>
      <w:r w:rsidR="00701B03" w:rsidRPr="188C1DF8">
        <w:rPr>
          <w:noProof/>
          <w:lang w:val="en-IE"/>
        </w:rPr>
        <w:t>countries</w:t>
      </w:r>
      <w:r w:rsidR="001F62B8" w:rsidRPr="188C1DF8">
        <w:rPr>
          <w:noProof/>
          <w:lang w:val="en-IE"/>
        </w:rPr>
        <w:t xml:space="preserve">, </w:t>
      </w:r>
      <w:r w:rsidR="00F66004" w:rsidRPr="188C1DF8">
        <w:rPr>
          <w:noProof/>
          <w:lang w:val="en-IE"/>
        </w:rPr>
        <w:t>i</w:t>
      </w:r>
      <w:r w:rsidR="00CA50AA" w:rsidRPr="188C1DF8">
        <w:rPr>
          <w:noProof/>
          <w:lang w:val="en-IE"/>
        </w:rPr>
        <w:t>nternational</w:t>
      </w:r>
      <w:r w:rsidR="00CA50AA" w:rsidRPr="188C1DF8" w:rsidDel="002C099C">
        <w:rPr>
          <w:noProof/>
          <w:lang w:val="en-IE"/>
        </w:rPr>
        <w:t xml:space="preserve"> organisations and </w:t>
      </w:r>
      <w:r w:rsidR="000D2F95" w:rsidRPr="188C1DF8">
        <w:rPr>
          <w:noProof/>
          <w:lang w:val="en-IE"/>
        </w:rPr>
        <w:t xml:space="preserve">selected </w:t>
      </w:r>
      <w:r w:rsidR="00701B03" w:rsidRPr="188C1DF8">
        <w:rPr>
          <w:noProof/>
          <w:lang w:val="en-IE"/>
        </w:rPr>
        <w:t>stakeholders</w:t>
      </w:r>
      <w:r w:rsidR="00CA50AA" w:rsidRPr="188C1DF8" w:rsidDel="002C099C">
        <w:rPr>
          <w:noProof/>
          <w:lang w:val="en-IE"/>
        </w:rPr>
        <w:t xml:space="preserve"> participate as observers. The </w:t>
      </w:r>
      <w:r w:rsidR="00090EF6" w:rsidRPr="188C1DF8">
        <w:rPr>
          <w:noProof/>
          <w:lang w:val="en-IE"/>
        </w:rPr>
        <w:t>participating</w:t>
      </w:r>
      <w:r w:rsidR="00CA50AA" w:rsidRPr="188C1DF8">
        <w:rPr>
          <w:noProof/>
          <w:lang w:val="en-IE"/>
        </w:rPr>
        <w:t xml:space="preserve"> stakeholder</w:t>
      </w:r>
      <w:r w:rsidR="00621D5D">
        <w:rPr>
          <w:noProof/>
          <w:lang w:val="en-IE"/>
        </w:rPr>
        <w:t>s</w:t>
      </w:r>
      <w:r w:rsidR="00CA50AA" w:rsidRPr="188C1DF8" w:rsidDel="002C099C">
        <w:rPr>
          <w:noProof/>
          <w:lang w:val="en-IE"/>
        </w:rPr>
        <w:t xml:space="preserve"> </w:t>
      </w:r>
      <w:r w:rsidR="00090EF6" w:rsidRPr="188C1DF8">
        <w:rPr>
          <w:noProof/>
          <w:lang w:val="en-IE"/>
        </w:rPr>
        <w:t xml:space="preserve">include </w:t>
      </w:r>
      <w:r w:rsidR="00CA50AA" w:rsidRPr="188C1DF8" w:rsidDel="002C099C">
        <w:rPr>
          <w:noProof/>
          <w:lang w:val="en-IE"/>
        </w:rPr>
        <w:t xml:space="preserve">business associations, </w:t>
      </w:r>
      <w:r w:rsidR="00090EF6" w:rsidRPr="188C1DF8">
        <w:rPr>
          <w:noProof/>
          <w:lang w:val="en-IE"/>
        </w:rPr>
        <w:t>NGOs</w:t>
      </w:r>
      <w:r w:rsidR="00CA50AA" w:rsidRPr="188C1DF8">
        <w:rPr>
          <w:noProof/>
          <w:lang w:val="en-IE"/>
        </w:rPr>
        <w:t xml:space="preserve"> and </w:t>
      </w:r>
      <w:r w:rsidR="00C34E38" w:rsidRPr="188C1DF8">
        <w:rPr>
          <w:noProof/>
          <w:lang w:val="en-IE"/>
        </w:rPr>
        <w:t>other stakeholders</w:t>
      </w:r>
      <w:r w:rsidR="00CA50AA" w:rsidRPr="188C1DF8" w:rsidDel="002C099C">
        <w:rPr>
          <w:noProof/>
          <w:lang w:val="en-IE"/>
        </w:rPr>
        <w:t xml:space="preserve">, representing all seven commodities covered by the EUDR. </w:t>
      </w:r>
      <w:r w:rsidR="008A4D0C" w:rsidRPr="188C1DF8">
        <w:rPr>
          <w:noProof/>
          <w:lang w:val="en-IE"/>
        </w:rPr>
        <w:t xml:space="preserve">Going forward, </w:t>
      </w:r>
      <w:r w:rsidR="008A4D0C" w:rsidRPr="0062074D">
        <w:rPr>
          <w:bCs/>
          <w:noProof/>
          <w:lang w:val="en-IE"/>
        </w:rPr>
        <w:t xml:space="preserve">the Commission will </w:t>
      </w:r>
      <w:r w:rsidR="009D056E" w:rsidRPr="0062074D">
        <w:rPr>
          <w:bCs/>
          <w:noProof/>
          <w:lang w:val="en-IE"/>
        </w:rPr>
        <w:t>launch</w:t>
      </w:r>
      <w:r w:rsidR="008A4D0C" w:rsidRPr="0062074D">
        <w:rPr>
          <w:bCs/>
          <w:noProof/>
          <w:lang w:val="en-IE"/>
        </w:rPr>
        <w:t xml:space="preserve"> a call to select new members of the </w:t>
      </w:r>
      <w:r w:rsidR="00052B7F" w:rsidRPr="0062074D">
        <w:rPr>
          <w:bCs/>
          <w:noProof/>
          <w:lang w:val="en-IE"/>
        </w:rPr>
        <w:t xml:space="preserve">Multi-Stakeholder Platform </w:t>
      </w:r>
      <w:r w:rsidR="257C7522" w:rsidRPr="0062074D">
        <w:rPr>
          <w:bCs/>
          <w:noProof/>
          <w:lang w:val="en-IE"/>
        </w:rPr>
        <w:t>(MSP)</w:t>
      </w:r>
      <w:r w:rsidR="00052B7F" w:rsidRPr="0062074D">
        <w:rPr>
          <w:bCs/>
          <w:noProof/>
          <w:lang w:val="en-IE"/>
        </w:rPr>
        <w:t xml:space="preserve"> </w:t>
      </w:r>
      <w:r w:rsidR="008A4D0C" w:rsidRPr="0062074D">
        <w:rPr>
          <w:bCs/>
          <w:noProof/>
          <w:lang w:val="en-IE"/>
        </w:rPr>
        <w:t>in view of the revised EUDR and amended product scope</w:t>
      </w:r>
      <w:r w:rsidR="008A4D0C" w:rsidRPr="00CB5D15">
        <w:rPr>
          <w:bCs/>
          <w:noProof/>
          <w:lang w:val="en-IE"/>
        </w:rPr>
        <w:t>.</w:t>
      </w:r>
    </w:p>
    <w:p w14:paraId="469E5722" w14:textId="1A951ECD" w:rsidR="00A330E5" w:rsidRPr="0012174E" w:rsidDel="002C099C" w:rsidRDefault="00CA50AA" w:rsidP="0012174E">
      <w:pPr>
        <w:spacing w:after="120"/>
        <w:rPr>
          <w:noProof/>
          <w:lang w:val="en-IE"/>
        </w:rPr>
      </w:pPr>
      <w:r w:rsidRPr="3B6F18AA" w:rsidDel="002C099C">
        <w:rPr>
          <w:noProof/>
          <w:lang w:val="en-IE"/>
        </w:rPr>
        <w:t>Over the course of</w:t>
      </w:r>
      <w:r w:rsidRPr="3B6F18AA">
        <w:rPr>
          <w:noProof/>
          <w:lang w:val="en-IE"/>
        </w:rPr>
        <w:t xml:space="preserve"> </w:t>
      </w:r>
      <w:r w:rsidR="006A35E7" w:rsidRPr="3B6F18AA">
        <w:rPr>
          <w:noProof/>
          <w:lang w:val="en-IE"/>
        </w:rPr>
        <w:t>2024 and</w:t>
      </w:r>
      <w:r w:rsidRPr="3B6F18AA" w:rsidDel="002C099C">
        <w:rPr>
          <w:noProof/>
          <w:lang w:val="en-IE"/>
        </w:rPr>
        <w:t xml:space="preserve"> 2025, </w:t>
      </w:r>
      <w:r w:rsidR="00497C7C" w:rsidRPr="3B6F18AA">
        <w:rPr>
          <w:noProof/>
          <w:lang w:val="en-IE"/>
        </w:rPr>
        <w:t>fourteen</w:t>
      </w:r>
      <w:r w:rsidRPr="3B6F18AA" w:rsidDel="002C099C">
        <w:rPr>
          <w:noProof/>
          <w:lang w:val="en-IE"/>
        </w:rPr>
        <w:t xml:space="preserve"> </w:t>
      </w:r>
      <w:r w:rsidR="75D81CA0" w:rsidRPr="35649357">
        <w:rPr>
          <w:noProof/>
          <w:lang w:val="en-IE"/>
        </w:rPr>
        <w:t>such</w:t>
      </w:r>
      <w:r w:rsidRPr="35649357">
        <w:rPr>
          <w:noProof/>
          <w:lang w:val="en-IE"/>
        </w:rPr>
        <w:t xml:space="preserve"> </w:t>
      </w:r>
      <w:r w:rsidRPr="15CA1B78">
        <w:rPr>
          <w:noProof/>
          <w:lang w:val="en-IE"/>
        </w:rPr>
        <w:t>P</w:t>
      </w:r>
      <w:r w:rsidR="07B9DE23" w:rsidRPr="15CA1B78">
        <w:rPr>
          <w:noProof/>
          <w:lang w:val="en-IE"/>
        </w:rPr>
        <w:t>latform</w:t>
      </w:r>
      <w:r w:rsidRPr="3B6F18AA" w:rsidDel="002C099C">
        <w:rPr>
          <w:noProof/>
          <w:lang w:val="en-IE"/>
        </w:rPr>
        <w:t xml:space="preserve"> meetings were held. </w:t>
      </w:r>
      <w:r w:rsidR="00A330E5" w:rsidRPr="3B6F18AA" w:rsidDel="002C099C">
        <w:rPr>
          <w:noProof/>
          <w:lang w:val="en-IE"/>
        </w:rPr>
        <w:t>Meetings typically include</w:t>
      </w:r>
      <w:r w:rsidR="00E010AE">
        <w:rPr>
          <w:noProof/>
          <w:lang w:val="en-IE"/>
        </w:rPr>
        <w:t>d</w:t>
      </w:r>
      <w:r w:rsidR="00A330E5" w:rsidRPr="3B6F18AA" w:rsidDel="002C099C">
        <w:rPr>
          <w:noProof/>
          <w:lang w:val="en-IE"/>
        </w:rPr>
        <w:t xml:space="preserve"> both a general assembly and a Member State</w:t>
      </w:r>
      <w:r w:rsidR="00973454">
        <w:rPr>
          <w:noProof/>
          <w:lang w:val="en-IE"/>
        </w:rPr>
        <w:t>s</w:t>
      </w:r>
      <w:r w:rsidR="00C44888" w:rsidRPr="3B6F18AA" w:rsidDel="002C099C">
        <w:rPr>
          <w:noProof/>
          <w:lang w:val="en-IE"/>
        </w:rPr>
        <w:t xml:space="preserve"> </w:t>
      </w:r>
      <w:r w:rsidR="00A330E5" w:rsidRPr="3B6F18AA" w:rsidDel="002C099C">
        <w:rPr>
          <w:noProof/>
          <w:lang w:val="en-IE"/>
        </w:rPr>
        <w:t xml:space="preserve">only session, featuring Commission and </w:t>
      </w:r>
      <w:r w:rsidR="00E038CE" w:rsidRPr="3B6F18AA" w:rsidDel="002C099C">
        <w:rPr>
          <w:noProof/>
          <w:lang w:val="en-IE"/>
        </w:rPr>
        <w:t>stakeholders’</w:t>
      </w:r>
      <w:r w:rsidR="3250EDAB" w:rsidRPr="4E41F3FA">
        <w:rPr>
          <w:noProof/>
          <w:lang w:val="en-IE"/>
        </w:rPr>
        <w:t xml:space="preserve"> </w:t>
      </w:r>
      <w:r w:rsidR="3250EDAB" w:rsidRPr="1E45E084">
        <w:rPr>
          <w:noProof/>
          <w:lang w:val="en-IE"/>
        </w:rPr>
        <w:t>presentations</w:t>
      </w:r>
      <w:r w:rsidR="00A330E5" w:rsidRPr="3B6F18AA" w:rsidDel="002C099C">
        <w:rPr>
          <w:noProof/>
          <w:lang w:val="en-IE"/>
        </w:rPr>
        <w:t xml:space="preserve">, as well as dedicated time for stakeholders to ask questions and raise </w:t>
      </w:r>
      <w:r w:rsidR="7EA53F31" w:rsidRPr="2710A871">
        <w:rPr>
          <w:noProof/>
          <w:lang w:val="en-IE"/>
        </w:rPr>
        <w:t xml:space="preserve">possible </w:t>
      </w:r>
      <w:r w:rsidR="00A330E5" w:rsidRPr="2710A871">
        <w:rPr>
          <w:noProof/>
          <w:lang w:val="en-IE"/>
        </w:rPr>
        <w:t>concerns.</w:t>
      </w:r>
      <w:r w:rsidR="6820D00B" w:rsidRPr="3B6F18AA">
        <w:rPr>
          <w:noProof/>
          <w:lang w:val="en-IE"/>
        </w:rPr>
        <w:t xml:space="preserve"> Typically, a general assembly is attended by </w:t>
      </w:r>
      <w:r w:rsidR="130F09E3" w:rsidRPr="3B6F18AA">
        <w:rPr>
          <w:noProof/>
          <w:lang w:val="en-IE"/>
        </w:rPr>
        <w:t xml:space="preserve">approximately </w:t>
      </w:r>
      <w:r w:rsidR="6820D00B" w:rsidRPr="3B6F18AA">
        <w:rPr>
          <w:noProof/>
          <w:lang w:val="en-IE"/>
        </w:rPr>
        <w:t>150 participants.</w:t>
      </w:r>
      <w:r w:rsidR="00E84C37" w:rsidRPr="3B6F18AA">
        <w:rPr>
          <w:noProof/>
          <w:lang w:val="en-IE"/>
        </w:rPr>
        <w:t xml:space="preserve"> </w:t>
      </w:r>
      <w:r w:rsidR="00D97FB2" w:rsidRPr="3B6F18AA">
        <w:rPr>
          <w:noProof/>
          <w:lang w:val="en-IE"/>
        </w:rPr>
        <w:t>To enhance sectoral representation, 12 additional associations and NGOs were granted observer status</w:t>
      </w:r>
      <w:r w:rsidR="78F7544C" w:rsidRPr="0FE0D557">
        <w:rPr>
          <w:noProof/>
          <w:lang w:val="en-IE"/>
        </w:rPr>
        <w:t xml:space="preserve"> </w:t>
      </w:r>
      <w:r w:rsidR="78F7544C" w:rsidRPr="4D2C67D9">
        <w:rPr>
          <w:noProof/>
          <w:lang w:val="en-IE"/>
        </w:rPr>
        <w:t>in 2025</w:t>
      </w:r>
      <w:r w:rsidR="00D97FB2" w:rsidRPr="4D2C67D9">
        <w:rPr>
          <w:noProof/>
          <w:lang w:val="en-IE"/>
        </w:rPr>
        <w:t xml:space="preserve">. </w:t>
      </w:r>
    </w:p>
    <w:p w14:paraId="37E6372E" w14:textId="6D89B1C5" w:rsidR="01E9BDCB" w:rsidRPr="004E0929" w:rsidRDefault="750AFD3B" w:rsidP="3B6F18AA">
      <w:pPr>
        <w:spacing w:after="120"/>
        <w:rPr>
          <w:noProof/>
          <w:lang w:val="en-IE"/>
        </w:rPr>
      </w:pPr>
      <w:r w:rsidRPr="004E0929">
        <w:rPr>
          <w:noProof/>
          <w:lang w:val="en-IE"/>
        </w:rPr>
        <w:t xml:space="preserve">In addition to </w:t>
      </w:r>
      <w:r w:rsidR="58AA28EF" w:rsidRPr="004E0929">
        <w:rPr>
          <w:noProof/>
          <w:lang w:val="en-IE"/>
        </w:rPr>
        <w:t>the P</w:t>
      </w:r>
      <w:r w:rsidR="1D22C3F4" w:rsidRPr="004E0929">
        <w:rPr>
          <w:noProof/>
          <w:lang w:val="en-IE"/>
        </w:rPr>
        <w:t>latform</w:t>
      </w:r>
      <w:r w:rsidR="58AA28EF" w:rsidRPr="004E0929">
        <w:rPr>
          <w:noProof/>
          <w:lang w:val="en-IE"/>
        </w:rPr>
        <w:t xml:space="preserve">, the Commission is actively </w:t>
      </w:r>
      <w:r w:rsidR="1DCDF30F" w:rsidRPr="004E0929">
        <w:rPr>
          <w:noProof/>
          <w:lang w:val="en-IE"/>
        </w:rPr>
        <w:t>contributing to</w:t>
      </w:r>
      <w:r w:rsidR="58AA28EF" w:rsidRPr="004E0929">
        <w:rPr>
          <w:noProof/>
          <w:lang w:val="en-IE"/>
        </w:rPr>
        <w:t xml:space="preserve"> the Informal Enforcement Working Group on the EUDR</w:t>
      </w:r>
      <w:r w:rsidR="739B7A2B" w:rsidRPr="004E0929">
        <w:rPr>
          <w:noProof/>
          <w:lang w:val="en-IE"/>
        </w:rPr>
        <w:t xml:space="preserve">, </w:t>
      </w:r>
      <w:r w:rsidR="0ED26E1D" w:rsidRPr="004E0929">
        <w:rPr>
          <w:noProof/>
          <w:lang w:val="en-IE"/>
        </w:rPr>
        <w:t>an</w:t>
      </w:r>
      <w:r w:rsidR="739B7A2B" w:rsidRPr="004E0929">
        <w:rPr>
          <w:noProof/>
          <w:lang w:val="en-IE"/>
        </w:rPr>
        <w:t xml:space="preserve"> </w:t>
      </w:r>
      <w:r w:rsidR="55973259" w:rsidRPr="004E0929">
        <w:rPr>
          <w:noProof/>
          <w:lang w:val="en-IE"/>
        </w:rPr>
        <w:t>informal</w:t>
      </w:r>
      <w:r w:rsidR="739B7A2B" w:rsidRPr="004E0929">
        <w:rPr>
          <w:noProof/>
          <w:lang w:val="en-IE"/>
        </w:rPr>
        <w:t xml:space="preserve"> expert </w:t>
      </w:r>
      <w:r w:rsidR="6FEB5181" w:rsidRPr="004E0929">
        <w:rPr>
          <w:noProof/>
          <w:lang w:val="en-IE"/>
        </w:rPr>
        <w:t>group</w:t>
      </w:r>
      <w:r w:rsidR="58AA28EF" w:rsidRPr="004E0929">
        <w:rPr>
          <w:noProof/>
          <w:lang w:val="en-IE"/>
        </w:rPr>
        <w:t xml:space="preserve"> organised and chaired by Member States</w:t>
      </w:r>
      <w:r w:rsidR="0AE012C0" w:rsidRPr="004E0929">
        <w:rPr>
          <w:noProof/>
          <w:lang w:val="en-IE"/>
        </w:rPr>
        <w:t xml:space="preserve"> with a view to </w:t>
      </w:r>
      <w:r w:rsidR="004320D8" w:rsidRPr="004E0929">
        <w:rPr>
          <w:noProof/>
          <w:lang w:val="en-IE"/>
        </w:rPr>
        <w:t>discuss</w:t>
      </w:r>
      <w:r w:rsidR="00180803" w:rsidRPr="004E0929">
        <w:rPr>
          <w:noProof/>
          <w:lang w:val="en-IE"/>
        </w:rPr>
        <w:t xml:space="preserve"> policy</w:t>
      </w:r>
      <w:r w:rsidR="376D88E7" w:rsidRPr="004E0929">
        <w:rPr>
          <w:noProof/>
          <w:lang w:val="en-IE"/>
        </w:rPr>
        <w:t xml:space="preserve"> </w:t>
      </w:r>
      <w:r w:rsidR="28684912" w:rsidRPr="004E0929">
        <w:rPr>
          <w:noProof/>
          <w:lang w:val="en-IE"/>
        </w:rPr>
        <w:t xml:space="preserve">issues </w:t>
      </w:r>
      <w:r w:rsidR="376D88E7" w:rsidRPr="004E0929">
        <w:rPr>
          <w:noProof/>
          <w:lang w:val="en-IE"/>
        </w:rPr>
        <w:t>and</w:t>
      </w:r>
      <w:r w:rsidR="0AE012C0" w:rsidRPr="004E0929">
        <w:rPr>
          <w:noProof/>
          <w:lang w:val="en-IE"/>
        </w:rPr>
        <w:t xml:space="preserve"> harmonise enforcement</w:t>
      </w:r>
      <w:r w:rsidR="1D6884BA" w:rsidRPr="004E0929">
        <w:rPr>
          <w:noProof/>
          <w:lang w:val="en-IE"/>
        </w:rPr>
        <w:t>.</w:t>
      </w:r>
    </w:p>
    <w:p w14:paraId="2408C22B" w14:textId="448F6CE9" w:rsidR="008005A2" w:rsidRDefault="7CAC2B50" w:rsidP="0012174E">
      <w:pPr>
        <w:spacing w:after="120"/>
        <w:rPr>
          <w:noProof/>
          <w:lang w:val="en-IE"/>
        </w:rPr>
      </w:pPr>
      <w:r w:rsidRPr="004E0929">
        <w:rPr>
          <w:noProof/>
          <w:lang w:val="en-IE"/>
        </w:rPr>
        <w:t>F</w:t>
      </w:r>
      <w:r w:rsidR="008005A2" w:rsidRPr="004E0929">
        <w:rPr>
          <w:noProof/>
          <w:lang w:val="en-IE"/>
        </w:rPr>
        <w:t xml:space="preserve">eedback </w:t>
      </w:r>
      <w:r w:rsidR="0014565B" w:rsidRPr="004E0929">
        <w:rPr>
          <w:noProof/>
          <w:lang w:val="en-IE"/>
        </w:rPr>
        <w:t xml:space="preserve">provided during </w:t>
      </w:r>
      <w:r w:rsidR="38C02CC4" w:rsidRPr="004E0929">
        <w:rPr>
          <w:noProof/>
          <w:lang w:val="en-IE"/>
        </w:rPr>
        <w:t>all</w:t>
      </w:r>
      <w:r w:rsidR="0014565B" w:rsidRPr="004E0929">
        <w:rPr>
          <w:noProof/>
          <w:lang w:val="en-IE"/>
        </w:rPr>
        <w:t xml:space="preserve"> </w:t>
      </w:r>
      <w:r w:rsidR="00E010AE">
        <w:rPr>
          <w:noProof/>
          <w:lang w:val="en-IE"/>
        </w:rPr>
        <w:t>the</w:t>
      </w:r>
      <w:r w:rsidR="00704FC3">
        <w:rPr>
          <w:noProof/>
          <w:lang w:val="en-IE"/>
        </w:rPr>
        <w:t>s</w:t>
      </w:r>
      <w:r w:rsidR="00E010AE">
        <w:rPr>
          <w:noProof/>
          <w:lang w:val="en-IE"/>
        </w:rPr>
        <w:t xml:space="preserve">e </w:t>
      </w:r>
      <w:r w:rsidR="0014565B" w:rsidRPr="004E0929">
        <w:rPr>
          <w:noProof/>
          <w:lang w:val="en-IE"/>
        </w:rPr>
        <w:t>exchanges</w:t>
      </w:r>
      <w:r w:rsidR="00826BEC" w:rsidRPr="004E0929">
        <w:rPr>
          <w:noProof/>
          <w:lang w:val="en-IE"/>
        </w:rPr>
        <w:t xml:space="preserve"> </w:t>
      </w:r>
      <w:r w:rsidR="00E010AE">
        <w:rPr>
          <w:noProof/>
          <w:lang w:val="en-IE"/>
        </w:rPr>
        <w:t xml:space="preserve">have </w:t>
      </w:r>
      <w:r w:rsidR="00042018" w:rsidRPr="004E0929">
        <w:rPr>
          <w:noProof/>
          <w:lang w:val="en-IE"/>
        </w:rPr>
        <w:t>underpinned</w:t>
      </w:r>
      <w:r w:rsidR="00F9590D" w:rsidRPr="004E0929">
        <w:rPr>
          <w:noProof/>
          <w:lang w:val="en-IE"/>
        </w:rPr>
        <w:t xml:space="preserve"> the</w:t>
      </w:r>
      <w:r w:rsidR="24B340E1" w:rsidRPr="004E0929">
        <w:rPr>
          <w:noProof/>
          <w:lang w:val="en-IE"/>
        </w:rPr>
        <w:t xml:space="preserve"> </w:t>
      </w:r>
      <w:r w:rsidR="5D34C607" w:rsidRPr="004E0929">
        <w:rPr>
          <w:noProof/>
          <w:lang w:val="en-IE"/>
        </w:rPr>
        <w:t>Commission’s</w:t>
      </w:r>
      <w:r w:rsidR="00F9590D" w:rsidRPr="004E0929">
        <w:rPr>
          <w:noProof/>
          <w:lang w:val="en-IE"/>
        </w:rPr>
        <w:t xml:space="preserve"> </w:t>
      </w:r>
      <w:r w:rsidR="00042018" w:rsidRPr="004E0929">
        <w:rPr>
          <w:noProof/>
          <w:lang w:val="en-IE"/>
        </w:rPr>
        <w:t xml:space="preserve">work </w:t>
      </w:r>
      <w:r w:rsidR="585024B9" w:rsidRPr="004E0929">
        <w:rPr>
          <w:noProof/>
          <w:lang w:val="en-IE"/>
        </w:rPr>
        <w:t>to facilitate implementation</w:t>
      </w:r>
      <w:r w:rsidR="5E5F93B7" w:rsidRPr="004E0929">
        <w:rPr>
          <w:noProof/>
          <w:lang w:val="en-IE"/>
        </w:rPr>
        <w:t>,</w:t>
      </w:r>
      <w:r w:rsidR="585024B9" w:rsidRPr="004E0929">
        <w:rPr>
          <w:noProof/>
          <w:lang w:val="en-IE"/>
        </w:rPr>
        <w:t xml:space="preserve"> </w:t>
      </w:r>
      <w:r w:rsidR="24911EE4" w:rsidRPr="004E0929">
        <w:rPr>
          <w:noProof/>
          <w:lang w:val="en-IE"/>
        </w:rPr>
        <w:t>harmonised application</w:t>
      </w:r>
      <w:r w:rsidR="00EA7A82" w:rsidRPr="004E0929">
        <w:rPr>
          <w:noProof/>
          <w:lang w:val="en-IE"/>
        </w:rPr>
        <w:t xml:space="preserve"> and enforcement</w:t>
      </w:r>
      <w:r w:rsidR="24911EE4" w:rsidRPr="004E0929">
        <w:rPr>
          <w:noProof/>
          <w:lang w:val="en-IE"/>
        </w:rPr>
        <w:t xml:space="preserve"> </w:t>
      </w:r>
      <w:r w:rsidR="585024B9" w:rsidRPr="004E0929">
        <w:rPr>
          <w:noProof/>
          <w:lang w:val="en-IE"/>
        </w:rPr>
        <w:t>of the Regulation</w:t>
      </w:r>
      <w:r w:rsidR="730419E0" w:rsidRPr="004E0929">
        <w:rPr>
          <w:noProof/>
          <w:lang w:val="en-IE"/>
        </w:rPr>
        <w:t xml:space="preserve"> as </w:t>
      </w:r>
      <w:r w:rsidR="00432D3D" w:rsidRPr="004E0929">
        <w:rPr>
          <w:noProof/>
          <w:lang w:val="en-IE"/>
        </w:rPr>
        <w:t xml:space="preserve">outlined </w:t>
      </w:r>
      <w:r w:rsidR="00435A34" w:rsidRPr="004E0929">
        <w:rPr>
          <w:noProof/>
          <w:lang w:val="en-IE"/>
        </w:rPr>
        <w:t>below.</w:t>
      </w:r>
      <w:r w:rsidR="006E1E68" w:rsidRPr="0DF41068">
        <w:rPr>
          <w:noProof/>
          <w:lang w:val="en-IE"/>
        </w:rPr>
        <w:t xml:space="preserve">  </w:t>
      </w:r>
    </w:p>
    <w:p w14:paraId="0C357C6E" w14:textId="31711260" w:rsidR="00DC2A34" w:rsidRDefault="00DC2A34" w:rsidP="0015133F">
      <w:pPr>
        <w:spacing w:after="120"/>
        <w:rPr>
          <w:noProof/>
          <w:szCs w:val="24"/>
          <w:lang w:val="en-IE"/>
        </w:rPr>
      </w:pPr>
      <w:r w:rsidRPr="00DC2A34">
        <w:rPr>
          <w:noProof/>
          <w:szCs w:val="24"/>
          <w:lang w:val="en-IE"/>
        </w:rPr>
        <w:t>The Commission will continue to ensure structured, meaningful and inclusive engagement with all relevant stakeholders, with a view to supporting the effective, coherent and timely implementation of the Regulation.</w:t>
      </w:r>
    </w:p>
    <w:p w14:paraId="622E20B9" w14:textId="1B2E4D63" w:rsidR="001A0EBF" w:rsidRPr="0012174E" w:rsidRDefault="0045334E" w:rsidP="0012174E">
      <w:pPr>
        <w:spacing w:after="120"/>
        <w:rPr>
          <w:b/>
          <w:bCs/>
          <w:noProof/>
          <w:szCs w:val="24"/>
        </w:rPr>
      </w:pPr>
      <w:r w:rsidRPr="0012174E">
        <w:rPr>
          <w:b/>
          <w:bCs/>
          <w:noProof/>
          <w:szCs w:val="24"/>
        </w:rPr>
        <w:t>2</w:t>
      </w:r>
      <w:r w:rsidR="001A0EBF" w:rsidRPr="0012174E">
        <w:rPr>
          <w:b/>
          <w:bCs/>
          <w:noProof/>
          <w:szCs w:val="24"/>
        </w:rPr>
        <w:t>.</w:t>
      </w:r>
      <w:r w:rsidR="0031504A">
        <w:rPr>
          <w:b/>
          <w:bCs/>
          <w:noProof/>
          <w:szCs w:val="24"/>
        </w:rPr>
        <w:t>2</w:t>
      </w:r>
      <w:r w:rsidR="001A0EBF" w:rsidRPr="0012174E">
        <w:rPr>
          <w:b/>
          <w:bCs/>
          <w:noProof/>
          <w:szCs w:val="24"/>
        </w:rPr>
        <w:t xml:space="preserve"> </w:t>
      </w:r>
      <w:r w:rsidR="00382046" w:rsidRPr="0012174E">
        <w:rPr>
          <w:b/>
          <w:bCs/>
          <w:noProof/>
          <w:szCs w:val="24"/>
        </w:rPr>
        <w:t>Measures related to the</w:t>
      </w:r>
      <w:r w:rsidR="00627824" w:rsidRPr="0012174E">
        <w:rPr>
          <w:b/>
          <w:bCs/>
          <w:noProof/>
          <w:szCs w:val="24"/>
        </w:rPr>
        <w:t xml:space="preserve"> </w:t>
      </w:r>
      <w:r w:rsidR="00FB53D9" w:rsidRPr="0012174E">
        <w:rPr>
          <w:b/>
          <w:bCs/>
          <w:noProof/>
          <w:szCs w:val="24"/>
        </w:rPr>
        <w:t>I</w:t>
      </w:r>
      <w:r w:rsidR="00031111" w:rsidRPr="0012174E">
        <w:rPr>
          <w:b/>
          <w:bCs/>
          <w:noProof/>
          <w:szCs w:val="24"/>
        </w:rPr>
        <w:t xml:space="preserve">nformation </w:t>
      </w:r>
      <w:r w:rsidR="00FB53D9" w:rsidRPr="0012174E">
        <w:rPr>
          <w:b/>
          <w:bCs/>
          <w:noProof/>
          <w:szCs w:val="24"/>
        </w:rPr>
        <w:t>S</w:t>
      </w:r>
      <w:r w:rsidR="00031111" w:rsidRPr="0012174E">
        <w:rPr>
          <w:b/>
          <w:bCs/>
          <w:noProof/>
          <w:szCs w:val="24"/>
        </w:rPr>
        <w:t xml:space="preserve">ystem </w:t>
      </w:r>
    </w:p>
    <w:p w14:paraId="54DF9984" w14:textId="35DFB3F4" w:rsidR="00382046" w:rsidRPr="0012174E" w:rsidRDefault="00382046" w:rsidP="0012174E">
      <w:pPr>
        <w:spacing w:after="120"/>
        <w:rPr>
          <w:noProof/>
          <w:szCs w:val="24"/>
        </w:rPr>
      </w:pPr>
      <w:r w:rsidRPr="0012174E">
        <w:rPr>
          <w:noProof/>
          <w:szCs w:val="24"/>
        </w:rPr>
        <w:t xml:space="preserve">The Regulation tasks the Commission with setting up and managing </w:t>
      </w:r>
      <w:r w:rsidR="004C248B" w:rsidRPr="0012174E">
        <w:rPr>
          <w:noProof/>
          <w:szCs w:val="24"/>
        </w:rPr>
        <w:t xml:space="preserve">an </w:t>
      </w:r>
      <w:r w:rsidR="00FB53D9">
        <w:rPr>
          <w:noProof/>
          <w:szCs w:val="24"/>
        </w:rPr>
        <w:t>I</w:t>
      </w:r>
      <w:r w:rsidRPr="0012174E">
        <w:rPr>
          <w:noProof/>
          <w:szCs w:val="24"/>
        </w:rPr>
        <w:t xml:space="preserve">nformation </w:t>
      </w:r>
      <w:r w:rsidR="00FB53D9">
        <w:rPr>
          <w:noProof/>
          <w:szCs w:val="24"/>
        </w:rPr>
        <w:t>S</w:t>
      </w:r>
      <w:r w:rsidRPr="0012174E">
        <w:rPr>
          <w:noProof/>
          <w:szCs w:val="24"/>
        </w:rPr>
        <w:t>ystem pursuant to Article 33</w:t>
      </w:r>
      <w:r w:rsidR="6876EF6D" w:rsidRPr="0012174E">
        <w:rPr>
          <w:noProof/>
          <w:szCs w:val="24"/>
        </w:rPr>
        <w:t xml:space="preserve"> of the EUDR</w:t>
      </w:r>
      <w:r w:rsidRPr="0012174E">
        <w:rPr>
          <w:noProof/>
          <w:szCs w:val="24"/>
        </w:rPr>
        <w:t xml:space="preserve">. The </w:t>
      </w:r>
      <w:r w:rsidR="00FB53D9">
        <w:rPr>
          <w:noProof/>
          <w:szCs w:val="24"/>
        </w:rPr>
        <w:t>I</w:t>
      </w:r>
      <w:r w:rsidRPr="0012174E">
        <w:rPr>
          <w:noProof/>
          <w:szCs w:val="24"/>
        </w:rPr>
        <w:t xml:space="preserve">nformation </w:t>
      </w:r>
      <w:r w:rsidR="00FB53D9">
        <w:rPr>
          <w:noProof/>
          <w:szCs w:val="24"/>
        </w:rPr>
        <w:t>S</w:t>
      </w:r>
      <w:r w:rsidRPr="0012174E">
        <w:rPr>
          <w:noProof/>
          <w:szCs w:val="24"/>
        </w:rPr>
        <w:t>ystem</w:t>
      </w:r>
      <w:r w:rsidR="0041646F" w:rsidRPr="0012174E">
        <w:rPr>
          <w:noProof/>
          <w:szCs w:val="24"/>
        </w:rPr>
        <w:t xml:space="preserve"> is </w:t>
      </w:r>
      <w:r w:rsidR="0022451C" w:rsidRPr="0012174E">
        <w:rPr>
          <w:noProof/>
          <w:szCs w:val="24"/>
        </w:rPr>
        <w:t xml:space="preserve">necessary for economic operators to </w:t>
      </w:r>
      <w:r w:rsidR="006D052A" w:rsidRPr="0012174E">
        <w:rPr>
          <w:noProof/>
          <w:szCs w:val="24"/>
        </w:rPr>
        <w:t>comply with the EUDR</w:t>
      </w:r>
      <w:r w:rsidR="00D74182" w:rsidRPr="0012174E">
        <w:rPr>
          <w:noProof/>
          <w:szCs w:val="24"/>
        </w:rPr>
        <w:t xml:space="preserve"> and for competent authorities to enforce it</w:t>
      </w:r>
      <w:r w:rsidRPr="0012174E">
        <w:rPr>
          <w:noProof/>
          <w:szCs w:val="24"/>
        </w:rPr>
        <w:t xml:space="preserve">. Ensuring the operability of the </w:t>
      </w:r>
      <w:r w:rsidR="00FB53D9">
        <w:rPr>
          <w:noProof/>
          <w:szCs w:val="24"/>
        </w:rPr>
        <w:t>I</w:t>
      </w:r>
      <w:r w:rsidRPr="0012174E">
        <w:rPr>
          <w:noProof/>
          <w:szCs w:val="24"/>
        </w:rPr>
        <w:t xml:space="preserve">nformation </w:t>
      </w:r>
      <w:r w:rsidR="00FB53D9">
        <w:rPr>
          <w:noProof/>
          <w:szCs w:val="24"/>
        </w:rPr>
        <w:t>S</w:t>
      </w:r>
      <w:r w:rsidRPr="0012174E">
        <w:rPr>
          <w:noProof/>
          <w:szCs w:val="24"/>
        </w:rPr>
        <w:t>ystem is therefore critical</w:t>
      </w:r>
      <w:r w:rsidR="66E46FF0" w:rsidRPr="0012174E">
        <w:rPr>
          <w:noProof/>
          <w:szCs w:val="24"/>
        </w:rPr>
        <w:t>,</w:t>
      </w:r>
      <w:r w:rsidRPr="0012174E">
        <w:rPr>
          <w:noProof/>
          <w:szCs w:val="24"/>
        </w:rPr>
        <w:t xml:space="preserve"> </w:t>
      </w:r>
      <w:r w:rsidR="00F21ED0" w:rsidRPr="0012174E">
        <w:rPr>
          <w:noProof/>
          <w:szCs w:val="24"/>
        </w:rPr>
        <w:t xml:space="preserve">as </w:t>
      </w:r>
      <w:r w:rsidRPr="0012174E">
        <w:rPr>
          <w:noProof/>
          <w:szCs w:val="24"/>
        </w:rPr>
        <w:t xml:space="preserve">it must handle all IT transactions initiated by economic operators in scope of the Regulation. </w:t>
      </w:r>
    </w:p>
    <w:p w14:paraId="1AAAED4C" w14:textId="52CDD113" w:rsidR="005A13D2" w:rsidRPr="0012174E" w:rsidRDefault="0038082D" w:rsidP="0012174E">
      <w:pPr>
        <w:spacing w:after="120"/>
        <w:rPr>
          <w:noProof/>
          <w:szCs w:val="24"/>
        </w:rPr>
      </w:pPr>
      <w:r w:rsidRPr="0012174E">
        <w:rPr>
          <w:noProof/>
          <w:szCs w:val="24"/>
        </w:rPr>
        <w:t xml:space="preserve">Following </w:t>
      </w:r>
      <w:r w:rsidR="00C811E4" w:rsidRPr="0012174E">
        <w:rPr>
          <w:noProof/>
          <w:szCs w:val="24"/>
        </w:rPr>
        <w:t>exchanges</w:t>
      </w:r>
      <w:r w:rsidRPr="0012174E">
        <w:rPr>
          <w:noProof/>
          <w:szCs w:val="24"/>
        </w:rPr>
        <w:t xml:space="preserve"> </w:t>
      </w:r>
      <w:r w:rsidR="00C811E4" w:rsidRPr="0012174E">
        <w:rPr>
          <w:noProof/>
          <w:szCs w:val="24"/>
        </w:rPr>
        <w:t>with stakeholders</w:t>
      </w:r>
      <w:r w:rsidRPr="0012174E">
        <w:rPr>
          <w:noProof/>
          <w:szCs w:val="24"/>
        </w:rPr>
        <w:t xml:space="preserve"> and </w:t>
      </w:r>
      <w:r w:rsidR="00C811E4" w:rsidRPr="0012174E">
        <w:rPr>
          <w:noProof/>
          <w:szCs w:val="24"/>
        </w:rPr>
        <w:t>Member States, i</w:t>
      </w:r>
      <w:r w:rsidR="00422B0E" w:rsidRPr="0012174E">
        <w:rPr>
          <w:noProof/>
          <w:szCs w:val="24"/>
          <w:lang w:val="en-IE"/>
        </w:rPr>
        <w:t xml:space="preserve">n December 2024, the Commission </w:t>
      </w:r>
      <w:r w:rsidR="0DBEC4CA" w:rsidRPr="0012174E">
        <w:rPr>
          <w:noProof/>
          <w:szCs w:val="24"/>
          <w:lang w:val="en-IE"/>
        </w:rPr>
        <w:t xml:space="preserve">adopted </w:t>
      </w:r>
      <w:r w:rsidR="00422B0E" w:rsidRPr="0012174E">
        <w:rPr>
          <w:noProof/>
          <w:szCs w:val="24"/>
          <w:lang w:val="en-IE"/>
        </w:rPr>
        <w:t xml:space="preserve">the implementing act on the </w:t>
      </w:r>
      <w:r w:rsidR="00FB53D9">
        <w:rPr>
          <w:noProof/>
          <w:szCs w:val="24"/>
          <w:lang w:val="en-IE"/>
        </w:rPr>
        <w:t>I</w:t>
      </w:r>
      <w:r w:rsidR="00422B0E" w:rsidRPr="0012174E">
        <w:rPr>
          <w:noProof/>
          <w:szCs w:val="24"/>
          <w:lang w:val="en-IE"/>
        </w:rPr>
        <w:t xml:space="preserve">nformation </w:t>
      </w:r>
      <w:r w:rsidR="00FB53D9">
        <w:rPr>
          <w:noProof/>
          <w:szCs w:val="24"/>
          <w:lang w:val="en-IE"/>
        </w:rPr>
        <w:t>S</w:t>
      </w:r>
      <w:r w:rsidR="00422B0E" w:rsidRPr="0012174E">
        <w:rPr>
          <w:noProof/>
          <w:szCs w:val="24"/>
          <w:lang w:val="en-IE"/>
        </w:rPr>
        <w:t>ystem</w:t>
      </w:r>
      <w:r w:rsidR="0070789E" w:rsidRPr="0070789E">
        <w:rPr>
          <w:noProof/>
          <w:szCs w:val="24"/>
          <w:lang w:val="en-IE"/>
        </w:rPr>
        <w:t> (</w:t>
      </w:r>
      <w:r w:rsidR="0070789E">
        <w:rPr>
          <w:rStyle w:val="FootnoteReference"/>
          <w:noProof/>
          <w:szCs w:val="24"/>
          <w:lang w:val="en-IE"/>
        </w:rPr>
        <w:footnoteReference w:id="25"/>
      </w:r>
      <w:r w:rsidR="0070789E">
        <w:rPr>
          <w:noProof/>
          <w:szCs w:val="24"/>
          <w:lang w:val="en-IE"/>
        </w:rPr>
        <w:t>)</w:t>
      </w:r>
      <w:r w:rsidR="00422B0E" w:rsidRPr="0012174E">
        <w:rPr>
          <w:noProof/>
          <w:szCs w:val="24"/>
          <w:lang w:val="en-IE"/>
        </w:rPr>
        <w:t xml:space="preserve">, which lays down the rules for its functioning. </w:t>
      </w:r>
      <w:r w:rsidR="005A13D2" w:rsidRPr="0012174E">
        <w:rPr>
          <w:noProof/>
          <w:szCs w:val="24"/>
        </w:rPr>
        <w:t xml:space="preserve">The </w:t>
      </w:r>
      <w:r w:rsidR="00E5727C">
        <w:rPr>
          <w:noProof/>
          <w:szCs w:val="24"/>
        </w:rPr>
        <w:t>i</w:t>
      </w:r>
      <w:r w:rsidR="00E5727C" w:rsidRPr="0012174E">
        <w:rPr>
          <w:noProof/>
          <w:szCs w:val="24"/>
        </w:rPr>
        <w:t xml:space="preserve">nformation </w:t>
      </w:r>
      <w:r w:rsidR="00E5727C">
        <w:rPr>
          <w:noProof/>
          <w:szCs w:val="24"/>
        </w:rPr>
        <w:t>s</w:t>
      </w:r>
      <w:r w:rsidR="00E5727C" w:rsidRPr="0012174E">
        <w:rPr>
          <w:noProof/>
          <w:szCs w:val="24"/>
        </w:rPr>
        <w:t xml:space="preserve">ystem </w:t>
      </w:r>
      <w:r w:rsidR="005A13D2" w:rsidRPr="0012174E">
        <w:rPr>
          <w:noProof/>
          <w:szCs w:val="24"/>
        </w:rPr>
        <w:t>opened for registration on 6 November 2024 and was launched on 4 December 2024, allowing operators</w:t>
      </w:r>
      <w:r w:rsidR="18CD65A2" w:rsidRPr="0012174E">
        <w:rPr>
          <w:noProof/>
          <w:szCs w:val="24"/>
        </w:rPr>
        <w:t xml:space="preserve"> </w:t>
      </w:r>
      <w:r w:rsidR="005A13D2" w:rsidRPr="0012174E">
        <w:rPr>
          <w:noProof/>
          <w:szCs w:val="24"/>
        </w:rPr>
        <w:t xml:space="preserve">and their authorised representatives to submit </w:t>
      </w:r>
      <w:r w:rsidR="00E5727C">
        <w:rPr>
          <w:noProof/>
          <w:szCs w:val="24"/>
        </w:rPr>
        <w:t>due diligence s</w:t>
      </w:r>
      <w:r w:rsidR="00C335CC">
        <w:rPr>
          <w:noProof/>
          <w:szCs w:val="24"/>
        </w:rPr>
        <w:t>tatements</w:t>
      </w:r>
      <w:r w:rsidR="005A13D2" w:rsidRPr="0012174E">
        <w:rPr>
          <w:noProof/>
          <w:szCs w:val="24"/>
        </w:rPr>
        <w:t xml:space="preserve">. A parallel training server was also launched on the same day, providing a possibility for stakeholders to familiarise themselves with the system features. </w:t>
      </w:r>
    </w:p>
    <w:p w14:paraId="59ACA182" w14:textId="4168FB2E" w:rsidR="00382046" w:rsidRPr="00553E75" w:rsidRDefault="00676543" w:rsidP="0012174E">
      <w:pPr>
        <w:spacing w:after="120"/>
        <w:rPr>
          <w:noProof/>
          <w:szCs w:val="24"/>
        </w:rPr>
      </w:pPr>
      <w:r w:rsidRPr="0012174E">
        <w:rPr>
          <w:noProof/>
          <w:szCs w:val="24"/>
        </w:rPr>
        <w:t>Since then</w:t>
      </w:r>
      <w:r w:rsidR="00382046" w:rsidRPr="0012174E">
        <w:rPr>
          <w:noProof/>
          <w:szCs w:val="24"/>
        </w:rPr>
        <w:t>, the Commission has supported stakeholders with relevant explanatory documentation about the use of the system, including User Guide</w:t>
      </w:r>
      <w:r w:rsidR="000E1FFA" w:rsidRPr="0012174E">
        <w:rPr>
          <w:noProof/>
          <w:szCs w:val="24"/>
        </w:rPr>
        <w:t>s</w:t>
      </w:r>
      <w:r w:rsidR="00382046" w:rsidRPr="0012174E">
        <w:rPr>
          <w:noProof/>
          <w:szCs w:val="24"/>
        </w:rPr>
        <w:t xml:space="preserve"> and training videos available </w:t>
      </w:r>
      <w:r w:rsidR="000E1FFA" w:rsidRPr="0012174E">
        <w:rPr>
          <w:noProof/>
          <w:szCs w:val="24"/>
        </w:rPr>
        <w:t>via the</w:t>
      </w:r>
      <w:r w:rsidR="00382046" w:rsidRPr="0012174E">
        <w:rPr>
          <w:noProof/>
          <w:szCs w:val="24"/>
        </w:rPr>
        <w:t xml:space="preserve"> dedicated Europa website</w:t>
      </w:r>
      <w:r w:rsidR="00862DDF" w:rsidRPr="00862DDF">
        <w:rPr>
          <w:noProof/>
          <w:szCs w:val="24"/>
        </w:rPr>
        <w:t> (</w:t>
      </w:r>
      <w:r w:rsidR="00862DDF">
        <w:rPr>
          <w:rStyle w:val="FootnoteReference"/>
          <w:noProof/>
          <w:szCs w:val="24"/>
        </w:rPr>
        <w:footnoteReference w:id="26"/>
      </w:r>
      <w:r w:rsidR="00862DDF">
        <w:rPr>
          <w:noProof/>
          <w:szCs w:val="24"/>
        </w:rPr>
        <w:t>)</w:t>
      </w:r>
      <w:r w:rsidR="00382046" w:rsidRPr="0012174E">
        <w:rPr>
          <w:noProof/>
          <w:szCs w:val="24"/>
        </w:rPr>
        <w:t xml:space="preserve">. Online trainings have </w:t>
      </w:r>
      <w:r w:rsidR="002057AC" w:rsidRPr="0012174E">
        <w:rPr>
          <w:noProof/>
          <w:szCs w:val="24"/>
        </w:rPr>
        <w:t xml:space="preserve">since the launch in </w:t>
      </w:r>
      <w:r w:rsidR="00382046" w:rsidRPr="00553E75">
        <w:rPr>
          <w:noProof/>
          <w:szCs w:val="24"/>
        </w:rPr>
        <w:t>October 2024 reach</w:t>
      </w:r>
      <w:r w:rsidR="002057AC" w:rsidRPr="00553E75">
        <w:rPr>
          <w:noProof/>
          <w:szCs w:val="24"/>
        </w:rPr>
        <w:t>ed</w:t>
      </w:r>
      <w:r w:rsidR="00382046" w:rsidRPr="00553E75">
        <w:rPr>
          <w:noProof/>
          <w:szCs w:val="24"/>
        </w:rPr>
        <w:t xml:space="preserve"> over </w:t>
      </w:r>
      <w:r w:rsidR="4202BB45" w:rsidRPr="00553E75">
        <w:rPr>
          <w:noProof/>
          <w:szCs w:val="24"/>
        </w:rPr>
        <w:t>33</w:t>
      </w:r>
      <w:r w:rsidR="00382046" w:rsidRPr="00553E75">
        <w:rPr>
          <w:noProof/>
          <w:szCs w:val="24"/>
        </w:rPr>
        <w:t xml:space="preserve">.000 stakeholders during </w:t>
      </w:r>
      <w:r w:rsidR="26EAE1A8" w:rsidRPr="00553E75">
        <w:rPr>
          <w:noProof/>
          <w:szCs w:val="24"/>
        </w:rPr>
        <w:t>85</w:t>
      </w:r>
      <w:r w:rsidR="00382046" w:rsidRPr="00553E75">
        <w:rPr>
          <w:noProof/>
          <w:szCs w:val="24"/>
        </w:rPr>
        <w:t xml:space="preserve"> training sessions. </w:t>
      </w:r>
    </w:p>
    <w:p w14:paraId="6A3EBE8C" w14:textId="69AE281A" w:rsidR="00AB2D2A" w:rsidRDefault="009E5EB1" w:rsidP="009024AA">
      <w:pPr>
        <w:rPr>
          <w:noProof/>
          <w:lang w:val="en-IE"/>
        </w:rPr>
      </w:pPr>
      <w:r w:rsidRPr="00553E75">
        <w:rPr>
          <w:noProof/>
        </w:rPr>
        <w:t>Upon</w:t>
      </w:r>
      <w:r w:rsidR="00382046" w:rsidRPr="00553E75">
        <w:rPr>
          <w:noProof/>
        </w:rPr>
        <w:t xml:space="preserve"> request </w:t>
      </w:r>
      <w:r w:rsidRPr="00553E75">
        <w:rPr>
          <w:noProof/>
        </w:rPr>
        <w:t>from</w:t>
      </w:r>
      <w:r w:rsidR="00382046" w:rsidRPr="00553E75">
        <w:rPr>
          <w:noProof/>
        </w:rPr>
        <w:t xml:space="preserve"> industry and Member States, an Application Programming Interface (API) was developed and published in the second quarter of 2024.</w:t>
      </w:r>
      <w:r w:rsidR="00E16B9D" w:rsidRPr="00553E75">
        <w:rPr>
          <w:noProof/>
          <w:lang w:val="en-IE"/>
        </w:rPr>
        <w:t xml:space="preserve"> This interface </w:t>
      </w:r>
      <w:r w:rsidR="00491129" w:rsidRPr="00553E75">
        <w:rPr>
          <w:noProof/>
          <w:lang w:val="en-IE"/>
        </w:rPr>
        <w:t xml:space="preserve">was </w:t>
      </w:r>
      <w:r w:rsidR="00E16B9D" w:rsidRPr="00553E75">
        <w:rPr>
          <w:noProof/>
          <w:lang w:val="en-IE"/>
        </w:rPr>
        <w:t>designed to allow companies to connect their internal systems directly to the EU platform through a machine-to-machine connection, enabling operators to submit and manage due diligence statements in bulk rather than entering information manually through the</w:t>
      </w:r>
      <w:r w:rsidR="00AB2D2A" w:rsidRPr="00553E75">
        <w:rPr>
          <w:noProof/>
          <w:lang w:val="en-IE"/>
        </w:rPr>
        <w:t xml:space="preserve"> </w:t>
      </w:r>
      <w:r w:rsidR="00E16B9D" w:rsidRPr="00553E75">
        <w:rPr>
          <w:noProof/>
          <w:lang w:val="en-IE"/>
        </w:rPr>
        <w:t>website (graphic user interface).</w:t>
      </w:r>
      <w:r w:rsidR="00AB2D2A" w:rsidRPr="00553E75">
        <w:rPr>
          <w:noProof/>
          <w:lang w:val="en-IE"/>
        </w:rPr>
        <w:t xml:space="preserve"> Further functions introduced in the system simplify stakeholders’ submissions, such as re-using existing data content, uploading geolocations as data files, providing a searchable map to identify and confirm proper geolocation input and possibilities for amending or withdrawing the </w:t>
      </w:r>
      <w:r w:rsidR="00133272" w:rsidRPr="00553E75">
        <w:rPr>
          <w:noProof/>
          <w:lang w:val="en-IE"/>
        </w:rPr>
        <w:t xml:space="preserve">incorrect </w:t>
      </w:r>
      <w:r w:rsidR="00AB2D2A" w:rsidRPr="00553E75">
        <w:rPr>
          <w:noProof/>
          <w:lang w:val="en-IE"/>
        </w:rPr>
        <w:t>submitted data</w:t>
      </w:r>
      <w:r w:rsidR="3CCD8369" w:rsidRPr="00553E75">
        <w:rPr>
          <w:noProof/>
          <w:lang w:val="en-IE"/>
        </w:rPr>
        <w:t xml:space="preserve"> to correct mistakes</w:t>
      </w:r>
      <w:r w:rsidR="00AB2D2A" w:rsidRPr="00553E75">
        <w:rPr>
          <w:noProof/>
          <w:lang w:val="en-IE"/>
        </w:rPr>
        <w:t>.</w:t>
      </w:r>
    </w:p>
    <w:p w14:paraId="433AFD5C" w14:textId="2CD928B9" w:rsidR="00AE4CE5" w:rsidRPr="0012174E" w:rsidRDefault="0045334E" w:rsidP="0012174E">
      <w:pPr>
        <w:spacing w:after="120"/>
        <w:jc w:val="left"/>
        <w:rPr>
          <w:b/>
          <w:bCs/>
          <w:noProof/>
          <w:szCs w:val="24"/>
        </w:rPr>
      </w:pPr>
      <w:r w:rsidRPr="0012174E">
        <w:rPr>
          <w:b/>
          <w:bCs/>
          <w:noProof/>
          <w:szCs w:val="24"/>
        </w:rPr>
        <w:t>2</w:t>
      </w:r>
      <w:r w:rsidR="00AE4CE5" w:rsidRPr="0012174E">
        <w:rPr>
          <w:b/>
          <w:bCs/>
          <w:noProof/>
          <w:szCs w:val="24"/>
        </w:rPr>
        <w:t>.</w:t>
      </w:r>
      <w:r w:rsidR="0031504A">
        <w:rPr>
          <w:b/>
          <w:bCs/>
          <w:noProof/>
          <w:szCs w:val="24"/>
        </w:rPr>
        <w:t>3</w:t>
      </w:r>
      <w:r w:rsidR="00AE4CE5" w:rsidRPr="0012174E">
        <w:rPr>
          <w:b/>
          <w:bCs/>
          <w:noProof/>
          <w:szCs w:val="24"/>
        </w:rPr>
        <w:t xml:space="preserve"> Guidance </w:t>
      </w:r>
      <w:r w:rsidR="78D7EA1E" w:rsidRPr="0012174E">
        <w:rPr>
          <w:b/>
          <w:bCs/>
          <w:noProof/>
          <w:szCs w:val="24"/>
        </w:rPr>
        <w:t xml:space="preserve">and </w:t>
      </w:r>
      <w:r w:rsidR="00D13F5F" w:rsidRPr="0012174E">
        <w:rPr>
          <w:b/>
          <w:bCs/>
          <w:noProof/>
          <w:szCs w:val="24"/>
        </w:rPr>
        <w:t>Frequently Asked Questions documents</w:t>
      </w:r>
    </w:p>
    <w:p w14:paraId="29B941FF" w14:textId="3CDAA79C" w:rsidR="008261EF" w:rsidRPr="0012174E" w:rsidRDefault="273CDBBD" w:rsidP="0012174E">
      <w:pPr>
        <w:spacing w:after="120"/>
        <w:rPr>
          <w:b/>
          <w:noProof/>
        </w:rPr>
      </w:pPr>
      <w:r w:rsidRPr="70F62ECB">
        <w:rPr>
          <w:noProof/>
          <w:lang w:val="en-IE"/>
        </w:rPr>
        <w:t>C</w:t>
      </w:r>
      <w:r w:rsidR="008261EF" w:rsidRPr="70F62ECB">
        <w:rPr>
          <w:noProof/>
          <w:lang w:val="en-IE"/>
        </w:rPr>
        <w:t xml:space="preserve">lear and comprehensive guidance </w:t>
      </w:r>
      <w:r w:rsidR="0E265C37" w:rsidRPr="70F62ECB">
        <w:rPr>
          <w:noProof/>
          <w:lang w:val="en-IE"/>
        </w:rPr>
        <w:t>serve</w:t>
      </w:r>
      <w:r w:rsidR="5C08E080" w:rsidRPr="70F62ECB">
        <w:rPr>
          <w:noProof/>
          <w:lang w:val="en-IE"/>
        </w:rPr>
        <w:t>s</w:t>
      </w:r>
      <w:r w:rsidR="008261EF" w:rsidRPr="70F62ECB">
        <w:rPr>
          <w:noProof/>
          <w:lang w:val="en-IE"/>
        </w:rPr>
        <w:t xml:space="preserve"> as a vital bridge between legislative intent and practical implementation, ensuring that businesses and public administration</w:t>
      </w:r>
      <w:r w:rsidR="007C4D05" w:rsidRPr="70F62ECB">
        <w:rPr>
          <w:noProof/>
          <w:lang w:val="en-IE"/>
        </w:rPr>
        <w:t>s</w:t>
      </w:r>
      <w:r w:rsidR="008261EF" w:rsidRPr="70F62ECB">
        <w:rPr>
          <w:noProof/>
          <w:lang w:val="en-IE"/>
        </w:rPr>
        <w:t xml:space="preserve"> understand their obligations. </w:t>
      </w:r>
    </w:p>
    <w:p w14:paraId="1755B342" w14:textId="2B5CE01E" w:rsidR="008A0863" w:rsidRPr="0012174E" w:rsidRDefault="00D967E1" w:rsidP="44DF46F2">
      <w:pPr>
        <w:spacing w:after="120"/>
        <w:rPr>
          <w:noProof/>
          <w:lang w:val="en-IE"/>
        </w:rPr>
      </w:pPr>
      <w:r w:rsidRPr="44DF46F2">
        <w:rPr>
          <w:noProof/>
        </w:rPr>
        <w:t>To this end</w:t>
      </w:r>
      <w:r w:rsidR="00BC63DB">
        <w:rPr>
          <w:noProof/>
        </w:rPr>
        <w:t xml:space="preserve"> and as a result of close cooperation with stakeholders and Member States</w:t>
      </w:r>
      <w:r w:rsidRPr="0012174E">
        <w:rPr>
          <w:noProof/>
          <w:szCs w:val="24"/>
        </w:rPr>
        <w:t>,</w:t>
      </w:r>
      <w:r w:rsidR="008261EF" w:rsidRPr="44DF46F2">
        <w:rPr>
          <w:noProof/>
        </w:rPr>
        <w:t xml:space="preserve"> the Commission</w:t>
      </w:r>
      <w:r w:rsidRPr="44DF46F2">
        <w:rPr>
          <w:noProof/>
        </w:rPr>
        <w:t xml:space="preserve"> published </w:t>
      </w:r>
      <w:r w:rsidR="004372A7" w:rsidRPr="44DF46F2">
        <w:rPr>
          <w:noProof/>
        </w:rPr>
        <w:t>in the course of</w:t>
      </w:r>
      <w:r w:rsidR="008261EF" w:rsidRPr="0012174E" w:rsidDel="0000504C">
        <w:rPr>
          <w:noProof/>
          <w:szCs w:val="24"/>
        </w:rPr>
        <w:t xml:space="preserve"> </w:t>
      </w:r>
      <w:r w:rsidR="008261EF" w:rsidRPr="44DF46F2">
        <w:rPr>
          <w:noProof/>
        </w:rPr>
        <w:t>2024 and 2025</w:t>
      </w:r>
      <w:r w:rsidR="00BC63DB">
        <w:rPr>
          <w:noProof/>
        </w:rPr>
        <w:t xml:space="preserve"> </w:t>
      </w:r>
      <w:r w:rsidR="008261EF" w:rsidRPr="44DF46F2">
        <w:rPr>
          <w:noProof/>
        </w:rPr>
        <w:t xml:space="preserve">two iterations of </w:t>
      </w:r>
      <w:r w:rsidR="2B65057A" w:rsidRPr="44DF46F2">
        <w:rPr>
          <w:noProof/>
        </w:rPr>
        <w:t>a</w:t>
      </w:r>
      <w:r w:rsidR="008261EF" w:rsidRPr="44DF46F2">
        <w:rPr>
          <w:noProof/>
        </w:rPr>
        <w:t xml:space="preserve"> Guidance </w:t>
      </w:r>
      <w:r w:rsidR="00AE5290">
        <w:rPr>
          <w:noProof/>
        </w:rPr>
        <w:t>d</w:t>
      </w:r>
      <w:r w:rsidR="008261EF" w:rsidRPr="44DF46F2">
        <w:rPr>
          <w:noProof/>
        </w:rPr>
        <w:t>ocument </w:t>
      </w:r>
      <w:r>
        <w:rPr>
          <w:noProof/>
        </w:rPr>
        <w:t>(</w:t>
      </w:r>
      <w:r w:rsidR="008261EF" w:rsidRPr="44DF46F2">
        <w:rPr>
          <w:rStyle w:val="FootnoteReference"/>
          <w:noProof/>
        </w:rPr>
        <w:footnoteReference w:id="27"/>
      </w:r>
      <w:r>
        <w:rPr>
          <w:noProof/>
        </w:rPr>
        <w:t>)</w:t>
      </w:r>
      <w:r w:rsidR="008261EF" w:rsidRPr="44DF46F2">
        <w:rPr>
          <w:noProof/>
        </w:rPr>
        <w:t xml:space="preserve"> and four iterations of Frequently Asked Questions (</w:t>
      </w:r>
      <w:r w:rsidR="00F67EA5" w:rsidRPr="44DF46F2">
        <w:rPr>
          <w:noProof/>
        </w:rPr>
        <w:t xml:space="preserve">FAQs) </w:t>
      </w:r>
      <w:r>
        <w:rPr>
          <w:noProof/>
        </w:rPr>
        <w:t>(</w:t>
      </w:r>
      <w:r w:rsidR="008261EF" w:rsidRPr="44DF46F2">
        <w:rPr>
          <w:rStyle w:val="FootnoteReference"/>
          <w:noProof/>
        </w:rPr>
        <w:footnoteReference w:id="28"/>
      </w:r>
      <w:r>
        <w:rPr>
          <w:noProof/>
        </w:rPr>
        <w:t>)</w:t>
      </w:r>
      <w:r w:rsidR="008261EF" w:rsidRPr="44DF46F2">
        <w:rPr>
          <w:noProof/>
        </w:rPr>
        <w:t xml:space="preserve"> relating to the implementation of the EUDR. Moreover, </w:t>
      </w:r>
      <w:r w:rsidR="0045596D" w:rsidRPr="44DF46F2">
        <w:rPr>
          <w:noProof/>
        </w:rPr>
        <w:t>several</w:t>
      </w:r>
      <w:r w:rsidR="008261EF" w:rsidRPr="0012174E">
        <w:rPr>
          <w:noProof/>
          <w:szCs w:val="24"/>
        </w:rPr>
        <w:t xml:space="preserve"> </w:t>
      </w:r>
      <w:r w:rsidR="76BCE702" w:rsidRPr="44DF46F2">
        <w:rPr>
          <w:noProof/>
        </w:rPr>
        <w:t>infographics</w:t>
      </w:r>
      <w:r w:rsidR="008261EF" w:rsidRPr="44DF46F2">
        <w:rPr>
          <w:noProof/>
        </w:rPr>
        <w:t xml:space="preserve"> explaining in detail relevant supply chain scenarios were published</w:t>
      </w:r>
      <w:r w:rsidR="00121F72">
        <w:rPr>
          <w:noProof/>
        </w:rPr>
        <w:t xml:space="preserve"> (</w:t>
      </w:r>
      <w:r w:rsidR="0096719A" w:rsidRPr="44DF46F2">
        <w:rPr>
          <w:rStyle w:val="FootnoteReference"/>
          <w:noProof/>
        </w:rPr>
        <w:footnoteReference w:id="29"/>
      </w:r>
      <w:r w:rsidR="00121F72">
        <w:rPr>
          <w:noProof/>
        </w:rPr>
        <w:t>)</w:t>
      </w:r>
      <w:r w:rsidR="00EA453E" w:rsidRPr="0012174E">
        <w:rPr>
          <w:noProof/>
          <w:szCs w:val="24"/>
        </w:rPr>
        <w:t xml:space="preserve">. </w:t>
      </w:r>
      <w:r w:rsidR="008A0863" w:rsidRPr="44DF46F2">
        <w:rPr>
          <w:noProof/>
          <w:lang w:val="en-IE"/>
        </w:rPr>
        <w:t>These materials provided</w:t>
      </w:r>
      <w:r w:rsidR="0059138D" w:rsidRPr="44DF46F2">
        <w:rPr>
          <w:noProof/>
          <w:lang w:val="en-IE"/>
        </w:rPr>
        <w:t xml:space="preserve"> </w:t>
      </w:r>
      <w:r w:rsidR="008A0863" w:rsidRPr="44DF46F2">
        <w:rPr>
          <w:noProof/>
          <w:lang w:val="en-IE"/>
        </w:rPr>
        <w:t xml:space="preserve">further </w:t>
      </w:r>
      <w:r w:rsidR="2299FE9A" w:rsidRPr="44DF46F2">
        <w:rPr>
          <w:noProof/>
          <w:lang w:val="en-IE"/>
        </w:rPr>
        <w:t>clarifications</w:t>
      </w:r>
      <w:r w:rsidR="008A0863" w:rsidRPr="44DF46F2">
        <w:rPr>
          <w:noProof/>
          <w:lang w:val="en-IE"/>
        </w:rPr>
        <w:t xml:space="preserve"> improving legal clarity, facilitating consistent interpretation and reducing administrative burden across Member States and supply chains </w:t>
      </w:r>
      <w:r w:rsidR="79BA0A45" w:rsidRPr="44DF46F2">
        <w:rPr>
          <w:noProof/>
          <w:lang w:val="en-IE"/>
        </w:rPr>
        <w:t xml:space="preserve">while </w:t>
      </w:r>
      <w:r w:rsidR="008A0863" w:rsidRPr="44DF46F2">
        <w:rPr>
          <w:noProof/>
          <w:lang w:val="en-IE"/>
        </w:rPr>
        <w:t xml:space="preserve">providing operational simplifications. </w:t>
      </w:r>
    </w:p>
    <w:p w14:paraId="7FABD456" w14:textId="202FD205" w:rsidR="7906886E" w:rsidRPr="0012174E" w:rsidRDefault="20B009F3">
      <w:pPr>
        <w:spacing w:after="120" w:line="259" w:lineRule="auto"/>
        <w:rPr>
          <w:noProof/>
          <w:lang w:val="en-IE"/>
        </w:rPr>
      </w:pPr>
      <w:r w:rsidRPr="44DF46F2">
        <w:rPr>
          <w:noProof/>
          <w:lang w:val="en-IE"/>
        </w:rPr>
        <w:t xml:space="preserve">These existing </w:t>
      </w:r>
      <w:r w:rsidR="00F20AA3" w:rsidRPr="44DF46F2">
        <w:rPr>
          <w:noProof/>
          <w:lang w:val="en-IE"/>
        </w:rPr>
        <w:t>Guidance and FAQs</w:t>
      </w:r>
      <w:r w:rsidR="0015370F" w:rsidRPr="44DF46F2">
        <w:rPr>
          <w:noProof/>
          <w:lang w:val="en-IE"/>
        </w:rPr>
        <w:t xml:space="preserve"> </w:t>
      </w:r>
      <w:r w:rsidR="26D3B944" w:rsidRPr="44DF46F2">
        <w:rPr>
          <w:noProof/>
          <w:lang w:val="en-IE"/>
        </w:rPr>
        <w:t xml:space="preserve">aimed to </w:t>
      </w:r>
      <w:r w:rsidR="0015370F" w:rsidRPr="44DF46F2">
        <w:rPr>
          <w:noProof/>
          <w:lang w:val="en-IE"/>
        </w:rPr>
        <w:t xml:space="preserve">provide </w:t>
      </w:r>
      <w:r w:rsidR="5954DCE1" w:rsidRPr="44DF46F2">
        <w:rPr>
          <w:noProof/>
          <w:lang w:val="en-IE"/>
        </w:rPr>
        <w:t>clarifications</w:t>
      </w:r>
      <w:r w:rsidR="4878D6CD" w:rsidRPr="44DF46F2">
        <w:rPr>
          <w:noProof/>
          <w:lang w:val="en-IE"/>
        </w:rPr>
        <w:t xml:space="preserve"> </w:t>
      </w:r>
      <w:r w:rsidR="234EAEF7" w:rsidRPr="44DF46F2">
        <w:rPr>
          <w:noProof/>
          <w:lang w:val="en-IE"/>
        </w:rPr>
        <w:t xml:space="preserve">and </w:t>
      </w:r>
      <w:r w:rsidR="4878D6CD" w:rsidRPr="44DF46F2">
        <w:rPr>
          <w:noProof/>
          <w:lang w:val="en-IE"/>
        </w:rPr>
        <w:t xml:space="preserve">promote a </w:t>
      </w:r>
      <w:r w:rsidR="25ED2171" w:rsidRPr="0D31421F">
        <w:rPr>
          <w:noProof/>
          <w:lang w:val="en-IE"/>
        </w:rPr>
        <w:t xml:space="preserve">clear </w:t>
      </w:r>
      <w:r w:rsidR="00F7250D">
        <w:rPr>
          <w:noProof/>
          <w:lang w:val="en-IE"/>
        </w:rPr>
        <w:t xml:space="preserve">and harmonised </w:t>
      </w:r>
      <w:r w:rsidR="4878D6CD" w:rsidRPr="44DF46F2">
        <w:rPr>
          <w:noProof/>
          <w:lang w:val="en-IE"/>
        </w:rPr>
        <w:t>approach to the</w:t>
      </w:r>
      <w:r w:rsidR="00E4281C" w:rsidRPr="44DF46F2">
        <w:rPr>
          <w:noProof/>
          <w:lang w:val="en-IE"/>
        </w:rPr>
        <w:t xml:space="preserve"> implementation of the</w:t>
      </w:r>
      <w:r w:rsidR="4878D6CD" w:rsidRPr="44DF46F2">
        <w:rPr>
          <w:noProof/>
          <w:lang w:val="en-IE"/>
        </w:rPr>
        <w:t xml:space="preserve"> legislation</w:t>
      </w:r>
      <w:r w:rsidR="00D65087" w:rsidRPr="44DF46F2">
        <w:rPr>
          <w:noProof/>
          <w:lang w:val="en-IE"/>
        </w:rPr>
        <w:t xml:space="preserve">. </w:t>
      </w:r>
      <w:r w:rsidR="00E4281C" w:rsidRPr="44DF46F2">
        <w:rPr>
          <w:noProof/>
          <w:lang w:val="en-IE"/>
        </w:rPr>
        <w:t>For example</w:t>
      </w:r>
      <w:r w:rsidR="00D65087" w:rsidRPr="44DF46F2">
        <w:rPr>
          <w:noProof/>
          <w:lang w:val="en-IE"/>
        </w:rPr>
        <w:t xml:space="preserve">, the </w:t>
      </w:r>
      <w:r w:rsidR="00AE5290">
        <w:rPr>
          <w:noProof/>
          <w:lang w:val="en-IE"/>
        </w:rPr>
        <w:t>FAQs</w:t>
      </w:r>
      <w:r w:rsidR="00AE5290" w:rsidRPr="44DF46F2">
        <w:rPr>
          <w:noProof/>
          <w:lang w:val="en-IE"/>
        </w:rPr>
        <w:t xml:space="preserve"> </w:t>
      </w:r>
      <w:r w:rsidR="00D65087" w:rsidRPr="44DF46F2">
        <w:rPr>
          <w:noProof/>
          <w:lang w:val="en-IE"/>
        </w:rPr>
        <w:t xml:space="preserve">highlighted the </w:t>
      </w:r>
      <w:r w:rsidR="00A1205F" w:rsidRPr="44DF46F2">
        <w:rPr>
          <w:noProof/>
          <w:lang w:val="en-IE"/>
        </w:rPr>
        <w:t>possibility to cover multiple shipments</w:t>
      </w:r>
      <w:r w:rsidR="33F0FA8B" w:rsidRPr="44DF46F2">
        <w:rPr>
          <w:noProof/>
          <w:lang w:val="en-IE"/>
        </w:rPr>
        <w:t>/batches</w:t>
      </w:r>
      <w:r w:rsidR="00A1205F" w:rsidRPr="44DF46F2">
        <w:rPr>
          <w:noProof/>
          <w:lang w:val="en-IE"/>
        </w:rPr>
        <w:t xml:space="preserve"> under a single due diligence statement</w:t>
      </w:r>
      <w:r w:rsidR="00034F86">
        <w:rPr>
          <w:noProof/>
          <w:lang w:val="en-IE"/>
        </w:rPr>
        <w:t>,</w:t>
      </w:r>
      <w:r w:rsidR="00502F91" w:rsidRPr="44DF46F2">
        <w:rPr>
          <w:i/>
          <w:iCs/>
          <w:noProof/>
          <w:lang w:val="en-IE"/>
        </w:rPr>
        <w:t xml:space="preserve"> </w:t>
      </w:r>
      <w:r w:rsidR="00502F91" w:rsidRPr="44DF46F2">
        <w:rPr>
          <w:noProof/>
          <w:lang w:val="en-IE"/>
        </w:rPr>
        <w:t xml:space="preserve">and </w:t>
      </w:r>
      <w:r w:rsidR="002F2C1D" w:rsidRPr="44DF46F2">
        <w:rPr>
          <w:noProof/>
          <w:lang w:val="en-IE"/>
        </w:rPr>
        <w:t xml:space="preserve">the so-called </w:t>
      </w:r>
      <w:r w:rsidR="006C4BC1" w:rsidRPr="44DF46F2">
        <w:rPr>
          <w:noProof/>
          <w:lang w:val="en-IE"/>
        </w:rPr>
        <w:t>declaration in excess</w:t>
      </w:r>
      <w:r w:rsidR="006C4BC1" w:rsidRPr="44DF46F2">
        <w:rPr>
          <w:i/>
          <w:iCs/>
          <w:noProof/>
          <w:lang w:val="en-IE"/>
        </w:rPr>
        <w:t xml:space="preserve"> </w:t>
      </w:r>
      <w:r w:rsidR="002F2C1D" w:rsidRPr="44DF46F2">
        <w:rPr>
          <w:noProof/>
          <w:lang w:val="en-IE"/>
        </w:rPr>
        <w:t>which</w:t>
      </w:r>
      <w:r w:rsidR="00B6078E" w:rsidRPr="44DF46F2">
        <w:rPr>
          <w:noProof/>
          <w:lang w:val="en-IE"/>
        </w:rPr>
        <w:t xml:space="preserve"> </w:t>
      </w:r>
      <w:r w:rsidR="006C4BC1" w:rsidRPr="44DF46F2">
        <w:rPr>
          <w:noProof/>
          <w:lang w:val="en-IE"/>
        </w:rPr>
        <w:t>allows operators trading in bulk commodities</w:t>
      </w:r>
      <w:r w:rsidR="002F2C1D" w:rsidRPr="44DF46F2">
        <w:rPr>
          <w:noProof/>
          <w:lang w:val="en-IE"/>
        </w:rPr>
        <w:t xml:space="preserve"> </w:t>
      </w:r>
      <w:r w:rsidR="006C4BC1" w:rsidRPr="44DF46F2">
        <w:rPr>
          <w:noProof/>
          <w:lang w:val="en-IE"/>
        </w:rPr>
        <w:t>to declare more plots than the specific plots</w:t>
      </w:r>
      <w:r w:rsidR="4B623887" w:rsidRPr="44DF46F2">
        <w:rPr>
          <w:noProof/>
          <w:lang w:val="en-IE"/>
        </w:rPr>
        <w:t xml:space="preserve"> actually used for the production of the relevant commodities</w:t>
      </w:r>
      <w:r w:rsidR="006C4BC1" w:rsidRPr="44DF46F2">
        <w:rPr>
          <w:noProof/>
          <w:lang w:val="en-IE"/>
        </w:rPr>
        <w:t xml:space="preserve">. </w:t>
      </w:r>
      <w:r w:rsidR="00D043D7" w:rsidRPr="44DF46F2">
        <w:rPr>
          <w:noProof/>
          <w:lang w:val="en-IE"/>
        </w:rPr>
        <w:t xml:space="preserve">These </w:t>
      </w:r>
      <w:r w:rsidR="00887267" w:rsidRPr="44DF46F2">
        <w:rPr>
          <w:noProof/>
          <w:lang w:val="en-IE"/>
        </w:rPr>
        <w:t>clarification</w:t>
      </w:r>
      <w:r w:rsidR="002562E6" w:rsidRPr="44DF46F2">
        <w:rPr>
          <w:noProof/>
          <w:lang w:val="en-IE"/>
        </w:rPr>
        <w:t>s</w:t>
      </w:r>
      <w:r w:rsidR="00D043D7" w:rsidRPr="44DF46F2">
        <w:rPr>
          <w:noProof/>
          <w:lang w:val="en-IE"/>
        </w:rPr>
        <w:t xml:space="preserve"> significantly</w:t>
      </w:r>
      <w:r w:rsidR="00887267" w:rsidRPr="44DF46F2">
        <w:rPr>
          <w:noProof/>
          <w:lang w:val="en-IE"/>
        </w:rPr>
        <w:t xml:space="preserve"> </w:t>
      </w:r>
      <w:r w:rsidR="006C4BC1" w:rsidRPr="44DF46F2">
        <w:rPr>
          <w:noProof/>
          <w:lang w:val="en-IE"/>
        </w:rPr>
        <w:t>reduc</w:t>
      </w:r>
      <w:r w:rsidR="0FF807EB" w:rsidRPr="44DF46F2">
        <w:rPr>
          <w:noProof/>
          <w:lang w:val="en-IE"/>
        </w:rPr>
        <w:t>e</w:t>
      </w:r>
      <w:r w:rsidR="00D043D7" w:rsidRPr="44DF46F2">
        <w:rPr>
          <w:noProof/>
          <w:lang w:val="en-IE"/>
        </w:rPr>
        <w:t>d</w:t>
      </w:r>
      <w:r w:rsidR="006C4BC1" w:rsidRPr="44DF46F2">
        <w:rPr>
          <w:noProof/>
          <w:lang w:val="en-IE"/>
        </w:rPr>
        <w:t xml:space="preserve"> logistical complexity and administrative effort.</w:t>
      </w:r>
      <w:r w:rsidR="00FC11EB" w:rsidRPr="44DF46F2">
        <w:rPr>
          <w:noProof/>
          <w:lang w:val="en-IE"/>
        </w:rPr>
        <w:t xml:space="preserve"> </w:t>
      </w:r>
      <w:r w:rsidR="00D043D7" w:rsidRPr="44DF46F2">
        <w:rPr>
          <w:noProof/>
          <w:lang w:val="en-IE"/>
        </w:rPr>
        <w:t>Moreover, i</w:t>
      </w:r>
      <w:r w:rsidR="006F1649" w:rsidRPr="44DF46F2">
        <w:rPr>
          <w:noProof/>
          <w:lang w:val="en-IE"/>
        </w:rPr>
        <w:t xml:space="preserve">n the case of </w:t>
      </w:r>
      <w:r w:rsidR="00D043D7" w:rsidRPr="44DF46F2">
        <w:rPr>
          <w:noProof/>
          <w:lang w:val="en-IE"/>
        </w:rPr>
        <w:t xml:space="preserve">composite </w:t>
      </w:r>
      <w:r w:rsidR="006F1649" w:rsidRPr="44DF46F2">
        <w:rPr>
          <w:noProof/>
          <w:lang w:val="en-IE"/>
        </w:rPr>
        <w:t>p</w:t>
      </w:r>
      <w:r w:rsidR="003D2C50">
        <w:rPr>
          <w:noProof/>
        </w:rPr>
        <w:t>roducts</w:t>
      </w:r>
      <w:r w:rsidR="00D043D7">
        <w:rPr>
          <w:noProof/>
        </w:rPr>
        <w:t>,</w:t>
      </w:r>
      <w:r w:rsidR="00D043D7" w:rsidRPr="44DF46F2">
        <w:rPr>
          <w:b/>
          <w:bCs/>
          <w:noProof/>
        </w:rPr>
        <w:t xml:space="preserve"> </w:t>
      </w:r>
      <w:r w:rsidR="00D043D7">
        <w:rPr>
          <w:noProof/>
        </w:rPr>
        <w:t>it was cla</w:t>
      </w:r>
      <w:r w:rsidR="009B6D33">
        <w:rPr>
          <w:noProof/>
        </w:rPr>
        <w:t>rified that</w:t>
      </w:r>
      <w:r w:rsidR="009B6D33" w:rsidRPr="44DF46F2">
        <w:rPr>
          <w:b/>
          <w:bCs/>
          <w:noProof/>
        </w:rPr>
        <w:t xml:space="preserve"> </w:t>
      </w:r>
      <w:r w:rsidR="009B6D33">
        <w:rPr>
          <w:noProof/>
        </w:rPr>
        <w:t>the operator</w:t>
      </w:r>
      <w:r w:rsidR="009B6D33" w:rsidRPr="44DF46F2">
        <w:rPr>
          <w:b/>
          <w:bCs/>
          <w:noProof/>
        </w:rPr>
        <w:t xml:space="preserve"> </w:t>
      </w:r>
      <w:r w:rsidR="00821B1F">
        <w:rPr>
          <w:noProof/>
        </w:rPr>
        <w:t xml:space="preserve">only </w:t>
      </w:r>
      <w:r w:rsidR="003D2C50">
        <w:rPr>
          <w:noProof/>
        </w:rPr>
        <w:t>need</w:t>
      </w:r>
      <w:r w:rsidR="004C273D">
        <w:rPr>
          <w:noProof/>
        </w:rPr>
        <w:t>s</w:t>
      </w:r>
      <w:r w:rsidR="003D2C50">
        <w:rPr>
          <w:noProof/>
        </w:rPr>
        <w:t xml:space="preserve"> to conduct due diligence on the main commodity deemed relevant under the EUDR. </w:t>
      </w:r>
    </w:p>
    <w:p w14:paraId="534167C1" w14:textId="044051D4" w:rsidR="004660F7" w:rsidRDefault="11ADCE23" w:rsidP="0015133F">
      <w:pPr>
        <w:spacing w:after="120"/>
        <w:rPr>
          <w:i/>
          <w:iCs/>
          <w:noProof/>
          <w:lang w:val="en-IE"/>
        </w:rPr>
      </w:pPr>
      <w:r w:rsidRPr="44DF46F2">
        <w:rPr>
          <w:noProof/>
          <w:lang w:val="en-IE"/>
        </w:rPr>
        <w:t xml:space="preserve">Given the most recent changes to the </w:t>
      </w:r>
      <w:r w:rsidR="5A3F8BD5" w:rsidRPr="44DF46F2">
        <w:rPr>
          <w:noProof/>
          <w:lang w:val="en-IE"/>
        </w:rPr>
        <w:t xml:space="preserve">EUDR, parts of the </w:t>
      </w:r>
      <w:r w:rsidR="00B33446" w:rsidRPr="44DF46F2">
        <w:rPr>
          <w:noProof/>
          <w:lang w:val="en-IE"/>
        </w:rPr>
        <w:t>G</w:t>
      </w:r>
      <w:r w:rsidR="00E15230" w:rsidRPr="44DF46F2">
        <w:rPr>
          <w:noProof/>
          <w:lang w:val="en-IE"/>
        </w:rPr>
        <w:t>uidance</w:t>
      </w:r>
      <w:r w:rsidR="00B33446" w:rsidRPr="44DF46F2">
        <w:rPr>
          <w:noProof/>
          <w:lang w:val="en-IE"/>
        </w:rPr>
        <w:t xml:space="preserve"> and </w:t>
      </w:r>
      <w:r w:rsidR="3549B2AF" w:rsidRPr="44DF46F2">
        <w:rPr>
          <w:noProof/>
          <w:lang w:val="en-IE"/>
        </w:rPr>
        <w:t xml:space="preserve">the </w:t>
      </w:r>
      <w:r w:rsidR="00B33446" w:rsidRPr="44DF46F2">
        <w:rPr>
          <w:noProof/>
          <w:lang w:val="en-IE"/>
        </w:rPr>
        <w:t>FAQs</w:t>
      </w:r>
      <w:r w:rsidR="00AC040B" w:rsidRPr="44DF46F2">
        <w:rPr>
          <w:noProof/>
          <w:lang w:val="en-IE"/>
        </w:rPr>
        <w:t xml:space="preserve"> </w:t>
      </w:r>
      <w:r w:rsidR="6ACB3B2E" w:rsidRPr="44DF46F2">
        <w:rPr>
          <w:noProof/>
          <w:lang w:val="en-IE"/>
        </w:rPr>
        <w:t>(</w:t>
      </w:r>
      <w:r w:rsidR="00AC040B" w:rsidRPr="44DF46F2">
        <w:rPr>
          <w:noProof/>
          <w:lang w:val="en-IE"/>
        </w:rPr>
        <w:t xml:space="preserve">such as </w:t>
      </w:r>
      <w:r w:rsidR="00074AD9" w:rsidRPr="44DF46F2">
        <w:rPr>
          <w:noProof/>
          <w:lang w:val="en-IE"/>
        </w:rPr>
        <w:t>interpretation of the ‘ascertaining’ obligations</w:t>
      </w:r>
      <w:r w:rsidR="003F524F" w:rsidRPr="44DF46F2">
        <w:rPr>
          <w:noProof/>
          <w:lang w:val="en-IE"/>
        </w:rPr>
        <w:t xml:space="preserve">, simplified </w:t>
      </w:r>
      <w:r w:rsidR="00E443BF" w:rsidRPr="44DF46F2">
        <w:rPr>
          <w:noProof/>
          <w:lang w:val="en-IE"/>
        </w:rPr>
        <w:t xml:space="preserve">re-import procedures for SMEs or </w:t>
      </w:r>
      <w:r w:rsidR="00400FC6" w:rsidRPr="44DF46F2">
        <w:rPr>
          <w:noProof/>
          <w:lang w:val="en-IE"/>
        </w:rPr>
        <w:t>clarifications on double submissions of due diligence statements</w:t>
      </w:r>
      <w:r w:rsidR="342F4542" w:rsidRPr="44DF46F2">
        <w:rPr>
          <w:noProof/>
          <w:lang w:val="en-IE"/>
        </w:rPr>
        <w:t xml:space="preserve">) </w:t>
      </w:r>
      <w:r w:rsidR="35A9AF7E" w:rsidRPr="44DF46F2">
        <w:rPr>
          <w:noProof/>
          <w:lang w:val="en-IE"/>
        </w:rPr>
        <w:t>ar</w:t>
      </w:r>
      <w:r w:rsidR="000C3E2A">
        <w:rPr>
          <w:noProof/>
          <w:lang w:val="en-IE"/>
        </w:rPr>
        <w:t>e</w:t>
      </w:r>
      <w:r w:rsidR="342F4542" w:rsidRPr="44DF46F2">
        <w:rPr>
          <w:noProof/>
          <w:lang w:val="en-IE"/>
        </w:rPr>
        <w:t xml:space="preserve"> in the meantime rendered obsolete </w:t>
      </w:r>
      <w:r w:rsidR="0A157FB3" w:rsidRPr="44DF46F2">
        <w:rPr>
          <w:noProof/>
          <w:lang w:val="en-IE"/>
        </w:rPr>
        <w:t xml:space="preserve">and have been removed. </w:t>
      </w:r>
    </w:p>
    <w:p w14:paraId="1D332A59" w14:textId="328FEF76" w:rsidR="0014455E" w:rsidRPr="0012174E" w:rsidRDefault="0045334E" w:rsidP="009024AA">
      <w:pPr>
        <w:spacing w:after="0"/>
        <w:jc w:val="left"/>
        <w:rPr>
          <w:b/>
          <w:bCs/>
          <w:noProof/>
          <w:szCs w:val="24"/>
        </w:rPr>
      </w:pPr>
      <w:r w:rsidRPr="0012174E">
        <w:rPr>
          <w:b/>
          <w:bCs/>
          <w:noProof/>
          <w:szCs w:val="24"/>
        </w:rPr>
        <w:t>2</w:t>
      </w:r>
      <w:r w:rsidR="00054427" w:rsidRPr="0012174E">
        <w:rPr>
          <w:b/>
          <w:bCs/>
          <w:noProof/>
          <w:szCs w:val="24"/>
        </w:rPr>
        <w:t>.</w:t>
      </w:r>
      <w:r w:rsidR="0031504A">
        <w:rPr>
          <w:b/>
          <w:bCs/>
          <w:noProof/>
          <w:szCs w:val="24"/>
        </w:rPr>
        <w:t>4</w:t>
      </w:r>
      <w:r w:rsidR="00054427" w:rsidRPr="0012174E">
        <w:rPr>
          <w:b/>
          <w:bCs/>
          <w:noProof/>
          <w:szCs w:val="24"/>
        </w:rPr>
        <w:t xml:space="preserve"> </w:t>
      </w:r>
      <w:r w:rsidR="3D5941A8" w:rsidRPr="0012174E">
        <w:rPr>
          <w:b/>
          <w:bCs/>
          <w:noProof/>
          <w:szCs w:val="24"/>
        </w:rPr>
        <w:t>Legislative amendmen</w:t>
      </w:r>
      <w:r w:rsidR="4DDBE04E" w:rsidRPr="0012174E">
        <w:rPr>
          <w:b/>
          <w:bCs/>
          <w:noProof/>
          <w:szCs w:val="24"/>
        </w:rPr>
        <w:t>t</w:t>
      </w:r>
      <w:r w:rsidR="40DB2005" w:rsidRPr="0012174E">
        <w:rPr>
          <w:b/>
          <w:bCs/>
          <w:noProof/>
          <w:szCs w:val="24"/>
        </w:rPr>
        <w:t>s</w:t>
      </w:r>
    </w:p>
    <w:p w14:paraId="62F235CC" w14:textId="6598D6EA" w:rsidR="6F4FD5C3" w:rsidRDefault="6F4FD5C3" w:rsidP="0012174E">
      <w:pPr>
        <w:spacing w:before="120" w:after="120"/>
        <w:rPr>
          <w:noProof/>
          <w:szCs w:val="24"/>
        </w:rPr>
      </w:pPr>
      <w:r w:rsidRPr="0012174E">
        <w:rPr>
          <w:noProof/>
          <w:szCs w:val="24"/>
        </w:rPr>
        <w:t>End</w:t>
      </w:r>
      <w:r w:rsidR="00E5727C">
        <w:rPr>
          <w:noProof/>
          <w:szCs w:val="24"/>
        </w:rPr>
        <w:t xml:space="preserve"> of</w:t>
      </w:r>
      <w:r w:rsidRPr="0012174E">
        <w:rPr>
          <w:noProof/>
          <w:szCs w:val="24"/>
        </w:rPr>
        <w:t xml:space="preserve"> 2024</w:t>
      </w:r>
      <w:r w:rsidR="00FD422C">
        <w:rPr>
          <w:noProof/>
          <w:szCs w:val="24"/>
        </w:rPr>
        <w:t>,</w:t>
      </w:r>
      <w:r w:rsidRPr="0012174E">
        <w:rPr>
          <w:noProof/>
          <w:szCs w:val="24"/>
        </w:rPr>
        <w:t xml:space="preserve"> a revised EUDR</w:t>
      </w:r>
      <w:r w:rsidR="00E30213" w:rsidRPr="001B67AF">
        <w:rPr>
          <w:noProof/>
          <w:szCs w:val="24"/>
        </w:rPr>
        <w:t> (</w:t>
      </w:r>
      <w:r w:rsidR="00E30213">
        <w:rPr>
          <w:rStyle w:val="FootnoteReference"/>
          <w:noProof/>
          <w:szCs w:val="24"/>
        </w:rPr>
        <w:footnoteReference w:id="30"/>
      </w:r>
      <w:r w:rsidR="00E30213">
        <w:rPr>
          <w:noProof/>
          <w:szCs w:val="24"/>
        </w:rPr>
        <w:t>)</w:t>
      </w:r>
      <w:r w:rsidRPr="0012174E">
        <w:rPr>
          <w:noProof/>
          <w:szCs w:val="24"/>
        </w:rPr>
        <w:t xml:space="preserve"> text was adopted that gave</w:t>
      </w:r>
      <w:r w:rsidR="00DF2346">
        <w:rPr>
          <w:noProof/>
          <w:szCs w:val="24"/>
        </w:rPr>
        <w:t xml:space="preserve"> an</w:t>
      </w:r>
      <w:r w:rsidRPr="0012174E">
        <w:rPr>
          <w:noProof/>
          <w:szCs w:val="24"/>
        </w:rPr>
        <w:t xml:space="preserve"> additional </w:t>
      </w:r>
      <w:r w:rsidR="00B85B87" w:rsidRPr="0012174E">
        <w:rPr>
          <w:noProof/>
          <w:szCs w:val="24"/>
        </w:rPr>
        <w:t xml:space="preserve">year </w:t>
      </w:r>
      <w:r w:rsidRPr="0012174E">
        <w:rPr>
          <w:noProof/>
          <w:szCs w:val="24"/>
        </w:rPr>
        <w:t>to all</w:t>
      </w:r>
      <w:r w:rsidR="00313A4E" w:rsidRPr="0012174E">
        <w:rPr>
          <w:noProof/>
          <w:szCs w:val="24"/>
        </w:rPr>
        <w:t xml:space="preserve"> </w:t>
      </w:r>
      <w:r w:rsidR="00C712F8" w:rsidRPr="0012174E">
        <w:rPr>
          <w:noProof/>
          <w:szCs w:val="24"/>
        </w:rPr>
        <w:t xml:space="preserve">economic </w:t>
      </w:r>
      <w:r w:rsidR="00B85B87" w:rsidRPr="0012174E">
        <w:rPr>
          <w:noProof/>
          <w:szCs w:val="24"/>
        </w:rPr>
        <w:t xml:space="preserve">actors </w:t>
      </w:r>
      <w:r w:rsidR="00CB0B1E">
        <w:rPr>
          <w:noProof/>
          <w:szCs w:val="24"/>
        </w:rPr>
        <w:t>and</w:t>
      </w:r>
      <w:r w:rsidR="00C712F8" w:rsidRPr="0012174E">
        <w:rPr>
          <w:noProof/>
          <w:szCs w:val="24"/>
        </w:rPr>
        <w:t xml:space="preserve"> public authorities to prepare for the entry into application</w:t>
      </w:r>
      <w:r w:rsidR="00FD1C1D" w:rsidRPr="0012174E">
        <w:rPr>
          <w:noProof/>
          <w:szCs w:val="24"/>
        </w:rPr>
        <w:t xml:space="preserve"> o</w:t>
      </w:r>
      <w:r w:rsidR="00BD4489" w:rsidRPr="0012174E">
        <w:rPr>
          <w:noProof/>
          <w:szCs w:val="24"/>
        </w:rPr>
        <w:t>f</w:t>
      </w:r>
      <w:r w:rsidR="00FD1C1D" w:rsidRPr="0012174E">
        <w:rPr>
          <w:noProof/>
          <w:szCs w:val="24"/>
        </w:rPr>
        <w:t xml:space="preserve"> the EUDR</w:t>
      </w:r>
      <w:r w:rsidR="00C712F8" w:rsidRPr="0012174E">
        <w:rPr>
          <w:noProof/>
          <w:szCs w:val="24"/>
        </w:rPr>
        <w:t>.</w:t>
      </w:r>
    </w:p>
    <w:p w14:paraId="3B20309B" w14:textId="57A402C0" w:rsidR="00CD5C15" w:rsidRPr="0012174E" w:rsidRDefault="00CD5C15" w:rsidP="00637B48">
      <w:pPr>
        <w:spacing w:after="120"/>
        <w:rPr>
          <w:noProof/>
          <w:highlight w:val="yellow"/>
        </w:rPr>
      </w:pPr>
      <w:r>
        <w:rPr>
          <w:noProof/>
        </w:rPr>
        <w:t>In May 2025, the implementing act</w:t>
      </w:r>
      <w:r w:rsidR="002517DB">
        <w:rPr>
          <w:noProof/>
        </w:rPr>
        <w:t xml:space="preserve"> establishing a</w:t>
      </w:r>
      <w:r>
        <w:rPr>
          <w:noProof/>
        </w:rPr>
        <w:t xml:space="preserve"> list of countries classified according to their deforestation risk was </w:t>
      </w:r>
      <w:r w:rsidR="52C0007D">
        <w:rPr>
          <w:noProof/>
        </w:rPr>
        <w:t>adopted</w:t>
      </w:r>
      <w:r w:rsidR="1320F73F">
        <w:rPr>
          <w:noProof/>
        </w:rPr>
        <w:t>. U</w:t>
      </w:r>
      <w:r w:rsidR="52C0007D">
        <w:rPr>
          <w:noProof/>
        </w:rPr>
        <w:t xml:space="preserve">nder </w:t>
      </w:r>
      <w:r w:rsidR="259AD172">
        <w:rPr>
          <w:noProof/>
        </w:rPr>
        <w:t xml:space="preserve">this act, </w:t>
      </w:r>
      <w:r w:rsidR="52C0007D">
        <w:rPr>
          <w:noProof/>
        </w:rPr>
        <w:t>more countries are classified as “low risk” than anticipated in the initial impact assessment</w:t>
      </w:r>
      <w:r>
        <w:rPr>
          <w:noProof/>
        </w:rPr>
        <w:t xml:space="preserve">, </w:t>
      </w:r>
      <w:r w:rsidR="2F628AEF">
        <w:rPr>
          <w:noProof/>
        </w:rPr>
        <w:t xml:space="preserve">hence </w:t>
      </w:r>
      <w:r>
        <w:rPr>
          <w:noProof/>
        </w:rPr>
        <w:t>enabling operators</w:t>
      </w:r>
      <w:r w:rsidR="351D9BBC">
        <w:rPr>
          <w:noProof/>
        </w:rPr>
        <w:t xml:space="preserve"> sourcing from low-risk countries</w:t>
      </w:r>
      <w:r>
        <w:rPr>
          <w:noProof/>
        </w:rPr>
        <w:t xml:space="preserve"> </w:t>
      </w:r>
      <w:r w:rsidR="00B007B8">
        <w:rPr>
          <w:noProof/>
        </w:rPr>
        <w:t xml:space="preserve">to benefit from simplified due diligence </w:t>
      </w:r>
      <w:r>
        <w:rPr>
          <w:noProof/>
        </w:rPr>
        <w:t xml:space="preserve">while </w:t>
      </w:r>
      <w:r w:rsidR="352B8BCF">
        <w:rPr>
          <w:noProof/>
        </w:rPr>
        <w:t xml:space="preserve">focusing enforcement efforts </w:t>
      </w:r>
      <w:r w:rsidR="00566E68">
        <w:rPr>
          <w:noProof/>
        </w:rPr>
        <w:t xml:space="preserve">of competent authorities </w:t>
      </w:r>
      <w:r w:rsidR="352B8BCF">
        <w:rPr>
          <w:noProof/>
        </w:rPr>
        <w:t>on higher risk areas</w:t>
      </w:r>
      <w:r w:rsidR="00CF7FBE">
        <w:rPr>
          <w:noProof/>
        </w:rPr>
        <w:t>,</w:t>
      </w:r>
      <w:r>
        <w:rPr>
          <w:noProof/>
        </w:rPr>
        <w:t xml:space="preserve"> </w:t>
      </w:r>
      <w:r w:rsidR="07D9B8CA">
        <w:rPr>
          <w:noProof/>
        </w:rPr>
        <w:t>together accounting</w:t>
      </w:r>
      <w:r>
        <w:rPr>
          <w:noProof/>
        </w:rPr>
        <w:t xml:space="preserve"> for 95% of global forest loss.</w:t>
      </w:r>
      <w:r w:rsidRPr="475C48C1">
        <w:rPr>
          <w:noProof/>
          <w:lang w:val="en-IE"/>
        </w:rPr>
        <w:t xml:space="preserve"> (</w:t>
      </w:r>
      <w:r w:rsidRPr="1400005E">
        <w:rPr>
          <w:rStyle w:val="FootnoteReference"/>
          <w:noProof/>
          <w:lang w:val="en-IE"/>
        </w:rPr>
        <w:footnoteReference w:id="31"/>
      </w:r>
      <w:r w:rsidRPr="475C48C1">
        <w:rPr>
          <w:noProof/>
          <w:lang w:val="en-IE"/>
        </w:rPr>
        <w:t>)</w:t>
      </w:r>
    </w:p>
    <w:p w14:paraId="5D2251A0" w14:textId="3379CBB1" w:rsidR="005C2729" w:rsidRPr="0012174E" w:rsidRDefault="00D22E9A" w:rsidP="0012174E">
      <w:pPr>
        <w:spacing w:after="120"/>
        <w:rPr>
          <w:noProof/>
          <w:szCs w:val="24"/>
        </w:rPr>
      </w:pPr>
      <w:r w:rsidRPr="0012174E">
        <w:rPr>
          <w:noProof/>
          <w:szCs w:val="24"/>
        </w:rPr>
        <w:t xml:space="preserve">Throughout 2025, </w:t>
      </w:r>
      <w:r w:rsidR="64362557" w:rsidRPr="0012174E">
        <w:rPr>
          <w:noProof/>
          <w:szCs w:val="24"/>
        </w:rPr>
        <w:t xml:space="preserve">projections on the number of expected operations and interactions in the </w:t>
      </w:r>
      <w:r w:rsidR="00FB53D9">
        <w:rPr>
          <w:noProof/>
          <w:szCs w:val="24"/>
        </w:rPr>
        <w:t>I</w:t>
      </w:r>
      <w:r w:rsidR="64362557" w:rsidRPr="0012174E">
        <w:rPr>
          <w:noProof/>
          <w:szCs w:val="24"/>
        </w:rPr>
        <w:t xml:space="preserve">nformation </w:t>
      </w:r>
      <w:r w:rsidR="00FB53D9">
        <w:rPr>
          <w:noProof/>
          <w:szCs w:val="24"/>
        </w:rPr>
        <w:t>S</w:t>
      </w:r>
      <w:r w:rsidR="00FB53D9" w:rsidRPr="0012174E">
        <w:rPr>
          <w:noProof/>
          <w:szCs w:val="24"/>
        </w:rPr>
        <w:t xml:space="preserve">ystem </w:t>
      </w:r>
      <w:r w:rsidR="64362557" w:rsidRPr="0012174E">
        <w:rPr>
          <w:noProof/>
          <w:szCs w:val="24"/>
        </w:rPr>
        <w:t xml:space="preserve">led to a substantial reassessment of the load on the system, indicating much higher traffic on the </w:t>
      </w:r>
      <w:r w:rsidR="00FB53D9">
        <w:rPr>
          <w:noProof/>
          <w:szCs w:val="24"/>
        </w:rPr>
        <w:t>I</w:t>
      </w:r>
      <w:r w:rsidR="64362557" w:rsidRPr="0012174E">
        <w:rPr>
          <w:noProof/>
          <w:szCs w:val="24"/>
        </w:rPr>
        <w:t xml:space="preserve">nformation </w:t>
      </w:r>
      <w:r w:rsidR="00FB53D9">
        <w:rPr>
          <w:noProof/>
          <w:szCs w:val="24"/>
        </w:rPr>
        <w:t>S</w:t>
      </w:r>
      <w:r w:rsidR="64362557" w:rsidRPr="0012174E">
        <w:rPr>
          <w:noProof/>
          <w:szCs w:val="24"/>
        </w:rPr>
        <w:t>ystem than anticipated</w:t>
      </w:r>
      <w:r w:rsidRPr="0012174E">
        <w:rPr>
          <w:noProof/>
          <w:szCs w:val="24"/>
        </w:rPr>
        <w:t xml:space="preserve">. To address these </w:t>
      </w:r>
      <w:r w:rsidR="281D9FD8" w:rsidRPr="0012174E">
        <w:rPr>
          <w:noProof/>
          <w:szCs w:val="24"/>
        </w:rPr>
        <w:t xml:space="preserve">risks </w:t>
      </w:r>
      <w:r w:rsidRPr="0012174E">
        <w:rPr>
          <w:noProof/>
          <w:szCs w:val="24"/>
        </w:rPr>
        <w:t xml:space="preserve">and </w:t>
      </w:r>
      <w:r w:rsidR="643376E2" w:rsidRPr="0012174E">
        <w:rPr>
          <w:noProof/>
          <w:szCs w:val="24"/>
        </w:rPr>
        <w:t xml:space="preserve">avoid a failure of the </w:t>
      </w:r>
      <w:r w:rsidR="45A2A378" w:rsidRPr="0012174E">
        <w:rPr>
          <w:noProof/>
          <w:szCs w:val="24"/>
        </w:rPr>
        <w:t>Information S</w:t>
      </w:r>
      <w:r w:rsidR="643376E2" w:rsidRPr="0012174E">
        <w:rPr>
          <w:noProof/>
          <w:szCs w:val="24"/>
        </w:rPr>
        <w:t>ystem</w:t>
      </w:r>
      <w:r w:rsidRPr="0012174E">
        <w:rPr>
          <w:noProof/>
          <w:szCs w:val="24"/>
        </w:rPr>
        <w:t xml:space="preserve">, the Commission proposed </w:t>
      </w:r>
      <w:r w:rsidR="706F613F" w:rsidRPr="0012174E">
        <w:rPr>
          <w:noProof/>
          <w:szCs w:val="24"/>
        </w:rPr>
        <w:t>targ</w:t>
      </w:r>
      <w:r w:rsidR="346E8615" w:rsidRPr="0012174E">
        <w:rPr>
          <w:noProof/>
          <w:szCs w:val="24"/>
        </w:rPr>
        <w:t>e</w:t>
      </w:r>
      <w:r w:rsidR="706F613F" w:rsidRPr="0012174E">
        <w:rPr>
          <w:noProof/>
          <w:szCs w:val="24"/>
        </w:rPr>
        <w:t xml:space="preserve">ted </w:t>
      </w:r>
      <w:r w:rsidRPr="0012174E">
        <w:rPr>
          <w:noProof/>
          <w:szCs w:val="24"/>
        </w:rPr>
        <w:t xml:space="preserve">amendments in October 2025 </w:t>
      </w:r>
      <w:r w:rsidR="6517A421" w:rsidRPr="0012174E">
        <w:rPr>
          <w:noProof/>
          <w:szCs w:val="24"/>
        </w:rPr>
        <w:t>to</w:t>
      </w:r>
      <w:r w:rsidRPr="0012174E">
        <w:rPr>
          <w:noProof/>
          <w:szCs w:val="24"/>
        </w:rPr>
        <w:t xml:space="preserve"> reduc</w:t>
      </w:r>
      <w:r w:rsidR="65F56635" w:rsidRPr="0012174E">
        <w:rPr>
          <w:noProof/>
          <w:szCs w:val="24"/>
        </w:rPr>
        <w:t>e</w:t>
      </w:r>
      <w:r w:rsidR="00473D86" w:rsidRPr="0012174E">
        <w:rPr>
          <w:noProof/>
          <w:szCs w:val="24"/>
        </w:rPr>
        <w:t xml:space="preserve"> the</w:t>
      </w:r>
      <w:r w:rsidRPr="0012174E">
        <w:rPr>
          <w:noProof/>
          <w:szCs w:val="24"/>
        </w:rPr>
        <w:t xml:space="preserve"> </w:t>
      </w:r>
      <w:r w:rsidR="044F6C8A" w:rsidRPr="0012174E">
        <w:rPr>
          <w:noProof/>
          <w:szCs w:val="24"/>
        </w:rPr>
        <w:t>strain on</w:t>
      </w:r>
      <w:r w:rsidR="00473D86" w:rsidRPr="0012174E">
        <w:rPr>
          <w:noProof/>
          <w:szCs w:val="24"/>
        </w:rPr>
        <w:t xml:space="preserve"> the</w:t>
      </w:r>
      <w:r w:rsidRPr="0012174E">
        <w:rPr>
          <w:noProof/>
          <w:szCs w:val="24"/>
        </w:rPr>
        <w:t xml:space="preserve"> IT system and </w:t>
      </w:r>
      <w:r w:rsidR="7FB3FC2B" w:rsidRPr="0012174E">
        <w:rPr>
          <w:noProof/>
          <w:szCs w:val="24"/>
        </w:rPr>
        <w:t>at</w:t>
      </w:r>
      <w:r w:rsidR="00F86F20" w:rsidRPr="0012174E">
        <w:rPr>
          <w:noProof/>
          <w:szCs w:val="24"/>
        </w:rPr>
        <w:t xml:space="preserve"> the </w:t>
      </w:r>
      <w:r w:rsidR="7FB3FC2B" w:rsidRPr="0012174E">
        <w:rPr>
          <w:noProof/>
          <w:szCs w:val="24"/>
        </w:rPr>
        <w:t xml:space="preserve">same time </w:t>
      </w:r>
      <w:r w:rsidR="001E1686" w:rsidRPr="0012174E">
        <w:rPr>
          <w:noProof/>
          <w:szCs w:val="24"/>
        </w:rPr>
        <w:t>eas</w:t>
      </w:r>
      <w:r w:rsidR="4FA700D3" w:rsidRPr="0012174E">
        <w:rPr>
          <w:noProof/>
          <w:szCs w:val="24"/>
        </w:rPr>
        <w:t>ing</w:t>
      </w:r>
      <w:r w:rsidRPr="0012174E">
        <w:rPr>
          <w:noProof/>
          <w:szCs w:val="24"/>
        </w:rPr>
        <w:t xml:space="preserve"> the </w:t>
      </w:r>
      <w:r w:rsidR="001E1686" w:rsidRPr="0012174E">
        <w:rPr>
          <w:noProof/>
          <w:szCs w:val="24"/>
        </w:rPr>
        <w:t>administrative burden for economic operators</w:t>
      </w:r>
      <w:r w:rsidRPr="0012174E">
        <w:rPr>
          <w:noProof/>
          <w:szCs w:val="24"/>
        </w:rPr>
        <w:t xml:space="preserve">. </w:t>
      </w:r>
    </w:p>
    <w:p w14:paraId="4D0D229F" w14:textId="2D93C8E0" w:rsidR="00466EEB" w:rsidRPr="0012174E" w:rsidRDefault="00466EEB" w:rsidP="0012174E">
      <w:pPr>
        <w:spacing w:after="120"/>
        <w:rPr>
          <w:noProof/>
          <w:szCs w:val="24"/>
          <w:lang w:val="en-US" w:eastAsia="en-GB"/>
        </w:rPr>
      </w:pPr>
      <w:r w:rsidRPr="0012174E">
        <w:rPr>
          <w:noProof/>
          <w:szCs w:val="24"/>
          <w:lang w:val="en-US"/>
        </w:rPr>
        <w:t>On 19 December 2025, the European Parli</w:t>
      </w:r>
      <w:r w:rsidR="00372986" w:rsidRPr="0012174E">
        <w:rPr>
          <w:noProof/>
          <w:szCs w:val="24"/>
          <w:lang w:val="en-US"/>
        </w:rPr>
        <w:t>ament and the Council</w:t>
      </w:r>
      <w:r w:rsidRPr="0012174E">
        <w:rPr>
          <w:noProof/>
          <w:szCs w:val="24"/>
          <w:lang w:val="en-US"/>
        </w:rPr>
        <w:t xml:space="preserve"> adopted a revised EUDR</w:t>
      </w:r>
      <w:r w:rsidR="00D03513">
        <w:rPr>
          <w:noProof/>
          <w:szCs w:val="24"/>
          <w:lang w:val="en-US"/>
        </w:rPr>
        <w:t>,</w:t>
      </w:r>
      <w:r w:rsidRPr="0012174E">
        <w:rPr>
          <w:noProof/>
          <w:szCs w:val="24"/>
          <w:lang w:val="en-US"/>
        </w:rPr>
        <w:t xml:space="preserve"> adding an extra period before the entry into application and introducing some changes on substance. </w:t>
      </w:r>
      <w:r w:rsidR="00B131A7" w:rsidRPr="0012174E">
        <w:rPr>
          <w:noProof/>
          <w:szCs w:val="24"/>
          <w:lang w:eastAsia="en-GB"/>
        </w:rPr>
        <w:t xml:space="preserve">All companies, whether in the EU or elsewhere, </w:t>
      </w:r>
      <w:r w:rsidR="002A27D4">
        <w:rPr>
          <w:noProof/>
          <w:szCs w:val="24"/>
          <w:lang w:eastAsia="en-GB"/>
        </w:rPr>
        <w:t>received</w:t>
      </w:r>
      <w:r w:rsidR="00B131A7" w:rsidRPr="0012174E">
        <w:rPr>
          <w:noProof/>
          <w:szCs w:val="24"/>
          <w:lang w:eastAsia="en-GB"/>
        </w:rPr>
        <w:t xml:space="preserve"> one more year to prepare for entry into application.</w:t>
      </w:r>
      <w:r w:rsidR="00610CE3" w:rsidRPr="0012174E">
        <w:rPr>
          <w:noProof/>
          <w:szCs w:val="24"/>
          <w:lang w:eastAsia="en-GB"/>
        </w:rPr>
        <w:t xml:space="preserve"> </w:t>
      </w:r>
      <w:r w:rsidRPr="0012174E">
        <w:rPr>
          <w:noProof/>
          <w:szCs w:val="24"/>
          <w:lang w:eastAsia="en-GB"/>
        </w:rPr>
        <w:t>More specifically, t</w:t>
      </w:r>
      <w:r w:rsidRPr="0012174E">
        <w:rPr>
          <w:noProof/>
          <w:szCs w:val="24"/>
          <w:lang w:val="en-US" w:eastAsia="en-GB"/>
        </w:rPr>
        <w:t>he EUDR will enter into application on 30 December 2026 with regard to all companies except for most micro- or small operators, for which the entry into application is 30 June 2027. For micro- or small operators already covered by the EU Timber Regulation</w:t>
      </w:r>
      <w:r w:rsidR="001B67AF" w:rsidRPr="001B67AF">
        <w:rPr>
          <w:noProof/>
          <w:szCs w:val="24"/>
          <w:lang w:val="en-US" w:eastAsia="en-GB"/>
        </w:rPr>
        <w:t> (</w:t>
      </w:r>
      <w:r w:rsidR="001B67AF">
        <w:rPr>
          <w:rStyle w:val="FootnoteReference"/>
          <w:noProof/>
          <w:szCs w:val="24"/>
          <w:lang w:val="en-US" w:eastAsia="en-GB"/>
        </w:rPr>
        <w:footnoteReference w:id="32"/>
      </w:r>
      <w:r w:rsidR="001B67AF">
        <w:rPr>
          <w:noProof/>
          <w:szCs w:val="24"/>
          <w:lang w:val="en-US" w:eastAsia="en-GB"/>
        </w:rPr>
        <w:t>)</w:t>
      </w:r>
      <w:r w:rsidRPr="0012174E">
        <w:rPr>
          <w:noProof/>
          <w:szCs w:val="24"/>
          <w:lang w:val="en-US" w:eastAsia="en-GB"/>
        </w:rPr>
        <w:t xml:space="preserve">, the entry into application will be 30 December 2026. </w:t>
      </w:r>
    </w:p>
    <w:p w14:paraId="09A71EB2" w14:textId="37EFBE20" w:rsidR="005964B7" w:rsidRPr="0012174E" w:rsidRDefault="005964B7" w:rsidP="44DF46F2">
      <w:pPr>
        <w:spacing w:after="120"/>
        <w:rPr>
          <w:noProof/>
          <w:lang w:val="en-IE"/>
        </w:rPr>
      </w:pPr>
      <w:r w:rsidRPr="44DF46F2">
        <w:rPr>
          <w:noProof/>
          <w:lang w:val="en-IE"/>
        </w:rPr>
        <w:t xml:space="preserve">Under the revised legal text, the due diligence model shifted from a system in which every actor </w:t>
      </w:r>
      <w:r w:rsidR="00D7457E" w:rsidRPr="44DF46F2">
        <w:rPr>
          <w:noProof/>
          <w:lang w:val="en-IE"/>
        </w:rPr>
        <w:t>placing</w:t>
      </w:r>
      <w:r w:rsidRPr="44DF46F2">
        <w:rPr>
          <w:noProof/>
          <w:lang w:val="en-IE"/>
        </w:rPr>
        <w:t xml:space="preserve">, transforming, or trading in relevant products (with the exception of SMEs) had to submit a </w:t>
      </w:r>
      <w:r w:rsidR="0070789E">
        <w:rPr>
          <w:noProof/>
          <w:lang w:val="en-IE"/>
        </w:rPr>
        <w:t>due diligence statement</w:t>
      </w:r>
      <w:r w:rsidRPr="44DF46F2">
        <w:rPr>
          <w:noProof/>
          <w:lang w:val="en-IE"/>
        </w:rPr>
        <w:t xml:space="preserve">, to a </w:t>
      </w:r>
      <w:r w:rsidR="0282BB88" w:rsidRPr="44DF46F2">
        <w:rPr>
          <w:noProof/>
          <w:lang w:val="en-IE"/>
        </w:rPr>
        <w:t xml:space="preserve">simpler </w:t>
      </w:r>
      <w:r w:rsidRPr="44DF46F2">
        <w:rPr>
          <w:noProof/>
          <w:lang w:val="en-IE"/>
        </w:rPr>
        <w:t xml:space="preserve">system where this responsibility </w:t>
      </w:r>
      <w:r w:rsidR="111AC4FC" w:rsidRPr="44DF46F2">
        <w:rPr>
          <w:noProof/>
          <w:lang w:val="en-IE"/>
        </w:rPr>
        <w:t xml:space="preserve">now </w:t>
      </w:r>
      <w:r w:rsidRPr="44DF46F2">
        <w:rPr>
          <w:noProof/>
          <w:lang w:val="en-IE"/>
        </w:rPr>
        <w:t xml:space="preserve">lies with the first operator placing a relevant product on the EU market or exporting it. Downstream operators and traders are no longer required to submit their own </w:t>
      </w:r>
      <w:r w:rsidR="0070789E">
        <w:rPr>
          <w:noProof/>
          <w:lang w:val="en-IE"/>
        </w:rPr>
        <w:t>due diligence statement</w:t>
      </w:r>
      <w:r w:rsidR="00E5727C">
        <w:rPr>
          <w:noProof/>
          <w:lang w:val="en-IE"/>
        </w:rPr>
        <w:t xml:space="preserve"> </w:t>
      </w:r>
      <w:r w:rsidRPr="44DF46F2">
        <w:rPr>
          <w:noProof/>
          <w:lang w:val="en-IE"/>
        </w:rPr>
        <w:t>in the Information System</w:t>
      </w:r>
      <w:r w:rsidR="0656535A" w:rsidRPr="44DF46F2">
        <w:rPr>
          <w:noProof/>
          <w:lang w:val="en-IE"/>
        </w:rPr>
        <w:t xml:space="preserve"> nor to ascertain that due diligence was exercised across supply chains</w:t>
      </w:r>
      <w:r w:rsidRPr="44DF46F2">
        <w:rPr>
          <w:noProof/>
          <w:lang w:val="en-IE"/>
        </w:rPr>
        <w:t xml:space="preserve">. Instead, their obligations are </w:t>
      </w:r>
      <w:r w:rsidR="009E6555" w:rsidRPr="44DF46F2">
        <w:rPr>
          <w:noProof/>
          <w:lang w:val="en-IE"/>
        </w:rPr>
        <w:t>mainly</w:t>
      </w:r>
      <w:r w:rsidRPr="44DF46F2">
        <w:rPr>
          <w:noProof/>
          <w:lang w:val="en-IE"/>
        </w:rPr>
        <w:t xml:space="preserve"> limited to registering in the EUDR Information System </w:t>
      </w:r>
      <w:r w:rsidR="00F0719E" w:rsidRPr="44DF46F2">
        <w:rPr>
          <w:noProof/>
          <w:lang w:val="en-IE"/>
        </w:rPr>
        <w:t>(</w:t>
      </w:r>
      <w:r w:rsidRPr="44DF46F2">
        <w:rPr>
          <w:noProof/>
          <w:lang w:val="en-IE"/>
        </w:rPr>
        <w:t>for non-SMEs</w:t>
      </w:r>
      <w:r w:rsidR="00F0719E" w:rsidRPr="44DF46F2">
        <w:rPr>
          <w:noProof/>
          <w:lang w:val="en-IE"/>
        </w:rPr>
        <w:t>)</w:t>
      </w:r>
      <w:r w:rsidRPr="44DF46F2">
        <w:rPr>
          <w:noProof/>
          <w:lang w:val="en-IE"/>
        </w:rPr>
        <w:t>,</w:t>
      </w:r>
      <w:r w:rsidR="00827BF9" w:rsidRPr="44DF46F2">
        <w:rPr>
          <w:noProof/>
          <w:lang w:val="en-IE"/>
        </w:rPr>
        <w:t xml:space="preserve"> </w:t>
      </w:r>
      <w:r w:rsidRPr="44DF46F2">
        <w:rPr>
          <w:noProof/>
          <w:lang w:val="en-IE"/>
        </w:rPr>
        <w:t>and</w:t>
      </w:r>
      <w:r w:rsidR="265F5434" w:rsidRPr="44DF46F2">
        <w:rPr>
          <w:noProof/>
          <w:lang w:val="en-IE"/>
        </w:rPr>
        <w:t xml:space="preserve">, only in the cases where they are placed just after the </w:t>
      </w:r>
      <w:r w:rsidR="07390CD7" w:rsidRPr="44DF46F2">
        <w:rPr>
          <w:noProof/>
          <w:lang w:val="en-IE"/>
        </w:rPr>
        <w:t>operator</w:t>
      </w:r>
      <w:r w:rsidR="455AC296" w:rsidRPr="44DF46F2">
        <w:rPr>
          <w:noProof/>
          <w:lang w:val="en-IE"/>
        </w:rPr>
        <w:t xml:space="preserve"> in supply chains</w:t>
      </w:r>
      <w:r w:rsidR="07390CD7" w:rsidRPr="44DF46F2">
        <w:rPr>
          <w:noProof/>
          <w:lang w:val="en-IE"/>
        </w:rPr>
        <w:t>,</w:t>
      </w:r>
      <w:r w:rsidRPr="44DF46F2">
        <w:rPr>
          <w:noProof/>
          <w:lang w:val="en-IE"/>
        </w:rPr>
        <w:t xml:space="preserve"> collecting the </w:t>
      </w:r>
      <w:r w:rsidR="0070789E">
        <w:rPr>
          <w:noProof/>
          <w:lang w:val="en-IE"/>
        </w:rPr>
        <w:t>due diligence statement</w:t>
      </w:r>
      <w:r w:rsidR="00E5727C">
        <w:rPr>
          <w:noProof/>
          <w:lang w:val="en-IE"/>
        </w:rPr>
        <w:t xml:space="preserve"> </w:t>
      </w:r>
      <w:r w:rsidRPr="44DF46F2">
        <w:rPr>
          <w:noProof/>
          <w:lang w:val="en-IE"/>
        </w:rPr>
        <w:t xml:space="preserve">reference numbers </w:t>
      </w:r>
      <w:r w:rsidR="34EEC2CF" w:rsidRPr="44DF46F2">
        <w:rPr>
          <w:noProof/>
          <w:lang w:val="en-IE"/>
        </w:rPr>
        <w:t>received</w:t>
      </w:r>
      <w:r w:rsidRPr="44DF46F2">
        <w:rPr>
          <w:noProof/>
          <w:lang w:val="en-IE"/>
        </w:rPr>
        <w:t>.</w:t>
      </w:r>
    </w:p>
    <w:p w14:paraId="088FDE33" w14:textId="4152DD42" w:rsidR="0062074D" w:rsidRDefault="11CEE901" w:rsidP="0015133F">
      <w:pPr>
        <w:rPr>
          <w:noProof/>
          <w:lang w:val="en-IE"/>
        </w:rPr>
      </w:pPr>
      <w:r w:rsidRPr="44DF46F2">
        <w:rPr>
          <w:noProof/>
          <w:lang w:val="en-IE"/>
        </w:rPr>
        <w:t xml:space="preserve">In order to reduce administrative burdens as much as possible, </w:t>
      </w:r>
      <w:r w:rsidR="2C042847" w:rsidRPr="44DF46F2">
        <w:rPr>
          <w:noProof/>
          <w:lang w:val="en-IE"/>
        </w:rPr>
        <w:t>a</w:t>
      </w:r>
      <w:r w:rsidR="005964B7" w:rsidRPr="44DF46F2">
        <w:rPr>
          <w:noProof/>
          <w:lang w:val="en-IE"/>
        </w:rPr>
        <w:t xml:space="preserve"> new category of micro </w:t>
      </w:r>
      <w:r w:rsidR="00D452D1" w:rsidRPr="44DF46F2">
        <w:rPr>
          <w:noProof/>
          <w:lang w:val="en-IE"/>
        </w:rPr>
        <w:t xml:space="preserve">or </w:t>
      </w:r>
      <w:r w:rsidR="005964B7" w:rsidRPr="44DF46F2">
        <w:rPr>
          <w:noProof/>
          <w:lang w:val="en-IE"/>
        </w:rPr>
        <w:t xml:space="preserve">small primary operators was also introduced. This category applies to </w:t>
      </w:r>
      <w:r w:rsidR="00ED14C3" w:rsidRPr="44DF46F2">
        <w:rPr>
          <w:noProof/>
          <w:lang w:val="en-IE"/>
        </w:rPr>
        <w:t>micro and small</w:t>
      </w:r>
      <w:r w:rsidR="005964B7" w:rsidRPr="44DF46F2">
        <w:rPr>
          <w:noProof/>
          <w:lang w:val="en-IE"/>
        </w:rPr>
        <w:t xml:space="preserve"> </w:t>
      </w:r>
      <w:r w:rsidR="03EAC36C" w:rsidRPr="44DF46F2">
        <w:rPr>
          <w:noProof/>
          <w:lang w:val="en-IE"/>
        </w:rPr>
        <w:t xml:space="preserve">primary </w:t>
      </w:r>
      <w:r w:rsidR="005964B7" w:rsidRPr="44DF46F2">
        <w:rPr>
          <w:noProof/>
          <w:lang w:val="en-IE"/>
        </w:rPr>
        <w:t>operators established in countries classified as low</w:t>
      </w:r>
      <w:r w:rsidR="000B24B2" w:rsidRPr="44DF46F2">
        <w:rPr>
          <w:noProof/>
          <w:lang w:val="en-IE"/>
        </w:rPr>
        <w:t>-</w:t>
      </w:r>
      <w:r w:rsidR="005964B7" w:rsidRPr="44DF46F2">
        <w:rPr>
          <w:noProof/>
          <w:lang w:val="en-IE"/>
        </w:rPr>
        <w:t>risk that, in the course of a commercial activity, place on the market or export relevant products that they themselves have grown, harvested, obtained, or raised on specific plots of land. These operators</w:t>
      </w:r>
      <w:r w:rsidR="6761F345" w:rsidRPr="44DF46F2">
        <w:rPr>
          <w:noProof/>
          <w:lang w:val="en-IE"/>
        </w:rPr>
        <w:t>, essentially farmers and foresters,</w:t>
      </w:r>
      <w:r w:rsidR="005964B7" w:rsidRPr="44DF46F2">
        <w:rPr>
          <w:noProof/>
          <w:lang w:val="en-IE"/>
        </w:rPr>
        <w:t xml:space="preserve"> are no longer required to submit </w:t>
      </w:r>
      <w:r w:rsidR="00E5727C">
        <w:rPr>
          <w:noProof/>
          <w:lang w:val="en-IE"/>
        </w:rPr>
        <w:t xml:space="preserve">due diligence statements </w:t>
      </w:r>
      <w:r w:rsidR="005964B7" w:rsidRPr="44DF46F2">
        <w:rPr>
          <w:noProof/>
          <w:lang w:val="en-IE"/>
        </w:rPr>
        <w:t xml:space="preserve">every time they place a product on the market or export it. Instead, they </w:t>
      </w:r>
      <w:r w:rsidR="29584A13" w:rsidRPr="44DF46F2">
        <w:rPr>
          <w:noProof/>
          <w:lang w:val="en-IE"/>
        </w:rPr>
        <w:t xml:space="preserve">only need to </w:t>
      </w:r>
      <w:r w:rsidR="005964B7" w:rsidRPr="44DF46F2">
        <w:rPr>
          <w:noProof/>
          <w:lang w:val="en-IE"/>
        </w:rPr>
        <w:t>submit a one-off simplified declaration and pass the corresponding declaration identifier to downstream operators or traders.</w:t>
      </w:r>
    </w:p>
    <w:tbl>
      <w:tblPr>
        <w:tblStyle w:val="TableGrid"/>
        <w:tblW w:w="0" w:type="auto"/>
        <w:shd w:val="clear" w:color="auto" w:fill="E8E8E8" w:themeFill="background2"/>
        <w:tblLook w:val="04A0" w:firstRow="1" w:lastRow="0" w:firstColumn="1" w:lastColumn="0" w:noHBand="0" w:noVBand="1"/>
      </w:tblPr>
      <w:tblGrid>
        <w:gridCol w:w="8602"/>
      </w:tblGrid>
      <w:tr w:rsidR="00E53BE8" w14:paraId="7FD8629C" w14:textId="77777777" w:rsidTr="00D21269">
        <w:trPr>
          <w:trHeight w:val="1192"/>
        </w:trPr>
        <w:tc>
          <w:tcPr>
            <w:tcW w:w="8602" w:type="dxa"/>
            <w:shd w:val="clear" w:color="auto" w:fill="E8E8E8" w:themeFill="background2"/>
          </w:tcPr>
          <w:p w14:paraId="0DD27524" w14:textId="16445690" w:rsidR="00E53BE8" w:rsidRDefault="28F32AE6" w:rsidP="00E53BE8">
            <w:pPr>
              <w:spacing w:after="120"/>
              <w:rPr>
                <w:b/>
                <w:bCs/>
                <w:noProof/>
                <w:lang w:val="en-IE"/>
              </w:rPr>
            </w:pPr>
            <w:r w:rsidRPr="0F1F5007">
              <w:rPr>
                <w:rFonts w:eastAsia="Arial"/>
                <w:noProof/>
                <w:lang w:val="en-US"/>
              </w:rPr>
              <w:t xml:space="preserve"> </w:t>
            </w:r>
            <w:r w:rsidR="00E53BE8" w:rsidRPr="1400005E">
              <w:rPr>
                <w:b/>
                <w:bCs/>
                <w:noProof/>
                <w:lang w:val="en-IE"/>
              </w:rPr>
              <w:t xml:space="preserve">Key points – </w:t>
            </w:r>
            <w:r w:rsidR="00894B68">
              <w:rPr>
                <w:b/>
                <w:bCs/>
                <w:noProof/>
                <w:lang w:val="en-IE"/>
              </w:rPr>
              <w:t xml:space="preserve">chapter </w:t>
            </w:r>
            <w:r w:rsidR="00E53BE8" w:rsidRPr="1400005E">
              <w:rPr>
                <w:b/>
                <w:bCs/>
                <w:noProof/>
                <w:lang w:val="en-IE"/>
              </w:rPr>
              <w:t>summary:</w:t>
            </w:r>
          </w:p>
          <w:p w14:paraId="12B9DD0B" w14:textId="22FF1774" w:rsidR="00B962C2" w:rsidRDefault="00995EF6" w:rsidP="000A017B">
            <w:pPr>
              <w:spacing w:after="120"/>
              <w:rPr>
                <w:noProof/>
                <w:lang w:val="en-IE"/>
              </w:rPr>
            </w:pPr>
            <w:r>
              <w:rPr>
                <w:noProof/>
                <w:lang w:val="en-IE"/>
              </w:rPr>
              <w:t>In</w:t>
            </w:r>
            <w:r w:rsidR="35F1CB0E" w:rsidRPr="2D5F6AA7">
              <w:rPr>
                <w:noProof/>
                <w:lang w:val="en-IE"/>
              </w:rPr>
              <w:t xml:space="preserve"> 2024</w:t>
            </w:r>
            <w:r w:rsidR="00D56251">
              <w:rPr>
                <w:noProof/>
                <w:lang w:val="en-IE"/>
              </w:rPr>
              <w:t xml:space="preserve"> and </w:t>
            </w:r>
            <w:r w:rsidR="35F1CB0E" w:rsidRPr="2D5F6AA7">
              <w:rPr>
                <w:noProof/>
                <w:lang w:val="en-IE"/>
              </w:rPr>
              <w:t xml:space="preserve">2025, the </w:t>
            </w:r>
            <w:r w:rsidR="00B3090E">
              <w:rPr>
                <w:noProof/>
                <w:lang w:val="en-IE"/>
              </w:rPr>
              <w:t>EU</w:t>
            </w:r>
            <w:r w:rsidR="00B3090E" w:rsidRPr="2D5F6AA7">
              <w:rPr>
                <w:noProof/>
                <w:lang w:val="en-IE"/>
              </w:rPr>
              <w:t xml:space="preserve"> </w:t>
            </w:r>
            <w:r w:rsidR="35F1CB0E" w:rsidRPr="2D5F6AA7">
              <w:rPr>
                <w:noProof/>
                <w:lang w:val="en-IE"/>
              </w:rPr>
              <w:t xml:space="preserve">implemented key simplification measures for the EUDR, guided by extensive stakeholder engagement. Guidance </w:t>
            </w:r>
            <w:r w:rsidR="00A1654F">
              <w:rPr>
                <w:noProof/>
                <w:lang w:val="en-IE"/>
              </w:rPr>
              <w:t xml:space="preserve">and FAQs </w:t>
            </w:r>
            <w:r w:rsidR="35F1CB0E" w:rsidRPr="2D5F6AA7">
              <w:rPr>
                <w:noProof/>
                <w:lang w:val="en-IE"/>
              </w:rPr>
              <w:t xml:space="preserve">documents were published to clarify obligations, introducing flexibilities such as single due diligence statements for multiple shipments, simplified re-imports for SMEs, and streamlined rules for composite product. </w:t>
            </w:r>
          </w:p>
          <w:p w14:paraId="6F0076BF" w14:textId="6861BA3E" w:rsidR="00E53BE8" w:rsidRDefault="35F1CB0E" w:rsidP="000A017B">
            <w:pPr>
              <w:spacing w:after="120"/>
              <w:rPr>
                <w:noProof/>
                <w:szCs w:val="24"/>
                <w:lang w:val="en-IE"/>
              </w:rPr>
            </w:pPr>
            <w:r w:rsidRPr="2D5F6AA7">
              <w:rPr>
                <w:noProof/>
                <w:lang w:val="en-IE"/>
              </w:rPr>
              <w:t>Legislative amendments in December 2024 and 2025</w:t>
            </w:r>
            <w:r w:rsidR="002A5D7A">
              <w:rPr>
                <w:noProof/>
                <w:lang w:val="en-IE"/>
              </w:rPr>
              <w:t xml:space="preserve"> added</w:t>
            </w:r>
            <w:r w:rsidR="00F75F08">
              <w:rPr>
                <w:noProof/>
                <w:lang w:val="en-IE"/>
              </w:rPr>
              <w:t xml:space="preserve"> </w:t>
            </w:r>
            <w:r w:rsidR="00AD46C4">
              <w:rPr>
                <w:noProof/>
                <w:lang w:val="en-IE"/>
              </w:rPr>
              <w:t xml:space="preserve">each </w:t>
            </w:r>
            <w:r w:rsidR="00F75F08">
              <w:rPr>
                <w:noProof/>
                <w:lang w:val="en-IE"/>
              </w:rPr>
              <w:t xml:space="preserve">an extra year </w:t>
            </w:r>
            <w:r w:rsidR="00B20EF6">
              <w:rPr>
                <w:noProof/>
                <w:lang w:val="en-IE"/>
              </w:rPr>
              <w:t xml:space="preserve">to prepare </w:t>
            </w:r>
            <w:r w:rsidR="00516AA9">
              <w:rPr>
                <w:noProof/>
                <w:lang w:val="en-IE"/>
              </w:rPr>
              <w:t xml:space="preserve">better </w:t>
            </w:r>
            <w:r w:rsidR="00B20EF6">
              <w:rPr>
                <w:noProof/>
                <w:lang w:val="en-IE"/>
              </w:rPr>
              <w:t>for</w:t>
            </w:r>
            <w:r w:rsidRPr="2D5F6AA7">
              <w:rPr>
                <w:noProof/>
                <w:lang w:val="en-IE"/>
              </w:rPr>
              <w:t xml:space="preserve"> entry into application and shifted due diligence responsibilities to first placers on the EU market, exempting downstream traders from submitting due diligence statements while introducing a one-off simplified declaration for </w:t>
            </w:r>
            <w:r w:rsidR="00E5727C">
              <w:rPr>
                <w:noProof/>
                <w:lang w:val="en-IE"/>
              </w:rPr>
              <w:t>m</w:t>
            </w:r>
            <w:r w:rsidR="003B4186">
              <w:rPr>
                <w:noProof/>
                <w:lang w:val="en-IE"/>
              </w:rPr>
              <w:t>icro or</w:t>
            </w:r>
            <w:r w:rsidR="00EC27B1">
              <w:rPr>
                <w:noProof/>
                <w:lang w:val="en-IE"/>
              </w:rPr>
              <w:t xml:space="preserve"> </w:t>
            </w:r>
            <w:r w:rsidR="00E5727C">
              <w:rPr>
                <w:noProof/>
                <w:lang w:val="en-IE"/>
              </w:rPr>
              <w:t>s</w:t>
            </w:r>
            <w:r w:rsidR="00EC27B1">
              <w:rPr>
                <w:noProof/>
                <w:lang w:val="en-IE"/>
              </w:rPr>
              <w:t xml:space="preserve">mall </w:t>
            </w:r>
            <w:r w:rsidR="00E5727C">
              <w:rPr>
                <w:noProof/>
                <w:lang w:val="en-IE"/>
              </w:rPr>
              <w:t>p</w:t>
            </w:r>
            <w:r w:rsidR="00EC27B1">
              <w:rPr>
                <w:noProof/>
                <w:lang w:val="en-IE"/>
              </w:rPr>
              <w:t xml:space="preserve">rimary </w:t>
            </w:r>
            <w:r w:rsidR="00E5727C">
              <w:rPr>
                <w:noProof/>
                <w:lang w:val="en-IE"/>
              </w:rPr>
              <w:t>o</w:t>
            </w:r>
            <w:r w:rsidR="00EC27B1">
              <w:rPr>
                <w:noProof/>
                <w:lang w:val="en-IE"/>
              </w:rPr>
              <w:t>perator</w:t>
            </w:r>
            <w:r w:rsidRPr="2D5F6AA7">
              <w:rPr>
                <w:noProof/>
                <w:lang w:val="en-IE"/>
              </w:rPr>
              <w:t xml:space="preserve">s. </w:t>
            </w:r>
          </w:p>
        </w:tc>
      </w:tr>
    </w:tbl>
    <w:p w14:paraId="10517191" w14:textId="17ABA4FA" w:rsidR="1A87F7BA" w:rsidRPr="0012174E" w:rsidRDefault="1A87F7BA" w:rsidP="0012174E">
      <w:pPr>
        <w:spacing w:after="120"/>
        <w:rPr>
          <w:noProof/>
          <w:szCs w:val="24"/>
          <w:lang w:val="en-IE"/>
        </w:rPr>
      </w:pPr>
    </w:p>
    <w:p w14:paraId="5329C17F" w14:textId="3048D8B5" w:rsidR="002C099C" w:rsidRPr="003B4F94" w:rsidRDefault="00347AC9" w:rsidP="0012174E">
      <w:pPr>
        <w:spacing w:after="120"/>
        <w:rPr>
          <w:b/>
          <w:bCs/>
          <w:noProof/>
          <w:sz w:val="28"/>
          <w:szCs w:val="28"/>
        </w:rPr>
      </w:pPr>
      <w:r w:rsidRPr="003B4F94">
        <w:rPr>
          <w:b/>
          <w:bCs/>
          <w:noProof/>
          <w:sz w:val="28"/>
          <w:szCs w:val="28"/>
        </w:rPr>
        <w:t>3</w:t>
      </w:r>
      <w:r w:rsidR="001A0EBF" w:rsidRPr="003B4F94">
        <w:rPr>
          <w:b/>
          <w:bCs/>
          <w:noProof/>
          <w:sz w:val="28"/>
          <w:szCs w:val="28"/>
        </w:rPr>
        <w:t xml:space="preserve">. </w:t>
      </w:r>
      <w:r w:rsidR="00FE572D" w:rsidRPr="003B4F94">
        <w:rPr>
          <w:b/>
          <w:bCs/>
          <w:noProof/>
          <w:sz w:val="28"/>
          <w:szCs w:val="28"/>
        </w:rPr>
        <w:t>Stakeholder feedback</w:t>
      </w:r>
      <w:r w:rsidRPr="003B4F94">
        <w:rPr>
          <w:b/>
          <w:bCs/>
          <w:noProof/>
          <w:sz w:val="28"/>
          <w:szCs w:val="28"/>
        </w:rPr>
        <w:t xml:space="preserve"> </w:t>
      </w:r>
      <w:r w:rsidR="00BC5E4E" w:rsidRPr="003B4F94">
        <w:rPr>
          <w:b/>
          <w:bCs/>
          <w:noProof/>
          <w:sz w:val="28"/>
          <w:szCs w:val="28"/>
        </w:rPr>
        <w:t>informing the</w:t>
      </w:r>
      <w:r w:rsidR="00834D41" w:rsidRPr="003B4F94">
        <w:rPr>
          <w:b/>
          <w:bCs/>
          <w:noProof/>
          <w:sz w:val="28"/>
          <w:szCs w:val="28"/>
        </w:rPr>
        <w:t xml:space="preserve"> </w:t>
      </w:r>
      <w:r w:rsidR="003907DC">
        <w:rPr>
          <w:b/>
          <w:bCs/>
          <w:noProof/>
          <w:sz w:val="28"/>
          <w:szCs w:val="28"/>
        </w:rPr>
        <w:t xml:space="preserve">new </w:t>
      </w:r>
      <w:r w:rsidR="581C77F4" w:rsidRPr="003B4F94">
        <w:rPr>
          <w:b/>
          <w:bCs/>
          <w:noProof/>
          <w:sz w:val="28"/>
          <w:szCs w:val="28"/>
        </w:rPr>
        <w:t xml:space="preserve">simplification </w:t>
      </w:r>
      <w:r w:rsidR="003907DC">
        <w:rPr>
          <w:b/>
          <w:bCs/>
          <w:noProof/>
          <w:sz w:val="28"/>
          <w:szCs w:val="28"/>
        </w:rPr>
        <w:t>measures</w:t>
      </w:r>
    </w:p>
    <w:p w14:paraId="3AB102CC" w14:textId="1AD7DF17" w:rsidR="002C099C" w:rsidRPr="0012174E" w:rsidRDefault="002C099C" w:rsidP="0012174E">
      <w:pPr>
        <w:spacing w:after="120"/>
        <w:rPr>
          <w:noProof/>
          <w:szCs w:val="24"/>
          <w:lang w:val="en-IE"/>
        </w:rPr>
      </w:pPr>
      <w:r w:rsidRPr="0012174E">
        <w:rPr>
          <w:noProof/>
          <w:szCs w:val="24"/>
          <w:lang w:val="en-IE"/>
        </w:rPr>
        <w:t xml:space="preserve">This chapter presents the evidence collected from stakeholders </w:t>
      </w:r>
      <w:r w:rsidR="513F98F5" w:rsidRPr="0012174E">
        <w:rPr>
          <w:noProof/>
          <w:szCs w:val="24"/>
          <w:lang w:val="en-IE"/>
        </w:rPr>
        <w:t>after</w:t>
      </w:r>
      <w:r w:rsidRPr="0012174E">
        <w:rPr>
          <w:noProof/>
          <w:szCs w:val="24"/>
          <w:lang w:val="en-IE"/>
        </w:rPr>
        <w:t xml:space="preserve"> the </w:t>
      </w:r>
      <w:r w:rsidR="513F98F5" w:rsidRPr="0012174E">
        <w:rPr>
          <w:noProof/>
          <w:szCs w:val="24"/>
          <w:lang w:val="en-IE"/>
        </w:rPr>
        <w:t>revised 2025</w:t>
      </w:r>
      <w:r w:rsidRPr="0012174E">
        <w:rPr>
          <w:noProof/>
          <w:szCs w:val="24"/>
          <w:lang w:val="en-IE"/>
        </w:rPr>
        <w:t xml:space="preserve"> EUDR</w:t>
      </w:r>
      <w:r w:rsidR="513F98F5" w:rsidRPr="0012174E">
        <w:rPr>
          <w:noProof/>
          <w:szCs w:val="24"/>
          <w:lang w:val="en-IE"/>
        </w:rPr>
        <w:t xml:space="preserve"> text</w:t>
      </w:r>
      <w:r w:rsidR="00C74DCA">
        <w:rPr>
          <w:noProof/>
          <w:szCs w:val="24"/>
          <w:lang w:val="en-IE"/>
        </w:rPr>
        <w:t>.</w:t>
      </w:r>
      <w:r w:rsidR="513F98F5" w:rsidRPr="0012174E">
        <w:rPr>
          <w:noProof/>
          <w:szCs w:val="24"/>
          <w:lang w:val="en-IE"/>
        </w:rPr>
        <w:t xml:space="preserve"> </w:t>
      </w:r>
      <w:r w:rsidR="00C74DCA">
        <w:rPr>
          <w:noProof/>
          <w:szCs w:val="24"/>
          <w:lang w:val="en-IE"/>
        </w:rPr>
        <w:t>T</w:t>
      </w:r>
      <w:r w:rsidRPr="0012174E">
        <w:rPr>
          <w:noProof/>
          <w:szCs w:val="24"/>
          <w:lang w:val="en-IE"/>
        </w:rPr>
        <w:t xml:space="preserve">he insights form an essential part of the evidence base supporting the new </w:t>
      </w:r>
      <w:r w:rsidR="38E584D6" w:rsidRPr="0012174E">
        <w:rPr>
          <w:noProof/>
          <w:szCs w:val="24"/>
          <w:lang w:val="en-IE"/>
        </w:rPr>
        <w:t xml:space="preserve">package of </w:t>
      </w:r>
      <w:r w:rsidRPr="0012174E">
        <w:rPr>
          <w:noProof/>
          <w:szCs w:val="24"/>
          <w:lang w:val="en-IE"/>
        </w:rPr>
        <w:t xml:space="preserve">measures. </w:t>
      </w:r>
    </w:p>
    <w:p w14:paraId="0E6201D8" w14:textId="77777777" w:rsidR="0015133F" w:rsidRDefault="0015133F" w:rsidP="0012174E">
      <w:pPr>
        <w:spacing w:after="120"/>
        <w:rPr>
          <w:b/>
          <w:bCs/>
          <w:noProof/>
          <w:szCs w:val="24"/>
        </w:rPr>
      </w:pPr>
    </w:p>
    <w:p w14:paraId="33C50CEC" w14:textId="0BA9DBCD" w:rsidR="002C099C" w:rsidRPr="0012174E" w:rsidRDefault="0090713A" w:rsidP="0012174E">
      <w:pPr>
        <w:spacing w:after="120"/>
        <w:rPr>
          <w:b/>
          <w:bCs/>
          <w:noProof/>
          <w:szCs w:val="24"/>
        </w:rPr>
      </w:pPr>
      <w:r w:rsidRPr="0012174E">
        <w:rPr>
          <w:b/>
          <w:bCs/>
          <w:noProof/>
          <w:szCs w:val="24"/>
        </w:rPr>
        <w:t>3</w:t>
      </w:r>
      <w:r w:rsidR="002C099C" w:rsidRPr="0012174E">
        <w:rPr>
          <w:b/>
          <w:bCs/>
          <w:noProof/>
          <w:szCs w:val="24"/>
        </w:rPr>
        <w:t xml:space="preserve">.1 Stakeholder engagement activities </w:t>
      </w:r>
    </w:p>
    <w:p w14:paraId="5E9F2149" w14:textId="721DD434" w:rsidR="005B15CD" w:rsidRPr="0012174E" w:rsidRDefault="003129B5" w:rsidP="0012174E">
      <w:pPr>
        <w:spacing w:after="120"/>
        <w:jc w:val="left"/>
        <w:rPr>
          <w:i/>
          <w:iCs/>
          <w:noProof/>
          <w:szCs w:val="24"/>
        </w:rPr>
      </w:pPr>
      <w:r w:rsidRPr="0012174E">
        <w:rPr>
          <w:i/>
          <w:iCs/>
          <w:noProof/>
          <w:szCs w:val="24"/>
        </w:rPr>
        <w:t xml:space="preserve">3.1.1 </w:t>
      </w:r>
      <w:r w:rsidR="0071719A" w:rsidRPr="0012174E">
        <w:rPr>
          <w:i/>
          <w:iCs/>
          <w:noProof/>
          <w:szCs w:val="24"/>
        </w:rPr>
        <w:t>Consultation</w:t>
      </w:r>
      <w:r w:rsidR="000D1118">
        <w:rPr>
          <w:i/>
          <w:iCs/>
          <w:noProof/>
          <w:szCs w:val="24"/>
        </w:rPr>
        <w:t>s</w:t>
      </w:r>
      <w:r w:rsidR="0071719A" w:rsidRPr="0012174E">
        <w:rPr>
          <w:i/>
          <w:iCs/>
          <w:noProof/>
          <w:szCs w:val="24"/>
        </w:rPr>
        <w:t xml:space="preserve"> with stakeholders</w:t>
      </w:r>
      <w:r w:rsidRPr="0012174E">
        <w:rPr>
          <w:i/>
          <w:iCs/>
          <w:noProof/>
          <w:szCs w:val="24"/>
        </w:rPr>
        <w:t xml:space="preserve"> </w:t>
      </w:r>
    </w:p>
    <w:p w14:paraId="3C652D9F" w14:textId="0832C5BA" w:rsidR="002C099C" w:rsidRPr="0012174E" w:rsidRDefault="00934E71" w:rsidP="0012174E">
      <w:pPr>
        <w:spacing w:after="120"/>
        <w:rPr>
          <w:noProof/>
          <w:szCs w:val="24"/>
          <w:lang w:val="en-IE"/>
        </w:rPr>
      </w:pPr>
      <w:r w:rsidRPr="04FCC814">
        <w:rPr>
          <w:noProof/>
          <w:lang w:val="en-IE"/>
        </w:rPr>
        <w:t xml:space="preserve">To identify the most relevant topics for new </w:t>
      </w:r>
      <w:r w:rsidR="00CF2AFB" w:rsidRPr="04FCC814">
        <w:rPr>
          <w:noProof/>
          <w:lang w:val="en-IE"/>
        </w:rPr>
        <w:t>FAQ</w:t>
      </w:r>
      <w:r w:rsidR="00316D8D" w:rsidRPr="04FCC814">
        <w:rPr>
          <w:noProof/>
          <w:lang w:val="en-IE"/>
        </w:rPr>
        <w:t>s</w:t>
      </w:r>
      <w:r w:rsidR="00CF2AFB" w:rsidRPr="04FCC814">
        <w:rPr>
          <w:noProof/>
          <w:lang w:val="en-IE"/>
        </w:rPr>
        <w:t xml:space="preserve"> and </w:t>
      </w:r>
      <w:r w:rsidR="00A2727B">
        <w:rPr>
          <w:noProof/>
          <w:lang w:val="en-IE"/>
        </w:rPr>
        <w:t>G</w:t>
      </w:r>
      <w:r w:rsidRPr="04FCC814">
        <w:rPr>
          <w:noProof/>
          <w:lang w:val="en-IE"/>
        </w:rPr>
        <w:t xml:space="preserve">uidance documents and to be able to analyse them, the Commission invited stakeholders </w:t>
      </w:r>
      <w:r w:rsidRPr="04FCC814">
        <w:rPr>
          <w:noProof/>
        </w:rPr>
        <w:t>at the 38</w:t>
      </w:r>
      <w:r w:rsidRPr="04FCC814">
        <w:rPr>
          <w:noProof/>
          <w:vertAlign w:val="superscript"/>
        </w:rPr>
        <w:t>th</w:t>
      </w:r>
      <w:r w:rsidRPr="04FCC814">
        <w:rPr>
          <w:noProof/>
        </w:rPr>
        <w:t xml:space="preserve"> MSP</w:t>
      </w:r>
      <w:r>
        <w:rPr>
          <w:noProof/>
        </w:rPr>
        <w:t> (</w:t>
      </w:r>
      <w:r w:rsidRPr="04FCC814">
        <w:rPr>
          <w:rStyle w:val="FootnoteReference"/>
          <w:noProof/>
        </w:rPr>
        <w:footnoteReference w:id="33"/>
      </w:r>
      <w:r>
        <w:rPr>
          <w:noProof/>
        </w:rPr>
        <w:t>)</w:t>
      </w:r>
      <w:r w:rsidRPr="04FCC814">
        <w:rPr>
          <w:noProof/>
        </w:rPr>
        <w:t xml:space="preserve"> in December 2025 </w:t>
      </w:r>
      <w:r w:rsidRPr="04FCC814">
        <w:rPr>
          <w:noProof/>
          <w:lang w:val="en-IE"/>
        </w:rPr>
        <w:t xml:space="preserve">to submit questions and feedback following the new legal text. By the end of February 2026, </w:t>
      </w:r>
      <w:r w:rsidR="00AD1D7D" w:rsidRPr="04FCC814">
        <w:rPr>
          <w:noProof/>
          <w:lang w:val="en-IE"/>
        </w:rPr>
        <w:t xml:space="preserve">over 110 submissions had been received. From these, more than 750 questions and comments were extracted and analysed. Contributors included trade and business associations (35%), </w:t>
      </w:r>
      <w:r w:rsidR="00054FF1" w:rsidRPr="04FCC814">
        <w:rPr>
          <w:noProof/>
          <w:lang w:val="en-IE"/>
        </w:rPr>
        <w:t xml:space="preserve">individual </w:t>
      </w:r>
      <w:r w:rsidR="00AD1D7D" w:rsidRPr="04FCC814">
        <w:rPr>
          <w:noProof/>
          <w:lang w:val="en-IE"/>
        </w:rPr>
        <w:t>companies (20%), EU Member State authorities (12%), third-country authorities (12%), third-country trade and industry associations (5%), and NGOs and other organisations such as service providers and certification bodies (16%).</w:t>
      </w:r>
      <w:r w:rsidR="001750A4" w:rsidRPr="04FCC814">
        <w:rPr>
          <w:noProof/>
          <w:lang w:val="en-IE"/>
        </w:rPr>
        <w:t xml:space="preserve"> </w:t>
      </w:r>
      <w:r w:rsidRPr="04FCC814">
        <w:rPr>
          <w:noProof/>
          <w:lang w:val="en-IE"/>
        </w:rPr>
        <w:t xml:space="preserve">Additionally, </w:t>
      </w:r>
      <w:r w:rsidR="002C099C" w:rsidRPr="04FCC814">
        <w:rPr>
          <w:noProof/>
          <w:lang w:val="en-IE"/>
        </w:rPr>
        <w:t>48 meetings t</w:t>
      </w:r>
      <w:r w:rsidR="00483245">
        <w:rPr>
          <w:noProof/>
          <w:lang w:val="en-IE"/>
        </w:rPr>
        <w:t>oo</w:t>
      </w:r>
      <w:r w:rsidR="002C099C" w:rsidRPr="04FCC814">
        <w:rPr>
          <w:noProof/>
          <w:lang w:val="en-IE"/>
        </w:rPr>
        <w:t>k place with representatives from the private sector, Member States, and third countries.</w:t>
      </w:r>
      <w:r w:rsidR="00D97FB2" w:rsidRPr="04FCC814">
        <w:rPr>
          <w:noProof/>
          <w:lang w:val="en-IE"/>
        </w:rPr>
        <w:t xml:space="preserve"> Furthermore, the MSP </w:t>
      </w:r>
      <w:r w:rsidR="00A53BB3">
        <w:rPr>
          <w:noProof/>
          <w:lang w:val="en-IE"/>
        </w:rPr>
        <w:t xml:space="preserve">met </w:t>
      </w:r>
      <w:r w:rsidR="00FC10DC">
        <w:rPr>
          <w:noProof/>
          <w:lang w:val="en-IE"/>
        </w:rPr>
        <w:t xml:space="preserve">already </w:t>
      </w:r>
      <w:r w:rsidR="00770342">
        <w:rPr>
          <w:noProof/>
          <w:lang w:val="en-IE"/>
        </w:rPr>
        <w:t xml:space="preserve">twice </w:t>
      </w:r>
      <w:r w:rsidR="001A3226" w:rsidRPr="04FCC814">
        <w:rPr>
          <w:noProof/>
          <w:lang w:val="en-IE"/>
        </w:rPr>
        <w:t xml:space="preserve">in </w:t>
      </w:r>
      <w:r w:rsidR="00FC10DC">
        <w:rPr>
          <w:noProof/>
          <w:lang w:val="en-IE"/>
        </w:rPr>
        <w:t>2026 (</w:t>
      </w:r>
      <w:r w:rsidR="001A3226" w:rsidRPr="04FCC814">
        <w:rPr>
          <w:noProof/>
          <w:lang w:val="en-IE"/>
        </w:rPr>
        <w:t>February and March</w:t>
      </w:r>
      <w:r w:rsidR="00FC10DC">
        <w:rPr>
          <w:noProof/>
          <w:lang w:val="en-IE"/>
        </w:rPr>
        <w:t>)</w:t>
      </w:r>
      <w:r w:rsidR="00D97FB2" w:rsidRPr="04FCC814">
        <w:rPr>
          <w:noProof/>
          <w:lang w:val="en-IE"/>
        </w:rPr>
        <w:t xml:space="preserve">. </w:t>
      </w:r>
    </w:p>
    <w:p w14:paraId="65DEAB05" w14:textId="2680DD69" w:rsidR="002C099C" w:rsidRPr="0012174E" w:rsidRDefault="0090713A" w:rsidP="0012174E">
      <w:pPr>
        <w:spacing w:after="120"/>
        <w:jc w:val="left"/>
        <w:rPr>
          <w:i/>
          <w:iCs/>
          <w:noProof/>
          <w:szCs w:val="24"/>
        </w:rPr>
      </w:pPr>
      <w:r w:rsidRPr="0012174E">
        <w:rPr>
          <w:i/>
          <w:iCs/>
          <w:noProof/>
          <w:szCs w:val="24"/>
        </w:rPr>
        <w:t>3</w:t>
      </w:r>
      <w:r w:rsidR="002C099C" w:rsidRPr="0012174E">
        <w:rPr>
          <w:i/>
          <w:iCs/>
          <w:noProof/>
          <w:szCs w:val="24"/>
        </w:rPr>
        <w:t>.1.</w:t>
      </w:r>
      <w:r w:rsidR="005B15CD" w:rsidRPr="0012174E">
        <w:rPr>
          <w:i/>
          <w:iCs/>
          <w:noProof/>
          <w:szCs w:val="24"/>
        </w:rPr>
        <w:t>2</w:t>
      </w:r>
      <w:r w:rsidR="008A4D0C" w:rsidRPr="0012174E">
        <w:rPr>
          <w:i/>
          <w:iCs/>
          <w:noProof/>
          <w:szCs w:val="24"/>
        </w:rPr>
        <w:t xml:space="preserve"> </w:t>
      </w:r>
      <w:r w:rsidR="002C099C" w:rsidRPr="0012174E">
        <w:rPr>
          <w:i/>
          <w:iCs/>
          <w:noProof/>
          <w:szCs w:val="24"/>
        </w:rPr>
        <w:t xml:space="preserve">Public consultation </w:t>
      </w:r>
      <w:r w:rsidR="419DF6DB" w:rsidRPr="0012174E">
        <w:rPr>
          <w:i/>
          <w:iCs/>
          <w:noProof/>
          <w:szCs w:val="24"/>
        </w:rPr>
        <w:t>i</w:t>
      </w:r>
      <w:r w:rsidR="002C099C" w:rsidRPr="0012174E">
        <w:rPr>
          <w:i/>
          <w:iCs/>
          <w:noProof/>
          <w:szCs w:val="24"/>
        </w:rPr>
        <w:t xml:space="preserve">n 2025 </w:t>
      </w:r>
      <w:r w:rsidR="3B7EE3E3" w:rsidRPr="0012174E">
        <w:rPr>
          <w:i/>
          <w:iCs/>
          <w:noProof/>
          <w:szCs w:val="24"/>
        </w:rPr>
        <w:t xml:space="preserve">on the </w:t>
      </w:r>
      <w:r w:rsidR="002C099C" w:rsidRPr="0012174E">
        <w:rPr>
          <w:i/>
          <w:iCs/>
          <w:noProof/>
          <w:szCs w:val="24"/>
        </w:rPr>
        <w:t>draft Delegated Act</w:t>
      </w:r>
      <w:r w:rsidR="000D1118">
        <w:rPr>
          <w:i/>
          <w:iCs/>
          <w:noProof/>
          <w:szCs w:val="24"/>
        </w:rPr>
        <w:t xml:space="preserve"> on the EUDR scope</w:t>
      </w:r>
    </w:p>
    <w:p w14:paraId="265FCA0D" w14:textId="1ED824F3" w:rsidR="001B3DDF" w:rsidRPr="0012174E" w:rsidRDefault="002C099C" w:rsidP="0012174E">
      <w:pPr>
        <w:spacing w:after="120"/>
        <w:rPr>
          <w:noProof/>
          <w:szCs w:val="24"/>
          <w:lang w:val="en-IE"/>
        </w:rPr>
      </w:pPr>
      <w:r w:rsidRPr="0012174E">
        <w:rPr>
          <w:noProof/>
          <w:szCs w:val="24"/>
          <w:lang w:val="en-IE"/>
        </w:rPr>
        <w:t>A draft Delegated Act to amend the EUDR with regard to the list of relevant commodities and products was published for public consultation in April–May 2025</w:t>
      </w:r>
      <w:r w:rsidR="00E5727C" w:rsidRPr="00E5727C">
        <w:rPr>
          <w:noProof/>
          <w:szCs w:val="24"/>
          <w:lang w:val="en-IE"/>
        </w:rPr>
        <w:t> (</w:t>
      </w:r>
      <w:r w:rsidR="00E5727C">
        <w:rPr>
          <w:rStyle w:val="FootnoteReference"/>
          <w:noProof/>
          <w:szCs w:val="24"/>
          <w:lang w:val="en-IE"/>
        </w:rPr>
        <w:footnoteReference w:id="34"/>
      </w:r>
      <w:r w:rsidR="00E5727C">
        <w:rPr>
          <w:noProof/>
          <w:szCs w:val="24"/>
          <w:lang w:val="en-IE"/>
        </w:rPr>
        <w:t>)</w:t>
      </w:r>
      <w:r w:rsidRPr="0012174E">
        <w:rPr>
          <w:noProof/>
          <w:szCs w:val="24"/>
          <w:lang w:val="en-IE"/>
        </w:rPr>
        <w:t xml:space="preserve">. 291 responses were received from citizens, business associations, NGOs, research institutions, law firms, companies, and public authorities, both within and outside </w:t>
      </w:r>
      <w:r w:rsidR="00CB0B1E">
        <w:rPr>
          <w:noProof/>
          <w:szCs w:val="24"/>
          <w:lang w:val="en-IE"/>
        </w:rPr>
        <w:t>the EU</w:t>
      </w:r>
      <w:r w:rsidRPr="0012174E">
        <w:rPr>
          <w:noProof/>
          <w:szCs w:val="24"/>
          <w:lang w:val="en-IE"/>
        </w:rPr>
        <w:t>.</w:t>
      </w:r>
      <w:r w:rsidR="003E2790" w:rsidRPr="0012174E">
        <w:rPr>
          <w:noProof/>
          <w:szCs w:val="24"/>
          <w:lang w:val="en-IE"/>
        </w:rPr>
        <w:t xml:space="preserve"> </w:t>
      </w:r>
      <w:r w:rsidR="001B3DDF" w:rsidRPr="0012174E">
        <w:rPr>
          <w:noProof/>
          <w:szCs w:val="24"/>
          <w:lang w:val="en-IE"/>
        </w:rPr>
        <w:t xml:space="preserve">The draft </w:t>
      </w:r>
      <w:r w:rsidR="3790E8D1" w:rsidRPr="0012174E">
        <w:rPr>
          <w:noProof/>
          <w:szCs w:val="24"/>
          <w:lang w:val="en-IE"/>
        </w:rPr>
        <w:t>t</w:t>
      </w:r>
      <w:r w:rsidR="2283783F" w:rsidRPr="0012174E">
        <w:rPr>
          <w:noProof/>
          <w:szCs w:val="24"/>
          <w:lang w:val="en-IE"/>
        </w:rPr>
        <w:t xml:space="preserve">ext </w:t>
      </w:r>
      <w:r w:rsidR="001B3DDF" w:rsidRPr="0012174E">
        <w:rPr>
          <w:noProof/>
          <w:szCs w:val="24"/>
          <w:lang w:val="en-IE"/>
        </w:rPr>
        <w:t xml:space="preserve">gained broad consensus from stakeholders. The feedback period was also used by 40% of respondents to give input </w:t>
      </w:r>
      <w:r w:rsidR="0762A4A3" w:rsidRPr="0012174E">
        <w:rPr>
          <w:noProof/>
          <w:szCs w:val="24"/>
          <w:lang w:val="en-IE"/>
        </w:rPr>
        <w:t xml:space="preserve">on </w:t>
      </w:r>
      <w:r w:rsidR="001B3DDF" w:rsidRPr="0012174E">
        <w:rPr>
          <w:noProof/>
          <w:szCs w:val="24"/>
          <w:lang w:val="en-IE"/>
        </w:rPr>
        <w:t>recommended additions or removals of certain</w:t>
      </w:r>
      <w:r w:rsidR="00CB0B1E">
        <w:rPr>
          <w:noProof/>
          <w:szCs w:val="24"/>
          <w:lang w:val="en-IE"/>
        </w:rPr>
        <w:t xml:space="preserve"> products</w:t>
      </w:r>
      <w:r w:rsidR="001B3DDF" w:rsidRPr="0012174E">
        <w:rPr>
          <w:noProof/>
          <w:szCs w:val="24"/>
          <w:lang w:val="en-IE"/>
        </w:rPr>
        <w:t xml:space="preserve">. </w:t>
      </w:r>
    </w:p>
    <w:p w14:paraId="6DD65D8A" w14:textId="66F15EA6" w:rsidR="002C099C" w:rsidRPr="0012174E" w:rsidRDefault="0090713A" w:rsidP="0012174E">
      <w:pPr>
        <w:spacing w:after="120"/>
        <w:jc w:val="left"/>
        <w:rPr>
          <w:i/>
          <w:iCs/>
          <w:noProof/>
          <w:szCs w:val="24"/>
        </w:rPr>
      </w:pPr>
      <w:r w:rsidRPr="0012174E">
        <w:rPr>
          <w:i/>
          <w:iCs/>
          <w:noProof/>
          <w:szCs w:val="24"/>
        </w:rPr>
        <w:t>3</w:t>
      </w:r>
      <w:r w:rsidR="002C099C" w:rsidRPr="0012174E">
        <w:rPr>
          <w:i/>
          <w:iCs/>
          <w:noProof/>
          <w:szCs w:val="24"/>
        </w:rPr>
        <w:t>.1.</w:t>
      </w:r>
      <w:r w:rsidR="0071719A" w:rsidRPr="0012174E">
        <w:rPr>
          <w:i/>
          <w:iCs/>
          <w:noProof/>
          <w:szCs w:val="24"/>
        </w:rPr>
        <w:t>3</w:t>
      </w:r>
      <w:r w:rsidR="005B15CD" w:rsidRPr="0012174E">
        <w:rPr>
          <w:i/>
          <w:iCs/>
          <w:noProof/>
          <w:szCs w:val="24"/>
        </w:rPr>
        <w:t xml:space="preserve"> </w:t>
      </w:r>
      <w:r w:rsidR="002C099C" w:rsidRPr="0012174E">
        <w:rPr>
          <w:i/>
          <w:iCs/>
          <w:noProof/>
          <w:szCs w:val="24"/>
        </w:rPr>
        <w:t xml:space="preserve">Public consultation on </w:t>
      </w:r>
      <w:r w:rsidR="6590F5EB" w:rsidRPr="0012174E">
        <w:rPr>
          <w:i/>
          <w:iCs/>
          <w:noProof/>
          <w:szCs w:val="24"/>
        </w:rPr>
        <w:t>the E</w:t>
      </w:r>
      <w:r w:rsidR="578D63A0" w:rsidRPr="0012174E">
        <w:rPr>
          <w:i/>
          <w:iCs/>
          <w:noProof/>
          <w:szCs w:val="24"/>
        </w:rPr>
        <w:t xml:space="preserve">nvironmental </w:t>
      </w:r>
      <w:r w:rsidR="4CF1DF64" w:rsidRPr="0012174E">
        <w:rPr>
          <w:i/>
          <w:iCs/>
          <w:noProof/>
          <w:szCs w:val="24"/>
        </w:rPr>
        <w:t>O</w:t>
      </w:r>
      <w:r w:rsidR="578D63A0" w:rsidRPr="0012174E">
        <w:rPr>
          <w:i/>
          <w:iCs/>
          <w:noProof/>
          <w:szCs w:val="24"/>
        </w:rPr>
        <w:t xml:space="preserve">mnibus </w:t>
      </w:r>
    </w:p>
    <w:p w14:paraId="4995ADB2" w14:textId="6C66ACFB" w:rsidR="00FD4FA3" w:rsidRPr="0012174E" w:rsidRDefault="002C099C" w:rsidP="0012174E">
      <w:pPr>
        <w:spacing w:after="120"/>
        <w:rPr>
          <w:noProof/>
          <w:szCs w:val="24"/>
          <w:lang w:val="en-IE"/>
        </w:rPr>
      </w:pPr>
      <w:r w:rsidRPr="04FCC814">
        <w:rPr>
          <w:noProof/>
          <w:lang w:val="en-IE"/>
        </w:rPr>
        <w:t xml:space="preserve">During the public consultation on the </w:t>
      </w:r>
      <w:r w:rsidR="00E5727C">
        <w:rPr>
          <w:noProof/>
          <w:lang w:val="en-IE"/>
        </w:rPr>
        <w:t>e</w:t>
      </w:r>
      <w:r w:rsidRPr="04FCC814">
        <w:rPr>
          <w:noProof/>
          <w:lang w:val="en-IE"/>
        </w:rPr>
        <w:t xml:space="preserve">nvironmental </w:t>
      </w:r>
      <w:r w:rsidR="00E5727C">
        <w:rPr>
          <w:noProof/>
          <w:lang w:val="en-IE"/>
        </w:rPr>
        <w:t>o</w:t>
      </w:r>
      <w:r w:rsidRPr="04FCC814">
        <w:rPr>
          <w:noProof/>
          <w:lang w:val="en-IE"/>
        </w:rPr>
        <w:t>mnibus in 2025</w:t>
      </w:r>
      <w:r w:rsidR="00814A6F" w:rsidRPr="04FCC814">
        <w:rPr>
          <w:noProof/>
          <w:lang w:val="en-IE"/>
        </w:rPr>
        <w:t> (</w:t>
      </w:r>
      <w:r w:rsidR="00814A6F" w:rsidRPr="04FCC814">
        <w:rPr>
          <w:rStyle w:val="FootnoteReference"/>
          <w:noProof/>
          <w:lang w:val="en-IE"/>
        </w:rPr>
        <w:footnoteReference w:id="35"/>
      </w:r>
      <w:r w:rsidR="00814A6F" w:rsidRPr="04FCC814">
        <w:rPr>
          <w:noProof/>
          <w:lang w:val="en-IE"/>
        </w:rPr>
        <w:t>)</w:t>
      </w:r>
      <w:r w:rsidRPr="04FCC814">
        <w:rPr>
          <w:noProof/>
          <w:lang w:val="en-IE"/>
        </w:rPr>
        <w:t xml:space="preserve">, </w:t>
      </w:r>
      <w:r w:rsidR="00CB66C3" w:rsidRPr="04FCC814">
        <w:rPr>
          <w:noProof/>
          <w:lang w:val="en-IE"/>
        </w:rPr>
        <w:t xml:space="preserve">a large number of </w:t>
      </w:r>
      <w:r w:rsidRPr="04FCC814">
        <w:rPr>
          <w:noProof/>
          <w:lang w:val="en-IE"/>
        </w:rPr>
        <w:t xml:space="preserve">respondents provided input on </w:t>
      </w:r>
      <w:r w:rsidR="000762EE" w:rsidRPr="04FCC814">
        <w:rPr>
          <w:noProof/>
          <w:lang w:val="en-IE"/>
        </w:rPr>
        <w:t xml:space="preserve">the </w:t>
      </w:r>
      <w:r w:rsidRPr="04FCC814">
        <w:rPr>
          <w:noProof/>
          <w:lang w:val="en-IE"/>
        </w:rPr>
        <w:t>EUDR</w:t>
      </w:r>
      <w:r w:rsidR="00EF1FA9" w:rsidRPr="04FCC814">
        <w:rPr>
          <w:noProof/>
          <w:lang w:val="en-IE"/>
        </w:rPr>
        <w:t xml:space="preserve"> despite it </w:t>
      </w:r>
      <w:r w:rsidR="00B14515" w:rsidRPr="04FCC814">
        <w:rPr>
          <w:noProof/>
          <w:lang w:val="en-IE"/>
        </w:rPr>
        <w:t>not</w:t>
      </w:r>
      <w:r w:rsidR="00967C64" w:rsidRPr="04FCC814">
        <w:rPr>
          <w:noProof/>
          <w:lang w:val="en-IE"/>
        </w:rPr>
        <w:t xml:space="preserve"> being</w:t>
      </w:r>
      <w:r w:rsidR="00B14515" w:rsidRPr="04FCC814">
        <w:rPr>
          <w:noProof/>
          <w:lang w:val="en-IE"/>
        </w:rPr>
        <w:t xml:space="preserve"> </w:t>
      </w:r>
      <w:r w:rsidR="002C0351" w:rsidRPr="04FCC814">
        <w:rPr>
          <w:noProof/>
          <w:lang w:val="en-IE"/>
        </w:rPr>
        <w:t>included</w:t>
      </w:r>
      <w:r w:rsidR="00B14515" w:rsidRPr="04FCC814">
        <w:rPr>
          <w:noProof/>
          <w:lang w:val="en-IE"/>
        </w:rPr>
        <w:t xml:space="preserve"> </w:t>
      </w:r>
      <w:r w:rsidR="002C0351" w:rsidRPr="04FCC814">
        <w:rPr>
          <w:noProof/>
          <w:lang w:val="en-IE"/>
        </w:rPr>
        <w:t>in</w:t>
      </w:r>
      <w:r w:rsidR="00B14515" w:rsidRPr="04FCC814">
        <w:rPr>
          <w:noProof/>
          <w:lang w:val="en-IE"/>
        </w:rPr>
        <w:t xml:space="preserve"> the </w:t>
      </w:r>
      <w:r w:rsidR="005A2A29">
        <w:rPr>
          <w:noProof/>
          <w:lang w:val="en-IE"/>
        </w:rPr>
        <w:t xml:space="preserve">scope of the </w:t>
      </w:r>
      <w:r w:rsidRPr="04FCC814">
        <w:rPr>
          <w:noProof/>
          <w:lang w:val="en-IE"/>
        </w:rPr>
        <w:t>omnibus</w:t>
      </w:r>
      <w:r w:rsidR="00B14515" w:rsidRPr="04FCC814">
        <w:rPr>
          <w:noProof/>
          <w:lang w:val="en-IE"/>
        </w:rPr>
        <w:t xml:space="preserve">. </w:t>
      </w:r>
      <w:r w:rsidR="000762EE" w:rsidRPr="04FCC814">
        <w:rPr>
          <w:noProof/>
          <w:lang w:val="en-IE"/>
        </w:rPr>
        <w:t xml:space="preserve">Inputs were received from more than 550 stakeholders, covering both high-level comments and detailed position papers, as well as from approximately 1,800 citizens. </w:t>
      </w:r>
      <w:r w:rsidR="00B14515" w:rsidRPr="04FCC814">
        <w:rPr>
          <w:noProof/>
          <w:lang w:val="en-IE"/>
        </w:rPr>
        <w:t>T</w:t>
      </w:r>
      <w:r w:rsidRPr="04FCC814">
        <w:rPr>
          <w:noProof/>
          <w:lang w:val="en-IE"/>
        </w:rPr>
        <w:t xml:space="preserve">he substantial feedback offers valuable insights into stakeholder expectations, support, and implementation concerns. </w:t>
      </w:r>
    </w:p>
    <w:p w14:paraId="217F3713" w14:textId="0D523D25" w:rsidR="002C099C" w:rsidRPr="0012174E" w:rsidRDefault="0090713A" w:rsidP="0012174E">
      <w:pPr>
        <w:spacing w:after="120"/>
        <w:rPr>
          <w:noProof/>
          <w:szCs w:val="24"/>
        </w:rPr>
      </w:pPr>
      <w:r w:rsidRPr="0012174E">
        <w:rPr>
          <w:i/>
          <w:iCs/>
          <w:noProof/>
          <w:szCs w:val="24"/>
        </w:rPr>
        <w:t>3</w:t>
      </w:r>
      <w:r w:rsidR="002C099C" w:rsidRPr="0012174E">
        <w:rPr>
          <w:i/>
          <w:iCs/>
          <w:noProof/>
          <w:szCs w:val="24"/>
        </w:rPr>
        <w:t>.1.</w:t>
      </w:r>
      <w:r w:rsidR="002B4A78">
        <w:rPr>
          <w:i/>
          <w:iCs/>
          <w:noProof/>
          <w:szCs w:val="24"/>
        </w:rPr>
        <w:t>4</w:t>
      </w:r>
      <w:r w:rsidR="002C099C" w:rsidRPr="0012174E">
        <w:rPr>
          <w:i/>
          <w:iCs/>
          <w:noProof/>
          <w:szCs w:val="24"/>
        </w:rPr>
        <w:t xml:space="preserve"> </w:t>
      </w:r>
      <w:r w:rsidR="0099231F">
        <w:rPr>
          <w:i/>
          <w:iCs/>
          <w:noProof/>
          <w:szCs w:val="24"/>
        </w:rPr>
        <w:t xml:space="preserve">Consultations </w:t>
      </w:r>
      <w:r w:rsidR="00B8370D">
        <w:rPr>
          <w:i/>
          <w:iCs/>
          <w:noProof/>
          <w:szCs w:val="24"/>
        </w:rPr>
        <w:t>regarding</w:t>
      </w:r>
      <w:r w:rsidR="002C099C" w:rsidRPr="0012174E">
        <w:rPr>
          <w:i/>
          <w:iCs/>
          <w:noProof/>
          <w:szCs w:val="24"/>
        </w:rPr>
        <w:t xml:space="preserve"> the Information System</w:t>
      </w:r>
    </w:p>
    <w:p w14:paraId="01F91586" w14:textId="3C54A8EC" w:rsidR="002C099C" w:rsidRPr="0012174E" w:rsidRDefault="002C099C" w:rsidP="00DD0F0E">
      <w:pPr>
        <w:rPr>
          <w:noProof/>
          <w:lang w:val="en-IE"/>
        </w:rPr>
      </w:pPr>
      <w:r w:rsidRPr="38E98E1D">
        <w:rPr>
          <w:noProof/>
          <w:lang w:val="en-IE"/>
        </w:rPr>
        <w:t xml:space="preserve">To better </w:t>
      </w:r>
      <w:r w:rsidR="009942B6" w:rsidRPr="009942B6">
        <w:rPr>
          <w:noProof/>
        </w:rPr>
        <w:t xml:space="preserve">evaluate the volume of data to be handled </w:t>
      </w:r>
      <w:r w:rsidR="009942B6">
        <w:rPr>
          <w:noProof/>
        </w:rPr>
        <w:t xml:space="preserve">by </w:t>
      </w:r>
      <w:r w:rsidRPr="38E98E1D">
        <w:rPr>
          <w:noProof/>
          <w:lang w:val="en-IE"/>
        </w:rPr>
        <w:t>the Information System, understand user interactions, and collect feedback on user experience</w:t>
      </w:r>
      <w:r w:rsidR="00B3062B">
        <w:rPr>
          <w:noProof/>
          <w:lang w:val="en-IE"/>
        </w:rPr>
        <w:t>s</w:t>
      </w:r>
      <w:r w:rsidRPr="38E98E1D">
        <w:rPr>
          <w:noProof/>
          <w:lang w:val="en-IE"/>
        </w:rPr>
        <w:t xml:space="preserve">, a </w:t>
      </w:r>
      <w:r w:rsidR="00EB6446" w:rsidRPr="38E98E1D">
        <w:rPr>
          <w:noProof/>
          <w:lang w:val="en-IE"/>
        </w:rPr>
        <w:t xml:space="preserve">targeted </w:t>
      </w:r>
      <w:r w:rsidRPr="38E98E1D">
        <w:rPr>
          <w:noProof/>
          <w:lang w:val="en-IE"/>
        </w:rPr>
        <w:t>survey was launched in January 2026</w:t>
      </w:r>
      <w:r w:rsidR="00B3062B">
        <w:rPr>
          <w:noProof/>
          <w:lang w:val="en-IE"/>
        </w:rPr>
        <w:t>, followed by</w:t>
      </w:r>
      <w:r w:rsidRPr="38E98E1D">
        <w:rPr>
          <w:noProof/>
          <w:lang w:val="en-IE"/>
        </w:rPr>
        <w:t xml:space="preserve"> a limited number of follow-up interviews. Through trade associations, 155 companies across </w:t>
      </w:r>
      <w:r w:rsidR="00E5727C">
        <w:rPr>
          <w:noProof/>
          <w:lang w:val="en-IE"/>
        </w:rPr>
        <w:t xml:space="preserve">all </w:t>
      </w:r>
      <w:r w:rsidRPr="38E98E1D">
        <w:rPr>
          <w:noProof/>
          <w:lang w:val="en-IE"/>
        </w:rPr>
        <w:t>EUDR commodities, ranging from small domestic producers to multi-commodity multinational operators, were invited to participate</w:t>
      </w:r>
      <w:r w:rsidR="001F30DF">
        <w:rPr>
          <w:noProof/>
          <w:lang w:val="en-IE"/>
        </w:rPr>
        <w:t xml:space="preserve">. </w:t>
      </w:r>
      <w:r w:rsidRPr="38E98E1D">
        <w:rPr>
          <w:noProof/>
          <w:lang w:val="en-IE"/>
        </w:rPr>
        <w:t xml:space="preserve">140 </w:t>
      </w:r>
      <w:r w:rsidR="001F30DF">
        <w:rPr>
          <w:noProof/>
          <w:lang w:val="en-IE"/>
        </w:rPr>
        <w:t xml:space="preserve">companies </w:t>
      </w:r>
      <w:r w:rsidRPr="38E98E1D">
        <w:rPr>
          <w:noProof/>
          <w:lang w:val="en-IE"/>
        </w:rPr>
        <w:t>took part in the survey.</w:t>
      </w:r>
      <w:r w:rsidR="00C67D9A" w:rsidRPr="38E98E1D">
        <w:rPr>
          <w:noProof/>
          <w:lang w:val="en-IE"/>
        </w:rPr>
        <w:t xml:space="preserve"> </w:t>
      </w:r>
      <w:r w:rsidR="44058E93" w:rsidRPr="38E98E1D">
        <w:rPr>
          <w:noProof/>
          <w:lang w:val="en-IE"/>
        </w:rPr>
        <w:t>T</w:t>
      </w:r>
      <w:r w:rsidRPr="38E98E1D">
        <w:rPr>
          <w:noProof/>
          <w:lang w:val="en-IE"/>
        </w:rPr>
        <w:t xml:space="preserve">he </w:t>
      </w:r>
      <w:r w:rsidR="00703E5B" w:rsidRPr="38E98E1D">
        <w:rPr>
          <w:noProof/>
          <w:lang w:val="en-IE"/>
        </w:rPr>
        <w:t>C</w:t>
      </w:r>
      <w:r w:rsidRPr="38E98E1D">
        <w:rPr>
          <w:noProof/>
          <w:lang w:val="en-IE"/>
        </w:rPr>
        <w:t xml:space="preserve">ommission has </w:t>
      </w:r>
      <w:r w:rsidR="00C67D9A" w:rsidRPr="38E98E1D">
        <w:rPr>
          <w:noProof/>
          <w:lang w:val="en-IE"/>
        </w:rPr>
        <w:t xml:space="preserve">also </w:t>
      </w:r>
      <w:r w:rsidRPr="72FBBD01">
        <w:rPr>
          <w:noProof/>
          <w:lang w:val="en-IE"/>
        </w:rPr>
        <w:t>organi</w:t>
      </w:r>
      <w:r w:rsidR="2CD2BE69" w:rsidRPr="72FBBD01">
        <w:rPr>
          <w:noProof/>
          <w:lang w:val="en-IE"/>
        </w:rPr>
        <w:t>s</w:t>
      </w:r>
      <w:r w:rsidRPr="72FBBD01">
        <w:rPr>
          <w:noProof/>
          <w:lang w:val="en-IE"/>
        </w:rPr>
        <w:t>ed</w:t>
      </w:r>
      <w:r w:rsidRPr="38E98E1D">
        <w:rPr>
          <w:noProof/>
          <w:lang w:val="en-IE"/>
        </w:rPr>
        <w:t xml:space="preserve"> two workshops to better understand challenges operators encounter when using the </w:t>
      </w:r>
      <w:r w:rsidR="00FB53D9" w:rsidRPr="38E98E1D">
        <w:rPr>
          <w:noProof/>
          <w:lang w:val="en-IE"/>
        </w:rPr>
        <w:t>I</w:t>
      </w:r>
      <w:r w:rsidR="00173E24" w:rsidRPr="38E98E1D">
        <w:rPr>
          <w:noProof/>
          <w:lang w:val="en-IE"/>
        </w:rPr>
        <w:t xml:space="preserve">nformation </w:t>
      </w:r>
      <w:r w:rsidR="00FB53D9" w:rsidRPr="38E98E1D">
        <w:rPr>
          <w:noProof/>
          <w:lang w:val="en-IE"/>
        </w:rPr>
        <w:t>S</w:t>
      </w:r>
      <w:r w:rsidR="00173E24" w:rsidRPr="38E98E1D">
        <w:rPr>
          <w:noProof/>
          <w:lang w:val="en-IE"/>
        </w:rPr>
        <w:t xml:space="preserve">ystem’s </w:t>
      </w:r>
      <w:r w:rsidRPr="38E98E1D">
        <w:rPr>
          <w:noProof/>
          <w:lang w:val="en-IE"/>
        </w:rPr>
        <w:t xml:space="preserve">graphical user interface. The first workshop focused on micro </w:t>
      </w:r>
      <w:r w:rsidR="00173E24" w:rsidRPr="38E98E1D">
        <w:rPr>
          <w:noProof/>
          <w:lang w:val="en-IE"/>
        </w:rPr>
        <w:t xml:space="preserve">or </w:t>
      </w:r>
      <w:r w:rsidRPr="38E98E1D">
        <w:rPr>
          <w:noProof/>
          <w:lang w:val="en-IE"/>
        </w:rPr>
        <w:t>small primary operators and the second on importing operator</w:t>
      </w:r>
      <w:r w:rsidR="00FF6E59" w:rsidRPr="38E98E1D">
        <w:rPr>
          <w:noProof/>
          <w:lang w:val="en-IE"/>
        </w:rPr>
        <w:t>s</w:t>
      </w:r>
      <w:r w:rsidRPr="38E98E1D">
        <w:rPr>
          <w:noProof/>
          <w:lang w:val="en-IE"/>
        </w:rPr>
        <w:t xml:space="preserve">. </w:t>
      </w:r>
    </w:p>
    <w:p w14:paraId="4BBB5932" w14:textId="16E146FE" w:rsidR="002C099C" w:rsidRPr="0012174E" w:rsidRDefault="0090713A" w:rsidP="0012174E">
      <w:pPr>
        <w:spacing w:after="120"/>
        <w:jc w:val="left"/>
        <w:rPr>
          <w:b/>
          <w:bCs/>
          <w:noProof/>
          <w:szCs w:val="24"/>
        </w:rPr>
      </w:pPr>
      <w:r w:rsidRPr="0012174E">
        <w:rPr>
          <w:b/>
          <w:bCs/>
          <w:noProof/>
          <w:szCs w:val="24"/>
        </w:rPr>
        <w:t>3</w:t>
      </w:r>
      <w:r w:rsidR="002C099C" w:rsidRPr="0012174E">
        <w:rPr>
          <w:b/>
          <w:bCs/>
          <w:noProof/>
          <w:szCs w:val="24"/>
        </w:rPr>
        <w:t>.2 Key stakeholder perspectives and feedback</w:t>
      </w:r>
      <w:r w:rsidR="00B3090E">
        <w:rPr>
          <w:b/>
          <w:bCs/>
          <w:noProof/>
          <w:szCs w:val="24"/>
        </w:rPr>
        <w:t xml:space="preserve">: five areas for further clarification and simplification </w:t>
      </w:r>
      <w:r w:rsidR="00B3090E" w:rsidRPr="0012174E">
        <w:rPr>
          <w:b/>
          <w:bCs/>
          <w:noProof/>
          <w:szCs w:val="24"/>
        </w:rPr>
        <w:t xml:space="preserve"> </w:t>
      </w:r>
    </w:p>
    <w:p w14:paraId="54FF9079" w14:textId="0FCDEDB7" w:rsidR="0089607E" w:rsidRPr="0012174E" w:rsidRDefault="004A3A4D" w:rsidP="0012174E">
      <w:pPr>
        <w:spacing w:before="120" w:after="120"/>
        <w:rPr>
          <w:noProof/>
          <w:szCs w:val="24"/>
        </w:rPr>
      </w:pPr>
      <w:r>
        <w:rPr>
          <w:noProof/>
          <w:szCs w:val="24"/>
        </w:rPr>
        <w:t>S</w:t>
      </w:r>
      <w:r w:rsidR="00973878" w:rsidRPr="0012174E">
        <w:rPr>
          <w:noProof/>
          <w:szCs w:val="24"/>
        </w:rPr>
        <w:t>takeholder feedback received from the activities outlined above has been carefully analysed.</w:t>
      </w:r>
      <w:r w:rsidR="00DA1257" w:rsidRPr="0012174E">
        <w:rPr>
          <w:noProof/>
          <w:szCs w:val="24"/>
        </w:rPr>
        <w:t xml:space="preserve"> </w:t>
      </w:r>
      <w:r w:rsidR="00EE1E88">
        <w:rPr>
          <w:noProof/>
          <w:szCs w:val="24"/>
        </w:rPr>
        <w:t>Five</w:t>
      </w:r>
      <w:r w:rsidR="00EE1E88" w:rsidRPr="0012174E">
        <w:rPr>
          <w:noProof/>
          <w:szCs w:val="24"/>
        </w:rPr>
        <w:t xml:space="preserve"> </w:t>
      </w:r>
      <w:r w:rsidR="00303C93" w:rsidRPr="0012174E">
        <w:rPr>
          <w:noProof/>
          <w:szCs w:val="24"/>
        </w:rPr>
        <w:t>focus areas</w:t>
      </w:r>
      <w:r w:rsidR="008051BC" w:rsidRPr="0012174E">
        <w:rPr>
          <w:noProof/>
          <w:szCs w:val="24"/>
        </w:rPr>
        <w:t xml:space="preserve"> </w:t>
      </w:r>
      <w:r w:rsidR="00303C93" w:rsidRPr="0012174E">
        <w:rPr>
          <w:noProof/>
          <w:szCs w:val="24"/>
        </w:rPr>
        <w:t>were identified where</w:t>
      </w:r>
      <w:r w:rsidR="002D0A4D" w:rsidRPr="0012174E">
        <w:rPr>
          <w:noProof/>
          <w:szCs w:val="24"/>
        </w:rPr>
        <w:t xml:space="preserve"> stakeholders </w:t>
      </w:r>
      <w:r w:rsidR="00371176">
        <w:rPr>
          <w:noProof/>
          <w:szCs w:val="24"/>
        </w:rPr>
        <w:t>ask for</w:t>
      </w:r>
      <w:r w:rsidR="002D0A4D" w:rsidRPr="0012174E">
        <w:rPr>
          <w:noProof/>
          <w:szCs w:val="24"/>
        </w:rPr>
        <w:t xml:space="preserve"> further clarification or simplification</w:t>
      </w:r>
      <w:r w:rsidR="002F1245" w:rsidRPr="0012174E">
        <w:rPr>
          <w:noProof/>
          <w:szCs w:val="24"/>
        </w:rPr>
        <w:t>:</w:t>
      </w:r>
      <w:r w:rsidR="007E0843" w:rsidRPr="0012174E">
        <w:rPr>
          <w:noProof/>
          <w:szCs w:val="24"/>
        </w:rPr>
        <w:t xml:space="preserve"> micro or small primary operators, downstream supply chain obligations, </w:t>
      </w:r>
      <w:r w:rsidR="00EE1E88">
        <w:rPr>
          <w:noProof/>
          <w:szCs w:val="24"/>
        </w:rPr>
        <w:t>due diligence obligations (legality and</w:t>
      </w:r>
      <w:r w:rsidR="00AD706B">
        <w:rPr>
          <w:noProof/>
          <w:szCs w:val="24"/>
        </w:rPr>
        <w:t xml:space="preserve"> </w:t>
      </w:r>
      <w:r w:rsidR="00EE1E88" w:rsidRPr="00FF041C">
        <w:rPr>
          <w:noProof/>
          <w:szCs w:val="24"/>
        </w:rPr>
        <w:t>zero-risk category</w:t>
      </w:r>
      <w:r w:rsidR="00EE1E88">
        <w:rPr>
          <w:noProof/>
          <w:szCs w:val="24"/>
        </w:rPr>
        <w:t>)</w:t>
      </w:r>
      <w:r w:rsidR="00371176">
        <w:rPr>
          <w:noProof/>
          <w:szCs w:val="24"/>
        </w:rPr>
        <w:t>, product scope and the Information System.</w:t>
      </w:r>
    </w:p>
    <w:p w14:paraId="11D4161C" w14:textId="5B6D4F45" w:rsidR="00BD5A6D" w:rsidRPr="0012174E" w:rsidRDefault="0090713A" w:rsidP="0012174E">
      <w:pPr>
        <w:spacing w:after="120"/>
        <w:rPr>
          <w:i/>
          <w:iCs/>
          <w:noProof/>
          <w:szCs w:val="24"/>
          <w:lang w:val="en-IE"/>
        </w:rPr>
      </w:pPr>
      <w:r w:rsidRPr="0012174E">
        <w:rPr>
          <w:i/>
          <w:iCs/>
          <w:noProof/>
          <w:szCs w:val="24"/>
          <w:lang w:val="en-IE"/>
        </w:rPr>
        <w:t>3</w:t>
      </w:r>
      <w:r w:rsidR="00F03210" w:rsidRPr="0012174E">
        <w:rPr>
          <w:i/>
          <w:iCs/>
          <w:noProof/>
          <w:szCs w:val="24"/>
          <w:lang w:val="en-IE"/>
        </w:rPr>
        <w:t xml:space="preserve">.2.1 </w:t>
      </w:r>
      <w:r w:rsidR="00FA12D8" w:rsidRPr="0012174E">
        <w:rPr>
          <w:i/>
          <w:iCs/>
          <w:noProof/>
          <w:szCs w:val="24"/>
          <w:lang w:val="en-IE"/>
        </w:rPr>
        <w:t>Mic</w:t>
      </w:r>
      <w:r w:rsidR="007E0843" w:rsidRPr="0012174E">
        <w:rPr>
          <w:i/>
          <w:iCs/>
          <w:noProof/>
          <w:szCs w:val="24"/>
          <w:lang w:val="en-IE"/>
        </w:rPr>
        <w:t>r</w:t>
      </w:r>
      <w:r w:rsidR="00FA12D8" w:rsidRPr="0012174E">
        <w:rPr>
          <w:i/>
          <w:iCs/>
          <w:noProof/>
          <w:szCs w:val="24"/>
          <w:lang w:val="en-IE"/>
        </w:rPr>
        <w:t xml:space="preserve">o or </w:t>
      </w:r>
      <w:r w:rsidR="00606636">
        <w:rPr>
          <w:i/>
          <w:iCs/>
          <w:noProof/>
          <w:szCs w:val="24"/>
          <w:lang w:val="en-IE"/>
        </w:rPr>
        <w:t>S</w:t>
      </w:r>
      <w:r w:rsidR="00FA12D8" w:rsidRPr="0012174E">
        <w:rPr>
          <w:i/>
          <w:iCs/>
          <w:noProof/>
          <w:szCs w:val="24"/>
          <w:lang w:val="en-IE"/>
        </w:rPr>
        <w:t xml:space="preserve">mall </w:t>
      </w:r>
      <w:r w:rsidR="00606636">
        <w:rPr>
          <w:i/>
          <w:iCs/>
          <w:noProof/>
          <w:szCs w:val="24"/>
          <w:lang w:val="en-IE"/>
        </w:rPr>
        <w:t>P</w:t>
      </w:r>
      <w:r w:rsidR="00FA12D8" w:rsidRPr="0012174E">
        <w:rPr>
          <w:i/>
          <w:iCs/>
          <w:noProof/>
          <w:szCs w:val="24"/>
          <w:lang w:val="en-IE"/>
        </w:rPr>
        <w:t xml:space="preserve">rimary </w:t>
      </w:r>
      <w:r w:rsidR="00606636">
        <w:rPr>
          <w:i/>
          <w:iCs/>
          <w:noProof/>
          <w:szCs w:val="24"/>
          <w:lang w:val="en-IE"/>
        </w:rPr>
        <w:t>O</w:t>
      </w:r>
      <w:r w:rsidR="00FA12D8" w:rsidRPr="0012174E">
        <w:rPr>
          <w:i/>
          <w:iCs/>
          <w:noProof/>
          <w:szCs w:val="24"/>
          <w:lang w:val="en-IE"/>
        </w:rPr>
        <w:t>perators</w:t>
      </w:r>
      <w:r w:rsidR="00BD5A6D" w:rsidRPr="0012174E">
        <w:rPr>
          <w:i/>
          <w:iCs/>
          <w:noProof/>
          <w:szCs w:val="24"/>
          <w:lang w:val="en-IE"/>
        </w:rPr>
        <w:t xml:space="preserve"> </w:t>
      </w:r>
    </w:p>
    <w:p w14:paraId="56DAFEBE" w14:textId="02E0A43F" w:rsidR="00A409D9" w:rsidRPr="0012174E" w:rsidRDefault="004A2C5E" w:rsidP="0012174E">
      <w:pPr>
        <w:spacing w:after="120"/>
        <w:rPr>
          <w:noProof/>
          <w:szCs w:val="24"/>
          <w:lang w:val="en-IE"/>
        </w:rPr>
      </w:pPr>
      <w:r w:rsidRPr="004A2880">
        <w:rPr>
          <w:noProof/>
          <w:szCs w:val="24"/>
          <w:lang w:val="en-IE"/>
        </w:rPr>
        <w:t xml:space="preserve">A significant portion of the feedback centred on the methodology for calculating the estimated annual quantity of relevant products, while others questioned the circumstances under which a postal address could replace geolocation data. </w:t>
      </w:r>
      <w:r w:rsidR="007E0843" w:rsidRPr="004A2880">
        <w:rPr>
          <w:noProof/>
          <w:szCs w:val="24"/>
          <w:lang w:val="en-IE"/>
        </w:rPr>
        <w:t>S</w:t>
      </w:r>
      <w:r w:rsidR="006B2C9B" w:rsidRPr="004A2880">
        <w:rPr>
          <w:noProof/>
          <w:szCs w:val="24"/>
          <w:lang w:val="en-IE"/>
        </w:rPr>
        <w:t xml:space="preserve">takeholders </w:t>
      </w:r>
      <w:r w:rsidRPr="004A2880">
        <w:rPr>
          <w:noProof/>
          <w:szCs w:val="24"/>
          <w:lang w:val="en-IE"/>
        </w:rPr>
        <w:t xml:space="preserve">also </w:t>
      </w:r>
      <w:r w:rsidR="006B2C9B" w:rsidRPr="004A2880">
        <w:rPr>
          <w:noProof/>
          <w:szCs w:val="24"/>
          <w:lang w:val="en-IE"/>
        </w:rPr>
        <w:t>sought clarification on how to determine the company size</w:t>
      </w:r>
      <w:r w:rsidR="00436F66" w:rsidRPr="004A2880">
        <w:rPr>
          <w:noProof/>
          <w:szCs w:val="24"/>
          <w:lang w:val="en-IE"/>
        </w:rPr>
        <w:t>, also in light of year-to-year fluctuations</w:t>
      </w:r>
      <w:r w:rsidR="007E0843" w:rsidRPr="004A2880">
        <w:rPr>
          <w:noProof/>
          <w:szCs w:val="24"/>
          <w:lang w:val="en-IE"/>
        </w:rPr>
        <w:t xml:space="preserve">. </w:t>
      </w:r>
      <w:r w:rsidR="00A409D9" w:rsidRPr="004A2880">
        <w:rPr>
          <w:noProof/>
          <w:szCs w:val="24"/>
          <w:lang w:val="en-IE"/>
        </w:rPr>
        <w:t xml:space="preserve">Larger companies with only partial involvement in relevant commodity production </w:t>
      </w:r>
      <w:r w:rsidR="007E0843" w:rsidRPr="004A2880">
        <w:rPr>
          <w:noProof/>
          <w:szCs w:val="24"/>
          <w:lang w:val="en-IE"/>
        </w:rPr>
        <w:t>asked for</w:t>
      </w:r>
      <w:r w:rsidR="00A409D9" w:rsidRPr="004A2880">
        <w:rPr>
          <w:noProof/>
          <w:szCs w:val="24"/>
          <w:lang w:val="en-IE"/>
        </w:rPr>
        <w:t xml:space="preserve"> clarity on </w:t>
      </w:r>
      <w:r w:rsidR="00D741D5" w:rsidRPr="004A2880">
        <w:rPr>
          <w:noProof/>
          <w:szCs w:val="24"/>
          <w:lang w:val="en-IE"/>
        </w:rPr>
        <w:t xml:space="preserve">the criteria relating on how to </w:t>
      </w:r>
      <w:r w:rsidR="00A409D9" w:rsidRPr="004A2880">
        <w:rPr>
          <w:noProof/>
          <w:szCs w:val="24"/>
          <w:lang w:val="en-IE"/>
        </w:rPr>
        <w:t xml:space="preserve">qualify as </w:t>
      </w:r>
      <w:r w:rsidR="0075030C">
        <w:rPr>
          <w:noProof/>
        </w:rPr>
        <w:t>micro or small primary operators</w:t>
      </w:r>
      <w:r w:rsidR="00A409D9" w:rsidRPr="004A2880">
        <w:rPr>
          <w:noProof/>
          <w:szCs w:val="24"/>
          <w:lang w:val="en-IE"/>
        </w:rPr>
        <w:t xml:space="preserve">, as well as how to identify and assess the relevant business segments for qualification. Additionally, there were requests for guidance on whether </w:t>
      </w:r>
      <w:r w:rsidR="0075030C">
        <w:rPr>
          <w:noProof/>
        </w:rPr>
        <w:t xml:space="preserve">micro or small primary operators </w:t>
      </w:r>
      <w:r w:rsidR="00A409D9" w:rsidRPr="004A2880">
        <w:rPr>
          <w:noProof/>
          <w:szCs w:val="24"/>
          <w:lang w:val="en-IE"/>
        </w:rPr>
        <w:t xml:space="preserve">must update one-time simplified declarations and what constitutes a “major change” triggering such updates. </w:t>
      </w:r>
      <w:r w:rsidR="00AD2A69" w:rsidRPr="00AD2A69">
        <w:rPr>
          <w:noProof/>
          <w:szCs w:val="24"/>
          <w:lang w:val="en-IE"/>
        </w:rPr>
        <w:t>Some forestry cooperatives requested the ability to submit simplified declarations on behalf of their members.</w:t>
      </w:r>
      <w:r w:rsidR="00AD2A69">
        <w:rPr>
          <w:noProof/>
          <w:szCs w:val="24"/>
          <w:lang w:val="en-IE"/>
        </w:rPr>
        <w:t xml:space="preserve"> </w:t>
      </w:r>
      <w:r w:rsidR="00A409D9" w:rsidRPr="004A2880">
        <w:rPr>
          <w:noProof/>
          <w:szCs w:val="24"/>
          <w:lang w:val="en-IE"/>
        </w:rPr>
        <w:t>Finally, cattle farmers highlighted the need to clarify roles within the supply chain, specifically who should be considered an operator, downstream operator, or trader</w:t>
      </w:r>
      <w:r w:rsidR="00E5727C">
        <w:rPr>
          <w:noProof/>
          <w:szCs w:val="24"/>
          <w:lang w:val="en-IE"/>
        </w:rPr>
        <w:t xml:space="preserve"> - </w:t>
      </w:r>
      <w:r w:rsidR="00A409D9" w:rsidRPr="0012174E">
        <w:rPr>
          <w:noProof/>
          <w:szCs w:val="24"/>
          <w:lang w:val="en-IE"/>
        </w:rPr>
        <w:t>particularly in cases involving live animals.</w:t>
      </w:r>
    </w:p>
    <w:p w14:paraId="1A260249" w14:textId="3D10E5BF" w:rsidR="00BD5A6D" w:rsidRPr="0012174E" w:rsidRDefault="007F3567" w:rsidP="0012174E">
      <w:pPr>
        <w:spacing w:after="120"/>
        <w:rPr>
          <w:i/>
          <w:iCs/>
          <w:noProof/>
          <w:szCs w:val="24"/>
          <w:lang w:val="en-IE"/>
        </w:rPr>
      </w:pPr>
      <w:r w:rsidRPr="0012174E">
        <w:rPr>
          <w:i/>
          <w:iCs/>
          <w:noProof/>
          <w:szCs w:val="24"/>
          <w:lang w:val="en-IE"/>
        </w:rPr>
        <w:t>3</w:t>
      </w:r>
      <w:r w:rsidR="00F03210" w:rsidRPr="0012174E">
        <w:rPr>
          <w:i/>
          <w:iCs/>
          <w:noProof/>
          <w:szCs w:val="24"/>
          <w:lang w:val="en-IE"/>
        </w:rPr>
        <w:t xml:space="preserve">.2.2 </w:t>
      </w:r>
      <w:r w:rsidR="00BD5A6D" w:rsidRPr="0012174E">
        <w:rPr>
          <w:i/>
          <w:iCs/>
          <w:noProof/>
          <w:szCs w:val="24"/>
          <w:lang w:val="en-IE"/>
        </w:rPr>
        <w:t xml:space="preserve">Downstream supply chain obligations </w:t>
      </w:r>
    </w:p>
    <w:p w14:paraId="275E9BF4" w14:textId="03873C75" w:rsidR="7784A671" w:rsidRPr="004A2880" w:rsidRDefault="004E5619" w:rsidP="0012174E">
      <w:pPr>
        <w:spacing w:after="120"/>
        <w:rPr>
          <w:noProof/>
        </w:rPr>
      </w:pPr>
      <w:r w:rsidRPr="004A2880">
        <w:rPr>
          <w:noProof/>
          <w:lang w:val="en-IE"/>
        </w:rPr>
        <w:t>Stakeholders provided detailed feedback on supply chain obligations, with emphasis on clarifying roles and procedural requirements. They argued that first downstream actors should have a passive rather than proactive obligation to collect reference numbers or declaration identifiers, stressing that only the first operator</w:t>
      </w:r>
      <w:r w:rsidR="00E710AE" w:rsidRPr="004A2880">
        <w:rPr>
          <w:noProof/>
          <w:lang w:val="en-IE"/>
        </w:rPr>
        <w:t xml:space="preserve"> </w:t>
      </w:r>
      <w:r w:rsidRPr="004A2880">
        <w:rPr>
          <w:noProof/>
          <w:lang w:val="en-IE"/>
        </w:rPr>
        <w:t>being the sole party capable of self-identification</w:t>
      </w:r>
      <w:r w:rsidR="00E710AE" w:rsidRPr="004A2880">
        <w:rPr>
          <w:noProof/>
          <w:lang w:val="en-IE"/>
        </w:rPr>
        <w:t xml:space="preserve"> </w:t>
      </w:r>
      <w:r w:rsidRPr="004A2880">
        <w:rPr>
          <w:noProof/>
          <w:lang w:val="en-IE"/>
        </w:rPr>
        <w:t xml:space="preserve">should bear responsibility for passing these details downstream. Clarification was widely sought on the practical meaning of </w:t>
      </w:r>
      <w:r w:rsidR="00F4636D">
        <w:rPr>
          <w:noProof/>
          <w:lang w:val="en-IE"/>
        </w:rPr>
        <w:t>the</w:t>
      </w:r>
      <w:r w:rsidRPr="004A2880">
        <w:rPr>
          <w:noProof/>
          <w:lang w:val="en-IE"/>
        </w:rPr>
        <w:t xml:space="preserve"> “collect and keep” </w:t>
      </w:r>
      <w:r w:rsidR="00AF71B5" w:rsidRPr="004A2880">
        <w:rPr>
          <w:noProof/>
          <w:lang w:val="en-IE"/>
        </w:rPr>
        <w:t>obligation for first downstream actors</w:t>
      </w:r>
      <w:r w:rsidRPr="004A2880">
        <w:rPr>
          <w:noProof/>
          <w:lang w:val="en-IE"/>
        </w:rPr>
        <w:t>, including acceptable transmission and storage formats, whether these must align with individual shipments or products, and whether downstream actors are expected to routinely verify their validity. Stakeholders also highlighted the need for flexibility, requesting that a single entity could assume multiple roles. Questions arose around customs declaration requirements for exports by downstream operators, particularly whether a generic code would suffice or if original reference numbers must be used. Further uncertainties centred on treatment of re-imports. Finally, stakeholders called for practical guidance on verification obligations for non-SME downstream actors.</w:t>
      </w:r>
    </w:p>
    <w:p w14:paraId="3FEFD98D" w14:textId="3F1C8B93" w:rsidR="00BD5A6D" w:rsidRPr="004A2880" w:rsidRDefault="007F3567" w:rsidP="0012174E">
      <w:pPr>
        <w:spacing w:after="120"/>
        <w:rPr>
          <w:i/>
          <w:iCs/>
          <w:noProof/>
          <w:szCs w:val="24"/>
          <w:lang w:val="en-IE"/>
        </w:rPr>
      </w:pPr>
      <w:r w:rsidRPr="004A2880">
        <w:rPr>
          <w:i/>
          <w:iCs/>
          <w:noProof/>
          <w:szCs w:val="24"/>
          <w:lang w:val="en-IE"/>
        </w:rPr>
        <w:t>3</w:t>
      </w:r>
      <w:r w:rsidR="00F03210" w:rsidRPr="004A2880">
        <w:rPr>
          <w:i/>
          <w:iCs/>
          <w:noProof/>
          <w:szCs w:val="24"/>
          <w:lang w:val="en-IE"/>
        </w:rPr>
        <w:t>.2.</w:t>
      </w:r>
      <w:r w:rsidR="009E294D" w:rsidRPr="004A2880">
        <w:rPr>
          <w:i/>
          <w:iCs/>
          <w:noProof/>
          <w:szCs w:val="24"/>
          <w:lang w:val="en-IE"/>
        </w:rPr>
        <w:t xml:space="preserve">3 </w:t>
      </w:r>
      <w:r w:rsidR="00EE1E88">
        <w:rPr>
          <w:i/>
          <w:iCs/>
          <w:noProof/>
          <w:szCs w:val="24"/>
          <w:lang w:val="en-IE"/>
        </w:rPr>
        <w:t>D</w:t>
      </w:r>
      <w:r w:rsidR="00EE1E88" w:rsidRPr="00EE1E88">
        <w:rPr>
          <w:i/>
          <w:iCs/>
          <w:noProof/>
          <w:szCs w:val="24"/>
          <w:lang w:val="en-IE"/>
        </w:rPr>
        <w:t>ue diligence obligations</w:t>
      </w:r>
    </w:p>
    <w:p w14:paraId="201A9827" w14:textId="2FDEFCE5" w:rsidR="00A57483" w:rsidRDefault="00E94909" w:rsidP="0012174E">
      <w:pPr>
        <w:spacing w:after="120"/>
        <w:rPr>
          <w:noProof/>
          <w:szCs w:val="24"/>
          <w:lang w:val="en-IE"/>
        </w:rPr>
      </w:pPr>
      <w:r w:rsidRPr="004A2880">
        <w:rPr>
          <w:noProof/>
          <w:szCs w:val="24"/>
          <w:lang w:val="en-IE"/>
        </w:rPr>
        <w:t xml:space="preserve">Stakeholders highlighted gaps in </w:t>
      </w:r>
      <w:r w:rsidR="00EF3EDB">
        <w:rPr>
          <w:noProof/>
          <w:szCs w:val="24"/>
          <w:lang w:val="en-IE"/>
        </w:rPr>
        <w:t xml:space="preserve">the current </w:t>
      </w:r>
      <w:r w:rsidRPr="004A2880">
        <w:rPr>
          <w:noProof/>
          <w:szCs w:val="24"/>
          <w:lang w:val="en-IE"/>
        </w:rPr>
        <w:t xml:space="preserve">guidance </w:t>
      </w:r>
      <w:r w:rsidR="003A6B2C">
        <w:rPr>
          <w:noProof/>
          <w:szCs w:val="24"/>
          <w:lang w:val="en-IE"/>
        </w:rPr>
        <w:t xml:space="preserve">with regard </w:t>
      </w:r>
      <w:r w:rsidRPr="004A2880">
        <w:rPr>
          <w:noProof/>
          <w:szCs w:val="24"/>
          <w:lang w:val="en-IE"/>
        </w:rPr>
        <w:t>to assessing and demonstrating compliance with legality requirements, urging further clarification on how to evaluate adherence to trade laws, labour standards, human rights protections, and prohibitions on child labour. To streamline compliance efforts, they called for greater accessibility to a centralised repository of relevant national legislation in producer countries,</w:t>
      </w:r>
      <w:r w:rsidRPr="0012174E">
        <w:rPr>
          <w:noProof/>
          <w:szCs w:val="24"/>
          <w:lang w:val="en-IE"/>
        </w:rPr>
        <w:t xml:space="preserve"> emphasising the need for the Commission to facilitate transparent access to these legal frameworks. Additionally, </w:t>
      </w:r>
      <w:r w:rsidR="008A0FA0">
        <w:rPr>
          <w:noProof/>
          <w:szCs w:val="24"/>
          <w:lang w:val="en-IE"/>
        </w:rPr>
        <w:t xml:space="preserve">it was suggested </w:t>
      </w:r>
      <w:r w:rsidRPr="0012174E">
        <w:rPr>
          <w:noProof/>
          <w:szCs w:val="24"/>
          <w:lang w:val="en-IE"/>
        </w:rPr>
        <w:t>to introduce “green lanes” for certified product</w:t>
      </w:r>
      <w:r w:rsidR="00EC73CA" w:rsidRPr="0012174E">
        <w:rPr>
          <w:noProof/>
          <w:szCs w:val="24"/>
          <w:lang w:val="en-IE"/>
        </w:rPr>
        <w:t>s</w:t>
      </w:r>
      <w:r w:rsidR="001304CF">
        <w:rPr>
          <w:noProof/>
          <w:szCs w:val="24"/>
          <w:lang w:val="en-IE"/>
        </w:rPr>
        <w:t xml:space="preserve"> and </w:t>
      </w:r>
      <w:r w:rsidR="00307995">
        <w:rPr>
          <w:noProof/>
          <w:szCs w:val="24"/>
          <w:lang w:val="en-IE"/>
        </w:rPr>
        <w:t xml:space="preserve">to </w:t>
      </w:r>
      <w:r w:rsidR="00F738C4">
        <w:rPr>
          <w:noProof/>
          <w:szCs w:val="24"/>
          <w:lang w:val="en-IE"/>
        </w:rPr>
        <w:t>better link existing certification schemes to due diligence</w:t>
      </w:r>
      <w:r w:rsidR="00307995">
        <w:rPr>
          <w:noProof/>
          <w:szCs w:val="24"/>
          <w:lang w:val="en-IE"/>
        </w:rPr>
        <w:t xml:space="preserve"> obligations</w:t>
      </w:r>
      <w:r w:rsidR="00EC73CA" w:rsidRPr="0012174E">
        <w:rPr>
          <w:noProof/>
          <w:szCs w:val="24"/>
          <w:lang w:val="en-IE"/>
        </w:rPr>
        <w:t xml:space="preserve">. </w:t>
      </w:r>
    </w:p>
    <w:p w14:paraId="52CB7538" w14:textId="428D5204" w:rsidR="009442D3" w:rsidRPr="004A2880" w:rsidRDefault="008175B3" w:rsidP="0012174E">
      <w:pPr>
        <w:spacing w:after="120"/>
        <w:rPr>
          <w:noProof/>
          <w:szCs w:val="24"/>
          <w:lang w:val="en-IE"/>
        </w:rPr>
      </w:pPr>
      <w:r w:rsidRPr="004A2880">
        <w:rPr>
          <w:noProof/>
          <w:szCs w:val="24"/>
          <w:lang w:val="en-IE"/>
        </w:rPr>
        <w:t>Some s</w:t>
      </w:r>
      <w:r w:rsidR="00506659" w:rsidRPr="004A2880">
        <w:rPr>
          <w:noProof/>
          <w:szCs w:val="24"/>
          <w:lang w:val="en-IE"/>
        </w:rPr>
        <w:t>takeholders have</w:t>
      </w:r>
      <w:r w:rsidR="008070AC">
        <w:rPr>
          <w:noProof/>
          <w:szCs w:val="24"/>
          <w:lang w:val="en-IE"/>
        </w:rPr>
        <w:t xml:space="preserve"> </w:t>
      </w:r>
      <w:r w:rsidR="008070AC" w:rsidRPr="00FF041C">
        <w:rPr>
          <w:noProof/>
          <w:szCs w:val="24"/>
          <w:lang w:val="en-IE"/>
        </w:rPr>
        <w:t>also</w:t>
      </w:r>
      <w:r w:rsidR="00506659" w:rsidRPr="00FF041C">
        <w:rPr>
          <w:noProof/>
          <w:szCs w:val="24"/>
          <w:lang w:val="en-IE"/>
        </w:rPr>
        <w:t xml:space="preserve"> </w:t>
      </w:r>
      <w:r w:rsidR="00EA707D" w:rsidRPr="00FF041C">
        <w:rPr>
          <w:noProof/>
          <w:szCs w:val="24"/>
          <w:lang w:val="en-IE"/>
        </w:rPr>
        <w:t xml:space="preserve">proposed </w:t>
      </w:r>
      <w:r w:rsidR="00506659" w:rsidRPr="00FF041C">
        <w:rPr>
          <w:noProof/>
          <w:szCs w:val="24"/>
          <w:lang w:val="en-IE"/>
        </w:rPr>
        <w:t>introduc</w:t>
      </w:r>
      <w:r w:rsidR="00EA707D" w:rsidRPr="00FF041C">
        <w:rPr>
          <w:noProof/>
          <w:szCs w:val="24"/>
          <w:lang w:val="en-IE"/>
        </w:rPr>
        <w:t>ing</w:t>
      </w:r>
      <w:r w:rsidR="00506659" w:rsidRPr="00FF041C">
        <w:rPr>
          <w:noProof/>
          <w:szCs w:val="24"/>
          <w:lang w:val="en-IE"/>
        </w:rPr>
        <w:t xml:space="preserve"> </w:t>
      </w:r>
      <w:r w:rsidR="00091CDE" w:rsidRPr="00FF041C">
        <w:rPr>
          <w:noProof/>
          <w:szCs w:val="24"/>
          <w:lang w:val="en-IE"/>
        </w:rPr>
        <w:t xml:space="preserve">a “zero-risk” </w:t>
      </w:r>
      <w:r w:rsidR="00EA707D" w:rsidRPr="00FF041C">
        <w:rPr>
          <w:noProof/>
          <w:szCs w:val="24"/>
          <w:lang w:val="en-IE"/>
        </w:rPr>
        <w:t>classification</w:t>
      </w:r>
      <w:r w:rsidR="00EA707D" w:rsidRPr="004A2880">
        <w:rPr>
          <w:noProof/>
          <w:szCs w:val="24"/>
          <w:lang w:val="en-IE"/>
        </w:rPr>
        <w:t xml:space="preserve"> </w:t>
      </w:r>
      <w:r w:rsidR="00091CDE" w:rsidRPr="004A2880">
        <w:rPr>
          <w:noProof/>
          <w:szCs w:val="24"/>
          <w:lang w:val="en-IE"/>
        </w:rPr>
        <w:t>for countries with negligible deforestation risk</w:t>
      </w:r>
      <w:r w:rsidR="00506659" w:rsidRPr="004A2880">
        <w:rPr>
          <w:noProof/>
          <w:szCs w:val="24"/>
          <w:lang w:val="en-IE"/>
        </w:rPr>
        <w:t xml:space="preserve"> to re</w:t>
      </w:r>
      <w:r w:rsidR="00EE2872" w:rsidRPr="004A2880">
        <w:rPr>
          <w:noProof/>
          <w:szCs w:val="24"/>
          <w:lang w:val="en-IE"/>
        </w:rPr>
        <w:t>duce or e</w:t>
      </w:r>
      <w:r w:rsidR="009442D3" w:rsidRPr="004A2880">
        <w:rPr>
          <w:noProof/>
          <w:szCs w:val="24"/>
          <w:lang w:val="en-IE"/>
        </w:rPr>
        <w:t xml:space="preserve">liminate due diligence </w:t>
      </w:r>
      <w:r w:rsidR="00EE2872" w:rsidRPr="004A2880">
        <w:rPr>
          <w:noProof/>
          <w:szCs w:val="24"/>
          <w:lang w:val="en-IE"/>
        </w:rPr>
        <w:t xml:space="preserve">obligations for operators </w:t>
      </w:r>
      <w:r w:rsidR="00FD75EE" w:rsidRPr="004A2880">
        <w:rPr>
          <w:noProof/>
          <w:szCs w:val="24"/>
          <w:lang w:val="en-IE"/>
        </w:rPr>
        <w:t xml:space="preserve">sourcing </w:t>
      </w:r>
      <w:r w:rsidR="00EE2872" w:rsidRPr="004A2880">
        <w:rPr>
          <w:noProof/>
          <w:szCs w:val="24"/>
          <w:lang w:val="en-IE"/>
        </w:rPr>
        <w:t xml:space="preserve">from those countries. </w:t>
      </w:r>
    </w:p>
    <w:p w14:paraId="3811EBE1" w14:textId="77777777" w:rsidR="0015133F" w:rsidRDefault="0015133F">
      <w:pPr>
        <w:spacing w:after="0"/>
        <w:jc w:val="left"/>
        <w:rPr>
          <w:i/>
          <w:iCs/>
          <w:noProof/>
          <w:szCs w:val="24"/>
          <w:lang w:val="en-IE"/>
        </w:rPr>
      </w:pPr>
      <w:r>
        <w:rPr>
          <w:i/>
          <w:iCs/>
          <w:noProof/>
          <w:szCs w:val="24"/>
          <w:lang w:val="en-IE"/>
        </w:rPr>
        <w:br w:type="page"/>
      </w:r>
    </w:p>
    <w:p w14:paraId="2C151A25" w14:textId="7741F2F0" w:rsidR="00BD5A6D" w:rsidRPr="004A2880" w:rsidRDefault="00EF5FE2" w:rsidP="0012174E">
      <w:pPr>
        <w:spacing w:after="120"/>
        <w:rPr>
          <w:i/>
          <w:iCs/>
          <w:noProof/>
          <w:szCs w:val="24"/>
          <w:lang w:val="en-IE"/>
        </w:rPr>
      </w:pPr>
      <w:r w:rsidRPr="004A2880">
        <w:rPr>
          <w:i/>
          <w:iCs/>
          <w:noProof/>
          <w:szCs w:val="24"/>
          <w:lang w:val="en-IE"/>
        </w:rPr>
        <w:t>3.2.</w:t>
      </w:r>
      <w:r w:rsidR="00EE1E88">
        <w:rPr>
          <w:i/>
          <w:iCs/>
          <w:noProof/>
          <w:szCs w:val="24"/>
          <w:lang w:val="en-IE"/>
        </w:rPr>
        <w:t>4</w:t>
      </w:r>
      <w:r w:rsidRPr="004A2880">
        <w:rPr>
          <w:i/>
          <w:iCs/>
          <w:noProof/>
          <w:szCs w:val="24"/>
          <w:lang w:val="en-IE"/>
        </w:rPr>
        <w:t xml:space="preserve"> </w:t>
      </w:r>
      <w:r w:rsidR="00BD5A6D" w:rsidRPr="004A2880">
        <w:rPr>
          <w:i/>
          <w:iCs/>
          <w:noProof/>
          <w:szCs w:val="24"/>
          <w:lang w:val="en-IE"/>
        </w:rPr>
        <w:t>Product scope</w:t>
      </w:r>
    </w:p>
    <w:p w14:paraId="7B4B3CB5" w14:textId="472220D8" w:rsidR="00D96EA7" w:rsidRDefault="00D96EA7" w:rsidP="0015133F">
      <w:pPr>
        <w:spacing w:after="120"/>
        <w:rPr>
          <w:noProof/>
          <w:lang w:val="en-IE"/>
        </w:rPr>
      </w:pPr>
      <w:r w:rsidRPr="73070050">
        <w:rPr>
          <w:noProof/>
          <w:lang w:val="en-IE"/>
        </w:rPr>
        <w:t xml:space="preserve">Stakeholders have raised questions regarding the scope and categorisation of products, particularly following the removal of HS 49 </w:t>
      </w:r>
      <w:r w:rsidR="00316D8D" w:rsidRPr="73070050">
        <w:rPr>
          <w:noProof/>
          <w:lang w:val="en-IE"/>
        </w:rPr>
        <w:t>(books and printed material)</w:t>
      </w:r>
      <w:r w:rsidR="00BF1AD2" w:rsidRPr="00BF1AD2">
        <w:rPr>
          <w:noProof/>
          <w:lang w:val="en-IE"/>
        </w:rPr>
        <w:t xml:space="preserve"> </w:t>
      </w:r>
      <w:r w:rsidR="00BF1AD2" w:rsidRPr="73070050">
        <w:rPr>
          <w:noProof/>
          <w:lang w:val="en-IE"/>
        </w:rPr>
        <w:t>from Annex I</w:t>
      </w:r>
      <w:r w:rsidR="00BF1AD2">
        <w:rPr>
          <w:noProof/>
          <w:lang w:val="en-IE"/>
        </w:rPr>
        <w:t xml:space="preserve"> </w:t>
      </w:r>
      <w:r w:rsidR="009A1B43">
        <w:rPr>
          <w:noProof/>
          <w:lang w:val="en-IE"/>
        </w:rPr>
        <w:t>by</w:t>
      </w:r>
      <w:r w:rsidR="00E5727C">
        <w:rPr>
          <w:noProof/>
          <w:lang w:val="en-IE"/>
        </w:rPr>
        <w:t xml:space="preserve"> co-legislators at the </w:t>
      </w:r>
      <w:r w:rsidR="00BF1AD2">
        <w:rPr>
          <w:noProof/>
          <w:lang w:val="en-IE"/>
        </w:rPr>
        <w:t xml:space="preserve">end </w:t>
      </w:r>
      <w:r w:rsidR="00E5727C">
        <w:rPr>
          <w:noProof/>
          <w:lang w:val="en-IE"/>
        </w:rPr>
        <w:t xml:space="preserve">of </w:t>
      </w:r>
      <w:r w:rsidR="00BF1AD2">
        <w:rPr>
          <w:noProof/>
          <w:lang w:val="en-IE"/>
        </w:rPr>
        <w:t>2025</w:t>
      </w:r>
      <w:r w:rsidRPr="73070050">
        <w:rPr>
          <w:noProof/>
          <w:lang w:val="en-IE"/>
        </w:rPr>
        <w:t xml:space="preserve">, which has created ambiguities around which printed products remain in scope. Clarification was widely sought on exemptions for used, second-hand, waste, and by-products, as well as samples, where definitions </w:t>
      </w:r>
      <w:r w:rsidR="646FD544" w:rsidRPr="73070050">
        <w:rPr>
          <w:noProof/>
          <w:lang w:val="en-IE"/>
        </w:rPr>
        <w:t xml:space="preserve">were considered </w:t>
      </w:r>
      <w:r w:rsidRPr="73070050">
        <w:rPr>
          <w:noProof/>
          <w:lang w:val="en-IE"/>
        </w:rPr>
        <w:t xml:space="preserve">unclear. Further uncertainties </w:t>
      </w:r>
      <w:r w:rsidR="003617F7">
        <w:rPr>
          <w:noProof/>
          <w:lang w:val="en-IE"/>
        </w:rPr>
        <w:t xml:space="preserve">were noted </w:t>
      </w:r>
      <w:r w:rsidRPr="73070050">
        <w:rPr>
          <w:noProof/>
          <w:lang w:val="en-IE"/>
        </w:rPr>
        <w:t xml:space="preserve">concerning obligations tied to packaging materials, pallets, and product displays, with stakeholders questioning their inclusion. To ensure a </w:t>
      </w:r>
      <w:r w:rsidR="000C0B6D">
        <w:rPr>
          <w:noProof/>
          <w:lang w:val="en-IE"/>
        </w:rPr>
        <w:t>coherent approach</w:t>
      </w:r>
      <w:r w:rsidR="00CC5D99">
        <w:rPr>
          <w:noProof/>
          <w:lang w:val="en-IE"/>
        </w:rPr>
        <w:t xml:space="preserve"> </w:t>
      </w:r>
      <w:r w:rsidR="00122DF8">
        <w:rPr>
          <w:noProof/>
          <w:lang w:val="en-IE"/>
        </w:rPr>
        <w:t xml:space="preserve">across </w:t>
      </w:r>
      <w:r w:rsidR="00CC5D99">
        <w:rPr>
          <w:noProof/>
          <w:lang w:val="en-IE"/>
        </w:rPr>
        <w:t xml:space="preserve">the </w:t>
      </w:r>
      <w:r w:rsidR="00307057">
        <w:rPr>
          <w:noProof/>
          <w:lang w:val="en-IE"/>
        </w:rPr>
        <w:t>supply</w:t>
      </w:r>
      <w:r w:rsidR="00CC5D99">
        <w:rPr>
          <w:noProof/>
          <w:lang w:val="en-IE"/>
        </w:rPr>
        <w:t xml:space="preserve"> chain</w:t>
      </w:r>
      <w:r w:rsidRPr="73070050">
        <w:rPr>
          <w:noProof/>
          <w:lang w:val="en-IE"/>
        </w:rPr>
        <w:t>,</w:t>
      </w:r>
      <w:r w:rsidR="00E80852">
        <w:rPr>
          <w:noProof/>
          <w:lang w:val="en-IE"/>
        </w:rPr>
        <w:t xml:space="preserve"> there were opposing</w:t>
      </w:r>
      <w:r w:rsidRPr="73070050">
        <w:rPr>
          <w:noProof/>
          <w:lang w:val="en-IE"/>
        </w:rPr>
        <w:t xml:space="preserve"> requests </w:t>
      </w:r>
      <w:r w:rsidR="003F1E3D">
        <w:rPr>
          <w:noProof/>
          <w:lang w:val="en-IE"/>
        </w:rPr>
        <w:t xml:space="preserve">in terms of </w:t>
      </w:r>
      <w:r w:rsidRPr="73070050">
        <w:rPr>
          <w:noProof/>
          <w:lang w:val="en-IE"/>
        </w:rPr>
        <w:t>expand</w:t>
      </w:r>
      <w:r w:rsidR="003F1E3D">
        <w:rPr>
          <w:noProof/>
          <w:lang w:val="en-IE"/>
        </w:rPr>
        <w:t>ing</w:t>
      </w:r>
      <w:r w:rsidRPr="73070050">
        <w:rPr>
          <w:noProof/>
          <w:lang w:val="en-IE"/>
        </w:rPr>
        <w:t xml:space="preserve"> the scope to include additional derived products—such as soap, soap noodles, </w:t>
      </w:r>
      <w:r w:rsidR="00190357">
        <w:rPr>
          <w:noProof/>
        </w:rPr>
        <w:t>balloons and other finished products made of rubber latex</w:t>
      </w:r>
      <w:r w:rsidRPr="73070050">
        <w:rPr>
          <w:noProof/>
          <w:lang w:val="en-IE"/>
        </w:rPr>
        <w:t xml:space="preserve">, soluble coffee, and </w:t>
      </w:r>
      <w:r w:rsidR="001609EC" w:rsidRPr="73070050">
        <w:rPr>
          <w:noProof/>
          <w:lang w:val="en-IE"/>
        </w:rPr>
        <w:t>several</w:t>
      </w:r>
      <w:r w:rsidRPr="73070050">
        <w:rPr>
          <w:noProof/>
          <w:lang w:val="en-IE"/>
        </w:rPr>
        <w:t xml:space="preserve"> palm oil derivatives (including biofuels and animal feed). Conversely, some products, including cattle skins, retreaded tyres and select</w:t>
      </w:r>
      <w:r w:rsidR="00BF317D">
        <w:rPr>
          <w:noProof/>
          <w:lang w:val="en-IE"/>
        </w:rPr>
        <w:t>ed</w:t>
      </w:r>
      <w:r w:rsidRPr="73070050">
        <w:rPr>
          <w:noProof/>
          <w:lang w:val="en-IE"/>
        </w:rPr>
        <w:t xml:space="preserve"> palm oil derivatives, were proposed for exclusion due to operational or technical justifications</w:t>
      </w:r>
      <w:r w:rsidR="003F1E3D">
        <w:rPr>
          <w:noProof/>
          <w:lang w:val="en-IE"/>
        </w:rPr>
        <w:t xml:space="preserve">, while some </w:t>
      </w:r>
      <w:r w:rsidR="00EF0216">
        <w:rPr>
          <w:noProof/>
          <w:lang w:val="en-IE"/>
        </w:rPr>
        <w:t>stakeholders were against such exclusion</w:t>
      </w:r>
      <w:r w:rsidRPr="73070050">
        <w:rPr>
          <w:noProof/>
          <w:lang w:val="en-IE"/>
        </w:rPr>
        <w:t xml:space="preserve">. Finally, small operators advocated for the introduction of a </w:t>
      </w:r>
      <w:r w:rsidRPr="73070050">
        <w:rPr>
          <w:i/>
          <w:noProof/>
          <w:lang w:val="en-IE"/>
        </w:rPr>
        <w:t>de minimis</w:t>
      </w:r>
      <w:r w:rsidRPr="73070050">
        <w:rPr>
          <w:noProof/>
          <w:lang w:val="en-IE"/>
        </w:rPr>
        <w:t xml:space="preserve"> rule to exempt </w:t>
      </w:r>
      <w:r w:rsidR="00C960A8" w:rsidRPr="73070050">
        <w:rPr>
          <w:noProof/>
          <w:lang w:val="en-IE"/>
        </w:rPr>
        <w:t>small</w:t>
      </w:r>
      <w:r w:rsidRPr="73070050">
        <w:rPr>
          <w:noProof/>
          <w:lang w:val="en-IE"/>
        </w:rPr>
        <w:t xml:space="preserve"> quantities from EUDR obligations.</w:t>
      </w:r>
    </w:p>
    <w:p w14:paraId="60EED134" w14:textId="75C101CB" w:rsidR="00BD5A6D" w:rsidRPr="004A2880" w:rsidRDefault="007F3567" w:rsidP="0012174E">
      <w:pPr>
        <w:spacing w:after="120"/>
        <w:rPr>
          <w:i/>
          <w:iCs/>
          <w:noProof/>
          <w:szCs w:val="24"/>
          <w:lang w:val="en-IE"/>
        </w:rPr>
      </w:pPr>
      <w:r w:rsidRPr="004A2880">
        <w:rPr>
          <w:i/>
          <w:iCs/>
          <w:noProof/>
          <w:szCs w:val="24"/>
          <w:lang w:val="en-IE"/>
        </w:rPr>
        <w:t>3</w:t>
      </w:r>
      <w:r w:rsidR="00F03210" w:rsidRPr="004A2880">
        <w:rPr>
          <w:i/>
          <w:iCs/>
          <w:noProof/>
          <w:szCs w:val="24"/>
          <w:lang w:val="en-IE"/>
        </w:rPr>
        <w:t>.2.</w:t>
      </w:r>
      <w:r w:rsidR="00EE1E88">
        <w:rPr>
          <w:i/>
          <w:iCs/>
          <w:noProof/>
          <w:szCs w:val="24"/>
          <w:lang w:val="en-IE"/>
        </w:rPr>
        <w:t>5</w:t>
      </w:r>
      <w:r w:rsidR="00F03210" w:rsidRPr="004A2880">
        <w:rPr>
          <w:i/>
          <w:iCs/>
          <w:noProof/>
          <w:szCs w:val="24"/>
          <w:lang w:val="en-IE"/>
        </w:rPr>
        <w:t xml:space="preserve"> </w:t>
      </w:r>
      <w:r w:rsidR="00BD5A6D" w:rsidRPr="004A2880">
        <w:rPr>
          <w:i/>
          <w:iCs/>
          <w:noProof/>
          <w:szCs w:val="24"/>
          <w:lang w:val="en-IE"/>
        </w:rPr>
        <w:t xml:space="preserve">Information </w:t>
      </w:r>
      <w:r w:rsidR="00FB53D9" w:rsidRPr="004A2880">
        <w:rPr>
          <w:i/>
          <w:iCs/>
          <w:noProof/>
          <w:szCs w:val="24"/>
          <w:lang w:val="en-IE"/>
        </w:rPr>
        <w:t>S</w:t>
      </w:r>
      <w:r w:rsidR="00BD5A6D" w:rsidRPr="004A2880">
        <w:rPr>
          <w:i/>
          <w:iCs/>
          <w:noProof/>
          <w:szCs w:val="24"/>
          <w:lang w:val="en-IE"/>
        </w:rPr>
        <w:t>ystem</w:t>
      </w:r>
    </w:p>
    <w:p w14:paraId="773A61BF" w14:textId="1B300CA9" w:rsidR="003D4011" w:rsidRDefault="00624136" w:rsidP="00C6228D">
      <w:pPr>
        <w:rPr>
          <w:noProof/>
          <w:lang w:val="en-IE"/>
        </w:rPr>
      </w:pPr>
      <w:r w:rsidRPr="4389D2AF">
        <w:rPr>
          <w:noProof/>
          <w:lang w:val="en-IE"/>
        </w:rPr>
        <w:t xml:space="preserve">Stakeholders highlighted critical technical and operational priorities for the EUDR Information System, calling for API timelines to be accelerated to enable timely IT developments. They supported grouping reference numbers and identifiers for downstream actors, while also requesting registration and voluntary </w:t>
      </w:r>
      <w:r w:rsidR="00E5727C">
        <w:rPr>
          <w:noProof/>
          <w:lang w:val="en-IE"/>
        </w:rPr>
        <w:t>due diligence statement</w:t>
      </w:r>
      <w:r w:rsidR="00DC6202">
        <w:rPr>
          <w:noProof/>
          <w:lang w:val="en-IE"/>
        </w:rPr>
        <w:t xml:space="preserve"> </w:t>
      </w:r>
      <w:r w:rsidRPr="4389D2AF">
        <w:rPr>
          <w:noProof/>
          <w:lang w:val="en-IE"/>
        </w:rPr>
        <w:t>submission by downstream actors to enhance flexibility.</w:t>
      </w:r>
      <w:r w:rsidR="00495235" w:rsidRPr="4389D2AF">
        <w:rPr>
          <w:noProof/>
          <w:lang w:val="en-IE"/>
        </w:rPr>
        <w:t xml:space="preserve"> Another key demand was </w:t>
      </w:r>
      <w:r w:rsidR="00DF1A3C" w:rsidRPr="4389D2AF">
        <w:rPr>
          <w:noProof/>
          <w:lang w:val="en-IE"/>
        </w:rPr>
        <w:t xml:space="preserve">implementation of </w:t>
      </w:r>
      <w:r w:rsidRPr="4389D2AF">
        <w:rPr>
          <w:noProof/>
          <w:lang w:val="en-IE"/>
        </w:rPr>
        <w:t>contingency planning</w:t>
      </w:r>
      <w:r w:rsidR="00495235" w:rsidRPr="4389D2AF">
        <w:rPr>
          <w:noProof/>
          <w:lang w:val="en-IE"/>
        </w:rPr>
        <w:t>, s</w:t>
      </w:r>
      <w:r w:rsidRPr="4389D2AF">
        <w:rPr>
          <w:noProof/>
          <w:lang w:val="en-IE"/>
        </w:rPr>
        <w:t>uch as</w:t>
      </w:r>
      <w:r w:rsidR="00495235" w:rsidRPr="4389D2AF">
        <w:rPr>
          <w:noProof/>
          <w:lang w:val="en-IE"/>
        </w:rPr>
        <w:t xml:space="preserve"> </w:t>
      </w:r>
      <w:r w:rsidR="00DF1A3C" w:rsidRPr="4389D2AF">
        <w:rPr>
          <w:noProof/>
          <w:lang w:val="en-IE"/>
        </w:rPr>
        <w:t xml:space="preserve">issuing conventional </w:t>
      </w:r>
      <w:r w:rsidR="00E5727C">
        <w:rPr>
          <w:noProof/>
          <w:lang w:val="en-IE"/>
        </w:rPr>
        <w:t>due diligence statement</w:t>
      </w:r>
      <w:r w:rsidR="00DF1A3C" w:rsidRPr="4389D2AF">
        <w:rPr>
          <w:noProof/>
          <w:lang w:val="en-IE"/>
        </w:rPr>
        <w:t xml:space="preserve"> numbers</w:t>
      </w:r>
      <w:r w:rsidR="00D35503" w:rsidRPr="4389D2AF">
        <w:rPr>
          <w:noProof/>
          <w:lang w:val="en-IE"/>
        </w:rPr>
        <w:t xml:space="preserve"> in case of system outage</w:t>
      </w:r>
      <w:r w:rsidRPr="4389D2AF">
        <w:rPr>
          <w:noProof/>
          <w:lang w:val="en-IE"/>
        </w:rPr>
        <w:t xml:space="preserve">. </w:t>
      </w:r>
      <w:r w:rsidR="00C10800" w:rsidRPr="4389D2AF">
        <w:rPr>
          <w:noProof/>
          <w:lang w:val="en-IE"/>
        </w:rPr>
        <w:t xml:space="preserve">Operational efficiency was emphasised through requests to increase file size limits (currently 25MB). </w:t>
      </w:r>
      <w:r w:rsidRPr="4389D2AF">
        <w:rPr>
          <w:noProof/>
          <w:lang w:val="en-IE"/>
        </w:rPr>
        <w:t>Stakeholders urged enhanced error reporting with detailed documentation, as well as transparent geolocation data processing</w:t>
      </w:r>
      <w:r w:rsidR="00A24499" w:rsidRPr="4389D2AF">
        <w:rPr>
          <w:noProof/>
          <w:lang w:val="en-IE"/>
        </w:rPr>
        <w:t>, including aligning checks between the user interface and API submissions</w:t>
      </w:r>
      <w:r w:rsidRPr="4389D2AF">
        <w:rPr>
          <w:noProof/>
          <w:lang w:val="en-IE"/>
        </w:rPr>
        <w:t xml:space="preserve">. To reduce system strain, </w:t>
      </w:r>
      <w:r w:rsidR="001C4A4F" w:rsidRPr="4389D2AF">
        <w:rPr>
          <w:noProof/>
          <w:lang w:val="en-IE"/>
        </w:rPr>
        <w:t>stakeholders</w:t>
      </w:r>
      <w:r w:rsidRPr="4389D2AF">
        <w:rPr>
          <w:noProof/>
          <w:lang w:val="en-IE"/>
        </w:rPr>
        <w:t xml:space="preserve"> proposed implementation of webhooks </w:t>
      </w:r>
      <w:r w:rsidR="00461907">
        <w:rPr>
          <w:noProof/>
        </w:rPr>
        <w:t>to notify operators of status changes in their submissions</w:t>
      </w:r>
      <w:r w:rsidRPr="4389D2AF">
        <w:rPr>
          <w:noProof/>
          <w:lang w:val="en-IE"/>
        </w:rPr>
        <w:t>.</w:t>
      </w:r>
      <w:r w:rsidR="00495235" w:rsidRPr="4389D2AF">
        <w:rPr>
          <w:noProof/>
          <w:lang w:val="en-IE"/>
        </w:rPr>
        <w:t xml:space="preserve"> </w:t>
      </w:r>
      <w:r w:rsidR="003765CB">
        <w:rPr>
          <w:noProof/>
        </w:rPr>
        <w:t>Operators also requested introduction of service accounts to allow multiple authori</w:t>
      </w:r>
      <w:r w:rsidR="58ABA6CE">
        <w:rPr>
          <w:noProof/>
        </w:rPr>
        <w:t>s</w:t>
      </w:r>
      <w:r w:rsidR="003765CB">
        <w:rPr>
          <w:noProof/>
        </w:rPr>
        <w:t xml:space="preserve">ed persons to access the system. </w:t>
      </w:r>
      <w:r w:rsidR="00495235" w:rsidRPr="4389D2AF">
        <w:rPr>
          <w:noProof/>
          <w:lang w:val="en-IE"/>
        </w:rPr>
        <w:t>Access for non-EU operators to the IT system was a concern of stakeholders from third countries</w:t>
      </w:r>
      <w:r w:rsidR="00C10800" w:rsidRPr="4389D2AF">
        <w:rPr>
          <w:noProof/>
          <w:lang w:val="en-IE"/>
        </w:rPr>
        <w:t>. Competent authorities requested adequate technical support and implementation time for system integration.</w:t>
      </w:r>
    </w:p>
    <w:tbl>
      <w:tblPr>
        <w:tblStyle w:val="TableGrid"/>
        <w:tblW w:w="0" w:type="auto"/>
        <w:shd w:val="clear" w:color="auto" w:fill="E8E8E8" w:themeFill="background2"/>
        <w:tblLook w:val="04A0" w:firstRow="1" w:lastRow="0" w:firstColumn="1" w:lastColumn="0" w:noHBand="0" w:noVBand="1"/>
      </w:tblPr>
      <w:tblGrid>
        <w:gridCol w:w="8602"/>
      </w:tblGrid>
      <w:tr w:rsidR="00FF4C70" w14:paraId="3DAEBBF1" w14:textId="77777777" w:rsidTr="00D21269">
        <w:tc>
          <w:tcPr>
            <w:tcW w:w="8602" w:type="dxa"/>
            <w:shd w:val="clear" w:color="auto" w:fill="E8E8E8" w:themeFill="background2"/>
          </w:tcPr>
          <w:p w14:paraId="6F354CA0" w14:textId="1EB6E9D8" w:rsidR="003D4011" w:rsidRPr="00A57483" w:rsidRDefault="00B23840" w:rsidP="00A57483">
            <w:pPr>
              <w:spacing w:after="0"/>
              <w:rPr>
                <w:b/>
                <w:bCs/>
                <w:noProof/>
                <w:sz w:val="2"/>
                <w:szCs w:val="2"/>
                <w:lang w:val="en-IE"/>
              </w:rPr>
            </w:pPr>
            <w:r w:rsidRPr="00B23840">
              <w:rPr>
                <w:noProof/>
              </w:rPr>
              <w:t xml:space="preserve"> </w:t>
            </w:r>
          </w:p>
          <w:p w14:paraId="024A0BA2" w14:textId="23343D4E" w:rsidR="00FF4C70" w:rsidRDefault="00FF4C70" w:rsidP="00FF4C70">
            <w:pPr>
              <w:spacing w:after="120"/>
              <w:rPr>
                <w:b/>
                <w:bCs/>
                <w:noProof/>
                <w:szCs w:val="24"/>
                <w:lang w:val="en-IE"/>
              </w:rPr>
            </w:pPr>
            <w:r>
              <w:rPr>
                <w:b/>
                <w:bCs/>
                <w:noProof/>
                <w:szCs w:val="24"/>
                <w:lang w:val="en-IE"/>
              </w:rPr>
              <w:t>Key points</w:t>
            </w:r>
            <w:r w:rsidR="0070292F">
              <w:rPr>
                <w:b/>
                <w:bCs/>
                <w:noProof/>
                <w:szCs w:val="24"/>
                <w:lang w:val="en-IE"/>
              </w:rPr>
              <w:t xml:space="preserve"> – </w:t>
            </w:r>
            <w:r w:rsidR="00894B68">
              <w:rPr>
                <w:b/>
                <w:bCs/>
                <w:noProof/>
                <w:szCs w:val="24"/>
                <w:lang w:val="en-IE"/>
              </w:rPr>
              <w:t xml:space="preserve">chapter </w:t>
            </w:r>
            <w:r w:rsidR="0070292F">
              <w:rPr>
                <w:b/>
                <w:bCs/>
                <w:noProof/>
                <w:szCs w:val="24"/>
                <w:lang w:val="en-IE"/>
              </w:rPr>
              <w:t>summary</w:t>
            </w:r>
            <w:r>
              <w:rPr>
                <w:b/>
                <w:bCs/>
                <w:noProof/>
                <w:szCs w:val="24"/>
                <w:lang w:val="en-IE"/>
              </w:rPr>
              <w:t>:</w:t>
            </w:r>
          </w:p>
          <w:p w14:paraId="78047DF4" w14:textId="3F9F03F6" w:rsidR="00E422D1" w:rsidRDefault="00FF4C70" w:rsidP="00FF4C70">
            <w:pPr>
              <w:spacing w:after="120"/>
              <w:rPr>
                <w:noProof/>
                <w:szCs w:val="24"/>
                <w:lang w:val="en-IE"/>
              </w:rPr>
            </w:pPr>
            <w:r w:rsidRPr="001D15FC">
              <w:rPr>
                <w:noProof/>
                <w:szCs w:val="24"/>
                <w:lang w:val="en-IE"/>
              </w:rPr>
              <w:t xml:space="preserve">Stakeholder feedback informing the simplification review highlighted </w:t>
            </w:r>
            <w:r w:rsidR="00EE1E88">
              <w:rPr>
                <w:noProof/>
                <w:szCs w:val="24"/>
                <w:lang w:val="en-IE"/>
              </w:rPr>
              <w:t>five</w:t>
            </w:r>
            <w:r w:rsidR="00EE1E88" w:rsidRPr="001D15FC">
              <w:rPr>
                <w:noProof/>
                <w:szCs w:val="24"/>
                <w:lang w:val="en-IE"/>
              </w:rPr>
              <w:t xml:space="preserve"> </w:t>
            </w:r>
            <w:r w:rsidRPr="001D15FC">
              <w:rPr>
                <w:noProof/>
                <w:szCs w:val="24"/>
                <w:lang w:val="en-IE"/>
              </w:rPr>
              <w:t xml:space="preserve">critical areas needing </w:t>
            </w:r>
            <w:r>
              <w:rPr>
                <w:noProof/>
                <w:szCs w:val="24"/>
                <w:lang w:val="en-IE"/>
              </w:rPr>
              <w:t>clarification</w:t>
            </w:r>
            <w:r w:rsidRPr="001D15FC">
              <w:rPr>
                <w:noProof/>
                <w:szCs w:val="24"/>
                <w:lang w:val="en-IE"/>
              </w:rPr>
              <w:t xml:space="preserve">: </w:t>
            </w:r>
          </w:p>
          <w:p w14:paraId="6074B9E3" w14:textId="1D626A4B" w:rsidR="00E422D1" w:rsidRPr="003907DC" w:rsidRDefault="0075030C" w:rsidP="00A57483">
            <w:pPr>
              <w:pStyle w:val="ListParagraph"/>
              <w:numPr>
                <w:ilvl w:val="0"/>
                <w:numId w:val="74"/>
              </w:numPr>
              <w:spacing w:after="0"/>
              <w:rPr>
                <w:noProof/>
                <w:szCs w:val="24"/>
                <w:lang w:val="en-IE"/>
              </w:rPr>
            </w:pPr>
            <w:r>
              <w:rPr>
                <w:noProof/>
              </w:rPr>
              <w:t xml:space="preserve">micro or small primary operator </w:t>
            </w:r>
            <w:r w:rsidR="00FF4C70" w:rsidRPr="003907DC">
              <w:rPr>
                <w:noProof/>
                <w:szCs w:val="24"/>
                <w:lang w:val="en-IE"/>
              </w:rPr>
              <w:t>qualification</w:t>
            </w:r>
            <w:r w:rsidR="003D4011">
              <w:rPr>
                <w:noProof/>
                <w:szCs w:val="24"/>
                <w:lang w:val="en-IE"/>
              </w:rPr>
              <w:t>;</w:t>
            </w:r>
            <w:r w:rsidR="00FF4C70" w:rsidRPr="003907DC">
              <w:rPr>
                <w:noProof/>
                <w:szCs w:val="24"/>
                <w:lang w:val="en-IE"/>
              </w:rPr>
              <w:t xml:space="preserve"> </w:t>
            </w:r>
          </w:p>
          <w:p w14:paraId="00B7D530" w14:textId="0AB64D96" w:rsidR="00E422D1" w:rsidRPr="003907DC" w:rsidRDefault="00FF4C70" w:rsidP="00A57483">
            <w:pPr>
              <w:pStyle w:val="ListParagraph"/>
              <w:numPr>
                <w:ilvl w:val="0"/>
                <w:numId w:val="74"/>
              </w:numPr>
              <w:spacing w:after="0"/>
              <w:rPr>
                <w:noProof/>
                <w:szCs w:val="24"/>
                <w:lang w:val="en-IE"/>
              </w:rPr>
            </w:pPr>
            <w:r w:rsidRPr="003907DC">
              <w:rPr>
                <w:noProof/>
                <w:szCs w:val="24"/>
                <w:lang w:val="en-IE"/>
              </w:rPr>
              <w:t>downstream supply chain obligations</w:t>
            </w:r>
            <w:r w:rsidR="003D4011">
              <w:rPr>
                <w:noProof/>
                <w:szCs w:val="24"/>
                <w:lang w:val="en-IE"/>
              </w:rPr>
              <w:t>;</w:t>
            </w:r>
          </w:p>
          <w:p w14:paraId="0FB7A101" w14:textId="5267C716" w:rsidR="00E422D1" w:rsidRPr="003907DC" w:rsidRDefault="00EE1E88" w:rsidP="00A57483">
            <w:pPr>
              <w:pStyle w:val="ListParagraph"/>
              <w:numPr>
                <w:ilvl w:val="0"/>
                <w:numId w:val="74"/>
              </w:numPr>
              <w:spacing w:after="0"/>
              <w:rPr>
                <w:noProof/>
                <w:szCs w:val="24"/>
                <w:lang w:val="en-IE"/>
              </w:rPr>
            </w:pPr>
            <w:r>
              <w:rPr>
                <w:noProof/>
                <w:szCs w:val="24"/>
                <w:lang w:val="en-IE"/>
              </w:rPr>
              <w:t>due diligence obligations (</w:t>
            </w:r>
            <w:r w:rsidR="00FF4C70" w:rsidRPr="003907DC">
              <w:rPr>
                <w:noProof/>
                <w:szCs w:val="24"/>
                <w:lang w:val="en-IE"/>
              </w:rPr>
              <w:t xml:space="preserve">legality </w:t>
            </w:r>
            <w:r>
              <w:rPr>
                <w:noProof/>
                <w:szCs w:val="24"/>
                <w:lang w:val="en-IE"/>
              </w:rPr>
              <w:t>and zero risk)</w:t>
            </w:r>
            <w:r w:rsidR="003D4011">
              <w:rPr>
                <w:noProof/>
                <w:szCs w:val="24"/>
                <w:lang w:val="en-IE"/>
              </w:rPr>
              <w:t>;</w:t>
            </w:r>
          </w:p>
          <w:p w14:paraId="7CACF01D" w14:textId="28943DCE" w:rsidR="003D3330" w:rsidRPr="003907DC" w:rsidRDefault="00FF4C70" w:rsidP="00A57483">
            <w:pPr>
              <w:pStyle w:val="ListParagraph"/>
              <w:numPr>
                <w:ilvl w:val="0"/>
                <w:numId w:val="74"/>
              </w:numPr>
              <w:spacing w:after="0"/>
              <w:rPr>
                <w:noProof/>
                <w:szCs w:val="24"/>
                <w:lang w:val="en-IE"/>
              </w:rPr>
            </w:pPr>
            <w:r w:rsidRPr="003907DC">
              <w:rPr>
                <w:noProof/>
                <w:szCs w:val="24"/>
                <w:lang w:val="en-IE"/>
              </w:rPr>
              <w:t>product scope ambiguities</w:t>
            </w:r>
            <w:r w:rsidR="003D4011">
              <w:rPr>
                <w:noProof/>
                <w:szCs w:val="24"/>
                <w:lang w:val="en-IE"/>
              </w:rPr>
              <w:t>; and</w:t>
            </w:r>
          </w:p>
          <w:p w14:paraId="5014813C" w14:textId="58FA415C" w:rsidR="00FF4C70" w:rsidRPr="00A57483" w:rsidRDefault="00FF4C70" w:rsidP="00FF041C">
            <w:pPr>
              <w:pStyle w:val="ListParagraph"/>
              <w:numPr>
                <w:ilvl w:val="0"/>
                <w:numId w:val="74"/>
              </w:numPr>
              <w:spacing w:after="120"/>
              <w:ind w:left="714" w:hanging="357"/>
              <w:rPr>
                <w:noProof/>
              </w:rPr>
            </w:pPr>
            <w:r w:rsidRPr="003907DC">
              <w:rPr>
                <w:noProof/>
                <w:szCs w:val="24"/>
                <w:lang w:val="en-IE"/>
              </w:rPr>
              <w:t xml:space="preserve">Information System improvements. </w:t>
            </w:r>
          </w:p>
        </w:tc>
      </w:tr>
    </w:tbl>
    <w:p w14:paraId="68C0B6D0" w14:textId="44324711" w:rsidR="009024AA" w:rsidRDefault="009024AA">
      <w:pPr>
        <w:spacing w:after="0"/>
        <w:jc w:val="left"/>
        <w:rPr>
          <w:b/>
          <w:bCs/>
          <w:noProof/>
          <w:sz w:val="28"/>
          <w:szCs w:val="28"/>
        </w:rPr>
      </w:pPr>
    </w:p>
    <w:p w14:paraId="04727505" w14:textId="6F960167" w:rsidR="001A0EBF" w:rsidRPr="0067616F" w:rsidRDefault="007F3567" w:rsidP="0012174E">
      <w:pPr>
        <w:spacing w:after="120"/>
        <w:jc w:val="left"/>
        <w:rPr>
          <w:b/>
          <w:bCs/>
          <w:noProof/>
          <w:sz w:val="28"/>
          <w:szCs w:val="28"/>
        </w:rPr>
      </w:pPr>
      <w:r w:rsidRPr="0067616F">
        <w:rPr>
          <w:b/>
          <w:bCs/>
          <w:noProof/>
          <w:sz w:val="28"/>
          <w:szCs w:val="28"/>
        </w:rPr>
        <w:t>4</w:t>
      </w:r>
      <w:r w:rsidR="002C099C" w:rsidRPr="0067616F">
        <w:rPr>
          <w:b/>
          <w:bCs/>
          <w:noProof/>
          <w:sz w:val="28"/>
          <w:szCs w:val="28"/>
        </w:rPr>
        <w:t xml:space="preserve">. </w:t>
      </w:r>
      <w:r w:rsidR="00BF18BC">
        <w:rPr>
          <w:b/>
          <w:bCs/>
          <w:noProof/>
          <w:sz w:val="28"/>
          <w:szCs w:val="28"/>
        </w:rPr>
        <w:t>Identified</w:t>
      </w:r>
      <w:r w:rsidR="00082201">
        <w:rPr>
          <w:b/>
          <w:bCs/>
          <w:noProof/>
          <w:sz w:val="28"/>
          <w:szCs w:val="28"/>
        </w:rPr>
        <w:t xml:space="preserve"> measure</w:t>
      </w:r>
      <w:r w:rsidR="00CF4DD8">
        <w:rPr>
          <w:b/>
          <w:bCs/>
          <w:noProof/>
          <w:sz w:val="28"/>
          <w:szCs w:val="28"/>
        </w:rPr>
        <w:t>s</w:t>
      </w:r>
      <w:r w:rsidR="00082201">
        <w:rPr>
          <w:b/>
          <w:bCs/>
          <w:noProof/>
          <w:sz w:val="28"/>
          <w:szCs w:val="28"/>
        </w:rPr>
        <w:t xml:space="preserve"> </w:t>
      </w:r>
    </w:p>
    <w:p w14:paraId="1795B6F9" w14:textId="639480E2" w:rsidR="00176617" w:rsidRPr="0012174E" w:rsidRDefault="004D499F" w:rsidP="0012174E">
      <w:pPr>
        <w:spacing w:before="120" w:after="120"/>
        <w:rPr>
          <w:noProof/>
          <w:szCs w:val="24"/>
          <w:lang w:val="en-IE"/>
        </w:rPr>
      </w:pPr>
      <w:r w:rsidRPr="0012174E">
        <w:rPr>
          <w:noProof/>
          <w:szCs w:val="24"/>
          <w:lang w:val="en-IE"/>
        </w:rPr>
        <w:t>Taking into consideration the feedback de</w:t>
      </w:r>
      <w:r w:rsidR="00122DF8">
        <w:rPr>
          <w:noProof/>
          <w:szCs w:val="24"/>
          <w:lang w:val="en-IE"/>
        </w:rPr>
        <w:t>scribed</w:t>
      </w:r>
      <w:r w:rsidRPr="0012174E">
        <w:rPr>
          <w:noProof/>
          <w:szCs w:val="24"/>
          <w:lang w:val="en-IE"/>
        </w:rPr>
        <w:t xml:space="preserve"> in Chapter 2 and 3, t</w:t>
      </w:r>
      <w:r w:rsidR="00456A1A" w:rsidRPr="0012174E">
        <w:rPr>
          <w:noProof/>
          <w:szCs w:val="24"/>
          <w:lang w:val="en-IE"/>
        </w:rPr>
        <w:t xml:space="preserve">he </w:t>
      </w:r>
      <w:r w:rsidR="00DE30F2" w:rsidRPr="0012174E">
        <w:rPr>
          <w:noProof/>
          <w:szCs w:val="24"/>
          <w:lang w:val="en-IE"/>
        </w:rPr>
        <w:t>C</w:t>
      </w:r>
      <w:r w:rsidR="00456A1A" w:rsidRPr="0012174E">
        <w:rPr>
          <w:noProof/>
          <w:szCs w:val="24"/>
          <w:lang w:val="en-IE"/>
        </w:rPr>
        <w:t xml:space="preserve">ommission has </w:t>
      </w:r>
      <w:r w:rsidR="00CB5F59" w:rsidRPr="0012174E">
        <w:rPr>
          <w:noProof/>
          <w:szCs w:val="24"/>
          <w:lang w:val="en-IE"/>
        </w:rPr>
        <w:t>identified</w:t>
      </w:r>
      <w:r w:rsidR="002257D8" w:rsidRPr="0012174E">
        <w:rPr>
          <w:noProof/>
          <w:szCs w:val="24"/>
          <w:lang w:val="en-IE"/>
        </w:rPr>
        <w:t xml:space="preserve"> </w:t>
      </w:r>
      <w:r w:rsidRPr="0012174E">
        <w:rPr>
          <w:noProof/>
          <w:szCs w:val="24"/>
          <w:lang w:val="en-IE"/>
        </w:rPr>
        <w:t xml:space="preserve">a set of measures </w:t>
      </w:r>
      <w:r w:rsidR="00A7659D" w:rsidRPr="0012174E">
        <w:rPr>
          <w:noProof/>
          <w:szCs w:val="24"/>
          <w:lang w:val="en-IE"/>
        </w:rPr>
        <w:t>that address</w:t>
      </w:r>
      <w:r w:rsidR="00F32F1F" w:rsidRPr="0012174E">
        <w:rPr>
          <w:noProof/>
          <w:szCs w:val="24"/>
          <w:lang w:val="en-IE"/>
        </w:rPr>
        <w:t>es</w:t>
      </w:r>
      <w:r w:rsidR="00A7659D" w:rsidRPr="0012174E">
        <w:rPr>
          <w:noProof/>
          <w:szCs w:val="24"/>
          <w:lang w:val="en-IE"/>
        </w:rPr>
        <w:t xml:space="preserve"> th</w:t>
      </w:r>
      <w:r w:rsidR="00CB5F59" w:rsidRPr="0012174E">
        <w:rPr>
          <w:noProof/>
          <w:szCs w:val="24"/>
          <w:lang w:val="en-IE"/>
        </w:rPr>
        <w:t xml:space="preserve">e </w:t>
      </w:r>
      <w:r w:rsidR="003B0D11" w:rsidRPr="0012174E">
        <w:rPr>
          <w:noProof/>
          <w:szCs w:val="24"/>
          <w:lang w:val="en-IE"/>
        </w:rPr>
        <w:t xml:space="preserve">raised concerns </w:t>
      </w:r>
      <w:r w:rsidR="00F32F1F" w:rsidRPr="0012174E">
        <w:rPr>
          <w:noProof/>
          <w:szCs w:val="24"/>
          <w:lang w:val="en-IE"/>
        </w:rPr>
        <w:t xml:space="preserve">to a large degree </w:t>
      </w:r>
      <w:r w:rsidR="003B0D11" w:rsidRPr="0012174E">
        <w:rPr>
          <w:noProof/>
          <w:szCs w:val="24"/>
          <w:lang w:val="en-IE"/>
        </w:rPr>
        <w:t xml:space="preserve">and </w:t>
      </w:r>
      <w:r w:rsidR="42D47434" w:rsidRPr="0012174E">
        <w:rPr>
          <w:noProof/>
          <w:szCs w:val="24"/>
          <w:lang w:val="en-IE"/>
        </w:rPr>
        <w:t>facilitate</w:t>
      </w:r>
      <w:r w:rsidR="00F32F1F" w:rsidRPr="0012174E">
        <w:rPr>
          <w:noProof/>
          <w:szCs w:val="24"/>
          <w:lang w:val="en-IE"/>
        </w:rPr>
        <w:t>s</w:t>
      </w:r>
      <w:r w:rsidR="42D47434" w:rsidRPr="0012174E">
        <w:rPr>
          <w:noProof/>
          <w:szCs w:val="24"/>
          <w:lang w:val="en-IE"/>
        </w:rPr>
        <w:t xml:space="preserve"> and streamline</w:t>
      </w:r>
      <w:r w:rsidR="00F32F1F" w:rsidRPr="0012174E">
        <w:rPr>
          <w:noProof/>
          <w:szCs w:val="24"/>
          <w:lang w:val="en-IE"/>
        </w:rPr>
        <w:t>s</w:t>
      </w:r>
      <w:r w:rsidR="42D47434" w:rsidRPr="0012174E">
        <w:rPr>
          <w:noProof/>
          <w:szCs w:val="24"/>
          <w:lang w:val="en-IE"/>
        </w:rPr>
        <w:t xml:space="preserve"> implementation</w:t>
      </w:r>
      <w:r w:rsidR="0FCE33D5" w:rsidRPr="0012174E">
        <w:rPr>
          <w:noProof/>
          <w:szCs w:val="24"/>
          <w:lang w:val="en-IE"/>
        </w:rPr>
        <w:t xml:space="preserve">. </w:t>
      </w:r>
    </w:p>
    <w:p w14:paraId="66A427F9" w14:textId="3C975833" w:rsidR="00456A1A" w:rsidRDefault="004135D4" w:rsidP="009024AA">
      <w:pPr>
        <w:spacing w:after="120"/>
        <w:rPr>
          <w:noProof/>
          <w:szCs w:val="24"/>
          <w:lang w:val="en-IE"/>
        </w:rPr>
      </w:pPr>
      <w:r>
        <w:rPr>
          <w:noProof/>
          <w:szCs w:val="24"/>
          <w:lang w:val="en-IE"/>
        </w:rPr>
        <w:t>Below,</w:t>
      </w:r>
      <w:r w:rsidR="009D336D" w:rsidRPr="0012174E">
        <w:rPr>
          <w:noProof/>
          <w:szCs w:val="24"/>
          <w:lang w:val="en-IE"/>
        </w:rPr>
        <w:t xml:space="preserve"> </w:t>
      </w:r>
      <w:r w:rsidR="00456A1A" w:rsidRPr="0012174E">
        <w:rPr>
          <w:noProof/>
          <w:szCs w:val="24"/>
          <w:lang w:val="en-IE"/>
        </w:rPr>
        <w:t xml:space="preserve">the </w:t>
      </w:r>
      <w:r w:rsidR="0080763C" w:rsidRPr="0012174E">
        <w:rPr>
          <w:noProof/>
          <w:szCs w:val="24"/>
          <w:lang w:val="en-IE"/>
        </w:rPr>
        <w:t>key</w:t>
      </w:r>
      <w:r w:rsidR="00456A1A" w:rsidRPr="0012174E">
        <w:rPr>
          <w:noProof/>
          <w:szCs w:val="24"/>
          <w:lang w:val="en-IE"/>
        </w:rPr>
        <w:t xml:space="preserve"> updates across </w:t>
      </w:r>
      <w:r w:rsidR="0080763C" w:rsidRPr="0012174E">
        <w:rPr>
          <w:noProof/>
          <w:szCs w:val="24"/>
          <w:lang w:val="en-IE"/>
        </w:rPr>
        <w:t>the</w:t>
      </w:r>
      <w:r w:rsidR="00456A1A" w:rsidRPr="0012174E">
        <w:rPr>
          <w:noProof/>
          <w:szCs w:val="24"/>
          <w:lang w:val="en-IE"/>
        </w:rPr>
        <w:t xml:space="preserve"> </w:t>
      </w:r>
      <w:r w:rsidR="00A2727B">
        <w:rPr>
          <w:noProof/>
          <w:szCs w:val="24"/>
          <w:lang w:val="en-IE"/>
        </w:rPr>
        <w:t>G</w:t>
      </w:r>
      <w:r w:rsidR="00456A1A" w:rsidRPr="0012174E">
        <w:rPr>
          <w:noProof/>
          <w:szCs w:val="24"/>
          <w:lang w:val="en-IE"/>
        </w:rPr>
        <w:t xml:space="preserve">uidance </w:t>
      </w:r>
      <w:r w:rsidR="00A2727B">
        <w:rPr>
          <w:noProof/>
          <w:szCs w:val="24"/>
          <w:lang w:val="en-IE"/>
        </w:rPr>
        <w:t>and FAQs</w:t>
      </w:r>
      <w:r w:rsidR="00456A1A" w:rsidRPr="0012174E">
        <w:rPr>
          <w:noProof/>
          <w:szCs w:val="24"/>
          <w:lang w:val="en-IE"/>
        </w:rPr>
        <w:t xml:space="preserve"> </w:t>
      </w:r>
      <w:r w:rsidR="00187B45" w:rsidRPr="0012174E">
        <w:rPr>
          <w:noProof/>
          <w:szCs w:val="24"/>
          <w:lang w:val="en-IE"/>
        </w:rPr>
        <w:t>documents</w:t>
      </w:r>
      <w:r w:rsidR="00EA29ED" w:rsidRPr="0012174E">
        <w:rPr>
          <w:noProof/>
          <w:szCs w:val="24"/>
          <w:lang w:val="en-IE"/>
        </w:rPr>
        <w:t xml:space="preserve"> </w:t>
      </w:r>
      <w:r w:rsidR="00456A1A" w:rsidRPr="0012174E">
        <w:rPr>
          <w:noProof/>
          <w:szCs w:val="24"/>
          <w:lang w:val="en-IE"/>
        </w:rPr>
        <w:t xml:space="preserve">(Section </w:t>
      </w:r>
      <w:r w:rsidR="002A4C8C">
        <w:rPr>
          <w:noProof/>
          <w:szCs w:val="24"/>
          <w:lang w:val="en-IE"/>
        </w:rPr>
        <w:t>4</w:t>
      </w:r>
      <w:r w:rsidR="00456A1A" w:rsidRPr="0012174E">
        <w:rPr>
          <w:noProof/>
          <w:szCs w:val="24"/>
          <w:lang w:val="en-IE"/>
        </w:rPr>
        <w:t xml:space="preserve">.1), </w:t>
      </w:r>
      <w:r w:rsidR="00B8370D">
        <w:rPr>
          <w:noProof/>
          <w:szCs w:val="24"/>
          <w:lang w:val="en-IE"/>
        </w:rPr>
        <w:t>Information</w:t>
      </w:r>
      <w:r w:rsidR="00E2072C" w:rsidRPr="0012174E">
        <w:rPr>
          <w:noProof/>
          <w:szCs w:val="24"/>
          <w:lang w:val="en-IE"/>
        </w:rPr>
        <w:t xml:space="preserve"> </w:t>
      </w:r>
      <w:r w:rsidR="00E2072C">
        <w:rPr>
          <w:noProof/>
          <w:szCs w:val="24"/>
          <w:lang w:val="en-IE"/>
        </w:rPr>
        <w:t>S</w:t>
      </w:r>
      <w:r w:rsidR="00456A1A" w:rsidRPr="0012174E">
        <w:rPr>
          <w:noProof/>
          <w:szCs w:val="24"/>
          <w:lang w:val="en-IE"/>
        </w:rPr>
        <w:t>ystem</w:t>
      </w:r>
      <w:r w:rsidR="00655CE0" w:rsidRPr="0012174E">
        <w:rPr>
          <w:noProof/>
          <w:szCs w:val="24"/>
          <w:lang w:val="en-IE"/>
        </w:rPr>
        <w:t xml:space="preserve"> </w:t>
      </w:r>
      <w:r w:rsidR="00456A1A" w:rsidRPr="0012174E">
        <w:rPr>
          <w:noProof/>
          <w:szCs w:val="24"/>
          <w:lang w:val="en-IE"/>
        </w:rPr>
        <w:t xml:space="preserve">(Section </w:t>
      </w:r>
      <w:r w:rsidR="002A4C8C">
        <w:rPr>
          <w:noProof/>
          <w:szCs w:val="24"/>
          <w:lang w:val="en-IE"/>
        </w:rPr>
        <w:t>4</w:t>
      </w:r>
      <w:r w:rsidR="00456A1A" w:rsidRPr="0012174E">
        <w:rPr>
          <w:noProof/>
          <w:szCs w:val="24"/>
          <w:lang w:val="en-IE"/>
        </w:rPr>
        <w:t>.2)</w:t>
      </w:r>
      <w:r w:rsidR="00B61F41" w:rsidRPr="0012174E">
        <w:rPr>
          <w:noProof/>
          <w:szCs w:val="24"/>
          <w:lang w:val="en-IE"/>
        </w:rPr>
        <w:t>,</w:t>
      </w:r>
      <w:r w:rsidR="00E34609" w:rsidRPr="0012174E">
        <w:rPr>
          <w:noProof/>
          <w:szCs w:val="24"/>
          <w:lang w:val="en-IE"/>
        </w:rPr>
        <w:t xml:space="preserve"> and p</w:t>
      </w:r>
      <w:r w:rsidR="00456A1A" w:rsidRPr="0012174E">
        <w:rPr>
          <w:noProof/>
          <w:szCs w:val="24"/>
          <w:lang w:val="en-IE"/>
        </w:rPr>
        <w:t xml:space="preserve">roduct scope (Section </w:t>
      </w:r>
      <w:r w:rsidR="002A4C8C">
        <w:rPr>
          <w:noProof/>
          <w:szCs w:val="24"/>
          <w:lang w:val="en-IE"/>
        </w:rPr>
        <w:t>4</w:t>
      </w:r>
      <w:r w:rsidR="00456A1A" w:rsidRPr="0012174E">
        <w:rPr>
          <w:noProof/>
          <w:szCs w:val="24"/>
          <w:lang w:val="en-IE"/>
        </w:rPr>
        <w:t>.3)</w:t>
      </w:r>
      <w:r w:rsidR="00B75EEE" w:rsidRPr="0012174E">
        <w:rPr>
          <w:noProof/>
          <w:szCs w:val="24"/>
          <w:lang w:val="en-IE"/>
        </w:rPr>
        <w:t xml:space="preserve"> </w:t>
      </w:r>
      <w:r w:rsidR="005C390E">
        <w:rPr>
          <w:noProof/>
          <w:szCs w:val="24"/>
          <w:lang w:val="en-IE"/>
        </w:rPr>
        <w:t>are presented</w:t>
      </w:r>
      <w:r w:rsidR="00456A1A" w:rsidRPr="0012174E">
        <w:rPr>
          <w:noProof/>
          <w:szCs w:val="24"/>
          <w:lang w:val="en-IE"/>
        </w:rPr>
        <w:t xml:space="preserve">. </w:t>
      </w:r>
      <w:r w:rsidR="00CE30C5">
        <w:rPr>
          <w:noProof/>
          <w:szCs w:val="24"/>
          <w:lang w:val="en-IE"/>
        </w:rPr>
        <w:t>Moreover</w:t>
      </w:r>
      <w:r w:rsidR="00456A1A" w:rsidRPr="0012174E">
        <w:rPr>
          <w:noProof/>
          <w:szCs w:val="24"/>
          <w:lang w:val="en-IE"/>
        </w:rPr>
        <w:t xml:space="preserve">, the chapter introduces a new initiative focused on the establishment of legal and certification repositories (Section </w:t>
      </w:r>
      <w:r w:rsidR="002A4C8C">
        <w:rPr>
          <w:noProof/>
          <w:szCs w:val="24"/>
          <w:lang w:val="en-IE"/>
        </w:rPr>
        <w:t>4</w:t>
      </w:r>
      <w:r w:rsidR="00456A1A" w:rsidRPr="0012174E">
        <w:rPr>
          <w:noProof/>
          <w:szCs w:val="24"/>
          <w:lang w:val="en-IE"/>
        </w:rPr>
        <w:t>.</w:t>
      </w:r>
      <w:r w:rsidR="005F20F3">
        <w:rPr>
          <w:noProof/>
          <w:szCs w:val="24"/>
          <w:lang w:val="en-IE"/>
        </w:rPr>
        <w:t>4</w:t>
      </w:r>
      <w:r w:rsidR="00456A1A" w:rsidRPr="0012174E">
        <w:rPr>
          <w:noProof/>
          <w:szCs w:val="24"/>
          <w:lang w:val="en-IE"/>
        </w:rPr>
        <w:t>).</w:t>
      </w:r>
    </w:p>
    <w:p w14:paraId="35FFF03F" w14:textId="069F42C8" w:rsidR="001A0EBF" w:rsidRPr="0012174E" w:rsidRDefault="007F3567" w:rsidP="0012174E">
      <w:pPr>
        <w:spacing w:after="120"/>
        <w:jc w:val="left"/>
        <w:rPr>
          <w:b/>
          <w:bCs/>
          <w:noProof/>
          <w:szCs w:val="24"/>
        </w:rPr>
      </w:pPr>
      <w:r w:rsidRPr="0012174E">
        <w:rPr>
          <w:b/>
          <w:bCs/>
          <w:noProof/>
          <w:szCs w:val="24"/>
        </w:rPr>
        <w:t>4</w:t>
      </w:r>
      <w:r w:rsidR="001A0EBF" w:rsidRPr="0012174E">
        <w:rPr>
          <w:b/>
          <w:bCs/>
          <w:noProof/>
          <w:szCs w:val="24"/>
        </w:rPr>
        <w:t xml:space="preserve">.1 Guidance </w:t>
      </w:r>
      <w:r w:rsidR="15C12827" w:rsidRPr="0012174E">
        <w:rPr>
          <w:b/>
          <w:bCs/>
          <w:noProof/>
          <w:szCs w:val="24"/>
        </w:rPr>
        <w:t>and FAQs</w:t>
      </w:r>
      <w:r w:rsidR="00EE15BB" w:rsidRPr="0012174E">
        <w:rPr>
          <w:b/>
          <w:bCs/>
          <w:noProof/>
          <w:szCs w:val="24"/>
        </w:rPr>
        <w:t xml:space="preserve"> documents</w:t>
      </w:r>
      <w:r w:rsidR="00B3090E">
        <w:rPr>
          <w:b/>
          <w:bCs/>
          <w:noProof/>
          <w:szCs w:val="24"/>
        </w:rPr>
        <w:t xml:space="preserve"> </w:t>
      </w:r>
      <w:r w:rsidR="00B3090E" w:rsidRPr="00A146F0">
        <w:rPr>
          <w:b/>
          <w:bCs/>
          <w:noProof/>
          <w:szCs w:val="24"/>
        </w:rPr>
        <w:t>to ensure harmoni</w:t>
      </w:r>
      <w:r w:rsidR="00B3090E">
        <w:rPr>
          <w:b/>
          <w:bCs/>
          <w:noProof/>
          <w:szCs w:val="24"/>
        </w:rPr>
        <w:t>s</w:t>
      </w:r>
      <w:r w:rsidR="00B3090E" w:rsidRPr="00A146F0">
        <w:rPr>
          <w:b/>
          <w:bCs/>
          <w:noProof/>
          <w:szCs w:val="24"/>
        </w:rPr>
        <w:t>ed implementation and enforcement</w:t>
      </w:r>
    </w:p>
    <w:p w14:paraId="082F9F53" w14:textId="57A67225" w:rsidR="00B3090E" w:rsidRPr="00B3090E" w:rsidRDefault="00B3090E" w:rsidP="00B3090E">
      <w:pPr>
        <w:pStyle w:val="NormalWeb"/>
        <w:spacing w:after="120"/>
        <w:rPr>
          <w:noProof/>
          <w:lang w:val="en-IE"/>
        </w:rPr>
      </w:pPr>
      <w:r w:rsidRPr="00B3090E">
        <w:rPr>
          <w:noProof/>
          <w:lang w:val="en-IE"/>
        </w:rPr>
        <w:t xml:space="preserve">The Commission </w:t>
      </w:r>
      <w:r w:rsidR="008063B7">
        <w:rPr>
          <w:noProof/>
          <w:lang w:val="en-IE"/>
        </w:rPr>
        <w:t>G</w:t>
      </w:r>
      <w:r w:rsidRPr="00B3090E">
        <w:rPr>
          <w:noProof/>
          <w:lang w:val="en-IE"/>
        </w:rPr>
        <w:t xml:space="preserve">uidance </w:t>
      </w:r>
      <w:r w:rsidR="00E05559">
        <w:rPr>
          <w:noProof/>
          <w:lang w:val="en-IE"/>
        </w:rPr>
        <w:t xml:space="preserve">and FAQs </w:t>
      </w:r>
      <w:r w:rsidRPr="00B3090E">
        <w:rPr>
          <w:noProof/>
          <w:lang w:val="en-IE"/>
        </w:rPr>
        <w:t xml:space="preserve">documents aim to support consistent and proportionate implementation of the Regulation across Member States, ensuring clarity for </w:t>
      </w:r>
      <w:r w:rsidR="00D05432">
        <w:rPr>
          <w:noProof/>
          <w:lang w:val="en-IE"/>
        </w:rPr>
        <w:t>economic actors and competent authorities</w:t>
      </w:r>
      <w:r w:rsidRPr="00B3090E">
        <w:rPr>
          <w:noProof/>
          <w:lang w:val="en-IE"/>
        </w:rPr>
        <w:t xml:space="preserve">. </w:t>
      </w:r>
      <w:r w:rsidR="00D05432">
        <w:rPr>
          <w:noProof/>
          <w:lang w:val="en-IE"/>
        </w:rPr>
        <w:t>Member States are encouraged to take them into consideration</w:t>
      </w:r>
      <w:r w:rsidR="00D05432" w:rsidRPr="00B3090E">
        <w:rPr>
          <w:noProof/>
          <w:lang w:val="en-IE"/>
        </w:rPr>
        <w:t xml:space="preserve"> </w:t>
      </w:r>
      <w:r w:rsidR="00D05432">
        <w:rPr>
          <w:noProof/>
          <w:lang w:val="en-IE"/>
        </w:rPr>
        <w:t>for their e</w:t>
      </w:r>
      <w:r w:rsidRPr="00B3090E">
        <w:rPr>
          <w:noProof/>
          <w:lang w:val="en-IE"/>
        </w:rPr>
        <w:t>nforcement and penalty policies</w:t>
      </w:r>
      <w:r w:rsidR="00D05432" w:rsidRPr="00D05432">
        <w:rPr>
          <w:noProof/>
          <w:lang w:val="en-IE"/>
        </w:rPr>
        <w:t xml:space="preserve"> </w:t>
      </w:r>
      <w:r w:rsidR="00D05432" w:rsidRPr="00B3090E">
        <w:rPr>
          <w:noProof/>
          <w:lang w:val="en-IE"/>
        </w:rPr>
        <w:t>to avoid disproportionate burdens</w:t>
      </w:r>
      <w:r w:rsidRPr="00B3090E">
        <w:rPr>
          <w:noProof/>
          <w:lang w:val="en-IE"/>
        </w:rPr>
        <w:t xml:space="preserve">, particularly </w:t>
      </w:r>
      <w:r w:rsidR="00D05432">
        <w:rPr>
          <w:noProof/>
          <w:lang w:val="en-IE"/>
        </w:rPr>
        <w:t>as regards</w:t>
      </w:r>
      <w:r w:rsidRPr="00B3090E">
        <w:rPr>
          <w:noProof/>
          <w:lang w:val="en-IE"/>
        </w:rPr>
        <w:t xml:space="preserve"> </w:t>
      </w:r>
      <w:r w:rsidR="00D05432" w:rsidRPr="00B3090E">
        <w:rPr>
          <w:noProof/>
          <w:lang w:val="en-IE"/>
        </w:rPr>
        <w:t xml:space="preserve">micro </w:t>
      </w:r>
      <w:r w:rsidR="00D05432">
        <w:rPr>
          <w:noProof/>
          <w:lang w:val="en-IE"/>
        </w:rPr>
        <w:t>or</w:t>
      </w:r>
      <w:r w:rsidR="00D05432" w:rsidRPr="00B3090E">
        <w:rPr>
          <w:noProof/>
          <w:lang w:val="en-IE"/>
        </w:rPr>
        <w:t xml:space="preserve"> small</w:t>
      </w:r>
      <w:r w:rsidR="00D05432">
        <w:rPr>
          <w:noProof/>
          <w:lang w:val="en-IE"/>
        </w:rPr>
        <w:t xml:space="preserve"> primary</w:t>
      </w:r>
      <w:r w:rsidR="00D05432" w:rsidRPr="00B3090E">
        <w:rPr>
          <w:noProof/>
          <w:lang w:val="en-IE"/>
        </w:rPr>
        <w:t xml:space="preserve"> </w:t>
      </w:r>
      <w:r w:rsidR="00D05432">
        <w:rPr>
          <w:noProof/>
          <w:lang w:val="en-IE"/>
        </w:rPr>
        <w:t>operators</w:t>
      </w:r>
      <w:r w:rsidRPr="00B3090E">
        <w:rPr>
          <w:noProof/>
          <w:lang w:val="en-IE"/>
        </w:rPr>
        <w:t xml:space="preserve">. </w:t>
      </w:r>
      <w:r w:rsidR="0025702F" w:rsidRPr="00637B48">
        <w:rPr>
          <w:noProof/>
          <w:lang w:val="en-IE"/>
        </w:rPr>
        <w:t>In particular, in line with the risk-based approach set by the EUDR, Member States are encouraged to focus inspections and enforcement actions on actors with most obligations in terms of due diligence under the EUDR such as those first placing products on the market. For downstream operators and traders, these actions should be proportionate to their obligations, which have been amended in the revised EUDR.</w:t>
      </w:r>
      <w:r w:rsidR="0025702F" w:rsidRPr="4D7758F8">
        <w:rPr>
          <w:noProof/>
          <w:lang w:val="en-IE"/>
        </w:rPr>
        <w:t xml:space="preserve"> </w:t>
      </w:r>
      <w:r w:rsidR="0025702F" w:rsidRPr="00637B48">
        <w:rPr>
          <w:noProof/>
        </w:rPr>
        <w:t>The Commission will continue to work with Member States to ensure convergence of enforcement practices, including where necessary by way of templates and tools.</w:t>
      </w:r>
    </w:p>
    <w:p w14:paraId="75E4F8A8" w14:textId="0C3A0CF6" w:rsidR="00EA2B5C" w:rsidRPr="00975420" w:rsidRDefault="00EA2B5C" w:rsidP="0012174E">
      <w:pPr>
        <w:pStyle w:val="NormalWeb"/>
        <w:spacing w:after="120"/>
        <w:rPr>
          <w:noProof/>
        </w:rPr>
      </w:pPr>
      <w:r w:rsidRPr="0012174E">
        <w:rPr>
          <w:noProof/>
        </w:rPr>
        <w:t>Following the amendment of the EUDR</w:t>
      </w:r>
      <w:r w:rsidR="00FD747B" w:rsidRPr="0012174E">
        <w:rPr>
          <w:noProof/>
        </w:rPr>
        <w:t xml:space="preserve"> in 2025</w:t>
      </w:r>
      <w:r w:rsidRPr="0012174E">
        <w:rPr>
          <w:noProof/>
        </w:rPr>
        <w:t xml:space="preserve">, </w:t>
      </w:r>
      <w:r w:rsidRPr="00975420">
        <w:rPr>
          <w:b/>
          <w:bCs/>
          <w:noProof/>
        </w:rPr>
        <w:t xml:space="preserve">the FAQs and </w:t>
      </w:r>
      <w:r w:rsidR="00B47680" w:rsidRPr="00975420">
        <w:rPr>
          <w:b/>
          <w:bCs/>
          <w:noProof/>
        </w:rPr>
        <w:t>G</w:t>
      </w:r>
      <w:r w:rsidR="00442B2C" w:rsidRPr="00975420">
        <w:rPr>
          <w:b/>
          <w:bCs/>
          <w:noProof/>
        </w:rPr>
        <w:t>uidance</w:t>
      </w:r>
      <w:r w:rsidRPr="00975420">
        <w:rPr>
          <w:b/>
          <w:bCs/>
          <w:noProof/>
        </w:rPr>
        <w:t xml:space="preserve"> document </w:t>
      </w:r>
      <w:r w:rsidR="004B0504">
        <w:rPr>
          <w:b/>
          <w:bCs/>
          <w:noProof/>
        </w:rPr>
        <w:t xml:space="preserve">have </w:t>
      </w:r>
      <w:r w:rsidR="0014544A">
        <w:rPr>
          <w:b/>
          <w:bCs/>
          <w:noProof/>
        </w:rPr>
        <w:t xml:space="preserve">now </w:t>
      </w:r>
      <w:r w:rsidR="004B0504">
        <w:rPr>
          <w:b/>
          <w:bCs/>
          <w:noProof/>
        </w:rPr>
        <w:t>been</w:t>
      </w:r>
      <w:r w:rsidRPr="00975420">
        <w:rPr>
          <w:b/>
          <w:bCs/>
          <w:noProof/>
        </w:rPr>
        <w:t xml:space="preserve"> updated</w:t>
      </w:r>
      <w:r w:rsidRPr="0012174E">
        <w:rPr>
          <w:noProof/>
        </w:rPr>
        <w:t xml:space="preserve">. Alongside the necessary adjustments, the Commission took the opportunity </w:t>
      </w:r>
      <w:r w:rsidR="00E46ADD" w:rsidRPr="0012174E">
        <w:rPr>
          <w:noProof/>
        </w:rPr>
        <w:t xml:space="preserve">to </w:t>
      </w:r>
      <w:r w:rsidR="6540447F" w:rsidRPr="0012174E">
        <w:rPr>
          <w:noProof/>
        </w:rPr>
        <w:t xml:space="preserve">analyse </w:t>
      </w:r>
      <w:r w:rsidR="00F746D7">
        <w:rPr>
          <w:noProof/>
        </w:rPr>
        <w:t xml:space="preserve">stakeholder </w:t>
      </w:r>
      <w:r w:rsidR="00C95390" w:rsidRPr="0012174E">
        <w:rPr>
          <w:noProof/>
        </w:rPr>
        <w:t>input</w:t>
      </w:r>
      <w:r w:rsidR="004072CA" w:rsidRPr="0012174E">
        <w:rPr>
          <w:noProof/>
        </w:rPr>
        <w:t xml:space="preserve"> </w:t>
      </w:r>
      <w:r w:rsidR="1623182C" w:rsidRPr="0012174E">
        <w:rPr>
          <w:noProof/>
        </w:rPr>
        <w:t>on the basis</w:t>
      </w:r>
      <w:r w:rsidR="008202A1" w:rsidRPr="0012174E">
        <w:rPr>
          <w:noProof/>
        </w:rPr>
        <w:t xml:space="preserve"> of </w:t>
      </w:r>
      <w:r w:rsidR="1623182C" w:rsidRPr="0012174E">
        <w:rPr>
          <w:noProof/>
        </w:rPr>
        <w:t>which</w:t>
      </w:r>
      <w:r w:rsidRPr="0012174E">
        <w:rPr>
          <w:noProof/>
        </w:rPr>
        <w:t xml:space="preserve"> several </w:t>
      </w:r>
      <w:r w:rsidR="00B5630B" w:rsidRPr="0012174E">
        <w:rPr>
          <w:noProof/>
        </w:rPr>
        <w:t xml:space="preserve">additional </w:t>
      </w:r>
      <w:r w:rsidRPr="0012174E">
        <w:rPr>
          <w:noProof/>
        </w:rPr>
        <w:t xml:space="preserve">operational </w:t>
      </w:r>
      <w:r w:rsidR="0DB7C477" w:rsidRPr="0012174E">
        <w:rPr>
          <w:noProof/>
        </w:rPr>
        <w:t xml:space="preserve">clarifications </w:t>
      </w:r>
      <w:r w:rsidRPr="0012174E">
        <w:rPr>
          <w:noProof/>
        </w:rPr>
        <w:t xml:space="preserve">were introduced. </w:t>
      </w:r>
      <w:r w:rsidR="573EDD1D" w:rsidRPr="0012174E">
        <w:rPr>
          <w:noProof/>
        </w:rPr>
        <w:t xml:space="preserve">These </w:t>
      </w:r>
      <w:r w:rsidRPr="0012174E">
        <w:rPr>
          <w:noProof/>
        </w:rPr>
        <w:t xml:space="preserve">are grouped into three categories: </w:t>
      </w:r>
      <w:r w:rsidR="54C65CDC" w:rsidRPr="0012174E">
        <w:rPr>
          <w:noProof/>
        </w:rPr>
        <w:t xml:space="preserve">simplifying </w:t>
      </w:r>
      <w:r w:rsidR="352023FD" w:rsidRPr="0012174E">
        <w:rPr>
          <w:noProof/>
        </w:rPr>
        <w:t>clarifications</w:t>
      </w:r>
      <w:r w:rsidRPr="0012174E">
        <w:rPr>
          <w:noProof/>
        </w:rPr>
        <w:t xml:space="preserve"> for the downstream supply chain, </w:t>
      </w:r>
      <w:r w:rsidR="00B5630B" w:rsidRPr="0012174E">
        <w:rPr>
          <w:noProof/>
        </w:rPr>
        <w:t>m</w:t>
      </w:r>
      <w:r w:rsidR="00EE15BB" w:rsidRPr="0012174E">
        <w:rPr>
          <w:noProof/>
        </w:rPr>
        <w:t>icro or</w:t>
      </w:r>
      <w:r w:rsidR="59B78F1F" w:rsidRPr="0012174E">
        <w:rPr>
          <w:noProof/>
        </w:rPr>
        <w:t xml:space="preserve"> </w:t>
      </w:r>
      <w:r w:rsidR="00B5630B" w:rsidRPr="0012174E">
        <w:rPr>
          <w:noProof/>
        </w:rPr>
        <w:t>s</w:t>
      </w:r>
      <w:r w:rsidR="5A12C123" w:rsidRPr="0012174E">
        <w:rPr>
          <w:noProof/>
        </w:rPr>
        <w:t xml:space="preserve">mall </w:t>
      </w:r>
      <w:r w:rsidR="00B5630B" w:rsidRPr="0012174E">
        <w:rPr>
          <w:noProof/>
        </w:rPr>
        <w:t>p</w:t>
      </w:r>
      <w:r w:rsidR="7E213563" w:rsidRPr="0012174E">
        <w:rPr>
          <w:noProof/>
        </w:rPr>
        <w:t xml:space="preserve">rimary </w:t>
      </w:r>
      <w:r w:rsidR="00B5630B" w:rsidRPr="0012174E">
        <w:rPr>
          <w:noProof/>
        </w:rPr>
        <w:t>o</w:t>
      </w:r>
      <w:r w:rsidR="6BD3967F" w:rsidRPr="0012174E">
        <w:rPr>
          <w:noProof/>
        </w:rPr>
        <w:t>perators</w:t>
      </w:r>
      <w:r w:rsidRPr="0012174E">
        <w:rPr>
          <w:noProof/>
        </w:rPr>
        <w:t xml:space="preserve">, and </w:t>
      </w:r>
      <w:r w:rsidRPr="00975420">
        <w:rPr>
          <w:noProof/>
        </w:rPr>
        <w:t xml:space="preserve">for </w:t>
      </w:r>
      <w:r w:rsidR="148CFF7A" w:rsidRPr="00975420">
        <w:rPr>
          <w:noProof/>
        </w:rPr>
        <w:t xml:space="preserve">all operators regarding </w:t>
      </w:r>
      <w:r w:rsidR="00921D0B" w:rsidRPr="00975420">
        <w:rPr>
          <w:noProof/>
        </w:rPr>
        <w:t>legality</w:t>
      </w:r>
      <w:r w:rsidRPr="00975420">
        <w:rPr>
          <w:noProof/>
        </w:rPr>
        <w:t>.</w:t>
      </w:r>
      <w:r w:rsidR="003C0F5A" w:rsidRPr="00975420">
        <w:rPr>
          <w:noProof/>
        </w:rPr>
        <w:t xml:space="preserve"> </w:t>
      </w:r>
      <w:r w:rsidR="00217815" w:rsidRPr="00975420">
        <w:rPr>
          <w:noProof/>
        </w:rPr>
        <w:t>D</w:t>
      </w:r>
      <w:r w:rsidR="003C0F5A" w:rsidRPr="00975420">
        <w:rPr>
          <w:noProof/>
        </w:rPr>
        <w:t xml:space="preserve">etailed explanations are provided in the updated </w:t>
      </w:r>
      <w:r w:rsidR="003D4011" w:rsidRPr="00975420">
        <w:rPr>
          <w:noProof/>
        </w:rPr>
        <w:t>documents;</w:t>
      </w:r>
      <w:r w:rsidR="009B18D8" w:rsidRPr="00975420">
        <w:rPr>
          <w:noProof/>
        </w:rPr>
        <w:t xml:space="preserve"> examples of scenarios are provided in the </w:t>
      </w:r>
      <w:r w:rsidR="003C0F5A" w:rsidRPr="00975420">
        <w:rPr>
          <w:noProof/>
        </w:rPr>
        <w:t>EUDR Supply Chain Infographics</w:t>
      </w:r>
      <w:r w:rsidR="00DD0F0E">
        <w:rPr>
          <w:noProof/>
        </w:rPr>
        <w:t xml:space="preserve"> (</w:t>
      </w:r>
      <w:r w:rsidR="003C0F5A" w:rsidRPr="00975420">
        <w:rPr>
          <w:rStyle w:val="FootnoteReference"/>
          <w:noProof/>
        </w:rPr>
        <w:footnoteReference w:id="36"/>
      </w:r>
      <w:r w:rsidR="00DD0F0E">
        <w:rPr>
          <w:noProof/>
        </w:rPr>
        <w:t>)</w:t>
      </w:r>
      <w:r w:rsidR="003C0F5A" w:rsidRPr="00975420">
        <w:rPr>
          <w:noProof/>
        </w:rPr>
        <w:t>.</w:t>
      </w:r>
    </w:p>
    <w:p w14:paraId="23557B61" w14:textId="628D4CFF" w:rsidR="00C07F42" w:rsidRPr="00975420" w:rsidRDefault="00516AE4" w:rsidP="0012174E">
      <w:pPr>
        <w:spacing w:after="120"/>
        <w:rPr>
          <w:i/>
          <w:iCs/>
          <w:noProof/>
          <w:szCs w:val="24"/>
          <w:lang w:val="en-IE"/>
        </w:rPr>
      </w:pPr>
      <w:r w:rsidRPr="00975420">
        <w:rPr>
          <w:i/>
          <w:iCs/>
          <w:noProof/>
          <w:szCs w:val="24"/>
          <w:lang w:val="en-IE"/>
        </w:rPr>
        <w:t xml:space="preserve">4.1.1 </w:t>
      </w:r>
      <w:r w:rsidR="00A146F0">
        <w:rPr>
          <w:i/>
          <w:iCs/>
          <w:noProof/>
          <w:szCs w:val="24"/>
          <w:lang w:val="en-IE"/>
        </w:rPr>
        <w:t>F</w:t>
      </w:r>
      <w:r w:rsidR="00A146F0" w:rsidRPr="00A146F0">
        <w:rPr>
          <w:i/>
          <w:iCs/>
          <w:noProof/>
          <w:szCs w:val="24"/>
          <w:lang w:val="en-US"/>
        </w:rPr>
        <w:t>urther relief for the downstream supply chain</w:t>
      </w:r>
    </w:p>
    <w:p w14:paraId="67CC40CF" w14:textId="77777777" w:rsidR="00D05432" w:rsidRDefault="00134546" w:rsidP="000A017B">
      <w:pPr>
        <w:pStyle w:val="NormalWeb"/>
        <w:spacing w:after="120"/>
        <w:rPr>
          <w:noProof/>
        </w:rPr>
      </w:pPr>
      <w:r w:rsidRPr="00975420">
        <w:rPr>
          <w:noProof/>
        </w:rPr>
        <w:t xml:space="preserve">The first set of operational </w:t>
      </w:r>
      <w:r w:rsidR="3558C312" w:rsidRPr="00975420">
        <w:rPr>
          <w:noProof/>
        </w:rPr>
        <w:t xml:space="preserve">clarifications </w:t>
      </w:r>
      <w:r w:rsidRPr="00975420">
        <w:rPr>
          <w:noProof/>
        </w:rPr>
        <w:t xml:space="preserve">concerns the </w:t>
      </w:r>
      <w:r w:rsidR="0036480A" w:rsidRPr="00975420">
        <w:rPr>
          <w:noProof/>
        </w:rPr>
        <w:t xml:space="preserve">clearer </w:t>
      </w:r>
      <w:r w:rsidRPr="00975420">
        <w:rPr>
          <w:noProof/>
        </w:rPr>
        <w:t xml:space="preserve">determination of roles in the </w:t>
      </w:r>
      <w:r w:rsidR="000B0066" w:rsidRPr="00975420">
        <w:rPr>
          <w:noProof/>
        </w:rPr>
        <w:t xml:space="preserve">downstream </w:t>
      </w:r>
      <w:r w:rsidRPr="00975420">
        <w:rPr>
          <w:noProof/>
        </w:rPr>
        <w:t>supply chain and clarifications regarding imports and exports</w:t>
      </w:r>
      <w:r w:rsidR="009B4468" w:rsidRPr="00975420">
        <w:rPr>
          <w:noProof/>
        </w:rPr>
        <w:t xml:space="preserve">. </w:t>
      </w:r>
    </w:p>
    <w:p w14:paraId="1AF0B0EA" w14:textId="4946050E" w:rsidR="006850A2" w:rsidRDefault="00D05432" w:rsidP="00D05432">
      <w:pPr>
        <w:spacing w:after="0"/>
        <w:textAlignment w:val="baseline"/>
        <w:rPr>
          <w:noProof/>
        </w:rPr>
      </w:pPr>
      <w:r>
        <w:rPr>
          <w:noProof/>
        </w:rPr>
        <w:t xml:space="preserve">Under the </w:t>
      </w:r>
      <w:r w:rsidR="006850A2">
        <w:rPr>
          <w:noProof/>
        </w:rPr>
        <w:t>revised</w:t>
      </w:r>
      <w:r>
        <w:rPr>
          <w:noProof/>
        </w:rPr>
        <w:t xml:space="preserve"> EUDR, </w:t>
      </w:r>
      <w:r w:rsidRPr="00CD3847">
        <w:rPr>
          <w:b/>
          <w:bCs/>
          <w:noProof/>
        </w:rPr>
        <w:t>downstream actor</w:t>
      </w:r>
      <w:r>
        <w:rPr>
          <w:noProof/>
        </w:rPr>
        <w:t xml:space="preserve"> must </w:t>
      </w:r>
      <w:r w:rsidRPr="002032CD">
        <w:rPr>
          <w:rFonts w:eastAsia="Calibri"/>
          <w:noProof/>
        </w:rPr>
        <w:t xml:space="preserve">collect and keep information </w:t>
      </w:r>
      <w:r w:rsidR="00EA7E31">
        <w:rPr>
          <w:rFonts w:eastAsia="Calibri"/>
          <w:noProof/>
        </w:rPr>
        <w:t xml:space="preserve">(mainly </w:t>
      </w:r>
      <w:r w:rsidR="00EA7E31" w:rsidRPr="00EA7E31">
        <w:rPr>
          <w:rFonts w:eastAsia="Calibri"/>
          <w:noProof/>
        </w:rPr>
        <w:t xml:space="preserve">name, the postal address, </w:t>
      </w:r>
      <w:r w:rsidR="00EA7E31">
        <w:rPr>
          <w:rFonts w:eastAsia="Calibri"/>
          <w:noProof/>
        </w:rPr>
        <w:t xml:space="preserve">and </w:t>
      </w:r>
      <w:r w:rsidR="00EA7E31" w:rsidRPr="00EA7E31">
        <w:rPr>
          <w:rFonts w:eastAsia="Calibri"/>
          <w:noProof/>
        </w:rPr>
        <w:t>email address</w:t>
      </w:r>
      <w:r w:rsidR="00EA7E31">
        <w:rPr>
          <w:rFonts w:eastAsia="Calibri"/>
          <w:noProof/>
        </w:rPr>
        <w:t xml:space="preserve">) </w:t>
      </w:r>
      <w:r w:rsidRPr="002032CD">
        <w:rPr>
          <w:rFonts w:eastAsia="Calibri"/>
          <w:noProof/>
        </w:rPr>
        <w:t>about their direct business partners</w:t>
      </w:r>
      <w:r>
        <w:rPr>
          <w:noProof/>
        </w:rPr>
        <w:t xml:space="preserve">. </w:t>
      </w:r>
      <w:r w:rsidR="006850A2">
        <w:rPr>
          <w:noProof/>
        </w:rPr>
        <w:t xml:space="preserve">This </w:t>
      </w:r>
      <w:r w:rsidR="00A90B7A">
        <w:rPr>
          <w:noProof/>
        </w:rPr>
        <w:t xml:space="preserve">information </w:t>
      </w:r>
      <w:r w:rsidR="00EA7E31">
        <w:rPr>
          <w:noProof/>
        </w:rPr>
        <w:t>is typically included</w:t>
      </w:r>
      <w:r w:rsidR="006850A2">
        <w:rPr>
          <w:noProof/>
        </w:rPr>
        <w:t xml:space="preserve"> </w:t>
      </w:r>
      <w:r w:rsidR="00EA7E31">
        <w:rPr>
          <w:noProof/>
        </w:rPr>
        <w:t>in</w:t>
      </w:r>
      <w:r w:rsidR="006850A2">
        <w:rPr>
          <w:noProof/>
        </w:rPr>
        <w:t xml:space="preserve"> </w:t>
      </w:r>
      <w:r w:rsidR="006850A2" w:rsidRPr="006850A2">
        <w:rPr>
          <w:noProof/>
        </w:rPr>
        <w:t xml:space="preserve">standard </w:t>
      </w:r>
      <w:r w:rsidR="006850A2">
        <w:rPr>
          <w:noProof/>
        </w:rPr>
        <w:t>commercial data such as invoices, that</w:t>
      </w:r>
      <w:r w:rsidR="006850A2" w:rsidRPr="006850A2">
        <w:rPr>
          <w:noProof/>
        </w:rPr>
        <w:t xml:space="preserve"> most downstream operators</w:t>
      </w:r>
      <w:r w:rsidR="006850A2">
        <w:rPr>
          <w:noProof/>
        </w:rPr>
        <w:t xml:space="preserve"> and </w:t>
      </w:r>
      <w:r w:rsidR="006850A2" w:rsidRPr="006850A2">
        <w:rPr>
          <w:noProof/>
        </w:rPr>
        <w:t xml:space="preserve">traders already </w:t>
      </w:r>
      <w:r w:rsidR="006850A2">
        <w:rPr>
          <w:noProof/>
        </w:rPr>
        <w:t>possess as part of routine transactions</w:t>
      </w:r>
      <w:r w:rsidR="00A90B7A">
        <w:rPr>
          <w:noProof/>
        </w:rPr>
        <w:t xml:space="preserve">. </w:t>
      </w:r>
      <w:r w:rsidR="006850A2">
        <w:rPr>
          <w:noProof/>
        </w:rPr>
        <w:t>Th</w:t>
      </w:r>
      <w:r w:rsidR="00EA7E31">
        <w:rPr>
          <w:noProof/>
        </w:rPr>
        <w:t>e</w:t>
      </w:r>
      <w:r w:rsidR="006850A2">
        <w:rPr>
          <w:noProof/>
        </w:rPr>
        <w:t xml:space="preserve"> information is to be exchanged outside of the EUDR system.</w:t>
      </w:r>
    </w:p>
    <w:p w14:paraId="592046AA" w14:textId="77777777" w:rsidR="006850A2" w:rsidRDefault="006850A2" w:rsidP="00D05432">
      <w:pPr>
        <w:spacing w:after="0"/>
        <w:textAlignment w:val="baseline"/>
        <w:rPr>
          <w:noProof/>
        </w:rPr>
      </w:pPr>
    </w:p>
    <w:p w14:paraId="5923BBA0" w14:textId="03E1B2C1" w:rsidR="00D05432" w:rsidRPr="002032CD" w:rsidRDefault="00D05432" w:rsidP="00637B48">
      <w:pPr>
        <w:spacing w:after="120"/>
        <w:textAlignment w:val="baseline"/>
        <w:rPr>
          <w:rFonts w:eastAsia="Calibri"/>
          <w:noProof/>
        </w:rPr>
      </w:pPr>
      <w:r w:rsidRPr="002032CD">
        <w:rPr>
          <w:rFonts w:eastAsia="Calibri"/>
          <w:noProof/>
        </w:rPr>
        <w:t xml:space="preserve">Only </w:t>
      </w:r>
      <w:r w:rsidR="006850A2">
        <w:rPr>
          <w:rFonts w:eastAsia="Calibri"/>
          <w:noProof/>
        </w:rPr>
        <w:t>when</w:t>
      </w:r>
      <w:r w:rsidRPr="002032CD">
        <w:rPr>
          <w:rFonts w:eastAsia="Calibri"/>
          <w:noProof/>
        </w:rPr>
        <w:t xml:space="preserve"> the direct supplier </w:t>
      </w:r>
      <w:r w:rsidR="006850A2">
        <w:rPr>
          <w:rFonts w:eastAsia="Calibri"/>
          <w:noProof/>
        </w:rPr>
        <w:t xml:space="preserve">of the downstream actor </w:t>
      </w:r>
      <w:r w:rsidRPr="002032CD">
        <w:rPr>
          <w:rFonts w:eastAsia="Calibri"/>
          <w:noProof/>
        </w:rPr>
        <w:t>is an (upstream) operator</w:t>
      </w:r>
      <w:r w:rsidR="00A90B7A">
        <w:rPr>
          <w:rFonts w:eastAsia="Calibri"/>
          <w:noProof/>
        </w:rPr>
        <w:t>,</w:t>
      </w:r>
      <w:r w:rsidRPr="002032CD">
        <w:rPr>
          <w:rFonts w:eastAsia="Calibri"/>
          <w:noProof/>
        </w:rPr>
        <w:t xml:space="preserve"> making the downstream operator or trader a so-called </w:t>
      </w:r>
      <w:r w:rsidRPr="00637B48">
        <w:rPr>
          <w:rFonts w:eastAsia="Calibri"/>
          <w:b/>
          <w:bCs/>
          <w:noProof/>
        </w:rPr>
        <w:t>first downstream operator or trader</w:t>
      </w:r>
      <w:r w:rsidRPr="002032CD">
        <w:rPr>
          <w:rFonts w:eastAsia="Calibri"/>
          <w:noProof/>
        </w:rPr>
        <w:t xml:space="preserve">, </w:t>
      </w:r>
      <w:r w:rsidR="006850A2">
        <w:rPr>
          <w:rFonts w:eastAsia="Calibri"/>
          <w:noProof/>
        </w:rPr>
        <w:t>must the</w:t>
      </w:r>
      <w:r w:rsidRPr="002032CD">
        <w:rPr>
          <w:rFonts w:eastAsia="Calibri"/>
          <w:noProof/>
        </w:rPr>
        <w:t xml:space="preserve"> required information also include the due diligence statement reference numbers or declaration identifiers </w:t>
      </w:r>
      <w:r w:rsidR="00C76FCF">
        <w:rPr>
          <w:rFonts w:eastAsia="Calibri"/>
          <w:noProof/>
        </w:rPr>
        <w:t>of</w:t>
      </w:r>
      <w:r w:rsidRPr="002032CD">
        <w:rPr>
          <w:rFonts w:eastAsia="Calibri"/>
          <w:noProof/>
        </w:rPr>
        <w:t xml:space="preserve"> </w:t>
      </w:r>
      <w:r w:rsidR="00A90B7A">
        <w:rPr>
          <w:rFonts w:eastAsia="Calibri"/>
          <w:noProof/>
        </w:rPr>
        <w:t xml:space="preserve">the relevant </w:t>
      </w:r>
      <w:r w:rsidRPr="002032CD">
        <w:rPr>
          <w:rFonts w:eastAsia="Calibri"/>
          <w:noProof/>
        </w:rPr>
        <w:t>products.</w:t>
      </w:r>
    </w:p>
    <w:p w14:paraId="36AE1BF5" w14:textId="22FF98B4" w:rsidR="00A90B7A" w:rsidRPr="004A2880" w:rsidRDefault="009B4468" w:rsidP="000A017B">
      <w:pPr>
        <w:pStyle w:val="NormalWeb"/>
        <w:spacing w:after="120"/>
        <w:rPr>
          <w:noProof/>
          <w:lang w:val="en-IE"/>
        </w:rPr>
      </w:pPr>
      <w:r w:rsidRPr="00975420">
        <w:rPr>
          <w:noProof/>
        </w:rPr>
        <w:t xml:space="preserve">In detail, </w:t>
      </w:r>
      <w:r w:rsidR="008A7FD4" w:rsidRPr="00637B48">
        <w:rPr>
          <w:noProof/>
          <w:szCs w:val="20"/>
        </w:rPr>
        <w:t xml:space="preserve">in order to ensure practical simplification for downstream </w:t>
      </w:r>
      <w:r w:rsidR="008A7FD4" w:rsidRPr="00637B48">
        <w:rPr>
          <w:noProof/>
        </w:rPr>
        <w:t>actors</w:t>
      </w:r>
      <w:r w:rsidR="008A7FD4" w:rsidRPr="00637B48">
        <w:rPr>
          <w:noProof/>
          <w:szCs w:val="20"/>
        </w:rPr>
        <w:t xml:space="preserve">, the new </w:t>
      </w:r>
      <w:r w:rsidR="00AA5D7E">
        <w:rPr>
          <w:noProof/>
          <w:szCs w:val="20"/>
        </w:rPr>
        <w:t>G</w:t>
      </w:r>
      <w:r w:rsidR="008A7FD4" w:rsidRPr="00637B48">
        <w:rPr>
          <w:noProof/>
          <w:szCs w:val="20"/>
        </w:rPr>
        <w:t xml:space="preserve">uidance </w:t>
      </w:r>
      <w:r w:rsidR="00AA5D7E">
        <w:rPr>
          <w:noProof/>
          <w:szCs w:val="20"/>
        </w:rPr>
        <w:t xml:space="preserve">and FAQs </w:t>
      </w:r>
      <w:r w:rsidR="00840C33">
        <w:rPr>
          <w:noProof/>
          <w:szCs w:val="20"/>
        </w:rPr>
        <w:t xml:space="preserve">documents </w:t>
      </w:r>
      <w:r w:rsidR="008A7FD4" w:rsidRPr="00637B48">
        <w:rPr>
          <w:noProof/>
          <w:szCs w:val="20"/>
        </w:rPr>
        <w:t xml:space="preserve">present a pragmatic approach for </w:t>
      </w:r>
      <w:r w:rsidR="008A7FD4" w:rsidRPr="00637B48">
        <w:rPr>
          <w:noProof/>
        </w:rPr>
        <w:t>such actors</w:t>
      </w:r>
      <w:r w:rsidR="008A7FD4" w:rsidRPr="00637B48">
        <w:rPr>
          <w:noProof/>
          <w:szCs w:val="20"/>
        </w:rPr>
        <w:t xml:space="preserve"> to determine whether they are the first downstream operator or not</w:t>
      </w:r>
      <w:r w:rsidR="00CD452F" w:rsidRPr="00975420">
        <w:rPr>
          <w:noProof/>
        </w:rPr>
        <w:t>.</w:t>
      </w:r>
      <w:r w:rsidR="002902C8" w:rsidRPr="00975420">
        <w:rPr>
          <w:noProof/>
        </w:rPr>
        <w:t xml:space="preserve"> </w:t>
      </w:r>
      <w:r w:rsidR="005D3BB5" w:rsidRPr="00975420">
        <w:rPr>
          <w:noProof/>
          <w:lang w:val="en-IE"/>
        </w:rPr>
        <w:t>It is clarified that t</w:t>
      </w:r>
      <w:r w:rsidR="00652607" w:rsidRPr="00975420">
        <w:rPr>
          <w:noProof/>
          <w:lang w:val="en-IE"/>
        </w:rPr>
        <w:t>he</w:t>
      </w:r>
      <w:r w:rsidR="00D76D13" w:rsidRPr="00975420">
        <w:rPr>
          <w:noProof/>
          <w:lang w:val="en-IE"/>
        </w:rPr>
        <w:t xml:space="preserve"> obligation</w:t>
      </w:r>
      <w:r w:rsidR="007B5A9A" w:rsidRPr="00975420">
        <w:rPr>
          <w:noProof/>
          <w:lang w:val="en-IE"/>
        </w:rPr>
        <w:t xml:space="preserve"> </w:t>
      </w:r>
      <w:r w:rsidR="00D76D13" w:rsidRPr="00975420">
        <w:rPr>
          <w:noProof/>
          <w:lang w:val="en-IE"/>
        </w:rPr>
        <w:t>of the</w:t>
      </w:r>
      <w:r w:rsidR="00652607" w:rsidRPr="00975420">
        <w:rPr>
          <w:noProof/>
          <w:lang w:val="en-IE"/>
        </w:rPr>
        <w:t xml:space="preserve"> first downstream supply chain </w:t>
      </w:r>
      <w:r w:rsidR="00D76D13" w:rsidRPr="00975420">
        <w:rPr>
          <w:noProof/>
          <w:lang w:val="en-IE"/>
        </w:rPr>
        <w:t>actor</w:t>
      </w:r>
      <w:r w:rsidR="00AD4706" w:rsidRPr="00975420">
        <w:rPr>
          <w:noProof/>
          <w:lang w:val="en-IE"/>
        </w:rPr>
        <w:t xml:space="preserve"> to collect and </w:t>
      </w:r>
      <w:r w:rsidR="00825F39" w:rsidRPr="00975420">
        <w:rPr>
          <w:noProof/>
          <w:lang w:val="en-IE"/>
        </w:rPr>
        <w:t xml:space="preserve">keep the reference numbers or declaration </w:t>
      </w:r>
      <w:r w:rsidR="00176617" w:rsidRPr="00975420">
        <w:rPr>
          <w:noProof/>
          <w:lang w:val="en-IE"/>
        </w:rPr>
        <w:t>identifiers</w:t>
      </w:r>
      <w:r w:rsidR="3A4424C1" w:rsidRPr="00975420">
        <w:rPr>
          <w:noProof/>
          <w:lang w:val="en-IE"/>
        </w:rPr>
        <w:t xml:space="preserve"> is</w:t>
      </w:r>
      <w:r w:rsidR="009B18D8" w:rsidRPr="00975420">
        <w:rPr>
          <w:noProof/>
          <w:lang w:val="en-IE"/>
        </w:rPr>
        <w:t xml:space="preserve"> a </w:t>
      </w:r>
      <w:r w:rsidR="005361FC" w:rsidRPr="00975420">
        <w:rPr>
          <w:noProof/>
          <w:lang w:val="en-IE"/>
        </w:rPr>
        <w:t xml:space="preserve">passive one - </w:t>
      </w:r>
      <w:r w:rsidR="00534B01" w:rsidRPr="00975420">
        <w:rPr>
          <w:noProof/>
          <w:lang w:val="en-IE"/>
        </w:rPr>
        <w:t xml:space="preserve">the downstream actor </w:t>
      </w:r>
      <w:r w:rsidR="00652607" w:rsidRPr="00975420">
        <w:rPr>
          <w:noProof/>
          <w:lang w:val="en-IE"/>
        </w:rPr>
        <w:t xml:space="preserve">does not need to </w:t>
      </w:r>
      <w:r w:rsidR="00ED06A5" w:rsidRPr="00975420">
        <w:rPr>
          <w:noProof/>
          <w:lang w:val="en-IE"/>
        </w:rPr>
        <w:t xml:space="preserve">investigate or </w:t>
      </w:r>
      <w:r w:rsidR="00652607" w:rsidRPr="00975420">
        <w:rPr>
          <w:noProof/>
          <w:lang w:val="en-IE"/>
        </w:rPr>
        <w:t xml:space="preserve">proactively ask </w:t>
      </w:r>
      <w:r w:rsidR="00ED06A5" w:rsidRPr="00975420">
        <w:rPr>
          <w:noProof/>
          <w:lang w:val="en-IE"/>
        </w:rPr>
        <w:t xml:space="preserve">their supplier </w:t>
      </w:r>
      <w:r w:rsidR="00652607" w:rsidRPr="00975420">
        <w:rPr>
          <w:noProof/>
          <w:lang w:val="en-IE"/>
        </w:rPr>
        <w:t>for the reference number or declaration identifier. The downstream operator or trader, acting in good faith, can presume that their suppliers are not upstream operators if they do not receive reference numbers or declaration identifiers from them.</w:t>
      </w:r>
      <w:r w:rsidR="00652607" w:rsidRPr="004A2880">
        <w:rPr>
          <w:noProof/>
          <w:lang w:val="en-IE"/>
        </w:rPr>
        <w:t xml:space="preserve"> </w:t>
      </w:r>
      <w:r w:rsidR="00A90B7A">
        <w:rPr>
          <w:noProof/>
          <w:lang w:val="en-IE"/>
        </w:rPr>
        <w:t>In</w:t>
      </w:r>
      <w:r w:rsidR="00C76FCF">
        <w:rPr>
          <w:noProof/>
          <w:lang w:val="en-IE"/>
        </w:rPr>
        <w:t xml:space="preserve"> a</w:t>
      </w:r>
      <w:r w:rsidR="00A90B7A">
        <w:rPr>
          <w:noProof/>
          <w:lang w:val="en-IE"/>
        </w:rPr>
        <w:t xml:space="preserve"> </w:t>
      </w:r>
      <w:r w:rsidR="00C76FCF">
        <w:rPr>
          <w:noProof/>
          <w:lang w:val="en-IE"/>
        </w:rPr>
        <w:t>typical retail situation, i.e. where the downstream actor sells their product to a</w:t>
      </w:r>
      <w:r w:rsidR="00D85B4D">
        <w:rPr>
          <w:noProof/>
          <w:lang w:val="en-IE"/>
        </w:rPr>
        <w:t>n</w:t>
      </w:r>
      <w:r w:rsidR="00C76FCF">
        <w:rPr>
          <w:noProof/>
          <w:lang w:val="en-IE"/>
        </w:rPr>
        <w:t xml:space="preserve"> </w:t>
      </w:r>
      <w:r w:rsidR="00D85B4D">
        <w:rPr>
          <w:noProof/>
          <w:lang w:val="en-IE"/>
        </w:rPr>
        <w:t>end user</w:t>
      </w:r>
      <w:r w:rsidR="00A90B7A">
        <w:rPr>
          <w:noProof/>
          <w:lang w:val="en-IE"/>
        </w:rPr>
        <w:t xml:space="preserve">, </w:t>
      </w:r>
      <w:r w:rsidR="00C76FCF">
        <w:rPr>
          <w:noProof/>
          <w:lang w:val="en-IE"/>
        </w:rPr>
        <w:t xml:space="preserve">the downstream actor </w:t>
      </w:r>
      <w:r w:rsidR="00D85B4D">
        <w:rPr>
          <w:noProof/>
          <w:lang w:val="en-IE"/>
        </w:rPr>
        <w:t>has</w:t>
      </w:r>
      <w:r w:rsidR="00C76FCF" w:rsidRPr="00C76FCF">
        <w:rPr>
          <w:noProof/>
        </w:rPr>
        <w:t xml:space="preserve"> no obligation to </w:t>
      </w:r>
      <w:r w:rsidR="00D85B4D">
        <w:rPr>
          <w:noProof/>
        </w:rPr>
        <w:t>collect or keep the</w:t>
      </w:r>
      <w:r w:rsidR="00C76FCF" w:rsidRPr="00C76FCF">
        <w:rPr>
          <w:noProof/>
        </w:rPr>
        <w:t xml:space="preserve"> information</w:t>
      </w:r>
      <w:r w:rsidR="00D85B4D">
        <w:rPr>
          <w:noProof/>
        </w:rPr>
        <w:t xml:space="preserve"> </w:t>
      </w:r>
      <w:r w:rsidR="00EA7E31">
        <w:rPr>
          <w:noProof/>
        </w:rPr>
        <w:t xml:space="preserve">mentioned above </w:t>
      </w:r>
      <w:r w:rsidR="00D85B4D">
        <w:rPr>
          <w:noProof/>
        </w:rPr>
        <w:t>from this end-user</w:t>
      </w:r>
      <w:r w:rsidR="00C76FCF" w:rsidRPr="00C76FCF">
        <w:rPr>
          <w:noProof/>
        </w:rPr>
        <w:t>.</w:t>
      </w:r>
      <w:r w:rsidR="00A90B7A">
        <w:rPr>
          <w:noProof/>
          <w:lang w:val="en-IE"/>
        </w:rPr>
        <w:t xml:space="preserve"> </w:t>
      </w:r>
      <w:r w:rsidR="009062CD" w:rsidRPr="00637B48">
        <w:rPr>
          <w:noProof/>
          <w:szCs w:val="20"/>
          <w:lang w:val="en-IE"/>
        </w:rPr>
        <w:t>Lastly, while d</w:t>
      </w:r>
      <w:r w:rsidR="009062CD" w:rsidRPr="00637B48">
        <w:rPr>
          <w:noProof/>
          <w:szCs w:val="20"/>
        </w:rPr>
        <w:t xml:space="preserve">ownstream </w:t>
      </w:r>
      <w:r w:rsidR="009062CD" w:rsidRPr="00637B48">
        <w:rPr>
          <w:noProof/>
        </w:rPr>
        <w:t>actors</w:t>
      </w:r>
      <w:r w:rsidR="009062CD" w:rsidRPr="00637B48">
        <w:rPr>
          <w:noProof/>
          <w:szCs w:val="20"/>
        </w:rPr>
        <w:t xml:space="preserve"> have an obligation to inform the authorities</w:t>
      </w:r>
      <w:r w:rsidR="009062CD" w:rsidRPr="00637B48">
        <w:rPr>
          <w:noProof/>
        </w:rPr>
        <w:t xml:space="preserve"> </w:t>
      </w:r>
      <w:r w:rsidR="009062CD" w:rsidRPr="00637B48">
        <w:rPr>
          <w:noProof/>
          <w:szCs w:val="20"/>
        </w:rPr>
        <w:t xml:space="preserve">in case of </w:t>
      </w:r>
      <w:r w:rsidR="009062CD" w:rsidRPr="00637B48">
        <w:rPr>
          <w:noProof/>
        </w:rPr>
        <w:t>information pointing to non-compliance, including substantiated concerns</w:t>
      </w:r>
      <w:r w:rsidR="009062CD" w:rsidRPr="00637B48">
        <w:rPr>
          <w:noProof/>
          <w:szCs w:val="20"/>
        </w:rPr>
        <w:t xml:space="preserve">, this is a purely reactive obligation and does not entail active obligations to inquire for </w:t>
      </w:r>
      <w:r w:rsidR="009062CD" w:rsidRPr="00637B48">
        <w:rPr>
          <w:noProof/>
        </w:rPr>
        <w:t xml:space="preserve">such </w:t>
      </w:r>
      <w:r w:rsidR="009062CD" w:rsidRPr="00637B48">
        <w:rPr>
          <w:noProof/>
          <w:szCs w:val="20"/>
        </w:rPr>
        <w:t>information along the supply chain.</w:t>
      </w:r>
      <w:r w:rsidR="009062CD" w:rsidRPr="009062CD">
        <w:rPr>
          <w:noProof/>
        </w:rPr>
        <w:t xml:space="preserve"> </w:t>
      </w:r>
      <w:r w:rsidR="009062CD" w:rsidRPr="00637B48">
        <w:rPr>
          <w:noProof/>
          <w:szCs w:val="20"/>
          <w:lang w:val="en-IE"/>
        </w:rPr>
        <w:t>Moreover</w:t>
      </w:r>
      <w:r w:rsidR="009062CD" w:rsidRPr="009062CD">
        <w:rPr>
          <w:noProof/>
        </w:rPr>
        <w:t xml:space="preserve">, </w:t>
      </w:r>
      <w:r w:rsidR="009062CD" w:rsidRPr="00637B48">
        <w:rPr>
          <w:noProof/>
        </w:rPr>
        <w:t>t</w:t>
      </w:r>
      <w:r w:rsidR="009062CD" w:rsidRPr="00637B48">
        <w:rPr>
          <w:noProof/>
          <w:szCs w:val="20"/>
        </w:rPr>
        <w:t xml:space="preserve">he situation of downstream </w:t>
      </w:r>
      <w:r w:rsidR="009062CD" w:rsidRPr="00637B48">
        <w:rPr>
          <w:noProof/>
        </w:rPr>
        <w:t>actors</w:t>
      </w:r>
      <w:r w:rsidR="009062CD" w:rsidRPr="00637B48">
        <w:rPr>
          <w:noProof/>
          <w:szCs w:val="20"/>
        </w:rPr>
        <w:t xml:space="preserve"> is also to be taken into account in Member States’ enforcement policy (see introduction to section 4.1 above).</w:t>
      </w:r>
      <w:r w:rsidR="009062CD">
        <w:rPr>
          <w:noProof/>
        </w:rPr>
        <w:t xml:space="preserve">  </w:t>
      </w:r>
    </w:p>
    <w:p w14:paraId="4E757308" w14:textId="74C8704C" w:rsidR="00DA2A5A" w:rsidRDefault="005017A1" w:rsidP="0012174E">
      <w:pPr>
        <w:pStyle w:val="NormalWeb"/>
        <w:spacing w:after="120"/>
        <w:rPr>
          <w:noProof/>
        </w:rPr>
      </w:pPr>
      <w:r w:rsidRPr="004A2880">
        <w:rPr>
          <w:noProof/>
          <w:lang w:val="en-IE"/>
        </w:rPr>
        <w:t>In terms of re-imports,</w:t>
      </w:r>
      <w:r w:rsidRPr="0012174E">
        <w:rPr>
          <w:noProof/>
          <w:lang w:val="en-IE"/>
        </w:rPr>
        <w:t xml:space="preserve"> </w:t>
      </w:r>
      <w:r w:rsidR="00335FC0" w:rsidRPr="0012174E">
        <w:rPr>
          <w:noProof/>
          <w:lang w:val="en-IE"/>
        </w:rPr>
        <w:t xml:space="preserve">the FAQs clarify that </w:t>
      </w:r>
      <w:r w:rsidR="00702E1A" w:rsidRPr="0012174E">
        <w:rPr>
          <w:noProof/>
        </w:rPr>
        <w:t>r</w:t>
      </w:r>
      <w:r w:rsidR="00DA2A5A" w:rsidRPr="0012174E">
        <w:rPr>
          <w:noProof/>
        </w:rPr>
        <w:t>e-import</w:t>
      </w:r>
      <w:r w:rsidR="00973899" w:rsidRPr="0012174E">
        <w:rPr>
          <w:noProof/>
        </w:rPr>
        <w:t>ing</w:t>
      </w:r>
      <w:r w:rsidR="00976857" w:rsidRPr="0012174E">
        <w:rPr>
          <w:noProof/>
        </w:rPr>
        <w:t xml:space="preserve"> products </w:t>
      </w:r>
      <w:r w:rsidR="00335FC0" w:rsidRPr="0012174E">
        <w:rPr>
          <w:noProof/>
        </w:rPr>
        <w:t xml:space="preserve">is </w:t>
      </w:r>
      <w:r w:rsidR="00306B89" w:rsidRPr="0012174E">
        <w:rPr>
          <w:noProof/>
        </w:rPr>
        <w:t xml:space="preserve">a downstream </w:t>
      </w:r>
      <w:r w:rsidR="00D00EDF" w:rsidRPr="0012174E">
        <w:rPr>
          <w:noProof/>
        </w:rPr>
        <w:t>activity</w:t>
      </w:r>
      <w:r w:rsidR="00335FC0" w:rsidRPr="0012174E">
        <w:rPr>
          <w:noProof/>
        </w:rPr>
        <w:t>.</w:t>
      </w:r>
      <w:r w:rsidR="00976857" w:rsidRPr="0012174E">
        <w:rPr>
          <w:noProof/>
        </w:rPr>
        <w:t xml:space="preserve"> </w:t>
      </w:r>
      <w:r w:rsidR="00DA2A5A" w:rsidRPr="0012174E">
        <w:rPr>
          <w:noProof/>
        </w:rPr>
        <w:t xml:space="preserve">If the importer can </w:t>
      </w:r>
      <w:r w:rsidR="001070C7" w:rsidRPr="0012174E">
        <w:rPr>
          <w:noProof/>
        </w:rPr>
        <w:t>provide evidence</w:t>
      </w:r>
      <w:r w:rsidR="00DA2A5A" w:rsidRPr="0012174E">
        <w:rPr>
          <w:noProof/>
        </w:rPr>
        <w:t xml:space="preserve"> that the products being placed on the EU market have already been placed on the EU market previously or are derived from products previously placed on the EU market</w:t>
      </w:r>
      <w:r w:rsidR="00DC1499" w:rsidRPr="0012174E">
        <w:rPr>
          <w:noProof/>
        </w:rPr>
        <w:t>,</w:t>
      </w:r>
      <w:r w:rsidR="00DA2A5A" w:rsidRPr="0012174E">
        <w:rPr>
          <w:noProof/>
        </w:rPr>
        <w:t xml:space="preserve"> the importer is considered a downstream operator. At customs, the </w:t>
      </w:r>
      <w:r w:rsidR="4C92F018" w:rsidRPr="0012174E">
        <w:rPr>
          <w:noProof/>
        </w:rPr>
        <w:t>“</w:t>
      </w:r>
      <w:r w:rsidR="00DA2A5A" w:rsidRPr="0012174E">
        <w:rPr>
          <w:noProof/>
        </w:rPr>
        <w:t>re-importer</w:t>
      </w:r>
      <w:r w:rsidR="3053B406" w:rsidRPr="0012174E">
        <w:rPr>
          <w:noProof/>
        </w:rPr>
        <w:t>”</w:t>
      </w:r>
      <w:r w:rsidR="00DA2A5A" w:rsidRPr="0012174E">
        <w:rPr>
          <w:noProof/>
        </w:rPr>
        <w:t xml:space="preserve"> can make use of a conventional reference number.</w:t>
      </w:r>
    </w:p>
    <w:p w14:paraId="72F5D0EF" w14:textId="56D41007" w:rsidR="002E4384" w:rsidRDefault="009C6195" w:rsidP="0012174E">
      <w:pPr>
        <w:pStyle w:val="NormalWeb"/>
        <w:spacing w:after="120"/>
        <w:rPr>
          <w:noProof/>
        </w:rPr>
      </w:pPr>
      <w:r>
        <w:rPr>
          <w:noProof/>
        </w:rPr>
        <w:t>Non-SME downstream actors have</w:t>
      </w:r>
      <w:r w:rsidR="00EA7E31">
        <w:rPr>
          <w:noProof/>
        </w:rPr>
        <w:t xml:space="preserve"> the</w:t>
      </w:r>
      <w:r>
        <w:rPr>
          <w:noProof/>
        </w:rPr>
        <w:t xml:space="preserve"> obligation to act upon information indicating possible non-compliance, including substantiated concern. The</w:t>
      </w:r>
      <w:r w:rsidR="00AE5B2A">
        <w:rPr>
          <w:noProof/>
        </w:rPr>
        <w:t xml:space="preserve"> FAQs and</w:t>
      </w:r>
      <w:r>
        <w:rPr>
          <w:noProof/>
        </w:rPr>
        <w:t xml:space="preserve"> </w:t>
      </w:r>
      <w:r w:rsidR="00AE5B2A">
        <w:rPr>
          <w:noProof/>
        </w:rPr>
        <w:t>G</w:t>
      </w:r>
      <w:r>
        <w:rPr>
          <w:noProof/>
        </w:rPr>
        <w:t xml:space="preserve">uidance documents contain </w:t>
      </w:r>
      <w:r w:rsidR="00E53590">
        <w:rPr>
          <w:noProof/>
        </w:rPr>
        <w:t>clarifications</w:t>
      </w:r>
      <w:r>
        <w:rPr>
          <w:noProof/>
        </w:rPr>
        <w:t xml:space="preserve"> </w:t>
      </w:r>
      <w:r w:rsidR="006C4B20" w:rsidRPr="00975420">
        <w:rPr>
          <w:noProof/>
        </w:rPr>
        <w:t xml:space="preserve">on </w:t>
      </w:r>
      <w:r w:rsidR="002E4384" w:rsidRPr="00975420">
        <w:rPr>
          <w:noProof/>
        </w:rPr>
        <w:t xml:space="preserve">how </w:t>
      </w:r>
      <w:r>
        <w:rPr>
          <w:noProof/>
        </w:rPr>
        <w:t>these actor</w:t>
      </w:r>
      <w:r w:rsidR="00ED56C1" w:rsidRPr="00975420">
        <w:rPr>
          <w:noProof/>
        </w:rPr>
        <w:t>s can verify that due diligence was exercised</w:t>
      </w:r>
      <w:r w:rsidR="009A5F73" w:rsidRPr="00975420">
        <w:rPr>
          <w:noProof/>
        </w:rPr>
        <w:t xml:space="preserve"> in case of substantiated concerns</w:t>
      </w:r>
      <w:r w:rsidR="008B392C" w:rsidRPr="00975420">
        <w:rPr>
          <w:noProof/>
        </w:rPr>
        <w:t xml:space="preserve">, offering different </w:t>
      </w:r>
      <w:r>
        <w:rPr>
          <w:noProof/>
        </w:rPr>
        <w:t>possibilities</w:t>
      </w:r>
      <w:r w:rsidRPr="00975420">
        <w:rPr>
          <w:noProof/>
        </w:rPr>
        <w:t xml:space="preserve"> </w:t>
      </w:r>
      <w:r w:rsidR="007D58CA" w:rsidRPr="00975420">
        <w:rPr>
          <w:noProof/>
        </w:rPr>
        <w:t>depending on the information obtained.</w:t>
      </w:r>
    </w:p>
    <w:p w14:paraId="315F9088" w14:textId="6DDE4F4F" w:rsidR="00DF282A" w:rsidRPr="0012174E" w:rsidRDefault="00DF282A" w:rsidP="0012174E">
      <w:pPr>
        <w:pStyle w:val="NormalWeb"/>
        <w:spacing w:after="120"/>
        <w:rPr>
          <w:noProof/>
        </w:rPr>
      </w:pPr>
      <w:r>
        <w:rPr>
          <w:noProof/>
        </w:rPr>
        <w:t>The FAQs further clarify cases in which one and the same company has a “dual role”</w:t>
      </w:r>
      <w:r w:rsidR="00EA7E31">
        <w:rPr>
          <w:noProof/>
        </w:rPr>
        <w:t xml:space="preserve">, </w:t>
      </w:r>
      <w:r>
        <w:rPr>
          <w:noProof/>
        </w:rPr>
        <w:t xml:space="preserve">for example </w:t>
      </w:r>
      <w:r w:rsidR="00EA7E31">
        <w:rPr>
          <w:noProof/>
        </w:rPr>
        <w:t>when</w:t>
      </w:r>
      <w:r>
        <w:rPr>
          <w:noProof/>
        </w:rPr>
        <w:t xml:space="preserve"> </w:t>
      </w:r>
      <w:r w:rsidR="00EA7E31">
        <w:rPr>
          <w:noProof/>
        </w:rPr>
        <w:t xml:space="preserve">the company </w:t>
      </w:r>
      <w:r>
        <w:rPr>
          <w:noProof/>
        </w:rPr>
        <w:t>import</w:t>
      </w:r>
      <w:r w:rsidR="00EA7E31">
        <w:rPr>
          <w:noProof/>
        </w:rPr>
        <w:t>s</w:t>
      </w:r>
      <w:r>
        <w:rPr>
          <w:noProof/>
        </w:rPr>
        <w:t xml:space="preserve"> a relevant product and</w:t>
      </w:r>
      <w:r w:rsidR="00EA7E31">
        <w:rPr>
          <w:noProof/>
        </w:rPr>
        <w:t xml:space="preserve"> then</w:t>
      </w:r>
      <w:r>
        <w:rPr>
          <w:noProof/>
        </w:rPr>
        <w:t xml:space="preserve"> transform</w:t>
      </w:r>
      <w:r w:rsidR="00EA7E31">
        <w:rPr>
          <w:noProof/>
        </w:rPr>
        <w:t>s it</w:t>
      </w:r>
      <w:r>
        <w:rPr>
          <w:noProof/>
        </w:rPr>
        <w:t xml:space="preserve"> before selling </w:t>
      </w:r>
      <w:r w:rsidR="04513A50">
        <w:rPr>
          <w:noProof/>
        </w:rPr>
        <w:t>i</w:t>
      </w:r>
      <w:r>
        <w:rPr>
          <w:noProof/>
        </w:rPr>
        <w:t>t</w:t>
      </w:r>
      <w:r w:rsidR="00EA7E31">
        <w:rPr>
          <w:noProof/>
        </w:rPr>
        <w:t xml:space="preserve"> in the EU market</w:t>
      </w:r>
      <w:r w:rsidR="00DF7D35">
        <w:rPr>
          <w:noProof/>
        </w:rPr>
        <w:t xml:space="preserve">. </w:t>
      </w:r>
      <w:r w:rsidR="003B7A59">
        <w:rPr>
          <w:noProof/>
        </w:rPr>
        <w:t>S</w:t>
      </w:r>
      <w:r w:rsidR="00DF7D35">
        <w:rPr>
          <w:noProof/>
        </w:rPr>
        <w:t xml:space="preserve">uch company would be both </w:t>
      </w:r>
      <w:r w:rsidR="007B42E5">
        <w:rPr>
          <w:noProof/>
        </w:rPr>
        <w:t xml:space="preserve">an operator and a </w:t>
      </w:r>
      <w:r w:rsidR="002E4384">
        <w:rPr>
          <w:noProof/>
        </w:rPr>
        <w:t xml:space="preserve">(first) </w:t>
      </w:r>
      <w:r w:rsidR="007B42E5">
        <w:rPr>
          <w:noProof/>
        </w:rPr>
        <w:t>downstream operator.</w:t>
      </w:r>
    </w:p>
    <w:p w14:paraId="3AFFA614" w14:textId="04958AD8" w:rsidR="00605EF6" w:rsidRPr="0012174E" w:rsidRDefault="00513E57" w:rsidP="0012174E">
      <w:pPr>
        <w:pStyle w:val="NormalWeb"/>
        <w:spacing w:after="120"/>
        <w:rPr>
          <w:noProof/>
        </w:rPr>
      </w:pPr>
      <w:r w:rsidRPr="0012174E">
        <w:rPr>
          <w:noProof/>
        </w:rPr>
        <w:t>Additionally,</w:t>
      </w:r>
      <w:r w:rsidR="00306B89" w:rsidRPr="0012174E">
        <w:rPr>
          <w:noProof/>
        </w:rPr>
        <w:t xml:space="preserve"> </w:t>
      </w:r>
      <w:r w:rsidR="00EA7E31">
        <w:rPr>
          <w:noProof/>
        </w:rPr>
        <w:t xml:space="preserve">the FAQs explain that </w:t>
      </w:r>
      <w:r w:rsidR="007E3D6B" w:rsidRPr="0012174E">
        <w:rPr>
          <w:noProof/>
        </w:rPr>
        <w:t>d</w:t>
      </w:r>
      <w:r w:rsidR="00605EF6" w:rsidRPr="0012174E">
        <w:rPr>
          <w:noProof/>
        </w:rPr>
        <w:t xml:space="preserve">ownstream operators </w:t>
      </w:r>
      <w:r w:rsidR="002B593E" w:rsidRPr="0012174E">
        <w:rPr>
          <w:noProof/>
        </w:rPr>
        <w:t>export</w:t>
      </w:r>
      <w:r w:rsidR="006C3F23">
        <w:rPr>
          <w:noProof/>
        </w:rPr>
        <w:t>ing</w:t>
      </w:r>
      <w:r w:rsidR="002B593E" w:rsidRPr="0012174E">
        <w:rPr>
          <w:noProof/>
        </w:rPr>
        <w:t xml:space="preserve"> products </w:t>
      </w:r>
      <w:r w:rsidR="009979BA" w:rsidRPr="0012174E">
        <w:rPr>
          <w:noProof/>
        </w:rPr>
        <w:t>that are covered by an existing due diligence or simplified declaration</w:t>
      </w:r>
      <w:r w:rsidR="00DC5EA7" w:rsidRPr="0012174E">
        <w:rPr>
          <w:noProof/>
        </w:rPr>
        <w:t xml:space="preserve"> are exempted from </w:t>
      </w:r>
      <w:r w:rsidR="00C31F35" w:rsidRPr="0012174E">
        <w:rPr>
          <w:noProof/>
        </w:rPr>
        <w:t>the obligation to submit</w:t>
      </w:r>
      <w:r w:rsidR="00D63D00" w:rsidRPr="0012174E">
        <w:rPr>
          <w:noProof/>
        </w:rPr>
        <w:t xml:space="preserve"> </w:t>
      </w:r>
      <w:r w:rsidR="001F304A">
        <w:rPr>
          <w:noProof/>
        </w:rPr>
        <w:t xml:space="preserve">a </w:t>
      </w:r>
      <w:r w:rsidR="00424E71" w:rsidRPr="0012174E">
        <w:rPr>
          <w:noProof/>
        </w:rPr>
        <w:t>reference number or declaration identifier to customs authorities at export</w:t>
      </w:r>
      <w:r w:rsidR="00EA3FCA" w:rsidRPr="0012174E">
        <w:rPr>
          <w:noProof/>
        </w:rPr>
        <w:t>. I</w:t>
      </w:r>
      <w:r w:rsidR="00424E71" w:rsidRPr="0012174E">
        <w:rPr>
          <w:noProof/>
        </w:rPr>
        <w:t xml:space="preserve">nstead, a dedicated TARIC </w:t>
      </w:r>
      <w:r w:rsidR="00B75800">
        <w:rPr>
          <w:noProof/>
        </w:rPr>
        <w:t>certificate</w:t>
      </w:r>
      <w:r w:rsidR="00B75800" w:rsidRPr="0012174E">
        <w:rPr>
          <w:noProof/>
        </w:rPr>
        <w:t xml:space="preserve"> </w:t>
      </w:r>
      <w:r w:rsidR="00424E71" w:rsidRPr="0012174E">
        <w:rPr>
          <w:noProof/>
        </w:rPr>
        <w:t xml:space="preserve">code can be used. </w:t>
      </w:r>
    </w:p>
    <w:p w14:paraId="13038A7D" w14:textId="5E978497" w:rsidR="00605EF6" w:rsidRPr="0012174E" w:rsidRDefault="00F32F1F" w:rsidP="0012174E">
      <w:pPr>
        <w:pStyle w:val="NormalWeb"/>
        <w:spacing w:after="120"/>
        <w:rPr>
          <w:noProof/>
        </w:rPr>
      </w:pPr>
      <w:r>
        <w:rPr>
          <w:noProof/>
        </w:rPr>
        <w:t>Finally, it</w:t>
      </w:r>
      <w:r w:rsidR="00BA5FB8">
        <w:rPr>
          <w:noProof/>
        </w:rPr>
        <w:t xml:space="preserve"> is clarified that in</w:t>
      </w:r>
      <w:r w:rsidR="00F116D3">
        <w:rPr>
          <w:noProof/>
        </w:rPr>
        <w:t xml:space="preserve"> the</w:t>
      </w:r>
      <w:r w:rsidR="00BA5FB8">
        <w:rPr>
          <w:noProof/>
        </w:rPr>
        <w:t xml:space="preserve"> </w:t>
      </w:r>
      <w:r w:rsidR="00BA5FB8" w:rsidRPr="004A2880">
        <w:rPr>
          <w:noProof/>
        </w:rPr>
        <w:t>c</w:t>
      </w:r>
      <w:r w:rsidR="00EE7146" w:rsidRPr="004A2880">
        <w:rPr>
          <w:noProof/>
        </w:rPr>
        <w:t>attle supply chain</w:t>
      </w:r>
      <w:r w:rsidR="0097180A">
        <w:rPr>
          <w:noProof/>
        </w:rPr>
        <w:t xml:space="preserve">, the </w:t>
      </w:r>
      <w:r w:rsidR="25666E20">
        <w:rPr>
          <w:noProof/>
        </w:rPr>
        <w:t xml:space="preserve">first natural or legal person </w:t>
      </w:r>
      <w:r w:rsidR="0097180A">
        <w:rPr>
          <w:noProof/>
        </w:rPr>
        <w:t>placing live cattle on the EU market</w:t>
      </w:r>
      <w:r w:rsidR="00B911A6">
        <w:rPr>
          <w:noProof/>
        </w:rPr>
        <w:t xml:space="preserve"> is </w:t>
      </w:r>
      <w:r w:rsidR="00EA7E31">
        <w:rPr>
          <w:noProof/>
        </w:rPr>
        <w:t>the (upstream)</w:t>
      </w:r>
      <w:r w:rsidR="00B911A6">
        <w:rPr>
          <w:noProof/>
        </w:rPr>
        <w:t xml:space="preserve"> operator</w:t>
      </w:r>
      <w:r w:rsidR="00F525A6">
        <w:rPr>
          <w:noProof/>
        </w:rPr>
        <w:t xml:space="preserve">. All subsequent </w:t>
      </w:r>
      <w:r w:rsidR="42817116">
        <w:rPr>
          <w:noProof/>
        </w:rPr>
        <w:t>sellers</w:t>
      </w:r>
      <w:r w:rsidR="00F525A6">
        <w:rPr>
          <w:noProof/>
        </w:rPr>
        <w:t xml:space="preserve"> of live cattle are traders</w:t>
      </w:r>
      <w:r w:rsidR="00F17C99">
        <w:rPr>
          <w:noProof/>
        </w:rPr>
        <w:t xml:space="preserve"> and do not have </w:t>
      </w:r>
      <w:r w:rsidR="00EA4321">
        <w:rPr>
          <w:noProof/>
        </w:rPr>
        <w:t>to carry out due diligence or submit a due diligence statement</w:t>
      </w:r>
      <w:r w:rsidR="007123D2">
        <w:rPr>
          <w:noProof/>
        </w:rPr>
        <w:t xml:space="preserve"> or simplified declaration.</w:t>
      </w:r>
    </w:p>
    <w:p w14:paraId="37171CE7" w14:textId="2077B449" w:rsidR="00761DE1" w:rsidRPr="0012174E" w:rsidRDefault="00516AE4" w:rsidP="00637B48">
      <w:pPr>
        <w:pStyle w:val="NormalWeb"/>
        <w:tabs>
          <w:tab w:val="left" w:pos="7035"/>
        </w:tabs>
        <w:spacing w:after="120"/>
        <w:rPr>
          <w:i/>
          <w:iCs/>
          <w:noProof/>
        </w:rPr>
      </w:pPr>
      <w:r w:rsidRPr="0012174E">
        <w:rPr>
          <w:i/>
          <w:iCs/>
          <w:noProof/>
        </w:rPr>
        <w:t xml:space="preserve">4.1.2 </w:t>
      </w:r>
      <w:r w:rsidR="00A376A6">
        <w:rPr>
          <w:i/>
          <w:iCs/>
          <w:noProof/>
          <w:lang w:val="en-IE"/>
        </w:rPr>
        <w:t>F</w:t>
      </w:r>
      <w:r w:rsidR="00A376A6" w:rsidRPr="00A146F0">
        <w:rPr>
          <w:i/>
          <w:iCs/>
          <w:noProof/>
          <w:lang w:val="en-US"/>
        </w:rPr>
        <w:t xml:space="preserve">urther relief </w:t>
      </w:r>
      <w:r w:rsidR="00A376A6">
        <w:rPr>
          <w:i/>
          <w:iCs/>
          <w:noProof/>
          <w:lang w:val="en-US"/>
        </w:rPr>
        <w:t xml:space="preserve">for </w:t>
      </w:r>
      <w:r w:rsidR="009B5BE7" w:rsidRPr="0012174E">
        <w:rPr>
          <w:i/>
          <w:iCs/>
          <w:noProof/>
        </w:rPr>
        <w:t xml:space="preserve">Micro </w:t>
      </w:r>
      <w:r w:rsidR="005648A2" w:rsidRPr="0012174E">
        <w:rPr>
          <w:i/>
          <w:iCs/>
          <w:noProof/>
        </w:rPr>
        <w:t>or</w:t>
      </w:r>
      <w:r w:rsidR="6C321CBE" w:rsidRPr="0012174E">
        <w:rPr>
          <w:i/>
          <w:iCs/>
          <w:noProof/>
        </w:rPr>
        <w:t xml:space="preserve"> </w:t>
      </w:r>
      <w:r w:rsidR="00761DE1" w:rsidRPr="0012174E">
        <w:rPr>
          <w:i/>
          <w:iCs/>
          <w:noProof/>
        </w:rPr>
        <w:t>S</w:t>
      </w:r>
      <w:r w:rsidR="1A6F911B" w:rsidRPr="0012174E">
        <w:rPr>
          <w:i/>
          <w:iCs/>
          <w:noProof/>
        </w:rPr>
        <w:t xml:space="preserve">mall </w:t>
      </w:r>
      <w:r w:rsidR="00761DE1" w:rsidRPr="0012174E">
        <w:rPr>
          <w:i/>
          <w:iCs/>
          <w:noProof/>
        </w:rPr>
        <w:t>P</w:t>
      </w:r>
      <w:r w:rsidR="3F421870" w:rsidRPr="0012174E">
        <w:rPr>
          <w:i/>
          <w:iCs/>
          <w:noProof/>
        </w:rPr>
        <w:t xml:space="preserve">rimary </w:t>
      </w:r>
      <w:r w:rsidR="00761DE1" w:rsidRPr="0012174E">
        <w:rPr>
          <w:i/>
          <w:iCs/>
          <w:noProof/>
        </w:rPr>
        <w:t>O</w:t>
      </w:r>
      <w:r w:rsidR="4587E5FA" w:rsidRPr="0012174E">
        <w:rPr>
          <w:i/>
          <w:iCs/>
          <w:noProof/>
        </w:rPr>
        <w:t>perators</w:t>
      </w:r>
      <w:r w:rsidR="00EA7E31">
        <w:rPr>
          <w:i/>
          <w:iCs/>
          <w:noProof/>
        </w:rPr>
        <w:t xml:space="preserve"> and declarations by authorised representatives</w:t>
      </w:r>
    </w:p>
    <w:p w14:paraId="14D1ADE5" w14:textId="5B62F3E0" w:rsidR="0075030C" w:rsidRPr="00637B48" w:rsidRDefault="0075030C" w:rsidP="0015133F">
      <w:pPr>
        <w:pStyle w:val="Body"/>
        <w:spacing w:after="120" w:line="240" w:lineRule="auto"/>
        <w:jc w:val="both"/>
        <w:rPr>
          <w:rFonts w:ascii="Times New Roman" w:hAnsi="Times New Roman" w:cs="Times New Roman"/>
          <w:noProof/>
          <w:color w:val="auto"/>
          <w:sz w:val="24"/>
          <w:szCs w:val="24"/>
          <w:lang w:val="en-US"/>
        </w:rPr>
      </w:pPr>
      <w:r w:rsidRPr="00637B48">
        <w:rPr>
          <w:rFonts w:ascii="Times New Roman" w:hAnsi="Times New Roman" w:cs="Times New Roman"/>
          <w:noProof/>
          <w:color w:val="auto"/>
          <w:sz w:val="24"/>
          <w:szCs w:val="24"/>
          <w:lang w:val="en-US"/>
        </w:rPr>
        <w:t xml:space="preserve">Micro or small primary operators are subject to a </w:t>
      </w:r>
      <w:r w:rsidR="00CE30C5">
        <w:rPr>
          <w:rFonts w:ascii="Times New Roman" w:hAnsi="Times New Roman" w:cs="Times New Roman"/>
          <w:noProof/>
          <w:color w:val="auto"/>
          <w:sz w:val="24"/>
          <w:szCs w:val="24"/>
          <w:lang w:val="en-US"/>
        </w:rPr>
        <w:t xml:space="preserve">very </w:t>
      </w:r>
      <w:r w:rsidRPr="00637B48">
        <w:rPr>
          <w:rFonts w:ascii="Times New Roman" w:hAnsi="Times New Roman" w:cs="Times New Roman"/>
          <w:noProof/>
          <w:color w:val="auto"/>
          <w:sz w:val="24"/>
          <w:szCs w:val="24"/>
          <w:lang w:val="en-US"/>
        </w:rPr>
        <w:t>simplified regime. Specifically, instead of the obligation to submit a due diligence statement</w:t>
      </w:r>
      <w:r w:rsidR="00A80AB8" w:rsidRPr="00637B48">
        <w:rPr>
          <w:rFonts w:ascii="Times New Roman" w:hAnsi="Times New Roman" w:cs="Times New Roman"/>
          <w:noProof/>
          <w:color w:val="auto"/>
          <w:sz w:val="24"/>
          <w:szCs w:val="24"/>
          <w:lang w:val="en-US"/>
        </w:rPr>
        <w:t xml:space="preserve"> to the information system</w:t>
      </w:r>
      <w:r w:rsidRPr="00637B48">
        <w:rPr>
          <w:rFonts w:ascii="Times New Roman" w:hAnsi="Times New Roman" w:cs="Times New Roman"/>
          <w:noProof/>
          <w:color w:val="auto"/>
          <w:sz w:val="24"/>
          <w:szCs w:val="24"/>
          <w:lang w:val="en-US"/>
        </w:rPr>
        <w:t xml:space="preserve">, they are only required to submit a one-time simplified declaration to the EUDR information system. They also may use postal address instead of geolocation provided that it clearly corresponds to the geographic location of the plots of land or, in the case of cattle, </w:t>
      </w:r>
      <w:r w:rsidR="00CE30C5">
        <w:rPr>
          <w:rFonts w:ascii="Times New Roman" w:hAnsi="Times New Roman" w:cs="Times New Roman"/>
          <w:noProof/>
          <w:color w:val="auto"/>
          <w:sz w:val="24"/>
          <w:szCs w:val="24"/>
          <w:lang w:val="en-US"/>
        </w:rPr>
        <w:t xml:space="preserve">of the </w:t>
      </w:r>
      <w:r w:rsidRPr="00637B48">
        <w:rPr>
          <w:rFonts w:ascii="Times New Roman" w:hAnsi="Times New Roman" w:cs="Times New Roman"/>
          <w:noProof/>
          <w:color w:val="auto"/>
          <w:sz w:val="24"/>
          <w:szCs w:val="24"/>
          <w:lang w:val="en-US"/>
        </w:rPr>
        <w:t>establishment concerned.</w:t>
      </w:r>
    </w:p>
    <w:p w14:paraId="09396953" w14:textId="432533BA" w:rsidR="00415CE7" w:rsidRPr="0021237E" w:rsidRDefault="00CE30C5" w:rsidP="0012174E">
      <w:pPr>
        <w:pStyle w:val="NormalWeb"/>
        <w:spacing w:after="120"/>
        <w:rPr>
          <w:noProof/>
        </w:rPr>
      </w:pPr>
      <w:r>
        <w:rPr>
          <w:noProof/>
        </w:rPr>
        <w:t>A</w:t>
      </w:r>
      <w:r w:rsidRPr="0012174E">
        <w:rPr>
          <w:noProof/>
        </w:rPr>
        <w:t xml:space="preserve"> </w:t>
      </w:r>
      <w:r w:rsidR="00EF34D4" w:rsidRPr="0012174E">
        <w:rPr>
          <w:noProof/>
        </w:rPr>
        <w:t xml:space="preserve">set of operational </w:t>
      </w:r>
      <w:r w:rsidR="0AB62204" w:rsidRPr="0012174E">
        <w:rPr>
          <w:noProof/>
        </w:rPr>
        <w:t>clarifications</w:t>
      </w:r>
      <w:r w:rsidR="00EF34D4" w:rsidRPr="0012174E">
        <w:rPr>
          <w:noProof/>
        </w:rPr>
        <w:t xml:space="preserve"> for </w:t>
      </w:r>
      <w:r w:rsidR="00EA7E31">
        <w:rPr>
          <w:noProof/>
        </w:rPr>
        <w:t xml:space="preserve">micro or small primary operators </w:t>
      </w:r>
      <w:r>
        <w:rPr>
          <w:noProof/>
        </w:rPr>
        <w:t>clarifies</w:t>
      </w:r>
      <w:r w:rsidR="00EF34D4" w:rsidRPr="004A2880">
        <w:rPr>
          <w:noProof/>
        </w:rPr>
        <w:t xml:space="preserve"> </w:t>
      </w:r>
      <w:r w:rsidR="00080A53" w:rsidRPr="004A2880">
        <w:rPr>
          <w:noProof/>
        </w:rPr>
        <w:t xml:space="preserve">which </w:t>
      </w:r>
      <w:r w:rsidR="00EF34D4" w:rsidRPr="004A2880">
        <w:rPr>
          <w:noProof/>
        </w:rPr>
        <w:t xml:space="preserve">companies qualify and </w:t>
      </w:r>
      <w:r w:rsidR="00080A53" w:rsidRPr="004A2880">
        <w:rPr>
          <w:noProof/>
        </w:rPr>
        <w:t>benefit from a</w:t>
      </w:r>
      <w:r w:rsidR="00253485" w:rsidRPr="004A2880">
        <w:rPr>
          <w:noProof/>
        </w:rPr>
        <w:t xml:space="preserve"> simplified declaration. In detail, the </w:t>
      </w:r>
      <w:r w:rsidR="001B67AF">
        <w:rPr>
          <w:noProof/>
        </w:rPr>
        <w:t>FAQs</w:t>
      </w:r>
      <w:r w:rsidR="00253485" w:rsidRPr="004A2880">
        <w:rPr>
          <w:noProof/>
        </w:rPr>
        <w:t xml:space="preserve"> </w:t>
      </w:r>
      <w:r w:rsidR="00F93B0F" w:rsidRPr="004A2880">
        <w:rPr>
          <w:noProof/>
        </w:rPr>
        <w:t>clarif</w:t>
      </w:r>
      <w:r w:rsidR="001B67AF">
        <w:rPr>
          <w:noProof/>
        </w:rPr>
        <w:t>y</w:t>
      </w:r>
      <w:r w:rsidR="00F93B0F" w:rsidRPr="004A2880">
        <w:rPr>
          <w:noProof/>
        </w:rPr>
        <w:t xml:space="preserve"> </w:t>
      </w:r>
      <w:r w:rsidR="00FE5F31" w:rsidRPr="004A2880">
        <w:rPr>
          <w:noProof/>
        </w:rPr>
        <w:t xml:space="preserve">that </w:t>
      </w:r>
      <w:r>
        <w:rPr>
          <w:noProof/>
        </w:rPr>
        <w:t xml:space="preserve">even </w:t>
      </w:r>
      <w:r w:rsidR="00225440" w:rsidRPr="004A2880">
        <w:rPr>
          <w:noProof/>
        </w:rPr>
        <w:t xml:space="preserve">a larger company may qualify as a </w:t>
      </w:r>
      <w:bookmarkStart w:id="3" w:name="_Hlk227773525"/>
      <w:r w:rsidR="00EA7E31">
        <w:rPr>
          <w:noProof/>
        </w:rPr>
        <w:t>micro or small primary operator</w:t>
      </w:r>
      <w:bookmarkEnd w:id="3"/>
      <w:r w:rsidR="0075030C">
        <w:rPr>
          <w:noProof/>
        </w:rPr>
        <w:t xml:space="preserve"> </w:t>
      </w:r>
      <w:r w:rsidR="00225440" w:rsidRPr="004A2880">
        <w:rPr>
          <w:noProof/>
        </w:rPr>
        <w:t xml:space="preserve">if it can demonstrate </w:t>
      </w:r>
      <w:r w:rsidR="00225440" w:rsidRPr="0021237E">
        <w:rPr>
          <w:noProof/>
        </w:rPr>
        <w:t xml:space="preserve">that the business segment engaged in activities related to relevant commodities and products meets the </w:t>
      </w:r>
      <w:r w:rsidR="00EA7E31">
        <w:rPr>
          <w:noProof/>
        </w:rPr>
        <w:t xml:space="preserve">micro or small primary operator </w:t>
      </w:r>
      <w:r w:rsidR="00225440" w:rsidRPr="0021237E">
        <w:rPr>
          <w:noProof/>
        </w:rPr>
        <w:t xml:space="preserve">criteria. </w:t>
      </w:r>
      <w:r w:rsidR="00CC1939" w:rsidRPr="0021237E">
        <w:rPr>
          <w:noProof/>
        </w:rPr>
        <w:t>The clarifications also include explanations on the use of postal address as an alternative to geolocation.</w:t>
      </w:r>
      <w:r w:rsidR="00A376A6">
        <w:rPr>
          <w:noProof/>
        </w:rPr>
        <w:t xml:space="preserve"> Notably, it is explained that </w:t>
      </w:r>
      <w:r w:rsidR="00616FCB">
        <w:rPr>
          <w:noProof/>
        </w:rPr>
        <w:t>beyond the direct postal address, as an additional simple option</w:t>
      </w:r>
      <w:r w:rsidR="00882015">
        <w:rPr>
          <w:noProof/>
        </w:rPr>
        <w:t>,</w:t>
      </w:r>
      <w:r w:rsidR="00616FCB">
        <w:rPr>
          <w:noProof/>
        </w:rPr>
        <w:t xml:space="preserve"> </w:t>
      </w:r>
      <w:r w:rsidR="00A376A6" w:rsidRPr="00A376A6">
        <w:rPr>
          <w:noProof/>
        </w:rPr>
        <w:t xml:space="preserve">cadastral information or an equivalent allowing the identification of the plot of land or establishment </w:t>
      </w:r>
      <w:r w:rsidR="00A376A6">
        <w:rPr>
          <w:noProof/>
        </w:rPr>
        <w:t>can be used instead of geolocation</w:t>
      </w:r>
      <w:r w:rsidR="00A376A6" w:rsidRPr="00A376A6">
        <w:rPr>
          <w:noProof/>
        </w:rPr>
        <w:t>.</w:t>
      </w:r>
    </w:p>
    <w:p w14:paraId="65CE514F" w14:textId="68BD82A1" w:rsidR="00606611" w:rsidRPr="0021237E" w:rsidRDefault="00EB18FE" w:rsidP="0012174E">
      <w:pPr>
        <w:pStyle w:val="NormalWeb"/>
        <w:spacing w:after="120"/>
        <w:rPr>
          <w:noProof/>
        </w:rPr>
      </w:pPr>
      <w:r w:rsidRPr="0021237E">
        <w:rPr>
          <w:noProof/>
        </w:rPr>
        <w:t xml:space="preserve">Additionally, </w:t>
      </w:r>
      <w:r w:rsidR="009D4291" w:rsidRPr="0021237E">
        <w:rPr>
          <w:noProof/>
        </w:rPr>
        <w:t xml:space="preserve">the FAQs specify that </w:t>
      </w:r>
      <w:r w:rsidR="0075030C">
        <w:rPr>
          <w:noProof/>
        </w:rPr>
        <w:t xml:space="preserve">it </w:t>
      </w:r>
      <w:r w:rsidR="0075030C" w:rsidRPr="0021237E">
        <w:rPr>
          <w:noProof/>
        </w:rPr>
        <w:t xml:space="preserve">is </w:t>
      </w:r>
      <w:r w:rsidR="00743B82">
        <w:rPr>
          <w:noProof/>
        </w:rPr>
        <w:t>not needed to update the simplified declaration if the annual production quantity of the relevant product changes</w:t>
      </w:r>
      <w:r w:rsidR="009D4291" w:rsidRPr="0021237E">
        <w:rPr>
          <w:noProof/>
        </w:rPr>
        <w:t xml:space="preserve">. </w:t>
      </w:r>
      <w:r w:rsidR="77E452C3" w:rsidRPr="0021237E">
        <w:rPr>
          <w:noProof/>
        </w:rPr>
        <w:t xml:space="preserve">If harvesting and placing on the market happen irregularly (for example, only once every ten years), </w:t>
      </w:r>
      <w:r w:rsidR="00AD13B2" w:rsidRPr="0021237E">
        <w:rPr>
          <w:noProof/>
        </w:rPr>
        <w:t xml:space="preserve">the </w:t>
      </w:r>
      <w:r w:rsidR="00EA7E31">
        <w:rPr>
          <w:noProof/>
        </w:rPr>
        <w:t xml:space="preserve">micro or small primary operators </w:t>
      </w:r>
      <w:r w:rsidR="00AD13B2" w:rsidRPr="0021237E">
        <w:rPr>
          <w:noProof/>
        </w:rPr>
        <w:t>can</w:t>
      </w:r>
      <w:r w:rsidR="0009423E" w:rsidRPr="0021237E">
        <w:rPr>
          <w:noProof/>
        </w:rPr>
        <w:t>,</w:t>
      </w:r>
      <w:r w:rsidR="00AD13B2" w:rsidRPr="0021237E">
        <w:rPr>
          <w:noProof/>
        </w:rPr>
        <w:t xml:space="preserve"> in their simplified declarations</w:t>
      </w:r>
      <w:r w:rsidR="0009423E" w:rsidRPr="0021237E">
        <w:rPr>
          <w:noProof/>
        </w:rPr>
        <w:t>,</w:t>
      </w:r>
      <w:r w:rsidR="00AD13B2" w:rsidRPr="0021237E">
        <w:rPr>
          <w:noProof/>
        </w:rPr>
        <w:t xml:space="preserve"> count </w:t>
      </w:r>
      <w:r w:rsidR="77E452C3" w:rsidRPr="0021237E">
        <w:rPr>
          <w:noProof/>
        </w:rPr>
        <w:t>only the years in which products are actually placed on the market into the estimate. I</w:t>
      </w:r>
      <w:r w:rsidR="73E5C35B" w:rsidRPr="0021237E">
        <w:rPr>
          <w:noProof/>
        </w:rPr>
        <w:t xml:space="preserve">n case of a </w:t>
      </w:r>
      <w:r w:rsidR="73E5C35B" w:rsidRPr="0021237E">
        <w:rPr>
          <w:rFonts w:eastAsia="Arial"/>
          <w:noProof/>
          <w:color w:val="000000" w:themeColor="text1"/>
        </w:rPr>
        <w:t xml:space="preserve">multi-year harvest plan, the annual estimate can </w:t>
      </w:r>
      <w:r w:rsidR="5A68AB4D" w:rsidRPr="0021237E">
        <w:rPr>
          <w:rFonts w:eastAsia="Arial"/>
          <w:noProof/>
          <w:color w:val="000000" w:themeColor="text1"/>
        </w:rPr>
        <w:t xml:space="preserve">alternatively </w:t>
      </w:r>
      <w:r w:rsidR="73E5C35B" w:rsidRPr="0021237E">
        <w:rPr>
          <w:rFonts w:eastAsia="Arial"/>
          <w:noProof/>
          <w:color w:val="000000" w:themeColor="text1"/>
        </w:rPr>
        <w:t>be the highest annual estimate to be harvested under the plan.</w:t>
      </w:r>
      <w:r w:rsidR="00B712F7" w:rsidRPr="0021237E">
        <w:rPr>
          <w:noProof/>
        </w:rPr>
        <w:t xml:space="preserve"> </w:t>
      </w:r>
    </w:p>
    <w:p w14:paraId="1DEDB61A" w14:textId="51E81591" w:rsidR="00C0563C" w:rsidRDefault="00743B82" w:rsidP="0012174E">
      <w:pPr>
        <w:pStyle w:val="NormalWeb"/>
        <w:spacing w:after="120"/>
        <w:rPr>
          <w:noProof/>
        </w:rPr>
      </w:pPr>
      <w:r>
        <w:rPr>
          <w:noProof/>
          <w:lang w:val="en-IE"/>
        </w:rPr>
        <w:t>M</w:t>
      </w:r>
      <w:r w:rsidR="00BB4B3C" w:rsidRPr="0021237E">
        <w:rPr>
          <w:noProof/>
        </w:rPr>
        <w:t xml:space="preserve">icro or small primary operators </w:t>
      </w:r>
      <w:r>
        <w:rPr>
          <w:noProof/>
        </w:rPr>
        <w:t xml:space="preserve">have the possibility </w:t>
      </w:r>
      <w:r w:rsidR="00E93D3A" w:rsidRPr="0021237E">
        <w:rPr>
          <w:noProof/>
        </w:rPr>
        <w:t>to</w:t>
      </w:r>
      <w:r w:rsidR="00BB4B3C" w:rsidRPr="0021237E">
        <w:rPr>
          <w:noProof/>
        </w:rPr>
        <w:t xml:space="preserve"> </w:t>
      </w:r>
      <w:r w:rsidR="00CE30C5">
        <w:rPr>
          <w:noProof/>
        </w:rPr>
        <w:t>use</w:t>
      </w:r>
      <w:r w:rsidR="00CE30C5" w:rsidRPr="0021237E">
        <w:rPr>
          <w:noProof/>
        </w:rPr>
        <w:t xml:space="preserve"> </w:t>
      </w:r>
      <w:r w:rsidR="00BB4B3C" w:rsidRPr="0021237E">
        <w:rPr>
          <w:noProof/>
        </w:rPr>
        <w:t xml:space="preserve">authorised representatives (such </w:t>
      </w:r>
      <w:r w:rsidR="00BB4B3C" w:rsidRPr="009024AA">
        <w:rPr>
          <w:noProof/>
        </w:rPr>
        <w:t>as</w:t>
      </w:r>
      <w:r w:rsidR="00330B43" w:rsidRPr="009024AA">
        <w:rPr>
          <w:noProof/>
        </w:rPr>
        <w:t xml:space="preserve"> </w:t>
      </w:r>
      <w:r w:rsidR="00A40918" w:rsidRPr="009024AA">
        <w:rPr>
          <w:noProof/>
        </w:rPr>
        <w:t>national or</w:t>
      </w:r>
      <w:r w:rsidR="00A40918">
        <w:rPr>
          <w:noProof/>
        </w:rPr>
        <w:t xml:space="preserve"> </w:t>
      </w:r>
      <w:r w:rsidR="00330B43">
        <w:rPr>
          <w:noProof/>
        </w:rPr>
        <w:t>regional government bodies,</w:t>
      </w:r>
      <w:r w:rsidR="00BB4B3C" w:rsidRPr="0021237E">
        <w:rPr>
          <w:noProof/>
        </w:rPr>
        <w:t xml:space="preserve"> associations or cooperatives</w:t>
      </w:r>
      <w:r w:rsidR="00330B43">
        <w:rPr>
          <w:noProof/>
        </w:rPr>
        <w:t>/product groups</w:t>
      </w:r>
      <w:r w:rsidR="00BB4B3C" w:rsidRPr="0021237E">
        <w:rPr>
          <w:noProof/>
        </w:rPr>
        <w:t>) to submit data on their behalf</w:t>
      </w:r>
      <w:r>
        <w:rPr>
          <w:noProof/>
        </w:rPr>
        <w:t>. When</w:t>
      </w:r>
      <w:r w:rsidRPr="00743B82">
        <w:rPr>
          <w:noProof/>
        </w:rPr>
        <w:t xml:space="preserve"> the cooperative itself produces relevant products which it places on the EU market (for example in the case of sales of standing timber</w:t>
      </w:r>
      <w:r>
        <w:rPr>
          <w:noProof/>
        </w:rPr>
        <w:t>),</w:t>
      </w:r>
      <w:r w:rsidRPr="00743B82">
        <w:rPr>
          <w:noProof/>
        </w:rPr>
        <w:t xml:space="preserve"> it may qualify as an operator under </w:t>
      </w:r>
      <w:r>
        <w:rPr>
          <w:noProof/>
        </w:rPr>
        <w:t xml:space="preserve">the </w:t>
      </w:r>
      <w:r w:rsidRPr="00743B82">
        <w:rPr>
          <w:noProof/>
        </w:rPr>
        <w:t xml:space="preserve">EUDR. </w:t>
      </w:r>
      <w:r>
        <w:rPr>
          <w:noProof/>
        </w:rPr>
        <w:t>In such cases</w:t>
      </w:r>
      <w:r w:rsidRPr="00743B82">
        <w:rPr>
          <w:noProof/>
        </w:rPr>
        <w:t xml:space="preserve">, the cooperative, rather than its members, can submit a single </w:t>
      </w:r>
      <w:r>
        <w:rPr>
          <w:noProof/>
        </w:rPr>
        <w:t>due diligence statement</w:t>
      </w:r>
      <w:r w:rsidRPr="00743B82">
        <w:rPr>
          <w:noProof/>
        </w:rPr>
        <w:t xml:space="preserve">, or, in case the cooperative meets the definition of </w:t>
      </w:r>
      <w:r>
        <w:rPr>
          <w:noProof/>
        </w:rPr>
        <w:t>micro or small primary declaration</w:t>
      </w:r>
      <w:r w:rsidRPr="00743B82">
        <w:rPr>
          <w:noProof/>
        </w:rPr>
        <w:t xml:space="preserve">, a single simplified declaration. </w:t>
      </w:r>
    </w:p>
    <w:p w14:paraId="638ACDEA" w14:textId="37FE0D3E" w:rsidR="0017094B" w:rsidRPr="0012174E" w:rsidRDefault="00743B82" w:rsidP="0012174E">
      <w:pPr>
        <w:pStyle w:val="NormalWeb"/>
        <w:spacing w:after="120"/>
        <w:rPr>
          <w:noProof/>
        </w:rPr>
      </w:pPr>
      <w:r>
        <w:rPr>
          <w:noProof/>
        </w:rPr>
        <w:t xml:space="preserve">In addition, </w:t>
      </w:r>
      <w:r w:rsidR="000839CE" w:rsidRPr="0021237E">
        <w:rPr>
          <w:noProof/>
          <w:lang w:val="en-IE"/>
        </w:rPr>
        <w:t xml:space="preserve">the Commission is promoting the submission of data available in national databases </w:t>
      </w:r>
      <w:r w:rsidR="00554CAE" w:rsidRPr="0021237E">
        <w:rPr>
          <w:noProof/>
          <w:lang w:val="en-IE"/>
        </w:rPr>
        <w:t xml:space="preserve">on behalf of the </w:t>
      </w:r>
      <w:r w:rsidR="00EA7E31">
        <w:rPr>
          <w:noProof/>
        </w:rPr>
        <w:t xml:space="preserve">micro or small primary operators </w:t>
      </w:r>
      <w:r w:rsidR="000839CE" w:rsidRPr="0021237E">
        <w:rPr>
          <w:noProof/>
          <w:lang w:val="en-IE"/>
        </w:rPr>
        <w:t>and is assisting Member States in fully utilising the simplifications introduced under Article 4a(4).</w:t>
      </w:r>
      <w:r w:rsidR="000839CE">
        <w:rPr>
          <w:noProof/>
          <w:lang w:val="en-IE"/>
        </w:rPr>
        <w:t xml:space="preserve"> </w:t>
      </w:r>
      <w:r w:rsidR="00EA4B8F">
        <w:rPr>
          <w:noProof/>
          <w:lang w:val="en-IE"/>
        </w:rPr>
        <w:t>Farmer and forest cooperatives and other associations can be considered operators or micro or small primary operators, depending on the actual role they play in supply chains, specifically when they place the relevant products on the market themselves. This depends on the arrangements between farmers, foresters and associations, and on the national laws regulating those arrangements.</w:t>
      </w:r>
    </w:p>
    <w:p w14:paraId="68137B35" w14:textId="480ADAB7" w:rsidR="00516AE4" w:rsidRPr="0012174E" w:rsidRDefault="00516AE4" w:rsidP="0012174E">
      <w:pPr>
        <w:pStyle w:val="NormalWeb"/>
        <w:spacing w:after="120"/>
        <w:rPr>
          <w:i/>
          <w:iCs/>
          <w:noProof/>
        </w:rPr>
      </w:pPr>
      <w:r w:rsidRPr="0012174E">
        <w:rPr>
          <w:i/>
          <w:iCs/>
          <w:noProof/>
        </w:rPr>
        <w:t>4.1.</w:t>
      </w:r>
      <w:r w:rsidR="00EC5C31" w:rsidRPr="0012174E">
        <w:rPr>
          <w:i/>
          <w:iCs/>
          <w:noProof/>
        </w:rPr>
        <w:t>3</w:t>
      </w:r>
      <w:r w:rsidR="00795B81" w:rsidRPr="0012174E">
        <w:rPr>
          <w:i/>
          <w:iCs/>
          <w:noProof/>
        </w:rPr>
        <w:t xml:space="preserve"> </w:t>
      </w:r>
      <w:r w:rsidR="00FC35BA">
        <w:rPr>
          <w:i/>
          <w:iCs/>
          <w:noProof/>
        </w:rPr>
        <w:t>Simplifications of d</w:t>
      </w:r>
      <w:r w:rsidR="008070AC">
        <w:rPr>
          <w:i/>
          <w:iCs/>
          <w:noProof/>
        </w:rPr>
        <w:t>ue diligence obligations</w:t>
      </w:r>
      <w:r w:rsidR="00C05C47">
        <w:rPr>
          <w:i/>
          <w:iCs/>
          <w:noProof/>
        </w:rPr>
        <w:t>,</w:t>
      </w:r>
      <w:r w:rsidR="008070AC" w:rsidRPr="0012174E">
        <w:rPr>
          <w:i/>
          <w:iCs/>
          <w:noProof/>
        </w:rPr>
        <w:t xml:space="preserve"> </w:t>
      </w:r>
      <w:r w:rsidR="00C05C47">
        <w:rPr>
          <w:i/>
          <w:iCs/>
          <w:noProof/>
        </w:rPr>
        <w:t>in particular</w:t>
      </w:r>
      <w:r w:rsidR="00C05C47" w:rsidRPr="00601970">
        <w:rPr>
          <w:i/>
          <w:iCs/>
          <w:noProof/>
        </w:rPr>
        <w:t xml:space="preserve"> for trade with low</w:t>
      </w:r>
      <w:r w:rsidR="00C05C47">
        <w:rPr>
          <w:i/>
          <w:iCs/>
          <w:noProof/>
        </w:rPr>
        <w:t>-</w:t>
      </w:r>
      <w:r w:rsidR="00C05C47" w:rsidRPr="00601970">
        <w:rPr>
          <w:i/>
          <w:iCs/>
          <w:noProof/>
        </w:rPr>
        <w:t>risk countries</w:t>
      </w:r>
    </w:p>
    <w:p w14:paraId="1D8047BD" w14:textId="4BE1013F" w:rsidR="0036794F" w:rsidRPr="006A5E32" w:rsidRDefault="00ED4672" w:rsidP="0012174E">
      <w:pPr>
        <w:pStyle w:val="NormalWeb"/>
        <w:spacing w:after="120"/>
        <w:rPr>
          <w:i/>
          <w:iCs/>
          <w:noProof/>
        </w:rPr>
      </w:pPr>
      <w:r>
        <w:rPr>
          <w:noProof/>
        </w:rPr>
        <w:t>I</w:t>
      </w:r>
      <w:r w:rsidR="2C4B2A10" w:rsidRPr="0012174E">
        <w:rPr>
          <w:noProof/>
        </w:rPr>
        <w:t>n response</w:t>
      </w:r>
      <w:r w:rsidR="00176617" w:rsidRPr="0012174E">
        <w:rPr>
          <w:noProof/>
        </w:rPr>
        <w:t xml:space="preserve"> to </w:t>
      </w:r>
      <w:r w:rsidR="6036D3B1" w:rsidRPr="0012174E">
        <w:rPr>
          <w:noProof/>
        </w:rPr>
        <w:t>calls for clarifications</w:t>
      </w:r>
      <w:r w:rsidR="2C4B2A10" w:rsidRPr="0012174E">
        <w:rPr>
          <w:noProof/>
        </w:rPr>
        <w:t xml:space="preserve"> </w:t>
      </w:r>
      <w:r w:rsidR="7069911E" w:rsidRPr="0012174E">
        <w:rPr>
          <w:noProof/>
        </w:rPr>
        <w:t xml:space="preserve">on </w:t>
      </w:r>
      <w:r w:rsidR="7069911E" w:rsidRPr="006A5E32">
        <w:rPr>
          <w:noProof/>
        </w:rPr>
        <w:t>due diligence obligations,</w:t>
      </w:r>
      <w:r w:rsidR="2C4B2A10" w:rsidRPr="006A5E32">
        <w:rPr>
          <w:noProof/>
        </w:rPr>
        <w:t xml:space="preserve"> the </w:t>
      </w:r>
      <w:r w:rsidR="000105E4" w:rsidRPr="006A5E32">
        <w:rPr>
          <w:noProof/>
        </w:rPr>
        <w:t xml:space="preserve">revised </w:t>
      </w:r>
      <w:r w:rsidR="006249F4" w:rsidRPr="006A5E32">
        <w:rPr>
          <w:noProof/>
        </w:rPr>
        <w:t>Guidance</w:t>
      </w:r>
      <w:r w:rsidR="00E9772E" w:rsidRPr="006A5E32">
        <w:rPr>
          <w:noProof/>
        </w:rPr>
        <w:t xml:space="preserve"> </w:t>
      </w:r>
      <w:r w:rsidR="00AE4F18" w:rsidRPr="006A5E32">
        <w:rPr>
          <w:noProof/>
        </w:rPr>
        <w:t xml:space="preserve">document </w:t>
      </w:r>
      <w:r w:rsidR="00E9772E" w:rsidRPr="006A5E32">
        <w:rPr>
          <w:noProof/>
        </w:rPr>
        <w:t>provides</w:t>
      </w:r>
      <w:r w:rsidR="000105E4" w:rsidRPr="006A5E32">
        <w:rPr>
          <w:noProof/>
        </w:rPr>
        <w:t xml:space="preserve"> </w:t>
      </w:r>
      <w:r w:rsidR="00F14D10" w:rsidRPr="006A5E32">
        <w:rPr>
          <w:noProof/>
        </w:rPr>
        <w:t xml:space="preserve">a </w:t>
      </w:r>
      <w:r w:rsidR="0036794F" w:rsidRPr="006A5E32">
        <w:rPr>
          <w:noProof/>
        </w:rPr>
        <w:t>clearer explanation</w:t>
      </w:r>
      <w:r w:rsidR="007C5B52" w:rsidRPr="006A5E32">
        <w:rPr>
          <w:noProof/>
        </w:rPr>
        <w:t xml:space="preserve"> on </w:t>
      </w:r>
      <w:r w:rsidR="00F0625A" w:rsidRPr="006A5E32">
        <w:rPr>
          <w:noProof/>
        </w:rPr>
        <w:t>due diligence obligations</w:t>
      </w:r>
      <w:r w:rsidR="00C05C47">
        <w:rPr>
          <w:noProof/>
        </w:rPr>
        <w:t xml:space="preserve"> of operators regarding </w:t>
      </w:r>
      <w:r w:rsidR="00667789">
        <w:rPr>
          <w:noProof/>
        </w:rPr>
        <w:t>simplified due diligence and</w:t>
      </w:r>
      <w:r w:rsidR="00C05C47">
        <w:rPr>
          <w:noProof/>
        </w:rPr>
        <w:t xml:space="preserve"> information collection on relevant legislation according to Article 2(40) and Article 9(1)(h).</w:t>
      </w:r>
      <w:r w:rsidR="00440FAD" w:rsidRPr="006A5E32">
        <w:rPr>
          <w:noProof/>
        </w:rPr>
        <w:t xml:space="preserve"> </w:t>
      </w:r>
      <w:r w:rsidR="00C05C47">
        <w:rPr>
          <w:noProof/>
        </w:rPr>
        <w:t>In particular, it is</w:t>
      </w:r>
      <w:r w:rsidR="00440FAD" w:rsidRPr="006A5E32">
        <w:rPr>
          <w:noProof/>
        </w:rPr>
        <w:t xml:space="preserve"> </w:t>
      </w:r>
      <w:r w:rsidR="00C05C47">
        <w:rPr>
          <w:noProof/>
        </w:rPr>
        <w:t>explained</w:t>
      </w:r>
      <w:r w:rsidR="00481351" w:rsidRPr="006A5E32">
        <w:rPr>
          <w:noProof/>
        </w:rPr>
        <w:t xml:space="preserve"> that operators </w:t>
      </w:r>
      <w:r w:rsidR="00A146F0">
        <w:rPr>
          <w:noProof/>
        </w:rPr>
        <w:t xml:space="preserve">sourcing from low-risk countries </w:t>
      </w:r>
      <w:r w:rsidR="009F57C6" w:rsidRPr="006A5E32">
        <w:rPr>
          <w:noProof/>
        </w:rPr>
        <w:t>benefitting from simplified due diligence</w:t>
      </w:r>
      <w:r w:rsidR="00213841" w:rsidRPr="006A5E32">
        <w:rPr>
          <w:noProof/>
        </w:rPr>
        <w:t xml:space="preserve"> are</w:t>
      </w:r>
      <w:r w:rsidR="007E42EB" w:rsidRPr="006A5E32">
        <w:rPr>
          <w:noProof/>
        </w:rPr>
        <w:t xml:space="preserve"> no</w:t>
      </w:r>
      <w:r w:rsidR="00B860AD" w:rsidRPr="006A5E32">
        <w:rPr>
          <w:noProof/>
        </w:rPr>
        <w:t>t</w:t>
      </w:r>
      <w:r w:rsidR="007E42EB" w:rsidRPr="006A5E32">
        <w:rPr>
          <w:noProof/>
        </w:rPr>
        <w:t xml:space="preserve"> </w:t>
      </w:r>
      <w:r w:rsidR="00B25269" w:rsidRPr="006A5E32">
        <w:rPr>
          <w:noProof/>
        </w:rPr>
        <w:t>obliged to carry out risk assessment</w:t>
      </w:r>
      <w:r w:rsidR="007E42EB" w:rsidRPr="006A5E32">
        <w:rPr>
          <w:noProof/>
        </w:rPr>
        <w:t xml:space="preserve"> and</w:t>
      </w:r>
      <w:r w:rsidR="00B25269" w:rsidRPr="006A5E32">
        <w:rPr>
          <w:noProof/>
        </w:rPr>
        <w:t xml:space="preserve"> adopt</w:t>
      </w:r>
      <w:r w:rsidR="007E42EB" w:rsidRPr="006A5E32">
        <w:rPr>
          <w:noProof/>
        </w:rPr>
        <w:t xml:space="preserve"> risk mitigation measures, unless they obtain </w:t>
      </w:r>
      <w:r w:rsidR="00C948BE" w:rsidRPr="006A5E32">
        <w:rPr>
          <w:noProof/>
        </w:rPr>
        <w:t xml:space="preserve">or are made aware of </w:t>
      </w:r>
      <w:r w:rsidR="00CA0387" w:rsidRPr="006A5E32">
        <w:rPr>
          <w:noProof/>
        </w:rPr>
        <w:t xml:space="preserve">information </w:t>
      </w:r>
      <w:r w:rsidR="00D94C06" w:rsidRPr="006A5E32">
        <w:rPr>
          <w:noProof/>
        </w:rPr>
        <w:t xml:space="preserve">that would point to a risk that the relevant products do not comply with </w:t>
      </w:r>
      <w:r w:rsidR="008F66C6" w:rsidRPr="006A5E32">
        <w:rPr>
          <w:noProof/>
        </w:rPr>
        <w:t>the EUDR.</w:t>
      </w:r>
      <w:r w:rsidR="0071686B" w:rsidRPr="006A5E32">
        <w:rPr>
          <w:noProof/>
        </w:rPr>
        <w:t xml:space="preserve"> It also </w:t>
      </w:r>
      <w:r w:rsidR="008C0CB2" w:rsidRPr="006A5E32">
        <w:rPr>
          <w:noProof/>
        </w:rPr>
        <w:t>emphasises</w:t>
      </w:r>
      <w:r w:rsidR="0071686B" w:rsidRPr="006A5E32">
        <w:rPr>
          <w:noProof/>
        </w:rPr>
        <w:t xml:space="preserve"> that </w:t>
      </w:r>
      <w:r w:rsidR="00EA7E31">
        <w:rPr>
          <w:noProof/>
        </w:rPr>
        <w:t xml:space="preserve">micro or small primary operators </w:t>
      </w:r>
      <w:r w:rsidR="00532863" w:rsidRPr="006A5E32">
        <w:rPr>
          <w:noProof/>
        </w:rPr>
        <w:t>source</w:t>
      </w:r>
      <w:r w:rsidR="008C0CB2" w:rsidRPr="006A5E32">
        <w:rPr>
          <w:noProof/>
        </w:rPr>
        <w:t>,</w:t>
      </w:r>
      <w:r w:rsidR="00723CFF" w:rsidRPr="006A5E32">
        <w:rPr>
          <w:noProof/>
        </w:rPr>
        <w:t xml:space="preserve"> </w:t>
      </w:r>
      <w:r w:rsidR="00532863" w:rsidRPr="006A5E32">
        <w:rPr>
          <w:noProof/>
        </w:rPr>
        <w:t>by definition, from low-risk countries and are</w:t>
      </w:r>
      <w:r w:rsidR="00EC4C5E">
        <w:rPr>
          <w:noProof/>
        </w:rPr>
        <w:t>,</w:t>
      </w:r>
      <w:r w:rsidR="00532863" w:rsidRPr="006A5E32">
        <w:rPr>
          <w:noProof/>
        </w:rPr>
        <w:t xml:space="preserve"> therefore</w:t>
      </w:r>
      <w:r w:rsidR="00D62D9A" w:rsidRPr="006A5E32">
        <w:rPr>
          <w:noProof/>
        </w:rPr>
        <w:t xml:space="preserve">, </w:t>
      </w:r>
      <w:r w:rsidR="00532863" w:rsidRPr="006A5E32">
        <w:rPr>
          <w:noProof/>
        </w:rPr>
        <w:t xml:space="preserve">never required to carry out risk assessment or risk mitigation unless a risk of </w:t>
      </w:r>
      <w:r w:rsidR="00981FFC" w:rsidRPr="006A5E32">
        <w:rPr>
          <w:noProof/>
        </w:rPr>
        <w:t>non-compliance is</w:t>
      </w:r>
      <w:r w:rsidR="009614EC" w:rsidRPr="006A5E32">
        <w:rPr>
          <w:noProof/>
        </w:rPr>
        <w:t xml:space="preserve"> </w:t>
      </w:r>
      <w:r w:rsidR="00AE4F18" w:rsidRPr="006A5E32">
        <w:rPr>
          <w:noProof/>
        </w:rPr>
        <w:t>identified</w:t>
      </w:r>
      <w:r w:rsidR="00955E87" w:rsidRPr="006A5E32">
        <w:rPr>
          <w:noProof/>
        </w:rPr>
        <w:t>.</w:t>
      </w:r>
      <w:r w:rsidR="0036794F" w:rsidRPr="006A5E32">
        <w:rPr>
          <w:noProof/>
        </w:rPr>
        <w:t xml:space="preserve"> </w:t>
      </w:r>
    </w:p>
    <w:p w14:paraId="70351F35" w14:textId="5C720076" w:rsidR="003D4011" w:rsidRDefault="00ED2074" w:rsidP="0062074D">
      <w:pPr>
        <w:pStyle w:val="NormalWeb"/>
        <w:spacing w:after="120"/>
        <w:rPr>
          <w:b/>
          <w:bCs/>
          <w:noProof/>
          <w:highlight w:val="yellow"/>
        </w:rPr>
      </w:pPr>
      <w:r w:rsidRPr="0021237E">
        <w:rPr>
          <w:noProof/>
        </w:rPr>
        <w:t xml:space="preserve">Furthermore, </w:t>
      </w:r>
      <w:r w:rsidR="00B20FC5" w:rsidRPr="0021237E">
        <w:rPr>
          <w:noProof/>
        </w:rPr>
        <w:t>the Guidance</w:t>
      </w:r>
      <w:r w:rsidRPr="0021237E">
        <w:rPr>
          <w:noProof/>
        </w:rPr>
        <w:t xml:space="preserve"> </w:t>
      </w:r>
      <w:r w:rsidR="00BB6BAC" w:rsidRPr="0021237E">
        <w:rPr>
          <w:noProof/>
        </w:rPr>
        <w:t>introduces</w:t>
      </w:r>
      <w:r w:rsidR="005D48EF" w:rsidRPr="0021237E">
        <w:rPr>
          <w:noProof/>
        </w:rPr>
        <w:t xml:space="preserve"> </w:t>
      </w:r>
      <w:r w:rsidR="666F2762" w:rsidRPr="0021237E">
        <w:rPr>
          <w:noProof/>
        </w:rPr>
        <w:t xml:space="preserve">clarifications as to </w:t>
      </w:r>
      <w:r w:rsidR="00BB6BAC" w:rsidRPr="0021237E">
        <w:rPr>
          <w:noProof/>
        </w:rPr>
        <w:t xml:space="preserve">how to </w:t>
      </w:r>
      <w:r w:rsidR="005D48EF" w:rsidRPr="0021237E">
        <w:rPr>
          <w:noProof/>
        </w:rPr>
        <w:t>prov</w:t>
      </w:r>
      <w:r w:rsidR="00BB6BAC" w:rsidRPr="0021237E">
        <w:rPr>
          <w:noProof/>
        </w:rPr>
        <w:t>e</w:t>
      </w:r>
      <w:r w:rsidR="005D48EF" w:rsidRPr="0021237E">
        <w:rPr>
          <w:noProof/>
        </w:rPr>
        <w:t xml:space="preserve"> compliance with the </w:t>
      </w:r>
      <w:r w:rsidR="00BB6BAC" w:rsidRPr="0021237E">
        <w:rPr>
          <w:noProof/>
        </w:rPr>
        <w:t xml:space="preserve">relevant laws of country of production (the so-called </w:t>
      </w:r>
      <w:r w:rsidR="002C52DA" w:rsidRPr="0021237E">
        <w:rPr>
          <w:noProof/>
        </w:rPr>
        <w:t>legality criterion</w:t>
      </w:r>
      <w:r w:rsidR="00BB6BAC" w:rsidRPr="0021237E">
        <w:rPr>
          <w:noProof/>
        </w:rPr>
        <w:t>).</w:t>
      </w:r>
      <w:r w:rsidR="002C52DA" w:rsidRPr="0021237E">
        <w:rPr>
          <w:noProof/>
        </w:rPr>
        <w:t xml:space="preserve"> </w:t>
      </w:r>
      <w:r w:rsidR="00F64CA2" w:rsidRPr="006D11BE">
        <w:rPr>
          <w:noProof/>
          <w:lang w:val="en-IE"/>
        </w:rPr>
        <w:t xml:space="preserve">To support operators in proving compliance with the legality criterion, the Commission will set up repositories of </w:t>
      </w:r>
      <w:r w:rsidR="00F64CA2" w:rsidRPr="00086A75">
        <w:rPr>
          <w:rFonts w:eastAsia="Aptos"/>
          <w:noProof/>
          <w:lang w:val="en-IE"/>
        </w:rPr>
        <w:t>relevant legislation of the country of production</w:t>
      </w:r>
      <w:r w:rsidR="00F64CA2" w:rsidRPr="006D11BE">
        <w:rPr>
          <w:noProof/>
          <w:lang w:val="en-IE"/>
        </w:rPr>
        <w:t xml:space="preserve"> and </w:t>
      </w:r>
      <w:r w:rsidR="00F64CA2" w:rsidRPr="00086A75">
        <w:rPr>
          <w:noProof/>
          <w:lang w:val="en-IE"/>
        </w:rPr>
        <w:t xml:space="preserve">of </w:t>
      </w:r>
      <w:r w:rsidR="00F64CA2" w:rsidRPr="00086A75">
        <w:rPr>
          <w:rFonts w:eastAsia="Aptos"/>
          <w:noProof/>
          <w:lang w:val="en-IE"/>
        </w:rPr>
        <w:t>certifications schemes</w:t>
      </w:r>
      <w:r w:rsidR="00F64CA2" w:rsidRPr="006D11BE">
        <w:rPr>
          <w:noProof/>
          <w:lang w:val="en-IE"/>
        </w:rPr>
        <w:t xml:space="preserve"> (see section 4.4 below)</w:t>
      </w:r>
      <w:r w:rsidR="00F64CA2" w:rsidRPr="00086A75">
        <w:rPr>
          <w:noProof/>
          <w:lang w:val="en-IE"/>
        </w:rPr>
        <w:t>.</w:t>
      </w:r>
      <w:r w:rsidR="00664B2B">
        <w:rPr>
          <w:noProof/>
          <w:lang w:val="en-IE"/>
        </w:rPr>
        <w:t xml:space="preserve"> </w:t>
      </w:r>
      <w:r w:rsidR="007766EF" w:rsidRPr="0021237E">
        <w:rPr>
          <w:noProof/>
        </w:rPr>
        <w:t>The Gui</w:t>
      </w:r>
      <w:r w:rsidR="00AE4E07" w:rsidRPr="0021237E">
        <w:rPr>
          <w:noProof/>
        </w:rPr>
        <w:t>dance</w:t>
      </w:r>
      <w:r w:rsidR="002C52DA" w:rsidRPr="0021237E">
        <w:rPr>
          <w:noProof/>
        </w:rPr>
        <w:t xml:space="preserve"> underline</w:t>
      </w:r>
      <w:r w:rsidR="0031367F" w:rsidRPr="0021237E">
        <w:rPr>
          <w:noProof/>
        </w:rPr>
        <w:t>s</w:t>
      </w:r>
      <w:r w:rsidR="002C52DA" w:rsidRPr="0021237E">
        <w:rPr>
          <w:noProof/>
        </w:rPr>
        <w:t xml:space="preserve"> that</w:t>
      </w:r>
      <w:r w:rsidR="00AF3C70">
        <w:rPr>
          <w:noProof/>
        </w:rPr>
        <w:t xml:space="preserve"> </w:t>
      </w:r>
      <w:r w:rsidR="003127CA">
        <w:rPr>
          <w:noProof/>
        </w:rPr>
        <w:t xml:space="preserve">operators can decide, based on </w:t>
      </w:r>
      <w:r w:rsidR="003127CA" w:rsidRPr="00637B48">
        <w:rPr>
          <w:noProof/>
          <w:lang w:val="en-IE"/>
        </w:rPr>
        <w:t>a first examination of available information</w:t>
      </w:r>
      <w:r w:rsidR="003127CA">
        <w:rPr>
          <w:noProof/>
          <w:lang w:val="en-IE"/>
        </w:rPr>
        <w:t xml:space="preserve">, </w:t>
      </w:r>
      <w:r w:rsidR="0072787F" w:rsidRPr="0072787F">
        <w:rPr>
          <w:noProof/>
        </w:rPr>
        <w:t xml:space="preserve">such as </w:t>
      </w:r>
      <w:r w:rsidR="00027302">
        <w:rPr>
          <w:noProof/>
          <w:lang w:val="en-IE"/>
        </w:rPr>
        <w:t xml:space="preserve">publicly available </w:t>
      </w:r>
      <w:r w:rsidR="0072787F" w:rsidRPr="0072787F">
        <w:rPr>
          <w:noProof/>
        </w:rPr>
        <w:t>reports</w:t>
      </w:r>
      <w:r w:rsidR="00027302">
        <w:rPr>
          <w:noProof/>
        </w:rPr>
        <w:t>,</w:t>
      </w:r>
      <w:r w:rsidR="00027302" w:rsidRPr="0072787F">
        <w:rPr>
          <w:noProof/>
        </w:rPr>
        <w:t xml:space="preserve"> </w:t>
      </w:r>
      <w:r w:rsidR="0072787F" w:rsidRPr="0072787F">
        <w:rPr>
          <w:noProof/>
        </w:rPr>
        <w:t xml:space="preserve">indicators and classifications of countries </w:t>
      </w:r>
      <w:r w:rsidR="00F62E2F">
        <w:rPr>
          <w:noProof/>
        </w:rPr>
        <w:t>and regions</w:t>
      </w:r>
      <w:r w:rsidR="0072787F" w:rsidRPr="0072787F">
        <w:rPr>
          <w:noProof/>
        </w:rPr>
        <w:t xml:space="preserve"> of production</w:t>
      </w:r>
      <w:r w:rsidR="00AF725C">
        <w:rPr>
          <w:noProof/>
          <w:lang w:val="en-IE"/>
        </w:rPr>
        <w:t xml:space="preserve">, </w:t>
      </w:r>
      <w:r w:rsidR="003127CA" w:rsidRPr="00637B48">
        <w:rPr>
          <w:noProof/>
          <w:lang w:val="en-IE"/>
        </w:rPr>
        <w:t xml:space="preserve">whether an in-depth information collection is needed. </w:t>
      </w:r>
      <w:r w:rsidR="00CF213C">
        <w:rPr>
          <w:noProof/>
          <w:lang w:val="en-IE"/>
        </w:rPr>
        <w:t xml:space="preserve">They can base themselves on the Commission repository for these purposes. </w:t>
      </w:r>
      <w:r w:rsidR="003127CA" w:rsidRPr="00637B48">
        <w:rPr>
          <w:noProof/>
          <w:lang w:val="en-IE"/>
        </w:rPr>
        <w:t>If this initial examination</w:t>
      </w:r>
      <w:r w:rsidR="001A0BCB" w:rsidRPr="00E720AB">
        <w:rPr>
          <w:noProof/>
          <w:lang w:val="en-IE"/>
        </w:rPr>
        <w:t xml:space="preserve"> indicates a negligible risk of non-compliance, operators should not be required to carry out an in-depth data collection.</w:t>
      </w:r>
      <w:r w:rsidR="003127CA" w:rsidRPr="00637B48">
        <w:rPr>
          <w:noProof/>
          <w:lang w:val="en-IE"/>
        </w:rPr>
        <w:t xml:space="preserve"> Only for supply chains, production areas and countries of production where the initial information available to the operator indicates a higher risk of non-compliance, an</w:t>
      </w:r>
      <w:r w:rsidR="003127CA" w:rsidRPr="00637B48" w:rsidDel="004F36CB">
        <w:rPr>
          <w:noProof/>
        </w:rPr>
        <w:t xml:space="preserve"> </w:t>
      </w:r>
      <w:r w:rsidR="003127CA" w:rsidRPr="00637B48">
        <w:rPr>
          <w:noProof/>
          <w:lang w:val="en-IE"/>
        </w:rPr>
        <w:t>in-depth evidence collection on compliance with relevant legislation of the country of production should be prioritised.</w:t>
      </w:r>
    </w:p>
    <w:p w14:paraId="3B3174E5" w14:textId="740B530A" w:rsidR="0015133F" w:rsidRDefault="0015133F">
      <w:pPr>
        <w:spacing w:after="0"/>
        <w:jc w:val="left"/>
        <w:rPr>
          <w:b/>
          <w:bCs/>
          <w:noProof/>
          <w:szCs w:val="24"/>
        </w:rPr>
      </w:pPr>
    </w:p>
    <w:p w14:paraId="2B4164AB" w14:textId="55C9D65C" w:rsidR="001A0EBF" w:rsidRPr="0012174E" w:rsidRDefault="007F3567" w:rsidP="0012174E">
      <w:pPr>
        <w:spacing w:after="120"/>
        <w:jc w:val="left"/>
        <w:rPr>
          <w:b/>
          <w:bCs/>
          <w:noProof/>
          <w:szCs w:val="24"/>
        </w:rPr>
      </w:pPr>
      <w:r w:rsidRPr="00FF041C">
        <w:rPr>
          <w:b/>
          <w:bCs/>
          <w:noProof/>
          <w:szCs w:val="24"/>
        </w:rPr>
        <w:t>4</w:t>
      </w:r>
      <w:r w:rsidR="001A0EBF" w:rsidRPr="00FF041C">
        <w:rPr>
          <w:b/>
          <w:bCs/>
          <w:noProof/>
          <w:szCs w:val="24"/>
        </w:rPr>
        <w:t xml:space="preserve">.2 </w:t>
      </w:r>
      <w:r w:rsidR="004B6324" w:rsidRPr="00FF041C">
        <w:rPr>
          <w:b/>
          <w:bCs/>
          <w:noProof/>
          <w:szCs w:val="24"/>
        </w:rPr>
        <w:t xml:space="preserve">Information </w:t>
      </w:r>
      <w:r w:rsidR="00FB53D9" w:rsidRPr="007A5D58">
        <w:rPr>
          <w:b/>
          <w:bCs/>
          <w:noProof/>
          <w:szCs w:val="24"/>
        </w:rPr>
        <w:t>S</w:t>
      </w:r>
      <w:r w:rsidR="40D04DC1" w:rsidRPr="007A5D58">
        <w:rPr>
          <w:b/>
          <w:bCs/>
          <w:noProof/>
          <w:szCs w:val="24"/>
        </w:rPr>
        <w:t>ystem</w:t>
      </w:r>
    </w:p>
    <w:p w14:paraId="7E5A6D83" w14:textId="2B4C22E5" w:rsidR="39676F12" w:rsidRPr="007B1DAC" w:rsidRDefault="39676F12" w:rsidP="53FAF74D">
      <w:pPr>
        <w:spacing w:after="120"/>
        <w:rPr>
          <w:noProof/>
        </w:rPr>
      </w:pPr>
      <w:r>
        <w:rPr>
          <w:noProof/>
        </w:rPr>
        <w:t xml:space="preserve">To ensure the Information System can accommodate the increased volume and variety of transactions </w:t>
      </w:r>
      <w:r w:rsidR="00A02016">
        <w:rPr>
          <w:noProof/>
        </w:rPr>
        <w:t xml:space="preserve">arising </w:t>
      </w:r>
      <w:r>
        <w:rPr>
          <w:noProof/>
        </w:rPr>
        <w:t xml:space="preserve">from the revised Regulation, the Commission has carried out a </w:t>
      </w:r>
      <w:r w:rsidR="00872912">
        <w:rPr>
          <w:noProof/>
        </w:rPr>
        <w:t xml:space="preserve">comprehensive </w:t>
      </w:r>
      <w:r>
        <w:rPr>
          <w:noProof/>
        </w:rPr>
        <w:t>technical review of the system architecture</w:t>
      </w:r>
      <w:r w:rsidR="00006ECF">
        <w:rPr>
          <w:noProof/>
        </w:rPr>
        <w:t>. As a result,</w:t>
      </w:r>
      <w:r>
        <w:rPr>
          <w:noProof/>
        </w:rPr>
        <w:t xml:space="preserve"> targeted improvements </w:t>
      </w:r>
      <w:r w:rsidR="00B84DAB">
        <w:rPr>
          <w:noProof/>
        </w:rPr>
        <w:t xml:space="preserve">have been made </w:t>
      </w:r>
      <w:r>
        <w:rPr>
          <w:noProof/>
        </w:rPr>
        <w:t>to</w:t>
      </w:r>
      <w:r w:rsidR="00B84DAB">
        <w:rPr>
          <w:noProof/>
        </w:rPr>
        <w:t xml:space="preserve"> enhance</w:t>
      </w:r>
      <w:r>
        <w:rPr>
          <w:noProof/>
        </w:rPr>
        <w:t xml:space="preserve"> its processing capacity, data handling, and operational resilience. These improvements </w:t>
      </w:r>
      <w:r w:rsidR="001349FC">
        <w:rPr>
          <w:noProof/>
        </w:rPr>
        <w:t xml:space="preserve">incorporate </w:t>
      </w:r>
      <w:r>
        <w:rPr>
          <w:noProof/>
        </w:rPr>
        <w:t>feedback from stakeholders and competent authorities</w:t>
      </w:r>
      <w:r w:rsidR="00A70C27">
        <w:rPr>
          <w:noProof/>
        </w:rPr>
        <w:t xml:space="preserve"> on the </w:t>
      </w:r>
      <w:r>
        <w:rPr>
          <w:noProof/>
        </w:rPr>
        <w:t xml:space="preserve">system performance and availability, as well as internal </w:t>
      </w:r>
      <w:r w:rsidR="006A7CE6">
        <w:rPr>
          <w:noProof/>
        </w:rPr>
        <w:t>projections o</w:t>
      </w:r>
      <w:r w:rsidR="00AB1CC6">
        <w:rPr>
          <w:noProof/>
        </w:rPr>
        <w:t>f</w:t>
      </w:r>
      <w:r>
        <w:rPr>
          <w:noProof/>
        </w:rPr>
        <w:t xml:space="preserve"> transaction volumes. A dedicated testing programme will validate the system's readiness </w:t>
      </w:r>
      <w:r w:rsidR="00EE5135">
        <w:rPr>
          <w:noProof/>
        </w:rPr>
        <w:t xml:space="preserve">prior to its </w:t>
      </w:r>
      <w:r>
        <w:rPr>
          <w:noProof/>
        </w:rPr>
        <w:t>reopening.</w:t>
      </w:r>
    </w:p>
    <w:p w14:paraId="7BF83B04" w14:textId="341F42B2" w:rsidR="62CA79AF" w:rsidRPr="0012174E" w:rsidRDefault="00EE5135" w:rsidP="0012174E">
      <w:pPr>
        <w:spacing w:after="120"/>
        <w:rPr>
          <w:noProof/>
          <w:lang w:val="en-IE"/>
        </w:rPr>
      </w:pPr>
      <w:r w:rsidRPr="00073763">
        <w:rPr>
          <w:noProof/>
          <w:lang w:val="en-IE"/>
        </w:rPr>
        <w:t xml:space="preserve">Following </w:t>
      </w:r>
      <w:r w:rsidR="40B42FC7" w:rsidRPr="00073763">
        <w:rPr>
          <w:noProof/>
          <w:lang w:val="en-IE"/>
        </w:rPr>
        <w:t xml:space="preserve">a temporary </w:t>
      </w:r>
      <w:r w:rsidR="4D3B2DF5" w:rsidRPr="00073763">
        <w:rPr>
          <w:noProof/>
          <w:lang w:val="en-IE"/>
        </w:rPr>
        <w:t>clo</w:t>
      </w:r>
      <w:r w:rsidR="5DB70CC8" w:rsidRPr="00073763">
        <w:rPr>
          <w:noProof/>
          <w:lang w:val="en-IE"/>
        </w:rPr>
        <w:t xml:space="preserve">sure of the </w:t>
      </w:r>
      <w:r w:rsidR="00DB5DD3" w:rsidRPr="00073763">
        <w:rPr>
          <w:noProof/>
          <w:lang w:val="en-IE"/>
        </w:rPr>
        <w:t xml:space="preserve">information system </w:t>
      </w:r>
      <w:r w:rsidR="60B4D62B" w:rsidRPr="00073763">
        <w:rPr>
          <w:noProof/>
          <w:lang w:val="en-IE"/>
        </w:rPr>
        <w:t xml:space="preserve">to </w:t>
      </w:r>
      <w:r w:rsidR="00DB5DD3" w:rsidRPr="00073763">
        <w:rPr>
          <w:noProof/>
          <w:lang w:val="en-IE"/>
        </w:rPr>
        <w:t xml:space="preserve">integrate </w:t>
      </w:r>
      <w:r w:rsidR="60B4D62B" w:rsidRPr="00073763">
        <w:rPr>
          <w:noProof/>
          <w:lang w:val="en-IE"/>
        </w:rPr>
        <w:t xml:space="preserve">the necessary adjustments </w:t>
      </w:r>
      <w:r w:rsidR="00F34AC7" w:rsidRPr="00073763">
        <w:rPr>
          <w:noProof/>
          <w:lang w:val="en-IE"/>
        </w:rPr>
        <w:t xml:space="preserve">triggered by </w:t>
      </w:r>
      <w:r w:rsidR="60B4D62B" w:rsidRPr="00073763">
        <w:rPr>
          <w:noProof/>
          <w:lang w:val="en-IE"/>
        </w:rPr>
        <w:t>the revision of the Regulation</w:t>
      </w:r>
      <w:r w:rsidR="5DB70CC8" w:rsidRPr="00073763">
        <w:rPr>
          <w:noProof/>
          <w:lang w:val="en-IE"/>
        </w:rPr>
        <w:t xml:space="preserve">, the Commission </w:t>
      </w:r>
      <w:r w:rsidR="7A462372" w:rsidRPr="00073763">
        <w:rPr>
          <w:noProof/>
          <w:lang w:val="en-IE"/>
        </w:rPr>
        <w:t>will</w:t>
      </w:r>
      <w:r w:rsidR="5DB70CC8" w:rsidRPr="00073763">
        <w:rPr>
          <w:noProof/>
          <w:lang w:val="en-IE"/>
        </w:rPr>
        <w:t xml:space="preserve"> </w:t>
      </w:r>
      <w:r w:rsidR="00096BB1" w:rsidRPr="00073763">
        <w:rPr>
          <w:noProof/>
          <w:lang w:val="en-IE"/>
        </w:rPr>
        <w:t xml:space="preserve">relaunch </w:t>
      </w:r>
      <w:r w:rsidR="5DB70CC8" w:rsidRPr="00073763">
        <w:rPr>
          <w:noProof/>
          <w:lang w:val="en-IE"/>
        </w:rPr>
        <w:t xml:space="preserve">the Information System </w:t>
      </w:r>
      <w:r w:rsidR="005129E7" w:rsidRPr="00073763">
        <w:rPr>
          <w:noProof/>
          <w:lang w:val="en-IE"/>
        </w:rPr>
        <w:t>in stages.</w:t>
      </w:r>
      <w:r w:rsidR="00073763" w:rsidRPr="00073763">
        <w:rPr>
          <w:noProof/>
          <w:lang w:val="en-IE"/>
        </w:rPr>
        <w:t xml:space="preserve"> </w:t>
      </w:r>
      <w:r w:rsidR="003C7C22" w:rsidRPr="00637B48">
        <w:rPr>
          <w:noProof/>
          <w:lang w:val="en-IE"/>
        </w:rPr>
        <w:t>The reopening</w:t>
      </w:r>
      <w:r w:rsidR="003C7C22" w:rsidRPr="00073763">
        <w:rPr>
          <w:noProof/>
          <w:lang w:val="en-IE"/>
        </w:rPr>
        <w:t xml:space="preserve"> is planned for June 2026 (</w:t>
      </w:r>
      <w:r w:rsidR="003C7C22" w:rsidRPr="00637B48">
        <w:rPr>
          <w:noProof/>
          <w:lang w:val="en-IE"/>
        </w:rPr>
        <w:t>for both</w:t>
      </w:r>
      <w:r w:rsidR="003C7C22" w:rsidRPr="00073763">
        <w:rPr>
          <w:noProof/>
          <w:lang w:val="en-IE"/>
        </w:rPr>
        <w:t xml:space="preserve"> training and production environments</w:t>
      </w:r>
      <w:r w:rsidR="003C7C22" w:rsidRPr="00637B48">
        <w:rPr>
          <w:noProof/>
          <w:lang w:val="en-IE"/>
        </w:rPr>
        <w:t>).</w:t>
      </w:r>
      <w:r w:rsidR="003C7C22" w:rsidRPr="00073763">
        <w:rPr>
          <w:noProof/>
          <w:lang w:val="en-IE"/>
        </w:rPr>
        <w:t xml:space="preserve"> Subsequent </w:t>
      </w:r>
      <w:r w:rsidR="003C7C22" w:rsidRPr="00637B48">
        <w:rPr>
          <w:noProof/>
          <w:lang w:val="en-IE"/>
        </w:rPr>
        <w:t>updates</w:t>
      </w:r>
      <w:r w:rsidR="003C7C22" w:rsidRPr="00073763">
        <w:rPr>
          <w:noProof/>
          <w:lang w:val="en-IE"/>
        </w:rPr>
        <w:t xml:space="preserve"> will include additional functionalities and enhancements to be rolled out </w:t>
      </w:r>
      <w:r w:rsidR="003C7C22" w:rsidRPr="00637B48">
        <w:rPr>
          <w:noProof/>
          <w:lang w:val="en-IE"/>
        </w:rPr>
        <w:t>later in summer and</w:t>
      </w:r>
      <w:r w:rsidR="003C7C22" w:rsidRPr="00073763">
        <w:rPr>
          <w:noProof/>
          <w:lang w:val="en-IE"/>
        </w:rPr>
        <w:t xml:space="preserve"> ahead of the date of application of the Regulation.</w:t>
      </w:r>
      <w:r w:rsidR="00073763" w:rsidRPr="00073763">
        <w:rPr>
          <w:noProof/>
          <w:lang w:val="en-IE"/>
        </w:rPr>
        <w:t xml:space="preserve"> </w:t>
      </w:r>
    </w:p>
    <w:p w14:paraId="5874921D" w14:textId="1E9462E8" w:rsidR="00EB5323" w:rsidRPr="00323262" w:rsidRDefault="00513C13" w:rsidP="3B257163">
      <w:pPr>
        <w:spacing w:after="120"/>
        <w:rPr>
          <w:noProof/>
          <w:lang w:val="en-IE"/>
        </w:rPr>
      </w:pPr>
      <w:r>
        <w:rPr>
          <w:noProof/>
          <w:lang w:val="en-IE"/>
        </w:rPr>
        <w:t xml:space="preserve">The information system </w:t>
      </w:r>
      <w:r w:rsidR="1025E199" w:rsidRPr="2FEC8BBA">
        <w:rPr>
          <w:noProof/>
          <w:lang w:val="en-IE"/>
        </w:rPr>
        <w:t xml:space="preserve">will include </w:t>
      </w:r>
      <w:r>
        <w:rPr>
          <w:noProof/>
          <w:lang w:val="en-IE"/>
        </w:rPr>
        <w:t xml:space="preserve">features to facilitate implementation, for example </w:t>
      </w:r>
      <w:r w:rsidR="1025E199" w:rsidRPr="2FEC8BBA">
        <w:rPr>
          <w:noProof/>
          <w:lang w:val="en-IE"/>
        </w:rPr>
        <w:t>mechanisms</w:t>
      </w:r>
      <w:r>
        <w:rPr>
          <w:noProof/>
          <w:lang w:val="en-IE"/>
        </w:rPr>
        <w:t xml:space="preserve"> to </w:t>
      </w:r>
      <w:r w:rsidR="1025E199" w:rsidRPr="2FEC8BBA">
        <w:rPr>
          <w:noProof/>
          <w:lang w:val="en-IE"/>
        </w:rPr>
        <w:t>support Member States’ authorities in analysing</w:t>
      </w:r>
      <w:r>
        <w:rPr>
          <w:noProof/>
          <w:lang w:val="en-IE"/>
        </w:rPr>
        <w:t xml:space="preserve"> geolocation data. </w:t>
      </w:r>
      <w:r w:rsidR="4E3FEF05" w:rsidRPr="7A228EF8">
        <w:rPr>
          <w:noProof/>
          <w:lang w:val="en-IE"/>
        </w:rPr>
        <w:t>Following the amendment of the EUDR</w:t>
      </w:r>
      <w:r w:rsidR="001B67AF">
        <w:rPr>
          <w:noProof/>
          <w:lang w:val="en-IE"/>
        </w:rPr>
        <w:t xml:space="preserve"> in December 2025</w:t>
      </w:r>
      <w:r w:rsidR="4E3FEF05" w:rsidRPr="7A228EF8">
        <w:rPr>
          <w:noProof/>
          <w:lang w:val="en-IE"/>
        </w:rPr>
        <w:t>, the I</w:t>
      </w:r>
      <w:r w:rsidR="4334E430" w:rsidRPr="7A228EF8">
        <w:rPr>
          <w:noProof/>
          <w:lang w:val="en-IE"/>
        </w:rPr>
        <w:t>nformation System</w:t>
      </w:r>
      <w:r w:rsidR="4E3FEF05" w:rsidRPr="7A228EF8">
        <w:rPr>
          <w:noProof/>
          <w:lang w:val="en-IE"/>
        </w:rPr>
        <w:t xml:space="preserve"> </w:t>
      </w:r>
      <w:r w:rsidR="17A1C33C" w:rsidRPr="7A228EF8">
        <w:rPr>
          <w:noProof/>
          <w:lang w:val="en-IE"/>
        </w:rPr>
        <w:t xml:space="preserve">will </w:t>
      </w:r>
      <w:r w:rsidR="078FDAC5" w:rsidRPr="2FEC8BBA">
        <w:rPr>
          <w:noProof/>
          <w:lang w:val="en-IE"/>
        </w:rPr>
        <w:t xml:space="preserve">also </w:t>
      </w:r>
      <w:r w:rsidR="00561D76" w:rsidRPr="005D0C59">
        <w:rPr>
          <w:noProof/>
          <w:lang w:val="en-IE"/>
        </w:rPr>
        <w:t xml:space="preserve">include new features. </w:t>
      </w:r>
      <w:r w:rsidR="00561D76" w:rsidRPr="004E3900">
        <w:rPr>
          <w:noProof/>
          <w:lang w:val="en-IE"/>
        </w:rPr>
        <w:t>T</w:t>
      </w:r>
      <w:r w:rsidR="00561D76" w:rsidRPr="005D0C59">
        <w:rPr>
          <w:noProof/>
          <w:lang w:val="en-IE"/>
        </w:rPr>
        <w:t xml:space="preserve">he Commission Implementing Regulation (EU) 2024/3084 of 4 December 2024 is also being amended </w:t>
      </w:r>
      <w:r w:rsidR="00561D76" w:rsidRPr="004E3900">
        <w:rPr>
          <w:noProof/>
          <w:lang w:val="en-IE"/>
        </w:rPr>
        <w:t>accordingly</w:t>
      </w:r>
      <w:r w:rsidR="00EA0BEF">
        <w:rPr>
          <w:noProof/>
          <w:lang w:val="en-IE"/>
        </w:rPr>
        <w:t xml:space="preserve">. </w:t>
      </w:r>
      <w:r w:rsidR="14F7D8E4" w:rsidRPr="7A228EF8">
        <w:rPr>
          <w:noProof/>
          <w:lang w:val="en-IE"/>
        </w:rPr>
        <w:t xml:space="preserve">The main </w:t>
      </w:r>
      <w:r w:rsidR="395BD1D8" w:rsidRPr="7A228EF8">
        <w:rPr>
          <w:noProof/>
          <w:lang w:val="en-IE"/>
        </w:rPr>
        <w:t xml:space="preserve">functionalities </w:t>
      </w:r>
      <w:r w:rsidR="42C29EEB" w:rsidRPr="7A228EF8">
        <w:rPr>
          <w:noProof/>
          <w:lang w:val="en-IE"/>
        </w:rPr>
        <w:t xml:space="preserve">and </w:t>
      </w:r>
      <w:r w:rsidR="7D625C15" w:rsidRPr="7A228EF8">
        <w:rPr>
          <w:noProof/>
          <w:lang w:val="en-IE"/>
        </w:rPr>
        <w:t>c</w:t>
      </w:r>
      <w:r w:rsidR="7569AB4E" w:rsidRPr="7A228EF8">
        <w:rPr>
          <w:noProof/>
          <w:lang w:val="en-IE"/>
        </w:rPr>
        <w:t>hanges</w:t>
      </w:r>
      <w:r w:rsidR="00EA0BEF">
        <w:rPr>
          <w:noProof/>
          <w:lang w:val="en-IE"/>
        </w:rPr>
        <w:t xml:space="preserve"> being</w:t>
      </w:r>
      <w:r w:rsidR="42C29EEB" w:rsidRPr="7A228EF8">
        <w:rPr>
          <w:noProof/>
          <w:lang w:val="en-IE"/>
        </w:rPr>
        <w:t xml:space="preserve"> introduced in the Information System and Implementing act, bringing operational simplifications</w:t>
      </w:r>
      <w:r w:rsidR="3C30EB72" w:rsidRPr="7A228EF8">
        <w:rPr>
          <w:noProof/>
          <w:lang w:val="en-IE"/>
        </w:rPr>
        <w:t>,</w:t>
      </w:r>
      <w:r w:rsidR="42C29EEB" w:rsidRPr="7A228EF8">
        <w:rPr>
          <w:noProof/>
          <w:lang w:val="en-IE"/>
        </w:rPr>
        <w:t xml:space="preserve"> </w:t>
      </w:r>
      <w:r w:rsidR="4BD6447A" w:rsidRPr="3B257163">
        <w:rPr>
          <w:noProof/>
          <w:lang w:val="en-IE"/>
        </w:rPr>
        <w:t>will be</w:t>
      </w:r>
      <w:r w:rsidR="03AB64C9" w:rsidRPr="3B257163">
        <w:rPr>
          <w:noProof/>
          <w:lang w:val="en-IE"/>
        </w:rPr>
        <w:t>:</w:t>
      </w:r>
      <w:r w:rsidR="7433E616" w:rsidRPr="3B257163">
        <w:rPr>
          <w:noProof/>
          <w:lang w:val="en-IE"/>
        </w:rPr>
        <w:t xml:space="preserve"> </w:t>
      </w:r>
    </w:p>
    <w:p w14:paraId="67800DE7" w14:textId="2A305C9E" w:rsidR="00EB5323" w:rsidRPr="00C13BD3" w:rsidRDefault="580B5F04" w:rsidP="00637B48">
      <w:pPr>
        <w:pStyle w:val="ListParagraph"/>
        <w:numPr>
          <w:ilvl w:val="0"/>
          <w:numId w:val="82"/>
        </w:numPr>
        <w:spacing w:after="120"/>
        <w:rPr>
          <w:noProof/>
        </w:rPr>
      </w:pPr>
      <w:r>
        <w:rPr>
          <w:noProof/>
        </w:rPr>
        <w:t>E</w:t>
      </w:r>
      <w:r w:rsidR="000E14C3">
        <w:rPr>
          <w:noProof/>
        </w:rPr>
        <w:t>nabl</w:t>
      </w:r>
      <w:r w:rsidR="0F22CF98">
        <w:rPr>
          <w:noProof/>
        </w:rPr>
        <w:t>ing</w:t>
      </w:r>
      <w:r w:rsidR="41C9FED9">
        <w:rPr>
          <w:noProof/>
        </w:rPr>
        <w:t xml:space="preserve"> the submission of</w:t>
      </w:r>
      <w:r w:rsidR="000E14C3" w:rsidRPr="000E14C3">
        <w:rPr>
          <w:noProof/>
        </w:rPr>
        <w:t xml:space="preserve"> </w:t>
      </w:r>
      <w:r w:rsidR="0CDC9026">
        <w:rPr>
          <w:noProof/>
        </w:rPr>
        <w:t>s</w:t>
      </w:r>
      <w:r w:rsidR="4C935971">
        <w:rPr>
          <w:noProof/>
        </w:rPr>
        <w:t xml:space="preserve">implified </w:t>
      </w:r>
      <w:r w:rsidR="21BB075A">
        <w:rPr>
          <w:noProof/>
        </w:rPr>
        <w:t>d</w:t>
      </w:r>
      <w:r w:rsidR="4C935971">
        <w:rPr>
          <w:noProof/>
        </w:rPr>
        <w:t>eclarations</w:t>
      </w:r>
      <w:r w:rsidR="00554968">
        <w:rPr>
          <w:noProof/>
        </w:rPr>
        <w:t xml:space="preserve">, </w:t>
      </w:r>
      <w:r w:rsidR="629833A9">
        <w:rPr>
          <w:noProof/>
        </w:rPr>
        <w:t xml:space="preserve">following </w:t>
      </w:r>
      <w:r w:rsidR="35B307B6">
        <w:rPr>
          <w:noProof/>
        </w:rPr>
        <w:t>existing Due Diligence Statement format</w:t>
      </w:r>
      <w:r w:rsidR="180824CC">
        <w:rPr>
          <w:noProof/>
        </w:rPr>
        <w:t xml:space="preserve"> </w:t>
      </w:r>
      <w:r w:rsidR="003564FF">
        <w:rPr>
          <w:noProof/>
        </w:rPr>
        <w:t xml:space="preserve">and </w:t>
      </w:r>
      <w:r w:rsidR="009E65B9">
        <w:rPr>
          <w:noProof/>
        </w:rPr>
        <w:t>in line with</w:t>
      </w:r>
      <w:r w:rsidR="180824CC">
        <w:rPr>
          <w:noProof/>
        </w:rPr>
        <w:t xml:space="preserve"> the revised EUDR</w:t>
      </w:r>
      <w:r w:rsidR="7E3E79F3">
        <w:rPr>
          <w:noProof/>
        </w:rPr>
        <w:t xml:space="preserve"> text</w:t>
      </w:r>
      <w:r w:rsidR="002E116B">
        <w:rPr>
          <w:noProof/>
        </w:rPr>
        <w:t>,</w:t>
      </w:r>
      <w:r w:rsidR="7433E616">
        <w:rPr>
          <w:noProof/>
        </w:rPr>
        <w:t xml:space="preserve"> </w:t>
      </w:r>
      <w:r w:rsidR="00C860A6" w:rsidRPr="00C860A6">
        <w:rPr>
          <w:noProof/>
        </w:rPr>
        <w:t>also to be supported by Application Programming Interface (API);</w:t>
      </w:r>
      <w:r w:rsidR="00C13BD3">
        <w:rPr>
          <w:noProof/>
        </w:rPr>
        <w:t xml:space="preserve"> </w:t>
      </w:r>
    </w:p>
    <w:p w14:paraId="1D6E72D6" w14:textId="0C177371" w:rsidR="00EB5323" w:rsidRPr="00637B48" w:rsidRDefault="65FA19A2" w:rsidP="003837B8">
      <w:pPr>
        <w:pStyle w:val="ListParagraph"/>
        <w:numPr>
          <w:ilvl w:val="0"/>
          <w:numId w:val="82"/>
        </w:numPr>
        <w:spacing w:after="120" w:line="259" w:lineRule="auto"/>
        <w:rPr>
          <w:noProof/>
          <w:lang w:val="en-IE"/>
        </w:rPr>
      </w:pPr>
      <w:r>
        <w:rPr>
          <w:noProof/>
        </w:rPr>
        <w:t>R</w:t>
      </w:r>
      <w:r w:rsidR="004D272D">
        <w:rPr>
          <w:noProof/>
        </w:rPr>
        <w:t>egistration of new roles</w:t>
      </w:r>
      <w:r w:rsidR="00B421A9">
        <w:rPr>
          <w:noProof/>
        </w:rPr>
        <w:t xml:space="preserve"> (</w:t>
      </w:r>
      <w:r w:rsidR="00B421A9" w:rsidRPr="00637B48">
        <w:rPr>
          <w:noProof/>
        </w:rPr>
        <w:t>micro or small primary operators, non-SMEs downstream operators or traders</w:t>
      </w:r>
      <w:r w:rsidR="00F12242" w:rsidRPr="00637B48">
        <w:rPr>
          <w:noProof/>
        </w:rPr>
        <w:t>)</w:t>
      </w:r>
      <w:r w:rsidR="004D272D">
        <w:rPr>
          <w:noProof/>
        </w:rPr>
        <w:t>;</w:t>
      </w:r>
      <w:r w:rsidR="00C13BD3">
        <w:rPr>
          <w:noProof/>
        </w:rPr>
        <w:t xml:space="preserve"> </w:t>
      </w:r>
    </w:p>
    <w:p w14:paraId="34CD2966" w14:textId="6EE75B4E" w:rsidR="00EB5323" w:rsidRPr="00637B48" w:rsidRDefault="51BAF299" w:rsidP="04C3F146">
      <w:pPr>
        <w:pStyle w:val="ListParagraph"/>
        <w:numPr>
          <w:ilvl w:val="0"/>
          <w:numId w:val="82"/>
        </w:numPr>
        <w:spacing w:after="120" w:line="259" w:lineRule="auto"/>
        <w:rPr>
          <w:noProof/>
          <w:lang w:val="en-IE"/>
        </w:rPr>
      </w:pPr>
      <w:r>
        <w:rPr>
          <w:noProof/>
        </w:rPr>
        <w:t>U</w:t>
      </w:r>
      <w:r w:rsidR="507AF00B">
        <w:rPr>
          <w:noProof/>
        </w:rPr>
        <w:t>pdat</w:t>
      </w:r>
      <w:r w:rsidR="732FF8C4">
        <w:rPr>
          <w:noProof/>
        </w:rPr>
        <w:t>ing</w:t>
      </w:r>
      <w:r w:rsidR="00C12658">
        <w:rPr>
          <w:noProof/>
        </w:rPr>
        <w:t xml:space="preserve"> the</w:t>
      </w:r>
      <w:r w:rsidR="507AF00B">
        <w:rPr>
          <w:noProof/>
        </w:rPr>
        <w:t xml:space="preserve"> </w:t>
      </w:r>
      <w:r w:rsidR="5983936B">
        <w:rPr>
          <w:noProof/>
        </w:rPr>
        <w:t xml:space="preserve">webservice </w:t>
      </w:r>
      <w:r w:rsidR="01AACE78">
        <w:rPr>
          <w:noProof/>
        </w:rPr>
        <w:t>s</w:t>
      </w:r>
      <w:r w:rsidR="507AF00B">
        <w:rPr>
          <w:noProof/>
        </w:rPr>
        <w:t>pecifications</w:t>
      </w:r>
      <w:r w:rsidR="5983936B">
        <w:rPr>
          <w:noProof/>
        </w:rPr>
        <w:t xml:space="preserve"> </w:t>
      </w:r>
      <w:r w:rsidR="00C12658">
        <w:rPr>
          <w:noProof/>
        </w:rPr>
        <w:t>to mirror</w:t>
      </w:r>
      <w:r w:rsidR="00C12658" w:rsidRPr="00C13BD3">
        <w:rPr>
          <w:noProof/>
          <w:lang w:val="en-IE"/>
        </w:rPr>
        <w:t xml:space="preserve"> </w:t>
      </w:r>
      <w:r w:rsidR="0E3EABFB" w:rsidRPr="04C3F146">
        <w:rPr>
          <w:noProof/>
          <w:lang w:val="en-IE"/>
        </w:rPr>
        <w:t xml:space="preserve">the </w:t>
      </w:r>
      <w:r w:rsidR="01AACE78" w:rsidRPr="00C13BD3">
        <w:rPr>
          <w:noProof/>
          <w:lang w:val="en-IE"/>
        </w:rPr>
        <w:t xml:space="preserve">existing </w:t>
      </w:r>
      <w:r w:rsidR="005F68D2" w:rsidRPr="00C13BD3">
        <w:rPr>
          <w:noProof/>
          <w:lang w:val="en-IE"/>
        </w:rPr>
        <w:t xml:space="preserve">system </w:t>
      </w:r>
      <w:r w:rsidR="35B307B6" w:rsidRPr="00C13BD3">
        <w:rPr>
          <w:noProof/>
          <w:lang w:val="en-IE"/>
        </w:rPr>
        <w:t>functionalities</w:t>
      </w:r>
      <w:r w:rsidR="7BA0F04E" w:rsidRPr="04C3F146">
        <w:rPr>
          <w:noProof/>
          <w:lang w:val="en-IE"/>
        </w:rPr>
        <w:t xml:space="preserve"> and</w:t>
      </w:r>
      <w:r w:rsidR="00C13BD3" w:rsidRPr="00C13BD3">
        <w:rPr>
          <w:noProof/>
          <w:lang w:val="en-IE"/>
        </w:rPr>
        <w:t xml:space="preserve"> </w:t>
      </w:r>
      <w:r w:rsidR="7CC67B79">
        <w:rPr>
          <w:noProof/>
        </w:rPr>
        <w:t>c</w:t>
      </w:r>
      <w:r w:rsidR="12B38E59">
        <w:rPr>
          <w:noProof/>
        </w:rPr>
        <w:t xml:space="preserve">ontingency </w:t>
      </w:r>
      <w:r w:rsidR="00805BAA">
        <w:rPr>
          <w:noProof/>
        </w:rPr>
        <w:t>arrangements</w:t>
      </w:r>
      <w:r w:rsidR="00AD2584">
        <w:rPr>
          <w:noProof/>
        </w:rPr>
        <w:t xml:space="preserve">; </w:t>
      </w:r>
    </w:p>
    <w:p w14:paraId="611284BC" w14:textId="4816EBD6" w:rsidR="00EB5323" w:rsidRPr="00637B48" w:rsidRDefault="4A835AA5" w:rsidP="04C3F146">
      <w:pPr>
        <w:pStyle w:val="ListParagraph"/>
        <w:numPr>
          <w:ilvl w:val="0"/>
          <w:numId w:val="82"/>
        </w:numPr>
        <w:spacing w:after="120" w:line="259" w:lineRule="auto"/>
        <w:rPr>
          <w:noProof/>
          <w:lang w:val="en-IE"/>
        </w:rPr>
      </w:pPr>
      <w:r>
        <w:rPr>
          <w:noProof/>
        </w:rPr>
        <w:t>V</w:t>
      </w:r>
      <w:r w:rsidR="74CE91BE">
        <w:rPr>
          <w:noProof/>
        </w:rPr>
        <w:t xml:space="preserve">oluntary </w:t>
      </w:r>
      <w:r w:rsidR="74CE91BE" w:rsidRPr="00C13BD3">
        <w:rPr>
          <w:noProof/>
          <w:lang w:val="en-IE"/>
        </w:rPr>
        <w:t xml:space="preserve">grouping features </w:t>
      </w:r>
      <w:r w:rsidR="00202A3A" w:rsidRPr="00C13BD3">
        <w:rPr>
          <w:noProof/>
          <w:lang w:val="en-IE"/>
        </w:rPr>
        <w:t>to be</w:t>
      </w:r>
      <w:r w:rsidR="74CE91BE" w:rsidRPr="00C13BD3">
        <w:rPr>
          <w:noProof/>
          <w:lang w:val="en-IE"/>
        </w:rPr>
        <w:t xml:space="preserve"> </w:t>
      </w:r>
      <w:r w:rsidR="6433EEE8" w:rsidRPr="6A4009F4">
        <w:rPr>
          <w:noProof/>
          <w:lang w:val="en-IE"/>
        </w:rPr>
        <w:t xml:space="preserve">also </w:t>
      </w:r>
      <w:r w:rsidR="74CE91BE" w:rsidRPr="00C13BD3">
        <w:rPr>
          <w:noProof/>
          <w:lang w:val="en-IE"/>
        </w:rPr>
        <w:t>added following requests from the business sector.</w:t>
      </w:r>
      <w:r w:rsidR="74CE91BE">
        <w:rPr>
          <w:noProof/>
        </w:rPr>
        <w:t xml:space="preserve"> </w:t>
      </w:r>
    </w:p>
    <w:p w14:paraId="2DBF3DE2" w14:textId="70BED345" w:rsidR="005D1C0B" w:rsidRDefault="0269589B" w:rsidP="7A228EF8">
      <w:pPr>
        <w:spacing w:after="120"/>
        <w:rPr>
          <w:noProof/>
          <w:lang w:val="en-IE"/>
        </w:rPr>
      </w:pPr>
      <w:r>
        <w:rPr>
          <w:noProof/>
        </w:rPr>
        <w:t>In parallel, the Commission encourag</w:t>
      </w:r>
      <w:r w:rsidR="0064068C">
        <w:rPr>
          <w:noProof/>
        </w:rPr>
        <w:t>es</w:t>
      </w:r>
      <w:r>
        <w:rPr>
          <w:noProof/>
        </w:rPr>
        <w:t xml:space="preserve"> submission of information held in national databases and </w:t>
      </w:r>
      <w:r w:rsidR="00D96B3E">
        <w:rPr>
          <w:noProof/>
        </w:rPr>
        <w:t>will</w:t>
      </w:r>
      <w:r>
        <w:rPr>
          <w:noProof/>
        </w:rPr>
        <w:t xml:space="preserve"> support Member States </w:t>
      </w:r>
      <w:r w:rsidR="00D96B3E">
        <w:rPr>
          <w:noProof/>
        </w:rPr>
        <w:t>in using</w:t>
      </w:r>
      <w:r>
        <w:rPr>
          <w:noProof/>
        </w:rPr>
        <w:t xml:space="preserve"> the simplification introduced by Article 4a(4), with a view to </w:t>
      </w:r>
      <w:r w:rsidR="00906F55">
        <w:rPr>
          <w:noProof/>
        </w:rPr>
        <w:t xml:space="preserve">ensure that </w:t>
      </w:r>
      <w:r>
        <w:rPr>
          <w:noProof/>
        </w:rPr>
        <w:t>the administrative burden for micro and small primary operators</w:t>
      </w:r>
      <w:r w:rsidR="00906F55">
        <w:rPr>
          <w:noProof/>
        </w:rPr>
        <w:t xml:space="preserve"> is </w:t>
      </w:r>
      <w:r w:rsidR="00D96B3E">
        <w:rPr>
          <w:noProof/>
        </w:rPr>
        <w:t>negligible</w:t>
      </w:r>
      <w:r>
        <w:rPr>
          <w:noProof/>
        </w:rPr>
        <w:t xml:space="preserve">. The Commission </w:t>
      </w:r>
      <w:r w:rsidR="00906F55">
        <w:rPr>
          <w:noProof/>
        </w:rPr>
        <w:t>will</w:t>
      </w:r>
      <w:r>
        <w:rPr>
          <w:noProof/>
        </w:rPr>
        <w:t xml:space="preserve"> establish the necessary technical infrastructure (notably through API) to facilitate this process. </w:t>
      </w:r>
    </w:p>
    <w:p w14:paraId="3977E2C6" w14:textId="64A05426" w:rsidR="008A6291" w:rsidRDefault="009029B2" w:rsidP="0012174E">
      <w:pPr>
        <w:spacing w:after="120"/>
        <w:rPr>
          <w:noProof/>
        </w:rPr>
      </w:pPr>
      <w:r w:rsidRPr="7564BDF1">
        <w:rPr>
          <w:noProof/>
          <w:lang w:val="en-IE"/>
        </w:rPr>
        <w:t xml:space="preserve">To further support operators in the use of the system, </w:t>
      </w:r>
      <w:r w:rsidR="00701418" w:rsidRPr="7564BDF1">
        <w:rPr>
          <w:noProof/>
          <w:lang w:val="en-IE"/>
        </w:rPr>
        <w:t xml:space="preserve">the Commission will continue to refine the system and its documentation on an ongoing basis. This includes planned updates </w:t>
      </w:r>
      <w:r w:rsidR="007C6794">
        <w:rPr>
          <w:noProof/>
          <w:lang w:val="en-IE"/>
        </w:rPr>
        <w:t>of</w:t>
      </w:r>
      <w:r w:rsidR="00701418" w:rsidRPr="7564BDF1">
        <w:rPr>
          <w:noProof/>
          <w:lang w:val="en-IE"/>
        </w:rPr>
        <w:t xml:space="preserve"> user instructions, guidance on geolocation data handling, and the description of error codes</w:t>
      </w:r>
      <w:r w:rsidR="47FD9359" w:rsidRPr="7564BDF1">
        <w:rPr>
          <w:noProof/>
          <w:lang w:val="en-IE"/>
        </w:rPr>
        <w:t>.</w:t>
      </w:r>
      <w:r w:rsidR="47FD9359" w:rsidRPr="5C1B9F2D">
        <w:rPr>
          <w:noProof/>
          <w:lang w:val="en-IE"/>
        </w:rPr>
        <w:t xml:space="preserve"> </w:t>
      </w:r>
      <w:r w:rsidR="00E14AC5">
        <w:rPr>
          <w:noProof/>
        </w:rPr>
        <w:t>Specific attention will be given to facilitating data submissions for micro or small primary operators, including via their producer organisations or associations acting as authorised representatives on their behalf.</w:t>
      </w:r>
    </w:p>
    <w:p w14:paraId="02877F02" w14:textId="735E3720" w:rsidR="001A0EBF" w:rsidRPr="0012174E" w:rsidRDefault="007F3567" w:rsidP="00D21269">
      <w:pPr>
        <w:spacing w:before="120"/>
        <w:jc w:val="left"/>
        <w:rPr>
          <w:b/>
          <w:bCs/>
          <w:noProof/>
          <w:szCs w:val="24"/>
        </w:rPr>
      </w:pPr>
      <w:r w:rsidRPr="0012174E">
        <w:rPr>
          <w:b/>
          <w:bCs/>
          <w:noProof/>
          <w:szCs w:val="24"/>
        </w:rPr>
        <w:t>4</w:t>
      </w:r>
      <w:r w:rsidR="001A0EBF" w:rsidRPr="0012174E">
        <w:rPr>
          <w:b/>
          <w:bCs/>
          <w:noProof/>
          <w:szCs w:val="24"/>
        </w:rPr>
        <w:t xml:space="preserve">.3 </w:t>
      </w:r>
      <w:r w:rsidR="004B6324" w:rsidRPr="0012174E">
        <w:rPr>
          <w:b/>
          <w:bCs/>
          <w:noProof/>
          <w:szCs w:val="24"/>
        </w:rPr>
        <w:t xml:space="preserve">Product scope  </w:t>
      </w:r>
    </w:p>
    <w:p w14:paraId="60042B05" w14:textId="2F77A01B" w:rsidR="00C71C15" w:rsidRPr="0012174E" w:rsidRDefault="006B7EC5" w:rsidP="0012174E">
      <w:pPr>
        <w:spacing w:after="120"/>
        <w:rPr>
          <w:noProof/>
          <w:szCs w:val="24"/>
          <w:lang w:val="en-IE"/>
        </w:rPr>
      </w:pPr>
      <w:r w:rsidRPr="04FCC814">
        <w:rPr>
          <w:noProof/>
          <w:lang w:val="en-IE"/>
        </w:rPr>
        <w:t>Together with this Report,</w:t>
      </w:r>
      <w:r>
        <w:rPr>
          <w:noProof/>
          <w:lang w:val="en-IE"/>
        </w:rPr>
        <w:t xml:space="preserve"> </w:t>
      </w:r>
      <w:r>
        <w:rPr>
          <w:noProof/>
          <w:szCs w:val="24"/>
          <w:lang w:val="en-IE"/>
        </w:rPr>
        <w:t>t</w:t>
      </w:r>
      <w:r w:rsidR="008A3F72" w:rsidRPr="0012174E">
        <w:rPr>
          <w:noProof/>
          <w:szCs w:val="24"/>
          <w:lang w:val="en-IE"/>
        </w:rPr>
        <w:t xml:space="preserve">he </w:t>
      </w:r>
      <w:r w:rsidR="008A3F72" w:rsidRPr="0021237E">
        <w:rPr>
          <w:b/>
          <w:bCs/>
          <w:noProof/>
          <w:szCs w:val="24"/>
          <w:lang w:val="en-IE"/>
        </w:rPr>
        <w:t xml:space="preserve">Commission </w:t>
      </w:r>
      <w:r w:rsidR="0036794F" w:rsidRPr="0021237E">
        <w:rPr>
          <w:b/>
          <w:bCs/>
          <w:noProof/>
          <w:szCs w:val="24"/>
          <w:lang w:val="en-IE"/>
        </w:rPr>
        <w:t>also</w:t>
      </w:r>
      <w:r w:rsidR="008A3F72" w:rsidRPr="0021237E">
        <w:rPr>
          <w:b/>
          <w:bCs/>
          <w:noProof/>
          <w:szCs w:val="24"/>
          <w:lang w:val="en-IE"/>
        </w:rPr>
        <w:t xml:space="preserve"> </w:t>
      </w:r>
      <w:r w:rsidR="00B16DBB">
        <w:rPr>
          <w:b/>
          <w:bCs/>
          <w:noProof/>
          <w:szCs w:val="24"/>
          <w:lang w:val="en-IE"/>
        </w:rPr>
        <w:t>published for public feedback a draft Delegated Act</w:t>
      </w:r>
      <w:r w:rsidR="002611E5">
        <w:rPr>
          <w:b/>
          <w:bCs/>
          <w:noProof/>
          <w:szCs w:val="24"/>
          <w:lang w:val="en-IE"/>
        </w:rPr>
        <w:t xml:space="preserve"> </w:t>
      </w:r>
      <w:r w:rsidR="0076499A" w:rsidRPr="0021237E">
        <w:rPr>
          <w:noProof/>
          <w:lang w:val="en-IE"/>
        </w:rPr>
        <w:t>(</w:t>
      </w:r>
      <w:r w:rsidR="0076499A" w:rsidRPr="0021237E">
        <w:rPr>
          <w:rStyle w:val="FootnoteReference"/>
          <w:noProof/>
          <w:lang w:val="en-IE"/>
        </w:rPr>
        <w:footnoteReference w:id="37"/>
      </w:r>
      <w:r w:rsidR="0076499A" w:rsidRPr="0021237E">
        <w:rPr>
          <w:noProof/>
          <w:lang w:val="en-IE"/>
        </w:rPr>
        <w:t>)</w:t>
      </w:r>
      <w:r w:rsidR="0076499A" w:rsidRPr="0021237E">
        <w:rPr>
          <w:b/>
          <w:noProof/>
          <w:szCs w:val="24"/>
          <w:lang w:val="en-IE"/>
        </w:rPr>
        <w:t xml:space="preserve"> </w:t>
      </w:r>
      <w:r w:rsidR="00B16DBB">
        <w:rPr>
          <w:b/>
          <w:bCs/>
          <w:noProof/>
          <w:szCs w:val="24"/>
          <w:lang w:val="en-IE"/>
        </w:rPr>
        <w:t xml:space="preserve">with </w:t>
      </w:r>
      <w:r w:rsidR="007C6794">
        <w:rPr>
          <w:b/>
          <w:bCs/>
          <w:noProof/>
          <w:szCs w:val="24"/>
          <w:lang w:val="en-IE"/>
        </w:rPr>
        <w:t>adjustments</w:t>
      </w:r>
      <w:r w:rsidR="007C6794" w:rsidRPr="0021237E">
        <w:rPr>
          <w:b/>
          <w:bCs/>
          <w:noProof/>
          <w:szCs w:val="24"/>
          <w:lang w:val="en-IE"/>
        </w:rPr>
        <w:t xml:space="preserve"> </w:t>
      </w:r>
      <w:r w:rsidR="029A47B4" w:rsidRPr="0021237E">
        <w:rPr>
          <w:b/>
          <w:bCs/>
          <w:noProof/>
          <w:szCs w:val="24"/>
          <w:lang w:val="en-IE"/>
        </w:rPr>
        <w:t>to</w:t>
      </w:r>
      <w:r w:rsidR="2C365EBD" w:rsidRPr="0021237E">
        <w:rPr>
          <w:b/>
          <w:bCs/>
          <w:noProof/>
          <w:szCs w:val="24"/>
          <w:lang w:val="en-IE"/>
        </w:rPr>
        <w:t xml:space="preserve"> </w:t>
      </w:r>
      <w:r w:rsidR="00D90D7C" w:rsidRPr="0021237E">
        <w:rPr>
          <w:b/>
          <w:bCs/>
          <w:noProof/>
          <w:szCs w:val="24"/>
          <w:lang w:val="en-IE"/>
        </w:rPr>
        <w:t>the product scope of the EUDR</w:t>
      </w:r>
      <w:r w:rsidR="00B07C74" w:rsidRPr="0012174E">
        <w:rPr>
          <w:noProof/>
          <w:szCs w:val="24"/>
          <w:lang w:val="en-IE"/>
        </w:rPr>
        <w:t xml:space="preserve"> </w:t>
      </w:r>
      <w:r w:rsidR="00F347B8" w:rsidRPr="0012174E">
        <w:rPr>
          <w:noProof/>
          <w:szCs w:val="24"/>
          <w:lang w:val="en-IE"/>
        </w:rPr>
        <w:t xml:space="preserve">defined in </w:t>
      </w:r>
      <w:r w:rsidR="00E709CC" w:rsidRPr="0012174E">
        <w:rPr>
          <w:noProof/>
          <w:szCs w:val="24"/>
          <w:lang w:val="en-IE"/>
        </w:rPr>
        <w:t>Annex I</w:t>
      </w:r>
      <w:r w:rsidR="00D436D8" w:rsidRPr="0012174E">
        <w:rPr>
          <w:noProof/>
          <w:szCs w:val="24"/>
          <w:lang w:val="en-IE"/>
        </w:rPr>
        <w:t>.</w:t>
      </w:r>
      <w:r w:rsidR="0036725E" w:rsidRPr="0012174E">
        <w:rPr>
          <w:noProof/>
          <w:szCs w:val="24"/>
          <w:lang w:val="en-IE"/>
        </w:rPr>
        <w:t xml:space="preserve"> </w:t>
      </w:r>
      <w:r w:rsidR="00D436D8" w:rsidRPr="0012174E">
        <w:rPr>
          <w:noProof/>
          <w:szCs w:val="24"/>
          <w:lang w:val="en-IE"/>
        </w:rPr>
        <w:t>This annex</w:t>
      </w:r>
      <w:r w:rsidR="00026A4C" w:rsidRPr="0012174E">
        <w:rPr>
          <w:noProof/>
          <w:szCs w:val="24"/>
          <w:lang w:val="en-IE"/>
        </w:rPr>
        <w:t xml:space="preserve"> </w:t>
      </w:r>
      <w:r w:rsidR="0036725E" w:rsidRPr="0012174E">
        <w:rPr>
          <w:noProof/>
          <w:szCs w:val="24"/>
          <w:lang w:val="en-IE"/>
        </w:rPr>
        <w:t xml:space="preserve">lists </w:t>
      </w:r>
      <w:r w:rsidR="003D3408" w:rsidRPr="0012174E">
        <w:rPr>
          <w:noProof/>
          <w:szCs w:val="24"/>
          <w:lang w:val="en-IE"/>
        </w:rPr>
        <w:t xml:space="preserve">the relevant products </w:t>
      </w:r>
      <w:r w:rsidR="008164DF" w:rsidRPr="0012174E">
        <w:rPr>
          <w:noProof/>
          <w:szCs w:val="24"/>
          <w:lang w:val="en-IE"/>
        </w:rPr>
        <w:t xml:space="preserve">subject to </w:t>
      </w:r>
      <w:r w:rsidR="009B1507">
        <w:rPr>
          <w:noProof/>
          <w:szCs w:val="24"/>
          <w:lang w:val="en-IE"/>
        </w:rPr>
        <w:t>EUDR</w:t>
      </w:r>
      <w:r w:rsidR="008164DF" w:rsidRPr="0012174E">
        <w:rPr>
          <w:noProof/>
          <w:szCs w:val="24"/>
          <w:lang w:val="en-IE"/>
        </w:rPr>
        <w:t xml:space="preserve"> </w:t>
      </w:r>
      <w:r w:rsidR="003D3408" w:rsidRPr="0012174E">
        <w:rPr>
          <w:noProof/>
          <w:szCs w:val="24"/>
          <w:lang w:val="en-IE"/>
        </w:rPr>
        <w:t>obligation</w:t>
      </w:r>
      <w:r w:rsidR="00910563" w:rsidRPr="0012174E">
        <w:rPr>
          <w:noProof/>
          <w:szCs w:val="24"/>
          <w:lang w:val="en-IE"/>
        </w:rPr>
        <w:t>s</w:t>
      </w:r>
      <w:r w:rsidR="00026A4C" w:rsidRPr="0012174E">
        <w:rPr>
          <w:noProof/>
          <w:szCs w:val="24"/>
          <w:lang w:val="en-IE"/>
        </w:rPr>
        <w:t xml:space="preserve"> when they are placed on, made available on, or exported from the market</w:t>
      </w:r>
      <w:r w:rsidR="007C6794">
        <w:rPr>
          <w:noProof/>
          <w:szCs w:val="24"/>
          <w:lang w:val="en-IE"/>
        </w:rPr>
        <w:t>. T</w:t>
      </w:r>
      <w:r w:rsidR="00FF6E47" w:rsidRPr="0012174E">
        <w:rPr>
          <w:noProof/>
          <w:szCs w:val="24"/>
          <w:lang w:val="en-IE"/>
        </w:rPr>
        <w:t>he Commission is empowered to a</w:t>
      </w:r>
      <w:r w:rsidR="00C71C15" w:rsidRPr="0012174E">
        <w:rPr>
          <w:noProof/>
          <w:szCs w:val="24"/>
          <w:lang w:val="en-IE"/>
        </w:rPr>
        <w:t>mend</w:t>
      </w:r>
      <w:r w:rsidR="00FF6E47" w:rsidRPr="0012174E">
        <w:rPr>
          <w:noProof/>
          <w:szCs w:val="24"/>
          <w:lang w:val="en-IE"/>
        </w:rPr>
        <w:t xml:space="preserve"> the</w:t>
      </w:r>
      <w:r w:rsidR="00C71C15" w:rsidRPr="0012174E">
        <w:rPr>
          <w:noProof/>
          <w:szCs w:val="24"/>
          <w:lang w:val="en-IE"/>
        </w:rPr>
        <w:t xml:space="preserve"> Annex a delegated act.</w:t>
      </w:r>
    </w:p>
    <w:p w14:paraId="1642CE66" w14:textId="22E384E2" w:rsidR="008F1F76" w:rsidRPr="0012174E" w:rsidRDefault="00087B9C" w:rsidP="0012174E">
      <w:pPr>
        <w:spacing w:after="120"/>
        <w:rPr>
          <w:noProof/>
          <w:lang w:val="en-IE"/>
        </w:rPr>
      </w:pPr>
      <w:r>
        <w:rPr>
          <w:noProof/>
          <w:lang w:val="en-IE"/>
        </w:rPr>
        <w:t>T</w:t>
      </w:r>
      <w:r w:rsidR="4FC67F71" w:rsidRPr="04FCC814">
        <w:rPr>
          <w:noProof/>
          <w:lang w:val="en-IE"/>
        </w:rPr>
        <w:t>he</w:t>
      </w:r>
      <w:r w:rsidR="00FF6E47" w:rsidRPr="04FCC814">
        <w:rPr>
          <w:noProof/>
          <w:lang w:val="en-IE"/>
        </w:rPr>
        <w:t xml:space="preserve"> Commission seek</w:t>
      </w:r>
      <w:r w:rsidR="007C6794">
        <w:rPr>
          <w:noProof/>
          <w:lang w:val="en-IE"/>
        </w:rPr>
        <w:t>s</w:t>
      </w:r>
      <w:r w:rsidR="1F864D88" w:rsidRPr="04FCC814">
        <w:rPr>
          <w:noProof/>
          <w:lang w:val="en-IE"/>
        </w:rPr>
        <w:t xml:space="preserve"> stakeholder views on </w:t>
      </w:r>
      <w:r w:rsidR="06CA09CF" w:rsidRPr="04FCC814">
        <w:rPr>
          <w:noProof/>
          <w:lang w:val="en-IE"/>
        </w:rPr>
        <w:t xml:space="preserve">the </w:t>
      </w:r>
      <w:r w:rsidR="005B76F5" w:rsidRPr="04FCC814">
        <w:rPr>
          <w:noProof/>
          <w:lang w:val="en-IE"/>
        </w:rPr>
        <w:t xml:space="preserve">introduction of </w:t>
      </w:r>
      <w:r w:rsidR="00292313" w:rsidRPr="04FCC814">
        <w:rPr>
          <w:noProof/>
          <w:lang w:val="en-IE"/>
        </w:rPr>
        <w:t xml:space="preserve">horizontal </w:t>
      </w:r>
      <w:r w:rsidR="009F32AD" w:rsidRPr="04FCC814">
        <w:rPr>
          <w:noProof/>
          <w:lang w:val="en-IE"/>
        </w:rPr>
        <w:t>exemptions</w:t>
      </w:r>
      <w:r w:rsidR="00292313" w:rsidRPr="04FCC814">
        <w:rPr>
          <w:noProof/>
          <w:lang w:val="en-IE"/>
        </w:rPr>
        <w:t xml:space="preserve"> and clarifications</w:t>
      </w:r>
      <w:r w:rsidR="005B76F5" w:rsidRPr="04FCC814">
        <w:rPr>
          <w:noProof/>
          <w:lang w:val="en-IE"/>
        </w:rPr>
        <w:t xml:space="preserve">, </w:t>
      </w:r>
      <w:r w:rsidR="69F37561" w:rsidRPr="04FCC814">
        <w:rPr>
          <w:noProof/>
          <w:lang w:val="en-IE"/>
        </w:rPr>
        <w:t xml:space="preserve">on the </w:t>
      </w:r>
      <w:r w:rsidR="00292313" w:rsidRPr="04FCC814">
        <w:rPr>
          <w:noProof/>
          <w:lang w:val="en-IE"/>
        </w:rPr>
        <w:t>streamlin</w:t>
      </w:r>
      <w:r w:rsidR="039DBBE8" w:rsidRPr="04FCC814">
        <w:rPr>
          <w:noProof/>
          <w:lang w:val="en-IE"/>
        </w:rPr>
        <w:t>ing of</w:t>
      </w:r>
      <w:r w:rsidR="00292313" w:rsidRPr="04FCC814">
        <w:rPr>
          <w:noProof/>
          <w:lang w:val="en-IE"/>
        </w:rPr>
        <w:t xml:space="preserve"> how EUDR provisions apply to specific categories of products and use cases, as well as </w:t>
      </w:r>
      <w:r w:rsidR="7668EF45" w:rsidRPr="04FCC814">
        <w:rPr>
          <w:noProof/>
          <w:lang w:val="en-IE"/>
        </w:rPr>
        <w:t>on</w:t>
      </w:r>
      <w:r w:rsidR="0DEC0BF3" w:rsidRPr="04FCC814">
        <w:rPr>
          <w:noProof/>
          <w:lang w:val="en-IE"/>
        </w:rPr>
        <w:t xml:space="preserve"> </w:t>
      </w:r>
      <w:r w:rsidR="00292313" w:rsidRPr="04FCC814">
        <w:rPr>
          <w:noProof/>
          <w:lang w:val="en-IE"/>
        </w:rPr>
        <w:t>targeted changes to specific CN codes</w:t>
      </w:r>
      <w:r w:rsidR="00F6538B" w:rsidRPr="04FCC814">
        <w:rPr>
          <w:noProof/>
          <w:lang w:val="en-IE"/>
        </w:rPr>
        <w:t xml:space="preserve"> </w:t>
      </w:r>
      <w:r w:rsidR="00220BAB" w:rsidRPr="04FCC814">
        <w:rPr>
          <w:noProof/>
          <w:lang w:val="en-IE"/>
        </w:rPr>
        <w:t xml:space="preserve">in order to </w:t>
      </w:r>
      <w:r w:rsidR="76003C57" w:rsidRPr="04FCC814">
        <w:rPr>
          <w:noProof/>
          <w:lang w:val="en-IE"/>
        </w:rPr>
        <w:t xml:space="preserve">ensure </w:t>
      </w:r>
      <w:r w:rsidR="001B1A19">
        <w:rPr>
          <w:noProof/>
          <w:lang w:val="en-IE"/>
        </w:rPr>
        <w:t>a coherent approach</w:t>
      </w:r>
      <w:r w:rsidR="004A47CB" w:rsidRPr="04FCC814">
        <w:rPr>
          <w:noProof/>
          <w:lang w:val="en-IE"/>
        </w:rPr>
        <w:t xml:space="preserve"> </w:t>
      </w:r>
      <w:r w:rsidR="00A950FB" w:rsidRPr="04FCC814">
        <w:rPr>
          <w:noProof/>
          <w:lang w:val="en-IE"/>
        </w:rPr>
        <w:t xml:space="preserve">and </w:t>
      </w:r>
      <w:r w:rsidR="00077D4D" w:rsidRPr="04FCC814">
        <w:rPr>
          <w:noProof/>
          <w:lang w:val="en-IE"/>
        </w:rPr>
        <w:t xml:space="preserve">effective implementation of the EUDR. </w:t>
      </w:r>
    </w:p>
    <w:p w14:paraId="170682A6" w14:textId="1B69F9BC" w:rsidR="00D26CE6" w:rsidRPr="0012174E" w:rsidRDefault="1B71960B" w:rsidP="0012174E">
      <w:pPr>
        <w:spacing w:after="120"/>
        <w:rPr>
          <w:noProof/>
        </w:rPr>
      </w:pPr>
      <w:r w:rsidRPr="7A228EF8">
        <w:rPr>
          <w:noProof/>
          <w:lang w:val="en-IE"/>
        </w:rPr>
        <w:t>Specifically,</w:t>
      </w:r>
      <w:r w:rsidRPr="7A228EF8">
        <w:rPr>
          <w:b/>
          <w:bCs/>
          <w:noProof/>
          <w:lang w:val="en-IE"/>
        </w:rPr>
        <w:t xml:space="preserve"> </w:t>
      </w:r>
      <w:r w:rsidR="3E5FBA69" w:rsidRPr="7A228EF8">
        <w:rPr>
          <w:noProof/>
          <w:lang w:val="en-IE"/>
        </w:rPr>
        <w:t>h</w:t>
      </w:r>
      <w:r w:rsidR="148160EC" w:rsidRPr="7A228EF8">
        <w:rPr>
          <w:noProof/>
          <w:lang w:val="en-IE"/>
        </w:rPr>
        <w:t>orizont</w:t>
      </w:r>
      <w:r w:rsidR="3475AC81" w:rsidRPr="7A228EF8">
        <w:rPr>
          <w:noProof/>
          <w:lang w:val="en-IE"/>
        </w:rPr>
        <w:t xml:space="preserve">al exemptions </w:t>
      </w:r>
      <w:r w:rsidR="7DEB53B0" w:rsidRPr="7A228EF8">
        <w:rPr>
          <w:noProof/>
          <w:lang w:val="en-IE"/>
        </w:rPr>
        <w:t xml:space="preserve">are </w:t>
      </w:r>
      <w:r w:rsidR="007C6794">
        <w:rPr>
          <w:noProof/>
          <w:lang w:val="en-IE"/>
        </w:rPr>
        <w:t>proposed</w:t>
      </w:r>
      <w:r w:rsidR="007C6794" w:rsidRPr="7A228EF8">
        <w:rPr>
          <w:noProof/>
          <w:lang w:val="en-IE"/>
        </w:rPr>
        <w:t xml:space="preserve"> </w:t>
      </w:r>
      <w:r w:rsidR="7DEB53B0" w:rsidRPr="7A228EF8">
        <w:rPr>
          <w:noProof/>
          <w:lang w:val="en-IE"/>
        </w:rPr>
        <w:t xml:space="preserve">to </w:t>
      </w:r>
      <w:r w:rsidR="7DEB53B0">
        <w:rPr>
          <w:noProof/>
        </w:rPr>
        <w:t xml:space="preserve">ensure that the EUDR focuses on products that are associated with deforestation risks, while avoiding unnecessary administrative burden. In particular, the draft text proposes to exempt </w:t>
      </w:r>
      <w:r w:rsidR="7A3B7B68">
        <w:rPr>
          <w:noProof/>
        </w:rPr>
        <w:t>s</w:t>
      </w:r>
      <w:r w:rsidR="0805CBE9">
        <w:rPr>
          <w:noProof/>
        </w:rPr>
        <w:t>amples and products used for examination, analysis, and testin</w:t>
      </w:r>
      <w:r w:rsidR="5FA9188A">
        <w:rPr>
          <w:noProof/>
        </w:rPr>
        <w:t>g</w:t>
      </w:r>
      <w:r w:rsidR="307DA3F7">
        <w:rPr>
          <w:noProof/>
        </w:rPr>
        <w:t>;</w:t>
      </w:r>
      <w:r w:rsidR="5E871D10">
        <w:rPr>
          <w:noProof/>
        </w:rPr>
        <w:t xml:space="preserve"> </w:t>
      </w:r>
      <w:r w:rsidR="7A3B7B68">
        <w:rPr>
          <w:noProof/>
        </w:rPr>
        <w:t>s</w:t>
      </w:r>
      <w:r w:rsidR="293DBB16">
        <w:rPr>
          <w:noProof/>
        </w:rPr>
        <w:t>ingle-use p</w:t>
      </w:r>
      <w:r w:rsidR="0DC580E8">
        <w:rPr>
          <w:noProof/>
        </w:rPr>
        <w:t>acking materials and packing containers</w:t>
      </w:r>
      <w:r w:rsidR="307DA3F7">
        <w:rPr>
          <w:noProof/>
        </w:rPr>
        <w:t>;</w:t>
      </w:r>
      <w:r w:rsidR="0CEE035F">
        <w:rPr>
          <w:noProof/>
        </w:rPr>
        <w:t xml:space="preserve"> </w:t>
      </w:r>
      <w:r w:rsidR="7A3B7B68">
        <w:rPr>
          <w:noProof/>
        </w:rPr>
        <w:t>r</w:t>
      </w:r>
      <w:r w:rsidR="05DE5EF2">
        <w:rPr>
          <w:noProof/>
        </w:rPr>
        <w:t>eusable packing materials and containers</w:t>
      </w:r>
      <w:r w:rsidR="307DA3F7">
        <w:rPr>
          <w:noProof/>
        </w:rPr>
        <w:t>;</w:t>
      </w:r>
      <w:r w:rsidR="05DE5EF2">
        <w:rPr>
          <w:noProof/>
        </w:rPr>
        <w:t xml:space="preserve"> </w:t>
      </w:r>
      <w:r w:rsidR="7A3B7B68">
        <w:rPr>
          <w:noProof/>
        </w:rPr>
        <w:t>m</w:t>
      </w:r>
      <w:r w:rsidR="0473CE7D">
        <w:rPr>
          <w:noProof/>
        </w:rPr>
        <w:t>arketing and information materials</w:t>
      </w:r>
      <w:r w:rsidR="307DA3F7">
        <w:rPr>
          <w:noProof/>
        </w:rPr>
        <w:t>;</w:t>
      </w:r>
      <w:r w:rsidR="7A3B7B68">
        <w:rPr>
          <w:noProof/>
        </w:rPr>
        <w:t xml:space="preserve"> w</w:t>
      </w:r>
      <w:r w:rsidR="27B02D49">
        <w:rPr>
          <w:noProof/>
        </w:rPr>
        <w:t>aste, used</w:t>
      </w:r>
      <w:r w:rsidR="753E7676">
        <w:rPr>
          <w:noProof/>
        </w:rPr>
        <w:t>,</w:t>
      </w:r>
      <w:r w:rsidR="27B02D49">
        <w:rPr>
          <w:noProof/>
        </w:rPr>
        <w:t xml:space="preserve"> and second-hand products</w:t>
      </w:r>
      <w:r w:rsidR="307DA3F7">
        <w:rPr>
          <w:noProof/>
        </w:rPr>
        <w:t>;</w:t>
      </w:r>
      <w:r w:rsidR="27B02D49">
        <w:rPr>
          <w:noProof/>
        </w:rPr>
        <w:t xml:space="preserve"> </w:t>
      </w:r>
      <w:r w:rsidR="7A3B7B68">
        <w:rPr>
          <w:noProof/>
        </w:rPr>
        <w:t xml:space="preserve">as well as </w:t>
      </w:r>
      <w:r w:rsidR="07C366E5">
        <w:rPr>
          <w:noProof/>
        </w:rPr>
        <w:t>i</w:t>
      </w:r>
      <w:r w:rsidR="27B02D49">
        <w:rPr>
          <w:noProof/>
        </w:rPr>
        <w:t xml:space="preserve">tems of </w:t>
      </w:r>
      <w:r w:rsidR="17D393EE">
        <w:rPr>
          <w:noProof/>
        </w:rPr>
        <w:t>correspondence</w:t>
      </w:r>
      <w:r w:rsidR="6D7C0BA9">
        <w:rPr>
          <w:noProof/>
        </w:rPr>
        <w:t>.</w:t>
      </w:r>
      <w:r w:rsidR="69E9025D">
        <w:rPr>
          <w:noProof/>
        </w:rPr>
        <w:t xml:space="preserve"> </w:t>
      </w:r>
      <w:r w:rsidR="003D1335">
        <w:rPr>
          <w:noProof/>
        </w:rPr>
        <w:t>Most</w:t>
      </w:r>
      <w:r w:rsidR="2A274658">
        <w:rPr>
          <w:noProof/>
        </w:rPr>
        <w:t xml:space="preserve"> </w:t>
      </w:r>
      <w:r w:rsidR="007C6794">
        <w:rPr>
          <w:noProof/>
        </w:rPr>
        <w:t xml:space="preserve">of these </w:t>
      </w:r>
      <w:r w:rsidR="2A274658">
        <w:rPr>
          <w:noProof/>
        </w:rPr>
        <w:t>clarifications were already part of the draft Delegated Act publish</w:t>
      </w:r>
      <w:r w:rsidR="323DDC25">
        <w:rPr>
          <w:noProof/>
        </w:rPr>
        <w:t xml:space="preserve">ed for </w:t>
      </w:r>
      <w:r w:rsidR="132FCBCF">
        <w:rPr>
          <w:noProof/>
        </w:rPr>
        <w:t xml:space="preserve">public </w:t>
      </w:r>
      <w:r w:rsidR="323DDC25">
        <w:rPr>
          <w:noProof/>
        </w:rPr>
        <w:t>feedback</w:t>
      </w:r>
      <w:r w:rsidR="2A274658">
        <w:rPr>
          <w:noProof/>
        </w:rPr>
        <w:t xml:space="preserve"> by the Commission in 2025. </w:t>
      </w:r>
    </w:p>
    <w:p w14:paraId="41EF6624" w14:textId="0EE0379B" w:rsidR="00482EBD" w:rsidRPr="0012174E" w:rsidRDefault="00D26CE6" w:rsidP="0012174E">
      <w:pPr>
        <w:spacing w:after="120"/>
        <w:rPr>
          <w:noProof/>
          <w:szCs w:val="24"/>
        </w:rPr>
      </w:pPr>
      <w:r w:rsidRPr="0012174E">
        <w:rPr>
          <w:noProof/>
          <w:szCs w:val="24"/>
        </w:rPr>
        <w:t xml:space="preserve">Additional </w:t>
      </w:r>
      <w:r w:rsidRPr="006A5E32">
        <w:rPr>
          <w:noProof/>
          <w:szCs w:val="24"/>
        </w:rPr>
        <w:t xml:space="preserve">horizontal </w:t>
      </w:r>
      <w:r w:rsidR="00617DB0" w:rsidRPr="006A5E32">
        <w:rPr>
          <w:noProof/>
          <w:szCs w:val="24"/>
        </w:rPr>
        <w:t xml:space="preserve">clarifications </w:t>
      </w:r>
      <w:r w:rsidRPr="006A5E32">
        <w:rPr>
          <w:noProof/>
          <w:szCs w:val="24"/>
        </w:rPr>
        <w:t>are</w:t>
      </w:r>
      <w:r w:rsidRPr="0012174E">
        <w:rPr>
          <w:noProof/>
          <w:szCs w:val="24"/>
        </w:rPr>
        <w:t xml:space="preserve"> introduced by clarifying that products listed in Annex I of the EUDR are covered by its obligations only insofar as they are produced </w:t>
      </w:r>
      <w:r w:rsidR="00027D4A" w:rsidRPr="0012174E">
        <w:rPr>
          <w:noProof/>
          <w:szCs w:val="24"/>
        </w:rPr>
        <w:t>from</w:t>
      </w:r>
      <w:r w:rsidRPr="0012174E">
        <w:rPr>
          <w:noProof/>
          <w:szCs w:val="24"/>
        </w:rPr>
        <w:t xml:space="preserve"> a relevant commodity</w:t>
      </w:r>
      <w:r w:rsidR="00027D4A" w:rsidRPr="0012174E">
        <w:rPr>
          <w:noProof/>
          <w:szCs w:val="24"/>
        </w:rPr>
        <w:t>. To this end</w:t>
      </w:r>
      <w:r w:rsidR="00886965" w:rsidRPr="0012174E">
        <w:rPr>
          <w:noProof/>
          <w:szCs w:val="24"/>
        </w:rPr>
        <w:t xml:space="preserve">, the </w:t>
      </w:r>
      <w:r w:rsidR="00E964EC" w:rsidRPr="0012174E">
        <w:rPr>
          <w:noProof/>
          <w:szCs w:val="24"/>
        </w:rPr>
        <w:t xml:space="preserve">draft </w:t>
      </w:r>
      <w:r w:rsidR="7F4C5F86" w:rsidRPr="0012174E">
        <w:rPr>
          <w:noProof/>
          <w:szCs w:val="24"/>
        </w:rPr>
        <w:t>D</w:t>
      </w:r>
      <w:r w:rsidR="00E964EC" w:rsidRPr="0012174E">
        <w:rPr>
          <w:noProof/>
          <w:szCs w:val="24"/>
        </w:rPr>
        <w:t>elegated Act introduces</w:t>
      </w:r>
      <w:r w:rsidR="007366C1" w:rsidRPr="0012174E">
        <w:rPr>
          <w:noProof/>
          <w:szCs w:val="24"/>
        </w:rPr>
        <w:t xml:space="preserve"> </w:t>
      </w:r>
      <w:r w:rsidR="00864FF0" w:rsidRPr="0012174E">
        <w:rPr>
          <w:noProof/>
          <w:szCs w:val="24"/>
        </w:rPr>
        <w:t>prefix</w:t>
      </w:r>
      <w:r w:rsidRPr="0012174E">
        <w:rPr>
          <w:i/>
          <w:iCs/>
          <w:noProof/>
          <w:szCs w:val="24"/>
        </w:rPr>
        <w:t xml:space="preserve"> ‘ex’</w:t>
      </w:r>
      <w:r w:rsidRPr="0012174E">
        <w:rPr>
          <w:noProof/>
          <w:szCs w:val="24"/>
        </w:rPr>
        <w:t xml:space="preserve"> </w:t>
      </w:r>
      <w:r w:rsidR="00864FF0" w:rsidRPr="0012174E">
        <w:rPr>
          <w:noProof/>
          <w:szCs w:val="24"/>
        </w:rPr>
        <w:t>to</w:t>
      </w:r>
      <w:r w:rsidRPr="0012174E">
        <w:rPr>
          <w:noProof/>
          <w:szCs w:val="24"/>
        </w:rPr>
        <w:t xml:space="preserve"> several entries in Annex I</w:t>
      </w:r>
      <w:r w:rsidR="008C75E6" w:rsidRPr="0012174E">
        <w:rPr>
          <w:noProof/>
          <w:szCs w:val="24"/>
        </w:rPr>
        <w:t xml:space="preserve"> to</w:t>
      </w:r>
      <w:r w:rsidRPr="0012174E">
        <w:rPr>
          <w:noProof/>
          <w:szCs w:val="24"/>
        </w:rPr>
        <w:t xml:space="preserve"> </w:t>
      </w:r>
      <w:r w:rsidR="0054318D" w:rsidRPr="0012174E">
        <w:rPr>
          <w:noProof/>
          <w:szCs w:val="24"/>
        </w:rPr>
        <w:t>ensures</w:t>
      </w:r>
      <w:r w:rsidRPr="0012174E">
        <w:rPr>
          <w:noProof/>
          <w:szCs w:val="24"/>
        </w:rPr>
        <w:t xml:space="preserve"> that products made with non-relevant commodities, such as coconut oil or bamboo, are not captured within the scope of the Regulation. </w:t>
      </w:r>
      <w:r w:rsidR="00C638C7" w:rsidRPr="0012174E">
        <w:rPr>
          <w:noProof/>
          <w:szCs w:val="24"/>
        </w:rPr>
        <w:t xml:space="preserve">Clarification of relevant species </w:t>
      </w:r>
      <w:r w:rsidR="005619F9" w:rsidRPr="0012174E">
        <w:rPr>
          <w:noProof/>
          <w:szCs w:val="24"/>
        </w:rPr>
        <w:t>are also provided</w:t>
      </w:r>
      <w:r w:rsidR="00F162C5" w:rsidRPr="0012174E">
        <w:rPr>
          <w:noProof/>
          <w:szCs w:val="24"/>
        </w:rPr>
        <w:t xml:space="preserve"> </w:t>
      </w:r>
      <w:r w:rsidR="00153CA5" w:rsidRPr="0012174E">
        <w:rPr>
          <w:noProof/>
          <w:szCs w:val="24"/>
        </w:rPr>
        <w:t>to ensure a clear and consistent interpretation of the product scope.</w:t>
      </w:r>
    </w:p>
    <w:p w14:paraId="4D760085" w14:textId="63BBF3C7" w:rsidR="00441970" w:rsidRPr="0012174E" w:rsidRDefault="70FEDB3A" w:rsidP="1400005E">
      <w:pPr>
        <w:spacing w:after="120"/>
        <w:rPr>
          <w:noProof/>
          <w:lang w:val="en-IE"/>
        </w:rPr>
      </w:pPr>
      <w:r w:rsidRPr="1400005E">
        <w:rPr>
          <w:noProof/>
        </w:rPr>
        <w:t xml:space="preserve">In addition, the </w:t>
      </w:r>
      <w:r w:rsidR="4BC7344A" w:rsidRPr="1400005E">
        <w:rPr>
          <w:noProof/>
        </w:rPr>
        <w:t xml:space="preserve">draft </w:t>
      </w:r>
      <w:r w:rsidR="7E0C2C4B" w:rsidRPr="1400005E">
        <w:rPr>
          <w:noProof/>
        </w:rPr>
        <w:t xml:space="preserve">Delegated </w:t>
      </w:r>
      <w:r w:rsidR="63E4224C" w:rsidRPr="1400005E">
        <w:rPr>
          <w:noProof/>
        </w:rPr>
        <w:t xml:space="preserve">Act </w:t>
      </w:r>
      <w:r w:rsidR="2A6B2168" w:rsidRPr="1400005E">
        <w:rPr>
          <w:noProof/>
        </w:rPr>
        <w:t>introduce</w:t>
      </w:r>
      <w:r w:rsidR="007C6794">
        <w:rPr>
          <w:noProof/>
        </w:rPr>
        <w:t>s</w:t>
      </w:r>
      <w:r w:rsidR="7E0C2C4B" w:rsidRPr="1400005E">
        <w:rPr>
          <w:noProof/>
        </w:rPr>
        <w:t xml:space="preserve"> changes to the EUDR product scope to ensure </w:t>
      </w:r>
      <w:r w:rsidR="53C98BA1" w:rsidRPr="1400005E">
        <w:rPr>
          <w:noProof/>
        </w:rPr>
        <w:t>a smooth and effective entry into application</w:t>
      </w:r>
      <w:r w:rsidR="7EE8AF40" w:rsidRPr="1400005E">
        <w:rPr>
          <w:noProof/>
        </w:rPr>
        <w:t>, building on</w:t>
      </w:r>
      <w:r w:rsidR="53C98BA1" w:rsidRPr="1400005E">
        <w:rPr>
          <w:noProof/>
        </w:rPr>
        <w:t xml:space="preserve"> a </w:t>
      </w:r>
      <w:r w:rsidR="25E84C65" w:rsidRPr="1400005E">
        <w:rPr>
          <w:noProof/>
        </w:rPr>
        <w:t>uniform and coherent</w:t>
      </w:r>
      <w:r w:rsidR="7E0C2C4B" w:rsidRPr="0012174E">
        <w:rPr>
          <w:noProof/>
          <w:szCs w:val="24"/>
        </w:rPr>
        <w:t xml:space="preserve"> </w:t>
      </w:r>
      <w:r w:rsidR="084AD71A" w:rsidRPr="1400005E">
        <w:rPr>
          <w:noProof/>
        </w:rPr>
        <w:t xml:space="preserve">approach </w:t>
      </w:r>
      <w:r w:rsidR="7E0C2C4B" w:rsidRPr="1400005E">
        <w:rPr>
          <w:noProof/>
        </w:rPr>
        <w:t xml:space="preserve">across </w:t>
      </w:r>
      <w:r w:rsidR="084AD71A" w:rsidRPr="1400005E">
        <w:rPr>
          <w:noProof/>
        </w:rPr>
        <w:t>commodities</w:t>
      </w:r>
      <w:r w:rsidR="00343CE6">
        <w:rPr>
          <w:noProof/>
        </w:rPr>
        <w:t xml:space="preserve">, </w:t>
      </w:r>
      <w:r w:rsidR="53C98BA1" w:rsidRPr="1400005E">
        <w:rPr>
          <w:noProof/>
        </w:rPr>
        <w:t>and</w:t>
      </w:r>
      <w:r w:rsidR="0EE9A62D" w:rsidRPr="0012174E">
        <w:rPr>
          <w:noProof/>
          <w:szCs w:val="24"/>
        </w:rPr>
        <w:t xml:space="preserve"> </w:t>
      </w:r>
      <w:r w:rsidR="0020176C">
        <w:rPr>
          <w:noProof/>
        </w:rPr>
        <w:t>preventing the relocation of deforestation risk</w:t>
      </w:r>
      <w:r w:rsidR="2D719676" w:rsidRPr="0012174E">
        <w:rPr>
          <w:noProof/>
          <w:szCs w:val="24"/>
        </w:rPr>
        <w:t>.</w:t>
      </w:r>
      <w:r w:rsidR="20985B16" w:rsidRPr="0012174E">
        <w:rPr>
          <w:noProof/>
          <w:szCs w:val="24"/>
        </w:rPr>
        <w:t xml:space="preserve"> </w:t>
      </w:r>
      <w:r w:rsidR="35E97FBD" w:rsidRPr="1400005E">
        <w:rPr>
          <w:noProof/>
        </w:rPr>
        <w:t>T</w:t>
      </w:r>
      <w:r w:rsidR="14A935E6" w:rsidRPr="1400005E">
        <w:rPr>
          <w:noProof/>
        </w:rPr>
        <w:t xml:space="preserve">he draft </w:t>
      </w:r>
      <w:r w:rsidR="47FD20C1" w:rsidRPr="1400005E">
        <w:rPr>
          <w:noProof/>
        </w:rPr>
        <w:t>Act</w:t>
      </w:r>
      <w:r w:rsidR="14A935E6" w:rsidRPr="1400005E">
        <w:rPr>
          <w:noProof/>
        </w:rPr>
        <w:t xml:space="preserve"> proposes to</w:t>
      </w:r>
      <w:r w:rsidR="78F8EB0C" w:rsidRPr="1400005E">
        <w:rPr>
          <w:noProof/>
        </w:rPr>
        <w:t xml:space="preserve"> remove</w:t>
      </w:r>
      <w:r w:rsidR="74F08DEB" w:rsidRPr="1400005E">
        <w:rPr>
          <w:noProof/>
        </w:rPr>
        <w:t xml:space="preserve"> from the </w:t>
      </w:r>
      <w:r w:rsidR="00674547">
        <w:rPr>
          <w:noProof/>
        </w:rPr>
        <w:t xml:space="preserve">EUDR </w:t>
      </w:r>
      <w:r w:rsidR="74F08DEB" w:rsidRPr="1400005E">
        <w:rPr>
          <w:noProof/>
        </w:rPr>
        <w:t xml:space="preserve">scope </w:t>
      </w:r>
      <w:r w:rsidR="28C136B8" w:rsidRPr="1400005E">
        <w:rPr>
          <w:noProof/>
        </w:rPr>
        <w:t>r</w:t>
      </w:r>
      <w:r w:rsidR="78F8EB0C" w:rsidRPr="1400005E">
        <w:rPr>
          <w:noProof/>
        </w:rPr>
        <w:t>etreaded tyres</w:t>
      </w:r>
      <w:r w:rsidR="002611E5">
        <w:rPr>
          <w:noProof/>
        </w:rPr>
        <w:t xml:space="preserve"> </w:t>
      </w:r>
      <w:r w:rsidR="74F08DEB" w:rsidRPr="1400005E">
        <w:rPr>
          <w:noProof/>
          <w:vertAlign w:val="superscript"/>
        </w:rPr>
        <w:t>(</w:t>
      </w:r>
      <w:r w:rsidR="00426FBE" w:rsidRPr="006A5E32">
        <w:rPr>
          <w:noProof/>
          <w:vertAlign w:val="superscript"/>
        </w:rPr>
        <w:footnoteReference w:id="38"/>
      </w:r>
      <w:r w:rsidR="74F08DEB" w:rsidRPr="1400005E">
        <w:rPr>
          <w:noProof/>
          <w:vertAlign w:val="superscript"/>
        </w:rPr>
        <w:t>)</w:t>
      </w:r>
      <w:r w:rsidR="28C136B8" w:rsidRPr="1400005E">
        <w:rPr>
          <w:noProof/>
        </w:rPr>
        <w:t xml:space="preserve"> as well as c</w:t>
      </w:r>
      <w:r w:rsidR="4871569B" w:rsidRPr="1400005E">
        <w:rPr>
          <w:noProof/>
        </w:rPr>
        <w:t>attle skins and hides</w:t>
      </w:r>
      <w:r w:rsidR="00D21D23">
        <w:rPr>
          <w:noProof/>
        </w:rPr>
        <w:t xml:space="preserve"> </w:t>
      </w:r>
      <w:r w:rsidR="74F08DEB" w:rsidRPr="1400005E">
        <w:rPr>
          <w:noProof/>
          <w:vertAlign w:val="superscript"/>
        </w:rPr>
        <w:t>(</w:t>
      </w:r>
      <w:r w:rsidR="00426FBE" w:rsidRPr="006A5E32">
        <w:rPr>
          <w:noProof/>
          <w:vertAlign w:val="superscript"/>
        </w:rPr>
        <w:footnoteReference w:id="39"/>
      </w:r>
      <w:r w:rsidR="74F08DEB" w:rsidRPr="1400005E">
        <w:rPr>
          <w:noProof/>
          <w:vertAlign w:val="superscript"/>
        </w:rPr>
        <w:t>)</w:t>
      </w:r>
      <w:r w:rsidR="73042968" w:rsidRPr="0012174E">
        <w:rPr>
          <w:noProof/>
          <w:szCs w:val="24"/>
        </w:rPr>
        <w:t>.</w:t>
      </w:r>
      <w:r w:rsidR="79492835" w:rsidRPr="0012174E">
        <w:rPr>
          <w:noProof/>
          <w:szCs w:val="24"/>
        </w:rPr>
        <w:t xml:space="preserve"> </w:t>
      </w:r>
    </w:p>
    <w:p w14:paraId="5BCFA871" w14:textId="2BF04C40" w:rsidR="00B206D5" w:rsidRDefault="744FB33A" w:rsidP="0012174E">
      <w:pPr>
        <w:spacing w:after="120"/>
        <w:rPr>
          <w:noProof/>
        </w:rPr>
      </w:pPr>
      <w:r>
        <w:rPr>
          <w:noProof/>
        </w:rPr>
        <w:t>At the same time</w:t>
      </w:r>
      <w:r w:rsidR="00B97FD8">
        <w:rPr>
          <w:noProof/>
        </w:rPr>
        <w:t>, based on stakeholder feedback</w:t>
      </w:r>
      <w:r w:rsidR="6D985873">
        <w:rPr>
          <w:noProof/>
        </w:rPr>
        <w:t>,</w:t>
      </w:r>
      <w:r w:rsidR="6C93B589">
        <w:rPr>
          <w:noProof/>
        </w:rPr>
        <w:t xml:space="preserve"> </w:t>
      </w:r>
      <w:r w:rsidR="00B97FD8">
        <w:rPr>
          <w:noProof/>
        </w:rPr>
        <w:t xml:space="preserve">some </w:t>
      </w:r>
      <w:r w:rsidR="42729B4C">
        <w:rPr>
          <w:noProof/>
        </w:rPr>
        <w:t xml:space="preserve">downstream products </w:t>
      </w:r>
      <w:r w:rsidR="66B25944">
        <w:rPr>
          <w:noProof/>
        </w:rPr>
        <w:t>are proposed for inclusion in</w:t>
      </w:r>
      <w:r w:rsidR="42729B4C">
        <w:rPr>
          <w:noProof/>
        </w:rPr>
        <w:t xml:space="preserve"> </w:t>
      </w:r>
      <w:r w:rsidR="0DC87A4E">
        <w:rPr>
          <w:noProof/>
        </w:rPr>
        <w:t>the EUDR scope</w:t>
      </w:r>
      <w:r w:rsidR="34891B2A">
        <w:rPr>
          <w:noProof/>
        </w:rPr>
        <w:t xml:space="preserve"> </w:t>
      </w:r>
      <w:r w:rsidR="003D01F5">
        <w:rPr>
          <w:noProof/>
        </w:rPr>
        <w:t xml:space="preserve">to prevent </w:t>
      </w:r>
      <w:r w:rsidR="003D01F5" w:rsidRPr="00AB6EB9">
        <w:rPr>
          <w:noProof/>
        </w:rPr>
        <w:t>gaps in obligations applicable in the supply chain</w:t>
      </w:r>
      <w:r w:rsidR="0016537D">
        <w:rPr>
          <w:noProof/>
        </w:rPr>
        <w:t xml:space="preserve"> and </w:t>
      </w:r>
      <w:r w:rsidR="00965DA9" w:rsidRPr="00965DA9">
        <w:rPr>
          <w:noProof/>
        </w:rPr>
        <w:t>prevent the relocation rather than the elimination of deforestation risk</w:t>
      </w:r>
      <w:r>
        <w:rPr>
          <w:noProof/>
        </w:rPr>
        <w:t xml:space="preserve"> - s</w:t>
      </w:r>
      <w:r w:rsidR="6B8E8753">
        <w:rPr>
          <w:noProof/>
        </w:rPr>
        <w:t>oluble coffee</w:t>
      </w:r>
      <w:r w:rsidR="1816B611">
        <w:rPr>
          <w:noProof/>
        </w:rPr>
        <w:t>,</w:t>
      </w:r>
      <w:r>
        <w:rPr>
          <w:noProof/>
        </w:rPr>
        <w:t xml:space="preserve"> certain p</w:t>
      </w:r>
      <w:r w:rsidR="6B8E8753">
        <w:rPr>
          <w:noProof/>
        </w:rPr>
        <w:t>alm oil derivatives</w:t>
      </w:r>
      <w:r w:rsidR="00694AA7">
        <w:rPr>
          <w:noProof/>
        </w:rPr>
        <w:t xml:space="preserve"> </w:t>
      </w:r>
      <w:r w:rsidR="6B8E8753" w:rsidRPr="007A5D58">
        <w:rPr>
          <w:noProof/>
        </w:rPr>
        <w:t xml:space="preserve">including soap </w:t>
      </w:r>
      <w:r w:rsidR="00694AA7">
        <w:rPr>
          <w:noProof/>
        </w:rPr>
        <w:t>made with palm oil,</w:t>
      </w:r>
      <w:r>
        <w:rPr>
          <w:noProof/>
        </w:rPr>
        <w:t xml:space="preserve"> and f</w:t>
      </w:r>
      <w:r w:rsidR="34891B2A">
        <w:rPr>
          <w:noProof/>
        </w:rPr>
        <w:t xml:space="preserve">rozen </w:t>
      </w:r>
      <w:r w:rsidR="4DF9A881">
        <w:rPr>
          <w:noProof/>
        </w:rPr>
        <w:t xml:space="preserve">cattle </w:t>
      </w:r>
      <w:r w:rsidR="34891B2A">
        <w:rPr>
          <w:noProof/>
        </w:rPr>
        <w:t>tongues</w:t>
      </w:r>
      <w:r w:rsidR="6B8E8753">
        <w:rPr>
          <w:noProof/>
        </w:rPr>
        <w:t>.</w:t>
      </w:r>
    </w:p>
    <w:p w14:paraId="4CC0C0B1" w14:textId="3CAA0945" w:rsidR="3A9CE33E" w:rsidRDefault="3A9CE33E" w:rsidP="7A228EF8">
      <w:pPr>
        <w:spacing w:after="120"/>
        <w:rPr>
          <w:noProof/>
          <w:szCs w:val="24"/>
        </w:rPr>
      </w:pPr>
      <w:r w:rsidRPr="7A228EF8">
        <w:rPr>
          <w:noProof/>
          <w:szCs w:val="24"/>
        </w:rPr>
        <w:t xml:space="preserve">The draft Delegated Act is </w:t>
      </w:r>
      <w:r w:rsidR="575AF5DC" w:rsidRPr="7A228EF8">
        <w:rPr>
          <w:noProof/>
          <w:szCs w:val="24"/>
        </w:rPr>
        <w:t xml:space="preserve">published for </w:t>
      </w:r>
      <w:r w:rsidR="009B0E41">
        <w:rPr>
          <w:noProof/>
          <w:szCs w:val="24"/>
        </w:rPr>
        <w:t xml:space="preserve">a 4-week </w:t>
      </w:r>
      <w:r w:rsidR="575AF5DC" w:rsidRPr="7A228EF8">
        <w:rPr>
          <w:noProof/>
          <w:szCs w:val="24"/>
        </w:rPr>
        <w:t xml:space="preserve">public feedback </w:t>
      </w:r>
      <w:r w:rsidR="00B97FD8">
        <w:rPr>
          <w:noProof/>
          <w:szCs w:val="24"/>
        </w:rPr>
        <w:t xml:space="preserve">period </w:t>
      </w:r>
      <w:r w:rsidRPr="7A228EF8">
        <w:rPr>
          <w:noProof/>
          <w:szCs w:val="24"/>
        </w:rPr>
        <w:t>accompanied by a Staff Working Document presenting the methodology</w:t>
      </w:r>
      <w:r w:rsidR="00E5727C">
        <w:rPr>
          <w:noProof/>
          <w:szCs w:val="24"/>
        </w:rPr>
        <w:t xml:space="preserve"> used to assess products for potential inclusion </w:t>
      </w:r>
      <w:r w:rsidR="00B97FD8">
        <w:rPr>
          <w:noProof/>
          <w:szCs w:val="24"/>
        </w:rPr>
        <w:t xml:space="preserve">in </w:t>
      </w:r>
      <w:r w:rsidR="00E5727C">
        <w:rPr>
          <w:noProof/>
          <w:szCs w:val="24"/>
        </w:rPr>
        <w:t xml:space="preserve">or exclusion </w:t>
      </w:r>
      <w:r w:rsidR="00CD77C6">
        <w:rPr>
          <w:noProof/>
          <w:szCs w:val="24"/>
        </w:rPr>
        <w:t>from</w:t>
      </w:r>
      <w:r w:rsidR="00E5727C">
        <w:rPr>
          <w:noProof/>
          <w:szCs w:val="24"/>
        </w:rPr>
        <w:t xml:space="preserve"> the scope of the EUDR</w:t>
      </w:r>
      <w:r w:rsidRPr="7A228EF8">
        <w:rPr>
          <w:noProof/>
          <w:szCs w:val="24"/>
        </w:rPr>
        <w:t>.</w:t>
      </w:r>
    </w:p>
    <w:p w14:paraId="662A8E9E" w14:textId="717D997F" w:rsidR="00AE226B" w:rsidRPr="0012174E" w:rsidRDefault="007F3567" w:rsidP="00DD0573">
      <w:pPr>
        <w:spacing w:before="120"/>
        <w:jc w:val="left"/>
        <w:rPr>
          <w:b/>
          <w:bCs/>
          <w:noProof/>
          <w:szCs w:val="24"/>
        </w:rPr>
      </w:pPr>
      <w:r w:rsidRPr="00DD0573">
        <w:rPr>
          <w:b/>
          <w:bCs/>
          <w:noProof/>
          <w:szCs w:val="24"/>
        </w:rPr>
        <w:t>4</w:t>
      </w:r>
      <w:r w:rsidR="00AE226B" w:rsidRPr="00DD0573">
        <w:rPr>
          <w:b/>
          <w:bCs/>
          <w:noProof/>
          <w:szCs w:val="24"/>
        </w:rPr>
        <w:t>.</w:t>
      </w:r>
      <w:r w:rsidR="005F20F3" w:rsidRPr="00DD0573">
        <w:rPr>
          <w:b/>
          <w:bCs/>
          <w:noProof/>
          <w:szCs w:val="24"/>
        </w:rPr>
        <w:t>4</w:t>
      </w:r>
      <w:r w:rsidR="00AE226B" w:rsidRPr="00DD0573">
        <w:rPr>
          <w:b/>
          <w:bCs/>
          <w:noProof/>
          <w:szCs w:val="24"/>
        </w:rPr>
        <w:t xml:space="preserve"> </w:t>
      </w:r>
      <w:r w:rsidR="000858D1" w:rsidRPr="00DD0573">
        <w:rPr>
          <w:b/>
          <w:bCs/>
          <w:noProof/>
          <w:szCs w:val="24"/>
        </w:rPr>
        <w:t xml:space="preserve">New trade facilitation tools: </w:t>
      </w:r>
      <w:r w:rsidR="000162ED" w:rsidRPr="00DD0573">
        <w:rPr>
          <w:b/>
          <w:bCs/>
          <w:noProof/>
          <w:szCs w:val="24"/>
        </w:rPr>
        <w:t>Repositor</w:t>
      </w:r>
      <w:r w:rsidR="40499259" w:rsidRPr="00DD0573">
        <w:rPr>
          <w:b/>
          <w:bCs/>
          <w:noProof/>
          <w:szCs w:val="24"/>
        </w:rPr>
        <w:t>ies</w:t>
      </w:r>
      <w:r w:rsidR="00FA2867" w:rsidRPr="00DD0573">
        <w:rPr>
          <w:b/>
          <w:bCs/>
          <w:noProof/>
          <w:szCs w:val="24"/>
        </w:rPr>
        <w:t xml:space="preserve"> of legislation</w:t>
      </w:r>
      <w:r w:rsidR="000162ED" w:rsidRPr="00DD0573">
        <w:rPr>
          <w:b/>
          <w:bCs/>
          <w:noProof/>
          <w:szCs w:val="24"/>
        </w:rPr>
        <w:t xml:space="preserve"> </w:t>
      </w:r>
      <w:r w:rsidR="185F2DE4" w:rsidRPr="00DD0573">
        <w:rPr>
          <w:b/>
          <w:bCs/>
          <w:noProof/>
          <w:szCs w:val="24"/>
        </w:rPr>
        <w:t>and certification schemes</w:t>
      </w:r>
      <w:r w:rsidR="00FA2867" w:rsidRPr="00DD0573">
        <w:rPr>
          <w:b/>
          <w:bCs/>
          <w:noProof/>
          <w:szCs w:val="24"/>
        </w:rPr>
        <w:t xml:space="preserve"> </w:t>
      </w:r>
    </w:p>
    <w:p w14:paraId="59F49238" w14:textId="205FA4AA" w:rsidR="00EB439A" w:rsidRDefault="004206BB" w:rsidP="4130396E">
      <w:pPr>
        <w:spacing w:after="120"/>
        <w:rPr>
          <w:noProof/>
          <w:lang w:val="en-IE"/>
        </w:rPr>
      </w:pPr>
      <w:r>
        <w:rPr>
          <w:noProof/>
          <w:lang w:val="en-IE"/>
        </w:rPr>
        <w:t>EUDR</w:t>
      </w:r>
      <w:r w:rsidR="7D6B9470" w:rsidRPr="4130396E">
        <w:rPr>
          <w:noProof/>
          <w:lang w:val="en-IE"/>
        </w:rPr>
        <w:t xml:space="preserve"> implementation requires </w:t>
      </w:r>
      <w:r w:rsidR="00B57DAC">
        <w:rPr>
          <w:noProof/>
          <w:lang w:val="en-IE"/>
        </w:rPr>
        <w:t xml:space="preserve">in some cases that </w:t>
      </w:r>
      <w:r w:rsidR="7D6B9470" w:rsidRPr="4130396E">
        <w:rPr>
          <w:noProof/>
          <w:lang w:val="en-IE"/>
        </w:rPr>
        <w:t xml:space="preserve">economic operators and competent authorities navigate a </w:t>
      </w:r>
      <w:r w:rsidR="00B57DAC">
        <w:rPr>
          <w:noProof/>
          <w:lang w:val="en-IE"/>
        </w:rPr>
        <w:t xml:space="preserve">different </w:t>
      </w:r>
      <w:r w:rsidR="04E2006B" w:rsidRPr="4130396E">
        <w:rPr>
          <w:noProof/>
          <w:lang w:val="en-IE"/>
        </w:rPr>
        <w:t xml:space="preserve">landscape of national </w:t>
      </w:r>
      <w:r w:rsidR="00B57DAC">
        <w:rPr>
          <w:noProof/>
          <w:lang w:val="en-IE"/>
        </w:rPr>
        <w:t>laws in</w:t>
      </w:r>
      <w:r w:rsidR="643EF6AB" w:rsidRPr="4130396E">
        <w:rPr>
          <w:noProof/>
          <w:lang w:val="en-IE"/>
        </w:rPr>
        <w:t xml:space="preserve"> the</w:t>
      </w:r>
      <w:r w:rsidR="04E2006B" w:rsidRPr="4130396E">
        <w:rPr>
          <w:noProof/>
          <w:lang w:val="en-IE"/>
        </w:rPr>
        <w:t xml:space="preserve"> due diligence process. </w:t>
      </w:r>
      <w:r w:rsidR="4D04EA58" w:rsidRPr="4130396E">
        <w:rPr>
          <w:noProof/>
          <w:lang w:val="en-IE"/>
        </w:rPr>
        <w:t xml:space="preserve">Operators may make use of certification schemes </w:t>
      </w:r>
      <w:r w:rsidR="2D3321A7" w:rsidRPr="4130396E">
        <w:rPr>
          <w:noProof/>
          <w:lang w:val="en-IE"/>
        </w:rPr>
        <w:t xml:space="preserve">as part of </w:t>
      </w:r>
      <w:r w:rsidR="4D04EA58" w:rsidRPr="4130396E">
        <w:rPr>
          <w:noProof/>
          <w:lang w:val="en-IE"/>
        </w:rPr>
        <w:t>their risk assessment</w:t>
      </w:r>
      <w:r w:rsidR="00E53590" w:rsidRPr="00E53590">
        <w:rPr>
          <w:noProof/>
          <w:lang w:val="en-IE"/>
        </w:rPr>
        <w:t xml:space="preserve"> </w:t>
      </w:r>
      <w:r w:rsidR="00E53590">
        <w:rPr>
          <w:noProof/>
          <w:lang w:val="en-IE"/>
        </w:rPr>
        <w:t>pursuant Article 10(2)</w:t>
      </w:r>
      <w:r w:rsidR="4D04EA58" w:rsidRPr="4130396E">
        <w:rPr>
          <w:noProof/>
          <w:lang w:val="en-IE"/>
        </w:rPr>
        <w:t xml:space="preserve">. </w:t>
      </w:r>
    </w:p>
    <w:p w14:paraId="3C649E38" w14:textId="77777777" w:rsidR="00C44F2F" w:rsidRDefault="6F8E94A2" w:rsidP="4130396E">
      <w:pPr>
        <w:spacing w:after="120"/>
        <w:rPr>
          <w:noProof/>
          <w:lang w:val="en-IE"/>
        </w:rPr>
      </w:pPr>
      <w:r w:rsidRPr="4130396E">
        <w:rPr>
          <w:rFonts w:eastAsia="Aptos"/>
          <w:noProof/>
          <w:lang w:val="en-IE"/>
        </w:rPr>
        <w:t xml:space="preserve">To support stakeholders </w:t>
      </w:r>
      <w:r w:rsidR="2867C8D7" w:rsidRPr="4130396E">
        <w:rPr>
          <w:noProof/>
          <w:lang w:val="en-IE"/>
        </w:rPr>
        <w:t xml:space="preserve">in this </w:t>
      </w:r>
      <w:r w:rsidR="486B4ACB" w:rsidRPr="4130396E">
        <w:rPr>
          <w:noProof/>
          <w:lang w:val="en-IE"/>
        </w:rPr>
        <w:t>effort</w:t>
      </w:r>
      <w:r w:rsidRPr="4130396E">
        <w:rPr>
          <w:rFonts w:eastAsia="Aptos"/>
          <w:noProof/>
          <w:lang w:val="en-IE"/>
        </w:rPr>
        <w:t xml:space="preserve">, the Commission will establish </w:t>
      </w:r>
      <w:r w:rsidR="2867C8D7" w:rsidRPr="4130396E">
        <w:rPr>
          <w:noProof/>
          <w:lang w:val="en-IE"/>
        </w:rPr>
        <w:t xml:space="preserve">two repositories: </w:t>
      </w:r>
    </w:p>
    <w:p w14:paraId="47D65118" w14:textId="705CE4E9" w:rsidR="00C44F2F" w:rsidRPr="00DD0573" w:rsidRDefault="2867C8D7" w:rsidP="00637B48">
      <w:pPr>
        <w:pStyle w:val="ListParagraph"/>
        <w:numPr>
          <w:ilvl w:val="0"/>
          <w:numId w:val="83"/>
        </w:numPr>
        <w:spacing w:after="120"/>
        <w:rPr>
          <w:noProof/>
          <w:lang w:val="en-IE"/>
        </w:rPr>
      </w:pPr>
      <w:r w:rsidRPr="00DD0573">
        <w:rPr>
          <w:noProof/>
          <w:lang w:val="en-IE"/>
        </w:rPr>
        <w:t>one</w:t>
      </w:r>
      <w:r w:rsidR="6F8E94A2" w:rsidRPr="00DD0573">
        <w:rPr>
          <w:noProof/>
          <w:lang w:val="en-IE"/>
        </w:rPr>
        <w:t xml:space="preserve"> </w:t>
      </w:r>
      <w:r w:rsidRPr="00DD0573">
        <w:rPr>
          <w:noProof/>
          <w:lang w:val="en-IE"/>
        </w:rPr>
        <w:t>repository</w:t>
      </w:r>
      <w:r w:rsidR="6F8E94A2" w:rsidRPr="00DD0573">
        <w:rPr>
          <w:noProof/>
          <w:lang w:val="en-IE"/>
        </w:rPr>
        <w:t xml:space="preserve"> </w:t>
      </w:r>
      <w:r w:rsidRPr="00DD0573">
        <w:rPr>
          <w:noProof/>
          <w:lang w:val="en-IE"/>
        </w:rPr>
        <w:t>listing</w:t>
      </w:r>
      <w:r w:rsidRPr="00DD0573">
        <w:rPr>
          <w:rFonts w:eastAsia="Aptos"/>
          <w:noProof/>
          <w:lang w:val="en-IE"/>
        </w:rPr>
        <w:t xml:space="preserve"> </w:t>
      </w:r>
      <w:r w:rsidR="6F8E94A2" w:rsidRPr="00DD0573">
        <w:rPr>
          <w:rFonts w:eastAsia="Aptos"/>
          <w:noProof/>
          <w:lang w:val="en-IE"/>
        </w:rPr>
        <w:t xml:space="preserve">relevant legislation of the country of production, as per Article 2(40) of the EUDR, and </w:t>
      </w:r>
    </w:p>
    <w:p w14:paraId="664E437E" w14:textId="77777777" w:rsidR="00C44F2F" w:rsidRPr="00DD0573" w:rsidRDefault="2867C8D7" w:rsidP="00637B48">
      <w:pPr>
        <w:pStyle w:val="ListParagraph"/>
        <w:numPr>
          <w:ilvl w:val="0"/>
          <w:numId w:val="83"/>
        </w:numPr>
        <w:spacing w:after="120"/>
        <w:rPr>
          <w:noProof/>
          <w:lang w:val="en-IE"/>
        </w:rPr>
      </w:pPr>
      <w:r w:rsidRPr="00DD0573">
        <w:rPr>
          <w:noProof/>
          <w:lang w:val="en-IE"/>
        </w:rPr>
        <w:t>one</w:t>
      </w:r>
      <w:r w:rsidR="6F8E94A2" w:rsidRPr="00DD0573">
        <w:rPr>
          <w:rFonts w:eastAsia="Aptos"/>
          <w:noProof/>
          <w:lang w:val="en-IE"/>
        </w:rPr>
        <w:t xml:space="preserve"> repository on certifications schemes </w:t>
      </w:r>
      <w:r w:rsidR="49C1728E" w:rsidRPr="00DD0573">
        <w:rPr>
          <w:rFonts w:eastAsia="Aptos"/>
          <w:noProof/>
          <w:lang w:val="en-IE"/>
        </w:rPr>
        <w:t xml:space="preserve">applicable </w:t>
      </w:r>
      <w:r w:rsidR="6F8E94A2" w:rsidRPr="00DD0573">
        <w:rPr>
          <w:rFonts w:eastAsia="Aptos"/>
          <w:noProof/>
          <w:lang w:val="en-IE"/>
        </w:rPr>
        <w:t>to EUDR-relevant commodities.</w:t>
      </w:r>
      <w:r w:rsidR="5DE9630A" w:rsidRPr="00DD0573">
        <w:rPr>
          <w:noProof/>
          <w:lang w:val="en-IE"/>
        </w:rPr>
        <w:t xml:space="preserve"> </w:t>
      </w:r>
    </w:p>
    <w:p w14:paraId="1834B9D5" w14:textId="417657E8" w:rsidR="00696825" w:rsidRPr="00C44F2F" w:rsidRDefault="46CA1E4A" w:rsidP="00C44F2F">
      <w:pPr>
        <w:spacing w:after="120"/>
        <w:rPr>
          <w:noProof/>
          <w:lang w:val="en-IE"/>
        </w:rPr>
      </w:pPr>
      <w:r w:rsidRPr="7A228EF8">
        <w:rPr>
          <w:noProof/>
          <w:lang w:val="en-IE"/>
        </w:rPr>
        <w:t>The</w:t>
      </w:r>
      <w:r w:rsidR="000E0256">
        <w:rPr>
          <w:noProof/>
          <w:lang w:val="en-IE"/>
        </w:rPr>
        <w:t>se</w:t>
      </w:r>
      <w:r w:rsidRPr="7A228EF8">
        <w:rPr>
          <w:noProof/>
          <w:lang w:val="en-IE"/>
        </w:rPr>
        <w:t xml:space="preserve"> repositories will benefit </w:t>
      </w:r>
      <w:r>
        <w:rPr>
          <w:noProof/>
        </w:rPr>
        <w:t xml:space="preserve">economic operators and competent authorities as they </w:t>
      </w:r>
      <w:r w:rsidRPr="7A228EF8">
        <w:rPr>
          <w:rFonts w:eastAsia="Aptos"/>
          <w:noProof/>
        </w:rPr>
        <w:t xml:space="preserve">will </w:t>
      </w:r>
      <w:r>
        <w:rPr>
          <w:noProof/>
        </w:rPr>
        <w:t>facilitat</w:t>
      </w:r>
      <w:r w:rsidR="39FC6010">
        <w:rPr>
          <w:noProof/>
        </w:rPr>
        <w:t>e</w:t>
      </w:r>
      <w:r>
        <w:rPr>
          <w:noProof/>
        </w:rPr>
        <w:t xml:space="preserve"> access to relevant information needed for the due diligence process</w:t>
      </w:r>
      <w:r w:rsidR="00F51A6E">
        <w:rPr>
          <w:noProof/>
        </w:rPr>
        <w:t xml:space="preserve"> </w:t>
      </w:r>
      <w:r w:rsidR="00F51A6E" w:rsidRPr="009024AA">
        <w:rPr>
          <w:noProof/>
        </w:rPr>
        <w:t>and help proving compliance with Article 9(1)(h)</w:t>
      </w:r>
      <w:r w:rsidRPr="009024AA">
        <w:rPr>
          <w:rFonts w:eastAsia="Aptos"/>
          <w:noProof/>
        </w:rPr>
        <w:t>.</w:t>
      </w:r>
      <w:r w:rsidRPr="7A228EF8">
        <w:rPr>
          <w:rFonts w:eastAsia="Aptos"/>
          <w:noProof/>
        </w:rPr>
        <w:t xml:space="preserve"> </w:t>
      </w:r>
      <w:r>
        <w:rPr>
          <w:noProof/>
        </w:rPr>
        <w:t>The existence of</w:t>
      </w:r>
      <w:r w:rsidRPr="7A228EF8">
        <w:rPr>
          <w:rFonts w:eastAsia="Aptos"/>
          <w:noProof/>
        </w:rPr>
        <w:t xml:space="preserve"> a single, centralized source of information </w:t>
      </w:r>
      <w:r>
        <w:rPr>
          <w:noProof/>
        </w:rPr>
        <w:t xml:space="preserve">will also </w:t>
      </w:r>
      <w:r w:rsidR="00E53590">
        <w:rPr>
          <w:noProof/>
        </w:rPr>
        <w:t>foster transparency and</w:t>
      </w:r>
      <w:r w:rsidR="00E53590" w:rsidRPr="7A228EF8">
        <w:rPr>
          <w:rFonts w:eastAsia="Aptos"/>
          <w:noProof/>
        </w:rPr>
        <w:t xml:space="preserve"> </w:t>
      </w:r>
      <w:r w:rsidRPr="7A228EF8">
        <w:rPr>
          <w:rFonts w:eastAsia="Aptos"/>
          <w:noProof/>
        </w:rPr>
        <w:t xml:space="preserve">avoid duplication of efforts </w:t>
      </w:r>
      <w:r>
        <w:rPr>
          <w:noProof/>
        </w:rPr>
        <w:t>between</w:t>
      </w:r>
      <w:r w:rsidRPr="7A228EF8">
        <w:rPr>
          <w:rFonts w:eastAsia="Aptos"/>
          <w:noProof/>
        </w:rPr>
        <w:t xml:space="preserve"> Member States,</w:t>
      </w:r>
      <w:r>
        <w:rPr>
          <w:noProof/>
        </w:rPr>
        <w:t xml:space="preserve"> thereby lowering the associated administrative costs. Through these two repositories, the sharing of best practices will be facilitated, and consistency in the application of the </w:t>
      </w:r>
      <w:r w:rsidR="35854660">
        <w:rPr>
          <w:noProof/>
        </w:rPr>
        <w:t>R</w:t>
      </w:r>
      <w:r>
        <w:rPr>
          <w:noProof/>
        </w:rPr>
        <w:t>egulation across Member States will be ensured.</w:t>
      </w:r>
    </w:p>
    <w:p w14:paraId="0FCC293A" w14:textId="03CC3B26" w:rsidR="14119468" w:rsidRPr="0012174E" w:rsidRDefault="33A5E0A4">
      <w:pPr>
        <w:spacing w:after="120" w:line="259" w:lineRule="auto"/>
        <w:rPr>
          <w:noProof/>
          <w:lang w:val="en-IE"/>
        </w:rPr>
      </w:pPr>
      <w:r w:rsidRPr="1400005E">
        <w:rPr>
          <w:noProof/>
          <w:lang w:val="en-IE"/>
        </w:rPr>
        <w:t xml:space="preserve">The two repositories </w:t>
      </w:r>
      <w:r w:rsidR="145B7263" w:rsidRPr="1400005E">
        <w:rPr>
          <w:noProof/>
          <w:lang w:val="en-IE"/>
        </w:rPr>
        <w:t xml:space="preserve">will </w:t>
      </w:r>
      <w:r w:rsidRPr="1400005E">
        <w:rPr>
          <w:noProof/>
          <w:lang w:val="en-IE"/>
        </w:rPr>
        <w:t>be hosted on dedicated website</w:t>
      </w:r>
      <w:r w:rsidR="00F711D5">
        <w:rPr>
          <w:noProof/>
          <w:lang w:val="en-IE"/>
        </w:rPr>
        <w:t>s</w:t>
      </w:r>
      <w:r w:rsidRPr="1400005E">
        <w:rPr>
          <w:noProof/>
          <w:lang w:val="en-IE"/>
        </w:rPr>
        <w:t xml:space="preserve">. The Commission will provide templates outlining the specific information required for </w:t>
      </w:r>
      <w:r w:rsidR="7E9EA93B" w:rsidRPr="1400005E">
        <w:rPr>
          <w:noProof/>
          <w:lang w:val="en-IE"/>
        </w:rPr>
        <w:t>each</w:t>
      </w:r>
      <w:r w:rsidRPr="1400005E">
        <w:rPr>
          <w:noProof/>
          <w:lang w:val="en-IE"/>
        </w:rPr>
        <w:t xml:space="preserve"> </w:t>
      </w:r>
      <w:r w:rsidR="00E53590">
        <w:rPr>
          <w:noProof/>
          <w:lang w:val="en-IE"/>
        </w:rPr>
        <w:t xml:space="preserve">repository </w:t>
      </w:r>
      <w:r w:rsidRPr="1400005E">
        <w:rPr>
          <w:noProof/>
          <w:lang w:val="en-IE"/>
        </w:rPr>
        <w:t xml:space="preserve">to ensure their </w:t>
      </w:r>
      <w:r w:rsidR="1CEA8713" w:rsidRPr="1400005E">
        <w:rPr>
          <w:noProof/>
          <w:lang w:val="en-IE"/>
        </w:rPr>
        <w:t>EUDR re</w:t>
      </w:r>
      <w:r w:rsidR="54986B4E" w:rsidRPr="1400005E">
        <w:rPr>
          <w:noProof/>
          <w:lang w:val="en-IE"/>
        </w:rPr>
        <w:t>le</w:t>
      </w:r>
      <w:r w:rsidR="1CEA8713" w:rsidRPr="1400005E">
        <w:rPr>
          <w:noProof/>
          <w:lang w:val="en-IE"/>
        </w:rPr>
        <w:t xml:space="preserve">vance and </w:t>
      </w:r>
      <w:r w:rsidR="37D3CD84" w:rsidRPr="1400005E">
        <w:rPr>
          <w:noProof/>
          <w:lang w:val="en-IE"/>
        </w:rPr>
        <w:t>consistency</w:t>
      </w:r>
      <w:r w:rsidRPr="1400005E">
        <w:rPr>
          <w:noProof/>
          <w:lang w:val="en-IE"/>
        </w:rPr>
        <w:t xml:space="preserve"> with the </w:t>
      </w:r>
      <w:r w:rsidR="693575AE" w:rsidRPr="1400005E">
        <w:rPr>
          <w:noProof/>
          <w:lang w:val="en-IE"/>
        </w:rPr>
        <w:t xml:space="preserve">legal </w:t>
      </w:r>
      <w:r w:rsidRPr="1400005E">
        <w:rPr>
          <w:noProof/>
          <w:lang w:val="en-IE"/>
        </w:rPr>
        <w:t xml:space="preserve">text. </w:t>
      </w:r>
      <w:r w:rsidR="4365C33D" w:rsidRPr="1400005E">
        <w:rPr>
          <w:noProof/>
          <w:lang w:val="en-IE"/>
        </w:rPr>
        <w:t xml:space="preserve">The information will be provided by third countries and </w:t>
      </w:r>
      <w:r w:rsidR="00E53590">
        <w:rPr>
          <w:noProof/>
          <w:lang w:val="en-IE"/>
        </w:rPr>
        <w:t xml:space="preserve">owners of </w:t>
      </w:r>
      <w:r w:rsidR="4365C33D" w:rsidRPr="1400005E">
        <w:rPr>
          <w:noProof/>
          <w:lang w:val="en-IE"/>
        </w:rPr>
        <w:t xml:space="preserve">certification </w:t>
      </w:r>
      <w:r w:rsidR="00E53590">
        <w:rPr>
          <w:noProof/>
          <w:lang w:val="en-IE"/>
        </w:rPr>
        <w:t>schemes</w:t>
      </w:r>
      <w:r w:rsidR="4365C33D" w:rsidRPr="1400005E">
        <w:rPr>
          <w:noProof/>
          <w:lang w:val="en-IE"/>
        </w:rPr>
        <w:t>.</w:t>
      </w:r>
      <w:r w:rsidR="157CFCF8" w:rsidRPr="1400005E">
        <w:rPr>
          <w:noProof/>
          <w:lang w:val="en-IE"/>
        </w:rPr>
        <w:t xml:space="preserve"> </w:t>
      </w:r>
      <w:r w:rsidR="00A60DA8" w:rsidRPr="00717A79">
        <w:rPr>
          <w:noProof/>
          <w:lang w:val="en-IE"/>
        </w:rPr>
        <w:t>The repositories</w:t>
      </w:r>
      <w:r w:rsidR="13363C9F" w:rsidRPr="00717A79">
        <w:rPr>
          <w:noProof/>
          <w:lang w:val="en-IE"/>
        </w:rPr>
        <w:t xml:space="preserve"> will </w:t>
      </w:r>
      <w:r w:rsidR="68F21846" w:rsidRPr="00717A79">
        <w:rPr>
          <w:noProof/>
          <w:lang w:val="en-IE"/>
        </w:rPr>
        <w:t>support compliance efforts by</w:t>
      </w:r>
      <w:r w:rsidR="7F5F67E9" w:rsidRPr="00717A79">
        <w:rPr>
          <w:noProof/>
          <w:lang w:val="en-IE"/>
        </w:rPr>
        <w:t xml:space="preserve"> </w:t>
      </w:r>
      <w:r w:rsidR="13363C9F" w:rsidRPr="00717A79">
        <w:rPr>
          <w:noProof/>
          <w:lang w:val="en-IE"/>
        </w:rPr>
        <w:t>facilitat</w:t>
      </w:r>
      <w:r w:rsidR="7D6933DE" w:rsidRPr="00717A79">
        <w:rPr>
          <w:noProof/>
          <w:lang w:val="en-IE"/>
        </w:rPr>
        <w:t xml:space="preserve">ing </w:t>
      </w:r>
      <w:r w:rsidR="13363C9F" w:rsidRPr="00717A79">
        <w:rPr>
          <w:noProof/>
          <w:lang w:val="en-IE"/>
        </w:rPr>
        <w:t>access to relevant information</w:t>
      </w:r>
      <w:r w:rsidR="3A284C59" w:rsidRPr="00717A79">
        <w:rPr>
          <w:noProof/>
          <w:lang w:val="en-IE"/>
        </w:rPr>
        <w:t xml:space="preserve">, </w:t>
      </w:r>
      <w:r w:rsidR="00F33DD3" w:rsidRPr="00717A79">
        <w:rPr>
          <w:noProof/>
          <w:lang w:val="en-IE"/>
        </w:rPr>
        <w:t>particularly</w:t>
      </w:r>
      <w:r w:rsidR="0BE559AD" w:rsidRPr="00717A79">
        <w:rPr>
          <w:noProof/>
          <w:lang w:val="en-IE"/>
        </w:rPr>
        <w:t xml:space="preserve"> </w:t>
      </w:r>
      <w:r w:rsidR="162985AA" w:rsidRPr="00717A79">
        <w:rPr>
          <w:noProof/>
          <w:lang w:val="en-IE"/>
        </w:rPr>
        <w:t>when it comes to legality requirement</w:t>
      </w:r>
      <w:r w:rsidR="00F33DD3" w:rsidRPr="00717A79">
        <w:rPr>
          <w:noProof/>
          <w:lang w:val="en-IE"/>
        </w:rPr>
        <w:t xml:space="preserve"> </w:t>
      </w:r>
      <w:r w:rsidR="54D4CDB0" w:rsidRPr="00717A79">
        <w:rPr>
          <w:noProof/>
          <w:lang w:val="en-IE"/>
        </w:rPr>
        <w:t xml:space="preserve">and the </w:t>
      </w:r>
      <w:r w:rsidR="3677A204" w:rsidRPr="00717A79">
        <w:rPr>
          <w:noProof/>
          <w:lang w:val="en-IE"/>
        </w:rPr>
        <w:t>relevant legislation of the country of production.</w:t>
      </w:r>
      <w:r w:rsidR="19ADC044" w:rsidRPr="1400005E">
        <w:rPr>
          <w:noProof/>
          <w:lang w:val="en-IE"/>
        </w:rPr>
        <w:t xml:space="preserve"> </w:t>
      </w:r>
    </w:p>
    <w:p w14:paraId="5A1D6B3D" w14:textId="5F1EB40B" w:rsidR="147EB2D4" w:rsidRDefault="0EB35156" w:rsidP="0015133F">
      <w:pPr>
        <w:spacing w:after="0"/>
        <w:rPr>
          <w:noProof/>
          <w:lang w:val="en-IE"/>
        </w:rPr>
      </w:pPr>
      <w:r w:rsidRPr="1400005E">
        <w:rPr>
          <w:noProof/>
          <w:lang w:val="en-IE"/>
        </w:rPr>
        <w:t>The Commission</w:t>
      </w:r>
      <w:r w:rsidR="6999B8CA" w:rsidRPr="1400005E">
        <w:rPr>
          <w:noProof/>
          <w:lang w:val="en-IE"/>
        </w:rPr>
        <w:t xml:space="preserve"> </w:t>
      </w:r>
      <w:r w:rsidR="1C508D3B" w:rsidRPr="1400005E">
        <w:rPr>
          <w:noProof/>
          <w:lang w:val="en-IE"/>
        </w:rPr>
        <w:t>plans to launch</w:t>
      </w:r>
      <w:r w:rsidRPr="1400005E">
        <w:rPr>
          <w:noProof/>
          <w:lang w:val="en-IE"/>
        </w:rPr>
        <w:t xml:space="preserve"> the r</w:t>
      </w:r>
      <w:r w:rsidR="43E04941" w:rsidRPr="1400005E">
        <w:rPr>
          <w:noProof/>
          <w:lang w:val="en-IE"/>
        </w:rPr>
        <w:t>epository</w:t>
      </w:r>
      <w:r w:rsidRPr="1400005E">
        <w:rPr>
          <w:noProof/>
          <w:lang w:val="en-IE"/>
        </w:rPr>
        <w:t xml:space="preserve"> of relevant legislation and the repository o</w:t>
      </w:r>
      <w:r w:rsidR="00EE6CD8">
        <w:rPr>
          <w:noProof/>
          <w:lang w:val="en-IE"/>
        </w:rPr>
        <w:t>f</w:t>
      </w:r>
      <w:r w:rsidRPr="1400005E">
        <w:rPr>
          <w:noProof/>
          <w:lang w:val="en-IE"/>
        </w:rPr>
        <w:t xml:space="preserve"> certifications schemes before the entry into application </w:t>
      </w:r>
      <w:r w:rsidR="064A64E2" w:rsidRPr="1400005E">
        <w:rPr>
          <w:noProof/>
          <w:lang w:val="en-IE"/>
        </w:rPr>
        <w:t xml:space="preserve">of the EUDR in December 2026. </w:t>
      </w:r>
      <w:r w:rsidR="63BE1B40" w:rsidRPr="1400005E">
        <w:rPr>
          <w:noProof/>
          <w:lang w:val="en-IE"/>
        </w:rPr>
        <w:t xml:space="preserve">Third countries and relevant stakeholders will be invited to </w:t>
      </w:r>
      <w:r w:rsidR="5A883224" w:rsidRPr="1400005E">
        <w:rPr>
          <w:noProof/>
          <w:lang w:val="en-IE"/>
        </w:rPr>
        <w:t xml:space="preserve">share </w:t>
      </w:r>
      <w:r w:rsidR="68E47DC0" w:rsidRPr="1400005E">
        <w:rPr>
          <w:noProof/>
          <w:lang w:val="en-IE"/>
        </w:rPr>
        <w:t xml:space="preserve">relevant </w:t>
      </w:r>
      <w:r w:rsidR="5A883224" w:rsidRPr="1400005E">
        <w:rPr>
          <w:noProof/>
          <w:lang w:val="en-IE"/>
        </w:rPr>
        <w:t xml:space="preserve">information to ensure </w:t>
      </w:r>
      <w:r w:rsidR="00F9422A">
        <w:rPr>
          <w:noProof/>
          <w:lang w:val="en-IE"/>
        </w:rPr>
        <w:t xml:space="preserve">that </w:t>
      </w:r>
      <w:r w:rsidR="5A883224" w:rsidRPr="1400005E">
        <w:rPr>
          <w:noProof/>
          <w:lang w:val="en-IE"/>
        </w:rPr>
        <w:t>the repositories</w:t>
      </w:r>
      <w:r w:rsidR="00F9422A">
        <w:rPr>
          <w:noProof/>
          <w:lang w:val="en-IE"/>
        </w:rPr>
        <w:t xml:space="preserve"> are complete</w:t>
      </w:r>
      <w:r w:rsidR="5A883224" w:rsidRPr="1400005E">
        <w:rPr>
          <w:noProof/>
          <w:lang w:val="en-IE"/>
        </w:rPr>
        <w:t xml:space="preserve">. </w:t>
      </w:r>
    </w:p>
    <w:p w14:paraId="0FBF515F" w14:textId="77777777" w:rsidR="00EB5722" w:rsidRDefault="00EB5722" w:rsidP="1400005E">
      <w:pPr>
        <w:spacing w:after="120"/>
        <w:rPr>
          <w:noProof/>
          <w:lang w:val="en-IE"/>
        </w:rPr>
      </w:pPr>
    </w:p>
    <w:tbl>
      <w:tblPr>
        <w:tblStyle w:val="TableGrid"/>
        <w:tblW w:w="0" w:type="auto"/>
        <w:shd w:val="clear" w:color="auto" w:fill="E8E8E8" w:themeFill="background2"/>
        <w:tblLook w:val="04A0" w:firstRow="1" w:lastRow="0" w:firstColumn="1" w:lastColumn="0" w:noHBand="0" w:noVBand="1"/>
      </w:tblPr>
      <w:tblGrid>
        <w:gridCol w:w="8602"/>
      </w:tblGrid>
      <w:tr w:rsidR="005E1D3B" w14:paraId="10D909F8" w14:textId="77777777" w:rsidTr="00707402">
        <w:tc>
          <w:tcPr>
            <w:tcW w:w="8602" w:type="dxa"/>
            <w:shd w:val="clear" w:color="auto" w:fill="E8E8E8" w:themeFill="background2"/>
          </w:tcPr>
          <w:p w14:paraId="04EE3967" w14:textId="176F1422" w:rsidR="005E1D3B" w:rsidRPr="00EA0AC5" w:rsidRDefault="005E1D3B" w:rsidP="005E1D3B">
            <w:pPr>
              <w:spacing w:after="0"/>
              <w:jc w:val="left"/>
              <w:rPr>
                <w:rFonts w:eastAsia="Aptos"/>
                <w:b/>
                <w:bCs/>
                <w:noProof/>
                <w:szCs w:val="24"/>
                <w:lang w:eastAsia="en-US"/>
              </w:rPr>
            </w:pPr>
            <w:r w:rsidRPr="00EA0AC5">
              <w:rPr>
                <w:rFonts w:eastAsia="Aptos"/>
                <w:b/>
                <w:bCs/>
                <w:noProof/>
                <w:szCs w:val="24"/>
                <w:lang w:eastAsia="en-US"/>
              </w:rPr>
              <w:t>Key points</w:t>
            </w:r>
            <w:r w:rsidR="00746B0A">
              <w:rPr>
                <w:rFonts w:eastAsia="Aptos"/>
                <w:b/>
                <w:bCs/>
                <w:noProof/>
                <w:szCs w:val="24"/>
                <w:lang w:eastAsia="en-US"/>
              </w:rPr>
              <w:t xml:space="preserve"> – chapter summary</w:t>
            </w:r>
            <w:r w:rsidRPr="00EA0AC5">
              <w:rPr>
                <w:rFonts w:eastAsia="Aptos"/>
                <w:b/>
                <w:bCs/>
                <w:noProof/>
                <w:szCs w:val="24"/>
                <w:lang w:eastAsia="en-US"/>
              </w:rPr>
              <w:t>:</w:t>
            </w:r>
          </w:p>
          <w:p w14:paraId="421CCC5B" w14:textId="77777777" w:rsidR="005E1D3B" w:rsidRDefault="005E1D3B" w:rsidP="005E1D3B">
            <w:pPr>
              <w:spacing w:after="0"/>
              <w:jc w:val="left"/>
              <w:rPr>
                <w:rFonts w:eastAsia="Aptos"/>
                <w:b/>
                <w:bCs/>
                <w:noProof/>
                <w:szCs w:val="24"/>
                <w:highlight w:val="yellow"/>
                <w:lang w:eastAsia="en-US"/>
              </w:rPr>
            </w:pPr>
          </w:p>
          <w:p w14:paraId="65D891C7" w14:textId="4DAF7B42" w:rsidR="005E1D3B" w:rsidRDefault="005E1D3B" w:rsidP="005E1D3B">
            <w:pPr>
              <w:spacing w:after="120"/>
              <w:rPr>
                <w:rFonts w:eastAsia="Aptos"/>
                <w:noProof/>
                <w:szCs w:val="24"/>
                <w:lang w:val="en-IE" w:eastAsia="en-US"/>
              </w:rPr>
            </w:pPr>
            <w:r w:rsidRPr="0012414D">
              <w:rPr>
                <w:rFonts w:eastAsia="Aptos"/>
                <w:noProof/>
                <w:szCs w:val="24"/>
                <w:lang w:val="en-IE" w:eastAsia="en-US"/>
              </w:rPr>
              <w:t xml:space="preserve">The </w:t>
            </w:r>
            <w:r w:rsidRPr="0012174E">
              <w:rPr>
                <w:rFonts w:eastAsia="Aptos"/>
                <w:noProof/>
                <w:szCs w:val="24"/>
                <w:lang w:val="en-IE" w:eastAsia="en-US"/>
              </w:rPr>
              <w:t>simplification package</w:t>
            </w:r>
            <w:r>
              <w:rPr>
                <w:rFonts w:eastAsia="Aptos"/>
                <w:noProof/>
                <w:szCs w:val="24"/>
                <w:lang w:val="en-IE" w:eastAsia="en-US"/>
              </w:rPr>
              <w:t>, responding to the concerns from stakeholders,</w:t>
            </w:r>
            <w:r w:rsidRPr="0012414D">
              <w:rPr>
                <w:rFonts w:eastAsia="Aptos"/>
                <w:noProof/>
                <w:szCs w:val="24"/>
                <w:lang w:val="en-IE" w:eastAsia="en-US"/>
              </w:rPr>
              <w:t xml:space="preserve"> </w:t>
            </w:r>
            <w:r>
              <w:rPr>
                <w:rFonts w:eastAsia="Aptos"/>
                <w:noProof/>
                <w:szCs w:val="24"/>
                <w:lang w:val="en-IE" w:eastAsia="en-US"/>
              </w:rPr>
              <w:t xml:space="preserve">provides </w:t>
            </w:r>
            <w:r w:rsidR="00EA0942">
              <w:rPr>
                <w:rFonts w:eastAsia="Aptos"/>
                <w:noProof/>
                <w:szCs w:val="24"/>
                <w:lang w:val="en-IE" w:eastAsia="en-US"/>
              </w:rPr>
              <w:t>in particular</w:t>
            </w:r>
            <w:r>
              <w:rPr>
                <w:rFonts w:eastAsia="Aptos"/>
                <w:noProof/>
                <w:szCs w:val="24"/>
                <w:lang w:val="en-IE" w:eastAsia="en-US"/>
              </w:rPr>
              <w:t>:</w:t>
            </w:r>
          </w:p>
          <w:p w14:paraId="405D6D83" w14:textId="77777777" w:rsidR="005E1D3B" w:rsidRDefault="005E1D3B" w:rsidP="005E1D3B">
            <w:pPr>
              <w:pStyle w:val="ListParagraph"/>
              <w:numPr>
                <w:ilvl w:val="0"/>
                <w:numId w:val="74"/>
              </w:numPr>
              <w:spacing w:after="120"/>
              <w:rPr>
                <w:rFonts w:eastAsia="Aptos"/>
                <w:noProof/>
                <w:szCs w:val="24"/>
                <w:lang w:val="en-IE" w:eastAsia="en-US"/>
              </w:rPr>
            </w:pPr>
            <w:r>
              <w:rPr>
                <w:rFonts w:eastAsia="Aptos"/>
                <w:noProof/>
                <w:szCs w:val="24"/>
                <w:lang w:val="en-IE" w:eastAsia="en-US"/>
              </w:rPr>
              <w:t xml:space="preserve">clarification </w:t>
            </w:r>
            <w:r w:rsidRPr="00B446AE">
              <w:rPr>
                <w:rFonts w:eastAsia="Aptos"/>
                <w:noProof/>
                <w:szCs w:val="24"/>
                <w:lang w:val="en-IE" w:eastAsia="en-US"/>
              </w:rPr>
              <w:t>for downstream operators</w:t>
            </w:r>
            <w:r>
              <w:rPr>
                <w:rFonts w:eastAsia="Aptos"/>
                <w:noProof/>
                <w:szCs w:val="24"/>
                <w:lang w:val="en-IE" w:eastAsia="en-US"/>
              </w:rPr>
              <w:t>,</w:t>
            </w:r>
            <w:r w:rsidRPr="00B446AE">
              <w:rPr>
                <w:rFonts w:eastAsia="Aptos"/>
                <w:noProof/>
                <w:szCs w:val="24"/>
                <w:lang w:val="en-IE" w:eastAsia="en-US"/>
              </w:rPr>
              <w:t xml:space="preserve"> notably </w:t>
            </w:r>
            <w:r>
              <w:rPr>
                <w:rFonts w:eastAsia="Aptos"/>
                <w:noProof/>
                <w:szCs w:val="24"/>
                <w:lang w:val="en-IE" w:eastAsia="en-US"/>
              </w:rPr>
              <w:t>explaining</w:t>
            </w:r>
            <w:r w:rsidRPr="00B446AE">
              <w:rPr>
                <w:rFonts w:eastAsia="Aptos"/>
                <w:noProof/>
                <w:szCs w:val="24"/>
                <w:lang w:val="en-IE" w:eastAsia="en-US"/>
              </w:rPr>
              <w:t xml:space="preserve"> that the role of first downstream operators in collecting reference numbers </w:t>
            </w:r>
            <w:r>
              <w:rPr>
                <w:rFonts w:eastAsia="Aptos"/>
                <w:noProof/>
                <w:szCs w:val="24"/>
                <w:lang w:val="en-IE" w:eastAsia="en-US"/>
              </w:rPr>
              <w:t xml:space="preserve">from operators </w:t>
            </w:r>
            <w:r w:rsidRPr="00B446AE">
              <w:rPr>
                <w:rFonts w:eastAsia="Aptos"/>
                <w:noProof/>
                <w:szCs w:val="24"/>
                <w:lang w:val="en-IE" w:eastAsia="en-US"/>
              </w:rPr>
              <w:t>is passive</w:t>
            </w:r>
            <w:r>
              <w:rPr>
                <w:rFonts w:eastAsia="Aptos"/>
                <w:noProof/>
                <w:szCs w:val="24"/>
                <w:lang w:val="en-IE" w:eastAsia="en-US"/>
              </w:rPr>
              <w:t>, explaining the applicable rules on re-imports and substantiated concerns;</w:t>
            </w:r>
            <w:r w:rsidRPr="00B446AE">
              <w:rPr>
                <w:rFonts w:eastAsia="Aptos"/>
                <w:noProof/>
                <w:szCs w:val="24"/>
                <w:lang w:val="en-IE" w:eastAsia="en-US"/>
              </w:rPr>
              <w:t xml:space="preserve"> </w:t>
            </w:r>
          </w:p>
          <w:p w14:paraId="5B3F1BD8" w14:textId="2278977B" w:rsidR="005E1D3B" w:rsidRDefault="005E1D3B" w:rsidP="005E1D3B">
            <w:pPr>
              <w:pStyle w:val="ListParagraph"/>
              <w:numPr>
                <w:ilvl w:val="0"/>
                <w:numId w:val="74"/>
              </w:numPr>
              <w:spacing w:after="120"/>
              <w:rPr>
                <w:rFonts w:eastAsia="Aptos"/>
                <w:noProof/>
                <w:szCs w:val="24"/>
                <w:lang w:val="en-IE" w:eastAsia="en-US"/>
              </w:rPr>
            </w:pPr>
            <w:r>
              <w:rPr>
                <w:rFonts w:eastAsia="Aptos"/>
                <w:noProof/>
                <w:szCs w:val="24"/>
                <w:lang w:val="en-IE" w:eastAsia="en-US"/>
              </w:rPr>
              <w:t xml:space="preserve">clarification for </w:t>
            </w:r>
            <w:r w:rsidR="00E5727C">
              <w:rPr>
                <w:rFonts w:eastAsia="Aptos"/>
                <w:noProof/>
                <w:szCs w:val="24"/>
                <w:lang w:val="en-IE" w:eastAsia="en-US"/>
              </w:rPr>
              <w:t>m</w:t>
            </w:r>
            <w:r w:rsidR="00D86C7D">
              <w:rPr>
                <w:rFonts w:eastAsia="Aptos"/>
                <w:noProof/>
                <w:szCs w:val="24"/>
                <w:lang w:val="en-IE" w:eastAsia="en-US"/>
              </w:rPr>
              <w:t xml:space="preserve">icro or </w:t>
            </w:r>
            <w:r w:rsidR="00E5727C">
              <w:rPr>
                <w:rFonts w:eastAsia="Aptos"/>
                <w:noProof/>
                <w:szCs w:val="24"/>
                <w:lang w:val="en-IE" w:eastAsia="en-US"/>
              </w:rPr>
              <w:t>s</w:t>
            </w:r>
            <w:r w:rsidR="00D86C7D">
              <w:rPr>
                <w:rFonts w:eastAsia="Aptos"/>
                <w:noProof/>
                <w:szCs w:val="24"/>
                <w:lang w:val="en-IE" w:eastAsia="en-US"/>
              </w:rPr>
              <w:t xml:space="preserve">mall </w:t>
            </w:r>
            <w:r w:rsidR="00E5727C">
              <w:rPr>
                <w:rFonts w:eastAsia="Aptos"/>
                <w:noProof/>
                <w:szCs w:val="24"/>
                <w:lang w:val="en-IE" w:eastAsia="en-US"/>
              </w:rPr>
              <w:t>p</w:t>
            </w:r>
            <w:r w:rsidR="00D86C7D">
              <w:rPr>
                <w:rFonts w:eastAsia="Aptos"/>
                <w:noProof/>
                <w:szCs w:val="24"/>
                <w:lang w:val="en-IE" w:eastAsia="en-US"/>
              </w:rPr>
              <w:t xml:space="preserve">rimary </w:t>
            </w:r>
            <w:r w:rsidR="00E5727C">
              <w:rPr>
                <w:rFonts w:eastAsia="Aptos"/>
                <w:noProof/>
                <w:szCs w:val="24"/>
                <w:lang w:val="en-IE" w:eastAsia="en-US"/>
              </w:rPr>
              <w:t>o</w:t>
            </w:r>
            <w:r w:rsidR="00D86C7D">
              <w:rPr>
                <w:rFonts w:eastAsia="Aptos"/>
                <w:noProof/>
                <w:szCs w:val="24"/>
                <w:lang w:val="en-IE" w:eastAsia="en-US"/>
              </w:rPr>
              <w:t>perator</w:t>
            </w:r>
            <w:r w:rsidRPr="00B446AE">
              <w:rPr>
                <w:rFonts w:eastAsia="Aptos"/>
                <w:noProof/>
                <w:szCs w:val="24"/>
                <w:lang w:val="en-IE" w:eastAsia="en-US"/>
              </w:rPr>
              <w:t>s</w:t>
            </w:r>
            <w:r>
              <w:rPr>
                <w:rFonts w:eastAsia="Aptos"/>
                <w:noProof/>
                <w:szCs w:val="24"/>
                <w:lang w:val="en-IE" w:eastAsia="en-US"/>
              </w:rPr>
              <w:t xml:space="preserve">, notably providing guidance </w:t>
            </w:r>
            <w:r w:rsidR="00024B62">
              <w:rPr>
                <w:rFonts w:eastAsia="Aptos"/>
                <w:noProof/>
                <w:szCs w:val="24"/>
                <w:lang w:val="en-IE" w:eastAsia="en-US"/>
              </w:rPr>
              <w:t>on</w:t>
            </w:r>
            <w:r>
              <w:rPr>
                <w:rFonts w:eastAsia="Aptos"/>
                <w:noProof/>
                <w:szCs w:val="24"/>
                <w:lang w:val="en-IE" w:eastAsia="en-US"/>
              </w:rPr>
              <w:t xml:space="preserve"> size thresholds;</w:t>
            </w:r>
            <w:r w:rsidRPr="00B446AE">
              <w:rPr>
                <w:rFonts w:eastAsia="Aptos"/>
                <w:noProof/>
                <w:szCs w:val="24"/>
                <w:lang w:val="en-IE" w:eastAsia="en-US"/>
              </w:rPr>
              <w:t xml:space="preserve"> </w:t>
            </w:r>
          </w:p>
          <w:p w14:paraId="1F1C24D5" w14:textId="044F79A7" w:rsidR="005E1D3B" w:rsidRDefault="005E1D3B" w:rsidP="005E1D3B">
            <w:pPr>
              <w:pStyle w:val="ListParagraph"/>
              <w:numPr>
                <w:ilvl w:val="0"/>
                <w:numId w:val="74"/>
              </w:numPr>
              <w:spacing w:after="120"/>
              <w:rPr>
                <w:rFonts w:eastAsia="Aptos"/>
                <w:noProof/>
                <w:szCs w:val="24"/>
                <w:lang w:val="en-IE" w:eastAsia="en-US"/>
              </w:rPr>
            </w:pPr>
            <w:r>
              <w:rPr>
                <w:rFonts w:eastAsia="Aptos"/>
                <w:noProof/>
                <w:szCs w:val="24"/>
                <w:lang w:val="en-IE" w:eastAsia="en-US"/>
              </w:rPr>
              <w:t xml:space="preserve">clarification on the principle of </w:t>
            </w:r>
            <w:r w:rsidRPr="00B446AE">
              <w:rPr>
                <w:rFonts w:eastAsia="Aptos"/>
                <w:noProof/>
                <w:szCs w:val="24"/>
                <w:lang w:val="en-IE" w:eastAsia="en-US"/>
              </w:rPr>
              <w:t xml:space="preserve">legality </w:t>
            </w:r>
            <w:r>
              <w:rPr>
                <w:rFonts w:eastAsia="Aptos"/>
                <w:noProof/>
                <w:szCs w:val="24"/>
                <w:lang w:val="en-IE" w:eastAsia="en-US"/>
              </w:rPr>
              <w:t xml:space="preserve">verification, </w:t>
            </w:r>
            <w:r w:rsidR="005655F5">
              <w:rPr>
                <w:rFonts w:eastAsia="Aptos"/>
                <w:noProof/>
                <w:szCs w:val="24"/>
                <w:lang w:val="en-IE" w:eastAsia="en-US"/>
              </w:rPr>
              <w:t>including clearer guidance on simplified due diligence</w:t>
            </w:r>
            <w:r w:rsidR="003D2ACB">
              <w:rPr>
                <w:rFonts w:eastAsia="Aptos"/>
                <w:noProof/>
                <w:szCs w:val="24"/>
                <w:lang w:val="en-IE" w:eastAsia="en-US"/>
              </w:rPr>
              <w:t xml:space="preserve"> requirements</w:t>
            </w:r>
            <w:r>
              <w:rPr>
                <w:rFonts w:eastAsia="Aptos"/>
                <w:noProof/>
                <w:szCs w:val="24"/>
                <w:lang w:val="en-IE" w:eastAsia="en-US"/>
              </w:rPr>
              <w:t>;</w:t>
            </w:r>
            <w:r w:rsidRPr="00B446AE">
              <w:rPr>
                <w:rFonts w:eastAsia="Aptos"/>
                <w:noProof/>
                <w:szCs w:val="24"/>
                <w:lang w:val="en-IE" w:eastAsia="en-US"/>
              </w:rPr>
              <w:t xml:space="preserve"> </w:t>
            </w:r>
          </w:p>
          <w:p w14:paraId="3F7D3FB6" w14:textId="5AFBA17D" w:rsidR="003C048E" w:rsidRPr="00B446AE" w:rsidRDefault="003C048E" w:rsidP="003C048E">
            <w:pPr>
              <w:pStyle w:val="ListParagraph"/>
              <w:numPr>
                <w:ilvl w:val="0"/>
                <w:numId w:val="74"/>
              </w:numPr>
              <w:spacing w:after="120"/>
              <w:rPr>
                <w:rFonts w:eastAsia="Aptos"/>
                <w:noProof/>
                <w:lang w:val="en-IE" w:eastAsia="en-US"/>
              </w:rPr>
            </w:pPr>
            <w:r w:rsidRPr="7A228EF8">
              <w:rPr>
                <w:rFonts w:eastAsia="Aptos"/>
                <w:noProof/>
                <w:lang w:val="en-IE" w:eastAsia="en-US"/>
              </w:rPr>
              <w:t>update of the Information System (</w:t>
            </w:r>
            <w:r w:rsidRPr="00DD0573">
              <w:rPr>
                <w:rFonts w:eastAsia="Aptos"/>
                <w:noProof/>
                <w:lang w:val="en-IE" w:eastAsia="en-US"/>
              </w:rPr>
              <w:t xml:space="preserve">reopening </w:t>
            </w:r>
            <w:r w:rsidR="00A923FA">
              <w:rPr>
                <w:rFonts w:eastAsia="Aptos"/>
                <w:noProof/>
                <w:lang w:val="en-IE" w:eastAsia="en-US"/>
              </w:rPr>
              <w:t xml:space="preserve">as of </w:t>
            </w:r>
            <w:r w:rsidR="0018505D">
              <w:rPr>
                <w:rFonts w:eastAsia="Aptos"/>
                <w:noProof/>
                <w:lang w:val="en-IE" w:eastAsia="en-US"/>
              </w:rPr>
              <w:t>June 2026</w:t>
            </w:r>
            <w:r w:rsidRPr="00DD0573">
              <w:rPr>
                <w:rFonts w:eastAsia="Aptos"/>
                <w:noProof/>
                <w:lang w:val="en-IE" w:eastAsia="en-US"/>
              </w:rPr>
              <w:t>)</w:t>
            </w:r>
            <w:r w:rsidRPr="7A228EF8">
              <w:rPr>
                <w:rFonts w:eastAsia="Aptos"/>
                <w:noProof/>
                <w:lang w:val="en-IE" w:eastAsia="en-US"/>
              </w:rPr>
              <w:t xml:space="preserve"> introducing new functions to reflect changes of the EUDR text such as </w:t>
            </w:r>
            <w:r w:rsidR="00386DB2" w:rsidRPr="00386DB2">
              <w:rPr>
                <w:rFonts w:eastAsia="Aptos"/>
                <w:noProof/>
                <w:lang w:val="en-IE" w:eastAsia="en-US"/>
              </w:rPr>
              <w:t>registration of new roles</w:t>
            </w:r>
            <w:r w:rsidR="00386DB2">
              <w:rPr>
                <w:rFonts w:eastAsia="Aptos"/>
                <w:noProof/>
                <w:lang w:val="en-IE" w:eastAsia="en-US"/>
              </w:rPr>
              <w:t xml:space="preserve">, </w:t>
            </w:r>
            <w:r w:rsidRPr="7A228EF8">
              <w:rPr>
                <w:rFonts w:eastAsia="Aptos"/>
                <w:noProof/>
                <w:lang w:val="en-IE" w:eastAsia="en-US"/>
              </w:rPr>
              <w:t>simplified declarations, and</w:t>
            </w:r>
            <w:r w:rsidR="00386DB2">
              <w:rPr>
                <w:rFonts w:eastAsia="Aptos"/>
                <w:noProof/>
                <w:lang w:val="en-IE" w:eastAsia="en-US"/>
              </w:rPr>
              <w:t xml:space="preserve"> </w:t>
            </w:r>
            <w:r w:rsidR="00246487" w:rsidRPr="00246487">
              <w:rPr>
                <w:rFonts w:eastAsia="Aptos"/>
                <w:noProof/>
                <w:lang w:val="en-IE" w:eastAsia="en-US"/>
              </w:rPr>
              <w:t xml:space="preserve">additional functionalities, including additional or improved APIs, as well as </w:t>
            </w:r>
            <w:r w:rsidRPr="7A228EF8">
              <w:rPr>
                <w:rFonts w:eastAsia="Aptos"/>
                <w:noProof/>
                <w:lang w:val="en-IE" w:eastAsia="en-US"/>
              </w:rPr>
              <w:t>voluntary grouping tools following suggestions from stakeholders</w:t>
            </w:r>
            <w:r>
              <w:rPr>
                <w:rFonts w:eastAsia="Aptos"/>
                <w:noProof/>
                <w:lang w:val="en-IE" w:eastAsia="en-US"/>
              </w:rPr>
              <w:t>;</w:t>
            </w:r>
            <w:r w:rsidRPr="7A228EF8">
              <w:rPr>
                <w:rFonts w:eastAsia="Aptos"/>
                <w:noProof/>
                <w:lang w:val="en-IE" w:eastAsia="en-US"/>
              </w:rPr>
              <w:t xml:space="preserve"> </w:t>
            </w:r>
          </w:p>
          <w:p w14:paraId="15BDC06B" w14:textId="026F2296" w:rsidR="005E1D3B" w:rsidRDefault="0593C1C2" w:rsidP="7A228EF8">
            <w:pPr>
              <w:pStyle w:val="ListParagraph"/>
              <w:numPr>
                <w:ilvl w:val="0"/>
                <w:numId w:val="74"/>
              </w:numPr>
              <w:spacing w:after="120"/>
              <w:rPr>
                <w:rFonts w:eastAsia="Aptos"/>
                <w:noProof/>
                <w:lang w:val="en-IE" w:eastAsia="en-US"/>
              </w:rPr>
            </w:pPr>
            <w:r w:rsidRPr="7A228EF8">
              <w:rPr>
                <w:rFonts w:eastAsia="Aptos"/>
                <w:noProof/>
                <w:lang w:val="en-IE" w:eastAsia="en-US"/>
              </w:rPr>
              <w:t>refining of the product scope by</w:t>
            </w:r>
            <w:r w:rsidR="417B2A5C" w:rsidRPr="7A228EF8">
              <w:rPr>
                <w:rFonts w:eastAsia="Aptos"/>
                <w:noProof/>
                <w:lang w:val="en-IE" w:eastAsia="en-US"/>
              </w:rPr>
              <w:t xml:space="preserve"> </w:t>
            </w:r>
            <w:r w:rsidR="000A55D0">
              <w:rPr>
                <w:rFonts w:eastAsia="Aptos"/>
                <w:noProof/>
                <w:lang w:val="en-IE" w:eastAsia="en-US"/>
              </w:rPr>
              <w:t xml:space="preserve">proposing to </w:t>
            </w:r>
            <w:r w:rsidR="417B2A5C" w:rsidRPr="7A228EF8">
              <w:rPr>
                <w:rFonts w:eastAsia="Aptos"/>
                <w:noProof/>
                <w:lang w:val="en-IE" w:eastAsia="en-US"/>
              </w:rPr>
              <w:t>introduc</w:t>
            </w:r>
            <w:r w:rsidR="000A55D0">
              <w:rPr>
                <w:rFonts w:eastAsia="Aptos"/>
                <w:noProof/>
                <w:lang w:val="en-IE" w:eastAsia="en-US"/>
              </w:rPr>
              <w:t>e</w:t>
            </w:r>
            <w:r w:rsidR="417B2A5C" w:rsidRPr="7A228EF8">
              <w:rPr>
                <w:rFonts w:eastAsia="Aptos"/>
                <w:noProof/>
                <w:lang w:val="en-IE" w:eastAsia="en-US"/>
              </w:rPr>
              <w:t xml:space="preserve"> certain horizontal exemptions,</w:t>
            </w:r>
            <w:r w:rsidRPr="7A228EF8">
              <w:rPr>
                <w:rFonts w:eastAsia="Aptos"/>
                <w:noProof/>
                <w:lang w:val="en-IE" w:eastAsia="en-US"/>
              </w:rPr>
              <w:t xml:space="preserve"> removing certain products (e.g. retreaded tyres</w:t>
            </w:r>
            <w:r w:rsidR="6E2AF284" w:rsidRPr="7A228EF8">
              <w:rPr>
                <w:rFonts w:eastAsia="Aptos"/>
                <w:noProof/>
                <w:lang w:val="en-IE" w:eastAsia="en-US"/>
              </w:rPr>
              <w:t xml:space="preserve">, </w:t>
            </w:r>
            <w:r w:rsidR="6E2AF284">
              <w:rPr>
                <w:noProof/>
              </w:rPr>
              <w:t>cattle skins and hides)</w:t>
            </w:r>
            <w:r w:rsidRPr="7A228EF8">
              <w:rPr>
                <w:rFonts w:eastAsia="Aptos"/>
                <w:noProof/>
                <w:lang w:val="en-IE" w:eastAsia="en-US"/>
              </w:rPr>
              <w:t xml:space="preserve"> and including others (e.g. soluble coffee, certain palm oil derivatives</w:t>
            </w:r>
            <w:r w:rsidR="02731778" w:rsidRPr="7A228EF8">
              <w:rPr>
                <w:rFonts w:eastAsia="Aptos"/>
                <w:noProof/>
                <w:lang w:val="en-IE" w:eastAsia="en-US"/>
              </w:rPr>
              <w:t xml:space="preserve"> and frozen cattle tongues</w:t>
            </w:r>
            <w:r w:rsidRPr="7A228EF8">
              <w:rPr>
                <w:rFonts w:eastAsia="Aptos"/>
                <w:noProof/>
                <w:lang w:val="en-IE" w:eastAsia="en-US"/>
              </w:rPr>
              <w:t>)</w:t>
            </w:r>
            <w:r w:rsidR="000A55D0">
              <w:rPr>
                <w:rFonts w:eastAsia="Aptos"/>
                <w:noProof/>
                <w:lang w:val="en-IE" w:eastAsia="en-US"/>
              </w:rPr>
              <w:t xml:space="preserve"> as outlined in the draft Delegated Act published for public feedback</w:t>
            </w:r>
            <w:r w:rsidR="00100C80">
              <w:rPr>
                <w:rFonts w:eastAsia="Aptos"/>
                <w:noProof/>
                <w:lang w:val="en-IE" w:eastAsia="en-US"/>
              </w:rPr>
              <w:t>;</w:t>
            </w:r>
            <w:r w:rsidRPr="7A228EF8">
              <w:rPr>
                <w:rFonts w:eastAsia="Aptos"/>
                <w:noProof/>
                <w:lang w:val="en-IE" w:eastAsia="en-US"/>
              </w:rPr>
              <w:t xml:space="preserve"> </w:t>
            </w:r>
          </w:p>
          <w:p w14:paraId="50E2335B" w14:textId="5DC3D3AF" w:rsidR="005E1D3B" w:rsidRDefault="005E1D3B" w:rsidP="00FF041C">
            <w:pPr>
              <w:pStyle w:val="ListParagraph"/>
              <w:numPr>
                <w:ilvl w:val="0"/>
                <w:numId w:val="74"/>
              </w:numPr>
              <w:ind w:left="714" w:hanging="357"/>
              <w:rPr>
                <w:noProof/>
                <w:lang w:val="en-IE"/>
              </w:rPr>
            </w:pPr>
            <w:r w:rsidRPr="0012414D">
              <w:rPr>
                <w:rFonts w:eastAsia="Aptos"/>
                <w:noProof/>
                <w:szCs w:val="24"/>
                <w:lang w:val="en-IE" w:eastAsia="en-US"/>
              </w:rPr>
              <w:t xml:space="preserve">launch </w:t>
            </w:r>
            <w:r w:rsidR="00EE6CD8">
              <w:rPr>
                <w:rFonts w:eastAsia="Aptos"/>
                <w:noProof/>
                <w:szCs w:val="24"/>
                <w:lang w:val="en-IE" w:eastAsia="en-US"/>
              </w:rPr>
              <w:t xml:space="preserve">of </w:t>
            </w:r>
            <w:r w:rsidRPr="0012174E">
              <w:rPr>
                <w:rFonts w:eastAsia="Aptos"/>
                <w:noProof/>
                <w:szCs w:val="24"/>
                <w:lang w:val="en-IE" w:eastAsia="en-US"/>
              </w:rPr>
              <w:t>repositories</w:t>
            </w:r>
            <w:r w:rsidRPr="0012414D">
              <w:rPr>
                <w:rFonts w:eastAsia="Aptos"/>
                <w:noProof/>
                <w:szCs w:val="24"/>
                <w:lang w:val="en-IE" w:eastAsia="en-US"/>
              </w:rPr>
              <w:t xml:space="preserve"> of relevant legislation of producing countries and certification schemes</w:t>
            </w:r>
            <w:r w:rsidR="00EE6CD8">
              <w:rPr>
                <w:rFonts w:eastAsia="Aptos"/>
                <w:noProof/>
                <w:szCs w:val="24"/>
                <w:lang w:val="en-IE" w:eastAsia="en-US"/>
              </w:rPr>
              <w:t xml:space="preserve"> by end of 2026</w:t>
            </w:r>
            <w:r w:rsidRPr="0012414D">
              <w:rPr>
                <w:rFonts w:eastAsia="Aptos"/>
                <w:noProof/>
                <w:szCs w:val="24"/>
                <w:lang w:val="en-IE" w:eastAsia="en-US"/>
              </w:rPr>
              <w:t xml:space="preserve">. </w:t>
            </w:r>
          </w:p>
        </w:tc>
      </w:tr>
    </w:tbl>
    <w:p w14:paraId="3E1FB100" w14:textId="77777777" w:rsidR="005E1D3B" w:rsidRDefault="005E1D3B" w:rsidP="0012174E">
      <w:pPr>
        <w:spacing w:after="120"/>
        <w:rPr>
          <w:noProof/>
          <w:lang w:val="en-IE"/>
        </w:rPr>
      </w:pPr>
    </w:p>
    <w:p w14:paraId="416D9431" w14:textId="63579BE6" w:rsidR="004B6324" w:rsidRPr="0012174E" w:rsidRDefault="007F3567" w:rsidP="0012174E">
      <w:pPr>
        <w:spacing w:after="120"/>
        <w:rPr>
          <w:b/>
          <w:bCs/>
          <w:noProof/>
          <w:sz w:val="28"/>
          <w:szCs w:val="28"/>
        </w:rPr>
      </w:pPr>
      <w:r w:rsidRPr="0012174E">
        <w:rPr>
          <w:b/>
          <w:bCs/>
          <w:noProof/>
          <w:sz w:val="28"/>
          <w:szCs w:val="28"/>
        </w:rPr>
        <w:t>5</w:t>
      </w:r>
      <w:r w:rsidR="004B6324" w:rsidRPr="0012174E">
        <w:rPr>
          <w:b/>
          <w:bCs/>
          <w:noProof/>
          <w:sz w:val="28"/>
          <w:szCs w:val="28"/>
        </w:rPr>
        <w:t xml:space="preserve">. Quantitative evaluation of simplification efforts </w:t>
      </w:r>
    </w:p>
    <w:p w14:paraId="771E1408" w14:textId="2B1F5D09" w:rsidR="00FE7A04" w:rsidRDefault="00050934" w:rsidP="0012174E">
      <w:pPr>
        <w:spacing w:after="120"/>
        <w:rPr>
          <w:noProof/>
          <w:lang w:val="en-US"/>
        </w:rPr>
      </w:pPr>
      <w:r w:rsidRPr="00480D13">
        <w:rPr>
          <w:noProof/>
          <w:szCs w:val="24"/>
        </w:rPr>
        <w:t xml:space="preserve">Building upon the simplifications </w:t>
      </w:r>
      <w:r w:rsidR="00D86C7D" w:rsidRPr="00480D13">
        <w:rPr>
          <w:noProof/>
          <w:szCs w:val="24"/>
        </w:rPr>
        <w:t>explained</w:t>
      </w:r>
      <w:r w:rsidRPr="00480D13">
        <w:rPr>
          <w:noProof/>
          <w:szCs w:val="24"/>
        </w:rPr>
        <w:t xml:space="preserve"> in </w:t>
      </w:r>
      <w:r w:rsidR="00066849" w:rsidRPr="00480D13">
        <w:rPr>
          <w:noProof/>
          <w:szCs w:val="24"/>
        </w:rPr>
        <w:t>C</w:t>
      </w:r>
      <w:r w:rsidRPr="00480D13">
        <w:rPr>
          <w:noProof/>
          <w:szCs w:val="24"/>
        </w:rPr>
        <w:t>hapter 2 and 4, this chapter presents a</w:t>
      </w:r>
      <w:r w:rsidR="00430A6A" w:rsidRPr="00480D13">
        <w:rPr>
          <w:noProof/>
          <w:szCs w:val="24"/>
        </w:rPr>
        <w:t>n economic</w:t>
      </w:r>
      <w:r w:rsidRPr="00480D13">
        <w:rPr>
          <w:noProof/>
          <w:szCs w:val="24"/>
        </w:rPr>
        <w:t xml:space="preserve"> quantification of the</w:t>
      </w:r>
      <w:r w:rsidR="00B7609A" w:rsidRPr="00480D13">
        <w:rPr>
          <w:noProof/>
          <w:szCs w:val="24"/>
        </w:rPr>
        <w:t xml:space="preserve"> recurrent</w:t>
      </w:r>
      <w:r w:rsidR="00963111" w:rsidRPr="00480D13">
        <w:rPr>
          <w:noProof/>
          <w:szCs w:val="24"/>
        </w:rPr>
        <w:t xml:space="preserve"> annual</w:t>
      </w:r>
      <w:r w:rsidRPr="00480D13">
        <w:rPr>
          <w:noProof/>
          <w:szCs w:val="24"/>
        </w:rPr>
        <w:t xml:space="preserve"> compliance costs </w:t>
      </w:r>
      <w:r w:rsidR="001561D4">
        <w:rPr>
          <w:noProof/>
          <w:szCs w:val="24"/>
        </w:rPr>
        <w:t>for operators</w:t>
      </w:r>
      <w:r w:rsidR="000C0202">
        <w:rPr>
          <w:noProof/>
          <w:szCs w:val="24"/>
        </w:rPr>
        <w:t xml:space="preserve"> and traders </w:t>
      </w:r>
      <w:r w:rsidRPr="00480D13">
        <w:rPr>
          <w:noProof/>
          <w:szCs w:val="24"/>
        </w:rPr>
        <w:t xml:space="preserve">(Section 5.1) and the associated </w:t>
      </w:r>
      <w:r w:rsidR="00963111" w:rsidRPr="00480D13">
        <w:rPr>
          <w:noProof/>
          <w:szCs w:val="24"/>
        </w:rPr>
        <w:t xml:space="preserve">annual </w:t>
      </w:r>
      <w:r w:rsidRPr="00480D13">
        <w:rPr>
          <w:noProof/>
          <w:szCs w:val="24"/>
        </w:rPr>
        <w:t>environmental benefits (Section 5.</w:t>
      </w:r>
      <w:r w:rsidR="00066849" w:rsidRPr="00480D13">
        <w:rPr>
          <w:noProof/>
          <w:szCs w:val="24"/>
        </w:rPr>
        <w:t>2</w:t>
      </w:r>
      <w:r w:rsidRPr="00480D13">
        <w:rPr>
          <w:noProof/>
          <w:szCs w:val="24"/>
        </w:rPr>
        <w:t xml:space="preserve">) of the EUDR. </w:t>
      </w:r>
      <w:r w:rsidR="0034789D" w:rsidRPr="00480D13">
        <w:rPr>
          <w:noProof/>
          <w:lang w:val="en-US"/>
        </w:rPr>
        <w:t xml:space="preserve">This provides a consistent basis for comparison </w:t>
      </w:r>
      <w:r w:rsidR="00842749" w:rsidRPr="00480D13">
        <w:rPr>
          <w:noProof/>
          <w:lang w:val="en-US"/>
        </w:rPr>
        <w:t>on an annual basis</w:t>
      </w:r>
      <w:r w:rsidR="0034789D" w:rsidRPr="00480D13">
        <w:rPr>
          <w:noProof/>
          <w:lang w:val="en-US"/>
        </w:rPr>
        <w:t>.</w:t>
      </w:r>
      <w:r w:rsidR="00842749" w:rsidRPr="00480D13">
        <w:rPr>
          <w:noProof/>
          <w:lang w:val="en-US"/>
        </w:rPr>
        <w:t xml:space="preserve"> </w:t>
      </w:r>
    </w:p>
    <w:p w14:paraId="174BDCC6" w14:textId="4A64E462" w:rsidR="002660DA" w:rsidRPr="0012174E" w:rsidRDefault="007F3567" w:rsidP="0012174E">
      <w:pPr>
        <w:spacing w:after="120"/>
        <w:rPr>
          <w:b/>
          <w:bCs/>
          <w:noProof/>
          <w:szCs w:val="24"/>
        </w:rPr>
      </w:pPr>
      <w:r w:rsidRPr="0012174E">
        <w:rPr>
          <w:b/>
          <w:bCs/>
          <w:noProof/>
          <w:szCs w:val="24"/>
        </w:rPr>
        <w:t>5</w:t>
      </w:r>
      <w:r w:rsidR="004B6324" w:rsidRPr="0012174E">
        <w:rPr>
          <w:b/>
          <w:bCs/>
          <w:noProof/>
          <w:szCs w:val="24"/>
        </w:rPr>
        <w:t>.1 Economic quantification o</w:t>
      </w:r>
      <w:r w:rsidR="00C37E5A" w:rsidRPr="0012174E">
        <w:rPr>
          <w:b/>
          <w:bCs/>
          <w:noProof/>
          <w:szCs w:val="24"/>
        </w:rPr>
        <w:t>f</w:t>
      </w:r>
      <w:r w:rsidR="004B6324" w:rsidRPr="0012174E">
        <w:rPr>
          <w:b/>
          <w:bCs/>
          <w:noProof/>
          <w:szCs w:val="24"/>
        </w:rPr>
        <w:t xml:space="preserve"> administrative burden</w:t>
      </w:r>
    </w:p>
    <w:p w14:paraId="56616619" w14:textId="01E91721" w:rsidR="00C11A02" w:rsidRPr="0012174E" w:rsidRDefault="6764C93E" w:rsidP="4A70F6D5">
      <w:pPr>
        <w:spacing w:after="120"/>
        <w:rPr>
          <w:noProof/>
          <w:lang w:val="en-IE"/>
        </w:rPr>
      </w:pPr>
      <w:r w:rsidRPr="4A70F6D5">
        <w:rPr>
          <w:noProof/>
          <w:lang w:val="en-IE"/>
        </w:rPr>
        <w:t>Taken together, the legislative and non-legislative simplification measures described in the preceding chapters are estimated to reduce annual compliance costs for companies subject to EUDR obligations by approximately 75%</w:t>
      </w:r>
      <w:r w:rsidR="00A77579" w:rsidRPr="4A70F6D5">
        <w:rPr>
          <w:noProof/>
          <w:lang w:val="en-IE"/>
        </w:rPr>
        <w:t xml:space="preserve"> -</w:t>
      </w:r>
      <w:r w:rsidRPr="4A70F6D5">
        <w:rPr>
          <w:noProof/>
          <w:lang w:val="en-IE"/>
        </w:rPr>
        <w:t xml:space="preserve"> from </w:t>
      </w:r>
      <w:r w:rsidR="000E2146" w:rsidRPr="4A70F6D5">
        <w:rPr>
          <w:noProof/>
          <w:lang w:val="en-IE"/>
        </w:rPr>
        <w:t xml:space="preserve">estimated </w:t>
      </w:r>
      <w:r w:rsidR="58CFE660" w:rsidRPr="4A70F6D5">
        <w:rPr>
          <w:noProof/>
          <w:lang w:val="en-IE"/>
        </w:rPr>
        <w:t xml:space="preserve">EUR </w:t>
      </w:r>
      <w:r w:rsidRPr="4A70F6D5">
        <w:rPr>
          <w:noProof/>
          <w:lang w:val="en-IE"/>
        </w:rPr>
        <w:t>8.1 billion</w:t>
      </w:r>
      <w:r w:rsidR="00B03081" w:rsidRPr="4A70F6D5">
        <w:rPr>
          <w:noProof/>
          <w:lang w:val="en-IE"/>
        </w:rPr>
        <w:t xml:space="preserve"> </w:t>
      </w:r>
      <w:r w:rsidRPr="4A70F6D5">
        <w:rPr>
          <w:noProof/>
          <w:lang w:val="en-IE"/>
        </w:rPr>
        <w:t xml:space="preserve">per year under the Regulation as it entered into force in 2023 to </w:t>
      </w:r>
      <w:r w:rsidR="72A94786" w:rsidRPr="4A70F6D5">
        <w:rPr>
          <w:noProof/>
          <w:lang w:val="en-IE"/>
        </w:rPr>
        <w:t xml:space="preserve">EUR </w:t>
      </w:r>
      <w:r w:rsidRPr="4A70F6D5">
        <w:rPr>
          <w:noProof/>
          <w:lang w:val="en-IE"/>
        </w:rPr>
        <w:t>2</w:t>
      </w:r>
      <w:r w:rsidR="00787EE0">
        <w:rPr>
          <w:noProof/>
          <w:lang w:val="en-IE"/>
        </w:rPr>
        <w:t>.0</w:t>
      </w:r>
      <w:r w:rsidRPr="4A70F6D5">
        <w:rPr>
          <w:noProof/>
          <w:lang w:val="en-IE"/>
        </w:rPr>
        <w:t xml:space="preserve"> billion per year once all simplification measures are accounted for</w:t>
      </w:r>
      <w:r w:rsidR="008B6623" w:rsidRPr="4A70F6D5">
        <w:rPr>
          <w:noProof/>
          <w:lang w:val="en-IE"/>
        </w:rPr>
        <w:t> (</w:t>
      </w:r>
      <w:r w:rsidR="008B6623" w:rsidRPr="4A70F6D5">
        <w:rPr>
          <w:rStyle w:val="FootnoteReference"/>
          <w:noProof/>
          <w:lang w:val="en-IE"/>
        </w:rPr>
        <w:footnoteReference w:id="40"/>
      </w:r>
      <w:r w:rsidR="008B6623" w:rsidRPr="4A70F6D5">
        <w:rPr>
          <w:noProof/>
          <w:lang w:val="en-IE"/>
        </w:rPr>
        <w:t>)</w:t>
      </w:r>
      <w:r w:rsidRPr="4A70F6D5">
        <w:rPr>
          <w:noProof/>
          <w:lang w:val="en-IE"/>
        </w:rPr>
        <w:t>.</w:t>
      </w:r>
      <w:r w:rsidR="2F2206FA" w:rsidRPr="4A70F6D5">
        <w:rPr>
          <w:noProof/>
          <w:lang w:val="en-IE"/>
        </w:rPr>
        <w:t xml:space="preserve"> </w:t>
      </w:r>
    </w:p>
    <w:p w14:paraId="4BC28102" w14:textId="15BA2751" w:rsidR="00CC1870" w:rsidRPr="0012174E" w:rsidRDefault="00CC1870" w:rsidP="0012174E">
      <w:pPr>
        <w:spacing w:after="120"/>
        <w:rPr>
          <w:noProof/>
          <w:szCs w:val="24"/>
          <w:lang w:val="en-IE"/>
        </w:rPr>
      </w:pPr>
      <w:r w:rsidRPr="0012174E">
        <w:rPr>
          <w:noProof/>
          <w:szCs w:val="24"/>
          <w:lang w:val="en-IE"/>
        </w:rPr>
        <w:t xml:space="preserve">This significant decrease is driven </w:t>
      </w:r>
      <w:r w:rsidR="00532B95">
        <w:rPr>
          <w:noProof/>
          <w:szCs w:val="24"/>
          <w:lang w:val="en-IE"/>
        </w:rPr>
        <w:t xml:space="preserve">by </w:t>
      </w:r>
      <w:r w:rsidRPr="0012174E">
        <w:rPr>
          <w:noProof/>
          <w:szCs w:val="24"/>
          <w:lang w:val="en-IE"/>
        </w:rPr>
        <w:t xml:space="preserve">a combination of targeted adjustments that collectively </w:t>
      </w:r>
      <w:r w:rsidR="00485C4D" w:rsidRPr="0012174E">
        <w:rPr>
          <w:noProof/>
          <w:szCs w:val="24"/>
          <w:lang w:val="en-IE"/>
        </w:rPr>
        <w:t>simplify</w:t>
      </w:r>
      <w:r w:rsidRPr="0012174E">
        <w:rPr>
          <w:noProof/>
          <w:szCs w:val="24"/>
          <w:lang w:val="en-IE"/>
        </w:rPr>
        <w:t xml:space="preserve"> the regulatory framework. </w:t>
      </w:r>
      <w:r w:rsidR="00272B23">
        <w:rPr>
          <w:noProof/>
          <w:szCs w:val="24"/>
          <w:lang w:val="en-IE"/>
        </w:rPr>
        <w:t>Quantified</w:t>
      </w:r>
      <w:r w:rsidR="00612588">
        <w:rPr>
          <w:noProof/>
          <w:szCs w:val="24"/>
          <w:lang w:val="en-IE"/>
        </w:rPr>
        <w:t xml:space="preserve"> past</w:t>
      </w:r>
      <w:r w:rsidR="125B55E9" w:rsidRPr="0012174E">
        <w:rPr>
          <w:noProof/>
          <w:szCs w:val="24"/>
          <w:lang w:val="en-IE"/>
        </w:rPr>
        <w:t xml:space="preserve"> cost-saving measures include </w:t>
      </w:r>
      <w:r w:rsidR="2B999E51" w:rsidRPr="0012174E">
        <w:rPr>
          <w:noProof/>
          <w:szCs w:val="24"/>
          <w:lang w:val="en-IE"/>
        </w:rPr>
        <w:t xml:space="preserve">the </w:t>
      </w:r>
      <w:r w:rsidR="00EE1E88">
        <w:rPr>
          <w:noProof/>
          <w:szCs w:val="24"/>
          <w:lang w:val="en-IE"/>
        </w:rPr>
        <w:t>risk classification</w:t>
      </w:r>
      <w:r w:rsidR="00EE1E88" w:rsidRPr="0012174E">
        <w:rPr>
          <w:noProof/>
          <w:szCs w:val="24"/>
          <w:lang w:val="en-IE"/>
        </w:rPr>
        <w:t xml:space="preserve"> </w:t>
      </w:r>
      <w:r w:rsidR="2B999E51" w:rsidRPr="0012174E">
        <w:rPr>
          <w:noProof/>
          <w:szCs w:val="24"/>
          <w:lang w:val="en-IE"/>
        </w:rPr>
        <w:t>exercise (May 2025), under which more countries are classified as “low-risk” than anticipated in the initial impact assessment</w:t>
      </w:r>
      <w:r w:rsidR="5793E0C4" w:rsidRPr="0012174E">
        <w:rPr>
          <w:noProof/>
          <w:szCs w:val="24"/>
          <w:lang w:val="en-IE"/>
        </w:rPr>
        <w:t>,</w:t>
      </w:r>
      <w:r w:rsidR="2B999E51" w:rsidRPr="0012174E">
        <w:rPr>
          <w:noProof/>
          <w:szCs w:val="24"/>
          <w:lang w:val="en-IE"/>
        </w:rPr>
        <w:t xml:space="preserve"> the </w:t>
      </w:r>
      <w:r w:rsidR="15180620" w:rsidRPr="0012174E">
        <w:rPr>
          <w:noProof/>
          <w:szCs w:val="24"/>
          <w:lang w:val="en-IE"/>
        </w:rPr>
        <w:t xml:space="preserve">possibility of </w:t>
      </w:r>
      <w:r w:rsidRPr="0012174E">
        <w:rPr>
          <w:noProof/>
          <w:szCs w:val="24"/>
          <w:lang w:val="en-IE"/>
        </w:rPr>
        <w:t xml:space="preserve">annual submission </w:t>
      </w:r>
      <w:r w:rsidR="6436EB53" w:rsidRPr="0012174E">
        <w:rPr>
          <w:noProof/>
          <w:szCs w:val="24"/>
          <w:lang w:val="en-IE"/>
        </w:rPr>
        <w:t xml:space="preserve">of due diligence statements </w:t>
      </w:r>
      <w:r w:rsidRPr="0012174E">
        <w:rPr>
          <w:noProof/>
          <w:szCs w:val="24"/>
          <w:lang w:val="en-IE"/>
        </w:rPr>
        <w:t>(</w:t>
      </w:r>
      <w:r w:rsidR="00294144">
        <w:rPr>
          <w:noProof/>
          <w:szCs w:val="24"/>
          <w:lang w:val="en-IE"/>
        </w:rPr>
        <w:t xml:space="preserve">clarification in </w:t>
      </w:r>
      <w:r w:rsidR="001662A1">
        <w:rPr>
          <w:noProof/>
          <w:szCs w:val="24"/>
          <w:lang w:val="en-IE"/>
        </w:rPr>
        <w:t>FAQs and G</w:t>
      </w:r>
      <w:r w:rsidR="00294144">
        <w:rPr>
          <w:noProof/>
          <w:szCs w:val="24"/>
          <w:lang w:val="en-IE"/>
        </w:rPr>
        <w:t xml:space="preserve">uidance documents of </w:t>
      </w:r>
      <w:r w:rsidRPr="0012174E">
        <w:rPr>
          <w:noProof/>
          <w:szCs w:val="24"/>
          <w:lang w:val="en-IE"/>
        </w:rPr>
        <w:t>April 2025)</w:t>
      </w:r>
      <w:r w:rsidR="002E4FE8">
        <w:rPr>
          <w:noProof/>
          <w:szCs w:val="24"/>
          <w:lang w:val="en-IE"/>
        </w:rPr>
        <w:t xml:space="preserve"> and</w:t>
      </w:r>
      <w:r w:rsidR="002E4FE8" w:rsidRPr="002E4FE8">
        <w:rPr>
          <w:noProof/>
          <w:szCs w:val="24"/>
          <w:lang w:val="en-IE"/>
        </w:rPr>
        <w:t xml:space="preserve"> </w:t>
      </w:r>
      <w:r w:rsidR="002E4FE8" w:rsidRPr="00157444">
        <w:rPr>
          <w:noProof/>
          <w:szCs w:val="24"/>
          <w:lang w:val="en-IE"/>
        </w:rPr>
        <w:t>the simplified regime for micro or small primary operators</w:t>
      </w:r>
      <w:r w:rsidR="002E4FE8">
        <w:rPr>
          <w:noProof/>
          <w:szCs w:val="24"/>
          <w:lang w:val="en-IE"/>
        </w:rPr>
        <w:t xml:space="preserve"> (</w:t>
      </w:r>
      <w:r w:rsidR="000C22CF">
        <w:rPr>
          <w:noProof/>
          <w:szCs w:val="24"/>
          <w:lang w:val="en-IE"/>
        </w:rPr>
        <w:t>202</w:t>
      </w:r>
      <w:r w:rsidR="00CB0B1E">
        <w:rPr>
          <w:noProof/>
          <w:szCs w:val="24"/>
          <w:lang w:val="en-IE"/>
        </w:rPr>
        <w:t>5</w:t>
      </w:r>
      <w:r w:rsidR="000C22CF">
        <w:rPr>
          <w:noProof/>
          <w:szCs w:val="24"/>
          <w:lang w:val="en-IE"/>
        </w:rPr>
        <w:t xml:space="preserve"> EUDR revision</w:t>
      </w:r>
      <w:r w:rsidR="002E4FE8">
        <w:rPr>
          <w:noProof/>
          <w:szCs w:val="24"/>
          <w:lang w:val="en-IE"/>
        </w:rPr>
        <w:t>).</w:t>
      </w:r>
    </w:p>
    <w:p w14:paraId="38A20A92" w14:textId="1715DB12" w:rsidR="009B0656" w:rsidRPr="0012174E" w:rsidRDefault="00CC1870" w:rsidP="0012174E">
      <w:pPr>
        <w:spacing w:after="120"/>
        <w:rPr>
          <w:noProof/>
          <w:lang w:val="en-IE"/>
        </w:rPr>
      </w:pPr>
      <w:r w:rsidRPr="000E4A59">
        <w:rPr>
          <w:noProof/>
          <w:lang w:val="en-IE"/>
        </w:rPr>
        <w:t xml:space="preserve">The quantification also captures </w:t>
      </w:r>
      <w:r w:rsidR="00C6067E" w:rsidRPr="000E4A59">
        <w:rPr>
          <w:noProof/>
          <w:lang w:val="en-IE"/>
        </w:rPr>
        <w:t xml:space="preserve">the latest simplifications </w:t>
      </w:r>
      <w:r w:rsidR="00D8366E" w:rsidRPr="000E4A59">
        <w:rPr>
          <w:noProof/>
          <w:lang w:val="en-IE"/>
        </w:rPr>
        <w:t xml:space="preserve">published </w:t>
      </w:r>
      <w:r w:rsidR="00520F1E" w:rsidRPr="000E4A59">
        <w:rPr>
          <w:noProof/>
          <w:lang w:val="en-IE"/>
        </w:rPr>
        <w:t>together with this Report</w:t>
      </w:r>
      <w:r w:rsidRPr="000E4A59">
        <w:rPr>
          <w:noProof/>
          <w:lang w:val="en-IE"/>
        </w:rPr>
        <w:t>.</w:t>
      </w:r>
      <w:r w:rsidRPr="491FD11E">
        <w:rPr>
          <w:noProof/>
          <w:lang w:val="en-IE"/>
        </w:rPr>
        <w:t xml:space="preserve"> </w:t>
      </w:r>
      <w:r w:rsidR="04EDBF23" w:rsidRPr="491FD11E">
        <w:rPr>
          <w:noProof/>
          <w:lang w:val="en-IE"/>
        </w:rPr>
        <w:t>The proposed</w:t>
      </w:r>
      <w:r w:rsidRPr="491FD11E">
        <w:rPr>
          <w:noProof/>
          <w:lang w:val="en-IE"/>
        </w:rPr>
        <w:t xml:space="preserve"> changes</w:t>
      </w:r>
      <w:r w:rsidR="7870CAB4" w:rsidRPr="491FD11E">
        <w:rPr>
          <w:noProof/>
          <w:lang w:val="en-IE"/>
        </w:rPr>
        <w:t xml:space="preserve"> in the draft Delegated Act</w:t>
      </w:r>
      <w:r w:rsidR="00571255">
        <w:rPr>
          <w:noProof/>
          <w:lang w:val="en-IE"/>
        </w:rPr>
        <w:t xml:space="preserve"> published for public feedback</w:t>
      </w:r>
      <w:r w:rsidRPr="491FD11E">
        <w:rPr>
          <w:noProof/>
          <w:lang w:val="en-IE"/>
        </w:rPr>
        <w:t xml:space="preserve">, such as the inclusion of downstream palm oil products and the removal of leather, and horizontal exemptions are </w:t>
      </w:r>
      <w:r w:rsidR="00466727" w:rsidRPr="491FD11E">
        <w:rPr>
          <w:noProof/>
          <w:lang w:val="en-IE"/>
        </w:rPr>
        <w:t>considered</w:t>
      </w:r>
      <w:r w:rsidRPr="491FD11E">
        <w:rPr>
          <w:noProof/>
          <w:lang w:val="en-IE"/>
        </w:rPr>
        <w:t xml:space="preserve">. </w:t>
      </w:r>
      <w:r w:rsidR="009B0656" w:rsidRPr="491FD11E">
        <w:rPr>
          <w:noProof/>
          <w:lang w:val="en-IE"/>
        </w:rPr>
        <w:t xml:space="preserve">In addition, further cost reductions arise from a </w:t>
      </w:r>
      <w:r w:rsidR="44849453" w:rsidRPr="0D31421F">
        <w:rPr>
          <w:noProof/>
          <w:lang w:val="en-IE"/>
        </w:rPr>
        <w:t>clearer</w:t>
      </w:r>
      <w:r w:rsidR="44849453" w:rsidRPr="491FD11E">
        <w:rPr>
          <w:noProof/>
          <w:lang w:val="en-IE"/>
        </w:rPr>
        <w:t xml:space="preserve"> </w:t>
      </w:r>
      <w:r w:rsidR="009B0656" w:rsidRPr="491FD11E">
        <w:rPr>
          <w:noProof/>
          <w:lang w:val="en-IE"/>
        </w:rPr>
        <w:t>interpretation of how due diligence is verified, as well as from interpreting the collection of identifiers or reference numbers as a passive obligation for downstream actors.</w:t>
      </w:r>
    </w:p>
    <w:p w14:paraId="3CFEA531" w14:textId="0ABF258F" w:rsidR="00C258FD" w:rsidRPr="0012174E" w:rsidRDefault="00C258FD" w:rsidP="001B114D">
      <w:pPr>
        <w:spacing w:after="120"/>
        <w:rPr>
          <w:noProof/>
          <w:szCs w:val="24"/>
          <w:lang w:val="en-IE"/>
        </w:rPr>
      </w:pPr>
      <w:r w:rsidRPr="0012174E">
        <w:rPr>
          <w:noProof/>
          <w:szCs w:val="24"/>
          <w:lang w:val="en-IE"/>
        </w:rPr>
        <w:t xml:space="preserve">An overview of the savings at each step is presented in Figure </w:t>
      </w:r>
      <w:r w:rsidR="00DF1DC1">
        <w:rPr>
          <w:noProof/>
          <w:szCs w:val="24"/>
          <w:lang w:val="en-IE"/>
        </w:rPr>
        <w:t>2</w:t>
      </w:r>
      <w:r w:rsidRPr="0012174E">
        <w:rPr>
          <w:noProof/>
          <w:szCs w:val="24"/>
          <w:lang w:val="en-IE"/>
        </w:rPr>
        <w:t>. In total, the largest cost reductions are driven by the introduction of the simplified regime</w:t>
      </w:r>
      <w:r w:rsidR="00B8204F">
        <w:rPr>
          <w:noProof/>
          <w:szCs w:val="24"/>
          <w:lang w:val="en-IE"/>
        </w:rPr>
        <w:t xml:space="preserve"> and </w:t>
      </w:r>
      <w:r w:rsidR="00A92148">
        <w:rPr>
          <w:noProof/>
          <w:szCs w:val="24"/>
          <w:lang w:val="en-IE"/>
        </w:rPr>
        <w:t>EUDR scope changes</w:t>
      </w:r>
      <w:r w:rsidRPr="0012174E">
        <w:rPr>
          <w:noProof/>
          <w:szCs w:val="24"/>
          <w:lang w:val="en-IE"/>
        </w:rPr>
        <w:t xml:space="preserve">. The </w:t>
      </w:r>
      <w:r w:rsidR="0087078F">
        <w:rPr>
          <w:noProof/>
          <w:szCs w:val="24"/>
          <w:lang w:val="en-IE"/>
        </w:rPr>
        <w:t>former</w:t>
      </w:r>
      <w:r w:rsidRPr="0012174E">
        <w:rPr>
          <w:noProof/>
          <w:szCs w:val="24"/>
          <w:lang w:val="en-IE"/>
        </w:rPr>
        <w:t xml:space="preserve"> is particularly impactful due to the large number of micro and small primary producers. While cost savings for large downstream operators are significant at individual operator level, their contribution to total EUDR compliance cost reductions remain</w:t>
      </w:r>
      <w:r w:rsidR="008505E6">
        <w:rPr>
          <w:noProof/>
          <w:szCs w:val="24"/>
          <w:lang w:val="en-IE"/>
        </w:rPr>
        <w:t>s</w:t>
      </w:r>
      <w:r w:rsidRPr="0012174E">
        <w:rPr>
          <w:noProof/>
          <w:szCs w:val="24"/>
          <w:lang w:val="en-IE"/>
        </w:rPr>
        <w:t xml:space="preserve"> </w:t>
      </w:r>
      <w:r w:rsidR="00710ACC">
        <w:rPr>
          <w:noProof/>
          <w:szCs w:val="24"/>
          <w:lang w:val="en-IE"/>
        </w:rPr>
        <w:t xml:space="preserve">more </w:t>
      </w:r>
      <w:r w:rsidRPr="0012174E">
        <w:rPr>
          <w:noProof/>
          <w:szCs w:val="24"/>
          <w:lang w:val="en-IE"/>
        </w:rPr>
        <w:t>limited due to their relatively small share in the overall operator population.</w:t>
      </w:r>
    </w:p>
    <w:p w14:paraId="1B06D229" w14:textId="5F81F90E" w:rsidR="00124C55" w:rsidRPr="0012174E" w:rsidRDefault="00124C55" w:rsidP="0012174E">
      <w:pPr>
        <w:pStyle w:val="Caption"/>
        <w:keepNext/>
        <w:spacing w:after="120"/>
        <w:rPr>
          <w:noProof/>
          <w:sz w:val="24"/>
          <w:szCs w:val="24"/>
        </w:rPr>
      </w:pPr>
      <w:r w:rsidRPr="0012174E">
        <w:rPr>
          <w:noProof/>
          <w:sz w:val="24"/>
          <w:szCs w:val="24"/>
        </w:rPr>
        <w:t xml:space="preserve">Figure </w:t>
      </w:r>
      <w:r w:rsidR="00DF1DC1">
        <w:rPr>
          <w:noProof/>
          <w:sz w:val="24"/>
          <w:szCs w:val="24"/>
        </w:rPr>
        <w:t>2</w:t>
      </w:r>
      <w:r w:rsidRPr="0012174E">
        <w:rPr>
          <w:noProof/>
          <w:sz w:val="24"/>
          <w:szCs w:val="24"/>
        </w:rPr>
        <w:fldChar w:fldCharType="begin"/>
      </w:r>
      <w:r w:rsidRPr="0012174E">
        <w:rPr>
          <w:noProof/>
          <w:sz w:val="24"/>
          <w:szCs w:val="24"/>
        </w:rPr>
        <w:instrText xml:space="preserve"> SEQ Figure \* ARABIC </w:instrText>
      </w:r>
      <w:r w:rsidRPr="0012174E">
        <w:rPr>
          <w:noProof/>
          <w:sz w:val="24"/>
          <w:szCs w:val="24"/>
        </w:rPr>
        <w:fldChar w:fldCharType="end"/>
      </w:r>
      <w:r w:rsidRPr="0012174E">
        <w:rPr>
          <w:noProof/>
          <w:sz w:val="24"/>
          <w:szCs w:val="24"/>
        </w:rPr>
        <w:t xml:space="preserve">: Breakdown of cost savings </w:t>
      </w:r>
      <w:r w:rsidR="00EE6CD8">
        <w:rPr>
          <w:noProof/>
          <w:sz w:val="24"/>
          <w:szCs w:val="24"/>
        </w:rPr>
        <w:t>since entry into force in June 2023,</w:t>
      </w:r>
      <w:r w:rsidR="00EE6CD8" w:rsidRPr="0012174E">
        <w:rPr>
          <w:noProof/>
          <w:sz w:val="24"/>
          <w:szCs w:val="24"/>
        </w:rPr>
        <w:t xml:space="preserve"> </w:t>
      </w:r>
      <w:r w:rsidRPr="0012174E">
        <w:rPr>
          <w:noProof/>
          <w:sz w:val="24"/>
          <w:szCs w:val="24"/>
        </w:rPr>
        <w:t xml:space="preserve">by simplification packages introduced between April 2025 and April 2026, in </w:t>
      </w:r>
      <w:r w:rsidR="0078739C">
        <w:rPr>
          <w:noProof/>
          <w:sz w:val="24"/>
          <w:szCs w:val="24"/>
        </w:rPr>
        <w:t>billion</w:t>
      </w:r>
      <w:r w:rsidRPr="0012174E">
        <w:rPr>
          <w:noProof/>
          <w:sz w:val="24"/>
          <w:szCs w:val="24"/>
        </w:rPr>
        <w:t xml:space="preserve"> per year</w:t>
      </w:r>
    </w:p>
    <w:p w14:paraId="73846195" w14:textId="24C8862F" w:rsidR="00AA3A0E" w:rsidRPr="0012174E" w:rsidRDefault="00E96DB6" w:rsidP="0012174E">
      <w:pPr>
        <w:spacing w:after="120"/>
        <w:rPr>
          <w:noProof/>
          <w:szCs w:val="24"/>
        </w:rPr>
      </w:pPr>
      <w:r>
        <w:rPr>
          <w:noProof/>
          <w:lang w:eastAsia="en-GB"/>
        </w:rPr>
        <w:drawing>
          <wp:inline distT="0" distB="0" distL="0" distR="0" wp14:anchorId="3BD07C6F" wp14:editId="47E3A878">
            <wp:extent cx="5472430" cy="3192145"/>
            <wp:effectExtent l="0" t="0" r="0" b="8255"/>
            <wp:docPr id="137123160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FC650D5" w14:textId="77777777" w:rsidR="00FF041C" w:rsidRDefault="00FF041C" w:rsidP="0012174E">
      <w:pPr>
        <w:spacing w:after="120"/>
        <w:rPr>
          <w:i/>
          <w:iCs/>
          <w:noProof/>
          <w:szCs w:val="24"/>
        </w:rPr>
      </w:pPr>
    </w:p>
    <w:p w14:paraId="27A0D57C" w14:textId="776ED21C" w:rsidR="00AA3A0E" w:rsidRPr="0012174E" w:rsidRDefault="00C04552" w:rsidP="0012174E">
      <w:pPr>
        <w:spacing w:after="120"/>
        <w:rPr>
          <w:i/>
          <w:iCs/>
          <w:noProof/>
          <w:szCs w:val="24"/>
        </w:rPr>
      </w:pPr>
      <w:r>
        <w:rPr>
          <w:i/>
          <w:iCs/>
          <w:noProof/>
          <w:szCs w:val="24"/>
        </w:rPr>
        <w:t>Met</w:t>
      </w:r>
      <w:r w:rsidR="00AA3A0E" w:rsidRPr="0012174E">
        <w:rPr>
          <w:i/>
          <w:iCs/>
          <w:noProof/>
          <w:szCs w:val="24"/>
        </w:rPr>
        <w:t xml:space="preserve">hodology </w:t>
      </w:r>
      <w:r w:rsidR="00A17F9E" w:rsidRPr="0012174E">
        <w:rPr>
          <w:i/>
          <w:iCs/>
          <w:noProof/>
          <w:szCs w:val="24"/>
        </w:rPr>
        <w:t>for the economic quantification</w:t>
      </w:r>
    </w:p>
    <w:p w14:paraId="30B9B3DE" w14:textId="67AF37D6" w:rsidR="002833AE" w:rsidRDefault="0032287C" w:rsidP="0012174E">
      <w:pPr>
        <w:spacing w:after="120"/>
        <w:rPr>
          <w:noProof/>
          <w:lang w:val="en-IE"/>
        </w:rPr>
      </w:pPr>
      <w:r w:rsidRPr="04FCC814">
        <w:rPr>
          <w:noProof/>
          <w:lang w:val="en-IE"/>
        </w:rPr>
        <w:t>The methodology</w:t>
      </w:r>
      <w:r w:rsidR="00647F5D" w:rsidRPr="04FCC814">
        <w:rPr>
          <w:noProof/>
          <w:lang w:val="en-IE"/>
        </w:rPr>
        <w:t> (</w:t>
      </w:r>
      <w:r w:rsidR="00647F5D" w:rsidRPr="04FCC814">
        <w:rPr>
          <w:rStyle w:val="FootnoteReference"/>
          <w:noProof/>
          <w:lang w:val="en-IE"/>
        </w:rPr>
        <w:footnoteReference w:id="41"/>
      </w:r>
      <w:r w:rsidR="00647F5D" w:rsidRPr="04FCC814">
        <w:rPr>
          <w:noProof/>
          <w:lang w:val="en-IE"/>
        </w:rPr>
        <w:t>)</w:t>
      </w:r>
      <w:r w:rsidRPr="04FCC814">
        <w:rPr>
          <w:noProof/>
          <w:lang w:val="en-IE"/>
        </w:rPr>
        <w:t xml:space="preserve"> applied the standard cost estimation approach, calculating annual recurrent costs by multiplying the number of </w:t>
      </w:r>
      <w:r w:rsidR="002833AE" w:rsidRPr="04FCC814">
        <w:rPr>
          <w:noProof/>
          <w:lang w:val="en-IE"/>
        </w:rPr>
        <w:t>operators</w:t>
      </w:r>
      <w:r w:rsidR="00AE7C4A" w:rsidRPr="04FCC814">
        <w:rPr>
          <w:noProof/>
          <w:lang w:val="en-IE"/>
        </w:rPr>
        <w:t xml:space="preserve"> and traders subject to the EUDR with </w:t>
      </w:r>
      <w:r w:rsidR="004D19B5" w:rsidRPr="04FCC814">
        <w:rPr>
          <w:noProof/>
          <w:lang w:val="en-IE"/>
        </w:rPr>
        <w:t xml:space="preserve">a fixed average cost per </w:t>
      </w:r>
      <w:r w:rsidR="002833AE" w:rsidRPr="04FCC814">
        <w:rPr>
          <w:noProof/>
          <w:lang w:val="en-IE"/>
        </w:rPr>
        <w:t xml:space="preserve">actor. </w:t>
      </w:r>
    </w:p>
    <w:p w14:paraId="65EA368B" w14:textId="183C83F3" w:rsidR="00A021F8" w:rsidRPr="0012174E" w:rsidRDefault="00A021F8" w:rsidP="0012174E">
      <w:pPr>
        <w:spacing w:after="120"/>
        <w:rPr>
          <w:noProof/>
          <w:highlight w:val="yellow"/>
          <w:lang w:val="en-IE"/>
        </w:rPr>
      </w:pPr>
      <w:r>
        <w:rPr>
          <w:noProof/>
          <w:lang w:val="en-IE"/>
        </w:rPr>
        <w:t xml:space="preserve">The recurrent costs </w:t>
      </w:r>
      <w:r>
        <w:rPr>
          <w:noProof/>
        </w:rPr>
        <w:t xml:space="preserve">include, in line with the definition in the initial impact assessment, </w:t>
      </w:r>
      <w:r w:rsidRPr="0047364A">
        <w:rPr>
          <w:noProof/>
          <w:lang w:val="en-IE"/>
        </w:rPr>
        <w:t xml:space="preserve">the costs of employees dedicated for the task, maintenance of systems, and costs related to the collation, aggregation and analysis of the data, including in some cases professional services for </w:t>
      </w:r>
      <w:r w:rsidR="49A9B250" w:rsidRPr="69312FA5">
        <w:rPr>
          <w:noProof/>
          <w:lang w:val="en-IE"/>
        </w:rPr>
        <w:t xml:space="preserve">third </w:t>
      </w:r>
      <w:r w:rsidRPr="0047364A">
        <w:rPr>
          <w:noProof/>
          <w:lang w:val="en-IE"/>
        </w:rPr>
        <w:t>party audit costs and surveys</w:t>
      </w:r>
      <w:r>
        <w:rPr>
          <w:noProof/>
        </w:rPr>
        <w:t>.</w:t>
      </w:r>
    </w:p>
    <w:p w14:paraId="0784D0F9" w14:textId="649ED066" w:rsidR="0011394A" w:rsidRPr="0012174E" w:rsidRDefault="0011394A" w:rsidP="0012174E">
      <w:pPr>
        <w:spacing w:after="120"/>
        <w:rPr>
          <w:noProof/>
          <w:szCs w:val="24"/>
          <w:lang w:val="en-IE"/>
        </w:rPr>
      </w:pPr>
      <w:r w:rsidRPr="0012174E">
        <w:rPr>
          <w:noProof/>
          <w:szCs w:val="24"/>
          <w:lang w:val="en-IE"/>
        </w:rPr>
        <w:t>The computations build on the economic quantifications from the initial impact assessment, but the baseline has been extended to capture actor segments previously omitted. Compliance cost calculations now cover all importing operators, replacing the initial assumption that only half of them incur additional due diligence costs. Downstream operators, traders, and domestic producers are also included, reflecting recurring compliance costs that were previously excluded due to data gaps or assumptions of negligible impact.</w:t>
      </w:r>
    </w:p>
    <w:p w14:paraId="1B50A90C" w14:textId="489B7828" w:rsidR="00DA6E38" w:rsidRPr="0012174E" w:rsidRDefault="00DA6E38" w:rsidP="4A70F6D5">
      <w:pPr>
        <w:spacing w:after="120"/>
        <w:rPr>
          <w:noProof/>
          <w:lang w:val="en-IE"/>
        </w:rPr>
      </w:pPr>
      <w:r w:rsidRPr="4A70F6D5">
        <w:rPr>
          <w:noProof/>
          <w:lang w:val="en-IE"/>
        </w:rPr>
        <w:t>For importing and downstream operators</w:t>
      </w:r>
      <w:r w:rsidR="00485AFB">
        <w:rPr>
          <w:noProof/>
          <w:lang w:val="en-IE"/>
        </w:rPr>
        <w:t xml:space="preserve">, </w:t>
      </w:r>
      <w:r w:rsidR="00493EF3">
        <w:rPr>
          <w:noProof/>
          <w:lang w:val="en-IE"/>
        </w:rPr>
        <w:t xml:space="preserve">medium and </w:t>
      </w:r>
      <w:r w:rsidR="00485AFB">
        <w:rPr>
          <w:noProof/>
          <w:lang w:val="en-IE"/>
        </w:rPr>
        <w:t>large domestic primary producers</w:t>
      </w:r>
      <w:r w:rsidRPr="4A70F6D5">
        <w:rPr>
          <w:noProof/>
          <w:lang w:val="en-IE"/>
        </w:rPr>
        <w:t xml:space="preserve"> and traders, the same unitary due diligence cost estimates from the initial impact assessment are applied. That assessment assumed a compliance cost per company of </w:t>
      </w:r>
      <w:r w:rsidR="612CA4AA" w:rsidRPr="4A70F6D5">
        <w:rPr>
          <w:noProof/>
          <w:lang w:val="en-IE"/>
        </w:rPr>
        <w:t xml:space="preserve">EUR </w:t>
      </w:r>
      <w:r w:rsidRPr="4A70F6D5">
        <w:rPr>
          <w:noProof/>
          <w:lang w:val="en-IE"/>
        </w:rPr>
        <w:t>1,000</w:t>
      </w:r>
      <w:r w:rsidR="006A640A">
        <w:rPr>
          <w:noProof/>
          <w:lang w:val="en-IE"/>
        </w:rPr>
        <w:t xml:space="preserve"> </w:t>
      </w:r>
      <w:r w:rsidRPr="4A70F6D5">
        <w:rPr>
          <w:noProof/>
          <w:lang w:val="en-IE"/>
        </w:rPr>
        <w:t xml:space="preserve">for the low range, </w:t>
      </w:r>
      <w:r w:rsidR="438A438F" w:rsidRPr="4A70F6D5">
        <w:rPr>
          <w:noProof/>
          <w:lang w:val="en-IE"/>
        </w:rPr>
        <w:t xml:space="preserve">EUR </w:t>
      </w:r>
      <w:r w:rsidRPr="4A70F6D5">
        <w:rPr>
          <w:noProof/>
          <w:lang w:val="en-IE"/>
        </w:rPr>
        <w:t>10,000</w:t>
      </w:r>
      <w:r w:rsidR="00B07A1B" w:rsidRPr="4A70F6D5">
        <w:rPr>
          <w:noProof/>
          <w:lang w:val="en-IE"/>
        </w:rPr>
        <w:t xml:space="preserve"> </w:t>
      </w:r>
      <w:r w:rsidRPr="4A70F6D5">
        <w:rPr>
          <w:noProof/>
          <w:lang w:val="en-IE"/>
        </w:rPr>
        <w:t xml:space="preserve">for the central range, and </w:t>
      </w:r>
      <w:r w:rsidR="3BAA64BE" w:rsidRPr="4A70F6D5">
        <w:rPr>
          <w:noProof/>
          <w:lang w:val="en-IE"/>
        </w:rPr>
        <w:t xml:space="preserve">EUR </w:t>
      </w:r>
      <w:r w:rsidRPr="4A70F6D5">
        <w:rPr>
          <w:noProof/>
          <w:lang w:val="en-IE"/>
        </w:rPr>
        <w:t>15,000 for the high range when sourcing from standard or high-risk countries. This analysis focuses on the central value of</w:t>
      </w:r>
      <w:r w:rsidR="29C7C39B" w:rsidRPr="4A70F6D5">
        <w:rPr>
          <w:noProof/>
          <w:lang w:val="en-IE"/>
        </w:rPr>
        <w:t xml:space="preserve"> EUR</w:t>
      </w:r>
      <w:r w:rsidRPr="4A70F6D5">
        <w:rPr>
          <w:noProof/>
          <w:lang w:val="en-IE"/>
        </w:rPr>
        <w:t xml:space="preserve"> 10,000</w:t>
      </w:r>
      <w:r w:rsidR="00B07A1B" w:rsidRPr="4A70F6D5">
        <w:rPr>
          <w:noProof/>
          <w:lang w:val="en-IE"/>
        </w:rPr>
        <w:t xml:space="preserve"> </w:t>
      </w:r>
      <w:r w:rsidRPr="4A70F6D5">
        <w:rPr>
          <w:noProof/>
          <w:lang w:val="en-IE"/>
        </w:rPr>
        <w:t>per company</w:t>
      </w:r>
      <w:r w:rsidR="00414252">
        <w:rPr>
          <w:noProof/>
          <w:lang w:val="en-IE"/>
        </w:rPr>
        <w:t>.</w:t>
      </w:r>
      <w:r w:rsidRPr="4A70F6D5">
        <w:rPr>
          <w:noProof/>
          <w:lang w:val="en-IE"/>
        </w:rPr>
        <w:t xml:space="preserve"> </w:t>
      </w:r>
      <w:r w:rsidR="00373183">
        <w:rPr>
          <w:noProof/>
          <w:lang w:val="en-IE"/>
        </w:rPr>
        <w:t xml:space="preserve">An operator </w:t>
      </w:r>
      <w:r w:rsidRPr="4A70F6D5">
        <w:rPr>
          <w:noProof/>
          <w:lang w:val="en-IE"/>
        </w:rPr>
        <w:t xml:space="preserve">sourcing from low-risk countries is assumed to incur half of the standard cost. For </w:t>
      </w:r>
      <w:r w:rsidR="0075030C">
        <w:rPr>
          <w:noProof/>
        </w:rPr>
        <w:t>micro or small primary operators</w:t>
      </w:r>
      <w:r w:rsidRPr="4A70F6D5">
        <w:rPr>
          <w:noProof/>
          <w:lang w:val="en-IE"/>
        </w:rPr>
        <w:t>, due diligence costs are assumed at</w:t>
      </w:r>
      <w:r w:rsidR="2F641359" w:rsidRPr="4A70F6D5">
        <w:rPr>
          <w:noProof/>
          <w:lang w:val="en-IE"/>
        </w:rPr>
        <w:t xml:space="preserve"> EUR</w:t>
      </w:r>
      <w:r w:rsidRPr="4A70F6D5">
        <w:rPr>
          <w:noProof/>
          <w:lang w:val="en-IE"/>
        </w:rPr>
        <w:t xml:space="preserve"> 500 per operator per year, reflecting their lower expenses for supply chain tracing and compliance documentation.</w:t>
      </w:r>
    </w:p>
    <w:p w14:paraId="33E647E1" w14:textId="0FD4D0DE" w:rsidR="000C5068" w:rsidRPr="000C5068" w:rsidRDefault="00C91D10" w:rsidP="000C5068">
      <w:pPr>
        <w:spacing w:after="120"/>
        <w:rPr>
          <w:noProof/>
          <w:szCs w:val="24"/>
          <w:lang w:val="en-IE"/>
        </w:rPr>
      </w:pPr>
      <w:r w:rsidRPr="0B8FD2C1">
        <w:rPr>
          <w:noProof/>
          <w:lang w:val="en-IE"/>
        </w:rPr>
        <w:t xml:space="preserve">A 10.7% reduction in per-operator cost is introduced following the simplifications outlined in the April 2025 FAQs and </w:t>
      </w:r>
      <w:r w:rsidR="001662A1" w:rsidRPr="0B8FD2C1">
        <w:rPr>
          <w:noProof/>
          <w:lang w:val="en-IE"/>
        </w:rPr>
        <w:t>G</w:t>
      </w:r>
      <w:r w:rsidRPr="0B8FD2C1">
        <w:rPr>
          <w:noProof/>
          <w:lang w:val="en-IE"/>
        </w:rPr>
        <w:t>uidance documents, most notably the possibility to cover multiple shipments or batches under a single annual due diligence statement.</w:t>
      </w:r>
      <w:r w:rsidR="002B7575" w:rsidRPr="0B8FD2C1">
        <w:rPr>
          <w:noProof/>
          <w:lang w:val="en-IE"/>
        </w:rPr>
        <w:t xml:space="preserve"> </w:t>
      </w:r>
      <w:r w:rsidR="000C5068" w:rsidRPr="0B8FD2C1">
        <w:rPr>
          <w:noProof/>
          <w:lang w:val="en-IE"/>
        </w:rPr>
        <w:t>This estimate is based on the assumption that reporting costs account for approximately 11% of total due diligence costs</w:t>
      </w:r>
      <w:r w:rsidR="00B0075E" w:rsidRPr="0B8FD2C1">
        <w:rPr>
          <w:noProof/>
          <w:lang w:val="en-IE"/>
        </w:rPr>
        <w:t> (</w:t>
      </w:r>
      <w:r w:rsidR="00B0075E" w:rsidRPr="00480D13">
        <w:rPr>
          <w:rStyle w:val="FootnoteReference"/>
          <w:noProof/>
          <w:szCs w:val="24"/>
          <w:lang w:val="en-IE"/>
        </w:rPr>
        <w:footnoteReference w:id="42"/>
      </w:r>
      <w:r w:rsidR="00B0075E" w:rsidRPr="0B8FD2C1">
        <w:rPr>
          <w:noProof/>
          <w:lang w:val="en-IE"/>
        </w:rPr>
        <w:t>)</w:t>
      </w:r>
      <w:r w:rsidR="000C5068" w:rsidRPr="0B8FD2C1">
        <w:rPr>
          <w:noProof/>
          <w:lang w:val="en-IE"/>
        </w:rPr>
        <w:t>, combined with data on shipment frequency indicating that businesses handle an average of 42 shipments per year (excluding samples).</w:t>
      </w:r>
    </w:p>
    <w:p w14:paraId="1F8CD544" w14:textId="66435F2A" w:rsidR="00C91D10" w:rsidRPr="0012174E" w:rsidRDefault="00C91D10" w:rsidP="0012174E">
      <w:pPr>
        <w:spacing w:after="120"/>
        <w:rPr>
          <w:noProof/>
          <w:szCs w:val="24"/>
          <w:lang w:val="en-IE"/>
        </w:rPr>
      </w:pPr>
      <w:r w:rsidRPr="0012174E">
        <w:rPr>
          <w:noProof/>
          <w:szCs w:val="24"/>
          <w:lang w:val="en-IE"/>
        </w:rPr>
        <w:t xml:space="preserve">To capture the effect of the </w:t>
      </w:r>
      <w:r w:rsidR="00EE1E88">
        <w:rPr>
          <w:noProof/>
          <w:szCs w:val="24"/>
          <w:lang w:val="en-IE"/>
        </w:rPr>
        <w:t>risk classification</w:t>
      </w:r>
      <w:r w:rsidR="00EE1E88" w:rsidRPr="0012174E">
        <w:rPr>
          <w:noProof/>
          <w:szCs w:val="24"/>
          <w:lang w:val="en-IE"/>
        </w:rPr>
        <w:t xml:space="preserve"> </w:t>
      </w:r>
      <w:r w:rsidRPr="0012174E">
        <w:rPr>
          <w:noProof/>
          <w:szCs w:val="24"/>
          <w:lang w:val="en-IE"/>
        </w:rPr>
        <w:t>exercise</w:t>
      </w:r>
      <w:r w:rsidR="002B7575" w:rsidRPr="0012174E">
        <w:rPr>
          <w:noProof/>
          <w:szCs w:val="24"/>
          <w:lang w:val="en-IE"/>
        </w:rPr>
        <w:t xml:space="preserve"> in May 2025</w:t>
      </w:r>
      <w:r w:rsidRPr="0012174E">
        <w:rPr>
          <w:noProof/>
          <w:szCs w:val="24"/>
          <w:lang w:val="en-IE"/>
        </w:rPr>
        <w:t>, where more countries are classified as “low-risk”</w:t>
      </w:r>
      <w:r w:rsidR="00F06F0C">
        <w:rPr>
          <w:noProof/>
          <w:szCs w:val="24"/>
          <w:lang w:val="en-IE"/>
        </w:rPr>
        <w:t>,</w:t>
      </w:r>
      <w:r w:rsidRPr="0012174E">
        <w:rPr>
          <w:noProof/>
          <w:szCs w:val="24"/>
          <w:lang w:val="en-IE"/>
        </w:rPr>
        <w:t xml:space="preserve"> a larger portion</w:t>
      </w:r>
      <w:r w:rsidR="00BD2E5A">
        <w:rPr>
          <w:noProof/>
          <w:szCs w:val="24"/>
          <w:lang w:val="en-IE"/>
        </w:rPr>
        <w:t>, 5</w:t>
      </w:r>
      <w:r w:rsidR="0042294E">
        <w:rPr>
          <w:noProof/>
          <w:szCs w:val="24"/>
          <w:lang w:val="en-IE"/>
        </w:rPr>
        <w:t>1</w:t>
      </w:r>
      <w:r w:rsidR="00BD2E5A">
        <w:rPr>
          <w:noProof/>
          <w:szCs w:val="24"/>
          <w:lang w:val="en-IE"/>
        </w:rPr>
        <w:t>% instead of 20%</w:t>
      </w:r>
      <w:r w:rsidR="00956794">
        <w:rPr>
          <w:noProof/>
          <w:szCs w:val="24"/>
          <w:lang w:val="en-IE"/>
        </w:rPr>
        <w:t xml:space="preserve"> previously</w:t>
      </w:r>
      <w:r w:rsidR="00BD2E5A">
        <w:rPr>
          <w:noProof/>
          <w:szCs w:val="24"/>
          <w:lang w:val="en-IE"/>
        </w:rPr>
        <w:t>,</w:t>
      </w:r>
      <w:r w:rsidRPr="0012174E">
        <w:rPr>
          <w:noProof/>
          <w:szCs w:val="24"/>
          <w:lang w:val="en-IE"/>
        </w:rPr>
        <w:t xml:space="preserve"> of the importing operator base is assigned half of the standard compliance cost.</w:t>
      </w:r>
    </w:p>
    <w:p w14:paraId="2188DB3D" w14:textId="725D8533" w:rsidR="002778BE" w:rsidRPr="0012174E" w:rsidRDefault="002778BE" w:rsidP="0012174E">
      <w:pPr>
        <w:spacing w:after="120"/>
        <w:rPr>
          <w:noProof/>
          <w:szCs w:val="24"/>
          <w:lang w:val="en-IE"/>
        </w:rPr>
      </w:pPr>
      <w:r w:rsidRPr="0012174E">
        <w:rPr>
          <w:noProof/>
          <w:szCs w:val="24"/>
          <w:lang w:val="en-IE"/>
        </w:rPr>
        <w:t xml:space="preserve">To quantify the simplifications introduced by the December 2025 amendment, the per-operator cost for </w:t>
      </w:r>
      <w:r w:rsidR="0075030C">
        <w:rPr>
          <w:noProof/>
        </w:rPr>
        <w:t xml:space="preserve">micro or small primary operators </w:t>
      </w:r>
      <w:r w:rsidRPr="0012174E">
        <w:rPr>
          <w:noProof/>
          <w:szCs w:val="24"/>
          <w:lang w:val="en-IE"/>
        </w:rPr>
        <w:t xml:space="preserve">is significantly reduced, as the obligation to regularly submit due diligence statements is replaced by a one-off declaration that </w:t>
      </w:r>
      <w:r w:rsidR="00205FCC" w:rsidRPr="0012174E">
        <w:rPr>
          <w:noProof/>
          <w:szCs w:val="24"/>
          <w:lang w:val="en-IE"/>
        </w:rPr>
        <w:t xml:space="preserve">may be </w:t>
      </w:r>
      <w:r w:rsidRPr="0012174E">
        <w:rPr>
          <w:noProof/>
          <w:szCs w:val="24"/>
          <w:lang w:val="en-IE"/>
        </w:rPr>
        <w:t>updated in the event of major changes. For these calculations, it is assumed that the statement is updated on average once every 20 years, reducing the annual recurring cost by 95%. Similarly, downstream operators and traders, who no longer need to pass on reference numbers, are assumed to incur only 5% of their initial compliance costs</w:t>
      </w:r>
      <w:r w:rsidR="00440565">
        <w:rPr>
          <w:noProof/>
          <w:szCs w:val="24"/>
          <w:lang w:val="en-IE"/>
        </w:rPr>
        <w:t xml:space="preserve"> to </w:t>
      </w:r>
      <w:r w:rsidR="006D6992">
        <w:rPr>
          <w:noProof/>
          <w:szCs w:val="24"/>
          <w:lang w:val="en-IE"/>
        </w:rPr>
        <w:t xml:space="preserve">passively </w:t>
      </w:r>
      <w:r w:rsidR="00440565">
        <w:rPr>
          <w:noProof/>
          <w:szCs w:val="24"/>
          <w:lang w:val="en-IE"/>
        </w:rPr>
        <w:t xml:space="preserve">collect and store the reference numbers </w:t>
      </w:r>
      <w:r w:rsidR="00CD5E13">
        <w:rPr>
          <w:noProof/>
          <w:szCs w:val="24"/>
          <w:lang w:val="en-IE"/>
        </w:rPr>
        <w:t>received</w:t>
      </w:r>
      <w:r w:rsidR="00440565">
        <w:rPr>
          <w:noProof/>
          <w:szCs w:val="24"/>
          <w:lang w:val="en-IE"/>
        </w:rPr>
        <w:t xml:space="preserve"> from </w:t>
      </w:r>
      <w:r w:rsidR="00CD5E13">
        <w:rPr>
          <w:noProof/>
          <w:szCs w:val="24"/>
          <w:lang w:val="en-IE"/>
        </w:rPr>
        <w:t>upstream</w:t>
      </w:r>
      <w:r w:rsidR="00440565">
        <w:rPr>
          <w:noProof/>
          <w:szCs w:val="24"/>
          <w:lang w:val="en-IE"/>
        </w:rPr>
        <w:t xml:space="preserve"> </w:t>
      </w:r>
      <w:r w:rsidR="00476191">
        <w:rPr>
          <w:noProof/>
          <w:szCs w:val="24"/>
          <w:lang w:val="en-IE"/>
        </w:rPr>
        <w:t>operator</w:t>
      </w:r>
      <w:r w:rsidRPr="0012174E">
        <w:rPr>
          <w:noProof/>
          <w:szCs w:val="24"/>
          <w:lang w:val="en-IE"/>
        </w:rPr>
        <w:t>.</w:t>
      </w:r>
    </w:p>
    <w:p w14:paraId="0DF6534F" w14:textId="11992FD9" w:rsidR="008524C1" w:rsidRPr="00AC6499" w:rsidRDefault="00195BE7" w:rsidP="008524C1">
      <w:pPr>
        <w:spacing w:after="120"/>
        <w:rPr>
          <w:noProof/>
          <w:lang w:val="en-IE"/>
        </w:rPr>
      </w:pPr>
      <w:r w:rsidRPr="0012174E">
        <w:rPr>
          <w:noProof/>
          <w:szCs w:val="24"/>
          <w:lang w:val="en-IE"/>
        </w:rPr>
        <w:t xml:space="preserve">Changes in product scope, both from the 2025 amendment and the </w:t>
      </w:r>
      <w:r w:rsidR="001010AF">
        <w:rPr>
          <w:noProof/>
          <w:szCs w:val="24"/>
          <w:lang w:val="en-IE"/>
        </w:rPr>
        <w:t>2026</w:t>
      </w:r>
      <w:r w:rsidR="001010AF" w:rsidRPr="0012174E">
        <w:rPr>
          <w:noProof/>
          <w:szCs w:val="24"/>
          <w:lang w:val="en-IE"/>
        </w:rPr>
        <w:t xml:space="preserve"> </w:t>
      </w:r>
      <w:r w:rsidRPr="0012174E">
        <w:rPr>
          <w:noProof/>
          <w:szCs w:val="24"/>
          <w:lang w:val="en-IE"/>
        </w:rPr>
        <w:t xml:space="preserve">draft Delegated Act, are incorporated by adjusting the size of the </w:t>
      </w:r>
      <w:r w:rsidR="0072052D">
        <w:rPr>
          <w:noProof/>
          <w:szCs w:val="24"/>
          <w:lang w:val="en-IE"/>
        </w:rPr>
        <w:t>importing</w:t>
      </w:r>
      <w:r w:rsidR="0072052D" w:rsidRPr="0012174E">
        <w:rPr>
          <w:noProof/>
          <w:szCs w:val="24"/>
          <w:lang w:val="en-IE"/>
        </w:rPr>
        <w:t xml:space="preserve"> </w:t>
      </w:r>
      <w:r w:rsidRPr="0012174E">
        <w:rPr>
          <w:noProof/>
          <w:szCs w:val="24"/>
          <w:lang w:val="en-IE"/>
        </w:rPr>
        <w:t xml:space="preserve">operator population based on the number of unique operators for all EUDR-relevant products, as derived from the </w:t>
      </w:r>
      <w:r w:rsidR="00A05ABD" w:rsidRPr="0012174E">
        <w:rPr>
          <w:noProof/>
          <w:szCs w:val="24"/>
          <w:lang w:val="en-IE"/>
        </w:rPr>
        <w:t xml:space="preserve">Directorate-General for Taxation and Customs Union’s </w:t>
      </w:r>
      <w:r w:rsidRPr="0012174E">
        <w:rPr>
          <w:noProof/>
          <w:szCs w:val="24"/>
          <w:lang w:val="en-IE"/>
        </w:rPr>
        <w:t>Surveillance database.</w:t>
      </w:r>
      <w:r w:rsidR="001E2EEA">
        <w:rPr>
          <w:noProof/>
          <w:szCs w:val="24"/>
          <w:lang w:val="en-IE"/>
        </w:rPr>
        <w:t xml:space="preserve"> </w:t>
      </w:r>
      <w:r w:rsidR="0023768C" w:rsidRPr="0023768C">
        <w:rPr>
          <w:noProof/>
          <w:lang w:val="en-IE"/>
        </w:rPr>
        <w:t xml:space="preserve">Starting from an estimated 352 thousand operators, excluding books, leather, and retreaded tyres, and including derived palm oil products, coffee, and frozen cattle tongues, reduces the number of unique </w:t>
      </w:r>
      <w:r w:rsidR="00F904E7">
        <w:rPr>
          <w:noProof/>
          <w:lang w:val="en-IE"/>
        </w:rPr>
        <w:t xml:space="preserve">importing </w:t>
      </w:r>
      <w:r w:rsidR="0023768C" w:rsidRPr="0023768C">
        <w:rPr>
          <w:noProof/>
          <w:lang w:val="en-IE"/>
        </w:rPr>
        <w:t>operators to 275 thousand.</w:t>
      </w:r>
      <w:r w:rsidR="0015133F">
        <w:rPr>
          <w:noProof/>
          <w:lang w:val="en-IE"/>
        </w:rPr>
        <w:t xml:space="preserve"> f</w:t>
      </w:r>
      <w:r w:rsidRPr="00480D13">
        <w:rPr>
          <w:noProof/>
          <w:lang w:val="en-IE"/>
        </w:rPr>
        <w:t xml:space="preserve">Following the </w:t>
      </w:r>
      <w:r w:rsidR="00A83C78" w:rsidRPr="00480D13">
        <w:rPr>
          <w:noProof/>
          <w:lang w:val="en-IE"/>
        </w:rPr>
        <w:t xml:space="preserve">updated </w:t>
      </w:r>
      <w:r w:rsidR="00C96614" w:rsidRPr="00480D13">
        <w:rPr>
          <w:noProof/>
          <w:lang w:val="en-IE"/>
        </w:rPr>
        <w:t xml:space="preserve">Guidance and FAQ </w:t>
      </w:r>
      <w:r w:rsidR="00A83C78" w:rsidRPr="00480D13">
        <w:rPr>
          <w:noProof/>
          <w:lang w:val="en-IE"/>
        </w:rPr>
        <w:t>document</w:t>
      </w:r>
      <w:r w:rsidR="00CE4A3E" w:rsidRPr="00480D13">
        <w:rPr>
          <w:noProof/>
          <w:lang w:val="en-IE"/>
        </w:rPr>
        <w:t>s</w:t>
      </w:r>
      <w:r w:rsidRPr="00480D13">
        <w:rPr>
          <w:noProof/>
          <w:lang w:val="en-IE"/>
        </w:rPr>
        <w:t xml:space="preserve">, further reductions in costs for downstream operators and traders are applied, reflecting the </w:t>
      </w:r>
      <w:r w:rsidR="009B0656" w:rsidRPr="00480D13">
        <w:rPr>
          <w:noProof/>
          <w:lang w:val="en-IE"/>
        </w:rPr>
        <w:t xml:space="preserve">pragmatic </w:t>
      </w:r>
      <w:r w:rsidR="52779C1B" w:rsidRPr="00480D13">
        <w:rPr>
          <w:noProof/>
          <w:lang w:val="en-IE"/>
        </w:rPr>
        <w:t>approach</w:t>
      </w:r>
      <w:r w:rsidR="009B0656" w:rsidRPr="00480D13">
        <w:rPr>
          <w:noProof/>
          <w:lang w:val="en-IE"/>
        </w:rPr>
        <w:t xml:space="preserve"> o</w:t>
      </w:r>
      <w:r w:rsidR="3E531A0E" w:rsidRPr="00480D13">
        <w:rPr>
          <w:noProof/>
          <w:lang w:val="en-IE"/>
        </w:rPr>
        <w:t>n</w:t>
      </w:r>
      <w:r w:rsidR="009B0656" w:rsidRPr="00480D13">
        <w:rPr>
          <w:noProof/>
          <w:lang w:val="en-IE"/>
        </w:rPr>
        <w:t xml:space="preserve"> how due diligence is verified, as well as from the collection of identifiers or reference numbers </w:t>
      </w:r>
      <w:r w:rsidR="005F4F22" w:rsidRPr="00480D13">
        <w:rPr>
          <w:noProof/>
          <w:lang w:val="en-IE"/>
        </w:rPr>
        <w:t xml:space="preserve">clearly </w:t>
      </w:r>
      <w:r w:rsidR="004255A0" w:rsidRPr="00480D13">
        <w:rPr>
          <w:noProof/>
          <w:lang w:val="en-IE"/>
        </w:rPr>
        <w:t xml:space="preserve">being </w:t>
      </w:r>
      <w:r w:rsidR="009B0656" w:rsidRPr="00480D13">
        <w:rPr>
          <w:noProof/>
          <w:lang w:val="en-IE"/>
        </w:rPr>
        <w:t>a passive obligation for downstream actors</w:t>
      </w:r>
      <w:r w:rsidRPr="00480D13">
        <w:rPr>
          <w:noProof/>
          <w:lang w:val="en-IE"/>
        </w:rPr>
        <w:t>. Additionally, a 6.8% reduction in costs is applied to reflect horizontal simplifications introduced in the draft Delegated Act</w:t>
      </w:r>
      <w:r w:rsidR="008657A4" w:rsidRPr="00480D13">
        <w:rPr>
          <w:noProof/>
          <w:lang w:val="en-IE"/>
        </w:rPr>
        <w:t>. This reduction is primarily driven by exemptions for waste and used products (4.</w:t>
      </w:r>
      <w:r w:rsidR="00906F49" w:rsidRPr="00480D13">
        <w:rPr>
          <w:noProof/>
          <w:lang w:val="en-IE"/>
        </w:rPr>
        <w:t>6</w:t>
      </w:r>
      <w:r w:rsidR="008657A4" w:rsidRPr="00480D13">
        <w:rPr>
          <w:noProof/>
          <w:lang w:val="en-IE"/>
        </w:rPr>
        <w:t>%), followed by packaging materials (1.95%), while bamboo-related products account for a smaller share (0.25%) and samples have a negligible impact (0.004%).</w:t>
      </w:r>
      <w:r w:rsidR="00B3403C" w:rsidRPr="00480D13">
        <w:rPr>
          <w:noProof/>
          <w:lang w:val="en-IE"/>
        </w:rPr>
        <w:t xml:space="preserve"> </w:t>
      </w:r>
      <w:r w:rsidR="00512F8C" w:rsidRPr="00480D13">
        <w:rPr>
          <w:noProof/>
          <w:lang w:val="en-IE"/>
        </w:rPr>
        <w:t>The share of waste and used products was estimated using proxy indicators, typically inferred from other product categories for which data was available via import values associated with specific CN codes. The value of samples was derived from customs trade data by applying a €150 threshold to identify low-value shipments as samples. Bamboo-related exemptions were calculated using CN codes that enabled a clear distinction between bamboo and wood products. Lastly, savings related to packaging materials were estimated based on relevant CN codes covering items such as wooden packing cases, crates, pallets, casks, barrels, cartons, and boxes.</w:t>
      </w:r>
      <w:r w:rsidR="0015133F">
        <w:rPr>
          <w:noProof/>
          <w:lang w:val="en-IE"/>
        </w:rPr>
        <w:t xml:space="preserve"> </w:t>
      </w:r>
      <w:r w:rsidR="008524C1" w:rsidRPr="00480D13">
        <w:rPr>
          <w:noProof/>
          <w:lang w:val="en-US"/>
        </w:rPr>
        <w:t xml:space="preserve">The analysis does not cover broader enforcement or implementation costs </w:t>
      </w:r>
      <w:r w:rsidR="00E32E5A">
        <w:rPr>
          <w:noProof/>
          <w:lang w:val="en-US"/>
        </w:rPr>
        <w:t xml:space="preserve">annually </w:t>
      </w:r>
      <w:r w:rsidR="008524C1" w:rsidRPr="00480D13">
        <w:rPr>
          <w:noProof/>
          <w:lang w:val="en-US"/>
        </w:rPr>
        <w:t xml:space="preserve">incurred by public authorities in EU Member States in relation to the Regulation as a whole. </w:t>
      </w:r>
      <w:r w:rsidR="008524C1" w:rsidRPr="00AC6499">
        <w:rPr>
          <w:noProof/>
          <w:lang w:val="en-IE"/>
        </w:rPr>
        <w:t xml:space="preserve">These costs, estimated </w:t>
      </w:r>
      <w:r w:rsidR="008524C1">
        <w:rPr>
          <w:noProof/>
          <w:lang w:val="en-IE"/>
        </w:rPr>
        <w:t xml:space="preserve">in the original impact assessment </w:t>
      </w:r>
      <w:r w:rsidR="008524C1" w:rsidRPr="00AC6499">
        <w:rPr>
          <w:noProof/>
          <w:lang w:val="en-IE"/>
        </w:rPr>
        <w:t xml:space="preserve">at </w:t>
      </w:r>
      <w:r w:rsidR="008524C1">
        <w:rPr>
          <w:noProof/>
          <w:lang w:val="en-IE"/>
        </w:rPr>
        <w:t xml:space="preserve">around </w:t>
      </w:r>
      <w:r w:rsidR="008524C1" w:rsidRPr="00AC6499">
        <w:rPr>
          <w:noProof/>
          <w:lang w:val="en-IE"/>
        </w:rPr>
        <w:t>EUR 18 million per year, are expected to vary only marginally and, given that they are approximately two orders of magnitude smaller than the estimated recurrent compliance costs for operators and traders, are not expected to affect the overall proportionality of the Regulation.</w:t>
      </w:r>
      <w:r w:rsidR="007317AB">
        <w:rPr>
          <w:noProof/>
          <w:lang w:val="en-IE"/>
        </w:rPr>
        <w:t xml:space="preserve"> The </w:t>
      </w:r>
      <w:r w:rsidR="00996E70">
        <w:rPr>
          <w:noProof/>
          <w:lang w:val="en-IE"/>
        </w:rPr>
        <w:t xml:space="preserve">same </w:t>
      </w:r>
      <w:r w:rsidR="00003683" w:rsidRPr="00003683">
        <w:rPr>
          <w:noProof/>
          <w:lang w:val="en-IE"/>
        </w:rPr>
        <w:t>applies to</w:t>
      </w:r>
      <w:r w:rsidR="00213E6E">
        <w:rPr>
          <w:noProof/>
          <w:lang w:val="en-IE"/>
        </w:rPr>
        <w:t xml:space="preserve"> the </w:t>
      </w:r>
      <w:r w:rsidR="00577B7D">
        <w:rPr>
          <w:noProof/>
          <w:lang w:val="en-IE"/>
        </w:rPr>
        <w:t xml:space="preserve">expected </w:t>
      </w:r>
      <w:r w:rsidR="00003683" w:rsidRPr="00003683">
        <w:rPr>
          <w:noProof/>
          <w:lang w:val="en-IE"/>
        </w:rPr>
        <w:t xml:space="preserve">costs to be </w:t>
      </w:r>
      <w:r w:rsidR="00577B7D">
        <w:rPr>
          <w:noProof/>
          <w:lang w:val="en-IE"/>
        </w:rPr>
        <w:t xml:space="preserve">incurred by the European Commission, </w:t>
      </w:r>
      <w:r w:rsidR="006A410F">
        <w:rPr>
          <w:noProof/>
          <w:lang w:val="en-IE"/>
        </w:rPr>
        <w:t>estimated in EUR 16.5 million over the first six years of implementation.</w:t>
      </w:r>
    </w:p>
    <w:p w14:paraId="4AF6C3A4" w14:textId="4691FC4B" w:rsidR="00FF041C" w:rsidRDefault="003B71B5" w:rsidP="0012174E">
      <w:pPr>
        <w:spacing w:after="120"/>
        <w:rPr>
          <w:noProof/>
        </w:rPr>
      </w:pPr>
      <w:r w:rsidRPr="003B71B5">
        <w:rPr>
          <w:noProof/>
        </w:rPr>
        <w:t>This analysis does not account for the one-off costs incurred by operators</w:t>
      </w:r>
      <w:r w:rsidR="00C800DF">
        <w:rPr>
          <w:noProof/>
        </w:rPr>
        <w:t xml:space="preserve">, </w:t>
      </w:r>
      <w:r w:rsidR="005543B0" w:rsidRPr="005543B0">
        <w:rPr>
          <w:noProof/>
        </w:rPr>
        <w:t>such as developing and instituting a due diligence policy, procuring and installing necessary IT systems, informing and training staff and supply chain partners</w:t>
      </w:r>
      <w:r w:rsidR="00431DE9">
        <w:rPr>
          <w:noProof/>
        </w:rPr>
        <w:t xml:space="preserve">, </w:t>
      </w:r>
      <w:r w:rsidR="005B18B6">
        <w:rPr>
          <w:noProof/>
        </w:rPr>
        <w:t xml:space="preserve">as </w:t>
      </w:r>
      <w:r w:rsidR="00F5280D">
        <w:rPr>
          <w:noProof/>
        </w:rPr>
        <w:t>these costs are not comparable on an annual basis.</w:t>
      </w:r>
      <w:r w:rsidR="002B13D4">
        <w:rPr>
          <w:noProof/>
        </w:rPr>
        <w:t xml:space="preserve"> </w:t>
      </w:r>
      <w:r w:rsidR="00C17B00">
        <w:rPr>
          <w:noProof/>
        </w:rPr>
        <w:t xml:space="preserve">These costs </w:t>
      </w:r>
      <w:r w:rsidR="006640E2" w:rsidRPr="006640E2">
        <w:rPr>
          <w:noProof/>
        </w:rPr>
        <w:t>are expected to decrease in proportion to the reduction in the number of unique operators subject to the EUDR resulting from the changes to the product scope.</w:t>
      </w:r>
    </w:p>
    <w:p w14:paraId="79335A41" w14:textId="0D97B75D" w:rsidR="004B6324" w:rsidRPr="0012174E" w:rsidRDefault="007F3567" w:rsidP="0012174E">
      <w:pPr>
        <w:spacing w:after="120"/>
        <w:rPr>
          <w:b/>
          <w:bCs/>
          <w:noProof/>
          <w:szCs w:val="24"/>
        </w:rPr>
      </w:pPr>
      <w:r w:rsidRPr="0012174E">
        <w:rPr>
          <w:b/>
          <w:bCs/>
          <w:noProof/>
          <w:szCs w:val="24"/>
        </w:rPr>
        <w:t>5</w:t>
      </w:r>
      <w:r w:rsidR="004B6324" w:rsidRPr="0012174E">
        <w:rPr>
          <w:b/>
          <w:bCs/>
          <w:noProof/>
          <w:szCs w:val="24"/>
        </w:rPr>
        <w:t xml:space="preserve">.2 </w:t>
      </w:r>
      <w:r w:rsidR="00F2306E" w:rsidRPr="0012174E">
        <w:rPr>
          <w:b/>
          <w:bCs/>
          <w:noProof/>
          <w:szCs w:val="24"/>
        </w:rPr>
        <w:t>Proportionality of costs and environmental benefits</w:t>
      </w:r>
    </w:p>
    <w:p w14:paraId="3A297645" w14:textId="2ED7A575" w:rsidR="00C52586" w:rsidRPr="0012174E" w:rsidRDefault="00C52586" w:rsidP="4A70F6D5">
      <w:pPr>
        <w:spacing w:after="120"/>
        <w:rPr>
          <w:noProof/>
          <w:lang w:val="en-IE"/>
        </w:rPr>
      </w:pPr>
      <w:r w:rsidRPr="1978FA57">
        <w:rPr>
          <w:noProof/>
          <w:lang w:val="en-IE"/>
        </w:rPr>
        <w:t>Building on data from 20</w:t>
      </w:r>
      <w:r w:rsidR="00C06916" w:rsidRPr="1978FA57">
        <w:rPr>
          <w:noProof/>
          <w:lang w:val="en-IE"/>
        </w:rPr>
        <w:t>1</w:t>
      </w:r>
      <w:r w:rsidRPr="1978FA57">
        <w:rPr>
          <w:noProof/>
          <w:lang w:val="en-IE"/>
        </w:rPr>
        <w:t>5–2020</w:t>
      </w:r>
      <w:r w:rsidR="00EC415B" w:rsidRPr="00EC415B">
        <w:rPr>
          <w:noProof/>
          <w:lang w:val="en-IE"/>
        </w:rPr>
        <w:t> (</w:t>
      </w:r>
      <w:r w:rsidR="00EC415B">
        <w:rPr>
          <w:rStyle w:val="FootnoteReference"/>
          <w:noProof/>
          <w:lang w:val="en-IE"/>
        </w:rPr>
        <w:footnoteReference w:id="43"/>
      </w:r>
      <w:r w:rsidR="00EC415B">
        <w:rPr>
          <w:noProof/>
          <w:lang w:val="en-IE"/>
        </w:rPr>
        <w:t>)</w:t>
      </w:r>
      <w:r w:rsidRPr="1978FA57">
        <w:rPr>
          <w:noProof/>
          <w:lang w:val="en-IE"/>
        </w:rPr>
        <w:t>, the EUDR is</w:t>
      </w:r>
      <w:r w:rsidR="00226657">
        <w:rPr>
          <w:noProof/>
          <w:lang w:val="en-IE"/>
        </w:rPr>
        <w:t xml:space="preserve">, after the removal of </w:t>
      </w:r>
      <w:r w:rsidR="00B34785">
        <w:rPr>
          <w:noProof/>
          <w:lang w:val="en-IE"/>
        </w:rPr>
        <w:t>HS49 and incl</w:t>
      </w:r>
      <w:r w:rsidR="0003051B">
        <w:rPr>
          <w:noProof/>
          <w:lang w:val="en-IE"/>
        </w:rPr>
        <w:t>uding the changes proposed in the Delegated Act,</w:t>
      </w:r>
      <w:r w:rsidRPr="1978FA57">
        <w:rPr>
          <w:noProof/>
          <w:lang w:val="en-IE"/>
        </w:rPr>
        <w:t xml:space="preserve"> estimated to generate economic benefits of </w:t>
      </w:r>
      <w:r w:rsidRPr="00FB3AFE">
        <w:rPr>
          <w:noProof/>
          <w:lang w:val="en-IE"/>
        </w:rPr>
        <w:t xml:space="preserve">approximately </w:t>
      </w:r>
      <w:r w:rsidR="3BB537C2" w:rsidRPr="00FB3AFE">
        <w:rPr>
          <w:noProof/>
          <w:lang w:val="en-IE"/>
        </w:rPr>
        <w:t xml:space="preserve">EUR </w:t>
      </w:r>
      <w:r w:rsidR="008C74D5" w:rsidRPr="00FB3AFE">
        <w:rPr>
          <w:noProof/>
          <w:lang w:val="en-IE"/>
        </w:rPr>
        <w:t>7</w:t>
      </w:r>
      <w:r w:rsidRPr="00FB3AFE">
        <w:rPr>
          <w:noProof/>
          <w:lang w:val="en-IE"/>
        </w:rPr>
        <w:t xml:space="preserve"> billion</w:t>
      </w:r>
      <w:r w:rsidR="00B03081" w:rsidRPr="00FB3AFE">
        <w:rPr>
          <w:noProof/>
          <w:lang w:val="en-IE"/>
        </w:rPr>
        <w:t xml:space="preserve"> </w:t>
      </w:r>
      <w:r w:rsidRPr="00FB3AFE">
        <w:rPr>
          <w:noProof/>
          <w:lang w:val="en-IE"/>
        </w:rPr>
        <w:t>per</w:t>
      </w:r>
      <w:r w:rsidRPr="1978FA57">
        <w:rPr>
          <w:noProof/>
          <w:lang w:val="en-IE"/>
        </w:rPr>
        <w:t xml:space="preserve"> year</w:t>
      </w:r>
      <w:r w:rsidR="007C49E1" w:rsidRPr="1978FA57">
        <w:rPr>
          <w:noProof/>
          <w:lang w:val="en-IE"/>
        </w:rPr>
        <w:t xml:space="preserve"> </w:t>
      </w:r>
      <w:r w:rsidR="007C49E1">
        <w:rPr>
          <w:noProof/>
        </w:rPr>
        <w:t xml:space="preserve">by monetizing </w:t>
      </w:r>
      <w:r w:rsidR="007C49E1" w:rsidRPr="006128BE">
        <w:rPr>
          <w:noProof/>
        </w:rPr>
        <w:t>2</w:t>
      </w:r>
      <w:r w:rsidR="00E7422B" w:rsidRPr="006128BE">
        <w:rPr>
          <w:noProof/>
        </w:rPr>
        <w:t>08</w:t>
      </w:r>
      <w:r w:rsidR="007C49E1" w:rsidRPr="006128BE">
        <w:rPr>
          <w:noProof/>
        </w:rPr>
        <w:t xml:space="preserve"> thousand hectares of avoided deforestation and 49 million tons of avoided greenhouse gas emissions</w:t>
      </w:r>
      <w:r w:rsidR="00FF7E06">
        <w:rPr>
          <w:noProof/>
        </w:rPr>
        <w:t xml:space="preserve"> both within the EU and embedded in imports</w:t>
      </w:r>
      <w:r w:rsidR="00FF7E06">
        <w:rPr>
          <w:noProof/>
          <w:lang w:val="en-IE"/>
        </w:rPr>
        <w:t>.</w:t>
      </w:r>
      <w:r w:rsidR="00FF7E06" w:rsidRPr="1978FA57">
        <w:rPr>
          <w:noProof/>
          <w:lang w:val="en-IE"/>
        </w:rPr>
        <w:t xml:space="preserve"> It</w:t>
      </w:r>
      <w:r w:rsidRPr="1978FA57">
        <w:rPr>
          <w:noProof/>
          <w:lang w:val="en-IE"/>
        </w:rPr>
        <w:t xml:space="preserve"> thereby significantly </w:t>
      </w:r>
      <w:r w:rsidRPr="4A70F6D5">
        <w:rPr>
          <w:noProof/>
          <w:lang w:val="en-IE"/>
        </w:rPr>
        <w:t>exceed</w:t>
      </w:r>
      <w:r w:rsidR="00FF7E06">
        <w:rPr>
          <w:noProof/>
          <w:lang w:val="en-IE"/>
        </w:rPr>
        <w:t>s</w:t>
      </w:r>
      <w:r w:rsidRPr="1978FA57">
        <w:rPr>
          <w:noProof/>
          <w:lang w:val="en-IE"/>
        </w:rPr>
        <w:t xml:space="preserve"> the post-simplification estimated costs of compliance. Figure </w:t>
      </w:r>
      <w:r w:rsidR="00DF1DC1" w:rsidRPr="1978FA57">
        <w:rPr>
          <w:noProof/>
          <w:lang w:val="en-IE"/>
        </w:rPr>
        <w:t>3</w:t>
      </w:r>
      <w:r w:rsidRPr="1978FA57">
        <w:rPr>
          <w:noProof/>
          <w:lang w:val="en-IE"/>
        </w:rPr>
        <w:t xml:space="preserve"> illustrates the breakdown of environmental benefits by commodity following the modifications proposed in the draft Delegated Act.</w:t>
      </w:r>
    </w:p>
    <w:p w14:paraId="3578BFAB" w14:textId="6012A8F7" w:rsidR="00C52586" w:rsidRPr="0012174E" w:rsidRDefault="00C52586" w:rsidP="0012174E">
      <w:pPr>
        <w:pStyle w:val="Caption"/>
        <w:keepNext/>
        <w:spacing w:after="120"/>
        <w:jc w:val="left"/>
        <w:rPr>
          <w:noProof/>
          <w:sz w:val="24"/>
          <w:szCs w:val="24"/>
        </w:rPr>
      </w:pPr>
      <w:r w:rsidRPr="0012174E">
        <w:rPr>
          <w:noProof/>
          <w:sz w:val="24"/>
          <w:szCs w:val="24"/>
        </w:rPr>
        <w:t xml:space="preserve">Figure </w:t>
      </w:r>
      <w:r w:rsidR="00DF1DC1">
        <w:rPr>
          <w:noProof/>
          <w:sz w:val="24"/>
          <w:szCs w:val="24"/>
        </w:rPr>
        <w:t>3</w:t>
      </w:r>
      <w:r w:rsidRPr="0012174E">
        <w:rPr>
          <w:noProof/>
          <w:sz w:val="24"/>
          <w:szCs w:val="24"/>
        </w:rPr>
        <w:fldChar w:fldCharType="begin"/>
      </w:r>
      <w:r w:rsidRPr="0012174E">
        <w:rPr>
          <w:noProof/>
          <w:sz w:val="24"/>
          <w:szCs w:val="24"/>
        </w:rPr>
        <w:instrText xml:space="preserve"> SEQ Figure \* ARABIC </w:instrText>
      </w:r>
      <w:r w:rsidRPr="0012174E">
        <w:rPr>
          <w:noProof/>
          <w:sz w:val="24"/>
          <w:szCs w:val="24"/>
        </w:rPr>
        <w:fldChar w:fldCharType="end"/>
      </w:r>
      <w:r w:rsidRPr="0012174E">
        <w:rPr>
          <w:noProof/>
          <w:sz w:val="24"/>
          <w:szCs w:val="24"/>
        </w:rPr>
        <w:t>: Environmental benefits</w:t>
      </w:r>
      <w:r w:rsidR="00F15BAC">
        <w:rPr>
          <w:noProof/>
          <w:sz w:val="24"/>
          <w:szCs w:val="24"/>
        </w:rPr>
        <w:t xml:space="preserve"> from the new scope, both within the EU and embedded in </w:t>
      </w:r>
      <w:r w:rsidR="00EE7E2C">
        <w:rPr>
          <w:noProof/>
          <w:sz w:val="24"/>
          <w:szCs w:val="24"/>
        </w:rPr>
        <w:t>imports</w:t>
      </w:r>
      <w:r w:rsidRPr="0012174E">
        <w:rPr>
          <w:noProof/>
          <w:sz w:val="24"/>
          <w:szCs w:val="24"/>
        </w:rPr>
        <w:t xml:space="preserve"> per year broken down by commodity (</w:t>
      </w:r>
      <w:r w:rsidRPr="0012174E">
        <w:rPr>
          <w:rStyle w:val="FootnoteReference"/>
          <w:noProof/>
          <w:sz w:val="24"/>
          <w:szCs w:val="24"/>
        </w:rPr>
        <w:footnoteReference w:id="44"/>
      </w:r>
      <w:r w:rsidRPr="0012174E">
        <w:rPr>
          <w:noProof/>
          <w:sz w:val="24"/>
          <w:szCs w:val="24"/>
        </w:rPr>
        <w:t>)</w:t>
      </w:r>
    </w:p>
    <w:p w14:paraId="20E324D7" w14:textId="6F64D6B9" w:rsidR="00892B58" w:rsidRPr="00E84250" w:rsidRDefault="00AD51D7" w:rsidP="0012174E">
      <w:pPr>
        <w:spacing w:after="120"/>
        <w:rPr>
          <w:noProof/>
        </w:rPr>
      </w:pPr>
      <w:r>
        <w:rPr>
          <w:noProof/>
          <w:lang w:eastAsia="en-GB"/>
        </w:rPr>
        <w:drawing>
          <wp:inline distT="0" distB="0" distL="0" distR="0" wp14:anchorId="0A8E5E16" wp14:editId="28445F90">
            <wp:extent cx="5472430" cy="2476500"/>
            <wp:effectExtent l="0" t="0" r="0" b="0"/>
            <wp:docPr id="171706384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0B59951" w14:textId="4565D748" w:rsidR="008360DD" w:rsidRPr="0012174E" w:rsidRDefault="008360DD" w:rsidP="0012174E">
      <w:pPr>
        <w:spacing w:after="120"/>
        <w:rPr>
          <w:i/>
          <w:iCs/>
          <w:noProof/>
          <w:szCs w:val="24"/>
        </w:rPr>
      </w:pPr>
      <w:r w:rsidRPr="0012174E">
        <w:rPr>
          <w:i/>
          <w:iCs/>
          <w:noProof/>
          <w:szCs w:val="24"/>
        </w:rPr>
        <w:t xml:space="preserve">Methodology </w:t>
      </w:r>
      <w:r w:rsidR="00A17F9E" w:rsidRPr="0012174E">
        <w:rPr>
          <w:i/>
          <w:iCs/>
          <w:noProof/>
          <w:szCs w:val="24"/>
        </w:rPr>
        <w:t>for the computation of environmental benefits</w:t>
      </w:r>
    </w:p>
    <w:p w14:paraId="7E6E19C7" w14:textId="6988A854" w:rsidR="009D39A4" w:rsidRPr="0012174E" w:rsidRDefault="00B92DB8" w:rsidP="009D39A4">
      <w:pPr>
        <w:spacing w:after="120"/>
        <w:rPr>
          <w:noProof/>
        </w:rPr>
      </w:pPr>
      <w:r w:rsidRPr="4A70F6D5">
        <w:rPr>
          <w:noProof/>
        </w:rPr>
        <w:t>The environmental benefits are quantified based on the deforestation</w:t>
      </w:r>
      <w:r w:rsidR="005B1DA4" w:rsidRPr="4A70F6D5">
        <w:rPr>
          <w:noProof/>
        </w:rPr>
        <w:t xml:space="preserve"> and emissions</w:t>
      </w:r>
      <w:r w:rsidRPr="4A70F6D5">
        <w:rPr>
          <w:noProof/>
        </w:rPr>
        <w:t xml:space="preserve"> footprint</w:t>
      </w:r>
      <w:r w:rsidR="005B1DA4" w:rsidRPr="4A70F6D5">
        <w:rPr>
          <w:noProof/>
        </w:rPr>
        <w:t>s</w:t>
      </w:r>
      <w:r w:rsidRPr="4A70F6D5">
        <w:rPr>
          <w:noProof/>
        </w:rPr>
        <w:t xml:space="preserve"> associated with import of goods covered under the EUDR</w:t>
      </w:r>
      <w:r w:rsidR="00FE54BB">
        <w:rPr>
          <w:noProof/>
        </w:rPr>
        <w:t xml:space="preserve"> and the deforestation </w:t>
      </w:r>
      <w:r w:rsidR="007F2BEC">
        <w:rPr>
          <w:noProof/>
        </w:rPr>
        <w:t>and emissions associated with the production of the relevant commodities within the EU</w:t>
      </w:r>
      <w:r w:rsidRPr="4A70F6D5">
        <w:rPr>
          <w:noProof/>
        </w:rPr>
        <w:t xml:space="preserve">. </w:t>
      </w:r>
      <w:r w:rsidR="00734990" w:rsidRPr="4A70F6D5">
        <w:rPr>
          <w:noProof/>
        </w:rPr>
        <w:t xml:space="preserve">The deforestation footprint represents the area of land converted from forest to agricultural use for the production of the relevant commodity. The emissions footprint reflects the net difference in carbon stocks associated with this land-use change. </w:t>
      </w:r>
      <w:r w:rsidR="00D038CB">
        <w:rPr>
          <w:noProof/>
        </w:rPr>
        <w:t>T</w:t>
      </w:r>
      <w:r w:rsidR="00E52549" w:rsidRPr="4A70F6D5">
        <w:rPr>
          <w:noProof/>
        </w:rPr>
        <w:t xml:space="preserve">his </w:t>
      </w:r>
      <w:r w:rsidR="001C61E9" w:rsidRPr="4A70F6D5">
        <w:rPr>
          <w:noProof/>
        </w:rPr>
        <w:t xml:space="preserve">methodology does not capture the environmental benefits of a reduction in forest degradation. </w:t>
      </w:r>
      <w:r w:rsidRPr="4A70F6D5">
        <w:rPr>
          <w:noProof/>
        </w:rPr>
        <w:t>The</w:t>
      </w:r>
      <w:r w:rsidR="00D50F6C" w:rsidRPr="4A70F6D5">
        <w:rPr>
          <w:noProof/>
        </w:rPr>
        <w:t xml:space="preserve"> deforestation and emission</w:t>
      </w:r>
      <w:r w:rsidRPr="4A70F6D5">
        <w:rPr>
          <w:noProof/>
        </w:rPr>
        <w:t xml:space="preserve"> indicators are monetized </w:t>
      </w:r>
      <w:r w:rsidR="00943DCC" w:rsidRPr="4A70F6D5">
        <w:rPr>
          <w:noProof/>
        </w:rPr>
        <w:t>separately and subsequently aggregated to estimate total environmental benefits. Deforestation impacts are valued using</w:t>
      </w:r>
      <w:r w:rsidR="002229C6" w:rsidRPr="0012174E">
        <w:rPr>
          <w:noProof/>
          <w:szCs w:val="24"/>
        </w:rPr>
        <w:t xml:space="preserve"> </w:t>
      </w:r>
      <w:r w:rsidR="00943DCC" w:rsidRPr="4A70F6D5">
        <w:rPr>
          <w:noProof/>
        </w:rPr>
        <w:t>an</w:t>
      </w:r>
      <w:r w:rsidRPr="4A70F6D5">
        <w:rPr>
          <w:noProof/>
        </w:rPr>
        <w:t xml:space="preserve"> ecosystem services </w:t>
      </w:r>
      <w:r w:rsidR="002229C6" w:rsidRPr="4A70F6D5">
        <w:rPr>
          <w:noProof/>
        </w:rPr>
        <w:t xml:space="preserve">approach </w:t>
      </w:r>
      <w:r w:rsidRPr="4A70F6D5">
        <w:rPr>
          <w:noProof/>
        </w:rPr>
        <w:t>and</w:t>
      </w:r>
      <w:r w:rsidR="000F18A7" w:rsidRPr="4A70F6D5">
        <w:rPr>
          <w:noProof/>
        </w:rPr>
        <w:t xml:space="preserve"> emissions are valued </w:t>
      </w:r>
      <w:r w:rsidR="00E52549" w:rsidRPr="4A70F6D5">
        <w:rPr>
          <w:noProof/>
        </w:rPr>
        <w:t>using</w:t>
      </w:r>
      <w:r w:rsidRPr="4A70F6D5">
        <w:rPr>
          <w:noProof/>
        </w:rPr>
        <w:t xml:space="preserve"> a carbon price derived from the Emissions Trading System (ETS). </w:t>
      </w:r>
      <w:r w:rsidR="009D39A4" w:rsidRPr="00C77F90">
        <w:rPr>
          <w:noProof/>
        </w:rPr>
        <w:t>An ecosystem services value</w:t>
      </w:r>
      <w:r w:rsidR="000454A0" w:rsidRPr="000454A0">
        <w:rPr>
          <w:noProof/>
        </w:rPr>
        <w:t> (</w:t>
      </w:r>
      <w:r w:rsidR="000454A0">
        <w:rPr>
          <w:rStyle w:val="FootnoteReference"/>
          <w:noProof/>
        </w:rPr>
        <w:footnoteReference w:id="45"/>
      </w:r>
      <w:r w:rsidR="000454A0">
        <w:rPr>
          <w:noProof/>
        </w:rPr>
        <w:t>)</w:t>
      </w:r>
      <w:r w:rsidR="009D39A4" w:rsidRPr="00C77F90">
        <w:rPr>
          <w:noProof/>
        </w:rPr>
        <w:t xml:space="preserve"> of €10,000 per hectare</w:t>
      </w:r>
      <w:r w:rsidR="009D39A4">
        <w:rPr>
          <w:noProof/>
        </w:rPr>
        <w:t xml:space="preserve"> per year</w:t>
      </w:r>
      <w:r w:rsidR="009D39A4" w:rsidRPr="00C77F90">
        <w:rPr>
          <w:noProof/>
        </w:rPr>
        <w:t xml:space="preserve"> is adopted from </w:t>
      </w:r>
      <w:r w:rsidR="009D39A4">
        <w:rPr>
          <w:noProof/>
        </w:rPr>
        <w:t>Brander</w:t>
      </w:r>
      <w:r w:rsidR="009D39A4" w:rsidRPr="00C77F90">
        <w:rPr>
          <w:noProof/>
        </w:rPr>
        <w:t xml:space="preserve"> et al. (</w:t>
      </w:r>
      <w:r w:rsidR="009D39A4">
        <w:rPr>
          <w:noProof/>
        </w:rPr>
        <w:t>2024</w:t>
      </w:r>
      <w:r w:rsidR="009D39A4" w:rsidRPr="00C77F90">
        <w:rPr>
          <w:noProof/>
        </w:rPr>
        <w:t>)</w:t>
      </w:r>
      <w:r w:rsidR="000454A0" w:rsidRPr="000454A0">
        <w:rPr>
          <w:noProof/>
        </w:rPr>
        <w:t> (</w:t>
      </w:r>
      <w:r w:rsidR="000454A0">
        <w:rPr>
          <w:rStyle w:val="FootnoteReference"/>
          <w:noProof/>
        </w:rPr>
        <w:footnoteReference w:id="46"/>
      </w:r>
      <w:r w:rsidR="000454A0">
        <w:rPr>
          <w:noProof/>
        </w:rPr>
        <w:t>)</w:t>
      </w:r>
      <w:r w:rsidR="00B91530">
        <w:rPr>
          <w:noProof/>
        </w:rPr>
        <w:t xml:space="preserve"> </w:t>
      </w:r>
      <w:r w:rsidR="009D39A4">
        <w:rPr>
          <w:noProof/>
        </w:rPr>
        <w:t>as a representative value for tropical, subtropical and temperature forests</w:t>
      </w:r>
      <w:r w:rsidR="009D39A4" w:rsidRPr="00C77F90">
        <w:rPr>
          <w:noProof/>
        </w:rPr>
        <w:t xml:space="preserve">, while a carbon price of €100 per ton of CO₂ is </w:t>
      </w:r>
      <w:r w:rsidR="009D39A4">
        <w:rPr>
          <w:noProof/>
        </w:rPr>
        <w:t>adopted in line with the initial impact assessment</w:t>
      </w:r>
      <w:r w:rsidR="000454A0" w:rsidRPr="000454A0">
        <w:rPr>
          <w:noProof/>
        </w:rPr>
        <w:t> (</w:t>
      </w:r>
      <w:r w:rsidR="000454A0">
        <w:rPr>
          <w:rStyle w:val="FootnoteReference"/>
          <w:noProof/>
        </w:rPr>
        <w:footnoteReference w:id="47"/>
      </w:r>
      <w:r w:rsidR="000454A0">
        <w:rPr>
          <w:noProof/>
        </w:rPr>
        <w:t>)</w:t>
      </w:r>
      <w:r w:rsidR="009D39A4">
        <w:rPr>
          <w:noProof/>
        </w:rPr>
        <w:t>.</w:t>
      </w:r>
      <w:r w:rsidR="009D39A4" w:rsidRPr="3A7A1C37">
        <w:rPr>
          <w:noProof/>
        </w:rPr>
        <w:t xml:space="preserve"> </w:t>
      </w:r>
      <w:r w:rsidR="009D39A4" w:rsidRPr="07C771CF">
        <w:rPr>
          <w:noProof/>
        </w:rPr>
        <w:t xml:space="preserve"> </w:t>
      </w:r>
    </w:p>
    <w:p w14:paraId="28090434" w14:textId="40BFEF2F" w:rsidR="00B92DB8" w:rsidRPr="0012174E" w:rsidRDefault="00B92DB8" w:rsidP="0012174E">
      <w:pPr>
        <w:spacing w:after="120"/>
        <w:rPr>
          <w:noProof/>
          <w:szCs w:val="24"/>
        </w:rPr>
      </w:pPr>
      <w:r w:rsidRPr="04FCC814">
        <w:rPr>
          <w:noProof/>
        </w:rPr>
        <w:t xml:space="preserve">The deforestation footprint and associated emissions linked to EUDR-relevant imports are estimated using a range of literature sources. First, country-level estimates of total deforestation associated with the production of the seven commodities in </w:t>
      </w:r>
      <w:r w:rsidR="00801C79">
        <w:rPr>
          <w:noProof/>
        </w:rPr>
        <w:t xml:space="preserve">the EUDR </w:t>
      </w:r>
      <w:r w:rsidRPr="04FCC814">
        <w:rPr>
          <w:noProof/>
        </w:rPr>
        <w:t xml:space="preserve">scope are obtained from </w:t>
      </w:r>
      <w:r w:rsidR="00F92413" w:rsidRPr="04FCC814">
        <w:rPr>
          <w:noProof/>
        </w:rPr>
        <w:t>Singh and Persson (2026)</w:t>
      </w:r>
      <w:r w:rsidR="00C1740D" w:rsidRPr="00C1740D">
        <w:rPr>
          <w:noProof/>
          <w:szCs w:val="24"/>
        </w:rPr>
        <w:t> (</w:t>
      </w:r>
      <w:r w:rsidR="00C1740D" w:rsidRPr="04FCC814">
        <w:rPr>
          <w:rStyle w:val="FootnoteReference"/>
          <w:noProof/>
        </w:rPr>
        <w:footnoteReference w:id="48"/>
      </w:r>
      <w:r w:rsidR="00C1740D">
        <w:rPr>
          <w:noProof/>
          <w:szCs w:val="24"/>
        </w:rPr>
        <w:t>)</w:t>
      </w:r>
      <w:r w:rsidRPr="04FCC814">
        <w:rPr>
          <w:noProof/>
        </w:rPr>
        <w:t>. Using production data from FAOSTAT, a deforestation intensity is calculated for each country–commodity combination, defined as the ratio of deforestation to national production of that commodity.</w:t>
      </w:r>
    </w:p>
    <w:p w14:paraId="7E5898D4" w14:textId="1E30D8F6" w:rsidR="00911CD1" w:rsidRPr="0012174E" w:rsidRDefault="00B92DB8" w:rsidP="0012174E">
      <w:pPr>
        <w:spacing w:after="120"/>
        <w:rPr>
          <w:noProof/>
          <w:szCs w:val="24"/>
        </w:rPr>
      </w:pPr>
      <w:r w:rsidRPr="0012174E">
        <w:rPr>
          <w:noProof/>
          <w:szCs w:val="24"/>
        </w:rPr>
        <w:t>The embedded deforestation associated with imports of derived products is then calculated by multiplying the deforestation intensity by the volume of the derived product imported into the EU</w:t>
      </w:r>
      <w:r w:rsidR="003265F6" w:rsidRPr="0012174E">
        <w:rPr>
          <w:noProof/>
          <w:szCs w:val="24"/>
        </w:rPr>
        <w:t xml:space="preserve"> (COMEXT, COMTRADE)</w:t>
      </w:r>
      <w:r w:rsidRPr="0012174E">
        <w:rPr>
          <w:noProof/>
          <w:szCs w:val="24"/>
        </w:rPr>
        <w:t>, and by the mass fraction of the primary commodity contained within the final product.</w:t>
      </w:r>
    </w:p>
    <w:p w14:paraId="3CCCE9A1" w14:textId="1E47B36C" w:rsidR="00EC0982" w:rsidRDefault="004D1EE5" w:rsidP="0012174E">
      <w:pPr>
        <w:spacing w:after="120"/>
        <w:rPr>
          <w:noProof/>
          <w:szCs w:val="24"/>
          <w:lang w:val="en-IE"/>
        </w:rPr>
      </w:pPr>
      <w:r w:rsidRPr="0012174E">
        <w:rPr>
          <w:noProof/>
          <w:szCs w:val="24"/>
          <w:lang w:val="en-IE"/>
        </w:rPr>
        <w:t>To account for differences between the country of production and country of origin, distinct deforestation intensities are applied for raw commodities and derived products. For raw commodities, the deforestation intensity is based solely on deforestation and production within the country of origin, as described above. For derived products, the deforestation intensity is calculated as a weighted average that reflects the production, import, and export flows of the relevant raw commodity, thereby approximating the geographic mix of upstream sourcing.</w:t>
      </w:r>
    </w:p>
    <w:p w14:paraId="768E94D0" w14:textId="521AAE5C" w:rsidR="00D630B8" w:rsidRDefault="00937215" w:rsidP="0012174E">
      <w:pPr>
        <w:spacing w:after="120"/>
        <w:rPr>
          <w:noProof/>
        </w:rPr>
      </w:pPr>
      <w:r w:rsidRPr="00937215">
        <w:rPr>
          <w:noProof/>
        </w:rPr>
        <w:t xml:space="preserve">The deforestation footprint and associated emissions linked to the production of EUDR-relevant commodities within the EU are set equal to the average deforestation and emissions from land conversion over the period 2015–2020, thereby implicitly assuming that </w:t>
      </w:r>
      <w:r w:rsidR="00C03BBC">
        <w:rPr>
          <w:noProof/>
        </w:rPr>
        <w:t>the</w:t>
      </w:r>
      <w:r w:rsidR="00B57423">
        <w:rPr>
          <w:noProof/>
        </w:rPr>
        <w:t xml:space="preserve"> </w:t>
      </w:r>
      <w:r w:rsidRPr="00937215">
        <w:rPr>
          <w:noProof/>
        </w:rPr>
        <w:t xml:space="preserve">deforestation associated with the production of </w:t>
      </w:r>
      <w:r w:rsidR="00B57423">
        <w:rPr>
          <w:noProof/>
        </w:rPr>
        <w:t>relevant</w:t>
      </w:r>
      <w:r w:rsidR="00B57423" w:rsidRPr="00937215">
        <w:rPr>
          <w:noProof/>
        </w:rPr>
        <w:t xml:space="preserve"> </w:t>
      </w:r>
      <w:r w:rsidRPr="00937215">
        <w:rPr>
          <w:noProof/>
        </w:rPr>
        <w:t>commodities</w:t>
      </w:r>
      <w:r w:rsidR="00B57423">
        <w:rPr>
          <w:noProof/>
        </w:rPr>
        <w:t xml:space="preserve"> within the EU</w:t>
      </w:r>
      <w:r w:rsidRPr="00937215">
        <w:rPr>
          <w:noProof/>
        </w:rPr>
        <w:t xml:space="preserve"> will be fully halted </w:t>
      </w:r>
      <w:r w:rsidR="00FB40D9">
        <w:rPr>
          <w:noProof/>
        </w:rPr>
        <w:t>when the EUDR enters into application</w:t>
      </w:r>
      <w:r w:rsidR="000B5475">
        <w:rPr>
          <w:noProof/>
        </w:rPr>
        <w:t>.</w:t>
      </w:r>
      <w:r w:rsidR="00115377">
        <w:rPr>
          <w:noProof/>
        </w:rPr>
        <w:t xml:space="preserve"> </w:t>
      </w:r>
    </w:p>
    <w:p w14:paraId="0C35F374" w14:textId="46E69814" w:rsidR="00291FB0" w:rsidRDefault="00291FB0" w:rsidP="0012174E">
      <w:pPr>
        <w:spacing w:after="120"/>
        <w:rPr>
          <w:noProof/>
          <w:szCs w:val="24"/>
          <w:lang w:val="en-IE"/>
        </w:rPr>
      </w:pPr>
      <w:r w:rsidRPr="00291FB0">
        <w:rPr>
          <w:noProof/>
          <w:szCs w:val="24"/>
          <w:lang w:val="en-IE"/>
        </w:rPr>
        <w:t xml:space="preserve">Using the above-described methodology, the </w:t>
      </w:r>
      <w:r w:rsidR="00B820D8">
        <w:rPr>
          <w:noProof/>
          <w:szCs w:val="24"/>
          <w:lang w:val="en-IE"/>
        </w:rPr>
        <w:t xml:space="preserve">updated product scope of the </w:t>
      </w:r>
      <w:r w:rsidRPr="00291FB0">
        <w:rPr>
          <w:noProof/>
          <w:szCs w:val="24"/>
          <w:lang w:val="en-IE"/>
        </w:rPr>
        <w:t xml:space="preserve">EUDR is estimated to </w:t>
      </w:r>
      <w:r w:rsidRPr="006128BE">
        <w:rPr>
          <w:noProof/>
          <w:szCs w:val="24"/>
          <w:lang w:val="en-IE"/>
        </w:rPr>
        <w:t xml:space="preserve">avoid </w:t>
      </w:r>
      <w:r w:rsidR="00B71932" w:rsidRPr="006128BE">
        <w:rPr>
          <w:noProof/>
          <w:szCs w:val="24"/>
          <w:lang w:val="en-IE"/>
        </w:rPr>
        <w:t>208 thousand</w:t>
      </w:r>
      <w:r w:rsidRPr="006128BE">
        <w:rPr>
          <w:noProof/>
          <w:szCs w:val="24"/>
          <w:lang w:val="en-IE"/>
        </w:rPr>
        <w:t xml:space="preserve"> hectares of deforestation and with that 49 million of tons of greenhouse gas emissions</w:t>
      </w:r>
      <w:r w:rsidR="00B820D8">
        <w:rPr>
          <w:noProof/>
          <w:szCs w:val="24"/>
          <w:lang w:val="en-IE"/>
        </w:rPr>
        <w:t xml:space="preserve"> both from production</w:t>
      </w:r>
      <w:r w:rsidR="00B400D3">
        <w:rPr>
          <w:noProof/>
          <w:szCs w:val="24"/>
          <w:lang w:val="en-IE"/>
        </w:rPr>
        <w:t xml:space="preserve"> within the EU</w:t>
      </w:r>
      <w:r w:rsidR="00B820D8">
        <w:rPr>
          <w:noProof/>
          <w:szCs w:val="24"/>
          <w:lang w:val="en-IE"/>
        </w:rPr>
        <w:t xml:space="preserve"> and </w:t>
      </w:r>
      <w:r w:rsidR="00B400D3">
        <w:rPr>
          <w:noProof/>
          <w:szCs w:val="24"/>
          <w:lang w:val="en-IE"/>
        </w:rPr>
        <w:t xml:space="preserve">embedded in </w:t>
      </w:r>
      <w:r w:rsidR="00B820D8">
        <w:rPr>
          <w:noProof/>
          <w:szCs w:val="24"/>
          <w:lang w:val="en-IE"/>
        </w:rPr>
        <w:t>imports</w:t>
      </w:r>
      <w:r w:rsidRPr="00291FB0">
        <w:rPr>
          <w:noProof/>
          <w:szCs w:val="24"/>
          <w:lang w:val="en-IE"/>
        </w:rPr>
        <w:t>.</w:t>
      </w:r>
    </w:p>
    <w:p w14:paraId="6289A69E" w14:textId="77777777" w:rsidR="0015133F" w:rsidRDefault="0015133F" w:rsidP="0012174E">
      <w:pPr>
        <w:spacing w:after="120"/>
        <w:rPr>
          <w:noProof/>
          <w:szCs w:val="24"/>
          <w:lang w:val="en-IE"/>
        </w:rPr>
      </w:pPr>
    </w:p>
    <w:tbl>
      <w:tblPr>
        <w:tblStyle w:val="TableGrid"/>
        <w:tblW w:w="0" w:type="auto"/>
        <w:shd w:val="clear" w:color="auto" w:fill="E8E8E8" w:themeFill="background2"/>
        <w:tblLook w:val="04A0" w:firstRow="1" w:lastRow="0" w:firstColumn="1" w:lastColumn="0" w:noHBand="0" w:noVBand="1"/>
      </w:tblPr>
      <w:tblGrid>
        <w:gridCol w:w="8602"/>
      </w:tblGrid>
      <w:tr w:rsidR="00EB0AE4" w14:paraId="6CDBAF46" w14:textId="77777777" w:rsidTr="00637B48">
        <w:trPr>
          <w:trHeight w:val="2929"/>
        </w:trPr>
        <w:tc>
          <w:tcPr>
            <w:tcW w:w="8602" w:type="dxa"/>
            <w:shd w:val="clear" w:color="auto" w:fill="E8E8E8" w:themeFill="background2"/>
          </w:tcPr>
          <w:p w14:paraId="5CCB56C9" w14:textId="17118042" w:rsidR="00EB0AE4" w:rsidRDefault="00EB0AE4" w:rsidP="00EB0AE4">
            <w:pPr>
              <w:spacing w:after="0"/>
              <w:rPr>
                <w:rFonts w:eastAsia="Aptos"/>
                <w:b/>
                <w:bCs/>
                <w:noProof/>
                <w:szCs w:val="24"/>
                <w:lang w:eastAsia="en-US"/>
              </w:rPr>
            </w:pPr>
            <w:r>
              <w:rPr>
                <w:rFonts w:eastAsia="Aptos"/>
                <w:b/>
                <w:bCs/>
                <w:noProof/>
                <w:szCs w:val="24"/>
                <w:lang w:eastAsia="en-US"/>
              </w:rPr>
              <w:t>Key points – chapter summary:</w:t>
            </w:r>
          </w:p>
          <w:p w14:paraId="7FCD40BF" w14:textId="77777777" w:rsidR="00EB0AE4" w:rsidRDefault="00EB0AE4" w:rsidP="00637B48">
            <w:pPr>
              <w:spacing w:after="0"/>
              <w:ind w:left="567"/>
              <w:rPr>
                <w:rFonts w:eastAsia="Aptos"/>
                <w:b/>
                <w:bCs/>
                <w:noProof/>
                <w:szCs w:val="24"/>
                <w:lang w:eastAsia="en-US"/>
              </w:rPr>
            </w:pPr>
          </w:p>
          <w:p w14:paraId="4A72C6C2" w14:textId="649FD18B" w:rsidR="00E1525D" w:rsidRDefault="00E1525D" w:rsidP="00637B48">
            <w:pPr>
              <w:pStyle w:val="ListParagraph"/>
              <w:numPr>
                <w:ilvl w:val="0"/>
                <w:numId w:val="74"/>
              </w:numPr>
              <w:spacing w:after="0"/>
              <w:ind w:left="567"/>
              <w:rPr>
                <w:noProof/>
                <w:lang w:val="en-IE"/>
              </w:rPr>
            </w:pPr>
            <w:r w:rsidRPr="4A70F6D5">
              <w:rPr>
                <w:noProof/>
                <w:lang w:val="en-IE"/>
              </w:rPr>
              <w:t xml:space="preserve">The combined simplification measures outlined in this report are projected to cut annual compliance costs for companies by 75%. </w:t>
            </w:r>
            <w:r w:rsidRPr="00E1525D">
              <w:rPr>
                <w:noProof/>
                <w:lang w:val="en-IE"/>
              </w:rPr>
              <w:t>(</w:t>
            </w:r>
            <w:r>
              <w:rPr>
                <w:noProof/>
                <w:lang w:val="en-IE"/>
              </w:rPr>
              <w:t>)</w:t>
            </w:r>
          </w:p>
          <w:p w14:paraId="410B0E6D" w14:textId="5362123B" w:rsidR="00270654" w:rsidRDefault="00EB0AE4" w:rsidP="00637B48">
            <w:pPr>
              <w:pStyle w:val="ListParagraph"/>
              <w:numPr>
                <w:ilvl w:val="0"/>
                <w:numId w:val="74"/>
              </w:numPr>
              <w:spacing w:after="0"/>
              <w:ind w:left="567"/>
              <w:rPr>
                <w:noProof/>
                <w:lang w:val="en-IE"/>
              </w:rPr>
            </w:pPr>
            <w:r w:rsidRPr="4A70F6D5">
              <w:rPr>
                <w:noProof/>
                <w:lang w:val="en-IE"/>
              </w:rPr>
              <w:t xml:space="preserve">The EUDR is expected to yield economic benefits of around EUR </w:t>
            </w:r>
            <w:r w:rsidR="00E616A3">
              <w:rPr>
                <w:noProof/>
                <w:lang w:val="en-IE"/>
              </w:rPr>
              <w:t>7</w:t>
            </w:r>
            <w:r w:rsidRPr="4A70F6D5">
              <w:rPr>
                <w:noProof/>
                <w:lang w:val="en-IE"/>
              </w:rPr>
              <w:t xml:space="preserve"> billion per year</w:t>
            </w:r>
            <w:r>
              <w:rPr>
                <w:noProof/>
                <w:lang w:val="en-IE"/>
              </w:rPr>
              <w:t xml:space="preserve"> </w:t>
            </w:r>
            <w:r w:rsidRPr="00291FB0">
              <w:rPr>
                <w:noProof/>
              </w:rPr>
              <w:t>by monetizing 2</w:t>
            </w:r>
            <w:r w:rsidR="00E616A3">
              <w:rPr>
                <w:noProof/>
              </w:rPr>
              <w:t>08</w:t>
            </w:r>
            <w:r w:rsidRPr="00291FB0">
              <w:rPr>
                <w:noProof/>
              </w:rPr>
              <w:t xml:space="preserve"> thousand hectares of avoided deforestation and 49 million tons of avoided greenhouse gas emissions</w:t>
            </w:r>
            <w:r w:rsidRPr="4A70F6D5">
              <w:rPr>
                <w:noProof/>
                <w:lang w:val="en-IE"/>
              </w:rPr>
              <w:t xml:space="preserve">. </w:t>
            </w:r>
          </w:p>
          <w:p w14:paraId="273D11AC" w14:textId="3102F192" w:rsidR="00EB0AE4" w:rsidRDefault="00EB0AE4" w:rsidP="00637B48">
            <w:pPr>
              <w:pStyle w:val="ListParagraph"/>
              <w:numPr>
                <w:ilvl w:val="0"/>
                <w:numId w:val="74"/>
              </w:numPr>
              <w:spacing w:after="0"/>
              <w:ind w:left="567"/>
              <w:rPr>
                <w:noProof/>
                <w:lang w:val="en-IE"/>
              </w:rPr>
            </w:pPr>
            <w:r w:rsidRPr="4A70F6D5">
              <w:rPr>
                <w:noProof/>
                <w:lang w:val="en-IE"/>
              </w:rPr>
              <w:t xml:space="preserve">The cost reductions are especially significant for micro or small primary producers, companies sourcing from low-risk countries and actors in the downstream supply chains. </w:t>
            </w:r>
          </w:p>
        </w:tc>
      </w:tr>
    </w:tbl>
    <w:p w14:paraId="352EDF02" w14:textId="64E44D08" w:rsidR="001A0EBF" w:rsidRPr="0012174E" w:rsidRDefault="00B4192E" w:rsidP="001B562A">
      <w:pPr>
        <w:rPr>
          <w:b/>
          <w:bCs/>
          <w:noProof/>
          <w:sz w:val="28"/>
          <w:szCs w:val="28"/>
        </w:rPr>
      </w:pPr>
      <w:r>
        <w:rPr>
          <w:noProof/>
          <w:lang w:eastAsia="en-GB"/>
        </w:rPr>
        <mc:AlternateContent>
          <mc:Choice Requires="wpg">
            <w:drawing>
              <wp:anchor distT="0" distB="0" distL="114300" distR="114300" simplePos="0" relativeHeight="251658240" behindDoc="0" locked="0" layoutInCell="1" allowOverlap="1" wp14:anchorId="537BA957" wp14:editId="017100F8">
                <wp:simplePos x="0" y="0"/>
                <wp:positionH relativeFrom="margin">
                  <wp:align>left</wp:align>
                </wp:positionH>
                <wp:positionV relativeFrom="paragraph">
                  <wp:posOffset>646371</wp:posOffset>
                </wp:positionV>
                <wp:extent cx="5810250" cy="2903220"/>
                <wp:effectExtent l="0" t="0" r="0" b="0"/>
                <wp:wrapThrough wrapText="bothSides">
                  <wp:wrapPolygon edited="0">
                    <wp:start x="212" y="142"/>
                    <wp:lineTo x="212" y="21402"/>
                    <wp:lineTo x="21317" y="21402"/>
                    <wp:lineTo x="21317" y="142"/>
                    <wp:lineTo x="212" y="142"/>
                  </wp:wrapPolygon>
                </wp:wrapThrough>
                <wp:docPr id="1442534534" name="Rectangle 2"/>
                <wp:cNvGraphicFramePr/>
                <a:graphic xmlns:a="http://schemas.openxmlformats.org/drawingml/2006/main">
                  <a:graphicData uri="http://schemas.microsoft.com/office/word/2010/wordprocessingGroup">
                    <wpg:wgp>
                      <wpg:cNvGrpSpPr/>
                      <wpg:grpSpPr>
                        <a:xfrm>
                          <a:off x="0" y="0"/>
                          <a:ext cx="5810250" cy="2903220"/>
                          <a:chOff x="0" y="0"/>
                          <a:chExt cx="5810250" cy="2903220"/>
                        </a:xfrm>
                        <a:noFill/>
                      </wpg:grpSpPr>
                      <wps:wsp>
                        <wps:cNvPr id="1202021672" name="Rectangle 1202021672"/>
                        <wps:cNvSpPr/>
                        <wps:spPr>
                          <a:xfrm>
                            <a:off x="0" y="0"/>
                            <a:ext cx="5810250" cy="2903220"/>
                          </a:xfrm>
                          <a:prstGeom prst="rect">
                            <a:avLst/>
                          </a:prstGeom>
                          <a:grpFill/>
                          <a:ln>
                            <a:noFill/>
                          </a:ln>
                        </wps:spPr>
                        <wps:style>
                          <a:lnRef idx="2">
                            <a:schemeClr val="accent1">
                              <a:shade val="15000"/>
                            </a:schemeClr>
                          </a:lnRef>
                          <a:fillRef idx="1">
                            <a:schemeClr val="accent1"/>
                          </a:fillRef>
                          <a:effectRef idx="0">
                            <a:scrgbClr r="0" g="0" b="0"/>
                          </a:effectRef>
                          <a:fontRef idx="minor">
                            <a:schemeClr val="lt1"/>
                          </a:fontRef>
                        </wps:style>
                        <wps:bodyPr wrap="square" lIns="91440" tIns="45720" rIns="91440" bIns="45720" anchor="ctr">
                          <a:noAutofit/>
                        </wps:bodyPr>
                      </wps:wsp>
                      <wps:wsp>
                        <wps:cNvPr id="56106373" name="Rectangle 56106373"/>
                        <wps:cNvSpPr/>
                        <wps:spPr>
                          <a:xfrm>
                            <a:off x="1243542" y="453767"/>
                            <a:ext cx="9525" cy="10583"/>
                          </a:xfrm>
                          <a:prstGeom prst="rect">
                            <a:avLst/>
                          </a:prstGeom>
                          <a:grpFill/>
                          <a:ln>
                            <a:noFill/>
                          </a:ln>
                        </wps:spPr>
                        <wps:bodyPr anchor="t"/>
                      </wps:wsp>
                    </wpg:wgp>
                  </a:graphicData>
                </a:graphic>
              </wp:anchor>
            </w:drawing>
          </mc:Choice>
          <mc:Fallback xmlns:arto="http://schemas.microsoft.com/office/word/2006/arto" xmlns:c="http://schemas.openxmlformats.org/drawingml/2006/chart"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0FC7860">
              <v:group id="Rectangle 2" style="position:absolute;margin-left:0;margin-top:50.9pt;width:457.5pt;height:228.6pt;z-index:251658240;mso-position-horizontal:left;mso-position-horizontal-relative:margin" coordsize="58102,29032"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" w14:anchorId="4C28B47C">
                <v:rect id="Rectangle 1202021672" style="position:absolute;width:58102;height:29032;visibility:visible;mso-wrap-style:square;v-text-anchor:middle" o:spid="_x0000_s1027" filled="f"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"/>
                <v:rect id="Rectangle 56106373" style="position:absolute;left:12435;top:4537;width:95;height:106;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"/>
                <w10:wrap type="through" anchorx="margin"/>
              </v:group>
            </w:pict>
          </mc:Fallback>
        </mc:AlternateContent>
      </w:r>
    </w:p>
    <w:sectPr w:rsidR="001A0EBF" w:rsidRPr="0012174E" w:rsidSect="007270EF">
      <w:headerReference w:type="even" r:id="rId25"/>
      <w:headerReference w:type="default" r:id="rId26"/>
      <w:footerReference w:type="even" r:id="rId27"/>
      <w:footerReference w:type="default" r:id="rId28"/>
      <w:headerReference w:type="first" r:id="rId29"/>
      <w:footerReference w:type="first" r:id="rId3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78AB8" w14:textId="77777777" w:rsidR="001C7F23" w:rsidRDefault="001C7F23">
      <w:pPr>
        <w:spacing w:after="0"/>
      </w:pPr>
      <w:r>
        <w:separator/>
      </w:r>
    </w:p>
  </w:endnote>
  <w:endnote w:type="continuationSeparator" w:id="0">
    <w:p w14:paraId="765244F0" w14:textId="77777777" w:rsidR="001C7F23" w:rsidRDefault="001C7F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aleway">
    <w:charset w:val="00"/>
    <w:family w:val="auto"/>
    <w:pitch w:val="variable"/>
    <w:sig w:usb0="A00002FF" w:usb1="5000205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55C68" w14:textId="2BB4A83F" w:rsidR="00F05D51" w:rsidRPr="00F05D51" w:rsidRDefault="00F05D51" w:rsidP="00F05D51">
    <w:pPr>
      <w:pStyle w:val="FooterCoverPage"/>
      <w:rPr>
        <w:rFonts w:ascii="Arial" w:hAnsi="Arial" w:cs="Arial"/>
        <w:b/>
        <w:sz w:val="48"/>
      </w:rPr>
    </w:pPr>
    <w:r w:rsidRPr="00F05D51">
      <w:rPr>
        <w:rFonts w:ascii="Arial" w:hAnsi="Arial" w:cs="Arial"/>
        <w:b/>
        <w:sz w:val="48"/>
      </w:rPr>
      <w:t>EN</w:t>
    </w:r>
    <w:r w:rsidRPr="00F05D51">
      <w:rPr>
        <w:rFonts w:ascii="Arial" w:hAnsi="Arial" w:cs="Arial"/>
        <w:b/>
        <w:sz w:val="48"/>
      </w:rPr>
      <w:tab/>
    </w:r>
    <w:r w:rsidRPr="00F05D51">
      <w:rPr>
        <w:rFonts w:ascii="Arial" w:hAnsi="Arial" w:cs="Arial"/>
        <w:b/>
        <w:sz w:val="48"/>
      </w:rPr>
      <w:tab/>
    </w:r>
    <w:r w:rsidRPr="00F05D51">
      <w:tab/>
    </w:r>
    <w:r w:rsidRPr="00F05D5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C8D93" w14:textId="5642722A" w:rsidR="00F05D51" w:rsidRPr="00F05D51" w:rsidRDefault="00F05D51" w:rsidP="00F05D51">
    <w:pPr>
      <w:pStyle w:val="FooterCoverPage"/>
      <w:rPr>
        <w:rFonts w:ascii="Arial" w:hAnsi="Arial" w:cs="Arial"/>
        <w:b/>
        <w:sz w:val="48"/>
      </w:rPr>
    </w:pPr>
    <w:r w:rsidRPr="00F05D51">
      <w:rPr>
        <w:rFonts w:ascii="Arial" w:hAnsi="Arial" w:cs="Arial"/>
        <w:b/>
        <w:sz w:val="48"/>
      </w:rPr>
      <w:t>EN</w:t>
    </w:r>
    <w:r w:rsidRPr="00F05D51">
      <w:rPr>
        <w:rFonts w:ascii="Arial" w:hAnsi="Arial" w:cs="Arial"/>
        <w:b/>
        <w:sz w:val="48"/>
      </w:rPr>
      <w:tab/>
    </w:r>
    <w:r w:rsidRPr="00F05D51">
      <w:rPr>
        <w:rFonts w:ascii="Arial" w:hAnsi="Arial" w:cs="Arial"/>
        <w:b/>
        <w:sz w:val="48"/>
      </w:rPr>
      <w:tab/>
    </w:r>
    <w:r w:rsidRPr="00F05D51">
      <w:tab/>
    </w:r>
    <w:r w:rsidRPr="00F05D5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B92E" w14:textId="77777777" w:rsidR="00F05D51" w:rsidRPr="00F05D51" w:rsidRDefault="00F05D51" w:rsidP="00F05D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06FB8" w14:textId="77777777" w:rsidR="00D61CD5" w:rsidRDefault="00D61CD5">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F2CBF" w14:textId="615BDED7" w:rsidR="00DB2862" w:rsidRDefault="00DB2862">
    <w:pPr>
      <w:pStyle w:val="FooterLine"/>
      <w:jc w:val="center"/>
    </w:pPr>
    <w:r>
      <w:fldChar w:fldCharType="begin"/>
    </w:r>
    <w:r>
      <w:instrText>PAGE   \* MERGEFORMAT</w:instrText>
    </w:r>
    <w:r>
      <w:fldChar w:fldCharType="separate"/>
    </w:r>
    <w:r w:rsidR="00F05D51">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566828"/>
      <w:docPartObj>
        <w:docPartGallery w:val="Page Numbers (Bottom of Page)"/>
        <w:docPartUnique/>
      </w:docPartObj>
    </w:sdtPr>
    <w:sdtEndPr>
      <w:rPr>
        <w:noProof/>
      </w:rPr>
    </w:sdtEndPr>
    <w:sdtContent>
      <w:p w14:paraId="5BC07667" w14:textId="2FA25D6E" w:rsidR="002611E5" w:rsidRDefault="002611E5">
        <w:pPr>
          <w:pStyle w:val="Footer"/>
          <w:jc w:val="center"/>
        </w:pPr>
        <w:r>
          <w:fldChar w:fldCharType="begin"/>
        </w:r>
        <w:r>
          <w:instrText xml:space="preserve"> PAGE   \* MERGEFORMAT </w:instrText>
        </w:r>
        <w:r>
          <w:fldChar w:fldCharType="separate"/>
        </w:r>
        <w:r w:rsidR="00F05D51">
          <w:rPr>
            <w:noProof/>
          </w:rPr>
          <w:t>1</w:t>
        </w:r>
        <w:r>
          <w:rPr>
            <w:noProof/>
          </w:rPr>
          <w:fldChar w:fldCharType="end"/>
        </w:r>
      </w:p>
    </w:sdtContent>
  </w:sdt>
  <w:p w14:paraId="192503F0" w14:textId="673838FF" w:rsidR="001E6172" w:rsidRDefault="001E6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CFB07" w14:textId="77777777" w:rsidR="001C7F23" w:rsidRDefault="001C7F23">
      <w:pPr>
        <w:spacing w:after="0"/>
      </w:pPr>
      <w:r>
        <w:separator/>
      </w:r>
    </w:p>
  </w:footnote>
  <w:footnote w:type="continuationSeparator" w:id="0">
    <w:p w14:paraId="04BF3E36" w14:textId="77777777" w:rsidR="001C7F23" w:rsidRDefault="001C7F23">
      <w:pPr>
        <w:spacing w:after="0"/>
      </w:pPr>
      <w:r>
        <w:continuationSeparator/>
      </w:r>
    </w:p>
  </w:footnote>
  <w:footnote w:id="1">
    <w:p w14:paraId="052242B0" w14:textId="77777777" w:rsidR="00E13747" w:rsidRPr="006D538B" w:rsidRDefault="00E13747" w:rsidP="00E13747">
      <w:pPr>
        <w:pStyle w:val="FootnoteText"/>
        <w:rPr>
          <w:lang w:val="en-IE"/>
        </w:rPr>
      </w:pPr>
      <w:r w:rsidRPr="006D538B">
        <w:t>(</w:t>
      </w:r>
      <w:r w:rsidRPr="006D538B">
        <w:rPr>
          <w:rStyle w:val="FootnoteReference"/>
        </w:rPr>
        <w:footnoteRef/>
      </w:r>
      <w:r w:rsidRPr="006D538B">
        <w:t>)</w:t>
      </w:r>
      <w:r w:rsidRPr="006D538B">
        <w:tab/>
        <w:t xml:space="preserve">Sets of documents consisting of Guidance, FAQs and implementing and delegated acts with simplifying effects were published in autumn </w:t>
      </w:r>
      <w:hyperlink r:id="rId1" w:history="1">
        <w:r w:rsidRPr="006D538B">
          <w:rPr>
            <w:rStyle w:val="Hyperlink"/>
          </w:rPr>
          <w:t>2024</w:t>
        </w:r>
      </w:hyperlink>
      <w:r w:rsidRPr="006D538B">
        <w:t xml:space="preserve"> and </w:t>
      </w:r>
      <w:hyperlink r:id="rId2" w:history="1">
        <w:r w:rsidRPr="006D538B">
          <w:rPr>
            <w:rStyle w:val="Hyperlink"/>
          </w:rPr>
          <w:t>April 2025</w:t>
        </w:r>
      </w:hyperlink>
      <w:r w:rsidRPr="006D538B">
        <w:t>.</w:t>
      </w:r>
    </w:p>
  </w:footnote>
  <w:footnote w:id="2">
    <w:p w14:paraId="4C0AC53C" w14:textId="2264DCC9" w:rsidR="00A55F6B" w:rsidRPr="00637B48" w:rsidRDefault="00A55F6B" w:rsidP="00637B48">
      <w:pPr>
        <w:pStyle w:val="FootnoteText"/>
        <w:spacing w:after="0"/>
        <w:rPr>
          <w:lang w:val="en-IE"/>
        </w:rPr>
      </w:pPr>
      <w:r w:rsidRPr="006D538B">
        <w:t>(</w:t>
      </w:r>
      <w:r w:rsidRPr="006D538B">
        <w:rPr>
          <w:rStyle w:val="FootnoteReference"/>
        </w:rPr>
        <w:footnoteRef/>
      </w:r>
      <w:r w:rsidRPr="006D538B">
        <w:t>)</w:t>
      </w:r>
      <w:r w:rsidRPr="006D538B">
        <w:tab/>
        <w:t xml:space="preserve">Published for public feedback on </w:t>
      </w:r>
      <w:hyperlink r:id="rId3" w:history="1">
        <w:r w:rsidR="00572B11" w:rsidRPr="006D538B">
          <w:rPr>
            <w:rStyle w:val="Hyperlink"/>
          </w:rPr>
          <w:t>Published initiatives</w:t>
        </w:r>
      </w:hyperlink>
      <w:r w:rsidR="00572B11" w:rsidRPr="006D538B">
        <w:t>.</w:t>
      </w:r>
    </w:p>
  </w:footnote>
  <w:footnote w:id="3">
    <w:p w14:paraId="3DA7B201" w14:textId="0602E7EF" w:rsidR="00BD4EC5" w:rsidRPr="006D538B" w:rsidRDefault="00BD4EC5" w:rsidP="00B911C8">
      <w:pPr>
        <w:pStyle w:val="FootnoteText"/>
        <w:spacing w:after="0"/>
        <w:rPr>
          <w:lang w:val="en-IE"/>
        </w:rPr>
      </w:pPr>
      <w:r w:rsidRPr="006D538B">
        <w:t>(</w:t>
      </w:r>
      <w:r w:rsidRPr="006D538B">
        <w:rPr>
          <w:rStyle w:val="FootnoteReference"/>
        </w:rPr>
        <w:footnoteRef/>
      </w:r>
      <w:r w:rsidRPr="006D538B">
        <w:t>)</w:t>
      </w:r>
      <w:r w:rsidRPr="006D538B">
        <w:tab/>
        <w:t xml:space="preserve">Estimated at around EUR </w:t>
      </w:r>
      <w:r w:rsidR="00F707D5" w:rsidRPr="006D538B">
        <w:t>7</w:t>
      </w:r>
      <w:r w:rsidRPr="006D538B">
        <w:t xml:space="preserve"> billion per year by monetizing </w:t>
      </w:r>
      <w:r w:rsidR="00F707D5" w:rsidRPr="006D538B">
        <w:t>208</w:t>
      </w:r>
      <w:r w:rsidRPr="006D538B">
        <w:t xml:space="preserve"> thousand hectares of avoided deforestation and 49 million tons of avoided greenhouse gas emissions per year</w:t>
      </w:r>
      <w:r w:rsidRPr="0015133F">
        <w:t>.</w:t>
      </w:r>
    </w:p>
  </w:footnote>
  <w:footnote w:id="4">
    <w:p w14:paraId="56F531DC" w14:textId="4F317D80" w:rsidR="007C507C" w:rsidRPr="006D538B" w:rsidRDefault="007C507C" w:rsidP="0015133F">
      <w:pPr>
        <w:pStyle w:val="FootnoteText"/>
        <w:spacing w:after="0"/>
        <w:rPr>
          <w:lang w:val="en-IE"/>
        </w:rPr>
      </w:pPr>
      <w:r w:rsidRPr="006D538B">
        <w:rPr>
          <w:lang w:val="en-IE"/>
        </w:rPr>
        <w:t>(</w:t>
      </w:r>
      <w:r w:rsidRPr="006D538B">
        <w:rPr>
          <w:rStyle w:val="FootnoteReference"/>
        </w:rPr>
        <w:footnoteRef/>
      </w:r>
      <w:r w:rsidRPr="006D538B">
        <w:rPr>
          <w:lang w:val="en-IE"/>
        </w:rPr>
        <w:t>)</w:t>
      </w:r>
      <w:r w:rsidRPr="006D538B">
        <w:rPr>
          <w:lang w:val="en-IE"/>
        </w:rPr>
        <w:tab/>
      </w:r>
      <w:r w:rsidR="008F7030" w:rsidRPr="006D538B">
        <w:t>United</w:t>
      </w:r>
      <w:r w:rsidR="00501EC6" w:rsidRPr="006D538B">
        <w:t xml:space="preserve"> Nations Framework Convention on Climate Change</w:t>
      </w:r>
      <w:r w:rsidR="008F7030" w:rsidRPr="006D538B">
        <w:t>,</w:t>
      </w:r>
      <w:r w:rsidR="00501EC6" w:rsidRPr="006D538B">
        <w:t xml:space="preserve"> </w:t>
      </w:r>
      <w:r w:rsidR="00501EC6" w:rsidRPr="006D538B">
        <w:rPr>
          <w:i/>
        </w:rPr>
        <w:t>Paris Agreement</w:t>
      </w:r>
      <w:r w:rsidR="008F7030" w:rsidRPr="006D538B">
        <w:t>, FCCC/CP/2015/L.9/Rev/1 (12 December 2015),</w:t>
      </w:r>
      <w:r w:rsidR="00501EC6" w:rsidRPr="006D538B">
        <w:t xml:space="preserve"> </w:t>
      </w:r>
      <w:hyperlink r:id="rId4" w:history="1">
        <w:r w:rsidR="00501EC6" w:rsidRPr="006D538B">
          <w:rPr>
            <w:rStyle w:val="Hyperlink"/>
          </w:rPr>
          <w:t>https://unfccc.int/sites/default/files/english_paris_agreement.pdf</w:t>
        </w:r>
      </w:hyperlink>
      <w:r w:rsidR="009A2407" w:rsidRPr="006D538B">
        <w:t>.</w:t>
      </w:r>
    </w:p>
  </w:footnote>
  <w:footnote w:id="5">
    <w:p w14:paraId="42A6B8FC" w14:textId="491ABA83" w:rsidR="00D9627A" w:rsidRPr="006D538B" w:rsidRDefault="00D9627A" w:rsidP="0015133F">
      <w:pPr>
        <w:pStyle w:val="FootnoteText"/>
        <w:spacing w:after="0"/>
        <w:rPr>
          <w:lang w:val="en-IE"/>
        </w:rPr>
      </w:pPr>
      <w:r w:rsidRPr="006D538B">
        <w:rPr>
          <w:lang w:val="en-IE"/>
        </w:rPr>
        <w:t>(</w:t>
      </w:r>
      <w:r w:rsidRPr="006D538B">
        <w:rPr>
          <w:rStyle w:val="FootnoteReference"/>
        </w:rPr>
        <w:footnoteRef/>
      </w:r>
      <w:r w:rsidRPr="006D538B">
        <w:rPr>
          <w:lang w:val="en-IE"/>
        </w:rPr>
        <w:t>)</w:t>
      </w:r>
      <w:r w:rsidR="00B77DEF" w:rsidRPr="006D538B">
        <w:rPr>
          <w:lang w:val="en-IE"/>
        </w:rPr>
        <w:t xml:space="preserve"> </w:t>
      </w:r>
      <w:r w:rsidR="005874DC" w:rsidRPr="006D538B">
        <w:t>United Nations</w:t>
      </w:r>
      <w:r w:rsidR="006F1E5A" w:rsidRPr="006D538B">
        <w:t>,</w:t>
      </w:r>
      <w:r w:rsidR="005874DC" w:rsidRPr="006D538B">
        <w:t xml:space="preserve"> </w:t>
      </w:r>
      <w:r w:rsidR="005874DC" w:rsidRPr="006D538B">
        <w:rPr>
          <w:i/>
          <w:iCs/>
        </w:rPr>
        <w:t>Convention on Biological Diversity</w:t>
      </w:r>
      <w:r w:rsidR="006F1E5A" w:rsidRPr="006D538B">
        <w:t xml:space="preserve"> (opened for signature 5 June 1992, entered into force 29 December 1993), 1760 UNTS 79,</w:t>
      </w:r>
      <w:r w:rsidR="005874DC" w:rsidRPr="006D538B">
        <w:t xml:space="preserve"> </w:t>
      </w:r>
      <w:hyperlink r:id="rId5" w:history="1">
        <w:r w:rsidR="005874DC" w:rsidRPr="006D538B">
          <w:rPr>
            <w:rStyle w:val="Hyperlink"/>
          </w:rPr>
          <w:t>https://www.cbd.int/convention/text/</w:t>
        </w:r>
      </w:hyperlink>
      <w:r w:rsidR="009A2407" w:rsidRPr="006D538B">
        <w:t>.</w:t>
      </w:r>
    </w:p>
  </w:footnote>
  <w:footnote w:id="6">
    <w:p w14:paraId="17869912" w14:textId="38A884AC" w:rsidR="007C507C" w:rsidRPr="006D538B" w:rsidRDefault="007C507C" w:rsidP="0015133F">
      <w:pPr>
        <w:pStyle w:val="FootnoteText"/>
        <w:spacing w:after="0"/>
        <w:rPr>
          <w:lang w:val="en-IE"/>
        </w:rPr>
      </w:pPr>
      <w:r w:rsidRPr="006D538B">
        <w:rPr>
          <w:lang w:val="en-IE"/>
        </w:rPr>
        <w:t>(</w:t>
      </w:r>
      <w:r w:rsidRPr="006D538B">
        <w:rPr>
          <w:rStyle w:val="FootnoteReference"/>
        </w:rPr>
        <w:footnoteRef/>
      </w:r>
      <w:r w:rsidRPr="006D538B">
        <w:rPr>
          <w:lang w:val="en-IE"/>
        </w:rPr>
        <w:t>)</w:t>
      </w:r>
      <w:r w:rsidRPr="006D538B">
        <w:rPr>
          <w:lang w:val="en-IE"/>
        </w:rPr>
        <w:tab/>
      </w:r>
      <w:r w:rsidR="00155804" w:rsidRPr="006D538B">
        <w:t>UK Government (COP26 Presidency</w:t>
      </w:r>
      <w:r w:rsidR="004902D9" w:rsidRPr="006D538B">
        <w:t>),</w:t>
      </w:r>
      <w:r w:rsidR="00155804" w:rsidRPr="006D538B">
        <w:t xml:space="preserve"> </w:t>
      </w:r>
      <w:r w:rsidR="00155804" w:rsidRPr="006D538B">
        <w:rPr>
          <w:i/>
        </w:rPr>
        <w:t>Glasgow Leaders’ Declaration on Forests and Land Use</w:t>
      </w:r>
      <w:r w:rsidR="004902D9" w:rsidRPr="006D538B">
        <w:t xml:space="preserve"> (2 November 2021),</w:t>
      </w:r>
      <w:r w:rsidR="00155804" w:rsidRPr="006D538B">
        <w:t xml:space="preserve"> </w:t>
      </w:r>
      <w:hyperlink r:id="rId6" w:history="1">
        <w:r w:rsidR="00155804" w:rsidRPr="006D538B">
          <w:rPr>
            <w:rStyle w:val="Hyperlink"/>
          </w:rPr>
          <w:t>https://ukcop26.org/glasgow-leaders-declaration-on-forests-and-land-use/</w:t>
        </w:r>
      </w:hyperlink>
      <w:r w:rsidR="009A2407" w:rsidRPr="006D538B">
        <w:rPr>
          <w:lang w:val="en-IE"/>
        </w:rPr>
        <w:t>.</w:t>
      </w:r>
    </w:p>
  </w:footnote>
  <w:footnote w:id="7">
    <w:p w14:paraId="21AAFA58" w14:textId="33F686EA" w:rsidR="007C507C" w:rsidRPr="006D538B" w:rsidRDefault="007C507C" w:rsidP="0015133F">
      <w:pPr>
        <w:pStyle w:val="FootnoteText"/>
        <w:spacing w:after="0"/>
        <w:rPr>
          <w:lang w:val="en-IE"/>
        </w:rPr>
      </w:pPr>
      <w:r w:rsidRPr="006D538B">
        <w:rPr>
          <w:lang w:val="en-IE"/>
        </w:rPr>
        <w:t>(</w:t>
      </w:r>
      <w:r w:rsidRPr="006D538B">
        <w:rPr>
          <w:rStyle w:val="FootnoteReference"/>
        </w:rPr>
        <w:footnoteRef/>
      </w:r>
      <w:r w:rsidRPr="006D538B">
        <w:rPr>
          <w:lang w:val="en-IE"/>
        </w:rPr>
        <w:t>)</w:t>
      </w:r>
      <w:r w:rsidRPr="006D538B">
        <w:rPr>
          <w:lang w:val="en-IE"/>
        </w:rPr>
        <w:tab/>
      </w:r>
      <w:r w:rsidR="009311D4" w:rsidRPr="006D538B">
        <w:t xml:space="preserve">United Nations, </w:t>
      </w:r>
      <w:r w:rsidR="009311D4" w:rsidRPr="006D538B">
        <w:rPr>
          <w:i/>
          <w:iCs/>
        </w:rPr>
        <w:t>Transforming Our World: The 2030 Agenda for Sustainable Development</w:t>
      </w:r>
      <w:r w:rsidR="009311D4" w:rsidRPr="006D538B">
        <w:t xml:space="preserve">, UN Doc. A/RES/70/1 (25 September 2015), </w:t>
      </w:r>
      <w:hyperlink r:id="rId7" w:history="1">
        <w:r w:rsidR="009311D4" w:rsidRPr="006D538B">
          <w:rPr>
            <w:rStyle w:val="Hyperlink"/>
          </w:rPr>
          <w:t>https://sdgs.un.org/2030agenda</w:t>
        </w:r>
      </w:hyperlink>
      <w:r w:rsidR="009A2407" w:rsidRPr="006D538B">
        <w:rPr>
          <w:lang w:val="en-IE"/>
        </w:rPr>
        <w:t>.</w:t>
      </w:r>
    </w:p>
  </w:footnote>
  <w:footnote w:id="8">
    <w:p w14:paraId="3752BB4A" w14:textId="13A27CFA" w:rsidR="007C507C" w:rsidRPr="006D538B" w:rsidRDefault="007C507C" w:rsidP="0015133F">
      <w:pPr>
        <w:pStyle w:val="FootnoteText"/>
        <w:spacing w:after="0"/>
        <w:rPr>
          <w:lang w:val="en-IE"/>
        </w:rPr>
      </w:pPr>
      <w:r w:rsidRPr="006D538B">
        <w:rPr>
          <w:lang w:val="en-IE"/>
        </w:rPr>
        <w:t>(</w:t>
      </w:r>
      <w:r w:rsidRPr="006D538B">
        <w:rPr>
          <w:rStyle w:val="FootnoteReference"/>
        </w:rPr>
        <w:footnoteRef/>
      </w:r>
      <w:r w:rsidRPr="006D538B">
        <w:rPr>
          <w:lang w:val="en-IE"/>
        </w:rPr>
        <w:t>)</w:t>
      </w:r>
      <w:r w:rsidRPr="006D538B">
        <w:rPr>
          <w:lang w:val="en-IE"/>
        </w:rPr>
        <w:tab/>
      </w:r>
      <w:r w:rsidR="004F2013" w:rsidRPr="006D538B">
        <w:t xml:space="preserve"> Government of Brazil (COP30 Presidency), </w:t>
      </w:r>
      <w:r w:rsidR="004F2013" w:rsidRPr="006D538B">
        <w:rPr>
          <w:i/>
          <w:iCs/>
        </w:rPr>
        <w:t>Roadmap to Halting and Reversing Deforestation and Forest Degradation by 2030</w:t>
      </w:r>
      <w:r w:rsidR="004F2013" w:rsidRPr="006D538B">
        <w:t xml:space="preserve"> (May 2024), </w:t>
      </w:r>
      <w:hyperlink r:id="rId8" w:history="1">
        <w:r w:rsidR="004F2013" w:rsidRPr="006D538B">
          <w:rPr>
            <w:rStyle w:val="Hyperlink"/>
          </w:rPr>
          <w:t>https://www.cop30.br/en/forests-roadmap</w:t>
        </w:r>
      </w:hyperlink>
      <w:r w:rsidR="009A2407" w:rsidRPr="006D538B">
        <w:rPr>
          <w:lang w:val="en-IE"/>
        </w:rPr>
        <w:t>.</w:t>
      </w:r>
    </w:p>
  </w:footnote>
  <w:footnote w:id="9">
    <w:p w14:paraId="685934DA" w14:textId="13569AD1" w:rsidR="00816853" w:rsidRPr="006D538B" w:rsidRDefault="00816853" w:rsidP="0015133F">
      <w:pPr>
        <w:pStyle w:val="FootnoteText"/>
        <w:spacing w:after="0"/>
        <w:rPr>
          <w:lang w:val="en-IE"/>
        </w:rPr>
      </w:pPr>
      <w:r w:rsidRPr="006D538B">
        <w:rPr>
          <w:lang w:val="en-IE"/>
        </w:rPr>
        <w:t>(</w:t>
      </w:r>
      <w:r w:rsidRPr="006D538B">
        <w:rPr>
          <w:rStyle w:val="FootnoteReference"/>
        </w:rPr>
        <w:footnoteRef/>
      </w:r>
      <w:r w:rsidRPr="006D538B">
        <w:rPr>
          <w:lang w:val="en-IE"/>
        </w:rPr>
        <w:t>)</w:t>
      </w:r>
      <w:r w:rsidRPr="006D538B">
        <w:rPr>
          <w:lang w:val="en-IE"/>
        </w:rPr>
        <w:tab/>
      </w:r>
      <w:hyperlink r:id="rId9" w:history="1">
        <w:r w:rsidR="000225A9" w:rsidRPr="006D538B">
          <w:rPr>
            <w:rStyle w:val="Hyperlink"/>
          </w:rPr>
          <w:t>Global Forest Resources Assessment 2025</w:t>
        </w:r>
      </w:hyperlink>
      <w:r w:rsidR="00787FA8" w:rsidRPr="006D538B">
        <w:rPr>
          <w:lang w:val="en-IE"/>
        </w:rPr>
        <w:t>.</w:t>
      </w:r>
    </w:p>
  </w:footnote>
  <w:footnote w:id="10">
    <w:p w14:paraId="3D30B304" w14:textId="0098EB8C" w:rsidR="0043166F" w:rsidRPr="00637B48" w:rsidRDefault="0043166F" w:rsidP="0015133F">
      <w:pPr>
        <w:pStyle w:val="FootnoteText"/>
        <w:spacing w:after="0"/>
        <w:rPr>
          <w:lang w:val="en-IE"/>
        </w:rPr>
      </w:pPr>
      <w:r w:rsidRPr="006D538B">
        <w:t>(</w:t>
      </w:r>
      <w:r w:rsidRPr="006D538B">
        <w:rPr>
          <w:rStyle w:val="FootnoteReference"/>
        </w:rPr>
        <w:footnoteRef/>
      </w:r>
      <w:r w:rsidRPr="006D538B">
        <w:t>)</w:t>
      </w:r>
      <w:r w:rsidRPr="006D538B">
        <w:tab/>
      </w:r>
      <w:r w:rsidR="009A3750" w:rsidRPr="006D538B">
        <w:t xml:space="preserve">Nevertheless, there are regional differences where some geographical areas experience net forest </w:t>
      </w:r>
      <w:r w:rsidR="009D6639" w:rsidRPr="006D538B">
        <w:t>area</w:t>
      </w:r>
      <w:r w:rsidR="009A3750" w:rsidRPr="006D538B">
        <w:t xml:space="preserve"> increase.</w:t>
      </w:r>
    </w:p>
  </w:footnote>
  <w:footnote w:id="11">
    <w:p w14:paraId="21CC7F10" w14:textId="77777777" w:rsidR="009024AA" w:rsidRPr="00637B48" w:rsidRDefault="009024AA" w:rsidP="0015133F">
      <w:pPr>
        <w:pStyle w:val="FootnoteText"/>
        <w:spacing w:after="0"/>
        <w:rPr>
          <w:lang w:val="en-IE"/>
        </w:rPr>
      </w:pPr>
      <w:r w:rsidRPr="006D538B">
        <w:t>(</w:t>
      </w:r>
      <w:r w:rsidRPr="006D538B">
        <w:rPr>
          <w:rStyle w:val="FootnoteReference"/>
        </w:rPr>
        <w:footnoteRef/>
      </w:r>
      <w:r w:rsidRPr="006D538B">
        <w:t>)</w:t>
      </w:r>
      <w:r w:rsidRPr="006D538B">
        <w:tab/>
        <w:t xml:space="preserve">FAO. 2022. The State of the World’s Forests 2022. Forest pathways for green recovery and building inclusive, resilient and sustainable economies, available at </w:t>
      </w:r>
      <w:hyperlink r:id="rId10" w:history="1">
        <w:r w:rsidRPr="006D538B">
          <w:rPr>
            <w:rStyle w:val="Hyperlink"/>
          </w:rPr>
          <w:t>https://doi.org/10.4060/cb9360en</w:t>
        </w:r>
      </w:hyperlink>
      <w:r w:rsidRPr="006D538B">
        <w:t>.</w:t>
      </w:r>
    </w:p>
  </w:footnote>
  <w:footnote w:id="12">
    <w:p w14:paraId="1BB04BCF" w14:textId="406E9053" w:rsidR="005A1DD1" w:rsidRPr="006D538B" w:rsidRDefault="005A1DD1" w:rsidP="0015133F">
      <w:pPr>
        <w:pStyle w:val="FootnoteText"/>
        <w:spacing w:after="0"/>
        <w:rPr>
          <w:lang w:val="en-IE"/>
        </w:rPr>
      </w:pPr>
      <w:r w:rsidRPr="006D538B">
        <w:rPr>
          <w:lang w:val="en-IE"/>
        </w:rPr>
        <w:t>(</w:t>
      </w:r>
      <w:r w:rsidRPr="006D538B">
        <w:rPr>
          <w:rStyle w:val="FootnoteReference"/>
        </w:rPr>
        <w:footnoteRef/>
      </w:r>
      <w:r w:rsidRPr="006D538B">
        <w:rPr>
          <w:lang w:val="en-IE"/>
        </w:rPr>
        <w:t>)</w:t>
      </w:r>
      <w:r w:rsidRPr="006D538B">
        <w:rPr>
          <w:lang w:val="en-IE"/>
        </w:rPr>
        <w:tab/>
      </w:r>
      <w:r w:rsidR="009C1EA7" w:rsidRPr="006D538B">
        <w:rPr>
          <w:lang w:val="en-IE"/>
        </w:rPr>
        <w:t xml:space="preserve">Kastner, T. et al. </w:t>
      </w:r>
      <w:r w:rsidR="009C1EA7" w:rsidRPr="006D538B">
        <w:t xml:space="preserve">(2013) </w:t>
      </w:r>
      <w:r w:rsidR="009C1EA7" w:rsidRPr="006D538B">
        <w:rPr>
          <w:i/>
          <w:iCs/>
        </w:rPr>
        <w:t>Analysis of the Impacts of EU Consumption on Deforestation: Comprehensive Analysis of the Impact of EU Consumption on Deforestation</w:t>
      </w:r>
      <w:r w:rsidR="009C1EA7" w:rsidRPr="006D538B">
        <w:t xml:space="preserve">. International Institute for Applied Systems Analysis (IIASA), Laxenburg, Austria, </w:t>
      </w:r>
      <w:hyperlink r:id="rId11" w:history="1">
        <w:r w:rsidR="009C1EA7" w:rsidRPr="006D538B">
          <w:rPr>
            <w:rStyle w:val="Hyperlink"/>
          </w:rPr>
          <w:t>https://pure.iiasa.ac.at/id/eprint/14868/1/1.%20Report%20analysis%20of%20impact.pdf</w:t>
        </w:r>
      </w:hyperlink>
      <w:r w:rsidR="009A2407" w:rsidRPr="006D538B">
        <w:t>.</w:t>
      </w:r>
    </w:p>
  </w:footnote>
  <w:footnote w:id="13">
    <w:p w14:paraId="695A7081" w14:textId="437C0E57" w:rsidR="005A1DD1" w:rsidRPr="006D538B" w:rsidRDefault="005A1DD1" w:rsidP="0015133F">
      <w:pPr>
        <w:pStyle w:val="FootnoteText"/>
        <w:spacing w:after="0"/>
        <w:rPr>
          <w:lang w:val="en-IE"/>
        </w:rPr>
      </w:pPr>
      <w:r w:rsidRPr="006D538B">
        <w:t>(</w:t>
      </w:r>
      <w:r w:rsidRPr="006D538B">
        <w:rPr>
          <w:rStyle w:val="FootnoteReference"/>
        </w:rPr>
        <w:footnoteRef/>
      </w:r>
      <w:r w:rsidRPr="006D538B">
        <w:t>)</w:t>
      </w:r>
      <w:r w:rsidRPr="006D538B">
        <w:tab/>
      </w:r>
      <w:r w:rsidR="00616172" w:rsidRPr="006D538B">
        <w:t xml:space="preserve">European Union, </w:t>
      </w:r>
      <w:r w:rsidR="00616172" w:rsidRPr="006D538B">
        <w:rPr>
          <w:i/>
          <w:iCs/>
        </w:rPr>
        <w:t>Regulation (EU) 2023/1115 of the European Parliament and of the Council of 31 May 2023 on the making available on the Union market and the export from the Union of certain commodities and products associated with deforestation and forest degradation</w:t>
      </w:r>
      <w:r w:rsidR="00616172" w:rsidRPr="006D538B">
        <w:t xml:space="preserve">, OJ L 150, 9.6.2023, </w:t>
      </w:r>
      <w:hyperlink r:id="rId12" w:history="1">
        <w:r w:rsidR="00616172" w:rsidRPr="006D538B">
          <w:rPr>
            <w:rStyle w:val="Hyperlink"/>
          </w:rPr>
          <w:t>https://eur-lex.europa.eu/legal-content/EN/TXT/?uri=CELEX%3A32023R1115</w:t>
        </w:r>
      </w:hyperlink>
      <w:r w:rsidR="009A2407" w:rsidRPr="006D538B">
        <w:t>.</w:t>
      </w:r>
    </w:p>
  </w:footnote>
  <w:footnote w:id="14">
    <w:p w14:paraId="43C2E7C0" w14:textId="184CF9C5" w:rsidR="1AC7090A" w:rsidRPr="006D538B" w:rsidRDefault="005A1DD1" w:rsidP="0015133F">
      <w:pPr>
        <w:pStyle w:val="FootnoteText"/>
        <w:spacing w:after="0"/>
      </w:pPr>
      <w:r w:rsidRPr="006D538B">
        <w:t>(</w:t>
      </w:r>
      <w:r w:rsidR="1AC7090A" w:rsidRPr="006D538B">
        <w:rPr>
          <w:rStyle w:val="FootnoteReference"/>
        </w:rPr>
        <w:footnoteRef/>
      </w:r>
      <w:r w:rsidRPr="006D538B">
        <w:t>)</w:t>
      </w:r>
      <w:r w:rsidR="1AC7090A" w:rsidRPr="006D538B">
        <w:t xml:space="preserve"> </w:t>
      </w:r>
      <w:r w:rsidR="00753E1A" w:rsidRPr="006D538B">
        <w:t>Singh, C., Persson, U.M. Global patterns of commodity-driven deforestation and associated carbon emissions. </w:t>
      </w:r>
      <w:r w:rsidR="00753E1A" w:rsidRPr="006D538B">
        <w:rPr>
          <w:i/>
          <w:iCs/>
        </w:rPr>
        <w:t>Nat Food</w:t>
      </w:r>
      <w:r w:rsidR="00753E1A" w:rsidRPr="006D538B">
        <w:t> </w:t>
      </w:r>
      <w:r w:rsidR="00753E1A" w:rsidRPr="006D538B">
        <w:rPr>
          <w:b/>
          <w:bCs/>
        </w:rPr>
        <w:t>7</w:t>
      </w:r>
      <w:r w:rsidR="00753E1A" w:rsidRPr="006D538B">
        <w:t>, 138–151 (2026)</w:t>
      </w:r>
      <w:r w:rsidR="00D45788" w:rsidRPr="006D538B">
        <w:t>,</w:t>
      </w:r>
      <w:r w:rsidR="00753E1A" w:rsidRPr="006D538B">
        <w:t xml:space="preserve"> https://doi.org/10.1038/s43016-026-01305-4.</w:t>
      </w:r>
    </w:p>
  </w:footnote>
  <w:footnote w:id="15">
    <w:p w14:paraId="5EFE1FDC" w14:textId="6D573BD8" w:rsidR="001A2D2E" w:rsidRPr="006D538B" w:rsidRDefault="001A2D2E" w:rsidP="00D21269">
      <w:pPr>
        <w:pStyle w:val="FootnoteText"/>
        <w:spacing w:after="0"/>
        <w:rPr>
          <w:lang w:val="en-IE"/>
        </w:rPr>
      </w:pPr>
      <w:r w:rsidRPr="006D538B">
        <w:t>(</w:t>
      </w:r>
      <w:r w:rsidRPr="006D538B">
        <w:rPr>
          <w:rStyle w:val="FootnoteReference"/>
        </w:rPr>
        <w:footnoteRef/>
      </w:r>
      <w:r w:rsidRPr="006D538B">
        <w:t>)</w:t>
      </w:r>
      <w:r w:rsidRPr="006D538B">
        <w:tab/>
        <w:t>Brack. D, How the EUDR Is Already Driving Forest Governance Reform: From Market Signal to Systemic Impact, Forest Policy, Trade and Finance In</w:t>
      </w:r>
      <w:r w:rsidR="00012F22" w:rsidRPr="006D538B">
        <w:t>i</w:t>
      </w:r>
      <w:r w:rsidRPr="006D538B">
        <w:t xml:space="preserve">tiative, April 2026, at </w:t>
      </w:r>
      <w:hyperlink r:id="rId13" w:history="1">
        <w:r w:rsidRPr="006D538B">
          <w:rPr>
            <w:rStyle w:val="Hyperlink"/>
          </w:rPr>
          <w:t>How the EUDR Is Already Driving Forest Governance Reform - Forest Trends</w:t>
        </w:r>
      </w:hyperlink>
      <w:r w:rsidR="007A7C12" w:rsidRPr="006D538B">
        <w:t>, April 2026</w:t>
      </w:r>
      <w:r w:rsidRPr="006D538B">
        <w:t>.</w:t>
      </w:r>
    </w:p>
  </w:footnote>
  <w:footnote w:id="16">
    <w:p w14:paraId="48440426" w14:textId="77777777" w:rsidR="006D538B" w:rsidRPr="006D538B" w:rsidRDefault="006D538B" w:rsidP="006D538B">
      <w:pPr>
        <w:pStyle w:val="FootnoteText"/>
        <w:spacing w:after="0"/>
        <w:rPr>
          <w:lang w:val="en-IE"/>
        </w:rPr>
      </w:pPr>
      <w:r w:rsidRPr="006D538B">
        <w:t>(</w:t>
      </w:r>
      <w:r w:rsidRPr="006D538B">
        <w:rPr>
          <w:rStyle w:val="FootnoteReference"/>
        </w:rPr>
        <w:footnoteRef/>
      </w:r>
      <w:r w:rsidRPr="006D538B">
        <w:t>)</w:t>
      </w:r>
      <w:r w:rsidRPr="006D538B">
        <w:tab/>
        <w:t xml:space="preserve">For example, recent studies include Brack. D, How the EUDR Is Already Driving Forest Governance Reform: From Market Signal to Systemic Impact, Forest Policy, Trade and Finance Initiative, April 2026, at </w:t>
      </w:r>
      <w:hyperlink r:id="rId14" w:history="1">
        <w:r w:rsidRPr="006D538B">
          <w:rPr>
            <w:rStyle w:val="Hyperlink"/>
          </w:rPr>
          <w:t>How the EUDR Is Already Driving Forest Governance Reform - Forest Trends</w:t>
        </w:r>
      </w:hyperlink>
      <w:r w:rsidRPr="006D538B">
        <w:t xml:space="preserve">, April 2026; Sotirov, M., Policy Brief - The EU Deforestation Regulation Is Already Delivering Results, Deutsche Umwelthilfe, April 2026, available at </w:t>
      </w:r>
      <w:hyperlink r:id="rId15" w:history="1">
        <w:r w:rsidRPr="006D538B">
          <w:rPr>
            <w:rStyle w:val="Hyperlink"/>
          </w:rPr>
          <w:t>Policy_Brief__Dr._Metodi_Sotirov__-_The_EU_Deforestation_Regulation_Is_Already_Delivering_Results_-_Why_further_weakening_during_the_Simplification_Review_risks_undermining_progress_in_global_forest_governance.pdf</w:t>
        </w:r>
      </w:hyperlink>
      <w:r w:rsidRPr="006D538B">
        <w:t>.</w:t>
      </w:r>
    </w:p>
  </w:footnote>
  <w:footnote w:id="17">
    <w:p w14:paraId="1192B6DB" w14:textId="1E98A5A2" w:rsidR="1AC7090A" w:rsidRPr="006D538B" w:rsidRDefault="005A1DD1" w:rsidP="007C16C6">
      <w:pPr>
        <w:pStyle w:val="FootnoteText"/>
        <w:spacing w:after="0"/>
        <w:rPr>
          <w:rFonts w:eastAsia="Arial"/>
        </w:rPr>
      </w:pPr>
      <w:r w:rsidRPr="006D538B">
        <w:t>(</w:t>
      </w:r>
      <w:r w:rsidR="1AC7090A" w:rsidRPr="006D538B">
        <w:rPr>
          <w:rStyle w:val="FootnoteReference"/>
        </w:rPr>
        <w:footnoteRef/>
      </w:r>
      <w:r w:rsidRPr="006D538B">
        <w:t>)</w:t>
      </w:r>
      <w:r w:rsidR="1AC7090A" w:rsidRPr="006D538B">
        <w:t xml:space="preserve"> </w:t>
      </w:r>
      <w:r w:rsidR="00FC5CE4" w:rsidRPr="006D538B">
        <w:rPr>
          <w:rFonts w:eastAsia="Arial"/>
        </w:rPr>
        <w:t xml:space="preserve">Such as </w:t>
      </w:r>
      <w:r w:rsidR="00AD179A" w:rsidRPr="006D538B">
        <w:rPr>
          <w:rFonts w:eastAsia="Arial"/>
        </w:rPr>
        <w:t xml:space="preserve">a dedicated </w:t>
      </w:r>
      <w:r w:rsidR="00FC5CE4" w:rsidRPr="006D538B">
        <w:rPr>
          <w:rFonts w:eastAsia="Arial"/>
        </w:rPr>
        <w:t>Technical Facility on deforestation-free value chains, financed by the EU and Member States under the Team Europe Initiative</w:t>
      </w:r>
      <w:r w:rsidR="00AD179A" w:rsidRPr="006D538B">
        <w:rPr>
          <w:rFonts w:eastAsia="Arial"/>
        </w:rPr>
        <w:t xml:space="preserve"> (TEI)</w:t>
      </w:r>
      <w:r w:rsidR="00FC5CE4" w:rsidRPr="006D538B">
        <w:rPr>
          <w:rFonts w:eastAsia="Arial"/>
        </w:rPr>
        <w:t xml:space="preserve"> on Deforestation-free Value Chains. F</w:t>
      </w:r>
      <w:r w:rsidR="00AD179A" w:rsidRPr="006D538B">
        <w:rPr>
          <w:rFonts w:eastAsia="Arial"/>
        </w:rPr>
        <w:t>urther TEI f</w:t>
      </w:r>
      <w:r w:rsidR="00FC5CE4" w:rsidRPr="006D538B">
        <w:rPr>
          <w:rFonts w:eastAsia="Arial"/>
        </w:rPr>
        <w:t xml:space="preserve">lagships projects include </w:t>
      </w:r>
      <w:r w:rsidR="00AD179A" w:rsidRPr="006D538B">
        <w:rPr>
          <w:rFonts w:eastAsia="Arial"/>
        </w:rPr>
        <w:t xml:space="preserve">the </w:t>
      </w:r>
      <w:r w:rsidR="00FC5CE4" w:rsidRPr="006D538B">
        <w:t>Sustainable Agriculture for Forest Ecosystems</w:t>
      </w:r>
      <w:r w:rsidR="00FC5CE4" w:rsidRPr="006D538B">
        <w:rPr>
          <w:rFonts w:eastAsia="Arial"/>
        </w:rPr>
        <w:t xml:space="preserve"> </w:t>
      </w:r>
      <w:r w:rsidR="00AD179A" w:rsidRPr="006D538B">
        <w:rPr>
          <w:rFonts w:eastAsia="Arial"/>
        </w:rPr>
        <w:t xml:space="preserve">programme </w:t>
      </w:r>
      <w:r w:rsidR="00FC5CE4" w:rsidRPr="006D538B">
        <w:rPr>
          <w:rFonts w:eastAsia="Arial"/>
        </w:rPr>
        <w:t>(SAFE)</w:t>
      </w:r>
      <w:r w:rsidR="00AD179A" w:rsidRPr="006D538B">
        <w:rPr>
          <w:rFonts w:eastAsia="Arial"/>
        </w:rPr>
        <w:t xml:space="preserve"> which supports smallholders’ EUDR preparedness in ten priority countries</w:t>
      </w:r>
      <w:r w:rsidR="00FC5CE4" w:rsidRPr="006D538B">
        <w:rPr>
          <w:rFonts w:eastAsia="Arial"/>
        </w:rPr>
        <w:t xml:space="preserve">, AL INVEST Verde which </w:t>
      </w:r>
      <w:r w:rsidR="00B60AD6" w:rsidRPr="006D538B">
        <w:rPr>
          <w:rFonts w:eastAsia="Raleway"/>
        </w:rPr>
        <w:t>supports traceability</w:t>
      </w:r>
      <w:r w:rsidR="00AD179A" w:rsidRPr="006D538B">
        <w:rPr>
          <w:rFonts w:eastAsia="Raleway"/>
        </w:rPr>
        <w:t xml:space="preserve"> efforts</w:t>
      </w:r>
      <w:r w:rsidR="00FC5CE4" w:rsidRPr="006D538B">
        <w:rPr>
          <w:rFonts w:eastAsia="Raleway"/>
        </w:rPr>
        <w:t xml:space="preserve"> in Latin America</w:t>
      </w:r>
      <w:r w:rsidR="00B60AD6" w:rsidRPr="006D538B">
        <w:rPr>
          <w:rFonts w:eastAsia="Raleway"/>
        </w:rPr>
        <w:t xml:space="preserve"> and the</w:t>
      </w:r>
      <w:r w:rsidR="00FC5CE4" w:rsidRPr="006D538B">
        <w:rPr>
          <w:rFonts w:eastAsia="Raleway"/>
        </w:rPr>
        <w:t xml:space="preserve"> </w:t>
      </w:r>
      <w:r w:rsidR="00FC5CE4" w:rsidRPr="006D538B">
        <w:rPr>
          <w:rFonts w:eastAsia="Arial"/>
        </w:rPr>
        <w:t>Market Access Upgrade Programme (MARKUP II) aimed at fostering EUDR related capacity building</w:t>
      </w:r>
      <w:r w:rsidR="00B60AD6" w:rsidRPr="006D538B">
        <w:rPr>
          <w:rFonts w:eastAsia="Arial"/>
        </w:rPr>
        <w:t xml:space="preserve"> in Africa</w:t>
      </w:r>
      <w:r w:rsidR="00FC5CE4" w:rsidRPr="006D538B">
        <w:rPr>
          <w:rFonts w:eastAsia="Arial"/>
        </w:rPr>
        <w:t>.</w:t>
      </w:r>
    </w:p>
  </w:footnote>
  <w:footnote w:id="18">
    <w:p w14:paraId="4353B51D" w14:textId="77777777" w:rsidR="006D538B" w:rsidRPr="006D538B" w:rsidRDefault="006D538B" w:rsidP="006D538B">
      <w:pPr>
        <w:pStyle w:val="FootnoteText"/>
        <w:spacing w:after="0"/>
        <w:rPr>
          <w:lang w:val="en-IE"/>
        </w:rPr>
      </w:pPr>
      <w:r w:rsidRPr="006D538B">
        <w:t>(</w:t>
      </w:r>
      <w:r w:rsidRPr="006D538B">
        <w:rPr>
          <w:rStyle w:val="FootnoteReference"/>
        </w:rPr>
        <w:footnoteRef/>
      </w:r>
      <w:r w:rsidRPr="006D538B">
        <w:t>)</w:t>
      </w:r>
      <w:r w:rsidRPr="006D538B">
        <w:tab/>
        <w:t xml:space="preserve">Sotirov, M., Policy Brief - The EU Deforestation Regulation Is Already Delivering Results, Deutsche Umwelthilfe, April 2026. </w:t>
      </w:r>
    </w:p>
  </w:footnote>
  <w:footnote w:id="19">
    <w:p w14:paraId="14C96A8A" w14:textId="77777777" w:rsidR="00BB4BDB" w:rsidRPr="006D538B" w:rsidRDefault="00BB4BDB" w:rsidP="00BB4BDB">
      <w:pPr>
        <w:pStyle w:val="FootnoteText"/>
        <w:spacing w:after="0"/>
        <w:rPr>
          <w:lang w:val="en-IE"/>
        </w:rPr>
      </w:pPr>
      <w:r w:rsidRPr="006D538B">
        <w:t>(</w:t>
      </w:r>
      <w:r w:rsidRPr="006D538B">
        <w:rPr>
          <w:rStyle w:val="FootnoteReference"/>
        </w:rPr>
        <w:footnoteRef/>
      </w:r>
      <w:r w:rsidRPr="006D538B">
        <w:t>)</w:t>
      </w:r>
      <w:r w:rsidRPr="006D538B">
        <w:tab/>
        <w:t>Sotirov, M., Policy Brief - The EU Deforestation Regulation Is Already Delivering Results, Deutsche Umwelthilfe, April 2026.</w:t>
      </w:r>
    </w:p>
  </w:footnote>
  <w:footnote w:id="20">
    <w:p w14:paraId="7EBB71D0" w14:textId="1375FEA5" w:rsidR="00EF2C03" w:rsidRPr="00637B48" w:rsidRDefault="00EF2C03" w:rsidP="00637B48">
      <w:pPr>
        <w:pStyle w:val="FootnoteText"/>
        <w:spacing w:after="0"/>
        <w:rPr>
          <w:lang w:val="en-IE"/>
        </w:rPr>
      </w:pPr>
      <w:r w:rsidRPr="006D538B">
        <w:t>(</w:t>
      </w:r>
      <w:r w:rsidRPr="006D538B">
        <w:rPr>
          <w:rStyle w:val="FootnoteReference"/>
        </w:rPr>
        <w:footnoteRef/>
      </w:r>
      <w:r w:rsidRPr="006D538B">
        <w:t>)</w:t>
      </w:r>
      <w:r w:rsidRPr="006D538B">
        <w:tab/>
        <w:t>Report on dry runs for coffee sector</w:t>
      </w:r>
      <w:r w:rsidR="00BB4BDB" w:rsidRPr="006D538B">
        <w:t xml:space="preserve"> is available here</w:t>
      </w:r>
      <w:r w:rsidRPr="006D538B">
        <w:t xml:space="preserve">: </w:t>
      </w:r>
      <w:hyperlink r:id="rId16" w:history="1">
        <w:r w:rsidRPr="006D538B">
          <w:rPr>
            <w:rStyle w:val="Hyperlink"/>
          </w:rPr>
          <w:t>Insights_EUDR-exercise_Coffee.pdf</w:t>
        </w:r>
      </w:hyperlink>
      <w:r w:rsidRPr="006D538B">
        <w:t>.</w:t>
      </w:r>
    </w:p>
  </w:footnote>
  <w:footnote w:id="21">
    <w:p w14:paraId="4395E095" w14:textId="5CF2B128" w:rsidR="00DF2346" w:rsidRPr="00637B48" w:rsidRDefault="00DF2346" w:rsidP="00637B48">
      <w:pPr>
        <w:pStyle w:val="FootnoteText"/>
        <w:spacing w:after="0"/>
        <w:rPr>
          <w:lang w:val="en-IE"/>
        </w:rPr>
      </w:pPr>
      <w:r w:rsidRPr="006D538B">
        <w:t>(</w:t>
      </w:r>
      <w:r w:rsidRPr="006D538B">
        <w:rPr>
          <w:rStyle w:val="FootnoteReference"/>
        </w:rPr>
        <w:footnoteRef/>
      </w:r>
      <w:r w:rsidRPr="006D538B">
        <w:t>)</w:t>
      </w:r>
      <w:r w:rsidRPr="006D538B">
        <w:tab/>
        <w:t>Bourgoin, C., Verhegghen, A., Carboni, S., Ameztoy, I., Degreve, L., Fritz, S., Herold, M., Tsendbazar, N., Lesiv, M., Achard, F., and Colditz, R.: GFC2020: a global map of forest land use for year 2020 to support the EU Deforestation Regulation, Earth Syst. Sci. Data, 18, 1331–1365, https://doi.org/10.5194/essd-18-1331-2026, 2026.</w:t>
      </w:r>
    </w:p>
  </w:footnote>
  <w:footnote w:id="22">
    <w:p w14:paraId="31DF8F06" w14:textId="7FB25214" w:rsidR="1AC7090A" w:rsidRPr="006D538B" w:rsidRDefault="005A1DD1" w:rsidP="007C16C6">
      <w:pPr>
        <w:pStyle w:val="FootnoteText"/>
        <w:spacing w:after="0"/>
        <w:rPr>
          <w:rFonts w:eastAsia="Calibri"/>
        </w:rPr>
      </w:pPr>
      <w:r w:rsidRPr="006D538B">
        <w:t>(</w:t>
      </w:r>
      <w:r w:rsidR="1AC7090A" w:rsidRPr="006D538B">
        <w:rPr>
          <w:rStyle w:val="FootnoteReference"/>
        </w:rPr>
        <w:footnoteRef/>
      </w:r>
      <w:r w:rsidRPr="006D538B">
        <w:t>)</w:t>
      </w:r>
      <w:r w:rsidR="1AC7090A" w:rsidRPr="006D538B">
        <w:t xml:space="preserve"> S</w:t>
      </w:r>
      <w:r w:rsidR="1AC7090A" w:rsidRPr="006D538B">
        <w:rPr>
          <w:rFonts w:eastAsia="Calibri"/>
        </w:rPr>
        <w:t>uch as Copernicus Global Land Cover and Tropical Forest Mapping and Monitoring Service, ESA World</w:t>
      </w:r>
      <w:r w:rsidR="1AC7090A" w:rsidRPr="006D538B">
        <w:t xml:space="preserve"> </w:t>
      </w:r>
      <w:r w:rsidR="1AC7090A" w:rsidRPr="006D538B">
        <w:rPr>
          <w:rFonts w:eastAsia="Calibri"/>
        </w:rPr>
        <w:t>Cover, WRI Tropical Tree Cover, UMd Global Land Cover, Global Mangrove Watch, and JRC Tropical Moist Forests</w:t>
      </w:r>
      <w:r w:rsidR="003C151C" w:rsidRPr="006D538B">
        <w:rPr>
          <w:rFonts w:eastAsia="Calibri"/>
        </w:rPr>
        <w:t>.</w:t>
      </w:r>
    </w:p>
  </w:footnote>
  <w:footnote w:id="23">
    <w:p w14:paraId="20EF423D" w14:textId="396806C9" w:rsidR="00954A0B" w:rsidRPr="006D538B" w:rsidRDefault="00954A0B" w:rsidP="0012174E">
      <w:pPr>
        <w:pStyle w:val="FootnoteText"/>
        <w:spacing w:after="0"/>
        <w:rPr>
          <w:lang w:val="it-IT"/>
        </w:rPr>
      </w:pPr>
      <w:r w:rsidRPr="006D538B">
        <w:rPr>
          <w:lang w:val="it-IT"/>
        </w:rPr>
        <w:t>(</w:t>
      </w:r>
      <w:r w:rsidRPr="006D538B">
        <w:rPr>
          <w:rStyle w:val="FootnoteReference"/>
        </w:rPr>
        <w:footnoteRef/>
      </w:r>
      <w:r w:rsidRPr="006D538B">
        <w:rPr>
          <w:lang w:val="it-IT"/>
        </w:rPr>
        <w:t>)</w:t>
      </w:r>
      <w:r w:rsidRPr="006D538B">
        <w:rPr>
          <w:lang w:val="it-IT"/>
        </w:rPr>
        <w:tab/>
      </w:r>
      <w:r w:rsidR="00D57710" w:rsidRPr="00637B48">
        <w:t>Regulation (EU) 2025/2650 amending Regulation (EU) 2023/1115 as regards certain obligations of operators and traders,</w:t>
      </w:r>
      <w:r w:rsidR="00D57710" w:rsidRPr="006D538B">
        <w:rPr>
          <w:lang w:val="it-IT"/>
        </w:rPr>
        <w:t xml:space="preserve"> </w:t>
      </w:r>
      <w:r w:rsidRPr="006D538B">
        <w:rPr>
          <w:lang w:val="it-IT"/>
        </w:rPr>
        <w:t>OJ L, 2025/2650, 23.12.2025, ELI: http://data.europa.eu/eli/reg/2025/2650/oj.</w:t>
      </w:r>
    </w:p>
  </w:footnote>
  <w:footnote w:id="24">
    <w:p w14:paraId="15CCD0BD" w14:textId="77777777" w:rsidR="00954A0B" w:rsidRPr="006D538B" w:rsidRDefault="00954A0B" w:rsidP="0012174E">
      <w:pPr>
        <w:pStyle w:val="FootnoteText"/>
        <w:spacing w:after="0"/>
        <w:rPr>
          <w:lang w:val="en-IE"/>
        </w:rPr>
      </w:pPr>
      <w:r w:rsidRPr="006D538B">
        <w:t>(</w:t>
      </w:r>
      <w:r w:rsidRPr="006D538B">
        <w:rPr>
          <w:rStyle w:val="FootnoteReference"/>
        </w:rPr>
        <w:footnoteRef/>
      </w:r>
      <w:r w:rsidRPr="006D538B">
        <w:t>)</w:t>
      </w:r>
      <w:r w:rsidRPr="006D538B">
        <w:tab/>
        <w:t>COM(2025) 652 final.</w:t>
      </w:r>
    </w:p>
  </w:footnote>
  <w:footnote w:id="25">
    <w:p w14:paraId="5A950116" w14:textId="0E723A90" w:rsidR="0070789E" w:rsidRPr="00637B48" w:rsidRDefault="0070789E" w:rsidP="00637B48">
      <w:pPr>
        <w:pStyle w:val="FootnoteText"/>
        <w:spacing w:after="0"/>
        <w:rPr>
          <w:lang w:val="en-IE"/>
        </w:rPr>
      </w:pPr>
      <w:r w:rsidRPr="006D538B">
        <w:t>(</w:t>
      </w:r>
      <w:r w:rsidRPr="006D538B">
        <w:rPr>
          <w:rStyle w:val="FootnoteReference"/>
        </w:rPr>
        <w:footnoteRef/>
      </w:r>
      <w:r w:rsidRPr="006D538B">
        <w:t>)</w:t>
      </w:r>
      <w:r w:rsidRPr="006D538B">
        <w:tab/>
        <w:t xml:space="preserve">Commission Implementing Regulation (EU) 2024/3084 on the functioning of the information system pursuant to Regulation (EU) 2023/1115 on the making available on the Union market and the export from the Union of certain commodities and products associated with deforestation and forest degradation </w:t>
      </w:r>
      <w:r w:rsidRPr="00637B48">
        <w:t>OJ L, 2024/3084, 6.12.2024, ELI: </w:t>
      </w:r>
      <w:hyperlink r:id="rId17" w:tgtFrame="_blank" w:tooltip="Gives access to this document through its ELI URI." w:history="1">
        <w:r w:rsidRPr="00637B48">
          <w:rPr>
            <w:rStyle w:val="Hyperlink"/>
          </w:rPr>
          <w:t>http://data.europa.eu/eli/reg_impl/2024/3084/oj</w:t>
        </w:r>
      </w:hyperlink>
      <w:r w:rsidRPr="006D538B">
        <w:t>.</w:t>
      </w:r>
    </w:p>
  </w:footnote>
  <w:footnote w:id="26">
    <w:p w14:paraId="00E38E02" w14:textId="0766BD27" w:rsidR="00862DDF" w:rsidRPr="00637B48" w:rsidRDefault="00862DDF" w:rsidP="00637B48">
      <w:pPr>
        <w:pStyle w:val="FootnoteText"/>
        <w:spacing w:after="0"/>
        <w:rPr>
          <w:lang w:val="en-IE"/>
        </w:rPr>
      </w:pPr>
      <w:r w:rsidRPr="006D538B">
        <w:t>(</w:t>
      </w:r>
      <w:r w:rsidRPr="006D538B">
        <w:rPr>
          <w:rStyle w:val="FootnoteReference"/>
        </w:rPr>
        <w:footnoteRef/>
      </w:r>
      <w:r w:rsidRPr="006D538B">
        <w:t>)</w:t>
      </w:r>
      <w:r w:rsidRPr="006D538B">
        <w:tab/>
      </w:r>
      <w:r w:rsidR="0024375A" w:rsidRPr="006D538B">
        <w:t xml:space="preserve">Accessible at </w:t>
      </w:r>
      <w:hyperlink r:id="rId18" w:history="1">
        <w:r w:rsidR="0024375A" w:rsidRPr="006D538B">
          <w:rPr>
            <w:rStyle w:val="Hyperlink"/>
          </w:rPr>
          <w:t>Deforestation - Environment - European Commission</w:t>
        </w:r>
      </w:hyperlink>
      <w:r w:rsidR="0024375A" w:rsidRPr="006D538B">
        <w:t>.</w:t>
      </w:r>
    </w:p>
  </w:footnote>
  <w:footnote w:id="27">
    <w:p w14:paraId="163DE15A" w14:textId="77777777" w:rsidR="008261EF" w:rsidRPr="006D538B" w:rsidRDefault="008261EF" w:rsidP="0012174E">
      <w:pPr>
        <w:pStyle w:val="FootnoteText"/>
        <w:spacing w:after="0"/>
        <w:rPr>
          <w:lang w:val="en-IE"/>
        </w:rPr>
      </w:pPr>
      <w:r w:rsidRPr="006D538B">
        <w:t>(</w:t>
      </w:r>
      <w:r w:rsidRPr="006D538B">
        <w:rPr>
          <w:rStyle w:val="FootnoteReference"/>
        </w:rPr>
        <w:footnoteRef/>
      </w:r>
      <w:r w:rsidRPr="006D538B">
        <w:t>)</w:t>
      </w:r>
      <w:r w:rsidRPr="006D538B">
        <w:tab/>
        <w:t xml:space="preserve">Guidance Document for Regulation (EU) 2023/1115 on deforestation-free products, OJ C, C/2024/6789, 13.11.2024, ELI: </w:t>
      </w:r>
      <w:hyperlink r:id="rId19" w:history="1">
        <w:r w:rsidRPr="006D538B">
          <w:rPr>
            <w:rStyle w:val="Hyperlink"/>
            <w:color w:val="0000FF"/>
            <w:lang w:val="en-IE"/>
          </w:rPr>
          <w:t>http://data.europa.eu/eli/C/2024/6789/oj</w:t>
        </w:r>
      </w:hyperlink>
      <w:r w:rsidRPr="006D538B">
        <w:t>.</w:t>
      </w:r>
    </w:p>
  </w:footnote>
  <w:footnote w:id="28">
    <w:p w14:paraId="5EFAE9CC" w14:textId="2F2CE3C8" w:rsidR="008261EF" w:rsidRPr="006D538B" w:rsidRDefault="008261EF" w:rsidP="0012174E">
      <w:pPr>
        <w:pStyle w:val="FootnoteText"/>
        <w:spacing w:after="0"/>
        <w:rPr>
          <w:lang w:val="en-IE"/>
        </w:rPr>
      </w:pPr>
      <w:r w:rsidRPr="006D538B">
        <w:t>(</w:t>
      </w:r>
      <w:r w:rsidRPr="006D538B">
        <w:rPr>
          <w:rStyle w:val="FootnoteReference"/>
        </w:rPr>
        <w:footnoteRef/>
      </w:r>
      <w:r w:rsidRPr="006D538B">
        <w:t>)</w:t>
      </w:r>
      <w:r w:rsidRPr="006D538B">
        <w:tab/>
      </w:r>
      <w:r w:rsidR="00C36820" w:rsidRPr="006D538B">
        <w:t>https://circabc.europa.eu/ui/group/34861680-e799-4d7c-bbad-da83c45da458/library/e126f816-844b-41a9-89ef-cb2a33b6aa56/details</w:t>
      </w:r>
      <w:r w:rsidR="00F07164" w:rsidRPr="006D538B">
        <w:t>.</w:t>
      </w:r>
    </w:p>
  </w:footnote>
  <w:footnote w:id="29">
    <w:p w14:paraId="20B4A12C" w14:textId="34B903EE" w:rsidR="0096719A" w:rsidRPr="006D538B" w:rsidRDefault="0096719A" w:rsidP="0012174E">
      <w:pPr>
        <w:pStyle w:val="FootnoteText"/>
        <w:spacing w:after="0"/>
        <w:rPr>
          <w:lang w:val="en-IE"/>
        </w:rPr>
      </w:pPr>
      <w:r w:rsidRPr="006D538B">
        <w:t>(</w:t>
      </w:r>
      <w:r w:rsidRPr="006D538B">
        <w:rPr>
          <w:rStyle w:val="FootnoteReference"/>
        </w:rPr>
        <w:footnoteRef/>
      </w:r>
      <w:r w:rsidRPr="006D538B">
        <w:t>)</w:t>
      </w:r>
      <w:r w:rsidRPr="006D538B">
        <w:tab/>
      </w:r>
      <w:r w:rsidR="00B14025" w:rsidRPr="006D538B">
        <w:t>https://op.europa.eu/en/publication-detail/-/publication/693156f0-5d3b-11f0-a9d0-01aa75ed71a1/language-en</w:t>
      </w:r>
      <w:r w:rsidR="00F07164" w:rsidRPr="006D538B">
        <w:t>.</w:t>
      </w:r>
    </w:p>
  </w:footnote>
  <w:footnote w:id="30">
    <w:p w14:paraId="1B0C68D6" w14:textId="77777777" w:rsidR="00E30213" w:rsidRPr="006D538B" w:rsidRDefault="00E30213" w:rsidP="00E30213">
      <w:pPr>
        <w:pStyle w:val="FootnoteText"/>
        <w:spacing w:after="0"/>
        <w:rPr>
          <w:lang w:val="en-IE"/>
        </w:rPr>
      </w:pPr>
      <w:r w:rsidRPr="006D538B">
        <w:t>(</w:t>
      </w:r>
      <w:r w:rsidRPr="006D538B">
        <w:rPr>
          <w:rStyle w:val="FootnoteReference"/>
        </w:rPr>
        <w:footnoteRef/>
      </w:r>
      <w:r w:rsidRPr="006D538B">
        <w:t>)</w:t>
      </w:r>
      <w:r w:rsidRPr="006D538B">
        <w:tab/>
        <w:t>Regulation (EU) 2024/3234 amending Regulation (EU) 2023/1115 as regards provisions relating to the date of application, OJ L, 2024/3234, 23.12.2024, ELI: http://data.europa.eu/eli/reg/2024/3234/oj.</w:t>
      </w:r>
    </w:p>
  </w:footnote>
  <w:footnote w:id="31">
    <w:p w14:paraId="2C3A2933" w14:textId="61170088" w:rsidR="00CD5C15" w:rsidRPr="00637B48" w:rsidRDefault="00CD5C15" w:rsidP="000F4567">
      <w:pPr>
        <w:pStyle w:val="FootnoteText"/>
        <w:spacing w:after="0"/>
        <w:rPr>
          <w:rStyle w:val="Hyperlink"/>
          <w:lang w:val="en-IE"/>
        </w:rPr>
      </w:pPr>
      <w:r w:rsidRPr="006D538B">
        <w:t>(</w:t>
      </w:r>
      <w:r w:rsidRPr="006D538B">
        <w:rPr>
          <w:rStyle w:val="FootnoteReference"/>
        </w:rPr>
        <w:footnoteRef/>
      </w:r>
      <w:r w:rsidRPr="006D538B">
        <w:t xml:space="preserve">) </w:t>
      </w:r>
      <w:r w:rsidR="002517DB" w:rsidRPr="00637B48">
        <w:t>Commission Implementing Regulation (EU) 2025/1093 of 22 May 2025 laying down rules for the application of Regulation (EU) 2023/1115 of the European Parliament and of the Council as regards a list of countries that present a low or high risk of producing relevant commodities for which the relevant products do not comply with Article 3, point (a)</w:t>
      </w:r>
      <w:r w:rsidRPr="006D538B">
        <w:t xml:space="preserve">, </w:t>
      </w:r>
      <w:r w:rsidR="000F4567" w:rsidRPr="006D538B">
        <w:t xml:space="preserve">C/2025/3279, </w:t>
      </w:r>
      <w:r w:rsidR="000F4567" w:rsidRPr="00637B48">
        <w:rPr>
          <w:lang w:val="en-IE"/>
        </w:rPr>
        <w:t>OJ L, 2025/1093, 23.5.2025, ELI: http://data.europa.eu/eli/reg_impl/2025/1093/oj</w:t>
      </w:r>
    </w:p>
  </w:footnote>
  <w:footnote w:id="32">
    <w:p w14:paraId="44822C11" w14:textId="4973456B" w:rsidR="001B67AF" w:rsidRPr="00637B48" w:rsidRDefault="001B67AF" w:rsidP="001B67AF">
      <w:pPr>
        <w:pStyle w:val="FootnoteText"/>
        <w:rPr>
          <w:lang w:val="en-IE"/>
        </w:rPr>
      </w:pPr>
      <w:r w:rsidRPr="006D538B">
        <w:t>(</w:t>
      </w:r>
      <w:r w:rsidRPr="006D538B">
        <w:rPr>
          <w:rStyle w:val="FootnoteReference"/>
        </w:rPr>
        <w:footnoteRef/>
      </w:r>
      <w:r w:rsidRPr="006D538B">
        <w:t>)</w:t>
      </w:r>
      <w:r w:rsidRPr="006D538B">
        <w:tab/>
        <w:t>Regulation (EU) No 995/2010 laying down the obligations of operators who place timber and timber products on the market Text with EEA relevance, OJ L 295, 12.11.2010, pp. 23–34.</w:t>
      </w:r>
    </w:p>
  </w:footnote>
  <w:footnote w:id="33">
    <w:p w14:paraId="05A56CE4" w14:textId="77777777" w:rsidR="00934E71" w:rsidRPr="006D538B" w:rsidRDefault="00934E71" w:rsidP="0012174E">
      <w:pPr>
        <w:pStyle w:val="FootnoteText"/>
        <w:spacing w:after="0"/>
        <w:rPr>
          <w:lang w:val="en-IE"/>
        </w:rPr>
      </w:pPr>
      <w:r w:rsidRPr="006D538B">
        <w:t>(</w:t>
      </w:r>
      <w:r w:rsidRPr="006D538B">
        <w:rPr>
          <w:rStyle w:val="FootnoteReference"/>
        </w:rPr>
        <w:footnoteRef/>
      </w:r>
      <w:r w:rsidRPr="006D538B">
        <w:t>)</w:t>
      </w:r>
      <w:r w:rsidRPr="006D538B">
        <w:tab/>
      </w:r>
      <w:hyperlink r:id="rId20" w:history="1">
        <w:r w:rsidRPr="006D538B">
          <w:rPr>
            <w:rStyle w:val="Hyperlink"/>
          </w:rPr>
          <w:t>Summary Record</w:t>
        </w:r>
      </w:hyperlink>
      <w:r w:rsidRPr="006D538B">
        <w:t xml:space="preserve"> of the 38th Meeting of the “Multi-Stakeholder Platform on Protecting and Restoring the World’s Forests” with a focus on Deforestation and Forest Degradation, 11.12.25.</w:t>
      </w:r>
    </w:p>
  </w:footnote>
  <w:footnote w:id="34">
    <w:p w14:paraId="30C133D2" w14:textId="5474B985" w:rsidR="00E5727C" w:rsidRPr="00637B48" w:rsidRDefault="00E5727C" w:rsidP="00637B48">
      <w:pPr>
        <w:pStyle w:val="FootnoteText"/>
        <w:spacing w:after="0"/>
        <w:rPr>
          <w:lang w:val="en-IE"/>
        </w:rPr>
      </w:pPr>
      <w:r w:rsidRPr="006D538B">
        <w:t>(</w:t>
      </w:r>
      <w:r w:rsidRPr="006D538B">
        <w:rPr>
          <w:rStyle w:val="FootnoteReference"/>
        </w:rPr>
        <w:footnoteRef/>
      </w:r>
      <w:r w:rsidRPr="006D538B">
        <w:t>)</w:t>
      </w:r>
      <w:r w:rsidRPr="006D538B">
        <w:tab/>
      </w:r>
      <w:hyperlink r:id="rId21" w:history="1">
        <w:r w:rsidRPr="006D538B">
          <w:rPr>
            <w:rStyle w:val="Hyperlink"/>
          </w:rPr>
          <w:t>EU rules to minimise deforestation &amp; forest degradation – amendment of Annex I to the Deforestation Regulation</w:t>
        </w:r>
      </w:hyperlink>
    </w:p>
  </w:footnote>
  <w:footnote w:id="35">
    <w:p w14:paraId="4DFC05FC" w14:textId="1ADF4683" w:rsidR="00814A6F" w:rsidRPr="006D538B" w:rsidRDefault="00814A6F" w:rsidP="006D538B">
      <w:pPr>
        <w:pStyle w:val="FootnoteText"/>
        <w:spacing w:after="0"/>
        <w:rPr>
          <w:lang w:val="en-IE"/>
        </w:rPr>
      </w:pPr>
      <w:r w:rsidRPr="006D538B">
        <w:t>(</w:t>
      </w:r>
      <w:r w:rsidRPr="006D538B">
        <w:rPr>
          <w:rStyle w:val="FootnoteReference"/>
        </w:rPr>
        <w:footnoteRef/>
      </w:r>
      <w:r w:rsidRPr="006D538B">
        <w:t>)</w:t>
      </w:r>
      <w:r w:rsidRPr="006D538B">
        <w:tab/>
      </w:r>
      <w:hyperlink r:id="rId22" w:history="1">
        <w:r w:rsidR="00A36A63" w:rsidRPr="006D538B">
          <w:rPr>
            <w:rStyle w:val="Hyperlink"/>
          </w:rPr>
          <w:t>Simplification of administrative burden in environmental legislation</w:t>
        </w:r>
      </w:hyperlink>
      <w:r w:rsidR="00A36A63" w:rsidRPr="006D538B" w:rsidDel="00A36A63">
        <w:t xml:space="preserve"> </w:t>
      </w:r>
    </w:p>
  </w:footnote>
  <w:footnote w:id="36">
    <w:p w14:paraId="1821C019" w14:textId="4F671C6D" w:rsidR="003C0F5A" w:rsidRPr="006D538B" w:rsidRDefault="003C0F5A">
      <w:pPr>
        <w:pStyle w:val="FootnoteText"/>
        <w:rPr>
          <w:lang w:val="en-IE"/>
        </w:rPr>
      </w:pPr>
      <w:r w:rsidRPr="006D538B">
        <w:t>(</w:t>
      </w:r>
      <w:r w:rsidRPr="006D538B">
        <w:rPr>
          <w:rStyle w:val="FootnoteReference"/>
        </w:rPr>
        <w:footnoteRef/>
      </w:r>
      <w:r w:rsidRPr="006D538B">
        <w:t>)</w:t>
      </w:r>
      <w:r w:rsidRPr="006D538B">
        <w:tab/>
      </w:r>
      <w:hyperlink r:id="rId23" w:history="1">
        <w:r w:rsidR="00BF4655" w:rsidRPr="006D538B">
          <w:rPr>
            <w:rStyle w:val="Hyperlink"/>
          </w:rPr>
          <w:t>EUDR supply chain infographics (3rd edition) - Environment</w:t>
        </w:r>
      </w:hyperlink>
    </w:p>
  </w:footnote>
  <w:footnote w:id="37">
    <w:p w14:paraId="13C7FF3D" w14:textId="097DA941" w:rsidR="0076499A" w:rsidRPr="006D538B" w:rsidRDefault="0076499A" w:rsidP="0015133F">
      <w:pPr>
        <w:pStyle w:val="FootnoteText"/>
        <w:spacing w:after="0"/>
        <w:rPr>
          <w:lang w:val="en-IE"/>
        </w:rPr>
      </w:pPr>
      <w:r w:rsidRPr="006D538B">
        <w:t>(</w:t>
      </w:r>
      <w:r w:rsidRPr="006D538B">
        <w:rPr>
          <w:rStyle w:val="FootnoteReference"/>
        </w:rPr>
        <w:footnoteRef/>
      </w:r>
      <w:r w:rsidRPr="006D538B">
        <w:t>)</w:t>
      </w:r>
      <w:r w:rsidRPr="006D538B">
        <w:tab/>
      </w:r>
      <w:hyperlink r:id="rId24" w:history="1">
        <w:r w:rsidRPr="006D538B">
          <w:rPr>
            <w:rStyle w:val="Hyperlink"/>
          </w:rPr>
          <w:t>Published initiatives</w:t>
        </w:r>
      </w:hyperlink>
    </w:p>
  </w:footnote>
  <w:footnote w:id="38">
    <w:p w14:paraId="5CD84F6F" w14:textId="77777777" w:rsidR="00426FBE" w:rsidRPr="006D538B" w:rsidRDefault="00426FBE" w:rsidP="0015133F">
      <w:pPr>
        <w:pStyle w:val="FootnoteText"/>
        <w:spacing w:after="0"/>
        <w:rPr>
          <w:lang w:val="en-US"/>
        </w:rPr>
      </w:pPr>
      <w:r w:rsidRPr="006D538B">
        <w:t>(</w:t>
      </w:r>
      <w:r w:rsidRPr="006D538B">
        <w:rPr>
          <w:rStyle w:val="FootnoteReference"/>
        </w:rPr>
        <w:footnoteRef/>
      </w:r>
      <w:r w:rsidRPr="006D538B">
        <w:t>)</w:t>
      </w:r>
      <w:r w:rsidRPr="006D538B">
        <w:tab/>
        <w:t>The products proposed to be removed from the EUDR scope are retreaded rubber tyres for motor cars (HS 40121100), retreaded rubber tyres for buses (HS 40121200), retreaded rubber tyres for aircrafts (HS 40121300), other retreaded rubber tyres (HS 40121900), solid or cushion rubber tyres (40129020) and rubber tyre flaps (HS 40129090).</w:t>
      </w:r>
    </w:p>
  </w:footnote>
  <w:footnote w:id="39">
    <w:p w14:paraId="539D46E2" w14:textId="2F811D6D" w:rsidR="00426FBE" w:rsidRPr="006D538B" w:rsidRDefault="00426FBE" w:rsidP="0012174E">
      <w:pPr>
        <w:pStyle w:val="FootnoteText"/>
        <w:spacing w:after="0"/>
        <w:rPr>
          <w:lang w:val="en-US"/>
        </w:rPr>
      </w:pPr>
      <w:r w:rsidRPr="006D538B">
        <w:t>(</w:t>
      </w:r>
      <w:r w:rsidRPr="006D538B">
        <w:rPr>
          <w:rStyle w:val="FootnoteReference"/>
        </w:rPr>
        <w:footnoteRef/>
      </w:r>
      <w:r w:rsidRPr="006D538B">
        <w:t>)</w:t>
      </w:r>
      <w:r w:rsidRPr="006D538B">
        <w:tab/>
        <w:t>The cattle and skins product codes proposed to be removed from the EUDR scope are raw hides and skins of cattle (HS 4101), tanned or curst hides and skins of cattle (HS 4104), and leather of cattle, further prepared after tanning or crusting (HS 4107)</w:t>
      </w:r>
      <w:r w:rsidR="0015133F">
        <w:t>.</w:t>
      </w:r>
    </w:p>
  </w:footnote>
  <w:footnote w:id="40">
    <w:p w14:paraId="7DD71624" w14:textId="3610CD7A" w:rsidR="008B6623" w:rsidRPr="006D538B" w:rsidRDefault="008B6623" w:rsidP="0012174E">
      <w:pPr>
        <w:pStyle w:val="FootnoteText"/>
        <w:spacing w:after="0"/>
        <w:rPr>
          <w:lang w:val="en-IE"/>
        </w:rPr>
      </w:pPr>
      <w:r w:rsidRPr="006D538B">
        <w:t>(</w:t>
      </w:r>
      <w:r w:rsidRPr="006D538B">
        <w:rPr>
          <w:rStyle w:val="FootnoteReference"/>
        </w:rPr>
        <w:footnoteRef/>
      </w:r>
      <w:r w:rsidRPr="006D538B">
        <w:t>)</w:t>
      </w:r>
      <w:r w:rsidRPr="006D538B">
        <w:tab/>
        <w:t>This quantification captures recurring annual operational compliance costs but does not include capital expenditures related to system development.</w:t>
      </w:r>
    </w:p>
  </w:footnote>
  <w:footnote w:id="41">
    <w:p w14:paraId="05B00D0B" w14:textId="08D8AF2A" w:rsidR="00647F5D" w:rsidRPr="006D538B" w:rsidRDefault="00647F5D" w:rsidP="00637B48">
      <w:pPr>
        <w:pStyle w:val="FootnoteText"/>
        <w:spacing w:after="0"/>
        <w:rPr>
          <w:lang w:val="en-IE"/>
        </w:rPr>
      </w:pPr>
      <w:r w:rsidRPr="006D538B">
        <w:t>(</w:t>
      </w:r>
      <w:r w:rsidRPr="006D538B">
        <w:rPr>
          <w:rStyle w:val="FootnoteReference"/>
        </w:rPr>
        <w:footnoteRef/>
      </w:r>
      <w:r w:rsidRPr="006D538B">
        <w:t>)</w:t>
      </w:r>
      <w:r w:rsidRPr="006D538B">
        <w:tab/>
      </w:r>
      <w:r w:rsidR="00B7326F" w:rsidRPr="006D538B">
        <w:rPr>
          <w:lang w:val="en-IE"/>
        </w:rPr>
        <w:t xml:space="preserve">This methodology </w:t>
      </w:r>
      <w:r w:rsidR="00A30C04" w:rsidRPr="006D538B">
        <w:rPr>
          <w:lang w:val="en-IE"/>
        </w:rPr>
        <w:t>builds upon</w:t>
      </w:r>
      <w:r w:rsidR="00B7326F" w:rsidRPr="006D538B">
        <w:rPr>
          <w:lang w:val="en-IE"/>
        </w:rPr>
        <w:t xml:space="preserve"> the “</w:t>
      </w:r>
      <w:r w:rsidR="00B7326F" w:rsidRPr="006D538B">
        <w:rPr>
          <w:i/>
          <w:iCs/>
          <w:lang w:val="en-IE"/>
        </w:rPr>
        <w:t>Assessment of environmental reporting and the potential for simplification</w:t>
      </w:r>
      <w:r w:rsidR="00B7326F" w:rsidRPr="006D538B">
        <w:rPr>
          <w:lang w:val="en-IE"/>
        </w:rPr>
        <w:t>” study commissioned by the Commission and expected to be published in late 2026</w:t>
      </w:r>
      <w:r w:rsidR="00A30C04" w:rsidRPr="006D538B">
        <w:rPr>
          <w:lang w:val="en-IE"/>
        </w:rPr>
        <w:t xml:space="preserve">. The </w:t>
      </w:r>
      <w:r w:rsidR="004D26EC" w:rsidRPr="006D538B">
        <w:rPr>
          <w:lang w:val="en-IE"/>
        </w:rPr>
        <w:t xml:space="preserve">computational steps are </w:t>
      </w:r>
      <w:r w:rsidR="00B7326F" w:rsidRPr="006D538B">
        <w:rPr>
          <w:lang w:val="en-IE"/>
        </w:rPr>
        <w:t xml:space="preserve">updated to include the </w:t>
      </w:r>
      <w:r w:rsidR="00952E1F" w:rsidRPr="006D538B">
        <w:rPr>
          <w:lang w:val="en-IE"/>
        </w:rPr>
        <w:t xml:space="preserve">simplifications presented in the Delegated Act, FAQ and Guidance </w:t>
      </w:r>
      <w:r w:rsidR="00B8503E" w:rsidRPr="006D538B">
        <w:rPr>
          <w:lang w:val="en-IE"/>
        </w:rPr>
        <w:t>published together with this Report</w:t>
      </w:r>
      <w:r w:rsidR="00B7326F" w:rsidRPr="006D538B">
        <w:rPr>
          <w:lang w:val="en-IE"/>
        </w:rPr>
        <w:t>.</w:t>
      </w:r>
    </w:p>
  </w:footnote>
  <w:footnote w:id="42">
    <w:p w14:paraId="12DFA7A3" w14:textId="4254F49B" w:rsidR="00B0075E" w:rsidRPr="00637B48" w:rsidRDefault="00B0075E">
      <w:pPr>
        <w:pStyle w:val="FootnoteText"/>
        <w:rPr>
          <w:lang w:val="en-US"/>
        </w:rPr>
      </w:pPr>
      <w:r w:rsidRPr="006D538B">
        <w:t>(</w:t>
      </w:r>
      <w:r w:rsidRPr="006D538B">
        <w:rPr>
          <w:rStyle w:val="FootnoteReference"/>
        </w:rPr>
        <w:footnoteRef/>
      </w:r>
      <w:r w:rsidRPr="006D538B">
        <w:t>)</w:t>
      </w:r>
      <w:r w:rsidRPr="006D538B">
        <w:tab/>
      </w:r>
      <w:r w:rsidRPr="006D538B">
        <w:rPr>
          <w:lang w:val="en-US"/>
        </w:rPr>
        <w:t xml:space="preserve">European Commission (2020) </w:t>
      </w:r>
      <w:hyperlink r:id="rId25" w:history="1">
        <w:r w:rsidRPr="006D538B">
          <w:rPr>
            <w:rStyle w:val="Hyperlink"/>
          </w:rPr>
          <w:t>Study on due diligence requirements through the supply chain</w:t>
        </w:r>
      </w:hyperlink>
    </w:p>
  </w:footnote>
  <w:footnote w:id="43">
    <w:p w14:paraId="2832D26A" w14:textId="2ED8DF7A" w:rsidR="00EC415B" w:rsidRPr="00637B48" w:rsidRDefault="00EC415B" w:rsidP="00637B48">
      <w:pPr>
        <w:pStyle w:val="FootnoteText"/>
        <w:spacing w:after="0"/>
        <w:rPr>
          <w:lang w:val="en-US"/>
        </w:rPr>
      </w:pPr>
      <w:r w:rsidRPr="006D538B">
        <w:t>(</w:t>
      </w:r>
      <w:r w:rsidRPr="006D538B">
        <w:rPr>
          <w:rStyle w:val="FootnoteReference"/>
        </w:rPr>
        <w:footnoteRef/>
      </w:r>
      <w:r w:rsidRPr="006D538B">
        <w:t>)</w:t>
      </w:r>
      <w:r w:rsidRPr="006D538B">
        <w:tab/>
        <w:t>Because the DeDuCE dataset by Singh and Persson (2026), which provides estimates of deforestation by country and commodity, is only available up to 2022 and exhibits limitations for the years 2021–2022, the analysis focuses on the period 2015–2020.</w:t>
      </w:r>
      <w:r w:rsidR="00D971DF" w:rsidRPr="006D538B">
        <w:t xml:space="preserve"> Main limitations are </w:t>
      </w:r>
      <w:r w:rsidR="00793667" w:rsidRPr="006D538B">
        <w:t>related to d</w:t>
      </w:r>
      <w:r w:rsidR="00D971DF" w:rsidRPr="006D538B">
        <w:t>elays in national reporting of agricultural land-use and harvested area data, which serve as inputs to the DeDuCE model, may distort deforestation signals in the years 2021-2022.</w:t>
      </w:r>
    </w:p>
  </w:footnote>
  <w:footnote w:id="44">
    <w:p w14:paraId="2950D5C5" w14:textId="4194080E" w:rsidR="00C52586" w:rsidRPr="006D538B" w:rsidRDefault="00C52586" w:rsidP="00FF03FC">
      <w:pPr>
        <w:pStyle w:val="FootnoteText"/>
        <w:spacing w:after="0"/>
        <w:rPr>
          <w:lang w:val="en-IE"/>
        </w:rPr>
      </w:pPr>
      <w:r w:rsidRPr="006D538B">
        <w:t>(</w:t>
      </w:r>
      <w:r w:rsidRPr="006D538B">
        <w:rPr>
          <w:rStyle w:val="FootnoteReference"/>
        </w:rPr>
        <w:footnoteRef/>
      </w:r>
      <w:r w:rsidRPr="006D538B">
        <w:t>)</w:t>
      </w:r>
      <w:r w:rsidRPr="006D538B">
        <w:tab/>
        <w:t>The environmental benefits for wood are an underestimation as forest degradation, the conversion of natural to managed or plantation forest, is not included in the computations</w:t>
      </w:r>
      <w:r w:rsidR="00381E78" w:rsidRPr="006D538B">
        <w:t>.</w:t>
      </w:r>
      <w:r w:rsidRPr="006D538B">
        <w:t xml:space="preserve"> </w:t>
      </w:r>
    </w:p>
  </w:footnote>
  <w:footnote w:id="45">
    <w:p w14:paraId="11F6C815" w14:textId="2B028CE2" w:rsidR="000454A0" w:rsidRPr="00637B48" w:rsidRDefault="000454A0" w:rsidP="00637B48">
      <w:pPr>
        <w:pStyle w:val="FootnoteText"/>
        <w:spacing w:after="0"/>
        <w:rPr>
          <w:lang w:val="en-US"/>
        </w:rPr>
      </w:pPr>
      <w:r w:rsidRPr="006D538B">
        <w:t>(</w:t>
      </w:r>
      <w:r w:rsidRPr="006D538B">
        <w:rPr>
          <w:rStyle w:val="FootnoteReference"/>
        </w:rPr>
        <w:footnoteRef/>
      </w:r>
      <w:r w:rsidRPr="006D538B">
        <w:t>)</w:t>
      </w:r>
      <w:r w:rsidRPr="006D538B">
        <w:tab/>
        <w:t>An ecosystem service value is the quantified benefit that humans derive from natural ecosystems, such as clean water, food production, climate regulation, recreation, and the maintenance of genetic resources that support crop improvement, medicine development, and ecosystem resilience.</w:t>
      </w:r>
    </w:p>
  </w:footnote>
  <w:footnote w:id="46">
    <w:p w14:paraId="63A65115" w14:textId="3E04AA6A" w:rsidR="000454A0" w:rsidRPr="00637B48" w:rsidRDefault="000454A0" w:rsidP="0015133F">
      <w:pPr>
        <w:pStyle w:val="FootnoteText"/>
        <w:spacing w:after="0"/>
        <w:rPr>
          <w:lang w:val="en-US"/>
        </w:rPr>
      </w:pPr>
      <w:r w:rsidRPr="006D538B">
        <w:t>(</w:t>
      </w:r>
      <w:r w:rsidRPr="006D538B">
        <w:rPr>
          <w:rStyle w:val="FootnoteReference"/>
        </w:rPr>
        <w:footnoteRef/>
      </w:r>
      <w:r w:rsidRPr="006D538B">
        <w:t>)</w:t>
      </w:r>
      <w:r w:rsidRPr="006D538B">
        <w:tab/>
      </w:r>
      <w:r w:rsidRPr="006D538B">
        <w:rPr>
          <w:lang w:val="en-IE"/>
        </w:rPr>
        <w:t>Brander, L. M., De Groot, R., Schägner, J. P., Guisado-Goñi, V., Van't Hoff, V., Solomonides, S., ... &amp; Thomas, R. (2024). Economic values for ecosystem services: A global synthesis and way forward. </w:t>
      </w:r>
      <w:r w:rsidRPr="006D538B">
        <w:rPr>
          <w:i/>
          <w:iCs/>
          <w:lang w:val="en-IE"/>
        </w:rPr>
        <w:t>Ecosystem Services</w:t>
      </w:r>
      <w:r w:rsidRPr="006D538B">
        <w:rPr>
          <w:lang w:val="en-IE"/>
        </w:rPr>
        <w:t>, </w:t>
      </w:r>
      <w:r w:rsidRPr="006D538B">
        <w:rPr>
          <w:i/>
          <w:iCs/>
          <w:lang w:val="en-IE"/>
        </w:rPr>
        <w:t>66</w:t>
      </w:r>
      <w:r w:rsidRPr="006D538B">
        <w:rPr>
          <w:lang w:val="en-IE"/>
        </w:rPr>
        <w:t>, 101606.</w:t>
      </w:r>
    </w:p>
  </w:footnote>
  <w:footnote w:id="47">
    <w:p w14:paraId="5D16F864" w14:textId="4071BC65" w:rsidR="000454A0" w:rsidRPr="00637B48" w:rsidRDefault="000454A0" w:rsidP="0015133F">
      <w:pPr>
        <w:pStyle w:val="FootnoteText"/>
        <w:spacing w:after="0"/>
        <w:rPr>
          <w:lang w:val="en-US"/>
        </w:rPr>
      </w:pPr>
      <w:r w:rsidRPr="006D538B">
        <w:t>(</w:t>
      </w:r>
      <w:r w:rsidRPr="006D538B">
        <w:rPr>
          <w:rStyle w:val="FootnoteReference"/>
        </w:rPr>
        <w:footnoteRef/>
      </w:r>
      <w:r w:rsidRPr="006D538B">
        <w:t>)</w:t>
      </w:r>
      <w:r w:rsidRPr="006D538B">
        <w:tab/>
      </w:r>
      <w:hyperlink r:id="rId26" w:history="1">
        <w:r w:rsidRPr="006D538B">
          <w:rPr>
            <w:rStyle w:val="Hyperlink"/>
          </w:rPr>
          <w:t>Commission Staff Working Document – Impact Assessment (2021)</w:t>
        </w:r>
      </w:hyperlink>
      <w:r w:rsidR="00FF03FC" w:rsidRPr="006D538B">
        <w:t>.</w:t>
      </w:r>
    </w:p>
  </w:footnote>
  <w:footnote w:id="48">
    <w:p w14:paraId="7276EF68" w14:textId="100A1693" w:rsidR="00C1740D" w:rsidRPr="006D538B" w:rsidRDefault="00C1740D" w:rsidP="0015133F">
      <w:pPr>
        <w:pStyle w:val="FootnoteText"/>
        <w:spacing w:after="0"/>
        <w:rPr>
          <w:lang w:val="en-US"/>
        </w:rPr>
      </w:pPr>
      <w:r w:rsidRPr="006D538B">
        <w:rPr>
          <w:lang w:val="en-IE"/>
        </w:rPr>
        <w:t>(</w:t>
      </w:r>
      <w:r w:rsidRPr="00637B48">
        <w:rPr>
          <w:vertAlign w:val="superscript"/>
          <w:lang w:val="en-IE"/>
        </w:rPr>
        <w:footnoteRef/>
      </w:r>
      <w:r w:rsidRPr="006D538B">
        <w:rPr>
          <w:lang w:val="en-IE"/>
        </w:rPr>
        <w:t>)</w:t>
      </w:r>
      <w:r w:rsidRPr="006D538B">
        <w:rPr>
          <w:lang w:val="en-IE"/>
        </w:rPr>
        <w:tab/>
        <w:t>Singh, C., &amp; Persson, U. M. (2026). Global patterns of commodity-driven deforestation and associated carbon emissions. Nature Food, 7(2), 138-151.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16F63" w14:textId="77777777" w:rsidR="00F05D51" w:rsidRPr="00F05D51" w:rsidRDefault="00F05D51" w:rsidP="00F05D5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6759" w14:textId="77777777" w:rsidR="00F05D51" w:rsidRPr="00F05D51" w:rsidRDefault="00F05D51" w:rsidP="00F05D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D589A" w14:textId="77777777" w:rsidR="00F05D51" w:rsidRPr="00F05D51" w:rsidRDefault="00F05D51" w:rsidP="00F05D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07CE2" w14:textId="77777777" w:rsidR="00BD6E9D" w:rsidRDefault="00BD6E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1421" w14:textId="77777777" w:rsidR="00FE05C7" w:rsidRDefault="00FE05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811F0" w14:textId="77777777" w:rsidR="007678CB" w:rsidRDefault="00767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0245"/>
    <w:multiLevelType w:val="hybridMultilevel"/>
    <w:tmpl w:val="E2F42A08"/>
    <w:lvl w:ilvl="0" w:tplc="1809001B">
      <w:start w:val="1"/>
      <w:numFmt w:val="lowerRoman"/>
      <w:lvlText w:val="%1."/>
      <w:lvlJc w:val="right"/>
      <w:pPr>
        <w:ind w:left="2145" w:hanging="360"/>
      </w:pPr>
      <w:rPr>
        <w:rFonts w:hint="default"/>
      </w:rPr>
    </w:lvl>
    <w:lvl w:ilvl="1" w:tplc="FFFFFFFF">
      <w:start w:val="1"/>
      <w:numFmt w:val="bullet"/>
      <w:lvlText w:val="o"/>
      <w:lvlJc w:val="left"/>
      <w:pPr>
        <w:ind w:left="2865" w:hanging="360"/>
      </w:pPr>
      <w:rPr>
        <w:rFonts w:ascii="Courier New" w:hAnsi="Courier New" w:hint="default"/>
      </w:rPr>
    </w:lvl>
    <w:lvl w:ilvl="2" w:tplc="FFFFFFFF" w:tentative="1">
      <w:start w:val="1"/>
      <w:numFmt w:val="bullet"/>
      <w:lvlText w:val=""/>
      <w:lvlJc w:val="left"/>
      <w:pPr>
        <w:ind w:left="3585" w:hanging="360"/>
      </w:pPr>
      <w:rPr>
        <w:rFonts w:ascii="Wingdings" w:hAnsi="Wingdings" w:hint="default"/>
      </w:rPr>
    </w:lvl>
    <w:lvl w:ilvl="3" w:tplc="FFFFFFFF" w:tentative="1">
      <w:start w:val="1"/>
      <w:numFmt w:val="bullet"/>
      <w:lvlText w:val=""/>
      <w:lvlJc w:val="left"/>
      <w:pPr>
        <w:ind w:left="4305" w:hanging="360"/>
      </w:pPr>
      <w:rPr>
        <w:rFonts w:ascii="Symbol" w:hAnsi="Symbol" w:hint="default"/>
      </w:rPr>
    </w:lvl>
    <w:lvl w:ilvl="4" w:tplc="FFFFFFFF" w:tentative="1">
      <w:start w:val="1"/>
      <w:numFmt w:val="bullet"/>
      <w:lvlText w:val="o"/>
      <w:lvlJc w:val="left"/>
      <w:pPr>
        <w:ind w:left="5025" w:hanging="360"/>
      </w:pPr>
      <w:rPr>
        <w:rFonts w:ascii="Courier New" w:hAnsi="Courier New" w:hint="default"/>
      </w:rPr>
    </w:lvl>
    <w:lvl w:ilvl="5" w:tplc="FFFFFFFF" w:tentative="1">
      <w:start w:val="1"/>
      <w:numFmt w:val="bullet"/>
      <w:lvlText w:val=""/>
      <w:lvlJc w:val="left"/>
      <w:pPr>
        <w:ind w:left="5745" w:hanging="360"/>
      </w:pPr>
      <w:rPr>
        <w:rFonts w:ascii="Wingdings" w:hAnsi="Wingdings" w:hint="default"/>
      </w:rPr>
    </w:lvl>
    <w:lvl w:ilvl="6" w:tplc="FFFFFFFF" w:tentative="1">
      <w:start w:val="1"/>
      <w:numFmt w:val="bullet"/>
      <w:lvlText w:val=""/>
      <w:lvlJc w:val="left"/>
      <w:pPr>
        <w:ind w:left="6465" w:hanging="360"/>
      </w:pPr>
      <w:rPr>
        <w:rFonts w:ascii="Symbol" w:hAnsi="Symbol" w:hint="default"/>
      </w:rPr>
    </w:lvl>
    <w:lvl w:ilvl="7" w:tplc="FFFFFFFF" w:tentative="1">
      <w:start w:val="1"/>
      <w:numFmt w:val="bullet"/>
      <w:lvlText w:val="o"/>
      <w:lvlJc w:val="left"/>
      <w:pPr>
        <w:ind w:left="7185" w:hanging="360"/>
      </w:pPr>
      <w:rPr>
        <w:rFonts w:ascii="Courier New" w:hAnsi="Courier New" w:hint="default"/>
      </w:rPr>
    </w:lvl>
    <w:lvl w:ilvl="8" w:tplc="FFFFFFFF" w:tentative="1">
      <w:start w:val="1"/>
      <w:numFmt w:val="bullet"/>
      <w:lvlText w:val=""/>
      <w:lvlJc w:val="left"/>
      <w:pPr>
        <w:ind w:left="7905" w:hanging="360"/>
      </w:pPr>
      <w:rPr>
        <w:rFonts w:ascii="Wingdings" w:hAnsi="Wingdings" w:hint="default"/>
      </w:rPr>
    </w:lvl>
  </w:abstractNum>
  <w:abstractNum w:abstractNumId="1" w15:restartNumberingAfterBreak="0">
    <w:nsid w:val="01B65BE2"/>
    <w:multiLevelType w:val="multilevel"/>
    <w:tmpl w:val="4B7E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F65910"/>
    <w:multiLevelType w:val="hybridMultilevel"/>
    <w:tmpl w:val="95FA0D5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40E4C55"/>
    <w:multiLevelType w:val="hybridMultilevel"/>
    <w:tmpl w:val="278EB9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44173C0"/>
    <w:multiLevelType w:val="hybridMultilevel"/>
    <w:tmpl w:val="A5CC0522"/>
    <w:lvl w:ilvl="0" w:tplc="58E80D12">
      <w:start w:val="1"/>
      <w:numFmt w:val="decimal"/>
      <w:lvlText w:val="%1)"/>
      <w:lvlJc w:val="left"/>
      <w:pPr>
        <w:ind w:left="720" w:hanging="360"/>
      </w:pPr>
    </w:lvl>
    <w:lvl w:ilvl="1" w:tplc="E80EED00">
      <w:start w:val="1"/>
      <w:numFmt w:val="decimal"/>
      <w:lvlText w:val="%2)"/>
      <w:lvlJc w:val="left"/>
      <w:pPr>
        <w:ind w:left="720" w:hanging="360"/>
      </w:pPr>
    </w:lvl>
    <w:lvl w:ilvl="2" w:tplc="C4FA5444">
      <w:start w:val="1"/>
      <w:numFmt w:val="decimal"/>
      <w:lvlText w:val="%3)"/>
      <w:lvlJc w:val="left"/>
      <w:pPr>
        <w:ind w:left="720" w:hanging="360"/>
      </w:pPr>
    </w:lvl>
    <w:lvl w:ilvl="3" w:tplc="46F20A2C">
      <w:start w:val="1"/>
      <w:numFmt w:val="decimal"/>
      <w:lvlText w:val="%4)"/>
      <w:lvlJc w:val="left"/>
      <w:pPr>
        <w:ind w:left="720" w:hanging="360"/>
      </w:pPr>
    </w:lvl>
    <w:lvl w:ilvl="4" w:tplc="9CA26708">
      <w:start w:val="1"/>
      <w:numFmt w:val="decimal"/>
      <w:lvlText w:val="%5)"/>
      <w:lvlJc w:val="left"/>
      <w:pPr>
        <w:ind w:left="720" w:hanging="360"/>
      </w:pPr>
    </w:lvl>
    <w:lvl w:ilvl="5" w:tplc="F7C2541C">
      <w:start w:val="1"/>
      <w:numFmt w:val="decimal"/>
      <w:lvlText w:val="%6)"/>
      <w:lvlJc w:val="left"/>
      <w:pPr>
        <w:ind w:left="720" w:hanging="360"/>
      </w:pPr>
    </w:lvl>
    <w:lvl w:ilvl="6" w:tplc="4DD422D4">
      <w:start w:val="1"/>
      <w:numFmt w:val="decimal"/>
      <w:lvlText w:val="%7)"/>
      <w:lvlJc w:val="left"/>
      <w:pPr>
        <w:ind w:left="720" w:hanging="360"/>
      </w:pPr>
    </w:lvl>
    <w:lvl w:ilvl="7" w:tplc="6CC8C912">
      <w:start w:val="1"/>
      <w:numFmt w:val="decimal"/>
      <w:lvlText w:val="%8)"/>
      <w:lvlJc w:val="left"/>
      <w:pPr>
        <w:ind w:left="720" w:hanging="360"/>
      </w:pPr>
    </w:lvl>
    <w:lvl w:ilvl="8" w:tplc="5CFC8D5C">
      <w:start w:val="1"/>
      <w:numFmt w:val="decimal"/>
      <w:lvlText w:val="%9)"/>
      <w:lvlJc w:val="left"/>
      <w:pPr>
        <w:ind w:left="720" w:hanging="360"/>
      </w:pPr>
    </w:lvl>
  </w:abstractNum>
  <w:abstractNum w:abstractNumId="5" w15:restartNumberingAfterBreak="0">
    <w:nsid w:val="099006F3"/>
    <w:multiLevelType w:val="multilevel"/>
    <w:tmpl w:val="85E8AD2A"/>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A2900F7"/>
    <w:multiLevelType w:val="multilevel"/>
    <w:tmpl w:val="4E78CD0E"/>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47621A"/>
    <w:multiLevelType w:val="hybridMultilevel"/>
    <w:tmpl w:val="B172E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51619E"/>
    <w:multiLevelType w:val="hybridMultilevel"/>
    <w:tmpl w:val="E7148A5A"/>
    <w:lvl w:ilvl="0" w:tplc="A34C3670">
      <w:start w:val="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EFB7115"/>
    <w:multiLevelType w:val="multilevel"/>
    <w:tmpl w:val="1104268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C870C4"/>
    <w:multiLevelType w:val="hybridMultilevel"/>
    <w:tmpl w:val="64D49B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4C41C5"/>
    <w:multiLevelType w:val="multilevel"/>
    <w:tmpl w:val="C80A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0B7201"/>
    <w:multiLevelType w:val="multilevel"/>
    <w:tmpl w:val="F9BEACE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20B8345"/>
    <w:multiLevelType w:val="multilevel"/>
    <w:tmpl w:val="D2EA053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62685D"/>
    <w:multiLevelType w:val="multilevel"/>
    <w:tmpl w:val="58D8B30C"/>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27E2411"/>
    <w:multiLevelType w:val="hybridMultilevel"/>
    <w:tmpl w:val="A4445D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31A070B"/>
    <w:multiLevelType w:val="multilevel"/>
    <w:tmpl w:val="CB4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43D0A16"/>
    <w:multiLevelType w:val="multilevel"/>
    <w:tmpl w:val="97423CFE"/>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58E15A7"/>
    <w:multiLevelType w:val="hybridMultilevel"/>
    <w:tmpl w:val="8C9492C2"/>
    <w:lvl w:ilvl="0" w:tplc="5798D77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6532E2D"/>
    <w:multiLevelType w:val="hybridMultilevel"/>
    <w:tmpl w:val="62B0630C"/>
    <w:lvl w:ilvl="0" w:tplc="7E7CC89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172F0AC5"/>
    <w:multiLevelType w:val="multilevel"/>
    <w:tmpl w:val="C28C263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84D001A"/>
    <w:multiLevelType w:val="multilevel"/>
    <w:tmpl w:val="3D9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703E46"/>
    <w:multiLevelType w:val="multilevel"/>
    <w:tmpl w:val="AA4C9F1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189E29D1"/>
    <w:multiLevelType w:val="hybridMultilevel"/>
    <w:tmpl w:val="9C6ED7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1B95E4EC"/>
    <w:multiLevelType w:val="hybridMultilevel"/>
    <w:tmpl w:val="85E0586E"/>
    <w:lvl w:ilvl="0" w:tplc="D264D918">
      <w:start w:val="1"/>
      <w:numFmt w:val="bullet"/>
      <w:lvlText w:val=""/>
      <w:lvlJc w:val="left"/>
      <w:pPr>
        <w:ind w:left="720" w:hanging="360"/>
      </w:pPr>
      <w:rPr>
        <w:rFonts w:ascii="Symbol" w:hAnsi="Symbol" w:hint="default"/>
      </w:rPr>
    </w:lvl>
    <w:lvl w:ilvl="1" w:tplc="F58ECAEA">
      <w:start w:val="1"/>
      <w:numFmt w:val="bullet"/>
      <w:lvlText w:val="o"/>
      <w:lvlJc w:val="left"/>
      <w:pPr>
        <w:ind w:left="1440" w:hanging="360"/>
      </w:pPr>
      <w:rPr>
        <w:rFonts w:ascii="Courier New" w:hAnsi="Courier New" w:hint="default"/>
      </w:rPr>
    </w:lvl>
    <w:lvl w:ilvl="2" w:tplc="1548D29E">
      <w:start w:val="1"/>
      <w:numFmt w:val="bullet"/>
      <w:lvlText w:val=""/>
      <w:lvlJc w:val="left"/>
      <w:pPr>
        <w:ind w:left="2160" w:hanging="360"/>
      </w:pPr>
      <w:rPr>
        <w:rFonts w:ascii="Wingdings" w:hAnsi="Wingdings" w:hint="default"/>
      </w:rPr>
    </w:lvl>
    <w:lvl w:ilvl="3" w:tplc="7056346E">
      <w:start w:val="1"/>
      <w:numFmt w:val="bullet"/>
      <w:lvlText w:val=""/>
      <w:lvlJc w:val="left"/>
      <w:pPr>
        <w:ind w:left="2880" w:hanging="360"/>
      </w:pPr>
      <w:rPr>
        <w:rFonts w:ascii="Symbol" w:hAnsi="Symbol" w:hint="default"/>
      </w:rPr>
    </w:lvl>
    <w:lvl w:ilvl="4" w:tplc="C1520062">
      <w:start w:val="1"/>
      <w:numFmt w:val="bullet"/>
      <w:lvlText w:val="o"/>
      <w:lvlJc w:val="left"/>
      <w:pPr>
        <w:ind w:left="3600" w:hanging="360"/>
      </w:pPr>
      <w:rPr>
        <w:rFonts w:ascii="Courier New" w:hAnsi="Courier New" w:hint="default"/>
      </w:rPr>
    </w:lvl>
    <w:lvl w:ilvl="5" w:tplc="0F06C96C">
      <w:start w:val="1"/>
      <w:numFmt w:val="bullet"/>
      <w:lvlText w:val=""/>
      <w:lvlJc w:val="left"/>
      <w:pPr>
        <w:ind w:left="4320" w:hanging="360"/>
      </w:pPr>
      <w:rPr>
        <w:rFonts w:ascii="Wingdings" w:hAnsi="Wingdings" w:hint="default"/>
      </w:rPr>
    </w:lvl>
    <w:lvl w:ilvl="6" w:tplc="CB6EBDFA">
      <w:start w:val="1"/>
      <w:numFmt w:val="bullet"/>
      <w:lvlText w:val=""/>
      <w:lvlJc w:val="left"/>
      <w:pPr>
        <w:ind w:left="5040" w:hanging="360"/>
      </w:pPr>
      <w:rPr>
        <w:rFonts w:ascii="Symbol" w:hAnsi="Symbol" w:hint="default"/>
      </w:rPr>
    </w:lvl>
    <w:lvl w:ilvl="7" w:tplc="BDBC7CD4">
      <w:start w:val="1"/>
      <w:numFmt w:val="bullet"/>
      <w:lvlText w:val="o"/>
      <w:lvlJc w:val="left"/>
      <w:pPr>
        <w:ind w:left="5760" w:hanging="360"/>
      </w:pPr>
      <w:rPr>
        <w:rFonts w:ascii="Courier New" w:hAnsi="Courier New" w:hint="default"/>
      </w:rPr>
    </w:lvl>
    <w:lvl w:ilvl="8" w:tplc="435EE8C8">
      <w:start w:val="1"/>
      <w:numFmt w:val="bullet"/>
      <w:lvlText w:val=""/>
      <w:lvlJc w:val="left"/>
      <w:pPr>
        <w:ind w:left="6480" w:hanging="360"/>
      </w:pPr>
      <w:rPr>
        <w:rFonts w:ascii="Wingdings" w:hAnsi="Wingdings" w:hint="default"/>
      </w:rPr>
    </w:lvl>
  </w:abstractNum>
  <w:abstractNum w:abstractNumId="25" w15:restartNumberingAfterBreak="0">
    <w:nsid w:val="1C7B624F"/>
    <w:multiLevelType w:val="multilevel"/>
    <w:tmpl w:val="1578F15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D822AA5"/>
    <w:multiLevelType w:val="hybridMultilevel"/>
    <w:tmpl w:val="548E2382"/>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1F384BFE"/>
    <w:multiLevelType w:val="hybridMultilevel"/>
    <w:tmpl w:val="223A6D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210911BB"/>
    <w:multiLevelType w:val="hybridMultilevel"/>
    <w:tmpl w:val="E8C69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218195F"/>
    <w:multiLevelType w:val="multilevel"/>
    <w:tmpl w:val="102E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7A407B7"/>
    <w:multiLevelType w:val="multilevel"/>
    <w:tmpl w:val="7510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6B5210"/>
    <w:multiLevelType w:val="hybridMultilevel"/>
    <w:tmpl w:val="06C402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2C2839C8"/>
    <w:multiLevelType w:val="hybridMultilevel"/>
    <w:tmpl w:val="D512BF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C8DFDF8"/>
    <w:multiLevelType w:val="multilevel"/>
    <w:tmpl w:val="98C42ECA"/>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D293CE3"/>
    <w:multiLevelType w:val="multilevel"/>
    <w:tmpl w:val="434C0910"/>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D293CF4"/>
    <w:multiLevelType w:val="multilevel"/>
    <w:tmpl w:val="DBC46DE4"/>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ED267EC"/>
    <w:multiLevelType w:val="multilevel"/>
    <w:tmpl w:val="9A0C3EB6"/>
    <w:lvl w:ilvl="0">
      <w:start w:val="1"/>
      <w:numFmt w:val="bullet"/>
      <w:lvlText w:val="o"/>
      <w:lvlJc w:val="left"/>
      <w:pPr>
        <w:tabs>
          <w:tab w:val="num" w:pos="360"/>
        </w:tabs>
        <w:ind w:left="360" w:hanging="360"/>
      </w:pPr>
      <w:rPr>
        <w:rFonts w:ascii="Courier New" w:hAnsi="Courier New" w:hint="default"/>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2FE21B55"/>
    <w:multiLevelType w:val="multilevel"/>
    <w:tmpl w:val="917C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561AD1"/>
    <w:multiLevelType w:val="multilevel"/>
    <w:tmpl w:val="DB8A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24D6445"/>
    <w:multiLevelType w:val="hybridMultilevel"/>
    <w:tmpl w:val="E0B86D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33C95F45"/>
    <w:multiLevelType w:val="multilevel"/>
    <w:tmpl w:val="599AD3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352F7CC8"/>
    <w:multiLevelType w:val="multilevel"/>
    <w:tmpl w:val="CC48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5CA5341"/>
    <w:multiLevelType w:val="hybridMultilevel"/>
    <w:tmpl w:val="9B1C3084"/>
    <w:lvl w:ilvl="0" w:tplc="19F6799A">
      <w:start w:val="1"/>
      <w:numFmt w:val="decimal"/>
      <w:lvlText w:val="(%1)"/>
      <w:lvlJc w:val="left"/>
      <w:pPr>
        <w:ind w:left="728" w:hanging="368"/>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6324F1E"/>
    <w:multiLevelType w:val="multilevel"/>
    <w:tmpl w:val="17C8B944"/>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6510E3D"/>
    <w:multiLevelType w:val="hybridMultilevel"/>
    <w:tmpl w:val="150CB27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7AA264D"/>
    <w:multiLevelType w:val="hybridMultilevel"/>
    <w:tmpl w:val="425070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37CB1E1C"/>
    <w:multiLevelType w:val="multilevel"/>
    <w:tmpl w:val="DBCA7976"/>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A7730C4"/>
    <w:multiLevelType w:val="multilevel"/>
    <w:tmpl w:val="8D0CADF0"/>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B7D708A"/>
    <w:multiLevelType w:val="multilevel"/>
    <w:tmpl w:val="5286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C0D750F"/>
    <w:multiLevelType w:val="hybridMultilevel"/>
    <w:tmpl w:val="FF04D046"/>
    <w:lvl w:ilvl="0" w:tplc="7E7CC89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3D3C6ACC"/>
    <w:multiLevelType w:val="hybridMultilevel"/>
    <w:tmpl w:val="783AAFCA"/>
    <w:lvl w:ilvl="0" w:tplc="5066E082">
      <w:start w:val="5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3DE00DCE"/>
    <w:multiLevelType w:val="hybridMultilevel"/>
    <w:tmpl w:val="9DA2E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3E6D1C3C"/>
    <w:multiLevelType w:val="hybridMultilevel"/>
    <w:tmpl w:val="FFFFFFFF"/>
    <w:lvl w:ilvl="0" w:tplc="3EDE4892">
      <w:start w:val="1"/>
      <w:numFmt w:val="bullet"/>
      <w:lvlText w:val=""/>
      <w:lvlJc w:val="left"/>
      <w:pPr>
        <w:ind w:left="720" w:hanging="360"/>
      </w:pPr>
      <w:rPr>
        <w:rFonts w:ascii="Symbol" w:hAnsi="Symbol" w:hint="default"/>
      </w:rPr>
    </w:lvl>
    <w:lvl w:ilvl="1" w:tplc="681C7C50">
      <w:start w:val="1"/>
      <w:numFmt w:val="bullet"/>
      <w:lvlText w:val="o"/>
      <w:lvlJc w:val="left"/>
      <w:pPr>
        <w:ind w:left="1440" w:hanging="360"/>
      </w:pPr>
      <w:rPr>
        <w:rFonts w:ascii="Courier New" w:hAnsi="Courier New" w:hint="default"/>
      </w:rPr>
    </w:lvl>
    <w:lvl w:ilvl="2" w:tplc="A1920070">
      <w:start w:val="1"/>
      <w:numFmt w:val="bullet"/>
      <w:lvlText w:val=""/>
      <w:lvlJc w:val="left"/>
      <w:pPr>
        <w:ind w:left="2160" w:hanging="360"/>
      </w:pPr>
      <w:rPr>
        <w:rFonts w:ascii="Wingdings" w:hAnsi="Wingdings" w:hint="default"/>
      </w:rPr>
    </w:lvl>
    <w:lvl w:ilvl="3" w:tplc="3B5ED83E">
      <w:start w:val="1"/>
      <w:numFmt w:val="bullet"/>
      <w:lvlText w:val=""/>
      <w:lvlJc w:val="left"/>
      <w:pPr>
        <w:ind w:left="2880" w:hanging="360"/>
      </w:pPr>
      <w:rPr>
        <w:rFonts w:ascii="Symbol" w:hAnsi="Symbol" w:hint="default"/>
      </w:rPr>
    </w:lvl>
    <w:lvl w:ilvl="4" w:tplc="72D281FE">
      <w:start w:val="1"/>
      <w:numFmt w:val="bullet"/>
      <w:lvlText w:val="o"/>
      <w:lvlJc w:val="left"/>
      <w:pPr>
        <w:ind w:left="3600" w:hanging="360"/>
      </w:pPr>
      <w:rPr>
        <w:rFonts w:ascii="Courier New" w:hAnsi="Courier New" w:hint="default"/>
      </w:rPr>
    </w:lvl>
    <w:lvl w:ilvl="5" w:tplc="58AE5ED8">
      <w:start w:val="1"/>
      <w:numFmt w:val="bullet"/>
      <w:lvlText w:val=""/>
      <w:lvlJc w:val="left"/>
      <w:pPr>
        <w:ind w:left="4320" w:hanging="360"/>
      </w:pPr>
      <w:rPr>
        <w:rFonts w:ascii="Wingdings" w:hAnsi="Wingdings" w:hint="default"/>
      </w:rPr>
    </w:lvl>
    <w:lvl w:ilvl="6" w:tplc="22B4D6D0">
      <w:start w:val="1"/>
      <w:numFmt w:val="bullet"/>
      <w:lvlText w:val=""/>
      <w:lvlJc w:val="left"/>
      <w:pPr>
        <w:ind w:left="5040" w:hanging="360"/>
      </w:pPr>
      <w:rPr>
        <w:rFonts w:ascii="Symbol" w:hAnsi="Symbol" w:hint="default"/>
      </w:rPr>
    </w:lvl>
    <w:lvl w:ilvl="7" w:tplc="A29A834C">
      <w:start w:val="1"/>
      <w:numFmt w:val="bullet"/>
      <w:lvlText w:val="o"/>
      <w:lvlJc w:val="left"/>
      <w:pPr>
        <w:ind w:left="5760" w:hanging="360"/>
      </w:pPr>
      <w:rPr>
        <w:rFonts w:ascii="Courier New" w:hAnsi="Courier New" w:hint="default"/>
      </w:rPr>
    </w:lvl>
    <w:lvl w:ilvl="8" w:tplc="89FAACFA">
      <w:start w:val="1"/>
      <w:numFmt w:val="bullet"/>
      <w:lvlText w:val=""/>
      <w:lvlJc w:val="left"/>
      <w:pPr>
        <w:ind w:left="6480" w:hanging="360"/>
      </w:pPr>
      <w:rPr>
        <w:rFonts w:ascii="Wingdings" w:hAnsi="Wingdings" w:hint="default"/>
      </w:rPr>
    </w:lvl>
  </w:abstractNum>
  <w:abstractNum w:abstractNumId="53" w15:restartNumberingAfterBreak="0">
    <w:nsid w:val="3E8D76B9"/>
    <w:multiLevelType w:val="hybridMultilevel"/>
    <w:tmpl w:val="B90EC8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3EC7C959"/>
    <w:multiLevelType w:val="hybridMultilevel"/>
    <w:tmpl w:val="FFFFFFFF"/>
    <w:lvl w:ilvl="0" w:tplc="7E7CC892">
      <w:start w:val="1"/>
      <w:numFmt w:val="bullet"/>
      <w:lvlText w:val=""/>
      <w:lvlJc w:val="left"/>
      <w:pPr>
        <w:ind w:left="360" w:hanging="360"/>
      </w:pPr>
      <w:rPr>
        <w:rFonts w:ascii="Symbol" w:hAnsi="Symbol" w:hint="default"/>
      </w:rPr>
    </w:lvl>
    <w:lvl w:ilvl="1" w:tplc="17649A3A">
      <w:start w:val="1"/>
      <w:numFmt w:val="bullet"/>
      <w:lvlText w:val="o"/>
      <w:lvlJc w:val="left"/>
      <w:pPr>
        <w:ind w:left="1080" w:hanging="360"/>
      </w:pPr>
      <w:rPr>
        <w:rFonts w:ascii="Courier New" w:hAnsi="Courier New" w:hint="default"/>
      </w:rPr>
    </w:lvl>
    <w:lvl w:ilvl="2" w:tplc="1AE88F30">
      <w:start w:val="1"/>
      <w:numFmt w:val="bullet"/>
      <w:lvlText w:val=""/>
      <w:lvlJc w:val="left"/>
      <w:pPr>
        <w:ind w:left="1800" w:hanging="360"/>
      </w:pPr>
      <w:rPr>
        <w:rFonts w:ascii="Wingdings" w:hAnsi="Wingdings" w:hint="default"/>
      </w:rPr>
    </w:lvl>
    <w:lvl w:ilvl="3" w:tplc="C842155A">
      <w:start w:val="1"/>
      <w:numFmt w:val="bullet"/>
      <w:lvlText w:val=""/>
      <w:lvlJc w:val="left"/>
      <w:pPr>
        <w:ind w:left="2520" w:hanging="360"/>
      </w:pPr>
      <w:rPr>
        <w:rFonts w:ascii="Symbol" w:hAnsi="Symbol" w:hint="default"/>
      </w:rPr>
    </w:lvl>
    <w:lvl w:ilvl="4" w:tplc="8C4825C2">
      <w:start w:val="1"/>
      <w:numFmt w:val="bullet"/>
      <w:lvlText w:val="o"/>
      <w:lvlJc w:val="left"/>
      <w:pPr>
        <w:ind w:left="3240" w:hanging="360"/>
      </w:pPr>
      <w:rPr>
        <w:rFonts w:ascii="Courier New" w:hAnsi="Courier New" w:hint="default"/>
      </w:rPr>
    </w:lvl>
    <w:lvl w:ilvl="5" w:tplc="EA8A3A6E">
      <w:start w:val="1"/>
      <w:numFmt w:val="bullet"/>
      <w:lvlText w:val=""/>
      <w:lvlJc w:val="left"/>
      <w:pPr>
        <w:ind w:left="3960" w:hanging="360"/>
      </w:pPr>
      <w:rPr>
        <w:rFonts w:ascii="Wingdings" w:hAnsi="Wingdings" w:hint="default"/>
      </w:rPr>
    </w:lvl>
    <w:lvl w:ilvl="6" w:tplc="D9A07E2A">
      <w:start w:val="1"/>
      <w:numFmt w:val="bullet"/>
      <w:lvlText w:val=""/>
      <w:lvlJc w:val="left"/>
      <w:pPr>
        <w:ind w:left="4680" w:hanging="360"/>
      </w:pPr>
      <w:rPr>
        <w:rFonts w:ascii="Symbol" w:hAnsi="Symbol" w:hint="default"/>
      </w:rPr>
    </w:lvl>
    <w:lvl w:ilvl="7" w:tplc="9F365248">
      <w:start w:val="1"/>
      <w:numFmt w:val="bullet"/>
      <w:lvlText w:val="o"/>
      <w:lvlJc w:val="left"/>
      <w:pPr>
        <w:ind w:left="5400" w:hanging="360"/>
      </w:pPr>
      <w:rPr>
        <w:rFonts w:ascii="Courier New" w:hAnsi="Courier New" w:hint="default"/>
      </w:rPr>
    </w:lvl>
    <w:lvl w:ilvl="8" w:tplc="0936CDB4">
      <w:start w:val="1"/>
      <w:numFmt w:val="bullet"/>
      <w:lvlText w:val=""/>
      <w:lvlJc w:val="left"/>
      <w:pPr>
        <w:ind w:left="6120" w:hanging="360"/>
      </w:pPr>
      <w:rPr>
        <w:rFonts w:ascii="Wingdings" w:hAnsi="Wingdings" w:hint="default"/>
      </w:rPr>
    </w:lvl>
  </w:abstractNum>
  <w:abstractNum w:abstractNumId="55" w15:restartNumberingAfterBreak="0">
    <w:nsid w:val="3FE1635D"/>
    <w:multiLevelType w:val="hybridMultilevel"/>
    <w:tmpl w:val="500E78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403876B7"/>
    <w:multiLevelType w:val="hybridMultilevel"/>
    <w:tmpl w:val="4490AB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429E662A"/>
    <w:multiLevelType w:val="multilevel"/>
    <w:tmpl w:val="5FA4B33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85DC088"/>
    <w:multiLevelType w:val="hybridMultilevel"/>
    <w:tmpl w:val="FFFFFFFF"/>
    <w:lvl w:ilvl="0" w:tplc="4E103534">
      <w:start w:val="1"/>
      <w:numFmt w:val="bullet"/>
      <w:lvlText w:val=""/>
      <w:lvlJc w:val="left"/>
      <w:pPr>
        <w:ind w:left="720" w:hanging="360"/>
      </w:pPr>
      <w:rPr>
        <w:rFonts w:ascii="Symbol" w:hAnsi="Symbol" w:hint="default"/>
      </w:rPr>
    </w:lvl>
    <w:lvl w:ilvl="1" w:tplc="6296B49A">
      <w:start w:val="1"/>
      <w:numFmt w:val="bullet"/>
      <w:lvlText w:val="o"/>
      <w:lvlJc w:val="left"/>
      <w:pPr>
        <w:ind w:left="1440" w:hanging="360"/>
      </w:pPr>
      <w:rPr>
        <w:rFonts w:ascii="Courier New" w:hAnsi="Courier New" w:hint="default"/>
      </w:rPr>
    </w:lvl>
    <w:lvl w:ilvl="2" w:tplc="212CDDB0">
      <w:start w:val="1"/>
      <w:numFmt w:val="bullet"/>
      <w:lvlText w:val=""/>
      <w:lvlJc w:val="left"/>
      <w:pPr>
        <w:ind w:left="2160" w:hanging="360"/>
      </w:pPr>
      <w:rPr>
        <w:rFonts w:ascii="Wingdings" w:hAnsi="Wingdings" w:hint="default"/>
      </w:rPr>
    </w:lvl>
    <w:lvl w:ilvl="3" w:tplc="694E5110">
      <w:start w:val="1"/>
      <w:numFmt w:val="bullet"/>
      <w:lvlText w:val=""/>
      <w:lvlJc w:val="left"/>
      <w:pPr>
        <w:ind w:left="2880" w:hanging="360"/>
      </w:pPr>
      <w:rPr>
        <w:rFonts w:ascii="Symbol" w:hAnsi="Symbol" w:hint="default"/>
      </w:rPr>
    </w:lvl>
    <w:lvl w:ilvl="4" w:tplc="562A2374">
      <w:start w:val="1"/>
      <w:numFmt w:val="bullet"/>
      <w:lvlText w:val="o"/>
      <w:lvlJc w:val="left"/>
      <w:pPr>
        <w:ind w:left="3600" w:hanging="360"/>
      </w:pPr>
      <w:rPr>
        <w:rFonts w:ascii="Courier New" w:hAnsi="Courier New" w:hint="default"/>
      </w:rPr>
    </w:lvl>
    <w:lvl w:ilvl="5" w:tplc="9006B56E">
      <w:start w:val="1"/>
      <w:numFmt w:val="bullet"/>
      <w:lvlText w:val=""/>
      <w:lvlJc w:val="left"/>
      <w:pPr>
        <w:ind w:left="4320" w:hanging="360"/>
      </w:pPr>
      <w:rPr>
        <w:rFonts w:ascii="Wingdings" w:hAnsi="Wingdings" w:hint="default"/>
      </w:rPr>
    </w:lvl>
    <w:lvl w:ilvl="6" w:tplc="B7445B5A">
      <w:start w:val="1"/>
      <w:numFmt w:val="bullet"/>
      <w:lvlText w:val=""/>
      <w:lvlJc w:val="left"/>
      <w:pPr>
        <w:ind w:left="5040" w:hanging="360"/>
      </w:pPr>
      <w:rPr>
        <w:rFonts w:ascii="Symbol" w:hAnsi="Symbol" w:hint="default"/>
      </w:rPr>
    </w:lvl>
    <w:lvl w:ilvl="7" w:tplc="ED184FAA">
      <w:start w:val="1"/>
      <w:numFmt w:val="bullet"/>
      <w:lvlText w:val="o"/>
      <w:lvlJc w:val="left"/>
      <w:pPr>
        <w:ind w:left="5760" w:hanging="360"/>
      </w:pPr>
      <w:rPr>
        <w:rFonts w:ascii="Courier New" w:hAnsi="Courier New" w:hint="default"/>
      </w:rPr>
    </w:lvl>
    <w:lvl w:ilvl="8" w:tplc="BDD2AEA0">
      <w:start w:val="1"/>
      <w:numFmt w:val="bullet"/>
      <w:lvlText w:val=""/>
      <w:lvlJc w:val="left"/>
      <w:pPr>
        <w:ind w:left="6480" w:hanging="360"/>
      </w:pPr>
      <w:rPr>
        <w:rFonts w:ascii="Wingdings" w:hAnsi="Wingdings" w:hint="default"/>
      </w:rPr>
    </w:lvl>
  </w:abstractNum>
  <w:abstractNum w:abstractNumId="59" w15:restartNumberingAfterBreak="0">
    <w:nsid w:val="499D62B0"/>
    <w:multiLevelType w:val="hybridMultilevel"/>
    <w:tmpl w:val="89169C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0" w15:restartNumberingAfterBreak="0">
    <w:nsid w:val="4D532554"/>
    <w:multiLevelType w:val="hybridMultilevel"/>
    <w:tmpl w:val="6CA0CCBC"/>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36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4E1A63DF"/>
    <w:multiLevelType w:val="multilevel"/>
    <w:tmpl w:val="43849B72"/>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E1A982C"/>
    <w:multiLevelType w:val="multilevel"/>
    <w:tmpl w:val="C2269C8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F30262A"/>
    <w:multiLevelType w:val="hybridMultilevel"/>
    <w:tmpl w:val="A9C67D72"/>
    <w:lvl w:ilvl="0" w:tplc="99EECBB0">
      <w:start w:val="1"/>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072619B"/>
    <w:multiLevelType w:val="multilevel"/>
    <w:tmpl w:val="0178A23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0729B52"/>
    <w:multiLevelType w:val="multilevel"/>
    <w:tmpl w:val="2C7AB7AE"/>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1A44BB4"/>
    <w:multiLevelType w:val="hybridMultilevel"/>
    <w:tmpl w:val="1548CB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7" w15:restartNumberingAfterBreak="0">
    <w:nsid w:val="54A177EC"/>
    <w:multiLevelType w:val="hybridMultilevel"/>
    <w:tmpl w:val="AF8AE892"/>
    <w:lvl w:ilvl="0" w:tplc="A34C3670">
      <w:start w:val="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54EF1C85"/>
    <w:multiLevelType w:val="hybridMultilevel"/>
    <w:tmpl w:val="4C360DB2"/>
    <w:lvl w:ilvl="0" w:tplc="1809001B">
      <w:start w:val="1"/>
      <w:numFmt w:val="lowerRoman"/>
      <w:lvlText w:val="%1."/>
      <w:lvlJc w:val="right"/>
      <w:pPr>
        <w:ind w:left="2145" w:hanging="360"/>
      </w:pPr>
      <w:rPr>
        <w:rFonts w:hint="default"/>
      </w:rPr>
    </w:lvl>
    <w:lvl w:ilvl="1" w:tplc="FFFFFFFF">
      <w:start w:val="1"/>
      <w:numFmt w:val="bullet"/>
      <w:lvlText w:val="o"/>
      <w:lvlJc w:val="left"/>
      <w:pPr>
        <w:ind w:left="2865" w:hanging="360"/>
      </w:pPr>
      <w:rPr>
        <w:rFonts w:ascii="Courier New" w:hAnsi="Courier New" w:hint="default"/>
      </w:rPr>
    </w:lvl>
    <w:lvl w:ilvl="2" w:tplc="FFFFFFFF" w:tentative="1">
      <w:start w:val="1"/>
      <w:numFmt w:val="bullet"/>
      <w:lvlText w:val=""/>
      <w:lvlJc w:val="left"/>
      <w:pPr>
        <w:ind w:left="3585" w:hanging="360"/>
      </w:pPr>
      <w:rPr>
        <w:rFonts w:ascii="Wingdings" w:hAnsi="Wingdings" w:hint="default"/>
      </w:rPr>
    </w:lvl>
    <w:lvl w:ilvl="3" w:tplc="FFFFFFFF" w:tentative="1">
      <w:start w:val="1"/>
      <w:numFmt w:val="bullet"/>
      <w:lvlText w:val=""/>
      <w:lvlJc w:val="left"/>
      <w:pPr>
        <w:ind w:left="4305" w:hanging="360"/>
      </w:pPr>
      <w:rPr>
        <w:rFonts w:ascii="Symbol" w:hAnsi="Symbol" w:hint="default"/>
      </w:rPr>
    </w:lvl>
    <w:lvl w:ilvl="4" w:tplc="FFFFFFFF" w:tentative="1">
      <w:start w:val="1"/>
      <w:numFmt w:val="bullet"/>
      <w:lvlText w:val="o"/>
      <w:lvlJc w:val="left"/>
      <w:pPr>
        <w:ind w:left="5025" w:hanging="360"/>
      </w:pPr>
      <w:rPr>
        <w:rFonts w:ascii="Courier New" w:hAnsi="Courier New" w:hint="default"/>
      </w:rPr>
    </w:lvl>
    <w:lvl w:ilvl="5" w:tplc="FFFFFFFF" w:tentative="1">
      <w:start w:val="1"/>
      <w:numFmt w:val="bullet"/>
      <w:lvlText w:val=""/>
      <w:lvlJc w:val="left"/>
      <w:pPr>
        <w:ind w:left="5745" w:hanging="360"/>
      </w:pPr>
      <w:rPr>
        <w:rFonts w:ascii="Wingdings" w:hAnsi="Wingdings" w:hint="default"/>
      </w:rPr>
    </w:lvl>
    <w:lvl w:ilvl="6" w:tplc="FFFFFFFF" w:tentative="1">
      <w:start w:val="1"/>
      <w:numFmt w:val="bullet"/>
      <w:lvlText w:val=""/>
      <w:lvlJc w:val="left"/>
      <w:pPr>
        <w:ind w:left="6465" w:hanging="360"/>
      </w:pPr>
      <w:rPr>
        <w:rFonts w:ascii="Symbol" w:hAnsi="Symbol" w:hint="default"/>
      </w:rPr>
    </w:lvl>
    <w:lvl w:ilvl="7" w:tplc="FFFFFFFF" w:tentative="1">
      <w:start w:val="1"/>
      <w:numFmt w:val="bullet"/>
      <w:lvlText w:val="o"/>
      <w:lvlJc w:val="left"/>
      <w:pPr>
        <w:ind w:left="7185" w:hanging="360"/>
      </w:pPr>
      <w:rPr>
        <w:rFonts w:ascii="Courier New" w:hAnsi="Courier New" w:hint="default"/>
      </w:rPr>
    </w:lvl>
    <w:lvl w:ilvl="8" w:tplc="FFFFFFFF" w:tentative="1">
      <w:start w:val="1"/>
      <w:numFmt w:val="bullet"/>
      <w:lvlText w:val=""/>
      <w:lvlJc w:val="left"/>
      <w:pPr>
        <w:ind w:left="7905" w:hanging="360"/>
      </w:pPr>
      <w:rPr>
        <w:rFonts w:ascii="Wingdings" w:hAnsi="Wingdings" w:hint="default"/>
      </w:rPr>
    </w:lvl>
  </w:abstractNum>
  <w:abstractNum w:abstractNumId="69" w15:restartNumberingAfterBreak="0">
    <w:nsid w:val="575A5EA4"/>
    <w:multiLevelType w:val="multilevel"/>
    <w:tmpl w:val="0DB2B2A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0" w15:restartNumberingAfterBreak="0">
    <w:nsid w:val="588D5F30"/>
    <w:multiLevelType w:val="hybridMultilevel"/>
    <w:tmpl w:val="F266D8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9184022"/>
    <w:multiLevelType w:val="hybridMultilevel"/>
    <w:tmpl w:val="291EAA74"/>
    <w:lvl w:ilvl="0" w:tplc="935A53DE">
      <w:start w:val="1"/>
      <w:numFmt w:val="decimal"/>
      <w:lvlText w:val="%1)"/>
      <w:lvlJc w:val="left"/>
      <w:pPr>
        <w:ind w:left="720" w:hanging="360"/>
      </w:pPr>
    </w:lvl>
    <w:lvl w:ilvl="1" w:tplc="DDA46490">
      <w:start w:val="1"/>
      <w:numFmt w:val="decimal"/>
      <w:lvlText w:val="%2)"/>
      <w:lvlJc w:val="left"/>
      <w:pPr>
        <w:ind w:left="720" w:hanging="360"/>
      </w:pPr>
    </w:lvl>
    <w:lvl w:ilvl="2" w:tplc="47E6972A">
      <w:start w:val="1"/>
      <w:numFmt w:val="decimal"/>
      <w:lvlText w:val="%3)"/>
      <w:lvlJc w:val="left"/>
      <w:pPr>
        <w:ind w:left="720" w:hanging="360"/>
      </w:pPr>
    </w:lvl>
    <w:lvl w:ilvl="3" w:tplc="A0BE03E4">
      <w:start w:val="1"/>
      <w:numFmt w:val="decimal"/>
      <w:lvlText w:val="%4)"/>
      <w:lvlJc w:val="left"/>
      <w:pPr>
        <w:ind w:left="720" w:hanging="360"/>
      </w:pPr>
    </w:lvl>
    <w:lvl w:ilvl="4" w:tplc="A1441866">
      <w:start w:val="1"/>
      <w:numFmt w:val="decimal"/>
      <w:lvlText w:val="%5)"/>
      <w:lvlJc w:val="left"/>
      <w:pPr>
        <w:ind w:left="720" w:hanging="360"/>
      </w:pPr>
    </w:lvl>
    <w:lvl w:ilvl="5" w:tplc="6BF89E42">
      <w:start w:val="1"/>
      <w:numFmt w:val="decimal"/>
      <w:lvlText w:val="%6)"/>
      <w:lvlJc w:val="left"/>
      <w:pPr>
        <w:ind w:left="720" w:hanging="360"/>
      </w:pPr>
    </w:lvl>
    <w:lvl w:ilvl="6" w:tplc="AFB68C48">
      <w:start w:val="1"/>
      <w:numFmt w:val="decimal"/>
      <w:lvlText w:val="%7)"/>
      <w:lvlJc w:val="left"/>
      <w:pPr>
        <w:ind w:left="720" w:hanging="360"/>
      </w:pPr>
    </w:lvl>
    <w:lvl w:ilvl="7" w:tplc="2B5A930A">
      <w:start w:val="1"/>
      <w:numFmt w:val="decimal"/>
      <w:lvlText w:val="%8)"/>
      <w:lvlJc w:val="left"/>
      <w:pPr>
        <w:ind w:left="720" w:hanging="360"/>
      </w:pPr>
    </w:lvl>
    <w:lvl w:ilvl="8" w:tplc="932681B4">
      <w:start w:val="1"/>
      <w:numFmt w:val="decimal"/>
      <w:lvlText w:val="%9)"/>
      <w:lvlJc w:val="left"/>
      <w:pPr>
        <w:ind w:left="720" w:hanging="360"/>
      </w:pPr>
    </w:lvl>
  </w:abstractNum>
  <w:abstractNum w:abstractNumId="72" w15:restartNumberingAfterBreak="0">
    <w:nsid w:val="5D373EE0"/>
    <w:multiLevelType w:val="hybridMultilevel"/>
    <w:tmpl w:val="AA96D5E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5E094B1D"/>
    <w:multiLevelType w:val="hybridMultilevel"/>
    <w:tmpl w:val="A53A2F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0F67E2D"/>
    <w:multiLevelType w:val="hybridMultilevel"/>
    <w:tmpl w:val="BECE98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76" w15:restartNumberingAfterBreak="0">
    <w:nsid w:val="6977472E"/>
    <w:multiLevelType w:val="multilevel"/>
    <w:tmpl w:val="AB045DC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E477761"/>
    <w:multiLevelType w:val="hybridMultilevel"/>
    <w:tmpl w:val="3EA4A4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8" w15:restartNumberingAfterBreak="0">
    <w:nsid w:val="725C7F82"/>
    <w:multiLevelType w:val="hybridMultilevel"/>
    <w:tmpl w:val="C2F254B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767B1490"/>
    <w:multiLevelType w:val="hybridMultilevel"/>
    <w:tmpl w:val="FECC7A0E"/>
    <w:lvl w:ilvl="0" w:tplc="DC2ADDF8">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8024509"/>
    <w:multiLevelType w:val="hybridMultilevel"/>
    <w:tmpl w:val="5476B054"/>
    <w:lvl w:ilvl="0" w:tplc="B3265698">
      <w:start w:val="1"/>
      <w:numFmt w:val="bullet"/>
      <w:lvlText w:val=""/>
      <w:lvlJc w:val="left"/>
      <w:pPr>
        <w:ind w:left="2145" w:hanging="360"/>
      </w:pPr>
      <w:rPr>
        <w:rFonts w:ascii="Symbol" w:hAnsi="Symbol" w:hint="default"/>
      </w:rPr>
    </w:lvl>
    <w:lvl w:ilvl="1" w:tplc="8612D1D2">
      <w:start w:val="1"/>
      <w:numFmt w:val="bullet"/>
      <w:lvlText w:val="o"/>
      <w:lvlJc w:val="left"/>
      <w:pPr>
        <w:ind w:left="2865" w:hanging="360"/>
      </w:pPr>
      <w:rPr>
        <w:rFonts w:ascii="Courier New" w:hAnsi="Courier New" w:hint="default"/>
      </w:rPr>
    </w:lvl>
    <w:lvl w:ilvl="2" w:tplc="DB504934" w:tentative="1">
      <w:start w:val="1"/>
      <w:numFmt w:val="bullet"/>
      <w:lvlText w:val=""/>
      <w:lvlJc w:val="left"/>
      <w:pPr>
        <w:ind w:left="3585" w:hanging="360"/>
      </w:pPr>
      <w:rPr>
        <w:rFonts w:ascii="Wingdings" w:hAnsi="Wingdings" w:hint="default"/>
      </w:rPr>
    </w:lvl>
    <w:lvl w:ilvl="3" w:tplc="DADCDCAC" w:tentative="1">
      <w:start w:val="1"/>
      <w:numFmt w:val="bullet"/>
      <w:lvlText w:val=""/>
      <w:lvlJc w:val="left"/>
      <w:pPr>
        <w:ind w:left="4305" w:hanging="360"/>
      </w:pPr>
      <w:rPr>
        <w:rFonts w:ascii="Symbol" w:hAnsi="Symbol" w:hint="default"/>
      </w:rPr>
    </w:lvl>
    <w:lvl w:ilvl="4" w:tplc="6128998A" w:tentative="1">
      <w:start w:val="1"/>
      <w:numFmt w:val="bullet"/>
      <w:lvlText w:val="o"/>
      <w:lvlJc w:val="left"/>
      <w:pPr>
        <w:ind w:left="5025" w:hanging="360"/>
      </w:pPr>
      <w:rPr>
        <w:rFonts w:ascii="Courier New" w:hAnsi="Courier New" w:hint="default"/>
      </w:rPr>
    </w:lvl>
    <w:lvl w:ilvl="5" w:tplc="E6E8E92A" w:tentative="1">
      <w:start w:val="1"/>
      <w:numFmt w:val="bullet"/>
      <w:lvlText w:val=""/>
      <w:lvlJc w:val="left"/>
      <w:pPr>
        <w:ind w:left="5745" w:hanging="360"/>
      </w:pPr>
      <w:rPr>
        <w:rFonts w:ascii="Wingdings" w:hAnsi="Wingdings" w:hint="default"/>
      </w:rPr>
    </w:lvl>
    <w:lvl w:ilvl="6" w:tplc="76041C1E" w:tentative="1">
      <w:start w:val="1"/>
      <w:numFmt w:val="bullet"/>
      <w:lvlText w:val=""/>
      <w:lvlJc w:val="left"/>
      <w:pPr>
        <w:ind w:left="6465" w:hanging="360"/>
      </w:pPr>
      <w:rPr>
        <w:rFonts w:ascii="Symbol" w:hAnsi="Symbol" w:hint="default"/>
      </w:rPr>
    </w:lvl>
    <w:lvl w:ilvl="7" w:tplc="11288784" w:tentative="1">
      <w:start w:val="1"/>
      <w:numFmt w:val="bullet"/>
      <w:lvlText w:val="o"/>
      <w:lvlJc w:val="left"/>
      <w:pPr>
        <w:ind w:left="7185" w:hanging="360"/>
      </w:pPr>
      <w:rPr>
        <w:rFonts w:ascii="Courier New" w:hAnsi="Courier New" w:hint="default"/>
      </w:rPr>
    </w:lvl>
    <w:lvl w:ilvl="8" w:tplc="37200E00" w:tentative="1">
      <w:start w:val="1"/>
      <w:numFmt w:val="bullet"/>
      <w:lvlText w:val=""/>
      <w:lvlJc w:val="left"/>
      <w:pPr>
        <w:ind w:left="7905" w:hanging="360"/>
      </w:pPr>
      <w:rPr>
        <w:rFonts w:ascii="Wingdings" w:hAnsi="Wingdings" w:hint="default"/>
      </w:rPr>
    </w:lvl>
  </w:abstractNum>
  <w:abstractNum w:abstractNumId="81" w15:restartNumberingAfterBreak="0">
    <w:nsid w:val="7C65145E"/>
    <w:multiLevelType w:val="multilevel"/>
    <w:tmpl w:val="1012D64A"/>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8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6"/>
  </w:num>
  <w:num w:numId="2">
    <w:abstractNumId w:val="43"/>
  </w:num>
  <w:num w:numId="3">
    <w:abstractNumId w:val="25"/>
  </w:num>
  <w:num w:numId="4">
    <w:abstractNumId w:val="46"/>
  </w:num>
  <w:num w:numId="5">
    <w:abstractNumId w:val="64"/>
  </w:num>
  <w:num w:numId="6">
    <w:abstractNumId w:val="76"/>
  </w:num>
  <w:num w:numId="7">
    <w:abstractNumId w:val="9"/>
  </w:num>
  <w:num w:numId="8">
    <w:abstractNumId w:val="20"/>
  </w:num>
  <w:num w:numId="9">
    <w:abstractNumId w:val="57"/>
  </w:num>
  <w:num w:numId="10">
    <w:abstractNumId w:val="12"/>
  </w:num>
  <w:num w:numId="11">
    <w:abstractNumId w:val="14"/>
  </w:num>
  <w:num w:numId="12">
    <w:abstractNumId w:val="17"/>
  </w:num>
  <w:num w:numId="13">
    <w:abstractNumId w:val="33"/>
  </w:num>
  <w:num w:numId="14">
    <w:abstractNumId w:val="47"/>
  </w:num>
  <w:num w:numId="15">
    <w:abstractNumId w:val="62"/>
  </w:num>
  <w:num w:numId="16">
    <w:abstractNumId w:val="81"/>
  </w:num>
  <w:num w:numId="17">
    <w:abstractNumId w:val="34"/>
  </w:num>
  <w:num w:numId="18">
    <w:abstractNumId w:val="35"/>
  </w:num>
  <w:num w:numId="19">
    <w:abstractNumId w:val="82"/>
  </w:num>
  <w:num w:numId="20">
    <w:abstractNumId w:val="61"/>
  </w:num>
  <w:num w:numId="21">
    <w:abstractNumId w:val="65"/>
  </w:num>
  <w:num w:numId="22">
    <w:abstractNumId w:val="13"/>
  </w:num>
  <w:num w:numId="23">
    <w:abstractNumId w:val="41"/>
  </w:num>
  <w:num w:numId="24">
    <w:abstractNumId w:val="5"/>
  </w:num>
  <w:num w:numId="25">
    <w:abstractNumId w:val="69"/>
  </w:num>
  <w:num w:numId="26">
    <w:abstractNumId w:val="36"/>
  </w:num>
  <w:num w:numId="27">
    <w:abstractNumId w:val="30"/>
  </w:num>
  <w:num w:numId="28">
    <w:abstractNumId w:val="21"/>
  </w:num>
  <w:num w:numId="29">
    <w:abstractNumId w:val="75"/>
  </w:num>
  <w:num w:numId="30">
    <w:abstractNumId w:val="27"/>
  </w:num>
  <w:num w:numId="31">
    <w:abstractNumId w:val="80"/>
  </w:num>
  <w:num w:numId="32">
    <w:abstractNumId w:val="54"/>
  </w:num>
  <w:num w:numId="33">
    <w:abstractNumId w:val="63"/>
  </w:num>
  <w:num w:numId="34">
    <w:abstractNumId w:val="37"/>
  </w:num>
  <w:num w:numId="35">
    <w:abstractNumId w:val="24"/>
  </w:num>
  <w:num w:numId="36">
    <w:abstractNumId w:val="74"/>
  </w:num>
  <w:num w:numId="37">
    <w:abstractNumId w:val="8"/>
  </w:num>
  <w:num w:numId="38">
    <w:abstractNumId w:val="67"/>
  </w:num>
  <w:num w:numId="39">
    <w:abstractNumId w:val="72"/>
  </w:num>
  <w:num w:numId="40">
    <w:abstractNumId w:val="15"/>
  </w:num>
  <w:num w:numId="41">
    <w:abstractNumId w:val="40"/>
  </w:num>
  <w:num w:numId="42">
    <w:abstractNumId w:val="60"/>
  </w:num>
  <w:num w:numId="43">
    <w:abstractNumId w:val="10"/>
  </w:num>
  <w:num w:numId="44">
    <w:abstractNumId w:val="19"/>
  </w:num>
  <w:num w:numId="45">
    <w:abstractNumId w:val="49"/>
  </w:num>
  <w:num w:numId="46">
    <w:abstractNumId w:val="23"/>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num>
  <w:num w:numId="49">
    <w:abstractNumId w:val="55"/>
  </w:num>
  <w:num w:numId="50">
    <w:abstractNumId w:val="77"/>
  </w:num>
  <w:num w:numId="51">
    <w:abstractNumId w:val="66"/>
  </w:num>
  <w:num w:numId="52">
    <w:abstractNumId w:val="7"/>
  </w:num>
  <w:num w:numId="53">
    <w:abstractNumId w:val="45"/>
  </w:num>
  <w:num w:numId="54">
    <w:abstractNumId w:val="73"/>
  </w:num>
  <w:num w:numId="55">
    <w:abstractNumId w:val="70"/>
  </w:num>
  <w:num w:numId="56">
    <w:abstractNumId w:val="31"/>
  </w:num>
  <w:num w:numId="57">
    <w:abstractNumId w:val="51"/>
  </w:num>
  <w:num w:numId="58">
    <w:abstractNumId w:val="59"/>
  </w:num>
  <w:num w:numId="59">
    <w:abstractNumId w:val="50"/>
  </w:num>
  <w:num w:numId="60">
    <w:abstractNumId w:val="53"/>
  </w:num>
  <w:num w:numId="61">
    <w:abstractNumId w:val="32"/>
  </w:num>
  <w:num w:numId="62">
    <w:abstractNumId w:val="58"/>
  </w:num>
  <w:num w:numId="63">
    <w:abstractNumId w:val="3"/>
  </w:num>
  <w:num w:numId="64">
    <w:abstractNumId w:val="26"/>
  </w:num>
  <w:num w:numId="65">
    <w:abstractNumId w:val="44"/>
  </w:num>
  <w:num w:numId="66">
    <w:abstractNumId w:val="22"/>
  </w:num>
  <w:num w:numId="67">
    <w:abstractNumId w:val="0"/>
  </w:num>
  <w:num w:numId="68">
    <w:abstractNumId w:val="48"/>
  </w:num>
  <w:num w:numId="69">
    <w:abstractNumId w:val="38"/>
  </w:num>
  <w:num w:numId="70">
    <w:abstractNumId w:val="16"/>
  </w:num>
  <w:num w:numId="71">
    <w:abstractNumId w:val="29"/>
  </w:num>
  <w:num w:numId="72">
    <w:abstractNumId w:val="11"/>
  </w:num>
  <w:num w:numId="73">
    <w:abstractNumId w:val="1"/>
  </w:num>
  <w:num w:numId="74">
    <w:abstractNumId w:val="79"/>
  </w:num>
  <w:num w:numId="75">
    <w:abstractNumId w:val="68"/>
  </w:num>
  <w:num w:numId="76">
    <w:abstractNumId w:val="56"/>
  </w:num>
  <w:num w:numId="77">
    <w:abstractNumId w:val="42"/>
  </w:num>
  <w:num w:numId="78">
    <w:abstractNumId w:val="18"/>
  </w:num>
  <w:num w:numId="79">
    <w:abstractNumId w:val="28"/>
  </w:num>
  <w:num w:numId="80">
    <w:abstractNumId w:val="4"/>
  </w:num>
  <w:num w:numId="81">
    <w:abstractNumId w:val="71"/>
  </w:num>
  <w:num w:numId="82">
    <w:abstractNumId w:val="52"/>
  </w:num>
  <w:num w:numId="83">
    <w:abstractNumId w:val="7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3EFC65C-94A0-45D9-AD66-97910F3F4B94"/>
    <w:docVar w:name="LW_COVERPAGE_TYPE" w:val="1"/>
    <w:docVar w:name="LW_CROSSREFERENCE" w:val="&lt;UNUSED&gt;"/>
    <w:docVar w:name="LW_DocType" w:val="EUROLOOK"/>
    <w:docVar w:name="LW_EMISSION" w:val="4.5.2026"/>
    <w:docVar w:name="LW_EMISSION_ISODATE" w:val="2026-05-04"/>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implification review on the Regulation (EU) 2023/1115 on the making available on the Union market and the export from the Union of certain commodities and products associated with deforestation and forest degradation (EUDR)"/>
    <w:docVar w:name="LW_TYPE.DOC.CP" w:val="REPORT FROM THE COMMISSION TO THE EUROPEAN PARLIAMENT AND THE COUNCIL"/>
    <w:docVar w:name="LwApiVersions" w:val="LW4CoDe 1.24.5.0; LW 9.2, Build 20251112"/>
  </w:docVars>
  <w:rsids>
    <w:rsidRoot w:val="00E63F32"/>
    <w:rsid w:val="00000016"/>
    <w:rsid w:val="000000A9"/>
    <w:rsid w:val="000000D3"/>
    <w:rsid w:val="00000200"/>
    <w:rsid w:val="000003CC"/>
    <w:rsid w:val="0000040D"/>
    <w:rsid w:val="00000413"/>
    <w:rsid w:val="000005A3"/>
    <w:rsid w:val="0000075A"/>
    <w:rsid w:val="000008C0"/>
    <w:rsid w:val="00000A11"/>
    <w:rsid w:val="00000AA0"/>
    <w:rsid w:val="00000AEA"/>
    <w:rsid w:val="00000C0E"/>
    <w:rsid w:val="00000DAF"/>
    <w:rsid w:val="00000DE9"/>
    <w:rsid w:val="0000116A"/>
    <w:rsid w:val="000011E9"/>
    <w:rsid w:val="00001284"/>
    <w:rsid w:val="00001478"/>
    <w:rsid w:val="0000153A"/>
    <w:rsid w:val="00001781"/>
    <w:rsid w:val="00001880"/>
    <w:rsid w:val="0000192D"/>
    <w:rsid w:val="00001998"/>
    <w:rsid w:val="00001A1D"/>
    <w:rsid w:val="00001A3E"/>
    <w:rsid w:val="00001AB7"/>
    <w:rsid w:val="00001BC4"/>
    <w:rsid w:val="00001BF3"/>
    <w:rsid w:val="00001C13"/>
    <w:rsid w:val="00001CA1"/>
    <w:rsid w:val="00001EF1"/>
    <w:rsid w:val="00001F66"/>
    <w:rsid w:val="000020EC"/>
    <w:rsid w:val="000020F3"/>
    <w:rsid w:val="000022E3"/>
    <w:rsid w:val="00002437"/>
    <w:rsid w:val="000024F0"/>
    <w:rsid w:val="000026A7"/>
    <w:rsid w:val="000027B0"/>
    <w:rsid w:val="000028FE"/>
    <w:rsid w:val="00002949"/>
    <w:rsid w:val="00002A44"/>
    <w:rsid w:val="00002DF5"/>
    <w:rsid w:val="00002E79"/>
    <w:rsid w:val="00003080"/>
    <w:rsid w:val="000031B8"/>
    <w:rsid w:val="00003214"/>
    <w:rsid w:val="0000331F"/>
    <w:rsid w:val="00003360"/>
    <w:rsid w:val="00003441"/>
    <w:rsid w:val="00003599"/>
    <w:rsid w:val="00003683"/>
    <w:rsid w:val="0000370F"/>
    <w:rsid w:val="000037DF"/>
    <w:rsid w:val="000038EB"/>
    <w:rsid w:val="00003AD6"/>
    <w:rsid w:val="00003BDE"/>
    <w:rsid w:val="00003C84"/>
    <w:rsid w:val="00003D81"/>
    <w:rsid w:val="00003EEC"/>
    <w:rsid w:val="00003F2C"/>
    <w:rsid w:val="00003FA5"/>
    <w:rsid w:val="00003FB1"/>
    <w:rsid w:val="00004017"/>
    <w:rsid w:val="00004150"/>
    <w:rsid w:val="00004171"/>
    <w:rsid w:val="00004200"/>
    <w:rsid w:val="00004374"/>
    <w:rsid w:val="000046C1"/>
    <w:rsid w:val="0000480B"/>
    <w:rsid w:val="00004899"/>
    <w:rsid w:val="00004979"/>
    <w:rsid w:val="0000497E"/>
    <w:rsid w:val="00004B62"/>
    <w:rsid w:val="00004B73"/>
    <w:rsid w:val="00004BDE"/>
    <w:rsid w:val="00004E3D"/>
    <w:rsid w:val="00004FB3"/>
    <w:rsid w:val="0000504C"/>
    <w:rsid w:val="0000510E"/>
    <w:rsid w:val="00005223"/>
    <w:rsid w:val="00005271"/>
    <w:rsid w:val="0000536F"/>
    <w:rsid w:val="000055B5"/>
    <w:rsid w:val="000055EF"/>
    <w:rsid w:val="00005BB8"/>
    <w:rsid w:val="00005C75"/>
    <w:rsid w:val="00005F1B"/>
    <w:rsid w:val="00006145"/>
    <w:rsid w:val="0000627B"/>
    <w:rsid w:val="0000636A"/>
    <w:rsid w:val="000065EC"/>
    <w:rsid w:val="0000680C"/>
    <w:rsid w:val="00006C28"/>
    <w:rsid w:val="00006D1A"/>
    <w:rsid w:val="00006D46"/>
    <w:rsid w:val="00006E35"/>
    <w:rsid w:val="00006E64"/>
    <w:rsid w:val="00006ECF"/>
    <w:rsid w:val="00006F9E"/>
    <w:rsid w:val="00007208"/>
    <w:rsid w:val="0000726B"/>
    <w:rsid w:val="000074A7"/>
    <w:rsid w:val="000074CC"/>
    <w:rsid w:val="000074F7"/>
    <w:rsid w:val="00007762"/>
    <w:rsid w:val="0000798C"/>
    <w:rsid w:val="00007A36"/>
    <w:rsid w:val="00010174"/>
    <w:rsid w:val="000102C2"/>
    <w:rsid w:val="000102D0"/>
    <w:rsid w:val="000103DB"/>
    <w:rsid w:val="0001044C"/>
    <w:rsid w:val="000105E4"/>
    <w:rsid w:val="000107AE"/>
    <w:rsid w:val="00010AC7"/>
    <w:rsid w:val="00010AEE"/>
    <w:rsid w:val="00010B61"/>
    <w:rsid w:val="00010B9F"/>
    <w:rsid w:val="00010CB2"/>
    <w:rsid w:val="00010ED2"/>
    <w:rsid w:val="00010F2C"/>
    <w:rsid w:val="0001104B"/>
    <w:rsid w:val="0001105F"/>
    <w:rsid w:val="00011116"/>
    <w:rsid w:val="00011159"/>
    <w:rsid w:val="00011476"/>
    <w:rsid w:val="0001150A"/>
    <w:rsid w:val="00011597"/>
    <w:rsid w:val="0001159D"/>
    <w:rsid w:val="00011664"/>
    <w:rsid w:val="00011713"/>
    <w:rsid w:val="0001186F"/>
    <w:rsid w:val="000119B0"/>
    <w:rsid w:val="000119BE"/>
    <w:rsid w:val="00011BE9"/>
    <w:rsid w:val="00011E9B"/>
    <w:rsid w:val="00011ECB"/>
    <w:rsid w:val="00011FA3"/>
    <w:rsid w:val="00011FD7"/>
    <w:rsid w:val="0001210A"/>
    <w:rsid w:val="0001217D"/>
    <w:rsid w:val="00012517"/>
    <w:rsid w:val="0001252F"/>
    <w:rsid w:val="000128B0"/>
    <w:rsid w:val="000128E1"/>
    <w:rsid w:val="00012CFA"/>
    <w:rsid w:val="00012F22"/>
    <w:rsid w:val="00013055"/>
    <w:rsid w:val="0001325F"/>
    <w:rsid w:val="000133DE"/>
    <w:rsid w:val="00013486"/>
    <w:rsid w:val="000134C2"/>
    <w:rsid w:val="00013687"/>
    <w:rsid w:val="00013957"/>
    <w:rsid w:val="00013B0A"/>
    <w:rsid w:val="00013D6B"/>
    <w:rsid w:val="00013DE5"/>
    <w:rsid w:val="00013F3D"/>
    <w:rsid w:val="00013FE2"/>
    <w:rsid w:val="0001406D"/>
    <w:rsid w:val="000141C7"/>
    <w:rsid w:val="0001439C"/>
    <w:rsid w:val="00014448"/>
    <w:rsid w:val="00014452"/>
    <w:rsid w:val="00014555"/>
    <w:rsid w:val="000145BD"/>
    <w:rsid w:val="000145C5"/>
    <w:rsid w:val="00014623"/>
    <w:rsid w:val="00014751"/>
    <w:rsid w:val="000147BE"/>
    <w:rsid w:val="000147CF"/>
    <w:rsid w:val="000147F4"/>
    <w:rsid w:val="00014B0F"/>
    <w:rsid w:val="00014B8A"/>
    <w:rsid w:val="00014C18"/>
    <w:rsid w:val="00014C99"/>
    <w:rsid w:val="00014CC2"/>
    <w:rsid w:val="00014D4D"/>
    <w:rsid w:val="00014E4C"/>
    <w:rsid w:val="00014E9F"/>
    <w:rsid w:val="00015008"/>
    <w:rsid w:val="000151A0"/>
    <w:rsid w:val="000153CA"/>
    <w:rsid w:val="00015445"/>
    <w:rsid w:val="00015507"/>
    <w:rsid w:val="00015637"/>
    <w:rsid w:val="0001564F"/>
    <w:rsid w:val="0001568A"/>
    <w:rsid w:val="00015946"/>
    <w:rsid w:val="00015A85"/>
    <w:rsid w:val="00015CC9"/>
    <w:rsid w:val="00015D5B"/>
    <w:rsid w:val="00015E11"/>
    <w:rsid w:val="00015E5C"/>
    <w:rsid w:val="00015EC8"/>
    <w:rsid w:val="00015ECA"/>
    <w:rsid w:val="0001601A"/>
    <w:rsid w:val="000162ED"/>
    <w:rsid w:val="0001634C"/>
    <w:rsid w:val="000164D9"/>
    <w:rsid w:val="00016562"/>
    <w:rsid w:val="00016601"/>
    <w:rsid w:val="000166E2"/>
    <w:rsid w:val="000169C7"/>
    <w:rsid w:val="000169E8"/>
    <w:rsid w:val="00016A58"/>
    <w:rsid w:val="00016BC5"/>
    <w:rsid w:val="00016BE4"/>
    <w:rsid w:val="00016C02"/>
    <w:rsid w:val="00016E29"/>
    <w:rsid w:val="00016E74"/>
    <w:rsid w:val="00017010"/>
    <w:rsid w:val="0001712C"/>
    <w:rsid w:val="000171F4"/>
    <w:rsid w:val="00017422"/>
    <w:rsid w:val="00017577"/>
    <w:rsid w:val="00017700"/>
    <w:rsid w:val="000178FB"/>
    <w:rsid w:val="00017DD9"/>
    <w:rsid w:val="00017DEB"/>
    <w:rsid w:val="00017F48"/>
    <w:rsid w:val="000202B4"/>
    <w:rsid w:val="00020448"/>
    <w:rsid w:val="000204D7"/>
    <w:rsid w:val="000204FE"/>
    <w:rsid w:val="00020535"/>
    <w:rsid w:val="000205DA"/>
    <w:rsid w:val="0002089F"/>
    <w:rsid w:val="000209FA"/>
    <w:rsid w:val="00020C8F"/>
    <w:rsid w:val="00020F4A"/>
    <w:rsid w:val="00021024"/>
    <w:rsid w:val="00021331"/>
    <w:rsid w:val="00021500"/>
    <w:rsid w:val="00021504"/>
    <w:rsid w:val="00021534"/>
    <w:rsid w:val="00021578"/>
    <w:rsid w:val="000215E9"/>
    <w:rsid w:val="0002174E"/>
    <w:rsid w:val="0002176E"/>
    <w:rsid w:val="00021943"/>
    <w:rsid w:val="00021984"/>
    <w:rsid w:val="00021AA2"/>
    <w:rsid w:val="00021AAA"/>
    <w:rsid w:val="00021CF4"/>
    <w:rsid w:val="00021D83"/>
    <w:rsid w:val="00022032"/>
    <w:rsid w:val="000221BB"/>
    <w:rsid w:val="000221EF"/>
    <w:rsid w:val="00022257"/>
    <w:rsid w:val="000223F4"/>
    <w:rsid w:val="000225A9"/>
    <w:rsid w:val="00022640"/>
    <w:rsid w:val="000226E9"/>
    <w:rsid w:val="000228E1"/>
    <w:rsid w:val="000229CB"/>
    <w:rsid w:val="00022A94"/>
    <w:rsid w:val="00022D09"/>
    <w:rsid w:val="00022D10"/>
    <w:rsid w:val="00022F76"/>
    <w:rsid w:val="00023057"/>
    <w:rsid w:val="0002312B"/>
    <w:rsid w:val="00023148"/>
    <w:rsid w:val="000231AE"/>
    <w:rsid w:val="0002321A"/>
    <w:rsid w:val="00023242"/>
    <w:rsid w:val="000232E3"/>
    <w:rsid w:val="0002332C"/>
    <w:rsid w:val="00023371"/>
    <w:rsid w:val="00023569"/>
    <w:rsid w:val="0002367E"/>
    <w:rsid w:val="000236AD"/>
    <w:rsid w:val="000237BA"/>
    <w:rsid w:val="0002398A"/>
    <w:rsid w:val="000239D9"/>
    <w:rsid w:val="00023A72"/>
    <w:rsid w:val="00023A7B"/>
    <w:rsid w:val="00023AE5"/>
    <w:rsid w:val="00023B22"/>
    <w:rsid w:val="00023B4C"/>
    <w:rsid w:val="00023D6D"/>
    <w:rsid w:val="00023DE1"/>
    <w:rsid w:val="00023FB7"/>
    <w:rsid w:val="00024043"/>
    <w:rsid w:val="00024203"/>
    <w:rsid w:val="000243FF"/>
    <w:rsid w:val="00024485"/>
    <w:rsid w:val="0002457A"/>
    <w:rsid w:val="0002486F"/>
    <w:rsid w:val="00024956"/>
    <w:rsid w:val="00024A9E"/>
    <w:rsid w:val="00024B62"/>
    <w:rsid w:val="00024BD9"/>
    <w:rsid w:val="00024F49"/>
    <w:rsid w:val="00024F6A"/>
    <w:rsid w:val="00025066"/>
    <w:rsid w:val="0002506D"/>
    <w:rsid w:val="00025151"/>
    <w:rsid w:val="00025260"/>
    <w:rsid w:val="000252D1"/>
    <w:rsid w:val="00025377"/>
    <w:rsid w:val="000253B3"/>
    <w:rsid w:val="000253DC"/>
    <w:rsid w:val="00025463"/>
    <w:rsid w:val="00025471"/>
    <w:rsid w:val="000254C8"/>
    <w:rsid w:val="00025517"/>
    <w:rsid w:val="0002576F"/>
    <w:rsid w:val="0002577C"/>
    <w:rsid w:val="00025789"/>
    <w:rsid w:val="00025A40"/>
    <w:rsid w:val="00025CBB"/>
    <w:rsid w:val="00025D50"/>
    <w:rsid w:val="00025FF7"/>
    <w:rsid w:val="00026054"/>
    <w:rsid w:val="000260D2"/>
    <w:rsid w:val="0002610A"/>
    <w:rsid w:val="0002613C"/>
    <w:rsid w:val="00026155"/>
    <w:rsid w:val="0002640A"/>
    <w:rsid w:val="000264B1"/>
    <w:rsid w:val="000267E4"/>
    <w:rsid w:val="00026934"/>
    <w:rsid w:val="00026945"/>
    <w:rsid w:val="0002697D"/>
    <w:rsid w:val="00026A4C"/>
    <w:rsid w:val="00026B07"/>
    <w:rsid w:val="00026B78"/>
    <w:rsid w:val="00026D12"/>
    <w:rsid w:val="00026EF6"/>
    <w:rsid w:val="0002706B"/>
    <w:rsid w:val="000270A8"/>
    <w:rsid w:val="00027302"/>
    <w:rsid w:val="0002731C"/>
    <w:rsid w:val="00027347"/>
    <w:rsid w:val="000273BC"/>
    <w:rsid w:val="000274E2"/>
    <w:rsid w:val="0002754C"/>
    <w:rsid w:val="0002769D"/>
    <w:rsid w:val="000278AB"/>
    <w:rsid w:val="00027948"/>
    <w:rsid w:val="000279BD"/>
    <w:rsid w:val="00027AF9"/>
    <w:rsid w:val="00027B22"/>
    <w:rsid w:val="00027C34"/>
    <w:rsid w:val="00027D4A"/>
    <w:rsid w:val="00027E31"/>
    <w:rsid w:val="00027E7F"/>
    <w:rsid w:val="000300EC"/>
    <w:rsid w:val="000302BD"/>
    <w:rsid w:val="00030436"/>
    <w:rsid w:val="0003051B"/>
    <w:rsid w:val="000305D4"/>
    <w:rsid w:val="0003078F"/>
    <w:rsid w:val="00030AAD"/>
    <w:rsid w:val="00030B78"/>
    <w:rsid w:val="00030C56"/>
    <w:rsid w:val="00030DA5"/>
    <w:rsid w:val="00030F45"/>
    <w:rsid w:val="00031108"/>
    <w:rsid w:val="00031111"/>
    <w:rsid w:val="000312C6"/>
    <w:rsid w:val="000312D7"/>
    <w:rsid w:val="00031597"/>
    <w:rsid w:val="000315F8"/>
    <w:rsid w:val="000316FD"/>
    <w:rsid w:val="00031844"/>
    <w:rsid w:val="0003194E"/>
    <w:rsid w:val="00031956"/>
    <w:rsid w:val="00031973"/>
    <w:rsid w:val="00031A73"/>
    <w:rsid w:val="00031AA7"/>
    <w:rsid w:val="00031C15"/>
    <w:rsid w:val="00031ED4"/>
    <w:rsid w:val="00031EE6"/>
    <w:rsid w:val="00031F78"/>
    <w:rsid w:val="00032138"/>
    <w:rsid w:val="00032182"/>
    <w:rsid w:val="000322A9"/>
    <w:rsid w:val="00032385"/>
    <w:rsid w:val="000324F2"/>
    <w:rsid w:val="00032602"/>
    <w:rsid w:val="00032889"/>
    <w:rsid w:val="00032A17"/>
    <w:rsid w:val="00032A2C"/>
    <w:rsid w:val="00032A8D"/>
    <w:rsid w:val="00032BCB"/>
    <w:rsid w:val="00032D8E"/>
    <w:rsid w:val="00032E3E"/>
    <w:rsid w:val="00033127"/>
    <w:rsid w:val="000334E7"/>
    <w:rsid w:val="000334EB"/>
    <w:rsid w:val="00033553"/>
    <w:rsid w:val="000335D0"/>
    <w:rsid w:val="00033647"/>
    <w:rsid w:val="000336E5"/>
    <w:rsid w:val="000337BB"/>
    <w:rsid w:val="000337D7"/>
    <w:rsid w:val="000337DA"/>
    <w:rsid w:val="00033920"/>
    <w:rsid w:val="00033B45"/>
    <w:rsid w:val="00033EC0"/>
    <w:rsid w:val="00033F17"/>
    <w:rsid w:val="00033F39"/>
    <w:rsid w:val="00033F41"/>
    <w:rsid w:val="0003409D"/>
    <w:rsid w:val="000340CB"/>
    <w:rsid w:val="00034138"/>
    <w:rsid w:val="000342C2"/>
    <w:rsid w:val="00034303"/>
    <w:rsid w:val="000345B9"/>
    <w:rsid w:val="00034663"/>
    <w:rsid w:val="00034694"/>
    <w:rsid w:val="00034866"/>
    <w:rsid w:val="000348D7"/>
    <w:rsid w:val="00034989"/>
    <w:rsid w:val="00034B00"/>
    <w:rsid w:val="00034D95"/>
    <w:rsid w:val="00034E48"/>
    <w:rsid w:val="00034E94"/>
    <w:rsid w:val="00034F61"/>
    <w:rsid w:val="00034F78"/>
    <w:rsid w:val="00034F86"/>
    <w:rsid w:val="00034F87"/>
    <w:rsid w:val="00035218"/>
    <w:rsid w:val="00035227"/>
    <w:rsid w:val="000352C3"/>
    <w:rsid w:val="00035436"/>
    <w:rsid w:val="00035514"/>
    <w:rsid w:val="000356BC"/>
    <w:rsid w:val="000356FB"/>
    <w:rsid w:val="000357D3"/>
    <w:rsid w:val="000357E5"/>
    <w:rsid w:val="0003586F"/>
    <w:rsid w:val="00035902"/>
    <w:rsid w:val="00035A9C"/>
    <w:rsid w:val="00035E8C"/>
    <w:rsid w:val="00035F46"/>
    <w:rsid w:val="00035F9D"/>
    <w:rsid w:val="00035FEC"/>
    <w:rsid w:val="00036128"/>
    <w:rsid w:val="000361C1"/>
    <w:rsid w:val="000361EA"/>
    <w:rsid w:val="00036320"/>
    <w:rsid w:val="00036349"/>
    <w:rsid w:val="000363A5"/>
    <w:rsid w:val="00036459"/>
    <w:rsid w:val="000364BB"/>
    <w:rsid w:val="00036501"/>
    <w:rsid w:val="00036602"/>
    <w:rsid w:val="00036612"/>
    <w:rsid w:val="000369CE"/>
    <w:rsid w:val="00036B4F"/>
    <w:rsid w:val="00036C92"/>
    <w:rsid w:val="00036D58"/>
    <w:rsid w:val="00036F0A"/>
    <w:rsid w:val="00037207"/>
    <w:rsid w:val="0003720A"/>
    <w:rsid w:val="0003721D"/>
    <w:rsid w:val="000373C0"/>
    <w:rsid w:val="00037BA3"/>
    <w:rsid w:val="00037C7A"/>
    <w:rsid w:val="00037D86"/>
    <w:rsid w:val="00040221"/>
    <w:rsid w:val="0004022A"/>
    <w:rsid w:val="000402CF"/>
    <w:rsid w:val="0004035D"/>
    <w:rsid w:val="00040399"/>
    <w:rsid w:val="00040516"/>
    <w:rsid w:val="000406D6"/>
    <w:rsid w:val="00040854"/>
    <w:rsid w:val="000408D7"/>
    <w:rsid w:val="00040A47"/>
    <w:rsid w:val="00040BB5"/>
    <w:rsid w:val="00040D79"/>
    <w:rsid w:val="00040DA5"/>
    <w:rsid w:val="00040EA1"/>
    <w:rsid w:val="00040F0B"/>
    <w:rsid w:val="00040F65"/>
    <w:rsid w:val="00041013"/>
    <w:rsid w:val="00041052"/>
    <w:rsid w:val="0004130A"/>
    <w:rsid w:val="00041503"/>
    <w:rsid w:val="00041568"/>
    <w:rsid w:val="000416CA"/>
    <w:rsid w:val="00041756"/>
    <w:rsid w:val="0004175A"/>
    <w:rsid w:val="000417DE"/>
    <w:rsid w:val="00041B6E"/>
    <w:rsid w:val="00041B8D"/>
    <w:rsid w:val="00041BC4"/>
    <w:rsid w:val="00041E13"/>
    <w:rsid w:val="00042018"/>
    <w:rsid w:val="00042105"/>
    <w:rsid w:val="00042126"/>
    <w:rsid w:val="00042145"/>
    <w:rsid w:val="00042307"/>
    <w:rsid w:val="000423C1"/>
    <w:rsid w:val="000423F9"/>
    <w:rsid w:val="0004265D"/>
    <w:rsid w:val="00042686"/>
    <w:rsid w:val="000427DE"/>
    <w:rsid w:val="000427E7"/>
    <w:rsid w:val="0004289E"/>
    <w:rsid w:val="000428C0"/>
    <w:rsid w:val="00042A7E"/>
    <w:rsid w:val="00042C82"/>
    <w:rsid w:val="00042D40"/>
    <w:rsid w:val="00043158"/>
    <w:rsid w:val="00043216"/>
    <w:rsid w:val="000433CE"/>
    <w:rsid w:val="00043735"/>
    <w:rsid w:val="00043816"/>
    <w:rsid w:val="000439F2"/>
    <w:rsid w:val="00043B03"/>
    <w:rsid w:val="00043C8B"/>
    <w:rsid w:val="00043D3D"/>
    <w:rsid w:val="00043E51"/>
    <w:rsid w:val="00043E83"/>
    <w:rsid w:val="00043F6E"/>
    <w:rsid w:val="00043FAA"/>
    <w:rsid w:val="0004419E"/>
    <w:rsid w:val="0004423B"/>
    <w:rsid w:val="00044296"/>
    <w:rsid w:val="000442A5"/>
    <w:rsid w:val="000442AB"/>
    <w:rsid w:val="0004447B"/>
    <w:rsid w:val="00044876"/>
    <w:rsid w:val="00044B5E"/>
    <w:rsid w:val="00044C46"/>
    <w:rsid w:val="00044D17"/>
    <w:rsid w:val="00044DA4"/>
    <w:rsid w:val="00044DD3"/>
    <w:rsid w:val="00045136"/>
    <w:rsid w:val="00045237"/>
    <w:rsid w:val="00045444"/>
    <w:rsid w:val="000454A0"/>
    <w:rsid w:val="0004555D"/>
    <w:rsid w:val="00045688"/>
    <w:rsid w:val="000456A6"/>
    <w:rsid w:val="000457AE"/>
    <w:rsid w:val="00045C37"/>
    <w:rsid w:val="00045C83"/>
    <w:rsid w:val="00045CD7"/>
    <w:rsid w:val="00045D24"/>
    <w:rsid w:val="00045D51"/>
    <w:rsid w:val="00045ED4"/>
    <w:rsid w:val="00045FB6"/>
    <w:rsid w:val="00045FC6"/>
    <w:rsid w:val="00046021"/>
    <w:rsid w:val="0004628E"/>
    <w:rsid w:val="0004630C"/>
    <w:rsid w:val="00046508"/>
    <w:rsid w:val="00046660"/>
    <w:rsid w:val="0004674C"/>
    <w:rsid w:val="0004676B"/>
    <w:rsid w:val="000468B8"/>
    <w:rsid w:val="000468DA"/>
    <w:rsid w:val="00046938"/>
    <w:rsid w:val="00046F45"/>
    <w:rsid w:val="00047075"/>
    <w:rsid w:val="000475E3"/>
    <w:rsid w:val="0004766D"/>
    <w:rsid w:val="0004768E"/>
    <w:rsid w:val="00047BFA"/>
    <w:rsid w:val="00047C6C"/>
    <w:rsid w:val="00047D5E"/>
    <w:rsid w:val="00047DC9"/>
    <w:rsid w:val="0005040B"/>
    <w:rsid w:val="00050546"/>
    <w:rsid w:val="000507AB"/>
    <w:rsid w:val="00050808"/>
    <w:rsid w:val="00050811"/>
    <w:rsid w:val="00050934"/>
    <w:rsid w:val="00050CFC"/>
    <w:rsid w:val="00051014"/>
    <w:rsid w:val="000510A7"/>
    <w:rsid w:val="000510D3"/>
    <w:rsid w:val="00051407"/>
    <w:rsid w:val="00051423"/>
    <w:rsid w:val="00051524"/>
    <w:rsid w:val="000515A6"/>
    <w:rsid w:val="000515E0"/>
    <w:rsid w:val="00051608"/>
    <w:rsid w:val="00051640"/>
    <w:rsid w:val="000516BE"/>
    <w:rsid w:val="000516CF"/>
    <w:rsid w:val="000516F6"/>
    <w:rsid w:val="00051A11"/>
    <w:rsid w:val="00051A5F"/>
    <w:rsid w:val="00051AE4"/>
    <w:rsid w:val="00051B68"/>
    <w:rsid w:val="00051BB5"/>
    <w:rsid w:val="00051BC0"/>
    <w:rsid w:val="00051C3E"/>
    <w:rsid w:val="00051E4F"/>
    <w:rsid w:val="000521A4"/>
    <w:rsid w:val="0005223C"/>
    <w:rsid w:val="0005227F"/>
    <w:rsid w:val="0005270C"/>
    <w:rsid w:val="0005273C"/>
    <w:rsid w:val="000527AF"/>
    <w:rsid w:val="00052873"/>
    <w:rsid w:val="0005290E"/>
    <w:rsid w:val="00052AF9"/>
    <w:rsid w:val="00052B7F"/>
    <w:rsid w:val="00052B8D"/>
    <w:rsid w:val="00052CC4"/>
    <w:rsid w:val="00053042"/>
    <w:rsid w:val="0005311C"/>
    <w:rsid w:val="000531B4"/>
    <w:rsid w:val="000531C4"/>
    <w:rsid w:val="00053209"/>
    <w:rsid w:val="000532B5"/>
    <w:rsid w:val="000533B9"/>
    <w:rsid w:val="000533EB"/>
    <w:rsid w:val="000534AB"/>
    <w:rsid w:val="00053515"/>
    <w:rsid w:val="0005353A"/>
    <w:rsid w:val="000535A3"/>
    <w:rsid w:val="000536F8"/>
    <w:rsid w:val="0005379A"/>
    <w:rsid w:val="00053836"/>
    <w:rsid w:val="000539FE"/>
    <w:rsid w:val="00053A06"/>
    <w:rsid w:val="00053A07"/>
    <w:rsid w:val="00053B76"/>
    <w:rsid w:val="00054023"/>
    <w:rsid w:val="00054427"/>
    <w:rsid w:val="00054461"/>
    <w:rsid w:val="00054522"/>
    <w:rsid w:val="000545B5"/>
    <w:rsid w:val="00054920"/>
    <w:rsid w:val="000549D5"/>
    <w:rsid w:val="00054C0D"/>
    <w:rsid w:val="00054C5A"/>
    <w:rsid w:val="00054C5C"/>
    <w:rsid w:val="00054C61"/>
    <w:rsid w:val="00054CE5"/>
    <w:rsid w:val="00054D3B"/>
    <w:rsid w:val="00054E29"/>
    <w:rsid w:val="00054E38"/>
    <w:rsid w:val="00054EA9"/>
    <w:rsid w:val="00054FF1"/>
    <w:rsid w:val="00055079"/>
    <w:rsid w:val="000551D3"/>
    <w:rsid w:val="000553EF"/>
    <w:rsid w:val="000555AF"/>
    <w:rsid w:val="00055902"/>
    <w:rsid w:val="0005592D"/>
    <w:rsid w:val="00055951"/>
    <w:rsid w:val="00055B77"/>
    <w:rsid w:val="00055FF8"/>
    <w:rsid w:val="0005609D"/>
    <w:rsid w:val="00056291"/>
    <w:rsid w:val="00056323"/>
    <w:rsid w:val="000563AD"/>
    <w:rsid w:val="000564AF"/>
    <w:rsid w:val="0005653D"/>
    <w:rsid w:val="0005662A"/>
    <w:rsid w:val="00056649"/>
    <w:rsid w:val="00056660"/>
    <w:rsid w:val="00056788"/>
    <w:rsid w:val="0005683C"/>
    <w:rsid w:val="00056847"/>
    <w:rsid w:val="000568C2"/>
    <w:rsid w:val="00056BDA"/>
    <w:rsid w:val="00056C39"/>
    <w:rsid w:val="00056CCF"/>
    <w:rsid w:val="00056E1D"/>
    <w:rsid w:val="00056FA2"/>
    <w:rsid w:val="00057182"/>
    <w:rsid w:val="000571AC"/>
    <w:rsid w:val="000571C3"/>
    <w:rsid w:val="0005728A"/>
    <w:rsid w:val="000573AA"/>
    <w:rsid w:val="00057460"/>
    <w:rsid w:val="0005746C"/>
    <w:rsid w:val="00057502"/>
    <w:rsid w:val="00057709"/>
    <w:rsid w:val="00057751"/>
    <w:rsid w:val="000577F0"/>
    <w:rsid w:val="00057905"/>
    <w:rsid w:val="0005799E"/>
    <w:rsid w:val="00057B8E"/>
    <w:rsid w:val="00057C83"/>
    <w:rsid w:val="00057EDA"/>
    <w:rsid w:val="00057F3C"/>
    <w:rsid w:val="00057F83"/>
    <w:rsid w:val="00057FCD"/>
    <w:rsid w:val="0006002E"/>
    <w:rsid w:val="00060148"/>
    <w:rsid w:val="000602F3"/>
    <w:rsid w:val="00060403"/>
    <w:rsid w:val="00060436"/>
    <w:rsid w:val="00060700"/>
    <w:rsid w:val="0006073F"/>
    <w:rsid w:val="00060A14"/>
    <w:rsid w:val="00060C0C"/>
    <w:rsid w:val="00060C10"/>
    <w:rsid w:val="00060D87"/>
    <w:rsid w:val="00060DFC"/>
    <w:rsid w:val="00060EBE"/>
    <w:rsid w:val="00060F54"/>
    <w:rsid w:val="00060F7C"/>
    <w:rsid w:val="00060FC8"/>
    <w:rsid w:val="000610A9"/>
    <w:rsid w:val="00061140"/>
    <w:rsid w:val="00061141"/>
    <w:rsid w:val="00061149"/>
    <w:rsid w:val="00061154"/>
    <w:rsid w:val="00061183"/>
    <w:rsid w:val="00061251"/>
    <w:rsid w:val="00061354"/>
    <w:rsid w:val="00061543"/>
    <w:rsid w:val="0006154C"/>
    <w:rsid w:val="00061670"/>
    <w:rsid w:val="0006175F"/>
    <w:rsid w:val="0006186D"/>
    <w:rsid w:val="000618C3"/>
    <w:rsid w:val="00061B39"/>
    <w:rsid w:val="00061B8D"/>
    <w:rsid w:val="00061CC1"/>
    <w:rsid w:val="00061D61"/>
    <w:rsid w:val="00061D87"/>
    <w:rsid w:val="00062122"/>
    <w:rsid w:val="0006233E"/>
    <w:rsid w:val="00062493"/>
    <w:rsid w:val="00062868"/>
    <w:rsid w:val="000628B4"/>
    <w:rsid w:val="000628F0"/>
    <w:rsid w:val="000629A8"/>
    <w:rsid w:val="00062A60"/>
    <w:rsid w:val="00062BC2"/>
    <w:rsid w:val="00062CB4"/>
    <w:rsid w:val="00062D1D"/>
    <w:rsid w:val="00062E7B"/>
    <w:rsid w:val="00062FE5"/>
    <w:rsid w:val="00063090"/>
    <w:rsid w:val="00063361"/>
    <w:rsid w:val="0006336C"/>
    <w:rsid w:val="0006346C"/>
    <w:rsid w:val="000634F0"/>
    <w:rsid w:val="00063735"/>
    <w:rsid w:val="00063744"/>
    <w:rsid w:val="00063944"/>
    <w:rsid w:val="00063976"/>
    <w:rsid w:val="00063B62"/>
    <w:rsid w:val="00063B6D"/>
    <w:rsid w:val="00063C3E"/>
    <w:rsid w:val="00063C90"/>
    <w:rsid w:val="00063CE9"/>
    <w:rsid w:val="00063DA9"/>
    <w:rsid w:val="00063DFA"/>
    <w:rsid w:val="00064087"/>
    <w:rsid w:val="000640DF"/>
    <w:rsid w:val="00064122"/>
    <w:rsid w:val="0006424C"/>
    <w:rsid w:val="000644DA"/>
    <w:rsid w:val="00064563"/>
    <w:rsid w:val="00064573"/>
    <w:rsid w:val="000645D2"/>
    <w:rsid w:val="0006475F"/>
    <w:rsid w:val="000647C6"/>
    <w:rsid w:val="000648AB"/>
    <w:rsid w:val="00064915"/>
    <w:rsid w:val="000649EB"/>
    <w:rsid w:val="000649ED"/>
    <w:rsid w:val="000649F6"/>
    <w:rsid w:val="00064A24"/>
    <w:rsid w:val="00064B32"/>
    <w:rsid w:val="00064B57"/>
    <w:rsid w:val="00064C34"/>
    <w:rsid w:val="00064E82"/>
    <w:rsid w:val="00064F40"/>
    <w:rsid w:val="00064FF4"/>
    <w:rsid w:val="0006501E"/>
    <w:rsid w:val="00065129"/>
    <w:rsid w:val="00065190"/>
    <w:rsid w:val="000651B6"/>
    <w:rsid w:val="00065334"/>
    <w:rsid w:val="000653E6"/>
    <w:rsid w:val="0006555C"/>
    <w:rsid w:val="0006557E"/>
    <w:rsid w:val="000656B9"/>
    <w:rsid w:val="000656C6"/>
    <w:rsid w:val="000656D7"/>
    <w:rsid w:val="000657CD"/>
    <w:rsid w:val="000657F9"/>
    <w:rsid w:val="0006580D"/>
    <w:rsid w:val="00065A03"/>
    <w:rsid w:val="00065BF2"/>
    <w:rsid w:val="00065C59"/>
    <w:rsid w:val="00065D91"/>
    <w:rsid w:val="00066126"/>
    <w:rsid w:val="00066127"/>
    <w:rsid w:val="0006619D"/>
    <w:rsid w:val="00066504"/>
    <w:rsid w:val="0006675B"/>
    <w:rsid w:val="00066849"/>
    <w:rsid w:val="0006685E"/>
    <w:rsid w:val="0006688D"/>
    <w:rsid w:val="00066C53"/>
    <w:rsid w:val="00066D0E"/>
    <w:rsid w:val="00066D7E"/>
    <w:rsid w:val="00066D9E"/>
    <w:rsid w:val="00066DD9"/>
    <w:rsid w:val="00066DE9"/>
    <w:rsid w:val="00066F81"/>
    <w:rsid w:val="0006705C"/>
    <w:rsid w:val="0006706E"/>
    <w:rsid w:val="000670CB"/>
    <w:rsid w:val="00067430"/>
    <w:rsid w:val="0006751C"/>
    <w:rsid w:val="00067566"/>
    <w:rsid w:val="000675CE"/>
    <w:rsid w:val="00067787"/>
    <w:rsid w:val="000679C5"/>
    <w:rsid w:val="000679D4"/>
    <w:rsid w:val="00067AFB"/>
    <w:rsid w:val="00067BE6"/>
    <w:rsid w:val="00067C4E"/>
    <w:rsid w:val="00067E39"/>
    <w:rsid w:val="00067FC2"/>
    <w:rsid w:val="00067FC8"/>
    <w:rsid w:val="000700CF"/>
    <w:rsid w:val="00070283"/>
    <w:rsid w:val="00070717"/>
    <w:rsid w:val="0007088A"/>
    <w:rsid w:val="00070E29"/>
    <w:rsid w:val="00070F32"/>
    <w:rsid w:val="00070FD9"/>
    <w:rsid w:val="000710DE"/>
    <w:rsid w:val="00071195"/>
    <w:rsid w:val="000711CE"/>
    <w:rsid w:val="000712BE"/>
    <w:rsid w:val="00071300"/>
    <w:rsid w:val="00071326"/>
    <w:rsid w:val="00071451"/>
    <w:rsid w:val="00071456"/>
    <w:rsid w:val="00071467"/>
    <w:rsid w:val="0007146E"/>
    <w:rsid w:val="00071572"/>
    <w:rsid w:val="000717B6"/>
    <w:rsid w:val="000717D8"/>
    <w:rsid w:val="000718DD"/>
    <w:rsid w:val="00071D33"/>
    <w:rsid w:val="00071DA2"/>
    <w:rsid w:val="00072040"/>
    <w:rsid w:val="00072257"/>
    <w:rsid w:val="000723B0"/>
    <w:rsid w:val="00072419"/>
    <w:rsid w:val="00072514"/>
    <w:rsid w:val="000726BC"/>
    <w:rsid w:val="0007295B"/>
    <w:rsid w:val="00072998"/>
    <w:rsid w:val="000729BF"/>
    <w:rsid w:val="00072B6E"/>
    <w:rsid w:val="00072B90"/>
    <w:rsid w:val="00072BB0"/>
    <w:rsid w:val="00072BFE"/>
    <w:rsid w:val="00072CE6"/>
    <w:rsid w:val="00072E04"/>
    <w:rsid w:val="00072EAE"/>
    <w:rsid w:val="00073013"/>
    <w:rsid w:val="0007301D"/>
    <w:rsid w:val="00073175"/>
    <w:rsid w:val="000731B3"/>
    <w:rsid w:val="00073293"/>
    <w:rsid w:val="000736B2"/>
    <w:rsid w:val="00073763"/>
    <w:rsid w:val="000737B6"/>
    <w:rsid w:val="000738F6"/>
    <w:rsid w:val="000739AA"/>
    <w:rsid w:val="00073F2D"/>
    <w:rsid w:val="0007401A"/>
    <w:rsid w:val="00074097"/>
    <w:rsid w:val="00074445"/>
    <w:rsid w:val="0007452F"/>
    <w:rsid w:val="000748AF"/>
    <w:rsid w:val="0007490A"/>
    <w:rsid w:val="00074AD9"/>
    <w:rsid w:val="00074B50"/>
    <w:rsid w:val="00074C6F"/>
    <w:rsid w:val="00074E89"/>
    <w:rsid w:val="00074E8B"/>
    <w:rsid w:val="00074FF0"/>
    <w:rsid w:val="000751DF"/>
    <w:rsid w:val="000752FE"/>
    <w:rsid w:val="00075496"/>
    <w:rsid w:val="00075578"/>
    <w:rsid w:val="000758D2"/>
    <w:rsid w:val="00075A8F"/>
    <w:rsid w:val="00075BE3"/>
    <w:rsid w:val="00075D04"/>
    <w:rsid w:val="00075F0B"/>
    <w:rsid w:val="00075F2B"/>
    <w:rsid w:val="00076015"/>
    <w:rsid w:val="00076020"/>
    <w:rsid w:val="00076070"/>
    <w:rsid w:val="000761EB"/>
    <w:rsid w:val="000762EE"/>
    <w:rsid w:val="00076354"/>
    <w:rsid w:val="0007635B"/>
    <w:rsid w:val="000764E4"/>
    <w:rsid w:val="0007668F"/>
    <w:rsid w:val="00076829"/>
    <w:rsid w:val="0007684D"/>
    <w:rsid w:val="00076D35"/>
    <w:rsid w:val="00076DBC"/>
    <w:rsid w:val="00076F8C"/>
    <w:rsid w:val="00076FBC"/>
    <w:rsid w:val="0007703C"/>
    <w:rsid w:val="000770ED"/>
    <w:rsid w:val="00077228"/>
    <w:rsid w:val="00077263"/>
    <w:rsid w:val="000774B2"/>
    <w:rsid w:val="00077545"/>
    <w:rsid w:val="0007755C"/>
    <w:rsid w:val="000777EC"/>
    <w:rsid w:val="00077839"/>
    <w:rsid w:val="0007786E"/>
    <w:rsid w:val="00077973"/>
    <w:rsid w:val="00077C0E"/>
    <w:rsid w:val="00077C24"/>
    <w:rsid w:val="00077CDB"/>
    <w:rsid w:val="00077D4D"/>
    <w:rsid w:val="00077FC4"/>
    <w:rsid w:val="00080205"/>
    <w:rsid w:val="00080336"/>
    <w:rsid w:val="0008047C"/>
    <w:rsid w:val="000806BB"/>
    <w:rsid w:val="00080734"/>
    <w:rsid w:val="000808A1"/>
    <w:rsid w:val="000808EA"/>
    <w:rsid w:val="00080947"/>
    <w:rsid w:val="0008096E"/>
    <w:rsid w:val="000809B1"/>
    <w:rsid w:val="00080A53"/>
    <w:rsid w:val="00080B8D"/>
    <w:rsid w:val="00080BD8"/>
    <w:rsid w:val="00080C18"/>
    <w:rsid w:val="00080C2B"/>
    <w:rsid w:val="00080C32"/>
    <w:rsid w:val="00080C34"/>
    <w:rsid w:val="00080F13"/>
    <w:rsid w:val="00080F9F"/>
    <w:rsid w:val="00081070"/>
    <w:rsid w:val="00081093"/>
    <w:rsid w:val="000811E3"/>
    <w:rsid w:val="00081328"/>
    <w:rsid w:val="00081617"/>
    <w:rsid w:val="00081661"/>
    <w:rsid w:val="0008174B"/>
    <w:rsid w:val="00081757"/>
    <w:rsid w:val="000817FF"/>
    <w:rsid w:val="000818AA"/>
    <w:rsid w:val="00081A08"/>
    <w:rsid w:val="00081A7C"/>
    <w:rsid w:val="00081B45"/>
    <w:rsid w:val="000820A2"/>
    <w:rsid w:val="00082201"/>
    <w:rsid w:val="00082253"/>
    <w:rsid w:val="00082422"/>
    <w:rsid w:val="00082556"/>
    <w:rsid w:val="000825FB"/>
    <w:rsid w:val="0008263E"/>
    <w:rsid w:val="0008267B"/>
    <w:rsid w:val="0008276E"/>
    <w:rsid w:val="00082791"/>
    <w:rsid w:val="0008294D"/>
    <w:rsid w:val="00082A73"/>
    <w:rsid w:val="00082A80"/>
    <w:rsid w:val="00082A8C"/>
    <w:rsid w:val="00082CBC"/>
    <w:rsid w:val="00082D34"/>
    <w:rsid w:val="00082DED"/>
    <w:rsid w:val="00082F39"/>
    <w:rsid w:val="00082FEF"/>
    <w:rsid w:val="0008328C"/>
    <w:rsid w:val="00083578"/>
    <w:rsid w:val="00083654"/>
    <w:rsid w:val="00083785"/>
    <w:rsid w:val="000837C3"/>
    <w:rsid w:val="000838AB"/>
    <w:rsid w:val="00083917"/>
    <w:rsid w:val="0008399F"/>
    <w:rsid w:val="000839C6"/>
    <w:rsid w:val="000839CE"/>
    <w:rsid w:val="00083A68"/>
    <w:rsid w:val="00083AD6"/>
    <w:rsid w:val="00083C1B"/>
    <w:rsid w:val="00083D1F"/>
    <w:rsid w:val="00083DDB"/>
    <w:rsid w:val="000840E6"/>
    <w:rsid w:val="00084118"/>
    <w:rsid w:val="00084150"/>
    <w:rsid w:val="000843B4"/>
    <w:rsid w:val="000846A0"/>
    <w:rsid w:val="0008474D"/>
    <w:rsid w:val="00084845"/>
    <w:rsid w:val="000849A4"/>
    <w:rsid w:val="00084F56"/>
    <w:rsid w:val="000850E8"/>
    <w:rsid w:val="0008512C"/>
    <w:rsid w:val="000853CA"/>
    <w:rsid w:val="000854EA"/>
    <w:rsid w:val="00085654"/>
    <w:rsid w:val="000858D1"/>
    <w:rsid w:val="0008596D"/>
    <w:rsid w:val="000859F9"/>
    <w:rsid w:val="00085A46"/>
    <w:rsid w:val="00085A64"/>
    <w:rsid w:val="00085BFD"/>
    <w:rsid w:val="00085C65"/>
    <w:rsid w:val="00085D2B"/>
    <w:rsid w:val="00085E20"/>
    <w:rsid w:val="00086125"/>
    <w:rsid w:val="00086331"/>
    <w:rsid w:val="000863B1"/>
    <w:rsid w:val="00086432"/>
    <w:rsid w:val="000864C4"/>
    <w:rsid w:val="000864CE"/>
    <w:rsid w:val="000866E2"/>
    <w:rsid w:val="000867BF"/>
    <w:rsid w:val="000867C9"/>
    <w:rsid w:val="00086822"/>
    <w:rsid w:val="000868B8"/>
    <w:rsid w:val="00086A75"/>
    <w:rsid w:val="00086A8D"/>
    <w:rsid w:val="00086BC5"/>
    <w:rsid w:val="00086C27"/>
    <w:rsid w:val="00086CA7"/>
    <w:rsid w:val="00086DB0"/>
    <w:rsid w:val="00086DE9"/>
    <w:rsid w:val="00086E44"/>
    <w:rsid w:val="00086FB2"/>
    <w:rsid w:val="000870BE"/>
    <w:rsid w:val="000870CE"/>
    <w:rsid w:val="00087103"/>
    <w:rsid w:val="00087178"/>
    <w:rsid w:val="000872A1"/>
    <w:rsid w:val="00087695"/>
    <w:rsid w:val="00087803"/>
    <w:rsid w:val="000879B6"/>
    <w:rsid w:val="00087B9C"/>
    <w:rsid w:val="00087C67"/>
    <w:rsid w:val="00087C86"/>
    <w:rsid w:val="00087D8C"/>
    <w:rsid w:val="00087E95"/>
    <w:rsid w:val="00087F88"/>
    <w:rsid w:val="0009004E"/>
    <w:rsid w:val="000900B4"/>
    <w:rsid w:val="00090186"/>
    <w:rsid w:val="000901C9"/>
    <w:rsid w:val="000903D0"/>
    <w:rsid w:val="00090417"/>
    <w:rsid w:val="0009041B"/>
    <w:rsid w:val="00090589"/>
    <w:rsid w:val="000905EE"/>
    <w:rsid w:val="000906B0"/>
    <w:rsid w:val="000906C8"/>
    <w:rsid w:val="00090968"/>
    <w:rsid w:val="00090AD2"/>
    <w:rsid w:val="00090B45"/>
    <w:rsid w:val="00090C72"/>
    <w:rsid w:val="00090D16"/>
    <w:rsid w:val="00090D70"/>
    <w:rsid w:val="00090EF6"/>
    <w:rsid w:val="00091036"/>
    <w:rsid w:val="00091145"/>
    <w:rsid w:val="000913E5"/>
    <w:rsid w:val="00091498"/>
    <w:rsid w:val="0009155F"/>
    <w:rsid w:val="000915C1"/>
    <w:rsid w:val="000916CA"/>
    <w:rsid w:val="00091710"/>
    <w:rsid w:val="00091797"/>
    <w:rsid w:val="00091798"/>
    <w:rsid w:val="00091AD4"/>
    <w:rsid w:val="00091CDE"/>
    <w:rsid w:val="00091F92"/>
    <w:rsid w:val="00091FF4"/>
    <w:rsid w:val="00092066"/>
    <w:rsid w:val="000920D8"/>
    <w:rsid w:val="0009219D"/>
    <w:rsid w:val="000924B1"/>
    <w:rsid w:val="000928BA"/>
    <w:rsid w:val="000929EA"/>
    <w:rsid w:val="00092A8B"/>
    <w:rsid w:val="00092C80"/>
    <w:rsid w:val="00092CCB"/>
    <w:rsid w:val="00092CEE"/>
    <w:rsid w:val="00093041"/>
    <w:rsid w:val="0009307B"/>
    <w:rsid w:val="000930A1"/>
    <w:rsid w:val="0009317B"/>
    <w:rsid w:val="0009318D"/>
    <w:rsid w:val="0009338F"/>
    <w:rsid w:val="00093451"/>
    <w:rsid w:val="000934CF"/>
    <w:rsid w:val="0009359E"/>
    <w:rsid w:val="00093657"/>
    <w:rsid w:val="00093667"/>
    <w:rsid w:val="000936A8"/>
    <w:rsid w:val="0009375B"/>
    <w:rsid w:val="000938B5"/>
    <w:rsid w:val="000939F3"/>
    <w:rsid w:val="00093A8E"/>
    <w:rsid w:val="00093C26"/>
    <w:rsid w:val="00093DE3"/>
    <w:rsid w:val="00093EF3"/>
    <w:rsid w:val="00093F36"/>
    <w:rsid w:val="000940D5"/>
    <w:rsid w:val="0009420F"/>
    <w:rsid w:val="0009423E"/>
    <w:rsid w:val="0009427F"/>
    <w:rsid w:val="000942E3"/>
    <w:rsid w:val="0009435C"/>
    <w:rsid w:val="00094659"/>
    <w:rsid w:val="00094675"/>
    <w:rsid w:val="0009467C"/>
    <w:rsid w:val="000946B7"/>
    <w:rsid w:val="00094704"/>
    <w:rsid w:val="00094A70"/>
    <w:rsid w:val="00094AE0"/>
    <w:rsid w:val="00094BE6"/>
    <w:rsid w:val="00094CDD"/>
    <w:rsid w:val="00094E24"/>
    <w:rsid w:val="00094F0D"/>
    <w:rsid w:val="00094F13"/>
    <w:rsid w:val="0009533A"/>
    <w:rsid w:val="0009533C"/>
    <w:rsid w:val="00095361"/>
    <w:rsid w:val="00095362"/>
    <w:rsid w:val="000953DF"/>
    <w:rsid w:val="0009560E"/>
    <w:rsid w:val="00095680"/>
    <w:rsid w:val="0009575B"/>
    <w:rsid w:val="0009580B"/>
    <w:rsid w:val="000958FF"/>
    <w:rsid w:val="00095A1C"/>
    <w:rsid w:val="00095D22"/>
    <w:rsid w:val="00095D40"/>
    <w:rsid w:val="00095DFF"/>
    <w:rsid w:val="00096062"/>
    <w:rsid w:val="000962AB"/>
    <w:rsid w:val="0009668D"/>
    <w:rsid w:val="000966A9"/>
    <w:rsid w:val="000966C7"/>
    <w:rsid w:val="000967CA"/>
    <w:rsid w:val="0009695F"/>
    <w:rsid w:val="00096BB1"/>
    <w:rsid w:val="00096F86"/>
    <w:rsid w:val="0009701B"/>
    <w:rsid w:val="000972C9"/>
    <w:rsid w:val="00097382"/>
    <w:rsid w:val="000973B1"/>
    <w:rsid w:val="0009760C"/>
    <w:rsid w:val="000977AA"/>
    <w:rsid w:val="000977D2"/>
    <w:rsid w:val="0009795F"/>
    <w:rsid w:val="00097B04"/>
    <w:rsid w:val="00097C48"/>
    <w:rsid w:val="00097D09"/>
    <w:rsid w:val="00097E1E"/>
    <w:rsid w:val="00097E31"/>
    <w:rsid w:val="00097F01"/>
    <w:rsid w:val="000A00C3"/>
    <w:rsid w:val="000A017B"/>
    <w:rsid w:val="000A0326"/>
    <w:rsid w:val="000A0446"/>
    <w:rsid w:val="000A044D"/>
    <w:rsid w:val="000A0685"/>
    <w:rsid w:val="000A06A2"/>
    <w:rsid w:val="000A0753"/>
    <w:rsid w:val="000A07A4"/>
    <w:rsid w:val="000A07DE"/>
    <w:rsid w:val="000A08C5"/>
    <w:rsid w:val="000A0A8D"/>
    <w:rsid w:val="000A0B81"/>
    <w:rsid w:val="000A0D14"/>
    <w:rsid w:val="000A0DD0"/>
    <w:rsid w:val="000A0DEE"/>
    <w:rsid w:val="000A0E1F"/>
    <w:rsid w:val="000A104A"/>
    <w:rsid w:val="000A10A8"/>
    <w:rsid w:val="000A10C5"/>
    <w:rsid w:val="000A1121"/>
    <w:rsid w:val="000A1215"/>
    <w:rsid w:val="000A123E"/>
    <w:rsid w:val="000A1374"/>
    <w:rsid w:val="000A164E"/>
    <w:rsid w:val="000A186E"/>
    <w:rsid w:val="000A18EF"/>
    <w:rsid w:val="000A1A27"/>
    <w:rsid w:val="000A1A6A"/>
    <w:rsid w:val="000A1C1A"/>
    <w:rsid w:val="000A1C8B"/>
    <w:rsid w:val="000A1CC7"/>
    <w:rsid w:val="000A23DD"/>
    <w:rsid w:val="000A23E5"/>
    <w:rsid w:val="000A250B"/>
    <w:rsid w:val="000A263E"/>
    <w:rsid w:val="000A268A"/>
    <w:rsid w:val="000A2843"/>
    <w:rsid w:val="000A2B81"/>
    <w:rsid w:val="000A2CC2"/>
    <w:rsid w:val="000A2D72"/>
    <w:rsid w:val="000A2E27"/>
    <w:rsid w:val="000A2E8E"/>
    <w:rsid w:val="000A30FE"/>
    <w:rsid w:val="000A310C"/>
    <w:rsid w:val="000A31A9"/>
    <w:rsid w:val="000A3214"/>
    <w:rsid w:val="000A3372"/>
    <w:rsid w:val="000A33E6"/>
    <w:rsid w:val="000A34FD"/>
    <w:rsid w:val="000A362F"/>
    <w:rsid w:val="000A36D3"/>
    <w:rsid w:val="000A370B"/>
    <w:rsid w:val="000A37DD"/>
    <w:rsid w:val="000A3817"/>
    <w:rsid w:val="000A3D08"/>
    <w:rsid w:val="000A3D3D"/>
    <w:rsid w:val="000A3DC0"/>
    <w:rsid w:val="000A3DED"/>
    <w:rsid w:val="000A3E01"/>
    <w:rsid w:val="000A3E88"/>
    <w:rsid w:val="000A3ED7"/>
    <w:rsid w:val="000A3F47"/>
    <w:rsid w:val="000A412E"/>
    <w:rsid w:val="000A4211"/>
    <w:rsid w:val="000A42A2"/>
    <w:rsid w:val="000A42CE"/>
    <w:rsid w:val="000A4301"/>
    <w:rsid w:val="000A4517"/>
    <w:rsid w:val="000A45F8"/>
    <w:rsid w:val="000A475F"/>
    <w:rsid w:val="000A49A5"/>
    <w:rsid w:val="000A49EC"/>
    <w:rsid w:val="000A4A14"/>
    <w:rsid w:val="000A4A63"/>
    <w:rsid w:val="000A4B4C"/>
    <w:rsid w:val="000A4B62"/>
    <w:rsid w:val="000A4D23"/>
    <w:rsid w:val="000A5157"/>
    <w:rsid w:val="000A52F7"/>
    <w:rsid w:val="000A53D8"/>
    <w:rsid w:val="000A5425"/>
    <w:rsid w:val="000A558A"/>
    <w:rsid w:val="000A55A5"/>
    <w:rsid w:val="000A55D0"/>
    <w:rsid w:val="000A55D1"/>
    <w:rsid w:val="000A56BE"/>
    <w:rsid w:val="000A5710"/>
    <w:rsid w:val="000A579F"/>
    <w:rsid w:val="000A5801"/>
    <w:rsid w:val="000A5846"/>
    <w:rsid w:val="000A5A4B"/>
    <w:rsid w:val="000A5B91"/>
    <w:rsid w:val="000A5CCB"/>
    <w:rsid w:val="000A5D7A"/>
    <w:rsid w:val="000A5DA4"/>
    <w:rsid w:val="000A5DB9"/>
    <w:rsid w:val="000A5EDF"/>
    <w:rsid w:val="000A606C"/>
    <w:rsid w:val="000A627F"/>
    <w:rsid w:val="000A62A1"/>
    <w:rsid w:val="000A631F"/>
    <w:rsid w:val="000A6370"/>
    <w:rsid w:val="000A6469"/>
    <w:rsid w:val="000A646D"/>
    <w:rsid w:val="000A6574"/>
    <w:rsid w:val="000A66CD"/>
    <w:rsid w:val="000A6795"/>
    <w:rsid w:val="000A6997"/>
    <w:rsid w:val="000A6AC6"/>
    <w:rsid w:val="000A6AD6"/>
    <w:rsid w:val="000A6B11"/>
    <w:rsid w:val="000A6B2E"/>
    <w:rsid w:val="000A6CC3"/>
    <w:rsid w:val="000A6D4F"/>
    <w:rsid w:val="000A6FCC"/>
    <w:rsid w:val="000A6FE7"/>
    <w:rsid w:val="000A7221"/>
    <w:rsid w:val="000A723F"/>
    <w:rsid w:val="000A7253"/>
    <w:rsid w:val="000A769B"/>
    <w:rsid w:val="000A7732"/>
    <w:rsid w:val="000A791C"/>
    <w:rsid w:val="000A799C"/>
    <w:rsid w:val="000A7AA7"/>
    <w:rsid w:val="000A7AAF"/>
    <w:rsid w:val="000A7C18"/>
    <w:rsid w:val="000A7CD5"/>
    <w:rsid w:val="000A7D28"/>
    <w:rsid w:val="000A7E98"/>
    <w:rsid w:val="000A7EC1"/>
    <w:rsid w:val="000A7F0E"/>
    <w:rsid w:val="000B000D"/>
    <w:rsid w:val="000B0011"/>
    <w:rsid w:val="000B0039"/>
    <w:rsid w:val="000B0066"/>
    <w:rsid w:val="000B0072"/>
    <w:rsid w:val="000B00CC"/>
    <w:rsid w:val="000B0184"/>
    <w:rsid w:val="000B02B0"/>
    <w:rsid w:val="000B0336"/>
    <w:rsid w:val="000B03DD"/>
    <w:rsid w:val="000B042F"/>
    <w:rsid w:val="000B04B2"/>
    <w:rsid w:val="000B04EC"/>
    <w:rsid w:val="000B06C6"/>
    <w:rsid w:val="000B07EC"/>
    <w:rsid w:val="000B0851"/>
    <w:rsid w:val="000B089F"/>
    <w:rsid w:val="000B09AF"/>
    <w:rsid w:val="000B0A61"/>
    <w:rsid w:val="000B0A68"/>
    <w:rsid w:val="000B0AEC"/>
    <w:rsid w:val="000B0B06"/>
    <w:rsid w:val="000B0D9E"/>
    <w:rsid w:val="000B0E34"/>
    <w:rsid w:val="000B0F5D"/>
    <w:rsid w:val="000B0FCA"/>
    <w:rsid w:val="000B1088"/>
    <w:rsid w:val="000B1151"/>
    <w:rsid w:val="000B1327"/>
    <w:rsid w:val="000B133E"/>
    <w:rsid w:val="000B13AC"/>
    <w:rsid w:val="000B13DC"/>
    <w:rsid w:val="000B14DC"/>
    <w:rsid w:val="000B1587"/>
    <w:rsid w:val="000B1598"/>
    <w:rsid w:val="000B15AF"/>
    <w:rsid w:val="000B1674"/>
    <w:rsid w:val="000B1689"/>
    <w:rsid w:val="000B1695"/>
    <w:rsid w:val="000B1704"/>
    <w:rsid w:val="000B17B2"/>
    <w:rsid w:val="000B18EB"/>
    <w:rsid w:val="000B1B8C"/>
    <w:rsid w:val="000B1CA1"/>
    <w:rsid w:val="000B1D36"/>
    <w:rsid w:val="000B1F4A"/>
    <w:rsid w:val="000B20AF"/>
    <w:rsid w:val="000B2198"/>
    <w:rsid w:val="000B21C9"/>
    <w:rsid w:val="000B236F"/>
    <w:rsid w:val="000B240E"/>
    <w:rsid w:val="000B24B2"/>
    <w:rsid w:val="000B25FC"/>
    <w:rsid w:val="000B2681"/>
    <w:rsid w:val="000B2713"/>
    <w:rsid w:val="000B27AB"/>
    <w:rsid w:val="000B27FA"/>
    <w:rsid w:val="000B27FB"/>
    <w:rsid w:val="000B2949"/>
    <w:rsid w:val="000B2AE0"/>
    <w:rsid w:val="000B2AE9"/>
    <w:rsid w:val="000B2D14"/>
    <w:rsid w:val="000B2DDE"/>
    <w:rsid w:val="000B2DF2"/>
    <w:rsid w:val="000B2E08"/>
    <w:rsid w:val="000B2E12"/>
    <w:rsid w:val="000B2FA0"/>
    <w:rsid w:val="000B307B"/>
    <w:rsid w:val="000B30B5"/>
    <w:rsid w:val="000B30CA"/>
    <w:rsid w:val="000B30F2"/>
    <w:rsid w:val="000B3374"/>
    <w:rsid w:val="000B3431"/>
    <w:rsid w:val="000B3499"/>
    <w:rsid w:val="000B3549"/>
    <w:rsid w:val="000B3566"/>
    <w:rsid w:val="000B35A9"/>
    <w:rsid w:val="000B3671"/>
    <w:rsid w:val="000B3720"/>
    <w:rsid w:val="000B3777"/>
    <w:rsid w:val="000B38AB"/>
    <w:rsid w:val="000B394F"/>
    <w:rsid w:val="000B3D9D"/>
    <w:rsid w:val="000B3F2B"/>
    <w:rsid w:val="000B3FBB"/>
    <w:rsid w:val="000B42A8"/>
    <w:rsid w:val="000B43A6"/>
    <w:rsid w:val="000B43BF"/>
    <w:rsid w:val="000B47C5"/>
    <w:rsid w:val="000B47D2"/>
    <w:rsid w:val="000B47E1"/>
    <w:rsid w:val="000B4932"/>
    <w:rsid w:val="000B49BD"/>
    <w:rsid w:val="000B4A04"/>
    <w:rsid w:val="000B4A28"/>
    <w:rsid w:val="000B4A52"/>
    <w:rsid w:val="000B4A7E"/>
    <w:rsid w:val="000B4D8F"/>
    <w:rsid w:val="000B4DDE"/>
    <w:rsid w:val="000B503D"/>
    <w:rsid w:val="000B5228"/>
    <w:rsid w:val="000B52A8"/>
    <w:rsid w:val="000B5354"/>
    <w:rsid w:val="000B5475"/>
    <w:rsid w:val="000B56F8"/>
    <w:rsid w:val="000B5A68"/>
    <w:rsid w:val="000B5A7C"/>
    <w:rsid w:val="000B5C7A"/>
    <w:rsid w:val="000B5CD3"/>
    <w:rsid w:val="000B5E3B"/>
    <w:rsid w:val="000B5E52"/>
    <w:rsid w:val="000B5F27"/>
    <w:rsid w:val="000B60A6"/>
    <w:rsid w:val="000B631D"/>
    <w:rsid w:val="000B6584"/>
    <w:rsid w:val="000B66B9"/>
    <w:rsid w:val="000B686F"/>
    <w:rsid w:val="000B688C"/>
    <w:rsid w:val="000B693B"/>
    <w:rsid w:val="000B6A22"/>
    <w:rsid w:val="000B6AA9"/>
    <w:rsid w:val="000B6ADE"/>
    <w:rsid w:val="000B70DC"/>
    <w:rsid w:val="000B7154"/>
    <w:rsid w:val="000B7219"/>
    <w:rsid w:val="000B731E"/>
    <w:rsid w:val="000B7556"/>
    <w:rsid w:val="000B75EC"/>
    <w:rsid w:val="000B772E"/>
    <w:rsid w:val="000B79B8"/>
    <w:rsid w:val="000B79C9"/>
    <w:rsid w:val="000B79F3"/>
    <w:rsid w:val="000B7A4B"/>
    <w:rsid w:val="000B7AD1"/>
    <w:rsid w:val="000B7AE9"/>
    <w:rsid w:val="000B7B01"/>
    <w:rsid w:val="000B7C6E"/>
    <w:rsid w:val="000B7CD7"/>
    <w:rsid w:val="000B7CDB"/>
    <w:rsid w:val="000B7D4C"/>
    <w:rsid w:val="000B7E44"/>
    <w:rsid w:val="000C018A"/>
    <w:rsid w:val="000C0193"/>
    <w:rsid w:val="000C01AB"/>
    <w:rsid w:val="000C01E2"/>
    <w:rsid w:val="000C01FD"/>
    <w:rsid w:val="000C0202"/>
    <w:rsid w:val="000C0338"/>
    <w:rsid w:val="000C060D"/>
    <w:rsid w:val="000C0932"/>
    <w:rsid w:val="000C098B"/>
    <w:rsid w:val="000C09F6"/>
    <w:rsid w:val="000C0B6D"/>
    <w:rsid w:val="000C0BC9"/>
    <w:rsid w:val="000C0C2B"/>
    <w:rsid w:val="000C0D44"/>
    <w:rsid w:val="000C0F0F"/>
    <w:rsid w:val="000C0F18"/>
    <w:rsid w:val="000C12F5"/>
    <w:rsid w:val="000C1331"/>
    <w:rsid w:val="000C13B6"/>
    <w:rsid w:val="000C14D1"/>
    <w:rsid w:val="000C1567"/>
    <w:rsid w:val="000C161D"/>
    <w:rsid w:val="000C1A95"/>
    <w:rsid w:val="000C1B26"/>
    <w:rsid w:val="000C1D38"/>
    <w:rsid w:val="000C1F93"/>
    <w:rsid w:val="000C2079"/>
    <w:rsid w:val="000C20CA"/>
    <w:rsid w:val="000C216C"/>
    <w:rsid w:val="000C2187"/>
    <w:rsid w:val="000C22CF"/>
    <w:rsid w:val="000C22F0"/>
    <w:rsid w:val="000C22FE"/>
    <w:rsid w:val="000C244F"/>
    <w:rsid w:val="000C26EA"/>
    <w:rsid w:val="000C270D"/>
    <w:rsid w:val="000C2873"/>
    <w:rsid w:val="000C2A56"/>
    <w:rsid w:val="000C2E9B"/>
    <w:rsid w:val="000C3260"/>
    <w:rsid w:val="000C35C6"/>
    <w:rsid w:val="000C3713"/>
    <w:rsid w:val="000C38A9"/>
    <w:rsid w:val="000C3A6D"/>
    <w:rsid w:val="000C3AAB"/>
    <w:rsid w:val="000C3BBE"/>
    <w:rsid w:val="000C3C0C"/>
    <w:rsid w:val="000C3D28"/>
    <w:rsid w:val="000C3DD3"/>
    <w:rsid w:val="000C3E2A"/>
    <w:rsid w:val="000C3FEA"/>
    <w:rsid w:val="000C4011"/>
    <w:rsid w:val="000C40CB"/>
    <w:rsid w:val="000C410A"/>
    <w:rsid w:val="000C41B3"/>
    <w:rsid w:val="000C43D9"/>
    <w:rsid w:val="000C44D8"/>
    <w:rsid w:val="000C4534"/>
    <w:rsid w:val="000C46C3"/>
    <w:rsid w:val="000C4C0E"/>
    <w:rsid w:val="000C4D5F"/>
    <w:rsid w:val="000C4E5D"/>
    <w:rsid w:val="000C5068"/>
    <w:rsid w:val="000C513E"/>
    <w:rsid w:val="000C522B"/>
    <w:rsid w:val="000C533D"/>
    <w:rsid w:val="000C5379"/>
    <w:rsid w:val="000C545D"/>
    <w:rsid w:val="000C54C9"/>
    <w:rsid w:val="000C5758"/>
    <w:rsid w:val="000C5898"/>
    <w:rsid w:val="000C5968"/>
    <w:rsid w:val="000C598F"/>
    <w:rsid w:val="000C59F5"/>
    <w:rsid w:val="000C5AAB"/>
    <w:rsid w:val="000C5B47"/>
    <w:rsid w:val="000C5C09"/>
    <w:rsid w:val="000C5CBB"/>
    <w:rsid w:val="000C5E7A"/>
    <w:rsid w:val="000C5EE9"/>
    <w:rsid w:val="000C5EF3"/>
    <w:rsid w:val="000C6080"/>
    <w:rsid w:val="000C60D1"/>
    <w:rsid w:val="000C623A"/>
    <w:rsid w:val="000C62C7"/>
    <w:rsid w:val="000C6364"/>
    <w:rsid w:val="000C645C"/>
    <w:rsid w:val="000C64AB"/>
    <w:rsid w:val="000C64BD"/>
    <w:rsid w:val="000C64DD"/>
    <w:rsid w:val="000C6548"/>
    <w:rsid w:val="000C654D"/>
    <w:rsid w:val="000C66A7"/>
    <w:rsid w:val="000C6A6D"/>
    <w:rsid w:val="000C6BEA"/>
    <w:rsid w:val="000C6C35"/>
    <w:rsid w:val="000C6EAF"/>
    <w:rsid w:val="000C6F2C"/>
    <w:rsid w:val="000C6F3F"/>
    <w:rsid w:val="000C6FCB"/>
    <w:rsid w:val="000C709D"/>
    <w:rsid w:val="000C7123"/>
    <w:rsid w:val="000C7397"/>
    <w:rsid w:val="000C73AB"/>
    <w:rsid w:val="000C73C6"/>
    <w:rsid w:val="000C76C9"/>
    <w:rsid w:val="000C76EB"/>
    <w:rsid w:val="000C77BC"/>
    <w:rsid w:val="000C77F5"/>
    <w:rsid w:val="000C7808"/>
    <w:rsid w:val="000C7827"/>
    <w:rsid w:val="000C7977"/>
    <w:rsid w:val="000C7ADA"/>
    <w:rsid w:val="000C7D37"/>
    <w:rsid w:val="000C7D95"/>
    <w:rsid w:val="000C7E68"/>
    <w:rsid w:val="000C7FEC"/>
    <w:rsid w:val="000D0052"/>
    <w:rsid w:val="000D00F9"/>
    <w:rsid w:val="000D0197"/>
    <w:rsid w:val="000D0373"/>
    <w:rsid w:val="000D0389"/>
    <w:rsid w:val="000D038B"/>
    <w:rsid w:val="000D0440"/>
    <w:rsid w:val="000D04E8"/>
    <w:rsid w:val="000D0737"/>
    <w:rsid w:val="000D0741"/>
    <w:rsid w:val="000D0813"/>
    <w:rsid w:val="000D08AA"/>
    <w:rsid w:val="000D08AB"/>
    <w:rsid w:val="000D0A97"/>
    <w:rsid w:val="000D0BA3"/>
    <w:rsid w:val="000D0C4E"/>
    <w:rsid w:val="000D0E37"/>
    <w:rsid w:val="000D1118"/>
    <w:rsid w:val="000D1349"/>
    <w:rsid w:val="000D13EE"/>
    <w:rsid w:val="000D166D"/>
    <w:rsid w:val="000D1690"/>
    <w:rsid w:val="000D16CF"/>
    <w:rsid w:val="000D17FE"/>
    <w:rsid w:val="000D1852"/>
    <w:rsid w:val="000D1915"/>
    <w:rsid w:val="000D1970"/>
    <w:rsid w:val="000D19E0"/>
    <w:rsid w:val="000D1A0E"/>
    <w:rsid w:val="000D1AAF"/>
    <w:rsid w:val="000D1EBC"/>
    <w:rsid w:val="000D20AF"/>
    <w:rsid w:val="000D21C3"/>
    <w:rsid w:val="000D242E"/>
    <w:rsid w:val="000D2676"/>
    <w:rsid w:val="000D2765"/>
    <w:rsid w:val="000D2BCB"/>
    <w:rsid w:val="000D2C25"/>
    <w:rsid w:val="000D2D82"/>
    <w:rsid w:val="000D2E04"/>
    <w:rsid w:val="000D2F4D"/>
    <w:rsid w:val="000D2F95"/>
    <w:rsid w:val="000D329C"/>
    <w:rsid w:val="000D333B"/>
    <w:rsid w:val="000D3344"/>
    <w:rsid w:val="000D344B"/>
    <w:rsid w:val="000D3729"/>
    <w:rsid w:val="000D37A9"/>
    <w:rsid w:val="000D37E4"/>
    <w:rsid w:val="000D37E6"/>
    <w:rsid w:val="000D37EA"/>
    <w:rsid w:val="000D38A9"/>
    <w:rsid w:val="000D3977"/>
    <w:rsid w:val="000D3B5B"/>
    <w:rsid w:val="000D3C55"/>
    <w:rsid w:val="000D3D92"/>
    <w:rsid w:val="000D3E57"/>
    <w:rsid w:val="000D3EC9"/>
    <w:rsid w:val="000D4021"/>
    <w:rsid w:val="000D40B7"/>
    <w:rsid w:val="000D40D9"/>
    <w:rsid w:val="000D40FF"/>
    <w:rsid w:val="000D4275"/>
    <w:rsid w:val="000D45A8"/>
    <w:rsid w:val="000D4860"/>
    <w:rsid w:val="000D4D46"/>
    <w:rsid w:val="000D4E31"/>
    <w:rsid w:val="000D519B"/>
    <w:rsid w:val="000D519D"/>
    <w:rsid w:val="000D53E8"/>
    <w:rsid w:val="000D5780"/>
    <w:rsid w:val="000D57ED"/>
    <w:rsid w:val="000D587D"/>
    <w:rsid w:val="000D5B03"/>
    <w:rsid w:val="000D5B77"/>
    <w:rsid w:val="000D647B"/>
    <w:rsid w:val="000D64CF"/>
    <w:rsid w:val="000D65ED"/>
    <w:rsid w:val="000D66A1"/>
    <w:rsid w:val="000D6A0D"/>
    <w:rsid w:val="000D6C57"/>
    <w:rsid w:val="000D6D06"/>
    <w:rsid w:val="000D6D61"/>
    <w:rsid w:val="000D6D92"/>
    <w:rsid w:val="000D6E99"/>
    <w:rsid w:val="000D6EAB"/>
    <w:rsid w:val="000D6EAE"/>
    <w:rsid w:val="000D6FCA"/>
    <w:rsid w:val="000D7020"/>
    <w:rsid w:val="000D7095"/>
    <w:rsid w:val="000D71C7"/>
    <w:rsid w:val="000D71DC"/>
    <w:rsid w:val="000D7245"/>
    <w:rsid w:val="000D7276"/>
    <w:rsid w:val="000D72BA"/>
    <w:rsid w:val="000D72E9"/>
    <w:rsid w:val="000D740F"/>
    <w:rsid w:val="000D7611"/>
    <w:rsid w:val="000D76FD"/>
    <w:rsid w:val="000D770F"/>
    <w:rsid w:val="000D777A"/>
    <w:rsid w:val="000D779E"/>
    <w:rsid w:val="000D790D"/>
    <w:rsid w:val="000D79B7"/>
    <w:rsid w:val="000D7B10"/>
    <w:rsid w:val="000D7B43"/>
    <w:rsid w:val="000D7CE5"/>
    <w:rsid w:val="000D7E1F"/>
    <w:rsid w:val="000E0009"/>
    <w:rsid w:val="000E001B"/>
    <w:rsid w:val="000E0210"/>
    <w:rsid w:val="000E0256"/>
    <w:rsid w:val="000E028C"/>
    <w:rsid w:val="000E042A"/>
    <w:rsid w:val="000E04E4"/>
    <w:rsid w:val="000E0568"/>
    <w:rsid w:val="000E057B"/>
    <w:rsid w:val="000E06CA"/>
    <w:rsid w:val="000E08D0"/>
    <w:rsid w:val="000E08FE"/>
    <w:rsid w:val="000E095D"/>
    <w:rsid w:val="000E0A74"/>
    <w:rsid w:val="000E0A7A"/>
    <w:rsid w:val="000E0B50"/>
    <w:rsid w:val="000E0CAB"/>
    <w:rsid w:val="000E0CEF"/>
    <w:rsid w:val="000E0CF0"/>
    <w:rsid w:val="000E0D30"/>
    <w:rsid w:val="000E0E55"/>
    <w:rsid w:val="000E0F24"/>
    <w:rsid w:val="000E1147"/>
    <w:rsid w:val="000E11AD"/>
    <w:rsid w:val="000E12C8"/>
    <w:rsid w:val="000E1308"/>
    <w:rsid w:val="000E1483"/>
    <w:rsid w:val="000E14C3"/>
    <w:rsid w:val="000E15E5"/>
    <w:rsid w:val="000E1601"/>
    <w:rsid w:val="000E162E"/>
    <w:rsid w:val="000E178A"/>
    <w:rsid w:val="000E195F"/>
    <w:rsid w:val="000E1CA4"/>
    <w:rsid w:val="000E1CF4"/>
    <w:rsid w:val="000E1DE1"/>
    <w:rsid w:val="000E1FFA"/>
    <w:rsid w:val="000E20B1"/>
    <w:rsid w:val="000E2146"/>
    <w:rsid w:val="000E2625"/>
    <w:rsid w:val="000E2702"/>
    <w:rsid w:val="000E2884"/>
    <w:rsid w:val="000E28AE"/>
    <w:rsid w:val="000E29A2"/>
    <w:rsid w:val="000E29B0"/>
    <w:rsid w:val="000E29B6"/>
    <w:rsid w:val="000E29F4"/>
    <w:rsid w:val="000E2E3D"/>
    <w:rsid w:val="000E2F0D"/>
    <w:rsid w:val="000E3015"/>
    <w:rsid w:val="000E3253"/>
    <w:rsid w:val="000E325B"/>
    <w:rsid w:val="000E32AD"/>
    <w:rsid w:val="000E3449"/>
    <w:rsid w:val="000E34E5"/>
    <w:rsid w:val="000E3530"/>
    <w:rsid w:val="000E3541"/>
    <w:rsid w:val="000E369A"/>
    <w:rsid w:val="000E36D8"/>
    <w:rsid w:val="000E380E"/>
    <w:rsid w:val="000E3A67"/>
    <w:rsid w:val="000E3BA2"/>
    <w:rsid w:val="000E3F6A"/>
    <w:rsid w:val="000E3FDD"/>
    <w:rsid w:val="000E401B"/>
    <w:rsid w:val="000E4086"/>
    <w:rsid w:val="000E40BF"/>
    <w:rsid w:val="000E416E"/>
    <w:rsid w:val="000E4428"/>
    <w:rsid w:val="000E446C"/>
    <w:rsid w:val="000E4474"/>
    <w:rsid w:val="000E4478"/>
    <w:rsid w:val="000E4551"/>
    <w:rsid w:val="000E4596"/>
    <w:rsid w:val="000E4639"/>
    <w:rsid w:val="000E4706"/>
    <w:rsid w:val="000E485B"/>
    <w:rsid w:val="000E4971"/>
    <w:rsid w:val="000E4972"/>
    <w:rsid w:val="000E49A4"/>
    <w:rsid w:val="000E4A59"/>
    <w:rsid w:val="000E4B0D"/>
    <w:rsid w:val="000E4B40"/>
    <w:rsid w:val="000E4CCE"/>
    <w:rsid w:val="000E4E9B"/>
    <w:rsid w:val="000E5185"/>
    <w:rsid w:val="000E5441"/>
    <w:rsid w:val="000E568D"/>
    <w:rsid w:val="000E57BD"/>
    <w:rsid w:val="000E5A91"/>
    <w:rsid w:val="000E5B85"/>
    <w:rsid w:val="000E5BB4"/>
    <w:rsid w:val="000E5C90"/>
    <w:rsid w:val="000E5E8B"/>
    <w:rsid w:val="000E5EF9"/>
    <w:rsid w:val="000E5F6D"/>
    <w:rsid w:val="000E5FA2"/>
    <w:rsid w:val="000E5FA6"/>
    <w:rsid w:val="000E61D7"/>
    <w:rsid w:val="000E6303"/>
    <w:rsid w:val="000E6495"/>
    <w:rsid w:val="000E6515"/>
    <w:rsid w:val="000E680F"/>
    <w:rsid w:val="000E696F"/>
    <w:rsid w:val="000E6B91"/>
    <w:rsid w:val="000E6E27"/>
    <w:rsid w:val="000E6F15"/>
    <w:rsid w:val="000E6F8D"/>
    <w:rsid w:val="000E7041"/>
    <w:rsid w:val="000E70B3"/>
    <w:rsid w:val="000E70E3"/>
    <w:rsid w:val="000E715A"/>
    <w:rsid w:val="000E7183"/>
    <w:rsid w:val="000E7280"/>
    <w:rsid w:val="000E73B4"/>
    <w:rsid w:val="000E74C0"/>
    <w:rsid w:val="000E7738"/>
    <w:rsid w:val="000E778D"/>
    <w:rsid w:val="000E779C"/>
    <w:rsid w:val="000E77EE"/>
    <w:rsid w:val="000E7B21"/>
    <w:rsid w:val="000E7BBB"/>
    <w:rsid w:val="000E7DA0"/>
    <w:rsid w:val="000E7DD8"/>
    <w:rsid w:val="000E7E54"/>
    <w:rsid w:val="000E7F01"/>
    <w:rsid w:val="000E7FA0"/>
    <w:rsid w:val="000F01E3"/>
    <w:rsid w:val="000F0277"/>
    <w:rsid w:val="000F067D"/>
    <w:rsid w:val="000F067F"/>
    <w:rsid w:val="000F0680"/>
    <w:rsid w:val="000F07A8"/>
    <w:rsid w:val="000F0964"/>
    <w:rsid w:val="000F09AB"/>
    <w:rsid w:val="000F0AE7"/>
    <w:rsid w:val="000F0CAA"/>
    <w:rsid w:val="000F0D6A"/>
    <w:rsid w:val="000F0F5F"/>
    <w:rsid w:val="000F0FE9"/>
    <w:rsid w:val="000F14EE"/>
    <w:rsid w:val="000F16D1"/>
    <w:rsid w:val="000F1800"/>
    <w:rsid w:val="000F1802"/>
    <w:rsid w:val="000F18A7"/>
    <w:rsid w:val="000F18B1"/>
    <w:rsid w:val="000F18B8"/>
    <w:rsid w:val="000F1999"/>
    <w:rsid w:val="000F1D60"/>
    <w:rsid w:val="000F1FD0"/>
    <w:rsid w:val="000F202D"/>
    <w:rsid w:val="000F2036"/>
    <w:rsid w:val="000F21B0"/>
    <w:rsid w:val="000F225B"/>
    <w:rsid w:val="000F2262"/>
    <w:rsid w:val="000F231F"/>
    <w:rsid w:val="000F237B"/>
    <w:rsid w:val="000F23B0"/>
    <w:rsid w:val="000F2604"/>
    <w:rsid w:val="000F26A9"/>
    <w:rsid w:val="000F26DD"/>
    <w:rsid w:val="000F28CE"/>
    <w:rsid w:val="000F2A10"/>
    <w:rsid w:val="000F2B20"/>
    <w:rsid w:val="000F2B25"/>
    <w:rsid w:val="000F2C3B"/>
    <w:rsid w:val="000F2D6D"/>
    <w:rsid w:val="000F2E48"/>
    <w:rsid w:val="000F2E7E"/>
    <w:rsid w:val="000F2EFE"/>
    <w:rsid w:val="000F2FDA"/>
    <w:rsid w:val="000F3094"/>
    <w:rsid w:val="000F3134"/>
    <w:rsid w:val="000F321B"/>
    <w:rsid w:val="000F337E"/>
    <w:rsid w:val="000F34D8"/>
    <w:rsid w:val="000F3530"/>
    <w:rsid w:val="000F3573"/>
    <w:rsid w:val="000F35D5"/>
    <w:rsid w:val="000F36DE"/>
    <w:rsid w:val="000F38B8"/>
    <w:rsid w:val="000F3A30"/>
    <w:rsid w:val="000F3A92"/>
    <w:rsid w:val="000F3BAB"/>
    <w:rsid w:val="000F3BF1"/>
    <w:rsid w:val="000F3C21"/>
    <w:rsid w:val="000F3ED7"/>
    <w:rsid w:val="000F406B"/>
    <w:rsid w:val="000F406C"/>
    <w:rsid w:val="000F40DD"/>
    <w:rsid w:val="000F41BA"/>
    <w:rsid w:val="000F435C"/>
    <w:rsid w:val="000F44AE"/>
    <w:rsid w:val="000F44D7"/>
    <w:rsid w:val="000F44F9"/>
    <w:rsid w:val="000F4567"/>
    <w:rsid w:val="000F45A3"/>
    <w:rsid w:val="000F46E6"/>
    <w:rsid w:val="000F4750"/>
    <w:rsid w:val="000F4794"/>
    <w:rsid w:val="000F47C5"/>
    <w:rsid w:val="000F4827"/>
    <w:rsid w:val="000F4839"/>
    <w:rsid w:val="000F4A9B"/>
    <w:rsid w:val="000F4B63"/>
    <w:rsid w:val="000F4CB3"/>
    <w:rsid w:val="000F4E83"/>
    <w:rsid w:val="000F4EE4"/>
    <w:rsid w:val="000F4EEA"/>
    <w:rsid w:val="000F50E8"/>
    <w:rsid w:val="000F5101"/>
    <w:rsid w:val="000F5171"/>
    <w:rsid w:val="000F523B"/>
    <w:rsid w:val="000F531A"/>
    <w:rsid w:val="000F53F4"/>
    <w:rsid w:val="000F5557"/>
    <w:rsid w:val="000F5563"/>
    <w:rsid w:val="000F55E3"/>
    <w:rsid w:val="000F5950"/>
    <w:rsid w:val="000F5BF7"/>
    <w:rsid w:val="000F5C0E"/>
    <w:rsid w:val="000F5C58"/>
    <w:rsid w:val="000F5C81"/>
    <w:rsid w:val="000F5EDA"/>
    <w:rsid w:val="000F5EFE"/>
    <w:rsid w:val="000F5F37"/>
    <w:rsid w:val="000F6006"/>
    <w:rsid w:val="000F62DD"/>
    <w:rsid w:val="000F62EA"/>
    <w:rsid w:val="000F652D"/>
    <w:rsid w:val="000F65A7"/>
    <w:rsid w:val="000F65F4"/>
    <w:rsid w:val="000F675F"/>
    <w:rsid w:val="000F6844"/>
    <w:rsid w:val="000F6B8B"/>
    <w:rsid w:val="000F6C35"/>
    <w:rsid w:val="000F6CF6"/>
    <w:rsid w:val="000F6F1B"/>
    <w:rsid w:val="000F7047"/>
    <w:rsid w:val="000F7196"/>
    <w:rsid w:val="000F71A8"/>
    <w:rsid w:val="000F72A3"/>
    <w:rsid w:val="000F72A5"/>
    <w:rsid w:val="000F7439"/>
    <w:rsid w:val="000F743C"/>
    <w:rsid w:val="000F74CE"/>
    <w:rsid w:val="000F763B"/>
    <w:rsid w:val="000F77E0"/>
    <w:rsid w:val="000F7830"/>
    <w:rsid w:val="000F7909"/>
    <w:rsid w:val="000F7BA0"/>
    <w:rsid w:val="000F7BC7"/>
    <w:rsid w:val="000F7EDA"/>
    <w:rsid w:val="0010002E"/>
    <w:rsid w:val="001001E5"/>
    <w:rsid w:val="001004AD"/>
    <w:rsid w:val="001004C3"/>
    <w:rsid w:val="00100877"/>
    <w:rsid w:val="00100945"/>
    <w:rsid w:val="0010094F"/>
    <w:rsid w:val="00100956"/>
    <w:rsid w:val="0010096A"/>
    <w:rsid w:val="00100AE8"/>
    <w:rsid w:val="00100B56"/>
    <w:rsid w:val="00100C80"/>
    <w:rsid w:val="00100E48"/>
    <w:rsid w:val="00100E53"/>
    <w:rsid w:val="00100F1F"/>
    <w:rsid w:val="00100F38"/>
    <w:rsid w:val="00100F49"/>
    <w:rsid w:val="001010AF"/>
    <w:rsid w:val="001010C5"/>
    <w:rsid w:val="001012DC"/>
    <w:rsid w:val="001012EA"/>
    <w:rsid w:val="001013CF"/>
    <w:rsid w:val="001015A6"/>
    <w:rsid w:val="0010161B"/>
    <w:rsid w:val="001017F5"/>
    <w:rsid w:val="0010182D"/>
    <w:rsid w:val="001018D8"/>
    <w:rsid w:val="001018EB"/>
    <w:rsid w:val="001019E1"/>
    <w:rsid w:val="00101B6E"/>
    <w:rsid w:val="00101B77"/>
    <w:rsid w:val="00101B9B"/>
    <w:rsid w:val="00101D21"/>
    <w:rsid w:val="0010208E"/>
    <w:rsid w:val="001020A7"/>
    <w:rsid w:val="001024BC"/>
    <w:rsid w:val="001024F2"/>
    <w:rsid w:val="001025D3"/>
    <w:rsid w:val="001026C4"/>
    <w:rsid w:val="001026C6"/>
    <w:rsid w:val="00102777"/>
    <w:rsid w:val="00102C76"/>
    <w:rsid w:val="0010315F"/>
    <w:rsid w:val="001032D7"/>
    <w:rsid w:val="00103532"/>
    <w:rsid w:val="00103593"/>
    <w:rsid w:val="00103606"/>
    <w:rsid w:val="00103666"/>
    <w:rsid w:val="0010366C"/>
    <w:rsid w:val="001036B3"/>
    <w:rsid w:val="001036FF"/>
    <w:rsid w:val="00103924"/>
    <w:rsid w:val="0010394C"/>
    <w:rsid w:val="00103988"/>
    <w:rsid w:val="00103A96"/>
    <w:rsid w:val="00103C6A"/>
    <w:rsid w:val="00103D0E"/>
    <w:rsid w:val="00103D29"/>
    <w:rsid w:val="00104267"/>
    <w:rsid w:val="0010428B"/>
    <w:rsid w:val="0010432C"/>
    <w:rsid w:val="001043C7"/>
    <w:rsid w:val="001045D7"/>
    <w:rsid w:val="001045FD"/>
    <w:rsid w:val="00104A76"/>
    <w:rsid w:val="00104AAB"/>
    <w:rsid w:val="00104ADD"/>
    <w:rsid w:val="00104B67"/>
    <w:rsid w:val="00104C3E"/>
    <w:rsid w:val="00104D74"/>
    <w:rsid w:val="00104EC7"/>
    <w:rsid w:val="0010523C"/>
    <w:rsid w:val="001054D0"/>
    <w:rsid w:val="001057C5"/>
    <w:rsid w:val="00105932"/>
    <w:rsid w:val="00105AB5"/>
    <w:rsid w:val="00105B10"/>
    <w:rsid w:val="00105B54"/>
    <w:rsid w:val="00105B9C"/>
    <w:rsid w:val="00105D25"/>
    <w:rsid w:val="00105D97"/>
    <w:rsid w:val="00105FBA"/>
    <w:rsid w:val="00106149"/>
    <w:rsid w:val="00106174"/>
    <w:rsid w:val="001062E5"/>
    <w:rsid w:val="00106527"/>
    <w:rsid w:val="00106631"/>
    <w:rsid w:val="00106773"/>
    <w:rsid w:val="001067F1"/>
    <w:rsid w:val="001068FA"/>
    <w:rsid w:val="0010693A"/>
    <w:rsid w:val="00106A7B"/>
    <w:rsid w:val="00106AB3"/>
    <w:rsid w:val="00106B23"/>
    <w:rsid w:val="00106C0D"/>
    <w:rsid w:val="00106C3D"/>
    <w:rsid w:val="00106E35"/>
    <w:rsid w:val="00106EEF"/>
    <w:rsid w:val="00106F39"/>
    <w:rsid w:val="00106FC0"/>
    <w:rsid w:val="00106FD6"/>
    <w:rsid w:val="001070C7"/>
    <w:rsid w:val="001071F3"/>
    <w:rsid w:val="00107304"/>
    <w:rsid w:val="00107430"/>
    <w:rsid w:val="00107671"/>
    <w:rsid w:val="00107859"/>
    <w:rsid w:val="00107AA0"/>
    <w:rsid w:val="00107B1F"/>
    <w:rsid w:val="00107C5A"/>
    <w:rsid w:val="00107CA3"/>
    <w:rsid w:val="00107CF4"/>
    <w:rsid w:val="00107D02"/>
    <w:rsid w:val="00107D70"/>
    <w:rsid w:val="00107D83"/>
    <w:rsid w:val="00107DDC"/>
    <w:rsid w:val="00107FA7"/>
    <w:rsid w:val="00110066"/>
    <w:rsid w:val="0011039D"/>
    <w:rsid w:val="00110420"/>
    <w:rsid w:val="00110507"/>
    <w:rsid w:val="00110638"/>
    <w:rsid w:val="00110B18"/>
    <w:rsid w:val="00110B2C"/>
    <w:rsid w:val="00110BEB"/>
    <w:rsid w:val="00110E9F"/>
    <w:rsid w:val="00110EE6"/>
    <w:rsid w:val="00110F69"/>
    <w:rsid w:val="001111BB"/>
    <w:rsid w:val="001111E2"/>
    <w:rsid w:val="00111254"/>
    <w:rsid w:val="00111348"/>
    <w:rsid w:val="001113AF"/>
    <w:rsid w:val="0011141C"/>
    <w:rsid w:val="00111436"/>
    <w:rsid w:val="001114A8"/>
    <w:rsid w:val="001114FF"/>
    <w:rsid w:val="00111634"/>
    <w:rsid w:val="00111816"/>
    <w:rsid w:val="00111A40"/>
    <w:rsid w:val="00111AC8"/>
    <w:rsid w:val="00111B67"/>
    <w:rsid w:val="00111C43"/>
    <w:rsid w:val="00111D95"/>
    <w:rsid w:val="00112132"/>
    <w:rsid w:val="0011217D"/>
    <w:rsid w:val="0011221F"/>
    <w:rsid w:val="00112365"/>
    <w:rsid w:val="00112801"/>
    <w:rsid w:val="00112922"/>
    <w:rsid w:val="00112A1E"/>
    <w:rsid w:val="00112ABA"/>
    <w:rsid w:val="00112AF2"/>
    <w:rsid w:val="00112D19"/>
    <w:rsid w:val="00112ED0"/>
    <w:rsid w:val="00112F8A"/>
    <w:rsid w:val="0011300D"/>
    <w:rsid w:val="0011318E"/>
    <w:rsid w:val="0011324B"/>
    <w:rsid w:val="00113417"/>
    <w:rsid w:val="0011341F"/>
    <w:rsid w:val="001134D9"/>
    <w:rsid w:val="00113509"/>
    <w:rsid w:val="00113560"/>
    <w:rsid w:val="0011394A"/>
    <w:rsid w:val="00113A93"/>
    <w:rsid w:val="00113CCD"/>
    <w:rsid w:val="00113FD0"/>
    <w:rsid w:val="00114002"/>
    <w:rsid w:val="00114194"/>
    <w:rsid w:val="00114383"/>
    <w:rsid w:val="001143E6"/>
    <w:rsid w:val="00114705"/>
    <w:rsid w:val="001147D2"/>
    <w:rsid w:val="0011485A"/>
    <w:rsid w:val="00114880"/>
    <w:rsid w:val="00114C99"/>
    <w:rsid w:val="00114D38"/>
    <w:rsid w:val="00114F3F"/>
    <w:rsid w:val="00114FBF"/>
    <w:rsid w:val="0011502F"/>
    <w:rsid w:val="00115097"/>
    <w:rsid w:val="00115126"/>
    <w:rsid w:val="00115278"/>
    <w:rsid w:val="0011529A"/>
    <w:rsid w:val="00115377"/>
    <w:rsid w:val="001153F0"/>
    <w:rsid w:val="00115551"/>
    <w:rsid w:val="0011570B"/>
    <w:rsid w:val="00115891"/>
    <w:rsid w:val="00115943"/>
    <w:rsid w:val="00115986"/>
    <w:rsid w:val="00115BF3"/>
    <w:rsid w:val="00115C37"/>
    <w:rsid w:val="00115DD2"/>
    <w:rsid w:val="001160CC"/>
    <w:rsid w:val="0011642C"/>
    <w:rsid w:val="00116611"/>
    <w:rsid w:val="0011667B"/>
    <w:rsid w:val="001169A4"/>
    <w:rsid w:val="00116AE6"/>
    <w:rsid w:val="00116B31"/>
    <w:rsid w:val="00116C35"/>
    <w:rsid w:val="00116CE5"/>
    <w:rsid w:val="00116DD7"/>
    <w:rsid w:val="00117066"/>
    <w:rsid w:val="0011716B"/>
    <w:rsid w:val="00117322"/>
    <w:rsid w:val="001175A5"/>
    <w:rsid w:val="0011761A"/>
    <w:rsid w:val="0011763C"/>
    <w:rsid w:val="00117880"/>
    <w:rsid w:val="00117992"/>
    <w:rsid w:val="00117A43"/>
    <w:rsid w:val="00117BE2"/>
    <w:rsid w:val="00117C82"/>
    <w:rsid w:val="00117DDB"/>
    <w:rsid w:val="00117EB4"/>
    <w:rsid w:val="00120056"/>
    <w:rsid w:val="001201E5"/>
    <w:rsid w:val="00120290"/>
    <w:rsid w:val="00120359"/>
    <w:rsid w:val="001206D9"/>
    <w:rsid w:val="00120740"/>
    <w:rsid w:val="00120795"/>
    <w:rsid w:val="00120882"/>
    <w:rsid w:val="00120A07"/>
    <w:rsid w:val="00120A37"/>
    <w:rsid w:val="00120AB7"/>
    <w:rsid w:val="00120D32"/>
    <w:rsid w:val="00121026"/>
    <w:rsid w:val="001215CD"/>
    <w:rsid w:val="00121606"/>
    <w:rsid w:val="0012174E"/>
    <w:rsid w:val="001218A5"/>
    <w:rsid w:val="00121BD8"/>
    <w:rsid w:val="00121C11"/>
    <w:rsid w:val="00121CB9"/>
    <w:rsid w:val="00121CBD"/>
    <w:rsid w:val="00121D4E"/>
    <w:rsid w:val="00121D85"/>
    <w:rsid w:val="00121EAF"/>
    <w:rsid w:val="00121F72"/>
    <w:rsid w:val="00122068"/>
    <w:rsid w:val="00122179"/>
    <w:rsid w:val="001223D9"/>
    <w:rsid w:val="00122529"/>
    <w:rsid w:val="0012253E"/>
    <w:rsid w:val="00122711"/>
    <w:rsid w:val="0012290C"/>
    <w:rsid w:val="00122BA2"/>
    <w:rsid w:val="00122DF8"/>
    <w:rsid w:val="00122E4E"/>
    <w:rsid w:val="00122F84"/>
    <w:rsid w:val="0012300A"/>
    <w:rsid w:val="00123079"/>
    <w:rsid w:val="001231E7"/>
    <w:rsid w:val="00123358"/>
    <w:rsid w:val="00123440"/>
    <w:rsid w:val="0012356D"/>
    <w:rsid w:val="00123579"/>
    <w:rsid w:val="001239BA"/>
    <w:rsid w:val="001239E0"/>
    <w:rsid w:val="00123A31"/>
    <w:rsid w:val="00123A6F"/>
    <w:rsid w:val="00123AFF"/>
    <w:rsid w:val="00123B17"/>
    <w:rsid w:val="00123B35"/>
    <w:rsid w:val="00123B98"/>
    <w:rsid w:val="00123C06"/>
    <w:rsid w:val="00123D6A"/>
    <w:rsid w:val="00123E01"/>
    <w:rsid w:val="00123F27"/>
    <w:rsid w:val="00124007"/>
    <w:rsid w:val="00124047"/>
    <w:rsid w:val="0012414D"/>
    <w:rsid w:val="0012423A"/>
    <w:rsid w:val="0012438F"/>
    <w:rsid w:val="00124453"/>
    <w:rsid w:val="00124464"/>
    <w:rsid w:val="0012447B"/>
    <w:rsid w:val="00124556"/>
    <w:rsid w:val="00124782"/>
    <w:rsid w:val="001247CF"/>
    <w:rsid w:val="0012487D"/>
    <w:rsid w:val="00124999"/>
    <w:rsid w:val="00124C55"/>
    <w:rsid w:val="00124CFC"/>
    <w:rsid w:val="00124D5A"/>
    <w:rsid w:val="00124D97"/>
    <w:rsid w:val="00124EE6"/>
    <w:rsid w:val="00124F60"/>
    <w:rsid w:val="00124FDA"/>
    <w:rsid w:val="00125161"/>
    <w:rsid w:val="0012529E"/>
    <w:rsid w:val="0012533B"/>
    <w:rsid w:val="00125449"/>
    <w:rsid w:val="0012565B"/>
    <w:rsid w:val="001256F2"/>
    <w:rsid w:val="0012572E"/>
    <w:rsid w:val="0012582B"/>
    <w:rsid w:val="001258F3"/>
    <w:rsid w:val="0012595C"/>
    <w:rsid w:val="0012596F"/>
    <w:rsid w:val="00125AC3"/>
    <w:rsid w:val="00125D6B"/>
    <w:rsid w:val="00125EBC"/>
    <w:rsid w:val="00126072"/>
    <w:rsid w:val="001260EC"/>
    <w:rsid w:val="00126144"/>
    <w:rsid w:val="00126327"/>
    <w:rsid w:val="001264AF"/>
    <w:rsid w:val="001264FD"/>
    <w:rsid w:val="00126830"/>
    <w:rsid w:val="00126A3F"/>
    <w:rsid w:val="00126A75"/>
    <w:rsid w:val="00126B3C"/>
    <w:rsid w:val="00126D7D"/>
    <w:rsid w:val="00126DF0"/>
    <w:rsid w:val="00126E25"/>
    <w:rsid w:val="00127030"/>
    <w:rsid w:val="0012714B"/>
    <w:rsid w:val="00127176"/>
    <w:rsid w:val="00127241"/>
    <w:rsid w:val="001274BE"/>
    <w:rsid w:val="001276E3"/>
    <w:rsid w:val="00127802"/>
    <w:rsid w:val="00127955"/>
    <w:rsid w:val="00127A06"/>
    <w:rsid w:val="00127B15"/>
    <w:rsid w:val="00127B1A"/>
    <w:rsid w:val="00127CAA"/>
    <w:rsid w:val="00127D25"/>
    <w:rsid w:val="00127D94"/>
    <w:rsid w:val="00127F5A"/>
    <w:rsid w:val="00130032"/>
    <w:rsid w:val="00130131"/>
    <w:rsid w:val="0013020B"/>
    <w:rsid w:val="00130312"/>
    <w:rsid w:val="001304CF"/>
    <w:rsid w:val="0013081E"/>
    <w:rsid w:val="00130ACE"/>
    <w:rsid w:val="00130B4B"/>
    <w:rsid w:val="00130C59"/>
    <w:rsid w:val="00130D7A"/>
    <w:rsid w:val="00130FAC"/>
    <w:rsid w:val="00130FCC"/>
    <w:rsid w:val="0013103A"/>
    <w:rsid w:val="00131040"/>
    <w:rsid w:val="00131055"/>
    <w:rsid w:val="00131069"/>
    <w:rsid w:val="001311B2"/>
    <w:rsid w:val="0013122A"/>
    <w:rsid w:val="001315D5"/>
    <w:rsid w:val="0013161D"/>
    <w:rsid w:val="001316D5"/>
    <w:rsid w:val="00131704"/>
    <w:rsid w:val="0013190A"/>
    <w:rsid w:val="00131A67"/>
    <w:rsid w:val="00131BCF"/>
    <w:rsid w:val="00131D94"/>
    <w:rsid w:val="00131E1A"/>
    <w:rsid w:val="00131F0B"/>
    <w:rsid w:val="00131FDB"/>
    <w:rsid w:val="00132131"/>
    <w:rsid w:val="0013217B"/>
    <w:rsid w:val="00132464"/>
    <w:rsid w:val="0013255E"/>
    <w:rsid w:val="001328CF"/>
    <w:rsid w:val="00132945"/>
    <w:rsid w:val="001329EA"/>
    <w:rsid w:val="00132C82"/>
    <w:rsid w:val="00132CEC"/>
    <w:rsid w:val="00132D8E"/>
    <w:rsid w:val="001330DF"/>
    <w:rsid w:val="001331A0"/>
    <w:rsid w:val="001331EE"/>
    <w:rsid w:val="00133272"/>
    <w:rsid w:val="001332EC"/>
    <w:rsid w:val="0013333C"/>
    <w:rsid w:val="00133347"/>
    <w:rsid w:val="00133437"/>
    <w:rsid w:val="0013350B"/>
    <w:rsid w:val="001335BF"/>
    <w:rsid w:val="00133660"/>
    <w:rsid w:val="0013380A"/>
    <w:rsid w:val="0013382F"/>
    <w:rsid w:val="00133954"/>
    <w:rsid w:val="001339A8"/>
    <w:rsid w:val="00133B15"/>
    <w:rsid w:val="00133BB4"/>
    <w:rsid w:val="00133CBC"/>
    <w:rsid w:val="00133D2C"/>
    <w:rsid w:val="00133D32"/>
    <w:rsid w:val="00133E79"/>
    <w:rsid w:val="00133E86"/>
    <w:rsid w:val="00133F8F"/>
    <w:rsid w:val="0013401D"/>
    <w:rsid w:val="0013403D"/>
    <w:rsid w:val="0013412F"/>
    <w:rsid w:val="00134244"/>
    <w:rsid w:val="0013427D"/>
    <w:rsid w:val="00134403"/>
    <w:rsid w:val="00134546"/>
    <w:rsid w:val="001348A2"/>
    <w:rsid w:val="001349B0"/>
    <w:rsid w:val="001349FC"/>
    <w:rsid w:val="00134A65"/>
    <w:rsid w:val="00135170"/>
    <w:rsid w:val="001351E6"/>
    <w:rsid w:val="00135222"/>
    <w:rsid w:val="001352D1"/>
    <w:rsid w:val="0013555A"/>
    <w:rsid w:val="001356A2"/>
    <w:rsid w:val="00135816"/>
    <w:rsid w:val="0013589D"/>
    <w:rsid w:val="00135ABF"/>
    <w:rsid w:val="00135BEA"/>
    <w:rsid w:val="00135E94"/>
    <w:rsid w:val="00136040"/>
    <w:rsid w:val="0013608D"/>
    <w:rsid w:val="00136423"/>
    <w:rsid w:val="0013649B"/>
    <w:rsid w:val="001365A0"/>
    <w:rsid w:val="001365E1"/>
    <w:rsid w:val="00136842"/>
    <w:rsid w:val="001368F9"/>
    <w:rsid w:val="00136A38"/>
    <w:rsid w:val="00136C98"/>
    <w:rsid w:val="00136F29"/>
    <w:rsid w:val="00136F84"/>
    <w:rsid w:val="001370F7"/>
    <w:rsid w:val="0013718B"/>
    <w:rsid w:val="001371EF"/>
    <w:rsid w:val="0013747B"/>
    <w:rsid w:val="00137641"/>
    <w:rsid w:val="0013767B"/>
    <w:rsid w:val="001376E9"/>
    <w:rsid w:val="0013771F"/>
    <w:rsid w:val="00137807"/>
    <w:rsid w:val="00137854"/>
    <w:rsid w:val="001379C1"/>
    <w:rsid w:val="00137A2F"/>
    <w:rsid w:val="00137A5A"/>
    <w:rsid w:val="00137A7B"/>
    <w:rsid w:val="00137AD4"/>
    <w:rsid w:val="00137E0A"/>
    <w:rsid w:val="00137F71"/>
    <w:rsid w:val="00137F95"/>
    <w:rsid w:val="00140277"/>
    <w:rsid w:val="001403B7"/>
    <w:rsid w:val="001403F0"/>
    <w:rsid w:val="00140412"/>
    <w:rsid w:val="0014041F"/>
    <w:rsid w:val="0014043E"/>
    <w:rsid w:val="001404C4"/>
    <w:rsid w:val="001406C7"/>
    <w:rsid w:val="001407AB"/>
    <w:rsid w:val="001409F5"/>
    <w:rsid w:val="00140B20"/>
    <w:rsid w:val="00140D85"/>
    <w:rsid w:val="001410FA"/>
    <w:rsid w:val="00141289"/>
    <w:rsid w:val="00141407"/>
    <w:rsid w:val="001414BF"/>
    <w:rsid w:val="00141544"/>
    <w:rsid w:val="001415D8"/>
    <w:rsid w:val="0014176C"/>
    <w:rsid w:val="00141886"/>
    <w:rsid w:val="00141BA7"/>
    <w:rsid w:val="00141C28"/>
    <w:rsid w:val="00141D2D"/>
    <w:rsid w:val="00141EDE"/>
    <w:rsid w:val="00141F01"/>
    <w:rsid w:val="00141F16"/>
    <w:rsid w:val="001420B0"/>
    <w:rsid w:val="0014214B"/>
    <w:rsid w:val="001422CE"/>
    <w:rsid w:val="00142352"/>
    <w:rsid w:val="001423DD"/>
    <w:rsid w:val="0014255F"/>
    <w:rsid w:val="00142605"/>
    <w:rsid w:val="001426E0"/>
    <w:rsid w:val="00142756"/>
    <w:rsid w:val="0014286F"/>
    <w:rsid w:val="00142937"/>
    <w:rsid w:val="00142A20"/>
    <w:rsid w:val="00142B9A"/>
    <w:rsid w:val="00142D08"/>
    <w:rsid w:val="00143071"/>
    <w:rsid w:val="001431EF"/>
    <w:rsid w:val="001432CF"/>
    <w:rsid w:val="0014352F"/>
    <w:rsid w:val="001435BC"/>
    <w:rsid w:val="00143784"/>
    <w:rsid w:val="00143937"/>
    <w:rsid w:val="00143A0B"/>
    <w:rsid w:val="00143ADD"/>
    <w:rsid w:val="00143B87"/>
    <w:rsid w:val="00143C1E"/>
    <w:rsid w:val="00143E36"/>
    <w:rsid w:val="00144116"/>
    <w:rsid w:val="00144283"/>
    <w:rsid w:val="0014432E"/>
    <w:rsid w:val="00144555"/>
    <w:rsid w:val="0014455E"/>
    <w:rsid w:val="001445D4"/>
    <w:rsid w:val="0014465B"/>
    <w:rsid w:val="001446FC"/>
    <w:rsid w:val="001447A4"/>
    <w:rsid w:val="00144901"/>
    <w:rsid w:val="00144963"/>
    <w:rsid w:val="00144AF1"/>
    <w:rsid w:val="00144B0B"/>
    <w:rsid w:val="00144BEC"/>
    <w:rsid w:val="00144C39"/>
    <w:rsid w:val="00144D8D"/>
    <w:rsid w:val="00144E52"/>
    <w:rsid w:val="00144EA5"/>
    <w:rsid w:val="00144F21"/>
    <w:rsid w:val="0014502B"/>
    <w:rsid w:val="00145096"/>
    <w:rsid w:val="0014517A"/>
    <w:rsid w:val="00145290"/>
    <w:rsid w:val="0014529B"/>
    <w:rsid w:val="00145392"/>
    <w:rsid w:val="0014541B"/>
    <w:rsid w:val="0014544A"/>
    <w:rsid w:val="001455EA"/>
    <w:rsid w:val="0014565B"/>
    <w:rsid w:val="0014579E"/>
    <w:rsid w:val="00145811"/>
    <w:rsid w:val="001458D6"/>
    <w:rsid w:val="00145AF7"/>
    <w:rsid w:val="00145DA2"/>
    <w:rsid w:val="00145DA8"/>
    <w:rsid w:val="00145FBC"/>
    <w:rsid w:val="00145FFD"/>
    <w:rsid w:val="001461E9"/>
    <w:rsid w:val="0014629A"/>
    <w:rsid w:val="0014630E"/>
    <w:rsid w:val="001463A6"/>
    <w:rsid w:val="0014657C"/>
    <w:rsid w:val="0014662B"/>
    <w:rsid w:val="00146761"/>
    <w:rsid w:val="001467EF"/>
    <w:rsid w:val="00146A82"/>
    <w:rsid w:val="00146BA3"/>
    <w:rsid w:val="00146C46"/>
    <w:rsid w:val="00146C4D"/>
    <w:rsid w:val="00146D82"/>
    <w:rsid w:val="00146DBB"/>
    <w:rsid w:val="00147125"/>
    <w:rsid w:val="0014716C"/>
    <w:rsid w:val="001471CC"/>
    <w:rsid w:val="00147355"/>
    <w:rsid w:val="001475FE"/>
    <w:rsid w:val="0014774E"/>
    <w:rsid w:val="001479A7"/>
    <w:rsid w:val="00147A03"/>
    <w:rsid w:val="00147B79"/>
    <w:rsid w:val="00147BB3"/>
    <w:rsid w:val="00147BD8"/>
    <w:rsid w:val="00147BD9"/>
    <w:rsid w:val="00147CC3"/>
    <w:rsid w:val="00147D1F"/>
    <w:rsid w:val="00147D2D"/>
    <w:rsid w:val="00147D66"/>
    <w:rsid w:val="00147D78"/>
    <w:rsid w:val="00147E91"/>
    <w:rsid w:val="00147F86"/>
    <w:rsid w:val="00150184"/>
    <w:rsid w:val="001502F7"/>
    <w:rsid w:val="0015034C"/>
    <w:rsid w:val="0015035C"/>
    <w:rsid w:val="00150360"/>
    <w:rsid w:val="001505F9"/>
    <w:rsid w:val="001506F7"/>
    <w:rsid w:val="00150725"/>
    <w:rsid w:val="001507EC"/>
    <w:rsid w:val="0015089B"/>
    <w:rsid w:val="00150B09"/>
    <w:rsid w:val="00150C7C"/>
    <w:rsid w:val="00150FD1"/>
    <w:rsid w:val="00151055"/>
    <w:rsid w:val="0015123E"/>
    <w:rsid w:val="0015127E"/>
    <w:rsid w:val="0015133F"/>
    <w:rsid w:val="00151388"/>
    <w:rsid w:val="00151540"/>
    <w:rsid w:val="001517CF"/>
    <w:rsid w:val="00151B61"/>
    <w:rsid w:val="00151B65"/>
    <w:rsid w:val="00151B8A"/>
    <w:rsid w:val="00151F73"/>
    <w:rsid w:val="001520FC"/>
    <w:rsid w:val="00152100"/>
    <w:rsid w:val="001522A8"/>
    <w:rsid w:val="001522F2"/>
    <w:rsid w:val="0015230E"/>
    <w:rsid w:val="0015231C"/>
    <w:rsid w:val="0015235B"/>
    <w:rsid w:val="001523B4"/>
    <w:rsid w:val="00152413"/>
    <w:rsid w:val="001524C6"/>
    <w:rsid w:val="001526CF"/>
    <w:rsid w:val="0015273B"/>
    <w:rsid w:val="00152989"/>
    <w:rsid w:val="00152A8E"/>
    <w:rsid w:val="00152BF2"/>
    <w:rsid w:val="00152C1B"/>
    <w:rsid w:val="00152E6F"/>
    <w:rsid w:val="00152EF4"/>
    <w:rsid w:val="00152F08"/>
    <w:rsid w:val="00152F8F"/>
    <w:rsid w:val="00152FC3"/>
    <w:rsid w:val="0015306D"/>
    <w:rsid w:val="00153163"/>
    <w:rsid w:val="0015319A"/>
    <w:rsid w:val="001534F7"/>
    <w:rsid w:val="00153529"/>
    <w:rsid w:val="0015370F"/>
    <w:rsid w:val="0015387D"/>
    <w:rsid w:val="00153890"/>
    <w:rsid w:val="00153BD5"/>
    <w:rsid w:val="00153CA5"/>
    <w:rsid w:val="00153E69"/>
    <w:rsid w:val="0015400B"/>
    <w:rsid w:val="00154107"/>
    <w:rsid w:val="001542E0"/>
    <w:rsid w:val="0015442C"/>
    <w:rsid w:val="00154440"/>
    <w:rsid w:val="0015446D"/>
    <w:rsid w:val="0015458C"/>
    <w:rsid w:val="001546CE"/>
    <w:rsid w:val="00154741"/>
    <w:rsid w:val="001547DE"/>
    <w:rsid w:val="001547E4"/>
    <w:rsid w:val="00154AF3"/>
    <w:rsid w:val="00154B0B"/>
    <w:rsid w:val="00154B1A"/>
    <w:rsid w:val="00154D47"/>
    <w:rsid w:val="00154EF0"/>
    <w:rsid w:val="00154FFC"/>
    <w:rsid w:val="00155196"/>
    <w:rsid w:val="001551B9"/>
    <w:rsid w:val="001551D6"/>
    <w:rsid w:val="001552B0"/>
    <w:rsid w:val="00155437"/>
    <w:rsid w:val="00155479"/>
    <w:rsid w:val="00155804"/>
    <w:rsid w:val="00155984"/>
    <w:rsid w:val="001559D7"/>
    <w:rsid w:val="00155C30"/>
    <w:rsid w:val="00155CAA"/>
    <w:rsid w:val="00155D05"/>
    <w:rsid w:val="00155F29"/>
    <w:rsid w:val="00155F59"/>
    <w:rsid w:val="001561D4"/>
    <w:rsid w:val="00156456"/>
    <w:rsid w:val="001568E1"/>
    <w:rsid w:val="0015690D"/>
    <w:rsid w:val="0015696B"/>
    <w:rsid w:val="00156C14"/>
    <w:rsid w:val="00156CE6"/>
    <w:rsid w:val="00156D76"/>
    <w:rsid w:val="00156F64"/>
    <w:rsid w:val="00156FDE"/>
    <w:rsid w:val="0015742B"/>
    <w:rsid w:val="0015753C"/>
    <w:rsid w:val="00157610"/>
    <w:rsid w:val="001577E4"/>
    <w:rsid w:val="00157A3F"/>
    <w:rsid w:val="00157B92"/>
    <w:rsid w:val="00157CF7"/>
    <w:rsid w:val="00157E75"/>
    <w:rsid w:val="00160295"/>
    <w:rsid w:val="001602C5"/>
    <w:rsid w:val="00160345"/>
    <w:rsid w:val="00160369"/>
    <w:rsid w:val="00160409"/>
    <w:rsid w:val="00160460"/>
    <w:rsid w:val="00160585"/>
    <w:rsid w:val="001606E0"/>
    <w:rsid w:val="001606FD"/>
    <w:rsid w:val="00160758"/>
    <w:rsid w:val="001607AA"/>
    <w:rsid w:val="001609EC"/>
    <w:rsid w:val="00160A6A"/>
    <w:rsid w:val="00160B5C"/>
    <w:rsid w:val="00160C9E"/>
    <w:rsid w:val="00160CA1"/>
    <w:rsid w:val="00160DC1"/>
    <w:rsid w:val="00160E59"/>
    <w:rsid w:val="0016100F"/>
    <w:rsid w:val="0016105E"/>
    <w:rsid w:val="001612A3"/>
    <w:rsid w:val="0016155B"/>
    <w:rsid w:val="001616EB"/>
    <w:rsid w:val="00161781"/>
    <w:rsid w:val="00161869"/>
    <w:rsid w:val="00161893"/>
    <w:rsid w:val="00161956"/>
    <w:rsid w:val="001619E3"/>
    <w:rsid w:val="00161BD8"/>
    <w:rsid w:val="00161D69"/>
    <w:rsid w:val="00161F7D"/>
    <w:rsid w:val="00161FF2"/>
    <w:rsid w:val="00162159"/>
    <w:rsid w:val="001621D9"/>
    <w:rsid w:val="00162333"/>
    <w:rsid w:val="001623F5"/>
    <w:rsid w:val="001623FD"/>
    <w:rsid w:val="00162446"/>
    <w:rsid w:val="00162500"/>
    <w:rsid w:val="0016261A"/>
    <w:rsid w:val="00162707"/>
    <w:rsid w:val="00162797"/>
    <w:rsid w:val="001627CC"/>
    <w:rsid w:val="00162975"/>
    <w:rsid w:val="00162EC7"/>
    <w:rsid w:val="001631BF"/>
    <w:rsid w:val="0016325A"/>
    <w:rsid w:val="00163271"/>
    <w:rsid w:val="00163357"/>
    <w:rsid w:val="001635BC"/>
    <w:rsid w:val="001636EC"/>
    <w:rsid w:val="001637DF"/>
    <w:rsid w:val="00163A9E"/>
    <w:rsid w:val="00163B35"/>
    <w:rsid w:val="00163D72"/>
    <w:rsid w:val="00164017"/>
    <w:rsid w:val="0016415D"/>
    <w:rsid w:val="001641E7"/>
    <w:rsid w:val="00164219"/>
    <w:rsid w:val="001644A5"/>
    <w:rsid w:val="001644D4"/>
    <w:rsid w:val="00164633"/>
    <w:rsid w:val="00164A4B"/>
    <w:rsid w:val="00164B79"/>
    <w:rsid w:val="00164F82"/>
    <w:rsid w:val="00165025"/>
    <w:rsid w:val="0016507D"/>
    <w:rsid w:val="00165256"/>
    <w:rsid w:val="00165261"/>
    <w:rsid w:val="00165297"/>
    <w:rsid w:val="0016537D"/>
    <w:rsid w:val="0016538C"/>
    <w:rsid w:val="0016572F"/>
    <w:rsid w:val="001659CD"/>
    <w:rsid w:val="00165AB7"/>
    <w:rsid w:val="00165B08"/>
    <w:rsid w:val="00165B5A"/>
    <w:rsid w:val="00165BF9"/>
    <w:rsid w:val="00165E14"/>
    <w:rsid w:val="00165E60"/>
    <w:rsid w:val="00165EAE"/>
    <w:rsid w:val="0016608E"/>
    <w:rsid w:val="001662A1"/>
    <w:rsid w:val="001662D3"/>
    <w:rsid w:val="001665C7"/>
    <w:rsid w:val="00166645"/>
    <w:rsid w:val="0016696E"/>
    <w:rsid w:val="0016698E"/>
    <w:rsid w:val="001669E7"/>
    <w:rsid w:val="00166A49"/>
    <w:rsid w:val="00166BEE"/>
    <w:rsid w:val="001670F1"/>
    <w:rsid w:val="0016712E"/>
    <w:rsid w:val="00167240"/>
    <w:rsid w:val="00167528"/>
    <w:rsid w:val="00167654"/>
    <w:rsid w:val="00167900"/>
    <w:rsid w:val="00167981"/>
    <w:rsid w:val="001679B3"/>
    <w:rsid w:val="00167BD7"/>
    <w:rsid w:val="00167C32"/>
    <w:rsid w:val="00167C9E"/>
    <w:rsid w:val="00167E25"/>
    <w:rsid w:val="00167EE3"/>
    <w:rsid w:val="00167F77"/>
    <w:rsid w:val="00170074"/>
    <w:rsid w:val="0017008A"/>
    <w:rsid w:val="00170138"/>
    <w:rsid w:val="00170341"/>
    <w:rsid w:val="001703A6"/>
    <w:rsid w:val="00170426"/>
    <w:rsid w:val="001705F5"/>
    <w:rsid w:val="001708B2"/>
    <w:rsid w:val="0017094B"/>
    <w:rsid w:val="00170C10"/>
    <w:rsid w:val="00170E28"/>
    <w:rsid w:val="00170E67"/>
    <w:rsid w:val="00171002"/>
    <w:rsid w:val="00171022"/>
    <w:rsid w:val="00171240"/>
    <w:rsid w:val="001714F8"/>
    <w:rsid w:val="00171664"/>
    <w:rsid w:val="00171857"/>
    <w:rsid w:val="001718F1"/>
    <w:rsid w:val="00171A4E"/>
    <w:rsid w:val="00171ADC"/>
    <w:rsid w:val="00171BE0"/>
    <w:rsid w:val="00171CE3"/>
    <w:rsid w:val="00171D0F"/>
    <w:rsid w:val="00171E4E"/>
    <w:rsid w:val="00171FD2"/>
    <w:rsid w:val="0017219C"/>
    <w:rsid w:val="001721B7"/>
    <w:rsid w:val="00172407"/>
    <w:rsid w:val="0017245F"/>
    <w:rsid w:val="001724B7"/>
    <w:rsid w:val="0017266D"/>
    <w:rsid w:val="001729F1"/>
    <w:rsid w:val="00172E1D"/>
    <w:rsid w:val="00172F36"/>
    <w:rsid w:val="001731BA"/>
    <w:rsid w:val="00173356"/>
    <w:rsid w:val="001738C2"/>
    <w:rsid w:val="00173975"/>
    <w:rsid w:val="00173B4F"/>
    <w:rsid w:val="00173BEC"/>
    <w:rsid w:val="00173C7A"/>
    <w:rsid w:val="00173C81"/>
    <w:rsid w:val="00173E24"/>
    <w:rsid w:val="00173E8C"/>
    <w:rsid w:val="00173FBC"/>
    <w:rsid w:val="00173FE8"/>
    <w:rsid w:val="001740C4"/>
    <w:rsid w:val="001740C5"/>
    <w:rsid w:val="00174565"/>
    <w:rsid w:val="0017476A"/>
    <w:rsid w:val="0017476C"/>
    <w:rsid w:val="00174D78"/>
    <w:rsid w:val="00174F23"/>
    <w:rsid w:val="00174F6B"/>
    <w:rsid w:val="00174F96"/>
    <w:rsid w:val="00175034"/>
    <w:rsid w:val="0017503C"/>
    <w:rsid w:val="0017507C"/>
    <w:rsid w:val="001750A4"/>
    <w:rsid w:val="00175135"/>
    <w:rsid w:val="001753FF"/>
    <w:rsid w:val="0017559B"/>
    <w:rsid w:val="00175713"/>
    <w:rsid w:val="001758F1"/>
    <w:rsid w:val="00175BC6"/>
    <w:rsid w:val="00175E3A"/>
    <w:rsid w:val="00176279"/>
    <w:rsid w:val="00176301"/>
    <w:rsid w:val="001763A6"/>
    <w:rsid w:val="001763B7"/>
    <w:rsid w:val="001765E6"/>
    <w:rsid w:val="00176617"/>
    <w:rsid w:val="00176729"/>
    <w:rsid w:val="00176AEE"/>
    <w:rsid w:val="00176BE3"/>
    <w:rsid w:val="00176BFA"/>
    <w:rsid w:val="00176F4A"/>
    <w:rsid w:val="00176FDB"/>
    <w:rsid w:val="001772E4"/>
    <w:rsid w:val="00177529"/>
    <w:rsid w:val="00177698"/>
    <w:rsid w:val="001777E9"/>
    <w:rsid w:val="001778FA"/>
    <w:rsid w:val="001778FD"/>
    <w:rsid w:val="00177A46"/>
    <w:rsid w:val="00177AB6"/>
    <w:rsid w:val="00177CB4"/>
    <w:rsid w:val="00177E60"/>
    <w:rsid w:val="0018007B"/>
    <w:rsid w:val="0018018B"/>
    <w:rsid w:val="001804DD"/>
    <w:rsid w:val="00180508"/>
    <w:rsid w:val="001805C2"/>
    <w:rsid w:val="00180712"/>
    <w:rsid w:val="00180803"/>
    <w:rsid w:val="001808BB"/>
    <w:rsid w:val="001809C0"/>
    <w:rsid w:val="00180A53"/>
    <w:rsid w:val="00180C82"/>
    <w:rsid w:val="00180D58"/>
    <w:rsid w:val="00180E71"/>
    <w:rsid w:val="00180F04"/>
    <w:rsid w:val="00180FD6"/>
    <w:rsid w:val="0018107D"/>
    <w:rsid w:val="001810A6"/>
    <w:rsid w:val="0018115B"/>
    <w:rsid w:val="001811E8"/>
    <w:rsid w:val="00181331"/>
    <w:rsid w:val="0018143A"/>
    <w:rsid w:val="00181A72"/>
    <w:rsid w:val="00181A7A"/>
    <w:rsid w:val="00181ABF"/>
    <w:rsid w:val="00181B81"/>
    <w:rsid w:val="00181CA7"/>
    <w:rsid w:val="00181DC8"/>
    <w:rsid w:val="00182215"/>
    <w:rsid w:val="001824C6"/>
    <w:rsid w:val="001824F9"/>
    <w:rsid w:val="00182680"/>
    <w:rsid w:val="001827B0"/>
    <w:rsid w:val="001827D0"/>
    <w:rsid w:val="00182819"/>
    <w:rsid w:val="001828F4"/>
    <w:rsid w:val="00182A0C"/>
    <w:rsid w:val="00182B81"/>
    <w:rsid w:val="00182CA2"/>
    <w:rsid w:val="00182EBD"/>
    <w:rsid w:val="0018308C"/>
    <w:rsid w:val="0018335B"/>
    <w:rsid w:val="001835A4"/>
    <w:rsid w:val="001835AD"/>
    <w:rsid w:val="0018378E"/>
    <w:rsid w:val="001837D4"/>
    <w:rsid w:val="00183838"/>
    <w:rsid w:val="0018388D"/>
    <w:rsid w:val="00183B90"/>
    <w:rsid w:val="00184225"/>
    <w:rsid w:val="00184249"/>
    <w:rsid w:val="001842DA"/>
    <w:rsid w:val="001843FF"/>
    <w:rsid w:val="001847B9"/>
    <w:rsid w:val="0018487B"/>
    <w:rsid w:val="00184BA2"/>
    <w:rsid w:val="00184C7A"/>
    <w:rsid w:val="00184C9F"/>
    <w:rsid w:val="00184D2A"/>
    <w:rsid w:val="00184DA9"/>
    <w:rsid w:val="00184DCC"/>
    <w:rsid w:val="0018505D"/>
    <w:rsid w:val="0018515D"/>
    <w:rsid w:val="0018516E"/>
    <w:rsid w:val="00185191"/>
    <w:rsid w:val="00185361"/>
    <w:rsid w:val="0018556D"/>
    <w:rsid w:val="00185808"/>
    <w:rsid w:val="00185969"/>
    <w:rsid w:val="001859A3"/>
    <w:rsid w:val="00185A75"/>
    <w:rsid w:val="00185B09"/>
    <w:rsid w:val="00185D4B"/>
    <w:rsid w:val="00185DE4"/>
    <w:rsid w:val="001860FD"/>
    <w:rsid w:val="00186259"/>
    <w:rsid w:val="00186281"/>
    <w:rsid w:val="0018637C"/>
    <w:rsid w:val="00186470"/>
    <w:rsid w:val="00186547"/>
    <w:rsid w:val="0018668E"/>
    <w:rsid w:val="00186818"/>
    <w:rsid w:val="001869F0"/>
    <w:rsid w:val="00186BC6"/>
    <w:rsid w:val="00186BF1"/>
    <w:rsid w:val="00186C73"/>
    <w:rsid w:val="00186D34"/>
    <w:rsid w:val="00186D43"/>
    <w:rsid w:val="00186DC2"/>
    <w:rsid w:val="001872BD"/>
    <w:rsid w:val="00187303"/>
    <w:rsid w:val="00187369"/>
    <w:rsid w:val="00187759"/>
    <w:rsid w:val="00187819"/>
    <w:rsid w:val="00187833"/>
    <w:rsid w:val="001878C2"/>
    <w:rsid w:val="00187B45"/>
    <w:rsid w:val="0019000E"/>
    <w:rsid w:val="00190080"/>
    <w:rsid w:val="001900C8"/>
    <w:rsid w:val="00190183"/>
    <w:rsid w:val="00190357"/>
    <w:rsid w:val="0019045E"/>
    <w:rsid w:val="0019073F"/>
    <w:rsid w:val="001907C1"/>
    <w:rsid w:val="00190975"/>
    <w:rsid w:val="00190BAD"/>
    <w:rsid w:val="00190C69"/>
    <w:rsid w:val="00190C9B"/>
    <w:rsid w:val="00190D17"/>
    <w:rsid w:val="00190F2D"/>
    <w:rsid w:val="00190FF0"/>
    <w:rsid w:val="0019118D"/>
    <w:rsid w:val="001912D9"/>
    <w:rsid w:val="0019162C"/>
    <w:rsid w:val="00191656"/>
    <w:rsid w:val="0019182B"/>
    <w:rsid w:val="00191852"/>
    <w:rsid w:val="00191960"/>
    <w:rsid w:val="00191A73"/>
    <w:rsid w:val="00191A88"/>
    <w:rsid w:val="00191D44"/>
    <w:rsid w:val="00191EC6"/>
    <w:rsid w:val="00191ECE"/>
    <w:rsid w:val="00191F5D"/>
    <w:rsid w:val="0019257D"/>
    <w:rsid w:val="001928B1"/>
    <w:rsid w:val="001929B8"/>
    <w:rsid w:val="00192B4E"/>
    <w:rsid w:val="00192C8E"/>
    <w:rsid w:val="00193023"/>
    <w:rsid w:val="00193056"/>
    <w:rsid w:val="0019309F"/>
    <w:rsid w:val="0019310C"/>
    <w:rsid w:val="0019311B"/>
    <w:rsid w:val="001931C0"/>
    <w:rsid w:val="00193234"/>
    <w:rsid w:val="0019329E"/>
    <w:rsid w:val="00193568"/>
    <w:rsid w:val="00193618"/>
    <w:rsid w:val="00193654"/>
    <w:rsid w:val="00193682"/>
    <w:rsid w:val="0019368A"/>
    <w:rsid w:val="001938AB"/>
    <w:rsid w:val="001938F0"/>
    <w:rsid w:val="00193A64"/>
    <w:rsid w:val="00193D2F"/>
    <w:rsid w:val="00193D48"/>
    <w:rsid w:val="00193D60"/>
    <w:rsid w:val="00193E11"/>
    <w:rsid w:val="00193EC1"/>
    <w:rsid w:val="001940A3"/>
    <w:rsid w:val="00194477"/>
    <w:rsid w:val="001944D0"/>
    <w:rsid w:val="0019460D"/>
    <w:rsid w:val="00194801"/>
    <w:rsid w:val="0019499D"/>
    <w:rsid w:val="00194D25"/>
    <w:rsid w:val="00194EC8"/>
    <w:rsid w:val="00194F26"/>
    <w:rsid w:val="00194F78"/>
    <w:rsid w:val="00195001"/>
    <w:rsid w:val="00195184"/>
    <w:rsid w:val="001951AD"/>
    <w:rsid w:val="001951B3"/>
    <w:rsid w:val="00195209"/>
    <w:rsid w:val="001952F6"/>
    <w:rsid w:val="00195343"/>
    <w:rsid w:val="001953FD"/>
    <w:rsid w:val="00195457"/>
    <w:rsid w:val="0019546F"/>
    <w:rsid w:val="001957D2"/>
    <w:rsid w:val="00195832"/>
    <w:rsid w:val="001959BA"/>
    <w:rsid w:val="00195A8C"/>
    <w:rsid w:val="00195B0F"/>
    <w:rsid w:val="00195B56"/>
    <w:rsid w:val="00195BE7"/>
    <w:rsid w:val="00195CCA"/>
    <w:rsid w:val="00195DC7"/>
    <w:rsid w:val="00195F89"/>
    <w:rsid w:val="00195FEB"/>
    <w:rsid w:val="00196031"/>
    <w:rsid w:val="0019604E"/>
    <w:rsid w:val="00196215"/>
    <w:rsid w:val="0019630F"/>
    <w:rsid w:val="00196458"/>
    <w:rsid w:val="00196468"/>
    <w:rsid w:val="00196554"/>
    <w:rsid w:val="00196576"/>
    <w:rsid w:val="00196925"/>
    <w:rsid w:val="00196A4F"/>
    <w:rsid w:val="00196A88"/>
    <w:rsid w:val="00196B0A"/>
    <w:rsid w:val="00196D21"/>
    <w:rsid w:val="00196DB9"/>
    <w:rsid w:val="001973F2"/>
    <w:rsid w:val="001976CB"/>
    <w:rsid w:val="0019770C"/>
    <w:rsid w:val="00197775"/>
    <w:rsid w:val="001977B5"/>
    <w:rsid w:val="00197849"/>
    <w:rsid w:val="00197904"/>
    <w:rsid w:val="00197BEE"/>
    <w:rsid w:val="00197F12"/>
    <w:rsid w:val="001A011D"/>
    <w:rsid w:val="001A01A6"/>
    <w:rsid w:val="001A0320"/>
    <w:rsid w:val="001A065F"/>
    <w:rsid w:val="001A0676"/>
    <w:rsid w:val="001A06D6"/>
    <w:rsid w:val="001A06F1"/>
    <w:rsid w:val="001A0873"/>
    <w:rsid w:val="001A0894"/>
    <w:rsid w:val="001A08E0"/>
    <w:rsid w:val="001A09EC"/>
    <w:rsid w:val="001A0B36"/>
    <w:rsid w:val="001A0BCB"/>
    <w:rsid w:val="001A0C24"/>
    <w:rsid w:val="001A0C4B"/>
    <w:rsid w:val="001A0C7E"/>
    <w:rsid w:val="001A0D08"/>
    <w:rsid w:val="001A0E37"/>
    <w:rsid w:val="001A0EBF"/>
    <w:rsid w:val="001A0FC6"/>
    <w:rsid w:val="001A13FF"/>
    <w:rsid w:val="001A1407"/>
    <w:rsid w:val="001A1580"/>
    <w:rsid w:val="001A15E9"/>
    <w:rsid w:val="001A16C5"/>
    <w:rsid w:val="001A17C1"/>
    <w:rsid w:val="001A1815"/>
    <w:rsid w:val="001A1898"/>
    <w:rsid w:val="001A1A7A"/>
    <w:rsid w:val="001A1E2A"/>
    <w:rsid w:val="001A214E"/>
    <w:rsid w:val="001A220A"/>
    <w:rsid w:val="001A224D"/>
    <w:rsid w:val="001A2793"/>
    <w:rsid w:val="001A27EA"/>
    <w:rsid w:val="001A27FE"/>
    <w:rsid w:val="001A283D"/>
    <w:rsid w:val="001A2A6A"/>
    <w:rsid w:val="001A2D2E"/>
    <w:rsid w:val="001A2FE4"/>
    <w:rsid w:val="001A3083"/>
    <w:rsid w:val="001A316D"/>
    <w:rsid w:val="001A31CF"/>
    <w:rsid w:val="001A31F3"/>
    <w:rsid w:val="001A3226"/>
    <w:rsid w:val="001A3364"/>
    <w:rsid w:val="001A33EB"/>
    <w:rsid w:val="001A3420"/>
    <w:rsid w:val="001A3447"/>
    <w:rsid w:val="001A353D"/>
    <w:rsid w:val="001A3576"/>
    <w:rsid w:val="001A3596"/>
    <w:rsid w:val="001A3760"/>
    <w:rsid w:val="001A38DF"/>
    <w:rsid w:val="001A3DAA"/>
    <w:rsid w:val="001A3E37"/>
    <w:rsid w:val="001A3EAA"/>
    <w:rsid w:val="001A414E"/>
    <w:rsid w:val="001A43EF"/>
    <w:rsid w:val="001A442A"/>
    <w:rsid w:val="001A4503"/>
    <w:rsid w:val="001A4534"/>
    <w:rsid w:val="001A4586"/>
    <w:rsid w:val="001A476B"/>
    <w:rsid w:val="001A4BA5"/>
    <w:rsid w:val="001A4C80"/>
    <w:rsid w:val="001A4E88"/>
    <w:rsid w:val="001A5004"/>
    <w:rsid w:val="001A5237"/>
    <w:rsid w:val="001A5250"/>
    <w:rsid w:val="001A52D7"/>
    <w:rsid w:val="001A52DC"/>
    <w:rsid w:val="001A53D5"/>
    <w:rsid w:val="001A5527"/>
    <w:rsid w:val="001A55BD"/>
    <w:rsid w:val="001A5800"/>
    <w:rsid w:val="001A584F"/>
    <w:rsid w:val="001A58B8"/>
    <w:rsid w:val="001A597B"/>
    <w:rsid w:val="001A5A37"/>
    <w:rsid w:val="001A5F97"/>
    <w:rsid w:val="001A6004"/>
    <w:rsid w:val="001A62A8"/>
    <w:rsid w:val="001A63E8"/>
    <w:rsid w:val="001A6451"/>
    <w:rsid w:val="001A6975"/>
    <w:rsid w:val="001A6BAD"/>
    <w:rsid w:val="001A6C64"/>
    <w:rsid w:val="001A6DFA"/>
    <w:rsid w:val="001A6FED"/>
    <w:rsid w:val="001A70B9"/>
    <w:rsid w:val="001A71F9"/>
    <w:rsid w:val="001A7202"/>
    <w:rsid w:val="001A728A"/>
    <w:rsid w:val="001A7308"/>
    <w:rsid w:val="001A75B9"/>
    <w:rsid w:val="001A7713"/>
    <w:rsid w:val="001A7788"/>
    <w:rsid w:val="001A77AF"/>
    <w:rsid w:val="001A77B9"/>
    <w:rsid w:val="001A78D0"/>
    <w:rsid w:val="001A78F4"/>
    <w:rsid w:val="001A790D"/>
    <w:rsid w:val="001A7BB6"/>
    <w:rsid w:val="001A7BEC"/>
    <w:rsid w:val="001A7E5F"/>
    <w:rsid w:val="001A7EFE"/>
    <w:rsid w:val="001B0031"/>
    <w:rsid w:val="001B0170"/>
    <w:rsid w:val="001B01BB"/>
    <w:rsid w:val="001B0252"/>
    <w:rsid w:val="001B057B"/>
    <w:rsid w:val="001B05C2"/>
    <w:rsid w:val="001B0618"/>
    <w:rsid w:val="001B0761"/>
    <w:rsid w:val="001B0966"/>
    <w:rsid w:val="001B09A7"/>
    <w:rsid w:val="001B0BD6"/>
    <w:rsid w:val="001B0BE1"/>
    <w:rsid w:val="001B110D"/>
    <w:rsid w:val="001B114D"/>
    <w:rsid w:val="001B12FE"/>
    <w:rsid w:val="001B13F8"/>
    <w:rsid w:val="001B1420"/>
    <w:rsid w:val="001B1678"/>
    <w:rsid w:val="001B17C6"/>
    <w:rsid w:val="001B1862"/>
    <w:rsid w:val="001B1942"/>
    <w:rsid w:val="001B19CC"/>
    <w:rsid w:val="001B1A19"/>
    <w:rsid w:val="001B1A6F"/>
    <w:rsid w:val="001B1B1F"/>
    <w:rsid w:val="001B1EB7"/>
    <w:rsid w:val="001B1F04"/>
    <w:rsid w:val="001B1FEF"/>
    <w:rsid w:val="001B21DA"/>
    <w:rsid w:val="001B22C8"/>
    <w:rsid w:val="001B251A"/>
    <w:rsid w:val="001B25B2"/>
    <w:rsid w:val="001B260E"/>
    <w:rsid w:val="001B28C0"/>
    <w:rsid w:val="001B2A2F"/>
    <w:rsid w:val="001B2A98"/>
    <w:rsid w:val="001B2D30"/>
    <w:rsid w:val="001B3023"/>
    <w:rsid w:val="001B34B0"/>
    <w:rsid w:val="001B35EA"/>
    <w:rsid w:val="001B3A1D"/>
    <w:rsid w:val="001B3B14"/>
    <w:rsid w:val="001B3CC3"/>
    <w:rsid w:val="001B3D19"/>
    <w:rsid w:val="001B3D1D"/>
    <w:rsid w:val="001B3DDF"/>
    <w:rsid w:val="001B3E0E"/>
    <w:rsid w:val="001B40F0"/>
    <w:rsid w:val="001B417F"/>
    <w:rsid w:val="001B4398"/>
    <w:rsid w:val="001B43FF"/>
    <w:rsid w:val="001B4486"/>
    <w:rsid w:val="001B44AC"/>
    <w:rsid w:val="001B458F"/>
    <w:rsid w:val="001B46AD"/>
    <w:rsid w:val="001B46D7"/>
    <w:rsid w:val="001B46E9"/>
    <w:rsid w:val="001B4736"/>
    <w:rsid w:val="001B48C9"/>
    <w:rsid w:val="001B48F8"/>
    <w:rsid w:val="001B4AD4"/>
    <w:rsid w:val="001B4CEF"/>
    <w:rsid w:val="001B4DA5"/>
    <w:rsid w:val="001B4DC4"/>
    <w:rsid w:val="001B4DC8"/>
    <w:rsid w:val="001B4EB5"/>
    <w:rsid w:val="001B4F5D"/>
    <w:rsid w:val="001B4FD7"/>
    <w:rsid w:val="001B501A"/>
    <w:rsid w:val="001B5098"/>
    <w:rsid w:val="001B523E"/>
    <w:rsid w:val="001B5332"/>
    <w:rsid w:val="001B53A0"/>
    <w:rsid w:val="001B53B9"/>
    <w:rsid w:val="001B55BF"/>
    <w:rsid w:val="001B562A"/>
    <w:rsid w:val="001B56F4"/>
    <w:rsid w:val="001B570A"/>
    <w:rsid w:val="001B5892"/>
    <w:rsid w:val="001B5986"/>
    <w:rsid w:val="001B5AB7"/>
    <w:rsid w:val="001B5B7E"/>
    <w:rsid w:val="001B5BC8"/>
    <w:rsid w:val="001B5D29"/>
    <w:rsid w:val="001B5E50"/>
    <w:rsid w:val="001B5F98"/>
    <w:rsid w:val="001B60D6"/>
    <w:rsid w:val="001B61BC"/>
    <w:rsid w:val="001B639B"/>
    <w:rsid w:val="001B654A"/>
    <w:rsid w:val="001B6604"/>
    <w:rsid w:val="001B6777"/>
    <w:rsid w:val="001B6797"/>
    <w:rsid w:val="001B67AF"/>
    <w:rsid w:val="001B67BA"/>
    <w:rsid w:val="001B686D"/>
    <w:rsid w:val="001B6A1C"/>
    <w:rsid w:val="001B6BFF"/>
    <w:rsid w:val="001B6DC4"/>
    <w:rsid w:val="001B6E1F"/>
    <w:rsid w:val="001B6E64"/>
    <w:rsid w:val="001B71E9"/>
    <w:rsid w:val="001B75E4"/>
    <w:rsid w:val="001B7648"/>
    <w:rsid w:val="001B7786"/>
    <w:rsid w:val="001B79BF"/>
    <w:rsid w:val="001B7ADA"/>
    <w:rsid w:val="001B7C5C"/>
    <w:rsid w:val="001B7E80"/>
    <w:rsid w:val="001C0029"/>
    <w:rsid w:val="001C0147"/>
    <w:rsid w:val="001C0177"/>
    <w:rsid w:val="001C0384"/>
    <w:rsid w:val="001C0541"/>
    <w:rsid w:val="001C05C5"/>
    <w:rsid w:val="001C064F"/>
    <w:rsid w:val="001C0841"/>
    <w:rsid w:val="001C08F3"/>
    <w:rsid w:val="001C0B2A"/>
    <w:rsid w:val="001C0C89"/>
    <w:rsid w:val="001C0CEF"/>
    <w:rsid w:val="001C0D2E"/>
    <w:rsid w:val="001C0DB5"/>
    <w:rsid w:val="001C0DF5"/>
    <w:rsid w:val="001C0EEA"/>
    <w:rsid w:val="001C0F86"/>
    <w:rsid w:val="001C1209"/>
    <w:rsid w:val="001C12D6"/>
    <w:rsid w:val="001C1342"/>
    <w:rsid w:val="001C1600"/>
    <w:rsid w:val="001C182E"/>
    <w:rsid w:val="001C1835"/>
    <w:rsid w:val="001C18C2"/>
    <w:rsid w:val="001C1916"/>
    <w:rsid w:val="001C19F4"/>
    <w:rsid w:val="001C1A81"/>
    <w:rsid w:val="001C1ADA"/>
    <w:rsid w:val="001C1DF2"/>
    <w:rsid w:val="001C1E5D"/>
    <w:rsid w:val="001C2029"/>
    <w:rsid w:val="001C21DA"/>
    <w:rsid w:val="001C22FC"/>
    <w:rsid w:val="001C239F"/>
    <w:rsid w:val="001C242E"/>
    <w:rsid w:val="001C245E"/>
    <w:rsid w:val="001C24E6"/>
    <w:rsid w:val="001C26A5"/>
    <w:rsid w:val="001C28DA"/>
    <w:rsid w:val="001C2A64"/>
    <w:rsid w:val="001C2D26"/>
    <w:rsid w:val="001C2E31"/>
    <w:rsid w:val="001C2E77"/>
    <w:rsid w:val="001C2EEC"/>
    <w:rsid w:val="001C31A1"/>
    <w:rsid w:val="001C31D9"/>
    <w:rsid w:val="001C3218"/>
    <w:rsid w:val="001C341F"/>
    <w:rsid w:val="001C3628"/>
    <w:rsid w:val="001C36BC"/>
    <w:rsid w:val="001C3712"/>
    <w:rsid w:val="001C3737"/>
    <w:rsid w:val="001C39E5"/>
    <w:rsid w:val="001C3AB6"/>
    <w:rsid w:val="001C3B4A"/>
    <w:rsid w:val="001C3BB9"/>
    <w:rsid w:val="001C3CC0"/>
    <w:rsid w:val="001C3CFA"/>
    <w:rsid w:val="001C3F8E"/>
    <w:rsid w:val="001C3FC0"/>
    <w:rsid w:val="001C3FF8"/>
    <w:rsid w:val="001C4094"/>
    <w:rsid w:val="001C40E6"/>
    <w:rsid w:val="001C410F"/>
    <w:rsid w:val="001C421B"/>
    <w:rsid w:val="001C4368"/>
    <w:rsid w:val="001C43BF"/>
    <w:rsid w:val="001C43E7"/>
    <w:rsid w:val="001C458E"/>
    <w:rsid w:val="001C459F"/>
    <w:rsid w:val="001C4789"/>
    <w:rsid w:val="001C48D8"/>
    <w:rsid w:val="001C4A4F"/>
    <w:rsid w:val="001C4B80"/>
    <w:rsid w:val="001C4BEB"/>
    <w:rsid w:val="001C4D5F"/>
    <w:rsid w:val="001C4D9D"/>
    <w:rsid w:val="001C4F42"/>
    <w:rsid w:val="001C5223"/>
    <w:rsid w:val="001C52A4"/>
    <w:rsid w:val="001C52D0"/>
    <w:rsid w:val="001C5377"/>
    <w:rsid w:val="001C537E"/>
    <w:rsid w:val="001C5475"/>
    <w:rsid w:val="001C5536"/>
    <w:rsid w:val="001C5616"/>
    <w:rsid w:val="001C5867"/>
    <w:rsid w:val="001C5A18"/>
    <w:rsid w:val="001C5B29"/>
    <w:rsid w:val="001C5C64"/>
    <w:rsid w:val="001C5CA3"/>
    <w:rsid w:val="001C5EB5"/>
    <w:rsid w:val="001C6015"/>
    <w:rsid w:val="001C6047"/>
    <w:rsid w:val="001C60A5"/>
    <w:rsid w:val="001C60D9"/>
    <w:rsid w:val="001C61B8"/>
    <w:rsid w:val="001C61E9"/>
    <w:rsid w:val="001C63F2"/>
    <w:rsid w:val="001C6682"/>
    <w:rsid w:val="001C6716"/>
    <w:rsid w:val="001C6883"/>
    <w:rsid w:val="001C6912"/>
    <w:rsid w:val="001C6AFA"/>
    <w:rsid w:val="001C6D42"/>
    <w:rsid w:val="001C6FE2"/>
    <w:rsid w:val="001C70BC"/>
    <w:rsid w:val="001C7247"/>
    <w:rsid w:val="001C724E"/>
    <w:rsid w:val="001C73FF"/>
    <w:rsid w:val="001C74EA"/>
    <w:rsid w:val="001C787E"/>
    <w:rsid w:val="001C78B7"/>
    <w:rsid w:val="001C7968"/>
    <w:rsid w:val="001C7C38"/>
    <w:rsid w:val="001C7DC5"/>
    <w:rsid w:val="001C7EF9"/>
    <w:rsid w:val="001C7F14"/>
    <w:rsid w:val="001C7F23"/>
    <w:rsid w:val="001D0029"/>
    <w:rsid w:val="001D0056"/>
    <w:rsid w:val="001D0082"/>
    <w:rsid w:val="001D0193"/>
    <w:rsid w:val="001D031E"/>
    <w:rsid w:val="001D044D"/>
    <w:rsid w:val="001D0535"/>
    <w:rsid w:val="001D0760"/>
    <w:rsid w:val="001D0785"/>
    <w:rsid w:val="001D0857"/>
    <w:rsid w:val="001D0956"/>
    <w:rsid w:val="001D0AFC"/>
    <w:rsid w:val="001D0BE3"/>
    <w:rsid w:val="001D0C34"/>
    <w:rsid w:val="001D0C98"/>
    <w:rsid w:val="001D0E9C"/>
    <w:rsid w:val="001D0FFC"/>
    <w:rsid w:val="001D104C"/>
    <w:rsid w:val="001D10A1"/>
    <w:rsid w:val="001D11B0"/>
    <w:rsid w:val="001D1466"/>
    <w:rsid w:val="001D1579"/>
    <w:rsid w:val="001D15FC"/>
    <w:rsid w:val="001D1A64"/>
    <w:rsid w:val="001D1AD5"/>
    <w:rsid w:val="001D1B30"/>
    <w:rsid w:val="001D1CDD"/>
    <w:rsid w:val="001D1D57"/>
    <w:rsid w:val="001D1E67"/>
    <w:rsid w:val="001D1E95"/>
    <w:rsid w:val="001D1F0D"/>
    <w:rsid w:val="001D203B"/>
    <w:rsid w:val="001D21D5"/>
    <w:rsid w:val="001D2490"/>
    <w:rsid w:val="001D24FA"/>
    <w:rsid w:val="001D25EB"/>
    <w:rsid w:val="001D27AB"/>
    <w:rsid w:val="001D27BC"/>
    <w:rsid w:val="001D2941"/>
    <w:rsid w:val="001D2B72"/>
    <w:rsid w:val="001D2C0D"/>
    <w:rsid w:val="001D2E23"/>
    <w:rsid w:val="001D3097"/>
    <w:rsid w:val="001D30F1"/>
    <w:rsid w:val="001D3288"/>
    <w:rsid w:val="001D348A"/>
    <w:rsid w:val="001D359F"/>
    <w:rsid w:val="001D3647"/>
    <w:rsid w:val="001D36B1"/>
    <w:rsid w:val="001D36C5"/>
    <w:rsid w:val="001D3736"/>
    <w:rsid w:val="001D3826"/>
    <w:rsid w:val="001D3961"/>
    <w:rsid w:val="001D3B6F"/>
    <w:rsid w:val="001D3C18"/>
    <w:rsid w:val="001D3D76"/>
    <w:rsid w:val="001D3D97"/>
    <w:rsid w:val="001D3E24"/>
    <w:rsid w:val="001D3F2F"/>
    <w:rsid w:val="001D3F76"/>
    <w:rsid w:val="001D40B5"/>
    <w:rsid w:val="001D415E"/>
    <w:rsid w:val="001D422C"/>
    <w:rsid w:val="001D4239"/>
    <w:rsid w:val="001D43FB"/>
    <w:rsid w:val="001D469B"/>
    <w:rsid w:val="001D4710"/>
    <w:rsid w:val="001D4745"/>
    <w:rsid w:val="001D4AC3"/>
    <w:rsid w:val="001D4BE5"/>
    <w:rsid w:val="001D4D15"/>
    <w:rsid w:val="001D4E86"/>
    <w:rsid w:val="001D4FA3"/>
    <w:rsid w:val="001D5235"/>
    <w:rsid w:val="001D52C0"/>
    <w:rsid w:val="001D539F"/>
    <w:rsid w:val="001D53C4"/>
    <w:rsid w:val="001D54B2"/>
    <w:rsid w:val="001D551B"/>
    <w:rsid w:val="001D55F0"/>
    <w:rsid w:val="001D572C"/>
    <w:rsid w:val="001D5798"/>
    <w:rsid w:val="001D57B5"/>
    <w:rsid w:val="001D59CE"/>
    <w:rsid w:val="001D5A44"/>
    <w:rsid w:val="001D5BF5"/>
    <w:rsid w:val="001D5E41"/>
    <w:rsid w:val="001D5E64"/>
    <w:rsid w:val="001D5F7C"/>
    <w:rsid w:val="001D5FAC"/>
    <w:rsid w:val="001D603A"/>
    <w:rsid w:val="001D6244"/>
    <w:rsid w:val="001D632D"/>
    <w:rsid w:val="001D63BE"/>
    <w:rsid w:val="001D63EC"/>
    <w:rsid w:val="001D6488"/>
    <w:rsid w:val="001D6675"/>
    <w:rsid w:val="001D67B2"/>
    <w:rsid w:val="001D696C"/>
    <w:rsid w:val="001D6A06"/>
    <w:rsid w:val="001D6E95"/>
    <w:rsid w:val="001D6FF5"/>
    <w:rsid w:val="001D7003"/>
    <w:rsid w:val="001D703F"/>
    <w:rsid w:val="001D710E"/>
    <w:rsid w:val="001D7180"/>
    <w:rsid w:val="001D73B0"/>
    <w:rsid w:val="001D7589"/>
    <w:rsid w:val="001D7709"/>
    <w:rsid w:val="001D7867"/>
    <w:rsid w:val="001D78D7"/>
    <w:rsid w:val="001D7C86"/>
    <w:rsid w:val="001D7E30"/>
    <w:rsid w:val="001D7ED8"/>
    <w:rsid w:val="001E002F"/>
    <w:rsid w:val="001E00B7"/>
    <w:rsid w:val="001E00C4"/>
    <w:rsid w:val="001E0302"/>
    <w:rsid w:val="001E0327"/>
    <w:rsid w:val="001E052B"/>
    <w:rsid w:val="001E07E7"/>
    <w:rsid w:val="001E0C05"/>
    <w:rsid w:val="001E0D0E"/>
    <w:rsid w:val="001E0DEB"/>
    <w:rsid w:val="001E0E27"/>
    <w:rsid w:val="001E1079"/>
    <w:rsid w:val="001E1206"/>
    <w:rsid w:val="001E1605"/>
    <w:rsid w:val="001E1686"/>
    <w:rsid w:val="001E1818"/>
    <w:rsid w:val="001E18A8"/>
    <w:rsid w:val="001E1A92"/>
    <w:rsid w:val="001E1AB0"/>
    <w:rsid w:val="001E1BF9"/>
    <w:rsid w:val="001E1C26"/>
    <w:rsid w:val="001E1C2D"/>
    <w:rsid w:val="001E1C35"/>
    <w:rsid w:val="001E1DEE"/>
    <w:rsid w:val="001E1EC8"/>
    <w:rsid w:val="001E1F3D"/>
    <w:rsid w:val="001E1FEF"/>
    <w:rsid w:val="001E207C"/>
    <w:rsid w:val="001E21FA"/>
    <w:rsid w:val="001E2374"/>
    <w:rsid w:val="001E2436"/>
    <w:rsid w:val="001E2479"/>
    <w:rsid w:val="001E2698"/>
    <w:rsid w:val="001E26B9"/>
    <w:rsid w:val="001E2870"/>
    <w:rsid w:val="001E293D"/>
    <w:rsid w:val="001E2A2B"/>
    <w:rsid w:val="001E2C7D"/>
    <w:rsid w:val="001E2CB9"/>
    <w:rsid w:val="001E2DE7"/>
    <w:rsid w:val="001E2E32"/>
    <w:rsid w:val="001E2EEA"/>
    <w:rsid w:val="001E2FD1"/>
    <w:rsid w:val="001E301A"/>
    <w:rsid w:val="001E301D"/>
    <w:rsid w:val="001E3181"/>
    <w:rsid w:val="001E31A6"/>
    <w:rsid w:val="001E3296"/>
    <w:rsid w:val="001E3348"/>
    <w:rsid w:val="001E3457"/>
    <w:rsid w:val="001E3B2C"/>
    <w:rsid w:val="001E3EC4"/>
    <w:rsid w:val="001E3FB3"/>
    <w:rsid w:val="001E3FBC"/>
    <w:rsid w:val="001E4143"/>
    <w:rsid w:val="001E4283"/>
    <w:rsid w:val="001E4285"/>
    <w:rsid w:val="001E46D4"/>
    <w:rsid w:val="001E47E1"/>
    <w:rsid w:val="001E4968"/>
    <w:rsid w:val="001E4A3D"/>
    <w:rsid w:val="001E4B0C"/>
    <w:rsid w:val="001E4B21"/>
    <w:rsid w:val="001E4C6B"/>
    <w:rsid w:val="001E52B3"/>
    <w:rsid w:val="001E541E"/>
    <w:rsid w:val="001E5434"/>
    <w:rsid w:val="001E5440"/>
    <w:rsid w:val="001E54C9"/>
    <w:rsid w:val="001E5532"/>
    <w:rsid w:val="001E5590"/>
    <w:rsid w:val="001E56EA"/>
    <w:rsid w:val="001E5761"/>
    <w:rsid w:val="001E580D"/>
    <w:rsid w:val="001E5A0F"/>
    <w:rsid w:val="001E5A49"/>
    <w:rsid w:val="001E5C1C"/>
    <w:rsid w:val="001E5D63"/>
    <w:rsid w:val="001E5D98"/>
    <w:rsid w:val="001E5FD9"/>
    <w:rsid w:val="001E6172"/>
    <w:rsid w:val="001E629E"/>
    <w:rsid w:val="001E66AA"/>
    <w:rsid w:val="001E6728"/>
    <w:rsid w:val="001E6754"/>
    <w:rsid w:val="001E67B7"/>
    <w:rsid w:val="001E69BC"/>
    <w:rsid w:val="001E6C81"/>
    <w:rsid w:val="001E7010"/>
    <w:rsid w:val="001E7057"/>
    <w:rsid w:val="001E70F6"/>
    <w:rsid w:val="001E72D7"/>
    <w:rsid w:val="001E7422"/>
    <w:rsid w:val="001E747F"/>
    <w:rsid w:val="001E7488"/>
    <w:rsid w:val="001E7918"/>
    <w:rsid w:val="001E7AF8"/>
    <w:rsid w:val="001E7B7B"/>
    <w:rsid w:val="001E7C7B"/>
    <w:rsid w:val="001E7D3C"/>
    <w:rsid w:val="001E7E5D"/>
    <w:rsid w:val="001E7EC6"/>
    <w:rsid w:val="001E7EEF"/>
    <w:rsid w:val="001F0035"/>
    <w:rsid w:val="001F033C"/>
    <w:rsid w:val="001F052E"/>
    <w:rsid w:val="001F064F"/>
    <w:rsid w:val="001F068C"/>
    <w:rsid w:val="001F0862"/>
    <w:rsid w:val="001F09F7"/>
    <w:rsid w:val="001F09F8"/>
    <w:rsid w:val="001F0A36"/>
    <w:rsid w:val="001F0ACE"/>
    <w:rsid w:val="001F0CAA"/>
    <w:rsid w:val="001F0CFA"/>
    <w:rsid w:val="001F0D37"/>
    <w:rsid w:val="001F0E4B"/>
    <w:rsid w:val="001F0E83"/>
    <w:rsid w:val="001F1263"/>
    <w:rsid w:val="001F136A"/>
    <w:rsid w:val="001F1376"/>
    <w:rsid w:val="001F1380"/>
    <w:rsid w:val="001F1429"/>
    <w:rsid w:val="001F1448"/>
    <w:rsid w:val="001F1670"/>
    <w:rsid w:val="001F16C4"/>
    <w:rsid w:val="001F16C5"/>
    <w:rsid w:val="001F16F0"/>
    <w:rsid w:val="001F1710"/>
    <w:rsid w:val="001F17A7"/>
    <w:rsid w:val="001F186D"/>
    <w:rsid w:val="001F19A0"/>
    <w:rsid w:val="001F1A3C"/>
    <w:rsid w:val="001F1C89"/>
    <w:rsid w:val="001F1CE9"/>
    <w:rsid w:val="001F1D8E"/>
    <w:rsid w:val="001F1F1A"/>
    <w:rsid w:val="001F1F57"/>
    <w:rsid w:val="001F20AC"/>
    <w:rsid w:val="001F219B"/>
    <w:rsid w:val="001F2229"/>
    <w:rsid w:val="001F2308"/>
    <w:rsid w:val="001F239E"/>
    <w:rsid w:val="001F24DD"/>
    <w:rsid w:val="001F25ED"/>
    <w:rsid w:val="001F29BB"/>
    <w:rsid w:val="001F2A16"/>
    <w:rsid w:val="001F2BB2"/>
    <w:rsid w:val="001F2CAB"/>
    <w:rsid w:val="001F2CB7"/>
    <w:rsid w:val="001F2E84"/>
    <w:rsid w:val="001F2ECE"/>
    <w:rsid w:val="001F2F6F"/>
    <w:rsid w:val="001F304A"/>
    <w:rsid w:val="001F3066"/>
    <w:rsid w:val="001F30DF"/>
    <w:rsid w:val="001F3175"/>
    <w:rsid w:val="001F3235"/>
    <w:rsid w:val="001F3694"/>
    <w:rsid w:val="001F391E"/>
    <w:rsid w:val="001F3BF6"/>
    <w:rsid w:val="001F3C50"/>
    <w:rsid w:val="001F3C99"/>
    <w:rsid w:val="001F3D56"/>
    <w:rsid w:val="001F3E40"/>
    <w:rsid w:val="001F413E"/>
    <w:rsid w:val="001F4208"/>
    <w:rsid w:val="001F42D0"/>
    <w:rsid w:val="001F4342"/>
    <w:rsid w:val="001F4539"/>
    <w:rsid w:val="001F4609"/>
    <w:rsid w:val="001F46ED"/>
    <w:rsid w:val="001F4761"/>
    <w:rsid w:val="001F47C7"/>
    <w:rsid w:val="001F480E"/>
    <w:rsid w:val="001F4CB3"/>
    <w:rsid w:val="001F4CB5"/>
    <w:rsid w:val="001F4D10"/>
    <w:rsid w:val="001F4F0B"/>
    <w:rsid w:val="001F4F7D"/>
    <w:rsid w:val="001F5028"/>
    <w:rsid w:val="001F51BA"/>
    <w:rsid w:val="001F51CC"/>
    <w:rsid w:val="001F527C"/>
    <w:rsid w:val="001F5390"/>
    <w:rsid w:val="001F54B4"/>
    <w:rsid w:val="001F55A6"/>
    <w:rsid w:val="001F5755"/>
    <w:rsid w:val="001F5881"/>
    <w:rsid w:val="001F5912"/>
    <w:rsid w:val="001F5E11"/>
    <w:rsid w:val="001F5EC7"/>
    <w:rsid w:val="001F62B5"/>
    <w:rsid w:val="001F62B8"/>
    <w:rsid w:val="001F642F"/>
    <w:rsid w:val="001F64B8"/>
    <w:rsid w:val="001F65B0"/>
    <w:rsid w:val="001F66D4"/>
    <w:rsid w:val="001F6854"/>
    <w:rsid w:val="001F6A0C"/>
    <w:rsid w:val="001F6A4B"/>
    <w:rsid w:val="001F6AA4"/>
    <w:rsid w:val="001F6AAD"/>
    <w:rsid w:val="001F6FF5"/>
    <w:rsid w:val="001F711E"/>
    <w:rsid w:val="001F71E9"/>
    <w:rsid w:val="001F71EB"/>
    <w:rsid w:val="001F743C"/>
    <w:rsid w:val="001F74FE"/>
    <w:rsid w:val="001F7508"/>
    <w:rsid w:val="001F7696"/>
    <w:rsid w:val="001F770C"/>
    <w:rsid w:val="001F7926"/>
    <w:rsid w:val="001F79FB"/>
    <w:rsid w:val="001F7AA9"/>
    <w:rsid w:val="001F7AB6"/>
    <w:rsid w:val="001F7C65"/>
    <w:rsid w:val="001F7D66"/>
    <w:rsid w:val="001F7F33"/>
    <w:rsid w:val="00200073"/>
    <w:rsid w:val="00200102"/>
    <w:rsid w:val="002001FE"/>
    <w:rsid w:val="0020034E"/>
    <w:rsid w:val="0020036C"/>
    <w:rsid w:val="0020055E"/>
    <w:rsid w:val="002005E7"/>
    <w:rsid w:val="00200966"/>
    <w:rsid w:val="00200BD8"/>
    <w:rsid w:val="00200C19"/>
    <w:rsid w:val="00200F16"/>
    <w:rsid w:val="00200FD8"/>
    <w:rsid w:val="002010EC"/>
    <w:rsid w:val="0020122E"/>
    <w:rsid w:val="002012A4"/>
    <w:rsid w:val="0020130C"/>
    <w:rsid w:val="002013F3"/>
    <w:rsid w:val="0020147E"/>
    <w:rsid w:val="00201592"/>
    <w:rsid w:val="00201712"/>
    <w:rsid w:val="0020176C"/>
    <w:rsid w:val="002017E4"/>
    <w:rsid w:val="0020184D"/>
    <w:rsid w:val="002019A5"/>
    <w:rsid w:val="002019F8"/>
    <w:rsid w:val="00201AE7"/>
    <w:rsid w:val="00201BB0"/>
    <w:rsid w:val="00201BE3"/>
    <w:rsid w:val="00201C7C"/>
    <w:rsid w:val="00201D1E"/>
    <w:rsid w:val="00201E2D"/>
    <w:rsid w:val="00201EA1"/>
    <w:rsid w:val="00201EE0"/>
    <w:rsid w:val="002021CA"/>
    <w:rsid w:val="00202211"/>
    <w:rsid w:val="0020228D"/>
    <w:rsid w:val="00202306"/>
    <w:rsid w:val="002025F0"/>
    <w:rsid w:val="002026EE"/>
    <w:rsid w:val="002027E1"/>
    <w:rsid w:val="00202A3A"/>
    <w:rsid w:val="00202C1D"/>
    <w:rsid w:val="00202D55"/>
    <w:rsid w:val="00202DD4"/>
    <w:rsid w:val="00202DEE"/>
    <w:rsid w:val="00202E3A"/>
    <w:rsid w:val="00203059"/>
    <w:rsid w:val="00203142"/>
    <w:rsid w:val="002031B3"/>
    <w:rsid w:val="00203205"/>
    <w:rsid w:val="00203513"/>
    <w:rsid w:val="00203A82"/>
    <w:rsid w:val="00203AEB"/>
    <w:rsid w:val="00203CB9"/>
    <w:rsid w:val="00203D39"/>
    <w:rsid w:val="00203DCA"/>
    <w:rsid w:val="00203EFA"/>
    <w:rsid w:val="0020413C"/>
    <w:rsid w:val="002043C6"/>
    <w:rsid w:val="00204426"/>
    <w:rsid w:val="002044AF"/>
    <w:rsid w:val="0020459E"/>
    <w:rsid w:val="00204766"/>
    <w:rsid w:val="00204814"/>
    <w:rsid w:val="002048A5"/>
    <w:rsid w:val="00204940"/>
    <w:rsid w:val="00204A9C"/>
    <w:rsid w:val="00204AD3"/>
    <w:rsid w:val="00204E84"/>
    <w:rsid w:val="00205291"/>
    <w:rsid w:val="002052B7"/>
    <w:rsid w:val="002052BB"/>
    <w:rsid w:val="00205362"/>
    <w:rsid w:val="00205370"/>
    <w:rsid w:val="002057AC"/>
    <w:rsid w:val="00205820"/>
    <w:rsid w:val="0020593A"/>
    <w:rsid w:val="0020594B"/>
    <w:rsid w:val="00205AFD"/>
    <w:rsid w:val="00205B25"/>
    <w:rsid w:val="00205B65"/>
    <w:rsid w:val="00205BE1"/>
    <w:rsid w:val="00205C8D"/>
    <w:rsid w:val="00205D74"/>
    <w:rsid w:val="00205F74"/>
    <w:rsid w:val="00205FCC"/>
    <w:rsid w:val="002060A0"/>
    <w:rsid w:val="0020610A"/>
    <w:rsid w:val="00206265"/>
    <w:rsid w:val="00206303"/>
    <w:rsid w:val="0020641E"/>
    <w:rsid w:val="002065EC"/>
    <w:rsid w:val="00206683"/>
    <w:rsid w:val="00206726"/>
    <w:rsid w:val="002067AE"/>
    <w:rsid w:val="002069CC"/>
    <w:rsid w:val="00206B05"/>
    <w:rsid w:val="0020708E"/>
    <w:rsid w:val="002070C0"/>
    <w:rsid w:val="002070FE"/>
    <w:rsid w:val="0020716C"/>
    <w:rsid w:val="0020718C"/>
    <w:rsid w:val="002072C6"/>
    <w:rsid w:val="0020757D"/>
    <w:rsid w:val="0020760E"/>
    <w:rsid w:val="002076E8"/>
    <w:rsid w:val="002077C7"/>
    <w:rsid w:val="002079F8"/>
    <w:rsid w:val="00207AC7"/>
    <w:rsid w:val="00207D5F"/>
    <w:rsid w:val="00207E9B"/>
    <w:rsid w:val="0021038A"/>
    <w:rsid w:val="002108BC"/>
    <w:rsid w:val="0021098C"/>
    <w:rsid w:val="00210E90"/>
    <w:rsid w:val="00210EDE"/>
    <w:rsid w:val="00211025"/>
    <w:rsid w:val="00211164"/>
    <w:rsid w:val="00211670"/>
    <w:rsid w:val="002117CB"/>
    <w:rsid w:val="0021180F"/>
    <w:rsid w:val="0021186D"/>
    <w:rsid w:val="002118C6"/>
    <w:rsid w:val="00211B7B"/>
    <w:rsid w:val="00211C27"/>
    <w:rsid w:val="002121B2"/>
    <w:rsid w:val="002121FB"/>
    <w:rsid w:val="00212264"/>
    <w:rsid w:val="0021237E"/>
    <w:rsid w:val="00212422"/>
    <w:rsid w:val="00212755"/>
    <w:rsid w:val="00212904"/>
    <w:rsid w:val="00212CE6"/>
    <w:rsid w:val="00212E2E"/>
    <w:rsid w:val="00212F66"/>
    <w:rsid w:val="002130E2"/>
    <w:rsid w:val="0021333F"/>
    <w:rsid w:val="002133BA"/>
    <w:rsid w:val="0021378C"/>
    <w:rsid w:val="00213841"/>
    <w:rsid w:val="002138B8"/>
    <w:rsid w:val="002138F0"/>
    <w:rsid w:val="00213A8F"/>
    <w:rsid w:val="00213ADE"/>
    <w:rsid w:val="00213BD5"/>
    <w:rsid w:val="00213DA1"/>
    <w:rsid w:val="00213E6E"/>
    <w:rsid w:val="00213EBD"/>
    <w:rsid w:val="00213F73"/>
    <w:rsid w:val="00213FE5"/>
    <w:rsid w:val="002140BE"/>
    <w:rsid w:val="002142C7"/>
    <w:rsid w:val="002144EC"/>
    <w:rsid w:val="00214758"/>
    <w:rsid w:val="00214946"/>
    <w:rsid w:val="00214B48"/>
    <w:rsid w:val="00214CCB"/>
    <w:rsid w:val="00214D34"/>
    <w:rsid w:val="00214D3E"/>
    <w:rsid w:val="00214D41"/>
    <w:rsid w:val="002150A0"/>
    <w:rsid w:val="002150C7"/>
    <w:rsid w:val="002154B8"/>
    <w:rsid w:val="002154C5"/>
    <w:rsid w:val="002155F4"/>
    <w:rsid w:val="00215697"/>
    <w:rsid w:val="0021587F"/>
    <w:rsid w:val="00215952"/>
    <w:rsid w:val="00215B0B"/>
    <w:rsid w:val="00215BE0"/>
    <w:rsid w:val="00215F24"/>
    <w:rsid w:val="002160C4"/>
    <w:rsid w:val="00216101"/>
    <w:rsid w:val="00216120"/>
    <w:rsid w:val="0021612D"/>
    <w:rsid w:val="00216140"/>
    <w:rsid w:val="00216248"/>
    <w:rsid w:val="0021634D"/>
    <w:rsid w:val="002164D5"/>
    <w:rsid w:val="00216558"/>
    <w:rsid w:val="002167ED"/>
    <w:rsid w:val="00216893"/>
    <w:rsid w:val="002168B3"/>
    <w:rsid w:val="00216927"/>
    <w:rsid w:val="00216958"/>
    <w:rsid w:val="00216999"/>
    <w:rsid w:val="00216A09"/>
    <w:rsid w:val="00216B1D"/>
    <w:rsid w:val="00216B5E"/>
    <w:rsid w:val="00216EAB"/>
    <w:rsid w:val="0021719F"/>
    <w:rsid w:val="00217528"/>
    <w:rsid w:val="00217531"/>
    <w:rsid w:val="002175F2"/>
    <w:rsid w:val="002177DB"/>
    <w:rsid w:val="00217815"/>
    <w:rsid w:val="0021784B"/>
    <w:rsid w:val="00217A91"/>
    <w:rsid w:val="00217B23"/>
    <w:rsid w:val="00217C2E"/>
    <w:rsid w:val="00217E36"/>
    <w:rsid w:val="00217EE6"/>
    <w:rsid w:val="00217F61"/>
    <w:rsid w:val="00217FDC"/>
    <w:rsid w:val="0022019F"/>
    <w:rsid w:val="002201B3"/>
    <w:rsid w:val="002204FC"/>
    <w:rsid w:val="0022070D"/>
    <w:rsid w:val="00220774"/>
    <w:rsid w:val="00220839"/>
    <w:rsid w:val="00220931"/>
    <w:rsid w:val="00220B16"/>
    <w:rsid w:val="00220B58"/>
    <w:rsid w:val="00220B86"/>
    <w:rsid w:val="00220BAB"/>
    <w:rsid w:val="00220EBC"/>
    <w:rsid w:val="00220FF5"/>
    <w:rsid w:val="0022111C"/>
    <w:rsid w:val="00221241"/>
    <w:rsid w:val="0022142F"/>
    <w:rsid w:val="0022148C"/>
    <w:rsid w:val="002214FB"/>
    <w:rsid w:val="0022160E"/>
    <w:rsid w:val="0022164C"/>
    <w:rsid w:val="002216C8"/>
    <w:rsid w:val="00221728"/>
    <w:rsid w:val="002217BF"/>
    <w:rsid w:val="002219A4"/>
    <w:rsid w:val="00221A74"/>
    <w:rsid w:val="00221ACD"/>
    <w:rsid w:val="00221E14"/>
    <w:rsid w:val="00221F54"/>
    <w:rsid w:val="002223C5"/>
    <w:rsid w:val="002223C6"/>
    <w:rsid w:val="00222414"/>
    <w:rsid w:val="002224EE"/>
    <w:rsid w:val="0022251E"/>
    <w:rsid w:val="002227CC"/>
    <w:rsid w:val="00222815"/>
    <w:rsid w:val="002228A6"/>
    <w:rsid w:val="002229C6"/>
    <w:rsid w:val="00222B4B"/>
    <w:rsid w:val="00222C99"/>
    <w:rsid w:val="00222E37"/>
    <w:rsid w:val="00222FE5"/>
    <w:rsid w:val="0022303D"/>
    <w:rsid w:val="00223058"/>
    <w:rsid w:val="00223125"/>
    <w:rsid w:val="002232F4"/>
    <w:rsid w:val="0022336D"/>
    <w:rsid w:val="002233FF"/>
    <w:rsid w:val="00223416"/>
    <w:rsid w:val="002234A0"/>
    <w:rsid w:val="002234FD"/>
    <w:rsid w:val="002236DD"/>
    <w:rsid w:val="0022381F"/>
    <w:rsid w:val="00223821"/>
    <w:rsid w:val="00223A8E"/>
    <w:rsid w:val="00223BB3"/>
    <w:rsid w:val="00223CD2"/>
    <w:rsid w:val="00223D0C"/>
    <w:rsid w:val="00223D72"/>
    <w:rsid w:val="00223F04"/>
    <w:rsid w:val="00223FF3"/>
    <w:rsid w:val="00223FFF"/>
    <w:rsid w:val="002241E3"/>
    <w:rsid w:val="0022425D"/>
    <w:rsid w:val="002242DE"/>
    <w:rsid w:val="002242E6"/>
    <w:rsid w:val="0022436B"/>
    <w:rsid w:val="00224390"/>
    <w:rsid w:val="0022451C"/>
    <w:rsid w:val="002245C1"/>
    <w:rsid w:val="00224645"/>
    <w:rsid w:val="002248F9"/>
    <w:rsid w:val="00224A20"/>
    <w:rsid w:val="00224BCF"/>
    <w:rsid w:val="00224FB9"/>
    <w:rsid w:val="00224FD6"/>
    <w:rsid w:val="00225059"/>
    <w:rsid w:val="0022509B"/>
    <w:rsid w:val="002251AF"/>
    <w:rsid w:val="00225205"/>
    <w:rsid w:val="0022529A"/>
    <w:rsid w:val="002252AA"/>
    <w:rsid w:val="0022531D"/>
    <w:rsid w:val="00225440"/>
    <w:rsid w:val="00225538"/>
    <w:rsid w:val="002255A0"/>
    <w:rsid w:val="002257D8"/>
    <w:rsid w:val="00225A77"/>
    <w:rsid w:val="00225BD0"/>
    <w:rsid w:val="00225D90"/>
    <w:rsid w:val="00225FD7"/>
    <w:rsid w:val="002261DC"/>
    <w:rsid w:val="00226375"/>
    <w:rsid w:val="00226388"/>
    <w:rsid w:val="002263D8"/>
    <w:rsid w:val="002265AB"/>
    <w:rsid w:val="00226657"/>
    <w:rsid w:val="002267DA"/>
    <w:rsid w:val="00226853"/>
    <w:rsid w:val="002268C8"/>
    <w:rsid w:val="002268EF"/>
    <w:rsid w:val="00226A7A"/>
    <w:rsid w:val="00226B11"/>
    <w:rsid w:val="00226B98"/>
    <w:rsid w:val="00226CCF"/>
    <w:rsid w:val="00226F25"/>
    <w:rsid w:val="00226F3D"/>
    <w:rsid w:val="00226F91"/>
    <w:rsid w:val="00227120"/>
    <w:rsid w:val="002271D9"/>
    <w:rsid w:val="0022720E"/>
    <w:rsid w:val="0022726B"/>
    <w:rsid w:val="002273CE"/>
    <w:rsid w:val="00227531"/>
    <w:rsid w:val="00227564"/>
    <w:rsid w:val="002276D3"/>
    <w:rsid w:val="002276EF"/>
    <w:rsid w:val="00227948"/>
    <w:rsid w:val="002279FA"/>
    <w:rsid w:val="00227A0A"/>
    <w:rsid w:val="00227C42"/>
    <w:rsid w:val="00227C92"/>
    <w:rsid w:val="00227DAC"/>
    <w:rsid w:val="00227F19"/>
    <w:rsid w:val="0023005C"/>
    <w:rsid w:val="00230078"/>
    <w:rsid w:val="002300C3"/>
    <w:rsid w:val="0023033C"/>
    <w:rsid w:val="0023053B"/>
    <w:rsid w:val="002306EC"/>
    <w:rsid w:val="00230738"/>
    <w:rsid w:val="0023099A"/>
    <w:rsid w:val="00230A7E"/>
    <w:rsid w:val="00230CA5"/>
    <w:rsid w:val="00230E45"/>
    <w:rsid w:val="00230E89"/>
    <w:rsid w:val="00230F21"/>
    <w:rsid w:val="00230F84"/>
    <w:rsid w:val="00230F9F"/>
    <w:rsid w:val="0023110D"/>
    <w:rsid w:val="0023111D"/>
    <w:rsid w:val="00231200"/>
    <w:rsid w:val="00231455"/>
    <w:rsid w:val="0023146E"/>
    <w:rsid w:val="0023162C"/>
    <w:rsid w:val="0023166A"/>
    <w:rsid w:val="00231774"/>
    <w:rsid w:val="00231EB4"/>
    <w:rsid w:val="00231EF4"/>
    <w:rsid w:val="00232076"/>
    <w:rsid w:val="002320B8"/>
    <w:rsid w:val="00232179"/>
    <w:rsid w:val="0023223A"/>
    <w:rsid w:val="0023244C"/>
    <w:rsid w:val="00232541"/>
    <w:rsid w:val="0023264C"/>
    <w:rsid w:val="002326E6"/>
    <w:rsid w:val="0023286A"/>
    <w:rsid w:val="002329B2"/>
    <w:rsid w:val="00232BCF"/>
    <w:rsid w:val="00232CCA"/>
    <w:rsid w:val="00232CEA"/>
    <w:rsid w:val="00232D01"/>
    <w:rsid w:val="00232D8F"/>
    <w:rsid w:val="00232E3A"/>
    <w:rsid w:val="00232FD4"/>
    <w:rsid w:val="00232FD6"/>
    <w:rsid w:val="0023303E"/>
    <w:rsid w:val="0023314A"/>
    <w:rsid w:val="002333A4"/>
    <w:rsid w:val="00233567"/>
    <w:rsid w:val="00233614"/>
    <w:rsid w:val="002338CE"/>
    <w:rsid w:val="00233A6F"/>
    <w:rsid w:val="00233B6A"/>
    <w:rsid w:val="00233C2E"/>
    <w:rsid w:val="00233C62"/>
    <w:rsid w:val="00233FF1"/>
    <w:rsid w:val="002341B2"/>
    <w:rsid w:val="00234240"/>
    <w:rsid w:val="00234310"/>
    <w:rsid w:val="00234380"/>
    <w:rsid w:val="00234429"/>
    <w:rsid w:val="0023451B"/>
    <w:rsid w:val="00234594"/>
    <w:rsid w:val="002345F5"/>
    <w:rsid w:val="0023488F"/>
    <w:rsid w:val="00234ABB"/>
    <w:rsid w:val="002350B5"/>
    <w:rsid w:val="00235136"/>
    <w:rsid w:val="00235190"/>
    <w:rsid w:val="00235511"/>
    <w:rsid w:val="00235561"/>
    <w:rsid w:val="002355A9"/>
    <w:rsid w:val="0023572B"/>
    <w:rsid w:val="00235792"/>
    <w:rsid w:val="0023580E"/>
    <w:rsid w:val="002358D2"/>
    <w:rsid w:val="00235A14"/>
    <w:rsid w:val="00235A34"/>
    <w:rsid w:val="00235BE8"/>
    <w:rsid w:val="00235BEE"/>
    <w:rsid w:val="00235C15"/>
    <w:rsid w:val="00236265"/>
    <w:rsid w:val="0023627A"/>
    <w:rsid w:val="002362DD"/>
    <w:rsid w:val="0023630F"/>
    <w:rsid w:val="00236B40"/>
    <w:rsid w:val="00236B6B"/>
    <w:rsid w:val="00236C7A"/>
    <w:rsid w:val="00236E99"/>
    <w:rsid w:val="00236EBF"/>
    <w:rsid w:val="00236F53"/>
    <w:rsid w:val="0023700F"/>
    <w:rsid w:val="002370CD"/>
    <w:rsid w:val="00237164"/>
    <w:rsid w:val="00237177"/>
    <w:rsid w:val="002375C2"/>
    <w:rsid w:val="002375E0"/>
    <w:rsid w:val="0023768C"/>
    <w:rsid w:val="002376B2"/>
    <w:rsid w:val="00237A07"/>
    <w:rsid w:val="00237C8D"/>
    <w:rsid w:val="00237CE4"/>
    <w:rsid w:val="00237D49"/>
    <w:rsid w:val="00237DE6"/>
    <w:rsid w:val="00237EDB"/>
    <w:rsid w:val="00237F3B"/>
    <w:rsid w:val="0023CE60"/>
    <w:rsid w:val="0024003A"/>
    <w:rsid w:val="0024006C"/>
    <w:rsid w:val="00240188"/>
    <w:rsid w:val="00240234"/>
    <w:rsid w:val="002403F8"/>
    <w:rsid w:val="00240493"/>
    <w:rsid w:val="0024059C"/>
    <w:rsid w:val="0024068A"/>
    <w:rsid w:val="0024096D"/>
    <w:rsid w:val="00240999"/>
    <w:rsid w:val="00240B79"/>
    <w:rsid w:val="00240CD1"/>
    <w:rsid w:val="00240E1F"/>
    <w:rsid w:val="00240E4A"/>
    <w:rsid w:val="00240FA9"/>
    <w:rsid w:val="00241075"/>
    <w:rsid w:val="00241092"/>
    <w:rsid w:val="0024117E"/>
    <w:rsid w:val="00241345"/>
    <w:rsid w:val="002415D7"/>
    <w:rsid w:val="00241652"/>
    <w:rsid w:val="002416B2"/>
    <w:rsid w:val="00241902"/>
    <w:rsid w:val="00241ADF"/>
    <w:rsid w:val="00241B11"/>
    <w:rsid w:val="00241B8B"/>
    <w:rsid w:val="00241C10"/>
    <w:rsid w:val="002421C1"/>
    <w:rsid w:val="00242255"/>
    <w:rsid w:val="002422E2"/>
    <w:rsid w:val="002423BE"/>
    <w:rsid w:val="00242417"/>
    <w:rsid w:val="00242502"/>
    <w:rsid w:val="00242923"/>
    <w:rsid w:val="00242DE9"/>
    <w:rsid w:val="00243270"/>
    <w:rsid w:val="002434A6"/>
    <w:rsid w:val="00243575"/>
    <w:rsid w:val="002435A5"/>
    <w:rsid w:val="002436D2"/>
    <w:rsid w:val="0024375A"/>
    <w:rsid w:val="002438C0"/>
    <w:rsid w:val="00243A0C"/>
    <w:rsid w:val="00243A61"/>
    <w:rsid w:val="00243A7B"/>
    <w:rsid w:val="00243C0E"/>
    <w:rsid w:val="00243C3C"/>
    <w:rsid w:val="00243D67"/>
    <w:rsid w:val="00243E59"/>
    <w:rsid w:val="00243FEC"/>
    <w:rsid w:val="00244066"/>
    <w:rsid w:val="00244134"/>
    <w:rsid w:val="002441D5"/>
    <w:rsid w:val="00244263"/>
    <w:rsid w:val="002442EB"/>
    <w:rsid w:val="00244350"/>
    <w:rsid w:val="00244401"/>
    <w:rsid w:val="00244573"/>
    <w:rsid w:val="0024461A"/>
    <w:rsid w:val="0024468C"/>
    <w:rsid w:val="002446B0"/>
    <w:rsid w:val="002446C9"/>
    <w:rsid w:val="0024471F"/>
    <w:rsid w:val="002447C4"/>
    <w:rsid w:val="00244813"/>
    <w:rsid w:val="0024496C"/>
    <w:rsid w:val="002449C5"/>
    <w:rsid w:val="00244D0D"/>
    <w:rsid w:val="00244E82"/>
    <w:rsid w:val="00244F02"/>
    <w:rsid w:val="0024500F"/>
    <w:rsid w:val="00245127"/>
    <w:rsid w:val="0024530D"/>
    <w:rsid w:val="002455CC"/>
    <w:rsid w:val="00245696"/>
    <w:rsid w:val="002457B3"/>
    <w:rsid w:val="002459A9"/>
    <w:rsid w:val="00245AEC"/>
    <w:rsid w:val="00245C4A"/>
    <w:rsid w:val="00245C50"/>
    <w:rsid w:val="00245C66"/>
    <w:rsid w:val="00245CDD"/>
    <w:rsid w:val="00245D07"/>
    <w:rsid w:val="00245D46"/>
    <w:rsid w:val="00245D4E"/>
    <w:rsid w:val="00245D6E"/>
    <w:rsid w:val="0024616E"/>
    <w:rsid w:val="002461CF"/>
    <w:rsid w:val="00246295"/>
    <w:rsid w:val="00246433"/>
    <w:rsid w:val="00246487"/>
    <w:rsid w:val="002466BE"/>
    <w:rsid w:val="00246724"/>
    <w:rsid w:val="00246757"/>
    <w:rsid w:val="002467CF"/>
    <w:rsid w:val="00246853"/>
    <w:rsid w:val="00246B5C"/>
    <w:rsid w:val="00246C4E"/>
    <w:rsid w:val="00246D5B"/>
    <w:rsid w:val="00246DE2"/>
    <w:rsid w:val="00246E4F"/>
    <w:rsid w:val="00246F86"/>
    <w:rsid w:val="002470A8"/>
    <w:rsid w:val="002470C9"/>
    <w:rsid w:val="002470DD"/>
    <w:rsid w:val="002471C8"/>
    <w:rsid w:val="00247649"/>
    <w:rsid w:val="00247726"/>
    <w:rsid w:val="00247913"/>
    <w:rsid w:val="0024797E"/>
    <w:rsid w:val="00247A8C"/>
    <w:rsid w:val="00247AFD"/>
    <w:rsid w:val="00247D3B"/>
    <w:rsid w:val="00247D56"/>
    <w:rsid w:val="00247E1B"/>
    <w:rsid w:val="00247ED0"/>
    <w:rsid w:val="00247F34"/>
    <w:rsid w:val="0025002C"/>
    <w:rsid w:val="0025011E"/>
    <w:rsid w:val="00250131"/>
    <w:rsid w:val="002501FB"/>
    <w:rsid w:val="00250243"/>
    <w:rsid w:val="002502B2"/>
    <w:rsid w:val="002502D1"/>
    <w:rsid w:val="002504B8"/>
    <w:rsid w:val="00250716"/>
    <w:rsid w:val="0025085B"/>
    <w:rsid w:val="0025086A"/>
    <w:rsid w:val="00250927"/>
    <w:rsid w:val="002509A1"/>
    <w:rsid w:val="00250BFD"/>
    <w:rsid w:val="00250C3F"/>
    <w:rsid w:val="00250E9F"/>
    <w:rsid w:val="002513C9"/>
    <w:rsid w:val="0025150B"/>
    <w:rsid w:val="0025152C"/>
    <w:rsid w:val="002515FD"/>
    <w:rsid w:val="0025161D"/>
    <w:rsid w:val="002516A2"/>
    <w:rsid w:val="002516AB"/>
    <w:rsid w:val="002517B5"/>
    <w:rsid w:val="002517DB"/>
    <w:rsid w:val="00251920"/>
    <w:rsid w:val="00251951"/>
    <w:rsid w:val="00251A85"/>
    <w:rsid w:val="00251BDB"/>
    <w:rsid w:val="00251C7D"/>
    <w:rsid w:val="00251FC1"/>
    <w:rsid w:val="00251FE4"/>
    <w:rsid w:val="00252083"/>
    <w:rsid w:val="002520AE"/>
    <w:rsid w:val="002520E8"/>
    <w:rsid w:val="002521F8"/>
    <w:rsid w:val="00252305"/>
    <w:rsid w:val="00252328"/>
    <w:rsid w:val="0025251F"/>
    <w:rsid w:val="00252626"/>
    <w:rsid w:val="00252786"/>
    <w:rsid w:val="002527D4"/>
    <w:rsid w:val="00252AC0"/>
    <w:rsid w:val="00252B18"/>
    <w:rsid w:val="00252DDB"/>
    <w:rsid w:val="00252ED1"/>
    <w:rsid w:val="00253059"/>
    <w:rsid w:val="002531DF"/>
    <w:rsid w:val="00253201"/>
    <w:rsid w:val="00253373"/>
    <w:rsid w:val="00253382"/>
    <w:rsid w:val="00253485"/>
    <w:rsid w:val="00253809"/>
    <w:rsid w:val="00253911"/>
    <w:rsid w:val="00253950"/>
    <w:rsid w:val="00253A46"/>
    <w:rsid w:val="00253B65"/>
    <w:rsid w:val="00253B97"/>
    <w:rsid w:val="00253DE7"/>
    <w:rsid w:val="00253FB3"/>
    <w:rsid w:val="002544D1"/>
    <w:rsid w:val="002544DB"/>
    <w:rsid w:val="0025453A"/>
    <w:rsid w:val="0025475C"/>
    <w:rsid w:val="002547DD"/>
    <w:rsid w:val="00254C57"/>
    <w:rsid w:val="00254CD4"/>
    <w:rsid w:val="00254D1C"/>
    <w:rsid w:val="00254DF9"/>
    <w:rsid w:val="00254EE4"/>
    <w:rsid w:val="00254F12"/>
    <w:rsid w:val="00254FA2"/>
    <w:rsid w:val="0025500B"/>
    <w:rsid w:val="00255680"/>
    <w:rsid w:val="00255722"/>
    <w:rsid w:val="0025593B"/>
    <w:rsid w:val="002559CB"/>
    <w:rsid w:val="00255D8F"/>
    <w:rsid w:val="00255EE8"/>
    <w:rsid w:val="00255FF1"/>
    <w:rsid w:val="00256115"/>
    <w:rsid w:val="0025616D"/>
    <w:rsid w:val="00256197"/>
    <w:rsid w:val="00256208"/>
    <w:rsid w:val="0025627C"/>
    <w:rsid w:val="002562E6"/>
    <w:rsid w:val="002563C7"/>
    <w:rsid w:val="00256416"/>
    <w:rsid w:val="002565C0"/>
    <w:rsid w:val="002566F2"/>
    <w:rsid w:val="0025672E"/>
    <w:rsid w:val="00256852"/>
    <w:rsid w:val="002568DB"/>
    <w:rsid w:val="00256B56"/>
    <w:rsid w:val="00256B98"/>
    <w:rsid w:val="00256CB1"/>
    <w:rsid w:val="00256ED1"/>
    <w:rsid w:val="00256F32"/>
    <w:rsid w:val="00256FC7"/>
    <w:rsid w:val="0025702F"/>
    <w:rsid w:val="002570B5"/>
    <w:rsid w:val="00257343"/>
    <w:rsid w:val="00257411"/>
    <w:rsid w:val="0025741E"/>
    <w:rsid w:val="002574BA"/>
    <w:rsid w:val="002574F5"/>
    <w:rsid w:val="00257553"/>
    <w:rsid w:val="002577BA"/>
    <w:rsid w:val="002578CF"/>
    <w:rsid w:val="0025795D"/>
    <w:rsid w:val="00257A0B"/>
    <w:rsid w:val="00257A15"/>
    <w:rsid w:val="00257A5C"/>
    <w:rsid w:val="00257A76"/>
    <w:rsid w:val="00257DC4"/>
    <w:rsid w:val="00257DF8"/>
    <w:rsid w:val="00257E84"/>
    <w:rsid w:val="002601BF"/>
    <w:rsid w:val="00260203"/>
    <w:rsid w:val="0026020F"/>
    <w:rsid w:val="002604B6"/>
    <w:rsid w:val="002606A8"/>
    <w:rsid w:val="00260845"/>
    <w:rsid w:val="0026092E"/>
    <w:rsid w:val="00260AB1"/>
    <w:rsid w:val="00260BD2"/>
    <w:rsid w:val="00260E6C"/>
    <w:rsid w:val="00260F2B"/>
    <w:rsid w:val="00260F3D"/>
    <w:rsid w:val="00261151"/>
    <w:rsid w:val="002611E5"/>
    <w:rsid w:val="002612F6"/>
    <w:rsid w:val="0026138C"/>
    <w:rsid w:val="00261408"/>
    <w:rsid w:val="00261676"/>
    <w:rsid w:val="00261772"/>
    <w:rsid w:val="00261A98"/>
    <w:rsid w:val="00261AE3"/>
    <w:rsid w:val="00261BCE"/>
    <w:rsid w:val="00261BF6"/>
    <w:rsid w:val="00261F76"/>
    <w:rsid w:val="002620C9"/>
    <w:rsid w:val="00262126"/>
    <w:rsid w:val="00262327"/>
    <w:rsid w:val="00262367"/>
    <w:rsid w:val="0026266E"/>
    <w:rsid w:val="0026291D"/>
    <w:rsid w:val="002629D5"/>
    <w:rsid w:val="00262B87"/>
    <w:rsid w:val="00262B98"/>
    <w:rsid w:val="00262C65"/>
    <w:rsid w:val="00262CF1"/>
    <w:rsid w:val="00262DB1"/>
    <w:rsid w:val="00262E56"/>
    <w:rsid w:val="00263160"/>
    <w:rsid w:val="002636EE"/>
    <w:rsid w:val="0026374D"/>
    <w:rsid w:val="002638E3"/>
    <w:rsid w:val="002639A5"/>
    <w:rsid w:val="00263CD2"/>
    <w:rsid w:val="00263EC1"/>
    <w:rsid w:val="00263F13"/>
    <w:rsid w:val="00263F1E"/>
    <w:rsid w:val="00263F6C"/>
    <w:rsid w:val="00263FD4"/>
    <w:rsid w:val="0026410D"/>
    <w:rsid w:val="0026422D"/>
    <w:rsid w:val="002642B6"/>
    <w:rsid w:val="0026439E"/>
    <w:rsid w:val="00264A12"/>
    <w:rsid w:val="00264A77"/>
    <w:rsid w:val="00264DAC"/>
    <w:rsid w:val="00264DF7"/>
    <w:rsid w:val="00265023"/>
    <w:rsid w:val="00265061"/>
    <w:rsid w:val="002651AF"/>
    <w:rsid w:val="0026528F"/>
    <w:rsid w:val="002652FB"/>
    <w:rsid w:val="002654D7"/>
    <w:rsid w:val="00265541"/>
    <w:rsid w:val="0026572C"/>
    <w:rsid w:val="002657AA"/>
    <w:rsid w:val="00265969"/>
    <w:rsid w:val="00265AB8"/>
    <w:rsid w:val="00265EDD"/>
    <w:rsid w:val="00265FDB"/>
    <w:rsid w:val="002660DA"/>
    <w:rsid w:val="002662DB"/>
    <w:rsid w:val="00266313"/>
    <w:rsid w:val="002664C3"/>
    <w:rsid w:val="002664E7"/>
    <w:rsid w:val="002665A3"/>
    <w:rsid w:val="0026665C"/>
    <w:rsid w:val="00266687"/>
    <w:rsid w:val="0026677B"/>
    <w:rsid w:val="00266A47"/>
    <w:rsid w:val="00266B11"/>
    <w:rsid w:val="00266BAD"/>
    <w:rsid w:val="00266C70"/>
    <w:rsid w:val="00266F7B"/>
    <w:rsid w:val="00267060"/>
    <w:rsid w:val="00267380"/>
    <w:rsid w:val="002673AD"/>
    <w:rsid w:val="00267401"/>
    <w:rsid w:val="00267403"/>
    <w:rsid w:val="00267697"/>
    <w:rsid w:val="0026769C"/>
    <w:rsid w:val="002677B7"/>
    <w:rsid w:val="00267C80"/>
    <w:rsid w:val="00267CF8"/>
    <w:rsid w:val="00267E3F"/>
    <w:rsid w:val="00267E79"/>
    <w:rsid w:val="00270021"/>
    <w:rsid w:val="0027005B"/>
    <w:rsid w:val="0027023D"/>
    <w:rsid w:val="00270276"/>
    <w:rsid w:val="002702D7"/>
    <w:rsid w:val="00270387"/>
    <w:rsid w:val="002705FE"/>
    <w:rsid w:val="00270654"/>
    <w:rsid w:val="00270709"/>
    <w:rsid w:val="00270716"/>
    <w:rsid w:val="002708D3"/>
    <w:rsid w:val="0027096A"/>
    <w:rsid w:val="00270A05"/>
    <w:rsid w:val="00270ACD"/>
    <w:rsid w:val="00270B0F"/>
    <w:rsid w:val="00270CC1"/>
    <w:rsid w:val="00270DAF"/>
    <w:rsid w:val="00270DBF"/>
    <w:rsid w:val="00271040"/>
    <w:rsid w:val="0027104C"/>
    <w:rsid w:val="00271155"/>
    <w:rsid w:val="0027116D"/>
    <w:rsid w:val="002711EC"/>
    <w:rsid w:val="0027139A"/>
    <w:rsid w:val="002713A9"/>
    <w:rsid w:val="00271447"/>
    <w:rsid w:val="002715A6"/>
    <w:rsid w:val="002719DE"/>
    <w:rsid w:val="00271A14"/>
    <w:rsid w:val="00271A89"/>
    <w:rsid w:val="00271AF7"/>
    <w:rsid w:val="00271B70"/>
    <w:rsid w:val="00271CE5"/>
    <w:rsid w:val="00271DF6"/>
    <w:rsid w:val="00271E27"/>
    <w:rsid w:val="00271E60"/>
    <w:rsid w:val="00271ECC"/>
    <w:rsid w:val="0027204B"/>
    <w:rsid w:val="00272203"/>
    <w:rsid w:val="002722D2"/>
    <w:rsid w:val="00272316"/>
    <w:rsid w:val="00272445"/>
    <w:rsid w:val="00272604"/>
    <w:rsid w:val="0027276A"/>
    <w:rsid w:val="002727A1"/>
    <w:rsid w:val="002727FA"/>
    <w:rsid w:val="00272A0A"/>
    <w:rsid w:val="00272A9C"/>
    <w:rsid w:val="00272B23"/>
    <w:rsid w:val="00272B9A"/>
    <w:rsid w:val="00272D45"/>
    <w:rsid w:val="002730F2"/>
    <w:rsid w:val="00273168"/>
    <w:rsid w:val="002732BC"/>
    <w:rsid w:val="00273424"/>
    <w:rsid w:val="0027357A"/>
    <w:rsid w:val="0027363F"/>
    <w:rsid w:val="00273728"/>
    <w:rsid w:val="00273793"/>
    <w:rsid w:val="002739F1"/>
    <w:rsid w:val="00273C4D"/>
    <w:rsid w:val="00273C56"/>
    <w:rsid w:val="00273D33"/>
    <w:rsid w:val="0027427E"/>
    <w:rsid w:val="002743FD"/>
    <w:rsid w:val="00274588"/>
    <w:rsid w:val="002745A1"/>
    <w:rsid w:val="002745AE"/>
    <w:rsid w:val="00274732"/>
    <w:rsid w:val="002747E8"/>
    <w:rsid w:val="00274922"/>
    <w:rsid w:val="002749A1"/>
    <w:rsid w:val="002749CE"/>
    <w:rsid w:val="00274B3C"/>
    <w:rsid w:val="00274C97"/>
    <w:rsid w:val="00274D15"/>
    <w:rsid w:val="00274D37"/>
    <w:rsid w:val="00274DB1"/>
    <w:rsid w:val="00274E33"/>
    <w:rsid w:val="00274FFE"/>
    <w:rsid w:val="002751A1"/>
    <w:rsid w:val="00275349"/>
    <w:rsid w:val="0027534D"/>
    <w:rsid w:val="00275528"/>
    <w:rsid w:val="00275542"/>
    <w:rsid w:val="0027567A"/>
    <w:rsid w:val="002756B6"/>
    <w:rsid w:val="00275A91"/>
    <w:rsid w:val="00275ACE"/>
    <w:rsid w:val="00275B73"/>
    <w:rsid w:val="00275C5F"/>
    <w:rsid w:val="00275CE6"/>
    <w:rsid w:val="00275DCD"/>
    <w:rsid w:val="00275E4C"/>
    <w:rsid w:val="00275FA6"/>
    <w:rsid w:val="00276306"/>
    <w:rsid w:val="00276358"/>
    <w:rsid w:val="00276470"/>
    <w:rsid w:val="002764AC"/>
    <w:rsid w:val="002764E1"/>
    <w:rsid w:val="00276516"/>
    <w:rsid w:val="00276565"/>
    <w:rsid w:val="00276623"/>
    <w:rsid w:val="002768A9"/>
    <w:rsid w:val="0027696D"/>
    <w:rsid w:val="00276A26"/>
    <w:rsid w:val="00276A43"/>
    <w:rsid w:val="00276A5E"/>
    <w:rsid w:val="00276ABA"/>
    <w:rsid w:val="00276B43"/>
    <w:rsid w:val="00276D25"/>
    <w:rsid w:val="00276D52"/>
    <w:rsid w:val="00276E2F"/>
    <w:rsid w:val="00276FAE"/>
    <w:rsid w:val="002770C4"/>
    <w:rsid w:val="0027754C"/>
    <w:rsid w:val="002775B9"/>
    <w:rsid w:val="002777EE"/>
    <w:rsid w:val="002778A4"/>
    <w:rsid w:val="002778B1"/>
    <w:rsid w:val="002778BE"/>
    <w:rsid w:val="0027796A"/>
    <w:rsid w:val="002779C2"/>
    <w:rsid w:val="00277AEE"/>
    <w:rsid w:val="00277B60"/>
    <w:rsid w:val="00277C23"/>
    <w:rsid w:val="00277C88"/>
    <w:rsid w:val="00277F5E"/>
    <w:rsid w:val="00277F7F"/>
    <w:rsid w:val="00280087"/>
    <w:rsid w:val="0028034D"/>
    <w:rsid w:val="0028064C"/>
    <w:rsid w:val="00280868"/>
    <w:rsid w:val="002809B8"/>
    <w:rsid w:val="002809C5"/>
    <w:rsid w:val="00280A2C"/>
    <w:rsid w:val="00280AC3"/>
    <w:rsid w:val="00280B2A"/>
    <w:rsid w:val="00280F1D"/>
    <w:rsid w:val="00280F4B"/>
    <w:rsid w:val="00281158"/>
    <w:rsid w:val="00281251"/>
    <w:rsid w:val="002812E3"/>
    <w:rsid w:val="00281437"/>
    <w:rsid w:val="0028168F"/>
    <w:rsid w:val="0028199A"/>
    <w:rsid w:val="00281A0D"/>
    <w:rsid w:val="00281A44"/>
    <w:rsid w:val="00281ACE"/>
    <w:rsid w:val="00281BB1"/>
    <w:rsid w:val="00281D88"/>
    <w:rsid w:val="00281F60"/>
    <w:rsid w:val="002821F9"/>
    <w:rsid w:val="0028224F"/>
    <w:rsid w:val="002827BE"/>
    <w:rsid w:val="00282A11"/>
    <w:rsid w:val="00282DDC"/>
    <w:rsid w:val="00282FFB"/>
    <w:rsid w:val="00283251"/>
    <w:rsid w:val="00283299"/>
    <w:rsid w:val="002833AE"/>
    <w:rsid w:val="00283450"/>
    <w:rsid w:val="00283499"/>
    <w:rsid w:val="002834B0"/>
    <w:rsid w:val="00283564"/>
    <w:rsid w:val="0028368F"/>
    <w:rsid w:val="002836C8"/>
    <w:rsid w:val="0028395E"/>
    <w:rsid w:val="00283AF6"/>
    <w:rsid w:val="00283C2A"/>
    <w:rsid w:val="00283D37"/>
    <w:rsid w:val="00283E44"/>
    <w:rsid w:val="00283F33"/>
    <w:rsid w:val="0028407D"/>
    <w:rsid w:val="002841AB"/>
    <w:rsid w:val="002842BB"/>
    <w:rsid w:val="00284425"/>
    <w:rsid w:val="0028448F"/>
    <w:rsid w:val="00284598"/>
    <w:rsid w:val="00284839"/>
    <w:rsid w:val="00284932"/>
    <w:rsid w:val="00284955"/>
    <w:rsid w:val="00284B5B"/>
    <w:rsid w:val="00284D94"/>
    <w:rsid w:val="00284DE1"/>
    <w:rsid w:val="00284E5A"/>
    <w:rsid w:val="002850FD"/>
    <w:rsid w:val="0028513D"/>
    <w:rsid w:val="00285188"/>
    <w:rsid w:val="00285221"/>
    <w:rsid w:val="0028538E"/>
    <w:rsid w:val="002853C5"/>
    <w:rsid w:val="00285413"/>
    <w:rsid w:val="00285701"/>
    <w:rsid w:val="00285734"/>
    <w:rsid w:val="00285B81"/>
    <w:rsid w:val="00285C05"/>
    <w:rsid w:val="00285C58"/>
    <w:rsid w:val="00285FEC"/>
    <w:rsid w:val="00286088"/>
    <w:rsid w:val="00286171"/>
    <w:rsid w:val="00286354"/>
    <w:rsid w:val="002863F6"/>
    <w:rsid w:val="002864E1"/>
    <w:rsid w:val="00286879"/>
    <w:rsid w:val="002868A0"/>
    <w:rsid w:val="00286A7D"/>
    <w:rsid w:val="00286D56"/>
    <w:rsid w:val="00286D7E"/>
    <w:rsid w:val="00286DAF"/>
    <w:rsid w:val="00287244"/>
    <w:rsid w:val="00287317"/>
    <w:rsid w:val="00287359"/>
    <w:rsid w:val="00287545"/>
    <w:rsid w:val="002875E9"/>
    <w:rsid w:val="00287735"/>
    <w:rsid w:val="0028786A"/>
    <w:rsid w:val="0028786B"/>
    <w:rsid w:val="00287C54"/>
    <w:rsid w:val="00287E1F"/>
    <w:rsid w:val="00287E6C"/>
    <w:rsid w:val="00287FA6"/>
    <w:rsid w:val="00290055"/>
    <w:rsid w:val="00290153"/>
    <w:rsid w:val="002901BB"/>
    <w:rsid w:val="002902A4"/>
    <w:rsid w:val="002902C8"/>
    <w:rsid w:val="002903C8"/>
    <w:rsid w:val="00290438"/>
    <w:rsid w:val="00290D3E"/>
    <w:rsid w:val="00290D91"/>
    <w:rsid w:val="00290E1A"/>
    <w:rsid w:val="00290E69"/>
    <w:rsid w:val="00290F2A"/>
    <w:rsid w:val="00291092"/>
    <w:rsid w:val="00291130"/>
    <w:rsid w:val="00291249"/>
    <w:rsid w:val="00291331"/>
    <w:rsid w:val="0029133C"/>
    <w:rsid w:val="00291608"/>
    <w:rsid w:val="00291749"/>
    <w:rsid w:val="002917E1"/>
    <w:rsid w:val="00291AAA"/>
    <w:rsid w:val="00291AB2"/>
    <w:rsid w:val="00291BB0"/>
    <w:rsid w:val="00291BD2"/>
    <w:rsid w:val="00291C6A"/>
    <w:rsid w:val="00291C7E"/>
    <w:rsid w:val="00291C9A"/>
    <w:rsid w:val="00291D1E"/>
    <w:rsid w:val="00291D45"/>
    <w:rsid w:val="00291E73"/>
    <w:rsid w:val="00291FB0"/>
    <w:rsid w:val="00291FCF"/>
    <w:rsid w:val="00292305"/>
    <w:rsid w:val="00292313"/>
    <w:rsid w:val="002923AD"/>
    <w:rsid w:val="002924C1"/>
    <w:rsid w:val="00292588"/>
    <w:rsid w:val="002926AD"/>
    <w:rsid w:val="0029278F"/>
    <w:rsid w:val="002927A0"/>
    <w:rsid w:val="002927F0"/>
    <w:rsid w:val="00292900"/>
    <w:rsid w:val="00292904"/>
    <w:rsid w:val="00292AF9"/>
    <w:rsid w:val="00292B5A"/>
    <w:rsid w:val="00292BBE"/>
    <w:rsid w:val="00292CC1"/>
    <w:rsid w:val="00292D48"/>
    <w:rsid w:val="00292E9B"/>
    <w:rsid w:val="00292EB8"/>
    <w:rsid w:val="002931F1"/>
    <w:rsid w:val="00293387"/>
    <w:rsid w:val="00293451"/>
    <w:rsid w:val="0029382D"/>
    <w:rsid w:val="0029389F"/>
    <w:rsid w:val="002938E5"/>
    <w:rsid w:val="00293905"/>
    <w:rsid w:val="00293D7C"/>
    <w:rsid w:val="00293F08"/>
    <w:rsid w:val="00293F9B"/>
    <w:rsid w:val="00294058"/>
    <w:rsid w:val="00294144"/>
    <w:rsid w:val="002941BF"/>
    <w:rsid w:val="00294216"/>
    <w:rsid w:val="0029437E"/>
    <w:rsid w:val="002943A8"/>
    <w:rsid w:val="00294416"/>
    <w:rsid w:val="0029458F"/>
    <w:rsid w:val="002945BB"/>
    <w:rsid w:val="0029464C"/>
    <w:rsid w:val="002947F8"/>
    <w:rsid w:val="00294A48"/>
    <w:rsid w:val="00294AF5"/>
    <w:rsid w:val="00294BA9"/>
    <w:rsid w:val="00294C02"/>
    <w:rsid w:val="00294DF3"/>
    <w:rsid w:val="00294ED6"/>
    <w:rsid w:val="002956FC"/>
    <w:rsid w:val="0029570D"/>
    <w:rsid w:val="002957D0"/>
    <w:rsid w:val="0029593E"/>
    <w:rsid w:val="00295A83"/>
    <w:rsid w:val="00295AB9"/>
    <w:rsid w:val="00295AEB"/>
    <w:rsid w:val="00295BF3"/>
    <w:rsid w:val="00295DC0"/>
    <w:rsid w:val="00295E26"/>
    <w:rsid w:val="00295E6F"/>
    <w:rsid w:val="00295EE2"/>
    <w:rsid w:val="00295F72"/>
    <w:rsid w:val="0029607B"/>
    <w:rsid w:val="002960A8"/>
    <w:rsid w:val="002965A2"/>
    <w:rsid w:val="002966CB"/>
    <w:rsid w:val="00296B65"/>
    <w:rsid w:val="00296C4F"/>
    <w:rsid w:val="00296D76"/>
    <w:rsid w:val="002970AB"/>
    <w:rsid w:val="00297106"/>
    <w:rsid w:val="0029729D"/>
    <w:rsid w:val="002972B2"/>
    <w:rsid w:val="002972DF"/>
    <w:rsid w:val="002974F9"/>
    <w:rsid w:val="002977D6"/>
    <w:rsid w:val="002978B3"/>
    <w:rsid w:val="00297908"/>
    <w:rsid w:val="00297A68"/>
    <w:rsid w:val="00297B85"/>
    <w:rsid w:val="00297D58"/>
    <w:rsid w:val="00297E64"/>
    <w:rsid w:val="00297EDD"/>
    <w:rsid w:val="00297F84"/>
    <w:rsid w:val="002A0131"/>
    <w:rsid w:val="002A01B9"/>
    <w:rsid w:val="002A02E7"/>
    <w:rsid w:val="002A040B"/>
    <w:rsid w:val="002A0443"/>
    <w:rsid w:val="002A05CB"/>
    <w:rsid w:val="002A0873"/>
    <w:rsid w:val="002A0AF4"/>
    <w:rsid w:val="002A0B2D"/>
    <w:rsid w:val="002A0B73"/>
    <w:rsid w:val="002A0BF1"/>
    <w:rsid w:val="002A0CAC"/>
    <w:rsid w:val="002A0CCE"/>
    <w:rsid w:val="002A0DC6"/>
    <w:rsid w:val="002A0E5C"/>
    <w:rsid w:val="002A1152"/>
    <w:rsid w:val="002A1286"/>
    <w:rsid w:val="002A128D"/>
    <w:rsid w:val="002A12B7"/>
    <w:rsid w:val="002A1500"/>
    <w:rsid w:val="002A1558"/>
    <w:rsid w:val="002A15EE"/>
    <w:rsid w:val="002A1935"/>
    <w:rsid w:val="002A1A51"/>
    <w:rsid w:val="002A1B35"/>
    <w:rsid w:val="002A1C4D"/>
    <w:rsid w:val="002A1CE8"/>
    <w:rsid w:val="002A210C"/>
    <w:rsid w:val="002A2148"/>
    <w:rsid w:val="002A222F"/>
    <w:rsid w:val="002A228D"/>
    <w:rsid w:val="002A2564"/>
    <w:rsid w:val="002A25F5"/>
    <w:rsid w:val="002A27D4"/>
    <w:rsid w:val="002A299F"/>
    <w:rsid w:val="002A2A80"/>
    <w:rsid w:val="002A2C41"/>
    <w:rsid w:val="002A2E70"/>
    <w:rsid w:val="002A2EA2"/>
    <w:rsid w:val="002A2F79"/>
    <w:rsid w:val="002A3006"/>
    <w:rsid w:val="002A3140"/>
    <w:rsid w:val="002A324C"/>
    <w:rsid w:val="002A32E8"/>
    <w:rsid w:val="002A32EB"/>
    <w:rsid w:val="002A372B"/>
    <w:rsid w:val="002A3A7D"/>
    <w:rsid w:val="002A3AE6"/>
    <w:rsid w:val="002A3C1C"/>
    <w:rsid w:val="002A3E72"/>
    <w:rsid w:val="002A3EE4"/>
    <w:rsid w:val="002A4009"/>
    <w:rsid w:val="002A4204"/>
    <w:rsid w:val="002A42BF"/>
    <w:rsid w:val="002A42CB"/>
    <w:rsid w:val="002A431B"/>
    <w:rsid w:val="002A447B"/>
    <w:rsid w:val="002A46BE"/>
    <w:rsid w:val="002A49EB"/>
    <w:rsid w:val="002A4A2D"/>
    <w:rsid w:val="002A4A9C"/>
    <w:rsid w:val="002A4ABD"/>
    <w:rsid w:val="002A4C8C"/>
    <w:rsid w:val="002A4D78"/>
    <w:rsid w:val="002A4DB3"/>
    <w:rsid w:val="002A4DBC"/>
    <w:rsid w:val="002A4EDA"/>
    <w:rsid w:val="002A4EE6"/>
    <w:rsid w:val="002A4F27"/>
    <w:rsid w:val="002A4FFF"/>
    <w:rsid w:val="002A53AE"/>
    <w:rsid w:val="002A5438"/>
    <w:rsid w:val="002A56E8"/>
    <w:rsid w:val="002A5761"/>
    <w:rsid w:val="002A576B"/>
    <w:rsid w:val="002A590E"/>
    <w:rsid w:val="002A59AC"/>
    <w:rsid w:val="002A5C31"/>
    <w:rsid w:val="002A5D7A"/>
    <w:rsid w:val="002A5E1A"/>
    <w:rsid w:val="002A5E56"/>
    <w:rsid w:val="002A5F53"/>
    <w:rsid w:val="002A6022"/>
    <w:rsid w:val="002A615F"/>
    <w:rsid w:val="002A6211"/>
    <w:rsid w:val="002A62A9"/>
    <w:rsid w:val="002A6537"/>
    <w:rsid w:val="002A65BE"/>
    <w:rsid w:val="002A65C3"/>
    <w:rsid w:val="002A66EB"/>
    <w:rsid w:val="002A67D4"/>
    <w:rsid w:val="002A6802"/>
    <w:rsid w:val="002A6817"/>
    <w:rsid w:val="002A6990"/>
    <w:rsid w:val="002A6B12"/>
    <w:rsid w:val="002A6B32"/>
    <w:rsid w:val="002A6B4C"/>
    <w:rsid w:val="002A6B74"/>
    <w:rsid w:val="002A6C9C"/>
    <w:rsid w:val="002A6D26"/>
    <w:rsid w:val="002A6E0A"/>
    <w:rsid w:val="002A6F7D"/>
    <w:rsid w:val="002A6FAD"/>
    <w:rsid w:val="002A70FA"/>
    <w:rsid w:val="002A7342"/>
    <w:rsid w:val="002A7551"/>
    <w:rsid w:val="002A75C1"/>
    <w:rsid w:val="002A76BB"/>
    <w:rsid w:val="002A774C"/>
    <w:rsid w:val="002A779B"/>
    <w:rsid w:val="002A77D9"/>
    <w:rsid w:val="002A78FF"/>
    <w:rsid w:val="002A7901"/>
    <w:rsid w:val="002A7B5E"/>
    <w:rsid w:val="002A7B82"/>
    <w:rsid w:val="002A7F4D"/>
    <w:rsid w:val="002A7F6E"/>
    <w:rsid w:val="002B0081"/>
    <w:rsid w:val="002B013A"/>
    <w:rsid w:val="002B0242"/>
    <w:rsid w:val="002B04EA"/>
    <w:rsid w:val="002B05A3"/>
    <w:rsid w:val="002B091B"/>
    <w:rsid w:val="002B0D2A"/>
    <w:rsid w:val="002B0EE6"/>
    <w:rsid w:val="002B11F2"/>
    <w:rsid w:val="002B1236"/>
    <w:rsid w:val="002B13D4"/>
    <w:rsid w:val="002B1406"/>
    <w:rsid w:val="002B1409"/>
    <w:rsid w:val="002B1452"/>
    <w:rsid w:val="002B1587"/>
    <w:rsid w:val="002B1588"/>
    <w:rsid w:val="002B1706"/>
    <w:rsid w:val="002B186F"/>
    <w:rsid w:val="002B191D"/>
    <w:rsid w:val="002B19A9"/>
    <w:rsid w:val="002B1D97"/>
    <w:rsid w:val="002B1E74"/>
    <w:rsid w:val="002B1E78"/>
    <w:rsid w:val="002B1EF9"/>
    <w:rsid w:val="002B2498"/>
    <w:rsid w:val="002B2587"/>
    <w:rsid w:val="002B26B9"/>
    <w:rsid w:val="002B2A17"/>
    <w:rsid w:val="002B2DB0"/>
    <w:rsid w:val="002B3010"/>
    <w:rsid w:val="002B301B"/>
    <w:rsid w:val="002B319A"/>
    <w:rsid w:val="002B333D"/>
    <w:rsid w:val="002B3497"/>
    <w:rsid w:val="002B38A4"/>
    <w:rsid w:val="002B3A6F"/>
    <w:rsid w:val="002B3AA9"/>
    <w:rsid w:val="002B3ACA"/>
    <w:rsid w:val="002B3AD3"/>
    <w:rsid w:val="002B3AE3"/>
    <w:rsid w:val="002B3BC3"/>
    <w:rsid w:val="002B404D"/>
    <w:rsid w:val="002B4144"/>
    <w:rsid w:val="002B43A7"/>
    <w:rsid w:val="002B449B"/>
    <w:rsid w:val="002B44A1"/>
    <w:rsid w:val="002B452D"/>
    <w:rsid w:val="002B4581"/>
    <w:rsid w:val="002B463A"/>
    <w:rsid w:val="002B4A78"/>
    <w:rsid w:val="002B4BE7"/>
    <w:rsid w:val="002B4DE7"/>
    <w:rsid w:val="002B5035"/>
    <w:rsid w:val="002B50EE"/>
    <w:rsid w:val="002B5376"/>
    <w:rsid w:val="002B5632"/>
    <w:rsid w:val="002B56F8"/>
    <w:rsid w:val="002B593E"/>
    <w:rsid w:val="002B5983"/>
    <w:rsid w:val="002B5B58"/>
    <w:rsid w:val="002B5BF9"/>
    <w:rsid w:val="002B5C65"/>
    <w:rsid w:val="002B5E5D"/>
    <w:rsid w:val="002B6062"/>
    <w:rsid w:val="002B62E8"/>
    <w:rsid w:val="002B63F4"/>
    <w:rsid w:val="002B6438"/>
    <w:rsid w:val="002B643E"/>
    <w:rsid w:val="002B64B1"/>
    <w:rsid w:val="002B6572"/>
    <w:rsid w:val="002B6614"/>
    <w:rsid w:val="002B662F"/>
    <w:rsid w:val="002B6658"/>
    <w:rsid w:val="002B67E8"/>
    <w:rsid w:val="002B6B4A"/>
    <w:rsid w:val="002B6BAA"/>
    <w:rsid w:val="002B6C2E"/>
    <w:rsid w:val="002B6D30"/>
    <w:rsid w:val="002B7108"/>
    <w:rsid w:val="002B7299"/>
    <w:rsid w:val="002B7301"/>
    <w:rsid w:val="002B7383"/>
    <w:rsid w:val="002B73B5"/>
    <w:rsid w:val="002B7575"/>
    <w:rsid w:val="002B7656"/>
    <w:rsid w:val="002B76A9"/>
    <w:rsid w:val="002B790B"/>
    <w:rsid w:val="002B796A"/>
    <w:rsid w:val="002B79B7"/>
    <w:rsid w:val="002B7EA6"/>
    <w:rsid w:val="002B7F20"/>
    <w:rsid w:val="002C0094"/>
    <w:rsid w:val="002C01A0"/>
    <w:rsid w:val="002C0351"/>
    <w:rsid w:val="002C03E1"/>
    <w:rsid w:val="002C0513"/>
    <w:rsid w:val="002C07EA"/>
    <w:rsid w:val="002C099C"/>
    <w:rsid w:val="002C0B83"/>
    <w:rsid w:val="002C0C8C"/>
    <w:rsid w:val="002C0CD9"/>
    <w:rsid w:val="002C0EF5"/>
    <w:rsid w:val="002C0FBD"/>
    <w:rsid w:val="002C1024"/>
    <w:rsid w:val="002C1439"/>
    <w:rsid w:val="002C15F4"/>
    <w:rsid w:val="002C1914"/>
    <w:rsid w:val="002C196D"/>
    <w:rsid w:val="002C1AE1"/>
    <w:rsid w:val="002C1CB4"/>
    <w:rsid w:val="002C1DB3"/>
    <w:rsid w:val="002C225D"/>
    <w:rsid w:val="002C23B0"/>
    <w:rsid w:val="002C23B2"/>
    <w:rsid w:val="002C23C6"/>
    <w:rsid w:val="002C23D6"/>
    <w:rsid w:val="002C2721"/>
    <w:rsid w:val="002C2A75"/>
    <w:rsid w:val="002C2AA5"/>
    <w:rsid w:val="002C2B43"/>
    <w:rsid w:val="002C2BE0"/>
    <w:rsid w:val="002C2E44"/>
    <w:rsid w:val="002C2EF5"/>
    <w:rsid w:val="002C3021"/>
    <w:rsid w:val="002C309D"/>
    <w:rsid w:val="002C30BE"/>
    <w:rsid w:val="002C30E2"/>
    <w:rsid w:val="002C321A"/>
    <w:rsid w:val="002C3421"/>
    <w:rsid w:val="002C35EF"/>
    <w:rsid w:val="002C3694"/>
    <w:rsid w:val="002C37DB"/>
    <w:rsid w:val="002C37FD"/>
    <w:rsid w:val="002C3876"/>
    <w:rsid w:val="002C3D3B"/>
    <w:rsid w:val="002C3E2A"/>
    <w:rsid w:val="002C3F29"/>
    <w:rsid w:val="002C3F71"/>
    <w:rsid w:val="002C407F"/>
    <w:rsid w:val="002C408D"/>
    <w:rsid w:val="002C413F"/>
    <w:rsid w:val="002C43A2"/>
    <w:rsid w:val="002C443B"/>
    <w:rsid w:val="002C4460"/>
    <w:rsid w:val="002C4473"/>
    <w:rsid w:val="002C4489"/>
    <w:rsid w:val="002C45BD"/>
    <w:rsid w:val="002C46CA"/>
    <w:rsid w:val="002C4849"/>
    <w:rsid w:val="002C4956"/>
    <w:rsid w:val="002C496D"/>
    <w:rsid w:val="002C4A5B"/>
    <w:rsid w:val="002C4A93"/>
    <w:rsid w:val="002C4B0E"/>
    <w:rsid w:val="002C4B37"/>
    <w:rsid w:val="002C4B63"/>
    <w:rsid w:val="002C4C21"/>
    <w:rsid w:val="002C4CBD"/>
    <w:rsid w:val="002C4FA2"/>
    <w:rsid w:val="002C52DA"/>
    <w:rsid w:val="002C546B"/>
    <w:rsid w:val="002C54B0"/>
    <w:rsid w:val="002C54FF"/>
    <w:rsid w:val="002C551A"/>
    <w:rsid w:val="002C5690"/>
    <w:rsid w:val="002C5692"/>
    <w:rsid w:val="002C56D5"/>
    <w:rsid w:val="002C577B"/>
    <w:rsid w:val="002C58A5"/>
    <w:rsid w:val="002C5B25"/>
    <w:rsid w:val="002C5BCA"/>
    <w:rsid w:val="002C5C6A"/>
    <w:rsid w:val="002C5D68"/>
    <w:rsid w:val="002C5D98"/>
    <w:rsid w:val="002C5DF9"/>
    <w:rsid w:val="002C648C"/>
    <w:rsid w:val="002C6967"/>
    <w:rsid w:val="002C69B7"/>
    <w:rsid w:val="002C6A1B"/>
    <w:rsid w:val="002C6CEF"/>
    <w:rsid w:val="002C6D6A"/>
    <w:rsid w:val="002C6DA1"/>
    <w:rsid w:val="002C6DB3"/>
    <w:rsid w:val="002C6F2D"/>
    <w:rsid w:val="002C713C"/>
    <w:rsid w:val="002C7149"/>
    <w:rsid w:val="002C7173"/>
    <w:rsid w:val="002C7266"/>
    <w:rsid w:val="002C727B"/>
    <w:rsid w:val="002C7287"/>
    <w:rsid w:val="002C739B"/>
    <w:rsid w:val="002C7465"/>
    <w:rsid w:val="002C7527"/>
    <w:rsid w:val="002C7544"/>
    <w:rsid w:val="002C771E"/>
    <w:rsid w:val="002C7759"/>
    <w:rsid w:val="002C77C5"/>
    <w:rsid w:val="002C7934"/>
    <w:rsid w:val="002C79D9"/>
    <w:rsid w:val="002C7AEE"/>
    <w:rsid w:val="002C7C43"/>
    <w:rsid w:val="002C7FA1"/>
    <w:rsid w:val="002C7FA5"/>
    <w:rsid w:val="002C7FFD"/>
    <w:rsid w:val="002D0003"/>
    <w:rsid w:val="002D019C"/>
    <w:rsid w:val="002D02AB"/>
    <w:rsid w:val="002D02CC"/>
    <w:rsid w:val="002D0321"/>
    <w:rsid w:val="002D037F"/>
    <w:rsid w:val="002D03C7"/>
    <w:rsid w:val="002D05E7"/>
    <w:rsid w:val="002D06B3"/>
    <w:rsid w:val="002D082B"/>
    <w:rsid w:val="002D09D4"/>
    <w:rsid w:val="002D0A4D"/>
    <w:rsid w:val="002D0A53"/>
    <w:rsid w:val="002D0ADD"/>
    <w:rsid w:val="002D0BDA"/>
    <w:rsid w:val="002D0C9E"/>
    <w:rsid w:val="002D114C"/>
    <w:rsid w:val="002D1155"/>
    <w:rsid w:val="002D1213"/>
    <w:rsid w:val="002D143E"/>
    <w:rsid w:val="002D157F"/>
    <w:rsid w:val="002D1860"/>
    <w:rsid w:val="002D18D6"/>
    <w:rsid w:val="002D199B"/>
    <w:rsid w:val="002D1B65"/>
    <w:rsid w:val="002D1BCD"/>
    <w:rsid w:val="002D1C94"/>
    <w:rsid w:val="002D1DF3"/>
    <w:rsid w:val="002D201D"/>
    <w:rsid w:val="002D2042"/>
    <w:rsid w:val="002D24B4"/>
    <w:rsid w:val="002D25ED"/>
    <w:rsid w:val="002D274D"/>
    <w:rsid w:val="002D2755"/>
    <w:rsid w:val="002D2A18"/>
    <w:rsid w:val="002D2D8E"/>
    <w:rsid w:val="002D2E07"/>
    <w:rsid w:val="002D2E4A"/>
    <w:rsid w:val="002D2E9C"/>
    <w:rsid w:val="002D3776"/>
    <w:rsid w:val="002D37F2"/>
    <w:rsid w:val="002D38BB"/>
    <w:rsid w:val="002D3981"/>
    <w:rsid w:val="002D39F7"/>
    <w:rsid w:val="002D3A9C"/>
    <w:rsid w:val="002D3AC2"/>
    <w:rsid w:val="002D3EAF"/>
    <w:rsid w:val="002D401F"/>
    <w:rsid w:val="002D42FF"/>
    <w:rsid w:val="002D441D"/>
    <w:rsid w:val="002D4433"/>
    <w:rsid w:val="002D4446"/>
    <w:rsid w:val="002D45D5"/>
    <w:rsid w:val="002D4640"/>
    <w:rsid w:val="002D46C4"/>
    <w:rsid w:val="002D47CA"/>
    <w:rsid w:val="002D4867"/>
    <w:rsid w:val="002D4B3E"/>
    <w:rsid w:val="002D4BC0"/>
    <w:rsid w:val="002D4C0A"/>
    <w:rsid w:val="002D4C39"/>
    <w:rsid w:val="002D4C5E"/>
    <w:rsid w:val="002D4D09"/>
    <w:rsid w:val="002D4D77"/>
    <w:rsid w:val="002D511F"/>
    <w:rsid w:val="002D5403"/>
    <w:rsid w:val="002D5478"/>
    <w:rsid w:val="002D54DC"/>
    <w:rsid w:val="002D560A"/>
    <w:rsid w:val="002D5669"/>
    <w:rsid w:val="002D5685"/>
    <w:rsid w:val="002D569D"/>
    <w:rsid w:val="002D56E4"/>
    <w:rsid w:val="002D5719"/>
    <w:rsid w:val="002D59C0"/>
    <w:rsid w:val="002D5BAD"/>
    <w:rsid w:val="002D5C6C"/>
    <w:rsid w:val="002D5D36"/>
    <w:rsid w:val="002D5D68"/>
    <w:rsid w:val="002D5D94"/>
    <w:rsid w:val="002D5DF3"/>
    <w:rsid w:val="002D5FAA"/>
    <w:rsid w:val="002D6003"/>
    <w:rsid w:val="002D60BA"/>
    <w:rsid w:val="002D6120"/>
    <w:rsid w:val="002D618D"/>
    <w:rsid w:val="002D6367"/>
    <w:rsid w:val="002D64EC"/>
    <w:rsid w:val="002D678C"/>
    <w:rsid w:val="002D6AB2"/>
    <w:rsid w:val="002D6B02"/>
    <w:rsid w:val="002D6CB0"/>
    <w:rsid w:val="002D7057"/>
    <w:rsid w:val="002D713F"/>
    <w:rsid w:val="002D724B"/>
    <w:rsid w:val="002D72C9"/>
    <w:rsid w:val="002D730D"/>
    <w:rsid w:val="002D739D"/>
    <w:rsid w:val="002D76E3"/>
    <w:rsid w:val="002D774C"/>
    <w:rsid w:val="002D77C5"/>
    <w:rsid w:val="002D7933"/>
    <w:rsid w:val="002D79A2"/>
    <w:rsid w:val="002D7AA2"/>
    <w:rsid w:val="002D7C2F"/>
    <w:rsid w:val="002D7C7F"/>
    <w:rsid w:val="002D7D41"/>
    <w:rsid w:val="002D7EA6"/>
    <w:rsid w:val="002E054C"/>
    <w:rsid w:val="002E066F"/>
    <w:rsid w:val="002E0AD0"/>
    <w:rsid w:val="002E0D7D"/>
    <w:rsid w:val="002E0DAF"/>
    <w:rsid w:val="002E0DBA"/>
    <w:rsid w:val="002E0DC8"/>
    <w:rsid w:val="002E0EBC"/>
    <w:rsid w:val="002E10B6"/>
    <w:rsid w:val="002E116B"/>
    <w:rsid w:val="002E1222"/>
    <w:rsid w:val="002E138B"/>
    <w:rsid w:val="002E13EC"/>
    <w:rsid w:val="002E1449"/>
    <w:rsid w:val="002E14FF"/>
    <w:rsid w:val="002E193C"/>
    <w:rsid w:val="002E1952"/>
    <w:rsid w:val="002E19CD"/>
    <w:rsid w:val="002E19EF"/>
    <w:rsid w:val="002E1A19"/>
    <w:rsid w:val="002E1ADB"/>
    <w:rsid w:val="002E1B1C"/>
    <w:rsid w:val="002E1C78"/>
    <w:rsid w:val="002E1C95"/>
    <w:rsid w:val="002E1EA6"/>
    <w:rsid w:val="002E226A"/>
    <w:rsid w:val="002E2326"/>
    <w:rsid w:val="002E2429"/>
    <w:rsid w:val="002E2487"/>
    <w:rsid w:val="002E2708"/>
    <w:rsid w:val="002E2941"/>
    <w:rsid w:val="002E29AC"/>
    <w:rsid w:val="002E2A9C"/>
    <w:rsid w:val="002E2B74"/>
    <w:rsid w:val="002E2B87"/>
    <w:rsid w:val="002E2C95"/>
    <w:rsid w:val="002E2DBF"/>
    <w:rsid w:val="002E2DEE"/>
    <w:rsid w:val="002E2E26"/>
    <w:rsid w:val="002E2EAC"/>
    <w:rsid w:val="002E2ED1"/>
    <w:rsid w:val="002E3003"/>
    <w:rsid w:val="002E319F"/>
    <w:rsid w:val="002E31F6"/>
    <w:rsid w:val="002E351B"/>
    <w:rsid w:val="002E35E8"/>
    <w:rsid w:val="002E380F"/>
    <w:rsid w:val="002E3B71"/>
    <w:rsid w:val="002E3B81"/>
    <w:rsid w:val="002E3DD8"/>
    <w:rsid w:val="002E3EA7"/>
    <w:rsid w:val="002E3FDC"/>
    <w:rsid w:val="002E415A"/>
    <w:rsid w:val="002E41A5"/>
    <w:rsid w:val="002E42C4"/>
    <w:rsid w:val="002E4384"/>
    <w:rsid w:val="002E43E2"/>
    <w:rsid w:val="002E4427"/>
    <w:rsid w:val="002E4429"/>
    <w:rsid w:val="002E4572"/>
    <w:rsid w:val="002E46DF"/>
    <w:rsid w:val="002E47CF"/>
    <w:rsid w:val="002E4853"/>
    <w:rsid w:val="002E4967"/>
    <w:rsid w:val="002E49FD"/>
    <w:rsid w:val="002E4B12"/>
    <w:rsid w:val="002E4C6B"/>
    <w:rsid w:val="002E4E8D"/>
    <w:rsid w:val="002E4FE8"/>
    <w:rsid w:val="002E4FE9"/>
    <w:rsid w:val="002E515F"/>
    <w:rsid w:val="002E51F1"/>
    <w:rsid w:val="002E53DC"/>
    <w:rsid w:val="002E57C0"/>
    <w:rsid w:val="002E585A"/>
    <w:rsid w:val="002E58F4"/>
    <w:rsid w:val="002E59B0"/>
    <w:rsid w:val="002E5A16"/>
    <w:rsid w:val="002E5AC6"/>
    <w:rsid w:val="002E5BFA"/>
    <w:rsid w:val="002E5D3E"/>
    <w:rsid w:val="002E6075"/>
    <w:rsid w:val="002E607A"/>
    <w:rsid w:val="002E6296"/>
    <w:rsid w:val="002E6403"/>
    <w:rsid w:val="002E646B"/>
    <w:rsid w:val="002E6632"/>
    <w:rsid w:val="002E66A7"/>
    <w:rsid w:val="002E67B8"/>
    <w:rsid w:val="002E6804"/>
    <w:rsid w:val="002E68A5"/>
    <w:rsid w:val="002E6930"/>
    <w:rsid w:val="002E6953"/>
    <w:rsid w:val="002E697E"/>
    <w:rsid w:val="002E69EC"/>
    <w:rsid w:val="002E6CC9"/>
    <w:rsid w:val="002E6DAF"/>
    <w:rsid w:val="002E6F2E"/>
    <w:rsid w:val="002E6F3B"/>
    <w:rsid w:val="002E6F43"/>
    <w:rsid w:val="002E6F88"/>
    <w:rsid w:val="002E70A1"/>
    <w:rsid w:val="002E719E"/>
    <w:rsid w:val="002E71E9"/>
    <w:rsid w:val="002E72A5"/>
    <w:rsid w:val="002E74FE"/>
    <w:rsid w:val="002E770D"/>
    <w:rsid w:val="002E77ED"/>
    <w:rsid w:val="002E7874"/>
    <w:rsid w:val="002E78E2"/>
    <w:rsid w:val="002E78F2"/>
    <w:rsid w:val="002E7D4B"/>
    <w:rsid w:val="002E7EA6"/>
    <w:rsid w:val="002E7ED8"/>
    <w:rsid w:val="002F0064"/>
    <w:rsid w:val="002F0129"/>
    <w:rsid w:val="002F02B1"/>
    <w:rsid w:val="002F02B3"/>
    <w:rsid w:val="002F02DA"/>
    <w:rsid w:val="002F035C"/>
    <w:rsid w:val="002F056C"/>
    <w:rsid w:val="002F085E"/>
    <w:rsid w:val="002F0AD9"/>
    <w:rsid w:val="002F0B8A"/>
    <w:rsid w:val="002F0D9D"/>
    <w:rsid w:val="002F0F98"/>
    <w:rsid w:val="002F11EC"/>
    <w:rsid w:val="002F120C"/>
    <w:rsid w:val="002F1245"/>
    <w:rsid w:val="002F125B"/>
    <w:rsid w:val="002F12FE"/>
    <w:rsid w:val="002F13FF"/>
    <w:rsid w:val="002F1726"/>
    <w:rsid w:val="002F17E9"/>
    <w:rsid w:val="002F1890"/>
    <w:rsid w:val="002F19AC"/>
    <w:rsid w:val="002F1B07"/>
    <w:rsid w:val="002F1B08"/>
    <w:rsid w:val="002F1B86"/>
    <w:rsid w:val="002F1C18"/>
    <w:rsid w:val="002F1C21"/>
    <w:rsid w:val="002F1C89"/>
    <w:rsid w:val="002F1D09"/>
    <w:rsid w:val="002F1FB1"/>
    <w:rsid w:val="002F2015"/>
    <w:rsid w:val="002F2054"/>
    <w:rsid w:val="002F20ED"/>
    <w:rsid w:val="002F2172"/>
    <w:rsid w:val="002F21AE"/>
    <w:rsid w:val="002F2308"/>
    <w:rsid w:val="002F2344"/>
    <w:rsid w:val="002F2496"/>
    <w:rsid w:val="002F252B"/>
    <w:rsid w:val="002F2790"/>
    <w:rsid w:val="002F27A2"/>
    <w:rsid w:val="002F28D4"/>
    <w:rsid w:val="002F2942"/>
    <w:rsid w:val="002F29FB"/>
    <w:rsid w:val="002F2A22"/>
    <w:rsid w:val="002F2C1D"/>
    <w:rsid w:val="002F2D97"/>
    <w:rsid w:val="002F2E29"/>
    <w:rsid w:val="002F2FA5"/>
    <w:rsid w:val="002F3042"/>
    <w:rsid w:val="002F3100"/>
    <w:rsid w:val="002F3128"/>
    <w:rsid w:val="002F31B6"/>
    <w:rsid w:val="002F32F5"/>
    <w:rsid w:val="002F3309"/>
    <w:rsid w:val="002F38D9"/>
    <w:rsid w:val="002F38E8"/>
    <w:rsid w:val="002F390C"/>
    <w:rsid w:val="002F3A64"/>
    <w:rsid w:val="002F3AEE"/>
    <w:rsid w:val="002F3B28"/>
    <w:rsid w:val="002F3B79"/>
    <w:rsid w:val="002F3B8A"/>
    <w:rsid w:val="002F3C6B"/>
    <w:rsid w:val="002F3DB3"/>
    <w:rsid w:val="002F3EDF"/>
    <w:rsid w:val="002F3F05"/>
    <w:rsid w:val="002F3F68"/>
    <w:rsid w:val="002F3FDD"/>
    <w:rsid w:val="002F3FFF"/>
    <w:rsid w:val="002F407A"/>
    <w:rsid w:val="002F4295"/>
    <w:rsid w:val="002F45B1"/>
    <w:rsid w:val="002F47EF"/>
    <w:rsid w:val="002F4A7B"/>
    <w:rsid w:val="002F4B24"/>
    <w:rsid w:val="002F4EC9"/>
    <w:rsid w:val="002F4F93"/>
    <w:rsid w:val="002F517C"/>
    <w:rsid w:val="002F51CD"/>
    <w:rsid w:val="002F52B3"/>
    <w:rsid w:val="002F54A5"/>
    <w:rsid w:val="002F569B"/>
    <w:rsid w:val="002F56FA"/>
    <w:rsid w:val="002F5707"/>
    <w:rsid w:val="002F5794"/>
    <w:rsid w:val="002F5872"/>
    <w:rsid w:val="002F590B"/>
    <w:rsid w:val="002F59FC"/>
    <w:rsid w:val="002F5BEF"/>
    <w:rsid w:val="002F5E89"/>
    <w:rsid w:val="002F5F19"/>
    <w:rsid w:val="002F5F82"/>
    <w:rsid w:val="002F5FC8"/>
    <w:rsid w:val="002F6085"/>
    <w:rsid w:val="002F633A"/>
    <w:rsid w:val="002F6363"/>
    <w:rsid w:val="002F6406"/>
    <w:rsid w:val="002F6816"/>
    <w:rsid w:val="002F6D0D"/>
    <w:rsid w:val="002F6FF1"/>
    <w:rsid w:val="002F702D"/>
    <w:rsid w:val="002F7034"/>
    <w:rsid w:val="002F7170"/>
    <w:rsid w:val="002F7288"/>
    <w:rsid w:val="002F7290"/>
    <w:rsid w:val="002F7815"/>
    <w:rsid w:val="002F78DE"/>
    <w:rsid w:val="002F795B"/>
    <w:rsid w:val="002F798D"/>
    <w:rsid w:val="002F7ABD"/>
    <w:rsid w:val="002F7B3A"/>
    <w:rsid w:val="002F7E49"/>
    <w:rsid w:val="002F7FEB"/>
    <w:rsid w:val="003002B3"/>
    <w:rsid w:val="003004B5"/>
    <w:rsid w:val="003007C7"/>
    <w:rsid w:val="00300838"/>
    <w:rsid w:val="00300867"/>
    <w:rsid w:val="0030086F"/>
    <w:rsid w:val="003009D9"/>
    <w:rsid w:val="00300C3C"/>
    <w:rsid w:val="00300E85"/>
    <w:rsid w:val="00300EDD"/>
    <w:rsid w:val="00301018"/>
    <w:rsid w:val="0030109E"/>
    <w:rsid w:val="003013CC"/>
    <w:rsid w:val="003014C9"/>
    <w:rsid w:val="003014CE"/>
    <w:rsid w:val="0030157A"/>
    <w:rsid w:val="003015C5"/>
    <w:rsid w:val="0030166C"/>
    <w:rsid w:val="00301887"/>
    <w:rsid w:val="003018AA"/>
    <w:rsid w:val="00301A5B"/>
    <w:rsid w:val="00301D2A"/>
    <w:rsid w:val="00302160"/>
    <w:rsid w:val="0030223E"/>
    <w:rsid w:val="0030233F"/>
    <w:rsid w:val="00302483"/>
    <w:rsid w:val="00302512"/>
    <w:rsid w:val="00302694"/>
    <w:rsid w:val="003026B2"/>
    <w:rsid w:val="0030270C"/>
    <w:rsid w:val="003027E1"/>
    <w:rsid w:val="00302A3F"/>
    <w:rsid w:val="00302AC6"/>
    <w:rsid w:val="00302B8F"/>
    <w:rsid w:val="00302C0A"/>
    <w:rsid w:val="00302C96"/>
    <w:rsid w:val="00302CB4"/>
    <w:rsid w:val="00302DDC"/>
    <w:rsid w:val="00302DE9"/>
    <w:rsid w:val="0030312A"/>
    <w:rsid w:val="003031F6"/>
    <w:rsid w:val="00303206"/>
    <w:rsid w:val="003033DA"/>
    <w:rsid w:val="00303433"/>
    <w:rsid w:val="0030346C"/>
    <w:rsid w:val="0030349E"/>
    <w:rsid w:val="00303692"/>
    <w:rsid w:val="0030380B"/>
    <w:rsid w:val="00303815"/>
    <w:rsid w:val="00303861"/>
    <w:rsid w:val="00303891"/>
    <w:rsid w:val="00303957"/>
    <w:rsid w:val="00303B44"/>
    <w:rsid w:val="00303BA2"/>
    <w:rsid w:val="00303C7B"/>
    <w:rsid w:val="00303C93"/>
    <w:rsid w:val="00303CE0"/>
    <w:rsid w:val="00303D4D"/>
    <w:rsid w:val="00303E9D"/>
    <w:rsid w:val="003040E6"/>
    <w:rsid w:val="00304247"/>
    <w:rsid w:val="0030460D"/>
    <w:rsid w:val="00304622"/>
    <w:rsid w:val="0030469E"/>
    <w:rsid w:val="003046E4"/>
    <w:rsid w:val="00304832"/>
    <w:rsid w:val="00304AB9"/>
    <w:rsid w:val="00304B2E"/>
    <w:rsid w:val="00304BE5"/>
    <w:rsid w:val="00304C86"/>
    <w:rsid w:val="00304CFA"/>
    <w:rsid w:val="00304E64"/>
    <w:rsid w:val="00304F4C"/>
    <w:rsid w:val="0030504A"/>
    <w:rsid w:val="003050A6"/>
    <w:rsid w:val="003050F1"/>
    <w:rsid w:val="003050FC"/>
    <w:rsid w:val="00305121"/>
    <w:rsid w:val="00305317"/>
    <w:rsid w:val="00305354"/>
    <w:rsid w:val="0030537D"/>
    <w:rsid w:val="003054A5"/>
    <w:rsid w:val="00305523"/>
    <w:rsid w:val="00305596"/>
    <w:rsid w:val="003055C5"/>
    <w:rsid w:val="003056D5"/>
    <w:rsid w:val="0030582B"/>
    <w:rsid w:val="00305835"/>
    <w:rsid w:val="003058D0"/>
    <w:rsid w:val="003058E1"/>
    <w:rsid w:val="00305984"/>
    <w:rsid w:val="00305DCA"/>
    <w:rsid w:val="00305DD0"/>
    <w:rsid w:val="00305F4A"/>
    <w:rsid w:val="00305F4F"/>
    <w:rsid w:val="00305F7F"/>
    <w:rsid w:val="00305FC7"/>
    <w:rsid w:val="00306159"/>
    <w:rsid w:val="00306246"/>
    <w:rsid w:val="00306247"/>
    <w:rsid w:val="003067A6"/>
    <w:rsid w:val="00306B89"/>
    <w:rsid w:val="00306BB7"/>
    <w:rsid w:val="00306C6C"/>
    <w:rsid w:val="00306EAA"/>
    <w:rsid w:val="00307057"/>
    <w:rsid w:val="00307152"/>
    <w:rsid w:val="0030747B"/>
    <w:rsid w:val="003074A4"/>
    <w:rsid w:val="0030751B"/>
    <w:rsid w:val="00307621"/>
    <w:rsid w:val="00307658"/>
    <w:rsid w:val="00307761"/>
    <w:rsid w:val="003077BB"/>
    <w:rsid w:val="003077C0"/>
    <w:rsid w:val="003077D7"/>
    <w:rsid w:val="00307975"/>
    <w:rsid w:val="00307995"/>
    <w:rsid w:val="00307AE3"/>
    <w:rsid w:val="00307D85"/>
    <w:rsid w:val="00307E71"/>
    <w:rsid w:val="00307EBA"/>
    <w:rsid w:val="00307F5D"/>
    <w:rsid w:val="00310064"/>
    <w:rsid w:val="0031006F"/>
    <w:rsid w:val="003100E1"/>
    <w:rsid w:val="0031033A"/>
    <w:rsid w:val="003103F5"/>
    <w:rsid w:val="0031045A"/>
    <w:rsid w:val="00310558"/>
    <w:rsid w:val="00310672"/>
    <w:rsid w:val="00310692"/>
    <w:rsid w:val="0031071F"/>
    <w:rsid w:val="0031074C"/>
    <w:rsid w:val="00310942"/>
    <w:rsid w:val="00310A14"/>
    <w:rsid w:val="00310A1F"/>
    <w:rsid w:val="00310B60"/>
    <w:rsid w:val="00310C00"/>
    <w:rsid w:val="003110D6"/>
    <w:rsid w:val="00311122"/>
    <w:rsid w:val="0031115A"/>
    <w:rsid w:val="00311439"/>
    <w:rsid w:val="003114A2"/>
    <w:rsid w:val="00311512"/>
    <w:rsid w:val="0031154A"/>
    <w:rsid w:val="003115C3"/>
    <w:rsid w:val="00311A91"/>
    <w:rsid w:val="00311C89"/>
    <w:rsid w:val="00311CEB"/>
    <w:rsid w:val="00311DC0"/>
    <w:rsid w:val="00311FA7"/>
    <w:rsid w:val="00312190"/>
    <w:rsid w:val="0031257E"/>
    <w:rsid w:val="003127CA"/>
    <w:rsid w:val="00312876"/>
    <w:rsid w:val="003129B5"/>
    <w:rsid w:val="003129B7"/>
    <w:rsid w:val="00312B76"/>
    <w:rsid w:val="00312E05"/>
    <w:rsid w:val="00312F72"/>
    <w:rsid w:val="00312F95"/>
    <w:rsid w:val="00312FE0"/>
    <w:rsid w:val="00313179"/>
    <w:rsid w:val="003131C1"/>
    <w:rsid w:val="003133E0"/>
    <w:rsid w:val="0031367F"/>
    <w:rsid w:val="00313739"/>
    <w:rsid w:val="00313789"/>
    <w:rsid w:val="0031385A"/>
    <w:rsid w:val="003138FC"/>
    <w:rsid w:val="0031391A"/>
    <w:rsid w:val="003139C1"/>
    <w:rsid w:val="00313A4E"/>
    <w:rsid w:val="00313B3C"/>
    <w:rsid w:val="00313B90"/>
    <w:rsid w:val="00313EC6"/>
    <w:rsid w:val="00313F5D"/>
    <w:rsid w:val="0031423D"/>
    <w:rsid w:val="00314330"/>
    <w:rsid w:val="003144CE"/>
    <w:rsid w:val="003146A0"/>
    <w:rsid w:val="00314837"/>
    <w:rsid w:val="00314ABF"/>
    <w:rsid w:val="00314BDF"/>
    <w:rsid w:val="00314BE3"/>
    <w:rsid w:val="00314C31"/>
    <w:rsid w:val="00314DDE"/>
    <w:rsid w:val="00314EB2"/>
    <w:rsid w:val="00314EDA"/>
    <w:rsid w:val="0031504A"/>
    <w:rsid w:val="003150E5"/>
    <w:rsid w:val="00315227"/>
    <w:rsid w:val="0031533C"/>
    <w:rsid w:val="00315813"/>
    <w:rsid w:val="00315888"/>
    <w:rsid w:val="003158D2"/>
    <w:rsid w:val="00315960"/>
    <w:rsid w:val="00315968"/>
    <w:rsid w:val="00315982"/>
    <w:rsid w:val="00315C02"/>
    <w:rsid w:val="00315C79"/>
    <w:rsid w:val="00315DBC"/>
    <w:rsid w:val="00315E9D"/>
    <w:rsid w:val="00315ED3"/>
    <w:rsid w:val="00315EED"/>
    <w:rsid w:val="00315F5F"/>
    <w:rsid w:val="00315FEB"/>
    <w:rsid w:val="00316046"/>
    <w:rsid w:val="003160BD"/>
    <w:rsid w:val="00316242"/>
    <w:rsid w:val="003163F0"/>
    <w:rsid w:val="00316425"/>
    <w:rsid w:val="003164FF"/>
    <w:rsid w:val="0031677A"/>
    <w:rsid w:val="003167F1"/>
    <w:rsid w:val="00316868"/>
    <w:rsid w:val="00316896"/>
    <w:rsid w:val="0031695A"/>
    <w:rsid w:val="003169F7"/>
    <w:rsid w:val="00316D8D"/>
    <w:rsid w:val="00316DBE"/>
    <w:rsid w:val="00316F45"/>
    <w:rsid w:val="003171AF"/>
    <w:rsid w:val="003171CA"/>
    <w:rsid w:val="003171DB"/>
    <w:rsid w:val="003171DE"/>
    <w:rsid w:val="003172C7"/>
    <w:rsid w:val="00317339"/>
    <w:rsid w:val="00317378"/>
    <w:rsid w:val="003173EA"/>
    <w:rsid w:val="003175B1"/>
    <w:rsid w:val="003175CF"/>
    <w:rsid w:val="003176E1"/>
    <w:rsid w:val="003176E4"/>
    <w:rsid w:val="0031771B"/>
    <w:rsid w:val="003177A7"/>
    <w:rsid w:val="003177FA"/>
    <w:rsid w:val="0031791E"/>
    <w:rsid w:val="00317ABC"/>
    <w:rsid w:val="00317E3A"/>
    <w:rsid w:val="00317ECF"/>
    <w:rsid w:val="00317F66"/>
    <w:rsid w:val="00317F81"/>
    <w:rsid w:val="0032008E"/>
    <w:rsid w:val="00320090"/>
    <w:rsid w:val="0032014B"/>
    <w:rsid w:val="003201E4"/>
    <w:rsid w:val="003201EE"/>
    <w:rsid w:val="0032021E"/>
    <w:rsid w:val="003204D2"/>
    <w:rsid w:val="0032053D"/>
    <w:rsid w:val="00320623"/>
    <w:rsid w:val="003208B9"/>
    <w:rsid w:val="00320946"/>
    <w:rsid w:val="0032094E"/>
    <w:rsid w:val="0032099F"/>
    <w:rsid w:val="00320A6F"/>
    <w:rsid w:val="00320B73"/>
    <w:rsid w:val="00320B83"/>
    <w:rsid w:val="00320BD4"/>
    <w:rsid w:val="00320D78"/>
    <w:rsid w:val="00320DB7"/>
    <w:rsid w:val="00320EC1"/>
    <w:rsid w:val="00320ED2"/>
    <w:rsid w:val="00320F61"/>
    <w:rsid w:val="003210C3"/>
    <w:rsid w:val="003211ED"/>
    <w:rsid w:val="00321329"/>
    <w:rsid w:val="00321331"/>
    <w:rsid w:val="003213D3"/>
    <w:rsid w:val="0032141B"/>
    <w:rsid w:val="003214EF"/>
    <w:rsid w:val="00321538"/>
    <w:rsid w:val="0032158F"/>
    <w:rsid w:val="00321590"/>
    <w:rsid w:val="0032159A"/>
    <w:rsid w:val="00321615"/>
    <w:rsid w:val="003218C9"/>
    <w:rsid w:val="0032192B"/>
    <w:rsid w:val="00321992"/>
    <w:rsid w:val="00321B86"/>
    <w:rsid w:val="00321C9E"/>
    <w:rsid w:val="00321CA1"/>
    <w:rsid w:val="00321CFC"/>
    <w:rsid w:val="003220BE"/>
    <w:rsid w:val="003220E5"/>
    <w:rsid w:val="0032233C"/>
    <w:rsid w:val="003223E9"/>
    <w:rsid w:val="00322486"/>
    <w:rsid w:val="003225D2"/>
    <w:rsid w:val="00322601"/>
    <w:rsid w:val="003226E7"/>
    <w:rsid w:val="00322775"/>
    <w:rsid w:val="003227A3"/>
    <w:rsid w:val="0032287C"/>
    <w:rsid w:val="00322A0F"/>
    <w:rsid w:val="00322B13"/>
    <w:rsid w:val="00322B72"/>
    <w:rsid w:val="00322B97"/>
    <w:rsid w:val="00322ED6"/>
    <w:rsid w:val="00323083"/>
    <w:rsid w:val="0032310B"/>
    <w:rsid w:val="0032312C"/>
    <w:rsid w:val="00323185"/>
    <w:rsid w:val="0032321D"/>
    <w:rsid w:val="00323262"/>
    <w:rsid w:val="003234E6"/>
    <w:rsid w:val="0032382A"/>
    <w:rsid w:val="00323943"/>
    <w:rsid w:val="003239A9"/>
    <w:rsid w:val="00323B52"/>
    <w:rsid w:val="00323B8D"/>
    <w:rsid w:val="00323C09"/>
    <w:rsid w:val="00323E5A"/>
    <w:rsid w:val="00323ECC"/>
    <w:rsid w:val="003240FE"/>
    <w:rsid w:val="003242B1"/>
    <w:rsid w:val="003242B3"/>
    <w:rsid w:val="003242B5"/>
    <w:rsid w:val="00324387"/>
    <w:rsid w:val="003243A7"/>
    <w:rsid w:val="003243B2"/>
    <w:rsid w:val="003243EF"/>
    <w:rsid w:val="0032478A"/>
    <w:rsid w:val="00324833"/>
    <w:rsid w:val="00324872"/>
    <w:rsid w:val="00324906"/>
    <w:rsid w:val="00324918"/>
    <w:rsid w:val="0032494F"/>
    <w:rsid w:val="00324AF7"/>
    <w:rsid w:val="00324BA4"/>
    <w:rsid w:val="00324BAF"/>
    <w:rsid w:val="00324D11"/>
    <w:rsid w:val="00324D69"/>
    <w:rsid w:val="003250E5"/>
    <w:rsid w:val="0032529A"/>
    <w:rsid w:val="003252E0"/>
    <w:rsid w:val="00325358"/>
    <w:rsid w:val="003253C2"/>
    <w:rsid w:val="00325455"/>
    <w:rsid w:val="003256A9"/>
    <w:rsid w:val="003257D6"/>
    <w:rsid w:val="00325A37"/>
    <w:rsid w:val="00325A3D"/>
    <w:rsid w:val="00325D2B"/>
    <w:rsid w:val="00325D4A"/>
    <w:rsid w:val="00325E69"/>
    <w:rsid w:val="00326065"/>
    <w:rsid w:val="0032606F"/>
    <w:rsid w:val="0032627A"/>
    <w:rsid w:val="0032643F"/>
    <w:rsid w:val="003265F6"/>
    <w:rsid w:val="0032661B"/>
    <w:rsid w:val="00326894"/>
    <w:rsid w:val="00326AC9"/>
    <w:rsid w:val="00326B29"/>
    <w:rsid w:val="00326C3A"/>
    <w:rsid w:val="00326E30"/>
    <w:rsid w:val="00326E8E"/>
    <w:rsid w:val="00326F39"/>
    <w:rsid w:val="00326FCF"/>
    <w:rsid w:val="0032701B"/>
    <w:rsid w:val="00327046"/>
    <w:rsid w:val="00327099"/>
    <w:rsid w:val="00327173"/>
    <w:rsid w:val="00327318"/>
    <w:rsid w:val="0032745D"/>
    <w:rsid w:val="003274FE"/>
    <w:rsid w:val="0032751D"/>
    <w:rsid w:val="0032761D"/>
    <w:rsid w:val="0032768E"/>
    <w:rsid w:val="00327739"/>
    <w:rsid w:val="0032774C"/>
    <w:rsid w:val="00327889"/>
    <w:rsid w:val="00327974"/>
    <w:rsid w:val="00327A05"/>
    <w:rsid w:val="00327CA0"/>
    <w:rsid w:val="00327CB4"/>
    <w:rsid w:val="00327D94"/>
    <w:rsid w:val="00327DA4"/>
    <w:rsid w:val="00327E21"/>
    <w:rsid w:val="00327E4F"/>
    <w:rsid w:val="00330010"/>
    <w:rsid w:val="0033006D"/>
    <w:rsid w:val="0033050C"/>
    <w:rsid w:val="0033077D"/>
    <w:rsid w:val="003309A4"/>
    <w:rsid w:val="003309EF"/>
    <w:rsid w:val="00330B43"/>
    <w:rsid w:val="00330B4E"/>
    <w:rsid w:val="00330D7A"/>
    <w:rsid w:val="00330DCD"/>
    <w:rsid w:val="00330E97"/>
    <w:rsid w:val="00330EA9"/>
    <w:rsid w:val="003310D1"/>
    <w:rsid w:val="003310D2"/>
    <w:rsid w:val="003310D8"/>
    <w:rsid w:val="0033128A"/>
    <w:rsid w:val="0033166F"/>
    <w:rsid w:val="0033176B"/>
    <w:rsid w:val="00331893"/>
    <w:rsid w:val="00331C24"/>
    <w:rsid w:val="00331CAD"/>
    <w:rsid w:val="00331CB1"/>
    <w:rsid w:val="00331CEB"/>
    <w:rsid w:val="00331D7C"/>
    <w:rsid w:val="00331FEA"/>
    <w:rsid w:val="00331FF2"/>
    <w:rsid w:val="0033201E"/>
    <w:rsid w:val="00332062"/>
    <w:rsid w:val="003320FF"/>
    <w:rsid w:val="00332104"/>
    <w:rsid w:val="00332247"/>
    <w:rsid w:val="003324E4"/>
    <w:rsid w:val="0033266C"/>
    <w:rsid w:val="003326B3"/>
    <w:rsid w:val="003327F3"/>
    <w:rsid w:val="00332894"/>
    <w:rsid w:val="00332994"/>
    <w:rsid w:val="003329BA"/>
    <w:rsid w:val="00332AA0"/>
    <w:rsid w:val="00332E4D"/>
    <w:rsid w:val="00332FA1"/>
    <w:rsid w:val="00332FE7"/>
    <w:rsid w:val="0033308A"/>
    <w:rsid w:val="00333249"/>
    <w:rsid w:val="00333274"/>
    <w:rsid w:val="003332A8"/>
    <w:rsid w:val="003334CC"/>
    <w:rsid w:val="0033380E"/>
    <w:rsid w:val="00333A3C"/>
    <w:rsid w:val="00333A9C"/>
    <w:rsid w:val="00333B46"/>
    <w:rsid w:val="00333E66"/>
    <w:rsid w:val="003340D9"/>
    <w:rsid w:val="0033427B"/>
    <w:rsid w:val="0033431F"/>
    <w:rsid w:val="00334356"/>
    <w:rsid w:val="00334704"/>
    <w:rsid w:val="003348F1"/>
    <w:rsid w:val="00334949"/>
    <w:rsid w:val="00334967"/>
    <w:rsid w:val="00334AC9"/>
    <w:rsid w:val="00334C71"/>
    <w:rsid w:val="00334E6B"/>
    <w:rsid w:val="00334FCA"/>
    <w:rsid w:val="003350C3"/>
    <w:rsid w:val="003350D6"/>
    <w:rsid w:val="003351CA"/>
    <w:rsid w:val="00335312"/>
    <w:rsid w:val="0033536C"/>
    <w:rsid w:val="003356AD"/>
    <w:rsid w:val="003356C3"/>
    <w:rsid w:val="0033576A"/>
    <w:rsid w:val="00335A0E"/>
    <w:rsid w:val="00335A6B"/>
    <w:rsid w:val="00335E81"/>
    <w:rsid w:val="00335FC0"/>
    <w:rsid w:val="003363B5"/>
    <w:rsid w:val="00336500"/>
    <w:rsid w:val="0033661E"/>
    <w:rsid w:val="00336744"/>
    <w:rsid w:val="00336846"/>
    <w:rsid w:val="003368E9"/>
    <w:rsid w:val="00336AB8"/>
    <w:rsid w:val="00336D3A"/>
    <w:rsid w:val="00337022"/>
    <w:rsid w:val="0033706D"/>
    <w:rsid w:val="0033708D"/>
    <w:rsid w:val="00337196"/>
    <w:rsid w:val="00337252"/>
    <w:rsid w:val="00337546"/>
    <w:rsid w:val="00337569"/>
    <w:rsid w:val="003375DA"/>
    <w:rsid w:val="00337677"/>
    <w:rsid w:val="0033784E"/>
    <w:rsid w:val="00337993"/>
    <w:rsid w:val="00337A6B"/>
    <w:rsid w:val="00337A87"/>
    <w:rsid w:val="00337B08"/>
    <w:rsid w:val="00337B35"/>
    <w:rsid w:val="00337C5F"/>
    <w:rsid w:val="00337D1D"/>
    <w:rsid w:val="00337D44"/>
    <w:rsid w:val="00337D6C"/>
    <w:rsid w:val="00337DE9"/>
    <w:rsid w:val="00337E25"/>
    <w:rsid w:val="00337E54"/>
    <w:rsid w:val="00337EAC"/>
    <w:rsid w:val="00337FE7"/>
    <w:rsid w:val="00340037"/>
    <w:rsid w:val="0034020D"/>
    <w:rsid w:val="003402CF"/>
    <w:rsid w:val="00340327"/>
    <w:rsid w:val="00340330"/>
    <w:rsid w:val="00340395"/>
    <w:rsid w:val="003403E6"/>
    <w:rsid w:val="0034041E"/>
    <w:rsid w:val="0034044E"/>
    <w:rsid w:val="003405F8"/>
    <w:rsid w:val="003405FD"/>
    <w:rsid w:val="003406E7"/>
    <w:rsid w:val="00340792"/>
    <w:rsid w:val="003409E6"/>
    <w:rsid w:val="00340A1E"/>
    <w:rsid w:val="00340BDC"/>
    <w:rsid w:val="00340C45"/>
    <w:rsid w:val="00340CF3"/>
    <w:rsid w:val="00340D40"/>
    <w:rsid w:val="00340E28"/>
    <w:rsid w:val="00340FB2"/>
    <w:rsid w:val="0034109A"/>
    <w:rsid w:val="003413A7"/>
    <w:rsid w:val="00341592"/>
    <w:rsid w:val="0034181E"/>
    <w:rsid w:val="0034196B"/>
    <w:rsid w:val="00341A5A"/>
    <w:rsid w:val="00341DFA"/>
    <w:rsid w:val="00341E19"/>
    <w:rsid w:val="00341E83"/>
    <w:rsid w:val="0034217E"/>
    <w:rsid w:val="003423FE"/>
    <w:rsid w:val="00342403"/>
    <w:rsid w:val="003425E0"/>
    <w:rsid w:val="00342632"/>
    <w:rsid w:val="003427EB"/>
    <w:rsid w:val="0034292C"/>
    <w:rsid w:val="00342AB5"/>
    <w:rsid w:val="00342C9F"/>
    <w:rsid w:val="00342D7F"/>
    <w:rsid w:val="00342F2B"/>
    <w:rsid w:val="00342FA5"/>
    <w:rsid w:val="00343110"/>
    <w:rsid w:val="0034316E"/>
    <w:rsid w:val="0034328B"/>
    <w:rsid w:val="0034345A"/>
    <w:rsid w:val="003434D0"/>
    <w:rsid w:val="003434F9"/>
    <w:rsid w:val="003436C0"/>
    <w:rsid w:val="003437DE"/>
    <w:rsid w:val="003438DE"/>
    <w:rsid w:val="00343902"/>
    <w:rsid w:val="003439F9"/>
    <w:rsid w:val="00343B2A"/>
    <w:rsid w:val="00343B7F"/>
    <w:rsid w:val="00343B96"/>
    <w:rsid w:val="00343BFD"/>
    <w:rsid w:val="00343CE6"/>
    <w:rsid w:val="00343CFC"/>
    <w:rsid w:val="00344057"/>
    <w:rsid w:val="0034426A"/>
    <w:rsid w:val="003442F1"/>
    <w:rsid w:val="003443B4"/>
    <w:rsid w:val="003443D0"/>
    <w:rsid w:val="00344407"/>
    <w:rsid w:val="003444CD"/>
    <w:rsid w:val="003444EE"/>
    <w:rsid w:val="0034456F"/>
    <w:rsid w:val="003445EE"/>
    <w:rsid w:val="0034484B"/>
    <w:rsid w:val="00344896"/>
    <w:rsid w:val="003449DA"/>
    <w:rsid w:val="00344A98"/>
    <w:rsid w:val="00344C39"/>
    <w:rsid w:val="00344F99"/>
    <w:rsid w:val="003452C8"/>
    <w:rsid w:val="00345313"/>
    <w:rsid w:val="003453E2"/>
    <w:rsid w:val="0034543E"/>
    <w:rsid w:val="00345451"/>
    <w:rsid w:val="00345510"/>
    <w:rsid w:val="003456AA"/>
    <w:rsid w:val="00345860"/>
    <w:rsid w:val="0034596E"/>
    <w:rsid w:val="00345C0E"/>
    <w:rsid w:val="00345D99"/>
    <w:rsid w:val="00345E51"/>
    <w:rsid w:val="003461DE"/>
    <w:rsid w:val="003465F9"/>
    <w:rsid w:val="0034661C"/>
    <w:rsid w:val="00346720"/>
    <w:rsid w:val="003468A5"/>
    <w:rsid w:val="003468D6"/>
    <w:rsid w:val="00346982"/>
    <w:rsid w:val="003469D8"/>
    <w:rsid w:val="00346A65"/>
    <w:rsid w:val="00346B71"/>
    <w:rsid w:val="00346BB5"/>
    <w:rsid w:val="00346DB3"/>
    <w:rsid w:val="00346E71"/>
    <w:rsid w:val="00346FFF"/>
    <w:rsid w:val="003470EF"/>
    <w:rsid w:val="00347181"/>
    <w:rsid w:val="00347361"/>
    <w:rsid w:val="003474E9"/>
    <w:rsid w:val="0034770D"/>
    <w:rsid w:val="00347867"/>
    <w:rsid w:val="0034789D"/>
    <w:rsid w:val="003478D9"/>
    <w:rsid w:val="003478DB"/>
    <w:rsid w:val="003479EC"/>
    <w:rsid w:val="00347AC9"/>
    <w:rsid w:val="00347ADA"/>
    <w:rsid w:val="00347B45"/>
    <w:rsid w:val="00347BDF"/>
    <w:rsid w:val="00347DEB"/>
    <w:rsid w:val="00347EC8"/>
    <w:rsid w:val="00347FA8"/>
    <w:rsid w:val="0035010D"/>
    <w:rsid w:val="0035018C"/>
    <w:rsid w:val="003501CE"/>
    <w:rsid w:val="003502AA"/>
    <w:rsid w:val="0035031F"/>
    <w:rsid w:val="0035086B"/>
    <w:rsid w:val="003508FC"/>
    <w:rsid w:val="0035094B"/>
    <w:rsid w:val="00350AC9"/>
    <w:rsid w:val="00350BD4"/>
    <w:rsid w:val="00350D16"/>
    <w:rsid w:val="00350D2D"/>
    <w:rsid w:val="00350DFF"/>
    <w:rsid w:val="00350E2C"/>
    <w:rsid w:val="00350E82"/>
    <w:rsid w:val="00350F5F"/>
    <w:rsid w:val="00350F71"/>
    <w:rsid w:val="00351145"/>
    <w:rsid w:val="003511D6"/>
    <w:rsid w:val="00351210"/>
    <w:rsid w:val="00351313"/>
    <w:rsid w:val="00351405"/>
    <w:rsid w:val="0035143B"/>
    <w:rsid w:val="0035157A"/>
    <w:rsid w:val="0035168B"/>
    <w:rsid w:val="0035183E"/>
    <w:rsid w:val="00351842"/>
    <w:rsid w:val="00351941"/>
    <w:rsid w:val="0035198D"/>
    <w:rsid w:val="00351A64"/>
    <w:rsid w:val="00351D08"/>
    <w:rsid w:val="00351F49"/>
    <w:rsid w:val="003522ED"/>
    <w:rsid w:val="003523AB"/>
    <w:rsid w:val="00352470"/>
    <w:rsid w:val="00352647"/>
    <w:rsid w:val="0035269A"/>
    <w:rsid w:val="003527E5"/>
    <w:rsid w:val="003527FD"/>
    <w:rsid w:val="003528E4"/>
    <w:rsid w:val="0035294F"/>
    <w:rsid w:val="003529A8"/>
    <w:rsid w:val="00352BE7"/>
    <w:rsid w:val="00352CF5"/>
    <w:rsid w:val="00352DB8"/>
    <w:rsid w:val="00352DDE"/>
    <w:rsid w:val="00352F57"/>
    <w:rsid w:val="00352FA0"/>
    <w:rsid w:val="003531FF"/>
    <w:rsid w:val="003535CB"/>
    <w:rsid w:val="00353695"/>
    <w:rsid w:val="003537E5"/>
    <w:rsid w:val="00353997"/>
    <w:rsid w:val="0035399D"/>
    <w:rsid w:val="00353C14"/>
    <w:rsid w:val="00353C19"/>
    <w:rsid w:val="00353DCB"/>
    <w:rsid w:val="00353F00"/>
    <w:rsid w:val="003541F8"/>
    <w:rsid w:val="003543C2"/>
    <w:rsid w:val="0035454B"/>
    <w:rsid w:val="00354717"/>
    <w:rsid w:val="00354730"/>
    <w:rsid w:val="003547D9"/>
    <w:rsid w:val="0035491B"/>
    <w:rsid w:val="0035495C"/>
    <w:rsid w:val="00354ABB"/>
    <w:rsid w:val="00354AC3"/>
    <w:rsid w:val="00354BEC"/>
    <w:rsid w:val="00354CC2"/>
    <w:rsid w:val="00354D83"/>
    <w:rsid w:val="00354E54"/>
    <w:rsid w:val="00354F62"/>
    <w:rsid w:val="003551F8"/>
    <w:rsid w:val="0035529A"/>
    <w:rsid w:val="0035539A"/>
    <w:rsid w:val="003553AD"/>
    <w:rsid w:val="003555A0"/>
    <w:rsid w:val="003555EB"/>
    <w:rsid w:val="00355748"/>
    <w:rsid w:val="0035575A"/>
    <w:rsid w:val="00355830"/>
    <w:rsid w:val="00355B7C"/>
    <w:rsid w:val="00355DA8"/>
    <w:rsid w:val="00355DB4"/>
    <w:rsid w:val="00355DBE"/>
    <w:rsid w:val="00355E70"/>
    <w:rsid w:val="00355ED8"/>
    <w:rsid w:val="00355F21"/>
    <w:rsid w:val="003560AA"/>
    <w:rsid w:val="0035619B"/>
    <w:rsid w:val="003564FF"/>
    <w:rsid w:val="0035683D"/>
    <w:rsid w:val="0035687D"/>
    <w:rsid w:val="003568C0"/>
    <w:rsid w:val="00356979"/>
    <w:rsid w:val="00356C3D"/>
    <w:rsid w:val="00356CA2"/>
    <w:rsid w:val="00356DF7"/>
    <w:rsid w:val="00356E88"/>
    <w:rsid w:val="00356E94"/>
    <w:rsid w:val="00356F0A"/>
    <w:rsid w:val="00356FB9"/>
    <w:rsid w:val="00356FBD"/>
    <w:rsid w:val="0035719C"/>
    <w:rsid w:val="003571C4"/>
    <w:rsid w:val="00357200"/>
    <w:rsid w:val="0035733C"/>
    <w:rsid w:val="00357463"/>
    <w:rsid w:val="00357541"/>
    <w:rsid w:val="00357667"/>
    <w:rsid w:val="003576DD"/>
    <w:rsid w:val="00357C1D"/>
    <w:rsid w:val="00357C29"/>
    <w:rsid w:val="00357D5A"/>
    <w:rsid w:val="00357DC6"/>
    <w:rsid w:val="00360062"/>
    <w:rsid w:val="0036009F"/>
    <w:rsid w:val="003601D6"/>
    <w:rsid w:val="00360202"/>
    <w:rsid w:val="003602B3"/>
    <w:rsid w:val="00360516"/>
    <w:rsid w:val="003605AD"/>
    <w:rsid w:val="00360654"/>
    <w:rsid w:val="0036065B"/>
    <w:rsid w:val="00360795"/>
    <w:rsid w:val="00360B9A"/>
    <w:rsid w:val="00360C7B"/>
    <w:rsid w:val="00360D2E"/>
    <w:rsid w:val="00360F40"/>
    <w:rsid w:val="00361179"/>
    <w:rsid w:val="00361276"/>
    <w:rsid w:val="00361511"/>
    <w:rsid w:val="003617F5"/>
    <w:rsid w:val="003617F7"/>
    <w:rsid w:val="00361A2C"/>
    <w:rsid w:val="00361DC1"/>
    <w:rsid w:val="00361E65"/>
    <w:rsid w:val="00361E69"/>
    <w:rsid w:val="003621AF"/>
    <w:rsid w:val="00362220"/>
    <w:rsid w:val="0036247E"/>
    <w:rsid w:val="00362590"/>
    <w:rsid w:val="00362783"/>
    <w:rsid w:val="00362880"/>
    <w:rsid w:val="003628A3"/>
    <w:rsid w:val="003628F7"/>
    <w:rsid w:val="00362A25"/>
    <w:rsid w:val="00362DD2"/>
    <w:rsid w:val="00362E18"/>
    <w:rsid w:val="00362EDA"/>
    <w:rsid w:val="00362F90"/>
    <w:rsid w:val="00362FA4"/>
    <w:rsid w:val="00363018"/>
    <w:rsid w:val="003631BA"/>
    <w:rsid w:val="00363320"/>
    <w:rsid w:val="003633C2"/>
    <w:rsid w:val="003634EF"/>
    <w:rsid w:val="0036379F"/>
    <w:rsid w:val="00363A26"/>
    <w:rsid w:val="00363BAD"/>
    <w:rsid w:val="00363E96"/>
    <w:rsid w:val="00364256"/>
    <w:rsid w:val="003642CD"/>
    <w:rsid w:val="003642DF"/>
    <w:rsid w:val="003643BE"/>
    <w:rsid w:val="003646AB"/>
    <w:rsid w:val="0036480A"/>
    <w:rsid w:val="00364819"/>
    <w:rsid w:val="003649D0"/>
    <w:rsid w:val="00364AA2"/>
    <w:rsid w:val="00364ADB"/>
    <w:rsid w:val="00364AF5"/>
    <w:rsid w:val="00364DF9"/>
    <w:rsid w:val="00364E2D"/>
    <w:rsid w:val="00364E91"/>
    <w:rsid w:val="00364ED7"/>
    <w:rsid w:val="00364F10"/>
    <w:rsid w:val="00365191"/>
    <w:rsid w:val="003652F2"/>
    <w:rsid w:val="00365527"/>
    <w:rsid w:val="0036553A"/>
    <w:rsid w:val="00365642"/>
    <w:rsid w:val="00365675"/>
    <w:rsid w:val="003657AC"/>
    <w:rsid w:val="00365839"/>
    <w:rsid w:val="00365917"/>
    <w:rsid w:val="003659F8"/>
    <w:rsid w:val="00365A8A"/>
    <w:rsid w:val="00365AA3"/>
    <w:rsid w:val="00365BE0"/>
    <w:rsid w:val="00365F2C"/>
    <w:rsid w:val="00366060"/>
    <w:rsid w:val="00366357"/>
    <w:rsid w:val="00366373"/>
    <w:rsid w:val="00366429"/>
    <w:rsid w:val="003665A1"/>
    <w:rsid w:val="0036695F"/>
    <w:rsid w:val="00366A4A"/>
    <w:rsid w:val="00366AE5"/>
    <w:rsid w:val="0036711E"/>
    <w:rsid w:val="0036725E"/>
    <w:rsid w:val="00367359"/>
    <w:rsid w:val="003673B3"/>
    <w:rsid w:val="00367413"/>
    <w:rsid w:val="00367415"/>
    <w:rsid w:val="0036761C"/>
    <w:rsid w:val="00367646"/>
    <w:rsid w:val="003676FC"/>
    <w:rsid w:val="0036794F"/>
    <w:rsid w:val="00367962"/>
    <w:rsid w:val="00367A53"/>
    <w:rsid w:val="00367AA9"/>
    <w:rsid w:val="00367BEE"/>
    <w:rsid w:val="00367C0A"/>
    <w:rsid w:val="00367C9E"/>
    <w:rsid w:val="00367F23"/>
    <w:rsid w:val="00370003"/>
    <w:rsid w:val="00370098"/>
    <w:rsid w:val="0037012C"/>
    <w:rsid w:val="00370162"/>
    <w:rsid w:val="003702B1"/>
    <w:rsid w:val="003702CC"/>
    <w:rsid w:val="00370313"/>
    <w:rsid w:val="00370444"/>
    <w:rsid w:val="00370516"/>
    <w:rsid w:val="003706DD"/>
    <w:rsid w:val="00370700"/>
    <w:rsid w:val="00370727"/>
    <w:rsid w:val="0037089D"/>
    <w:rsid w:val="003709A4"/>
    <w:rsid w:val="00370A90"/>
    <w:rsid w:val="00370E4E"/>
    <w:rsid w:val="00370EB6"/>
    <w:rsid w:val="00370F62"/>
    <w:rsid w:val="00370F70"/>
    <w:rsid w:val="003710BC"/>
    <w:rsid w:val="003710D9"/>
    <w:rsid w:val="00371176"/>
    <w:rsid w:val="003711B9"/>
    <w:rsid w:val="003711E1"/>
    <w:rsid w:val="003711E3"/>
    <w:rsid w:val="0037120A"/>
    <w:rsid w:val="0037138B"/>
    <w:rsid w:val="0037147B"/>
    <w:rsid w:val="003714B8"/>
    <w:rsid w:val="003715D7"/>
    <w:rsid w:val="00371644"/>
    <w:rsid w:val="00371723"/>
    <w:rsid w:val="00371753"/>
    <w:rsid w:val="003718D3"/>
    <w:rsid w:val="0037197A"/>
    <w:rsid w:val="003719A6"/>
    <w:rsid w:val="00371C5F"/>
    <w:rsid w:val="00371CA8"/>
    <w:rsid w:val="00371DB7"/>
    <w:rsid w:val="00371EB7"/>
    <w:rsid w:val="00371EFC"/>
    <w:rsid w:val="00371FDF"/>
    <w:rsid w:val="003725E7"/>
    <w:rsid w:val="003726AE"/>
    <w:rsid w:val="00372986"/>
    <w:rsid w:val="003729A8"/>
    <w:rsid w:val="00372A7D"/>
    <w:rsid w:val="00372C0C"/>
    <w:rsid w:val="00372C10"/>
    <w:rsid w:val="00372E5D"/>
    <w:rsid w:val="00372F6B"/>
    <w:rsid w:val="00372FA0"/>
    <w:rsid w:val="00372FAA"/>
    <w:rsid w:val="00373183"/>
    <w:rsid w:val="0037326C"/>
    <w:rsid w:val="003732D4"/>
    <w:rsid w:val="003733AD"/>
    <w:rsid w:val="0037340D"/>
    <w:rsid w:val="00373419"/>
    <w:rsid w:val="00373427"/>
    <w:rsid w:val="003734B7"/>
    <w:rsid w:val="003736D4"/>
    <w:rsid w:val="003737E3"/>
    <w:rsid w:val="00373A18"/>
    <w:rsid w:val="00373A34"/>
    <w:rsid w:val="00373B8C"/>
    <w:rsid w:val="00373CF6"/>
    <w:rsid w:val="00373D19"/>
    <w:rsid w:val="00373D7A"/>
    <w:rsid w:val="00373E34"/>
    <w:rsid w:val="00373E4E"/>
    <w:rsid w:val="00373E6A"/>
    <w:rsid w:val="00373EBC"/>
    <w:rsid w:val="00373F95"/>
    <w:rsid w:val="0037407C"/>
    <w:rsid w:val="0037407F"/>
    <w:rsid w:val="003741C1"/>
    <w:rsid w:val="003741E9"/>
    <w:rsid w:val="00374252"/>
    <w:rsid w:val="0037454B"/>
    <w:rsid w:val="00374569"/>
    <w:rsid w:val="003745E2"/>
    <w:rsid w:val="003747D7"/>
    <w:rsid w:val="003748BB"/>
    <w:rsid w:val="0037493A"/>
    <w:rsid w:val="00374981"/>
    <w:rsid w:val="00374A4F"/>
    <w:rsid w:val="00374B4B"/>
    <w:rsid w:val="00374CBF"/>
    <w:rsid w:val="00374D80"/>
    <w:rsid w:val="003750DB"/>
    <w:rsid w:val="0037514D"/>
    <w:rsid w:val="0037517A"/>
    <w:rsid w:val="003751D8"/>
    <w:rsid w:val="003751F2"/>
    <w:rsid w:val="003753A9"/>
    <w:rsid w:val="003753D6"/>
    <w:rsid w:val="003755C1"/>
    <w:rsid w:val="0037567A"/>
    <w:rsid w:val="003756B9"/>
    <w:rsid w:val="003759C9"/>
    <w:rsid w:val="003759D7"/>
    <w:rsid w:val="00375A3B"/>
    <w:rsid w:val="00375A4B"/>
    <w:rsid w:val="00375B1E"/>
    <w:rsid w:val="00375BAF"/>
    <w:rsid w:val="00375BE6"/>
    <w:rsid w:val="00375C70"/>
    <w:rsid w:val="00375CA2"/>
    <w:rsid w:val="00375EA6"/>
    <w:rsid w:val="00375F6F"/>
    <w:rsid w:val="00375FF0"/>
    <w:rsid w:val="003762AA"/>
    <w:rsid w:val="003762C5"/>
    <w:rsid w:val="003763CE"/>
    <w:rsid w:val="003764A0"/>
    <w:rsid w:val="003764FE"/>
    <w:rsid w:val="003765CB"/>
    <w:rsid w:val="0037662C"/>
    <w:rsid w:val="003768F5"/>
    <w:rsid w:val="00376AB3"/>
    <w:rsid w:val="00376CCE"/>
    <w:rsid w:val="00376CE3"/>
    <w:rsid w:val="00376E56"/>
    <w:rsid w:val="00376F3C"/>
    <w:rsid w:val="00376F53"/>
    <w:rsid w:val="0037702F"/>
    <w:rsid w:val="0037704B"/>
    <w:rsid w:val="00377159"/>
    <w:rsid w:val="003772BA"/>
    <w:rsid w:val="003772CD"/>
    <w:rsid w:val="00377366"/>
    <w:rsid w:val="003773B1"/>
    <w:rsid w:val="0037747B"/>
    <w:rsid w:val="0037747F"/>
    <w:rsid w:val="0037754D"/>
    <w:rsid w:val="00377A86"/>
    <w:rsid w:val="00377AF4"/>
    <w:rsid w:val="00377BCD"/>
    <w:rsid w:val="00377C2D"/>
    <w:rsid w:val="00377F37"/>
    <w:rsid w:val="00380059"/>
    <w:rsid w:val="00380100"/>
    <w:rsid w:val="003802D4"/>
    <w:rsid w:val="003803B1"/>
    <w:rsid w:val="003803B3"/>
    <w:rsid w:val="00380419"/>
    <w:rsid w:val="00380444"/>
    <w:rsid w:val="0038082D"/>
    <w:rsid w:val="00380997"/>
    <w:rsid w:val="003809B6"/>
    <w:rsid w:val="00380A4B"/>
    <w:rsid w:val="00380BB3"/>
    <w:rsid w:val="00380BF0"/>
    <w:rsid w:val="00380DF3"/>
    <w:rsid w:val="00380F0F"/>
    <w:rsid w:val="00381199"/>
    <w:rsid w:val="0038123A"/>
    <w:rsid w:val="0038126C"/>
    <w:rsid w:val="003814F2"/>
    <w:rsid w:val="00381635"/>
    <w:rsid w:val="003816B8"/>
    <w:rsid w:val="00381767"/>
    <w:rsid w:val="003817E3"/>
    <w:rsid w:val="003817F4"/>
    <w:rsid w:val="00381BE4"/>
    <w:rsid w:val="00381CC5"/>
    <w:rsid w:val="00381D85"/>
    <w:rsid w:val="00381E4C"/>
    <w:rsid w:val="00381E78"/>
    <w:rsid w:val="00382046"/>
    <w:rsid w:val="00382185"/>
    <w:rsid w:val="0038292A"/>
    <w:rsid w:val="003829F6"/>
    <w:rsid w:val="00382A38"/>
    <w:rsid w:val="00382AC9"/>
    <w:rsid w:val="00382B9D"/>
    <w:rsid w:val="00382F5C"/>
    <w:rsid w:val="00383051"/>
    <w:rsid w:val="003830C0"/>
    <w:rsid w:val="00383267"/>
    <w:rsid w:val="00383340"/>
    <w:rsid w:val="0038336F"/>
    <w:rsid w:val="003837B8"/>
    <w:rsid w:val="003837FA"/>
    <w:rsid w:val="003838FA"/>
    <w:rsid w:val="00383955"/>
    <w:rsid w:val="00383B0C"/>
    <w:rsid w:val="00383C20"/>
    <w:rsid w:val="00383C3C"/>
    <w:rsid w:val="00383DB4"/>
    <w:rsid w:val="00383F01"/>
    <w:rsid w:val="00383F45"/>
    <w:rsid w:val="0038418D"/>
    <w:rsid w:val="0038449C"/>
    <w:rsid w:val="003846DA"/>
    <w:rsid w:val="003847AB"/>
    <w:rsid w:val="0038490B"/>
    <w:rsid w:val="0038498A"/>
    <w:rsid w:val="00384FF0"/>
    <w:rsid w:val="0038514E"/>
    <w:rsid w:val="00385228"/>
    <w:rsid w:val="003854AF"/>
    <w:rsid w:val="003857CE"/>
    <w:rsid w:val="003857E8"/>
    <w:rsid w:val="00385932"/>
    <w:rsid w:val="00385941"/>
    <w:rsid w:val="003859EE"/>
    <w:rsid w:val="00385A1C"/>
    <w:rsid w:val="00385B1F"/>
    <w:rsid w:val="00385B8A"/>
    <w:rsid w:val="00385BBD"/>
    <w:rsid w:val="00385C90"/>
    <w:rsid w:val="00385E98"/>
    <w:rsid w:val="00385EAD"/>
    <w:rsid w:val="00385F47"/>
    <w:rsid w:val="00385FA3"/>
    <w:rsid w:val="0038625D"/>
    <w:rsid w:val="003863CF"/>
    <w:rsid w:val="0038644D"/>
    <w:rsid w:val="00386473"/>
    <w:rsid w:val="00386571"/>
    <w:rsid w:val="00386885"/>
    <w:rsid w:val="00386948"/>
    <w:rsid w:val="00386A5F"/>
    <w:rsid w:val="00386A67"/>
    <w:rsid w:val="00386C42"/>
    <w:rsid w:val="00386C74"/>
    <w:rsid w:val="00386DB2"/>
    <w:rsid w:val="00386F3C"/>
    <w:rsid w:val="00386F3F"/>
    <w:rsid w:val="0038700E"/>
    <w:rsid w:val="00387110"/>
    <w:rsid w:val="00387168"/>
    <w:rsid w:val="00387310"/>
    <w:rsid w:val="003873CC"/>
    <w:rsid w:val="003873CF"/>
    <w:rsid w:val="003874EE"/>
    <w:rsid w:val="00387685"/>
    <w:rsid w:val="003878B7"/>
    <w:rsid w:val="003878F9"/>
    <w:rsid w:val="0038792B"/>
    <w:rsid w:val="00387A89"/>
    <w:rsid w:val="00387BF3"/>
    <w:rsid w:val="00387E5B"/>
    <w:rsid w:val="00387F35"/>
    <w:rsid w:val="00387FB9"/>
    <w:rsid w:val="00390002"/>
    <w:rsid w:val="003900AB"/>
    <w:rsid w:val="00390294"/>
    <w:rsid w:val="00390328"/>
    <w:rsid w:val="00390451"/>
    <w:rsid w:val="0039045F"/>
    <w:rsid w:val="00390567"/>
    <w:rsid w:val="00390589"/>
    <w:rsid w:val="00390689"/>
    <w:rsid w:val="003906FD"/>
    <w:rsid w:val="003907DC"/>
    <w:rsid w:val="00390801"/>
    <w:rsid w:val="0039086C"/>
    <w:rsid w:val="0039093F"/>
    <w:rsid w:val="00390BB3"/>
    <w:rsid w:val="00390C27"/>
    <w:rsid w:val="00390DDB"/>
    <w:rsid w:val="00390FC5"/>
    <w:rsid w:val="00390FCA"/>
    <w:rsid w:val="0039100B"/>
    <w:rsid w:val="003910AB"/>
    <w:rsid w:val="00391290"/>
    <w:rsid w:val="003913F9"/>
    <w:rsid w:val="00391494"/>
    <w:rsid w:val="00391698"/>
    <w:rsid w:val="0039186A"/>
    <w:rsid w:val="003919BA"/>
    <w:rsid w:val="00391A85"/>
    <w:rsid w:val="00391AD6"/>
    <w:rsid w:val="00391AF2"/>
    <w:rsid w:val="00391C76"/>
    <w:rsid w:val="00391CAC"/>
    <w:rsid w:val="00391CE1"/>
    <w:rsid w:val="00391DA9"/>
    <w:rsid w:val="00391FB1"/>
    <w:rsid w:val="00391FF4"/>
    <w:rsid w:val="0039217C"/>
    <w:rsid w:val="003922E6"/>
    <w:rsid w:val="0039253A"/>
    <w:rsid w:val="00392654"/>
    <w:rsid w:val="003926CE"/>
    <w:rsid w:val="00392806"/>
    <w:rsid w:val="00392B6E"/>
    <w:rsid w:val="00392B96"/>
    <w:rsid w:val="00392C01"/>
    <w:rsid w:val="00392C94"/>
    <w:rsid w:val="00392DD5"/>
    <w:rsid w:val="00392E5D"/>
    <w:rsid w:val="00392E7B"/>
    <w:rsid w:val="00392FEE"/>
    <w:rsid w:val="00393168"/>
    <w:rsid w:val="00393255"/>
    <w:rsid w:val="003933FF"/>
    <w:rsid w:val="00393457"/>
    <w:rsid w:val="00393495"/>
    <w:rsid w:val="00393515"/>
    <w:rsid w:val="003935B3"/>
    <w:rsid w:val="00393676"/>
    <w:rsid w:val="0039369A"/>
    <w:rsid w:val="0039373F"/>
    <w:rsid w:val="00393852"/>
    <w:rsid w:val="003938F6"/>
    <w:rsid w:val="0039392E"/>
    <w:rsid w:val="003939AB"/>
    <w:rsid w:val="003939E1"/>
    <w:rsid w:val="00393ADC"/>
    <w:rsid w:val="00393BA1"/>
    <w:rsid w:val="00393C80"/>
    <w:rsid w:val="00393CFE"/>
    <w:rsid w:val="00393EEF"/>
    <w:rsid w:val="0039402B"/>
    <w:rsid w:val="00394069"/>
    <w:rsid w:val="00394170"/>
    <w:rsid w:val="003941B8"/>
    <w:rsid w:val="0039433C"/>
    <w:rsid w:val="003943F5"/>
    <w:rsid w:val="003944AD"/>
    <w:rsid w:val="0039468A"/>
    <w:rsid w:val="00394718"/>
    <w:rsid w:val="0039496A"/>
    <w:rsid w:val="00394C90"/>
    <w:rsid w:val="00394DA4"/>
    <w:rsid w:val="00394DE5"/>
    <w:rsid w:val="00394EA4"/>
    <w:rsid w:val="003951A5"/>
    <w:rsid w:val="00395315"/>
    <w:rsid w:val="003953F6"/>
    <w:rsid w:val="003953F8"/>
    <w:rsid w:val="0039549D"/>
    <w:rsid w:val="00395894"/>
    <w:rsid w:val="00395A07"/>
    <w:rsid w:val="00395B1A"/>
    <w:rsid w:val="00395B35"/>
    <w:rsid w:val="00395B53"/>
    <w:rsid w:val="00395C66"/>
    <w:rsid w:val="00396097"/>
    <w:rsid w:val="0039609C"/>
    <w:rsid w:val="003962EE"/>
    <w:rsid w:val="003962FB"/>
    <w:rsid w:val="00396363"/>
    <w:rsid w:val="003965F9"/>
    <w:rsid w:val="00396C11"/>
    <w:rsid w:val="00396D4F"/>
    <w:rsid w:val="00396E63"/>
    <w:rsid w:val="00396F0B"/>
    <w:rsid w:val="0039707B"/>
    <w:rsid w:val="0039719F"/>
    <w:rsid w:val="003972D9"/>
    <w:rsid w:val="0039730C"/>
    <w:rsid w:val="003973DA"/>
    <w:rsid w:val="0039742D"/>
    <w:rsid w:val="00397430"/>
    <w:rsid w:val="003979FE"/>
    <w:rsid w:val="00397A19"/>
    <w:rsid w:val="00397AFF"/>
    <w:rsid w:val="00397FB1"/>
    <w:rsid w:val="003A0068"/>
    <w:rsid w:val="003A00B3"/>
    <w:rsid w:val="003A0319"/>
    <w:rsid w:val="003A0338"/>
    <w:rsid w:val="003A06CD"/>
    <w:rsid w:val="003A081D"/>
    <w:rsid w:val="003A08FE"/>
    <w:rsid w:val="003A09CB"/>
    <w:rsid w:val="003A0A3C"/>
    <w:rsid w:val="003A0A93"/>
    <w:rsid w:val="003A0E4A"/>
    <w:rsid w:val="003A0E59"/>
    <w:rsid w:val="003A0EA8"/>
    <w:rsid w:val="003A1180"/>
    <w:rsid w:val="003A1273"/>
    <w:rsid w:val="003A1457"/>
    <w:rsid w:val="003A16A4"/>
    <w:rsid w:val="003A180D"/>
    <w:rsid w:val="003A1821"/>
    <w:rsid w:val="003A193D"/>
    <w:rsid w:val="003A1AEB"/>
    <w:rsid w:val="003A1AF2"/>
    <w:rsid w:val="003A1F96"/>
    <w:rsid w:val="003A2053"/>
    <w:rsid w:val="003A21F6"/>
    <w:rsid w:val="003A2358"/>
    <w:rsid w:val="003A2480"/>
    <w:rsid w:val="003A25A6"/>
    <w:rsid w:val="003A26B2"/>
    <w:rsid w:val="003A2A05"/>
    <w:rsid w:val="003A2A16"/>
    <w:rsid w:val="003A2A6F"/>
    <w:rsid w:val="003A2C9F"/>
    <w:rsid w:val="003A2F30"/>
    <w:rsid w:val="003A30F2"/>
    <w:rsid w:val="003A3106"/>
    <w:rsid w:val="003A329C"/>
    <w:rsid w:val="003A333D"/>
    <w:rsid w:val="003A33CB"/>
    <w:rsid w:val="003A36FA"/>
    <w:rsid w:val="003A37FA"/>
    <w:rsid w:val="003A39A8"/>
    <w:rsid w:val="003A3A6C"/>
    <w:rsid w:val="003A3AAE"/>
    <w:rsid w:val="003A3AE7"/>
    <w:rsid w:val="003A3B6D"/>
    <w:rsid w:val="003A3BB4"/>
    <w:rsid w:val="003A3C05"/>
    <w:rsid w:val="003A3E84"/>
    <w:rsid w:val="003A3ED8"/>
    <w:rsid w:val="003A4493"/>
    <w:rsid w:val="003A44E8"/>
    <w:rsid w:val="003A4712"/>
    <w:rsid w:val="003A48BD"/>
    <w:rsid w:val="003A4979"/>
    <w:rsid w:val="003A4B5D"/>
    <w:rsid w:val="003A4D11"/>
    <w:rsid w:val="003A4D19"/>
    <w:rsid w:val="003A4E2E"/>
    <w:rsid w:val="003A4E4A"/>
    <w:rsid w:val="003A4EE0"/>
    <w:rsid w:val="003A4FC0"/>
    <w:rsid w:val="003A50E1"/>
    <w:rsid w:val="003A52F9"/>
    <w:rsid w:val="003A558C"/>
    <w:rsid w:val="003A55BE"/>
    <w:rsid w:val="003A5614"/>
    <w:rsid w:val="003A5634"/>
    <w:rsid w:val="003A573D"/>
    <w:rsid w:val="003A5787"/>
    <w:rsid w:val="003A57CC"/>
    <w:rsid w:val="003A586E"/>
    <w:rsid w:val="003A598F"/>
    <w:rsid w:val="003A5AA2"/>
    <w:rsid w:val="003A5AB2"/>
    <w:rsid w:val="003A5AE8"/>
    <w:rsid w:val="003A5B4E"/>
    <w:rsid w:val="003A5B51"/>
    <w:rsid w:val="003A5C3E"/>
    <w:rsid w:val="003A5C6D"/>
    <w:rsid w:val="003A5D1F"/>
    <w:rsid w:val="003A5E24"/>
    <w:rsid w:val="003A5EFF"/>
    <w:rsid w:val="003A5F8B"/>
    <w:rsid w:val="003A5FC4"/>
    <w:rsid w:val="003A61D0"/>
    <w:rsid w:val="003A61E5"/>
    <w:rsid w:val="003A6351"/>
    <w:rsid w:val="003A6418"/>
    <w:rsid w:val="003A6454"/>
    <w:rsid w:val="003A64AB"/>
    <w:rsid w:val="003A654E"/>
    <w:rsid w:val="003A658E"/>
    <w:rsid w:val="003A6660"/>
    <w:rsid w:val="003A6764"/>
    <w:rsid w:val="003A68C1"/>
    <w:rsid w:val="003A6A6C"/>
    <w:rsid w:val="003A6A8D"/>
    <w:rsid w:val="003A6AC1"/>
    <w:rsid w:val="003A6B25"/>
    <w:rsid w:val="003A6B2C"/>
    <w:rsid w:val="003A6D19"/>
    <w:rsid w:val="003A6E25"/>
    <w:rsid w:val="003A7111"/>
    <w:rsid w:val="003A71BF"/>
    <w:rsid w:val="003A729B"/>
    <w:rsid w:val="003A733B"/>
    <w:rsid w:val="003A73B3"/>
    <w:rsid w:val="003A78A3"/>
    <w:rsid w:val="003A793A"/>
    <w:rsid w:val="003A79AE"/>
    <w:rsid w:val="003A7B39"/>
    <w:rsid w:val="003A7C05"/>
    <w:rsid w:val="003A7D93"/>
    <w:rsid w:val="003B01BF"/>
    <w:rsid w:val="003B031F"/>
    <w:rsid w:val="003B03DC"/>
    <w:rsid w:val="003B048F"/>
    <w:rsid w:val="003B0516"/>
    <w:rsid w:val="003B0677"/>
    <w:rsid w:val="003B084A"/>
    <w:rsid w:val="003B0994"/>
    <w:rsid w:val="003B0A8C"/>
    <w:rsid w:val="003B0B25"/>
    <w:rsid w:val="003B0D11"/>
    <w:rsid w:val="003B0F68"/>
    <w:rsid w:val="003B100F"/>
    <w:rsid w:val="003B1016"/>
    <w:rsid w:val="003B116B"/>
    <w:rsid w:val="003B118B"/>
    <w:rsid w:val="003B123E"/>
    <w:rsid w:val="003B163F"/>
    <w:rsid w:val="003B170B"/>
    <w:rsid w:val="003B17FB"/>
    <w:rsid w:val="003B2127"/>
    <w:rsid w:val="003B21B4"/>
    <w:rsid w:val="003B2315"/>
    <w:rsid w:val="003B2331"/>
    <w:rsid w:val="003B2374"/>
    <w:rsid w:val="003B2489"/>
    <w:rsid w:val="003B24F2"/>
    <w:rsid w:val="003B25AE"/>
    <w:rsid w:val="003B25BB"/>
    <w:rsid w:val="003B277D"/>
    <w:rsid w:val="003B27AE"/>
    <w:rsid w:val="003B27EF"/>
    <w:rsid w:val="003B284C"/>
    <w:rsid w:val="003B2A70"/>
    <w:rsid w:val="003B2EF9"/>
    <w:rsid w:val="003B2FB2"/>
    <w:rsid w:val="003B3039"/>
    <w:rsid w:val="003B30DA"/>
    <w:rsid w:val="003B30E8"/>
    <w:rsid w:val="003B3154"/>
    <w:rsid w:val="003B3588"/>
    <w:rsid w:val="003B35A3"/>
    <w:rsid w:val="003B35C8"/>
    <w:rsid w:val="003B35EA"/>
    <w:rsid w:val="003B367A"/>
    <w:rsid w:val="003B36D5"/>
    <w:rsid w:val="003B372A"/>
    <w:rsid w:val="003B376F"/>
    <w:rsid w:val="003B3780"/>
    <w:rsid w:val="003B39E6"/>
    <w:rsid w:val="003B3A98"/>
    <w:rsid w:val="003B3B32"/>
    <w:rsid w:val="003B3EE5"/>
    <w:rsid w:val="003B3FEB"/>
    <w:rsid w:val="003B4186"/>
    <w:rsid w:val="003B4461"/>
    <w:rsid w:val="003B45BA"/>
    <w:rsid w:val="003B46D5"/>
    <w:rsid w:val="003B47CB"/>
    <w:rsid w:val="003B4873"/>
    <w:rsid w:val="003B489D"/>
    <w:rsid w:val="003B4A33"/>
    <w:rsid w:val="003B4C3F"/>
    <w:rsid w:val="003B4DEC"/>
    <w:rsid w:val="003B4E97"/>
    <w:rsid w:val="003B4F94"/>
    <w:rsid w:val="003B52C9"/>
    <w:rsid w:val="003B52CC"/>
    <w:rsid w:val="003B549C"/>
    <w:rsid w:val="003B559C"/>
    <w:rsid w:val="003B562F"/>
    <w:rsid w:val="003B56C2"/>
    <w:rsid w:val="003B5837"/>
    <w:rsid w:val="003B590B"/>
    <w:rsid w:val="003B59C7"/>
    <w:rsid w:val="003B59FF"/>
    <w:rsid w:val="003B5DDD"/>
    <w:rsid w:val="003B5E34"/>
    <w:rsid w:val="003B5F38"/>
    <w:rsid w:val="003B606F"/>
    <w:rsid w:val="003B61C6"/>
    <w:rsid w:val="003B61FF"/>
    <w:rsid w:val="003B63B2"/>
    <w:rsid w:val="003B65F8"/>
    <w:rsid w:val="003B665A"/>
    <w:rsid w:val="003B6662"/>
    <w:rsid w:val="003B66E5"/>
    <w:rsid w:val="003B671C"/>
    <w:rsid w:val="003B6764"/>
    <w:rsid w:val="003B684F"/>
    <w:rsid w:val="003B6972"/>
    <w:rsid w:val="003B6B1D"/>
    <w:rsid w:val="003B6B9B"/>
    <w:rsid w:val="003B6C52"/>
    <w:rsid w:val="003B6DB8"/>
    <w:rsid w:val="003B71B5"/>
    <w:rsid w:val="003B7323"/>
    <w:rsid w:val="003B756D"/>
    <w:rsid w:val="003B75E2"/>
    <w:rsid w:val="003B7779"/>
    <w:rsid w:val="003B77BB"/>
    <w:rsid w:val="003B77D2"/>
    <w:rsid w:val="003B7885"/>
    <w:rsid w:val="003B790A"/>
    <w:rsid w:val="003B7A59"/>
    <w:rsid w:val="003B7BCC"/>
    <w:rsid w:val="003B7EF1"/>
    <w:rsid w:val="003C014E"/>
    <w:rsid w:val="003C0351"/>
    <w:rsid w:val="003C048E"/>
    <w:rsid w:val="003C0726"/>
    <w:rsid w:val="003C07D2"/>
    <w:rsid w:val="003C0930"/>
    <w:rsid w:val="003C0F10"/>
    <w:rsid w:val="003C0F5A"/>
    <w:rsid w:val="003C103E"/>
    <w:rsid w:val="003C1152"/>
    <w:rsid w:val="003C1169"/>
    <w:rsid w:val="003C121B"/>
    <w:rsid w:val="003C14A3"/>
    <w:rsid w:val="003C151C"/>
    <w:rsid w:val="003C1698"/>
    <w:rsid w:val="003C16A9"/>
    <w:rsid w:val="003C16EA"/>
    <w:rsid w:val="003C18CB"/>
    <w:rsid w:val="003C18D7"/>
    <w:rsid w:val="003C19FD"/>
    <w:rsid w:val="003C1ABB"/>
    <w:rsid w:val="003C1C83"/>
    <w:rsid w:val="003C1FF2"/>
    <w:rsid w:val="003C21E5"/>
    <w:rsid w:val="003C24F4"/>
    <w:rsid w:val="003C252B"/>
    <w:rsid w:val="003C254E"/>
    <w:rsid w:val="003C25A5"/>
    <w:rsid w:val="003C26F0"/>
    <w:rsid w:val="003C280A"/>
    <w:rsid w:val="003C299C"/>
    <w:rsid w:val="003C2AD4"/>
    <w:rsid w:val="003C2BA1"/>
    <w:rsid w:val="003C2DB9"/>
    <w:rsid w:val="003C2E43"/>
    <w:rsid w:val="003C2E67"/>
    <w:rsid w:val="003C2FDE"/>
    <w:rsid w:val="003C31E5"/>
    <w:rsid w:val="003C32B2"/>
    <w:rsid w:val="003C3486"/>
    <w:rsid w:val="003C36D3"/>
    <w:rsid w:val="003C37E8"/>
    <w:rsid w:val="003C38C0"/>
    <w:rsid w:val="003C38D5"/>
    <w:rsid w:val="003C3953"/>
    <w:rsid w:val="003C395E"/>
    <w:rsid w:val="003C3B47"/>
    <w:rsid w:val="003C3BD6"/>
    <w:rsid w:val="003C3CDD"/>
    <w:rsid w:val="003C3D41"/>
    <w:rsid w:val="003C3E36"/>
    <w:rsid w:val="003C3EB0"/>
    <w:rsid w:val="003C3F9A"/>
    <w:rsid w:val="003C4096"/>
    <w:rsid w:val="003C4384"/>
    <w:rsid w:val="003C43CF"/>
    <w:rsid w:val="003C456B"/>
    <w:rsid w:val="003C4572"/>
    <w:rsid w:val="003C4683"/>
    <w:rsid w:val="003C469C"/>
    <w:rsid w:val="003C46A7"/>
    <w:rsid w:val="003C4799"/>
    <w:rsid w:val="003C47F1"/>
    <w:rsid w:val="003C4828"/>
    <w:rsid w:val="003C49AD"/>
    <w:rsid w:val="003C4B06"/>
    <w:rsid w:val="003C4DC3"/>
    <w:rsid w:val="003C4E31"/>
    <w:rsid w:val="003C5100"/>
    <w:rsid w:val="003C5192"/>
    <w:rsid w:val="003C5231"/>
    <w:rsid w:val="003C55B9"/>
    <w:rsid w:val="003C566E"/>
    <w:rsid w:val="003C577B"/>
    <w:rsid w:val="003C58EB"/>
    <w:rsid w:val="003C59DF"/>
    <w:rsid w:val="003C5ABC"/>
    <w:rsid w:val="003C5B94"/>
    <w:rsid w:val="003C5C18"/>
    <w:rsid w:val="003C5CD8"/>
    <w:rsid w:val="003C5CDA"/>
    <w:rsid w:val="003C5E68"/>
    <w:rsid w:val="003C620A"/>
    <w:rsid w:val="003C6253"/>
    <w:rsid w:val="003C625A"/>
    <w:rsid w:val="003C6265"/>
    <w:rsid w:val="003C654A"/>
    <w:rsid w:val="003C6732"/>
    <w:rsid w:val="003C686B"/>
    <w:rsid w:val="003C6B1E"/>
    <w:rsid w:val="003C6B3A"/>
    <w:rsid w:val="003C6B91"/>
    <w:rsid w:val="003C6E28"/>
    <w:rsid w:val="003C6FB1"/>
    <w:rsid w:val="003C70FF"/>
    <w:rsid w:val="003C7224"/>
    <w:rsid w:val="003C725D"/>
    <w:rsid w:val="003C7353"/>
    <w:rsid w:val="003C7608"/>
    <w:rsid w:val="003C768D"/>
    <w:rsid w:val="003C7808"/>
    <w:rsid w:val="003C7969"/>
    <w:rsid w:val="003C7AB7"/>
    <w:rsid w:val="003C7C1E"/>
    <w:rsid w:val="003C7C22"/>
    <w:rsid w:val="003C7C48"/>
    <w:rsid w:val="003C7EE1"/>
    <w:rsid w:val="003C7FC4"/>
    <w:rsid w:val="003D00CB"/>
    <w:rsid w:val="003D01B9"/>
    <w:rsid w:val="003D01F5"/>
    <w:rsid w:val="003D03B1"/>
    <w:rsid w:val="003D0558"/>
    <w:rsid w:val="003D06D4"/>
    <w:rsid w:val="003D0841"/>
    <w:rsid w:val="003D0909"/>
    <w:rsid w:val="003D0A5A"/>
    <w:rsid w:val="003D0A8F"/>
    <w:rsid w:val="003D0E31"/>
    <w:rsid w:val="003D0EC2"/>
    <w:rsid w:val="003D0F9F"/>
    <w:rsid w:val="003D0FD4"/>
    <w:rsid w:val="003D107F"/>
    <w:rsid w:val="003D11D2"/>
    <w:rsid w:val="003D128C"/>
    <w:rsid w:val="003D12A9"/>
    <w:rsid w:val="003D130C"/>
    <w:rsid w:val="003D1313"/>
    <w:rsid w:val="003D1335"/>
    <w:rsid w:val="003D13AF"/>
    <w:rsid w:val="003D13BC"/>
    <w:rsid w:val="003D14AE"/>
    <w:rsid w:val="003D165D"/>
    <w:rsid w:val="003D16B7"/>
    <w:rsid w:val="003D175E"/>
    <w:rsid w:val="003D193F"/>
    <w:rsid w:val="003D1A25"/>
    <w:rsid w:val="003D1A97"/>
    <w:rsid w:val="003D1B21"/>
    <w:rsid w:val="003D1B47"/>
    <w:rsid w:val="003D1D57"/>
    <w:rsid w:val="003D1D7C"/>
    <w:rsid w:val="003D1F3B"/>
    <w:rsid w:val="003D2322"/>
    <w:rsid w:val="003D253E"/>
    <w:rsid w:val="003D25EA"/>
    <w:rsid w:val="003D2674"/>
    <w:rsid w:val="003D2692"/>
    <w:rsid w:val="003D269E"/>
    <w:rsid w:val="003D26B5"/>
    <w:rsid w:val="003D298D"/>
    <w:rsid w:val="003D2A81"/>
    <w:rsid w:val="003D2ACB"/>
    <w:rsid w:val="003D2C50"/>
    <w:rsid w:val="003D2EFE"/>
    <w:rsid w:val="003D2F13"/>
    <w:rsid w:val="003D2FC4"/>
    <w:rsid w:val="003D2FCA"/>
    <w:rsid w:val="003D3056"/>
    <w:rsid w:val="003D3129"/>
    <w:rsid w:val="003D32EC"/>
    <w:rsid w:val="003D3330"/>
    <w:rsid w:val="003D3408"/>
    <w:rsid w:val="003D3507"/>
    <w:rsid w:val="003D3674"/>
    <w:rsid w:val="003D3754"/>
    <w:rsid w:val="003D3756"/>
    <w:rsid w:val="003D376F"/>
    <w:rsid w:val="003D377C"/>
    <w:rsid w:val="003D379A"/>
    <w:rsid w:val="003D3894"/>
    <w:rsid w:val="003D3DB0"/>
    <w:rsid w:val="003D3DD1"/>
    <w:rsid w:val="003D3DD7"/>
    <w:rsid w:val="003D3E3B"/>
    <w:rsid w:val="003D3EBE"/>
    <w:rsid w:val="003D3FDA"/>
    <w:rsid w:val="003D4011"/>
    <w:rsid w:val="003D4047"/>
    <w:rsid w:val="003D42EB"/>
    <w:rsid w:val="003D462E"/>
    <w:rsid w:val="003D46F2"/>
    <w:rsid w:val="003D48E2"/>
    <w:rsid w:val="003D4948"/>
    <w:rsid w:val="003D4AAE"/>
    <w:rsid w:val="003D4AAF"/>
    <w:rsid w:val="003D4B40"/>
    <w:rsid w:val="003D500A"/>
    <w:rsid w:val="003D5159"/>
    <w:rsid w:val="003D5405"/>
    <w:rsid w:val="003D58C0"/>
    <w:rsid w:val="003D58CA"/>
    <w:rsid w:val="003D5902"/>
    <w:rsid w:val="003D5987"/>
    <w:rsid w:val="003D59D4"/>
    <w:rsid w:val="003D5A85"/>
    <w:rsid w:val="003D5D69"/>
    <w:rsid w:val="003D5D75"/>
    <w:rsid w:val="003D5E4F"/>
    <w:rsid w:val="003D5EDB"/>
    <w:rsid w:val="003D60B2"/>
    <w:rsid w:val="003D6184"/>
    <w:rsid w:val="003D6233"/>
    <w:rsid w:val="003D62D6"/>
    <w:rsid w:val="003D640B"/>
    <w:rsid w:val="003D6483"/>
    <w:rsid w:val="003D6576"/>
    <w:rsid w:val="003D6609"/>
    <w:rsid w:val="003D6865"/>
    <w:rsid w:val="003D68DA"/>
    <w:rsid w:val="003D6921"/>
    <w:rsid w:val="003D6949"/>
    <w:rsid w:val="003D69D5"/>
    <w:rsid w:val="003D6A4F"/>
    <w:rsid w:val="003D6D39"/>
    <w:rsid w:val="003D6E38"/>
    <w:rsid w:val="003D6F9D"/>
    <w:rsid w:val="003D704B"/>
    <w:rsid w:val="003D70FE"/>
    <w:rsid w:val="003D724E"/>
    <w:rsid w:val="003D7261"/>
    <w:rsid w:val="003D73BF"/>
    <w:rsid w:val="003D740B"/>
    <w:rsid w:val="003D7427"/>
    <w:rsid w:val="003D74DD"/>
    <w:rsid w:val="003D75CE"/>
    <w:rsid w:val="003D7820"/>
    <w:rsid w:val="003D7847"/>
    <w:rsid w:val="003D78E2"/>
    <w:rsid w:val="003D791D"/>
    <w:rsid w:val="003D7989"/>
    <w:rsid w:val="003D7ADE"/>
    <w:rsid w:val="003D7B3E"/>
    <w:rsid w:val="003D7E3A"/>
    <w:rsid w:val="003D7EC4"/>
    <w:rsid w:val="003D7F8F"/>
    <w:rsid w:val="003D7FAA"/>
    <w:rsid w:val="003E0053"/>
    <w:rsid w:val="003E00FC"/>
    <w:rsid w:val="003E02D4"/>
    <w:rsid w:val="003E03C5"/>
    <w:rsid w:val="003E03EA"/>
    <w:rsid w:val="003E0416"/>
    <w:rsid w:val="003E043F"/>
    <w:rsid w:val="003E0579"/>
    <w:rsid w:val="003E05AC"/>
    <w:rsid w:val="003E0610"/>
    <w:rsid w:val="003E066B"/>
    <w:rsid w:val="003E07DD"/>
    <w:rsid w:val="003E0800"/>
    <w:rsid w:val="003E08B0"/>
    <w:rsid w:val="003E0A05"/>
    <w:rsid w:val="003E0D12"/>
    <w:rsid w:val="003E0D65"/>
    <w:rsid w:val="003E0DA2"/>
    <w:rsid w:val="003E0F54"/>
    <w:rsid w:val="003E1188"/>
    <w:rsid w:val="003E1570"/>
    <w:rsid w:val="003E1BBA"/>
    <w:rsid w:val="003E1C2D"/>
    <w:rsid w:val="003E1C34"/>
    <w:rsid w:val="003E20D3"/>
    <w:rsid w:val="003E2111"/>
    <w:rsid w:val="003E2158"/>
    <w:rsid w:val="003E21C9"/>
    <w:rsid w:val="003E22B7"/>
    <w:rsid w:val="003E23A7"/>
    <w:rsid w:val="003E23DB"/>
    <w:rsid w:val="003E240E"/>
    <w:rsid w:val="003E253C"/>
    <w:rsid w:val="003E25DA"/>
    <w:rsid w:val="003E26A1"/>
    <w:rsid w:val="003E2727"/>
    <w:rsid w:val="003E2790"/>
    <w:rsid w:val="003E289C"/>
    <w:rsid w:val="003E2A49"/>
    <w:rsid w:val="003E2A86"/>
    <w:rsid w:val="003E2AE1"/>
    <w:rsid w:val="003E2B16"/>
    <w:rsid w:val="003E2B49"/>
    <w:rsid w:val="003E2E5A"/>
    <w:rsid w:val="003E2EC4"/>
    <w:rsid w:val="003E323C"/>
    <w:rsid w:val="003E3429"/>
    <w:rsid w:val="003E35CF"/>
    <w:rsid w:val="003E366B"/>
    <w:rsid w:val="003E3762"/>
    <w:rsid w:val="003E3BD0"/>
    <w:rsid w:val="003E3C72"/>
    <w:rsid w:val="003E3DFE"/>
    <w:rsid w:val="003E3ED3"/>
    <w:rsid w:val="003E4004"/>
    <w:rsid w:val="003E4269"/>
    <w:rsid w:val="003E4557"/>
    <w:rsid w:val="003E45B1"/>
    <w:rsid w:val="003E46E9"/>
    <w:rsid w:val="003E473E"/>
    <w:rsid w:val="003E4897"/>
    <w:rsid w:val="003E4934"/>
    <w:rsid w:val="003E4975"/>
    <w:rsid w:val="003E4991"/>
    <w:rsid w:val="003E4AE5"/>
    <w:rsid w:val="003E4AEB"/>
    <w:rsid w:val="003E4B46"/>
    <w:rsid w:val="003E4D9B"/>
    <w:rsid w:val="003E4E34"/>
    <w:rsid w:val="003E4E85"/>
    <w:rsid w:val="003E52C0"/>
    <w:rsid w:val="003E531D"/>
    <w:rsid w:val="003E553A"/>
    <w:rsid w:val="003E594A"/>
    <w:rsid w:val="003E598B"/>
    <w:rsid w:val="003E5A57"/>
    <w:rsid w:val="003E5AD2"/>
    <w:rsid w:val="003E5AE7"/>
    <w:rsid w:val="003E5B83"/>
    <w:rsid w:val="003E5DBF"/>
    <w:rsid w:val="003E5E39"/>
    <w:rsid w:val="003E6075"/>
    <w:rsid w:val="003E60E0"/>
    <w:rsid w:val="003E6120"/>
    <w:rsid w:val="003E6155"/>
    <w:rsid w:val="003E6178"/>
    <w:rsid w:val="003E61EA"/>
    <w:rsid w:val="003E6478"/>
    <w:rsid w:val="003E6596"/>
    <w:rsid w:val="003E65D1"/>
    <w:rsid w:val="003E676E"/>
    <w:rsid w:val="003E691D"/>
    <w:rsid w:val="003E6994"/>
    <w:rsid w:val="003E6995"/>
    <w:rsid w:val="003E6A00"/>
    <w:rsid w:val="003E6C80"/>
    <w:rsid w:val="003E6DA8"/>
    <w:rsid w:val="003E6E71"/>
    <w:rsid w:val="003E6ECE"/>
    <w:rsid w:val="003E6F63"/>
    <w:rsid w:val="003E6FE8"/>
    <w:rsid w:val="003E7037"/>
    <w:rsid w:val="003E706D"/>
    <w:rsid w:val="003E713B"/>
    <w:rsid w:val="003E7294"/>
    <w:rsid w:val="003E72B7"/>
    <w:rsid w:val="003E7532"/>
    <w:rsid w:val="003E75C0"/>
    <w:rsid w:val="003E7705"/>
    <w:rsid w:val="003E7717"/>
    <w:rsid w:val="003E77BD"/>
    <w:rsid w:val="003E7A91"/>
    <w:rsid w:val="003E7DC4"/>
    <w:rsid w:val="003E7F7F"/>
    <w:rsid w:val="003F018D"/>
    <w:rsid w:val="003F0391"/>
    <w:rsid w:val="003F0447"/>
    <w:rsid w:val="003F0507"/>
    <w:rsid w:val="003F0581"/>
    <w:rsid w:val="003F05DE"/>
    <w:rsid w:val="003F07B8"/>
    <w:rsid w:val="003F0A33"/>
    <w:rsid w:val="003F0A7D"/>
    <w:rsid w:val="003F0AB7"/>
    <w:rsid w:val="003F0BE5"/>
    <w:rsid w:val="003F0C58"/>
    <w:rsid w:val="003F0D3C"/>
    <w:rsid w:val="003F0D80"/>
    <w:rsid w:val="003F0DE5"/>
    <w:rsid w:val="003F129D"/>
    <w:rsid w:val="003F13B4"/>
    <w:rsid w:val="003F156A"/>
    <w:rsid w:val="003F168D"/>
    <w:rsid w:val="003F1950"/>
    <w:rsid w:val="003F1BA7"/>
    <w:rsid w:val="003F1CD7"/>
    <w:rsid w:val="003F1E3D"/>
    <w:rsid w:val="003F1E6D"/>
    <w:rsid w:val="003F1E89"/>
    <w:rsid w:val="003F2078"/>
    <w:rsid w:val="003F2080"/>
    <w:rsid w:val="003F2160"/>
    <w:rsid w:val="003F216B"/>
    <w:rsid w:val="003F228F"/>
    <w:rsid w:val="003F22F9"/>
    <w:rsid w:val="003F262A"/>
    <w:rsid w:val="003F2870"/>
    <w:rsid w:val="003F28BC"/>
    <w:rsid w:val="003F2929"/>
    <w:rsid w:val="003F2A73"/>
    <w:rsid w:val="003F2B07"/>
    <w:rsid w:val="003F2BCF"/>
    <w:rsid w:val="003F2C45"/>
    <w:rsid w:val="003F2CA1"/>
    <w:rsid w:val="003F2D14"/>
    <w:rsid w:val="003F2DB1"/>
    <w:rsid w:val="003F2EF1"/>
    <w:rsid w:val="003F304D"/>
    <w:rsid w:val="003F3125"/>
    <w:rsid w:val="003F31A5"/>
    <w:rsid w:val="003F3638"/>
    <w:rsid w:val="003F393A"/>
    <w:rsid w:val="003F3948"/>
    <w:rsid w:val="003F3A97"/>
    <w:rsid w:val="003F3AB2"/>
    <w:rsid w:val="003F3BC7"/>
    <w:rsid w:val="003F3C1C"/>
    <w:rsid w:val="003F3CAE"/>
    <w:rsid w:val="003F3D20"/>
    <w:rsid w:val="003F3DC3"/>
    <w:rsid w:val="003F3F17"/>
    <w:rsid w:val="003F3F65"/>
    <w:rsid w:val="003F3F8F"/>
    <w:rsid w:val="003F4036"/>
    <w:rsid w:val="003F41B8"/>
    <w:rsid w:val="003F4373"/>
    <w:rsid w:val="003F4479"/>
    <w:rsid w:val="003F4515"/>
    <w:rsid w:val="003F460F"/>
    <w:rsid w:val="003F4691"/>
    <w:rsid w:val="003F46A9"/>
    <w:rsid w:val="003F4748"/>
    <w:rsid w:val="003F47A8"/>
    <w:rsid w:val="003F4825"/>
    <w:rsid w:val="003F49EB"/>
    <w:rsid w:val="003F49F5"/>
    <w:rsid w:val="003F4A45"/>
    <w:rsid w:val="003F4CA6"/>
    <w:rsid w:val="003F4CC1"/>
    <w:rsid w:val="003F4EE9"/>
    <w:rsid w:val="003F4FD2"/>
    <w:rsid w:val="003F5071"/>
    <w:rsid w:val="003F50C4"/>
    <w:rsid w:val="003F524F"/>
    <w:rsid w:val="003F5300"/>
    <w:rsid w:val="003F53A3"/>
    <w:rsid w:val="003F5473"/>
    <w:rsid w:val="003F579C"/>
    <w:rsid w:val="003F58A6"/>
    <w:rsid w:val="003F5A33"/>
    <w:rsid w:val="003F5BD9"/>
    <w:rsid w:val="003F5C95"/>
    <w:rsid w:val="003F5CC7"/>
    <w:rsid w:val="003F5CE8"/>
    <w:rsid w:val="003F5D23"/>
    <w:rsid w:val="003F5DE2"/>
    <w:rsid w:val="003F5EB5"/>
    <w:rsid w:val="003F5EE4"/>
    <w:rsid w:val="003F5FB8"/>
    <w:rsid w:val="003F5FCE"/>
    <w:rsid w:val="003F60AB"/>
    <w:rsid w:val="003F6149"/>
    <w:rsid w:val="003F6189"/>
    <w:rsid w:val="003F6244"/>
    <w:rsid w:val="003F63E7"/>
    <w:rsid w:val="003F63FF"/>
    <w:rsid w:val="003F6401"/>
    <w:rsid w:val="003F6612"/>
    <w:rsid w:val="003F6628"/>
    <w:rsid w:val="003F67DA"/>
    <w:rsid w:val="003F6854"/>
    <w:rsid w:val="003F68F6"/>
    <w:rsid w:val="003F6923"/>
    <w:rsid w:val="003F6A42"/>
    <w:rsid w:val="003F6BBD"/>
    <w:rsid w:val="003F6C3D"/>
    <w:rsid w:val="003F6EC0"/>
    <w:rsid w:val="003F6FF6"/>
    <w:rsid w:val="003F7065"/>
    <w:rsid w:val="003F7104"/>
    <w:rsid w:val="003F714E"/>
    <w:rsid w:val="003F72D6"/>
    <w:rsid w:val="003F73E7"/>
    <w:rsid w:val="003F73F2"/>
    <w:rsid w:val="003F7540"/>
    <w:rsid w:val="003F7566"/>
    <w:rsid w:val="003F7612"/>
    <w:rsid w:val="003F767E"/>
    <w:rsid w:val="003F76DE"/>
    <w:rsid w:val="003F7731"/>
    <w:rsid w:val="003F7AE7"/>
    <w:rsid w:val="003F7B98"/>
    <w:rsid w:val="0040026E"/>
    <w:rsid w:val="004002F0"/>
    <w:rsid w:val="004003AE"/>
    <w:rsid w:val="004003AF"/>
    <w:rsid w:val="0040050B"/>
    <w:rsid w:val="00400691"/>
    <w:rsid w:val="00400699"/>
    <w:rsid w:val="004007D0"/>
    <w:rsid w:val="00400849"/>
    <w:rsid w:val="0040088A"/>
    <w:rsid w:val="00400A37"/>
    <w:rsid w:val="00400C6C"/>
    <w:rsid w:val="00400CA9"/>
    <w:rsid w:val="00400D62"/>
    <w:rsid w:val="00400DBB"/>
    <w:rsid w:val="00400E52"/>
    <w:rsid w:val="00400F4C"/>
    <w:rsid w:val="00400FC6"/>
    <w:rsid w:val="00400FE6"/>
    <w:rsid w:val="00401073"/>
    <w:rsid w:val="00401377"/>
    <w:rsid w:val="00401406"/>
    <w:rsid w:val="00401532"/>
    <w:rsid w:val="00401641"/>
    <w:rsid w:val="00401656"/>
    <w:rsid w:val="00401D59"/>
    <w:rsid w:val="00401D96"/>
    <w:rsid w:val="00401DFA"/>
    <w:rsid w:val="00401F1A"/>
    <w:rsid w:val="00401F9A"/>
    <w:rsid w:val="0040212D"/>
    <w:rsid w:val="00402341"/>
    <w:rsid w:val="004023A5"/>
    <w:rsid w:val="00402402"/>
    <w:rsid w:val="00402433"/>
    <w:rsid w:val="0040244F"/>
    <w:rsid w:val="00402555"/>
    <w:rsid w:val="0040255A"/>
    <w:rsid w:val="004025F9"/>
    <w:rsid w:val="00402A06"/>
    <w:rsid w:val="00402A1B"/>
    <w:rsid w:val="00402F7F"/>
    <w:rsid w:val="00402FF5"/>
    <w:rsid w:val="00403036"/>
    <w:rsid w:val="0040304D"/>
    <w:rsid w:val="004033A7"/>
    <w:rsid w:val="0040347A"/>
    <w:rsid w:val="00403627"/>
    <w:rsid w:val="004036ED"/>
    <w:rsid w:val="004037E0"/>
    <w:rsid w:val="00403B7D"/>
    <w:rsid w:val="00403BD2"/>
    <w:rsid w:val="00403C0E"/>
    <w:rsid w:val="00403CFE"/>
    <w:rsid w:val="00403ED5"/>
    <w:rsid w:val="00403F10"/>
    <w:rsid w:val="00403F78"/>
    <w:rsid w:val="00403F7B"/>
    <w:rsid w:val="00403FAA"/>
    <w:rsid w:val="00404016"/>
    <w:rsid w:val="00404017"/>
    <w:rsid w:val="00404257"/>
    <w:rsid w:val="00404306"/>
    <w:rsid w:val="00404333"/>
    <w:rsid w:val="004044B0"/>
    <w:rsid w:val="004046DD"/>
    <w:rsid w:val="00404A9F"/>
    <w:rsid w:val="00404CA9"/>
    <w:rsid w:val="00404CE3"/>
    <w:rsid w:val="00404DA8"/>
    <w:rsid w:val="00404DAD"/>
    <w:rsid w:val="00404E27"/>
    <w:rsid w:val="00404EF5"/>
    <w:rsid w:val="004050A6"/>
    <w:rsid w:val="004050EC"/>
    <w:rsid w:val="0040514F"/>
    <w:rsid w:val="00405416"/>
    <w:rsid w:val="00405619"/>
    <w:rsid w:val="0040575F"/>
    <w:rsid w:val="00405B91"/>
    <w:rsid w:val="00405E57"/>
    <w:rsid w:val="00405EBA"/>
    <w:rsid w:val="00406057"/>
    <w:rsid w:val="004062CC"/>
    <w:rsid w:val="00406397"/>
    <w:rsid w:val="004063BF"/>
    <w:rsid w:val="004064B7"/>
    <w:rsid w:val="004064BF"/>
    <w:rsid w:val="0040665B"/>
    <w:rsid w:val="00406789"/>
    <w:rsid w:val="0040682E"/>
    <w:rsid w:val="00406A4B"/>
    <w:rsid w:val="00406D5D"/>
    <w:rsid w:val="0040710C"/>
    <w:rsid w:val="00407233"/>
    <w:rsid w:val="004072CA"/>
    <w:rsid w:val="004072CE"/>
    <w:rsid w:val="00407385"/>
    <w:rsid w:val="00407443"/>
    <w:rsid w:val="004074AE"/>
    <w:rsid w:val="00407764"/>
    <w:rsid w:val="004077B9"/>
    <w:rsid w:val="004079D6"/>
    <w:rsid w:val="00407AA8"/>
    <w:rsid w:val="00407D4A"/>
    <w:rsid w:val="00410208"/>
    <w:rsid w:val="00410325"/>
    <w:rsid w:val="0041036B"/>
    <w:rsid w:val="004106B0"/>
    <w:rsid w:val="00410729"/>
    <w:rsid w:val="004108C2"/>
    <w:rsid w:val="0041092B"/>
    <w:rsid w:val="004109A8"/>
    <w:rsid w:val="00410A02"/>
    <w:rsid w:val="00410A72"/>
    <w:rsid w:val="00410A94"/>
    <w:rsid w:val="00410B0F"/>
    <w:rsid w:val="00410CA8"/>
    <w:rsid w:val="00410D72"/>
    <w:rsid w:val="00410F59"/>
    <w:rsid w:val="0041110C"/>
    <w:rsid w:val="0041112D"/>
    <w:rsid w:val="00411171"/>
    <w:rsid w:val="004112C8"/>
    <w:rsid w:val="00411378"/>
    <w:rsid w:val="004113C2"/>
    <w:rsid w:val="004114FB"/>
    <w:rsid w:val="0041170E"/>
    <w:rsid w:val="004117A5"/>
    <w:rsid w:val="00411AEA"/>
    <w:rsid w:val="00411B07"/>
    <w:rsid w:val="00411B8C"/>
    <w:rsid w:val="00411BF7"/>
    <w:rsid w:val="00411C5F"/>
    <w:rsid w:val="00411DC2"/>
    <w:rsid w:val="00411E16"/>
    <w:rsid w:val="004120E6"/>
    <w:rsid w:val="00412217"/>
    <w:rsid w:val="004123C2"/>
    <w:rsid w:val="0041242B"/>
    <w:rsid w:val="004124CA"/>
    <w:rsid w:val="004128FC"/>
    <w:rsid w:val="004129EE"/>
    <w:rsid w:val="00412A5D"/>
    <w:rsid w:val="00412A75"/>
    <w:rsid w:val="00412AEA"/>
    <w:rsid w:val="00412B1E"/>
    <w:rsid w:val="00412C55"/>
    <w:rsid w:val="00412CD7"/>
    <w:rsid w:val="00412E0A"/>
    <w:rsid w:val="00413061"/>
    <w:rsid w:val="00413166"/>
    <w:rsid w:val="004131B1"/>
    <w:rsid w:val="00413315"/>
    <w:rsid w:val="004135C4"/>
    <w:rsid w:val="004135D4"/>
    <w:rsid w:val="00413622"/>
    <w:rsid w:val="0041363D"/>
    <w:rsid w:val="00413689"/>
    <w:rsid w:val="004137DA"/>
    <w:rsid w:val="00413836"/>
    <w:rsid w:val="00413876"/>
    <w:rsid w:val="004139A8"/>
    <w:rsid w:val="00413A4A"/>
    <w:rsid w:val="00413D23"/>
    <w:rsid w:val="00413D2A"/>
    <w:rsid w:val="00413D43"/>
    <w:rsid w:val="00413DD9"/>
    <w:rsid w:val="00413DFE"/>
    <w:rsid w:val="00413E23"/>
    <w:rsid w:val="00413F4A"/>
    <w:rsid w:val="00413FCB"/>
    <w:rsid w:val="00413FE7"/>
    <w:rsid w:val="00414023"/>
    <w:rsid w:val="0041405B"/>
    <w:rsid w:val="00414219"/>
    <w:rsid w:val="00414250"/>
    <w:rsid w:val="00414252"/>
    <w:rsid w:val="004145E5"/>
    <w:rsid w:val="00414716"/>
    <w:rsid w:val="00414C27"/>
    <w:rsid w:val="00414D1C"/>
    <w:rsid w:val="00414E00"/>
    <w:rsid w:val="00415090"/>
    <w:rsid w:val="004150B4"/>
    <w:rsid w:val="00415194"/>
    <w:rsid w:val="0041527B"/>
    <w:rsid w:val="004154D0"/>
    <w:rsid w:val="00415557"/>
    <w:rsid w:val="004155AF"/>
    <w:rsid w:val="004155E6"/>
    <w:rsid w:val="004156C9"/>
    <w:rsid w:val="004157D4"/>
    <w:rsid w:val="00415885"/>
    <w:rsid w:val="0041598D"/>
    <w:rsid w:val="00415B42"/>
    <w:rsid w:val="00415BB6"/>
    <w:rsid w:val="00415C10"/>
    <w:rsid w:val="00415C14"/>
    <w:rsid w:val="00415C4E"/>
    <w:rsid w:val="00415CE7"/>
    <w:rsid w:val="00415FBF"/>
    <w:rsid w:val="0041602E"/>
    <w:rsid w:val="0041605F"/>
    <w:rsid w:val="0041608A"/>
    <w:rsid w:val="0041621E"/>
    <w:rsid w:val="004162AF"/>
    <w:rsid w:val="0041646F"/>
    <w:rsid w:val="00416541"/>
    <w:rsid w:val="004165C9"/>
    <w:rsid w:val="00416888"/>
    <w:rsid w:val="004169D4"/>
    <w:rsid w:val="00416B4E"/>
    <w:rsid w:val="00416B96"/>
    <w:rsid w:val="00416D35"/>
    <w:rsid w:val="00416EED"/>
    <w:rsid w:val="00416F67"/>
    <w:rsid w:val="004172B4"/>
    <w:rsid w:val="004174F1"/>
    <w:rsid w:val="0041766C"/>
    <w:rsid w:val="00417921"/>
    <w:rsid w:val="004179B7"/>
    <w:rsid w:val="00417A15"/>
    <w:rsid w:val="00417A62"/>
    <w:rsid w:val="00417B89"/>
    <w:rsid w:val="00417E1C"/>
    <w:rsid w:val="0041E69F"/>
    <w:rsid w:val="00420087"/>
    <w:rsid w:val="0042019D"/>
    <w:rsid w:val="00420204"/>
    <w:rsid w:val="00420283"/>
    <w:rsid w:val="00420523"/>
    <w:rsid w:val="004206BB"/>
    <w:rsid w:val="004206F8"/>
    <w:rsid w:val="0042083E"/>
    <w:rsid w:val="00420B5C"/>
    <w:rsid w:val="00420CE0"/>
    <w:rsid w:val="00420CF4"/>
    <w:rsid w:val="00420E09"/>
    <w:rsid w:val="00420FDB"/>
    <w:rsid w:val="00420FE5"/>
    <w:rsid w:val="00421263"/>
    <w:rsid w:val="004215B8"/>
    <w:rsid w:val="00421628"/>
    <w:rsid w:val="00421646"/>
    <w:rsid w:val="0042181B"/>
    <w:rsid w:val="004218F2"/>
    <w:rsid w:val="00421948"/>
    <w:rsid w:val="00421963"/>
    <w:rsid w:val="004219F0"/>
    <w:rsid w:val="00421B07"/>
    <w:rsid w:val="00421B3E"/>
    <w:rsid w:val="00421CDF"/>
    <w:rsid w:val="00421D0F"/>
    <w:rsid w:val="00421E51"/>
    <w:rsid w:val="00421E9F"/>
    <w:rsid w:val="00421ED7"/>
    <w:rsid w:val="004222DA"/>
    <w:rsid w:val="00422301"/>
    <w:rsid w:val="0042237A"/>
    <w:rsid w:val="0042241A"/>
    <w:rsid w:val="00422565"/>
    <w:rsid w:val="00422693"/>
    <w:rsid w:val="004226D9"/>
    <w:rsid w:val="0042294E"/>
    <w:rsid w:val="004229A7"/>
    <w:rsid w:val="004229E5"/>
    <w:rsid w:val="00422B0E"/>
    <w:rsid w:val="00422F01"/>
    <w:rsid w:val="004230E2"/>
    <w:rsid w:val="00423640"/>
    <w:rsid w:val="00423642"/>
    <w:rsid w:val="004236AB"/>
    <w:rsid w:val="0042389C"/>
    <w:rsid w:val="00423AF0"/>
    <w:rsid w:val="00423E24"/>
    <w:rsid w:val="00423F6E"/>
    <w:rsid w:val="0042403F"/>
    <w:rsid w:val="0042437E"/>
    <w:rsid w:val="0042457A"/>
    <w:rsid w:val="004245AF"/>
    <w:rsid w:val="004248AC"/>
    <w:rsid w:val="0042491B"/>
    <w:rsid w:val="004249C0"/>
    <w:rsid w:val="00424D50"/>
    <w:rsid w:val="00424D82"/>
    <w:rsid w:val="00424E71"/>
    <w:rsid w:val="00424FA2"/>
    <w:rsid w:val="0042527D"/>
    <w:rsid w:val="004252A3"/>
    <w:rsid w:val="0042530B"/>
    <w:rsid w:val="0042557E"/>
    <w:rsid w:val="004255A0"/>
    <w:rsid w:val="0042578D"/>
    <w:rsid w:val="004257BD"/>
    <w:rsid w:val="0042589F"/>
    <w:rsid w:val="00425A79"/>
    <w:rsid w:val="00425AF8"/>
    <w:rsid w:val="00425B11"/>
    <w:rsid w:val="00425BE1"/>
    <w:rsid w:val="00425CE4"/>
    <w:rsid w:val="00425D3D"/>
    <w:rsid w:val="00425D48"/>
    <w:rsid w:val="00425D56"/>
    <w:rsid w:val="00425E1C"/>
    <w:rsid w:val="00425F75"/>
    <w:rsid w:val="00426000"/>
    <w:rsid w:val="00426016"/>
    <w:rsid w:val="004261A2"/>
    <w:rsid w:val="004261A9"/>
    <w:rsid w:val="0042631A"/>
    <w:rsid w:val="00426415"/>
    <w:rsid w:val="00426421"/>
    <w:rsid w:val="00426552"/>
    <w:rsid w:val="0042664F"/>
    <w:rsid w:val="00426664"/>
    <w:rsid w:val="00426A06"/>
    <w:rsid w:val="00426A45"/>
    <w:rsid w:val="00426BC0"/>
    <w:rsid w:val="00426E53"/>
    <w:rsid w:val="00426FBE"/>
    <w:rsid w:val="00426FFF"/>
    <w:rsid w:val="0042705B"/>
    <w:rsid w:val="00427098"/>
    <w:rsid w:val="004271C0"/>
    <w:rsid w:val="0042725C"/>
    <w:rsid w:val="0042726C"/>
    <w:rsid w:val="004272F5"/>
    <w:rsid w:val="00427409"/>
    <w:rsid w:val="0042751D"/>
    <w:rsid w:val="00427741"/>
    <w:rsid w:val="004278A0"/>
    <w:rsid w:val="00427989"/>
    <w:rsid w:val="004279D6"/>
    <w:rsid w:val="00427BF3"/>
    <w:rsid w:val="00427C44"/>
    <w:rsid w:val="00427C94"/>
    <w:rsid w:val="00430103"/>
    <w:rsid w:val="00430115"/>
    <w:rsid w:val="004301FE"/>
    <w:rsid w:val="00430200"/>
    <w:rsid w:val="004302F6"/>
    <w:rsid w:val="00430387"/>
    <w:rsid w:val="0043051D"/>
    <w:rsid w:val="004305E8"/>
    <w:rsid w:val="00430651"/>
    <w:rsid w:val="004307AA"/>
    <w:rsid w:val="004307AE"/>
    <w:rsid w:val="004308FF"/>
    <w:rsid w:val="0043092B"/>
    <w:rsid w:val="00430990"/>
    <w:rsid w:val="00430A61"/>
    <w:rsid w:val="00430A6A"/>
    <w:rsid w:val="00430BA1"/>
    <w:rsid w:val="00430D55"/>
    <w:rsid w:val="00430DFB"/>
    <w:rsid w:val="004310AB"/>
    <w:rsid w:val="00431266"/>
    <w:rsid w:val="004314CC"/>
    <w:rsid w:val="00431630"/>
    <w:rsid w:val="0043166F"/>
    <w:rsid w:val="004317B9"/>
    <w:rsid w:val="00431956"/>
    <w:rsid w:val="004319E8"/>
    <w:rsid w:val="00431BD6"/>
    <w:rsid w:val="00431C66"/>
    <w:rsid w:val="00431C8B"/>
    <w:rsid w:val="00431CC2"/>
    <w:rsid w:val="00431D15"/>
    <w:rsid w:val="00431DE9"/>
    <w:rsid w:val="00431F6C"/>
    <w:rsid w:val="00431F98"/>
    <w:rsid w:val="00431FB6"/>
    <w:rsid w:val="004320D8"/>
    <w:rsid w:val="004321AE"/>
    <w:rsid w:val="004324BC"/>
    <w:rsid w:val="004324F1"/>
    <w:rsid w:val="0043253E"/>
    <w:rsid w:val="00432559"/>
    <w:rsid w:val="004325C4"/>
    <w:rsid w:val="004326D1"/>
    <w:rsid w:val="00432996"/>
    <w:rsid w:val="00432A5B"/>
    <w:rsid w:val="00432B60"/>
    <w:rsid w:val="00432C6F"/>
    <w:rsid w:val="00432D3D"/>
    <w:rsid w:val="00432E41"/>
    <w:rsid w:val="00432F7F"/>
    <w:rsid w:val="00432FB6"/>
    <w:rsid w:val="00432FFB"/>
    <w:rsid w:val="0043300F"/>
    <w:rsid w:val="0043323A"/>
    <w:rsid w:val="0043362B"/>
    <w:rsid w:val="004339A1"/>
    <w:rsid w:val="00433AE7"/>
    <w:rsid w:val="00433AFA"/>
    <w:rsid w:val="00433BBF"/>
    <w:rsid w:val="00433CEB"/>
    <w:rsid w:val="00433D95"/>
    <w:rsid w:val="00433DC1"/>
    <w:rsid w:val="00434059"/>
    <w:rsid w:val="0043409F"/>
    <w:rsid w:val="00434127"/>
    <w:rsid w:val="004341C3"/>
    <w:rsid w:val="00434444"/>
    <w:rsid w:val="0043445E"/>
    <w:rsid w:val="00434527"/>
    <w:rsid w:val="00434674"/>
    <w:rsid w:val="00434829"/>
    <w:rsid w:val="0043486B"/>
    <w:rsid w:val="004348D4"/>
    <w:rsid w:val="00434959"/>
    <w:rsid w:val="0043499A"/>
    <w:rsid w:val="00434A9F"/>
    <w:rsid w:val="00434B01"/>
    <w:rsid w:val="00434BF4"/>
    <w:rsid w:val="00434C32"/>
    <w:rsid w:val="00434DA8"/>
    <w:rsid w:val="00434E0C"/>
    <w:rsid w:val="00434F43"/>
    <w:rsid w:val="00435102"/>
    <w:rsid w:val="00435134"/>
    <w:rsid w:val="0043535B"/>
    <w:rsid w:val="0043540E"/>
    <w:rsid w:val="00435594"/>
    <w:rsid w:val="00435779"/>
    <w:rsid w:val="00435799"/>
    <w:rsid w:val="004357B7"/>
    <w:rsid w:val="00435832"/>
    <w:rsid w:val="0043584D"/>
    <w:rsid w:val="004358B9"/>
    <w:rsid w:val="00435A34"/>
    <w:rsid w:val="00435DC6"/>
    <w:rsid w:val="00435FAD"/>
    <w:rsid w:val="004363DB"/>
    <w:rsid w:val="004364CD"/>
    <w:rsid w:val="004364EB"/>
    <w:rsid w:val="0043650D"/>
    <w:rsid w:val="00436577"/>
    <w:rsid w:val="004367C8"/>
    <w:rsid w:val="004369AF"/>
    <w:rsid w:val="00436A61"/>
    <w:rsid w:val="00436E88"/>
    <w:rsid w:val="00436EF8"/>
    <w:rsid w:val="00436F66"/>
    <w:rsid w:val="00437145"/>
    <w:rsid w:val="00437156"/>
    <w:rsid w:val="00437163"/>
    <w:rsid w:val="00437170"/>
    <w:rsid w:val="004371AE"/>
    <w:rsid w:val="004371CE"/>
    <w:rsid w:val="004372A5"/>
    <w:rsid w:val="004372A7"/>
    <w:rsid w:val="004372AC"/>
    <w:rsid w:val="00437577"/>
    <w:rsid w:val="00437981"/>
    <w:rsid w:val="00437AA1"/>
    <w:rsid w:val="00437C93"/>
    <w:rsid w:val="00437D25"/>
    <w:rsid w:val="00437EAC"/>
    <w:rsid w:val="00437FC0"/>
    <w:rsid w:val="0044006D"/>
    <w:rsid w:val="0044011C"/>
    <w:rsid w:val="00440260"/>
    <w:rsid w:val="0044035D"/>
    <w:rsid w:val="00440508"/>
    <w:rsid w:val="00440565"/>
    <w:rsid w:val="00440575"/>
    <w:rsid w:val="00440632"/>
    <w:rsid w:val="004406AB"/>
    <w:rsid w:val="004406EB"/>
    <w:rsid w:val="00440732"/>
    <w:rsid w:val="00440808"/>
    <w:rsid w:val="0044087A"/>
    <w:rsid w:val="00440882"/>
    <w:rsid w:val="00440C8E"/>
    <w:rsid w:val="00440EB1"/>
    <w:rsid w:val="00440EBB"/>
    <w:rsid w:val="00440FA3"/>
    <w:rsid w:val="00440FAD"/>
    <w:rsid w:val="00441037"/>
    <w:rsid w:val="00441115"/>
    <w:rsid w:val="0044111C"/>
    <w:rsid w:val="00441209"/>
    <w:rsid w:val="00441258"/>
    <w:rsid w:val="00441366"/>
    <w:rsid w:val="0044142C"/>
    <w:rsid w:val="00441502"/>
    <w:rsid w:val="00441541"/>
    <w:rsid w:val="00441561"/>
    <w:rsid w:val="00441699"/>
    <w:rsid w:val="004417B0"/>
    <w:rsid w:val="004418CC"/>
    <w:rsid w:val="00441970"/>
    <w:rsid w:val="00441B6C"/>
    <w:rsid w:val="00441D55"/>
    <w:rsid w:val="00441FE5"/>
    <w:rsid w:val="0044209A"/>
    <w:rsid w:val="004420AC"/>
    <w:rsid w:val="00442165"/>
    <w:rsid w:val="004421D7"/>
    <w:rsid w:val="00442264"/>
    <w:rsid w:val="00442558"/>
    <w:rsid w:val="00442646"/>
    <w:rsid w:val="004426AA"/>
    <w:rsid w:val="00442869"/>
    <w:rsid w:val="004429A4"/>
    <w:rsid w:val="004429EE"/>
    <w:rsid w:val="00442B2C"/>
    <w:rsid w:val="00442B71"/>
    <w:rsid w:val="00442B87"/>
    <w:rsid w:val="00442DC2"/>
    <w:rsid w:val="00442F35"/>
    <w:rsid w:val="00443233"/>
    <w:rsid w:val="0044337A"/>
    <w:rsid w:val="00443380"/>
    <w:rsid w:val="004434D7"/>
    <w:rsid w:val="004434EE"/>
    <w:rsid w:val="004434F4"/>
    <w:rsid w:val="004435E2"/>
    <w:rsid w:val="00443623"/>
    <w:rsid w:val="00443757"/>
    <w:rsid w:val="004439A9"/>
    <w:rsid w:val="00443AA8"/>
    <w:rsid w:val="00443B70"/>
    <w:rsid w:val="00443CBB"/>
    <w:rsid w:val="00443D7E"/>
    <w:rsid w:val="00443D83"/>
    <w:rsid w:val="00443EBC"/>
    <w:rsid w:val="00443F55"/>
    <w:rsid w:val="00443F8A"/>
    <w:rsid w:val="00443FF6"/>
    <w:rsid w:val="00444138"/>
    <w:rsid w:val="004442FE"/>
    <w:rsid w:val="0044431C"/>
    <w:rsid w:val="004444D1"/>
    <w:rsid w:val="00444535"/>
    <w:rsid w:val="00444693"/>
    <w:rsid w:val="004446EF"/>
    <w:rsid w:val="004447C6"/>
    <w:rsid w:val="00444849"/>
    <w:rsid w:val="004449F7"/>
    <w:rsid w:val="00444A9D"/>
    <w:rsid w:val="00444D3C"/>
    <w:rsid w:val="00444E00"/>
    <w:rsid w:val="00444FE8"/>
    <w:rsid w:val="00445392"/>
    <w:rsid w:val="004454DD"/>
    <w:rsid w:val="00445592"/>
    <w:rsid w:val="00445754"/>
    <w:rsid w:val="004457B9"/>
    <w:rsid w:val="00445A9C"/>
    <w:rsid w:val="00445CCA"/>
    <w:rsid w:val="00445D2C"/>
    <w:rsid w:val="00445DA5"/>
    <w:rsid w:val="00445E12"/>
    <w:rsid w:val="00445F50"/>
    <w:rsid w:val="00445FE2"/>
    <w:rsid w:val="0044612D"/>
    <w:rsid w:val="0044641F"/>
    <w:rsid w:val="00446544"/>
    <w:rsid w:val="0044671E"/>
    <w:rsid w:val="00446871"/>
    <w:rsid w:val="004468EE"/>
    <w:rsid w:val="0044694B"/>
    <w:rsid w:val="0044698B"/>
    <w:rsid w:val="004469EE"/>
    <w:rsid w:val="00446AEB"/>
    <w:rsid w:val="00446D0E"/>
    <w:rsid w:val="00446D2F"/>
    <w:rsid w:val="00446D63"/>
    <w:rsid w:val="00446EFD"/>
    <w:rsid w:val="00446FCA"/>
    <w:rsid w:val="004471A1"/>
    <w:rsid w:val="004472AD"/>
    <w:rsid w:val="0044731C"/>
    <w:rsid w:val="004475DF"/>
    <w:rsid w:val="004475E7"/>
    <w:rsid w:val="00447655"/>
    <w:rsid w:val="00447902"/>
    <w:rsid w:val="00447B0A"/>
    <w:rsid w:val="00447BFF"/>
    <w:rsid w:val="00447D14"/>
    <w:rsid w:val="00447FCF"/>
    <w:rsid w:val="00450153"/>
    <w:rsid w:val="004503EE"/>
    <w:rsid w:val="004504AA"/>
    <w:rsid w:val="004504F6"/>
    <w:rsid w:val="004505BB"/>
    <w:rsid w:val="004507A3"/>
    <w:rsid w:val="00450828"/>
    <w:rsid w:val="004508F9"/>
    <w:rsid w:val="00450C52"/>
    <w:rsid w:val="00450CB4"/>
    <w:rsid w:val="00451004"/>
    <w:rsid w:val="0045105F"/>
    <w:rsid w:val="004510CC"/>
    <w:rsid w:val="004513F2"/>
    <w:rsid w:val="00451538"/>
    <w:rsid w:val="0045156D"/>
    <w:rsid w:val="00451583"/>
    <w:rsid w:val="00451705"/>
    <w:rsid w:val="00451870"/>
    <w:rsid w:val="00451873"/>
    <w:rsid w:val="004518E9"/>
    <w:rsid w:val="00451C1C"/>
    <w:rsid w:val="00451D6F"/>
    <w:rsid w:val="00451E19"/>
    <w:rsid w:val="00451E26"/>
    <w:rsid w:val="00451E71"/>
    <w:rsid w:val="00452060"/>
    <w:rsid w:val="0045210D"/>
    <w:rsid w:val="00452273"/>
    <w:rsid w:val="004522E5"/>
    <w:rsid w:val="0045253A"/>
    <w:rsid w:val="00452647"/>
    <w:rsid w:val="004526D0"/>
    <w:rsid w:val="00452859"/>
    <w:rsid w:val="004528BF"/>
    <w:rsid w:val="0045293D"/>
    <w:rsid w:val="00452949"/>
    <w:rsid w:val="00452A29"/>
    <w:rsid w:val="00452A6D"/>
    <w:rsid w:val="00452BB9"/>
    <w:rsid w:val="00452D23"/>
    <w:rsid w:val="00452E41"/>
    <w:rsid w:val="00452E60"/>
    <w:rsid w:val="00452F50"/>
    <w:rsid w:val="00453015"/>
    <w:rsid w:val="004530FD"/>
    <w:rsid w:val="00453148"/>
    <w:rsid w:val="004532C4"/>
    <w:rsid w:val="0045334E"/>
    <w:rsid w:val="00453687"/>
    <w:rsid w:val="00453731"/>
    <w:rsid w:val="0045386D"/>
    <w:rsid w:val="00453942"/>
    <w:rsid w:val="00453997"/>
    <w:rsid w:val="004539CF"/>
    <w:rsid w:val="00453BED"/>
    <w:rsid w:val="00453C59"/>
    <w:rsid w:val="00453D44"/>
    <w:rsid w:val="00453D56"/>
    <w:rsid w:val="00453EDD"/>
    <w:rsid w:val="0045422F"/>
    <w:rsid w:val="0045432C"/>
    <w:rsid w:val="004543E7"/>
    <w:rsid w:val="0045454A"/>
    <w:rsid w:val="004546A1"/>
    <w:rsid w:val="004546B8"/>
    <w:rsid w:val="00454AFF"/>
    <w:rsid w:val="00454B84"/>
    <w:rsid w:val="00454EE2"/>
    <w:rsid w:val="00455049"/>
    <w:rsid w:val="00455232"/>
    <w:rsid w:val="0045526C"/>
    <w:rsid w:val="00455303"/>
    <w:rsid w:val="004554C9"/>
    <w:rsid w:val="004555D1"/>
    <w:rsid w:val="0045563B"/>
    <w:rsid w:val="00455645"/>
    <w:rsid w:val="004556BB"/>
    <w:rsid w:val="004556CA"/>
    <w:rsid w:val="00455789"/>
    <w:rsid w:val="00455825"/>
    <w:rsid w:val="0045596D"/>
    <w:rsid w:val="004559C0"/>
    <w:rsid w:val="00455A93"/>
    <w:rsid w:val="00455BA0"/>
    <w:rsid w:val="00455D6D"/>
    <w:rsid w:val="00455F03"/>
    <w:rsid w:val="00455F8D"/>
    <w:rsid w:val="004561AC"/>
    <w:rsid w:val="00456220"/>
    <w:rsid w:val="00456493"/>
    <w:rsid w:val="004564BF"/>
    <w:rsid w:val="004564D0"/>
    <w:rsid w:val="0045679B"/>
    <w:rsid w:val="00456879"/>
    <w:rsid w:val="00456A17"/>
    <w:rsid w:val="00456A1A"/>
    <w:rsid w:val="00456A33"/>
    <w:rsid w:val="00456BB7"/>
    <w:rsid w:val="00456D25"/>
    <w:rsid w:val="00456FA1"/>
    <w:rsid w:val="004571C0"/>
    <w:rsid w:val="004571ED"/>
    <w:rsid w:val="00457350"/>
    <w:rsid w:val="004573C4"/>
    <w:rsid w:val="004573EB"/>
    <w:rsid w:val="004574A3"/>
    <w:rsid w:val="00457516"/>
    <w:rsid w:val="0045754A"/>
    <w:rsid w:val="004577DB"/>
    <w:rsid w:val="00457815"/>
    <w:rsid w:val="0045786C"/>
    <w:rsid w:val="004579D3"/>
    <w:rsid w:val="00457A68"/>
    <w:rsid w:val="00457C6C"/>
    <w:rsid w:val="00457CDD"/>
    <w:rsid w:val="00457E72"/>
    <w:rsid w:val="00457EB7"/>
    <w:rsid w:val="00457F45"/>
    <w:rsid w:val="00457F8D"/>
    <w:rsid w:val="00457FAC"/>
    <w:rsid w:val="0046017F"/>
    <w:rsid w:val="0046044F"/>
    <w:rsid w:val="004605DE"/>
    <w:rsid w:val="00460742"/>
    <w:rsid w:val="0046081C"/>
    <w:rsid w:val="00460A65"/>
    <w:rsid w:val="00460ED7"/>
    <w:rsid w:val="00460F3D"/>
    <w:rsid w:val="00460FA3"/>
    <w:rsid w:val="004611B9"/>
    <w:rsid w:val="004611F1"/>
    <w:rsid w:val="00461265"/>
    <w:rsid w:val="00461295"/>
    <w:rsid w:val="004612E3"/>
    <w:rsid w:val="004613C1"/>
    <w:rsid w:val="00461425"/>
    <w:rsid w:val="004615A0"/>
    <w:rsid w:val="004618BC"/>
    <w:rsid w:val="00461907"/>
    <w:rsid w:val="00461963"/>
    <w:rsid w:val="00461A53"/>
    <w:rsid w:val="00461A5E"/>
    <w:rsid w:val="00461CAD"/>
    <w:rsid w:val="004620A6"/>
    <w:rsid w:val="00462385"/>
    <w:rsid w:val="004623C3"/>
    <w:rsid w:val="00462540"/>
    <w:rsid w:val="004625FF"/>
    <w:rsid w:val="00462937"/>
    <w:rsid w:val="004629BA"/>
    <w:rsid w:val="00462AA3"/>
    <w:rsid w:val="00462BD7"/>
    <w:rsid w:val="00462BE0"/>
    <w:rsid w:val="00462CB4"/>
    <w:rsid w:val="00462E31"/>
    <w:rsid w:val="004630B7"/>
    <w:rsid w:val="0046310A"/>
    <w:rsid w:val="004631CD"/>
    <w:rsid w:val="004631DB"/>
    <w:rsid w:val="00463242"/>
    <w:rsid w:val="0046333E"/>
    <w:rsid w:val="00463362"/>
    <w:rsid w:val="004634C4"/>
    <w:rsid w:val="004634DE"/>
    <w:rsid w:val="00463574"/>
    <w:rsid w:val="00463638"/>
    <w:rsid w:val="0046365F"/>
    <w:rsid w:val="0046368A"/>
    <w:rsid w:val="004636BE"/>
    <w:rsid w:val="004636CC"/>
    <w:rsid w:val="004636FF"/>
    <w:rsid w:val="00463775"/>
    <w:rsid w:val="00463886"/>
    <w:rsid w:val="00463918"/>
    <w:rsid w:val="00463BCA"/>
    <w:rsid w:val="00463DEE"/>
    <w:rsid w:val="00463DF3"/>
    <w:rsid w:val="00463E74"/>
    <w:rsid w:val="00464129"/>
    <w:rsid w:val="00464283"/>
    <w:rsid w:val="0046428E"/>
    <w:rsid w:val="004642E2"/>
    <w:rsid w:val="0046431E"/>
    <w:rsid w:val="00464322"/>
    <w:rsid w:val="004643D5"/>
    <w:rsid w:val="004643DA"/>
    <w:rsid w:val="00464448"/>
    <w:rsid w:val="004649F0"/>
    <w:rsid w:val="00464A15"/>
    <w:rsid w:val="00464BB0"/>
    <w:rsid w:val="00464BC4"/>
    <w:rsid w:val="00464E1E"/>
    <w:rsid w:val="00464E94"/>
    <w:rsid w:val="00464EA8"/>
    <w:rsid w:val="00464EAF"/>
    <w:rsid w:val="00464F35"/>
    <w:rsid w:val="00464F7E"/>
    <w:rsid w:val="00464FE8"/>
    <w:rsid w:val="00465032"/>
    <w:rsid w:val="004650EA"/>
    <w:rsid w:val="00465246"/>
    <w:rsid w:val="004653E7"/>
    <w:rsid w:val="0046540A"/>
    <w:rsid w:val="0046546D"/>
    <w:rsid w:val="00465476"/>
    <w:rsid w:val="00465578"/>
    <w:rsid w:val="004655D5"/>
    <w:rsid w:val="00465667"/>
    <w:rsid w:val="00465756"/>
    <w:rsid w:val="00465766"/>
    <w:rsid w:val="004657E7"/>
    <w:rsid w:val="0046587F"/>
    <w:rsid w:val="00465AE7"/>
    <w:rsid w:val="00465B04"/>
    <w:rsid w:val="00465B1D"/>
    <w:rsid w:val="00465C61"/>
    <w:rsid w:val="00465E22"/>
    <w:rsid w:val="00465E8F"/>
    <w:rsid w:val="00465F18"/>
    <w:rsid w:val="00465FD3"/>
    <w:rsid w:val="0046601C"/>
    <w:rsid w:val="004660F7"/>
    <w:rsid w:val="00466102"/>
    <w:rsid w:val="00466121"/>
    <w:rsid w:val="004661A7"/>
    <w:rsid w:val="00466206"/>
    <w:rsid w:val="004663DD"/>
    <w:rsid w:val="004664A5"/>
    <w:rsid w:val="00466649"/>
    <w:rsid w:val="00466698"/>
    <w:rsid w:val="004666B1"/>
    <w:rsid w:val="00466727"/>
    <w:rsid w:val="0046684A"/>
    <w:rsid w:val="00466965"/>
    <w:rsid w:val="00466A54"/>
    <w:rsid w:val="00466CA4"/>
    <w:rsid w:val="00466CE3"/>
    <w:rsid w:val="00466DA7"/>
    <w:rsid w:val="00466DAC"/>
    <w:rsid w:val="00466EEB"/>
    <w:rsid w:val="00466FC5"/>
    <w:rsid w:val="00467111"/>
    <w:rsid w:val="00467194"/>
    <w:rsid w:val="0046726A"/>
    <w:rsid w:val="0046742D"/>
    <w:rsid w:val="00467566"/>
    <w:rsid w:val="00467696"/>
    <w:rsid w:val="004677C7"/>
    <w:rsid w:val="0046786F"/>
    <w:rsid w:val="0046795A"/>
    <w:rsid w:val="00467A32"/>
    <w:rsid w:val="00467AD6"/>
    <w:rsid w:val="00467B15"/>
    <w:rsid w:val="00467B1E"/>
    <w:rsid w:val="00467C68"/>
    <w:rsid w:val="00467CD5"/>
    <w:rsid w:val="0047003A"/>
    <w:rsid w:val="00470050"/>
    <w:rsid w:val="004700F4"/>
    <w:rsid w:val="00470231"/>
    <w:rsid w:val="00470240"/>
    <w:rsid w:val="004703EF"/>
    <w:rsid w:val="00470420"/>
    <w:rsid w:val="00470523"/>
    <w:rsid w:val="004705AF"/>
    <w:rsid w:val="00470699"/>
    <w:rsid w:val="00470738"/>
    <w:rsid w:val="00470798"/>
    <w:rsid w:val="00470A1E"/>
    <w:rsid w:val="00470A37"/>
    <w:rsid w:val="00470B58"/>
    <w:rsid w:val="00470DA6"/>
    <w:rsid w:val="00470E41"/>
    <w:rsid w:val="00470E89"/>
    <w:rsid w:val="00470EA1"/>
    <w:rsid w:val="00470FBA"/>
    <w:rsid w:val="00471014"/>
    <w:rsid w:val="00471064"/>
    <w:rsid w:val="0047120A"/>
    <w:rsid w:val="0047139F"/>
    <w:rsid w:val="004714EB"/>
    <w:rsid w:val="004715EA"/>
    <w:rsid w:val="0047183E"/>
    <w:rsid w:val="004719F1"/>
    <w:rsid w:val="00471A3F"/>
    <w:rsid w:val="00471C5A"/>
    <w:rsid w:val="00471ED9"/>
    <w:rsid w:val="0047206B"/>
    <w:rsid w:val="004722C0"/>
    <w:rsid w:val="00472306"/>
    <w:rsid w:val="00472376"/>
    <w:rsid w:val="00472435"/>
    <w:rsid w:val="004724E5"/>
    <w:rsid w:val="0047250C"/>
    <w:rsid w:val="0047276C"/>
    <w:rsid w:val="00472AE0"/>
    <w:rsid w:val="00472D21"/>
    <w:rsid w:val="00472DD2"/>
    <w:rsid w:val="00472DEB"/>
    <w:rsid w:val="00472E9E"/>
    <w:rsid w:val="00472FAE"/>
    <w:rsid w:val="0047304E"/>
    <w:rsid w:val="00473066"/>
    <w:rsid w:val="0047311A"/>
    <w:rsid w:val="00473121"/>
    <w:rsid w:val="00473193"/>
    <w:rsid w:val="00473220"/>
    <w:rsid w:val="0047342D"/>
    <w:rsid w:val="00473795"/>
    <w:rsid w:val="0047381E"/>
    <w:rsid w:val="00473899"/>
    <w:rsid w:val="004738A1"/>
    <w:rsid w:val="004739CA"/>
    <w:rsid w:val="004739D5"/>
    <w:rsid w:val="00473B23"/>
    <w:rsid w:val="00473B66"/>
    <w:rsid w:val="00473C13"/>
    <w:rsid w:val="00473C31"/>
    <w:rsid w:val="00473C52"/>
    <w:rsid w:val="00473CA1"/>
    <w:rsid w:val="00473D86"/>
    <w:rsid w:val="00473DC7"/>
    <w:rsid w:val="00473E71"/>
    <w:rsid w:val="00473FD0"/>
    <w:rsid w:val="004741BF"/>
    <w:rsid w:val="004745CA"/>
    <w:rsid w:val="0047464D"/>
    <w:rsid w:val="00474AF6"/>
    <w:rsid w:val="00474DBC"/>
    <w:rsid w:val="00474E0B"/>
    <w:rsid w:val="00474EA5"/>
    <w:rsid w:val="00474FC6"/>
    <w:rsid w:val="004751DC"/>
    <w:rsid w:val="004752E7"/>
    <w:rsid w:val="004754ED"/>
    <w:rsid w:val="004759F0"/>
    <w:rsid w:val="00475AA3"/>
    <w:rsid w:val="00475C4C"/>
    <w:rsid w:val="00475E21"/>
    <w:rsid w:val="00475E58"/>
    <w:rsid w:val="0047611F"/>
    <w:rsid w:val="00476191"/>
    <w:rsid w:val="004761DF"/>
    <w:rsid w:val="0047633B"/>
    <w:rsid w:val="0047666A"/>
    <w:rsid w:val="0047676C"/>
    <w:rsid w:val="004767BA"/>
    <w:rsid w:val="00476892"/>
    <w:rsid w:val="00476994"/>
    <w:rsid w:val="004769AF"/>
    <w:rsid w:val="004769E3"/>
    <w:rsid w:val="00476A41"/>
    <w:rsid w:val="00476C57"/>
    <w:rsid w:val="00476DDC"/>
    <w:rsid w:val="00476E38"/>
    <w:rsid w:val="00476E4A"/>
    <w:rsid w:val="00476FAC"/>
    <w:rsid w:val="00477116"/>
    <w:rsid w:val="00477379"/>
    <w:rsid w:val="004773E8"/>
    <w:rsid w:val="004779EB"/>
    <w:rsid w:val="00477AB1"/>
    <w:rsid w:val="00477BAC"/>
    <w:rsid w:val="00477E61"/>
    <w:rsid w:val="0048007A"/>
    <w:rsid w:val="004804B5"/>
    <w:rsid w:val="004808BE"/>
    <w:rsid w:val="004808F8"/>
    <w:rsid w:val="00480C7A"/>
    <w:rsid w:val="00480D13"/>
    <w:rsid w:val="00480D2F"/>
    <w:rsid w:val="00480F3E"/>
    <w:rsid w:val="00481136"/>
    <w:rsid w:val="00481160"/>
    <w:rsid w:val="004811BB"/>
    <w:rsid w:val="00481207"/>
    <w:rsid w:val="0048128D"/>
    <w:rsid w:val="004812D0"/>
    <w:rsid w:val="00481351"/>
    <w:rsid w:val="00481512"/>
    <w:rsid w:val="004815DC"/>
    <w:rsid w:val="004815FB"/>
    <w:rsid w:val="00481BE2"/>
    <w:rsid w:val="00481F4C"/>
    <w:rsid w:val="00482193"/>
    <w:rsid w:val="004822E9"/>
    <w:rsid w:val="004824F7"/>
    <w:rsid w:val="00482607"/>
    <w:rsid w:val="00482760"/>
    <w:rsid w:val="00482785"/>
    <w:rsid w:val="0048280E"/>
    <w:rsid w:val="004828A1"/>
    <w:rsid w:val="00482BE3"/>
    <w:rsid w:val="00482D21"/>
    <w:rsid w:val="00482D67"/>
    <w:rsid w:val="00482E16"/>
    <w:rsid w:val="00482EBD"/>
    <w:rsid w:val="00482EC6"/>
    <w:rsid w:val="00483245"/>
    <w:rsid w:val="00483526"/>
    <w:rsid w:val="00483534"/>
    <w:rsid w:val="004838AE"/>
    <w:rsid w:val="004838B7"/>
    <w:rsid w:val="004838E5"/>
    <w:rsid w:val="00483B22"/>
    <w:rsid w:val="00483B51"/>
    <w:rsid w:val="00483DDA"/>
    <w:rsid w:val="00483ED0"/>
    <w:rsid w:val="00483EDB"/>
    <w:rsid w:val="0048411A"/>
    <w:rsid w:val="004842E2"/>
    <w:rsid w:val="0048431D"/>
    <w:rsid w:val="004843C9"/>
    <w:rsid w:val="0048442A"/>
    <w:rsid w:val="004844DF"/>
    <w:rsid w:val="00484A2D"/>
    <w:rsid w:val="00484B80"/>
    <w:rsid w:val="00484B85"/>
    <w:rsid w:val="00484BC8"/>
    <w:rsid w:val="00484DAA"/>
    <w:rsid w:val="00484E55"/>
    <w:rsid w:val="00484E93"/>
    <w:rsid w:val="0048504B"/>
    <w:rsid w:val="0048515A"/>
    <w:rsid w:val="0048520C"/>
    <w:rsid w:val="00485211"/>
    <w:rsid w:val="00485532"/>
    <w:rsid w:val="00485739"/>
    <w:rsid w:val="0048578A"/>
    <w:rsid w:val="0048582D"/>
    <w:rsid w:val="004858DA"/>
    <w:rsid w:val="00485A9E"/>
    <w:rsid w:val="00485AFB"/>
    <w:rsid w:val="00485C46"/>
    <w:rsid w:val="00485C4D"/>
    <w:rsid w:val="00485C4E"/>
    <w:rsid w:val="00485C5D"/>
    <w:rsid w:val="004860EA"/>
    <w:rsid w:val="00486560"/>
    <w:rsid w:val="00486638"/>
    <w:rsid w:val="0048674A"/>
    <w:rsid w:val="00486987"/>
    <w:rsid w:val="004869BC"/>
    <w:rsid w:val="004869E5"/>
    <w:rsid w:val="00486B97"/>
    <w:rsid w:val="00486EF2"/>
    <w:rsid w:val="00486FA4"/>
    <w:rsid w:val="00487021"/>
    <w:rsid w:val="0048716C"/>
    <w:rsid w:val="00487243"/>
    <w:rsid w:val="00487260"/>
    <w:rsid w:val="00487316"/>
    <w:rsid w:val="00487397"/>
    <w:rsid w:val="0048746B"/>
    <w:rsid w:val="004877FE"/>
    <w:rsid w:val="004878E2"/>
    <w:rsid w:val="00487A36"/>
    <w:rsid w:val="00487E92"/>
    <w:rsid w:val="00487FAA"/>
    <w:rsid w:val="00490241"/>
    <w:rsid w:val="00490277"/>
    <w:rsid w:val="004902C2"/>
    <w:rsid w:val="004902D9"/>
    <w:rsid w:val="004903DF"/>
    <w:rsid w:val="004904FB"/>
    <w:rsid w:val="0049064A"/>
    <w:rsid w:val="00490798"/>
    <w:rsid w:val="0049083B"/>
    <w:rsid w:val="00490A1E"/>
    <w:rsid w:val="00490B6E"/>
    <w:rsid w:val="00490B90"/>
    <w:rsid w:val="00490C12"/>
    <w:rsid w:val="00490DCA"/>
    <w:rsid w:val="00490E6B"/>
    <w:rsid w:val="00491018"/>
    <w:rsid w:val="00491129"/>
    <w:rsid w:val="0049118F"/>
    <w:rsid w:val="004912DC"/>
    <w:rsid w:val="004912F0"/>
    <w:rsid w:val="00491355"/>
    <w:rsid w:val="004915D0"/>
    <w:rsid w:val="00491636"/>
    <w:rsid w:val="004916A2"/>
    <w:rsid w:val="004917A1"/>
    <w:rsid w:val="00491907"/>
    <w:rsid w:val="00491996"/>
    <w:rsid w:val="00491C2E"/>
    <w:rsid w:val="00491CF2"/>
    <w:rsid w:val="00491F6B"/>
    <w:rsid w:val="0049215F"/>
    <w:rsid w:val="004921F1"/>
    <w:rsid w:val="0049239E"/>
    <w:rsid w:val="004923ED"/>
    <w:rsid w:val="00492552"/>
    <w:rsid w:val="00492710"/>
    <w:rsid w:val="00492830"/>
    <w:rsid w:val="0049288B"/>
    <w:rsid w:val="00492896"/>
    <w:rsid w:val="00492E16"/>
    <w:rsid w:val="00492E19"/>
    <w:rsid w:val="0049328C"/>
    <w:rsid w:val="004932CE"/>
    <w:rsid w:val="00493317"/>
    <w:rsid w:val="0049334F"/>
    <w:rsid w:val="004933BF"/>
    <w:rsid w:val="004934DA"/>
    <w:rsid w:val="004937A3"/>
    <w:rsid w:val="00493AB4"/>
    <w:rsid w:val="00493AD9"/>
    <w:rsid w:val="00493C09"/>
    <w:rsid w:val="00493EF3"/>
    <w:rsid w:val="00493FDA"/>
    <w:rsid w:val="004940B7"/>
    <w:rsid w:val="00494175"/>
    <w:rsid w:val="004941ED"/>
    <w:rsid w:val="00494258"/>
    <w:rsid w:val="00494663"/>
    <w:rsid w:val="00494829"/>
    <w:rsid w:val="004948A2"/>
    <w:rsid w:val="004949BF"/>
    <w:rsid w:val="00494A63"/>
    <w:rsid w:val="00494D8C"/>
    <w:rsid w:val="00494FCA"/>
    <w:rsid w:val="00494FEB"/>
    <w:rsid w:val="004951B2"/>
    <w:rsid w:val="00495235"/>
    <w:rsid w:val="00495387"/>
    <w:rsid w:val="00495420"/>
    <w:rsid w:val="00495524"/>
    <w:rsid w:val="0049575B"/>
    <w:rsid w:val="004957CA"/>
    <w:rsid w:val="004957EF"/>
    <w:rsid w:val="00495AE4"/>
    <w:rsid w:val="00495B77"/>
    <w:rsid w:val="00495BCE"/>
    <w:rsid w:val="00495DC1"/>
    <w:rsid w:val="00495F27"/>
    <w:rsid w:val="00495F49"/>
    <w:rsid w:val="004960B7"/>
    <w:rsid w:val="0049610C"/>
    <w:rsid w:val="0049625C"/>
    <w:rsid w:val="004962B0"/>
    <w:rsid w:val="0049633B"/>
    <w:rsid w:val="0049636E"/>
    <w:rsid w:val="00496A01"/>
    <w:rsid w:val="00496A49"/>
    <w:rsid w:val="00496B79"/>
    <w:rsid w:val="00496D95"/>
    <w:rsid w:val="00496DD6"/>
    <w:rsid w:val="00496E42"/>
    <w:rsid w:val="00497102"/>
    <w:rsid w:val="00497151"/>
    <w:rsid w:val="00497236"/>
    <w:rsid w:val="00497422"/>
    <w:rsid w:val="004974C0"/>
    <w:rsid w:val="004975E5"/>
    <w:rsid w:val="0049761C"/>
    <w:rsid w:val="004976C2"/>
    <w:rsid w:val="0049773D"/>
    <w:rsid w:val="0049778A"/>
    <w:rsid w:val="004978C0"/>
    <w:rsid w:val="004978FF"/>
    <w:rsid w:val="00497904"/>
    <w:rsid w:val="0049792F"/>
    <w:rsid w:val="00497A43"/>
    <w:rsid w:val="00497A76"/>
    <w:rsid w:val="00497C7C"/>
    <w:rsid w:val="00497CBC"/>
    <w:rsid w:val="00497CC8"/>
    <w:rsid w:val="00497D88"/>
    <w:rsid w:val="00497E2E"/>
    <w:rsid w:val="00497F1C"/>
    <w:rsid w:val="004A0264"/>
    <w:rsid w:val="004A03B8"/>
    <w:rsid w:val="004A0529"/>
    <w:rsid w:val="004A070D"/>
    <w:rsid w:val="004A073B"/>
    <w:rsid w:val="004A0AD0"/>
    <w:rsid w:val="004A0B3C"/>
    <w:rsid w:val="004A0B92"/>
    <w:rsid w:val="004A0C7B"/>
    <w:rsid w:val="004A0EBB"/>
    <w:rsid w:val="004A13FE"/>
    <w:rsid w:val="004A1459"/>
    <w:rsid w:val="004A14C7"/>
    <w:rsid w:val="004A153F"/>
    <w:rsid w:val="004A15A8"/>
    <w:rsid w:val="004A1610"/>
    <w:rsid w:val="004A166C"/>
    <w:rsid w:val="004A1904"/>
    <w:rsid w:val="004A1AE1"/>
    <w:rsid w:val="004A1D3F"/>
    <w:rsid w:val="004A1DD7"/>
    <w:rsid w:val="004A1EA9"/>
    <w:rsid w:val="004A2095"/>
    <w:rsid w:val="004A2107"/>
    <w:rsid w:val="004A220F"/>
    <w:rsid w:val="004A225E"/>
    <w:rsid w:val="004A2272"/>
    <w:rsid w:val="004A22E4"/>
    <w:rsid w:val="004A2355"/>
    <w:rsid w:val="004A23B0"/>
    <w:rsid w:val="004A253F"/>
    <w:rsid w:val="004A2667"/>
    <w:rsid w:val="004A26FD"/>
    <w:rsid w:val="004A2880"/>
    <w:rsid w:val="004A2A81"/>
    <w:rsid w:val="004A2AD3"/>
    <w:rsid w:val="004A2C5E"/>
    <w:rsid w:val="004A2C9E"/>
    <w:rsid w:val="004A2CC3"/>
    <w:rsid w:val="004A2D20"/>
    <w:rsid w:val="004A3215"/>
    <w:rsid w:val="004A352C"/>
    <w:rsid w:val="004A35AB"/>
    <w:rsid w:val="004A35D4"/>
    <w:rsid w:val="004A3695"/>
    <w:rsid w:val="004A3862"/>
    <w:rsid w:val="004A38AF"/>
    <w:rsid w:val="004A38EE"/>
    <w:rsid w:val="004A3A4D"/>
    <w:rsid w:val="004A3B3C"/>
    <w:rsid w:val="004A3B7E"/>
    <w:rsid w:val="004A3B93"/>
    <w:rsid w:val="004A3C3E"/>
    <w:rsid w:val="004A3CA0"/>
    <w:rsid w:val="004A3D99"/>
    <w:rsid w:val="004A3FE1"/>
    <w:rsid w:val="004A40D2"/>
    <w:rsid w:val="004A4175"/>
    <w:rsid w:val="004A42FC"/>
    <w:rsid w:val="004A4527"/>
    <w:rsid w:val="004A47CB"/>
    <w:rsid w:val="004A4818"/>
    <w:rsid w:val="004A4A38"/>
    <w:rsid w:val="004A4AEC"/>
    <w:rsid w:val="004A4B50"/>
    <w:rsid w:val="004A4C2A"/>
    <w:rsid w:val="004A4C2C"/>
    <w:rsid w:val="004A4D9C"/>
    <w:rsid w:val="004A50A4"/>
    <w:rsid w:val="004A5224"/>
    <w:rsid w:val="004A522F"/>
    <w:rsid w:val="004A5425"/>
    <w:rsid w:val="004A5457"/>
    <w:rsid w:val="004A5648"/>
    <w:rsid w:val="004A5690"/>
    <w:rsid w:val="004A581F"/>
    <w:rsid w:val="004A5833"/>
    <w:rsid w:val="004A59E0"/>
    <w:rsid w:val="004A5C2C"/>
    <w:rsid w:val="004A5C57"/>
    <w:rsid w:val="004A5E1F"/>
    <w:rsid w:val="004A5E73"/>
    <w:rsid w:val="004A5ED0"/>
    <w:rsid w:val="004A60F2"/>
    <w:rsid w:val="004A61DB"/>
    <w:rsid w:val="004A6293"/>
    <w:rsid w:val="004A6402"/>
    <w:rsid w:val="004A6481"/>
    <w:rsid w:val="004A663A"/>
    <w:rsid w:val="004A66E1"/>
    <w:rsid w:val="004A67C3"/>
    <w:rsid w:val="004A693B"/>
    <w:rsid w:val="004A6AA8"/>
    <w:rsid w:val="004A6AB4"/>
    <w:rsid w:val="004A6D2D"/>
    <w:rsid w:val="004A6E13"/>
    <w:rsid w:val="004A6F52"/>
    <w:rsid w:val="004A6FA5"/>
    <w:rsid w:val="004A70CA"/>
    <w:rsid w:val="004A74DB"/>
    <w:rsid w:val="004A7544"/>
    <w:rsid w:val="004A7547"/>
    <w:rsid w:val="004A76F8"/>
    <w:rsid w:val="004A77CF"/>
    <w:rsid w:val="004A7980"/>
    <w:rsid w:val="004A79B0"/>
    <w:rsid w:val="004A79CA"/>
    <w:rsid w:val="004A7B51"/>
    <w:rsid w:val="004A7FC9"/>
    <w:rsid w:val="004AAE7D"/>
    <w:rsid w:val="004B00C7"/>
    <w:rsid w:val="004B023E"/>
    <w:rsid w:val="004B04E4"/>
    <w:rsid w:val="004B04FA"/>
    <w:rsid w:val="004B0504"/>
    <w:rsid w:val="004B05C3"/>
    <w:rsid w:val="004B0741"/>
    <w:rsid w:val="004B080C"/>
    <w:rsid w:val="004B095C"/>
    <w:rsid w:val="004B0C87"/>
    <w:rsid w:val="004B0DCB"/>
    <w:rsid w:val="004B0E2D"/>
    <w:rsid w:val="004B0E66"/>
    <w:rsid w:val="004B0F18"/>
    <w:rsid w:val="004B0F58"/>
    <w:rsid w:val="004B0FCC"/>
    <w:rsid w:val="004B13CE"/>
    <w:rsid w:val="004B1549"/>
    <w:rsid w:val="004B1552"/>
    <w:rsid w:val="004B15F6"/>
    <w:rsid w:val="004B18C4"/>
    <w:rsid w:val="004B1B0E"/>
    <w:rsid w:val="004B1C5B"/>
    <w:rsid w:val="004B1E38"/>
    <w:rsid w:val="004B1FF9"/>
    <w:rsid w:val="004B213E"/>
    <w:rsid w:val="004B219B"/>
    <w:rsid w:val="004B2472"/>
    <w:rsid w:val="004B250A"/>
    <w:rsid w:val="004B271E"/>
    <w:rsid w:val="004B27EE"/>
    <w:rsid w:val="004B28CB"/>
    <w:rsid w:val="004B290F"/>
    <w:rsid w:val="004B296F"/>
    <w:rsid w:val="004B2A52"/>
    <w:rsid w:val="004B2C08"/>
    <w:rsid w:val="004B2C5B"/>
    <w:rsid w:val="004B2D3B"/>
    <w:rsid w:val="004B2E18"/>
    <w:rsid w:val="004B2EA2"/>
    <w:rsid w:val="004B2F79"/>
    <w:rsid w:val="004B30AF"/>
    <w:rsid w:val="004B3178"/>
    <w:rsid w:val="004B3344"/>
    <w:rsid w:val="004B33B6"/>
    <w:rsid w:val="004B33E8"/>
    <w:rsid w:val="004B36AA"/>
    <w:rsid w:val="004B371C"/>
    <w:rsid w:val="004B371F"/>
    <w:rsid w:val="004B3782"/>
    <w:rsid w:val="004B38E4"/>
    <w:rsid w:val="004B3900"/>
    <w:rsid w:val="004B3975"/>
    <w:rsid w:val="004B3B0C"/>
    <w:rsid w:val="004B3B21"/>
    <w:rsid w:val="004B3BAC"/>
    <w:rsid w:val="004B3D85"/>
    <w:rsid w:val="004B3E1A"/>
    <w:rsid w:val="004B42F3"/>
    <w:rsid w:val="004B44FF"/>
    <w:rsid w:val="004B45BA"/>
    <w:rsid w:val="004B46BA"/>
    <w:rsid w:val="004B4ACC"/>
    <w:rsid w:val="004B4D54"/>
    <w:rsid w:val="004B4D67"/>
    <w:rsid w:val="004B4D6E"/>
    <w:rsid w:val="004B4DCB"/>
    <w:rsid w:val="004B4E65"/>
    <w:rsid w:val="004B5172"/>
    <w:rsid w:val="004B523D"/>
    <w:rsid w:val="004B5289"/>
    <w:rsid w:val="004B53FF"/>
    <w:rsid w:val="004B56B7"/>
    <w:rsid w:val="004B5930"/>
    <w:rsid w:val="004B5A54"/>
    <w:rsid w:val="004B5B6B"/>
    <w:rsid w:val="004B5B91"/>
    <w:rsid w:val="004B5C6F"/>
    <w:rsid w:val="004B5CDF"/>
    <w:rsid w:val="004B5FBA"/>
    <w:rsid w:val="004B5FE6"/>
    <w:rsid w:val="004B604B"/>
    <w:rsid w:val="004B6145"/>
    <w:rsid w:val="004B627F"/>
    <w:rsid w:val="004B6324"/>
    <w:rsid w:val="004B65E3"/>
    <w:rsid w:val="004B65FD"/>
    <w:rsid w:val="004B684E"/>
    <w:rsid w:val="004B6942"/>
    <w:rsid w:val="004B6C71"/>
    <w:rsid w:val="004B6D38"/>
    <w:rsid w:val="004B6DC5"/>
    <w:rsid w:val="004B6F6B"/>
    <w:rsid w:val="004B709E"/>
    <w:rsid w:val="004B720A"/>
    <w:rsid w:val="004B7439"/>
    <w:rsid w:val="004B74BF"/>
    <w:rsid w:val="004B7578"/>
    <w:rsid w:val="004B7789"/>
    <w:rsid w:val="004B7C9E"/>
    <w:rsid w:val="004B7DC3"/>
    <w:rsid w:val="004B7EA4"/>
    <w:rsid w:val="004C003D"/>
    <w:rsid w:val="004C02D4"/>
    <w:rsid w:val="004C0421"/>
    <w:rsid w:val="004C0513"/>
    <w:rsid w:val="004C06E4"/>
    <w:rsid w:val="004C0727"/>
    <w:rsid w:val="004C07B2"/>
    <w:rsid w:val="004C085F"/>
    <w:rsid w:val="004C0889"/>
    <w:rsid w:val="004C093E"/>
    <w:rsid w:val="004C0B44"/>
    <w:rsid w:val="004C0B69"/>
    <w:rsid w:val="004C0BBC"/>
    <w:rsid w:val="004C0F3A"/>
    <w:rsid w:val="004C1116"/>
    <w:rsid w:val="004C1148"/>
    <w:rsid w:val="004C12C1"/>
    <w:rsid w:val="004C1598"/>
    <w:rsid w:val="004C15F0"/>
    <w:rsid w:val="004C1616"/>
    <w:rsid w:val="004C171E"/>
    <w:rsid w:val="004C1725"/>
    <w:rsid w:val="004C1822"/>
    <w:rsid w:val="004C1A77"/>
    <w:rsid w:val="004C1C79"/>
    <w:rsid w:val="004C1C87"/>
    <w:rsid w:val="004C1CAD"/>
    <w:rsid w:val="004C1E1A"/>
    <w:rsid w:val="004C1E71"/>
    <w:rsid w:val="004C1EFF"/>
    <w:rsid w:val="004C2037"/>
    <w:rsid w:val="004C20C7"/>
    <w:rsid w:val="004C243C"/>
    <w:rsid w:val="004C248B"/>
    <w:rsid w:val="004C257C"/>
    <w:rsid w:val="004C25E6"/>
    <w:rsid w:val="004C273D"/>
    <w:rsid w:val="004C287F"/>
    <w:rsid w:val="004C28FB"/>
    <w:rsid w:val="004C28FF"/>
    <w:rsid w:val="004C2A7D"/>
    <w:rsid w:val="004C2ADB"/>
    <w:rsid w:val="004C2B53"/>
    <w:rsid w:val="004C2D6E"/>
    <w:rsid w:val="004C2EA7"/>
    <w:rsid w:val="004C306F"/>
    <w:rsid w:val="004C328B"/>
    <w:rsid w:val="004C33D0"/>
    <w:rsid w:val="004C34B4"/>
    <w:rsid w:val="004C352B"/>
    <w:rsid w:val="004C3579"/>
    <w:rsid w:val="004C36EE"/>
    <w:rsid w:val="004C37FF"/>
    <w:rsid w:val="004C38D6"/>
    <w:rsid w:val="004C3CC9"/>
    <w:rsid w:val="004C3CEA"/>
    <w:rsid w:val="004C3D7B"/>
    <w:rsid w:val="004C3E37"/>
    <w:rsid w:val="004C4057"/>
    <w:rsid w:val="004C4264"/>
    <w:rsid w:val="004C4456"/>
    <w:rsid w:val="004C4598"/>
    <w:rsid w:val="004C4BD1"/>
    <w:rsid w:val="004C4C05"/>
    <w:rsid w:val="004C4C2E"/>
    <w:rsid w:val="004C4D06"/>
    <w:rsid w:val="004C4ED2"/>
    <w:rsid w:val="004C514E"/>
    <w:rsid w:val="004C53A6"/>
    <w:rsid w:val="004C5461"/>
    <w:rsid w:val="004C54AA"/>
    <w:rsid w:val="004C5590"/>
    <w:rsid w:val="004C55CB"/>
    <w:rsid w:val="004C571B"/>
    <w:rsid w:val="004C57DD"/>
    <w:rsid w:val="004C58A9"/>
    <w:rsid w:val="004C597B"/>
    <w:rsid w:val="004C5D8C"/>
    <w:rsid w:val="004C5E4E"/>
    <w:rsid w:val="004C5F54"/>
    <w:rsid w:val="004C6156"/>
    <w:rsid w:val="004C61F9"/>
    <w:rsid w:val="004C62EA"/>
    <w:rsid w:val="004C62F0"/>
    <w:rsid w:val="004C6536"/>
    <w:rsid w:val="004C65EE"/>
    <w:rsid w:val="004C67DF"/>
    <w:rsid w:val="004C6BF0"/>
    <w:rsid w:val="004C6EE2"/>
    <w:rsid w:val="004C70F8"/>
    <w:rsid w:val="004C7221"/>
    <w:rsid w:val="004C728B"/>
    <w:rsid w:val="004C72C2"/>
    <w:rsid w:val="004C74CB"/>
    <w:rsid w:val="004C75C2"/>
    <w:rsid w:val="004C77AF"/>
    <w:rsid w:val="004C787F"/>
    <w:rsid w:val="004C7918"/>
    <w:rsid w:val="004C7AE4"/>
    <w:rsid w:val="004C7C2F"/>
    <w:rsid w:val="004C7DBA"/>
    <w:rsid w:val="004C7DBD"/>
    <w:rsid w:val="004C7DEC"/>
    <w:rsid w:val="004D00A3"/>
    <w:rsid w:val="004D04AB"/>
    <w:rsid w:val="004D0507"/>
    <w:rsid w:val="004D0547"/>
    <w:rsid w:val="004D0592"/>
    <w:rsid w:val="004D0639"/>
    <w:rsid w:val="004D0649"/>
    <w:rsid w:val="004D0859"/>
    <w:rsid w:val="004D0880"/>
    <w:rsid w:val="004D09AC"/>
    <w:rsid w:val="004D0A13"/>
    <w:rsid w:val="004D0A49"/>
    <w:rsid w:val="004D0C28"/>
    <w:rsid w:val="004D0C5F"/>
    <w:rsid w:val="004D0E17"/>
    <w:rsid w:val="004D0EE2"/>
    <w:rsid w:val="004D0F71"/>
    <w:rsid w:val="004D1030"/>
    <w:rsid w:val="004D1204"/>
    <w:rsid w:val="004D1233"/>
    <w:rsid w:val="004D124C"/>
    <w:rsid w:val="004D12B3"/>
    <w:rsid w:val="004D1314"/>
    <w:rsid w:val="004D151F"/>
    <w:rsid w:val="004D160E"/>
    <w:rsid w:val="004D1625"/>
    <w:rsid w:val="004D1633"/>
    <w:rsid w:val="004D169F"/>
    <w:rsid w:val="004D16D0"/>
    <w:rsid w:val="004D16E8"/>
    <w:rsid w:val="004D191B"/>
    <w:rsid w:val="004D19B5"/>
    <w:rsid w:val="004D1BB1"/>
    <w:rsid w:val="004D1C25"/>
    <w:rsid w:val="004D1C59"/>
    <w:rsid w:val="004D1C8A"/>
    <w:rsid w:val="004D1CC3"/>
    <w:rsid w:val="004D1D2B"/>
    <w:rsid w:val="004D1D40"/>
    <w:rsid w:val="004D1D90"/>
    <w:rsid w:val="004D1E35"/>
    <w:rsid w:val="004D1ED7"/>
    <w:rsid w:val="004D1EE5"/>
    <w:rsid w:val="004D1F39"/>
    <w:rsid w:val="004D1F7E"/>
    <w:rsid w:val="004D219E"/>
    <w:rsid w:val="004D223A"/>
    <w:rsid w:val="004D2285"/>
    <w:rsid w:val="004D242E"/>
    <w:rsid w:val="004D25C6"/>
    <w:rsid w:val="004D266F"/>
    <w:rsid w:val="004D2673"/>
    <w:rsid w:val="004D26EC"/>
    <w:rsid w:val="004D272D"/>
    <w:rsid w:val="004D272E"/>
    <w:rsid w:val="004D29E4"/>
    <w:rsid w:val="004D2A1F"/>
    <w:rsid w:val="004D2B41"/>
    <w:rsid w:val="004D2E87"/>
    <w:rsid w:val="004D30DF"/>
    <w:rsid w:val="004D3153"/>
    <w:rsid w:val="004D3535"/>
    <w:rsid w:val="004D374F"/>
    <w:rsid w:val="004D377C"/>
    <w:rsid w:val="004D379C"/>
    <w:rsid w:val="004D38E9"/>
    <w:rsid w:val="004D3B1C"/>
    <w:rsid w:val="004D3C0E"/>
    <w:rsid w:val="004D3C8A"/>
    <w:rsid w:val="004D3CE8"/>
    <w:rsid w:val="004D3D8B"/>
    <w:rsid w:val="004D3E0A"/>
    <w:rsid w:val="004D3E8A"/>
    <w:rsid w:val="004D3F15"/>
    <w:rsid w:val="004D3F8F"/>
    <w:rsid w:val="004D407E"/>
    <w:rsid w:val="004D4095"/>
    <w:rsid w:val="004D4138"/>
    <w:rsid w:val="004D41DF"/>
    <w:rsid w:val="004D42E0"/>
    <w:rsid w:val="004D4374"/>
    <w:rsid w:val="004D43C4"/>
    <w:rsid w:val="004D46EF"/>
    <w:rsid w:val="004D485C"/>
    <w:rsid w:val="004D4944"/>
    <w:rsid w:val="004D4981"/>
    <w:rsid w:val="004D499F"/>
    <w:rsid w:val="004D4B9C"/>
    <w:rsid w:val="004D4D2C"/>
    <w:rsid w:val="004D4ED5"/>
    <w:rsid w:val="004D4F35"/>
    <w:rsid w:val="004D4F58"/>
    <w:rsid w:val="004D4FA4"/>
    <w:rsid w:val="004D523B"/>
    <w:rsid w:val="004D53C9"/>
    <w:rsid w:val="004D53EA"/>
    <w:rsid w:val="004D5494"/>
    <w:rsid w:val="004D55C1"/>
    <w:rsid w:val="004D562F"/>
    <w:rsid w:val="004D56A0"/>
    <w:rsid w:val="004D597D"/>
    <w:rsid w:val="004D5A24"/>
    <w:rsid w:val="004D5AD3"/>
    <w:rsid w:val="004D5C84"/>
    <w:rsid w:val="004D5D4A"/>
    <w:rsid w:val="004D5D89"/>
    <w:rsid w:val="004D5E7E"/>
    <w:rsid w:val="004D5FC3"/>
    <w:rsid w:val="004D6673"/>
    <w:rsid w:val="004D675A"/>
    <w:rsid w:val="004D67DE"/>
    <w:rsid w:val="004D6859"/>
    <w:rsid w:val="004D68CC"/>
    <w:rsid w:val="004D6941"/>
    <w:rsid w:val="004D6E7B"/>
    <w:rsid w:val="004D6FFC"/>
    <w:rsid w:val="004D70D3"/>
    <w:rsid w:val="004D70E4"/>
    <w:rsid w:val="004D7151"/>
    <w:rsid w:val="004D7278"/>
    <w:rsid w:val="004D749D"/>
    <w:rsid w:val="004D758B"/>
    <w:rsid w:val="004D767B"/>
    <w:rsid w:val="004D7BAC"/>
    <w:rsid w:val="004D7D6A"/>
    <w:rsid w:val="004E00B4"/>
    <w:rsid w:val="004E01EE"/>
    <w:rsid w:val="004E03F2"/>
    <w:rsid w:val="004E0929"/>
    <w:rsid w:val="004E09FF"/>
    <w:rsid w:val="004E0D84"/>
    <w:rsid w:val="004E0D92"/>
    <w:rsid w:val="004E0E9E"/>
    <w:rsid w:val="004E1168"/>
    <w:rsid w:val="004E123A"/>
    <w:rsid w:val="004E1404"/>
    <w:rsid w:val="004E14F7"/>
    <w:rsid w:val="004E1533"/>
    <w:rsid w:val="004E15E4"/>
    <w:rsid w:val="004E16D4"/>
    <w:rsid w:val="004E178F"/>
    <w:rsid w:val="004E1823"/>
    <w:rsid w:val="004E183E"/>
    <w:rsid w:val="004E18C1"/>
    <w:rsid w:val="004E191E"/>
    <w:rsid w:val="004E1A65"/>
    <w:rsid w:val="004E1ADD"/>
    <w:rsid w:val="004E1B09"/>
    <w:rsid w:val="004E1E17"/>
    <w:rsid w:val="004E1E5E"/>
    <w:rsid w:val="004E1EA6"/>
    <w:rsid w:val="004E1EDA"/>
    <w:rsid w:val="004E1FDD"/>
    <w:rsid w:val="004E24EA"/>
    <w:rsid w:val="004E2923"/>
    <w:rsid w:val="004E29FC"/>
    <w:rsid w:val="004E2A67"/>
    <w:rsid w:val="004E2A90"/>
    <w:rsid w:val="004E2B08"/>
    <w:rsid w:val="004E2B7B"/>
    <w:rsid w:val="004E2C19"/>
    <w:rsid w:val="004E2E3D"/>
    <w:rsid w:val="004E2E41"/>
    <w:rsid w:val="004E2EC1"/>
    <w:rsid w:val="004E3066"/>
    <w:rsid w:val="004E311C"/>
    <w:rsid w:val="004E3183"/>
    <w:rsid w:val="004E3199"/>
    <w:rsid w:val="004E323D"/>
    <w:rsid w:val="004E344C"/>
    <w:rsid w:val="004E347A"/>
    <w:rsid w:val="004E34AF"/>
    <w:rsid w:val="004E352F"/>
    <w:rsid w:val="004E35A2"/>
    <w:rsid w:val="004E3611"/>
    <w:rsid w:val="004E364C"/>
    <w:rsid w:val="004E3663"/>
    <w:rsid w:val="004E36E1"/>
    <w:rsid w:val="004E3994"/>
    <w:rsid w:val="004E3A28"/>
    <w:rsid w:val="004E3A9C"/>
    <w:rsid w:val="004E3B8E"/>
    <w:rsid w:val="004E3DA8"/>
    <w:rsid w:val="004E3E3A"/>
    <w:rsid w:val="004E3FA9"/>
    <w:rsid w:val="004E4040"/>
    <w:rsid w:val="004E4197"/>
    <w:rsid w:val="004E43A0"/>
    <w:rsid w:val="004E4432"/>
    <w:rsid w:val="004E4440"/>
    <w:rsid w:val="004E45B7"/>
    <w:rsid w:val="004E467C"/>
    <w:rsid w:val="004E4795"/>
    <w:rsid w:val="004E48E7"/>
    <w:rsid w:val="004E49C6"/>
    <w:rsid w:val="004E49F1"/>
    <w:rsid w:val="004E51AA"/>
    <w:rsid w:val="004E5246"/>
    <w:rsid w:val="004E526E"/>
    <w:rsid w:val="004E5325"/>
    <w:rsid w:val="004E536A"/>
    <w:rsid w:val="004E5430"/>
    <w:rsid w:val="004E5473"/>
    <w:rsid w:val="004E54DE"/>
    <w:rsid w:val="004E55BE"/>
    <w:rsid w:val="004E5616"/>
    <w:rsid w:val="004E5619"/>
    <w:rsid w:val="004E5DB5"/>
    <w:rsid w:val="004E5E2E"/>
    <w:rsid w:val="004E6379"/>
    <w:rsid w:val="004E6434"/>
    <w:rsid w:val="004E67F2"/>
    <w:rsid w:val="004E683B"/>
    <w:rsid w:val="004E6BAA"/>
    <w:rsid w:val="004E6BFB"/>
    <w:rsid w:val="004E6DA6"/>
    <w:rsid w:val="004E7163"/>
    <w:rsid w:val="004E718E"/>
    <w:rsid w:val="004E76B7"/>
    <w:rsid w:val="004E7841"/>
    <w:rsid w:val="004E7A92"/>
    <w:rsid w:val="004E7B53"/>
    <w:rsid w:val="004E7E00"/>
    <w:rsid w:val="004F0000"/>
    <w:rsid w:val="004F00B5"/>
    <w:rsid w:val="004F0102"/>
    <w:rsid w:val="004F0170"/>
    <w:rsid w:val="004F019E"/>
    <w:rsid w:val="004F03AF"/>
    <w:rsid w:val="004F05EB"/>
    <w:rsid w:val="004F06CE"/>
    <w:rsid w:val="004F0715"/>
    <w:rsid w:val="004F0902"/>
    <w:rsid w:val="004F0C98"/>
    <w:rsid w:val="004F0D05"/>
    <w:rsid w:val="004F0DB3"/>
    <w:rsid w:val="004F0EC2"/>
    <w:rsid w:val="004F0F3D"/>
    <w:rsid w:val="004F1050"/>
    <w:rsid w:val="004F12F2"/>
    <w:rsid w:val="004F13AF"/>
    <w:rsid w:val="004F14CC"/>
    <w:rsid w:val="004F152D"/>
    <w:rsid w:val="004F16FD"/>
    <w:rsid w:val="004F17AF"/>
    <w:rsid w:val="004F1852"/>
    <w:rsid w:val="004F18E2"/>
    <w:rsid w:val="004F1A6D"/>
    <w:rsid w:val="004F1D05"/>
    <w:rsid w:val="004F1DEE"/>
    <w:rsid w:val="004F1E82"/>
    <w:rsid w:val="004F2013"/>
    <w:rsid w:val="004F201F"/>
    <w:rsid w:val="004F2076"/>
    <w:rsid w:val="004F22CB"/>
    <w:rsid w:val="004F230B"/>
    <w:rsid w:val="004F2474"/>
    <w:rsid w:val="004F24B3"/>
    <w:rsid w:val="004F2574"/>
    <w:rsid w:val="004F25FE"/>
    <w:rsid w:val="004F29EF"/>
    <w:rsid w:val="004F2A4A"/>
    <w:rsid w:val="004F2B69"/>
    <w:rsid w:val="004F2BC9"/>
    <w:rsid w:val="004F2D5E"/>
    <w:rsid w:val="004F2E79"/>
    <w:rsid w:val="004F2F5A"/>
    <w:rsid w:val="004F2FC9"/>
    <w:rsid w:val="004F3248"/>
    <w:rsid w:val="004F3447"/>
    <w:rsid w:val="004F3689"/>
    <w:rsid w:val="004F378B"/>
    <w:rsid w:val="004F378D"/>
    <w:rsid w:val="004F3882"/>
    <w:rsid w:val="004F3A27"/>
    <w:rsid w:val="004F3CBF"/>
    <w:rsid w:val="004F3D0C"/>
    <w:rsid w:val="004F3E70"/>
    <w:rsid w:val="004F3E92"/>
    <w:rsid w:val="004F3EFA"/>
    <w:rsid w:val="004F4008"/>
    <w:rsid w:val="004F40DA"/>
    <w:rsid w:val="004F4206"/>
    <w:rsid w:val="004F4267"/>
    <w:rsid w:val="004F4296"/>
    <w:rsid w:val="004F42A8"/>
    <w:rsid w:val="004F43D4"/>
    <w:rsid w:val="004F454A"/>
    <w:rsid w:val="004F47F1"/>
    <w:rsid w:val="004F4856"/>
    <w:rsid w:val="004F49EA"/>
    <w:rsid w:val="004F4A22"/>
    <w:rsid w:val="004F4ABC"/>
    <w:rsid w:val="004F4B76"/>
    <w:rsid w:val="004F4C45"/>
    <w:rsid w:val="004F4CFB"/>
    <w:rsid w:val="004F4E99"/>
    <w:rsid w:val="004F4F14"/>
    <w:rsid w:val="004F4FE6"/>
    <w:rsid w:val="004F5022"/>
    <w:rsid w:val="004F50C4"/>
    <w:rsid w:val="004F5305"/>
    <w:rsid w:val="004F53EF"/>
    <w:rsid w:val="004F546F"/>
    <w:rsid w:val="004F555F"/>
    <w:rsid w:val="004F5610"/>
    <w:rsid w:val="004F57AF"/>
    <w:rsid w:val="004F5A00"/>
    <w:rsid w:val="004F5A56"/>
    <w:rsid w:val="004F5A58"/>
    <w:rsid w:val="004F5B04"/>
    <w:rsid w:val="004F5B2E"/>
    <w:rsid w:val="004F5C42"/>
    <w:rsid w:val="004F5E00"/>
    <w:rsid w:val="004F5EF1"/>
    <w:rsid w:val="004F5F43"/>
    <w:rsid w:val="004F5F56"/>
    <w:rsid w:val="004F5F5F"/>
    <w:rsid w:val="004F6491"/>
    <w:rsid w:val="004F6500"/>
    <w:rsid w:val="004F65C6"/>
    <w:rsid w:val="004F66E3"/>
    <w:rsid w:val="004F6736"/>
    <w:rsid w:val="004F6788"/>
    <w:rsid w:val="004F68F4"/>
    <w:rsid w:val="004F69D1"/>
    <w:rsid w:val="004F6A16"/>
    <w:rsid w:val="004F6A7E"/>
    <w:rsid w:val="004F6EB1"/>
    <w:rsid w:val="004F6F11"/>
    <w:rsid w:val="004F709B"/>
    <w:rsid w:val="004F7264"/>
    <w:rsid w:val="004F7455"/>
    <w:rsid w:val="004F7674"/>
    <w:rsid w:val="004F7A0F"/>
    <w:rsid w:val="004F7AB3"/>
    <w:rsid w:val="004F7B05"/>
    <w:rsid w:val="004F7B1B"/>
    <w:rsid w:val="00500007"/>
    <w:rsid w:val="005000CE"/>
    <w:rsid w:val="00500195"/>
    <w:rsid w:val="00500278"/>
    <w:rsid w:val="0050032D"/>
    <w:rsid w:val="0050043F"/>
    <w:rsid w:val="0050054A"/>
    <w:rsid w:val="00500623"/>
    <w:rsid w:val="00500656"/>
    <w:rsid w:val="005007A9"/>
    <w:rsid w:val="00500830"/>
    <w:rsid w:val="005008C1"/>
    <w:rsid w:val="0050090A"/>
    <w:rsid w:val="00500A1E"/>
    <w:rsid w:val="00500C63"/>
    <w:rsid w:val="00500C7B"/>
    <w:rsid w:val="00500CBB"/>
    <w:rsid w:val="00500DCB"/>
    <w:rsid w:val="00500FDD"/>
    <w:rsid w:val="00500FEE"/>
    <w:rsid w:val="0050103C"/>
    <w:rsid w:val="005011DC"/>
    <w:rsid w:val="00501364"/>
    <w:rsid w:val="00501451"/>
    <w:rsid w:val="00501523"/>
    <w:rsid w:val="005015D1"/>
    <w:rsid w:val="005016A0"/>
    <w:rsid w:val="005017A1"/>
    <w:rsid w:val="0050182F"/>
    <w:rsid w:val="00501833"/>
    <w:rsid w:val="00501912"/>
    <w:rsid w:val="00501930"/>
    <w:rsid w:val="005019B3"/>
    <w:rsid w:val="005019EA"/>
    <w:rsid w:val="005019F3"/>
    <w:rsid w:val="00501A0E"/>
    <w:rsid w:val="00501D24"/>
    <w:rsid w:val="00501E06"/>
    <w:rsid w:val="00501E98"/>
    <w:rsid w:val="00501EC6"/>
    <w:rsid w:val="0050223D"/>
    <w:rsid w:val="0050237F"/>
    <w:rsid w:val="005023B7"/>
    <w:rsid w:val="00502604"/>
    <w:rsid w:val="00502768"/>
    <w:rsid w:val="00502830"/>
    <w:rsid w:val="00502870"/>
    <w:rsid w:val="005028E1"/>
    <w:rsid w:val="005028EB"/>
    <w:rsid w:val="005028F5"/>
    <w:rsid w:val="005029E0"/>
    <w:rsid w:val="00502ABB"/>
    <w:rsid w:val="00502ACB"/>
    <w:rsid w:val="00502F78"/>
    <w:rsid w:val="00502F8E"/>
    <w:rsid w:val="00502F91"/>
    <w:rsid w:val="0050301D"/>
    <w:rsid w:val="0050321B"/>
    <w:rsid w:val="00503513"/>
    <w:rsid w:val="0050358E"/>
    <w:rsid w:val="005037C7"/>
    <w:rsid w:val="00503938"/>
    <w:rsid w:val="00503945"/>
    <w:rsid w:val="00503A19"/>
    <w:rsid w:val="00503A7D"/>
    <w:rsid w:val="00503B40"/>
    <w:rsid w:val="00503B4A"/>
    <w:rsid w:val="00503D48"/>
    <w:rsid w:val="00503DC1"/>
    <w:rsid w:val="00503F1B"/>
    <w:rsid w:val="005041F7"/>
    <w:rsid w:val="005042E9"/>
    <w:rsid w:val="0050442C"/>
    <w:rsid w:val="0050465A"/>
    <w:rsid w:val="0050473F"/>
    <w:rsid w:val="00504A1E"/>
    <w:rsid w:val="00504CF8"/>
    <w:rsid w:val="00504DA3"/>
    <w:rsid w:val="00504FFE"/>
    <w:rsid w:val="00505120"/>
    <w:rsid w:val="00505219"/>
    <w:rsid w:val="00505276"/>
    <w:rsid w:val="0050540E"/>
    <w:rsid w:val="00505436"/>
    <w:rsid w:val="0050555F"/>
    <w:rsid w:val="005059A8"/>
    <w:rsid w:val="00505A49"/>
    <w:rsid w:val="00505ABC"/>
    <w:rsid w:val="00505ACF"/>
    <w:rsid w:val="00505BAD"/>
    <w:rsid w:val="00505BCA"/>
    <w:rsid w:val="00505C32"/>
    <w:rsid w:val="00505CC2"/>
    <w:rsid w:val="00505CE2"/>
    <w:rsid w:val="00505E81"/>
    <w:rsid w:val="005060C5"/>
    <w:rsid w:val="00506379"/>
    <w:rsid w:val="00506419"/>
    <w:rsid w:val="0050647E"/>
    <w:rsid w:val="00506659"/>
    <w:rsid w:val="0050668E"/>
    <w:rsid w:val="00506876"/>
    <w:rsid w:val="005068BB"/>
    <w:rsid w:val="005069F8"/>
    <w:rsid w:val="00506AD6"/>
    <w:rsid w:val="00506B58"/>
    <w:rsid w:val="00506B74"/>
    <w:rsid w:val="00506C26"/>
    <w:rsid w:val="00506CA1"/>
    <w:rsid w:val="00506DE7"/>
    <w:rsid w:val="00506F1C"/>
    <w:rsid w:val="00506F39"/>
    <w:rsid w:val="00506F6A"/>
    <w:rsid w:val="00507079"/>
    <w:rsid w:val="005070F6"/>
    <w:rsid w:val="005070FB"/>
    <w:rsid w:val="00507354"/>
    <w:rsid w:val="005075A9"/>
    <w:rsid w:val="00507653"/>
    <w:rsid w:val="00507697"/>
    <w:rsid w:val="005076FC"/>
    <w:rsid w:val="00507731"/>
    <w:rsid w:val="00507895"/>
    <w:rsid w:val="005079C6"/>
    <w:rsid w:val="00507A94"/>
    <w:rsid w:val="00507BCE"/>
    <w:rsid w:val="00507E0F"/>
    <w:rsid w:val="00507FF0"/>
    <w:rsid w:val="0051001C"/>
    <w:rsid w:val="0051040F"/>
    <w:rsid w:val="0051067A"/>
    <w:rsid w:val="005108A7"/>
    <w:rsid w:val="00510CED"/>
    <w:rsid w:val="00510D34"/>
    <w:rsid w:val="00510DD9"/>
    <w:rsid w:val="00510FCC"/>
    <w:rsid w:val="00511272"/>
    <w:rsid w:val="005112C1"/>
    <w:rsid w:val="0051132C"/>
    <w:rsid w:val="005116CF"/>
    <w:rsid w:val="00511804"/>
    <w:rsid w:val="005118C6"/>
    <w:rsid w:val="00511A88"/>
    <w:rsid w:val="00511B1C"/>
    <w:rsid w:val="00511C47"/>
    <w:rsid w:val="00511CB1"/>
    <w:rsid w:val="00511D0C"/>
    <w:rsid w:val="00511F63"/>
    <w:rsid w:val="00512350"/>
    <w:rsid w:val="00512632"/>
    <w:rsid w:val="00512735"/>
    <w:rsid w:val="0051297F"/>
    <w:rsid w:val="005129E7"/>
    <w:rsid w:val="00512A3A"/>
    <w:rsid w:val="00512BA7"/>
    <w:rsid w:val="00512CE7"/>
    <w:rsid w:val="00512E69"/>
    <w:rsid w:val="00512F8C"/>
    <w:rsid w:val="00512F91"/>
    <w:rsid w:val="005131C2"/>
    <w:rsid w:val="00513277"/>
    <w:rsid w:val="0051337B"/>
    <w:rsid w:val="00513507"/>
    <w:rsid w:val="00513549"/>
    <w:rsid w:val="0051366B"/>
    <w:rsid w:val="005136AA"/>
    <w:rsid w:val="005138B9"/>
    <w:rsid w:val="005138EC"/>
    <w:rsid w:val="00513A2D"/>
    <w:rsid w:val="00513B29"/>
    <w:rsid w:val="00513BAB"/>
    <w:rsid w:val="00513C13"/>
    <w:rsid w:val="00513C73"/>
    <w:rsid w:val="00513C95"/>
    <w:rsid w:val="00513CF4"/>
    <w:rsid w:val="00513DE2"/>
    <w:rsid w:val="00513E1C"/>
    <w:rsid w:val="00513E57"/>
    <w:rsid w:val="00513F11"/>
    <w:rsid w:val="00513F1D"/>
    <w:rsid w:val="00514043"/>
    <w:rsid w:val="00514191"/>
    <w:rsid w:val="005141B7"/>
    <w:rsid w:val="00514222"/>
    <w:rsid w:val="00514239"/>
    <w:rsid w:val="005142CB"/>
    <w:rsid w:val="005142CD"/>
    <w:rsid w:val="00514324"/>
    <w:rsid w:val="00514345"/>
    <w:rsid w:val="005143BB"/>
    <w:rsid w:val="005143E6"/>
    <w:rsid w:val="005145A6"/>
    <w:rsid w:val="00514663"/>
    <w:rsid w:val="005149B8"/>
    <w:rsid w:val="00514AC6"/>
    <w:rsid w:val="00514C42"/>
    <w:rsid w:val="00514E05"/>
    <w:rsid w:val="00514E47"/>
    <w:rsid w:val="00514E4D"/>
    <w:rsid w:val="00514FF5"/>
    <w:rsid w:val="00515197"/>
    <w:rsid w:val="00515310"/>
    <w:rsid w:val="00515478"/>
    <w:rsid w:val="00515540"/>
    <w:rsid w:val="00515585"/>
    <w:rsid w:val="005156EF"/>
    <w:rsid w:val="00515705"/>
    <w:rsid w:val="0051594C"/>
    <w:rsid w:val="00515ABB"/>
    <w:rsid w:val="00515B20"/>
    <w:rsid w:val="00515C25"/>
    <w:rsid w:val="00515CFC"/>
    <w:rsid w:val="00515D52"/>
    <w:rsid w:val="00516118"/>
    <w:rsid w:val="00516321"/>
    <w:rsid w:val="00516355"/>
    <w:rsid w:val="00516379"/>
    <w:rsid w:val="005166FC"/>
    <w:rsid w:val="00516A14"/>
    <w:rsid w:val="00516AA9"/>
    <w:rsid w:val="00516AE4"/>
    <w:rsid w:val="00516CD1"/>
    <w:rsid w:val="00516D1D"/>
    <w:rsid w:val="00516FEC"/>
    <w:rsid w:val="005170F5"/>
    <w:rsid w:val="00517189"/>
    <w:rsid w:val="00517311"/>
    <w:rsid w:val="00517760"/>
    <w:rsid w:val="0051785E"/>
    <w:rsid w:val="00517C0C"/>
    <w:rsid w:val="00517C39"/>
    <w:rsid w:val="00517D8C"/>
    <w:rsid w:val="00517EAD"/>
    <w:rsid w:val="00517EE7"/>
    <w:rsid w:val="00520054"/>
    <w:rsid w:val="005200A7"/>
    <w:rsid w:val="0052074C"/>
    <w:rsid w:val="00520892"/>
    <w:rsid w:val="005209A0"/>
    <w:rsid w:val="005209D8"/>
    <w:rsid w:val="00520B5E"/>
    <w:rsid w:val="00520C36"/>
    <w:rsid w:val="00520D33"/>
    <w:rsid w:val="00520E64"/>
    <w:rsid w:val="00520F1E"/>
    <w:rsid w:val="00520FFD"/>
    <w:rsid w:val="00521026"/>
    <w:rsid w:val="005210F8"/>
    <w:rsid w:val="00521467"/>
    <w:rsid w:val="005214F7"/>
    <w:rsid w:val="00521518"/>
    <w:rsid w:val="005217F8"/>
    <w:rsid w:val="00521B57"/>
    <w:rsid w:val="00521D18"/>
    <w:rsid w:val="00521E7E"/>
    <w:rsid w:val="00521F23"/>
    <w:rsid w:val="00521FB3"/>
    <w:rsid w:val="00521FBB"/>
    <w:rsid w:val="0052219D"/>
    <w:rsid w:val="0052225F"/>
    <w:rsid w:val="00522269"/>
    <w:rsid w:val="005222EA"/>
    <w:rsid w:val="005223DD"/>
    <w:rsid w:val="005225BE"/>
    <w:rsid w:val="00522607"/>
    <w:rsid w:val="00522653"/>
    <w:rsid w:val="00522699"/>
    <w:rsid w:val="005227BD"/>
    <w:rsid w:val="00522805"/>
    <w:rsid w:val="0052287B"/>
    <w:rsid w:val="00522926"/>
    <w:rsid w:val="00522A19"/>
    <w:rsid w:val="00522AE3"/>
    <w:rsid w:val="00522D3D"/>
    <w:rsid w:val="00522E11"/>
    <w:rsid w:val="00522F23"/>
    <w:rsid w:val="00522FA7"/>
    <w:rsid w:val="00523161"/>
    <w:rsid w:val="0052318F"/>
    <w:rsid w:val="0052328E"/>
    <w:rsid w:val="00523392"/>
    <w:rsid w:val="005233D8"/>
    <w:rsid w:val="00523462"/>
    <w:rsid w:val="005234B8"/>
    <w:rsid w:val="005234E5"/>
    <w:rsid w:val="00523522"/>
    <w:rsid w:val="0052378A"/>
    <w:rsid w:val="00523831"/>
    <w:rsid w:val="005239AB"/>
    <w:rsid w:val="00523C8C"/>
    <w:rsid w:val="00523CCE"/>
    <w:rsid w:val="00523EC3"/>
    <w:rsid w:val="00523F14"/>
    <w:rsid w:val="0052401F"/>
    <w:rsid w:val="005240D7"/>
    <w:rsid w:val="00524472"/>
    <w:rsid w:val="00524569"/>
    <w:rsid w:val="00524727"/>
    <w:rsid w:val="00524784"/>
    <w:rsid w:val="00524A37"/>
    <w:rsid w:val="00524AD6"/>
    <w:rsid w:val="00524BAC"/>
    <w:rsid w:val="00524CF4"/>
    <w:rsid w:val="00524DF5"/>
    <w:rsid w:val="00524E4E"/>
    <w:rsid w:val="00524E80"/>
    <w:rsid w:val="00524EB9"/>
    <w:rsid w:val="00524F2B"/>
    <w:rsid w:val="00524F39"/>
    <w:rsid w:val="005250BA"/>
    <w:rsid w:val="005250D2"/>
    <w:rsid w:val="0052521A"/>
    <w:rsid w:val="005253A4"/>
    <w:rsid w:val="00525459"/>
    <w:rsid w:val="005254B4"/>
    <w:rsid w:val="0052553E"/>
    <w:rsid w:val="005255FC"/>
    <w:rsid w:val="005257A8"/>
    <w:rsid w:val="00525831"/>
    <w:rsid w:val="0052592D"/>
    <w:rsid w:val="0052598A"/>
    <w:rsid w:val="00525BB2"/>
    <w:rsid w:val="00525F6C"/>
    <w:rsid w:val="005262D8"/>
    <w:rsid w:val="0052638C"/>
    <w:rsid w:val="00526495"/>
    <w:rsid w:val="0052649F"/>
    <w:rsid w:val="0052660E"/>
    <w:rsid w:val="005268AA"/>
    <w:rsid w:val="00526A37"/>
    <w:rsid w:val="00526FB5"/>
    <w:rsid w:val="0052702F"/>
    <w:rsid w:val="0052708D"/>
    <w:rsid w:val="00527273"/>
    <w:rsid w:val="005272AE"/>
    <w:rsid w:val="005272ED"/>
    <w:rsid w:val="005272F6"/>
    <w:rsid w:val="005274B0"/>
    <w:rsid w:val="0052753A"/>
    <w:rsid w:val="0052756F"/>
    <w:rsid w:val="005275FC"/>
    <w:rsid w:val="005276C0"/>
    <w:rsid w:val="005276C3"/>
    <w:rsid w:val="005276E0"/>
    <w:rsid w:val="00527737"/>
    <w:rsid w:val="00527966"/>
    <w:rsid w:val="00527B3B"/>
    <w:rsid w:val="00527B4E"/>
    <w:rsid w:val="00527C02"/>
    <w:rsid w:val="00530042"/>
    <w:rsid w:val="0053024F"/>
    <w:rsid w:val="005302A7"/>
    <w:rsid w:val="0053033F"/>
    <w:rsid w:val="005306E1"/>
    <w:rsid w:val="005307C3"/>
    <w:rsid w:val="00530927"/>
    <w:rsid w:val="00530A48"/>
    <w:rsid w:val="00530A7F"/>
    <w:rsid w:val="00530AB4"/>
    <w:rsid w:val="00530C16"/>
    <w:rsid w:val="00530C5B"/>
    <w:rsid w:val="00530D3D"/>
    <w:rsid w:val="00530D87"/>
    <w:rsid w:val="00530E21"/>
    <w:rsid w:val="00530F18"/>
    <w:rsid w:val="005310E7"/>
    <w:rsid w:val="005311FD"/>
    <w:rsid w:val="005312F6"/>
    <w:rsid w:val="005314DF"/>
    <w:rsid w:val="00531549"/>
    <w:rsid w:val="005315F6"/>
    <w:rsid w:val="00531842"/>
    <w:rsid w:val="00531952"/>
    <w:rsid w:val="00531A77"/>
    <w:rsid w:val="00531B1A"/>
    <w:rsid w:val="00531EAF"/>
    <w:rsid w:val="0053201B"/>
    <w:rsid w:val="00532043"/>
    <w:rsid w:val="0053218D"/>
    <w:rsid w:val="005322F5"/>
    <w:rsid w:val="00532396"/>
    <w:rsid w:val="0053253A"/>
    <w:rsid w:val="00532782"/>
    <w:rsid w:val="005327B8"/>
    <w:rsid w:val="005327DB"/>
    <w:rsid w:val="0053281E"/>
    <w:rsid w:val="00532863"/>
    <w:rsid w:val="00532947"/>
    <w:rsid w:val="0053296D"/>
    <w:rsid w:val="00532B95"/>
    <w:rsid w:val="00532BBD"/>
    <w:rsid w:val="00532BD5"/>
    <w:rsid w:val="00532BE9"/>
    <w:rsid w:val="00532C5E"/>
    <w:rsid w:val="00532CB1"/>
    <w:rsid w:val="00532D09"/>
    <w:rsid w:val="00532D61"/>
    <w:rsid w:val="00532E7C"/>
    <w:rsid w:val="00532EA3"/>
    <w:rsid w:val="00532F4E"/>
    <w:rsid w:val="00532F83"/>
    <w:rsid w:val="00533022"/>
    <w:rsid w:val="0053302E"/>
    <w:rsid w:val="00533061"/>
    <w:rsid w:val="00533180"/>
    <w:rsid w:val="0053331E"/>
    <w:rsid w:val="0053359A"/>
    <w:rsid w:val="005335A3"/>
    <w:rsid w:val="005336FC"/>
    <w:rsid w:val="00533957"/>
    <w:rsid w:val="00533966"/>
    <w:rsid w:val="00533AFB"/>
    <w:rsid w:val="00533B26"/>
    <w:rsid w:val="00533E14"/>
    <w:rsid w:val="00533EF0"/>
    <w:rsid w:val="005341CB"/>
    <w:rsid w:val="005342A6"/>
    <w:rsid w:val="0053435E"/>
    <w:rsid w:val="00534471"/>
    <w:rsid w:val="0053465C"/>
    <w:rsid w:val="00534707"/>
    <w:rsid w:val="00534738"/>
    <w:rsid w:val="0053478B"/>
    <w:rsid w:val="00534859"/>
    <w:rsid w:val="0053488C"/>
    <w:rsid w:val="005348EF"/>
    <w:rsid w:val="005349B9"/>
    <w:rsid w:val="005349C8"/>
    <w:rsid w:val="00534A44"/>
    <w:rsid w:val="00534B01"/>
    <w:rsid w:val="00534B0A"/>
    <w:rsid w:val="00534EEA"/>
    <w:rsid w:val="0053506D"/>
    <w:rsid w:val="005350BF"/>
    <w:rsid w:val="005352A6"/>
    <w:rsid w:val="0053537D"/>
    <w:rsid w:val="005354E7"/>
    <w:rsid w:val="00535563"/>
    <w:rsid w:val="0053558F"/>
    <w:rsid w:val="005359DA"/>
    <w:rsid w:val="00535A1B"/>
    <w:rsid w:val="00535D2B"/>
    <w:rsid w:val="00535DA9"/>
    <w:rsid w:val="00535EFD"/>
    <w:rsid w:val="00535F26"/>
    <w:rsid w:val="00536027"/>
    <w:rsid w:val="0053607D"/>
    <w:rsid w:val="00536095"/>
    <w:rsid w:val="00536099"/>
    <w:rsid w:val="005361ED"/>
    <w:rsid w:val="005361FC"/>
    <w:rsid w:val="005363AB"/>
    <w:rsid w:val="00536477"/>
    <w:rsid w:val="0053690D"/>
    <w:rsid w:val="00536A23"/>
    <w:rsid w:val="00536AF9"/>
    <w:rsid w:val="00536B08"/>
    <w:rsid w:val="00536C00"/>
    <w:rsid w:val="00536CA3"/>
    <w:rsid w:val="00536DA4"/>
    <w:rsid w:val="00536F7C"/>
    <w:rsid w:val="0053718B"/>
    <w:rsid w:val="00537211"/>
    <w:rsid w:val="00537370"/>
    <w:rsid w:val="00537479"/>
    <w:rsid w:val="0053748F"/>
    <w:rsid w:val="0053790C"/>
    <w:rsid w:val="005379A3"/>
    <w:rsid w:val="00537B62"/>
    <w:rsid w:val="00537C29"/>
    <w:rsid w:val="00537F4C"/>
    <w:rsid w:val="0054007B"/>
    <w:rsid w:val="0054021A"/>
    <w:rsid w:val="00540349"/>
    <w:rsid w:val="0054038C"/>
    <w:rsid w:val="005403F5"/>
    <w:rsid w:val="005404D4"/>
    <w:rsid w:val="00540521"/>
    <w:rsid w:val="00540602"/>
    <w:rsid w:val="005406D8"/>
    <w:rsid w:val="005406DF"/>
    <w:rsid w:val="00540730"/>
    <w:rsid w:val="00540786"/>
    <w:rsid w:val="0054078B"/>
    <w:rsid w:val="0054092E"/>
    <w:rsid w:val="00540972"/>
    <w:rsid w:val="005409FC"/>
    <w:rsid w:val="00540A3B"/>
    <w:rsid w:val="00540D3A"/>
    <w:rsid w:val="00540DB7"/>
    <w:rsid w:val="0054116C"/>
    <w:rsid w:val="00541221"/>
    <w:rsid w:val="005412D0"/>
    <w:rsid w:val="0054138B"/>
    <w:rsid w:val="00541737"/>
    <w:rsid w:val="00541914"/>
    <w:rsid w:val="00541B09"/>
    <w:rsid w:val="00541C15"/>
    <w:rsid w:val="00541CCA"/>
    <w:rsid w:val="00541D87"/>
    <w:rsid w:val="00541D8C"/>
    <w:rsid w:val="00541F8F"/>
    <w:rsid w:val="00542094"/>
    <w:rsid w:val="00542128"/>
    <w:rsid w:val="005423D1"/>
    <w:rsid w:val="005425F6"/>
    <w:rsid w:val="00542660"/>
    <w:rsid w:val="0054271F"/>
    <w:rsid w:val="0054289F"/>
    <w:rsid w:val="005428ED"/>
    <w:rsid w:val="00542964"/>
    <w:rsid w:val="00542C16"/>
    <w:rsid w:val="00542CA2"/>
    <w:rsid w:val="00542D7E"/>
    <w:rsid w:val="00542F0F"/>
    <w:rsid w:val="00542F46"/>
    <w:rsid w:val="00542F8C"/>
    <w:rsid w:val="005430A8"/>
    <w:rsid w:val="005430B1"/>
    <w:rsid w:val="0054316B"/>
    <w:rsid w:val="0054318D"/>
    <w:rsid w:val="0054328F"/>
    <w:rsid w:val="00543319"/>
    <w:rsid w:val="00543325"/>
    <w:rsid w:val="0054349D"/>
    <w:rsid w:val="00543576"/>
    <w:rsid w:val="0054358F"/>
    <w:rsid w:val="00543611"/>
    <w:rsid w:val="00543712"/>
    <w:rsid w:val="00543907"/>
    <w:rsid w:val="0054395E"/>
    <w:rsid w:val="00543D52"/>
    <w:rsid w:val="00543D84"/>
    <w:rsid w:val="00543E62"/>
    <w:rsid w:val="00543EC6"/>
    <w:rsid w:val="00543F10"/>
    <w:rsid w:val="00543FC5"/>
    <w:rsid w:val="005440B4"/>
    <w:rsid w:val="005441C6"/>
    <w:rsid w:val="00544484"/>
    <w:rsid w:val="0054451F"/>
    <w:rsid w:val="005445A6"/>
    <w:rsid w:val="0054463D"/>
    <w:rsid w:val="00544847"/>
    <w:rsid w:val="00544850"/>
    <w:rsid w:val="00544909"/>
    <w:rsid w:val="005449E3"/>
    <w:rsid w:val="00544A63"/>
    <w:rsid w:val="00544D2C"/>
    <w:rsid w:val="00544DB1"/>
    <w:rsid w:val="005450DB"/>
    <w:rsid w:val="005452B3"/>
    <w:rsid w:val="005452E5"/>
    <w:rsid w:val="00545375"/>
    <w:rsid w:val="00545470"/>
    <w:rsid w:val="00545486"/>
    <w:rsid w:val="00545731"/>
    <w:rsid w:val="0054575B"/>
    <w:rsid w:val="00545A32"/>
    <w:rsid w:val="00545B38"/>
    <w:rsid w:val="00545B67"/>
    <w:rsid w:val="00545BB5"/>
    <w:rsid w:val="00545BF6"/>
    <w:rsid w:val="00545C12"/>
    <w:rsid w:val="00545CA8"/>
    <w:rsid w:val="00545DF3"/>
    <w:rsid w:val="00546010"/>
    <w:rsid w:val="005460B5"/>
    <w:rsid w:val="005462B9"/>
    <w:rsid w:val="0054637D"/>
    <w:rsid w:val="005466E6"/>
    <w:rsid w:val="005466F6"/>
    <w:rsid w:val="00546954"/>
    <w:rsid w:val="00546968"/>
    <w:rsid w:val="00546A14"/>
    <w:rsid w:val="00546A80"/>
    <w:rsid w:val="00546B2E"/>
    <w:rsid w:val="00546C47"/>
    <w:rsid w:val="00546C5E"/>
    <w:rsid w:val="00546C66"/>
    <w:rsid w:val="00546DC3"/>
    <w:rsid w:val="00546F77"/>
    <w:rsid w:val="00546FBA"/>
    <w:rsid w:val="00546FE2"/>
    <w:rsid w:val="005470AB"/>
    <w:rsid w:val="00547188"/>
    <w:rsid w:val="005471BA"/>
    <w:rsid w:val="0054757F"/>
    <w:rsid w:val="00547631"/>
    <w:rsid w:val="0054765C"/>
    <w:rsid w:val="00547678"/>
    <w:rsid w:val="00547841"/>
    <w:rsid w:val="0054792D"/>
    <w:rsid w:val="0054795F"/>
    <w:rsid w:val="00547B14"/>
    <w:rsid w:val="00550050"/>
    <w:rsid w:val="0055027F"/>
    <w:rsid w:val="005502D3"/>
    <w:rsid w:val="005504A3"/>
    <w:rsid w:val="005505C6"/>
    <w:rsid w:val="005505CE"/>
    <w:rsid w:val="00550659"/>
    <w:rsid w:val="00550663"/>
    <w:rsid w:val="0055068D"/>
    <w:rsid w:val="005506D3"/>
    <w:rsid w:val="0055073F"/>
    <w:rsid w:val="00550850"/>
    <w:rsid w:val="0055088F"/>
    <w:rsid w:val="00550A24"/>
    <w:rsid w:val="00550B9D"/>
    <w:rsid w:val="00550C2D"/>
    <w:rsid w:val="00550C49"/>
    <w:rsid w:val="00550F75"/>
    <w:rsid w:val="005510BE"/>
    <w:rsid w:val="00551486"/>
    <w:rsid w:val="0055199C"/>
    <w:rsid w:val="00551A5C"/>
    <w:rsid w:val="00551BCB"/>
    <w:rsid w:val="00551BD5"/>
    <w:rsid w:val="00551D4E"/>
    <w:rsid w:val="00551E9C"/>
    <w:rsid w:val="00551FDA"/>
    <w:rsid w:val="00552062"/>
    <w:rsid w:val="0055218D"/>
    <w:rsid w:val="005522F2"/>
    <w:rsid w:val="00552325"/>
    <w:rsid w:val="0055237D"/>
    <w:rsid w:val="0055238B"/>
    <w:rsid w:val="0055252B"/>
    <w:rsid w:val="00552598"/>
    <w:rsid w:val="005526C9"/>
    <w:rsid w:val="00552908"/>
    <w:rsid w:val="00552CEA"/>
    <w:rsid w:val="00552D57"/>
    <w:rsid w:val="00552EC4"/>
    <w:rsid w:val="00552F2B"/>
    <w:rsid w:val="00552F65"/>
    <w:rsid w:val="0055303A"/>
    <w:rsid w:val="00553057"/>
    <w:rsid w:val="005533C6"/>
    <w:rsid w:val="005533D4"/>
    <w:rsid w:val="005535F4"/>
    <w:rsid w:val="00553692"/>
    <w:rsid w:val="005536B1"/>
    <w:rsid w:val="0055370D"/>
    <w:rsid w:val="005537EB"/>
    <w:rsid w:val="00553857"/>
    <w:rsid w:val="0055390F"/>
    <w:rsid w:val="005539D4"/>
    <w:rsid w:val="00553B41"/>
    <w:rsid w:val="00553CF3"/>
    <w:rsid w:val="00553D60"/>
    <w:rsid w:val="00553E75"/>
    <w:rsid w:val="00553E92"/>
    <w:rsid w:val="00553F80"/>
    <w:rsid w:val="0055401C"/>
    <w:rsid w:val="00554134"/>
    <w:rsid w:val="005541BD"/>
    <w:rsid w:val="00554241"/>
    <w:rsid w:val="00554314"/>
    <w:rsid w:val="005543B0"/>
    <w:rsid w:val="00554483"/>
    <w:rsid w:val="00554652"/>
    <w:rsid w:val="00554685"/>
    <w:rsid w:val="005546B6"/>
    <w:rsid w:val="005546D7"/>
    <w:rsid w:val="0055471F"/>
    <w:rsid w:val="00554725"/>
    <w:rsid w:val="0055478D"/>
    <w:rsid w:val="00554968"/>
    <w:rsid w:val="00554A3C"/>
    <w:rsid w:val="00554CAE"/>
    <w:rsid w:val="00554CE4"/>
    <w:rsid w:val="00554E75"/>
    <w:rsid w:val="00554EEC"/>
    <w:rsid w:val="00554F4D"/>
    <w:rsid w:val="00554F78"/>
    <w:rsid w:val="00554F96"/>
    <w:rsid w:val="0055522B"/>
    <w:rsid w:val="0055524F"/>
    <w:rsid w:val="00555470"/>
    <w:rsid w:val="0055548A"/>
    <w:rsid w:val="00555530"/>
    <w:rsid w:val="005555F2"/>
    <w:rsid w:val="00555679"/>
    <w:rsid w:val="00555712"/>
    <w:rsid w:val="00555765"/>
    <w:rsid w:val="00555A9E"/>
    <w:rsid w:val="00555B21"/>
    <w:rsid w:val="00555C11"/>
    <w:rsid w:val="00555C59"/>
    <w:rsid w:val="00555F9C"/>
    <w:rsid w:val="00555FF8"/>
    <w:rsid w:val="00556025"/>
    <w:rsid w:val="005560A7"/>
    <w:rsid w:val="0055634C"/>
    <w:rsid w:val="005563CC"/>
    <w:rsid w:val="005563F6"/>
    <w:rsid w:val="00556437"/>
    <w:rsid w:val="005565A8"/>
    <w:rsid w:val="00556652"/>
    <w:rsid w:val="0055668F"/>
    <w:rsid w:val="0055692A"/>
    <w:rsid w:val="0055699A"/>
    <w:rsid w:val="00556C98"/>
    <w:rsid w:val="00556DF7"/>
    <w:rsid w:val="00556F03"/>
    <w:rsid w:val="00556F16"/>
    <w:rsid w:val="00556F55"/>
    <w:rsid w:val="00557064"/>
    <w:rsid w:val="00557084"/>
    <w:rsid w:val="005570F6"/>
    <w:rsid w:val="00557182"/>
    <w:rsid w:val="005572EC"/>
    <w:rsid w:val="00557339"/>
    <w:rsid w:val="00557501"/>
    <w:rsid w:val="00557530"/>
    <w:rsid w:val="0055758A"/>
    <w:rsid w:val="005575B0"/>
    <w:rsid w:val="00557687"/>
    <w:rsid w:val="0055775A"/>
    <w:rsid w:val="00557794"/>
    <w:rsid w:val="005578BC"/>
    <w:rsid w:val="0055797C"/>
    <w:rsid w:val="00557A7B"/>
    <w:rsid w:val="00557B28"/>
    <w:rsid w:val="00557BD2"/>
    <w:rsid w:val="00557C75"/>
    <w:rsid w:val="00557CCA"/>
    <w:rsid w:val="00557D1D"/>
    <w:rsid w:val="0056009C"/>
    <w:rsid w:val="0056015C"/>
    <w:rsid w:val="00560226"/>
    <w:rsid w:val="00560369"/>
    <w:rsid w:val="0056041F"/>
    <w:rsid w:val="00560467"/>
    <w:rsid w:val="00560677"/>
    <w:rsid w:val="00560747"/>
    <w:rsid w:val="00560770"/>
    <w:rsid w:val="00560829"/>
    <w:rsid w:val="00560AEB"/>
    <w:rsid w:val="00560C1F"/>
    <w:rsid w:val="00560C4E"/>
    <w:rsid w:val="00560DB2"/>
    <w:rsid w:val="00560E03"/>
    <w:rsid w:val="00560F9A"/>
    <w:rsid w:val="00560FB8"/>
    <w:rsid w:val="005610BA"/>
    <w:rsid w:val="00561178"/>
    <w:rsid w:val="0056122E"/>
    <w:rsid w:val="00561570"/>
    <w:rsid w:val="005615B3"/>
    <w:rsid w:val="0056166F"/>
    <w:rsid w:val="0056184E"/>
    <w:rsid w:val="005618E8"/>
    <w:rsid w:val="005619F9"/>
    <w:rsid w:val="00561A8C"/>
    <w:rsid w:val="00561B69"/>
    <w:rsid w:val="00561CA6"/>
    <w:rsid w:val="00561CC5"/>
    <w:rsid w:val="00561D76"/>
    <w:rsid w:val="00561EAD"/>
    <w:rsid w:val="00561F0E"/>
    <w:rsid w:val="00561F67"/>
    <w:rsid w:val="00562195"/>
    <w:rsid w:val="0056229F"/>
    <w:rsid w:val="005623F1"/>
    <w:rsid w:val="00562437"/>
    <w:rsid w:val="005624C6"/>
    <w:rsid w:val="00562818"/>
    <w:rsid w:val="0056289F"/>
    <w:rsid w:val="00562939"/>
    <w:rsid w:val="00562994"/>
    <w:rsid w:val="00562B54"/>
    <w:rsid w:val="00562B60"/>
    <w:rsid w:val="00562CD2"/>
    <w:rsid w:val="00562D8F"/>
    <w:rsid w:val="00562EFB"/>
    <w:rsid w:val="00562F9F"/>
    <w:rsid w:val="00562FB0"/>
    <w:rsid w:val="0056339B"/>
    <w:rsid w:val="00563499"/>
    <w:rsid w:val="005635FB"/>
    <w:rsid w:val="00563708"/>
    <w:rsid w:val="00563946"/>
    <w:rsid w:val="00563ACC"/>
    <w:rsid w:val="00563AE2"/>
    <w:rsid w:val="00563BE5"/>
    <w:rsid w:val="00563E4E"/>
    <w:rsid w:val="00563FCE"/>
    <w:rsid w:val="00564025"/>
    <w:rsid w:val="00564119"/>
    <w:rsid w:val="00564131"/>
    <w:rsid w:val="005641A0"/>
    <w:rsid w:val="005641DF"/>
    <w:rsid w:val="005641F2"/>
    <w:rsid w:val="0056425A"/>
    <w:rsid w:val="0056443B"/>
    <w:rsid w:val="0056447A"/>
    <w:rsid w:val="00564665"/>
    <w:rsid w:val="0056484A"/>
    <w:rsid w:val="005648A2"/>
    <w:rsid w:val="00564B6D"/>
    <w:rsid w:val="00564CF1"/>
    <w:rsid w:val="00564E99"/>
    <w:rsid w:val="00564FCA"/>
    <w:rsid w:val="00565090"/>
    <w:rsid w:val="0056516B"/>
    <w:rsid w:val="0056517E"/>
    <w:rsid w:val="005653E8"/>
    <w:rsid w:val="00565588"/>
    <w:rsid w:val="005655F5"/>
    <w:rsid w:val="0056569D"/>
    <w:rsid w:val="0056575F"/>
    <w:rsid w:val="0056616E"/>
    <w:rsid w:val="00566552"/>
    <w:rsid w:val="00566608"/>
    <w:rsid w:val="00566906"/>
    <w:rsid w:val="00566AFC"/>
    <w:rsid w:val="00566B0D"/>
    <w:rsid w:val="00566B20"/>
    <w:rsid w:val="00566C60"/>
    <w:rsid w:val="00566E68"/>
    <w:rsid w:val="00567014"/>
    <w:rsid w:val="0056714C"/>
    <w:rsid w:val="0056736C"/>
    <w:rsid w:val="00567895"/>
    <w:rsid w:val="00567B96"/>
    <w:rsid w:val="00567E06"/>
    <w:rsid w:val="00567E2D"/>
    <w:rsid w:val="00567E50"/>
    <w:rsid w:val="00567F34"/>
    <w:rsid w:val="0057005C"/>
    <w:rsid w:val="0057011C"/>
    <w:rsid w:val="0057022A"/>
    <w:rsid w:val="005702DC"/>
    <w:rsid w:val="0057030C"/>
    <w:rsid w:val="00570379"/>
    <w:rsid w:val="00570610"/>
    <w:rsid w:val="005709F8"/>
    <w:rsid w:val="00570BE5"/>
    <w:rsid w:val="00570C7C"/>
    <w:rsid w:val="005710B1"/>
    <w:rsid w:val="00571171"/>
    <w:rsid w:val="00571174"/>
    <w:rsid w:val="005711B1"/>
    <w:rsid w:val="00571255"/>
    <w:rsid w:val="00571541"/>
    <w:rsid w:val="005715F6"/>
    <w:rsid w:val="005717B8"/>
    <w:rsid w:val="0057182C"/>
    <w:rsid w:val="00571B90"/>
    <w:rsid w:val="00571DF4"/>
    <w:rsid w:val="00571EA4"/>
    <w:rsid w:val="00571FB0"/>
    <w:rsid w:val="00571FD0"/>
    <w:rsid w:val="0057229A"/>
    <w:rsid w:val="00572448"/>
    <w:rsid w:val="00572603"/>
    <w:rsid w:val="00572608"/>
    <w:rsid w:val="005727F0"/>
    <w:rsid w:val="0057283C"/>
    <w:rsid w:val="00572844"/>
    <w:rsid w:val="00572AD6"/>
    <w:rsid w:val="00572B06"/>
    <w:rsid w:val="00572B11"/>
    <w:rsid w:val="00572B48"/>
    <w:rsid w:val="00572CF8"/>
    <w:rsid w:val="00572EDB"/>
    <w:rsid w:val="00573004"/>
    <w:rsid w:val="00573105"/>
    <w:rsid w:val="00573198"/>
    <w:rsid w:val="005731CD"/>
    <w:rsid w:val="00573317"/>
    <w:rsid w:val="00573428"/>
    <w:rsid w:val="00573570"/>
    <w:rsid w:val="005735F4"/>
    <w:rsid w:val="0057362F"/>
    <w:rsid w:val="00573664"/>
    <w:rsid w:val="00573724"/>
    <w:rsid w:val="00573846"/>
    <w:rsid w:val="00573A1D"/>
    <w:rsid w:val="00573A80"/>
    <w:rsid w:val="00573AAA"/>
    <w:rsid w:val="00573CAA"/>
    <w:rsid w:val="00573E6D"/>
    <w:rsid w:val="00574081"/>
    <w:rsid w:val="00574189"/>
    <w:rsid w:val="0057425A"/>
    <w:rsid w:val="005743C9"/>
    <w:rsid w:val="005746FA"/>
    <w:rsid w:val="00574784"/>
    <w:rsid w:val="00574839"/>
    <w:rsid w:val="00575150"/>
    <w:rsid w:val="0057521D"/>
    <w:rsid w:val="005752E0"/>
    <w:rsid w:val="0057532B"/>
    <w:rsid w:val="005753D8"/>
    <w:rsid w:val="0057556B"/>
    <w:rsid w:val="005755A6"/>
    <w:rsid w:val="0057564C"/>
    <w:rsid w:val="0057567E"/>
    <w:rsid w:val="00575695"/>
    <w:rsid w:val="0057574A"/>
    <w:rsid w:val="0057582A"/>
    <w:rsid w:val="005759C2"/>
    <w:rsid w:val="00575CEC"/>
    <w:rsid w:val="00575D9F"/>
    <w:rsid w:val="00575F52"/>
    <w:rsid w:val="0057617B"/>
    <w:rsid w:val="00576287"/>
    <w:rsid w:val="00576479"/>
    <w:rsid w:val="00576495"/>
    <w:rsid w:val="005766A7"/>
    <w:rsid w:val="00576A82"/>
    <w:rsid w:val="00576C5A"/>
    <w:rsid w:val="00576CC3"/>
    <w:rsid w:val="00576E69"/>
    <w:rsid w:val="00576F5A"/>
    <w:rsid w:val="00576FCA"/>
    <w:rsid w:val="00577030"/>
    <w:rsid w:val="005771CF"/>
    <w:rsid w:val="005772E4"/>
    <w:rsid w:val="00577381"/>
    <w:rsid w:val="00577507"/>
    <w:rsid w:val="00577709"/>
    <w:rsid w:val="005777F8"/>
    <w:rsid w:val="005779F8"/>
    <w:rsid w:val="00577B7D"/>
    <w:rsid w:val="00577B88"/>
    <w:rsid w:val="00577CFB"/>
    <w:rsid w:val="00577DB8"/>
    <w:rsid w:val="00577F33"/>
    <w:rsid w:val="00577FFA"/>
    <w:rsid w:val="00580023"/>
    <w:rsid w:val="005800F6"/>
    <w:rsid w:val="00580126"/>
    <w:rsid w:val="005801A7"/>
    <w:rsid w:val="0058039D"/>
    <w:rsid w:val="00580506"/>
    <w:rsid w:val="005805DE"/>
    <w:rsid w:val="005807B5"/>
    <w:rsid w:val="0058092C"/>
    <w:rsid w:val="00580B6D"/>
    <w:rsid w:val="00580B9D"/>
    <w:rsid w:val="00580C3E"/>
    <w:rsid w:val="00580D2F"/>
    <w:rsid w:val="00580DAF"/>
    <w:rsid w:val="00580FD4"/>
    <w:rsid w:val="00581129"/>
    <w:rsid w:val="005812BA"/>
    <w:rsid w:val="00581375"/>
    <w:rsid w:val="00581448"/>
    <w:rsid w:val="00581525"/>
    <w:rsid w:val="0058161D"/>
    <w:rsid w:val="005817DA"/>
    <w:rsid w:val="0058183E"/>
    <w:rsid w:val="005818FF"/>
    <w:rsid w:val="00581A81"/>
    <w:rsid w:val="00581D3F"/>
    <w:rsid w:val="00581D43"/>
    <w:rsid w:val="00581DAE"/>
    <w:rsid w:val="00581EEA"/>
    <w:rsid w:val="00581F5B"/>
    <w:rsid w:val="00582323"/>
    <w:rsid w:val="0058240C"/>
    <w:rsid w:val="005825D9"/>
    <w:rsid w:val="005828F4"/>
    <w:rsid w:val="00582935"/>
    <w:rsid w:val="00582A27"/>
    <w:rsid w:val="00582B01"/>
    <w:rsid w:val="00582D1B"/>
    <w:rsid w:val="0058335C"/>
    <w:rsid w:val="005833B0"/>
    <w:rsid w:val="0058356A"/>
    <w:rsid w:val="00583597"/>
    <w:rsid w:val="00583808"/>
    <w:rsid w:val="00583A98"/>
    <w:rsid w:val="00583BD7"/>
    <w:rsid w:val="00583C81"/>
    <w:rsid w:val="00583D16"/>
    <w:rsid w:val="00583DB2"/>
    <w:rsid w:val="00583E69"/>
    <w:rsid w:val="00583EE0"/>
    <w:rsid w:val="00584032"/>
    <w:rsid w:val="005840D7"/>
    <w:rsid w:val="005841B7"/>
    <w:rsid w:val="00584617"/>
    <w:rsid w:val="00584693"/>
    <w:rsid w:val="0058478B"/>
    <w:rsid w:val="00584930"/>
    <w:rsid w:val="00584933"/>
    <w:rsid w:val="0058493D"/>
    <w:rsid w:val="0058499F"/>
    <w:rsid w:val="00584B1F"/>
    <w:rsid w:val="00584C64"/>
    <w:rsid w:val="00584D65"/>
    <w:rsid w:val="00584E57"/>
    <w:rsid w:val="00584EAF"/>
    <w:rsid w:val="00584F9C"/>
    <w:rsid w:val="00584FE7"/>
    <w:rsid w:val="005850D7"/>
    <w:rsid w:val="00585180"/>
    <w:rsid w:val="00585252"/>
    <w:rsid w:val="0058531B"/>
    <w:rsid w:val="005853A2"/>
    <w:rsid w:val="0058563D"/>
    <w:rsid w:val="005859AD"/>
    <w:rsid w:val="00585B5E"/>
    <w:rsid w:val="00585CA1"/>
    <w:rsid w:val="00585D9A"/>
    <w:rsid w:val="005860C6"/>
    <w:rsid w:val="0058617D"/>
    <w:rsid w:val="005861E2"/>
    <w:rsid w:val="00586354"/>
    <w:rsid w:val="00586445"/>
    <w:rsid w:val="0058645A"/>
    <w:rsid w:val="005865DC"/>
    <w:rsid w:val="00586840"/>
    <w:rsid w:val="00586877"/>
    <w:rsid w:val="005868AB"/>
    <w:rsid w:val="00586911"/>
    <w:rsid w:val="00586913"/>
    <w:rsid w:val="00586AE9"/>
    <w:rsid w:val="00586C9C"/>
    <w:rsid w:val="00586CC4"/>
    <w:rsid w:val="00586CCF"/>
    <w:rsid w:val="00586D2A"/>
    <w:rsid w:val="00586DF3"/>
    <w:rsid w:val="00586E31"/>
    <w:rsid w:val="00586EB7"/>
    <w:rsid w:val="00586EBB"/>
    <w:rsid w:val="00586EC5"/>
    <w:rsid w:val="00586ED0"/>
    <w:rsid w:val="0058729A"/>
    <w:rsid w:val="005872E7"/>
    <w:rsid w:val="005874DC"/>
    <w:rsid w:val="005874E8"/>
    <w:rsid w:val="00587544"/>
    <w:rsid w:val="005877D8"/>
    <w:rsid w:val="00587826"/>
    <w:rsid w:val="00587879"/>
    <w:rsid w:val="00587A9B"/>
    <w:rsid w:val="00587A9F"/>
    <w:rsid w:val="00587B2E"/>
    <w:rsid w:val="00587F22"/>
    <w:rsid w:val="00587FE0"/>
    <w:rsid w:val="005900CB"/>
    <w:rsid w:val="0059021B"/>
    <w:rsid w:val="00590313"/>
    <w:rsid w:val="00590584"/>
    <w:rsid w:val="00590596"/>
    <w:rsid w:val="005906B8"/>
    <w:rsid w:val="0059080F"/>
    <w:rsid w:val="0059086B"/>
    <w:rsid w:val="005909B7"/>
    <w:rsid w:val="005909BA"/>
    <w:rsid w:val="00590B1E"/>
    <w:rsid w:val="00590B6A"/>
    <w:rsid w:val="00590C1E"/>
    <w:rsid w:val="00590C2F"/>
    <w:rsid w:val="00590C8C"/>
    <w:rsid w:val="00590DC4"/>
    <w:rsid w:val="00590E62"/>
    <w:rsid w:val="0059104B"/>
    <w:rsid w:val="005910B8"/>
    <w:rsid w:val="00591221"/>
    <w:rsid w:val="0059135C"/>
    <w:rsid w:val="0059138D"/>
    <w:rsid w:val="005914F5"/>
    <w:rsid w:val="005917D4"/>
    <w:rsid w:val="00591849"/>
    <w:rsid w:val="0059188F"/>
    <w:rsid w:val="00591AB5"/>
    <w:rsid w:val="00591B1D"/>
    <w:rsid w:val="00591C24"/>
    <w:rsid w:val="00591CC3"/>
    <w:rsid w:val="00591D35"/>
    <w:rsid w:val="00591E06"/>
    <w:rsid w:val="00591FD7"/>
    <w:rsid w:val="0059214C"/>
    <w:rsid w:val="005922DC"/>
    <w:rsid w:val="0059233B"/>
    <w:rsid w:val="005923DA"/>
    <w:rsid w:val="0059244F"/>
    <w:rsid w:val="00592663"/>
    <w:rsid w:val="005926DF"/>
    <w:rsid w:val="00592747"/>
    <w:rsid w:val="005927FD"/>
    <w:rsid w:val="00592B8B"/>
    <w:rsid w:val="00592D7A"/>
    <w:rsid w:val="00592E0B"/>
    <w:rsid w:val="00592E62"/>
    <w:rsid w:val="00593229"/>
    <w:rsid w:val="0059327D"/>
    <w:rsid w:val="00593326"/>
    <w:rsid w:val="005935AC"/>
    <w:rsid w:val="005935C9"/>
    <w:rsid w:val="00593665"/>
    <w:rsid w:val="005938A0"/>
    <w:rsid w:val="00593900"/>
    <w:rsid w:val="00593959"/>
    <w:rsid w:val="00593980"/>
    <w:rsid w:val="00593981"/>
    <w:rsid w:val="00593A23"/>
    <w:rsid w:val="00593C88"/>
    <w:rsid w:val="00593E6A"/>
    <w:rsid w:val="00593FE9"/>
    <w:rsid w:val="005941B1"/>
    <w:rsid w:val="00594443"/>
    <w:rsid w:val="00594486"/>
    <w:rsid w:val="005944B6"/>
    <w:rsid w:val="005945A1"/>
    <w:rsid w:val="00594627"/>
    <w:rsid w:val="0059471C"/>
    <w:rsid w:val="00594726"/>
    <w:rsid w:val="00594855"/>
    <w:rsid w:val="00594BA5"/>
    <w:rsid w:val="00594DC3"/>
    <w:rsid w:val="00594E86"/>
    <w:rsid w:val="00594F06"/>
    <w:rsid w:val="00594FC6"/>
    <w:rsid w:val="00595040"/>
    <w:rsid w:val="005950A0"/>
    <w:rsid w:val="005950ED"/>
    <w:rsid w:val="005952B5"/>
    <w:rsid w:val="005952B8"/>
    <w:rsid w:val="005953B5"/>
    <w:rsid w:val="005954C9"/>
    <w:rsid w:val="005954E5"/>
    <w:rsid w:val="00595691"/>
    <w:rsid w:val="005957BF"/>
    <w:rsid w:val="00595831"/>
    <w:rsid w:val="005958E5"/>
    <w:rsid w:val="005959EC"/>
    <w:rsid w:val="00595AEC"/>
    <w:rsid w:val="00595B42"/>
    <w:rsid w:val="00595BEB"/>
    <w:rsid w:val="00595BEC"/>
    <w:rsid w:val="00595CC0"/>
    <w:rsid w:val="00595DD4"/>
    <w:rsid w:val="00595E54"/>
    <w:rsid w:val="00595ED0"/>
    <w:rsid w:val="00595FE7"/>
    <w:rsid w:val="005960E3"/>
    <w:rsid w:val="00596145"/>
    <w:rsid w:val="00596236"/>
    <w:rsid w:val="005964B7"/>
    <w:rsid w:val="00596598"/>
    <w:rsid w:val="00596747"/>
    <w:rsid w:val="0059679C"/>
    <w:rsid w:val="005967BD"/>
    <w:rsid w:val="005968C5"/>
    <w:rsid w:val="005969F3"/>
    <w:rsid w:val="00596DB1"/>
    <w:rsid w:val="00596E7A"/>
    <w:rsid w:val="00597028"/>
    <w:rsid w:val="00597090"/>
    <w:rsid w:val="00597374"/>
    <w:rsid w:val="005973A5"/>
    <w:rsid w:val="00597404"/>
    <w:rsid w:val="0059746D"/>
    <w:rsid w:val="0059764D"/>
    <w:rsid w:val="0059779A"/>
    <w:rsid w:val="005977AC"/>
    <w:rsid w:val="00597943"/>
    <w:rsid w:val="0059795E"/>
    <w:rsid w:val="00597A58"/>
    <w:rsid w:val="00597A71"/>
    <w:rsid w:val="00597BCE"/>
    <w:rsid w:val="005A00F8"/>
    <w:rsid w:val="005A012F"/>
    <w:rsid w:val="005A04BB"/>
    <w:rsid w:val="005A0586"/>
    <w:rsid w:val="005A05EA"/>
    <w:rsid w:val="005A067C"/>
    <w:rsid w:val="005A068B"/>
    <w:rsid w:val="005A06D0"/>
    <w:rsid w:val="005A06FC"/>
    <w:rsid w:val="005A070E"/>
    <w:rsid w:val="005A08E4"/>
    <w:rsid w:val="005A093B"/>
    <w:rsid w:val="005A0A45"/>
    <w:rsid w:val="005A0B30"/>
    <w:rsid w:val="005A0C3C"/>
    <w:rsid w:val="005A0F02"/>
    <w:rsid w:val="005A119D"/>
    <w:rsid w:val="005A1256"/>
    <w:rsid w:val="005A13BF"/>
    <w:rsid w:val="005A13D2"/>
    <w:rsid w:val="005A1407"/>
    <w:rsid w:val="005A1457"/>
    <w:rsid w:val="005A1557"/>
    <w:rsid w:val="005A191E"/>
    <w:rsid w:val="005A1A82"/>
    <w:rsid w:val="005A1AE0"/>
    <w:rsid w:val="005A1DD1"/>
    <w:rsid w:val="005A1DF9"/>
    <w:rsid w:val="005A1E7D"/>
    <w:rsid w:val="005A1F66"/>
    <w:rsid w:val="005A227E"/>
    <w:rsid w:val="005A2519"/>
    <w:rsid w:val="005A255A"/>
    <w:rsid w:val="005A25B9"/>
    <w:rsid w:val="005A25FA"/>
    <w:rsid w:val="005A28AA"/>
    <w:rsid w:val="005A2946"/>
    <w:rsid w:val="005A2957"/>
    <w:rsid w:val="005A2961"/>
    <w:rsid w:val="005A2A29"/>
    <w:rsid w:val="005A2CB4"/>
    <w:rsid w:val="005A2F68"/>
    <w:rsid w:val="005A3076"/>
    <w:rsid w:val="005A3132"/>
    <w:rsid w:val="005A33AA"/>
    <w:rsid w:val="005A34D7"/>
    <w:rsid w:val="005A37F2"/>
    <w:rsid w:val="005A3802"/>
    <w:rsid w:val="005A3809"/>
    <w:rsid w:val="005A388B"/>
    <w:rsid w:val="005A38F5"/>
    <w:rsid w:val="005A3C0E"/>
    <w:rsid w:val="005A3ECD"/>
    <w:rsid w:val="005A3F3B"/>
    <w:rsid w:val="005A41CF"/>
    <w:rsid w:val="005A4200"/>
    <w:rsid w:val="005A4577"/>
    <w:rsid w:val="005A4624"/>
    <w:rsid w:val="005A466A"/>
    <w:rsid w:val="005A474E"/>
    <w:rsid w:val="005A4856"/>
    <w:rsid w:val="005A492C"/>
    <w:rsid w:val="005A4BC4"/>
    <w:rsid w:val="005A4D18"/>
    <w:rsid w:val="005A4E6F"/>
    <w:rsid w:val="005A4E9F"/>
    <w:rsid w:val="005A4EC6"/>
    <w:rsid w:val="005A513B"/>
    <w:rsid w:val="005A5263"/>
    <w:rsid w:val="005A5413"/>
    <w:rsid w:val="005A54BD"/>
    <w:rsid w:val="005A56D0"/>
    <w:rsid w:val="005A5773"/>
    <w:rsid w:val="005A58FB"/>
    <w:rsid w:val="005A5997"/>
    <w:rsid w:val="005A59A0"/>
    <w:rsid w:val="005A5B91"/>
    <w:rsid w:val="005A5D5D"/>
    <w:rsid w:val="005A5E05"/>
    <w:rsid w:val="005A5EDA"/>
    <w:rsid w:val="005A5EFC"/>
    <w:rsid w:val="005A5F0C"/>
    <w:rsid w:val="005A5F91"/>
    <w:rsid w:val="005A5FE2"/>
    <w:rsid w:val="005A609F"/>
    <w:rsid w:val="005A62B3"/>
    <w:rsid w:val="005A62CF"/>
    <w:rsid w:val="005A676F"/>
    <w:rsid w:val="005A68F3"/>
    <w:rsid w:val="005A6A0D"/>
    <w:rsid w:val="005A6B00"/>
    <w:rsid w:val="005A6CD1"/>
    <w:rsid w:val="005A6DFE"/>
    <w:rsid w:val="005A6FA9"/>
    <w:rsid w:val="005A70B1"/>
    <w:rsid w:val="005A7126"/>
    <w:rsid w:val="005A71BB"/>
    <w:rsid w:val="005A71FE"/>
    <w:rsid w:val="005A72FC"/>
    <w:rsid w:val="005A72FF"/>
    <w:rsid w:val="005A74FB"/>
    <w:rsid w:val="005A75F3"/>
    <w:rsid w:val="005A7636"/>
    <w:rsid w:val="005A77F3"/>
    <w:rsid w:val="005A7946"/>
    <w:rsid w:val="005A7CC2"/>
    <w:rsid w:val="005A7CDC"/>
    <w:rsid w:val="005A7CE7"/>
    <w:rsid w:val="005A7CEE"/>
    <w:rsid w:val="005A7E62"/>
    <w:rsid w:val="005A7E74"/>
    <w:rsid w:val="005A7EA7"/>
    <w:rsid w:val="005B00FC"/>
    <w:rsid w:val="005B01D0"/>
    <w:rsid w:val="005B032A"/>
    <w:rsid w:val="005B05F0"/>
    <w:rsid w:val="005B08BC"/>
    <w:rsid w:val="005B0A74"/>
    <w:rsid w:val="005B0A7D"/>
    <w:rsid w:val="005B0B1E"/>
    <w:rsid w:val="005B0B37"/>
    <w:rsid w:val="005B0B6D"/>
    <w:rsid w:val="005B0B81"/>
    <w:rsid w:val="005B0BBE"/>
    <w:rsid w:val="005B1058"/>
    <w:rsid w:val="005B109C"/>
    <w:rsid w:val="005B1187"/>
    <w:rsid w:val="005B1223"/>
    <w:rsid w:val="005B125C"/>
    <w:rsid w:val="005B12EC"/>
    <w:rsid w:val="005B1341"/>
    <w:rsid w:val="005B1554"/>
    <w:rsid w:val="005B15AA"/>
    <w:rsid w:val="005B15CD"/>
    <w:rsid w:val="005B1612"/>
    <w:rsid w:val="005B16B6"/>
    <w:rsid w:val="005B1812"/>
    <w:rsid w:val="005B18B6"/>
    <w:rsid w:val="005B18BA"/>
    <w:rsid w:val="005B1BEA"/>
    <w:rsid w:val="005B1C5C"/>
    <w:rsid w:val="005B1CDD"/>
    <w:rsid w:val="005B1DA4"/>
    <w:rsid w:val="005B1E98"/>
    <w:rsid w:val="005B1FD5"/>
    <w:rsid w:val="005B205F"/>
    <w:rsid w:val="005B24AF"/>
    <w:rsid w:val="005B25C6"/>
    <w:rsid w:val="005B25D3"/>
    <w:rsid w:val="005B261D"/>
    <w:rsid w:val="005B26F5"/>
    <w:rsid w:val="005B278E"/>
    <w:rsid w:val="005B282A"/>
    <w:rsid w:val="005B2852"/>
    <w:rsid w:val="005B2EDA"/>
    <w:rsid w:val="005B3025"/>
    <w:rsid w:val="005B34F3"/>
    <w:rsid w:val="005B35FB"/>
    <w:rsid w:val="005B3657"/>
    <w:rsid w:val="005B36DF"/>
    <w:rsid w:val="005B376C"/>
    <w:rsid w:val="005B37FE"/>
    <w:rsid w:val="005B389B"/>
    <w:rsid w:val="005B3A08"/>
    <w:rsid w:val="005B3B98"/>
    <w:rsid w:val="005B3F52"/>
    <w:rsid w:val="005B3F96"/>
    <w:rsid w:val="005B3FDF"/>
    <w:rsid w:val="005B4011"/>
    <w:rsid w:val="005B4190"/>
    <w:rsid w:val="005B41FD"/>
    <w:rsid w:val="005B43EC"/>
    <w:rsid w:val="005B474D"/>
    <w:rsid w:val="005B48B1"/>
    <w:rsid w:val="005B4BB7"/>
    <w:rsid w:val="005B51E0"/>
    <w:rsid w:val="005B54D2"/>
    <w:rsid w:val="005B5537"/>
    <w:rsid w:val="005B55B9"/>
    <w:rsid w:val="005B5631"/>
    <w:rsid w:val="005B5635"/>
    <w:rsid w:val="005B579A"/>
    <w:rsid w:val="005B58BB"/>
    <w:rsid w:val="005B58D7"/>
    <w:rsid w:val="005B597B"/>
    <w:rsid w:val="005B5ED2"/>
    <w:rsid w:val="005B5FC8"/>
    <w:rsid w:val="005B60EF"/>
    <w:rsid w:val="005B624D"/>
    <w:rsid w:val="005B6277"/>
    <w:rsid w:val="005B6321"/>
    <w:rsid w:val="005B63EE"/>
    <w:rsid w:val="005B64B3"/>
    <w:rsid w:val="005B6525"/>
    <w:rsid w:val="005B65CF"/>
    <w:rsid w:val="005B6619"/>
    <w:rsid w:val="005B667F"/>
    <w:rsid w:val="005B6A54"/>
    <w:rsid w:val="005B6AB0"/>
    <w:rsid w:val="005B6B81"/>
    <w:rsid w:val="005B6BC6"/>
    <w:rsid w:val="005B6C29"/>
    <w:rsid w:val="005B6D69"/>
    <w:rsid w:val="005B6EE3"/>
    <w:rsid w:val="005B6EED"/>
    <w:rsid w:val="005B6F2F"/>
    <w:rsid w:val="005B7076"/>
    <w:rsid w:val="005B76A5"/>
    <w:rsid w:val="005B76F5"/>
    <w:rsid w:val="005B77FC"/>
    <w:rsid w:val="005B7A8A"/>
    <w:rsid w:val="005B7AA0"/>
    <w:rsid w:val="005B7C98"/>
    <w:rsid w:val="005B7CB3"/>
    <w:rsid w:val="005B7E0C"/>
    <w:rsid w:val="005B7E49"/>
    <w:rsid w:val="005B7FA3"/>
    <w:rsid w:val="005B7FFD"/>
    <w:rsid w:val="005C0104"/>
    <w:rsid w:val="005C0215"/>
    <w:rsid w:val="005C02A7"/>
    <w:rsid w:val="005C05D5"/>
    <w:rsid w:val="005C05DD"/>
    <w:rsid w:val="005C05E2"/>
    <w:rsid w:val="005C05FF"/>
    <w:rsid w:val="005C06B9"/>
    <w:rsid w:val="005C0A3C"/>
    <w:rsid w:val="005C0D78"/>
    <w:rsid w:val="005C0EDF"/>
    <w:rsid w:val="005C0FB9"/>
    <w:rsid w:val="005C10E6"/>
    <w:rsid w:val="005C1580"/>
    <w:rsid w:val="005C15B9"/>
    <w:rsid w:val="005C1790"/>
    <w:rsid w:val="005C1818"/>
    <w:rsid w:val="005C18A3"/>
    <w:rsid w:val="005C1B50"/>
    <w:rsid w:val="005C1B8F"/>
    <w:rsid w:val="005C1C49"/>
    <w:rsid w:val="005C1C8A"/>
    <w:rsid w:val="005C1CBA"/>
    <w:rsid w:val="005C2035"/>
    <w:rsid w:val="005C20E7"/>
    <w:rsid w:val="005C225A"/>
    <w:rsid w:val="005C2283"/>
    <w:rsid w:val="005C229C"/>
    <w:rsid w:val="005C2379"/>
    <w:rsid w:val="005C237B"/>
    <w:rsid w:val="005C25DC"/>
    <w:rsid w:val="005C2729"/>
    <w:rsid w:val="005C27A5"/>
    <w:rsid w:val="005C283A"/>
    <w:rsid w:val="005C28B3"/>
    <w:rsid w:val="005C2C29"/>
    <w:rsid w:val="005C30FE"/>
    <w:rsid w:val="005C3272"/>
    <w:rsid w:val="005C349F"/>
    <w:rsid w:val="005C362C"/>
    <w:rsid w:val="005C36B6"/>
    <w:rsid w:val="005C36F2"/>
    <w:rsid w:val="005C37B3"/>
    <w:rsid w:val="005C389B"/>
    <w:rsid w:val="005C390E"/>
    <w:rsid w:val="005C39F7"/>
    <w:rsid w:val="005C3A94"/>
    <w:rsid w:val="005C3ADF"/>
    <w:rsid w:val="005C3B82"/>
    <w:rsid w:val="005C3BA2"/>
    <w:rsid w:val="005C3E08"/>
    <w:rsid w:val="005C3E99"/>
    <w:rsid w:val="005C3FB8"/>
    <w:rsid w:val="005C4001"/>
    <w:rsid w:val="005C4127"/>
    <w:rsid w:val="005C4160"/>
    <w:rsid w:val="005C4378"/>
    <w:rsid w:val="005C443B"/>
    <w:rsid w:val="005C44F0"/>
    <w:rsid w:val="005C46AF"/>
    <w:rsid w:val="005C46D1"/>
    <w:rsid w:val="005C4726"/>
    <w:rsid w:val="005C4CB0"/>
    <w:rsid w:val="005C4CBD"/>
    <w:rsid w:val="005C4F6C"/>
    <w:rsid w:val="005C4F83"/>
    <w:rsid w:val="005C51E5"/>
    <w:rsid w:val="005C520D"/>
    <w:rsid w:val="005C52F1"/>
    <w:rsid w:val="005C53D7"/>
    <w:rsid w:val="005C572E"/>
    <w:rsid w:val="005C574A"/>
    <w:rsid w:val="005C57B0"/>
    <w:rsid w:val="005C58DC"/>
    <w:rsid w:val="005C5917"/>
    <w:rsid w:val="005C5A38"/>
    <w:rsid w:val="005C5AB1"/>
    <w:rsid w:val="005C5B21"/>
    <w:rsid w:val="005C5C6C"/>
    <w:rsid w:val="005C5CE0"/>
    <w:rsid w:val="005C6087"/>
    <w:rsid w:val="005C61BD"/>
    <w:rsid w:val="005C62B2"/>
    <w:rsid w:val="005C6372"/>
    <w:rsid w:val="005C67DE"/>
    <w:rsid w:val="005C6892"/>
    <w:rsid w:val="005C69F5"/>
    <w:rsid w:val="005C6A75"/>
    <w:rsid w:val="005C6CBB"/>
    <w:rsid w:val="005C6D77"/>
    <w:rsid w:val="005C7092"/>
    <w:rsid w:val="005C7095"/>
    <w:rsid w:val="005C70D1"/>
    <w:rsid w:val="005C724D"/>
    <w:rsid w:val="005C7423"/>
    <w:rsid w:val="005C75D9"/>
    <w:rsid w:val="005C7670"/>
    <w:rsid w:val="005C7914"/>
    <w:rsid w:val="005C7A2C"/>
    <w:rsid w:val="005C7B78"/>
    <w:rsid w:val="005C7DC3"/>
    <w:rsid w:val="005C7E63"/>
    <w:rsid w:val="005D0171"/>
    <w:rsid w:val="005D01A8"/>
    <w:rsid w:val="005D0309"/>
    <w:rsid w:val="005D03E7"/>
    <w:rsid w:val="005D0461"/>
    <w:rsid w:val="005D04AF"/>
    <w:rsid w:val="005D05F5"/>
    <w:rsid w:val="005D07E7"/>
    <w:rsid w:val="005D08F5"/>
    <w:rsid w:val="005D0901"/>
    <w:rsid w:val="005D0A23"/>
    <w:rsid w:val="005D0AC2"/>
    <w:rsid w:val="005D0C2A"/>
    <w:rsid w:val="005D0DFA"/>
    <w:rsid w:val="005D0E15"/>
    <w:rsid w:val="005D116F"/>
    <w:rsid w:val="005D11DB"/>
    <w:rsid w:val="005D1440"/>
    <w:rsid w:val="005D14B4"/>
    <w:rsid w:val="005D14D2"/>
    <w:rsid w:val="005D1548"/>
    <w:rsid w:val="005D166E"/>
    <w:rsid w:val="005D16F0"/>
    <w:rsid w:val="005D1739"/>
    <w:rsid w:val="005D17B5"/>
    <w:rsid w:val="005D18B4"/>
    <w:rsid w:val="005D19ED"/>
    <w:rsid w:val="005D1B4F"/>
    <w:rsid w:val="005D1B5B"/>
    <w:rsid w:val="005D1C0B"/>
    <w:rsid w:val="005D1CE6"/>
    <w:rsid w:val="005D1D5F"/>
    <w:rsid w:val="005D237F"/>
    <w:rsid w:val="005D243B"/>
    <w:rsid w:val="005D24D6"/>
    <w:rsid w:val="005D2797"/>
    <w:rsid w:val="005D2B33"/>
    <w:rsid w:val="005D2FF9"/>
    <w:rsid w:val="005D3054"/>
    <w:rsid w:val="005D305C"/>
    <w:rsid w:val="005D310F"/>
    <w:rsid w:val="005D3170"/>
    <w:rsid w:val="005D331D"/>
    <w:rsid w:val="005D33CD"/>
    <w:rsid w:val="005D343F"/>
    <w:rsid w:val="005D3456"/>
    <w:rsid w:val="005D34A2"/>
    <w:rsid w:val="005D35DC"/>
    <w:rsid w:val="005D36CF"/>
    <w:rsid w:val="005D38B1"/>
    <w:rsid w:val="005D38CE"/>
    <w:rsid w:val="005D390F"/>
    <w:rsid w:val="005D39C9"/>
    <w:rsid w:val="005D3A41"/>
    <w:rsid w:val="005D3BB5"/>
    <w:rsid w:val="005D3BCB"/>
    <w:rsid w:val="005D3C0D"/>
    <w:rsid w:val="005D3C22"/>
    <w:rsid w:val="005D3C39"/>
    <w:rsid w:val="005D3DF7"/>
    <w:rsid w:val="005D4288"/>
    <w:rsid w:val="005D4474"/>
    <w:rsid w:val="005D44D7"/>
    <w:rsid w:val="005D463F"/>
    <w:rsid w:val="005D4680"/>
    <w:rsid w:val="005D4727"/>
    <w:rsid w:val="005D4830"/>
    <w:rsid w:val="005D48AF"/>
    <w:rsid w:val="005D48EF"/>
    <w:rsid w:val="005D4AED"/>
    <w:rsid w:val="005D4B15"/>
    <w:rsid w:val="005D4CCC"/>
    <w:rsid w:val="005D4E89"/>
    <w:rsid w:val="005D4E8C"/>
    <w:rsid w:val="005D4E90"/>
    <w:rsid w:val="005D4EBB"/>
    <w:rsid w:val="005D4F13"/>
    <w:rsid w:val="005D52AA"/>
    <w:rsid w:val="005D5472"/>
    <w:rsid w:val="005D54C0"/>
    <w:rsid w:val="005D571A"/>
    <w:rsid w:val="005D5765"/>
    <w:rsid w:val="005D5893"/>
    <w:rsid w:val="005D5B99"/>
    <w:rsid w:val="005D5BC9"/>
    <w:rsid w:val="005D5C3F"/>
    <w:rsid w:val="005D5C9C"/>
    <w:rsid w:val="005D5D3A"/>
    <w:rsid w:val="005D5D7A"/>
    <w:rsid w:val="005D5ED9"/>
    <w:rsid w:val="005D613A"/>
    <w:rsid w:val="005D61B6"/>
    <w:rsid w:val="005D6208"/>
    <w:rsid w:val="005D6224"/>
    <w:rsid w:val="005D6428"/>
    <w:rsid w:val="005D665E"/>
    <w:rsid w:val="005D6738"/>
    <w:rsid w:val="005D68B9"/>
    <w:rsid w:val="005D6A40"/>
    <w:rsid w:val="005D6C32"/>
    <w:rsid w:val="005D6CB1"/>
    <w:rsid w:val="005D6CE2"/>
    <w:rsid w:val="005D6DE8"/>
    <w:rsid w:val="005D6EC3"/>
    <w:rsid w:val="005D6FC0"/>
    <w:rsid w:val="005D6FFC"/>
    <w:rsid w:val="005D7027"/>
    <w:rsid w:val="005D72DF"/>
    <w:rsid w:val="005D72F6"/>
    <w:rsid w:val="005D733E"/>
    <w:rsid w:val="005D7541"/>
    <w:rsid w:val="005D7721"/>
    <w:rsid w:val="005D7966"/>
    <w:rsid w:val="005D79ED"/>
    <w:rsid w:val="005D7B19"/>
    <w:rsid w:val="005D7BA0"/>
    <w:rsid w:val="005E0024"/>
    <w:rsid w:val="005E0109"/>
    <w:rsid w:val="005E01CF"/>
    <w:rsid w:val="005E0266"/>
    <w:rsid w:val="005E029B"/>
    <w:rsid w:val="005E0527"/>
    <w:rsid w:val="005E05FC"/>
    <w:rsid w:val="005E06B4"/>
    <w:rsid w:val="005E0852"/>
    <w:rsid w:val="005E0A59"/>
    <w:rsid w:val="005E0B30"/>
    <w:rsid w:val="005E0D55"/>
    <w:rsid w:val="005E0EB6"/>
    <w:rsid w:val="005E111E"/>
    <w:rsid w:val="005E1178"/>
    <w:rsid w:val="005E11D5"/>
    <w:rsid w:val="005E1243"/>
    <w:rsid w:val="005E1314"/>
    <w:rsid w:val="005E14F7"/>
    <w:rsid w:val="005E165D"/>
    <w:rsid w:val="005E184C"/>
    <w:rsid w:val="005E18E7"/>
    <w:rsid w:val="005E19E5"/>
    <w:rsid w:val="005E1A26"/>
    <w:rsid w:val="005E1C45"/>
    <w:rsid w:val="005E1D3B"/>
    <w:rsid w:val="005E1E96"/>
    <w:rsid w:val="005E1EE2"/>
    <w:rsid w:val="005E1F55"/>
    <w:rsid w:val="005E22D1"/>
    <w:rsid w:val="005E232D"/>
    <w:rsid w:val="005E2469"/>
    <w:rsid w:val="005E247A"/>
    <w:rsid w:val="005E24D5"/>
    <w:rsid w:val="005E24DF"/>
    <w:rsid w:val="005E25E5"/>
    <w:rsid w:val="005E27E8"/>
    <w:rsid w:val="005E27F1"/>
    <w:rsid w:val="005E29F7"/>
    <w:rsid w:val="005E2D42"/>
    <w:rsid w:val="005E2D6A"/>
    <w:rsid w:val="005E2EB9"/>
    <w:rsid w:val="005E2EC0"/>
    <w:rsid w:val="005E2FFD"/>
    <w:rsid w:val="005E301E"/>
    <w:rsid w:val="005E3074"/>
    <w:rsid w:val="005E31AA"/>
    <w:rsid w:val="005E3312"/>
    <w:rsid w:val="005E3457"/>
    <w:rsid w:val="005E351E"/>
    <w:rsid w:val="005E3534"/>
    <w:rsid w:val="005E3572"/>
    <w:rsid w:val="005E364A"/>
    <w:rsid w:val="005E3734"/>
    <w:rsid w:val="005E375D"/>
    <w:rsid w:val="005E3840"/>
    <w:rsid w:val="005E388D"/>
    <w:rsid w:val="005E39CF"/>
    <w:rsid w:val="005E3BA0"/>
    <w:rsid w:val="005E3BE0"/>
    <w:rsid w:val="005E3C3D"/>
    <w:rsid w:val="005E3E0B"/>
    <w:rsid w:val="005E3FE2"/>
    <w:rsid w:val="005E416F"/>
    <w:rsid w:val="005E4174"/>
    <w:rsid w:val="005E42E4"/>
    <w:rsid w:val="005E44C9"/>
    <w:rsid w:val="005E458F"/>
    <w:rsid w:val="005E459F"/>
    <w:rsid w:val="005E45CF"/>
    <w:rsid w:val="005E46CD"/>
    <w:rsid w:val="005E48FE"/>
    <w:rsid w:val="005E496C"/>
    <w:rsid w:val="005E4A28"/>
    <w:rsid w:val="005E4A7A"/>
    <w:rsid w:val="005E4AC2"/>
    <w:rsid w:val="005E4BEA"/>
    <w:rsid w:val="005E4D05"/>
    <w:rsid w:val="005E4DF4"/>
    <w:rsid w:val="005E4E0B"/>
    <w:rsid w:val="005E5036"/>
    <w:rsid w:val="005E508B"/>
    <w:rsid w:val="005E51AF"/>
    <w:rsid w:val="005E521D"/>
    <w:rsid w:val="005E5605"/>
    <w:rsid w:val="005E567B"/>
    <w:rsid w:val="005E56A6"/>
    <w:rsid w:val="005E57E7"/>
    <w:rsid w:val="005E58DA"/>
    <w:rsid w:val="005E5950"/>
    <w:rsid w:val="005E5A5A"/>
    <w:rsid w:val="005E5B50"/>
    <w:rsid w:val="005E5BD8"/>
    <w:rsid w:val="005E5C0B"/>
    <w:rsid w:val="005E5DE7"/>
    <w:rsid w:val="005E5EFA"/>
    <w:rsid w:val="005E615C"/>
    <w:rsid w:val="005E6472"/>
    <w:rsid w:val="005E6592"/>
    <w:rsid w:val="005E667A"/>
    <w:rsid w:val="005E68D4"/>
    <w:rsid w:val="005E6CAA"/>
    <w:rsid w:val="005E6DCE"/>
    <w:rsid w:val="005E6DD7"/>
    <w:rsid w:val="005E6F1B"/>
    <w:rsid w:val="005E6F2D"/>
    <w:rsid w:val="005E6F7F"/>
    <w:rsid w:val="005E6F8F"/>
    <w:rsid w:val="005E7380"/>
    <w:rsid w:val="005E74AC"/>
    <w:rsid w:val="005E7605"/>
    <w:rsid w:val="005E76A2"/>
    <w:rsid w:val="005E76DE"/>
    <w:rsid w:val="005E77B4"/>
    <w:rsid w:val="005E79D8"/>
    <w:rsid w:val="005E7A8E"/>
    <w:rsid w:val="005E7B5C"/>
    <w:rsid w:val="005E7BB8"/>
    <w:rsid w:val="005E7D5C"/>
    <w:rsid w:val="005E7EE3"/>
    <w:rsid w:val="005F0133"/>
    <w:rsid w:val="005F041A"/>
    <w:rsid w:val="005F0457"/>
    <w:rsid w:val="005F094D"/>
    <w:rsid w:val="005F09C8"/>
    <w:rsid w:val="005F0A39"/>
    <w:rsid w:val="005F0A41"/>
    <w:rsid w:val="005F0D89"/>
    <w:rsid w:val="005F0E91"/>
    <w:rsid w:val="005F1106"/>
    <w:rsid w:val="005F1162"/>
    <w:rsid w:val="005F1322"/>
    <w:rsid w:val="005F13DC"/>
    <w:rsid w:val="005F14B0"/>
    <w:rsid w:val="005F1541"/>
    <w:rsid w:val="005F1548"/>
    <w:rsid w:val="005F16D0"/>
    <w:rsid w:val="005F1741"/>
    <w:rsid w:val="005F18D9"/>
    <w:rsid w:val="005F1ABC"/>
    <w:rsid w:val="005F1E55"/>
    <w:rsid w:val="005F1E88"/>
    <w:rsid w:val="005F1F62"/>
    <w:rsid w:val="005F20F3"/>
    <w:rsid w:val="005F2171"/>
    <w:rsid w:val="005F221B"/>
    <w:rsid w:val="005F2413"/>
    <w:rsid w:val="005F2682"/>
    <w:rsid w:val="005F29AE"/>
    <w:rsid w:val="005F2B54"/>
    <w:rsid w:val="005F2D79"/>
    <w:rsid w:val="005F2DB5"/>
    <w:rsid w:val="005F2EFF"/>
    <w:rsid w:val="005F3083"/>
    <w:rsid w:val="005F311B"/>
    <w:rsid w:val="005F3316"/>
    <w:rsid w:val="005F33A3"/>
    <w:rsid w:val="005F3420"/>
    <w:rsid w:val="005F3476"/>
    <w:rsid w:val="005F369D"/>
    <w:rsid w:val="005F372A"/>
    <w:rsid w:val="005F377B"/>
    <w:rsid w:val="005F37B0"/>
    <w:rsid w:val="005F3820"/>
    <w:rsid w:val="005F38E4"/>
    <w:rsid w:val="005F3963"/>
    <w:rsid w:val="005F3D47"/>
    <w:rsid w:val="005F3D4A"/>
    <w:rsid w:val="005F3DB3"/>
    <w:rsid w:val="005F3DD7"/>
    <w:rsid w:val="005F3E51"/>
    <w:rsid w:val="005F4192"/>
    <w:rsid w:val="005F41DB"/>
    <w:rsid w:val="005F42C0"/>
    <w:rsid w:val="005F45C7"/>
    <w:rsid w:val="005F4650"/>
    <w:rsid w:val="005F4882"/>
    <w:rsid w:val="005F4916"/>
    <w:rsid w:val="005F49CE"/>
    <w:rsid w:val="005F49D9"/>
    <w:rsid w:val="005F4A34"/>
    <w:rsid w:val="005F4B4A"/>
    <w:rsid w:val="005F4B55"/>
    <w:rsid w:val="005F4BFE"/>
    <w:rsid w:val="005F4C4E"/>
    <w:rsid w:val="005F4CD9"/>
    <w:rsid w:val="005F4E08"/>
    <w:rsid w:val="005F4F22"/>
    <w:rsid w:val="005F5090"/>
    <w:rsid w:val="005F5229"/>
    <w:rsid w:val="005F5531"/>
    <w:rsid w:val="005F556C"/>
    <w:rsid w:val="005F559C"/>
    <w:rsid w:val="005F5674"/>
    <w:rsid w:val="005F56E2"/>
    <w:rsid w:val="005F57A5"/>
    <w:rsid w:val="005F5906"/>
    <w:rsid w:val="005F5A9B"/>
    <w:rsid w:val="005F5B92"/>
    <w:rsid w:val="005F5DE0"/>
    <w:rsid w:val="005F6025"/>
    <w:rsid w:val="005F603C"/>
    <w:rsid w:val="005F60A9"/>
    <w:rsid w:val="005F6270"/>
    <w:rsid w:val="005F6290"/>
    <w:rsid w:val="005F63B8"/>
    <w:rsid w:val="005F6406"/>
    <w:rsid w:val="005F64A1"/>
    <w:rsid w:val="005F68D2"/>
    <w:rsid w:val="005F6D0C"/>
    <w:rsid w:val="005F6D24"/>
    <w:rsid w:val="005F6D26"/>
    <w:rsid w:val="005F6DD9"/>
    <w:rsid w:val="005F6F01"/>
    <w:rsid w:val="005F6F7F"/>
    <w:rsid w:val="005F7158"/>
    <w:rsid w:val="005F7230"/>
    <w:rsid w:val="005F7288"/>
    <w:rsid w:val="005F7308"/>
    <w:rsid w:val="005F73D2"/>
    <w:rsid w:val="005F76C8"/>
    <w:rsid w:val="005F792C"/>
    <w:rsid w:val="005F7BAB"/>
    <w:rsid w:val="005F7BAE"/>
    <w:rsid w:val="005F7DBE"/>
    <w:rsid w:val="005F7DFC"/>
    <w:rsid w:val="005F7E5D"/>
    <w:rsid w:val="005F7E76"/>
    <w:rsid w:val="005F7FD5"/>
    <w:rsid w:val="0060015E"/>
    <w:rsid w:val="006001EC"/>
    <w:rsid w:val="006001ED"/>
    <w:rsid w:val="00600299"/>
    <w:rsid w:val="00600628"/>
    <w:rsid w:val="006006E7"/>
    <w:rsid w:val="00600735"/>
    <w:rsid w:val="006007AF"/>
    <w:rsid w:val="0060081B"/>
    <w:rsid w:val="00600A77"/>
    <w:rsid w:val="00600B5B"/>
    <w:rsid w:val="00600D50"/>
    <w:rsid w:val="00600DBC"/>
    <w:rsid w:val="00600E1D"/>
    <w:rsid w:val="00600E62"/>
    <w:rsid w:val="00600EC2"/>
    <w:rsid w:val="0060120D"/>
    <w:rsid w:val="00601328"/>
    <w:rsid w:val="0060138C"/>
    <w:rsid w:val="006013FE"/>
    <w:rsid w:val="0060161C"/>
    <w:rsid w:val="0060172D"/>
    <w:rsid w:val="006017AE"/>
    <w:rsid w:val="006017DB"/>
    <w:rsid w:val="006017F9"/>
    <w:rsid w:val="00601866"/>
    <w:rsid w:val="0060189B"/>
    <w:rsid w:val="00601AA2"/>
    <w:rsid w:val="00601B1A"/>
    <w:rsid w:val="00601B7B"/>
    <w:rsid w:val="00601E04"/>
    <w:rsid w:val="00602245"/>
    <w:rsid w:val="00602306"/>
    <w:rsid w:val="00602385"/>
    <w:rsid w:val="00602814"/>
    <w:rsid w:val="006028F3"/>
    <w:rsid w:val="00602CC1"/>
    <w:rsid w:val="00602E05"/>
    <w:rsid w:val="00602E67"/>
    <w:rsid w:val="00602E81"/>
    <w:rsid w:val="00602E8B"/>
    <w:rsid w:val="00602F06"/>
    <w:rsid w:val="006030F8"/>
    <w:rsid w:val="0060310E"/>
    <w:rsid w:val="00603145"/>
    <w:rsid w:val="0060323C"/>
    <w:rsid w:val="0060335F"/>
    <w:rsid w:val="006035BD"/>
    <w:rsid w:val="00603629"/>
    <w:rsid w:val="006037F2"/>
    <w:rsid w:val="00603A68"/>
    <w:rsid w:val="00603DDE"/>
    <w:rsid w:val="00604017"/>
    <w:rsid w:val="00604052"/>
    <w:rsid w:val="006042CD"/>
    <w:rsid w:val="0060446F"/>
    <w:rsid w:val="006046DE"/>
    <w:rsid w:val="006047A7"/>
    <w:rsid w:val="00604BA5"/>
    <w:rsid w:val="00604CC6"/>
    <w:rsid w:val="00604CCD"/>
    <w:rsid w:val="00604D4B"/>
    <w:rsid w:val="00604F54"/>
    <w:rsid w:val="00605043"/>
    <w:rsid w:val="00605293"/>
    <w:rsid w:val="006052D5"/>
    <w:rsid w:val="0060544F"/>
    <w:rsid w:val="006054FC"/>
    <w:rsid w:val="006055AC"/>
    <w:rsid w:val="00605664"/>
    <w:rsid w:val="00605941"/>
    <w:rsid w:val="00605A18"/>
    <w:rsid w:val="00605A21"/>
    <w:rsid w:val="00605A74"/>
    <w:rsid w:val="00605B41"/>
    <w:rsid w:val="00605C65"/>
    <w:rsid w:val="00605DFD"/>
    <w:rsid w:val="00605E11"/>
    <w:rsid w:val="00605EBA"/>
    <w:rsid w:val="00605EF6"/>
    <w:rsid w:val="00605F3F"/>
    <w:rsid w:val="006060B5"/>
    <w:rsid w:val="00606136"/>
    <w:rsid w:val="006063FF"/>
    <w:rsid w:val="006064E6"/>
    <w:rsid w:val="00606611"/>
    <w:rsid w:val="00606636"/>
    <w:rsid w:val="006067A2"/>
    <w:rsid w:val="0060684A"/>
    <w:rsid w:val="00606893"/>
    <w:rsid w:val="00606BA5"/>
    <w:rsid w:val="00606CB3"/>
    <w:rsid w:val="00606E49"/>
    <w:rsid w:val="00606E64"/>
    <w:rsid w:val="00606FDF"/>
    <w:rsid w:val="006072DF"/>
    <w:rsid w:val="0060730E"/>
    <w:rsid w:val="00607310"/>
    <w:rsid w:val="00607340"/>
    <w:rsid w:val="00607341"/>
    <w:rsid w:val="0060768D"/>
    <w:rsid w:val="006076A7"/>
    <w:rsid w:val="0060778E"/>
    <w:rsid w:val="00607D6C"/>
    <w:rsid w:val="00607D97"/>
    <w:rsid w:val="00607F29"/>
    <w:rsid w:val="0061005E"/>
    <w:rsid w:val="006100AB"/>
    <w:rsid w:val="006102AE"/>
    <w:rsid w:val="006103BC"/>
    <w:rsid w:val="00610433"/>
    <w:rsid w:val="00610545"/>
    <w:rsid w:val="00610588"/>
    <w:rsid w:val="00610604"/>
    <w:rsid w:val="0061060E"/>
    <w:rsid w:val="0061068B"/>
    <w:rsid w:val="006109E7"/>
    <w:rsid w:val="00610A3B"/>
    <w:rsid w:val="00610A94"/>
    <w:rsid w:val="00610B79"/>
    <w:rsid w:val="00610CE3"/>
    <w:rsid w:val="00610E53"/>
    <w:rsid w:val="00610EE7"/>
    <w:rsid w:val="00610FA4"/>
    <w:rsid w:val="00611042"/>
    <w:rsid w:val="006110F3"/>
    <w:rsid w:val="006110F8"/>
    <w:rsid w:val="0061126E"/>
    <w:rsid w:val="00611364"/>
    <w:rsid w:val="006113BE"/>
    <w:rsid w:val="006114C9"/>
    <w:rsid w:val="0061152D"/>
    <w:rsid w:val="006115A4"/>
    <w:rsid w:val="006115E9"/>
    <w:rsid w:val="00611674"/>
    <w:rsid w:val="00611676"/>
    <w:rsid w:val="00611BC4"/>
    <w:rsid w:val="00611C21"/>
    <w:rsid w:val="00611D51"/>
    <w:rsid w:val="00611E46"/>
    <w:rsid w:val="0061216E"/>
    <w:rsid w:val="006121B2"/>
    <w:rsid w:val="00612361"/>
    <w:rsid w:val="006124B6"/>
    <w:rsid w:val="006124BE"/>
    <w:rsid w:val="0061251C"/>
    <w:rsid w:val="00612588"/>
    <w:rsid w:val="00612774"/>
    <w:rsid w:val="00612841"/>
    <w:rsid w:val="006128BE"/>
    <w:rsid w:val="00612955"/>
    <w:rsid w:val="00612B2E"/>
    <w:rsid w:val="00612B7E"/>
    <w:rsid w:val="00612CCB"/>
    <w:rsid w:val="00612D9C"/>
    <w:rsid w:val="00612E45"/>
    <w:rsid w:val="00612F48"/>
    <w:rsid w:val="00613006"/>
    <w:rsid w:val="006131FA"/>
    <w:rsid w:val="006132F6"/>
    <w:rsid w:val="00613328"/>
    <w:rsid w:val="0061356A"/>
    <w:rsid w:val="00613732"/>
    <w:rsid w:val="0061377D"/>
    <w:rsid w:val="00613793"/>
    <w:rsid w:val="0061380D"/>
    <w:rsid w:val="0061381E"/>
    <w:rsid w:val="006138DF"/>
    <w:rsid w:val="00613A20"/>
    <w:rsid w:val="00613B77"/>
    <w:rsid w:val="00613F40"/>
    <w:rsid w:val="0061416C"/>
    <w:rsid w:val="006141FC"/>
    <w:rsid w:val="00614220"/>
    <w:rsid w:val="00614265"/>
    <w:rsid w:val="00614349"/>
    <w:rsid w:val="0061444B"/>
    <w:rsid w:val="006145B2"/>
    <w:rsid w:val="00614623"/>
    <w:rsid w:val="00614771"/>
    <w:rsid w:val="0061478C"/>
    <w:rsid w:val="00614794"/>
    <w:rsid w:val="006147E0"/>
    <w:rsid w:val="006148D5"/>
    <w:rsid w:val="006149F6"/>
    <w:rsid w:val="00614AEB"/>
    <w:rsid w:val="00614DBF"/>
    <w:rsid w:val="00614E91"/>
    <w:rsid w:val="00614F97"/>
    <w:rsid w:val="0061510A"/>
    <w:rsid w:val="0061523A"/>
    <w:rsid w:val="0061526A"/>
    <w:rsid w:val="006152D4"/>
    <w:rsid w:val="00615322"/>
    <w:rsid w:val="00615557"/>
    <w:rsid w:val="006159CC"/>
    <w:rsid w:val="00615AB7"/>
    <w:rsid w:val="00615BF0"/>
    <w:rsid w:val="00615C6E"/>
    <w:rsid w:val="00615C8B"/>
    <w:rsid w:val="00615C9E"/>
    <w:rsid w:val="00615E15"/>
    <w:rsid w:val="00615E57"/>
    <w:rsid w:val="00615EEE"/>
    <w:rsid w:val="00615EFA"/>
    <w:rsid w:val="00616172"/>
    <w:rsid w:val="0061635C"/>
    <w:rsid w:val="006163F6"/>
    <w:rsid w:val="006167FB"/>
    <w:rsid w:val="00616868"/>
    <w:rsid w:val="006168F5"/>
    <w:rsid w:val="00616911"/>
    <w:rsid w:val="006169B2"/>
    <w:rsid w:val="00616A12"/>
    <w:rsid w:val="00616B65"/>
    <w:rsid w:val="00616BAC"/>
    <w:rsid w:val="00616BBB"/>
    <w:rsid w:val="00616BCD"/>
    <w:rsid w:val="00616D2F"/>
    <w:rsid w:val="00616E28"/>
    <w:rsid w:val="00616E43"/>
    <w:rsid w:val="00616FCB"/>
    <w:rsid w:val="006170C4"/>
    <w:rsid w:val="006170F7"/>
    <w:rsid w:val="0061719F"/>
    <w:rsid w:val="0061727F"/>
    <w:rsid w:val="006173BD"/>
    <w:rsid w:val="0061774F"/>
    <w:rsid w:val="0061777E"/>
    <w:rsid w:val="00617A1F"/>
    <w:rsid w:val="00617A5B"/>
    <w:rsid w:val="00617C3D"/>
    <w:rsid w:val="00617DB0"/>
    <w:rsid w:val="00617E5C"/>
    <w:rsid w:val="00617FF7"/>
    <w:rsid w:val="006200E2"/>
    <w:rsid w:val="00620136"/>
    <w:rsid w:val="00620245"/>
    <w:rsid w:val="00620645"/>
    <w:rsid w:val="0062074D"/>
    <w:rsid w:val="00620835"/>
    <w:rsid w:val="00620911"/>
    <w:rsid w:val="00620A18"/>
    <w:rsid w:val="00620B5C"/>
    <w:rsid w:val="00621280"/>
    <w:rsid w:val="00621309"/>
    <w:rsid w:val="00621560"/>
    <w:rsid w:val="00621620"/>
    <w:rsid w:val="00621746"/>
    <w:rsid w:val="0062188F"/>
    <w:rsid w:val="0062189F"/>
    <w:rsid w:val="006218FA"/>
    <w:rsid w:val="00621A20"/>
    <w:rsid w:val="00621B8A"/>
    <w:rsid w:val="00621BDE"/>
    <w:rsid w:val="00621BF3"/>
    <w:rsid w:val="00621C32"/>
    <w:rsid w:val="00621D5D"/>
    <w:rsid w:val="00621EDF"/>
    <w:rsid w:val="00621F21"/>
    <w:rsid w:val="00621FC9"/>
    <w:rsid w:val="00622034"/>
    <w:rsid w:val="006220A1"/>
    <w:rsid w:val="006220A5"/>
    <w:rsid w:val="006220E8"/>
    <w:rsid w:val="00622324"/>
    <w:rsid w:val="00622330"/>
    <w:rsid w:val="00622395"/>
    <w:rsid w:val="00622573"/>
    <w:rsid w:val="006225F0"/>
    <w:rsid w:val="0062260B"/>
    <w:rsid w:val="0062262B"/>
    <w:rsid w:val="00622710"/>
    <w:rsid w:val="006227E1"/>
    <w:rsid w:val="006228F8"/>
    <w:rsid w:val="00622A88"/>
    <w:rsid w:val="00622C03"/>
    <w:rsid w:val="00622E60"/>
    <w:rsid w:val="00622E7D"/>
    <w:rsid w:val="00622F81"/>
    <w:rsid w:val="006230B1"/>
    <w:rsid w:val="00623121"/>
    <w:rsid w:val="006232E6"/>
    <w:rsid w:val="00623304"/>
    <w:rsid w:val="006233D0"/>
    <w:rsid w:val="0062345E"/>
    <w:rsid w:val="006235F7"/>
    <w:rsid w:val="0062381F"/>
    <w:rsid w:val="0062389D"/>
    <w:rsid w:val="006238A0"/>
    <w:rsid w:val="00623B5A"/>
    <w:rsid w:val="00623C1F"/>
    <w:rsid w:val="00623C27"/>
    <w:rsid w:val="00623E8F"/>
    <w:rsid w:val="00623F0B"/>
    <w:rsid w:val="00624062"/>
    <w:rsid w:val="0062406B"/>
    <w:rsid w:val="00624099"/>
    <w:rsid w:val="00624136"/>
    <w:rsid w:val="006242AA"/>
    <w:rsid w:val="00624361"/>
    <w:rsid w:val="006243F1"/>
    <w:rsid w:val="0062471C"/>
    <w:rsid w:val="00624793"/>
    <w:rsid w:val="006247E0"/>
    <w:rsid w:val="00624949"/>
    <w:rsid w:val="0062494B"/>
    <w:rsid w:val="006249F4"/>
    <w:rsid w:val="00624A49"/>
    <w:rsid w:val="00624B07"/>
    <w:rsid w:val="00624E8E"/>
    <w:rsid w:val="00624EC7"/>
    <w:rsid w:val="0062503D"/>
    <w:rsid w:val="00625045"/>
    <w:rsid w:val="00625293"/>
    <w:rsid w:val="0062540C"/>
    <w:rsid w:val="0062567B"/>
    <w:rsid w:val="00625882"/>
    <w:rsid w:val="0062591D"/>
    <w:rsid w:val="00625A32"/>
    <w:rsid w:val="00625AB6"/>
    <w:rsid w:val="00625BC2"/>
    <w:rsid w:val="00625DFC"/>
    <w:rsid w:val="00625E16"/>
    <w:rsid w:val="00625E94"/>
    <w:rsid w:val="00625FF0"/>
    <w:rsid w:val="0062606C"/>
    <w:rsid w:val="006260F6"/>
    <w:rsid w:val="006261D1"/>
    <w:rsid w:val="00626381"/>
    <w:rsid w:val="006263E1"/>
    <w:rsid w:val="006264B3"/>
    <w:rsid w:val="006264C5"/>
    <w:rsid w:val="0062656E"/>
    <w:rsid w:val="00626834"/>
    <w:rsid w:val="00626965"/>
    <w:rsid w:val="006269E0"/>
    <w:rsid w:val="00626A34"/>
    <w:rsid w:val="00626B69"/>
    <w:rsid w:val="00626B92"/>
    <w:rsid w:val="00626F7B"/>
    <w:rsid w:val="00626FE6"/>
    <w:rsid w:val="00627016"/>
    <w:rsid w:val="0062753C"/>
    <w:rsid w:val="006275B2"/>
    <w:rsid w:val="00627622"/>
    <w:rsid w:val="006277E9"/>
    <w:rsid w:val="00627824"/>
    <w:rsid w:val="006278AD"/>
    <w:rsid w:val="006278FC"/>
    <w:rsid w:val="0062796B"/>
    <w:rsid w:val="00627C2D"/>
    <w:rsid w:val="00627C8E"/>
    <w:rsid w:val="00627CC2"/>
    <w:rsid w:val="00627E6D"/>
    <w:rsid w:val="00627E71"/>
    <w:rsid w:val="00630021"/>
    <w:rsid w:val="006302F9"/>
    <w:rsid w:val="006303C5"/>
    <w:rsid w:val="006305A7"/>
    <w:rsid w:val="006305F7"/>
    <w:rsid w:val="00630763"/>
    <w:rsid w:val="006307B1"/>
    <w:rsid w:val="00630B01"/>
    <w:rsid w:val="00630B02"/>
    <w:rsid w:val="00630BD1"/>
    <w:rsid w:val="00630C4E"/>
    <w:rsid w:val="00630ED2"/>
    <w:rsid w:val="00630F0E"/>
    <w:rsid w:val="00630F68"/>
    <w:rsid w:val="006311B1"/>
    <w:rsid w:val="00631489"/>
    <w:rsid w:val="006314CE"/>
    <w:rsid w:val="006315DF"/>
    <w:rsid w:val="00631639"/>
    <w:rsid w:val="0063173E"/>
    <w:rsid w:val="00631810"/>
    <w:rsid w:val="00631A75"/>
    <w:rsid w:val="00631BC8"/>
    <w:rsid w:val="006320D1"/>
    <w:rsid w:val="0063225E"/>
    <w:rsid w:val="00632613"/>
    <w:rsid w:val="00632928"/>
    <w:rsid w:val="00632A49"/>
    <w:rsid w:val="00632B01"/>
    <w:rsid w:val="00632BA8"/>
    <w:rsid w:val="00632C9B"/>
    <w:rsid w:val="00633171"/>
    <w:rsid w:val="006334B5"/>
    <w:rsid w:val="0063358B"/>
    <w:rsid w:val="006338FC"/>
    <w:rsid w:val="0063393F"/>
    <w:rsid w:val="006339B6"/>
    <w:rsid w:val="00633C6C"/>
    <w:rsid w:val="00633DC2"/>
    <w:rsid w:val="00633ECE"/>
    <w:rsid w:val="0063406B"/>
    <w:rsid w:val="00634199"/>
    <w:rsid w:val="006343D3"/>
    <w:rsid w:val="00634728"/>
    <w:rsid w:val="00634745"/>
    <w:rsid w:val="00634A80"/>
    <w:rsid w:val="00634BCC"/>
    <w:rsid w:val="00634E81"/>
    <w:rsid w:val="00634EB1"/>
    <w:rsid w:val="00634F80"/>
    <w:rsid w:val="006350B9"/>
    <w:rsid w:val="0063519A"/>
    <w:rsid w:val="006352D6"/>
    <w:rsid w:val="006353CD"/>
    <w:rsid w:val="006354E7"/>
    <w:rsid w:val="0063577E"/>
    <w:rsid w:val="0063579E"/>
    <w:rsid w:val="00635865"/>
    <w:rsid w:val="00635893"/>
    <w:rsid w:val="006359CE"/>
    <w:rsid w:val="00635C77"/>
    <w:rsid w:val="00635D2E"/>
    <w:rsid w:val="00635D8C"/>
    <w:rsid w:val="00635DB6"/>
    <w:rsid w:val="00635E5E"/>
    <w:rsid w:val="00635EE5"/>
    <w:rsid w:val="00635EF8"/>
    <w:rsid w:val="00636023"/>
    <w:rsid w:val="006363DB"/>
    <w:rsid w:val="006364A6"/>
    <w:rsid w:val="006366F7"/>
    <w:rsid w:val="006368BC"/>
    <w:rsid w:val="00636A30"/>
    <w:rsid w:val="00636B4D"/>
    <w:rsid w:val="00636C06"/>
    <w:rsid w:val="00636CE5"/>
    <w:rsid w:val="00636EAD"/>
    <w:rsid w:val="00636ECB"/>
    <w:rsid w:val="00636F63"/>
    <w:rsid w:val="00637034"/>
    <w:rsid w:val="00637140"/>
    <w:rsid w:val="00637619"/>
    <w:rsid w:val="00637829"/>
    <w:rsid w:val="006378E8"/>
    <w:rsid w:val="00637986"/>
    <w:rsid w:val="006379E8"/>
    <w:rsid w:val="00637A5C"/>
    <w:rsid w:val="00637B23"/>
    <w:rsid w:val="00637B48"/>
    <w:rsid w:val="00637BCD"/>
    <w:rsid w:val="00637F84"/>
    <w:rsid w:val="00640306"/>
    <w:rsid w:val="00640536"/>
    <w:rsid w:val="00640633"/>
    <w:rsid w:val="0064068C"/>
    <w:rsid w:val="006408BA"/>
    <w:rsid w:val="00640B27"/>
    <w:rsid w:val="00640D79"/>
    <w:rsid w:val="00640E2B"/>
    <w:rsid w:val="00640EE1"/>
    <w:rsid w:val="006410AD"/>
    <w:rsid w:val="006411F2"/>
    <w:rsid w:val="00641219"/>
    <w:rsid w:val="0064165E"/>
    <w:rsid w:val="006416DB"/>
    <w:rsid w:val="006417A7"/>
    <w:rsid w:val="00641992"/>
    <w:rsid w:val="00641C68"/>
    <w:rsid w:val="00641C81"/>
    <w:rsid w:val="00641D16"/>
    <w:rsid w:val="00641D27"/>
    <w:rsid w:val="00641EB1"/>
    <w:rsid w:val="00641EF3"/>
    <w:rsid w:val="00641FEA"/>
    <w:rsid w:val="00642293"/>
    <w:rsid w:val="006422CE"/>
    <w:rsid w:val="0064233A"/>
    <w:rsid w:val="0064233E"/>
    <w:rsid w:val="006423EB"/>
    <w:rsid w:val="0064248E"/>
    <w:rsid w:val="006424D2"/>
    <w:rsid w:val="00642547"/>
    <w:rsid w:val="00642635"/>
    <w:rsid w:val="006429B5"/>
    <w:rsid w:val="00642F9C"/>
    <w:rsid w:val="00643163"/>
    <w:rsid w:val="006431BE"/>
    <w:rsid w:val="00643210"/>
    <w:rsid w:val="00643417"/>
    <w:rsid w:val="006435A7"/>
    <w:rsid w:val="00643633"/>
    <w:rsid w:val="006436B9"/>
    <w:rsid w:val="006437C9"/>
    <w:rsid w:val="0064380A"/>
    <w:rsid w:val="006438A5"/>
    <w:rsid w:val="00643C12"/>
    <w:rsid w:val="00643CFB"/>
    <w:rsid w:val="00643D31"/>
    <w:rsid w:val="00643E2C"/>
    <w:rsid w:val="00643FFE"/>
    <w:rsid w:val="0064417C"/>
    <w:rsid w:val="00644366"/>
    <w:rsid w:val="006445EC"/>
    <w:rsid w:val="006446FD"/>
    <w:rsid w:val="006446FF"/>
    <w:rsid w:val="00644743"/>
    <w:rsid w:val="006447A9"/>
    <w:rsid w:val="006449C2"/>
    <w:rsid w:val="00644A9C"/>
    <w:rsid w:val="00644AD4"/>
    <w:rsid w:val="00644CEB"/>
    <w:rsid w:val="00644DBE"/>
    <w:rsid w:val="00644E37"/>
    <w:rsid w:val="00644F67"/>
    <w:rsid w:val="00645174"/>
    <w:rsid w:val="00645189"/>
    <w:rsid w:val="00645256"/>
    <w:rsid w:val="006454FA"/>
    <w:rsid w:val="00645574"/>
    <w:rsid w:val="006457DD"/>
    <w:rsid w:val="0064585F"/>
    <w:rsid w:val="0064586A"/>
    <w:rsid w:val="006459AA"/>
    <w:rsid w:val="00645A88"/>
    <w:rsid w:val="00645B0C"/>
    <w:rsid w:val="00645B9F"/>
    <w:rsid w:val="0064603C"/>
    <w:rsid w:val="006461EF"/>
    <w:rsid w:val="006463C4"/>
    <w:rsid w:val="00646429"/>
    <w:rsid w:val="0064643D"/>
    <w:rsid w:val="00646603"/>
    <w:rsid w:val="0064677A"/>
    <w:rsid w:val="00646927"/>
    <w:rsid w:val="006469C7"/>
    <w:rsid w:val="00646BBE"/>
    <w:rsid w:val="00646CD1"/>
    <w:rsid w:val="00646CDF"/>
    <w:rsid w:val="00646CF1"/>
    <w:rsid w:val="00646DD1"/>
    <w:rsid w:val="006470B7"/>
    <w:rsid w:val="006471B6"/>
    <w:rsid w:val="0064739E"/>
    <w:rsid w:val="00647533"/>
    <w:rsid w:val="006475D1"/>
    <w:rsid w:val="00647811"/>
    <w:rsid w:val="00647AAF"/>
    <w:rsid w:val="00647B3F"/>
    <w:rsid w:val="00647B8F"/>
    <w:rsid w:val="00647BE0"/>
    <w:rsid w:val="00647CD2"/>
    <w:rsid w:val="00647D07"/>
    <w:rsid w:val="00647E30"/>
    <w:rsid w:val="00647E74"/>
    <w:rsid w:val="00647EF6"/>
    <w:rsid w:val="00647F1D"/>
    <w:rsid w:val="00647F4C"/>
    <w:rsid w:val="00647F5D"/>
    <w:rsid w:val="00650091"/>
    <w:rsid w:val="00650097"/>
    <w:rsid w:val="00650308"/>
    <w:rsid w:val="0065045C"/>
    <w:rsid w:val="006504A9"/>
    <w:rsid w:val="006504B7"/>
    <w:rsid w:val="00650734"/>
    <w:rsid w:val="00650822"/>
    <w:rsid w:val="00650A6D"/>
    <w:rsid w:val="00650DBE"/>
    <w:rsid w:val="00650DED"/>
    <w:rsid w:val="00650E47"/>
    <w:rsid w:val="00650E89"/>
    <w:rsid w:val="00650E8B"/>
    <w:rsid w:val="00651143"/>
    <w:rsid w:val="00651223"/>
    <w:rsid w:val="0065122C"/>
    <w:rsid w:val="0065126F"/>
    <w:rsid w:val="0065139C"/>
    <w:rsid w:val="006513AC"/>
    <w:rsid w:val="00651423"/>
    <w:rsid w:val="006514C8"/>
    <w:rsid w:val="006515E1"/>
    <w:rsid w:val="006516B1"/>
    <w:rsid w:val="006516E4"/>
    <w:rsid w:val="006517AA"/>
    <w:rsid w:val="006519BE"/>
    <w:rsid w:val="00651A38"/>
    <w:rsid w:val="00651ED2"/>
    <w:rsid w:val="00651F17"/>
    <w:rsid w:val="006520BF"/>
    <w:rsid w:val="006521D6"/>
    <w:rsid w:val="006522A1"/>
    <w:rsid w:val="006525CD"/>
    <w:rsid w:val="00652607"/>
    <w:rsid w:val="006526A9"/>
    <w:rsid w:val="006526B5"/>
    <w:rsid w:val="006527BD"/>
    <w:rsid w:val="006527C7"/>
    <w:rsid w:val="006528F5"/>
    <w:rsid w:val="0065298F"/>
    <w:rsid w:val="00652A35"/>
    <w:rsid w:val="00652CD6"/>
    <w:rsid w:val="00653003"/>
    <w:rsid w:val="00653126"/>
    <w:rsid w:val="0065317C"/>
    <w:rsid w:val="00653486"/>
    <w:rsid w:val="00653983"/>
    <w:rsid w:val="006539DF"/>
    <w:rsid w:val="00653A54"/>
    <w:rsid w:val="00653A71"/>
    <w:rsid w:val="00653A99"/>
    <w:rsid w:val="00653B4B"/>
    <w:rsid w:val="00653EC4"/>
    <w:rsid w:val="006541D8"/>
    <w:rsid w:val="00654374"/>
    <w:rsid w:val="0065456D"/>
    <w:rsid w:val="006545E9"/>
    <w:rsid w:val="0065467F"/>
    <w:rsid w:val="006546D2"/>
    <w:rsid w:val="00654866"/>
    <w:rsid w:val="006549BA"/>
    <w:rsid w:val="00654A1D"/>
    <w:rsid w:val="00654A35"/>
    <w:rsid w:val="00654C90"/>
    <w:rsid w:val="00654CA0"/>
    <w:rsid w:val="006550C3"/>
    <w:rsid w:val="006552BE"/>
    <w:rsid w:val="00655507"/>
    <w:rsid w:val="006556B6"/>
    <w:rsid w:val="006557DC"/>
    <w:rsid w:val="006559F0"/>
    <w:rsid w:val="00655AF9"/>
    <w:rsid w:val="00655CAB"/>
    <w:rsid w:val="00655CB6"/>
    <w:rsid w:val="00655CE0"/>
    <w:rsid w:val="00655D25"/>
    <w:rsid w:val="00655D8E"/>
    <w:rsid w:val="00655F34"/>
    <w:rsid w:val="00656024"/>
    <w:rsid w:val="006560E1"/>
    <w:rsid w:val="006560F4"/>
    <w:rsid w:val="0065612B"/>
    <w:rsid w:val="006561F5"/>
    <w:rsid w:val="006564A9"/>
    <w:rsid w:val="0065672F"/>
    <w:rsid w:val="00656A0F"/>
    <w:rsid w:val="00656A68"/>
    <w:rsid w:val="00656A9E"/>
    <w:rsid w:val="00656D60"/>
    <w:rsid w:val="00656D70"/>
    <w:rsid w:val="00656E97"/>
    <w:rsid w:val="00656F55"/>
    <w:rsid w:val="006571F6"/>
    <w:rsid w:val="006572A2"/>
    <w:rsid w:val="00657389"/>
    <w:rsid w:val="00657651"/>
    <w:rsid w:val="0065786B"/>
    <w:rsid w:val="006578CE"/>
    <w:rsid w:val="00657964"/>
    <w:rsid w:val="00657A87"/>
    <w:rsid w:val="00657ED2"/>
    <w:rsid w:val="00657F06"/>
    <w:rsid w:val="00657FEB"/>
    <w:rsid w:val="00660042"/>
    <w:rsid w:val="006602C8"/>
    <w:rsid w:val="0066048B"/>
    <w:rsid w:val="00660797"/>
    <w:rsid w:val="0066080B"/>
    <w:rsid w:val="0066088B"/>
    <w:rsid w:val="00660DE0"/>
    <w:rsid w:val="00660EF1"/>
    <w:rsid w:val="00660F30"/>
    <w:rsid w:val="0066114F"/>
    <w:rsid w:val="0066116E"/>
    <w:rsid w:val="00661487"/>
    <w:rsid w:val="00661562"/>
    <w:rsid w:val="00661567"/>
    <w:rsid w:val="0066164B"/>
    <w:rsid w:val="006616A1"/>
    <w:rsid w:val="00661820"/>
    <w:rsid w:val="00661ABA"/>
    <w:rsid w:val="00661B83"/>
    <w:rsid w:val="00661BB3"/>
    <w:rsid w:val="00661D05"/>
    <w:rsid w:val="00661D08"/>
    <w:rsid w:val="00661D14"/>
    <w:rsid w:val="00661D95"/>
    <w:rsid w:val="00661E89"/>
    <w:rsid w:val="00662023"/>
    <w:rsid w:val="0066208B"/>
    <w:rsid w:val="00662206"/>
    <w:rsid w:val="0066233E"/>
    <w:rsid w:val="006623FF"/>
    <w:rsid w:val="00662433"/>
    <w:rsid w:val="00662442"/>
    <w:rsid w:val="006626CE"/>
    <w:rsid w:val="006626DB"/>
    <w:rsid w:val="00662B50"/>
    <w:rsid w:val="00662EB7"/>
    <w:rsid w:val="006631C7"/>
    <w:rsid w:val="006633E4"/>
    <w:rsid w:val="00663561"/>
    <w:rsid w:val="00663581"/>
    <w:rsid w:val="0066379E"/>
    <w:rsid w:val="006637D5"/>
    <w:rsid w:val="0066391C"/>
    <w:rsid w:val="0066393F"/>
    <w:rsid w:val="0066395B"/>
    <w:rsid w:val="00663CF6"/>
    <w:rsid w:val="00663D6D"/>
    <w:rsid w:val="006640D4"/>
    <w:rsid w:val="006640E2"/>
    <w:rsid w:val="00664373"/>
    <w:rsid w:val="006643AE"/>
    <w:rsid w:val="006643E0"/>
    <w:rsid w:val="006646C2"/>
    <w:rsid w:val="00664869"/>
    <w:rsid w:val="006649C1"/>
    <w:rsid w:val="006649FB"/>
    <w:rsid w:val="00664AE2"/>
    <w:rsid w:val="00664B2B"/>
    <w:rsid w:val="00664BE7"/>
    <w:rsid w:val="00664C69"/>
    <w:rsid w:val="0066508C"/>
    <w:rsid w:val="0066513C"/>
    <w:rsid w:val="00665222"/>
    <w:rsid w:val="0066528F"/>
    <w:rsid w:val="006652D0"/>
    <w:rsid w:val="006652E6"/>
    <w:rsid w:val="00665410"/>
    <w:rsid w:val="00665610"/>
    <w:rsid w:val="0066576B"/>
    <w:rsid w:val="0066590B"/>
    <w:rsid w:val="00665AB4"/>
    <w:rsid w:val="00665AD3"/>
    <w:rsid w:val="00665B43"/>
    <w:rsid w:val="00665C70"/>
    <w:rsid w:val="00665D5A"/>
    <w:rsid w:val="00665E57"/>
    <w:rsid w:val="00665EDB"/>
    <w:rsid w:val="00665F4C"/>
    <w:rsid w:val="0066624F"/>
    <w:rsid w:val="00666268"/>
    <w:rsid w:val="006663BA"/>
    <w:rsid w:val="00666506"/>
    <w:rsid w:val="0066663A"/>
    <w:rsid w:val="00666730"/>
    <w:rsid w:val="0066679E"/>
    <w:rsid w:val="006669CF"/>
    <w:rsid w:val="00666C67"/>
    <w:rsid w:val="00666FE2"/>
    <w:rsid w:val="006671C8"/>
    <w:rsid w:val="00667203"/>
    <w:rsid w:val="00667225"/>
    <w:rsid w:val="006672D1"/>
    <w:rsid w:val="006674D8"/>
    <w:rsid w:val="006675D2"/>
    <w:rsid w:val="00667789"/>
    <w:rsid w:val="0066788F"/>
    <w:rsid w:val="00667A2A"/>
    <w:rsid w:val="00667AFF"/>
    <w:rsid w:val="00667B8C"/>
    <w:rsid w:val="00667C2D"/>
    <w:rsid w:val="00667D95"/>
    <w:rsid w:val="00667E35"/>
    <w:rsid w:val="00667E59"/>
    <w:rsid w:val="00667FF2"/>
    <w:rsid w:val="006701B4"/>
    <w:rsid w:val="00670283"/>
    <w:rsid w:val="006703BE"/>
    <w:rsid w:val="00670525"/>
    <w:rsid w:val="00670601"/>
    <w:rsid w:val="0067077D"/>
    <w:rsid w:val="006708A4"/>
    <w:rsid w:val="00670956"/>
    <w:rsid w:val="006709AE"/>
    <w:rsid w:val="006709C4"/>
    <w:rsid w:val="00670AE8"/>
    <w:rsid w:val="00670B73"/>
    <w:rsid w:val="00670C48"/>
    <w:rsid w:val="00670D90"/>
    <w:rsid w:val="00670DDE"/>
    <w:rsid w:val="00670FE4"/>
    <w:rsid w:val="00670FE6"/>
    <w:rsid w:val="00671032"/>
    <w:rsid w:val="0067104F"/>
    <w:rsid w:val="0067114B"/>
    <w:rsid w:val="00671180"/>
    <w:rsid w:val="0067154F"/>
    <w:rsid w:val="006717C5"/>
    <w:rsid w:val="0067193C"/>
    <w:rsid w:val="00671A46"/>
    <w:rsid w:val="00671BF0"/>
    <w:rsid w:val="00671C16"/>
    <w:rsid w:val="00671C3C"/>
    <w:rsid w:val="00671D12"/>
    <w:rsid w:val="00671D7F"/>
    <w:rsid w:val="00671DE9"/>
    <w:rsid w:val="00671EE3"/>
    <w:rsid w:val="00672193"/>
    <w:rsid w:val="00672230"/>
    <w:rsid w:val="006722EA"/>
    <w:rsid w:val="006723B7"/>
    <w:rsid w:val="0067243C"/>
    <w:rsid w:val="006725AA"/>
    <w:rsid w:val="00672745"/>
    <w:rsid w:val="0067287A"/>
    <w:rsid w:val="0067287E"/>
    <w:rsid w:val="00672942"/>
    <w:rsid w:val="00672C4A"/>
    <w:rsid w:val="00672C91"/>
    <w:rsid w:val="00672D5A"/>
    <w:rsid w:val="00672DFD"/>
    <w:rsid w:val="00672E4B"/>
    <w:rsid w:val="006731CA"/>
    <w:rsid w:val="0067323F"/>
    <w:rsid w:val="006734FF"/>
    <w:rsid w:val="00673656"/>
    <w:rsid w:val="0067380A"/>
    <w:rsid w:val="0067397C"/>
    <w:rsid w:val="00673CDC"/>
    <w:rsid w:val="00673EC3"/>
    <w:rsid w:val="00673F0C"/>
    <w:rsid w:val="00674008"/>
    <w:rsid w:val="00674286"/>
    <w:rsid w:val="00674387"/>
    <w:rsid w:val="0067452E"/>
    <w:rsid w:val="00674547"/>
    <w:rsid w:val="006745AC"/>
    <w:rsid w:val="00674622"/>
    <w:rsid w:val="00674664"/>
    <w:rsid w:val="006746D5"/>
    <w:rsid w:val="00674770"/>
    <w:rsid w:val="00674A60"/>
    <w:rsid w:val="00674BD8"/>
    <w:rsid w:val="00674CB2"/>
    <w:rsid w:val="00674DAC"/>
    <w:rsid w:val="00674DCA"/>
    <w:rsid w:val="00674FD6"/>
    <w:rsid w:val="00674FF3"/>
    <w:rsid w:val="00675013"/>
    <w:rsid w:val="00675092"/>
    <w:rsid w:val="006750DA"/>
    <w:rsid w:val="00675141"/>
    <w:rsid w:val="006751AD"/>
    <w:rsid w:val="006752BA"/>
    <w:rsid w:val="00675370"/>
    <w:rsid w:val="006754D1"/>
    <w:rsid w:val="00675534"/>
    <w:rsid w:val="006755AA"/>
    <w:rsid w:val="006755B0"/>
    <w:rsid w:val="0067575A"/>
    <w:rsid w:val="0067575C"/>
    <w:rsid w:val="00675B0D"/>
    <w:rsid w:val="00675B79"/>
    <w:rsid w:val="00675B84"/>
    <w:rsid w:val="00675BCA"/>
    <w:rsid w:val="00675C3E"/>
    <w:rsid w:val="00675CD5"/>
    <w:rsid w:val="00675E1D"/>
    <w:rsid w:val="006760C6"/>
    <w:rsid w:val="0067616F"/>
    <w:rsid w:val="0067628E"/>
    <w:rsid w:val="00676543"/>
    <w:rsid w:val="00676674"/>
    <w:rsid w:val="006768ED"/>
    <w:rsid w:val="006769BA"/>
    <w:rsid w:val="006769EF"/>
    <w:rsid w:val="00676AE8"/>
    <w:rsid w:val="00676BC5"/>
    <w:rsid w:val="0067721B"/>
    <w:rsid w:val="0067755A"/>
    <w:rsid w:val="00677578"/>
    <w:rsid w:val="006775A3"/>
    <w:rsid w:val="006776A0"/>
    <w:rsid w:val="0067778A"/>
    <w:rsid w:val="0067798E"/>
    <w:rsid w:val="00677C28"/>
    <w:rsid w:val="00677D85"/>
    <w:rsid w:val="00677F1E"/>
    <w:rsid w:val="00677FB4"/>
    <w:rsid w:val="00677FC3"/>
    <w:rsid w:val="00680124"/>
    <w:rsid w:val="0068030D"/>
    <w:rsid w:val="0068035C"/>
    <w:rsid w:val="006804A6"/>
    <w:rsid w:val="006804E1"/>
    <w:rsid w:val="006804E9"/>
    <w:rsid w:val="00680544"/>
    <w:rsid w:val="00680698"/>
    <w:rsid w:val="006808B7"/>
    <w:rsid w:val="00680907"/>
    <w:rsid w:val="006809FC"/>
    <w:rsid w:val="00680AC7"/>
    <w:rsid w:val="00680B9B"/>
    <w:rsid w:val="00680C7A"/>
    <w:rsid w:val="00680E3D"/>
    <w:rsid w:val="00680E4D"/>
    <w:rsid w:val="00680F2D"/>
    <w:rsid w:val="00680F53"/>
    <w:rsid w:val="00680F65"/>
    <w:rsid w:val="00680F97"/>
    <w:rsid w:val="0068103F"/>
    <w:rsid w:val="006814EF"/>
    <w:rsid w:val="00681622"/>
    <w:rsid w:val="00681657"/>
    <w:rsid w:val="0068174C"/>
    <w:rsid w:val="00681909"/>
    <w:rsid w:val="006819C2"/>
    <w:rsid w:val="00681B6F"/>
    <w:rsid w:val="00681C7A"/>
    <w:rsid w:val="00681F19"/>
    <w:rsid w:val="00682214"/>
    <w:rsid w:val="006822DB"/>
    <w:rsid w:val="006823BD"/>
    <w:rsid w:val="0068251A"/>
    <w:rsid w:val="0068256D"/>
    <w:rsid w:val="00682663"/>
    <w:rsid w:val="00682707"/>
    <w:rsid w:val="00682782"/>
    <w:rsid w:val="00682AD5"/>
    <w:rsid w:val="00682B08"/>
    <w:rsid w:val="00682D1E"/>
    <w:rsid w:val="00682D86"/>
    <w:rsid w:val="00682FB0"/>
    <w:rsid w:val="00683161"/>
    <w:rsid w:val="00683476"/>
    <w:rsid w:val="00683588"/>
    <w:rsid w:val="00683596"/>
    <w:rsid w:val="00683B58"/>
    <w:rsid w:val="00683BA4"/>
    <w:rsid w:val="00683C6D"/>
    <w:rsid w:val="00683E68"/>
    <w:rsid w:val="00683F37"/>
    <w:rsid w:val="00684109"/>
    <w:rsid w:val="00684194"/>
    <w:rsid w:val="0068419B"/>
    <w:rsid w:val="00684378"/>
    <w:rsid w:val="0068439B"/>
    <w:rsid w:val="006843D8"/>
    <w:rsid w:val="0068444F"/>
    <w:rsid w:val="006845D1"/>
    <w:rsid w:val="0068465B"/>
    <w:rsid w:val="006846BA"/>
    <w:rsid w:val="006847B7"/>
    <w:rsid w:val="0068484A"/>
    <w:rsid w:val="00684A6D"/>
    <w:rsid w:val="00684AF0"/>
    <w:rsid w:val="00684C6C"/>
    <w:rsid w:val="00684D45"/>
    <w:rsid w:val="00684D63"/>
    <w:rsid w:val="00684D99"/>
    <w:rsid w:val="00684E51"/>
    <w:rsid w:val="00684F22"/>
    <w:rsid w:val="00684F54"/>
    <w:rsid w:val="00684FC7"/>
    <w:rsid w:val="00684FF8"/>
    <w:rsid w:val="00685011"/>
    <w:rsid w:val="006850A2"/>
    <w:rsid w:val="006852B3"/>
    <w:rsid w:val="006852D1"/>
    <w:rsid w:val="0068538E"/>
    <w:rsid w:val="00685480"/>
    <w:rsid w:val="0068562A"/>
    <w:rsid w:val="00685650"/>
    <w:rsid w:val="006856F3"/>
    <w:rsid w:val="0068578E"/>
    <w:rsid w:val="0068593D"/>
    <w:rsid w:val="006859BF"/>
    <w:rsid w:val="00685A13"/>
    <w:rsid w:val="00685A86"/>
    <w:rsid w:val="00685D8F"/>
    <w:rsid w:val="00685E82"/>
    <w:rsid w:val="00685F55"/>
    <w:rsid w:val="00686065"/>
    <w:rsid w:val="006862EA"/>
    <w:rsid w:val="00686329"/>
    <w:rsid w:val="006863E8"/>
    <w:rsid w:val="00686682"/>
    <w:rsid w:val="006868DF"/>
    <w:rsid w:val="00686980"/>
    <w:rsid w:val="00686C47"/>
    <w:rsid w:val="00686CB9"/>
    <w:rsid w:val="00686CBC"/>
    <w:rsid w:val="00686D32"/>
    <w:rsid w:val="00686D7F"/>
    <w:rsid w:val="00686E89"/>
    <w:rsid w:val="00686EDA"/>
    <w:rsid w:val="00686FE6"/>
    <w:rsid w:val="006870FC"/>
    <w:rsid w:val="0068721C"/>
    <w:rsid w:val="00687296"/>
    <w:rsid w:val="00687319"/>
    <w:rsid w:val="00687393"/>
    <w:rsid w:val="0068756D"/>
    <w:rsid w:val="006875FB"/>
    <w:rsid w:val="0068765F"/>
    <w:rsid w:val="006877C9"/>
    <w:rsid w:val="006877FB"/>
    <w:rsid w:val="006877FD"/>
    <w:rsid w:val="006878BF"/>
    <w:rsid w:val="00687BFB"/>
    <w:rsid w:val="00687EC8"/>
    <w:rsid w:val="00690342"/>
    <w:rsid w:val="0069035C"/>
    <w:rsid w:val="00690368"/>
    <w:rsid w:val="006903B4"/>
    <w:rsid w:val="006903BC"/>
    <w:rsid w:val="006905B9"/>
    <w:rsid w:val="006905EF"/>
    <w:rsid w:val="00690641"/>
    <w:rsid w:val="00690743"/>
    <w:rsid w:val="006907C8"/>
    <w:rsid w:val="006908AC"/>
    <w:rsid w:val="006908BE"/>
    <w:rsid w:val="0069090E"/>
    <w:rsid w:val="00690979"/>
    <w:rsid w:val="00690980"/>
    <w:rsid w:val="006909B7"/>
    <w:rsid w:val="00690A1B"/>
    <w:rsid w:val="00690C72"/>
    <w:rsid w:val="00690C83"/>
    <w:rsid w:val="00690D6E"/>
    <w:rsid w:val="00690ED3"/>
    <w:rsid w:val="00690FA7"/>
    <w:rsid w:val="00691153"/>
    <w:rsid w:val="0069119C"/>
    <w:rsid w:val="006911B1"/>
    <w:rsid w:val="00691413"/>
    <w:rsid w:val="00691785"/>
    <w:rsid w:val="006918B9"/>
    <w:rsid w:val="0069196F"/>
    <w:rsid w:val="006919AC"/>
    <w:rsid w:val="00691BDD"/>
    <w:rsid w:val="00691C03"/>
    <w:rsid w:val="00691EDF"/>
    <w:rsid w:val="00691F44"/>
    <w:rsid w:val="006921C7"/>
    <w:rsid w:val="006921ED"/>
    <w:rsid w:val="00692424"/>
    <w:rsid w:val="00692476"/>
    <w:rsid w:val="00692507"/>
    <w:rsid w:val="0069272E"/>
    <w:rsid w:val="00692859"/>
    <w:rsid w:val="00692928"/>
    <w:rsid w:val="006929FB"/>
    <w:rsid w:val="00692A27"/>
    <w:rsid w:val="00692A2F"/>
    <w:rsid w:val="00692BB1"/>
    <w:rsid w:val="00692C50"/>
    <w:rsid w:val="00692C56"/>
    <w:rsid w:val="00692C7D"/>
    <w:rsid w:val="00692E39"/>
    <w:rsid w:val="00692EF8"/>
    <w:rsid w:val="00692FBE"/>
    <w:rsid w:val="006930FA"/>
    <w:rsid w:val="006931AF"/>
    <w:rsid w:val="00693282"/>
    <w:rsid w:val="00693828"/>
    <w:rsid w:val="0069386C"/>
    <w:rsid w:val="00693876"/>
    <w:rsid w:val="0069388E"/>
    <w:rsid w:val="00693A58"/>
    <w:rsid w:val="00693AB7"/>
    <w:rsid w:val="00693CE3"/>
    <w:rsid w:val="00693D3E"/>
    <w:rsid w:val="00693E98"/>
    <w:rsid w:val="006940B4"/>
    <w:rsid w:val="0069425B"/>
    <w:rsid w:val="00694381"/>
    <w:rsid w:val="00694432"/>
    <w:rsid w:val="00694468"/>
    <w:rsid w:val="006944D0"/>
    <w:rsid w:val="006944F9"/>
    <w:rsid w:val="00694A31"/>
    <w:rsid w:val="00694AA7"/>
    <w:rsid w:val="00694BBC"/>
    <w:rsid w:val="00694BFC"/>
    <w:rsid w:val="00694C40"/>
    <w:rsid w:val="00694C41"/>
    <w:rsid w:val="00694C9A"/>
    <w:rsid w:val="00694D88"/>
    <w:rsid w:val="00695338"/>
    <w:rsid w:val="006955DC"/>
    <w:rsid w:val="006955DE"/>
    <w:rsid w:val="0069578E"/>
    <w:rsid w:val="00695806"/>
    <w:rsid w:val="00695877"/>
    <w:rsid w:val="0069597E"/>
    <w:rsid w:val="006959C1"/>
    <w:rsid w:val="006959DC"/>
    <w:rsid w:val="006959F6"/>
    <w:rsid w:val="00695A45"/>
    <w:rsid w:val="00695A68"/>
    <w:rsid w:val="00695B02"/>
    <w:rsid w:val="00695B1A"/>
    <w:rsid w:val="00695E3A"/>
    <w:rsid w:val="00695F6A"/>
    <w:rsid w:val="0069601F"/>
    <w:rsid w:val="006960C8"/>
    <w:rsid w:val="006960DC"/>
    <w:rsid w:val="006961A8"/>
    <w:rsid w:val="006963F9"/>
    <w:rsid w:val="00696498"/>
    <w:rsid w:val="0069674D"/>
    <w:rsid w:val="00696808"/>
    <w:rsid w:val="00696825"/>
    <w:rsid w:val="00696AE3"/>
    <w:rsid w:val="00696CBF"/>
    <w:rsid w:val="0069703F"/>
    <w:rsid w:val="006971F8"/>
    <w:rsid w:val="0069737B"/>
    <w:rsid w:val="006975DE"/>
    <w:rsid w:val="006977E3"/>
    <w:rsid w:val="006979D2"/>
    <w:rsid w:val="00697A0F"/>
    <w:rsid w:val="00697B79"/>
    <w:rsid w:val="00697C07"/>
    <w:rsid w:val="00697CDD"/>
    <w:rsid w:val="00697D51"/>
    <w:rsid w:val="00697E74"/>
    <w:rsid w:val="00697F76"/>
    <w:rsid w:val="006A0475"/>
    <w:rsid w:val="006A0598"/>
    <w:rsid w:val="006A0653"/>
    <w:rsid w:val="006A0877"/>
    <w:rsid w:val="006A0885"/>
    <w:rsid w:val="006A0910"/>
    <w:rsid w:val="006A0942"/>
    <w:rsid w:val="006A09D4"/>
    <w:rsid w:val="006A0BDE"/>
    <w:rsid w:val="006A0BFF"/>
    <w:rsid w:val="006A0C17"/>
    <w:rsid w:val="006A0F03"/>
    <w:rsid w:val="006A115B"/>
    <w:rsid w:val="006A123A"/>
    <w:rsid w:val="006A12E3"/>
    <w:rsid w:val="006A134F"/>
    <w:rsid w:val="006A1390"/>
    <w:rsid w:val="006A1420"/>
    <w:rsid w:val="006A149D"/>
    <w:rsid w:val="006A1636"/>
    <w:rsid w:val="006A165C"/>
    <w:rsid w:val="006A174A"/>
    <w:rsid w:val="006A17E1"/>
    <w:rsid w:val="006A1911"/>
    <w:rsid w:val="006A196A"/>
    <w:rsid w:val="006A197E"/>
    <w:rsid w:val="006A1B43"/>
    <w:rsid w:val="006A1B67"/>
    <w:rsid w:val="006A1C55"/>
    <w:rsid w:val="006A1C93"/>
    <w:rsid w:val="006A1D51"/>
    <w:rsid w:val="006A1ED1"/>
    <w:rsid w:val="006A1F48"/>
    <w:rsid w:val="006A202F"/>
    <w:rsid w:val="006A2270"/>
    <w:rsid w:val="006A2319"/>
    <w:rsid w:val="006A24BD"/>
    <w:rsid w:val="006A27C9"/>
    <w:rsid w:val="006A2978"/>
    <w:rsid w:val="006A29FA"/>
    <w:rsid w:val="006A2A08"/>
    <w:rsid w:val="006A2AFC"/>
    <w:rsid w:val="006A2B65"/>
    <w:rsid w:val="006A2B66"/>
    <w:rsid w:val="006A2BA8"/>
    <w:rsid w:val="006A2C16"/>
    <w:rsid w:val="006A2D65"/>
    <w:rsid w:val="006A2DC9"/>
    <w:rsid w:val="006A2E73"/>
    <w:rsid w:val="006A2F1F"/>
    <w:rsid w:val="006A3048"/>
    <w:rsid w:val="006A3200"/>
    <w:rsid w:val="006A3335"/>
    <w:rsid w:val="006A33DC"/>
    <w:rsid w:val="006A3525"/>
    <w:rsid w:val="006A35CB"/>
    <w:rsid w:val="006A35E7"/>
    <w:rsid w:val="006A3A41"/>
    <w:rsid w:val="006A3B1D"/>
    <w:rsid w:val="006A3CD8"/>
    <w:rsid w:val="006A3DE4"/>
    <w:rsid w:val="006A3FD5"/>
    <w:rsid w:val="006A401C"/>
    <w:rsid w:val="006A410F"/>
    <w:rsid w:val="006A4219"/>
    <w:rsid w:val="006A4243"/>
    <w:rsid w:val="006A42A5"/>
    <w:rsid w:val="006A43A3"/>
    <w:rsid w:val="006A48ED"/>
    <w:rsid w:val="006A4922"/>
    <w:rsid w:val="006A49CC"/>
    <w:rsid w:val="006A4CC4"/>
    <w:rsid w:val="006A4DB7"/>
    <w:rsid w:val="006A4DC7"/>
    <w:rsid w:val="006A4DF3"/>
    <w:rsid w:val="006A5124"/>
    <w:rsid w:val="006A51CF"/>
    <w:rsid w:val="006A522F"/>
    <w:rsid w:val="006A528B"/>
    <w:rsid w:val="006A53A3"/>
    <w:rsid w:val="006A597D"/>
    <w:rsid w:val="006A59B5"/>
    <w:rsid w:val="006A5A90"/>
    <w:rsid w:val="006A5BE3"/>
    <w:rsid w:val="006A5CF3"/>
    <w:rsid w:val="006A5E32"/>
    <w:rsid w:val="006A5E58"/>
    <w:rsid w:val="006A5F3E"/>
    <w:rsid w:val="006A5F71"/>
    <w:rsid w:val="006A6110"/>
    <w:rsid w:val="006A615B"/>
    <w:rsid w:val="006A6188"/>
    <w:rsid w:val="006A61CF"/>
    <w:rsid w:val="006A6381"/>
    <w:rsid w:val="006A640A"/>
    <w:rsid w:val="006A6423"/>
    <w:rsid w:val="006A6489"/>
    <w:rsid w:val="006A6617"/>
    <w:rsid w:val="006A6686"/>
    <w:rsid w:val="006A66C8"/>
    <w:rsid w:val="006A67E5"/>
    <w:rsid w:val="006A68D6"/>
    <w:rsid w:val="006A69D4"/>
    <w:rsid w:val="006A6A3E"/>
    <w:rsid w:val="006A6D01"/>
    <w:rsid w:val="006A6E69"/>
    <w:rsid w:val="006A6E6B"/>
    <w:rsid w:val="006A701C"/>
    <w:rsid w:val="006A722E"/>
    <w:rsid w:val="006A72B6"/>
    <w:rsid w:val="006A7312"/>
    <w:rsid w:val="006A7369"/>
    <w:rsid w:val="006A73EE"/>
    <w:rsid w:val="006A7402"/>
    <w:rsid w:val="006A748D"/>
    <w:rsid w:val="006A7720"/>
    <w:rsid w:val="006A7B5A"/>
    <w:rsid w:val="006A7CE6"/>
    <w:rsid w:val="006A7CFA"/>
    <w:rsid w:val="006A7E76"/>
    <w:rsid w:val="006A7E98"/>
    <w:rsid w:val="006A7FC0"/>
    <w:rsid w:val="006B0104"/>
    <w:rsid w:val="006B0134"/>
    <w:rsid w:val="006B0319"/>
    <w:rsid w:val="006B0AEA"/>
    <w:rsid w:val="006B0DB3"/>
    <w:rsid w:val="006B0DC2"/>
    <w:rsid w:val="006B0E48"/>
    <w:rsid w:val="006B0F81"/>
    <w:rsid w:val="006B12E6"/>
    <w:rsid w:val="006B14F9"/>
    <w:rsid w:val="006B1541"/>
    <w:rsid w:val="006B194C"/>
    <w:rsid w:val="006B1A0F"/>
    <w:rsid w:val="006B1A3E"/>
    <w:rsid w:val="006B1ADF"/>
    <w:rsid w:val="006B1BCE"/>
    <w:rsid w:val="006B1CE1"/>
    <w:rsid w:val="006B1E11"/>
    <w:rsid w:val="006B2059"/>
    <w:rsid w:val="006B2101"/>
    <w:rsid w:val="006B213B"/>
    <w:rsid w:val="006B23C2"/>
    <w:rsid w:val="006B244A"/>
    <w:rsid w:val="006B2619"/>
    <w:rsid w:val="006B26A4"/>
    <w:rsid w:val="006B28E9"/>
    <w:rsid w:val="006B29BF"/>
    <w:rsid w:val="006B2A90"/>
    <w:rsid w:val="006B2B6F"/>
    <w:rsid w:val="006B2C2F"/>
    <w:rsid w:val="006B2C9B"/>
    <w:rsid w:val="006B2DFD"/>
    <w:rsid w:val="006B2F2A"/>
    <w:rsid w:val="006B2F3E"/>
    <w:rsid w:val="006B2FB3"/>
    <w:rsid w:val="006B303B"/>
    <w:rsid w:val="006B31D5"/>
    <w:rsid w:val="006B3228"/>
    <w:rsid w:val="006B345B"/>
    <w:rsid w:val="006B3477"/>
    <w:rsid w:val="006B3517"/>
    <w:rsid w:val="006B3919"/>
    <w:rsid w:val="006B3969"/>
    <w:rsid w:val="006B3A02"/>
    <w:rsid w:val="006B3CA4"/>
    <w:rsid w:val="006B3CA5"/>
    <w:rsid w:val="006B3F56"/>
    <w:rsid w:val="006B403D"/>
    <w:rsid w:val="006B415A"/>
    <w:rsid w:val="006B4336"/>
    <w:rsid w:val="006B43C1"/>
    <w:rsid w:val="006B440C"/>
    <w:rsid w:val="006B4535"/>
    <w:rsid w:val="006B4682"/>
    <w:rsid w:val="006B47FE"/>
    <w:rsid w:val="006B496B"/>
    <w:rsid w:val="006B4A50"/>
    <w:rsid w:val="006B4CA9"/>
    <w:rsid w:val="006B4D29"/>
    <w:rsid w:val="006B4D45"/>
    <w:rsid w:val="006B4DFB"/>
    <w:rsid w:val="006B4EB3"/>
    <w:rsid w:val="006B50E1"/>
    <w:rsid w:val="006B513E"/>
    <w:rsid w:val="006B53A9"/>
    <w:rsid w:val="006B53C9"/>
    <w:rsid w:val="006B560E"/>
    <w:rsid w:val="006B57A5"/>
    <w:rsid w:val="006B581A"/>
    <w:rsid w:val="006B5842"/>
    <w:rsid w:val="006B5847"/>
    <w:rsid w:val="006B5993"/>
    <w:rsid w:val="006B5A0F"/>
    <w:rsid w:val="006B5A97"/>
    <w:rsid w:val="006B5AB0"/>
    <w:rsid w:val="006B5C9E"/>
    <w:rsid w:val="006B5D2F"/>
    <w:rsid w:val="006B5E4D"/>
    <w:rsid w:val="006B60AC"/>
    <w:rsid w:val="006B62E4"/>
    <w:rsid w:val="006B63EB"/>
    <w:rsid w:val="006B6403"/>
    <w:rsid w:val="006B64A3"/>
    <w:rsid w:val="006B64CE"/>
    <w:rsid w:val="006B659A"/>
    <w:rsid w:val="006B6869"/>
    <w:rsid w:val="006B6873"/>
    <w:rsid w:val="006B68F4"/>
    <w:rsid w:val="006B6925"/>
    <w:rsid w:val="006B696F"/>
    <w:rsid w:val="006B69D1"/>
    <w:rsid w:val="006B6C80"/>
    <w:rsid w:val="006B6F52"/>
    <w:rsid w:val="006B73F8"/>
    <w:rsid w:val="006B75B8"/>
    <w:rsid w:val="006B76AE"/>
    <w:rsid w:val="006B76EF"/>
    <w:rsid w:val="006B7710"/>
    <w:rsid w:val="006B77F5"/>
    <w:rsid w:val="006B782A"/>
    <w:rsid w:val="006B787B"/>
    <w:rsid w:val="006B7900"/>
    <w:rsid w:val="006B7BF9"/>
    <w:rsid w:val="006B7EC5"/>
    <w:rsid w:val="006B7F7B"/>
    <w:rsid w:val="006C00A8"/>
    <w:rsid w:val="006C01ED"/>
    <w:rsid w:val="006C0381"/>
    <w:rsid w:val="006C0652"/>
    <w:rsid w:val="006C069F"/>
    <w:rsid w:val="006C08C0"/>
    <w:rsid w:val="006C08FF"/>
    <w:rsid w:val="006C0903"/>
    <w:rsid w:val="006C090A"/>
    <w:rsid w:val="006C09F2"/>
    <w:rsid w:val="006C0DC0"/>
    <w:rsid w:val="006C0F1B"/>
    <w:rsid w:val="006C1071"/>
    <w:rsid w:val="006C12BE"/>
    <w:rsid w:val="006C1351"/>
    <w:rsid w:val="006C13DC"/>
    <w:rsid w:val="006C1411"/>
    <w:rsid w:val="006C154B"/>
    <w:rsid w:val="006C15D2"/>
    <w:rsid w:val="006C1666"/>
    <w:rsid w:val="006C16AC"/>
    <w:rsid w:val="006C1836"/>
    <w:rsid w:val="006C18DA"/>
    <w:rsid w:val="006C1A03"/>
    <w:rsid w:val="006C1A23"/>
    <w:rsid w:val="006C1C07"/>
    <w:rsid w:val="006C1C59"/>
    <w:rsid w:val="006C1DEF"/>
    <w:rsid w:val="006C1E94"/>
    <w:rsid w:val="006C1F73"/>
    <w:rsid w:val="006C205F"/>
    <w:rsid w:val="006C2137"/>
    <w:rsid w:val="006C2179"/>
    <w:rsid w:val="006C21C2"/>
    <w:rsid w:val="006C23F6"/>
    <w:rsid w:val="006C2617"/>
    <w:rsid w:val="006C2B99"/>
    <w:rsid w:val="006C2BA3"/>
    <w:rsid w:val="006C2C1E"/>
    <w:rsid w:val="006C2C89"/>
    <w:rsid w:val="006C2ED6"/>
    <w:rsid w:val="006C3177"/>
    <w:rsid w:val="006C3239"/>
    <w:rsid w:val="006C3243"/>
    <w:rsid w:val="006C32C3"/>
    <w:rsid w:val="006C371D"/>
    <w:rsid w:val="006C3753"/>
    <w:rsid w:val="006C3770"/>
    <w:rsid w:val="006C37A1"/>
    <w:rsid w:val="006C37AD"/>
    <w:rsid w:val="006C386E"/>
    <w:rsid w:val="006C38B7"/>
    <w:rsid w:val="006C390C"/>
    <w:rsid w:val="006C3CE3"/>
    <w:rsid w:val="006C3DCA"/>
    <w:rsid w:val="006C3EB7"/>
    <w:rsid w:val="006C3EE8"/>
    <w:rsid w:val="006C3F23"/>
    <w:rsid w:val="006C403A"/>
    <w:rsid w:val="006C4271"/>
    <w:rsid w:val="006C42B2"/>
    <w:rsid w:val="006C45B5"/>
    <w:rsid w:val="006C4689"/>
    <w:rsid w:val="006C4746"/>
    <w:rsid w:val="006C48B9"/>
    <w:rsid w:val="006C4962"/>
    <w:rsid w:val="006C49A7"/>
    <w:rsid w:val="006C4A36"/>
    <w:rsid w:val="006C4B20"/>
    <w:rsid w:val="006C4BC1"/>
    <w:rsid w:val="006C4DA1"/>
    <w:rsid w:val="006C4DE1"/>
    <w:rsid w:val="006C4E70"/>
    <w:rsid w:val="006C4EAE"/>
    <w:rsid w:val="006C4F92"/>
    <w:rsid w:val="006C5190"/>
    <w:rsid w:val="006C524E"/>
    <w:rsid w:val="006C5324"/>
    <w:rsid w:val="006C535C"/>
    <w:rsid w:val="006C5406"/>
    <w:rsid w:val="006C54D9"/>
    <w:rsid w:val="006C559A"/>
    <w:rsid w:val="006C576D"/>
    <w:rsid w:val="006C5989"/>
    <w:rsid w:val="006C59CA"/>
    <w:rsid w:val="006C59CF"/>
    <w:rsid w:val="006C5AB6"/>
    <w:rsid w:val="006C5ACF"/>
    <w:rsid w:val="006C5E68"/>
    <w:rsid w:val="006C5FC4"/>
    <w:rsid w:val="006C617E"/>
    <w:rsid w:val="006C636B"/>
    <w:rsid w:val="006C63A0"/>
    <w:rsid w:val="006C6550"/>
    <w:rsid w:val="006C6573"/>
    <w:rsid w:val="006C6642"/>
    <w:rsid w:val="006C6706"/>
    <w:rsid w:val="006C67FC"/>
    <w:rsid w:val="006C6926"/>
    <w:rsid w:val="006C6979"/>
    <w:rsid w:val="006C6ADC"/>
    <w:rsid w:val="006C6C7C"/>
    <w:rsid w:val="006C6C95"/>
    <w:rsid w:val="006C6EBD"/>
    <w:rsid w:val="006C6F27"/>
    <w:rsid w:val="006C6FC0"/>
    <w:rsid w:val="006C7017"/>
    <w:rsid w:val="006C711A"/>
    <w:rsid w:val="006C72BB"/>
    <w:rsid w:val="006C73D6"/>
    <w:rsid w:val="006C7582"/>
    <w:rsid w:val="006C765E"/>
    <w:rsid w:val="006C766E"/>
    <w:rsid w:val="006C7737"/>
    <w:rsid w:val="006C773A"/>
    <w:rsid w:val="006C784D"/>
    <w:rsid w:val="006C78A0"/>
    <w:rsid w:val="006C7A31"/>
    <w:rsid w:val="006C7BAA"/>
    <w:rsid w:val="006C7C26"/>
    <w:rsid w:val="006C7CC8"/>
    <w:rsid w:val="006C7E47"/>
    <w:rsid w:val="006C7EF2"/>
    <w:rsid w:val="006C7FA2"/>
    <w:rsid w:val="006C7FF7"/>
    <w:rsid w:val="006D01B4"/>
    <w:rsid w:val="006D0324"/>
    <w:rsid w:val="006D0330"/>
    <w:rsid w:val="006D052A"/>
    <w:rsid w:val="006D05BF"/>
    <w:rsid w:val="006D05D7"/>
    <w:rsid w:val="006D08C5"/>
    <w:rsid w:val="006D0937"/>
    <w:rsid w:val="006D09B0"/>
    <w:rsid w:val="006D0ACB"/>
    <w:rsid w:val="006D0B16"/>
    <w:rsid w:val="006D0BDF"/>
    <w:rsid w:val="006D0E15"/>
    <w:rsid w:val="006D0F11"/>
    <w:rsid w:val="006D12BE"/>
    <w:rsid w:val="006D12F1"/>
    <w:rsid w:val="006D132E"/>
    <w:rsid w:val="006D135C"/>
    <w:rsid w:val="006D13B4"/>
    <w:rsid w:val="006D1518"/>
    <w:rsid w:val="006D1714"/>
    <w:rsid w:val="006D1BE2"/>
    <w:rsid w:val="006D1D6B"/>
    <w:rsid w:val="006D1ED3"/>
    <w:rsid w:val="006D2141"/>
    <w:rsid w:val="006D231A"/>
    <w:rsid w:val="006D261D"/>
    <w:rsid w:val="006D26BA"/>
    <w:rsid w:val="006D2859"/>
    <w:rsid w:val="006D2868"/>
    <w:rsid w:val="006D28C1"/>
    <w:rsid w:val="006D2908"/>
    <w:rsid w:val="006D290D"/>
    <w:rsid w:val="006D295E"/>
    <w:rsid w:val="006D2A5B"/>
    <w:rsid w:val="006D2A64"/>
    <w:rsid w:val="006D2B59"/>
    <w:rsid w:val="006D2D04"/>
    <w:rsid w:val="006D2D7C"/>
    <w:rsid w:val="006D2D7D"/>
    <w:rsid w:val="006D2E46"/>
    <w:rsid w:val="006D30F7"/>
    <w:rsid w:val="006D318D"/>
    <w:rsid w:val="006D3387"/>
    <w:rsid w:val="006D3393"/>
    <w:rsid w:val="006D33BC"/>
    <w:rsid w:val="006D3787"/>
    <w:rsid w:val="006D3812"/>
    <w:rsid w:val="006D39BE"/>
    <w:rsid w:val="006D3AEB"/>
    <w:rsid w:val="006D3B47"/>
    <w:rsid w:val="006D3CF9"/>
    <w:rsid w:val="006D3E1D"/>
    <w:rsid w:val="006D3ECA"/>
    <w:rsid w:val="006D3F32"/>
    <w:rsid w:val="006D402B"/>
    <w:rsid w:val="006D41EA"/>
    <w:rsid w:val="006D42B9"/>
    <w:rsid w:val="006D4519"/>
    <w:rsid w:val="006D455A"/>
    <w:rsid w:val="006D458A"/>
    <w:rsid w:val="006D496A"/>
    <w:rsid w:val="006D4A1C"/>
    <w:rsid w:val="006D4BD7"/>
    <w:rsid w:val="006D4EC5"/>
    <w:rsid w:val="006D4EED"/>
    <w:rsid w:val="006D4F7F"/>
    <w:rsid w:val="006D4FE1"/>
    <w:rsid w:val="006D5043"/>
    <w:rsid w:val="006D517E"/>
    <w:rsid w:val="006D5261"/>
    <w:rsid w:val="006D52B5"/>
    <w:rsid w:val="006D5317"/>
    <w:rsid w:val="006D538B"/>
    <w:rsid w:val="006D54A5"/>
    <w:rsid w:val="006D54EE"/>
    <w:rsid w:val="006D5611"/>
    <w:rsid w:val="006D56D6"/>
    <w:rsid w:val="006D5874"/>
    <w:rsid w:val="006D5879"/>
    <w:rsid w:val="006D59E5"/>
    <w:rsid w:val="006D5AA3"/>
    <w:rsid w:val="006D5C33"/>
    <w:rsid w:val="006D5CFC"/>
    <w:rsid w:val="006D5D0E"/>
    <w:rsid w:val="006D5DFF"/>
    <w:rsid w:val="006D5E16"/>
    <w:rsid w:val="006D5EAD"/>
    <w:rsid w:val="006D6064"/>
    <w:rsid w:val="006D623F"/>
    <w:rsid w:val="006D63EB"/>
    <w:rsid w:val="006D6664"/>
    <w:rsid w:val="006D666D"/>
    <w:rsid w:val="006D673F"/>
    <w:rsid w:val="006D67E6"/>
    <w:rsid w:val="006D6870"/>
    <w:rsid w:val="006D6992"/>
    <w:rsid w:val="006D6A71"/>
    <w:rsid w:val="006D6AF8"/>
    <w:rsid w:val="006D6C50"/>
    <w:rsid w:val="006D6DB5"/>
    <w:rsid w:val="006D6DD1"/>
    <w:rsid w:val="006D6F4E"/>
    <w:rsid w:val="006D6F5A"/>
    <w:rsid w:val="006D6F77"/>
    <w:rsid w:val="006D7209"/>
    <w:rsid w:val="006D724F"/>
    <w:rsid w:val="006D7263"/>
    <w:rsid w:val="006D72A7"/>
    <w:rsid w:val="006D743D"/>
    <w:rsid w:val="006D75E5"/>
    <w:rsid w:val="006D76AE"/>
    <w:rsid w:val="006D77C5"/>
    <w:rsid w:val="006D77CE"/>
    <w:rsid w:val="006D7839"/>
    <w:rsid w:val="006D7881"/>
    <w:rsid w:val="006D789E"/>
    <w:rsid w:val="006D7944"/>
    <w:rsid w:val="006D798B"/>
    <w:rsid w:val="006D7CD6"/>
    <w:rsid w:val="006D7CDD"/>
    <w:rsid w:val="006D7D7A"/>
    <w:rsid w:val="006D7F70"/>
    <w:rsid w:val="006E0445"/>
    <w:rsid w:val="006E047B"/>
    <w:rsid w:val="006E0508"/>
    <w:rsid w:val="006E057C"/>
    <w:rsid w:val="006E0665"/>
    <w:rsid w:val="006E06F3"/>
    <w:rsid w:val="006E070E"/>
    <w:rsid w:val="006E074B"/>
    <w:rsid w:val="006E0958"/>
    <w:rsid w:val="006E0BC6"/>
    <w:rsid w:val="006E0C5D"/>
    <w:rsid w:val="006E0D09"/>
    <w:rsid w:val="006E0DA8"/>
    <w:rsid w:val="006E0F30"/>
    <w:rsid w:val="006E0F3E"/>
    <w:rsid w:val="006E1012"/>
    <w:rsid w:val="006E132B"/>
    <w:rsid w:val="006E141A"/>
    <w:rsid w:val="006E1646"/>
    <w:rsid w:val="006E16B7"/>
    <w:rsid w:val="006E1998"/>
    <w:rsid w:val="006E19A8"/>
    <w:rsid w:val="006E1A46"/>
    <w:rsid w:val="006E1A6B"/>
    <w:rsid w:val="006E1B84"/>
    <w:rsid w:val="006E1C1C"/>
    <w:rsid w:val="006E1DB2"/>
    <w:rsid w:val="006E1E68"/>
    <w:rsid w:val="006E1F38"/>
    <w:rsid w:val="006E227C"/>
    <w:rsid w:val="006E22E3"/>
    <w:rsid w:val="006E23AF"/>
    <w:rsid w:val="006E2413"/>
    <w:rsid w:val="006E2496"/>
    <w:rsid w:val="006E2604"/>
    <w:rsid w:val="006E2626"/>
    <w:rsid w:val="006E26DE"/>
    <w:rsid w:val="006E2903"/>
    <w:rsid w:val="006E2925"/>
    <w:rsid w:val="006E2932"/>
    <w:rsid w:val="006E2B62"/>
    <w:rsid w:val="006E2C7F"/>
    <w:rsid w:val="006E2EE1"/>
    <w:rsid w:val="006E2F7E"/>
    <w:rsid w:val="006E3069"/>
    <w:rsid w:val="006E3091"/>
    <w:rsid w:val="006E3094"/>
    <w:rsid w:val="006E30B4"/>
    <w:rsid w:val="006E311F"/>
    <w:rsid w:val="006E32D4"/>
    <w:rsid w:val="006E349A"/>
    <w:rsid w:val="006E34C9"/>
    <w:rsid w:val="006E36D5"/>
    <w:rsid w:val="006E36D7"/>
    <w:rsid w:val="006E36DA"/>
    <w:rsid w:val="006E3843"/>
    <w:rsid w:val="006E38F7"/>
    <w:rsid w:val="006E3926"/>
    <w:rsid w:val="006E3A0A"/>
    <w:rsid w:val="006E3A28"/>
    <w:rsid w:val="006E3B7F"/>
    <w:rsid w:val="006E3B94"/>
    <w:rsid w:val="006E3D7C"/>
    <w:rsid w:val="006E3E05"/>
    <w:rsid w:val="006E3E1A"/>
    <w:rsid w:val="006E3E22"/>
    <w:rsid w:val="006E3FFB"/>
    <w:rsid w:val="006E402E"/>
    <w:rsid w:val="006E4096"/>
    <w:rsid w:val="006E414A"/>
    <w:rsid w:val="006E41C5"/>
    <w:rsid w:val="006E4434"/>
    <w:rsid w:val="006E4512"/>
    <w:rsid w:val="006E45FB"/>
    <w:rsid w:val="006E4667"/>
    <w:rsid w:val="006E46AB"/>
    <w:rsid w:val="006E4864"/>
    <w:rsid w:val="006E4A2C"/>
    <w:rsid w:val="006E4AD6"/>
    <w:rsid w:val="006E4AE4"/>
    <w:rsid w:val="006E4B38"/>
    <w:rsid w:val="006E4B47"/>
    <w:rsid w:val="006E4B6A"/>
    <w:rsid w:val="006E4C46"/>
    <w:rsid w:val="006E4D0D"/>
    <w:rsid w:val="006E4E61"/>
    <w:rsid w:val="006E4F20"/>
    <w:rsid w:val="006E5392"/>
    <w:rsid w:val="006E5491"/>
    <w:rsid w:val="006E5614"/>
    <w:rsid w:val="006E5988"/>
    <w:rsid w:val="006E5A40"/>
    <w:rsid w:val="006E5A52"/>
    <w:rsid w:val="006E5E38"/>
    <w:rsid w:val="006E6093"/>
    <w:rsid w:val="006E60E8"/>
    <w:rsid w:val="006E62F1"/>
    <w:rsid w:val="006E6440"/>
    <w:rsid w:val="006E6511"/>
    <w:rsid w:val="006E66EC"/>
    <w:rsid w:val="006E6728"/>
    <w:rsid w:val="006E678C"/>
    <w:rsid w:val="006E68A8"/>
    <w:rsid w:val="006E69A5"/>
    <w:rsid w:val="006E6A52"/>
    <w:rsid w:val="006E6BE1"/>
    <w:rsid w:val="006E6C60"/>
    <w:rsid w:val="006E6CE2"/>
    <w:rsid w:val="006E6DFE"/>
    <w:rsid w:val="006E6EEB"/>
    <w:rsid w:val="006E6F56"/>
    <w:rsid w:val="006E728E"/>
    <w:rsid w:val="006E7336"/>
    <w:rsid w:val="006E7645"/>
    <w:rsid w:val="006E7671"/>
    <w:rsid w:val="006E76F8"/>
    <w:rsid w:val="006E7836"/>
    <w:rsid w:val="006E78BE"/>
    <w:rsid w:val="006E79AC"/>
    <w:rsid w:val="006E79C7"/>
    <w:rsid w:val="006E7A28"/>
    <w:rsid w:val="006E7A80"/>
    <w:rsid w:val="006E7B90"/>
    <w:rsid w:val="006E7BA3"/>
    <w:rsid w:val="006E7BC7"/>
    <w:rsid w:val="006E7BE3"/>
    <w:rsid w:val="006E7D2A"/>
    <w:rsid w:val="006E7F14"/>
    <w:rsid w:val="006E7F26"/>
    <w:rsid w:val="006E7FED"/>
    <w:rsid w:val="006F0171"/>
    <w:rsid w:val="006F068E"/>
    <w:rsid w:val="006F0915"/>
    <w:rsid w:val="006F0BC2"/>
    <w:rsid w:val="006F0BCD"/>
    <w:rsid w:val="006F0E4E"/>
    <w:rsid w:val="006F0E75"/>
    <w:rsid w:val="006F0FBF"/>
    <w:rsid w:val="006F1256"/>
    <w:rsid w:val="006F1418"/>
    <w:rsid w:val="006F1491"/>
    <w:rsid w:val="006F1649"/>
    <w:rsid w:val="006F16C7"/>
    <w:rsid w:val="006F170B"/>
    <w:rsid w:val="006F192C"/>
    <w:rsid w:val="006F19F7"/>
    <w:rsid w:val="006F1AAE"/>
    <w:rsid w:val="006F1AD1"/>
    <w:rsid w:val="006F1B30"/>
    <w:rsid w:val="006F1E4C"/>
    <w:rsid w:val="006F1E5A"/>
    <w:rsid w:val="006F1EE5"/>
    <w:rsid w:val="006F20F9"/>
    <w:rsid w:val="006F2152"/>
    <w:rsid w:val="006F250C"/>
    <w:rsid w:val="006F254D"/>
    <w:rsid w:val="006F2844"/>
    <w:rsid w:val="006F286F"/>
    <w:rsid w:val="006F2900"/>
    <w:rsid w:val="006F291B"/>
    <w:rsid w:val="006F292D"/>
    <w:rsid w:val="006F29D9"/>
    <w:rsid w:val="006F2A2D"/>
    <w:rsid w:val="006F2A7D"/>
    <w:rsid w:val="006F2AEF"/>
    <w:rsid w:val="006F2BAD"/>
    <w:rsid w:val="006F2C7A"/>
    <w:rsid w:val="006F2E43"/>
    <w:rsid w:val="006F2E5B"/>
    <w:rsid w:val="006F3146"/>
    <w:rsid w:val="006F3809"/>
    <w:rsid w:val="006F3844"/>
    <w:rsid w:val="006F3846"/>
    <w:rsid w:val="006F38BF"/>
    <w:rsid w:val="006F39B2"/>
    <w:rsid w:val="006F3BDC"/>
    <w:rsid w:val="006F3CB1"/>
    <w:rsid w:val="006F3CD7"/>
    <w:rsid w:val="006F3CF9"/>
    <w:rsid w:val="006F3D25"/>
    <w:rsid w:val="006F3EB8"/>
    <w:rsid w:val="006F3F33"/>
    <w:rsid w:val="006F3F86"/>
    <w:rsid w:val="006F425B"/>
    <w:rsid w:val="006F42F6"/>
    <w:rsid w:val="006F42F9"/>
    <w:rsid w:val="006F42FB"/>
    <w:rsid w:val="006F44E2"/>
    <w:rsid w:val="006F4542"/>
    <w:rsid w:val="006F48F8"/>
    <w:rsid w:val="006F49DD"/>
    <w:rsid w:val="006F4ABC"/>
    <w:rsid w:val="006F4B08"/>
    <w:rsid w:val="006F4B52"/>
    <w:rsid w:val="006F4E2F"/>
    <w:rsid w:val="006F5160"/>
    <w:rsid w:val="006F5317"/>
    <w:rsid w:val="006F5365"/>
    <w:rsid w:val="006F53A8"/>
    <w:rsid w:val="006F53E2"/>
    <w:rsid w:val="006F5420"/>
    <w:rsid w:val="006F54B3"/>
    <w:rsid w:val="006F586A"/>
    <w:rsid w:val="006F5888"/>
    <w:rsid w:val="006F5982"/>
    <w:rsid w:val="006F5B7D"/>
    <w:rsid w:val="006F5CE3"/>
    <w:rsid w:val="006F5FF4"/>
    <w:rsid w:val="006F6031"/>
    <w:rsid w:val="006F6172"/>
    <w:rsid w:val="006F6397"/>
    <w:rsid w:val="006F6401"/>
    <w:rsid w:val="006F65CC"/>
    <w:rsid w:val="006F6797"/>
    <w:rsid w:val="006F679C"/>
    <w:rsid w:val="006F6877"/>
    <w:rsid w:val="006F6B25"/>
    <w:rsid w:val="006F6BE8"/>
    <w:rsid w:val="006F6C0F"/>
    <w:rsid w:val="006F6C51"/>
    <w:rsid w:val="006F6E81"/>
    <w:rsid w:val="006F6F6D"/>
    <w:rsid w:val="006F6FB8"/>
    <w:rsid w:val="006F7074"/>
    <w:rsid w:val="006F72C0"/>
    <w:rsid w:val="006F7479"/>
    <w:rsid w:val="006F74CC"/>
    <w:rsid w:val="006F7512"/>
    <w:rsid w:val="006F75E4"/>
    <w:rsid w:val="006F7873"/>
    <w:rsid w:val="006F788E"/>
    <w:rsid w:val="006F78DF"/>
    <w:rsid w:val="006F78EB"/>
    <w:rsid w:val="006F7940"/>
    <w:rsid w:val="006F795B"/>
    <w:rsid w:val="006F7AAB"/>
    <w:rsid w:val="006F7B11"/>
    <w:rsid w:val="006F7C9C"/>
    <w:rsid w:val="006F7D20"/>
    <w:rsid w:val="006F7EB7"/>
    <w:rsid w:val="006F7ECE"/>
    <w:rsid w:val="006F7F73"/>
    <w:rsid w:val="006F7FFE"/>
    <w:rsid w:val="0070010C"/>
    <w:rsid w:val="00700128"/>
    <w:rsid w:val="00700194"/>
    <w:rsid w:val="00700219"/>
    <w:rsid w:val="00700248"/>
    <w:rsid w:val="007002B6"/>
    <w:rsid w:val="00700497"/>
    <w:rsid w:val="007005A4"/>
    <w:rsid w:val="007008FA"/>
    <w:rsid w:val="00700E2F"/>
    <w:rsid w:val="007010D0"/>
    <w:rsid w:val="007010D2"/>
    <w:rsid w:val="00701303"/>
    <w:rsid w:val="00701329"/>
    <w:rsid w:val="00701418"/>
    <w:rsid w:val="007014A6"/>
    <w:rsid w:val="007015B5"/>
    <w:rsid w:val="0070165D"/>
    <w:rsid w:val="007016C0"/>
    <w:rsid w:val="007019B8"/>
    <w:rsid w:val="00701A82"/>
    <w:rsid w:val="00701B03"/>
    <w:rsid w:val="00702000"/>
    <w:rsid w:val="0070206D"/>
    <w:rsid w:val="007020E9"/>
    <w:rsid w:val="0070234D"/>
    <w:rsid w:val="0070245E"/>
    <w:rsid w:val="007024E7"/>
    <w:rsid w:val="007024ED"/>
    <w:rsid w:val="007025AA"/>
    <w:rsid w:val="007025DB"/>
    <w:rsid w:val="00702640"/>
    <w:rsid w:val="007026C8"/>
    <w:rsid w:val="00702789"/>
    <w:rsid w:val="0070292F"/>
    <w:rsid w:val="0070295E"/>
    <w:rsid w:val="007029B2"/>
    <w:rsid w:val="00702B51"/>
    <w:rsid w:val="00702D26"/>
    <w:rsid w:val="00702E01"/>
    <w:rsid w:val="00702E1A"/>
    <w:rsid w:val="00703042"/>
    <w:rsid w:val="00703366"/>
    <w:rsid w:val="0070342E"/>
    <w:rsid w:val="007037C8"/>
    <w:rsid w:val="007038E9"/>
    <w:rsid w:val="007039B4"/>
    <w:rsid w:val="00703BB7"/>
    <w:rsid w:val="00703C46"/>
    <w:rsid w:val="00703C91"/>
    <w:rsid w:val="00703CE1"/>
    <w:rsid w:val="00703CF8"/>
    <w:rsid w:val="00703D3C"/>
    <w:rsid w:val="00703E5B"/>
    <w:rsid w:val="00703E80"/>
    <w:rsid w:val="00703F3E"/>
    <w:rsid w:val="00703FAD"/>
    <w:rsid w:val="00703FFC"/>
    <w:rsid w:val="00704129"/>
    <w:rsid w:val="0070417E"/>
    <w:rsid w:val="007041DB"/>
    <w:rsid w:val="007043A9"/>
    <w:rsid w:val="0070448D"/>
    <w:rsid w:val="007044BC"/>
    <w:rsid w:val="00704507"/>
    <w:rsid w:val="0070461B"/>
    <w:rsid w:val="007047FE"/>
    <w:rsid w:val="0070480D"/>
    <w:rsid w:val="0070485B"/>
    <w:rsid w:val="00704BBE"/>
    <w:rsid w:val="00704EE7"/>
    <w:rsid w:val="00704FC3"/>
    <w:rsid w:val="007050C1"/>
    <w:rsid w:val="007051DF"/>
    <w:rsid w:val="00705259"/>
    <w:rsid w:val="007053EC"/>
    <w:rsid w:val="00705513"/>
    <w:rsid w:val="007057FC"/>
    <w:rsid w:val="0070589F"/>
    <w:rsid w:val="00705916"/>
    <w:rsid w:val="007059D8"/>
    <w:rsid w:val="00705BBB"/>
    <w:rsid w:val="00705CE6"/>
    <w:rsid w:val="00705EC0"/>
    <w:rsid w:val="00705FC6"/>
    <w:rsid w:val="00706043"/>
    <w:rsid w:val="0070629E"/>
    <w:rsid w:val="0070636D"/>
    <w:rsid w:val="0070637D"/>
    <w:rsid w:val="00706457"/>
    <w:rsid w:val="00706742"/>
    <w:rsid w:val="0070678B"/>
    <w:rsid w:val="007067FC"/>
    <w:rsid w:val="00706856"/>
    <w:rsid w:val="00706A2F"/>
    <w:rsid w:val="00706C67"/>
    <w:rsid w:val="00706C8B"/>
    <w:rsid w:val="00706D00"/>
    <w:rsid w:val="00706D16"/>
    <w:rsid w:val="00706DB3"/>
    <w:rsid w:val="00706EA4"/>
    <w:rsid w:val="00706FEE"/>
    <w:rsid w:val="00707097"/>
    <w:rsid w:val="007071EA"/>
    <w:rsid w:val="0070722C"/>
    <w:rsid w:val="00707402"/>
    <w:rsid w:val="00707628"/>
    <w:rsid w:val="00707665"/>
    <w:rsid w:val="007076A4"/>
    <w:rsid w:val="00707765"/>
    <w:rsid w:val="0070789E"/>
    <w:rsid w:val="00707990"/>
    <w:rsid w:val="00707B4D"/>
    <w:rsid w:val="00707CE0"/>
    <w:rsid w:val="00707D8C"/>
    <w:rsid w:val="00707E11"/>
    <w:rsid w:val="00707EC2"/>
    <w:rsid w:val="0071012D"/>
    <w:rsid w:val="0071057E"/>
    <w:rsid w:val="007105EA"/>
    <w:rsid w:val="00710747"/>
    <w:rsid w:val="007107AB"/>
    <w:rsid w:val="00710846"/>
    <w:rsid w:val="007109C1"/>
    <w:rsid w:val="007109C9"/>
    <w:rsid w:val="00710A94"/>
    <w:rsid w:val="00710ACC"/>
    <w:rsid w:val="00710B6B"/>
    <w:rsid w:val="00710BE1"/>
    <w:rsid w:val="00710E7D"/>
    <w:rsid w:val="007111DF"/>
    <w:rsid w:val="007111FC"/>
    <w:rsid w:val="007112EF"/>
    <w:rsid w:val="00711328"/>
    <w:rsid w:val="00711655"/>
    <w:rsid w:val="007116E1"/>
    <w:rsid w:val="007116EA"/>
    <w:rsid w:val="00711860"/>
    <w:rsid w:val="00711969"/>
    <w:rsid w:val="00711D0B"/>
    <w:rsid w:val="00711EF5"/>
    <w:rsid w:val="00711F4B"/>
    <w:rsid w:val="00711F6C"/>
    <w:rsid w:val="007121BF"/>
    <w:rsid w:val="00712205"/>
    <w:rsid w:val="0071223B"/>
    <w:rsid w:val="0071234B"/>
    <w:rsid w:val="00712371"/>
    <w:rsid w:val="007123D2"/>
    <w:rsid w:val="007124DC"/>
    <w:rsid w:val="00712502"/>
    <w:rsid w:val="0071259A"/>
    <w:rsid w:val="007125EE"/>
    <w:rsid w:val="00712700"/>
    <w:rsid w:val="007127C3"/>
    <w:rsid w:val="007128EE"/>
    <w:rsid w:val="0071290C"/>
    <w:rsid w:val="007129A9"/>
    <w:rsid w:val="007129FA"/>
    <w:rsid w:val="00712A92"/>
    <w:rsid w:val="00712C6C"/>
    <w:rsid w:val="00712D1D"/>
    <w:rsid w:val="00712DC8"/>
    <w:rsid w:val="00712E2E"/>
    <w:rsid w:val="007131E8"/>
    <w:rsid w:val="0071353F"/>
    <w:rsid w:val="00713580"/>
    <w:rsid w:val="00713744"/>
    <w:rsid w:val="00713BA8"/>
    <w:rsid w:val="00713E9F"/>
    <w:rsid w:val="0071404F"/>
    <w:rsid w:val="0071433C"/>
    <w:rsid w:val="0071438B"/>
    <w:rsid w:val="0071454D"/>
    <w:rsid w:val="00714563"/>
    <w:rsid w:val="0071499E"/>
    <w:rsid w:val="007149F5"/>
    <w:rsid w:val="00714A0E"/>
    <w:rsid w:val="00714A60"/>
    <w:rsid w:val="00714C76"/>
    <w:rsid w:val="00714D8D"/>
    <w:rsid w:val="00714D91"/>
    <w:rsid w:val="00714E30"/>
    <w:rsid w:val="00714E63"/>
    <w:rsid w:val="00714F6E"/>
    <w:rsid w:val="00714F95"/>
    <w:rsid w:val="00714FE9"/>
    <w:rsid w:val="00715142"/>
    <w:rsid w:val="00715498"/>
    <w:rsid w:val="007155FC"/>
    <w:rsid w:val="0071580D"/>
    <w:rsid w:val="00715837"/>
    <w:rsid w:val="0071599F"/>
    <w:rsid w:val="00715A5F"/>
    <w:rsid w:val="00715C19"/>
    <w:rsid w:val="00715D18"/>
    <w:rsid w:val="00715D44"/>
    <w:rsid w:val="00715FE4"/>
    <w:rsid w:val="00715FF2"/>
    <w:rsid w:val="00715FF5"/>
    <w:rsid w:val="0071603D"/>
    <w:rsid w:val="0071606F"/>
    <w:rsid w:val="00716132"/>
    <w:rsid w:val="00716427"/>
    <w:rsid w:val="0071649A"/>
    <w:rsid w:val="0071672E"/>
    <w:rsid w:val="0071673E"/>
    <w:rsid w:val="0071681A"/>
    <w:rsid w:val="0071686B"/>
    <w:rsid w:val="00716B2A"/>
    <w:rsid w:val="00716E31"/>
    <w:rsid w:val="00716ECB"/>
    <w:rsid w:val="00716F1A"/>
    <w:rsid w:val="00716F4F"/>
    <w:rsid w:val="00716F6F"/>
    <w:rsid w:val="00716F78"/>
    <w:rsid w:val="00717056"/>
    <w:rsid w:val="00717191"/>
    <w:rsid w:val="0071719A"/>
    <w:rsid w:val="007171B8"/>
    <w:rsid w:val="007172A2"/>
    <w:rsid w:val="0071737C"/>
    <w:rsid w:val="00717434"/>
    <w:rsid w:val="00717474"/>
    <w:rsid w:val="0071751A"/>
    <w:rsid w:val="007175ED"/>
    <w:rsid w:val="007176DF"/>
    <w:rsid w:val="00717780"/>
    <w:rsid w:val="00717827"/>
    <w:rsid w:val="00717834"/>
    <w:rsid w:val="0071799B"/>
    <w:rsid w:val="007179BB"/>
    <w:rsid w:val="00717A79"/>
    <w:rsid w:val="00717C57"/>
    <w:rsid w:val="00717E56"/>
    <w:rsid w:val="00717F33"/>
    <w:rsid w:val="00717F37"/>
    <w:rsid w:val="00717F8E"/>
    <w:rsid w:val="00718FD6"/>
    <w:rsid w:val="007200EA"/>
    <w:rsid w:val="0072016E"/>
    <w:rsid w:val="00720321"/>
    <w:rsid w:val="0072045E"/>
    <w:rsid w:val="0072052D"/>
    <w:rsid w:val="00720710"/>
    <w:rsid w:val="007207B3"/>
    <w:rsid w:val="007207F3"/>
    <w:rsid w:val="00720947"/>
    <w:rsid w:val="00720B6D"/>
    <w:rsid w:val="00720DDF"/>
    <w:rsid w:val="00720F3C"/>
    <w:rsid w:val="00721029"/>
    <w:rsid w:val="0072119F"/>
    <w:rsid w:val="00721319"/>
    <w:rsid w:val="0072144E"/>
    <w:rsid w:val="0072148E"/>
    <w:rsid w:val="007216B1"/>
    <w:rsid w:val="007216DF"/>
    <w:rsid w:val="00721881"/>
    <w:rsid w:val="007218E0"/>
    <w:rsid w:val="00721E33"/>
    <w:rsid w:val="00721F08"/>
    <w:rsid w:val="00721F21"/>
    <w:rsid w:val="00721F37"/>
    <w:rsid w:val="00721F94"/>
    <w:rsid w:val="00721FE4"/>
    <w:rsid w:val="00722134"/>
    <w:rsid w:val="0072223B"/>
    <w:rsid w:val="00722334"/>
    <w:rsid w:val="007223A8"/>
    <w:rsid w:val="007226AE"/>
    <w:rsid w:val="00722778"/>
    <w:rsid w:val="007227D4"/>
    <w:rsid w:val="0072288A"/>
    <w:rsid w:val="00722900"/>
    <w:rsid w:val="00722ACE"/>
    <w:rsid w:val="00722B2E"/>
    <w:rsid w:val="00722BEC"/>
    <w:rsid w:val="00722CBB"/>
    <w:rsid w:val="00722EE1"/>
    <w:rsid w:val="00722EE3"/>
    <w:rsid w:val="00722FCB"/>
    <w:rsid w:val="007230E1"/>
    <w:rsid w:val="0072310A"/>
    <w:rsid w:val="00723160"/>
    <w:rsid w:val="0072320F"/>
    <w:rsid w:val="007235E3"/>
    <w:rsid w:val="00723812"/>
    <w:rsid w:val="00723861"/>
    <w:rsid w:val="00723883"/>
    <w:rsid w:val="007238B8"/>
    <w:rsid w:val="007239A3"/>
    <w:rsid w:val="00723A96"/>
    <w:rsid w:val="00723BD2"/>
    <w:rsid w:val="00723C28"/>
    <w:rsid w:val="00723C9C"/>
    <w:rsid w:val="00723CFF"/>
    <w:rsid w:val="0072410E"/>
    <w:rsid w:val="00724226"/>
    <w:rsid w:val="0072428E"/>
    <w:rsid w:val="007242D2"/>
    <w:rsid w:val="007242DC"/>
    <w:rsid w:val="00724675"/>
    <w:rsid w:val="00724A1E"/>
    <w:rsid w:val="00724D75"/>
    <w:rsid w:val="00725022"/>
    <w:rsid w:val="00725292"/>
    <w:rsid w:val="00725443"/>
    <w:rsid w:val="007255CF"/>
    <w:rsid w:val="00725851"/>
    <w:rsid w:val="007258FA"/>
    <w:rsid w:val="00725B27"/>
    <w:rsid w:val="00725B67"/>
    <w:rsid w:val="007261CF"/>
    <w:rsid w:val="00726612"/>
    <w:rsid w:val="007266DD"/>
    <w:rsid w:val="007266F2"/>
    <w:rsid w:val="00726795"/>
    <w:rsid w:val="0072687E"/>
    <w:rsid w:val="007268F9"/>
    <w:rsid w:val="00726A6E"/>
    <w:rsid w:val="00726C7D"/>
    <w:rsid w:val="00726CB3"/>
    <w:rsid w:val="00726F86"/>
    <w:rsid w:val="00726FE7"/>
    <w:rsid w:val="007270EF"/>
    <w:rsid w:val="00727136"/>
    <w:rsid w:val="00727277"/>
    <w:rsid w:val="007272C0"/>
    <w:rsid w:val="00727318"/>
    <w:rsid w:val="00727351"/>
    <w:rsid w:val="00727371"/>
    <w:rsid w:val="00727391"/>
    <w:rsid w:val="00727415"/>
    <w:rsid w:val="00727551"/>
    <w:rsid w:val="00727559"/>
    <w:rsid w:val="007275E6"/>
    <w:rsid w:val="0072787F"/>
    <w:rsid w:val="00727959"/>
    <w:rsid w:val="00727ACE"/>
    <w:rsid w:val="00727BFE"/>
    <w:rsid w:val="00727D6F"/>
    <w:rsid w:val="00727D72"/>
    <w:rsid w:val="0073018F"/>
    <w:rsid w:val="00730450"/>
    <w:rsid w:val="0073065D"/>
    <w:rsid w:val="007309F0"/>
    <w:rsid w:val="00730B3F"/>
    <w:rsid w:val="00730BBD"/>
    <w:rsid w:val="00730C93"/>
    <w:rsid w:val="00730CFB"/>
    <w:rsid w:val="00730DE4"/>
    <w:rsid w:val="00730F80"/>
    <w:rsid w:val="00731095"/>
    <w:rsid w:val="007310BD"/>
    <w:rsid w:val="0073138A"/>
    <w:rsid w:val="00731445"/>
    <w:rsid w:val="0073146C"/>
    <w:rsid w:val="007316EB"/>
    <w:rsid w:val="007317AB"/>
    <w:rsid w:val="00731821"/>
    <w:rsid w:val="007319C5"/>
    <w:rsid w:val="007319E8"/>
    <w:rsid w:val="00731A57"/>
    <w:rsid w:val="00731C12"/>
    <w:rsid w:val="00731F2D"/>
    <w:rsid w:val="0073200C"/>
    <w:rsid w:val="00732178"/>
    <w:rsid w:val="007321E0"/>
    <w:rsid w:val="007321F0"/>
    <w:rsid w:val="0073225F"/>
    <w:rsid w:val="0073227E"/>
    <w:rsid w:val="007323E9"/>
    <w:rsid w:val="00732543"/>
    <w:rsid w:val="007325DA"/>
    <w:rsid w:val="0073261B"/>
    <w:rsid w:val="00732769"/>
    <w:rsid w:val="007328FA"/>
    <w:rsid w:val="00732923"/>
    <w:rsid w:val="00732C75"/>
    <w:rsid w:val="00732D3D"/>
    <w:rsid w:val="00732EAE"/>
    <w:rsid w:val="00732F94"/>
    <w:rsid w:val="0073300E"/>
    <w:rsid w:val="007332A0"/>
    <w:rsid w:val="007334E9"/>
    <w:rsid w:val="007338B3"/>
    <w:rsid w:val="007338E3"/>
    <w:rsid w:val="007339D7"/>
    <w:rsid w:val="00733E7C"/>
    <w:rsid w:val="00733FEE"/>
    <w:rsid w:val="00734296"/>
    <w:rsid w:val="007342C8"/>
    <w:rsid w:val="007343B1"/>
    <w:rsid w:val="007343EB"/>
    <w:rsid w:val="007345D8"/>
    <w:rsid w:val="007345F0"/>
    <w:rsid w:val="00734655"/>
    <w:rsid w:val="00734990"/>
    <w:rsid w:val="00734AEE"/>
    <w:rsid w:val="00734B60"/>
    <w:rsid w:val="00734BCE"/>
    <w:rsid w:val="00734BDA"/>
    <w:rsid w:val="00734C4C"/>
    <w:rsid w:val="00734F39"/>
    <w:rsid w:val="00734F4C"/>
    <w:rsid w:val="007351BE"/>
    <w:rsid w:val="007352BF"/>
    <w:rsid w:val="007352D1"/>
    <w:rsid w:val="0073537E"/>
    <w:rsid w:val="007353BD"/>
    <w:rsid w:val="007353EE"/>
    <w:rsid w:val="00735857"/>
    <w:rsid w:val="007358E9"/>
    <w:rsid w:val="00735A03"/>
    <w:rsid w:val="00735ABC"/>
    <w:rsid w:val="00735AE8"/>
    <w:rsid w:val="00735B26"/>
    <w:rsid w:val="00735DA0"/>
    <w:rsid w:val="00735F42"/>
    <w:rsid w:val="00736032"/>
    <w:rsid w:val="007360BB"/>
    <w:rsid w:val="007360CA"/>
    <w:rsid w:val="0073613B"/>
    <w:rsid w:val="0073643C"/>
    <w:rsid w:val="00736521"/>
    <w:rsid w:val="0073652E"/>
    <w:rsid w:val="0073659C"/>
    <w:rsid w:val="007365DB"/>
    <w:rsid w:val="0073661C"/>
    <w:rsid w:val="007366C1"/>
    <w:rsid w:val="0073671B"/>
    <w:rsid w:val="00736727"/>
    <w:rsid w:val="00736990"/>
    <w:rsid w:val="00736A2C"/>
    <w:rsid w:val="00736DCE"/>
    <w:rsid w:val="00736E98"/>
    <w:rsid w:val="00736FB5"/>
    <w:rsid w:val="007371D4"/>
    <w:rsid w:val="0073744F"/>
    <w:rsid w:val="0073760A"/>
    <w:rsid w:val="00737611"/>
    <w:rsid w:val="007378B9"/>
    <w:rsid w:val="00737920"/>
    <w:rsid w:val="00737942"/>
    <w:rsid w:val="00737B26"/>
    <w:rsid w:val="00737B67"/>
    <w:rsid w:val="00737C1E"/>
    <w:rsid w:val="00737C6F"/>
    <w:rsid w:val="00737D29"/>
    <w:rsid w:val="00737DB0"/>
    <w:rsid w:val="00737F65"/>
    <w:rsid w:val="00737F69"/>
    <w:rsid w:val="00740028"/>
    <w:rsid w:val="0074022E"/>
    <w:rsid w:val="00740256"/>
    <w:rsid w:val="00740343"/>
    <w:rsid w:val="00740359"/>
    <w:rsid w:val="0074045E"/>
    <w:rsid w:val="00740517"/>
    <w:rsid w:val="007405D0"/>
    <w:rsid w:val="00740871"/>
    <w:rsid w:val="0074089E"/>
    <w:rsid w:val="007408BB"/>
    <w:rsid w:val="00740A66"/>
    <w:rsid w:val="00740C2A"/>
    <w:rsid w:val="00740C3E"/>
    <w:rsid w:val="00740E58"/>
    <w:rsid w:val="00740EF6"/>
    <w:rsid w:val="00740F38"/>
    <w:rsid w:val="00741039"/>
    <w:rsid w:val="0074105E"/>
    <w:rsid w:val="0074113F"/>
    <w:rsid w:val="00741217"/>
    <w:rsid w:val="0074121B"/>
    <w:rsid w:val="0074125F"/>
    <w:rsid w:val="007413DA"/>
    <w:rsid w:val="0074149B"/>
    <w:rsid w:val="007414E3"/>
    <w:rsid w:val="00741688"/>
    <w:rsid w:val="007418E0"/>
    <w:rsid w:val="00741AA9"/>
    <w:rsid w:val="00741C51"/>
    <w:rsid w:val="00741E80"/>
    <w:rsid w:val="00742091"/>
    <w:rsid w:val="007420B1"/>
    <w:rsid w:val="0074216E"/>
    <w:rsid w:val="00742170"/>
    <w:rsid w:val="0074225B"/>
    <w:rsid w:val="007423D6"/>
    <w:rsid w:val="0074263A"/>
    <w:rsid w:val="0074278F"/>
    <w:rsid w:val="0074283C"/>
    <w:rsid w:val="007428B6"/>
    <w:rsid w:val="00742B38"/>
    <w:rsid w:val="00742C51"/>
    <w:rsid w:val="00742E56"/>
    <w:rsid w:val="00742E82"/>
    <w:rsid w:val="00742FE0"/>
    <w:rsid w:val="007430AE"/>
    <w:rsid w:val="007430FD"/>
    <w:rsid w:val="0074317D"/>
    <w:rsid w:val="007434D5"/>
    <w:rsid w:val="007436C2"/>
    <w:rsid w:val="007437A0"/>
    <w:rsid w:val="00743815"/>
    <w:rsid w:val="007439BA"/>
    <w:rsid w:val="00743B09"/>
    <w:rsid w:val="00743B82"/>
    <w:rsid w:val="00743D36"/>
    <w:rsid w:val="00743D3D"/>
    <w:rsid w:val="00743F5C"/>
    <w:rsid w:val="0074408B"/>
    <w:rsid w:val="00744238"/>
    <w:rsid w:val="00744290"/>
    <w:rsid w:val="007442EB"/>
    <w:rsid w:val="007443FA"/>
    <w:rsid w:val="00744415"/>
    <w:rsid w:val="007445C4"/>
    <w:rsid w:val="007445CF"/>
    <w:rsid w:val="0074464C"/>
    <w:rsid w:val="007447F1"/>
    <w:rsid w:val="0074491B"/>
    <w:rsid w:val="00744BDF"/>
    <w:rsid w:val="00744E27"/>
    <w:rsid w:val="00744E28"/>
    <w:rsid w:val="00744E6B"/>
    <w:rsid w:val="00744E7D"/>
    <w:rsid w:val="00744EF9"/>
    <w:rsid w:val="00745162"/>
    <w:rsid w:val="0074532F"/>
    <w:rsid w:val="0074553B"/>
    <w:rsid w:val="007455C0"/>
    <w:rsid w:val="007457D4"/>
    <w:rsid w:val="00745858"/>
    <w:rsid w:val="00745976"/>
    <w:rsid w:val="00745B32"/>
    <w:rsid w:val="00745B87"/>
    <w:rsid w:val="00745E3B"/>
    <w:rsid w:val="00745F6F"/>
    <w:rsid w:val="00745F78"/>
    <w:rsid w:val="00746318"/>
    <w:rsid w:val="00746363"/>
    <w:rsid w:val="00746639"/>
    <w:rsid w:val="00746725"/>
    <w:rsid w:val="00746774"/>
    <w:rsid w:val="00746804"/>
    <w:rsid w:val="007468F0"/>
    <w:rsid w:val="00746931"/>
    <w:rsid w:val="00746A58"/>
    <w:rsid w:val="00746B0A"/>
    <w:rsid w:val="00746BAB"/>
    <w:rsid w:val="00746E87"/>
    <w:rsid w:val="00746ED9"/>
    <w:rsid w:val="00746EEA"/>
    <w:rsid w:val="00746FA9"/>
    <w:rsid w:val="00746FF8"/>
    <w:rsid w:val="007470F6"/>
    <w:rsid w:val="007470F7"/>
    <w:rsid w:val="0074716A"/>
    <w:rsid w:val="007471C3"/>
    <w:rsid w:val="0074722A"/>
    <w:rsid w:val="007472AE"/>
    <w:rsid w:val="007472C3"/>
    <w:rsid w:val="00747380"/>
    <w:rsid w:val="007474B3"/>
    <w:rsid w:val="007474C1"/>
    <w:rsid w:val="007476C2"/>
    <w:rsid w:val="0074787D"/>
    <w:rsid w:val="00747A59"/>
    <w:rsid w:val="00747A97"/>
    <w:rsid w:val="00747AC8"/>
    <w:rsid w:val="00747B30"/>
    <w:rsid w:val="00750024"/>
    <w:rsid w:val="007500A8"/>
    <w:rsid w:val="0075024A"/>
    <w:rsid w:val="007502D6"/>
    <w:rsid w:val="0075030A"/>
    <w:rsid w:val="0075030C"/>
    <w:rsid w:val="007504A9"/>
    <w:rsid w:val="007505BC"/>
    <w:rsid w:val="00750785"/>
    <w:rsid w:val="00750790"/>
    <w:rsid w:val="00750860"/>
    <w:rsid w:val="007508C0"/>
    <w:rsid w:val="00750A12"/>
    <w:rsid w:val="00750AE3"/>
    <w:rsid w:val="00750B2B"/>
    <w:rsid w:val="00750C38"/>
    <w:rsid w:val="00750E85"/>
    <w:rsid w:val="00750E95"/>
    <w:rsid w:val="00750ED4"/>
    <w:rsid w:val="00750F49"/>
    <w:rsid w:val="007511FF"/>
    <w:rsid w:val="00751289"/>
    <w:rsid w:val="007512A7"/>
    <w:rsid w:val="007513E5"/>
    <w:rsid w:val="00751608"/>
    <w:rsid w:val="00751637"/>
    <w:rsid w:val="00751664"/>
    <w:rsid w:val="00751AB4"/>
    <w:rsid w:val="00751B67"/>
    <w:rsid w:val="00751B7A"/>
    <w:rsid w:val="00751C89"/>
    <w:rsid w:val="00751D01"/>
    <w:rsid w:val="00751D12"/>
    <w:rsid w:val="00751DA1"/>
    <w:rsid w:val="00751E7D"/>
    <w:rsid w:val="00751E9F"/>
    <w:rsid w:val="00751EC4"/>
    <w:rsid w:val="00751FE6"/>
    <w:rsid w:val="007520A1"/>
    <w:rsid w:val="00752299"/>
    <w:rsid w:val="0075238E"/>
    <w:rsid w:val="00752413"/>
    <w:rsid w:val="007529AE"/>
    <w:rsid w:val="007529F8"/>
    <w:rsid w:val="00752AD8"/>
    <w:rsid w:val="00752B21"/>
    <w:rsid w:val="00752C19"/>
    <w:rsid w:val="00752D58"/>
    <w:rsid w:val="00752EC4"/>
    <w:rsid w:val="00752F11"/>
    <w:rsid w:val="00753083"/>
    <w:rsid w:val="00753181"/>
    <w:rsid w:val="007531B9"/>
    <w:rsid w:val="00753239"/>
    <w:rsid w:val="0075324C"/>
    <w:rsid w:val="007533C5"/>
    <w:rsid w:val="007533CC"/>
    <w:rsid w:val="0075343B"/>
    <w:rsid w:val="00753733"/>
    <w:rsid w:val="0075382C"/>
    <w:rsid w:val="007538EF"/>
    <w:rsid w:val="00753900"/>
    <w:rsid w:val="00753965"/>
    <w:rsid w:val="00753A11"/>
    <w:rsid w:val="00753A1A"/>
    <w:rsid w:val="00753A9B"/>
    <w:rsid w:val="00753CEE"/>
    <w:rsid w:val="00753DC9"/>
    <w:rsid w:val="00753E1A"/>
    <w:rsid w:val="00753EBB"/>
    <w:rsid w:val="00753F4E"/>
    <w:rsid w:val="00754268"/>
    <w:rsid w:val="007542F4"/>
    <w:rsid w:val="00754414"/>
    <w:rsid w:val="0075450A"/>
    <w:rsid w:val="00754C85"/>
    <w:rsid w:val="00754DE2"/>
    <w:rsid w:val="00754E19"/>
    <w:rsid w:val="00755014"/>
    <w:rsid w:val="00755083"/>
    <w:rsid w:val="007557B7"/>
    <w:rsid w:val="0075590C"/>
    <w:rsid w:val="00755A64"/>
    <w:rsid w:val="00755AEB"/>
    <w:rsid w:val="00755BD8"/>
    <w:rsid w:val="00755C5C"/>
    <w:rsid w:val="00755CD8"/>
    <w:rsid w:val="00755DC6"/>
    <w:rsid w:val="007561E3"/>
    <w:rsid w:val="007561FC"/>
    <w:rsid w:val="007566E2"/>
    <w:rsid w:val="0075678F"/>
    <w:rsid w:val="00756929"/>
    <w:rsid w:val="00756A3F"/>
    <w:rsid w:val="00756A89"/>
    <w:rsid w:val="00756ACA"/>
    <w:rsid w:val="00756C36"/>
    <w:rsid w:val="00756C37"/>
    <w:rsid w:val="00756C3E"/>
    <w:rsid w:val="00756D3B"/>
    <w:rsid w:val="00756ED7"/>
    <w:rsid w:val="0075709F"/>
    <w:rsid w:val="00757217"/>
    <w:rsid w:val="007573E4"/>
    <w:rsid w:val="007576D9"/>
    <w:rsid w:val="0075780F"/>
    <w:rsid w:val="0075790A"/>
    <w:rsid w:val="00757ABF"/>
    <w:rsid w:val="00757B29"/>
    <w:rsid w:val="00757C06"/>
    <w:rsid w:val="00757C8B"/>
    <w:rsid w:val="00757CA7"/>
    <w:rsid w:val="00757FAC"/>
    <w:rsid w:val="0076011B"/>
    <w:rsid w:val="0076020F"/>
    <w:rsid w:val="00760223"/>
    <w:rsid w:val="00760382"/>
    <w:rsid w:val="007603AF"/>
    <w:rsid w:val="0076071E"/>
    <w:rsid w:val="00760775"/>
    <w:rsid w:val="00760879"/>
    <w:rsid w:val="00760983"/>
    <w:rsid w:val="007609AD"/>
    <w:rsid w:val="00760A5B"/>
    <w:rsid w:val="00760A67"/>
    <w:rsid w:val="00760AC6"/>
    <w:rsid w:val="00760B8B"/>
    <w:rsid w:val="00760BD7"/>
    <w:rsid w:val="00760CB7"/>
    <w:rsid w:val="00760CBB"/>
    <w:rsid w:val="00760EDC"/>
    <w:rsid w:val="007610B5"/>
    <w:rsid w:val="0076113C"/>
    <w:rsid w:val="0076120B"/>
    <w:rsid w:val="007612E7"/>
    <w:rsid w:val="007613A2"/>
    <w:rsid w:val="0076142C"/>
    <w:rsid w:val="007614D4"/>
    <w:rsid w:val="0076163F"/>
    <w:rsid w:val="00761774"/>
    <w:rsid w:val="007617A7"/>
    <w:rsid w:val="00761A21"/>
    <w:rsid w:val="00761BED"/>
    <w:rsid w:val="00761C5F"/>
    <w:rsid w:val="00761DE1"/>
    <w:rsid w:val="00761E49"/>
    <w:rsid w:val="00761EF3"/>
    <w:rsid w:val="007622DB"/>
    <w:rsid w:val="007622FC"/>
    <w:rsid w:val="0076251F"/>
    <w:rsid w:val="00762548"/>
    <w:rsid w:val="0076266F"/>
    <w:rsid w:val="0076280C"/>
    <w:rsid w:val="00762B27"/>
    <w:rsid w:val="00762B7C"/>
    <w:rsid w:val="00762C44"/>
    <w:rsid w:val="00762CE3"/>
    <w:rsid w:val="00762DA4"/>
    <w:rsid w:val="00762DA9"/>
    <w:rsid w:val="00762E14"/>
    <w:rsid w:val="007632E4"/>
    <w:rsid w:val="007635C6"/>
    <w:rsid w:val="0076364D"/>
    <w:rsid w:val="0076379A"/>
    <w:rsid w:val="00763855"/>
    <w:rsid w:val="0076386A"/>
    <w:rsid w:val="007638B7"/>
    <w:rsid w:val="0076391A"/>
    <w:rsid w:val="00763A8E"/>
    <w:rsid w:val="00763AC9"/>
    <w:rsid w:val="00763E98"/>
    <w:rsid w:val="00764100"/>
    <w:rsid w:val="007644E4"/>
    <w:rsid w:val="007645E0"/>
    <w:rsid w:val="0076486D"/>
    <w:rsid w:val="007648B4"/>
    <w:rsid w:val="00764900"/>
    <w:rsid w:val="00764926"/>
    <w:rsid w:val="00764957"/>
    <w:rsid w:val="00764960"/>
    <w:rsid w:val="0076499A"/>
    <w:rsid w:val="007649A2"/>
    <w:rsid w:val="00764AEE"/>
    <w:rsid w:val="00764C4D"/>
    <w:rsid w:val="00764C9B"/>
    <w:rsid w:val="00764D9C"/>
    <w:rsid w:val="00764DF6"/>
    <w:rsid w:val="00764E6C"/>
    <w:rsid w:val="00764EB0"/>
    <w:rsid w:val="00764F6C"/>
    <w:rsid w:val="00765207"/>
    <w:rsid w:val="0076523D"/>
    <w:rsid w:val="00765452"/>
    <w:rsid w:val="0076550E"/>
    <w:rsid w:val="0076552D"/>
    <w:rsid w:val="007655A5"/>
    <w:rsid w:val="0076561F"/>
    <w:rsid w:val="00765679"/>
    <w:rsid w:val="007656AE"/>
    <w:rsid w:val="007656DE"/>
    <w:rsid w:val="00765822"/>
    <w:rsid w:val="00765830"/>
    <w:rsid w:val="00765863"/>
    <w:rsid w:val="00765874"/>
    <w:rsid w:val="00765AE6"/>
    <w:rsid w:val="00765D6E"/>
    <w:rsid w:val="00765DC2"/>
    <w:rsid w:val="00765E65"/>
    <w:rsid w:val="00765EC4"/>
    <w:rsid w:val="00765F45"/>
    <w:rsid w:val="00765FFC"/>
    <w:rsid w:val="00766056"/>
    <w:rsid w:val="00766295"/>
    <w:rsid w:val="00766426"/>
    <w:rsid w:val="00766435"/>
    <w:rsid w:val="007664B8"/>
    <w:rsid w:val="007664E0"/>
    <w:rsid w:val="00766531"/>
    <w:rsid w:val="00766536"/>
    <w:rsid w:val="00766805"/>
    <w:rsid w:val="00766886"/>
    <w:rsid w:val="0076692D"/>
    <w:rsid w:val="0076694E"/>
    <w:rsid w:val="0076698E"/>
    <w:rsid w:val="00766C80"/>
    <w:rsid w:val="00766CB6"/>
    <w:rsid w:val="00766CF1"/>
    <w:rsid w:val="00766DC8"/>
    <w:rsid w:val="00766E6F"/>
    <w:rsid w:val="00766F79"/>
    <w:rsid w:val="00766FAD"/>
    <w:rsid w:val="00766FC9"/>
    <w:rsid w:val="00766FEE"/>
    <w:rsid w:val="00767056"/>
    <w:rsid w:val="007670C7"/>
    <w:rsid w:val="007671EC"/>
    <w:rsid w:val="0076730C"/>
    <w:rsid w:val="0076738C"/>
    <w:rsid w:val="007673CB"/>
    <w:rsid w:val="007674E6"/>
    <w:rsid w:val="00767597"/>
    <w:rsid w:val="007676BE"/>
    <w:rsid w:val="007676C1"/>
    <w:rsid w:val="007676F4"/>
    <w:rsid w:val="00767790"/>
    <w:rsid w:val="00767796"/>
    <w:rsid w:val="007678A7"/>
    <w:rsid w:val="007678CB"/>
    <w:rsid w:val="00767938"/>
    <w:rsid w:val="00767AA0"/>
    <w:rsid w:val="00767B18"/>
    <w:rsid w:val="00767BF8"/>
    <w:rsid w:val="00767DD7"/>
    <w:rsid w:val="00770161"/>
    <w:rsid w:val="00770189"/>
    <w:rsid w:val="007701B9"/>
    <w:rsid w:val="00770227"/>
    <w:rsid w:val="00770274"/>
    <w:rsid w:val="00770342"/>
    <w:rsid w:val="007705CC"/>
    <w:rsid w:val="007708BB"/>
    <w:rsid w:val="00770A08"/>
    <w:rsid w:val="00770A81"/>
    <w:rsid w:val="00770B30"/>
    <w:rsid w:val="00770D76"/>
    <w:rsid w:val="007711BD"/>
    <w:rsid w:val="007711EE"/>
    <w:rsid w:val="007713B1"/>
    <w:rsid w:val="0077141A"/>
    <w:rsid w:val="0077160B"/>
    <w:rsid w:val="00771617"/>
    <w:rsid w:val="007716D1"/>
    <w:rsid w:val="0077177F"/>
    <w:rsid w:val="007717BA"/>
    <w:rsid w:val="00771862"/>
    <w:rsid w:val="007719B1"/>
    <w:rsid w:val="00771A44"/>
    <w:rsid w:val="00771AB9"/>
    <w:rsid w:val="00771C24"/>
    <w:rsid w:val="00771C5C"/>
    <w:rsid w:val="00771E8D"/>
    <w:rsid w:val="007720C1"/>
    <w:rsid w:val="007722C1"/>
    <w:rsid w:val="007722C8"/>
    <w:rsid w:val="0077231A"/>
    <w:rsid w:val="00772677"/>
    <w:rsid w:val="0077270C"/>
    <w:rsid w:val="00772840"/>
    <w:rsid w:val="00772855"/>
    <w:rsid w:val="007729B0"/>
    <w:rsid w:val="00772AFC"/>
    <w:rsid w:val="00772B05"/>
    <w:rsid w:val="00772D50"/>
    <w:rsid w:val="00772E53"/>
    <w:rsid w:val="00773382"/>
    <w:rsid w:val="007735FB"/>
    <w:rsid w:val="00773731"/>
    <w:rsid w:val="0077375F"/>
    <w:rsid w:val="00773834"/>
    <w:rsid w:val="00773B7E"/>
    <w:rsid w:val="00773C05"/>
    <w:rsid w:val="0077402A"/>
    <w:rsid w:val="00774143"/>
    <w:rsid w:val="007741AE"/>
    <w:rsid w:val="007742B0"/>
    <w:rsid w:val="007742D4"/>
    <w:rsid w:val="0077446C"/>
    <w:rsid w:val="0077457A"/>
    <w:rsid w:val="00774583"/>
    <w:rsid w:val="007746CB"/>
    <w:rsid w:val="0077478A"/>
    <w:rsid w:val="007748CD"/>
    <w:rsid w:val="0077496E"/>
    <w:rsid w:val="00774BA3"/>
    <w:rsid w:val="00774BBD"/>
    <w:rsid w:val="00774BDC"/>
    <w:rsid w:val="00774C3F"/>
    <w:rsid w:val="00774D0C"/>
    <w:rsid w:val="00774D39"/>
    <w:rsid w:val="00774DD3"/>
    <w:rsid w:val="00774E2B"/>
    <w:rsid w:val="00774EB3"/>
    <w:rsid w:val="00774EED"/>
    <w:rsid w:val="0077500F"/>
    <w:rsid w:val="00775198"/>
    <w:rsid w:val="00775250"/>
    <w:rsid w:val="0077527A"/>
    <w:rsid w:val="00775367"/>
    <w:rsid w:val="00775369"/>
    <w:rsid w:val="007753BD"/>
    <w:rsid w:val="007753F3"/>
    <w:rsid w:val="007753FF"/>
    <w:rsid w:val="00775416"/>
    <w:rsid w:val="007754A0"/>
    <w:rsid w:val="007754F9"/>
    <w:rsid w:val="007755AB"/>
    <w:rsid w:val="00775630"/>
    <w:rsid w:val="007756E8"/>
    <w:rsid w:val="00775881"/>
    <w:rsid w:val="0077593E"/>
    <w:rsid w:val="0077594A"/>
    <w:rsid w:val="00775A17"/>
    <w:rsid w:val="00775A2F"/>
    <w:rsid w:val="00775ACC"/>
    <w:rsid w:val="00775BCF"/>
    <w:rsid w:val="00775BDF"/>
    <w:rsid w:val="00775BED"/>
    <w:rsid w:val="00775C89"/>
    <w:rsid w:val="00775DDB"/>
    <w:rsid w:val="00775F92"/>
    <w:rsid w:val="00776052"/>
    <w:rsid w:val="007762E2"/>
    <w:rsid w:val="0077648F"/>
    <w:rsid w:val="007766EF"/>
    <w:rsid w:val="00776763"/>
    <w:rsid w:val="00776958"/>
    <w:rsid w:val="00776B0D"/>
    <w:rsid w:val="00776B70"/>
    <w:rsid w:val="00776BE3"/>
    <w:rsid w:val="00776DC9"/>
    <w:rsid w:val="00776DE7"/>
    <w:rsid w:val="00776EDA"/>
    <w:rsid w:val="00776F45"/>
    <w:rsid w:val="00776F51"/>
    <w:rsid w:val="0077709F"/>
    <w:rsid w:val="00777135"/>
    <w:rsid w:val="00777180"/>
    <w:rsid w:val="00777266"/>
    <w:rsid w:val="00777299"/>
    <w:rsid w:val="007772C6"/>
    <w:rsid w:val="007772FD"/>
    <w:rsid w:val="00777384"/>
    <w:rsid w:val="00777432"/>
    <w:rsid w:val="0077743D"/>
    <w:rsid w:val="007775DE"/>
    <w:rsid w:val="00777655"/>
    <w:rsid w:val="00777684"/>
    <w:rsid w:val="007776BA"/>
    <w:rsid w:val="007776F9"/>
    <w:rsid w:val="0077771F"/>
    <w:rsid w:val="00777901"/>
    <w:rsid w:val="00777967"/>
    <w:rsid w:val="00777AAF"/>
    <w:rsid w:val="00777AB2"/>
    <w:rsid w:val="00777BD4"/>
    <w:rsid w:val="00777D52"/>
    <w:rsid w:val="00779018"/>
    <w:rsid w:val="0078014C"/>
    <w:rsid w:val="0078025E"/>
    <w:rsid w:val="00780288"/>
    <w:rsid w:val="007802A1"/>
    <w:rsid w:val="00780445"/>
    <w:rsid w:val="00780532"/>
    <w:rsid w:val="00780560"/>
    <w:rsid w:val="007805DB"/>
    <w:rsid w:val="007806FA"/>
    <w:rsid w:val="007809B6"/>
    <w:rsid w:val="00780A96"/>
    <w:rsid w:val="00780B91"/>
    <w:rsid w:val="00780FA3"/>
    <w:rsid w:val="0078128B"/>
    <w:rsid w:val="0078129D"/>
    <w:rsid w:val="007813DD"/>
    <w:rsid w:val="00781406"/>
    <w:rsid w:val="007816C4"/>
    <w:rsid w:val="00781718"/>
    <w:rsid w:val="0078179F"/>
    <w:rsid w:val="00781853"/>
    <w:rsid w:val="00781899"/>
    <w:rsid w:val="007818C7"/>
    <w:rsid w:val="00781CAF"/>
    <w:rsid w:val="00781DA3"/>
    <w:rsid w:val="00781E3C"/>
    <w:rsid w:val="0078205A"/>
    <w:rsid w:val="00782084"/>
    <w:rsid w:val="007821C0"/>
    <w:rsid w:val="007822EC"/>
    <w:rsid w:val="0078237C"/>
    <w:rsid w:val="00782697"/>
    <w:rsid w:val="007826DF"/>
    <w:rsid w:val="00782800"/>
    <w:rsid w:val="00782C81"/>
    <w:rsid w:val="00782DBE"/>
    <w:rsid w:val="00782E56"/>
    <w:rsid w:val="0078308C"/>
    <w:rsid w:val="00783149"/>
    <w:rsid w:val="0078332F"/>
    <w:rsid w:val="007833B0"/>
    <w:rsid w:val="007833F4"/>
    <w:rsid w:val="0078347F"/>
    <w:rsid w:val="007835DB"/>
    <w:rsid w:val="00783625"/>
    <w:rsid w:val="00783634"/>
    <w:rsid w:val="007838A2"/>
    <w:rsid w:val="007839E0"/>
    <w:rsid w:val="00783A0F"/>
    <w:rsid w:val="00783B87"/>
    <w:rsid w:val="00783E70"/>
    <w:rsid w:val="007842DA"/>
    <w:rsid w:val="00784449"/>
    <w:rsid w:val="0078446F"/>
    <w:rsid w:val="007845F9"/>
    <w:rsid w:val="007846E2"/>
    <w:rsid w:val="0078473B"/>
    <w:rsid w:val="007847AA"/>
    <w:rsid w:val="00784892"/>
    <w:rsid w:val="0078493B"/>
    <w:rsid w:val="00784980"/>
    <w:rsid w:val="00784AC0"/>
    <w:rsid w:val="00784AEC"/>
    <w:rsid w:val="00784BDD"/>
    <w:rsid w:val="00784C57"/>
    <w:rsid w:val="00784DB4"/>
    <w:rsid w:val="00784E25"/>
    <w:rsid w:val="007850F3"/>
    <w:rsid w:val="00785216"/>
    <w:rsid w:val="007853AD"/>
    <w:rsid w:val="00785492"/>
    <w:rsid w:val="0078554D"/>
    <w:rsid w:val="0078558D"/>
    <w:rsid w:val="007855A0"/>
    <w:rsid w:val="007855D8"/>
    <w:rsid w:val="007857C5"/>
    <w:rsid w:val="00785B00"/>
    <w:rsid w:val="00785D8A"/>
    <w:rsid w:val="00786114"/>
    <w:rsid w:val="00786449"/>
    <w:rsid w:val="0078657B"/>
    <w:rsid w:val="0078657F"/>
    <w:rsid w:val="007866A9"/>
    <w:rsid w:val="007868B4"/>
    <w:rsid w:val="00786A10"/>
    <w:rsid w:val="00786AC8"/>
    <w:rsid w:val="00786AEB"/>
    <w:rsid w:val="00786D7E"/>
    <w:rsid w:val="00786EF4"/>
    <w:rsid w:val="00786FBF"/>
    <w:rsid w:val="0078705B"/>
    <w:rsid w:val="007870F5"/>
    <w:rsid w:val="00787320"/>
    <w:rsid w:val="0078739C"/>
    <w:rsid w:val="00787537"/>
    <w:rsid w:val="00787625"/>
    <w:rsid w:val="00787733"/>
    <w:rsid w:val="00787875"/>
    <w:rsid w:val="007878F5"/>
    <w:rsid w:val="007879E2"/>
    <w:rsid w:val="00787A43"/>
    <w:rsid w:val="00787A6F"/>
    <w:rsid w:val="00787CA2"/>
    <w:rsid w:val="00787E25"/>
    <w:rsid w:val="00787EE0"/>
    <w:rsid w:val="00787EF2"/>
    <w:rsid w:val="00787F52"/>
    <w:rsid w:val="00787FA8"/>
    <w:rsid w:val="00790092"/>
    <w:rsid w:val="00790190"/>
    <w:rsid w:val="007901A7"/>
    <w:rsid w:val="00790275"/>
    <w:rsid w:val="0079048C"/>
    <w:rsid w:val="007904EB"/>
    <w:rsid w:val="00790578"/>
    <w:rsid w:val="007906BC"/>
    <w:rsid w:val="00790823"/>
    <w:rsid w:val="007909D7"/>
    <w:rsid w:val="00790AD1"/>
    <w:rsid w:val="00790B15"/>
    <w:rsid w:val="00790B2C"/>
    <w:rsid w:val="00790BBA"/>
    <w:rsid w:val="00790D8F"/>
    <w:rsid w:val="00790D9A"/>
    <w:rsid w:val="00790EEF"/>
    <w:rsid w:val="00791117"/>
    <w:rsid w:val="007914E5"/>
    <w:rsid w:val="00791689"/>
    <w:rsid w:val="007916F3"/>
    <w:rsid w:val="00791711"/>
    <w:rsid w:val="00791773"/>
    <w:rsid w:val="007917AD"/>
    <w:rsid w:val="00791831"/>
    <w:rsid w:val="00791905"/>
    <w:rsid w:val="00791991"/>
    <w:rsid w:val="00791A00"/>
    <w:rsid w:val="00791BC8"/>
    <w:rsid w:val="00791D97"/>
    <w:rsid w:val="00791E7F"/>
    <w:rsid w:val="00791EE8"/>
    <w:rsid w:val="00791F47"/>
    <w:rsid w:val="007921D6"/>
    <w:rsid w:val="007924DB"/>
    <w:rsid w:val="0079262D"/>
    <w:rsid w:val="00792671"/>
    <w:rsid w:val="0079277B"/>
    <w:rsid w:val="0079281D"/>
    <w:rsid w:val="007928F7"/>
    <w:rsid w:val="00792919"/>
    <w:rsid w:val="00792AE0"/>
    <w:rsid w:val="00792C43"/>
    <w:rsid w:val="00792D91"/>
    <w:rsid w:val="00792F6A"/>
    <w:rsid w:val="00792F6D"/>
    <w:rsid w:val="007930DD"/>
    <w:rsid w:val="0079312A"/>
    <w:rsid w:val="007931D5"/>
    <w:rsid w:val="00793667"/>
    <w:rsid w:val="0079370D"/>
    <w:rsid w:val="007937CD"/>
    <w:rsid w:val="007939A0"/>
    <w:rsid w:val="007939B3"/>
    <w:rsid w:val="007939F8"/>
    <w:rsid w:val="00793A03"/>
    <w:rsid w:val="00793AAA"/>
    <w:rsid w:val="00793ADF"/>
    <w:rsid w:val="00793B18"/>
    <w:rsid w:val="00793D88"/>
    <w:rsid w:val="00793E1D"/>
    <w:rsid w:val="00794242"/>
    <w:rsid w:val="00794289"/>
    <w:rsid w:val="007942CB"/>
    <w:rsid w:val="007945C3"/>
    <w:rsid w:val="00794652"/>
    <w:rsid w:val="007946FA"/>
    <w:rsid w:val="0079470A"/>
    <w:rsid w:val="00794865"/>
    <w:rsid w:val="0079498D"/>
    <w:rsid w:val="007949DB"/>
    <w:rsid w:val="00794A53"/>
    <w:rsid w:val="00794AB5"/>
    <w:rsid w:val="00794ADC"/>
    <w:rsid w:val="00794BF3"/>
    <w:rsid w:val="00794CB2"/>
    <w:rsid w:val="00794E09"/>
    <w:rsid w:val="00794F53"/>
    <w:rsid w:val="00794FF9"/>
    <w:rsid w:val="0079514F"/>
    <w:rsid w:val="00795245"/>
    <w:rsid w:val="00795386"/>
    <w:rsid w:val="0079542F"/>
    <w:rsid w:val="00795615"/>
    <w:rsid w:val="00795895"/>
    <w:rsid w:val="007959BA"/>
    <w:rsid w:val="00795B81"/>
    <w:rsid w:val="00795CA7"/>
    <w:rsid w:val="00795CDC"/>
    <w:rsid w:val="00795D10"/>
    <w:rsid w:val="00795DCE"/>
    <w:rsid w:val="00795F55"/>
    <w:rsid w:val="00795F81"/>
    <w:rsid w:val="00795FDD"/>
    <w:rsid w:val="00796525"/>
    <w:rsid w:val="007966BE"/>
    <w:rsid w:val="00796964"/>
    <w:rsid w:val="00796C52"/>
    <w:rsid w:val="007971A9"/>
    <w:rsid w:val="00797248"/>
    <w:rsid w:val="007974F6"/>
    <w:rsid w:val="00797624"/>
    <w:rsid w:val="007976A3"/>
    <w:rsid w:val="0079770C"/>
    <w:rsid w:val="0079779C"/>
    <w:rsid w:val="0079788E"/>
    <w:rsid w:val="007978AE"/>
    <w:rsid w:val="0079796A"/>
    <w:rsid w:val="00797F46"/>
    <w:rsid w:val="00797F9E"/>
    <w:rsid w:val="007A0045"/>
    <w:rsid w:val="007A01E1"/>
    <w:rsid w:val="007A023D"/>
    <w:rsid w:val="007A040C"/>
    <w:rsid w:val="007A05AB"/>
    <w:rsid w:val="007A05EF"/>
    <w:rsid w:val="007A081F"/>
    <w:rsid w:val="007A0899"/>
    <w:rsid w:val="007A08E2"/>
    <w:rsid w:val="007A09DE"/>
    <w:rsid w:val="007A0A3D"/>
    <w:rsid w:val="007A0A5C"/>
    <w:rsid w:val="007A0A8A"/>
    <w:rsid w:val="007A0BB7"/>
    <w:rsid w:val="007A0C3B"/>
    <w:rsid w:val="007A0C6B"/>
    <w:rsid w:val="007A0DD6"/>
    <w:rsid w:val="007A0DE4"/>
    <w:rsid w:val="007A0EB1"/>
    <w:rsid w:val="007A0F08"/>
    <w:rsid w:val="007A0F5B"/>
    <w:rsid w:val="007A100E"/>
    <w:rsid w:val="007A1017"/>
    <w:rsid w:val="007A1024"/>
    <w:rsid w:val="007A10DE"/>
    <w:rsid w:val="007A1111"/>
    <w:rsid w:val="007A1113"/>
    <w:rsid w:val="007A116D"/>
    <w:rsid w:val="007A117A"/>
    <w:rsid w:val="007A12D3"/>
    <w:rsid w:val="007A13AA"/>
    <w:rsid w:val="007A1525"/>
    <w:rsid w:val="007A1561"/>
    <w:rsid w:val="007A1597"/>
    <w:rsid w:val="007A1672"/>
    <w:rsid w:val="007A169C"/>
    <w:rsid w:val="007A19C8"/>
    <w:rsid w:val="007A19DA"/>
    <w:rsid w:val="007A1B82"/>
    <w:rsid w:val="007A1CD2"/>
    <w:rsid w:val="007A1D57"/>
    <w:rsid w:val="007A2014"/>
    <w:rsid w:val="007A20EE"/>
    <w:rsid w:val="007A2584"/>
    <w:rsid w:val="007A2664"/>
    <w:rsid w:val="007A26E6"/>
    <w:rsid w:val="007A271D"/>
    <w:rsid w:val="007A2A66"/>
    <w:rsid w:val="007A2B0B"/>
    <w:rsid w:val="007A2D43"/>
    <w:rsid w:val="007A2D71"/>
    <w:rsid w:val="007A313A"/>
    <w:rsid w:val="007A34DE"/>
    <w:rsid w:val="007A366C"/>
    <w:rsid w:val="007A3746"/>
    <w:rsid w:val="007A38A3"/>
    <w:rsid w:val="007A38FA"/>
    <w:rsid w:val="007A3956"/>
    <w:rsid w:val="007A3985"/>
    <w:rsid w:val="007A3AB6"/>
    <w:rsid w:val="007A3B74"/>
    <w:rsid w:val="007A3BFD"/>
    <w:rsid w:val="007A3C22"/>
    <w:rsid w:val="007A3D4D"/>
    <w:rsid w:val="007A3DCF"/>
    <w:rsid w:val="007A3F67"/>
    <w:rsid w:val="007A409C"/>
    <w:rsid w:val="007A4191"/>
    <w:rsid w:val="007A41B1"/>
    <w:rsid w:val="007A41F9"/>
    <w:rsid w:val="007A4282"/>
    <w:rsid w:val="007A44E7"/>
    <w:rsid w:val="007A4564"/>
    <w:rsid w:val="007A469C"/>
    <w:rsid w:val="007A46EE"/>
    <w:rsid w:val="007A4713"/>
    <w:rsid w:val="007A47A0"/>
    <w:rsid w:val="007A47D3"/>
    <w:rsid w:val="007A47E3"/>
    <w:rsid w:val="007A491F"/>
    <w:rsid w:val="007A4956"/>
    <w:rsid w:val="007A4CE9"/>
    <w:rsid w:val="007A4DD3"/>
    <w:rsid w:val="007A50F0"/>
    <w:rsid w:val="007A513C"/>
    <w:rsid w:val="007A51A3"/>
    <w:rsid w:val="007A520E"/>
    <w:rsid w:val="007A533A"/>
    <w:rsid w:val="007A555A"/>
    <w:rsid w:val="007A55B4"/>
    <w:rsid w:val="007A575E"/>
    <w:rsid w:val="007A594C"/>
    <w:rsid w:val="007A5ABF"/>
    <w:rsid w:val="007A5AE6"/>
    <w:rsid w:val="007A5B65"/>
    <w:rsid w:val="007A5D48"/>
    <w:rsid w:val="007A5D58"/>
    <w:rsid w:val="007A5D85"/>
    <w:rsid w:val="007A5F31"/>
    <w:rsid w:val="007A6167"/>
    <w:rsid w:val="007A6240"/>
    <w:rsid w:val="007A628E"/>
    <w:rsid w:val="007A62C5"/>
    <w:rsid w:val="007A6498"/>
    <w:rsid w:val="007A649E"/>
    <w:rsid w:val="007A64BC"/>
    <w:rsid w:val="007A64E8"/>
    <w:rsid w:val="007A651E"/>
    <w:rsid w:val="007A675F"/>
    <w:rsid w:val="007A67A6"/>
    <w:rsid w:val="007A67C5"/>
    <w:rsid w:val="007A682C"/>
    <w:rsid w:val="007A69F6"/>
    <w:rsid w:val="007A6C0B"/>
    <w:rsid w:val="007A6C27"/>
    <w:rsid w:val="007A6D0C"/>
    <w:rsid w:val="007A6D48"/>
    <w:rsid w:val="007A6E46"/>
    <w:rsid w:val="007A6EAA"/>
    <w:rsid w:val="007A6FF1"/>
    <w:rsid w:val="007A7060"/>
    <w:rsid w:val="007A7274"/>
    <w:rsid w:val="007A72F8"/>
    <w:rsid w:val="007A7580"/>
    <w:rsid w:val="007A7640"/>
    <w:rsid w:val="007A7725"/>
    <w:rsid w:val="007A7850"/>
    <w:rsid w:val="007A78DC"/>
    <w:rsid w:val="007A7A69"/>
    <w:rsid w:val="007A7ABD"/>
    <w:rsid w:val="007A7B58"/>
    <w:rsid w:val="007A7B7C"/>
    <w:rsid w:val="007A7BFD"/>
    <w:rsid w:val="007A7C12"/>
    <w:rsid w:val="007A7E86"/>
    <w:rsid w:val="007A7F2F"/>
    <w:rsid w:val="007A7FA7"/>
    <w:rsid w:val="007B01DB"/>
    <w:rsid w:val="007B0319"/>
    <w:rsid w:val="007B03B5"/>
    <w:rsid w:val="007B03F4"/>
    <w:rsid w:val="007B0619"/>
    <w:rsid w:val="007B069B"/>
    <w:rsid w:val="007B069D"/>
    <w:rsid w:val="007B072B"/>
    <w:rsid w:val="007B093A"/>
    <w:rsid w:val="007B09AD"/>
    <w:rsid w:val="007B0AA2"/>
    <w:rsid w:val="007B0B66"/>
    <w:rsid w:val="007B0CFC"/>
    <w:rsid w:val="007B0D05"/>
    <w:rsid w:val="007B0E47"/>
    <w:rsid w:val="007B0E99"/>
    <w:rsid w:val="007B0F64"/>
    <w:rsid w:val="007B1306"/>
    <w:rsid w:val="007B1341"/>
    <w:rsid w:val="007B1402"/>
    <w:rsid w:val="007B1466"/>
    <w:rsid w:val="007B1563"/>
    <w:rsid w:val="007B1706"/>
    <w:rsid w:val="007B1740"/>
    <w:rsid w:val="007B1863"/>
    <w:rsid w:val="007B19D9"/>
    <w:rsid w:val="007B1C43"/>
    <w:rsid w:val="007B1DAC"/>
    <w:rsid w:val="007B2026"/>
    <w:rsid w:val="007B20AD"/>
    <w:rsid w:val="007B2297"/>
    <w:rsid w:val="007B22C5"/>
    <w:rsid w:val="007B23D6"/>
    <w:rsid w:val="007B256B"/>
    <w:rsid w:val="007B25BC"/>
    <w:rsid w:val="007B26F1"/>
    <w:rsid w:val="007B2797"/>
    <w:rsid w:val="007B288B"/>
    <w:rsid w:val="007B289C"/>
    <w:rsid w:val="007B293C"/>
    <w:rsid w:val="007B2951"/>
    <w:rsid w:val="007B296A"/>
    <w:rsid w:val="007B2CFD"/>
    <w:rsid w:val="007B2DF6"/>
    <w:rsid w:val="007B2F41"/>
    <w:rsid w:val="007B32C9"/>
    <w:rsid w:val="007B3594"/>
    <w:rsid w:val="007B359A"/>
    <w:rsid w:val="007B361D"/>
    <w:rsid w:val="007B37BE"/>
    <w:rsid w:val="007B37EC"/>
    <w:rsid w:val="007B382F"/>
    <w:rsid w:val="007B3A3E"/>
    <w:rsid w:val="007B3A8D"/>
    <w:rsid w:val="007B3BF7"/>
    <w:rsid w:val="007B3D12"/>
    <w:rsid w:val="007B3D95"/>
    <w:rsid w:val="007B3DF2"/>
    <w:rsid w:val="007B3F37"/>
    <w:rsid w:val="007B4034"/>
    <w:rsid w:val="007B41BE"/>
    <w:rsid w:val="007B429B"/>
    <w:rsid w:val="007B42CA"/>
    <w:rsid w:val="007B42CF"/>
    <w:rsid w:val="007B42E5"/>
    <w:rsid w:val="007B43D2"/>
    <w:rsid w:val="007B44C9"/>
    <w:rsid w:val="007B4651"/>
    <w:rsid w:val="007B4687"/>
    <w:rsid w:val="007B484B"/>
    <w:rsid w:val="007B485E"/>
    <w:rsid w:val="007B490B"/>
    <w:rsid w:val="007B4FF3"/>
    <w:rsid w:val="007B5155"/>
    <w:rsid w:val="007B5300"/>
    <w:rsid w:val="007B53E4"/>
    <w:rsid w:val="007B580D"/>
    <w:rsid w:val="007B58F6"/>
    <w:rsid w:val="007B598D"/>
    <w:rsid w:val="007B5A95"/>
    <w:rsid w:val="007B5A9A"/>
    <w:rsid w:val="007B5D5E"/>
    <w:rsid w:val="007B5D73"/>
    <w:rsid w:val="007B5E2B"/>
    <w:rsid w:val="007B628A"/>
    <w:rsid w:val="007B6337"/>
    <w:rsid w:val="007B635E"/>
    <w:rsid w:val="007B6383"/>
    <w:rsid w:val="007B6555"/>
    <w:rsid w:val="007B65E3"/>
    <w:rsid w:val="007B67D3"/>
    <w:rsid w:val="007B6849"/>
    <w:rsid w:val="007B6A3E"/>
    <w:rsid w:val="007B6AC2"/>
    <w:rsid w:val="007B6B43"/>
    <w:rsid w:val="007B6DF8"/>
    <w:rsid w:val="007B7432"/>
    <w:rsid w:val="007B75A8"/>
    <w:rsid w:val="007B7699"/>
    <w:rsid w:val="007B796E"/>
    <w:rsid w:val="007B7D25"/>
    <w:rsid w:val="007B7E1C"/>
    <w:rsid w:val="007B7EE6"/>
    <w:rsid w:val="007C001B"/>
    <w:rsid w:val="007C00DA"/>
    <w:rsid w:val="007C01C0"/>
    <w:rsid w:val="007C0222"/>
    <w:rsid w:val="007C0228"/>
    <w:rsid w:val="007C0332"/>
    <w:rsid w:val="007C0336"/>
    <w:rsid w:val="007C033C"/>
    <w:rsid w:val="007C03C7"/>
    <w:rsid w:val="007C06CC"/>
    <w:rsid w:val="007C0747"/>
    <w:rsid w:val="007C0760"/>
    <w:rsid w:val="007C07E9"/>
    <w:rsid w:val="007C08BE"/>
    <w:rsid w:val="007C08F6"/>
    <w:rsid w:val="007C0923"/>
    <w:rsid w:val="007C0A0C"/>
    <w:rsid w:val="007C0AD1"/>
    <w:rsid w:val="007C0AF0"/>
    <w:rsid w:val="007C0FFF"/>
    <w:rsid w:val="007C10F9"/>
    <w:rsid w:val="007C1158"/>
    <w:rsid w:val="007C12E5"/>
    <w:rsid w:val="007C1344"/>
    <w:rsid w:val="007C1504"/>
    <w:rsid w:val="007C1541"/>
    <w:rsid w:val="007C15B2"/>
    <w:rsid w:val="007C16C6"/>
    <w:rsid w:val="007C17C2"/>
    <w:rsid w:val="007C1964"/>
    <w:rsid w:val="007C1BEE"/>
    <w:rsid w:val="007C1CA4"/>
    <w:rsid w:val="007C1CB2"/>
    <w:rsid w:val="007C20E2"/>
    <w:rsid w:val="007C218F"/>
    <w:rsid w:val="007C23E7"/>
    <w:rsid w:val="007C2443"/>
    <w:rsid w:val="007C2489"/>
    <w:rsid w:val="007C25F9"/>
    <w:rsid w:val="007C28B2"/>
    <w:rsid w:val="007C28B6"/>
    <w:rsid w:val="007C292C"/>
    <w:rsid w:val="007C296F"/>
    <w:rsid w:val="007C2B0D"/>
    <w:rsid w:val="007C2C0E"/>
    <w:rsid w:val="007C2C74"/>
    <w:rsid w:val="007C2E0C"/>
    <w:rsid w:val="007C2F48"/>
    <w:rsid w:val="007C3167"/>
    <w:rsid w:val="007C317A"/>
    <w:rsid w:val="007C3193"/>
    <w:rsid w:val="007C326A"/>
    <w:rsid w:val="007C332C"/>
    <w:rsid w:val="007C3342"/>
    <w:rsid w:val="007C337E"/>
    <w:rsid w:val="007C37D8"/>
    <w:rsid w:val="007C38A1"/>
    <w:rsid w:val="007C39F6"/>
    <w:rsid w:val="007C3A18"/>
    <w:rsid w:val="007C3A41"/>
    <w:rsid w:val="007C3B99"/>
    <w:rsid w:val="007C3C59"/>
    <w:rsid w:val="007C3CF1"/>
    <w:rsid w:val="007C3EC2"/>
    <w:rsid w:val="007C4128"/>
    <w:rsid w:val="007C42C0"/>
    <w:rsid w:val="007C4388"/>
    <w:rsid w:val="007C4515"/>
    <w:rsid w:val="007C458A"/>
    <w:rsid w:val="007C473B"/>
    <w:rsid w:val="007C48B7"/>
    <w:rsid w:val="007C49E1"/>
    <w:rsid w:val="007C4A1A"/>
    <w:rsid w:val="007C4BC8"/>
    <w:rsid w:val="007C4D05"/>
    <w:rsid w:val="007C4DB3"/>
    <w:rsid w:val="007C4E33"/>
    <w:rsid w:val="007C507C"/>
    <w:rsid w:val="007C513B"/>
    <w:rsid w:val="007C52A9"/>
    <w:rsid w:val="007C55B8"/>
    <w:rsid w:val="007C55EE"/>
    <w:rsid w:val="007C5695"/>
    <w:rsid w:val="007C586B"/>
    <w:rsid w:val="007C5B52"/>
    <w:rsid w:val="007C5D22"/>
    <w:rsid w:val="007C5DD2"/>
    <w:rsid w:val="007C5E85"/>
    <w:rsid w:val="007C5F8D"/>
    <w:rsid w:val="007C600B"/>
    <w:rsid w:val="007C615B"/>
    <w:rsid w:val="007C62CF"/>
    <w:rsid w:val="007C6415"/>
    <w:rsid w:val="007C64ED"/>
    <w:rsid w:val="007C656B"/>
    <w:rsid w:val="007C65A7"/>
    <w:rsid w:val="007C66E0"/>
    <w:rsid w:val="007C6794"/>
    <w:rsid w:val="007C683A"/>
    <w:rsid w:val="007C689D"/>
    <w:rsid w:val="007C6902"/>
    <w:rsid w:val="007C693F"/>
    <w:rsid w:val="007C69A7"/>
    <w:rsid w:val="007C6A5E"/>
    <w:rsid w:val="007C6AC6"/>
    <w:rsid w:val="007C6BB6"/>
    <w:rsid w:val="007C6C90"/>
    <w:rsid w:val="007C6E3B"/>
    <w:rsid w:val="007C70B7"/>
    <w:rsid w:val="007C715A"/>
    <w:rsid w:val="007C71A0"/>
    <w:rsid w:val="007C71A4"/>
    <w:rsid w:val="007C7268"/>
    <w:rsid w:val="007C735B"/>
    <w:rsid w:val="007C7564"/>
    <w:rsid w:val="007C7565"/>
    <w:rsid w:val="007C7683"/>
    <w:rsid w:val="007C76DB"/>
    <w:rsid w:val="007C7776"/>
    <w:rsid w:val="007C7887"/>
    <w:rsid w:val="007C7979"/>
    <w:rsid w:val="007C798A"/>
    <w:rsid w:val="007C79B1"/>
    <w:rsid w:val="007C7D52"/>
    <w:rsid w:val="007C7D61"/>
    <w:rsid w:val="007C7EAB"/>
    <w:rsid w:val="007C7F66"/>
    <w:rsid w:val="007C7FCA"/>
    <w:rsid w:val="007D035F"/>
    <w:rsid w:val="007D03C6"/>
    <w:rsid w:val="007D03CE"/>
    <w:rsid w:val="007D04F5"/>
    <w:rsid w:val="007D0564"/>
    <w:rsid w:val="007D05C9"/>
    <w:rsid w:val="007D06AA"/>
    <w:rsid w:val="007D07D2"/>
    <w:rsid w:val="007D08AD"/>
    <w:rsid w:val="007D09FF"/>
    <w:rsid w:val="007D0A0C"/>
    <w:rsid w:val="007D0C1B"/>
    <w:rsid w:val="007D0CDB"/>
    <w:rsid w:val="007D0DAD"/>
    <w:rsid w:val="007D0E25"/>
    <w:rsid w:val="007D0FC1"/>
    <w:rsid w:val="007D1066"/>
    <w:rsid w:val="007D10EE"/>
    <w:rsid w:val="007D11F3"/>
    <w:rsid w:val="007D1221"/>
    <w:rsid w:val="007D1272"/>
    <w:rsid w:val="007D172E"/>
    <w:rsid w:val="007D1851"/>
    <w:rsid w:val="007D1BD4"/>
    <w:rsid w:val="007D1FA3"/>
    <w:rsid w:val="007D2118"/>
    <w:rsid w:val="007D2131"/>
    <w:rsid w:val="007D220B"/>
    <w:rsid w:val="007D2355"/>
    <w:rsid w:val="007D237D"/>
    <w:rsid w:val="007D23F8"/>
    <w:rsid w:val="007D242D"/>
    <w:rsid w:val="007D2555"/>
    <w:rsid w:val="007D26E0"/>
    <w:rsid w:val="007D2704"/>
    <w:rsid w:val="007D286E"/>
    <w:rsid w:val="007D287F"/>
    <w:rsid w:val="007D2906"/>
    <w:rsid w:val="007D29D4"/>
    <w:rsid w:val="007D2B48"/>
    <w:rsid w:val="007D2B9C"/>
    <w:rsid w:val="007D2BA1"/>
    <w:rsid w:val="007D2CF7"/>
    <w:rsid w:val="007D2D63"/>
    <w:rsid w:val="007D2E91"/>
    <w:rsid w:val="007D31A0"/>
    <w:rsid w:val="007D34B8"/>
    <w:rsid w:val="007D353D"/>
    <w:rsid w:val="007D3665"/>
    <w:rsid w:val="007D3736"/>
    <w:rsid w:val="007D38C0"/>
    <w:rsid w:val="007D38DD"/>
    <w:rsid w:val="007D39C4"/>
    <w:rsid w:val="007D39CD"/>
    <w:rsid w:val="007D3A20"/>
    <w:rsid w:val="007D3D99"/>
    <w:rsid w:val="007D3E14"/>
    <w:rsid w:val="007D3EA4"/>
    <w:rsid w:val="007D3ECC"/>
    <w:rsid w:val="007D3FE5"/>
    <w:rsid w:val="007D4151"/>
    <w:rsid w:val="007D415D"/>
    <w:rsid w:val="007D4232"/>
    <w:rsid w:val="007D4268"/>
    <w:rsid w:val="007D42ED"/>
    <w:rsid w:val="007D4362"/>
    <w:rsid w:val="007D4412"/>
    <w:rsid w:val="007D4570"/>
    <w:rsid w:val="007D458E"/>
    <w:rsid w:val="007D45AA"/>
    <w:rsid w:val="007D4606"/>
    <w:rsid w:val="007D49BC"/>
    <w:rsid w:val="007D49DC"/>
    <w:rsid w:val="007D4A35"/>
    <w:rsid w:val="007D4BA6"/>
    <w:rsid w:val="007D4BAF"/>
    <w:rsid w:val="007D4BDB"/>
    <w:rsid w:val="007D4F27"/>
    <w:rsid w:val="007D4F4E"/>
    <w:rsid w:val="007D4FB8"/>
    <w:rsid w:val="007D518F"/>
    <w:rsid w:val="007D51D4"/>
    <w:rsid w:val="007D541D"/>
    <w:rsid w:val="007D5565"/>
    <w:rsid w:val="007D55D7"/>
    <w:rsid w:val="007D5775"/>
    <w:rsid w:val="007D5833"/>
    <w:rsid w:val="007D58CA"/>
    <w:rsid w:val="007D5D76"/>
    <w:rsid w:val="007D605B"/>
    <w:rsid w:val="007D608C"/>
    <w:rsid w:val="007D6415"/>
    <w:rsid w:val="007D652F"/>
    <w:rsid w:val="007D6743"/>
    <w:rsid w:val="007D675D"/>
    <w:rsid w:val="007D67F6"/>
    <w:rsid w:val="007D6D48"/>
    <w:rsid w:val="007D6D51"/>
    <w:rsid w:val="007D6E6D"/>
    <w:rsid w:val="007D6ECA"/>
    <w:rsid w:val="007D703C"/>
    <w:rsid w:val="007D71D5"/>
    <w:rsid w:val="007D74E6"/>
    <w:rsid w:val="007D755E"/>
    <w:rsid w:val="007D759F"/>
    <w:rsid w:val="007D7682"/>
    <w:rsid w:val="007D76C5"/>
    <w:rsid w:val="007D7755"/>
    <w:rsid w:val="007D7866"/>
    <w:rsid w:val="007D7BAE"/>
    <w:rsid w:val="007D7D69"/>
    <w:rsid w:val="007E0103"/>
    <w:rsid w:val="007E0214"/>
    <w:rsid w:val="007E0343"/>
    <w:rsid w:val="007E037D"/>
    <w:rsid w:val="007E03AF"/>
    <w:rsid w:val="007E0417"/>
    <w:rsid w:val="007E056B"/>
    <w:rsid w:val="007E063C"/>
    <w:rsid w:val="007E0775"/>
    <w:rsid w:val="007E0843"/>
    <w:rsid w:val="007E08A3"/>
    <w:rsid w:val="007E08EC"/>
    <w:rsid w:val="007E0AE1"/>
    <w:rsid w:val="007E0B0E"/>
    <w:rsid w:val="007E0B35"/>
    <w:rsid w:val="007E0B7D"/>
    <w:rsid w:val="007E0B99"/>
    <w:rsid w:val="007E0C16"/>
    <w:rsid w:val="007E0CFF"/>
    <w:rsid w:val="007E0EF8"/>
    <w:rsid w:val="007E0F92"/>
    <w:rsid w:val="007E0FD9"/>
    <w:rsid w:val="007E13AE"/>
    <w:rsid w:val="007E1447"/>
    <w:rsid w:val="007E1499"/>
    <w:rsid w:val="007E15A9"/>
    <w:rsid w:val="007E166D"/>
    <w:rsid w:val="007E1674"/>
    <w:rsid w:val="007E16E0"/>
    <w:rsid w:val="007E1963"/>
    <w:rsid w:val="007E19EF"/>
    <w:rsid w:val="007E1BF7"/>
    <w:rsid w:val="007E1C3A"/>
    <w:rsid w:val="007E1D57"/>
    <w:rsid w:val="007E23D8"/>
    <w:rsid w:val="007E24F6"/>
    <w:rsid w:val="007E250A"/>
    <w:rsid w:val="007E25BC"/>
    <w:rsid w:val="007E25EC"/>
    <w:rsid w:val="007E27E9"/>
    <w:rsid w:val="007E28D3"/>
    <w:rsid w:val="007E2A22"/>
    <w:rsid w:val="007E2AEC"/>
    <w:rsid w:val="007E2B24"/>
    <w:rsid w:val="007E2C22"/>
    <w:rsid w:val="007E2E4B"/>
    <w:rsid w:val="007E2EA0"/>
    <w:rsid w:val="007E2FEE"/>
    <w:rsid w:val="007E300A"/>
    <w:rsid w:val="007E30F6"/>
    <w:rsid w:val="007E322B"/>
    <w:rsid w:val="007E32C6"/>
    <w:rsid w:val="007E33D5"/>
    <w:rsid w:val="007E3489"/>
    <w:rsid w:val="007E3553"/>
    <w:rsid w:val="007E360B"/>
    <w:rsid w:val="007E3678"/>
    <w:rsid w:val="007E38C4"/>
    <w:rsid w:val="007E3A13"/>
    <w:rsid w:val="007E3BE2"/>
    <w:rsid w:val="007E3BFF"/>
    <w:rsid w:val="007E3D6B"/>
    <w:rsid w:val="007E3DEB"/>
    <w:rsid w:val="007E3E1A"/>
    <w:rsid w:val="007E404F"/>
    <w:rsid w:val="007E418F"/>
    <w:rsid w:val="007E42EB"/>
    <w:rsid w:val="007E43F0"/>
    <w:rsid w:val="007E4766"/>
    <w:rsid w:val="007E4850"/>
    <w:rsid w:val="007E498D"/>
    <w:rsid w:val="007E4BEE"/>
    <w:rsid w:val="007E4DAA"/>
    <w:rsid w:val="007E4E42"/>
    <w:rsid w:val="007E502F"/>
    <w:rsid w:val="007E52B4"/>
    <w:rsid w:val="007E53E8"/>
    <w:rsid w:val="007E5431"/>
    <w:rsid w:val="007E554C"/>
    <w:rsid w:val="007E55BA"/>
    <w:rsid w:val="007E563D"/>
    <w:rsid w:val="007E5653"/>
    <w:rsid w:val="007E5719"/>
    <w:rsid w:val="007E5874"/>
    <w:rsid w:val="007E5999"/>
    <w:rsid w:val="007E59A0"/>
    <w:rsid w:val="007E5D79"/>
    <w:rsid w:val="007E5D80"/>
    <w:rsid w:val="007E60E3"/>
    <w:rsid w:val="007E62BC"/>
    <w:rsid w:val="007E631C"/>
    <w:rsid w:val="007E6320"/>
    <w:rsid w:val="007E643E"/>
    <w:rsid w:val="007E6521"/>
    <w:rsid w:val="007E6544"/>
    <w:rsid w:val="007E68D6"/>
    <w:rsid w:val="007E6927"/>
    <w:rsid w:val="007E6BDF"/>
    <w:rsid w:val="007E706D"/>
    <w:rsid w:val="007E70BD"/>
    <w:rsid w:val="007E73B3"/>
    <w:rsid w:val="007E74D8"/>
    <w:rsid w:val="007E74E1"/>
    <w:rsid w:val="007E75E8"/>
    <w:rsid w:val="007E7636"/>
    <w:rsid w:val="007E769A"/>
    <w:rsid w:val="007E76AA"/>
    <w:rsid w:val="007E79F4"/>
    <w:rsid w:val="007E7CD0"/>
    <w:rsid w:val="007E7EB4"/>
    <w:rsid w:val="007F0086"/>
    <w:rsid w:val="007F0241"/>
    <w:rsid w:val="007F02B6"/>
    <w:rsid w:val="007F0414"/>
    <w:rsid w:val="007F0520"/>
    <w:rsid w:val="007F07C7"/>
    <w:rsid w:val="007F085F"/>
    <w:rsid w:val="007F08E7"/>
    <w:rsid w:val="007F09E6"/>
    <w:rsid w:val="007F0BAE"/>
    <w:rsid w:val="007F0BFA"/>
    <w:rsid w:val="007F0CD3"/>
    <w:rsid w:val="007F0DD6"/>
    <w:rsid w:val="007F10CA"/>
    <w:rsid w:val="007F110C"/>
    <w:rsid w:val="007F13EC"/>
    <w:rsid w:val="007F14EC"/>
    <w:rsid w:val="007F14FF"/>
    <w:rsid w:val="007F1523"/>
    <w:rsid w:val="007F1555"/>
    <w:rsid w:val="007F15C0"/>
    <w:rsid w:val="007F1623"/>
    <w:rsid w:val="007F166A"/>
    <w:rsid w:val="007F19F5"/>
    <w:rsid w:val="007F1AD7"/>
    <w:rsid w:val="007F1C11"/>
    <w:rsid w:val="007F21BC"/>
    <w:rsid w:val="007F235A"/>
    <w:rsid w:val="007F252C"/>
    <w:rsid w:val="007F2556"/>
    <w:rsid w:val="007F255B"/>
    <w:rsid w:val="007F259C"/>
    <w:rsid w:val="007F25FE"/>
    <w:rsid w:val="007F2798"/>
    <w:rsid w:val="007F2869"/>
    <w:rsid w:val="007F28A2"/>
    <w:rsid w:val="007F2997"/>
    <w:rsid w:val="007F29D0"/>
    <w:rsid w:val="007F2BE5"/>
    <w:rsid w:val="007F2BEC"/>
    <w:rsid w:val="007F2E14"/>
    <w:rsid w:val="007F30A7"/>
    <w:rsid w:val="007F3224"/>
    <w:rsid w:val="007F3567"/>
    <w:rsid w:val="007F361E"/>
    <w:rsid w:val="007F361F"/>
    <w:rsid w:val="007F373C"/>
    <w:rsid w:val="007F374F"/>
    <w:rsid w:val="007F3B87"/>
    <w:rsid w:val="007F3CF5"/>
    <w:rsid w:val="007F3F48"/>
    <w:rsid w:val="007F40B0"/>
    <w:rsid w:val="007F40D9"/>
    <w:rsid w:val="007F40FF"/>
    <w:rsid w:val="007F41BA"/>
    <w:rsid w:val="007F41BD"/>
    <w:rsid w:val="007F4429"/>
    <w:rsid w:val="007F44B4"/>
    <w:rsid w:val="007F45C9"/>
    <w:rsid w:val="007F480E"/>
    <w:rsid w:val="007F4820"/>
    <w:rsid w:val="007F48C4"/>
    <w:rsid w:val="007F48D3"/>
    <w:rsid w:val="007F4A24"/>
    <w:rsid w:val="007F4A96"/>
    <w:rsid w:val="007F4DD6"/>
    <w:rsid w:val="007F4DEB"/>
    <w:rsid w:val="007F4E2B"/>
    <w:rsid w:val="007F4EAC"/>
    <w:rsid w:val="007F4F86"/>
    <w:rsid w:val="007F5072"/>
    <w:rsid w:val="007F517B"/>
    <w:rsid w:val="007F535C"/>
    <w:rsid w:val="007F5372"/>
    <w:rsid w:val="007F53C3"/>
    <w:rsid w:val="007F5565"/>
    <w:rsid w:val="007F567F"/>
    <w:rsid w:val="007F5694"/>
    <w:rsid w:val="007F57E1"/>
    <w:rsid w:val="007F583C"/>
    <w:rsid w:val="007F59AD"/>
    <w:rsid w:val="007F5A03"/>
    <w:rsid w:val="007F5B1A"/>
    <w:rsid w:val="007F61D5"/>
    <w:rsid w:val="007F626E"/>
    <w:rsid w:val="007F63DA"/>
    <w:rsid w:val="007F648A"/>
    <w:rsid w:val="007F648D"/>
    <w:rsid w:val="007F6562"/>
    <w:rsid w:val="007F6595"/>
    <w:rsid w:val="007F6687"/>
    <w:rsid w:val="007F66CA"/>
    <w:rsid w:val="007F67B4"/>
    <w:rsid w:val="007F6862"/>
    <w:rsid w:val="007F6B4E"/>
    <w:rsid w:val="007F6C42"/>
    <w:rsid w:val="007F6CBC"/>
    <w:rsid w:val="007F6D0F"/>
    <w:rsid w:val="007F6E4B"/>
    <w:rsid w:val="007F6ECB"/>
    <w:rsid w:val="007F6F5F"/>
    <w:rsid w:val="007F7045"/>
    <w:rsid w:val="007F7184"/>
    <w:rsid w:val="007F7207"/>
    <w:rsid w:val="007F72BB"/>
    <w:rsid w:val="007F73CA"/>
    <w:rsid w:val="007F7415"/>
    <w:rsid w:val="007F7425"/>
    <w:rsid w:val="007F74E4"/>
    <w:rsid w:val="007F75C3"/>
    <w:rsid w:val="007F78EB"/>
    <w:rsid w:val="007F7B07"/>
    <w:rsid w:val="007F7B78"/>
    <w:rsid w:val="007F7FC5"/>
    <w:rsid w:val="0080010E"/>
    <w:rsid w:val="0080016B"/>
    <w:rsid w:val="008001DD"/>
    <w:rsid w:val="00800293"/>
    <w:rsid w:val="0080033B"/>
    <w:rsid w:val="008003F2"/>
    <w:rsid w:val="008004F4"/>
    <w:rsid w:val="0080052F"/>
    <w:rsid w:val="008005A2"/>
    <w:rsid w:val="008005CF"/>
    <w:rsid w:val="008005FA"/>
    <w:rsid w:val="008007F3"/>
    <w:rsid w:val="0080080E"/>
    <w:rsid w:val="00800C0E"/>
    <w:rsid w:val="00800C47"/>
    <w:rsid w:val="00800D5A"/>
    <w:rsid w:val="00800DEA"/>
    <w:rsid w:val="00800FD5"/>
    <w:rsid w:val="00800FE5"/>
    <w:rsid w:val="00801103"/>
    <w:rsid w:val="00801188"/>
    <w:rsid w:val="00801189"/>
    <w:rsid w:val="008011B6"/>
    <w:rsid w:val="00801288"/>
    <w:rsid w:val="00801398"/>
    <w:rsid w:val="00801537"/>
    <w:rsid w:val="0080153D"/>
    <w:rsid w:val="00801585"/>
    <w:rsid w:val="00801664"/>
    <w:rsid w:val="00801767"/>
    <w:rsid w:val="008017D9"/>
    <w:rsid w:val="00801A1F"/>
    <w:rsid w:val="00801C79"/>
    <w:rsid w:val="00801DD6"/>
    <w:rsid w:val="00801E65"/>
    <w:rsid w:val="00801EBE"/>
    <w:rsid w:val="00801EE9"/>
    <w:rsid w:val="00801EEA"/>
    <w:rsid w:val="00802089"/>
    <w:rsid w:val="008020D4"/>
    <w:rsid w:val="00802198"/>
    <w:rsid w:val="008021B3"/>
    <w:rsid w:val="0080245B"/>
    <w:rsid w:val="00802605"/>
    <w:rsid w:val="0080281F"/>
    <w:rsid w:val="00802895"/>
    <w:rsid w:val="00802C48"/>
    <w:rsid w:val="00802DB4"/>
    <w:rsid w:val="00803012"/>
    <w:rsid w:val="00803077"/>
    <w:rsid w:val="00803097"/>
    <w:rsid w:val="008030BF"/>
    <w:rsid w:val="00803149"/>
    <w:rsid w:val="00803269"/>
    <w:rsid w:val="00803365"/>
    <w:rsid w:val="0080341B"/>
    <w:rsid w:val="00803468"/>
    <w:rsid w:val="0080358B"/>
    <w:rsid w:val="0080360E"/>
    <w:rsid w:val="0080368C"/>
    <w:rsid w:val="008036FA"/>
    <w:rsid w:val="00803752"/>
    <w:rsid w:val="0080375D"/>
    <w:rsid w:val="008038A2"/>
    <w:rsid w:val="00803A1E"/>
    <w:rsid w:val="00803B8E"/>
    <w:rsid w:val="00803B95"/>
    <w:rsid w:val="00803BC2"/>
    <w:rsid w:val="00803F8A"/>
    <w:rsid w:val="00803F8F"/>
    <w:rsid w:val="00804040"/>
    <w:rsid w:val="00804043"/>
    <w:rsid w:val="008040D3"/>
    <w:rsid w:val="00804145"/>
    <w:rsid w:val="00804329"/>
    <w:rsid w:val="008043FB"/>
    <w:rsid w:val="008044AE"/>
    <w:rsid w:val="008048D6"/>
    <w:rsid w:val="00804933"/>
    <w:rsid w:val="00804AF7"/>
    <w:rsid w:val="00804B4E"/>
    <w:rsid w:val="008050EF"/>
    <w:rsid w:val="008051BC"/>
    <w:rsid w:val="0080539F"/>
    <w:rsid w:val="00805B31"/>
    <w:rsid w:val="00805BAA"/>
    <w:rsid w:val="00805CF7"/>
    <w:rsid w:val="00805E0C"/>
    <w:rsid w:val="00805E71"/>
    <w:rsid w:val="00805F9F"/>
    <w:rsid w:val="008060B1"/>
    <w:rsid w:val="008062C2"/>
    <w:rsid w:val="008063A5"/>
    <w:rsid w:val="008063B7"/>
    <w:rsid w:val="008065D7"/>
    <w:rsid w:val="0080679D"/>
    <w:rsid w:val="00806815"/>
    <w:rsid w:val="008068D2"/>
    <w:rsid w:val="008068E8"/>
    <w:rsid w:val="00806B2A"/>
    <w:rsid w:val="00806DA7"/>
    <w:rsid w:val="00806EBF"/>
    <w:rsid w:val="00806F07"/>
    <w:rsid w:val="008070AC"/>
    <w:rsid w:val="0080721F"/>
    <w:rsid w:val="00807266"/>
    <w:rsid w:val="008073E8"/>
    <w:rsid w:val="0080745A"/>
    <w:rsid w:val="0080763C"/>
    <w:rsid w:val="0080787B"/>
    <w:rsid w:val="008078B3"/>
    <w:rsid w:val="00807B72"/>
    <w:rsid w:val="00807E70"/>
    <w:rsid w:val="00807ECD"/>
    <w:rsid w:val="00807FAE"/>
    <w:rsid w:val="008101DB"/>
    <w:rsid w:val="0081046A"/>
    <w:rsid w:val="00810474"/>
    <w:rsid w:val="008105DE"/>
    <w:rsid w:val="008106E5"/>
    <w:rsid w:val="0081096B"/>
    <w:rsid w:val="00810AE0"/>
    <w:rsid w:val="00810D36"/>
    <w:rsid w:val="00810DF5"/>
    <w:rsid w:val="00810E3E"/>
    <w:rsid w:val="00810E84"/>
    <w:rsid w:val="00810E99"/>
    <w:rsid w:val="00810F98"/>
    <w:rsid w:val="0081101C"/>
    <w:rsid w:val="0081108F"/>
    <w:rsid w:val="00811154"/>
    <w:rsid w:val="0081119D"/>
    <w:rsid w:val="008111BA"/>
    <w:rsid w:val="00811249"/>
    <w:rsid w:val="0081128F"/>
    <w:rsid w:val="0081138D"/>
    <w:rsid w:val="008114A2"/>
    <w:rsid w:val="0081155C"/>
    <w:rsid w:val="0081167B"/>
    <w:rsid w:val="00811D85"/>
    <w:rsid w:val="00811DE9"/>
    <w:rsid w:val="00811DF1"/>
    <w:rsid w:val="00811E43"/>
    <w:rsid w:val="00811E49"/>
    <w:rsid w:val="00811E71"/>
    <w:rsid w:val="00812092"/>
    <w:rsid w:val="00812540"/>
    <w:rsid w:val="0081261C"/>
    <w:rsid w:val="00812659"/>
    <w:rsid w:val="00812776"/>
    <w:rsid w:val="00812A30"/>
    <w:rsid w:val="00812AF6"/>
    <w:rsid w:val="00812E13"/>
    <w:rsid w:val="00812E19"/>
    <w:rsid w:val="00812E40"/>
    <w:rsid w:val="00812E67"/>
    <w:rsid w:val="00812F0F"/>
    <w:rsid w:val="0081304B"/>
    <w:rsid w:val="0081320C"/>
    <w:rsid w:val="0081325C"/>
    <w:rsid w:val="008132D1"/>
    <w:rsid w:val="00813342"/>
    <w:rsid w:val="00813425"/>
    <w:rsid w:val="0081357D"/>
    <w:rsid w:val="008135AC"/>
    <w:rsid w:val="008135E6"/>
    <w:rsid w:val="008139B5"/>
    <w:rsid w:val="00813AA1"/>
    <w:rsid w:val="00813AD2"/>
    <w:rsid w:val="00813B74"/>
    <w:rsid w:val="00813BA6"/>
    <w:rsid w:val="00814023"/>
    <w:rsid w:val="008140E6"/>
    <w:rsid w:val="0081415A"/>
    <w:rsid w:val="008141F3"/>
    <w:rsid w:val="0081445D"/>
    <w:rsid w:val="008145F5"/>
    <w:rsid w:val="008146D5"/>
    <w:rsid w:val="00814718"/>
    <w:rsid w:val="0081479E"/>
    <w:rsid w:val="008147AA"/>
    <w:rsid w:val="0081480A"/>
    <w:rsid w:val="00814A6F"/>
    <w:rsid w:val="00814CDB"/>
    <w:rsid w:val="00814ECD"/>
    <w:rsid w:val="008150EE"/>
    <w:rsid w:val="00815136"/>
    <w:rsid w:val="00815302"/>
    <w:rsid w:val="00815369"/>
    <w:rsid w:val="0081556A"/>
    <w:rsid w:val="0081586C"/>
    <w:rsid w:val="0081598C"/>
    <w:rsid w:val="00815B49"/>
    <w:rsid w:val="00815B6D"/>
    <w:rsid w:val="00815CFC"/>
    <w:rsid w:val="00815D8B"/>
    <w:rsid w:val="00815DEB"/>
    <w:rsid w:val="00815F65"/>
    <w:rsid w:val="00815FC0"/>
    <w:rsid w:val="00815FE1"/>
    <w:rsid w:val="00816005"/>
    <w:rsid w:val="008160C9"/>
    <w:rsid w:val="008160D1"/>
    <w:rsid w:val="0081618B"/>
    <w:rsid w:val="00816213"/>
    <w:rsid w:val="008163A7"/>
    <w:rsid w:val="008164DF"/>
    <w:rsid w:val="00816527"/>
    <w:rsid w:val="00816708"/>
    <w:rsid w:val="00816806"/>
    <w:rsid w:val="00816853"/>
    <w:rsid w:val="008168A7"/>
    <w:rsid w:val="008168F6"/>
    <w:rsid w:val="00816AFF"/>
    <w:rsid w:val="00816C3C"/>
    <w:rsid w:val="00816E97"/>
    <w:rsid w:val="00816F40"/>
    <w:rsid w:val="0081702F"/>
    <w:rsid w:val="008170FF"/>
    <w:rsid w:val="008171E4"/>
    <w:rsid w:val="008171FB"/>
    <w:rsid w:val="0081749D"/>
    <w:rsid w:val="0081755A"/>
    <w:rsid w:val="008175B3"/>
    <w:rsid w:val="0081784D"/>
    <w:rsid w:val="00817864"/>
    <w:rsid w:val="00817905"/>
    <w:rsid w:val="00817B60"/>
    <w:rsid w:val="00817C6A"/>
    <w:rsid w:val="00817CAA"/>
    <w:rsid w:val="00817DD6"/>
    <w:rsid w:val="00817E06"/>
    <w:rsid w:val="00817E49"/>
    <w:rsid w:val="00817F7B"/>
    <w:rsid w:val="00820174"/>
    <w:rsid w:val="008202A1"/>
    <w:rsid w:val="008202CC"/>
    <w:rsid w:val="00820374"/>
    <w:rsid w:val="00820404"/>
    <w:rsid w:val="00820644"/>
    <w:rsid w:val="0082084B"/>
    <w:rsid w:val="008209FB"/>
    <w:rsid w:val="00820CA1"/>
    <w:rsid w:val="00820D38"/>
    <w:rsid w:val="00820D53"/>
    <w:rsid w:val="00820E97"/>
    <w:rsid w:val="00820EA8"/>
    <w:rsid w:val="00820F7B"/>
    <w:rsid w:val="0082110C"/>
    <w:rsid w:val="008211F9"/>
    <w:rsid w:val="00821252"/>
    <w:rsid w:val="0082139E"/>
    <w:rsid w:val="00821425"/>
    <w:rsid w:val="00821516"/>
    <w:rsid w:val="00821600"/>
    <w:rsid w:val="008216DD"/>
    <w:rsid w:val="00821749"/>
    <w:rsid w:val="008217A9"/>
    <w:rsid w:val="00821B1F"/>
    <w:rsid w:val="00821B28"/>
    <w:rsid w:val="00821BC0"/>
    <w:rsid w:val="00821C65"/>
    <w:rsid w:val="00821C97"/>
    <w:rsid w:val="00821D54"/>
    <w:rsid w:val="00821E76"/>
    <w:rsid w:val="00821FAF"/>
    <w:rsid w:val="0082201C"/>
    <w:rsid w:val="00822040"/>
    <w:rsid w:val="00822052"/>
    <w:rsid w:val="008221C7"/>
    <w:rsid w:val="00822243"/>
    <w:rsid w:val="00822261"/>
    <w:rsid w:val="008222B3"/>
    <w:rsid w:val="00822335"/>
    <w:rsid w:val="00822371"/>
    <w:rsid w:val="0082249C"/>
    <w:rsid w:val="008224B7"/>
    <w:rsid w:val="008224EF"/>
    <w:rsid w:val="008225FD"/>
    <w:rsid w:val="008226F6"/>
    <w:rsid w:val="00822742"/>
    <w:rsid w:val="00822913"/>
    <w:rsid w:val="008229B2"/>
    <w:rsid w:val="00822A4C"/>
    <w:rsid w:val="00822F56"/>
    <w:rsid w:val="00822FD0"/>
    <w:rsid w:val="00822FE1"/>
    <w:rsid w:val="008230ED"/>
    <w:rsid w:val="00823163"/>
    <w:rsid w:val="00823304"/>
    <w:rsid w:val="008235B5"/>
    <w:rsid w:val="008236A9"/>
    <w:rsid w:val="00823815"/>
    <w:rsid w:val="0082384E"/>
    <w:rsid w:val="008239AB"/>
    <w:rsid w:val="00823AD2"/>
    <w:rsid w:val="00823BD8"/>
    <w:rsid w:val="00823C58"/>
    <w:rsid w:val="00823C7F"/>
    <w:rsid w:val="00823E9E"/>
    <w:rsid w:val="00823FF0"/>
    <w:rsid w:val="0082412D"/>
    <w:rsid w:val="0082438C"/>
    <w:rsid w:val="00824559"/>
    <w:rsid w:val="008245AA"/>
    <w:rsid w:val="00824619"/>
    <w:rsid w:val="00824687"/>
    <w:rsid w:val="0082488C"/>
    <w:rsid w:val="00824976"/>
    <w:rsid w:val="00824D06"/>
    <w:rsid w:val="0082510F"/>
    <w:rsid w:val="0082515B"/>
    <w:rsid w:val="0082516A"/>
    <w:rsid w:val="0082519E"/>
    <w:rsid w:val="008251B3"/>
    <w:rsid w:val="0082526E"/>
    <w:rsid w:val="0082542F"/>
    <w:rsid w:val="00825469"/>
    <w:rsid w:val="00825A9D"/>
    <w:rsid w:val="00825B19"/>
    <w:rsid w:val="00825B62"/>
    <w:rsid w:val="00825CA5"/>
    <w:rsid w:val="00825DC6"/>
    <w:rsid w:val="00825E61"/>
    <w:rsid w:val="00825F39"/>
    <w:rsid w:val="00825F58"/>
    <w:rsid w:val="00825FC6"/>
    <w:rsid w:val="0082606B"/>
    <w:rsid w:val="008260A8"/>
    <w:rsid w:val="008260B4"/>
    <w:rsid w:val="0082613C"/>
    <w:rsid w:val="008261EF"/>
    <w:rsid w:val="008262AD"/>
    <w:rsid w:val="0082638F"/>
    <w:rsid w:val="00826537"/>
    <w:rsid w:val="008265B6"/>
    <w:rsid w:val="008268F5"/>
    <w:rsid w:val="0082693E"/>
    <w:rsid w:val="00826975"/>
    <w:rsid w:val="00826BEC"/>
    <w:rsid w:val="00826CEF"/>
    <w:rsid w:val="00826EC1"/>
    <w:rsid w:val="008271A2"/>
    <w:rsid w:val="00827237"/>
    <w:rsid w:val="00827296"/>
    <w:rsid w:val="00827454"/>
    <w:rsid w:val="008274C6"/>
    <w:rsid w:val="00827624"/>
    <w:rsid w:val="0082768B"/>
    <w:rsid w:val="0082768C"/>
    <w:rsid w:val="00827790"/>
    <w:rsid w:val="008277F3"/>
    <w:rsid w:val="00827BF9"/>
    <w:rsid w:val="00827D25"/>
    <w:rsid w:val="00827DE0"/>
    <w:rsid w:val="00827E19"/>
    <w:rsid w:val="00827E57"/>
    <w:rsid w:val="0083002D"/>
    <w:rsid w:val="008300BC"/>
    <w:rsid w:val="0083015C"/>
    <w:rsid w:val="00830188"/>
    <w:rsid w:val="008302D6"/>
    <w:rsid w:val="00830416"/>
    <w:rsid w:val="00830630"/>
    <w:rsid w:val="00830B08"/>
    <w:rsid w:val="00830BC0"/>
    <w:rsid w:val="00830C47"/>
    <w:rsid w:val="00830D72"/>
    <w:rsid w:val="00830E75"/>
    <w:rsid w:val="00830E9B"/>
    <w:rsid w:val="0083112B"/>
    <w:rsid w:val="00831242"/>
    <w:rsid w:val="008312D8"/>
    <w:rsid w:val="0083132D"/>
    <w:rsid w:val="00831342"/>
    <w:rsid w:val="0083134F"/>
    <w:rsid w:val="0083135A"/>
    <w:rsid w:val="00831375"/>
    <w:rsid w:val="008317D8"/>
    <w:rsid w:val="008317E2"/>
    <w:rsid w:val="00831ACF"/>
    <w:rsid w:val="00831C39"/>
    <w:rsid w:val="00831CF1"/>
    <w:rsid w:val="00831D59"/>
    <w:rsid w:val="00831F4B"/>
    <w:rsid w:val="00832112"/>
    <w:rsid w:val="008321A2"/>
    <w:rsid w:val="008321AE"/>
    <w:rsid w:val="008321DE"/>
    <w:rsid w:val="00832260"/>
    <w:rsid w:val="0083241E"/>
    <w:rsid w:val="0083262F"/>
    <w:rsid w:val="0083267B"/>
    <w:rsid w:val="00832723"/>
    <w:rsid w:val="0083290F"/>
    <w:rsid w:val="00832918"/>
    <w:rsid w:val="00832946"/>
    <w:rsid w:val="00832AFD"/>
    <w:rsid w:val="008332B6"/>
    <w:rsid w:val="008332EE"/>
    <w:rsid w:val="00833322"/>
    <w:rsid w:val="00833484"/>
    <w:rsid w:val="0083356D"/>
    <w:rsid w:val="00833590"/>
    <w:rsid w:val="0083367E"/>
    <w:rsid w:val="008338A6"/>
    <w:rsid w:val="0083391A"/>
    <w:rsid w:val="00833A25"/>
    <w:rsid w:val="00833B74"/>
    <w:rsid w:val="00833D6B"/>
    <w:rsid w:val="00833D8D"/>
    <w:rsid w:val="00833DDD"/>
    <w:rsid w:val="00833EC1"/>
    <w:rsid w:val="00833ED5"/>
    <w:rsid w:val="008341BF"/>
    <w:rsid w:val="008344D6"/>
    <w:rsid w:val="008344E6"/>
    <w:rsid w:val="008345B6"/>
    <w:rsid w:val="00834637"/>
    <w:rsid w:val="00834680"/>
    <w:rsid w:val="008346CE"/>
    <w:rsid w:val="00834772"/>
    <w:rsid w:val="00834810"/>
    <w:rsid w:val="00834812"/>
    <w:rsid w:val="00834A4D"/>
    <w:rsid w:val="00834B63"/>
    <w:rsid w:val="00834D41"/>
    <w:rsid w:val="00835043"/>
    <w:rsid w:val="0083520D"/>
    <w:rsid w:val="0083523B"/>
    <w:rsid w:val="0083545A"/>
    <w:rsid w:val="0083549C"/>
    <w:rsid w:val="0083582D"/>
    <w:rsid w:val="00835A1F"/>
    <w:rsid w:val="00835A4E"/>
    <w:rsid w:val="00835AD1"/>
    <w:rsid w:val="00835B3A"/>
    <w:rsid w:val="00835E58"/>
    <w:rsid w:val="00835F06"/>
    <w:rsid w:val="00836043"/>
    <w:rsid w:val="008360DD"/>
    <w:rsid w:val="00836112"/>
    <w:rsid w:val="00836131"/>
    <w:rsid w:val="0083626F"/>
    <w:rsid w:val="008362B1"/>
    <w:rsid w:val="008362B3"/>
    <w:rsid w:val="00836473"/>
    <w:rsid w:val="008364C5"/>
    <w:rsid w:val="00836506"/>
    <w:rsid w:val="0083651A"/>
    <w:rsid w:val="008366B3"/>
    <w:rsid w:val="00836837"/>
    <w:rsid w:val="00836977"/>
    <w:rsid w:val="00836C79"/>
    <w:rsid w:val="00836DCF"/>
    <w:rsid w:val="00836DDB"/>
    <w:rsid w:val="00836EE1"/>
    <w:rsid w:val="00836F88"/>
    <w:rsid w:val="0083708D"/>
    <w:rsid w:val="00837198"/>
    <w:rsid w:val="00837280"/>
    <w:rsid w:val="00837351"/>
    <w:rsid w:val="00837490"/>
    <w:rsid w:val="008374BA"/>
    <w:rsid w:val="008374C5"/>
    <w:rsid w:val="0083756D"/>
    <w:rsid w:val="00837607"/>
    <w:rsid w:val="00837639"/>
    <w:rsid w:val="008378A9"/>
    <w:rsid w:val="00837927"/>
    <w:rsid w:val="0083792B"/>
    <w:rsid w:val="0083795D"/>
    <w:rsid w:val="00837A95"/>
    <w:rsid w:val="00837DCC"/>
    <w:rsid w:val="00837DF9"/>
    <w:rsid w:val="00837E83"/>
    <w:rsid w:val="00837F66"/>
    <w:rsid w:val="00837FD0"/>
    <w:rsid w:val="00840112"/>
    <w:rsid w:val="0084018E"/>
    <w:rsid w:val="008401E6"/>
    <w:rsid w:val="00840333"/>
    <w:rsid w:val="00840501"/>
    <w:rsid w:val="0084072B"/>
    <w:rsid w:val="00840891"/>
    <w:rsid w:val="00840973"/>
    <w:rsid w:val="008409F7"/>
    <w:rsid w:val="00840A56"/>
    <w:rsid w:val="00840C33"/>
    <w:rsid w:val="00840CA2"/>
    <w:rsid w:val="00840CD5"/>
    <w:rsid w:val="00840FBF"/>
    <w:rsid w:val="008410F1"/>
    <w:rsid w:val="008413EF"/>
    <w:rsid w:val="008413FB"/>
    <w:rsid w:val="0084166D"/>
    <w:rsid w:val="008417DD"/>
    <w:rsid w:val="00841A1D"/>
    <w:rsid w:val="00841B1A"/>
    <w:rsid w:val="00841B53"/>
    <w:rsid w:val="00841C33"/>
    <w:rsid w:val="00841C86"/>
    <w:rsid w:val="00841EAD"/>
    <w:rsid w:val="00841F20"/>
    <w:rsid w:val="00842064"/>
    <w:rsid w:val="00842269"/>
    <w:rsid w:val="00842479"/>
    <w:rsid w:val="00842727"/>
    <w:rsid w:val="00842749"/>
    <w:rsid w:val="0084282B"/>
    <w:rsid w:val="00842B62"/>
    <w:rsid w:val="00842E0B"/>
    <w:rsid w:val="00842FB2"/>
    <w:rsid w:val="0084307F"/>
    <w:rsid w:val="00843227"/>
    <w:rsid w:val="00843432"/>
    <w:rsid w:val="00843582"/>
    <w:rsid w:val="008435C2"/>
    <w:rsid w:val="008437BA"/>
    <w:rsid w:val="0084380C"/>
    <w:rsid w:val="00843815"/>
    <w:rsid w:val="0084389C"/>
    <w:rsid w:val="00843919"/>
    <w:rsid w:val="0084392C"/>
    <w:rsid w:val="00843ACB"/>
    <w:rsid w:val="00843B18"/>
    <w:rsid w:val="00843B42"/>
    <w:rsid w:val="00843BB6"/>
    <w:rsid w:val="00843D2E"/>
    <w:rsid w:val="00843E4C"/>
    <w:rsid w:val="00844144"/>
    <w:rsid w:val="008442AB"/>
    <w:rsid w:val="008442C0"/>
    <w:rsid w:val="008442CA"/>
    <w:rsid w:val="00844379"/>
    <w:rsid w:val="008443E8"/>
    <w:rsid w:val="00844712"/>
    <w:rsid w:val="00844843"/>
    <w:rsid w:val="00844891"/>
    <w:rsid w:val="00844896"/>
    <w:rsid w:val="008449E1"/>
    <w:rsid w:val="00844DF8"/>
    <w:rsid w:val="00844E2F"/>
    <w:rsid w:val="00844E35"/>
    <w:rsid w:val="00844FF9"/>
    <w:rsid w:val="0084501C"/>
    <w:rsid w:val="008452C5"/>
    <w:rsid w:val="0084539F"/>
    <w:rsid w:val="008458B7"/>
    <w:rsid w:val="00845971"/>
    <w:rsid w:val="008459E2"/>
    <w:rsid w:val="00845A9D"/>
    <w:rsid w:val="00845AFD"/>
    <w:rsid w:val="00845CED"/>
    <w:rsid w:val="00845D61"/>
    <w:rsid w:val="00845DDA"/>
    <w:rsid w:val="00845E81"/>
    <w:rsid w:val="00845F18"/>
    <w:rsid w:val="00846080"/>
    <w:rsid w:val="008460C7"/>
    <w:rsid w:val="008460C9"/>
    <w:rsid w:val="00846135"/>
    <w:rsid w:val="0084620F"/>
    <w:rsid w:val="008463E2"/>
    <w:rsid w:val="00846A6F"/>
    <w:rsid w:val="00846AA7"/>
    <w:rsid w:val="00846B07"/>
    <w:rsid w:val="00846C2C"/>
    <w:rsid w:val="00846C71"/>
    <w:rsid w:val="008472C6"/>
    <w:rsid w:val="008473B1"/>
    <w:rsid w:val="0084747D"/>
    <w:rsid w:val="0084748A"/>
    <w:rsid w:val="0084760D"/>
    <w:rsid w:val="0084772C"/>
    <w:rsid w:val="00847753"/>
    <w:rsid w:val="008477A5"/>
    <w:rsid w:val="00847847"/>
    <w:rsid w:val="00847AA7"/>
    <w:rsid w:val="00847B5F"/>
    <w:rsid w:val="00847C65"/>
    <w:rsid w:val="00847CAC"/>
    <w:rsid w:val="00847E99"/>
    <w:rsid w:val="00847F9B"/>
    <w:rsid w:val="00847FDA"/>
    <w:rsid w:val="00850104"/>
    <w:rsid w:val="008502EE"/>
    <w:rsid w:val="008505E6"/>
    <w:rsid w:val="008507B6"/>
    <w:rsid w:val="00850AE0"/>
    <w:rsid w:val="00850B37"/>
    <w:rsid w:val="00850B5F"/>
    <w:rsid w:val="00850D72"/>
    <w:rsid w:val="00850E0F"/>
    <w:rsid w:val="00850E6F"/>
    <w:rsid w:val="00850E73"/>
    <w:rsid w:val="0085105B"/>
    <w:rsid w:val="00851097"/>
    <w:rsid w:val="00851105"/>
    <w:rsid w:val="00851166"/>
    <w:rsid w:val="00851222"/>
    <w:rsid w:val="008513B1"/>
    <w:rsid w:val="008514BC"/>
    <w:rsid w:val="00851760"/>
    <w:rsid w:val="00851A07"/>
    <w:rsid w:val="00851A0C"/>
    <w:rsid w:val="00851ACD"/>
    <w:rsid w:val="00851B25"/>
    <w:rsid w:val="00851B4B"/>
    <w:rsid w:val="00851BEB"/>
    <w:rsid w:val="00851C10"/>
    <w:rsid w:val="00851C2E"/>
    <w:rsid w:val="00851EEA"/>
    <w:rsid w:val="00851FE7"/>
    <w:rsid w:val="0085219B"/>
    <w:rsid w:val="008521D5"/>
    <w:rsid w:val="008521F3"/>
    <w:rsid w:val="00852244"/>
    <w:rsid w:val="008524C1"/>
    <w:rsid w:val="00852536"/>
    <w:rsid w:val="00852694"/>
    <w:rsid w:val="008527DB"/>
    <w:rsid w:val="008528C7"/>
    <w:rsid w:val="00852B98"/>
    <w:rsid w:val="00852BF3"/>
    <w:rsid w:val="00852D89"/>
    <w:rsid w:val="00852E9C"/>
    <w:rsid w:val="008530A6"/>
    <w:rsid w:val="008530B1"/>
    <w:rsid w:val="008533D7"/>
    <w:rsid w:val="00853528"/>
    <w:rsid w:val="0085353F"/>
    <w:rsid w:val="0085361E"/>
    <w:rsid w:val="0085366E"/>
    <w:rsid w:val="008536CF"/>
    <w:rsid w:val="00853739"/>
    <w:rsid w:val="008537B2"/>
    <w:rsid w:val="00853846"/>
    <w:rsid w:val="0085385E"/>
    <w:rsid w:val="00853A8C"/>
    <w:rsid w:val="00853C1A"/>
    <w:rsid w:val="00853DE7"/>
    <w:rsid w:val="0085415F"/>
    <w:rsid w:val="008545C6"/>
    <w:rsid w:val="008546B0"/>
    <w:rsid w:val="008546EB"/>
    <w:rsid w:val="008548FF"/>
    <w:rsid w:val="00854930"/>
    <w:rsid w:val="00854A12"/>
    <w:rsid w:val="00854B30"/>
    <w:rsid w:val="00854B99"/>
    <w:rsid w:val="00854E21"/>
    <w:rsid w:val="00854E71"/>
    <w:rsid w:val="00854F0A"/>
    <w:rsid w:val="00855064"/>
    <w:rsid w:val="008550AC"/>
    <w:rsid w:val="00855215"/>
    <w:rsid w:val="0085553C"/>
    <w:rsid w:val="00855686"/>
    <w:rsid w:val="008556BF"/>
    <w:rsid w:val="008558B1"/>
    <w:rsid w:val="008558EA"/>
    <w:rsid w:val="0085593E"/>
    <w:rsid w:val="008559E5"/>
    <w:rsid w:val="00855A67"/>
    <w:rsid w:val="00855C94"/>
    <w:rsid w:val="00855D3C"/>
    <w:rsid w:val="00855DBC"/>
    <w:rsid w:val="00855E89"/>
    <w:rsid w:val="00856027"/>
    <w:rsid w:val="00856117"/>
    <w:rsid w:val="00856154"/>
    <w:rsid w:val="008561EC"/>
    <w:rsid w:val="0085638D"/>
    <w:rsid w:val="008565A3"/>
    <w:rsid w:val="00856604"/>
    <w:rsid w:val="0085667A"/>
    <w:rsid w:val="00856784"/>
    <w:rsid w:val="008567AE"/>
    <w:rsid w:val="00856877"/>
    <w:rsid w:val="00856AD7"/>
    <w:rsid w:val="00856B62"/>
    <w:rsid w:val="00856F5E"/>
    <w:rsid w:val="00856F8F"/>
    <w:rsid w:val="00856FEC"/>
    <w:rsid w:val="00857188"/>
    <w:rsid w:val="00857291"/>
    <w:rsid w:val="0085750B"/>
    <w:rsid w:val="0085790D"/>
    <w:rsid w:val="00857A2A"/>
    <w:rsid w:val="00857AB1"/>
    <w:rsid w:val="00857BC7"/>
    <w:rsid w:val="00857E42"/>
    <w:rsid w:val="00860020"/>
    <w:rsid w:val="00860023"/>
    <w:rsid w:val="00860065"/>
    <w:rsid w:val="008604C8"/>
    <w:rsid w:val="008604D1"/>
    <w:rsid w:val="008605A5"/>
    <w:rsid w:val="008605B1"/>
    <w:rsid w:val="0086063A"/>
    <w:rsid w:val="0086063B"/>
    <w:rsid w:val="00860646"/>
    <w:rsid w:val="008608CE"/>
    <w:rsid w:val="00860997"/>
    <w:rsid w:val="008609A1"/>
    <w:rsid w:val="00860ABF"/>
    <w:rsid w:val="00860AE3"/>
    <w:rsid w:val="00860BE7"/>
    <w:rsid w:val="00860D2B"/>
    <w:rsid w:val="00860E7D"/>
    <w:rsid w:val="00860ED0"/>
    <w:rsid w:val="00860FCC"/>
    <w:rsid w:val="0086116D"/>
    <w:rsid w:val="00861457"/>
    <w:rsid w:val="00861577"/>
    <w:rsid w:val="00861592"/>
    <w:rsid w:val="008615F7"/>
    <w:rsid w:val="00861635"/>
    <w:rsid w:val="008616FA"/>
    <w:rsid w:val="008618FF"/>
    <w:rsid w:val="00861B40"/>
    <w:rsid w:val="00861D6E"/>
    <w:rsid w:val="00861E1E"/>
    <w:rsid w:val="00861F07"/>
    <w:rsid w:val="00862310"/>
    <w:rsid w:val="00862329"/>
    <w:rsid w:val="008624C2"/>
    <w:rsid w:val="00862507"/>
    <w:rsid w:val="00862590"/>
    <w:rsid w:val="008626B2"/>
    <w:rsid w:val="008626C5"/>
    <w:rsid w:val="00862944"/>
    <w:rsid w:val="00862A18"/>
    <w:rsid w:val="00862A54"/>
    <w:rsid w:val="00862D58"/>
    <w:rsid w:val="00862DDF"/>
    <w:rsid w:val="00862E20"/>
    <w:rsid w:val="00862F4A"/>
    <w:rsid w:val="008630C0"/>
    <w:rsid w:val="00863165"/>
    <w:rsid w:val="008631E1"/>
    <w:rsid w:val="008631E9"/>
    <w:rsid w:val="008633E5"/>
    <w:rsid w:val="00863596"/>
    <w:rsid w:val="0086394F"/>
    <w:rsid w:val="0086396C"/>
    <w:rsid w:val="00863972"/>
    <w:rsid w:val="008639E8"/>
    <w:rsid w:val="00863AC4"/>
    <w:rsid w:val="00863D41"/>
    <w:rsid w:val="00863D53"/>
    <w:rsid w:val="00863DB1"/>
    <w:rsid w:val="00863DBF"/>
    <w:rsid w:val="00863FA6"/>
    <w:rsid w:val="00863FC7"/>
    <w:rsid w:val="00864137"/>
    <w:rsid w:val="008641A2"/>
    <w:rsid w:val="008641BA"/>
    <w:rsid w:val="0086427D"/>
    <w:rsid w:val="0086434D"/>
    <w:rsid w:val="0086441A"/>
    <w:rsid w:val="00864489"/>
    <w:rsid w:val="008644BA"/>
    <w:rsid w:val="00864502"/>
    <w:rsid w:val="00864569"/>
    <w:rsid w:val="008645AC"/>
    <w:rsid w:val="00864655"/>
    <w:rsid w:val="00864692"/>
    <w:rsid w:val="00864760"/>
    <w:rsid w:val="008647AB"/>
    <w:rsid w:val="00864911"/>
    <w:rsid w:val="00864940"/>
    <w:rsid w:val="00864AAB"/>
    <w:rsid w:val="00864B19"/>
    <w:rsid w:val="00864B54"/>
    <w:rsid w:val="00864D4B"/>
    <w:rsid w:val="00864FB9"/>
    <w:rsid w:val="00864FBD"/>
    <w:rsid w:val="00864FE6"/>
    <w:rsid w:val="00864FF0"/>
    <w:rsid w:val="0086530B"/>
    <w:rsid w:val="008656A4"/>
    <w:rsid w:val="00865798"/>
    <w:rsid w:val="008657A4"/>
    <w:rsid w:val="00865A14"/>
    <w:rsid w:val="00865AF7"/>
    <w:rsid w:val="00865B16"/>
    <w:rsid w:val="00865B89"/>
    <w:rsid w:val="00865C37"/>
    <w:rsid w:val="00865C3F"/>
    <w:rsid w:val="00865E4E"/>
    <w:rsid w:val="00866014"/>
    <w:rsid w:val="008660F3"/>
    <w:rsid w:val="00866177"/>
    <w:rsid w:val="0086620A"/>
    <w:rsid w:val="008663AD"/>
    <w:rsid w:val="0086644B"/>
    <w:rsid w:val="008666E3"/>
    <w:rsid w:val="00866848"/>
    <w:rsid w:val="00866B4D"/>
    <w:rsid w:val="00866BE1"/>
    <w:rsid w:val="00866C28"/>
    <w:rsid w:val="00866F3A"/>
    <w:rsid w:val="00867197"/>
    <w:rsid w:val="0086728E"/>
    <w:rsid w:val="00867330"/>
    <w:rsid w:val="00867506"/>
    <w:rsid w:val="0086750C"/>
    <w:rsid w:val="008677B4"/>
    <w:rsid w:val="008677B8"/>
    <w:rsid w:val="00867C96"/>
    <w:rsid w:val="00867D5C"/>
    <w:rsid w:val="00867EAA"/>
    <w:rsid w:val="00870068"/>
    <w:rsid w:val="0087012F"/>
    <w:rsid w:val="00870375"/>
    <w:rsid w:val="008704AC"/>
    <w:rsid w:val="0087078F"/>
    <w:rsid w:val="008707C0"/>
    <w:rsid w:val="008708FE"/>
    <w:rsid w:val="00870916"/>
    <w:rsid w:val="00870A23"/>
    <w:rsid w:val="00870B63"/>
    <w:rsid w:val="008710A3"/>
    <w:rsid w:val="008710C9"/>
    <w:rsid w:val="008710E0"/>
    <w:rsid w:val="00871268"/>
    <w:rsid w:val="008712D1"/>
    <w:rsid w:val="008714EC"/>
    <w:rsid w:val="00871620"/>
    <w:rsid w:val="00871713"/>
    <w:rsid w:val="00871897"/>
    <w:rsid w:val="00871898"/>
    <w:rsid w:val="0087193B"/>
    <w:rsid w:val="00871B0A"/>
    <w:rsid w:val="00871CFC"/>
    <w:rsid w:val="00871D25"/>
    <w:rsid w:val="00871DED"/>
    <w:rsid w:val="00871F7F"/>
    <w:rsid w:val="00872191"/>
    <w:rsid w:val="00872293"/>
    <w:rsid w:val="008723C5"/>
    <w:rsid w:val="00872724"/>
    <w:rsid w:val="008727DC"/>
    <w:rsid w:val="008728A2"/>
    <w:rsid w:val="00872912"/>
    <w:rsid w:val="00872A59"/>
    <w:rsid w:val="00872C3E"/>
    <w:rsid w:val="00872F47"/>
    <w:rsid w:val="00872FC5"/>
    <w:rsid w:val="00873098"/>
    <w:rsid w:val="0087315F"/>
    <w:rsid w:val="008732DA"/>
    <w:rsid w:val="0087353C"/>
    <w:rsid w:val="008735DA"/>
    <w:rsid w:val="0087363B"/>
    <w:rsid w:val="00873653"/>
    <w:rsid w:val="0087370F"/>
    <w:rsid w:val="00873905"/>
    <w:rsid w:val="00873DE7"/>
    <w:rsid w:val="0087401C"/>
    <w:rsid w:val="00874251"/>
    <w:rsid w:val="00874303"/>
    <w:rsid w:val="0087430C"/>
    <w:rsid w:val="00874664"/>
    <w:rsid w:val="008746C4"/>
    <w:rsid w:val="008748A7"/>
    <w:rsid w:val="008748CE"/>
    <w:rsid w:val="00874911"/>
    <w:rsid w:val="00874934"/>
    <w:rsid w:val="008749AB"/>
    <w:rsid w:val="00874A03"/>
    <w:rsid w:val="00874A1C"/>
    <w:rsid w:val="00874A36"/>
    <w:rsid w:val="00874A7F"/>
    <w:rsid w:val="00874C16"/>
    <w:rsid w:val="00874F39"/>
    <w:rsid w:val="00874F62"/>
    <w:rsid w:val="00875338"/>
    <w:rsid w:val="0087542F"/>
    <w:rsid w:val="008755C3"/>
    <w:rsid w:val="0087568C"/>
    <w:rsid w:val="00875772"/>
    <w:rsid w:val="008757EF"/>
    <w:rsid w:val="008758AC"/>
    <w:rsid w:val="00875945"/>
    <w:rsid w:val="00875D28"/>
    <w:rsid w:val="00875D41"/>
    <w:rsid w:val="00875E15"/>
    <w:rsid w:val="00875EBA"/>
    <w:rsid w:val="00875F3B"/>
    <w:rsid w:val="008760B7"/>
    <w:rsid w:val="008761BF"/>
    <w:rsid w:val="0087620E"/>
    <w:rsid w:val="008766AC"/>
    <w:rsid w:val="008766CA"/>
    <w:rsid w:val="0087685E"/>
    <w:rsid w:val="00876BAE"/>
    <w:rsid w:val="00876C28"/>
    <w:rsid w:val="00876CDB"/>
    <w:rsid w:val="00876D27"/>
    <w:rsid w:val="00876EA1"/>
    <w:rsid w:val="00877020"/>
    <w:rsid w:val="00877069"/>
    <w:rsid w:val="008770A0"/>
    <w:rsid w:val="00877161"/>
    <w:rsid w:val="00877389"/>
    <w:rsid w:val="0087756B"/>
    <w:rsid w:val="00877618"/>
    <w:rsid w:val="00877A3A"/>
    <w:rsid w:val="00877C75"/>
    <w:rsid w:val="00877D1E"/>
    <w:rsid w:val="00877D62"/>
    <w:rsid w:val="00877F1D"/>
    <w:rsid w:val="00880174"/>
    <w:rsid w:val="008801CC"/>
    <w:rsid w:val="0088023F"/>
    <w:rsid w:val="008802C6"/>
    <w:rsid w:val="008802DD"/>
    <w:rsid w:val="00880460"/>
    <w:rsid w:val="00880518"/>
    <w:rsid w:val="008806B5"/>
    <w:rsid w:val="0088075A"/>
    <w:rsid w:val="00880908"/>
    <w:rsid w:val="00880909"/>
    <w:rsid w:val="00880937"/>
    <w:rsid w:val="00880CCA"/>
    <w:rsid w:val="0088111B"/>
    <w:rsid w:val="008811EF"/>
    <w:rsid w:val="00881263"/>
    <w:rsid w:val="00881308"/>
    <w:rsid w:val="0088136B"/>
    <w:rsid w:val="008814D5"/>
    <w:rsid w:val="0088156D"/>
    <w:rsid w:val="00881693"/>
    <w:rsid w:val="00881705"/>
    <w:rsid w:val="00881838"/>
    <w:rsid w:val="008819FC"/>
    <w:rsid w:val="00881A86"/>
    <w:rsid w:val="00881BDF"/>
    <w:rsid w:val="00881DB2"/>
    <w:rsid w:val="00882015"/>
    <w:rsid w:val="008820CF"/>
    <w:rsid w:val="008820FC"/>
    <w:rsid w:val="008821ED"/>
    <w:rsid w:val="008822E3"/>
    <w:rsid w:val="0088242E"/>
    <w:rsid w:val="00882706"/>
    <w:rsid w:val="00882732"/>
    <w:rsid w:val="0088285E"/>
    <w:rsid w:val="00882AC6"/>
    <w:rsid w:val="00882B24"/>
    <w:rsid w:val="00882CE9"/>
    <w:rsid w:val="00882DA7"/>
    <w:rsid w:val="00882F21"/>
    <w:rsid w:val="00882F5B"/>
    <w:rsid w:val="008830B5"/>
    <w:rsid w:val="008830BB"/>
    <w:rsid w:val="008832A3"/>
    <w:rsid w:val="00883571"/>
    <w:rsid w:val="008835D0"/>
    <w:rsid w:val="00883863"/>
    <w:rsid w:val="00883A3F"/>
    <w:rsid w:val="00883BDA"/>
    <w:rsid w:val="00884157"/>
    <w:rsid w:val="00884273"/>
    <w:rsid w:val="00884591"/>
    <w:rsid w:val="00884660"/>
    <w:rsid w:val="00884669"/>
    <w:rsid w:val="00884708"/>
    <w:rsid w:val="00884A8F"/>
    <w:rsid w:val="00884BB6"/>
    <w:rsid w:val="00884E83"/>
    <w:rsid w:val="00884F8B"/>
    <w:rsid w:val="00884FA5"/>
    <w:rsid w:val="00884FBB"/>
    <w:rsid w:val="00884FE1"/>
    <w:rsid w:val="0088512C"/>
    <w:rsid w:val="00885150"/>
    <w:rsid w:val="008851CA"/>
    <w:rsid w:val="0088528C"/>
    <w:rsid w:val="0088537C"/>
    <w:rsid w:val="008855EA"/>
    <w:rsid w:val="0088579A"/>
    <w:rsid w:val="0088579F"/>
    <w:rsid w:val="0088589C"/>
    <w:rsid w:val="008858DA"/>
    <w:rsid w:val="0088598A"/>
    <w:rsid w:val="00885A9D"/>
    <w:rsid w:val="00885AF2"/>
    <w:rsid w:val="00885C35"/>
    <w:rsid w:val="00885D2B"/>
    <w:rsid w:val="00885E99"/>
    <w:rsid w:val="00885F22"/>
    <w:rsid w:val="00885F8F"/>
    <w:rsid w:val="00885F9E"/>
    <w:rsid w:val="0088602D"/>
    <w:rsid w:val="00886044"/>
    <w:rsid w:val="0088605E"/>
    <w:rsid w:val="0088607F"/>
    <w:rsid w:val="00886460"/>
    <w:rsid w:val="008864AC"/>
    <w:rsid w:val="008865F6"/>
    <w:rsid w:val="00886601"/>
    <w:rsid w:val="00886855"/>
    <w:rsid w:val="0088688B"/>
    <w:rsid w:val="0088690C"/>
    <w:rsid w:val="00886965"/>
    <w:rsid w:val="00886A71"/>
    <w:rsid w:val="00886AC7"/>
    <w:rsid w:val="00886C14"/>
    <w:rsid w:val="00886C37"/>
    <w:rsid w:val="00886CD2"/>
    <w:rsid w:val="00886D94"/>
    <w:rsid w:val="00886DC3"/>
    <w:rsid w:val="00887004"/>
    <w:rsid w:val="00887025"/>
    <w:rsid w:val="008870C9"/>
    <w:rsid w:val="008871FB"/>
    <w:rsid w:val="0088724F"/>
    <w:rsid w:val="00887267"/>
    <w:rsid w:val="008872C2"/>
    <w:rsid w:val="0088741B"/>
    <w:rsid w:val="00887588"/>
    <w:rsid w:val="0088766E"/>
    <w:rsid w:val="0088787A"/>
    <w:rsid w:val="008878FA"/>
    <w:rsid w:val="00887A36"/>
    <w:rsid w:val="00887B70"/>
    <w:rsid w:val="00887BFF"/>
    <w:rsid w:val="00887C05"/>
    <w:rsid w:val="00887C4C"/>
    <w:rsid w:val="00887CF4"/>
    <w:rsid w:val="00890107"/>
    <w:rsid w:val="00890215"/>
    <w:rsid w:val="00890361"/>
    <w:rsid w:val="0089052F"/>
    <w:rsid w:val="0089061A"/>
    <w:rsid w:val="0089084B"/>
    <w:rsid w:val="0089099A"/>
    <w:rsid w:val="00890A31"/>
    <w:rsid w:val="00890A62"/>
    <w:rsid w:val="00890B53"/>
    <w:rsid w:val="00890BF4"/>
    <w:rsid w:val="00890EE7"/>
    <w:rsid w:val="00890F5B"/>
    <w:rsid w:val="00890F6C"/>
    <w:rsid w:val="00890FC4"/>
    <w:rsid w:val="0089119D"/>
    <w:rsid w:val="0089160E"/>
    <w:rsid w:val="008917FE"/>
    <w:rsid w:val="00891980"/>
    <w:rsid w:val="0089198A"/>
    <w:rsid w:val="008919CB"/>
    <w:rsid w:val="00891A4B"/>
    <w:rsid w:val="00891A53"/>
    <w:rsid w:val="00891DB9"/>
    <w:rsid w:val="00892154"/>
    <w:rsid w:val="0089258D"/>
    <w:rsid w:val="008925E4"/>
    <w:rsid w:val="00892920"/>
    <w:rsid w:val="00892B58"/>
    <w:rsid w:val="00892E04"/>
    <w:rsid w:val="00892EBD"/>
    <w:rsid w:val="00892EF8"/>
    <w:rsid w:val="0089305C"/>
    <w:rsid w:val="008930C8"/>
    <w:rsid w:val="008931B2"/>
    <w:rsid w:val="008932D8"/>
    <w:rsid w:val="008932F8"/>
    <w:rsid w:val="008933B2"/>
    <w:rsid w:val="0089342C"/>
    <w:rsid w:val="00893442"/>
    <w:rsid w:val="008934A1"/>
    <w:rsid w:val="008934AC"/>
    <w:rsid w:val="0089369E"/>
    <w:rsid w:val="00893879"/>
    <w:rsid w:val="008938BF"/>
    <w:rsid w:val="00893A6E"/>
    <w:rsid w:val="00893B54"/>
    <w:rsid w:val="00893C60"/>
    <w:rsid w:val="00893CC5"/>
    <w:rsid w:val="00894120"/>
    <w:rsid w:val="008941C7"/>
    <w:rsid w:val="008941EA"/>
    <w:rsid w:val="00894220"/>
    <w:rsid w:val="00894326"/>
    <w:rsid w:val="0089432A"/>
    <w:rsid w:val="00894392"/>
    <w:rsid w:val="008944CA"/>
    <w:rsid w:val="008944DC"/>
    <w:rsid w:val="00894500"/>
    <w:rsid w:val="0089453D"/>
    <w:rsid w:val="00894690"/>
    <w:rsid w:val="00894833"/>
    <w:rsid w:val="0089487C"/>
    <w:rsid w:val="00894AB9"/>
    <w:rsid w:val="00894B68"/>
    <w:rsid w:val="00894E5E"/>
    <w:rsid w:val="0089507D"/>
    <w:rsid w:val="0089507F"/>
    <w:rsid w:val="008950D4"/>
    <w:rsid w:val="00895268"/>
    <w:rsid w:val="008952BB"/>
    <w:rsid w:val="00895312"/>
    <w:rsid w:val="008953EB"/>
    <w:rsid w:val="008954A1"/>
    <w:rsid w:val="008954F3"/>
    <w:rsid w:val="00895A9F"/>
    <w:rsid w:val="00895AD0"/>
    <w:rsid w:val="00895DC2"/>
    <w:rsid w:val="0089607E"/>
    <w:rsid w:val="008960CE"/>
    <w:rsid w:val="00896239"/>
    <w:rsid w:val="008964CC"/>
    <w:rsid w:val="00896722"/>
    <w:rsid w:val="008968AC"/>
    <w:rsid w:val="0089696F"/>
    <w:rsid w:val="008969E4"/>
    <w:rsid w:val="00896E63"/>
    <w:rsid w:val="00896E6F"/>
    <w:rsid w:val="00897269"/>
    <w:rsid w:val="0089728C"/>
    <w:rsid w:val="008972AA"/>
    <w:rsid w:val="008974B7"/>
    <w:rsid w:val="00897AEE"/>
    <w:rsid w:val="00897B82"/>
    <w:rsid w:val="00897D9F"/>
    <w:rsid w:val="00897DBE"/>
    <w:rsid w:val="00897E2E"/>
    <w:rsid w:val="00897E3F"/>
    <w:rsid w:val="00897E63"/>
    <w:rsid w:val="00897F78"/>
    <w:rsid w:val="008A006B"/>
    <w:rsid w:val="008A00C6"/>
    <w:rsid w:val="008A0297"/>
    <w:rsid w:val="008A039A"/>
    <w:rsid w:val="008A0659"/>
    <w:rsid w:val="008A0677"/>
    <w:rsid w:val="008A06F4"/>
    <w:rsid w:val="008A06F6"/>
    <w:rsid w:val="008A0863"/>
    <w:rsid w:val="008A0CE5"/>
    <w:rsid w:val="008A0D8F"/>
    <w:rsid w:val="008A0FA0"/>
    <w:rsid w:val="008A10B5"/>
    <w:rsid w:val="008A1101"/>
    <w:rsid w:val="008A1175"/>
    <w:rsid w:val="008A12E7"/>
    <w:rsid w:val="008A1488"/>
    <w:rsid w:val="008A1645"/>
    <w:rsid w:val="008A1848"/>
    <w:rsid w:val="008A1880"/>
    <w:rsid w:val="008A19DD"/>
    <w:rsid w:val="008A1A4B"/>
    <w:rsid w:val="008A1A77"/>
    <w:rsid w:val="008A1B3B"/>
    <w:rsid w:val="008A1B5D"/>
    <w:rsid w:val="008A1C3A"/>
    <w:rsid w:val="008A1DD7"/>
    <w:rsid w:val="008A1F85"/>
    <w:rsid w:val="008A1FE6"/>
    <w:rsid w:val="008A2052"/>
    <w:rsid w:val="008A2053"/>
    <w:rsid w:val="008A2148"/>
    <w:rsid w:val="008A21DF"/>
    <w:rsid w:val="008A224A"/>
    <w:rsid w:val="008A230B"/>
    <w:rsid w:val="008A23D4"/>
    <w:rsid w:val="008A23F0"/>
    <w:rsid w:val="008A2420"/>
    <w:rsid w:val="008A2523"/>
    <w:rsid w:val="008A269B"/>
    <w:rsid w:val="008A2869"/>
    <w:rsid w:val="008A28D6"/>
    <w:rsid w:val="008A2930"/>
    <w:rsid w:val="008A293C"/>
    <w:rsid w:val="008A2A7A"/>
    <w:rsid w:val="008A2CC9"/>
    <w:rsid w:val="008A2CD7"/>
    <w:rsid w:val="008A2E0E"/>
    <w:rsid w:val="008A3042"/>
    <w:rsid w:val="008A30EE"/>
    <w:rsid w:val="008A31B6"/>
    <w:rsid w:val="008A320A"/>
    <w:rsid w:val="008A333C"/>
    <w:rsid w:val="008A33D3"/>
    <w:rsid w:val="008A3425"/>
    <w:rsid w:val="008A3686"/>
    <w:rsid w:val="008A3895"/>
    <w:rsid w:val="008A39CF"/>
    <w:rsid w:val="008A3B6F"/>
    <w:rsid w:val="008A3F72"/>
    <w:rsid w:val="008A3FAF"/>
    <w:rsid w:val="008A4002"/>
    <w:rsid w:val="008A404E"/>
    <w:rsid w:val="008A40AF"/>
    <w:rsid w:val="008A435B"/>
    <w:rsid w:val="008A43E1"/>
    <w:rsid w:val="008A44DB"/>
    <w:rsid w:val="008A44FE"/>
    <w:rsid w:val="008A4897"/>
    <w:rsid w:val="008A4A18"/>
    <w:rsid w:val="008A4B12"/>
    <w:rsid w:val="008A4B45"/>
    <w:rsid w:val="008A4D0C"/>
    <w:rsid w:val="008A5370"/>
    <w:rsid w:val="008A538E"/>
    <w:rsid w:val="008A55AA"/>
    <w:rsid w:val="008A55B8"/>
    <w:rsid w:val="008A56EF"/>
    <w:rsid w:val="008A572F"/>
    <w:rsid w:val="008A5800"/>
    <w:rsid w:val="008A587E"/>
    <w:rsid w:val="008A5A24"/>
    <w:rsid w:val="008A5AAC"/>
    <w:rsid w:val="008A5D0A"/>
    <w:rsid w:val="008A5E1E"/>
    <w:rsid w:val="008A5FC2"/>
    <w:rsid w:val="008A602A"/>
    <w:rsid w:val="008A60FA"/>
    <w:rsid w:val="008A6136"/>
    <w:rsid w:val="008A616C"/>
    <w:rsid w:val="008A6291"/>
    <w:rsid w:val="008A6412"/>
    <w:rsid w:val="008A684B"/>
    <w:rsid w:val="008A686E"/>
    <w:rsid w:val="008A6938"/>
    <w:rsid w:val="008A695B"/>
    <w:rsid w:val="008A69BF"/>
    <w:rsid w:val="008A6A6B"/>
    <w:rsid w:val="008A6B6D"/>
    <w:rsid w:val="008A6BC2"/>
    <w:rsid w:val="008A6D7A"/>
    <w:rsid w:val="008A6D8A"/>
    <w:rsid w:val="008A6EF5"/>
    <w:rsid w:val="008A6F4B"/>
    <w:rsid w:val="008A7002"/>
    <w:rsid w:val="008A731F"/>
    <w:rsid w:val="008A73AA"/>
    <w:rsid w:val="008A73C5"/>
    <w:rsid w:val="008A76E1"/>
    <w:rsid w:val="008A7719"/>
    <w:rsid w:val="008A782F"/>
    <w:rsid w:val="008A7886"/>
    <w:rsid w:val="008A795E"/>
    <w:rsid w:val="008A7A56"/>
    <w:rsid w:val="008A7B39"/>
    <w:rsid w:val="008A7CBA"/>
    <w:rsid w:val="008A7E97"/>
    <w:rsid w:val="008A7EB7"/>
    <w:rsid w:val="008A7F62"/>
    <w:rsid w:val="008A7F64"/>
    <w:rsid w:val="008A7FD4"/>
    <w:rsid w:val="008B0027"/>
    <w:rsid w:val="008B00E6"/>
    <w:rsid w:val="008B0329"/>
    <w:rsid w:val="008B03D8"/>
    <w:rsid w:val="008B04F8"/>
    <w:rsid w:val="008B050E"/>
    <w:rsid w:val="008B0548"/>
    <w:rsid w:val="008B061A"/>
    <w:rsid w:val="008B0628"/>
    <w:rsid w:val="008B06A9"/>
    <w:rsid w:val="008B07A0"/>
    <w:rsid w:val="008B085A"/>
    <w:rsid w:val="008B08FB"/>
    <w:rsid w:val="008B09A3"/>
    <w:rsid w:val="008B0CBD"/>
    <w:rsid w:val="008B0CCB"/>
    <w:rsid w:val="008B0CCC"/>
    <w:rsid w:val="008B0DB1"/>
    <w:rsid w:val="008B0E73"/>
    <w:rsid w:val="008B0F55"/>
    <w:rsid w:val="008B0FCD"/>
    <w:rsid w:val="008B0FEB"/>
    <w:rsid w:val="008B10A8"/>
    <w:rsid w:val="008B11B7"/>
    <w:rsid w:val="008B132E"/>
    <w:rsid w:val="008B1441"/>
    <w:rsid w:val="008B15E3"/>
    <w:rsid w:val="008B16CA"/>
    <w:rsid w:val="008B187A"/>
    <w:rsid w:val="008B19C6"/>
    <w:rsid w:val="008B19DD"/>
    <w:rsid w:val="008B1A66"/>
    <w:rsid w:val="008B1ECF"/>
    <w:rsid w:val="008B1FC6"/>
    <w:rsid w:val="008B2048"/>
    <w:rsid w:val="008B22CB"/>
    <w:rsid w:val="008B256E"/>
    <w:rsid w:val="008B2883"/>
    <w:rsid w:val="008B2A1E"/>
    <w:rsid w:val="008B2A77"/>
    <w:rsid w:val="008B2BD5"/>
    <w:rsid w:val="008B2C39"/>
    <w:rsid w:val="008B2C4C"/>
    <w:rsid w:val="008B2D00"/>
    <w:rsid w:val="008B2DCD"/>
    <w:rsid w:val="008B2E9B"/>
    <w:rsid w:val="008B2ECF"/>
    <w:rsid w:val="008B2F8D"/>
    <w:rsid w:val="008B2FEB"/>
    <w:rsid w:val="008B3247"/>
    <w:rsid w:val="008B33E4"/>
    <w:rsid w:val="008B35A3"/>
    <w:rsid w:val="008B3643"/>
    <w:rsid w:val="008B366D"/>
    <w:rsid w:val="008B3678"/>
    <w:rsid w:val="008B3687"/>
    <w:rsid w:val="008B37BF"/>
    <w:rsid w:val="008B389D"/>
    <w:rsid w:val="008B392C"/>
    <w:rsid w:val="008B39C6"/>
    <w:rsid w:val="008B39F0"/>
    <w:rsid w:val="008B3AFB"/>
    <w:rsid w:val="008B3BAD"/>
    <w:rsid w:val="008B3DE7"/>
    <w:rsid w:val="008B3E55"/>
    <w:rsid w:val="008B3EC5"/>
    <w:rsid w:val="008B4140"/>
    <w:rsid w:val="008B41E3"/>
    <w:rsid w:val="008B4575"/>
    <w:rsid w:val="008B45AF"/>
    <w:rsid w:val="008B45C2"/>
    <w:rsid w:val="008B478F"/>
    <w:rsid w:val="008B4914"/>
    <w:rsid w:val="008B4940"/>
    <w:rsid w:val="008B4A8E"/>
    <w:rsid w:val="008B4A9C"/>
    <w:rsid w:val="008B4DC6"/>
    <w:rsid w:val="008B4EA9"/>
    <w:rsid w:val="008B4EF0"/>
    <w:rsid w:val="008B4F98"/>
    <w:rsid w:val="008B50F9"/>
    <w:rsid w:val="008B513E"/>
    <w:rsid w:val="008B5238"/>
    <w:rsid w:val="008B528C"/>
    <w:rsid w:val="008B5317"/>
    <w:rsid w:val="008B533E"/>
    <w:rsid w:val="008B54AE"/>
    <w:rsid w:val="008B5575"/>
    <w:rsid w:val="008B55E0"/>
    <w:rsid w:val="008B55F4"/>
    <w:rsid w:val="008B5873"/>
    <w:rsid w:val="008B5A54"/>
    <w:rsid w:val="008B5AE3"/>
    <w:rsid w:val="008B5B34"/>
    <w:rsid w:val="008B5B7B"/>
    <w:rsid w:val="008B5C07"/>
    <w:rsid w:val="008B5CFB"/>
    <w:rsid w:val="008B5D08"/>
    <w:rsid w:val="008B5D95"/>
    <w:rsid w:val="008B5F6D"/>
    <w:rsid w:val="008B61C2"/>
    <w:rsid w:val="008B628D"/>
    <w:rsid w:val="008B6410"/>
    <w:rsid w:val="008B6412"/>
    <w:rsid w:val="008B6507"/>
    <w:rsid w:val="008B6591"/>
    <w:rsid w:val="008B6623"/>
    <w:rsid w:val="008B664B"/>
    <w:rsid w:val="008B6862"/>
    <w:rsid w:val="008B6942"/>
    <w:rsid w:val="008B696B"/>
    <w:rsid w:val="008B69B9"/>
    <w:rsid w:val="008B6A14"/>
    <w:rsid w:val="008B6A29"/>
    <w:rsid w:val="008B6B59"/>
    <w:rsid w:val="008B6B6B"/>
    <w:rsid w:val="008B6C2B"/>
    <w:rsid w:val="008B6F62"/>
    <w:rsid w:val="008B6FF7"/>
    <w:rsid w:val="008B7169"/>
    <w:rsid w:val="008B71E4"/>
    <w:rsid w:val="008B7557"/>
    <w:rsid w:val="008B761E"/>
    <w:rsid w:val="008B7658"/>
    <w:rsid w:val="008B7669"/>
    <w:rsid w:val="008B7A3C"/>
    <w:rsid w:val="008B7C07"/>
    <w:rsid w:val="008B7E4A"/>
    <w:rsid w:val="008B7E7C"/>
    <w:rsid w:val="008C0167"/>
    <w:rsid w:val="008C0274"/>
    <w:rsid w:val="008C0284"/>
    <w:rsid w:val="008C02F5"/>
    <w:rsid w:val="008C03F1"/>
    <w:rsid w:val="008C03F7"/>
    <w:rsid w:val="008C042D"/>
    <w:rsid w:val="008C0470"/>
    <w:rsid w:val="008C04E4"/>
    <w:rsid w:val="008C0701"/>
    <w:rsid w:val="008C079D"/>
    <w:rsid w:val="008C0923"/>
    <w:rsid w:val="008C0B59"/>
    <w:rsid w:val="008C0CB2"/>
    <w:rsid w:val="008C0D00"/>
    <w:rsid w:val="008C0D74"/>
    <w:rsid w:val="008C0F87"/>
    <w:rsid w:val="008C0FC3"/>
    <w:rsid w:val="008C0FDE"/>
    <w:rsid w:val="008C1166"/>
    <w:rsid w:val="008C136B"/>
    <w:rsid w:val="008C1379"/>
    <w:rsid w:val="008C14B2"/>
    <w:rsid w:val="008C152A"/>
    <w:rsid w:val="008C168C"/>
    <w:rsid w:val="008C1728"/>
    <w:rsid w:val="008C1799"/>
    <w:rsid w:val="008C17BE"/>
    <w:rsid w:val="008C18B4"/>
    <w:rsid w:val="008C19A2"/>
    <w:rsid w:val="008C19BD"/>
    <w:rsid w:val="008C1CAC"/>
    <w:rsid w:val="008C1D39"/>
    <w:rsid w:val="008C1DEC"/>
    <w:rsid w:val="008C1DF0"/>
    <w:rsid w:val="008C1DF7"/>
    <w:rsid w:val="008C1FF6"/>
    <w:rsid w:val="008C2006"/>
    <w:rsid w:val="008C2242"/>
    <w:rsid w:val="008C26A6"/>
    <w:rsid w:val="008C26C2"/>
    <w:rsid w:val="008C279A"/>
    <w:rsid w:val="008C29A5"/>
    <w:rsid w:val="008C2B51"/>
    <w:rsid w:val="008C2DCF"/>
    <w:rsid w:val="008C2F67"/>
    <w:rsid w:val="008C30AB"/>
    <w:rsid w:val="008C30FC"/>
    <w:rsid w:val="008C3266"/>
    <w:rsid w:val="008C3387"/>
    <w:rsid w:val="008C342F"/>
    <w:rsid w:val="008C34E7"/>
    <w:rsid w:val="008C34ED"/>
    <w:rsid w:val="008C3540"/>
    <w:rsid w:val="008C3652"/>
    <w:rsid w:val="008C36F5"/>
    <w:rsid w:val="008C37D8"/>
    <w:rsid w:val="008C3801"/>
    <w:rsid w:val="008C3861"/>
    <w:rsid w:val="008C38A8"/>
    <w:rsid w:val="008C38DF"/>
    <w:rsid w:val="008C3984"/>
    <w:rsid w:val="008C39EF"/>
    <w:rsid w:val="008C3A1F"/>
    <w:rsid w:val="008C3D63"/>
    <w:rsid w:val="008C3D9B"/>
    <w:rsid w:val="008C3E28"/>
    <w:rsid w:val="008C3E3A"/>
    <w:rsid w:val="008C41DE"/>
    <w:rsid w:val="008C43C0"/>
    <w:rsid w:val="008C46F0"/>
    <w:rsid w:val="008C46FC"/>
    <w:rsid w:val="008C48AD"/>
    <w:rsid w:val="008C4A88"/>
    <w:rsid w:val="008C4A98"/>
    <w:rsid w:val="008C4A9A"/>
    <w:rsid w:val="008C4AE7"/>
    <w:rsid w:val="008C4B28"/>
    <w:rsid w:val="008C4D16"/>
    <w:rsid w:val="008C4E06"/>
    <w:rsid w:val="008C4E55"/>
    <w:rsid w:val="008C4F55"/>
    <w:rsid w:val="008C50EF"/>
    <w:rsid w:val="008C5174"/>
    <w:rsid w:val="008C51B4"/>
    <w:rsid w:val="008C5279"/>
    <w:rsid w:val="008C5316"/>
    <w:rsid w:val="008C5398"/>
    <w:rsid w:val="008C53D9"/>
    <w:rsid w:val="008C5544"/>
    <w:rsid w:val="008C5861"/>
    <w:rsid w:val="008C5B34"/>
    <w:rsid w:val="008C5BC6"/>
    <w:rsid w:val="008C5BEC"/>
    <w:rsid w:val="008C5EBE"/>
    <w:rsid w:val="008C604E"/>
    <w:rsid w:val="008C60B2"/>
    <w:rsid w:val="008C6199"/>
    <w:rsid w:val="008C61F4"/>
    <w:rsid w:val="008C63B6"/>
    <w:rsid w:val="008C6443"/>
    <w:rsid w:val="008C6538"/>
    <w:rsid w:val="008C65E0"/>
    <w:rsid w:val="008C6743"/>
    <w:rsid w:val="008C6909"/>
    <w:rsid w:val="008C6B50"/>
    <w:rsid w:val="008C6C2A"/>
    <w:rsid w:val="008C6CBA"/>
    <w:rsid w:val="008C6CD2"/>
    <w:rsid w:val="008C6D9C"/>
    <w:rsid w:val="008C6DB7"/>
    <w:rsid w:val="008C6E3A"/>
    <w:rsid w:val="008C6ED5"/>
    <w:rsid w:val="008C6FF4"/>
    <w:rsid w:val="008C7077"/>
    <w:rsid w:val="008C7419"/>
    <w:rsid w:val="008C74D5"/>
    <w:rsid w:val="008C75C4"/>
    <w:rsid w:val="008C75E6"/>
    <w:rsid w:val="008C7682"/>
    <w:rsid w:val="008C7861"/>
    <w:rsid w:val="008C79A3"/>
    <w:rsid w:val="008C7A33"/>
    <w:rsid w:val="008C7A3E"/>
    <w:rsid w:val="008C7AE2"/>
    <w:rsid w:val="008C7B4C"/>
    <w:rsid w:val="008C7BB5"/>
    <w:rsid w:val="008C7C30"/>
    <w:rsid w:val="008C7D19"/>
    <w:rsid w:val="008C7E57"/>
    <w:rsid w:val="008C9438"/>
    <w:rsid w:val="008D0037"/>
    <w:rsid w:val="008D01D0"/>
    <w:rsid w:val="008D0218"/>
    <w:rsid w:val="008D032E"/>
    <w:rsid w:val="008D0491"/>
    <w:rsid w:val="008D05B2"/>
    <w:rsid w:val="008D065E"/>
    <w:rsid w:val="008D067D"/>
    <w:rsid w:val="008D06B6"/>
    <w:rsid w:val="008D089D"/>
    <w:rsid w:val="008D08A0"/>
    <w:rsid w:val="008D09EF"/>
    <w:rsid w:val="008D0AF2"/>
    <w:rsid w:val="008D0B37"/>
    <w:rsid w:val="008D0BA2"/>
    <w:rsid w:val="008D0D26"/>
    <w:rsid w:val="008D0F6A"/>
    <w:rsid w:val="008D1017"/>
    <w:rsid w:val="008D1158"/>
    <w:rsid w:val="008D117F"/>
    <w:rsid w:val="008D1314"/>
    <w:rsid w:val="008D1375"/>
    <w:rsid w:val="008D1648"/>
    <w:rsid w:val="008D17D8"/>
    <w:rsid w:val="008D1849"/>
    <w:rsid w:val="008D18AE"/>
    <w:rsid w:val="008D18DA"/>
    <w:rsid w:val="008D1923"/>
    <w:rsid w:val="008D1ADE"/>
    <w:rsid w:val="008D1C63"/>
    <w:rsid w:val="008D1C85"/>
    <w:rsid w:val="008D1F69"/>
    <w:rsid w:val="008D2100"/>
    <w:rsid w:val="008D237A"/>
    <w:rsid w:val="008D23EC"/>
    <w:rsid w:val="008D24BD"/>
    <w:rsid w:val="008D2537"/>
    <w:rsid w:val="008D257E"/>
    <w:rsid w:val="008D2679"/>
    <w:rsid w:val="008D289A"/>
    <w:rsid w:val="008D2B90"/>
    <w:rsid w:val="008D2C05"/>
    <w:rsid w:val="008D2D1F"/>
    <w:rsid w:val="008D2DC7"/>
    <w:rsid w:val="008D30F9"/>
    <w:rsid w:val="008D31A5"/>
    <w:rsid w:val="008D322A"/>
    <w:rsid w:val="008D3386"/>
    <w:rsid w:val="008D342C"/>
    <w:rsid w:val="008D378C"/>
    <w:rsid w:val="008D37BA"/>
    <w:rsid w:val="008D38C5"/>
    <w:rsid w:val="008D38E5"/>
    <w:rsid w:val="008D3A2B"/>
    <w:rsid w:val="008D3DC1"/>
    <w:rsid w:val="008D3DCA"/>
    <w:rsid w:val="008D3DEF"/>
    <w:rsid w:val="008D3E58"/>
    <w:rsid w:val="008D3F98"/>
    <w:rsid w:val="008D4033"/>
    <w:rsid w:val="008D4183"/>
    <w:rsid w:val="008D42AD"/>
    <w:rsid w:val="008D42E7"/>
    <w:rsid w:val="008D4399"/>
    <w:rsid w:val="008D479A"/>
    <w:rsid w:val="008D47E7"/>
    <w:rsid w:val="008D4889"/>
    <w:rsid w:val="008D488B"/>
    <w:rsid w:val="008D4A0E"/>
    <w:rsid w:val="008D4C5B"/>
    <w:rsid w:val="008D4FAB"/>
    <w:rsid w:val="008D4FCA"/>
    <w:rsid w:val="008D4FCF"/>
    <w:rsid w:val="008D51A1"/>
    <w:rsid w:val="008D52B0"/>
    <w:rsid w:val="008D537C"/>
    <w:rsid w:val="008D54E2"/>
    <w:rsid w:val="008D55E8"/>
    <w:rsid w:val="008D56D2"/>
    <w:rsid w:val="008D5702"/>
    <w:rsid w:val="008D581B"/>
    <w:rsid w:val="008D589F"/>
    <w:rsid w:val="008D58D3"/>
    <w:rsid w:val="008D58E1"/>
    <w:rsid w:val="008D5A6D"/>
    <w:rsid w:val="008D5B24"/>
    <w:rsid w:val="008D5D0D"/>
    <w:rsid w:val="008D6062"/>
    <w:rsid w:val="008D62A4"/>
    <w:rsid w:val="008D63B0"/>
    <w:rsid w:val="008D6430"/>
    <w:rsid w:val="008D64BF"/>
    <w:rsid w:val="008D654F"/>
    <w:rsid w:val="008D65E8"/>
    <w:rsid w:val="008D671C"/>
    <w:rsid w:val="008D684B"/>
    <w:rsid w:val="008D6866"/>
    <w:rsid w:val="008D69BE"/>
    <w:rsid w:val="008D69D6"/>
    <w:rsid w:val="008D6C65"/>
    <w:rsid w:val="008D6CD1"/>
    <w:rsid w:val="008D6CFF"/>
    <w:rsid w:val="008D6D38"/>
    <w:rsid w:val="008D6D3D"/>
    <w:rsid w:val="008D6F92"/>
    <w:rsid w:val="008D705A"/>
    <w:rsid w:val="008D71A6"/>
    <w:rsid w:val="008D7416"/>
    <w:rsid w:val="008D743D"/>
    <w:rsid w:val="008D781C"/>
    <w:rsid w:val="008D7868"/>
    <w:rsid w:val="008D7959"/>
    <w:rsid w:val="008D7ADD"/>
    <w:rsid w:val="008D7AF6"/>
    <w:rsid w:val="008D7C4E"/>
    <w:rsid w:val="008D7D55"/>
    <w:rsid w:val="008D7EFB"/>
    <w:rsid w:val="008D7FD2"/>
    <w:rsid w:val="008E00E2"/>
    <w:rsid w:val="008E00FC"/>
    <w:rsid w:val="008E03B0"/>
    <w:rsid w:val="008E0406"/>
    <w:rsid w:val="008E056D"/>
    <w:rsid w:val="008E064F"/>
    <w:rsid w:val="008E06E3"/>
    <w:rsid w:val="008E07CA"/>
    <w:rsid w:val="008E08B4"/>
    <w:rsid w:val="008E0A1E"/>
    <w:rsid w:val="008E0A31"/>
    <w:rsid w:val="008E0B32"/>
    <w:rsid w:val="008E0B97"/>
    <w:rsid w:val="008E0BE7"/>
    <w:rsid w:val="008E0CF2"/>
    <w:rsid w:val="008E1057"/>
    <w:rsid w:val="008E10B8"/>
    <w:rsid w:val="008E1102"/>
    <w:rsid w:val="008E120D"/>
    <w:rsid w:val="008E12AA"/>
    <w:rsid w:val="008E154D"/>
    <w:rsid w:val="008E170D"/>
    <w:rsid w:val="008E1797"/>
    <w:rsid w:val="008E1ADF"/>
    <w:rsid w:val="008E1CE8"/>
    <w:rsid w:val="008E1D00"/>
    <w:rsid w:val="008E1FB5"/>
    <w:rsid w:val="008E207F"/>
    <w:rsid w:val="008E258E"/>
    <w:rsid w:val="008E27F2"/>
    <w:rsid w:val="008E2821"/>
    <w:rsid w:val="008E2898"/>
    <w:rsid w:val="008E2BC5"/>
    <w:rsid w:val="008E2C5E"/>
    <w:rsid w:val="008E2D90"/>
    <w:rsid w:val="008E2E08"/>
    <w:rsid w:val="008E2F8F"/>
    <w:rsid w:val="008E304F"/>
    <w:rsid w:val="008E31F4"/>
    <w:rsid w:val="008E330C"/>
    <w:rsid w:val="008E3366"/>
    <w:rsid w:val="008E33D3"/>
    <w:rsid w:val="008E34C0"/>
    <w:rsid w:val="008E3698"/>
    <w:rsid w:val="008E373F"/>
    <w:rsid w:val="008E37D1"/>
    <w:rsid w:val="008E38B1"/>
    <w:rsid w:val="008E3919"/>
    <w:rsid w:val="008E39E7"/>
    <w:rsid w:val="008E3AA7"/>
    <w:rsid w:val="008E3B91"/>
    <w:rsid w:val="008E3CCF"/>
    <w:rsid w:val="008E3D5C"/>
    <w:rsid w:val="008E3D8C"/>
    <w:rsid w:val="008E3F28"/>
    <w:rsid w:val="008E4014"/>
    <w:rsid w:val="008E40A7"/>
    <w:rsid w:val="008E4119"/>
    <w:rsid w:val="008E41CC"/>
    <w:rsid w:val="008E429B"/>
    <w:rsid w:val="008E4385"/>
    <w:rsid w:val="008E43D6"/>
    <w:rsid w:val="008E453E"/>
    <w:rsid w:val="008E4557"/>
    <w:rsid w:val="008E4670"/>
    <w:rsid w:val="008E47CD"/>
    <w:rsid w:val="008E487D"/>
    <w:rsid w:val="008E4916"/>
    <w:rsid w:val="008E4AFE"/>
    <w:rsid w:val="008E4C3D"/>
    <w:rsid w:val="008E4C71"/>
    <w:rsid w:val="008E4E95"/>
    <w:rsid w:val="008E4F25"/>
    <w:rsid w:val="008E4F40"/>
    <w:rsid w:val="008E4FC6"/>
    <w:rsid w:val="008E50B4"/>
    <w:rsid w:val="008E50EC"/>
    <w:rsid w:val="008E51F1"/>
    <w:rsid w:val="008E521F"/>
    <w:rsid w:val="008E527B"/>
    <w:rsid w:val="008E5287"/>
    <w:rsid w:val="008E52B7"/>
    <w:rsid w:val="008E54BA"/>
    <w:rsid w:val="008E55AB"/>
    <w:rsid w:val="008E58BB"/>
    <w:rsid w:val="008E5A31"/>
    <w:rsid w:val="008E5BDB"/>
    <w:rsid w:val="008E5C01"/>
    <w:rsid w:val="008E5DAA"/>
    <w:rsid w:val="008E5E1D"/>
    <w:rsid w:val="008E6101"/>
    <w:rsid w:val="008E61D1"/>
    <w:rsid w:val="008E61DF"/>
    <w:rsid w:val="008E64FD"/>
    <w:rsid w:val="008E6713"/>
    <w:rsid w:val="008E683B"/>
    <w:rsid w:val="008E696E"/>
    <w:rsid w:val="008E698F"/>
    <w:rsid w:val="008E6C56"/>
    <w:rsid w:val="008E6C95"/>
    <w:rsid w:val="008E6D0E"/>
    <w:rsid w:val="008E6D37"/>
    <w:rsid w:val="008E6DF1"/>
    <w:rsid w:val="008E6E37"/>
    <w:rsid w:val="008E709A"/>
    <w:rsid w:val="008E7141"/>
    <w:rsid w:val="008E7325"/>
    <w:rsid w:val="008E755F"/>
    <w:rsid w:val="008E75BC"/>
    <w:rsid w:val="008E7617"/>
    <w:rsid w:val="008E76B5"/>
    <w:rsid w:val="008E771A"/>
    <w:rsid w:val="008E7875"/>
    <w:rsid w:val="008E78EB"/>
    <w:rsid w:val="008E7D09"/>
    <w:rsid w:val="008E7D5F"/>
    <w:rsid w:val="008E7DA9"/>
    <w:rsid w:val="008E7DC9"/>
    <w:rsid w:val="008E7FEE"/>
    <w:rsid w:val="008F0020"/>
    <w:rsid w:val="008F013B"/>
    <w:rsid w:val="008F036E"/>
    <w:rsid w:val="008F0392"/>
    <w:rsid w:val="008F058C"/>
    <w:rsid w:val="008F063D"/>
    <w:rsid w:val="008F0730"/>
    <w:rsid w:val="008F0A21"/>
    <w:rsid w:val="008F0A75"/>
    <w:rsid w:val="008F0DD1"/>
    <w:rsid w:val="008F0FC8"/>
    <w:rsid w:val="008F11BA"/>
    <w:rsid w:val="008F1378"/>
    <w:rsid w:val="008F13F1"/>
    <w:rsid w:val="008F143A"/>
    <w:rsid w:val="008F1447"/>
    <w:rsid w:val="008F1495"/>
    <w:rsid w:val="008F14FA"/>
    <w:rsid w:val="008F14FB"/>
    <w:rsid w:val="008F15EF"/>
    <w:rsid w:val="008F166D"/>
    <w:rsid w:val="008F1695"/>
    <w:rsid w:val="008F1745"/>
    <w:rsid w:val="008F1A05"/>
    <w:rsid w:val="008F1BE4"/>
    <w:rsid w:val="008F1D2C"/>
    <w:rsid w:val="008F1D60"/>
    <w:rsid w:val="008F1D9C"/>
    <w:rsid w:val="008F1F0E"/>
    <w:rsid w:val="008F1F39"/>
    <w:rsid w:val="008F1F76"/>
    <w:rsid w:val="008F2180"/>
    <w:rsid w:val="008F22FB"/>
    <w:rsid w:val="008F2303"/>
    <w:rsid w:val="008F2394"/>
    <w:rsid w:val="008F24BE"/>
    <w:rsid w:val="008F24D3"/>
    <w:rsid w:val="008F25EF"/>
    <w:rsid w:val="008F26E0"/>
    <w:rsid w:val="008F2711"/>
    <w:rsid w:val="008F2860"/>
    <w:rsid w:val="008F28C2"/>
    <w:rsid w:val="008F2ABE"/>
    <w:rsid w:val="008F2C42"/>
    <w:rsid w:val="008F2E1A"/>
    <w:rsid w:val="008F3045"/>
    <w:rsid w:val="008F314F"/>
    <w:rsid w:val="008F347C"/>
    <w:rsid w:val="008F34CC"/>
    <w:rsid w:val="008F388A"/>
    <w:rsid w:val="008F38A2"/>
    <w:rsid w:val="008F3941"/>
    <w:rsid w:val="008F3A65"/>
    <w:rsid w:val="008F3BFF"/>
    <w:rsid w:val="008F3D2F"/>
    <w:rsid w:val="008F3D49"/>
    <w:rsid w:val="008F3D4C"/>
    <w:rsid w:val="008F3E00"/>
    <w:rsid w:val="008F3E10"/>
    <w:rsid w:val="008F4117"/>
    <w:rsid w:val="008F4281"/>
    <w:rsid w:val="008F42D1"/>
    <w:rsid w:val="008F43B6"/>
    <w:rsid w:val="008F451D"/>
    <w:rsid w:val="008F4529"/>
    <w:rsid w:val="008F46F2"/>
    <w:rsid w:val="008F4812"/>
    <w:rsid w:val="008F48E9"/>
    <w:rsid w:val="008F4941"/>
    <w:rsid w:val="008F4945"/>
    <w:rsid w:val="008F4B8D"/>
    <w:rsid w:val="008F4C46"/>
    <w:rsid w:val="008F505C"/>
    <w:rsid w:val="008F546C"/>
    <w:rsid w:val="008F55DF"/>
    <w:rsid w:val="008F5810"/>
    <w:rsid w:val="008F58A1"/>
    <w:rsid w:val="008F58E1"/>
    <w:rsid w:val="008F5909"/>
    <w:rsid w:val="008F5988"/>
    <w:rsid w:val="008F5A53"/>
    <w:rsid w:val="008F5AD5"/>
    <w:rsid w:val="008F5B10"/>
    <w:rsid w:val="008F5B16"/>
    <w:rsid w:val="008F5D4B"/>
    <w:rsid w:val="008F5E80"/>
    <w:rsid w:val="008F5E90"/>
    <w:rsid w:val="008F5EB3"/>
    <w:rsid w:val="008F62AA"/>
    <w:rsid w:val="008F6303"/>
    <w:rsid w:val="008F666B"/>
    <w:rsid w:val="008F66C6"/>
    <w:rsid w:val="008F67C3"/>
    <w:rsid w:val="008F68CB"/>
    <w:rsid w:val="008F6A92"/>
    <w:rsid w:val="008F6BCF"/>
    <w:rsid w:val="008F6BD2"/>
    <w:rsid w:val="008F6D0F"/>
    <w:rsid w:val="008F6F5A"/>
    <w:rsid w:val="008F7030"/>
    <w:rsid w:val="008F710B"/>
    <w:rsid w:val="008F7325"/>
    <w:rsid w:val="008F73BB"/>
    <w:rsid w:val="008F747C"/>
    <w:rsid w:val="008F74E8"/>
    <w:rsid w:val="008F7694"/>
    <w:rsid w:val="008F772D"/>
    <w:rsid w:val="008F782A"/>
    <w:rsid w:val="008F7AB8"/>
    <w:rsid w:val="008F7B23"/>
    <w:rsid w:val="008F7E2B"/>
    <w:rsid w:val="008F7EA8"/>
    <w:rsid w:val="008F7EFC"/>
    <w:rsid w:val="0090011B"/>
    <w:rsid w:val="00900160"/>
    <w:rsid w:val="00900224"/>
    <w:rsid w:val="009003F0"/>
    <w:rsid w:val="009004A5"/>
    <w:rsid w:val="00900564"/>
    <w:rsid w:val="0090081A"/>
    <w:rsid w:val="00900872"/>
    <w:rsid w:val="009009D4"/>
    <w:rsid w:val="00900CD2"/>
    <w:rsid w:val="0090103F"/>
    <w:rsid w:val="009011AF"/>
    <w:rsid w:val="0090120D"/>
    <w:rsid w:val="00901225"/>
    <w:rsid w:val="00901244"/>
    <w:rsid w:val="0090132D"/>
    <w:rsid w:val="009015E4"/>
    <w:rsid w:val="00901724"/>
    <w:rsid w:val="00901873"/>
    <w:rsid w:val="00901930"/>
    <w:rsid w:val="00901A95"/>
    <w:rsid w:val="00901AEE"/>
    <w:rsid w:val="00901AFF"/>
    <w:rsid w:val="00901B07"/>
    <w:rsid w:val="00901BB8"/>
    <w:rsid w:val="00901C50"/>
    <w:rsid w:val="00901DBE"/>
    <w:rsid w:val="00901DFA"/>
    <w:rsid w:val="00901E1D"/>
    <w:rsid w:val="0090213B"/>
    <w:rsid w:val="00902163"/>
    <w:rsid w:val="0090226A"/>
    <w:rsid w:val="009022DB"/>
    <w:rsid w:val="009022EB"/>
    <w:rsid w:val="0090242D"/>
    <w:rsid w:val="0090245B"/>
    <w:rsid w:val="009024AA"/>
    <w:rsid w:val="0090269A"/>
    <w:rsid w:val="00902744"/>
    <w:rsid w:val="0090276A"/>
    <w:rsid w:val="009029B2"/>
    <w:rsid w:val="00902AE3"/>
    <w:rsid w:val="00902C85"/>
    <w:rsid w:val="00902CC5"/>
    <w:rsid w:val="00902E89"/>
    <w:rsid w:val="00902FF1"/>
    <w:rsid w:val="009030C8"/>
    <w:rsid w:val="00903152"/>
    <w:rsid w:val="00903210"/>
    <w:rsid w:val="0090331D"/>
    <w:rsid w:val="0090349F"/>
    <w:rsid w:val="00903718"/>
    <w:rsid w:val="00903818"/>
    <w:rsid w:val="00903C1B"/>
    <w:rsid w:val="00903E49"/>
    <w:rsid w:val="00904053"/>
    <w:rsid w:val="00904062"/>
    <w:rsid w:val="009040E7"/>
    <w:rsid w:val="00904194"/>
    <w:rsid w:val="009041E4"/>
    <w:rsid w:val="00904364"/>
    <w:rsid w:val="00904446"/>
    <w:rsid w:val="009044F9"/>
    <w:rsid w:val="009045AE"/>
    <w:rsid w:val="00904652"/>
    <w:rsid w:val="009046CA"/>
    <w:rsid w:val="0090470B"/>
    <w:rsid w:val="00904831"/>
    <w:rsid w:val="0090492A"/>
    <w:rsid w:val="00904AC1"/>
    <w:rsid w:val="00904AF4"/>
    <w:rsid w:val="00904B03"/>
    <w:rsid w:val="00904B33"/>
    <w:rsid w:val="00904C08"/>
    <w:rsid w:val="00904C5F"/>
    <w:rsid w:val="00904D7C"/>
    <w:rsid w:val="00904EB0"/>
    <w:rsid w:val="00904EDA"/>
    <w:rsid w:val="0090506D"/>
    <w:rsid w:val="0090514C"/>
    <w:rsid w:val="009052C1"/>
    <w:rsid w:val="009052E2"/>
    <w:rsid w:val="0090539C"/>
    <w:rsid w:val="009053BB"/>
    <w:rsid w:val="0090540E"/>
    <w:rsid w:val="00905427"/>
    <w:rsid w:val="009054CB"/>
    <w:rsid w:val="00905733"/>
    <w:rsid w:val="0090579D"/>
    <w:rsid w:val="00905847"/>
    <w:rsid w:val="00905958"/>
    <w:rsid w:val="00905A16"/>
    <w:rsid w:val="00905CE1"/>
    <w:rsid w:val="00905D61"/>
    <w:rsid w:val="00905F43"/>
    <w:rsid w:val="00905F7B"/>
    <w:rsid w:val="00905FA7"/>
    <w:rsid w:val="009061E6"/>
    <w:rsid w:val="009062CD"/>
    <w:rsid w:val="00906462"/>
    <w:rsid w:val="00906536"/>
    <w:rsid w:val="00906560"/>
    <w:rsid w:val="00906724"/>
    <w:rsid w:val="009068AC"/>
    <w:rsid w:val="00906A28"/>
    <w:rsid w:val="00906D3D"/>
    <w:rsid w:val="00906D67"/>
    <w:rsid w:val="00906D7A"/>
    <w:rsid w:val="00906DAB"/>
    <w:rsid w:val="00906F49"/>
    <w:rsid w:val="00906F55"/>
    <w:rsid w:val="0090713A"/>
    <w:rsid w:val="009072D7"/>
    <w:rsid w:val="0090746C"/>
    <w:rsid w:val="0090754F"/>
    <w:rsid w:val="00907661"/>
    <w:rsid w:val="00907690"/>
    <w:rsid w:val="0090790E"/>
    <w:rsid w:val="009079E2"/>
    <w:rsid w:val="00907BA9"/>
    <w:rsid w:val="00907BFC"/>
    <w:rsid w:val="00907C62"/>
    <w:rsid w:val="00907D4D"/>
    <w:rsid w:val="00907E6D"/>
    <w:rsid w:val="00907FFD"/>
    <w:rsid w:val="00910009"/>
    <w:rsid w:val="00910041"/>
    <w:rsid w:val="00910109"/>
    <w:rsid w:val="0091014D"/>
    <w:rsid w:val="0091022F"/>
    <w:rsid w:val="009102FD"/>
    <w:rsid w:val="009103F5"/>
    <w:rsid w:val="00910447"/>
    <w:rsid w:val="00910563"/>
    <w:rsid w:val="009106D9"/>
    <w:rsid w:val="00910705"/>
    <w:rsid w:val="00910731"/>
    <w:rsid w:val="009107E3"/>
    <w:rsid w:val="0091083E"/>
    <w:rsid w:val="00910996"/>
    <w:rsid w:val="009109B2"/>
    <w:rsid w:val="00910C35"/>
    <w:rsid w:val="00910D69"/>
    <w:rsid w:val="00910E04"/>
    <w:rsid w:val="00910F1E"/>
    <w:rsid w:val="00911175"/>
    <w:rsid w:val="0091119E"/>
    <w:rsid w:val="0091142A"/>
    <w:rsid w:val="00911489"/>
    <w:rsid w:val="00911635"/>
    <w:rsid w:val="00911737"/>
    <w:rsid w:val="0091174F"/>
    <w:rsid w:val="00911775"/>
    <w:rsid w:val="00911864"/>
    <w:rsid w:val="009119C2"/>
    <w:rsid w:val="00911A23"/>
    <w:rsid w:val="00911A25"/>
    <w:rsid w:val="00911CD0"/>
    <w:rsid w:val="00911CD1"/>
    <w:rsid w:val="00911CF2"/>
    <w:rsid w:val="00911D23"/>
    <w:rsid w:val="00911D8F"/>
    <w:rsid w:val="00911E8A"/>
    <w:rsid w:val="00911EDE"/>
    <w:rsid w:val="00912399"/>
    <w:rsid w:val="0091268A"/>
    <w:rsid w:val="009128BF"/>
    <w:rsid w:val="00912940"/>
    <w:rsid w:val="00912A18"/>
    <w:rsid w:val="00912B85"/>
    <w:rsid w:val="00912CC0"/>
    <w:rsid w:val="00912CDD"/>
    <w:rsid w:val="00912D98"/>
    <w:rsid w:val="00912EF8"/>
    <w:rsid w:val="009131E1"/>
    <w:rsid w:val="00913431"/>
    <w:rsid w:val="00913744"/>
    <w:rsid w:val="00913806"/>
    <w:rsid w:val="009139FE"/>
    <w:rsid w:val="00913A69"/>
    <w:rsid w:val="00913ABF"/>
    <w:rsid w:val="00913C8E"/>
    <w:rsid w:val="00913DA1"/>
    <w:rsid w:val="00913E1E"/>
    <w:rsid w:val="00913F1D"/>
    <w:rsid w:val="00913F22"/>
    <w:rsid w:val="00914054"/>
    <w:rsid w:val="009140E8"/>
    <w:rsid w:val="009140F5"/>
    <w:rsid w:val="009141E5"/>
    <w:rsid w:val="0091432D"/>
    <w:rsid w:val="0091435E"/>
    <w:rsid w:val="009143F9"/>
    <w:rsid w:val="0091456D"/>
    <w:rsid w:val="00914726"/>
    <w:rsid w:val="00914795"/>
    <w:rsid w:val="009148D0"/>
    <w:rsid w:val="009148F6"/>
    <w:rsid w:val="00914B5E"/>
    <w:rsid w:val="00914F64"/>
    <w:rsid w:val="00914F6A"/>
    <w:rsid w:val="0091501D"/>
    <w:rsid w:val="00915266"/>
    <w:rsid w:val="009153E8"/>
    <w:rsid w:val="009154BE"/>
    <w:rsid w:val="00915692"/>
    <w:rsid w:val="009156AB"/>
    <w:rsid w:val="009156D3"/>
    <w:rsid w:val="0091573F"/>
    <w:rsid w:val="00915785"/>
    <w:rsid w:val="009157F3"/>
    <w:rsid w:val="0091590F"/>
    <w:rsid w:val="00915947"/>
    <w:rsid w:val="00915A77"/>
    <w:rsid w:val="00915BBB"/>
    <w:rsid w:val="00915BF7"/>
    <w:rsid w:val="00915CCC"/>
    <w:rsid w:val="00915DB7"/>
    <w:rsid w:val="00915DDF"/>
    <w:rsid w:val="00915FC7"/>
    <w:rsid w:val="00916044"/>
    <w:rsid w:val="009161A6"/>
    <w:rsid w:val="009161DF"/>
    <w:rsid w:val="00916315"/>
    <w:rsid w:val="0091646A"/>
    <w:rsid w:val="00916518"/>
    <w:rsid w:val="0091653E"/>
    <w:rsid w:val="00916619"/>
    <w:rsid w:val="00916673"/>
    <w:rsid w:val="0091667E"/>
    <w:rsid w:val="0091685C"/>
    <w:rsid w:val="009168FA"/>
    <w:rsid w:val="00916B13"/>
    <w:rsid w:val="00916B16"/>
    <w:rsid w:val="00916D32"/>
    <w:rsid w:val="00916DD4"/>
    <w:rsid w:val="00916E63"/>
    <w:rsid w:val="00917202"/>
    <w:rsid w:val="009174C6"/>
    <w:rsid w:val="0091765F"/>
    <w:rsid w:val="009177E3"/>
    <w:rsid w:val="00917852"/>
    <w:rsid w:val="009178B7"/>
    <w:rsid w:val="00917906"/>
    <w:rsid w:val="00917A6A"/>
    <w:rsid w:val="00917B86"/>
    <w:rsid w:val="00917B9A"/>
    <w:rsid w:val="00917BE4"/>
    <w:rsid w:val="00917D73"/>
    <w:rsid w:val="00917E71"/>
    <w:rsid w:val="00917FA0"/>
    <w:rsid w:val="00917FC7"/>
    <w:rsid w:val="0092002F"/>
    <w:rsid w:val="009202D5"/>
    <w:rsid w:val="00920360"/>
    <w:rsid w:val="0092048E"/>
    <w:rsid w:val="009207B7"/>
    <w:rsid w:val="009208DF"/>
    <w:rsid w:val="009208E0"/>
    <w:rsid w:val="00920A60"/>
    <w:rsid w:val="00920A73"/>
    <w:rsid w:val="00920BD5"/>
    <w:rsid w:val="00920D10"/>
    <w:rsid w:val="00920F62"/>
    <w:rsid w:val="00920FAF"/>
    <w:rsid w:val="009211A6"/>
    <w:rsid w:val="00921264"/>
    <w:rsid w:val="00921569"/>
    <w:rsid w:val="00921596"/>
    <w:rsid w:val="009216A3"/>
    <w:rsid w:val="00921769"/>
    <w:rsid w:val="00921794"/>
    <w:rsid w:val="00921842"/>
    <w:rsid w:val="00921A8D"/>
    <w:rsid w:val="00921AC3"/>
    <w:rsid w:val="00921BDD"/>
    <w:rsid w:val="00921BE2"/>
    <w:rsid w:val="00921CBD"/>
    <w:rsid w:val="00921D0B"/>
    <w:rsid w:val="00921DC3"/>
    <w:rsid w:val="00921FA1"/>
    <w:rsid w:val="009220EC"/>
    <w:rsid w:val="00922150"/>
    <w:rsid w:val="009221FA"/>
    <w:rsid w:val="0092251F"/>
    <w:rsid w:val="00922647"/>
    <w:rsid w:val="0092268E"/>
    <w:rsid w:val="00922A63"/>
    <w:rsid w:val="00922B84"/>
    <w:rsid w:val="00922D9A"/>
    <w:rsid w:val="00922DB9"/>
    <w:rsid w:val="00922E5E"/>
    <w:rsid w:val="00922FFB"/>
    <w:rsid w:val="009230CD"/>
    <w:rsid w:val="009230ED"/>
    <w:rsid w:val="009231AE"/>
    <w:rsid w:val="009231D3"/>
    <w:rsid w:val="009232D1"/>
    <w:rsid w:val="009236D1"/>
    <w:rsid w:val="0092376D"/>
    <w:rsid w:val="009238A5"/>
    <w:rsid w:val="00923A03"/>
    <w:rsid w:val="00923C36"/>
    <w:rsid w:val="00923D30"/>
    <w:rsid w:val="00923D56"/>
    <w:rsid w:val="00923E78"/>
    <w:rsid w:val="00923F1F"/>
    <w:rsid w:val="00924061"/>
    <w:rsid w:val="0092413A"/>
    <w:rsid w:val="009241FD"/>
    <w:rsid w:val="0092428E"/>
    <w:rsid w:val="0092429D"/>
    <w:rsid w:val="0092441A"/>
    <w:rsid w:val="00924527"/>
    <w:rsid w:val="00924594"/>
    <w:rsid w:val="0092464A"/>
    <w:rsid w:val="00924684"/>
    <w:rsid w:val="009247C6"/>
    <w:rsid w:val="00924854"/>
    <w:rsid w:val="009248BD"/>
    <w:rsid w:val="009248F1"/>
    <w:rsid w:val="00924915"/>
    <w:rsid w:val="00924B8C"/>
    <w:rsid w:val="00924D45"/>
    <w:rsid w:val="00924E15"/>
    <w:rsid w:val="00924E2D"/>
    <w:rsid w:val="00924E88"/>
    <w:rsid w:val="009250A0"/>
    <w:rsid w:val="009251A1"/>
    <w:rsid w:val="0092526C"/>
    <w:rsid w:val="0092531E"/>
    <w:rsid w:val="00925340"/>
    <w:rsid w:val="00925372"/>
    <w:rsid w:val="009254B6"/>
    <w:rsid w:val="00925583"/>
    <w:rsid w:val="00925589"/>
    <w:rsid w:val="009258EC"/>
    <w:rsid w:val="00925AA5"/>
    <w:rsid w:val="00925BD0"/>
    <w:rsid w:val="00925CB8"/>
    <w:rsid w:val="00925E24"/>
    <w:rsid w:val="00925E59"/>
    <w:rsid w:val="00925EC4"/>
    <w:rsid w:val="00926039"/>
    <w:rsid w:val="009260AE"/>
    <w:rsid w:val="00926216"/>
    <w:rsid w:val="00926246"/>
    <w:rsid w:val="00926269"/>
    <w:rsid w:val="0092639E"/>
    <w:rsid w:val="0092654B"/>
    <w:rsid w:val="00926DBC"/>
    <w:rsid w:val="00926E65"/>
    <w:rsid w:val="00926E7A"/>
    <w:rsid w:val="00926F2F"/>
    <w:rsid w:val="0092707D"/>
    <w:rsid w:val="009277CF"/>
    <w:rsid w:val="0092792C"/>
    <w:rsid w:val="0092793B"/>
    <w:rsid w:val="00927A85"/>
    <w:rsid w:val="00927BBC"/>
    <w:rsid w:val="00927CBA"/>
    <w:rsid w:val="00927CC0"/>
    <w:rsid w:val="00927D5E"/>
    <w:rsid w:val="00927D62"/>
    <w:rsid w:val="00927D76"/>
    <w:rsid w:val="00927D84"/>
    <w:rsid w:val="00927F59"/>
    <w:rsid w:val="00927FF6"/>
    <w:rsid w:val="00930005"/>
    <w:rsid w:val="00930273"/>
    <w:rsid w:val="009302B0"/>
    <w:rsid w:val="00930305"/>
    <w:rsid w:val="00930771"/>
    <w:rsid w:val="009307FA"/>
    <w:rsid w:val="009309DB"/>
    <w:rsid w:val="00930B06"/>
    <w:rsid w:val="00930B89"/>
    <w:rsid w:val="00930C97"/>
    <w:rsid w:val="00930CD7"/>
    <w:rsid w:val="00930D99"/>
    <w:rsid w:val="00930DF5"/>
    <w:rsid w:val="00930E69"/>
    <w:rsid w:val="00930F2C"/>
    <w:rsid w:val="00931058"/>
    <w:rsid w:val="009310F6"/>
    <w:rsid w:val="00931140"/>
    <w:rsid w:val="009311D4"/>
    <w:rsid w:val="009312EB"/>
    <w:rsid w:val="00931313"/>
    <w:rsid w:val="0093138E"/>
    <w:rsid w:val="00931394"/>
    <w:rsid w:val="009317DD"/>
    <w:rsid w:val="009318F3"/>
    <w:rsid w:val="00931973"/>
    <w:rsid w:val="00931997"/>
    <w:rsid w:val="00931B82"/>
    <w:rsid w:val="0093222F"/>
    <w:rsid w:val="00932466"/>
    <w:rsid w:val="009324BC"/>
    <w:rsid w:val="009324C4"/>
    <w:rsid w:val="009324FE"/>
    <w:rsid w:val="0093254C"/>
    <w:rsid w:val="00932790"/>
    <w:rsid w:val="009328CA"/>
    <w:rsid w:val="0093293C"/>
    <w:rsid w:val="009329E2"/>
    <w:rsid w:val="00932A21"/>
    <w:rsid w:val="00932AAE"/>
    <w:rsid w:val="00932ABC"/>
    <w:rsid w:val="00932CCF"/>
    <w:rsid w:val="00932E95"/>
    <w:rsid w:val="00932ED6"/>
    <w:rsid w:val="009330C6"/>
    <w:rsid w:val="009331C1"/>
    <w:rsid w:val="00933287"/>
    <w:rsid w:val="009332BF"/>
    <w:rsid w:val="00933417"/>
    <w:rsid w:val="0093342D"/>
    <w:rsid w:val="009334B8"/>
    <w:rsid w:val="00933856"/>
    <w:rsid w:val="0093390C"/>
    <w:rsid w:val="00933994"/>
    <w:rsid w:val="00933A78"/>
    <w:rsid w:val="00933AA2"/>
    <w:rsid w:val="00933B0D"/>
    <w:rsid w:val="00933BEA"/>
    <w:rsid w:val="00933C5B"/>
    <w:rsid w:val="00933D8A"/>
    <w:rsid w:val="00933F15"/>
    <w:rsid w:val="00933F2E"/>
    <w:rsid w:val="00933FA9"/>
    <w:rsid w:val="00934033"/>
    <w:rsid w:val="009343B8"/>
    <w:rsid w:val="0093444B"/>
    <w:rsid w:val="00934591"/>
    <w:rsid w:val="009346FD"/>
    <w:rsid w:val="009347E5"/>
    <w:rsid w:val="00934860"/>
    <w:rsid w:val="009348E8"/>
    <w:rsid w:val="00934971"/>
    <w:rsid w:val="00934BA1"/>
    <w:rsid w:val="00934D56"/>
    <w:rsid w:val="00934DD0"/>
    <w:rsid w:val="00934DF8"/>
    <w:rsid w:val="00934E71"/>
    <w:rsid w:val="00934ED4"/>
    <w:rsid w:val="00934FF7"/>
    <w:rsid w:val="00935035"/>
    <w:rsid w:val="009352D8"/>
    <w:rsid w:val="00935355"/>
    <w:rsid w:val="00935484"/>
    <w:rsid w:val="0093554B"/>
    <w:rsid w:val="00935575"/>
    <w:rsid w:val="009355B1"/>
    <w:rsid w:val="00935777"/>
    <w:rsid w:val="0093584B"/>
    <w:rsid w:val="00935C81"/>
    <w:rsid w:val="00935CBB"/>
    <w:rsid w:val="00935D75"/>
    <w:rsid w:val="00935DF1"/>
    <w:rsid w:val="00935E28"/>
    <w:rsid w:val="00935E42"/>
    <w:rsid w:val="00935F2C"/>
    <w:rsid w:val="00935FC3"/>
    <w:rsid w:val="00935FFD"/>
    <w:rsid w:val="00936319"/>
    <w:rsid w:val="00936422"/>
    <w:rsid w:val="009365C3"/>
    <w:rsid w:val="009366A9"/>
    <w:rsid w:val="0093683C"/>
    <w:rsid w:val="0093685D"/>
    <w:rsid w:val="009368E9"/>
    <w:rsid w:val="00936AD6"/>
    <w:rsid w:val="00936AEC"/>
    <w:rsid w:val="00936D65"/>
    <w:rsid w:val="00936DC6"/>
    <w:rsid w:val="00936DD1"/>
    <w:rsid w:val="00936F75"/>
    <w:rsid w:val="009370DE"/>
    <w:rsid w:val="0093711A"/>
    <w:rsid w:val="00937212"/>
    <w:rsid w:val="00937215"/>
    <w:rsid w:val="00937522"/>
    <w:rsid w:val="00937680"/>
    <w:rsid w:val="009376EF"/>
    <w:rsid w:val="0093770E"/>
    <w:rsid w:val="0093771F"/>
    <w:rsid w:val="00937755"/>
    <w:rsid w:val="0093790F"/>
    <w:rsid w:val="0093791C"/>
    <w:rsid w:val="00937A88"/>
    <w:rsid w:val="00937B6F"/>
    <w:rsid w:val="00937C32"/>
    <w:rsid w:val="00937FD1"/>
    <w:rsid w:val="0094001B"/>
    <w:rsid w:val="0094011C"/>
    <w:rsid w:val="00940236"/>
    <w:rsid w:val="0094039B"/>
    <w:rsid w:val="00940417"/>
    <w:rsid w:val="009405AB"/>
    <w:rsid w:val="00940603"/>
    <w:rsid w:val="0094062F"/>
    <w:rsid w:val="00940646"/>
    <w:rsid w:val="009406F2"/>
    <w:rsid w:val="00940709"/>
    <w:rsid w:val="00940792"/>
    <w:rsid w:val="0094084B"/>
    <w:rsid w:val="0094086B"/>
    <w:rsid w:val="00940A49"/>
    <w:rsid w:val="00940A4B"/>
    <w:rsid w:val="00940B07"/>
    <w:rsid w:val="00940E35"/>
    <w:rsid w:val="00940F8C"/>
    <w:rsid w:val="00941087"/>
    <w:rsid w:val="009414BA"/>
    <w:rsid w:val="00941555"/>
    <w:rsid w:val="009416F7"/>
    <w:rsid w:val="00941AA7"/>
    <w:rsid w:val="00941AFD"/>
    <w:rsid w:val="00941BED"/>
    <w:rsid w:val="00941C83"/>
    <w:rsid w:val="00941E48"/>
    <w:rsid w:val="00942031"/>
    <w:rsid w:val="009420B4"/>
    <w:rsid w:val="00942311"/>
    <w:rsid w:val="0094258D"/>
    <w:rsid w:val="009425FE"/>
    <w:rsid w:val="0094268C"/>
    <w:rsid w:val="009427BA"/>
    <w:rsid w:val="00942804"/>
    <w:rsid w:val="00942808"/>
    <w:rsid w:val="009428E5"/>
    <w:rsid w:val="009429DD"/>
    <w:rsid w:val="009429F8"/>
    <w:rsid w:val="00942A74"/>
    <w:rsid w:val="00942AC2"/>
    <w:rsid w:val="00942CD7"/>
    <w:rsid w:val="00942DA1"/>
    <w:rsid w:val="00942ED3"/>
    <w:rsid w:val="00942F48"/>
    <w:rsid w:val="00942F4E"/>
    <w:rsid w:val="00942F92"/>
    <w:rsid w:val="00942FB8"/>
    <w:rsid w:val="00942FB9"/>
    <w:rsid w:val="00943008"/>
    <w:rsid w:val="00943279"/>
    <w:rsid w:val="009432FC"/>
    <w:rsid w:val="009434B3"/>
    <w:rsid w:val="009438F1"/>
    <w:rsid w:val="00943B95"/>
    <w:rsid w:val="00943BE6"/>
    <w:rsid w:val="00943C1D"/>
    <w:rsid w:val="00943DC8"/>
    <w:rsid w:val="00943DCC"/>
    <w:rsid w:val="00943E20"/>
    <w:rsid w:val="00943EB1"/>
    <w:rsid w:val="00943F5D"/>
    <w:rsid w:val="0094400D"/>
    <w:rsid w:val="0094415F"/>
    <w:rsid w:val="00944164"/>
    <w:rsid w:val="009442D3"/>
    <w:rsid w:val="009443F2"/>
    <w:rsid w:val="00944482"/>
    <w:rsid w:val="00944511"/>
    <w:rsid w:val="009445D0"/>
    <w:rsid w:val="0094467F"/>
    <w:rsid w:val="009447D3"/>
    <w:rsid w:val="00944905"/>
    <w:rsid w:val="0094498F"/>
    <w:rsid w:val="00944A7C"/>
    <w:rsid w:val="00944CDA"/>
    <w:rsid w:val="00944D5B"/>
    <w:rsid w:val="00944E2A"/>
    <w:rsid w:val="00944EE5"/>
    <w:rsid w:val="00944EE9"/>
    <w:rsid w:val="009451AD"/>
    <w:rsid w:val="00945234"/>
    <w:rsid w:val="009453A9"/>
    <w:rsid w:val="0094557F"/>
    <w:rsid w:val="0094586A"/>
    <w:rsid w:val="00945886"/>
    <w:rsid w:val="009458B0"/>
    <w:rsid w:val="00945931"/>
    <w:rsid w:val="00945D2C"/>
    <w:rsid w:val="00945E6A"/>
    <w:rsid w:val="0094605B"/>
    <w:rsid w:val="00946068"/>
    <w:rsid w:val="00946071"/>
    <w:rsid w:val="00946160"/>
    <w:rsid w:val="009461E5"/>
    <w:rsid w:val="00946229"/>
    <w:rsid w:val="009463C1"/>
    <w:rsid w:val="0094647E"/>
    <w:rsid w:val="0094652B"/>
    <w:rsid w:val="0094656E"/>
    <w:rsid w:val="00946656"/>
    <w:rsid w:val="0094668C"/>
    <w:rsid w:val="00946708"/>
    <w:rsid w:val="00946791"/>
    <w:rsid w:val="00946806"/>
    <w:rsid w:val="00946863"/>
    <w:rsid w:val="009469AE"/>
    <w:rsid w:val="00946B58"/>
    <w:rsid w:val="00946BFB"/>
    <w:rsid w:val="00946E64"/>
    <w:rsid w:val="0094710A"/>
    <w:rsid w:val="00947332"/>
    <w:rsid w:val="009474C4"/>
    <w:rsid w:val="00947581"/>
    <w:rsid w:val="00947A3E"/>
    <w:rsid w:val="00947A4E"/>
    <w:rsid w:val="00947E06"/>
    <w:rsid w:val="00947E2D"/>
    <w:rsid w:val="00947F81"/>
    <w:rsid w:val="00950032"/>
    <w:rsid w:val="00950134"/>
    <w:rsid w:val="00950501"/>
    <w:rsid w:val="00950620"/>
    <w:rsid w:val="00950812"/>
    <w:rsid w:val="009508FD"/>
    <w:rsid w:val="00950A8D"/>
    <w:rsid w:val="00950C00"/>
    <w:rsid w:val="00950C7F"/>
    <w:rsid w:val="00950D1D"/>
    <w:rsid w:val="00950E16"/>
    <w:rsid w:val="009510D9"/>
    <w:rsid w:val="00951101"/>
    <w:rsid w:val="0095117F"/>
    <w:rsid w:val="009513EA"/>
    <w:rsid w:val="00951477"/>
    <w:rsid w:val="0095154D"/>
    <w:rsid w:val="009516A9"/>
    <w:rsid w:val="00951994"/>
    <w:rsid w:val="00951A2E"/>
    <w:rsid w:val="00951B94"/>
    <w:rsid w:val="00951C58"/>
    <w:rsid w:val="00951DDB"/>
    <w:rsid w:val="00951E23"/>
    <w:rsid w:val="00951F58"/>
    <w:rsid w:val="00951FA2"/>
    <w:rsid w:val="00951FEE"/>
    <w:rsid w:val="0095200A"/>
    <w:rsid w:val="0095205C"/>
    <w:rsid w:val="009523EB"/>
    <w:rsid w:val="00952497"/>
    <w:rsid w:val="00952530"/>
    <w:rsid w:val="009525CA"/>
    <w:rsid w:val="00952657"/>
    <w:rsid w:val="009526EA"/>
    <w:rsid w:val="00952853"/>
    <w:rsid w:val="00952C1A"/>
    <w:rsid w:val="00952C25"/>
    <w:rsid w:val="00952DB5"/>
    <w:rsid w:val="00952E1F"/>
    <w:rsid w:val="00952E82"/>
    <w:rsid w:val="0095300A"/>
    <w:rsid w:val="0095304D"/>
    <w:rsid w:val="009530EF"/>
    <w:rsid w:val="00953149"/>
    <w:rsid w:val="00953182"/>
    <w:rsid w:val="00953394"/>
    <w:rsid w:val="00953715"/>
    <w:rsid w:val="009537BA"/>
    <w:rsid w:val="0095381B"/>
    <w:rsid w:val="009538BF"/>
    <w:rsid w:val="00953957"/>
    <w:rsid w:val="00953A25"/>
    <w:rsid w:val="00953BE3"/>
    <w:rsid w:val="00953E83"/>
    <w:rsid w:val="00953EDF"/>
    <w:rsid w:val="00954019"/>
    <w:rsid w:val="0095405C"/>
    <w:rsid w:val="00954195"/>
    <w:rsid w:val="009541D6"/>
    <w:rsid w:val="00954227"/>
    <w:rsid w:val="009543E4"/>
    <w:rsid w:val="00954425"/>
    <w:rsid w:val="00954544"/>
    <w:rsid w:val="00954556"/>
    <w:rsid w:val="00954731"/>
    <w:rsid w:val="009547AD"/>
    <w:rsid w:val="00954899"/>
    <w:rsid w:val="00954A0B"/>
    <w:rsid w:val="00954A36"/>
    <w:rsid w:val="00954DA4"/>
    <w:rsid w:val="00954F0D"/>
    <w:rsid w:val="00954FA6"/>
    <w:rsid w:val="00954FDD"/>
    <w:rsid w:val="009551E5"/>
    <w:rsid w:val="009553A6"/>
    <w:rsid w:val="00955420"/>
    <w:rsid w:val="0095542A"/>
    <w:rsid w:val="0095544A"/>
    <w:rsid w:val="00955460"/>
    <w:rsid w:val="00955482"/>
    <w:rsid w:val="0095571A"/>
    <w:rsid w:val="0095583E"/>
    <w:rsid w:val="00955A02"/>
    <w:rsid w:val="00955A29"/>
    <w:rsid w:val="00955A93"/>
    <w:rsid w:val="00955BA5"/>
    <w:rsid w:val="00955C4A"/>
    <w:rsid w:val="00955D5E"/>
    <w:rsid w:val="00955E0C"/>
    <w:rsid w:val="00955E87"/>
    <w:rsid w:val="00955EB5"/>
    <w:rsid w:val="00956013"/>
    <w:rsid w:val="009560F7"/>
    <w:rsid w:val="00956329"/>
    <w:rsid w:val="0095642A"/>
    <w:rsid w:val="00956516"/>
    <w:rsid w:val="009565AF"/>
    <w:rsid w:val="009565B5"/>
    <w:rsid w:val="009565CA"/>
    <w:rsid w:val="009565CF"/>
    <w:rsid w:val="00956794"/>
    <w:rsid w:val="009567C4"/>
    <w:rsid w:val="009568E9"/>
    <w:rsid w:val="009569F3"/>
    <w:rsid w:val="00956D0B"/>
    <w:rsid w:val="00956E37"/>
    <w:rsid w:val="00956EA6"/>
    <w:rsid w:val="00956F85"/>
    <w:rsid w:val="00956FBD"/>
    <w:rsid w:val="00956FD6"/>
    <w:rsid w:val="009570D0"/>
    <w:rsid w:val="009571D5"/>
    <w:rsid w:val="0095720D"/>
    <w:rsid w:val="00957292"/>
    <w:rsid w:val="009574CA"/>
    <w:rsid w:val="009574F9"/>
    <w:rsid w:val="00957529"/>
    <w:rsid w:val="0095782D"/>
    <w:rsid w:val="00957835"/>
    <w:rsid w:val="00957E14"/>
    <w:rsid w:val="00957F0B"/>
    <w:rsid w:val="0096017B"/>
    <w:rsid w:val="009606EF"/>
    <w:rsid w:val="0096085E"/>
    <w:rsid w:val="00960A0D"/>
    <w:rsid w:val="00960D1C"/>
    <w:rsid w:val="00960ED1"/>
    <w:rsid w:val="00960ED2"/>
    <w:rsid w:val="00961393"/>
    <w:rsid w:val="0096143D"/>
    <w:rsid w:val="009614CF"/>
    <w:rsid w:val="009614EC"/>
    <w:rsid w:val="009616BF"/>
    <w:rsid w:val="009617EF"/>
    <w:rsid w:val="00961829"/>
    <w:rsid w:val="009618EE"/>
    <w:rsid w:val="009619DA"/>
    <w:rsid w:val="00961A67"/>
    <w:rsid w:val="00961B41"/>
    <w:rsid w:val="00961CA0"/>
    <w:rsid w:val="00961CEF"/>
    <w:rsid w:val="00961DAA"/>
    <w:rsid w:val="00961E6C"/>
    <w:rsid w:val="009620ED"/>
    <w:rsid w:val="00962116"/>
    <w:rsid w:val="00962235"/>
    <w:rsid w:val="0096259D"/>
    <w:rsid w:val="009626B1"/>
    <w:rsid w:val="00962741"/>
    <w:rsid w:val="00962769"/>
    <w:rsid w:val="009627EE"/>
    <w:rsid w:val="0096296E"/>
    <w:rsid w:val="00962AF5"/>
    <w:rsid w:val="00962B01"/>
    <w:rsid w:val="00962B96"/>
    <w:rsid w:val="00962C77"/>
    <w:rsid w:val="00962FE1"/>
    <w:rsid w:val="00963111"/>
    <w:rsid w:val="009631EE"/>
    <w:rsid w:val="009632E0"/>
    <w:rsid w:val="009633FF"/>
    <w:rsid w:val="00963409"/>
    <w:rsid w:val="00963419"/>
    <w:rsid w:val="009634CF"/>
    <w:rsid w:val="00963758"/>
    <w:rsid w:val="009637CB"/>
    <w:rsid w:val="00963A02"/>
    <w:rsid w:val="00963AFD"/>
    <w:rsid w:val="00963C5A"/>
    <w:rsid w:val="00963CFC"/>
    <w:rsid w:val="00963EA8"/>
    <w:rsid w:val="00963ED2"/>
    <w:rsid w:val="00964007"/>
    <w:rsid w:val="00964060"/>
    <w:rsid w:val="009640AE"/>
    <w:rsid w:val="00964210"/>
    <w:rsid w:val="00964341"/>
    <w:rsid w:val="00964424"/>
    <w:rsid w:val="009644C4"/>
    <w:rsid w:val="009646BC"/>
    <w:rsid w:val="00964800"/>
    <w:rsid w:val="0096485E"/>
    <w:rsid w:val="009649A8"/>
    <w:rsid w:val="00964B4A"/>
    <w:rsid w:val="00964F0B"/>
    <w:rsid w:val="0096540E"/>
    <w:rsid w:val="009654F7"/>
    <w:rsid w:val="00965605"/>
    <w:rsid w:val="0096561D"/>
    <w:rsid w:val="00965776"/>
    <w:rsid w:val="0096577B"/>
    <w:rsid w:val="00965842"/>
    <w:rsid w:val="00965898"/>
    <w:rsid w:val="009659B8"/>
    <w:rsid w:val="00965BB9"/>
    <w:rsid w:val="00965DA9"/>
    <w:rsid w:val="00965E4B"/>
    <w:rsid w:val="00965F22"/>
    <w:rsid w:val="0096605C"/>
    <w:rsid w:val="00966176"/>
    <w:rsid w:val="009663F4"/>
    <w:rsid w:val="00966503"/>
    <w:rsid w:val="00966553"/>
    <w:rsid w:val="00966555"/>
    <w:rsid w:val="00966608"/>
    <w:rsid w:val="0096666F"/>
    <w:rsid w:val="00966A80"/>
    <w:rsid w:val="00966BA2"/>
    <w:rsid w:val="00966BE3"/>
    <w:rsid w:val="00966DC0"/>
    <w:rsid w:val="00966ED3"/>
    <w:rsid w:val="00966F07"/>
    <w:rsid w:val="00966F17"/>
    <w:rsid w:val="00966F42"/>
    <w:rsid w:val="00967189"/>
    <w:rsid w:val="0096719A"/>
    <w:rsid w:val="009671FE"/>
    <w:rsid w:val="0096723D"/>
    <w:rsid w:val="00967250"/>
    <w:rsid w:val="009672E6"/>
    <w:rsid w:val="009674B5"/>
    <w:rsid w:val="00967582"/>
    <w:rsid w:val="009677CB"/>
    <w:rsid w:val="00967939"/>
    <w:rsid w:val="00967B83"/>
    <w:rsid w:val="00967C64"/>
    <w:rsid w:val="009700D8"/>
    <w:rsid w:val="009701B8"/>
    <w:rsid w:val="0097034A"/>
    <w:rsid w:val="0097035E"/>
    <w:rsid w:val="00970515"/>
    <w:rsid w:val="0097051B"/>
    <w:rsid w:val="009705B0"/>
    <w:rsid w:val="0097066F"/>
    <w:rsid w:val="0097070E"/>
    <w:rsid w:val="00970723"/>
    <w:rsid w:val="009707E3"/>
    <w:rsid w:val="00970802"/>
    <w:rsid w:val="0097093F"/>
    <w:rsid w:val="0097096D"/>
    <w:rsid w:val="00970A01"/>
    <w:rsid w:val="00970A43"/>
    <w:rsid w:val="00970BB0"/>
    <w:rsid w:val="00970CDA"/>
    <w:rsid w:val="00970DBA"/>
    <w:rsid w:val="00970F56"/>
    <w:rsid w:val="00970F9B"/>
    <w:rsid w:val="009710F3"/>
    <w:rsid w:val="00971267"/>
    <w:rsid w:val="009712E4"/>
    <w:rsid w:val="009713FD"/>
    <w:rsid w:val="0097144C"/>
    <w:rsid w:val="009715A9"/>
    <w:rsid w:val="0097180A"/>
    <w:rsid w:val="0097185C"/>
    <w:rsid w:val="0097189D"/>
    <w:rsid w:val="0097194F"/>
    <w:rsid w:val="00971B3A"/>
    <w:rsid w:val="00971CA1"/>
    <w:rsid w:val="00971CB3"/>
    <w:rsid w:val="00971D13"/>
    <w:rsid w:val="00971D56"/>
    <w:rsid w:val="00971E1D"/>
    <w:rsid w:val="00971E56"/>
    <w:rsid w:val="00971EA8"/>
    <w:rsid w:val="009721A5"/>
    <w:rsid w:val="0097265A"/>
    <w:rsid w:val="009726D6"/>
    <w:rsid w:val="00972870"/>
    <w:rsid w:val="00972911"/>
    <w:rsid w:val="00972C6C"/>
    <w:rsid w:val="00972CCB"/>
    <w:rsid w:val="00972CE0"/>
    <w:rsid w:val="00972E1C"/>
    <w:rsid w:val="009731C6"/>
    <w:rsid w:val="009732BC"/>
    <w:rsid w:val="009733D8"/>
    <w:rsid w:val="00973454"/>
    <w:rsid w:val="00973531"/>
    <w:rsid w:val="009735E2"/>
    <w:rsid w:val="00973674"/>
    <w:rsid w:val="00973715"/>
    <w:rsid w:val="00973795"/>
    <w:rsid w:val="00973815"/>
    <w:rsid w:val="00973878"/>
    <w:rsid w:val="00973899"/>
    <w:rsid w:val="009738A4"/>
    <w:rsid w:val="009738C6"/>
    <w:rsid w:val="0097395D"/>
    <w:rsid w:val="00973971"/>
    <w:rsid w:val="00973A20"/>
    <w:rsid w:val="00973B91"/>
    <w:rsid w:val="00973C0F"/>
    <w:rsid w:val="00973C3F"/>
    <w:rsid w:val="0097408C"/>
    <w:rsid w:val="00974440"/>
    <w:rsid w:val="0097456E"/>
    <w:rsid w:val="0097475C"/>
    <w:rsid w:val="0097479D"/>
    <w:rsid w:val="009748E8"/>
    <w:rsid w:val="00974A79"/>
    <w:rsid w:val="00974B69"/>
    <w:rsid w:val="00974B85"/>
    <w:rsid w:val="00974B92"/>
    <w:rsid w:val="00974BD0"/>
    <w:rsid w:val="00974D4C"/>
    <w:rsid w:val="00974DF8"/>
    <w:rsid w:val="00974E1A"/>
    <w:rsid w:val="00974E68"/>
    <w:rsid w:val="00974EA3"/>
    <w:rsid w:val="0097518D"/>
    <w:rsid w:val="00975420"/>
    <w:rsid w:val="00975437"/>
    <w:rsid w:val="0097548A"/>
    <w:rsid w:val="009754DD"/>
    <w:rsid w:val="0097553B"/>
    <w:rsid w:val="00975550"/>
    <w:rsid w:val="009755C5"/>
    <w:rsid w:val="0097562E"/>
    <w:rsid w:val="00975724"/>
    <w:rsid w:val="0097586E"/>
    <w:rsid w:val="009758D2"/>
    <w:rsid w:val="00975B18"/>
    <w:rsid w:val="00975B96"/>
    <w:rsid w:val="00975DDA"/>
    <w:rsid w:val="0097624F"/>
    <w:rsid w:val="0097634D"/>
    <w:rsid w:val="0097656A"/>
    <w:rsid w:val="00976665"/>
    <w:rsid w:val="00976817"/>
    <w:rsid w:val="00976857"/>
    <w:rsid w:val="0097691F"/>
    <w:rsid w:val="009769CF"/>
    <w:rsid w:val="00976BB7"/>
    <w:rsid w:val="00976C83"/>
    <w:rsid w:val="009770F6"/>
    <w:rsid w:val="009771BD"/>
    <w:rsid w:val="00977370"/>
    <w:rsid w:val="00977397"/>
    <w:rsid w:val="00977514"/>
    <w:rsid w:val="00977588"/>
    <w:rsid w:val="009777C2"/>
    <w:rsid w:val="009777F2"/>
    <w:rsid w:val="009777FF"/>
    <w:rsid w:val="00977905"/>
    <w:rsid w:val="009779F6"/>
    <w:rsid w:val="00977A91"/>
    <w:rsid w:val="00977B25"/>
    <w:rsid w:val="00980208"/>
    <w:rsid w:val="00980225"/>
    <w:rsid w:val="00980227"/>
    <w:rsid w:val="00980291"/>
    <w:rsid w:val="009802B4"/>
    <w:rsid w:val="009802C3"/>
    <w:rsid w:val="009802CE"/>
    <w:rsid w:val="0098031F"/>
    <w:rsid w:val="009803FA"/>
    <w:rsid w:val="00980434"/>
    <w:rsid w:val="00980503"/>
    <w:rsid w:val="00980513"/>
    <w:rsid w:val="00980730"/>
    <w:rsid w:val="00980749"/>
    <w:rsid w:val="009807FB"/>
    <w:rsid w:val="00980878"/>
    <w:rsid w:val="009809E9"/>
    <w:rsid w:val="00980CFA"/>
    <w:rsid w:val="00981196"/>
    <w:rsid w:val="009812DF"/>
    <w:rsid w:val="00981301"/>
    <w:rsid w:val="009813C1"/>
    <w:rsid w:val="00981607"/>
    <w:rsid w:val="00981793"/>
    <w:rsid w:val="0098199F"/>
    <w:rsid w:val="00981AE1"/>
    <w:rsid w:val="00981EEC"/>
    <w:rsid w:val="00981F7F"/>
    <w:rsid w:val="00981F84"/>
    <w:rsid w:val="00981FFC"/>
    <w:rsid w:val="00982206"/>
    <w:rsid w:val="00982237"/>
    <w:rsid w:val="00982260"/>
    <w:rsid w:val="0098230B"/>
    <w:rsid w:val="00982318"/>
    <w:rsid w:val="00982376"/>
    <w:rsid w:val="009823FD"/>
    <w:rsid w:val="00982454"/>
    <w:rsid w:val="00982579"/>
    <w:rsid w:val="0098269F"/>
    <w:rsid w:val="0098296B"/>
    <w:rsid w:val="00982A60"/>
    <w:rsid w:val="00982AD7"/>
    <w:rsid w:val="00982B98"/>
    <w:rsid w:val="00982C11"/>
    <w:rsid w:val="00982C99"/>
    <w:rsid w:val="00982E68"/>
    <w:rsid w:val="00982FA3"/>
    <w:rsid w:val="009831C3"/>
    <w:rsid w:val="0098326F"/>
    <w:rsid w:val="009832D3"/>
    <w:rsid w:val="009834D4"/>
    <w:rsid w:val="0098356F"/>
    <w:rsid w:val="009836F2"/>
    <w:rsid w:val="009838FB"/>
    <w:rsid w:val="00983A35"/>
    <w:rsid w:val="00983BFD"/>
    <w:rsid w:val="00983D6C"/>
    <w:rsid w:val="00983DFD"/>
    <w:rsid w:val="009840E3"/>
    <w:rsid w:val="009841B5"/>
    <w:rsid w:val="00984206"/>
    <w:rsid w:val="0098420C"/>
    <w:rsid w:val="009842E6"/>
    <w:rsid w:val="009843D3"/>
    <w:rsid w:val="0098440B"/>
    <w:rsid w:val="00984456"/>
    <w:rsid w:val="009846A8"/>
    <w:rsid w:val="00984767"/>
    <w:rsid w:val="0098480C"/>
    <w:rsid w:val="00984B24"/>
    <w:rsid w:val="00984B99"/>
    <w:rsid w:val="00984E99"/>
    <w:rsid w:val="00984FC6"/>
    <w:rsid w:val="00985088"/>
    <w:rsid w:val="00985263"/>
    <w:rsid w:val="009855F4"/>
    <w:rsid w:val="00985789"/>
    <w:rsid w:val="0098590E"/>
    <w:rsid w:val="00985B47"/>
    <w:rsid w:val="00985E9C"/>
    <w:rsid w:val="00985EFB"/>
    <w:rsid w:val="00985F28"/>
    <w:rsid w:val="009861AE"/>
    <w:rsid w:val="009862CC"/>
    <w:rsid w:val="009863EF"/>
    <w:rsid w:val="009864C1"/>
    <w:rsid w:val="00986537"/>
    <w:rsid w:val="00986588"/>
    <w:rsid w:val="009866BE"/>
    <w:rsid w:val="00986898"/>
    <w:rsid w:val="00986A58"/>
    <w:rsid w:val="00986FA9"/>
    <w:rsid w:val="00986FE4"/>
    <w:rsid w:val="0098711F"/>
    <w:rsid w:val="00987368"/>
    <w:rsid w:val="00987508"/>
    <w:rsid w:val="00987750"/>
    <w:rsid w:val="00987756"/>
    <w:rsid w:val="009877BF"/>
    <w:rsid w:val="0098796D"/>
    <w:rsid w:val="00987A22"/>
    <w:rsid w:val="00987C1E"/>
    <w:rsid w:val="00987C52"/>
    <w:rsid w:val="00987CBD"/>
    <w:rsid w:val="00990182"/>
    <w:rsid w:val="009901C4"/>
    <w:rsid w:val="009902EE"/>
    <w:rsid w:val="0099030E"/>
    <w:rsid w:val="009903E9"/>
    <w:rsid w:val="0099050A"/>
    <w:rsid w:val="0099058F"/>
    <w:rsid w:val="00990688"/>
    <w:rsid w:val="009909C7"/>
    <w:rsid w:val="00990ADF"/>
    <w:rsid w:val="00990D35"/>
    <w:rsid w:val="00990D83"/>
    <w:rsid w:val="00990F31"/>
    <w:rsid w:val="0099106F"/>
    <w:rsid w:val="00991187"/>
    <w:rsid w:val="0099130E"/>
    <w:rsid w:val="00991409"/>
    <w:rsid w:val="0099145F"/>
    <w:rsid w:val="0099191E"/>
    <w:rsid w:val="00991B34"/>
    <w:rsid w:val="00991BA9"/>
    <w:rsid w:val="00991C5B"/>
    <w:rsid w:val="00991CA5"/>
    <w:rsid w:val="00991CBB"/>
    <w:rsid w:val="00991CCF"/>
    <w:rsid w:val="00991E74"/>
    <w:rsid w:val="00991F0B"/>
    <w:rsid w:val="00991F44"/>
    <w:rsid w:val="00991F4B"/>
    <w:rsid w:val="0099231F"/>
    <w:rsid w:val="00992581"/>
    <w:rsid w:val="009926A0"/>
    <w:rsid w:val="009926DF"/>
    <w:rsid w:val="00992773"/>
    <w:rsid w:val="009927A3"/>
    <w:rsid w:val="00992803"/>
    <w:rsid w:val="0099282B"/>
    <w:rsid w:val="0099291C"/>
    <w:rsid w:val="00992B0D"/>
    <w:rsid w:val="00992B4D"/>
    <w:rsid w:val="00992B78"/>
    <w:rsid w:val="00992C2D"/>
    <w:rsid w:val="00992CA1"/>
    <w:rsid w:val="00992D1B"/>
    <w:rsid w:val="00992F80"/>
    <w:rsid w:val="00992FC6"/>
    <w:rsid w:val="00992FD9"/>
    <w:rsid w:val="0099333F"/>
    <w:rsid w:val="00993467"/>
    <w:rsid w:val="0099352F"/>
    <w:rsid w:val="00993917"/>
    <w:rsid w:val="00993980"/>
    <w:rsid w:val="00993982"/>
    <w:rsid w:val="00993A34"/>
    <w:rsid w:val="00993ACF"/>
    <w:rsid w:val="00993D64"/>
    <w:rsid w:val="009942B6"/>
    <w:rsid w:val="00994428"/>
    <w:rsid w:val="009946D2"/>
    <w:rsid w:val="00994B4F"/>
    <w:rsid w:val="00994B65"/>
    <w:rsid w:val="00994FA9"/>
    <w:rsid w:val="00995140"/>
    <w:rsid w:val="00995155"/>
    <w:rsid w:val="009952C1"/>
    <w:rsid w:val="009952CB"/>
    <w:rsid w:val="00995367"/>
    <w:rsid w:val="0099539D"/>
    <w:rsid w:val="00995495"/>
    <w:rsid w:val="009954F9"/>
    <w:rsid w:val="00995557"/>
    <w:rsid w:val="009955AC"/>
    <w:rsid w:val="00995684"/>
    <w:rsid w:val="00995748"/>
    <w:rsid w:val="0099586F"/>
    <w:rsid w:val="00995939"/>
    <w:rsid w:val="00995AC9"/>
    <w:rsid w:val="00995D53"/>
    <w:rsid w:val="00995E93"/>
    <w:rsid w:val="00995EF6"/>
    <w:rsid w:val="00995FCF"/>
    <w:rsid w:val="00995FF4"/>
    <w:rsid w:val="00995FF7"/>
    <w:rsid w:val="0099600B"/>
    <w:rsid w:val="009962F8"/>
    <w:rsid w:val="00996410"/>
    <w:rsid w:val="0099659E"/>
    <w:rsid w:val="009966C1"/>
    <w:rsid w:val="009967CD"/>
    <w:rsid w:val="009967E2"/>
    <w:rsid w:val="0099690C"/>
    <w:rsid w:val="00996973"/>
    <w:rsid w:val="009969E4"/>
    <w:rsid w:val="00996A44"/>
    <w:rsid w:val="00996A73"/>
    <w:rsid w:val="00996AB0"/>
    <w:rsid w:val="00996E70"/>
    <w:rsid w:val="00996EED"/>
    <w:rsid w:val="00996F7F"/>
    <w:rsid w:val="00996FB2"/>
    <w:rsid w:val="00997059"/>
    <w:rsid w:val="0099711E"/>
    <w:rsid w:val="00997123"/>
    <w:rsid w:val="009973A6"/>
    <w:rsid w:val="0099753A"/>
    <w:rsid w:val="00997546"/>
    <w:rsid w:val="0099754E"/>
    <w:rsid w:val="009978AF"/>
    <w:rsid w:val="009979BA"/>
    <w:rsid w:val="00997A33"/>
    <w:rsid w:val="00997BDB"/>
    <w:rsid w:val="00997D27"/>
    <w:rsid w:val="009A004F"/>
    <w:rsid w:val="009A0062"/>
    <w:rsid w:val="009A0457"/>
    <w:rsid w:val="009A0619"/>
    <w:rsid w:val="009A073A"/>
    <w:rsid w:val="009A0765"/>
    <w:rsid w:val="009A0AD5"/>
    <w:rsid w:val="009A0C6F"/>
    <w:rsid w:val="009A0D4F"/>
    <w:rsid w:val="009A0D7E"/>
    <w:rsid w:val="009A0F0E"/>
    <w:rsid w:val="009A10C5"/>
    <w:rsid w:val="009A114A"/>
    <w:rsid w:val="009A1210"/>
    <w:rsid w:val="009A1214"/>
    <w:rsid w:val="009A1251"/>
    <w:rsid w:val="009A15C0"/>
    <w:rsid w:val="009A1673"/>
    <w:rsid w:val="009A1822"/>
    <w:rsid w:val="009A18B6"/>
    <w:rsid w:val="009A18EF"/>
    <w:rsid w:val="009A18F4"/>
    <w:rsid w:val="009A1A54"/>
    <w:rsid w:val="009A1AC0"/>
    <w:rsid w:val="009A1B43"/>
    <w:rsid w:val="009A1B57"/>
    <w:rsid w:val="009A1C6E"/>
    <w:rsid w:val="009A1D76"/>
    <w:rsid w:val="009A1DBE"/>
    <w:rsid w:val="009A1F2F"/>
    <w:rsid w:val="009A1F64"/>
    <w:rsid w:val="009A1FAE"/>
    <w:rsid w:val="009A1FF1"/>
    <w:rsid w:val="009A205D"/>
    <w:rsid w:val="009A2219"/>
    <w:rsid w:val="009A2248"/>
    <w:rsid w:val="009A23E8"/>
    <w:rsid w:val="009A2407"/>
    <w:rsid w:val="009A2458"/>
    <w:rsid w:val="009A2503"/>
    <w:rsid w:val="009A27F6"/>
    <w:rsid w:val="009A28E1"/>
    <w:rsid w:val="009A2960"/>
    <w:rsid w:val="009A2A01"/>
    <w:rsid w:val="009A2A4E"/>
    <w:rsid w:val="009A2B22"/>
    <w:rsid w:val="009A2BAC"/>
    <w:rsid w:val="009A2C00"/>
    <w:rsid w:val="009A2C1E"/>
    <w:rsid w:val="009A2C6D"/>
    <w:rsid w:val="009A2DD2"/>
    <w:rsid w:val="009A2EF6"/>
    <w:rsid w:val="009A2F9E"/>
    <w:rsid w:val="009A313C"/>
    <w:rsid w:val="009A321D"/>
    <w:rsid w:val="009A327F"/>
    <w:rsid w:val="009A336D"/>
    <w:rsid w:val="009A33AB"/>
    <w:rsid w:val="009A3570"/>
    <w:rsid w:val="009A3643"/>
    <w:rsid w:val="009A3750"/>
    <w:rsid w:val="009A3A2D"/>
    <w:rsid w:val="009A3A5B"/>
    <w:rsid w:val="009A3ADF"/>
    <w:rsid w:val="009A3DE3"/>
    <w:rsid w:val="009A3E44"/>
    <w:rsid w:val="009A3EA4"/>
    <w:rsid w:val="009A3F8D"/>
    <w:rsid w:val="009A3FAB"/>
    <w:rsid w:val="009A4098"/>
    <w:rsid w:val="009A41B6"/>
    <w:rsid w:val="009A41FA"/>
    <w:rsid w:val="009A4424"/>
    <w:rsid w:val="009A46EF"/>
    <w:rsid w:val="009A46F2"/>
    <w:rsid w:val="009A4733"/>
    <w:rsid w:val="009A4747"/>
    <w:rsid w:val="009A47AE"/>
    <w:rsid w:val="009A4915"/>
    <w:rsid w:val="009A49AF"/>
    <w:rsid w:val="009A49FB"/>
    <w:rsid w:val="009A4A32"/>
    <w:rsid w:val="009A4ADB"/>
    <w:rsid w:val="009A4B01"/>
    <w:rsid w:val="009A4B4A"/>
    <w:rsid w:val="009A4BFB"/>
    <w:rsid w:val="009A4CD8"/>
    <w:rsid w:val="009A4E31"/>
    <w:rsid w:val="009A4EE8"/>
    <w:rsid w:val="009A4FE2"/>
    <w:rsid w:val="009A5187"/>
    <w:rsid w:val="009A51FF"/>
    <w:rsid w:val="009A5376"/>
    <w:rsid w:val="009A53D0"/>
    <w:rsid w:val="009A54A0"/>
    <w:rsid w:val="009A5554"/>
    <w:rsid w:val="009A5576"/>
    <w:rsid w:val="009A55D2"/>
    <w:rsid w:val="009A5727"/>
    <w:rsid w:val="009A5872"/>
    <w:rsid w:val="009A596E"/>
    <w:rsid w:val="009A5A40"/>
    <w:rsid w:val="009A5A9D"/>
    <w:rsid w:val="009A5B02"/>
    <w:rsid w:val="009A5B3B"/>
    <w:rsid w:val="009A5B8D"/>
    <w:rsid w:val="009A5D50"/>
    <w:rsid w:val="009A5D5A"/>
    <w:rsid w:val="009A5D65"/>
    <w:rsid w:val="009A5F73"/>
    <w:rsid w:val="009A6348"/>
    <w:rsid w:val="009A63E4"/>
    <w:rsid w:val="009A65F7"/>
    <w:rsid w:val="009A6699"/>
    <w:rsid w:val="009A67B3"/>
    <w:rsid w:val="009A68A6"/>
    <w:rsid w:val="009A6D38"/>
    <w:rsid w:val="009A6D5D"/>
    <w:rsid w:val="009A7277"/>
    <w:rsid w:val="009A728D"/>
    <w:rsid w:val="009A741B"/>
    <w:rsid w:val="009A758D"/>
    <w:rsid w:val="009A75FB"/>
    <w:rsid w:val="009A77B9"/>
    <w:rsid w:val="009A784A"/>
    <w:rsid w:val="009A7AAB"/>
    <w:rsid w:val="009A7B55"/>
    <w:rsid w:val="009A7C59"/>
    <w:rsid w:val="009A7D0B"/>
    <w:rsid w:val="009A7FFE"/>
    <w:rsid w:val="009B0391"/>
    <w:rsid w:val="009B045C"/>
    <w:rsid w:val="009B0656"/>
    <w:rsid w:val="009B0680"/>
    <w:rsid w:val="009B07F7"/>
    <w:rsid w:val="009B0B38"/>
    <w:rsid w:val="009B0BD7"/>
    <w:rsid w:val="009B0D3D"/>
    <w:rsid w:val="009B0E41"/>
    <w:rsid w:val="009B0EAC"/>
    <w:rsid w:val="009B0FA4"/>
    <w:rsid w:val="009B102D"/>
    <w:rsid w:val="009B1082"/>
    <w:rsid w:val="009B10C1"/>
    <w:rsid w:val="009B1191"/>
    <w:rsid w:val="009B1415"/>
    <w:rsid w:val="009B1507"/>
    <w:rsid w:val="009B15B1"/>
    <w:rsid w:val="009B15D4"/>
    <w:rsid w:val="009B1685"/>
    <w:rsid w:val="009B188F"/>
    <w:rsid w:val="009B18AD"/>
    <w:rsid w:val="009B18D8"/>
    <w:rsid w:val="009B194C"/>
    <w:rsid w:val="009B1AD5"/>
    <w:rsid w:val="009B1B17"/>
    <w:rsid w:val="009B1BEF"/>
    <w:rsid w:val="009B1EC2"/>
    <w:rsid w:val="009B1F10"/>
    <w:rsid w:val="009B2137"/>
    <w:rsid w:val="009B225B"/>
    <w:rsid w:val="009B22BB"/>
    <w:rsid w:val="009B237A"/>
    <w:rsid w:val="009B2484"/>
    <w:rsid w:val="009B25F5"/>
    <w:rsid w:val="009B26A5"/>
    <w:rsid w:val="009B2775"/>
    <w:rsid w:val="009B28CA"/>
    <w:rsid w:val="009B28ED"/>
    <w:rsid w:val="009B2992"/>
    <w:rsid w:val="009B2AA1"/>
    <w:rsid w:val="009B2B02"/>
    <w:rsid w:val="009B2B6C"/>
    <w:rsid w:val="009B2DF0"/>
    <w:rsid w:val="009B303E"/>
    <w:rsid w:val="009B3083"/>
    <w:rsid w:val="009B321B"/>
    <w:rsid w:val="009B325E"/>
    <w:rsid w:val="009B3597"/>
    <w:rsid w:val="009B37C8"/>
    <w:rsid w:val="009B3A20"/>
    <w:rsid w:val="009B3A5B"/>
    <w:rsid w:val="009B3A88"/>
    <w:rsid w:val="009B3ACE"/>
    <w:rsid w:val="009B3B86"/>
    <w:rsid w:val="009B3DA0"/>
    <w:rsid w:val="009B3DAF"/>
    <w:rsid w:val="009B3DCC"/>
    <w:rsid w:val="009B3E06"/>
    <w:rsid w:val="009B3E17"/>
    <w:rsid w:val="009B3E69"/>
    <w:rsid w:val="009B4064"/>
    <w:rsid w:val="009B41C3"/>
    <w:rsid w:val="009B41C8"/>
    <w:rsid w:val="009B421C"/>
    <w:rsid w:val="009B435A"/>
    <w:rsid w:val="009B4468"/>
    <w:rsid w:val="009B446E"/>
    <w:rsid w:val="009B449C"/>
    <w:rsid w:val="009B4604"/>
    <w:rsid w:val="009B4958"/>
    <w:rsid w:val="009B4AF2"/>
    <w:rsid w:val="009B4C3B"/>
    <w:rsid w:val="009B4FEF"/>
    <w:rsid w:val="009B52A2"/>
    <w:rsid w:val="009B52F6"/>
    <w:rsid w:val="009B5558"/>
    <w:rsid w:val="009B5BE7"/>
    <w:rsid w:val="009B5DCE"/>
    <w:rsid w:val="009B5E5F"/>
    <w:rsid w:val="009B5F48"/>
    <w:rsid w:val="009B5FAA"/>
    <w:rsid w:val="009B5FDB"/>
    <w:rsid w:val="009B619F"/>
    <w:rsid w:val="009B628C"/>
    <w:rsid w:val="009B63FC"/>
    <w:rsid w:val="009B6473"/>
    <w:rsid w:val="009B65A8"/>
    <w:rsid w:val="009B665E"/>
    <w:rsid w:val="009B666C"/>
    <w:rsid w:val="009B66FB"/>
    <w:rsid w:val="009B683F"/>
    <w:rsid w:val="009B68B5"/>
    <w:rsid w:val="009B69AE"/>
    <w:rsid w:val="009B69E4"/>
    <w:rsid w:val="009B69FF"/>
    <w:rsid w:val="009B6ADD"/>
    <w:rsid w:val="009B6D33"/>
    <w:rsid w:val="009B6D9B"/>
    <w:rsid w:val="009B7152"/>
    <w:rsid w:val="009B71D4"/>
    <w:rsid w:val="009B731E"/>
    <w:rsid w:val="009B73DA"/>
    <w:rsid w:val="009B756A"/>
    <w:rsid w:val="009B75B7"/>
    <w:rsid w:val="009B75CF"/>
    <w:rsid w:val="009B75E7"/>
    <w:rsid w:val="009B76F0"/>
    <w:rsid w:val="009B7A25"/>
    <w:rsid w:val="009B7A8B"/>
    <w:rsid w:val="009B7B24"/>
    <w:rsid w:val="009B7B53"/>
    <w:rsid w:val="009B7CF9"/>
    <w:rsid w:val="009B7E52"/>
    <w:rsid w:val="009C00E9"/>
    <w:rsid w:val="009C027D"/>
    <w:rsid w:val="009C0346"/>
    <w:rsid w:val="009C0466"/>
    <w:rsid w:val="009C0633"/>
    <w:rsid w:val="009C078F"/>
    <w:rsid w:val="009C07E1"/>
    <w:rsid w:val="009C0862"/>
    <w:rsid w:val="009C0968"/>
    <w:rsid w:val="009C0998"/>
    <w:rsid w:val="009C0A90"/>
    <w:rsid w:val="009C0AFB"/>
    <w:rsid w:val="009C0AFF"/>
    <w:rsid w:val="009C0C9F"/>
    <w:rsid w:val="009C0E22"/>
    <w:rsid w:val="009C0FDB"/>
    <w:rsid w:val="009C1036"/>
    <w:rsid w:val="009C1137"/>
    <w:rsid w:val="009C1157"/>
    <w:rsid w:val="009C11CC"/>
    <w:rsid w:val="009C1247"/>
    <w:rsid w:val="009C1256"/>
    <w:rsid w:val="009C1328"/>
    <w:rsid w:val="009C133B"/>
    <w:rsid w:val="009C159E"/>
    <w:rsid w:val="009C15F0"/>
    <w:rsid w:val="009C1723"/>
    <w:rsid w:val="009C1875"/>
    <w:rsid w:val="009C187A"/>
    <w:rsid w:val="009C197F"/>
    <w:rsid w:val="009C1999"/>
    <w:rsid w:val="009C1BB6"/>
    <w:rsid w:val="009C1CDB"/>
    <w:rsid w:val="009C1D9E"/>
    <w:rsid w:val="009C1E5A"/>
    <w:rsid w:val="009C1E69"/>
    <w:rsid w:val="009C1E89"/>
    <w:rsid w:val="009C1EA7"/>
    <w:rsid w:val="009C1F10"/>
    <w:rsid w:val="009C1F79"/>
    <w:rsid w:val="009C1F83"/>
    <w:rsid w:val="009C1FE7"/>
    <w:rsid w:val="009C20AC"/>
    <w:rsid w:val="009C2147"/>
    <w:rsid w:val="009C21A0"/>
    <w:rsid w:val="009C2257"/>
    <w:rsid w:val="009C251C"/>
    <w:rsid w:val="009C259B"/>
    <w:rsid w:val="009C2642"/>
    <w:rsid w:val="009C26F7"/>
    <w:rsid w:val="009C2817"/>
    <w:rsid w:val="009C2F4C"/>
    <w:rsid w:val="009C306A"/>
    <w:rsid w:val="009C30A4"/>
    <w:rsid w:val="009C322F"/>
    <w:rsid w:val="009C32C5"/>
    <w:rsid w:val="009C32C6"/>
    <w:rsid w:val="009C337D"/>
    <w:rsid w:val="009C340A"/>
    <w:rsid w:val="009C3437"/>
    <w:rsid w:val="009C377A"/>
    <w:rsid w:val="009C393F"/>
    <w:rsid w:val="009C399F"/>
    <w:rsid w:val="009C39D1"/>
    <w:rsid w:val="009C3B6D"/>
    <w:rsid w:val="009C3B7F"/>
    <w:rsid w:val="009C3C46"/>
    <w:rsid w:val="009C3D1F"/>
    <w:rsid w:val="009C3E50"/>
    <w:rsid w:val="009C3ED6"/>
    <w:rsid w:val="009C3F66"/>
    <w:rsid w:val="009C401D"/>
    <w:rsid w:val="009C4065"/>
    <w:rsid w:val="009C409E"/>
    <w:rsid w:val="009C4252"/>
    <w:rsid w:val="009C439B"/>
    <w:rsid w:val="009C447D"/>
    <w:rsid w:val="009C466E"/>
    <w:rsid w:val="009C470D"/>
    <w:rsid w:val="009C4735"/>
    <w:rsid w:val="009C47FC"/>
    <w:rsid w:val="009C480B"/>
    <w:rsid w:val="009C48F5"/>
    <w:rsid w:val="009C4ACE"/>
    <w:rsid w:val="009C4B3A"/>
    <w:rsid w:val="009C4BE6"/>
    <w:rsid w:val="009C4C8E"/>
    <w:rsid w:val="009C4CBD"/>
    <w:rsid w:val="009C4CC0"/>
    <w:rsid w:val="009C4FCA"/>
    <w:rsid w:val="009C5074"/>
    <w:rsid w:val="009C508E"/>
    <w:rsid w:val="009C50AF"/>
    <w:rsid w:val="009C50E6"/>
    <w:rsid w:val="009C5181"/>
    <w:rsid w:val="009C53C3"/>
    <w:rsid w:val="009C54A6"/>
    <w:rsid w:val="009C5517"/>
    <w:rsid w:val="009C555B"/>
    <w:rsid w:val="009C55DE"/>
    <w:rsid w:val="009C56A3"/>
    <w:rsid w:val="009C57B8"/>
    <w:rsid w:val="009C5845"/>
    <w:rsid w:val="009C587A"/>
    <w:rsid w:val="009C59BA"/>
    <w:rsid w:val="009C5C23"/>
    <w:rsid w:val="009C5D18"/>
    <w:rsid w:val="009C5D88"/>
    <w:rsid w:val="009C5E6B"/>
    <w:rsid w:val="009C5FAB"/>
    <w:rsid w:val="009C5FEA"/>
    <w:rsid w:val="009C6120"/>
    <w:rsid w:val="009C6160"/>
    <w:rsid w:val="009C6195"/>
    <w:rsid w:val="009C620C"/>
    <w:rsid w:val="009C6265"/>
    <w:rsid w:val="009C672A"/>
    <w:rsid w:val="009C6940"/>
    <w:rsid w:val="009C6ABF"/>
    <w:rsid w:val="009C6DAB"/>
    <w:rsid w:val="009C6DE3"/>
    <w:rsid w:val="009C7202"/>
    <w:rsid w:val="009C7222"/>
    <w:rsid w:val="009C726B"/>
    <w:rsid w:val="009C72E6"/>
    <w:rsid w:val="009C738D"/>
    <w:rsid w:val="009C74C3"/>
    <w:rsid w:val="009C752A"/>
    <w:rsid w:val="009C7629"/>
    <w:rsid w:val="009C76A0"/>
    <w:rsid w:val="009C7997"/>
    <w:rsid w:val="009C7A6C"/>
    <w:rsid w:val="009C7AE4"/>
    <w:rsid w:val="009C7C06"/>
    <w:rsid w:val="009C7C0D"/>
    <w:rsid w:val="009C7C47"/>
    <w:rsid w:val="009C7CF8"/>
    <w:rsid w:val="009C7D4C"/>
    <w:rsid w:val="009C7D65"/>
    <w:rsid w:val="009C7E91"/>
    <w:rsid w:val="009C7F7C"/>
    <w:rsid w:val="009D018C"/>
    <w:rsid w:val="009D0236"/>
    <w:rsid w:val="009D023D"/>
    <w:rsid w:val="009D0296"/>
    <w:rsid w:val="009D04E4"/>
    <w:rsid w:val="009D056E"/>
    <w:rsid w:val="009D0624"/>
    <w:rsid w:val="009D070E"/>
    <w:rsid w:val="009D075E"/>
    <w:rsid w:val="009D0AF3"/>
    <w:rsid w:val="009D0AF4"/>
    <w:rsid w:val="009D0C28"/>
    <w:rsid w:val="009D0D70"/>
    <w:rsid w:val="009D0F5F"/>
    <w:rsid w:val="009D125F"/>
    <w:rsid w:val="009D1344"/>
    <w:rsid w:val="009D1485"/>
    <w:rsid w:val="009D15EC"/>
    <w:rsid w:val="009D1621"/>
    <w:rsid w:val="009D162E"/>
    <w:rsid w:val="009D16C3"/>
    <w:rsid w:val="009D1754"/>
    <w:rsid w:val="009D17F2"/>
    <w:rsid w:val="009D180E"/>
    <w:rsid w:val="009D1861"/>
    <w:rsid w:val="009D18A8"/>
    <w:rsid w:val="009D19F0"/>
    <w:rsid w:val="009D1A9B"/>
    <w:rsid w:val="009D1AB8"/>
    <w:rsid w:val="009D1FAD"/>
    <w:rsid w:val="009D2039"/>
    <w:rsid w:val="009D209C"/>
    <w:rsid w:val="009D21D0"/>
    <w:rsid w:val="009D2242"/>
    <w:rsid w:val="009D2344"/>
    <w:rsid w:val="009D23BC"/>
    <w:rsid w:val="009D240E"/>
    <w:rsid w:val="009D254E"/>
    <w:rsid w:val="009D256E"/>
    <w:rsid w:val="009D282B"/>
    <w:rsid w:val="009D2842"/>
    <w:rsid w:val="009D2889"/>
    <w:rsid w:val="009D2A5A"/>
    <w:rsid w:val="009D2AD0"/>
    <w:rsid w:val="009D2BF3"/>
    <w:rsid w:val="009D2BFE"/>
    <w:rsid w:val="009D2D66"/>
    <w:rsid w:val="009D2E8E"/>
    <w:rsid w:val="009D2F58"/>
    <w:rsid w:val="009D30B8"/>
    <w:rsid w:val="009D30EC"/>
    <w:rsid w:val="009D3291"/>
    <w:rsid w:val="009D330E"/>
    <w:rsid w:val="009D336D"/>
    <w:rsid w:val="009D344C"/>
    <w:rsid w:val="009D349C"/>
    <w:rsid w:val="009D360B"/>
    <w:rsid w:val="009D363F"/>
    <w:rsid w:val="009D3649"/>
    <w:rsid w:val="009D3684"/>
    <w:rsid w:val="009D3711"/>
    <w:rsid w:val="009D3774"/>
    <w:rsid w:val="009D385E"/>
    <w:rsid w:val="009D3953"/>
    <w:rsid w:val="009D3984"/>
    <w:rsid w:val="009D39A4"/>
    <w:rsid w:val="009D3CB0"/>
    <w:rsid w:val="009D3D32"/>
    <w:rsid w:val="009D3DB7"/>
    <w:rsid w:val="009D3DC8"/>
    <w:rsid w:val="009D4256"/>
    <w:rsid w:val="009D4291"/>
    <w:rsid w:val="009D42A2"/>
    <w:rsid w:val="009D42CE"/>
    <w:rsid w:val="009D42E5"/>
    <w:rsid w:val="009D4300"/>
    <w:rsid w:val="009D492F"/>
    <w:rsid w:val="009D4A1F"/>
    <w:rsid w:val="009D4B78"/>
    <w:rsid w:val="009D4C0D"/>
    <w:rsid w:val="009D4D4D"/>
    <w:rsid w:val="009D4EFF"/>
    <w:rsid w:val="009D51E5"/>
    <w:rsid w:val="009D5382"/>
    <w:rsid w:val="009D5428"/>
    <w:rsid w:val="009D545A"/>
    <w:rsid w:val="009D56A9"/>
    <w:rsid w:val="009D571F"/>
    <w:rsid w:val="009D5C6D"/>
    <w:rsid w:val="009D5C9A"/>
    <w:rsid w:val="009D5D92"/>
    <w:rsid w:val="009D5ED7"/>
    <w:rsid w:val="009D5EE5"/>
    <w:rsid w:val="009D5F31"/>
    <w:rsid w:val="009D6017"/>
    <w:rsid w:val="009D6090"/>
    <w:rsid w:val="009D610C"/>
    <w:rsid w:val="009D61D6"/>
    <w:rsid w:val="009D61E7"/>
    <w:rsid w:val="009D6254"/>
    <w:rsid w:val="009D6429"/>
    <w:rsid w:val="009D6639"/>
    <w:rsid w:val="009D6826"/>
    <w:rsid w:val="009D6884"/>
    <w:rsid w:val="009D69B1"/>
    <w:rsid w:val="009D6A8A"/>
    <w:rsid w:val="009D6BD2"/>
    <w:rsid w:val="009D6D50"/>
    <w:rsid w:val="009D6D6A"/>
    <w:rsid w:val="009D6E4A"/>
    <w:rsid w:val="009D709C"/>
    <w:rsid w:val="009D7150"/>
    <w:rsid w:val="009D71E7"/>
    <w:rsid w:val="009D7848"/>
    <w:rsid w:val="009D7A75"/>
    <w:rsid w:val="009D7A8C"/>
    <w:rsid w:val="009D7CEB"/>
    <w:rsid w:val="009D7D76"/>
    <w:rsid w:val="009D7D97"/>
    <w:rsid w:val="009E021F"/>
    <w:rsid w:val="009E024F"/>
    <w:rsid w:val="009E0395"/>
    <w:rsid w:val="009E08FA"/>
    <w:rsid w:val="009E09B5"/>
    <w:rsid w:val="009E0AEF"/>
    <w:rsid w:val="009E0BBD"/>
    <w:rsid w:val="009E0D8A"/>
    <w:rsid w:val="009E0F8C"/>
    <w:rsid w:val="009E0FD8"/>
    <w:rsid w:val="009E11EC"/>
    <w:rsid w:val="009E1225"/>
    <w:rsid w:val="009E12DC"/>
    <w:rsid w:val="009E1342"/>
    <w:rsid w:val="009E14EC"/>
    <w:rsid w:val="009E1672"/>
    <w:rsid w:val="009E169B"/>
    <w:rsid w:val="009E17D3"/>
    <w:rsid w:val="009E1858"/>
    <w:rsid w:val="009E1D88"/>
    <w:rsid w:val="009E1E29"/>
    <w:rsid w:val="009E1FB6"/>
    <w:rsid w:val="009E2090"/>
    <w:rsid w:val="009E2319"/>
    <w:rsid w:val="009E235B"/>
    <w:rsid w:val="009E2389"/>
    <w:rsid w:val="009E2620"/>
    <w:rsid w:val="009E2756"/>
    <w:rsid w:val="009E279A"/>
    <w:rsid w:val="009E2926"/>
    <w:rsid w:val="009E294D"/>
    <w:rsid w:val="009E29E6"/>
    <w:rsid w:val="009E2A67"/>
    <w:rsid w:val="009E2AEE"/>
    <w:rsid w:val="009E2B82"/>
    <w:rsid w:val="009E2CA3"/>
    <w:rsid w:val="009E2CBA"/>
    <w:rsid w:val="009E2E10"/>
    <w:rsid w:val="009E2E59"/>
    <w:rsid w:val="009E2F96"/>
    <w:rsid w:val="009E2F99"/>
    <w:rsid w:val="009E32B9"/>
    <w:rsid w:val="009E331C"/>
    <w:rsid w:val="009E363F"/>
    <w:rsid w:val="009E3648"/>
    <w:rsid w:val="009E372C"/>
    <w:rsid w:val="009E3880"/>
    <w:rsid w:val="009E38EA"/>
    <w:rsid w:val="009E392B"/>
    <w:rsid w:val="009E39C4"/>
    <w:rsid w:val="009E3C08"/>
    <w:rsid w:val="009E3F31"/>
    <w:rsid w:val="009E3F72"/>
    <w:rsid w:val="009E4037"/>
    <w:rsid w:val="009E4211"/>
    <w:rsid w:val="009E449D"/>
    <w:rsid w:val="009E4553"/>
    <w:rsid w:val="009E45CD"/>
    <w:rsid w:val="009E4621"/>
    <w:rsid w:val="009E481F"/>
    <w:rsid w:val="009E4B36"/>
    <w:rsid w:val="009E4D77"/>
    <w:rsid w:val="009E4E8C"/>
    <w:rsid w:val="009E4EBB"/>
    <w:rsid w:val="009E4F21"/>
    <w:rsid w:val="009E5008"/>
    <w:rsid w:val="009E524F"/>
    <w:rsid w:val="009E535F"/>
    <w:rsid w:val="009E5447"/>
    <w:rsid w:val="009E56C8"/>
    <w:rsid w:val="009E5747"/>
    <w:rsid w:val="009E5891"/>
    <w:rsid w:val="009E5981"/>
    <w:rsid w:val="009E5BB7"/>
    <w:rsid w:val="009E5C17"/>
    <w:rsid w:val="009E5D5F"/>
    <w:rsid w:val="009E5EB1"/>
    <w:rsid w:val="009E61A2"/>
    <w:rsid w:val="009E61CE"/>
    <w:rsid w:val="009E624E"/>
    <w:rsid w:val="009E63AD"/>
    <w:rsid w:val="009E6555"/>
    <w:rsid w:val="009E65B9"/>
    <w:rsid w:val="009E66B2"/>
    <w:rsid w:val="009E6944"/>
    <w:rsid w:val="009E6A22"/>
    <w:rsid w:val="009E6A3F"/>
    <w:rsid w:val="009E6B01"/>
    <w:rsid w:val="009E6C1E"/>
    <w:rsid w:val="009E6DB6"/>
    <w:rsid w:val="009E6DD4"/>
    <w:rsid w:val="009E6ECF"/>
    <w:rsid w:val="009E6F20"/>
    <w:rsid w:val="009E7167"/>
    <w:rsid w:val="009E72A7"/>
    <w:rsid w:val="009E743F"/>
    <w:rsid w:val="009E74CE"/>
    <w:rsid w:val="009E75DE"/>
    <w:rsid w:val="009E7726"/>
    <w:rsid w:val="009E77E8"/>
    <w:rsid w:val="009E7876"/>
    <w:rsid w:val="009E7A81"/>
    <w:rsid w:val="009F00A4"/>
    <w:rsid w:val="009F0130"/>
    <w:rsid w:val="009F0161"/>
    <w:rsid w:val="009F02F3"/>
    <w:rsid w:val="009F04A1"/>
    <w:rsid w:val="009F052A"/>
    <w:rsid w:val="009F05FA"/>
    <w:rsid w:val="009F0694"/>
    <w:rsid w:val="009F06B3"/>
    <w:rsid w:val="009F09C4"/>
    <w:rsid w:val="009F0BCA"/>
    <w:rsid w:val="009F0C03"/>
    <w:rsid w:val="009F0EE4"/>
    <w:rsid w:val="009F0F69"/>
    <w:rsid w:val="009F105F"/>
    <w:rsid w:val="009F12C9"/>
    <w:rsid w:val="009F12FF"/>
    <w:rsid w:val="009F1336"/>
    <w:rsid w:val="009F145C"/>
    <w:rsid w:val="009F153F"/>
    <w:rsid w:val="009F184C"/>
    <w:rsid w:val="009F1A75"/>
    <w:rsid w:val="009F1BD8"/>
    <w:rsid w:val="009F1C36"/>
    <w:rsid w:val="009F1C77"/>
    <w:rsid w:val="009F1E71"/>
    <w:rsid w:val="009F2093"/>
    <w:rsid w:val="009F20DD"/>
    <w:rsid w:val="009F218A"/>
    <w:rsid w:val="009F235B"/>
    <w:rsid w:val="009F239D"/>
    <w:rsid w:val="009F247B"/>
    <w:rsid w:val="009F24A4"/>
    <w:rsid w:val="009F25F0"/>
    <w:rsid w:val="009F2902"/>
    <w:rsid w:val="009F2BC8"/>
    <w:rsid w:val="009F2E20"/>
    <w:rsid w:val="009F2E79"/>
    <w:rsid w:val="009F2F05"/>
    <w:rsid w:val="009F2F08"/>
    <w:rsid w:val="009F2F77"/>
    <w:rsid w:val="009F306C"/>
    <w:rsid w:val="009F3214"/>
    <w:rsid w:val="009F328F"/>
    <w:rsid w:val="009F32AD"/>
    <w:rsid w:val="009F3336"/>
    <w:rsid w:val="009F38DC"/>
    <w:rsid w:val="009F3969"/>
    <w:rsid w:val="009F3A2B"/>
    <w:rsid w:val="009F3D3C"/>
    <w:rsid w:val="009F3E38"/>
    <w:rsid w:val="009F3F44"/>
    <w:rsid w:val="009F403F"/>
    <w:rsid w:val="009F405C"/>
    <w:rsid w:val="009F41E8"/>
    <w:rsid w:val="009F4280"/>
    <w:rsid w:val="009F42A4"/>
    <w:rsid w:val="009F42E6"/>
    <w:rsid w:val="009F4474"/>
    <w:rsid w:val="009F45F9"/>
    <w:rsid w:val="009F4753"/>
    <w:rsid w:val="009F48EC"/>
    <w:rsid w:val="009F499E"/>
    <w:rsid w:val="009F4B7C"/>
    <w:rsid w:val="009F4B83"/>
    <w:rsid w:val="009F4CA4"/>
    <w:rsid w:val="009F4D4A"/>
    <w:rsid w:val="009F4D94"/>
    <w:rsid w:val="009F4DAC"/>
    <w:rsid w:val="009F4F50"/>
    <w:rsid w:val="009F5308"/>
    <w:rsid w:val="009F5518"/>
    <w:rsid w:val="009F552F"/>
    <w:rsid w:val="009F561C"/>
    <w:rsid w:val="009F57C6"/>
    <w:rsid w:val="009F5816"/>
    <w:rsid w:val="009F5827"/>
    <w:rsid w:val="009F595C"/>
    <w:rsid w:val="009F59E3"/>
    <w:rsid w:val="009F5DB2"/>
    <w:rsid w:val="009F5DB3"/>
    <w:rsid w:val="009F5E9F"/>
    <w:rsid w:val="009F5F0D"/>
    <w:rsid w:val="009F6029"/>
    <w:rsid w:val="009F61D9"/>
    <w:rsid w:val="009F6471"/>
    <w:rsid w:val="009F66CF"/>
    <w:rsid w:val="009F691D"/>
    <w:rsid w:val="009F6968"/>
    <w:rsid w:val="009F69E6"/>
    <w:rsid w:val="009F6A37"/>
    <w:rsid w:val="009F6BE6"/>
    <w:rsid w:val="009F6C34"/>
    <w:rsid w:val="009F6CA5"/>
    <w:rsid w:val="009F6CEA"/>
    <w:rsid w:val="009F6D67"/>
    <w:rsid w:val="009F6F75"/>
    <w:rsid w:val="009F70E0"/>
    <w:rsid w:val="009F70EB"/>
    <w:rsid w:val="009F7112"/>
    <w:rsid w:val="009F72C7"/>
    <w:rsid w:val="009F72E9"/>
    <w:rsid w:val="009F74CB"/>
    <w:rsid w:val="009F7569"/>
    <w:rsid w:val="009F75A4"/>
    <w:rsid w:val="009F77D6"/>
    <w:rsid w:val="009F77E2"/>
    <w:rsid w:val="009F7805"/>
    <w:rsid w:val="009F78B6"/>
    <w:rsid w:val="009F7967"/>
    <w:rsid w:val="009F79CA"/>
    <w:rsid w:val="009F79F2"/>
    <w:rsid w:val="009F7A03"/>
    <w:rsid w:val="009F7BD2"/>
    <w:rsid w:val="009F7E1E"/>
    <w:rsid w:val="009F7FA4"/>
    <w:rsid w:val="00A00055"/>
    <w:rsid w:val="00A001E4"/>
    <w:rsid w:val="00A0021F"/>
    <w:rsid w:val="00A002A1"/>
    <w:rsid w:val="00A0040B"/>
    <w:rsid w:val="00A006EE"/>
    <w:rsid w:val="00A00718"/>
    <w:rsid w:val="00A007C0"/>
    <w:rsid w:val="00A007EA"/>
    <w:rsid w:val="00A0093A"/>
    <w:rsid w:val="00A00AAD"/>
    <w:rsid w:val="00A00D8A"/>
    <w:rsid w:val="00A00ECF"/>
    <w:rsid w:val="00A00F0F"/>
    <w:rsid w:val="00A00FAE"/>
    <w:rsid w:val="00A01417"/>
    <w:rsid w:val="00A01432"/>
    <w:rsid w:val="00A0158F"/>
    <w:rsid w:val="00A01764"/>
    <w:rsid w:val="00A01825"/>
    <w:rsid w:val="00A01B8D"/>
    <w:rsid w:val="00A01BF0"/>
    <w:rsid w:val="00A01C04"/>
    <w:rsid w:val="00A01C92"/>
    <w:rsid w:val="00A01CA5"/>
    <w:rsid w:val="00A01CE6"/>
    <w:rsid w:val="00A01D7E"/>
    <w:rsid w:val="00A01DCF"/>
    <w:rsid w:val="00A01E2B"/>
    <w:rsid w:val="00A01F24"/>
    <w:rsid w:val="00A02016"/>
    <w:rsid w:val="00A0204E"/>
    <w:rsid w:val="00A021D6"/>
    <w:rsid w:val="00A021F8"/>
    <w:rsid w:val="00A02509"/>
    <w:rsid w:val="00A025E2"/>
    <w:rsid w:val="00A0262A"/>
    <w:rsid w:val="00A02676"/>
    <w:rsid w:val="00A029D1"/>
    <w:rsid w:val="00A029F4"/>
    <w:rsid w:val="00A029F6"/>
    <w:rsid w:val="00A02ADD"/>
    <w:rsid w:val="00A02AF8"/>
    <w:rsid w:val="00A02C22"/>
    <w:rsid w:val="00A02C3A"/>
    <w:rsid w:val="00A02DE1"/>
    <w:rsid w:val="00A02F88"/>
    <w:rsid w:val="00A030CD"/>
    <w:rsid w:val="00A0319B"/>
    <w:rsid w:val="00A0321C"/>
    <w:rsid w:val="00A0329B"/>
    <w:rsid w:val="00A033E7"/>
    <w:rsid w:val="00A03426"/>
    <w:rsid w:val="00A0343D"/>
    <w:rsid w:val="00A0346C"/>
    <w:rsid w:val="00A0355E"/>
    <w:rsid w:val="00A035DA"/>
    <w:rsid w:val="00A035FC"/>
    <w:rsid w:val="00A03617"/>
    <w:rsid w:val="00A038E4"/>
    <w:rsid w:val="00A03A10"/>
    <w:rsid w:val="00A03B2F"/>
    <w:rsid w:val="00A03BA6"/>
    <w:rsid w:val="00A03CC0"/>
    <w:rsid w:val="00A03E74"/>
    <w:rsid w:val="00A03E7C"/>
    <w:rsid w:val="00A03F30"/>
    <w:rsid w:val="00A03F97"/>
    <w:rsid w:val="00A03FAA"/>
    <w:rsid w:val="00A03FB9"/>
    <w:rsid w:val="00A0429D"/>
    <w:rsid w:val="00A04445"/>
    <w:rsid w:val="00A04571"/>
    <w:rsid w:val="00A04654"/>
    <w:rsid w:val="00A04679"/>
    <w:rsid w:val="00A046AC"/>
    <w:rsid w:val="00A04826"/>
    <w:rsid w:val="00A0482B"/>
    <w:rsid w:val="00A04A29"/>
    <w:rsid w:val="00A04B14"/>
    <w:rsid w:val="00A04B1E"/>
    <w:rsid w:val="00A04B9F"/>
    <w:rsid w:val="00A04F09"/>
    <w:rsid w:val="00A04FDE"/>
    <w:rsid w:val="00A0503E"/>
    <w:rsid w:val="00A050A3"/>
    <w:rsid w:val="00A0512B"/>
    <w:rsid w:val="00A05202"/>
    <w:rsid w:val="00A05378"/>
    <w:rsid w:val="00A0542C"/>
    <w:rsid w:val="00A05447"/>
    <w:rsid w:val="00A054BD"/>
    <w:rsid w:val="00A05660"/>
    <w:rsid w:val="00A057FA"/>
    <w:rsid w:val="00A058F1"/>
    <w:rsid w:val="00A0591D"/>
    <w:rsid w:val="00A05959"/>
    <w:rsid w:val="00A05A24"/>
    <w:rsid w:val="00A05A50"/>
    <w:rsid w:val="00A05ABD"/>
    <w:rsid w:val="00A05B5F"/>
    <w:rsid w:val="00A05BE4"/>
    <w:rsid w:val="00A05D8C"/>
    <w:rsid w:val="00A05E71"/>
    <w:rsid w:val="00A0612F"/>
    <w:rsid w:val="00A0613A"/>
    <w:rsid w:val="00A062E1"/>
    <w:rsid w:val="00A06376"/>
    <w:rsid w:val="00A067EA"/>
    <w:rsid w:val="00A06807"/>
    <w:rsid w:val="00A0684C"/>
    <w:rsid w:val="00A068B9"/>
    <w:rsid w:val="00A068E3"/>
    <w:rsid w:val="00A06979"/>
    <w:rsid w:val="00A06A35"/>
    <w:rsid w:val="00A06AC8"/>
    <w:rsid w:val="00A06AD0"/>
    <w:rsid w:val="00A06B03"/>
    <w:rsid w:val="00A06D13"/>
    <w:rsid w:val="00A06DA8"/>
    <w:rsid w:val="00A06E39"/>
    <w:rsid w:val="00A06E54"/>
    <w:rsid w:val="00A06F49"/>
    <w:rsid w:val="00A0760A"/>
    <w:rsid w:val="00A07827"/>
    <w:rsid w:val="00A078B4"/>
    <w:rsid w:val="00A07A59"/>
    <w:rsid w:val="00A07AAF"/>
    <w:rsid w:val="00A07B60"/>
    <w:rsid w:val="00A07CEE"/>
    <w:rsid w:val="00A07EEF"/>
    <w:rsid w:val="00A07FD8"/>
    <w:rsid w:val="00A07FDB"/>
    <w:rsid w:val="00A1012A"/>
    <w:rsid w:val="00A101F7"/>
    <w:rsid w:val="00A10246"/>
    <w:rsid w:val="00A102EE"/>
    <w:rsid w:val="00A10695"/>
    <w:rsid w:val="00A1073F"/>
    <w:rsid w:val="00A10854"/>
    <w:rsid w:val="00A108E5"/>
    <w:rsid w:val="00A10AEC"/>
    <w:rsid w:val="00A10B2D"/>
    <w:rsid w:val="00A10B73"/>
    <w:rsid w:val="00A10B75"/>
    <w:rsid w:val="00A110A5"/>
    <w:rsid w:val="00A11118"/>
    <w:rsid w:val="00A1112A"/>
    <w:rsid w:val="00A111CB"/>
    <w:rsid w:val="00A111F7"/>
    <w:rsid w:val="00A1123A"/>
    <w:rsid w:val="00A112A1"/>
    <w:rsid w:val="00A112ED"/>
    <w:rsid w:val="00A11302"/>
    <w:rsid w:val="00A1133F"/>
    <w:rsid w:val="00A11720"/>
    <w:rsid w:val="00A11790"/>
    <w:rsid w:val="00A1187B"/>
    <w:rsid w:val="00A11902"/>
    <w:rsid w:val="00A11A0A"/>
    <w:rsid w:val="00A11B40"/>
    <w:rsid w:val="00A11BB9"/>
    <w:rsid w:val="00A11C96"/>
    <w:rsid w:val="00A11D8B"/>
    <w:rsid w:val="00A11DEA"/>
    <w:rsid w:val="00A11E3D"/>
    <w:rsid w:val="00A1205F"/>
    <w:rsid w:val="00A12088"/>
    <w:rsid w:val="00A12181"/>
    <w:rsid w:val="00A12233"/>
    <w:rsid w:val="00A12289"/>
    <w:rsid w:val="00A1236B"/>
    <w:rsid w:val="00A1250E"/>
    <w:rsid w:val="00A12713"/>
    <w:rsid w:val="00A12B7B"/>
    <w:rsid w:val="00A13007"/>
    <w:rsid w:val="00A13038"/>
    <w:rsid w:val="00A130E5"/>
    <w:rsid w:val="00A13193"/>
    <w:rsid w:val="00A13272"/>
    <w:rsid w:val="00A13277"/>
    <w:rsid w:val="00A1369F"/>
    <w:rsid w:val="00A136C6"/>
    <w:rsid w:val="00A13760"/>
    <w:rsid w:val="00A138AB"/>
    <w:rsid w:val="00A139E3"/>
    <w:rsid w:val="00A13A8D"/>
    <w:rsid w:val="00A13A93"/>
    <w:rsid w:val="00A13C58"/>
    <w:rsid w:val="00A13CE8"/>
    <w:rsid w:val="00A13E2B"/>
    <w:rsid w:val="00A141C4"/>
    <w:rsid w:val="00A143DB"/>
    <w:rsid w:val="00A1442F"/>
    <w:rsid w:val="00A14552"/>
    <w:rsid w:val="00A14629"/>
    <w:rsid w:val="00A14636"/>
    <w:rsid w:val="00A14659"/>
    <w:rsid w:val="00A146DF"/>
    <w:rsid w:val="00A146F0"/>
    <w:rsid w:val="00A149F7"/>
    <w:rsid w:val="00A14A7C"/>
    <w:rsid w:val="00A14B33"/>
    <w:rsid w:val="00A14D99"/>
    <w:rsid w:val="00A152E0"/>
    <w:rsid w:val="00A1538D"/>
    <w:rsid w:val="00A1544F"/>
    <w:rsid w:val="00A15547"/>
    <w:rsid w:val="00A155FA"/>
    <w:rsid w:val="00A15772"/>
    <w:rsid w:val="00A157E5"/>
    <w:rsid w:val="00A15B7D"/>
    <w:rsid w:val="00A15D73"/>
    <w:rsid w:val="00A15EC6"/>
    <w:rsid w:val="00A15F37"/>
    <w:rsid w:val="00A1654F"/>
    <w:rsid w:val="00A1673E"/>
    <w:rsid w:val="00A16748"/>
    <w:rsid w:val="00A16777"/>
    <w:rsid w:val="00A16786"/>
    <w:rsid w:val="00A168BB"/>
    <w:rsid w:val="00A16E1F"/>
    <w:rsid w:val="00A16E2D"/>
    <w:rsid w:val="00A17111"/>
    <w:rsid w:val="00A171FB"/>
    <w:rsid w:val="00A172A5"/>
    <w:rsid w:val="00A17308"/>
    <w:rsid w:val="00A17397"/>
    <w:rsid w:val="00A17460"/>
    <w:rsid w:val="00A1755F"/>
    <w:rsid w:val="00A1775E"/>
    <w:rsid w:val="00A177A4"/>
    <w:rsid w:val="00A17842"/>
    <w:rsid w:val="00A17A0F"/>
    <w:rsid w:val="00A17A36"/>
    <w:rsid w:val="00A17A71"/>
    <w:rsid w:val="00A17C4B"/>
    <w:rsid w:val="00A17F9E"/>
    <w:rsid w:val="00A20071"/>
    <w:rsid w:val="00A20091"/>
    <w:rsid w:val="00A20155"/>
    <w:rsid w:val="00A2038B"/>
    <w:rsid w:val="00A2057B"/>
    <w:rsid w:val="00A2069A"/>
    <w:rsid w:val="00A207A4"/>
    <w:rsid w:val="00A207D9"/>
    <w:rsid w:val="00A208EA"/>
    <w:rsid w:val="00A209CF"/>
    <w:rsid w:val="00A20C04"/>
    <w:rsid w:val="00A20C97"/>
    <w:rsid w:val="00A20F4A"/>
    <w:rsid w:val="00A210F7"/>
    <w:rsid w:val="00A21230"/>
    <w:rsid w:val="00A21327"/>
    <w:rsid w:val="00A21482"/>
    <w:rsid w:val="00A21528"/>
    <w:rsid w:val="00A21654"/>
    <w:rsid w:val="00A216A5"/>
    <w:rsid w:val="00A217C6"/>
    <w:rsid w:val="00A219B2"/>
    <w:rsid w:val="00A219F4"/>
    <w:rsid w:val="00A219F8"/>
    <w:rsid w:val="00A21A83"/>
    <w:rsid w:val="00A21C11"/>
    <w:rsid w:val="00A21CFA"/>
    <w:rsid w:val="00A21E28"/>
    <w:rsid w:val="00A21E87"/>
    <w:rsid w:val="00A21F61"/>
    <w:rsid w:val="00A21FEA"/>
    <w:rsid w:val="00A220F3"/>
    <w:rsid w:val="00A221D2"/>
    <w:rsid w:val="00A222BF"/>
    <w:rsid w:val="00A222DC"/>
    <w:rsid w:val="00A22370"/>
    <w:rsid w:val="00A2240F"/>
    <w:rsid w:val="00A224B1"/>
    <w:rsid w:val="00A22546"/>
    <w:rsid w:val="00A22582"/>
    <w:rsid w:val="00A225B5"/>
    <w:rsid w:val="00A22653"/>
    <w:rsid w:val="00A22746"/>
    <w:rsid w:val="00A227A9"/>
    <w:rsid w:val="00A229AD"/>
    <w:rsid w:val="00A22D14"/>
    <w:rsid w:val="00A22D89"/>
    <w:rsid w:val="00A22F0F"/>
    <w:rsid w:val="00A22FAF"/>
    <w:rsid w:val="00A22FEA"/>
    <w:rsid w:val="00A23019"/>
    <w:rsid w:val="00A230E7"/>
    <w:rsid w:val="00A23288"/>
    <w:rsid w:val="00A233DB"/>
    <w:rsid w:val="00A235FF"/>
    <w:rsid w:val="00A236AA"/>
    <w:rsid w:val="00A237F9"/>
    <w:rsid w:val="00A239E9"/>
    <w:rsid w:val="00A23AF1"/>
    <w:rsid w:val="00A23B76"/>
    <w:rsid w:val="00A23BF9"/>
    <w:rsid w:val="00A23CC2"/>
    <w:rsid w:val="00A23D0A"/>
    <w:rsid w:val="00A23DB7"/>
    <w:rsid w:val="00A23E3B"/>
    <w:rsid w:val="00A23E4C"/>
    <w:rsid w:val="00A24055"/>
    <w:rsid w:val="00A243D9"/>
    <w:rsid w:val="00A24499"/>
    <w:rsid w:val="00A245A6"/>
    <w:rsid w:val="00A245E5"/>
    <w:rsid w:val="00A246BF"/>
    <w:rsid w:val="00A246D9"/>
    <w:rsid w:val="00A249FB"/>
    <w:rsid w:val="00A24A2A"/>
    <w:rsid w:val="00A24AA7"/>
    <w:rsid w:val="00A24B72"/>
    <w:rsid w:val="00A24CBE"/>
    <w:rsid w:val="00A24CEA"/>
    <w:rsid w:val="00A24E86"/>
    <w:rsid w:val="00A24ED7"/>
    <w:rsid w:val="00A24F5C"/>
    <w:rsid w:val="00A2547E"/>
    <w:rsid w:val="00A2550B"/>
    <w:rsid w:val="00A25523"/>
    <w:rsid w:val="00A2561B"/>
    <w:rsid w:val="00A25621"/>
    <w:rsid w:val="00A256E4"/>
    <w:rsid w:val="00A25800"/>
    <w:rsid w:val="00A258BB"/>
    <w:rsid w:val="00A25A2A"/>
    <w:rsid w:val="00A25C00"/>
    <w:rsid w:val="00A25C6C"/>
    <w:rsid w:val="00A25F23"/>
    <w:rsid w:val="00A261A4"/>
    <w:rsid w:val="00A26323"/>
    <w:rsid w:val="00A26508"/>
    <w:rsid w:val="00A2659D"/>
    <w:rsid w:val="00A2689D"/>
    <w:rsid w:val="00A26AC4"/>
    <w:rsid w:val="00A26B2E"/>
    <w:rsid w:val="00A26CC0"/>
    <w:rsid w:val="00A26CC8"/>
    <w:rsid w:val="00A26E9E"/>
    <w:rsid w:val="00A2727B"/>
    <w:rsid w:val="00A272D1"/>
    <w:rsid w:val="00A273F9"/>
    <w:rsid w:val="00A27516"/>
    <w:rsid w:val="00A275CF"/>
    <w:rsid w:val="00A275F5"/>
    <w:rsid w:val="00A27870"/>
    <w:rsid w:val="00A279F7"/>
    <w:rsid w:val="00A27AFB"/>
    <w:rsid w:val="00A27B94"/>
    <w:rsid w:val="00A27C4F"/>
    <w:rsid w:val="00A27CEB"/>
    <w:rsid w:val="00A27D0D"/>
    <w:rsid w:val="00A27E68"/>
    <w:rsid w:val="00A27F8A"/>
    <w:rsid w:val="00A30159"/>
    <w:rsid w:val="00A301B6"/>
    <w:rsid w:val="00A301F7"/>
    <w:rsid w:val="00A3020B"/>
    <w:rsid w:val="00A30412"/>
    <w:rsid w:val="00A30555"/>
    <w:rsid w:val="00A30653"/>
    <w:rsid w:val="00A3065E"/>
    <w:rsid w:val="00A3086A"/>
    <w:rsid w:val="00A308C2"/>
    <w:rsid w:val="00A30978"/>
    <w:rsid w:val="00A309C2"/>
    <w:rsid w:val="00A30A82"/>
    <w:rsid w:val="00A30A83"/>
    <w:rsid w:val="00A30B4B"/>
    <w:rsid w:val="00A30C04"/>
    <w:rsid w:val="00A30CBD"/>
    <w:rsid w:val="00A30E89"/>
    <w:rsid w:val="00A30EAE"/>
    <w:rsid w:val="00A31083"/>
    <w:rsid w:val="00A310D7"/>
    <w:rsid w:val="00A31230"/>
    <w:rsid w:val="00A3149D"/>
    <w:rsid w:val="00A315E0"/>
    <w:rsid w:val="00A3173B"/>
    <w:rsid w:val="00A31881"/>
    <w:rsid w:val="00A31902"/>
    <w:rsid w:val="00A31BF3"/>
    <w:rsid w:val="00A31C2D"/>
    <w:rsid w:val="00A31C66"/>
    <w:rsid w:val="00A31CB6"/>
    <w:rsid w:val="00A31D46"/>
    <w:rsid w:val="00A31DE1"/>
    <w:rsid w:val="00A32093"/>
    <w:rsid w:val="00A32483"/>
    <w:rsid w:val="00A325B0"/>
    <w:rsid w:val="00A327C0"/>
    <w:rsid w:val="00A32CD9"/>
    <w:rsid w:val="00A32CE5"/>
    <w:rsid w:val="00A32D1E"/>
    <w:rsid w:val="00A32E63"/>
    <w:rsid w:val="00A32F7D"/>
    <w:rsid w:val="00A32FAD"/>
    <w:rsid w:val="00A33019"/>
    <w:rsid w:val="00A33033"/>
    <w:rsid w:val="00A330A0"/>
    <w:rsid w:val="00A330E5"/>
    <w:rsid w:val="00A3316A"/>
    <w:rsid w:val="00A3329A"/>
    <w:rsid w:val="00A3339A"/>
    <w:rsid w:val="00A333C9"/>
    <w:rsid w:val="00A334B9"/>
    <w:rsid w:val="00A33619"/>
    <w:rsid w:val="00A33734"/>
    <w:rsid w:val="00A33785"/>
    <w:rsid w:val="00A3381D"/>
    <w:rsid w:val="00A339A2"/>
    <w:rsid w:val="00A33A08"/>
    <w:rsid w:val="00A33AD4"/>
    <w:rsid w:val="00A33E28"/>
    <w:rsid w:val="00A33E64"/>
    <w:rsid w:val="00A33ED8"/>
    <w:rsid w:val="00A33F20"/>
    <w:rsid w:val="00A33F57"/>
    <w:rsid w:val="00A3412C"/>
    <w:rsid w:val="00A344E6"/>
    <w:rsid w:val="00A347B6"/>
    <w:rsid w:val="00A34847"/>
    <w:rsid w:val="00A34998"/>
    <w:rsid w:val="00A34ABA"/>
    <w:rsid w:val="00A34C05"/>
    <w:rsid w:val="00A34C8D"/>
    <w:rsid w:val="00A34D69"/>
    <w:rsid w:val="00A3514E"/>
    <w:rsid w:val="00A352A5"/>
    <w:rsid w:val="00A353CC"/>
    <w:rsid w:val="00A3566D"/>
    <w:rsid w:val="00A356A8"/>
    <w:rsid w:val="00A35785"/>
    <w:rsid w:val="00A358C8"/>
    <w:rsid w:val="00A35936"/>
    <w:rsid w:val="00A35985"/>
    <w:rsid w:val="00A35A1F"/>
    <w:rsid w:val="00A35D47"/>
    <w:rsid w:val="00A35DF6"/>
    <w:rsid w:val="00A35E1B"/>
    <w:rsid w:val="00A35E2F"/>
    <w:rsid w:val="00A35EAE"/>
    <w:rsid w:val="00A35EC6"/>
    <w:rsid w:val="00A36002"/>
    <w:rsid w:val="00A363F8"/>
    <w:rsid w:val="00A364B3"/>
    <w:rsid w:val="00A36517"/>
    <w:rsid w:val="00A36640"/>
    <w:rsid w:val="00A366D2"/>
    <w:rsid w:val="00A3693F"/>
    <w:rsid w:val="00A36A63"/>
    <w:rsid w:val="00A36C6C"/>
    <w:rsid w:val="00A36CB0"/>
    <w:rsid w:val="00A36F74"/>
    <w:rsid w:val="00A36F82"/>
    <w:rsid w:val="00A37034"/>
    <w:rsid w:val="00A370AF"/>
    <w:rsid w:val="00A370FA"/>
    <w:rsid w:val="00A3730D"/>
    <w:rsid w:val="00A37320"/>
    <w:rsid w:val="00A3733F"/>
    <w:rsid w:val="00A37390"/>
    <w:rsid w:val="00A373F7"/>
    <w:rsid w:val="00A3741F"/>
    <w:rsid w:val="00A374C5"/>
    <w:rsid w:val="00A3757B"/>
    <w:rsid w:val="00A376A6"/>
    <w:rsid w:val="00A37979"/>
    <w:rsid w:val="00A379CA"/>
    <w:rsid w:val="00A37A75"/>
    <w:rsid w:val="00A37C2F"/>
    <w:rsid w:val="00A37DBA"/>
    <w:rsid w:val="00A37DD6"/>
    <w:rsid w:val="00A37E0A"/>
    <w:rsid w:val="00A400D6"/>
    <w:rsid w:val="00A40271"/>
    <w:rsid w:val="00A4033F"/>
    <w:rsid w:val="00A406C3"/>
    <w:rsid w:val="00A4079F"/>
    <w:rsid w:val="00A40828"/>
    <w:rsid w:val="00A40918"/>
    <w:rsid w:val="00A409D9"/>
    <w:rsid w:val="00A409E0"/>
    <w:rsid w:val="00A409FD"/>
    <w:rsid w:val="00A40A1C"/>
    <w:rsid w:val="00A40A7E"/>
    <w:rsid w:val="00A40AEE"/>
    <w:rsid w:val="00A40B7A"/>
    <w:rsid w:val="00A40C64"/>
    <w:rsid w:val="00A40E7C"/>
    <w:rsid w:val="00A40EB7"/>
    <w:rsid w:val="00A40F26"/>
    <w:rsid w:val="00A40F3C"/>
    <w:rsid w:val="00A40F3F"/>
    <w:rsid w:val="00A41092"/>
    <w:rsid w:val="00A410BE"/>
    <w:rsid w:val="00A41136"/>
    <w:rsid w:val="00A412A2"/>
    <w:rsid w:val="00A41679"/>
    <w:rsid w:val="00A41922"/>
    <w:rsid w:val="00A4193D"/>
    <w:rsid w:val="00A419B1"/>
    <w:rsid w:val="00A419D4"/>
    <w:rsid w:val="00A41A58"/>
    <w:rsid w:val="00A41A75"/>
    <w:rsid w:val="00A41B93"/>
    <w:rsid w:val="00A41D5E"/>
    <w:rsid w:val="00A41DB1"/>
    <w:rsid w:val="00A41DE1"/>
    <w:rsid w:val="00A41E13"/>
    <w:rsid w:val="00A41E4B"/>
    <w:rsid w:val="00A41E63"/>
    <w:rsid w:val="00A41FCB"/>
    <w:rsid w:val="00A42145"/>
    <w:rsid w:val="00A425A8"/>
    <w:rsid w:val="00A425B8"/>
    <w:rsid w:val="00A425F7"/>
    <w:rsid w:val="00A425FD"/>
    <w:rsid w:val="00A42656"/>
    <w:rsid w:val="00A42679"/>
    <w:rsid w:val="00A4269B"/>
    <w:rsid w:val="00A427EA"/>
    <w:rsid w:val="00A4289F"/>
    <w:rsid w:val="00A428F3"/>
    <w:rsid w:val="00A4295F"/>
    <w:rsid w:val="00A429CC"/>
    <w:rsid w:val="00A42A84"/>
    <w:rsid w:val="00A42D6A"/>
    <w:rsid w:val="00A4301A"/>
    <w:rsid w:val="00A43068"/>
    <w:rsid w:val="00A43081"/>
    <w:rsid w:val="00A43315"/>
    <w:rsid w:val="00A43414"/>
    <w:rsid w:val="00A4353E"/>
    <w:rsid w:val="00A435FE"/>
    <w:rsid w:val="00A43634"/>
    <w:rsid w:val="00A438CC"/>
    <w:rsid w:val="00A43A56"/>
    <w:rsid w:val="00A43ABB"/>
    <w:rsid w:val="00A43B2A"/>
    <w:rsid w:val="00A43ECF"/>
    <w:rsid w:val="00A43FBA"/>
    <w:rsid w:val="00A44034"/>
    <w:rsid w:val="00A4407E"/>
    <w:rsid w:val="00A44196"/>
    <w:rsid w:val="00A441FB"/>
    <w:rsid w:val="00A442D6"/>
    <w:rsid w:val="00A44456"/>
    <w:rsid w:val="00A44507"/>
    <w:rsid w:val="00A44757"/>
    <w:rsid w:val="00A447C0"/>
    <w:rsid w:val="00A448B7"/>
    <w:rsid w:val="00A44A35"/>
    <w:rsid w:val="00A44A64"/>
    <w:rsid w:val="00A44B05"/>
    <w:rsid w:val="00A44BFE"/>
    <w:rsid w:val="00A44CEE"/>
    <w:rsid w:val="00A44D3F"/>
    <w:rsid w:val="00A4503C"/>
    <w:rsid w:val="00A45307"/>
    <w:rsid w:val="00A4538E"/>
    <w:rsid w:val="00A454AB"/>
    <w:rsid w:val="00A4551C"/>
    <w:rsid w:val="00A4556B"/>
    <w:rsid w:val="00A4564A"/>
    <w:rsid w:val="00A45806"/>
    <w:rsid w:val="00A45A44"/>
    <w:rsid w:val="00A45AEB"/>
    <w:rsid w:val="00A45B7B"/>
    <w:rsid w:val="00A45F5B"/>
    <w:rsid w:val="00A4654B"/>
    <w:rsid w:val="00A4655A"/>
    <w:rsid w:val="00A46657"/>
    <w:rsid w:val="00A46661"/>
    <w:rsid w:val="00A466C7"/>
    <w:rsid w:val="00A46A32"/>
    <w:rsid w:val="00A46D4F"/>
    <w:rsid w:val="00A46FA0"/>
    <w:rsid w:val="00A470CD"/>
    <w:rsid w:val="00A47111"/>
    <w:rsid w:val="00A471AE"/>
    <w:rsid w:val="00A47251"/>
    <w:rsid w:val="00A47293"/>
    <w:rsid w:val="00A474A8"/>
    <w:rsid w:val="00A47533"/>
    <w:rsid w:val="00A4775D"/>
    <w:rsid w:val="00A47896"/>
    <w:rsid w:val="00A478F7"/>
    <w:rsid w:val="00A479FE"/>
    <w:rsid w:val="00A47A37"/>
    <w:rsid w:val="00A47ADD"/>
    <w:rsid w:val="00A47C99"/>
    <w:rsid w:val="00A47EB8"/>
    <w:rsid w:val="00A47FE6"/>
    <w:rsid w:val="00A50027"/>
    <w:rsid w:val="00A5004B"/>
    <w:rsid w:val="00A50116"/>
    <w:rsid w:val="00A5011F"/>
    <w:rsid w:val="00A5035E"/>
    <w:rsid w:val="00A5058D"/>
    <w:rsid w:val="00A5063E"/>
    <w:rsid w:val="00A5074D"/>
    <w:rsid w:val="00A507F4"/>
    <w:rsid w:val="00A50886"/>
    <w:rsid w:val="00A50983"/>
    <w:rsid w:val="00A50CB5"/>
    <w:rsid w:val="00A50E69"/>
    <w:rsid w:val="00A50F4C"/>
    <w:rsid w:val="00A50F8C"/>
    <w:rsid w:val="00A51070"/>
    <w:rsid w:val="00A51196"/>
    <w:rsid w:val="00A5138D"/>
    <w:rsid w:val="00A51895"/>
    <w:rsid w:val="00A518D4"/>
    <w:rsid w:val="00A51A27"/>
    <w:rsid w:val="00A51A34"/>
    <w:rsid w:val="00A51AAE"/>
    <w:rsid w:val="00A51B29"/>
    <w:rsid w:val="00A51B2C"/>
    <w:rsid w:val="00A51FB5"/>
    <w:rsid w:val="00A5200D"/>
    <w:rsid w:val="00A52019"/>
    <w:rsid w:val="00A521FE"/>
    <w:rsid w:val="00A522F6"/>
    <w:rsid w:val="00A5231C"/>
    <w:rsid w:val="00A52486"/>
    <w:rsid w:val="00A5280A"/>
    <w:rsid w:val="00A529A5"/>
    <w:rsid w:val="00A52AC4"/>
    <w:rsid w:val="00A52C54"/>
    <w:rsid w:val="00A52CC0"/>
    <w:rsid w:val="00A52CC6"/>
    <w:rsid w:val="00A52D32"/>
    <w:rsid w:val="00A52F5B"/>
    <w:rsid w:val="00A52F87"/>
    <w:rsid w:val="00A531DC"/>
    <w:rsid w:val="00A5327C"/>
    <w:rsid w:val="00A53284"/>
    <w:rsid w:val="00A53286"/>
    <w:rsid w:val="00A535A1"/>
    <w:rsid w:val="00A5382F"/>
    <w:rsid w:val="00A53987"/>
    <w:rsid w:val="00A53AB5"/>
    <w:rsid w:val="00A53ABA"/>
    <w:rsid w:val="00A53BB3"/>
    <w:rsid w:val="00A53BBC"/>
    <w:rsid w:val="00A53CCA"/>
    <w:rsid w:val="00A53F3E"/>
    <w:rsid w:val="00A54042"/>
    <w:rsid w:val="00A540DC"/>
    <w:rsid w:val="00A542B5"/>
    <w:rsid w:val="00A54362"/>
    <w:rsid w:val="00A54394"/>
    <w:rsid w:val="00A54444"/>
    <w:rsid w:val="00A5448E"/>
    <w:rsid w:val="00A548DD"/>
    <w:rsid w:val="00A548FC"/>
    <w:rsid w:val="00A5492D"/>
    <w:rsid w:val="00A54C1C"/>
    <w:rsid w:val="00A54D76"/>
    <w:rsid w:val="00A54E23"/>
    <w:rsid w:val="00A54E8C"/>
    <w:rsid w:val="00A5505C"/>
    <w:rsid w:val="00A552ED"/>
    <w:rsid w:val="00A555EC"/>
    <w:rsid w:val="00A5565D"/>
    <w:rsid w:val="00A556BD"/>
    <w:rsid w:val="00A5581D"/>
    <w:rsid w:val="00A55A40"/>
    <w:rsid w:val="00A55A6B"/>
    <w:rsid w:val="00A55A93"/>
    <w:rsid w:val="00A55AF5"/>
    <w:rsid w:val="00A55AFA"/>
    <w:rsid w:val="00A55CB8"/>
    <w:rsid w:val="00A55E51"/>
    <w:rsid w:val="00A55EDE"/>
    <w:rsid w:val="00A55F6B"/>
    <w:rsid w:val="00A55FC7"/>
    <w:rsid w:val="00A561E8"/>
    <w:rsid w:val="00A564B0"/>
    <w:rsid w:val="00A565C4"/>
    <w:rsid w:val="00A565FC"/>
    <w:rsid w:val="00A5667E"/>
    <w:rsid w:val="00A56768"/>
    <w:rsid w:val="00A567A1"/>
    <w:rsid w:val="00A567C6"/>
    <w:rsid w:val="00A56806"/>
    <w:rsid w:val="00A56841"/>
    <w:rsid w:val="00A56987"/>
    <w:rsid w:val="00A56A99"/>
    <w:rsid w:val="00A56BA9"/>
    <w:rsid w:val="00A56BD0"/>
    <w:rsid w:val="00A56BE5"/>
    <w:rsid w:val="00A56DBE"/>
    <w:rsid w:val="00A56DC6"/>
    <w:rsid w:val="00A57155"/>
    <w:rsid w:val="00A57483"/>
    <w:rsid w:val="00A5767B"/>
    <w:rsid w:val="00A576A0"/>
    <w:rsid w:val="00A5786B"/>
    <w:rsid w:val="00A57898"/>
    <w:rsid w:val="00A578B4"/>
    <w:rsid w:val="00A57D81"/>
    <w:rsid w:val="00A57DF4"/>
    <w:rsid w:val="00A57EFD"/>
    <w:rsid w:val="00A600C0"/>
    <w:rsid w:val="00A600DE"/>
    <w:rsid w:val="00A60133"/>
    <w:rsid w:val="00A602AC"/>
    <w:rsid w:val="00A6030D"/>
    <w:rsid w:val="00A6035F"/>
    <w:rsid w:val="00A606CD"/>
    <w:rsid w:val="00A6075F"/>
    <w:rsid w:val="00A6076B"/>
    <w:rsid w:val="00A607CB"/>
    <w:rsid w:val="00A60850"/>
    <w:rsid w:val="00A60946"/>
    <w:rsid w:val="00A60A58"/>
    <w:rsid w:val="00A60B58"/>
    <w:rsid w:val="00A60DA8"/>
    <w:rsid w:val="00A60FC7"/>
    <w:rsid w:val="00A612A0"/>
    <w:rsid w:val="00A612A8"/>
    <w:rsid w:val="00A613FC"/>
    <w:rsid w:val="00A61405"/>
    <w:rsid w:val="00A614C9"/>
    <w:rsid w:val="00A614D3"/>
    <w:rsid w:val="00A617D2"/>
    <w:rsid w:val="00A617F9"/>
    <w:rsid w:val="00A61A77"/>
    <w:rsid w:val="00A61B3C"/>
    <w:rsid w:val="00A61B48"/>
    <w:rsid w:val="00A61C80"/>
    <w:rsid w:val="00A61D13"/>
    <w:rsid w:val="00A61D7F"/>
    <w:rsid w:val="00A61EEC"/>
    <w:rsid w:val="00A61F0E"/>
    <w:rsid w:val="00A622A5"/>
    <w:rsid w:val="00A62702"/>
    <w:rsid w:val="00A62809"/>
    <w:rsid w:val="00A6283C"/>
    <w:rsid w:val="00A6283E"/>
    <w:rsid w:val="00A628B0"/>
    <w:rsid w:val="00A6296B"/>
    <w:rsid w:val="00A629DA"/>
    <w:rsid w:val="00A62B60"/>
    <w:rsid w:val="00A62B61"/>
    <w:rsid w:val="00A62BA3"/>
    <w:rsid w:val="00A62CDB"/>
    <w:rsid w:val="00A62E44"/>
    <w:rsid w:val="00A62E63"/>
    <w:rsid w:val="00A63478"/>
    <w:rsid w:val="00A634B3"/>
    <w:rsid w:val="00A6357C"/>
    <w:rsid w:val="00A63625"/>
    <w:rsid w:val="00A636D4"/>
    <w:rsid w:val="00A6384C"/>
    <w:rsid w:val="00A63993"/>
    <w:rsid w:val="00A63AB5"/>
    <w:rsid w:val="00A63AB6"/>
    <w:rsid w:val="00A63B5E"/>
    <w:rsid w:val="00A63E13"/>
    <w:rsid w:val="00A63E18"/>
    <w:rsid w:val="00A63E32"/>
    <w:rsid w:val="00A63F43"/>
    <w:rsid w:val="00A63FCB"/>
    <w:rsid w:val="00A63FE0"/>
    <w:rsid w:val="00A640F6"/>
    <w:rsid w:val="00A64109"/>
    <w:rsid w:val="00A64268"/>
    <w:rsid w:val="00A64340"/>
    <w:rsid w:val="00A64496"/>
    <w:rsid w:val="00A64882"/>
    <w:rsid w:val="00A649BD"/>
    <w:rsid w:val="00A64A20"/>
    <w:rsid w:val="00A64D10"/>
    <w:rsid w:val="00A64E21"/>
    <w:rsid w:val="00A64E2F"/>
    <w:rsid w:val="00A65127"/>
    <w:rsid w:val="00A651F3"/>
    <w:rsid w:val="00A654A4"/>
    <w:rsid w:val="00A65739"/>
    <w:rsid w:val="00A657E8"/>
    <w:rsid w:val="00A65873"/>
    <w:rsid w:val="00A65889"/>
    <w:rsid w:val="00A65892"/>
    <w:rsid w:val="00A6593F"/>
    <w:rsid w:val="00A65944"/>
    <w:rsid w:val="00A65B64"/>
    <w:rsid w:val="00A65B68"/>
    <w:rsid w:val="00A65B96"/>
    <w:rsid w:val="00A65BDD"/>
    <w:rsid w:val="00A65D33"/>
    <w:rsid w:val="00A65DFB"/>
    <w:rsid w:val="00A65F71"/>
    <w:rsid w:val="00A6613D"/>
    <w:rsid w:val="00A66175"/>
    <w:rsid w:val="00A66205"/>
    <w:rsid w:val="00A66278"/>
    <w:rsid w:val="00A6648B"/>
    <w:rsid w:val="00A664B1"/>
    <w:rsid w:val="00A66581"/>
    <w:rsid w:val="00A666E3"/>
    <w:rsid w:val="00A6683A"/>
    <w:rsid w:val="00A668EE"/>
    <w:rsid w:val="00A66AB9"/>
    <w:rsid w:val="00A66B1B"/>
    <w:rsid w:val="00A66C8A"/>
    <w:rsid w:val="00A66E16"/>
    <w:rsid w:val="00A670EB"/>
    <w:rsid w:val="00A6739A"/>
    <w:rsid w:val="00A6744C"/>
    <w:rsid w:val="00A6793F"/>
    <w:rsid w:val="00A67964"/>
    <w:rsid w:val="00A679F6"/>
    <w:rsid w:val="00A67C75"/>
    <w:rsid w:val="00A67CA0"/>
    <w:rsid w:val="00A67DE6"/>
    <w:rsid w:val="00A67EF1"/>
    <w:rsid w:val="00A67F31"/>
    <w:rsid w:val="00A67F95"/>
    <w:rsid w:val="00A70076"/>
    <w:rsid w:val="00A701C3"/>
    <w:rsid w:val="00A70257"/>
    <w:rsid w:val="00A70385"/>
    <w:rsid w:val="00A7038F"/>
    <w:rsid w:val="00A705D6"/>
    <w:rsid w:val="00A708C7"/>
    <w:rsid w:val="00A70944"/>
    <w:rsid w:val="00A7094A"/>
    <w:rsid w:val="00A70C27"/>
    <w:rsid w:val="00A70E77"/>
    <w:rsid w:val="00A71180"/>
    <w:rsid w:val="00A71199"/>
    <w:rsid w:val="00A714D4"/>
    <w:rsid w:val="00A715B4"/>
    <w:rsid w:val="00A715C0"/>
    <w:rsid w:val="00A71631"/>
    <w:rsid w:val="00A71751"/>
    <w:rsid w:val="00A7179F"/>
    <w:rsid w:val="00A71829"/>
    <w:rsid w:val="00A7187F"/>
    <w:rsid w:val="00A718BF"/>
    <w:rsid w:val="00A7191A"/>
    <w:rsid w:val="00A71944"/>
    <w:rsid w:val="00A71A25"/>
    <w:rsid w:val="00A71E6F"/>
    <w:rsid w:val="00A71E7C"/>
    <w:rsid w:val="00A71E92"/>
    <w:rsid w:val="00A71F3D"/>
    <w:rsid w:val="00A7210E"/>
    <w:rsid w:val="00A72127"/>
    <w:rsid w:val="00A721BA"/>
    <w:rsid w:val="00A722B8"/>
    <w:rsid w:val="00A72320"/>
    <w:rsid w:val="00A72473"/>
    <w:rsid w:val="00A7253E"/>
    <w:rsid w:val="00A72671"/>
    <w:rsid w:val="00A72703"/>
    <w:rsid w:val="00A7284D"/>
    <w:rsid w:val="00A7288E"/>
    <w:rsid w:val="00A7289F"/>
    <w:rsid w:val="00A72BB9"/>
    <w:rsid w:val="00A72C35"/>
    <w:rsid w:val="00A72CDD"/>
    <w:rsid w:val="00A72F7C"/>
    <w:rsid w:val="00A731EC"/>
    <w:rsid w:val="00A732D5"/>
    <w:rsid w:val="00A734C2"/>
    <w:rsid w:val="00A73506"/>
    <w:rsid w:val="00A736C5"/>
    <w:rsid w:val="00A7377E"/>
    <w:rsid w:val="00A73868"/>
    <w:rsid w:val="00A73A46"/>
    <w:rsid w:val="00A73B56"/>
    <w:rsid w:val="00A73B73"/>
    <w:rsid w:val="00A73BC6"/>
    <w:rsid w:val="00A73C18"/>
    <w:rsid w:val="00A73DBE"/>
    <w:rsid w:val="00A73F05"/>
    <w:rsid w:val="00A74116"/>
    <w:rsid w:val="00A7418A"/>
    <w:rsid w:val="00A7444C"/>
    <w:rsid w:val="00A744C3"/>
    <w:rsid w:val="00A744F4"/>
    <w:rsid w:val="00A7454F"/>
    <w:rsid w:val="00A74750"/>
    <w:rsid w:val="00A7496C"/>
    <w:rsid w:val="00A74C3F"/>
    <w:rsid w:val="00A74CFA"/>
    <w:rsid w:val="00A74E10"/>
    <w:rsid w:val="00A74E60"/>
    <w:rsid w:val="00A74F6A"/>
    <w:rsid w:val="00A74F75"/>
    <w:rsid w:val="00A74FE2"/>
    <w:rsid w:val="00A7500F"/>
    <w:rsid w:val="00A751F8"/>
    <w:rsid w:val="00A75314"/>
    <w:rsid w:val="00A7535C"/>
    <w:rsid w:val="00A75392"/>
    <w:rsid w:val="00A75496"/>
    <w:rsid w:val="00A7568A"/>
    <w:rsid w:val="00A756C2"/>
    <w:rsid w:val="00A75964"/>
    <w:rsid w:val="00A75974"/>
    <w:rsid w:val="00A75ABB"/>
    <w:rsid w:val="00A75C0E"/>
    <w:rsid w:val="00A75C34"/>
    <w:rsid w:val="00A75CAE"/>
    <w:rsid w:val="00A75D94"/>
    <w:rsid w:val="00A75DCC"/>
    <w:rsid w:val="00A75F25"/>
    <w:rsid w:val="00A75FA1"/>
    <w:rsid w:val="00A7609B"/>
    <w:rsid w:val="00A760D4"/>
    <w:rsid w:val="00A7619E"/>
    <w:rsid w:val="00A7626F"/>
    <w:rsid w:val="00A762FE"/>
    <w:rsid w:val="00A76333"/>
    <w:rsid w:val="00A7651C"/>
    <w:rsid w:val="00A7659D"/>
    <w:rsid w:val="00A766D0"/>
    <w:rsid w:val="00A767BB"/>
    <w:rsid w:val="00A76807"/>
    <w:rsid w:val="00A7680D"/>
    <w:rsid w:val="00A76829"/>
    <w:rsid w:val="00A76845"/>
    <w:rsid w:val="00A7699F"/>
    <w:rsid w:val="00A76ADD"/>
    <w:rsid w:val="00A76BA2"/>
    <w:rsid w:val="00A76D0B"/>
    <w:rsid w:val="00A770B2"/>
    <w:rsid w:val="00A77190"/>
    <w:rsid w:val="00A771BB"/>
    <w:rsid w:val="00A77210"/>
    <w:rsid w:val="00A77379"/>
    <w:rsid w:val="00A773C7"/>
    <w:rsid w:val="00A77573"/>
    <w:rsid w:val="00A77579"/>
    <w:rsid w:val="00A7766A"/>
    <w:rsid w:val="00A7768A"/>
    <w:rsid w:val="00A776DD"/>
    <w:rsid w:val="00A776FC"/>
    <w:rsid w:val="00A77785"/>
    <w:rsid w:val="00A7786D"/>
    <w:rsid w:val="00A77BB4"/>
    <w:rsid w:val="00A77BCF"/>
    <w:rsid w:val="00A77C08"/>
    <w:rsid w:val="00A77D6D"/>
    <w:rsid w:val="00A80010"/>
    <w:rsid w:val="00A8002A"/>
    <w:rsid w:val="00A80045"/>
    <w:rsid w:val="00A80389"/>
    <w:rsid w:val="00A803D9"/>
    <w:rsid w:val="00A803DC"/>
    <w:rsid w:val="00A8046C"/>
    <w:rsid w:val="00A8052B"/>
    <w:rsid w:val="00A80694"/>
    <w:rsid w:val="00A806BE"/>
    <w:rsid w:val="00A80849"/>
    <w:rsid w:val="00A80888"/>
    <w:rsid w:val="00A8089A"/>
    <w:rsid w:val="00A80A75"/>
    <w:rsid w:val="00A80AB8"/>
    <w:rsid w:val="00A80B18"/>
    <w:rsid w:val="00A80BA2"/>
    <w:rsid w:val="00A80E0A"/>
    <w:rsid w:val="00A80E79"/>
    <w:rsid w:val="00A8133B"/>
    <w:rsid w:val="00A813AE"/>
    <w:rsid w:val="00A813C4"/>
    <w:rsid w:val="00A81877"/>
    <w:rsid w:val="00A818A4"/>
    <w:rsid w:val="00A81947"/>
    <w:rsid w:val="00A81985"/>
    <w:rsid w:val="00A81A51"/>
    <w:rsid w:val="00A81ABD"/>
    <w:rsid w:val="00A81D3A"/>
    <w:rsid w:val="00A81F1B"/>
    <w:rsid w:val="00A820A2"/>
    <w:rsid w:val="00A820E1"/>
    <w:rsid w:val="00A821A1"/>
    <w:rsid w:val="00A821AF"/>
    <w:rsid w:val="00A821EA"/>
    <w:rsid w:val="00A822A3"/>
    <w:rsid w:val="00A82437"/>
    <w:rsid w:val="00A82534"/>
    <w:rsid w:val="00A8254A"/>
    <w:rsid w:val="00A82677"/>
    <w:rsid w:val="00A8282C"/>
    <w:rsid w:val="00A82874"/>
    <w:rsid w:val="00A82927"/>
    <w:rsid w:val="00A82AFA"/>
    <w:rsid w:val="00A82B41"/>
    <w:rsid w:val="00A82B64"/>
    <w:rsid w:val="00A82C99"/>
    <w:rsid w:val="00A82CB9"/>
    <w:rsid w:val="00A82CF8"/>
    <w:rsid w:val="00A82D22"/>
    <w:rsid w:val="00A82D55"/>
    <w:rsid w:val="00A82DD2"/>
    <w:rsid w:val="00A82E8E"/>
    <w:rsid w:val="00A82FC1"/>
    <w:rsid w:val="00A831B2"/>
    <w:rsid w:val="00A83434"/>
    <w:rsid w:val="00A8377C"/>
    <w:rsid w:val="00A83887"/>
    <w:rsid w:val="00A83960"/>
    <w:rsid w:val="00A83A5B"/>
    <w:rsid w:val="00A83BC2"/>
    <w:rsid w:val="00A83C78"/>
    <w:rsid w:val="00A83C7D"/>
    <w:rsid w:val="00A83DD6"/>
    <w:rsid w:val="00A83EE0"/>
    <w:rsid w:val="00A843FE"/>
    <w:rsid w:val="00A8455D"/>
    <w:rsid w:val="00A84597"/>
    <w:rsid w:val="00A8459A"/>
    <w:rsid w:val="00A847EB"/>
    <w:rsid w:val="00A84896"/>
    <w:rsid w:val="00A8497E"/>
    <w:rsid w:val="00A84AAD"/>
    <w:rsid w:val="00A84AE0"/>
    <w:rsid w:val="00A84D80"/>
    <w:rsid w:val="00A84DAD"/>
    <w:rsid w:val="00A84E92"/>
    <w:rsid w:val="00A84EAA"/>
    <w:rsid w:val="00A84F81"/>
    <w:rsid w:val="00A851E3"/>
    <w:rsid w:val="00A85500"/>
    <w:rsid w:val="00A85756"/>
    <w:rsid w:val="00A8588D"/>
    <w:rsid w:val="00A858F4"/>
    <w:rsid w:val="00A8590D"/>
    <w:rsid w:val="00A859C0"/>
    <w:rsid w:val="00A859DF"/>
    <w:rsid w:val="00A85CF5"/>
    <w:rsid w:val="00A85FEB"/>
    <w:rsid w:val="00A8610C"/>
    <w:rsid w:val="00A86200"/>
    <w:rsid w:val="00A86257"/>
    <w:rsid w:val="00A8636F"/>
    <w:rsid w:val="00A86418"/>
    <w:rsid w:val="00A86477"/>
    <w:rsid w:val="00A86485"/>
    <w:rsid w:val="00A8671F"/>
    <w:rsid w:val="00A867E5"/>
    <w:rsid w:val="00A86804"/>
    <w:rsid w:val="00A868FE"/>
    <w:rsid w:val="00A86A42"/>
    <w:rsid w:val="00A86AEF"/>
    <w:rsid w:val="00A86AF8"/>
    <w:rsid w:val="00A86D4F"/>
    <w:rsid w:val="00A86DAF"/>
    <w:rsid w:val="00A86EB8"/>
    <w:rsid w:val="00A8721D"/>
    <w:rsid w:val="00A87237"/>
    <w:rsid w:val="00A87359"/>
    <w:rsid w:val="00A87552"/>
    <w:rsid w:val="00A87589"/>
    <w:rsid w:val="00A8787F"/>
    <w:rsid w:val="00A87A50"/>
    <w:rsid w:val="00A87ADE"/>
    <w:rsid w:val="00A87C0F"/>
    <w:rsid w:val="00A87CEB"/>
    <w:rsid w:val="00A87EE0"/>
    <w:rsid w:val="00A87F80"/>
    <w:rsid w:val="00A900AC"/>
    <w:rsid w:val="00A901A8"/>
    <w:rsid w:val="00A901AB"/>
    <w:rsid w:val="00A901F5"/>
    <w:rsid w:val="00A9027B"/>
    <w:rsid w:val="00A9033C"/>
    <w:rsid w:val="00A90366"/>
    <w:rsid w:val="00A903BF"/>
    <w:rsid w:val="00A903F4"/>
    <w:rsid w:val="00A903F8"/>
    <w:rsid w:val="00A903F9"/>
    <w:rsid w:val="00A9055A"/>
    <w:rsid w:val="00A906E7"/>
    <w:rsid w:val="00A907B9"/>
    <w:rsid w:val="00A908B5"/>
    <w:rsid w:val="00A909F9"/>
    <w:rsid w:val="00A90A38"/>
    <w:rsid w:val="00A90B7A"/>
    <w:rsid w:val="00A90C81"/>
    <w:rsid w:val="00A90CDA"/>
    <w:rsid w:val="00A90DA2"/>
    <w:rsid w:val="00A90EEC"/>
    <w:rsid w:val="00A90FF1"/>
    <w:rsid w:val="00A91126"/>
    <w:rsid w:val="00A9119A"/>
    <w:rsid w:val="00A9119E"/>
    <w:rsid w:val="00A91513"/>
    <w:rsid w:val="00A916A5"/>
    <w:rsid w:val="00A9176C"/>
    <w:rsid w:val="00A91AB1"/>
    <w:rsid w:val="00A91AC7"/>
    <w:rsid w:val="00A91B6B"/>
    <w:rsid w:val="00A91EB4"/>
    <w:rsid w:val="00A92148"/>
    <w:rsid w:val="00A92173"/>
    <w:rsid w:val="00A9224E"/>
    <w:rsid w:val="00A923B3"/>
    <w:rsid w:val="00A923B8"/>
    <w:rsid w:val="00A923FA"/>
    <w:rsid w:val="00A925D3"/>
    <w:rsid w:val="00A92795"/>
    <w:rsid w:val="00A927A6"/>
    <w:rsid w:val="00A927B2"/>
    <w:rsid w:val="00A928C4"/>
    <w:rsid w:val="00A92B38"/>
    <w:rsid w:val="00A92B6E"/>
    <w:rsid w:val="00A92C08"/>
    <w:rsid w:val="00A92C54"/>
    <w:rsid w:val="00A92E17"/>
    <w:rsid w:val="00A930C5"/>
    <w:rsid w:val="00A9314C"/>
    <w:rsid w:val="00A9315A"/>
    <w:rsid w:val="00A93165"/>
    <w:rsid w:val="00A932CA"/>
    <w:rsid w:val="00A93346"/>
    <w:rsid w:val="00A9345B"/>
    <w:rsid w:val="00A93555"/>
    <w:rsid w:val="00A9371A"/>
    <w:rsid w:val="00A939E0"/>
    <w:rsid w:val="00A93B4A"/>
    <w:rsid w:val="00A93B70"/>
    <w:rsid w:val="00A93BB0"/>
    <w:rsid w:val="00A93E5F"/>
    <w:rsid w:val="00A93F17"/>
    <w:rsid w:val="00A9403A"/>
    <w:rsid w:val="00A94068"/>
    <w:rsid w:val="00A94072"/>
    <w:rsid w:val="00A94202"/>
    <w:rsid w:val="00A9451C"/>
    <w:rsid w:val="00A945F2"/>
    <w:rsid w:val="00A9460D"/>
    <w:rsid w:val="00A9488A"/>
    <w:rsid w:val="00A949B2"/>
    <w:rsid w:val="00A94AA3"/>
    <w:rsid w:val="00A94B50"/>
    <w:rsid w:val="00A94F7F"/>
    <w:rsid w:val="00A950FB"/>
    <w:rsid w:val="00A95195"/>
    <w:rsid w:val="00A9540B"/>
    <w:rsid w:val="00A95756"/>
    <w:rsid w:val="00A9586B"/>
    <w:rsid w:val="00A958AF"/>
    <w:rsid w:val="00A95926"/>
    <w:rsid w:val="00A95955"/>
    <w:rsid w:val="00A959E7"/>
    <w:rsid w:val="00A95A7B"/>
    <w:rsid w:val="00A95BE8"/>
    <w:rsid w:val="00A95C8D"/>
    <w:rsid w:val="00A95F04"/>
    <w:rsid w:val="00A95F53"/>
    <w:rsid w:val="00A95FC0"/>
    <w:rsid w:val="00A96117"/>
    <w:rsid w:val="00A961FE"/>
    <w:rsid w:val="00A967CC"/>
    <w:rsid w:val="00A96866"/>
    <w:rsid w:val="00A96B82"/>
    <w:rsid w:val="00A96E1F"/>
    <w:rsid w:val="00A96FAA"/>
    <w:rsid w:val="00A9700C"/>
    <w:rsid w:val="00A970C5"/>
    <w:rsid w:val="00A971CA"/>
    <w:rsid w:val="00A972CE"/>
    <w:rsid w:val="00A97326"/>
    <w:rsid w:val="00A973B0"/>
    <w:rsid w:val="00A97664"/>
    <w:rsid w:val="00A977AB"/>
    <w:rsid w:val="00A9793D"/>
    <w:rsid w:val="00A97A33"/>
    <w:rsid w:val="00A97BD0"/>
    <w:rsid w:val="00A97BF8"/>
    <w:rsid w:val="00A97BFA"/>
    <w:rsid w:val="00A97D14"/>
    <w:rsid w:val="00A97E2A"/>
    <w:rsid w:val="00A97E31"/>
    <w:rsid w:val="00A97E64"/>
    <w:rsid w:val="00A97E88"/>
    <w:rsid w:val="00A97EF0"/>
    <w:rsid w:val="00AA03BF"/>
    <w:rsid w:val="00AA05EB"/>
    <w:rsid w:val="00AA061A"/>
    <w:rsid w:val="00AA0794"/>
    <w:rsid w:val="00AA0803"/>
    <w:rsid w:val="00AA0811"/>
    <w:rsid w:val="00AA08F4"/>
    <w:rsid w:val="00AA09B1"/>
    <w:rsid w:val="00AA0A25"/>
    <w:rsid w:val="00AA0ADB"/>
    <w:rsid w:val="00AA0C10"/>
    <w:rsid w:val="00AA0E14"/>
    <w:rsid w:val="00AA0F72"/>
    <w:rsid w:val="00AA108E"/>
    <w:rsid w:val="00AA1182"/>
    <w:rsid w:val="00AA11D4"/>
    <w:rsid w:val="00AA1252"/>
    <w:rsid w:val="00AA130C"/>
    <w:rsid w:val="00AA13B1"/>
    <w:rsid w:val="00AA15E3"/>
    <w:rsid w:val="00AA15F9"/>
    <w:rsid w:val="00AA17C0"/>
    <w:rsid w:val="00AA19C3"/>
    <w:rsid w:val="00AA1A86"/>
    <w:rsid w:val="00AA1BF7"/>
    <w:rsid w:val="00AA1C10"/>
    <w:rsid w:val="00AA1DAE"/>
    <w:rsid w:val="00AA1ECC"/>
    <w:rsid w:val="00AA1F92"/>
    <w:rsid w:val="00AA2076"/>
    <w:rsid w:val="00AA2277"/>
    <w:rsid w:val="00AA22D8"/>
    <w:rsid w:val="00AA2549"/>
    <w:rsid w:val="00AA254E"/>
    <w:rsid w:val="00AA280D"/>
    <w:rsid w:val="00AA29E7"/>
    <w:rsid w:val="00AA2B08"/>
    <w:rsid w:val="00AA2B36"/>
    <w:rsid w:val="00AA2DB7"/>
    <w:rsid w:val="00AA2DD4"/>
    <w:rsid w:val="00AA2ECE"/>
    <w:rsid w:val="00AA2FDD"/>
    <w:rsid w:val="00AA2FE2"/>
    <w:rsid w:val="00AA34A7"/>
    <w:rsid w:val="00AA34D9"/>
    <w:rsid w:val="00AA35DE"/>
    <w:rsid w:val="00AA360D"/>
    <w:rsid w:val="00AA3617"/>
    <w:rsid w:val="00AA3948"/>
    <w:rsid w:val="00AA3A0E"/>
    <w:rsid w:val="00AA3C2F"/>
    <w:rsid w:val="00AA3D3A"/>
    <w:rsid w:val="00AA40D7"/>
    <w:rsid w:val="00AA42A5"/>
    <w:rsid w:val="00AA4387"/>
    <w:rsid w:val="00AA4475"/>
    <w:rsid w:val="00AA46C5"/>
    <w:rsid w:val="00AA4719"/>
    <w:rsid w:val="00AA4734"/>
    <w:rsid w:val="00AA476E"/>
    <w:rsid w:val="00AA48ED"/>
    <w:rsid w:val="00AA4AC1"/>
    <w:rsid w:val="00AA4B05"/>
    <w:rsid w:val="00AA4CEF"/>
    <w:rsid w:val="00AA4FD4"/>
    <w:rsid w:val="00AA5033"/>
    <w:rsid w:val="00AA5083"/>
    <w:rsid w:val="00AA53E0"/>
    <w:rsid w:val="00AA54F5"/>
    <w:rsid w:val="00AA54FA"/>
    <w:rsid w:val="00AA557E"/>
    <w:rsid w:val="00AA55A1"/>
    <w:rsid w:val="00AA56F5"/>
    <w:rsid w:val="00AA5865"/>
    <w:rsid w:val="00AA58E7"/>
    <w:rsid w:val="00AA5A8D"/>
    <w:rsid w:val="00AA5BF7"/>
    <w:rsid w:val="00AA5D7E"/>
    <w:rsid w:val="00AA5DCE"/>
    <w:rsid w:val="00AA5ECB"/>
    <w:rsid w:val="00AA5F75"/>
    <w:rsid w:val="00AA603E"/>
    <w:rsid w:val="00AA610D"/>
    <w:rsid w:val="00AA62D5"/>
    <w:rsid w:val="00AA64E3"/>
    <w:rsid w:val="00AA650E"/>
    <w:rsid w:val="00AA6534"/>
    <w:rsid w:val="00AA6577"/>
    <w:rsid w:val="00AA66E6"/>
    <w:rsid w:val="00AA6987"/>
    <w:rsid w:val="00AA6A02"/>
    <w:rsid w:val="00AA6ACD"/>
    <w:rsid w:val="00AA6C61"/>
    <w:rsid w:val="00AA6F3B"/>
    <w:rsid w:val="00AA6FBD"/>
    <w:rsid w:val="00AA7234"/>
    <w:rsid w:val="00AA7445"/>
    <w:rsid w:val="00AA744E"/>
    <w:rsid w:val="00AA74FD"/>
    <w:rsid w:val="00AA7530"/>
    <w:rsid w:val="00AA7562"/>
    <w:rsid w:val="00AA75DA"/>
    <w:rsid w:val="00AA77BA"/>
    <w:rsid w:val="00AA78AE"/>
    <w:rsid w:val="00AA78FF"/>
    <w:rsid w:val="00AA79BE"/>
    <w:rsid w:val="00AA79F2"/>
    <w:rsid w:val="00AA7AC8"/>
    <w:rsid w:val="00AA7DD1"/>
    <w:rsid w:val="00AA7DF3"/>
    <w:rsid w:val="00AA7E51"/>
    <w:rsid w:val="00AA7ED9"/>
    <w:rsid w:val="00AA7FF9"/>
    <w:rsid w:val="00AB009C"/>
    <w:rsid w:val="00AB00D4"/>
    <w:rsid w:val="00AB0243"/>
    <w:rsid w:val="00AB0372"/>
    <w:rsid w:val="00AB04B5"/>
    <w:rsid w:val="00AB054B"/>
    <w:rsid w:val="00AB07BD"/>
    <w:rsid w:val="00AB07C2"/>
    <w:rsid w:val="00AB08A4"/>
    <w:rsid w:val="00AB08D3"/>
    <w:rsid w:val="00AB09F8"/>
    <w:rsid w:val="00AB0B76"/>
    <w:rsid w:val="00AB0E25"/>
    <w:rsid w:val="00AB0E4C"/>
    <w:rsid w:val="00AB0E9A"/>
    <w:rsid w:val="00AB0F44"/>
    <w:rsid w:val="00AB0FB8"/>
    <w:rsid w:val="00AB11C5"/>
    <w:rsid w:val="00AB12F8"/>
    <w:rsid w:val="00AB132B"/>
    <w:rsid w:val="00AB132F"/>
    <w:rsid w:val="00AB148A"/>
    <w:rsid w:val="00AB1520"/>
    <w:rsid w:val="00AB16B8"/>
    <w:rsid w:val="00AB16C4"/>
    <w:rsid w:val="00AB1712"/>
    <w:rsid w:val="00AB19E6"/>
    <w:rsid w:val="00AB1AF2"/>
    <w:rsid w:val="00AB1B42"/>
    <w:rsid w:val="00AB1CC6"/>
    <w:rsid w:val="00AB1E2C"/>
    <w:rsid w:val="00AB1ED7"/>
    <w:rsid w:val="00AB2186"/>
    <w:rsid w:val="00AB2219"/>
    <w:rsid w:val="00AB22E3"/>
    <w:rsid w:val="00AB23DD"/>
    <w:rsid w:val="00AB2619"/>
    <w:rsid w:val="00AB28A1"/>
    <w:rsid w:val="00AB28AA"/>
    <w:rsid w:val="00AB2928"/>
    <w:rsid w:val="00AB2B33"/>
    <w:rsid w:val="00AB2BE3"/>
    <w:rsid w:val="00AB2C12"/>
    <w:rsid w:val="00AB2D2A"/>
    <w:rsid w:val="00AB2DF7"/>
    <w:rsid w:val="00AB2E5D"/>
    <w:rsid w:val="00AB2E81"/>
    <w:rsid w:val="00AB2EFD"/>
    <w:rsid w:val="00AB3328"/>
    <w:rsid w:val="00AB340F"/>
    <w:rsid w:val="00AB3424"/>
    <w:rsid w:val="00AB3534"/>
    <w:rsid w:val="00AB359D"/>
    <w:rsid w:val="00AB36FD"/>
    <w:rsid w:val="00AB3821"/>
    <w:rsid w:val="00AB3856"/>
    <w:rsid w:val="00AB3926"/>
    <w:rsid w:val="00AB3944"/>
    <w:rsid w:val="00AB39C7"/>
    <w:rsid w:val="00AB3A5A"/>
    <w:rsid w:val="00AB3B5F"/>
    <w:rsid w:val="00AB3BD5"/>
    <w:rsid w:val="00AB3C0B"/>
    <w:rsid w:val="00AB3C84"/>
    <w:rsid w:val="00AB3C8D"/>
    <w:rsid w:val="00AB3E2F"/>
    <w:rsid w:val="00AB40CA"/>
    <w:rsid w:val="00AB4110"/>
    <w:rsid w:val="00AB4125"/>
    <w:rsid w:val="00AB433C"/>
    <w:rsid w:val="00AB4345"/>
    <w:rsid w:val="00AB4433"/>
    <w:rsid w:val="00AB4659"/>
    <w:rsid w:val="00AB4772"/>
    <w:rsid w:val="00AB47E2"/>
    <w:rsid w:val="00AB47FB"/>
    <w:rsid w:val="00AB488F"/>
    <w:rsid w:val="00AB49C8"/>
    <w:rsid w:val="00AB4A91"/>
    <w:rsid w:val="00AB4CC8"/>
    <w:rsid w:val="00AB4D2D"/>
    <w:rsid w:val="00AB4E27"/>
    <w:rsid w:val="00AB4EA5"/>
    <w:rsid w:val="00AB500A"/>
    <w:rsid w:val="00AB503A"/>
    <w:rsid w:val="00AB5125"/>
    <w:rsid w:val="00AB518A"/>
    <w:rsid w:val="00AB533B"/>
    <w:rsid w:val="00AB5673"/>
    <w:rsid w:val="00AB5730"/>
    <w:rsid w:val="00AB5789"/>
    <w:rsid w:val="00AB59DE"/>
    <w:rsid w:val="00AB5B14"/>
    <w:rsid w:val="00AB5D19"/>
    <w:rsid w:val="00AB5E92"/>
    <w:rsid w:val="00AB60C8"/>
    <w:rsid w:val="00AB6373"/>
    <w:rsid w:val="00AB63D3"/>
    <w:rsid w:val="00AB6554"/>
    <w:rsid w:val="00AB65D3"/>
    <w:rsid w:val="00AB6CB6"/>
    <w:rsid w:val="00AB6CC1"/>
    <w:rsid w:val="00AB6DE5"/>
    <w:rsid w:val="00AB6E30"/>
    <w:rsid w:val="00AB6EB6"/>
    <w:rsid w:val="00AB6F67"/>
    <w:rsid w:val="00AB7101"/>
    <w:rsid w:val="00AB71AC"/>
    <w:rsid w:val="00AB71D9"/>
    <w:rsid w:val="00AB72C3"/>
    <w:rsid w:val="00AB7369"/>
    <w:rsid w:val="00AB7429"/>
    <w:rsid w:val="00AB760B"/>
    <w:rsid w:val="00AB762A"/>
    <w:rsid w:val="00AB798C"/>
    <w:rsid w:val="00AB7AF3"/>
    <w:rsid w:val="00AB7B5A"/>
    <w:rsid w:val="00AB7B96"/>
    <w:rsid w:val="00AB7BB8"/>
    <w:rsid w:val="00AB7CDB"/>
    <w:rsid w:val="00AB7F15"/>
    <w:rsid w:val="00AC00DB"/>
    <w:rsid w:val="00AC020C"/>
    <w:rsid w:val="00AC027E"/>
    <w:rsid w:val="00AC0378"/>
    <w:rsid w:val="00AC037A"/>
    <w:rsid w:val="00AC040B"/>
    <w:rsid w:val="00AC060A"/>
    <w:rsid w:val="00AC06D7"/>
    <w:rsid w:val="00AC072F"/>
    <w:rsid w:val="00AC076D"/>
    <w:rsid w:val="00AC08E2"/>
    <w:rsid w:val="00AC08E5"/>
    <w:rsid w:val="00AC0950"/>
    <w:rsid w:val="00AC0A64"/>
    <w:rsid w:val="00AC0A87"/>
    <w:rsid w:val="00AC0ABB"/>
    <w:rsid w:val="00AC0B8A"/>
    <w:rsid w:val="00AC0FC9"/>
    <w:rsid w:val="00AC11DD"/>
    <w:rsid w:val="00AC1504"/>
    <w:rsid w:val="00AC150C"/>
    <w:rsid w:val="00AC1589"/>
    <w:rsid w:val="00AC16DA"/>
    <w:rsid w:val="00AC1790"/>
    <w:rsid w:val="00AC17C9"/>
    <w:rsid w:val="00AC17E5"/>
    <w:rsid w:val="00AC1A47"/>
    <w:rsid w:val="00AC1E93"/>
    <w:rsid w:val="00AC214D"/>
    <w:rsid w:val="00AC23C8"/>
    <w:rsid w:val="00AC240C"/>
    <w:rsid w:val="00AC278B"/>
    <w:rsid w:val="00AC29A3"/>
    <w:rsid w:val="00AC29E6"/>
    <w:rsid w:val="00AC2A18"/>
    <w:rsid w:val="00AC2A5A"/>
    <w:rsid w:val="00AC2A7E"/>
    <w:rsid w:val="00AC2C84"/>
    <w:rsid w:val="00AC2CB7"/>
    <w:rsid w:val="00AC2D6C"/>
    <w:rsid w:val="00AC2DB9"/>
    <w:rsid w:val="00AC2F8F"/>
    <w:rsid w:val="00AC3A9D"/>
    <w:rsid w:val="00AC3B40"/>
    <w:rsid w:val="00AC3D3C"/>
    <w:rsid w:val="00AC3D6F"/>
    <w:rsid w:val="00AC3EF1"/>
    <w:rsid w:val="00AC3F64"/>
    <w:rsid w:val="00AC40A2"/>
    <w:rsid w:val="00AC422A"/>
    <w:rsid w:val="00AC4248"/>
    <w:rsid w:val="00AC424B"/>
    <w:rsid w:val="00AC425E"/>
    <w:rsid w:val="00AC4497"/>
    <w:rsid w:val="00AC44A7"/>
    <w:rsid w:val="00AC46FB"/>
    <w:rsid w:val="00AC481A"/>
    <w:rsid w:val="00AC4846"/>
    <w:rsid w:val="00AC4A30"/>
    <w:rsid w:val="00AC4ABC"/>
    <w:rsid w:val="00AC4AFE"/>
    <w:rsid w:val="00AC4BAA"/>
    <w:rsid w:val="00AC4BF1"/>
    <w:rsid w:val="00AC4DB2"/>
    <w:rsid w:val="00AC4ECD"/>
    <w:rsid w:val="00AC4FE5"/>
    <w:rsid w:val="00AC5063"/>
    <w:rsid w:val="00AC50A6"/>
    <w:rsid w:val="00AC5274"/>
    <w:rsid w:val="00AC5380"/>
    <w:rsid w:val="00AC5385"/>
    <w:rsid w:val="00AC53A4"/>
    <w:rsid w:val="00AC5521"/>
    <w:rsid w:val="00AC56E8"/>
    <w:rsid w:val="00AC5800"/>
    <w:rsid w:val="00AC5B02"/>
    <w:rsid w:val="00AC5B64"/>
    <w:rsid w:val="00AC5D5F"/>
    <w:rsid w:val="00AC5D90"/>
    <w:rsid w:val="00AC5DF7"/>
    <w:rsid w:val="00AC5EA9"/>
    <w:rsid w:val="00AC6074"/>
    <w:rsid w:val="00AC6171"/>
    <w:rsid w:val="00AC61E6"/>
    <w:rsid w:val="00AC6210"/>
    <w:rsid w:val="00AC6301"/>
    <w:rsid w:val="00AC632D"/>
    <w:rsid w:val="00AC637C"/>
    <w:rsid w:val="00AC6425"/>
    <w:rsid w:val="00AC6499"/>
    <w:rsid w:val="00AC6584"/>
    <w:rsid w:val="00AC6717"/>
    <w:rsid w:val="00AC6753"/>
    <w:rsid w:val="00AC6786"/>
    <w:rsid w:val="00AC6BD7"/>
    <w:rsid w:val="00AC6DC3"/>
    <w:rsid w:val="00AC6E43"/>
    <w:rsid w:val="00AC6FA7"/>
    <w:rsid w:val="00AC6FC1"/>
    <w:rsid w:val="00AC720E"/>
    <w:rsid w:val="00AC7216"/>
    <w:rsid w:val="00AC727C"/>
    <w:rsid w:val="00AC730C"/>
    <w:rsid w:val="00AC7682"/>
    <w:rsid w:val="00AC7830"/>
    <w:rsid w:val="00AC799E"/>
    <w:rsid w:val="00AC79A6"/>
    <w:rsid w:val="00AC7A6C"/>
    <w:rsid w:val="00AC7A99"/>
    <w:rsid w:val="00AC7AB0"/>
    <w:rsid w:val="00AC7CA8"/>
    <w:rsid w:val="00AD0270"/>
    <w:rsid w:val="00AD0353"/>
    <w:rsid w:val="00AD0390"/>
    <w:rsid w:val="00AD066A"/>
    <w:rsid w:val="00AD0876"/>
    <w:rsid w:val="00AD088D"/>
    <w:rsid w:val="00AD09C7"/>
    <w:rsid w:val="00AD0A31"/>
    <w:rsid w:val="00AD0BC6"/>
    <w:rsid w:val="00AD0F03"/>
    <w:rsid w:val="00AD1013"/>
    <w:rsid w:val="00AD1253"/>
    <w:rsid w:val="00AD13B2"/>
    <w:rsid w:val="00AD150B"/>
    <w:rsid w:val="00AD1660"/>
    <w:rsid w:val="00AD179A"/>
    <w:rsid w:val="00AD181D"/>
    <w:rsid w:val="00AD18C2"/>
    <w:rsid w:val="00AD1905"/>
    <w:rsid w:val="00AD1907"/>
    <w:rsid w:val="00AD1A26"/>
    <w:rsid w:val="00AD1A87"/>
    <w:rsid w:val="00AD1AA9"/>
    <w:rsid w:val="00AD1B01"/>
    <w:rsid w:val="00AD1C2C"/>
    <w:rsid w:val="00AD1D7D"/>
    <w:rsid w:val="00AD1DAB"/>
    <w:rsid w:val="00AD1E8A"/>
    <w:rsid w:val="00AD1E9D"/>
    <w:rsid w:val="00AD1EF0"/>
    <w:rsid w:val="00AD1F96"/>
    <w:rsid w:val="00AD20E6"/>
    <w:rsid w:val="00AD2152"/>
    <w:rsid w:val="00AD2308"/>
    <w:rsid w:val="00AD233B"/>
    <w:rsid w:val="00AD23F5"/>
    <w:rsid w:val="00AD2440"/>
    <w:rsid w:val="00AD2584"/>
    <w:rsid w:val="00AD2647"/>
    <w:rsid w:val="00AD27B0"/>
    <w:rsid w:val="00AD27B4"/>
    <w:rsid w:val="00AD2A27"/>
    <w:rsid w:val="00AD2A69"/>
    <w:rsid w:val="00AD2D55"/>
    <w:rsid w:val="00AD2D96"/>
    <w:rsid w:val="00AD2E0C"/>
    <w:rsid w:val="00AD2E51"/>
    <w:rsid w:val="00AD2FC8"/>
    <w:rsid w:val="00AD31B2"/>
    <w:rsid w:val="00AD323D"/>
    <w:rsid w:val="00AD32B4"/>
    <w:rsid w:val="00AD32D5"/>
    <w:rsid w:val="00AD34FF"/>
    <w:rsid w:val="00AD3522"/>
    <w:rsid w:val="00AD358D"/>
    <w:rsid w:val="00AD35CC"/>
    <w:rsid w:val="00AD36D8"/>
    <w:rsid w:val="00AD3779"/>
    <w:rsid w:val="00AD3AA5"/>
    <w:rsid w:val="00AD3CBA"/>
    <w:rsid w:val="00AD3CDB"/>
    <w:rsid w:val="00AD3CF7"/>
    <w:rsid w:val="00AD3D67"/>
    <w:rsid w:val="00AD3E94"/>
    <w:rsid w:val="00AD3E9D"/>
    <w:rsid w:val="00AD4196"/>
    <w:rsid w:val="00AD433E"/>
    <w:rsid w:val="00AD43DF"/>
    <w:rsid w:val="00AD43EE"/>
    <w:rsid w:val="00AD446A"/>
    <w:rsid w:val="00AD45CA"/>
    <w:rsid w:val="00AD46C4"/>
    <w:rsid w:val="00AD46D2"/>
    <w:rsid w:val="00AD46F2"/>
    <w:rsid w:val="00AD4706"/>
    <w:rsid w:val="00AD4900"/>
    <w:rsid w:val="00AD4D39"/>
    <w:rsid w:val="00AD509E"/>
    <w:rsid w:val="00AD51D7"/>
    <w:rsid w:val="00AD51E1"/>
    <w:rsid w:val="00AD51E5"/>
    <w:rsid w:val="00AD5226"/>
    <w:rsid w:val="00AD52F9"/>
    <w:rsid w:val="00AD5379"/>
    <w:rsid w:val="00AD53F0"/>
    <w:rsid w:val="00AD55D8"/>
    <w:rsid w:val="00AD56E3"/>
    <w:rsid w:val="00AD59FD"/>
    <w:rsid w:val="00AD5A1F"/>
    <w:rsid w:val="00AD5BE5"/>
    <w:rsid w:val="00AD5C04"/>
    <w:rsid w:val="00AD5F35"/>
    <w:rsid w:val="00AD60EF"/>
    <w:rsid w:val="00AD6175"/>
    <w:rsid w:val="00AD6221"/>
    <w:rsid w:val="00AD6411"/>
    <w:rsid w:val="00AD64CA"/>
    <w:rsid w:val="00AD6537"/>
    <w:rsid w:val="00AD6607"/>
    <w:rsid w:val="00AD660D"/>
    <w:rsid w:val="00AD677F"/>
    <w:rsid w:val="00AD6801"/>
    <w:rsid w:val="00AD6A51"/>
    <w:rsid w:val="00AD6B24"/>
    <w:rsid w:val="00AD6B70"/>
    <w:rsid w:val="00AD6B71"/>
    <w:rsid w:val="00AD6B9F"/>
    <w:rsid w:val="00AD6D63"/>
    <w:rsid w:val="00AD704A"/>
    <w:rsid w:val="00AD706B"/>
    <w:rsid w:val="00AD71EE"/>
    <w:rsid w:val="00AD730C"/>
    <w:rsid w:val="00AD763E"/>
    <w:rsid w:val="00AD76DE"/>
    <w:rsid w:val="00AD772B"/>
    <w:rsid w:val="00AD7741"/>
    <w:rsid w:val="00AD781F"/>
    <w:rsid w:val="00AD7A41"/>
    <w:rsid w:val="00AD7C4C"/>
    <w:rsid w:val="00AD7C60"/>
    <w:rsid w:val="00AE0029"/>
    <w:rsid w:val="00AE0050"/>
    <w:rsid w:val="00AE0084"/>
    <w:rsid w:val="00AE0199"/>
    <w:rsid w:val="00AE01C7"/>
    <w:rsid w:val="00AE0442"/>
    <w:rsid w:val="00AE0487"/>
    <w:rsid w:val="00AE054C"/>
    <w:rsid w:val="00AE05AC"/>
    <w:rsid w:val="00AE06AF"/>
    <w:rsid w:val="00AE06ED"/>
    <w:rsid w:val="00AE070A"/>
    <w:rsid w:val="00AE07F8"/>
    <w:rsid w:val="00AE0838"/>
    <w:rsid w:val="00AE0998"/>
    <w:rsid w:val="00AE0DB3"/>
    <w:rsid w:val="00AE0E0D"/>
    <w:rsid w:val="00AE0FAC"/>
    <w:rsid w:val="00AE0FB3"/>
    <w:rsid w:val="00AE11D0"/>
    <w:rsid w:val="00AE120B"/>
    <w:rsid w:val="00AE133A"/>
    <w:rsid w:val="00AE160B"/>
    <w:rsid w:val="00AE162E"/>
    <w:rsid w:val="00AE17C1"/>
    <w:rsid w:val="00AE1941"/>
    <w:rsid w:val="00AE1BE8"/>
    <w:rsid w:val="00AE1C0F"/>
    <w:rsid w:val="00AE1CBE"/>
    <w:rsid w:val="00AE1CDF"/>
    <w:rsid w:val="00AE1D1A"/>
    <w:rsid w:val="00AE1D78"/>
    <w:rsid w:val="00AE1DBE"/>
    <w:rsid w:val="00AE1EB3"/>
    <w:rsid w:val="00AE20FC"/>
    <w:rsid w:val="00AE2104"/>
    <w:rsid w:val="00AE21EC"/>
    <w:rsid w:val="00AE226B"/>
    <w:rsid w:val="00AE2278"/>
    <w:rsid w:val="00AE2295"/>
    <w:rsid w:val="00AE2329"/>
    <w:rsid w:val="00AE2346"/>
    <w:rsid w:val="00AE2582"/>
    <w:rsid w:val="00AE2606"/>
    <w:rsid w:val="00AE2618"/>
    <w:rsid w:val="00AE2918"/>
    <w:rsid w:val="00AE2A85"/>
    <w:rsid w:val="00AE2BB8"/>
    <w:rsid w:val="00AE2D30"/>
    <w:rsid w:val="00AE2F86"/>
    <w:rsid w:val="00AE310D"/>
    <w:rsid w:val="00AE3173"/>
    <w:rsid w:val="00AE3267"/>
    <w:rsid w:val="00AE3354"/>
    <w:rsid w:val="00AE3476"/>
    <w:rsid w:val="00AE3534"/>
    <w:rsid w:val="00AE3774"/>
    <w:rsid w:val="00AE37A6"/>
    <w:rsid w:val="00AE3CA0"/>
    <w:rsid w:val="00AE3E73"/>
    <w:rsid w:val="00AE3EC6"/>
    <w:rsid w:val="00AE3EF5"/>
    <w:rsid w:val="00AE40E1"/>
    <w:rsid w:val="00AE4283"/>
    <w:rsid w:val="00AE42EB"/>
    <w:rsid w:val="00AE4312"/>
    <w:rsid w:val="00AE4318"/>
    <w:rsid w:val="00AE4383"/>
    <w:rsid w:val="00AE460B"/>
    <w:rsid w:val="00AE4633"/>
    <w:rsid w:val="00AE480F"/>
    <w:rsid w:val="00AE4947"/>
    <w:rsid w:val="00AE4952"/>
    <w:rsid w:val="00AE4BAB"/>
    <w:rsid w:val="00AE4C37"/>
    <w:rsid w:val="00AE4CE5"/>
    <w:rsid w:val="00AE4E07"/>
    <w:rsid w:val="00AE4F18"/>
    <w:rsid w:val="00AE4F3C"/>
    <w:rsid w:val="00AE4F8E"/>
    <w:rsid w:val="00AE4F94"/>
    <w:rsid w:val="00AE4FB4"/>
    <w:rsid w:val="00AE509E"/>
    <w:rsid w:val="00AE5228"/>
    <w:rsid w:val="00AE5290"/>
    <w:rsid w:val="00AE535E"/>
    <w:rsid w:val="00AE557E"/>
    <w:rsid w:val="00AE55C8"/>
    <w:rsid w:val="00AE5673"/>
    <w:rsid w:val="00AE56B5"/>
    <w:rsid w:val="00AE56BC"/>
    <w:rsid w:val="00AE572C"/>
    <w:rsid w:val="00AE5906"/>
    <w:rsid w:val="00AE5B2A"/>
    <w:rsid w:val="00AE5B3E"/>
    <w:rsid w:val="00AE5BF2"/>
    <w:rsid w:val="00AE5CFF"/>
    <w:rsid w:val="00AE5D16"/>
    <w:rsid w:val="00AE5E66"/>
    <w:rsid w:val="00AE5E6A"/>
    <w:rsid w:val="00AE5E9A"/>
    <w:rsid w:val="00AE5FEA"/>
    <w:rsid w:val="00AE60B2"/>
    <w:rsid w:val="00AE6252"/>
    <w:rsid w:val="00AE6277"/>
    <w:rsid w:val="00AE6473"/>
    <w:rsid w:val="00AE664B"/>
    <w:rsid w:val="00AE676B"/>
    <w:rsid w:val="00AE6893"/>
    <w:rsid w:val="00AE6B9A"/>
    <w:rsid w:val="00AE6E3F"/>
    <w:rsid w:val="00AE6EA3"/>
    <w:rsid w:val="00AE6F1A"/>
    <w:rsid w:val="00AE6FAB"/>
    <w:rsid w:val="00AE7323"/>
    <w:rsid w:val="00AE7362"/>
    <w:rsid w:val="00AE73BE"/>
    <w:rsid w:val="00AE750F"/>
    <w:rsid w:val="00AE7658"/>
    <w:rsid w:val="00AE769D"/>
    <w:rsid w:val="00AE79B3"/>
    <w:rsid w:val="00AE7BB7"/>
    <w:rsid w:val="00AE7C4A"/>
    <w:rsid w:val="00AE7C65"/>
    <w:rsid w:val="00AE7C6E"/>
    <w:rsid w:val="00AE7CA1"/>
    <w:rsid w:val="00AE7D3E"/>
    <w:rsid w:val="00AE7D43"/>
    <w:rsid w:val="00AE7DCF"/>
    <w:rsid w:val="00AE7EB1"/>
    <w:rsid w:val="00AE7EFB"/>
    <w:rsid w:val="00AE7EFC"/>
    <w:rsid w:val="00AF0012"/>
    <w:rsid w:val="00AF022C"/>
    <w:rsid w:val="00AF023D"/>
    <w:rsid w:val="00AF0285"/>
    <w:rsid w:val="00AF07BD"/>
    <w:rsid w:val="00AF0C56"/>
    <w:rsid w:val="00AF0C7E"/>
    <w:rsid w:val="00AF0DD4"/>
    <w:rsid w:val="00AF0F77"/>
    <w:rsid w:val="00AF100F"/>
    <w:rsid w:val="00AF103F"/>
    <w:rsid w:val="00AF118B"/>
    <w:rsid w:val="00AF1297"/>
    <w:rsid w:val="00AF129D"/>
    <w:rsid w:val="00AF154F"/>
    <w:rsid w:val="00AF158E"/>
    <w:rsid w:val="00AF15E9"/>
    <w:rsid w:val="00AF16B9"/>
    <w:rsid w:val="00AF17AA"/>
    <w:rsid w:val="00AF184A"/>
    <w:rsid w:val="00AF18B9"/>
    <w:rsid w:val="00AF19DD"/>
    <w:rsid w:val="00AF1E1E"/>
    <w:rsid w:val="00AF1E78"/>
    <w:rsid w:val="00AF2065"/>
    <w:rsid w:val="00AF2185"/>
    <w:rsid w:val="00AF22F2"/>
    <w:rsid w:val="00AF22FF"/>
    <w:rsid w:val="00AF2333"/>
    <w:rsid w:val="00AF2459"/>
    <w:rsid w:val="00AF27D4"/>
    <w:rsid w:val="00AF2916"/>
    <w:rsid w:val="00AF293C"/>
    <w:rsid w:val="00AF29DD"/>
    <w:rsid w:val="00AF2A27"/>
    <w:rsid w:val="00AF2A5F"/>
    <w:rsid w:val="00AF2AC1"/>
    <w:rsid w:val="00AF2BA1"/>
    <w:rsid w:val="00AF2D1D"/>
    <w:rsid w:val="00AF2DF0"/>
    <w:rsid w:val="00AF2E2E"/>
    <w:rsid w:val="00AF302A"/>
    <w:rsid w:val="00AF31F0"/>
    <w:rsid w:val="00AF322F"/>
    <w:rsid w:val="00AF346A"/>
    <w:rsid w:val="00AF34BC"/>
    <w:rsid w:val="00AF3505"/>
    <w:rsid w:val="00AF375E"/>
    <w:rsid w:val="00AF3768"/>
    <w:rsid w:val="00AF3786"/>
    <w:rsid w:val="00AF3868"/>
    <w:rsid w:val="00AF3962"/>
    <w:rsid w:val="00AF3BC8"/>
    <w:rsid w:val="00AF3C70"/>
    <w:rsid w:val="00AF3CC6"/>
    <w:rsid w:val="00AF3E88"/>
    <w:rsid w:val="00AF3F2E"/>
    <w:rsid w:val="00AF3FD9"/>
    <w:rsid w:val="00AF414D"/>
    <w:rsid w:val="00AF435F"/>
    <w:rsid w:val="00AF4382"/>
    <w:rsid w:val="00AF45AB"/>
    <w:rsid w:val="00AF45DD"/>
    <w:rsid w:val="00AF47A1"/>
    <w:rsid w:val="00AF48A5"/>
    <w:rsid w:val="00AF492C"/>
    <w:rsid w:val="00AF4B4F"/>
    <w:rsid w:val="00AF4D95"/>
    <w:rsid w:val="00AF4E99"/>
    <w:rsid w:val="00AF4FC8"/>
    <w:rsid w:val="00AF5089"/>
    <w:rsid w:val="00AF5092"/>
    <w:rsid w:val="00AF517E"/>
    <w:rsid w:val="00AF5221"/>
    <w:rsid w:val="00AF523E"/>
    <w:rsid w:val="00AF5280"/>
    <w:rsid w:val="00AF54A0"/>
    <w:rsid w:val="00AF54D8"/>
    <w:rsid w:val="00AF55F2"/>
    <w:rsid w:val="00AF560D"/>
    <w:rsid w:val="00AF5838"/>
    <w:rsid w:val="00AF5A19"/>
    <w:rsid w:val="00AF5A8A"/>
    <w:rsid w:val="00AF5D12"/>
    <w:rsid w:val="00AF5D3D"/>
    <w:rsid w:val="00AF5D67"/>
    <w:rsid w:val="00AF5ED2"/>
    <w:rsid w:val="00AF633B"/>
    <w:rsid w:val="00AF642E"/>
    <w:rsid w:val="00AF6631"/>
    <w:rsid w:val="00AF69F6"/>
    <w:rsid w:val="00AF6A00"/>
    <w:rsid w:val="00AF6A2C"/>
    <w:rsid w:val="00AF6A46"/>
    <w:rsid w:val="00AF6B15"/>
    <w:rsid w:val="00AF6BBE"/>
    <w:rsid w:val="00AF6BDF"/>
    <w:rsid w:val="00AF6C3B"/>
    <w:rsid w:val="00AF6E27"/>
    <w:rsid w:val="00AF6E6C"/>
    <w:rsid w:val="00AF6EC4"/>
    <w:rsid w:val="00AF6F17"/>
    <w:rsid w:val="00AF707D"/>
    <w:rsid w:val="00AF709D"/>
    <w:rsid w:val="00AF7112"/>
    <w:rsid w:val="00AF7181"/>
    <w:rsid w:val="00AF71B5"/>
    <w:rsid w:val="00AF71D8"/>
    <w:rsid w:val="00AF725C"/>
    <w:rsid w:val="00AF72B7"/>
    <w:rsid w:val="00AF72D4"/>
    <w:rsid w:val="00AF7349"/>
    <w:rsid w:val="00AF74D5"/>
    <w:rsid w:val="00AF7542"/>
    <w:rsid w:val="00AF7652"/>
    <w:rsid w:val="00AF7664"/>
    <w:rsid w:val="00AF7706"/>
    <w:rsid w:val="00AF7B72"/>
    <w:rsid w:val="00AF7C20"/>
    <w:rsid w:val="00AF7CA6"/>
    <w:rsid w:val="00AF7DF6"/>
    <w:rsid w:val="00AF7E0B"/>
    <w:rsid w:val="00AF7E49"/>
    <w:rsid w:val="00AF7FE0"/>
    <w:rsid w:val="00B000A7"/>
    <w:rsid w:val="00B0010C"/>
    <w:rsid w:val="00B00122"/>
    <w:rsid w:val="00B001DA"/>
    <w:rsid w:val="00B002B6"/>
    <w:rsid w:val="00B002E8"/>
    <w:rsid w:val="00B00339"/>
    <w:rsid w:val="00B0053B"/>
    <w:rsid w:val="00B005F0"/>
    <w:rsid w:val="00B006C2"/>
    <w:rsid w:val="00B0075E"/>
    <w:rsid w:val="00B007B8"/>
    <w:rsid w:val="00B00895"/>
    <w:rsid w:val="00B0092D"/>
    <w:rsid w:val="00B00A10"/>
    <w:rsid w:val="00B00E12"/>
    <w:rsid w:val="00B00F0B"/>
    <w:rsid w:val="00B0102C"/>
    <w:rsid w:val="00B0119B"/>
    <w:rsid w:val="00B011A3"/>
    <w:rsid w:val="00B012F3"/>
    <w:rsid w:val="00B0132A"/>
    <w:rsid w:val="00B01467"/>
    <w:rsid w:val="00B01468"/>
    <w:rsid w:val="00B0155B"/>
    <w:rsid w:val="00B01754"/>
    <w:rsid w:val="00B0185F"/>
    <w:rsid w:val="00B01908"/>
    <w:rsid w:val="00B0191E"/>
    <w:rsid w:val="00B01C7E"/>
    <w:rsid w:val="00B01CD4"/>
    <w:rsid w:val="00B01E6F"/>
    <w:rsid w:val="00B01ED8"/>
    <w:rsid w:val="00B01EF3"/>
    <w:rsid w:val="00B01F07"/>
    <w:rsid w:val="00B01F14"/>
    <w:rsid w:val="00B01F68"/>
    <w:rsid w:val="00B020E6"/>
    <w:rsid w:val="00B02193"/>
    <w:rsid w:val="00B02204"/>
    <w:rsid w:val="00B0221E"/>
    <w:rsid w:val="00B023F0"/>
    <w:rsid w:val="00B0259B"/>
    <w:rsid w:val="00B025FC"/>
    <w:rsid w:val="00B02923"/>
    <w:rsid w:val="00B02C1A"/>
    <w:rsid w:val="00B02C6B"/>
    <w:rsid w:val="00B02E1B"/>
    <w:rsid w:val="00B02E8C"/>
    <w:rsid w:val="00B02F63"/>
    <w:rsid w:val="00B03081"/>
    <w:rsid w:val="00B03268"/>
    <w:rsid w:val="00B03286"/>
    <w:rsid w:val="00B032DD"/>
    <w:rsid w:val="00B032E9"/>
    <w:rsid w:val="00B03458"/>
    <w:rsid w:val="00B03AFF"/>
    <w:rsid w:val="00B03CA5"/>
    <w:rsid w:val="00B041A4"/>
    <w:rsid w:val="00B0454D"/>
    <w:rsid w:val="00B045E9"/>
    <w:rsid w:val="00B04612"/>
    <w:rsid w:val="00B04668"/>
    <w:rsid w:val="00B04D80"/>
    <w:rsid w:val="00B04DAF"/>
    <w:rsid w:val="00B04FC8"/>
    <w:rsid w:val="00B0505E"/>
    <w:rsid w:val="00B05079"/>
    <w:rsid w:val="00B05174"/>
    <w:rsid w:val="00B05346"/>
    <w:rsid w:val="00B05400"/>
    <w:rsid w:val="00B05416"/>
    <w:rsid w:val="00B0548F"/>
    <w:rsid w:val="00B0550C"/>
    <w:rsid w:val="00B05606"/>
    <w:rsid w:val="00B056A5"/>
    <w:rsid w:val="00B056EE"/>
    <w:rsid w:val="00B058C9"/>
    <w:rsid w:val="00B05953"/>
    <w:rsid w:val="00B05A73"/>
    <w:rsid w:val="00B05B29"/>
    <w:rsid w:val="00B05C12"/>
    <w:rsid w:val="00B05F24"/>
    <w:rsid w:val="00B05F26"/>
    <w:rsid w:val="00B05F40"/>
    <w:rsid w:val="00B05F60"/>
    <w:rsid w:val="00B06047"/>
    <w:rsid w:val="00B06060"/>
    <w:rsid w:val="00B061B3"/>
    <w:rsid w:val="00B062C3"/>
    <w:rsid w:val="00B06367"/>
    <w:rsid w:val="00B06371"/>
    <w:rsid w:val="00B063B1"/>
    <w:rsid w:val="00B06567"/>
    <w:rsid w:val="00B0674B"/>
    <w:rsid w:val="00B06781"/>
    <w:rsid w:val="00B0698A"/>
    <w:rsid w:val="00B06A96"/>
    <w:rsid w:val="00B06B55"/>
    <w:rsid w:val="00B06CB6"/>
    <w:rsid w:val="00B06DF1"/>
    <w:rsid w:val="00B06E81"/>
    <w:rsid w:val="00B070FE"/>
    <w:rsid w:val="00B07307"/>
    <w:rsid w:val="00B0730C"/>
    <w:rsid w:val="00B074E1"/>
    <w:rsid w:val="00B076C1"/>
    <w:rsid w:val="00B077F3"/>
    <w:rsid w:val="00B0786B"/>
    <w:rsid w:val="00B0788B"/>
    <w:rsid w:val="00B078A0"/>
    <w:rsid w:val="00B078CD"/>
    <w:rsid w:val="00B079A1"/>
    <w:rsid w:val="00B079B2"/>
    <w:rsid w:val="00B07A1B"/>
    <w:rsid w:val="00B07AC0"/>
    <w:rsid w:val="00B07C74"/>
    <w:rsid w:val="00B07E4D"/>
    <w:rsid w:val="00B07F59"/>
    <w:rsid w:val="00B07FB8"/>
    <w:rsid w:val="00B1016E"/>
    <w:rsid w:val="00B101D6"/>
    <w:rsid w:val="00B10229"/>
    <w:rsid w:val="00B1027C"/>
    <w:rsid w:val="00B10293"/>
    <w:rsid w:val="00B1034C"/>
    <w:rsid w:val="00B105F7"/>
    <w:rsid w:val="00B106B1"/>
    <w:rsid w:val="00B1097D"/>
    <w:rsid w:val="00B10A05"/>
    <w:rsid w:val="00B10B2A"/>
    <w:rsid w:val="00B10C0A"/>
    <w:rsid w:val="00B10C68"/>
    <w:rsid w:val="00B10CEF"/>
    <w:rsid w:val="00B10E8A"/>
    <w:rsid w:val="00B11154"/>
    <w:rsid w:val="00B11278"/>
    <w:rsid w:val="00B113E7"/>
    <w:rsid w:val="00B113EA"/>
    <w:rsid w:val="00B114AC"/>
    <w:rsid w:val="00B11537"/>
    <w:rsid w:val="00B115A3"/>
    <w:rsid w:val="00B115C5"/>
    <w:rsid w:val="00B11609"/>
    <w:rsid w:val="00B117A2"/>
    <w:rsid w:val="00B117E4"/>
    <w:rsid w:val="00B11A4D"/>
    <w:rsid w:val="00B11C1F"/>
    <w:rsid w:val="00B11C2D"/>
    <w:rsid w:val="00B11E85"/>
    <w:rsid w:val="00B122FA"/>
    <w:rsid w:val="00B1239C"/>
    <w:rsid w:val="00B125EC"/>
    <w:rsid w:val="00B126FA"/>
    <w:rsid w:val="00B127B9"/>
    <w:rsid w:val="00B127D1"/>
    <w:rsid w:val="00B1280D"/>
    <w:rsid w:val="00B12BD5"/>
    <w:rsid w:val="00B12C33"/>
    <w:rsid w:val="00B12C53"/>
    <w:rsid w:val="00B12C98"/>
    <w:rsid w:val="00B12D54"/>
    <w:rsid w:val="00B12D65"/>
    <w:rsid w:val="00B12D75"/>
    <w:rsid w:val="00B12E56"/>
    <w:rsid w:val="00B12F71"/>
    <w:rsid w:val="00B12FE8"/>
    <w:rsid w:val="00B1303D"/>
    <w:rsid w:val="00B131A7"/>
    <w:rsid w:val="00B131AF"/>
    <w:rsid w:val="00B13254"/>
    <w:rsid w:val="00B13696"/>
    <w:rsid w:val="00B139AA"/>
    <w:rsid w:val="00B13DE3"/>
    <w:rsid w:val="00B14025"/>
    <w:rsid w:val="00B14163"/>
    <w:rsid w:val="00B1421C"/>
    <w:rsid w:val="00B142B8"/>
    <w:rsid w:val="00B144BE"/>
    <w:rsid w:val="00B14515"/>
    <w:rsid w:val="00B1470B"/>
    <w:rsid w:val="00B1471D"/>
    <w:rsid w:val="00B147A1"/>
    <w:rsid w:val="00B14A9A"/>
    <w:rsid w:val="00B14AC8"/>
    <w:rsid w:val="00B14E43"/>
    <w:rsid w:val="00B14F18"/>
    <w:rsid w:val="00B14F59"/>
    <w:rsid w:val="00B14FFF"/>
    <w:rsid w:val="00B151CC"/>
    <w:rsid w:val="00B15307"/>
    <w:rsid w:val="00B1533E"/>
    <w:rsid w:val="00B15486"/>
    <w:rsid w:val="00B15538"/>
    <w:rsid w:val="00B155FA"/>
    <w:rsid w:val="00B156B7"/>
    <w:rsid w:val="00B156D9"/>
    <w:rsid w:val="00B157B9"/>
    <w:rsid w:val="00B157E0"/>
    <w:rsid w:val="00B15995"/>
    <w:rsid w:val="00B15A19"/>
    <w:rsid w:val="00B15A30"/>
    <w:rsid w:val="00B15BAD"/>
    <w:rsid w:val="00B15BE7"/>
    <w:rsid w:val="00B15C46"/>
    <w:rsid w:val="00B15CB1"/>
    <w:rsid w:val="00B15E14"/>
    <w:rsid w:val="00B15E5F"/>
    <w:rsid w:val="00B15E9F"/>
    <w:rsid w:val="00B15EBF"/>
    <w:rsid w:val="00B15F53"/>
    <w:rsid w:val="00B1600E"/>
    <w:rsid w:val="00B16076"/>
    <w:rsid w:val="00B163E6"/>
    <w:rsid w:val="00B164E5"/>
    <w:rsid w:val="00B16546"/>
    <w:rsid w:val="00B16874"/>
    <w:rsid w:val="00B168A2"/>
    <w:rsid w:val="00B16903"/>
    <w:rsid w:val="00B169E9"/>
    <w:rsid w:val="00B16A60"/>
    <w:rsid w:val="00B16B0A"/>
    <w:rsid w:val="00B16B34"/>
    <w:rsid w:val="00B16BAD"/>
    <w:rsid w:val="00B16DBB"/>
    <w:rsid w:val="00B16E80"/>
    <w:rsid w:val="00B170C4"/>
    <w:rsid w:val="00B1715D"/>
    <w:rsid w:val="00B1718C"/>
    <w:rsid w:val="00B17596"/>
    <w:rsid w:val="00B175CA"/>
    <w:rsid w:val="00B175DC"/>
    <w:rsid w:val="00B176CC"/>
    <w:rsid w:val="00B177B3"/>
    <w:rsid w:val="00B178BC"/>
    <w:rsid w:val="00B1797C"/>
    <w:rsid w:val="00B17AA9"/>
    <w:rsid w:val="00B17BD1"/>
    <w:rsid w:val="00B17F5A"/>
    <w:rsid w:val="00B17F93"/>
    <w:rsid w:val="00B2001E"/>
    <w:rsid w:val="00B20045"/>
    <w:rsid w:val="00B20255"/>
    <w:rsid w:val="00B202C6"/>
    <w:rsid w:val="00B20312"/>
    <w:rsid w:val="00B203E9"/>
    <w:rsid w:val="00B204AC"/>
    <w:rsid w:val="00B204E1"/>
    <w:rsid w:val="00B20511"/>
    <w:rsid w:val="00B205E6"/>
    <w:rsid w:val="00B206D5"/>
    <w:rsid w:val="00B2076E"/>
    <w:rsid w:val="00B207F9"/>
    <w:rsid w:val="00B20BB3"/>
    <w:rsid w:val="00B20CB3"/>
    <w:rsid w:val="00B20DD0"/>
    <w:rsid w:val="00B20EF6"/>
    <w:rsid w:val="00B20FC3"/>
    <w:rsid w:val="00B20FC5"/>
    <w:rsid w:val="00B21034"/>
    <w:rsid w:val="00B21087"/>
    <w:rsid w:val="00B210BE"/>
    <w:rsid w:val="00B21103"/>
    <w:rsid w:val="00B2110C"/>
    <w:rsid w:val="00B21165"/>
    <w:rsid w:val="00B211E5"/>
    <w:rsid w:val="00B212A1"/>
    <w:rsid w:val="00B213D0"/>
    <w:rsid w:val="00B217C6"/>
    <w:rsid w:val="00B219F5"/>
    <w:rsid w:val="00B21A26"/>
    <w:rsid w:val="00B21B67"/>
    <w:rsid w:val="00B21BC3"/>
    <w:rsid w:val="00B21CEE"/>
    <w:rsid w:val="00B21DA1"/>
    <w:rsid w:val="00B21DDB"/>
    <w:rsid w:val="00B21E0F"/>
    <w:rsid w:val="00B21F37"/>
    <w:rsid w:val="00B22027"/>
    <w:rsid w:val="00B22039"/>
    <w:rsid w:val="00B22146"/>
    <w:rsid w:val="00B221DD"/>
    <w:rsid w:val="00B222CA"/>
    <w:rsid w:val="00B222CB"/>
    <w:rsid w:val="00B223B6"/>
    <w:rsid w:val="00B2241A"/>
    <w:rsid w:val="00B22587"/>
    <w:rsid w:val="00B226C0"/>
    <w:rsid w:val="00B2274E"/>
    <w:rsid w:val="00B227D8"/>
    <w:rsid w:val="00B2281F"/>
    <w:rsid w:val="00B22B63"/>
    <w:rsid w:val="00B22C75"/>
    <w:rsid w:val="00B22CFE"/>
    <w:rsid w:val="00B22E5D"/>
    <w:rsid w:val="00B23685"/>
    <w:rsid w:val="00B23840"/>
    <w:rsid w:val="00B23940"/>
    <w:rsid w:val="00B23DEA"/>
    <w:rsid w:val="00B241A4"/>
    <w:rsid w:val="00B2434F"/>
    <w:rsid w:val="00B243A7"/>
    <w:rsid w:val="00B2446D"/>
    <w:rsid w:val="00B2453D"/>
    <w:rsid w:val="00B24699"/>
    <w:rsid w:val="00B247B7"/>
    <w:rsid w:val="00B2489D"/>
    <w:rsid w:val="00B248C8"/>
    <w:rsid w:val="00B248DF"/>
    <w:rsid w:val="00B24BFB"/>
    <w:rsid w:val="00B24DB4"/>
    <w:rsid w:val="00B24DDF"/>
    <w:rsid w:val="00B24DF6"/>
    <w:rsid w:val="00B24E3F"/>
    <w:rsid w:val="00B24EFF"/>
    <w:rsid w:val="00B24F28"/>
    <w:rsid w:val="00B24FA2"/>
    <w:rsid w:val="00B2518E"/>
    <w:rsid w:val="00B251C7"/>
    <w:rsid w:val="00B251CC"/>
    <w:rsid w:val="00B251F5"/>
    <w:rsid w:val="00B25269"/>
    <w:rsid w:val="00B25310"/>
    <w:rsid w:val="00B25323"/>
    <w:rsid w:val="00B2559B"/>
    <w:rsid w:val="00B258BC"/>
    <w:rsid w:val="00B25B46"/>
    <w:rsid w:val="00B25C89"/>
    <w:rsid w:val="00B25DDA"/>
    <w:rsid w:val="00B25DEF"/>
    <w:rsid w:val="00B25FB4"/>
    <w:rsid w:val="00B26094"/>
    <w:rsid w:val="00B26126"/>
    <w:rsid w:val="00B261D4"/>
    <w:rsid w:val="00B2621B"/>
    <w:rsid w:val="00B262B7"/>
    <w:rsid w:val="00B26351"/>
    <w:rsid w:val="00B26356"/>
    <w:rsid w:val="00B26566"/>
    <w:rsid w:val="00B26588"/>
    <w:rsid w:val="00B26751"/>
    <w:rsid w:val="00B26861"/>
    <w:rsid w:val="00B26921"/>
    <w:rsid w:val="00B26978"/>
    <w:rsid w:val="00B26985"/>
    <w:rsid w:val="00B26A39"/>
    <w:rsid w:val="00B26B66"/>
    <w:rsid w:val="00B26B92"/>
    <w:rsid w:val="00B26BB1"/>
    <w:rsid w:val="00B26C59"/>
    <w:rsid w:val="00B26CFD"/>
    <w:rsid w:val="00B26D7B"/>
    <w:rsid w:val="00B26DC1"/>
    <w:rsid w:val="00B26EB2"/>
    <w:rsid w:val="00B26FDE"/>
    <w:rsid w:val="00B27043"/>
    <w:rsid w:val="00B2718E"/>
    <w:rsid w:val="00B272E2"/>
    <w:rsid w:val="00B272E5"/>
    <w:rsid w:val="00B27317"/>
    <w:rsid w:val="00B273FC"/>
    <w:rsid w:val="00B27748"/>
    <w:rsid w:val="00B277BF"/>
    <w:rsid w:val="00B27880"/>
    <w:rsid w:val="00B278B6"/>
    <w:rsid w:val="00B278F8"/>
    <w:rsid w:val="00B278FC"/>
    <w:rsid w:val="00B27A2A"/>
    <w:rsid w:val="00B27AC0"/>
    <w:rsid w:val="00B27AC9"/>
    <w:rsid w:val="00B27C63"/>
    <w:rsid w:val="00B27C74"/>
    <w:rsid w:val="00B27CFC"/>
    <w:rsid w:val="00B27D28"/>
    <w:rsid w:val="00B27E77"/>
    <w:rsid w:val="00B27ED2"/>
    <w:rsid w:val="00B27F34"/>
    <w:rsid w:val="00B3003B"/>
    <w:rsid w:val="00B301CB"/>
    <w:rsid w:val="00B3045C"/>
    <w:rsid w:val="00B304C4"/>
    <w:rsid w:val="00B305FD"/>
    <w:rsid w:val="00B30610"/>
    <w:rsid w:val="00B3062B"/>
    <w:rsid w:val="00B308AA"/>
    <w:rsid w:val="00B3090E"/>
    <w:rsid w:val="00B30AFB"/>
    <w:rsid w:val="00B30B3A"/>
    <w:rsid w:val="00B30B69"/>
    <w:rsid w:val="00B30CF0"/>
    <w:rsid w:val="00B30DE9"/>
    <w:rsid w:val="00B30F35"/>
    <w:rsid w:val="00B30F9D"/>
    <w:rsid w:val="00B31045"/>
    <w:rsid w:val="00B31080"/>
    <w:rsid w:val="00B310A6"/>
    <w:rsid w:val="00B310D3"/>
    <w:rsid w:val="00B31117"/>
    <w:rsid w:val="00B314B0"/>
    <w:rsid w:val="00B31509"/>
    <w:rsid w:val="00B31545"/>
    <w:rsid w:val="00B3154D"/>
    <w:rsid w:val="00B31573"/>
    <w:rsid w:val="00B31742"/>
    <w:rsid w:val="00B31836"/>
    <w:rsid w:val="00B31ADA"/>
    <w:rsid w:val="00B31AE6"/>
    <w:rsid w:val="00B31C3B"/>
    <w:rsid w:val="00B32365"/>
    <w:rsid w:val="00B325A0"/>
    <w:rsid w:val="00B32793"/>
    <w:rsid w:val="00B32896"/>
    <w:rsid w:val="00B32A62"/>
    <w:rsid w:val="00B32ADF"/>
    <w:rsid w:val="00B32B88"/>
    <w:rsid w:val="00B32C52"/>
    <w:rsid w:val="00B32C98"/>
    <w:rsid w:val="00B32CEB"/>
    <w:rsid w:val="00B32D75"/>
    <w:rsid w:val="00B32DC7"/>
    <w:rsid w:val="00B32F9A"/>
    <w:rsid w:val="00B32FD2"/>
    <w:rsid w:val="00B32FFD"/>
    <w:rsid w:val="00B3309C"/>
    <w:rsid w:val="00B332AE"/>
    <w:rsid w:val="00B33446"/>
    <w:rsid w:val="00B33568"/>
    <w:rsid w:val="00B337CC"/>
    <w:rsid w:val="00B33971"/>
    <w:rsid w:val="00B339BA"/>
    <w:rsid w:val="00B33A17"/>
    <w:rsid w:val="00B33BAA"/>
    <w:rsid w:val="00B33CB3"/>
    <w:rsid w:val="00B33D03"/>
    <w:rsid w:val="00B33D76"/>
    <w:rsid w:val="00B33EA3"/>
    <w:rsid w:val="00B33FE9"/>
    <w:rsid w:val="00B3402F"/>
    <w:rsid w:val="00B3403C"/>
    <w:rsid w:val="00B341D9"/>
    <w:rsid w:val="00B3422F"/>
    <w:rsid w:val="00B342E5"/>
    <w:rsid w:val="00B34347"/>
    <w:rsid w:val="00B345CB"/>
    <w:rsid w:val="00B34658"/>
    <w:rsid w:val="00B34785"/>
    <w:rsid w:val="00B347A1"/>
    <w:rsid w:val="00B34805"/>
    <w:rsid w:val="00B3481D"/>
    <w:rsid w:val="00B348DA"/>
    <w:rsid w:val="00B34A26"/>
    <w:rsid w:val="00B34C45"/>
    <w:rsid w:val="00B34C68"/>
    <w:rsid w:val="00B34C7B"/>
    <w:rsid w:val="00B34E01"/>
    <w:rsid w:val="00B34E82"/>
    <w:rsid w:val="00B34E97"/>
    <w:rsid w:val="00B35058"/>
    <w:rsid w:val="00B35175"/>
    <w:rsid w:val="00B351E4"/>
    <w:rsid w:val="00B352A9"/>
    <w:rsid w:val="00B35305"/>
    <w:rsid w:val="00B3553A"/>
    <w:rsid w:val="00B355E8"/>
    <w:rsid w:val="00B355EA"/>
    <w:rsid w:val="00B35607"/>
    <w:rsid w:val="00B3589B"/>
    <w:rsid w:val="00B35924"/>
    <w:rsid w:val="00B35A0B"/>
    <w:rsid w:val="00B35B4D"/>
    <w:rsid w:val="00B35C8D"/>
    <w:rsid w:val="00B35CBC"/>
    <w:rsid w:val="00B35DB9"/>
    <w:rsid w:val="00B35F9B"/>
    <w:rsid w:val="00B35FD6"/>
    <w:rsid w:val="00B360C5"/>
    <w:rsid w:val="00B36123"/>
    <w:rsid w:val="00B363C1"/>
    <w:rsid w:val="00B36448"/>
    <w:rsid w:val="00B364B5"/>
    <w:rsid w:val="00B365B1"/>
    <w:rsid w:val="00B366A4"/>
    <w:rsid w:val="00B366B6"/>
    <w:rsid w:val="00B36737"/>
    <w:rsid w:val="00B367E8"/>
    <w:rsid w:val="00B36AAF"/>
    <w:rsid w:val="00B36B59"/>
    <w:rsid w:val="00B36F0F"/>
    <w:rsid w:val="00B36F42"/>
    <w:rsid w:val="00B36FAA"/>
    <w:rsid w:val="00B36FAD"/>
    <w:rsid w:val="00B37165"/>
    <w:rsid w:val="00B3717B"/>
    <w:rsid w:val="00B371A2"/>
    <w:rsid w:val="00B3722A"/>
    <w:rsid w:val="00B372DB"/>
    <w:rsid w:val="00B372E9"/>
    <w:rsid w:val="00B37412"/>
    <w:rsid w:val="00B37414"/>
    <w:rsid w:val="00B374E6"/>
    <w:rsid w:val="00B37777"/>
    <w:rsid w:val="00B377D1"/>
    <w:rsid w:val="00B3790B"/>
    <w:rsid w:val="00B37949"/>
    <w:rsid w:val="00B379BC"/>
    <w:rsid w:val="00B37BB9"/>
    <w:rsid w:val="00B37ECE"/>
    <w:rsid w:val="00B400D3"/>
    <w:rsid w:val="00B40142"/>
    <w:rsid w:val="00B40350"/>
    <w:rsid w:val="00B404B4"/>
    <w:rsid w:val="00B406F1"/>
    <w:rsid w:val="00B40749"/>
    <w:rsid w:val="00B409CC"/>
    <w:rsid w:val="00B40A01"/>
    <w:rsid w:val="00B40A16"/>
    <w:rsid w:val="00B40A3F"/>
    <w:rsid w:val="00B40CA0"/>
    <w:rsid w:val="00B40D88"/>
    <w:rsid w:val="00B40F18"/>
    <w:rsid w:val="00B40F1B"/>
    <w:rsid w:val="00B41044"/>
    <w:rsid w:val="00B41118"/>
    <w:rsid w:val="00B41129"/>
    <w:rsid w:val="00B41133"/>
    <w:rsid w:val="00B41259"/>
    <w:rsid w:val="00B416F8"/>
    <w:rsid w:val="00B4173A"/>
    <w:rsid w:val="00B4190E"/>
    <w:rsid w:val="00B4192E"/>
    <w:rsid w:val="00B41955"/>
    <w:rsid w:val="00B41A1F"/>
    <w:rsid w:val="00B41C8D"/>
    <w:rsid w:val="00B41D35"/>
    <w:rsid w:val="00B41F63"/>
    <w:rsid w:val="00B41F6F"/>
    <w:rsid w:val="00B420C2"/>
    <w:rsid w:val="00B420F3"/>
    <w:rsid w:val="00B421A9"/>
    <w:rsid w:val="00B4225D"/>
    <w:rsid w:val="00B4229F"/>
    <w:rsid w:val="00B42313"/>
    <w:rsid w:val="00B4238D"/>
    <w:rsid w:val="00B424D0"/>
    <w:rsid w:val="00B424E2"/>
    <w:rsid w:val="00B4252F"/>
    <w:rsid w:val="00B4256A"/>
    <w:rsid w:val="00B4281B"/>
    <w:rsid w:val="00B428BD"/>
    <w:rsid w:val="00B42E0C"/>
    <w:rsid w:val="00B42E14"/>
    <w:rsid w:val="00B42EED"/>
    <w:rsid w:val="00B42F17"/>
    <w:rsid w:val="00B42F71"/>
    <w:rsid w:val="00B42F8C"/>
    <w:rsid w:val="00B43064"/>
    <w:rsid w:val="00B43136"/>
    <w:rsid w:val="00B4317E"/>
    <w:rsid w:val="00B43286"/>
    <w:rsid w:val="00B434A6"/>
    <w:rsid w:val="00B43522"/>
    <w:rsid w:val="00B43686"/>
    <w:rsid w:val="00B436DE"/>
    <w:rsid w:val="00B43728"/>
    <w:rsid w:val="00B43B68"/>
    <w:rsid w:val="00B44168"/>
    <w:rsid w:val="00B443BA"/>
    <w:rsid w:val="00B444DE"/>
    <w:rsid w:val="00B446AE"/>
    <w:rsid w:val="00B447A9"/>
    <w:rsid w:val="00B44A98"/>
    <w:rsid w:val="00B44AE1"/>
    <w:rsid w:val="00B44BCC"/>
    <w:rsid w:val="00B44E4E"/>
    <w:rsid w:val="00B44EC0"/>
    <w:rsid w:val="00B45066"/>
    <w:rsid w:val="00B450E8"/>
    <w:rsid w:val="00B4524A"/>
    <w:rsid w:val="00B45512"/>
    <w:rsid w:val="00B455B7"/>
    <w:rsid w:val="00B45795"/>
    <w:rsid w:val="00B457A3"/>
    <w:rsid w:val="00B45801"/>
    <w:rsid w:val="00B4598C"/>
    <w:rsid w:val="00B459E5"/>
    <w:rsid w:val="00B45B47"/>
    <w:rsid w:val="00B45C24"/>
    <w:rsid w:val="00B45CB4"/>
    <w:rsid w:val="00B45EA5"/>
    <w:rsid w:val="00B45F00"/>
    <w:rsid w:val="00B46044"/>
    <w:rsid w:val="00B46060"/>
    <w:rsid w:val="00B461DC"/>
    <w:rsid w:val="00B465A6"/>
    <w:rsid w:val="00B465EE"/>
    <w:rsid w:val="00B4669A"/>
    <w:rsid w:val="00B466B2"/>
    <w:rsid w:val="00B46896"/>
    <w:rsid w:val="00B468C6"/>
    <w:rsid w:val="00B46B64"/>
    <w:rsid w:val="00B46CE3"/>
    <w:rsid w:val="00B46D24"/>
    <w:rsid w:val="00B46F28"/>
    <w:rsid w:val="00B46FCB"/>
    <w:rsid w:val="00B4709C"/>
    <w:rsid w:val="00B47176"/>
    <w:rsid w:val="00B472E0"/>
    <w:rsid w:val="00B47680"/>
    <w:rsid w:val="00B4786D"/>
    <w:rsid w:val="00B47999"/>
    <w:rsid w:val="00B479A0"/>
    <w:rsid w:val="00B47B12"/>
    <w:rsid w:val="00B47DE0"/>
    <w:rsid w:val="00B47F5A"/>
    <w:rsid w:val="00B4F49D"/>
    <w:rsid w:val="00B500F7"/>
    <w:rsid w:val="00B5028D"/>
    <w:rsid w:val="00B5069D"/>
    <w:rsid w:val="00B5078E"/>
    <w:rsid w:val="00B507DB"/>
    <w:rsid w:val="00B50A35"/>
    <w:rsid w:val="00B50AA7"/>
    <w:rsid w:val="00B50B72"/>
    <w:rsid w:val="00B50BD2"/>
    <w:rsid w:val="00B50C5B"/>
    <w:rsid w:val="00B50D27"/>
    <w:rsid w:val="00B50D5A"/>
    <w:rsid w:val="00B50F01"/>
    <w:rsid w:val="00B50F61"/>
    <w:rsid w:val="00B511BA"/>
    <w:rsid w:val="00B51244"/>
    <w:rsid w:val="00B51278"/>
    <w:rsid w:val="00B512A4"/>
    <w:rsid w:val="00B515EE"/>
    <w:rsid w:val="00B5179E"/>
    <w:rsid w:val="00B517EC"/>
    <w:rsid w:val="00B518A9"/>
    <w:rsid w:val="00B518B2"/>
    <w:rsid w:val="00B519C2"/>
    <w:rsid w:val="00B519DA"/>
    <w:rsid w:val="00B51A82"/>
    <w:rsid w:val="00B51AC1"/>
    <w:rsid w:val="00B51D06"/>
    <w:rsid w:val="00B51D75"/>
    <w:rsid w:val="00B51DE6"/>
    <w:rsid w:val="00B51F63"/>
    <w:rsid w:val="00B52031"/>
    <w:rsid w:val="00B520A0"/>
    <w:rsid w:val="00B5216C"/>
    <w:rsid w:val="00B52381"/>
    <w:rsid w:val="00B52448"/>
    <w:rsid w:val="00B52685"/>
    <w:rsid w:val="00B526D3"/>
    <w:rsid w:val="00B52848"/>
    <w:rsid w:val="00B52861"/>
    <w:rsid w:val="00B52A7B"/>
    <w:rsid w:val="00B52B30"/>
    <w:rsid w:val="00B52C89"/>
    <w:rsid w:val="00B52D4A"/>
    <w:rsid w:val="00B52ECE"/>
    <w:rsid w:val="00B52F19"/>
    <w:rsid w:val="00B530D6"/>
    <w:rsid w:val="00B53209"/>
    <w:rsid w:val="00B533EF"/>
    <w:rsid w:val="00B53551"/>
    <w:rsid w:val="00B53623"/>
    <w:rsid w:val="00B53655"/>
    <w:rsid w:val="00B536F7"/>
    <w:rsid w:val="00B5398F"/>
    <w:rsid w:val="00B53A1A"/>
    <w:rsid w:val="00B53A90"/>
    <w:rsid w:val="00B53AAE"/>
    <w:rsid w:val="00B53B20"/>
    <w:rsid w:val="00B53BDF"/>
    <w:rsid w:val="00B53E07"/>
    <w:rsid w:val="00B53E4D"/>
    <w:rsid w:val="00B5403F"/>
    <w:rsid w:val="00B54057"/>
    <w:rsid w:val="00B54078"/>
    <w:rsid w:val="00B540D2"/>
    <w:rsid w:val="00B5421D"/>
    <w:rsid w:val="00B542CE"/>
    <w:rsid w:val="00B544DC"/>
    <w:rsid w:val="00B54756"/>
    <w:rsid w:val="00B54844"/>
    <w:rsid w:val="00B54A27"/>
    <w:rsid w:val="00B54AC2"/>
    <w:rsid w:val="00B54AFA"/>
    <w:rsid w:val="00B54BA8"/>
    <w:rsid w:val="00B54E8A"/>
    <w:rsid w:val="00B54E9A"/>
    <w:rsid w:val="00B55027"/>
    <w:rsid w:val="00B55112"/>
    <w:rsid w:val="00B55421"/>
    <w:rsid w:val="00B55477"/>
    <w:rsid w:val="00B554D4"/>
    <w:rsid w:val="00B554F5"/>
    <w:rsid w:val="00B55590"/>
    <w:rsid w:val="00B555D5"/>
    <w:rsid w:val="00B55793"/>
    <w:rsid w:val="00B557BE"/>
    <w:rsid w:val="00B55838"/>
    <w:rsid w:val="00B55C41"/>
    <w:rsid w:val="00B55D08"/>
    <w:rsid w:val="00B55D14"/>
    <w:rsid w:val="00B560D5"/>
    <w:rsid w:val="00B56246"/>
    <w:rsid w:val="00B5630B"/>
    <w:rsid w:val="00B564FA"/>
    <w:rsid w:val="00B5661D"/>
    <w:rsid w:val="00B567E6"/>
    <w:rsid w:val="00B5686A"/>
    <w:rsid w:val="00B56936"/>
    <w:rsid w:val="00B569E0"/>
    <w:rsid w:val="00B56A6E"/>
    <w:rsid w:val="00B56CBD"/>
    <w:rsid w:val="00B56D35"/>
    <w:rsid w:val="00B56E82"/>
    <w:rsid w:val="00B56FD0"/>
    <w:rsid w:val="00B57030"/>
    <w:rsid w:val="00B57421"/>
    <w:rsid w:val="00B57423"/>
    <w:rsid w:val="00B57688"/>
    <w:rsid w:val="00B57760"/>
    <w:rsid w:val="00B57913"/>
    <w:rsid w:val="00B57B11"/>
    <w:rsid w:val="00B57B27"/>
    <w:rsid w:val="00B57BBB"/>
    <w:rsid w:val="00B57C5B"/>
    <w:rsid w:val="00B57DAC"/>
    <w:rsid w:val="00B57EFC"/>
    <w:rsid w:val="00B600B1"/>
    <w:rsid w:val="00B601AF"/>
    <w:rsid w:val="00B604CD"/>
    <w:rsid w:val="00B60504"/>
    <w:rsid w:val="00B60656"/>
    <w:rsid w:val="00B6070A"/>
    <w:rsid w:val="00B6078E"/>
    <w:rsid w:val="00B609AE"/>
    <w:rsid w:val="00B60A76"/>
    <w:rsid w:val="00B60AA4"/>
    <w:rsid w:val="00B60AD6"/>
    <w:rsid w:val="00B60BAD"/>
    <w:rsid w:val="00B60BAE"/>
    <w:rsid w:val="00B60E1C"/>
    <w:rsid w:val="00B60E27"/>
    <w:rsid w:val="00B60E87"/>
    <w:rsid w:val="00B60F1C"/>
    <w:rsid w:val="00B61088"/>
    <w:rsid w:val="00B611C7"/>
    <w:rsid w:val="00B61286"/>
    <w:rsid w:val="00B614BC"/>
    <w:rsid w:val="00B615B2"/>
    <w:rsid w:val="00B615D7"/>
    <w:rsid w:val="00B61637"/>
    <w:rsid w:val="00B616C7"/>
    <w:rsid w:val="00B61896"/>
    <w:rsid w:val="00B61981"/>
    <w:rsid w:val="00B61B71"/>
    <w:rsid w:val="00B61D8E"/>
    <w:rsid w:val="00B61E11"/>
    <w:rsid w:val="00B61F41"/>
    <w:rsid w:val="00B620B6"/>
    <w:rsid w:val="00B621C2"/>
    <w:rsid w:val="00B623A9"/>
    <w:rsid w:val="00B6249B"/>
    <w:rsid w:val="00B62500"/>
    <w:rsid w:val="00B626BB"/>
    <w:rsid w:val="00B626F9"/>
    <w:rsid w:val="00B62711"/>
    <w:rsid w:val="00B6286A"/>
    <w:rsid w:val="00B62A13"/>
    <w:rsid w:val="00B62B4D"/>
    <w:rsid w:val="00B62C2B"/>
    <w:rsid w:val="00B62C71"/>
    <w:rsid w:val="00B62EE7"/>
    <w:rsid w:val="00B62EFF"/>
    <w:rsid w:val="00B62F60"/>
    <w:rsid w:val="00B630EF"/>
    <w:rsid w:val="00B63100"/>
    <w:rsid w:val="00B631D3"/>
    <w:rsid w:val="00B6352C"/>
    <w:rsid w:val="00B637B0"/>
    <w:rsid w:val="00B63897"/>
    <w:rsid w:val="00B63993"/>
    <w:rsid w:val="00B639D9"/>
    <w:rsid w:val="00B63CF1"/>
    <w:rsid w:val="00B63ECD"/>
    <w:rsid w:val="00B63FF4"/>
    <w:rsid w:val="00B64097"/>
    <w:rsid w:val="00B64101"/>
    <w:rsid w:val="00B64385"/>
    <w:rsid w:val="00B643F5"/>
    <w:rsid w:val="00B64543"/>
    <w:rsid w:val="00B6457A"/>
    <w:rsid w:val="00B64768"/>
    <w:rsid w:val="00B649E7"/>
    <w:rsid w:val="00B64B45"/>
    <w:rsid w:val="00B64BAF"/>
    <w:rsid w:val="00B64C89"/>
    <w:rsid w:val="00B64C99"/>
    <w:rsid w:val="00B64D07"/>
    <w:rsid w:val="00B64D77"/>
    <w:rsid w:val="00B64E11"/>
    <w:rsid w:val="00B64F88"/>
    <w:rsid w:val="00B65031"/>
    <w:rsid w:val="00B65058"/>
    <w:rsid w:val="00B6517F"/>
    <w:rsid w:val="00B65289"/>
    <w:rsid w:val="00B65468"/>
    <w:rsid w:val="00B65518"/>
    <w:rsid w:val="00B655B0"/>
    <w:rsid w:val="00B655CE"/>
    <w:rsid w:val="00B65700"/>
    <w:rsid w:val="00B658C6"/>
    <w:rsid w:val="00B65905"/>
    <w:rsid w:val="00B65974"/>
    <w:rsid w:val="00B659A4"/>
    <w:rsid w:val="00B65A6E"/>
    <w:rsid w:val="00B65D8D"/>
    <w:rsid w:val="00B65E00"/>
    <w:rsid w:val="00B65EB5"/>
    <w:rsid w:val="00B65F99"/>
    <w:rsid w:val="00B65FBF"/>
    <w:rsid w:val="00B660A4"/>
    <w:rsid w:val="00B66125"/>
    <w:rsid w:val="00B6626E"/>
    <w:rsid w:val="00B66424"/>
    <w:rsid w:val="00B66589"/>
    <w:rsid w:val="00B66701"/>
    <w:rsid w:val="00B669AF"/>
    <w:rsid w:val="00B66B14"/>
    <w:rsid w:val="00B66D77"/>
    <w:rsid w:val="00B66ED4"/>
    <w:rsid w:val="00B67061"/>
    <w:rsid w:val="00B670C6"/>
    <w:rsid w:val="00B67175"/>
    <w:rsid w:val="00B671BF"/>
    <w:rsid w:val="00B6748D"/>
    <w:rsid w:val="00B67625"/>
    <w:rsid w:val="00B67636"/>
    <w:rsid w:val="00B67651"/>
    <w:rsid w:val="00B67793"/>
    <w:rsid w:val="00B67868"/>
    <w:rsid w:val="00B679A6"/>
    <w:rsid w:val="00B679B7"/>
    <w:rsid w:val="00B67BAF"/>
    <w:rsid w:val="00B67C20"/>
    <w:rsid w:val="00B67E52"/>
    <w:rsid w:val="00B67F02"/>
    <w:rsid w:val="00B67FFB"/>
    <w:rsid w:val="00B7005A"/>
    <w:rsid w:val="00B700D2"/>
    <w:rsid w:val="00B7016F"/>
    <w:rsid w:val="00B70296"/>
    <w:rsid w:val="00B703B5"/>
    <w:rsid w:val="00B705EA"/>
    <w:rsid w:val="00B705FA"/>
    <w:rsid w:val="00B70801"/>
    <w:rsid w:val="00B70829"/>
    <w:rsid w:val="00B70987"/>
    <w:rsid w:val="00B70A4D"/>
    <w:rsid w:val="00B70BA6"/>
    <w:rsid w:val="00B70FA9"/>
    <w:rsid w:val="00B71009"/>
    <w:rsid w:val="00B7103B"/>
    <w:rsid w:val="00B71057"/>
    <w:rsid w:val="00B712F7"/>
    <w:rsid w:val="00B7156F"/>
    <w:rsid w:val="00B71715"/>
    <w:rsid w:val="00B71761"/>
    <w:rsid w:val="00B717FD"/>
    <w:rsid w:val="00B718C3"/>
    <w:rsid w:val="00B71905"/>
    <w:rsid w:val="00B7192C"/>
    <w:rsid w:val="00B71932"/>
    <w:rsid w:val="00B71A89"/>
    <w:rsid w:val="00B71A98"/>
    <w:rsid w:val="00B71B6B"/>
    <w:rsid w:val="00B71B7D"/>
    <w:rsid w:val="00B71C25"/>
    <w:rsid w:val="00B71D01"/>
    <w:rsid w:val="00B71E05"/>
    <w:rsid w:val="00B71E54"/>
    <w:rsid w:val="00B71F09"/>
    <w:rsid w:val="00B71FE9"/>
    <w:rsid w:val="00B72023"/>
    <w:rsid w:val="00B720BC"/>
    <w:rsid w:val="00B72204"/>
    <w:rsid w:val="00B72215"/>
    <w:rsid w:val="00B722F6"/>
    <w:rsid w:val="00B7247C"/>
    <w:rsid w:val="00B72523"/>
    <w:rsid w:val="00B725DC"/>
    <w:rsid w:val="00B725E1"/>
    <w:rsid w:val="00B72771"/>
    <w:rsid w:val="00B728BC"/>
    <w:rsid w:val="00B72A77"/>
    <w:rsid w:val="00B72B3F"/>
    <w:rsid w:val="00B72CDA"/>
    <w:rsid w:val="00B72FB0"/>
    <w:rsid w:val="00B730FB"/>
    <w:rsid w:val="00B7326F"/>
    <w:rsid w:val="00B73301"/>
    <w:rsid w:val="00B73304"/>
    <w:rsid w:val="00B7357D"/>
    <w:rsid w:val="00B735FE"/>
    <w:rsid w:val="00B737CD"/>
    <w:rsid w:val="00B737E5"/>
    <w:rsid w:val="00B738F8"/>
    <w:rsid w:val="00B73A7E"/>
    <w:rsid w:val="00B73BC9"/>
    <w:rsid w:val="00B73C17"/>
    <w:rsid w:val="00B73C64"/>
    <w:rsid w:val="00B73CB2"/>
    <w:rsid w:val="00B73CB7"/>
    <w:rsid w:val="00B746FE"/>
    <w:rsid w:val="00B7485D"/>
    <w:rsid w:val="00B748E5"/>
    <w:rsid w:val="00B7490E"/>
    <w:rsid w:val="00B74CDE"/>
    <w:rsid w:val="00B74DC4"/>
    <w:rsid w:val="00B74F8B"/>
    <w:rsid w:val="00B75053"/>
    <w:rsid w:val="00B7520A"/>
    <w:rsid w:val="00B752F4"/>
    <w:rsid w:val="00B7534E"/>
    <w:rsid w:val="00B753ED"/>
    <w:rsid w:val="00B754A1"/>
    <w:rsid w:val="00B754C8"/>
    <w:rsid w:val="00B75543"/>
    <w:rsid w:val="00B75603"/>
    <w:rsid w:val="00B75800"/>
    <w:rsid w:val="00B75BBD"/>
    <w:rsid w:val="00B75EEE"/>
    <w:rsid w:val="00B7609A"/>
    <w:rsid w:val="00B76248"/>
    <w:rsid w:val="00B7628D"/>
    <w:rsid w:val="00B76442"/>
    <w:rsid w:val="00B7645A"/>
    <w:rsid w:val="00B76721"/>
    <w:rsid w:val="00B76750"/>
    <w:rsid w:val="00B76789"/>
    <w:rsid w:val="00B76A8B"/>
    <w:rsid w:val="00B76AD6"/>
    <w:rsid w:val="00B76C59"/>
    <w:rsid w:val="00B76CBA"/>
    <w:rsid w:val="00B76FC4"/>
    <w:rsid w:val="00B771A8"/>
    <w:rsid w:val="00B771C6"/>
    <w:rsid w:val="00B771E3"/>
    <w:rsid w:val="00B77369"/>
    <w:rsid w:val="00B77637"/>
    <w:rsid w:val="00B776B6"/>
    <w:rsid w:val="00B77791"/>
    <w:rsid w:val="00B777C7"/>
    <w:rsid w:val="00B7784E"/>
    <w:rsid w:val="00B7799E"/>
    <w:rsid w:val="00B77C95"/>
    <w:rsid w:val="00B77D04"/>
    <w:rsid w:val="00B77D49"/>
    <w:rsid w:val="00B77D60"/>
    <w:rsid w:val="00B77DEF"/>
    <w:rsid w:val="00B77ECC"/>
    <w:rsid w:val="00B800C2"/>
    <w:rsid w:val="00B803CA"/>
    <w:rsid w:val="00B804E4"/>
    <w:rsid w:val="00B8056D"/>
    <w:rsid w:val="00B8057E"/>
    <w:rsid w:val="00B80858"/>
    <w:rsid w:val="00B80D0C"/>
    <w:rsid w:val="00B812E4"/>
    <w:rsid w:val="00B81491"/>
    <w:rsid w:val="00B814D3"/>
    <w:rsid w:val="00B8150D"/>
    <w:rsid w:val="00B815A7"/>
    <w:rsid w:val="00B8187E"/>
    <w:rsid w:val="00B81992"/>
    <w:rsid w:val="00B81ADF"/>
    <w:rsid w:val="00B81C01"/>
    <w:rsid w:val="00B81DA4"/>
    <w:rsid w:val="00B81DFD"/>
    <w:rsid w:val="00B81F5F"/>
    <w:rsid w:val="00B81F64"/>
    <w:rsid w:val="00B8204F"/>
    <w:rsid w:val="00B820D8"/>
    <w:rsid w:val="00B82110"/>
    <w:rsid w:val="00B8223C"/>
    <w:rsid w:val="00B8237E"/>
    <w:rsid w:val="00B82510"/>
    <w:rsid w:val="00B82582"/>
    <w:rsid w:val="00B827BE"/>
    <w:rsid w:val="00B827CF"/>
    <w:rsid w:val="00B82B54"/>
    <w:rsid w:val="00B82B89"/>
    <w:rsid w:val="00B82CAC"/>
    <w:rsid w:val="00B82CBF"/>
    <w:rsid w:val="00B82D34"/>
    <w:rsid w:val="00B82D40"/>
    <w:rsid w:val="00B82D46"/>
    <w:rsid w:val="00B82F20"/>
    <w:rsid w:val="00B8308D"/>
    <w:rsid w:val="00B83292"/>
    <w:rsid w:val="00B83392"/>
    <w:rsid w:val="00B83413"/>
    <w:rsid w:val="00B83548"/>
    <w:rsid w:val="00B835B2"/>
    <w:rsid w:val="00B83631"/>
    <w:rsid w:val="00B8370D"/>
    <w:rsid w:val="00B83971"/>
    <w:rsid w:val="00B839D6"/>
    <w:rsid w:val="00B83B34"/>
    <w:rsid w:val="00B83CD0"/>
    <w:rsid w:val="00B83CEE"/>
    <w:rsid w:val="00B83D47"/>
    <w:rsid w:val="00B83EDF"/>
    <w:rsid w:val="00B83F2D"/>
    <w:rsid w:val="00B8417A"/>
    <w:rsid w:val="00B842B6"/>
    <w:rsid w:val="00B8431D"/>
    <w:rsid w:val="00B843F7"/>
    <w:rsid w:val="00B8460A"/>
    <w:rsid w:val="00B84816"/>
    <w:rsid w:val="00B84AF3"/>
    <w:rsid w:val="00B84BF9"/>
    <w:rsid w:val="00B84CC9"/>
    <w:rsid w:val="00B84CCE"/>
    <w:rsid w:val="00B84D74"/>
    <w:rsid w:val="00B84D97"/>
    <w:rsid w:val="00B84DAB"/>
    <w:rsid w:val="00B84DED"/>
    <w:rsid w:val="00B8503E"/>
    <w:rsid w:val="00B852B9"/>
    <w:rsid w:val="00B854D0"/>
    <w:rsid w:val="00B854F2"/>
    <w:rsid w:val="00B8550A"/>
    <w:rsid w:val="00B85749"/>
    <w:rsid w:val="00B85931"/>
    <w:rsid w:val="00B85993"/>
    <w:rsid w:val="00B85B6D"/>
    <w:rsid w:val="00B85B87"/>
    <w:rsid w:val="00B85C0F"/>
    <w:rsid w:val="00B85CA4"/>
    <w:rsid w:val="00B85E3C"/>
    <w:rsid w:val="00B8605C"/>
    <w:rsid w:val="00B860AD"/>
    <w:rsid w:val="00B861C3"/>
    <w:rsid w:val="00B8647E"/>
    <w:rsid w:val="00B86642"/>
    <w:rsid w:val="00B868B5"/>
    <w:rsid w:val="00B86918"/>
    <w:rsid w:val="00B86A78"/>
    <w:rsid w:val="00B86B19"/>
    <w:rsid w:val="00B86C50"/>
    <w:rsid w:val="00B86D06"/>
    <w:rsid w:val="00B86D29"/>
    <w:rsid w:val="00B86DA1"/>
    <w:rsid w:val="00B86DE6"/>
    <w:rsid w:val="00B86E32"/>
    <w:rsid w:val="00B86E8D"/>
    <w:rsid w:val="00B86FF4"/>
    <w:rsid w:val="00B87052"/>
    <w:rsid w:val="00B87104"/>
    <w:rsid w:val="00B87272"/>
    <w:rsid w:val="00B87379"/>
    <w:rsid w:val="00B87667"/>
    <w:rsid w:val="00B876FA"/>
    <w:rsid w:val="00B87841"/>
    <w:rsid w:val="00B87BF0"/>
    <w:rsid w:val="00B87C85"/>
    <w:rsid w:val="00B87D1C"/>
    <w:rsid w:val="00B87D26"/>
    <w:rsid w:val="00B87DC6"/>
    <w:rsid w:val="00B87DCF"/>
    <w:rsid w:val="00B87F08"/>
    <w:rsid w:val="00B9028E"/>
    <w:rsid w:val="00B90432"/>
    <w:rsid w:val="00B9071A"/>
    <w:rsid w:val="00B90B24"/>
    <w:rsid w:val="00B90CDF"/>
    <w:rsid w:val="00B90EEF"/>
    <w:rsid w:val="00B90FBC"/>
    <w:rsid w:val="00B9107F"/>
    <w:rsid w:val="00B911A6"/>
    <w:rsid w:val="00B911C8"/>
    <w:rsid w:val="00B9128F"/>
    <w:rsid w:val="00B91303"/>
    <w:rsid w:val="00B91393"/>
    <w:rsid w:val="00B914CD"/>
    <w:rsid w:val="00B91530"/>
    <w:rsid w:val="00B915AE"/>
    <w:rsid w:val="00B91629"/>
    <w:rsid w:val="00B91AA5"/>
    <w:rsid w:val="00B91C25"/>
    <w:rsid w:val="00B91D25"/>
    <w:rsid w:val="00B91E84"/>
    <w:rsid w:val="00B91FFE"/>
    <w:rsid w:val="00B9220C"/>
    <w:rsid w:val="00B923FE"/>
    <w:rsid w:val="00B92502"/>
    <w:rsid w:val="00B9257A"/>
    <w:rsid w:val="00B9265F"/>
    <w:rsid w:val="00B926BA"/>
    <w:rsid w:val="00B9270F"/>
    <w:rsid w:val="00B9278E"/>
    <w:rsid w:val="00B928D2"/>
    <w:rsid w:val="00B928DB"/>
    <w:rsid w:val="00B928F2"/>
    <w:rsid w:val="00B92951"/>
    <w:rsid w:val="00B92B01"/>
    <w:rsid w:val="00B92C50"/>
    <w:rsid w:val="00B92DB8"/>
    <w:rsid w:val="00B92E3C"/>
    <w:rsid w:val="00B92E5C"/>
    <w:rsid w:val="00B92F61"/>
    <w:rsid w:val="00B92FA1"/>
    <w:rsid w:val="00B93076"/>
    <w:rsid w:val="00B93134"/>
    <w:rsid w:val="00B933BA"/>
    <w:rsid w:val="00B933F2"/>
    <w:rsid w:val="00B93414"/>
    <w:rsid w:val="00B93481"/>
    <w:rsid w:val="00B93531"/>
    <w:rsid w:val="00B93570"/>
    <w:rsid w:val="00B939E0"/>
    <w:rsid w:val="00B939FA"/>
    <w:rsid w:val="00B93A25"/>
    <w:rsid w:val="00B93B69"/>
    <w:rsid w:val="00B93BB1"/>
    <w:rsid w:val="00B93E35"/>
    <w:rsid w:val="00B93E44"/>
    <w:rsid w:val="00B93EFD"/>
    <w:rsid w:val="00B93F6A"/>
    <w:rsid w:val="00B9409D"/>
    <w:rsid w:val="00B9410F"/>
    <w:rsid w:val="00B94293"/>
    <w:rsid w:val="00B94427"/>
    <w:rsid w:val="00B9451C"/>
    <w:rsid w:val="00B9466E"/>
    <w:rsid w:val="00B947D9"/>
    <w:rsid w:val="00B9484A"/>
    <w:rsid w:val="00B948C5"/>
    <w:rsid w:val="00B948F3"/>
    <w:rsid w:val="00B949D5"/>
    <w:rsid w:val="00B94A41"/>
    <w:rsid w:val="00B94AB0"/>
    <w:rsid w:val="00B94BD7"/>
    <w:rsid w:val="00B94EB5"/>
    <w:rsid w:val="00B94F5D"/>
    <w:rsid w:val="00B94F62"/>
    <w:rsid w:val="00B952B3"/>
    <w:rsid w:val="00B952C4"/>
    <w:rsid w:val="00B95419"/>
    <w:rsid w:val="00B95680"/>
    <w:rsid w:val="00B957C2"/>
    <w:rsid w:val="00B957E9"/>
    <w:rsid w:val="00B95880"/>
    <w:rsid w:val="00B95936"/>
    <w:rsid w:val="00B95BF6"/>
    <w:rsid w:val="00B95C75"/>
    <w:rsid w:val="00B95D0F"/>
    <w:rsid w:val="00B95DFE"/>
    <w:rsid w:val="00B95F4F"/>
    <w:rsid w:val="00B95FB6"/>
    <w:rsid w:val="00B9629C"/>
    <w:rsid w:val="00B962C2"/>
    <w:rsid w:val="00B968DB"/>
    <w:rsid w:val="00B9694E"/>
    <w:rsid w:val="00B96965"/>
    <w:rsid w:val="00B969A4"/>
    <w:rsid w:val="00B96A41"/>
    <w:rsid w:val="00B96AA2"/>
    <w:rsid w:val="00B96ACF"/>
    <w:rsid w:val="00B96B5F"/>
    <w:rsid w:val="00B96D45"/>
    <w:rsid w:val="00B96E03"/>
    <w:rsid w:val="00B96F18"/>
    <w:rsid w:val="00B96F60"/>
    <w:rsid w:val="00B96FE6"/>
    <w:rsid w:val="00B971C3"/>
    <w:rsid w:val="00B97346"/>
    <w:rsid w:val="00B97402"/>
    <w:rsid w:val="00B9741A"/>
    <w:rsid w:val="00B975FD"/>
    <w:rsid w:val="00B97638"/>
    <w:rsid w:val="00B97676"/>
    <w:rsid w:val="00B97703"/>
    <w:rsid w:val="00B97745"/>
    <w:rsid w:val="00B97766"/>
    <w:rsid w:val="00B97785"/>
    <w:rsid w:val="00B9781B"/>
    <w:rsid w:val="00B97892"/>
    <w:rsid w:val="00B9797A"/>
    <w:rsid w:val="00B97F10"/>
    <w:rsid w:val="00B97FD8"/>
    <w:rsid w:val="00BA0118"/>
    <w:rsid w:val="00BA0191"/>
    <w:rsid w:val="00BA0342"/>
    <w:rsid w:val="00BA0531"/>
    <w:rsid w:val="00BA05C4"/>
    <w:rsid w:val="00BA06A0"/>
    <w:rsid w:val="00BA0728"/>
    <w:rsid w:val="00BA074E"/>
    <w:rsid w:val="00BA0C08"/>
    <w:rsid w:val="00BA0C76"/>
    <w:rsid w:val="00BA1002"/>
    <w:rsid w:val="00BA100B"/>
    <w:rsid w:val="00BA102F"/>
    <w:rsid w:val="00BA10C3"/>
    <w:rsid w:val="00BA120B"/>
    <w:rsid w:val="00BA13EF"/>
    <w:rsid w:val="00BA164D"/>
    <w:rsid w:val="00BA1754"/>
    <w:rsid w:val="00BA1861"/>
    <w:rsid w:val="00BA1883"/>
    <w:rsid w:val="00BA1990"/>
    <w:rsid w:val="00BA1A4A"/>
    <w:rsid w:val="00BA1C2A"/>
    <w:rsid w:val="00BA1DB6"/>
    <w:rsid w:val="00BA20FD"/>
    <w:rsid w:val="00BA22A3"/>
    <w:rsid w:val="00BA23D3"/>
    <w:rsid w:val="00BA2429"/>
    <w:rsid w:val="00BA2700"/>
    <w:rsid w:val="00BA291E"/>
    <w:rsid w:val="00BA293F"/>
    <w:rsid w:val="00BA2A8F"/>
    <w:rsid w:val="00BA2AA4"/>
    <w:rsid w:val="00BA2C4D"/>
    <w:rsid w:val="00BA2D85"/>
    <w:rsid w:val="00BA2D8C"/>
    <w:rsid w:val="00BA2DA7"/>
    <w:rsid w:val="00BA2EC2"/>
    <w:rsid w:val="00BA2F98"/>
    <w:rsid w:val="00BA2FBF"/>
    <w:rsid w:val="00BA2FFC"/>
    <w:rsid w:val="00BA3102"/>
    <w:rsid w:val="00BA335B"/>
    <w:rsid w:val="00BA3393"/>
    <w:rsid w:val="00BA34D9"/>
    <w:rsid w:val="00BA370D"/>
    <w:rsid w:val="00BA3768"/>
    <w:rsid w:val="00BA3929"/>
    <w:rsid w:val="00BA39B9"/>
    <w:rsid w:val="00BA3B22"/>
    <w:rsid w:val="00BA3C88"/>
    <w:rsid w:val="00BA3E08"/>
    <w:rsid w:val="00BA40F2"/>
    <w:rsid w:val="00BA44D2"/>
    <w:rsid w:val="00BA44F3"/>
    <w:rsid w:val="00BA4631"/>
    <w:rsid w:val="00BA4760"/>
    <w:rsid w:val="00BA478D"/>
    <w:rsid w:val="00BA4E29"/>
    <w:rsid w:val="00BA4E9B"/>
    <w:rsid w:val="00BA506F"/>
    <w:rsid w:val="00BA5089"/>
    <w:rsid w:val="00BA510E"/>
    <w:rsid w:val="00BA5295"/>
    <w:rsid w:val="00BA53A4"/>
    <w:rsid w:val="00BA5560"/>
    <w:rsid w:val="00BA57FC"/>
    <w:rsid w:val="00BA5A45"/>
    <w:rsid w:val="00BA5D67"/>
    <w:rsid w:val="00BA5E3B"/>
    <w:rsid w:val="00BA5ECE"/>
    <w:rsid w:val="00BA5FB8"/>
    <w:rsid w:val="00BA61C4"/>
    <w:rsid w:val="00BA62CB"/>
    <w:rsid w:val="00BA62E6"/>
    <w:rsid w:val="00BA65FC"/>
    <w:rsid w:val="00BA6756"/>
    <w:rsid w:val="00BA6A05"/>
    <w:rsid w:val="00BA6ACC"/>
    <w:rsid w:val="00BA6AD5"/>
    <w:rsid w:val="00BA6B27"/>
    <w:rsid w:val="00BA6E1D"/>
    <w:rsid w:val="00BA721F"/>
    <w:rsid w:val="00BA748F"/>
    <w:rsid w:val="00BA7568"/>
    <w:rsid w:val="00BA7677"/>
    <w:rsid w:val="00BA7698"/>
    <w:rsid w:val="00BA77C9"/>
    <w:rsid w:val="00BA78CC"/>
    <w:rsid w:val="00BA79EA"/>
    <w:rsid w:val="00BA7B98"/>
    <w:rsid w:val="00BA7BB7"/>
    <w:rsid w:val="00BA7D5F"/>
    <w:rsid w:val="00BA7D99"/>
    <w:rsid w:val="00BA7DB2"/>
    <w:rsid w:val="00BB00CC"/>
    <w:rsid w:val="00BB0193"/>
    <w:rsid w:val="00BB0275"/>
    <w:rsid w:val="00BB0358"/>
    <w:rsid w:val="00BB0599"/>
    <w:rsid w:val="00BB05FD"/>
    <w:rsid w:val="00BB0687"/>
    <w:rsid w:val="00BB0850"/>
    <w:rsid w:val="00BB0A48"/>
    <w:rsid w:val="00BB0A9F"/>
    <w:rsid w:val="00BB0BDB"/>
    <w:rsid w:val="00BB0CF1"/>
    <w:rsid w:val="00BB0DD6"/>
    <w:rsid w:val="00BB1103"/>
    <w:rsid w:val="00BB1263"/>
    <w:rsid w:val="00BB1463"/>
    <w:rsid w:val="00BB168A"/>
    <w:rsid w:val="00BB16EF"/>
    <w:rsid w:val="00BB17F6"/>
    <w:rsid w:val="00BB1890"/>
    <w:rsid w:val="00BB191D"/>
    <w:rsid w:val="00BB1A37"/>
    <w:rsid w:val="00BB1CE3"/>
    <w:rsid w:val="00BB1D29"/>
    <w:rsid w:val="00BB1EA2"/>
    <w:rsid w:val="00BB1ED3"/>
    <w:rsid w:val="00BB1FBD"/>
    <w:rsid w:val="00BB205F"/>
    <w:rsid w:val="00BB206E"/>
    <w:rsid w:val="00BB21BA"/>
    <w:rsid w:val="00BB228B"/>
    <w:rsid w:val="00BB22FF"/>
    <w:rsid w:val="00BB23EA"/>
    <w:rsid w:val="00BB2520"/>
    <w:rsid w:val="00BB25D5"/>
    <w:rsid w:val="00BB2668"/>
    <w:rsid w:val="00BB2674"/>
    <w:rsid w:val="00BB26EE"/>
    <w:rsid w:val="00BB26F3"/>
    <w:rsid w:val="00BB2732"/>
    <w:rsid w:val="00BB27BF"/>
    <w:rsid w:val="00BB283A"/>
    <w:rsid w:val="00BB2898"/>
    <w:rsid w:val="00BB2957"/>
    <w:rsid w:val="00BB2A07"/>
    <w:rsid w:val="00BB2AA2"/>
    <w:rsid w:val="00BB2CA6"/>
    <w:rsid w:val="00BB2E27"/>
    <w:rsid w:val="00BB3008"/>
    <w:rsid w:val="00BB3188"/>
    <w:rsid w:val="00BB31B7"/>
    <w:rsid w:val="00BB324C"/>
    <w:rsid w:val="00BB32B7"/>
    <w:rsid w:val="00BB32C1"/>
    <w:rsid w:val="00BB348C"/>
    <w:rsid w:val="00BB34F0"/>
    <w:rsid w:val="00BB3589"/>
    <w:rsid w:val="00BB3758"/>
    <w:rsid w:val="00BB379F"/>
    <w:rsid w:val="00BB385B"/>
    <w:rsid w:val="00BB3879"/>
    <w:rsid w:val="00BB38EC"/>
    <w:rsid w:val="00BB3939"/>
    <w:rsid w:val="00BB396C"/>
    <w:rsid w:val="00BB399B"/>
    <w:rsid w:val="00BB3B2F"/>
    <w:rsid w:val="00BB3BC7"/>
    <w:rsid w:val="00BB3D34"/>
    <w:rsid w:val="00BB3ED5"/>
    <w:rsid w:val="00BB3FAC"/>
    <w:rsid w:val="00BB3FC5"/>
    <w:rsid w:val="00BB41D8"/>
    <w:rsid w:val="00BB4468"/>
    <w:rsid w:val="00BB46AF"/>
    <w:rsid w:val="00BB480F"/>
    <w:rsid w:val="00BB4B3C"/>
    <w:rsid w:val="00BB4BDB"/>
    <w:rsid w:val="00BB4BF4"/>
    <w:rsid w:val="00BB4D83"/>
    <w:rsid w:val="00BB4EB3"/>
    <w:rsid w:val="00BB4F35"/>
    <w:rsid w:val="00BB517A"/>
    <w:rsid w:val="00BB5305"/>
    <w:rsid w:val="00BB55AD"/>
    <w:rsid w:val="00BB55F1"/>
    <w:rsid w:val="00BB5681"/>
    <w:rsid w:val="00BB57FB"/>
    <w:rsid w:val="00BB5969"/>
    <w:rsid w:val="00BB5A00"/>
    <w:rsid w:val="00BB5AF8"/>
    <w:rsid w:val="00BB5D5C"/>
    <w:rsid w:val="00BB6273"/>
    <w:rsid w:val="00BB62B5"/>
    <w:rsid w:val="00BB62F6"/>
    <w:rsid w:val="00BB6344"/>
    <w:rsid w:val="00BB63C9"/>
    <w:rsid w:val="00BB6416"/>
    <w:rsid w:val="00BB66AC"/>
    <w:rsid w:val="00BB66E9"/>
    <w:rsid w:val="00BB66F6"/>
    <w:rsid w:val="00BB674E"/>
    <w:rsid w:val="00BB6996"/>
    <w:rsid w:val="00BB69DF"/>
    <w:rsid w:val="00BB6BAC"/>
    <w:rsid w:val="00BB6BC8"/>
    <w:rsid w:val="00BB6C34"/>
    <w:rsid w:val="00BB6C9D"/>
    <w:rsid w:val="00BB6CEF"/>
    <w:rsid w:val="00BB6EDB"/>
    <w:rsid w:val="00BB6F0D"/>
    <w:rsid w:val="00BB6F1C"/>
    <w:rsid w:val="00BB7049"/>
    <w:rsid w:val="00BB711A"/>
    <w:rsid w:val="00BB712C"/>
    <w:rsid w:val="00BB7425"/>
    <w:rsid w:val="00BB7512"/>
    <w:rsid w:val="00BB75AA"/>
    <w:rsid w:val="00BB75B5"/>
    <w:rsid w:val="00BB7886"/>
    <w:rsid w:val="00BB7BD2"/>
    <w:rsid w:val="00BB7C79"/>
    <w:rsid w:val="00BB7E44"/>
    <w:rsid w:val="00BB7F02"/>
    <w:rsid w:val="00BB7F07"/>
    <w:rsid w:val="00BB7F6F"/>
    <w:rsid w:val="00BB7F86"/>
    <w:rsid w:val="00BB7F88"/>
    <w:rsid w:val="00BC0057"/>
    <w:rsid w:val="00BC0129"/>
    <w:rsid w:val="00BC027A"/>
    <w:rsid w:val="00BC0372"/>
    <w:rsid w:val="00BC050C"/>
    <w:rsid w:val="00BC07BA"/>
    <w:rsid w:val="00BC08E3"/>
    <w:rsid w:val="00BC09B4"/>
    <w:rsid w:val="00BC0AEA"/>
    <w:rsid w:val="00BC0AF8"/>
    <w:rsid w:val="00BC0C64"/>
    <w:rsid w:val="00BC0C6E"/>
    <w:rsid w:val="00BC0F7E"/>
    <w:rsid w:val="00BC1033"/>
    <w:rsid w:val="00BC1210"/>
    <w:rsid w:val="00BC134A"/>
    <w:rsid w:val="00BC1421"/>
    <w:rsid w:val="00BC148E"/>
    <w:rsid w:val="00BC14FF"/>
    <w:rsid w:val="00BC176A"/>
    <w:rsid w:val="00BC17CC"/>
    <w:rsid w:val="00BC1ADD"/>
    <w:rsid w:val="00BC1B96"/>
    <w:rsid w:val="00BC1CE0"/>
    <w:rsid w:val="00BC1CFF"/>
    <w:rsid w:val="00BC1D3B"/>
    <w:rsid w:val="00BC1E4A"/>
    <w:rsid w:val="00BC1EBA"/>
    <w:rsid w:val="00BC1F22"/>
    <w:rsid w:val="00BC1F29"/>
    <w:rsid w:val="00BC2017"/>
    <w:rsid w:val="00BC20DF"/>
    <w:rsid w:val="00BC22E3"/>
    <w:rsid w:val="00BC236B"/>
    <w:rsid w:val="00BC25F0"/>
    <w:rsid w:val="00BC25F8"/>
    <w:rsid w:val="00BC269E"/>
    <w:rsid w:val="00BC26B5"/>
    <w:rsid w:val="00BC26E4"/>
    <w:rsid w:val="00BC26F4"/>
    <w:rsid w:val="00BC2764"/>
    <w:rsid w:val="00BC27E6"/>
    <w:rsid w:val="00BC2940"/>
    <w:rsid w:val="00BC2978"/>
    <w:rsid w:val="00BC29AB"/>
    <w:rsid w:val="00BC29CB"/>
    <w:rsid w:val="00BC2AC8"/>
    <w:rsid w:val="00BC2B67"/>
    <w:rsid w:val="00BC2EB7"/>
    <w:rsid w:val="00BC2FAF"/>
    <w:rsid w:val="00BC302F"/>
    <w:rsid w:val="00BC3096"/>
    <w:rsid w:val="00BC311B"/>
    <w:rsid w:val="00BC31FA"/>
    <w:rsid w:val="00BC32E0"/>
    <w:rsid w:val="00BC3396"/>
    <w:rsid w:val="00BC3580"/>
    <w:rsid w:val="00BC3604"/>
    <w:rsid w:val="00BC3866"/>
    <w:rsid w:val="00BC3899"/>
    <w:rsid w:val="00BC38C1"/>
    <w:rsid w:val="00BC39FF"/>
    <w:rsid w:val="00BC3A3D"/>
    <w:rsid w:val="00BC3C6A"/>
    <w:rsid w:val="00BC3CAD"/>
    <w:rsid w:val="00BC3FE7"/>
    <w:rsid w:val="00BC4009"/>
    <w:rsid w:val="00BC4092"/>
    <w:rsid w:val="00BC4259"/>
    <w:rsid w:val="00BC4310"/>
    <w:rsid w:val="00BC43E2"/>
    <w:rsid w:val="00BC43EF"/>
    <w:rsid w:val="00BC443B"/>
    <w:rsid w:val="00BC4609"/>
    <w:rsid w:val="00BC46BC"/>
    <w:rsid w:val="00BC4765"/>
    <w:rsid w:val="00BC47AF"/>
    <w:rsid w:val="00BC47B2"/>
    <w:rsid w:val="00BC4802"/>
    <w:rsid w:val="00BC4935"/>
    <w:rsid w:val="00BC49AC"/>
    <w:rsid w:val="00BC4B07"/>
    <w:rsid w:val="00BC4E16"/>
    <w:rsid w:val="00BC4F41"/>
    <w:rsid w:val="00BC4F9B"/>
    <w:rsid w:val="00BC50F0"/>
    <w:rsid w:val="00BC51A3"/>
    <w:rsid w:val="00BC51F9"/>
    <w:rsid w:val="00BC5225"/>
    <w:rsid w:val="00BC529D"/>
    <w:rsid w:val="00BC5398"/>
    <w:rsid w:val="00BC5411"/>
    <w:rsid w:val="00BC5412"/>
    <w:rsid w:val="00BC57A8"/>
    <w:rsid w:val="00BC5965"/>
    <w:rsid w:val="00BC5A5E"/>
    <w:rsid w:val="00BC5BE2"/>
    <w:rsid w:val="00BC5E2E"/>
    <w:rsid w:val="00BC5E4E"/>
    <w:rsid w:val="00BC5E5A"/>
    <w:rsid w:val="00BC60E9"/>
    <w:rsid w:val="00BC6118"/>
    <w:rsid w:val="00BC6177"/>
    <w:rsid w:val="00BC622E"/>
    <w:rsid w:val="00BC6394"/>
    <w:rsid w:val="00BC63D2"/>
    <w:rsid w:val="00BC63DB"/>
    <w:rsid w:val="00BC63EA"/>
    <w:rsid w:val="00BC6546"/>
    <w:rsid w:val="00BC65C0"/>
    <w:rsid w:val="00BC6601"/>
    <w:rsid w:val="00BC66CB"/>
    <w:rsid w:val="00BC690D"/>
    <w:rsid w:val="00BC6A17"/>
    <w:rsid w:val="00BC6AB5"/>
    <w:rsid w:val="00BC6B7B"/>
    <w:rsid w:val="00BC6CAC"/>
    <w:rsid w:val="00BC6E20"/>
    <w:rsid w:val="00BC6E9F"/>
    <w:rsid w:val="00BC6EA5"/>
    <w:rsid w:val="00BC721B"/>
    <w:rsid w:val="00BC723A"/>
    <w:rsid w:val="00BC72A5"/>
    <w:rsid w:val="00BC76DF"/>
    <w:rsid w:val="00BC7833"/>
    <w:rsid w:val="00BC785E"/>
    <w:rsid w:val="00BC79E8"/>
    <w:rsid w:val="00BC7AC4"/>
    <w:rsid w:val="00BC7B48"/>
    <w:rsid w:val="00BC7B94"/>
    <w:rsid w:val="00BC7BFD"/>
    <w:rsid w:val="00BC7DE0"/>
    <w:rsid w:val="00BC7F89"/>
    <w:rsid w:val="00BD0084"/>
    <w:rsid w:val="00BD0265"/>
    <w:rsid w:val="00BD038A"/>
    <w:rsid w:val="00BD047E"/>
    <w:rsid w:val="00BD0509"/>
    <w:rsid w:val="00BD0563"/>
    <w:rsid w:val="00BD05B3"/>
    <w:rsid w:val="00BD0604"/>
    <w:rsid w:val="00BD068F"/>
    <w:rsid w:val="00BD0719"/>
    <w:rsid w:val="00BD07BA"/>
    <w:rsid w:val="00BD0839"/>
    <w:rsid w:val="00BD09C7"/>
    <w:rsid w:val="00BD0B35"/>
    <w:rsid w:val="00BD0B3D"/>
    <w:rsid w:val="00BD0C81"/>
    <w:rsid w:val="00BD0CED"/>
    <w:rsid w:val="00BD0D50"/>
    <w:rsid w:val="00BD0DBE"/>
    <w:rsid w:val="00BD0E7F"/>
    <w:rsid w:val="00BD0E98"/>
    <w:rsid w:val="00BD0ECE"/>
    <w:rsid w:val="00BD0F6D"/>
    <w:rsid w:val="00BD0FD5"/>
    <w:rsid w:val="00BD100A"/>
    <w:rsid w:val="00BD1108"/>
    <w:rsid w:val="00BD115A"/>
    <w:rsid w:val="00BD12F1"/>
    <w:rsid w:val="00BD13AB"/>
    <w:rsid w:val="00BD142A"/>
    <w:rsid w:val="00BD1507"/>
    <w:rsid w:val="00BD1A88"/>
    <w:rsid w:val="00BD1BC7"/>
    <w:rsid w:val="00BD1BC8"/>
    <w:rsid w:val="00BD1CD3"/>
    <w:rsid w:val="00BD1D46"/>
    <w:rsid w:val="00BD1EA1"/>
    <w:rsid w:val="00BD1F83"/>
    <w:rsid w:val="00BD1FAF"/>
    <w:rsid w:val="00BD2092"/>
    <w:rsid w:val="00BD2132"/>
    <w:rsid w:val="00BD2265"/>
    <w:rsid w:val="00BD264B"/>
    <w:rsid w:val="00BD2754"/>
    <w:rsid w:val="00BD29DF"/>
    <w:rsid w:val="00BD2AE3"/>
    <w:rsid w:val="00BD2BBA"/>
    <w:rsid w:val="00BD2DCB"/>
    <w:rsid w:val="00BD2E5A"/>
    <w:rsid w:val="00BD2E9B"/>
    <w:rsid w:val="00BD3165"/>
    <w:rsid w:val="00BD32AC"/>
    <w:rsid w:val="00BD33D8"/>
    <w:rsid w:val="00BD3477"/>
    <w:rsid w:val="00BD34FF"/>
    <w:rsid w:val="00BD3543"/>
    <w:rsid w:val="00BD358B"/>
    <w:rsid w:val="00BD35C9"/>
    <w:rsid w:val="00BD379A"/>
    <w:rsid w:val="00BD3890"/>
    <w:rsid w:val="00BD3A5C"/>
    <w:rsid w:val="00BD3BEF"/>
    <w:rsid w:val="00BD3C36"/>
    <w:rsid w:val="00BD3CAE"/>
    <w:rsid w:val="00BD3E3C"/>
    <w:rsid w:val="00BD3E9D"/>
    <w:rsid w:val="00BD4280"/>
    <w:rsid w:val="00BD4489"/>
    <w:rsid w:val="00BD45A5"/>
    <w:rsid w:val="00BD4CDC"/>
    <w:rsid w:val="00BD4CE9"/>
    <w:rsid w:val="00BD4D13"/>
    <w:rsid w:val="00BD4EC5"/>
    <w:rsid w:val="00BD4F8A"/>
    <w:rsid w:val="00BD54A1"/>
    <w:rsid w:val="00BD551F"/>
    <w:rsid w:val="00BD554A"/>
    <w:rsid w:val="00BD566D"/>
    <w:rsid w:val="00BD57A5"/>
    <w:rsid w:val="00BD5827"/>
    <w:rsid w:val="00BD5859"/>
    <w:rsid w:val="00BD59CF"/>
    <w:rsid w:val="00BD5A3A"/>
    <w:rsid w:val="00BD5A6D"/>
    <w:rsid w:val="00BD5A6E"/>
    <w:rsid w:val="00BD5CB9"/>
    <w:rsid w:val="00BD5D8A"/>
    <w:rsid w:val="00BD5E2D"/>
    <w:rsid w:val="00BD61C4"/>
    <w:rsid w:val="00BD6422"/>
    <w:rsid w:val="00BD642A"/>
    <w:rsid w:val="00BD6467"/>
    <w:rsid w:val="00BD65BB"/>
    <w:rsid w:val="00BD66B1"/>
    <w:rsid w:val="00BD67FD"/>
    <w:rsid w:val="00BD67FF"/>
    <w:rsid w:val="00BD681C"/>
    <w:rsid w:val="00BD6D51"/>
    <w:rsid w:val="00BD6E14"/>
    <w:rsid w:val="00BD6E9D"/>
    <w:rsid w:val="00BD6F28"/>
    <w:rsid w:val="00BD6FE9"/>
    <w:rsid w:val="00BD6FEC"/>
    <w:rsid w:val="00BD7107"/>
    <w:rsid w:val="00BD71E5"/>
    <w:rsid w:val="00BD7209"/>
    <w:rsid w:val="00BD7351"/>
    <w:rsid w:val="00BD7576"/>
    <w:rsid w:val="00BD7794"/>
    <w:rsid w:val="00BD77DC"/>
    <w:rsid w:val="00BD7823"/>
    <w:rsid w:val="00BD7BCF"/>
    <w:rsid w:val="00BD7C57"/>
    <w:rsid w:val="00BD7C6A"/>
    <w:rsid w:val="00BD7C8F"/>
    <w:rsid w:val="00BD7D50"/>
    <w:rsid w:val="00BD7D70"/>
    <w:rsid w:val="00BD7DCB"/>
    <w:rsid w:val="00BD7E09"/>
    <w:rsid w:val="00BD7E3D"/>
    <w:rsid w:val="00BD7E75"/>
    <w:rsid w:val="00BD7E83"/>
    <w:rsid w:val="00BD7F5B"/>
    <w:rsid w:val="00BD7FFB"/>
    <w:rsid w:val="00BD972F"/>
    <w:rsid w:val="00BE003A"/>
    <w:rsid w:val="00BE01B1"/>
    <w:rsid w:val="00BE022F"/>
    <w:rsid w:val="00BE030F"/>
    <w:rsid w:val="00BE0399"/>
    <w:rsid w:val="00BE039E"/>
    <w:rsid w:val="00BE0428"/>
    <w:rsid w:val="00BE04D0"/>
    <w:rsid w:val="00BE06C3"/>
    <w:rsid w:val="00BE074A"/>
    <w:rsid w:val="00BE0CC5"/>
    <w:rsid w:val="00BE10A9"/>
    <w:rsid w:val="00BE1191"/>
    <w:rsid w:val="00BE12B1"/>
    <w:rsid w:val="00BE13ED"/>
    <w:rsid w:val="00BE15D1"/>
    <w:rsid w:val="00BE15DC"/>
    <w:rsid w:val="00BE1643"/>
    <w:rsid w:val="00BE172E"/>
    <w:rsid w:val="00BE175E"/>
    <w:rsid w:val="00BE1A93"/>
    <w:rsid w:val="00BE1C69"/>
    <w:rsid w:val="00BE1E88"/>
    <w:rsid w:val="00BE214C"/>
    <w:rsid w:val="00BE2220"/>
    <w:rsid w:val="00BE229E"/>
    <w:rsid w:val="00BE2378"/>
    <w:rsid w:val="00BE244A"/>
    <w:rsid w:val="00BE2511"/>
    <w:rsid w:val="00BE273B"/>
    <w:rsid w:val="00BE28AF"/>
    <w:rsid w:val="00BE297E"/>
    <w:rsid w:val="00BE29A2"/>
    <w:rsid w:val="00BE2A8C"/>
    <w:rsid w:val="00BE2CD4"/>
    <w:rsid w:val="00BE2CDF"/>
    <w:rsid w:val="00BE3060"/>
    <w:rsid w:val="00BE3089"/>
    <w:rsid w:val="00BE3123"/>
    <w:rsid w:val="00BE3265"/>
    <w:rsid w:val="00BE32A4"/>
    <w:rsid w:val="00BE32D7"/>
    <w:rsid w:val="00BE32E1"/>
    <w:rsid w:val="00BE346D"/>
    <w:rsid w:val="00BE34B8"/>
    <w:rsid w:val="00BE3B2B"/>
    <w:rsid w:val="00BE3C1F"/>
    <w:rsid w:val="00BE4029"/>
    <w:rsid w:val="00BE410B"/>
    <w:rsid w:val="00BE445A"/>
    <w:rsid w:val="00BE458E"/>
    <w:rsid w:val="00BE46E1"/>
    <w:rsid w:val="00BE47CE"/>
    <w:rsid w:val="00BE47F4"/>
    <w:rsid w:val="00BE4942"/>
    <w:rsid w:val="00BE4A33"/>
    <w:rsid w:val="00BE4BB7"/>
    <w:rsid w:val="00BE4C6B"/>
    <w:rsid w:val="00BE4CA0"/>
    <w:rsid w:val="00BE522C"/>
    <w:rsid w:val="00BE5261"/>
    <w:rsid w:val="00BE5323"/>
    <w:rsid w:val="00BE56A0"/>
    <w:rsid w:val="00BE576E"/>
    <w:rsid w:val="00BE59D5"/>
    <w:rsid w:val="00BE5B92"/>
    <w:rsid w:val="00BE5C4F"/>
    <w:rsid w:val="00BE5D63"/>
    <w:rsid w:val="00BE5E09"/>
    <w:rsid w:val="00BE5E7D"/>
    <w:rsid w:val="00BE5ECF"/>
    <w:rsid w:val="00BE615E"/>
    <w:rsid w:val="00BE6333"/>
    <w:rsid w:val="00BE6376"/>
    <w:rsid w:val="00BE64E0"/>
    <w:rsid w:val="00BE661A"/>
    <w:rsid w:val="00BE68EB"/>
    <w:rsid w:val="00BE6934"/>
    <w:rsid w:val="00BE6963"/>
    <w:rsid w:val="00BE6D57"/>
    <w:rsid w:val="00BE6D80"/>
    <w:rsid w:val="00BE6E6A"/>
    <w:rsid w:val="00BE6EDD"/>
    <w:rsid w:val="00BE6F7C"/>
    <w:rsid w:val="00BE7166"/>
    <w:rsid w:val="00BE7261"/>
    <w:rsid w:val="00BE747E"/>
    <w:rsid w:val="00BE74AD"/>
    <w:rsid w:val="00BE74D0"/>
    <w:rsid w:val="00BE765D"/>
    <w:rsid w:val="00BE770C"/>
    <w:rsid w:val="00BE776B"/>
    <w:rsid w:val="00BE776E"/>
    <w:rsid w:val="00BE792B"/>
    <w:rsid w:val="00BE7A93"/>
    <w:rsid w:val="00BE7B25"/>
    <w:rsid w:val="00BE7D2F"/>
    <w:rsid w:val="00BE7D8B"/>
    <w:rsid w:val="00BE7DCB"/>
    <w:rsid w:val="00BE7F89"/>
    <w:rsid w:val="00BE7FAB"/>
    <w:rsid w:val="00BF010B"/>
    <w:rsid w:val="00BF0185"/>
    <w:rsid w:val="00BF044A"/>
    <w:rsid w:val="00BF04E0"/>
    <w:rsid w:val="00BF065F"/>
    <w:rsid w:val="00BF0858"/>
    <w:rsid w:val="00BF0B01"/>
    <w:rsid w:val="00BF0DD0"/>
    <w:rsid w:val="00BF106E"/>
    <w:rsid w:val="00BF10D8"/>
    <w:rsid w:val="00BF1273"/>
    <w:rsid w:val="00BF13E2"/>
    <w:rsid w:val="00BF16B4"/>
    <w:rsid w:val="00BF18BC"/>
    <w:rsid w:val="00BF194B"/>
    <w:rsid w:val="00BF19BA"/>
    <w:rsid w:val="00BF19BC"/>
    <w:rsid w:val="00BF19CF"/>
    <w:rsid w:val="00BF1AD2"/>
    <w:rsid w:val="00BF1B49"/>
    <w:rsid w:val="00BF1BD4"/>
    <w:rsid w:val="00BF1BE2"/>
    <w:rsid w:val="00BF1CE9"/>
    <w:rsid w:val="00BF1F92"/>
    <w:rsid w:val="00BF2018"/>
    <w:rsid w:val="00BF22B5"/>
    <w:rsid w:val="00BF2326"/>
    <w:rsid w:val="00BF25CF"/>
    <w:rsid w:val="00BF26BA"/>
    <w:rsid w:val="00BF26DD"/>
    <w:rsid w:val="00BF275B"/>
    <w:rsid w:val="00BF2776"/>
    <w:rsid w:val="00BF284F"/>
    <w:rsid w:val="00BF285D"/>
    <w:rsid w:val="00BF2909"/>
    <w:rsid w:val="00BF29A0"/>
    <w:rsid w:val="00BF2AC2"/>
    <w:rsid w:val="00BF2B63"/>
    <w:rsid w:val="00BF2D9E"/>
    <w:rsid w:val="00BF2DA0"/>
    <w:rsid w:val="00BF2DC3"/>
    <w:rsid w:val="00BF2E4F"/>
    <w:rsid w:val="00BF2EF5"/>
    <w:rsid w:val="00BF2F26"/>
    <w:rsid w:val="00BF317D"/>
    <w:rsid w:val="00BF3231"/>
    <w:rsid w:val="00BF32CB"/>
    <w:rsid w:val="00BF3310"/>
    <w:rsid w:val="00BF33D4"/>
    <w:rsid w:val="00BF3461"/>
    <w:rsid w:val="00BF351B"/>
    <w:rsid w:val="00BF3584"/>
    <w:rsid w:val="00BF358F"/>
    <w:rsid w:val="00BF35F3"/>
    <w:rsid w:val="00BF3676"/>
    <w:rsid w:val="00BF373F"/>
    <w:rsid w:val="00BF37CF"/>
    <w:rsid w:val="00BF3AFE"/>
    <w:rsid w:val="00BF3B3F"/>
    <w:rsid w:val="00BF3B67"/>
    <w:rsid w:val="00BF3B74"/>
    <w:rsid w:val="00BF3D8B"/>
    <w:rsid w:val="00BF3E19"/>
    <w:rsid w:val="00BF3E5D"/>
    <w:rsid w:val="00BF3EE5"/>
    <w:rsid w:val="00BF3F02"/>
    <w:rsid w:val="00BF3F48"/>
    <w:rsid w:val="00BF4253"/>
    <w:rsid w:val="00BF440D"/>
    <w:rsid w:val="00BF4655"/>
    <w:rsid w:val="00BF4657"/>
    <w:rsid w:val="00BF46B2"/>
    <w:rsid w:val="00BF476A"/>
    <w:rsid w:val="00BF4B8D"/>
    <w:rsid w:val="00BF4BB2"/>
    <w:rsid w:val="00BF4BE8"/>
    <w:rsid w:val="00BF4D1D"/>
    <w:rsid w:val="00BF4D5B"/>
    <w:rsid w:val="00BF4E06"/>
    <w:rsid w:val="00BF4E11"/>
    <w:rsid w:val="00BF4ECB"/>
    <w:rsid w:val="00BF5127"/>
    <w:rsid w:val="00BF53C0"/>
    <w:rsid w:val="00BF5499"/>
    <w:rsid w:val="00BF54E8"/>
    <w:rsid w:val="00BF565D"/>
    <w:rsid w:val="00BF56A1"/>
    <w:rsid w:val="00BF5B15"/>
    <w:rsid w:val="00BF5DBE"/>
    <w:rsid w:val="00BF5FEB"/>
    <w:rsid w:val="00BF6252"/>
    <w:rsid w:val="00BF6615"/>
    <w:rsid w:val="00BF6622"/>
    <w:rsid w:val="00BF684B"/>
    <w:rsid w:val="00BF6A62"/>
    <w:rsid w:val="00BF6A95"/>
    <w:rsid w:val="00BF6C02"/>
    <w:rsid w:val="00BF6C3F"/>
    <w:rsid w:val="00BF6F71"/>
    <w:rsid w:val="00BF7016"/>
    <w:rsid w:val="00BF7273"/>
    <w:rsid w:val="00BF73F2"/>
    <w:rsid w:val="00BF762F"/>
    <w:rsid w:val="00BF7748"/>
    <w:rsid w:val="00BF77F3"/>
    <w:rsid w:val="00BF7881"/>
    <w:rsid w:val="00BF78F9"/>
    <w:rsid w:val="00BF7B12"/>
    <w:rsid w:val="00BF7B32"/>
    <w:rsid w:val="00BF7C7F"/>
    <w:rsid w:val="00BF7CE5"/>
    <w:rsid w:val="00C0009B"/>
    <w:rsid w:val="00C000A4"/>
    <w:rsid w:val="00C0013F"/>
    <w:rsid w:val="00C002B7"/>
    <w:rsid w:val="00C002FD"/>
    <w:rsid w:val="00C00441"/>
    <w:rsid w:val="00C0087D"/>
    <w:rsid w:val="00C008D3"/>
    <w:rsid w:val="00C00916"/>
    <w:rsid w:val="00C00971"/>
    <w:rsid w:val="00C00A5A"/>
    <w:rsid w:val="00C00AD6"/>
    <w:rsid w:val="00C00BB6"/>
    <w:rsid w:val="00C00C66"/>
    <w:rsid w:val="00C00CDC"/>
    <w:rsid w:val="00C00CE7"/>
    <w:rsid w:val="00C00DA3"/>
    <w:rsid w:val="00C00EC5"/>
    <w:rsid w:val="00C00FE5"/>
    <w:rsid w:val="00C01076"/>
    <w:rsid w:val="00C0109B"/>
    <w:rsid w:val="00C01107"/>
    <w:rsid w:val="00C0112E"/>
    <w:rsid w:val="00C01185"/>
    <w:rsid w:val="00C011E7"/>
    <w:rsid w:val="00C0120F"/>
    <w:rsid w:val="00C012C0"/>
    <w:rsid w:val="00C0133F"/>
    <w:rsid w:val="00C0150E"/>
    <w:rsid w:val="00C0172F"/>
    <w:rsid w:val="00C01897"/>
    <w:rsid w:val="00C018F8"/>
    <w:rsid w:val="00C01BC6"/>
    <w:rsid w:val="00C01D06"/>
    <w:rsid w:val="00C01E44"/>
    <w:rsid w:val="00C02156"/>
    <w:rsid w:val="00C0219C"/>
    <w:rsid w:val="00C023A6"/>
    <w:rsid w:val="00C02510"/>
    <w:rsid w:val="00C025B6"/>
    <w:rsid w:val="00C026D8"/>
    <w:rsid w:val="00C02843"/>
    <w:rsid w:val="00C02903"/>
    <w:rsid w:val="00C029B3"/>
    <w:rsid w:val="00C02AA7"/>
    <w:rsid w:val="00C02CEE"/>
    <w:rsid w:val="00C02D41"/>
    <w:rsid w:val="00C02EAC"/>
    <w:rsid w:val="00C02F4F"/>
    <w:rsid w:val="00C03020"/>
    <w:rsid w:val="00C0306A"/>
    <w:rsid w:val="00C030A8"/>
    <w:rsid w:val="00C030B0"/>
    <w:rsid w:val="00C0314E"/>
    <w:rsid w:val="00C03233"/>
    <w:rsid w:val="00C03509"/>
    <w:rsid w:val="00C03767"/>
    <w:rsid w:val="00C03802"/>
    <w:rsid w:val="00C038C8"/>
    <w:rsid w:val="00C03A6A"/>
    <w:rsid w:val="00C03AD2"/>
    <w:rsid w:val="00C03BBC"/>
    <w:rsid w:val="00C03D06"/>
    <w:rsid w:val="00C03D37"/>
    <w:rsid w:val="00C03D57"/>
    <w:rsid w:val="00C03E2D"/>
    <w:rsid w:val="00C03E72"/>
    <w:rsid w:val="00C03FC2"/>
    <w:rsid w:val="00C04004"/>
    <w:rsid w:val="00C040C7"/>
    <w:rsid w:val="00C040E2"/>
    <w:rsid w:val="00C04212"/>
    <w:rsid w:val="00C04294"/>
    <w:rsid w:val="00C042AE"/>
    <w:rsid w:val="00C044EC"/>
    <w:rsid w:val="00C0453B"/>
    <w:rsid w:val="00C04552"/>
    <w:rsid w:val="00C045FC"/>
    <w:rsid w:val="00C049CE"/>
    <w:rsid w:val="00C04A6A"/>
    <w:rsid w:val="00C04D39"/>
    <w:rsid w:val="00C04DFE"/>
    <w:rsid w:val="00C04EA4"/>
    <w:rsid w:val="00C04FA9"/>
    <w:rsid w:val="00C0501A"/>
    <w:rsid w:val="00C0511B"/>
    <w:rsid w:val="00C05185"/>
    <w:rsid w:val="00C052EB"/>
    <w:rsid w:val="00C05325"/>
    <w:rsid w:val="00C05380"/>
    <w:rsid w:val="00C054A9"/>
    <w:rsid w:val="00C0552F"/>
    <w:rsid w:val="00C0563C"/>
    <w:rsid w:val="00C05653"/>
    <w:rsid w:val="00C058F5"/>
    <w:rsid w:val="00C05934"/>
    <w:rsid w:val="00C0595B"/>
    <w:rsid w:val="00C05991"/>
    <w:rsid w:val="00C05C47"/>
    <w:rsid w:val="00C05DE3"/>
    <w:rsid w:val="00C05F45"/>
    <w:rsid w:val="00C06003"/>
    <w:rsid w:val="00C064C5"/>
    <w:rsid w:val="00C064EA"/>
    <w:rsid w:val="00C06916"/>
    <w:rsid w:val="00C0695B"/>
    <w:rsid w:val="00C06988"/>
    <w:rsid w:val="00C069E2"/>
    <w:rsid w:val="00C069FC"/>
    <w:rsid w:val="00C06A1A"/>
    <w:rsid w:val="00C06CE4"/>
    <w:rsid w:val="00C06D09"/>
    <w:rsid w:val="00C06F1B"/>
    <w:rsid w:val="00C06F9C"/>
    <w:rsid w:val="00C07202"/>
    <w:rsid w:val="00C0730B"/>
    <w:rsid w:val="00C07434"/>
    <w:rsid w:val="00C0747D"/>
    <w:rsid w:val="00C07486"/>
    <w:rsid w:val="00C0763C"/>
    <w:rsid w:val="00C07853"/>
    <w:rsid w:val="00C078A6"/>
    <w:rsid w:val="00C0798B"/>
    <w:rsid w:val="00C07C2B"/>
    <w:rsid w:val="00C07C82"/>
    <w:rsid w:val="00C07F42"/>
    <w:rsid w:val="00C100DC"/>
    <w:rsid w:val="00C1012D"/>
    <w:rsid w:val="00C1016D"/>
    <w:rsid w:val="00C10266"/>
    <w:rsid w:val="00C10425"/>
    <w:rsid w:val="00C104CF"/>
    <w:rsid w:val="00C1050F"/>
    <w:rsid w:val="00C1063B"/>
    <w:rsid w:val="00C106C3"/>
    <w:rsid w:val="00C1079B"/>
    <w:rsid w:val="00C10800"/>
    <w:rsid w:val="00C10841"/>
    <w:rsid w:val="00C10979"/>
    <w:rsid w:val="00C10ACC"/>
    <w:rsid w:val="00C10B28"/>
    <w:rsid w:val="00C10BF0"/>
    <w:rsid w:val="00C10C8D"/>
    <w:rsid w:val="00C10D78"/>
    <w:rsid w:val="00C10FF8"/>
    <w:rsid w:val="00C11041"/>
    <w:rsid w:val="00C1104F"/>
    <w:rsid w:val="00C1110F"/>
    <w:rsid w:val="00C11122"/>
    <w:rsid w:val="00C1125A"/>
    <w:rsid w:val="00C11793"/>
    <w:rsid w:val="00C117D3"/>
    <w:rsid w:val="00C117E1"/>
    <w:rsid w:val="00C11A02"/>
    <w:rsid w:val="00C11EE9"/>
    <w:rsid w:val="00C123A8"/>
    <w:rsid w:val="00C12539"/>
    <w:rsid w:val="00C125C9"/>
    <w:rsid w:val="00C12658"/>
    <w:rsid w:val="00C1296B"/>
    <w:rsid w:val="00C12C3A"/>
    <w:rsid w:val="00C12CB3"/>
    <w:rsid w:val="00C12DAA"/>
    <w:rsid w:val="00C12E92"/>
    <w:rsid w:val="00C12F82"/>
    <w:rsid w:val="00C12FDB"/>
    <w:rsid w:val="00C133F5"/>
    <w:rsid w:val="00C136C9"/>
    <w:rsid w:val="00C136D3"/>
    <w:rsid w:val="00C137E6"/>
    <w:rsid w:val="00C1389B"/>
    <w:rsid w:val="00C13901"/>
    <w:rsid w:val="00C139F7"/>
    <w:rsid w:val="00C13A66"/>
    <w:rsid w:val="00C13BD3"/>
    <w:rsid w:val="00C13C15"/>
    <w:rsid w:val="00C13D69"/>
    <w:rsid w:val="00C13E57"/>
    <w:rsid w:val="00C13E94"/>
    <w:rsid w:val="00C13FD1"/>
    <w:rsid w:val="00C13FDB"/>
    <w:rsid w:val="00C13FF5"/>
    <w:rsid w:val="00C14177"/>
    <w:rsid w:val="00C14243"/>
    <w:rsid w:val="00C144CE"/>
    <w:rsid w:val="00C1451E"/>
    <w:rsid w:val="00C145BD"/>
    <w:rsid w:val="00C1464F"/>
    <w:rsid w:val="00C1475C"/>
    <w:rsid w:val="00C1479A"/>
    <w:rsid w:val="00C147EB"/>
    <w:rsid w:val="00C14814"/>
    <w:rsid w:val="00C14842"/>
    <w:rsid w:val="00C14863"/>
    <w:rsid w:val="00C14F6F"/>
    <w:rsid w:val="00C14F8B"/>
    <w:rsid w:val="00C15012"/>
    <w:rsid w:val="00C15310"/>
    <w:rsid w:val="00C1549B"/>
    <w:rsid w:val="00C1571B"/>
    <w:rsid w:val="00C158D6"/>
    <w:rsid w:val="00C158F7"/>
    <w:rsid w:val="00C15A42"/>
    <w:rsid w:val="00C15A79"/>
    <w:rsid w:val="00C15B31"/>
    <w:rsid w:val="00C15B62"/>
    <w:rsid w:val="00C15D9D"/>
    <w:rsid w:val="00C15DB7"/>
    <w:rsid w:val="00C15F35"/>
    <w:rsid w:val="00C160B9"/>
    <w:rsid w:val="00C16195"/>
    <w:rsid w:val="00C161AE"/>
    <w:rsid w:val="00C164E0"/>
    <w:rsid w:val="00C16578"/>
    <w:rsid w:val="00C16631"/>
    <w:rsid w:val="00C16735"/>
    <w:rsid w:val="00C16787"/>
    <w:rsid w:val="00C1680F"/>
    <w:rsid w:val="00C16810"/>
    <w:rsid w:val="00C16833"/>
    <w:rsid w:val="00C16862"/>
    <w:rsid w:val="00C168DA"/>
    <w:rsid w:val="00C16A4A"/>
    <w:rsid w:val="00C16A5A"/>
    <w:rsid w:val="00C16B07"/>
    <w:rsid w:val="00C16C74"/>
    <w:rsid w:val="00C16CCB"/>
    <w:rsid w:val="00C16D04"/>
    <w:rsid w:val="00C16DE4"/>
    <w:rsid w:val="00C16E50"/>
    <w:rsid w:val="00C172E8"/>
    <w:rsid w:val="00C17343"/>
    <w:rsid w:val="00C1735B"/>
    <w:rsid w:val="00C17374"/>
    <w:rsid w:val="00C17381"/>
    <w:rsid w:val="00C173E7"/>
    <w:rsid w:val="00C1740D"/>
    <w:rsid w:val="00C1741F"/>
    <w:rsid w:val="00C17432"/>
    <w:rsid w:val="00C17447"/>
    <w:rsid w:val="00C175AE"/>
    <w:rsid w:val="00C17716"/>
    <w:rsid w:val="00C17724"/>
    <w:rsid w:val="00C1785B"/>
    <w:rsid w:val="00C179D9"/>
    <w:rsid w:val="00C17A28"/>
    <w:rsid w:val="00C17B00"/>
    <w:rsid w:val="00C17B27"/>
    <w:rsid w:val="00C17B57"/>
    <w:rsid w:val="00C17D58"/>
    <w:rsid w:val="00C17D70"/>
    <w:rsid w:val="00C17E12"/>
    <w:rsid w:val="00C17F00"/>
    <w:rsid w:val="00C2018A"/>
    <w:rsid w:val="00C2018D"/>
    <w:rsid w:val="00C2029A"/>
    <w:rsid w:val="00C202EA"/>
    <w:rsid w:val="00C204E8"/>
    <w:rsid w:val="00C2076A"/>
    <w:rsid w:val="00C20974"/>
    <w:rsid w:val="00C20AAB"/>
    <w:rsid w:val="00C20B24"/>
    <w:rsid w:val="00C20B81"/>
    <w:rsid w:val="00C20C6C"/>
    <w:rsid w:val="00C20E75"/>
    <w:rsid w:val="00C20FE6"/>
    <w:rsid w:val="00C21252"/>
    <w:rsid w:val="00C212B9"/>
    <w:rsid w:val="00C214B0"/>
    <w:rsid w:val="00C2152E"/>
    <w:rsid w:val="00C21593"/>
    <w:rsid w:val="00C2160F"/>
    <w:rsid w:val="00C216D4"/>
    <w:rsid w:val="00C218C3"/>
    <w:rsid w:val="00C219D7"/>
    <w:rsid w:val="00C21AA4"/>
    <w:rsid w:val="00C21AAA"/>
    <w:rsid w:val="00C21C43"/>
    <w:rsid w:val="00C22265"/>
    <w:rsid w:val="00C22294"/>
    <w:rsid w:val="00C222DA"/>
    <w:rsid w:val="00C225DC"/>
    <w:rsid w:val="00C226BB"/>
    <w:rsid w:val="00C226E3"/>
    <w:rsid w:val="00C2280E"/>
    <w:rsid w:val="00C22962"/>
    <w:rsid w:val="00C22AA3"/>
    <w:rsid w:val="00C22C7A"/>
    <w:rsid w:val="00C22C96"/>
    <w:rsid w:val="00C22CB8"/>
    <w:rsid w:val="00C22CDB"/>
    <w:rsid w:val="00C22D75"/>
    <w:rsid w:val="00C22E9D"/>
    <w:rsid w:val="00C22F91"/>
    <w:rsid w:val="00C23052"/>
    <w:rsid w:val="00C23260"/>
    <w:rsid w:val="00C23265"/>
    <w:rsid w:val="00C23364"/>
    <w:rsid w:val="00C2338D"/>
    <w:rsid w:val="00C23579"/>
    <w:rsid w:val="00C23587"/>
    <w:rsid w:val="00C23785"/>
    <w:rsid w:val="00C23999"/>
    <w:rsid w:val="00C239B9"/>
    <w:rsid w:val="00C239BC"/>
    <w:rsid w:val="00C23AC6"/>
    <w:rsid w:val="00C23B5F"/>
    <w:rsid w:val="00C23CFF"/>
    <w:rsid w:val="00C23E7D"/>
    <w:rsid w:val="00C23F46"/>
    <w:rsid w:val="00C23F6F"/>
    <w:rsid w:val="00C23FD1"/>
    <w:rsid w:val="00C240F2"/>
    <w:rsid w:val="00C242E3"/>
    <w:rsid w:val="00C243B8"/>
    <w:rsid w:val="00C243DF"/>
    <w:rsid w:val="00C24470"/>
    <w:rsid w:val="00C244CE"/>
    <w:rsid w:val="00C245EE"/>
    <w:rsid w:val="00C24814"/>
    <w:rsid w:val="00C24BF1"/>
    <w:rsid w:val="00C24C5C"/>
    <w:rsid w:val="00C24CF7"/>
    <w:rsid w:val="00C24D68"/>
    <w:rsid w:val="00C24DFF"/>
    <w:rsid w:val="00C250E1"/>
    <w:rsid w:val="00C25139"/>
    <w:rsid w:val="00C251B8"/>
    <w:rsid w:val="00C25229"/>
    <w:rsid w:val="00C253BF"/>
    <w:rsid w:val="00C25554"/>
    <w:rsid w:val="00C25873"/>
    <w:rsid w:val="00C25876"/>
    <w:rsid w:val="00C258FD"/>
    <w:rsid w:val="00C25AA3"/>
    <w:rsid w:val="00C25BD9"/>
    <w:rsid w:val="00C26106"/>
    <w:rsid w:val="00C2617F"/>
    <w:rsid w:val="00C2632E"/>
    <w:rsid w:val="00C265A4"/>
    <w:rsid w:val="00C266D0"/>
    <w:rsid w:val="00C26833"/>
    <w:rsid w:val="00C26871"/>
    <w:rsid w:val="00C26A9F"/>
    <w:rsid w:val="00C26ABD"/>
    <w:rsid w:val="00C26AD4"/>
    <w:rsid w:val="00C26B3A"/>
    <w:rsid w:val="00C26B8C"/>
    <w:rsid w:val="00C26C7F"/>
    <w:rsid w:val="00C26CA9"/>
    <w:rsid w:val="00C26DD9"/>
    <w:rsid w:val="00C2725A"/>
    <w:rsid w:val="00C27323"/>
    <w:rsid w:val="00C273AB"/>
    <w:rsid w:val="00C2752C"/>
    <w:rsid w:val="00C2753B"/>
    <w:rsid w:val="00C275EA"/>
    <w:rsid w:val="00C276F1"/>
    <w:rsid w:val="00C27774"/>
    <w:rsid w:val="00C277A5"/>
    <w:rsid w:val="00C27825"/>
    <w:rsid w:val="00C279D7"/>
    <w:rsid w:val="00C27AF2"/>
    <w:rsid w:val="00C27C23"/>
    <w:rsid w:val="00C27EC0"/>
    <w:rsid w:val="00C27ED4"/>
    <w:rsid w:val="00C30072"/>
    <w:rsid w:val="00C3022E"/>
    <w:rsid w:val="00C30236"/>
    <w:rsid w:val="00C30281"/>
    <w:rsid w:val="00C302AC"/>
    <w:rsid w:val="00C303DE"/>
    <w:rsid w:val="00C304F2"/>
    <w:rsid w:val="00C3053A"/>
    <w:rsid w:val="00C30590"/>
    <w:rsid w:val="00C3072C"/>
    <w:rsid w:val="00C3087E"/>
    <w:rsid w:val="00C3096E"/>
    <w:rsid w:val="00C30AFA"/>
    <w:rsid w:val="00C30B91"/>
    <w:rsid w:val="00C30BAA"/>
    <w:rsid w:val="00C30CD2"/>
    <w:rsid w:val="00C30CE8"/>
    <w:rsid w:val="00C30D57"/>
    <w:rsid w:val="00C30F9C"/>
    <w:rsid w:val="00C310B7"/>
    <w:rsid w:val="00C31132"/>
    <w:rsid w:val="00C311B0"/>
    <w:rsid w:val="00C3123C"/>
    <w:rsid w:val="00C3130C"/>
    <w:rsid w:val="00C31408"/>
    <w:rsid w:val="00C3141D"/>
    <w:rsid w:val="00C31448"/>
    <w:rsid w:val="00C3146C"/>
    <w:rsid w:val="00C314A2"/>
    <w:rsid w:val="00C31677"/>
    <w:rsid w:val="00C316E3"/>
    <w:rsid w:val="00C31867"/>
    <w:rsid w:val="00C318D5"/>
    <w:rsid w:val="00C31B05"/>
    <w:rsid w:val="00C31C90"/>
    <w:rsid w:val="00C31E50"/>
    <w:rsid w:val="00C31E89"/>
    <w:rsid w:val="00C31F35"/>
    <w:rsid w:val="00C31FD6"/>
    <w:rsid w:val="00C3201A"/>
    <w:rsid w:val="00C322E0"/>
    <w:rsid w:val="00C324BA"/>
    <w:rsid w:val="00C32525"/>
    <w:rsid w:val="00C3252E"/>
    <w:rsid w:val="00C32538"/>
    <w:rsid w:val="00C32551"/>
    <w:rsid w:val="00C3259A"/>
    <w:rsid w:val="00C3260E"/>
    <w:rsid w:val="00C326BD"/>
    <w:rsid w:val="00C326CA"/>
    <w:rsid w:val="00C326FE"/>
    <w:rsid w:val="00C32764"/>
    <w:rsid w:val="00C328F4"/>
    <w:rsid w:val="00C329A2"/>
    <w:rsid w:val="00C32A32"/>
    <w:rsid w:val="00C32A8D"/>
    <w:rsid w:val="00C32AA4"/>
    <w:rsid w:val="00C32CAC"/>
    <w:rsid w:val="00C32D1D"/>
    <w:rsid w:val="00C32D4E"/>
    <w:rsid w:val="00C32E55"/>
    <w:rsid w:val="00C32F21"/>
    <w:rsid w:val="00C330A5"/>
    <w:rsid w:val="00C330EA"/>
    <w:rsid w:val="00C33374"/>
    <w:rsid w:val="00C333B9"/>
    <w:rsid w:val="00C333BD"/>
    <w:rsid w:val="00C334F0"/>
    <w:rsid w:val="00C33539"/>
    <w:rsid w:val="00C3356C"/>
    <w:rsid w:val="00C33581"/>
    <w:rsid w:val="00C335CC"/>
    <w:rsid w:val="00C33680"/>
    <w:rsid w:val="00C337C5"/>
    <w:rsid w:val="00C3381D"/>
    <w:rsid w:val="00C33836"/>
    <w:rsid w:val="00C33951"/>
    <w:rsid w:val="00C33D93"/>
    <w:rsid w:val="00C33F32"/>
    <w:rsid w:val="00C341F6"/>
    <w:rsid w:val="00C34254"/>
    <w:rsid w:val="00C342E3"/>
    <w:rsid w:val="00C343BD"/>
    <w:rsid w:val="00C34501"/>
    <w:rsid w:val="00C34552"/>
    <w:rsid w:val="00C34697"/>
    <w:rsid w:val="00C346FF"/>
    <w:rsid w:val="00C34716"/>
    <w:rsid w:val="00C3483C"/>
    <w:rsid w:val="00C34A8E"/>
    <w:rsid w:val="00C34B43"/>
    <w:rsid w:val="00C34E38"/>
    <w:rsid w:val="00C34F32"/>
    <w:rsid w:val="00C3502D"/>
    <w:rsid w:val="00C3509C"/>
    <w:rsid w:val="00C350A1"/>
    <w:rsid w:val="00C353E2"/>
    <w:rsid w:val="00C3540C"/>
    <w:rsid w:val="00C355DF"/>
    <w:rsid w:val="00C35672"/>
    <w:rsid w:val="00C35708"/>
    <w:rsid w:val="00C35744"/>
    <w:rsid w:val="00C35855"/>
    <w:rsid w:val="00C35884"/>
    <w:rsid w:val="00C35A22"/>
    <w:rsid w:val="00C35A8D"/>
    <w:rsid w:val="00C35AD6"/>
    <w:rsid w:val="00C35DF8"/>
    <w:rsid w:val="00C362AA"/>
    <w:rsid w:val="00C36343"/>
    <w:rsid w:val="00C36361"/>
    <w:rsid w:val="00C364E5"/>
    <w:rsid w:val="00C366E4"/>
    <w:rsid w:val="00C366E5"/>
    <w:rsid w:val="00C36820"/>
    <w:rsid w:val="00C36916"/>
    <w:rsid w:val="00C36AA9"/>
    <w:rsid w:val="00C36BAE"/>
    <w:rsid w:val="00C36F43"/>
    <w:rsid w:val="00C3702A"/>
    <w:rsid w:val="00C370F1"/>
    <w:rsid w:val="00C3727B"/>
    <w:rsid w:val="00C372AC"/>
    <w:rsid w:val="00C373F7"/>
    <w:rsid w:val="00C375EA"/>
    <w:rsid w:val="00C37649"/>
    <w:rsid w:val="00C378F7"/>
    <w:rsid w:val="00C3794D"/>
    <w:rsid w:val="00C37BDB"/>
    <w:rsid w:val="00C37E5A"/>
    <w:rsid w:val="00C37F7A"/>
    <w:rsid w:val="00C37FB6"/>
    <w:rsid w:val="00C37FBD"/>
    <w:rsid w:val="00C4063B"/>
    <w:rsid w:val="00C40844"/>
    <w:rsid w:val="00C40925"/>
    <w:rsid w:val="00C40ACF"/>
    <w:rsid w:val="00C40B41"/>
    <w:rsid w:val="00C40B96"/>
    <w:rsid w:val="00C40C9A"/>
    <w:rsid w:val="00C40CF7"/>
    <w:rsid w:val="00C40D1C"/>
    <w:rsid w:val="00C40D8B"/>
    <w:rsid w:val="00C40E92"/>
    <w:rsid w:val="00C40F6D"/>
    <w:rsid w:val="00C4125F"/>
    <w:rsid w:val="00C41398"/>
    <w:rsid w:val="00C4148D"/>
    <w:rsid w:val="00C41543"/>
    <w:rsid w:val="00C415C7"/>
    <w:rsid w:val="00C41671"/>
    <w:rsid w:val="00C41678"/>
    <w:rsid w:val="00C416E8"/>
    <w:rsid w:val="00C4174A"/>
    <w:rsid w:val="00C4182A"/>
    <w:rsid w:val="00C418B9"/>
    <w:rsid w:val="00C41A66"/>
    <w:rsid w:val="00C41DE1"/>
    <w:rsid w:val="00C41E38"/>
    <w:rsid w:val="00C41E46"/>
    <w:rsid w:val="00C41EEB"/>
    <w:rsid w:val="00C42169"/>
    <w:rsid w:val="00C42245"/>
    <w:rsid w:val="00C422D2"/>
    <w:rsid w:val="00C42717"/>
    <w:rsid w:val="00C42739"/>
    <w:rsid w:val="00C4275D"/>
    <w:rsid w:val="00C42878"/>
    <w:rsid w:val="00C428BC"/>
    <w:rsid w:val="00C42A39"/>
    <w:rsid w:val="00C42A51"/>
    <w:rsid w:val="00C42AB8"/>
    <w:rsid w:val="00C42B11"/>
    <w:rsid w:val="00C42CEB"/>
    <w:rsid w:val="00C42EF4"/>
    <w:rsid w:val="00C42FB6"/>
    <w:rsid w:val="00C42FF5"/>
    <w:rsid w:val="00C430A9"/>
    <w:rsid w:val="00C4311B"/>
    <w:rsid w:val="00C4322F"/>
    <w:rsid w:val="00C4335A"/>
    <w:rsid w:val="00C433BC"/>
    <w:rsid w:val="00C433F9"/>
    <w:rsid w:val="00C43456"/>
    <w:rsid w:val="00C43575"/>
    <w:rsid w:val="00C4359A"/>
    <w:rsid w:val="00C4395F"/>
    <w:rsid w:val="00C4396D"/>
    <w:rsid w:val="00C439F6"/>
    <w:rsid w:val="00C43AEF"/>
    <w:rsid w:val="00C43D49"/>
    <w:rsid w:val="00C43DA5"/>
    <w:rsid w:val="00C43DA6"/>
    <w:rsid w:val="00C43DFE"/>
    <w:rsid w:val="00C43E19"/>
    <w:rsid w:val="00C43F45"/>
    <w:rsid w:val="00C44060"/>
    <w:rsid w:val="00C44132"/>
    <w:rsid w:val="00C445BE"/>
    <w:rsid w:val="00C44607"/>
    <w:rsid w:val="00C44626"/>
    <w:rsid w:val="00C4471E"/>
    <w:rsid w:val="00C4480E"/>
    <w:rsid w:val="00C44888"/>
    <w:rsid w:val="00C44F2F"/>
    <w:rsid w:val="00C45054"/>
    <w:rsid w:val="00C45169"/>
    <w:rsid w:val="00C4546C"/>
    <w:rsid w:val="00C455B5"/>
    <w:rsid w:val="00C456B8"/>
    <w:rsid w:val="00C45892"/>
    <w:rsid w:val="00C4591E"/>
    <w:rsid w:val="00C459F3"/>
    <w:rsid w:val="00C45AC6"/>
    <w:rsid w:val="00C45C44"/>
    <w:rsid w:val="00C45CA6"/>
    <w:rsid w:val="00C45D92"/>
    <w:rsid w:val="00C45EA3"/>
    <w:rsid w:val="00C461FC"/>
    <w:rsid w:val="00C462D2"/>
    <w:rsid w:val="00C46356"/>
    <w:rsid w:val="00C4645F"/>
    <w:rsid w:val="00C465A6"/>
    <w:rsid w:val="00C46652"/>
    <w:rsid w:val="00C4666A"/>
    <w:rsid w:val="00C46802"/>
    <w:rsid w:val="00C46BF6"/>
    <w:rsid w:val="00C46D48"/>
    <w:rsid w:val="00C46DEA"/>
    <w:rsid w:val="00C46FD0"/>
    <w:rsid w:val="00C473E7"/>
    <w:rsid w:val="00C47437"/>
    <w:rsid w:val="00C47455"/>
    <w:rsid w:val="00C4747F"/>
    <w:rsid w:val="00C477C7"/>
    <w:rsid w:val="00C4781F"/>
    <w:rsid w:val="00C4799B"/>
    <w:rsid w:val="00C47AAB"/>
    <w:rsid w:val="00C47CC5"/>
    <w:rsid w:val="00C47D1E"/>
    <w:rsid w:val="00C47F1E"/>
    <w:rsid w:val="00C50029"/>
    <w:rsid w:val="00C50161"/>
    <w:rsid w:val="00C5027D"/>
    <w:rsid w:val="00C503D7"/>
    <w:rsid w:val="00C50529"/>
    <w:rsid w:val="00C50566"/>
    <w:rsid w:val="00C5058E"/>
    <w:rsid w:val="00C505E5"/>
    <w:rsid w:val="00C5061C"/>
    <w:rsid w:val="00C506CD"/>
    <w:rsid w:val="00C506E0"/>
    <w:rsid w:val="00C50763"/>
    <w:rsid w:val="00C507F7"/>
    <w:rsid w:val="00C509EE"/>
    <w:rsid w:val="00C50BCC"/>
    <w:rsid w:val="00C50DF0"/>
    <w:rsid w:val="00C50E97"/>
    <w:rsid w:val="00C50EB5"/>
    <w:rsid w:val="00C50ED9"/>
    <w:rsid w:val="00C50EFE"/>
    <w:rsid w:val="00C50FBB"/>
    <w:rsid w:val="00C512C7"/>
    <w:rsid w:val="00C51377"/>
    <w:rsid w:val="00C513DF"/>
    <w:rsid w:val="00C51497"/>
    <w:rsid w:val="00C514BB"/>
    <w:rsid w:val="00C514D3"/>
    <w:rsid w:val="00C516EA"/>
    <w:rsid w:val="00C51731"/>
    <w:rsid w:val="00C5184E"/>
    <w:rsid w:val="00C51A72"/>
    <w:rsid w:val="00C51B91"/>
    <w:rsid w:val="00C51B95"/>
    <w:rsid w:val="00C51C2C"/>
    <w:rsid w:val="00C51CA6"/>
    <w:rsid w:val="00C51CE0"/>
    <w:rsid w:val="00C51D2F"/>
    <w:rsid w:val="00C51DE7"/>
    <w:rsid w:val="00C52009"/>
    <w:rsid w:val="00C520AC"/>
    <w:rsid w:val="00C52281"/>
    <w:rsid w:val="00C5246E"/>
    <w:rsid w:val="00C524E9"/>
    <w:rsid w:val="00C52512"/>
    <w:rsid w:val="00C5255C"/>
    <w:rsid w:val="00C52586"/>
    <w:rsid w:val="00C527F0"/>
    <w:rsid w:val="00C52859"/>
    <w:rsid w:val="00C528DA"/>
    <w:rsid w:val="00C52E38"/>
    <w:rsid w:val="00C52FA3"/>
    <w:rsid w:val="00C53128"/>
    <w:rsid w:val="00C5325D"/>
    <w:rsid w:val="00C5338C"/>
    <w:rsid w:val="00C533AC"/>
    <w:rsid w:val="00C535EC"/>
    <w:rsid w:val="00C535FD"/>
    <w:rsid w:val="00C536A9"/>
    <w:rsid w:val="00C53984"/>
    <w:rsid w:val="00C53AC5"/>
    <w:rsid w:val="00C53C76"/>
    <w:rsid w:val="00C53E3D"/>
    <w:rsid w:val="00C53E8C"/>
    <w:rsid w:val="00C53F5D"/>
    <w:rsid w:val="00C5403E"/>
    <w:rsid w:val="00C542C2"/>
    <w:rsid w:val="00C542D7"/>
    <w:rsid w:val="00C5439B"/>
    <w:rsid w:val="00C54437"/>
    <w:rsid w:val="00C545CA"/>
    <w:rsid w:val="00C5461C"/>
    <w:rsid w:val="00C546B4"/>
    <w:rsid w:val="00C54757"/>
    <w:rsid w:val="00C5479D"/>
    <w:rsid w:val="00C54878"/>
    <w:rsid w:val="00C548A9"/>
    <w:rsid w:val="00C54A39"/>
    <w:rsid w:val="00C54C97"/>
    <w:rsid w:val="00C54CFE"/>
    <w:rsid w:val="00C54D0D"/>
    <w:rsid w:val="00C54D49"/>
    <w:rsid w:val="00C54F70"/>
    <w:rsid w:val="00C5507D"/>
    <w:rsid w:val="00C551F2"/>
    <w:rsid w:val="00C552F5"/>
    <w:rsid w:val="00C553D0"/>
    <w:rsid w:val="00C55490"/>
    <w:rsid w:val="00C55591"/>
    <w:rsid w:val="00C55618"/>
    <w:rsid w:val="00C55730"/>
    <w:rsid w:val="00C55848"/>
    <w:rsid w:val="00C55987"/>
    <w:rsid w:val="00C55C39"/>
    <w:rsid w:val="00C55C43"/>
    <w:rsid w:val="00C55E2B"/>
    <w:rsid w:val="00C55E7A"/>
    <w:rsid w:val="00C55FAE"/>
    <w:rsid w:val="00C55FFE"/>
    <w:rsid w:val="00C5603B"/>
    <w:rsid w:val="00C5617D"/>
    <w:rsid w:val="00C56420"/>
    <w:rsid w:val="00C56484"/>
    <w:rsid w:val="00C56557"/>
    <w:rsid w:val="00C566CD"/>
    <w:rsid w:val="00C56775"/>
    <w:rsid w:val="00C56941"/>
    <w:rsid w:val="00C56B75"/>
    <w:rsid w:val="00C56CFB"/>
    <w:rsid w:val="00C56DC5"/>
    <w:rsid w:val="00C56FEE"/>
    <w:rsid w:val="00C56FFF"/>
    <w:rsid w:val="00C57036"/>
    <w:rsid w:val="00C57102"/>
    <w:rsid w:val="00C5712F"/>
    <w:rsid w:val="00C57196"/>
    <w:rsid w:val="00C57426"/>
    <w:rsid w:val="00C57527"/>
    <w:rsid w:val="00C57572"/>
    <w:rsid w:val="00C57591"/>
    <w:rsid w:val="00C57606"/>
    <w:rsid w:val="00C57632"/>
    <w:rsid w:val="00C57873"/>
    <w:rsid w:val="00C57910"/>
    <w:rsid w:val="00C57C4F"/>
    <w:rsid w:val="00C57C75"/>
    <w:rsid w:val="00C57D8B"/>
    <w:rsid w:val="00C60103"/>
    <w:rsid w:val="00C60244"/>
    <w:rsid w:val="00C60391"/>
    <w:rsid w:val="00C6056B"/>
    <w:rsid w:val="00C60594"/>
    <w:rsid w:val="00C605CF"/>
    <w:rsid w:val="00C6060F"/>
    <w:rsid w:val="00C60643"/>
    <w:rsid w:val="00C6066C"/>
    <w:rsid w:val="00C6067E"/>
    <w:rsid w:val="00C6081A"/>
    <w:rsid w:val="00C60A7A"/>
    <w:rsid w:val="00C60AE0"/>
    <w:rsid w:val="00C60CAB"/>
    <w:rsid w:val="00C60CCA"/>
    <w:rsid w:val="00C60CF5"/>
    <w:rsid w:val="00C60D1F"/>
    <w:rsid w:val="00C60E26"/>
    <w:rsid w:val="00C60E36"/>
    <w:rsid w:val="00C60FE5"/>
    <w:rsid w:val="00C610BA"/>
    <w:rsid w:val="00C6120C"/>
    <w:rsid w:val="00C61268"/>
    <w:rsid w:val="00C61279"/>
    <w:rsid w:val="00C6135B"/>
    <w:rsid w:val="00C6147C"/>
    <w:rsid w:val="00C61501"/>
    <w:rsid w:val="00C6153A"/>
    <w:rsid w:val="00C61593"/>
    <w:rsid w:val="00C61647"/>
    <w:rsid w:val="00C61660"/>
    <w:rsid w:val="00C616E7"/>
    <w:rsid w:val="00C617EB"/>
    <w:rsid w:val="00C6188D"/>
    <w:rsid w:val="00C61B5A"/>
    <w:rsid w:val="00C61D49"/>
    <w:rsid w:val="00C61DA8"/>
    <w:rsid w:val="00C61E1B"/>
    <w:rsid w:val="00C61E49"/>
    <w:rsid w:val="00C61E7E"/>
    <w:rsid w:val="00C61F5D"/>
    <w:rsid w:val="00C61FD1"/>
    <w:rsid w:val="00C621C9"/>
    <w:rsid w:val="00C6228D"/>
    <w:rsid w:val="00C62421"/>
    <w:rsid w:val="00C626CA"/>
    <w:rsid w:val="00C62712"/>
    <w:rsid w:val="00C62867"/>
    <w:rsid w:val="00C62871"/>
    <w:rsid w:val="00C62884"/>
    <w:rsid w:val="00C628CE"/>
    <w:rsid w:val="00C62B22"/>
    <w:rsid w:val="00C62C30"/>
    <w:rsid w:val="00C62C8F"/>
    <w:rsid w:val="00C62CAC"/>
    <w:rsid w:val="00C62D80"/>
    <w:rsid w:val="00C62E1A"/>
    <w:rsid w:val="00C62EB3"/>
    <w:rsid w:val="00C62F05"/>
    <w:rsid w:val="00C62F3A"/>
    <w:rsid w:val="00C63094"/>
    <w:rsid w:val="00C6311C"/>
    <w:rsid w:val="00C631C6"/>
    <w:rsid w:val="00C632E9"/>
    <w:rsid w:val="00C6339A"/>
    <w:rsid w:val="00C63819"/>
    <w:rsid w:val="00C638C7"/>
    <w:rsid w:val="00C638E3"/>
    <w:rsid w:val="00C6390B"/>
    <w:rsid w:val="00C6391B"/>
    <w:rsid w:val="00C639A5"/>
    <w:rsid w:val="00C639F2"/>
    <w:rsid w:val="00C63C81"/>
    <w:rsid w:val="00C63CDF"/>
    <w:rsid w:val="00C63E02"/>
    <w:rsid w:val="00C63F14"/>
    <w:rsid w:val="00C63F42"/>
    <w:rsid w:val="00C63FCB"/>
    <w:rsid w:val="00C63FD7"/>
    <w:rsid w:val="00C63FEB"/>
    <w:rsid w:val="00C6407D"/>
    <w:rsid w:val="00C641C9"/>
    <w:rsid w:val="00C641EC"/>
    <w:rsid w:val="00C64226"/>
    <w:rsid w:val="00C642BF"/>
    <w:rsid w:val="00C64327"/>
    <w:rsid w:val="00C644D7"/>
    <w:rsid w:val="00C647AC"/>
    <w:rsid w:val="00C647CB"/>
    <w:rsid w:val="00C647DF"/>
    <w:rsid w:val="00C648CD"/>
    <w:rsid w:val="00C64914"/>
    <w:rsid w:val="00C64A39"/>
    <w:rsid w:val="00C64A75"/>
    <w:rsid w:val="00C64B00"/>
    <w:rsid w:val="00C64B79"/>
    <w:rsid w:val="00C64E48"/>
    <w:rsid w:val="00C65199"/>
    <w:rsid w:val="00C65236"/>
    <w:rsid w:val="00C652E4"/>
    <w:rsid w:val="00C653A2"/>
    <w:rsid w:val="00C654C0"/>
    <w:rsid w:val="00C656EF"/>
    <w:rsid w:val="00C65881"/>
    <w:rsid w:val="00C658D2"/>
    <w:rsid w:val="00C65C1B"/>
    <w:rsid w:val="00C65C2A"/>
    <w:rsid w:val="00C65C5C"/>
    <w:rsid w:val="00C65CCB"/>
    <w:rsid w:val="00C65D73"/>
    <w:rsid w:val="00C65D88"/>
    <w:rsid w:val="00C66077"/>
    <w:rsid w:val="00C660D7"/>
    <w:rsid w:val="00C661B6"/>
    <w:rsid w:val="00C662EE"/>
    <w:rsid w:val="00C663C8"/>
    <w:rsid w:val="00C66593"/>
    <w:rsid w:val="00C665F9"/>
    <w:rsid w:val="00C66667"/>
    <w:rsid w:val="00C666DC"/>
    <w:rsid w:val="00C66792"/>
    <w:rsid w:val="00C667CF"/>
    <w:rsid w:val="00C66823"/>
    <w:rsid w:val="00C66842"/>
    <w:rsid w:val="00C668EF"/>
    <w:rsid w:val="00C66928"/>
    <w:rsid w:val="00C66B6D"/>
    <w:rsid w:val="00C66D9E"/>
    <w:rsid w:val="00C66DBE"/>
    <w:rsid w:val="00C66F16"/>
    <w:rsid w:val="00C66F2C"/>
    <w:rsid w:val="00C66F8C"/>
    <w:rsid w:val="00C6713D"/>
    <w:rsid w:val="00C6721A"/>
    <w:rsid w:val="00C672AC"/>
    <w:rsid w:val="00C67586"/>
    <w:rsid w:val="00C6758A"/>
    <w:rsid w:val="00C6762B"/>
    <w:rsid w:val="00C67704"/>
    <w:rsid w:val="00C677DF"/>
    <w:rsid w:val="00C67806"/>
    <w:rsid w:val="00C67AE0"/>
    <w:rsid w:val="00C67D9A"/>
    <w:rsid w:val="00C67DF5"/>
    <w:rsid w:val="00C67E93"/>
    <w:rsid w:val="00C67F2F"/>
    <w:rsid w:val="00C70010"/>
    <w:rsid w:val="00C7013C"/>
    <w:rsid w:val="00C705A1"/>
    <w:rsid w:val="00C705CD"/>
    <w:rsid w:val="00C70625"/>
    <w:rsid w:val="00C706FB"/>
    <w:rsid w:val="00C70702"/>
    <w:rsid w:val="00C708F5"/>
    <w:rsid w:val="00C70ABF"/>
    <w:rsid w:val="00C70B58"/>
    <w:rsid w:val="00C70B78"/>
    <w:rsid w:val="00C70D08"/>
    <w:rsid w:val="00C70E1E"/>
    <w:rsid w:val="00C70FD1"/>
    <w:rsid w:val="00C71090"/>
    <w:rsid w:val="00C710B5"/>
    <w:rsid w:val="00C712F8"/>
    <w:rsid w:val="00C714CD"/>
    <w:rsid w:val="00C715C7"/>
    <w:rsid w:val="00C717CF"/>
    <w:rsid w:val="00C71977"/>
    <w:rsid w:val="00C719DA"/>
    <w:rsid w:val="00C71B11"/>
    <w:rsid w:val="00C71B85"/>
    <w:rsid w:val="00C71C15"/>
    <w:rsid w:val="00C71CC2"/>
    <w:rsid w:val="00C71D74"/>
    <w:rsid w:val="00C71D96"/>
    <w:rsid w:val="00C71DCB"/>
    <w:rsid w:val="00C71F52"/>
    <w:rsid w:val="00C71FB6"/>
    <w:rsid w:val="00C720A3"/>
    <w:rsid w:val="00C72134"/>
    <w:rsid w:val="00C7217B"/>
    <w:rsid w:val="00C7231E"/>
    <w:rsid w:val="00C72576"/>
    <w:rsid w:val="00C726EE"/>
    <w:rsid w:val="00C7274A"/>
    <w:rsid w:val="00C727C6"/>
    <w:rsid w:val="00C729B5"/>
    <w:rsid w:val="00C72D8B"/>
    <w:rsid w:val="00C72E72"/>
    <w:rsid w:val="00C73191"/>
    <w:rsid w:val="00C7328B"/>
    <w:rsid w:val="00C735C1"/>
    <w:rsid w:val="00C735C8"/>
    <w:rsid w:val="00C73701"/>
    <w:rsid w:val="00C73741"/>
    <w:rsid w:val="00C737B6"/>
    <w:rsid w:val="00C737CE"/>
    <w:rsid w:val="00C73806"/>
    <w:rsid w:val="00C73970"/>
    <w:rsid w:val="00C73988"/>
    <w:rsid w:val="00C739F8"/>
    <w:rsid w:val="00C73A6A"/>
    <w:rsid w:val="00C73B26"/>
    <w:rsid w:val="00C73D3F"/>
    <w:rsid w:val="00C73E92"/>
    <w:rsid w:val="00C74095"/>
    <w:rsid w:val="00C7434F"/>
    <w:rsid w:val="00C74398"/>
    <w:rsid w:val="00C743AA"/>
    <w:rsid w:val="00C74505"/>
    <w:rsid w:val="00C745D5"/>
    <w:rsid w:val="00C747DC"/>
    <w:rsid w:val="00C747FC"/>
    <w:rsid w:val="00C74A8A"/>
    <w:rsid w:val="00C74B19"/>
    <w:rsid w:val="00C74B3D"/>
    <w:rsid w:val="00C74C3D"/>
    <w:rsid w:val="00C74C97"/>
    <w:rsid w:val="00C74D4F"/>
    <w:rsid w:val="00C74DCA"/>
    <w:rsid w:val="00C74F11"/>
    <w:rsid w:val="00C74F50"/>
    <w:rsid w:val="00C74FFB"/>
    <w:rsid w:val="00C751B2"/>
    <w:rsid w:val="00C7553A"/>
    <w:rsid w:val="00C75690"/>
    <w:rsid w:val="00C757A0"/>
    <w:rsid w:val="00C75971"/>
    <w:rsid w:val="00C759C0"/>
    <w:rsid w:val="00C75A66"/>
    <w:rsid w:val="00C75F06"/>
    <w:rsid w:val="00C75FD1"/>
    <w:rsid w:val="00C760AA"/>
    <w:rsid w:val="00C763C7"/>
    <w:rsid w:val="00C764BA"/>
    <w:rsid w:val="00C765B8"/>
    <w:rsid w:val="00C76614"/>
    <w:rsid w:val="00C76687"/>
    <w:rsid w:val="00C76778"/>
    <w:rsid w:val="00C767E9"/>
    <w:rsid w:val="00C768C1"/>
    <w:rsid w:val="00C76993"/>
    <w:rsid w:val="00C769EB"/>
    <w:rsid w:val="00C76B65"/>
    <w:rsid w:val="00C76C32"/>
    <w:rsid w:val="00C76D50"/>
    <w:rsid w:val="00C76DC1"/>
    <w:rsid w:val="00C76F08"/>
    <w:rsid w:val="00C76FCF"/>
    <w:rsid w:val="00C77134"/>
    <w:rsid w:val="00C772E8"/>
    <w:rsid w:val="00C77362"/>
    <w:rsid w:val="00C77526"/>
    <w:rsid w:val="00C77592"/>
    <w:rsid w:val="00C777ED"/>
    <w:rsid w:val="00C77829"/>
    <w:rsid w:val="00C77BE9"/>
    <w:rsid w:val="00C8009A"/>
    <w:rsid w:val="00C800DF"/>
    <w:rsid w:val="00C801AE"/>
    <w:rsid w:val="00C802C8"/>
    <w:rsid w:val="00C802CD"/>
    <w:rsid w:val="00C80382"/>
    <w:rsid w:val="00C803C8"/>
    <w:rsid w:val="00C80414"/>
    <w:rsid w:val="00C8059C"/>
    <w:rsid w:val="00C8066A"/>
    <w:rsid w:val="00C80763"/>
    <w:rsid w:val="00C8077F"/>
    <w:rsid w:val="00C80A6C"/>
    <w:rsid w:val="00C80B68"/>
    <w:rsid w:val="00C80C42"/>
    <w:rsid w:val="00C80CDE"/>
    <w:rsid w:val="00C80CE2"/>
    <w:rsid w:val="00C80F79"/>
    <w:rsid w:val="00C81067"/>
    <w:rsid w:val="00C81091"/>
    <w:rsid w:val="00C810FE"/>
    <w:rsid w:val="00C81123"/>
    <w:rsid w:val="00C811E4"/>
    <w:rsid w:val="00C813FA"/>
    <w:rsid w:val="00C815DA"/>
    <w:rsid w:val="00C81710"/>
    <w:rsid w:val="00C817D3"/>
    <w:rsid w:val="00C818E8"/>
    <w:rsid w:val="00C81C35"/>
    <w:rsid w:val="00C81CB7"/>
    <w:rsid w:val="00C81FC1"/>
    <w:rsid w:val="00C82136"/>
    <w:rsid w:val="00C82380"/>
    <w:rsid w:val="00C823FD"/>
    <w:rsid w:val="00C824C3"/>
    <w:rsid w:val="00C8255C"/>
    <w:rsid w:val="00C825A7"/>
    <w:rsid w:val="00C825C0"/>
    <w:rsid w:val="00C825F3"/>
    <w:rsid w:val="00C826A9"/>
    <w:rsid w:val="00C82767"/>
    <w:rsid w:val="00C82942"/>
    <w:rsid w:val="00C829E5"/>
    <w:rsid w:val="00C82A60"/>
    <w:rsid w:val="00C82A8A"/>
    <w:rsid w:val="00C82B0B"/>
    <w:rsid w:val="00C82BE7"/>
    <w:rsid w:val="00C82CB7"/>
    <w:rsid w:val="00C82D0F"/>
    <w:rsid w:val="00C82EE0"/>
    <w:rsid w:val="00C82F7A"/>
    <w:rsid w:val="00C82F7B"/>
    <w:rsid w:val="00C83084"/>
    <w:rsid w:val="00C8316F"/>
    <w:rsid w:val="00C83335"/>
    <w:rsid w:val="00C8349B"/>
    <w:rsid w:val="00C83563"/>
    <w:rsid w:val="00C83983"/>
    <w:rsid w:val="00C83996"/>
    <w:rsid w:val="00C83999"/>
    <w:rsid w:val="00C83A29"/>
    <w:rsid w:val="00C83ADD"/>
    <w:rsid w:val="00C83AE5"/>
    <w:rsid w:val="00C83B77"/>
    <w:rsid w:val="00C83D48"/>
    <w:rsid w:val="00C83D93"/>
    <w:rsid w:val="00C83EE7"/>
    <w:rsid w:val="00C83F26"/>
    <w:rsid w:val="00C83F50"/>
    <w:rsid w:val="00C84163"/>
    <w:rsid w:val="00C84208"/>
    <w:rsid w:val="00C84253"/>
    <w:rsid w:val="00C84270"/>
    <w:rsid w:val="00C843A6"/>
    <w:rsid w:val="00C845A1"/>
    <w:rsid w:val="00C84739"/>
    <w:rsid w:val="00C8474F"/>
    <w:rsid w:val="00C84851"/>
    <w:rsid w:val="00C849AA"/>
    <w:rsid w:val="00C849AF"/>
    <w:rsid w:val="00C84B4A"/>
    <w:rsid w:val="00C84C08"/>
    <w:rsid w:val="00C84C27"/>
    <w:rsid w:val="00C84D32"/>
    <w:rsid w:val="00C8526A"/>
    <w:rsid w:val="00C8537A"/>
    <w:rsid w:val="00C8540A"/>
    <w:rsid w:val="00C85534"/>
    <w:rsid w:val="00C856A5"/>
    <w:rsid w:val="00C8572E"/>
    <w:rsid w:val="00C857AC"/>
    <w:rsid w:val="00C859BE"/>
    <w:rsid w:val="00C859EE"/>
    <w:rsid w:val="00C859FD"/>
    <w:rsid w:val="00C85A44"/>
    <w:rsid w:val="00C85C2E"/>
    <w:rsid w:val="00C86062"/>
    <w:rsid w:val="00C860A6"/>
    <w:rsid w:val="00C8620A"/>
    <w:rsid w:val="00C86379"/>
    <w:rsid w:val="00C8658F"/>
    <w:rsid w:val="00C865DB"/>
    <w:rsid w:val="00C8677F"/>
    <w:rsid w:val="00C867D8"/>
    <w:rsid w:val="00C86E80"/>
    <w:rsid w:val="00C86FD7"/>
    <w:rsid w:val="00C87056"/>
    <w:rsid w:val="00C871B7"/>
    <w:rsid w:val="00C871CC"/>
    <w:rsid w:val="00C874AD"/>
    <w:rsid w:val="00C874F2"/>
    <w:rsid w:val="00C87588"/>
    <w:rsid w:val="00C875C1"/>
    <w:rsid w:val="00C87600"/>
    <w:rsid w:val="00C876BB"/>
    <w:rsid w:val="00C8787E"/>
    <w:rsid w:val="00C87B19"/>
    <w:rsid w:val="00C87D29"/>
    <w:rsid w:val="00C87D2F"/>
    <w:rsid w:val="00C87E41"/>
    <w:rsid w:val="00C87F19"/>
    <w:rsid w:val="00C90079"/>
    <w:rsid w:val="00C901C5"/>
    <w:rsid w:val="00C904D0"/>
    <w:rsid w:val="00C90882"/>
    <w:rsid w:val="00C908FD"/>
    <w:rsid w:val="00C90A2F"/>
    <w:rsid w:val="00C90BAA"/>
    <w:rsid w:val="00C90CBA"/>
    <w:rsid w:val="00C90CC4"/>
    <w:rsid w:val="00C90CCB"/>
    <w:rsid w:val="00C90E44"/>
    <w:rsid w:val="00C90F72"/>
    <w:rsid w:val="00C910AB"/>
    <w:rsid w:val="00C910E2"/>
    <w:rsid w:val="00C910FE"/>
    <w:rsid w:val="00C91113"/>
    <w:rsid w:val="00C91161"/>
    <w:rsid w:val="00C9116C"/>
    <w:rsid w:val="00C913E8"/>
    <w:rsid w:val="00C9157F"/>
    <w:rsid w:val="00C91695"/>
    <w:rsid w:val="00C917F2"/>
    <w:rsid w:val="00C91A44"/>
    <w:rsid w:val="00C91A7E"/>
    <w:rsid w:val="00C91BE3"/>
    <w:rsid w:val="00C91C3B"/>
    <w:rsid w:val="00C91C9E"/>
    <w:rsid w:val="00C91D10"/>
    <w:rsid w:val="00C91F2C"/>
    <w:rsid w:val="00C91F64"/>
    <w:rsid w:val="00C91FC1"/>
    <w:rsid w:val="00C91FC5"/>
    <w:rsid w:val="00C9215C"/>
    <w:rsid w:val="00C921B9"/>
    <w:rsid w:val="00C922C4"/>
    <w:rsid w:val="00C92324"/>
    <w:rsid w:val="00C92351"/>
    <w:rsid w:val="00C9244B"/>
    <w:rsid w:val="00C92476"/>
    <w:rsid w:val="00C924EE"/>
    <w:rsid w:val="00C92587"/>
    <w:rsid w:val="00C92703"/>
    <w:rsid w:val="00C92715"/>
    <w:rsid w:val="00C927CE"/>
    <w:rsid w:val="00C92892"/>
    <w:rsid w:val="00C92A3B"/>
    <w:rsid w:val="00C92AA2"/>
    <w:rsid w:val="00C92C11"/>
    <w:rsid w:val="00C92DFA"/>
    <w:rsid w:val="00C92EF7"/>
    <w:rsid w:val="00C92F47"/>
    <w:rsid w:val="00C9310E"/>
    <w:rsid w:val="00C93111"/>
    <w:rsid w:val="00C931B4"/>
    <w:rsid w:val="00C9320B"/>
    <w:rsid w:val="00C93551"/>
    <w:rsid w:val="00C93566"/>
    <w:rsid w:val="00C9373B"/>
    <w:rsid w:val="00C9380F"/>
    <w:rsid w:val="00C93882"/>
    <w:rsid w:val="00C9388A"/>
    <w:rsid w:val="00C938FF"/>
    <w:rsid w:val="00C93942"/>
    <w:rsid w:val="00C93ABF"/>
    <w:rsid w:val="00C93B2F"/>
    <w:rsid w:val="00C93B90"/>
    <w:rsid w:val="00C93C37"/>
    <w:rsid w:val="00C93CEC"/>
    <w:rsid w:val="00C93EE6"/>
    <w:rsid w:val="00C93F4D"/>
    <w:rsid w:val="00C94091"/>
    <w:rsid w:val="00C94174"/>
    <w:rsid w:val="00C943C3"/>
    <w:rsid w:val="00C94412"/>
    <w:rsid w:val="00C94471"/>
    <w:rsid w:val="00C945B0"/>
    <w:rsid w:val="00C94642"/>
    <w:rsid w:val="00C946B2"/>
    <w:rsid w:val="00C948BE"/>
    <w:rsid w:val="00C94946"/>
    <w:rsid w:val="00C94D18"/>
    <w:rsid w:val="00C94DB4"/>
    <w:rsid w:val="00C94E8F"/>
    <w:rsid w:val="00C94EBC"/>
    <w:rsid w:val="00C94EF4"/>
    <w:rsid w:val="00C950D9"/>
    <w:rsid w:val="00C95174"/>
    <w:rsid w:val="00C9517D"/>
    <w:rsid w:val="00C95212"/>
    <w:rsid w:val="00C95253"/>
    <w:rsid w:val="00C952BC"/>
    <w:rsid w:val="00C95390"/>
    <w:rsid w:val="00C9569D"/>
    <w:rsid w:val="00C95965"/>
    <w:rsid w:val="00C9598D"/>
    <w:rsid w:val="00C959EB"/>
    <w:rsid w:val="00C95AF8"/>
    <w:rsid w:val="00C95C79"/>
    <w:rsid w:val="00C95D68"/>
    <w:rsid w:val="00C95E0F"/>
    <w:rsid w:val="00C960A8"/>
    <w:rsid w:val="00C960B0"/>
    <w:rsid w:val="00C960D9"/>
    <w:rsid w:val="00C962C7"/>
    <w:rsid w:val="00C965F2"/>
    <w:rsid w:val="00C96614"/>
    <w:rsid w:val="00C9676B"/>
    <w:rsid w:val="00C96801"/>
    <w:rsid w:val="00C96937"/>
    <w:rsid w:val="00C96DE9"/>
    <w:rsid w:val="00C96E5F"/>
    <w:rsid w:val="00C96EC9"/>
    <w:rsid w:val="00C9721C"/>
    <w:rsid w:val="00C9727F"/>
    <w:rsid w:val="00C9730A"/>
    <w:rsid w:val="00C9748C"/>
    <w:rsid w:val="00C97498"/>
    <w:rsid w:val="00C975CF"/>
    <w:rsid w:val="00C9772F"/>
    <w:rsid w:val="00C97780"/>
    <w:rsid w:val="00C979ED"/>
    <w:rsid w:val="00C97A82"/>
    <w:rsid w:val="00C97BCB"/>
    <w:rsid w:val="00C97CD9"/>
    <w:rsid w:val="00CA01BA"/>
    <w:rsid w:val="00CA0205"/>
    <w:rsid w:val="00CA0296"/>
    <w:rsid w:val="00CA02E3"/>
    <w:rsid w:val="00CA0387"/>
    <w:rsid w:val="00CA0479"/>
    <w:rsid w:val="00CA04B2"/>
    <w:rsid w:val="00CA0503"/>
    <w:rsid w:val="00CA0569"/>
    <w:rsid w:val="00CA06E9"/>
    <w:rsid w:val="00CA0751"/>
    <w:rsid w:val="00CA0968"/>
    <w:rsid w:val="00CA0A02"/>
    <w:rsid w:val="00CA0AF1"/>
    <w:rsid w:val="00CA0D10"/>
    <w:rsid w:val="00CA0DB3"/>
    <w:rsid w:val="00CA0F59"/>
    <w:rsid w:val="00CA0FDB"/>
    <w:rsid w:val="00CA0FEF"/>
    <w:rsid w:val="00CA114C"/>
    <w:rsid w:val="00CA14CC"/>
    <w:rsid w:val="00CA1736"/>
    <w:rsid w:val="00CA1D42"/>
    <w:rsid w:val="00CA1D4E"/>
    <w:rsid w:val="00CA1D5A"/>
    <w:rsid w:val="00CA1D83"/>
    <w:rsid w:val="00CA1EA2"/>
    <w:rsid w:val="00CA1F1B"/>
    <w:rsid w:val="00CA2353"/>
    <w:rsid w:val="00CA23B0"/>
    <w:rsid w:val="00CA243D"/>
    <w:rsid w:val="00CA2698"/>
    <w:rsid w:val="00CA26C5"/>
    <w:rsid w:val="00CA28E0"/>
    <w:rsid w:val="00CA29A0"/>
    <w:rsid w:val="00CA2B24"/>
    <w:rsid w:val="00CA2D6C"/>
    <w:rsid w:val="00CA2DDC"/>
    <w:rsid w:val="00CA2E4A"/>
    <w:rsid w:val="00CA3080"/>
    <w:rsid w:val="00CA311B"/>
    <w:rsid w:val="00CA31CF"/>
    <w:rsid w:val="00CA333B"/>
    <w:rsid w:val="00CA33D8"/>
    <w:rsid w:val="00CA345B"/>
    <w:rsid w:val="00CA35C6"/>
    <w:rsid w:val="00CA3772"/>
    <w:rsid w:val="00CA3A2C"/>
    <w:rsid w:val="00CA3A53"/>
    <w:rsid w:val="00CA3AE3"/>
    <w:rsid w:val="00CA3D02"/>
    <w:rsid w:val="00CA3E53"/>
    <w:rsid w:val="00CA3EB0"/>
    <w:rsid w:val="00CA3EC3"/>
    <w:rsid w:val="00CA3F98"/>
    <w:rsid w:val="00CA447E"/>
    <w:rsid w:val="00CA44CA"/>
    <w:rsid w:val="00CA463F"/>
    <w:rsid w:val="00CA47C2"/>
    <w:rsid w:val="00CA47E7"/>
    <w:rsid w:val="00CA485B"/>
    <w:rsid w:val="00CA4A38"/>
    <w:rsid w:val="00CA4B80"/>
    <w:rsid w:val="00CA4C12"/>
    <w:rsid w:val="00CA4D80"/>
    <w:rsid w:val="00CA4F45"/>
    <w:rsid w:val="00CA4F90"/>
    <w:rsid w:val="00CA5048"/>
    <w:rsid w:val="00CA5088"/>
    <w:rsid w:val="00CA50AA"/>
    <w:rsid w:val="00CA518B"/>
    <w:rsid w:val="00CA518E"/>
    <w:rsid w:val="00CA5366"/>
    <w:rsid w:val="00CA54AF"/>
    <w:rsid w:val="00CA55B4"/>
    <w:rsid w:val="00CA5663"/>
    <w:rsid w:val="00CA567E"/>
    <w:rsid w:val="00CA57D1"/>
    <w:rsid w:val="00CA57FE"/>
    <w:rsid w:val="00CA58C9"/>
    <w:rsid w:val="00CA5C49"/>
    <w:rsid w:val="00CA5D55"/>
    <w:rsid w:val="00CA5E7F"/>
    <w:rsid w:val="00CA5EAB"/>
    <w:rsid w:val="00CA5F42"/>
    <w:rsid w:val="00CA6040"/>
    <w:rsid w:val="00CA60DA"/>
    <w:rsid w:val="00CA616C"/>
    <w:rsid w:val="00CA61A7"/>
    <w:rsid w:val="00CA6212"/>
    <w:rsid w:val="00CA6228"/>
    <w:rsid w:val="00CA64F9"/>
    <w:rsid w:val="00CA6511"/>
    <w:rsid w:val="00CA660E"/>
    <w:rsid w:val="00CA6757"/>
    <w:rsid w:val="00CA67A7"/>
    <w:rsid w:val="00CA67C0"/>
    <w:rsid w:val="00CA6964"/>
    <w:rsid w:val="00CA6A1D"/>
    <w:rsid w:val="00CA6AEA"/>
    <w:rsid w:val="00CA6B83"/>
    <w:rsid w:val="00CA6BB8"/>
    <w:rsid w:val="00CA6C88"/>
    <w:rsid w:val="00CA6D1B"/>
    <w:rsid w:val="00CA6E36"/>
    <w:rsid w:val="00CA6EF9"/>
    <w:rsid w:val="00CA709E"/>
    <w:rsid w:val="00CA70C2"/>
    <w:rsid w:val="00CA70DB"/>
    <w:rsid w:val="00CA71B0"/>
    <w:rsid w:val="00CA7208"/>
    <w:rsid w:val="00CA7347"/>
    <w:rsid w:val="00CA740C"/>
    <w:rsid w:val="00CA7451"/>
    <w:rsid w:val="00CA7802"/>
    <w:rsid w:val="00CA7887"/>
    <w:rsid w:val="00CA7A93"/>
    <w:rsid w:val="00CA7AB4"/>
    <w:rsid w:val="00CA7ACD"/>
    <w:rsid w:val="00CA7B63"/>
    <w:rsid w:val="00CA7BB8"/>
    <w:rsid w:val="00CA7D41"/>
    <w:rsid w:val="00CA7D80"/>
    <w:rsid w:val="00CA7DD9"/>
    <w:rsid w:val="00CA7ECC"/>
    <w:rsid w:val="00CA7ECD"/>
    <w:rsid w:val="00CA7EED"/>
    <w:rsid w:val="00CA7FB1"/>
    <w:rsid w:val="00CA7FBA"/>
    <w:rsid w:val="00CB00F5"/>
    <w:rsid w:val="00CB011D"/>
    <w:rsid w:val="00CB04EC"/>
    <w:rsid w:val="00CB05F7"/>
    <w:rsid w:val="00CB065D"/>
    <w:rsid w:val="00CB06C4"/>
    <w:rsid w:val="00CB076B"/>
    <w:rsid w:val="00CB08D5"/>
    <w:rsid w:val="00CB0A26"/>
    <w:rsid w:val="00CB0B1B"/>
    <w:rsid w:val="00CB0B1E"/>
    <w:rsid w:val="00CB0B7A"/>
    <w:rsid w:val="00CB0BCE"/>
    <w:rsid w:val="00CB0E6B"/>
    <w:rsid w:val="00CB1369"/>
    <w:rsid w:val="00CB1561"/>
    <w:rsid w:val="00CB15D0"/>
    <w:rsid w:val="00CB174D"/>
    <w:rsid w:val="00CB17D3"/>
    <w:rsid w:val="00CB18B3"/>
    <w:rsid w:val="00CB198C"/>
    <w:rsid w:val="00CB1C16"/>
    <w:rsid w:val="00CB1C41"/>
    <w:rsid w:val="00CB1CE1"/>
    <w:rsid w:val="00CB1D9A"/>
    <w:rsid w:val="00CB1E5F"/>
    <w:rsid w:val="00CB1E64"/>
    <w:rsid w:val="00CB20C4"/>
    <w:rsid w:val="00CB2152"/>
    <w:rsid w:val="00CB22F0"/>
    <w:rsid w:val="00CB233E"/>
    <w:rsid w:val="00CB2348"/>
    <w:rsid w:val="00CB234A"/>
    <w:rsid w:val="00CB2380"/>
    <w:rsid w:val="00CB24A5"/>
    <w:rsid w:val="00CB2643"/>
    <w:rsid w:val="00CB2A82"/>
    <w:rsid w:val="00CB2BA3"/>
    <w:rsid w:val="00CB2D0B"/>
    <w:rsid w:val="00CB2EEF"/>
    <w:rsid w:val="00CB2F36"/>
    <w:rsid w:val="00CB2F71"/>
    <w:rsid w:val="00CB3168"/>
    <w:rsid w:val="00CB3184"/>
    <w:rsid w:val="00CB31B0"/>
    <w:rsid w:val="00CB31D4"/>
    <w:rsid w:val="00CB3285"/>
    <w:rsid w:val="00CB3404"/>
    <w:rsid w:val="00CB3406"/>
    <w:rsid w:val="00CB3506"/>
    <w:rsid w:val="00CB35A5"/>
    <w:rsid w:val="00CB3933"/>
    <w:rsid w:val="00CB3A8E"/>
    <w:rsid w:val="00CB3D98"/>
    <w:rsid w:val="00CB3F16"/>
    <w:rsid w:val="00CB3F80"/>
    <w:rsid w:val="00CB3F89"/>
    <w:rsid w:val="00CB3F8B"/>
    <w:rsid w:val="00CB3F9D"/>
    <w:rsid w:val="00CB40A3"/>
    <w:rsid w:val="00CB40B4"/>
    <w:rsid w:val="00CB4164"/>
    <w:rsid w:val="00CB41B0"/>
    <w:rsid w:val="00CB423B"/>
    <w:rsid w:val="00CB42AF"/>
    <w:rsid w:val="00CB430E"/>
    <w:rsid w:val="00CB4467"/>
    <w:rsid w:val="00CB44EB"/>
    <w:rsid w:val="00CB455A"/>
    <w:rsid w:val="00CB460E"/>
    <w:rsid w:val="00CB469D"/>
    <w:rsid w:val="00CB46B3"/>
    <w:rsid w:val="00CB49F2"/>
    <w:rsid w:val="00CB4BA3"/>
    <w:rsid w:val="00CB4BA6"/>
    <w:rsid w:val="00CB4BE7"/>
    <w:rsid w:val="00CB4E08"/>
    <w:rsid w:val="00CB4E3E"/>
    <w:rsid w:val="00CB4EEC"/>
    <w:rsid w:val="00CB5020"/>
    <w:rsid w:val="00CB5028"/>
    <w:rsid w:val="00CB51A3"/>
    <w:rsid w:val="00CB52EC"/>
    <w:rsid w:val="00CB5538"/>
    <w:rsid w:val="00CB554C"/>
    <w:rsid w:val="00CB567E"/>
    <w:rsid w:val="00CB574E"/>
    <w:rsid w:val="00CB5853"/>
    <w:rsid w:val="00CB5886"/>
    <w:rsid w:val="00CB5A97"/>
    <w:rsid w:val="00CB5AB5"/>
    <w:rsid w:val="00CB5AFC"/>
    <w:rsid w:val="00CB5BF6"/>
    <w:rsid w:val="00CB5C29"/>
    <w:rsid w:val="00CB5C4A"/>
    <w:rsid w:val="00CB5CAC"/>
    <w:rsid w:val="00CB5CB9"/>
    <w:rsid w:val="00CB5D15"/>
    <w:rsid w:val="00CB5D9E"/>
    <w:rsid w:val="00CB5F59"/>
    <w:rsid w:val="00CB627A"/>
    <w:rsid w:val="00CB631A"/>
    <w:rsid w:val="00CB655B"/>
    <w:rsid w:val="00CB659B"/>
    <w:rsid w:val="00CB659C"/>
    <w:rsid w:val="00CB66C3"/>
    <w:rsid w:val="00CB66F8"/>
    <w:rsid w:val="00CB6762"/>
    <w:rsid w:val="00CB67E9"/>
    <w:rsid w:val="00CB69A0"/>
    <w:rsid w:val="00CB6A9C"/>
    <w:rsid w:val="00CB6AA0"/>
    <w:rsid w:val="00CB6E1D"/>
    <w:rsid w:val="00CB704C"/>
    <w:rsid w:val="00CB71D7"/>
    <w:rsid w:val="00CB726B"/>
    <w:rsid w:val="00CB72EA"/>
    <w:rsid w:val="00CB72ED"/>
    <w:rsid w:val="00CB7302"/>
    <w:rsid w:val="00CB74BC"/>
    <w:rsid w:val="00CB74E4"/>
    <w:rsid w:val="00CB771D"/>
    <w:rsid w:val="00CB7730"/>
    <w:rsid w:val="00CB779C"/>
    <w:rsid w:val="00CB77AF"/>
    <w:rsid w:val="00CB7825"/>
    <w:rsid w:val="00CB7B0E"/>
    <w:rsid w:val="00CB7D14"/>
    <w:rsid w:val="00CB7E02"/>
    <w:rsid w:val="00CB7EAC"/>
    <w:rsid w:val="00CB7EF6"/>
    <w:rsid w:val="00CC03C7"/>
    <w:rsid w:val="00CC03CA"/>
    <w:rsid w:val="00CC0564"/>
    <w:rsid w:val="00CC0908"/>
    <w:rsid w:val="00CC0915"/>
    <w:rsid w:val="00CC0C20"/>
    <w:rsid w:val="00CC0C22"/>
    <w:rsid w:val="00CC0C3F"/>
    <w:rsid w:val="00CC0CBC"/>
    <w:rsid w:val="00CC0CFE"/>
    <w:rsid w:val="00CC0D33"/>
    <w:rsid w:val="00CC0D8D"/>
    <w:rsid w:val="00CC0DCC"/>
    <w:rsid w:val="00CC0DE1"/>
    <w:rsid w:val="00CC111B"/>
    <w:rsid w:val="00CC134C"/>
    <w:rsid w:val="00CC14A2"/>
    <w:rsid w:val="00CC14CC"/>
    <w:rsid w:val="00CC1870"/>
    <w:rsid w:val="00CC1939"/>
    <w:rsid w:val="00CC198B"/>
    <w:rsid w:val="00CC19E9"/>
    <w:rsid w:val="00CC1A06"/>
    <w:rsid w:val="00CC1A81"/>
    <w:rsid w:val="00CC1B63"/>
    <w:rsid w:val="00CC1CAE"/>
    <w:rsid w:val="00CC1CDB"/>
    <w:rsid w:val="00CC1E83"/>
    <w:rsid w:val="00CC206C"/>
    <w:rsid w:val="00CC2150"/>
    <w:rsid w:val="00CC21C5"/>
    <w:rsid w:val="00CC22E9"/>
    <w:rsid w:val="00CC25A4"/>
    <w:rsid w:val="00CC260A"/>
    <w:rsid w:val="00CC26A0"/>
    <w:rsid w:val="00CC295C"/>
    <w:rsid w:val="00CC2ABA"/>
    <w:rsid w:val="00CC2D18"/>
    <w:rsid w:val="00CC2D5C"/>
    <w:rsid w:val="00CC2E15"/>
    <w:rsid w:val="00CC2ECE"/>
    <w:rsid w:val="00CC2F23"/>
    <w:rsid w:val="00CC2F56"/>
    <w:rsid w:val="00CC2FDE"/>
    <w:rsid w:val="00CC3024"/>
    <w:rsid w:val="00CC3049"/>
    <w:rsid w:val="00CC309D"/>
    <w:rsid w:val="00CC33DD"/>
    <w:rsid w:val="00CC3524"/>
    <w:rsid w:val="00CC35E8"/>
    <w:rsid w:val="00CC39BD"/>
    <w:rsid w:val="00CC3A0C"/>
    <w:rsid w:val="00CC3BB5"/>
    <w:rsid w:val="00CC3C16"/>
    <w:rsid w:val="00CC3C1F"/>
    <w:rsid w:val="00CC3C25"/>
    <w:rsid w:val="00CC3EA6"/>
    <w:rsid w:val="00CC40A8"/>
    <w:rsid w:val="00CC4523"/>
    <w:rsid w:val="00CC467A"/>
    <w:rsid w:val="00CC489D"/>
    <w:rsid w:val="00CC4924"/>
    <w:rsid w:val="00CC49E7"/>
    <w:rsid w:val="00CC4A12"/>
    <w:rsid w:val="00CC4BA2"/>
    <w:rsid w:val="00CC4ED4"/>
    <w:rsid w:val="00CC5014"/>
    <w:rsid w:val="00CC51DB"/>
    <w:rsid w:val="00CC535A"/>
    <w:rsid w:val="00CC5495"/>
    <w:rsid w:val="00CC54CD"/>
    <w:rsid w:val="00CC5583"/>
    <w:rsid w:val="00CC5592"/>
    <w:rsid w:val="00CC55DA"/>
    <w:rsid w:val="00CC5612"/>
    <w:rsid w:val="00CC5667"/>
    <w:rsid w:val="00CC575B"/>
    <w:rsid w:val="00CC5C04"/>
    <w:rsid w:val="00CC5D99"/>
    <w:rsid w:val="00CC5EC0"/>
    <w:rsid w:val="00CC5EF5"/>
    <w:rsid w:val="00CC605A"/>
    <w:rsid w:val="00CC60DC"/>
    <w:rsid w:val="00CC60FD"/>
    <w:rsid w:val="00CC6113"/>
    <w:rsid w:val="00CC6418"/>
    <w:rsid w:val="00CC67F2"/>
    <w:rsid w:val="00CC688E"/>
    <w:rsid w:val="00CC6991"/>
    <w:rsid w:val="00CC6B37"/>
    <w:rsid w:val="00CC6D16"/>
    <w:rsid w:val="00CC6EAA"/>
    <w:rsid w:val="00CC6FA1"/>
    <w:rsid w:val="00CC7053"/>
    <w:rsid w:val="00CC715B"/>
    <w:rsid w:val="00CC719C"/>
    <w:rsid w:val="00CC72D6"/>
    <w:rsid w:val="00CC7310"/>
    <w:rsid w:val="00CC73FA"/>
    <w:rsid w:val="00CC75A5"/>
    <w:rsid w:val="00CC75D8"/>
    <w:rsid w:val="00CC75F2"/>
    <w:rsid w:val="00CC7683"/>
    <w:rsid w:val="00CC79D3"/>
    <w:rsid w:val="00CC7AFC"/>
    <w:rsid w:val="00CC7BA6"/>
    <w:rsid w:val="00CC7C09"/>
    <w:rsid w:val="00CC7CA8"/>
    <w:rsid w:val="00CC7D65"/>
    <w:rsid w:val="00CC7ED1"/>
    <w:rsid w:val="00CD046A"/>
    <w:rsid w:val="00CD04F2"/>
    <w:rsid w:val="00CD075B"/>
    <w:rsid w:val="00CD079A"/>
    <w:rsid w:val="00CD084C"/>
    <w:rsid w:val="00CD0A40"/>
    <w:rsid w:val="00CD0B2E"/>
    <w:rsid w:val="00CD0C38"/>
    <w:rsid w:val="00CD0CD3"/>
    <w:rsid w:val="00CD0D83"/>
    <w:rsid w:val="00CD0F56"/>
    <w:rsid w:val="00CD108F"/>
    <w:rsid w:val="00CD112D"/>
    <w:rsid w:val="00CD1140"/>
    <w:rsid w:val="00CD1186"/>
    <w:rsid w:val="00CD12C4"/>
    <w:rsid w:val="00CD1346"/>
    <w:rsid w:val="00CD1381"/>
    <w:rsid w:val="00CD1383"/>
    <w:rsid w:val="00CD1479"/>
    <w:rsid w:val="00CD1541"/>
    <w:rsid w:val="00CD1587"/>
    <w:rsid w:val="00CD17D0"/>
    <w:rsid w:val="00CD189D"/>
    <w:rsid w:val="00CD189E"/>
    <w:rsid w:val="00CD1A0A"/>
    <w:rsid w:val="00CD1A57"/>
    <w:rsid w:val="00CD1AA4"/>
    <w:rsid w:val="00CD1B04"/>
    <w:rsid w:val="00CD1DEE"/>
    <w:rsid w:val="00CD1FD9"/>
    <w:rsid w:val="00CD1FF0"/>
    <w:rsid w:val="00CD23C2"/>
    <w:rsid w:val="00CD24CB"/>
    <w:rsid w:val="00CD24FC"/>
    <w:rsid w:val="00CD25D3"/>
    <w:rsid w:val="00CD2627"/>
    <w:rsid w:val="00CD2899"/>
    <w:rsid w:val="00CD2A67"/>
    <w:rsid w:val="00CD2B30"/>
    <w:rsid w:val="00CD2B5A"/>
    <w:rsid w:val="00CD2BEA"/>
    <w:rsid w:val="00CD2C49"/>
    <w:rsid w:val="00CD2CC3"/>
    <w:rsid w:val="00CD2DC9"/>
    <w:rsid w:val="00CD2E28"/>
    <w:rsid w:val="00CD2E34"/>
    <w:rsid w:val="00CD2ED2"/>
    <w:rsid w:val="00CD2F31"/>
    <w:rsid w:val="00CD3107"/>
    <w:rsid w:val="00CD3149"/>
    <w:rsid w:val="00CD319C"/>
    <w:rsid w:val="00CD3266"/>
    <w:rsid w:val="00CD3627"/>
    <w:rsid w:val="00CD365F"/>
    <w:rsid w:val="00CD36AF"/>
    <w:rsid w:val="00CD3750"/>
    <w:rsid w:val="00CD38BB"/>
    <w:rsid w:val="00CD3A19"/>
    <w:rsid w:val="00CD3B4A"/>
    <w:rsid w:val="00CD3BF6"/>
    <w:rsid w:val="00CD3EA0"/>
    <w:rsid w:val="00CD3FA8"/>
    <w:rsid w:val="00CD410B"/>
    <w:rsid w:val="00CD41AB"/>
    <w:rsid w:val="00CD4529"/>
    <w:rsid w:val="00CD452F"/>
    <w:rsid w:val="00CD4717"/>
    <w:rsid w:val="00CD482C"/>
    <w:rsid w:val="00CD4999"/>
    <w:rsid w:val="00CD4ABB"/>
    <w:rsid w:val="00CD4D46"/>
    <w:rsid w:val="00CD4E58"/>
    <w:rsid w:val="00CD4E74"/>
    <w:rsid w:val="00CD5580"/>
    <w:rsid w:val="00CD58B8"/>
    <w:rsid w:val="00CD5A86"/>
    <w:rsid w:val="00CD5C15"/>
    <w:rsid w:val="00CD5E13"/>
    <w:rsid w:val="00CD5EDF"/>
    <w:rsid w:val="00CD6075"/>
    <w:rsid w:val="00CD60AB"/>
    <w:rsid w:val="00CD613B"/>
    <w:rsid w:val="00CD62B6"/>
    <w:rsid w:val="00CD6418"/>
    <w:rsid w:val="00CD6473"/>
    <w:rsid w:val="00CD64AE"/>
    <w:rsid w:val="00CD6638"/>
    <w:rsid w:val="00CD6812"/>
    <w:rsid w:val="00CD68B3"/>
    <w:rsid w:val="00CD695A"/>
    <w:rsid w:val="00CD698D"/>
    <w:rsid w:val="00CD69F1"/>
    <w:rsid w:val="00CD6A3C"/>
    <w:rsid w:val="00CD6AE3"/>
    <w:rsid w:val="00CD72B1"/>
    <w:rsid w:val="00CD73A7"/>
    <w:rsid w:val="00CD7466"/>
    <w:rsid w:val="00CD7649"/>
    <w:rsid w:val="00CD76A6"/>
    <w:rsid w:val="00CD76D6"/>
    <w:rsid w:val="00CD775F"/>
    <w:rsid w:val="00CD77C6"/>
    <w:rsid w:val="00CD7900"/>
    <w:rsid w:val="00CD7D7F"/>
    <w:rsid w:val="00CD7F42"/>
    <w:rsid w:val="00CE0295"/>
    <w:rsid w:val="00CE03D4"/>
    <w:rsid w:val="00CE05A1"/>
    <w:rsid w:val="00CE06E2"/>
    <w:rsid w:val="00CE070C"/>
    <w:rsid w:val="00CE0782"/>
    <w:rsid w:val="00CE0B0D"/>
    <w:rsid w:val="00CE0B36"/>
    <w:rsid w:val="00CE0B85"/>
    <w:rsid w:val="00CE0B8D"/>
    <w:rsid w:val="00CE0D5B"/>
    <w:rsid w:val="00CE0DB3"/>
    <w:rsid w:val="00CE0DC2"/>
    <w:rsid w:val="00CE0EC8"/>
    <w:rsid w:val="00CE0ECA"/>
    <w:rsid w:val="00CE116F"/>
    <w:rsid w:val="00CE11D1"/>
    <w:rsid w:val="00CE12AD"/>
    <w:rsid w:val="00CE1492"/>
    <w:rsid w:val="00CE168A"/>
    <w:rsid w:val="00CE174C"/>
    <w:rsid w:val="00CE178E"/>
    <w:rsid w:val="00CE18CA"/>
    <w:rsid w:val="00CE19C1"/>
    <w:rsid w:val="00CE1C2E"/>
    <w:rsid w:val="00CE1CF8"/>
    <w:rsid w:val="00CE1E16"/>
    <w:rsid w:val="00CE1E7A"/>
    <w:rsid w:val="00CE2186"/>
    <w:rsid w:val="00CE2280"/>
    <w:rsid w:val="00CE2688"/>
    <w:rsid w:val="00CE28D2"/>
    <w:rsid w:val="00CE2C9D"/>
    <w:rsid w:val="00CE2D44"/>
    <w:rsid w:val="00CE2DF6"/>
    <w:rsid w:val="00CE2F4A"/>
    <w:rsid w:val="00CE2F66"/>
    <w:rsid w:val="00CE30C5"/>
    <w:rsid w:val="00CE31D3"/>
    <w:rsid w:val="00CE327A"/>
    <w:rsid w:val="00CE331E"/>
    <w:rsid w:val="00CE3461"/>
    <w:rsid w:val="00CE3722"/>
    <w:rsid w:val="00CE38F8"/>
    <w:rsid w:val="00CE39D0"/>
    <w:rsid w:val="00CE3B04"/>
    <w:rsid w:val="00CE3B5C"/>
    <w:rsid w:val="00CE3B77"/>
    <w:rsid w:val="00CE4042"/>
    <w:rsid w:val="00CE4087"/>
    <w:rsid w:val="00CE40B2"/>
    <w:rsid w:val="00CE421F"/>
    <w:rsid w:val="00CE4240"/>
    <w:rsid w:val="00CE438B"/>
    <w:rsid w:val="00CE4474"/>
    <w:rsid w:val="00CE4585"/>
    <w:rsid w:val="00CE471C"/>
    <w:rsid w:val="00CE474C"/>
    <w:rsid w:val="00CE4751"/>
    <w:rsid w:val="00CE482B"/>
    <w:rsid w:val="00CE48A2"/>
    <w:rsid w:val="00CE49EC"/>
    <w:rsid w:val="00CE4A1D"/>
    <w:rsid w:val="00CE4A3E"/>
    <w:rsid w:val="00CE4CDC"/>
    <w:rsid w:val="00CE4D16"/>
    <w:rsid w:val="00CE4D8A"/>
    <w:rsid w:val="00CE4E97"/>
    <w:rsid w:val="00CE50B5"/>
    <w:rsid w:val="00CE55A3"/>
    <w:rsid w:val="00CE55A9"/>
    <w:rsid w:val="00CE560F"/>
    <w:rsid w:val="00CE56CB"/>
    <w:rsid w:val="00CE57E6"/>
    <w:rsid w:val="00CE5B5F"/>
    <w:rsid w:val="00CE5C4B"/>
    <w:rsid w:val="00CE5DFD"/>
    <w:rsid w:val="00CE5F29"/>
    <w:rsid w:val="00CE60C6"/>
    <w:rsid w:val="00CE6147"/>
    <w:rsid w:val="00CE624D"/>
    <w:rsid w:val="00CE64E8"/>
    <w:rsid w:val="00CE653C"/>
    <w:rsid w:val="00CE65AB"/>
    <w:rsid w:val="00CE65AE"/>
    <w:rsid w:val="00CE66B6"/>
    <w:rsid w:val="00CE68B6"/>
    <w:rsid w:val="00CE68D5"/>
    <w:rsid w:val="00CE6A0F"/>
    <w:rsid w:val="00CE6D89"/>
    <w:rsid w:val="00CE6E5F"/>
    <w:rsid w:val="00CE6E97"/>
    <w:rsid w:val="00CE6EA9"/>
    <w:rsid w:val="00CE6FC6"/>
    <w:rsid w:val="00CE728D"/>
    <w:rsid w:val="00CE7470"/>
    <w:rsid w:val="00CE761A"/>
    <w:rsid w:val="00CE780A"/>
    <w:rsid w:val="00CE7887"/>
    <w:rsid w:val="00CE789D"/>
    <w:rsid w:val="00CE791D"/>
    <w:rsid w:val="00CE79A9"/>
    <w:rsid w:val="00CE7A14"/>
    <w:rsid w:val="00CE7A8A"/>
    <w:rsid w:val="00CE7A8E"/>
    <w:rsid w:val="00CE7B3F"/>
    <w:rsid w:val="00CE7CB8"/>
    <w:rsid w:val="00CE7DBC"/>
    <w:rsid w:val="00CE7EAE"/>
    <w:rsid w:val="00CE7EB6"/>
    <w:rsid w:val="00CE7EF0"/>
    <w:rsid w:val="00CF0012"/>
    <w:rsid w:val="00CF00E3"/>
    <w:rsid w:val="00CF02A6"/>
    <w:rsid w:val="00CF030B"/>
    <w:rsid w:val="00CF03C8"/>
    <w:rsid w:val="00CF05DF"/>
    <w:rsid w:val="00CF06AF"/>
    <w:rsid w:val="00CF0A74"/>
    <w:rsid w:val="00CF0B39"/>
    <w:rsid w:val="00CF0D58"/>
    <w:rsid w:val="00CF0FD0"/>
    <w:rsid w:val="00CF113E"/>
    <w:rsid w:val="00CF1286"/>
    <w:rsid w:val="00CF1292"/>
    <w:rsid w:val="00CF13C4"/>
    <w:rsid w:val="00CF14B1"/>
    <w:rsid w:val="00CF1833"/>
    <w:rsid w:val="00CF18D8"/>
    <w:rsid w:val="00CF194B"/>
    <w:rsid w:val="00CF19B0"/>
    <w:rsid w:val="00CF1A0C"/>
    <w:rsid w:val="00CF1BF8"/>
    <w:rsid w:val="00CF1D00"/>
    <w:rsid w:val="00CF1D1E"/>
    <w:rsid w:val="00CF1EB8"/>
    <w:rsid w:val="00CF1EC3"/>
    <w:rsid w:val="00CF1F00"/>
    <w:rsid w:val="00CF1F30"/>
    <w:rsid w:val="00CF213C"/>
    <w:rsid w:val="00CF2168"/>
    <w:rsid w:val="00CF2234"/>
    <w:rsid w:val="00CF2331"/>
    <w:rsid w:val="00CF2504"/>
    <w:rsid w:val="00CF2524"/>
    <w:rsid w:val="00CF254B"/>
    <w:rsid w:val="00CF26DE"/>
    <w:rsid w:val="00CF270A"/>
    <w:rsid w:val="00CF2AFB"/>
    <w:rsid w:val="00CF2B51"/>
    <w:rsid w:val="00CF2D5E"/>
    <w:rsid w:val="00CF2E11"/>
    <w:rsid w:val="00CF2E9D"/>
    <w:rsid w:val="00CF2FF1"/>
    <w:rsid w:val="00CF3379"/>
    <w:rsid w:val="00CF3558"/>
    <w:rsid w:val="00CF360E"/>
    <w:rsid w:val="00CF3657"/>
    <w:rsid w:val="00CF3717"/>
    <w:rsid w:val="00CF379F"/>
    <w:rsid w:val="00CF37DA"/>
    <w:rsid w:val="00CF3809"/>
    <w:rsid w:val="00CF385E"/>
    <w:rsid w:val="00CF394D"/>
    <w:rsid w:val="00CF3C91"/>
    <w:rsid w:val="00CF3D83"/>
    <w:rsid w:val="00CF3D8D"/>
    <w:rsid w:val="00CF3F0F"/>
    <w:rsid w:val="00CF40B9"/>
    <w:rsid w:val="00CF4377"/>
    <w:rsid w:val="00CF4418"/>
    <w:rsid w:val="00CF4791"/>
    <w:rsid w:val="00CF48B9"/>
    <w:rsid w:val="00CF49AC"/>
    <w:rsid w:val="00CF49BE"/>
    <w:rsid w:val="00CF49BF"/>
    <w:rsid w:val="00CF4A38"/>
    <w:rsid w:val="00CF4B33"/>
    <w:rsid w:val="00CF4D2D"/>
    <w:rsid w:val="00CF4DD8"/>
    <w:rsid w:val="00CF4DE5"/>
    <w:rsid w:val="00CF50B5"/>
    <w:rsid w:val="00CF50BD"/>
    <w:rsid w:val="00CF545D"/>
    <w:rsid w:val="00CF56C6"/>
    <w:rsid w:val="00CF56F4"/>
    <w:rsid w:val="00CF5803"/>
    <w:rsid w:val="00CF58F7"/>
    <w:rsid w:val="00CF5A18"/>
    <w:rsid w:val="00CF5B5A"/>
    <w:rsid w:val="00CF5B65"/>
    <w:rsid w:val="00CF5D30"/>
    <w:rsid w:val="00CF5E51"/>
    <w:rsid w:val="00CF6046"/>
    <w:rsid w:val="00CF625A"/>
    <w:rsid w:val="00CF62CA"/>
    <w:rsid w:val="00CF62D8"/>
    <w:rsid w:val="00CF6429"/>
    <w:rsid w:val="00CF6781"/>
    <w:rsid w:val="00CF67F0"/>
    <w:rsid w:val="00CF67F4"/>
    <w:rsid w:val="00CF6848"/>
    <w:rsid w:val="00CF68CA"/>
    <w:rsid w:val="00CF6C0A"/>
    <w:rsid w:val="00CF6C3B"/>
    <w:rsid w:val="00CF6C89"/>
    <w:rsid w:val="00CF6CE5"/>
    <w:rsid w:val="00CF6F82"/>
    <w:rsid w:val="00CF6FCD"/>
    <w:rsid w:val="00CF7058"/>
    <w:rsid w:val="00CF70E8"/>
    <w:rsid w:val="00CF7276"/>
    <w:rsid w:val="00CF771F"/>
    <w:rsid w:val="00CF7801"/>
    <w:rsid w:val="00CF78D5"/>
    <w:rsid w:val="00CF79D7"/>
    <w:rsid w:val="00CF7A42"/>
    <w:rsid w:val="00CF7C10"/>
    <w:rsid w:val="00CF7CBB"/>
    <w:rsid w:val="00CF7D2D"/>
    <w:rsid w:val="00CF7E60"/>
    <w:rsid w:val="00CF7FBE"/>
    <w:rsid w:val="00D0000D"/>
    <w:rsid w:val="00D0037F"/>
    <w:rsid w:val="00D003DE"/>
    <w:rsid w:val="00D0046A"/>
    <w:rsid w:val="00D004FC"/>
    <w:rsid w:val="00D007AD"/>
    <w:rsid w:val="00D007F0"/>
    <w:rsid w:val="00D008D3"/>
    <w:rsid w:val="00D008E0"/>
    <w:rsid w:val="00D00AE1"/>
    <w:rsid w:val="00D00B3E"/>
    <w:rsid w:val="00D00B51"/>
    <w:rsid w:val="00D00DA1"/>
    <w:rsid w:val="00D00E08"/>
    <w:rsid w:val="00D00EDF"/>
    <w:rsid w:val="00D00F24"/>
    <w:rsid w:val="00D00F6D"/>
    <w:rsid w:val="00D00F70"/>
    <w:rsid w:val="00D00FB7"/>
    <w:rsid w:val="00D01048"/>
    <w:rsid w:val="00D0114A"/>
    <w:rsid w:val="00D0117E"/>
    <w:rsid w:val="00D01252"/>
    <w:rsid w:val="00D0170D"/>
    <w:rsid w:val="00D018B3"/>
    <w:rsid w:val="00D01905"/>
    <w:rsid w:val="00D0192B"/>
    <w:rsid w:val="00D01AEA"/>
    <w:rsid w:val="00D01C09"/>
    <w:rsid w:val="00D01CCB"/>
    <w:rsid w:val="00D01E2A"/>
    <w:rsid w:val="00D01E7D"/>
    <w:rsid w:val="00D01F98"/>
    <w:rsid w:val="00D01FF4"/>
    <w:rsid w:val="00D02003"/>
    <w:rsid w:val="00D023FF"/>
    <w:rsid w:val="00D026C0"/>
    <w:rsid w:val="00D026D1"/>
    <w:rsid w:val="00D0282D"/>
    <w:rsid w:val="00D0298E"/>
    <w:rsid w:val="00D02A4F"/>
    <w:rsid w:val="00D02BAA"/>
    <w:rsid w:val="00D02BD6"/>
    <w:rsid w:val="00D02C11"/>
    <w:rsid w:val="00D02CA3"/>
    <w:rsid w:val="00D03147"/>
    <w:rsid w:val="00D031A8"/>
    <w:rsid w:val="00D031B0"/>
    <w:rsid w:val="00D032BB"/>
    <w:rsid w:val="00D03384"/>
    <w:rsid w:val="00D033C6"/>
    <w:rsid w:val="00D03513"/>
    <w:rsid w:val="00D0351E"/>
    <w:rsid w:val="00D03793"/>
    <w:rsid w:val="00D037E4"/>
    <w:rsid w:val="00D038CB"/>
    <w:rsid w:val="00D0392D"/>
    <w:rsid w:val="00D039C3"/>
    <w:rsid w:val="00D03A60"/>
    <w:rsid w:val="00D03D8E"/>
    <w:rsid w:val="00D03F75"/>
    <w:rsid w:val="00D0420E"/>
    <w:rsid w:val="00D043D7"/>
    <w:rsid w:val="00D0451D"/>
    <w:rsid w:val="00D046AD"/>
    <w:rsid w:val="00D04746"/>
    <w:rsid w:val="00D0474C"/>
    <w:rsid w:val="00D04853"/>
    <w:rsid w:val="00D048D0"/>
    <w:rsid w:val="00D04A53"/>
    <w:rsid w:val="00D04A68"/>
    <w:rsid w:val="00D04AA8"/>
    <w:rsid w:val="00D04AFA"/>
    <w:rsid w:val="00D04D71"/>
    <w:rsid w:val="00D04E7E"/>
    <w:rsid w:val="00D04F4C"/>
    <w:rsid w:val="00D05112"/>
    <w:rsid w:val="00D0526C"/>
    <w:rsid w:val="00D05280"/>
    <w:rsid w:val="00D05352"/>
    <w:rsid w:val="00D05379"/>
    <w:rsid w:val="00D0539C"/>
    <w:rsid w:val="00D05432"/>
    <w:rsid w:val="00D055B0"/>
    <w:rsid w:val="00D055D6"/>
    <w:rsid w:val="00D055DC"/>
    <w:rsid w:val="00D05690"/>
    <w:rsid w:val="00D056A9"/>
    <w:rsid w:val="00D05826"/>
    <w:rsid w:val="00D0584D"/>
    <w:rsid w:val="00D059E3"/>
    <w:rsid w:val="00D05A55"/>
    <w:rsid w:val="00D05AD0"/>
    <w:rsid w:val="00D05B7B"/>
    <w:rsid w:val="00D05E9E"/>
    <w:rsid w:val="00D06361"/>
    <w:rsid w:val="00D06381"/>
    <w:rsid w:val="00D065C0"/>
    <w:rsid w:val="00D066E0"/>
    <w:rsid w:val="00D067C7"/>
    <w:rsid w:val="00D067F6"/>
    <w:rsid w:val="00D0681F"/>
    <w:rsid w:val="00D068E5"/>
    <w:rsid w:val="00D0697F"/>
    <w:rsid w:val="00D06AB8"/>
    <w:rsid w:val="00D06B04"/>
    <w:rsid w:val="00D06BB9"/>
    <w:rsid w:val="00D06CA6"/>
    <w:rsid w:val="00D06D96"/>
    <w:rsid w:val="00D06E0F"/>
    <w:rsid w:val="00D06F05"/>
    <w:rsid w:val="00D06F45"/>
    <w:rsid w:val="00D0700F"/>
    <w:rsid w:val="00D07173"/>
    <w:rsid w:val="00D07175"/>
    <w:rsid w:val="00D073B9"/>
    <w:rsid w:val="00D073F5"/>
    <w:rsid w:val="00D0773E"/>
    <w:rsid w:val="00D0776C"/>
    <w:rsid w:val="00D07A03"/>
    <w:rsid w:val="00D07D6B"/>
    <w:rsid w:val="00D07EC2"/>
    <w:rsid w:val="00D07FEB"/>
    <w:rsid w:val="00D10031"/>
    <w:rsid w:val="00D10121"/>
    <w:rsid w:val="00D101C1"/>
    <w:rsid w:val="00D1021F"/>
    <w:rsid w:val="00D102E8"/>
    <w:rsid w:val="00D1039A"/>
    <w:rsid w:val="00D10404"/>
    <w:rsid w:val="00D104D5"/>
    <w:rsid w:val="00D105C3"/>
    <w:rsid w:val="00D105EB"/>
    <w:rsid w:val="00D1076C"/>
    <w:rsid w:val="00D107C7"/>
    <w:rsid w:val="00D10895"/>
    <w:rsid w:val="00D1089C"/>
    <w:rsid w:val="00D10A6F"/>
    <w:rsid w:val="00D10A76"/>
    <w:rsid w:val="00D10FA3"/>
    <w:rsid w:val="00D110FA"/>
    <w:rsid w:val="00D1116D"/>
    <w:rsid w:val="00D1117D"/>
    <w:rsid w:val="00D111D4"/>
    <w:rsid w:val="00D112B6"/>
    <w:rsid w:val="00D112EE"/>
    <w:rsid w:val="00D1132D"/>
    <w:rsid w:val="00D1142D"/>
    <w:rsid w:val="00D11443"/>
    <w:rsid w:val="00D114F2"/>
    <w:rsid w:val="00D11501"/>
    <w:rsid w:val="00D115C6"/>
    <w:rsid w:val="00D11718"/>
    <w:rsid w:val="00D11837"/>
    <w:rsid w:val="00D118EB"/>
    <w:rsid w:val="00D11B45"/>
    <w:rsid w:val="00D11B85"/>
    <w:rsid w:val="00D11BCD"/>
    <w:rsid w:val="00D11CF1"/>
    <w:rsid w:val="00D11DAB"/>
    <w:rsid w:val="00D11EBF"/>
    <w:rsid w:val="00D11FF8"/>
    <w:rsid w:val="00D1219D"/>
    <w:rsid w:val="00D122E9"/>
    <w:rsid w:val="00D1235D"/>
    <w:rsid w:val="00D123A2"/>
    <w:rsid w:val="00D124A9"/>
    <w:rsid w:val="00D124C2"/>
    <w:rsid w:val="00D1266F"/>
    <w:rsid w:val="00D1288E"/>
    <w:rsid w:val="00D1289B"/>
    <w:rsid w:val="00D128C8"/>
    <w:rsid w:val="00D129B3"/>
    <w:rsid w:val="00D129B6"/>
    <w:rsid w:val="00D12A27"/>
    <w:rsid w:val="00D12BF3"/>
    <w:rsid w:val="00D12D78"/>
    <w:rsid w:val="00D12DB7"/>
    <w:rsid w:val="00D12E61"/>
    <w:rsid w:val="00D12E8B"/>
    <w:rsid w:val="00D12F4F"/>
    <w:rsid w:val="00D13013"/>
    <w:rsid w:val="00D1309A"/>
    <w:rsid w:val="00D131DF"/>
    <w:rsid w:val="00D13221"/>
    <w:rsid w:val="00D13520"/>
    <w:rsid w:val="00D13854"/>
    <w:rsid w:val="00D13873"/>
    <w:rsid w:val="00D13971"/>
    <w:rsid w:val="00D13C7B"/>
    <w:rsid w:val="00D13CEC"/>
    <w:rsid w:val="00D13F5F"/>
    <w:rsid w:val="00D14011"/>
    <w:rsid w:val="00D140D4"/>
    <w:rsid w:val="00D1419B"/>
    <w:rsid w:val="00D1424B"/>
    <w:rsid w:val="00D142D3"/>
    <w:rsid w:val="00D1432D"/>
    <w:rsid w:val="00D14533"/>
    <w:rsid w:val="00D145E6"/>
    <w:rsid w:val="00D146E2"/>
    <w:rsid w:val="00D146E9"/>
    <w:rsid w:val="00D147A4"/>
    <w:rsid w:val="00D148C2"/>
    <w:rsid w:val="00D14A13"/>
    <w:rsid w:val="00D14A36"/>
    <w:rsid w:val="00D14BE3"/>
    <w:rsid w:val="00D14CCB"/>
    <w:rsid w:val="00D14D7A"/>
    <w:rsid w:val="00D14EF7"/>
    <w:rsid w:val="00D14FD0"/>
    <w:rsid w:val="00D14FF3"/>
    <w:rsid w:val="00D154F6"/>
    <w:rsid w:val="00D155AA"/>
    <w:rsid w:val="00D15657"/>
    <w:rsid w:val="00D15670"/>
    <w:rsid w:val="00D157C0"/>
    <w:rsid w:val="00D15871"/>
    <w:rsid w:val="00D159E9"/>
    <w:rsid w:val="00D15A7E"/>
    <w:rsid w:val="00D15AE0"/>
    <w:rsid w:val="00D15E19"/>
    <w:rsid w:val="00D15E42"/>
    <w:rsid w:val="00D15EB5"/>
    <w:rsid w:val="00D16029"/>
    <w:rsid w:val="00D1620E"/>
    <w:rsid w:val="00D162A1"/>
    <w:rsid w:val="00D164EC"/>
    <w:rsid w:val="00D16833"/>
    <w:rsid w:val="00D16B58"/>
    <w:rsid w:val="00D16C03"/>
    <w:rsid w:val="00D16E57"/>
    <w:rsid w:val="00D16E65"/>
    <w:rsid w:val="00D16ECC"/>
    <w:rsid w:val="00D16F9C"/>
    <w:rsid w:val="00D17050"/>
    <w:rsid w:val="00D170AE"/>
    <w:rsid w:val="00D171B6"/>
    <w:rsid w:val="00D17236"/>
    <w:rsid w:val="00D17298"/>
    <w:rsid w:val="00D1736D"/>
    <w:rsid w:val="00D17458"/>
    <w:rsid w:val="00D17488"/>
    <w:rsid w:val="00D17528"/>
    <w:rsid w:val="00D1759F"/>
    <w:rsid w:val="00D177A5"/>
    <w:rsid w:val="00D17AFB"/>
    <w:rsid w:val="00D17B46"/>
    <w:rsid w:val="00D17B97"/>
    <w:rsid w:val="00D17C61"/>
    <w:rsid w:val="00D17D0E"/>
    <w:rsid w:val="00D17EC3"/>
    <w:rsid w:val="00D17F31"/>
    <w:rsid w:val="00D17F52"/>
    <w:rsid w:val="00D19582"/>
    <w:rsid w:val="00D20078"/>
    <w:rsid w:val="00D200F8"/>
    <w:rsid w:val="00D2012F"/>
    <w:rsid w:val="00D20160"/>
    <w:rsid w:val="00D2025B"/>
    <w:rsid w:val="00D202F3"/>
    <w:rsid w:val="00D207A3"/>
    <w:rsid w:val="00D209C1"/>
    <w:rsid w:val="00D209CC"/>
    <w:rsid w:val="00D20CD1"/>
    <w:rsid w:val="00D20D3E"/>
    <w:rsid w:val="00D20DA5"/>
    <w:rsid w:val="00D21041"/>
    <w:rsid w:val="00D21269"/>
    <w:rsid w:val="00D213BD"/>
    <w:rsid w:val="00D213ED"/>
    <w:rsid w:val="00D2140D"/>
    <w:rsid w:val="00D21505"/>
    <w:rsid w:val="00D21853"/>
    <w:rsid w:val="00D21883"/>
    <w:rsid w:val="00D219DD"/>
    <w:rsid w:val="00D21ABC"/>
    <w:rsid w:val="00D21ABE"/>
    <w:rsid w:val="00D21B2B"/>
    <w:rsid w:val="00D21B5D"/>
    <w:rsid w:val="00D21C2D"/>
    <w:rsid w:val="00D21D23"/>
    <w:rsid w:val="00D21EEB"/>
    <w:rsid w:val="00D21F81"/>
    <w:rsid w:val="00D22099"/>
    <w:rsid w:val="00D2209F"/>
    <w:rsid w:val="00D220BD"/>
    <w:rsid w:val="00D22199"/>
    <w:rsid w:val="00D222FC"/>
    <w:rsid w:val="00D2236A"/>
    <w:rsid w:val="00D223AF"/>
    <w:rsid w:val="00D227FA"/>
    <w:rsid w:val="00D2281E"/>
    <w:rsid w:val="00D22875"/>
    <w:rsid w:val="00D2288D"/>
    <w:rsid w:val="00D2291A"/>
    <w:rsid w:val="00D2297C"/>
    <w:rsid w:val="00D22AC7"/>
    <w:rsid w:val="00D22AE9"/>
    <w:rsid w:val="00D22B91"/>
    <w:rsid w:val="00D22C3F"/>
    <w:rsid w:val="00D22E9A"/>
    <w:rsid w:val="00D23081"/>
    <w:rsid w:val="00D23269"/>
    <w:rsid w:val="00D2335C"/>
    <w:rsid w:val="00D233D9"/>
    <w:rsid w:val="00D23482"/>
    <w:rsid w:val="00D235CA"/>
    <w:rsid w:val="00D237D5"/>
    <w:rsid w:val="00D23843"/>
    <w:rsid w:val="00D238C4"/>
    <w:rsid w:val="00D239DA"/>
    <w:rsid w:val="00D23B0D"/>
    <w:rsid w:val="00D23CB1"/>
    <w:rsid w:val="00D23CB9"/>
    <w:rsid w:val="00D24081"/>
    <w:rsid w:val="00D24471"/>
    <w:rsid w:val="00D24664"/>
    <w:rsid w:val="00D24730"/>
    <w:rsid w:val="00D24ADC"/>
    <w:rsid w:val="00D24B76"/>
    <w:rsid w:val="00D24B8A"/>
    <w:rsid w:val="00D24CBD"/>
    <w:rsid w:val="00D24D76"/>
    <w:rsid w:val="00D25007"/>
    <w:rsid w:val="00D25067"/>
    <w:rsid w:val="00D250B2"/>
    <w:rsid w:val="00D251AD"/>
    <w:rsid w:val="00D25324"/>
    <w:rsid w:val="00D25329"/>
    <w:rsid w:val="00D25331"/>
    <w:rsid w:val="00D25589"/>
    <w:rsid w:val="00D25714"/>
    <w:rsid w:val="00D2572B"/>
    <w:rsid w:val="00D25799"/>
    <w:rsid w:val="00D257E2"/>
    <w:rsid w:val="00D257F8"/>
    <w:rsid w:val="00D2585E"/>
    <w:rsid w:val="00D258AB"/>
    <w:rsid w:val="00D258FF"/>
    <w:rsid w:val="00D259A8"/>
    <w:rsid w:val="00D25D53"/>
    <w:rsid w:val="00D25DD4"/>
    <w:rsid w:val="00D26154"/>
    <w:rsid w:val="00D2626A"/>
    <w:rsid w:val="00D26381"/>
    <w:rsid w:val="00D263A4"/>
    <w:rsid w:val="00D263CA"/>
    <w:rsid w:val="00D2642F"/>
    <w:rsid w:val="00D26543"/>
    <w:rsid w:val="00D26697"/>
    <w:rsid w:val="00D267F0"/>
    <w:rsid w:val="00D2681F"/>
    <w:rsid w:val="00D26866"/>
    <w:rsid w:val="00D26872"/>
    <w:rsid w:val="00D26BC9"/>
    <w:rsid w:val="00D26CB9"/>
    <w:rsid w:val="00D26CE6"/>
    <w:rsid w:val="00D26EED"/>
    <w:rsid w:val="00D2719D"/>
    <w:rsid w:val="00D272A2"/>
    <w:rsid w:val="00D27438"/>
    <w:rsid w:val="00D27523"/>
    <w:rsid w:val="00D2754D"/>
    <w:rsid w:val="00D275A8"/>
    <w:rsid w:val="00D2768C"/>
    <w:rsid w:val="00D276C0"/>
    <w:rsid w:val="00D27771"/>
    <w:rsid w:val="00D277E4"/>
    <w:rsid w:val="00D27A45"/>
    <w:rsid w:val="00D27C07"/>
    <w:rsid w:val="00D27CFE"/>
    <w:rsid w:val="00D301A3"/>
    <w:rsid w:val="00D30266"/>
    <w:rsid w:val="00D3028D"/>
    <w:rsid w:val="00D30485"/>
    <w:rsid w:val="00D3058C"/>
    <w:rsid w:val="00D30761"/>
    <w:rsid w:val="00D30A10"/>
    <w:rsid w:val="00D30A7D"/>
    <w:rsid w:val="00D30A97"/>
    <w:rsid w:val="00D30B3A"/>
    <w:rsid w:val="00D30C10"/>
    <w:rsid w:val="00D30C87"/>
    <w:rsid w:val="00D30CE7"/>
    <w:rsid w:val="00D30DF6"/>
    <w:rsid w:val="00D30EAB"/>
    <w:rsid w:val="00D31071"/>
    <w:rsid w:val="00D311C2"/>
    <w:rsid w:val="00D312B5"/>
    <w:rsid w:val="00D31357"/>
    <w:rsid w:val="00D3148D"/>
    <w:rsid w:val="00D31660"/>
    <w:rsid w:val="00D3169D"/>
    <w:rsid w:val="00D316F5"/>
    <w:rsid w:val="00D31826"/>
    <w:rsid w:val="00D31868"/>
    <w:rsid w:val="00D319DD"/>
    <w:rsid w:val="00D319DE"/>
    <w:rsid w:val="00D319E7"/>
    <w:rsid w:val="00D31BCC"/>
    <w:rsid w:val="00D31D06"/>
    <w:rsid w:val="00D31FCF"/>
    <w:rsid w:val="00D320F2"/>
    <w:rsid w:val="00D323B5"/>
    <w:rsid w:val="00D32407"/>
    <w:rsid w:val="00D3256D"/>
    <w:rsid w:val="00D326C4"/>
    <w:rsid w:val="00D3272F"/>
    <w:rsid w:val="00D3283C"/>
    <w:rsid w:val="00D3283D"/>
    <w:rsid w:val="00D32951"/>
    <w:rsid w:val="00D32A66"/>
    <w:rsid w:val="00D32DAF"/>
    <w:rsid w:val="00D32E51"/>
    <w:rsid w:val="00D33527"/>
    <w:rsid w:val="00D3363B"/>
    <w:rsid w:val="00D33707"/>
    <w:rsid w:val="00D33743"/>
    <w:rsid w:val="00D33972"/>
    <w:rsid w:val="00D33A2F"/>
    <w:rsid w:val="00D33DB8"/>
    <w:rsid w:val="00D33FE3"/>
    <w:rsid w:val="00D34213"/>
    <w:rsid w:val="00D34638"/>
    <w:rsid w:val="00D34669"/>
    <w:rsid w:val="00D346A2"/>
    <w:rsid w:val="00D3475F"/>
    <w:rsid w:val="00D34957"/>
    <w:rsid w:val="00D349C8"/>
    <w:rsid w:val="00D34BB6"/>
    <w:rsid w:val="00D34CDF"/>
    <w:rsid w:val="00D34CE5"/>
    <w:rsid w:val="00D34D53"/>
    <w:rsid w:val="00D34DC1"/>
    <w:rsid w:val="00D34E33"/>
    <w:rsid w:val="00D35030"/>
    <w:rsid w:val="00D35503"/>
    <w:rsid w:val="00D35561"/>
    <w:rsid w:val="00D3563E"/>
    <w:rsid w:val="00D35693"/>
    <w:rsid w:val="00D356A3"/>
    <w:rsid w:val="00D35745"/>
    <w:rsid w:val="00D359E8"/>
    <w:rsid w:val="00D35B12"/>
    <w:rsid w:val="00D35BD3"/>
    <w:rsid w:val="00D35D6F"/>
    <w:rsid w:val="00D35EE0"/>
    <w:rsid w:val="00D35F8B"/>
    <w:rsid w:val="00D35FF6"/>
    <w:rsid w:val="00D36611"/>
    <w:rsid w:val="00D36661"/>
    <w:rsid w:val="00D366C7"/>
    <w:rsid w:val="00D3670D"/>
    <w:rsid w:val="00D36747"/>
    <w:rsid w:val="00D36845"/>
    <w:rsid w:val="00D36A4A"/>
    <w:rsid w:val="00D36AC0"/>
    <w:rsid w:val="00D36B38"/>
    <w:rsid w:val="00D36BB1"/>
    <w:rsid w:val="00D36CD8"/>
    <w:rsid w:val="00D36CFD"/>
    <w:rsid w:val="00D36E47"/>
    <w:rsid w:val="00D36F33"/>
    <w:rsid w:val="00D36F7F"/>
    <w:rsid w:val="00D36FD4"/>
    <w:rsid w:val="00D36FF0"/>
    <w:rsid w:val="00D36FF5"/>
    <w:rsid w:val="00D37051"/>
    <w:rsid w:val="00D372C4"/>
    <w:rsid w:val="00D373A3"/>
    <w:rsid w:val="00D37450"/>
    <w:rsid w:val="00D374E8"/>
    <w:rsid w:val="00D37521"/>
    <w:rsid w:val="00D37559"/>
    <w:rsid w:val="00D3755D"/>
    <w:rsid w:val="00D379EF"/>
    <w:rsid w:val="00D37A82"/>
    <w:rsid w:val="00D37B2A"/>
    <w:rsid w:val="00D37BC6"/>
    <w:rsid w:val="00D37F75"/>
    <w:rsid w:val="00D400CA"/>
    <w:rsid w:val="00D40178"/>
    <w:rsid w:val="00D40223"/>
    <w:rsid w:val="00D4026B"/>
    <w:rsid w:val="00D405B2"/>
    <w:rsid w:val="00D40649"/>
    <w:rsid w:val="00D4079F"/>
    <w:rsid w:val="00D40991"/>
    <w:rsid w:val="00D409D8"/>
    <w:rsid w:val="00D40B8B"/>
    <w:rsid w:val="00D40CE2"/>
    <w:rsid w:val="00D40D29"/>
    <w:rsid w:val="00D40EE0"/>
    <w:rsid w:val="00D4106F"/>
    <w:rsid w:val="00D411AB"/>
    <w:rsid w:val="00D413E7"/>
    <w:rsid w:val="00D41521"/>
    <w:rsid w:val="00D41544"/>
    <w:rsid w:val="00D41591"/>
    <w:rsid w:val="00D418F0"/>
    <w:rsid w:val="00D41906"/>
    <w:rsid w:val="00D41C33"/>
    <w:rsid w:val="00D41D8E"/>
    <w:rsid w:val="00D41F64"/>
    <w:rsid w:val="00D42052"/>
    <w:rsid w:val="00D42422"/>
    <w:rsid w:val="00D42466"/>
    <w:rsid w:val="00D4263E"/>
    <w:rsid w:val="00D4282E"/>
    <w:rsid w:val="00D42834"/>
    <w:rsid w:val="00D42957"/>
    <w:rsid w:val="00D42961"/>
    <w:rsid w:val="00D42A46"/>
    <w:rsid w:val="00D42B39"/>
    <w:rsid w:val="00D42CF0"/>
    <w:rsid w:val="00D42D42"/>
    <w:rsid w:val="00D42DA6"/>
    <w:rsid w:val="00D4305F"/>
    <w:rsid w:val="00D43080"/>
    <w:rsid w:val="00D43204"/>
    <w:rsid w:val="00D432B7"/>
    <w:rsid w:val="00D432D6"/>
    <w:rsid w:val="00D43460"/>
    <w:rsid w:val="00D434BB"/>
    <w:rsid w:val="00D436D8"/>
    <w:rsid w:val="00D43851"/>
    <w:rsid w:val="00D438EA"/>
    <w:rsid w:val="00D4394C"/>
    <w:rsid w:val="00D43981"/>
    <w:rsid w:val="00D43CA9"/>
    <w:rsid w:val="00D43D4A"/>
    <w:rsid w:val="00D43DED"/>
    <w:rsid w:val="00D43ECF"/>
    <w:rsid w:val="00D43F30"/>
    <w:rsid w:val="00D441A8"/>
    <w:rsid w:val="00D443F1"/>
    <w:rsid w:val="00D4453B"/>
    <w:rsid w:val="00D44566"/>
    <w:rsid w:val="00D448BC"/>
    <w:rsid w:val="00D448F6"/>
    <w:rsid w:val="00D449D5"/>
    <w:rsid w:val="00D44CFC"/>
    <w:rsid w:val="00D44D9E"/>
    <w:rsid w:val="00D44EBD"/>
    <w:rsid w:val="00D44EFC"/>
    <w:rsid w:val="00D44F1A"/>
    <w:rsid w:val="00D44FDD"/>
    <w:rsid w:val="00D4505A"/>
    <w:rsid w:val="00D45062"/>
    <w:rsid w:val="00D45150"/>
    <w:rsid w:val="00D451D4"/>
    <w:rsid w:val="00D452D1"/>
    <w:rsid w:val="00D4531C"/>
    <w:rsid w:val="00D45338"/>
    <w:rsid w:val="00D45497"/>
    <w:rsid w:val="00D4549D"/>
    <w:rsid w:val="00D4570D"/>
    <w:rsid w:val="00D45788"/>
    <w:rsid w:val="00D457B4"/>
    <w:rsid w:val="00D457FD"/>
    <w:rsid w:val="00D458F7"/>
    <w:rsid w:val="00D45921"/>
    <w:rsid w:val="00D45BD4"/>
    <w:rsid w:val="00D45BE4"/>
    <w:rsid w:val="00D45C05"/>
    <w:rsid w:val="00D45D06"/>
    <w:rsid w:val="00D45D56"/>
    <w:rsid w:val="00D45EBD"/>
    <w:rsid w:val="00D462FB"/>
    <w:rsid w:val="00D46384"/>
    <w:rsid w:val="00D46728"/>
    <w:rsid w:val="00D468E1"/>
    <w:rsid w:val="00D46BC6"/>
    <w:rsid w:val="00D46C2E"/>
    <w:rsid w:val="00D46C45"/>
    <w:rsid w:val="00D46E3F"/>
    <w:rsid w:val="00D46E42"/>
    <w:rsid w:val="00D46E77"/>
    <w:rsid w:val="00D46F5C"/>
    <w:rsid w:val="00D4707B"/>
    <w:rsid w:val="00D4717D"/>
    <w:rsid w:val="00D47210"/>
    <w:rsid w:val="00D47268"/>
    <w:rsid w:val="00D473DF"/>
    <w:rsid w:val="00D47489"/>
    <w:rsid w:val="00D474EE"/>
    <w:rsid w:val="00D476D2"/>
    <w:rsid w:val="00D477B7"/>
    <w:rsid w:val="00D478ED"/>
    <w:rsid w:val="00D47A89"/>
    <w:rsid w:val="00D47ACA"/>
    <w:rsid w:val="00D47C0E"/>
    <w:rsid w:val="00D47C7F"/>
    <w:rsid w:val="00D47E48"/>
    <w:rsid w:val="00D47F05"/>
    <w:rsid w:val="00D47F28"/>
    <w:rsid w:val="00D5003A"/>
    <w:rsid w:val="00D5004C"/>
    <w:rsid w:val="00D50282"/>
    <w:rsid w:val="00D502DC"/>
    <w:rsid w:val="00D502E3"/>
    <w:rsid w:val="00D503D6"/>
    <w:rsid w:val="00D50463"/>
    <w:rsid w:val="00D5060B"/>
    <w:rsid w:val="00D50616"/>
    <w:rsid w:val="00D509B3"/>
    <w:rsid w:val="00D50C24"/>
    <w:rsid w:val="00D50F13"/>
    <w:rsid w:val="00D50F6C"/>
    <w:rsid w:val="00D51063"/>
    <w:rsid w:val="00D510E1"/>
    <w:rsid w:val="00D51216"/>
    <w:rsid w:val="00D5127E"/>
    <w:rsid w:val="00D518CE"/>
    <w:rsid w:val="00D518EE"/>
    <w:rsid w:val="00D518F9"/>
    <w:rsid w:val="00D51922"/>
    <w:rsid w:val="00D51E9C"/>
    <w:rsid w:val="00D51EB1"/>
    <w:rsid w:val="00D52332"/>
    <w:rsid w:val="00D523CE"/>
    <w:rsid w:val="00D524E2"/>
    <w:rsid w:val="00D525FC"/>
    <w:rsid w:val="00D528C8"/>
    <w:rsid w:val="00D52919"/>
    <w:rsid w:val="00D529BB"/>
    <w:rsid w:val="00D52A0B"/>
    <w:rsid w:val="00D52BC9"/>
    <w:rsid w:val="00D52BDF"/>
    <w:rsid w:val="00D52D3D"/>
    <w:rsid w:val="00D52F20"/>
    <w:rsid w:val="00D53137"/>
    <w:rsid w:val="00D5330D"/>
    <w:rsid w:val="00D533E6"/>
    <w:rsid w:val="00D534A3"/>
    <w:rsid w:val="00D53524"/>
    <w:rsid w:val="00D5374B"/>
    <w:rsid w:val="00D537F3"/>
    <w:rsid w:val="00D5380F"/>
    <w:rsid w:val="00D539A7"/>
    <w:rsid w:val="00D53A45"/>
    <w:rsid w:val="00D53A64"/>
    <w:rsid w:val="00D53A73"/>
    <w:rsid w:val="00D53A93"/>
    <w:rsid w:val="00D53BB8"/>
    <w:rsid w:val="00D53D28"/>
    <w:rsid w:val="00D53D5D"/>
    <w:rsid w:val="00D53F08"/>
    <w:rsid w:val="00D53F97"/>
    <w:rsid w:val="00D54237"/>
    <w:rsid w:val="00D542A0"/>
    <w:rsid w:val="00D542E9"/>
    <w:rsid w:val="00D5439D"/>
    <w:rsid w:val="00D543B7"/>
    <w:rsid w:val="00D544FF"/>
    <w:rsid w:val="00D54772"/>
    <w:rsid w:val="00D54E55"/>
    <w:rsid w:val="00D54E5B"/>
    <w:rsid w:val="00D54F6B"/>
    <w:rsid w:val="00D5519D"/>
    <w:rsid w:val="00D5536E"/>
    <w:rsid w:val="00D55414"/>
    <w:rsid w:val="00D55466"/>
    <w:rsid w:val="00D555E5"/>
    <w:rsid w:val="00D55623"/>
    <w:rsid w:val="00D5576E"/>
    <w:rsid w:val="00D557B2"/>
    <w:rsid w:val="00D55840"/>
    <w:rsid w:val="00D55937"/>
    <w:rsid w:val="00D55947"/>
    <w:rsid w:val="00D55B4C"/>
    <w:rsid w:val="00D55CEB"/>
    <w:rsid w:val="00D55CEF"/>
    <w:rsid w:val="00D55FD7"/>
    <w:rsid w:val="00D5602E"/>
    <w:rsid w:val="00D5603B"/>
    <w:rsid w:val="00D5606D"/>
    <w:rsid w:val="00D5619D"/>
    <w:rsid w:val="00D561C0"/>
    <w:rsid w:val="00D56203"/>
    <w:rsid w:val="00D56251"/>
    <w:rsid w:val="00D5648D"/>
    <w:rsid w:val="00D56524"/>
    <w:rsid w:val="00D56577"/>
    <w:rsid w:val="00D5658D"/>
    <w:rsid w:val="00D5661B"/>
    <w:rsid w:val="00D56727"/>
    <w:rsid w:val="00D567AB"/>
    <w:rsid w:val="00D5683E"/>
    <w:rsid w:val="00D56A39"/>
    <w:rsid w:val="00D56A4E"/>
    <w:rsid w:val="00D56B75"/>
    <w:rsid w:val="00D56CED"/>
    <w:rsid w:val="00D56CFF"/>
    <w:rsid w:val="00D56E93"/>
    <w:rsid w:val="00D5708F"/>
    <w:rsid w:val="00D570BF"/>
    <w:rsid w:val="00D57232"/>
    <w:rsid w:val="00D57306"/>
    <w:rsid w:val="00D57316"/>
    <w:rsid w:val="00D573A3"/>
    <w:rsid w:val="00D573E0"/>
    <w:rsid w:val="00D57487"/>
    <w:rsid w:val="00D57541"/>
    <w:rsid w:val="00D57588"/>
    <w:rsid w:val="00D575FD"/>
    <w:rsid w:val="00D57704"/>
    <w:rsid w:val="00D57710"/>
    <w:rsid w:val="00D5780B"/>
    <w:rsid w:val="00D579DF"/>
    <w:rsid w:val="00D57C34"/>
    <w:rsid w:val="00D57CE3"/>
    <w:rsid w:val="00D57D77"/>
    <w:rsid w:val="00D57F2F"/>
    <w:rsid w:val="00D60004"/>
    <w:rsid w:val="00D601C5"/>
    <w:rsid w:val="00D601E3"/>
    <w:rsid w:val="00D602A8"/>
    <w:rsid w:val="00D6033C"/>
    <w:rsid w:val="00D60370"/>
    <w:rsid w:val="00D604D2"/>
    <w:rsid w:val="00D6068D"/>
    <w:rsid w:val="00D6068E"/>
    <w:rsid w:val="00D606BE"/>
    <w:rsid w:val="00D607B1"/>
    <w:rsid w:val="00D60874"/>
    <w:rsid w:val="00D6091B"/>
    <w:rsid w:val="00D60A1D"/>
    <w:rsid w:val="00D60D76"/>
    <w:rsid w:val="00D60D87"/>
    <w:rsid w:val="00D60DCB"/>
    <w:rsid w:val="00D61021"/>
    <w:rsid w:val="00D610B6"/>
    <w:rsid w:val="00D6114C"/>
    <w:rsid w:val="00D6116D"/>
    <w:rsid w:val="00D61267"/>
    <w:rsid w:val="00D6131C"/>
    <w:rsid w:val="00D61345"/>
    <w:rsid w:val="00D61371"/>
    <w:rsid w:val="00D61405"/>
    <w:rsid w:val="00D614CC"/>
    <w:rsid w:val="00D6155F"/>
    <w:rsid w:val="00D61567"/>
    <w:rsid w:val="00D6172F"/>
    <w:rsid w:val="00D6179D"/>
    <w:rsid w:val="00D6185F"/>
    <w:rsid w:val="00D619E2"/>
    <w:rsid w:val="00D61A00"/>
    <w:rsid w:val="00D61CD5"/>
    <w:rsid w:val="00D61DCB"/>
    <w:rsid w:val="00D61FE7"/>
    <w:rsid w:val="00D620CE"/>
    <w:rsid w:val="00D620DA"/>
    <w:rsid w:val="00D621DD"/>
    <w:rsid w:val="00D622D3"/>
    <w:rsid w:val="00D6276B"/>
    <w:rsid w:val="00D6290F"/>
    <w:rsid w:val="00D62AD9"/>
    <w:rsid w:val="00D62C05"/>
    <w:rsid w:val="00D62D21"/>
    <w:rsid w:val="00D62D9A"/>
    <w:rsid w:val="00D62F87"/>
    <w:rsid w:val="00D62FFA"/>
    <w:rsid w:val="00D630B8"/>
    <w:rsid w:val="00D63133"/>
    <w:rsid w:val="00D633BD"/>
    <w:rsid w:val="00D63438"/>
    <w:rsid w:val="00D63450"/>
    <w:rsid w:val="00D6345E"/>
    <w:rsid w:val="00D63484"/>
    <w:rsid w:val="00D635D6"/>
    <w:rsid w:val="00D6370C"/>
    <w:rsid w:val="00D63925"/>
    <w:rsid w:val="00D63BA4"/>
    <w:rsid w:val="00D63C40"/>
    <w:rsid w:val="00D63C9C"/>
    <w:rsid w:val="00D63D00"/>
    <w:rsid w:val="00D63DF5"/>
    <w:rsid w:val="00D63F01"/>
    <w:rsid w:val="00D63F0F"/>
    <w:rsid w:val="00D64022"/>
    <w:rsid w:val="00D64070"/>
    <w:rsid w:val="00D64104"/>
    <w:rsid w:val="00D64535"/>
    <w:rsid w:val="00D645F8"/>
    <w:rsid w:val="00D6479E"/>
    <w:rsid w:val="00D648CE"/>
    <w:rsid w:val="00D64906"/>
    <w:rsid w:val="00D64927"/>
    <w:rsid w:val="00D6495E"/>
    <w:rsid w:val="00D6498B"/>
    <w:rsid w:val="00D64B3A"/>
    <w:rsid w:val="00D64C89"/>
    <w:rsid w:val="00D64D34"/>
    <w:rsid w:val="00D64DD9"/>
    <w:rsid w:val="00D64EF2"/>
    <w:rsid w:val="00D64EFB"/>
    <w:rsid w:val="00D65087"/>
    <w:rsid w:val="00D650F2"/>
    <w:rsid w:val="00D6515C"/>
    <w:rsid w:val="00D6518F"/>
    <w:rsid w:val="00D65481"/>
    <w:rsid w:val="00D6554D"/>
    <w:rsid w:val="00D655A4"/>
    <w:rsid w:val="00D6584B"/>
    <w:rsid w:val="00D658CF"/>
    <w:rsid w:val="00D659E5"/>
    <w:rsid w:val="00D659EA"/>
    <w:rsid w:val="00D65C5D"/>
    <w:rsid w:val="00D65D06"/>
    <w:rsid w:val="00D65D07"/>
    <w:rsid w:val="00D65DB1"/>
    <w:rsid w:val="00D65DD6"/>
    <w:rsid w:val="00D65E61"/>
    <w:rsid w:val="00D65EB5"/>
    <w:rsid w:val="00D65FAC"/>
    <w:rsid w:val="00D665B0"/>
    <w:rsid w:val="00D6663A"/>
    <w:rsid w:val="00D666BC"/>
    <w:rsid w:val="00D66773"/>
    <w:rsid w:val="00D667C2"/>
    <w:rsid w:val="00D668EF"/>
    <w:rsid w:val="00D6692F"/>
    <w:rsid w:val="00D66A44"/>
    <w:rsid w:val="00D66B02"/>
    <w:rsid w:val="00D66B0D"/>
    <w:rsid w:val="00D66B3E"/>
    <w:rsid w:val="00D66BA8"/>
    <w:rsid w:val="00D66BF6"/>
    <w:rsid w:val="00D66CE0"/>
    <w:rsid w:val="00D66D18"/>
    <w:rsid w:val="00D66DC8"/>
    <w:rsid w:val="00D66EB1"/>
    <w:rsid w:val="00D672F0"/>
    <w:rsid w:val="00D6744E"/>
    <w:rsid w:val="00D6757E"/>
    <w:rsid w:val="00D676C1"/>
    <w:rsid w:val="00D6788F"/>
    <w:rsid w:val="00D67B3F"/>
    <w:rsid w:val="00D67BAF"/>
    <w:rsid w:val="00D67BF3"/>
    <w:rsid w:val="00D67C48"/>
    <w:rsid w:val="00D67D87"/>
    <w:rsid w:val="00D67EEB"/>
    <w:rsid w:val="00D67F25"/>
    <w:rsid w:val="00D700D8"/>
    <w:rsid w:val="00D7013A"/>
    <w:rsid w:val="00D7039A"/>
    <w:rsid w:val="00D705E5"/>
    <w:rsid w:val="00D70636"/>
    <w:rsid w:val="00D70805"/>
    <w:rsid w:val="00D70852"/>
    <w:rsid w:val="00D70939"/>
    <w:rsid w:val="00D70BC2"/>
    <w:rsid w:val="00D70C54"/>
    <w:rsid w:val="00D70CD7"/>
    <w:rsid w:val="00D70E42"/>
    <w:rsid w:val="00D70F28"/>
    <w:rsid w:val="00D70F78"/>
    <w:rsid w:val="00D70F7B"/>
    <w:rsid w:val="00D71111"/>
    <w:rsid w:val="00D713F9"/>
    <w:rsid w:val="00D71537"/>
    <w:rsid w:val="00D716FC"/>
    <w:rsid w:val="00D7176F"/>
    <w:rsid w:val="00D71838"/>
    <w:rsid w:val="00D7185E"/>
    <w:rsid w:val="00D71B64"/>
    <w:rsid w:val="00D71BD6"/>
    <w:rsid w:val="00D71CFD"/>
    <w:rsid w:val="00D71EE2"/>
    <w:rsid w:val="00D71EF5"/>
    <w:rsid w:val="00D71F3A"/>
    <w:rsid w:val="00D71F8F"/>
    <w:rsid w:val="00D72074"/>
    <w:rsid w:val="00D72104"/>
    <w:rsid w:val="00D72224"/>
    <w:rsid w:val="00D72358"/>
    <w:rsid w:val="00D723A4"/>
    <w:rsid w:val="00D724B7"/>
    <w:rsid w:val="00D727AF"/>
    <w:rsid w:val="00D729BA"/>
    <w:rsid w:val="00D72B51"/>
    <w:rsid w:val="00D72B54"/>
    <w:rsid w:val="00D72B94"/>
    <w:rsid w:val="00D72C2B"/>
    <w:rsid w:val="00D72D0A"/>
    <w:rsid w:val="00D72E5A"/>
    <w:rsid w:val="00D72F27"/>
    <w:rsid w:val="00D730F4"/>
    <w:rsid w:val="00D7333C"/>
    <w:rsid w:val="00D7354C"/>
    <w:rsid w:val="00D735B7"/>
    <w:rsid w:val="00D736D9"/>
    <w:rsid w:val="00D738F7"/>
    <w:rsid w:val="00D739B0"/>
    <w:rsid w:val="00D73B18"/>
    <w:rsid w:val="00D73BE0"/>
    <w:rsid w:val="00D740B5"/>
    <w:rsid w:val="00D74182"/>
    <w:rsid w:val="00D741D5"/>
    <w:rsid w:val="00D74364"/>
    <w:rsid w:val="00D74392"/>
    <w:rsid w:val="00D7457E"/>
    <w:rsid w:val="00D74593"/>
    <w:rsid w:val="00D746EE"/>
    <w:rsid w:val="00D7477E"/>
    <w:rsid w:val="00D7483C"/>
    <w:rsid w:val="00D74A03"/>
    <w:rsid w:val="00D74A16"/>
    <w:rsid w:val="00D74A66"/>
    <w:rsid w:val="00D74A77"/>
    <w:rsid w:val="00D74AFC"/>
    <w:rsid w:val="00D74CE4"/>
    <w:rsid w:val="00D751B8"/>
    <w:rsid w:val="00D75379"/>
    <w:rsid w:val="00D754B6"/>
    <w:rsid w:val="00D755D2"/>
    <w:rsid w:val="00D758CF"/>
    <w:rsid w:val="00D75AA1"/>
    <w:rsid w:val="00D75B70"/>
    <w:rsid w:val="00D75B71"/>
    <w:rsid w:val="00D75D49"/>
    <w:rsid w:val="00D75D80"/>
    <w:rsid w:val="00D75D9F"/>
    <w:rsid w:val="00D75DB1"/>
    <w:rsid w:val="00D75E9D"/>
    <w:rsid w:val="00D760DB"/>
    <w:rsid w:val="00D76181"/>
    <w:rsid w:val="00D76186"/>
    <w:rsid w:val="00D761B1"/>
    <w:rsid w:val="00D7621A"/>
    <w:rsid w:val="00D762CB"/>
    <w:rsid w:val="00D762F3"/>
    <w:rsid w:val="00D76475"/>
    <w:rsid w:val="00D7663E"/>
    <w:rsid w:val="00D76711"/>
    <w:rsid w:val="00D769FC"/>
    <w:rsid w:val="00D76A46"/>
    <w:rsid w:val="00D76A53"/>
    <w:rsid w:val="00D76C9C"/>
    <w:rsid w:val="00D76CE7"/>
    <w:rsid w:val="00D76D13"/>
    <w:rsid w:val="00D76E2B"/>
    <w:rsid w:val="00D76F01"/>
    <w:rsid w:val="00D76F82"/>
    <w:rsid w:val="00D77015"/>
    <w:rsid w:val="00D7717B"/>
    <w:rsid w:val="00D772CC"/>
    <w:rsid w:val="00D774DB"/>
    <w:rsid w:val="00D77549"/>
    <w:rsid w:val="00D77632"/>
    <w:rsid w:val="00D7772E"/>
    <w:rsid w:val="00D77749"/>
    <w:rsid w:val="00D777EA"/>
    <w:rsid w:val="00D77984"/>
    <w:rsid w:val="00D77D57"/>
    <w:rsid w:val="00D8014E"/>
    <w:rsid w:val="00D802BD"/>
    <w:rsid w:val="00D802EE"/>
    <w:rsid w:val="00D80321"/>
    <w:rsid w:val="00D8032B"/>
    <w:rsid w:val="00D80479"/>
    <w:rsid w:val="00D8049E"/>
    <w:rsid w:val="00D80585"/>
    <w:rsid w:val="00D805CD"/>
    <w:rsid w:val="00D806FB"/>
    <w:rsid w:val="00D808A5"/>
    <w:rsid w:val="00D80928"/>
    <w:rsid w:val="00D809FD"/>
    <w:rsid w:val="00D80E55"/>
    <w:rsid w:val="00D80F65"/>
    <w:rsid w:val="00D81113"/>
    <w:rsid w:val="00D81222"/>
    <w:rsid w:val="00D81675"/>
    <w:rsid w:val="00D81881"/>
    <w:rsid w:val="00D81943"/>
    <w:rsid w:val="00D8195A"/>
    <w:rsid w:val="00D81D0B"/>
    <w:rsid w:val="00D81E04"/>
    <w:rsid w:val="00D82154"/>
    <w:rsid w:val="00D82248"/>
    <w:rsid w:val="00D8226C"/>
    <w:rsid w:val="00D822F2"/>
    <w:rsid w:val="00D82309"/>
    <w:rsid w:val="00D8230E"/>
    <w:rsid w:val="00D824AF"/>
    <w:rsid w:val="00D82659"/>
    <w:rsid w:val="00D8277C"/>
    <w:rsid w:val="00D82858"/>
    <w:rsid w:val="00D82AA0"/>
    <w:rsid w:val="00D82ABE"/>
    <w:rsid w:val="00D82E46"/>
    <w:rsid w:val="00D82EDA"/>
    <w:rsid w:val="00D830C7"/>
    <w:rsid w:val="00D834AF"/>
    <w:rsid w:val="00D834D6"/>
    <w:rsid w:val="00D834EE"/>
    <w:rsid w:val="00D83569"/>
    <w:rsid w:val="00D83654"/>
    <w:rsid w:val="00D8366E"/>
    <w:rsid w:val="00D83736"/>
    <w:rsid w:val="00D83B40"/>
    <w:rsid w:val="00D83B54"/>
    <w:rsid w:val="00D83B72"/>
    <w:rsid w:val="00D83D25"/>
    <w:rsid w:val="00D83DD1"/>
    <w:rsid w:val="00D83E02"/>
    <w:rsid w:val="00D84001"/>
    <w:rsid w:val="00D84075"/>
    <w:rsid w:val="00D8410C"/>
    <w:rsid w:val="00D841D8"/>
    <w:rsid w:val="00D841E5"/>
    <w:rsid w:val="00D84236"/>
    <w:rsid w:val="00D8425A"/>
    <w:rsid w:val="00D84342"/>
    <w:rsid w:val="00D845E3"/>
    <w:rsid w:val="00D84601"/>
    <w:rsid w:val="00D847C8"/>
    <w:rsid w:val="00D8485F"/>
    <w:rsid w:val="00D8487B"/>
    <w:rsid w:val="00D8489B"/>
    <w:rsid w:val="00D84C8D"/>
    <w:rsid w:val="00D84D29"/>
    <w:rsid w:val="00D84D2F"/>
    <w:rsid w:val="00D8532A"/>
    <w:rsid w:val="00D85468"/>
    <w:rsid w:val="00D856A0"/>
    <w:rsid w:val="00D85764"/>
    <w:rsid w:val="00D85898"/>
    <w:rsid w:val="00D858B9"/>
    <w:rsid w:val="00D85B29"/>
    <w:rsid w:val="00D85B4D"/>
    <w:rsid w:val="00D85EE7"/>
    <w:rsid w:val="00D85FAF"/>
    <w:rsid w:val="00D8615D"/>
    <w:rsid w:val="00D861BD"/>
    <w:rsid w:val="00D861FA"/>
    <w:rsid w:val="00D8633B"/>
    <w:rsid w:val="00D86616"/>
    <w:rsid w:val="00D866EE"/>
    <w:rsid w:val="00D8672C"/>
    <w:rsid w:val="00D8685A"/>
    <w:rsid w:val="00D8687C"/>
    <w:rsid w:val="00D868C5"/>
    <w:rsid w:val="00D86AA2"/>
    <w:rsid w:val="00D86AD8"/>
    <w:rsid w:val="00D86C7D"/>
    <w:rsid w:val="00D86D5B"/>
    <w:rsid w:val="00D86E95"/>
    <w:rsid w:val="00D87009"/>
    <w:rsid w:val="00D8716A"/>
    <w:rsid w:val="00D872A9"/>
    <w:rsid w:val="00D872CE"/>
    <w:rsid w:val="00D873E6"/>
    <w:rsid w:val="00D8755B"/>
    <w:rsid w:val="00D87948"/>
    <w:rsid w:val="00D87955"/>
    <w:rsid w:val="00D87BA7"/>
    <w:rsid w:val="00D87C33"/>
    <w:rsid w:val="00D87CCE"/>
    <w:rsid w:val="00D87DD3"/>
    <w:rsid w:val="00D87E04"/>
    <w:rsid w:val="00D87E1F"/>
    <w:rsid w:val="00D902CC"/>
    <w:rsid w:val="00D902E2"/>
    <w:rsid w:val="00D903AF"/>
    <w:rsid w:val="00D904A6"/>
    <w:rsid w:val="00D90515"/>
    <w:rsid w:val="00D905C7"/>
    <w:rsid w:val="00D9063F"/>
    <w:rsid w:val="00D906EF"/>
    <w:rsid w:val="00D90B97"/>
    <w:rsid w:val="00D90BE3"/>
    <w:rsid w:val="00D90BF7"/>
    <w:rsid w:val="00D90CC3"/>
    <w:rsid w:val="00D90D7C"/>
    <w:rsid w:val="00D90E62"/>
    <w:rsid w:val="00D91165"/>
    <w:rsid w:val="00D91249"/>
    <w:rsid w:val="00D9128B"/>
    <w:rsid w:val="00D9155E"/>
    <w:rsid w:val="00D9159D"/>
    <w:rsid w:val="00D915C2"/>
    <w:rsid w:val="00D91627"/>
    <w:rsid w:val="00D91690"/>
    <w:rsid w:val="00D91756"/>
    <w:rsid w:val="00D91841"/>
    <w:rsid w:val="00D91877"/>
    <w:rsid w:val="00D91A1D"/>
    <w:rsid w:val="00D91B11"/>
    <w:rsid w:val="00D91BA7"/>
    <w:rsid w:val="00D91C32"/>
    <w:rsid w:val="00D91C9D"/>
    <w:rsid w:val="00D91CAE"/>
    <w:rsid w:val="00D91CCA"/>
    <w:rsid w:val="00D91CE3"/>
    <w:rsid w:val="00D91E9D"/>
    <w:rsid w:val="00D91EA0"/>
    <w:rsid w:val="00D91EBB"/>
    <w:rsid w:val="00D91FED"/>
    <w:rsid w:val="00D91FF7"/>
    <w:rsid w:val="00D9221D"/>
    <w:rsid w:val="00D9224D"/>
    <w:rsid w:val="00D92250"/>
    <w:rsid w:val="00D9234C"/>
    <w:rsid w:val="00D92372"/>
    <w:rsid w:val="00D923FE"/>
    <w:rsid w:val="00D92436"/>
    <w:rsid w:val="00D925AD"/>
    <w:rsid w:val="00D9266B"/>
    <w:rsid w:val="00D92829"/>
    <w:rsid w:val="00D92A15"/>
    <w:rsid w:val="00D92AC9"/>
    <w:rsid w:val="00D92B9F"/>
    <w:rsid w:val="00D92CB3"/>
    <w:rsid w:val="00D92DD0"/>
    <w:rsid w:val="00D92E6B"/>
    <w:rsid w:val="00D92FEC"/>
    <w:rsid w:val="00D931BC"/>
    <w:rsid w:val="00D933F6"/>
    <w:rsid w:val="00D9354C"/>
    <w:rsid w:val="00D93627"/>
    <w:rsid w:val="00D936BD"/>
    <w:rsid w:val="00D937BA"/>
    <w:rsid w:val="00D938A3"/>
    <w:rsid w:val="00D93BB8"/>
    <w:rsid w:val="00D93C94"/>
    <w:rsid w:val="00D93D1A"/>
    <w:rsid w:val="00D93DF0"/>
    <w:rsid w:val="00D93FA2"/>
    <w:rsid w:val="00D94192"/>
    <w:rsid w:val="00D944C0"/>
    <w:rsid w:val="00D94656"/>
    <w:rsid w:val="00D946B9"/>
    <w:rsid w:val="00D947D2"/>
    <w:rsid w:val="00D94852"/>
    <w:rsid w:val="00D949DA"/>
    <w:rsid w:val="00D94B57"/>
    <w:rsid w:val="00D94B87"/>
    <w:rsid w:val="00D94C06"/>
    <w:rsid w:val="00D94C1B"/>
    <w:rsid w:val="00D94D02"/>
    <w:rsid w:val="00D94ED0"/>
    <w:rsid w:val="00D95221"/>
    <w:rsid w:val="00D952DE"/>
    <w:rsid w:val="00D9542B"/>
    <w:rsid w:val="00D957B3"/>
    <w:rsid w:val="00D957DA"/>
    <w:rsid w:val="00D958D1"/>
    <w:rsid w:val="00D95AB1"/>
    <w:rsid w:val="00D95C6C"/>
    <w:rsid w:val="00D95D29"/>
    <w:rsid w:val="00D95DD0"/>
    <w:rsid w:val="00D95E04"/>
    <w:rsid w:val="00D95EF1"/>
    <w:rsid w:val="00D9604E"/>
    <w:rsid w:val="00D960BB"/>
    <w:rsid w:val="00D960D1"/>
    <w:rsid w:val="00D96126"/>
    <w:rsid w:val="00D9627A"/>
    <w:rsid w:val="00D964AC"/>
    <w:rsid w:val="00D967E1"/>
    <w:rsid w:val="00D968E8"/>
    <w:rsid w:val="00D969BE"/>
    <w:rsid w:val="00D96B08"/>
    <w:rsid w:val="00D96B15"/>
    <w:rsid w:val="00D96B3E"/>
    <w:rsid w:val="00D96C28"/>
    <w:rsid w:val="00D96C2E"/>
    <w:rsid w:val="00D96DA4"/>
    <w:rsid w:val="00D96DAD"/>
    <w:rsid w:val="00D96EA7"/>
    <w:rsid w:val="00D96F71"/>
    <w:rsid w:val="00D971C8"/>
    <w:rsid w:val="00D971DF"/>
    <w:rsid w:val="00D9746B"/>
    <w:rsid w:val="00D974AB"/>
    <w:rsid w:val="00D974BE"/>
    <w:rsid w:val="00D9751F"/>
    <w:rsid w:val="00D978E8"/>
    <w:rsid w:val="00D979BA"/>
    <w:rsid w:val="00D97B40"/>
    <w:rsid w:val="00D97C06"/>
    <w:rsid w:val="00D97DC1"/>
    <w:rsid w:val="00D97E32"/>
    <w:rsid w:val="00D97F0F"/>
    <w:rsid w:val="00D97FB2"/>
    <w:rsid w:val="00D97FB7"/>
    <w:rsid w:val="00DA0054"/>
    <w:rsid w:val="00DA009F"/>
    <w:rsid w:val="00DA0176"/>
    <w:rsid w:val="00DA0475"/>
    <w:rsid w:val="00DA047C"/>
    <w:rsid w:val="00DA074A"/>
    <w:rsid w:val="00DA0761"/>
    <w:rsid w:val="00DA09CB"/>
    <w:rsid w:val="00DA0B6D"/>
    <w:rsid w:val="00DA0CCB"/>
    <w:rsid w:val="00DA0F11"/>
    <w:rsid w:val="00DA0F56"/>
    <w:rsid w:val="00DA0F81"/>
    <w:rsid w:val="00DA0FAC"/>
    <w:rsid w:val="00DA0FE1"/>
    <w:rsid w:val="00DA1007"/>
    <w:rsid w:val="00DA1120"/>
    <w:rsid w:val="00DA120C"/>
    <w:rsid w:val="00DA1219"/>
    <w:rsid w:val="00DA1221"/>
    <w:rsid w:val="00DA1257"/>
    <w:rsid w:val="00DA1321"/>
    <w:rsid w:val="00DA1634"/>
    <w:rsid w:val="00DA1663"/>
    <w:rsid w:val="00DA16AB"/>
    <w:rsid w:val="00DA171A"/>
    <w:rsid w:val="00DA173A"/>
    <w:rsid w:val="00DA1876"/>
    <w:rsid w:val="00DA198D"/>
    <w:rsid w:val="00DA1FC4"/>
    <w:rsid w:val="00DA1FFD"/>
    <w:rsid w:val="00DA207C"/>
    <w:rsid w:val="00DA20DF"/>
    <w:rsid w:val="00DA219F"/>
    <w:rsid w:val="00DA2386"/>
    <w:rsid w:val="00DA245F"/>
    <w:rsid w:val="00DA2486"/>
    <w:rsid w:val="00DA24F5"/>
    <w:rsid w:val="00DA2523"/>
    <w:rsid w:val="00DA259D"/>
    <w:rsid w:val="00DA25C0"/>
    <w:rsid w:val="00DA261F"/>
    <w:rsid w:val="00DA2634"/>
    <w:rsid w:val="00DA2693"/>
    <w:rsid w:val="00DA26B9"/>
    <w:rsid w:val="00DA275F"/>
    <w:rsid w:val="00DA2A5A"/>
    <w:rsid w:val="00DA2C61"/>
    <w:rsid w:val="00DA2C76"/>
    <w:rsid w:val="00DA2D94"/>
    <w:rsid w:val="00DA2F78"/>
    <w:rsid w:val="00DA2F91"/>
    <w:rsid w:val="00DA309A"/>
    <w:rsid w:val="00DA334B"/>
    <w:rsid w:val="00DA33C7"/>
    <w:rsid w:val="00DA3621"/>
    <w:rsid w:val="00DA36A9"/>
    <w:rsid w:val="00DA36DD"/>
    <w:rsid w:val="00DA3822"/>
    <w:rsid w:val="00DA3873"/>
    <w:rsid w:val="00DA394D"/>
    <w:rsid w:val="00DA3BCC"/>
    <w:rsid w:val="00DA3BF6"/>
    <w:rsid w:val="00DA3BF7"/>
    <w:rsid w:val="00DA3C43"/>
    <w:rsid w:val="00DA3C97"/>
    <w:rsid w:val="00DA3CD5"/>
    <w:rsid w:val="00DA3D25"/>
    <w:rsid w:val="00DA3F1A"/>
    <w:rsid w:val="00DA4014"/>
    <w:rsid w:val="00DA4242"/>
    <w:rsid w:val="00DA4266"/>
    <w:rsid w:val="00DA42C7"/>
    <w:rsid w:val="00DA45DF"/>
    <w:rsid w:val="00DA4885"/>
    <w:rsid w:val="00DA4973"/>
    <w:rsid w:val="00DA4B45"/>
    <w:rsid w:val="00DA4CD5"/>
    <w:rsid w:val="00DA4DAC"/>
    <w:rsid w:val="00DA502F"/>
    <w:rsid w:val="00DA5072"/>
    <w:rsid w:val="00DA50C1"/>
    <w:rsid w:val="00DA52FC"/>
    <w:rsid w:val="00DA5332"/>
    <w:rsid w:val="00DA54B5"/>
    <w:rsid w:val="00DA54ED"/>
    <w:rsid w:val="00DA55F2"/>
    <w:rsid w:val="00DA5681"/>
    <w:rsid w:val="00DA56D1"/>
    <w:rsid w:val="00DA5706"/>
    <w:rsid w:val="00DA57DB"/>
    <w:rsid w:val="00DA5861"/>
    <w:rsid w:val="00DA5862"/>
    <w:rsid w:val="00DA5888"/>
    <w:rsid w:val="00DA59F3"/>
    <w:rsid w:val="00DA5A43"/>
    <w:rsid w:val="00DA5C36"/>
    <w:rsid w:val="00DA5DD7"/>
    <w:rsid w:val="00DA5EBC"/>
    <w:rsid w:val="00DA60EA"/>
    <w:rsid w:val="00DA60F5"/>
    <w:rsid w:val="00DA6212"/>
    <w:rsid w:val="00DA621A"/>
    <w:rsid w:val="00DA64C0"/>
    <w:rsid w:val="00DA64D9"/>
    <w:rsid w:val="00DA64ED"/>
    <w:rsid w:val="00DA6530"/>
    <w:rsid w:val="00DA6945"/>
    <w:rsid w:val="00DA69CF"/>
    <w:rsid w:val="00DA6D3B"/>
    <w:rsid w:val="00DA6D9F"/>
    <w:rsid w:val="00DA6DCD"/>
    <w:rsid w:val="00DA6E38"/>
    <w:rsid w:val="00DA6F84"/>
    <w:rsid w:val="00DA70C3"/>
    <w:rsid w:val="00DA7141"/>
    <w:rsid w:val="00DA7225"/>
    <w:rsid w:val="00DA727C"/>
    <w:rsid w:val="00DA731A"/>
    <w:rsid w:val="00DA73A5"/>
    <w:rsid w:val="00DA745A"/>
    <w:rsid w:val="00DA74D5"/>
    <w:rsid w:val="00DA7930"/>
    <w:rsid w:val="00DA79BF"/>
    <w:rsid w:val="00DA7BB4"/>
    <w:rsid w:val="00DA7BD4"/>
    <w:rsid w:val="00DA7C27"/>
    <w:rsid w:val="00DA7D25"/>
    <w:rsid w:val="00DA7D7A"/>
    <w:rsid w:val="00DA7EF7"/>
    <w:rsid w:val="00DA7FCF"/>
    <w:rsid w:val="00DB00A5"/>
    <w:rsid w:val="00DB01B3"/>
    <w:rsid w:val="00DB0204"/>
    <w:rsid w:val="00DB0240"/>
    <w:rsid w:val="00DB046B"/>
    <w:rsid w:val="00DB04A9"/>
    <w:rsid w:val="00DB0593"/>
    <w:rsid w:val="00DB05D9"/>
    <w:rsid w:val="00DB09FC"/>
    <w:rsid w:val="00DB0A38"/>
    <w:rsid w:val="00DB0B44"/>
    <w:rsid w:val="00DB0B65"/>
    <w:rsid w:val="00DB0C8E"/>
    <w:rsid w:val="00DB0CFF"/>
    <w:rsid w:val="00DB0D83"/>
    <w:rsid w:val="00DB0DD7"/>
    <w:rsid w:val="00DB10F9"/>
    <w:rsid w:val="00DB11B0"/>
    <w:rsid w:val="00DB124F"/>
    <w:rsid w:val="00DB126E"/>
    <w:rsid w:val="00DB1562"/>
    <w:rsid w:val="00DB1581"/>
    <w:rsid w:val="00DB1594"/>
    <w:rsid w:val="00DB1601"/>
    <w:rsid w:val="00DB1689"/>
    <w:rsid w:val="00DB16B4"/>
    <w:rsid w:val="00DB1908"/>
    <w:rsid w:val="00DB1950"/>
    <w:rsid w:val="00DB1BBD"/>
    <w:rsid w:val="00DB1E4A"/>
    <w:rsid w:val="00DB25F7"/>
    <w:rsid w:val="00DB260F"/>
    <w:rsid w:val="00DB2862"/>
    <w:rsid w:val="00DB2BE2"/>
    <w:rsid w:val="00DB2CC6"/>
    <w:rsid w:val="00DB2D09"/>
    <w:rsid w:val="00DB2E89"/>
    <w:rsid w:val="00DB2F43"/>
    <w:rsid w:val="00DB2F76"/>
    <w:rsid w:val="00DB30B4"/>
    <w:rsid w:val="00DB3205"/>
    <w:rsid w:val="00DB3221"/>
    <w:rsid w:val="00DB33FF"/>
    <w:rsid w:val="00DB3421"/>
    <w:rsid w:val="00DB34E2"/>
    <w:rsid w:val="00DB3776"/>
    <w:rsid w:val="00DB3843"/>
    <w:rsid w:val="00DB389B"/>
    <w:rsid w:val="00DB38F0"/>
    <w:rsid w:val="00DB3974"/>
    <w:rsid w:val="00DB39E6"/>
    <w:rsid w:val="00DB3A6E"/>
    <w:rsid w:val="00DB3BEF"/>
    <w:rsid w:val="00DB3CF6"/>
    <w:rsid w:val="00DB3D17"/>
    <w:rsid w:val="00DB3D64"/>
    <w:rsid w:val="00DB3DA8"/>
    <w:rsid w:val="00DB3EAD"/>
    <w:rsid w:val="00DB3F58"/>
    <w:rsid w:val="00DB3F97"/>
    <w:rsid w:val="00DB41CD"/>
    <w:rsid w:val="00DB44A9"/>
    <w:rsid w:val="00DB45A9"/>
    <w:rsid w:val="00DB4665"/>
    <w:rsid w:val="00DB47BA"/>
    <w:rsid w:val="00DB48C1"/>
    <w:rsid w:val="00DB4A0D"/>
    <w:rsid w:val="00DB4AA1"/>
    <w:rsid w:val="00DB4C5D"/>
    <w:rsid w:val="00DB4C7B"/>
    <w:rsid w:val="00DB4CDE"/>
    <w:rsid w:val="00DB4D07"/>
    <w:rsid w:val="00DB4EA4"/>
    <w:rsid w:val="00DB5170"/>
    <w:rsid w:val="00DB5176"/>
    <w:rsid w:val="00DB5295"/>
    <w:rsid w:val="00DB52E2"/>
    <w:rsid w:val="00DB52EF"/>
    <w:rsid w:val="00DB543B"/>
    <w:rsid w:val="00DB549D"/>
    <w:rsid w:val="00DB54D7"/>
    <w:rsid w:val="00DB5524"/>
    <w:rsid w:val="00DB5532"/>
    <w:rsid w:val="00DB5588"/>
    <w:rsid w:val="00DB5697"/>
    <w:rsid w:val="00DB598A"/>
    <w:rsid w:val="00DB5B91"/>
    <w:rsid w:val="00DB5CFF"/>
    <w:rsid w:val="00DB5DA9"/>
    <w:rsid w:val="00DB5DD3"/>
    <w:rsid w:val="00DB61A0"/>
    <w:rsid w:val="00DB64D6"/>
    <w:rsid w:val="00DB651A"/>
    <w:rsid w:val="00DB65C5"/>
    <w:rsid w:val="00DB67B9"/>
    <w:rsid w:val="00DB6876"/>
    <w:rsid w:val="00DB6997"/>
    <w:rsid w:val="00DB69A2"/>
    <w:rsid w:val="00DB6B44"/>
    <w:rsid w:val="00DB6B54"/>
    <w:rsid w:val="00DB6C42"/>
    <w:rsid w:val="00DB6CA1"/>
    <w:rsid w:val="00DB6CB2"/>
    <w:rsid w:val="00DB6DB0"/>
    <w:rsid w:val="00DB6E11"/>
    <w:rsid w:val="00DB6EEF"/>
    <w:rsid w:val="00DB6F6C"/>
    <w:rsid w:val="00DB705C"/>
    <w:rsid w:val="00DB7637"/>
    <w:rsid w:val="00DB77B1"/>
    <w:rsid w:val="00DB7D00"/>
    <w:rsid w:val="00DB7EE1"/>
    <w:rsid w:val="00DC0102"/>
    <w:rsid w:val="00DC011D"/>
    <w:rsid w:val="00DC01C7"/>
    <w:rsid w:val="00DC01D7"/>
    <w:rsid w:val="00DC03A9"/>
    <w:rsid w:val="00DC048D"/>
    <w:rsid w:val="00DC05E5"/>
    <w:rsid w:val="00DC0604"/>
    <w:rsid w:val="00DC0624"/>
    <w:rsid w:val="00DC0659"/>
    <w:rsid w:val="00DC06EF"/>
    <w:rsid w:val="00DC08DC"/>
    <w:rsid w:val="00DC0CBB"/>
    <w:rsid w:val="00DC0CFE"/>
    <w:rsid w:val="00DC0D01"/>
    <w:rsid w:val="00DC0DD5"/>
    <w:rsid w:val="00DC0F98"/>
    <w:rsid w:val="00DC107E"/>
    <w:rsid w:val="00DC115E"/>
    <w:rsid w:val="00DC120E"/>
    <w:rsid w:val="00DC1230"/>
    <w:rsid w:val="00DC1270"/>
    <w:rsid w:val="00DC1499"/>
    <w:rsid w:val="00DC1726"/>
    <w:rsid w:val="00DC1814"/>
    <w:rsid w:val="00DC1920"/>
    <w:rsid w:val="00DC1D35"/>
    <w:rsid w:val="00DC1E05"/>
    <w:rsid w:val="00DC201E"/>
    <w:rsid w:val="00DC21D5"/>
    <w:rsid w:val="00DC2231"/>
    <w:rsid w:val="00DC2234"/>
    <w:rsid w:val="00DC236B"/>
    <w:rsid w:val="00DC236C"/>
    <w:rsid w:val="00DC2511"/>
    <w:rsid w:val="00DC2566"/>
    <w:rsid w:val="00DC2570"/>
    <w:rsid w:val="00DC25FC"/>
    <w:rsid w:val="00DC264D"/>
    <w:rsid w:val="00DC26DB"/>
    <w:rsid w:val="00DC2736"/>
    <w:rsid w:val="00DC275C"/>
    <w:rsid w:val="00DC281C"/>
    <w:rsid w:val="00DC2A34"/>
    <w:rsid w:val="00DC2B3C"/>
    <w:rsid w:val="00DC31FE"/>
    <w:rsid w:val="00DC3287"/>
    <w:rsid w:val="00DC3340"/>
    <w:rsid w:val="00DC3476"/>
    <w:rsid w:val="00DC354F"/>
    <w:rsid w:val="00DC35F7"/>
    <w:rsid w:val="00DC37B2"/>
    <w:rsid w:val="00DC37BF"/>
    <w:rsid w:val="00DC37EB"/>
    <w:rsid w:val="00DC3967"/>
    <w:rsid w:val="00DC3AF5"/>
    <w:rsid w:val="00DC3AFD"/>
    <w:rsid w:val="00DC3F16"/>
    <w:rsid w:val="00DC41C4"/>
    <w:rsid w:val="00DC4253"/>
    <w:rsid w:val="00DC42EC"/>
    <w:rsid w:val="00DC4330"/>
    <w:rsid w:val="00DC43EB"/>
    <w:rsid w:val="00DC4446"/>
    <w:rsid w:val="00DC49C9"/>
    <w:rsid w:val="00DC4A11"/>
    <w:rsid w:val="00DC4A54"/>
    <w:rsid w:val="00DC4CF4"/>
    <w:rsid w:val="00DC4FF5"/>
    <w:rsid w:val="00DC521C"/>
    <w:rsid w:val="00DC521D"/>
    <w:rsid w:val="00DC5310"/>
    <w:rsid w:val="00DC5319"/>
    <w:rsid w:val="00DC54CD"/>
    <w:rsid w:val="00DC57A8"/>
    <w:rsid w:val="00DC5AA8"/>
    <w:rsid w:val="00DC5B8F"/>
    <w:rsid w:val="00DC5E2C"/>
    <w:rsid w:val="00DC5EA7"/>
    <w:rsid w:val="00DC5FA5"/>
    <w:rsid w:val="00DC6020"/>
    <w:rsid w:val="00DC61A7"/>
    <w:rsid w:val="00DC61FC"/>
    <w:rsid w:val="00DC6202"/>
    <w:rsid w:val="00DC631E"/>
    <w:rsid w:val="00DC6342"/>
    <w:rsid w:val="00DC63D7"/>
    <w:rsid w:val="00DC6442"/>
    <w:rsid w:val="00DC6546"/>
    <w:rsid w:val="00DC655E"/>
    <w:rsid w:val="00DC6609"/>
    <w:rsid w:val="00DC6652"/>
    <w:rsid w:val="00DC6727"/>
    <w:rsid w:val="00DC6749"/>
    <w:rsid w:val="00DC6810"/>
    <w:rsid w:val="00DC6BBC"/>
    <w:rsid w:val="00DC741F"/>
    <w:rsid w:val="00DC7444"/>
    <w:rsid w:val="00DC7499"/>
    <w:rsid w:val="00DC753D"/>
    <w:rsid w:val="00DC7553"/>
    <w:rsid w:val="00DC7A15"/>
    <w:rsid w:val="00DC7AE3"/>
    <w:rsid w:val="00DC7AFD"/>
    <w:rsid w:val="00DC7CB8"/>
    <w:rsid w:val="00DC7D30"/>
    <w:rsid w:val="00DC7E6C"/>
    <w:rsid w:val="00DC7EB0"/>
    <w:rsid w:val="00DC7FA9"/>
    <w:rsid w:val="00DC7FD9"/>
    <w:rsid w:val="00DD0084"/>
    <w:rsid w:val="00DD011C"/>
    <w:rsid w:val="00DD01BC"/>
    <w:rsid w:val="00DD042A"/>
    <w:rsid w:val="00DD0573"/>
    <w:rsid w:val="00DD0670"/>
    <w:rsid w:val="00DD07B9"/>
    <w:rsid w:val="00DD0991"/>
    <w:rsid w:val="00DD0B5F"/>
    <w:rsid w:val="00DD0CD3"/>
    <w:rsid w:val="00DD0E03"/>
    <w:rsid w:val="00DD0EC0"/>
    <w:rsid w:val="00DD0F0E"/>
    <w:rsid w:val="00DD0F1C"/>
    <w:rsid w:val="00DD10E5"/>
    <w:rsid w:val="00DD1308"/>
    <w:rsid w:val="00DD13A4"/>
    <w:rsid w:val="00DD13B8"/>
    <w:rsid w:val="00DD149C"/>
    <w:rsid w:val="00DD14B5"/>
    <w:rsid w:val="00DD15B3"/>
    <w:rsid w:val="00DD16BF"/>
    <w:rsid w:val="00DD1718"/>
    <w:rsid w:val="00DD1764"/>
    <w:rsid w:val="00DD188E"/>
    <w:rsid w:val="00DD1971"/>
    <w:rsid w:val="00DD1A0B"/>
    <w:rsid w:val="00DD1B26"/>
    <w:rsid w:val="00DD1BE4"/>
    <w:rsid w:val="00DD1DAD"/>
    <w:rsid w:val="00DD1FF8"/>
    <w:rsid w:val="00DD210D"/>
    <w:rsid w:val="00DD2156"/>
    <w:rsid w:val="00DD2163"/>
    <w:rsid w:val="00DD2328"/>
    <w:rsid w:val="00DD23F6"/>
    <w:rsid w:val="00DD2425"/>
    <w:rsid w:val="00DD242A"/>
    <w:rsid w:val="00DD24C0"/>
    <w:rsid w:val="00DD259F"/>
    <w:rsid w:val="00DD25F4"/>
    <w:rsid w:val="00DD2795"/>
    <w:rsid w:val="00DD2A52"/>
    <w:rsid w:val="00DD2B94"/>
    <w:rsid w:val="00DD2D48"/>
    <w:rsid w:val="00DD2DF7"/>
    <w:rsid w:val="00DD2EA7"/>
    <w:rsid w:val="00DD2F48"/>
    <w:rsid w:val="00DD30B2"/>
    <w:rsid w:val="00DD3100"/>
    <w:rsid w:val="00DD3220"/>
    <w:rsid w:val="00DD323A"/>
    <w:rsid w:val="00DD32FB"/>
    <w:rsid w:val="00DD3741"/>
    <w:rsid w:val="00DD37BE"/>
    <w:rsid w:val="00DD388B"/>
    <w:rsid w:val="00DD3906"/>
    <w:rsid w:val="00DD39F3"/>
    <w:rsid w:val="00DD3BDC"/>
    <w:rsid w:val="00DD3D06"/>
    <w:rsid w:val="00DD40EA"/>
    <w:rsid w:val="00DD4115"/>
    <w:rsid w:val="00DD4118"/>
    <w:rsid w:val="00DD420A"/>
    <w:rsid w:val="00DD42EE"/>
    <w:rsid w:val="00DD4363"/>
    <w:rsid w:val="00DD436D"/>
    <w:rsid w:val="00DD4422"/>
    <w:rsid w:val="00DD445A"/>
    <w:rsid w:val="00DD4684"/>
    <w:rsid w:val="00DD47D4"/>
    <w:rsid w:val="00DD48F5"/>
    <w:rsid w:val="00DD4916"/>
    <w:rsid w:val="00DD4A8B"/>
    <w:rsid w:val="00DD4AF0"/>
    <w:rsid w:val="00DD4CE9"/>
    <w:rsid w:val="00DD4CFB"/>
    <w:rsid w:val="00DD4E4C"/>
    <w:rsid w:val="00DD4FC9"/>
    <w:rsid w:val="00DD50C3"/>
    <w:rsid w:val="00DD52D4"/>
    <w:rsid w:val="00DD536C"/>
    <w:rsid w:val="00DD54F8"/>
    <w:rsid w:val="00DD557F"/>
    <w:rsid w:val="00DD55A9"/>
    <w:rsid w:val="00DD5636"/>
    <w:rsid w:val="00DD56CA"/>
    <w:rsid w:val="00DD5761"/>
    <w:rsid w:val="00DD57DE"/>
    <w:rsid w:val="00DD58B1"/>
    <w:rsid w:val="00DD590A"/>
    <w:rsid w:val="00DD5A33"/>
    <w:rsid w:val="00DD5AA7"/>
    <w:rsid w:val="00DD5BDF"/>
    <w:rsid w:val="00DD5BE7"/>
    <w:rsid w:val="00DD5C72"/>
    <w:rsid w:val="00DD5EA8"/>
    <w:rsid w:val="00DD60E6"/>
    <w:rsid w:val="00DD620D"/>
    <w:rsid w:val="00DD6323"/>
    <w:rsid w:val="00DD6699"/>
    <w:rsid w:val="00DD680D"/>
    <w:rsid w:val="00DD6973"/>
    <w:rsid w:val="00DD6997"/>
    <w:rsid w:val="00DD6ABF"/>
    <w:rsid w:val="00DD6ACD"/>
    <w:rsid w:val="00DD6B76"/>
    <w:rsid w:val="00DD6C5D"/>
    <w:rsid w:val="00DD6F36"/>
    <w:rsid w:val="00DD6FA3"/>
    <w:rsid w:val="00DD7119"/>
    <w:rsid w:val="00DD72D7"/>
    <w:rsid w:val="00DD76B3"/>
    <w:rsid w:val="00DD771A"/>
    <w:rsid w:val="00DD7734"/>
    <w:rsid w:val="00DD77F9"/>
    <w:rsid w:val="00DD7872"/>
    <w:rsid w:val="00DD787D"/>
    <w:rsid w:val="00DD7969"/>
    <w:rsid w:val="00DD799D"/>
    <w:rsid w:val="00DD7AED"/>
    <w:rsid w:val="00DD7B1B"/>
    <w:rsid w:val="00DD7C62"/>
    <w:rsid w:val="00DD7C70"/>
    <w:rsid w:val="00DD7D05"/>
    <w:rsid w:val="00DD7E82"/>
    <w:rsid w:val="00DD7F6A"/>
    <w:rsid w:val="00DE002B"/>
    <w:rsid w:val="00DE0367"/>
    <w:rsid w:val="00DE0593"/>
    <w:rsid w:val="00DE05B1"/>
    <w:rsid w:val="00DE0648"/>
    <w:rsid w:val="00DE07FA"/>
    <w:rsid w:val="00DE0919"/>
    <w:rsid w:val="00DE0925"/>
    <w:rsid w:val="00DE0937"/>
    <w:rsid w:val="00DE0B09"/>
    <w:rsid w:val="00DE0C2D"/>
    <w:rsid w:val="00DE0DDE"/>
    <w:rsid w:val="00DE0E64"/>
    <w:rsid w:val="00DE0F71"/>
    <w:rsid w:val="00DE1008"/>
    <w:rsid w:val="00DE1100"/>
    <w:rsid w:val="00DE1103"/>
    <w:rsid w:val="00DE1133"/>
    <w:rsid w:val="00DE11C9"/>
    <w:rsid w:val="00DE139E"/>
    <w:rsid w:val="00DE14EF"/>
    <w:rsid w:val="00DE14FF"/>
    <w:rsid w:val="00DE16BE"/>
    <w:rsid w:val="00DE1831"/>
    <w:rsid w:val="00DE183D"/>
    <w:rsid w:val="00DE18BB"/>
    <w:rsid w:val="00DE1C73"/>
    <w:rsid w:val="00DE1CB3"/>
    <w:rsid w:val="00DE1E2F"/>
    <w:rsid w:val="00DE1E7E"/>
    <w:rsid w:val="00DE1F13"/>
    <w:rsid w:val="00DE2165"/>
    <w:rsid w:val="00DE21AF"/>
    <w:rsid w:val="00DE25B4"/>
    <w:rsid w:val="00DE2739"/>
    <w:rsid w:val="00DE285B"/>
    <w:rsid w:val="00DE2914"/>
    <w:rsid w:val="00DE29C5"/>
    <w:rsid w:val="00DE29D1"/>
    <w:rsid w:val="00DE2A6A"/>
    <w:rsid w:val="00DE2AC8"/>
    <w:rsid w:val="00DE2AEA"/>
    <w:rsid w:val="00DE2B13"/>
    <w:rsid w:val="00DE2BAE"/>
    <w:rsid w:val="00DE2D18"/>
    <w:rsid w:val="00DE2DB9"/>
    <w:rsid w:val="00DE302D"/>
    <w:rsid w:val="00DE303C"/>
    <w:rsid w:val="00DE30F2"/>
    <w:rsid w:val="00DE30F6"/>
    <w:rsid w:val="00DE3252"/>
    <w:rsid w:val="00DE33E7"/>
    <w:rsid w:val="00DE342D"/>
    <w:rsid w:val="00DE34C5"/>
    <w:rsid w:val="00DE3508"/>
    <w:rsid w:val="00DE354D"/>
    <w:rsid w:val="00DE3718"/>
    <w:rsid w:val="00DE3749"/>
    <w:rsid w:val="00DE39E4"/>
    <w:rsid w:val="00DE3A0C"/>
    <w:rsid w:val="00DE3A8E"/>
    <w:rsid w:val="00DE3B32"/>
    <w:rsid w:val="00DE3B36"/>
    <w:rsid w:val="00DE3C41"/>
    <w:rsid w:val="00DE4042"/>
    <w:rsid w:val="00DE4233"/>
    <w:rsid w:val="00DE4499"/>
    <w:rsid w:val="00DE44EA"/>
    <w:rsid w:val="00DE4531"/>
    <w:rsid w:val="00DE45E1"/>
    <w:rsid w:val="00DE4672"/>
    <w:rsid w:val="00DE4864"/>
    <w:rsid w:val="00DE489C"/>
    <w:rsid w:val="00DE491C"/>
    <w:rsid w:val="00DE4C7F"/>
    <w:rsid w:val="00DE4D74"/>
    <w:rsid w:val="00DE4E32"/>
    <w:rsid w:val="00DE4E86"/>
    <w:rsid w:val="00DE5050"/>
    <w:rsid w:val="00DE52B8"/>
    <w:rsid w:val="00DE5431"/>
    <w:rsid w:val="00DE577B"/>
    <w:rsid w:val="00DE5B53"/>
    <w:rsid w:val="00DE5BAC"/>
    <w:rsid w:val="00DE5C4B"/>
    <w:rsid w:val="00DE5D54"/>
    <w:rsid w:val="00DE5DA1"/>
    <w:rsid w:val="00DE5DB1"/>
    <w:rsid w:val="00DE5F89"/>
    <w:rsid w:val="00DE6154"/>
    <w:rsid w:val="00DE6565"/>
    <w:rsid w:val="00DE66FA"/>
    <w:rsid w:val="00DE67B2"/>
    <w:rsid w:val="00DE6818"/>
    <w:rsid w:val="00DE6847"/>
    <w:rsid w:val="00DE6A38"/>
    <w:rsid w:val="00DE6CD5"/>
    <w:rsid w:val="00DE6D55"/>
    <w:rsid w:val="00DE6D57"/>
    <w:rsid w:val="00DE6F91"/>
    <w:rsid w:val="00DE7006"/>
    <w:rsid w:val="00DE7123"/>
    <w:rsid w:val="00DE72B3"/>
    <w:rsid w:val="00DE73DE"/>
    <w:rsid w:val="00DE7667"/>
    <w:rsid w:val="00DE7753"/>
    <w:rsid w:val="00DE77FF"/>
    <w:rsid w:val="00DE7826"/>
    <w:rsid w:val="00DE7827"/>
    <w:rsid w:val="00DE7BEB"/>
    <w:rsid w:val="00DE7BED"/>
    <w:rsid w:val="00DE7CFE"/>
    <w:rsid w:val="00DE7D5B"/>
    <w:rsid w:val="00DE7F7C"/>
    <w:rsid w:val="00DE7FA5"/>
    <w:rsid w:val="00DE7FEA"/>
    <w:rsid w:val="00DF00EA"/>
    <w:rsid w:val="00DF00FB"/>
    <w:rsid w:val="00DF015B"/>
    <w:rsid w:val="00DF02F2"/>
    <w:rsid w:val="00DF0356"/>
    <w:rsid w:val="00DF0471"/>
    <w:rsid w:val="00DF047E"/>
    <w:rsid w:val="00DF04E5"/>
    <w:rsid w:val="00DF0B5E"/>
    <w:rsid w:val="00DF0D97"/>
    <w:rsid w:val="00DF11A2"/>
    <w:rsid w:val="00DF17C6"/>
    <w:rsid w:val="00DF1978"/>
    <w:rsid w:val="00DF19EC"/>
    <w:rsid w:val="00DF1A3C"/>
    <w:rsid w:val="00DF1D33"/>
    <w:rsid w:val="00DF1DC1"/>
    <w:rsid w:val="00DF1EFF"/>
    <w:rsid w:val="00DF20D5"/>
    <w:rsid w:val="00DF2346"/>
    <w:rsid w:val="00DF23D5"/>
    <w:rsid w:val="00DF23DD"/>
    <w:rsid w:val="00DF252B"/>
    <w:rsid w:val="00DF256D"/>
    <w:rsid w:val="00DF25D2"/>
    <w:rsid w:val="00DF2621"/>
    <w:rsid w:val="00DF2700"/>
    <w:rsid w:val="00DF2784"/>
    <w:rsid w:val="00DF2791"/>
    <w:rsid w:val="00DF27DC"/>
    <w:rsid w:val="00DF27F9"/>
    <w:rsid w:val="00DF282A"/>
    <w:rsid w:val="00DF2A31"/>
    <w:rsid w:val="00DF2ABF"/>
    <w:rsid w:val="00DF2E84"/>
    <w:rsid w:val="00DF304B"/>
    <w:rsid w:val="00DF3213"/>
    <w:rsid w:val="00DF35C1"/>
    <w:rsid w:val="00DF35D0"/>
    <w:rsid w:val="00DF367C"/>
    <w:rsid w:val="00DF37A9"/>
    <w:rsid w:val="00DF390E"/>
    <w:rsid w:val="00DF3A96"/>
    <w:rsid w:val="00DF3D04"/>
    <w:rsid w:val="00DF3D8F"/>
    <w:rsid w:val="00DF3EE0"/>
    <w:rsid w:val="00DF4012"/>
    <w:rsid w:val="00DF42F4"/>
    <w:rsid w:val="00DF4419"/>
    <w:rsid w:val="00DF4574"/>
    <w:rsid w:val="00DF46F7"/>
    <w:rsid w:val="00DF48EB"/>
    <w:rsid w:val="00DF499D"/>
    <w:rsid w:val="00DF4A21"/>
    <w:rsid w:val="00DF4C3D"/>
    <w:rsid w:val="00DF4E4C"/>
    <w:rsid w:val="00DF4EC0"/>
    <w:rsid w:val="00DF4FA0"/>
    <w:rsid w:val="00DF5361"/>
    <w:rsid w:val="00DF5425"/>
    <w:rsid w:val="00DF554A"/>
    <w:rsid w:val="00DF5574"/>
    <w:rsid w:val="00DF557F"/>
    <w:rsid w:val="00DF56E2"/>
    <w:rsid w:val="00DF57EE"/>
    <w:rsid w:val="00DF580B"/>
    <w:rsid w:val="00DF59EC"/>
    <w:rsid w:val="00DF59F6"/>
    <w:rsid w:val="00DF5AD0"/>
    <w:rsid w:val="00DF5BB1"/>
    <w:rsid w:val="00DF5EA6"/>
    <w:rsid w:val="00DF5F22"/>
    <w:rsid w:val="00DF5F50"/>
    <w:rsid w:val="00DF6059"/>
    <w:rsid w:val="00DF6385"/>
    <w:rsid w:val="00DF6432"/>
    <w:rsid w:val="00DF6436"/>
    <w:rsid w:val="00DF657B"/>
    <w:rsid w:val="00DF66CB"/>
    <w:rsid w:val="00DF66D1"/>
    <w:rsid w:val="00DF6722"/>
    <w:rsid w:val="00DF67AB"/>
    <w:rsid w:val="00DF67CD"/>
    <w:rsid w:val="00DF6849"/>
    <w:rsid w:val="00DF6860"/>
    <w:rsid w:val="00DF6926"/>
    <w:rsid w:val="00DF6947"/>
    <w:rsid w:val="00DF6993"/>
    <w:rsid w:val="00DF6A00"/>
    <w:rsid w:val="00DF6ADB"/>
    <w:rsid w:val="00DF6B37"/>
    <w:rsid w:val="00DF6BCC"/>
    <w:rsid w:val="00DF6C19"/>
    <w:rsid w:val="00DF6C6A"/>
    <w:rsid w:val="00DF6CBA"/>
    <w:rsid w:val="00DF6D33"/>
    <w:rsid w:val="00DF6D3D"/>
    <w:rsid w:val="00DF6D6B"/>
    <w:rsid w:val="00DF6D80"/>
    <w:rsid w:val="00DF70A3"/>
    <w:rsid w:val="00DF717B"/>
    <w:rsid w:val="00DF7309"/>
    <w:rsid w:val="00DF7978"/>
    <w:rsid w:val="00DF7C7E"/>
    <w:rsid w:val="00DF7CD1"/>
    <w:rsid w:val="00DF7D35"/>
    <w:rsid w:val="00DF7D8A"/>
    <w:rsid w:val="00DF7DB9"/>
    <w:rsid w:val="00DF7DBA"/>
    <w:rsid w:val="00DF7E03"/>
    <w:rsid w:val="00DF7F18"/>
    <w:rsid w:val="00DF7FCD"/>
    <w:rsid w:val="00E00342"/>
    <w:rsid w:val="00E0037E"/>
    <w:rsid w:val="00E003CF"/>
    <w:rsid w:val="00E003EA"/>
    <w:rsid w:val="00E0047A"/>
    <w:rsid w:val="00E00998"/>
    <w:rsid w:val="00E00B4C"/>
    <w:rsid w:val="00E00BA6"/>
    <w:rsid w:val="00E00D19"/>
    <w:rsid w:val="00E00EF6"/>
    <w:rsid w:val="00E00F71"/>
    <w:rsid w:val="00E00FC7"/>
    <w:rsid w:val="00E01035"/>
    <w:rsid w:val="00E010AE"/>
    <w:rsid w:val="00E010D5"/>
    <w:rsid w:val="00E01140"/>
    <w:rsid w:val="00E01186"/>
    <w:rsid w:val="00E01249"/>
    <w:rsid w:val="00E013F9"/>
    <w:rsid w:val="00E01426"/>
    <w:rsid w:val="00E01582"/>
    <w:rsid w:val="00E0192E"/>
    <w:rsid w:val="00E019C8"/>
    <w:rsid w:val="00E01A78"/>
    <w:rsid w:val="00E01DC6"/>
    <w:rsid w:val="00E01FF2"/>
    <w:rsid w:val="00E020E9"/>
    <w:rsid w:val="00E0211B"/>
    <w:rsid w:val="00E02162"/>
    <w:rsid w:val="00E022D6"/>
    <w:rsid w:val="00E02767"/>
    <w:rsid w:val="00E0279F"/>
    <w:rsid w:val="00E027B8"/>
    <w:rsid w:val="00E0287C"/>
    <w:rsid w:val="00E02B68"/>
    <w:rsid w:val="00E02DCE"/>
    <w:rsid w:val="00E02EA3"/>
    <w:rsid w:val="00E02FC0"/>
    <w:rsid w:val="00E0311B"/>
    <w:rsid w:val="00E03251"/>
    <w:rsid w:val="00E03260"/>
    <w:rsid w:val="00E032ED"/>
    <w:rsid w:val="00E034BE"/>
    <w:rsid w:val="00E036E7"/>
    <w:rsid w:val="00E0386D"/>
    <w:rsid w:val="00E0388B"/>
    <w:rsid w:val="00E038CE"/>
    <w:rsid w:val="00E03A71"/>
    <w:rsid w:val="00E03AA3"/>
    <w:rsid w:val="00E03BFD"/>
    <w:rsid w:val="00E03C75"/>
    <w:rsid w:val="00E03C7D"/>
    <w:rsid w:val="00E03C8E"/>
    <w:rsid w:val="00E03CE6"/>
    <w:rsid w:val="00E03D75"/>
    <w:rsid w:val="00E03E5C"/>
    <w:rsid w:val="00E03FA3"/>
    <w:rsid w:val="00E04176"/>
    <w:rsid w:val="00E04266"/>
    <w:rsid w:val="00E042CA"/>
    <w:rsid w:val="00E044BF"/>
    <w:rsid w:val="00E045EC"/>
    <w:rsid w:val="00E047E5"/>
    <w:rsid w:val="00E0486E"/>
    <w:rsid w:val="00E049FF"/>
    <w:rsid w:val="00E04A72"/>
    <w:rsid w:val="00E04BC2"/>
    <w:rsid w:val="00E04C68"/>
    <w:rsid w:val="00E04D05"/>
    <w:rsid w:val="00E04D60"/>
    <w:rsid w:val="00E04DBE"/>
    <w:rsid w:val="00E04DDB"/>
    <w:rsid w:val="00E04F1D"/>
    <w:rsid w:val="00E04F90"/>
    <w:rsid w:val="00E04FD4"/>
    <w:rsid w:val="00E04FD9"/>
    <w:rsid w:val="00E05116"/>
    <w:rsid w:val="00E05135"/>
    <w:rsid w:val="00E05277"/>
    <w:rsid w:val="00E053A6"/>
    <w:rsid w:val="00E053B0"/>
    <w:rsid w:val="00E0553D"/>
    <w:rsid w:val="00E05559"/>
    <w:rsid w:val="00E0565F"/>
    <w:rsid w:val="00E056AD"/>
    <w:rsid w:val="00E05828"/>
    <w:rsid w:val="00E0591D"/>
    <w:rsid w:val="00E059EF"/>
    <w:rsid w:val="00E05B2E"/>
    <w:rsid w:val="00E05C02"/>
    <w:rsid w:val="00E05C25"/>
    <w:rsid w:val="00E05E5B"/>
    <w:rsid w:val="00E060EF"/>
    <w:rsid w:val="00E0615D"/>
    <w:rsid w:val="00E062A7"/>
    <w:rsid w:val="00E064D4"/>
    <w:rsid w:val="00E06513"/>
    <w:rsid w:val="00E06691"/>
    <w:rsid w:val="00E066EA"/>
    <w:rsid w:val="00E0670C"/>
    <w:rsid w:val="00E0677D"/>
    <w:rsid w:val="00E06798"/>
    <w:rsid w:val="00E0699C"/>
    <w:rsid w:val="00E06CB7"/>
    <w:rsid w:val="00E06D6F"/>
    <w:rsid w:val="00E06F27"/>
    <w:rsid w:val="00E06F3A"/>
    <w:rsid w:val="00E06F3D"/>
    <w:rsid w:val="00E06F55"/>
    <w:rsid w:val="00E0714C"/>
    <w:rsid w:val="00E071C1"/>
    <w:rsid w:val="00E07394"/>
    <w:rsid w:val="00E074B9"/>
    <w:rsid w:val="00E075A8"/>
    <w:rsid w:val="00E077DA"/>
    <w:rsid w:val="00E0785A"/>
    <w:rsid w:val="00E07937"/>
    <w:rsid w:val="00E07947"/>
    <w:rsid w:val="00E079D4"/>
    <w:rsid w:val="00E079EC"/>
    <w:rsid w:val="00E07A72"/>
    <w:rsid w:val="00E07AA3"/>
    <w:rsid w:val="00E07AA7"/>
    <w:rsid w:val="00E07B7F"/>
    <w:rsid w:val="00E07BF8"/>
    <w:rsid w:val="00E07E39"/>
    <w:rsid w:val="00E07F3F"/>
    <w:rsid w:val="00E07F71"/>
    <w:rsid w:val="00E07F94"/>
    <w:rsid w:val="00E1000B"/>
    <w:rsid w:val="00E10010"/>
    <w:rsid w:val="00E101B4"/>
    <w:rsid w:val="00E103D9"/>
    <w:rsid w:val="00E103F5"/>
    <w:rsid w:val="00E10427"/>
    <w:rsid w:val="00E10700"/>
    <w:rsid w:val="00E1084A"/>
    <w:rsid w:val="00E1089D"/>
    <w:rsid w:val="00E10A88"/>
    <w:rsid w:val="00E10AFD"/>
    <w:rsid w:val="00E10B24"/>
    <w:rsid w:val="00E10F89"/>
    <w:rsid w:val="00E11575"/>
    <w:rsid w:val="00E1161D"/>
    <w:rsid w:val="00E116B9"/>
    <w:rsid w:val="00E1186B"/>
    <w:rsid w:val="00E118A2"/>
    <w:rsid w:val="00E11908"/>
    <w:rsid w:val="00E11A7B"/>
    <w:rsid w:val="00E11ABF"/>
    <w:rsid w:val="00E11BA9"/>
    <w:rsid w:val="00E11C7E"/>
    <w:rsid w:val="00E11CA8"/>
    <w:rsid w:val="00E11D24"/>
    <w:rsid w:val="00E11EE1"/>
    <w:rsid w:val="00E122CC"/>
    <w:rsid w:val="00E12425"/>
    <w:rsid w:val="00E1244A"/>
    <w:rsid w:val="00E1262F"/>
    <w:rsid w:val="00E12693"/>
    <w:rsid w:val="00E126DA"/>
    <w:rsid w:val="00E127AA"/>
    <w:rsid w:val="00E12961"/>
    <w:rsid w:val="00E129E7"/>
    <w:rsid w:val="00E12A4D"/>
    <w:rsid w:val="00E12BE1"/>
    <w:rsid w:val="00E12C14"/>
    <w:rsid w:val="00E12DAD"/>
    <w:rsid w:val="00E12F1A"/>
    <w:rsid w:val="00E1300A"/>
    <w:rsid w:val="00E1300F"/>
    <w:rsid w:val="00E13584"/>
    <w:rsid w:val="00E1367A"/>
    <w:rsid w:val="00E1368B"/>
    <w:rsid w:val="00E136D6"/>
    <w:rsid w:val="00E136DF"/>
    <w:rsid w:val="00E136F4"/>
    <w:rsid w:val="00E13747"/>
    <w:rsid w:val="00E137F6"/>
    <w:rsid w:val="00E1381B"/>
    <w:rsid w:val="00E138A5"/>
    <w:rsid w:val="00E1396A"/>
    <w:rsid w:val="00E13976"/>
    <w:rsid w:val="00E13B09"/>
    <w:rsid w:val="00E13B20"/>
    <w:rsid w:val="00E13B4F"/>
    <w:rsid w:val="00E13C97"/>
    <w:rsid w:val="00E13CB4"/>
    <w:rsid w:val="00E13D77"/>
    <w:rsid w:val="00E1403F"/>
    <w:rsid w:val="00E1453D"/>
    <w:rsid w:val="00E14673"/>
    <w:rsid w:val="00E1473B"/>
    <w:rsid w:val="00E14951"/>
    <w:rsid w:val="00E149A8"/>
    <w:rsid w:val="00E14A05"/>
    <w:rsid w:val="00E14A8D"/>
    <w:rsid w:val="00E14AC5"/>
    <w:rsid w:val="00E14B99"/>
    <w:rsid w:val="00E14CE7"/>
    <w:rsid w:val="00E14D8C"/>
    <w:rsid w:val="00E14F59"/>
    <w:rsid w:val="00E15026"/>
    <w:rsid w:val="00E15115"/>
    <w:rsid w:val="00E15230"/>
    <w:rsid w:val="00E1525D"/>
    <w:rsid w:val="00E1567C"/>
    <w:rsid w:val="00E158E1"/>
    <w:rsid w:val="00E1595A"/>
    <w:rsid w:val="00E1598B"/>
    <w:rsid w:val="00E15991"/>
    <w:rsid w:val="00E15B2D"/>
    <w:rsid w:val="00E15BC1"/>
    <w:rsid w:val="00E15FE3"/>
    <w:rsid w:val="00E16046"/>
    <w:rsid w:val="00E1627B"/>
    <w:rsid w:val="00E16543"/>
    <w:rsid w:val="00E16575"/>
    <w:rsid w:val="00E1658E"/>
    <w:rsid w:val="00E16871"/>
    <w:rsid w:val="00E168EA"/>
    <w:rsid w:val="00E16B25"/>
    <w:rsid w:val="00E16B9D"/>
    <w:rsid w:val="00E16C7C"/>
    <w:rsid w:val="00E16DE6"/>
    <w:rsid w:val="00E16E61"/>
    <w:rsid w:val="00E16E79"/>
    <w:rsid w:val="00E16E8D"/>
    <w:rsid w:val="00E1707E"/>
    <w:rsid w:val="00E17155"/>
    <w:rsid w:val="00E171C6"/>
    <w:rsid w:val="00E17259"/>
    <w:rsid w:val="00E172FE"/>
    <w:rsid w:val="00E17647"/>
    <w:rsid w:val="00E1775C"/>
    <w:rsid w:val="00E17ABE"/>
    <w:rsid w:val="00E17AC1"/>
    <w:rsid w:val="00E17C96"/>
    <w:rsid w:val="00E17D84"/>
    <w:rsid w:val="00E17E19"/>
    <w:rsid w:val="00E17EFA"/>
    <w:rsid w:val="00E17F4F"/>
    <w:rsid w:val="00E1EC78"/>
    <w:rsid w:val="00E20013"/>
    <w:rsid w:val="00E200EA"/>
    <w:rsid w:val="00E200F6"/>
    <w:rsid w:val="00E20107"/>
    <w:rsid w:val="00E2017B"/>
    <w:rsid w:val="00E202EB"/>
    <w:rsid w:val="00E20345"/>
    <w:rsid w:val="00E2049F"/>
    <w:rsid w:val="00E204B0"/>
    <w:rsid w:val="00E2072C"/>
    <w:rsid w:val="00E2076D"/>
    <w:rsid w:val="00E2078E"/>
    <w:rsid w:val="00E20868"/>
    <w:rsid w:val="00E20892"/>
    <w:rsid w:val="00E208F3"/>
    <w:rsid w:val="00E20B08"/>
    <w:rsid w:val="00E20C3F"/>
    <w:rsid w:val="00E20DF8"/>
    <w:rsid w:val="00E20E4E"/>
    <w:rsid w:val="00E20F52"/>
    <w:rsid w:val="00E20FCA"/>
    <w:rsid w:val="00E211A3"/>
    <w:rsid w:val="00E211C7"/>
    <w:rsid w:val="00E2125A"/>
    <w:rsid w:val="00E21323"/>
    <w:rsid w:val="00E21465"/>
    <w:rsid w:val="00E2146D"/>
    <w:rsid w:val="00E21525"/>
    <w:rsid w:val="00E215A8"/>
    <w:rsid w:val="00E215B1"/>
    <w:rsid w:val="00E2162F"/>
    <w:rsid w:val="00E2173C"/>
    <w:rsid w:val="00E21784"/>
    <w:rsid w:val="00E21872"/>
    <w:rsid w:val="00E2188C"/>
    <w:rsid w:val="00E21902"/>
    <w:rsid w:val="00E219C4"/>
    <w:rsid w:val="00E21ABD"/>
    <w:rsid w:val="00E21ADD"/>
    <w:rsid w:val="00E21B71"/>
    <w:rsid w:val="00E21BDF"/>
    <w:rsid w:val="00E21C24"/>
    <w:rsid w:val="00E21F56"/>
    <w:rsid w:val="00E22075"/>
    <w:rsid w:val="00E22110"/>
    <w:rsid w:val="00E222B6"/>
    <w:rsid w:val="00E222BB"/>
    <w:rsid w:val="00E222E0"/>
    <w:rsid w:val="00E22601"/>
    <w:rsid w:val="00E227AC"/>
    <w:rsid w:val="00E227F6"/>
    <w:rsid w:val="00E228C7"/>
    <w:rsid w:val="00E228FB"/>
    <w:rsid w:val="00E22BEC"/>
    <w:rsid w:val="00E22C7D"/>
    <w:rsid w:val="00E22D41"/>
    <w:rsid w:val="00E22DF6"/>
    <w:rsid w:val="00E22EE7"/>
    <w:rsid w:val="00E22F0B"/>
    <w:rsid w:val="00E2311A"/>
    <w:rsid w:val="00E23430"/>
    <w:rsid w:val="00E235E6"/>
    <w:rsid w:val="00E2363F"/>
    <w:rsid w:val="00E23848"/>
    <w:rsid w:val="00E23850"/>
    <w:rsid w:val="00E2386F"/>
    <w:rsid w:val="00E239EB"/>
    <w:rsid w:val="00E239FC"/>
    <w:rsid w:val="00E23A7F"/>
    <w:rsid w:val="00E23AAE"/>
    <w:rsid w:val="00E23B71"/>
    <w:rsid w:val="00E23CC2"/>
    <w:rsid w:val="00E23D41"/>
    <w:rsid w:val="00E23E01"/>
    <w:rsid w:val="00E23EA7"/>
    <w:rsid w:val="00E2413D"/>
    <w:rsid w:val="00E243FB"/>
    <w:rsid w:val="00E24573"/>
    <w:rsid w:val="00E245D1"/>
    <w:rsid w:val="00E246A9"/>
    <w:rsid w:val="00E246CC"/>
    <w:rsid w:val="00E246CD"/>
    <w:rsid w:val="00E2485C"/>
    <w:rsid w:val="00E2492D"/>
    <w:rsid w:val="00E24CDE"/>
    <w:rsid w:val="00E24D8D"/>
    <w:rsid w:val="00E24FF1"/>
    <w:rsid w:val="00E25169"/>
    <w:rsid w:val="00E25278"/>
    <w:rsid w:val="00E25297"/>
    <w:rsid w:val="00E2532B"/>
    <w:rsid w:val="00E25352"/>
    <w:rsid w:val="00E25353"/>
    <w:rsid w:val="00E255CA"/>
    <w:rsid w:val="00E25614"/>
    <w:rsid w:val="00E2581A"/>
    <w:rsid w:val="00E258E1"/>
    <w:rsid w:val="00E2595B"/>
    <w:rsid w:val="00E25AE6"/>
    <w:rsid w:val="00E25B5D"/>
    <w:rsid w:val="00E25BDB"/>
    <w:rsid w:val="00E25F39"/>
    <w:rsid w:val="00E25F76"/>
    <w:rsid w:val="00E261E9"/>
    <w:rsid w:val="00E2635D"/>
    <w:rsid w:val="00E2637C"/>
    <w:rsid w:val="00E26408"/>
    <w:rsid w:val="00E26472"/>
    <w:rsid w:val="00E266A4"/>
    <w:rsid w:val="00E2688D"/>
    <w:rsid w:val="00E26AD0"/>
    <w:rsid w:val="00E26AF0"/>
    <w:rsid w:val="00E26B54"/>
    <w:rsid w:val="00E26D6D"/>
    <w:rsid w:val="00E26DD4"/>
    <w:rsid w:val="00E26EF9"/>
    <w:rsid w:val="00E270F4"/>
    <w:rsid w:val="00E272FA"/>
    <w:rsid w:val="00E2738C"/>
    <w:rsid w:val="00E274F6"/>
    <w:rsid w:val="00E2750D"/>
    <w:rsid w:val="00E277A5"/>
    <w:rsid w:val="00E27801"/>
    <w:rsid w:val="00E27899"/>
    <w:rsid w:val="00E2789C"/>
    <w:rsid w:val="00E27BF8"/>
    <w:rsid w:val="00E27CC1"/>
    <w:rsid w:val="00E27D59"/>
    <w:rsid w:val="00E27EF8"/>
    <w:rsid w:val="00E27F44"/>
    <w:rsid w:val="00E27FFA"/>
    <w:rsid w:val="00E3009E"/>
    <w:rsid w:val="00E300DF"/>
    <w:rsid w:val="00E30117"/>
    <w:rsid w:val="00E3020F"/>
    <w:rsid w:val="00E30213"/>
    <w:rsid w:val="00E30226"/>
    <w:rsid w:val="00E302FE"/>
    <w:rsid w:val="00E30411"/>
    <w:rsid w:val="00E3044C"/>
    <w:rsid w:val="00E304B9"/>
    <w:rsid w:val="00E3050A"/>
    <w:rsid w:val="00E3063F"/>
    <w:rsid w:val="00E30842"/>
    <w:rsid w:val="00E308EE"/>
    <w:rsid w:val="00E30AD4"/>
    <w:rsid w:val="00E30B9F"/>
    <w:rsid w:val="00E30E18"/>
    <w:rsid w:val="00E30F97"/>
    <w:rsid w:val="00E3115A"/>
    <w:rsid w:val="00E31517"/>
    <w:rsid w:val="00E3151C"/>
    <w:rsid w:val="00E31571"/>
    <w:rsid w:val="00E315DF"/>
    <w:rsid w:val="00E31632"/>
    <w:rsid w:val="00E316E1"/>
    <w:rsid w:val="00E3177D"/>
    <w:rsid w:val="00E31B31"/>
    <w:rsid w:val="00E31D33"/>
    <w:rsid w:val="00E31DB9"/>
    <w:rsid w:val="00E31E1E"/>
    <w:rsid w:val="00E31EA1"/>
    <w:rsid w:val="00E32215"/>
    <w:rsid w:val="00E324EA"/>
    <w:rsid w:val="00E32A49"/>
    <w:rsid w:val="00E32B71"/>
    <w:rsid w:val="00E32DE0"/>
    <w:rsid w:val="00E32E39"/>
    <w:rsid w:val="00E32E5A"/>
    <w:rsid w:val="00E32E74"/>
    <w:rsid w:val="00E32ECC"/>
    <w:rsid w:val="00E33032"/>
    <w:rsid w:val="00E33160"/>
    <w:rsid w:val="00E33235"/>
    <w:rsid w:val="00E33292"/>
    <w:rsid w:val="00E332DB"/>
    <w:rsid w:val="00E33537"/>
    <w:rsid w:val="00E33638"/>
    <w:rsid w:val="00E338CD"/>
    <w:rsid w:val="00E338D3"/>
    <w:rsid w:val="00E339EB"/>
    <w:rsid w:val="00E33B0F"/>
    <w:rsid w:val="00E33BA2"/>
    <w:rsid w:val="00E33C29"/>
    <w:rsid w:val="00E33D6A"/>
    <w:rsid w:val="00E33D7D"/>
    <w:rsid w:val="00E33DE0"/>
    <w:rsid w:val="00E33FA2"/>
    <w:rsid w:val="00E340FC"/>
    <w:rsid w:val="00E34245"/>
    <w:rsid w:val="00E34609"/>
    <w:rsid w:val="00E346BF"/>
    <w:rsid w:val="00E346DE"/>
    <w:rsid w:val="00E348F7"/>
    <w:rsid w:val="00E34984"/>
    <w:rsid w:val="00E34C5B"/>
    <w:rsid w:val="00E34D50"/>
    <w:rsid w:val="00E34F0D"/>
    <w:rsid w:val="00E350FB"/>
    <w:rsid w:val="00E351C8"/>
    <w:rsid w:val="00E352CF"/>
    <w:rsid w:val="00E35436"/>
    <w:rsid w:val="00E35545"/>
    <w:rsid w:val="00E355FC"/>
    <w:rsid w:val="00E35648"/>
    <w:rsid w:val="00E3573C"/>
    <w:rsid w:val="00E3579A"/>
    <w:rsid w:val="00E35AAF"/>
    <w:rsid w:val="00E35BC1"/>
    <w:rsid w:val="00E35C50"/>
    <w:rsid w:val="00E35D06"/>
    <w:rsid w:val="00E35DCE"/>
    <w:rsid w:val="00E35DF7"/>
    <w:rsid w:val="00E35FD3"/>
    <w:rsid w:val="00E3619D"/>
    <w:rsid w:val="00E36833"/>
    <w:rsid w:val="00E36905"/>
    <w:rsid w:val="00E36A58"/>
    <w:rsid w:val="00E36ADF"/>
    <w:rsid w:val="00E36BC1"/>
    <w:rsid w:val="00E36C90"/>
    <w:rsid w:val="00E36D0C"/>
    <w:rsid w:val="00E36D75"/>
    <w:rsid w:val="00E36E02"/>
    <w:rsid w:val="00E36E3A"/>
    <w:rsid w:val="00E36F8E"/>
    <w:rsid w:val="00E370A5"/>
    <w:rsid w:val="00E3712C"/>
    <w:rsid w:val="00E3715E"/>
    <w:rsid w:val="00E372C0"/>
    <w:rsid w:val="00E37324"/>
    <w:rsid w:val="00E3737F"/>
    <w:rsid w:val="00E3744B"/>
    <w:rsid w:val="00E3756A"/>
    <w:rsid w:val="00E3756E"/>
    <w:rsid w:val="00E375EA"/>
    <w:rsid w:val="00E375EF"/>
    <w:rsid w:val="00E377D7"/>
    <w:rsid w:val="00E37A10"/>
    <w:rsid w:val="00E37CE9"/>
    <w:rsid w:val="00E37D67"/>
    <w:rsid w:val="00E37D98"/>
    <w:rsid w:val="00E37DAE"/>
    <w:rsid w:val="00E37E58"/>
    <w:rsid w:val="00E37FB0"/>
    <w:rsid w:val="00E37FC9"/>
    <w:rsid w:val="00E400D3"/>
    <w:rsid w:val="00E400E4"/>
    <w:rsid w:val="00E4026A"/>
    <w:rsid w:val="00E402C4"/>
    <w:rsid w:val="00E40441"/>
    <w:rsid w:val="00E40506"/>
    <w:rsid w:val="00E405A5"/>
    <w:rsid w:val="00E40649"/>
    <w:rsid w:val="00E40792"/>
    <w:rsid w:val="00E407F2"/>
    <w:rsid w:val="00E40B58"/>
    <w:rsid w:val="00E40D0E"/>
    <w:rsid w:val="00E40E1E"/>
    <w:rsid w:val="00E41292"/>
    <w:rsid w:val="00E41310"/>
    <w:rsid w:val="00E41363"/>
    <w:rsid w:val="00E4188A"/>
    <w:rsid w:val="00E418A5"/>
    <w:rsid w:val="00E419DF"/>
    <w:rsid w:val="00E41A19"/>
    <w:rsid w:val="00E41AB6"/>
    <w:rsid w:val="00E41B3A"/>
    <w:rsid w:val="00E41B7F"/>
    <w:rsid w:val="00E41BDB"/>
    <w:rsid w:val="00E41D46"/>
    <w:rsid w:val="00E41D7A"/>
    <w:rsid w:val="00E41DD0"/>
    <w:rsid w:val="00E41ECC"/>
    <w:rsid w:val="00E41F4B"/>
    <w:rsid w:val="00E4207B"/>
    <w:rsid w:val="00E42156"/>
    <w:rsid w:val="00E4215E"/>
    <w:rsid w:val="00E42208"/>
    <w:rsid w:val="00E422D1"/>
    <w:rsid w:val="00E424DD"/>
    <w:rsid w:val="00E42502"/>
    <w:rsid w:val="00E42632"/>
    <w:rsid w:val="00E426B2"/>
    <w:rsid w:val="00E42814"/>
    <w:rsid w:val="00E4281C"/>
    <w:rsid w:val="00E42862"/>
    <w:rsid w:val="00E42978"/>
    <w:rsid w:val="00E42A3E"/>
    <w:rsid w:val="00E42A6B"/>
    <w:rsid w:val="00E42EAF"/>
    <w:rsid w:val="00E42ECD"/>
    <w:rsid w:val="00E42EF2"/>
    <w:rsid w:val="00E430B0"/>
    <w:rsid w:val="00E4318F"/>
    <w:rsid w:val="00E4323B"/>
    <w:rsid w:val="00E4324E"/>
    <w:rsid w:val="00E432F8"/>
    <w:rsid w:val="00E43370"/>
    <w:rsid w:val="00E43372"/>
    <w:rsid w:val="00E4340D"/>
    <w:rsid w:val="00E43495"/>
    <w:rsid w:val="00E43908"/>
    <w:rsid w:val="00E43AD4"/>
    <w:rsid w:val="00E43B0D"/>
    <w:rsid w:val="00E43FA9"/>
    <w:rsid w:val="00E43FAE"/>
    <w:rsid w:val="00E44045"/>
    <w:rsid w:val="00E440C0"/>
    <w:rsid w:val="00E4410F"/>
    <w:rsid w:val="00E443BF"/>
    <w:rsid w:val="00E444EA"/>
    <w:rsid w:val="00E447D5"/>
    <w:rsid w:val="00E4491A"/>
    <w:rsid w:val="00E4494F"/>
    <w:rsid w:val="00E449A0"/>
    <w:rsid w:val="00E449E5"/>
    <w:rsid w:val="00E44A06"/>
    <w:rsid w:val="00E44B0F"/>
    <w:rsid w:val="00E44B5C"/>
    <w:rsid w:val="00E44BFA"/>
    <w:rsid w:val="00E44C71"/>
    <w:rsid w:val="00E44E65"/>
    <w:rsid w:val="00E44EA3"/>
    <w:rsid w:val="00E4503A"/>
    <w:rsid w:val="00E453A4"/>
    <w:rsid w:val="00E45410"/>
    <w:rsid w:val="00E455A5"/>
    <w:rsid w:val="00E45624"/>
    <w:rsid w:val="00E456A2"/>
    <w:rsid w:val="00E45A3D"/>
    <w:rsid w:val="00E45A5D"/>
    <w:rsid w:val="00E45C0A"/>
    <w:rsid w:val="00E45E13"/>
    <w:rsid w:val="00E45E18"/>
    <w:rsid w:val="00E46194"/>
    <w:rsid w:val="00E46291"/>
    <w:rsid w:val="00E46322"/>
    <w:rsid w:val="00E46336"/>
    <w:rsid w:val="00E4640B"/>
    <w:rsid w:val="00E4646B"/>
    <w:rsid w:val="00E4650B"/>
    <w:rsid w:val="00E4676B"/>
    <w:rsid w:val="00E46871"/>
    <w:rsid w:val="00E46ADD"/>
    <w:rsid w:val="00E46DE1"/>
    <w:rsid w:val="00E46E54"/>
    <w:rsid w:val="00E46F3B"/>
    <w:rsid w:val="00E46F91"/>
    <w:rsid w:val="00E46FA5"/>
    <w:rsid w:val="00E470FC"/>
    <w:rsid w:val="00E471A9"/>
    <w:rsid w:val="00E471E9"/>
    <w:rsid w:val="00E475DC"/>
    <w:rsid w:val="00E476C1"/>
    <w:rsid w:val="00E47719"/>
    <w:rsid w:val="00E477A9"/>
    <w:rsid w:val="00E4790C"/>
    <w:rsid w:val="00E47A44"/>
    <w:rsid w:val="00E47B2C"/>
    <w:rsid w:val="00E47C34"/>
    <w:rsid w:val="00E47DAA"/>
    <w:rsid w:val="00E47E86"/>
    <w:rsid w:val="00E47FE9"/>
    <w:rsid w:val="00E47FEE"/>
    <w:rsid w:val="00E5035B"/>
    <w:rsid w:val="00E505E5"/>
    <w:rsid w:val="00E50830"/>
    <w:rsid w:val="00E50B3B"/>
    <w:rsid w:val="00E50B8F"/>
    <w:rsid w:val="00E50CB4"/>
    <w:rsid w:val="00E50CC1"/>
    <w:rsid w:val="00E50DAE"/>
    <w:rsid w:val="00E50F3C"/>
    <w:rsid w:val="00E50F7B"/>
    <w:rsid w:val="00E51077"/>
    <w:rsid w:val="00E51080"/>
    <w:rsid w:val="00E510C5"/>
    <w:rsid w:val="00E51193"/>
    <w:rsid w:val="00E512D1"/>
    <w:rsid w:val="00E51408"/>
    <w:rsid w:val="00E51581"/>
    <w:rsid w:val="00E515C4"/>
    <w:rsid w:val="00E51601"/>
    <w:rsid w:val="00E517CF"/>
    <w:rsid w:val="00E519BC"/>
    <w:rsid w:val="00E519FA"/>
    <w:rsid w:val="00E519FB"/>
    <w:rsid w:val="00E51B74"/>
    <w:rsid w:val="00E51B89"/>
    <w:rsid w:val="00E51BC3"/>
    <w:rsid w:val="00E51C73"/>
    <w:rsid w:val="00E51DC9"/>
    <w:rsid w:val="00E51F34"/>
    <w:rsid w:val="00E51FF4"/>
    <w:rsid w:val="00E52186"/>
    <w:rsid w:val="00E521A2"/>
    <w:rsid w:val="00E521B9"/>
    <w:rsid w:val="00E5230F"/>
    <w:rsid w:val="00E52356"/>
    <w:rsid w:val="00E5235F"/>
    <w:rsid w:val="00E523AF"/>
    <w:rsid w:val="00E52549"/>
    <w:rsid w:val="00E529D4"/>
    <w:rsid w:val="00E52A8F"/>
    <w:rsid w:val="00E52ACF"/>
    <w:rsid w:val="00E52B13"/>
    <w:rsid w:val="00E52C8B"/>
    <w:rsid w:val="00E52F0B"/>
    <w:rsid w:val="00E52F3D"/>
    <w:rsid w:val="00E5306D"/>
    <w:rsid w:val="00E531A2"/>
    <w:rsid w:val="00E53331"/>
    <w:rsid w:val="00E534D9"/>
    <w:rsid w:val="00E5356B"/>
    <w:rsid w:val="00E53590"/>
    <w:rsid w:val="00E53625"/>
    <w:rsid w:val="00E536EE"/>
    <w:rsid w:val="00E536F4"/>
    <w:rsid w:val="00E5382C"/>
    <w:rsid w:val="00E53973"/>
    <w:rsid w:val="00E53A0C"/>
    <w:rsid w:val="00E53A84"/>
    <w:rsid w:val="00E53B3D"/>
    <w:rsid w:val="00E53BE8"/>
    <w:rsid w:val="00E53D0F"/>
    <w:rsid w:val="00E53FD7"/>
    <w:rsid w:val="00E540FB"/>
    <w:rsid w:val="00E543A3"/>
    <w:rsid w:val="00E54859"/>
    <w:rsid w:val="00E5487F"/>
    <w:rsid w:val="00E548C5"/>
    <w:rsid w:val="00E54AA5"/>
    <w:rsid w:val="00E54FAC"/>
    <w:rsid w:val="00E54FFE"/>
    <w:rsid w:val="00E550C8"/>
    <w:rsid w:val="00E55177"/>
    <w:rsid w:val="00E551B4"/>
    <w:rsid w:val="00E555A1"/>
    <w:rsid w:val="00E55A58"/>
    <w:rsid w:val="00E55B91"/>
    <w:rsid w:val="00E55C3C"/>
    <w:rsid w:val="00E55E7E"/>
    <w:rsid w:val="00E55EF7"/>
    <w:rsid w:val="00E560DE"/>
    <w:rsid w:val="00E5632A"/>
    <w:rsid w:val="00E56349"/>
    <w:rsid w:val="00E56586"/>
    <w:rsid w:val="00E56796"/>
    <w:rsid w:val="00E56A3E"/>
    <w:rsid w:val="00E56B40"/>
    <w:rsid w:val="00E56B7D"/>
    <w:rsid w:val="00E56F03"/>
    <w:rsid w:val="00E56FD6"/>
    <w:rsid w:val="00E570B5"/>
    <w:rsid w:val="00E5727C"/>
    <w:rsid w:val="00E573DA"/>
    <w:rsid w:val="00E574A7"/>
    <w:rsid w:val="00E574D7"/>
    <w:rsid w:val="00E574F4"/>
    <w:rsid w:val="00E57532"/>
    <w:rsid w:val="00E575CF"/>
    <w:rsid w:val="00E57620"/>
    <w:rsid w:val="00E57628"/>
    <w:rsid w:val="00E57670"/>
    <w:rsid w:val="00E576D0"/>
    <w:rsid w:val="00E577AE"/>
    <w:rsid w:val="00E57CE2"/>
    <w:rsid w:val="00E57DE8"/>
    <w:rsid w:val="00E57E99"/>
    <w:rsid w:val="00E57F7A"/>
    <w:rsid w:val="00E6010A"/>
    <w:rsid w:val="00E60123"/>
    <w:rsid w:val="00E601BA"/>
    <w:rsid w:val="00E60249"/>
    <w:rsid w:val="00E602E9"/>
    <w:rsid w:val="00E603F0"/>
    <w:rsid w:val="00E60419"/>
    <w:rsid w:val="00E6045C"/>
    <w:rsid w:val="00E604FA"/>
    <w:rsid w:val="00E60699"/>
    <w:rsid w:val="00E607E8"/>
    <w:rsid w:val="00E60802"/>
    <w:rsid w:val="00E609A8"/>
    <w:rsid w:val="00E609F2"/>
    <w:rsid w:val="00E60A4C"/>
    <w:rsid w:val="00E60DFA"/>
    <w:rsid w:val="00E60F34"/>
    <w:rsid w:val="00E61119"/>
    <w:rsid w:val="00E6130D"/>
    <w:rsid w:val="00E61318"/>
    <w:rsid w:val="00E613BF"/>
    <w:rsid w:val="00E61531"/>
    <w:rsid w:val="00E61556"/>
    <w:rsid w:val="00E616A3"/>
    <w:rsid w:val="00E616D1"/>
    <w:rsid w:val="00E616F5"/>
    <w:rsid w:val="00E61792"/>
    <w:rsid w:val="00E61884"/>
    <w:rsid w:val="00E61944"/>
    <w:rsid w:val="00E61A61"/>
    <w:rsid w:val="00E61B84"/>
    <w:rsid w:val="00E61E4C"/>
    <w:rsid w:val="00E61FB7"/>
    <w:rsid w:val="00E620C1"/>
    <w:rsid w:val="00E6214D"/>
    <w:rsid w:val="00E621EC"/>
    <w:rsid w:val="00E622FF"/>
    <w:rsid w:val="00E623DC"/>
    <w:rsid w:val="00E62732"/>
    <w:rsid w:val="00E62752"/>
    <w:rsid w:val="00E627CB"/>
    <w:rsid w:val="00E6288F"/>
    <w:rsid w:val="00E62B13"/>
    <w:rsid w:val="00E62D31"/>
    <w:rsid w:val="00E62DF3"/>
    <w:rsid w:val="00E62F26"/>
    <w:rsid w:val="00E62FF1"/>
    <w:rsid w:val="00E63095"/>
    <w:rsid w:val="00E63304"/>
    <w:rsid w:val="00E6330B"/>
    <w:rsid w:val="00E6331E"/>
    <w:rsid w:val="00E63554"/>
    <w:rsid w:val="00E6359C"/>
    <w:rsid w:val="00E63644"/>
    <w:rsid w:val="00E638D3"/>
    <w:rsid w:val="00E6392C"/>
    <w:rsid w:val="00E6395C"/>
    <w:rsid w:val="00E63991"/>
    <w:rsid w:val="00E63A13"/>
    <w:rsid w:val="00E63A2A"/>
    <w:rsid w:val="00E63AE4"/>
    <w:rsid w:val="00E63B8E"/>
    <w:rsid w:val="00E63E21"/>
    <w:rsid w:val="00E63E79"/>
    <w:rsid w:val="00E63F18"/>
    <w:rsid w:val="00E63F32"/>
    <w:rsid w:val="00E6401C"/>
    <w:rsid w:val="00E64055"/>
    <w:rsid w:val="00E64124"/>
    <w:rsid w:val="00E641BE"/>
    <w:rsid w:val="00E6424C"/>
    <w:rsid w:val="00E6428B"/>
    <w:rsid w:val="00E642D8"/>
    <w:rsid w:val="00E643AD"/>
    <w:rsid w:val="00E6480B"/>
    <w:rsid w:val="00E6496D"/>
    <w:rsid w:val="00E64ADF"/>
    <w:rsid w:val="00E64CB6"/>
    <w:rsid w:val="00E64D1F"/>
    <w:rsid w:val="00E65153"/>
    <w:rsid w:val="00E65291"/>
    <w:rsid w:val="00E654D0"/>
    <w:rsid w:val="00E655ED"/>
    <w:rsid w:val="00E65629"/>
    <w:rsid w:val="00E65698"/>
    <w:rsid w:val="00E657FE"/>
    <w:rsid w:val="00E6587A"/>
    <w:rsid w:val="00E6591D"/>
    <w:rsid w:val="00E65B69"/>
    <w:rsid w:val="00E65BAA"/>
    <w:rsid w:val="00E65C8C"/>
    <w:rsid w:val="00E65E66"/>
    <w:rsid w:val="00E66164"/>
    <w:rsid w:val="00E6625A"/>
    <w:rsid w:val="00E664CC"/>
    <w:rsid w:val="00E6670D"/>
    <w:rsid w:val="00E667F5"/>
    <w:rsid w:val="00E6680F"/>
    <w:rsid w:val="00E66AF3"/>
    <w:rsid w:val="00E66B57"/>
    <w:rsid w:val="00E66CD7"/>
    <w:rsid w:val="00E66CE0"/>
    <w:rsid w:val="00E66FE2"/>
    <w:rsid w:val="00E670A4"/>
    <w:rsid w:val="00E672B1"/>
    <w:rsid w:val="00E67335"/>
    <w:rsid w:val="00E67401"/>
    <w:rsid w:val="00E6753B"/>
    <w:rsid w:val="00E675F4"/>
    <w:rsid w:val="00E676A8"/>
    <w:rsid w:val="00E67747"/>
    <w:rsid w:val="00E67917"/>
    <w:rsid w:val="00E67B2F"/>
    <w:rsid w:val="00E67D4B"/>
    <w:rsid w:val="00E67D61"/>
    <w:rsid w:val="00E67D6E"/>
    <w:rsid w:val="00E67E10"/>
    <w:rsid w:val="00E67E3A"/>
    <w:rsid w:val="00E67E53"/>
    <w:rsid w:val="00E67F11"/>
    <w:rsid w:val="00E67FE0"/>
    <w:rsid w:val="00E70317"/>
    <w:rsid w:val="00E7040B"/>
    <w:rsid w:val="00E704C7"/>
    <w:rsid w:val="00E70536"/>
    <w:rsid w:val="00E709CC"/>
    <w:rsid w:val="00E70B01"/>
    <w:rsid w:val="00E70D33"/>
    <w:rsid w:val="00E70E2A"/>
    <w:rsid w:val="00E70FC1"/>
    <w:rsid w:val="00E710AE"/>
    <w:rsid w:val="00E710D1"/>
    <w:rsid w:val="00E711BD"/>
    <w:rsid w:val="00E711FF"/>
    <w:rsid w:val="00E71201"/>
    <w:rsid w:val="00E7127A"/>
    <w:rsid w:val="00E712EB"/>
    <w:rsid w:val="00E713C5"/>
    <w:rsid w:val="00E715C5"/>
    <w:rsid w:val="00E71650"/>
    <w:rsid w:val="00E71814"/>
    <w:rsid w:val="00E71826"/>
    <w:rsid w:val="00E71B9C"/>
    <w:rsid w:val="00E71DCC"/>
    <w:rsid w:val="00E71E6C"/>
    <w:rsid w:val="00E71F00"/>
    <w:rsid w:val="00E72084"/>
    <w:rsid w:val="00E720AB"/>
    <w:rsid w:val="00E724A4"/>
    <w:rsid w:val="00E724CB"/>
    <w:rsid w:val="00E7251F"/>
    <w:rsid w:val="00E7257D"/>
    <w:rsid w:val="00E7275F"/>
    <w:rsid w:val="00E729CE"/>
    <w:rsid w:val="00E72ADF"/>
    <w:rsid w:val="00E72E07"/>
    <w:rsid w:val="00E72E31"/>
    <w:rsid w:val="00E72EEA"/>
    <w:rsid w:val="00E7306A"/>
    <w:rsid w:val="00E730CC"/>
    <w:rsid w:val="00E73187"/>
    <w:rsid w:val="00E733E7"/>
    <w:rsid w:val="00E734D9"/>
    <w:rsid w:val="00E734EA"/>
    <w:rsid w:val="00E7365C"/>
    <w:rsid w:val="00E73668"/>
    <w:rsid w:val="00E738D1"/>
    <w:rsid w:val="00E73965"/>
    <w:rsid w:val="00E73B55"/>
    <w:rsid w:val="00E73B7F"/>
    <w:rsid w:val="00E73BBD"/>
    <w:rsid w:val="00E73C41"/>
    <w:rsid w:val="00E73D14"/>
    <w:rsid w:val="00E73DA8"/>
    <w:rsid w:val="00E73DAB"/>
    <w:rsid w:val="00E73E5F"/>
    <w:rsid w:val="00E73F9F"/>
    <w:rsid w:val="00E74226"/>
    <w:rsid w:val="00E7422B"/>
    <w:rsid w:val="00E7424C"/>
    <w:rsid w:val="00E74400"/>
    <w:rsid w:val="00E7441A"/>
    <w:rsid w:val="00E744B4"/>
    <w:rsid w:val="00E744B5"/>
    <w:rsid w:val="00E744E7"/>
    <w:rsid w:val="00E74513"/>
    <w:rsid w:val="00E74517"/>
    <w:rsid w:val="00E74564"/>
    <w:rsid w:val="00E7479F"/>
    <w:rsid w:val="00E747A6"/>
    <w:rsid w:val="00E7488D"/>
    <w:rsid w:val="00E7492C"/>
    <w:rsid w:val="00E7496E"/>
    <w:rsid w:val="00E74B26"/>
    <w:rsid w:val="00E74B94"/>
    <w:rsid w:val="00E74C50"/>
    <w:rsid w:val="00E74D65"/>
    <w:rsid w:val="00E74DDF"/>
    <w:rsid w:val="00E74E88"/>
    <w:rsid w:val="00E74F9B"/>
    <w:rsid w:val="00E75055"/>
    <w:rsid w:val="00E750E9"/>
    <w:rsid w:val="00E7535F"/>
    <w:rsid w:val="00E753D2"/>
    <w:rsid w:val="00E7556E"/>
    <w:rsid w:val="00E756B9"/>
    <w:rsid w:val="00E75887"/>
    <w:rsid w:val="00E75927"/>
    <w:rsid w:val="00E75952"/>
    <w:rsid w:val="00E75A67"/>
    <w:rsid w:val="00E75B95"/>
    <w:rsid w:val="00E75C75"/>
    <w:rsid w:val="00E75DE5"/>
    <w:rsid w:val="00E75E12"/>
    <w:rsid w:val="00E75F35"/>
    <w:rsid w:val="00E75FD8"/>
    <w:rsid w:val="00E7608E"/>
    <w:rsid w:val="00E76170"/>
    <w:rsid w:val="00E761BE"/>
    <w:rsid w:val="00E76392"/>
    <w:rsid w:val="00E765C3"/>
    <w:rsid w:val="00E76600"/>
    <w:rsid w:val="00E7684D"/>
    <w:rsid w:val="00E76B72"/>
    <w:rsid w:val="00E76D7B"/>
    <w:rsid w:val="00E76F4D"/>
    <w:rsid w:val="00E7714F"/>
    <w:rsid w:val="00E772EC"/>
    <w:rsid w:val="00E7737C"/>
    <w:rsid w:val="00E77804"/>
    <w:rsid w:val="00E7787C"/>
    <w:rsid w:val="00E77AAC"/>
    <w:rsid w:val="00E77BFA"/>
    <w:rsid w:val="00E77FAA"/>
    <w:rsid w:val="00E800B5"/>
    <w:rsid w:val="00E80515"/>
    <w:rsid w:val="00E806E0"/>
    <w:rsid w:val="00E80831"/>
    <w:rsid w:val="00E80852"/>
    <w:rsid w:val="00E80A29"/>
    <w:rsid w:val="00E80A9E"/>
    <w:rsid w:val="00E80C27"/>
    <w:rsid w:val="00E80C56"/>
    <w:rsid w:val="00E80D80"/>
    <w:rsid w:val="00E80DA1"/>
    <w:rsid w:val="00E80F15"/>
    <w:rsid w:val="00E81025"/>
    <w:rsid w:val="00E81238"/>
    <w:rsid w:val="00E812ED"/>
    <w:rsid w:val="00E81351"/>
    <w:rsid w:val="00E813BF"/>
    <w:rsid w:val="00E8153A"/>
    <w:rsid w:val="00E81613"/>
    <w:rsid w:val="00E81940"/>
    <w:rsid w:val="00E819D1"/>
    <w:rsid w:val="00E81C2D"/>
    <w:rsid w:val="00E81F17"/>
    <w:rsid w:val="00E81FCA"/>
    <w:rsid w:val="00E822C8"/>
    <w:rsid w:val="00E823FE"/>
    <w:rsid w:val="00E82464"/>
    <w:rsid w:val="00E824C6"/>
    <w:rsid w:val="00E82580"/>
    <w:rsid w:val="00E82710"/>
    <w:rsid w:val="00E827F7"/>
    <w:rsid w:val="00E82923"/>
    <w:rsid w:val="00E82C2D"/>
    <w:rsid w:val="00E82D82"/>
    <w:rsid w:val="00E82E29"/>
    <w:rsid w:val="00E82E98"/>
    <w:rsid w:val="00E82F0D"/>
    <w:rsid w:val="00E83092"/>
    <w:rsid w:val="00E831CF"/>
    <w:rsid w:val="00E83283"/>
    <w:rsid w:val="00E83302"/>
    <w:rsid w:val="00E83351"/>
    <w:rsid w:val="00E8345E"/>
    <w:rsid w:val="00E835B6"/>
    <w:rsid w:val="00E836CD"/>
    <w:rsid w:val="00E83756"/>
    <w:rsid w:val="00E8387E"/>
    <w:rsid w:val="00E83899"/>
    <w:rsid w:val="00E838FC"/>
    <w:rsid w:val="00E8393F"/>
    <w:rsid w:val="00E839E9"/>
    <w:rsid w:val="00E83A3D"/>
    <w:rsid w:val="00E83CF1"/>
    <w:rsid w:val="00E83D13"/>
    <w:rsid w:val="00E83D35"/>
    <w:rsid w:val="00E841E0"/>
    <w:rsid w:val="00E84218"/>
    <w:rsid w:val="00E84250"/>
    <w:rsid w:val="00E8428C"/>
    <w:rsid w:val="00E84448"/>
    <w:rsid w:val="00E84456"/>
    <w:rsid w:val="00E84634"/>
    <w:rsid w:val="00E8479E"/>
    <w:rsid w:val="00E847FF"/>
    <w:rsid w:val="00E84825"/>
    <w:rsid w:val="00E84C37"/>
    <w:rsid w:val="00E84C5A"/>
    <w:rsid w:val="00E84C84"/>
    <w:rsid w:val="00E84DF3"/>
    <w:rsid w:val="00E84ED4"/>
    <w:rsid w:val="00E84F75"/>
    <w:rsid w:val="00E8511C"/>
    <w:rsid w:val="00E85520"/>
    <w:rsid w:val="00E8557A"/>
    <w:rsid w:val="00E8560C"/>
    <w:rsid w:val="00E85786"/>
    <w:rsid w:val="00E8586C"/>
    <w:rsid w:val="00E858F4"/>
    <w:rsid w:val="00E8597E"/>
    <w:rsid w:val="00E85BC6"/>
    <w:rsid w:val="00E85F2D"/>
    <w:rsid w:val="00E8600D"/>
    <w:rsid w:val="00E863AB"/>
    <w:rsid w:val="00E8645C"/>
    <w:rsid w:val="00E865CD"/>
    <w:rsid w:val="00E866FE"/>
    <w:rsid w:val="00E86726"/>
    <w:rsid w:val="00E86732"/>
    <w:rsid w:val="00E867F5"/>
    <w:rsid w:val="00E868EA"/>
    <w:rsid w:val="00E86A8C"/>
    <w:rsid w:val="00E86AFA"/>
    <w:rsid w:val="00E86B67"/>
    <w:rsid w:val="00E86CE1"/>
    <w:rsid w:val="00E86DD6"/>
    <w:rsid w:val="00E86E7E"/>
    <w:rsid w:val="00E86ECD"/>
    <w:rsid w:val="00E86F0D"/>
    <w:rsid w:val="00E87060"/>
    <w:rsid w:val="00E87112"/>
    <w:rsid w:val="00E87231"/>
    <w:rsid w:val="00E872ED"/>
    <w:rsid w:val="00E87327"/>
    <w:rsid w:val="00E87347"/>
    <w:rsid w:val="00E874B7"/>
    <w:rsid w:val="00E8771F"/>
    <w:rsid w:val="00E87878"/>
    <w:rsid w:val="00E8793C"/>
    <w:rsid w:val="00E87A01"/>
    <w:rsid w:val="00E87A42"/>
    <w:rsid w:val="00E87B62"/>
    <w:rsid w:val="00E87CBD"/>
    <w:rsid w:val="00E87EA3"/>
    <w:rsid w:val="00E87F48"/>
    <w:rsid w:val="00E87FBE"/>
    <w:rsid w:val="00E90004"/>
    <w:rsid w:val="00E901B7"/>
    <w:rsid w:val="00E9024A"/>
    <w:rsid w:val="00E90634"/>
    <w:rsid w:val="00E90649"/>
    <w:rsid w:val="00E906A3"/>
    <w:rsid w:val="00E90886"/>
    <w:rsid w:val="00E9099D"/>
    <w:rsid w:val="00E909B8"/>
    <w:rsid w:val="00E90BD4"/>
    <w:rsid w:val="00E90D55"/>
    <w:rsid w:val="00E90E47"/>
    <w:rsid w:val="00E90F2D"/>
    <w:rsid w:val="00E9100F"/>
    <w:rsid w:val="00E9104B"/>
    <w:rsid w:val="00E91575"/>
    <w:rsid w:val="00E916F2"/>
    <w:rsid w:val="00E9195F"/>
    <w:rsid w:val="00E91C94"/>
    <w:rsid w:val="00E91D1B"/>
    <w:rsid w:val="00E91E33"/>
    <w:rsid w:val="00E91ED6"/>
    <w:rsid w:val="00E91FA1"/>
    <w:rsid w:val="00E9202F"/>
    <w:rsid w:val="00E920BF"/>
    <w:rsid w:val="00E92383"/>
    <w:rsid w:val="00E925C0"/>
    <w:rsid w:val="00E925C5"/>
    <w:rsid w:val="00E925E5"/>
    <w:rsid w:val="00E92686"/>
    <w:rsid w:val="00E9272E"/>
    <w:rsid w:val="00E929AE"/>
    <w:rsid w:val="00E92B4F"/>
    <w:rsid w:val="00E92DD3"/>
    <w:rsid w:val="00E92DE7"/>
    <w:rsid w:val="00E92F2A"/>
    <w:rsid w:val="00E93038"/>
    <w:rsid w:val="00E93089"/>
    <w:rsid w:val="00E931D1"/>
    <w:rsid w:val="00E934FD"/>
    <w:rsid w:val="00E93615"/>
    <w:rsid w:val="00E936A2"/>
    <w:rsid w:val="00E938EA"/>
    <w:rsid w:val="00E93A35"/>
    <w:rsid w:val="00E93C72"/>
    <w:rsid w:val="00E93D2C"/>
    <w:rsid w:val="00E93D3A"/>
    <w:rsid w:val="00E93E0D"/>
    <w:rsid w:val="00E93E4F"/>
    <w:rsid w:val="00E93E79"/>
    <w:rsid w:val="00E9407C"/>
    <w:rsid w:val="00E940C1"/>
    <w:rsid w:val="00E941E2"/>
    <w:rsid w:val="00E9436D"/>
    <w:rsid w:val="00E94388"/>
    <w:rsid w:val="00E945C2"/>
    <w:rsid w:val="00E945D8"/>
    <w:rsid w:val="00E946F3"/>
    <w:rsid w:val="00E94707"/>
    <w:rsid w:val="00E9475A"/>
    <w:rsid w:val="00E94909"/>
    <w:rsid w:val="00E949A9"/>
    <w:rsid w:val="00E949CF"/>
    <w:rsid w:val="00E94A6B"/>
    <w:rsid w:val="00E94A81"/>
    <w:rsid w:val="00E9519C"/>
    <w:rsid w:val="00E951C4"/>
    <w:rsid w:val="00E951F3"/>
    <w:rsid w:val="00E9526D"/>
    <w:rsid w:val="00E9532F"/>
    <w:rsid w:val="00E954E5"/>
    <w:rsid w:val="00E954F5"/>
    <w:rsid w:val="00E9550B"/>
    <w:rsid w:val="00E9557C"/>
    <w:rsid w:val="00E95858"/>
    <w:rsid w:val="00E958DB"/>
    <w:rsid w:val="00E95A3A"/>
    <w:rsid w:val="00E95A6E"/>
    <w:rsid w:val="00E95B67"/>
    <w:rsid w:val="00E95E8B"/>
    <w:rsid w:val="00E95F51"/>
    <w:rsid w:val="00E9602E"/>
    <w:rsid w:val="00E9615A"/>
    <w:rsid w:val="00E9618B"/>
    <w:rsid w:val="00E96269"/>
    <w:rsid w:val="00E96327"/>
    <w:rsid w:val="00E963AD"/>
    <w:rsid w:val="00E963DF"/>
    <w:rsid w:val="00E964EC"/>
    <w:rsid w:val="00E96633"/>
    <w:rsid w:val="00E967C0"/>
    <w:rsid w:val="00E9681A"/>
    <w:rsid w:val="00E96851"/>
    <w:rsid w:val="00E9696C"/>
    <w:rsid w:val="00E969A0"/>
    <w:rsid w:val="00E96AC8"/>
    <w:rsid w:val="00E96ACA"/>
    <w:rsid w:val="00E96D9B"/>
    <w:rsid w:val="00E96DB0"/>
    <w:rsid w:val="00E96DB6"/>
    <w:rsid w:val="00E96E55"/>
    <w:rsid w:val="00E96EAD"/>
    <w:rsid w:val="00E96F34"/>
    <w:rsid w:val="00E9700E"/>
    <w:rsid w:val="00E97077"/>
    <w:rsid w:val="00E972FF"/>
    <w:rsid w:val="00E9733F"/>
    <w:rsid w:val="00E9737C"/>
    <w:rsid w:val="00E97401"/>
    <w:rsid w:val="00E974CB"/>
    <w:rsid w:val="00E9750A"/>
    <w:rsid w:val="00E975FA"/>
    <w:rsid w:val="00E97625"/>
    <w:rsid w:val="00E9772E"/>
    <w:rsid w:val="00E9777C"/>
    <w:rsid w:val="00E97819"/>
    <w:rsid w:val="00E97833"/>
    <w:rsid w:val="00E97836"/>
    <w:rsid w:val="00E97976"/>
    <w:rsid w:val="00E97B39"/>
    <w:rsid w:val="00E97BAA"/>
    <w:rsid w:val="00E97BD0"/>
    <w:rsid w:val="00E97D37"/>
    <w:rsid w:val="00E97E1B"/>
    <w:rsid w:val="00E97EC5"/>
    <w:rsid w:val="00E97FA1"/>
    <w:rsid w:val="00EA0070"/>
    <w:rsid w:val="00EA027E"/>
    <w:rsid w:val="00EA0311"/>
    <w:rsid w:val="00EA03EE"/>
    <w:rsid w:val="00EA05E3"/>
    <w:rsid w:val="00EA063A"/>
    <w:rsid w:val="00EA06A7"/>
    <w:rsid w:val="00EA07BE"/>
    <w:rsid w:val="00EA0861"/>
    <w:rsid w:val="00EA0942"/>
    <w:rsid w:val="00EA0A5B"/>
    <w:rsid w:val="00EA0AC5"/>
    <w:rsid w:val="00EA0AEF"/>
    <w:rsid w:val="00EA0B06"/>
    <w:rsid w:val="00EA0B9D"/>
    <w:rsid w:val="00EA0BE2"/>
    <w:rsid w:val="00EA0BEF"/>
    <w:rsid w:val="00EA0D68"/>
    <w:rsid w:val="00EA0DD2"/>
    <w:rsid w:val="00EA1078"/>
    <w:rsid w:val="00EA10BB"/>
    <w:rsid w:val="00EA10FE"/>
    <w:rsid w:val="00EA12B1"/>
    <w:rsid w:val="00EA1336"/>
    <w:rsid w:val="00EA142D"/>
    <w:rsid w:val="00EA14E0"/>
    <w:rsid w:val="00EA14E5"/>
    <w:rsid w:val="00EA152B"/>
    <w:rsid w:val="00EA17EC"/>
    <w:rsid w:val="00EA1941"/>
    <w:rsid w:val="00EA1A65"/>
    <w:rsid w:val="00EA1B80"/>
    <w:rsid w:val="00EA1D4A"/>
    <w:rsid w:val="00EA1D87"/>
    <w:rsid w:val="00EA2087"/>
    <w:rsid w:val="00EA208A"/>
    <w:rsid w:val="00EA2231"/>
    <w:rsid w:val="00EA23F8"/>
    <w:rsid w:val="00EA249F"/>
    <w:rsid w:val="00EA26A7"/>
    <w:rsid w:val="00EA2967"/>
    <w:rsid w:val="00EA29ED"/>
    <w:rsid w:val="00EA2AEA"/>
    <w:rsid w:val="00EA2B5C"/>
    <w:rsid w:val="00EA2C01"/>
    <w:rsid w:val="00EA2CBD"/>
    <w:rsid w:val="00EA2E16"/>
    <w:rsid w:val="00EA2E65"/>
    <w:rsid w:val="00EA3049"/>
    <w:rsid w:val="00EA3176"/>
    <w:rsid w:val="00EA319D"/>
    <w:rsid w:val="00EA3842"/>
    <w:rsid w:val="00EA3855"/>
    <w:rsid w:val="00EA3A70"/>
    <w:rsid w:val="00EA3A81"/>
    <w:rsid w:val="00EA3B76"/>
    <w:rsid w:val="00EA3D56"/>
    <w:rsid w:val="00EA3DC4"/>
    <w:rsid w:val="00EA3E7E"/>
    <w:rsid w:val="00EA3F74"/>
    <w:rsid w:val="00EA3FCA"/>
    <w:rsid w:val="00EA41A7"/>
    <w:rsid w:val="00EA41EA"/>
    <w:rsid w:val="00EA4321"/>
    <w:rsid w:val="00EA432B"/>
    <w:rsid w:val="00EA4366"/>
    <w:rsid w:val="00EA453E"/>
    <w:rsid w:val="00EA484C"/>
    <w:rsid w:val="00EA48BD"/>
    <w:rsid w:val="00EA4951"/>
    <w:rsid w:val="00EA49E4"/>
    <w:rsid w:val="00EA4A4F"/>
    <w:rsid w:val="00EA4AD3"/>
    <w:rsid w:val="00EA4B8F"/>
    <w:rsid w:val="00EA4EAC"/>
    <w:rsid w:val="00EA4FB7"/>
    <w:rsid w:val="00EA50DF"/>
    <w:rsid w:val="00EA524A"/>
    <w:rsid w:val="00EA52D7"/>
    <w:rsid w:val="00EA53E3"/>
    <w:rsid w:val="00EA5440"/>
    <w:rsid w:val="00EA560A"/>
    <w:rsid w:val="00EA5639"/>
    <w:rsid w:val="00EA572A"/>
    <w:rsid w:val="00EA5A90"/>
    <w:rsid w:val="00EA5B06"/>
    <w:rsid w:val="00EA5D5A"/>
    <w:rsid w:val="00EA5DC6"/>
    <w:rsid w:val="00EA5DE9"/>
    <w:rsid w:val="00EA6008"/>
    <w:rsid w:val="00EA6019"/>
    <w:rsid w:val="00EA60EF"/>
    <w:rsid w:val="00EA613E"/>
    <w:rsid w:val="00EA616F"/>
    <w:rsid w:val="00EA618D"/>
    <w:rsid w:val="00EA6246"/>
    <w:rsid w:val="00EA6247"/>
    <w:rsid w:val="00EA64B1"/>
    <w:rsid w:val="00EA64DB"/>
    <w:rsid w:val="00EA653B"/>
    <w:rsid w:val="00EA6564"/>
    <w:rsid w:val="00EA6822"/>
    <w:rsid w:val="00EA6ACA"/>
    <w:rsid w:val="00EA6BFC"/>
    <w:rsid w:val="00EA6CB7"/>
    <w:rsid w:val="00EA6D93"/>
    <w:rsid w:val="00EA6DF7"/>
    <w:rsid w:val="00EA6E87"/>
    <w:rsid w:val="00EA700F"/>
    <w:rsid w:val="00EA707D"/>
    <w:rsid w:val="00EA719C"/>
    <w:rsid w:val="00EA7591"/>
    <w:rsid w:val="00EA77C1"/>
    <w:rsid w:val="00EA7A82"/>
    <w:rsid w:val="00EA7AE6"/>
    <w:rsid w:val="00EA7C54"/>
    <w:rsid w:val="00EA7C9A"/>
    <w:rsid w:val="00EA7E0A"/>
    <w:rsid w:val="00EA7E31"/>
    <w:rsid w:val="00EA7F18"/>
    <w:rsid w:val="00EA7F1E"/>
    <w:rsid w:val="00EB0236"/>
    <w:rsid w:val="00EB02A9"/>
    <w:rsid w:val="00EB0322"/>
    <w:rsid w:val="00EB0622"/>
    <w:rsid w:val="00EB07F5"/>
    <w:rsid w:val="00EB0A13"/>
    <w:rsid w:val="00EB0AE4"/>
    <w:rsid w:val="00EB0CB7"/>
    <w:rsid w:val="00EB0CCA"/>
    <w:rsid w:val="00EB0DDA"/>
    <w:rsid w:val="00EB0EA4"/>
    <w:rsid w:val="00EB1422"/>
    <w:rsid w:val="00EB1482"/>
    <w:rsid w:val="00EB1553"/>
    <w:rsid w:val="00EB1682"/>
    <w:rsid w:val="00EB1688"/>
    <w:rsid w:val="00EB16AD"/>
    <w:rsid w:val="00EB18FE"/>
    <w:rsid w:val="00EB1B3C"/>
    <w:rsid w:val="00EB1C13"/>
    <w:rsid w:val="00EB1C14"/>
    <w:rsid w:val="00EB1E99"/>
    <w:rsid w:val="00EB1F7C"/>
    <w:rsid w:val="00EB230E"/>
    <w:rsid w:val="00EB2330"/>
    <w:rsid w:val="00EB2485"/>
    <w:rsid w:val="00EB25EF"/>
    <w:rsid w:val="00EB277C"/>
    <w:rsid w:val="00EB2847"/>
    <w:rsid w:val="00EB293F"/>
    <w:rsid w:val="00EB2954"/>
    <w:rsid w:val="00EB2A0D"/>
    <w:rsid w:val="00EB2B68"/>
    <w:rsid w:val="00EB2C28"/>
    <w:rsid w:val="00EB2C7F"/>
    <w:rsid w:val="00EB2CF2"/>
    <w:rsid w:val="00EB2D3A"/>
    <w:rsid w:val="00EB3024"/>
    <w:rsid w:val="00EB30CC"/>
    <w:rsid w:val="00EB335F"/>
    <w:rsid w:val="00EB35F1"/>
    <w:rsid w:val="00EB3606"/>
    <w:rsid w:val="00EB366C"/>
    <w:rsid w:val="00EB36D3"/>
    <w:rsid w:val="00EB37CD"/>
    <w:rsid w:val="00EB3869"/>
    <w:rsid w:val="00EB3C65"/>
    <w:rsid w:val="00EB3E29"/>
    <w:rsid w:val="00EB3E6A"/>
    <w:rsid w:val="00EB3EA0"/>
    <w:rsid w:val="00EB4040"/>
    <w:rsid w:val="00EB419B"/>
    <w:rsid w:val="00EB41FE"/>
    <w:rsid w:val="00EB425D"/>
    <w:rsid w:val="00EB4322"/>
    <w:rsid w:val="00EB432A"/>
    <w:rsid w:val="00EB4366"/>
    <w:rsid w:val="00EB439A"/>
    <w:rsid w:val="00EB45CE"/>
    <w:rsid w:val="00EB4637"/>
    <w:rsid w:val="00EB47FF"/>
    <w:rsid w:val="00EB4805"/>
    <w:rsid w:val="00EB492E"/>
    <w:rsid w:val="00EB4988"/>
    <w:rsid w:val="00EB4B20"/>
    <w:rsid w:val="00EB4DA4"/>
    <w:rsid w:val="00EB4E78"/>
    <w:rsid w:val="00EB4EB5"/>
    <w:rsid w:val="00EB4F26"/>
    <w:rsid w:val="00EB4F5D"/>
    <w:rsid w:val="00EB4FDE"/>
    <w:rsid w:val="00EB504C"/>
    <w:rsid w:val="00EB52FB"/>
    <w:rsid w:val="00EB5323"/>
    <w:rsid w:val="00EB54B3"/>
    <w:rsid w:val="00EB561A"/>
    <w:rsid w:val="00EB568C"/>
    <w:rsid w:val="00EB5722"/>
    <w:rsid w:val="00EB57A4"/>
    <w:rsid w:val="00EB57CC"/>
    <w:rsid w:val="00EB589A"/>
    <w:rsid w:val="00EB59AE"/>
    <w:rsid w:val="00EB59FF"/>
    <w:rsid w:val="00EB5A11"/>
    <w:rsid w:val="00EB5A34"/>
    <w:rsid w:val="00EB5A56"/>
    <w:rsid w:val="00EB5C27"/>
    <w:rsid w:val="00EB6019"/>
    <w:rsid w:val="00EB604D"/>
    <w:rsid w:val="00EB6194"/>
    <w:rsid w:val="00EB6218"/>
    <w:rsid w:val="00EB634E"/>
    <w:rsid w:val="00EB6446"/>
    <w:rsid w:val="00EB64CE"/>
    <w:rsid w:val="00EB6670"/>
    <w:rsid w:val="00EB66C3"/>
    <w:rsid w:val="00EB6972"/>
    <w:rsid w:val="00EB6B23"/>
    <w:rsid w:val="00EB6CC8"/>
    <w:rsid w:val="00EB6CD0"/>
    <w:rsid w:val="00EB6D38"/>
    <w:rsid w:val="00EB6F3B"/>
    <w:rsid w:val="00EB6F68"/>
    <w:rsid w:val="00EB6F71"/>
    <w:rsid w:val="00EB7097"/>
    <w:rsid w:val="00EB7374"/>
    <w:rsid w:val="00EB74CC"/>
    <w:rsid w:val="00EB7660"/>
    <w:rsid w:val="00EB772A"/>
    <w:rsid w:val="00EB779A"/>
    <w:rsid w:val="00EB7B09"/>
    <w:rsid w:val="00EB7BBF"/>
    <w:rsid w:val="00EB7D0C"/>
    <w:rsid w:val="00EB7E26"/>
    <w:rsid w:val="00EB7E42"/>
    <w:rsid w:val="00EBBBCC"/>
    <w:rsid w:val="00EC00BF"/>
    <w:rsid w:val="00EC02CB"/>
    <w:rsid w:val="00EC0385"/>
    <w:rsid w:val="00EC03E6"/>
    <w:rsid w:val="00EC03F6"/>
    <w:rsid w:val="00EC0418"/>
    <w:rsid w:val="00EC069B"/>
    <w:rsid w:val="00EC06E0"/>
    <w:rsid w:val="00EC0982"/>
    <w:rsid w:val="00EC0BE7"/>
    <w:rsid w:val="00EC0CE7"/>
    <w:rsid w:val="00EC0D1F"/>
    <w:rsid w:val="00EC0E49"/>
    <w:rsid w:val="00EC0E5F"/>
    <w:rsid w:val="00EC0EAB"/>
    <w:rsid w:val="00EC0F03"/>
    <w:rsid w:val="00EC1163"/>
    <w:rsid w:val="00EC12D4"/>
    <w:rsid w:val="00EC1435"/>
    <w:rsid w:val="00EC147E"/>
    <w:rsid w:val="00EC194C"/>
    <w:rsid w:val="00EC1962"/>
    <w:rsid w:val="00EC1A4B"/>
    <w:rsid w:val="00EC1D25"/>
    <w:rsid w:val="00EC1D84"/>
    <w:rsid w:val="00EC1DDB"/>
    <w:rsid w:val="00EC1EE9"/>
    <w:rsid w:val="00EC1F0A"/>
    <w:rsid w:val="00EC1F17"/>
    <w:rsid w:val="00EC1FBB"/>
    <w:rsid w:val="00EC1FDB"/>
    <w:rsid w:val="00EC21CB"/>
    <w:rsid w:val="00EC21F5"/>
    <w:rsid w:val="00EC2243"/>
    <w:rsid w:val="00EC2333"/>
    <w:rsid w:val="00EC2388"/>
    <w:rsid w:val="00EC2511"/>
    <w:rsid w:val="00EC262F"/>
    <w:rsid w:val="00EC27B1"/>
    <w:rsid w:val="00EC27BA"/>
    <w:rsid w:val="00EC285B"/>
    <w:rsid w:val="00EC28B9"/>
    <w:rsid w:val="00EC28E3"/>
    <w:rsid w:val="00EC2AF8"/>
    <w:rsid w:val="00EC2BBD"/>
    <w:rsid w:val="00EC2DF5"/>
    <w:rsid w:val="00EC2E74"/>
    <w:rsid w:val="00EC3028"/>
    <w:rsid w:val="00EC3074"/>
    <w:rsid w:val="00EC30DA"/>
    <w:rsid w:val="00EC3251"/>
    <w:rsid w:val="00EC34E6"/>
    <w:rsid w:val="00EC34FE"/>
    <w:rsid w:val="00EC36DD"/>
    <w:rsid w:val="00EC38A8"/>
    <w:rsid w:val="00EC3910"/>
    <w:rsid w:val="00EC3B66"/>
    <w:rsid w:val="00EC3B97"/>
    <w:rsid w:val="00EC3C0C"/>
    <w:rsid w:val="00EC3D7C"/>
    <w:rsid w:val="00EC3E3C"/>
    <w:rsid w:val="00EC3F06"/>
    <w:rsid w:val="00EC3FFB"/>
    <w:rsid w:val="00EC411D"/>
    <w:rsid w:val="00EC415B"/>
    <w:rsid w:val="00EC4655"/>
    <w:rsid w:val="00EC489D"/>
    <w:rsid w:val="00EC48D5"/>
    <w:rsid w:val="00EC4910"/>
    <w:rsid w:val="00EC4994"/>
    <w:rsid w:val="00EC4B40"/>
    <w:rsid w:val="00EC4C5E"/>
    <w:rsid w:val="00EC4C75"/>
    <w:rsid w:val="00EC4C88"/>
    <w:rsid w:val="00EC4D6E"/>
    <w:rsid w:val="00EC4DBA"/>
    <w:rsid w:val="00EC4E67"/>
    <w:rsid w:val="00EC4F97"/>
    <w:rsid w:val="00EC5261"/>
    <w:rsid w:val="00EC534B"/>
    <w:rsid w:val="00EC5599"/>
    <w:rsid w:val="00EC56CC"/>
    <w:rsid w:val="00EC577C"/>
    <w:rsid w:val="00EC5966"/>
    <w:rsid w:val="00EC5985"/>
    <w:rsid w:val="00EC5989"/>
    <w:rsid w:val="00EC5A51"/>
    <w:rsid w:val="00EC5A7A"/>
    <w:rsid w:val="00EC5C16"/>
    <w:rsid w:val="00EC5C31"/>
    <w:rsid w:val="00EC5D06"/>
    <w:rsid w:val="00EC5D8A"/>
    <w:rsid w:val="00EC5FC1"/>
    <w:rsid w:val="00EC64A1"/>
    <w:rsid w:val="00EC64D6"/>
    <w:rsid w:val="00EC6661"/>
    <w:rsid w:val="00EC679D"/>
    <w:rsid w:val="00EC681C"/>
    <w:rsid w:val="00EC6898"/>
    <w:rsid w:val="00EC68E9"/>
    <w:rsid w:val="00EC6916"/>
    <w:rsid w:val="00EC69C3"/>
    <w:rsid w:val="00EC6AE2"/>
    <w:rsid w:val="00EC6B5D"/>
    <w:rsid w:val="00EC6CB8"/>
    <w:rsid w:val="00EC6D0B"/>
    <w:rsid w:val="00EC6D69"/>
    <w:rsid w:val="00EC6D6A"/>
    <w:rsid w:val="00EC6DC1"/>
    <w:rsid w:val="00EC6E79"/>
    <w:rsid w:val="00EC7080"/>
    <w:rsid w:val="00EC7304"/>
    <w:rsid w:val="00EC730E"/>
    <w:rsid w:val="00EC73CA"/>
    <w:rsid w:val="00EC75ED"/>
    <w:rsid w:val="00EC75FD"/>
    <w:rsid w:val="00EC7697"/>
    <w:rsid w:val="00EC78D9"/>
    <w:rsid w:val="00EC79B3"/>
    <w:rsid w:val="00EC7C2C"/>
    <w:rsid w:val="00EC7C4E"/>
    <w:rsid w:val="00EC7C50"/>
    <w:rsid w:val="00EC7EC3"/>
    <w:rsid w:val="00EC7F32"/>
    <w:rsid w:val="00ECA1E0"/>
    <w:rsid w:val="00ECDFB3"/>
    <w:rsid w:val="00ED0355"/>
    <w:rsid w:val="00ED0361"/>
    <w:rsid w:val="00ED0383"/>
    <w:rsid w:val="00ED03A8"/>
    <w:rsid w:val="00ED03E6"/>
    <w:rsid w:val="00ED04E4"/>
    <w:rsid w:val="00ED056E"/>
    <w:rsid w:val="00ED065C"/>
    <w:rsid w:val="00ED06A5"/>
    <w:rsid w:val="00ED0811"/>
    <w:rsid w:val="00ED0822"/>
    <w:rsid w:val="00ED0887"/>
    <w:rsid w:val="00ED0BB4"/>
    <w:rsid w:val="00ED0E5A"/>
    <w:rsid w:val="00ED1061"/>
    <w:rsid w:val="00ED10A4"/>
    <w:rsid w:val="00ED11A2"/>
    <w:rsid w:val="00ED11F2"/>
    <w:rsid w:val="00ED11F4"/>
    <w:rsid w:val="00ED1264"/>
    <w:rsid w:val="00ED12ED"/>
    <w:rsid w:val="00ED1452"/>
    <w:rsid w:val="00ED14C3"/>
    <w:rsid w:val="00ED15AC"/>
    <w:rsid w:val="00ED1845"/>
    <w:rsid w:val="00ED189D"/>
    <w:rsid w:val="00ED1977"/>
    <w:rsid w:val="00ED1A02"/>
    <w:rsid w:val="00ED1A09"/>
    <w:rsid w:val="00ED1C35"/>
    <w:rsid w:val="00ED1E33"/>
    <w:rsid w:val="00ED2037"/>
    <w:rsid w:val="00ED2055"/>
    <w:rsid w:val="00ED2074"/>
    <w:rsid w:val="00ED21BD"/>
    <w:rsid w:val="00ED21DB"/>
    <w:rsid w:val="00ED229A"/>
    <w:rsid w:val="00ED22EE"/>
    <w:rsid w:val="00ED23F8"/>
    <w:rsid w:val="00ED2647"/>
    <w:rsid w:val="00ED267F"/>
    <w:rsid w:val="00ED269C"/>
    <w:rsid w:val="00ED2814"/>
    <w:rsid w:val="00ED29B0"/>
    <w:rsid w:val="00ED2B29"/>
    <w:rsid w:val="00ED2BCD"/>
    <w:rsid w:val="00ED2C8B"/>
    <w:rsid w:val="00ED2E0E"/>
    <w:rsid w:val="00ED2E3C"/>
    <w:rsid w:val="00ED3028"/>
    <w:rsid w:val="00ED30B4"/>
    <w:rsid w:val="00ED311B"/>
    <w:rsid w:val="00ED3273"/>
    <w:rsid w:val="00ED32F9"/>
    <w:rsid w:val="00ED33AF"/>
    <w:rsid w:val="00ED384B"/>
    <w:rsid w:val="00ED39A8"/>
    <w:rsid w:val="00ED3C1A"/>
    <w:rsid w:val="00ED3CE5"/>
    <w:rsid w:val="00ED3D00"/>
    <w:rsid w:val="00ED3D43"/>
    <w:rsid w:val="00ED3EAF"/>
    <w:rsid w:val="00ED3ED0"/>
    <w:rsid w:val="00ED3F1A"/>
    <w:rsid w:val="00ED40C1"/>
    <w:rsid w:val="00ED4181"/>
    <w:rsid w:val="00ED4218"/>
    <w:rsid w:val="00ED441D"/>
    <w:rsid w:val="00ED4568"/>
    <w:rsid w:val="00ED4672"/>
    <w:rsid w:val="00ED4973"/>
    <w:rsid w:val="00ED4A8B"/>
    <w:rsid w:val="00ED4B6A"/>
    <w:rsid w:val="00ED4C2F"/>
    <w:rsid w:val="00ED4C45"/>
    <w:rsid w:val="00ED4E3B"/>
    <w:rsid w:val="00ED4EC0"/>
    <w:rsid w:val="00ED4FBB"/>
    <w:rsid w:val="00ED5015"/>
    <w:rsid w:val="00ED5047"/>
    <w:rsid w:val="00ED515E"/>
    <w:rsid w:val="00ED5197"/>
    <w:rsid w:val="00ED5462"/>
    <w:rsid w:val="00ED557F"/>
    <w:rsid w:val="00ED558E"/>
    <w:rsid w:val="00ED5675"/>
    <w:rsid w:val="00ED56C1"/>
    <w:rsid w:val="00ED5744"/>
    <w:rsid w:val="00ED57F1"/>
    <w:rsid w:val="00ED582E"/>
    <w:rsid w:val="00ED58D2"/>
    <w:rsid w:val="00ED59BD"/>
    <w:rsid w:val="00ED5AC2"/>
    <w:rsid w:val="00ED5BC2"/>
    <w:rsid w:val="00ED6000"/>
    <w:rsid w:val="00ED6010"/>
    <w:rsid w:val="00ED6057"/>
    <w:rsid w:val="00ED617B"/>
    <w:rsid w:val="00ED6686"/>
    <w:rsid w:val="00ED678A"/>
    <w:rsid w:val="00ED6972"/>
    <w:rsid w:val="00ED6AF9"/>
    <w:rsid w:val="00ED6B35"/>
    <w:rsid w:val="00ED6B5E"/>
    <w:rsid w:val="00ED6D8D"/>
    <w:rsid w:val="00ED6F0E"/>
    <w:rsid w:val="00ED6F96"/>
    <w:rsid w:val="00ED70F3"/>
    <w:rsid w:val="00ED720E"/>
    <w:rsid w:val="00ED73B8"/>
    <w:rsid w:val="00ED7781"/>
    <w:rsid w:val="00ED7858"/>
    <w:rsid w:val="00ED78FD"/>
    <w:rsid w:val="00ED7B4E"/>
    <w:rsid w:val="00ED7CE2"/>
    <w:rsid w:val="00ED7D5A"/>
    <w:rsid w:val="00EE0012"/>
    <w:rsid w:val="00EE0062"/>
    <w:rsid w:val="00EE0090"/>
    <w:rsid w:val="00EE0187"/>
    <w:rsid w:val="00EE0466"/>
    <w:rsid w:val="00EE0656"/>
    <w:rsid w:val="00EE0875"/>
    <w:rsid w:val="00EE08AC"/>
    <w:rsid w:val="00EE09FF"/>
    <w:rsid w:val="00EE0A33"/>
    <w:rsid w:val="00EE0BAD"/>
    <w:rsid w:val="00EE0BBA"/>
    <w:rsid w:val="00EE0C2E"/>
    <w:rsid w:val="00EE0D4C"/>
    <w:rsid w:val="00EE0ECD"/>
    <w:rsid w:val="00EE0F50"/>
    <w:rsid w:val="00EE10DA"/>
    <w:rsid w:val="00EE1136"/>
    <w:rsid w:val="00EE119A"/>
    <w:rsid w:val="00EE11B7"/>
    <w:rsid w:val="00EE12C5"/>
    <w:rsid w:val="00EE15BB"/>
    <w:rsid w:val="00EE16A4"/>
    <w:rsid w:val="00EE1A46"/>
    <w:rsid w:val="00EE1B50"/>
    <w:rsid w:val="00EE1E88"/>
    <w:rsid w:val="00EE21E8"/>
    <w:rsid w:val="00EE221E"/>
    <w:rsid w:val="00EE22C3"/>
    <w:rsid w:val="00EE2409"/>
    <w:rsid w:val="00EE245F"/>
    <w:rsid w:val="00EE2658"/>
    <w:rsid w:val="00EE267D"/>
    <w:rsid w:val="00EE2872"/>
    <w:rsid w:val="00EE2B1E"/>
    <w:rsid w:val="00EE2B6A"/>
    <w:rsid w:val="00EE2C34"/>
    <w:rsid w:val="00EE2DAC"/>
    <w:rsid w:val="00EE3105"/>
    <w:rsid w:val="00EE3200"/>
    <w:rsid w:val="00EE32A1"/>
    <w:rsid w:val="00EE3348"/>
    <w:rsid w:val="00EE33A1"/>
    <w:rsid w:val="00EE33DF"/>
    <w:rsid w:val="00EE358D"/>
    <w:rsid w:val="00EE35AB"/>
    <w:rsid w:val="00EE360F"/>
    <w:rsid w:val="00EE377F"/>
    <w:rsid w:val="00EE3787"/>
    <w:rsid w:val="00EE389F"/>
    <w:rsid w:val="00EE3948"/>
    <w:rsid w:val="00EE3C53"/>
    <w:rsid w:val="00EE3C5E"/>
    <w:rsid w:val="00EE3D0F"/>
    <w:rsid w:val="00EE3D2C"/>
    <w:rsid w:val="00EE402A"/>
    <w:rsid w:val="00EE4610"/>
    <w:rsid w:val="00EE4783"/>
    <w:rsid w:val="00EE47EF"/>
    <w:rsid w:val="00EE4A0E"/>
    <w:rsid w:val="00EE4A8C"/>
    <w:rsid w:val="00EE4AB7"/>
    <w:rsid w:val="00EE4C02"/>
    <w:rsid w:val="00EE4DDF"/>
    <w:rsid w:val="00EE4E89"/>
    <w:rsid w:val="00EE4EAB"/>
    <w:rsid w:val="00EE5008"/>
    <w:rsid w:val="00EE50BD"/>
    <w:rsid w:val="00EE5110"/>
    <w:rsid w:val="00EE5135"/>
    <w:rsid w:val="00EE51E3"/>
    <w:rsid w:val="00EE5261"/>
    <w:rsid w:val="00EE52AD"/>
    <w:rsid w:val="00EE53AF"/>
    <w:rsid w:val="00EE54DB"/>
    <w:rsid w:val="00EE5511"/>
    <w:rsid w:val="00EE5592"/>
    <w:rsid w:val="00EE5647"/>
    <w:rsid w:val="00EE565B"/>
    <w:rsid w:val="00EE5678"/>
    <w:rsid w:val="00EE56F8"/>
    <w:rsid w:val="00EE5819"/>
    <w:rsid w:val="00EE58B8"/>
    <w:rsid w:val="00EE5BB7"/>
    <w:rsid w:val="00EE5C97"/>
    <w:rsid w:val="00EE5D5F"/>
    <w:rsid w:val="00EE6050"/>
    <w:rsid w:val="00EE633A"/>
    <w:rsid w:val="00EE63B9"/>
    <w:rsid w:val="00EE66C4"/>
    <w:rsid w:val="00EE66D4"/>
    <w:rsid w:val="00EE687E"/>
    <w:rsid w:val="00EE6916"/>
    <w:rsid w:val="00EE694D"/>
    <w:rsid w:val="00EE6A38"/>
    <w:rsid w:val="00EE6AE7"/>
    <w:rsid w:val="00EE6AE8"/>
    <w:rsid w:val="00EE6BED"/>
    <w:rsid w:val="00EE6BF6"/>
    <w:rsid w:val="00EE6C9D"/>
    <w:rsid w:val="00EE6CD8"/>
    <w:rsid w:val="00EE6CDC"/>
    <w:rsid w:val="00EE6CE8"/>
    <w:rsid w:val="00EE6E76"/>
    <w:rsid w:val="00EE6F4D"/>
    <w:rsid w:val="00EE6FAC"/>
    <w:rsid w:val="00EE6FBE"/>
    <w:rsid w:val="00EE7009"/>
    <w:rsid w:val="00EE700E"/>
    <w:rsid w:val="00EE70BB"/>
    <w:rsid w:val="00EE7146"/>
    <w:rsid w:val="00EE7222"/>
    <w:rsid w:val="00EE7240"/>
    <w:rsid w:val="00EE737E"/>
    <w:rsid w:val="00EE73C7"/>
    <w:rsid w:val="00EE73E9"/>
    <w:rsid w:val="00EE745A"/>
    <w:rsid w:val="00EE74A0"/>
    <w:rsid w:val="00EE74D9"/>
    <w:rsid w:val="00EE75FB"/>
    <w:rsid w:val="00EE7760"/>
    <w:rsid w:val="00EE77AD"/>
    <w:rsid w:val="00EE7A13"/>
    <w:rsid w:val="00EE7A14"/>
    <w:rsid w:val="00EE7B2D"/>
    <w:rsid w:val="00EE7BC6"/>
    <w:rsid w:val="00EE7BDF"/>
    <w:rsid w:val="00EE7C0D"/>
    <w:rsid w:val="00EE7C9A"/>
    <w:rsid w:val="00EE7DBE"/>
    <w:rsid w:val="00EE7DDF"/>
    <w:rsid w:val="00EE7E2C"/>
    <w:rsid w:val="00EE7F79"/>
    <w:rsid w:val="00EE7FB8"/>
    <w:rsid w:val="00EE7FEF"/>
    <w:rsid w:val="00EF0112"/>
    <w:rsid w:val="00EF01B3"/>
    <w:rsid w:val="00EF01FF"/>
    <w:rsid w:val="00EF0216"/>
    <w:rsid w:val="00EF0747"/>
    <w:rsid w:val="00EF07E5"/>
    <w:rsid w:val="00EF0C56"/>
    <w:rsid w:val="00EF0E49"/>
    <w:rsid w:val="00EF0F4D"/>
    <w:rsid w:val="00EF105F"/>
    <w:rsid w:val="00EF113D"/>
    <w:rsid w:val="00EF12BB"/>
    <w:rsid w:val="00EF12E4"/>
    <w:rsid w:val="00EF14A7"/>
    <w:rsid w:val="00EF162C"/>
    <w:rsid w:val="00EF1723"/>
    <w:rsid w:val="00EF1971"/>
    <w:rsid w:val="00EF19C9"/>
    <w:rsid w:val="00EF19D1"/>
    <w:rsid w:val="00EF1A02"/>
    <w:rsid w:val="00EF1B9D"/>
    <w:rsid w:val="00EF1F95"/>
    <w:rsid w:val="00EF1FA9"/>
    <w:rsid w:val="00EF2066"/>
    <w:rsid w:val="00EF209A"/>
    <w:rsid w:val="00EF215B"/>
    <w:rsid w:val="00EF2173"/>
    <w:rsid w:val="00EF218F"/>
    <w:rsid w:val="00EF21B7"/>
    <w:rsid w:val="00EF232D"/>
    <w:rsid w:val="00EF23F6"/>
    <w:rsid w:val="00EF2403"/>
    <w:rsid w:val="00EF2553"/>
    <w:rsid w:val="00EF27D0"/>
    <w:rsid w:val="00EF2802"/>
    <w:rsid w:val="00EF29C5"/>
    <w:rsid w:val="00EF2C03"/>
    <w:rsid w:val="00EF2CE7"/>
    <w:rsid w:val="00EF2E39"/>
    <w:rsid w:val="00EF2FFB"/>
    <w:rsid w:val="00EF303D"/>
    <w:rsid w:val="00EF31B8"/>
    <w:rsid w:val="00EF3322"/>
    <w:rsid w:val="00EF33B3"/>
    <w:rsid w:val="00EF341B"/>
    <w:rsid w:val="00EF3428"/>
    <w:rsid w:val="00EF34B7"/>
    <w:rsid w:val="00EF34D4"/>
    <w:rsid w:val="00EF352A"/>
    <w:rsid w:val="00EF3609"/>
    <w:rsid w:val="00EF360C"/>
    <w:rsid w:val="00EF3808"/>
    <w:rsid w:val="00EF3810"/>
    <w:rsid w:val="00EF397C"/>
    <w:rsid w:val="00EF39D2"/>
    <w:rsid w:val="00EF3C47"/>
    <w:rsid w:val="00EF3D27"/>
    <w:rsid w:val="00EF3D58"/>
    <w:rsid w:val="00EF3D62"/>
    <w:rsid w:val="00EF3E18"/>
    <w:rsid w:val="00EF3EDB"/>
    <w:rsid w:val="00EF4022"/>
    <w:rsid w:val="00EF4023"/>
    <w:rsid w:val="00EF4149"/>
    <w:rsid w:val="00EF417B"/>
    <w:rsid w:val="00EF431A"/>
    <w:rsid w:val="00EF4616"/>
    <w:rsid w:val="00EF46B1"/>
    <w:rsid w:val="00EF4916"/>
    <w:rsid w:val="00EF492B"/>
    <w:rsid w:val="00EF49D5"/>
    <w:rsid w:val="00EF4D21"/>
    <w:rsid w:val="00EF4E54"/>
    <w:rsid w:val="00EF51B2"/>
    <w:rsid w:val="00EF544D"/>
    <w:rsid w:val="00EF5458"/>
    <w:rsid w:val="00EF5516"/>
    <w:rsid w:val="00EF55D0"/>
    <w:rsid w:val="00EF55E4"/>
    <w:rsid w:val="00EF5648"/>
    <w:rsid w:val="00EF58D9"/>
    <w:rsid w:val="00EF59F7"/>
    <w:rsid w:val="00EF5B03"/>
    <w:rsid w:val="00EF5D1A"/>
    <w:rsid w:val="00EF5D7D"/>
    <w:rsid w:val="00EF5DC5"/>
    <w:rsid w:val="00EF5E2F"/>
    <w:rsid w:val="00EF5F9B"/>
    <w:rsid w:val="00EF5FE2"/>
    <w:rsid w:val="00EF60B1"/>
    <w:rsid w:val="00EF61CA"/>
    <w:rsid w:val="00EF6223"/>
    <w:rsid w:val="00EF62AE"/>
    <w:rsid w:val="00EF6358"/>
    <w:rsid w:val="00EF65CB"/>
    <w:rsid w:val="00EF670F"/>
    <w:rsid w:val="00EF6890"/>
    <w:rsid w:val="00EF6A0D"/>
    <w:rsid w:val="00EF6EF7"/>
    <w:rsid w:val="00EF6F34"/>
    <w:rsid w:val="00EF6F3F"/>
    <w:rsid w:val="00EF7249"/>
    <w:rsid w:val="00EF727E"/>
    <w:rsid w:val="00EF73E6"/>
    <w:rsid w:val="00EF74BB"/>
    <w:rsid w:val="00EF75E5"/>
    <w:rsid w:val="00EF7838"/>
    <w:rsid w:val="00EF79F4"/>
    <w:rsid w:val="00EF7A3D"/>
    <w:rsid w:val="00EF7BAA"/>
    <w:rsid w:val="00EF7C65"/>
    <w:rsid w:val="00EF7D59"/>
    <w:rsid w:val="00EF7FD1"/>
    <w:rsid w:val="00F00059"/>
    <w:rsid w:val="00F000A1"/>
    <w:rsid w:val="00F002C4"/>
    <w:rsid w:val="00F003D0"/>
    <w:rsid w:val="00F004E4"/>
    <w:rsid w:val="00F005A8"/>
    <w:rsid w:val="00F005FA"/>
    <w:rsid w:val="00F0067D"/>
    <w:rsid w:val="00F0083A"/>
    <w:rsid w:val="00F0085E"/>
    <w:rsid w:val="00F00987"/>
    <w:rsid w:val="00F00A89"/>
    <w:rsid w:val="00F00AAD"/>
    <w:rsid w:val="00F00E6A"/>
    <w:rsid w:val="00F00F69"/>
    <w:rsid w:val="00F00F7A"/>
    <w:rsid w:val="00F01007"/>
    <w:rsid w:val="00F0109B"/>
    <w:rsid w:val="00F011E0"/>
    <w:rsid w:val="00F012B4"/>
    <w:rsid w:val="00F0132A"/>
    <w:rsid w:val="00F01374"/>
    <w:rsid w:val="00F0155E"/>
    <w:rsid w:val="00F015A1"/>
    <w:rsid w:val="00F015BD"/>
    <w:rsid w:val="00F0172B"/>
    <w:rsid w:val="00F0186B"/>
    <w:rsid w:val="00F01876"/>
    <w:rsid w:val="00F018D0"/>
    <w:rsid w:val="00F01AE4"/>
    <w:rsid w:val="00F01BD0"/>
    <w:rsid w:val="00F01D5E"/>
    <w:rsid w:val="00F01DC6"/>
    <w:rsid w:val="00F01E10"/>
    <w:rsid w:val="00F02066"/>
    <w:rsid w:val="00F021BE"/>
    <w:rsid w:val="00F02276"/>
    <w:rsid w:val="00F025BF"/>
    <w:rsid w:val="00F0268F"/>
    <w:rsid w:val="00F02884"/>
    <w:rsid w:val="00F0296A"/>
    <w:rsid w:val="00F02AD9"/>
    <w:rsid w:val="00F02ADD"/>
    <w:rsid w:val="00F02BD8"/>
    <w:rsid w:val="00F02CE2"/>
    <w:rsid w:val="00F02DDC"/>
    <w:rsid w:val="00F02F0B"/>
    <w:rsid w:val="00F02F4D"/>
    <w:rsid w:val="00F02FC7"/>
    <w:rsid w:val="00F02FE5"/>
    <w:rsid w:val="00F03210"/>
    <w:rsid w:val="00F034AA"/>
    <w:rsid w:val="00F034CF"/>
    <w:rsid w:val="00F03658"/>
    <w:rsid w:val="00F03793"/>
    <w:rsid w:val="00F0379F"/>
    <w:rsid w:val="00F0383C"/>
    <w:rsid w:val="00F03879"/>
    <w:rsid w:val="00F0399B"/>
    <w:rsid w:val="00F039DB"/>
    <w:rsid w:val="00F03ADE"/>
    <w:rsid w:val="00F03F1A"/>
    <w:rsid w:val="00F03F98"/>
    <w:rsid w:val="00F041D0"/>
    <w:rsid w:val="00F041DF"/>
    <w:rsid w:val="00F042D1"/>
    <w:rsid w:val="00F04322"/>
    <w:rsid w:val="00F043C6"/>
    <w:rsid w:val="00F045BB"/>
    <w:rsid w:val="00F0464E"/>
    <w:rsid w:val="00F0496C"/>
    <w:rsid w:val="00F04A73"/>
    <w:rsid w:val="00F04AD9"/>
    <w:rsid w:val="00F04C7A"/>
    <w:rsid w:val="00F04DE0"/>
    <w:rsid w:val="00F04EB1"/>
    <w:rsid w:val="00F04EBF"/>
    <w:rsid w:val="00F04F15"/>
    <w:rsid w:val="00F04FD6"/>
    <w:rsid w:val="00F05036"/>
    <w:rsid w:val="00F051B2"/>
    <w:rsid w:val="00F051BD"/>
    <w:rsid w:val="00F056EE"/>
    <w:rsid w:val="00F05A28"/>
    <w:rsid w:val="00F05BD2"/>
    <w:rsid w:val="00F05D51"/>
    <w:rsid w:val="00F05F96"/>
    <w:rsid w:val="00F05FEC"/>
    <w:rsid w:val="00F06024"/>
    <w:rsid w:val="00F06056"/>
    <w:rsid w:val="00F06092"/>
    <w:rsid w:val="00F0613B"/>
    <w:rsid w:val="00F06170"/>
    <w:rsid w:val="00F061E2"/>
    <w:rsid w:val="00F0620D"/>
    <w:rsid w:val="00F0625A"/>
    <w:rsid w:val="00F0633D"/>
    <w:rsid w:val="00F063D5"/>
    <w:rsid w:val="00F064D9"/>
    <w:rsid w:val="00F064DF"/>
    <w:rsid w:val="00F0678B"/>
    <w:rsid w:val="00F0679F"/>
    <w:rsid w:val="00F06AAB"/>
    <w:rsid w:val="00F06ADD"/>
    <w:rsid w:val="00F06CAA"/>
    <w:rsid w:val="00F06CEA"/>
    <w:rsid w:val="00F06F0C"/>
    <w:rsid w:val="00F07035"/>
    <w:rsid w:val="00F07164"/>
    <w:rsid w:val="00F0719E"/>
    <w:rsid w:val="00F072F5"/>
    <w:rsid w:val="00F073B5"/>
    <w:rsid w:val="00F0759B"/>
    <w:rsid w:val="00F077C6"/>
    <w:rsid w:val="00F07841"/>
    <w:rsid w:val="00F07A5E"/>
    <w:rsid w:val="00F07BE0"/>
    <w:rsid w:val="00F07C84"/>
    <w:rsid w:val="00F07D1D"/>
    <w:rsid w:val="00F07DCA"/>
    <w:rsid w:val="00F07F65"/>
    <w:rsid w:val="00F1024D"/>
    <w:rsid w:val="00F102AF"/>
    <w:rsid w:val="00F1042E"/>
    <w:rsid w:val="00F1045F"/>
    <w:rsid w:val="00F104A8"/>
    <w:rsid w:val="00F10AF3"/>
    <w:rsid w:val="00F10B50"/>
    <w:rsid w:val="00F10CDB"/>
    <w:rsid w:val="00F10DE1"/>
    <w:rsid w:val="00F10E58"/>
    <w:rsid w:val="00F11017"/>
    <w:rsid w:val="00F110BC"/>
    <w:rsid w:val="00F1113E"/>
    <w:rsid w:val="00F111E8"/>
    <w:rsid w:val="00F1126A"/>
    <w:rsid w:val="00F113FC"/>
    <w:rsid w:val="00F11475"/>
    <w:rsid w:val="00F116D3"/>
    <w:rsid w:val="00F1179F"/>
    <w:rsid w:val="00F11824"/>
    <w:rsid w:val="00F11897"/>
    <w:rsid w:val="00F1197D"/>
    <w:rsid w:val="00F11A40"/>
    <w:rsid w:val="00F11AE1"/>
    <w:rsid w:val="00F11AEF"/>
    <w:rsid w:val="00F11B37"/>
    <w:rsid w:val="00F11C0B"/>
    <w:rsid w:val="00F11C3C"/>
    <w:rsid w:val="00F11CAD"/>
    <w:rsid w:val="00F12002"/>
    <w:rsid w:val="00F1215C"/>
    <w:rsid w:val="00F12226"/>
    <w:rsid w:val="00F12242"/>
    <w:rsid w:val="00F123EF"/>
    <w:rsid w:val="00F124DD"/>
    <w:rsid w:val="00F12529"/>
    <w:rsid w:val="00F12582"/>
    <w:rsid w:val="00F12656"/>
    <w:rsid w:val="00F126C9"/>
    <w:rsid w:val="00F126EC"/>
    <w:rsid w:val="00F126F3"/>
    <w:rsid w:val="00F127B2"/>
    <w:rsid w:val="00F128D7"/>
    <w:rsid w:val="00F12C58"/>
    <w:rsid w:val="00F12CA1"/>
    <w:rsid w:val="00F12E23"/>
    <w:rsid w:val="00F12FBD"/>
    <w:rsid w:val="00F1320E"/>
    <w:rsid w:val="00F13259"/>
    <w:rsid w:val="00F132FA"/>
    <w:rsid w:val="00F133A7"/>
    <w:rsid w:val="00F133CC"/>
    <w:rsid w:val="00F134A3"/>
    <w:rsid w:val="00F135B5"/>
    <w:rsid w:val="00F13BB3"/>
    <w:rsid w:val="00F13EA7"/>
    <w:rsid w:val="00F14090"/>
    <w:rsid w:val="00F142AB"/>
    <w:rsid w:val="00F142BA"/>
    <w:rsid w:val="00F14406"/>
    <w:rsid w:val="00F1443C"/>
    <w:rsid w:val="00F144DD"/>
    <w:rsid w:val="00F145AF"/>
    <w:rsid w:val="00F146EE"/>
    <w:rsid w:val="00F14811"/>
    <w:rsid w:val="00F148A3"/>
    <w:rsid w:val="00F1490A"/>
    <w:rsid w:val="00F14A6B"/>
    <w:rsid w:val="00F14A6D"/>
    <w:rsid w:val="00F14A95"/>
    <w:rsid w:val="00F14AD3"/>
    <w:rsid w:val="00F14B31"/>
    <w:rsid w:val="00F14C23"/>
    <w:rsid w:val="00F14D0F"/>
    <w:rsid w:val="00F14D10"/>
    <w:rsid w:val="00F1505E"/>
    <w:rsid w:val="00F15088"/>
    <w:rsid w:val="00F15207"/>
    <w:rsid w:val="00F1528D"/>
    <w:rsid w:val="00F152A2"/>
    <w:rsid w:val="00F15662"/>
    <w:rsid w:val="00F1578B"/>
    <w:rsid w:val="00F15A01"/>
    <w:rsid w:val="00F15BAC"/>
    <w:rsid w:val="00F15C48"/>
    <w:rsid w:val="00F160CD"/>
    <w:rsid w:val="00F160ED"/>
    <w:rsid w:val="00F162B5"/>
    <w:rsid w:val="00F162C0"/>
    <w:rsid w:val="00F162C5"/>
    <w:rsid w:val="00F1632C"/>
    <w:rsid w:val="00F16433"/>
    <w:rsid w:val="00F16497"/>
    <w:rsid w:val="00F164E1"/>
    <w:rsid w:val="00F1650A"/>
    <w:rsid w:val="00F165D5"/>
    <w:rsid w:val="00F16721"/>
    <w:rsid w:val="00F16927"/>
    <w:rsid w:val="00F1694A"/>
    <w:rsid w:val="00F16B6C"/>
    <w:rsid w:val="00F16C28"/>
    <w:rsid w:val="00F16D26"/>
    <w:rsid w:val="00F16DB5"/>
    <w:rsid w:val="00F170A2"/>
    <w:rsid w:val="00F17248"/>
    <w:rsid w:val="00F17582"/>
    <w:rsid w:val="00F17667"/>
    <w:rsid w:val="00F1776E"/>
    <w:rsid w:val="00F177A9"/>
    <w:rsid w:val="00F17828"/>
    <w:rsid w:val="00F1786D"/>
    <w:rsid w:val="00F178BC"/>
    <w:rsid w:val="00F17938"/>
    <w:rsid w:val="00F17AF3"/>
    <w:rsid w:val="00F17AF7"/>
    <w:rsid w:val="00F17B18"/>
    <w:rsid w:val="00F17C99"/>
    <w:rsid w:val="00F17EEE"/>
    <w:rsid w:val="00F17F5D"/>
    <w:rsid w:val="00F200DA"/>
    <w:rsid w:val="00F20159"/>
    <w:rsid w:val="00F2016D"/>
    <w:rsid w:val="00F2035B"/>
    <w:rsid w:val="00F20408"/>
    <w:rsid w:val="00F2047E"/>
    <w:rsid w:val="00F2049A"/>
    <w:rsid w:val="00F20510"/>
    <w:rsid w:val="00F20576"/>
    <w:rsid w:val="00F20591"/>
    <w:rsid w:val="00F207D7"/>
    <w:rsid w:val="00F208EC"/>
    <w:rsid w:val="00F20A1B"/>
    <w:rsid w:val="00F20A2B"/>
    <w:rsid w:val="00F20A94"/>
    <w:rsid w:val="00F20AA3"/>
    <w:rsid w:val="00F20ABA"/>
    <w:rsid w:val="00F20DA1"/>
    <w:rsid w:val="00F20E42"/>
    <w:rsid w:val="00F20EA9"/>
    <w:rsid w:val="00F21069"/>
    <w:rsid w:val="00F21090"/>
    <w:rsid w:val="00F2118D"/>
    <w:rsid w:val="00F2120F"/>
    <w:rsid w:val="00F21344"/>
    <w:rsid w:val="00F2182A"/>
    <w:rsid w:val="00F2186B"/>
    <w:rsid w:val="00F218C0"/>
    <w:rsid w:val="00F218CA"/>
    <w:rsid w:val="00F219AC"/>
    <w:rsid w:val="00F21C95"/>
    <w:rsid w:val="00F21CB8"/>
    <w:rsid w:val="00F21ED0"/>
    <w:rsid w:val="00F21F0E"/>
    <w:rsid w:val="00F220A5"/>
    <w:rsid w:val="00F2221A"/>
    <w:rsid w:val="00F2228C"/>
    <w:rsid w:val="00F22355"/>
    <w:rsid w:val="00F2239B"/>
    <w:rsid w:val="00F223B5"/>
    <w:rsid w:val="00F224CC"/>
    <w:rsid w:val="00F2255D"/>
    <w:rsid w:val="00F2263A"/>
    <w:rsid w:val="00F2269A"/>
    <w:rsid w:val="00F2285F"/>
    <w:rsid w:val="00F228AB"/>
    <w:rsid w:val="00F229E0"/>
    <w:rsid w:val="00F22A35"/>
    <w:rsid w:val="00F22BB5"/>
    <w:rsid w:val="00F22C13"/>
    <w:rsid w:val="00F22CD9"/>
    <w:rsid w:val="00F22FEE"/>
    <w:rsid w:val="00F2306E"/>
    <w:rsid w:val="00F230F7"/>
    <w:rsid w:val="00F232F5"/>
    <w:rsid w:val="00F237D1"/>
    <w:rsid w:val="00F2385D"/>
    <w:rsid w:val="00F238E2"/>
    <w:rsid w:val="00F23921"/>
    <w:rsid w:val="00F239BB"/>
    <w:rsid w:val="00F23AEE"/>
    <w:rsid w:val="00F23B20"/>
    <w:rsid w:val="00F23BC9"/>
    <w:rsid w:val="00F23CBD"/>
    <w:rsid w:val="00F23D36"/>
    <w:rsid w:val="00F23FA3"/>
    <w:rsid w:val="00F23FDA"/>
    <w:rsid w:val="00F241D3"/>
    <w:rsid w:val="00F24292"/>
    <w:rsid w:val="00F243CC"/>
    <w:rsid w:val="00F244E5"/>
    <w:rsid w:val="00F2451D"/>
    <w:rsid w:val="00F245EA"/>
    <w:rsid w:val="00F2468C"/>
    <w:rsid w:val="00F24710"/>
    <w:rsid w:val="00F2493D"/>
    <w:rsid w:val="00F24A40"/>
    <w:rsid w:val="00F24B4C"/>
    <w:rsid w:val="00F24B63"/>
    <w:rsid w:val="00F24C16"/>
    <w:rsid w:val="00F24E0B"/>
    <w:rsid w:val="00F24F69"/>
    <w:rsid w:val="00F252AE"/>
    <w:rsid w:val="00F25333"/>
    <w:rsid w:val="00F25395"/>
    <w:rsid w:val="00F2548B"/>
    <w:rsid w:val="00F2548F"/>
    <w:rsid w:val="00F255C9"/>
    <w:rsid w:val="00F255F1"/>
    <w:rsid w:val="00F257CE"/>
    <w:rsid w:val="00F25C3C"/>
    <w:rsid w:val="00F25D65"/>
    <w:rsid w:val="00F25F3C"/>
    <w:rsid w:val="00F25F8D"/>
    <w:rsid w:val="00F26019"/>
    <w:rsid w:val="00F2605B"/>
    <w:rsid w:val="00F2620C"/>
    <w:rsid w:val="00F263A7"/>
    <w:rsid w:val="00F26529"/>
    <w:rsid w:val="00F265AF"/>
    <w:rsid w:val="00F2685C"/>
    <w:rsid w:val="00F26B35"/>
    <w:rsid w:val="00F26BDB"/>
    <w:rsid w:val="00F26CFA"/>
    <w:rsid w:val="00F2711A"/>
    <w:rsid w:val="00F2712A"/>
    <w:rsid w:val="00F2712F"/>
    <w:rsid w:val="00F271DE"/>
    <w:rsid w:val="00F2727F"/>
    <w:rsid w:val="00F27338"/>
    <w:rsid w:val="00F2742E"/>
    <w:rsid w:val="00F27461"/>
    <w:rsid w:val="00F275F2"/>
    <w:rsid w:val="00F2770F"/>
    <w:rsid w:val="00F27924"/>
    <w:rsid w:val="00F27A76"/>
    <w:rsid w:val="00F27D8B"/>
    <w:rsid w:val="00F27DE4"/>
    <w:rsid w:val="00F2CDC1"/>
    <w:rsid w:val="00F300EC"/>
    <w:rsid w:val="00F300FA"/>
    <w:rsid w:val="00F301C7"/>
    <w:rsid w:val="00F3057A"/>
    <w:rsid w:val="00F306CB"/>
    <w:rsid w:val="00F30969"/>
    <w:rsid w:val="00F30A64"/>
    <w:rsid w:val="00F30C4F"/>
    <w:rsid w:val="00F30D55"/>
    <w:rsid w:val="00F30EC8"/>
    <w:rsid w:val="00F31099"/>
    <w:rsid w:val="00F310D4"/>
    <w:rsid w:val="00F311B7"/>
    <w:rsid w:val="00F31211"/>
    <w:rsid w:val="00F314EB"/>
    <w:rsid w:val="00F315FD"/>
    <w:rsid w:val="00F316FC"/>
    <w:rsid w:val="00F31711"/>
    <w:rsid w:val="00F31771"/>
    <w:rsid w:val="00F3178A"/>
    <w:rsid w:val="00F318E6"/>
    <w:rsid w:val="00F31E91"/>
    <w:rsid w:val="00F31F13"/>
    <w:rsid w:val="00F3235E"/>
    <w:rsid w:val="00F32A0A"/>
    <w:rsid w:val="00F32A14"/>
    <w:rsid w:val="00F32A56"/>
    <w:rsid w:val="00F32C1A"/>
    <w:rsid w:val="00F32F1F"/>
    <w:rsid w:val="00F331A2"/>
    <w:rsid w:val="00F331B7"/>
    <w:rsid w:val="00F334A5"/>
    <w:rsid w:val="00F3359E"/>
    <w:rsid w:val="00F335DB"/>
    <w:rsid w:val="00F3364E"/>
    <w:rsid w:val="00F339EA"/>
    <w:rsid w:val="00F33A11"/>
    <w:rsid w:val="00F33D22"/>
    <w:rsid w:val="00F33D7B"/>
    <w:rsid w:val="00F33D7E"/>
    <w:rsid w:val="00F33DD3"/>
    <w:rsid w:val="00F33E5D"/>
    <w:rsid w:val="00F3401F"/>
    <w:rsid w:val="00F3402B"/>
    <w:rsid w:val="00F3404A"/>
    <w:rsid w:val="00F34148"/>
    <w:rsid w:val="00F342B9"/>
    <w:rsid w:val="00F342E4"/>
    <w:rsid w:val="00F3435F"/>
    <w:rsid w:val="00F34395"/>
    <w:rsid w:val="00F3443B"/>
    <w:rsid w:val="00F3443E"/>
    <w:rsid w:val="00F3447C"/>
    <w:rsid w:val="00F34484"/>
    <w:rsid w:val="00F344EF"/>
    <w:rsid w:val="00F345E6"/>
    <w:rsid w:val="00F345FF"/>
    <w:rsid w:val="00F347B8"/>
    <w:rsid w:val="00F34911"/>
    <w:rsid w:val="00F34946"/>
    <w:rsid w:val="00F34947"/>
    <w:rsid w:val="00F349D5"/>
    <w:rsid w:val="00F34A26"/>
    <w:rsid w:val="00F34AC7"/>
    <w:rsid w:val="00F34B68"/>
    <w:rsid w:val="00F34D0B"/>
    <w:rsid w:val="00F34DF7"/>
    <w:rsid w:val="00F34E59"/>
    <w:rsid w:val="00F34F09"/>
    <w:rsid w:val="00F3504B"/>
    <w:rsid w:val="00F35170"/>
    <w:rsid w:val="00F351C7"/>
    <w:rsid w:val="00F354F9"/>
    <w:rsid w:val="00F355EF"/>
    <w:rsid w:val="00F35813"/>
    <w:rsid w:val="00F3583A"/>
    <w:rsid w:val="00F358B6"/>
    <w:rsid w:val="00F358E4"/>
    <w:rsid w:val="00F35AD1"/>
    <w:rsid w:val="00F35D49"/>
    <w:rsid w:val="00F3609F"/>
    <w:rsid w:val="00F36257"/>
    <w:rsid w:val="00F3640B"/>
    <w:rsid w:val="00F36468"/>
    <w:rsid w:val="00F36672"/>
    <w:rsid w:val="00F366B2"/>
    <w:rsid w:val="00F36729"/>
    <w:rsid w:val="00F36732"/>
    <w:rsid w:val="00F36742"/>
    <w:rsid w:val="00F36B78"/>
    <w:rsid w:val="00F36D08"/>
    <w:rsid w:val="00F36EB7"/>
    <w:rsid w:val="00F36F63"/>
    <w:rsid w:val="00F37116"/>
    <w:rsid w:val="00F37320"/>
    <w:rsid w:val="00F3732B"/>
    <w:rsid w:val="00F373C1"/>
    <w:rsid w:val="00F37967"/>
    <w:rsid w:val="00F37C38"/>
    <w:rsid w:val="00F37E34"/>
    <w:rsid w:val="00F37E70"/>
    <w:rsid w:val="00F37E96"/>
    <w:rsid w:val="00F4006D"/>
    <w:rsid w:val="00F402AF"/>
    <w:rsid w:val="00F402F4"/>
    <w:rsid w:val="00F403BC"/>
    <w:rsid w:val="00F403D9"/>
    <w:rsid w:val="00F4041A"/>
    <w:rsid w:val="00F404F3"/>
    <w:rsid w:val="00F4070C"/>
    <w:rsid w:val="00F408FB"/>
    <w:rsid w:val="00F40A02"/>
    <w:rsid w:val="00F40D4A"/>
    <w:rsid w:val="00F40DF8"/>
    <w:rsid w:val="00F40EF2"/>
    <w:rsid w:val="00F40FE1"/>
    <w:rsid w:val="00F4106D"/>
    <w:rsid w:val="00F410DB"/>
    <w:rsid w:val="00F41220"/>
    <w:rsid w:val="00F41462"/>
    <w:rsid w:val="00F41483"/>
    <w:rsid w:val="00F416AB"/>
    <w:rsid w:val="00F41756"/>
    <w:rsid w:val="00F4183E"/>
    <w:rsid w:val="00F41B1A"/>
    <w:rsid w:val="00F41DD4"/>
    <w:rsid w:val="00F42021"/>
    <w:rsid w:val="00F42097"/>
    <w:rsid w:val="00F4218A"/>
    <w:rsid w:val="00F4248A"/>
    <w:rsid w:val="00F42654"/>
    <w:rsid w:val="00F427A5"/>
    <w:rsid w:val="00F4283D"/>
    <w:rsid w:val="00F42878"/>
    <w:rsid w:val="00F4292E"/>
    <w:rsid w:val="00F42936"/>
    <w:rsid w:val="00F42D7D"/>
    <w:rsid w:val="00F42E7B"/>
    <w:rsid w:val="00F42F45"/>
    <w:rsid w:val="00F42FB9"/>
    <w:rsid w:val="00F42FCB"/>
    <w:rsid w:val="00F433A2"/>
    <w:rsid w:val="00F433A3"/>
    <w:rsid w:val="00F433E8"/>
    <w:rsid w:val="00F434F8"/>
    <w:rsid w:val="00F4356D"/>
    <w:rsid w:val="00F43729"/>
    <w:rsid w:val="00F43806"/>
    <w:rsid w:val="00F43965"/>
    <w:rsid w:val="00F43A29"/>
    <w:rsid w:val="00F43AB4"/>
    <w:rsid w:val="00F43C31"/>
    <w:rsid w:val="00F43E38"/>
    <w:rsid w:val="00F43E4F"/>
    <w:rsid w:val="00F43F69"/>
    <w:rsid w:val="00F44173"/>
    <w:rsid w:val="00F44174"/>
    <w:rsid w:val="00F44310"/>
    <w:rsid w:val="00F44399"/>
    <w:rsid w:val="00F446B7"/>
    <w:rsid w:val="00F446BB"/>
    <w:rsid w:val="00F446E1"/>
    <w:rsid w:val="00F448AF"/>
    <w:rsid w:val="00F44A2B"/>
    <w:rsid w:val="00F44A74"/>
    <w:rsid w:val="00F44AE3"/>
    <w:rsid w:val="00F44C29"/>
    <w:rsid w:val="00F44D3F"/>
    <w:rsid w:val="00F44DB2"/>
    <w:rsid w:val="00F44E0A"/>
    <w:rsid w:val="00F44E4F"/>
    <w:rsid w:val="00F44EFA"/>
    <w:rsid w:val="00F44F28"/>
    <w:rsid w:val="00F45088"/>
    <w:rsid w:val="00F451DA"/>
    <w:rsid w:val="00F452BB"/>
    <w:rsid w:val="00F4542F"/>
    <w:rsid w:val="00F45650"/>
    <w:rsid w:val="00F457B3"/>
    <w:rsid w:val="00F45865"/>
    <w:rsid w:val="00F45D04"/>
    <w:rsid w:val="00F45E97"/>
    <w:rsid w:val="00F460E9"/>
    <w:rsid w:val="00F46135"/>
    <w:rsid w:val="00F461C7"/>
    <w:rsid w:val="00F4636D"/>
    <w:rsid w:val="00F46470"/>
    <w:rsid w:val="00F464C2"/>
    <w:rsid w:val="00F46875"/>
    <w:rsid w:val="00F468F5"/>
    <w:rsid w:val="00F46A86"/>
    <w:rsid w:val="00F46F7F"/>
    <w:rsid w:val="00F47049"/>
    <w:rsid w:val="00F4707D"/>
    <w:rsid w:val="00F471AA"/>
    <w:rsid w:val="00F47222"/>
    <w:rsid w:val="00F473C0"/>
    <w:rsid w:val="00F473F0"/>
    <w:rsid w:val="00F4744C"/>
    <w:rsid w:val="00F47480"/>
    <w:rsid w:val="00F47630"/>
    <w:rsid w:val="00F4765A"/>
    <w:rsid w:val="00F477FD"/>
    <w:rsid w:val="00F4788D"/>
    <w:rsid w:val="00F478BC"/>
    <w:rsid w:val="00F478D8"/>
    <w:rsid w:val="00F479FE"/>
    <w:rsid w:val="00F47A7D"/>
    <w:rsid w:val="00F47D30"/>
    <w:rsid w:val="00F47D92"/>
    <w:rsid w:val="00F47E2A"/>
    <w:rsid w:val="00F47FE3"/>
    <w:rsid w:val="00F50191"/>
    <w:rsid w:val="00F50249"/>
    <w:rsid w:val="00F502E0"/>
    <w:rsid w:val="00F50534"/>
    <w:rsid w:val="00F50568"/>
    <w:rsid w:val="00F5058A"/>
    <w:rsid w:val="00F505B5"/>
    <w:rsid w:val="00F505D4"/>
    <w:rsid w:val="00F505DC"/>
    <w:rsid w:val="00F507B7"/>
    <w:rsid w:val="00F507F8"/>
    <w:rsid w:val="00F508AC"/>
    <w:rsid w:val="00F508E5"/>
    <w:rsid w:val="00F50919"/>
    <w:rsid w:val="00F50ACF"/>
    <w:rsid w:val="00F50B36"/>
    <w:rsid w:val="00F50CD1"/>
    <w:rsid w:val="00F50DF8"/>
    <w:rsid w:val="00F50E05"/>
    <w:rsid w:val="00F5137A"/>
    <w:rsid w:val="00F51419"/>
    <w:rsid w:val="00F51462"/>
    <w:rsid w:val="00F51681"/>
    <w:rsid w:val="00F5178B"/>
    <w:rsid w:val="00F5189C"/>
    <w:rsid w:val="00F51A0D"/>
    <w:rsid w:val="00F51A6A"/>
    <w:rsid w:val="00F51A6E"/>
    <w:rsid w:val="00F51D58"/>
    <w:rsid w:val="00F52412"/>
    <w:rsid w:val="00F52462"/>
    <w:rsid w:val="00F5253B"/>
    <w:rsid w:val="00F525A6"/>
    <w:rsid w:val="00F52626"/>
    <w:rsid w:val="00F5273A"/>
    <w:rsid w:val="00F52785"/>
    <w:rsid w:val="00F5280D"/>
    <w:rsid w:val="00F52836"/>
    <w:rsid w:val="00F5296D"/>
    <w:rsid w:val="00F52B94"/>
    <w:rsid w:val="00F52C76"/>
    <w:rsid w:val="00F52C85"/>
    <w:rsid w:val="00F52F2D"/>
    <w:rsid w:val="00F52F34"/>
    <w:rsid w:val="00F531EB"/>
    <w:rsid w:val="00F53291"/>
    <w:rsid w:val="00F53292"/>
    <w:rsid w:val="00F533C3"/>
    <w:rsid w:val="00F535B6"/>
    <w:rsid w:val="00F5366F"/>
    <w:rsid w:val="00F53683"/>
    <w:rsid w:val="00F53913"/>
    <w:rsid w:val="00F53AF6"/>
    <w:rsid w:val="00F53B1D"/>
    <w:rsid w:val="00F53C0C"/>
    <w:rsid w:val="00F53C6C"/>
    <w:rsid w:val="00F53E43"/>
    <w:rsid w:val="00F54053"/>
    <w:rsid w:val="00F5431C"/>
    <w:rsid w:val="00F543DC"/>
    <w:rsid w:val="00F5448A"/>
    <w:rsid w:val="00F54796"/>
    <w:rsid w:val="00F548B7"/>
    <w:rsid w:val="00F54B02"/>
    <w:rsid w:val="00F54B29"/>
    <w:rsid w:val="00F54B2D"/>
    <w:rsid w:val="00F54BE7"/>
    <w:rsid w:val="00F54C70"/>
    <w:rsid w:val="00F54E2E"/>
    <w:rsid w:val="00F54E65"/>
    <w:rsid w:val="00F55580"/>
    <w:rsid w:val="00F556ED"/>
    <w:rsid w:val="00F5574D"/>
    <w:rsid w:val="00F557C3"/>
    <w:rsid w:val="00F55897"/>
    <w:rsid w:val="00F55CA7"/>
    <w:rsid w:val="00F55CFF"/>
    <w:rsid w:val="00F55D3D"/>
    <w:rsid w:val="00F55E44"/>
    <w:rsid w:val="00F56576"/>
    <w:rsid w:val="00F56627"/>
    <w:rsid w:val="00F5665F"/>
    <w:rsid w:val="00F568BA"/>
    <w:rsid w:val="00F568E3"/>
    <w:rsid w:val="00F5693D"/>
    <w:rsid w:val="00F56A6F"/>
    <w:rsid w:val="00F56AD9"/>
    <w:rsid w:val="00F56B47"/>
    <w:rsid w:val="00F56DDF"/>
    <w:rsid w:val="00F56E7D"/>
    <w:rsid w:val="00F5708B"/>
    <w:rsid w:val="00F57133"/>
    <w:rsid w:val="00F571D7"/>
    <w:rsid w:val="00F5724C"/>
    <w:rsid w:val="00F572EE"/>
    <w:rsid w:val="00F574B5"/>
    <w:rsid w:val="00F57513"/>
    <w:rsid w:val="00F57550"/>
    <w:rsid w:val="00F576BF"/>
    <w:rsid w:val="00F57752"/>
    <w:rsid w:val="00F5778C"/>
    <w:rsid w:val="00F577ED"/>
    <w:rsid w:val="00F57AF0"/>
    <w:rsid w:val="00F57C1E"/>
    <w:rsid w:val="00F57E19"/>
    <w:rsid w:val="00F57EBB"/>
    <w:rsid w:val="00F60099"/>
    <w:rsid w:val="00F6015A"/>
    <w:rsid w:val="00F6016A"/>
    <w:rsid w:val="00F6028E"/>
    <w:rsid w:val="00F60310"/>
    <w:rsid w:val="00F60608"/>
    <w:rsid w:val="00F6085B"/>
    <w:rsid w:val="00F60929"/>
    <w:rsid w:val="00F60E5F"/>
    <w:rsid w:val="00F60ED9"/>
    <w:rsid w:val="00F60F02"/>
    <w:rsid w:val="00F60FC4"/>
    <w:rsid w:val="00F61117"/>
    <w:rsid w:val="00F6113F"/>
    <w:rsid w:val="00F612A1"/>
    <w:rsid w:val="00F612B6"/>
    <w:rsid w:val="00F61316"/>
    <w:rsid w:val="00F61615"/>
    <w:rsid w:val="00F61636"/>
    <w:rsid w:val="00F616E0"/>
    <w:rsid w:val="00F618AC"/>
    <w:rsid w:val="00F61925"/>
    <w:rsid w:val="00F6197C"/>
    <w:rsid w:val="00F61B8B"/>
    <w:rsid w:val="00F61BF3"/>
    <w:rsid w:val="00F61D86"/>
    <w:rsid w:val="00F61E06"/>
    <w:rsid w:val="00F620F3"/>
    <w:rsid w:val="00F62328"/>
    <w:rsid w:val="00F624D8"/>
    <w:rsid w:val="00F62580"/>
    <w:rsid w:val="00F62989"/>
    <w:rsid w:val="00F62A56"/>
    <w:rsid w:val="00F62B79"/>
    <w:rsid w:val="00F62B9B"/>
    <w:rsid w:val="00F62D26"/>
    <w:rsid w:val="00F62DE2"/>
    <w:rsid w:val="00F62E2F"/>
    <w:rsid w:val="00F62E59"/>
    <w:rsid w:val="00F6304C"/>
    <w:rsid w:val="00F63064"/>
    <w:rsid w:val="00F63152"/>
    <w:rsid w:val="00F6319E"/>
    <w:rsid w:val="00F632EB"/>
    <w:rsid w:val="00F633BE"/>
    <w:rsid w:val="00F6349A"/>
    <w:rsid w:val="00F63614"/>
    <w:rsid w:val="00F639C7"/>
    <w:rsid w:val="00F639D9"/>
    <w:rsid w:val="00F63B80"/>
    <w:rsid w:val="00F63CDB"/>
    <w:rsid w:val="00F63D07"/>
    <w:rsid w:val="00F63DB7"/>
    <w:rsid w:val="00F63EA7"/>
    <w:rsid w:val="00F64103"/>
    <w:rsid w:val="00F641D4"/>
    <w:rsid w:val="00F641F9"/>
    <w:rsid w:val="00F64262"/>
    <w:rsid w:val="00F64340"/>
    <w:rsid w:val="00F64348"/>
    <w:rsid w:val="00F645A1"/>
    <w:rsid w:val="00F6475B"/>
    <w:rsid w:val="00F647D1"/>
    <w:rsid w:val="00F64ACE"/>
    <w:rsid w:val="00F64BCD"/>
    <w:rsid w:val="00F64CA2"/>
    <w:rsid w:val="00F64CA3"/>
    <w:rsid w:val="00F64D43"/>
    <w:rsid w:val="00F64FA5"/>
    <w:rsid w:val="00F65014"/>
    <w:rsid w:val="00F65283"/>
    <w:rsid w:val="00F6538B"/>
    <w:rsid w:val="00F65559"/>
    <w:rsid w:val="00F6555D"/>
    <w:rsid w:val="00F656CE"/>
    <w:rsid w:val="00F6595C"/>
    <w:rsid w:val="00F65C57"/>
    <w:rsid w:val="00F65DB2"/>
    <w:rsid w:val="00F65F34"/>
    <w:rsid w:val="00F65FAF"/>
    <w:rsid w:val="00F66004"/>
    <w:rsid w:val="00F66276"/>
    <w:rsid w:val="00F662D6"/>
    <w:rsid w:val="00F662F0"/>
    <w:rsid w:val="00F6640C"/>
    <w:rsid w:val="00F66523"/>
    <w:rsid w:val="00F6656E"/>
    <w:rsid w:val="00F66683"/>
    <w:rsid w:val="00F667A8"/>
    <w:rsid w:val="00F667AD"/>
    <w:rsid w:val="00F66814"/>
    <w:rsid w:val="00F66849"/>
    <w:rsid w:val="00F66B6C"/>
    <w:rsid w:val="00F66BB5"/>
    <w:rsid w:val="00F66CA8"/>
    <w:rsid w:val="00F66E2B"/>
    <w:rsid w:val="00F66E46"/>
    <w:rsid w:val="00F6708B"/>
    <w:rsid w:val="00F67189"/>
    <w:rsid w:val="00F673A7"/>
    <w:rsid w:val="00F674F0"/>
    <w:rsid w:val="00F6773C"/>
    <w:rsid w:val="00F6774D"/>
    <w:rsid w:val="00F677CE"/>
    <w:rsid w:val="00F677D4"/>
    <w:rsid w:val="00F67994"/>
    <w:rsid w:val="00F67B56"/>
    <w:rsid w:val="00F67D63"/>
    <w:rsid w:val="00F67EA1"/>
    <w:rsid w:val="00F67EA5"/>
    <w:rsid w:val="00F67F88"/>
    <w:rsid w:val="00F67FC3"/>
    <w:rsid w:val="00F70166"/>
    <w:rsid w:val="00F701A5"/>
    <w:rsid w:val="00F701AF"/>
    <w:rsid w:val="00F702B4"/>
    <w:rsid w:val="00F7030A"/>
    <w:rsid w:val="00F7030E"/>
    <w:rsid w:val="00F7052A"/>
    <w:rsid w:val="00F707D5"/>
    <w:rsid w:val="00F70A65"/>
    <w:rsid w:val="00F70AE9"/>
    <w:rsid w:val="00F70BBC"/>
    <w:rsid w:val="00F70C98"/>
    <w:rsid w:val="00F70CA2"/>
    <w:rsid w:val="00F70D83"/>
    <w:rsid w:val="00F70F59"/>
    <w:rsid w:val="00F71008"/>
    <w:rsid w:val="00F71119"/>
    <w:rsid w:val="00F711D5"/>
    <w:rsid w:val="00F712C2"/>
    <w:rsid w:val="00F71332"/>
    <w:rsid w:val="00F71342"/>
    <w:rsid w:val="00F7142C"/>
    <w:rsid w:val="00F7149B"/>
    <w:rsid w:val="00F7150B"/>
    <w:rsid w:val="00F7163C"/>
    <w:rsid w:val="00F7167B"/>
    <w:rsid w:val="00F71797"/>
    <w:rsid w:val="00F717C1"/>
    <w:rsid w:val="00F71AAC"/>
    <w:rsid w:val="00F71B7C"/>
    <w:rsid w:val="00F71CE2"/>
    <w:rsid w:val="00F71DC6"/>
    <w:rsid w:val="00F71E48"/>
    <w:rsid w:val="00F71F32"/>
    <w:rsid w:val="00F71F66"/>
    <w:rsid w:val="00F720AF"/>
    <w:rsid w:val="00F72151"/>
    <w:rsid w:val="00F72290"/>
    <w:rsid w:val="00F7250D"/>
    <w:rsid w:val="00F7252C"/>
    <w:rsid w:val="00F72678"/>
    <w:rsid w:val="00F7270F"/>
    <w:rsid w:val="00F72C4D"/>
    <w:rsid w:val="00F72DC8"/>
    <w:rsid w:val="00F72EB0"/>
    <w:rsid w:val="00F72FBC"/>
    <w:rsid w:val="00F733B8"/>
    <w:rsid w:val="00F73400"/>
    <w:rsid w:val="00F73553"/>
    <w:rsid w:val="00F7376F"/>
    <w:rsid w:val="00F737CC"/>
    <w:rsid w:val="00F738C4"/>
    <w:rsid w:val="00F739C4"/>
    <w:rsid w:val="00F73D60"/>
    <w:rsid w:val="00F73F70"/>
    <w:rsid w:val="00F73FB5"/>
    <w:rsid w:val="00F7400D"/>
    <w:rsid w:val="00F7408C"/>
    <w:rsid w:val="00F74327"/>
    <w:rsid w:val="00F7444A"/>
    <w:rsid w:val="00F74456"/>
    <w:rsid w:val="00F74476"/>
    <w:rsid w:val="00F744CA"/>
    <w:rsid w:val="00F74593"/>
    <w:rsid w:val="00F745A6"/>
    <w:rsid w:val="00F746D7"/>
    <w:rsid w:val="00F74759"/>
    <w:rsid w:val="00F74794"/>
    <w:rsid w:val="00F7488A"/>
    <w:rsid w:val="00F748BA"/>
    <w:rsid w:val="00F74939"/>
    <w:rsid w:val="00F74956"/>
    <w:rsid w:val="00F74A0D"/>
    <w:rsid w:val="00F74ADB"/>
    <w:rsid w:val="00F74BCD"/>
    <w:rsid w:val="00F75111"/>
    <w:rsid w:val="00F75117"/>
    <w:rsid w:val="00F75151"/>
    <w:rsid w:val="00F7519E"/>
    <w:rsid w:val="00F751E3"/>
    <w:rsid w:val="00F75216"/>
    <w:rsid w:val="00F7529F"/>
    <w:rsid w:val="00F75396"/>
    <w:rsid w:val="00F75432"/>
    <w:rsid w:val="00F755C4"/>
    <w:rsid w:val="00F75621"/>
    <w:rsid w:val="00F758E6"/>
    <w:rsid w:val="00F759B9"/>
    <w:rsid w:val="00F75B29"/>
    <w:rsid w:val="00F75CAB"/>
    <w:rsid w:val="00F75D87"/>
    <w:rsid w:val="00F75DE5"/>
    <w:rsid w:val="00F75E30"/>
    <w:rsid w:val="00F75F08"/>
    <w:rsid w:val="00F75F63"/>
    <w:rsid w:val="00F7604B"/>
    <w:rsid w:val="00F7605E"/>
    <w:rsid w:val="00F76226"/>
    <w:rsid w:val="00F76347"/>
    <w:rsid w:val="00F76493"/>
    <w:rsid w:val="00F7668F"/>
    <w:rsid w:val="00F766F1"/>
    <w:rsid w:val="00F76809"/>
    <w:rsid w:val="00F7683C"/>
    <w:rsid w:val="00F76EC0"/>
    <w:rsid w:val="00F76EF3"/>
    <w:rsid w:val="00F77387"/>
    <w:rsid w:val="00F77585"/>
    <w:rsid w:val="00F77656"/>
    <w:rsid w:val="00F77894"/>
    <w:rsid w:val="00F77B15"/>
    <w:rsid w:val="00F77C21"/>
    <w:rsid w:val="00F77E7A"/>
    <w:rsid w:val="00F77EB7"/>
    <w:rsid w:val="00F800E7"/>
    <w:rsid w:val="00F8010A"/>
    <w:rsid w:val="00F80185"/>
    <w:rsid w:val="00F8020E"/>
    <w:rsid w:val="00F80303"/>
    <w:rsid w:val="00F804CF"/>
    <w:rsid w:val="00F807F1"/>
    <w:rsid w:val="00F80CC4"/>
    <w:rsid w:val="00F80CEE"/>
    <w:rsid w:val="00F80DB2"/>
    <w:rsid w:val="00F80E2E"/>
    <w:rsid w:val="00F80F84"/>
    <w:rsid w:val="00F81065"/>
    <w:rsid w:val="00F8128D"/>
    <w:rsid w:val="00F812A7"/>
    <w:rsid w:val="00F813E7"/>
    <w:rsid w:val="00F8148A"/>
    <w:rsid w:val="00F81617"/>
    <w:rsid w:val="00F819B2"/>
    <w:rsid w:val="00F819BA"/>
    <w:rsid w:val="00F81AB1"/>
    <w:rsid w:val="00F81B6D"/>
    <w:rsid w:val="00F81C0B"/>
    <w:rsid w:val="00F81C74"/>
    <w:rsid w:val="00F81F3D"/>
    <w:rsid w:val="00F82035"/>
    <w:rsid w:val="00F82174"/>
    <w:rsid w:val="00F821CD"/>
    <w:rsid w:val="00F822B3"/>
    <w:rsid w:val="00F824F8"/>
    <w:rsid w:val="00F8259A"/>
    <w:rsid w:val="00F82682"/>
    <w:rsid w:val="00F827FF"/>
    <w:rsid w:val="00F82924"/>
    <w:rsid w:val="00F829B2"/>
    <w:rsid w:val="00F82A12"/>
    <w:rsid w:val="00F82AD5"/>
    <w:rsid w:val="00F82C55"/>
    <w:rsid w:val="00F82D49"/>
    <w:rsid w:val="00F82F41"/>
    <w:rsid w:val="00F83261"/>
    <w:rsid w:val="00F8335C"/>
    <w:rsid w:val="00F8336B"/>
    <w:rsid w:val="00F83696"/>
    <w:rsid w:val="00F83883"/>
    <w:rsid w:val="00F83974"/>
    <w:rsid w:val="00F83AAC"/>
    <w:rsid w:val="00F83CA4"/>
    <w:rsid w:val="00F83D41"/>
    <w:rsid w:val="00F83EA2"/>
    <w:rsid w:val="00F83F70"/>
    <w:rsid w:val="00F83FB9"/>
    <w:rsid w:val="00F840BB"/>
    <w:rsid w:val="00F84277"/>
    <w:rsid w:val="00F84317"/>
    <w:rsid w:val="00F84354"/>
    <w:rsid w:val="00F8458E"/>
    <w:rsid w:val="00F8459B"/>
    <w:rsid w:val="00F8498F"/>
    <w:rsid w:val="00F849CC"/>
    <w:rsid w:val="00F84A5A"/>
    <w:rsid w:val="00F84C34"/>
    <w:rsid w:val="00F84C53"/>
    <w:rsid w:val="00F84D31"/>
    <w:rsid w:val="00F84D88"/>
    <w:rsid w:val="00F84F19"/>
    <w:rsid w:val="00F850AE"/>
    <w:rsid w:val="00F851DA"/>
    <w:rsid w:val="00F85209"/>
    <w:rsid w:val="00F85360"/>
    <w:rsid w:val="00F85587"/>
    <w:rsid w:val="00F855C0"/>
    <w:rsid w:val="00F8563A"/>
    <w:rsid w:val="00F85888"/>
    <w:rsid w:val="00F858FE"/>
    <w:rsid w:val="00F859CF"/>
    <w:rsid w:val="00F85C8F"/>
    <w:rsid w:val="00F85CCD"/>
    <w:rsid w:val="00F85EE8"/>
    <w:rsid w:val="00F86056"/>
    <w:rsid w:val="00F8643B"/>
    <w:rsid w:val="00F865BF"/>
    <w:rsid w:val="00F865C1"/>
    <w:rsid w:val="00F86839"/>
    <w:rsid w:val="00F868BE"/>
    <w:rsid w:val="00F869A0"/>
    <w:rsid w:val="00F86BD8"/>
    <w:rsid w:val="00F86F20"/>
    <w:rsid w:val="00F86F3D"/>
    <w:rsid w:val="00F8704B"/>
    <w:rsid w:val="00F87211"/>
    <w:rsid w:val="00F8728B"/>
    <w:rsid w:val="00F872CA"/>
    <w:rsid w:val="00F873A0"/>
    <w:rsid w:val="00F873D2"/>
    <w:rsid w:val="00F8742E"/>
    <w:rsid w:val="00F874FB"/>
    <w:rsid w:val="00F87550"/>
    <w:rsid w:val="00F875CF"/>
    <w:rsid w:val="00F876ED"/>
    <w:rsid w:val="00F8789A"/>
    <w:rsid w:val="00F87BC8"/>
    <w:rsid w:val="00F87CEB"/>
    <w:rsid w:val="00F87E29"/>
    <w:rsid w:val="00F87F47"/>
    <w:rsid w:val="00F87FD8"/>
    <w:rsid w:val="00F9008D"/>
    <w:rsid w:val="00F900AA"/>
    <w:rsid w:val="00F901F5"/>
    <w:rsid w:val="00F90249"/>
    <w:rsid w:val="00F902CD"/>
    <w:rsid w:val="00F90326"/>
    <w:rsid w:val="00F9038A"/>
    <w:rsid w:val="00F904E7"/>
    <w:rsid w:val="00F90720"/>
    <w:rsid w:val="00F909E8"/>
    <w:rsid w:val="00F90D67"/>
    <w:rsid w:val="00F90E2A"/>
    <w:rsid w:val="00F90E54"/>
    <w:rsid w:val="00F90F69"/>
    <w:rsid w:val="00F9107C"/>
    <w:rsid w:val="00F91136"/>
    <w:rsid w:val="00F91176"/>
    <w:rsid w:val="00F9122D"/>
    <w:rsid w:val="00F91372"/>
    <w:rsid w:val="00F91452"/>
    <w:rsid w:val="00F91854"/>
    <w:rsid w:val="00F918AB"/>
    <w:rsid w:val="00F91959"/>
    <w:rsid w:val="00F919F1"/>
    <w:rsid w:val="00F91D21"/>
    <w:rsid w:val="00F91E6D"/>
    <w:rsid w:val="00F91E7B"/>
    <w:rsid w:val="00F91EA5"/>
    <w:rsid w:val="00F91EB5"/>
    <w:rsid w:val="00F92068"/>
    <w:rsid w:val="00F92229"/>
    <w:rsid w:val="00F92413"/>
    <w:rsid w:val="00F92434"/>
    <w:rsid w:val="00F92574"/>
    <w:rsid w:val="00F925C2"/>
    <w:rsid w:val="00F92634"/>
    <w:rsid w:val="00F92742"/>
    <w:rsid w:val="00F92830"/>
    <w:rsid w:val="00F92A59"/>
    <w:rsid w:val="00F92BA5"/>
    <w:rsid w:val="00F92C13"/>
    <w:rsid w:val="00F92C24"/>
    <w:rsid w:val="00F92D1D"/>
    <w:rsid w:val="00F92E7C"/>
    <w:rsid w:val="00F92F35"/>
    <w:rsid w:val="00F93023"/>
    <w:rsid w:val="00F9328F"/>
    <w:rsid w:val="00F933C2"/>
    <w:rsid w:val="00F9345E"/>
    <w:rsid w:val="00F9347E"/>
    <w:rsid w:val="00F9352D"/>
    <w:rsid w:val="00F9361D"/>
    <w:rsid w:val="00F93645"/>
    <w:rsid w:val="00F936CF"/>
    <w:rsid w:val="00F9386A"/>
    <w:rsid w:val="00F93A64"/>
    <w:rsid w:val="00F93B0F"/>
    <w:rsid w:val="00F93E06"/>
    <w:rsid w:val="00F93F2B"/>
    <w:rsid w:val="00F93F8B"/>
    <w:rsid w:val="00F9411C"/>
    <w:rsid w:val="00F9422A"/>
    <w:rsid w:val="00F9447E"/>
    <w:rsid w:val="00F944E5"/>
    <w:rsid w:val="00F9459D"/>
    <w:rsid w:val="00F94695"/>
    <w:rsid w:val="00F94831"/>
    <w:rsid w:val="00F9497B"/>
    <w:rsid w:val="00F94A34"/>
    <w:rsid w:val="00F94B5D"/>
    <w:rsid w:val="00F94BA4"/>
    <w:rsid w:val="00F94EE4"/>
    <w:rsid w:val="00F94FE1"/>
    <w:rsid w:val="00F95060"/>
    <w:rsid w:val="00F9506B"/>
    <w:rsid w:val="00F950E5"/>
    <w:rsid w:val="00F954F5"/>
    <w:rsid w:val="00F95539"/>
    <w:rsid w:val="00F95690"/>
    <w:rsid w:val="00F95718"/>
    <w:rsid w:val="00F9590D"/>
    <w:rsid w:val="00F9591F"/>
    <w:rsid w:val="00F959BF"/>
    <w:rsid w:val="00F959DE"/>
    <w:rsid w:val="00F95C2F"/>
    <w:rsid w:val="00F95CA6"/>
    <w:rsid w:val="00F95CA9"/>
    <w:rsid w:val="00F95D0B"/>
    <w:rsid w:val="00F95D30"/>
    <w:rsid w:val="00F95EEE"/>
    <w:rsid w:val="00F96079"/>
    <w:rsid w:val="00F96087"/>
    <w:rsid w:val="00F960DB"/>
    <w:rsid w:val="00F960F4"/>
    <w:rsid w:val="00F96144"/>
    <w:rsid w:val="00F9618D"/>
    <w:rsid w:val="00F961DB"/>
    <w:rsid w:val="00F9622F"/>
    <w:rsid w:val="00F962C5"/>
    <w:rsid w:val="00F963A8"/>
    <w:rsid w:val="00F963D5"/>
    <w:rsid w:val="00F965AF"/>
    <w:rsid w:val="00F96651"/>
    <w:rsid w:val="00F967A7"/>
    <w:rsid w:val="00F967E2"/>
    <w:rsid w:val="00F96821"/>
    <w:rsid w:val="00F96A5B"/>
    <w:rsid w:val="00F96D32"/>
    <w:rsid w:val="00F970C4"/>
    <w:rsid w:val="00F970CB"/>
    <w:rsid w:val="00F97143"/>
    <w:rsid w:val="00F97228"/>
    <w:rsid w:val="00F972AA"/>
    <w:rsid w:val="00F974EC"/>
    <w:rsid w:val="00F97505"/>
    <w:rsid w:val="00F97726"/>
    <w:rsid w:val="00F9779E"/>
    <w:rsid w:val="00F978A7"/>
    <w:rsid w:val="00F978B4"/>
    <w:rsid w:val="00F97A11"/>
    <w:rsid w:val="00F97A28"/>
    <w:rsid w:val="00F97A93"/>
    <w:rsid w:val="00F97B4B"/>
    <w:rsid w:val="00F97C1D"/>
    <w:rsid w:val="00F97E76"/>
    <w:rsid w:val="00FA016A"/>
    <w:rsid w:val="00FA034C"/>
    <w:rsid w:val="00FA03EF"/>
    <w:rsid w:val="00FA068B"/>
    <w:rsid w:val="00FA081B"/>
    <w:rsid w:val="00FA08C9"/>
    <w:rsid w:val="00FA09B7"/>
    <w:rsid w:val="00FA09EE"/>
    <w:rsid w:val="00FA0AFB"/>
    <w:rsid w:val="00FA0C3C"/>
    <w:rsid w:val="00FA0E2C"/>
    <w:rsid w:val="00FA0E31"/>
    <w:rsid w:val="00FA102F"/>
    <w:rsid w:val="00FA10A1"/>
    <w:rsid w:val="00FA12D8"/>
    <w:rsid w:val="00FA12E7"/>
    <w:rsid w:val="00FA133B"/>
    <w:rsid w:val="00FA1573"/>
    <w:rsid w:val="00FA158E"/>
    <w:rsid w:val="00FA1A48"/>
    <w:rsid w:val="00FA1AB5"/>
    <w:rsid w:val="00FA1BD2"/>
    <w:rsid w:val="00FA1C18"/>
    <w:rsid w:val="00FA1D13"/>
    <w:rsid w:val="00FA1D4D"/>
    <w:rsid w:val="00FA1E42"/>
    <w:rsid w:val="00FA1F15"/>
    <w:rsid w:val="00FA2486"/>
    <w:rsid w:val="00FA2570"/>
    <w:rsid w:val="00FA25A3"/>
    <w:rsid w:val="00FA2867"/>
    <w:rsid w:val="00FA2AE0"/>
    <w:rsid w:val="00FA2AE8"/>
    <w:rsid w:val="00FA2BF9"/>
    <w:rsid w:val="00FA2CA1"/>
    <w:rsid w:val="00FA2D23"/>
    <w:rsid w:val="00FA30AA"/>
    <w:rsid w:val="00FA30D2"/>
    <w:rsid w:val="00FA3121"/>
    <w:rsid w:val="00FA3192"/>
    <w:rsid w:val="00FA3510"/>
    <w:rsid w:val="00FA37BB"/>
    <w:rsid w:val="00FA3854"/>
    <w:rsid w:val="00FA3B18"/>
    <w:rsid w:val="00FA3C22"/>
    <w:rsid w:val="00FA3D8D"/>
    <w:rsid w:val="00FA3DFB"/>
    <w:rsid w:val="00FA3F05"/>
    <w:rsid w:val="00FA3FB6"/>
    <w:rsid w:val="00FA4045"/>
    <w:rsid w:val="00FA407F"/>
    <w:rsid w:val="00FA4156"/>
    <w:rsid w:val="00FA43CC"/>
    <w:rsid w:val="00FA4679"/>
    <w:rsid w:val="00FA467F"/>
    <w:rsid w:val="00FA4738"/>
    <w:rsid w:val="00FA47CC"/>
    <w:rsid w:val="00FA48A3"/>
    <w:rsid w:val="00FA4AF8"/>
    <w:rsid w:val="00FA4B2C"/>
    <w:rsid w:val="00FA4B8B"/>
    <w:rsid w:val="00FA4BC5"/>
    <w:rsid w:val="00FA4BC7"/>
    <w:rsid w:val="00FA4BE2"/>
    <w:rsid w:val="00FA4D4B"/>
    <w:rsid w:val="00FA4E07"/>
    <w:rsid w:val="00FA4FAF"/>
    <w:rsid w:val="00FA500B"/>
    <w:rsid w:val="00FA504C"/>
    <w:rsid w:val="00FA51B0"/>
    <w:rsid w:val="00FA524D"/>
    <w:rsid w:val="00FA539E"/>
    <w:rsid w:val="00FA551A"/>
    <w:rsid w:val="00FA55C4"/>
    <w:rsid w:val="00FA597B"/>
    <w:rsid w:val="00FA5B09"/>
    <w:rsid w:val="00FA5DB6"/>
    <w:rsid w:val="00FA5DDE"/>
    <w:rsid w:val="00FA6184"/>
    <w:rsid w:val="00FA62BF"/>
    <w:rsid w:val="00FA63E7"/>
    <w:rsid w:val="00FA63F6"/>
    <w:rsid w:val="00FA66D3"/>
    <w:rsid w:val="00FA67C7"/>
    <w:rsid w:val="00FA682B"/>
    <w:rsid w:val="00FA68FF"/>
    <w:rsid w:val="00FA693E"/>
    <w:rsid w:val="00FA6973"/>
    <w:rsid w:val="00FA6B4C"/>
    <w:rsid w:val="00FA6C2C"/>
    <w:rsid w:val="00FA6C7E"/>
    <w:rsid w:val="00FA6C9C"/>
    <w:rsid w:val="00FA6EFD"/>
    <w:rsid w:val="00FA6FD7"/>
    <w:rsid w:val="00FA7096"/>
    <w:rsid w:val="00FA70F3"/>
    <w:rsid w:val="00FA7306"/>
    <w:rsid w:val="00FA7627"/>
    <w:rsid w:val="00FA78B3"/>
    <w:rsid w:val="00FA78FD"/>
    <w:rsid w:val="00FA7B63"/>
    <w:rsid w:val="00FA7B84"/>
    <w:rsid w:val="00FA7C89"/>
    <w:rsid w:val="00FA7D8B"/>
    <w:rsid w:val="00FA7E68"/>
    <w:rsid w:val="00FA7E88"/>
    <w:rsid w:val="00FB05AF"/>
    <w:rsid w:val="00FB0767"/>
    <w:rsid w:val="00FB07C0"/>
    <w:rsid w:val="00FB0AB9"/>
    <w:rsid w:val="00FB0AE5"/>
    <w:rsid w:val="00FB0B39"/>
    <w:rsid w:val="00FB0D62"/>
    <w:rsid w:val="00FB0E55"/>
    <w:rsid w:val="00FB0F55"/>
    <w:rsid w:val="00FB0F78"/>
    <w:rsid w:val="00FB11C2"/>
    <w:rsid w:val="00FB1286"/>
    <w:rsid w:val="00FB1416"/>
    <w:rsid w:val="00FB1466"/>
    <w:rsid w:val="00FB15A8"/>
    <w:rsid w:val="00FB1912"/>
    <w:rsid w:val="00FB1919"/>
    <w:rsid w:val="00FB199C"/>
    <w:rsid w:val="00FB1D29"/>
    <w:rsid w:val="00FB1E15"/>
    <w:rsid w:val="00FB1F35"/>
    <w:rsid w:val="00FB2007"/>
    <w:rsid w:val="00FB2104"/>
    <w:rsid w:val="00FB21D3"/>
    <w:rsid w:val="00FB22D6"/>
    <w:rsid w:val="00FB23A9"/>
    <w:rsid w:val="00FB2530"/>
    <w:rsid w:val="00FB255B"/>
    <w:rsid w:val="00FB25CD"/>
    <w:rsid w:val="00FB25CF"/>
    <w:rsid w:val="00FB2674"/>
    <w:rsid w:val="00FB2700"/>
    <w:rsid w:val="00FB271C"/>
    <w:rsid w:val="00FB27AC"/>
    <w:rsid w:val="00FB2A72"/>
    <w:rsid w:val="00FB2AC4"/>
    <w:rsid w:val="00FB2AF8"/>
    <w:rsid w:val="00FB2CC0"/>
    <w:rsid w:val="00FB2CFB"/>
    <w:rsid w:val="00FB2D3C"/>
    <w:rsid w:val="00FB2DA1"/>
    <w:rsid w:val="00FB2DC2"/>
    <w:rsid w:val="00FB3017"/>
    <w:rsid w:val="00FB3024"/>
    <w:rsid w:val="00FB30F5"/>
    <w:rsid w:val="00FB327D"/>
    <w:rsid w:val="00FB33B5"/>
    <w:rsid w:val="00FB368E"/>
    <w:rsid w:val="00FB3828"/>
    <w:rsid w:val="00FB3858"/>
    <w:rsid w:val="00FB3906"/>
    <w:rsid w:val="00FB3A5A"/>
    <w:rsid w:val="00FB3A69"/>
    <w:rsid w:val="00FB3AFE"/>
    <w:rsid w:val="00FB3B52"/>
    <w:rsid w:val="00FB3BB4"/>
    <w:rsid w:val="00FB3C4B"/>
    <w:rsid w:val="00FB3CA6"/>
    <w:rsid w:val="00FB3E9E"/>
    <w:rsid w:val="00FB40D9"/>
    <w:rsid w:val="00FB42C2"/>
    <w:rsid w:val="00FB438B"/>
    <w:rsid w:val="00FB4771"/>
    <w:rsid w:val="00FB477D"/>
    <w:rsid w:val="00FB485E"/>
    <w:rsid w:val="00FB48E3"/>
    <w:rsid w:val="00FB49B3"/>
    <w:rsid w:val="00FB49DF"/>
    <w:rsid w:val="00FB4A4B"/>
    <w:rsid w:val="00FB4BEB"/>
    <w:rsid w:val="00FB4CD4"/>
    <w:rsid w:val="00FB4CFC"/>
    <w:rsid w:val="00FB4EED"/>
    <w:rsid w:val="00FB5036"/>
    <w:rsid w:val="00FB53D9"/>
    <w:rsid w:val="00FB5444"/>
    <w:rsid w:val="00FB544B"/>
    <w:rsid w:val="00FB55E5"/>
    <w:rsid w:val="00FB569B"/>
    <w:rsid w:val="00FB5834"/>
    <w:rsid w:val="00FB596F"/>
    <w:rsid w:val="00FB59BA"/>
    <w:rsid w:val="00FB59C8"/>
    <w:rsid w:val="00FB5B6E"/>
    <w:rsid w:val="00FB5C19"/>
    <w:rsid w:val="00FB5DF2"/>
    <w:rsid w:val="00FB5E05"/>
    <w:rsid w:val="00FB5F97"/>
    <w:rsid w:val="00FB6151"/>
    <w:rsid w:val="00FB61C0"/>
    <w:rsid w:val="00FB62D5"/>
    <w:rsid w:val="00FB64FA"/>
    <w:rsid w:val="00FB6652"/>
    <w:rsid w:val="00FB693F"/>
    <w:rsid w:val="00FB6BAE"/>
    <w:rsid w:val="00FB6C1E"/>
    <w:rsid w:val="00FB6D34"/>
    <w:rsid w:val="00FB72A5"/>
    <w:rsid w:val="00FB73BB"/>
    <w:rsid w:val="00FB73BE"/>
    <w:rsid w:val="00FB74F3"/>
    <w:rsid w:val="00FB7523"/>
    <w:rsid w:val="00FB7910"/>
    <w:rsid w:val="00FB7944"/>
    <w:rsid w:val="00FB79BE"/>
    <w:rsid w:val="00FB7AFC"/>
    <w:rsid w:val="00FB7C41"/>
    <w:rsid w:val="00FB7DCA"/>
    <w:rsid w:val="00FB7EAD"/>
    <w:rsid w:val="00FB7F94"/>
    <w:rsid w:val="00FC0037"/>
    <w:rsid w:val="00FC00BC"/>
    <w:rsid w:val="00FC00C4"/>
    <w:rsid w:val="00FC018C"/>
    <w:rsid w:val="00FC02FE"/>
    <w:rsid w:val="00FC0303"/>
    <w:rsid w:val="00FC035B"/>
    <w:rsid w:val="00FC055A"/>
    <w:rsid w:val="00FC06AA"/>
    <w:rsid w:val="00FC078E"/>
    <w:rsid w:val="00FC07BA"/>
    <w:rsid w:val="00FC0848"/>
    <w:rsid w:val="00FC08DD"/>
    <w:rsid w:val="00FC09EB"/>
    <w:rsid w:val="00FC09FF"/>
    <w:rsid w:val="00FC0BC3"/>
    <w:rsid w:val="00FC0C65"/>
    <w:rsid w:val="00FC0EBF"/>
    <w:rsid w:val="00FC10DC"/>
    <w:rsid w:val="00FC11EB"/>
    <w:rsid w:val="00FC13B7"/>
    <w:rsid w:val="00FC1624"/>
    <w:rsid w:val="00FC16CB"/>
    <w:rsid w:val="00FC1A67"/>
    <w:rsid w:val="00FC1B18"/>
    <w:rsid w:val="00FC1D6D"/>
    <w:rsid w:val="00FC1D6E"/>
    <w:rsid w:val="00FC1DBC"/>
    <w:rsid w:val="00FC1E90"/>
    <w:rsid w:val="00FC1ED7"/>
    <w:rsid w:val="00FC1F09"/>
    <w:rsid w:val="00FC238C"/>
    <w:rsid w:val="00FC2441"/>
    <w:rsid w:val="00FC2772"/>
    <w:rsid w:val="00FC28AD"/>
    <w:rsid w:val="00FC2986"/>
    <w:rsid w:val="00FC2B07"/>
    <w:rsid w:val="00FC2EB1"/>
    <w:rsid w:val="00FC2EEF"/>
    <w:rsid w:val="00FC3000"/>
    <w:rsid w:val="00FC310E"/>
    <w:rsid w:val="00FC323C"/>
    <w:rsid w:val="00FC3393"/>
    <w:rsid w:val="00FC3432"/>
    <w:rsid w:val="00FC35BA"/>
    <w:rsid w:val="00FC36A4"/>
    <w:rsid w:val="00FC3813"/>
    <w:rsid w:val="00FC39D6"/>
    <w:rsid w:val="00FC3A7B"/>
    <w:rsid w:val="00FC3BD5"/>
    <w:rsid w:val="00FC3C0A"/>
    <w:rsid w:val="00FC3CB8"/>
    <w:rsid w:val="00FC3E75"/>
    <w:rsid w:val="00FC3EC8"/>
    <w:rsid w:val="00FC3F03"/>
    <w:rsid w:val="00FC3F7A"/>
    <w:rsid w:val="00FC4065"/>
    <w:rsid w:val="00FC414B"/>
    <w:rsid w:val="00FC41AA"/>
    <w:rsid w:val="00FC435F"/>
    <w:rsid w:val="00FC438A"/>
    <w:rsid w:val="00FC43A4"/>
    <w:rsid w:val="00FC4476"/>
    <w:rsid w:val="00FC47AA"/>
    <w:rsid w:val="00FC4999"/>
    <w:rsid w:val="00FC4B49"/>
    <w:rsid w:val="00FC4BC3"/>
    <w:rsid w:val="00FC4BE1"/>
    <w:rsid w:val="00FC4D0B"/>
    <w:rsid w:val="00FC4F03"/>
    <w:rsid w:val="00FC4F28"/>
    <w:rsid w:val="00FC5008"/>
    <w:rsid w:val="00FC5074"/>
    <w:rsid w:val="00FC50C7"/>
    <w:rsid w:val="00FC50DA"/>
    <w:rsid w:val="00FC5155"/>
    <w:rsid w:val="00FC5178"/>
    <w:rsid w:val="00FC5239"/>
    <w:rsid w:val="00FC52B9"/>
    <w:rsid w:val="00FC52E0"/>
    <w:rsid w:val="00FC531F"/>
    <w:rsid w:val="00FC5348"/>
    <w:rsid w:val="00FC54EA"/>
    <w:rsid w:val="00FC58D0"/>
    <w:rsid w:val="00FC5CC2"/>
    <w:rsid w:val="00FC5CE4"/>
    <w:rsid w:val="00FC5D20"/>
    <w:rsid w:val="00FC5F91"/>
    <w:rsid w:val="00FC6080"/>
    <w:rsid w:val="00FC6084"/>
    <w:rsid w:val="00FC616C"/>
    <w:rsid w:val="00FC63C8"/>
    <w:rsid w:val="00FC6569"/>
    <w:rsid w:val="00FC660B"/>
    <w:rsid w:val="00FC683A"/>
    <w:rsid w:val="00FC68C8"/>
    <w:rsid w:val="00FC693C"/>
    <w:rsid w:val="00FC6959"/>
    <w:rsid w:val="00FC699C"/>
    <w:rsid w:val="00FC699E"/>
    <w:rsid w:val="00FC6A7B"/>
    <w:rsid w:val="00FC6B45"/>
    <w:rsid w:val="00FC6BA1"/>
    <w:rsid w:val="00FC6CAC"/>
    <w:rsid w:val="00FC6D32"/>
    <w:rsid w:val="00FC6D7A"/>
    <w:rsid w:val="00FC6EF2"/>
    <w:rsid w:val="00FC7051"/>
    <w:rsid w:val="00FC72FE"/>
    <w:rsid w:val="00FC74D1"/>
    <w:rsid w:val="00FC7725"/>
    <w:rsid w:val="00FC7832"/>
    <w:rsid w:val="00FC799D"/>
    <w:rsid w:val="00FC7CF8"/>
    <w:rsid w:val="00FC7CFC"/>
    <w:rsid w:val="00FC7E0E"/>
    <w:rsid w:val="00FC7E6B"/>
    <w:rsid w:val="00FC7E80"/>
    <w:rsid w:val="00FD01BA"/>
    <w:rsid w:val="00FD02A8"/>
    <w:rsid w:val="00FD03E5"/>
    <w:rsid w:val="00FD061B"/>
    <w:rsid w:val="00FD0629"/>
    <w:rsid w:val="00FD0914"/>
    <w:rsid w:val="00FD09B2"/>
    <w:rsid w:val="00FD0A14"/>
    <w:rsid w:val="00FD0A2D"/>
    <w:rsid w:val="00FD0A4F"/>
    <w:rsid w:val="00FD0AA2"/>
    <w:rsid w:val="00FD0B9E"/>
    <w:rsid w:val="00FD0CD7"/>
    <w:rsid w:val="00FD1010"/>
    <w:rsid w:val="00FD1132"/>
    <w:rsid w:val="00FD1382"/>
    <w:rsid w:val="00FD13B4"/>
    <w:rsid w:val="00FD1569"/>
    <w:rsid w:val="00FD167B"/>
    <w:rsid w:val="00FD17BE"/>
    <w:rsid w:val="00FD17C7"/>
    <w:rsid w:val="00FD1829"/>
    <w:rsid w:val="00FD196A"/>
    <w:rsid w:val="00FD19DD"/>
    <w:rsid w:val="00FD1A6C"/>
    <w:rsid w:val="00FD1BF0"/>
    <w:rsid w:val="00FD1C1D"/>
    <w:rsid w:val="00FD1E4F"/>
    <w:rsid w:val="00FD1FC8"/>
    <w:rsid w:val="00FD201E"/>
    <w:rsid w:val="00FD204B"/>
    <w:rsid w:val="00FD2065"/>
    <w:rsid w:val="00FD213D"/>
    <w:rsid w:val="00FD215C"/>
    <w:rsid w:val="00FD23DE"/>
    <w:rsid w:val="00FD23E8"/>
    <w:rsid w:val="00FD2418"/>
    <w:rsid w:val="00FD246B"/>
    <w:rsid w:val="00FD2497"/>
    <w:rsid w:val="00FD25CE"/>
    <w:rsid w:val="00FD25CF"/>
    <w:rsid w:val="00FD263C"/>
    <w:rsid w:val="00FD26A9"/>
    <w:rsid w:val="00FD2736"/>
    <w:rsid w:val="00FD274C"/>
    <w:rsid w:val="00FD27A9"/>
    <w:rsid w:val="00FD27B4"/>
    <w:rsid w:val="00FD283F"/>
    <w:rsid w:val="00FD294A"/>
    <w:rsid w:val="00FD2C87"/>
    <w:rsid w:val="00FD2DB2"/>
    <w:rsid w:val="00FD320F"/>
    <w:rsid w:val="00FD3351"/>
    <w:rsid w:val="00FD35F9"/>
    <w:rsid w:val="00FD36C3"/>
    <w:rsid w:val="00FD3A1F"/>
    <w:rsid w:val="00FD3CA8"/>
    <w:rsid w:val="00FD3CCC"/>
    <w:rsid w:val="00FD3DB7"/>
    <w:rsid w:val="00FD3DE1"/>
    <w:rsid w:val="00FD4019"/>
    <w:rsid w:val="00FD40AA"/>
    <w:rsid w:val="00FD4136"/>
    <w:rsid w:val="00FD422C"/>
    <w:rsid w:val="00FD4468"/>
    <w:rsid w:val="00FD4663"/>
    <w:rsid w:val="00FD4714"/>
    <w:rsid w:val="00FD47F7"/>
    <w:rsid w:val="00FD497D"/>
    <w:rsid w:val="00FD4AAD"/>
    <w:rsid w:val="00FD4ACE"/>
    <w:rsid w:val="00FD4B68"/>
    <w:rsid w:val="00FD4C8B"/>
    <w:rsid w:val="00FD4DA3"/>
    <w:rsid w:val="00FD4DEA"/>
    <w:rsid w:val="00FD4EC7"/>
    <w:rsid w:val="00FD4F14"/>
    <w:rsid w:val="00FD4FA3"/>
    <w:rsid w:val="00FD50DD"/>
    <w:rsid w:val="00FD5543"/>
    <w:rsid w:val="00FD561F"/>
    <w:rsid w:val="00FD5637"/>
    <w:rsid w:val="00FD5752"/>
    <w:rsid w:val="00FD57C8"/>
    <w:rsid w:val="00FD5829"/>
    <w:rsid w:val="00FD585C"/>
    <w:rsid w:val="00FD5981"/>
    <w:rsid w:val="00FD5A45"/>
    <w:rsid w:val="00FD5A4B"/>
    <w:rsid w:val="00FD5B28"/>
    <w:rsid w:val="00FD5E8E"/>
    <w:rsid w:val="00FD5EA7"/>
    <w:rsid w:val="00FD6197"/>
    <w:rsid w:val="00FD61AD"/>
    <w:rsid w:val="00FD621B"/>
    <w:rsid w:val="00FD622D"/>
    <w:rsid w:val="00FD626D"/>
    <w:rsid w:val="00FD62BA"/>
    <w:rsid w:val="00FD6414"/>
    <w:rsid w:val="00FD64D2"/>
    <w:rsid w:val="00FD6661"/>
    <w:rsid w:val="00FD66EC"/>
    <w:rsid w:val="00FD672A"/>
    <w:rsid w:val="00FD6804"/>
    <w:rsid w:val="00FD6A62"/>
    <w:rsid w:val="00FD6B26"/>
    <w:rsid w:val="00FD6B96"/>
    <w:rsid w:val="00FD6BF9"/>
    <w:rsid w:val="00FD6CDC"/>
    <w:rsid w:val="00FD70DC"/>
    <w:rsid w:val="00FD7132"/>
    <w:rsid w:val="00FD72D5"/>
    <w:rsid w:val="00FD735E"/>
    <w:rsid w:val="00FD7445"/>
    <w:rsid w:val="00FD745A"/>
    <w:rsid w:val="00FD747B"/>
    <w:rsid w:val="00FD7542"/>
    <w:rsid w:val="00FD75EE"/>
    <w:rsid w:val="00FD77F1"/>
    <w:rsid w:val="00FD78C2"/>
    <w:rsid w:val="00FD7A3C"/>
    <w:rsid w:val="00FD7A78"/>
    <w:rsid w:val="00FD7C9C"/>
    <w:rsid w:val="00FD7E82"/>
    <w:rsid w:val="00FE004F"/>
    <w:rsid w:val="00FE00BE"/>
    <w:rsid w:val="00FE0368"/>
    <w:rsid w:val="00FE0389"/>
    <w:rsid w:val="00FE03D8"/>
    <w:rsid w:val="00FE0518"/>
    <w:rsid w:val="00FE05C7"/>
    <w:rsid w:val="00FE0866"/>
    <w:rsid w:val="00FE0895"/>
    <w:rsid w:val="00FE0B6C"/>
    <w:rsid w:val="00FE0CE6"/>
    <w:rsid w:val="00FE0FBD"/>
    <w:rsid w:val="00FE1192"/>
    <w:rsid w:val="00FE11B5"/>
    <w:rsid w:val="00FE15FA"/>
    <w:rsid w:val="00FE1634"/>
    <w:rsid w:val="00FE165F"/>
    <w:rsid w:val="00FE167B"/>
    <w:rsid w:val="00FE17AA"/>
    <w:rsid w:val="00FE1842"/>
    <w:rsid w:val="00FE1975"/>
    <w:rsid w:val="00FE1A65"/>
    <w:rsid w:val="00FE1ABE"/>
    <w:rsid w:val="00FE1AC7"/>
    <w:rsid w:val="00FE1AE5"/>
    <w:rsid w:val="00FE1B3D"/>
    <w:rsid w:val="00FE1BD1"/>
    <w:rsid w:val="00FE1D0D"/>
    <w:rsid w:val="00FE1F35"/>
    <w:rsid w:val="00FE203E"/>
    <w:rsid w:val="00FE2041"/>
    <w:rsid w:val="00FE2234"/>
    <w:rsid w:val="00FE227C"/>
    <w:rsid w:val="00FE2385"/>
    <w:rsid w:val="00FE23A1"/>
    <w:rsid w:val="00FE254C"/>
    <w:rsid w:val="00FE25BF"/>
    <w:rsid w:val="00FE25D1"/>
    <w:rsid w:val="00FE25FA"/>
    <w:rsid w:val="00FE262D"/>
    <w:rsid w:val="00FE272F"/>
    <w:rsid w:val="00FE2804"/>
    <w:rsid w:val="00FE2816"/>
    <w:rsid w:val="00FE2874"/>
    <w:rsid w:val="00FE2A79"/>
    <w:rsid w:val="00FE2AFC"/>
    <w:rsid w:val="00FE2B0B"/>
    <w:rsid w:val="00FE2E82"/>
    <w:rsid w:val="00FE3311"/>
    <w:rsid w:val="00FE365D"/>
    <w:rsid w:val="00FE3972"/>
    <w:rsid w:val="00FE398C"/>
    <w:rsid w:val="00FE3CD3"/>
    <w:rsid w:val="00FE3E8D"/>
    <w:rsid w:val="00FE40A2"/>
    <w:rsid w:val="00FE4141"/>
    <w:rsid w:val="00FE415B"/>
    <w:rsid w:val="00FE4199"/>
    <w:rsid w:val="00FE421D"/>
    <w:rsid w:val="00FE44C7"/>
    <w:rsid w:val="00FE4585"/>
    <w:rsid w:val="00FE45B0"/>
    <w:rsid w:val="00FE45CB"/>
    <w:rsid w:val="00FE4665"/>
    <w:rsid w:val="00FE4B3F"/>
    <w:rsid w:val="00FE4BD9"/>
    <w:rsid w:val="00FE4C12"/>
    <w:rsid w:val="00FE4E6C"/>
    <w:rsid w:val="00FE4F1F"/>
    <w:rsid w:val="00FE5018"/>
    <w:rsid w:val="00FE505F"/>
    <w:rsid w:val="00FE512C"/>
    <w:rsid w:val="00FE52D3"/>
    <w:rsid w:val="00FE53E6"/>
    <w:rsid w:val="00FE540A"/>
    <w:rsid w:val="00FE5445"/>
    <w:rsid w:val="00FE54BB"/>
    <w:rsid w:val="00FE5661"/>
    <w:rsid w:val="00FE5728"/>
    <w:rsid w:val="00FE572D"/>
    <w:rsid w:val="00FE5818"/>
    <w:rsid w:val="00FE5A9F"/>
    <w:rsid w:val="00FE5B52"/>
    <w:rsid w:val="00FE5F31"/>
    <w:rsid w:val="00FE6063"/>
    <w:rsid w:val="00FE652D"/>
    <w:rsid w:val="00FE6572"/>
    <w:rsid w:val="00FE676D"/>
    <w:rsid w:val="00FE6771"/>
    <w:rsid w:val="00FE6779"/>
    <w:rsid w:val="00FE68D3"/>
    <w:rsid w:val="00FE6981"/>
    <w:rsid w:val="00FE6A11"/>
    <w:rsid w:val="00FE6AEF"/>
    <w:rsid w:val="00FE6BEF"/>
    <w:rsid w:val="00FE6DF9"/>
    <w:rsid w:val="00FE6F31"/>
    <w:rsid w:val="00FE712E"/>
    <w:rsid w:val="00FE7192"/>
    <w:rsid w:val="00FE7210"/>
    <w:rsid w:val="00FE73A5"/>
    <w:rsid w:val="00FE7712"/>
    <w:rsid w:val="00FE78AD"/>
    <w:rsid w:val="00FE7A04"/>
    <w:rsid w:val="00FE7A59"/>
    <w:rsid w:val="00FE7A65"/>
    <w:rsid w:val="00FE7C87"/>
    <w:rsid w:val="00FE7E78"/>
    <w:rsid w:val="00FE7EAC"/>
    <w:rsid w:val="00FE7FF7"/>
    <w:rsid w:val="00FF010D"/>
    <w:rsid w:val="00FF0189"/>
    <w:rsid w:val="00FF030E"/>
    <w:rsid w:val="00FF03FC"/>
    <w:rsid w:val="00FF041C"/>
    <w:rsid w:val="00FF063B"/>
    <w:rsid w:val="00FF0724"/>
    <w:rsid w:val="00FF0771"/>
    <w:rsid w:val="00FF0798"/>
    <w:rsid w:val="00FF0820"/>
    <w:rsid w:val="00FF08DD"/>
    <w:rsid w:val="00FF0B37"/>
    <w:rsid w:val="00FF0F87"/>
    <w:rsid w:val="00FF10FA"/>
    <w:rsid w:val="00FF11E2"/>
    <w:rsid w:val="00FF12F7"/>
    <w:rsid w:val="00FF13C7"/>
    <w:rsid w:val="00FF13E3"/>
    <w:rsid w:val="00FF140C"/>
    <w:rsid w:val="00FF1500"/>
    <w:rsid w:val="00FF158A"/>
    <w:rsid w:val="00FF17AA"/>
    <w:rsid w:val="00FF1910"/>
    <w:rsid w:val="00FF1958"/>
    <w:rsid w:val="00FF1A8B"/>
    <w:rsid w:val="00FF1B2F"/>
    <w:rsid w:val="00FF1B49"/>
    <w:rsid w:val="00FF1F99"/>
    <w:rsid w:val="00FF1FA6"/>
    <w:rsid w:val="00FF2144"/>
    <w:rsid w:val="00FF25A0"/>
    <w:rsid w:val="00FF25C7"/>
    <w:rsid w:val="00FF2868"/>
    <w:rsid w:val="00FF299C"/>
    <w:rsid w:val="00FF2A3B"/>
    <w:rsid w:val="00FF2CEA"/>
    <w:rsid w:val="00FF3340"/>
    <w:rsid w:val="00FF335E"/>
    <w:rsid w:val="00FF34AD"/>
    <w:rsid w:val="00FF357B"/>
    <w:rsid w:val="00FF382F"/>
    <w:rsid w:val="00FF3852"/>
    <w:rsid w:val="00FF3928"/>
    <w:rsid w:val="00FF3CB9"/>
    <w:rsid w:val="00FF3D79"/>
    <w:rsid w:val="00FF3EC1"/>
    <w:rsid w:val="00FF4048"/>
    <w:rsid w:val="00FF40C4"/>
    <w:rsid w:val="00FF40D0"/>
    <w:rsid w:val="00FF4239"/>
    <w:rsid w:val="00FF429F"/>
    <w:rsid w:val="00FF45BA"/>
    <w:rsid w:val="00FF47BE"/>
    <w:rsid w:val="00FF47F7"/>
    <w:rsid w:val="00FF48EA"/>
    <w:rsid w:val="00FF496C"/>
    <w:rsid w:val="00FF4A0E"/>
    <w:rsid w:val="00FF4ADA"/>
    <w:rsid w:val="00FF4B03"/>
    <w:rsid w:val="00FF4B1A"/>
    <w:rsid w:val="00FF4C21"/>
    <w:rsid w:val="00FF4C2A"/>
    <w:rsid w:val="00FF4C70"/>
    <w:rsid w:val="00FF4CF1"/>
    <w:rsid w:val="00FF4CF7"/>
    <w:rsid w:val="00FF4ED2"/>
    <w:rsid w:val="00FF50D7"/>
    <w:rsid w:val="00FF51BB"/>
    <w:rsid w:val="00FF5358"/>
    <w:rsid w:val="00FF5520"/>
    <w:rsid w:val="00FF5522"/>
    <w:rsid w:val="00FF55AD"/>
    <w:rsid w:val="00FF57F2"/>
    <w:rsid w:val="00FF59FC"/>
    <w:rsid w:val="00FF5A8D"/>
    <w:rsid w:val="00FF5B38"/>
    <w:rsid w:val="00FF5B4C"/>
    <w:rsid w:val="00FF5B6D"/>
    <w:rsid w:val="00FF5CB0"/>
    <w:rsid w:val="00FF5E36"/>
    <w:rsid w:val="00FF5E9E"/>
    <w:rsid w:val="00FF5F01"/>
    <w:rsid w:val="00FF5F79"/>
    <w:rsid w:val="00FF605B"/>
    <w:rsid w:val="00FF6065"/>
    <w:rsid w:val="00FF612D"/>
    <w:rsid w:val="00FF62FD"/>
    <w:rsid w:val="00FF66B7"/>
    <w:rsid w:val="00FF66EA"/>
    <w:rsid w:val="00FF6A80"/>
    <w:rsid w:val="00FF6ACE"/>
    <w:rsid w:val="00FF6B0F"/>
    <w:rsid w:val="00FF6DAA"/>
    <w:rsid w:val="00FF6E47"/>
    <w:rsid w:val="00FF6E59"/>
    <w:rsid w:val="00FF70E0"/>
    <w:rsid w:val="00FF72AB"/>
    <w:rsid w:val="00FF72E3"/>
    <w:rsid w:val="00FF74FB"/>
    <w:rsid w:val="00FF7543"/>
    <w:rsid w:val="00FF7592"/>
    <w:rsid w:val="00FF76C5"/>
    <w:rsid w:val="00FF7741"/>
    <w:rsid w:val="00FF7AC0"/>
    <w:rsid w:val="00FF7C79"/>
    <w:rsid w:val="00FF7E06"/>
    <w:rsid w:val="00FF7F11"/>
    <w:rsid w:val="0102BA0E"/>
    <w:rsid w:val="01040F2A"/>
    <w:rsid w:val="0104CD13"/>
    <w:rsid w:val="0104D4D2"/>
    <w:rsid w:val="011510DF"/>
    <w:rsid w:val="011A4D3A"/>
    <w:rsid w:val="011C9235"/>
    <w:rsid w:val="011D9D6B"/>
    <w:rsid w:val="0132090E"/>
    <w:rsid w:val="013A81BF"/>
    <w:rsid w:val="0147FECA"/>
    <w:rsid w:val="014EE667"/>
    <w:rsid w:val="01513107"/>
    <w:rsid w:val="0154AECE"/>
    <w:rsid w:val="01583DED"/>
    <w:rsid w:val="015C1B06"/>
    <w:rsid w:val="015FF24F"/>
    <w:rsid w:val="01618DEB"/>
    <w:rsid w:val="01632766"/>
    <w:rsid w:val="01648030"/>
    <w:rsid w:val="0171A564"/>
    <w:rsid w:val="0171FD17"/>
    <w:rsid w:val="018DD6F2"/>
    <w:rsid w:val="01AACE78"/>
    <w:rsid w:val="01AB8368"/>
    <w:rsid w:val="01B59E9F"/>
    <w:rsid w:val="01BD184D"/>
    <w:rsid w:val="01BDB597"/>
    <w:rsid w:val="01C2F255"/>
    <w:rsid w:val="01C62071"/>
    <w:rsid w:val="01C991B0"/>
    <w:rsid w:val="01CA35EB"/>
    <w:rsid w:val="01CA6E0B"/>
    <w:rsid w:val="01D5FD3D"/>
    <w:rsid w:val="01DC6AC9"/>
    <w:rsid w:val="01E2F15D"/>
    <w:rsid w:val="01E9BDCB"/>
    <w:rsid w:val="01FDD757"/>
    <w:rsid w:val="01FE57D7"/>
    <w:rsid w:val="0207D63C"/>
    <w:rsid w:val="02111331"/>
    <w:rsid w:val="02121BCC"/>
    <w:rsid w:val="021557D4"/>
    <w:rsid w:val="021A54B7"/>
    <w:rsid w:val="021AFD54"/>
    <w:rsid w:val="021DBA66"/>
    <w:rsid w:val="022C3F42"/>
    <w:rsid w:val="0230810F"/>
    <w:rsid w:val="023DE301"/>
    <w:rsid w:val="024544E1"/>
    <w:rsid w:val="02546614"/>
    <w:rsid w:val="02584481"/>
    <w:rsid w:val="0258BE41"/>
    <w:rsid w:val="025B79D4"/>
    <w:rsid w:val="026591CC"/>
    <w:rsid w:val="0266F235"/>
    <w:rsid w:val="0269589B"/>
    <w:rsid w:val="026E137A"/>
    <w:rsid w:val="02731778"/>
    <w:rsid w:val="027EEC03"/>
    <w:rsid w:val="0282BB88"/>
    <w:rsid w:val="029A47B4"/>
    <w:rsid w:val="02A340DE"/>
    <w:rsid w:val="02A57A37"/>
    <w:rsid w:val="02A7F180"/>
    <w:rsid w:val="02A96563"/>
    <w:rsid w:val="02B4DAB9"/>
    <w:rsid w:val="02B565AA"/>
    <w:rsid w:val="02B6686D"/>
    <w:rsid w:val="02BDD4F6"/>
    <w:rsid w:val="02C858C1"/>
    <w:rsid w:val="02C9AED8"/>
    <w:rsid w:val="02D982F4"/>
    <w:rsid w:val="02DC5401"/>
    <w:rsid w:val="02DD05BF"/>
    <w:rsid w:val="02DF9FBA"/>
    <w:rsid w:val="02EC2499"/>
    <w:rsid w:val="02FC4D95"/>
    <w:rsid w:val="02FE80D0"/>
    <w:rsid w:val="0310241F"/>
    <w:rsid w:val="03114825"/>
    <w:rsid w:val="0313FEB8"/>
    <w:rsid w:val="031A1B74"/>
    <w:rsid w:val="03332789"/>
    <w:rsid w:val="033BB07C"/>
    <w:rsid w:val="0349198A"/>
    <w:rsid w:val="03498BA7"/>
    <w:rsid w:val="034F3F1D"/>
    <w:rsid w:val="035B8B0E"/>
    <w:rsid w:val="035D6CE6"/>
    <w:rsid w:val="0363C09D"/>
    <w:rsid w:val="0366BC68"/>
    <w:rsid w:val="036B6198"/>
    <w:rsid w:val="037236CE"/>
    <w:rsid w:val="03735B71"/>
    <w:rsid w:val="03924021"/>
    <w:rsid w:val="0394034F"/>
    <w:rsid w:val="039DBBE8"/>
    <w:rsid w:val="03A01190"/>
    <w:rsid w:val="03AB64C9"/>
    <w:rsid w:val="03AC40EA"/>
    <w:rsid w:val="03B4B8AE"/>
    <w:rsid w:val="03B89E93"/>
    <w:rsid w:val="03BAA429"/>
    <w:rsid w:val="03C3CF84"/>
    <w:rsid w:val="03C50E59"/>
    <w:rsid w:val="03C5F53B"/>
    <w:rsid w:val="03D79AEF"/>
    <w:rsid w:val="03D85E39"/>
    <w:rsid w:val="03E754A0"/>
    <w:rsid w:val="03EAC36C"/>
    <w:rsid w:val="03EAFDA6"/>
    <w:rsid w:val="03EFAD8F"/>
    <w:rsid w:val="03F49BB7"/>
    <w:rsid w:val="040E2F6E"/>
    <w:rsid w:val="0412D058"/>
    <w:rsid w:val="0414EBF6"/>
    <w:rsid w:val="0419F432"/>
    <w:rsid w:val="041A4223"/>
    <w:rsid w:val="04283CBF"/>
    <w:rsid w:val="04480CE6"/>
    <w:rsid w:val="044F6C8A"/>
    <w:rsid w:val="044F9F94"/>
    <w:rsid w:val="04513A50"/>
    <w:rsid w:val="046789ED"/>
    <w:rsid w:val="046AFF6A"/>
    <w:rsid w:val="0471E5EF"/>
    <w:rsid w:val="0473CE7D"/>
    <w:rsid w:val="0499F42B"/>
    <w:rsid w:val="04A7651F"/>
    <w:rsid w:val="04AD0BE2"/>
    <w:rsid w:val="04B2851B"/>
    <w:rsid w:val="04C3F146"/>
    <w:rsid w:val="04D0CA54"/>
    <w:rsid w:val="04D2393F"/>
    <w:rsid w:val="04D49188"/>
    <w:rsid w:val="04E2006B"/>
    <w:rsid w:val="04EA2DDB"/>
    <w:rsid w:val="04EDBF23"/>
    <w:rsid w:val="04EEF069"/>
    <w:rsid w:val="04FCC814"/>
    <w:rsid w:val="0506559A"/>
    <w:rsid w:val="050C2A6F"/>
    <w:rsid w:val="050D60F3"/>
    <w:rsid w:val="051FDE06"/>
    <w:rsid w:val="05270781"/>
    <w:rsid w:val="0533D0A5"/>
    <w:rsid w:val="0536D992"/>
    <w:rsid w:val="0545F021"/>
    <w:rsid w:val="05503CC5"/>
    <w:rsid w:val="057DD173"/>
    <w:rsid w:val="0583F326"/>
    <w:rsid w:val="058A246A"/>
    <w:rsid w:val="059073EB"/>
    <w:rsid w:val="0593C1C2"/>
    <w:rsid w:val="05A8281D"/>
    <w:rsid w:val="05B835B8"/>
    <w:rsid w:val="05BA3D07"/>
    <w:rsid w:val="05BF92E5"/>
    <w:rsid w:val="05C00920"/>
    <w:rsid w:val="05C01890"/>
    <w:rsid w:val="05C123FC"/>
    <w:rsid w:val="05CC3E32"/>
    <w:rsid w:val="05CC94AE"/>
    <w:rsid w:val="05D3CF56"/>
    <w:rsid w:val="05DBFE76"/>
    <w:rsid w:val="05DE5EF2"/>
    <w:rsid w:val="05E34C2E"/>
    <w:rsid w:val="05E3D09C"/>
    <w:rsid w:val="05E72896"/>
    <w:rsid w:val="0622996D"/>
    <w:rsid w:val="0628BBE9"/>
    <w:rsid w:val="062A584E"/>
    <w:rsid w:val="064359C2"/>
    <w:rsid w:val="0643BE8C"/>
    <w:rsid w:val="064A64E2"/>
    <w:rsid w:val="0656535A"/>
    <w:rsid w:val="065A1160"/>
    <w:rsid w:val="065A5B99"/>
    <w:rsid w:val="0664FD50"/>
    <w:rsid w:val="0669BC03"/>
    <w:rsid w:val="066C4386"/>
    <w:rsid w:val="06744937"/>
    <w:rsid w:val="06791AD4"/>
    <w:rsid w:val="067EB134"/>
    <w:rsid w:val="067F61DB"/>
    <w:rsid w:val="067F78F2"/>
    <w:rsid w:val="0682B76B"/>
    <w:rsid w:val="0684DE38"/>
    <w:rsid w:val="06863779"/>
    <w:rsid w:val="068B3908"/>
    <w:rsid w:val="0692CC18"/>
    <w:rsid w:val="069AF888"/>
    <w:rsid w:val="06A5584A"/>
    <w:rsid w:val="06AD86FA"/>
    <w:rsid w:val="06ADE250"/>
    <w:rsid w:val="06C8E17B"/>
    <w:rsid w:val="06CA09CF"/>
    <w:rsid w:val="06CBA4D9"/>
    <w:rsid w:val="06CC4C89"/>
    <w:rsid w:val="06D15E68"/>
    <w:rsid w:val="06DAAF93"/>
    <w:rsid w:val="06E955CA"/>
    <w:rsid w:val="06F07C39"/>
    <w:rsid w:val="06F3FF1B"/>
    <w:rsid w:val="070726AB"/>
    <w:rsid w:val="07078CA1"/>
    <w:rsid w:val="070A6C80"/>
    <w:rsid w:val="070EB1A1"/>
    <w:rsid w:val="070FE127"/>
    <w:rsid w:val="07153632"/>
    <w:rsid w:val="07247C01"/>
    <w:rsid w:val="072B60D1"/>
    <w:rsid w:val="0735F867"/>
    <w:rsid w:val="0738B262"/>
    <w:rsid w:val="07390CD7"/>
    <w:rsid w:val="073AF234"/>
    <w:rsid w:val="0742EF18"/>
    <w:rsid w:val="0744FED1"/>
    <w:rsid w:val="075E71BB"/>
    <w:rsid w:val="07608FF3"/>
    <w:rsid w:val="0762A4A3"/>
    <w:rsid w:val="0775022D"/>
    <w:rsid w:val="0779A964"/>
    <w:rsid w:val="077A1D3B"/>
    <w:rsid w:val="078E26BA"/>
    <w:rsid w:val="078FDAC5"/>
    <w:rsid w:val="07A6A2BF"/>
    <w:rsid w:val="07A916C5"/>
    <w:rsid w:val="07B7BAAE"/>
    <w:rsid w:val="07B9DE23"/>
    <w:rsid w:val="07B9FA56"/>
    <w:rsid w:val="07BA7CDF"/>
    <w:rsid w:val="07C366E5"/>
    <w:rsid w:val="07D5C893"/>
    <w:rsid w:val="07D9B8CA"/>
    <w:rsid w:val="07E738E9"/>
    <w:rsid w:val="07EA269F"/>
    <w:rsid w:val="0805CBE9"/>
    <w:rsid w:val="0811BF66"/>
    <w:rsid w:val="08177C18"/>
    <w:rsid w:val="0824D6C8"/>
    <w:rsid w:val="08269D7C"/>
    <w:rsid w:val="08293E9B"/>
    <w:rsid w:val="0829E4F8"/>
    <w:rsid w:val="0829ECBE"/>
    <w:rsid w:val="082F7B61"/>
    <w:rsid w:val="0838AFC9"/>
    <w:rsid w:val="08490ED1"/>
    <w:rsid w:val="084A6623"/>
    <w:rsid w:val="084AD71A"/>
    <w:rsid w:val="084E8253"/>
    <w:rsid w:val="0854D700"/>
    <w:rsid w:val="085C3052"/>
    <w:rsid w:val="085DB094"/>
    <w:rsid w:val="085DBF79"/>
    <w:rsid w:val="0867B7DE"/>
    <w:rsid w:val="0870D1F0"/>
    <w:rsid w:val="087ECBCA"/>
    <w:rsid w:val="0883A0D3"/>
    <w:rsid w:val="0886037A"/>
    <w:rsid w:val="08928057"/>
    <w:rsid w:val="08AB94E4"/>
    <w:rsid w:val="08CA7DCD"/>
    <w:rsid w:val="08D03698"/>
    <w:rsid w:val="08D193D2"/>
    <w:rsid w:val="08D72F99"/>
    <w:rsid w:val="08DB47E1"/>
    <w:rsid w:val="08E036CA"/>
    <w:rsid w:val="08E41F23"/>
    <w:rsid w:val="08E9505C"/>
    <w:rsid w:val="08F012E7"/>
    <w:rsid w:val="08F15C67"/>
    <w:rsid w:val="08F260F9"/>
    <w:rsid w:val="08F705EA"/>
    <w:rsid w:val="08F9CA48"/>
    <w:rsid w:val="08F9D16E"/>
    <w:rsid w:val="08FCD51E"/>
    <w:rsid w:val="0903778A"/>
    <w:rsid w:val="090496FD"/>
    <w:rsid w:val="0904C4D2"/>
    <w:rsid w:val="090957DA"/>
    <w:rsid w:val="090A54D7"/>
    <w:rsid w:val="091F801C"/>
    <w:rsid w:val="093C4E5E"/>
    <w:rsid w:val="094FACFB"/>
    <w:rsid w:val="0952FE01"/>
    <w:rsid w:val="09535208"/>
    <w:rsid w:val="09560030"/>
    <w:rsid w:val="095DC454"/>
    <w:rsid w:val="095FD8AA"/>
    <w:rsid w:val="0961A57E"/>
    <w:rsid w:val="096307BE"/>
    <w:rsid w:val="09697B62"/>
    <w:rsid w:val="096E2E29"/>
    <w:rsid w:val="096E4AB5"/>
    <w:rsid w:val="096F6BF1"/>
    <w:rsid w:val="097584C7"/>
    <w:rsid w:val="09835D1C"/>
    <w:rsid w:val="09877B7F"/>
    <w:rsid w:val="09A96288"/>
    <w:rsid w:val="09B8469E"/>
    <w:rsid w:val="09B9A8FB"/>
    <w:rsid w:val="09CB8071"/>
    <w:rsid w:val="09CEBC6C"/>
    <w:rsid w:val="09D22F72"/>
    <w:rsid w:val="09D6922F"/>
    <w:rsid w:val="09D879CA"/>
    <w:rsid w:val="09DA6A0C"/>
    <w:rsid w:val="09DD8E7B"/>
    <w:rsid w:val="09E1BA6E"/>
    <w:rsid w:val="09F28196"/>
    <w:rsid w:val="0A00B830"/>
    <w:rsid w:val="0A157FB3"/>
    <w:rsid w:val="0A1BDC42"/>
    <w:rsid w:val="0A221716"/>
    <w:rsid w:val="0A25C050"/>
    <w:rsid w:val="0A29CBD0"/>
    <w:rsid w:val="0A3FD422"/>
    <w:rsid w:val="0A4298F0"/>
    <w:rsid w:val="0A47E643"/>
    <w:rsid w:val="0A4D1ECA"/>
    <w:rsid w:val="0A4FA5DC"/>
    <w:rsid w:val="0A5590BD"/>
    <w:rsid w:val="0A6E437C"/>
    <w:rsid w:val="0A711796"/>
    <w:rsid w:val="0A82E3E3"/>
    <w:rsid w:val="0A86D75B"/>
    <w:rsid w:val="0A8805E2"/>
    <w:rsid w:val="0A89304A"/>
    <w:rsid w:val="0A8B5B45"/>
    <w:rsid w:val="0A8D58CE"/>
    <w:rsid w:val="0A8EB275"/>
    <w:rsid w:val="0A999ABF"/>
    <w:rsid w:val="0A9B15E5"/>
    <w:rsid w:val="0AA9F4FA"/>
    <w:rsid w:val="0AAEFCAA"/>
    <w:rsid w:val="0AB62204"/>
    <w:rsid w:val="0AB9A881"/>
    <w:rsid w:val="0ABF3B3A"/>
    <w:rsid w:val="0AC5B063"/>
    <w:rsid w:val="0AC9DB6B"/>
    <w:rsid w:val="0AC9FAB9"/>
    <w:rsid w:val="0AD6C5E6"/>
    <w:rsid w:val="0AE012C0"/>
    <w:rsid w:val="0AE5E384"/>
    <w:rsid w:val="0AEC92DE"/>
    <w:rsid w:val="0AF74B52"/>
    <w:rsid w:val="0B09E826"/>
    <w:rsid w:val="0B0A077F"/>
    <w:rsid w:val="0B0D0122"/>
    <w:rsid w:val="0B253892"/>
    <w:rsid w:val="0B254193"/>
    <w:rsid w:val="0B28EA1B"/>
    <w:rsid w:val="0B2CF811"/>
    <w:rsid w:val="0B3514CF"/>
    <w:rsid w:val="0B39D23D"/>
    <w:rsid w:val="0B428CB5"/>
    <w:rsid w:val="0B42ED99"/>
    <w:rsid w:val="0B430B88"/>
    <w:rsid w:val="0B460C22"/>
    <w:rsid w:val="0B46CEB6"/>
    <w:rsid w:val="0B4B8EC4"/>
    <w:rsid w:val="0B4DCE0E"/>
    <w:rsid w:val="0B5963E3"/>
    <w:rsid w:val="0B5D560D"/>
    <w:rsid w:val="0B5F3DBA"/>
    <w:rsid w:val="0B64262E"/>
    <w:rsid w:val="0B720010"/>
    <w:rsid w:val="0B8302D7"/>
    <w:rsid w:val="0B86B745"/>
    <w:rsid w:val="0B898B19"/>
    <w:rsid w:val="0B89E792"/>
    <w:rsid w:val="0B8D2EA4"/>
    <w:rsid w:val="0B8E482E"/>
    <w:rsid w:val="0B8FD2C1"/>
    <w:rsid w:val="0B97FB4F"/>
    <w:rsid w:val="0BA02564"/>
    <w:rsid w:val="0BA3D035"/>
    <w:rsid w:val="0BA85B9D"/>
    <w:rsid w:val="0BAF115C"/>
    <w:rsid w:val="0BB25066"/>
    <w:rsid w:val="0BC6B3FE"/>
    <w:rsid w:val="0BD4E139"/>
    <w:rsid w:val="0BE35A9C"/>
    <w:rsid w:val="0BE559AD"/>
    <w:rsid w:val="0C026747"/>
    <w:rsid w:val="0C161299"/>
    <w:rsid w:val="0C16EFC5"/>
    <w:rsid w:val="0C28613D"/>
    <w:rsid w:val="0C37F86E"/>
    <w:rsid w:val="0C3A703E"/>
    <w:rsid w:val="0C3AB60D"/>
    <w:rsid w:val="0C4188CB"/>
    <w:rsid w:val="0C445DD0"/>
    <w:rsid w:val="0C4CB54E"/>
    <w:rsid w:val="0C5747E5"/>
    <w:rsid w:val="0C575C90"/>
    <w:rsid w:val="0C59B23D"/>
    <w:rsid w:val="0C59CC6A"/>
    <w:rsid w:val="0C5F4CBF"/>
    <w:rsid w:val="0C5F508F"/>
    <w:rsid w:val="0C6399F1"/>
    <w:rsid w:val="0C64AA94"/>
    <w:rsid w:val="0C657B48"/>
    <w:rsid w:val="0C845B29"/>
    <w:rsid w:val="0C9DF25B"/>
    <w:rsid w:val="0CAA95B1"/>
    <w:rsid w:val="0CB30715"/>
    <w:rsid w:val="0CB4D5BB"/>
    <w:rsid w:val="0CC04A64"/>
    <w:rsid w:val="0CD3B127"/>
    <w:rsid w:val="0CDC9026"/>
    <w:rsid w:val="0CE176BB"/>
    <w:rsid w:val="0CE78629"/>
    <w:rsid w:val="0CEC588B"/>
    <w:rsid w:val="0CECDA7D"/>
    <w:rsid w:val="0CEE035F"/>
    <w:rsid w:val="0CF37B53"/>
    <w:rsid w:val="0CF867B3"/>
    <w:rsid w:val="0CFC4734"/>
    <w:rsid w:val="0D00B404"/>
    <w:rsid w:val="0D14BBBB"/>
    <w:rsid w:val="0D1AAEC0"/>
    <w:rsid w:val="0D25415E"/>
    <w:rsid w:val="0D2C1496"/>
    <w:rsid w:val="0D307722"/>
    <w:rsid w:val="0D31421F"/>
    <w:rsid w:val="0D361F66"/>
    <w:rsid w:val="0D3C3479"/>
    <w:rsid w:val="0D3DC764"/>
    <w:rsid w:val="0D3E355D"/>
    <w:rsid w:val="0D3E55CC"/>
    <w:rsid w:val="0D4A7A81"/>
    <w:rsid w:val="0D4C0C7F"/>
    <w:rsid w:val="0D5A2253"/>
    <w:rsid w:val="0D6AADEA"/>
    <w:rsid w:val="0D76FF0A"/>
    <w:rsid w:val="0D949A3C"/>
    <w:rsid w:val="0D9502FE"/>
    <w:rsid w:val="0DB7C477"/>
    <w:rsid w:val="0DB83EB4"/>
    <w:rsid w:val="0DBC2CE6"/>
    <w:rsid w:val="0DBDE3B1"/>
    <w:rsid w:val="0DBE8575"/>
    <w:rsid w:val="0DBEC4CA"/>
    <w:rsid w:val="0DC580E8"/>
    <w:rsid w:val="0DC87A4E"/>
    <w:rsid w:val="0DD60803"/>
    <w:rsid w:val="0DEC0BF3"/>
    <w:rsid w:val="0DF41068"/>
    <w:rsid w:val="0DF46DB4"/>
    <w:rsid w:val="0DF7C47E"/>
    <w:rsid w:val="0DF8A95A"/>
    <w:rsid w:val="0E03403B"/>
    <w:rsid w:val="0E03FE98"/>
    <w:rsid w:val="0E0A4204"/>
    <w:rsid w:val="0E0C1B4C"/>
    <w:rsid w:val="0E10995A"/>
    <w:rsid w:val="0E121DB0"/>
    <w:rsid w:val="0E1B4903"/>
    <w:rsid w:val="0E1E8150"/>
    <w:rsid w:val="0E2226A2"/>
    <w:rsid w:val="0E2426AE"/>
    <w:rsid w:val="0E265C37"/>
    <w:rsid w:val="0E3532EB"/>
    <w:rsid w:val="0E3EABFB"/>
    <w:rsid w:val="0E46F424"/>
    <w:rsid w:val="0E4F74A2"/>
    <w:rsid w:val="0E50147A"/>
    <w:rsid w:val="0E52828D"/>
    <w:rsid w:val="0E63930A"/>
    <w:rsid w:val="0E67733F"/>
    <w:rsid w:val="0E6C2907"/>
    <w:rsid w:val="0E712C73"/>
    <w:rsid w:val="0E7CE43F"/>
    <w:rsid w:val="0E8E92C9"/>
    <w:rsid w:val="0E98F389"/>
    <w:rsid w:val="0EA8D5C2"/>
    <w:rsid w:val="0EB35156"/>
    <w:rsid w:val="0ED26E1D"/>
    <w:rsid w:val="0EDE5DCF"/>
    <w:rsid w:val="0EDFD315"/>
    <w:rsid w:val="0EE8C017"/>
    <w:rsid w:val="0EE9A62D"/>
    <w:rsid w:val="0EF1D367"/>
    <w:rsid w:val="0EF8F664"/>
    <w:rsid w:val="0EFB08A8"/>
    <w:rsid w:val="0F035243"/>
    <w:rsid w:val="0F17A8B7"/>
    <w:rsid w:val="0F1915F1"/>
    <w:rsid w:val="0F1A7902"/>
    <w:rsid w:val="0F1BCC0F"/>
    <w:rsid w:val="0F1D29E1"/>
    <w:rsid w:val="0F1DA581"/>
    <w:rsid w:val="0F1F5007"/>
    <w:rsid w:val="0F22CF98"/>
    <w:rsid w:val="0F22ED13"/>
    <w:rsid w:val="0F3734AC"/>
    <w:rsid w:val="0F3F51A7"/>
    <w:rsid w:val="0F4A4A9C"/>
    <w:rsid w:val="0F52EFB3"/>
    <w:rsid w:val="0F5D46BD"/>
    <w:rsid w:val="0F640EFD"/>
    <w:rsid w:val="0F6C72D1"/>
    <w:rsid w:val="0F7E1754"/>
    <w:rsid w:val="0F7EB536"/>
    <w:rsid w:val="0F7EEA4C"/>
    <w:rsid w:val="0F8280DA"/>
    <w:rsid w:val="0F9FCFAE"/>
    <w:rsid w:val="0FA2E9FA"/>
    <w:rsid w:val="0FAA01F3"/>
    <w:rsid w:val="0FBC5A64"/>
    <w:rsid w:val="0FC726F2"/>
    <w:rsid w:val="0FCDA79E"/>
    <w:rsid w:val="0FCE33D5"/>
    <w:rsid w:val="0FD6D4A4"/>
    <w:rsid w:val="0FD70544"/>
    <w:rsid w:val="0FD97951"/>
    <w:rsid w:val="0FE0D557"/>
    <w:rsid w:val="0FE0E075"/>
    <w:rsid w:val="0FE28628"/>
    <w:rsid w:val="0FED35FD"/>
    <w:rsid w:val="0FF4D8CF"/>
    <w:rsid w:val="0FF807EB"/>
    <w:rsid w:val="0FFBDDC0"/>
    <w:rsid w:val="1007FA85"/>
    <w:rsid w:val="100C9482"/>
    <w:rsid w:val="1019A0CA"/>
    <w:rsid w:val="1019CFE3"/>
    <w:rsid w:val="101D82AA"/>
    <w:rsid w:val="10204385"/>
    <w:rsid w:val="10220E9C"/>
    <w:rsid w:val="1025E199"/>
    <w:rsid w:val="10443567"/>
    <w:rsid w:val="10535399"/>
    <w:rsid w:val="105D0D26"/>
    <w:rsid w:val="10608168"/>
    <w:rsid w:val="10621CCE"/>
    <w:rsid w:val="1067069D"/>
    <w:rsid w:val="106D1D93"/>
    <w:rsid w:val="107A2637"/>
    <w:rsid w:val="10801A07"/>
    <w:rsid w:val="109101CC"/>
    <w:rsid w:val="1091CD32"/>
    <w:rsid w:val="109EDB74"/>
    <w:rsid w:val="109F439D"/>
    <w:rsid w:val="109F956E"/>
    <w:rsid w:val="10A3CEB7"/>
    <w:rsid w:val="10B1BBCD"/>
    <w:rsid w:val="10B63F75"/>
    <w:rsid w:val="10B8CA58"/>
    <w:rsid w:val="10CD1E80"/>
    <w:rsid w:val="10D1C426"/>
    <w:rsid w:val="10D8FDE8"/>
    <w:rsid w:val="10DD3341"/>
    <w:rsid w:val="10E59C92"/>
    <w:rsid w:val="10EE0568"/>
    <w:rsid w:val="110AFFD3"/>
    <w:rsid w:val="11132912"/>
    <w:rsid w:val="1116D637"/>
    <w:rsid w:val="111750C4"/>
    <w:rsid w:val="111812EF"/>
    <w:rsid w:val="111AC4FC"/>
    <w:rsid w:val="111D56AE"/>
    <w:rsid w:val="1128B505"/>
    <w:rsid w:val="114AE076"/>
    <w:rsid w:val="114CB09B"/>
    <w:rsid w:val="1156493F"/>
    <w:rsid w:val="115F9805"/>
    <w:rsid w:val="115F9CA9"/>
    <w:rsid w:val="116232F7"/>
    <w:rsid w:val="11655D04"/>
    <w:rsid w:val="11661BD9"/>
    <w:rsid w:val="1174E754"/>
    <w:rsid w:val="11772AE4"/>
    <w:rsid w:val="1177D189"/>
    <w:rsid w:val="117C0659"/>
    <w:rsid w:val="117FA165"/>
    <w:rsid w:val="119BD99B"/>
    <w:rsid w:val="11ADCE23"/>
    <w:rsid w:val="11B17E4C"/>
    <w:rsid w:val="11B84414"/>
    <w:rsid w:val="11B9C1CF"/>
    <w:rsid w:val="11BBE769"/>
    <w:rsid w:val="11BD1586"/>
    <w:rsid w:val="11BF93BE"/>
    <w:rsid w:val="11C23713"/>
    <w:rsid w:val="11CEE901"/>
    <w:rsid w:val="11D8C439"/>
    <w:rsid w:val="11DE2FFA"/>
    <w:rsid w:val="11EE6E0A"/>
    <w:rsid w:val="11F2F454"/>
    <w:rsid w:val="1204751C"/>
    <w:rsid w:val="121C0105"/>
    <w:rsid w:val="121F5611"/>
    <w:rsid w:val="12295896"/>
    <w:rsid w:val="122D1E2C"/>
    <w:rsid w:val="12330D34"/>
    <w:rsid w:val="12331297"/>
    <w:rsid w:val="1236A9A0"/>
    <w:rsid w:val="1246EE09"/>
    <w:rsid w:val="1252F7AB"/>
    <w:rsid w:val="12539263"/>
    <w:rsid w:val="125A7CDB"/>
    <w:rsid w:val="125B55E9"/>
    <w:rsid w:val="125E5B3F"/>
    <w:rsid w:val="125EC30A"/>
    <w:rsid w:val="12615A31"/>
    <w:rsid w:val="12641670"/>
    <w:rsid w:val="127464B7"/>
    <w:rsid w:val="127DE774"/>
    <w:rsid w:val="12872451"/>
    <w:rsid w:val="12920A33"/>
    <w:rsid w:val="129905F6"/>
    <w:rsid w:val="12A30FB8"/>
    <w:rsid w:val="12B14AB9"/>
    <w:rsid w:val="12B38E59"/>
    <w:rsid w:val="12C3D3D7"/>
    <w:rsid w:val="12CD093A"/>
    <w:rsid w:val="12CE5947"/>
    <w:rsid w:val="12CFA1F6"/>
    <w:rsid w:val="12D2C23A"/>
    <w:rsid w:val="12DD4D51"/>
    <w:rsid w:val="12EFB91E"/>
    <w:rsid w:val="12F0E6E9"/>
    <w:rsid w:val="12F67A67"/>
    <w:rsid w:val="12F84CC0"/>
    <w:rsid w:val="13028920"/>
    <w:rsid w:val="130979E2"/>
    <w:rsid w:val="130F09E3"/>
    <w:rsid w:val="131E0010"/>
    <w:rsid w:val="131E8EEC"/>
    <w:rsid w:val="1320F73F"/>
    <w:rsid w:val="132143C7"/>
    <w:rsid w:val="1321A61F"/>
    <w:rsid w:val="13221091"/>
    <w:rsid w:val="132FCBCF"/>
    <w:rsid w:val="133231E4"/>
    <w:rsid w:val="1335CB46"/>
    <w:rsid w:val="13363C9F"/>
    <w:rsid w:val="13392A2C"/>
    <w:rsid w:val="133A303C"/>
    <w:rsid w:val="133FF4A8"/>
    <w:rsid w:val="13468FF0"/>
    <w:rsid w:val="1348A4C7"/>
    <w:rsid w:val="134DEE79"/>
    <w:rsid w:val="1353C163"/>
    <w:rsid w:val="135CCB44"/>
    <w:rsid w:val="1362F88D"/>
    <w:rsid w:val="138048D3"/>
    <w:rsid w:val="139018FC"/>
    <w:rsid w:val="13A32742"/>
    <w:rsid w:val="13B4EC3D"/>
    <w:rsid w:val="13B75232"/>
    <w:rsid w:val="13B7E427"/>
    <w:rsid w:val="13BD5B5A"/>
    <w:rsid w:val="13C54E5D"/>
    <w:rsid w:val="13C619ED"/>
    <w:rsid w:val="13CCF957"/>
    <w:rsid w:val="13D85733"/>
    <w:rsid w:val="13DB1F92"/>
    <w:rsid w:val="13DE4818"/>
    <w:rsid w:val="13E13B65"/>
    <w:rsid w:val="13F053A1"/>
    <w:rsid w:val="13F2B507"/>
    <w:rsid w:val="13F68662"/>
    <w:rsid w:val="13F7285E"/>
    <w:rsid w:val="13F93A35"/>
    <w:rsid w:val="13FB886D"/>
    <w:rsid w:val="1400005E"/>
    <w:rsid w:val="14119468"/>
    <w:rsid w:val="1418AAC3"/>
    <w:rsid w:val="14285B6B"/>
    <w:rsid w:val="142A59A1"/>
    <w:rsid w:val="142FEC3D"/>
    <w:rsid w:val="143021A8"/>
    <w:rsid w:val="1445733C"/>
    <w:rsid w:val="14459722"/>
    <w:rsid w:val="14480201"/>
    <w:rsid w:val="1455793A"/>
    <w:rsid w:val="145B7263"/>
    <w:rsid w:val="1475FA0B"/>
    <w:rsid w:val="1478AFFD"/>
    <w:rsid w:val="147E22AF"/>
    <w:rsid w:val="147EB2D4"/>
    <w:rsid w:val="148160EC"/>
    <w:rsid w:val="1489ECC8"/>
    <w:rsid w:val="148CA162"/>
    <w:rsid w:val="148CFF7A"/>
    <w:rsid w:val="148F5EE0"/>
    <w:rsid w:val="14917B4E"/>
    <w:rsid w:val="1498D7C0"/>
    <w:rsid w:val="149BD733"/>
    <w:rsid w:val="14A935E6"/>
    <w:rsid w:val="14A9A09C"/>
    <w:rsid w:val="14AB7E6A"/>
    <w:rsid w:val="14BCD621"/>
    <w:rsid w:val="14C71979"/>
    <w:rsid w:val="14CACC86"/>
    <w:rsid w:val="14CCD3ED"/>
    <w:rsid w:val="14D5701D"/>
    <w:rsid w:val="14DCC175"/>
    <w:rsid w:val="14E3000E"/>
    <w:rsid w:val="14E9EB6F"/>
    <w:rsid w:val="14ED4106"/>
    <w:rsid w:val="14EDE5B8"/>
    <w:rsid w:val="14EE11FD"/>
    <w:rsid w:val="14EEF035"/>
    <w:rsid w:val="14EF8B6A"/>
    <w:rsid w:val="14F7D8E4"/>
    <w:rsid w:val="14FCF1D2"/>
    <w:rsid w:val="1505F24A"/>
    <w:rsid w:val="1507DD7D"/>
    <w:rsid w:val="150A2DF1"/>
    <w:rsid w:val="15180620"/>
    <w:rsid w:val="152E313F"/>
    <w:rsid w:val="15375CA0"/>
    <w:rsid w:val="15383029"/>
    <w:rsid w:val="153A4EAB"/>
    <w:rsid w:val="1549E754"/>
    <w:rsid w:val="154FA85B"/>
    <w:rsid w:val="1551C201"/>
    <w:rsid w:val="1558134B"/>
    <w:rsid w:val="1558270C"/>
    <w:rsid w:val="155E1577"/>
    <w:rsid w:val="15666C8B"/>
    <w:rsid w:val="157CFCF8"/>
    <w:rsid w:val="157D383E"/>
    <w:rsid w:val="157F3C5E"/>
    <w:rsid w:val="158172CF"/>
    <w:rsid w:val="15838F9C"/>
    <w:rsid w:val="1586A936"/>
    <w:rsid w:val="15887F94"/>
    <w:rsid w:val="15935F0D"/>
    <w:rsid w:val="1598BFA0"/>
    <w:rsid w:val="15A70BDA"/>
    <w:rsid w:val="15AB6634"/>
    <w:rsid w:val="15C12827"/>
    <w:rsid w:val="15C1D01A"/>
    <w:rsid w:val="15CA1B78"/>
    <w:rsid w:val="15CBF02F"/>
    <w:rsid w:val="15DAD589"/>
    <w:rsid w:val="15E25455"/>
    <w:rsid w:val="15E6760B"/>
    <w:rsid w:val="15F802C0"/>
    <w:rsid w:val="15FBE530"/>
    <w:rsid w:val="1603CC68"/>
    <w:rsid w:val="161470E2"/>
    <w:rsid w:val="1615B0E1"/>
    <w:rsid w:val="16206999"/>
    <w:rsid w:val="16207560"/>
    <w:rsid w:val="16225FF7"/>
    <w:rsid w:val="1623182C"/>
    <w:rsid w:val="162985AA"/>
    <w:rsid w:val="1638C5A8"/>
    <w:rsid w:val="164344A4"/>
    <w:rsid w:val="1647F482"/>
    <w:rsid w:val="164D7E2E"/>
    <w:rsid w:val="165011FB"/>
    <w:rsid w:val="165C5871"/>
    <w:rsid w:val="165CF74C"/>
    <w:rsid w:val="16600F9A"/>
    <w:rsid w:val="167CE8AE"/>
    <w:rsid w:val="16857098"/>
    <w:rsid w:val="168EE82F"/>
    <w:rsid w:val="169B16E7"/>
    <w:rsid w:val="16A588AB"/>
    <w:rsid w:val="16AE1001"/>
    <w:rsid w:val="16AE4749"/>
    <w:rsid w:val="16BD8ED1"/>
    <w:rsid w:val="16BF01CF"/>
    <w:rsid w:val="16C34F3C"/>
    <w:rsid w:val="16CC90B9"/>
    <w:rsid w:val="16DEEBAC"/>
    <w:rsid w:val="16E4AC02"/>
    <w:rsid w:val="16E5034E"/>
    <w:rsid w:val="16E743BB"/>
    <w:rsid w:val="16F846E9"/>
    <w:rsid w:val="16FD5E7E"/>
    <w:rsid w:val="1708CA77"/>
    <w:rsid w:val="170DE136"/>
    <w:rsid w:val="170F654D"/>
    <w:rsid w:val="17110C54"/>
    <w:rsid w:val="171403D4"/>
    <w:rsid w:val="1717361E"/>
    <w:rsid w:val="171B7026"/>
    <w:rsid w:val="172DBF40"/>
    <w:rsid w:val="1731F012"/>
    <w:rsid w:val="17399DF8"/>
    <w:rsid w:val="174B897D"/>
    <w:rsid w:val="174D039C"/>
    <w:rsid w:val="175C25F7"/>
    <w:rsid w:val="175CF510"/>
    <w:rsid w:val="175F5674"/>
    <w:rsid w:val="176AA999"/>
    <w:rsid w:val="176BE29A"/>
    <w:rsid w:val="17753318"/>
    <w:rsid w:val="177AD770"/>
    <w:rsid w:val="1786B49B"/>
    <w:rsid w:val="178AB7C1"/>
    <w:rsid w:val="178FC9AD"/>
    <w:rsid w:val="179061E3"/>
    <w:rsid w:val="179A40DC"/>
    <w:rsid w:val="17A1C33C"/>
    <w:rsid w:val="17B0A450"/>
    <w:rsid w:val="17B9B427"/>
    <w:rsid w:val="17BB54A7"/>
    <w:rsid w:val="17BCFCAE"/>
    <w:rsid w:val="17C4DDC5"/>
    <w:rsid w:val="17CD5530"/>
    <w:rsid w:val="17D393EE"/>
    <w:rsid w:val="17D5E1B9"/>
    <w:rsid w:val="17D7857F"/>
    <w:rsid w:val="17D93373"/>
    <w:rsid w:val="17D94564"/>
    <w:rsid w:val="17E27EAA"/>
    <w:rsid w:val="17E3F150"/>
    <w:rsid w:val="17E7B01E"/>
    <w:rsid w:val="17EB3382"/>
    <w:rsid w:val="17F270ED"/>
    <w:rsid w:val="17F39140"/>
    <w:rsid w:val="17F3BB91"/>
    <w:rsid w:val="17F4745F"/>
    <w:rsid w:val="1805FE5F"/>
    <w:rsid w:val="18069926"/>
    <w:rsid w:val="180824CC"/>
    <w:rsid w:val="180C3060"/>
    <w:rsid w:val="180EA046"/>
    <w:rsid w:val="180F1D1C"/>
    <w:rsid w:val="1816B611"/>
    <w:rsid w:val="18278FB1"/>
    <w:rsid w:val="182C6E77"/>
    <w:rsid w:val="182F13B6"/>
    <w:rsid w:val="1836CC46"/>
    <w:rsid w:val="1842FD9A"/>
    <w:rsid w:val="184445ED"/>
    <w:rsid w:val="18489C06"/>
    <w:rsid w:val="184F4708"/>
    <w:rsid w:val="185BD0FF"/>
    <w:rsid w:val="185F2DE4"/>
    <w:rsid w:val="1861D9BC"/>
    <w:rsid w:val="186700E4"/>
    <w:rsid w:val="1868F418"/>
    <w:rsid w:val="1869E113"/>
    <w:rsid w:val="186B3951"/>
    <w:rsid w:val="18711400"/>
    <w:rsid w:val="187380FB"/>
    <w:rsid w:val="187677A9"/>
    <w:rsid w:val="1877051C"/>
    <w:rsid w:val="1878EB00"/>
    <w:rsid w:val="187D9F8C"/>
    <w:rsid w:val="1883B314"/>
    <w:rsid w:val="1883D387"/>
    <w:rsid w:val="188634B1"/>
    <w:rsid w:val="1886C462"/>
    <w:rsid w:val="188C1DF8"/>
    <w:rsid w:val="1890CFD3"/>
    <w:rsid w:val="1893635D"/>
    <w:rsid w:val="18980AFE"/>
    <w:rsid w:val="189D9917"/>
    <w:rsid w:val="189EC4BB"/>
    <w:rsid w:val="18A01ABE"/>
    <w:rsid w:val="18A7B5A1"/>
    <w:rsid w:val="18AB22E9"/>
    <w:rsid w:val="18B2C3B8"/>
    <w:rsid w:val="18B4C924"/>
    <w:rsid w:val="18C316C4"/>
    <w:rsid w:val="18C54384"/>
    <w:rsid w:val="18CD65A2"/>
    <w:rsid w:val="18D7CC6F"/>
    <w:rsid w:val="18DEE3FE"/>
    <w:rsid w:val="18E1DCC3"/>
    <w:rsid w:val="18E21BE3"/>
    <w:rsid w:val="18E919F7"/>
    <w:rsid w:val="18F4732A"/>
    <w:rsid w:val="1908C22E"/>
    <w:rsid w:val="1916FC60"/>
    <w:rsid w:val="191B15E9"/>
    <w:rsid w:val="191D9923"/>
    <w:rsid w:val="19281752"/>
    <w:rsid w:val="19352D2D"/>
    <w:rsid w:val="193B8451"/>
    <w:rsid w:val="193D5702"/>
    <w:rsid w:val="194951ED"/>
    <w:rsid w:val="194A42DC"/>
    <w:rsid w:val="196E9D2C"/>
    <w:rsid w:val="196EE81E"/>
    <w:rsid w:val="1973E8AF"/>
    <w:rsid w:val="1978FA57"/>
    <w:rsid w:val="197BFADC"/>
    <w:rsid w:val="197DB116"/>
    <w:rsid w:val="198A0922"/>
    <w:rsid w:val="198BE4E1"/>
    <w:rsid w:val="198F545E"/>
    <w:rsid w:val="1992B7D5"/>
    <w:rsid w:val="19936C5F"/>
    <w:rsid w:val="199429BC"/>
    <w:rsid w:val="19A2DD61"/>
    <w:rsid w:val="19ADC044"/>
    <w:rsid w:val="19B5D081"/>
    <w:rsid w:val="19BA5366"/>
    <w:rsid w:val="19C50D56"/>
    <w:rsid w:val="19CF30F2"/>
    <w:rsid w:val="19D0C786"/>
    <w:rsid w:val="19DBC0B3"/>
    <w:rsid w:val="19E27AAB"/>
    <w:rsid w:val="19E53BD3"/>
    <w:rsid w:val="19F0985B"/>
    <w:rsid w:val="19FD9B68"/>
    <w:rsid w:val="1A0075B9"/>
    <w:rsid w:val="1A020B68"/>
    <w:rsid w:val="1A038AC2"/>
    <w:rsid w:val="1A081C0F"/>
    <w:rsid w:val="1A0C5066"/>
    <w:rsid w:val="1A0D0660"/>
    <w:rsid w:val="1A16F278"/>
    <w:rsid w:val="1A204203"/>
    <w:rsid w:val="1A2A93D0"/>
    <w:rsid w:val="1A2D1008"/>
    <w:rsid w:val="1A2DF3BF"/>
    <w:rsid w:val="1A320341"/>
    <w:rsid w:val="1A3216AB"/>
    <w:rsid w:val="1A3333AC"/>
    <w:rsid w:val="1A3A05EE"/>
    <w:rsid w:val="1A4672BF"/>
    <w:rsid w:val="1A486237"/>
    <w:rsid w:val="1A556C77"/>
    <w:rsid w:val="1A5C20F9"/>
    <w:rsid w:val="1A661306"/>
    <w:rsid w:val="1A693311"/>
    <w:rsid w:val="1A6F911B"/>
    <w:rsid w:val="1A879276"/>
    <w:rsid w:val="1A87F7BA"/>
    <w:rsid w:val="1A8995C9"/>
    <w:rsid w:val="1A930536"/>
    <w:rsid w:val="1A9457E2"/>
    <w:rsid w:val="1A9D64CF"/>
    <w:rsid w:val="1AAA5A40"/>
    <w:rsid w:val="1ABC3BDC"/>
    <w:rsid w:val="1AC7090A"/>
    <w:rsid w:val="1AD07C0E"/>
    <w:rsid w:val="1AD9A05F"/>
    <w:rsid w:val="1AE01C67"/>
    <w:rsid w:val="1AEC6207"/>
    <w:rsid w:val="1AF10304"/>
    <w:rsid w:val="1AF3CEA1"/>
    <w:rsid w:val="1AF9287C"/>
    <w:rsid w:val="1AF987F8"/>
    <w:rsid w:val="1B011248"/>
    <w:rsid w:val="1B1364F5"/>
    <w:rsid w:val="1B2B76CC"/>
    <w:rsid w:val="1B2DE427"/>
    <w:rsid w:val="1B311DAD"/>
    <w:rsid w:val="1B3AE214"/>
    <w:rsid w:val="1B3D552F"/>
    <w:rsid w:val="1B40335F"/>
    <w:rsid w:val="1B4D9E03"/>
    <w:rsid w:val="1B4E4683"/>
    <w:rsid w:val="1B500BF0"/>
    <w:rsid w:val="1B61160B"/>
    <w:rsid w:val="1B67D005"/>
    <w:rsid w:val="1B6D5D26"/>
    <w:rsid w:val="1B71960B"/>
    <w:rsid w:val="1B8529CB"/>
    <w:rsid w:val="1B933767"/>
    <w:rsid w:val="1B976120"/>
    <w:rsid w:val="1B9BC6C6"/>
    <w:rsid w:val="1BA2B364"/>
    <w:rsid w:val="1BAF06F1"/>
    <w:rsid w:val="1BB10958"/>
    <w:rsid w:val="1BB33EA6"/>
    <w:rsid w:val="1BC152CB"/>
    <w:rsid w:val="1BC2C831"/>
    <w:rsid w:val="1BE65920"/>
    <w:rsid w:val="1BE7773E"/>
    <w:rsid w:val="1BFBBA69"/>
    <w:rsid w:val="1C06A4BB"/>
    <w:rsid w:val="1C083F0F"/>
    <w:rsid w:val="1C08A7E5"/>
    <w:rsid w:val="1C1736A2"/>
    <w:rsid w:val="1C1993A5"/>
    <w:rsid w:val="1C1DD7E5"/>
    <w:rsid w:val="1C2D17F3"/>
    <w:rsid w:val="1C38EDA4"/>
    <w:rsid w:val="1C396ECF"/>
    <w:rsid w:val="1C439825"/>
    <w:rsid w:val="1C490AA8"/>
    <w:rsid w:val="1C4BFE3E"/>
    <w:rsid w:val="1C508D3B"/>
    <w:rsid w:val="1C53DCFC"/>
    <w:rsid w:val="1C54EA79"/>
    <w:rsid w:val="1C5AC750"/>
    <w:rsid w:val="1C5EE6D6"/>
    <w:rsid w:val="1C60B7BB"/>
    <w:rsid w:val="1C884C57"/>
    <w:rsid w:val="1C89AE89"/>
    <w:rsid w:val="1C9EA793"/>
    <w:rsid w:val="1CA53173"/>
    <w:rsid w:val="1CA58C87"/>
    <w:rsid w:val="1CA748BF"/>
    <w:rsid w:val="1CAA274B"/>
    <w:rsid w:val="1CC94030"/>
    <w:rsid w:val="1CCB0412"/>
    <w:rsid w:val="1CDF254C"/>
    <w:rsid w:val="1CE41DF3"/>
    <w:rsid w:val="1CEA8713"/>
    <w:rsid w:val="1CF03DE8"/>
    <w:rsid w:val="1CF460D3"/>
    <w:rsid w:val="1CFF4913"/>
    <w:rsid w:val="1D02DDE6"/>
    <w:rsid w:val="1D05B407"/>
    <w:rsid w:val="1D157F19"/>
    <w:rsid w:val="1D19C847"/>
    <w:rsid w:val="1D22C3F4"/>
    <w:rsid w:val="1D49EB2C"/>
    <w:rsid w:val="1D58E142"/>
    <w:rsid w:val="1D5D3EF7"/>
    <w:rsid w:val="1D631064"/>
    <w:rsid w:val="1D65B383"/>
    <w:rsid w:val="1D676BB9"/>
    <w:rsid w:val="1D6884BA"/>
    <w:rsid w:val="1D6BA275"/>
    <w:rsid w:val="1D6EB102"/>
    <w:rsid w:val="1D6F6E5C"/>
    <w:rsid w:val="1D8C3CB2"/>
    <w:rsid w:val="1D922216"/>
    <w:rsid w:val="1D9494E0"/>
    <w:rsid w:val="1DA553F4"/>
    <w:rsid w:val="1DAA48B6"/>
    <w:rsid w:val="1DAB6FA5"/>
    <w:rsid w:val="1DB23687"/>
    <w:rsid w:val="1DB4DCEE"/>
    <w:rsid w:val="1DBBA322"/>
    <w:rsid w:val="1DC13FE0"/>
    <w:rsid w:val="1DC28180"/>
    <w:rsid w:val="1DCDF30F"/>
    <w:rsid w:val="1DE9DAC7"/>
    <w:rsid w:val="1DEED631"/>
    <w:rsid w:val="1DF098F3"/>
    <w:rsid w:val="1DFB4DDB"/>
    <w:rsid w:val="1DFB7446"/>
    <w:rsid w:val="1E00D706"/>
    <w:rsid w:val="1E03AF66"/>
    <w:rsid w:val="1E043158"/>
    <w:rsid w:val="1E04C461"/>
    <w:rsid w:val="1E0578C0"/>
    <w:rsid w:val="1E07C74B"/>
    <w:rsid w:val="1E0944EF"/>
    <w:rsid w:val="1E0F3086"/>
    <w:rsid w:val="1E1DB3FA"/>
    <w:rsid w:val="1E22516C"/>
    <w:rsid w:val="1E43ADD2"/>
    <w:rsid w:val="1E45E084"/>
    <w:rsid w:val="1E576578"/>
    <w:rsid w:val="1E57A923"/>
    <w:rsid w:val="1E5A28F6"/>
    <w:rsid w:val="1E6288AA"/>
    <w:rsid w:val="1E6C0CA8"/>
    <w:rsid w:val="1E75703A"/>
    <w:rsid w:val="1E7684C5"/>
    <w:rsid w:val="1E76AE90"/>
    <w:rsid w:val="1E7894A7"/>
    <w:rsid w:val="1E7B9827"/>
    <w:rsid w:val="1E874854"/>
    <w:rsid w:val="1E877F90"/>
    <w:rsid w:val="1E8EA1F2"/>
    <w:rsid w:val="1EAE9084"/>
    <w:rsid w:val="1EC0AFBE"/>
    <w:rsid w:val="1EC0C71A"/>
    <w:rsid w:val="1EC2325B"/>
    <w:rsid w:val="1EC5E7EC"/>
    <w:rsid w:val="1ECCEDB7"/>
    <w:rsid w:val="1ED9BD69"/>
    <w:rsid w:val="1EE9A5D5"/>
    <w:rsid w:val="1EEED884"/>
    <w:rsid w:val="1EF8ACAE"/>
    <w:rsid w:val="1F0AD5BC"/>
    <w:rsid w:val="1F1007D9"/>
    <w:rsid w:val="1F131E3B"/>
    <w:rsid w:val="1F1A8311"/>
    <w:rsid w:val="1F2E18C6"/>
    <w:rsid w:val="1F30816D"/>
    <w:rsid w:val="1F35543A"/>
    <w:rsid w:val="1F363708"/>
    <w:rsid w:val="1F39EB6D"/>
    <w:rsid w:val="1F3CA8E2"/>
    <w:rsid w:val="1F40C76F"/>
    <w:rsid w:val="1F4EE383"/>
    <w:rsid w:val="1F52FE94"/>
    <w:rsid w:val="1F5A9E1D"/>
    <w:rsid w:val="1F5DE4AB"/>
    <w:rsid w:val="1F5FA779"/>
    <w:rsid w:val="1F65439E"/>
    <w:rsid w:val="1F6679A1"/>
    <w:rsid w:val="1F7C1727"/>
    <w:rsid w:val="1F8141D9"/>
    <w:rsid w:val="1F864D88"/>
    <w:rsid w:val="1F87A0E5"/>
    <w:rsid w:val="1F8DE2B9"/>
    <w:rsid w:val="1F8DFBF6"/>
    <w:rsid w:val="1FAA1AFF"/>
    <w:rsid w:val="1FAADF15"/>
    <w:rsid w:val="1FABC05C"/>
    <w:rsid w:val="1FAE3CAC"/>
    <w:rsid w:val="1FB1F0B5"/>
    <w:rsid w:val="1FB4BC17"/>
    <w:rsid w:val="1FB8DC70"/>
    <w:rsid w:val="1FBC306C"/>
    <w:rsid w:val="1FBCC24D"/>
    <w:rsid w:val="1FC4776D"/>
    <w:rsid w:val="1FD8215A"/>
    <w:rsid w:val="1FE6E8FB"/>
    <w:rsid w:val="1FF387EB"/>
    <w:rsid w:val="1FF6B00F"/>
    <w:rsid w:val="20007EFE"/>
    <w:rsid w:val="20230FB9"/>
    <w:rsid w:val="202F50A6"/>
    <w:rsid w:val="204B62AB"/>
    <w:rsid w:val="204E4DF0"/>
    <w:rsid w:val="20527DD2"/>
    <w:rsid w:val="2053269F"/>
    <w:rsid w:val="2053F587"/>
    <w:rsid w:val="20687A3A"/>
    <w:rsid w:val="2081BEF2"/>
    <w:rsid w:val="20888305"/>
    <w:rsid w:val="208A2F06"/>
    <w:rsid w:val="20985B16"/>
    <w:rsid w:val="209A1EB6"/>
    <w:rsid w:val="20A083CF"/>
    <w:rsid w:val="20A4E47C"/>
    <w:rsid w:val="20A9F82B"/>
    <w:rsid w:val="20AD0C52"/>
    <w:rsid w:val="20B009F3"/>
    <w:rsid w:val="20B0FA1B"/>
    <w:rsid w:val="20BF0C91"/>
    <w:rsid w:val="20CAC4B6"/>
    <w:rsid w:val="20CF5088"/>
    <w:rsid w:val="20DF84EE"/>
    <w:rsid w:val="20E086CE"/>
    <w:rsid w:val="20EB101C"/>
    <w:rsid w:val="20EC5CB5"/>
    <w:rsid w:val="20EE72C6"/>
    <w:rsid w:val="20F4705F"/>
    <w:rsid w:val="210A1198"/>
    <w:rsid w:val="213A33E8"/>
    <w:rsid w:val="213CA395"/>
    <w:rsid w:val="213F1738"/>
    <w:rsid w:val="21509DC7"/>
    <w:rsid w:val="215BE0C0"/>
    <w:rsid w:val="215DC42A"/>
    <w:rsid w:val="215F70C8"/>
    <w:rsid w:val="21646554"/>
    <w:rsid w:val="216C0632"/>
    <w:rsid w:val="21782941"/>
    <w:rsid w:val="21807A6A"/>
    <w:rsid w:val="21823499"/>
    <w:rsid w:val="219BDA74"/>
    <w:rsid w:val="21A16B21"/>
    <w:rsid w:val="21A8C7B7"/>
    <w:rsid w:val="21ABA8DB"/>
    <w:rsid w:val="21B1AD2A"/>
    <w:rsid w:val="21B491DC"/>
    <w:rsid w:val="21B55113"/>
    <w:rsid w:val="21B6940B"/>
    <w:rsid w:val="21BA371E"/>
    <w:rsid w:val="21BB075A"/>
    <w:rsid w:val="21BFDF8C"/>
    <w:rsid w:val="21D19B87"/>
    <w:rsid w:val="21D8C047"/>
    <w:rsid w:val="21DCD681"/>
    <w:rsid w:val="21DCDAEA"/>
    <w:rsid w:val="21E15C9F"/>
    <w:rsid w:val="21E7A51E"/>
    <w:rsid w:val="21F3AE8A"/>
    <w:rsid w:val="21F3CABA"/>
    <w:rsid w:val="21F781DB"/>
    <w:rsid w:val="21FFD6D3"/>
    <w:rsid w:val="220B843A"/>
    <w:rsid w:val="220B92A9"/>
    <w:rsid w:val="220ECBED"/>
    <w:rsid w:val="221A7BCB"/>
    <w:rsid w:val="221B6D82"/>
    <w:rsid w:val="222B3703"/>
    <w:rsid w:val="223C2147"/>
    <w:rsid w:val="2248040C"/>
    <w:rsid w:val="224A3E74"/>
    <w:rsid w:val="226A0E81"/>
    <w:rsid w:val="226D8A8A"/>
    <w:rsid w:val="22737831"/>
    <w:rsid w:val="227A367E"/>
    <w:rsid w:val="227A9A73"/>
    <w:rsid w:val="227F1B8F"/>
    <w:rsid w:val="2281A7AF"/>
    <w:rsid w:val="2281C774"/>
    <w:rsid w:val="2283783F"/>
    <w:rsid w:val="2285DCAE"/>
    <w:rsid w:val="2288D01B"/>
    <w:rsid w:val="228D8653"/>
    <w:rsid w:val="2299FE9A"/>
    <w:rsid w:val="229DA702"/>
    <w:rsid w:val="22A54F81"/>
    <w:rsid w:val="22AD14E6"/>
    <w:rsid w:val="22AF66D0"/>
    <w:rsid w:val="22B8F1C8"/>
    <w:rsid w:val="22BA1455"/>
    <w:rsid w:val="22BA9E51"/>
    <w:rsid w:val="22BE33CE"/>
    <w:rsid w:val="22C51F5F"/>
    <w:rsid w:val="22D70F4A"/>
    <w:rsid w:val="22D9B505"/>
    <w:rsid w:val="22DFB2BC"/>
    <w:rsid w:val="22E098A8"/>
    <w:rsid w:val="22E5ECD3"/>
    <w:rsid w:val="22E68CCC"/>
    <w:rsid w:val="22F9383D"/>
    <w:rsid w:val="22FAE006"/>
    <w:rsid w:val="2302C925"/>
    <w:rsid w:val="23082617"/>
    <w:rsid w:val="230BF2C6"/>
    <w:rsid w:val="23165FC3"/>
    <w:rsid w:val="23214AA6"/>
    <w:rsid w:val="23224B08"/>
    <w:rsid w:val="23282021"/>
    <w:rsid w:val="2337FD2F"/>
    <w:rsid w:val="233FB664"/>
    <w:rsid w:val="2349D348"/>
    <w:rsid w:val="234EAEF7"/>
    <w:rsid w:val="2354B677"/>
    <w:rsid w:val="23555910"/>
    <w:rsid w:val="23567626"/>
    <w:rsid w:val="23626C78"/>
    <w:rsid w:val="2362A532"/>
    <w:rsid w:val="2367A2C7"/>
    <w:rsid w:val="2368A6DE"/>
    <w:rsid w:val="236D4E57"/>
    <w:rsid w:val="236D6C69"/>
    <w:rsid w:val="2371B290"/>
    <w:rsid w:val="237609AE"/>
    <w:rsid w:val="237FEC33"/>
    <w:rsid w:val="2383174B"/>
    <w:rsid w:val="2383E64D"/>
    <w:rsid w:val="23A49EFB"/>
    <w:rsid w:val="23A516FC"/>
    <w:rsid w:val="23ACEAF8"/>
    <w:rsid w:val="23AE3376"/>
    <w:rsid w:val="23BCE1A0"/>
    <w:rsid w:val="23C071FC"/>
    <w:rsid w:val="23CD95A0"/>
    <w:rsid w:val="23E3E82D"/>
    <w:rsid w:val="23E68C0E"/>
    <w:rsid w:val="23E8049E"/>
    <w:rsid w:val="23EB546D"/>
    <w:rsid w:val="23EDC45C"/>
    <w:rsid w:val="23F34377"/>
    <w:rsid w:val="23F580C5"/>
    <w:rsid w:val="23FA3A7A"/>
    <w:rsid w:val="23FC4290"/>
    <w:rsid w:val="23FF12F4"/>
    <w:rsid w:val="2400138F"/>
    <w:rsid w:val="240181D7"/>
    <w:rsid w:val="241B7605"/>
    <w:rsid w:val="2423A239"/>
    <w:rsid w:val="2427F2E0"/>
    <w:rsid w:val="242EF04E"/>
    <w:rsid w:val="2434350C"/>
    <w:rsid w:val="243A06B9"/>
    <w:rsid w:val="24472BD2"/>
    <w:rsid w:val="244CA98A"/>
    <w:rsid w:val="244E598D"/>
    <w:rsid w:val="244F7874"/>
    <w:rsid w:val="24512B62"/>
    <w:rsid w:val="24554BA6"/>
    <w:rsid w:val="24574045"/>
    <w:rsid w:val="2458A046"/>
    <w:rsid w:val="2458B098"/>
    <w:rsid w:val="2458D5DE"/>
    <w:rsid w:val="245CCC36"/>
    <w:rsid w:val="245FD864"/>
    <w:rsid w:val="246CD5A8"/>
    <w:rsid w:val="248293A2"/>
    <w:rsid w:val="24911EE4"/>
    <w:rsid w:val="249AF9C4"/>
    <w:rsid w:val="24A1F61C"/>
    <w:rsid w:val="24A43DA0"/>
    <w:rsid w:val="24A8D7A8"/>
    <w:rsid w:val="24AE9CF8"/>
    <w:rsid w:val="24B340E1"/>
    <w:rsid w:val="24BCFDAF"/>
    <w:rsid w:val="24C578DF"/>
    <w:rsid w:val="24C96D11"/>
    <w:rsid w:val="24CBA23E"/>
    <w:rsid w:val="24D19E97"/>
    <w:rsid w:val="24DD0B99"/>
    <w:rsid w:val="24EF782D"/>
    <w:rsid w:val="24F3CFBB"/>
    <w:rsid w:val="24FA2F3D"/>
    <w:rsid w:val="2501DD97"/>
    <w:rsid w:val="25043409"/>
    <w:rsid w:val="250B6A89"/>
    <w:rsid w:val="251160E0"/>
    <w:rsid w:val="2519B943"/>
    <w:rsid w:val="252EB19C"/>
    <w:rsid w:val="253ED347"/>
    <w:rsid w:val="25411995"/>
    <w:rsid w:val="254476CD"/>
    <w:rsid w:val="2547A79D"/>
    <w:rsid w:val="254C83A6"/>
    <w:rsid w:val="254F76D0"/>
    <w:rsid w:val="25666E20"/>
    <w:rsid w:val="256D6072"/>
    <w:rsid w:val="256E9F1C"/>
    <w:rsid w:val="25714A4F"/>
    <w:rsid w:val="25732EC4"/>
    <w:rsid w:val="257C7522"/>
    <w:rsid w:val="258C9C5C"/>
    <w:rsid w:val="258E1B94"/>
    <w:rsid w:val="258F97FB"/>
    <w:rsid w:val="259322B1"/>
    <w:rsid w:val="259AD172"/>
    <w:rsid w:val="259B4B39"/>
    <w:rsid w:val="259E8932"/>
    <w:rsid w:val="25AB0EBF"/>
    <w:rsid w:val="25AEB63F"/>
    <w:rsid w:val="25B56FE5"/>
    <w:rsid w:val="25B61FCE"/>
    <w:rsid w:val="25C3C5F0"/>
    <w:rsid w:val="25C6985D"/>
    <w:rsid w:val="25E84C65"/>
    <w:rsid w:val="25ED2171"/>
    <w:rsid w:val="25F08053"/>
    <w:rsid w:val="25F25EAD"/>
    <w:rsid w:val="25FC6EF9"/>
    <w:rsid w:val="25FD022A"/>
    <w:rsid w:val="260C2831"/>
    <w:rsid w:val="260F5A37"/>
    <w:rsid w:val="261FF093"/>
    <w:rsid w:val="2623321C"/>
    <w:rsid w:val="26401C53"/>
    <w:rsid w:val="264CB327"/>
    <w:rsid w:val="264FA1E5"/>
    <w:rsid w:val="2658F121"/>
    <w:rsid w:val="265927D5"/>
    <w:rsid w:val="265F5434"/>
    <w:rsid w:val="26675EDD"/>
    <w:rsid w:val="267309E1"/>
    <w:rsid w:val="26758102"/>
    <w:rsid w:val="267AEF06"/>
    <w:rsid w:val="26810A86"/>
    <w:rsid w:val="26846C8A"/>
    <w:rsid w:val="2686A13D"/>
    <w:rsid w:val="268CC653"/>
    <w:rsid w:val="268F2715"/>
    <w:rsid w:val="269082C3"/>
    <w:rsid w:val="26A5685C"/>
    <w:rsid w:val="26A795F9"/>
    <w:rsid w:val="26AF13FD"/>
    <w:rsid w:val="26B738AD"/>
    <w:rsid w:val="26BED6C3"/>
    <w:rsid w:val="26BF6A7A"/>
    <w:rsid w:val="26C8F7C1"/>
    <w:rsid w:val="26C9D901"/>
    <w:rsid w:val="26CD6274"/>
    <w:rsid w:val="26CE381A"/>
    <w:rsid w:val="26D19977"/>
    <w:rsid w:val="26D3B944"/>
    <w:rsid w:val="26D48A12"/>
    <w:rsid w:val="26DE6595"/>
    <w:rsid w:val="26DEF387"/>
    <w:rsid w:val="26E6E842"/>
    <w:rsid w:val="26E9E3BC"/>
    <w:rsid w:val="26EAE1A8"/>
    <w:rsid w:val="26EF1F3A"/>
    <w:rsid w:val="26FC526E"/>
    <w:rsid w:val="27015A7D"/>
    <w:rsid w:val="2702B7EC"/>
    <w:rsid w:val="2708C2D9"/>
    <w:rsid w:val="270AA816"/>
    <w:rsid w:val="2710A871"/>
    <w:rsid w:val="271825B7"/>
    <w:rsid w:val="272F2293"/>
    <w:rsid w:val="27353C1F"/>
    <w:rsid w:val="2739A551"/>
    <w:rsid w:val="273B9D66"/>
    <w:rsid w:val="273CDBBD"/>
    <w:rsid w:val="273D6A34"/>
    <w:rsid w:val="2747B9A1"/>
    <w:rsid w:val="2748656F"/>
    <w:rsid w:val="2751AEE9"/>
    <w:rsid w:val="2755FCF4"/>
    <w:rsid w:val="27636102"/>
    <w:rsid w:val="277A3540"/>
    <w:rsid w:val="27933415"/>
    <w:rsid w:val="27A7BA13"/>
    <w:rsid w:val="27B02D49"/>
    <w:rsid w:val="27B1C767"/>
    <w:rsid w:val="27B58F80"/>
    <w:rsid w:val="27D4EE10"/>
    <w:rsid w:val="27DF2BFE"/>
    <w:rsid w:val="27EB15F8"/>
    <w:rsid w:val="27EFFC21"/>
    <w:rsid w:val="27F0625F"/>
    <w:rsid w:val="27F13BD1"/>
    <w:rsid w:val="27FF2501"/>
    <w:rsid w:val="281A361D"/>
    <w:rsid w:val="281A7378"/>
    <w:rsid w:val="281C5B0B"/>
    <w:rsid w:val="281D9FD8"/>
    <w:rsid w:val="281EBC5B"/>
    <w:rsid w:val="281F87D4"/>
    <w:rsid w:val="2826B2FB"/>
    <w:rsid w:val="282847CE"/>
    <w:rsid w:val="282D1C59"/>
    <w:rsid w:val="282F53F8"/>
    <w:rsid w:val="28337A1E"/>
    <w:rsid w:val="2846B852"/>
    <w:rsid w:val="2846C9BD"/>
    <w:rsid w:val="2867C8D7"/>
    <w:rsid w:val="28684912"/>
    <w:rsid w:val="2869DF91"/>
    <w:rsid w:val="286F5CFF"/>
    <w:rsid w:val="2873299F"/>
    <w:rsid w:val="2876E03B"/>
    <w:rsid w:val="2878BBCF"/>
    <w:rsid w:val="287C4888"/>
    <w:rsid w:val="2881016C"/>
    <w:rsid w:val="2889BE15"/>
    <w:rsid w:val="2889D7FB"/>
    <w:rsid w:val="288BFD49"/>
    <w:rsid w:val="289A5850"/>
    <w:rsid w:val="28A4FE97"/>
    <w:rsid w:val="28B2C3CA"/>
    <w:rsid w:val="28B756CE"/>
    <w:rsid w:val="28C136B8"/>
    <w:rsid w:val="28C978CC"/>
    <w:rsid w:val="28CACFC3"/>
    <w:rsid w:val="28CECA23"/>
    <w:rsid w:val="28D4E32F"/>
    <w:rsid w:val="28D77543"/>
    <w:rsid w:val="28DC7DBE"/>
    <w:rsid w:val="28F32AE6"/>
    <w:rsid w:val="28F4713F"/>
    <w:rsid w:val="2904FE27"/>
    <w:rsid w:val="290C2FD6"/>
    <w:rsid w:val="291A1EC7"/>
    <w:rsid w:val="292ABEA3"/>
    <w:rsid w:val="292EA175"/>
    <w:rsid w:val="29362583"/>
    <w:rsid w:val="293DBB16"/>
    <w:rsid w:val="29449166"/>
    <w:rsid w:val="2947FD0D"/>
    <w:rsid w:val="294A991A"/>
    <w:rsid w:val="294D720F"/>
    <w:rsid w:val="29584A13"/>
    <w:rsid w:val="295ADE07"/>
    <w:rsid w:val="295CBFF9"/>
    <w:rsid w:val="296706F7"/>
    <w:rsid w:val="2969E334"/>
    <w:rsid w:val="29767E23"/>
    <w:rsid w:val="2997390A"/>
    <w:rsid w:val="2997F4E5"/>
    <w:rsid w:val="2999693D"/>
    <w:rsid w:val="299A65D1"/>
    <w:rsid w:val="299BEE5C"/>
    <w:rsid w:val="29A2BB1F"/>
    <w:rsid w:val="29AFF8E9"/>
    <w:rsid w:val="29B910AF"/>
    <w:rsid w:val="29C7C39B"/>
    <w:rsid w:val="29D4CB9A"/>
    <w:rsid w:val="29E3C75F"/>
    <w:rsid w:val="29E42814"/>
    <w:rsid w:val="29EDAD35"/>
    <w:rsid w:val="29EFFBBD"/>
    <w:rsid w:val="29F68B5E"/>
    <w:rsid w:val="2A0257F8"/>
    <w:rsid w:val="2A15027B"/>
    <w:rsid w:val="2A25C7D6"/>
    <w:rsid w:val="2A274658"/>
    <w:rsid w:val="2A2D47CD"/>
    <w:rsid w:val="2A3482FF"/>
    <w:rsid w:val="2A394039"/>
    <w:rsid w:val="2A3B0D50"/>
    <w:rsid w:val="2A443F7F"/>
    <w:rsid w:val="2A4CC825"/>
    <w:rsid w:val="2A611E36"/>
    <w:rsid w:val="2A620DEC"/>
    <w:rsid w:val="2A67BB5C"/>
    <w:rsid w:val="2A6B2168"/>
    <w:rsid w:val="2A6FAD76"/>
    <w:rsid w:val="2A7A926D"/>
    <w:rsid w:val="2A7F4A8F"/>
    <w:rsid w:val="2A857CC0"/>
    <w:rsid w:val="2A8634FE"/>
    <w:rsid w:val="2A956573"/>
    <w:rsid w:val="2A9958CA"/>
    <w:rsid w:val="2A9B99A4"/>
    <w:rsid w:val="2AA00C21"/>
    <w:rsid w:val="2AA5C684"/>
    <w:rsid w:val="2AA79A0C"/>
    <w:rsid w:val="2AB5150A"/>
    <w:rsid w:val="2AB6A185"/>
    <w:rsid w:val="2ABE3938"/>
    <w:rsid w:val="2ACF62F6"/>
    <w:rsid w:val="2AD5A42C"/>
    <w:rsid w:val="2AD9902F"/>
    <w:rsid w:val="2AE4B8E1"/>
    <w:rsid w:val="2AE853FD"/>
    <w:rsid w:val="2AFE2F3A"/>
    <w:rsid w:val="2AFFEA93"/>
    <w:rsid w:val="2B0BFD39"/>
    <w:rsid w:val="2B0C6513"/>
    <w:rsid w:val="2B163A9C"/>
    <w:rsid w:val="2B1B2F7E"/>
    <w:rsid w:val="2B223E41"/>
    <w:rsid w:val="2B2BBBB2"/>
    <w:rsid w:val="2B2D0FE9"/>
    <w:rsid w:val="2B2D7D2B"/>
    <w:rsid w:val="2B2FF070"/>
    <w:rsid w:val="2B31D71D"/>
    <w:rsid w:val="2B3C4B87"/>
    <w:rsid w:val="2B3D3917"/>
    <w:rsid w:val="2B43042A"/>
    <w:rsid w:val="2B4C2C2D"/>
    <w:rsid w:val="2B4F4D1F"/>
    <w:rsid w:val="2B538195"/>
    <w:rsid w:val="2B5A66ED"/>
    <w:rsid w:val="2B5BD31D"/>
    <w:rsid w:val="2B5C1207"/>
    <w:rsid w:val="2B65057A"/>
    <w:rsid w:val="2B744007"/>
    <w:rsid w:val="2B999E51"/>
    <w:rsid w:val="2BA37181"/>
    <w:rsid w:val="2BB1C75A"/>
    <w:rsid w:val="2BC25473"/>
    <w:rsid w:val="2BD09703"/>
    <w:rsid w:val="2BD6438F"/>
    <w:rsid w:val="2BD9C51B"/>
    <w:rsid w:val="2BDD0C60"/>
    <w:rsid w:val="2BF21D40"/>
    <w:rsid w:val="2BF9D618"/>
    <w:rsid w:val="2BFBE8AE"/>
    <w:rsid w:val="2C0352E0"/>
    <w:rsid w:val="2C042847"/>
    <w:rsid w:val="2C05C4CC"/>
    <w:rsid w:val="2C07116C"/>
    <w:rsid w:val="2C0EAB08"/>
    <w:rsid w:val="2C3316D2"/>
    <w:rsid w:val="2C365EBD"/>
    <w:rsid w:val="2C3AC494"/>
    <w:rsid w:val="2C3C399E"/>
    <w:rsid w:val="2C3D092A"/>
    <w:rsid w:val="2C423769"/>
    <w:rsid w:val="2C46E698"/>
    <w:rsid w:val="2C4B2A10"/>
    <w:rsid w:val="2C53FFD9"/>
    <w:rsid w:val="2C593386"/>
    <w:rsid w:val="2C660830"/>
    <w:rsid w:val="2C67C26C"/>
    <w:rsid w:val="2C68492E"/>
    <w:rsid w:val="2C707ACC"/>
    <w:rsid w:val="2C748677"/>
    <w:rsid w:val="2C755BB9"/>
    <w:rsid w:val="2C7C1E9E"/>
    <w:rsid w:val="2C864F01"/>
    <w:rsid w:val="2C89CCF1"/>
    <w:rsid w:val="2C8B5674"/>
    <w:rsid w:val="2C9A2869"/>
    <w:rsid w:val="2C9C3B88"/>
    <w:rsid w:val="2C9D55F3"/>
    <w:rsid w:val="2C9D8F53"/>
    <w:rsid w:val="2CAA87E5"/>
    <w:rsid w:val="2CB8FA70"/>
    <w:rsid w:val="2CBACA22"/>
    <w:rsid w:val="2CBB61CE"/>
    <w:rsid w:val="2CBDB0AE"/>
    <w:rsid w:val="2CD2BE69"/>
    <w:rsid w:val="2CD59A76"/>
    <w:rsid w:val="2CD83096"/>
    <w:rsid w:val="2CE7C989"/>
    <w:rsid w:val="2CF20010"/>
    <w:rsid w:val="2D05F896"/>
    <w:rsid w:val="2D096777"/>
    <w:rsid w:val="2D0D353E"/>
    <w:rsid w:val="2D0FF530"/>
    <w:rsid w:val="2D1597DC"/>
    <w:rsid w:val="2D18F468"/>
    <w:rsid w:val="2D1B9E02"/>
    <w:rsid w:val="2D1FD192"/>
    <w:rsid w:val="2D2A4030"/>
    <w:rsid w:val="2D2AB3BC"/>
    <w:rsid w:val="2D2C9A3C"/>
    <w:rsid w:val="2D2F21AC"/>
    <w:rsid w:val="2D30D08A"/>
    <w:rsid w:val="2D3321A7"/>
    <w:rsid w:val="2D42ACC6"/>
    <w:rsid w:val="2D44992D"/>
    <w:rsid w:val="2D45A5E7"/>
    <w:rsid w:val="2D475546"/>
    <w:rsid w:val="2D494996"/>
    <w:rsid w:val="2D55C8C3"/>
    <w:rsid w:val="2D5C4269"/>
    <w:rsid w:val="2D5D64DE"/>
    <w:rsid w:val="2D5F6AA7"/>
    <w:rsid w:val="2D6F5CBB"/>
    <w:rsid w:val="2D6FA27C"/>
    <w:rsid w:val="2D719676"/>
    <w:rsid w:val="2D72677D"/>
    <w:rsid w:val="2D7CB7B2"/>
    <w:rsid w:val="2D81C422"/>
    <w:rsid w:val="2D81EBA5"/>
    <w:rsid w:val="2D8934A2"/>
    <w:rsid w:val="2D8A84DF"/>
    <w:rsid w:val="2D8C6496"/>
    <w:rsid w:val="2D99A778"/>
    <w:rsid w:val="2DA8DC69"/>
    <w:rsid w:val="2DAEC47A"/>
    <w:rsid w:val="2DC04059"/>
    <w:rsid w:val="2DC5EACE"/>
    <w:rsid w:val="2DC8E527"/>
    <w:rsid w:val="2DCC59A2"/>
    <w:rsid w:val="2DD69212"/>
    <w:rsid w:val="2DE4A818"/>
    <w:rsid w:val="2DEE2490"/>
    <w:rsid w:val="2DEECFB9"/>
    <w:rsid w:val="2DF1CEFA"/>
    <w:rsid w:val="2DFDD5CB"/>
    <w:rsid w:val="2E075836"/>
    <w:rsid w:val="2E0DBDD6"/>
    <w:rsid w:val="2E0EEC6E"/>
    <w:rsid w:val="2E17A16E"/>
    <w:rsid w:val="2E2B4F57"/>
    <w:rsid w:val="2E4661F1"/>
    <w:rsid w:val="2E4870F9"/>
    <w:rsid w:val="2E4C0771"/>
    <w:rsid w:val="2E50FB4E"/>
    <w:rsid w:val="2E5E64D0"/>
    <w:rsid w:val="2E604CBF"/>
    <w:rsid w:val="2E6110F0"/>
    <w:rsid w:val="2E6A3FC0"/>
    <w:rsid w:val="2E6BB86E"/>
    <w:rsid w:val="2E703A3E"/>
    <w:rsid w:val="2E739AE0"/>
    <w:rsid w:val="2E79182A"/>
    <w:rsid w:val="2E82BFBD"/>
    <w:rsid w:val="2E89B29C"/>
    <w:rsid w:val="2E93BB3B"/>
    <w:rsid w:val="2E9C0B85"/>
    <w:rsid w:val="2EA30484"/>
    <w:rsid w:val="2EB5AB67"/>
    <w:rsid w:val="2EB6EFEC"/>
    <w:rsid w:val="2EB918C8"/>
    <w:rsid w:val="2EBB9F5D"/>
    <w:rsid w:val="2EBBA887"/>
    <w:rsid w:val="2EBD3BA4"/>
    <w:rsid w:val="2EC266B5"/>
    <w:rsid w:val="2ECAB6C3"/>
    <w:rsid w:val="2ECD2D99"/>
    <w:rsid w:val="2ECDB40A"/>
    <w:rsid w:val="2ECE7827"/>
    <w:rsid w:val="2ECF2666"/>
    <w:rsid w:val="2EE19CB8"/>
    <w:rsid w:val="2EEE55A4"/>
    <w:rsid w:val="2EF03BBB"/>
    <w:rsid w:val="2EF05DE3"/>
    <w:rsid w:val="2EFECB6C"/>
    <w:rsid w:val="2F0FB5E2"/>
    <w:rsid w:val="2F116AF5"/>
    <w:rsid w:val="2F20C765"/>
    <w:rsid w:val="2F2206FA"/>
    <w:rsid w:val="2F28BCF8"/>
    <w:rsid w:val="2F2A2042"/>
    <w:rsid w:val="2F2F51FF"/>
    <w:rsid w:val="2F2FCE29"/>
    <w:rsid w:val="2F39E434"/>
    <w:rsid w:val="2F579405"/>
    <w:rsid w:val="2F57D602"/>
    <w:rsid w:val="2F5B16C3"/>
    <w:rsid w:val="2F5BD485"/>
    <w:rsid w:val="2F628AEF"/>
    <w:rsid w:val="2F641359"/>
    <w:rsid w:val="2F6834C3"/>
    <w:rsid w:val="2F6A1FAF"/>
    <w:rsid w:val="2F706CF6"/>
    <w:rsid w:val="2F758510"/>
    <w:rsid w:val="2F7D354A"/>
    <w:rsid w:val="2F83D018"/>
    <w:rsid w:val="2F8417E9"/>
    <w:rsid w:val="2F86C210"/>
    <w:rsid w:val="2F8D9ECC"/>
    <w:rsid w:val="2F9A3DD1"/>
    <w:rsid w:val="2F9AE8C6"/>
    <w:rsid w:val="2F9E6324"/>
    <w:rsid w:val="2FA463C8"/>
    <w:rsid w:val="2FA95DBC"/>
    <w:rsid w:val="2FC19D8A"/>
    <w:rsid w:val="2FD8CA2E"/>
    <w:rsid w:val="2FD9CCBE"/>
    <w:rsid w:val="2FDA329E"/>
    <w:rsid w:val="2FE09BDF"/>
    <w:rsid w:val="2FE47DC3"/>
    <w:rsid w:val="2FE62019"/>
    <w:rsid w:val="2FEC8BBA"/>
    <w:rsid w:val="2FF53F1E"/>
    <w:rsid w:val="2FFC64C0"/>
    <w:rsid w:val="3011DAB5"/>
    <w:rsid w:val="301338B8"/>
    <w:rsid w:val="30185A5C"/>
    <w:rsid w:val="301B1C3D"/>
    <w:rsid w:val="301C9418"/>
    <w:rsid w:val="303138E6"/>
    <w:rsid w:val="30355460"/>
    <w:rsid w:val="3038EB7D"/>
    <w:rsid w:val="303DC0A1"/>
    <w:rsid w:val="304D26FF"/>
    <w:rsid w:val="304F120D"/>
    <w:rsid w:val="3053B406"/>
    <w:rsid w:val="30564A6C"/>
    <w:rsid w:val="3059AE05"/>
    <w:rsid w:val="305F6C0E"/>
    <w:rsid w:val="3060415C"/>
    <w:rsid w:val="30630B9E"/>
    <w:rsid w:val="306D1410"/>
    <w:rsid w:val="306E4990"/>
    <w:rsid w:val="3075D7D1"/>
    <w:rsid w:val="307DA3F7"/>
    <w:rsid w:val="30808EA7"/>
    <w:rsid w:val="30876793"/>
    <w:rsid w:val="309629AC"/>
    <w:rsid w:val="30968D35"/>
    <w:rsid w:val="309B49ED"/>
    <w:rsid w:val="309FF98A"/>
    <w:rsid w:val="30B0F422"/>
    <w:rsid w:val="30C2D7DA"/>
    <w:rsid w:val="30C4E784"/>
    <w:rsid w:val="30C6FF0E"/>
    <w:rsid w:val="30DDA64C"/>
    <w:rsid w:val="30EA65CF"/>
    <w:rsid w:val="30F22201"/>
    <w:rsid w:val="30F7F416"/>
    <w:rsid w:val="30F8AF60"/>
    <w:rsid w:val="30FB6F62"/>
    <w:rsid w:val="310898BB"/>
    <w:rsid w:val="310AB863"/>
    <w:rsid w:val="310EF8D9"/>
    <w:rsid w:val="3111F031"/>
    <w:rsid w:val="31135687"/>
    <w:rsid w:val="3122480F"/>
    <w:rsid w:val="315083F6"/>
    <w:rsid w:val="31692BB7"/>
    <w:rsid w:val="318D7598"/>
    <w:rsid w:val="3194D5C3"/>
    <w:rsid w:val="319F9D01"/>
    <w:rsid w:val="31A90F43"/>
    <w:rsid w:val="31AA9047"/>
    <w:rsid w:val="31AB32A6"/>
    <w:rsid w:val="31CC9175"/>
    <w:rsid w:val="31CDD705"/>
    <w:rsid w:val="31D2C129"/>
    <w:rsid w:val="31D39728"/>
    <w:rsid w:val="31D76BBD"/>
    <w:rsid w:val="31E69AD7"/>
    <w:rsid w:val="31F08F91"/>
    <w:rsid w:val="31F43A7F"/>
    <w:rsid w:val="31F75FFF"/>
    <w:rsid w:val="3205B9AD"/>
    <w:rsid w:val="321CDC67"/>
    <w:rsid w:val="322A558D"/>
    <w:rsid w:val="322E2B16"/>
    <w:rsid w:val="322F2E6E"/>
    <w:rsid w:val="3239358B"/>
    <w:rsid w:val="323B216B"/>
    <w:rsid w:val="323DDC25"/>
    <w:rsid w:val="323F2FC3"/>
    <w:rsid w:val="32413913"/>
    <w:rsid w:val="3241D4F4"/>
    <w:rsid w:val="324C6396"/>
    <w:rsid w:val="3250EDAB"/>
    <w:rsid w:val="325AE90A"/>
    <w:rsid w:val="3263B57D"/>
    <w:rsid w:val="326A609E"/>
    <w:rsid w:val="327A7FFA"/>
    <w:rsid w:val="327AC364"/>
    <w:rsid w:val="327C8ACB"/>
    <w:rsid w:val="32805AEA"/>
    <w:rsid w:val="3280D4C1"/>
    <w:rsid w:val="328AA971"/>
    <w:rsid w:val="3296747A"/>
    <w:rsid w:val="329D4E6A"/>
    <w:rsid w:val="329E4AD8"/>
    <w:rsid w:val="32A01366"/>
    <w:rsid w:val="32A4C59E"/>
    <w:rsid w:val="32AB3A37"/>
    <w:rsid w:val="32ABCEA3"/>
    <w:rsid w:val="32AD0266"/>
    <w:rsid w:val="32AFF195"/>
    <w:rsid w:val="32B81C72"/>
    <w:rsid w:val="32B8F2D6"/>
    <w:rsid w:val="32BA6227"/>
    <w:rsid w:val="32BEC6E9"/>
    <w:rsid w:val="32C93996"/>
    <w:rsid w:val="32E3110A"/>
    <w:rsid w:val="32E7A85D"/>
    <w:rsid w:val="32E8E104"/>
    <w:rsid w:val="32F456FF"/>
    <w:rsid w:val="32FF6AAD"/>
    <w:rsid w:val="330D2A75"/>
    <w:rsid w:val="330DA58B"/>
    <w:rsid w:val="33245BE8"/>
    <w:rsid w:val="332D5FC6"/>
    <w:rsid w:val="333C5E0F"/>
    <w:rsid w:val="3354EB3C"/>
    <w:rsid w:val="3355E68E"/>
    <w:rsid w:val="335665BD"/>
    <w:rsid w:val="336096AF"/>
    <w:rsid w:val="3365192F"/>
    <w:rsid w:val="337D3DB5"/>
    <w:rsid w:val="338157D8"/>
    <w:rsid w:val="338BBD5B"/>
    <w:rsid w:val="3398C157"/>
    <w:rsid w:val="339AFEC6"/>
    <w:rsid w:val="33A5E0A4"/>
    <w:rsid w:val="33ACECD8"/>
    <w:rsid w:val="33B41B93"/>
    <w:rsid w:val="33BB42A0"/>
    <w:rsid w:val="33BD6FC0"/>
    <w:rsid w:val="33BDFB48"/>
    <w:rsid w:val="33BEE639"/>
    <w:rsid w:val="33DB151A"/>
    <w:rsid w:val="33F0FA8B"/>
    <w:rsid w:val="33F81D95"/>
    <w:rsid w:val="33F9D5E8"/>
    <w:rsid w:val="3400A463"/>
    <w:rsid w:val="3405B402"/>
    <w:rsid w:val="3408C81A"/>
    <w:rsid w:val="3408F822"/>
    <w:rsid w:val="34107BFC"/>
    <w:rsid w:val="341B8756"/>
    <w:rsid w:val="34255FB7"/>
    <w:rsid w:val="342B22E3"/>
    <w:rsid w:val="342B7600"/>
    <w:rsid w:val="342F4542"/>
    <w:rsid w:val="342FD933"/>
    <w:rsid w:val="3441C6DF"/>
    <w:rsid w:val="34433C6F"/>
    <w:rsid w:val="344C7BBE"/>
    <w:rsid w:val="3455DAE5"/>
    <w:rsid w:val="3455EBF4"/>
    <w:rsid w:val="34593D9D"/>
    <w:rsid w:val="3459A8B0"/>
    <w:rsid w:val="345C34C8"/>
    <w:rsid w:val="345D8F91"/>
    <w:rsid w:val="34614847"/>
    <w:rsid w:val="346CD5C2"/>
    <w:rsid w:val="346E8615"/>
    <w:rsid w:val="3473AD84"/>
    <w:rsid w:val="3475AC81"/>
    <w:rsid w:val="347612B8"/>
    <w:rsid w:val="347CF357"/>
    <w:rsid w:val="34852B5E"/>
    <w:rsid w:val="34859A38"/>
    <w:rsid w:val="34883C7B"/>
    <w:rsid w:val="34891B2A"/>
    <w:rsid w:val="34941C34"/>
    <w:rsid w:val="34AB46A1"/>
    <w:rsid w:val="34AC547C"/>
    <w:rsid w:val="34B40BFD"/>
    <w:rsid w:val="34BCC0BA"/>
    <w:rsid w:val="34BD6B0B"/>
    <w:rsid w:val="34BE3261"/>
    <w:rsid w:val="34C461D7"/>
    <w:rsid w:val="34C4776E"/>
    <w:rsid w:val="34CB454C"/>
    <w:rsid w:val="34DA5921"/>
    <w:rsid w:val="34DCD999"/>
    <w:rsid w:val="34E3BE4A"/>
    <w:rsid w:val="34EEC2CF"/>
    <w:rsid w:val="34F1159E"/>
    <w:rsid w:val="34F1691C"/>
    <w:rsid w:val="35010AAD"/>
    <w:rsid w:val="350F47EF"/>
    <w:rsid w:val="3510D08A"/>
    <w:rsid w:val="35154A30"/>
    <w:rsid w:val="351D9BBC"/>
    <w:rsid w:val="351FAEF5"/>
    <w:rsid w:val="352023FD"/>
    <w:rsid w:val="35297B07"/>
    <w:rsid w:val="352AA27B"/>
    <w:rsid w:val="352B8BCF"/>
    <w:rsid w:val="35372A40"/>
    <w:rsid w:val="3539EDC3"/>
    <w:rsid w:val="353B2C88"/>
    <w:rsid w:val="353B6F60"/>
    <w:rsid w:val="35499326"/>
    <w:rsid w:val="3549B2AF"/>
    <w:rsid w:val="354D7788"/>
    <w:rsid w:val="354EF520"/>
    <w:rsid w:val="35586F8A"/>
    <w:rsid w:val="3558C312"/>
    <w:rsid w:val="355C97C0"/>
    <w:rsid w:val="35649357"/>
    <w:rsid w:val="3564B4AF"/>
    <w:rsid w:val="356B02BD"/>
    <w:rsid w:val="356F16DD"/>
    <w:rsid w:val="3572EA69"/>
    <w:rsid w:val="35786540"/>
    <w:rsid w:val="357C0AC1"/>
    <w:rsid w:val="3582B603"/>
    <w:rsid w:val="35854660"/>
    <w:rsid w:val="3586E394"/>
    <w:rsid w:val="358F3FC6"/>
    <w:rsid w:val="359AE94E"/>
    <w:rsid w:val="359E26CC"/>
    <w:rsid w:val="35A28C1E"/>
    <w:rsid w:val="35A9AF7E"/>
    <w:rsid w:val="35AC33F9"/>
    <w:rsid w:val="35B307B6"/>
    <w:rsid w:val="35BB0585"/>
    <w:rsid w:val="35BC391F"/>
    <w:rsid w:val="35C5BC39"/>
    <w:rsid w:val="35CE5649"/>
    <w:rsid w:val="35D24570"/>
    <w:rsid w:val="35DA8777"/>
    <w:rsid w:val="35E00746"/>
    <w:rsid w:val="35E97FBD"/>
    <w:rsid w:val="35F1CB0E"/>
    <w:rsid w:val="360F5856"/>
    <w:rsid w:val="3619D122"/>
    <w:rsid w:val="361E2BCD"/>
    <w:rsid w:val="36223F59"/>
    <w:rsid w:val="362550F9"/>
    <w:rsid w:val="3627B275"/>
    <w:rsid w:val="3639084E"/>
    <w:rsid w:val="36486641"/>
    <w:rsid w:val="3657124E"/>
    <w:rsid w:val="365A2122"/>
    <w:rsid w:val="365E3200"/>
    <w:rsid w:val="3666A361"/>
    <w:rsid w:val="367277FA"/>
    <w:rsid w:val="3677A204"/>
    <w:rsid w:val="367A0124"/>
    <w:rsid w:val="367FBD61"/>
    <w:rsid w:val="36867A10"/>
    <w:rsid w:val="368F57E7"/>
    <w:rsid w:val="369AE23D"/>
    <w:rsid w:val="369CA7DB"/>
    <w:rsid w:val="36B0ADF0"/>
    <w:rsid w:val="36B64E64"/>
    <w:rsid w:val="36B7BF51"/>
    <w:rsid w:val="36BA3317"/>
    <w:rsid w:val="36BB16E3"/>
    <w:rsid w:val="36BE0A8D"/>
    <w:rsid w:val="36D49ED2"/>
    <w:rsid w:val="36DEC239"/>
    <w:rsid w:val="36E0A436"/>
    <w:rsid w:val="3706AE7B"/>
    <w:rsid w:val="370CDBC8"/>
    <w:rsid w:val="371041F6"/>
    <w:rsid w:val="371C7986"/>
    <w:rsid w:val="37238E1C"/>
    <w:rsid w:val="372560A9"/>
    <w:rsid w:val="3734B081"/>
    <w:rsid w:val="3741F3E9"/>
    <w:rsid w:val="374305DD"/>
    <w:rsid w:val="374CA6D2"/>
    <w:rsid w:val="37545404"/>
    <w:rsid w:val="3760567A"/>
    <w:rsid w:val="3767BF6D"/>
    <w:rsid w:val="376D88E7"/>
    <w:rsid w:val="37724E6D"/>
    <w:rsid w:val="3775C652"/>
    <w:rsid w:val="377A640B"/>
    <w:rsid w:val="377E2465"/>
    <w:rsid w:val="37853B24"/>
    <w:rsid w:val="3790E8D1"/>
    <w:rsid w:val="37940844"/>
    <w:rsid w:val="3794F1A4"/>
    <w:rsid w:val="3795ED45"/>
    <w:rsid w:val="3797BA2C"/>
    <w:rsid w:val="379C6675"/>
    <w:rsid w:val="379E43FC"/>
    <w:rsid w:val="37B26EEE"/>
    <w:rsid w:val="37C4AD9E"/>
    <w:rsid w:val="37C7A835"/>
    <w:rsid w:val="37C7F794"/>
    <w:rsid w:val="37CEB28F"/>
    <w:rsid w:val="37D3CD84"/>
    <w:rsid w:val="37D4367D"/>
    <w:rsid w:val="37D61292"/>
    <w:rsid w:val="37F755C6"/>
    <w:rsid w:val="37F78A26"/>
    <w:rsid w:val="3801BAE7"/>
    <w:rsid w:val="38080E21"/>
    <w:rsid w:val="380908C2"/>
    <w:rsid w:val="381C1E8D"/>
    <w:rsid w:val="382A760F"/>
    <w:rsid w:val="38342AFF"/>
    <w:rsid w:val="383A523E"/>
    <w:rsid w:val="38416CBC"/>
    <w:rsid w:val="3843E60B"/>
    <w:rsid w:val="384F094A"/>
    <w:rsid w:val="385810C1"/>
    <w:rsid w:val="386E4F1D"/>
    <w:rsid w:val="387A286F"/>
    <w:rsid w:val="388C545E"/>
    <w:rsid w:val="38932A9A"/>
    <w:rsid w:val="3897C8AC"/>
    <w:rsid w:val="389FF26C"/>
    <w:rsid w:val="38A91547"/>
    <w:rsid w:val="38B22B39"/>
    <w:rsid w:val="38B3CABE"/>
    <w:rsid w:val="38B633E1"/>
    <w:rsid w:val="38B94714"/>
    <w:rsid w:val="38C02CC4"/>
    <w:rsid w:val="38C5D4C0"/>
    <w:rsid w:val="38D37F17"/>
    <w:rsid w:val="38D7B5AC"/>
    <w:rsid w:val="38E03AF2"/>
    <w:rsid w:val="38E5768B"/>
    <w:rsid w:val="38E584D6"/>
    <w:rsid w:val="38E6FA71"/>
    <w:rsid w:val="38E98E1D"/>
    <w:rsid w:val="38EC792C"/>
    <w:rsid w:val="38ECB7BF"/>
    <w:rsid w:val="38F4D44D"/>
    <w:rsid w:val="3904E10C"/>
    <w:rsid w:val="3907DCD7"/>
    <w:rsid w:val="391168B0"/>
    <w:rsid w:val="39156DB2"/>
    <w:rsid w:val="3915D0E0"/>
    <w:rsid w:val="3920B2DC"/>
    <w:rsid w:val="392BF414"/>
    <w:rsid w:val="392C35CC"/>
    <w:rsid w:val="393DCCCF"/>
    <w:rsid w:val="3950127E"/>
    <w:rsid w:val="3954B292"/>
    <w:rsid w:val="395BD1D8"/>
    <w:rsid w:val="39676F12"/>
    <w:rsid w:val="39689003"/>
    <w:rsid w:val="397662EA"/>
    <w:rsid w:val="397BE6E1"/>
    <w:rsid w:val="3982E260"/>
    <w:rsid w:val="399EF140"/>
    <w:rsid w:val="39A0C7F6"/>
    <w:rsid w:val="39A7563D"/>
    <w:rsid w:val="39AB90A7"/>
    <w:rsid w:val="39B244BF"/>
    <w:rsid w:val="39D84927"/>
    <w:rsid w:val="39DCA221"/>
    <w:rsid w:val="39DDB074"/>
    <w:rsid w:val="39E97D2A"/>
    <w:rsid w:val="39F38BA3"/>
    <w:rsid w:val="39F6A206"/>
    <w:rsid w:val="39FC6010"/>
    <w:rsid w:val="3A0DCF76"/>
    <w:rsid w:val="3A0EDA66"/>
    <w:rsid w:val="3A159A94"/>
    <w:rsid w:val="3A284C59"/>
    <w:rsid w:val="3A33AEB5"/>
    <w:rsid w:val="3A39AC28"/>
    <w:rsid w:val="3A3B7391"/>
    <w:rsid w:val="3A40C248"/>
    <w:rsid w:val="3A4424C1"/>
    <w:rsid w:val="3A48DB04"/>
    <w:rsid w:val="3A54F5D8"/>
    <w:rsid w:val="3A5745D7"/>
    <w:rsid w:val="3A58CD0C"/>
    <w:rsid w:val="3A65F64C"/>
    <w:rsid w:val="3A694E3A"/>
    <w:rsid w:val="3A728DB1"/>
    <w:rsid w:val="3A88FDC3"/>
    <w:rsid w:val="3A8DBA5C"/>
    <w:rsid w:val="3A8E770A"/>
    <w:rsid w:val="3A9655A6"/>
    <w:rsid w:val="3A9CE33E"/>
    <w:rsid w:val="3AA0F5E3"/>
    <w:rsid w:val="3AA15DC9"/>
    <w:rsid w:val="3AA5E0AA"/>
    <w:rsid w:val="3ABDE3E7"/>
    <w:rsid w:val="3AD55ADA"/>
    <w:rsid w:val="3AD898A4"/>
    <w:rsid w:val="3ADECCBD"/>
    <w:rsid w:val="3ADF60FF"/>
    <w:rsid w:val="3AFC4A2F"/>
    <w:rsid w:val="3B052C8E"/>
    <w:rsid w:val="3B0CF60F"/>
    <w:rsid w:val="3B248073"/>
    <w:rsid w:val="3B257163"/>
    <w:rsid w:val="3B263219"/>
    <w:rsid w:val="3B264D4F"/>
    <w:rsid w:val="3B2EB82F"/>
    <w:rsid w:val="3B34D4FB"/>
    <w:rsid w:val="3B3D5F0E"/>
    <w:rsid w:val="3B3FCAE6"/>
    <w:rsid w:val="3B42059E"/>
    <w:rsid w:val="3B436641"/>
    <w:rsid w:val="3B53DD16"/>
    <w:rsid w:val="3B664907"/>
    <w:rsid w:val="3B6F18AA"/>
    <w:rsid w:val="3B77A319"/>
    <w:rsid w:val="3B784B0A"/>
    <w:rsid w:val="3B792932"/>
    <w:rsid w:val="3B7EE3E3"/>
    <w:rsid w:val="3B80CBCB"/>
    <w:rsid w:val="3B843101"/>
    <w:rsid w:val="3B8C591F"/>
    <w:rsid w:val="3B8D0B52"/>
    <w:rsid w:val="3B95DEF4"/>
    <w:rsid w:val="3BA6ACC9"/>
    <w:rsid w:val="3BAA64BE"/>
    <w:rsid w:val="3BB537C2"/>
    <w:rsid w:val="3BBB6E27"/>
    <w:rsid w:val="3BCEC70C"/>
    <w:rsid w:val="3BCF6720"/>
    <w:rsid w:val="3BD41EB9"/>
    <w:rsid w:val="3BDB02F1"/>
    <w:rsid w:val="3BDED1EC"/>
    <w:rsid w:val="3BE27988"/>
    <w:rsid w:val="3BE72AE6"/>
    <w:rsid w:val="3BE87EED"/>
    <w:rsid w:val="3BEA42DD"/>
    <w:rsid w:val="3BED02CD"/>
    <w:rsid w:val="3BFF3FC7"/>
    <w:rsid w:val="3C01E9A7"/>
    <w:rsid w:val="3C03E3DC"/>
    <w:rsid w:val="3C0416DE"/>
    <w:rsid w:val="3C0765CA"/>
    <w:rsid w:val="3C0C02B9"/>
    <w:rsid w:val="3C1033B2"/>
    <w:rsid w:val="3C12B479"/>
    <w:rsid w:val="3C1BA1EF"/>
    <w:rsid w:val="3C22F680"/>
    <w:rsid w:val="3C29CF18"/>
    <w:rsid w:val="3C2A0E6C"/>
    <w:rsid w:val="3C2CEBDE"/>
    <w:rsid w:val="3C2FED63"/>
    <w:rsid w:val="3C30EB72"/>
    <w:rsid w:val="3C38291C"/>
    <w:rsid w:val="3C387E7D"/>
    <w:rsid w:val="3C3AA021"/>
    <w:rsid w:val="3C557974"/>
    <w:rsid w:val="3C5D215C"/>
    <w:rsid w:val="3C640762"/>
    <w:rsid w:val="3C674D25"/>
    <w:rsid w:val="3C6C5848"/>
    <w:rsid w:val="3C78A263"/>
    <w:rsid w:val="3C8ECFAC"/>
    <w:rsid w:val="3C92B421"/>
    <w:rsid w:val="3C97203F"/>
    <w:rsid w:val="3C9E3002"/>
    <w:rsid w:val="3CA11EF6"/>
    <w:rsid w:val="3CB14438"/>
    <w:rsid w:val="3CB4B846"/>
    <w:rsid w:val="3CBB4498"/>
    <w:rsid w:val="3CCD8369"/>
    <w:rsid w:val="3CCE3517"/>
    <w:rsid w:val="3CCFCDF2"/>
    <w:rsid w:val="3CD2B124"/>
    <w:rsid w:val="3CD80CA0"/>
    <w:rsid w:val="3CDB1538"/>
    <w:rsid w:val="3CDBB3E5"/>
    <w:rsid w:val="3CE180A4"/>
    <w:rsid w:val="3CE940E1"/>
    <w:rsid w:val="3CF00126"/>
    <w:rsid w:val="3CF99A65"/>
    <w:rsid w:val="3D06A5F5"/>
    <w:rsid w:val="3D1BEE5D"/>
    <w:rsid w:val="3D26D466"/>
    <w:rsid w:val="3D2DD110"/>
    <w:rsid w:val="3D2E4D64"/>
    <w:rsid w:val="3D31A830"/>
    <w:rsid w:val="3D334452"/>
    <w:rsid w:val="3D33E45F"/>
    <w:rsid w:val="3D39B31F"/>
    <w:rsid w:val="3D3C4165"/>
    <w:rsid w:val="3D3C5D14"/>
    <w:rsid w:val="3D416C25"/>
    <w:rsid w:val="3D5941A8"/>
    <w:rsid w:val="3D62D406"/>
    <w:rsid w:val="3D74ACE7"/>
    <w:rsid w:val="3D79E6E3"/>
    <w:rsid w:val="3D986A70"/>
    <w:rsid w:val="3D9A3909"/>
    <w:rsid w:val="3D9DFED5"/>
    <w:rsid w:val="3DB2C7AF"/>
    <w:rsid w:val="3DBC0750"/>
    <w:rsid w:val="3DBD798A"/>
    <w:rsid w:val="3DBF7984"/>
    <w:rsid w:val="3DC1A1F5"/>
    <w:rsid w:val="3DCA4FA1"/>
    <w:rsid w:val="3DCA8225"/>
    <w:rsid w:val="3DD6C93C"/>
    <w:rsid w:val="3DDCB6BE"/>
    <w:rsid w:val="3DE6A103"/>
    <w:rsid w:val="3DE735F9"/>
    <w:rsid w:val="3DF250E9"/>
    <w:rsid w:val="3DF6910B"/>
    <w:rsid w:val="3E070385"/>
    <w:rsid w:val="3E17CA87"/>
    <w:rsid w:val="3E3AC88F"/>
    <w:rsid w:val="3E4C3566"/>
    <w:rsid w:val="3E4EF17F"/>
    <w:rsid w:val="3E531A0E"/>
    <w:rsid w:val="3E550A3D"/>
    <w:rsid w:val="3E5BDF55"/>
    <w:rsid w:val="3E5C5BB3"/>
    <w:rsid w:val="3E5FBA69"/>
    <w:rsid w:val="3E64E338"/>
    <w:rsid w:val="3E670911"/>
    <w:rsid w:val="3E6DEEF5"/>
    <w:rsid w:val="3E71D3B2"/>
    <w:rsid w:val="3E78F873"/>
    <w:rsid w:val="3E825A65"/>
    <w:rsid w:val="3E8E9A21"/>
    <w:rsid w:val="3EA7DC89"/>
    <w:rsid w:val="3EB462AD"/>
    <w:rsid w:val="3EBD677B"/>
    <w:rsid w:val="3EC1B5B7"/>
    <w:rsid w:val="3EC54102"/>
    <w:rsid w:val="3EC7A80C"/>
    <w:rsid w:val="3ECFF7F6"/>
    <w:rsid w:val="3ED2BFF9"/>
    <w:rsid w:val="3EDC11EF"/>
    <w:rsid w:val="3EDEA579"/>
    <w:rsid w:val="3EDFE26B"/>
    <w:rsid w:val="3EE87A61"/>
    <w:rsid w:val="3EEAD541"/>
    <w:rsid w:val="3EF03A66"/>
    <w:rsid w:val="3EF1F4B6"/>
    <w:rsid w:val="3EFEB7EE"/>
    <w:rsid w:val="3F183538"/>
    <w:rsid w:val="3F185E48"/>
    <w:rsid w:val="3F28FE9F"/>
    <w:rsid w:val="3F2B2258"/>
    <w:rsid w:val="3F31A95F"/>
    <w:rsid w:val="3F3742EE"/>
    <w:rsid w:val="3F421870"/>
    <w:rsid w:val="3F442D7C"/>
    <w:rsid w:val="3F488AB5"/>
    <w:rsid w:val="3F4FCA12"/>
    <w:rsid w:val="3F5F748F"/>
    <w:rsid w:val="3F6E235B"/>
    <w:rsid w:val="3F752E7D"/>
    <w:rsid w:val="3F772218"/>
    <w:rsid w:val="3F942463"/>
    <w:rsid w:val="3F95E359"/>
    <w:rsid w:val="3F9B0541"/>
    <w:rsid w:val="3F9F2279"/>
    <w:rsid w:val="3FA0AD76"/>
    <w:rsid w:val="3FA80B0F"/>
    <w:rsid w:val="3FAB0801"/>
    <w:rsid w:val="3FBD6684"/>
    <w:rsid w:val="3FBFB27D"/>
    <w:rsid w:val="3FC47D67"/>
    <w:rsid w:val="3FC9C8CA"/>
    <w:rsid w:val="3FEA41F4"/>
    <w:rsid w:val="3FECA3F2"/>
    <w:rsid w:val="3FF33B77"/>
    <w:rsid w:val="3FF541D3"/>
    <w:rsid w:val="40004A78"/>
    <w:rsid w:val="400155DE"/>
    <w:rsid w:val="401707E5"/>
    <w:rsid w:val="401E6B27"/>
    <w:rsid w:val="40398D44"/>
    <w:rsid w:val="403FEE70"/>
    <w:rsid w:val="40499259"/>
    <w:rsid w:val="404E0721"/>
    <w:rsid w:val="405D10F9"/>
    <w:rsid w:val="40635895"/>
    <w:rsid w:val="4067090D"/>
    <w:rsid w:val="407091C5"/>
    <w:rsid w:val="407D3CD2"/>
    <w:rsid w:val="4082F8C4"/>
    <w:rsid w:val="40842AE8"/>
    <w:rsid w:val="4084B329"/>
    <w:rsid w:val="408AB5D1"/>
    <w:rsid w:val="409BD6E3"/>
    <w:rsid w:val="409BD7EE"/>
    <w:rsid w:val="40AF873D"/>
    <w:rsid w:val="40B23C7A"/>
    <w:rsid w:val="40B42FC7"/>
    <w:rsid w:val="40B5B9AE"/>
    <w:rsid w:val="40B7D5AF"/>
    <w:rsid w:val="40BF17F7"/>
    <w:rsid w:val="40C4F052"/>
    <w:rsid w:val="40CF870D"/>
    <w:rsid w:val="40CFA59A"/>
    <w:rsid w:val="40D04DC1"/>
    <w:rsid w:val="40DB2005"/>
    <w:rsid w:val="40DB64A9"/>
    <w:rsid w:val="40E8126A"/>
    <w:rsid w:val="40EF01EB"/>
    <w:rsid w:val="40F4250B"/>
    <w:rsid w:val="40F4E561"/>
    <w:rsid w:val="40F96733"/>
    <w:rsid w:val="410D8CAD"/>
    <w:rsid w:val="4120674C"/>
    <w:rsid w:val="4129B697"/>
    <w:rsid w:val="412C38EB"/>
    <w:rsid w:val="412D7E1D"/>
    <w:rsid w:val="4130396E"/>
    <w:rsid w:val="414A61CA"/>
    <w:rsid w:val="4152660A"/>
    <w:rsid w:val="4172816F"/>
    <w:rsid w:val="417480DB"/>
    <w:rsid w:val="4177F450"/>
    <w:rsid w:val="417B2A5C"/>
    <w:rsid w:val="418259B5"/>
    <w:rsid w:val="4182A7DC"/>
    <w:rsid w:val="418AA43B"/>
    <w:rsid w:val="41984015"/>
    <w:rsid w:val="419984C1"/>
    <w:rsid w:val="419ABB9A"/>
    <w:rsid w:val="419DF6DB"/>
    <w:rsid w:val="41AD8F19"/>
    <w:rsid w:val="41B0A5DF"/>
    <w:rsid w:val="41C9FED9"/>
    <w:rsid w:val="41CA4F3D"/>
    <w:rsid w:val="41CC204A"/>
    <w:rsid w:val="41D562F6"/>
    <w:rsid w:val="41DFECCD"/>
    <w:rsid w:val="41E4D7D5"/>
    <w:rsid w:val="41E8E0F0"/>
    <w:rsid w:val="42015416"/>
    <w:rsid w:val="4202BB45"/>
    <w:rsid w:val="4203E6ED"/>
    <w:rsid w:val="420706F2"/>
    <w:rsid w:val="42108C7E"/>
    <w:rsid w:val="421E1BC5"/>
    <w:rsid w:val="422796BD"/>
    <w:rsid w:val="422E6850"/>
    <w:rsid w:val="42349AF0"/>
    <w:rsid w:val="4238D2DD"/>
    <w:rsid w:val="424110ED"/>
    <w:rsid w:val="42418A19"/>
    <w:rsid w:val="42463C80"/>
    <w:rsid w:val="4248FA97"/>
    <w:rsid w:val="424E7316"/>
    <w:rsid w:val="4253DF15"/>
    <w:rsid w:val="4253FA0F"/>
    <w:rsid w:val="4256A3DF"/>
    <w:rsid w:val="4261441C"/>
    <w:rsid w:val="426766B2"/>
    <w:rsid w:val="42729B4C"/>
    <w:rsid w:val="427A1A1F"/>
    <w:rsid w:val="42817116"/>
    <w:rsid w:val="4281F0E0"/>
    <w:rsid w:val="4282B88E"/>
    <w:rsid w:val="42930FC5"/>
    <w:rsid w:val="42AA1AD1"/>
    <w:rsid w:val="42ADCA33"/>
    <w:rsid w:val="42B7D36F"/>
    <w:rsid w:val="42BA7CC4"/>
    <w:rsid w:val="42BAC94F"/>
    <w:rsid w:val="42BEF700"/>
    <w:rsid w:val="42C29EEB"/>
    <w:rsid w:val="42C53BFC"/>
    <w:rsid w:val="42CD905F"/>
    <w:rsid w:val="42D21658"/>
    <w:rsid w:val="42D47434"/>
    <w:rsid w:val="42DFBFDB"/>
    <w:rsid w:val="42E4C401"/>
    <w:rsid w:val="42E68649"/>
    <w:rsid w:val="42ECAFA5"/>
    <w:rsid w:val="42F1D4A2"/>
    <w:rsid w:val="42F1E950"/>
    <w:rsid w:val="42F4E446"/>
    <w:rsid w:val="42F545EF"/>
    <w:rsid w:val="42F95A6A"/>
    <w:rsid w:val="430135D5"/>
    <w:rsid w:val="4303A836"/>
    <w:rsid w:val="4304DD8C"/>
    <w:rsid w:val="430C84A0"/>
    <w:rsid w:val="4315D440"/>
    <w:rsid w:val="431F3CAC"/>
    <w:rsid w:val="43232E76"/>
    <w:rsid w:val="432DA0C7"/>
    <w:rsid w:val="433420AC"/>
    <w:rsid w:val="4334E430"/>
    <w:rsid w:val="4336E420"/>
    <w:rsid w:val="434272C2"/>
    <w:rsid w:val="4344AA07"/>
    <w:rsid w:val="43493EEE"/>
    <w:rsid w:val="434A68CB"/>
    <w:rsid w:val="434BA78C"/>
    <w:rsid w:val="434E20F1"/>
    <w:rsid w:val="435AE03D"/>
    <w:rsid w:val="4361BCDB"/>
    <w:rsid w:val="4365C33D"/>
    <w:rsid w:val="437A748A"/>
    <w:rsid w:val="4388B12A"/>
    <w:rsid w:val="4389D2AF"/>
    <w:rsid w:val="438A438F"/>
    <w:rsid w:val="4396A1A4"/>
    <w:rsid w:val="43AC6DDC"/>
    <w:rsid w:val="43B8063D"/>
    <w:rsid w:val="43BBB970"/>
    <w:rsid w:val="43BD572D"/>
    <w:rsid w:val="43C26E0F"/>
    <w:rsid w:val="43CB3667"/>
    <w:rsid w:val="43D4BE29"/>
    <w:rsid w:val="43D7C702"/>
    <w:rsid w:val="43E04941"/>
    <w:rsid w:val="43E50190"/>
    <w:rsid w:val="43EA4AF2"/>
    <w:rsid w:val="43F0FB43"/>
    <w:rsid w:val="43FAE2DF"/>
    <w:rsid w:val="43FF64AA"/>
    <w:rsid w:val="44058E93"/>
    <w:rsid w:val="44087D1A"/>
    <w:rsid w:val="44187CC5"/>
    <w:rsid w:val="441AAA73"/>
    <w:rsid w:val="44249C81"/>
    <w:rsid w:val="4430B926"/>
    <w:rsid w:val="443BCE64"/>
    <w:rsid w:val="4443A7DB"/>
    <w:rsid w:val="444B3563"/>
    <w:rsid w:val="4451388B"/>
    <w:rsid w:val="44565DF3"/>
    <w:rsid w:val="44573689"/>
    <w:rsid w:val="445A8D24"/>
    <w:rsid w:val="445AC110"/>
    <w:rsid w:val="445DF7A5"/>
    <w:rsid w:val="446CAFB3"/>
    <w:rsid w:val="446CB29D"/>
    <w:rsid w:val="44782902"/>
    <w:rsid w:val="44798D0A"/>
    <w:rsid w:val="448119A7"/>
    <w:rsid w:val="44849453"/>
    <w:rsid w:val="44878475"/>
    <w:rsid w:val="44889416"/>
    <w:rsid w:val="448B67C8"/>
    <w:rsid w:val="448C08CF"/>
    <w:rsid w:val="448CD884"/>
    <w:rsid w:val="448EFAC1"/>
    <w:rsid w:val="44905CB4"/>
    <w:rsid w:val="4490CFA0"/>
    <w:rsid w:val="44924D70"/>
    <w:rsid w:val="4499EF35"/>
    <w:rsid w:val="449BBF84"/>
    <w:rsid w:val="44A4E7EF"/>
    <w:rsid w:val="44A81A4E"/>
    <w:rsid w:val="44AFE5A5"/>
    <w:rsid w:val="44B55BE0"/>
    <w:rsid w:val="44C1DED4"/>
    <w:rsid w:val="44DB713E"/>
    <w:rsid w:val="44DD3AC3"/>
    <w:rsid w:val="44DF46F2"/>
    <w:rsid w:val="44DF8815"/>
    <w:rsid w:val="44EC4939"/>
    <w:rsid w:val="44F39FF6"/>
    <w:rsid w:val="44F70039"/>
    <w:rsid w:val="44FF6F5B"/>
    <w:rsid w:val="45109072"/>
    <w:rsid w:val="45245C5D"/>
    <w:rsid w:val="45291A34"/>
    <w:rsid w:val="4530B4AF"/>
    <w:rsid w:val="45310EAA"/>
    <w:rsid w:val="4533780D"/>
    <w:rsid w:val="4543DDDD"/>
    <w:rsid w:val="454CF83F"/>
    <w:rsid w:val="45513342"/>
    <w:rsid w:val="455AC296"/>
    <w:rsid w:val="455AF6FE"/>
    <w:rsid w:val="45653DC6"/>
    <w:rsid w:val="45695B1C"/>
    <w:rsid w:val="45844391"/>
    <w:rsid w:val="458603AD"/>
    <w:rsid w:val="4587E5FA"/>
    <w:rsid w:val="458B70F2"/>
    <w:rsid w:val="459112FC"/>
    <w:rsid w:val="4591D6B6"/>
    <w:rsid w:val="45A2A378"/>
    <w:rsid w:val="45A4F573"/>
    <w:rsid w:val="45AA0BD4"/>
    <w:rsid w:val="45B2AED8"/>
    <w:rsid w:val="45BA3498"/>
    <w:rsid w:val="45CC05AE"/>
    <w:rsid w:val="45D22F09"/>
    <w:rsid w:val="45ED6F74"/>
    <w:rsid w:val="45F1257A"/>
    <w:rsid w:val="46124C2F"/>
    <w:rsid w:val="4614A21F"/>
    <w:rsid w:val="46185BCB"/>
    <w:rsid w:val="4623ED32"/>
    <w:rsid w:val="4626C4BB"/>
    <w:rsid w:val="462D65A3"/>
    <w:rsid w:val="4637242B"/>
    <w:rsid w:val="4645491B"/>
    <w:rsid w:val="46462516"/>
    <w:rsid w:val="4653FABC"/>
    <w:rsid w:val="465BA064"/>
    <w:rsid w:val="4666B5F5"/>
    <w:rsid w:val="4668998F"/>
    <w:rsid w:val="46952D0A"/>
    <w:rsid w:val="469FAC79"/>
    <w:rsid w:val="46A193D6"/>
    <w:rsid w:val="46A714DD"/>
    <w:rsid w:val="46C51065"/>
    <w:rsid w:val="46CA1E4A"/>
    <w:rsid w:val="46CFFFA3"/>
    <w:rsid w:val="46D3C048"/>
    <w:rsid w:val="46DD3F5D"/>
    <w:rsid w:val="46F444CC"/>
    <w:rsid w:val="46FD0430"/>
    <w:rsid w:val="470C88EB"/>
    <w:rsid w:val="470D8535"/>
    <w:rsid w:val="47157194"/>
    <w:rsid w:val="4719F7BB"/>
    <w:rsid w:val="4720A293"/>
    <w:rsid w:val="4726015A"/>
    <w:rsid w:val="47269FD8"/>
    <w:rsid w:val="47391F4A"/>
    <w:rsid w:val="473C8288"/>
    <w:rsid w:val="473D15B2"/>
    <w:rsid w:val="473E696F"/>
    <w:rsid w:val="4742E8DC"/>
    <w:rsid w:val="47430D2F"/>
    <w:rsid w:val="47461672"/>
    <w:rsid w:val="47469364"/>
    <w:rsid w:val="474B0D6F"/>
    <w:rsid w:val="475C48C1"/>
    <w:rsid w:val="476BD889"/>
    <w:rsid w:val="476DA6B9"/>
    <w:rsid w:val="4770175E"/>
    <w:rsid w:val="4773CB44"/>
    <w:rsid w:val="477987A0"/>
    <w:rsid w:val="47824988"/>
    <w:rsid w:val="47850986"/>
    <w:rsid w:val="478A09EA"/>
    <w:rsid w:val="478B3007"/>
    <w:rsid w:val="47A59EEA"/>
    <w:rsid w:val="47B2F2EA"/>
    <w:rsid w:val="47B62F10"/>
    <w:rsid w:val="47B9845D"/>
    <w:rsid w:val="47C877A2"/>
    <w:rsid w:val="47CB6814"/>
    <w:rsid w:val="47D2FC8E"/>
    <w:rsid w:val="47D551D6"/>
    <w:rsid w:val="47DB0C50"/>
    <w:rsid w:val="47DE27E0"/>
    <w:rsid w:val="47DEA579"/>
    <w:rsid w:val="47E116B7"/>
    <w:rsid w:val="47E84283"/>
    <w:rsid w:val="47FD20C1"/>
    <w:rsid w:val="47FD9359"/>
    <w:rsid w:val="481A1AB7"/>
    <w:rsid w:val="4820EA29"/>
    <w:rsid w:val="48284D7B"/>
    <w:rsid w:val="483477C3"/>
    <w:rsid w:val="4843D9AC"/>
    <w:rsid w:val="484969A6"/>
    <w:rsid w:val="485213DD"/>
    <w:rsid w:val="486677AB"/>
    <w:rsid w:val="48691406"/>
    <w:rsid w:val="486B4ACB"/>
    <w:rsid w:val="486E69A2"/>
    <w:rsid w:val="4871569B"/>
    <w:rsid w:val="4878D6CD"/>
    <w:rsid w:val="487B07F0"/>
    <w:rsid w:val="488167FF"/>
    <w:rsid w:val="489D1136"/>
    <w:rsid w:val="48B659E8"/>
    <w:rsid w:val="48C1AC73"/>
    <w:rsid w:val="48CAABD1"/>
    <w:rsid w:val="48D7D502"/>
    <w:rsid w:val="48DF998E"/>
    <w:rsid w:val="48E67B9C"/>
    <w:rsid w:val="48E9BBF5"/>
    <w:rsid w:val="48F2279F"/>
    <w:rsid w:val="49067476"/>
    <w:rsid w:val="490B3CB7"/>
    <w:rsid w:val="490D77A7"/>
    <w:rsid w:val="4916CEF4"/>
    <w:rsid w:val="491A7421"/>
    <w:rsid w:val="491FD11E"/>
    <w:rsid w:val="4924166D"/>
    <w:rsid w:val="4929E4F8"/>
    <w:rsid w:val="492FF615"/>
    <w:rsid w:val="4930AA71"/>
    <w:rsid w:val="4933962B"/>
    <w:rsid w:val="493D2EEB"/>
    <w:rsid w:val="4946489A"/>
    <w:rsid w:val="494A31E4"/>
    <w:rsid w:val="494F6CF5"/>
    <w:rsid w:val="4953A42A"/>
    <w:rsid w:val="4954FA2E"/>
    <w:rsid w:val="495CD426"/>
    <w:rsid w:val="495DB884"/>
    <w:rsid w:val="4973171A"/>
    <w:rsid w:val="49740423"/>
    <w:rsid w:val="49771048"/>
    <w:rsid w:val="497C80F2"/>
    <w:rsid w:val="497D7D53"/>
    <w:rsid w:val="497EA20B"/>
    <w:rsid w:val="499238CA"/>
    <w:rsid w:val="4999D5B5"/>
    <w:rsid w:val="49A6C542"/>
    <w:rsid w:val="49A8A37C"/>
    <w:rsid w:val="49A9B250"/>
    <w:rsid w:val="49ACCC3A"/>
    <w:rsid w:val="49AF9208"/>
    <w:rsid w:val="49B953FF"/>
    <w:rsid w:val="49C1728E"/>
    <w:rsid w:val="49C82D71"/>
    <w:rsid w:val="49CB51E2"/>
    <w:rsid w:val="49DC0C1D"/>
    <w:rsid w:val="49E3583C"/>
    <w:rsid w:val="49E3CC77"/>
    <w:rsid w:val="49E7E964"/>
    <w:rsid w:val="49EFE311"/>
    <w:rsid w:val="49F7D9E7"/>
    <w:rsid w:val="49FC41B7"/>
    <w:rsid w:val="4A08A2D0"/>
    <w:rsid w:val="4A0A8956"/>
    <w:rsid w:val="4A25CB19"/>
    <w:rsid w:val="4A3DE59B"/>
    <w:rsid w:val="4A3F403C"/>
    <w:rsid w:val="4A45E6C1"/>
    <w:rsid w:val="4A48A6BE"/>
    <w:rsid w:val="4A54CA90"/>
    <w:rsid w:val="4A58A46D"/>
    <w:rsid w:val="4A58BBF3"/>
    <w:rsid w:val="4A5D96B9"/>
    <w:rsid w:val="4A5EEE10"/>
    <w:rsid w:val="4A646345"/>
    <w:rsid w:val="4A70F6D5"/>
    <w:rsid w:val="4A835AA5"/>
    <w:rsid w:val="4A852ADA"/>
    <w:rsid w:val="4A94E914"/>
    <w:rsid w:val="4A9B2BFE"/>
    <w:rsid w:val="4A9C2676"/>
    <w:rsid w:val="4AAB641C"/>
    <w:rsid w:val="4AB22527"/>
    <w:rsid w:val="4AC13020"/>
    <w:rsid w:val="4AD8B3F6"/>
    <w:rsid w:val="4AE17D1A"/>
    <w:rsid w:val="4AE9EA82"/>
    <w:rsid w:val="4AEE6644"/>
    <w:rsid w:val="4AF0AF98"/>
    <w:rsid w:val="4B014EFA"/>
    <w:rsid w:val="4B02EB4F"/>
    <w:rsid w:val="4B117B36"/>
    <w:rsid w:val="4B122832"/>
    <w:rsid w:val="4B14AC66"/>
    <w:rsid w:val="4B1E3181"/>
    <w:rsid w:val="4B2442DF"/>
    <w:rsid w:val="4B246DF8"/>
    <w:rsid w:val="4B2B970E"/>
    <w:rsid w:val="4B31C023"/>
    <w:rsid w:val="4B38BE72"/>
    <w:rsid w:val="4B49AA8E"/>
    <w:rsid w:val="4B4A03D5"/>
    <w:rsid w:val="4B590C6A"/>
    <w:rsid w:val="4B5ADCA5"/>
    <w:rsid w:val="4B5B0040"/>
    <w:rsid w:val="4B5C1213"/>
    <w:rsid w:val="4B623887"/>
    <w:rsid w:val="4B654F9E"/>
    <w:rsid w:val="4B6B9914"/>
    <w:rsid w:val="4B711B26"/>
    <w:rsid w:val="4B79B411"/>
    <w:rsid w:val="4B7C306B"/>
    <w:rsid w:val="4B7C8181"/>
    <w:rsid w:val="4B95BE9E"/>
    <w:rsid w:val="4B963AAE"/>
    <w:rsid w:val="4BA19889"/>
    <w:rsid w:val="4BA5336C"/>
    <w:rsid w:val="4BAB7823"/>
    <w:rsid w:val="4BB0EFF6"/>
    <w:rsid w:val="4BB90FE8"/>
    <w:rsid w:val="4BC0ED5B"/>
    <w:rsid w:val="4BC7344A"/>
    <w:rsid w:val="4BC7A2C6"/>
    <w:rsid w:val="4BC8128A"/>
    <w:rsid w:val="4BCA0B41"/>
    <w:rsid w:val="4BCF091E"/>
    <w:rsid w:val="4BD2B876"/>
    <w:rsid w:val="4BD6447A"/>
    <w:rsid w:val="4BE3F23E"/>
    <w:rsid w:val="4C0150A4"/>
    <w:rsid w:val="4C029F3F"/>
    <w:rsid w:val="4C08B148"/>
    <w:rsid w:val="4C196C02"/>
    <w:rsid w:val="4C1B6D11"/>
    <w:rsid w:val="4C2C7690"/>
    <w:rsid w:val="4C33D91C"/>
    <w:rsid w:val="4C33F847"/>
    <w:rsid w:val="4C3B4489"/>
    <w:rsid w:val="4C3B8B1D"/>
    <w:rsid w:val="4C3E87A1"/>
    <w:rsid w:val="4C449972"/>
    <w:rsid w:val="4C54DB74"/>
    <w:rsid w:val="4C59345F"/>
    <w:rsid w:val="4C5C3D47"/>
    <w:rsid w:val="4C7237A6"/>
    <w:rsid w:val="4C76A5AD"/>
    <w:rsid w:val="4C7EA332"/>
    <w:rsid w:val="4C86088E"/>
    <w:rsid w:val="4C86BCB2"/>
    <w:rsid w:val="4C8B2E11"/>
    <w:rsid w:val="4C8E7606"/>
    <w:rsid w:val="4C905BD9"/>
    <w:rsid w:val="4C92F018"/>
    <w:rsid w:val="4C935971"/>
    <w:rsid w:val="4C966A96"/>
    <w:rsid w:val="4CB474A1"/>
    <w:rsid w:val="4CC0DB99"/>
    <w:rsid w:val="4CD63C7E"/>
    <w:rsid w:val="4CDAD599"/>
    <w:rsid w:val="4CDFD571"/>
    <w:rsid w:val="4CE0C2A2"/>
    <w:rsid w:val="4CE202F9"/>
    <w:rsid w:val="4CE85C9F"/>
    <w:rsid w:val="4CF1DF64"/>
    <w:rsid w:val="4D04EA58"/>
    <w:rsid w:val="4D0CA222"/>
    <w:rsid w:val="4D14BB4C"/>
    <w:rsid w:val="4D1F53CE"/>
    <w:rsid w:val="4D20B454"/>
    <w:rsid w:val="4D2C2AD9"/>
    <w:rsid w:val="4D2C67D9"/>
    <w:rsid w:val="4D326872"/>
    <w:rsid w:val="4D327F38"/>
    <w:rsid w:val="4D3531B4"/>
    <w:rsid w:val="4D380F58"/>
    <w:rsid w:val="4D39CCCA"/>
    <w:rsid w:val="4D3B2DF5"/>
    <w:rsid w:val="4D4028F0"/>
    <w:rsid w:val="4D4A432C"/>
    <w:rsid w:val="4D4D1983"/>
    <w:rsid w:val="4D530297"/>
    <w:rsid w:val="4D55BE5A"/>
    <w:rsid w:val="4D56BA71"/>
    <w:rsid w:val="4D591CCB"/>
    <w:rsid w:val="4D6408E6"/>
    <w:rsid w:val="4D64BCDB"/>
    <w:rsid w:val="4D71B9AB"/>
    <w:rsid w:val="4D7243F3"/>
    <w:rsid w:val="4D780221"/>
    <w:rsid w:val="4D7D39C7"/>
    <w:rsid w:val="4D818BF5"/>
    <w:rsid w:val="4D82D1DF"/>
    <w:rsid w:val="4D8527DF"/>
    <w:rsid w:val="4D8AC79B"/>
    <w:rsid w:val="4D98CBE3"/>
    <w:rsid w:val="4D99E794"/>
    <w:rsid w:val="4D9D3B6D"/>
    <w:rsid w:val="4DA36641"/>
    <w:rsid w:val="4DB329EC"/>
    <w:rsid w:val="4DBB8DEB"/>
    <w:rsid w:val="4DCE3ADB"/>
    <w:rsid w:val="4DD18899"/>
    <w:rsid w:val="4DD48434"/>
    <w:rsid w:val="4DDBE04E"/>
    <w:rsid w:val="4DE3A648"/>
    <w:rsid w:val="4DEEF823"/>
    <w:rsid w:val="4DF254BB"/>
    <w:rsid w:val="4DF3E47C"/>
    <w:rsid w:val="4DF9A881"/>
    <w:rsid w:val="4DFFEC4A"/>
    <w:rsid w:val="4E082588"/>
    <w:rsid w:val="4E1280B9"/>
    <w:rsid w:val="4E147C0C"/>
    <w:rsid w:val="4E1913F3"/>
    <w:rsid w:val="4E1E3D7A"/>
    <w:rsid w:val="4E253B26"/>
    <w:rsid w:val="4E31911D"/>
    <w:rsid w:val="4E3FEF05"/>
    <w:rsid w:val="4E4125C6"/>
    <w:rsid w:val="4E41F3FA"/>
    <w:rsid w:val="4E4A5E3F"/>
    <w:rsid w:val="4E4B2DB9"/>
    <w:rsid w:val="4E4DB6B5"/>
    <w:rsid w:val="4E57E1E4"/>
    <w:rsid w:val="4E5CB0FE"/>
    <w:rsid w:val="4E5EBAB8"/>
    <w:rsid w:val="4E656E3D"/>
    <w:rsid w:val="4E69BBA5"/>
    <w:rsid w:val="4E6E3B0C"/>
    <w:rsid w:val="4E6FAF60"/>
    <w:rsid w:val="4E7D78C5"/>
    <w:rsid w:val="4E8A425E"/>
    <w:rsid w:val="4E90A9C2"/>
    <w:rsid w:val="4E94AA98"/>
    <w:rsid w:val="4EA83D2A"/>
    <w:rsid w:val="4EC51CE7"/>
    <w:rsid w:val="4ECCCE07"/>
    <w:rsid w:val="4ED3E05C"/>
    <w:rsid w:val="4ED9C6D2"/>
    <w:rsid w:val="4EDDCBF5"/>
    <w:rsid w:val="4EDF3F9E"/>
    <w:rsid w:val="4EE815F0"/>
    <w:rsid w:val="4EF22EA3"/>
    <w:rsid w:val="4F030D2E"/>
    <w:rsid w:val="4F1089B7"/>
    <w:rsid w:val="4F31051E"/>
    <w:rsid w:val="4F317143"/>
    <w:rsid w:val="4F4EFF1B"/>
    <w:rsid w:val="4F510809"/>
    <w:rsid w:val="4F55B940"/>
    <w:rsid w:val="4F685E17"/>
    <w:rsid w:val="4F7331A1"/>
    <w:rsid w:val="4F76A68F"/>
    <w:rsid w:val="4F9BC374"/>
    <w:rsid w:val="4F9DD680"/>
    <w:rsid w:val="4FA700D3"/>
    <w:rsid w:val="4FAA1171"/>
    <w:rsid w:val="4FAD148D"/>
    <w:rsid w:val="4FAE2754"/>
    <w:rsid w:val="4FB2CCB5"/>
    <w:rsid w:val="4FB3B23F"/>
    <w:rsid w:val="4FB6FCB4"/>
    <w:rsid w:val="4FB92A9C"/>
    <w:rsid w:val="4FC67F71"/>
    <w:rsid w:val="4FCC59A5"/>
    <w:rsid w:val="4FCFAF04"/>
    <w:rsid w:val="4FDF3062"/>
    <w:rsid w:val="4FEC5611"/>
    <w:rsid w:val="4FEF1FB3"/>
    <w:rsid w:val="4FF04DF0"/>
    <w:rsid w:val="500FA7C6"/>
    <w:rsid w:val="5012F8E5"/>
    <w:rsid w:val="5013B62A"/>
    <w:rsid w:val="5014D06F"/>
    <w:rsid w:val="502088DA"/>
    <w:rsid w:val="5037D4E9"/>
    <w:rsid w:val="504CB9F3"/>
    <w:rsid w:val="50509FDC"/>
    <w:rsid w:val="5055380E"/>
    <w:rsid w:val="506454BE"/>
    <w:rsid w:val="5070247A"/>
    <w:rsid w:val="50708D95"/>
    <w:rsid w:val="5070D565"/>
    <w:rsid w:val="507AF00B"/>
    <w:rsid w:val="50805C92"/>
    <w:rsid w:val="50815F32"/>
    <w:rsid w:val="508955D8"/>
    <w:rsid w:val="508E3027"/>
    <w:rsid w:val="50908A07"/>
    <w:rsid w:val="509F8002"/>
    <w:rsid w:val="50A40A52"/>
    <w:rsid w:val="50A84C2C"/>
    <w:rsid w:val="50AD2561"/>
    <w:rsid w:val="50B7693F"/>
    <w:rsid w:val="50B84161"/>
    <w:rsid w:val="50BB8CC7"/>
    <w:rsid w:val="50C01744"/>
    <w:rsid w:val="50C485B4"/>
    <w:rsid w:val="50CAEF51"/>
    <w:rsid w:val="50E423E2"/>
    <w:rsid w:val="50E66211"/>
    <w:rsid w:val="50F177DD"/>
    <w:rsid w:val="50F244FC"/>
    <w:rsid w:val="50FC4108"/>
    <w:rsid w:val="51060426"/>
    <w:rsid w:val="510AE096"/>
    <w:rsid w:val="510E63CC"/>
    <w:rsid w:val="5111F099"/>
    <w:rsid w:val="51188B74"/>
    <w:rsid w:val="5127181B"/>
    <w:rsid w:val="512866F2"/>
    <w:rsid w:val="513B1315"/>
    <w:rsid w:val="513D8073"/>
    <w:rsid w:val="513F98F5"/>
    <w:rsid w:val="515DFA7C"/>
    <w:rsid w:val="51608D11"/>
    <w:rsid w:val="5165F34E"/>
    <w:rsid w:val="51681EF0"/>
    <w:rsid w:val="517AAE65"/>
    <w:rsid w:val="517D289B"/>
    <w:rsid w:val="5186624B"/>
    <w:rsid w:val="518E1A24"/>
    <w:rsid w:val="5194B8E0"/>
    <w:rsid w:val="51B166D6"/>
    <w:rsid w:val="51BAF299"/>
    <w:rsid w:val="51D4B92F"/>
    <w:rsid w:val="51D61187"/>
    <w:rsid w:val="51D9711C"/>
    <w:rsid w:val="51DA210A"/>
    <w:rsid w:val="51E12615"/>
    <w:rsid w:val="51E1F766"/>
    <w:rsid w:val="51E43377"/>
    <w:rsid w:val="51E4EE9A"/>
    <w:rsid w:val="51F68646"/>
    <w:rsid w:val="51FEF3D4"/>
    <w:rsid w:val="51FFEFF2"/>
    <w:rsid w:val="52052D50"/>
    <w:rsid w:val="520F7FD1"/>
    <w:rsid w:val="5213B528"/>
    <w:rsid w:val="52143350"/>
    <w:rsid w:val="521C36EA"/>
    <w:rsid w:val="521CEA4B"/>
    <w:rsid w:val="521D1B63"/>
    <w:rsid w:val="5228C365"/>
    <w:rsid w:val="5232CBF7"/>
    <w:rsid w:val="5239F3C0"/>
    <w:rsid w:val="523A6416"/>
    <w:rsid w:val="523EA635"/>
    <w:rsid w:val="52439FC3"/>
    <w:rsid w:val="5246F62A"/>
    <w:rsid w:val="524814AC"/>
    <w:rsid w:val="5248A182"/>
    <w:rsid w:val="525CD381"/>
    <w:rsid w:val="52640E63"/>
    <w:rsid w:val="52779C1B"/>
    <w:rsid w:val="52826EFE"/>
    <w:rsid w:val="52845B1E"/>
    <w:rsid w:val="528577AA"/>
    <w:rsid w:val="528EF9F7"/>
    <w:rsid w:val="529AE3FD"/>
    <w:rsid w:val="529BCFAA"/>
    <w:rsid w:val="52A03721"/>
    <w:rsid w:val="52C0007D"/>
    <w:rsid w:val="52CDFBA2"/>
    <w:rsid w:val="52D43517"/>
    <w:rsid w:val="52D84E89"/>
    <w:rsid w:val="52D85308"/>
    <w:rsid w:val="52D8EADE"/>
    <w:rsid w:val="52E8DA7F"/>
    <w:rsid w:val="52EF2C2F"/>
    <w:rsid w:val="52F84E71"/>
    <w:rsid w:val="52FFA742"/>
    <w:rsid w:val="53087473"/>
    <w:rsid w:val="530B3A7A"/>
    <w:rsid w:val="53112679"/>
    <w:rsid w:val="53183F18"/>
    <w:rsid w:val="5331982E"/>
    <w:rsid w:val="53347795"/>
    <w:rsid w:val="5334FD60"/>
    <w:rsid w:val="53357F7F"/>
    <w:rsid w:val="5342391B"/>
    <w:rsid w:val="5342EFDB"/>
    <w:rsid w:val="5349E149"/>
    <w:rsid w:val="535C3FF0"/>
    <w:rsid w:val="536C9A3E"/>
    <w:rsid w:val="536E90FC"/>
    <w:rsid w:val="536ED730"/>
    <w:rsid w:val="53778DCA"/>
    <w:rsid w:val="537E65B7"/>
    <w:rsid w:val="53869E7C"/>
    <w:rsid w:val="5388A815"/>
    <w:rsid w:val="538968D8"/>
    <w:rsid w:val="5389B38F"/>
    <w:rsid w:val="5389E717"/>
    <w:rsid w:val="538B2D50"/>
    <w:rsid w:val="538BCDB2"/>
    <w:rsid w:val="538EF982"/>
    <w:rsid w:val="53B683A8"/>
    <w:rsid w:val="53C093B7"/>
    <w:rsid w:val="53C09500"/>
    <w:rsid w:val="53C74A16"/>
    <w:rsid w:val="53C98BA1"/>
    <w:rsid w:val="53EBB3BD"/>
    <w:rsid w:val="53F1702A"/>
    <w:rsid w:val="53FAF74D"/>
    <w:rsid w:val="5400B722"/>
    <w:rsid w:val="541080B9"/>
    <w:rsid w:val="5415382B"/>
    <w:rsid w:val="541B5C50"/>
    <w:rsid w:val="54321494"/>
    <w:rsid w:val="54334AFC"/>
    <w:rsid w:val="54392B0A"/>
    <w:rsid w:val="543D2C7E"/>
    <w:rsid w:val="5447BDC2"/>
    <w:rsid w:val="5449BB5D"/>
    <w:rsid w:val="544C0F85"/>
    <w:rsid w:val="545886C7"/>
    <w:rsid w:val="5460DE4D"/>
    <w:rsid w:val="54660FE3"/>
    <w:rsid w:val="546BFE6D"/>
    <w:rsid w:val="54712628"/>
    <w:rsid w:val="547CA33C"/>
    <w:rsid w:val="5480C6DF"/>
    <w:rsid w:val="54986B4E"/>
    <w:rsid w:val="549FE069"/>
    <w:rsid w:val="54A566D3"/>
    <w:rsid w:val="54A71A02"/>
    <w:rsid w:val="54B29DB5"/>
    <w:rsid w:val="54B76DA6"/>
    <w:rsid w:val="54C2CE66"/>
    <w:rsid w:val="54C65CDC"/>
    <w:rsid w:val="54C7DE64"/>
    <w:rsid w:val="54CB6413"/>
    <w:rsid w:val="54D4CDB0"/>
    <w:rsid w:val="54DFAB72"/>
    <w:rsid w:val="54E62C97"/>
    <w:rsid w:val="54E7380B"/>
    <w:rsid w:val="54F2841C"/>
    <w:rsid w:val="54F4F6E7"/>
    <w:rsid w:val="54F7B6D9"/>
    <w:rsid w:val="550A54A1"/>
    <w:rsid w:val="55113AAB"/>
    <w:rsid w:val="552490FA"/>
    <w:rsid w:val="552CA3A5"/>
    <w:rsid w:val="55305707"/>
    <w:rsid w:val="553778E1"/>
    <w:rsid w:val="553D710C"/>
    <w:rsid w:val="553D7A57"/>
    <w:rsid w:val="553F97CF"/>
    <w:rsid w:val="555126EF"/>
    <w:rsid w:val="5553D90E"/>
    <w:rsid w:val="555C6653"/>
    <w:rsid w:val="555DBF17"/>
    <w:rsid w:val="5567A650"/>
    <w:rsid w:val="55758C70"/>
    <w:rsid w:val="55890E29"/>
    <w:rsid w:val="55973259"/>
    <w:rsid w:val="559C3421"/>
    <w:rsid w:val="55AEB7F1"/>
    <w:rsid w:val="55B6821D"/>
    <w:rsid w:val="55BAE00F"/>
    <w:rsid w:val="55C2F62C"/>
    <w:rsid w:val="55C4C079"/>
    <w:rsid w:val="55C9BAF1"/>
    <w:rsid w:val="55D6A135"/>
    <w:rsid w:val="55E3EBF7"/>
    <w:rsid w:val="55E4ED95"/>
    <w:rsid w:val="55E4FD3C"/>
    <w:rsid w:val="55EB867D"/>
    <w:rsid w:val="55F00D41"/>
    <w:rsid w:val="55F09EE2"/>
    <w:rsid w:val="55F2F7AD"/>
    <w:rsid w:val="55F85522"/>
    <w:rsid w:val="55FF838C"/>
    <w:rsid w:val="5600A909"/>
    <w:rsid w:val="56016534"/>
    <w:rsid w:val="56055AE2"/>
    <w:rsid w:val="5620368E"/>
    <w:rsid w:val="562A618D"/>
    <w:rsid w:val="56370E9B"/>
    <w:rsid w:val="563E0EE5"/>
    <w:rsid w:val="564DFCC6"/>
    <w:rsid w:val="56511F53"/>
    <w:rsid w:val="5668944A"/>
    <w:rsid w:val="567D7E4E"/>
    <w:rsid w:val="56A3BE9A"/>
    <w:rsid w:val="56A9C867"/>
    <w:rsid w:val="56AC191D"/>
    <w:rsid w:val="56B0CC25"/>
    <w:rsid w:val="56B11A2E"/>
    <w:rsid w:val="56B4C9A8"/>
    <w:rsid w:val="56B5381B"/>
    <w:rsid w:val="56B5D132"/>
    <w:rsid w:val="56B7552C"/>
    <w:rsid w:val="56BD15A7"/>
    <w:rsid w:val="56D149EF"/>
    <w:rsid w:val="56D1B411"/>
    <w:rsid w:val="56D5AE62"/>
    <w:rsid w:val="56D63E77"/>
    <w:rsid w:val="56DD9D43"/>
    <w:rsid w:val="56DF15EE"/>
    <w:rsid w:val="56E9CE20"/>
    <w:rsid w:val="56EF21C9"/>
    <w:rsid w:val="56F8E8F2"/>
    <w:rsid w:val="57059C63"/>
    <w:rsid w:val="57135150"/>
    <w:rsid w:val="571561A4"/>
    <w:rsid w:val="573EDD1D"/>
    <w:rsid w:val="573F165B"/>
    <w:rsid w:val="5740C3EF"/>
    <w:rsid w:val="575AF5DC"/>
    <w:rsid w:val="575CAA17"/>
    <w:rsid w:val="57677C94"/>
    <w:rsid w:val="5768394F"/>
    <w:rsid w:val="5769841B"/>
    <w:rsid w:val="57784490"/>
    <w:rsid w:val="577D0AD5"/>
    <w:rsid w:val="5780E398"/>
    <w:rsid w:val="578165C2"/>
    <w:rsid w:val="5782463D"/>
    <w:rsid w:val="578D63A0"/>
    <w:rsid w:val="57931A85"/>
    <w:rsid w:val="5793E0C4"/>
    <w:rsid w:val="57945947"/>
    <w:rsid w:val="57AD8EA3"/>
    <w:rsid w:val="57AE264B"/>
    <w:rsid w:val="57AED1B0"/>
    <w:rsid w:val="57B326D7"/>
    <w:rsid w:val="57B8DC53"/>
    <w:rsid w:val="57CC472A"/>
    <w:rsid w:val="57D60235"/>
    <w:rsid w:val="57DBF687"/>
    <w:rsid w:val="57DE62A1"/>
    <w:rsid w:val="57E26E9C"/>
    <w:rsid w:val="57F4B3CB"/>
    <w:rsid w:val="57FCA9DD"/>
    <w:rsid w:val="580B5F04"/>
    <w:rsid w:val="580C9869"/>
    <w:rsid w:val="581C77F4"/>
    <w:rsid w:val="5827079D"/>
    <w:rsid w:val="5827A40B"/>
    <w:rsid w:val="582C3C0F"/>
    <w:rsid w:val="582F7DEB"/>
    <w:rsid w:val="5831583E"/>
    <w:rsid w:val="583A8239"/>
    <w:rsid w:val="58434D8B"/>
    <w:rsid w:val="5844BAB1"/>
    <w:rsid w:val="58473856"/>
    <w:rsid w:val="585024B9"/>
    <w:rsid w:val="5852EE83"/>
    <w:rsid w:val="5855B293"/>
    <w:rsid w:val="585DA983"/>
    <w:rsid w:val="585F4A14"/>
    <w:rsid w:val="58641444"/>
    <w:rsid w:val="5865F045"/>
    <w:rsid w:val="586C9681"/>
    <w:rsid w:val="58702534"/>
    <w:rsid w:val="5878EE47"/>
    <w:rsid w:val="587AB239"/>
    <w:rsid w:val="58853E01"/>
    <w:rsid w:val="58898BFF"/>
    <w:rsid w:val="588BDA9C"/>
    <w:rsid w:val="5890C660"/>
    <w:rsid w:val="589B1E13"/>
    <w:rsid w:val="589B640D"/>
    <w:rsid w:val="58A73C5E"/>
    <w:rsid w:val="58A797FB"/>
    <w:rsid w:val="58AA28EF"/>
    <w:rsid w:val="58ABA6CE"/>
    <w:rsid w:val="58ABE0A2"/>
    <w:rsid w:val="58BD29AF"/>
    <w:rsid w:val="58C17118"/>
    <w:rsid w:val="58CFE660"/>
    <w:rsid w:val="58D4BD47"/>
    <w:rsid w:val="58D916BA"/>
    <w:rsid w:val="58DB082C"/>
    <w:rsid w:val="58E2F9AA"/>
    <w:rsid w:val="58F943A2"/>
    <w:rsid w:val="58FA31C0"/>
    <w:rsid w:val="58FA9B92"/>
    <w:rsid w:val="59039F49"/>
    <w:rsid w:val="591569A0"/>
    <w:rsid w:val="591C220A"/>
    <w:rsid w:val="592278EF"/>
    <w:rsid w:val="593428D3"/>
    <w:rsid w:val="5950DA5C"/>
    <w:rsid w:val="595102FF"/>
    <w:rsid w:val="5954DCE1"/>
    <w:rsid w:val="59558E33"/>
    <w:rsid w:val="59596B80"/>
    <w:rsid w:val="595BD02F"/>
    <w:rsid w:val="595D6B50"/>
    <w:rsid w:val="5965B669"/>
    <w:rsid w:val="5966DA37"/>
    <w:rsid w:val="59710146"/>
    <w:rsid w:val="597B9B00"/>
    <w:rsid w:val="597D84C6"/>
    <w:rsid w:val="5983936B"/>
    <w:rsid w:val="598E8146"/>
    <w:rsid w:val="599AE358"/>
    <w:rsid w:val="599B783D"/>
    <w:rsid w:val="59A0BD55"/>
    <w:rsid w:val="59A357A2"/>
    <w:rsid w:val="59AB1C0A"/>
    <w:rsid w:val="59B27E2E"/>
    <w:rsid w:val="59B68CF3"/>
    <w:rsid w:val="59B69103"/>
    <w:rsid w:val="59B78F1F"/>
    <w:rsid w:val="59B9C609"/>
    <w:rsid w:val="59C56645"/>
    <w:rsid w:val="59C77F45"/>
    <w:rsid w:val="59D1A0F4"/>
    <w:rsid w:val="59D7D8C6"/>
    <w:rsid w:val="59D8401D"/>
    <w:rsid w:val="59DD0B0D"/>
    <w:rsid w:val="59DD223B"/>
    <w:rsid w:val="59DF1623"/>
    <w:rsid w:val="59E198E7"/>
    <w:rsid w:val="59E8AA66"/>
    <w:rsid w:val="59EA3416"/>
    <w:rsid w:val="59EB0F00"/>
    <w:rsid w:val="59EBFDAF"/>
    <w:rsid w:val="59FC1178"/>
    <w:rsid w:val="5A079FFD"/>
    <w:rsid w:val="5A0B4D89"/>
    <w:rsid w:val="5A12C123"/>
    <w:rsid w:val="5A162522"/>
    <w:rsid w:val="5A210A4D"/>
    <w:rsid w:val="5A2D20E3"/>
    <w:rsid w:val="5A2FDDC2"/>
    <w:rsid w:val="5A31513E"/>
    <w:rsid w:val="5A3F8BD5"/>
    <w:rsid w:val="5A46BE19"/>
    <w:rsid w:val="5A67B3C6"/>
    <w:rsid w:val="5A68AB4D"/>
    <w:rsid w:val="5A6ACC2F"/>
    <w:rsid w:val="5A71E32E"/>
    <w:rsid w:val="5A73DEED"/>
    <w:rsid w:val="5A7AE062"/>
    <w:rsid w:val="5A7D5CC3"/>
    <w:rsid w:val="5A808088"/>
    <w:rsid w:val="5A82E369"/>
    <w:rsid w:val="5A8315D4"/>
    <w:rsid w:val="5A8551E3"/>
    <w:rsid w:val="5A883224"/>
    <w:rsid w:val="5A8BBDEE"/>
    <w:rsid w:val="5A8DE8AE"/>
    <w:rsid w:val="5A98EAF0"/>
    <w:rsid w:val="5A9E2727"/>
    <w:rsid w:val="5AA93AB6"/>
    <w:rsid w:val="5AB3E0A3"/>
    <w:rsid w:val="5AB77C90"/>
    <w:rsid w:val="5ABC68C6"/>
    <w:rsid w:val="5AC0AB71"/>
    <w:rsid w:val="5AC1E882"/>
    <w:rsid w:val="5AC46733"/>
    <w:rsid w:val="5AD62BF3"/>
    <w:rsid w:val="5AE065BB"/>
    <w:rsid w:val="5AE2AA5F"/>
    <w:rsid w:val="5AE32146"/>
    <w:rsid w:val="5AE403E2"/>
    <w:rsid w:val="5AE5FF35"/>
    <w:rsid w:val="5AF36BC1"/>
    <w:rsid w:val="5AF6DC56"/>
    <w:rsid w:val="5AFA0178"/>
    <w:rsid w:val="5AFB4CC8"/>
    <w:rsid w:val="5B0133C0"/>
    <w:rsid w:val="5B01FB7F"/>
    <w:rsid w:val="5B174A04"/>
    <w:rsid w:val="5B2AFFDB"/>
    <w:rsid w:val="5B387F08"/>
    <w:rsid w:val="5B426969"/>
    <w:rsid w:val="5B4A756F"/>
    <w:rsid w:val="5B4CFB75"/>
    <w:rsid w:val="5B57BE70"/>
    <w:rsid w:val="5B5CF22B"/>
    <w:rsid w:val="5B6235F5"/>
    <w:rsid w:val="5B6A1E75"/>
    <w:rsid w:val="5B6E0AE9"/>
    <w:rsid w:val="5B705B85"/>
    <w:rsid w:val="5B71BDFB"/>
    <w:rsid w:val="5B79BB3D"/>
    <w:rsid w:val="5B869A33"/>
    <w:rsid w:val="5B88D1A5"/>
    <w:rsid w:val="5B94FDF6"/>
    <w:rsid w:val="5B9DD024"/>
    <w:rsid w:val="5BA1CDA0"/>
    <w:rsid w:val="5BAC2AD4"/>
    <w:rsid w:val="5BAE30F4"/>
    <w:rsid w:val="5BB1F74E"/>
    <w:rsid w:val="5BB6E139"/>
    <w:rsid w:val="5BBB3C7F"/>
    <w:rsid w:val="5BBC59BE"/>
    <w:rsid w:val="5BC05D6B"/>
    <w:rsid w:val="5BCE014A"/>
    <w:rsid w:val="5BCF4E29"/>
    <w:rsid w:val="5BDD80F4"/>
    <w:rsid w:val="5BEA9A7E"/>
    <w:rsid w:val="5BED9635"/>
    <w:rsid w:val="5BF545AE"/>
    <w:rsid w:val="5C08E080"/>
    <w:rsid w:val="5C13EBB7"/>
    <w:rsid w:val="5C1B9F2D"/>
    <w:rsid w:val="5C1CA2AA"/>
    <w:rsid w:val="5C2268D0"/>
    <w:rsid w:val="5C2750BD"/>
    <w:rsid w:val="5C2891F6"/>
    <w:rsid w:val="5C2A6DCA"/>
    <w:rsid w:val="5C38FD13"/>
    <w:rsid w:val="5C3D4E8F"/>
    <w:rsid w:val="5C452796"/>
    <w:rsid w:val="5C455480"/>
    <w:rsid w:val="5C47F96A"/>
    <w:rsid w:val="5C4F2D70"/>
    <w:rsid w:val="5C600EAE"/>
    <w:rsid w:val="5C739A58"/>
    <w:rsid w:val="5C745245"/>
    <w:rsid w:val="5C76091B"/>
    <w:rsid w:val="5C7D4A28"/>
    <w:rsid w:val="5C7DBBD0"/>
    <w:rsid w:val="5C9AF0EE"/>
    <w:rsid w:val="5C9FBAEF"/>
    <w:rsid w:val="5CA449AC"/>
    <w:rsid w:val="5CBB5295"/>
    <w:rsid w:val="5CD0249E"/>
    <w:rsid w:val="5CE073C9"/>
    <w:rsid w:val="5CF7A3DC"/>
    <w:rsid w:val="5CFE016F"/>
    <w:rsid w:val="5D007C54"/>
    <w:rsid w:val="5D05FF06"/>
    <w:rsid w:val="5D0613EC"/>
    <w:rsid w:val="5D09DF82"/>
    <w:rsid w:val="5D33C3C2"/>
    <w:rsid w:val="5D34C607"/>
    <w:rsid w:val="5D35D622"/>
    <w:rsid w:val="5D370DFD"/>
    <w:rsid w:val="5D457CF1"/>
    <w:rsid w:val="5D460255"/>
    <w:rsid w:val="5D551E7F"/>
    <w:rsid w:val="5D55A3AF"/>
    <w:rsid w:val="5D5BC6EB"/>
    <w:rsid w:val="5D5BD4F0"/>
    <w:rsid w:val="5D5D5400"/>
    <w:rsid w:val="5D605645"/>
    <w:rsid w:val="5D60834C"/>
    <w:rsid w:val="5D633D2F"/>
    <w:rsid w:val="5D65C908"/>
    <w:rsid w:val="5D68FCB7"/>
    <w:rsid w:val="5D6C7EBE"/>
    <w:rsid w:val="5D82FA6B"/>
    <w:rsid w:val="5D86B878"/>
    <w:rsid w:val="5D8FB3D7"/>
    <w:rsid w:val="5D94140B"/>
    <w:rsid w:val="5D9553F6"/>
    <w:rsid w:val="5D968575"/>
    <w:rsid w:val="5DA9587F"/>
    <w:rsid w:val="5DAAF4F7"/>
    <w:rsid w:val="5DAEA8C7"/>
    <w:rsid w:val="5DAF2A6D"/>
    <w:rsid w:val="5DB70CC8"/>
    <w:rsid w:val="5DC30D78"/>
    <w:rsid w:val="5DCCB0AA"/>
    <w:rsid w:val="5DD34D47"/>
    <w:rsid w:val="5DD7FEE1"/>
    <w:rsid w:val="5DD839FB"/>
    <w:rsid w:val="5DDDF339"/>
    <w:rsid w:val="5DE9630A"/>
    <w:rsid w:val="5DEA948B"/>
    <w:rsid w:val="5DED5C91"/>
    <w:rsid w:val="5DF3F1B5"/>
    <w:rsid w:val="5DFD54F9"/>
    <w:rsid w:val="5E042851"/>
    <w:rsid w:val="5E07323E"/>
    <w:rsid w:val="5E0DFE02"/>
    <w:rsid w:val="5E116A5C"/>
    <w:rsid w:val="5E218517"/>
    <w:rsid w:val="5E246EA4"/>
    <w:rsid w:val="5E2C6342"/>
    <w:rsid w:val="5E2E3E99"/>
    <w:rsid w:val="5E354160"/>
    <w:rsid w:val="5E385EB4"/>
    <w:rsid w:val="5E4045F1"/>
    <w:rsid w:val="5E4638C5"/>
    <w:rsid w:val="5E465047"/>
    <w:rsid w:val="5E4EB35A"/>
    <w:rsid w:val="5E50D464"/>
    <w:rsid w:val="5E59F091"/>
    <w:rsid w:val="5E5F93B7"/>
    <w:rsid w:val="5E608465"/>
    <w:rsid w:val="5E6DE99C"/>
    <w:rsid w:val="5E7405C8"/>
    <w:rsid w:val="5E7653E6"/>
    <w:rsid w:val="5E871D10"/>
    <w:rsid w:val="5E915F0C"/>
    <w:rsid w:val="5E98F974"/>
    <w:rsid w:val="5E9F425C"/>
    <w:rsid w:val="5EA39E99"/>
    <w:rsid w:val="5EA5DAC1"/>
    <w:rsid w:val="5EAF934D"/>
    <w:rsid w:val="5EB14A32"/>
    <w:rsid w:val="5EB54E0E"/>
    <w:rsid w:val="5EBDF158"/>
    <w:rsid w:val="5EC3640C"/>
    <w:rsid w:val="5EC6163A"/>
    <w:rsid w:val="5EDFE94D"/>
    <w:rsid w:val="5EDFF6FF"/>
    <w:rsid w:val="5EE699F6"/>
    <w:rsid w:val="5EE977F7"/>
    <w:rsid w:val="5EED3D07"/>
    <w:rsid w:val="5F013E86"/>
    <w:rsid w:val="5F0DA184"/>
    <w:rsid w:val="5F0F7EA0"/>
    <w:rsid w:val="5F17D35C"/>
    <w:rsid w:val="5F282DA0"/>
    <w:rsid w:val="5F28DA10"/>
    <w:rsid w:val="5F2E8C1A"/>
    <w:rsid w:val="5F3045FB"/>
    <w:rsid w:val="5F38E277"/>
    <w:rsid w:val="5F39697E"/>
    <w:rsid w:val="5F3B9429"/>
    <w:rsid w:val="5F425139"/>
    <w:rsid w:val="5F485B22"/>
    <w:rsid w:val="5F52B6D4"/>
    <w:rsid w:val="5F597F2F"/>
    <w:rsid w:val="5F5B82DA"/>
    <w:rsid w:val="5F5E20BE"/>
    <w:rsid w:val="5F6AC166"/>
    <w:rsid w:val="5F704319"/>
    <w:rsid w:val="5F8088E3"/>
    <w:rsid w:val="5F89F4BA"/>
    <w:rsid w:val="5F8B4266"/>
    <w:rsid w:val="5F8CD4FB"/>
    <w:rsid w:val="5F9406BE"/>
    <w:rsid w:val="5F95E26B"/>
    <w:rsid w:val="5FA9188A"/>
    <w:rsid w:val="5FAB277B"/>
    <w:rsid w:val="5FBB060F"/>
    <w:rsid w:val="5FC194DD"/>
    <w:rsid w:val="5FCA6796"/>
    <w:rsid w:val="5FD0C834"/>
    <w:rsid w:val="5FD11A95"/>
    <w:rsid w:val="5FD3966F"/>
    <w:rsid w:val="5FD39C33"/>
    <w:rsid w:val="5FDB5FC5"/>
    <w:rsid w:val="5FDB7881"/>
    <w:rsid w:val="5FF6DD67"/>
    <w:rsid w:val="6006E612"/>
    <w:rsid w:val="6008ECB7"/>
    <w:rsid w:val="601152C1"/>
    <w:rsid w:val="601A76C8"/>
    <w:rsid w:val="601E85A6"/>
    <w:rsid w:val="602232EC"/>
    <w:rsid w:val="602C172A"/>
    <w:rsid w:val="602E8BC2"/>
    <w:rsid w:val="602FB9F9"/>
    <w:rsid w:val="6030F466"/>
    <w:rsid w:val="6036D3B1"/>
    <w:rsid w:val="60456AF3"/>
    <w:rsid w:val="60519151"/>
    <w:rsid w:val="6059C6EE"/>
    <w:rsid w:val="606144FD"/>
    <w:rsid w:val="60776FD7"/>
    <w:rsid w:val="60797626"/>
    <w:rsid w:val="60807FD2"/>
    <w:rsid w:val="60848926"/>
    <w:rsid w:val="6095FBDF"/>
    <w:rsid w:val="609B5D0C"/>
    <w:rsid w:val="609C42F4"/>
    <w:rsid w:val="60A2F37B"/>
    <w:rsid w:val="60B4D62B"/>
    <w:rsid w:val="60B73C70"/>
    <w:rsid w:val="60BA282E"/>
    <w:rsid w:val="60BC6DCA"/>
    <w:rsid w:val="60C090C4"/>
    <w:rsid w:val="60C1779D"/>
    <w:rsid w:val="60C49D5D"/>
    <w:rsid w:val="60C9C0FF"/>
    <w:rsid w:val="60D36E1D"/>
    <w:rsid w:val="60DFAC0A"/>
    <w:rsid w:val="60E2EDA9"/>
    <w:rsid w:val="60E41969"/>
    <w:rsid w:val="60EB155B"/>
    <w:rsid w:val="60EF83E0"/>
    <w:rsid w:val="60F008C7"/>
    <w:rsid w:val="60F2EA4A"/>
    <w:rsid w:val="60F3E18C"/>
    <w:rsid w:val="60F4A42A"/>
    <w:rsid w:val="60F96400"/>
    <w:rsid w:val="6104E68F"/>
    <w:rsid w:val="6110A0EA"/>
    <w:rsid w:val="611C5338"/>
    <w:rsid w:val="61296A5E"/>
    <w:rsid w:val="612CA4AA"/>
    <w:rsid w:val="613BF563"/>
    <w:rsid w:val="613F93D9"/>
    <w:rsid w:val="614975E0"/>
    <w:rsid w:val="614B175C"/>
    <w:rsid w:val="61650DFA"/>
    <w:rsid w:val="6166A8E1"/>
    <w:rsid w:val="616745EF"/>
    <w:rsid w:val="6168D917"/>
    <w:rsid w:val="616C9CB9"/>
    <w:rsid w:val="616DACE0"/>
    <w:rsid w:val="61749992"/>
    <w:rsid w:val="61787D6E"/>
    <w:rsid w:val="617B3B3C"/>
    <w:rsid w:val="617C8CBF"/>
    <w:rsid w:val="61831E03"/>
    <w:rsid w:val="618327E2"/>
    <w:rsid w:val="618CA81D"/>
    <w:rsid w:val="619BD66F"/>
    <w:rsid w:val="619C0426"/>
    <w:rsid w:val="61A3DFFD"/>
    <w:rsid w:val="61AB5C80"/>
    <w:rsid w:val="61B075A8"/>
    <w:rsid w:val="61D0C247"/>
    <w:rsid w:val="61E457F4"/>
    <w:rsid w:val="61E8EBE9"/>
    <w:rsid w:val="61ED6C65"/>
    <w:rsid w:val="61EF0202"/>
    <w:rsid w:val="61EF241F"/>
    <w:rsid w:val="61FE011F"/>
    <w:rsid w:val="6201307A"/>
    <w:rsid w:val="6210AC07"/>
    <w:rsid w:val="6217AF60"/>
    <w:rsid w:val="6223EB71"/>
    <w:rsid w:val="622FA75C"/>
    <w:rsid w:val="6236F413"/>
    <w:rsid w:val="6239F581"/>
    <w:rsid w:val="623F0FBF"/>
    <w:rsid w:val="624B8C3E"/>
    <w:rsid w:val="624D5852"/>
    <w:rsid w:val="624E8F30"/>
    <w:rsid w:val="626027DF"/>
    <w:rsid w:val="6264CC72"/>
    <w:rsid w:val="626ACCE6"/>
    <w:rsid w:val="6273FA8D"/>
    <w:rsid w:val="627A297F"/>
    <w:rsid w:val="627AF035"/>
    <w:rsid w:val="628E2AA3"/>
    <w:rsid w:val="62945FEE"/>
    <w:rsid w:val="6294A73C"/>
    <w:rsid w:val="629833A9"/>
    <w:rsid w:val="62AB04CE"/>
    <w:rsid w:val="62AFC9B9"/>
    <w:rsid w:val="62B67B06"/>
    <w:rsid w:val="62BC38E8"/>
    <w:rsid w:val="62C2AD8D"/>
    <w:rsid w:val="62CA79AF"/>
    <w:rsid w:val="62CD16AB"/>
    <w:rsid w:val="62D7AEB9"/>
    <w:rsid w:val="62DE841D"/>
    <w:rsid w:val="62E4CFBE"/>
    <w:rsid w:val="6306D983"/>
    <w:rsid w:val="6308FDBA"/>
    <w:rsid w:val="630D12F7"/>
    <w:rsid w:val="631B4D9B"/>
    <w:rsid w:val="631FAEF4"/>
    <w:rsid w:val="6324E515"/>
    <w:rsid w:val="633AF0AA"/>
    <w:rsid w:val="63414FEC"/>
    <w:rsid w:val="63473F59"/>
    <w:rsid w:val="63516781"/>
    <w:rsid w:val="635214D0"/>
    <w:rsid w:val="635ACADB"/>
    <w:rsid w:val="63612CEE"/>
    <w:rsid w:val="636714B9"/>
    <w:rsid w:val="636811B8"/>
    <w:rsid w:val="636D6833"/>
    <w:rsid w:val="6383FD70"/>
    <w:rsid w:val="639594C7"/>
    <w:rsid w:val="6397B0D9"/>
    <w:rsid w:val="63A6E694"/>
    <w:rsid w:val="63AB11A5"/>
    <w:rsid w:val="63AE1374"/>
    <w:rsid w:val="63B1F38D"/>
    <w:rsid w:val="63B8654F"/>
    <w:rsid w:val="63BE1B40"/>
    <w:rsid w:val="63C04731"/>
    <w:rsid w:val="63C0CD63"/>
    <w:rsid w:val="63C176D8"/>
    <w:rsid w:val="63C744F1"/>
    <w:rsid w:val="63D2EF1A"/>
    <w:rsid w:val="63D8050A"/>
    <w:rsid w:val="63DE0173"/>
    <w:rsid w:val="63E2A8D3"/>
    <w:rsid w:val="63E4224C"/>
    <w:rsid w:val="63EDA4F2"/>
    <w:rsid w:val="6409EB4C"/>
    <w:rsid w:val="640E4576"/>
    <w:rsid w:val="6415BD3B"/>
    <w:rsid w:val="64182B9A"/>
    <w:rsid w:val="641DD636"/>
    <w:rsid w:val="642A573D"/>
    <w:rsid w:val="64302BD8"/>
    <w:rsid w:val="643376E2"/>
    <w:rsid w:val="6433EEE8"/>
    <w:rsid w:val="64362557"/>
    <w:rsid w:val="6436EB53"/>
    <w:rsid w:val="643EF6AB"/>
    <w:rsid w:val="643F9A06"/>
    <w:rsid w:val="64467A38"/>
    <w:rsid w:val="644DC0F8"/>
    <w:rsid w:val="64569649"/>
    <w:rsid w:val="645A280B"/>
    <w:rsid w:val="645CDD17"/>
    <w:rsid w:val="645E207F"/>
    <w:rsid w:val="646FD544"/>
    <w:rsid w:val="64747388"/>
    <w:rsid w:val="647765AD"/>
    <w:rsid w:val="6477C27D"/>
    <w:rsid w:val="64787E7C"/>
    <w:rsid w:val="647B83AB"/>
    <w:rsid w:val="647D50D5"/>
    <w:rsid w:val="647F9D6D"/>
    <w:rsid w:val="6485F931"/>
    <w:rsid w:val="648E7B6D"/>
    <w:rsid w:val="6492F8B1"/>
    <w:rsid w:val="6494E1A6"/>
    <w:rsid w:val="649DDE44"/>
    <w:rsid w:val="64AFD313"/>
    <w:rsid w:val="64B36435"/>
    <w:rsid w:val="64BD70EF"/>
    <w:rsid w:val="64BE5165"/>
    <w:rsid w:val="64C6688C"/>
    <w:rsid w:val="64CB5129"/>
    <w:rsid w:val="64CCF358"/>
    <w:rsid w:val="64D3A61E"/>
    <w:rsid w:val="64DD1A08"/>
    <w:rsid w:val="64E60C17"/>
    <w:rsid w:val="64F57A80"/>
    <w:rsid w:val="64F9CDC1"/>
    <w:rsid w:val="650EDEA2"/>
    <w:rsid w:val="6517A421"/>
    <w:rsid w:val="6522719C"/>
    <w:rsid w:val="652ABB72"/>
    <w:rsid w:val="652E64EC"/>
    <w:rsid w:val="652E6D01"/>
    <w:rsid w:val="6536216F"/>
    <w:rsid w:val="65364F74"/>
    <w:rsid w:val="6540447F"/>
    <w:rsid w:val="654ED86F"/>
    <w:rsid w:val="65518661"/>
    <w:rsid w:val="6553B607"/>
    <w:rsid w:val="6558D4C0"/>
    <w:rsid w:val="6565C17C"/>
    <w:rsid w:val="656DD3CB"/>
    <w:rsid w:val="6590F5EB"/>
    <w:rsid w:val="65995074"/>
    <w:rsid w:val="65ADAF5A"/>
    <w:rsid w:val="65BE42B4"/>
    <w:rsid w:val="65C6264A"/>
    <w:rsid w:val="65C9DE5F"/>
    <w:rsid w:val="65D53568"/>
    <w:rsid w:val="65DEAF5C"/>
    <w:rsid w:val="65E323A9"/>
    <w:rsid w:val="65E94004"/>
    <w:rsid w:val="65F56635"/>
    <w:rsid w:val="65F78A18"/>
    <w:rsid w:val="65FA19A2"/>
    <w:rsid w:val="65FFA241"/>
    <w:rsid w:val="66032F10"/>
    <w:rsid w:val="6604CFFE"/>
    <w:rsid w:val="66056CC0"/>
    <w:rsid w:val="661701F9"/>
    <w:rsid w:val="661F4E38"/>
    <w:rsid w:val="662373B9"/>
    <w:rsid w:val="662617E8"/>
    <w:rsid w:val="66281A9C"/>
    <w:rsid w:val="662849D6"/>
    <w:rsid w:val="662CCD31"/>
    <w:rsid w:val="663011C4"/>
    <w:rsid w:val="66389935"/>
    <w:rsid w:val="664B2D29"/>
    <w:rsid w:val="6658DDCC"/>
    <w:rsid w:val="66619B1D"/>
    <w:rsid w:val="6668B1C8"/>
    <w:rsid w:val="666F2762"/>
    <w:rsid w:val="6673D1FE"/>
    <w:rsid w:val="6676021D"/>
    <w:rsid w:val="66815ED2"/>
    <w:rsid w:val="6681A354"/>
    <w:rsid w:val="6681F981"/>
    <w:rsid w:val="668421BD"/>
    <w:rsid w:val="669B19BC"/>
    <w:rsid w:val="66A472CF"/>
    <w:rsid w:val="66B25944"/>
    <w:rsid w:val="66C87DBA"/>
    <w:rsid w:val="66D3AA0C"/>
    <w:rsid w:val="66D6DCCC"/>
    <w:rsid w:val="66D8DF1D"/>
    <w:rsid w:val="66DA2EE3"/>
    <w:rsid w:val="66DD9484"/>
    <w:rsid w:val="66E0635C"/>
    <w:rsid w:val="66E46FF0"/>
    <w:rsid w:val="66E860BA"/>
    <w:rsid w:val="66F76357"/>
    <w:rsid w:val="66F91F4F"/>
    <w:rsid w:val="66FA1B61"/>
    <w:rsid w:val="66FFCCC9"/>
    <w:rsid w:val="67063358"/>
    <w:rsid w:val="670B4882"/>
    <w:rsid w:val="67173033"/>
    <w:rsid w:val="672A7908"/>
    <w:rsid w:val="672D8A67"/>
    <w:rsid w:val="67335FEB"/>
    <w:rsid w:val="67447F7D"/>
    <w:rsid w:val="674D7054"/>
    <w:rsid w:val="6750048D"/>
    <w:rsid w:val="6761F345"/>
    <w:rsid w:val="6762ADEC"/>
    <w:rsid w:val="6764C93E"/>
    <w:rsid w:val="67704B9C"/>
    <w:rsid w:val="67755148"/>
    <w:rsid w:val="677FA6EB"/>
    <w:rsid w:val="6783C718"/>
    <w:rsid w:val="6794F134"/>
    <w:rsid w:val="67ABEF6A"/>
    <w:rsid w:val="67B37461"/>
    <w:rsid w:val="67B45BEF"/>
    <w:rsid w:val="67B4DAC3"/>
    <w:rsid w:val="67CBBF71"/>
    <w:rsid w:val="67D5A6BD"/>
    <w:rsid w:val="67D9885B"/>
    <w:rsid w:val="67E56F15"/>
    <w:rsid w:val="67EC3E3E"/>
    <w:rsid w:val="67F77C80"/>
    <w:rsid w:val="67F891C7"/>
    <w:rsid w:val="67FEE472"/>
    <w:rsid w:val="680BA815"/>
    <w:rsid w:val="6812D1AA"/>
    <w:rsid w:val="681C09BE"/>
    <w:rsid w:val="681EFC0B"/>
    <w:rsid w:val="682033A2"/>
    <w:rsid w:val="682099C7"/>
    <w:rsid w:val="6820D00B"/>
    <w:rsid w:val="68216928"/>
    <w:rsid w:val="6843C1A1"/>
    <w:rsid w:val="68482A29"/>
    <w:rsid w:val="684F088F"/>
    <w:rsid w:val="6850AE18"/>
    <w:rsid w:val="686930BE"/>
    <w:rsid w:val="6874BFC1"/>
    <w:rsid w:val="6876EF6D"/>
    <w:rsid w:val="687B18FB"/>
    <w:rsid w:val="6884DA74"/>
    <w:rsid w:val="689A707C"/>
    <w:rsid w:val="68BA8DD5"/>
    <w:rsid w:val="68BC615F"/>
    <w:rsid w:val="68C215C4"/>
    <w:rsid w:val="68CAC179"/>
    <w:rsid w:val="68D2BE13"/>
    <w:rsid w:val="68D45A99"/>
    <w:rsid w:val="68E47DC0"/>
    <w:rsid w:val="68F21846"/>
    <w:rsid w:val="68FDF053"/>
    <w:rsid w:val="6900032A"/>
    <w:rsid w:val="690F8174"/>
    <w:rsid w:val="691C0F8C"/>
    <w:rsid w:val="69312FA5"/>
    <w:rsid w:val="69333EC9"/>
    <w:rsid w:val="693575AE"/>
    <w:rsid w:val="693FD360"/>
    <w:rsid w:val="694314DF"/>
    <w:rsid w:val="6956E6D7"/>
    <w:rsid w:val="6966A62E"/>
    <w:rsid w:val="6973F16A"/>
    <w:rsid w:val="6975ECA0"/>
    <w:rsid w:val="69832B23"/>
    <w:rsid w:val="698EED65"/>
    <w:rsid w:val="6997029A"/>
    <w:rsid w:val="6999B8CA"/>
    <w:rsid w:val="69B63D31"/>
    <w:rsid w:val="69C97203"/>
    <w:rsid w:val="69DDD54C"/>
    <w:rsid w:val="69E2B191"/>
    <w:rsid w:val="69E3D712"/>
    <w:rsid w:val="69E46FC7"/>
    <w:rsid w:val="69E9025D"/>
    <w:rsid w:val="69E939C5"/>
    <w:rsid w:val="69EB3810"/>
    <w:rsid w:val="69EBBE45"/>
    <w:rsid w:val="69F0AF3C"/>
    <w:rsid w:val="69F28C25"/>
    <w:rsid w:val="69F37561"/>
    <w:rsid w:val="6A02BF91"/>
    <w:rsid w:val="6A0F404B"/>
    <w:rsid w:val="6A15796D"/>
    <w:rsid w:val="6A297232"/>
    <w:rsid w:val="6A2F3485"/>
    <w:rsid w:val="6A3190B1"/>
    <w:rsid w:val="6A3D3811"/>
    <w:rsid w:val="6A4009F4"/>
    <w:rsid w:val="6A48F1A4"/>
    <w:rsid w:val="6A49627D"/>
    <w:rsid w:val="6A4989C3"/>
    <w:rsid w:val="6A63F6EC"/>
    <w:rsid w:val="6A6EEF19"/>
    <w:rsid w:val="6A7464D7"/>
    <w:rsid w:val="6A7BD0BE"/>
    <w:rsid w:val="6A7CC049"/>
    <w:rsid w:val="6A86FCF0"/>
    <w:rsid w:val="6A892F35"/>
    <w:rsid w:val="6A904ED2"/>
    <w:rsid w:val="6A98748B"/>
    <w:rsid w:val="6A9B9A14"/>
    <w:rsid w:val="6A9CC432"/>
    <w:rsid w:val="6AA7CAD9"/>
    <w:rsid w:val="6AADC18F"/>
    <w:rsid w:val="6AB4CF38"/>
    <w:rsid w:val="6ABA8B6E"/>
    <w:rsid w:val="6ABC2A6C"/>
    <w:rsid w:val="6AC51F29"/>
    <w:rsid w:val="6AC52EBC"/>
    <w:rsid w:val="6ACB3B2E"/>
    <w:rsid w:val="6ACE1AFC"/>
    <w:rsid w:val="6AD30B7B"/>
    <w:rsid w:val="6AD6F15A"/>
    <w:rsid w:val="6AE27A6F"/>
    <w:rsid w:val="6AE65D78"/>
    <w:rsid w:val="6AE840BF"/>
    <w:rsid w:val="6AEFB1F0"/>
    <w:rsid w:val="6B062E7F"/>
    <w:rsid w:val="6B0B6CD9"/>
    <w:rsid w:val="6B158165"/>
    <w:rsid w:val="6B1ED1CC"/>
    <w:rsid w:val="6B241F2C"/>
    <w:rsid w:val="6B29C36F"/>
    <w:rsid w:val="6B2B981C"/>
    <w:rsid w:val="6B2C41E5"/>
    <w:rsid w:val="6B35D16B"/>
    <w:rsid w:val="6B38BC7C"/>
    <w:rsid w:val="6B3A003B"/>
    <w:rsid w:val="6B3F8229"/>
    <w:rsid w:val="6B45148C"/>
    <w:rsid w:val="6B485857"/>
    <w:rsid w:val="6B4B4A1E"/>
    <w:rsid w:val="6B5794B8"/>
    <w:rsid w:val="6B58CAD8"/>
    <w:rsid w:val="6B791DB9"/>
    <w:rsid w:val="6B7C53E6"/>
    <w:rsid w:val="6B80BF0F"/>
    <w:rsid w:val="6B88594E"/>
    <w:rsid w:val="6B8E8753"/>
    <w:rsid w:val="6B8F2FD0"/>
    <w:rsid w:val="6B96A85D"/>
    <w:rsid w:val="6B9AFCF9"/>
    <w:rsid w:val="6BA4613F"/>
    <w:rsid w:val="6BA4B30E"/>
    <w:rsid w:val="6BB07552"/>
    <w:rsid w:val="6BB6C7F2"/>
    <w:rsid w:val="6BBDA7C3"/>
    <w:rsid w:val="6BC32849"/>
    <w:rsid w:val="6BD3967F"/>
    <w:rsid w:val="6BD565F8"/>
    <w:rsid w:val="6BD58659"/>
    <w:rsid w:val="6BD6A5B2"/>
    <w:rsid w:val="6BD720D5"/>
    <w:rsid w:val="6BDFFA9E"/>
    <w:rsid w:val="6BE335EA"/>
    <w:rsid w:val="6BE6FD8E"/>
    <w:rsid w:val="6BF1413E"/>
    <w:rsid w:val="6BF616FF"/>
    <w:rsid w:val="6BFBCB6B"/>
    <w:rsid w:val="6C03F0BE"/>
    <w:rsid w:val="6C065E86"/>
    <w:rsid w:val="6C0E8DD3"/>
    <w:rsid w:val="6C1422D7"/>
    <w:rsid w:val="6C271EFB"/>
    <w:rsid w:val="6C2A1255"/>
    <w:rsid w:val="6C321CBE"/>
    <w:rsid w:val="6C363758"/>
    <w:rsid w:val="6C36E369"/>
    <w:rsid w:val="6C3C2A14"/>
    <w:rsid w:val="6C5860A8"/>
    <w:rsid w:val="6C61923B"/>
    <w:rsid w:val="6C7C4720"/>
    <w:rsid w:val="6C913AC7"/>
    <w:rsid w:val="6C93B589"/>
    <w:rsid w:val="6CB6F526"/>
    <w:rsid w:val="6CBBEA45"/>
    <w:rsid w:val="6CBC3FFC"/>
    <w:rsid w:val="6CC5CD84"/>
    <w:rsid w:val="6CCB4B54"/>
    <w:rsid w:val="6CCDD6F5"/>
    <w:rsid w:val="6CD2372B"/>
    <w:rsid w:val="6CDC132E"/>
    <w:rsid w:val="6CE6D15A"/>
    <w:rsid w:val="6CE6E782"/>
    <w:rsid w:val="6CF0EA31"/>
    <w:rsid w:val="6CF3BDBD"/>
    <w:rsid w:val="6CF96F35"/>
    <w:rsid w:val="6D02DA2C"/>
    <w:rsid w:val="6D0A0F5A"/>
    <w:rsid w:val="6D1E9E07"/>
    <w:rsid w:val="6D23EEED"/>
    <w:rsid w:val="6D25A4C2"/>
    <w:rsid w:val="6D27D90D"/>
    <w:rsid w:val="6D2DB017"/>
    <w:rsid w:val="6D34AE9D"/>
    <w:rsid w:val="6D4226D0"/>
    <w:rsid w:val="6D4834CC"/>
    <w:rsid w:val="6D49CEDA"/>
    <w:rsid w:val="6D550806"/>
    <w:rsid w:val="6D5FF3BD"/>
    <w:rsid w:val="6D60FE9E"/>
    <w:rsid w:val="6D646A5E"/>
    <w:rsid w:val="6D67DDF7"/>
    <w:rsid w:val="6D6F87FA"/>
    <w:rsid w:val="6D7AA84F"/>
    <w:rsid w:val="6D7BA209"/>
    <w:rsid w:val="6D7C0A4D"/>
    <w:rsid w:val="6D7C0BA9"/>
    <w:rsid w:val="6D850A78"/>
    <w:rsid w:val="6D896DE3"/>
    <w:rsid w:val="6D902825"/>
    <w:rsid w:val="6D95B2C2"/>
    <w:rsid w:val="6D985873"/>
    <w:rsid w:val="6D98FE0D"/>
    <w:rsid w:val="6DD2E9A3"/>
    <w:rsid w:val="6DE3E570"/>
    <w:rsid w:val="6DE7A8F4"/>
    <w:rsid w:val="6DEDDDAC"/>
    <w:rsid w:val="6DFA78C2"/>
    <w:rsid w:val="6DFEC39D"/>
    <w:rsid w:val="6E093B6D"/>
    <w:rsid w:val="6E0A3AE8"/>
    <w:rsid w:val="6E0D6675"/>
    <w:rsid w:val="6E1CCC65"/>
    <w:rsid w:val="6E2AF284"/>
    <w:rsid w:val="6E307A42"/>
    <w:rsid w:val="6E41B2F4"/>
    <w:rsid w:val="6E4A2643"/>
    <w:rsid w:val="6E4CAEC3"/>
    <w:rsid w:val="6E59D589"/>
    <w:rsid w:val="6E5E67AA"/>
    <w:rsid w:val="6E6EAAFA"/>
    <w:rsid w:val="6E7A1E02"/>
    <w:rsid w:val="6E871C1D"/>
    <w:rsid w:val="6E926ADB"/>
    <w:rsid w:val="6E9583A4"/>
    <w:rsid w:val="6EA2A5B2"/>
    <w:rsid w:val="6EA6580B"/>
    <w:rsid w:val="6EA6C6D9"/>
    <w:rsid w:val="6EB88D2B"/>
    <w:rsid w:val="6EBA3FD9"/>
    <w:rsid w:val="6EBA561D"/>
    <w:rsid w:val="6EC43D74"/>
    <w:rsid w:val="6ECF4584"/>
    <w:rsid w:val="6EE23786"/>
    <w:rsid w:val="6EFDF156"/>
    <w:rsid w:val="6F05934E"/>
    <w:rsid w:val="6F0AFB77"/>
    <w:rsid w:val="6F14D453"/>
    <w:rsid w:val="6F16585E"/>
    <w:rsid w:val="6F17FE54"/>
    <w:rsid w:val="6F18EFDD"/>
    <w:rsid w:val="6F1B0BDF"/>
    <w:rsid w:val="6F1BD395"/>
    <w:rsid w:val="6F2165DF"/>
    <w:rsid w:val="6F2B2CB4"/>
    <w:rsid w:val="6F2C3E42"/>
    <w:rsid w:val="6F2DE1BF"/>
    <w:rsid w:val="6F35B086"/>
    <w:rsid w:val="6F376ED5"/>
    <w:rsid w:val="6F37D6D5"/>
    <w:rsid w:val="6F3F74B3"/>
    <w:rsid w:val="6F4194B5"/>
    <w:rsid w:val="6F49C535"/>
    <w:rsid w:val="6F4FD5C3"/>
    <w:rsid w:val="6F58AF36"/>
    <w:rsid w:val="6F5AF5D5"/>
    <w:rsid w:val="6F693E24"/>
    <w:rsid w:val="6F699D55"/>
    <w:rsid w:val="6F6CC1B2"/>
    <w:rsid w:val="6F76859B"/>
    <w:rsid w:val="6F7A453F"/>
    <w:rsid w:val="6F7F0100"/>
    <w:rsid w:val="6F81D3CA"/>
    <w:rsid w:val="6F85374D"/>
    <w:rsid w:val="6F870B0E"/>
    <w:rsid w:val="6F8E94A2"/>
    <w:rsid w:val="6F9263BE"/>
    <w:rsid w:val="6F987D0B"/>
    <w:rsid w:val="6F9995CA"/>
    <w:rsid w:val="6F9A1611"/>
    <w:rsid w:val="6F9CF952"/>
    <w:rsid w:val="6FA568D6"/>
    <w:rsid w:val="6FA7906A"/>
    <w:rsid w:val="6FAF2741"/>
    <w:rsid w:val="6FC06E05"/>
    <w:rsid w:val="6FC29A2B"/>
    <w:rsid w:val="6FC8A332"/>
    <w:rsid w:val="6FCD78A5"/>
    <w:rsid w:val="6FD30A90"/>
    <w:rsid w:val="6FD8D91B"/>
    <w:rsid w:val="6FEB5181"/>
    <w:rsid w:val="6FED6F54"/>
    <w:rsid w:val="6FF88C14"/>
    <w:rsid w:val="6FFAABA6"/>
    <w:rsid w:val="6FFAB0E9"/>
    <w:rsid w:val="70029E2D"/>
    <w:rsid w:val="7011DF04"/>
    <w:rsid w:val="701771F4"/>
    <w:rsid w:val="701EFEBC"/>
    <w:rsid w:val="702A9D3C"/>
    <w:rsid w:val="702E5379"/>
    <w:rsid w:val="70309000"/>
    <w:rsid w:val="7031F734"/>
    <w:rsid w:val="7033E897"/>
    <w:rsid w:val="70358D4A"/>
    <w:rsid w:val="7037B4A3"/>
    <w:rsid w:val="70446A47"/>
    <w:rsid w:val="7045F686"/>
    <w:rsid w:val="70482608"/>
    <w:rsid w:val="7051BA33"/>
    <w:rsid w:val="705555B2"/>
    <w:rsid w:val="70569A8D"/>
    <w:rsid w:val="7069911E"/>
    <w:rsid w:val="706CA7BC"/>
    <w:rsid w:val="706F613F"/>
    <w:rsid w:val="7071EBF7"/>
    <w:rsid w:val="7073F61D"/>
    <w:rsid w:val="7085CDAE"/>
    <w:rsid w:val="708FCEC7"/>
    <w:rsid w:val="70911EA6"/>
    <w:rsid w:val="709C9523"/>
    <w:rsid w:val="70AD30C1"/>
    <w:rsid w:val="70ADCCCF"/>
    <w:rsid w:val="70B3D663"/>
    <w:rsid w:val="70C008CE"/>
    <w:rsid w:val="70C4AA40"/>
    <w:rsid w:val="70CE6203"/>
    <w:rsid w:val="70D17B2A"/>
    <w:rsid w:val="70DDBF73"/>
    <w:rsid w:val="70E229AF"/>
    <w:rsid w:val="70E8A7E5"/>
    <w:rsid w:val="70F2E334"/>
    <w:rsid w:val="70F2EC0B"/>
    <w:rsid w:val="70F62ECB"/>
    <w:rsid w:val="70FBECFB"/>
    <w:rsid w:val="70FEDB3A"/>
    <w:rsid w:val="71070F4C"/>
    <w:rsid w:val="71158C7B"/>
    <w:rsid w:val="71159F6D"/>
    <w:rsid w:val="7118AF9A"/>
    <w:rsid w:val="711958D2"/>
    <w:rsid w:val="711CBC70"/>
    <w:rsid w:val="711CD008"/>
    <w:rsid w:val="7120A026"/>
    <w:rsid w:val="71228391"/>
    <w:rsid w:val="7125475D"/>
    <w:rsid w:val="71384EF3"/>
    <w:rsid w:val="713B8BD3"/>
    <w:rsid w:val="713C7087"/>
    <w:rsid w:val="71417557"/>
    <w:rsid w:val="714D08B1"/>
    <w:rsid w:val="71519B97"/>
    <w:rsid w:val="715B3EB9"/>
    <w:rsid w:val="715DEDC7"/>
    <w:rsid w:val="71620744"/>
    <w:rsid w:val="716B20D4"/>
    <w:rsid w:val="716F7BA0"/>
    <w:rsid w:val="71808630"/>
    <w:rsid w:val="71821C80"/>
    <w:rsid w:val="7182D8EB"/>
    <w:rsid w:val="718BE3B0"/>
    <w:rsid w:val="71929E75"/>
    <w:rsid w:val="7194C477"/>
    <w:rsid w:val="719DBB15"/>
    <w:rsid w:val="71A195FC"/>
    <w:rsid w:val="71AAB988"/>
    <w:rsid w:val="71B01649"/>
    <w:rsid w:val="71B10D8E"/>
    <w:rsid w:val="71BC3D4A"/>
    <w:rsid w:val="71D06B15"/>
    <w:rsid w:val="71D84BA7"/>
    <w:rsid w:val="71EB9668"/>
    <w:rsid w:val="71ECDF68"/>
    <w:rsid w:val="71F5AE30"/>
    <w:rsid w:val="71FE0B61"/>
    <w:rsid w:val="72024690"/>
    <w:rsid w:val="720BAC9A"/>
    <w:rsid w:val="720DD17A"/>
    <w:rsid w:val="720E6F18"/>
    <w:rsid w:val="721DDE9F"/>
    <w:rsid w:val="721F531B"/>
    <w:rsid w:val="721F6894"/>
    <w:rsid w:val="72223D7A"/>
    <w:rsid w:val="72241A5E"/>
    <w:rsid w:val="722FF74B"/>
    <w:rsid w:val="7251E81A"/>
    <w:rsid w:val="72525927"/>
    <w:rsid w:val="72548514"/>
    <w:rsid w:val="72597CF4"/>
    <w:rsid w:val="725DB86B"/>
    <w:rsid w:val="7264F2C8"/>
    <w:rsid w:val="7271D839"/>
    <w:rsid w:val="72732E2A"/>
    <w:rsid w:val="727DE6CD"/>
    <w:rsid w:val="727F0D80"/>
    <w:rsid w:val="7280C925"/>
    <w:rsid w:val="7289F1D9"/>
    <w:rsid w:val="7292960F"/>
    <w:rsid w:val="72983DA0"/>
    <w:rsid w:val="729C3406"/>
    <w:rsid w:val="729CE21F"/>
    <w:rsid w:val="72A0D76E"/>
    <w:rsid w:val="72A94786"/>
    <w:rsid w:val="72A98C93"/>
    <w:rsid w:val="72B0A18C"/>
    <w:rsid w:val="72B0E31A"/>
    <w:rsid w:val="72B9E593"/>
    <w:rsid w:val="72D2E6D1"/>
    <w:rsid w:val="72D39C0B"/>
    <w:rsid w:val="72F30766"/>
    <w:rsid w:val="72F6A032"/>
    <w:rsid w:val="72FBBD01"/>
    <w:rsid w:val="72FCF914"/>
    <w:rsid w:val="730419E0"/>
    <w:rsid w:val="73042968"/>
    <w:rsid w:val="73070050"/>
    <w:rsid w:val="73186033"/>
    <w:rsid w:val="731CDE10"/>
    <w:rsid w:val="7327294A"/>
    <w:rsid w:val="732FF8C4"/>
    <w:rsid w:val="7330D015"/>
    <w:rsid w:val="73362443"/>
    <w:rsid w:val="7336CDEC"/>
    <w:rsid w:val="7345BC2F"/>
    <w:rsid w:val="734AD7B7"/>
    <w:rsid w:val="7355393E"/>
    <w:rsid w:val="7359E69C"/>
    <w:rsid w:val="73680BC2"/>
    <w:rsid w:val="736D51B0"/>
    <w:rsid w:val="73746AAB"/>
    <w:rsid w:val="73833575"/>
    <w:rsid w:val="7392AF5B"/>
    <w:rsid w:val="739B7A2B"/>
    <w:rsid w:val="739C4E1B"/>
    <w:rsid w:val="739DAC5C"/>
    <w:rsid w:val="73AC25CB"/>
    <w:rsid w:val="73ADD8D3"/>
    <w:rsid w:val="73B18D96"/>
    <w:rsid w:val="73B96831"/>
    <w:rsid w:val="73C48BD0"/>
    <w:rsid w:val="73CDC290"/>
    <w:rsid w:val="73CDEAC9"/>
    <w:rsid w:val="73D0686E"/>
    <w:rsid w:val="73D64062"/>
    <w:rsid w:val="73DADBE9"/>
    <w:rsid w:val="73DC30BB"/>
    <w:rsid w:val="73E3D2CC"/>
    <w:rsid w:val="73E53D2F"/>
    <w:rsid w:val="73E5C35B"/>
    <w:rsid w:val="73F589E3"/>
    <w:rsid w:val="73FBEF67"/>
    <w:rsid w:val="740A8D14"/>
    <w:rsid w:val="741065B8"/>
    <w:rsid w:val="741AE7BC"/>
    <w:rsid w:val="741DB3CB"/>
    <w:rsid w:val="741EDA1F"/>
    <w:rsid w:val="74212DEF"/>
    <w:rsid w:val="742F4BA1"/>
    <w:rsid w:val="7431DD4E"/>
    <w:rsid w:val="7433A0BF"/>
    <w:rsid w:val="7433E616"/>
    <w:rsid w:val="743517D4"/>
    <w:rsid w:val="7436F5BA"/>
    <w:rsid w:val="74370AF6"/>
    <w:rsid w:val="743E3F0E"/>
    <w:rsid w:val="743FCF21"/>
    <w:rsid w:val="744862CB"/>
    <w:rsid w:val="744FB33A"/>
    <w:rsid w:val="7460C687"/>
    <w:rsid w:val="7468FCD0"/>
    <w:rsid w:val="7469DDCE"/>
    <w:rsid w:val="746BAEA9"/>
    <w:rsid w:val="747372B3"/>
    <w:rsid w:val="74738275"/>
    <w:rsid w:val="74830BDD"/>
    <w:rsid w:val="74849CD0"/>
    <w:rsid w:val="748BF800"/>
    <w:rsid w:val="7498252E"/>
    <w:rsid w:val="749E9A15"/>
    <w:rsid w:val="74A7E04E"/>
    <w:rsid w:val="74B6BF34"/>
    <w:rsid w:val="74BDE292"/>
    <w:rsid w:val="74C07485"/>
    <w:rsid w:val="74C15A0D"/>
    <w:rsid w:val="74CC31D5"/>
    <w:rsid w:val="74CE91BE"/>
    <w:rsid w:val="74DE488F"/>
    <w:rsid w:val="74E21797"/>
    <w:rsid w:val="74F0594B"/>
    <w:rsid w:val="74F08DEB"/>
    <w:rsid w:val="74F8A5E5"/>
    <w:rsid w:val="7502089B"/>
    <w:rsid w:val="7507736D"/>
    <w:rsid w:val="750AFD3B"/>
    <w:rsid w:val="750EF543"/>
    <w:rsid w:val="7516E62E"/>
    <w:rsid w:val="75270D99"/>
    <w:rsid w:val="7533B6B6"/>
    <w:rsid w:val="7536E60B"/>
    <w:rsid w:val="753776D9"/>
    <w:rsid w:val="7538B858"/>
    <w:rsid w:val="753E7676"/>
    <w:rsid w:val="75403492"/>
    <w:rsid w:val="75457C66"/>
    <w:rsid w:val="75481DAE"/>
    <w:rsid w:val="754EA049"/>
    <w:rsid w:val="7552B679"/>
    <w:rsid w:val="75550DB8"/>
    <w:rsid w:val="75574440"/>
    <w:rsid w:val="7564BDF1"/>
    <w:rsid w:val="7569AB4E"/>
    <w:rsid w:val="75710A5A"/>
    <w:rsid w:val="757D4BE3"/>
    <w:rsid w:val="7583DCBB"/>
    <w:rsid w:val="75871A6E"/>
    <w:rsid w:val="75960A30"/>
    <w:rsid w:val="759B5827"/>
    <w:rsid w:val="75A3E0D7"/>
    <w:rsid w:val="75AE58A4"/>
    <w:rsid w:val="75CA8ADF"/>
    <w:rsid w:val="75D0523D"/>
    <w:rsid w:val="75D2790C"/>
    <w:rsid w:val="75D81CA0"/>
    <w:rsid w:val="75DC0474"/>
    <w:rsid w:val="75E0C8AA"/>
    <w:rsid w:val="75E7B333"/>
    <w:rsid w:val="75EAE84B"/>
    <w:rsid w:val="75ECD4C7"/>
    <w:rsid w:val="75EEED4E"/>
    <w:rsid w:val="75FCE876"/>
    <w:rsid w:val="76003C57"/>
    <w:rsid w:val="76118F57"/>
    <w:rsid w:val="7619F8D6"/>
    <w:rsid w:val="762446EF"/>
    <w:rsid w:val="7629394C"/>
    <w:rsid w:val="7633155B"/>
    <w:rsid w:val="76347050"/>
    <w:rsid w:val="763AA545"/>
    <w:rsid w:val="763D05B8"/>
    <w:rsid w:val="763D3A39"/>
    <w:rsid w:val="763DF38B"/>
    <w:rsid w:val="763EEADB"/>
    <w:rsid w:val="7645B0D0"/>
    <w:rsid w:val="7647219B"/>
    <w:rsid w:val="7647B09E"/>
    <w:rsid w:val="764C37ED"/>
    <w:rsid w:val="765DACEA"/>
    <w:rsid w:val="765F1697"/>
    <w:rsid w:val="7662B1B2"/>
    <w:rsid w:val="7668EF45"/>
    <w:rsid w:val="767763E4"/>
    <w:rsid w:val="7680817E"/>
    <w:rsid w:val="7683DAC8"/>
    <w:rsid w:val="769055BB"/>
    <w:rsid w:val="76905B1F"/>
    <w:rsid w:val="7699D4E1"/>
    <w:rsid w:val="76A6025F"/>
    <w:rsid w:val="76B8414F"/>
    <w:rsid w:val="76BCE702"/>
    <w:rsid w:val="76C64BB3"/>
    <w:rsid w:val="76CA21F0"/>
    <w:rsid w:val="76D10274"/>
    <w:rsid w:val="76DA6097"/>
    <w:rsid w:val="76DC6C57"/>
    <w:rsid w:val="76E0BACE"/>
    <w:rsid w:val="76E27DD4"/>
    <w:rsid w:val="76EB50EC"/>
    <w:rsid w:val="76F6D2DF"/>
    <w:rsid w:val="76F8BC36"/>
    <w:rsid w:val="76F8E3E0"/>
    <w:rsid w:val="77093722"/>
    <w:rsid w:val="770AF10E"/>
    <w:rsid w:val="77232E7C"/>
    <w:rsid w:val="77239F90"/>
    <w:rsid w:val="7725A348"/>
    <w:rsid w:val="772D480B"/>
    <w:rsid w:val="772D9E85"/>
    <w:rsid w:val="7733145E"/>
    <w:rsid w:val="77357EE4"/>
    <w:rsid w:val="773788BA"/>
    <w:rsid w:val="773F431D"/>
    <w:rsid w:val="77491224"/>
    <w:rsid w:val="774C41FE"/>
    <w:rsid w:val="7756828A"/>
    <w:rsid w:val="7757067F"/>
    <w:rsid w:val="775805F2"/>
    <w:rsid w:val="77632591"/>
    <w:rsid w:val="7767EADB"/>
    <w:rsid w:val="7770416A"/>
    <w:rsid w:val="77818C5C"/>
    <w:rsid w:val="7784A671"/>
    <w:rsid w:val="77973CBC"/>
    <w:rsid w:val="77CA4C15"/>
    <w:rsid w:val="77CC0075"/>
    <w:rsid w:val="77D7AED9"/>
    <w:rsid w:val="77DC842A"/>
    <w:rsid w:val="77E0AECA"/>
    <w:rsid w:val="77E452C3"/>
    <w:rsid w:val="77EF7021"/>
    <w:rsid w:val="77F74E0D"/>
    <w:rsid w:val="77FFE9CD"/>
    <w:rsid w:val="78002C48"/>
    <w:rsid w:val="7806FC00"/>
    <w:rsid w:val="781ABEF1"/>
    <w:rsid w:val="781DC379"/>
    <w:rsid w:val="78216B3E"/>
    <w:rsid w:val="7823012C"/>
    <w:rsid w:val="78268D88"/>
    <w:rsid w:val="782AE407"/>
    <w:rsid w:val="7858243D"/>
    <w:rsid w:val="78592E0D"/>
    <w:rsid w:val="785DB94E"/>
    <w:rsid w:val="7866F960"/>
    <w:rsid w:val="786813A7"/>
    <w:rsid w:val="786BD561"/>
    <w:rsid w:val="786F8029"/>
    <w:rsid w:val="7870CAB4"/>
    <w:rsid w:val="7871777B"/>
    <w:rsid w:val="78729871"/>
    <w:rsid w:val="7883FC30"/>
    <w:rsid w:val="788E0A0B"/>
    <w:rsid w:val="789CD634"/>
    <w:rsid w:val="78A9E8A2"/>
    <w:rsid w:val="78AAFE7F"/>
    <w:rsid w:val="78AF19FE"/>
    <w:rsid w:val="78B439BA"/>
    <w:rsid w:val="78B74145"/>
    <w:rsid w:val="78C667B5"/>
    <w:rsid w:val="78D4FC63"/>
    <w:rsid w:val="78D7EA1E"/>
    <w:rsid w:val="78DB3694"/>
    <w:rsid w:val="78DFDCB1"/>
    <w:rsid w:val="78DFFB4A"/>
    <w:rsid w:val="78E6FEEE"/>
    <w:rsid w:val="78E91F24"/>
    <w:rsid w:val="78F39D97"/>
    <w:rsid w:val="78F7544C"/>
    <w:rsid w:val="78F8EB0C"/>
    <w:rsid w:val="78FB490E"/>
    <w:rsid w:val="78FD43DE"/>
    <w:rsid w:val="78FE09FF"/>
    <w:rsid w:val="78FFCD6E"/>
    <w:rsid w:val="7905398B"/>
    <w:rsid w:val="7906879D"/>
    <w:rsid w:val="7906886E"/>
    <w:rsid w:val="790BD6F4"/>
    <w:rsid w:val="790C5BA4"/>
    <w:rsid w:val="790E101D"/>
    <w:rsid w:val="790FF4FE"/>
    <w:rsid w:val="79281BC5"/>
    <w:rsid w:val="792EDAB2"/>
    <w:rsid w:val="7933E818"/>
    <w:rsid w:val="793CF13A"/>
    <w:rsid w:val="7945A670"/>
    <w:rsid w:val="79492835"/>
    <w:rsid w:val="7955F2DC"/>
    <w:rsid w:val="795656BD"/>
    <w:rsid w:val="79592546"/>
    <w:rsid w:val="795C87FE"/>
    <w:rsid w:val="796AE39F"/>
    <w:rsid w:val="796BB9AC"/>
    <w:rsid w:val="798B5E21"/>
    <w:rsid w:val="79A14CED"/>
    <w:rsid w:val="79AC17F1"/>
    <w:rsid w:val="79AD67C4"/>
    <w:rsid w:val="79BA0A45"/>
    <w:rsid w:val="79C65447"/>
    <w:rsid w:val="79DDD712"/>
    <w:rsid w:val="79E79157"/>
    <w:rsid w:val="79F7C5F3"/>
    <w:rsid w:val="79FAA191"/>
    <w:rsid w:val="79FC2661"/>
    <w:rsid w:val="7A005342"/>
    <w:rsid w:val="7A04C6BC"/>
    <w:rsid w:val="7A05BD08"/>
    <w:rsid w:val="7A133787"/>
    <w:rsid w:val="7A164AFA"/>
    <w:rsid w:val="7A16B245"/>
    <w:rsid w:val="7A228EF8"/>
    <w:rsid w:val="7A247946"/>
    <w:rsid w:val="7A25BDF8"/>
    <w:rsid w:val="7A2924B2"/>
    <w:rsid w:val="7A31BF80"/>
    <w:rsid w:val="7A326303"/>
    <w:rsid w:val="7A3B7B68"/>
    <w:rsid w:val="7A4553FA"/>
    <w:rsid w:val="7A45DC3F"/>
    <w:rsid w:val="7A462372"/>
    <w:rsid w:val="7A4649EB"/>
    <w:rsid w:val="7A64360C"/>
    <w:rsid w:val="7A695A5F"/>
    <w:rsid w:val="7A7D6825"/>
    <w:rsid w:val="7A81DF58"/>
    <w:rsid w:val="7A89CB3F"/>
    <w:rsid w:val="7A8E6ACB"/>
    <w:rsid w:val="7A958738"/>
    <w:rsid w:val="7A9D13C9"/>
    <w:rsid w:val="7AA46C0F"/>
    <w:rsid w:val="7AA47A9B"/>
    <w:rsid w:val="7ACB4D40"/>
    <w:rsid w:val="7ADA1CF1"/>
    <w:rsid w:val="7AF0D83A"/>
    <w:rsid w:val="7AF86EF8"/>
    <w:rsid w:val="7B10395F"/>
    <w:rsid w:val="7B1D831B"/>
    <w:rsid w:val="7B249505"/>
    <w:rsid w:val="7B2F802A"/>
    <w:rsid w:val="7B3ADD29"/>
    <w:rsid w:val="7B48FAAF"/>
    <w:rsid w:val="7B4A58A4"/>
    <w:rsid w:val="7B5472B9"/>
    <w:rsid w:val="7B5A4D11"/>
    <w:rsid w:val="7B5AAAAB"/>
    <w:rsid w:val="7B5F9877"/>
    <w:rsid w:val="7B68AC4F"/>
    <w:rsid w:val="7B6958AD"/>
    <w:rsid w:val="7B72BDE2"/>
    <w:rsid w:val="7B765BB1"/>
    <w:rsid w:val="7B7A29E9"/>
    <w:rsid w:val="7B895408"/>
    <w:rsid w:val="7B8FB377"/>
    <w:rsid w:val="7B948AB6"/>
    <w:rsid w:val="7B9846D8"/>
    <w:rsid w:val="7B9FDE23"/>
    <w:rsid w:val="7BA0F04E"/>
    <w:rsid w:val="7BA1FBE8"/>
    <w:rsid w:val="7BADA98D"/>
    <w:rsid w:val="7BBA4A08"/>
    <w:rsid w:val="7BC57662"/>
    <w:rsid w:val="7BD14C68"/>
    <w:rsid w:val="7BD24738"/>
    <w:rsid w:val="7BD45BA7"/>
    <w:rsid w:val="7BD65617"/>
    <w:rsid w:val="7BE27019"/>
    <w:rsid w:val="7BE48160"/>
    <w:rsid w:val="7BF1004F"/>
    <w:rsid w:val="7BFB6CC9"/>
    <w:rsid w:val="7C0355A7"/>
    <w:rsid w:val="7C045E61"/>
    <w:rsid w:val="7C0AE11E"/>
    <w:rsid w:val="7C37422B"/>
    <w:rsid w:val="7C39EBD6"/>
    <w:rsid w:val="7C405D17"/>
    <w:rsid w:val="7C4B9CE5"/>
    <w:rsid w:val="7C4F9BA3"/>
    <w:rsid w:val="7C52A704"/>
    <w:rsid w:val="7C54ACC1"/>
    <w:rsid w:val="7C641AFE"/>
    <w:rsid w:val="7C71B502"/>
    <w:rsid w:val="7C7A8D06"/>
    <w:rsid w:val="7C7D489D"/>
    <w:rsid w:val="7C8DBFB5"/>
    <w:rsid w:val="7C96689D"/>
    <w:rsid w:val="7C9D1160"/>
    <w:rsid w:val="7C9D1406"/>
    <w:rsid w:val="7CA02780"/>
    <w:rsid w:val="7CA204C1"/>
    <w:rsid w:val="7CAC2B50"/>
    <w:rsid w:val="7CAFD6AF"/>
    <w:rsid w:val="7CB98120"/>
    <w:rsid w:val="7CBB2825"/>
    <w:rsid w:val="7CC06A92"/>
    <w:rsid w:val="7CC3C538"/>
    <w:rsid w:val="7CC484DC"/>
    <w:rsid w:val="7CC67B79"/>
    <w:rsid w:val="7CC7DF8D"/>
    <w:rsid w:val="7CDFA36E"/>
    <w:rsid w:val="7CE06D42"/>
    <w:rsid w:val="7CEB220B"/>
    <w:rsid w:val="7CF5EEF1"/>
    <w:rsid w:val="7CFD1851"/>
    <w:rsid w:val="7D06BAF4"/>
    <w:rsid w:val="7D070300"/>
    <w:rsid w:val="7D0AAD4D"/>
    <w:rsid w:val="7D0DD719"/>
    <w:rsid w:val="7D1B9239"/>
    <w:rsid w:val="7D1EEFFB"/>
    <w:rsid w:val="7D3A7A6D"/>
    <w:rsid w:val="7D4CA0AD"/>
    <w:rsid w:val="7D5B34EF"/>
    <w:rsid w:val="7D625C15"/>
    <w:rsid w:val="7D62B92A"/>
    <w:rsid w:val="7D6506DD"/>
    <w:rsid w:val="7D6933DE"/>
    <w:rsid w:val="7D6B9470"/>
    <w:rsid w:val="7D6C5D4A"/>
    <w:rsid w:val="7D6F484C"/>
    <w:rsid w:val="7D7EDC58"/>
    <w:rsid w:val="7D87B1ED"/>
    <w:rsid w:val="7D92BEED"/>
    <w:rsid w:val="7DA39560"/>
    <w:rsid w:val="7DA5DA38"/>
    <w:rsid w:val="7DB361B1"/>
    <w:rsid w:val="7DB4355F"/>
    <w:rsid w:val="7DC134F8"/>
    <w:rsid w:val="7DC279C2"/>
    <w:rsid w:val="7DD2A253"/>
    <w:rsid w:val="7DD6C5BB"/>
    <w:rsid w:val="7DE26D7B"/>
    <w:rsid w:val="7DE35F0A"/>
    <w:rsid w:val="7DEB53B0"/>
    <w:rsid w:val="7DEC3B68"/>
    <w:rsid w:val="7DF40382"/>
    <w:rsid w:val="7DF4A7AD"/>
    <w:rsid w:val="7DFC25C3"/>
    <w:rsid w:val="7E0C2C4B"/>
    <w:rsid w:val="7E0CA0B9"/>
    <w:rsid w:val="7E168C5E"/>
    <w:rsid w:val="7E213563"/>
    <w:rsid w:val="7E2BC56F"/>
    <w:rsid w:val="7E3899BD"/>
    <w:rsid w:val="7E3964CB"/>
    <w:rsid w:val="7E3E79F3"/>
    <w:rsid w:val="7E42A6B6"/>
    <w:rsid w:val="7E42CFB4"/>
    <w:rsid w:val="7E5C4F6A"/>
    <w:rsid w:val="7E66F2FC"/>
    <w:rsid w:val="7E7EE241"/>
    <w:rsid w:val="7E808D45"/>
    <w:rsid w:val="7E8731E5"/>
    <w:rsid w:val="7E87E8E6"/>
    <w:rsid w:val="7E89858C"/>
    <w:rsid w:val="7E9EA93B"/>
    <w:rsid w:val="7E9F3737"/>
    <w:rsid w:val="7EA1C37F"/>
    <w:rsid w:val="7EA53F31"/>
    <w:rsid w:val="7EA6AFB6"/>
    <w:rsid w:val="7EA8EAD5"/>
    <w:rsid w:val="7EB075BA"/>
    <w:rsid w:val="7EB0CC61"/>
    <w:rsid w:val="7EB0EFEA"/>
    <w:rsid w:val="7EC10A16"/>
    <w:rsid w:val="7ED4BB07"/>
    <w:rsid w:val="7EE8AF40"/>
    <w:rsid w:val="7EF6EAED"/>
    <w:rsid w:val="7EFC55A0"/>
    <w:rsid w:val="7EFCE69E"/>
    <w:rsid w:val="7F01BF43"/>
    <w:rsid w:val="7F07A701"/>
    <w:rsid w:val="7F08E4DA"/>
    <w:rsid w:val="7F0A1186"/>
    <w:rsid w:val="7F166987"/>
    <w:rsid w:val="7F1761BB"/>
    <w:rsid w:val="7F1C394D"/>
    <w:rsid w:val="7F213B70"/>
    <w:rsid w:val="7F25B921"/>
    <w:rsid w:val="7F30E1BA"/>
    <w:rsid w:val="7F370F8C"/>
    <w:rsid w:val="7F377D7F"/>
    <w:rsid w:val="7F37867E"/>
    <w:rsid w:val="7F44BA52"/>
    <w:rsid w:val="7F47A2C9"/>
    <w:rsid w:val="7F4C5F86"/>
    <w:rsid w:val="7F4C8F0E"/>
    <w:rsid w:val="7F4CE5CC"/>
    <w:rsid w:val="7F4FDD03"/>
    <w:rsid w:val="7F5F67E9"/>
    <w:rsid w:val="7F63A919"/>
    <w:rsid w:val="7F65E2A3"/>
    <w:rsid w:val="7F6A3952"/>
    <w:rsid w:val="7F6A5901"/>
    <w:rsid w:val="7F6E243A"/>
    <w:rsid w:val="7F7059F3"/>
    <w:rsid w:val="7F717DB0"/>
    <w:rsid w:val="7F7FA4AD"/>
    <w:rsid w:val="7F8BD38E"/>
    <w:rsid w:val="7F944603"/>
    <w:rsid w:val="7F99A5B0"/>
    <w:rsid w:val="7FAD54C0"/>
    <w:rsid w:val="7FB3FC2B"/>
    <w:rsid w:val="7FCF5E0E"/>
    <w:rsid w:val="7FDB3D1D"/>
    <w:rsid w:val="7FEAA17E"/>
    <w:rsid w:val="7FEC74F6"/>
    <w:rsid w:val="7FECA7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4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qFormat="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567"/>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E63F32"/>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E63F32"/>
    <w:pPr>
      <w:ind w:left="720"/>
      <w:contextualSpacing/>
    </w:pPr>
  </w:style>
  <w:style w:type="character" w:styleId="Hyperlink">
    <w:name w:val="Hyperlink"/>
    <w:basedOn w:val="DefaultParagraphFont"/>
    <w:uiPriority w:val="99"/>
    <w:rsid w:val="00E46291"/>
    <w:rPr>
      <w:color w:val="467886" w:themeColor="hyperlink"/>
      <w:u w:val="single"/>
    </w:rPr>
  </w:style>
  <w:style w:type="character" w:customStyle="1" w:styleId="UnresolvedMention">
    <w:name w:val="Unresolved Mention"/>
    <w:basedOn w:val="DefaultParagraphFont"/>
    <w:uiPriority w:val="99"/>
    <w:semiHidden/>
    <w:unhideWhenUsed/>
    <w:rsid w:val="00E46291"/>
    <w:rPr>
      <w:color w:val="605E5C"/>
      <w:shd w:val="clear" w:color="auto" w:fill="E1DFDD"/>
    </w:rPr>
  </w:style>
  <w:style w:type="paragraph" w:styleId="NormalWeb">
    <w:name w:val="Normal (Web)"/>
    <w:basedOn w:val="Normal"/>
    <w:uiPriority w:val="99"/>
    <w:qFormat/>
    <w:rsid w:val="001843FF"/>
    <w:rPr>
      <w:szCs w:val="24"/>
    </w:rPr>
  </w:style>
  <w:style w:type="character" w:styleId="CommentReference">
    <w:name w:val="annotation reference"/>
    <w:basedOn w:val="DefaultParagraphFont"/>
    <w:uiPriority w:val="99"/>
    <w:semiHidden/>
    <w:qFormat/>
    <w:rsid w:val="006D2859"/>
    <w:rPr>
      <w:sz w:val="16"/>
      <w:szCs w:val="16"/>
    </w:rPr>
  </w:style>
  <w:style w:type="paragraph" w:styleId="CommentText">
    <w:name w:val="annotation text"/>
    <w:basedOn w:val="Normal"/>
    <w:link w:val="CommentTextChar"/>
    <w:uiPriority w:val="99"/>
    <w:qFormat/>
    <w:rsid w:val="006D2859"/>
    <w:rPr>
      <w:sz w:val="20"/>
    </w:rPr>
  </w:style>
  <w:style w:type="character" w:customStyle="1" w:styleId="CommentTextChar">
    <w:name w:val="Comment Text Char"/>
    <w:basedOn w:val="DefaultParagraphFont"/>
    <w:link w:val="CommentText"/>
    <w:uiPriority w:val="99"/>
    <w:qFormat/>
    <w:rsid w:val="006D2859"/>
    <w:rPr>
      <w:sz w:val="20"/>
    </w:rPr>
  </w:style>
  <w:style w:type="paragraph" w:styleId="CommentSubject">
    <w:name w:val="annotation subject"/>
    <w:basedOn w:val="CommentText"/>
    <w:next w:val="CommentText"/>
    <w:link w:val="CommentSubjectChar"/>
    <w:uiPriority w:val="99"/>
    <w:semiHidden/>
    <w:rsid w:val="006D2859"/>
    <w:rPr>
      <w:b/>
      <w:bCs/>
    </w:rPr>
  </w:style>
  <w:style w:type="character" w:customStyle="1" w:styleId="CommentSubjectChar">
    <w:name w:val="Comment Subject Char"/>
    <w:basedOn w:val="CommentTextChar"/>
    <w:link w:val="CommentSubject"/>
    <w:uiPriority w:val="99"/>
    <w:semiHidden/>
    <w:rsid w:val="006D2859"/>
    <w:rPr>
      <w:b/>
      <w:bCs/>
      <w:sz w:val="20"/>
    </w:rPr>
  </w:style>
  <w:style w:type="character" w:customStyle="1" w:styleId="Mention">
    <w:name w:val="Mention"/>
    <w:basedOn w:val="DefaultParagraphFont"/>
    <w:uiPriority w:val="99"/>
    <w:unhideWhenUsed/>
    <w:rsid w:val="006D2859"/>
    <w:rPr>
      <w:color w:val="2B579A"/>
      <w:shd w:val="clear" w:color="auto" w:fill="E1DFDD"/>
    </w:rPr>
  </w:style>
  <w:style w:type="character" w:customStyle="1" w:styleId="FootnoteTextChar">
    <w:name w:val="Footnote Text Char"/>
    <w:basedOn w:val="DefaultParagraphFont"/>
    <w:link w:val="FootnoteText"/>
    <w:uiPriority w:val="99"/>
    <w:rsid w:val="00381E4C"/>
    <w:rPr>
      <w:sz w:val="20"/>
    </w:rPr>
  </w:style>
  <w:style w:type="paragraph" w:customStyle="1" w:styleId="DashEqual4">
    <w:name w:val="Dash Equal 4"/>
    <w:basedOn w:val="Normal"/>
    <w:rsid w:val="0031071F"/>
    <w:pPr>
      <w:numPr>
        <w:numId w:val="29"/>
      </w:numPr>
      <w:spacing w:before="120" w:after="120" w:line="360" w:lineRule="auto"/>
      <w:jc w:val="left"/>
    </w:pPr>
    <w:rPr>
      <w:rFonts w:eastAsiaTheme="minorHAnsi"/>
      <w:szCs w:val="22"/>
      <w:lang w:eastAsia="en-US"/>
    </w:rPr>
  </w:style>
  <w:style w:type="paragraph" w:styleId="Revision">
    <w:name w:val="Revision"/>
    <w:hidden/>
    <w:uiPriority w:val="99"/>
    <w:semiHidden/>
    <w:rsid w:val="00554685"/>
  </w:style>
  <w:style w:type="character" w:styleId="FollowedHyperlink">
    <w:name w:val="FollowedHyperlink"/>
    <w:basedOn w:val="DefaultParagraphFont"/>
    <w:uiPriority w:val="99"/>
    <w:semiHidden/>
    <w:rsid w:val="00D13F5F"/>
    <w:rPr>
      <w:color w:val="96607D" w:themeColor="followedHyperlink"/>
      <w:u w:val="single"/>
    </w:rPr>
  </w:style>
  <w:style w:type="character" w:customStyle="1" w:styleId="Marker">
    <w:name w:val="Marker"/>
    <w:basedOn w:val="DefaultParagraphFont"/>
    <w:rsid w:val="009D5428"/>
    <w:rPr>
      <w:color w:val="0000FF"/>
      <w:shd w:val="clear" w:color="auto" w:fill="auto"/>
    </w:rPr>
  </w:style>
  <w:style w:type="paragraph" w:customStyle="1" w:styleId="Pagedecouverture">
    <w:name w:val="Page de couverture"/>
    <w:basedOn w:val="Normal"/>
    <w:next w:val="Normal"/>
    <w:link w:val="PagedecouvertureChar"/>
    <w:rsid w:val="00BD6E9D"/>
    <w:pPr>
      <w:spacing w:after="0"/>
    </w:pPr>
    <w:rPr>
      <w:rFonts w:eastAsiaTheme="minorHAnsi"/>
      <w:szCs w:val="22"/>
      <w:lang w:eastAsia="en-US"/>
    </w:rPr>
  </w:style>
  <w:style w:type="paragraph" w:customStyle="1" w:styleId="FooterCoverPage">
    <w:name w:val="Footer Cover Page"/>
    <w:basedOn w:val="Normal"/>
    <w:link w:val="FooterCoverPageChar"/>
    <w:rsid w:val="00337252"/>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337252"/>
    <w:rPr>
      <w:rFonts w:eastAsiaTheme="minorHAnsi"/>
      <w:szCs w:val="22"/>
      <w:lang w:eastAsia="en-US"/>
    </w:rPr>
  </w:style>
  <w:style w:type="character" w:customStyle="1" w:styleId="FooterCoverPageChar">
    <w:name w:val="Footer Cover Page Char"/>
    <w:basedOn w:val="PagedecouvertureChar"/>
    <w:link w:val="FooterCoverPage"/>
    <w:rsid w:val="00337252"/>
    <w:rPr>
      <w:rFonts w:eastAsiaTheme="minorHAnsi"/>
      <w:szCs w:val="22"/>
      <w:lang w:eastAsia="en-US"/>
    </w:rPr>
  </w:style>
  <w:style w:type="paragraph" w:customStyle="1" w:styleId="FooterSensitivity">
    <w:name w:val="Footer Sensitivity"/>
    <w:basedOn w:val="Normal"/>
    <w:link w:val="FooterSensitivityChar"/>
    <w:rsid w:val="003372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337252"/>
    <w:rPr>
      <w:rFonts w:eastAsiaTheme="minorHAnsi"/>
      <w:b/>
      <w:sz w:val="32"/>
      <w:szCs w:val="22"/>
      <w:lang w:eastAsia="en-US"/>
    </w:rPr>
  </w:style>
  <w:style w:type="paragraph" w:customStyle="1" w:styleId="HeaderCoverPage">
    <w:name w:val="Header Cover Page"/>
    <w:basedOn w:val="Normal"/>
    <w:link w:val="HeaderCoverPageChar"/>
    <w:rsid w:val="00337252"/>
    <w:pPr>
      <w:tabs>
        <w:tab w:val="center" w:pos="4535"/>
        <w:tab w:val="right" w:pos="9071"/>
      </w:tabs>
      <w:spacing w:after="120"/>
    </w:pPr>
  </w:style>
  <w:style w:type="character" w:customStyle="1" w:styleId="HeaderCoverPageChar">
    <w:name w:val="Header Cover Page Char"/>
    <w:basedOn w:val="PagedecouvertureChar"/>
    <w:link w:val="HeaderCoverPage"/>
    <w:rsid w:val="00337252"/>
    <w:rPr>
      <w:rFonts w:eastAsiaTheme="minorHAnsi"/>
      <w:szCs w:val="22"/>
      <w:lang w:eastAsia="en-US"/>
    </w:rPr>
  </w:style>
  <w:style w:type="paragraph" w:customStyle="1" w:styleId="HeaderSensitivity">
    <w:name w:val="Header Sensitivity"/>
    <w:basedOn w:val="Normal"/>
    <w:link w:val="HeaderSensitivityChar"/>
    <w:rsid w:val="0033725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337252"/>
    <w:rPr>
      <w:rFonts w:eastAsiaTheme="minorHAnsi"/>
      <w:b/>
      <w:sz w:val="32"/>
      <w:szCs w:val="22"/>
      <w:lang w:eastAsia="en-US"/>
    </w:rPr>
  </w:style>
  <w:style w:type="paragraph" w:customStyle="1" w:styleId="HeaderSensitivityRight">
    <w:name w:val="Header Sensitivity Right"/>
    <w:basedOn w:val="Normal"/>
    <w:link w:val="HeaderSensitivityRightChar"/>
    <w:rsid w:val="00337252"/>
    <w:pPr>
      <w:spacing w:after="120"/>
      <w:jc w:val="right"/>
    </w:pPr>
    <w:rPr>
      <w:sz w:val="28"/>
    </w:rPr>
  </w:style>
  <w:style w:type="character" w:customStyle="1" w:styleId="HeaderSensitivityRightChar">
    <w:name w:val="Header Sensitivity Right Char"/>
    <w:basedOn w:val="PagedecouvertureChar"/>
    <w:link w:val="HeaderSensitivityRight"/>
    <w:rsid w:val="00337252"/>
    <w:rPr>
      <w:rFonts w:eastAsiaTheme="minorHAnsi"/>
      <w:sz w:val="28"/>
      <w:szCs w:val="22"/>
      <w:lang w:eastAsia="en-US"/>
    </w:rPr>
  </w:style>
  <w:style w:type="paragraph" w:customStyle="1" w:styleId="Body">
    <w:name w:val="Body"/>
    <w:rsid w:val="0075030C"/>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de-DE" w:eastAsia="de-DE"/>
      <w14:textOutline w14:w="0" w14:cap="flat" w14:cmpd="sng" w14:algn="ctr">
        <w14:noFill/>
        <w14:prstDash w14:val="solid"/>
        <w14:bevel/>
      </w14:textOutline>
    </w:rPr>
  </w:style>
  <w:style w:type="character" w:customStyle="1" w:styleId="FooterChar">
    <w:name w:val="Footer Char"/>
    <w:basedOn w:val="DefaultParagraphFont"/>
    <w:link w:val="Footer"/>
    <w:uiPriority w:val="99"/>
    <w:rsid w:val="002611E5"/>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9056">
      <w:bodyDiv w:val="1"/>
      <w:marLeft w:val="0"/>
      <w:marRight w:val="0"/>
      <w:marTop w:val="0"/>
      <w:marBottom w:val="0"/>
      <w:divBdr>
        <w:top w:val="none" w:sz="0" w:space="0" w:color="auto"/>
        <w:left w:val="none" w:sz="0" w:space="0" w:color="auto"/>
        <w:bottom w:val="none" w:sz="0" w:space="0" w:color="auto"/>
        <w:right w:val="none" w:sz="0" w:space="0" w:color="auto"/>
      </w:divBdr>
    </w:div>
    <w:div w:id="7173893">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sChild>
        <w:div w:id="1145513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90584">
      <w:bodyDiv w:val="1"/>
      <w:marLeft w:val="0"/>
      <w:marRight w:val="0"/>
      <w:marTop w:val="0"/>
      <w:marBottom w:val="0"/>
      <w:divBdr>
        <w:top w:val="none" w:sz="0" w:space="0" w:color="auto"/>
        <w:left w:val="none" w:sz="0" w:space="0" w:color="auto"/>
        <w:bottom w:val="none" w:sz="0" w:space="0" w:color="auto"/>
        <w:right w:val="none" w:sz="0" w:space="0" w:color="auto"/>
      </w:divBdr>
    </w:div>
    <w:div w:id="21247937">
      <w:bodyDiv w:val="1"/>
      <w:marLeft w:val="0"/>
      <w:marRight w:val="0"/>
      <w:marTop w:val="0"/>
      <w:marBottom w:val="0"/>
      <w:divBdr>
        <w:top w:val="none" w:sz="0" w:space="0" w:color="auto"/>
        <w:left w:val="none" w:sz="0" w:space="0" w:color="auto"/>
        <w:bottom w:val="none" w:sz="0" w:space="0" w:color="auto"/>
        <w:right w:val="none" w:sz="0" w:space="0" w:color="auto"/>
      </w:divBdr>
    </w:div>
    <w:div w:id="31465520">
      <w:bodyDiv w:val="1"/>
      <w:marLeft w:val="0"/>
      <w:marRight w:val="0"/>
      <w:marTop w:val="0"/>
      <w:marBottom w:val="0"/>
      <w:divBdr>
        <w:top w:val="none" w:sz="0" w:space="0" w:color="auto"/>
        <w:left w:val="none" w:sz="0" w:space="0" w:color="auto"/>
        <w:bottom w:val="none" w:sz="0" w:space="0" w:color="auto"/>
        <w:right w:val="none" w:sz="0" w:space="0" w:color="auto"/>
      </w:divBdr>
    </w:div>
    <w:div w:id="36467206">
      <w:bodyDiv w:val="1"/>
      <w:marLeft w:val="0"/>
      <w:marRight w:val="0"/>
      <w:marTop w:val="0"/>
      <w:marBottom w:val="0"/>
      <w:divBdr>
        <w:top w:val="none" w:sz="0" w:space="0" w:color="auto"/>
        <w:left w:val="none" w:sz="0" w:space="0" w:color="auto"/>
        <w:bottom w:val="none" w:sz="0" w:space="0" w:color="auto"/>
        <w:right w:val="none" w:sz="0" w:space="0" w:color="auto"/>
      </w:divBdr>
      <w:divsChild>
        <w:div w:id="514030087">
          <w:marLeft w:val="0"/>
          <w:marRight w:val="0"/>
          <w:marTop w:val="225"/>
          <w:marBottom w:val="300"/>
          <w:divBdr>
            <w:top w:val="none" w:sz="0" w:space="0" w:color="auto"/>
            <w:left w:val="none" w:sz="0" w:space="0" w:color="auto"/>
            <w:bottom w:val="none" w:sz="0" w:space="0" w:color="auto"/>
            <w:right w:val="none" w:sz="0" w:space="0" w:color="auto"/>
          </w:divBdr>
          <w:divsChild>
            <w:div w:id="7088455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034249">
      <w:bodyDiv w:val="1"/>
      <w:marLeft w:val="0"/>
      <w:marRight w:val="0"/>
      <w:marTop w:val="0"/>
      <w:marBottom w:val="0"/>
      <w:divBdr>
        <w:top w:val="none" w:sz="0" w:space="0" w:color="auto"/>
        <w:left w:val="none" w:sz="0" w:space="0" w:color="auto"/>
        <w:bottom w:val="none" w:sz="0" w:space="0" w:color="auto"/>
        <w:right w:val="none" w:sz="0" w:space="0" w:color="auto"/>
      </w:divBdr>
    </w:div>
    <w:div w:id="58217139">
      <w:bodyDiv w:val="1"/>
      <w:marLeft w:val="0"/>
      <w:marRight w:val="0"/>
      <w:marTop w:val="0"/>
      <w:marBottom w:val="0"/>
      <w:divBdr>
        <w:top w:val="none" w:sz="0" w:space="0" w:color="auto"/>
        <w:left w:val="none" w:sz="0" w:space="0" w:color="auto"/>
        <w:bottom w:val="none" w:sz="0" w:space="0" w:color="auto"/>
        <w:right w:val="none" w:sz="0" w:space="0" w:color="auto"/>
      </w:divBdr>
    </w:div>
    <w:div w:id="58988768">
      <w:bodyDiv w:val="1"/>
      <w:marLeft w:val="0"/>
      <w:marRight w:val="0"/>
      <w:marTop w:val="0"/>
      <w:marBottom w:val="0"/>
      <w:divBdr>
        <w:top w:val="none" w:sz="0" w:space="0" w:color="auto"/>
        <w:left w:val="none" w:sz="0" w:space="0" w:color="auto"/>
        <w:bottom w:val="none" w:sz="0" w:space="0" w:color="auto"/>
        <w:right w:val="none" w:sz="0" w:space="0" w:color="auto"/>
      </w:divBdr>
    </w:div>
    <w:div w:id="101385372">
      <w:bodyDiv w:val="1"/>
      <w:marLeft w:val="0"/>
      <w:marRight w:val="0"/>
      <w:marTop w:val="0"/>
      <w:marBottom w:val="0"/>
      <w:divBdr>
        <w:top w:val="none" w:sz="0" w:space="0" w:color="auto"/>
        <w:left w:val="none" w:sz="0" w:space="0" w:color="auto"/>
        <w:bottom w:val="none" w:sz="0" w:space="0" w:color="auto"/>
        <w:right w:val="none" w:sz="0" w:space="0" w:color="auto"/>
      </w:divBdr>
      <w:divsChild>
        <w:div w:id="49889675">
          <w:marLeft w:val="0"/>
          <w:marRight w:val="0"/>
          <w:marTop w:val="0"/>
          <w:marBottom w:val="0"/>
          <w:divBdr>
            <w:top w:val="none" w:sz="0" w:space="0" w:color="auto"/>
            <w:left w:val="none" w:sz="0" w:space="0" w:color="auto"/>
            <w:bottom w:val="none" w:sz="0" w:space="0" w:color="auto"/>
            <w:right w:val="none" w:sz="0" w:space="0" w:color="auto"/>
          </w:divBdr>
          <w:divsChild>
            <w:div w:id="1739135738">
              <w:marLeft w:val="0"/>
              <w:marRight w:val="0"/>
              <w:marTop w:val="0"/>
              <w:marBottom w:val="0"/>
              <w:divBdr>
                <w:top w:val="none" w:sz="0" w:space="0" w:color="auto"/>
                <w:left w:val="none" w:sz="0" w:space="0" w:color="auto"/>
                <w:bottom w:val="none" w:sz="0" w:space="0" w:color="auto"/>
                <w:right w:val="none" w:sz="0" w:space="0" w:color="auto"/>
              </w:divBdr>
              <w:divsChild>
                <w:div w:id="264849549">
                  <w:marLeft w:val="0"/>
                  <w:marRight w:val="0"/>
                  <w:marTop w:val="0"/>
                  <w:marBottom w:val="0"/>
                  <w:divBdr>
                    <w:top w:val="none" w:sz="0" w:space="0" w:color="auto"/>
                    <w:left w:val="none" w:sz="0" w:space="0" w:color="auto"/>
                    <w:bottom w:val="none" w:sz="0" w:space="0" w:color="auto"/>
                    <w:right w:val="none" w:sz="0" w:space="0" w:color="auto"/>
                  </w:divBdr>
                  <w:divsChild>
                    <w:div w:id="1807115735">
                      <w:marLeft w:val="0"/>
                      <w:marRight w:val="0"/>
                      <w:marTop w:val="0"/>
                      <w:marBottom w:val="0"/>
                      <w:divBdr>
                        <w:top w:val="none" w:sz="0" w:space="0" w:color="auto"/>
                        <w:left w:val="none" w:sz="0" w:space="0" w:color="auto"/>
                        <w:bottom w:val="none" w:sz="0" w:space="0" w:color="auto"/>
                        <w:right w:val="none" w:sz="0" w:space="0" w:color="auto"/>
                      </w:divBdr>
                      <w:divsChild>
                        <w:div w:id="1335955967">
                          <w:marLeft w:val="0"/>
                          <w:marRight w:val="0"/>
                          <w:marTop w:val="0"/>
                          <w:marBottom w:val="0"/>
                          <w:divBdr>
                            <w:top w:val="none" w:sz="0" w:space="0" w:color="auto"/>
                            <w:left w:val="none" w:sz="0" w:space="0" w:color="auto"/>
                            <w:bottom w:val="none" w:sz="0" w:space="0" w:color="auto"/>
                            <w:right w:val="none" w:sz="0" w:space="0" w:color="auto"/>
                          </w:divBdr>
                          <w:divsChild>
                            <w:div w:id="534849998">
                              <w:marLeft w:val="0"/>
                              <w:marRight w:val="0"/>
                              <w:marTop w:val="0"/>
                              <w:marBottom w:val="0"/>
                              <w:divBdr>
                                <w:top w:val="none" w:sz="0" w:space="0" w:color="auto"/>
                                <w:left w:val="none" w:sz="0" w:space="0" w:color="auto"/>
                                <w:bottom w:val="none" w:sz="0" w:space="0" w:color="auto"/>
                                <w:right w:val="none" w:sz="0" w:space="0" w:color="auto"/>
                              </w:divBdr>
                              <w:divsChild>
                                <w:div w:id="1406296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7627">
      <w:bodyDiv w:val="1"/>
      <w:marLeft w:val="0"/>
      <w:marRight w:val="0"/>
      <w:marTop w:val="0"/>
      <w:marBottom w:val="0"/>
      <w:divBdr>
        <w:top w:val="none" w:sz="0" w:space="0" w:color="auto"/>
        <w:left w:val="none" w:sz="0" w:space="0" w:color="auto"/>
        <w:bottom w:val="none" w:sz="0" w:space="0" w:color="auto"/>
        <w:right w:val="none" w:sz="0" w:space="0" w:color="auto"/>
      </w:divBdr>
    </w:div>
    <w:div w:id="103693816">
      <w:bodyDiv w:val="1"/>
      <w:marLeft w:val="0"/>
      <w:marRight w:val="0"/>
      <w:marTop w:val="0"/>
      <w:marBottom w:val="0"/>
      <w:divBdr>
        <w:top w:val="none" w:sz="0" w:space="0" w:color="auto"/>
        <w:left w:val="none" w:sz="0" w:space="0" w:color="auto"/>
        <w:bottom w:val="none" w:sz="0" w:space="0" w:color="auto"/>
        <w:right w:val="none" w:sz="0" w:space="0" w:color="auto"/>
      </w:divBdr>
      <w:divsChild>
        <w:div w:id="244412527">
          <w:marLeft w:val="0"/>
          <w:marRight w:val="0"/>
          <w:marTop w:val="0"/>
          <w:marBottom w:val="0"/>
          <w:divBdr>
            <w:top w:val="none" w:sz="0" w:space="0" w:color="auto"/>
            <w:left w:val="none" w:sz="0" w:space="0" w:color="auto"/>
            <w:bottom w:val="none" w:sz="0" w:space="0" w:color="auto"/>
            <w:right w:val="none" w:sz="0" w:space="0" w:color="auto"/>
          </w:divBdr>
          <w:divsChild>
            <w:div w:id="1661546263">
              <w:marLeft w:val="0"/>
              <w:marRight w:val="0"/>
              <w:marTop w:val="0"/>
              <w:marBottom w:val="0"/>
              <w:divBdr>
                <w:top w:val="none" w:sz="0" w:space="0" w:color="auto"/>
                <w:left w:val="none" w:sz="0" w:space="0" w:color="auto"/>
                <w:bottom w:val="none" w:sz="0" w:space="0" w:color="auto"/>
                <w:right w:val="none" w:sz="0" w:space="0" w:color="auto"/>
              </w:divBdr>
              <w:divsChild>
                <w:div w:id="1246527469">
                  <w:marLeft w:val="0"/>
                  <w:marRight w:val="0"/>
                  <w:marTop w:val="0"/>
                  <w:marBottom w:val="0"/>
                  <w:divBdr>
                    <w:top w:val="none" w:sz="0" w:space="0" w:color="auto"/>
                    <w:left w:val="none" w:sz="0" w:space="0" w:color="auto"/>
                    <w:bottom w:val="none" w:sz="0" w:space="0" w:color="auto"/>
                    <w:right w:val="none" w:sz="0" w:space="0" w:color="auto"/>
                  </w:divBdr>
                  <w:divsChild>
                    <w:div w:id="1310747624">
                      <w:marLeft w:val="0"/>
                      <w:marRight w:val="0"/>
                      <w:marTop w:val="0"/>
                      <w:marBottom w:val="0"/>
                      <w:divBdr>
                        <w:top w:val="none" w:sz="0" w:space="0" w:color="auto"/>
                        <w:left w:val="none" w:sz="0" w:space="0" w:color="auto"/>
                        <w:bottom w:val="none" w:sz="0" w:space="0" w:color="auto"/>
                        <w:right w:val="none" w:sz="0" w:space="0" w:color="auto"/>
                      </w:divBdr>
                      <w:divsChild>
                        <w:div w:id="1228611301">
                          <w:marLeft w:val="0"/>
                          <w:marRight w:val="0"/>
                          <w:marTop w:val="0"/>
                          <w:marBottom w:val="0"/>
                          <w:divBdr>
                            <w:top w:val="none" w:sz="0" w:space="0" w:color="auto"/>
                            <w:left w:val="none" w:sz="0" w:space="0" w:color="auto"/>
                            <w:bottom w:val="none" w:sz="0" w:space="0" w:color="auto"/>
                            <w:right w:val="none" w:sz="0" w:space="0" w:color="auto"/>
                          </w:divBdr>
                          <w:divsChild>
                            <w:div w:id="830174008">
                              <w:marLeft w:val="0"/>
                              <w:marRight w:val="0"/>
                              <w:marTop w:val="0"/>
                              <w:marBottom w:val="0"/>
                              <w:divBdr>
                                <w:top w:val="none" w:sz="0" w:space="0" w:color="auto"/>
                                <w:left w:val="none" w:sz="0" w:space="0" w:color="auto"/>
                                <w:bottom w:val="none" w:sz="0" w:space="0" w:color="auto"/>
                                <w:right w:val="none" w:sz="0" w:space="0" w:color="auto"/>
                              </w:divBdr>
                              <w:divsChild>
                                <w:div w:id="2007398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66002">
      <w:bodyDiv w:val="1"/>
      <w:marLeft w:val="0"/>
      <w:marRight w:val="0"/>
      <w:marTop w:val="0"/>
      <w:marBottom w:val="0"/>
      <w:divBdr>
        <w:top w:val="none" w:sz="0" w:space="0" w:color="auto"/>
        <w:left w:val="none" w:sz="0" w:space="0" w:color="auto"/>
        <w:bottom w:val="none" w:sz="0" w:space="0" w:color="auto"/>
        <w:right w:val="none" w:sz="0" w:space="0" w:color="auto"/>
      </w:divBdr>
    </w:div>
    <w:div w:id="129057392">
      <w:bodyDiv w:val="1"/>
      <w:marLeft w:val="0"/>
      <w:marRight w:val="0"/>
      <w:marTop w:val="0"/>
      <w:marBottom w:val="0"/>
      <w:divBdr>
        <w:top w:val="none" w:sz="0" w:space="0" w:color="auto"/>
        <w:left w:val="none" w:sz="0" w:space="0" w:color="auto"/>
        <w:bottom w:val="none" w:sz="0" w:space="0" w:color="auto"/>
        <w:right w:val="none" w:sz="0" w:space="0" w:color="auto"/>
      </w:divBdr>
    </w:div>
    <w:div w:id="133497108">
      <w:bodyDiv w:val="1"/>
      <w:marLeft w:val="0"/>
      <w:marRight w:val="0"/>
      <w:marTop w:val="0"/>
      <w:marBottom w:val="0"/>
      <w:divBdr>
        <w:top w:val="none" w:sz="0" w:space="0" w:color="auto"/>
        <w:left w:val="none" w:sz="0" w:space="0" w:color="auto"/>
        <w:bottom w:val="none" w:sz="0" w:space="0" w:color="auto"/>
        <w:right w:val="none" w:sz="0" w:space="0" w:color="auto"/>
      </w:divBdr>
    </w:div>
    <w:div w:id="137187781">
      <w:bodyDiv w:val="1"/>
      <w:marLeft w:val="0"/>
      <w:marRight w:val="0"/>
      <w:marTop w:val="0"/>
      <w:marBottom w:val="0"/>
      <w:divBdr>
        <w:top w:val="none" w:sz="0" w:space="0" w:color="auto"/>
        <w:left w:val="none" w:sz="0" w:space="0" w:color="auto"/>
        <w:bottom w:val="none" w:sz="0" w:space="0" w:color="auto"/>
        <w:right w:val="none" w:sz="0" w:space="0" w:color="auto"/>
      </w:divBdr>
    </w:div>
    <w:div w:id="142164486">
      <w:bodyDiv w:val="1"/>
      <w:marLeft w:val="0"/>
      <w:marRight w:val="0"/>
      <w:marTop w:val="0"/>
      <w:marBottom w:val="0"/>
      <w:divBdr>
        <w:top w:val="none" w:sz="0" w:space="0" w:color="auto"/>
        <w:left w:val="none" w:sz="0" w:space="0" w:color="auto"/>
        <w:bottom w:val="none" w:sz="0" w:space="0" w:color="auto"/>
        <w:right w:val="none" w:sz="0" w:space="0" w:color="auto"/>
      </w:divBdr>
    </w:div>
    <w:div w:id="151994811">
      <w:bodyDiv w:val="1"/>
      <w:marLeft w:val="0"/>
      <w:marRight w:val="0"/>
      <w:marTop w:val="0"/>
      <w:marBottom w:val="0"/>
      <w:divBdr>
        <w:top w:val="none" w:sz="0" w:space="0" w:color="auto"/>
        <w:left w:val="none" w:sz="0" w:space="0" w:color="auto"/>
        <w:bottom w:val="none" w:sz="0" w:space="0" w:color="auto"/>
        <w:right w:val="none" w:sz="0" w:space="0" w:color="auto"/>
      </w:divBdr>
    </w:div>
    <w:div w:id="153112274">
      <w:bodyDiv w:val="1"/>
      <w:marLeft w:val="0"/>
      <w:marRight w:val="0"/>
      <w:marTop w:val="0"/>
      <w:marBottom w:val="0"/>
      <w:divBdr>
        <w:top w:val="none" w:sz="0" w:space="0" w:color="auto"/>
        <w:left w:val="none" w:sz="0" w:space="0" w:color="auto"/>
        <w:bottom w:val="none" w:sz="0" w:space="0" w:color="auto"/>
        <w:right w:val="none" w:sz="0" w:space="0" w:color="auto"/>
      </w:divBdr>
      <w:divsChild>
        <w:div w:id="1641307596">
          <w:marLeft w:val="0"/>
          <w:marRight w:val="0"/>
          <w:marTop w:val="0"/>
          <w:marBottom w:val="0"/>
          <w:divBdr>
            <w:top w:val="none" w:sz="0" w:space="0" w:color="auto"/>
            <w:left w:val="none" w:sz="0" w:space="0" w:color="auto"/>
            <w:bottom w:val="none" w:sz="0" w:space="0" w:color="auto"/>
            <w:right w:val="none" w:sz="0" w:space="0" w:color="auto"/>
          </w:divBdr>
          <w:divsChild>
            <w:div w:id="1060592045">
              <w:marLeft w:val="0"/>
              <w:marRight w:val="0"/>
              <w:marTop w:val="0"/>
              <w:marBottom w:val="0"/>
              <w:divBdr>
                <w:top w:val="none" w:sz="0" w:space="0" w:color="auto"/>
                <w:left w:val="none" w:sz="0" w:space="0" w:color="auto"/>
                <w:bottom w:val="none" w:sz="0" w:space="0" w:color="auto"/>
                <w:right w:val="none" w:sz="0" w:space="0" w:color="auto"/>
              </w:divBdr>
              <w:divsChild>
                <w:div w:id="202522220">
                  <w:marLeft w:val="0"/>
                  <w:marRight w:val="0"/>
                  <w:marTop w:val="0"/>
                  <w:marBottom w:val="0"/>
                  <w:divBdr>
                    <w:top w:val="none" w:sz="0" w:space="0" w:color="auto"/>
                    <w:left w:val="none" w:sz="0" w:space="0" w:color="auto"/>
                    <w:bottom w:val="none" w:sz="0" w:space="0" w:color="auto"/>
                    <w:right w:val="none" w:sz="0" w:space="0" w:color="auto"/>
                  </w:divBdr>
                  <w:divsChild>
                    <w:div w:id="2039887556">
                      <w:marLeft w:val="0"/>
                      <w:marRight w:val="0"/>
                      <w:marTop w:val="0"/>
                      <w:marBottom w:val="0"/>
                      <w:divBdr>
                        <w:top w:val="none" w:sz="0" w:space="0" w:color="auto"/>
                        <w:left w:val="none" w:sz="0" w:space="0" w:color="auto"/>
                        <w:bottom w:val="none" w:sz="0" w:space="0" w:color="auto"/>
                        <w:right w:val="none" w:sz="0" w:space="0" w:color="auto"/>
                      </w:divBdr>
                      <w:divsChild>
                        <w:div w:id="1895777678">
                          <w:marLeft w:val="0"/>
                          <w:marRight w:val="0"/>
                          <w:marTop w:val="0"/>
                          <w:marBottom w:val="0"/>
                          <w:divBdr>
                            <w:top w:val="none" w:sz="0" w:space="0" w:color="auto"/>
                            <w:left w:val="none" w:sz="0" w:space="0" w:color="auto"/>
                            <w:bottom w:val="none" w:sz="0" w:space="0" w:color="auto"/>
                            <w:right w:val="none" w:sz="0" w:space="0" w:color="auto"/>
                          </w:divBdr>
                          <w:divsChild>
                            <w:div w:id="2004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38577">
      <w:bodyDiv w:val="1"/>
      <w:marLeft w:val="0"/>
      <w:marRight w:val="0"/>
      <w:marTop w:val="0"/>
      <w:marBottom w:val="0"/>
      <w:divBdr>
        <w:top w:val="none" w:sz="0" w:space="0" w:color="auto"/>
        <w:left w:val="none" w:sz="0" w:space="0" w:color="auto"/>
        <w:bottom w:val="none" w:sz="0" w:space="0" w:color="auto"/>
        <w:right w:val="none" w:sz="0" w:space="0" w:color="auto"/>
      </w:divBdr>
    </w:div>
    <w:div w:id="157113154">
      <w:bodyDiv w:val="1"/>
      <w:marLeft w:val="0"/>
      <w:marRight w:val="0"/>
      <w:marTop w:val="0"/>
      <w:marBottom w:val="0"/>
      <w:divBdr>
        <w:top w:val="none" w:sz="0" w:space="0" w:color="auto"/>
        <w:left w:val="none" w:sz="0" w:space="0" w:color="auto"/>
        <w:bottom w:val="none" w:sz="0" w:space="0" w:color="auto"/>
        <w:right w:val="none" w:sz="0" w:space="0" w:color="auto"/>
      </w:divBdr>
    </w:div>
    <w:div w:id="168758807">
      <w:bodyDiv w:val="1"/>
      <w:marLeft w:val="0"/>
      <w:marRight w:val="0"/>
      <w:marTop w:val="0"/>
      <w:marBottom w:val="0"/>
      <w:divBdr>
        <w:top w:val="none" w:sz="0" w:space="0" w:color="auto"/>
        <w:left w:val="none" w:sz="0" w:space="0" w:color="auto"/>
        <w:bottom w:val="none" w:sz="0" w:space="0" w:color="auto"/>
        <w:right w:val="none" w:sz="0" w:space="0" w:color="auto"/>
      </w:divBdr>
    </w:div>
    <w:div w:id="169761405">
      <w:bodyDiv w:val="1"/>
      <w:marLeft w:val="0"/>
      <w:marRight w:val="0"/>
      <w:marTop w:val="0"/>
      <w:marBottom w:val="0"/>
      <w:divBdr>
        <w:top w:val="none" w:sz="0" w:space="0" w:color="auto"/>
        <w:left w:val="none" w:sz="0" w:space="0" w:color="auto"/>
        <w:bottom w:val="none" w:sz="0" w:space="0" w:color="auto"/>
        <w:right w:val="none" w:sz="0" w:space="0" w:color="auto"/>
      </w:divBdr>
    </w:div>
    <w:div w:id="171721592">
      <w:bodyDiv w:val="1"/>
      <w:marLeft w:val="0"/>
      <w:marRight w:val="0"/>
      <w:marTop w:val="0"/>
      <w:marBottom w:val="0"/>
      <w:divBdr>
        <w:top w:val="none" w:sz="0" w:space="0" w:color="auto"/>
        <w:left w:val="none" w:sz="0" w:space="0" w:color="auto"/>
        <w:bottom w:val="none" w:sz="0" w:space="0" w:color="auto"/>
        <w:right w:val="none" w:sz="0" w:space="0" w:color="auto"/>
      </w:divBdr>
    </w:div>
    <w:div w:id="172646250">
      <w:bodyDiv w:val="1"/>
      <w:marLeft w:val="0"/>
      <w:marRight w:val="0"/>
      <w:marTop w:val="0"/>
      <w:marBottom w:val="0"/>
      <w:divBdr>
        <w:top w:val="none" w:sz="0" w:space="0" w:color="auto"/>
        <w:left w:val="none" w:sz="0" w:space="0" w:color="auto"/>
        <w:bottom w:val="none" w:sz="0" w:space="0" w:color="auto"/>
        <w:right w:val="none" w:sz="0" w:space="0" w:color="auto"/>
      </w:divBdr>
    </w:div>
    <w:div w:id="173153937">
      <w:bodyDiv w:val="1"/>
      <w:marLeft w:val="0"/>
      <w:marRight w:val="0"/>
      <w:marTop w:val="0"/>
      <w:marBottom w:val="0"/>
      <w:divBdr>
        <w:top w:val="none" w:sz="0" w:space="0" w:color="auto"/>
        <w:left w:val="none" w:sz="0" w:space="0" w:color="auto"/>
        <w:bottom w:val="none" w:sz="0" w:space="0" w:color="auto"/>
        <w:right w:val="none" w:sz="0" w:space="0" w:color="auto"/>
      </w:divBdr>
    </w:div>
    <w:div w:id="198934288">
      <w:bodyDiv w:val="1"/>
      <w:marLeft w:val="0"/>
      <w:marRight w:val="0"/>
      <w:marTop w:val="0"/>
      <w:marBottom w:val="0"/>
      <w:divBdr>
        <w:top w:val="none" w:sz="0" w:space="0" w:color="auto"/>
        <w:left w:val="none" w:sz="0" w:space="0" w:color="auto"/>
        <w:bottom w:val="none" w:sz="0" w:space="0" w:color="auto"/>
        <w:right w:val="none" w:sz="0" w:space="0" w:color="auto"/>
      </w:divBdr>
    </w:div>
    <w:div w:id="214590537">
      <w:bodyDiv w:val="1"/>
      <w:marLeft w:val="0"/>
      <w:marRight w:val="0"/>
      <w:marTop w:val="0"/>
      <w:marBottom w:val="0"/>
      <w:divBdr>
        <w:top w:val="none" w:sz="0" w:space="0" w:color="auto"/>
        <w:left w:val="none" w:sz="0" w:space="0" w:color="auto"/>
        <w:bottom w:val="none" w:sz="0" w:space="0" w:color="auto"/>
        <w:right w:val="none" w:sz="0" w:space="0" w:color="auto"/>
      </w:divBdr>
    </w:div>
    <w:div w:id="216168081">
      <w:bodyDiv w:val="1"/>
      <w:marLeft w:val="0"/>
      <w:marRight w:val="0"/>
      <w:marTop w:val="0"/>
      <w:marBottom w:val="0"/>
      <w:divBdr>
        <w:top w:val="none" w:sz="0" w:space="0" w:color="auto"/>
        <w:left w:val="none" w:sz="0" w:space="0" w:color="auto"/>
        <w:bottom w:val="none" w:sz="0" w:space="0" w:color="auto"/>
        <w:right w:val="none" w:sz="0" w:space="0" w:color="auto"/>
      </w:divBdr>
    </w:div>
    <w:div w:id="233392955">
      <w:bodyDiv w:val="1"/>
      <w:marLeft w:val="0"/>
      <w:marRight w:val="0"/>
      <w:marTop w:val="0"/>
      <w:marBottom w:val="0"/>
      <w:divBdr>
        <w:top w:val="none" w:sz="0" w:space="0" w:color="auto"/>
        <w:left w:val="none" w:sz="0" w:space="0" w:color="auto"/>
        <w:bottom w:val="none" w:sz="0" w:space="0" w:color="auto"/>
        <w:right w:val="none" w:sz="0" w:space="0" w:color="auto"/>
      </w:divBdr>
    </w:div>
    <w:div w:id="235097762">
      <w:bodyDiv w:val="1"/>
      <w:marLeft w:val="0"/>
      <w:marRight w:val="0"/>
      <w:marTop w:val="0"/>
      <w:marBottom w:val="0"/>
      <w:divBdr>
        <w:top w:val="none" w:sz="0" w:space="0" w:color="auto"/>
        <w:left w:val="none" w:sz="0" w:space="0" w:color="auto"/>
        <w:bottom w:val="none" w:sz="0" w:space="0" w:color="auto"/>
        <w:right w:val="none" w:sz="0" w:space="0" w:color="auto"/>
      </w:divBdr>
    </w:div>
    <w:div w:id="242106986">
      <w:bodyDiv w:val="1"/>
      <w:marLeft w:val="0"/>
      <w:marRight w:val="0"/>
      <w:marTop w:val="0"/>
      <w:marBottom w:val="0"/>
      <w:divBdr>
        <w:top w:val="none" w:sz="0" w:space="0" w:color="auto"/>
        <w:left w:val="none" w:sz="0" w:space="0" w:color="auto"/>
        <w:bottom w:val="none" w:sz="0" w:space="0" w:color="auto"/>
        <w:right w:val="none" w:sz="0" w:space="0" w:color="auto"/>
      </w:divBdr>
    </w:div>
    <w:div w:id="248662895">
      <w:bodyDiv w:val="1"/>
      <w:marLeft w:val="0"/>
      <w:marRight w:val="0"/>
      <w:marTop w:val="0"/>
      <w:marBottom w:val="0"/>
      <w:divBdr>
        <w:top w:val="none" w:sz="0" w:space="0" w:color="auto"/>
        <w:left w:val="none" w:sz="0" w:space="0" w:color="auto"/>
        <w:bottom w:val="none" w:sz="0" w:space="0" w:color="auto"/>
        <w:right w:val="none" w:sz="0" w:space="0" w:color="auto"/>
      </w:divBdr>
    </w:div>
    <w:div w:id="251282174">
      <w:bodyDiv w:val="1"/>
      <w:marLeft w:val="0"/>
      <w:marRight w:val="0"/>
      <w:marTop w:val="0"/>
      <w:marBottom w:val="0"/>
      <w:divBdr>
        <w:top w:val="none" w:sz="0" w:space="0" w:color="auto"/>
        <w:left w:val="none" w:sz="0" w:space="0" w:color="auto"/>
        <w:bottom w:val="none" w:sz="0" w:space="0" w:color="auto"/>
        <w:right w:val="none" w:sz="0" w:space="0" w:color="auto"/>
      </w:divBdr>
      <w:divsChild>
        <w:div w:id="1947076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0358405">
      <w:bodyDiv w:val="1"/>
      <w:marLeft w:val="0"/>
      <w:marRight w:val="0"/>
      <w:marTop w:val="0"/>
      <w:marBottom w:val="0"/>
      <w:divBdr>
        <w:top w:val="none" w:sz="0" w:space="0" w:color="auto"/>
        <w:left w:val="none" w:sz="0" w:space="0" w:color="auto"/>
        <w:bottom w:val="none" w:sz="0" w:space="0" w:color="auto"/>
        <w:right w:val="none" w:sz="0" w:space="0" w:color="auto"/>
      </w:divBdr>
    </w:div>
    <w:div w:id="273679864">
      <w:bodyDiv w:val="1"/>
      <w:marLeft w:val="0"/>
      <w:marRight w:val="0"/>
      <w:marTop w:val="0"/>
      <w:marBottom w:val="0"/>
      <w:divBdr>
        <w:top w:val="none" w:sz="0" w:space="0" w:color="auto"/>
        <w:left w:val="none" w:sz="0" w:space="0" w:color="auto"/>
        <w:bottom w:val="none" w:sz="0" w:space="0" w:color="auto"/>
        <w:right w:val="none" w:sz="0" w:space="0" w:color="auto"/>
      </w:divBdr>
    </w:div>
    <w:div w:id="278994000">
      <w:bodyDiv w:val="1"/>
      <w:marLeft w:val="0"/>
      <w:marRight w:val="0"/>
      <w:marTop w:val="0"/>
      <w:marBottom w:val="0"/>
      <w:divBdr>
        <w:top w:val="none" w:sz="0" w:space="0" w:color="auto"/>
        <w:left w:val="none" w:sz="0" w:space="0" w:color="auto"/>
        <w:bottom w:val="none" w:sz="0" w:space="0" w:color="auto"/>
        <w:right w:val="none" w:sz="0" w:space="0" w:color="auto"/>
      </w:divBdr>
    </w:div>
    <w:div w:id="297031148">
      <w:bodyDiv w:val="1"/>
      <w:marLeft w:val="0"/>
      <w:marRight w:val="0"/>
      <w:marTop w:val="0"/>
      <w:marBottom w:val="0"/>
      <w:divBdr>
        <w:top w:val="none" w:sz="0" w:space="0" w:color="auto"/>
        <w:left w:val="none" w:sz="0" w:space="0" w:color="auto"/>
        <w:bottom w:val="none" w:sz="0" w:space="0" w:color="auto"/>
        <w:right w:val="none" w:sz="0" w:space="0" w:color="auto"/>
      </w:divBdr>
    </w:div>
    <w:div w:id="299653509">
      <w:bodyDiv w:val="1"/>
      <w:marLeft w:val="0"/>
      <w:marRight w:val="0"/>
      <w:marTop w:val="0"/>
      <w:marBottom w:val="0"/>
      <w:divBdr>
        <w:top w:val="none" w:sz="0" w:space="0" w:color="auto"/>
        <w:left w:val="none" w:sz="0" w:space="0" w:color="auto"/>
        <w:bottom w:val="none" w:sz="0" w:space="0" w:color="auto"/>
        <w:right w:val="none" w:sz="0" w:space="0" w:color="auto"/>
      </w:divBdr>
      <w:divsChild>
        <w:div w:id="1110322943">
          <w:marLeft w:val="0"/>
          <w:marRight w:val="0"/>
          <w:marTop w:val="0"/>
          <w:marBottom w:val="0"/>
          <w:divBdr>
            <w:top w:val="none" w:sz="0" w:space="0" w:color="auto"/>
            <w:left w:val="none" w:sz="0" w:space="0" w:color="auto"/>
            <w:bottom w:val="none" w:sz="0" w:space="0" w:color="auto"/>
            <w:right w:val="none" w:sz="0" w:space="0" w:color="auto"/>
          </w:divBdr>
          <w:divsChild>
            <w:div w:id="448935344">
              <w:marLeft w:val="0"/>
              <w:marRight w:val="0"/>
              <w:marTop w:val="0"/>
              <w:marBottom w:val="0"/>
              <w:divBdr>
                <w:top w:val="none" w:sz="0" w:space="0" w:color="auto"/>
                <w:left w:val="none" w:sz="0" w:space="0" w:color="auto"/>
                <w:bottom w:val="none" w:sz="0" w:space="0" w:color="auto"/>
                <w:right w:val="none" w:sz="0" w:space="0" w:color="auto"/>
              </w:divBdr>
              <w:divsChild>
                <w:div w:id="1233076179">
                  <w:marLeft w:val="0"/>
                  <w:marRight w:val="0"/>
                  <w:marTop w:val="0"/>
                  <w:marBottom w:val="0"/>
                  <w:divBdr>
                    <w:top w:val="none" w:sz="0" w:space="0" w:color="auto"/>
                    <w:left w:val="none" w:sz="0" w:space="0" w:color="auto"/>
                    <w:bottom w:val="none" w:sz="0" w:space="0" w:color="auto"/>
                    <w:right w:val="none" w:sz="0" w:space="0" w:color="auto"/>
                  </w:divBdr>
                  <w:divsChild>
                    <w:div w:id="607086755">
                      <w:marLeft w:val="0"/>
                      <w:marRight w:val="0"/>
                      <w:marTop w:val="0"/>
                      <w:marBottom w:val="0"/>
                      <w:divBdr>
                        <w:top w:val="none" w:sz="0" w:space="0" w:color="auto"/>
                        <w:left w:val="none" w:sz="0" w:space="0" w:color="auto"/>
                        <w:bottom w:val="none" w:sz="0" w:space="0" w:color="auto"/>
                        <w:right w:val="none" w:sz="0" w:space="0" w:color="auto"/>
                      </w:divBdr>
                      <w:divsChild>
                        <w:div w:id="67506635">
                          <w:marLeft w:val="0"/>
                          <w:marRight w:val="0"/>
                          <w:marTop w:val="0"/>
                          <w:marBottom w:val="0"/>
                          <w:divBdr>
                            <w:top w:val="none" w:sz="0" w:space="0" w:color="auto"/>
                            <w:left w:val="none" w:sz="0" w:space="0" w:color="auto"/>
                            <w:bottom w:val="none" w:sz="0" w:space="0" w:color="auto"/>
                            <w:right w:val="none" w:sz="0" w:space="0" w:color="auto"/>
                          </w:divBdr>
                          <w:divsChild>
                            <w:div w:id="496265437">
                              <w:marLeft w:val="0"/>
                              <w:marRight w:val="0"/>
                              <w:marTop w:val="0"/>
                              <w:marBottom w:val="0"/>
                              <w:divBdr>
                                <w:top w:val="none" w:sz="0" w:space="0" w:color="auto"/>
                                <w:left w:val="none" w:sz="0" w:space="0" w:color="auto"/>
                                <w:bottom w:val="none" w:sz="0" w:space="0" w:color="auto"/>
                                <w:right w:val="none" w:sz="0" w:space="0" w:color="auto"/>
                              </w:divBdr>
                              <w:divsChild>
                                <w:div w:id="5067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720534">
      <w:bodyDiv w:val="1"/>
      <w:marLeft w:val="0"/>
      <w:marRight w:val="0"/>
      <w:marTop w:val="0"/>
      <w:marBottom w:val="0"/>
      <w:divBdr>
        <w:top w:val="none" w:sz="0" w:space="0" w:color="auto"/>
        <w:left w:val="none" w:sz="0" w:space="0" w:color="auto"/>
        <w:bottom w:val="none" w:sz="0" w:space="0" w:color="auto"/>
        <w:right w:val="none" w:sz="0" w:space="0" w:color="auto"/>
      </w:divBdr>
    </w:div>
    <w:div w:id="313874562">
      <w:bodyDiv w:val="1"/>
      <w:marLeft w:val="0"/>
      <w:marRight w:val="0"/>
      <w:marTop w:val="0"/>
      <w:marBottom w:val="0"/>
      <w:divBdr>
        <w:top w:val="none" w:sz="0" w:space="0" w:color="auto"/>
        <w:left w:val="none" w:sz="0" w:space="0" w:color="auto"/>
        <w:bottom w:val="none" w:sz="0" w:space="0" w:color="auto"/>
        <w:right w:val="none" w:sz="0" w:space="0" w:color="auto"/>
      </w:divBdr>
    </w:div>
    <w:div w:id="332298126">
      <w:bodyDiv w:val="1"/>
      <w:marLeft w:val="0"/>
      <w:marRight w:val="0"/>
      <w:marTop w:val="0"/>
      <w:marBottom w:val="0"/>
      <w:divBdr>
        <w:top w:val="none" w:sz="0" w:space="0" w:color="auto"/>
        <w:left w:val="none" w:sz="0" w:space="0" w:color="auto"/>
        <w:bottom w:val="none" w:sz="0" w:space="0" w:color="auto"/>
        <w:right w:val="none" w:sz="0" w:space="0" w:color="auto"/>
      </w:divBdr>
    </w:div>
    <w:div w:id="333261237">
      <w:bodyDiv w:val="1"/>
      <w:marLeft w:val="0"/>
      <w:marRight w:val="0"/>
      <w:marTop w:val="0"/>
      <w:marBottom w:val="0"/>
      <w:divBdr>
        <w:top w:val="none" w:sz="0" w:space="0" w:color="auto"/>
        <w:left w:val="none" w:sz="0" w:space="0" w:color="auto"/>
        <w:bottom w:val="none" w:sz="0" w:space="0" w:color="auto"/>
        <w:right w:val="none" w:sz="0" w:space="0" w:color="auto"/>
      </w:divBdr>
    </w:div>
    <w:div w:id="339433052">
      <w:bodyDiv w:val="1"/>
      <w:marLeft w:val="0"/>
      <w:marRight w:val="0"/>
      <w:marTop w:val="0"/>
      <w:marBottom w:val="0"/>
      <w:divBdr>
        <w:top w:val="none" w:sz="0" w:space="0" w:color="auto"/>
        <w:left w:val="none" w:sz="0" w:space="0" w:color="auto"/>
        <w:bottom w:val="none" w:sz="0" w:space="0" w:color="auto"/>
        <w:right w:val="none" w:sz="0" w:space="0" w:color="auto"/>
      </w:divBdr>
      <w:divsChild>
        <w:div w:id="587925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9576437">
      <w:bodyDiv w:val="1"/>
      <w:marLeft w:val="0"/>
      <w:marRight w:val="0"/>
      <w:marTop w:val="0"/>
      <w:marBottom w:val="0"/>
      <w:divBdr>
        <w:top w:val="none" w:sz="0" w:space="0" w:color="auto"/>
        <w:left w:val="none" w:sz="0" w:space="0" w:color="auto"/>
        <w:bottom w:val="none" w:sz="0" w:space="0" w:color="auto"/>
        <w:right w:val="none" w:sz="0" w:space="0" w:color="auto"/>
      </w:divBdr>
      <w:divsChild>
        <w:div w:id="1476684708">
          <w:marLeft w:val="0"/>
          <w:marRight w:val="0"/>
          <w:marTop w:val="0"/>
          <w:marBottom w:val="0"/>
          <w:divBdr>
            <w:top w:val="none" w:sz="0" w:space="0" w:color="auto"/>
            <w:left w:val="none" w:sz="0" w:space="0" w:color="auto"/>
            <w:bottom w:val="none" w:sz="0" w:space="0" w:color="auto"/>
            <w:right w:val="none" w:sz="0" w:space="0" w:color="auto"/>
          </w:divBdr>
          <w:divsChild>
            <w:div w:id="2099592155">
              <w:marLeft w:val="0"/>
              <w:marRight w:val="0"/>
              <w:marTop w:val="0"/>
              <w:marBottom w:val="0"/>
              <w:divBdr>
                <w:top w:val="none" w:sz="0" w:space="0" w:color="auto"/>
                <w:left w:val="none" w:sz="0" w:space="0" w:color="auto"/>
                <w:bottom w:val="none" w:sz="0" w:space="0" w:color="auto"/>
                <w:right w:val="none" w:sz="0" w:space="0" w:color="auto"/>
              </w:divBdr>
              <w:divsChild>
                <w:div w:id="1600064980">
                  <w:marLeft w:val="0"/>
                  <w:marRight w:val="0"/>
                  <w:marTop w:val="0"/>
                  <w:marBottom w:val="0"/>
                  <w:divBdr>
                    <w:top w:val="none" w:sz="0" w:space="0" w:color="auto"/>
                    <w:left w:val="none" w:sz="0" w:space="0" w:color="auto"/>
                    <w:bottom w:val="none" w:sz="0" w:space="0" w:color="auto"/>
                    <w:right w:val="none" w:sz="0" w:space="0" w:color="auto"/>
                  </w:divBdr>
                  <w:divsChild>
                    <w:div w:id="43723835">
                      <w:marLeft w:val="0"/>
                      <w:marRight w:val="0"/>
                      <w:marTop w:val="0"/>
                      <w:marBottom w:val="0"/>
                      <w:divBdr>
                        <w:top w:val="none" w:sz="0" w:space="0" w:color="auto"/>
                        <w:left w:val="none" w:sz="0" w:space="0" w:color="auto"/>
                        <w:bottom w:val="none" w:sz="0" w:space="0" w:color="auto"/>
                        <w:right w:val="none" w:sz="0" w:space="0" w:color="auto"/>
                      </w:divBdr>
                      <w:divsChild>
                        <w:div w:id="39867074">
                          <w:marLeft w:val="0"/>
                          <w:marRight w:val="0"/>
                          <w:marTop w:val="0"/>
                          <w:marBottom w:val="0"/>
                          <w:divBdr>
                            <w:top w:val="none" w:sz="0" w:space="0" w:color="auto"/>
                            <w:left w:val="none" w:sz="0" w:space="0" w:color="auto"/>
                            <w:bottom w:val="none" w:sz="0" w:space="0" w:color="auto"/>
                            <w:right w:val="none" w:sz="0" w:space="0" w:color="auto"/>
                          </w:divBdr>
                          <w:divsChild>
                            <w:div w:id="1739861999">
                              <w:marLeft w:val="0"/>
                              <w:marRight w:val="0"/>
                              <w:marTop w:val="0"/>
                              <w:marBottom w:val="0"/>
                              <w:divBdr>
                                <w:top w:val="none" w:sz="0" w:space="0" w:color="auto"/>
                                <w:left w:val="none" w:sz="0" w:space="0" w:color="auto"/>
                                <w:bottom w:val="none" w:sz="0" w:space="0" w:color="auto"/>
                                <w:right w:val="none" w:sz="0" w:space="0" w:color="auto"/>
                              </w:divBdr>
                              <w:divsChild>
                                <w:div w:id="1227565425">
                                  <w:marLeft w:val="0"/>
                                  <w:marRight w:val="0"/>
                                  <w:marTop w:val="0"/>
                                  <w:marBottom w:val="0"/>
                                  <w:divBdr>
                                    <w:top w:val="none" w:sz="0" w:space="0" w:color="auto"/>
                                    <w:left w:val="none" w:sz="0" w:space="0" w:color="auto"/>
                                    <w:bottom w:val="none" w:sz="0" w:space="0" w:color="auto"/>
                                    <w:right w:val="none" w:sz="0" w:space="0" w:color="auto"/>
                                  </w:divBdr>
                                  <w:divsChild>
                                    <w:div w:id="1910339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466539">
      <w:bodyDiv w:val="1"/>
      <w:marLeft w:val="0"/>
      <w:marRight w:val="0"/>
      <w:marTop w:val="0"/>
      <w:marBottom w:val="0"/>
      <w:divBdr>
        <w:top w:val="none" w:sz="0" w:space="0" w:color="auto"/>
        <w:left w:val="none" w:sz="0" w:space="0" w:color="auto"/>
        <w:bottom w:val="none" w:sz="0" w:space="0" w:color="auto"/>
        <w:right w:val="none" w:sz="0" w:space="0" w:color="auto"/>
      </w:divBdr>
    </w:div>
    <w:div w:id="375661291">
      <w:bodyDiv w:val="1"/>
      <w:marLeft w:val="0"/>
      <w:marRight w:val="0"/>
      <w:marTop w:val="0"/>
      <w:marBottom w:val="0"/>
      <w:divBdr>
        <w:top w:val="none" w:sz="0" w:space="0" w:color="auto"/>
        <w:left w:val="none" w:sz="0" w:space="0" w:color="auto"/>
        <w:bottom w:val="none" w:sz="0" w:space="0" w:color="auto"/>
        <w:right w:val="none" w:sz="0" w:space="0" w:color="auto"/>
      </w:divBdr>
    </w:div>
    <w:div w:id="379020264">
      <w:bodyDiv w:val="1"/>
      <w:marLeft w:val="0"/>
      <w:marRight w:val="0"/>
      <w:marTop w:val="0"/>
      <w:marBottom w:val="0"/>
      <w:divBdr>
        <w:top w:val="none" w:sz="0" w:space="0" w:color="auto"/>
        <w:left w:val="none" w:sz="0" w:space="0" w:color="auto"/>
        <w:bottom w:val="none" w:sz="0" w:space="0" w:color="auto"/>
        <w:right w:val="none" w:sz="0" w:space="0" w:color="auto"/>
      </w:divBdr>
    </w:div>
    <w:div w:id="389576496">
      <w:bodyDiv w:val="1"/>
      <w:marLeft w:val="0"/>
      <w:marRight w:val="0"/>
      <w:marTop w:val="0"/>
      <w:marBottom w:val="0"/>
      <w:divBdr>
        <w:top w:val="none" w:sz="0" w:space="0" w:color="auto"/>
        <w:left w:val="none" w:sz="0" w:space="0" w:color="auto"/>
        <w:bottom w:val="none" w:sz="0" w:space="0" w:color="auto"/>
        <w:right w:val="none" w:sz="0" w:space="0" w:color="auto"/>
      </w:divBdr>
    </w:div>
    <w:div w:id="391081129">
      <w:bodyDiv w:val="1"/>
      <w:marLeft w:val="0"/>
      <w:marRight w:val="0"/>
      <w:marTop w:val="0"/>
      <w:marBottom w:val="0"/>
      <w:divBdr>
        <w:top w:val="none" w:sz="0" w:space="0" w:color="auto"/>
        <w:left w:val="none" w:sz="0" w:space="0" w:color="auto"/>
        <w:bottom w:val="none" w:sz="0" w:space="0" w:color="auto"/>
        <w:right w:val="none" w:sz="0" w:space="0" w:color="auto"/>
      </w:divBdr>
    </w:div>
    <w:div w:id="398287159">
      <w:bodyDiv w:val="1"/>
      <w:marLeft w:val="0"/>
      <w:marRight w:val="0"/>
      <w:marTop w:val="0"/>
      <w:marBottom w:val="0"/>
      <w:divBdr>
        <w:top w:val="none" w:sz="0" w:space="0" w:color="auto"/>
        <w:left w:val="none" w:sz="0" w:space="0" w:color="auto"/>
        <w:bottom w:val="none" w:sz="0" w:space="0" w:color="auto"/>
        <w:right w:val="none" w:sz="0" w:space="0" w:color="auto"/>
      </w:divBdr>
    </w:div>
    <w:div w:id="400564621">
      <w:bodyDiv w:val="1"/>
      <w:marLeft w:val="0"/>
      <w:marRight w:val="0"/>
      <w:marTop w:val="0"/>
      <w:marBottom w:val="0"/>
      <w:divBdr>
        <w:top w:val="none" w:sz="0" w:space="0" w:color="auto"/>
        <w:left w:val="none" w:sz="0" w:space="0" w:color="auto"/>
        <w:bottom w:val="none" w:sz="0" w:space="0" w:color="auto"/>
        <w:right w:val="none" w:sz="0" w:space="0" w:color="auto"/>
      </w:divBdr>
      <w:divsChild>
        <w:div w:id="54441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615005">
      <w:bodyDiv w:val="1"/>
      <w:marLeft w:val="0"/>
      <w:marRight w:val="0"/>
      <w:marTop w:val="0"/>
      <w:marBottom w:val="0"/>
      <w:divBdr>
        <w:top w:val="none" w:sz="0" w:space="0" w:color="auto"/>
        <w:left w:val="none" w:sz="0" w:space="0" w:color="auto"/>
        <w:bottom w:val="none" w:sz="0" w:space="0" w:color="auto"/>
        <w:right w:val="none" w:sz="0" w:space="0" w:color="auto"/>
      </w:divBdr>
    </w:div>
    <w:div w:id="420564859">
      <w:bodyDiv w:val="1"/>
      <w:marLeft w:val="0"/>
      <w:marRight w:val="0"/>
      <w:marTop w:val="0"/>
      <w:marBottom w:val="0"/>
      <w:divBdr>
        <w:top w:val="none" w:sz="0" w:space="0" w:color="auto"/>
        <w:left w:val="none" w:sz="0" w:space="0" w:color="auto"/>
        <w:bottom w:val="none" w:sz="0" w:space="0" w:color="auto"/>
        <w:right w:val="none" w:sz="0" w:space="0" w:color="auto"/>
      </w:divBdr>
    </w:div>
    <w:div w:id="431098368">
      <w:bodyDiv w:val="1"/>
      <w:marLeft w:val="0"/>
      <w:marRight w:val="0"/>
      <w:marTop w:val="0"/>
      <w:marBottom w:val="0"/>
      <w:divBdr>
        <w:top w:val="none" w:sz="0" w:space="0" w:color="auto"/>
        <w:left w:val="none" w:sz="0" w:space="0" w:color="auto"/>
        <w:bottom w:val="none" w:sz="0" w:space="0" w:color="auto"/>
        <w:right w:val="none" w:sz="0" w:space="0" w:color="auto"/>
      </w:divBdr>
      <w:divsChild>
        <w:div w:id="2105110456">
          <w:marLeft w:val="0"/>
          <w:marRight w:val="0"/>
          <w:marTop w:val="0"/>
          <w:marBottom w:val="0"/>
          <w:divBdr>
            <w:top w:val="none" w:sz="0" w:space="0" w:color="auto"/>
            <w:left w:val="none" w:sz="0" w:space="0" w:color="auto"/>
            <w:bottom w:val="none" w:sz="0" w:space="0" w:color="auto"/>
            <w:right w:val="none" w:sz="0" w:space="0" w:color="auto"/>
          </w:divBdr>
          <w:divsChild>
            <w:div w:id="1639646008">
              <w:marLeft w:val="0"/>
              <w:marRight w:val="0"/>
              <w:marTop w:val="0"/>
              <w:marBottom w:val="0"/>
              <w:divBdr>
                <w:top w:val="none" w:sz="0" w:space="0" w:color="auto"/>
                <w:left w:val="none" w:sz="0" w:space="0" w:color="auto"/>
                <w:bottom w:val="none" w:sz="0" w:space="0" w:color="auto"/>
                <w:right w:val="none" w:sz="0" w:space="0" w:color="auto"/>
              </w:divBdr>
              <w:divsChild>
                <w:div w:id="181284476">
                  <w:marLeft w:val="0"/>
                  <w:marRight w:val="0"/>
                  <w:marTop w:val="0"/>
                  <w:marBottom w:val="0"/>
                  <w:divBdr>
                    <w:top w:val="none" w:sz="0" w:space="0" w:color="auto"/>
                    <w:left w:val="none" w:sz="0" w:space="0" w:color="auto"/>
                    <w:bottom w:val="none" w:sz="0" w:space="0" w:color="auto"/>
                    <w:right w:val="none" w:sz="0" w:space="0" w:color="auto"/>
                  </w:divBdr>
                  <w:divsChild>
                    <w:div w:id="2016030910">
                      <w:marLeft w:val="0"/>
                      <w:marRight w:val="0"/>
                      <w:marTop w:val="0"/>
                      <w:marBottom w:val="0"/>
                      <w:divBdr>
                        <w:top w:val="none" w:sz="0" w:space="0" w:color="auto"/>
                        <w:left w:val="none" w:sz="0" w:space="0" w:color="auto"/>
                        <w:bottom w:val="none" w:sz="0" w:space="0" w:color="auto"/>
                        <w:right w:val="none" w:sz="0" w:space="0" w:color="auto"/>
                      </w:divBdr>
                      <w:divsChild>
                        <w:div w:id="1711493506">
                          <w:marLeft w:val="0"/>
                          <w:marRight w:val="0"/>
                          <w:marTop w:val="0"/>
                          <w:marBottom w:val="0"/>
                          <w:divBdr>
                            <w:top w:val="none" w:sz="0" w:space="0" w:color="auto"/>
                            <w:left w:val="none" w:sz="0" w:space="0" w:color="auto"/>
                            <w:bottom w:val="none" w:sz="0" w:space="0" w:color="auto"/>
                            <w:right w:val="none" w:sz="0" w:space="0" w:color="auto"/>
                          </w:divBdr>
                          <w:divsChild>
                            <w:div w:id="856504710">
                              <w:marLeft w:val="0"/>
                              <w:marRight w:val="0"/>
                              <w:marTop w:val="0"/>
                              <w:marBottom w:val="0"/>
                              <w:divBdr>
                                <w:top w:val="none" w:sz="0" w:space="0" w:color="auto"/>
                                <w:left w:val="none" w:sz="0" w:space="0" w:color="auto"/>
                                <w:bottom w:val="none" w:sz="0" w:space="0" w:color="auto"/>
                                <w:right w:val="none" w:sz="0" w:space="0" w:color="auto"/>
                              </w:divBdr>
                              <w:divsChild>
                                <w:div w:id="10477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87188">
      <w:bodyDiv w:val="1"/>
      <w:marLeft w:val="0"/>
      <w:marRight w:val="0"/>
      <w:marTop w:val="0"/>
      <w:marBottom w:val="0"/>
      <w:divBdr>
        <w:top w:val="none" w:sz="0" w:space="0" w:color="auto"/>
        <w:left w:val="none" w:sz="0" w:space="0" w:color="auto"/>
        <w:bottom w:val="none" w:sz="0" w:space="0" w:color="auto"/>
        <w:right w:val="none" w:sz="0" w:space="0" w:color="auto"/>
      </w:divBdr>
    </w:div>
    <w:div w:id="438529885">
      <w:bodyDiv w:val="1"/>
      <w:marLeft w:val="0"/>
      <w:marRight w:val="0"/>
      <w:marTop w:val="0"/>
      <w:marBottom w:val="0"/>
      <w:divBdr>
        <w:top w:val="none" w:sz="0" w:space="0" w:color="auto"/>
        <w:left w:val="none" w:sz="0" w:space="0" w:color="auto"/>
        <w:bottom w:val="none" w:sz="0" w:space="0" w:color="auto"/>
        <w:right w:val="none" w:sz="0" w:space="0" w:color="auto"/>
      </w:divBdr>
    </w:div>
    <w:div w:id="443960596">
      <w:bodyDiv w:val="1"/>
      <w:marLeft w:val="0"/>
      <w:marRight w:val="0"/>
      <w:marTop w:val="0"/>
      <w:marBottom w:val="0"/>
      <w:divBdr>
        <w:top w:val="none" w:sz="0" w:space="0" w:color="auto"/>
        <w:left w:val="none" w:sz="0" w:space="0" w:color="auto"/>
        <w:bottom w:val="none" w:sz="0" w:space="0" w:color="auto"/>
        <w:right w:val="none" w:sz="0" w:space="0" w:color="auto"/>
      </w:divBdr>
    </w:div>
    <w:div w:id="447823878">
      <w:bodyDiv w:val="1"/>
      <w:marLeft w:val="0"/>
      <w:marRight w:val="0"/>
      <w:marTop w:val="0"/>
      <w:marBottom w:val="0"/>
      <w:divBdr>
        <w:top w:val="none" w:sz="0" w:space="0" w:color="auto"/>
        <w:left w:val="none" w:sz="0" w:space="0" w:color="auto"/>
        <w:bottom w:val="none" w:sz="0" w:space="0" w:color="auto"/>
        <w:right w:val="none" w:sz="0" w:space="0" w:color="auto"/>
      </w:divBdr>
    </w:div>
    <w:div w:id="452483894">
      <w:bodyDiv w:val="1"/>
      <w:marLeft w:val="0"/>
      <w:marRight w:val="0"/>
      <w:marTop w:val="0"/>
      <w:marBottom w:val="0"/>
      <w:divBdr>
        <w:top w:val="none" w:sz="0" w:space="0" w:color="auto"/>
        <w:left w:val="none" w:sz="0" w:space="0" w:color="auto"/>
        <w:bottom w:val="none" w:sz="0" w:space="0" w:color="auto"/>
        <w:right w:val="none" w:sz="0" w:space="0" w:color="auto"/>
      </w:divBdr>
    </w:div>
    <w:div w:id="469327973">
      <w:bodyDiv w:val="1"/>
      <w:marLeft w:val="0"/>
      <w:marRight w:val="0"/>
      <w:marTop w:val="0"/>
      <w:marBottom w:val="0"/>
      <w:divBdr>
        <w:top w:val="none" w:sz="0" w:space="0" w:color="auto"/>
        <w:left w:val="none" w:sz="0" w:space="0" w:color="auto"/>
        <w:bottom w:val="none" w:sz="0" w:space="0" w:color="auto"/>
        <w:right w:val="none" w:sz="0" w:space="0" w:color="auto"/>
      </w:divBdr>
      <w:divsChild>
        <w:div w:id="18893688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0639377">
      <w:bodyDiv w:val="1"/>
      <w:marLeft w:val="0"/>
      <w:marRight w:val="0"/>
      <w:marTop w:val="0"/>
      <w:marBottom w:val="0"/>
      <w:divBdr>
        <w:top w:val="none" w:sz="0" w:space="0" w:color="auto"/>
        <w:left w:val="none" w:sz="0" w:space="0" w:color="auto"/>
        <w:bottom w:val="none" w:sz="0" w:space="0" w:color="auto"/>
        <w:right w:val="none" w:sz="0" w:space="0" w:color="auto"/>
      </w:divBdr>
    </w:div>
    <w:div w:id="479345155">
      <w:bodyDiv w:val="1"/>
      <w:marLeft w:val="0"/>
      <w:marRight w:val="0"/>
      <w:marTop w:val="0"/>
      <w:marBottom w:val="0"/>
      <w:divBdr>
        <w:top w:val="none" w:sz="0" w:space="0" w:color="auto"/>
        <w:left w:val="none" w:sz="0" w:space="0" w:color="auto"/>
        <w:bottom w:val="none" w:sz="0" w:space="0" w:color="auto"/>
        <w:right w:val="none" w:sz="0" w:space="0" w:color="auto"/>
      </w:divBdr>
      <w:divsChild>
        <w:div w:id="1921713123">
          <w:marLeft w:val="0"/>
          <w:marRight w:val="0"/>
          <w:marTop w:val="0"/>
          <w:marBottom w:val="0"/>
          <w:divBdr>
            <w:top w:val="none" w:sz="0" w:space="0" w:color="auto"/>
            <w:left w:val="none" w:sz="0" w:space="0" w:color="auto"/>
            <w:bottom w:val="none" w:sz="0" w:space="0" w:color="auto"/>
            <w:right w:val="none" w:sz="0" w:space="0" w:color="auto"/>
          </w:divBdr>
          <w:divsChild>
            <w:div w:id="598878073">
              <w:marLeft w:val="0"/>
              <w:marRight w:val="0"/>
              <w:marTop w:val="0"/>
              <w:marBottom w:val="0"/>
              <w:divBdr>
                <w:top w:val="none" w:sz="0" w:space="0" w:color="auto"/>
                <w:left w:val="none" w:sz="0" w:space="0" w:color="auto"/>
                <w:bottom w:val="none" w:sz="0" w:space="0" w:color="auto"/>
                <w:right w:val="none" w:sz="0" w:space="0" w:color="auto"/>
              </w:divBdr>
              <w:divsChild>
                <w:div w:id="794718674">
                  <w:marLeft w:val="0"/>
                  <w:marRight w:val="0"/>
                  <w:marTop w:val="0"/>
                  <w:marBottom w:val="0"/>
                  <w:divBdr>
                    <w:top w:val="none" w:sz="0" w:space="0" w:color="auto"/>
                    <w:left w:val="none" w:sz="0" w:space="0" w:color="auto"/>
                    <w:bottom w:val="none" w:sz="0" w:space="0" w:color="auto"/>
                    <w:right w:val="none" w:sz="0" w:space="0" w:color="auto"/>
                  </w:divBdr>
                  <w:divsChild>
                    <w:div w:id="1718508648">
                      <w:marLeft w:val="0"/>
                      <w:marRight w:val="0"/>
                      <w:marTop w:val="0"/>
                      <w:marBottom w:val="0"/>
                      <w:divBdr>
                        <w:top w:val="none" w:sz="0" w:space="0" w:color="auto"/>
                        <w:left w:val="none" w:sz="0" w:space="0" w:color="auto"/>
                        <w:bottom w:val="none" w:sz="0" w:space="0" w:color="auto"/>
                        <w:right w:val="none" w:sz="0" w:space="0" w:color="auto"/>
                      </w:divBdr>
                      <w:divsChild>
                        <w:div w:id="665865738">
                          <w:marLeft w:val="0"/>
                          <w:marRight w:val="0"/>
                          <w:marTop w:val="0"/>
                          <w:marBottom w:val="0"/>
                          <w:divBdr>
                            <w:top w:val="none" w:sz="0" w:space="0" w:color="auto"/>
                            <w:left w:val="none" w:sz="0" w:space="0" w:color="auto"/>
                            <w:bottom w:val="none" w:sz="0" w:space="0" w:color="auto"/>
                            <w:right w:val="none" w:sz="0" w:space="0" w:color="auto"/>
                          </w:divBdr>
                          <w:divsChild>
                            <w:div w:id="116684736">
                              <w:marLeft w:val="0"/>
                              <w:marRight w:val="0"/>
                              <w:marTop w:val="0"/>
                              <w:marBottom w:val="0"/>
                              <w:divBdr>
                                <w:top w:val="none" w:sz="0" w:space="0" w:color="auto"/>
                                <w:left w:val="none" w:sz="0" w:space="0" w:color="auto"/>
                                <w:bottom w:val="none" w:sz="0" w:space="0" w:color="auto"/>
                                <w:right w:val="none" w:sz="0" w:space="0" w:color="auto"/>
                              </w:divBdr>
                              <w:divsChild>
                                <w:div w:id="12904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638">
      <w:bodyDiv w:val="1"/>
      <w:marLeft w:val="0"/>
      <w:marRight w:val="0"/>
      <w:marTop w:val="0"/>
      <w:marBottom w:val="0"/>
      <w:divBdr>
        <w:top w:val="none" w:sz="0" w:space="0" w:color="auto"/>
        <w:left w:val="none" w:sz="0" w:space="0" w:color="auto"/>
        <w:bottom w:val="none" w:sz="0" w:space="0" w:color="auto"/>
        <w:right w:val="none" w:sz="0" w:space="0" w:color="auto"/>
      </w:divBdr>
    </w:div>
    <w:div w:id="489758829">
      <w:bodyDiv w:val="1"/>
      <w:marLeft w:val="0"/>
      <w:marRight w:val="0"/>
      <w:marTop w:val="0"/>
      <w:marBottom w:val="0"/>
      <w:divBdr>
        <w:top w:val="none" w:sz="0" w:space="0" w:color="auto"/>
        <w:left w:val="none" w:sz="0" w:space="0" w:color="auto"/>
        <w:bottom w:val="none" w:sz="0" w:space="0" w:color="auto"/>
        <w:right w:val="none" w:sz="0" w:space="0" w:color="auto"/>
      </w:divBdr>
    </w:div>
    <w:div w:id="498237414">
      <w:bodyDiv w:val="1"/>
      <w:marLeft w:val="0"/>
      <w:marRight w:val="0"/>
      <w:marTop w:val="0"/>
      <w:marBottom w:val="0"/>
      <w:divBdr>
        <w:top w:val="none" w:sz="0" w:space="0" w:color="auto"/>
        <w:left w:val="none" w:sz="0" w:space="0" w:color="auto"/>
        <w:bottom w:val="none" w:sz="0" w:space="0" w:color="auto"/>
        <w:right w:val="none" w:sz="0" w:space="0" w:color="auto"/>
      </w:divBdr>
    </w:div>
    <w:div w:id="505096160">
      <w:bodyDiv w:val="1"/>
      <w:marLeft w:val="0"/>
      <w:marRight w:val="0"/>
      <w:marTop w:val="0"/>
      <w:marBottom w:val="0"/>
      <w:divBdr>
        <w:top w:val="none" w:sz="0" w:space="0" w:color="auto"/>
        <w:left w:val="none" w:sz="0" w:space="0" w:color="auto"/>
        <w:bottom w:val="none" w:sz="0" w:space="0" w:color="auto"/>
        <w:right w:val="none" w:sz="0" w:space="0" w:color="auto"/>
      </w:divBdr>
    </w:div>
    <w:div w:id="521824402">
      <w:bodyDiv w:val="1"/>
      <w:marLeft w:val="0"/>
      <w:marRight w:val="0"/>
      <w:marTop w:val="0"/>
      <w:marBottom w:val="0"/>
      <w:divBdr>
        <w:top w:val="none" w:sz="0" w:space="0" w:color="auto"/>
        <w:left w:val="none" w:sz="0" w:space="0" w:color="auto"/>
        <w:bottom w:val="none" w:sz="0" w:space="0" w:color="auto"/>
        <w:right w:val="none" w:sz="0" w:space="0" w:color="auto"/>
      </w:divBdr>
    </w:div>
    <w:div w:id="538320702">
      <w:bodyDiv w:val="1"/>
      <w:marLeft w:val="0"/>
      <w:marRight w:val="0"/>
      <w:marTop w:val="0"/>
      <w:marBottom w:val="0"/>
      <w:divBdr>
        <w:top w:val="none" w:sz="0" w:space="0" w:color="auto"/>
        <w:left w:val="none" w:sz="0" w:space="0" w:color="auto"/>
        <w:bottom w:val="none" w:sz="0" w:space="0" w:color="auto"/>
        <w:right w:val="none" w:sz="0" w:space="0" w:color="auto"/>
      </w:divBdr>
    </w:div>
    <w:div w:id="570966582">
      <w:bodyDiv w:val="1"/>
      <w:marLeft w:val="0"/>
      <w:marRight w:val="0"/>
      <w:marTop w:val="0"/>
      <w:marBottom w:val="0"/>
      <w:divBdr>
        <w:top w:val="none" w:sz="0" w:space="0" w:color="auto"/>
        <w:left w:val="none" w:sz="0" w:space="0" w:color="auto"/>
        <w:bottom w:val="none" w:sz="0" w:space="0" w:color="auto"/>
        <w:right w:val="none" w:sz="0" w:space="0" w:color="auto"/>
      </w:divBdr>
      <w:divsChild>
        <w:div w:id="44912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046663">
      <w:bodyDiv w:val="1"/>
      <w:marLeft w:val="0"/>
      <w:marRight w:val="0"/>
      <w:marTop w:val="0"/>
      <w:marBottom w:val="0"/>
      <w:divBdr>
        <w:top w:val="none" w:sz="0" w:space="0" w:color="auto"/>
        <w:left w:val="none" w:sz="0" w:space="0" w:color="auto"/>
        <w:bottom w:val="none" w:sz="0" w:space="0" w:color="auto"/>
        <w:right w:val="none" w:sz="0" w:space="0" w:color="auto"/>
      </w:divBdr>
    </w:div>
    <w:div w:id="595485663">
      <w:bodyDiv w:val="1"/>
      <w:marLeft w:val="0"/>
      <w:marRight w:val="0"/>
      <w:marTop w:val="0"/>
      <w:marBottom w:val="0"/>
      <w:divBdr>
        <w:top w:val="none" w:sz="0" w:space="0" w:color="auto"/>
        <w:left w:val="none" w:sz="0" w:space="0" w:color="auto"/>
        <w:bottom w:val="none" w:sz="0" w:space="0" w:color="auto"/>
        <w:right w:val="none" w:sz="0" w:space="0" w:color="auto"/>
      </w:divBdr>
    </w:div>
    <w:div w:id="603463557">
      <w:bodyDiv w:val="1"/>
      <w:marLeft w:val="0"/>
      <w:marRight w:val="0"/>
      <w:marTop w:val="0"/>
      <w:marBottom w:val="0"/>
      <w:divBdr>
        <w:top w:val="none" w:sz="0" w:space="0" w:color="auto"/>
        <w:left w:val="none" w:sz="0" w:space="0" w:color="auto"/>
        <w:bottom w:val="none" w:sz="0" w:space="0" w:color="auto"/>
        <w:right w:val="none" w:sz="0" w:space="0" w:color="auto"/>
      </w:divBdr>
    </w:div>
    <w:div w:id="618027382">
      <w:bodyDiv w:val="1"/>
      <w:marLeft w:val="0"/>
      <w:marRight w:val="0"/>
      <w:marTop w:val="0"/>
      <w:marBottom w:val="0"/>
      <w:divBdr>
        <w:top w:val="none" w:sz="0" w:space="0" w:color="auto"/>
        <w:left w:val="none" w:sz="0" w:space="0" w:color="auto"/>
        <w:bottom w:val="none" w:sz="0" w:space="0" w:color="auto"/>
        <w:right w:val="none" w:sz="0" w:space="0" w:color="auto"/>
      </w:divBdr>
    </w:div>
    <w:div w:id="633751969">
      <w:bodyDiv w:val="1"/>
      <w:marLeft w:val="0"/>
      <w:marRight w:val="0"/>
      <w:marTop w:val="0"/>
      <w:marBottom w:val="0"/>
      <w:divBdr>
        <w:top w:val="none" w:sz="0" w:space="0" w:color="auto"/>
        <w:left w:val="none" w:sz="0" w:space="0" w:color="auto"/>
        <w:bottom w:val="none" w:sz="0" w:space="0" w:color="auto"/>
        <w:right w:val="none" w:sz="0" w:space="0" w:color="auto"/>
      </w:divBdr>
    </w:div>
    <w:div w:id="641498957">
      <w:bodyDiv w:val="1"/>
      <w:marLeft w:val="0"/>
      <w:marRight w:val="0"/>
      <w:marTop w:val="0"/>
      <w:marBottom w:val="0"/>
      <w:divBdr>
        <w:top w:val="none" w:sz="0" w:space="0" w:color="auto"/>
        <w:left w:val="none" w:sz="0" w:space="0" w:color="auto"/>
        <w:bottom w:val="none" w:sz="0" w:space="0" w:color="auto"/>
        <w:right w:val="none" w:sz="0" w:space="0" w:color="auto"/>
      </w:divBdr>
    </w:div>
    <w:div w:id="647630844">
      <w:bodyDiv w:val="1"/>
      <w:marLeft w:val="0"/>
      <w:marRight w:val="0"/>
      <w:marTop w:val="0"/>
      <w:marBottom w:val="0"/>
      <w:divBdr>
        <w:top w:val="none" w:sz="0" w:space="0" w:color="auto"/>
        <w:left w:val="none" w:sz="0" w:space="0" w:color="auto"/>
        <w:bottom w:val="none" w:sz="0" w:space="0" w:color="auto"/>
        <w:right w:val="none" w:sz="0" w:space="0" w:color="auto"/>
      </w:divBdr>
    </w:div>
    <w:div w:id="671569380">
      <w:bodyDiv w:val="1"/>
      <w:marLeft w:val="0"/>
      <w:marRight w:val="0"/>
      <w:marTop w:val="0"/>
      <w:marBottom w:val="0"/>
      <w:divBdr>
        <w:top w:val="none" w:sz="0" w:space="0" w:color="auto"/>
        <w:left w:val="none" w:sz="0" w:space="0" w:color="auto"/>
        <w:bottom w:val="none" w:sz="0" w:space="0" w:color="auto"/>
        <w:right w:val="none" w:sz="0" w:space="0" w:color="auto"/>
      </w:divBdr>
    </w:div>
    <w:div w:id="677730546">
      <w:bodyDiv w:val="1"/>
      <w:marLeft w:val="0"/>
      <w:marRight w:val="0"/>
      <w:marTop w:val="0"/>
      <w:marBottom w:val="0"/>
      <w:divBdr>
        <w:top w:val="none" w:sz="0" w:space="0" w:color="auto"/>
        <w:left w:val="none" w:sz="0" w:space="0" w:color="auto"/>
        <w:bottom w:val="none" w:sz="0" w:space="0" w:color="auto"/>
        <w:right w:val="none" w:sz="0" w:space="0" w:color="auto"/>
      </w:divBdr>
    </w:div>
    <w:div w:id="685207230">
      <w:bodyDiv w:val="1"/>
      <w:marLeft w:val="0"/>
      <w:marRight w:val="0"/>
      <w:marTop w:val="0"/>
      <w:marBottom w:val="0"/>
      <w:divBdr>
        <w:top w:val="none" w:sz="0" w:space="0" w:color="auto"/>
        <w:left w:val="none" w:sz="0" w:space="0" w:color="auto"/>
        <w:bottom w:val="none" w:sz="0" w:space="0" w:color="auto"/>
        <w:right w:val="none" w:sz="0" w:space="0" w:color="auto"/>
      </w:divBdr>
    </w:div>
    <w:div w:id="686057310">
      <w:bodyDiv w:val="1"/>
      <w:marLeft w:val="0"/>
      <w:marRight w:val="0"/>
      <w:marTop w:val="0"/>
      <w:marBottom w:val="0"/>
      <w:divBdr>
        <w:top w:val="none" w:sz="0" w:space="0" w:color="auto"/>
        <w:left w:val="none" w:sz="0" w:space="0" w:color="auto"/>
        <w:bottom w:val="none" w:sz="0" w:space="0" w:color="auto"/>
        <w:right w:val="none" w:sz="0" w:space="0" w:color="auto"/>
      </w:divBdr>
    </w:div>
    <w:div w:id="686756333">
      <w:bodyDiv w:val="1"/>
      <w:marLeft w:val="0"/>
      <w:marRight w:val="0"/>
      <w:marTop w:val="0"/>
      <w:marBottom w:val="0"/>
      <w:divBdr>
        <w:top w:val="none" w:sz="0" w:space="0" w:color="auto"/>
        <w:left w:val="none" w:sz="0" w:space="0" w:color="auto"/>
        <w:bottom w:val="none" w:sz="0" w:space="0" w:color="auto"/>
        <w:right w:val="none" w:sz="0" w:space="0" w:color="auto"/>
      </w:divBdr>
    </w:div>
    <w:div w:id="697506545">
      <w:bodyDiv w:val="1"/>
      <w:marLeft w:val="0"/>
      <w:marRight w:val="0"/>
      <w:marTop w:val="0"/>
      <w:marBottom w:val="0"/>
      <w:divBdr>
        <w:top w:val="none" w:sz="0" w:space="0" w:color="auto"/>
        <w:left w:val="none" w:sz="0" w:space="0" w:color="auto"/>
        <w:bottom w:val="none" w:sz="0" w:space="0" w:color="auto"/>
        <w:right w:val="none" w:sz="0" w:space="0" w:color="auto"/>
      </w:divBdr>
    </w:div>
    <w:div w:id="706372288">
      <w:bodyDiv w:val="1"/>
      <w:marLeft w:val="0"/>
      <w:marRight w:val="0"/>
      <w:marTop w:val="0"/>
      <w:marBottom w:val="0"/>
      <w:divBdr>
        <w:top w:val="none" w:sz="0" w:space="0" w:color="auto"/>
        <w:left w:val="none" w:sz="0" w:space="0" w:color="auto"/>
        <w:bottom w:val="none" w:sz="0" w:space="0" w:color="auto"/>
        <w:right w:val="none" w:sz="0" w:space="0" w:color="auto"/>
      </w:divBdr>
      <w:divsChild>
        <w:div w:id="992611543">
          <w:marLeft w:val="0"/>
          <w:marRight w:val="0"/>
          <w:marTop w:val="0"/>
          <w:marBottom w:val="0"/>
          <w:divBdr>
            <w:top w:val="none" w:sz="0" w:space="0" w:color="auto"/>
            <w:left w:val="none" w:sz="0" w:space="0" w:color="auto"/>
            <w:bottom w:val="none" w:sz="0" w:space="0" w:color="auto"/>
            <w:right w:val="none" w:sz="0" w:space="0" w:color="auto"/>
          </w:divBdr>
          <w:divsChild>
            <w:div w:id="202982963">
              <w:marLeft w:val="0"/>
              <w:marRight w:val="0"/>
              <w:marTop w:val="0"/>
              <w:marBottom w:val="0"/>
              <w:divBdr>
                <w:top w:val="none" w:sz="0" w:space="0" w:color="auto"/>
                <w:left w:val="none" w:sz="0" w:space="0" w:color="auto"/>
                <w:bottom w:val="none" w:sz="0" w:space="0" w:color="auto"/>
                <w:right w:val="none" w:sz="0" w:space="0" w:color="auto"/>
              </w:divBdr>
              <w:divsChild>
                <w:div w:id="2027291175">
                  <w:marLeft w:val="0"/>
                  <w:marRight w:val="0"/>
                  <w:marTop w:val="0"/>
                  <w:marBottom w:val="0"/>
                  <w:divBdr>
                    <w:top w:val="none" w:sz="0" w:space="0" w:color="auto"/>
                    <w:left w:val="none" w:sz="0" w:space="0" w:color="auto"/>
                    <w:bottom w:val="none" w:sz="0" w:space="0" w:color="auto"/>
                    <w:right w:val="none" w:sz="0" w:space="0" w:color="auto"/>
                  </w:divBdr>
                  <w:divsChild>
                    <w:div w:id="1012801761">
                      <w:marLeft w:val="0"/>
                      <w:marRight w:val="0"/>
                      <w:marTop w:val="0"/>
                      <w:marBottom w:val="0"/>
                      <w:divBdr>
                        <w:top w:val="none" w:sz="0" w:space="0" w:color="auto"/>
                        <w:left w:val="none" w:sz="0" w:space="0" w:color="auto"/>
                        <w:bottom w:val="none" w:sz="0" w:space="0" w:color="auto"/>
                        <w:right w:val="none" w:sz="0" w:space="0" w:color="auto"/>
                      </w:divBdr>
                      <w:divsChild>
                        <w:div w:id="1615863708">
                          <w:marLeft w:val="0"/>
                          <w:marRight w:val="0"/>
                          <w:marTop w:val="0"/>
                          <w:marBottom w:val="0"/>
                          <w:divBdr>
                            <w:top w:val="none" w:sz="0" w:space="0" w:color="auto"/>
                            <w:left w:val="none" w:sz="0" w:space="0" w:color="auto"/>
                            <w:bottom w:val="none" w:sz="0" w:space="0" w:color="auto"/>
                            <w:right w:val="none" w:sz="0" w:space="0" w:color="auto"/>
                          </w:divBdr>
                          <w:divsChild>
                            <w:div w:id="1775202478">
                              <w:marLeft w:val="0"/>
                              <w:marRight w:val="0"/>
                              <w:marTop w:val="0"/>
                              <w:marBottom w:val="0"/>
                              <w:divBdr>
                                <w:top w:val="none" w:sz="0" w:space="0" w:color="auto"/>
                                <w:left w:val="none" w:sz="0" w:space="0" w:color="auto"/>
                                <w:bottom w:val="none" w:sz="0" w:space="0" w:color="auto"/>
                                <w:right w:val="none" w:sz="0" w:space="0" w:color="auto"/>
                              </w:divBdr>
                              <w:divsChild>
                                <w:div w:id="188325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153682">
      <w:bodyDiv w:val="1"/>
      <w:marLeft w:val="0"/>
      <w:marRight w:val="0"/>
      <w:marTop w:val="0"/>
      <w:marBottom w:val="0"/>
      <w:divBdr>
        <w:top w:val="none" w:sz="0" w:space="0" w:color="auto"/>
        <w:left w:val="none" w:sz="0" w:space="0" w:color="auto"/>
        <w:bottom w:val="none" w:sz="0" w:space="0" w:color="auto"/>
        <w:right w:val="none" w:sz="0" w:space="0" w:color="auto"/>
      </w:divBdr>
    </w:div>
    <w:div w:id="713652847">
      <w:bodyDiv w:val="1"/>
      <w:marLeft w:val="0"/>
      <w:marRight w:val="0"/>
      <w:marTop w:val="0"/>
      <w:marBottom w:val="0"/>
      <w:divBdr>
        <w:top w:val="none" w:sz="0" w:space="0" w:color="auto"/>
        <w:left w:val="none" w:sz="0" w:space="0" w:color="auto"/>
        <w:bottom w:val="none" w:sz="0" w:space="0" w:color="auto"/>
        <w:right w:val="none" w:sz="0" w:space="0" w:color="auto"/>
      </w:divBdr>
    </w:div>
    <w:div w:id="721487190">
      <w:bodyDiv w:val="1"/>
      <w:marLeft w:val="0"/>
      <w:marRight w:val="0"/>
      <w:marTop w:val="0"/>
      <w:marBottom w:val="0"/>
      <w:divBdr>
        <w:top w:val="none" w:sz="0" w:space="0" w:color="auto"/>
        <w:left w:val="none" w:sz="0" w:space="0" w:color="auto"/>
        <w:bottom w:val="none" w:sz="0" w:space="0" w:color="auto"/>
        <w:right w:val="none" w:sz="0" w:space="0" w:color="auto"/>
      </w:divBdr>
    </w:div>
    <w:div w:id="724571493">
      <w:bodyDiv w:val="1"/>
      <w:marLeft w:val="0"/>
      <w:marRight w:val="0"/>
      <w:marTop w:val="0"/>
      <w:marBottom w:val="0"/>
      <w:divBdr>
        <w:top w:val="none" w:sz="0" w:space="0" w:color="auto"/>
        <w:left w:val="none" w:sz="0" w:space="0" w:color="auto"/>
        <w:bottom w:val="none" w:sz="0" w:space="0" w:color="auto"/>
        <w:right w:val="none" w:sz="0" w:space="0" w:color="auto"/>
      </w:divBdr>
    </w:div>
    <w:div w:id="724909285">
      <w:bodyDiv w:val="1"/>
      <w:marLeft w:val="0"/>
      <w:marRight w:val="0"/>
      <w:marTop w:val="0"/>
      <w:marBottom w:val="0"/>
      <w:divBdr>
        <w:top w:val="none" w:sz="0" w:space="0" w:color="auto"/>
        <w:left w:val="none" w:sz="0" w:space="0" w:color="auto"/>
        <w:bottom w:val="none" w:sz="0" w:space="0" w:color="auto"/>
        <w:right w:val="none" w:sz="0" w:space="0" w:color="auto"/>
      </w:divBdr>
      <w:divsChild>
        <w:div w:id="1706785475">
          <w:marLeft w:val="0"/>
          <w:marRight w:val="0"/>
          <w:marTop w:val="0"/>
          <w:marBottom w:val="0"/>
          <w:divBdr>
            <w:top w:val="none" w:sz="0" w:space="0" w:color="auto"/>
            <w:left w:val="none" w:sz="0" w:space="0" w:color="auto"/>
            <w:bottom w:val="none" w:sz="0" w:space="0" w:color="auto"/>
            <w:right w:val="none" w:sz="0" w:space="0" w:color="auto"/>
          </w:divBdr>
          <w:divsChild>
            <w:div w:id="281301077">
              <w:marLeft w:val="0"/>
              <w:marRight w:val="0"/>
              <w:marTop w:val="0"/>
              <w:marBottom w:val="0"/>
              <w:divBdr>
                <w:top w:val="none" w:sz="0" w:space="0" w:color="auto"/>
                <w:left w:val="none" w:sz="0" w:space="0" w:color="auto"/>
                <w:bottom w:val="none" w:sz="0" w:space="0" w:color="auto"/>
                <w:right w:val="none" w:sz="0" w:space="0" w:color="auto"/>
              </w:divBdr>
              <w:divsChild>
                <w:div w:id="168444252">
                  <w:marLeft w:val="0"/>
                  <w:marRight w:val="0"/>
                  <w:marTop w:val="0"/>
                  <w:marBottom w:val="0"/>
                  <w:divBdr>
                    <w:top w:val="none" w:sz="0" w:space="0" w:color="auto"/>
                    <w:left w:val="none" w:sz="0" w:space="0" w:color="auto"/>
                    <w:bottom w:val="none" w:sz="0" w:space="0" w:color="auto"/>
                    <w:right w:val="none" w:sz="0" w:space="0" w:color="auto"/>
                  </w:divBdr>
                  <w:divsChild>
                    <w:div w:id="480971286">
                      <w:marLeft w:val="0"/>
                      <w:marRight w:val="0"/>
                      <w:marTop w:val="0"/>
                      <w:marBottom w:val="0"/>
                      <w:divBdr>
                        <w:top w:val="none" w:sz="0" w:space="0" w:color="auto"/>
                        <w:left w:val="none" w:sz="0" w:space="0" w:color="auto"/>
                        <w:bottom w:val="none" w:sz="0" w:space="0" w:color="auto"/>
                        <w:right w:val="none" w:sz="0" w:space="0" w:color="auto"/>
                      </w:divBdr>
                      <w:divsChild>
                        <w:div w:id="2028830272">
                          <w:marLeft w:val="0"/>
                          <w:marRight w:val="0"/>
                          <w:marTop w:val="0"/>
                          <w:marBottom w:val="0"/>
                          <w:divBdr>
                            <w:top w:val="none" w:sz="0" w:space="0" w:color="auto"/>
                            <w:left w:val="none" w:sz="0" w:space="0" w:color="auto"/>
                            <w:bottom w:val="none" w:sz="0" w:space="0" w:color="auto"/>
                            <w:right w:val="none" w:sz="0" w:space="0" w:color="auto"/>
                          </w:divBdr>
                          <w:divsChild>
                            <w:div w:id="1237285793">
                              <w:marLeft w:val="0"/>
                              <w:marRight w:val="0"/>
                              <w:marTop w:val="0"/>
                              <w:marBottom w:val="0"/>
                              <w:divBdr>
                                <w:top w:val="none" w:sz="0" w:space="0" w:color="auto"/>
                                <w:left w:val="none" w:sz="0" w:space="0" w:color="auto"/>
                                <w:bottom w:val="none" w:sz="0" w:space="0" w:color="auto"/>
                                <w:right w:val="none" w:sz="0" w:space="0" w:color="auto"/>
                              </w:divBdr>
                              <w:divsChild>
                                <w:div w:id="8711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004270">
      <w:bodyDiv w:val="1"/>
      <w:marLeft w:val="0"/>
      <w:marRight w:val="0"/>
      <w:marTop w:val="0"/>
      <w:marBottom w:val="0"/>
      <w:divBdr>
        <w:top w:val="none" w:sz="0" w:space="0" w:color="auto"/>
        <w:left w:val="none" w:sz="0" w:space="0" w:color="auto"/>
        <w:bottom w:val="none" w:sz="0" w:space="0" w:color="auto"/>
        <w:right w:val="none" w:sz="0" w:space="0" w:color="auto"/>
      </w:divBdr>
    </w:div>
    <w:div w:id="733284727">
      <w:bodyDiv w:val="1"/>
      <w:marLeft w:val="0"/>
      <w:marRight w:val="0"/>
      <w:marTop w:val="0"/>
      <w:marBottom w:val="0"/>
      <w:divBdr>
        <w:top w:val="none" w:sz="0" w:space="0" w:color="auto"/>
        <w:left w:val="none" w:sz="0" w:space="0" w:color="auto"/>
        <w:bottom w:val="none" w:sz="0" w:space="0" w:color="auto"/>
        <w:right w:val="none" w:sz="0" w:space="0" w:color="auto"/>
      </w:divBdr>
    </w:div>
    <w:div w:id="737049646">
      <w:bodyDiv w:val="1"/>
      <w:marLeft w:val="0"/>
      <w:marRight w:val="0"/>
      <w:marTop w:val="0"/>
      <w:marBottom w:val="0"/>
      <w:divBdr>
        <w:top w:val="none" w:sz="0" w:space="0" w:color="auto"/>
        <w:left w:val="none" w:sz="0" w:space="0" w:color="auto"/>
        <w:bottom w:val="none" w:sz="0" w:space="0" w:color="auto"/>
        <w:right w:val="none" w:sz="0" w:space="0" w:color="auto"/>
      </w:divBdr>
    </w:div>
    <w:div w:id="737367112">
      <w:bodyDiv w:val="1"/>
      <w:marLeft w:val="0"/>
      <w:marRight w:val="0"/>
      <w:marTop w:val="0"/>
      <w:marBottom w:val="0"/>
      <w:divBdr>
        <w:top w:val="none" w:sz="0" w:space="0" w:color="auto"/>
        <w:left w:val="none" w:sz="0" w:space="0" w:color="auto"/>
        <w:bottom w:val="none" w:sz="0" w:space="0" w:color="auto"/>
        <w:right w:val="none" w:sz="0" w:space="0" w:color="auto"/>
      </w:divBdr>
    </w:div>
    <w:div w:id="738984196">
      <w:bodyDiv w:val="1"/>
      <w:marLeft w:val="0"/>
      <w:marRight w:val="0"/>
      <w:marTop w:val="0"/>
      <w:marBottom w:val="0"/>
      <w:divBdr>
        <w:top w:val="none" w:sz="0" w:space="0" w:color="auto"/>
        <w:left w:val="none" w:sz="0" w:space="0" w:color="auto"/>
        <w:bottom w:val="none" w:sz="0" w:space="0" w:color="auto"/>
        <w:right w:val="none" w:sz="0" w:space="0" w:color="auto"/>
      </w:divBdr>
    </w:div>
    <w:div w:id="740952272">
      <w:bodyDiv w:val="1"/>
      <w:marLeft w:val="0"/>
      <w:marRight w:val="0"/>
      <w:marTop w:val="0"/>
      <w:marBottom w:val="0"/>
      <w:divBdr>
        <w:top w:val="none" w:sz="0" w:space="0" w:color="auto"/>
        <w:left w:val="none" w:sz="0" w:space="0" w:color="auto"/>
        <w:bottom w:val="none" w:sz="0" w:space="0" w:color="auto"/>
        <w:right w:val="none" w:sz="0" w:space="0" w:color="auto"/>
      </w:divBdr>
    </w:div>
    <w:div w:id="741680705">
      <w:bodyDiv w:val="1"/>
      <w:marLeft w:val="0"/>
      <w:marRight w:val="0"/>
      <w:marTop w:val="0"/>
      <w:marBottom w:val="0"/>
      <w:divBdr>
        <w:top w:val="none" w:sz="0" w:space="0" w:color="auto"/>
        <w:left w:val="none" w:sz="0" w:space="0" w:color="auto"/>
        <w:bottom w:val="none" w:sz="0" w:space="0" w:color="auto"/>
        <w:right w:val="none" w:sz="0" w:space="0" w:color="auto"/>
      </w:divBdr>
    </w:div>
    <w:div w:id="763301008">
      <w:bodyDiv w:val="1"/>
      <w:marLeft w:val="0"/>
      <w:marRight w:val="0"/>
      <w:marTop w:val="0"/>
      <w:marBottom w:val="0"/>
      <w:divBdr>
        <w:top w:val="none" w:sz="0" w:space="0" w:color="auto"/>
        <w:left w:val="none" w:sz="0" w:space="0" w:color="auto"/>
        <w:bottom w:val="none" w:sz="0" w:space="0" w:color="auto"/>
        <w:right w:val="none" w:sz="0" w:space="0" w:color="auto"/>
      </w:divBdr>
    </w:div>
    <w:div w:id="763575040">
      <w:bodyDiv w:val="1"/>
      <w:marLeft w:val="0"/>
      <w:marRight w:val="0"/>
      <w:marTop w:val="0"/>
      <w:marBottom w:val="0"/>
      <w:divBdr>
        <w:top w:val="none" w:sz="0" w:space="0" w:color="auto"/>
        <w:left w:val="none" w:sz="0" w:space="0" w:color="auto"/>
        <w:bottom w:val="none" w:sz="0" w:space="0" w:color="auto"/>
        <w:right w:val="none" w:sz="0" w:space="0" w:color="auto"/>
      </w:divBdr>
      <w:divsChild>
        <w:div w:id="474837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3722807">
      <w:bodyDiv w:val="1"/>
      <w:marLeft w:val="0"/>
      <w:marRight w:val="0"/>
      <w:marTop w:val="0"/>
      <w:marBottom w:val="0"/>
      <w:divBdr>
        <w:top w:val="none" w:sz="0" w:space="0" w:color="auto"/>
        <w:left w:val="none" w:sz="0" w:space="0" w:color="auto"/>
        <w:bottom w:val="none" w:sz="0" w:space="0" w:color="auto"/>
        <w:right w:val="none" w:sz="0" w:space="0" w:color="auto"/>
      </w:divBdr>
    </w:div>
    <w:div w:id="763765934">
      <w:bodyDiv w:val="1"/>
      <w:marLeft w:val="0"/>
      <w:marRight w:val="0"/>
      <w:marTop w:val="0"/>
      <w:marBottom w:val="0"/>
      <w:divBdr>
        <w:top w:val="none" w:sz="0" w:space="0" w:color="auto"/>
        <w:left w:val="none" w:sz="0" w:space="0" w:color="auto"/>
        <w:bottom w:val="none" w:sz="0" w:space="0" w:color="auto"/>
        <w:right w:val="none" w:sz="0" w:space="0" w:color="auto"/>
      </w:divBdr>
      <w:divsChild>
        <w:div w:id="1082488162">
          <w:marLeft w:val="0"/>
          <w:marRight w:val="0"/>
          <w:marTop w:val="600"/>
          <w:marBottom w:val="0"/>
          <w:divBdr>
            <w:top w:val="none" w:sz="0" w:space="0" w:color="auto"/>
            <w:left w:val="none" w:sz="0" w:space="0" w:color="auto"/>
            <w:bottom w:val="none" w:sz="0" w:space="0" w:color="auto"/>
            <w:right w:val="none" w:sz="0" w:space="0" w:color="auto"/>
          </w:divBdr>
          <w:divsChild>
            <w:div w:id="7517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5731">
      <w:bodyDiv w:val="1"/>
      <w:marLeft w:val="0"/>
      <w:marRight w:val="0"/>
      <w:marTop w:val="0"/>
      <w:marBottom w:val="0"/>
      <w:divBdr>
        <w:top w:val="none" w:sz="0" w:space="0" w:color="auto"/>
        <w:left w:val="none" w:sz="0" w:space="0" w:color="auto"/>
        <w:bottom w:val="none" w:sz="0" w:space="0" w:color="auto"/>
        <w:right w:val="none" w:sz="0" w:space="0" w:color="auto"/>
      </w:divBdr>
    </w:div>
    <w:div w:id="768237347">
      <w:bodyDiv w:val="1"/>
      <w:marLeft w:val="0"/>
      <w:marRight w:val="0"/>
      <w:marTop w:val="0"/>
      <w:marBottom w:val="0"/>
      <w:divBdr>
        <w:top w:val="none" w:sz="0" w:space="0" w:color="auto"/>
        <w:left w:val="none" w:sz="0" w:space="0" w:color="auto"/>
        <w:bottom w:val="none" w:sz="0" w:space="0" w:color="auto"/>
        <w:right w:val="none" w:sz="0" w:space="0" w:color="auto"/>
      </w:divBdr>
      <w:divsChild>
        <w:div w:id="82919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9351101">
      <w:bodyDiv w:val="1"/>
      <w:marLeft w:val="0"/>
      <w:marRight w:val="0"/>
      <w:marTop w:val="0"/>
      <w:marBottom w:val="0"/>
      <w:divBdr>
        <w:top w:val="none" w:sz="0" w:space="0" w:color="auto"/>
        <w:left w:val="none" w:sz="0" w:space="0" w:color="auto"/>
        <w:bottom w:val="none" w:sz="0" w:space="0" w:color="auto"/>
        <w:right w:val="none" w:sz="0" w:space="0" w:color="auto"/>
      </w:divBdr>
    </w:div>
    <w:div w:id="778910741">
      <w:bodyDiv w:val="1"/>
      <w:marLeft w:val="0"/>
      <w:marRight w:val="0"/>
      <w:marTop w:val="0"/>
      <w:marBottom w:val="0"/>
      <w:divBdr>
        <w:top w:val="none" w:sz="0" w:space="0" w:color="auto"/>
        <w:left w:val="none" w:sz="0" w:space="0" w:color="auto"/>
        <w:bottom w:val="none" w:sz="0" w:space="0" w:color="auto"/>
        <w:right w:val="none" w:sz="0" w:space="0" w:color="auto"/>
      </w:divBdr>
    </w:div>
    <w:div w:id="787360047">
      <w:bodyDiv w:val="1"/>
      <w:marLeft w:val="0"/>
      <w:marRight w:val="0"/>
      <w:marTop w:val="0"/>
      <w:marBottom w:val="0"/>
      <w:divBdr>
        <w:top w:val="none" w:sz="0" w:space="0" w:color="auto"/>
        <w:left w:val="none" w:sz="0" w:space="0" w:color="auto"/>
        <w:bottom w:val="none" w:sz="0" w:space="0" w:color="auto"/>
        <w:right w:val="none" w:sz="0" w:space="0" w:color="auto"/>
      </w:divBdr>
    </w:div>
    <w:div w:id="795804545">
      <w:bodyDiv w:val="1"/>
      <w:marLeft w:val="0"/>
      <w:marRight w:val="0"/>
      <w:marTop w:val="0"/>
      <w:marBottom w:val="0"/>
      <w:divBdr>
        <w:top w:val="none" w:sz="0" w:space="0" w:color="auto"/>
        <w:left w:val="none" w:sz="0" w:space="0" w:color="auto"/>
        <w:bottom w:val="none" w:sz="0" w:space="0" w:color="auto"/>
        <w:right w:val="none" w:sz="0" w:space="0" w:color="auto"/>
      </w:divBdr>
    </w:div>
    <w:div w:id="798106851">
      <w:bodyDiv w:val="1"/>
      <w:marLeft w:val="0"/>
      <w:marRight w:val="0"/>
      <w:marTop w:val="0"/>
      <w:marBottom w:val="0"/>
      <w:divBdr>
        <w:top w:val="none" w:sz="0" w:space="0" w:color="auto"/>
        <w:left w:val="none" w:sz="0" w:space="0" w:color="auto"/>
        <w:bottom w:val="none" w:sz="0" w:space="0" w:color="auto"/>
        <w:right w:val="none" w:sz="0" w:space="0" w:color="auto"/>
      </w:divBdr>
    </w:div>
    <w:div w:id="811287199">
      <w:bodyDiv w:val="1"/>
      <w:marLeft w:val="0"/>
      <w:marRight w:val="0"/>
      <w:marTop w:val="0"/>
      <w:marBottom w:val="0"/>
      <w:divBdr>
        <w:top w:val="none" w:sz="0" w:space="0" w:color="auto"/>
        <w:left w:val="none" w:sz="0" w:space="0" w:color="auto"/>
        <w:bottom w:val="none" w:sz="0" w:space="0" w:color="auto"/>
        <w:right w:val="none" w:sz="0" w:space="0" w:color="auto"/>
      </w:divBdr>
    </w:div>
    <w:div w:id="816610243">
      <w:bodyDiv w:val="1"/>
      <w:marLeft w:val="0"/>
      <w:marRight w:val="0"/>
      <w:marTop w:val="0"/>
      <w:marBottom w:val="0"/>
      <w:divBdr>
        <w:top w:val="none" w:sz="0" w:space="0" w:color="auto"/>
        <w:left w:val="none" w:sz="0" w:space="0" w:color="auto"/>
        <w:bottom w:val="none" w:sz="0" w:space="0" w:color="auto"/>
        <w:right w:val="none" w:sz="0" w:space="0" w:color="auto"/>
      </w:divBdr>
    </w:div>
    <w:div w:id="823201659">
      <w:bodyDiv w:val="1"/>
      <w:marLeft w:val="0"/>
      <w:marRight w:val="0"/>
      <w:marTop w:val="0"/>
      <w:marBottom w:val="0"/>
      <w:divBdr>
        <w:top w:val="none" w:sz="0" w:space="0" w:color="auto"/>
        <w:left w:val="none" w:sz="0" w:space="0" w:color="auto"/>
        <w:bottom w:val="none" w:sz="0" w:space="0" w:color="auto"/>
        <w:right w:val="none" w:sz="0" w:space="0" w:color="auto"/>
      </w:divBdr>
    </w:div>
    <w:div w:id="828638409">
      <w:bodyDiv w:val="1"/>
      <w:marLeft w:val="0"/>
      <w:marRight w:val="0"/>
      <w:marTop w:val="0"/>
      <w:marBottom w:val="0"/>
      <w:divBdr>
        <w:top w:val="none" w:sz="0" w:space="0" w:color="auto"/>
        <w:left w:val="none" w:sz="0" w:space="0" w:color="auto"/>
        <w:bottom w:val="none" w:sz="0" w:space="0" w:color="auto"/>
        <w:right w:val="none" w:sz="0" w:space="0" w:color="auto"/>
      </w:divBdr>
    </w:div>
    <w:div w:id="839006685">
      <w:bodyDiv w:val="1"/>
      <w:marLeft w:val="0"/>
      <w:marRight w:val="0"/>
      <w:marTop w:val="0"/>
      <w:marBottom w:val="0"/>
      <w:divBdr>
        <w:top w:val="none" w:sz="0" w:space="0" w:color="auto"/>
        <w:left w:val="none" w:sz="0" w:space="0" w:color="auto"/>
        <w:bottom w:val="none" w:sz="0" w:space="0" w:color="auto"/>
        <w:right w:val="none" w:sz="0" w:space="0" w:color="auto"/>
      </w:divBdr>
    </w:div>
    <w:div w:id="840704772">
      <w:bodyDiv w:val="1"/>
      <w:marLeft w:val="0"/>
      <w:marRight w:val="0"/>
      <w:marTop w:val="0"/>
      <w:marBottom w:val="0"/>
      <w:divBdr>
        <w:top w:val="none" w:sz="0" w:space="0" w:color="auto"/>
        <w:left w:val="none" w:sz="0" w:space="0" w:color="auto"/>
        <w:bottom w:val="none" w:sz="0" w:space="0" w:color="auto"/>
        <w:right w:val="none" w:sz="0" w:space="0" w:color="auto"/>
      </w:divBdr>
    </w:div>
    <w:div w:id="842091623">
      <w:bodyDiv w:val="1"/>
      <w:marLeft w:val="0"/>
      <w:marRight w:val="0"/>
      <w:marTop w:val="0"/>
      <w:marBottom w:val="0"/>
      <w:divBdr>
        <w:top w:val="none" w:sz="0" w:space="0" w:color="auto"/>
        <w:left w:val="none" w:sz="0" w:space="0" w:color="auto"/>
        <w:bottom w:val="none" w:sz="0" w:space="0" w:color="auto"/>
        <w:right w:val="none" w:sz="0" w:space="0" w:color="auto"/>
      </w:divBdr>
    </w:div>
    <w:div w:id="846016064">
      <w:bodyDiv w:val="1"/>
      <w:marLeft w:val="0"/>
      <w:marRight w:val="0"/>
      <w:marTop w:val="0"/>
      <w:marBottom w:val="0"/>
      <w:divBdr>
        <w:top w:val="none" w:sz="0" w:space="0" w:color="auto"/>
        <w:left w:val="none" w:sz="0" w:space="0" w:color="auto"/>
        <w:bottom w:val="none" w:sz="0" w:space="0" w:color="auto"/>
        <w:right w:val="none" w:sz="0" w:space="0" w:color="auto"/>
      </w:divBdr>
    </w:div>
    <w:div w:id="850602027">
      <w:bodyDiv w:val="1"/>
      <w:marLeft w:val="0"/>
      <w:marRight w:val="0"/>
      <w:marTop w:val="0"/>
      <w:marBottom w:val="0"/>
      <w:divBdr>
        <w:top w:val="none" w:sz="0" w:space="0" w:color="auto"/>
        <w:left w:val="none" w:sz="0" w:space="0" w:color="auto"/>
        <w:bottom w:val="none" w:sz="0" w:space="0" w:color="auto"/>
        <w:right w:val="none" w:sz="0" w:space="0" w:color="auto"/>
      </w:divBdr>
    </w:div>
    <w:div w:id="859054105">
      <w:bodyDiv w:val="1"/>
      <w:marLeft w:val="0"/>
      <w:marRight w:val="0"/>
      <w:marTop w:val="0"/>
      <w:marBottom w:val="0"/>
      <w:divBdr>
        <w:top w:val="none" w:sz="0" w:space="0" w:color="auto"/>
        <w:left w:val="none" w:sz="0" w:space="0" w:color="auto"/>
        <w:bottom w:val="none" w:sz="0" w:space="0" w:color="auto"/>
        <w:right w:val="none" w:sz="0" w:space="0" w:color="auto"/>
      </w:divBdr>
      <w:divsChild>
        <w:div w:id="1544175962">
          <w:marLeft w:val="0"/>
          <w:marRight w:val="0"/>
          <w:marTop w:val="0"/>
          <w:marBottom w:val="0"/>
          <w:divBdr>
            <w:top w:val="none" w:sz="0" w:space="0" w:color="auto"/>
            <w:left w:val="none" w:sz="0" w:space="0" w:color="auto"/>
            <w:bottom w:val="none" w:sz="0" w:space="0" w:color="auto"/>
            <w:right w:val="none" w:sz="0" w:space="0" w:color="auto"/>
          </w:divBdr>
          <w:divsChild>
            <w:div w:id="1925722965">
              <w:marLeft w:val="0"/>
              <w:marRight w:val="0"/>
              <w:marTop w:val="0"/>
              <w:marBottom w:val="0"/>
              <w:divBdr>
                <w:top w:val="none" w:sz="0" w:space="0" w:color="auto"/>
                <w:left w:val="none" w:sz="0" w:space="0" w:color="auto"/>
                <w:bottom w:val="none" w:sz="0" w:space="0" w:color="auto"/>
                <w:right w:val="none" w:sz="0" w:space="0" w:color="auto"/>
              </w:divBdr>
              <w:divsChild>
                <w:div w:id="1595434644">
                  <w:marLeft w:val="0"/>
                  <w:marRight w:val="0"/>
                  <w:marTop w:val="0"/>
                  <w:marBottom w:val="0"/>
                  <w:divBdr>
                    <w:top w:val="none" w:sz="0" w:space="0" w:color="auto"/>
                    <w:left w:val="none" w:sz="0" w:space="0" w:color="auto"/>
                    <w:bottom w:val="none" w:sz="0" w:space="0" w:color="auto"/>
                    <w:right w:val="none" w:sz="0" w:space="0" w:color="auto"/>
                  </w:divBdr>
                  <w:divsChild>
                    <w:div w:id="1804694435">
                      <w:marLeft w:val="0"/>
                      <w:marRight w:val="0"/>
                      <w:marTop w:val="0"/>
                      <w:marBottom w:val="0"/>
                      <w:divBdr>
                        <w:top w:val="none" w:sz="0" w:space="0" w:color="auto"/>
                        <w:left w:val="none" w:sz="0" w:space="0" w:color="auto"/>
                        <w:bottom w:val="none" w:sz="0" w:space="0" w:color="auto"/>
                        <w:right w:val="none" w:sz="0" w:space="0" w:color="auto"/>
                      </w:divBdr>
                      <w:divsChild>
                        <w:div w:id="113211323">
                          <w:marLeft w:val="0"/>
                          <w:marRight w:val="0"/>
                          <w:marTop w:val="0"/>
                          <w:marBottom w:val="0"/>
                          <w:divBdr>
                            <w:top w:val="none" w:sz="0" w:space="0" w:color="auto"/>
                            <w:left w:val="none" w:sz="0" w:space="0" w:color="auto"/>
                            <w:bottom w:val="none" w:sz="0" w:space="0" w:color="auto"/>
                            <w:right w:val="none" w:sz="0" w:space="0" w:color="auto"/>
                          </w:divBdr>
                          <w:divsChild>
                            <w:div w:id="444234297">
                              <w:marLeft w:val="0"/>
                              <w:marRight w:val="0"/>
                              <w:marTop w:val="0"/>
                              <w:marBottom w:val="0"/>
                              <w:divBdr>
                                <w:top w:val="none" w:sz="0" w:space="0" w:color="auto"/>
                                <w:left w:val="none" w:sz="0" w:space="0" w:color="auto"/>
                                <w:bottom w:val="none" w:sz="0" w:space="0" w:color="auto"/>
                                <w:right w:val="none" w:sz="0" w:space="0" w:color="auto"/>
                              </w:divBdr>
                              <w:divsChild>
                                <w:div w:id="16196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557449">
      <w:bodyDiv w:val="1"/>
      <w:marLeft w:val="0"/>
      <w:marRight w:val="0"/>
      <w:marTop w:val="0"/>
      <w:marBottom w:val="0"/>
      <w:divBdr>
        <w:top w:val="none" w:sz="0" w:space="0" w:color="auto"/>
        <w:left w:val="none" w:sz="0" w:space="0" w:color="auto"/>
        <w:bottom w:val="none" w:sz="0" w:space="0" w:color="auto"/>
        <w:right w:val="none" w:sz="0" w:space="0" w:color="auto"/>
      </w:divBdr>
    </w:div>
    <w:div w:id="871966335">
      <w:bodyDiv w:val="1"/>
      <w:marLeft w:val="0"/>
      <w:marRight w:val="0"/>
      <w:marTop w:val="0"/>
      <w:marBottom w:val="0"/>
      <w:divBdr>
        <w:top w:val="none" w:sz="0" w:space="0" w:color="auto"/>
        <w:left w:val="none" w:sz="0" w:space="0" w:color="auto"/>
        <w:bottom w:val="none" w:sz="0" w:space="0" w:color="auto"/>
        <w:right w:val="none" w:sz="0" w:space="0" w:color="auto"/>
      </w:divBdr>
    </w:div>
    <w:div w:id="876235764">
      <w:bodyDiv w:val="1"/>
      <w:marLeft w:val="0"/>
      <w:marRight w:val="0"/>
      <w:marTop w:val="0"/>
      <w:marBottom w:val="0"/>
      <w:divBdr>
        <w:top w:val="none" w:sz="0" w:space="0" w:color="auto"/>
        <w:left w:val="none" w:sz="0" w:space="0" w:color="auto"/>
        <w:bottom w:val="none" w:sz="0" w:space="0" w:color="auto"/>
        <w:right w:val="none" w:sz="0" w:space="0" w:color="auto"/>
      </w:divBdr>
    </w:div>
    <w:div w:id="876628121">
      <w:bodyDiv w:val="1"/>
      <w:marLeft w:val="0"/>
      <w:marRight w:val="0"/>
      <w:marTop w:val="0"/>
      <w:marBottom w:val="0"/>
      <w:divBdr>
        <w:top w:val="none" w:sz="0" w:space="0" w:color="auto"/>
        <w:left w:val="none" w:sz="0" w:space="0" w:color="auto"/>
        <w:bottom w:val="none" w:sz="0" w:space="0" w:color="auto"/>
        <w:right w:val="none" w:sz="0" w:space="0" w:color="auto"/>
      </w:divBdr>
    </w:div>
    <w:div w:id="896937244">
      <w:bodyDiv w:val="1"/>
      <w:marLeft w:val="0"/>
      <w:marRight w:val="0"/>
      <w:marTop w:val="0"/>
      <w:marBottom w:val="0"/>
      <w:divBdr>
        <w:top w:val="none" w:sz="0" w:space="0" w:color="auto"/>
        <w:left w:val="none" w:sz="0" w:space="0" w:color="auto"/>
        <w:bottom w:val="none" w:sz="0" w:space="0" w:color="auto"/>
        <w:right w:val="none" w:sz="0" w:space="0" w:color="auto"/>
      </w:divBdr>
    </w:div>
    <w:div w:id="900288890">
      <w:bodyDiv w:val="1"/>
      <w:marLeft w:val="0"/>
      <w:marRight w:val="0"/>
      <w:marTop w:val="0"/>
      <w:marBottom w:val="0"/>
      <w:divBdr>
        <w:top w:val="none" w:sz="0" w:space="0" w:color="auto"/>
        <w:left w:val="none" w:sz="0" w:space="0" w:color="auto"/>
        <w:bottom w:val="none" w:sz="0" w:space="0" w:color="auto"/>
        <w:right w:val="none" w:sz="0" w:space="0" w:color="auto"/>
      </w:divBdr>
    </w:div>
    <w:div w:id="906380015">
      <w:bodyDiv w:val="1"/>
      <w:marLeft w:val="0"/>
      <w:marRight w:val="0"/>
      <w:marTop w:val="0"/>
      <w:marBottom w:val="0"/>
      <w:divBdr>
        <w:top w:val="none" w:sz="0" w:space="0" w:color="auto"/>
        <w:left w:val="none" w:sz="0" w:space="0" w:color="auto"/>
        <w:bottom w:val="none" w:sz="0" w:space="0" w:color="auto"/>
        <w:right w:val="none" w:sz="0" w:space="0" w:color="auto"/>
      </w:divBdr>
    </w:div>
    <w:div w:id="908534676">
      <w:bodyDiv w:val="1"/>
      <w:marLeft w:val="0"/>
      <w:marRight w:val="0"/>
      <w:marTop w:val="0"/>
      <w:marBottom w:val="0"/>
      <w:divBdr>
        <w:top w:val="none" w:sz="0" w:space="0" w:color="auto"/>
        <w:left w:val="none" w:sz="0" w:space="0" w:color="auto"/>
        <w:bottom w:val="none" w:sz="0" w:space="0" w:color="auto"/>
        <w:right w:val="none" w:sz="0" w:space="0" w:color="auto"/>
      </w:divBdr>
    </w:div>
    <w:div w:id="934283120">
      <w:bodyDiv w:val="1"/>
      <w:marLeft w:val="0"/>
      <w:marRight w:val="0"/>
      <w:marTop w:val="0"/>
      <w:marBottom w:val="0"/>
      <w:divBdr>
        <w:top w:val="none" w:sz="0" w:space="0" w:color="auto"/>
        <w:left w:val="none" w:sz="0" w:space="0" w:color="auto"/>
        <w:bottom w:val="none" w:sz="0" w:space="0" w:color="auto"/>
        <w:right w:val="none" w:sz="0" w:space="0" w:color="auto"/>
      </w:divBdr>
    </w:div>
    <w:div w:id="944196859">
      <w:bodyDiv w:val="1"/>
      <w:marLeft w:val="0"/>
      <w:marRight w:val="0"/>
      <w:marTop w:val="0"/>
      <w:marBottom w:val="0"/>
      <w:divBdr>
        <w:top w:val="none" w:sz="0" w:space="0" w:color="auto"/>
        <w:left w:val="none" w:sz="0" w:space="0" w:color="auto"/>
        <w:bottom w:val="none" w:sz="0" w:space="0" w:color="auto"/>
        <w:right w:val="none" w:sz="0" w:space="0" w:color="auto"/>
      </w:divBdr>
    </w:div>
    <w:div w:id="948125585">
      <w:bodyDiv w:val="1"/>
      <w:marLeft w:val="0"/>
      <w:marRight w:val="0"/>
      <w:marTop w:val="0"/>
      <w:marBottom w:val="0"/>
      <w:divBdr>
        <w:top w:val="none" w:sz="0" w:space="0" w:color="auto"/>
        <w:left w:val="none" w:sz="0" w:space="0" w:color="auto"/>
        <w:bottom w:val="none" w:sz="0" w:space="0" w:color="auto"/>
        <w:right w:val="none" w:sz="0" w:space="0" w:color="auto"/>
      </w:divBdr>
    </w:div>
    <w:div w:id="949630480">
      <w:bodyDiv w:val="1"/>
      <w:marLeft w:val="0"/>
      <w:marRight w:val="0"/>
      <w:marTop w:val="0"/>
      <w:marBottom w:val="0"/>
      <w:divBdr>
        <w:top w:val="none" w:sz="0" w:space="0" w:color="auto"/>
        <w:left w:val="none" w:sz="0" w:space="0" w:color="auto"/>
        <w:bottom w:val="none" w:sz="0" w:space="0" w:color="auto"/>
        <w:right w:val="none" w:sz="0" w:space="0" w:color="auto"/>
      </w:divBdr>
    </w:div>
    <w:div w:id="952133525">
      <w:bodyDiv w:val="1"/>
      <w:marLeft w:val="0"/>
      <w:marRight w:val="0"/>
      <w:marTop w:val="0"/>
      <w:marBottom w:val="0"/>
      <w:divBdr>
        <w:top w:val="none" w:sz="0" w:space="0" w:color="auto"/>
        <w:left w:val="none" w:sz="0" w:space="0" w:color="auto"/>
        <w:bottom w:val="none" w:sz="0" w:space="0" w:color="auto"/>
        <w:right w:val="none" w:sz="0" w:space="0" w:color="auto"/>
      </w:divBdr>
    </w:div>
    <w:div w:id="952245835">
      <w:bodyDiv w:val="1"/>
      <w:marLeft w:val="0"/>
      <w:marRight w:val="0"/>
      <w:marTop w:val="0"/>
      <w:marBottom w:val="0"/>
      <w:divBdr>
        <w:top w:val="none" w:sz="0" w:space="0" w:color="auto"/>
        <w:left w:val="none" w:sz="0" w:space="0" w:color="auto"/>
        <w:bottom w:val="none" w:sz="0" w:space="0" w:color="auto"/>
        <w:right w:val="none" w:sz="0" w:space="0" w:color="auto"/>
      </w:divBdr>
    </w:div>
    <w:div w:id="964308303">
      <w:bodyDiv w:val="1"/>
      <w:marLeft w:val="0"/>
      <w:marRight w:val="0"/>
      <w:marTop w:val="0"/>
      <w:marBottom w:val="0"/>
      <w:divBdr>
        <w:top w:val="none" w:sz="0" w:space="0" w:color="auto"/>
        <w:left w:val="none" w:sz="0" w:space="0" w:color="auto"/>
        <w:bottom w:val="none" w:sz="0" w:space="0" w:color="auto"/>
        <w:right w:val="none" w:sz="0" w:space="0" w:color="auto"/>
      </w:divBdr>
      <w:divsChild>
        <w:div w:id="270479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398865">
      <w:bodyDiv w:val="1"/>
      <w:marLeft w:val="0"/>
      <w:marRight w:val="0"/>
      <w:marTop w:val="0"/>
      <w:marBottom w:val="0"/>
      <w:divBdr>
        <w:top w:val="none" w:sz="0" w:space="0" w:color="auto"/>
        <w:left w:val="none" w:sz="0" w:space="0" w:color="auto"/>
        <w:bottom w:val="none" w:sz="0" w:space="0" w:color="auto"/>
        <w:right w:val="none" w:sz="0" w:space="0" w:color="auto"/>
      </w:divBdr>
    </w:div>
    <w:div w:id="991056640">
      <w:bodyDiv w:val="1"/>
      <w:marLeft w:val="0"/>
      <w:marRight w:val="0"/>
      <w:marTop w:val="0"/>
      <w:marBottom w:val="0"/>
      <w:divBdr>
        <w:top w:val="none" w:sz="0" w:space="0" w:color="auto"/>
        <w:left w:val="none" w:sz="0" w:space="0" w:color="auto"/>
        <w:bottom w:val="none" w:sz="0" w:space="0" w:color="auto"/>
        <w:right w:val="none" w:sz="0" w:space="0" w:color="auto"/>
      </w:divBdr>
    </w:div>
    <w:div w:id="993800248">
      <w:bodyDiv w:val="1"/>
      <w:marLeft w:val="0"/>
      <w:marRight w:val="0"/>
      <w:marTop w:val="0"/>
      <w:marBottom w:val="0"/>
      <w:divBdr>
        <w:top w:val="none" w:sz="0" w:space="0" w:color="auto"/>
        <w:left w:val="none" w:sz="0" w:space="0" w:color="auto"/>
        <w:bottom w:val="none" w:sz="0" w:space="0" w:color="auto"/>
        <w:right w:val="none" w:sz="0" w:space="0" w:color="auto"/>
      </w:divBdr>
      <w:divsChild>
        <w:div w:id="525480424">
          <w:marLeft w:val="0"/>
          <w:marRight w:val="0"/>
          <w:marTop w:val="0"/>
          <w:marBottom w:val="0"/>
          <w:divBdr>
            <w:top w:val="none" w:sz="0" w:space="0" w:color="auto"/>
            <w:left w:val="none" w:sz="0" w:space="0" w:color="auto"/>
            <w:bottom w:val="none" w:sz="0" w:space="0" w:color="auto"/>
            <w:right w:val="none" w:sz="0" w:space="0" w:color="auto"/>
          </w:divBdr>
          <w:divsChild>
            <w:div w:id="521936916">
              <w:marLeft w:val="0"/>
              <w:marRight w:val="0"/>
              <w:marTop w:val="0"/>
              <w:marBottom w:val="0"/>
              <w:divBdr>
                <w:top w:val="none" w:sz="0" w:space="0" w:color="auto"/>
                <w:left w:val="none" w:sz="0" w:space="0" w:color="auto"/>
                <w:bottom w:val="none" w:sz="0" w:space="0" w:color="auto"/>
                <w:right w:val="none" w:sz="0" w:space="0" w:color="auto"/>
              </w:divBdr>
              <w:divsChild>
                <w:div w:id="2026207268">
                  <w:marLeft w:val="0"/>
                  <w:marRight w:val="0"/>
                  <w:marTop w:val="0"/>
                  <w:marBottom w:val="0"/>
                  <w:divBdr>
                    <w:top w:val="none" w:sz="0" w:space="0" w:color="auto"/>
                    <w:left w:val="none" w:sz="0" w:space="0" w:color="auto"/>
                    <w:bottom w:val="none" w:sz="0" w:space="0" w:color="auto"/>
                    <w:right w:val="none" w:sz="0" w:space="0" w:color="auto"/>
                  </w:divBdr>
                  <w:divsChild>
                    <w:div w:id="918950533">
                      <w:marLeft w:val="0"/>
                      <w:marRight w:val="0"/>
                      <w:marTop w:val="0"/>
                      <w:marBottom w:val="0"/>
                      <w:divBdr>
                        <w:top w:val="none" w:sz="0" w:space="0" w:color="auto"/>
                        <w:left w:val="none" w:sz="0" w:space="0" w:color="auto"/>
                        <w:bottom w:val="none" w:sz="0" w:space="0" w:color="auto"/>
                        <w:right w:val="none" w:sz="0" w:space="0" w:color="auto"/>
                      </w:divBdr>
                      <w:divsChild>
                        <w:div w:id="1004866349">
                          <w:marLeft w:val="0"/>
                          <w:marRight w:val="0"/>
                          <w:marTop w:val="0"/>
                          <w:marBottom w:val="0"/>
                          <w:divBdr>
                            <w:top w:val="none" w:sz="0" w:space="0" w:color="auto"/>
                            <w:left w:val="none" w:sz="0" w:space="0" w:color="auto"/>
                            <w:bottom w:val="none" w:sz="0" w:space="0" w:color="auto"/>
                            <w:right w:val="none" w:sz="0" w:space="0" w:color="auto"/>
                          </w:divBdr>
                          <w:divsChild>
                            <w:div w:id="13315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768352">
      <w:bodyDiv w:val="1"/>
      <w:marLeft w:val="0"/>
      <w:marRight w:val="0"/>
      <w:marTop w:val="0"/>
      <w:marBottom w:val="0"/>
      <w:divBdr>
        <w:top w:val="none" w:sz="0" w:space="0" w:color="auto"/>
        <w:left w:val="none" w:sz="0" w:space="0" w:color="auto"/>
        <w:bottom w:val="none" w:sz="0" w:space="0" w:color="auto"/>
        <w:right w:val="none" w:sz="0" w:space="0" w:color="auto"/>
      </w:divBdr>
    </w:div>
    <w:div w:id="997927247">
      <w:bodyDiv w:val="1"/>
      <w:marLeft w:val="0"/>
      <w:marRight w:val="0"/>
      <w:marTop w:val="0"/>
      <w:marBottom w:val="0"/>
      <w:divBdr>
        <w:top w:val="none" w:sz="0" w:space="0" w:color="auto"/>
        <w:left w:val="none" w:sz="0" w:space="0" w:color="auto"/>
        <w:bottom w:val="none" w:sz="0" w:space="0" w:color="auto"/>
        <w:right w:val="none" w:sz="0" w:space="0" w:color="auto"/>
      </w:divBdr>
    </w:div>
    <w:div w:id="1005747849">
      <w:bodyDiv w:val="1"/>
      <w:marLeft w:val="0"/>
      <w:marRight w:val="0"/>
      <w:marTop w:val="0"/>
      <w:marBottom w:val="0"/>
      <w:divBdr>
        <w:top w:val="none" w:sz="0" w:space="0" w:color="auto"/>
        <w:left w:val="none" w:sz="0" w:space="0" w:color="auto"/>
        <w:bottom w:val="none" w:sz="0" w:space="0" w:color="auto"/>
        <w:right w:val="none" w:sz="0" w:space="0" w:color="auto"/>
      </w:divBdr>
    </w:div>
    <w:div w:id="1007707063">
      <w:bodyDiv w:val="1"/>
      <w:marLeft w:val="0"/>
      <w:marRight w:val="0"/>
      <w:marTop w:val="0"/>
      <w:marBottom w:val="0"/>
      <w:divBdr>
        <w:top w:val="none" w:sz="0" w:space="0" w:color="auto"/>
        <w:left w:val="none" w:sz="0" w:space="0" w:color="auto"/>
        <w:bottom w:val="none" w:sz="0" w:space="0" w:color="auto"/>
        <w:right w:val="none" w:sz="0" w:space="0" w:color="auto"/>
      </w:divBdr>
      <w:divsChild>
        <w:div w:id="453065130">
          <w:marLeft w:val="0"/>
          <w:marRight w:val="0"/>
          <w:marTop w:val="0"/>
          <w:marBottom w:val="0"/>
          <w:divBdr>
            <w:top w:val="none" w:sz="0" w:space="0" w:color="auto"/>
            <w:left w:val="none" w:sz="0" w:space="0" w:color="auto"/>
            <w:bottom w:val="none" w:sz="0" w:space="0" w:color="auto"/>
            <w:right w:val="none" w:sz="0" w:space="0" w:color="auto"/>
          </w:divBdr>
          <w:divsChild>
            <w:div w:id="401101570">
              <w:marLeft w:val="0"/>
              <w:marRight w:val="0"/>
              <w:marTop w:val="0"/>
              <w:marBottom w:val="0"/>
              <w:divBdr>
                <w:top w:val="none" w:sz="0" w:space="0" w:color="auto"/>
                <w:left w:val="none" w:sz="0" w:space="0" w:color="auto"/>
                <w:bottom w:val="none" w:sz="0" w:space="0" w:color="auto"/>
                <w:right w:val="none" w:sz="0" w:space="0" w:color="auto"/>
              </w:divBdr>
              <w:divsChild>
                <w:div w:id="2116435603">
                  <w:marLeft w:val="0"/>
                  <w:marRight w:val="0"/>
                  <w:marTop w:val="0"/>
                  <w:marBottom w:val="0"/>
                  <w:divBdr>
                    <w:top w:val="none" w:sz="0" w:space="0" w:color="auto"/>
                    <w:left w:val="none" w:sz="0" w:space="0" w:color="auto"/>
                    <w:bottom w:val="none" w:sz="0" w:space="0" w:color="auto"/>
                    <w:right w:val="none" w:sz="0" w:space="0" w:color="auto"/>
                  </w:divBdr>
                  <w:divsChild>
                    <w:div w:id="1925801444">
                      <w:marLeft w:val="0"/>
                      <w:marRight w:val="0"/>
                      <w:marTop w:val="0"/>
                      <w:marBottom w:val="0"/>
                      <w:divBdr>
                        <w:top w:val="none" w:sz="0" w:space="0" w:color="auto"/>
                        <w:left w:val="none" w:sz="0" w:space="0" w:color="auto"/>
                        <w:bottom w:val="none" w:sz="0" w:space="0" w:color="auto"/>
                        <w:right w:val="none" w:sz="0" w:space="0" w:color="auto"/>
                      </w:divBdr>
                      <w:divsChild>
                        <w:div w:id="818425579">
                          <w:marLeft w:val="0"/>
                          <w:marRight w:val="0"/>
                          <w:marTop w:val="0"/>
                          <w:marBottom w:val="0"/>
                          <w:divBdr>
                            <w:top w:val="none" w:sz="0" w:space="0" w:color="auto"/>
                            <w:left w:val="none" w:sz="0" w:space="0" w:color="auto"/>
                            <w:bottom w:val="none" w:sz="0" w:space="0" w:color="auto"/>
                            <w:right w:val="none" w:sz="0" w:space="0" w:color="auto"/>
                          </w:divBdr>
                          <w:divsChild>
                            <w:div w:id="2389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837659">
      <w:bodyDiv w:val="1"/>
      <w:marLeft w:val="0"/>
      <w:marRight w:val="0"/>
      <w:marTop w:val="0"/>
      <w:marBottom w:val="0"/>
      <w:divBdr>
        <w:top w:val="none" w:sz="0" w:space="0" w:color="auto"/>
        <w:left w:val="none" w:sz="0" w:space="0" w:color="auto"/>
        <w:bottom w:val="none" w:sz="0" w:space="0" w:color="auto"/>
        <w:right w:val="none" w:sz="0" w:space="0" w:color="auto"/>
      </w:divBdr>
    </w:div>
    <w:div w:id="1011449023">
      <w:bodyDiv w:val="1"/>
      <w:marLeft w:val="0"/>
      <w:marRight w:val="0"/>
      <w:marTop w:val="0"/>
      <w:marBottom w:val="0"/>
      <w:divBdr>
        <w:top w:val="none" w:sz="0" w:space="0" w:color="auto"/>
        <w:left w:val="none" w:sz="0" w:space="0" w:color="auto"/>
        <w:bottom w:val="none" w:sz="0" w:space="0" w:color="auto"/>
        <w:right w:val="none" w:sz="0" w:space="0" w:color="auto"/>
      </w:divBdr>
    </w:div>
    <w:div w:id="1015569368">
      <w:bodyDiv w:val="1"/>
      <w:marLeft w:val="0"/>
      <w:marRight w:val="0"/>
      <w:marTop w:val="0"/>
      <w:marBottom w:val="0"/>
      <w:divBdr>
        <w:top w:val="none" w:sz="0" w:space="0" w:color="auto"/>
        <w:left w:val="none" w:sz="0" w:space="0" w:color="auto"/>
        <w:bottom w:val="none" w:sz="0" w:space="0" w:color="auto"/>
        <w:right w:val="none" w:sz="0" w:space="0" w:color="auto"/>
      </w:divBdr>
      <w:divsChild>
        <w:div w:id="1212689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469927">
      <w:bodyDiv w:val="1"/>
      <w:marLeft w:val="0"/>
      <w:marRight w:val="0"/>
      <w:marTop w:val="0"/>
      <w:marBottom w:val="0"/>
      <w:divBdr>
        <w:top w:val="none" w:sz="0" w:space="0" w:color="auto"/>
        <w:left w:val="none" w:sz="0" w:space="0" w:color="auto"/>
        <w:bottom w:val="none" w:sz="0" w:space="0" w:color="auto"/>
        <w:right w:val="none" w:sz="0" w:space="0" w:color="auto"/>
      </w:divBdr>
    </w:div>
    <w:div w:id="1017924077">
      <w:bodyDiv w:val="1"/>
      <w:marLeft w:val="0"/>
      <w:marRight w:val="0"/>
      <w:marTop w:val="0"/>
      <w:marBottom w:val="0"/>
      <w:divBdr>
        <w:top w:val="none" w:sz="0" w:space="0" w:color="auto"/>
        <w:left w:val="none" w:sz="0" w:space="0" w:color="auto"/>
        <w:bottom w:val="none" w:sz="0" w:space="0" w:color="auto"/>
        <w:right w:val="none" w:sz="0" w:space="0" w:color="auto"/>
      </w:divBdr>
    </w:div>
    <w:div w:id="1025180010">
      <w:bodyDiv w:val="1"/>
      <w:marLeft w:val="0"/>
      <w:marRight w:val="0"/>
      <w:marTop w:val="0"/>
      <w:marBottom w:val="0"/>
      <w:divBdr>
        <w:top w:val="none" w:sz="0" w:space="0" w:color="auto"/>
        <w:left w:val="none" w:sz="0" w:space="0" w:color="auto"/>
        <w:bottom w:val="none" w:sz="0" w:space="0" w:color="auto"/>
        <w:right w:val="none" w:sz="0" w:space="0" w:color="auto"/>
      </w:divBdr>
    </w:div>
    <w:div w:id="1026102777">
      <w:bodyDiv w:val="1"/>
      <w:marLeft w:val="0"/>
      <w:marRight w:val="0"/>
      <w:marTop w:val="0"/>
      <w:marBottom w:val="0"/>
      <w:divBdr>
        <w:top w:val="none" w:sz="0" w:space="0" w:color="auto"/>
        <w:left w:val="none" w:sz="0" w:space="0" w:color="auto"/>
        <w:bottom w:val="none" w:sz="0" w:space="0" w:color="auto"/>
        <w:right w:val="none" w:sz="0" w:space="0" w:color="auto"/>
      </w:divBdr>
    </w:div>
    <w:div w:id="1026833744">
      <w:bodyDiv w:val="1"/>
      <w:marLeft w:val="0"/>
      <w:marRight w:val="0"/>
      <w:marTop w:val="0"/>
      <w:marBottom w:val="0"/>
      <w:divBdr>
        <w:top w:val="none" w:sz="0" w:space="0" w:color="auto"/>
        <w:left w:val="none" w:sz="0" w:space="0" w:color="auto"/>
        <w:bottom w:val="none" w:sz="0" w:space="0" w:color="auto"/>
        <w:right w:val="none" w:sz="0" w:space="0" w:color="auto"/>
      </w:divBdr>
      <w:divsChild>
        <w:div w:id="1263493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7826991">
      <w:bodyDiv w:val="1"/>
      <w:marLeft w:val="0"/>
      <w:marRight w:val="0"/>
      <w:marTop w:val="0"/>
      <w:marBottom w:val="0"/>
      <w:divBdr>
        <w:top w:val="none" w:sz="0" w:space="0" w:color="auto"/>
        <w:left w:val="none" w:sz="0" w:space="0" w:color="auto"/>
        <w:bottom w:val="none" w:sz="0" w:space="0" w:color="auto"/>
        <w:right w:val="none" w:sz="0" w:space="0" w:color="auto"/>
      </w:divBdr>
    </w:div>
    <w:div w:id="1029451095">
      <w:bodyDiv w:val="1"/>
      <w:marLeft w:val="0"/>
      <w:marRight w:val="0"/>
      <w:marTop w:val="0"/>
      <w:marBottom w:val="0"/>
      <w:divBdr>
        <w:top w:val="none" w:sz="0" w:space="0" w:color="auto"/>
        <w:left w:val="none" w:sz="0" w:space="0" w:color="auto"/>
        <w:bottom w:val="none" w:sz="0" w:space="0" w:color="auto"/>
        <w:right w:val="none" w:sz="0" w:space="0" w:color="auto"/>
      </w:divBdr>
    </w:div>
    <w:div w:id="1038315916">
      <w:bodyDiv w:val="1"/>
      <w:marLeft w:val="0"/>
      <w:marRight w:val="0"/>
      <w:marTop w:val="0"/>
      <w:marBottom w:val="0"/>
      <w:divBdr>
        <w:top w:val="none" w:sz="0" w:space="0" w:color="auto"/>
        <w:left w:val="none" w:sz="0" w:space="0" w:color="auto"/>
        <w:bottom w:val="none" w:sz="0" w:space="0" w:color="auto"/>
        <w:right w:val="none" w:sz="0" w:space="0" w:color="auto"/>
      </w:divBdr>
      <w:divsChild>
        <w:div w:id="263925258">
          <w:marLeft w:val="0"/>
          <w:marRight w:val="0"/>
          <w:marTop w:val="0"/>
          <w:marBottom w:val="0"/>
          <w:divBdr>
            <w:top w:val="none" w:sz="0" w:space="0" w:color="auto"/>
            <w:left w:val="none" w:sz="0" w:space="0" w:color="auto"/>
            <w:bottom w:val="none" w:sz="0" w:space="0" w:color="auto"/>
            <w:right w:val="none" w:sz="0" w:space="0" w:color="auto"/>
          </w:divBdr>
          <w:divsChild>
            <w:div w:id="1645504713">
              <w:marLeft w:val="0"/>
              <w:marRight w:val="0"/>
              <w:marTop w:val="0"/>
              <w:marBottom w:val="0"/>
              <w:divBdr>
                <w:top w:val="none" w:sz="0" w:space="0" w:color="auto"/>
                <w:left w:val="none" w:sz="0" w:space="0" w:color="auto"/>
                <w:bottom w:val="none" w:sz="0" w:space="0" w:color="auto"/>
                <w:right w:val="none" w:sz="0" w:space="0" w:color="auto"/>
              </w:divBdr>
              <w:divsChild>
                <w:div w:id="170799513">
                  <w:marLeft w:val="0"/>
                  <w:marRight w:val="0"/>
                  <w:marTop w:val="0"/>
                  <w:marBottom w:val="0"/>
                  <w:divBdr>
                    <w:top w:val="none" w:sz="0" w:space="0" w:color="auto"/>
                    <w:left w:val="none" w:sz="0" w:space="0" w:color="auto"/>
                    <w:bottom w:val="none" w:sz="0" w:space="0" w:color="auto"/>
                    <w:right w:val="none" w:sz="0" w:space="0" w:color="auto"/>
                  </w:divBdr>
                  <w:divsChild>
                    <w:div w:id="449128531">
                      <w:marLeft w:val="0"/>
                      <w:marRight w:val="0"/>
                      <w:marTop w:val="0"/>
                      <w:marBottom w:val="0"/>
                      <w:divBdr>
                        <w:top w:val="none" w:sz="0" w:space="0" w:color="auto"/>
                        <w:left w:val="none" w:sz="0" w:space="0" w:color="auto"/>
                        <w:bottom w:val="none" w:sz="0" w:space="0" w:color="auto"/>
                        <w:right w:val="none" w:sz="0" w:space="0" w:color="auto"/>
                      </w:divBdr>
                      <w:divsChild>
                        <w:div w:id="1573807509">
                          <w:marLeft w:val="0"/>
                          <w:marRight w:val="0"/>
                          <w:marTop w:val="0"/>
                          <w:marBottom w:val="0"/>
                          <w:divBdr>
                            <w:top w:val="none" w:sz="0" w:space="0" w:color="auto"/>
                            <w:left w:val="none" w:sz="0" w:space="0" w:color="auto"/>
                            <w:bottom w:val="none" w:sz="0" w:space="0" w:color="auto"/>
                            <w:right w:val="none" w:sz="0" w:space="0" w:color="auto"/>
                          </w:divBdr>
                          <w:divsChild>
                            <w:div w:id="544803696">
                              <w:marLeft w:val="0"/>
                              <w:marRight w:val="0"/>
                              <w:marTop w:val="0"/>
                              <w:marBottom w:val="0"/>
                              <w:divBdr>
                                <w:top w:val="none" w:sz="0" w:space="0" w:color="auto"/>
                                <w:left w:val="none" w:sz="0" w:space="0" w:color="auto"/>
                                <w:bottom w:val="none" w:sz="0" w:space="0" w:color="auto"/>
                                <w:right w:val="none" w:sz="0" w:space="0" w:color="auto"/>
                              </w:divBdr>
                              <w:divsChild>
                                <w:div w:id="6244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507125">
      <w:bodyDiv w:val="1"/>
      <w:marLeft w:val="0"/>
      <w:marRight w:val="0"/>
      <w:marTop w:val="0"/>
      <w:marBottom w:val="0"/>
      <w:divBdr>
        <w:top w:val="none" w:sz="0" w:space="0" w:color="auto"/>
        <w:left w:val="none" w:sz="0" w:space="0" w:color="auto"/>
        <w:bottom w:val="none" w:sz="0" w:space="0" w:color="auto"/>
        <w:right w:val="none" w:sz="0" w:space="0" w:color="auto"/>
      </w:divBdr>
    </w:div>
    <w:div w:id="1045447363">
      <w:bodyDiv w:val="1"/>
      <w:marLeft w:val="0"/>
      <w:marRight w:val="0"/>
      <w:marTop w:val="0"/>
      <w:marBottom w:val="0"/>
      <w:divBdr>
        <w:top w:val="none" w:sz="0" w:space="0" w:color="auto"/>
        <w:left w:val="none" w:sz="0" w:space="0" w:color="auto"/>
        <w:bottom w:val="none" w:sz="0" w:space="0" w:color="auto"/>
        <w:right w:val="none" w:sz="0" w:space="0" w:color="auto"/>
      </w:divBdr>
    </w:div>
    <w:div w:id="1051805878">
      <w:bodyDiv w:val="1"/>
      <w:marLeft w:val="0"/>
      <w:marRight w:val="0"/>
      <w:marTop w:val="0"/>
      <w:marBottom w:val="0"/>
      <w:divBdr>
        <w:top w:val="none" w:sz="0" w:space="0" w:color="auto"/>
        <w:left w:val="none" w:sz="0" w:space="0" w:color="auto"/>
        <w:bottom w:val="none" w:sz="0" w:space="0" w:color="auto"/>
        <w:right w:val="none" w:sz="0" w:space="0" w:color="auto"/>
      </w:divBdr>
    </w:div>
    <w:div w:id="1055853747">
      <w:bodyDiv w:val="1"/>
      <w:marLeft w:val="0"/>
      <w:marRight w:val="0"/>
      <w:marTop w:val="0"/>
      <w:marBottom w:val="0"/>
      <w:divBdr>
        <w:top w:val="none" w:sz="0" w:space="0" w:color="auto"/>
        <w:left w:val="none" w:sz="0" w:space="0" w:color="auto"/>
        <w:bottom w:val="none" w:sz="0" w:space="0" w:color="auto"/>
        <w:right w:val="none" w:sz="0" w:space="0" w:color="auto"/>
      </w:divBdr>
      <w:divsChild>
        <w:div w:id="466168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5856625">
      <w:bodyDiv w:val="1"/>
      <w:marLeft w:val="0"/>
      <w:marRight w:val="0"/>
      <w:marTop w:val="0"/>
      <w:marBottom w:val="0"/>
      <w:divBdr>
        <w:top w:val="none" w:sz="0" w:space="0" w:color="auto"/>
        <w:left w:val="none" w:sz="0" w:space="0" w:color="auto"/>
        <w:bottom w:val="none" w:sz="0" w:space="0" w:color="auto"/>
        <w:right w:val="none" w:sz="0" w:space="0" w:color="auto"/>
      </w:divBdr>
    </w:div>
    <w:div w:id="1060834141">
      <w:bodyDiv w:val="1"/>
      <w:marLeft w:val="0"/>
      <w:marRight w:val="0"/>
      <w:marTop w:val="0"/>
      <w:marBottom w:val="0"/>
      <w:divBdr>
        <w:top w:val="none" w:sz="0" w:space="0" w:color="auto"/>
        <w:left w:val="none" w:sz="0" w:space="0" w:color="auto"/>
        <w:bottom w:val="none" w:sz="0" w:space="0" w:color="auto"/>
        <w:right w:val="none" w:sz="0" w:space="0" w:color="auto"/>
      </w:divBdr>
      <w:divsChild>
        <w:div w:id="847215112">
          <w:marLeft w:val="0"/>
          <w:marRight w:val="0"/>
          <w:marTop w:val="0"/>
          <w:marBottom w:val="0"/>
          <w:divBdr>
            <w:top w:val="none" w:sz="0" w:space="0" w:color="auto"/>
            <w:left w:val="none" w:sz="0" w:space="0" w:color="auto"/>
            <w:bottom w:val="none" w:sz="0" w:space="0" w:color="auto"/>
            <w:right w:val="none" w:sz="0" w:space="0" w:color="auto"/>
          </w:divBdr>
          <w:divsChild>
            <w:div w:id="1827747328">
              <w:marLeft w:val="0"/>
              <w:marRight w:val="0"/>
              <w:marTop w:val="0"/>
              <w:marBottom w:val="0"/>
              <w:divBdr>
                <w:top w:val="none" w:sz="0" w:space="0" w:color="auto"/>
                <w:left w:val="none" w:sz="0" w:space="0" w:color="auto"/>
                <w:bottom w:val="none" w:sz="0" w:space="0" w:color="auto"/>
                <w:right w:val="none" w:sz="0" w:space="0" w:color="auto"/>
              </w:divBdr>
              <w:divsChild>
                <w:div w:id="357048432">
                  <w:marLeft w:val="0"/>
                  <w:marRight w:val="0"/>
                  <w:marTop w:val="0"/>
                  <w:marBottom w:val="0"/>
                  <w:divBdr>
                    <w:top w:val="none" w:sz="0" w:space="0" w:color="auto"/>
                    <w:left w:val="none" w:sz="0" w:space="0" w:color="auto"/>
                    <w:bottom w:val="none" w:sz="0" w:space="0" w:color="auto"/>
                    <w:right w:val="none" w:sz="0" w:space="0" w:color="auto"/>
                  </w:divBdr>
                  <w:divsChild>
                    <w:div w:id="1744832813">
                      <w:marLeft w:val="0"/>
                      <w:marRight w:val="0"/>
                      <w:marTop w:val="0"/>
                      <w:marBottom w:val="0"/>
                      <w:divBdr>
                        <w:top w:val="none" w:sz="0" w:space="0" w:color="auto"/>
                        <w:left w:val="none" w:sz="0" w:space="0" w:color="auto"/>
                        <w:bottom w:val="none" w:sz="0" w:space="0" w:color="auto"/>
                        <w:right w:val="none" w:sz="0" w:space="0" w:color="auto"/>
                      </w:divBdr>
                      <w:divsChild>
                        <w:div w:id="1378116908">
                          <w:marLeft w:val="0"/>
                          <w:marRight w:val="0"/>
                          <w:marTop w:val="0"/>
                          <w:marBottom w:val="0"/>
                          <w:divBdr>
                            <w:top w:val="none" w:sz="0" w:space="0" w:color="auto"/>
                            <w:left w:val="none" w:sz="0" w:space="0" w:color="auto"/>
                            <w:bottom w:val="none" w:sz="0" w:space="0" w:color="auto"/>
                            <w:right w:val="none" w:sz="0" w:space="0" w:color="auto"/>
                          </w:divBdr>
                          <w:divsChild>
                            <w:div w:id="1065183812">
                              <w:marLeft w:val="0"/>
                              <w:marRight w:val="0"/>
                              <w:marTop w:val="0"/>
                              <w:marBottom w:val="0"/>
                              <w:divBdr>
                                <w:top w:val="none" w:sz="0" w:space="0" w:color="auto"/>
                                <w:left w:val="none" w:sz="0" w:space="0" w:color="auto"/>
                                <w:bottom w:val="none" w:sz="0" w:space="0" w:color="auto"/>
                                <w:right w:val="none" w:sz="0" w:space="0" w:color="auto"/>
                              </w:divBdr>
                              <w:divsChild>
                                <w:div w:id="12908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534823">
      <w:bodyDiv w:val="1"/>
      <w:marLeft w:val="0"/>
      <w:marRight w:val="0"/>
      <w:marTop w:val="0"/>
      <w:marBottom w:val="0"/>
      <w:divBdr>
        <w:top w:val="none" w:sz="0" w:space="0" w:color="auto"/>
        <w:left w:val="none" w:sz="0" w:space="0" w:color="auto"/>
        <w:bottom w:val="none" w:sz="0" w:space="0" w:color="auto"/>
        <w:right w:val="none" w:sz="0" w:space="0" w:color="auto"/>
      </w:divBdr>
      <w:divsChild>
        <w:div w:id="103044500">
          <w:marLeft w:val="0"/>
          <w:marRight w:val="0"/>
          <w:marTop w:val="0"/>
          <w:marBottom w:val="0"/>
          <w:divBdr>
            <w:top w:val="none" w:sz="0" w:space="0" w:color="auto"/>
            <w:left w:val="none" w:sz="0" w:space="0" w:color="auto"/>
            <w:bottom w:val="none" w:sz="0" w:space="0" w:color="auto"/>
            <w:right w:val="none" w:sz="0" w:space="0" w:color="auto"/>
          </w:divBdr>
          <w:divsChild>
            <w:div w:id="1448771416">
              <w:marLeft w:val="0"/>
              <w:marRight w:val="0"/>
              <w:marTop w:val="0"/>
              <w:marBottom w:val="0"/>
              <w:divBdr>
                <w:top w:val="none" w:sz="0" w:space="0" w:color="auto"/>
                <w:left w:val="none" w:sz="0" w:space="0" w:color="auto"/>
                <w:bottom w:val="none" w:sz="0" w:space="0" w:color="auto"/>
                <w:right w:val="none" w:sz="0" w:space="0" w:color="auto"/>
              </w:divBdr>
              <w:divsChild>
                <w:div w:id="692806789">
                  <w:marLeft w:val="0"/>
                  <w:marRight w:val="0"/>
                  <w:marTop w:val="0"/>
                  <w:marBottom w:val="0"/>
                  <w:divBdr>
                    <w:top w:val="none" w:sz="0" w:space="0" w:color="auto"/>
                    <w:left w:val="none" w:sz="0" w:space="0" w:color="auto"/>
                    <w:bottom w:val="none" w:sz="0" w:space="0" w:color="auto"/>
                    <w:right w:val="none" w:sz="0" w:space="0" w:color="auto"/>
                  </w:divBdr>
                  <w:divsChild>
                    <w:div w:id="516431241">
                      <w:marLeft w:val="0"/>
                      <w:marRight w:val="0"/>
                      <w:marTop w:val="0"/>
                      <w:marBottom w:val="0"/>
                      <w:divBdr>
                        <w:top w:val="none" w:sz="0" w:space="0" w:color="auto"/>
                        <w:left w:val="none" w:sz="0" w:space="0" w:color="auto"/>
                        <w:bottom w:val="none" w:sz="0" w:space="0" w:color="auto"/>
                        <w:right w:val="none" w:sz="0" w:space="0" w:color="auto"/>
                      </w:divBdr>
                      <w:divsChild>
                        <w:div w:id="1833913200">
                          <w:marLeft w:val="0"/>
                          <w:marRight w:val="0"/>
                          <w:marTop w:val="0"/>
                          <w:marBottom w:val="0"/>
                          <w:divBdr>
                            <w:top w:val="none" w:sz="0" w:space="0" w:color="auto"/>
                            <w:left w:val="none" w:sz="0" w:space="0" w:color="auto"/>
                            <w:bottom w:val="none" w:sz="0" w:space="0" w:color="auto"/>
                            <w:right w:val="none" w:sz="0" w:space="0" w:color="auto"/>
                          </w:divBdr>
                          <w:divsChild>
                            <w:div w:id="2085638576">
                              <w:marLeft w:val="0"/>
                              <w:marRight w:val="0"/>
                              <w:marTop w:val="0"/>
                              <w:marBottom w:val="0"/>
                              <w:divBdr>
                                <w:top w:val="none" w:sz="0" w:space="0" w:color="auto"/>
                                <w:left w:val="none" w:sz="0" w:space="0" w:color="auto"/>
                                <w:bottom w:val="none" w:sz="0" w:space="0" w:color="auto"/>
                                <w:right w:val="none" w:sz="0" w:space="0" w:color="auto"/>
                              </w:divBdr>
                              <w:divsChild>
                                <w:div w:id="42430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029478">
      <w:bodyDiv w:val="1"/>
      <w:marLeft w:val="0"/>
      <w:marRight w:val="0"/>
      <w:marTop w:val="0"/>
      <w:marBottom w:val="0"/>
      <w:divBdr>
        <w:top w:val="none" w:sz="0" w:space="0" w:color="auto"/>
        <w:left w:val="none" w:sz="0" w:space="0" w:color="auto"/>
        <w:bottom w:val="none" w:sz="0" w:space="0" w:color="auto"/>
        <w:right w:val="none" w:sz="0" w:space="0" w:color="auto"/>
      </w:divBdr>
    </w:div>
    <w:div w:id="1085999876">
      <w:bodyDiv w:val="1"/>
      <w:marLeft w:val="0"/>
      <w:marRight w:val="0"/>
      <w:marTop w:val="0"/>
      <w:marBottom w:val="0"/>
      <w:divBdr>
        <w:top w:val="none" w:sz="0" w:space="0" w:color="auto"/>
        <w:left w:val="none" w:sz="0" w:space="0" w:color="auto"/>
        <w:bottom w:val="none" w:sz="0" w:space="0" w:color="auto"/>
        <w:right w:val="none" w:sz="0" w:space="0" w:color="auto"/>
      </w:divBdr>
      <w:divsChild>
        <w:div w:id="861548075">
          <w:marLeft w:val="0"/>
          <w:marRight w:val="0"/>
          <w:marTop w:val="0"/>
          <w:marBottom w:val="0"/>
          <w:divBdr>
            <w:top w:val="none" w:sz="0" w:space="0" w:color="auto"/>
            <w:left w:val="none" w:sz="0" w:space="0" w:color="auto"/>
            <w:bottom w:val="none" w:sz="0" w:space="0" w:color="auto"/>
            <w:right w:val="none" w:sz="0" w:space="0" w:color="auto"/>
          </w:divBdr>
          <w:divsChild>
            <w:div w:id="1922908403">
              <w:marLeft w:val="0"/>
              <w:marRight w:val="0"/>
              <w:marTop w:val="0"/>
              <w:marBottom w:val="0"/>
              <w:divBdr>
                <w:top w:val="none" w:sz="0" w:space="0" w:color="auto"/>
                <w:left w:val="none" w:sz="0" w:space="0" w:color="auto"/>
                <w:bottom w:val="none" w:sz="0" w:space="0" w:color="auto"/>
                <w:right w:val="none" w:sz="0" w:space="0" w:color="auto"/>
              </w:divBdr>
              <w:divsChild>
                <w:div w:id="1471089638">
                  <w:marLeft w:val="0"/>
                  <w:marRight w:val="0"/>
                  <w:marTop w:val="0"/>
                  <w:marBottom w:val="0"/>
                  <w:divBdr>
                    <w:top w:val="none" w:sz="0" w:space="0" w:color="auto"/>
                    <w:left w:val="none" w:sz="0" w:space="0" w:color="auto"/>
                    <w:bottom w:val="none" w:sz="0" w:space="0" w:color="auto"/>
                    <w:right w:val="none" w:sz="0" w:space="0" w:color="auto"/>
                  </w:divBdr>
                  <w:divsChild>
                    <w:div w:id="1084231343">
                      <w:marLeft w:val="0"/>
                      <w:marRight w:val="0"/>
                      <w:marTop w:val="0"/>
                      <w:marBottom w:val="0"/>
                      <w:divBdr>
                        <w:top w:val="none" w:sz="0" w:space="0" w:color="auto"/>
                        <w:left w:val="none" w:sz="0" w:space="0" w:color="auto"/>
                        <w:bottom w:val="none" w:sz="0" w:space="0" w:color="auto"/>
                        <w:right w:val="none" w:sz="0" w:space="0" w:color="auto"/>
                      </w:divBdr>
                      <w:divsChild>
                        <w:div w:id="1621297431">
                          <w:marLeft w:val="0"/>
                          <w:marRight w:val="0"/>
                          <w:marTop w:val="0"/>
                          <w:marBottom w:val="0"/>
                          <w:divBdr>
                            <w:top w:val="none" w:sz="0" w:space="0" w:color="auto"/>
                            <w:left w:val="none" w:sz="0" w:space="0" w:color="auto"/>
                            <w:bottom w:val="none" w:sz="0" w:space="0" w:color="auto"/>
                            <w:right w:val="none" w:sz="0" w:space="0" w:color="auto"/>
                          </w:divBdr>
                          <w:divsChild>
                            <w:div w:id="756561493">
                              <w:marLeft w:val="0"/>
                              <w:marRight w:val="0"/>
                              <w:marTop w:val="0"/>
                              <w:marBottom w:val="0"/>
                              <w:divBdr>
                                <w:top w:val="none" w:sz="0" w:space="0" w:color="auto"/>
                                <w:left w:val="none" w:sz="0" w:space="0" w:color="auto"/>
                                <w:bottom w:val="none" w:sz="0" w:space="0" w:color="auto"/>
                                <w:right w:val="none" w:sz="0" w:space="0" w:color="auto"/>
                              </w:divBdr>
                              <w:divsChild>
                                <w:div w:id="10912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071481">
      <w:bodyDiv w:val="1"/>
      <w:marLeft w:val="0"/>
      <w:marRight w:val="0"/>
      <w:marTop w:val="0"/>
      <w:marBottom w:val="0"/>
      <w:divBdr>
        <w:top w:val="none" w:sz="0" w:space="0" w:color="auto"/>
        <w:left w:val="none" w:sz="0" w:space="0" w:color="auto"/>
        <w:bottom w:val="none" w:sz="0" w:space="0" w:color="auto"/>
        <w:right w:val="none" w:sz="0" w:space="0" w:color="auto"/>
      </w:divBdr>
    </w:div>
    <w:div w:id="1087385560">
      <w:bodyDiv w:val="1"/>
      <w:marLeft w:val="0"/>
      <w:marRight w:val="0"/>
      <w:marTop w:val="0"/>
      <w:marBottom w:val="0"/>
      <w:divBdr>
        <w:top w:val="none" w:sz="0" w:space="0" w:color="auto"/>
        <w:left w:val="none" w:sz="0" w:space="0" w:color="auto"/>
        <w:bottom w:val="none" w:sz="0" w:space="0" w:color="auto"/>
        <w:right w:val="none" w:sz="0" w:space="0" w:color="auto"/>
      </w:divBdr>
      <w:divsChild>
        <w:div w:id="1034043933">
          <w:marLeft w:val="0"/>
          <w:marRight w:val="0"/>
          <w:marTop w:val="0"/>
          <w:marBottom w:val="0"/>
          <w:divBdr>
            <w:top w:val="none" w:sz="0" w:space="0" w:color="auto"/>
            <w:left w:val="none" w:sz="0" w:space="0" w:color="auto"/>
            <w:bottom w:val="none" w:sz="0" w:space="0" w:color="auto"/>
            <w:right w:val="none" w:sz="0" w:space="0" w:color="auto"/>
          </w:divBdr>
        </w:div>
        <w:div w:id="1766222860">
          <w:marLeft w:val="0"/>
          <w:marRight w:val="0"/>
          <w:marTop w:val="0"/>
          <w:marBottom w:val="0"/>
          <w:divBdr>
            <w:top w:val="none" w:sz="0" w:space="0" w:color="auto"/>
            <w:left w:val="none" w:sz="0" w:space="0" w:color="auto"/>
            <w:bottom w:val="none" w:sz="0" w:space="0" w:color="auto"/>
            <w:right w:val="none" w:sz="0" w:space="0" w:color="auto"/>
          </w:divBdr>
        </w:div>
      </w:divsChild>
    </w:div>
    <w:div w:id="1117484883">
      <w:bodyDiv w:val="1"/>
      <w:marLeft w:val="0"/>
      <w:marRight w:val="0"/>
      <w:marTop w:val="0"/>
      <w:marBottom w:val="0"/>
      <w:divBdr>
        <w:top w:val="none" w:sz="0" w:space="0" w:color="auto"/>
        <w:left w:val="none" w:sz="0" w:space="0" w:color="auto"/>
        <w:bottom w:val="none" w:sz="0" w:space="0" w:color="auto"/>
        <w:right w:val="none" w:sz="0" w:space="0" w:color="auto"/>
      </w:divBdr>
    </w:div>
    <w:div w:id="1129011593">
      <w:bodyDiv w:val="1"/>
      <w:marLeft w:val="0"/>
      <w:marRight w:val="0"/>
      <w:marTop w:val="0"/>
      <w:marBottom w:val="0"/>
      <w:divBdr>
        <w:top w:val="none" w:sz="0" w:space="0" w:color="auto"/>
        <w:left w:val="none" w:sz="0" w:space="0" w:color="auto"/>
        <w:bottom w:val="none" w:sz="0" w:space="0" w:color="auto"/>
        <w:right w:val="none" w:sz="0" w:space="0" w:color="auto"/>
      </w:divBdr>
    </w:div>
    <w:div w:id="1138910608">
      <w:bodyDiv w:val="1"/>
      <w:marLeft w:val="0"/>
      <w:marRight w:val="0"/>
      <w:marTop w:val="0"/>
      <w:marBottom w:val="0"/>
      <w:divBdr>
        <w:top w:val="none" w:sz="0" w:space="0" w:color="auto"/>
        <w:left w:val="none" w:sz="0" w:space="0" w:color="auto"/>
        <w:bottom w:val="none" w:sz="0" w:space="0" w:color="auto"/>
        <w:right w:val="none" w:sz="0" w:space="0" w:color="auto"/>
      </w:divBdr>
    </w:div>
    <w:div w:id="1154681626">
      <w:bodyDiv w:val="1"/>
      <w:marLeft w:val="0"/>
      <w:marRight w:val="0"/>
      <w:marTop w:val="0"/>
      <w:marBottom w:val="0"/>
      <w:divBdr>
        <w:top w:val="none" w:sz="0" w:space="0" w:color="auto"/>
        <w:left w:val="none" w:sz="0" w:space="0" w:color="auto"/>
        <w:bottom w:val="none" w:sz="0" w:space="0" w:color="auto"/>
        <w:right w:val="none" w:sz="0" w:space="0" w:color="auto"/>
      </w:divBdr>
      <w:divsChild>
        <w:div w:id="824466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0412833">
      <w:bodyDiv w:val="1"/>
      <w:marLeft w:val="0"/>
      <w:marRight w:val="0"/>
      <w:marTop w:val="0"/>
      <w:marBottom w:val="0"/>
      <w:divBdr>
        <w:top w:val="none" w:sz="0" w:space="0" w:color="auto"/>
        <w:left w:val="none" w:sz="0" w:space="0" w:color="auto"/>
        <w:bottom w:val="none" w:sz="0" w:space="0" w:color="auto"/>
        <w:right w:val="none" w:sz="0" w:space="0" w:color="auto"/>
      </w:divBdr>
    </w:div>
    <w:div w:id="1182663640">
      <w:bodyDiv w:val="1"/>
      <w:marLeft w:val="0"/>
      <w:marRight w:val="0"/>
      <w:marTop w:val="0"/>
      <w:marBottom w:val="0"/>
      <w:divBdr>
        <w:top w:val="none" w:sz="0" w:space="0" w:color="auto"/>
        <w:left w:val="none" w:sz="0" w:space="0" w:color="auto"/>
        <w:bottom w:val="none" w:sz="0" w:space="0" w:color="auto"/>
        <w:right w:val="none" w:sz="0" w:space="0" w:color="auto"/>
      </w:divBdr>
    </w:div>
    <w:div w:id="1186750189">
      <w:bodyDiv w:val="1"/>
      <w:marLeft w:val="0"/>
      <w:marRight w:val="0"/>
      <w:marTop w:val="0"/>
      <w:marBottom w:val="0"/>
      <w:divBdr>
        <w:top w:val="none" w:sz="0" w:space="0" w:color="auto"/>
        <w:left w:val="none" w:sz="0" w:space="0" w:color="auto"/>
        <w:bottom w:val="none" w:sz="0" w:space="0" w:color="auto"/>
        <w:right w:val="none" w:sz="0" w:space="0" w:color="auto"/>
      </w:divBdr>
    </w:div>
    <w:div w:id="1194029101">
      <w:bodyDiv w:val="1"/>
      <w:marLeft w:val="0"/>
      <w:marRight w:val="0"/>
      <w:marTop w:val="0"/>
      <w:marBottom w:val="0"/>
      <w:divBdr>
        <w:top w:val="none" w:sz="0" w:space="0" w:color="auto"/>
        <w:left w:val="none" w:sz="0" w:space="0" w:color="auto"/>
        <w:bottom w:val="none" w:sz="0" w:space="0" w:color="auto"/>
        <w:right w:val="none" w:sz="0" w:space="0" w:color="auto"/>
      </w:divBdr>
      <w:divsChild>
        <w:div w:id="9963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343947">
      <w:bodyDiv w:val="1"/>
      <w:marLeft w:val="0"/>
      <w:marRight w:val="0"/>
      <w:marTop w:val="0"/>
      <w:marBottom w:val="0"/>
      <w:divBdr>
        <w:top w:val="none" w:sz="0" w:space="0" w:color="auto"/>
        <w:left w:val="none" w:sz="0" w:space="0" w:color="auto"/>
        <w:bottom w:val="none" w:sz="0" w:space="0" w:color="auto"/>
        <w:right w:val="none" w:sz="0" w:space="0" w:color="auto"/>
      </w:divBdr>
      <w:divsChild>
        <w:div w:id="642463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7892022">
      <w:bodyDiv w:val="1"/>
      <w:marLeft w:val="0"/>
      <w:marRight w:val="0"/>
      <w:marTop w:val="0"/>
      <w:marBottom w:val="0"/>
      <w:divBdr>
        <w:top w:val="none" w:sz="0" w:space="0" w:color="auto"/>
        <w:left w:val="none" w:sz="0" w:space="0" w:color="auto"/>
        <w:bottom w:val="none" w:sz="0" w:space="0" w:color="auto"/>
        <w:right w:val="none" w:sz="0" w:space="0" w:color="auto"/>
      </w:divBdr>
    </w:div>
    <w:div w:id="1203706640">
      <w:bodyDiv w:val="1"/>
      <w:marLeft w:val="0"/>
      <w:marRight w:val="0"/>
      <w:marTop w:val="0"/>
      <w:marBottom w:val="0"/>
      <w:divBdr>
        <w:top w:val="none" w:sz="0" w:space="0" w:color="auto"/>
        <w:left w:val="none" w:sz="0" w:space="0" w:color="auto"/>
        <w:bottom w:val="none" w:sz="0" w:space="0" w:color="auto"/>
        <w:right w:val="none" w:sz="0" w:space="0" w:color="auto"/>
      </w:divBdr>
    </w:div>
    <w:div w:id="1238173102">
      <w:bodyDiv w:val="1"/>
      <w:marLeft w:val="0"/>
      <w:marRight w:val="0"/>
      <w:marTop w:val="0"/>
      <w:marBottom w:val="0"/>
      <w:divBdr>
        <w:top w:val="none" w:sz="0" w:space="0" w:color="auto"/>
        <w:left w:val="none" w:sz="0" w:space="0" w:color="auto"/>
        <w:bottom w:val="none" w:sz="0" w:space="0" w:color="auto"/>
        <w:right w:val="none" w:sz="0" w:space="0" w:color="auto"/>
      </w:divBdr>
      <w:divsChild>
        <w:div w:id="1291091004">
          <w:marLeft w:val="0"/>
          <w:marRight w:val="0"/>
          <w:marTop w:val="0"/>
          <w:marBottom w:val="0"/>
          <w:divBdr>
            <w:top w:val="none" w:sz="0" w:space="0" w:color="auto"/>
            <w:left w:val="none" w:sz="0" w:space="0" w:color="auto"/>
            <w:bottom w:val="none" w:sz="0" w:space="0" w:color="auto"/>
            <w:right w:val="none" w:sz="0" w:space="0" w:color="auto"/>
          </w:divBdr>
          <w:divsChild>
            <w:div w:id="552665887">
              <w:marLeft w:val="0"/>
              <w:marRight w:val="0"/>
              <w:marTop w:val="0"/>
              <w:marBottom w:val="0"/>
              <w:divBdr>
                <w:top w:val="none" w:sz="0" w:space="0" w:color="auto"/>
                <w:left w:val="none" w:sz="0" w:space="0" w:color="auto"/>
                <w:bottom w:val="none" w:sz="0" w:space="0" w:color="auto"/>
                <w:right w:val="none" w:sz="0" w:space="0" w:color="auto"/>
              </w:divBdr>
              <w:divsChild>
                <w:div w:id="449477098">
                  <w:marLeft w:val="0"/>
                  <w:marRight w:val="0"/>
                  <w:marTop w:val="0"/>
                  <w:marBottom w:val="0"/>
                  <w:divBdr>
                    <w:top w:val="none" w:sz="0" w:space="0" w:color="auto"/>
                    <w:left w:val="none" w:sz="0" w:space="0" w:color="auto"/>
                    <w:bottom w:val="none" w:sz="0" w:space="0" w:color="auto"/>
                    <w:right w:val="none" w:sz="0" w:space="0" w:color="auto"/>
                  </w:divBdr>
                  <w:divsChild>
                    <w:div w:id="2108689733">
                      <w:marLeft w:val="0"/>
                      <w:marRight w:val="0"/>
                      <w:marTop w:val="0"/>
                      <w:marBottom w:val="0"/>
                      <w:divBdr>
                        <w:top w:val="none" w:sz="0" w:space="0" w:color="auto"/>
                        <w:left w:val="none" w:sz="0" w:space="0" w:color="auto"/>
                        <w:bottom w:val="none" w:sz="0" w:space="0" w:color="auto"/>
                        <w:right w:val="none" w:sz="0" w:space="0" w:color="auto"/>
                      </w:divBdr>
                      <w:divsChild>
                        <w:div w:id="61008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840654">
      <w:bodyDiv w:val="1"/>
      <w:marLeft w:val="0"/>
      <w:marRight w:val="0"/>
      <w:marTop w:val="0"/>
      <w:marBottom w:val="0"/>
      <w:divBdr>
        <w:top w:val="none" w:sz="0" w:space="0" w:color="auto"/>
        <w:left w:val="none" w:sz="0" w:space="0" w:color="auto"/>
        <w:bottom w:val="none" w:sz="0" w:space="0" w:color="auto"/>
        <w:right w:val="none" w:sz="0" w:space="0" w:color="auto"/>
      </w:divBdr>
    </w:div>
    <w:div w:id="1250965063">
      <w:bodyDiv w:val="1"/>
      <w:marLeft w:val="0"/>
      <w:marRight w:val="0"/>
      <w:marTop w:val="0"/>
      <w:marBottom w:val="0"/>
      <w:divBdr>
        <w:top w:val="none" w:sz="0" w:space="0" w:color="auto"/>
        <w:left w:val="none" w:sz="0" w:space="0" w:color="auto"/>
        <w:bottom w:val="none" w:sz="0" w:space="0" w:color="auto"/>
        <w:right w:val="none" w:sz="0" w:space="0" w:color="auto"/>
      </w:divBdr>
    </w:div>
    <w:div w:id="1253860365">
      <w:bodyDiv w:val="1"/>
      <w:marLeft w:val="0"/>
      <w:marRight w:val="0"/>
      <w:marTop w:val="0"/>
      <w:marBottom w:val="0"/>
      <w:divBdr>
        <w:top w:val="none" w:sz="0" w:space="0" w:color="auto"/>
        <w:left w:val="none" w:sz="0" w:space="0" w:color="auto"/>
        <w:bottom w:val="none" w:sz="0" w:space="0" w:color="auto"/>
        <w:right w:val="none" w:sz="0" w:space="0" w:color="auto"/>
      </w:divBdr>
      <w:divsChild>
        <w:div w:id="730427529">
          <w:marLeft w:val="0"/>
          <w:marRight w:val="0"/>
          <w:marTop w:val="0"/>
          <w:marBottom w:val="0"/>
          <w:divBdr>
            <w:top w:val="none" w:sz="0" w:space="0" w:color="auto"/>
            <w:left w:val="none" w:sz="0" w:space="0" w:color="auto"/>
            <w:bottom w:val="none" w:sz="0" w:space="0" w:color="auto"/>
            <w:right w:val="none" w:sz="0" w:space="0" w:color="auto"/>
          </w:divBdr>
        </w:div>
        <w:div w:id="1384594223">
          <w:marLeft w:val="0"/>
          <w:marRight w:val="0"/>
          <w:marTop w:val="0"/>
          <w:marBottom w:val="0"/>
          <w:divBdr>
            <w:top w:val="none" w:sz="0" w:space="0" w:color="auto"/>
            <w:left w:val="none" w:sz="0" w:space="0" w:color="auto"/>
            <w:bottom w:val="none" w:sz="0" w:space="0" w:color="auto"/>
            <w:right w:val="none" w:sz="0" w:space="0" w:color="auto"/>
          </w:divBdr>
        </w:div>
        <w:div w:id="1497301825">
          <w:marLeft w:val="0"/>
          <w:marRight w:val="0"/>
          <w:marTop w:val="0"/>
          <w:marBottom w:val="0"/>
          <w:divBdr>
            <w:top w:val="none" w:sz="0" w:space="0" w:color="auto"/>
            <w:left w:val="none" w:sz="0" w:space="0" w:color="auto"/>
            <w:bottom w:val="none" w:sz="0" w:space="0" w:color="auto"/>
            <w:right w:val="none" w:sz="0" w:space="0" w:color="auto"/>
          </w:divBdr>
        </w:div>
      </w:divsChild>
    </w:div>
    <w:div w:id="1260522681">
      <w:bodyDiv w:val="1"/>
      <w:marLeft w:val="0"/>
      <w:marRight w:val="0"/>
      <w:marTop w:val="0"/>
      <w:marBottom w:val="0"/>
      <w:divBdr>
        <w:top w:val="none" w:sz="0" w:space="0" w:color="auto"/>
        <w:left w:val="none" w:sz="0" w:space="0" w:color="auto"/>
        <w:bottom w:val="none" w:sz="0" w:space="0" w:color="auto"/>
        <w:right w:val="none" w:sz="0" w:space="0" w:color="auto"/>
      </w:divBdr>
    </w:div>
    <w:div w:id="1272778870">
      <w:bodyDiv w:val="1"/>
      <w:marLeft w:val="0"/>
      <w:marRight w:val="0"/>
      <w:marTop w:val="0"/>
      <w:marBottom w:val="0"/>
      <w:divBdr>
        <w:top w:val="none" w:sz="0" w:space="0" w:color="auto"/>
        <w:left w:val="none" w:sz="0" w:space="0" w:color="auto"/>
        <w:bottom w:val="none" w:sz="0" w:space="0" w:color="auto"/>
        <w:right w:val="none" w:sz="0" w:space="0" w:color="auto"/>
      </w:divBdr>
    </w:div>
    <w:div w:id="1282147577">
      <w:bodyDiv w:val="1"/>
      <w:marLeft w:val="0"/>
      <w:marRight w:val="0"/>
      <w:marTop w:val="0"/>
      <w:marBottom w:val="0"/>
      <w:divBdr>
        <w:top w:val="none" w:sz="0" w:space="0" w:color="auto"/>
        <w:left w:val="none" w:sz="0" w:space="0" w:color="auto"/>
        <w:bottom w:val="none" w:sz="0" w:space="0" w:color="auto"/>
        <w:right w:val="none" w:sz="0" w:space="0" w:color="auto"/>
      </w:divBdr>
    </w:div>
    <w:div w:id="1289048614">
      <w:bodyDiv w:val="1"/>
      <w:marLeft w:val="0"/>
      <w:marRight w:val="0"/>
      <w:marTop w:val="0"/>
      <w:marBottom w:val="0"/>
      <w:divBdr>
        <w:top w:val="none" w:sz="0" w:space="0" w:color="auto"/>
        <w:left w:val="none" w:sz="0" w:space="0" w:color="auto"/>
        <w:bottom w:val="none" w:sz="0" w:space="0" w:color="auto"/>
        <w:right w:val="none" w:sz="0" w:space="0" w:color="auto"/>
      </w:divBdr>
    </w:div>
    <w:div w:id="1293753871">
      <w:bodyDiv w:val="1"/>
      <w:marLeft w:val="0"/>
      <w:marRight w:val="0"/>
      <w:marTop w:val="0"/>
      <w:marBottom w:val="0"/>
      <w:divBdr>
        <w:top w:val="none" w:sz="0" w:space="0" w:color="auto"/>
        <w:left w:val="none" w:sz="0" w:space="0" w:color="auto"/>
        <w:bottom w:val="none" w:sz="0" w:space="0" w:color="auto"/>
        <w:right w:val="none" w:sz="0" w:space="0" w:color="auto"/>
      </w:divBdr>
      <w:divsChild>
        <w:div w:id="343018688">
          <w:marLeft w:val="0"/>
          <w:marRight w:val="0"/>
          <w:marTop w:val="0"/>
          <w:marBottom w:val="0"/>
          <w:divBdr>
            <w:top w:val="none" w:sz="0" w:space="0" w:color="auto"/>
            <w:left w:val="none" w:sz="0" w:space="0" w:color="auto"/>
            <w:bottom w:val="none" w:sz="0" w:space="0" w:color="auto"/>
            <w:right w:val="none" w:sz="0" w:space="0" w:color="auto"/>
          </w:divBdr>
        </w:div>
        <w:div w:id="1349257849">
          <w:marLeft w:val="0"/>
          <w:marRight w:val="0"/>
          <w:marTop w:val="0"/>
          <w:marBottom w:val="0"/>
          <w:divBdr>
            <w:top w:val="none" w:sz="0" w:space="0" w:color="auto"/>
            <w:left w:val="none" w:sz="0" w:space="0" w:color="auto"/>
            <w:bottom w:val="none" w:sz="0" w:space="0" w:color="auto"/>
            <w:right w:val="none" w:sz="0" w:space="0" w:color="auto"/>
          </w:divBdr>
        </w:div>
        <w:div w:id="1903980349">
          <w:marLeft w:val="0"/>
          <w:marRight w:val="0"/>
          <w:marTop w:val="0"/>
          <w:marBottom w:val="0"/>
          <w:divBdr>
            <w:top w:val="none" w:sz="0" w:space="0" w:color="auto"/>
            <w:left w:val="none" w:sz="0" w:space="0" w:color="auto"/>
            <w:bottom w:val="none" w:sz="0" w:space="0" w:color="auto"/>
            <w:right w:val="none" w:sz="0" w:space="0" w:color="auto"/>
          </w:divBdr>
        </w:div>
      </w:divsChild>
    </w:div>
    <w:div w:id="1303189661">
      <w:bodyDiv w:val="1"/>
      <w:marLeft w:val="0"/>
      <w:marRight w:val="0"/>
      <w:marTop w:val="0"/>
      <w:marBottom w:val="0"/>
      <w:divBdr>
        <w:top w:val="none" w:sz="0" w:space="0" w:color="auto"/>
        <w:left w:val="none" w:sz="0" w:space="0" w:color="auto"/>
        <w:bottom w:val="none" w:sz="0" w:space="0" w:color="auto"/>
        <w:right w:val="none" w:sz="0" w:space="0" w:color="auto"/>
      </w:divBdr>
    </w:div>
    <w:div w:id="1340506042">
      <w:bodyDiv w:val="1"/>
      <w:marLeft w:val="0"/>
      <w:marRight w:val="0"/>
      <w:marTop w:val="0"/>
      <w:marBottom w:val="0"/>
      <w:divBdr>
        <w:top w:val="none" w:sz="0" w:space="0" w:color="auto"/>
        <w:left w:val="none" w:sz="0" w:space="0" w:color="auto"/>
        <w:bottom w:val="none" w:sz="0" w:space="0" w:color="auto"/>
        <w:right w:val="none" w:sz="0" w:space="0" w:color="auto"/>
      </w:divBdr>
    </w:div>
    <w:div w:id="1344818064">
      <w:bodyDiv w:val="1"/>
      <w:marLeft w:val="0"/>
      <w:marRight w:val="0"/>
      <w:marTop w:val="0"/>
      <w:marBottom w:val="0"/>
      <w:divBdr>
        <w:top w:val="none" w:sz="0" w:space="0" w:color="auto"/>
        <w:left w:val="none" w:sz="0" w:space="0" w:color="auto"/>
        <w:bottom w:val="none" w:sz="0" w:space="0" w:color="auto"/>
        <w:right w:val="none" w:sz="0" w:space="0" w:color="auto"/>
      </w:divBdr>
    </w:div>
    <w:div w:id="1358315524">
      <w:bodyDiv w:val="1"/>
      <w:marLeft w:val="0"/>
      <w:marRight w:val="0"/>
      <w:marTop w:val="0"/>
      <w:marBottom w:val="0"/>
      <w:divBdr>
        <w:top w:val="none" w:sz="0" w:space="0" w:color="auto"/>
        <w:left w:val="none" w:sz="0" w:space="0" w:color="auto"/>
        <w:bottom w:val="none" w:sz="0" w:space="0" w:color="auto"/>
        <w:right w:val="none" w:sz="0" w:space="0" w:color="auto"/>
      </w:divBdr>
    </w:div>
    <w:div w:id="1370227356">
      <w:bodyDiv w:val="1"/>
      <w:marLeft w:val="0"/>
      <w:marRight w:val="0"/>
      <w:marTop w:val="0"/>
      <w:marBottom w:val="0"/>
      <w:divBdr>
        <w:top w:val="none" w:sz="0" w:space="0" w:color="auto"/>
        <w:left w:val="none" w:sz="0" w:space="0" w:color="auto"/>
        <w:bottom w:val="none" w:sz="0" w:space="0" w:color="auto"/>
        <w:right w:val="none" w:sz="0" w:space="0" w:color="auto"/>
      </w:divBdr>
    </w:div>
    <w:div w:id="1370569779">
      <w:bodyDiv w:val="1"/>
      <w:marLeft w:val="0"/>
      <w:marRight w:val="0"/>
      <w:marTop w:val="0"/>
      <w:marBottom w:val="0"/>
      <w:divBdr>
        <w:top w:val="none" w:sz="0" w:space="0" w:color="auto"/>
        <w:left w:val="none" w:sz="0" w:space="0" w:color="auto"/>
        <w:bottom w:val="none" w:sz="0" w:space="0" w:color="auto"/>
        <w:right w:val="none" w:sz="0" w:space="0" w:color="auto"/>
      </w:divBdr>
    </w:div>
    <w:div w:id="1373070109">
      <w:bodyDiv w:val="1"/>
      <w:marLeft w:val="0"/>
      <w:marRight w:val="0"/>
      <w:marTop w:val="0"/>
      <w:marBottom w:val="0"/>
      <w:divBdr>
        <w:top w:val="none" w:sz="0" w:space="0" w:color="auto"/>
        <w:left w:val="none" w:sz="0" w:space="0" w:color="auto"/>
        <w:bottom w:val="none" w:sz="0" w:space="0" w:color="auto"/>
        <w:right w:val="none" w:sz="0" w:space="0" w:color="auto"/>
      </w:divBdr>
    </w:div>
    <w:div w:id="1379740898">
      <w:bodyDiv w:val="1"/>
      <w:marLeft w:val="0"/>
      <w:marRight w:val="0"/>
      <w:marTop w:val="0"/>
      <w:marBottom w:val="0"/>
      <w:divBdr>
        <w:top w:val="none" w:sz="0" w:space="0" w:color="auto"/>
        <w:left w:val="none" w:sz="0" w:space="0" w:color="auto"/>
        <w:bottom w:val="none" w:sz="0" w:space="0" w:color="auto"/>
        <w:right w:val="none" w:sz="0" w:space="0" w:color="auto"/>
      </w:divBdr>
    </w:div>
    <w:div w:id="1380325659">
      <w:bodyDiv w:val="1"/>
      <w:marLeft w:val="0"/>
      <w:marRight w:val="0"/>
      <w:marTop w:val="0"/>
      <w:marBottom w:val="0"/>
      <w:divBdr>
        <w:top w:val="none" w:sz="0" w:space="0" w:color="auto"/>
        <w:left w:val="none" w:sz="0" w:space="0" w:color="auto"/>
        <w:bottom w:val="none" w:sz="0" w:space="0" w:color="auto"/>
        <w:right w:val="none" w:sz="0" w:space="0" w:color="auto"/>
      </w:divBdr>
    </w:div>
    <w:div w:id="1384523568">
      <w:bodyDiv w:val="1"/>
      <w:marLeft w:val="0"/>
      <w:marRight w:val="0"/>
      <w:marTop w:val="0"/>
      <w:marBottom w:val="0"/>
      <w:divBdr>
        <w:top w:val="none" w:sz="0" w:space="0" w:color="auto"/>
        <w:left w:val="none" w:sz="0" w:space="0" w:color="auto"/>
        <w:bottom w:val="none" w:sz="0" w:space="0" w:color="auto"/>
        <w:right w:val="none" w:sz="0" w:space="0" w:color="auto"/>
      </w:divBdr>
    </w:div>
    <w:div w:id="1387337290">
      <w:bodyDiv w:val="1"/>
      <w:marLeft w:val="0"/>
      <w:marRight w:val="0"/>
      <w:marTop w:val="0"/>
      <w:marBottom w:val="0"/>
      <w:divBdr>
        <w:top w:val="none" w:sz="0" w:space="0" w:color="auto"/>
        <w:left w:val="none" w:sz="0" w:space="0" w:color="auto"/>
        <w:bottom w:val="none" w:sz="0" w:space="0" w:color="auto"/>
        <w:right w:val="none" w:sz="0" w:space="0" w:color="auto"/>
      </w:divBdr>
      <w:divsChild>
        <w:div w:id="1301764585">
          <w:marLeft w:val="0"/>
          <w:marRight w:val="0"/>
          <w:marTop w:val="225"/>
          <w:marBottom w:val="300"/>
          <w:divBdr>
            <w:top w:val="none" w:sz="0" w:space="0" w:color="auto"/>
            <w:left w:val="none" w:sz="0" w:space="0" w:color="auto"/>
            <w:bottom w:val="none" w:sz="0" w:space="0" w:color="auto"/>
            <w:right w:val="none" w:sz="0" w:space="0" w:color="auto"/>
          </w:divBdr>
          <w:divsChild>
            <w:div w:id="3010105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92383184">
      <w:bodyDiv w:val="1"/>
      <w:marLeft w:val="0"/>
      <w:marRight w:val="0"/>
      <w:marTop w:val="0"/>
      <w:marBottom w:val="0"/>
      <w:divBdr>
        <w:top w:val="none" w:sz="0" w:space="0" w:color="auto"/>
        <w:left w:val="none" w:sz="0" w:space="0" w:color="auto"/>
        <w:bottom w:val="none" w:sz="0" w:space="0" w:color="auto"/>
        <w:right w:val="none" w:sz="0" w:space="0" w:color="auto"/>
      </w:divBdr>
    </w:div>
    <w:div w:id="1393237927">
      <w:bodyDiv w:val="1"/>
      <w:marLeft w:val="0"/>
      <w:marRight w:val="0"/>
      <w:marTop w:val="0"/>
      <w:marBottom w:val="0"/>
      <w:divBdr>
        <w:top w:val="none" w:sz="0" w:space="0" w:color="auto"/>
        <w:left w:val="none" w:sz="0" w:space="0" w:color="auto"/>
        <w:bottom w:val="none" w:sz="0" w:space="0" w:color="auto"/>
        <w:right w:val="none" w:sz="0" w:space="0" w:color="auto"/>
      </w:divBdr>
    </w:div>
    <w:div w:id="1405495532">
      <w:bodyDiv w:val="1"/>
      <w:marLeft w:val="0"/>
      <w:marRight w:val="0"/>
      <w:marTop w:val="0"/>
      <w:marBottom w:val="0"/>
      <w:divBdr>
        <w:top w:val="none" w:sz="0" w:space="0" w:color="auto"/>
        <w:left w:val="none" w:sz="0" w:space="0" w:color="auto"/>
        <w:bottom w:val="none" w:sz="0" w:space="0" w:color="auto"/>
        <w:right w:val="none" w:sz="0" w:space="0" w:color="auto"/>
      </w:divBdr>
    </w:div>
    <w:div w:id="1405644264">
      <w:bodyDiv w:val="1"/>
      <w:marLeft w:val="0"/>
      <w:marRight w:val="0"/>
      <w:marTop w:val="0"/>
      <w:marBottom w:val="0"/>
      <w:divBdr>
        <w:top w:val="none" w:sz="0" w:space="0" w:color="auto"/>
        <w:left w:val="none" w:sz="0" w:space="0" w:color="auto"/>
        <w:bottom w:val="none" w:sz="0" w:space="0" w:color="auto"/>
        <w:right w:val="none" w:sz="0" w:space="0" w:color="auto"/>
      </w:divBdr>
    </w:div>
    <w:div w:id="1428425114">
      <w:bodyDiv w:val="1"/>
      <w:marLeft w:val="0"/>
      <w:marRight w:val="0"/>
      <w:marTop w:val="0"/>
      <w:marBottom w:val="0"/>
      <w:divBdr>
        <w:top w:val="none" w:sz="0" w:space="0" w:color="auto"/>
        <w:left w:val="none" w:sz="0" w:space="0" w:color="auto"/>
        <w:bottom w:val="none" w:sz="0" w:space="0" w:color="auto"/>
        <w:right w:val="none" w:sz="0" w:space="0" w:color="auto"/>
      </w:divBdr>
    </w:div>
    <w:div w:id="1433162112">
      <w:bodyDiv w:val="1"/>
      <w:marLeft w:val="0"/>
      <w:marRight w:val="0"/>
      <w:marTop w:val="0"/>
      <w:marBottom w:val="0"/>
      <w:divBdr>
        <w:top w:val="none" w:sz="0" w:space="0" w:color="auto"/>
        <w:left w:val="none" w:sz="0" w:space="0" w:color="auto"/>
        <w:bottom w:val="none" w:sz="0" w:space="0" w:color="auto"/>
        <w:right w:val="none" w:sz="0" w:space="0" w:color="auto"/>
      </w:divBdr>
    </w:div>
    <w:div w:id="1462842784">
      <w:bodyDiv w:val="1"/>
      <w:marLeft w:val="0"/>
      <w:marRight w:val="0"/>
      <w:marTop w:val="0"/>
      <w:marBottom w:val="0"/>
      <w:divBdr>
        <w:top w:val="none" w:sz="0" w:space="0" w:color="auto"/>
        <w:left w:val="none" w:sz="0" w:space="0" w:color="auto"/>
        <w:bottom w:val="none" w:sz="0" w:space="0" w:color="auto"/>
        <w:right w:val="none" w:sz="0" w:space="0" w:color="auto"/>
      </w:divBdr>
    </w:div>
    <w:div w:id="1470636643">
      <w:bodyDiv w:val="1"/>
      <w:marLeft w:val="0"/>
      <w:marRight w:val="0"/>
      <w:marTop w:val="0"/>
      <w:marBottom w:val="0"/>
      <w:divBdr>
        <w:top w:val="none" w:sz="0" w:space="0" w:color="auto"/>
        <w:left w:val="none" w:sz="0" w:space="0" w:color="auto"/>
        <w:bottom w:val="none" w:sz="0" w:space="0" w:color="auto"/>
        <w:right w:val="none" w:sz="0" w:space="0" w:color="auto"/>
      </w:divBdr>
    </w:div>
    <w:div w:id="1480001579">
      <w:bodyDiv w:val="1"/>
      <w:marLeft w:val="0"/>
      <w:marRight w:val="0"/>
      <w:marTop w:val="0"/>
      <w:marBottom w:val="0"/>
      <w:divBdr>
        <w:top w:val="none" w:sz="0" w:space="0" w:color="auto"/>
        <w:left w:val="none" w:sz="0" w:space="0" w:color="auto"/>
        <w:bottom w:val="none" w:sz="0" w:space="0" w:color="auto"/>
        <w:right w:val="none" w:sz="0" w:space="0" w:color="auto"/>
      </w:divBdr>
    </w:div>
    <w:div w:id="1481770361">
      <w:bodyDiv w:val="1"/>
      <w:marLeft w:val="0"/>
      <w:marRight w:val="0"/>
      <w:marTop w:val="0"/>
      <w:marBottom w:val="0"/>
      <w:divBdr>
        <w:top w:val="none" w:sz="0" w:space="0" w:color="auto"/>
        <w:left w:val="none" w:sz="0" w:space="0" w:color="auto"/>
        <w:bottom w:val="none" w:sz="0" w:space="0" w:color="auto"/>
        <w:right w:val="none" w:sz="0" w:space="0" w:color="auto"/>
      </w:divBdr>
    </w:div>
    <w:div w:id="1492912035">
      <w:bodyDiv w:val="1"/>
      <w:marLeft w:val="0"/>
      <w:marRight w:val="0"/>
      <w:marTop w:val="0"/>
      <w:marBottom w:val="0"/>
      <w:divBdr>
        <w:top w:val="none" w:sz="0" w:space="0" w:color="auto"/>
        <w:left w:val="none" w:sz="0" w:space="0" w:color="auto"/>
        <w:bottom w:val="none" w:sz="0" w:space="0" w:color="auto"/>
        <w:right w:val="none" w:sz="0" w:space="0" w:color="auto"/>
      </w:divBdr>
    </w:div>
    <w:div w:id="1505125347">
      <w:bodyDiv w:val="1"/>
      <w:marLeft w:val="0"/>
      <w:marRight w:val="0"/>
      <w:marTop w:val="0"/>
      <w:marBottom w:val="0"/>
      <w:divBdr>
        <w:top w:val="none" w:sz="0" w:space="0" w:color="auto"/>
        <w:left w:val="none" w:sz="0" w:space="0" w:color="auto"/>
        <w:bottom w:val="none" w:sz="0" w:space="0" w:color="auto"/>
        <w:right w:val="none" w:sz="0" w:space="0" w:color="auto"/>
      </w:divBdr>
    </w:div>
    <w:div w:id="1512916464">
      <w:bodyDiv w:val="1"/>
      <w:marLeft w:val="0"/>
      <w:marRight w:val="0"/>
      <w:marTop w:val="0"/>
      <w:marBottom w:val="0"/>
      <w:divBdr>
        <w:top w:val="none" w:sz="0" w:space="0" w:color="auto"/>
        <w:left w:val="none" w:sz="0" w:space="0" w:color="auto"/>
        <w:bottom w:val="none" w:sz="0" w:space="0" w:color="auto"/>
        <w:right w:val="none" w:sz="0" w:space="0" w:color="auto"/>
      </w:divBdr>
    </w:div>
    <w:div w:id="1516076518">
      <w:bodyDiv w:val="1"/>
      <w:marLeft w:val="0"/>
      <w:marRight w:val="0"/>
      <w:marTop w:val="0"/>
      <w:marBottom w:val="0"/>
      <w:divBdr>
        <w:top w:val="none" w:sz="0" w:space="0" w:color="auto"/>
        <w:left w:val="none" w:sz="0" w:space="0" w:color="auto"/>
        <w:bottom w:val="none" w:sz="0" w:space="0" w:color="auto"/>
        <w:right w:val="none" w:sz="0" w:space="0" w:color="auto"/>
      </w:divBdr>
    </w:div>
    <w:div w:id="1540359242">
      <w:bodyDiv w:val="1"/>
      <w:marLeft w:val="0"/>
      <w:marRight w:val="0"/>
      <w:marTop w:val="0"/>
      <w:marBottom w:val="0"/>
      <w:divBdr>
        <w:top w:val="none" w:sz="0" w:space="0" w:color="auto"/>
        <w:left w:val="none" w:sz="0" w:space="0" w:color="auto"/>
        <w:bottom w:val="none" w:sz="0" w:space="0" w:color="auto"/>
        <w:right w:val="none" w:sz="0" w:space="0" w:color="auto"/>
      </w:divBdr>
    </w:div>
    <w:div w:id="1548836998">
      <w:bodyDiv w:val="1"/>
      <w:marLeft w:val="0"/>
      <w:marRight w:val="0"/>
      <w:marTop w:val="0"/>
      <w:marBottom w:val="0"/>
      <w:divBdr>
        <w:top w:val="none" w:sz="0" w:space="0" w:color="auto"/>
        <w:left w:val="none" w:sz="0" w:space="0" w:color="auto"/>
        <w:bottom w:val="none" w:sz="0" w:space="0" w:color="auto"/>
        <w:right w:val="none" w:sz="0" w:space="0" w:color="auto"/>
      </w:divBdr>
    </w:div>
    <w:div w:id="1564682824">
      <w:bodyDiv w:val="1"/>
      <w:marLeft w:val="0"/>
      <w:marRight w:val="0"/>
      <w:marTop w:val="0"/>
      <w:marBottom w:val="0"/>
      <w:divBdr>
        <w:top w:val="none" w:sz="0" w:space="0" w:color="auto"/>
        <w:left w:val="none" w:sz="0" w:space="0" w:color="auto"/>
        <w:bottom w:val="none" w:sz="0" w:space="0" w:color="auto"/>
        <w:right w:val="none" w:sz="0" w:space="0" w:color="auto"/>
      </w:divBdr>
      <w:divsChild>
        <w:div w:id="2046444284">
          <w:marLeft w:val="0"/>
          <w:marRight w:val="0"/>
          <w:marTop w:val="0"/>
          <w:marBottom w:val="0"/>
          <w:divBdr>
            <w:top w:val="none" w:sz="0" w:space="0" w:color="auto"/>
            <w:left w:val="none" w:sz="0" w:space="0" w:color="auto"/>
            <w:bottom w:val="none" w:sz="0" w:space="0" w:color="auto"/>
            <w:right w:val="none" w:sz="0" w:space="0" w:color="auto"/>
          </w:divBdr>
          <w:divsChild>
            <w:div w:id="1200319819">
              <w:marLeft w:val="0"/>
              <w:marRight w:val="0"/>
              <w:marTop w:val="0"/>
              <w:marBottom w:val="0"/>
              <w:divBdr>
                <w:top w:val="none" w:sz="0" w:space="0" w:color="auto"/>
                <w:left w:val="none" w:sz="0" w:space="0" w:color="auto"/>
                <w:bottom w:val="none" w:sz="0" w:space="0" w:color="auto"/>
                <w:right w:val="none" w:sz="0" w:space="0" w:color="auto"/>
              </w:divBdr>
              <w:divsChild>
                <w:div w:id="496265442">
                  <w:marLeft w:val="0"/>
                  <w:marRight w:val="0"/>
                  <w:marTop w:val="0"/>
                  <w:marBottom w:val="0"/>
                  <w:divBdr>
                    <w:top w:val="none" w:sz="0" w:space="0" w:color="auto"/>
                    <w:left w:val="none" w:sz="0" w:space="0" w:color="auto"/>
                    <w:bottom w:val="none" w:sz="0" w:space="0" w:color="auto"/>
                    <w:right w:val="none" w:sz="0" w:space="0" w:color="auto"/>
                  </w:divBdr>
                  <w:divsChild>
                    <w:div w:id="1492285055">
                      <w:marLeft w:val="0"/>
                      <w:marRight w:val="0"/>
                      <w:marTop w:val="0"/>
                      <w:marBottom w:val="0"/>
                      <w:divBdr>
                        <w:top w:val="none" w:sz="0" w:space="0" w:color="auto"/>
                        <w:left w:val="none" w:sz="0" w:space="0" w:color="auto"/>
                        <w:bottom w:val="none" w:sz="0" w:space="0" w:color="auto"/>
                        <w:right w:val="none" w:sz="0" w:space="0" w:color="auto"/>
                      </w:divBdr>
                      <w:divsChild>
                        <w:div w:id="18678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210901">
      <w:bodyDiv w:val="1"/>
      <w:marLeft w:val="0"/>
      <w:marRight w:val="0"/>
      <w:marTop w:val="0"/>
      <w:marBottom w:val="0"/>
      <w:divBdr>
        <w:top w:val="none" w:sz="0" w:space="0" w:color="auto"/>
        <w:left w:val="none" w:sz="0" w:space="0" w:color="auto"/>
        <w:bottom w:val="none" w:sz="0" w:space="0" w:color="auto"/>
        <w:right w:val="none" w:sz="0" w:space="0" w:color="auto"/>
      </w:divBdr>
    </w:div>
    <w:div w:id="1600599539">
      <w:bodyDiv w:val="1"/>
      <w:marLeft w:val="0"/>
      <w:marRight w:val="0"/>
      <w:marTop w:val="0"/>
      <w:marBottom w:val="0"/>
      <w:divBdr>
        <w:top w:val="none" w:sz="0" w:space="0" w:color="auto"/>
        <w:left w:val="none" w:sz="0" w:space="0" w:color="auto"/>
        <w:bottom w:val="none" w:sz="0" w:space="0" w:color="auto"/>
        <w:right w:val="none" w:sz="0" w:space="0" w:color="auto"/>
      </w:divBdr>
      <w:divsChild>
        <w:div w:id="585847149">
          <w:marLeft w:val="0"/>
          <w:marRight w:val="0"/>
          <w:marTop w:val="0"/>
          <w:marBottom w:val="0"/>
          <w:divBdr>
            <w:top w:val="none" w:sz="0" w:space="0" w:color="auto"/>
            <w:left w:val="none" w:sz="0" w:space="0" w:color="auto"/>
            <w:bottom w:val="none" w:sz="0" w:space="0" w:color="auto"/>
            <w:right w:val="none" w:sz="0" w:space="0" w:color="auto"/>
          </w:divBdr>
          <w:divsChild>
            <w:div w:id="546642256">
              <w:marLeft w:val="0"/>
              <w:marRight w:val="0"/>
              <w:marTop w:val="0"/>
              <w:marBottom w:val="0"/>
              <w:divBdr>
                <w:top w:val="none" w:sz="0" w:space="0" w:color="auto"/>
                <w:left w:val="none" w:sz="0" w:space="0" w:color="auto"/>
                <w:bottom w:val="none" w:sz="0" w:space="0" w:color="auto"/>
                <w:right w:val="none" w:sz="0" w:space="0" w:color="auto"/>
              </w:divBdr>
              <w:divsChild>
                <w:div w:id="2036809410">
                  <w:marLeft w:val="0"/>
                  <w:marRight w:val="0"/>
                  <w:marTop w:val="0"/>
                  <w:marBottom w:val="0"/>
                  <w:divBdr>
                    <w:top w:val="none" w:sz="0" w:space="0" w:color="auto"/>
                    <w:left w:val="none" w:sz="0" w:space="0" w:color="auto"/>
                    <w:bottom w:val="none" w:sz="0" w:space="0" w:color="auto"/>
                    <w:right w:val="none" w:sz="0" w:space="0" w:color="auto"/>
                  </w:divBdr>
                  <w:divsChild>
                    <w:div w:id="2012832061">
                      <w:marLeft w:val="0"/>
                      <w:marRight w:val="0"/>
                      <w:marTop w:val="0"/>
                      <w:marBottom w:val="0"/>
                      <w:divBdr>
                        <w:top w:val="none" w:sz="0" w:space="0" w:color="auto"/>
                        <w:left w:val="none" w:sz="0" w:space="0" w:color="auto"/>
                        <w:bottom w:val="none" w:sz="0" w:space="0" w:color="auto"/>
                        <w:right w:val="none" w:sz="0" w:space="0" w:color="auto"/>
                      </w:divBdr>
                      <w:divsChild>
                        <w:div w:id="1005745013">
                          <w:marLeft w:val="0"/>
                          <w:marRight w:val="0"/>
                          <w:marTop w:val="0"/>
                          <w:marBottom w:val="0"/>
                          <w:divBdr>
                            <w:top w:val="none" w:sz="0" w:space="0" w:color="auto"/>
                            <w:left w:val="none" w:sz="0" w:space="0" w:color="auto"/>
                            <w:bottom w:val="none" w:sz="0" w:space="0" w:color="auto"/>
                            <w:right w:val="none" w:sz="0" w:space="0" w:color="auto"/>
                          </w:divBdr>
                          <w:divsChild>
                            <w:div w:id="182362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236545">
      <w:bodyDiv w:val="1"/>
      <w:marLeft w:val="0"/>
      <w:marRight w:val="0"/>
      <w:marTop w:val="0"/>
      <w:marBottom w:val="0"/>
      <w:divBdr>
        <w:top w:val="none" w:sz="0" w:space="0" w:color="auto"/>
        <w:left w:val="none" w:sz="0" w:space="0" w:color="auto"/>
        <w:bottom w:val="none" w:sz="0" w:space="0" w:color="auto"/>
        <w:right w:val="none" w:sz="0" w:space="0" w:color="auto"/>
      </w:divBdr>
      <w:divsChild>
        <w:div w:id="1959792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079573">
      <w:bodyDiv w:val="1"/>
      <w:marLeft w:val="0"/>
      <w:marRight w:val="0"/>
      <w:marTop w:val="0"/>
      <w:marBottom w:val="0"/>
      <w:divBdr>
        <w:top w:val="none" w:sz="0" w:space="0" w:color="auto"/>
        <w:left w:val="none" w:sz="0" w:space="0" w:color="auto"/>
        <w:bottom w:val="none" w:sz="0" w:space="0" w:color="auto"/>
        <w:right w:val="none" w:sz="0" w:space="0" w:color="auto"/>
      </w:divBdr>
      <w:divsChild>
        <w:div w:id="600381521">
          <w:marLeft w:val="0"/>
          <w:marRight w:val="0"/>
          <w:marTop w:val="0"/>
          <w:marBottom w:val="0"/>
          <w:divBdr>
            <w:top w:val="none" w:sz="0" w:space="0" w:color="auto"/>
            <w:left w:val="none" w:sz="0" w:space="0" w:color="auto"/>
            <w:bottom w:val="none" w:sz="0" w:space="0" w:color="auto"/>
            <w:right w:val="none" w:sz="0" w:space="0" w:color="auto"/>
          </w:divBdr>
          <w:divsChild>
            <w:div w:id="1252738904">
              <w:marLeft w:val="0"/>
              <w:marRight w:val="0"/>
              <w:marTop w:val="0"/>
              <w:marBottom w:val="0"/>
              <w:divBdr>
                <w:top w:val="none" w:sz="0" w:space="0" w:color="auto"/>
                <w:left w:val="none" w:sz="0" w:space="0" w:color="auto"/>
                <w:bottom w:val="none" w:sz="0" w:space="0" w:color="auto"/>
                <w:right w:val="none" w:sz="0" w:space="0" w:color="auto"/>
              </w:divBdr>
              <w:divsChild>
                <w:div w:id="1724057926">
                  <w:marLeft w:val="0"/>
                  <w:marRight w:val="0"/>
                  <w:marTop w:val="0"/>
                  <w:marBottom w:val="0"/>
                  <w:divBdr>
                    <w:top w:val="none" w:sz="0" w:space="0" w:color="auto"/>
                    <w:left w:val="none" w:sz="0" w:space="0" w:color="auto"/>
                    <w:bottom w:val="none" w:sz="0" w:space="0" w:color="auto"/>
                    <w:right w:val="none" w:sz="0" w:space="0" w:color="auto"/>
                  </w:divBdr>
                  <w:divsChild>
                    <w:div w:id="17942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897381">
      <w:bodyDiv w:val="1"/>
      <w:marLeft w:val="0"/>
      <w:marRight w:val="0"/>
      <w:marTop w:val="0"/>
      <w:marBottom w:val="0"/>
      <w:divBdr>
        <w:top w:val="none" w:sz="0" w:space="0" w:color="auto"/>
        <w:left w:val="none" w:sz="0" w:space="0" w:color="auto"/>
        <w:bottom w:val="none" w:sz="0" w:space="0" w:color="auto"/>
        <w:right w:val="none" w:sz="0" w:space="0" w:color="auto"/>
      </w:divBdr>
    </w:div>
    <w:div w:id="1633558069">
      <w:bodyDiv w:val="1"/>
      <w:marLeft w:val="0"/>
      <w:marRight w:val="0"/>
      <w:marTop w:val="0"/>
      <w:marBottom w:val="0"/>
      <w:divBdr>
        <w:top w:val="none" w:sz="0" w:space="0" w:color="auto"/>
        <w:left w:val="none" w:sz="0" w:space="0" w:color="auto"/>
        <w:bottom w:val="none" w:sz="0" w:space="0" w:color="auto"/>
        <w:right w:val="none" w:sz="0" w:space="0" w:color="auto"/>
      </w:divBdr>
      <w:divsChild>
        <w:div w:id="109783058">
          <w:marLeft w:val="0"/>
          <w:marRight w:val="0"/>
          <w:marTop w:val="0"/>
          <w:marBottom w:val="0"/>
          <w:divBdr>
            <w:top w:val="none" w:sz="0" w:space="0" w:color="auto"/>
            <w:left w:val="none" w:sz="0" w:space="0" w:color="auto"/>
            <w:bottom w:val="none" w:sz="0" w:space="0" w:color="auto"/>
            <w:right w:val="none" w:sz="0" w:space="0" w:color="auto"/>
          </w:divBdr>
          <w:divsChild>
            <w:div w:id="59210714">
              <w:marLeft w:val="0"/>
              <w:marRight w:val="0"/>
              <w:marTop w:val="0"/>
              <w:marBottom w:val="0"/>
              <w:divBdr>
                <w:top w:val="none" w:sz="0" w:space="0" w:color="auto"/>
                <w:left w:val="none" w:sz="0" w:space="0" w:color="auto"/>
                <w:bottom w:val="none" w:sz="0" w:space="0" w:color="auto"/>
                <w:right w:val="none" w:sz="0" w:space="0" w:color="auto"/>
              </w:divBdr>
              <w:divsChild>
                <w:div w:id="697051412">
                  <w:marLeft w:val="0"/>
                  <w:marRight w:val="0"/>
                  <w:marTop w:val="0"/>
                  <w:marBottom w:val="0"/>
                  <w:divBdr>
                    <w:top w:val="none" w:sz="0" w:space="0" w:color="auto"/>
                    <w:left w:val="none" w:sz="0" w:space="0" w:color="auto"/>
                    <w:bottom w:val="none" w:sz="0" w:space="0" w:color="auto"/>
                    <w:right w:val="none" w:sz="0" w:space="0" w:color="auto"/>
                  </w:divBdr>
                  <w:divsChild>
                    <w:div w:id="1158769139">
                      <w:marLeft w:val="0"/>
                      <w:marRight w:val="0"/>
                      <w:marTop w:val="0"/>
                      <w:marBottom w:val="0"/>
                      <w:divBdr>
                        <w:top w:val="none" w:sz="0" w:space="0" w:color="auto"/>
                        <w:left w:val="none" w:sz="0" w:space="0" w:color="auto"/>
                        <w:bottom w:val="none" w:sz="0" w:space="0" w:color="auto"/>
                        <w:right w:val="none" w:sz="0" w:space="0" w:color="auto"/>
                      </w:divBdr>
                      <w:divsChild>
                        <w:div w:id="721053548">
                          <w:marLeft w:val="0"/>
                          <w:marRight w:val="0"/>
                          <w:marTop w:val="0"/>
                          <w:marBottom w:val="0"/>
                          <w:divBdr>
                            <w:top w:val="none" w:sz="0" w:space="0" w:color="auto"/>
                            <w:left w:val="none" w:sz="0" w:space="0" w:color="auto"/>
                            <w:bottom w:val="none" w:sz="0" w:space="0" w:color="auto"/>
                            <w:right w:val="none" w:sz="0" w:space="0" w:color="auto"/>
                          </w:divBdr>
                          <w:divsChild>
                            <w:div w:id="1431469009">
                              <w:marLeft w:val="0"/>
                              <w:marRight w:val="0"/>
                              <w:marTop w:val="0"/>
                              <w:marBottom w:val="0"/>
                              <w:divBdr>
                                <w:top w:val="none" w:sz="0" w:space="0" w:color="auto"/>
                                <w:left w:val="none" w:sz="0" w:space="0" w:color="auto"/>
                                <w:bottom w:val="none" w:sz="0" w:space="0" w:color="auto"/>
                                <w:right w:val="none" w:sz="0" w:space="0" w:color="auto"/>
                              </w:divBdr>
                              <w:divsChild>
                                <w:div w:id="38988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167848">
      <w:bodyDiv w:val="1"/>
      <w:marLeft w:val="0"/>
      <w:marRight w:val="0"/>
      <w:marTop w:val="0"/>
      <w:marBottom w:val="0"/>
      <w:divBdr>
        <w:top w:val="none" w:sz="0" w:space="0" w:color="auto"/>
        <w:left w:val="none" w:sz="0" w:space="0" w:color="auto"/>
        <w:bottom w:val="none" w:sz="0" w:space="0" w:color="auto"/>
        <w:right w:val="none" w:sz="0" w:space="0" w:color="auto"/>
      </w:divBdr>
      <w:divsChild>
        <w:div w:id="1714384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1158762">
      <w:bodyDiv w:val="1"/>
      <w:marLeft w:val="0"/>
      <w:marRight w:val="0"/>
      <w:marTop w:val="0"/>
      <w:marBottom w:val="0"/>
      <w:divBdr>
        <w:top w:val="none" w:sz="0" w:space="0" w:color="auto"/>
        <w:left w:val="none" w:sz="0" w:space="0" w:color="auto"/>
        <w:bottom w:val="none" w:sz="0" w:space="0" w:color="auto"/>
        <w:right w:val="none" w:sz="0" w:space="0" w:color="auto"/>
      </w:divBdr>
    </w:div>
    <w:div w:id="1670012589">
      <w:bodyDiv w:val="1"/>
      <w:marLeft w:val="0"/>
      <w:marRight w:val="0"/>
      <w:marTop w:val="0"/>
      <w:marBottom w:val="0"/>
      <w:divBdr>
        <w:top w:val="none" w:sz="0" w:space="0" w:color="auto"/>
        <w:left w:val="none" w:sz="0" w:space="0" w:color="auto"/>
        <w:bottom w:val="none" w:sz="0" w:space="0" w:color="auto"/>
        <w:right w:val="none" w:sz="0" w:space="0" w:color="auto"/>
      </w:divBdr>
    </w:div>
    <w:div w:id="1685203060">
      <w:bodyDiv w:val="1"/>
      <w:marLeft w:val="0"/>
      <w:marRight w:val="0"/>
      <w:marTop w:val="0"/>
      <w:marBottom w:val="0"/>
      <w:divBdr>
        <w:top w:val="none" w:sz="0" w:space="0" w:color="auto"/>
        <w:left w:val="none" w:sz="0" w:space="0" w:color="auto"/>
        <w:bottom w:val="none" w:sz="0" w:space="0" w:color="auto"/>
        <w:right w:val="none" w:sz="0" w:space="0" w:color="auto"/>
      </w:divBdr>
    </w:div>
    <w:div w:id="1695574195">
      <w:bodyDiv w:val="1"/>
      <w:marLeft w:val="0"/>
      <w:marRight w:val="0"/>
      <w:marTop w:val="0"/>
      <w:marBottom w:val="0"/>
      <w:divBdr>
        <w:top w:val="none" w:sz="0" w:space="0" w:color="auto"/>
        <w:left w:val="none" w:sz="0" w:space="0" w:color="auto"/>
        <w:bottom w:val="none" w:sz="0" w:space="0" w:color="auto"/>
        <w:right w:val="none" w:sz="0" w:space="0" w:color="auto"/>
      </w:divBdr>
      <w:divsChild>
        <w:div w:id="1337490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0692">
      <w:bodyDiv w:val="1"/>
      <w:marLeft w:val="0"/>
      <w:marRight w:val="0"/>
      <w:marTop w:val="0"/>
      <w:marBottom w:val="0"/>
      <w:divBdr>
        <w:top w:val="none" w:sz="0" w:space="0" w:color="auto"/>
        <w:left w:val="none" w:sz="0" w:space="0" w:color="auto"/>
        <w:bottom w:val="none" w:sz="0" w:space="0" w:color="auto"/>
        <w:right w:val="none" w:sz="0" w:space="0" w:color="auto"/>
      </w:divBdr>
    </w:div>
    <w:div w:id="1729760679">
      <w:bodyDiv w:val="1"/>
      <w:marLeft w:val="0"/>
      <w:marRight w:val="0"/>
      <w:marTop w:val="0"/>
      <w:marBottom w:val="0"/>
      <w:divBdr>
        <w:top w:val="none" w:sz="0" w:space="0" w:color="auto"/>
        <w:left w:val="none" w:sz="0" w:space="0" w:color="auto"/>
        <w:bottom w:val="none" w:sz="0" w:space="0" w:color="auto"/>
        <w:right w:val="none" w:sz="0" w:space="0" w:color="auto"/>
      </w:divBdr>
    </w:div>
    <w:div w:id="1759131813">
      <w:bodyDiv w:val="1"/>
      <w:marLeft w:val="0"/>
      <w:marRight w:val="0"/>
      <w:marTop w:val="0"/>
      <w:marBottom w:val="0"/>
      <w:divBdr>
        <w:top w:val="none" w:sz="0" w:space="0" w:color="auto"/>
        <w:left w:val="none" w:sz="0" w:space="0" w:color="auto"/>
        <w:bottom w:val="none" w:sz="0" w:space="0" w:color="auto"/>
        <w:right w:val="none" w:sz="0" w:space="0" w:color="auto"/>
      </w:divBdr>
    </w:div>
    <w:div w:id="1773276591">
      <w:bodyDiv w:val="1"/>
      <w:marLeft w:val="0"/>
      <w:marRight w:val="0"/>
      <w:marTop w:val="0"/>
      <w:marBottom w:val="0"/>
      <w:divBdr>
        <w:top w:val="none" w:sz="0" w:space="0" w:color="auto"/>
        <w:left w:val="none" w:sz="0" w:space="0" w:color="auto"/>
        <w:bottom w:val="none" w:sz="0" w:space="0" w:color="auto"/>
        <w:right w:val="none" w:sz="0" w:space="0" w:color="auto"/>
      </w:divBdr>
    </w:div>
    <w:div w:id="1783262283">
      <w:bodyDiv w:val="1"/>
      <w:marLeft w:val="0"/>
      <w:marRight w:val="0"/>
      <w:marTop w:val="0"/>
      <w:marBottom w:val="0"/>
      <w:divBdr>
        <w:top w:val="none" w:sz="0" w:space="0" w:color="auto"/>
        <w:left w:val="none" w:sz="0" w:space="0" w:color="auto"/>
        <w:bottom w:val="none" w:sz="0" w:space="0" w:color="auto"/>
        <w:right w:val="none" w:sz="0" w:space="0" w:color="auto"/>
      </w:divBdr>
    </w:div>
    <w:div w:id="1788041256">
      <w:bodyDiv w:val="1"/>
      <w:marLeft w:val="0"/>
      <w:marRight w:val="0"/>
      <w:marTop w:val="0"/>
      <w:marBottom w:val="0"/>
      <w:divBdr>
        <w:top w:val="none" w:sz="0" w:space="0" w:color="auto"/>
        <w:left w:val="none" w:sz="0" w:space="0" w:color="auto"/>
        <w:bottom w:val="none" w:sz="0" w:space="0" w:color="auto"/>
        <w:right w:val="none" w:sz="0" w:space="0" w:color="auto"/>
      </w:divBdr>
    </w:div>
    <w:div w:id="1806503236">
      <w:bodyDiv w:val="1"/>
      <w:marLeft w:val="0"/>
      <w:marRight w:val="0"/>
      <w:marTop w:val="0"/>
      <w:marBottom w:val="0"/>
      <w:divBdr>
        <w:top w:val="none" w:sz="0" w:space="0" w:color="auto"/>
        <w:left w:val="none" w:sz="0" w:space="0" w:color="auto"/>
        <w:bottom w:val="none" w:sz="0" w:space="0" w:color="auto"/>
        <w:right w:val="none" w:sz="0" w:space="0" w:color="auto"/>
      </w:divBdr>
    </w:div>
    <w:div w:id="1817919705">
      <w:bodyDiv w:val="1"/>
      <w:marLeft w:val="0"/>
      <w:marRight w:val="0"/>
      <w:marTop w:val="0"/>
      <w:marBottom w:val="0"/>
      <w:divBdr>
        <w:top w:val="none" w:sz="0" w:space="0" w:color="auto"/>
        <w:left w:val="none" w:sz="0" w:space="0" w:color="auto"/>
        <w:bottom w:val="none" w:sz="0" w:space="0" w:color="auto"/>
        <w:right w:val="none" w:sz="0" w:space="0" w:color="auto"/>
      </w:divBdr>
    </w:div>
    <w:div w:id="1821967287">
      <w:bodyDiv w:val="1"/>
      <w:marLeft w:val="0"/>
      <w:marRight w:val="0"/>
      <w:marTop w:val="0"/>
      <w:marBottom w:val="0"/>
      <w:divBdr>
        <w:top w:val="none" w:sz="0" w:space="0" w:color="auto"/>
        <w:left w:val="none" w:sz="0" w:space="0" w:color="auto"/>
        <w:bottom w:val="none" w:sz="0" w:space="0" w:color="auto"/>
        <w:right w:val="none" w:sz="0" w:space="0" w:color="auto"/>
      </w:divBdr>
    </w:div>
    <w:div w:id="1833449611">
      <w:bodyDiv w:val="1"/>
      <w:marLeft w:val="0"/>
      <w:marRight w:val="0"/>
      <w:marTop w:val="0"/>
      <w:marBottom w:val="0"/>
      <w:divBdr>
        <w:top w:val="none" w:sz="0" w:space="0" w:color="auto"/>
        <w:left w:val="none" w:sz="0" w:space="0" w:color="auto"/>
        <w:bottom w:val="none" w:sz="0" w:space="0" w:color="auto"/>
        <w:right w:val="none" w:sz="0" w:space="0" w:color="auto"/>
      </w:divBdr>
    </w:div>
    <w:div w:id="1837916229">
      <w:bodyDiv w:val="1"/>
      <w:marLeft w:val="0"/>
      <w:marRight w:val="0"/>
      <w:marTop w:val="0"/>
      <w:marBottom w:val="0"/>
      <w:divBdr>
        <w:top w:val="none" w:sz="0" w:space="0" w:color="auto"/>
        <w:left w:val="none" w:sz="0" w:space="0" w:color="auto"/>
        <w:bottom w:val="none" w:sz="0" w:space="0" w:color="auto"/>
        <w:right w:val="none" w:sz="0" w:space="0" w:color="auto"/>
      </w:divBdr>
      <w:divsChild>
        <w:div w:id="1093433612">
          <w:marLeft w:val="0"/>
          <w:marRight w:val="0"/>
          <w:marTop w:val="0"/>
          <w:marBottom w:val="0"/>
          <w:divBdr>
            <w:top w:val="none" w:sz="0" w:space="0" w:color="auto"/>
            <w:left w:val="none" w:sz="0" w:space="0" w:color="auto"/>
            <w:bottom w:val="none" w:sz="0" w:space="0" w:color="auto"/>
            <w:right w:val="none" w:sz="0" w:space="0" w:color="auto"/>
          </w:divBdr>
          <w:divsChild>
            <w:div w:id="217252102">
              <w:marLeft w:val="0"/>
              <w:marRight w:val="0"/>
              <w:marTop w:val="0"/>
              <w:marBottom w:val="0"/>
              <w:divBdr>
                <w:top w:val="none" w:sz="0" w:space="0" w:color="auto"/>
                <w:left w:val="none" w:sz="0" w:space="0" w:color="auto"/>
                <w:bottom w:val="none" w:sz="0" w:space="0" w:color="auto"/>
                <w:right w:val="none" w:sz="0" w:space="0" w:color="auto"/>
              </w:divBdr>
              <w:divsChild>
                <w:div w:id="1070730348">
                  <w:marLeft w:val="0"/>
                  <w:marRight w:val="0"/>
                  <w:marTop w:val="0"/>
                  <w:marBottom w:val="0"/>
                  <w:divBdr>
                    <w:top w:val="none" w:sz="0" w:space="0" w:color="auto"/>
                    <w:left w:val="none" w:sz="0" w:space="0" w:color="auto"/>
                    <w:bottom w:val="none" w:sz="0" w:space="0" w:color="auto"/>
                    <w:right w:val="none" w:sz="0" w:space="0" w:color="auto"/>
                  </w:divBdr>
                  <w:divsChild>
                    <w:div w:id="492066070">
                      <w:marLeft w:val="0"/>
                      <w:marRight w:val="0"/>
                      <w:marTop w:val="0"/>
                      <w:marBottom w:val="0"/>
                      <w:divBdr>
                        <w:top w:val="none" w:sz="0" w:space="0" w:color="auto"/>
                        <w:left w:val="none" w:sz="0" w:space="0" w:color="auto"/>
                        <w:bottom w:val="none" w:sz="0" w:space="0" w:color="auto"/>
                        <w:right w:val="none" w:sz="0" w:space="0" w:color="auto"/>
                      </w:divBdr>
                      <w:divsChild>
                        <w:div w:id="494994633">
                          <w:marLeft w:val="0"/>
                          <w:marRight w:val="0"/>
                          <w:marTop w:val="0"/>
                          <w:marBottom w:val="0"/>
                          <w:divBdr>
                            <w:top w:val="none" w:sz="0" w:space="0" w:color="auto"/>
                            <w:left w:val="none" w:sz="0" w:space="0" w:color="auto"/>
                            <w:bottom w:val="none" w:sz="0" w:space="0" w:color="auto"/>
                            <w:right w:val="none" w:sz="0" w:space="0" w:color="auto"/>
                          </w:divBdr>
                          <w:divsChild>
                            <w:div w:id="158055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665844">
      <w:bodyDiv w:val="1"/>
      <w:marLeft w:val="0"/>
      <w:marRight w:val="0"/>
      <w:marTop w:val="0"/>
      <w:marBottom w:val="0"/>
      <w:divBdr>
        <w:top w:val="none" w:sz="0" w:space="0" w:color="auto"/>
        <w:left w:val="none" w:sz="0" w:space="0" w:color="auto"/>
        <w:bottom w:val="none" w:sz="0" w:space="0" w:color="auto"/>
        <w:right w:val="none" w:sz="0" w:space="0" w:color="auto"/>
      </w:divBdr>
    </w:div>
    <w:div w:id="1846020475">
      <w:bodyDiv w:val="1"/>
      <w:marLeft w:val="0"/>
      <w:marRight w:val="0"/>
      <w:marTop w:val="0"/>
      <w:marBottom w:val="0"/>
      <w:divBdr>
        <w:top w:val="none" w:sz="0" w:space="0" w:color="auto"/>
        <w:left w:val="none" w:sz="0" w:space="0" w:color="auto"/>
        <w:bottom w:val="none" w:sz="0" w:space="0" w:color="auto"/>
        <w:right w:val="none" w:sz="0" w:space="0" w:color="auto"/>
      </w:divBdr>
    </w:div>
    <w:div w:id="1852915155">
      <w:bodyDiv w:val="1"/>
      <w:marLeft w:val="0"/>
      <w:marRight w:val="0"/>
      <w:marTop w:val="0"/>
      <w:marBottom w:val="0"/>
      <w:divBdr>
        <w:top w:val="none" w:sz="0" w:space="0" w:color="auto"/>
        <w:left w:val="none" w:sz="0" w:space="0" w:color="auto"/>
        <w:bottom w:val="none" w:sz="0" w:space="0" w:color="auto"/>
        <w:right w:val="none" w:sz="0" w:space="0" w:color="auto"/>
      </w:divBdr>
    </w:div>
    <w:div w:id="1855267842">
      <w:bodyDiv w:val="1"/>
      <w:marLeft w:val="0"/>
      <w:marRight w:val="0"/>
      <w:marTop w:val="0"/>
      <w:marBottom w:val="0"/>
      <w:divBdr>
        <w:top w:val="none" w:sz="0" w:space="0" w:color="auto"/>
        <w:left w:val="none" w:sz="0" w:space="0" w:color="auto"/>
        <w:bottom w:val="none" w:sz="0" w:space="0" w:color="auto"/>
        <w:right w:val="none" w:sz="0" w:space="0" w:color="auto"/>
      </w:divBdr>
    </w:div>
    <w:div w:id="1870559382">
      <w:bodyDiv w:val="1"/>
      <w:marLeft w:val="0"/>
      <w:marRight w:val="0"/>
      <w:marTop w:val="0"/>
      <w:marBottom w:val="0"/>
      <w:divBdr>
        <w:top w:val="none" w:sz="0" w:space="0" w:color="auto"/>
        <w:left w:val="none" w:sz="0" w:space="0" w:color="auto"/>
        <w:bottom w:val="none" w:sz="0" w:space="0" w:color="auto"/>
        <w:right w:val="none" w:sz="0" w:space="0" w:color="auto"/>
      </w:divBdr>
    </w:div>
    <w:div w:id="1875845723">
      <w:bodyDiv w:val="1"/>
      <w:marLeft w:val="0"/>
      <w:marRight w:val="0"/>
      <w:marTop w:val="0"/>
      <w:marBottom w:val="0"/>
      <w:divBdr>
        <w:top w:val="none" w:sz="0" w:space="0" w:color="auto"/>
        <w:left w:val="none" w:sz="0" w:space="0" w:color="auto"/>
        <w:bottom w:val="none" w:sz="0" w:space="0" w:color="auto"/>
        <w:right w:val="none" w:sz="0" w:space="0" w:color="auto"/>
      </w:divBdr>
      <w:divsChild>
        <w:div w:id="1744133203">
          <w:marLeft w:val="0"/>
          <w:marRight w:val="0"/>
          <w:marTop w:val="0"/>
          <w:marBottom w:val="0"/>
          <w:divBdr>
            <w:top w:val="none" w:sz="0" w:space="0" w:color="auto"/>
            <w:left w:val="none" w:sz="0" w:space="0" w:color="auto"/>
            <w:bottom w:val="none" w:sz="0" w:space="0" w:color="auto"/>
            <w:right w:val="none" w:sz="0" w:space="0" w:color="auto"/>
          </w:divBdr>
          <w:divsChild>
            <w:div w:id="1417819809">
              <w:marLeft w:val="0"/>
              <w:marRight w:val="0"/>
              <w:marTop w:val="0"/>
              <w:marBottom w:val="0"/>
              <w:divBdr>
                <w:top w:val="none" w:sz="0" w:space="0" w:color="auto"/>
                <w:left w:val="none" w:sz="0" w:space="0" w:color="auto"/>
                <w:bottom w:val="none" w:sz="0" w:space="0" w:color="auto"/>
                <w:right w:val="none" w:sz="0" w:space="0" w:color="auto"/>
              </w:divBdr>
              <w:divsChild>
                <w:div w:id="1975330090">
                  <w:marLeft w:val="0"/>
                  <w:marRight w:val="0"/>
                  <w:marTop w:val="0"/>
                  <w:marBottom w:val="0"/>
                  <w:divBdr>
                    <w:top w:val="none" w:sz="0" w:space="0" w:color="auto"/>
                    <w:left w:val="none" w:sz="0" w:space="0" w:color="auto"/>
                    <w:bottom w:val="none" w:sz="0" w:space="0" w:color="auto"/>
                    <w:right w:val="none" w:sz="0" w:space="0" w:color="auto"/>
                  </w:divBdr>
                  <w:divsChild>
                    <w:div w:id="1879858542">
                      <w:marLeft w:val="0"/>
                      <w:marRight w:val="0"/>
                      <w:marTop w:val="0"/>
                      <w:marBottom w:val="0"/>
                      <w:divBdr>
                        <w:top w:val="none" w:sz="0" w:space="0" w:color="auto"/>
                        <w:left w:val="none" w:sz="0" w:space="0" w:color="auto"/>
                        <w:bottom w:val="none" w:sz="0" w:space="0" w:color="auto"/>
                        <w:right w:val="none" w:sz="0" w:space="0" w:color="auto"/>
                      </w:divBdr>
                      <w:divsChild>
                        <w:div w:id="17318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859693">
      <w:bodyDiv w:val="1"/>
      <w:marLeft w:val="0"/>
      <w:marRight w:val="0"/>
      <w:marTop w:val="0"/>
      <w:marBottom w:val="0"/>
      <w:divBdr>
        <w:top w:val="none" w:sz="0" w:space="0" w:color="auto"/>
        <w:left w:val="none" w:sz="0" w:space="0" w:color="auto"/>
        <w:bottom w:val="none" w:sz="0" w:space="0" w:color="auto"/>
        <w:right w:val="none" w:sz="0" w:space="0" w:color="auto"/>
      </w:divBdr>
      <w:divsChild>
        <w:div w:id="1572620229">
          <w:marLeft w:val="0"/>
          <w:marRight w:val="0"/>
          <w:marTop w:val="0"/>
          <w:marBottom w:val="0"/>
          <w:divBdr>
            <w:top w:val="none" w:sz="0" w:space="0" w:color="auto"/>
            <w:left w:val="none" w:sz="0" w:space="0" w:color="auto"/>
            <w:bottom w:val="none" w:sz="0" w:space="0" w:color="auto"/>
            <w:right w:val="none" w:sz="0" w:space="0" w:color="auto"/>
          </w:divBdr>
          <w:divsChild>
            <w:div w:id="1167208017">
              <w:marLeft w:val="0"/>
              <w:marRight w:val="0"/>
              <w:marTop w:val="0"/>
              <w:marBottom w:val="0"/>
              <w:divBdr>
                <w:top w:val="none" w:sz="0" w:space="0" w:color="auto"/>
                <w:left w:val="none" w:sz="0" w:space="0" w:color="auto"/>
                <w:bottom w:val="none" w:sz="0" w:space="0" w:color="auto"/>
                <w:right w:val="none" w:sz="0" w:space="0" w:color="auto"/>
              </w:divBdr>
              <w:divsChild>
                <w:div w:id="1973900282">
                  <w:marLeft w:val="0"/>
                  <w:marRight w:val="0"/>
                  <w:marTop w:val="0"/>
                  <w:marBottom w:val="0"/>
                  <w:divBdr>
                    <w:top w:val="none" w:sz="0" w:space="0" w:color="auto"/>
                    <w:left w:val="none" w:sz="0" w:space="0" w:color="auto"/>
                    <w:bottom w:val="none" w:sz="0" w:space="0" w:color="auto"/>
                    <w:right w:val="none" w:sz="0" w:space="0" w:color="auto"/>
                  </w:divBdr>
                  <w:divsChild>
                    <w:div w:id="951982678">
                      <w:marLeft w:val="0"/>
                      <w:marRight w:val="0"/>
                      <w:marTop w:val="0"/>
                      <w:marBottom w:val="0"/>
                      <w:divBdr>
                        <w:top w:val="none" w:sz="0" w:space="0" w:color="auto"/>
                        <w:left w:val="none" w:sz="0" w:space="0" w:color="auto"/>
                        <w:bottom w:val="none" w:sz="0" w:space="0" w:color="auto"/>
                        <w:right w:val="none" w:sz="0" w:space="0" w:color="auto"/>
                      </w:divBdr>
                      <w:divsChild>
                        <w:div w:id="98844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475336">
      <w:bodyDiv w:val="1"/>
      <w:marLeft w:val="0"/>
      <w:marRight w:val="0"/>
      <w:marTop w:val="0"/>
      <w:marBottom w:val="0"/>
      <w:divBdr>
        <w:top w:val="none" w:sz="0" w:space="0" w:color="auto"/>
        <w:left w:val="none" w:sz="0" w:space="0" w:color="auto"/>
        <w:bottom w:val="none" w:sz="0" w:space="0" w:color="auto"/>
        <w:right w:val="none" w:sz="0" w:space="0" w:color="auto"/>
      </w:divBdr>
    </w:div>
    <w:div w:id="1890340940">
      <w:bodyDiv w:val="1"/>
      <w:marLeft w:val="0"/>
      <w:marRight w:val="0"/>
      <w:marTop w:val="0"/>
      <w:marBottom w:val="0"/>
      <w:divBdr>
        <w:top w:val="none" w:sz="0" w:space="0" w:color="auto"/>
        <w:left w:val="none" w:sz="0" w:space="0" w:color="auto"/>
        <w:bottom w:val="none" w:sz="0" w:space="0" w:color="auto"/>
        <w:right w:val="none" w:sz="0" w:space="0" w:color="auto"/>
      </w:divBdr>
    </w:div>
    <w:div w:id="1907259435">
      <w:bodyDiv w:val="1"/>
      <w:marLeft w:val="0"/>
      <w:marRight w:val="0"/>
      <w:marTop w:val="0"/>
      <w:marBottom w:val="0"/>
      <w:divBdr>
        <w:top w:val="none" w:sz="0" w:space="0" w:color="auto"/>
        <w:left w:val="none" w:sz="0" w:space="0" w:color="auto"/>
        <w:bottom w:val="none" w:sz="0" w:space="0" w:color="auto"/>
        <w:right w:val="none" w:sz="0" w:space="0" w:color="auto"/>
      </w:divBdr>
    </w:div>
    <w:div w:id="1907572488">
      <w:bodyDiv w:val="1"/>
      <w:marLeft w:val="0"/>
      <w:marRight w:val="0"/>
      <w:marTop w:val="0"/>
      <w:marBottom w:val="0"/>
      <w:divBdr>
        <w:top w:val="none" w:sz="0" w:space="0" w:color="auto"/>
        <w:left w:val="none" w:sz="0" w:space="0" w:color="auto"/>
        <w:bottom w:val="none" w:sz="0" w:space="0" w:color="auto"/>
        <w:right w:val="none" w:sz="0" w:space="0" w:color="auto"/>
      </w:divBdr>
    </w:div>
    <w:div w:id="1923442572">
      <w:bodyDiv w:val="1"/>
      <w:marLeft w:val="0"/>
      <w:marRight w:val="0"/>
      <w:marTop w:val="0"/>
      <w:marBottom w:val="0"/>
      <w:divBdr>
        <w:top w:val="none" w:sz="0" w:space="0" w:color="auto"/>
        <w:left w:val="none" w:sz="0" w:space="0" w:color="auto"/>
        <w:bottom w:val="none" w:sz="0" w:space="0" w:color="auto"/>
        <w:right w:val="none" w:sz="0" w:space="0" w:color="auto"/>
      </w:divBdr>
    </w:div>
    <w:div w:id="1923903685">
      <w:bodyDiv w:val="1"/>
      <w:marLeft w:val="0"/>
      <w:marRight w:val="0"/>
      <w:marTop w:val="0"/>
      <w:marBottom w:val="0"/>
      <w:divBdr>
        <w:top w:val="none" w:sz="0" w:space="0" w:color="auto"/>
        <w:left w:val="none" w:sz="0" w:space="0" w:color="auto"/>
        <w:bottom w:val="none" w:sz="0" w:space="0" w:color="auto"/>
        <w:right w:val="none" w:sz="0" w:space="0" w:color="auto"/>
      </w:divBdr>
      <w:divsChild>
        <w:div w:id="1504318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0386951">
      <w:bodyDiv w:val="1"/>
      <w:marLeft w:val="0"/>
      <w:marRight w:val="0"/>
      <w:marTop w:val="0"/>
      <w:marBottom w:val="0"/>
      <w:divBdr>
        <w:top w:val="none" w:sz="0" w:space="0" w:color="auto"/>
        <w:left w:val="none" w:sz="0" w:space="0" w:color="auto"/>
        <w:bottom w:val="none" w:sz="0" w:space="0" w:color="auto"/>
        <w:right w:val="none" w:sz="0" w:space="0" w:color="auto"/>
      </w:divBdr>
    </w:div>
    <w:div w:id="1932739912">
      <w:bodyDiv w:val="1"/>
      <w:marLeft w:val="0"/>
      <w:marRight w:val="0"/>
      <w:marTop w:val="0"/>
      <w:marBottom w:val="0"/>
      <w:divBdr>
        <w:top w:val="none" w:sz="0" w:space="0" w:color="auto"/>
        <w:left w:val="none" w:sz="0" w:space="0" w:color="auto"/>
        <w:bottom w:val="none" w:sz="0" w:space="0" w:color="auto"/>
        <w:right w:val="none" w:sz="0" w:space="0" w:color="auto"/>
      </w:divBdr>
    </w:div>
    <w:div w:id="1936326658">
      <w:bodyDiv w:val="1"/>
      <w:marLeft w:val="0"/>
      <w:marRight w:val="0"/>
      <w:marTop w:val="0"/>
      <w:marBottom w:val="0"/>
      <w:divBdr>
        <w:top w:val="none" w:sz="0" w:space="0" w:color="auto"/>
        <w:left w:val="none" w:sz="0" w:space="0" w:color="auto"/>
        <w:bottom w:val="none" w:sz="0" w:space="0" w:color="auto"/>
        <w:right w:val="none" w:sz="0" w:space="0" w:color="auto"/>
      </w:divBdr>
      <w:divsChild>
        <w:div w:id="157234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2182609">
      <w:bodyDiv w:val="1"/>
      <w:marLeft w:val="0"/>
      <w:marRight w:val="0"/>
      <w:marTop w:val="0"/>
      <w:marBottom w:val="0"/>
      <w:divBdr>
        <w:top w:val="none" w:sz="0" w:space="0" w:color="auto"/>
        <w:left w:val="none" w:sz="0" w:space="0" w:color="auto"/>
        <w:bottom w:val="none" w:sz="0" w:space="0" w:color="auto"/>
        <w:right w:val="none" w:sz="0" w:space="0" w:color="auto"/>
      </w:divBdr>
    </w:div>
    <w:div w:id="1955555479">
      <w:bodyDiv w:val="1"/>
      <w:marLeft w:val="0"/>
      <w:marRight w:val="0"/>
      <w:marTop w:val="0"/>
      <w:marBottom w:val="0"/>
      <w:divBdr>
        <w:top w:val="none" w:sz="0" w:space="0" w:color="auto"/>
        <w:left w:val="none" w:sz="0" w:space="0" w:color="auto"/>
        <w:bottom w:val="none" w:sz="0" w:space="0" w:color="auto"/>
        <w:right w:val="none" w:sz="0" w:space="0" w:color="auto"/>
      </w:divBdr>
      <w:divsChild>
        <w:div w:id="1495678563">
          <w:marLeft w:val="0"/>
          <w:marRight w:val="0"/>
          <w:marTop w:val="0"/>
          <w:marBottom w:val="0"/>
          <w:divBdr>
            <w:top w:val="none" w:sz="0" w:space="0" w:color="auto"/>
            <w:left w:val="none" w:sz="0" w:space="0" w:color="auto"/>
            <w:bottom w:val="none" w:sz="0" w:space="0" w:color="auto"/>
            <w:right w:val="none" w:sz="0" w:space="0" w:color="auto"/>
          </w:divBdr>
          <w:divsChild>
            <w:div w:id="71896951">
              <w:marLeft w:val="0"/>
              <w:marRight w:val="0"/>
              <w:marTop w:val="0"/>
              <w:marBottom w:val="0"/>
              <w:divBdr>
                <w:top w:val="none" w:sz="0" w:space="0" w:color="auto"/>
                <w:left w:val="none" w:sz="0" w:space="0" w:color="auto"/>
                <w:bottom w:val="none" w:sz="0" w:space="0" w:color="auto"/>
                <w:right w:val="none" w:sz="0" w:space="0" w:color="auto"/>
              </w:divBdr>
              <w:divsChild>
                <w:div w:id="286398452">
                  <w:marLeft w:val="0"/>
                  <w:marRight w:val="0"/>
                  <w:marTop w:val="0"/>
                  <w:marBottom w:val="0"/>
                  <w:divBdr>
                    <w:top w:val="none" w:sz="0" w:space="0" w:color="auto"/>
                    <w:left w:val="none" w:sz="0" w:space="0" w:color="auto"/>
                    <w:bottom w:val="none" w:sz="0" w:space="0" w:color="auto"/>
                    <w:right w:val="none" w:sz="0" w:space="0" w:color="auto"/>
                  </w:divBdr>
                  <w:divsChild>
                    <w:div w:id="476266461">
                      <w:marLeft w:val="0"/>
                      <w:marRight w:val="0"/>
                      <w:marTop w:val="0"/>
                      <w:marBottom w:val="0"/>
                      <w:divBdr>
                        <w:top w:val="none" w:sz="0" w:space="0" w:color="auto"/>
                        <w:left w:val="none" w:sz="0" w:space="0" w:color="auto"/>
                        <w:bottom w:val="none" w:sz="0" w:space="0" w:color="auto"/>
                        <w:right w:val="none" w:sz="0" w:space="0" w:color="auto"/>
                      </w:divBdr>
                      <w:divsChild>
                        <w:div w:id="1057432546">
                          <w:marLeft w:val="0"/>
                          <w:marRight w:val="0"/>
                          <w:marTop w:val="0"/>
                          <w:marBottom w:val="0"/>
                          <w:divBdr>
                            <w:top w:val="none" w:sz="0" w:space="0" w:color="auto"/>
                            <w:left w:val="none" w:sz="0" w:space="0" w:color="auto"/>
                            <w:bottom w:val="none" w:sz="0" w:space="0" w:color="auto"/>
                            <w:right w:val="none" w:sz="0" w:space="0" w:color="auto"/>
                          </w:divBdr>
                          <w:divsChild>
                            <w:div w:id="131413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597242">
      <w:bodyDiv w:val="1"/>
      <w:marLeft w:val="0"/>
      <w:marRight w:val="0"/>
      <w:marTop w:val="0"/>
      <w:marBottom w:val="0"/>
      <w:divBdr>
        <w:top w:val="none" w:sz="0" w:space="0" w:color="auto"/>
        <w:left w:val="none" w:sz="0" w:space="0" w:color="auto"/>
        <w:bottom w:val="none" w:sz="0" w:space="0" w:color="auto"/>
        <w:right w:val="none" w:sz="0" w:space="0" w:color="auto"/>
      </w:divBdr>
      <w:divsChild>
        <w:div w:id="1495301131">
          <w:marLeft w:val="0"/>
          <w:marRight w:val="0"/>
          <w:marTop w:val="0"/>
          <w:marBottom w:val="0"/>
          <w:divBdr>
            <w:top w:val="none" w:sz="0" w:space="0" w:color="auto"/>
            <w:left w:val="none" w:sz="0" w:space="0" w:color="auto"/>
            <w:bottom w:val="none" w:sz="0" w:space="0" w:color="auto"/>
            <w:right w:val="none" w:sz="0" w:space="0" w:color="auto"/>
          </w:divBdr>
        </w:div>
        <w:div w:id="1583291040">
          <w:marLeft w:val="0"/>
          <w:marRight w:val="0"/>
          <w:marTop w:val="0"/>
          <w:marBottom w:val="0"/>
          <w:divBdr>
            <w:top w:val="none" w:sz="0" w:space="0" w:color="auto"/>
            <w:left w:val="none" w:sz="0" w:space="0" w:color="auto"/>
            <w:bottom w:val="none" w:sz="0" w:space="0" w:color="auto"/>
            <w:right w:val="none" w:sz="0" w:space="0" w:color="auto"/>
          </w:divBdr>
        </w:div>
      </w:divsChild>
    </w:div>
    <w:div w:id="1960867782">
      <w:bodyDiv w:val="1"/>
      <w:marLeft w:val="0"/>
      <w:marRight w:val="0"/>
      <w:marTop w:val="0"/>
      <w:marBottom w:val="0"/>
      <w:divBdr>
        <w:top w:val="none" w:sz="0" w:space="0" w:color="auto"/>
        <w:left w:val="none" w:sz="0" w:space="0" w:color="auto"/>
        <w:bottom w:val="none" w:sz="0" w:space="0" w:color="auto"/>
        <w:right w:val="none" w:sz="0" w:space="0" w:color="auto"/>
      </w:divBdr>
      <w:divsChild>
        <w:div w:id="1432160416">
          <w:marLeft w:val="0"/>
          <w:marRight w:val="0"/>
          <w:marTop w:val="0"/>
          <w:marBottom w:val="0"/>
          <w:divBdr>
            <w:top w:val="none" w:sz="0" w:space="0" w:color="auto"/>
            <w:left w:val="none" w:sz="0" w:space="0" w:color="auto"/>
            <w:bottom w:val="none" w:sz="0" w:space="0" w:color="auto"/>
            <w:right w:val="none" w:sz="0" w:space="0" w:color="auto"/>
          </w:divBdr>
          <w:divsChild>
            <w:div w:id="1925722711">
              <w:marLeft w:val="0"/>
              <w:marRight w:val="0"/>
              <w:marTop w:val="0"/>
              <w:marBottom w:val="0"/>
              <w:divBdr>
                <w:top w:val="none" w:sz="0" w:space="0" w:color="auto"/>
                <w:left w:val="none" w:sz="0" w:space="0" w:color="auto"/>
                <w:bottom w:val="none" w:sz="0" w:space="0" w:color="auto"/>
                <w:right w:val="none" w:sz="0" w:space="0" w:color="auto"/>
              </w:divBdr>
              <w:divsChild>
                <w:div w:id="960764913">
                  <w:marLeft w:val="0"/>
                  <w:marRight w:val="0"/>
                  <w:marTop w:val="0"/>
                  <w:marBottom w:val="0"/>
                  <w:divBdr>
                    <w:top w:val="none" w:sz="0" w:space="0" w:color="auto"/>
                    <w:left w:val="none" w:sz="0" w:space="0" w:color="auto"/>
                    <w:bottom w:val="none" w:sz="0" w:space="0" w:color="auto"/>
                    <w:right w:val="none" w:sz="0" w:space="0" w:color="auto"/>
                  </w:divBdr>
                  <w:divsChild>
                    <w:div w:id="31707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378834">
      <w:bodyDiv w:val="1"/>
      <w:marLeft w:val="0"/>
      <w:marRight w:val="0"/>
      <w:marTop w:val="0"/>
      <w:marBottom w:val="0"/>
      <w:divBdr>
        <w:top w:val="none" w:sz="0" w:space="0" w:color="auto"/>
        <w:left w:val="none" w:sz="0" w:space="0" w:color="auto"/>
        <w:bottom w:val="none" w:sz="0" w:space="0" w:color="auto"/>
        <w:right w:val="none" w:sz="0" w:space="0" w:color="auto"/>
      </w:divBdr>
    </w:div>
    <w:div w:id="1971201676">
      <w:bodyDiv w:val="1"/>
      <w:marLeft w:val="0"/>
      <w:marRight w:val="0"/>
      <w:marTop w:val="0"/>
      <w:marBottom w:val="0"/>
      <w:divBdr>
        <w:top w:val="none" w:sz="0" w:space="0" w:color="auto"/>
        <w:left w:val="none" w:sz="0" w:space="0" w:color="auto"/>
        <w:bottom w:val="none" w:sz="0" w:space="0" w:color="auto"/>
        <w:right w:val="none" w:sz="0" w:space="0" w:color="auto"/>
      </w:divBdr>
    </w:div>
    <w:div w:id="1974098856">
      <w:bodyDiv w:val="1"/>
      <w:marLeft w:val="0"/>
      <w:marRight w:val="0"/>
      <w:marTop w:val="0"/>
      <w:marBottom w:val="0"/>
      <w:divBdr>
        <w:top w:val="none" w:sz="0" w:space="0" w:color="auto"/>
        <w:left w:val="none" w:sz="0" w:space="0" w:color="auto"/>
        <w:bottom w:val="none" w:sz="0" w:space="0" w:color="auto"/>
        <w:right w:val="none" w:sz="0" w:space="0" w:color="auto"/>
      </w:divBdr>
    </w:div>
    <w:div w:id="1975522435">
      <w:bodyDiv w:val="1"/>
      <w:marLeft w:val="0"/>
      <w:marRight w:val="0"/>
      <w:marTop w:val="0"/>
      <w:marBottom w:val="0"/>
      <w:divBdr>
        <w:top w:val="none" w:sz="0" w:space="0" w:color="auto"/>
        <w:left w:val="none" w:sz="0" w:space="0" w:color="auto"/>
        <w:bottom w:val="none" w:sz="0" w:space="0" w:color="auto"/>
        <w:right w:val="none" w:sz="0" w:space="0" w:color="auto"/>
      </w:divBdr>
    </w:div>
    <w:div w:id="1977026111">
      <w:bodyDiv w:val="1"/>
      <w:marLeft w:val="0"/>
      <w:marRight w:val="0"/>
      <w:marTop w:val="0"/>
      <w:marBottom w:val="0"/>
      <w:divBdr>
        <w:top w:val="none" w:sz="0" w:space="0" w:color="auto"/>
        <w:left w:val="none" w:sz="0" w:space="0" w:color="auto"/>
        <w:bottom w:val="none" w:sz="0" w:space="0" w:color="auto"/>
        <w:right w:val="none" w:sz="0" w:space="0" w:color="auto"/>
      </w:divBdr>
      <w:divsChild>
        <w:div w:id="1796749112">
          <w:marLeft w:val="0"/>
          <w:marRight w:val="0"/>
          <w:marTop w:val="0"/>
          <w:marBottom w:val="0"/>
          <w:divBdr>
            <w:top w:val="none" w:sz="0" w:space="0" w:color="auto"/>
            <w:left w:val="none" w:sz="0" w:space="0" w:color="auto"/>
            <w:bottom w:val="none" w:sz="0" w:space="0" w:color="auto"/>
            <w:right w:val="none" w:sz="0" w:space="0" w:color="auto"/>
          </w:divBdr>
          <w:divsChild>
            <w:div w:id="1019430853">
              <w:marLeft w:val="0"/>
              <w:marRight w:val="0"/>
              <w:marTop w:val="0"/>
              <w:marBottom w:val="0"/>
              <w:divBdr>
                <w:top w:val="none" w:sz="0" w:space="0" w:color="auto"/>
                <w:left w:val="none" w:sz="0" w:space="0" w:color="auto"/>
                <w:bottom w:val="none" w:sz="0" w:space="0" w:color="auto"/>
                <w:right w:val="none" w:sz="0" w:space="0" w:color="auto"/>
              </w:divBdr>
              <w:divsChild>
                <w:div w:id="1311473157">
                  <w:marLeft w:val="0"/>
                  <w:marRight w:val="0"/>
                  <w:marTop w:val="0"/>
                  <w:marBottom w:val="0"/>
                  <w:divBdr>
                    <w:top w:val="none" w:sz="0" w:space="0" w:color="auto"/>
                    <w:left w:val="none" w:sz="0" w:space="0" w:color="auto"/>
                    <w:bottom w:val="none" w:sz="0" w:space="0" w:color="auto"/>
                    <w:right w:val="none" w:sz="0" w:space="0" w:color="auto"/>
                  </w:divBdr>
                  <w:divsChild>
                    <w:div w:id="291063721">
                      <w:marLeft w:val="0"/>
                      <w:marRight w:val="0"/>
                      <w:marTop w:val="0"/>
                      <w:marBottom w:val="0"/>
                      <w:divBdr>
                        <w:top w:val="none" w:sz="0" w:space="0" w:color="auto"/>
                        <w:left w:val="none" w:sz="0" w:space="0" w:color="auto"/>
                        <w:bottom w:val="none" w:sz="0" w:space="0" w:color="auto"/>
                        <w:right w:val="none" w:sz="0" w:space="0" w:color="auto"/>
                      </w:divBdr>
                      <w:divsChild>
                        <w:div w:id="1922257002">
                          <w:marLeft w:val="0"/>
                          <w:marRight w:val="0"/>
                          <w:marTop w:val="0"/>
                          <w:marBottom w:val="0"/>
                          <w:divBdr>
                            <w:top w:val="none" w:sz="0" w:space="0" w:color="auto"/>
                            <w:left w:val="none" w:sz="0" w:space="0" w:color="auto"/>
                            <w:bottom w:val="none" w:sz="0" w:space="0" w:color="auto"/>
                            <w:right w:val="none" w:sz="0" w:space="0" w:color="auto"/>
                          </w:divBdr>
                          <w:divsChild>
                            <w:div w:id="1331984275">
                              <w:marLeft w:val="0"/>
                              <w:marRight w:val="0"/>
                              <w:marTop w:val="0"/>
                              <w:marBottom w:val="0"/>
                              <w:divBdr>
                                <w:top w:val="none" w:sz="0" w:space="0" w:color="auto"/>
                                <w:left w:val="none" w:sz="0" w:space="0" w:color="auto"/>
                                <w:bottom w:val="none" w:sz="0" w:space="0" w:color="auto"/>
                                <w:right w:val="none" w:sz="0" w:space="0" w:color="auto"/>
                              </w:divBdr>
                              <w:divsChild>
                                <w:div w:id="99105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335945">
      <w:bodyDiv w:val="1"/>
      <w:marLeft w:val="0"/>
      <w:marRight w:val="0"/>
      <w:marTop w:val="0"/>
      <w:marBottom w:val="0"/>
      <w:divBdr>
        <w:top w:val="none" w:sz="0" w:space="0" w:color="auto"/>
        <w:left w:val="none" w:sz="0" w:space="0" w:color="auto"/>
        <w:bottom w:val="none" w:sz="0" w:space="0" w:color="auto"/>
        <w:right w:val="none" w:sz="0" w:space="0" w:color="auto"/>
      </w:divBdr>
    </w:div>
    <w:div w:id="2007896179">
      <w:bodyDiv w:val="1"/>
      <w:marLeft w:val="0"/>
      <w:marRight w:val="0"/>
      <w:marTop w:val="0"/>
      <w:marBottom w:val="0"/>
      <w:divBdr>
        <w:top w:val="none" w:sz="0" w:space="0" w:color="auto"/>
        <w:left w:val="none" w:sz="0" w:space="0" w:color="auto"/>
        <w:bottom w:val="none" w:sz="0" w:space="0" w:color="auto"/>
        <w:right w:val="none" w:sz="0" w:space="0" w:color="auto"/>
      </w:divBdr>
    </w:div>
    <w:div w:id="2013216632">
      <w:bodyDiv w:val="1"/>
      <w:marLeft w:val="0"/>
      <w:marRight w:val="0"/>
      <w:marTop w:val="0"/>
      <w:marBottom w:val="0"/>
      <w:divBdr>
        <w:top w:val="none" w:sz="0" w:space="0" w:color="auto"/>
        <w:left w:val="none" w:sz="0" w:space="0" w:color="auto"/>
        <w:bottom w:val="none" w:sz="0" w:space="0" w:color="auto"/>
        <w:right w:val="none" w:sz="0" w:space="0" w:color="auto"/>
      </w:divBdr>
      <w:divsChild>
        <w:div w:id="136204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1296032">
      <w:bodyDiv w:val="1"/>
      <w:marLeft w:val="0"/>
      <w:marRight w:val="0"/>
      <w:marTop w:val="0"/>
      <w:marBottom w:val="0"/>
      <w:divBdr>
        <w:top w:val="none" w:sz="0" w:space="0" w:color="auto"/>
        <w:left w:val="none" w:sz="0" w:space="0" w:color="auto"/>
        <w:bottom w:val="none" w:sz="0" w:space="0" w:color="auto"/>
        <w:right w:val="none" w:sz="0" w:space="0" w:color="auto"/>
      </w:divBdr>
      <w:divsChild>
        <w:div w:id="1521821178">
          <w:marLeft w:val="0"/>
          <w:marRight w:val="0"/>
          <w:marTop w:val="0"/>
          <w:marBottom w:val="0"/>
          <w:divBdr>
            <w:top w:val="none" w:sz="0" w:space="0" w:color="auto"/>
            <w:left w:val="none" w:sz="0" w:space="0" w:color="auto"/>
            <w:bottom w:val="none" w:sz="0" w:space="0" w:color="auto"/>
            <w:right w:val="none" w:sz="0" w:space="0" w:color="auto"/>
          </w:divBdr>
          <w:divsChild>
            <w:div w:id="1303344582">
              <w:marLeft w:val="0"/>
              <w:marRight w:val="0"/>
              <w:marTop w:val="0"/>
              <w:marBottom w:val="0"/>
              <w:divBdr>
                <w:top w:val="none" w:sz="0" w:space="0" w:color="auto"/>
                <w:left w:val="none" w:sz="0" w:space="0" w:color="auto"/>
                <w:bottom w:val="none" w:sz="0" w:space="0" w:color="auto"/>
                <w:right w:val="none" w:sz="0" w:space="0" w:color="auto"/>
              </w:divBdr>
              <w:divsChild>
                <w:div w:id="1545632872">
                  <w:marLeft w:val="0"/>
                  <w:marRight w:val="0"/>
                  <w:marTop w:val="0"/>
                  <w:marBottom w:val="0"/>
                  <w:divBdr>
                    <w:top w:val="none" w:sz="0" w:space="0" w:color="auto"/>
                    <w:left w:val="none" w:sz="0" w:space="0" w:color="auto"/>
                    <w:bottom w:val="none" w:sz="0" w:space="0" w:color="auto"/>
                    <w:right w:val="none" w:sz="0" w:space="0" w:color="auto"/>
                  </w:divBdr>
                  <w:divsChild>
                    <w:div w:id="91126348">
                      <w:marLeft w:val="0"/>
                      <w:marRight w:val="0"/>
                      <w:marTop w:val="0"/>
                      <w:marBottom w:val="0"/>
                      <w:divBdr>
                        <w:top w:val="none" w:sz="0" w:space="0" w:color="auto"/>
                        <w:left w:val="none" w:sz="0" w:space="0" w:color="auto"/>
                        <w:bottom w:val="none" w:sz="0" w:space="0" w:color="auto"/>
                        <w:right w:val="none" w:sz="0" w:space="0" w:color="auto"/>
                      </w:divBdr>
                      <w:divsChild>
                        <w:div w:id="842554581">
                          <w:marLeft w:val="0"/>
                          <w:marRight w:val="0"/>
                          <w:marTop w:val="0"/>
                          <w:marBottom w:val="0"/>
                          <w:divBdr>
                            <w:top w:val="none" w:sz="0" w:space="0" w:color="auto"/>
                            <w:left w:val="none" w:sz="0" w:space="0" w:color="auto"/>
                            <w:bottom w:val="none" w:sz="0" w:space="0" w:color="auto"/>
                            <w:right w:val="none" w:sz="0" w:space="0" w:color="auto"/>
                          </w:divBdr>
                          <w:divsChild>
                            <w:div w:id="944578256">
                              <w:marLeft w:val="0"/>
                              <w:marRight w:val="0"/>
                              <w:marTop w:val="0"/>
                              <w:marBottom w:val="0"/>
                              <w:divBdr>
                                <w:top w:val="none" w:sz="0" w:space="0" w:color="auto"/>
                                <w:left w:val="none" w:sz="0" w:space="0" w:color="auto"/>
                                <w:bottom w:val="none" w:sz="0" w:space="0" w:color="auto"/>
                                <w:right w:val="none" w:sz="0" w:space="0" w:color="auto"/>
                              </w:divBdr>
                              <w:divsChild>
                                <w:div w:id="1409614496">
                                  <w:marLeft w:val="0"/>
                                  <w:marRight w:val="0"/>
                                  <w:marTop w:val="0"/>
                                  <w:marBottom w:val="0"/>
                                  <w:divBdr>
                                    <w:top w:val="none" w:sz="0" w:space="0" w:color="auto"/>
                                    <w:left w:val="none" w:sz="0" w:space="0" w:color="auto"/>
                                    <w:bottom w:val="none" w:sz="0" w:space="0" w:color="auto"/>
                                    <w:right w:val="none" w:sz="0" w:space="0" w:color="auto"/>
                                  </w:divBdr>
                                  <w:divsChild>
                                    <w:div w:id="88282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7732896">
      <w:bodyDiv w:val="1"/>
      <w:marLeft w:val="0"/>
      <w:marRight w:val="0"/>
      <w:marTop w:val="0"/>
      <w:marBottom w:val="0"/>
      <w:divBdr>
        <w:top w:val="none" w:sz="0" w:space="0" w:color="auto"/>
        <w:left w:val="none" w:sz="0" w:space="0" w:color="auto"/>
        <w:bottom w:val="none" w:sz="0" w:space="0" w:color="auto"/>
        <w:right w:val="none" w:sz="0" w:space="0" w:color="auto"/>
      </w:divBdr>
    </w:div>
    <w:div w:id="2054188382">
      <w:bodyDiv w:val="1"/>
      <w:marLeft w:val="0"/>
      <w:marRight w:val="0"/>
      <w:marTop w:val="0"/>
      <w:marBottom w:val="0"/>
      <w:divBdr>
        <w:top w:val="none" w:sz="0" w:space="0" w:color="auto"/>
        <w:left w:val="none" w:sz="0" w:space="0" w:color="auto"/>
        <w:bottom w:val="none" w:sz="0" w:space="0" w:color="auto"/>
        <w:right w:val="none" w:sz="0" w:space="0" w:color="auto"/>
      </w:divBdr>
    </w:div>
    <w:div w:id="2058700453">
      <w:bodyDiv w:val="1"/>
      <w:marLeft w:val="0"/>
      <w:marRight w:val="0"/>
      <w:marTop w:val="0"/>
      <w:marBottom w:val="0"/>
      <w:divBdr>
        <w:top w:val="none" w:sz="0" w:space="0" w:color="auto"/>
        <w:left w:val="none" w:sz="0" w:space="0" w:color="auto"/>
        <w:bottom w:val="none" w:sz="0" w:space="0" w:color="auto"/>
        <w:right w:val="none" w:sz="0" w:space="0" w:color="auto"/>
      </w:divBdr>
    </w:div>
    <w:div w:id="2076657671">
      <w:bodyDiv w:val="1"/>
      <w:marLeft w:val="0"/>
      <w:marRight w:val="0"/>
      <w:marTop w:val="0"/>
      <w:marBottom w:val="0"/>
      <w:divBdr>
        <w:top w:val="none" w:sz="0" w:space="0" w:color="auto"/>
        <w:left w:val="none" w:sz="0" w:space="0" w:color="auto"/>
        <w:bottom w:val="none" w:sz="0" w:space="0" w:color="auto"/>
        <w:right w:val="none" w:sz="0" w:space="0" w:color="auto"/>
      </w:divBdr>
    </w:div>
    <w:div w:id="2078243419">
      <w:bodyDiv w:val="1"/>
      <w:marLeft w:val="0"/>
      <w:marRight w:val="0"/>
      <w:marTop w:val="0"/>
      <w:marBottom w:val="0"/>
      <w:divBdr>
        <w:top w:val="none" w:sz="0" w:space="0" w:color="auto"/>
        <w:left w:val="none" w:sz="0" w:space="0" w:color="auto"/>
        <w:bottom w:val="none" w:sz="0" w:space="0" w:color="auto"/>
        <w:right w:val="none" w:sz="0" w:space="0" w:color="auto"/>
      </w:divBdr>
    </w:div>
    <w:div w:id="2079086564">
      <w:bodyDiv w:val="1"/>
      <w:marLeft w:val="0"/>
      <w:marRight w:val="0"/>
      <w:marTop w:val="0"/>
      <w:marBottom w:val="0"/>
      <w:divBdr>
        <w:top w:val="none" w:sz="0" w:space="0" w:color="auto"/>
        <w:left w:val="none" w:sz="0" w:space="0" w:color="auto"/>
        <w:bottom w:val="none" w:sz="0" w:space="0" w:color="auto"/>
        <w:right w:val="none" w:sz="0" w:space="0" w:color="auto"/>
      </w:divBdr>
      <w:divsChild>
        <w:div w:id="714936448">
          <w:marLeft w:val="0"/>
          <w:marRight w:val="0"/>
          <w:marTop w:val="0"/>
          <w:marBottom w:val="0"/>
          <w:divBdr>
            <w:top w:val="none" w:sz="0" w:space="0" w:color="auto"/>
            <w:left w:val="none" w:sz="0" w:space="0" w:color="auto"/>
            <w:bottom w:val="none" w:sz="0" w:space="0" w:color="auto"/>
            <w:right w:val="none" w:sz="0" w:space="0" w:color="auto"/>
          </w:divBdr>
        </w:div>
        <w:div w:id="933434696">
          <w:marLeft w:val="0"/>
          <w:marRight w:val="0"/>
          <w:marTop w:val="0"/>
          <w:marBottom w:val="0"/>
          <w:divBdr>
            <w:top w:val="none" w:sz="0" w:space="0" w:color="auto"/>
            <w:left w:val="none" w:sz="0" w:space="0" w:color="auto"/>
            <w:bottom w:val="none" w:sz="0" w:space="0" w:color="auto"/>
            <w:right w:val="none" w:sz="0" w:space="0" w:color="auto"/>
          </w:divBdr>
        </w:div>
        <w:div w:id="1678343204">
          <w:marLeft w:val="0"/>
          <w:marRight w:val="0"/>
          <w:marTop w:val="0"/>
          <w:marBottom w:val="0"/>
          <w:divBdr>
            <w:top w:val="none" w:sz="0" w:space="0" w:color="auto"/>
            <w:left w:val="none" w:sz="0" w:space="0" w:color="auto"/>
            <w:bottom w:val="none" w:sz="0" w:space="0" w:color="auto"/>
            <w:right w:val="none" w:sz="0" w:space="0" w:color="auto"/>
          </w:divBdr>
        </w:div>
      </w:divsChild>
    </w:div>
    <w:div w:id="2082872438">
      <w:bodyDiv w:val="1"/>
      <w:marLeft w:val="0"/>
      <w:marRight w:val="0"/>
      <w:marTop w:val="0"/>
      <w:marBottom w:val="0"/>
      <w:divBdr>
        <w:top w:val="none" w:sz="0" w:space="0" w:color="auto"/>
        <w:left w:val="none" w:sz="0" w:space="0" w:color="auto"/>
        <w:bottom w:val="none" w:sz="0" w:space="0" w:color="auto"/>
        <w:right w:val="none" w:sz="0" w:space="0" w:color="auto"/>
      </w:divBdr>
    </w:div>
    <w:div w:id="2092919832">
      <w:bodyDiv w:val="1"/>
      <w:marLeft w:val="0"/>
      <w:marRight w:val="0"/>
      <w:marTop w:val="0"/>
      <w:marBottom w:val="0"/>
      <w:divBdr>
        <w:top w:val="none" w:sz="0" w:space="0" w:color="auto"/>
        <w:left w:val="none" w:sz="0" w:space="0" w:color="auto"/>
        <w:bottom w:val="none" w:sz="0" w:space="0" w:color="auto"/>
        <w:right w:val="none" w:sz="0" w:space="0" w:color="auto"/>
      </w:divBdr>
    </w:div>
    <w:div w:id="2094426515">
      <w:bodyDiv w:val="1"/>
      <w:marLeft w:val="0"/>
      <w:marRight w:val="0"/>
      <w:marTop w:val="0"/>
      <w:marBottom w:val="0"/>
      <w:divBdr>
        <w:top w:val="none" w:sz="0" w:space="0" w:color="auto"/>
        <w:left w:val="none" w:sz="0" w:space="0" w:color="auto"/>
        <w:bottom w:val="none" w:sz="0" w:space="0" w:color="auto"/>
        <w:right w:val="none" w:sz="0" w:space="0" w:color="auto"/>
      </w:divBdr>
      <w:divsChild>
        <w:div w:id="115691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815721">
      <w:bodyDiv w:val="1"/>
      <w:marLeft w:val="0"/>
      <w:marRight w:val="0"/>
      <w:marTop w:val="0"/>
      <w:marBottom w:val="0"/>
      <w:divBdr>
        <w:top w:val="none" w:sz="0" w:space="0" w:color="auto"/>
        <w:left w:val="none" w:sz="0" w:space="0" w:color="auto"/>
        <w:bottom w:val="none" w:sz="0" w:space="0" w:color="auto"/>
        <w:right w:val="none" w:sz="0" w:space="0" w:color="auto"/>
      </w:divBdr>
    </w:div>
    <w:div w:id="2096172010">
      <w:bodyDiv w:val="1"/>
      <w:marLeft w:val="0"/>
      <w:marRight w:val="0"/>
      <w:marTop w:val="0"/>
      <w:marBottom w:val="0"/>
      <w:divBdr>
        <w:top w:val="none" w:sz="0" w:space="0" w:color="auto"/>
        <w:left w:val="none" w:sz="0" w:space="0" w:color="auto"/>
        <w:bottom w:val="none" w:sz="0" w:space="0" w:color="auto"/>
        <w:right w:val="none" w:sz="0" w:space="0" w:color="auto"/>
      </w:divBdr>
      <w:divsChild>
        <w:div w:id="1185903681">
          <w:marLeft w:val="0"/>
          <w:marRight w:val="0"/>
          <w:marTop w:val="600"/>
          <w:marBottom w:val="0"/>
          <w:divBdr>
            <w:top w:val="none" w:sz="0" w:space="0" w:color="auto"/>
            <w:left w:val="none" w:sz="0" w:space="0" w:color="auto"/>
            <w:bottom w:val="none" w:sz="0" w:space="0" w:color="auto"/>
            <w:right w:val="none" w:sz="0" w:space="0" w:color="auto"/>
          </w:divBdr>
          <w:divsChild>
            <w:div w:id="132023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4032">
      <w:bodyDiv w:val="1"/>
      <w:marLeft w:val="0"/>
      <w:marRight w:val="0"/>
      <w:marTop w:val="0"/>
      <w:marBottom w:val="0"/>
      <w:divBdr>
        <w:top w:val="none" w:sz="0" w:space="0" w:color="auto"/>
        <w:left w:val="none" w:sz="0" w:space="0" w:color="auto"/>
        <w:bottom w:val="none" w:sz="0" w:space="0" w:color="auto"/>
        <w:right w:val="none" w:sz="0" w:space="0" w:color="auto"/>
      </w:divBdr>
    </w:div>
    <w:div w:id="2110197181">
      <w:bodyDiv w:val="1"/>
      <w:marLeft w:val="0"/>
      <w:marRight w:val="0"/>
      <w:marTop w:val="0"/>
      <w:marBottom w:val="0"/>
      <w:divBdr>
        <w:top w:val="none" w:sz="0" w:space="0" w:color="auto"/>
        <w:left w:val="none" w:sz="0" w:space="0" w:color="auto"/>
        <w:bottom w:val="none" w:sz="0" w:space="0" w:color="auto"/>
        <w:right w:val="none" w:sz="0" w:space="0" w:color="auto"/>
      </w:divBdr>
    </w:div>
    <w:div w:id="2111655399">
      <w:bodyDiv w:val="1"/>
      <w:marLeft w:val="0"/>
      <w:marRight w:val="0"/>
      <w:marTop w:val="0"/>
      <w:marBottom w:val="0"/>
      <w:divBdr>
        <w:top w:val="none" w:sz="0" w:space="0" w:color="auto"/>
        <w:left w:val="none" w:sz="0" w:space="0" w:color="auto"/>
        <w:bottom w:val="none" w:sz="0" w:space="0" w:color="auto"/>
        <w:right w:val="none" w:sz="0" w:space="0" w:color="auto"/>
      </w:divBdr>
    </w:div>
    <w:div w:id="2114551642">
      <w:bodyDiv w:val="1"/>
      <w:marLeft w:val="0"/>
      <w:marRight w:val="0"/>
      <w:marTop w:val="0"/>
      <w:marBottom w:val="0"/>
      <w:divBdr>
        <w:top w:val="none" w:sz="0" w:space="0" w:color="auto"/>
        <w:left w:val="none" w:sz="0" w:space="0" w:color="auto"/>
        <w:bottom w:val="none" w:sz="0" w:space="0" w:color="auto"/>
        <w:right w:val="none" w:sz="0" w:space="0" w:color="auto"/>
      </w:divBdr>
    </w:div>
    <w:div w:id="2118719084">
      <w:bodyDiv w:val="1"/>
      <w:marLeft w:val="0"/>
      <w:marRight w:val="0"/>
      <w:marTop w:val="0"/>
      <w:marBottom w:val="0"/>
      <w:divBdr>
        <w:top w:val="none" w:sz="0" w:space="0" w:color="auto"/>
        <w:left w:val="none" w:sz="0" w:space="0" w:color="auto"/>
        <w:bottom w:val="none" w:sz="0" w:space="0" w:color="auto"/>
        <w:right w:val="none" w:sz="0" w:space="0" w:color="auto"/>
      </w:divBdr>
    </w:div>
    <w:div w:id="2129278400">
      <w:bodyDiv w:val="1"/>
      <w:marLeft w:val="0"/>
      <w:marRight w:val="0"/>
      <w:marTop w:val="0"/>
      <w:marBottom w:val="0"/>
      <w:divBdr>
        <w:top w:val="none" w:sz="0" w:space="0" w:color="auto"/>
        <w:left w:val="none" w:sz="0" w:space="0" w:color="auto"/>
        <w:bottom w:val="none" w:sz="0" w:space="0" w:color="auto"/>
        <w:right w:val="none" w:sz="0" w:space="0" w:color="auto"/>
      </w:divBdr>
    </w:div>
    <w:div w:id="2130732513">
      <w:bodyDiv w:val="1"/>
      <w:marLeft w:val="0"/>
      <w:marRight w:val="0"/>
      <w:marTop w:val="0"/>
      <w:marBottom w:val="0"/>
      <w:divBdr>
        <w:top w:val="none" w:sz="0" w:space="0" w:color="auto"/>
        <w:left w:val="none" w:sz="0" w:space="0" w:color="auto"/>
        <w:bottom w:val="none" w:sz="0" w:space="0" w:color="auto"/>
        <w:right w:val="none" w:sz="0" w:space="0" w:color="auto"/>
      </w:divBdr>
      <w:divsChild>
        <w:div w:id="969046093">
          <w:marLeft w:val="0"/>
          <w:marRight w:val="0"/>
          <w:marTop w:val="0"/>
          <w:marBottom w:val="0"/>
          <w:divBdr>
            <w:top w:val="none" w:sz="0" w:space="0" w:color="auto"/>
            <w:left w:val="none" w:sz="0" w:space="0" w:color="auto"/>
            <w:bottom w:val="none" w:sz="0" w:space="0" w:color="auto"/>
            <w:right w:val="none" w:sz="0" w:space="0" w:color="auto"/>
          </w:divBdr>
        </w:div>
        <w:div w:id="1347563406">
          <w:marLeft w:val="0"/>
          <w:marRight w:val="0"/>
          <w:marTop w:val="0"/>
          <w:marBottom w:val="0"/>
          <w:divBdr>
            <w:top w:val="none" w:sz="0" w:space="0" w:color="auto"/>
            <w:left w:val="none" w:sz="0" w:space="0" w:color="auto"/>
            <w:bottom w:val="none" w:sz="0" w:space="0" w:color="auto"/>
            <w:right w:val="none" w:sz="0" w:space="0" w:color="auto"/>
          </w:divBdr>
        </w:div>
        <w:div w:id="1525093200">
          <w:marLeft w:val="0"/>
          <w:marRight w:val="0"/>
          <w:marTop w:val="0"/>
          <w:marBottom w:val="0"/>
          <w:divBdr>
            <w:top w:val="none" w:sz="0" w:space="0" w:color="auto"/>
            <w:left w:val="none" w:sz="0" w:space="0" w:color="auto"/>
            <w:bottom w:val="none" w:sz="0" w:space="0" w:color="auto"/>
            <w:right w:val="none" w:sz="0" w:space="0" w:color="auto"/>
          </w:divBdr>
        </w:div>
      </w:divsChild>
    </w:div>
    <w:div w:id="2132353965">
      <w:bodyDiv w:val="1"/>
      <w:marLeft w:val="0"/>
      <w:marRight w:val="0"/>
      <w:marTop w:val="0"/>
      <w:marBottom w:val="0"/>
      <w:divBdr>
        <w:top w:val="none" w:sz="0" w:space="0" w:color="auto"/>
        <w:left w:val="none" w:sz="0" w:space="0" w:color="auto"/>
        <w:bottom w:val="none" w:sz="0" w:space="0" w:color="auto"/>
        <w:right w:val="none" w:sz="0" w:space="0" w:color="auto"/>
      </w:divBdr>
    </w:div>
    <w:div w:id="2137288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customXml" Target="../customXml/item3.xml"/><Relationship Id="rId21" Type="http://schemas.microsoft.com/office/2014/relationships/chartEx" Target="charts/chartEx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hart" Target="charts/chart2.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chart" Target="charts/chart1.xml"/><Relationship Id="rId28"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2.png"/><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cop30.br/en/forests-roadmap" TargetMode="External"/><Relationship Id="rId13" Type="http://schemas.openxmlformats.org/officeDocument/2006/relationships/hyperlink" Target="https://www.forest-trends.org/publications/from-market-signal-to-national-forest-governance-reform/" TargetMode="External"/><Relationship Id="rId18" Type="http://schemas.openxmlformats.org/officeDocument/2006/relationships/hyperlink" Target="https://environment.ec.europa.eu/topics/forests/deforestation_en" TargetMode="External"/><Relationship Id="rId26" Type="http://schemas.openxmlformats.org/officeDocument/2006/relationships/hyperlink" Target="https://eur-lex.europa.eu/resource.html?uri=cellar:c34ecf63-4878-11ec-91ac-01aa75ed71a1.0001.02/DOC_1&amp;format=PDF" TargetMode="External"/><Relationship Id="rId3" Type="http://schemas.openxmlformats.org/officeDocument/2006/relationships/hyperlink" Target="https://ec.europa.eu/info/law/better-regulation/have-your-say/initiatives_en" TargetMode="External"/><Relationship Id="rId21" Type="http://schemas.openxmlformats.org/officeDocument/2006/relationships/hyperlink" Target="https://ec.europa.eu/info/law/better-regulation/have-your-say/initiatives/14655-EU-rules-to-minimise-deforestation-forest-degradation-amendment-of-Annex-I-to-the-Deforestation-Regulation_en" TargetMode="External"/><Relationship Id="rId7" Type="http://schemas.openxmlformats.org/officeDocument/2006/relationships/hyperlink" Target="https://sdgs.un.org/2030agenda" TargetMode="External"/><Relationship Id="rId12" Type="http://schemas.openxmlformats.org/officeDocument/2006/relationships/hyperlink" Target="https://eur-lex.europa.eu/legal-content/EN/TXT/?uri=CELEX%3A32023R1115" TargetMode="External"/><Relationship Id="rId17" Type="http://schemas.openxmlformats.org/officeDocument/2006/relationships/hyperlink" Target="http://data.europa.eu/eli/reg_impl/2024/3084/oj" TargetMode="External"/><Relationship Id="rId25" Type="http://schemas.openxmlformats.org/officeDocument/2006/relationships/hyperlink" Target="https://op.europa.eu/en/publication-detail/-/publication/8ba0a8fd-4c83-11ea-b8b7-01aa75ed71a1/language-en" TargetMode="External"/><Relationship Id="rId2" Type="http://schemas.openxmlformats.org/officeDocument/2006/relationships/hyperlink" Target="https://ec.europa.eu/commission/presscorner/detail/en/ip_25_1063" TargetMode="External"/><Relationship Id="rId16" Type="http://schemas.openxmlformats.org/officeDocument/2006/relationships/hyperlink" Target="https://zerodeforestationhub.eu/wp-content/uploads/2026/01/Insights_EUDR-exercise_Coffee.pdf" TargetMode="External"/><Relationship Id="rId20" Type="http://schemas.openxmlformats.org/officeDocument/2006/relationships/hyperlink" Target="https://ec.europa.eu/transparency/expert-groups-register/screen/meetings/consult?lang=en&amp;meetingId=67585&amp;fromExpertGroups=3282" TargetMode="External"/><Relationship Id="rId1" Type="http://schemas.openxmlformats.org/officeDocument/2006/relationships/hyperlink" Target="https://ec.europa.eu/commission/presscorner/detail/en/ip_24_5009" TargetMode="External"/><Relationship Id="rId6" Type="http://schemas.openxmlformats.org/officeDocument/2006/relationships/hyperlink" Target="https://ukcop26.org/glasgow-leaders-declaration-on-forests-and-land-use/" TargetMode="External"/><Relationship Id="rId11" Type="http://schemas.openxmlformats.org/officeDocument/2006/relationships/hyperlink" Target="https://pure.iiasa.ac.at/id/eprint/14868/1/1.%20Report%20analysis%20of%20impact.pdf" TargetMode="External"/><Relationship Id="rId24" Type="http://schemas.openxmlformats.org/officeDocument/2006/relationships/hyperlink" Target="https://ec.europa.eu/info/law/better-regulation/have-your-say/initiatives_en" TargetMode="External"/><Relationship Id="rId5" Type="http://schemas.openxmlformats.org/officeDocument/2006/relationships/hyperlink" Target="https://www.cbd.int/convention/text/" TargetMode="External"/><Relationship Id="rId15" Type="http://schemas.openxmlformats.org/officeDocument/2006/relationships/hyperlink" Target="https://www.duh.de/fileadmin/user_upload/download/Projektinformation/Naturschutz/Policy_Brief__Dr._Metodi_Sotirov__-_The_EU_Deforestation_Regulation_Is_Already_Delivering_Results_-_Why_further_weakening_during_the_Simplification_Review_risks_undermining_progress_in_global_forest_governance.pdf" TargetMode="External"/><Relationship Id="rId23" Type="http://schemas.openxmlformats.org/officeDocument/2006/relationships/hyperlink" Target="https://environment.ec.europa.eu/publications/eudr-supply-chain-infographics-3rd-edition_en" TargetMode="External"/><Relationship Id="rId10" Type="http://schemas.openxmlformats.org/officeDocument/2006/relationships/hyperlink" Target="https://doi.org/10.4060/cb9360en" TargetMode="External"/><Relationship Id="rId19" Type="http://schemas.openxmlformats.org/officeDocument/2006/relationships/hyperlink" Target="http://data.europa.eu/eli/C/2024/6789/oj" TargetMode="External"/><Relationship Id="rId4" Type="http://schemas.openxmlformats.org/officeDocument/2006/relationships/hyperlink" Target="https://unfccc.int/sites/default/files/english_paris_agreement.pdf" TargetMode="External"/><Relationship Id="rId9" Type="http://schemas.openxmlformats.org/officeDocument/2006/relationships/hyperlink" Target="https://openknowledge.fao.org/items/090d2fbb-32a6-412b-a3b8-1ce5c5905df2" TargetMode="External"/><Relationship Id="rId14" Type="http://schemas.openxmlformats.org/officeDocument/2006/relationships/hyperlink" Target="https://www.forest-trends.org/publications/from-market-signal-to-national-forest-governance-reform/" TargetMode="External"/><Relationship Id="rId22" Type="http://schemas.openxmlformats.org/officeDocument/2006/relationships/hyperlink" Target="https://ec.europa.eu/info/law/better-regulation/have-your-say/initiatives/14794-Simplification-of-administrative-burden-in-environmental-legislation_e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752937908753514"/>
          <c:y val="4.3763676148796497E-2"/>
          <c:w val="0.61715161272049168"/>
          <c:h val="0.83957307703754058"/>
        </c:manualLayout>
      </c:layout>
      <c:barChart>
        <c:barDir val="bar"/>
        <c:grouping val="stacked"/>
        <c:varyColors val="0"/>
        <c:ser>
          <c:idx val="0"/>
          <c:order val="0"/>
          <c:tx>
            <c:strRef>
              <c:f>Sheet1!$B$1</c:f>
              <c:strCache>
                <c:ptCount val="1"/>
                <c:pt idx="0">
                  <c:v>Series 1</c:v>
                </c:pt>
              </c:strCache>
            </c:strRef>
          </c:tx>
          <c:spPr>
            <a:solidFill>
              <a:schemeClr val="accent1"/>
            </a:solidFill>
            <a:ln>
              <a:noFill/>
            </a:ln>
            <a:effectLst/>
          </c:spPr>
          <c:invertIfNegative val="0"/>
          <c:cat>
            <c:strRef>
              <c:f>Sheet1!$A$2:$A$10</c:f>
              <c:strCache>
                <c:ptCount val="9"/>
                <c:pt idx="0">
                  <c:v>June '23</c:v>
                </c:pt>
                <c:pt idx="1">
                  <c:v>Annual submission of DDS</c:v>
                </c:pt>
                <c:pt idx="2">
                  <c:v>Benchmarking</c:v>
                </c:pt>
                <c:pt idx="3">
                  <c:v>Simplified regime for MSPOs</c:v>
                </c:pt>
                <c:pt idx="4">
                  <c:v>Downstream obligations</c:v>
                </c:pt>
                <c:pt idx="5">
                  <c:v>Horizontal exemptions Annex I</c:v>
                </c:pt>
                <c:pt idx="6">
                  <c:v>Modified products scope</c:v>
                </c:pt>
                <c:pt idx="7">
                  <c:v>Other</c:v>
                </c:pt>
                <c:pt idx="8">
                  <c:v>Post April '26</c:v>
                </c:pt>
              </c:strCache>
            </c:strRef>
          </c:cat>
          <c:val>
            <c:numRef>
              <c:f>Sheet1!$B$2:$B$10</c:f>
              <c:numCache>
                <c:formatCode>General</c:formatCode>
                <c:ptCount val="9"/>
                <c:pt idx="0">
                  <c:v>8072674000</c:v>
                </c:pt>
                <c:pt idx="8">
                  <c:v>2021215118.743547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5A3-418A-805E-402DF5D9AF47}"/>
            </c:ext>
          </c:extLst>
        </c:ser>
        <c:ser>
          <c:idx val="1"/>
          <c:order val="1"/>
          <c:tx>
            <c:strRef>
              <c:f>Sheet1!$C$1</c:f>
              <c:strCache>
                <c:ptCount val="1"/>
                <c:pt idx="0">
                  <c:v>Series 2</c:v>
                </c:pt>
              </c:strCache>
            </c:strRef>
          </c:tx>
          <c:spPr>
            <a:noFill/>
            <a:ln>
              <a:noFill/>
            </a:ln>
            <a:effectLst/>
          </c:spPr>
          <c:invertIfNegative val="0"/>
          <c:cat>
            <c:strRef>
              <c:f>Sheet1!$A$2:$A$10</c:f>
              <c:strCache>
                <c:ptCount val="9"/>
                <c:pt idx="0">
                  <c:v>June '23</c:v>
                </c:pt>
                <c:pt idx="1">
                  <c:v>Annual submission of DDS</c:v>
                </c:pt>
                <c:pt idx="2">
                  <c:v>Benchmarking</c:v>
                </c:pt>
                <c:pt idx="3">
                  <c:v>Simplified regime for MSPOs</c:v>
                </c:pt>
                <c:pt idx="4">
                  <c:v>Downstream obligations</c:v>
                </c:pt>
                <c:pt idx="5">
                  <c:v>Horizontal exemptions Annex I</c:v>
                </c:pt>
                <c:pt idx="6">
                  <c:v>Modified products scope</c:v>
                </c:pt>
                <c:pt idx="7">
                  <c:v>Other</c:v>
                </c:pt>
                <c:pt idx="8">
                  <c:v>Post April '26</c:v>
                </c:pt>
              </c:strCache>
            </c:strRef>
          </c:cat>
          <c:val>
            <c:numRef>
              <c:f>Sheet1!$C$2:$C$10</c:f>
              <c:numCache>
                <c:formatCode>General</c:formatCode>
                <c:ptCount val="9"/>
                <c:pt idx="1">
                  <c:v>7732913472.1428585</c:v>
                </c:pt>
                <c:pt idx="2">
                  <c:v>7246505135.2738104</c:v>
                </c:pt>
                <c:pt idx="3">
                  <c:v>2674681681.5792189</c:v>
                </c:pt>
                <c:pt idx="4">
                  <c:v>2588478681.5792189</c:v>
                </c:pt>
                <c:pt idx="5">
                  <c:v>2466920994.3150454</c:v>
                </c:pt>
                <c:pt idx="6">
                  <c:v>2023483618.743547</c:v>
                </c:pt>
                <c:pt idx="7">
                  <c:v>2021215118.743547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5A3-418A-805E-402DF5D9AF47}"/>
            </c:ext>
          </c:extLst>
        </c:ser>
        <c:ser>
          <c:idx val="2"/>
          <c:order val="2"/>
          <c:tx>
            <c:strRef>
              <c:f>Sheet1!$D$1</c:f>
              <c:strCache>
                <c:ptCount val="1"/>
                <c:pt idx="0">
                  <c:v>Series 3</c:v>
                </c:pt>
              </c:strCache>
            </c:strRef>
          </c:tx>
          <c:spPr>
            <a:solidFill>
              <a:schemeClr val="bg1">
                <a:lumMod val="75000"/>
              </a:schemeClr>
            </a:solidFill>
            <a:ln>
              <a:noFill/>
            </a:ln>
            <a:effectLst/>
          </c:spPr>
          <c:invertIfNegative val="0"/>
          <c:cat>
            <c:strRef>
              <c:f>Sheet1!$A$2:$A$10</c:f>
              <c:strCache>
                <c:ptCount val="9"/>
                <c:pt idx="0">
                  <c:v>June '23</c:v>
                </c:pt>
                <c:pt idx="1">
                  <c:v>Annual submission of DDS</c:v>
                </c:pt>
                <c:pt idx="2">
                  <c:v>Benchmarking</c:v>
                </c:pt>
                <c:pt idx="3">
                  <c:v>Simplified regime for MSPOs</c:v>
                </c:pt>
                <c:pt idx="4">
                  <c:v>Downstream obligations</c:v>
                </c:pt>
                <c:pt idx="5">
                  <c:v>Horizontal exemptions Annex I</c:v>
                </c:pt>
                <c:pt idx="6">
                  <c:v>Modified products scope</c:v>
                </c:pt>
                <c:pt idx="7">
                  <c:v>Other</c:v>
                </c:pt>
                <c:pt idx="8">
                  <c:v>Post April '26</c:v>
                </c:pt>
              </c:strCache>
            </c:strRef>
          </c:cat>
          <c:val>
            <c:numRef>
              <c:f>Sheet1!$D$2:$D$10</c:f>
              <c:numCache>
                <c:formatCode>General</c:formatCode>
                <c:ptCount val="9"/>
                <c:pt idx="1">
                  <c:v>339760527.85714149</c:v>
                </c:pt>
                <c:pt idx="2">
                  <c:v>486408336.86904812</c:v>
                </c:pt>
                <c:pt idx="3">
                  <c:v>4571823453.6945915</c:v>
                </c:pt>
                <c:pt idx="4">
                  <c:v>86203000</c:v>
                </c:pt>
                <c:pt idx="5">
                  <c:v>121557687.26417351</c:v>
                </c:pt>
                <c:pt idx="6">
                  <c:v>443437375.57149839</c:v>
                </c:pt>
                <c:pt idx="7">
                  <c:v>2268500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95A3-418A-805E-402DF5D9AF47}"/>
            </c:ext>
          </c:extLst>
        </c:ser>
        <c:dLbls>
          <c:showLegendKey val="0"/>
          <c:showVal val="0"/>
          <c:showCatName val="0"/>
          <c:showSerName val="0"/>
          <c:showPercent val="0"/>
          <c:showBubbleSize val="0"/>
        </c:dLbls>
        <c:gapWidth val="150"/>
        <c:overlap val="100"/>
        <c:axId val="2139943248"/>
        <c:axId val="2139944688"/>
      </c:barChart>
      <c:catAx>
        <c:axId val="21399432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944688"/>
        <c:crosses val="autoZero"/>
        <c:auto val="1"/>
        <c:lblAlgn val="ctr"/>
        <c:lblOffset val="100"/>
        <c:noMultiLvlLbl val="0"/>
      </c:catAx>
      <c:valAx>
        <c:axId val="2139944688"/>
        <c:scaling>
          <c:orientation val="minMax"/>
          <c:max val="1000000000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943248"/>
        <c:crosses val="max"/>
        <c:crossBetween val="between"/>
        <c:majorUnit val="2000000000"/>
        <c:minorUnit val="200000000"/>
        <c:dispUnits>
          <c:builtInUnit val="billions"/>
          <c:dispUnitsLbl>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71991784271339"/>
          <c:y val="5.6410256410256411E-2"/>
          <c:w val="0.78916404595399114"/>
          <c:h val="0.78295739955582477"/>
        </c:manualLayout>
      </c:layout>
      <c:barChart>
        <c:barDir val="bar"/>
        <c:grouping val="clustered"/>
        <c:varyColors val="0"/>
        <c:ser>
          <c:idx val="0"/>
          <c:order val="0"/>
          <c:tx>
            <c:strRef>
              <c:f>Sheet1!$B$1</c:f>
              <c:strCache>
                <c:ptCount val="1"/>
                <c:pt idx="0">
                  <c:v>Total</c:v>
                </c:pt>
              </c:strCache>
            </c:strRef>
          </c:tx>
          <c:spPr>
            <a:solidFill>
              <a:schemeClr val="accent1"/>
            </a:solidFill>
            <a:ln>
              <a:noFill/>
            </a:ln>
            <a:effectLst/>
          </c:spPr>
          <c:invertIfNegative val="0"/>
          <c:cat>
            <c:strRef>
              <c:f>Sheet1!$A$2:$A$8</c:f>
              <c:strCache>
                <c:ptCount val="7"/>
                <c:pt idx="0">
                  <c:v>Wood</c:v>
                </c:pt>
                <c:pt idx="1">
                  <c:v>Rubber</c:v>
                </c:pt>
                <c:pt idx="2">
                  <c:v>Soya</c:v>
                </c:pt>
                <c:pt idx="3">
                  <c:v>Coffee</c:v>
                </c:pt>
                <c:pt idx="4">
                  <c:v>Cattle</c:v>
                </c:pt>
                <c:pt idx="5">
                  <c:v>Oil Palm</c:v>
                </c:pt>
                <c:pt idx="6">
                  <c:v>Cocoa</c:v>
                </c:pt>
              </c:strCache>
            </c:strRef>
          </c:cat>
          <c:val>
            <c:numRef>
              <c:f>Sheet1!$B$2:$B$8</c:f>
              <c:numCache>
                <c:formatCode>_-"€"* #,##0_-;\-"€"* #,##0_-;_-"€"* "-"??_-;_-@_-</c:formatCode>
                <c:ptCount val="7"/>
                <c:pt idx="0">
                  <c:v>183307372.28596228</c:v>
                </c:pt>
                <c:pt idx="1">
                  <c:v>461984536.5075767</c:v>
                </c:pt>
                <c:pt idx="2">
                  <c:v>742999984.33432996</c:v>
                </c:pt>
                <c:pt idx="3">
                  <c:v>751875108.57634449</c:v>
                </c:pt>
                <c:pt idx="4">
                  <c:v>872720764.44214797</c:v>
                </c:pt>
                <c:pt idx="5">
                  <c:v>958616093.9635061</c:v>
                </c:pt>
                <c:pt idx="6">
                  <c:v>3038808223.2019625</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320-4D21-B5F8-84BDDDA40404}"/>
            </c:ext>
          </c:extLst>
        </c:ser>
        <c:dLbls>
          <c:showLegendKey val="0"/>
          <c:showVal val="0"/>
          <c:showCatName val="0"/>
          <c:showSerName val="0"/>
          <c:showPercent val="0"/>
          <c:showBubbleSize val="0"/>
        </c:dLbls>
        <c:gapWidth val="182"/>
        <c:axId val="1765369600"/>
        <c:axId val="1765380640"/>
      </c:barChart>
      <c:catAx>
        <c:axId val="176536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5380640"/>
        <c:crosses val="autoZero"/>
        <c:auto val="1"/>
        <c:lblAlgn val="ctr"/>
        <c:lblOffset val="100"/>
        <c:noMultiLvlLbl val="0"/>
      </c:catAx>
      <c:valAx>
        <c:axId val="1765380640"/>
        <c:scaling>
          <c:orientation val="minMax"/>
        </c:scaling>
        <c:delete val="0"/>
        <c:axPos val="b"/>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5369600"/>
        <c:crosses val="autoZero"/>
        <c:crossBetween val="between"/>
        <c:dispUnits>
          <c:builtInUnit val="billions"/>
          <c:dispUnitsLbl>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Sheet1!$A$2:$A$9</cx:f>
        <cx:lvl ptCount="8">
          <cx:pt idx="0">Cattle</cx:pt>
          <cx:pt idx="1">Wood</cx:pt>
          <cx:pt idx="2">Oil palm </cx:pt>
          <cx:pt idx="3">Soya</cx:pt>
          <cx:pt idx="4">Cocoa</cx:pt>
          <cx:pt idx="5">Rubber</cx:pt>
          <cx:pt idx="6">Coffee</cx:pt>
          <cx:pt idx="7">Total</cx:pt>
        </cx:lvl>
      </cx:strDim>
      <cx:numDim type="val">
        <cx:f>Sheet1!$B$2:$B$9</cx:f>
        <cx:lvl ptCount="8" formatCode="General">
          <cx:pt idx="0">2355</cx:pt>
          <cx:pt idx="1">675</cx:pt>
          <cx:pt idx="2">392</cx:pt>
          <cx:pt idx="3">224</cx:pt>
          <cx:pt idx="4">187</cx:pt>
          <cx:pt idx="5">111</cx:pt>
          <cx:pt idx="6">82</cx:pt>
          <cx:pt idx="7">4025</cx:pt>
        </cx:lvl>
      </cx:numDim>
    </cx:data>
  </cx:chartData>
  <cx:chart>
    <cx:plotArea>
      <cx:plotAreaRegion>
        <cx:series layoutId="waterfall" uniqueId="{98A00E82-02D0-496E-A1A1-BF19A958F8D9}">
          <cx:tx>
            <cx:txData>
              <cx:f>Sheet1!$B$1</cx:f>
              <cx:v>Global deforestation (tousand hecatres)</cx:v>
            </cx:txData>
          </cx:tx>
          <cx:spPr>
            <a:solidFill>
              <a:schemeClr val="tx2">
                <a:lumMod val="25000"/>
                <a:lumOff val="75000"/>
              </a:schemeClr>
            </a:solidFill>
          </cx:spPr>
          <cx:dataPt idx="7">
            <cx:spPr>
              <a:solidFill>
                <a:srgbClr val="156082"/>
              </a:solidFill>
            </cx:spPr>
          </cx:dataPt>
          <cx:dataLabels pos="outEnd">
            <cx:visibility seriesName="0" categoryName="0" value="1"/>
          </cx:dataLabels>
          <cx:dataId val="0"/>
          <cx:layoutPr>
            <cx:subtotals>
              <cx:idx val="0"/>
              <cx:idx val="7"/>
            </cx:subtotals>
          </cx:layoutPr>
        </cx:series>
      </cx:plotAreaRegion>
      <cx:axis id="0">
        <cx:catScaling gapWidth="0.800000012"/>
        <cx:tickLabels/>
      </cx:axis>
      <cx:axis id="1">
        <cx:valScaling/>
        <cx:title>
          <cx:tx>
            <cx:txData>
              <cx:v>Global deforestation (tousand hecatres)</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Aptos" panose="02110004020202020204"/>
                </a:rPr>
                <a:t>Global deforestation (tousand hecatres)</a:t>
              </a:r>
            </a:p>
          </cx:txPr>
        </cx:title>
        <cx:majorGridlines/>
        <cx:tickLabels/>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EurolookProperties>
  <ProductCustomizationId>EC</ProductCustomizationId>
  <Created>
    <Version>10.0.47989.0</Version>
    <Date>2026-03-05T12:18:43</Date>
    <Language>EN</Language>
    <Note/>
  </Created>
  <DocumentModel>
    <Id>6cbda13a-4db2-46c6-876a-ef72275827ef</Id>
    <Name>Report</Name>
  </DocumentModel>
  <CustomTemplate>
    <Id/>
    <Name/>
  </CustomTemplate>
  <DocumentDate>2026-03-05T12:18:43</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15" ma:contentTypeDescription="Create a new document." ma:contentTypeScope="" ma:versionID="308026350770500f930cdad5b3cf0ff8">
  <xsd:schema xmlns:xsd="http://www.w3.org/2001/XMLSchema" xmlns:xs="http://www.w3.org/2001/XMLSchema" xmlns:p="http://schemas.microsoft.com/office/2006/metadata/properties" xmlns:ns2="19b29e8c-5da5-41b7-9b48-7fad7b873b67" xmlns:ns3="a45643f3-7c99-4d24-b29f-08e86086f1a7" targetNamespace="http://schemas.microsoft.com/office/2006/metadata/properties" ma:root="true" ma:fieldsID="ed3079659433049ca75996bdc0ddbdac" ns2:_="" ns3:_="">
    <xsd:import namespace="19b29e8c-5da5-41b7-9b48-7fad7b873b67"/>
    <xsd:import namespace="a45643f3-7c99-4d24-b29f-08e86086f1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5643f3-7c99-4d24-b29f-08e86086f1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b29e8c-5da5-41b7-9b48-7fad7b873b6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5.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Writer" AuthorRoleDisplayName="Writer" AuthorRoleId="a4fbaff4-b07c-48b4-a21e-e7b9eedf3796">
  <Id>2bfa1560-3a36-43f9-9c36-5d3a118a0c5a</Id>
  <Names>
    <Latin>
      <FirstName>Jeroen</FirstName>
      <LastName>VERHAGEN</LastName>
    </Latin>
    <Greek>
      <FirstName/>
      <LastName/>
    </Greek>
    <Cyrillic>
      <FirstName/>
      <LastName/>
    </Cyrillic>
    <DocumentScript>
      <FirstName>Jeroen</FirstName>
      <LastName>VERHAGEN</LastName>
      <FullName>Jeroen VERHAGEN</FullName>
    </DocumentScript>
  </Names>
  <Initials>JV</Initials>
  <Gender>m</Gender>
  <Email>Jeroen.VERHAGEN@ec.europa.eu</Email>
  <Service>ENV.F.1</Service>
  <Function ADCode="" ShowInSignature="true" ShowInHeader="false" HeaderText=""/>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Id>be42106e-9b51-4778-9113-d7e411658663</Id>
    <LogicalLevel>2</LogicalLevel>
    <Name>ENV.F</Name>
    <HeadLine1>Directorate F – Green Diplomacy &amp; Multilateralism</HeadLine1>
    <HeadLine2/>
    <PrimaryAddressId>f03b5801-04c9-4931-aa17-c6d6c70bc579</PrimaryAddressId>
    <SecondaryAddressId/>
    <WebAddress/>
    <InheritedWebAddress>WebAddress</InheritedWebAddress>
    <ShowInHeader>true</ShowInHeader>
  </OrgaEntity2>
  <OrgaEntity3>
    <Id>99c8d897-bc83-4cc2-a08e-6f858cdc8e7b</Id>
    <LogicalLevel>3</LogicalLevel>
    <Name>ENV.F.1</Name>
    <HeadLine1>ENV.F.1 – Planetary Common Goods, Universal Values &amp; Environmental Security</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be42106e-9b51-4778-9113-d7e411658663</Id>
      <LogicalLevel>2</LogicalLevel>
      <Name>ENV.F</Name>
      <HeadLine1>Directorate F – Green Diplomacy &amp; Multilateralism</HeadLine1>
      <HeadLine2/>
      <PrimaryAddressId>f03b5801-04c9-4931-aa17-c6d6c70bc579</PrimaryAddressId>
      <SecondaryAddressId/>
      <WebAddress/>
      <InheritedWebAddress>WebAddress</InheritedWebAddress>
      <ShowInHeader>true</ShowInHeader>
    </OrgaEntity>
    <OrgaEntity>
      <Id>99c8d897-bc83-4cc2-a08e-6f858cdc8e7b</Id>
      <LogicalLevel>3</LogicalLevel>
      <Name>ENV.F.1</Name>
      <HeadLine1>ENV.F.1 – Planetary Common Goods, Universal Values &amp; Environmental Security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+32 229-93949</Phone>
    <Office>BRE2 07/DCS</Office>
  </MainWorkplace>
  <Workplaces>
    <Workplace IsMain="true">
      <AddressId>f03b5801-04c9-4931-aa17-c6d6c70bc579</AddressId>
      <Fax/>
      <Phone>+32 229-93949</Phone>
      <Office>BRE2 07/DCS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7D5A6-8CBB-4221-A466-39A3C79A968D}">
  <ds:schemaRefs>
    <ds:schemaRef ds:uri="http://schemas.microsoft.com/sharepoint/v3/contenttype/forms"/>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16BAB7CD-3517-4634-ABA0-6B65952A7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a45643f3-7c99-4d24-b29f-08e86086f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E1A4DB-67BA-449C-B663-2464B993ABEF}">
  <ds:schemaRefs>
    <ds:schemaRef ds:uri="http://schemas.microsoft.com/office/2006/metadata/properties"/>
    <ds:schemaRef ds:uri="http://schemas.microsoft.com/office/infopath/2007/PartnerControls"/>
    <ds:schemaRef ds:uri="19b29e8c-5da5-41b7-9b48-7fad7b873b67"/>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6935553F-4636-41F1-B7CB-FA95229DEE77}">
  <ds:schemaRefs/>
</ds:datastoreItem>
</file>

<file path=customXml/itemProps7.xml><?xml version="1.0" encoding="utf-8"?>
<ds:datastoreItem xmlns:ds="http://schemas.openxmlformats.org/officeDocument/2006/customXml" ds:itemID="{29CB650D-CCB0-4BD1-A7FF-D5369D6E9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10871</Words>
  <Characters>61967</Characters>
  <Application>Microsoft Office Word</Application>
  <DocSecurity>0</DocSecurity>
  <PresentationFormat>Microsoft Word 14.0</PresentationFormat>
  <Lines>516</Lines>
  <Paragraphs>145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2026-04-30T08:39:00Z</dcterms:created>
  <dcterms:modified xsi:type="dcterms:W3CDTF">2026-05-04T07:02:00Z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2026-04-27T16:31:01Z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c86823c5-3ebc-4024-9838-c7410d420dad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ContentTypeId">
    <vt:lpwstr>0x010100145173D67C871A429D9A58E9AC77F1F6</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