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1.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2.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A58C1" w14:textId="41F32BA6" w:rsidR="009D5428" w:rsidRPr="00E84250" w:rsidRDefault="006560CD" w:rsidP="006560CD">
      <w:pPr>
        <w:pStyle w:val="Pagedecouverture"/>
        <w:rPr>
          <w:noProof/>
        </w:rPr>
      </w:pPr>
      <w:bookmarkStart w:id="0" w:name="LW_BM_COVERPAGE"/>
      <w:r>
        <w:rPr>
          <w:noProof/>
        </w:rPr>
        <w:pict w14:anchorId="67B90F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16261F7-0D33-43FD-8C47-9145CE098106" style="width:455.25pt;height:300pt">
            <v:imagedata r:id="rId14" o:title=""/>
          </v:shape>
        </w:pict>
      </w:r>
    </w:p>
    <w:bookmarkEnd w:id="0"/>
    <w:p w14:paraId="63F69CA6" w14:textId="77777777" w:rsidR="007678CB" w:rsidRPr="00E84250" w:rsidRDefault="007678CB" w:rsidP="001B562A">
      <w:pPr>
        <w:rPr>
          <w:noProof/>
        </w:rPr>
        <w:sectPr w:rsidR="007678CB" w:rsidRPr="00E84250" w:rsidSect="006560CD">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47DCB04D" w14:textId="0207DC4A" w:rsidR="00356F0A" w:rsidRDefault="00356F0A" w:rsidP="001B562A">
      <w:pPr>
        <w:rPr>
          <w:b/>
          <w:noProof/>
          <w:sz w:val="28"/>
          <w:szCs w:val="28"/>
        </w:rPr>
      </w:pPr>
      <w:bookmarkStart w:id="1" w:name="_GoBack"/>
      <w:bookmarkEnd w:id="1"/>
      <w:r>
        <w:rPr>
          <w:b/>
          <w:noProof/>
          <w:sz w:val="28"/>
        </w:rPr>
        <w:lastRenderedPageBreak/>
        <w:t>Résumé</w:t>
      </w:r>
    </w:p>
    <w:p w14:paraId="40F94CEB" w14:textId="4540A3E1" w:rsidR="0049610C" w:rsidRDefault="0049610C" w:rsidP="0049610C">
      <w:pPr>
        <w:rPr>
          <w:noProof/>
        </w:rPr>
      </w:pPr>
      <w:r>
        <w:rPr>
          <w:noProof/>
        </w:rPr>
        <w:t>En décembre 2025, le Parlement européen et le Conseil ont adopté une modification du règlement (UE) 2023/1115 (ci-après le «règlement»). Dans le cadre juridique révisé, les colégislateurs ont chargé la Commission de procéder à un examen de simplification du règlement et de présenter un rapport au Parlement européen et au Conseil, accompagné, le cas échéant, d’une proposition législative, au plus tard le 30 avril 2026.</w:t>
      </w:r>
    </w:p>
    <w:p w14:paraId="3708A784" w14:textId="2EBEC0B8" w:rsidR="0049610C" w:rsidRDefault="2DA8DC69" w:rsidP="0049610C">
      <w:pPr>
        <w:rPr>
          <w:noProof/>
        </w:rPr>
      </w:pPr>
      <w:r>
        <w:rPr>
          <w:noProof/>
        </w:rPr>
        <w:t>Par le présent rapport, la Commission remplit son mandat au titre de l’article 34, paragraphe 1 </w:t>
      </w:r>
      <w:r>
        <w:rPr>
          <w:i/>
          <w:noProof/>
        </w:rPr>
        <w:t>bis</w:t>
      </w:r>
      <w:r>
        <w:rPr>
          <w:noProof/>
        </w:rPr>
        <w:t>, du règlement. Le rapport donne un aperçu des mesures de simplification introduites depuis l’entrée en vigueur du règlement en juin 2023 et évalue leur incidence sur la charge administrative et sur le fonctionnement global du règlement, en accordant une attention particulière aux micro et petits opérateurs, tels que les agriculteurs et les sylviculteurs. Il présente également les mesures de facilitation supplémentaires accompagnant le présent rapport, ainsi que les progrès accomplis dans les principaux axes de mise en œuvre, notamment le système d’information, en vue de garantir l’application effective du règlement à la fin de 2026.</w:t>
      </w:r>
    </w:p>
    <w:p w14:paraId="620F4C1E" w14:textId="3DC5D7BD" w:rsidR="0049610C" w:rsidRDefault="0049610C" w:rsidP="0049610C">
      <w:pPr>
        <w:rPr>
          <w:noProof/>
        </w:rPr>
      </w:pPr>
      <w:r>
        <w:rPr>
          <w:noProof/>
        </w:rPr>
        <w:t>En tant qu’instrument pionnier pour réduire la contribution de l’Union à la déforestation et à la dégradation des forêts à l’échelle mondiale, le règlement a déjà fait l’objet de deux révisions législatives ciblées, en 2024 et 2025. Au cours de ces années, deux ensembles complets de mesures</w:t>
      </w:r>
      <w:r>
        <w:rPr>
          <w:rStyle w:val="FootnoteReference"/>
          <w:noProof/>
        </w:rPr>
        <w:footnoteReference w:id="1"/>
      </w:r>
      <w:r>
        <w:rPr>
          <w:noProof/>
        </w:rPr>
        <w:t xml:space="preserve"> ont également été mis en place dans le but de faciliter la mise en œuvre. </w:t>
      </w:r>
    </w:p>
    <w:p w14:paraId="7FE7FA94" w14:textId="66F42F4E" w:rsidR="0049610C" w:rsidRDefault="2DA8DC69" w:rsidP="0049610C">
      <w:pPr>
        <w:rPr>
          <w:noProof/>
        </w:rPr>
      </w:pPr>
      <w:r>
        <w:rPr>
          <w:b/>
          <w:noProof/>
        </w:rPr>
        <w:t>L’examen conclut que les mesures introduites en 2024 et 2025, ainsi que les modifications de décembre 2025 et les nouvelles mesures de simplification accompagnant le présent rapport, entraînent une réduction substantielle de la charge administrative et une simplification considérable pour les entreprises qui relèvent du champ d’application du règlement.</w:t>
      </w:r>
      <w:r>
        <w:rPr>
          <w:noProof/>
        </w:rPr>
        <w:t xml:space="preserve"> Cette réduction est particulièrement importante pour les opérateurs qui s’approvisionnent dans des pays à faible risque, pour les micro et petits opérateurs primaires et pour les acteurs en aval, notamment grâce à l’introduction de procédures simplifiées. Les nouvelles mesures présentées ci-dessous comprennent des propositions de modifications du champ d’application du règlement relatives aux produits couverts, des clarifications et simplifications de certaines dispositions, ainsi que des mises à jour du système d’information, en mettant en œuvre les récentes modifications législatives et en veillant à ce qu’il soit aussi facile d’utilisation que possible. Afin de préserver la sécurité juridique et de garantir un cadre réglementaire stable et prévisible pour les opérateurs économiques, et compte tenu des progrès accomplis dans la réduction des coûts de mise en conformité, la Commission ne juge pas approprié de proposer de nouvelles modifications du texte juridique de base. </w:t>
      </w:r>
    </w:p>
    <w:p w14:paraId="52005A8E" w14:textId="7F8EE352" w:rsidR="00005C75" w:rsidRDefault="2288D01B" w:rsidP="007C20E2">
      <w:pPr>
        <w:spacing w:line="259" w:lineRule="auto"/>
        <w:rPr>
          <w:noProof/>
        </w:rPr>
      </w:pPr>
      <w:r>
        <w:rPr>
          <w:noProof/>
        </w:rPr>
        <w:t>Le rapport comprend plusieurs nouvelles mesures de simplification, comme détaillé ci-dessous.</w:t>
      </w:r>
    </w:p>
    <w:p w14:paraId="7513053F" w14:textId="40C7A2B8" w:rsidR="53C74A16" w:rsidRDefault="00005C75" w:rsidP="007C20E2">
      <w:pPr>
        <w:spacing w:line="259" w:lineRule="auto"/>
        <w:rPr>
          <w:noProof/>
        </w:rPr>
      </w:pPr>
      <w:r>
        <w:rPr>
          <w:noProof/>
        </w:rPr>
        <w:t xml:space="preserve">Premièrement, la Commission a </w:t>
      </w:r>
      <w:r>
        <w:rPr>
          <w:b/>
          <w:noProof/>
        </w:rPr>
        <w:t>mis à jour les orientations et les questions fréquemment posées afin de répondre aux principales préoccupations des parties prenantes</w:t>
      </w:r>
      <w:r>
        <w:rPr>
          <w:noProof/>
        </w:rPr>
        <w:t>. En particulier, ces documents précisent la possibilité de couvrir des envois multiples dans le cadre d’une seule déclaration de diligence raisonnée et expliquent, par exemple, comment les associations forestières peuvent soumettre des informations au nom de propriétaires forestiers individuels. La Commission fournit également des orientations pratiques supplémentaires sur les obligations des opérateurs en aval, y compris l’identification de leur position dans les chaînes d’approvisionnement et la possibilité pour une entreprise d’être à la fois importatrice et productrice. Elle confirme également que leur rôle se limite à la collecte passive et à la conservation d’informations pertinentes. Des explications sont fournies sur des questions telles que le commerce électronique, les alternatives à la géolocalisation et la détermination des seuils de taille pour les micro et petits opérateurs primaires. De plus, les documents d’orientation et de questions fréquemment posées précisent que la collecte d’informations relatives à la légalité devrait être proportionnée au niveau de risque, des éléments de preuve plus détaillés n’étant requis que dans les chaînes d’approvisionnement présentant un risque plus élevé. En outre, des exemples pratiques conviviaux illustrant les différents scénarios relatifs à la chaîne d’approvisionnement sont fournis dans le document actualisé réunissant des infographies sur la chaîne d’approvisionnement en lien avec le règlement. La Commission continuera de mettre à jour les orientations et les questions fréquemment posées si nécessaire, en tenant compte des retours d’information des parties prenantes.</w:t>
      </w:r>
    </w:p>
    <w:p w14:paraId="794AC55C" w14:textId="6E142930" w:rsidR="009D17F2" w:rsidRPr="00383F45" w:rsidRDefault="00005C75" w:rsidP="0049610C">
      <w:pPr>
        <w:rPr>
          <w:noProof/>
        </w:rPr>
      </w:pPr>
      <w:r>
        <w:rPr>
          <w:noProof/>
        </w:rPr>
        <w:t xml:space="preserve">Deuxièmement, la </w:t>
      </w:r>
      <w:r>
        <w:rPr>
          <w:b/>
          <w:noProof/>
        </w:rPr>
        <w:t>définition des produits a été affinée</w:t>
      </w:r>
      <w:r>
        <w:rPr>
          <w:noProof/>
        </w:rPr>
        <w:t xml:space="preserve"> dans le projet d’acte délégué</w:t>
      </w:r>
      <w:r>
        <w:rPr>
          <w:rStyle w:val="FootnoteReference"/>
          <w:noProof/>
        </w:rPr>
        <w:footnoteReference w:id="2"/>
      </w:r>
      <w:r>
        <w:rPr>
          <w:noProof/>
        </w:rPr>
        <w:t xml:space="preserve"> publié en vue d’un retour d’information du public afin de garantir une application plus cohérente du règlement, y compris les ajouts proposés de certains produits en aval, tels que le café soluble et certains dérivés de l’huile de palme (notamment le savon fabriqué à partir d’huile de palme), ainsi que certaines propositions d’exclusion du champ d’application, notamment le cuir, les échantillons et les pneumatiques rechapés. </w:t>
      </w:r>
    </w:p>
    <w:p w14:paraId="03D786CC" w14:textId="539334AC" w:rsidR="00910705" w:rsidRDefault="00005C75" w:rsidP="0049610C">
      <w:pPr>
        <w:rPr>
          <w:noProof/>
        </w:rPr>
      </w:pPr>
      <w:r>
        <w:rPr>
          <w:noProof/>
        </w:rPr>
        <w:t xml:space="preserve">Troisièmement, le rapport décrit également </w:t>
      </w:r>
      <w:r>
        <w:rPr>
          <w:b/>
          <w:noProof/>
        </w:rPr>
        <w:t>les évolutions futures du système d’information</w:t>
      </w:r>
      <w:r>
        <w:rPr>
          <w:noProof/>
        </w:rPr>
        <w:t>. Il s’agit notamment des mises à jour requises par le texte révisé du règlement, telles que l’inclusion de déclarations simplifiées, ainsi que des fonctionnalités supplémentaires demandées par les parties prenantes, y compris le regroupement volontaire des numéros de référence des déclarations de diligence raisonnée. Dans l’ensemble, ces améliorations garantiront que le système est solide et prêt à soutenir la bonne application du règlement à compter de la date de son entrée en vigueur.</w:t>
      </w:r>
    </w:p>
    <w:p w14:paraId="0184FE40" w14:textId="4D744355" w:rsidR="0049610C" w:rsidRDefault="00005C75" w:rsidP="0049610C">
      <w:pPr>
        <w:rPr>
          <w:noProof/>
        </w:rPr>
      </w:pPr>
      <w:r>
        <w:rPr>
          <w:noProof/>
        </w:rPr>
        <w:t xml:space="preserve">Quatrièmement, le rapport présente la </w:t>
      </w:r>
      <w:r>
        <w:rPr>
          <w:b/>
          <w:noProof/>
        </w:rPr>
        <w:t>mise en place prévue de nouveaux outils de facilitation des échanges</w:t>
      </w:r>
      <w:r>
        <w:rPr>
          <w:noProof/>
        </w:rPr>
        <w:t xml:space="preserve">, tels que des répertoires de la législation des pays qui produisent des produits relevant du règlement et qui délivrent des certifications ou d’autres systèmes vérifiés par des tiers applicables aux produits de base couverts par le règlement, en vue de faciliter les évaluations de la conformité et de la légalité. </w:t>
      </w:r>
    </w:p>
    <w:p w14:paraId="661A81BD" w14:textId="467D34C2" w:rsidR="0049610C" w:rsidRPr="00B911C8" w:rsidRDefault="0049610C" w:rsidP="44DF46F2">
      <w:pPr>
        <w:rPr>
          <w:b/>
          <w:bCs/>
          <w:noProof/>
          <w:highlight w:val="yellow"/>
        </w:rPr>
      </w:pPr>
      <w:r>
        <w:rPr>
          <w:b/>
          <w:noProof/>
        </w:rPr>
        <w:t xml:space="preserve">L’évaluation quantitative indique que, prises dans leur ensemble, les mesures de simplification décrites devraient réduire les coûts annuels de mise en conformité pour les entreprises soumises aux obligations du règlement d’environ 75 % par rapport aux coûts de mise en conformité initiaux. </w:t>
      </w:r>
    </w:p>
    <w:p w14:paraId="21F01B1C" w14:textId="05AF3EC7" w:rsidR="0049610C" w:rsidRDefault="0049610C" w:rsidP="0049610C">
      <w:pPr>
        <w:rPr>
          <w:noProof/>
        </w:rPr>
      </w:pPr>
      <w:r>
        <w:rPr>
          <w:noProof/>
        </w:rPr>
        <w:t>Dans le même temps, le règlement devrait générer d’importants avantages environnementaux et économiques</w:t>
      </w:r>
      <w:r>
        <w:rPr>
          <w:rStyle w:val="FootnoteReference"/>
          <w:noProof/>
        </w:rPr>
        <w:footnoteReference w:id="3"/>
      </w:r>
      <w:r>
        <w:rPr>
          <w:noProof/>
        </w:rPr>
        <w:t xml:space="preserve">. Les premiers éléments indiquent que le règlement contribue à des changements structurels dans les chaînes d’approvisionnement mondiales induits par des synergies entre les secteurs public et privé, y compris des investissements accrus dans la traçabilité, une transparence renforcée et une adoption plus large des solutions numériques, soutenant ainsi des pratiques de production plus durables et plus compétitives. </w:t>
      </w:r>
    </w:p>
    <w:p w14:paraId="3DADB030" w14:textId="77777777" w:rsidR="00356F0A" w:rsidRPr="0012174E" w:rsidRDefault="00356F0A" w:rsidP="001B562A">
      <w:pPr>
        <w:spacing w:after="0"/>
        <w:jc w:val="left"/>
        <w:rPr>
          <w:b/>
          <w:noProof/>
          <w:sz w:val="28"/>
          <w:szCs w:val="28"/>
        </w:rPr>
      </w:pPr>
      <w:r>
        <w:rPr>
          <w:noProof/>
        </w:rPr>
        <w:br w:type="page"/>
      </w:r>
    </w:p>
    <w:p w14:paraId="4CAF42EE" w14:textId="4652739E" w:rsidR="00E63F32" w:rsidRPr="0012174E" w:rsidRDefault="00E63F32" w:rsidP="001B562A">
      <w:pPr>
        <w:rPr>
          <w:b/>
          <w:bCs/>
          <w:noProof/>
          <w:sz w:val="28"/>
          <w:szCs w:val="28"/>
        </w:rPr>
      </w:pPr>
      <w:r>
        <w:rPr>
          <w:b/>
          <w:noProof/>
          <w:sz w:val="28"/>
        </w:rPr>
        <w:t>1. Introduction</w:t>
      </w:r>
    </w:p>
    <w:p w14:paraId="148A03A3" w14:textId="48422E2E" w:rsidR="004E1E17" w:rsidRPr="0012174E" w:rsidRDefault="004E1E17" w:rsidP="0012174E">
      <w:pPr>
        <w:spacing w:after="80"/>
        <w:jc w:val="left"/>
        <w:rPr>
          <w:b/>
          <w:bCs/>
          <w:noProof/>
          <w:szCs w:val="24"/>
        </w:rPr>
      </w:pPr>
      <w:r>
        <w:rPr>
          <w:b/>
          <w:noProof/>
        </w:rPr>
        <w:t xml:space="preserve">1.1. Justification stratégique </w:t>
      </w:r>
    </w:p>
    <w:p w14:paraId="6D259C97" w14:textId="1B7C0F52" w:rsidR="007C507C" w:rsidRPr="00E84250" w:rsidRDefault="007C507C" w:rsidP="0012174E">
      <w:pPr>
        <w:spacing w:after="120"/>
        <w:rPr>
          <w:noProof/>
          <w:szCs w:val="24"/>
        </w:rPr>
      </w:pPr>
      <w:r>
        <w:rPr>
          <w:noProof/>
        </w:rPr>
        <w:t>L’Union européenne (UE) joue un rôle de premier plan dans les efforts déployés au niveau mondial pour protéger les écosystèmes critiques et lutter contre le changement climatique, conformément à l’accord de Paris</w:t>
      </w:r>
      <w:r>
        <w:rPr>
          <w:rStyle w:val="FootnoteReference"/>
          <w:noProof/>
        </w:rPr>
        <w:footnoteReference w:id="4"/>
      </w:r>
      <w:r>
        <w:rPr>
          <w:noProof/>
        </w:rPr>
        <w:t>, à la convention sur la diversité biologique</w:t>
      </w:r>
      <w:r>
        <w:rPr>
          <w:rStyle w:val="FootnoteReference"/>
          <w:noProof/>
        </w:rPr>
        <w:footnoteReference w:id="5"/>
      </w:r>
      <w:r>
        <w:rPr>
          <w:noProof/>
        </w:rPr>
        <w:t>, à la déclaration des dirigeants réunis à Glasgow sur les forêts et l’utilisation des terres</w:t>
      </w:r>
      <w:r>
        <w:rPr>
          <w:rStyle w:val="FootnoteReference"/>
          <w:noProof/>
        </w:rPr>
        <w:footnoteReference w:id="6"/>
      </w:r>
      <w:r>
        <w:rPr>
          <w:noProof/>
        </w:rPr>
        <w:t xml:space="preserve"> et aux objectifs de développement durable des Nations unies</w:t>
      </w:r>
      <w:r>
        <w:rPr>
          <w:rStyle w:val="FootnoteReference"/>
          <w:noProof/>
        </w:rPr>
        <w:footnoteReference w:id="7"/>
      </w:r>
      <w:r>
        <w:rPr>
          <w:noProof/>
        </w:rPr>
        <w:t>. Il s’agit notamment de lutter contre la déforestation et la dégradation des forêts, une priorité récemment réaffirmée lors de la 30</w:t>
      </w:r>
      <w:r>
        <w:rPr>
          <w:noProof/>
          <w:vertAlign w:val="superscript"/>
        </w:rPr>
        <w:t>e</w:t>
      </w:r>
      <w:r>
        <w:rPr>
          <w:noProof/>
        </w:rPr>
        <w:t> conférence des parties à la convention-cadre des Nations unies sur les changements climatiques (COP30) à Belém, au cours de laquelle la présidence de la COP30 a proposé une feuille de route pour enrayer et inverser la déforestation et la dégradation des forêts d’ici à 2030</w:t>
      </w:r>
      <w:r>
        <w:rPr>
          <w:rStyle w:val="FootnoteReference"/>
          <w:noProof/>
        </w:rPr>
        <w:footnoteReference w:id="8"/>
      </w:r>
      <w:r>
        <w:rPr>
          <w:noProof/>
        </w:rPr>
        <w:t xml:space="preserve">. </w:t>
      </w:r>
    </w:p>
    <w:p w14:paraId="53B9E71A" w14:textId="2204D7DB" w:rsidR="00D45788" w:rsidRPr="0012174E" w:rsidRDefault="00B949D5" w:rsidP="0012174E">
      <w:pPr>
        <w:spacing w:after="120"/>
        <w:rPr>
          <w:noProof/>
          <w:szCs w:val="24"/>
        </w:rPr>
      </w:pPr>
      <w:r>
        <w:rPr>
          <w:noProof/>
        </w:rPr>
        <w:t>Les derniers chiffres de 2025 tirés de l’évaluation des ressources forestières mondiales</w:t>
      </w:r>
      <w:r>
        <w:rPr>
          <w:rStyle w:val="FootnoteReference"/>
          <w:noProof/>
          <w:szCs w:val="24"/>
        </w:rPr>
        <w:footnoteReference w:id="9"/>
      </w:r>
      <w:r>
        <w:rPr>
          <w:noProof/>
        </w:rPr>
        <w:t xml:space="preserve"> de l’organisation des Nations unies pour l’alimentation et l’agriculture (FAO) indiquent qu’après un ralentissement au cours de la période 2010-2020, le taux annuel net de perte forestière mondiale a de nouveau augmenté et dépasse désormais 5 millions d’hectares par an, contre 3,6 millions d’hectares par an au cours de la période 2010-2020</w:t>
      </w:r>
      <w:r>
        <w:rPr>
          <w:rStyle w:val="FootnoteReference"/>
          <w:noProof/>
          <w:szCs w:val="24"/>
        </w:rPr>
        <w:footnoteReference w:id="10"/>
      </w:r>
      <w:r>
        <w:rPr>
          <w:noProof/>
        </w:rPr>
        <w:t>.</w:t>
      </w:r>
    </w:p>
    <w:p w14:paraId="63EE0B15" w14:textId="572782A9" w:rsidR="00A55CB8" w:rsidRPr="0012174E" w:rsidRDefault="0089061A" w:rsidP="0012174E">
      <w:pPr>
        <w:spacing w:after="120"/>
        <w:rPr>
          <w:noProof/>
          <w:szCs w:val="24"/>
        </w:rPr>
      </w:pPr>
      <w:r>
        <w:rPr>
          <w:noProof/>
        </w:rPr>
        <w:t>Le principal moteur de la déforestation reste l’expansion des terres agricoles</w:t>
      </w:r>
      <w:r>
        <w:rPr>
          <w:rStyle w:val="FootnoteReference"/>
          <w:noProof/>
        </w:rPr>
        <w:footnoteReference w:id="11"/>
      </w:r>
      <w:r>
        <w:rPr>
          <w:noProof/>
        </w:rPr>
        <w:t>. En tant que grande puissance économique mondiale, l’UE est à la fois productrice et grande consommatrice de matières premières liées à la déforestation, ce qui la rend partie prenante dans ce défi</w:t>
      </w:r>
      <w:r>
        <w:rPr>
          <w:rStyle w:val="FootnoteReference"/>
          <w:noProof/>
        </w:rPr>
        <w:footnoteReference w:id="12"/>
      </w:r>
      <w:r>
        <w:rPr>
          <w:noProof/>
        </w:rPr>
        <w:t>. C’est la raison pour laquelle l’UE a adopté en mai 2023 le règlement</w:t>
      </w:r>
      <w:r>
        <w:rPr>
          <w:rStyle w:val="FootnoteReference"/>
          <w:noProof/>
        </w:rPr>
        <w:footnoteReference w:id="13"/>
      </w:r>
      <w:r>
        <w:rPr>
          <w:noProof/>
        </w:rPr>
        <w:t>, dans le but de réduire la contribution de l’UE à la déforestation et à la dégradation des forêts à l’échelle mondiale. En s’attaquant à l’expansion agricole dans les zones forestières, le règlement vise à préserver les forêts, réduisant ainsi les émissions de gaz à effet de serre associées et protégeant les écosystèmes et les espèces qui en dépendent. Le règlement est entré en vigueur en juin 2023 et a été révisé à deux reprises, à la fin de 2024 et à nouveau à la fin de 2025, introduisant des simplifications ciblées et une prolongation de sa période d’application.</w:t>
      </w:r>
    </w:p>
    <w:p w14:paraId="4BB48DE3" w14:textId="29CA401F" w:rsidR="00B348DA" w:rsidRPr="0012174E" w:rsidRDefault="00524784" w:rsidP="0012174E">
      <w:pPr>
        <w:spacing w:after="120"/>
        <w:rPr>
          <w:noProof/>
        </w:rPr>
      </w:pPr>
      <w:r>
        <w:rPr>
          <w:noProof/>
        </w:rPr>
        <w:t>Le champ d’application du règlement couvre sept produits de base: les bovins, le cacao, le café, l’huile de palme, le soja, le bois et le caoutchouc. Des recherches</w:t>
      </w:r>
      <w:r>
        <w:rPr>
          <w:rStyle w:val="FootnoteReference"/>
          <w:noProof/>
        </w:rPr>
        <w:footnoteReference w:id="14"/>
      </w:r>
      <w:r>
        <w:rPr>
          <w:noProof/>
        </w:rPr>
        <w:t xml:space="preserve"> indiquent que ces sept produits de base représentaient plus de 4 millions d’hectares de déforestation dans le monde chaque année entre 2015 et 2020, ce qui représente environ 70 % de la déforestation due à l’agriculture (figure 1).</w:t>
      </w:r>
    </w:p>
    <w:p w14:paraId="0B77F9B4" w14:textId="21CB411E" w:rsidR="00FE1AE5" w:rsidRPr="0012174E" w:rsidRDefault="00FE1AE5" w:rsidP="001B562A">
      <w:pPr>
        <w:pStyle w:val="Caption"/>
        <w:keepNext/>
        <w:rPr>
          <w:noProof/>
          <w:sz w:val="24"/>
          <w:szCs w:val="24"/>
        </w:rPr>
      </w:pPr>
      <w:r>
        <w:rPr>
          <w:noProof/>
          <w:sz w:val="24"/>
        </w:rPr>
        <w:t xml:space="preserve">Figure 1: Déforestation mondiale, en milliers d’hectares par an, due aux sept produits de base relevant du champ d’application du règlement entre 2015 et 2020 (Singh &amp; Persson, 2026). </w:t>
      </w:r>
    </w:p>
    <w:p w14:paraId="531036B1" w14:textId="129BE026" w:rsidR="000A0446" w:rsidRPr="0012174E" w:rsidRDefault="007E30F6" w:rsidP="001B562A">
      <w:pPr>
        <w:rPr>
          <w:noProof/>
          <w:szCs w:val="24"/>
        </w:rPr>
      </w:pPr>
      <w:r>
        <w:rPr>
          <w:noProof/>
          <w:lang w:val="en-GB" w:eastAsia="en-GB"/>
        </w:rPr>
        <mc:AlternateContent>
          <mc:Choice Requires="cx1">
            <w:drawing>
              <wp:inline distT="0" distB="0" distL="0" distR="0" wp14:anchorId="00F2DDA3" wp14:editId="6ADD5886">
                <wp:extent cx="5446643" cy="2655735"/>
                <wp:effectExtent l="0" t="0" r="1905" b="11430"/>
                <wp:docPr id="1849479790" name="Chart 2"/>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21"/>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c="http://schemas.openxmlformats.org/drawingml/2006/chart" xmlns:pic="http://schemas.openxmlformats.org/drawingml/2006/picture" xmlns:a="http://schemas.openxmlformats.org/drawingml/2006/main">
            <w:drawing>
              <wp:inline distT="0" distB="0" distL="0" distR="0" wp14:anchorId="00F2DDA3" wp14:editId="6ADD5886">
                <wp:extent cx="5446643" cy="2655735"/>
                <wp:effectExtent l="0" t="0" r="1905" b="11430"/>
                <wp:docPr id="1849479790" name="Chart 2"/>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849479790" name="Chart 2"/>
                        <pic:cNvPicPr>
                          <a:picLocks noGrp="1" noRot="1" noChangeAspect="1" noMove="1" noResize="1" noEditPoints="1" noAdjustHandles="1" noChangeArrowheads="1" noChangeShapeType="1"/>
                        </pic:cNvPicPr>
                      </pic:nvPicPr>
                      <pic:blipFill>
                        <a:blip r:embed="rId22"/>
                        <a:stretch>
                          <a:fillRect/>
                        </a:stretch>
                      </pic:blipFill>
                      <pic:spPr>
                        <a:xfrm>
                          <a:off x="0" y="0"/>
                          <a:ext cx="5446395" cy="2655570"/>
                        </a:xfrm>
                        <a:prstGeom prst="rect">
                          <a:avLst/>
                        </a:prstGeom>
                      </pic:spPr>
                    </pic:pic>
                  </a:graphicData>
                </a:graphic>
              </wp:inline>
            </w:drawing>
          </mc:Fallback>
        </mc:AlternateContent>
      </w:r>
    </w:p>
    <w:p w14:paraId="13193784" w14:textId="29C0A651" w:rsidR="00B348DA" w:rsidRPr="0012174E" w:rsidRDefault="00353C14" w:rsidP="001B562A">
      <w:pPr>
        <w:rPr>
          <w:b/>
          <w:bCs/>
          <w:noProof/>
          <w:szCs w:val="24"/>
        </w:rPr>
      </w:pPr>
      <w:r>
        <w:rPr>
          <w:noProof/>
        </w:rPr>
        <w:t xml:space="preserve"> </w:t>
      </w:r>
      <w:r>
        <w:rPr>
          <w:noProof/>
        </w:rPr>
        <w:cr/>
      </w:r>
      <w:r>
        <w:rPr>
          <w:noProof/>
        </w:rPr>
        <w:br/>
      </w:r>
      <w:r>
        <w:rPr>
          <w:b/>
          <w:noProof/>
        </w:rPr>
        <w:t xml:space="preserve">1.2. Tendances et évolutions récentes </w:t>
      </w:r>
    </w:p>
    <w:p w14:paraId="263B40C5" w14:textId="46ED69E4" w:rsidR="00B348DA" w:rsidRPr="0012174E" w:rsidRDefault="00005C75" w:rsidP="0012174E">
      <w:pPr>
        <w:spacing w:after="120"/>
        <w:rPr>
          <w:noProof/>
        </w:rPr>
      </w:pPr>
      <w:r>
        <w:rPr>
          <w:b/>
          <w:noProof/>
        </w:rPr>
        <w:t>Des pays du monde entier se préparent déjà à la mise en œuvre du règlement de l’UE sur la déforestation</w:t>
      </w:r>
      <w:r>
        <w:rPr>
          <w:noProof/>
        </w:rPr>
        <w:t>, souvent en l’utilisant comme catalyseur pour renforcer les systèmes de traçabilité et les initiatives en matière de durabilité tout au long des chaînes d’approvisionnement en produits de base et pour améliorer la surveillance et la gouvernance des forêts et de l’agriculture. Ces effets positifs ont été documentés dans des recherches récentes</w:t>
      </w:r>
      <w:r>
        <w:rPr>
          <w:rStyle w:val="FootnoteReference"/>
          <w:noProof/>
          <w:szCs w:val="24"/>
        </w:rPr>
        <w:footnoteReference w:id="15"/>
      </w:r>
      <w:r>
        <w:rPr>
          <w:noProof/>
        </w:rPr>
        <w:t>, démontrant des synergies croissantes entre les initiatives des pouvoirs publics et du secteur privé dans le monde entier. Par exemple, un rapport de Forest Trends indique qu’en février 2026, au moins 25 pays producteurs mettaient en œuvre plus de 60 initiatives gouvernementales liées au respect du règlement, dont beaucoup abordent des questions de gouvernance plus larges telles que le régime foncier, la traçabilité et la clarté juridique au-delà des chaînes d’approvisionnement individuelles</w:t>
      </w:r>
      <w:r>
        <w:rPr>
          <w:rStyle w:val="FootnoteReference"/>
          <w:noProof/>
          <w:szCs w:val="24"/>
        </w:rPr>
        <w:footnoteReference w:id="16"/>
      </w:r>
      <w:r>
        <w:rPr>
          <w:noProof/>
        </w:rPr>
        <w:t>.</w:t>
      </w:r>
    </w:p>
    <w:p w14:paraId="497380C5" w14:textId="63F66580" w:rsidR="00B348DA" w:rsidRPr="0012174E" w:rsidRDefault="00434127" w:rsidP="0012174E">
      <w:pPr>
        <w:spacing w:after="120"/>
        <w:rPr>
          <w:rFonts w:eastAsia="Arial"/>
          <w:noProof/>
        </w:rPr>
      </w:pPr>
      <w:r>
        <w:rPr>
          <w:noProof/>
        </w:rPr>
        <w:t>Une part substantielle de ces efforts a été facilitée par le financement de l’UE et des États membres au moyen d’un soutien technique et de programmes</w:t>
      </w:r>
      <w:r>
        <w:rPr>
          <w:rStyle w:val="FootnoteReference"/>
          <w:noProof/>
        </w:rPr>
        <w:footnoteReference w:id="17"/>
      </w:r>
      <w:r>
        <w:rPr>
          <w:noProof/>
        </w:rPr>
        <w:t xml:space="preserve"> donnant aux petits exploitants les moyens d’agir, encourageant la préservation des forêts et renforçant les capacités locales en faveur d’une utilisation durable des terres et de l’agriculture ainsi que de la création d’emplois. </w:t>
      </w:r>
    </w:p>
    <w:p w14:paraId="239A1429" w14:textId="3FF15D66" w:rsidR="00515478" w:rsidRDefault="00005C75" w:rsidP="0012174E">
      <w:pPr>
        <w:spacing w:after="120"/>
        <w:rPr>
          <w:noProof/>
          <w:szCs w:val="24"/>
        </w:rPr>
      </w:pPr>
      <w:r>
        <w:rPr>
          <w:noProof/>
        </w:rPr>
        <w:t xml:space="preserve">L’expérience tirée des programmes et initiatives en cours met en évidence trois grandes tendances dans les études de cas en Afrique, en Asie et en Amérique latine: </w:t>
      </w:r>
    </w:p>
    <w:p w14:paraId="46B5943A" w14:textId="6EAF4E79" w:rsidR="00515478" w:rsidRPr="00515478" w:rsidRDefault="00816527" w:rsidP="000153CA">
      <w:pPr>
        <w:pStyle w:val="ListParagraph"/>
        <w:numPr>
          <w:ilvl w:val="0"/>
          <w:numId w:val="76"/>
        </w:numPr>
        <w:spacing w:after="120"/>
        <w:rPr>
          <w:noProof/>
          <w:szCs w:val="24"/>
        </w:rPr>
      </w:pPr>
      <w:r>
        <w:rPr>
          <w:noProof/>
        </w:rPr>
        <w:t xml:space="preserve">le développement rapide et l’amélioration continue de la traçabilité des chaînes d’approvisionnement et des systèmes de géolocalisation, </w:t>
      </w:r>
    </w:p>
    <w:p w14:paraId="00715AF0" w14:textId="56625A7D" w:rsidR="00515478" w:rsidRPr="00515478" w:rsidRDefault="00816527" w:rsidP="000153CA">
      <w:pPr>
        <w:pStyle w:val="ListParagraph"/>
        <w:numPr>
          <w:ilvl w:val="0"/>
          <w:numId w:val="76"/>
        </w:numPr>
        <w:spacing w:after="120"/>
        <w:rPr>
          <w:noProof/>
          <w:szCs w:val="24"/>
        </w:rPr>
      </w:pPr>
      <w:r>
        <w:rPr>
          <w:noProof/>
        </w:rPr>
        <w:t xml:space="preserve">le renforcement des cadres nationaux de données et de certification, et </w:t>
      </w:r>
    </w:p>
    <w:p w14:paraId="1641638A" w14:textId="163641DB" w:rsidR="00816527" w:rsidRPr="00515478" w:rsidRDefault="00816527" w:rsidP="000153CA">
      <w:pPr>
        <w:pStyle w:val="ListParagraph"/>
        <w:numPr>
          <w:ilvl w:val="0"/>
          <w:numId w:val="76"/>
        </w:numPr>
        <w:spacing w:after="120"/>
        <w:rPr>
          <w:noProof/>
          <w:szCs w:val="24"/>
        </w:rPr>
      </w:pPr>
      <w:r>
        <w:rPr>
          <w:noProof/>
        </w:rPr>
        <w:t>l’émergence de systèmes numériques innovants.</w:t>
      </w:r>
    </w:p>
    <w:p w14:paraId="6EC14FF0" w14:textId="1E39237F" w:rsidR="00090C72" w:rsidRDefault="00581F5B" w:rsidP="0012174E">
      <w:pPr>
        <w:spacing w:after="120"/>
        <w:rPr>
          <w:rFonts w:eastAsia="Arial"/>
          <w:noProof/>
        </w:rPr>
      </w:pPr>
      <w:r>
        <w:rPr>
          <w:noProof/>
        </w:rPr>
        <w:t xml:space="preserve">Par exemple, un système numérique de traçabilité du café mis en place en Éthiopie enregistre la chaîne d’approvisionnement de l’exploitation à l’exportation et capture des données géospatiales au moyen d’applications mobiles afin de vérifier que le café est bien «zéro déforestation». De même, le Ghana a déployé le </w:t>
      </w:r>
      <w:r>
        <w:rPr>
          <w:i/>
          <w:noProof/>
        </w:rPr>
        <w:t>système ghanéen de traçabilité du cacao</w:t>
      </w:r>
      <w:r>
        <w:rPr>
          <w:noProof/>
        </w:rPr>
        <w:t>, cartographiant des milliers d’exploitations et liant l’enregistrement des agriculteurs aux données d'exportation, ce qui permet de présenter des rapports de diligence raisonnée à l’intention des acheteurs. Le Kenya utilise également des technologies de télédétection pour préparer la mise en œuvre du règlement</w:t>
      </w:r>
      <w:r>
        <w:rPr>
          <w:rStyle w:val="FootnoteReference"/>
          <w:rFonts w:eastAsia="Arial"/>
          <w:noProof/>
        </w:rPr>
        <w:footnoteReference w:id="18"/>
      </w:r>
      <w:r>
        <w:rPr>
          <w:noProof/>
        </w:rPr>
        <w:t>. Des cartes nationales très précises d’utilisation des sols ont été élaborées en Côte d’Ivoire, en étroite coordination avec le Centre commun de recherche (JRC) de la Commission. Des plateformes numériques innovantes, telles que la plateforme argentine VISEC, permettent la traçabilité des exportations de soja. Le système gouvernemental novateur brésilien «Selo Verde» intègre des données environnementales et des registres agricoles pour contrôler le respect de la législation forestière. Le Honduras a déjà expédié du café entièrement traçable vers l’UE au moyen d’une infrastructure numérique ouverte qui inclut les petits exploitants agricoles, ce qui démontre le potentiel de ces systèmes pour soutenir des chaînes d’approvisionnement «zéro déforestation». La Thaïlande a mis en place la plateforme de traçabilité EUDR THAI, un système de traçabilité qui fonctionne comme une base de données centrale unique pour les intrants liés à la déforestation et à la légalité, pour l’ensemble des sept produits de base. En Malaisie, les normes nationales de durabilité pour l’huile de palme, le caoutchouc et le bois ont été mises à niveau et alignées sur les exigences d’information du règlement. De même, l’Indonésie et la Malaisie adaptent leurs normes nationales de durabilité et mettent au point des systèmes de traçabilité intégrés</w:t>
      </w:r>
      <w:r>
        <w:rPr>
          <w:rStyle w:val="FootnoteReference"/>
          <w:rFonts w:eastAsia="Arial"/>
          <w:noProof/>
        </w:rPr>
        <w:footnoteReference w:id="19"/>
      </w:r>
      <w:r>
        <w:rPr>
          <w:noProof/>
        </w:rPr>
        <w:t xml:space="preserve">.  </w:t>
      </w:r>
    </w:p>
    <w:p w14:paraId="7966BC12" w14:textId="09C522B1" w:rsidR="0014465B" w:rsidRDefault="00373A34" w:rsidP="0012174E">
      <w:pPr>
        <w:spacing w:after="120"/>
        <w:rPr>
          <w:rFonts w:eastAsia="Arial"/>
          <w:noProof/>
        </w:rPr>
      </w:pPr>
      <w:r>
        <w:rPr>
          <w:noProof/>
        </w:rPr>
        <w:t>L’UE reste déterminée à mettre en œuvre le règlement par la collaboration, la transparence et un dialogue ouvert avec ses partenaires commerciaux, y compris au moyen d’accords commerciaux, de plateformes connexes et par l’intermédiaire de l’Organisation mondiale du commerce. Les mesures de simplification décrites dans le présent rapport expliquent les règles applicables et fournissent des éclaircissements aux pays tiers exportant vers l’UE. La Commission poursuivra ses actions de sensibilisation et aidera les pays tiers à relever les défis liés à la garantie de chaînes d’approvisionnement «zéro déforestation».</w:t>
      </w:r>
    </w:p>
    <w:p w14:paraId="03D0E6FD" w14:textId="4C5DC3CD" w:rsidR="003B3780" w:rsidRPr="00637B48" w:rsidRDefault="003B3780" w:rsidP="00637B48">
      <w:pPr>
        <w:rPr>
          <w:noProof/>
        </w:rPr>
      </w:pPr>
      <w:bookmarkStart w:id="2" w:name="_Hlk227673479"/>
      <w:r>
        <w:rPr>
          <w:noProof/>
        </w:rPr>
        <w:t>Les États membres de l’UE réalisent également des progrès constants dans la mise en œuvre du règlement, y compris l’adoption de lois nationales mettant en œuvre le règlement. Les autorités compétentes des États membres dialoguent activement avec les parties prenantes nationales dans le cadre de séminaires et de campagnes d’information spécifiques, ainsi qu’en adaptant et en élargissant leur infrastructure informatique pour favoriser le respect des règles. Les États membres, soutenus par la Commission, mettent également l’accent sur une application harmonisée. Par exemple, dans le cadre de l’exercice de préparation au règlement financé par l’UE, les États membres ont mené, en coopération avec des entreprises sélectionnées dans l’ensemble des secteurs du règlement, des inspections volontaires de conformité de plusieurs mois (communément appelées «simulations»). </w:t>
      </w:r>
      <w:r>
        <w:rPr>
          <w:rStyle w:val="FootnoteReference"/>
          <w:noProof/>
        </w:rPr>
        <w:footnoteReference w:id="20"/>
      </w:r>
      <w:r>
        <w:rPr>
          <w:noProof/>
        </w:rPr>
        <w:t xml:space="preserve"> La Commission a également organisé fin novembre 2025, dans le cadre de son programme d’assistance technique et d’échange d’informations, l’atelier multinational phare sur la mise en œuvre et l’application du règlement de l’UE sur la déforestation, au cours duquel les États membres ont partagé des informations, des bonnes pratiques et des enseignements tirés. </w:t>
      </w:r>
    </w:p>
    <w:bookmarkEnd w:id="2"/>
    <w:p w14:paraId="0992CA11" w14:textId="1E7B7175" w:rsidR="003B3A98" w:rsidRDefault="121F5611" w:rsidP="0012174E">
      <w:pPr>
        <w:spacing w:after="120"/>
        <w:rPr>
          <w:rFonts w:eastAsia="Calibri"/>
          <w:noProof/>
        </w:rPr>
      </w:pPr>
      <w:r>
        <w:rPr>
          <w:b/>
          <w:noProof/>
        </w:rPr>
        <w:t>Des progrès significatifs ont également été accomplis dans la cartographie de la couverture forestière mondiale et de l’occupation des sols au moyen d’outils de télédétection</w:t>
      </w:r>
      <w:r>
        <w:rPr>
          <w:noProof/>
        </w:rPr>
        <w:t>. Une nouvelle couche forestière mondiale a été mise au point par le JRC dans le cadre des travaux de la Commission sur l’Observatoire de l’UE sur la déforestation et la dégradation des forêts, afin de soutenir les évaluations des risques au titre du règlement. La carte de la couverture forestière mondiale pour l’année 2020 fournit une représentation harmonisée et cohérente au niveau mondial des forêts à une résolution spatiale de 10 m, répondant à la définition du terme forêt énoncée dans le règlement</w:t>
      </w:r>
      <w:r>
        <w:rPr>
          <w:rStyle w:val="FootnoteReference"/>
          <w:rFonts w:eastAsia="Calibri"/>
          <w:noProof/>
        </w:rPr>
        <w:footnoteReference w:id="21"/>
      </w:r>
      <w:r>
        <w:rPr>
          <w:noProof/>
        </w:rPr>
        <w:t>. Elle a été créée en intégrant de multiples ensembles de données satellitaires</w:t>
      </w:r>
      <w:r>
        <w:rPr>
          <w:rStyle w:val="FootnoteReference"/>
          <w:rFonts w:eastAsia="Calibri"/>
          <w:noProof/>
        </w:rPr>
        <w:footnoteReference w:id="22"/>
      </w:r>
      <w:r>
        <w:rPr>
          <w:noProof/>
        </w:rPr>
        <w:t>. La carte est mise à jour en permanence à mesure que de nouvelles données et les retours d’information des utilisateurs deviennent disponibles, ce qui améliore la précision et la représentation des forêts dans le monde entier. Le développement de nouveaux outils commerciaux d’information géospatiale dans le secteur privé connaît également un essor notable. La Commission présente et facilite régulièrement l’échange de bonnes pratiques entre les États membres de l’UE, les pays tiers et les parties prenantes privées par l’intermédiaire de la plateforme pluripartite du groupe d’experts sur la protection et la restauration des forêts de la planète (voir chapitre 2.1 pour de plus amples informations).</w:t>
      </w:r>
    </w:p>
    <w:p w14:paraId="149A6904" w14:textId="7B161F2D" w:rsidR="00E63F32" w:rsidRPr="0012174E" w:rsidRDefault="00E63F32" w:rsidP="0012174E">
      <w:pPr>
        <w:spacing w:after="120"/>
        <w:rPr>
          <w:b/>
          <w:bCs/>
          <w:noProof/>
          <w:szCs w:val="24"/>
        </w:rPr>
      </w:pPr>
      <w:r>
        <w:rPr>
          <w:b/>
          <w:noProof/>
        </w:rPr>
        <w:t xml:space="preserve">1.3. Contexte des mesures de simplification du règlement </w:t>
      </w:r>
    </w:p>
    <w:p w14:paraId="4E4E9A85" w14:textId="530EE200" w:rsidR="00335312" w:rsidRPr="0012174E" w:rsidRDefault="00295E6F" w:rsidP="0012174E">
      <w:pPr>
        <w:spacing w:after="120"/>
        <w:rPr>
          <w:noProof/>
          <w:szCs w:val="24"/>
        </w:rPr>
      </w:pPr>
      <w:r>
        <w:rPr>
          <w:noProof/>
        </w:rPr>
        <w:t xml:space="preserve">Les deux révisions du texte juridique du règlement ont été entamées en réponse aux observations formulées par diverses parties prenantes afin de laisser plus de temps à tous les pays et à toutes les parties prenantes pour sa mise en œuvre et de garantir des simplifications significatives. </w:t>
      </w:r>
    </w:p>
    <w:p w14:paraId="35AC79C1" w14:textId="442D7AB2" w:rsidR="00951A2E" w:rsidRPr="0012174E" w:rsidRDefault="7E89858C" w:rsidP="0012174E">
      <w:pPr>
        <w:spacing w:after="120"/>
        <w:rPr>
          <w:noProof/>
        </w:rPr>
      </w:pPr>
      <w:r>
        <w:rPr>
          <w:noProof/>
        </w:rPr>
        <w:t>En décembre 2024, sur la base d’une proposition de la Commission, le Parlement européen et le Conseil ont reporté d’une année l’entrée en vigueur. En décembre 2025, ils ont adopté une modification supplémentaire du règlement</w:t>
      </w:r>
      <w:r>
        <w:rPr>
          <w:rStyle w:val="FootnoteReference"/>
          <w:noProof/>
        </w:rPr>
        <w:footnoteReference w:id="23"/>
      </w:r>
      <w:r>
        <w:rPr>
          <w:noProof/>
        </w:rPr>
        <w:t>, s’appuyant sur une deuxième proposition de la Commission</w:t>
      </w:r>
      <w:r>
        <w:rPr>
          <w:rStyle w:val="FootnoteReference"/>
          <w:noProof/>
        </w:rPr>
        <w:footnoteReference w:id="24"/>
      </w:r>
      <w:r>
        <w:rPr>
          <w:noProof/>
        </w:rPr>
        <w:t xml:space="preserve">, reportant d’une année supplémentaire l’entrée en vigueur (décembre 2026) et introduisant certaines modifications sur le fond, afin de simplifier la mise en œuvre pratique et de réduire la quantité requise de données à soumettre. </w:t>
      </w:r>
    </w:p>
    <w:p w14:paraId="4F13F8C6" w14:textId="227DD79B" w:rsidR="00951A2E" w:rsidRPr="0012174E" w:rsidRDefault="00DC6727" w:rsidP="0012174E">
      <w:pPr>
        <w:spacing w:after="120"/>
        <w:rPr>
          <w:noProof/>
        </w:rPr>
      </w:pPr>
      <w:r>
        <w:rPr>
          <w:noProof/>
        </w:rPr>
        <w:t>Dans le règlement (UE) 2025/2650, le Conseil et le Parlement européen ont également inclus une clause (article 34, paragraphe 1 </w:t>
      </w:r>
      <w:r>
        <w:rPr>
          <w:i/>
          <w:noProof/>
        </w:rPr>
        <w:t>bis</w:t>
      </w:r>
      <w:r>
        <w:rPr>
          <w:noProof/>
        </w:rPr>
        <w:t>) imposant à la Commission qu’elle réalise un «</w:t>
      </w:r>
      <w:r>
        <w:rPr>
          <w:i/>
          <w:noProof/>
        </w:rPr>
        <w:t>examen en vue de simplifier le présent règlement et, sur cette base, présente un rapport au Parlement européen et au Conseil accompagné, le cas échéant, d’une proposition législative</w:t>
      </w:r>
      <w:r>
        <w:rPr>
          <w:noProof/>
        </w:rPr>
        <w:t xml:space="preserve">» à soumettre au plus tard le 30 avril 2026. </w:t>
      </w:r>
    </w:p>
    <w:p w14:paraId="2EF56AB7" w14:textId="45BA4F73" w:rsidR="00940236" w:rsidRPr="0012174E" w:rsidRDefault="004D1E35" w:rsidP="0012174E">
      <w:pPr>
        <w:spacing w:after="120"/>
        <w:rPr>
          <w:noProof/>
          <w:szCs w:val="24"/>
        </w:rPr>
      </w:pPr>
      <w:r>
        <w:rPr>
          <w:noProof/>
        </w:rPr>
        <w:t>Le considérant 14 du règlement modificatif indique en outre que «</w:t>
      </w:r>
      <w:r>
        <w:rPr>
          <w:i/>
          <w:noProof/>
        </w:rPr>
        <w:t>le rapport devrait évaluer la charge administrative et l’incidence dudit règlement, en particulier pour les micro ou les petits opérateurs. En outre, dans ce rapport, la Commission devrait indiquer les moyens possibles de remédier aux problèmes recensés, y compris au moyen de lignes directrices techniques, d’améliorations apportées au système informatique, ainsi que d’actes délégués ou d’exécution.»</w:t>
      </w:r>
    </w:p>
    <w:p w14:paraId="22E36468" w14:textId="1786CA1E" w:rsidR="0003409D" w:rsidRPr="00E84250" w:rsidRDefault="00B3090E" w:rsidP="0012174E">
      <w:pPr>
        <w:spacing w:after="120"/>
        <w:rPr>
          <w:noProof/>
        </w:rPr>
      </w:pPr>
      <w:r>
        <w:rPr>
          <w:noProof/>
        </w:rPr>
        <w:t>Comme indiqué ci-dessus, le rapport décrit les mesures de simplification introduites au titre du règlement depuis son entrée en vigueur en juin 2023 et fournit une évaluation de la charge administrative qui en résulte et de l’incidence globale du règlement, en particulier pour les micro ou les petits opérateurs. Il évalue également dans quelle mesure ces simplifications ont contribué à réduire la charge administrative pesant sur les opérateurs et les commerçants. De plus, le rapport présente d’autres mesures de facilitation proposées par la Commission à la suite de la révision du règlement de décembre 2025, notamment la mise à jour des FAQ et des documents d’orientation, le projet de proposition d’acte délégué sur la définition des produits, ainsi que les évolutions relatives au système d’information, visant à garantir l’application effective du règlement d’ici la fin de 2026.</w:t>
      </w:r>
    </w:p>
    <w:p w14:paraId="2F6211AC" w14:textId="0C4F4677" w:rsidR="006B2C2F" w:rsidRDefault="5B4A756F">
      <w:pPr>
        <w:spacing w:after="0"/>
        <w:jc w:val="left"/>
        <w:rPr>
          <w:b/>
          <w:bCs/>
          <w:noProof/>
          <w:sz w:val="28"/>
          <w:szCs w:val="28"/>
        </w:rPr>
      </w:pPr>
      <w:r>
        <w:rPr>
          <w:noProof/>
        </w:rPr>
        <w:t>Au chapitre 2, le rapport présente les mesures de simplification déjà mises en œuvre depuis l’entrée en vigueur. Le chapitre 3 présente les retours d’information, les contributions et la base factuelle des parties prenantes qui sous-tendent les nouvelles mesures de simplification introduites dans le cadre de l’actuel train de mesures de simplification. Ces mesures sont résumées au chapitre 4, tandis que le chapitre 5 présente les incidences quantitatives estimées du précédent et du nouveau train de mesures de simplification.</w:t>
      </w:r>
    </w:p>
    <w:p w14:paraId="665E8650" w14:textId="77777777" w:rsidR="009024AA" w:rsidRDefault="009024AA">
      <w:pPr>
        <w:spacing w:after="0"/>
        <w:jc w:val="left"/>
        <w:rPr>
          <w:b/>
          <w:bCs/>
          <w:noProof/>
          <w:sz w:val="28"/>
          <w:szCs w:val="28"/>
        </w:rPr>
      </w:pPr>
    </w:p>
    <w:p w14:paraId="7AC7DBB5" w14:textId="2683F531" w:rsidR="00E63F32" w:rsidRPr="00E84250" w:rsidRDefault="00E63F32" w:rsidP="0012174E">
      <w:pPr>
        <w:spacing w:after="120"/>
        <w:rPr>
          <w:b/>
          <w:bCs/>
          <w:noProof/>
          <w:sz w:val="28"/>
          <w:szCs w:val="28"/>
        </w:rPr>
      </w:pPr>
      <w:r>
        <w:rPr>
          <w:b/>
          <w:noProof/>
          <w:sz w:val="28"/>
        </w:rPr>
        <w:t>2. Mesures de simplification mises en œuvre jusqu’à la fin de 2025</w:t>
      </w:r>
    </w:p>
    <w:p w14:paraId="18527E9F" w14:textId="5F57F7B1" w:rsidR="00604D4B" w:rsidRPr="00D21269" w:rsidRDefault="00604D4B" w:rsidP="0012174E">
      <w:pPr>
        <w:spacing w:after="120"/>
        <w:rPr>
          <w:b/>
          <w:bCs/>
          <w:noProof/>
          <w:szCs w:val="24"/>
        </w:rPr>
      </w:pPr>
      <w:r>
        <w:rPr>
          <w:b/>
          <w:noProof/>
        </w:rPr>
        <w:t xml:space="preserve">2.1. Participation des parties prenantes </w:t>
      </w:r>
    </w:p>
    <w:p w14:paraId="2EF30435" w14:textId="68E3708A" w:rsidR="00CA55B4" w:rsidRPr="0012174E" w:rsidRDefault="00CA55B4" w:rsidP="0012174E">
      <w:pPr>
        <w:spacing w:after="120"/>
        <w:rPr>
          <w:noProof/>
          <w:szCs w:val="24"/>
        </w:rPr>
      </w:pPr>
      <w:r>
        <w:rPr>
          <w:noProof/>
        </w:rPr>
        <w:t>Depuis l’entrée en vigueur du règlement en juin 2023, la Commission a adopté une série de mesures visant à soutenir sa mise en œuvre, sur la base des contributions et des éléments probants recueillis auprès des parties prenantes et des États membres.</w:t>
      </w:r>
    </w:p>
    <w:p w14:paraId="398A5655" w14:textId="47C4F7F4" w:rsidR="0003409D" w:rsidRPr="0012174E" w:rsidRDefault="546BFE6D" w:rsidP="44DF46F2">
      <w:pPr>
        <w:spacing w:after="120"/>
        <w:rPr>
          <w:noProof/>
        </w:rPr>
      </w:pPr>
      <w:r>
        <w:rPr>
          <w:noProof/>
        </w:rPr>
        <w:t xml:space="preserve">Tout au long du processus, la Commission a recueilli les retours d’information des parties prenantes au moyen de consultations, d’ateliers, d’études, de réunions bilatérales et de discussions au sein de plateformes d’experts. </w:t>
      </w:r>
    </w:p>
    <w:p w14:paraId="7F6CAE8B" w14:textId="46CF448F" w:rsidR="00A813AE" w:rsidRPr="0012174E" w:rsidDel="002C099C" w:rsidRDefault="0094652B" w:rsidP="0012174E">
      <w:pPr>
        <w:spacing w:after="120"/>
        <w:rPr>
          <w:noProof/>
        </w:rPr>
      </w:pPr>
      <w:r>
        <w:rPr>
          <w:noProof/>
        </w:rPr>
        <w:t xml:space="preserve">En 2024 et 2025, la direction générale de l’environnement a organisé environ 700 réunions bilatérales avec les parties prenantes afin de recueillir des contributions et de répondre à des questions. La moitié de ces réunions ont porté sur des contacts avec des acteurs du secteur privé, notamment des associations professionnelles, des entreprises, des ONG, ainsi que des prestataires de services informatiques et des instituts de recherche. La plupart des autres réunions ont eu lieu avec des représentants de pays tiers (fonctionnaires, entreprises et associations professionnelles, acteurs de la société civile, etc.) à Bruxelles, lors de réunions dans les pays partenaires et en ligne. </w:t>
      </w:r>
    </w:p>
    <w:p w14:paraId="66DE19F5" w14:textId="349B4AC0" w:rsidR="00D97FB2" w:rsidRPr="0012174E" w:rsidRDefault="00B3090E" w:rsidP="0012174E">
      <w:pPr>
        <w:spacing w:after="120"/>
        <w:rPr>
          <w:noProof/>
        </w:rPr>
      </w:pPr>
      <w:r>
        <w:rPr>
          <w:noProof/>
        </w:rPr>
        <w:t>La plateforme pluripartite sur la protection et la restauration des forêts de la planète, un groupe d’experts spécifique de la Commission, est également une source importante de contributions et de retours d’information. La plateforme fournit des orientations et un soutien à la Commission en ce qui concerne la mise en œuvre du règlement, l’élaboration d’actes délégués et d’actes d’exécution et l’application de la législation, des programmes et des politiques de l’UE liés à la protection et à la restauration des forêts de la planète, y compris la lutte contre l’exploitation illégale des forêts. Elle facilite également la coordination avec les États membres et d’autres parties prenantes. La plateforme compte actuellement 89 membres: 62 parties prenantes et 27 États membres. Les pays tiers, les organisations internationales et certaines parties prenantes participent en qualité d’observateurs. Les parties prenantes participantes comprennent des associations professionnelles, des ONG et d’autres parties prenantes, représentant les sept produits de base couverts par le règlement. À l’avenir, la Commission lancera un appel à sélection de nouveaux membres de la plateforme pluripartite en vue de la révision du règlement et de la modification de la définition des produits.</w:t>
      </w:r>
    </w:p>
    <w:p w14:paraId="469E5722" w14:textId="1A951ECD" w:rsidR="00A330E5" w:rsidRPr="0012174E" w:rsidDel="002C099C" w:rsidRDefault="00CA50AA" w:rsidP="0012174E">
      <w:pPr>
        <w:spacing w:after="120"/>
        <w:rPr>
          <w:noProof/>
        </w:rPr>
      </w:pPr>
      <w:r>
        <w:rPr>
          <w:noProof/>
        </w:rPr>
        <w:t xml:space="preserve">Au cours des années 2024 et 2025, quatorze réunions de la plateforme ont été organisées. Les réunions comprenaient généralement à la fois une assemblée générale et une session réservée aux États membres, comprenant des présentations de la Commission et des parties prenantes, ainsi qu’un temps consacré pour permettre aux parties prenantes de poser des questions et de faire part d’éventuelles préoccupations. En règle générale, environ 150 participants assistent à une assemblée générale. Afin de renforcer la représentation sectorielle, 12 associations et ONG supplémentaires ont obtenu le statut d’observateur en 2025. </w:t>
      </w:r>
    </w:p>
    <w:p w14:paraId="37E6372E" w14:textId="6D89B1C5" w:rsidR="01E9BDCB" w:rsidRPr="004E0929" w:rsidRDefault="750AFD3B" w:rsidP="3B6F18AA">
      <w:pPr>
        <w:spacing w:after="120"/>
        <w:rPr>
          <w:noProof/>
        </w:rPr>
      </w:pPr>
      <w:r>
        <w:rPr>
          <w:noProof/>
        </w:rPr>
        <w:t>Outre la plateforme, la Commission contribue activement au groupe de travail informel sur l’application du règlement, un groupe d’experts informel organisé et présidé par les États membres en vue de discuter de questions stratégiques et d’harmoniser l’application de la législation.</w:t>
      </w:r>
    </w:p>
    <w:p w14:paraId="2408C22B" w14:textId="448F6CE9" w:rsidR="008005A2" w:rsidRDefault="7CAC2B50" w:rsidP="0012174E">
      <w:pPr>
        <w:spacing w:after="120"/>
        <w:rPr>
          <w:noProof/>
        </w:rPr>
      </w:pPr>
      <w:r>
        <w:rPr>
          <w:noProof/>
        </w:rPr>
        <w:t xml:space="preserve">Les retours d’information fournis au cours de tous ces échanges ont étayé les travaux de la Commission visant à faciliter la mise en œuvre, l’application harmonisée et le contrôle de l’application du règlement, comme indiqué ci-dessous. </w:t>
      </w:r>
    </w:p>
    <w:p w14:paraId="0C357C6E" w14:textId="31711260" w:rsidR="00DC2A34" w:rsidRDefault="00DC2A34" w:rsidP="0015133F">
      <w:pPr>
        <w:spacing w:after="120"/>
        <w:rPr>
          <w:noProof/>
          <w:szCs w:val="24"/>
        </w:rPr>
      </w:pPr>
      <w:r>
        <w:rPr>
          <w:noProof/>
        </w:rPr>
        <w:t>La Commission continuera d’assurer un dialogue structuré, constructif et inclusif avec toutes les parties prenantes concernées, afin de soutenir la mise en œuvre efficace, cohérente et en temps utile du règlement.</w:t>
      </w:r>
    </w:p>
    <w:p w14:paraId="622E20B9" w14:textId="1B2E4D63" w:rsidR="001A0EBF" w:rsidRPr="0012174E" w:rsidRDefault="0045334E" w:rsidP="0012174E">
      <w:pPr>
        <w:spacing w:after="120"/>
        <w:rPr>
          <w:b/>
          <w:bCs/>
          <w:noProof/>
          <w:szCs w:val="24"/>
        </w:rPr>
      </w:pPr>
      <w:r>
        <w:rPr>
          <w:b/>
          <w:noProof/>
        </w:rPr>
        <w:t xml:space="preserve">2.2. Mesures liées au système d’information </w:t>
      </w:r>
    </w:p>
    <w:p w14:paraId="54DF9984" w14:textId="35DFB3F4" w:rsidR="00382046" w:rsidRPr="0012174E" w:rsidRDefault="00382046" w:rsidP="0012174E">
      <w:pPr>
        <w:spacing w:after="120"/>
        <w:rPr>
          <w:noProof/>
          <w:szCs w:val="24"/>
        </w:rPr>
      </w:pPr>
      <w:r>
        <w:rPr>
          <w:noProof/>
        </w:rPr>
        <w:t xml:space="preserve">Le règlement charge la Commission de mettre en place et de gérer un système d’information conformément à son article 33. Le système d’information est nécessaire pour permettre aux opérateurs économiques de se conformer au règlement et aux autorités compétentes de le faire respecter. Il est donc essentiel de garantir l’opérabilité du système d’information, car il doit traiter toutes les transactions informatiques initiées par les opérateurs économiques relevant du champ d’application du règlement. </w:t>
      </w:r>
    </w:p>
    <w:p w14:paraId="1AAAED4C" w14:textId="52CDD113" w:rsidR="005A13D2" w:rsidRPr="0012174E" w:rsidRDefault="0038082D" w:rsidP="0012174E">
      <w:pPr>
        <w:spacing w:after="120"/>
        <w:rPr>
          <w:noProof/>
          <w:szCs w:val="24"/>
        </w:rPr>
      </w:pPr>
      <w:r>
        <w:rPr>
          <w:noProof/>
        </w:rPr>
        <w:t>À la suite d’échanges avec les parties prenantes et les États membres, en décembre 2024, la Commission a adopté l’acte d’exécution relatif au système d’information</w:t>
      </w:r>
      <w:r>
        <w:rPr>
          <w:rStyle w:val="FootnoteReference"/>
          <w:noProof/>
          <w:szCs w:val="24"/>
          <w:lang w:val="en-IE"/>
        </w:rPr>
        <w:footnoteReference w:id="25"/>
      </w:r>
      <w:r>
        <w:rPr>
          <w:noProof/>
        </w:rPr>
        <w:t xml:space="preserve">, qui établit les règles de son fonctionnement. Le système d’information a été ouvert à l’enregistrement le 6 novembre 2024 et a été lancé le 4 décembre 2024, permettant ainsi aux opérateurs et à leurs mandataires de présenter des déclarations de diligence raisonnée. Un serveur de formation parallèle a également été lancé le même jour, offrant aux parties prenantes la possibilité de se familiariser avec les fonctionnalités du système. </w:t>
      </w:r>
    </w:p>
    <w:p w14:paraId="59ACA182" w14:textId="4168FB2E" w:rsidR="00382046" w:rsidRPr="00553E75" w:rsidRDefault="00676543" w:rsidP="0012174E">
      <w:pPr>
        <w:spacing w:after="120"/>
        <w:rPr>
          <w:noProof/>
          <w:szCs w:val="24"/>
        </w:rPr>
      </w:pPr>
      <w:r>
        <w:rPr>
          <w:noProof/>
        </w:rPr>
        <w:t>Depuis, la Commission a soutenu les parties prenantes au moyen d’une documentation explicative pertinente sur l’utilisation du système, y compris des guides de l’utilisateur et des vidéos de formation disponibles en se rendant sur le site internet Europa dédié</w:t>
      </w:r>
      <w:r>
        <w:rPr>
          <w:rStyle w:val="FootnoteReference"/>
          <w:noProof/>
          <w:szCs w:val="24"/>
        </w:rPr>
        <w:footnoteReference w:id="26"/>
      </w:r>
      <w:r>
        <w:rPr>
          <w:noProof/>
        </w:rPr>
        <w:t xml:space="preserve">. Depuis leur lancement en octobre 2024, les formations en ligne ont touché plus de 33 000 parties prenantes au cours de 85 sessions. </w:t>
      </w:r>
    </w:p>
    <w:p w14:paraId="6A3EBE8C" w14:textId="69AE281A" w:rsidR="00AB2D2A" w:rsidRDefault="009E5EB1" w:rsidP="009024AA">
      <w:pPr>
        <w:rPr>
          <w:noProof/>
        </w:rPr>
      </w:pPr>
      <w:r>
        <w:rPr>
          <w:noProof/>
        </w:rPr>
        <w:t>À la demande de l’industrie et des États membres, une interface de programmation d’applications (API) a été mise au point et publiée au cours du deuxième trimestre de 2024. Cette interface a été conçue pour permettre aux entreprises de connecter directement leurs systèmes internes à la plateforme de l’UE au moyen d’une connexion de machine à machine, ce qui permet aux opérateurs de soumettre et de gérer des déclarations de diligence raisonnée en masse plutôt que de saisir manuellement des informations par l’intermédiaire du site internet (interface utilisateur graphique). D’autres fonctions introduites dans le système simplifient les soumissions des parties prenantes, telles que la réutilisation du contenu de données existant, le téléversement de données de géolocalisation sous forme de fichiers, la fourniture d’une carte consultable permettant d’identifier et de confirmer la saisie correcte de géolocalisation et les possibilités de modification ou de retrait des données incorrectes soumises afin de corriger les erreurs.</w:t>
      </w:r>
    </w:p>
    <w:p w14:paraId="433AFD5C" w14:textId="2CD928B9" w:rsidR="00AE4CE5" w:rsidRPr="0012174E" w:rsidRDefault="0045334E" w:rsidP="0012174E">
      <w:pPr>
        <w:spacing w:after="120"/>
        <w:jc w:val="left"/>
        <w:rPr>
          <w:b/>
          <w:bCs/>
          <w:noProof/>
          <w:szCs w:val="24"/>
        </w:rPr>
      </w:pPr>
      <w:r>
        <w:rPr>
          <w:b/>
          <w:noProof/>
        </w:rPr>
        <w:t>2.3. Documents d’orientation et questions fréquemment posées</w:t>
      </w:r>
    </w:p>
    <w:p w14:paraId="29B941FF" w14:textId="3CDAA79C" w:rsidR="008261EF" w:rsidRPr="0012174E" w:rsidRDefault="273CDBBD" w:rsidP="0012174E">
      <w:pPr>
        <w:spacing w:after="120"/>
        <w:rPr>
          <w:b/>
          <w:noProof/>
        </w:rPr>
      </w:pPr>
      <w:r>
        <w:rPr>
          <w:noProof/>
        </w:rPr>
        <w:t xml:space="preserve">Des orientations claires et complètes constituent un pont essentiel entre l’intention législative et la mise en œuvre pratique, en veillant à ce que les entreprises et les administrations publiques comprennent leurs obligations. </w:t>
      </w:r>
    </w:p>
    <w:p w14:paraId="1755B342" w14:textId="2B5CE01E" w:rsidR="008A0863" w:rsidRPr="0012174E" w:rsidRDefault="00D967E1" w:rsidP="44DF46F2">
      <w:pPr>
        <w:spacing w:after="120"/>
        <w:rPr>
          <w:noProof/>
        </w:rPr>
      </w:pPr>
      <w:r>
        <w:rPr>
          <w:noProof/>
        </w:rPr>
        <w:t>À cette fin, et à la suite d’une coopération étroite avec les parties prenantes et les États membres, la Commission a publié, au cours des années 2024 et 2025, deux versions d’un document d’orientation</w:t>
      </w:r>
      <w:r>
        <w:rPr>
          <w:rStyle w:val="FootnoteReference"/>
          <w:noProof/>
        </w:rPr>
        <w:footnoteReference w:id="27"/>
      </w:r>
      <w:r>
        <w:rPr>
          <w:noProof/>
        </w:rPr>
        <w:t xml:space="preserve"> et quatre versions de questions fréquemment posées (FAQ)</w:t>
      </w:r>
      <w:r>
        <w:rPr>
          <w:rStyle w:val="FootnoteReference"/>
          <w:noProof/>
        </w:rPr>
        <w:footnoteReference w:id="28"/>
      </w:r>
      <w:r>
        <w:rPr>
          <w:noProof/>
        </w:rPr>
        <w:t xml:space="preserve"> relatives à la mise en œuvre du règlement. En outre, plusieurs infographies expliquant en détail les scénarios pertinents pour la chaîne d’approvisionnement ont été publiées</w:t>
      </w:r>
      <w:r>
        <w:rPr>
          <w:rStyle w:val="FootnoteReference"/>
          <w:noProof/>
        </w:rPr>
        <w:footnoteReference w:id="29"/>
      </w:r>
      <w:r>
        <w:rPr>
          <w:noProof/>
        </w:rPr>
        <w:t xml:space="preserve">. Ces documents ont apporté des clarifications supplémentaires améliorant la clarté juridique, facilitant une interprétation cohérente et réduisant la charge administrative dans l’ensemble des États membres et des chaînes d’approvisionnement, tout en apportant des simplifications opérationnelles. </w:t>
      </w:r>
    </w:p>
    <w:p w14:paraId="7FABD456" w14:textId="202FD205" w:rsidR="7906886E" w:rsidRPr="0012174E" w:rsidRDefault="20B009F3">
      <w:pPr>
        <w:spacing w:after="120" w:line="259" w:lineRule="auto"/>
        <w:rPr>
          <w:noProof/>
        </w:rPr>
      </w:pPr>
      <w:r>
        <w:rPr>
          <w:noProof/>
        </w:rPr>
        <w:t>Ces orientations et FAQ existantes visaient à fournir des éclaircissements et à promouvoir une approche claire et harmonisée de la mise en œuvre de la législation. Par exemple, les FAQ ont mis en évidence la possibilité de couvrir plusieurs expéditions/lots dans le cadre d’une seule déclaration de diligence raisonnée,</w:t>
      </w:r>
      <w:r>
        <w:rPr>
          <w:i/>
          <w:noProof/>
        </w:rPr>
        <w:t xml:space="preserve"> </w:t>
      </w:r>
      <w:r>
        <w:rPr>
          <w:noProof/>
        </w:rPr>
        <w:t>ainsi que la déclaration dite «excédentaire»,</w:t>
      </w:r>
      <w:r>
        <w:rPr>
          <w:i/>
          <w:noProof/>
        </w:rPr>
        <w:t xml:space="preserve"> </w:t>
      </w:r>
      <w:r>
        <w:rPr>
          <w:noProof/>
        </w:rPr>
        <w:t>qui permet aux opérateurs négociant des produits de base en vrac de déclarer davantage de parcelles que les parcelles spécifiques effectivement utilisées pour la production des produits de base en cause. Ces précisions ont considérablement réduit la complexité logistique et les efforts administratifs. En outre, dans le cas des produits composés,</w:t>
      </w:r>
      <w:r>
        <w:rPr>
          <w:b/>
          <w:noProof/>
        </w:rPr>
        <w:t xml:space="preserve"> </w:t>
      </w:r>
      <w:r>
        <w:rPr>
          <w:noProof/>
        </w:rPr>
        <w:t>il a été précisé que</w:t>
      </w:r>
      <w:r>
        <w:rPr>
          <w:b/>
          <w:noProof/>
        </w:rPr>
        <w:t xml:space="preserve"> </w:t>
      </w:r>
      <w:r>
        <w:rPr>
          <w:noProof/>
        </w:rPr>
        <w:t>l’opérateur</w:t>
      </w:r>
      <w:r>
        <w:rPr>
          <w:b/>
          <w:noProof/>
        </w:rPr>
        <w:t xml:space="preserve"> </w:t>
      </w:r>
      <w:r>
        <w:rPr>
          <w:noProof/>
        </w:rPr>
        <w:t xml:space="preserve">ne doit exercer une diligence raisonnée que sur le principal produit de base jugé pertinent au titre du règlement. </w:t>
      </w:r>
    </w:p>
    <w:p w14:paraId="534167C1" w14:textId="044051D4" w:rsidR="004660F7" w:rsidRDefault="11ADCE23" w:rsidP="0015133F">
      <w:pPr>
        <w:spacing w:after="120"/>
        <w:rPr>
          <w:i/>
          <w:iCs/>
          <w:noProof/>
        </w:rPr>
      </w:pPr>
      <w:r>
        <w:rPr>
          <w:noProof/>
        </w:rPr>
        <w:t xml:space="preserve">Compte tenu des modifications les plus récentes apportées au règlement, certaines parties des orientations et des FAQ (telles que l’interprétation des obligations de «vérification», les procédures simplifiées de réimportation pour les PME ou les clarifications sur la double présentation des déclarations de diligence raisonnée) sont entre-temps devenues obsolètes et ont été supprimées. </w:t>
      </w:r>
    </w:p>
    <w:p w14:paraId="1D332A59" w14:textId="328FEF76" w:rsidR="0014455E" w:rsidRPr="0012174E" w:rsidRDefault="0045334E" w:rsidP="009024AA">
      <w:pPr>
        <w:spacing w:after="0"/>
        <w:jc w:val="left"/>
        <w:rPr>
          <w:b/>
          <w:bCs/>
          <w:noProof/>
          <w:szCs w:val="24"/>
        </w:rPr>
      </w:pPr>
      <w:r>
        <w:rPr>
          <w:b/>
          <w:noProof/>
        </w:rPr>
        <w:t>2.4. Modifications législatives</w:t>
      </w:r>
    </w:p>
    <w:p w14:paraId="62F235CC" w14:textId="6598D6EA" w:rsidR="6F4FD5C3" w:rsidRDefault="6F4FD5C3" w:rsidP="0012174E">
      <w:pPr>
        <w:spacing w:before="120" w:after="120"/>
        <w:rPr>
          <w:noProof/>
          <w:szCs w:val="24"/>
        </w:rPr>
      </w:pPr>
      <w:r>
        <w:rPr>
          <w:noProof/>
        </w:rPr>
        <w:t>Fin 2024, un texte révisé du règlement</w:t>
      </w:r>
      <w:r>
        <w:rPr>
          <w:rStyle w:val="FootnoteReference"/>
          <w:noProof/>
          <w:szCs w:val="24"/>
        </w:rPr>
        <w:footnoteReference w:id="30"/>
      </w:r>
      <w:r>
        <w:rPr>
          <w:noProof/>
        </w:rPr>
        <w:t xml:space="preserve"> a été adopté, qui a accordé une année supplémentaire à tous les acteurs économiques et aux pouvoirs publics pour se préparer à l’entrée en vigueur du règlement.</w:t>
      </w:r>
    </w:p>
    <w:p w14:paraId="3B20309B" w14:textId="57A402C0" w:rsidR="00CD5C15" w:rsidRPr="0012174E" w:rsidRDefault="00CD5C15" w:rsidP="00637B48">
      <w:pPr>
        <w:spacing w:after="120"/>
        <w:rPr>
          <w:noProof/>
          <w:highlight w:val="yellow"/>
        </w:rPr>
      </w:pPr>
      <w:r>
        <w:rPr>
          <w:noProof/>
        </w:rPr>
        <w:t>En mai 2025, l’acte d’exécution établissant une liste de pays classés en fonction du risque de déforestation qui leur est associé a été adopté. En vertu de cet acte, un plus grand nombre de pays sont classés comme «à faible risque» par rapport à ce qui était prévu dans l’analyse d’impact initiale, ce qui permet aux opérateurs s’approvisionnant dans des pays à faible risque de bénéficier d’une diligence raisonnée simplifiée tout en concentrant les efforts des autorités compétentes en matière de contrôle de l’application de la législation sur les zones à haut risque, qui représentent ensemble 95 % de la perte mondiale de forêts</w:t>
      </w:r>
      <w:r>
        <w:rPr>
          <w:rStyle w:val="FootnoteReference"/>
          <w:noProof/>
          <w:lang w:val="en-IE"/>
        </w:rPr>
        <w:footnoteReference w:id="31"/>
      </w:r>
      <w:r>
        <w:rPr>
          <w:noProof/>
        </w:rPr>
        <w:t xml:space="preserve">. </w:t>
      </w:r>
    </w:p>
    <w:p w14:paraId="5D2251A0" w14:textId="3379CBB1" w:rsidR="005C2729" w:rsidRPr="0012174E" w:rsidRDefault="00D22E9A" w:rsidP="0012174E">
      <w:pPr>
        <w:spacing w:after="120"/>
        <w:rPr>
          <w:noProof/>
          <w:szCs w:val="24"/>
        </w:rPr>
      </w:pPr>
      <w:r>
        <w:rPr>
          <w:noProof/>
        </w:rPr>
        <w:t xml:space="preserve">Tout au long de l’année 2025, les prévisions du nombre d’opérations et d’interactions attendues dans le système d’information ont conduit à une réévaluation substantielle de la charge sur le système, indiquant un trafic beaucoup plus élevé que prévu sur le système d’information. Pour faire face à ces risques et éviter une défaillance du système d’information, la Commission a proposé, en octobre 2025, des modifications ciblées visant à réduire la pression exercée sur le système informatique et, dans le même temps, à alléger la charge administrative pesant sur les opérateurs économiques. </w:t>
      </w:r>
    </w:p>
    <w:p w14:paraId="4D0D229F" w14:textId="3226FCBE" w:rsidR="00466EEB" w:rsidRPr="0012174E" w:rsidRDefault="00466EEB" w:rsidP="0012174E">
      <w:pPr>
        <w:spacing w:after="120"/>
        <w:rPr>
          <w:noProof/>
          <w:szCs w:val="24"/>
        </w:rPr>
      </w:pPr>
      <w:r>
        <w:rPr>
          <w:noProof/>
        </w:rPr>
        <w:t>Le 19 décembre 2025, le Parlement européen et le Conseil ont adopté une révision du règlement qui ajoute une période supplémentaire avant l’entrée en vigueur du règlement et introduit certaines modifications de fond. Toutes les entreprises, que ce soit dans l’UE ou ailleurs, ont bénéficié d’une année supplémentaire pour se préparer à l’entrée en vigueur. Plus précisément, le règlement entrera en vigueur le 30 décembre 2026 pour toutes les entreprises, à l’exception de la plupart des micro ou petits opérateurs, pour lesquels il entrera en vigueur le 30 juin 2027. Pour les micro ou petits opérateurs déjà couverts par le règlement de l’UE sur le bois</w:t>
      </w:r>
      <w:r>
        <w:rPr>
          <w:rStyle w:val="FootnoteReference"/>
          <w:noProof/>
          <w:szCs w:val="24"/>
          <w:lang w:val="en-US" w:eastAsia="en-GB"/>
        </w:rPr>
        <w:footnoteReference w:id="32"/>
      </w:r>
      <w:r>
        <w:rPr>
          <w:noProof/>
        </w:rPr>
        <w:t xml:space="preserve">, le règlement entrera en vigueur le 30 décembre 2026. </w:t>
      </w:r>
    </w:p>
    <w:p w14:paraId="09A71EB2" w14:textId="37EFBE20" w:rsidR="005964B7" w:rsidRPr="0012174E" w:rsidRDefault="005964B7" w:rsidP="44DF46F2">
      <w:pPr>
        <w:spacing w:after="120"/>
        <w:rPr>
          <w:noProof/>
        </w:rPr>
      </w:pPr>
      <w:r>
        <w:rPr>
          <w:noProof/>
        </w:rPr>
        <w:t>Dans le texte juridique révisé, le modèle de diligence raisonnée est passé d’un système dans lequel chaque acteur qui met, transforme ou commercialise des produits en cause (à l’exception des PME) devait présenter une déclaration de diligence raisonnée à un système plus simple dans lequel cette responsabilité incombe désormais au premier opérateur qui met un produit en cause sur le marché de l’UE ou qui l’exporte. Les opérateurs et les commerçants en aval ne sont plus tenus de soumettre leur propre déclaration de diligence raisonnée dans le système d’information ni de s’assurer que la diligence raisonnée a été exercée tout au long des chaînes d’approvisionnement. Au lieu de cela, leurs obligations se limitent principalement à l’enregistrement dans le système d’information du règlement (pour les opérateurs qui ne sont pas des PME) et, uniquement dans les cas où ils sont placés juste après l’opérateur dans les chaînes d’approvisionnement, à la collecte des numéros de référence des déclarations de diligence raisonnée reçues.</w:t>
      </w:r>
    </w:p>
    <w:p w14:paraId="088FDE33" w14:textId="47667D12" w:rsidR="0062074D" w:rsidRDefault="11CEE901" w:rsidP="0015133F">
      <w:pPr>
        <w:rPr>
          <w:noProof/>
        </w:rPr>
      </w:pPr>
      <w:r>
        <w:rPr>
          <w:noProof/>
        </w:rPr>
        <w:t>Afin de réduire autant que possible les charges administratives, une nouvelle catégorie de micro ou petits opérateurs primaires a également été introduite. Cette catégorie s’applique aux micro et petits opérateurs primaires établis dans des pays classés comme présentant un risque faible qui, dans le cadre d’une activité commerciale, mettent sur le marché ou exportent des produits en cause qu’ils ont eux-mêmes cultivés, récoltés, obtenus ou élevés sur des parcelles spécifiques. Ces opérateurs, essentiellement des agriculteurs et des sylviculteurs, ne sont plus tenus de présenter des déclarations de diligence raisonnée chaque fois qu’ils mettent un produit sur le marché ou qu’ils l’exportent. Au lieu de cela, ils doivent uniquement présenter une déclaration simplifiée unique et transmettre l’identifiant de déclaration correspondant aux opérateurs ou commerçants en aval.</w:t>
      </w:r>
    </w:p>
    <w:tbl>
      <w:tblPr>
        <w:tblStyle w:val="TableGrid"/>
        <w:tblW w:w="0" w:type="auto"/>
        <w:shd w:val="clear" w:color="auto" w:fill="E8E8E8" w:themeFill="background2"/>
        <w:tblLook w:val="04A0" w:firstRow="1" w:lastRow="0" w:firstColumn="1" w:lastColumn="0" w:noHBand="0" w:noVBand="1"/>
      </w:tblPr>
      <w:tblGrid>
        <w:gridCol w:w="8602"/>
      </w:tblGrid>
      <w:tr w:rsidR="00E53BE8" w14:paraId="7FD8629C" w14:textId="77777777" w:rsidTr="00D21269">
        <w:trPr>
          <w:trHeight w:val="1192"/>
        </w:trPr>
        <w:tc>
          <w:tcPr>
            <w:tcW w:w="8602" w:type="dxa"/>
            <w:shd w:val="clear" w:color="auto" w:fill="E8E8E8" w:themeFill="background2"/>
          </w:tcPr>
          <w:p w14:paraId="0DD27524" w14:textId="16445690" w:rsidR="00E53BE8" w:rsidRDefault="28F32AE6" w:rsidP="00E53BE8">
            <w:pPr>
              <w:spacing w:after="120"/>
              <w:rPr>
                <w:b/>
                <w:bCs/>
                <w:noProof/>
              </w:rPr>
            </w:pPr>
            <w:r>
              <w:rPr>
                <w:noProof/>
              </w:rPr>
              <w:t xml:space="preserve"> </w:t>
            </w:r>
            <w:r>
              <w:rPr>
                <w:b/>
                <w:noProof/>
              </w:rPr>
              <w:t>Points clés — Résumé du chapitre:</w:t>
            </w:r>
          </w:p>
          <w:p w14:paraId="12B9DD0B" w14:textId="22FF1774" w:rsidR="00B962C2" w:rsidRDefault="00995EF6" w:rsidP="000A017B">
            <w:pPr>
              <w:spacing w:after="120"/>
              <w:rPr>
                <w:noProof/>
              </w:rPr>
            </w:pPr>
            <w:r>
              <w:rPr>
                <w:noProof/>
              </w:rPr>
              <w:t xml:space="preserve">En 2024 et 2025, l’UE a mis en œuvre des mesures de simplification clés pour le règlement, guidées par une large consultation des parties prenantes. Des documents d’orientation et FAQ ont été publiés afin de clarifier les obligations, en introduisant des flexibilités telles que des déclarations de diligence raisonnée uniques pour les envois multiples, des réimportations simplifiées pour les PME et des règles rationalisées pour les produits composés. </w:t>
            </w:r>
          </w:p>
          <w:p w14:paraId="6F0076BF" w14:textId="41D8F168" w:rsidR="00E53BE8" w:rsidRDefault="35F1CB0E" w:rsidP="000A017B">
            <w:pPr>
              <w:spacing w:after="120"/>
              <w:rPr>
                <w:noProof/>
                <w:szCs w:val="24"/>
              </w:rPr>
            </w:pPr>
            <w:r>
              <w:rPr>
                <w:noProof/>
              </w:rPr>
              <w:t xml:space="preserve">Les modifications législatives de décembre 2024 et 2025 ont reporté d’une année l’entrée en vigueur du règlement afin de mieux la préparer, et ont transféré les responsabilités en matière de diligence raisonnée aux premiers placeurs sur le marché de l’UE, en exemptant les commerçants en aval de l’obligation de présenter des déclarations de diligence raisonnée tout en introduisant une déclaration simplifiée unique pour les micro ou petits opérateurs primaires. </w:t>
            </w:r>
          </w:p>
        </w:tc>
      </w:tr>
    </w:tbl>
    <w:p w14:paraId="10517191" w14:textId="17ABA4FA" w:rsidR="1A87F7BA" w:rsidRPr="007C3C3A" w:rsidRDefault="1A87F7BA" w:rsidP="0012174E">
      <w:pPr>
        <w:spacing w:after="120"/>
        <w:rPr>
          <w:noProof/>
          <w:szCs w:val="24"/>
          <w:lang w:val="fr-BE"/>
        </w:rPr>
      </w:pPr>
    </w:p>
    <w:p w14:paraId="5329C17F" w14:textId="3048D8B5" w:rsidR="002C099C" w:rsidRPr="003B4F94" w:rsidRDefault="00347AC9" w:rsidP="0012174E">
      <w:pPr>
        <w:spacing w:after="120"/>
        <w:rPr>
          <w:b/>
          <w:bCs/>
          <w:noProof/>
          <w:sz w:val="28"/>
          <w:szCs w:val="28"/>
        </w:rPr>
      </w:pPr>
      <w:r>
        <w:rPr>
          <w:b/>
          <w:noProof/>
          <w:sz w:val="28"/>
        </w:rPr>
        <w:t>3. Retour d’information des parties prenantes sur les nouvelles mesures de simplification</w:t>
      </w:r>
    </w:p>
    <w:p w14:paraId="3AB102CC" w14:textId="1AD7DF17" w:rsidR="002C099C" w:rsidRPr="0012174E" w:rsidRDefault="002C099C" w:rsidP="0012174E">
      <w:pPr>
        <w:spacing w:after="120"/>
        <w:rPr>
          <w:noProof/>
          <w:szCs w:val="24"/>
        </w:rPr>
      </w:pPr>
      <w:r>
        <w:rPr>
          <w:noProof/>
        </w:rPr>
        <w:t xml:space="preserve">Le présent chapitre présente les éléments probants recueillis auprès des parties prenantes après la révision du texte du règlement de 2025. Ces informations constituent un élément essentiel de la base factuelle à l’appui du nouveau train de mesures. </w:t>
      </w:r>
    </w:p>
    <w:p w14:paraId="0E6201D8" w14:textId="77777777" w:rsidR="0015133F" w:rsidRDefault="0015133F" w:rsidP="0012174E">
      <w:pPr>
        <w:spacing w:after="120"/>
        <w:rPr>
          <w:b/>
          <w:bCs/>
          <w:noProof/>
          <w:szCs w:val="24"/>
        </w:rPr>
      </w:pPr>
    </w:p>
    <w:p w14:paraId="33C50CEC" w14:textId="0BA9DBCD" w:rsidR="002C099C" w:rsidRPr="0012174E" w:rsidRDefault="0090713A" w:rsidP="0012174E">
      <w:pPr>
        <w:spacing w:after="120"/>
        <w:rPr>
          <w:b/>
          <w:bCs/>
          <w:noProof/>
          <w:szCs w:val="24"/>
        </w:rPr>
      </w:pPr>
      <w:r>
        <w:rPr>
          <w:b/>
          <w:noProof/>
        </w:rPr>
        <w:t xml:space="preserve">3.1. Activités de consultation des parties prenantes </w:t>
      </w:r>
    </w:p>
    <w:p w14:paraId="5E9F2149" w14:textId="721DD434" w:rsidR="005B15CD" w:rsidRPr="0012174E" w:rsidRDefault="003129B5" w:rsidP="0012174E">
      <w:pPr>
        <w:spacing w:after="120"/>
        <w:jc w:val="left"/>
        <w:rPr>
          <w:i/>
          <w:iCs/>
          <w:noProof/>
          <w:szCs w:val="24"/>
        </w:rPr>
      </w:pPr>
      <w:r>
        <w:rPr>
          <w:i/>
          <w:noProof/>
        </w:rPr>
        <w:t xml:space="preserve">3.1.1. Consultations avec les parties prenantes </w:t>
      </w:r>
    </w:p>
    <w:p w14:paraId="3C652D9F" w14:textId="0832C5BA" w:rsidR="002C099C" w:rsidRPr="0012174E" w:rsidRDefault="00934E71" w:rsidP="0012174E">
      <w:pPr>
        <w:spacing w:after="120"/>
        <w:rPr>
          <w:noProof/>
          <w:szCs w:val="24"/>
        </w:rPr>
      </w:pPr>
      <w:r>
        <w:rPr>
          <w:noProof/>
        </w:rPr>
        <w:t>Afin de recenser les sujets les plus pertinents pour les nouvelles FAQ et les nouveaux documents d’orientation et de pouvoir les analyser, la Commission a invité les parties prenantes, lors de la 38</w:t>
      </w:r>
      <w:r>
        <w:rPr>
          <w:noProof/>
          <w:vertAlign w:val="superscript"/>
        </w:rPr>
        <w:t>e</w:t>
      </w:r>
      <w:r>
        <w:rPr>
          <w:noProof/>
        </w:rPr>
        <w:t> plateforme pluripartite</w:t>
      </w:r>
      <w:r>
        <w:rPr>
          <w:rStyle w:val="FootnoteReference"/>
          <w:noProof/>
        </w:rPr>
        <w:footnoteReference w:id="33"/>
      </w:r>
      <w:r>
        <w:rPr>
          <w:noProof/>
        </w:rPr>
        <w:t xml:space="preserve"> en décembre 2025, à soumettre des questions et un retour d’information sur le nouveau texte juridique. Fin février 2026, plus de 110 contributions avaient été reçues. Plus de 750 questions et commentaires en ont été extraits et analysés. Parmi les contributeurs figuraient des associations professionnelles (35 %), des entreprises individuelles (20 %), des autorités des États membres de l’UE (12 %), des autorités de pays tiers (12 %), des associations professionnelles et industrielles de pays tiers (5 %), ainsi que des ONG et d’autres organisations telles que des prestataires de services et des organismes de certification (16 %). En outre, 48 réunions ont eu lieu avec des représentants issus du secteur privé, d’États membres et de pays tiers. Par ailleurs, la plateforme pluripartite s’est déjà réunie à deux reprises en 2026 (février et mars). </w:t>
      </w:r>
    </w:p>
    <w:p w14:paraId="65DEAB05" w14:textId="2680DD69" w:rsidR="002C099C" w:rsidRPr="0012174E" w:rsidRDefault="0090713A" w:rsidP="0012174E">
      <w:pPr>
        <w:spacing w:after="120"/>
        <w:jc w:val="left"/>
        <w:rPr>
          <w:i/>
          <w:iCs/>
          <w:noProof/>
          <w:szCs w:val="24"/>
        </w:rPr>
      </w:pPr>
      <w:r>
        <w:rPr>
          <w:i/>
          <w:noProof/>
        </w:rPr>
        <w:t>3.1.2. Consultation publique en 2025 sur le projet d’acte délégué relatif au champ d’application du règlement</w:t>
      </w:r>
    </w:p>
    <w:p w14:paraId="265FCA0D" w14:textId="1ED824F3" w:rsidR="001B3DDF" w:rsidRPr="0012174E" w:rsidRDefault="002C099C" w:rsidP="0012174E">
      <w:pPr>
        <w:spacing w:after="120"/>
        <w:rPr>
          <w:noProof/>
          <w:szCs w:val="24"/>
        </w:rPr>
      </w:pPr>
      <w:r>
        <w:rPr>
          <w:noProof/>
        </w:rPr>
        <w:t>Un projet d’acte délégué visant à modifier le règlement en ce qui concerne la liste des produits de base et produits en cause a été publié pour consultation publique en avril-mai 2025</w:t>
      </w:r>
      <w:r>
        <w:rPr>
          <w:rStyle w:val="FootnoteReference"/>
          <w:noProof/>
          <w:szCs w:val="24"/>
          <w:lang w:val="en-IE"/>
        </w:rPr>
        <w:footnoteReference w:id="34"/>
      </w:r>
      <w:r>
        <w:rPr>
          <w:noProof/>
        </w:rPr>
        <w:t xml:space="preserve">. En tout, 291 réponses ont été reçues de citoyens, d’associations professionnelles, d’ONG, d’instituts de recherche, de cabinets d’avocats, d’entreprises et de pouvoirs publics, tant à l’intérieur qu’à l’extérieur de l’UE. Le projet de texte a recueilli un large consensus parmi les parties prenantes. La période de retour d’information a également été mise à profit par 40 % des répondants pour fournir des informations sur les ajouts ou suppressions recommandés de certains produits. </w:t>
      </w:r>
    </w:p>
    <w:p w14:paraId="6DD65D8A" w14:textId="66F15EA6" w:rsidR="002C099C" w:rsidRPr="0012174E" w:rsidRDefault="0090713A" w:rsidP="0012174E">
      <w:pPr>
        <w:spacing w:after="120"/>
        <w:jc w:val="left"/>
        <w:rPr>
          <w:i/>
          <w:iCs/>
          <w:noProof/>
          <w:szCs w:val="24"/>
        </w:rPr>
      </w:pPr>
      <w:r>
        <w:rPr>
          <w:i/>
          <w:noProof/>
        </w:rPr>
        <w:t xml:space="preserve">3.1.3. Consultation publique sur le train de mesures omnibus sur l’environnement </w:t>
      </w:r>
    </w:p>
    <w:p w14:paraId="4995ADB2" w14:textId="6C66ACFB" w:rsidR="00FD4FA3" w:rsidRPr="0012174E" w:rsidRDefault="002C099C" w:rsidP="0012174E">
      <w:pPr>
        <w:spacing w:after="120"/>
        <w:rPr>
          <w:noProof/>
          <w:szCs w:val="24"/>
        </w:rPr>
      </w:pPr>
      <w:r>
        <w:rPr>
          <w:noProof/>
        </w:rPr>
        <w:t>Lors de la consultation publique sur le train de mesures omnibus sur l’environnement en 2025</w:t>
      </w:r>
      <w:r>
        <w:rPr>
          <w:rStyle w:val="FootnoteReference"/>
          <w:noProof/>
          <w:lang w:val="en-IE"/>
        </w:rPr>
        <w:footnoteReference w:id="35"/>
      </w:r>
      <w:r>
        <w:rPr>
          <w:noProof/>
        </w:rPr>
        <w:t xml:space="preserve">, un grand nombre de répondants ont apporté leur contribution sur le règlement, bien qu’il ne soit pas inclus dans le champ d’application du train de mesures omnibus. Des contributions ont été reçues de plus de 550 parties prenantes, comprenant à la fois des commentaires de haut niveau et des documents de prise de position détaillés, ainsi que d’environ 1 800 citoyens. Les retours d’information substantiels fournissent des informations précieuses sur les attentes des parties prenantes, leur soutien et leurs préoccupations en matière de mise en œuvre. </w:t>
      </w:r>
    </w:p>
    <w:p w14:paraId="217F3713" w14:textId="0D523D25" w:rsidR="002C099C" w:rsidRPr="0012174E" w:rsidRDefault="0090713A" w:rsidP="0012174E">
      <w:pPr>
        <w:spacing w:after="120"/>
        <w:rPr>
          <w:noProof/>
          <w:szCs w:val="24"/>
        </w:rPr>
      </w:pPr>
      <w:r>
        <w:rPr>
          <w:i/>
          <w:noProof/>
        </w:rPr>
        <w:t>3.1.4. Consultations concernant le système d’information</w:t>
      </w:r>
    </w:p>
    <w:p w14:paraId="01F91586" w14:textId="3AB202C4" w:rsidR="002C099C" w:rsidRPr="0012174E" w:rsidRDefault="002C099C" w:rsidP="00DD0F0E">
      <w:pPr>
        <w:rPr>
          <w:noProof/>
        </w:rPr>
      </w:pPr>
      <w:r>
        <w:rPr>
          <w:noProof/>
        </w:rPr>
        <w:t xml:space="preserve">Afin de mieux évaluer le volume de données à traiter par le système d’information, de comprendre les interactions des utilisateurs et de recueillir des retours d’information sur les expériences des utilisateurs, une enquête ciblée a été lancée en janvier 2026, suivie d’un nombre limité d’entretiens de suivi. Par l’intermédiaire d’associations commerciales, 155 entreprises de tous les produits de base du règlement, allant de petits producteurs nationaux à des opérateurs multinationaux multiproduits, ont été invitées à participer. Au total, 140 entreprises ont participé à l’enquête. La Commission a également organisé deux ateliers afin de mieux comprendre les difficultés rencontrées par les opérateurs lors de l’utilisation de l’interface utilisateur graphique du système d’information. Le premier atelier était axé sur les micro ou petits opérateurs primaires et le second sur les opérateurs importateurs. </w:t>
      </w:r>
    </w:p>
    <w:p w14:paraId="4BBB5932" w14:textId="16E146FE" w:rsidR="002C099C" w:rsidRPr="0012174E" w:rsidRDefault="0090713A" w:rsidP="0012174E">
      <w:pPr>
        <w:spacing w:after="120"/>
        <w:jc w:val="left"/>
        <w:rPr>
          <w:b/>
          <w:bCs/>
          <w:noProof/>
          <w:szCs w:val="24"/>
        </w:rPr>
      </w:pPr>
      <w:r>
        <w:rPr>
          <w:b/>
          <w:noProof/>
        </w:rPr>
        <w:t xml:space="preserve">3.2. Principaux points de vue et retours d’information des parties prenantes: cinq domaines à clarifier et à simplifier  </w:t>
      </w:r>
    </w:p>
    <w:p w14:paraId="54FF9079" w14:textId="42821355" w:rsidR="0089607E" w:rsidRPr="0012174E" w:rsidRDefault="004A3A4D" w:rsidP="0012174E">
      <w:pPr>
        <w:spacing w:before="120" w:after="120"/>
        <w:rPr>
          <w:noProof/>
          <w:szCs w:val="24"/>
        </w:rPr>
      </w:pPr>
      <w:r>
        <w:rPr>
          <w:noProof/>
        </w:rPr>
        <w:t>Les retours d’information des parties prenantes aux activités décrites ci-dessus ont été soigneusement analysés. Cinq domaines prioritaires ont été recensés dans lesquels les parties prenantes demandent des éclaircissements ou une simplification supplémentaires: les micro</w:t>
      </w:r>
      <w:r w:rsidR="00D548E4">
        <w:rPr>
          <w:noProof/>
        </w:rPr>
        <w:t xml:space="preserve"> </w:t>
      </w:r>
      <w:r>
        <w:rPr>
          <w:noProof/>
        </w:rPr>
        <w:t>ou petits opérateurs primaires, les obligations relatives à la chaîne d’approvisionnement en aval, les obligations en matière de diligence raisonnée (catégories «légalité» et «risque zéro»), la définition des produits et le système d’information.</w:t>
      </w:r>
    </w:p>
    <w:p w14:paraId="11D4161C" w14:textId="132C81C4" w:rsidR="00BD5A6D" w:rsidRPr="0012174E" w:rsidRDefault="0090713A" w:rsidP="0012174E">
      <w:pPr>
        <w:spacing w:after="120"/>
        <w:rPr>
          <w:i/>
          <w:iCs/>
          <w:noProof/>
          <w:szCs w:val="24"/>
        </w:rPr>
      </w:pPr>
      <w:r>
        <w:rPr>
          <w:i/>
          <w:noProof/>
        </w:rPr>
        <w:t xml:space="preserve">3.2.1. Micro ou petits opérateurs primaires </w:t>
      </w:r>
    </w:p>
    <w:p w14:paraId="56DAFEBE" w14:textId="63B67070" w:rsidR="00A409D9" w:rsidRPr="0012174E" w:rsidRDefault="004A2C5E" w:rsidP="0012174E">
      <w:pPr>
        <w:spacing w:after="120"/>
        <w:rPr>
          <w:noProof/>
          <w:szCs w:val="24"/>
        </w:rPr>
      </w:pPr>
      <w:r>
        <w:rPr>
          <w:noProof/>
        </w:rPr>
        <w:t>Une part importante du retour d’information était axée sur la méthode de calcul de la quantité annuelle estimée de produits pertinents, tandis que d’autres s’interrogeaient sur les circonstances dans lesquelles une adresse postale pourrait remplacer les données de géolocalisation. Les parties prenantes ont également demandé des éclaircissements sur la manière de déterminer la taille de l’entreprise, compte tenu des fluctuations d’une année sur l’autre. Les grandes entreprises ne participant que partiellement à la production des produits de base en cause ont demandé des éclaircissements sur les critères à remplir pour être considérées comme des micro ou petits opérateurs primaires, ainsi que sur la manière d’identifier et d’évaluer les segments d’activité pertinents aux fins de cette qualification. En outre, des demandes d’orientations ont été formulées sur la question de savoir si les micro ou petits opérateurs primaires doivent mettre à jour les informations contenues dans leur déclaration unique simplifiée et ce qui constitue une «modification majeure» déclenchant ces mises à jour. Certaines coopératives forestières ont demandé la possibilité de présenter des déclarations simplifiées au nom de leurs membres. Enfin, les éleveurs de bovins ont souligné la nécessité de clarifier les rôles au sein de la chaîne d’approvisionnement, en particulier la question de savoir qui devrait être considéré comme un opérateur, un opérateur en aval ou un commerçant, en particulier dans les cas où des animaux vivants sont concernés.</w:t>
      </w:r>
    </w:p>
    <w:p w14:paraId="1A260249" w14:textId="3D10E5BF" w:rsidR="00BD5A6D" w:rsidRPr="0012174E" w:rsidRDefault="007F3567" w:rsidP="0012174E">
      <w:pPr>
        <w:spacing w:after="120"/>
        <w:rPr>
          <w:i/>
          <w:iCs/>
          <w:noProof/>
          <w:szCs w:val="24"/>
        </w:rPr>
      </w:pPr>
      <w:r>
        <w:rPr>
          <w:i/>
          <w:noProof/>
        </w:rPr>
        <w:t xml:space="preserve">3.2.2. Obligations relatives à la chaîne d’approvisionnement en aval </w:t>
      </w:r>
    </w:p>
    <w:p w14:paraId="275E9BF4" w14:textId="03873C75" w:rsidR="7784A671" w:rsidRPr="004A2880" w:rsidRDefault="004E5619" w:rsidP="0012174E">
      <w:pPr>
        <w:spacing w:after="120"/>
        <w:rPr>
          <w:noProof/>
        </w:rPr>
      </w:pPr>
      <w:r>
        <w:rPr>
          <w:noProof/>
        </w:rPr>
        <w:t>Les parties prenantes ont fourni un retour d’information détaillé sur les obligations de la chaîne d’approvisionnement, en mettant l’accent sur la clarification des rôles et des exigences procédurales. Elles ont fait valoir que les premiers acteurs en aval devraient avoir une obligation passive plutôt que proactive de collecter les numéros de référence ou les identifiants de déclaration, soulignant que seul le premier opérateur, qui est la seule partie capable de s’auto-identifier, devrait être responsable de la transmission de ces détails en aval. Des éclaircissements ont été largement recherchés sur la signification pratique de l’obligation «de collecter et de conserver» pour les premiers acteurs en aval, y compris les formats acceptables de transmission et de stockage, la question de savoir si ceux-ci doivent s’aligner sur les expéditions ou produits individuels et si les acteurs en aval sont censés vérifier régulièrement leur validité. Les parties prenantes ont également souligné le besoin de flexibilité, demandant qu’une entité unique puisse assumer des rôles multiples. Des questions se sont posées au sujet des exigences en matière de déclaration en douane pour les exportations effectuées par les opérateurs en aval, en particulier sur la question de savoir si un code générique suffirait ou si des numéros de référence originaux doivent être utilisés. D’autres incertitudes portaient sur le traitement des réimportations. Enfin, les parties prenantes ont demandé des orientations pratiques sur les obligations de vérification pour les acteurs en aval qui ne sont pas des PME.</w:t>
      </w:r>
    </w:p>
    <w:p w14:paraId="3FEFD98D" w14:textId="3F1C8B93" w:rsidR="00BD5A6D" w:rsidRPr="004A2880" w:rsidRDefault="007F3567" w:rsidP="0012174E">
      <w:pPr>
        <w:spacing w:after="120"/>
        <w:rPr>
          <w:i/>
          <w:iCs/>
          <w:noProof/>
          <w:szCs w:val="24"/>
        </w:rPr>
      </w:pPr>
      <w:r>
        <w:rPr>
          <w:i/>
          <w:noProof/>
        </w:rPr>
        <w:t>3.2.3. Obligations en matière de diligence raisonnée</w:t>
      </w:r>
    </w:p>
    <w:p w14:paraId="201A9827" w14:textId="2FDEFCE5" w:rsidR="00A57483" w:rsidRDefault="00E94909" w:rsidP="0012174E">
      <w:pPr>
        <w:spacing w:after="120"/>
        <w:rPr>
          <w:noProof/>
          <w:szCs w:val="24"/>
        </w:rPr>
      </w:pPr>
      <w:r>
        <w:rPr>
          <w:noProof/>
        </w:rPr>
        <w:t xml:space="preserve">Les parties prenantes ont mis en évidence des lacunes dans les orientations actuelles en ce qui concerne l’évaluation et la démonstration du respect des exigences de légalité, demandant instamment des éclaircissements supplémentaires sur la manière d’évaluer le respect de la législation commerciale, des normes du travail, de la protection des droits de l’homme et des interdictions du travail des enfants. Afin de rationaliser les efforts de mise en conformité, elles ont appelé à une plus grande accessibilité à un répertoire centralisé des législations nationales pertinentes dans les pays producteurs, soulignant la nécessité pour la Commission de faciliter un accès transparent à ces cadres juridiques. En outre, il a été suggéré d’introduire des «voies réservées» pour les produits certifiés et de mieux relier les systèmes de certification existants aux obligations de diligence raisonnée. </w:t>
      </w:r>
    </w:p>
    <w:p w14:paraId="52CB7538" w14:textId="428D5204" w:rsidR="009442D3" w:rsidRDefault="008175B3" w:rsidP="0012174E">
      <w:pPr>
        <w:spacing w:after="120"/>
        <w:rPr>
          <w:noProof/>
        </w:rPr>
      </w:pPr>
      <w:r>
        <w:rPr>
          <w:noProof/>
        </w:rPr>
        <w:t xml:space="preserve">Certaines parties prenantes ont également proposé d’introduire une classification «risque zéro» pour les pays présentant un risque négligeable de déforestation afin de réduire ou de supprimer les obligations de diligence raisonnée pour les opérateurs qui s’approvisionnent dans ces pays. </w:t>
      </w:r>
    </w:p>
    <w:p w14:paraId="2C151A25" w14:textId="7741F2F0" w:rsidR="00BD5A6D" w:rsidRPr="004A2880" w:rsidRDefault="00EF5FE2" w:rsidP="0012174E">
      <w:pPr>
        <w:spacing w:after="120"/>
        <w:rPr>
          <w:i/>
          <w:iCs/>
          <w:noProof/>
          <w:szCs w:val="24"/>
        </w:rPr>
      </w:pPr>
      <w:r>
        <w:rPr>
          <w:i/>
          <w:noProof/>
        </w:rPr>
        <w:t>3.2.4. Définition des produits</w:t>
      </w:r>
    </w:p>
    <w:p w14:paraId="7B4B3CB5" w14:textId="472220D8" w:rsidR="00D96EA7" w:rsidRDefault="00D96EA7" w:rsidP="0015133F">
      <w:pPr>
        <w:spacing w:after="120"/>
        <w:rPr>
          <w:noProof/>
        </w:rPr>
      </w:pPr>
      <w:r>
        <w:rPr>
          <w:noProof/>
        </w:rPr>
        <w:t>Les parties prenantes ont soulevé des questions concernant le champ d’application et la catégorisation des produits, en particulier à la suite du retrait de la catégorie SH 49 (livres et imprimés) de l’annexe I par les colégislateurs à la fin de 2025, ce qui a créé des ambiguïtés concernant les produits imprimés qui restent couverts. Une clarification a été largement recherchée en ce qui concerne les exemptions pour les produits usagés, les produits d’occasion, les déchets et les sous-produits, ainsi que les échantillons, pour lesquels les définitions ont été jugées peu claires. D’autres incertitudes ont été relevées en ce qui concerne les obligations liées aux matériaux d’emballage, aux palettes et aux dispositifs d’affichage des produits, les parties prenantes s’interrogeant sur leur inclusion. Afin de garantir une approche cohérente tout au long de la chaîne d’approvisionnement, des demandes opposées ont été formulées en ce qui concerne l’extension du champ d’application à d’autres produits dérivés, tels que le savon, les bases de savon, les ballons et d’autres produits finis fabriqués à partir de latex de caoutchouc, de café soluble et de plusieurs dérivés de l’huile de palme (y compris les biocarburants et les aliments pour animaux). À l’inverse, l’exclusion de certains produits, dont les peaux de bovins, les pneumatiques rechapés et certains dérivés de l’huile de palme, a été proposée pour des raisons opérationnelles ou techniques, tandis que certaines parties prenantes se sont opposées à cette exclusion. Enfin, les petits opérateurs ont plaidé en faveur de l’introduction d’une règle de minimis pour exempter les petites quantités des obligations du règlement.</w:t>
      </w:r>
    </w:p>
    <w:p w14:paraId="60EED134" w14:textId="75C101CB" w:rsidR="00BD5A6D" w:rsidRPr="004A2880" w:rsidRDefault="007F3567" w:rsidP="0012174E">
      <w:pPr>
        <w:spacing w:after="120"/>
        <w:rPr>
          <w:i/>
          <w:iCs/>
          <w:noProof/>
          <w:szCs w:val="24"/>
        </w:rPr>
      </w:pPr>
      <w:r>
        <w:rPr>
          <w:i/>
          <w:noProof/>
        </w:rPr>
        <w:t>3.2.5. Système d’information</w:t>
      </w:r>
    </w:p>
    <w:p w14:paraId="773A61BF" w14:textId="1B300CA9" w:rsidR="003D4011" w:rsidRDefault="00624136" w:rsidP="00C6228D">
      <w:pPr>
        <w:rPr>
          <w:noProof/>
        </w:rPr>
      </w:pPr>
      <w:r>
        <w:rPr>
          <w:noProof/>
        </w:rPr>
        <w:t>Les parties prenantes ont souligné les priorités techniques et opérationnelles essentielles pour le système d’information du règlement, demandant que les délais de développement des API soient accélérés afin de permettre des développements informatiques en temps utile. Elles se sont déclarées favorables au regroupement des numéros de référence et des identifiants pour les acteurs en aval, tout en demandant l’enregistrement et la présentation volontaire d’une déclaration de diligence raisonnée par les acteurs en aval afin de renforcer la flexibilité. Une autre demande essentielle était la mise en œuvre de plans d’urgence, tels que la délivrance de numéros conventionnels de déclaration de diligence raisonnée en cas d’indisponibilité du système. L’efficacité opérationnelle a été mise en évidence par des demandes d’augmentation des limites de taille des fichiers (actuellement 25 Mo). Les parties prenantes ont demandé instamment un renforcement de la notification des erreurs au moyen d’une documentation détaillée, ainsi qu’un traitement transparent des données de géolocalisation, y compris l’alignement des contrôles entre l’interface utilisateur et les soumissions API. Afin de réduire la tension du système, les parties prenantes ont proposé la mise en œuvre de webhooks pour notifier aux opérateurs les changements de statut dans leurs communications. Les opérateurs ont également demandé l’introduction de comptes de services pour permettre à plusieurs personnes autorisées d’accéder au système. L’accès des opérateurs de pays tiers au système informatique était une préoccupation des parties prenantes de pays tiers. Les autorités compétentes ont demandé un soutien technique et un délai de mise en œuvre adéquats pour l’intégration du système.</w:t>
      </w:r>
    </w:p>
    <w:tbl>
      <w:tblPr>
        <w:tblStyle w:val="TableGrid"/>
        <w:tblW w:w="0" w:type="auto"/>
        <w:shd w:val="clear" w:color="auto" w:fill="E8E8E8" w:themeFill="background2"/>
        <w:tblLook w:val="04A0" w:firstRow="1" w:lastRow="0" w:firstColumn="1" w:lastColumn="0" w:noHBand="0" w:noVBand="1"/>
      </w:tblPr>
      <w:tblGrid>
        <w:gridCol w:w="8602"/>
      </w:tblGrid>
      <w:tr w:rsidR="00FF4C70" w14:paraId="3DAEBBF1" w14:textId="77777777" w:rsidTr="00D21269">
        <w:tc>
          <w:tcPr>
            <w:tcW w:w="8602" w:type="dxa"/>
            <w:shd w:val="clear" w:color="auto" w:fill="E8E8E8" w:themeFill="background2"/>
          </w:tcPr>
          <w:p w14:paraId="6F354CA0" w14:textId="1EB6E9D8" w:rsidR="003D4011" w:rsidRPr="00A57483" w:rsidRDefault="00B23840" w:rsidP="00A57483">
            <w:pPr>
              <w:spacing w:after="0"/>
              <w:rPr>
                <w:b/>
                <w:bCs/>
                <w:noProof/>
                <w:sz w:val="2"/>
                <w:szCs w:val="2"/>
              </w:rPr>
            </w:pPr>
            <w:r>
              <w:rPr>
                <w:noProof/>
              </w:rPr>
              <w:t xml:space="preserve"> </w:t>
            </w:r>
          </w:p>
          <w:p w14:paraId="024A0BA2" w14:textId="23343D4E" w:rsidR="00FF4C70" w:rsidRDefault="00FF4C70" w:rsidP="00FF4C70">
            <w:pPr>
              <w:spacing w:after="120"/>
              <w:rPr>
                <w:b/>
                <w:bCs/>
                <w:noProof/>
                <w:szCs w:val="24"/>
              </w:rPr>
            </w:pPr>
            <w:r>
              <w:rPr>
                <w:b/>
                <w:noProof/>
              </w:rPr>
              <w:t>Points clés — Résumé du chapitre:</w:t>
            </w:r>
          </w:p>
          <w:p w14:paraId="78047DF4" w14:textId="3F9F03F6" w:rsidR="00E422D1" w:rsidRDefault="00FF4C70" w:rsidP="00FF4C70">
            <w:pPr>
              <w:spacing w:after="120"/>
              <w:rPr>
                <w:noProof/>
                <w:szCs w:val="24"/>
              </w:rPr>
            </w:pPr>
            <w:r>
              <w:rPr>
                <w:noProof/>
              </w:rPr>
              <w:t xml:space="preserve">Le retour d’information des parties prenantes ayant servi de base à l’examen de simplification a mis en évidence cinq domaines critiques nécessitant des éclaircissements: </w:t>
            </w:r>
          </w:p>
          <w:p w14:paraId="6074B9E3" w14:textId="69045B24" w:rsidR="00E422D1" w:rsidRPr="003907DC" w:rsidRDefault="0075030C" w:rsidP="00A57483">
            <w:pPr>
              <w:pStyle w:val="ListParagraph"/>
              <w:numPr>
                <w:ilvl w:val="0"/>
                <w:numId w:val="74"/>
              </w:numPr>
              <w:spacing w:after="0"/>
              <w:rPr>
                <w:noProof/>
                <w:szCs w:val="24"/>
              </w:rPr>
            </w:pPr>
            <w:r>
              <w:rPr>
                <w:noProof/>
              </w:rPr>
              <w:t xml:space="preserve">la qualification de micro ou petit opérateur primaire; </w:t>
            </w:r>
          </w:p>
          <w:p w14:paraId="00B7D530" w14:textId="0AB64D96" w:rsidR="00E422D1" w:rsidRPr="003907DC" w:rsidRDefault="00FF4C70" w:rsidP="00A57483">
            <w:pPr>
              <w:pStyle w:val="ListParagraph"/>
              <w:numPr>
                <w:ilvl w:val="0"/>
                <w:numId w:val="74"/>
              </w:numPr>
              <w:spacing w:after="0"/>
              <w:rPr>
                <w:noProof/>
                <w:szCs w:val="24"/>
              </w:rPr>
            </w:pPr>
            <w:r>
              <w:rPr>
                <w:noProof/>
              </w:rPr>
              <w:t>les obligations relatives à la chaîne d’approvisionnement en aval;</w:t>
            </w:r>
          </w:p>
          <w:p w14:paraId="0FB7A101" w14:textId="5267C716" w:rsidR="00E422D1" w:rsidRPr="003907DC" w:rsidRDefault="00EE1E88" w:rsidP="00A57483">
            <w:pPr>
              <w:pStyle w:val="ListParagraph"/>
              <w:numPr>
                <w:ilvl w:val="0"/>
                <w:numId w:val="74"/>
              </w:numPr>
              <w:spacing w:after="0"/>
              <w:rPr>
                <w:noProof/>
                <w:szCs w:val="24"/>
              </w:rPr>
            </w:pPr>
            <w:r>
              <w:rPr>
                <w:noProof/>
              </w:rPr>
              <w:t>les obligations de diligence raisonnée (légalité et risque zéro);</w:t>
            </w:r>
          </w:p>
          <w:p w14:paraId="7CACF01D" w14:textId="28943DCE" w:rsidR="003D3330" w:rsidRPr="003907DC" w:rsidRDefault="00FF4C70" w:rsidP="00A57483">
            <w:pPr>
              <w:pStyle w:val="ListParagraph"/>
              <w:numPr>
                <w:ilvl w:val="0"/>
                <w:numId w:val="74"/>
              </w:numPr>
              <w:spacing w:after="0"/>
              <w:rPr>
                <w:noProof/>
                <w:szCs w:val="24"/>
              </w:rPr>
            </w:pPr>
            <w:r>
              <w:rPr>
                <w:noProof/>
              </w:rPr>
              <w:t>les ambiguïtés concernant la définition des produits; et</w:t>
            </w:r>
          </w:p>
          <w:p w14:paraId="5014813C" w14:textId="58FA415C" w:rsidR="00FF4C70" w:rsidRPr="00A57483" w:rsidRDefault="00FF4C70" w:rsidP="00FF041C">
            <w:pPr>
              <w:pStyle w:val="ListParagraph"/>
              <w:numPr>
                <w:ilvl w:val="0"/>
                <w:numId w:val="74"/>
              </w:numPr>
              <w:spacing w:after="120"/>
              <w:ind w:left="714" w:hanging="357"/>
              <w:rPr>
                <w:noProof/>
              </w:rPr>
            </w:pPr>
            <w:r>
              <w:rPr>
                <w:noProof/>
              </w:rPr>
              <w:t xml:space="preserve">les améliorations du système d’information. </w:t>
            </w:r>
          </w:p>
        </w:tc>
      </w:tr>
    </w:tbl>
    <w:p w14:paraId="68C0B6D0" w14:textId="44324711" w:rsidR="009024AA" w:rsidRDefault="009024AA">
      <w:pPr>
        <w:spacing w:after="0"/>
        <w:jc w:val="left"/>
        <w:rPr>
          <w:b/>
          <w:bCs/>
          <w:noProof/>
          <w:sz w:val="28"/>
          <w:szCs w:val="28"/>
        </w:rPr>
      </w:pPr>
    </w:p>
    <w:p w14:paraId="04727505" w14:textId="6F960167" w:rsidR="001A0EBF" w:rsidRPr="0067616F" w:rsidRDefault="007F3567" w:rsidP="0012174E">
      <w:pPr>
        <w:spacing w:after="120"/>
        <w:jc w:val="left"/>
        <w:rPr>
          <w:b/>
          <w:bCs/>
          <w:noProof/>
          <w:sz w:val="28"/>
          <w:szCs w:val="28"/>
        </w:rPr>
      </w:pPr>
      <w:r>
        <w:rPr>
          <w:b/>
          <w:noProof/>
          <w:sz w:val="28"/>
        </w:rPr>
        <w:t xml:space="preserve">4. Mesures recensées </w:t>
      </w:r>
    </w:p>
    <w:p w14:paraId="1795B6F9" w14:textId="639480E2" w:rsidR="00176617" w:rsidRPr="0012174E" w:rsidRDefault="004D499F" w:rsidP="0012174E">
      <w:pPr>
        <w:spacing w:before="120" w:after="120"/>
        <w:rPr>
          <w:noProof/>
          <w:szCs w:val="24"/>
        </w:rPr>
      </w:pPr>
      <w:r>
        <w:rPr>
          <w:noProof/>
        </w:rPr>
        <w:t xml:space="preserve">Compte tenu des retours d’information décrits aux chapitres 2 et 3, la Commission a défini un ensemble de mesures qui répondent en grande partie aux préoccupations exprimées et qui facilitent et rationalisent la mise en œuvre. </w:t>
      </w:r>
    </w:p>
    <w:p w14:paraId="66A427F9" w14:textId="3C975833" w:rsidR="00456A1A" w:rsidRDefault="004135D4" w:rsidP="009024AA">
      <w:pPr>
        <w:spacing w:after="120"/>
        <w:rPr>
          <w:noProof/>
          <w:szCs w:val="24"/>
        </w:rPr>
      </w:pPr>
      <w:r>
        <w:rPr>
          <w:noProof/>
        </w:rPr>
        <w:t>Les principales mises à jour concernant les documents d’orientation et les FAQ (section 4.1), le système d’information (section 4.2) et la définition des produits (section 4.3) sont présentés ci-dessous. En outre, le chapitre introduit une nouvelle initiative axée sur la mise en place de répertoires juridiques et de registres de certification (section 4.4).</w:t>
      </w:r>
    </w:p>
    <w:p w14:paraId="35FFF03F" w14:textId="069F42C8" w:rsidR="001A0EBF" w:rsidRPr="0012174E" w:rsidRDefault="007F3567" w:rsidP="00B86881">
      <w:pPr>
        <w:spacing w:after="120"/>
        <w:rPr>
          <w:b/>
          <w:bCs/>
          <w:noProof/>
          <w:szCs w:val="24"/>
        </w:rPr>
      </w:pPr>
      <w:r>
        <w:rPr>
          <w:b/>
          <w:noProof/>
        </w:rPr>
        <w:t>4.1. Documents d’orientation et FAQ visant à garantir une mise en œuvre et une application harmonisées</w:t>
      </w:r>
    </w:p>
    <w:p w14:paraId="082F9F53" w14:textId="672967D7" w:rsidR="00B3090E" w:rsidRPr="00B3090E" w:rsidRDefault="00B3090E" w:rsidP="00B3090E">
      <w:pPr>
        <w:pStyle w:val="NormalWeb"/>
        <w:spacing w:after="120"/>
        <w:rPr>
          <w:noProof/>
        </w:rPr>
      </w:pPr>
      <w:r>
        <w:rPr>
          <w:noProof/>
        </w:rPr>
        <w:t>Les documents d’orientation et FAQ de la Commission cherchent à soutenir une mise en œuvre cohérente et proportionnée du règlement dans l’ensemble des États membres, en garantissant la clarté pour les acteurs économiques et les autorités compétentes. Les États membres sont encouragés à les prendre en considération dans leurs politiques d’exécution et de sanctions afin d’éviter des charges disproportionnées, en particulier en ce qui concerne les micro ou petits opérateurs primaires. En particulier, conformément à l’approche fondée sur les risques définie par le règlement, les États membres sont incités à concentrer les inspections et les mesures d’exécution sur les acteurs ayant la plupart des obligations en matière de diligence raisonnée au titre du règlement, tels que ceux qui mettent des produits sur le marché pour la première fois. Pour les opérateurs en aval et les commerçants, ces mesures devraient être proportionnées à leurs obligations, qui ont été modifiées dans le règlement révisé. La Commission continuera de collaborer avec les États membres pour garantir la convergence des pratiques en matière de contrôle de l’application de la législation, y compris, le cas échéant, au moyen de modèles et d’outils.</w:t>
      </w:r>
    </w:p>
    <w:p w14:paraId="75E4F8A8" w14:textId="3A81954C" w:rsidR="00EA2B5C" w:rsidRPr="00975420" w:rsidRDefault="00EA2B5C" w:rsidP="0012174E">
      <w:pPr>
        <w:pStyle w:val="NormalWeb"/>
        <w:spacing w:after="120"/>
        <w:rPr>
          <w:noProof/>
        </w:rPr>
      </w:pPr>
      <w:r>
        <w:rPr>
          <w:noProof/>
        </w:rPr>
        <w:t xml:space="preserve">À la suite de la modification du règlement en 2025, </w:t>
      </w:r>
      <w:r>
        <w:rPr>
          <w:b/>
          <w:noProof/>
        </w:rPr>
        <w:t>les FAQ et le document d’orientation ont été mis à jour</w:t>
      </w:r>
      <w:r>
        <w:rPr>
          <w:noProof/>
        </w:rPr>
        <w:t>. Parallèlement aux ajustements nécessaires, la Commission a profité de l’occasion pour analyser les contributions des parties prenantes sur la base desquelles plusieurs clarifications opérationnelles supplémentaires ont été introduites. Elles sont regroupées en trois catégories: simplifier les clarifications pour la chaîne d’approvisionnement en aval, les micro ou petits opérateurs primaires et pour tous les opérateurs en ce qui concerne la légalité. Des explications détaillées sont fournies dans les documents mis à jour, des exemples de scénarios sont fournis dans les infographies sur la chaîne d’approvisionnement du règlement</w:t>
      </w:r>
      <w:r>
        <w:rPr>
          <w:rStyle w:val="FootnoteReference"/>
          <w:noProof/>
        </w:rPr>
        <w:footnoteReference w:id="36"/>
      </w:r>
      <w:r>
        <w:rPr>
          <w:noProof/>
        </w:rPr>
        <w:t>.</w:t>
      </w:r>
    </w:p>
    <w:p w14:paraId="23557B61" w14:textId="628D4CFF" w:rsidR="00C07F42" w:rsidRPr="00975420" w:rsidRDefault="00516AE4" w:rsidP="0012174E">
      <w:pPr>
        <w:spacing w:after="120"/>
        <w:rPr>
          <w:i/>
          <w:iCs/>
          <w:noProof/>
          <w:szCs w:val="24"/>
        </w:rPr>
      </w:pPr>
      <w:r>
        <w:rPr>
          <w:i/>
          <w:noProof/>
        </w:rPr>
        <w:t>4.1.1. Allègement supplémentaire pour la chaîne d’approvisionnement en aval</w:t>
      </w:r>
    </w:p>
    <w:p w14:paraId="67CC40CF" w14:textId="77777777" w:rsidR="00D05432" w:rsidRDefault="00134546" w:rsidP="000A017B">
      <w:pPr>
        <w:pStyle w:val="NormalWeb"/>
        <w:spacing w:after="120"/>
        <w:rPr>
          <w:noProof/>
        </w:rPr>
      </w:pPr>
      <w:r>
        <w:rPr>
          <w:noProof/>
        </w:rPr>
        <w:t xml:space="preserve">La première série de clarifications opérationnelles concerne la définition plus claire des rôles dans la chaîne d’approvisionnement en aval et les clarifications concernant les importations et les exportations. </w:t>
      </w:r>
    </w:p>
    <w:p w14:paraId="1AF0B0EA" w14:textId="4946050E" w:rsidR="006850A2" w:rsidRDefault="00D05432" w:rsidP="00D05432">
      <w:pPr>
        <w:spacing w:after="0"/>
        <w:textAlignment w:val="baseline"/>
        <w:rPr>
          <w:noProof/>
        </w:rPr>
      </w:pPr>
      <w:r>
        <w:rPr>
          <w:noProof/>
        </w:rPr>
        <w:t xml:space="preserve">En vertu du règlement révisé, </w:t>
      </w:r>
      <w:r>
        <w:rPr>
          <w:b/>
          <w:noProof/>
        </w:rPr>
        <w:t>l’acteur en aval</w:t>
      </w:r>
      <w:r>
        <w:rPr>
          <w:noProof/>
        </w:rPr>
        <w:t xml:space="preserve"> doit recueillir et conserver des informations (principalement le nom, l’adresse postale et l’adresse électronique) sur ses partenaires commerciaux directs. Ces informations sont généralement incluses dans les données commerciales standard, telles que les factures, que la plupart des opérateurs en aval et des commerçants possèdent déjà dans le cadre de transactions courantes. Les informations doivent être échangées en dehors du système d’information du règlement.</w:t>
      </w:r>
    </w:p>
    <w:p w14:paraId="592046AA" w14:textId="77777777" w:rsidR="006850A2" w:rsidRDefault="006850A2" w:rsidP="00D05432">
      <w:pPr>
        <w:spacing w:after="0"/>
        <w:textAlignment w:val="baseline"/>
        <w:rPr>
          <w:noProof/>
        </w:rPr>
      </w:pPr>
    </w:p>
    <w:p w14:paraId="5923BBA0" w14:textId="03E1B2C1" w:rsidR="00D05432" w:rsidRPr="002032CD" w:rsidRDefault="00D05432" w:rsidP="00637B48">
      <w:pPr>
        <w:spacing w:after="120"/>
        <w:textAlignment w:val="baseline"/>
        <w:rPr>
          <w:rFonts w:eastAsia="Calibri"/>
          <w:noProof/>
        </w:rPr>
      </w:pPr>
      <w:r>
        <w:rPr>
          <w:noProof/>
        </w:rPr>
        <w:t>Ce n’est que lorsque le fournisseur direct de l’acteur en aval est un opérateur (en amont), ce qui fait de l’opérateur en aval ou du commerçant un «</w:t>
      </w:r>
      <w:r>
        <w:rPr>
          <w:b/>
          <w:noProof/>
        </w:rPr>
        <w:t>premier opérateur en aval ou commerçant</w:t>
      </w:r>
      <w:r>
        <w:rPr>
          <w:noProof/>
        </w:rPr>
        <w:t>», que les informations requises doivent également inclure les numéros de référence de la déclaration de diligence raisonnée ou les identifiants de déclaration des produits en cause.</w:t>
      </w:r>
    </w:p>
    <w:p w14:paraId="36AE1BF5" w14:textId="22FF98B4" w:rsidR="00A90B7A" w:rsidRPr="004A2880" w:rsidRDefault="009B4468" w:rsidP="000A017B">
      <w:pPr>
        <w:pStyle w:val="NormalWeb"/>
        <w:spacing w:after="120"/>
        <w:rPr>
          <w:noProof/>
        </w:rPr>
      </w:pPr>
      <w:r>
        <w:rPr>
          <w:noProof/>
        </w:rPr>
        <w:t xml:space="preserve">Plus précisément, afin de garantir une simplification pratique pour les acteurs en aval, les nouveaux documents d’orientation et FAQ présentent une approche pragmatique permettant à ces acteurs de déterminer s’ils sont ou non le premier opérateur en aval. Il est précisé que l’obligation du premier acteur en aval de la chaîne d’approvisionnement de collecter et de conserver les numéros de référence ou les identifiants de déclaration est une obligation passive. En effet, l’acteur en aval n’a pas besoin d’enquêter ou de demander de manière proactive à son fournisseur le numéro de référence ou l’identifiant de déclaration. L’opérateur en aval ou le commerçant, agissant de bonne foi, peut présumer que ses fournisseurs ne sont pas des opérateurs en amont s’il ne reçoit pas de numéros de référence ou d’identifiants de déclaration de leur part. Dans une situation typique de vente au détail, c’est-à-dire lorsque l’acteur en aval vend son produit à un utilisateur final, l’acteur en aval n’a aucune obligation de collecter ou de conserver les informations susmentionnées auprès de cet utilisateur final. Enfin, si les acteurs en aval ont l’obligation d’informer les autorités en cas d’informations indiquant un manquement, y compris des préoccupations étayées, il s’agit d’une obligation purement réactive qui n’implique pas l’obligation active de demander ces informations tout au long de la chaîne d’approvisionnement. En outre, la situation des acteurs en aval doit également être prise en compte dans la politique d’application des États membres (voir introduction à la section 4.1 ci-dessus). </w:t>
      </w:r>
    </w:p>
    <w:p w14:paraId="4E757308" w14:textId="74C8704C" w:rsidR="00DA2A5A" w:rsidRDefault="005017A1" w:rsidP="0012174E">
      <w:pPr>
        <w:pStyle w:val="NormalWeb"/>
        <w:spacing w:after="120"/>
        <w:rPr>
          <w:noProof/>
        </w:rPr>
      </w:pPr>
      <w:r>
        <w:rPr>
          <w:noProof/>
        </w:rPr>
        <w:t>En ce qui concerne les réimportations, les FAQ précisent que la réimportation de produits est une activité en aval. Si l’importateur peut apporter la preuve que les produits mis sur le marché de l’UE ont déjà été mis sur le marché de l’UE précédemment ou sont dérivés de produits précédemment mis sur le marché de l’UE, il est considéré comme un opérateur en aval. En douane, le «réimportateur» peut utiliser un numéro de référence conventionnel.</w:t>
      </w:r>
    </w:p>
    <w:p w14:paraId="72F5D0EF" w14:textId="56D41007" w:rsidR="002E4384" w:rsidRDefault="009C6195" w:rsidP="0012174E">
      <w:pPr>
        <w:pStyle w:val="NormalWeb"/>
        <w:spacing w:after="120"/>
        <w:rPr>
          <w:noProof/>
        </w:rPr>
      </w:pPr>
      <w:r>
        <w:rPr>
          <w:noProof/>
        </w:rPr>
        <w:t>Les acteurs en aval qui ne sont pas des PME ont l’obligation d’agir sur la base d’informations indiquant une éventuelle non-conformité, y compris des préoccupations étayées. Les FAQ et les documents d’orientation contiennent des précisions sur la manière dont ces acteurs peuvent vérifier que la diligence raisonnée a été exercée en cas de préoccupations étayées, en offrant différentes possibilités en fonction des informations obtenues.</w:t>
      </w:r>
    </w:p>
    <w:p w14:paraId="315F9088" w14:textId="6DDE4F4F" w:rsidR="00DF282A" w:rsidRPr="0012174E" w:rsidRDefault="00DF282A" w:rsidP="0012174E">
      <w:pPr>
        <w:pStyle w:val="NormalWeb"/>
        <w:spacing w:after="120"/>
        <w:rPr>
          <w:noProof/>
        </w:rPr>
      </w:pPr>
      <w:r>
        <w:rPr>
          <w:noProof/>
        </w:rPr>
        <w:t>Les FAQ clarifient davantage les cas dans lesquels une seule et même entreprise joue un «double rôle», par exemple lorsque l’entreprise importe un produit en cause et le transforme avant de le vendre sur le marché de l’UE. Cette entreprise serait à la fois un opérateur et un (premier) opérateur en aval.</w:t>
      </w:r>
    </w:p>
    <w:p w14:paraId="3AFFA614" w14:textId="04958AD8" w:rsidR="00605EF6" w:rsidRPr="0012174E" w:rsidRDefault="00513E57" w:rsidP="0012174E">
      <w:pPr>
        <w:pStyle w:val="NormalWeb"/>
        <w:spacing w:after="120"/>
        <w:rPr>
          <w:noProof/>
        </w:rPr>
      </w:pPr>
      <w:r>
        <w:rPr>
          <w:noProof/>
        </w:rPr>
        <w:t xml:space="preserve">En outre, les FAQ expliquent que les opérateurs en aval qui exportent des produits couverts par une déclaration de diligence raisonnée ou une déclaration simplifiée existante sont exemptés de l’obligation de présenter un numéro de référence ou un identifiant de déclaration aux autorités douanières à l’exportation. Au lieu de cela, un code de certificat TARIC spécifique peut être utilisé. </w:t>
      </w:r>
    </w:p>
    <w:p w14:paraId="13038A7D" w14:textId="5E978497" w:rsidR="00605EF6" w:rsidRPr="0012174E" w:rsidRDefault="00F32F1F" w:rsidP="0012174E">
      <w:pPr>
        <w:pStyle w:val="NormalWeb"/>
        <w:spacing w:after="120"/>
        <w:rPr>
          <w:noProof/>
        </w:rPr>
      </w:pPr>
      <w:r>
        <w:rPr>
          <w:noProof/>
        </w:rPr>
        <w:t>Enfin, il est précisé que, dans la chaîne d’approvisionnement du bétail, la première personne physique ou morale qui met du bétail vivant sur le marché de l’Union est l’opérateur (en amont). Tous les vendeurs ultérieurs de bovins vivants sont des commerçants et ne sont pas tenus d’exercer la diligence raisonnée ou de présenter une déclaration de diligence raisonnée ou une déclaration simplifiée.</w:t>
      </w:r>
    </w:p>
    <w:p w14:paraId="37171CE7" w14:textId="1849578F" w:rsidR="00761DE1" w:rsidRPr="0012174E" w:rsidRDefault="00516AE4" w:rsidP="00637B48">
      <w:pPr>
        <w:pStyle w:val="NormalWeb"/>
        <w:tabs>
          <w:tab w:val="left" w:pos="7035"/>
        </w:tabs>
        <w:spacing w:after="120"/>
        <w:rPr>
          <w:i/>
          <w:iCs/>
          <w:noProof/>
        </w:rPr>
      </w:pPr>
      <w:r>
        <w:rPr>
          <w:i/>
          <w:noProof/>
        </w:rPr>
        <w:t>4.1.2. Exonération supplémentaire pour les micro ou petits opérateurs primaires et déclarations des mandataires</w:t>
      </w:r>
    </w:p>
    <w:p w14:paraId="14D1ADE5" w14:textId="50B0BF59" w:rsidR="0075030C" w:rsidRPr="00637B48" w:rsidRDefault="0075030C" w:rsidP="0015133F">
      <w:pPr>
        <w:pStyle w:val="Body"/>
        <w:spacing w:after="120" w:line="240" w:lineRule="auto"/>
        <w:jc w:val="both"/>
        <w:rPr>
          <w:rFonts w:ascii="Times New Roman" w:hAnsi="Times New Roman" w:cs="Times New Roman"/>
          <w:noProof/>
          <w:color w:val="auto"/>
          <w:sz w:val="24"/>
          <w:szCs w:val="24"/>
        </w:rPr>
      </w:pPr>
      <w:r>
        <w:rPr>
          <w:rFonts w:ascii="Times New Roman" w:hAnsi="Times New Roman"/>
          <w:noProof/>
          <w:color w:val="auto"/>
          <w:sz w:val="24"/>
        </w:rPr>
        <w:t>Les micro ou petits opérateurs primaires sont soumis à un régime très simplifié. Plus précisément, au lieu de l’obligation de soumettre une déclaration de diligence raisonnée au système d’information, ils sont uniquement tenus de soumettre une déclaration simplifiée unique au système d’information du règlement. Ils peuvent également utiliser une adresse postale au lieu de la géolocalisation, à condition qu’elle corresponde clairement à la localisation géographique des parcelles de terrain ou, dans le cas des bovins, de l’établissement concerné.</w:t>
      </w:r>
    </w:p>
    <w:p w14:paraId="09396953" w14:textId="674D49A3" w:rsidR="00415CE7" w:rsidRPr="0021237E" w:rsidRDefault="00CE30C5" w:rsidP="0012174E">
      <w:pPr>
        <w:pStyle w:val="NormalWeb"/>
        <w:spacing w:after="120"/>
        <w:rPr>
          <w:noProof/>
        </w:rPr>
      </w:pPr>
      <w:r>
        <w:rPr>
          <w:noProof/>
        </w:rPr>
        <w:t>Un ensemble de clarifications opérationnelles pour les micro ou petits opérateurs primaires précise quelles entreprises remplissent les conditions requises et bénéficient d’une déclaration simplifiée. Plus précisément, les FAQ précisent que même une plus grande entreprise peut être considérée comme un</w:t>
      </w:r>
      <w:bookmarkStart w:id="3" w:name="_Hlk227773525"/>
      <w:r>
        <w:rPr>
          <w:noProof/>
        </w:rPr>
        <w:t xml:space="preserve"> micro ou petit opérateur primaire</w:t>
      </w:r>
      <w:bookmarkEnd w:id="3"/>
      <w:r>
        <w:rPr>
          <w:noProof/>
        </w:rPr>
        <w:t xml:space="preserve"> si elle peut démontrer que le secteur d’activité dans lequel elle exerce des activités liées aux produits de base et produits en cause satisfait aux critères applicables aux micro ou petits opérateurs primaires. Les clarifications comprennent également des explications sur l’utilisation de l’adresse postale comme alternative à la géolocalisation. Il est notamment expliqué qu’au-delà de l’adresse postale directe, en tant qu’option simple supplémentaire, les informations cadastrales ou un équivalent permettant l’identification de la parcelle ou de l’établissement peuvent être utilisés au lieu de la géolocalisation.</w:t>
      </w:r>
    </w:p>
    <w:p w14:paraId="65CE514F" w14:textId="1B0ECE14" w:rsidR="00606611" w:rsidRPr="0021237E" w:rsidRDefault="00EB18FE" w:rsidP="0012174E">
      <w:pPr>
        <w:pStyle w:val="NormalWeb"/>
        <w:spacing w:after="120"/>
        <w:rPr>
          <w:noProof/>
        </w:rPr>
      </w:pPr>
      <w:r>
        <w:rPr>
          <w:noProof/>
        </w:rPr>
        <w:t xml:space="preserve">En outre, les FAQ précisent qu’il n’est pas nécessaire de mettre à jour la déclaration simplifiée si la quantité de production annuelle du produit concerné change. Si la récolte et la mise sur le marché ont lieu de manière irrégulière (par exemple, seulement une fois tous les dix ans), les micro ou petits opérateurs primaires peuvent, dans leurs déclarations simplifiées, ne comptabiliser dans l’estimation que les années au cours desquelles les produits sont effectivement mis sur le marché. Dans le cas d’un </w:t>
      </w:r>
      <w:r>
        <w:rPr>
          <w:noProof/>
          <w:color w:val="000000" w:themeColor="text1"/>
        </w:rPr>
        <w:t>plan de récolte pluriannuel, l’estimation annuelle peut également être l’estimation annuelle la plus élevée à récolter dans le cadre du plan.</w:t>
      </w:r>
      <w:r>
        <w:rPr>
          <w:noProof/>
        </w:rPr>
        <w:t xml:space="preserve"> </w:t>
      </w:r>
    </w:p>
    <w:p w14:paraId="1DEDB61A" w14:textId="26F844EA" w:rsidR="00C0563C" w:rsidRDefault="00743B82" w:rsidP="0012174E">
      <w:pPr>
        <w:pStyle w:val="NormalWeb"/>
        <w:spacing w:after="120"/>
        <w:rPr>
          <w:noProof/>
        </w:rPr>
      </w:pPr>
      <w:r>
        <w:rPr>
          <w:noProof/>
        </w:rPr>
        <w:t xml:space="preserve">Les micro ou petits opérateurs primaires ont la possibilité de faire appel à des mandataires (tels que des organismes gouvernementaux nationaux ou régionaux, des associations ou des coopératives/groupes de producteurs) pour soumettre des données en leur nom. Lorsque la coopérative produit elle-même des produits en cause qu’elle met sur le marché de l’UE (par exemple, dans le cas de ventes de bois sur pied), elle peut être considérée comme un opérateur au titre du règlement. Dans de tels cas, la coopérative, plutôt que ses membres, peut présenter une déclaration de diligence raisonnée unique ou, si la coopérative répond à la définition de micro ou petit opérateur primaire, une déclaration simplifiée unique. </w:t>
      </w:r>
    </w:p>
    <w:p w14:paraId="638ACDEA" w14:textId="37393F17" w:rsidR="0017094B" w:rsidRPr="0012174E" w:rsidRDefault="00743B82" w:rsidP="0012174E">
      <w:pPr>
        <w:pStyle w:val="NormalWeb"/>
        <w:spacing w:after="120"/>
        <w:rPr>
          <w:noProof/>
        </w:rPr>
      </w:pPr>
      <w:r>
        <w:rPr>
          <w:noProof/>
        </w:rPr>
        <w:t>En outre, la Commission encourage la transmission des données disponibles dans les bases de données nationales pour le compte des micro ou petits opérateurs primaires et aide les États membres à tirer pleinement parti des simplifications introduites au titre de l’article 4 </w:t>
      </w:r>
      <w:r>
        <w:rPr>
          <w:i/>
          <w:noProof/>
        </w:rPr>
        <w:t>bis</w:t>
      </w:r>
      <w:r>
        <w:rPr>
          <w:noProof/>
        </w:rPr>
        <w:t>, paragraphe 4. Les coopératives agricoles et forestières et autres associations peuvent être considérées comme des opérateurs ou des micro ou petits opérateurs primaires, en fonction du rôle réel qu’elles jouent dans les chaînes d’approvisionnement, en particulier lorsqu’elles mettent elles-mêmes les produits en cause sur le marché. Cela dépend des arrangements entre les agriculteurs, les sylviculteurs et les associations, ainsi que des législations nationales régissant ces arrangements.</w:t>
      </w:r>
    </w:p>
    <w:p w14:paraId="68137B35" w14:textId="480ADAB7" w:rsidR="00516AE4" w:rsidRPr="0012174E" w:rsidRDefault="00516AE4" w:rsidP="0012174E">
      <w:pPr>
        <w:pStyle w:val="NormalWeb"/>
        <w:spacing w:after="120"/>
        <w:rPr>
          <w:i/>
          <w:iCs/>
          <w:noProof/>
        </w:rPr>
      </w:pPr>
      <w:r>
        <w:rPr>
          <w:i/>
          <w:noProof/>
        </w:rPr>
        <w:t>4.1.3. Simplifications des obligations de diligence raisonnée, en particulier pour les échanges avec les pays à faible risque</w:t>
      </w:r>
    </w:p>
    <w:p w14:paraId="1D8047BD" w14:textId="2A363471" w:rsidR="0036794F" w:rsidRPr="006A5E32" w:rsidRDefault="00ED4672" w:rsidP="0012174E">
      <w:pPr>
        <w:pStyle w:val="NormalWeb"/>
        <w:spacing w:after="120"/>
        <w:rPr>
          <w:i/>
          <w:iCs/>
          <w:noProof/>
        </w:rPr>
      </w:pPr>
      <w:r>
        <w:rPr>
          <w:noProof/>
        </w:rPr>
        <w:t xml:space="preserve">En réponse aux demandes de précisions sur les obligations en matière de diligence raisonnée, le document d’orientation révisé fournit des explications plus claires sur les obligations en matière de diligence raisonnée des opérateurs en ce qui concerne la diligence raisonnée simplifiée et la collecte d’informations sur la législation pertinente conformément à l’article 2, paragraphe 40, et à l’article 9, paragraphe 1, point h). En particulier, il est expliqué que les opérateurs qui s’approvisionnent dans des pays à faible risque bénéficiant d’une diligence raisonnée simplifiée ne sont pas tenus de procéder à une évaluation des risques et d’adopter des mesures d’atténuation des risques, à moins qu’ils n’obtiennent ou ne soient informés d’informations qui indiqueraient un risque que les produits en cause ne soient pas conformes au règlement. Il souligne également que les micro ou petits opérateurs primaires s’approvisionnent, par définition, dans des pays à faible risque et ne sont donc jamais tenus de procéder à une évaluation ou à une atténuation des risques, à moins qu’un risque de non-conformité ne soit recensé. </w:t>
      </w:r>
    </w:p>
    <w:p w14:paraId="70351F35" w14:textId="5C720076" w:rsidR="003D4011" w:rsidRDefault="00ED2074" w:rsidP="0062074D">
      <w:pPr>
        <w:pStyle w:val="NormalWeb"/>
        <w:spacing w:after="120"/>
        <w:rPr>
          <w:b/>
          <w:bCs/>
          <w:noProof/>
          <w:highlight w:val="yellow"/>
        </w:rPr>
      </w:pPr>
      <w:r>
        <w:rPr>
          <w:noProof/>
        </w:rPr>
        <w:t>En outre, les orientations apportent des précisions sur la manière de prouver le respect des lois pertinentes du pays de production (le «critère de légalité»). Afin d’aider les opérateurs à prouver le respect du critère de légalité, la Commission mettra en place des répertoires de la législation pertinente du pays de production et des systèmes de certification (voir section 4.4 ci-dessous). Les orientations soulignent que les opérateurs peuvent décider, sur la base d’un premier examen des informations disponibles, telles que les rapports accessibles au public, les indicateurs et les classifications des pays et régions de production, si une collecte d’informations approfondie est nécessaire. Ils peuvent s’appuyer sur le répertoire de la Commission à ces fins. Si ce premier examen révèle un risque négligeable de non-conformité, les opérateurs ne devraient pas être tenus de procéder à une collecte de données approfondie. Ce n’est que pour les chaînes d’approvisionnement, les zones de production et les pays de production où les informations initiales dont dispose l’opérateur indiquent un risque plus élevé de non-conformité qu’il convient de donner la priorité à une collecte approfondie de données probantes sur le respect de la législation pertinente du pays de production.</w:t>
      </w:r>
    </w:p>
    <w:p w14:paraId="3B3174E5" w14:textId="740B530A" w:rsidR="0015133F" w:rsidRDefault="0015133F">
      <w:pPr>
        <w:spacing w:after="0"/>
        <w:jc w:val="left"/>
        <w:rPr>
          <w:b/>
          <w:bCs/>
          <w:noProof/>
          <w:szCs w:val="24"/>
        </w:rPr>
      </w:pPr>
    </w:p>
    <w:p w14:paraId="2B4164AB" w14:textId="55C9D65C" w:rsidR="001A0EBF" w:rsidRPr="0012174E" w:rsidRDefault="007F3567" w:rsidP="0012174E">
      <w:pPr>
        <w:spacing w:after="120"/>
        <w:jc w:val="left"/>
        <w:rPr>
          <w:b/>
          <w:bCs/>
          <w:noProof/>
          <w:szCs w:val="24"/>
        </w:rPr>
      </w:pPr>
      <w:r>
        <w:rPr>
          <w:b/>
          <w:noProof/>
        </w:rPr>
        <w:t>4.2. Système d’information</w:t>
      </w:r>
    </w:p>
    <w:p w14:paraId="7E5A6D83" w14:textId="2B4C22E5" w:rsidR="39676F12" w:rsidRPr="007B1DAC" w:rsidRDefault="39676F12" w:rsidP="53FAF74D">
      <w:pPr>
        <w:spacing w:after="120"/>
        <w:rPr>
          <w:noProof/>
        </w:rPr>
      </w:pPr>
      <w:r>
        <w:rPr>
          <w:noProof/>
        </w:rPr>
        <w:t>Pour faire en sorte que le système d’information puisse tenir compte de l’augmentation du volume et de la diversité des transactions découlant du règlement révisé, la Commission a procédé à un examen technique complet de l’architecture du système. En conséquence, des améliorations ciblées ont été apportées pour renforcer sa capacité de traitement, son traitement des données et sa résilience opérationnelle. Ces améliorations tiennent compte des retours d’information des parties prenantes et des autorités compétentes sur la performance et la disponibilité du système, ainsi que des projections internes des volumes de transactions. Un programme d’essais spécifique validera l’état de préparation du système avant sa réouverture.</w:t>
      </w:r>
    </w:p>
    <w:p w14:paraId="7BF83B04" w14:textId="341F42B2" w:rsidR="62CA79AF" w:rsidRPr="0012174E" w:rsidRDefault="00EE5135" w:rsidP="0012174E">
      <w:pPr>
        <w:spacing w:after="120"/>
        <w:rPr>
          <w:noProof/>
        </w:rPr>
      </w:pPr>
      <w:r>
        <w:rPr>
          <w:noProof/>
        </w:rPr>
        <w:t xml:space="preserve">Après une fermeture temporaire du système d’information pour intégrer les ajustements nécessaires déclenchés par la révision du règlement, la Commission relancera le système d’information par étapes. La réouverture est prévue pour juin 2026 (pour les environnements de formation et de production). Les mises à jour ultérieures comprendront des fonctionnalités et améliorations supplémentaires qui seront déployées plus tard au cours de l’été et avant la date d’application du règlement. </w:t>
      </w:r>
    </w:p>
    <w:p w14:paraId="5874921D" w14:textId="1E9462E8" w:rsidR="00EB5323" w:rsidRPr="00323262" w:rsidRDefault="00513C13" w:rsidP="3B257163">
      <w:pPr>
        <w:spacing w:after="120"/>
        <w:rPr>
          <w:noProof/>
        </w:rPr>
      </w:pPr>
      <w:r>
        <w:rPr>
          <w:noProof/>
        </w:rPr>
        <w:t xml:space="preserve">Le système d’information comprendra des fonctionnalités visant à faciliter la mise en œuvre, par exemple des mécanismes destinés à aider les autorités des États membres à analyser les données de géolocalisation. À la suite de la modification du règlement en décembre 2025, le système d’information comprendra également de nouvelles fonctionnalités. Le règlement d’exécution (UE) 2024/3084 de la Commission du 4 décembre 2024 est également modifié en conséquence. Les principales fonctionnalités et modifications introduites dans le système d’information et l’acte d’exécution, apportant des simplifications opérationnelles, seront les suivantes: </w:t>
      </w:r>
    </w:p>
    <w:p w14:paraId="67800DE7" w14:textId="2A305C9E" w:rsidR="00EB5323" w:rsidRPr="00C13BD3" w:rsidRDefault="580B5F04" w:rsidP="00637B48">
      <w:pPr>
        <w:pStyle w:val="ListParagraph"/>
        <w:numPr>
          <w:ilvl w:val="0"/>
          <w:numId w:val="82"/>
        </w:numPr>
        <w:spacing w:after="120"/>
        <w:rPr>
          <w:noProof/>
        </w:rPr>
      </w:pPr>
      <w:r>
        <w:rPr>
          <w:noProof/>
        </w:rPr>
        <w:t xml:space="preserve">activation de la possibilité de présenter des déclarations simplifiées, dans le format existant de la déclaration de diligence raisonnée et conformément au texte révisé du règlement. Cette possibilité sera également soutenue par l’interface de programmation d’application (API); </w:t>
      </w:r>
    </w:p>
    <w:p w14:paraId="1D6E72D6" w14:textId="7C8699C8" w:rsidR="00EB5323" w:rsidRPr="00637B48" w:rsidRDefault="65FA19A2" w:rsidP="003837B8">
      <w:pPr>
        <w:pStyle w:val="ListParagraph"/>
        <w:numPr>
          <w:ilvl w:val="0"/>
          <w:numId w:val="82"/>
        </w:numPr>
        <w:spacing w:after="120" w:line="259" w:lineRule="auto"/>
        <w:rPr>
          <w:noProof/>
        </w:rPr>
      </w:pPr>
      <w:r>
        <w:rPr>
          <w:noProof/>
        </w:rPr>
        <w:t xml:space="preserve">enregistrement de nouveaux rôles (micro ou petits opérateurs primaires, opérateurs en aval ou commerçants qui ne sont pas des PME); </w:t>
      </w:r>
    </w:p>
    <w:p w14:paraId="34CD2966" w14:textId="6EE75B4E" w:rsidR="00EB5323" w:rsidRPr="00637B48" w:rsidRDefault="51BAF299" w:rsidP="04C3F146">
      <w:pPr>
        <w:pStyle w:val="ListParagraph"/>
        <w:numPr>
          <w:ilvl w:val="0"/>
          <w:numId w:val="82"/>
        </w:numPr>
        <w:spacing w:after="120" w:line="259" w:lineRule="auto"/>
        <w:rPr>
          <w:noProof/>
        </w:rPr>
      </w:pPr>
      <w:r>
        <w:rPr>
          <w:noProof/>
        </w:rPr>
        <w:t xml:space="preserve">mise à jour des spécifications du service web afin de refléter les fonctionnalités existantes du système et les dispositifs d’urgence; </w:t>
      </w:r>
    </w:p>
    <w:p w14:paraId="611284BC" w14:textId="4816EBD6" w:rsidR="00EB5323" w:rsidRPr="00637B48" w:rsidRDefault="4A835AA5" w:rsidP="04C3F146">
      <w:pPr>
        <w:pStyle w:val="ListParagraph"/>
        <w:numPr>
          <w:ilvl w:val="0"/>
          <w:numId w:val="82"/>
        </w:numPr>
        <w:spacing w:after="120" w:line="259" w:lineRule="auto"/>
        <w:rPr>
          <w:noProof/>
        </w:rPr>
      </w:pPr>
      <w:r>
        <w:rPr>
          <w:noProof/>
        </w:rPr>
        <w:t xml:space="preserve">ajout de fonctionnalités de regroupement volontaire, conformément aux demandes formulées par le secteur privé. </w:t>
      </w:r>
    </w:p>
    <w:p w14:paraId="2DBF3DE2" w14:textId="52C6797A" w:rsidR="005D1C0B" w:rsidRDefault="0269589B" w:rsidP="7A228EF8">
      <w:pPr>
        <w:spacing w:after="120"/>
        <w:rPr>
          <w:noProof/>
        </w:rPr>
      </w:pPr>
      <w:r>
        <w:rPr>
          <w:noProof/>
        </w:rPr>
        <w:t>Parallèlement, la Commission encourage la communication des informations contenues dans les bases de données nationales et aidera les États membres à recourir à la simplification introduite par l’article 4 </w:t>
      </w:r>
      <w:r>
        <w:rPr>
          <w:i/>
          <w:noProof/>
        </w:rPr>
        <w:t>bis</w:t>
      </w:r>
      <w:r>
        <w:rPr>
          <w:noProof/>
        </w:rPr>
        <w:t xml:space="preserve">, paragraphe 4, en vue de faire en sorte que la charge administrative pesant sur les micro et petits opérateurs primaires soit négligeable. La Commission mettra en place l’infrastructure technique nécessaire (notamment au moyen de l’API) pour faciliter ce processus. </w:t>
      </w:r>
    </w:p>
    <w:p w14:paraId="3977E2C6" w14:textId="232F25D9" w:rsidR="008A6291" w:rsidRDefault="009029B2" w:rsidP="0012174E">
      <w:pPr>
        <w:spacing w:after="120"/>
        <w:rPr>
          <w:noProof/>
        </w:rPr>
      </w:pPr>
      <w:r>
        <w:rPr>
          <w:noProof/>
        </w:rPr>
        <w:t>Afin d’aider davantage les opérateurs à utiliser le système, la Commission continuera d’affiner le système et sa documentation de manière continue. Il s’agit notamment des mises à jour prévues des instructions d’utilisation, des orientations sur le traitement des données de géolocalisation et de la description des codes d’erreur. Une attention particulière sera accordée à la facilitation de la transmission des données pour les micro ou petits opérateurs primaires, y compris par l’intermédiaire de leurs organisations de producteurs ou des associations agissant en leur nom en tant que mandataires.</w:t>
      </w:r>
    </w:p>
    <w:p w14:paraId="02877F02" w14:textId="735E3720" w:rsidR="001A0EBF" w:rsidRPr="0012174E" w:rsidRDefault="007F3567" w:rsidP="00D21269">
      <w:pPr>
        <w:spacing w:before="120"/>
        <w:jc w:val="left"/>
        <w:rPr>
          <w:b/>
          <w:bCs/>
          <w:noProof/>
          <w:szCs w:val="24"/>
        </w:rPr>
      </w:pPr>
      <w:r>
        <w:rPr>
          <w:b/>
          <w:noProof/>
        </w:rPr>
        <w:t xml:space="preserve">4.3. Définition des produits  </w:t>
      </w:r>
    </w:p>
    <w:p w14:paraId="60042B05" w14:textId="2F77A01B" w:rsidR="00C71C15" w:rsidRPr="0012174E" w:rsidRDefault="006B7EC5" w:rsidP="0012174E">
      <w:pPr>
        <w:spacing w:after="120"/>
        <w:rPr>
          <w:noProof/>
          <w:szCs w:val="24"/>
        </w:rPr>
      </w:pPr>
      <w:r>
        <w:rPr>
          <w:noProof/>
        </w:rPr>
        <w:t xml:space="preserve">Parallèlement au présent rapport, </w:t>
      </w:r>
      <w:r>
        <w:rPr>
          <w:b/>
          <w:noProof/>
        </w:rPr>
        <w:t>la Commission a également publié, en vue d’un retour d’information du public, un projet d’acte délégué</w:t>
      </w:r>
      <w:r>
        <w:rPr>
          <w:rStyle w:val="FootnoteReference"/>
          <w:noProof/>
          <w:lang w:val="en-IE"/>
        </w:rPr>
        <w:footnoteReference w:id="37"/>
      </w:r>
      <w:r>
        <w:rPr>
          <w:noProof/>
        </w:rPr>
        <w:t xml:space="preserve"> </w:t>
      </w:r>
      <w:r>
        <w:rPr>
          <w:b/>
          <w:noProof/>
        </w:rPr>
        <w:t>comportant des ajustements de la définition des produits du règlement</w:t>
      </w:r>
      <w:r>
        <w:rPr>
          <w:noProof/>
        </w:rPr>
        <w:t xml:space="preserve"> fournie à l’annexe I. Cette annexe énumère les produits en cause soumis aux obligations du règlement lorsqu’ils sont mis sur le marché, mis à disposition sur le marché ou exportés à partir du marché. La Commission est habilitée à modifier l’annexe au moyen d’un acte délégué.</w:t>
      </w:r>
    </w:p>
    <w:p w14:paraId="1642CE66" w14:textId="22E384E2" w:rsidR="008F1F76" w:rsidRPr="0012174E" w:rsidRDefault="00087B9C" w:rsidP="0012174E">
      <w:pPr>
        <w:spacing w:after="120"/>
        <w:rPr>
          <w:noProof/>
        </w:rPr>
      </w:pPr>
      <w:r>
        <w:rPr>
          <w:noProof/>
        </w:rPr>
        <w:t xml:space="preserve">La Commission sollicite l’avis des parties prenantes sur l’introduction d’exemptions horizontales et de clarifications, sur la rationalisation de la manière dont les dispositions du règlement s’appliquent à des catégories spécifiques de produits et de cas d’utilisation, ainsi que sur des modifications ciblées de codes NC spécifiques afin de garantir une approche cohérente et une mise en œuvre efficace du règlement. </w:t>
      </w:r>
    </w:p>
    <w:p w14:paraId="170682A6" w14:textId="1B69F9BC" w:rsidR="00D26CE6" w:rsidRPr="0012174E" w:rsidRDefault="1B71960B" w:rsidP="0012174E">
      <w:pPr>
        <w:spacing w:after="120"/>
        <w:rPr>
          <w:noProof/>
        </w:rPr>
      </w:pPr>
      <w:r>
        <w:rPr>
          <w:noProof/>
        </w:rPr>
        <w:t>Plus précisément,</w:t>
      </w:r>
      <w:r>
        <w:rPr>
          <w:b/>
          <w:noProof/>
        </w:rPr>
        <w:t xml:space="preserve"> </w:t>
      </w:r>
      <w:r>
        <w:rPr>
          <w:noProof/>
        </w:rPr>
        <w:t xml:space="preserve">des exemptions horizontales sont proposées pour faire en sorte que le règlement se concentre sur les produits associés à des risques de déforestation, tout en évitant une charge administrative inutile. En particulier, le projet de texte propose d’exempter les échantillons et les produits utilisés à des fins d’examen, d’analyse et d’essai; les emballages et contenants à usage unique; les emballages et contenants réutilisables; les documents d’information et de commercialisation; les déchets, les produits usagés et les produits d’occasion; ainsi que les envois de correspondance. La plupart de ces clarifications faisaient déjà partie du projet d’acte délégué publié par la Commission en 2025 en vue d’un retour d’information du public. </w:t>
      </w:r>
    </w:p>
    <w:p w14:paraId="41EF6624" w14:textId="0EE0379B" w:rsidR="00482EBD" w:rsidRPr="0012174E" w:rsidRDefault="00D26CE6" w:rsidP="0012174E">
      <w:pPr>
        <w:spacing w:after="120"/>
        <w:rPr>
          <w:noProof/>
          <w:szCs w:val="24"/>
        </w:rPr>
      </w:pPr>
      <w:r>
        <w:rPr>
          <w:noProof/>
        </w:rPr>
        <w:t xml:space="preserve">Des clarifications horizontales supplémentaires sont introduites en précisant que les produits énumérés à l’annexe I du règlement ne sont couverts par ses obligations que dans la mesure où ils sont produits à partir d’un produit de base en cause. À cette fin, le projet d’acte délégué introduit le préfixe </w:t>
      </w:r>
      <w:r>
        <w:rPr>
          <w:i/>
          <w:noProof/>
        </w:rPr>
        <w:t>«ex»</w:t>
      </w:r>
      <w:r>
        <w:rPr>
          <w:noProof/>
        </w:rPr>
        <w:t xml:space="preserve"> dans plusieurs entrées de l’annexe I afin de garantir que les produits fabriqués avec des produits de base non pertinents, tels que l’huile de coco ou le bambou, ne relèvent pas du champ d’application du règlement. Des précisions sur les espèces pertinentes sont également fournies afin de garantir une interprétation claire et cohérente de la définition des produits.</w:t>
      </w:r>
    </w:p>
    <w:p w14:paraId="4D760085" w14:textId="63BBF3C7" w:rsidR="00441970" w:rsidRPr="0012174E" w:rsidRDefault="70FEDB3A" w:rsidP="1400005E">
      <w:pPr>
        <w:spacing w:after="120"/>
        <w:rPr>
          <w:noProof/>
        </w:rPr>
      </w:pPr>
      <w:r>
        <w:rPr>
          <w:noProof/>
        </w:rPr>
        <w:t>En outre, le projet d’acte délégué apporte des modifications à la définition des produits du règlement afin de garantir une entrée en vigueur harmonieuse et efficace, en s’appuyant sur une approche uniforme et cohérente pour tous les produits de base et en prévenant la délocalisation du risque de déforestation. Le projet d’acte propose de retirer du champ d’application du règlement les pneumatiques rechapés</w:t>
      </w:r>
      <w:r>
        <w:rPr>
          <w:noProof/>
          <w:vertAlign w:val="superscript"/>
        </w:rPr>
        <w:footnoteReference w:id="38"/>
      </w:r>
      <w:r>
        <w:rPr>
          <w:noProof/>
        </w:rPr>
        <w:t xml:space="preserve"> ainsi que les peaux et cuirs de bovins</w:t>
      </w:r>
      <w:r>
        <w:rPr>
          <w:noProof/>
          <w:vertAlign w:val="superscript"/>
        </w:rPr>
        <w:footnoteReference w:id="39"/>
      </w:r>
      <w:r>
        <w:rPr>
          <w:noProof/>
        </w:rPr>
        <w:t xml:space="preserve">. </w:t>
      </w:r>
    </w:p>
    <w:p w14:paraId="5BCFA871" w14:textId="2BF04C40" w:rsidR="00B206D5" w:rsidRDefault="744FB33A" w:rsidP="0012174E">
      <w:pPr>
        <w:spacing w:after="120"/>
        <w:rPr>
          <w:noProof/>
        </w:rPr>
      </w:pPr>
      <w:r>
        <w:rPr>
          <w:noProof/>
        </w:rPr>
        <w:t>Dans le même temps, sur la base des retours d’information des parties prenantes, il est proposé d’inclure certains produits en aval dans le champ d’application du règlement afin d’éviter les lacunes dans les obligations applicables au sein de la chaîne d’approvisionnement et de prévenir la délocalisation plutôt que l’élimination du risque de déforestation: le café soluble, certains dérivés de l’huile de palme, y compris le savon à base d’huile de palme, et les langues bovines congelées.</w:t>
      </w:r>
    </w:p>
    <w:p w14:paraId="4CC0C0B1" w14:textId="3CAA0945" w:rsidR="3A9CE33E" w:rsidRDefault="3A9CE33E" w:rsidP="7A228EF8">
      <w:pPr>
        <w:spacing w:after="120"/>
        <w:rPr>
          <w:noProof/>
          <w:szCs w:val="24"/>
        </w:rPr>
      </w:pPr>
      <w:r>
        <w:rPr>
          <w:noProof/>
        </w:rPr>
        <w:t>Le projet d’acte délégué est publié pour une période de consultation publique de quatre semaines, accompagné d’un document de travail des services de la Commission présentant la méthode utilisée pour évaluer les produits susceptibles d’être inclus dans le champ d’application du règlement ou d’en être exclus.</w:t>
      </w:r>
    </w:p>
    <w:p w14:paraId="662A8E9E" w14:textId="717D997F" w:rsidR="00AE226B" w:rsidRPr="0012174E" w:rsidRDefault="007F3567" w:rsidP="00DD0573">
      <w:pPr>
        <w:spacing w:before="120"/>
        <w:jc w:val="left"/>
        <w:rPr>
          <w:b/>
          <w:bCs/>
          <w:noProof/>
          <w:szCs w:val="24"/>
        </w:rPr>
      </w:pPr>
      <w:r>
        <w:rPr>
          <w:b/>
          <w:noProof/>
        </w:rPr>
        <w:t xml:space="preserve">4.4. Nouveaux outils de facilitation des échanges: répertoires de la législation et des systèmes de certification </w:t>
      </w:r>
    </w:p>
    <w:p w14:paraId="59F49238" w14:textId="205FA4AA" w:rsidR="00EB439A" w:rsidRDefault="004206BB" w:rsidP="4130396E">
      <w:pPr>
        <w:spacing w:after="120"/>
        <w:rPr>
          <w:noProof/>
        </w:rPr>
      </w:pPr>
      <w:r>
        <w:rPr>
          <w:noProof/>
        </w:rPr>
        <w:t xml:space="preserve">La mise en œuvre du règlement exige dans certains cas que les opérateurs économiques et les autorités compétentes doivent composer avec un paysage différent des législations nationales dans le cadre du processus de diligence raisonnée. Les opérateurs peuvent recourir à des systèmes de certification dans le cadre de leur évaluation des risques conformément à l’article 10, paragraphe 2. </w:t>
      </w:r>
    </w:p>
    <w:p w14:paraId="3C649E38" w14:textId="77777777" w:rsidR="00C44F2F" w:rsidRDefault="6F8E94A2" w:rsidP="4130396E">
      <w:pPr>
        <w:spacing w:after="120"/>
        <w:rPr>
          <w:noProof/>
        </w:rPr>
      </w:pPr>
      <w:r>
        <w:rPr>
          <w:noProof/>
        </w:rPr>
        <w:t xml:space="preserve">Afin de soutenir les parties prenantes dans cet effort, la Commission mettra en place deux répertoires: </w:t>
      </w:r>
    </w:p>
    <w:p w14:paraId="47D65118" w14:textId="705CE4E9" w:rsidR="00C44F2F" w:rsidRPr="00DD0573" w:rsidRDefault="2867C8D7" w:rsidP="00637B48">
      <w:pPr>
        <w:pStyle w:val="ListParagraph"/>
        <w:numPr>
          <w:ilvl w:val="0"/>
          <w:numId w:val="83"/>
        </w:numPr>
        <w:spacing w:after="120"/>
        <w:rPr>
          <w:noProof/>
        </w:rPr>
      </w:pPr>
      <w:r>
        <w:rPr>
          <w:noProof/>
        </w:rPr>
        <w:t xml:space="preserve">un répertoire regroupant la législation pertinente du pays de production, conformément à l’article 2, paragraphe 40, du règlement, et </w:t>
      </w:r>
    </w:p>
    <w:p w14:paraId="664E437E" w14:textId="77777777" w:rsidR="00C44F2F" w:rsidRPr="00DD0573" w:rsidRDefault="2867C8D7" w:rsidP="00637B48">
      <w:pPr>
        <w:pStyle w:val="ListParagraph"/>
        <w:numPr>
          <w:ilvl w:val="0"/>
          <w:numId w:val="83"/>
        </w:numPr>
        <w:spacing w:after="120"/>
        <w:rPr>
          <w:noProof/>
        </w:rPr>
      </w:pPr>
      <w:r>
        <w:rPr>
          <w:noProof/>
        </w:rPr>
        <w:t xml:space="preserve">un répertoire sur les systèmes de certification applicables aux produits de base en cause dans le règlement. </w:t>
      </w:r>
    </w:p>
    <w:p w14:paraId="1834B9D5" w14:textId="417657E8" w:rsidR="00696825" w:rsidRPr="00C44F2F" w:rsidRDefault="46CA1E4A" w:rsidP="00C44F2F">
      <w:pPr>
        <w:spacing w:after="120"/>
        <w:rPr>
          <w:noProof/>
        </w:rPr>
      </w:pPr>
      <w:r>
        <w:rPr>
          <w:noProof/>
        </w:rPr>
        <w:t>Ces répertoires profiteront aux opérateurs économiques et aux autorités compétentes, car ils faciliteront l’accès aux informations pertinentes nécessaires au processus de diligence raisonnée et contribueront à prouver le respect de l’article 9, paragraphe 1, point h). L’existence d’une source d’information unique et centralisée favorisera également la transparence et évitera les doubles emplois entre les États membres, réduisant ainsi les coûts administratifs associés. Grâce à ces deux répertoires, le partage des bonnes pratiques sera facilité et la cohérence dans l’application du règlement entre les États membres sera assurée.</w:t>
      </w:r>
    </w:p>
    <w:p w14:paraId="0FCC293A" w14:textId="03CC3B26" w:rsidR="14119468" w:rsidRPr="0012174E" w:rsidRDefault="33A5E0A4">
      <w:pPr>
        <w:spacing w:after="120" w:line="259" w:lineRule="auto"/>
        <w:rPr>
          <w:noProof/>
        </w:rPr>
      </w:pPr>
      <w:r>
        <w:rPr>
          <w:noProof/>
        </w:rPr>
        <w:t xml:space="preserve">Les deux répertoires seront hébergés sur des sites internet spécifiques. La Commission fournira des modèles décrivant les informations spécifiques requises pour chaque répertoire, afin de garantir leur pertinence au regard du règlement et leur conformité avec le texte juridique. Les informations seront fournies par les pays tiers et les propriétaires de systèmes de certification. Les répertoires soutiendront les efforts de mise en conformité en facilitant l’accès aux informations pertinentes, en particulier en ce qui concerne l’exigence de légalité et la législation pertinente du pays de production. </w:t>
      </w:r>
    </w:p>
    <w:p w14:paraId="5A1D6B3D" w14:textId="5F1EB40B" w:rsidR="147EB2D4" w:rsidRDefault="0EB35156" w:rsidP="0015133F">
      <w:pPr>
        <w:spacing w:after="0"/>
        <w:rPr>
          <w:noProof/>
        </w:rPr>
      </w:pPr>
      <w:r>
        <w:rPr>
          <w:noProof/>
        </w:rPr>
        <w:t xml:space="preserve">La Commission prévoit de lancer le répertoire de la législation pertinente et le répertoire des systèmes de certification avant l’entrée en vigueur du règlement en décembre 2026. Les pays tiers et les parties prenantes concernées seront invités à partager les informations pertinentes afin de veiller à ce que les répertoires soient complets. </w:t>
      </w:r>
    </w:p>
    <w:p w14:paraId="0FBF515F" w14:textId="77777777" w:rsidR="00EB5722" w:rsidRPr="007C3C3A" w:rsidRDefault="00EB5722" w:rsidP="1400005E">
      <w:pPr>
        <w:spacing w:after="120"/>
        <w:rPr>
          <w:noProof/>
          <w:lang w:val="fr-BE"/>
        </w:rPr>
      </w:pPr>
    </w:p>
    <w:tbl>
      <w:tblPr>
        <w:tblStyle w:val="TableGrid"/>
        <w:tblW w:w="0" w:type="auto"/>
        <w:shd w:val="clear" w:color="auto" w:fill="E8E8E8" w:themeFill="background2"/>
        <w:tblLook w:val="04A0" w:firstRow="1" w:lastRow="0" w:firstColumn="1" w:lastColumn="0" w:noHBand="0" w:noVBand="1"/>
      </w:tblPr>
      <w:tblGrid>
        <w:gridCol w:w="8602"/>
      </w:tblGrid>
      <w:tr w:rsidR="005E1D3B" w14:paraId="10D909F8" w14:textId="77777777" w:rsidTr="00707402">
        <w:tc>
          <w:tcPr>
            <w:tcW w:w="8602" w:type="dxa"/>
            <w:shd w:val="clear" w:color="auto" w:fill="E8E8E8" w:themeFill="background2"/>
          </w:tcPr>
          <w:p w14:paraId="04EE3967" w14:textId="176F1422" w:rsidR="005E1D3B" w:rsidRPr="00EA0AC5" w:rsidRDefault="005E1D3B" w:rsidP="005E1D3B">
            <w:pPr>
              <w:spacing w:after="0"/>
              <w:jc w:val="left"/>
              <w:rPr>
                <w:rFonts w:eastAsia="Aptos"/>
                <w:b/>
                <w:bCs/>
                <w:noProof/>
                <w:szCs w:val="24"/>
              </w:rPr>
            </w:pPr>
            <w:r>
              <w:rPr>
                <w:b/>
                <w:noProof/>
              </w:rPr>
              <w:t>Points clés — Résumé du chapitre:</w:t>
            </w:r>
          </w:p>
          <w:p w14:paraId="421CCC5B" w14:textId="77777777" w:rsidR="005E1D3B" w:rsidRDefault="005E1D3B" w:rsidP="005E1D3B">
            <w:pPr>
              <w:spacing w:after="0"/>
              <w:jc w:val="left"/>
              <w:rPr>
                <w:rFonts w:eastAsia="Aptos"/>
                <w:b/>
                <w:bCs/>
                <w:noProof/>
                <w:szCs w:val="24"/>
                <w:highlight w:val="yellow"/>
                <w:lang w:eastAsia="en-US"/>
              </w:rPr>
            </w:pPr>
          </w:p>
          <w:p w14:paraId="65D891C7" w14:textId="4DAF7B42" w:rsidR="005E1D3B" w:rsidRDefault="005E1D3B" w:rsidP="005E1D3B">
            <w:pPr>
              <w:spacing w:after="120"/>
              <w:rPr>
                <w:rFonts w:eastAsia="Aptos"/>
                <w:noProof/>
                <w:szCs w:val="24"/>
              </w:rPr>
            </w:pPr>
            <w:r>
              <w:rPr>
                <w:noProof/>
              </w:rPr>
              <w:t>Le train de mesures de simplification, qui répond aux préoccupations des parties prenantes, prévoit en particulier:</w:t>
            </w:r>
          </w:p>
          <w:p w14:paraId="405D6D83" w14:textId="77777777" w:rsidR="005E1D3B" w:rsidRDefault="005E1D3B" w:rsidP="005E1D3B">
            <w:pPr>
              <w:pStyle w:val="ListParagraph"/>
              <w:numPr>
                <w:ilvl w:val="0"/>
                <w:numId w:val="74"/>
              </w:numPr>
              <w:spacing w:after="120"/>
              <w:rPr>
                <w:rFonts w:eastAsia="Aptos"/>
                <w:noProof/>
                <w:szCs w:val="24"/>
              </w:rPr>
            </w:pPr>
            <w:r>
              <w:rPr>
                <w:noProof/>
              </w:rPr>
              <w:t xml:space="preserve">une clarification pour les opérateurs en aval, précisant notamment que le rôle des premiers opérateurs en aval dans la collecte des numéros de référence auprès des opérateurs est un rôle passif, et expliquant les règles applicables aux réimportations et les préoccupations étayées; </w:t>
            </w:r>
          </w:p>
          <w:p w14:paraId="5B3F1BD8" w14:textId="3C6713A3" w:rsidR="005E1D3B" w:rsidRDefault="005E1D3B" w:rsidP="005E1D3B">
            <w:pPr>
              <w:pStyle w:val="ListParagraph"/>
              <w:numPr>
                <w:ilvl w:val="0"/>
                <w:numId w:val="74"/>
              </w:numPr>
              <w:spacing w:after="120"/>
              <w:rPr>
                <w:rFonts w:eastAsia="Aptos"/>
                <w:noProof/>
                <w:szCs w:val="24"/>
              </w:rPr>
            </w:pPr>
            <w:r>
              <w:rPr>
                <w:noProof/>
              </w:rPr>
              <w:t xml:space="preserve">une clarification pour les micro ou petits opérateurs primaires, notamment en fournissant des orientations sur les seuils de taille; </w:t>
            </w:r>
          </w:p>
          <w:p w14:paraId="1F1C24D5" w14:textId="044F79A7" w:rsidR="005E1D3B" w:rsidRDefault="005E1D3B" w:rsidP="005E1D3B">
            <w:pPr>
              <w:pStyle w:val="ListParagraph"/>
              <w:numPr>
                <w:ilvl w:val="0"/>
                <w:numId w:val="74"/>
              </w:numPr>
              <w:spacing w:after="120"/>
              <w:rPr>
                <w:rFonts w:eastAsia="Aptos"/>
                <w:noProof/>
                <w:szCs w:val="24"/>
              </w:rPr>
            </w:pPr>
            <w:r>
              <w:rPr>
                <w:noProof/>
              </w:rPr>
              <w:t xml:space="preserve">une clarification du principe de vérification de la légalité, y compris des orientations plus claires sur les exigences simplifiées en matière de diligence raisonnée; </w:t>
            </w:r>
          </w:p>
          <w:p w14:paraId="3F7D3FB6" w14:textId="5AFBA17D" w:rsidR="003C048E" w:rsidRPr="00B446AE" w:rsidRDefault="003C048E" w:rsidP="003C048E">
            <w:pPr>
              <w:pStyle w:val="ListParagraph"/>
              <w:numPr>
                <w:ilvl w:val="0"/>
                <w:numId w:val="74"/>
              </w:numPr>
              <w:spacing w:after="120"/>
              <w:rPr>
                <w:rFonts w:eastAsia="Aptos"/>
                <w:noProof/>
              </w:rPr>
            </w:pPr>
            <w:r>
              <w:rPr>
                <w:noProof/>
              </w:rPr>
              <w:t xml:space="preserve">la mise à jour du système d’information (qui réouvrira en juin 2026) en introduisant de nouvelles fonctions pour tenir compte des modifications apportées au texte du règlement, telles que l’enregistrement de nouveaux rôles, les déclarations simplifiées et les fonctionnalités supplémentaires, y compris des API supplémentaires ou améliorées, ainsi que des outils de regroupement volontaire en réponse aux suggestions des parties prenantes; </w:t>
            </w:r>
          </w:p>
          <w:p w14:paraId="15BDC06B" w14:textId="62CBB837" w:rsidR="005E1D3B" w:rsidRDefault="0593C1C2" w:rsidP="7A228EF8">
            <w:pPr>
              <w:pStyle w:val="ListParagraph"/>
              <w:numPr>
                <w:ilvl w:val="0"/>
                <w:numId w:val="74"/>
              </w:numPr>
              <w:spacing w:after="120"/>
              <w:rPr>
                <w:rFonts w:eastAsia="Aptos"/>
                <w:noProof/>
              </w:rPr>
            </w:pPr>
            <w:r>
              <w:rPr>
                <w:noProof/>
              </w:rPr>
              <w:t xml:space="preserve">la précision de la définition des produits en proposant d’introduire certaines exemptions horizontales, en supprimant certains produits (par exemple, les pneumatiques rechapés et les peaux et cuirs de bovins) et en en incluant d’autres (par exemple, le café soluble, certains dérivés de l’huile de palme et les langues de bovins congelées), comme indiqué dans le projet d’acte délégué publié en vue d’un retour d’information du public; </w:t>
            </w:r>
          </w:p>
          <w:p w14:paraId="50E2335B" w14:textId="5DC3D3AF" w:rsidR="005E1D3B" w:rsidRDefault="005E1D3B" w:rsidP="00FF041C">
            <w:pPr>
              <w:pStyle w:val="ListParagraph"/>
              <w:numPr>
                <w:ilvl w:val="0"/>
                <w:numId w:val="74"/>
              </w:numPr>
              <w:ind w:left="714" w:hanging="357"/>
              <w:rPr>
                <w:noProof/>
              </w:rPr>
            </w:pPr>
            <w:r>
              <w:rPr>
                <w:noProof/>
              </w:rPr>
              <w:t xml:space="preserve">le lancement des répertoires de la législation pertinente des pays de production et des systèmes de certification d’ici la fin de 2026. </w:t>
            </w:r>
          </w:p>
        </w:tc>
      </w:tr>
    </w:tbl>
    <w:p w14:paraId="3E1FB100" w14:textId="77777777" w:rsidR="005E1D3B" w:rsidRPr="007C3C3A" w:rsidRDefault="005E1D3B" w:rsidP="0012174E">
      <w:pPr>
        <w:spacing w:after="120"/>
        <w:rPr>
          <w:noProof/>
          <w:lang w:val="fr-BE"/>
        </w:rPr>
      </w:pPr>
    </w:p>
    <w:p w14:paraId="416D9431" w14:textId="63579BE6" w:rsidR="004B6324" w:rsidRPr="0012174E" w:rsidRDefault="007F3567" w:rsidP="0012174E">
      <w:pPr>
        <w:spacing w:after="120"/>
        <w:rPr>
          <w:b/>
          <w:bCs/>
          <w:noProof/>
          <w:sz w:val="28"/>
          <w:szCs w:val="28"/>
        </w:rPr>
      </w:pPr>
      <w:r>
        <w:rPr>
          <w:b/>
          <w:noProof/>
          <w:sz w:val="28"/>
        </w:rPr>
        <w:t xml:space="preserve">5. Évaluation quantitative des efforts de simplification </w:t>
      </w:r>
    </w:p>
    <w:p w14:paraId="771E1408" w14:textId="2B1F5D09" w:rsidR="00FE7A04" w:rsidRDefault="00050934" w:rsidP="0012174E">
      <w:pPr>
        <w:spacing w:after="120"/>
        <w:rPr>
          <w:noProof/>
        </w:rPr>
      </w:pPr>
      <w:r>
        <w:rPr>
          <w:noProof/>
        </w:rPr>
        <w:t xml:space="preserve">S’appuyant sur les simplifications expliquées aux chapitres 2 et 4, le présent chapitre présente une quantification économique des coûts annuels récurrents de mise en conformité pour les opérateurs et les commerçants (section 5.1) et des avantages environnementaux annuels associés (section 5.2) du règlement. Il s’agit d’une base de comparaison cohérente sur une base annuelle. </w:t>
      </w:r>
    </w:p>
    <w:p w14:paraId="174BDCC6" w14:textId="4A64E462" w:rsidR="002660DA" w:rsidRPr="0012174E" w:rsidRDefault="007F3567" w:rsidP="0012174E">
      <w:pPr>
        <w:spacing w:after="120"/>
        <w:rPr>
          <w:b/>
          <w:bCs/>
          <w:noProof/>
          <w:szCs w:val="24"/>
        </w:rPr>
      </w:pPr>
      <w:r>
        <w:rPr>
          <w:b/>
          <w:noProof/>
        </w:rPr>
        <w:t>5.1. Quantification économique de la charge administrative</w:t>
      </w:r>
    </w:p>
    <w:p w14:paraId="56616619" w14:textId="01E91721" w:rsidR="00C11A02" w:rsidRPr="0012174E" w:rsidRDefault="6764C93E" w:rsidP="4A70F6D5">
      <w:pPr>
        <w:spacing w:after="120"/>
        <w:rPr>
          <w:noProof/>
        </w:rPr>
      </w:pPr>
      <w:r>
        <w:rPr>
          <w:noProof/>
        </w:rPr>
        <w:t>Dans l’ensemble, les mesures de simplification législatives et non législatives décrites dans les chapitres précédents devraient réduire les coûts annuels de mise en conformité pour les entreprises soumises aux obligations du règlement d’environ 75 %, passant d’un montant estimé à 8,1 milliards d’EUR par an au titre du règlement tel qu’il est entré en vigueur en 2023 à 2,0 milliards d’EUR par an une fois toutes les mesures de simplification prises en compte</w:t>
      </w:r>
      <w:r>
        <w:rPr>
          <w:rStyle w:val="FootnoteReference"/>
          <w:noProof/>
          <w:lang w:val="en-IE"/>
        </w:rPr>
        <w:footnoteReference w:id="40"/>
      </w:r>
      <w:r>
        <w:rPr>
          <w:noProof/>
        </w:rPr>
        <w:t xml:space="preserve">. </w:t>
      </w:r>
    </w:p>
    <w:p w14:paraId="4BC28102" w14:textId="59691F24" w:rsidR="00CC1870" w:rsidRPr="0012174E" w:rsidRDefault="00CC1870" w:rsidP="0012174E">
      <w:pPr>
        <w:spacing w:after="120"/>
        <w:rPr>
          <w:noProof/>
          <w:szCs w:val="24"/>
        </w:rPr>
      </w:pPr>
      <w:r>
        <w:rPr>
          <w:noProof/>
        </w:rPr>
        <w:t>Cette baisse significative est due à une combinaison d’ajustements ciblés qui simplifient collectivement le cadre réglementaire. Parmi les mesures passées de réduction des coûts chiffrées figurent l’exercice de classification des risques (mai 2025), dans le cadre duquel davantage de pays sont classés comme «à faible risque» que prévu dans l’analyse d’impact initiale, la possibilité de présenter chaque année des déclarations de diligence raisonnée (clarification dans les FAQ et les documents d’orientation d’avril 2025) et le régime simplifié pour les micro ou petits opérateurs primaires (révision du règlement de 2025).</w:t>
      </w:r>
    </w:p>
    <w:p w14:paraId="38A20A92" w14:textId="1715DB12" w:rsidR="009B0656" w:rsidRPr="0012174E" w:rsidRDefault="00CC1870" w:rsidP="0012174E">
      <w:pPr>
        <w:spacing w:after="120"/>
        <w:rPr>
          <w:noProof/>
        </w:rPr>
      </w:pPr>
      <w:r>
        <w:rPr>
          <w:noProof/>
        </w:rPr>
        <w:t>La quantification tient également compte des dernières simplifications publiées en même temps que le présent rapport. Les modifications proposées dans le projet d’acte délégué publié en vue d’un retour d’information du public, telles que l’inclusion des produits à base d’huile de palme en aval et le retrait du cuir, ainsi que des exemptions horizontales, sont envisagées. En outre, d’autres réductions de coûts découlent d’une interprétation plus claire de la manière dont le devoir de diligence est vérifié, ainsi que de l’interprétation de la collecte d’identifiants ou de numéros de référence en tant qu’obligation passive pour les acteurs en aval.</w:t>
      </w:r>
    </w:p>
    <w:p w14:paraId="3CFEA531" w14:textId="30DC9A7F" w:rsidR="00C258FD" w:rsidRPr="0012174E" w:rsidRDefault="00C258FD" w:rsidP="001B114D">
      <w:pPr>
        <w:spacing w:after="120"/>
        <w:rPr>
          <w:noProof/>
          <w:szCs w:val="24"/>
        </w:rPr>
      </w:pPr>
      <w:r>
        <w:rPr>
          <w:noProof/>
        </w:rPr>
        <w:t>La figure 2 présente une vue d’ensemble des économies réalisées à chaque étape. Au total, les réductions de coûts les plus importantes sont dues à l’introduction du régime simplifié et aux modifications du champ d’application du règlement. L’introduction du régime simplifié est particulièrement efficace en raison du grand nombre de micro et petits producteurs primaires. Si les économies de coûts pour les grands opérateurs en aval sont importantes au niveau de chaque opérateur, leur contribution aux réductions totales des coûts de mise en conformité avec le règlement reste plus limitée en raison de leur part relativement faible dans la population globale des opérateurs.</w:t>
      </w:r>
    </w:p>
    <w:p w14:paraId="1B06D229" w14:textId="5F81F90E" w:rsidR="00124C55" w:rsidRPr="0012174E" w:rsidRDefault="00124C55" w:rsidP="0012174E">
      <w:pPr>
        <w:pStyle w:val="Caption"/>
        <w:keepNext/>
        <w:spacing w:after="120"/>
        <w:rPr>
          <w:noProof/>
          <w:sz w:val="24"/>
          <w:szCs w:val="24"/>
        </w:rPr>
      </w:pPr>
      <w:r>
        <w:rPr>
          <w:noProof/>
          <w:sz w:val="24"/>
        </w:rPr>
        <w:t>Figure 2</w:t>
      </w:r>
      <w:r>
        <w:rPr>
          <w:noProof/>
          <w:sz w:val="24"/>
        </w:rPr>
        <w:fldChar w:fldCharType="begin"/>
      </w:r>
      <w:r>
        <w:rPr>
          <w:noProof/>
          <w:sz w:val="24"/>
        </w:rPr>
        <w:instrText xml:space="preserve"> SEQ Figure \* ARABIC </w:instrText>
      </w:r>
      <w:r>
        <w:rPr>
          <w:noProof/>
          <w:sz w:val="24"/>
        </w:rPr>
        <w:fldChar w:fldCharType="end"/>
      </w:r>
      <w:r>
        <w:rPr>
          <w:noProof/>
          <w:sz w:val="24"/>
        </w:rPr>
        <w:t>: Ventilation des économies de coûts réalisées depuis l’entrée en vigueur en juin 2023, par train de mesures de simplification introduit entre avril 2025 et avril 2026, en milliards d’EUR par an</w:t>
      </w:r>
    </w:p>
    <w:p w14:paraId="73846195" w14:textId="24C8862F" w:rsidR="00AA3A0E" w:rsidRPr="0012174E" w:rsidRDefault="00E96DB6" w:rsidP="0012174E">
      <w:pPr>
        <w:spacing w:after="120"/>
        <w:rPr>
          <w:noProof/>
          <w:szCs w:val="24"/>
        </w:rPr>
      </w:pPr>
      <w:r>
        <w:rPr>
          <w:noProof/>
          <w:lang w:val="en-GB" w:eastAsia="en-GB"/>
        </w:rPr>
        <w:drawing>
          <wp:inline distT="0" distB="0" distL="0" distR="0" wp14:anchorId="3BD07C6F" wp14:editId="338767C8">
            <wp:extent cx="5472430" cy="3192145"/>
            <wp:effectExtent l="0" t="0" r="0" b="8255"/>
            <wp:docPr id="137123160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FC650D5" w14:textId="77777777" w:rsidR="00FF041C" w:rsidRDefault="00FF041C" w:rsidP="0012174E">
      <w:pPr>
        <w:spacing w:after="120"/>
        <w:rPr>
          <w:i/>
          <w:iCs/>
          <w:noProof/>
          <w:szCs w:val="24"/>
        </w:rPr>
      </w:pPr>
    </w:p>
    <w:p w14:paraId="27A0D57C" w14:textId="776ED21C" w:rsidR="00AA3A0E" w:rsidRPr="0012174E" w:rsidRDefault="00C04552" w:rsidP="0012174E">
      <w:pPr>
        <w:spacing w:after="120"/>
        <w:rPr>
          <w:i/>
          <w:iCs/>
          <w:noProof/>
          <w:szCs w:val="24"/>
        </w:rPr>
      </w:pPr>
      <w:r>
        <w:rPr>
          <w:i/>
          <w:noProof/>
        </w:rPr>
        <w:t>Méthode de quantification économique</w:t>
      </w:r>
    </w:p>
    <w:p w14:paraId="30B9B3DE" w14:textId="67AF37D6" w:rsidR="002833AE" w:rsidRDefault="0032287C" w:rsidP="0012174E">
      <w:pPr>
        <w:spacing w:after="120"/>
        <w:rPr>
          <w:noProof/>
        </w:rPr>
      </w:pPr>
      <w:r>
        <w:rPr>
          <w:noProof/>
        </w:rPr>
        <w:t>La méthode</w:t>
      </w:r>
      <w:r>
        <w:rPr>
          <w:rStyle w:val="FootnoteReference"/>
          <w:noProof/>
          <w:lang w:val="en-IE"/>
        </w:rPr>
        <w:footnoteReference w:id="41"/>
      </w:r>
      <w:r>
        <w:rPr>
          <w:noProof/>
        </w:rPr>
        <w:t xml:space="preserve"> a suivi l’approche standard d’estimation des coûts, en calculant les coûts récurrents annuels en multipliant le nombre d’opérateurs et de commerçants soumis au règlement par un coût moyen fixe par acteur. </w:t>
      </w:r>
    </w:p>
    <w:p w14:paraId="65EA368B" w14:textId="183C83F3" w:rsidR="00A021F8" w:rsidRPr="0012174E" w:rsidRDefault="00A021F8" w:rsidP="0012174E">
      <w:pPr>
        <w:spacing w:after="120"/>
        <w:rPr>
          <w:noProof/>
          <w:highlight w:val="yellow"/>
        </w:rPr>
      </w:pPr>
      <w:r>
        <w:rPr>
          <w:noProof/>
        </w:rPr>
        <w:t>Les coûts récurrents comprennent, conformément à la définition figurant dans l’analyse d’impact initiale, les coûts des employés affectés à la tâche, la maintenance des systèmes et les coûts liés à la collecte, à l’agrégation et à l’analyse des données, y compris, dans certains cas, les services professionnels pour les enquêtes et les coûts d’audit de tiers.</w:t>
      </w:r>
    </w:p>
    <w:p w14:paraId="0784D0F9" w14:textId="649ED066" w:rsidR="0011394A" w:rsidRPr="0012174E" w:rsidRDefault="0011394A" w:rsidP="0012174E">
      <w:pPr>
        <w:spacing w:after="120"/>
        <w:rPr>
          <w:noProof/>
          <w:szCs w:val="24"/>
        </w:rPr>
      </w:pPr>
      <w:r>
        <w:rPr>
          <w:noProof/>
        </w:rPr>
        <w:t>Les calculs s’appuient sur les quantifications économiques de l’analyse d’impact initiale, mais le scénario de référence a été étendu pour tenir compte des segments d’acteurs précédemment omis. Les calculs des coûts de mise en conformité couvrent désormais tous les opérateurs importateurs, remplaçant l’hypothèse initiale selon laquelle seule la moitié d’entre eux supportent des coûts supplémentaires liés à la diligence raisonnée. Les opérateurs en aval, les commerçants et les producteurs nationaux sont également inclus, ce qui reflète les coûts de mise en conformité récurrents qui étaient précédemment exclus en raison de lacunes dans les données ou d’hypothèses d’incidence négligeable.</w:t>
      </w:r>
    </w:p>
    <w:p w14:paraId="1B50A90C" w14:textId="2BB899C3" w:rsidR="00DA6E38" w:rsidRPr="0012174E" w:rsidRDefault="00DA6E38" w:rsidP="4A70F6D5">
      <w:pPr>
        <w:spacing w:after="120"/>
        <w:rPr>
          <w:noProof/>
        </w:rPr>
      </w:pPr>
      <w:r>
        <w:rPr>
          <w:noProof/>
        </w:rPr>
        <w:t>Pour les importateurs et les opérateurs en aval, ainsi que pour les commerçants et les producteurs primaires nationaux de taille moyenne et de grande taille, les mêmes estimations de coûts unitaires liés au devoir de diligence raisonnée que celles figurant dans l’analyse d’impact initiale sont appliquées. Cette analyse supposait un coût de mise en conformité par entreprise de 1 000 EUR pour la gamme basse, de 10 000 EUR pour la gamme centrale et de 15 000 EUR pour la gamme haute lorsqu’elle s’approvisionne dans des pays standard ou à haut risque. La présente étude se concentre sur la valeur centrale de 10 000 EUR par entreprise. Un opérateur s’approvisionnant dans des pays à faible risque est supposé supporter la moitié du coût standard. Pour les micro ou petits opérateurs primaires, les coûts liés au devoir de diligence raisonnée sont estimés à 500 EUR par opérateur et par an, ce qui reflète une réduction de leurs dépenses pour le suivi de la chaîne d’approvisionnement et la documentation relative à la conformité.</w:t>
      </w:r>
    </w:p>
    <w:p w14:paraId="33E647E1" w14:textId="0FD4D0DE" w:rsidR="000C5068" w:rsidRPr="000C5068" w:rsidRDefault="00C91D10" w:rsidP="000C5068">
      <w:pPr>
        <w:spacing w:after="120"/>
        <w:rPr>
          <w:noProof/>
          <w:szCs w:val="24"/>
        </w:rPr>
      </w:pPr>
      <w:r>
        <w:rPr>
          <w:noProof/>
        </w:rPr>
        <w:t>Une réduction de 10,7 % du coût par opérateur est introduite à la suite des simplifications décrites dans les FAQ et les documents d’orientation d’avril 2025, notamment la possibilité de couvrir plusieurs envois ou lots dans le cadre d’une seule déclaration annuelle de diligence raisonnée. Cette estimation repose sur l’hypothèse que les coûts de déclaration représentent environ 11 % du total des coûts liés au devoir de diligence raisonnée</w:t>
      </w:r>
      <w:r>
        <w:rPr>
          <w:rStyle w:val="FootnoteReference"/>
          <w:noProof/>
          <w:szCs w:val="24"/>
          <w:lang w:val="en-IE"/>
        </w:rPr>
        <w:footnoteReference w:id="42"/>
      </w:r>
      <w:r>
        <w:rPr>
          <w:noProof/>
        </w:rPr>
        <w:t>, combinée à des données sur la fréquence des expéditions indiquant que les entreprises traitent en moyenne 42 expéditions par an (à l’exclusion des échantillons).</w:t>
      </w:r>
    </w:p>
    <w:p w14:paraId="1F8CD544" w14:textId="66435F2A" w:rsidR="00C91D10" w:rsidRPr="0012174E" w:rsidRDefault="00C91D10" w:rsidP="0012174E">
      <w:pPr>
        <w:spacing w:after="120"/>
        <w:rPr>
          <w:noProof/>
          <w:szCs w:val="24"/>
        </w:rPr>
      </w:pPr>
      <w:r>
        <w:rPr>
          <w:noProof/>
        </w:rPr>
        <w:t>Afin de rendre compte de l’effet de l’exercice de classification des risques de mai 2025, au cours duquel un plus grand nombre de pays sont classés comme «à faible risque», une part plus importante, 51 % au lieu de 20 % auparavant, de la base des opérateurs importateurs se voit attribuer la moitié du coût de mise en conformité standard.</w:t>
      </w:r>
    </w:p>
    <w:p w14:paraId="2188DB3D" w14:textId="63EFA37B" w:rsidR="002778BE" w:rsidRPr="0012174E" w:rsidRDefault="002778BE" w:rsidP="0012174E">
      <w:pPr>
        <w:spacing w:after="120"/>
        <w:rPr>
          <w:noProof/>
          <w:szCs w:val="24"/>
        </w:rPr>
      </w:pPr>
      <w:r>
        <w:rPr>
          <w:noProof/>
        </w:rPr>
        <w:t>Afin de quantifier les simplifications introduites par la modification de décembre 2025, le coût par opérateur pour les micro ou petits opérateurs primaires est considérablement réduit, étant donné que l’obligation de présenter régulièrement des déclarations de diligence raisonnée est remplacée par une déclaration unique qui peut être mise à jour en cas de changements majeurs. Pour ces calculs, il est supposé que la déclaration est mise à jour en moyenne une fois tous les 20 ans, ce qui réduit le coût annuel récurrent de 95 %. De même, les opérateurs en aval et les commerçants, qui n’ont plus besoin de répercuter les numéros de référence, ne devraient supporter que 5 % de leurs coûts de mise en conformité initiaux pour collecter et stocker passivement les numéros de référence reçus de l’opérateur en amont.</w:t>
      </w:r>
    </w:p>
    <w:p w14:paraId="0DF6534F" w14:textId="11992FD9" w:rsidR="008524C1" w:rsidRPr="00AC6499" w:rsidRDefault="00195BE7" w:rsidP="008524C1">
      <w:pPr>
        <w:spacing w:after="120"/>
        <w:rPr>
          <w:noProof/>
        </w:rPr>
      </w:pPr>
      <w:r>
        <w:rPr>
          <w:noProof/>
        </w:rPr>
        <w:t>Les modifications apportées au champ d’application lié aux produits, tant par la modification de 2025 que par le projet d’acte délégué de 2026, sont intégrées en ajustant la taille de la population des opérateurs importateurs sur la base du nombre d’opérateurs uniques pour tous les produits concernés par le règlement, tel qu’il ressort de la base de données de surveillance de la direction générale de la fiscalité et de l’union douanière. En partant d’une estimation de 352 000 opérateurs, à l’exclusion des livres, du cuir et des pneumatiques rechapés, et en incluant les produits dérivés à base d’huile de palme, le café et les langues bovines congelées, on réduit le nombre d’opérateurs importateurs uniques à 275 000. Conformément aux documents d’orientation et aux FAQ mis à jour, de nouvelles réductions des coûts sont appliquées pour les opérateurs en aval et les commerçants, reflétant l’approche pragmatique adoptée pour la vérification de la diligence raisonnée, ainsi que le fait que la collecte d’identifiants ou de numéros de référence constitue clairement une obligation passive pour les acteurs en aval. En outre, une réduction de 6,8 % des coûts est appliquée pour tenir compte des simplifications horizontales introduites dans le projet d’acte délégué. Cette réduction est principalement due aux exemptions pour les déchets et les produits usagés (4,6 %), suivis par les matériaux d’emballage (1,95 %), tandis que les produits liés au bambou représentent une part plus faible (0,25 %) et que les échantillons ont une incidence négligeable (0,004 %). La part des déchets et des produits usagés a été estimée à l’aide d’indicateurs de substitution, généralement déduits d’autres catégories de produits pour lesquelles des données étaient disponibles au moyen de valeurs à l’importation associées à des codes NC spécifiques. La valeur des échantillons a été calculée à partir des données douanières et commerciales, en appliquant un seuil de 150 EUR pour identifier les envois de faible valeur en tant qu’échantillons. Les exonérations liées au bambou ont été calculées à l’aide de codes NC qui permettaient d’établir une distinction claire entre le bambou et les produits du bois. Enfin, les économies liées aux matériaux d’emballage ont été estimées sur la base des codes NC pertinents couvrant des articles tels que les caisses d’emballage en bois, les caisses, les palettes, les fûts, les barils, les cartons et les boîtes. L’analyse ne couvre pas les coûts d’application ou de mise en œuvre plus larges supportés chaque année par les pouvoirs publics des États membres de l’UE en ce qui concerne le règlement dans son ensemble. Ces coûts, estimés dans l’analyse d’impact initiale à environ 18 millions d’EUR par an, ne devraient varier que de manière marginale et, étant donné qu’ils sont d’environ deux ordres de grandeur inférieurs aux coûts de mise en conformité récurrents estimés pour les opérateurs et les commerçants, ils ne devraient pas affecter la proportionnalité globale du règlement. Il en va de même pour les coûts que la Commission européenne devrait supporter, estimés à 16,5 millions d’EUR au cours des six premières années de mise en œuvre.</w:t>
      </w:r>
    </w:p>
    <w:p w14:paraId="4AF6C3A4" w14:textId="4691FC4B" w:rsidR="00FF041C" w:rsidRDefault="003B71B5" w:rsidP="0012174E">
      <w:pPr>
        <w:spacing w:after="120"/>
        <w:rPr>
          <w:noProof/>
        </w:rPr>
      </w:pPr>
      <w:r>
        <w:rPr>
          <w:noProof/>
        </w:rPr>
        <w:t>Cette analyse ne tient pas compte des coûts ponctuels supportés par les opérateurs, tels que l’élaboration et la mise en place d’une politique de diligence raisonnée, l’acquisition et l’installation des systèmes informatiques nécessaires, l’information et la formation du personnel et des partenaires de la chaîne d’approvisionnement, étant donné que ces coûts ne sont pas comparables sur une base annuelle. Ces coûts devraient diminuer proportionnellement à la réduction du nombre d’opérateurs uniques soumis au règlement à la suite des modifications apportées à la définition du produit.</w:t>
      </w:r>
    </w:p>
    <w:p w14:paraId="79335A41" w14:textId="0D97B75D" w:rsidR="004B6324" w:rsidRPr="0012174E" w:rsidRDefault="007F3567" w:rsidP="0012174E">
      <w:pPr>
        <w:spacing w:after="120"/>
        <w:rPr>
          <w:b/>
          <w:bCs/>
          <w:noProof/>
          <w:szCs w:val="24"/>
        </w:rPr>
      </w:pPr>
      <w:r>
        <w:rPr>
          <w:b/>
          <w:noProof/>
        </w:rPr>
        <w:t>5.2. Proportionnalité des coûts et des avantages pour l’environnement</w:t>
      </w:r>
    </w:p>
    <w:p w14:paraId="3A297645" w14:textId="2ED7A575" w:rsidR="00C52586" w:rsidRPr="0012174E" w:rsidRDefault="00C52586" w:rsidP="4A70F6D5">
      <w:pPr>
        <w:spacing w:after="120"/>
        <w:rPr>
          <w:noProof/>
        </w:rPr>
      </w:pPr>
      <w:r>
        <w:rPr>
          <w:noProof/>
        </w:rPr>
        <w:t>Sur la base des données de la période 2015-2020</w:t>
      </w:r>
      <w:r>
        <w:rPr>
          <w:rStyle w:val="FootnoteReference"/>
          <w:noProof/>
          <w:lang w:val="en-IE"/>
        </w:rPr>
        <w:footnoteReference w:id="43"/>
      </w:r>
      <w:r>
        <w:rPr>
          <w:noProof/>
        </w:rPr>
        <w:t>, le règlement devrait, après la suppression du code SH 49 et compte tenu des modifications proposées dans l’acte délégué, générer des avantages économiques d’environ 7 milliards d’EUR par an en monétisant 208 000 hectares de déforestation évitée et 49 millions de tonnes d’émissions de gaz à effet de serre évitées tant au sein de l’UE qu’intégrées dans les importations. Cela dépasse donc largement les coûts estimés de mise en conformité après la simplification. La figure 3 illustre la ventilation des avantages environnementaux par produit de base à la suite des modifications proposées dans le projet d’acte délégué.</w:t>
      </w:r>
    </w:p>
    <w:p w14:paraId="3578BFAB" w14:textId="6012A8F7" w:rsidR="00C52586" w:rsidRPr="0012174E" w:rsidRDefault="00C52586" w:rsidP="0012174E">
      <w:pPr>
        <w:pStyle w:val="Caption"/>
        <w:keepNext/>
        <w:spacing w:after="120"/>
        <w:jc w:val="left"/>
        <w:rPr>
          <w:noProof/>
          <w:sz w:val="24"/>
          <w:szCs w:val="24"/>
        </w:rPr>
      </w:pPr>
      <w:r>
        <w:rPr>
          <w:noProof/>
          <w:sz w:val="24"/>
        </w:rPr>
        <w:t>Figure 3</w:t>
      </w:r>
      <w:r>
        <w:rPr>
          <w:noProof/>
          <w:sz w:val="24"/>
        </w:rPr>
        <w:fldChar w:fldCharType="begin"/>
      </w:r>
      <w:r>
        <w:rPr>
          <w:noProof/>
          <w:sz w:val="24"/>
        </w:rPr>
        <w:instrText xml:space="preserve"> SEQ Figure \* ARABIC </w:instrText>
      </w:r>
      <w:r>
        <w:rPr>
          <w:noProof/>
          <w:sz w:val="24"/>
        </w:rPr>
        <w:fldChar w:fldCharType="end"/>
      </w:r>
      <w:r>
        <w:rPr>
          <w:noProof/>
          <w:sz w:val="24"/>
        </w:rPr>
        <w:t>: Avantages environnementaux découlant du nouveau champ d’application, à la fois au sein de l’UE et intégrés dans les importations annuelles, ventilés par produit</w:t>
      </w:r>
      <w:r>
        <w:rPr>
          <w:rStyle w:val="FootnoteReference"/>
          <w:noProof/>
          <w:sz w:val="24"/>
          <w:szCs w:val="24"/>
        </w:rPr>
        <w:footnoteReference w:id="44"/>
      </w:r>
      <w:r>
        <w:rPr>
          <w:noProof/>
          <w:sz w:val="24"/>
        </w:rPr>
        <w:t> </w:t>
      </w:r>
    </w:p>
    <w:p w14:paraId="20E324D7" w14:textId="6F64D6B9" w:rsidR="00892B58" w:rsidRPr="00E84250" w:rsidRDefault="00AD51D7" w:rsidP="0012174E">
      <w:pPr>
        <w:spacing w:after="120"/>
        <w:rPr>
          <w:noProof/>
        </w:rPr>
      </w:pPr>
      <w:r>
        <w:rPr>
          <w:noProof/>
          <w:lang w:val="en-GB" w:eastAsia="en-GB"/>
        </w:rPr>
        <w:drawing>
          <wp:inline distT="0" distB="0" distL="0" distR="0" wp14:anchorId="0A8E5E16" wp14:editId="058D041B">
            <wp:extent cx="5424143" cy="2476500"/>
            <wp:effectExtent l="0" t="0" r="5715" b="0"/>
            <wp:docPr id="171706384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0B59951" w14:textId="4565D748" w:rsidR="008360DD" w:rsidRPr="0012174E" w:rsidRDefault="008360DD" w:rsidP="0012174E">
      <w:pPr>
        <w:spacing w:after="120"/>
        <w:rPr>
          <w:i/>
          <w:iCs/>
          <w:noProof/>
          <w:szCs w:val="24"/>
        </w:rPr>
      </w:pPr>
      <w:r>
        <w:rPr>
          <w:i/>
          <w:noProof/>
        </w:rPr>
        <w:t>Méthode de calcul des avantages environnementaux</w:t>
      </w:r>
    </w:p>
    <w:p w14:paraId="7E6E19C7" w14:textId="6988A854" w:rsidR="009D39A4" w:rsidRPr="0012174E" w:rsidRDefault="00B92DB8" w:rsidP="009D39A4">
      <w:pPr>
        <w:spacing w:after="120"/>
        <w:rPr>
          <w:noProof/>
        </w:rPr>
      </w:pPr>
      <w:r>
        <w:rPr>
          <w:noProof/>
        </w:rPr>
        <w:t>Les avantages environnementaux sont quantifiés sur la base de l’empreinte de déforestation et d’émissions associée à l’importation de marchandises couvertes par le règlement et de la déforestation et des émissions associées à la production des produits de base en cause au sein de l’UE. L’empreinte de déforestation correspond à la superficie de terres qui ont été converties de forêts à un usage agricole pour la production du produit de base en cause. L’empreinte d’émission reflète la différence nette de stocks de carbone associée à ce changement d’affectation des terres. Cette méthode ne tient pas compte des avantages environnementaux d’une réduction de la dégradation des forêts. Les indicateurs de déforestation et d’émissions sont monétisés séparément et ensuite agrégés pour estimer les avantages environnementaux totaux. Les incidences de la déforestation sont évaluées à l’aide d’une approche fondée sur les services écosystémiques et les émissions sont évaluées à l’aide d’un prix du carbone dérivé du système d’échange de quotas d’émission (SEQE). Une valeur des services écosystémiques</w:t>
      </w:r>
      <w:r>
        <w:rPr>
          <w:rStyle w:val="FootnoteReference"/>
          <w:noProof/>
        </w:rPr>
        <w:footnoteReference w:id="45"/>
      </w:r>
      <w:r>
        <w:rPr>
          <w:noProof/>
        </w:rPr>
        <w:t xml:space="preserve"> de 10 000 EUR par hectare et par an, tirée de Brander et al. (2024)</w:t>
      </w:r>
      <w:r>
        <w:rPr>
          <w:rStyle w:val="FootnoteReference"/>
          <w:noProof/>
        </w:rPr>
        <w:footnoteReference w:id="46"/>
      </w:r>
      <w:r>
        <w:rPr>
          <w:noProof/>
        </w:rPr>
        <w:t>, est retenue comme valeur représentative pour les forêts tropicales, subtropicales et tempérées, tandis qu’un prix du carbone de 100 EUR par tonne de CO₂ est retenu, conformément à l’analyse d’impact initiale</w:t>
      </w:r>
      <w:r>
        <w:rPr>
          <w:rStyle w:val="FootnoteReference"/>
          <w:noProof/>
        </w:rPr>
        <w:footnoteReference w:id="47"/>
      </w:r>
      <w:r>
        <w:rPr>
          <w:noProof/>
        </w:rPr>
        <w:t xml:space="preserve">.  </w:t>
      </w:r>
    </w:p>
    <w:p w14:paraId="28090434" w14:textId="40BFEF2F" w:rsidR="00B92DB8" w:rsidRPr="0012174E" w:rsidRDefault="00B92DB8" w:rsidP="0012174E">
      <w:pPr>
        <w:spacing w:after="120"/>
        <w:rPr>
          <w:noProof/>
          <w:szCs w:val="24"/>
        </w:rPr>
      </w:pPr>
      <w:r>
        <w:rPr>
          <w:noProof/>
        </w:rPr>
        <w:t>L’empreinte de déforestation et les émissions associées liées aux importations pertinentes pour le règlement sont estimées à l’aide d’une série de sources bibliographiques. Premièrement, les estimations au niveau national de la déforestation totale associée à la production des sept produits de base relevant du champ d’application du règlement sont tirées de Singh et Persson (2026)</w:t>
      </w:r>
      <w:r>
        <w:rPr>
          <w:rStyle w:val="FootnoteReference"/>
          <w:noProof/>
        </w:rPr>
        <w:footnoteReference w:id="48"/>
      </w:r>
      <w:r>
        <w:rPr>
          <w:noProof/>
        </w:rPr>
        <w:t>. Sur la base des données de production de FAOSTAT, une intensité de déforestation est calculée pour chaque combinaison pays/produit, définie comme le rapport entre la déforestation et la production nationale de ce produit.</w:t>
      </w:r>
    </w:p>
    <w:p w14:paraId="7E5898D4" w14:textId="1E30D8F6" w:rsidR="00911CD1" w:rsidRPr="0012174E" w:rsidRDefault="00B92DB8" w:rsidP="0012174E">
      <w:pPr>
        <w:spacing w:after="120"/>
        <w:rPr>
          <w:noProof/>
          <w:szCs w:val="24"/>
        </w:rPr>
      </w:pPr>
      <w:r>
        <w:rPr>
          <w:noProof/>
        </w:rPr>
        <w:t>La déforestation intégrée associée aux importations de produits dérivés est ensuite calculée en multipliant l’intensité de la déforestation par le volume du produit dérivé importé dans l’UE (COMEXT, COMTRADE) et par la fraction massique du produit primaire contenu dans le produit final.</w:t>
      </w:r>
    </w:p>
    <w:p w14:paraId="3CCCE9A1" w14:textId="1E47B36C" w:rsidR="00EC0982" w:rsidRDefault="004D1EE5" w:rsidP="0012174E">
      <w:pPr>
        <w:spacing w:after="120"/>
        <w:rPr>
          <w:noProof/>
          <w:szCs w:val="24"/>
        </w:rPr>
      </w:pPr>
      <w:r>
        <w:rPr>
          <w:noProof/>
        </w:rPr>
        <w:t>Afin de tenir compte des différences entre le pays de production et le pays d’origine, des intensités de déforestation distinctes sont appliquées pour les matières premières et les produits dérivés. Pour les matières premières, l’intensité de la déforestation repose uniquement sur la déforestation et la production dans le pays d’origine, comme décrit ci-dessus. Pour les produits dérivés, l’intensité de la déforestation est calculée comme une moyenne pondérée qui reflète les flux de production, d’importation et d’exportation du produit de base brut en cause, approximant ainsi la combinaison géographique de l’approvisionnement en amont.</w:t>
      </w:r>
    </w:p>
    <w:p w14:paraId="768E94D0" w14:textId="521AAE5C" w:rsidR="00D630B8" w:rsidRDefault="00937215" w:rsidP="0012174E">
      <w:pPr>
        <w:spacing w:after="120"/>
        <w:rPr>
          <w:noProof/>
        </w:rPr>
      </w:pPr>
      <w:r>
        <w:rPr>
          <w:noProof/>
        </w:rPr>
        <w:t xml:space="preserve">L’empreinte de déforestation et les émissions associées liées à la production, dans l’UE, de produits de base relevant du règlement sont considérées comme équivalentes à la moyenne de la déforestation et des émissions résultant de la conversion des terres au cours de la période 2015-2020, supposant ainsi implicitement que la déforestation associée à la production de produits de base en cause au sein de l’UE sera totalement arrêtée lorsque le règlement entrera en vigueur. </w:t>
      </w:r>
    </w:p>
    <w:p w14:paraId="0C35F374" w14:textId="46E69814" w:rsidR="00291FB0" w:rsidRDefault="00291FB0" w:rsidP="0012174E">
      <w:pPr>
        <w:spacing w:after="120"/>
        <w:rPr>
          <w:noProof/>
          <w:szCs w:val="24"/>
        </w:rPr>
      </w:pPr>
      <w:r>
        <w:rPr>
          <w:noProof/>
        </w:rPr>
        <w:t>Selon la méthode décrite ci-dessus, le champ d’application actualisé du règlement devrait permettre d’éviter 208 000 hectares de déforestation et 49 millions de tonnes d’émissions de gaz à effet de serre provenant à la fois de la production au sein de l’UE et des importations.</w:t>
      </w:r>
    </w:p>
    <w:p w14:paraId="6289A69E" w14:textId="77777777" w:rsidR="0015133F" w:rsidRPr="007C3C3A" w:rsidRDefault="0015133F" w:rsidP="0012174E">
      <w:pPr>
        <w:spacing w:after="120"/>
        <w:rPr>
          <w:noProof/>
          <w:szCs w:val="24"/>
          <w:lang w:val="fr-BE"/>
        </w:rPr>
      </w:pPr>
    </w:p>
    <w:tbl>
      <w:tblPr>
        <w:tblStyle w:val="TableGrid"/>
        <w:tblW w:w="0" w:type="auto"/>
        <w:shd w:val="clear" w:color="auto" w:fill="E8E8E8" w:themeFill="background2"/>
        <w:tblLook w:val="04A0" w:firstRow="1" w:lastRow="0" w:firstColumn="1" w:lastColumn="0" w:noHBand="0" w:noVBand="1"/>
      </w:tblPr>
      <w:tblGrid>
        <w:gridCol w:w="8602"/>
      </w:tblGrid>
      <w:tr w:rsidR="00EB0AE4" w14:paraId="6CDBAF46" w14:textId="77777777" w:rsidTr="00637B48">
        <w:trPr>
          <w:trHeight w:val="2929"/>
        </w:trPr>
        <w:tc>
          <w:tcPr>
            <w:tcW w:w="8602" w:type="dxa"/>
            <w:shd w:val="clear" w:color="auto" w:fill="E8E8E8" w:themeFill="background2"/>
          </w:tcPr>
          <w:p w14:paraId="5CCB56C9" w14:textId="17118042" w:rsidR="00EB0AE4" w:rsidRDefault="00EB0AE4" w:rsidP="00EB0AE4">
            <w:pPr>
              <w:spacing w:after="0"/>
              <w:rPr>
                <w:rFonts w:eastAsia="Aptos"/>
                <w:b/>
                <w:bCs/>
                <w:noProof/>
                <w:szCs w:val="24"/>
              </w:rPr>
            </w:pPr>
            <w:r>
              <w:rPr>
                <w:b/>
                <w:noProof/>
              </w:rPr>
              <w:t>Points clés — Résumé du chapitre:</w:t>
            </w:r>
          </w:p>
          <w:p w14:paraId="7FCD40BF" w14:textId="77777777" w:rsidR="00EB0AE4" w:rsidRDefault="00EB0AE4" w:rsidP="00637B48">
            <w:pPr>
              <w:spacing w:after="0"/>
              <w:ind w:left="567"/>
              <w:rPr>
                <w:rFonts w:eastAsia="Aptos"/>
                <w:b/>
                <w:bCs/>
                <w:noProof/>
                <w:szCs w:val="24"/>
                <w:lang w:eastAsia="en-US"/>
              </w:rPr>
            </w:pPr>
          </w:p>
          <w:p w14:paraId="4A72C6C2" w14:textId="649FD18B" w:rsidR="00E1525D" w:rsidRDefault="00E1525D" w:rsidP="00637B48">
            <w:pPr>
              <w:pStyle w:val="ListParagraph"/>
              <w:numPr>
                <w:ilvl w:val="0"/>
                <w:numId w:val="74"/>
              </w:numPr>
              <w:spacing w:after="0"/>
              <w:ind w:left="567"/>
              <w:rPr>
                <w:noProof/>
              </w:rPr>
            </w:pPr>
            <w:r>
              <w:rPr>
                <w:noProof/>
              </w:rPr>
              <w:t>Les mesures de simplification combinées décrites dans le présent rapport devraient réduire de 75 % les coûts annuels de mise en conformité pour les entreprises. ()</w:t>
            </w:r>
          </w:p>
          <w:p w14:paraId="410B0E6D" w14:textId="5362123B" w:rsidR="00270654" w:rsidRDefault="00EB0AE4" w:rsidP="00637B48">
            <w:pPr>
              <w:pStyle w:val="ListParagraph"/>
              <w:numPr>
                <w:ilvl w:val="0"/>
                <w:numId w:val="74"/>
              </w:numPr>
              <w:spacing w:after="0"/>
              <w:ind w:left="567"/>
              <w:rPr>
                <w:noProof/>
              </w:rPr>
            </w:pPr>
            <w:r>
              <w:rPr>
                <w:noProof/>
              </w:rPr>
              <w:t xml:space="preserve">Le règlement devrait générer des avantages économiques d’environ 7 milliards d’EUR par an en monétisant 208 000 hectares de déforestation évitée et 49 millions de tonnes d’émissions de gaz à effet de serre évitées. </w:t>
            </w:r>
          </w:p>
          <w:p w14:paraId="273D11AC" w14:textId="13EAB8C3" w:rsidR="00EB0AE4" w:rsidRDefault="00EB0AE4" w:rsidP="00637B48">
            <w:pPr>
              <w:pStyle w:val="ListParagraph"/>
              <w:numPr>
                <w:ilvl w:val="0"/>
                <w:numId w:val="74"/>
              </w:numPr>
              <w:spacing w:after="0"/>
              <w:ind w:left="567"/>
              <w:rPr>
                <w:noProof/>
              </w:rPr>
            </w:pPr>
            <w:r>
              <w:rPr>
                <w:noProof/>
              </w:rPr>
              <w:t xml:space="preserve">Les réductions de coûts sont particulièrement importantes pour les micro ou petits producteurs primaires, les entreprises qui s’approvisionnent dans des pays à faible risque et les acteurs des chaînes d’approvisionnement en aval. </w:t>
            </w:r>
          </w:p>
        </w:tc>
      </w:tr>
    </w:tbl>
    <w:p w14:paraId="352EDF02" w14:textId="64E44D08" w:rsidR="001A0EBF" w:rsidRPr="0012174E" w:rsidRDefault="00B4192E" w:rsidP="001B562A">
      <w:pPr>
        <w:rPr>
          <w:b/>
          <w:bCs/>
          <w:noProof/>
          <w:sz w:val="28"/>
          <w:szCs w:val="28"/>
        </w:rPr>
      </w:pPr>
      <w:r>
        <w:rPr>
          <w:noProof/>
          <w:lang w:val="en-GB" w:eastAsia="en-GB"/>
        </w:rPr>
        <mc:AlternateContent>
          <mc:Choice Requires="wpg">
            <w:drawing>
              <wp:anchor distT="0" distB="0" distL="114300" distR="114300" simplePos="0" relativeHeight="251658240" behindDoc="0" locked="0" layoutInCell="1" allowOverlap="1" wp14:anchorId="537BA957" wp14:editId="017100F8">
                <wp:simplePos x="0" y="0"/>
                <wp:positionH relativeFrom="margin">
                  <wp:align>left</wp:align>
                </wp:positionH>
                <wp:positionV relativeFrom="paragraph">
                  <wp:posOffset>646371</wp:posOffset>
                </wp:positionV>
                <wp:extent cx="5810250" cy="2903220"/>
                <wp:effectExtent l="0" t="0" r="0" b="0"/>
                <wp:wrapThrough wrapText="bothSides">
                  <wp:wrapPolygon edited="0">
                    <wp:start x="212" y="142"/>
                    <wp:lineTo x="212" y="21402"/>
                    <wp:lineTo x="21317" y="21402"/>
                    <wp:lineTo x="21317" y="142"/>
                    <wp:lineTo x="212" y="142"/>
                  </wp:wrapPolygon>
                </wp:wrapThrough>
                <wp:docPr id="1442534534" name="Rectangle 2"/>
                <wp:cNvGraphicFramePr/>
                <a:graphic xmlns:a="http://schemas.openxmlformats.org/drawingml/2006/main">
                  <a:graphicData uri="http://schemas.microsoft.com/office/word/2010/wordprocessingGroup">
                    <wpg:wgp>
                      <wpg:cNvGrpSpPr/>
                      <wpg:grpSpPr>
                        <a:xfrm>
                          <a:off x="0" y="0"/>
                          <a:ext cx="5810250" cy="2903220"/>
                          <a:chOff x="0" y="0"/>
                          <a:chExt cx="5810250" cy="2903220"/>
                        </a:xfrm>
                        <a:noFill/>
                      </wpg:grpSpPr>
                      <wps:wsp>
                        <wps:cNvPr id="1202021672" name="Rectangle 1202021672"/>
                        <wps:cNvSpPr/>
                        <wps:spPr>
                          <a:xfrm>
                            <a:off x="0" y="0"/>
                            <a:ext cx="5810250" cy="2903220"/>
                          </a:xfrm>
                          <a:prstGeom prst="rect">
                            <a:avLst/>
                          </a:prstGeom>
                          <a:grpFill/>
                          <a:ln>
                            <a:noFill/>
                          </a:ln>
                        </wps:spPr>
                        <wps:style>
                          <a:lnRef idx="2">
                            <a:schemeClr val="accent1">
                              <a:shade val="15000"/>
                            </a:schemeClr>
                          </a:lnRef>
                          <a:fillRef idx="1">
                            <a:schemeClr val="accent1"/>
                          </a:fillRef>
                          <a:effectRef idx="0">
                            <a:scrgbClr r="0" g="0" b="0"/>
                          </a:effectRef>
                          <a:fontRef idx="minor">
                            <a:schemeClr val="lt1"/>
                          </a:fontRef>
                        </wps:style>
                        <wps:bodyPr wrap="square" lIns="91440" tIns="45720" rIns="91440" bIns="45720" anchor="ctr">
                          <a:noAutofit/>
                        </wps:bodyPr>
                      </wps:wsp>
                      <wps:wsp>
                        <wps:cNvPr id="56106373" name="Rectangle 56106373"/>
                        <wps:cNvSpPr/>
                        <wps:spPr>
                          <a:xfrm>
                            <a:off x="1243542" y="453767"/>
                            <a:ext cx="9525" cy="10583"/>
                          </a:xfrm>
                          <a:prstGeom prst="rect">
                            <a:avLst/>
                          </a:prstGeom>
                          <a:grpFill/>
                          <a:ln>
                            <a:noFill/>
                          </a:ln>
                        </wps:spPr>
                        <wps:bodyPr anchor="t"/>
                      </wps:wsp>
                    </wpg:wgp>
                  </a:graphicData>
                </a:graphic>
              </wp:anchor>
            </w:drawing>
          </mc:Choice>
          <mc:Fallback xmlns:a="http://schemas.openxmlformats.org/drawingml/2006/main" xmlns:pic="http://schemas.openxmlformats.org/drawingml/2006/picture" xmlns:c="http://schemas.openxmlformats.org/drawingml/2006/chart"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0FC7860">
              <v:group id="Rectangle 2" style="position:absolute;margin-left:0;margin-top:50.9pt;width:457.5pt;height:228.6pt;z-index:251658240;mso-position-horizontal:left;mso-position-horizontal-relative:margin" coordsize="58102,29032"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a/qAIAAA4HAAAOAAAAZHJzL2Uyb0RvYy54bWy8Vdtu2zAMfR+wfxD8vviSOGmNOMWwrsWA&#10;YSva7QMUWb4AsqRJSpz8/Sj6kqwZMKzFhgCOJYrk4dEhvb45tILsubGNknkQz6KAcMlU0cgqD75/&#10;u3t3FRDrqCyoUJLnwZHb4Gbz9s260xlPVK1EwQ2BINJmnc6D2jmdhaFlNW+pnSnNJRhLZVrqYGmq&#10;sDC0g+itCJMoWoadMoU2inFrYfe2NwYbjF+WnLmvZWm5IyIPAJvDp8Hn1j/DzZpmlaG6btgAg74A&#10;RUsbCUmnULfUUbIzzUWotmFGWVW6GVNtqMqyYRxrgGri6Fk190btNNZSZV2lJ5qA2mc8vTgs+7K/&#10;N/pJPxhgotMVcIErX8uhNK3/B5TkgJQdJ8r4wREGm+lVHCUpMMvAllxH8yQZSGU1MH/hx+qPf/AM&#10;T4mlumuEAGDhL8g6DVqxJzrs6+h4qqnmyLLNgI4HQ5oCpJxE8IuXqyQgkrYg3UcQE5WV4OTMhqyh&#10;38ShzSzQ+VoCz2jQxrp7rlriX/LAAA7UGt1/ts6zQ7PxSC9BPdBGMyH9zonHfgfoHEHimzsK7s8J&#10;+chLqB7uNcEM2Ib8gzBkT6GBKGNcurg31bTg/XacRhFeOgCZPBAWBvSRS7jHKfYQwLf4Zey+nuG8&#10;d+XYxZNzNAAz1dbj6lsZGgIkODY0wJicMLmSbvJvG6nM74oTUNiQvD+PsgOeenY8UVtVHEEeHYyL&#10;PLA/dtTwgIhPEgR4HS8Wfr7gYpGuoAuIObdszy1UsloBdOZ6KFK93zlVNnibp0wDAtC6783/IPp0&#10;GUfL+Wp+KfnJ8jeCj5PFPF1AA8FsWKTz1XLVz9txeFynSdpPjjhKr+YD/ePYGTX9r2Q/3OZ4Fw7T&#10;DzQj8zh0UcfDB8JP9fM1njp9xjY/AQAA//8DAFBLAwQUAAYACAAAACEARIfmJ94AAAAIAQAADwAA&#10;AGRycy9kb3ducmV2LnhtbEyPwU7DMBBE70j8g7VI3KhtUBANcaqqAk4VEi0S4ubG2yRqvI5iN0n/&#10;nuUEx50Zzc4rVrPvxIhDbAMZ0AsFAqkKrqXawOf+9e4JREyWnO0CoYELRliV11eFzV2Y6APHXaoF&#10;l1DMrYEmpT6XMlYNehsXoUdi7xgGbxOfQy3dYCcu9528V+pRetsSf2hsj5sGq9Pu7A28TXZaP+iX&#10;cXs6bi7f++z9a6vRmNubef0MIuGc/sLwO5+nQ8mbDuFMLorOAIMkVpVmALaXOmPlYCDLlgpkWcj/&#10;AOUPAAAA//8DAFBLAQItABQABgAIAAAAIQC2gziS/gAAAOEBAAATAAAAAAAAAAAAAAAAAAAAAABb&#10;Q29udGVudF9UeXBlc10ueG1sUEsBAi0AFAAGAAgAAAAhADj9If/WAAAAlAEAAAsAAAAAAAAAAAAA&#10;AAAALwEAAF9yZWxzLy5yZWxzUEsBAi0AFAAGAAgAAAAhANn7Jr+oAgAADgcAAA4AAAAAAAAAAAAA&#10;AAAALgIAAGRycy9lMm9Eb2MueG1sUEsBAi0AFAAGAAgAAAAhAESH5ifeAAAACAEAAA8AAAAAAAAA&#10;AAAAAAAAAgUAAGRycy9kb3ducmV2LnhtbFBLBQYAAAAABAAEAPMAAAANBgAAAAA=&#10;" w14:anchorId="4C28B47C">
                <v:rect id="Rectangle 1202021672" style="position:absolute;width:58102;height:29032;visibility:visible;mso-wrap-style:square;v-text-anchor:middle" o:spid="_x0000_s1027" filled="f" stroked="f"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25GzAAAAOMAAAAPAAAAZHJzL2Rvd25yZXYueG1sRE/BasJA&#10;EL0X+g/LFHqrG3NQG11FCtXioUVbD96G7JhEs7MhO2rSr+8WCuWdZt689+bNFp2r1ZXaUHk2MBwk&#10;oIhzbysuDHx9vj5NQAVBtlh7JgM9BVjM7+9mmFl/4y1dd1KoaMIhQwOlSJNpHfKSHIaBb4gjd/St&#10;Q4ljW2jb4i2au1qnSTLSDiuOCSU29FJSft5dnIHDYfW9XPcbmcjl/fTcHfuPdN8b8/jQLaeghDr5&#10;P/5Tv9n4fppEDEfjFH47xQXo+Q8AAAD//wMAUEsBAi0AFAAGAAgAAAAhANvh9svuAAAAhQEAABMA&#10;AAAAAAAAAAAAAAAAAAAAAFtDb250ZW50X1R5cGVzXS54bWxQSwECLQAUAAYACAAAACEAWvQsW78A&#10;AAAVAQAACwAAAAAAAAAAAAAAAAAfAQAAX3JlbHMvLnJlbHNQSwECLQAUAAYACAAAACEAjqtuRswA&#10;AADjAAAADwAAAAAAAAAAAAAAAAAHAgAAZHJzL2Rvd25yZXYueG1sUEsFBgAAAAADAAMAtwAAAAAD&#10;AAAAAA==&#10;"/>
                <v:rect id="Rectangle 56106373" style="position:absolute;left:12435;top:4537;width:95;height:106;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BTvygAAAOEAAAAPAAAAZHJzL2Rvd25yZXYueG1sRI/dasJA&#10;FITvC32H5RR6U+rGimlJXaUIxSCCNP5cH7KnSWj2bMyuSXx7VxB6OczMN8xsMZhadNS6yrKC8SgC&#10;QZxbXXGhYL/7fv0A4TyyxtoyKbiQg8X88WGGibY9/1CX+UIECLsEFZTeN4mULi/JoBvZhjh4v7Y1&#10;6INsC6lb7APc1PItimJpsOKwUGJDy5Lyv+xsFPT5tjvuNiu5fTmmlk/paZkd1ko9Pw1fnyA8Df4/&#10;fG+nWsE0Hkfx5H0Ct0fhDcj5FQAA//8DAFBLAQItABQABgAIAAAAIQDb4fbL7gAAAIUBAAATAAAA&#10;AAAAAAAAAAAAAAAAAABbQ29udGVudF9UeXBlc10ueG1sUEsBAi0AFAAGAAgAAAAhAFr0LFu/AAAA&#10;FQEAAAsAAAAAAAAAAAAAAAAAHwEAAF9yZWxzLy5yZWxzUEsBAi0AFAAGAAgAAAAhAMsIFO/KAAAA&#10;4QAAAA8AAAAAAAAAAAAAAAAABwIAAGRycy9kb3ducmV2LnhtbFBLBQYAAAAAAwADALcAAAD+AgAA&#10;AAA=&#10;"/>
                <w10:wrap type="through" anchorx="margin"/>
              </v:group>
            </w:pict>
          </mc:Fallback>
        </mc:AlternateContent>
      </w:r>
    </w:p>
    <w:sectPr w:rsidR="001A0EBF" w:rsidRPr="0012174E" w:rsidSect="007270EF">
      <w:headerReference w:type="even" r:id="rId25"/>
      <w:headerReference w:type="default" r:id="rId26"/>
      <w:footerReference w:type="even" r:id="rId27"/>
      <w:footerReference w:type="default" r:id="rId28"/>
      <w:headerReference w:type="first" r:id="rId29"/>
      <w:footerReference w:type="first" r:id="rId30"/>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C78AB8" w14:textId="77777777" w:rsidR="001C7F23" w:rsidRDefault="001C7F23">
      <w:pPr>
        <w:spacing w:after="0"/>
      </w:pPr>
      <w:r>
        <w:separator/>
      </w:r>
    </w:p>
  </w:endnote>
  <w:endnote w:type="continuationSeparator" w:id="0">
    <w:p w14:paraId="765244F0" w14:textId="77777777" w:rsidR="001C7F23" w:rsidRDefault="001C7F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EFBD" w14:textId="062B7CF6" w:rsidR="006560CD" w:rsidRPr="006560CD" w:rsidRDefault="006560CD" w:rsidP="006560CD">
    <w:pPr>
      <w:pStyle w:val="FooterCoverPage"/>
      <w:rPr>
        <w:rFonts w:ascii="Arial" w:hAnsi="Arial" w:cs="Arial"/>
        <w:b/>
        <w:sz w:val="48"/>
      </w:rPr>
    </w:pPr>
    <w:r w:rsidRPr="006560CD">
      <w:rPr>
        <w:rFonts w:ascii="Arial" w:hAnsi="Arial" w:cs="Arial"/>
        <w:b/>
        <w:sz w:val="48"/>
      </w:rPr>
      <w:t>FR</w:t>
    </w:r>
    <w:r w:rsidRPr="006560CD">
      <w:rPr>
        <w:rFonts w:ascii="Arial" w:hAnsi="Arial" w:cs="Arial"/>
        <w:b/>
        <w:sz w:val="48"/>
      </w:rPr>
      <w:tab/>
    </w:r>
    <w:r w:rsidRPr="006560CD">
      <w:rPr>
        <w:rFonts w:ascii="Arial" w:hAnsi="Arial" w:cs="Arial"/>
        <w:b/>
        <w:sz w:val="48"/>
      </w:rPr>
      <w:tab/>
    </w:r>
    <w:r w:rsidRPr="006560CD">
      <w:tab/>
    </w:r>
    <w:r w:rsidRPr="006560C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DC244" w14:textId="06B6020F" w:rsidR="006560CD" w:rsidRPr="006560CD" w:rsidRDefault="006560CD" w:rsidP="006560CD">
    <w:pPr>
      <w:pStyle w:val="FooterCoverPage"/>
      <w:rPr>
        <w:rFonts w:ascii="Arial" w:hAnsi="Arial" w:cs="Arial"/>
        <w:b/>
        <w:sz w:val="48"/>
      </w:rPr>
    </w:pPr>
    <w:r w:rsidRPr="006560CD">
      <w:rPr>
        <w:rFonts w:ascii="Arial" w:hAnsi="Arial" w:cs="Arial"/>
        <w:b/>
        <w:sz w:val="48"/>
      </w:rPr>
      <w:t>FR</w:t>
    </w:r>
    <w:r w:rsidRPr="006560CD">
      <w:rPr>
        <w:rFonts w:ascii="Arial" w:hAnsi="Arial" w:cs="Arial"/>
        <w:b/>
        <w:sz w:val="48"/>
      </w:rPr>
      <w:tab/>
    </w:r>
    <w:r w:rsidRPr="006560CD">
      <w:rPr>
        <w:rFonts w:ascii="Arial" w:hAnsi="Arial" w:cs="Arial"/>
        <w:b/>
        <w:sz w:val="48"/>
      </w:rPr>
      <w:tab/>
    </w:r>
    <w:r w:rsidRPr="006560CD">
      <w:tab/>
    </w:r>
    <w:r w:rsidRPr="006560C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952DA" w14:textId="77777777" w:rsidR="006560CD" w:rsidRPr="006560CD" w:rsidRDefault="006560CD" w:rsidP="006560C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06FB8" w14:textId="77777777" w:rsidR="00D61CD5" w:rsidRDefault="00D61CD5">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F2CBF" w14:textId="50CA2721" w:rsidR="00DB2862" w:rsidRDefault="00DB2862">
    <w:pPr>
      <w:pStyle w:val="FooterLine"/>
      <w:jc w:val="center"/>
    </w:pPr>
    <w:r>
      <w:fldChar w:fldCharType="begin"/>
    </w:r>
    <w:r>
      <w:instrText>PAGE   \* MERGEFORMAT</w:instrText>
    </w:r>
    <w:r>
      <w:fldChar w:fldCharType="separate"/>
    </w:r>
    <w:r w:rsidR="006560CD">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0566828"/>
      <w:docPartObj>
        <w:docPartGallery w:val="Page Numbers (Bottom of Page)"/>
        <w:docPartUnique/>
      </w:docPartObj>
    </w:sdtPr>
    <w:sdtEndPr>
      <w:rPr>
        <w:noProof/>
      </w:rPr>
    </w:sdtEndPr>
    <w:sdtContent>
      <w:p w14:paraId="5BC07667" w14:textId="2894AD82" w:rsidR="002611E5" w:rsidRDefault="002611E5">
        <w:pPr>
          <w:pStyle w:val="Footer"/>
          <w:jc w:val="center"/>
        </w:pPr>
        <w:r>
          <w:fldChar w:fldCharType="begin"/>
        </w:r>
        <w:r>
          <w:instrText xml:space="preserve"> PAGE   \* MERGEFORMAT </w:instrText>
        </w:r>
        <w:r>
          <w:fldChar w:fldCharType="separate"/>
        </w:r>
        <w:r w:rsidR="006560CD">
          <w:rPr>
            <w:noProof/>
          </w:rPr>
          <w:t>1</w:t>
        </w:r>
        <w:r>
          <w:fldChar w:fldCharType="end"/>
        </w:r>
      </w:p>
    </w:sdtContent>
  </w:sdt>
  <w:p w14:paraId="192503F0" w14:textId="673838FF" w:rsidR="001E6172" w:rsidRDefault="001E61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6CFB07" w14:textId="77777777" w:rsidR="001C7F23" w:rsidRDefault="001C7F23">
      <w:pPr>
        <w:spacing w:after="0"/>
      </w:pPr>
      <w:r>
        <w:separator/>
      </w:r>
    </w:p>
  </w:footnote>
  <w:footnote w:type="continuationSeparator" w:id="0">
    <w:p w14:paraId="04BF3E36" w14:textId="77777777" w:rsidR="001C7F23" w:rsidRDefault="001C7F23">
      <w:pPr>
        <w:spacing w:after="0"/>
      </w:pPr>
      <w:r>
        <w:continuationSeparator/>
      </w:r>
    </w:p>
  </w:footnote>
  <w:footnote w:id="1">
    <w:p w14:paraId="052242B0" w14:textId="77777777" w:rsidR="00E13747" w:rsidRPr="006D538B" w:rsidRDefault="00E13747" w:rsidP="00E13747">
      <w:pPr>
        <w:pStyle w:val="FootnoteText"/>
      </w:pPr>
      <w:r>
        <w:rPr>
          <w:rStyle w:val="FootnoteReference"/>
        </w:rPr>
        <w:footnoteRef/>
      </w:r>
      <w:r>
        <w:tab/>
        <w:t xml:space="preserve">Des ensembles de documents composés d’orientations, de FAQ, d’actes délégués et d’actes d’exécution ayant des effets simplificateurs ont été publiés à l’automne </w:t>
      </w:r>
      <w:hyperlink r:id="rId1" w:history="1">
        <w:r>
          <w:rPr>
            <w:rStyle w:val="Hyperlink"/>
          </w:rPr>
          <w:t>2024</w:t>
        </w:r>
      </w:hyperlink>
      <w:r>
        <w:t xml:space="preserve"> et en </w:t>
      </w:r>
      <w:hyperlink r:id="rId2" w:history="1">
        <w:r>
          <w:rPr>
            <w:rStyle w:val="Hyperlink"/>
          </w:rPr>
          <w:t>avril 2025</w:t>
        </w:r>
      </w:hyperlink>
      <w:r>
        <w:t>.</w:t>
      </w:r>
    </w:p>
  </w:footnote>
  <w:footnote w:id="2">
    <w:p w14:paraId="4C0AC53C" w14:textId="2264DCC9" w:rsidR="00A55F6B" w:rsidRPr="00637B48" w:rsidRDefault="00A55F6B" w:rsidP="00637B48">
      <w:pPr>
        <w:pStyle w:val="FootnoteText"/>
        <w:spacing w:after="0"/>
      </w:pPr>
      <w:r>
        <w:rPr>
          <w:rStyle w:val="FootnoteReference"/>
        </w:rPr>
        <w:footnoteRef/>
      </w:r>
      <w:r>
        <w:tab/>
        <w:t xml:space="preserve">Publié pour recueillir l’avis du public sur les </w:t>
      </w:r>
      <w:hyperlink r:id="rId3" w:history="1">
        <w:r>
          <w:rPr>
            <w:rStyle w:val="Hyperlink"/>
          </w:rPr>
          <w:t>initiatives publiées</w:t>
        </w:r>
      </w:hyperlink>
      <w:r>
        <w:t>.</w:t>
      </w:r>
    </w:p>
  </w:footnote>
  <w:footnote w:id="3">
    <w:p w14:paraId="3DA7B201" w14:textId="0602E7EF" w:rsidR="00BD4EC5" w:rsidRPr="006D538B" w:rsidRDefault="00BD4EC5" w:rsidP="00B911C8">
      <w:pPr>
        <w:pStyle w:val="FootnoteText"/>
        <w:spacing w:after="0"/>
      </w:pPr>
      <w:r>
        <w:rPr>
          <w:rStyle w:val="FootnoteReference"/>
        </w:rPr>
        <w:footnoteRef/>
      </w:r>
      <w:r>
        <w:tab/>
        <w:t>Estimés à environ 7 milliards d’EUR par an, en monétisant 208 hectares de déforestation évitée et 49 millions de tonnes d’émissions de gaz à effet de serre évitées par an.</w:t>
      </w:r>
    </w:p>
  </w:footnote>
  <w:footnote w:id="4">
    <w:p w14:paraId="56F531DC" w14:textId="4F317D80" w:rsidR="007C507C" w:rsidRPr="006D538B" w:rsidRDefault="007C507C" w:rsidP="0015133F">
      <w:pPr>
        <w:pStyle w:val="FootnoteText"/>
        <w:spacing w:after="0"/>
      </w:pPr>
      <w:r>
        <w:rPr>
          <w:rStyle w:val="FootnoteReference"/>
        </w:rPr>
        <w:footnoteRef/>
      </w:r>
      <w:r>
        <w:tab/>
        <w:t xml:space="preserve">Convention-cadre des Nations unies sur les changements climatiques, </w:t>
      </w:r>
      <w:r>
        <w:rPr>
          <w:i/>
          <w:iCs/>
        </w:rPr>
        <w:t>accord de Paris</w:t>
      </w:r>
      <w:r>
        <w:t xml:space="preserve">, FCCC/CP/2015/L.9/Rev/1 (12 décembre 2015), </w:t>
      </w:r>
      <w:hyperlink r:id="rId4" w:history="1">
        <w:r>
          <w:rPr>
            <w:rStyle w:val="Hyperlink"/>
          </w:rPr>
          <w:t>https://unfccc.int/sites/default/files/french_paris_agreement.pdf</w:t>
        </w:r>
      </w:hyperlink>
      <w:r>
        <w:t>.</w:t>
      </w:r>
    </w:p>
  </w:footnote>
  <w:footnote w:id="5">
    <w:p w14:paraId="42A6B8FC" w14:textId="3DE9F136" w:rsidR="00D9627A" w:rsidRPr="006D538B" w:rsidRDefault="00D9627A" w:rsidP="0015133F">
      <w:pPr>
        <w:pStyle w:val="FootnoteText"/>
        <w:spacing w:after="0"/>
      </w:pPr>
      <w:r>
        <w:rPr>
          <w:rStyle w:val="FootnoteReference"/>
        </w:rPr>
        <w:footnoteRef/>
      </w:r>
      <w:r>
        <w:t xml:space="preserve"> </w:t>
      </w:r>
      <w:r w:rsidR="00E45B7B">
        <w:tab/>
      </w:r>
      <w:r>
        <w:t xml:space="preserve">Nations unies, </w:t>
      </w:r>
      <w:r>
        <w:rPr>
          <w:i/>
          <w:iCs/>
        </w:rPr>
        <w:t>Convention sur la diversité biologique</w:t>
      </w:r>
      <w:r>
        <w:t xml:space="preserve"> (ouverte à la signature le 5 juin 1992, entrée en vigueur le 29 décembre 1993), 1760 UNTS 79, </w:t>
      </w:r>
      <w:hyperlink r:id="rId5" w:history="1">
        <w:r>
          <w:rPr>
            <w:rStyle w:val="Hyperlink"/>
          </w:rPr>
          <w:t>https://www.cbd.int/convention/text/</w:t>
        </w:r>
      </w:hyperlink>
      <w:r>
        <w:t>.</w:t>
      </w:r>
    </w:p>
  </w:footnote>
  <w:footnote w:id="6">
    <w:p w14:paraId="17869912" w14:textId="38A884AC" w:rsidR="007C507C" w:rsidRPr="006D538B" w:rsidRDefault="007C507C" w:rsidP="0015133F">
      <w:pPr>
        <w:pStyle w:val="FootnoteText"/>
        <w:spacing w:after="0"/>
      </w:pPr>
      <w:r>
        <w:rPr>
          <w:rStyle w:val="FootnoteReference"/>
        </w:rPr>
        <w:footnoteRef/>
      </w:r>
      <w:r>
        <w:tab/>
        <w:t xml:space="preserve">Gouvernement britannique (présidence de la COP26), </w:t>
      </w:r>
      <w:r>
        <w:rPr>
          <w:i/>
          <w:iCs/>
        </w:rPr>
        <w:t>Déclaration des dirigeants réunis à Glasgow sur les forêts et l’utilisation des terres</w:t>
      </w:r>
      <w:r>
        <w:t xml:space="preserve"> (2 novembre 2021), </w:t>
      </w:r>
      <w:hyperlink r:id="rId6" w:history="1">
        <w:r>
          <w:rPr>
            <w:rStyle w:val="Hyperlink"/>
          </w:rPr>
          <w:t>https://ukcop26.org/glasgow-leaders-declaration-on-forests-and-land-use/</w:t>
        </w:r>
      </w:hyperlink>
      <w:r>
        <w:t>.</w:t>
      </w:r>
    </w:p>
  </w:footnote>
  <w:footnote w:id="7">
    <w:p w14:paraId="21AAFA58" w14:textId="33F686EA" w:rsidR="007C507C" w:rsidRPr="006D538B" w:rsidRDefault="007C507C" w:rsidP="0015133F">
      <w:pPr>
        <w:pStyle w:val="FootnoteText"/>
        <w:spacing w:after="0"/>
      </w:pPr>
      <w:r>
        <w:rPr>
          <w:rStyle w:val="FootnoteReference"/>
        </w:rPr>
        <w:footnoteRef/>
      </w:r>
      <w:r>
        <w:tab/>
        <w:t xml:space="preserve">Nations unies, </w:t>
      </w:r>
      <w:r>
        <w:rPr>
          <w:i/>
        </w:rPr>
        <w:t>Transformer notre monde: le Programme de développement durable à l’horizon 2030</w:t>
      </w:r>
      <w:r>
        <w:t xml:space="preserve">, document des Nations unies A/RES/70/1 (25 septembre 2015), </w:t>
      </w:r>
      <w:hyperlink r:id="rId7" w:history="1">
        <w:r>
          <w:rPr>
            <w:rStyle w:val="Hyperlink"/>
          </w:rPr>
          <w:t>https://sdgs.un.org/fr/2030agenda</w:t>
        </w:r>
      </w:hyperlink>
      <w:r>
        <w:t>.</w:t>
      </w:r>
    </w:p>
  </w:footnote>
  <w:footnote w:id="8">
    <w:p w14:paraId="3752BB4A" w14:textId="13A27CFA" w:rsidR="007C507C" w:rsidRPr="006D538B" w:rsidRDefault="007C507C" w:rsidP="0015133F">
      <w:pPr>
        <w:pStyle w:val="FootnoteText"/>
        <w:spacing w:after="0"/>
      </w:pPr>
      <w:r>
        <w:rPr>
          <w:rStyle w:val="FootnoteReference"/>
        </w:rPr>
        <w:footnoteRef/>
      </w:r>
      <w:r>
        <w:tab/>
        <w:t xml:space="preserve"> Gouvernement du Brésil (présidence de la COP30), </w:t>
      </w:r>
      <w:r>
        <w:rPr>
          <w:i/>
        </w:rPr>
        <w:t>Roadmap to Halting and Reversing Deforestation and Forest Degradation by 2030</w:t>
      </w:r>
      <w:r>
        <w:t xml:space="preserve"> (Feuille de route pour enrayer et inverser la déforestation et la dégradation des forêts d’ici à 2030) (mai 2024), </w:t>
      </w:r>
      <w:hyperlink r:id="rId8" w:history="1">
        <w:r>
          <w:rPr>
            <w:rStyle w:val="Hyperlink"/>
          </w:rPr>
          <w:t>https://www.cop30.br/en/forests-roadmap</w:t>
        </w:r>
      </w:hyperlink>
      <w:r>
        <w:t>.</w:t>
      </w:r>
    </w:p>
  </w:footnote>
  <w:footnote w:id="9">
    <w:p w14:paraId="685934DA" w14:textId="7FA5EC97" w:rsidR="00816853" w:rsidRPr="006D538B" w:rsidRDefault="00816853" w:rsidP="0015133F">
      <w:pPr>
        <w:pStyle w:val="FootnoteText"/>
        <w:spacing w:after="0"/>
      </w:pPr>
      <w:r>
        <w:rPr>
          <w:rStyle w:val="FootnoteReference"/>
        </w:rPr>
        <w:footnoteRef/>
      </w:r>
      <w:r>
        <w:tab/>
      </w:r>
      <w:hyperlink r:id="rId9" w:history="1">
        <w:r>
          <w:rPr>
            <w:rStyle w:val="Hyperlink"/>
          </w:rPr>
          <w:t>Global Forest Resources Assessment 2025</w:t>
        </w:r>
      </w:hyperlink>
    </w:p>
  </w:footnote>
  <w:footnote w:id="10">
    <w:p w14:paraId="3D30B304" w14:textId="0098EB8C" w:rsidR="0043166F" w:rsidRPr="00637B48" w:rsidRDefault="0043166F" w:rsidP="0015133F">
      <w:pPr>
        <w:pStyle w:val="FootnoteText"/>
        <w:spacing w:after="0"/>
      </w:pPr>
      <w:r>
        <w:rPr>
          <w:rStyle w:val="FootnoteReference"/>
        </w:rPr>
        <w:footnoteRef/>
      </w:r>
      <w:r>
        <w:tab/>
        <w:t>Néanmoins, il existe des différences régionales où certaines zones géographiques connaissent une augmentation nette de la superficie forestière.</w:t>
      </w:r>
    </w:p>
  </w:footnote>
  <w:footnote w:id="11">
    <w:p w14:paraId="21CC7F10" w14:textId="77777777" w:rsidR="009024AA" w:rsidRPr="00637B48" w:rsidRDefault="009024AA" w:rsidP="0015133F">
      <w:pPr>
        <w:pStyle w:val="FootnoteText"/>
        <w:spacing w:after="0"/>
      </w:pPr>
      <w:r>
        <w:rPr>
          <w:rStyle w:val="FootnoteReference"/>
        </w:rPr>
        <w:footnoteRef/>
      </w:r>
      <w:r w:rsidRPr="007C3C3A">
        <w:rPr>
          <w:lang w:val="en-IE"/>
        </w:rPr>
        <w:tab/>
        <w:t xml:space="preserve">FAO. 2022. </w:t>
      </w:r>
      <w:r w:rsidRPr="007C3C3A">
        <w:rPr>
          <w:i/>
          <w:iCs/>
          <w:lang w:val="en-IE"/>
        </w:rPr>
        <w:t xml:space="preserve">The State of the World’s Forests 2022. </w:t>
      </w:r>
      <w:r>
        <w:rPr>
          <w:i/>
          <w:iCs/>
        </w:rPr>
        <w:t>Forest pathways for green recovery and building inclusive, resilient and sustainable economies</w:t>
      </w:r>
      <w:r>
        <w:t xml:space="preserve"> (Situation des forêts du monde en 2022: voies forestières pour une relance verte et la construction d’économies inclusives, résilientes et durables), disponible à l’adresse suivante: </w:t>
      </w:r>
      <w:hyperlink r:id="rId10" w:history="1">
        <w:r>
          <w:rPr>
            <w:rStyle w:val="Hyperlink"/>
          </w:rPr>
          <w:t>https://doi.org/10.4060/cb9360en</w:t>
        </w:r>
      </w:hyperlink>
      <w:r>
        <w:t>.</w:t>
      </w:r>
    </w:p>
  </w:footnote>
  <w:footnote w:id="12">
    <w:p w14:paraId="1BB04BCF" w14:textId="36E16329" w:rsidR="005A1DD1" w:rsidRPr="006D538B" w:rsidRDefault="005A1DD1" w:rsidP="0015133F">
      <w:pPr>
        <w:pStyle w:val="FootnoteText"/>
        <w:spacing w:after="0"/>
      </w:pPr>
      <w:r>
        <w:rPr>
          <w:rStyle w:val="FootnoteReference"/>
        </w:rPr>
        <w:footnoteRef/>
      </w:r>
      <w:r>
        <w:tab/>
        <w:t xml:space="preserve">Kastner, T. et al. (2013), </w:t>
      </w:r>
      <w:r>
        <w:rPr>
          <w:i/>
        </w:rPr>
        <w:t>Analysis of the Impacts of EU Consumption on Deforestation: Comprehensive Analysis of the Impact of EU Consumption on Deforestation</w:t>
      </w:r>
      <w:r>
        <w:t xml:space="preserve"> (Analyse des incidences de la consommation de l’UE sur la déforestation: analyse complète de l’impact de la consommation européenne sur la déforestation). Institut international pour l’analyse des systèmes appliqués (IIASA), Laxenburg,</w:t>
      </w:r>
      <w:r w:rsidR="00E45B7B">
        <w:t> </w:t>
      </w:r>
      <w:r>
        <w:t xml:space="preserve">Autriche, </w:t>
      </w:r>
      <w:hyperlink r:id="rId11" w:history="1">
        <w:r>
          <w:rPr>
            <w:rStyle w:val="Hyperlink"/>
          </w:rPr>
          <w:t>https://pure.iiasa.ac.at/id/eprint/14868/1/1.%20Report%20analysis%20of%20impact.pdf</w:t>
        </w:r>
      </w:hyperlink>
      <w:r>
        <w:t>.</w:t>
      </w:r>
    </w:p>
  </w:footnote>
  <w:footnote w:id="13">
    <w:p w14:paraId="695A7081" w14:textId="437C0E57" w:rsidR="005A1DD1" w:rsidRPr="006D538B" w:rsidRDefault="005A1DD1" w:rsidP="0015133F">
      <w:pPr>
        <w:pStyle w:val="FootnoteText"/>
        <w:spacing w:after="0"/>
      </w:pPr>
      <w:r>
        <w:rPr>
          <w:rStyle w:val="FootnoteReference"/>
        </w:rPr>
        <w:footnoteRef/>
      </w:r>
      <w:r>
        <w:tab/>
        <w:t>Union européenne,</w:t>
      </w:r>
      <w:r>
        <w:rPr>
          <w:i/>
        </w:rPr>
        <w:t xml:space="preserve"> Règlement (UE) 2023/1115 du Parlement européen et du Conseil du 31 mai 2023 relatif à la mise à disposition sur le marché de l’Union et à l’exportation à partir de l’Union de certains produits de base et produits associés à la déforestation et à la dégradation des forêts</w:t>
      </w:r>
      <w:r>
        <w:t xml:space="preserve"> (JO L 150 du 9.6.2023, </w:t>
      </w:r>
      <w:hyperlink r:id="rId12" w:history="1">
        <w:r>
          <w:rPr>
            <w:rStyle w:val="Hyperlink"/>
          </w:rPr>
          <w:t>https://eur-lex.europa.eu/legal-content/FR/TXT/?uri=CELEX%3A32023R1115</w:t>
        </w:r>
      </w:hyperlink>
      <w:r>
        <w:t>).</w:t>
      </w:r>
    </w:p>
  </w:footnote>
  <w:footnote w:id="14">
    <w:p w14:paraId="43C2E7C0" w14:textId="4AF49AAB" w:rsidR="1AC7090A" w:rsidRPr="006D538B" w:rsidRDefault="005A1DD1" w:rsidP="00B86881">
      <w:pPr>
        <w:pStyle w:val="FootnoteText"/>
        <w:spacing w:after="0"/>
        <w:ind w:left="284" w:hanging="284"/>
      </w:pPr>
      <w:r>
        <w:rPr>
          <w:rStyle w:val="FootnoteReference"/>
        </w:rPr>
        <w:footnoteRef/>
      </w:r>
      <w:r>
        <w:t xml:space="preserve"> </w:t>
      </w:r>
      <w:r w:rsidR="00B86881">
        <w:tab/>
      </w:r>
      <w:r>
        <w:t xml:space="preserve">Singh, C., Persson, U.M. </w:t>
      </w:r>
      <w:r>
        <w:rPr>
          <w:i/>
          <w:iCs/>
        </w:rPr>
        <w:t>Global patterns of commodity-driven deforestation and associated carbon emissions</w:t>
      </w:r>
      <w:r>
        <w:t xml:space="preserve"> (Modèles mondiaux de déforestation liée aux produits de base et émissions de carbone y associées). </w:t>
      </w:r>
      <w:r>
        <w:rPr>
          <w:i/>
        </w:rPr>
        <w:t>NAT Food</w:t>
      </w:r>
      <w:r>
        <w:t xml:space="preserve"> </w:t>
      </w:r>
      <w:r>
        <w:rPr>
          <w:b/>
        </w:rPr>
        <w:t>7</w:t>
      </w:r>
      <w:r>
        <w:t>, 138-151 (2026), https://doi.org/10.1038/s43016-026-01305-4.</w:t>
      </w:r>
    </w:p>
  </w:footnote>
  <w:footnote w:id="15">
    <w:p w14:paraId="5EFE1FDC" w14:textId="6D573BD8" w:rsidR="001A2D2E" w:rsidRPr="006D538B" w:rsidRDefault="001A2D2E" w:rsidP="00B86881">
      <w:pPr>
        <w:pStyle w:val="FootnoteText"/>
        <w:spacing w:after="0"/>
        <w:ind w:left="284" w:hanging="284"/>
      </w:pPr>
      <w:r>
        <w:rPr>
          <w:rStyle w:val="FootnoteReference"/>
        </w:rPr>
        <w:footnoteRef/>
      </w:r>
      <w:r>
        <w:tab/>
        <w:t xml:space="preserve">Brack. D, </w:t>
      </w:r>
      <w:r>
        <w:rPr>
          <w:i/>
          <w:iCs/>
        </w:rPr>
        <w:t>How the EUDR Is Already Driving Forest Governance Reform: From Market Signal to Systemic Impact, Forest Policy, Trade and Finance Initiative</w:t>
      </w:r>
      <w:r>
        <w:t xml:space="preserve"> (Comment le règlement contribue déjà à la réforme de la gouvernance forestière: du signal du marché à l’impact systémique. Initiative sur la politique forestière, le commerce et la finance), avril 2026, dans </w:t>
      </w:r>
      <w:hyperlink r:id="rId13" w:history="1">
        <w:r>
          <w:rPr>
            <w:rStyle w:val="Hyperlink"/>
          </w:rPr>
          <w:t>How the EUDR Is Already Driving Forest Governance Reform - Forest Trends</w:t>
        </w:r>
      </w:hyperlink>
      <w:r>
        <w:t>.</w:t>
      </w:r>
    </w:p>
  </w:footnote>
  <w:footnote w:id="16">
    <w:p w14:paraId="48440426" w14:textId="77777777" w:rsidR="006D538B" w:rsidRPr="007C3C3A" w:rsidRDefault="006D538B" w:rsidP="006D538B">
      <w:pPr>
        <w:pStyle w:val="FootnoteText"/>
        <w:spacing w:after="0"/>
        <w:rPr>
          <w:lang w:val="en-IE"/>
        </w:rPr>
      </w:pPr>
      <w:r>
        <w:rPr>
          <w:rStyle w:val="FootnoteReference"/>
        </w:rPr>
        <w:footnoteRef/>
      </w:r>
      <w:r>
        <w:tab/>
        <w:t xml:space="preserve">Par exemple, des études récentes incluent: Brack. D, </w:t>
      </w:r>
      <w:r>
        <w:rPr>
          <w:i/>
          <w:iCs/>
        </w:rPr>
        <w:t>How the EUDR Is Already Driving Forest Governance Reform: From Market Signal to Systemic Impact, Forest Policy, Trade and Finance Initiative</w:t>
      </w:r>
      <w:r>
        <w:t xml:space="preserve"> (Comment le règlement contribue déjà à la réforme de la gouvernance forestière: du signal du marché à l’impact systémique. </w:t>
      </w:r>
      <w:r w:rsidRPr="007C3C3A">
        <w:rPr>
          <w:lang w:val="en-IE"/>
        </w:rPr>
        <w:t xml:space="preserve">Initiative sur la politique forestière, le commerce et la finance), avril 2026, dans </w:t>
      </w:r>
      <w:hyperlink r:id="rId14" w:history="1">
        <w:r w:rsidRPr="007C3C3A">
          <w:rPr>
            <w:rStyle w:val="Hyperlink"/>
            <w:lang w:val="en-IE"/>
          </w:rPr>
          <w:t>How the EUDR Is Already Driving Forest Governance Reform - Forest Trends</w:t>
        </w:r>
      </w:hyperlink>
      <w:r w:rsidRPr="007C3C3A">
        <w:rPr>
          <w:lang w:val="en-IE"/>
        </w:rPr>
        <w:t xml:space="preserve">; Sotirov, M., Policy Brief - </w:t>
      </w:r>
      <w:r w:rsidRPr="007C3C3A">
        <w:rPr>
          <w:i/>
          <w:iCs/>
          <w:lang w:val="en-IE"/>
        </w:rPr>
        <w:t>The EU Deforestation Regulation Is Already Delivering Results</w:t>
      </w:r>
      <w:r w:rsidRPr="007C3C3A">
        <w:rPr>
          <w:lang w:val="en-IE"/>
        </w:rPr>
        <w:t xml:space="preserve"> (Note d’orientation - Le règlement de l’UE sur la déforestation porte déjà ses fruits), Deutsche Umwelthilfe, avril 2026, disponible à l’adresse suivante: </w:t>
      </w:r>
      <w:hyperlink r:id="rId15" w:history="1">
        <w:r w:rsidRPr="007C3C3A">
          <w:rPr>
            <w:rStyle w:val="Hyperlink"/>
            <w:lang w:val="en-IE"/>
          </w:rPr>
          <w:t>Policy_Brief__Dr._Metodi_Sotirov__-_The_EU_Deforestation_Regulation_Is_Already_Delivering_Results_-_Why_further_weakening_during_the_Simplification_Review_risks_undermining_progress_in_global_forest_governance.pdf</w:t>
        </w:r>
      </w:hyperlink>
      <w:r w:rsidRPr="007C3C3A">
        <w:rPr>
          <w:lang w:val="en-IE"/>
        </w:rPr>
        <w:t>.</w:t>
      </w:r>
    </w:p>
  </w:footnote>
  <w:footnote w:id="17">
    <w:p w14:paraId="1192B6DB" w14:textId="24DE75A1" w:rsidR="1AC7090A" w:rsidRPr="006D538B" w:rsidRDefault="005A1DD1" w:rsidP="007C16C6">
      <w:pPr>
        <w:pStyle w:val="FootnoteText"/>
        <w:spacing w:after="0"/>
        <w:rPr>
          <w:rFonts w:eastAsia="Arial"/>
        </w:rPr>
      </w:pPr>
      <w:r>
        <w:rPr>
          <w:rStyle w:val="FootnoteReference"/>
        </w:rPr>
        <w:footnoteRef/>
      </w:r>
      <w:r>
        <w:t xml:space="preserve"> </w:t>
      </w:r>
      <w:r w:rsidR="00B86881">
        <w:tab/>
      </w:r>
      <w:r>
        <w:t>Notamment une facilité technique sur les chaînes de valeur «zéro déforestation», financée par l’UE et les États membres dans le cadre de l’initiative de l’Équipe Europe sur les chaînes de valeur «zéro déforestation». Parmi les autres projets phares de l’initiative «Équipe Europe» figurent le programme «Agriculture durable pour les écosystèmes forestiers» (SAFE), qui soutient la préparation des petits exploitants au règlement dans dix pays prioritaires, AL INVEST Verde, qui soutient les efforts de traçabilité en Amérique latine, et le programme de mise à niveau de l’accès au marché (MARKUP II), qui vise à favoriser le renforcement des capacités liées au règlement en Afrique.</w:t>
      </w:r>
    </w:p>
  </w:footnote>
  <w:footnote w:id="18">
    <w:p w14:paraId="4353B51D" w14:textId="77777777" w:rsidR="006D538B" w:rsidRPr="006D538B" w:rsidRDefault="006D538B" w:rsidP="006D538B">
      <w:pPr>
        <w:pStyle w:val="FootnoteText"/>
        <w:spacing w:after="0"/>
      </w:pPr>
      <w:r>
        <w:rPr>
          <w:rStyle w:val="FootnoteReference"/>
        </w:rPr>
        <w:footnoteRef/>
      </w:r>
      <w:r>
        <w:tab/>
        <w:t xml:space="preserve">Sotirov, M., Policy Brief — The EU Deforestation Regulation Is Already Delivering Results (Note d’orientation - Le règlement de l’UE sur la déforestation porte déjà ses fruits), Deutsche Umwelthilfe, avril 2026. </w:t>
      </w:r>
    </w:p>
  </w:footnote>
  <w:footnote w:id="19">
    <w:p w14:paraId="14C96A8A" w14:textId="77777777" w:rsidR="00BB4BDB" w:rsidRPr="006D538B" w:rsidRDefault="00BB4BDB" w:rsidP="00BB4BDB">
      <w:pPr>
        <w:pStyle w:val="FootnoteText"/>
        <w:spacing w:after="0"/>
      </w:pPr>
      <w:r>
        <w:rPr>
          <w:rStyle w:val="FootnoteReference"/>
        </w:rPr>
        <w:footnoteRef/>
      </w:r>
      <w:r>
        <w:tab/>
        <w:t>Sotirov, M., Policy Brief — The EU Deforestation Regulation Is Already Delivering Results (Note d’orientation - Le règlement de l’UE sur la déforestation porte déjà ses fruits), Deutsche Umwelthilfe, avril 2026.</w:t>
      </w:r>
    </w:p>
  </w:footnote>
  <w:footnote w:id="20">
    <w:p w14:paraId="7EBB71D0" w14:textId="1375FEA5" w:rsidR="00EF2C03" w:rsidRPr="00637B48" w:rsidRDefault="00EF2C03" w:rsidP="00637B48">
      <w:pPr>
        <w:pStyle w:val="FootnoteText"/>
        <w:spacing w:after="0"/>
      </w:pPr>
      <w:r>
        <w:rPr>
          <w:rStyle w:val="FootnoteReference"/>
        </w:rPr>
        <w:footnoteRef/>
      </w:r>
      <w:r>
        <w:tab/>
        <w:t xml:space="preserve">Le rapport sur les simulations dans le secteur du café est disponible à l’adresse suivante: </w:t>
      </w:r>
      <w:hyperlink r:id="rId16" w:history="1">
        <w:r>
          <w:rPr>
            <w:rStyle w:val="Hyperlink"/>
          </w:rPr>
          <w:t>Insights_EUDR-exercise_Coffee.pdf</w:t>
        </w:r>
      </w:hyperlink>
      <w:r>
        <w:t>.</w:t>
      </w:r>
    </w:p>
  </w:footnote>
  <w:footnote w:id="21">
    <w:p w14:paraId="4395E095" w14:textId="5CF2B128" w:rsidR="00DF2346" w:rsidRPr="00637B48" w:rsidRDefault="00DF2346" w:rsidP="00637B48">
      <w:pPr>
        <w:pStyle w:val="FootnoteText"/>
        <w:spacing w:after="0"/>
      </w:pPr>
      <w:r>
        <w:rPr>
          <w:rStyle w:val="FootnoteReference"/>
        </w:rPr>
        <w:footnoteRef/>
      </w:r>
      <w:r>
        <w:tab/>
        <w:t>Bourgoin, C., Verhegghen, A., Carboni, S., Ameztoy, I., Degreve, L., Fritz, S., Herold, M., Tsendbazar, N., Lesiv, M., Achard, F., et Colditz, R.: GFC2020: carte mondiale de l’utilisation des terres forestières pour l’année 2020 à l’appui du règlement de l’UE sur la déforestation, Earth Syst. Sci. Données, 18, 1331-1365, https://doi.org/10.5194/essd-18-1331-2026, 2026.</w:t>
      </w:r>
    </w:p>
  </w:footnote>
  <w:footnote w:id="22">
    <w:p w14:paraId="31DF8F06" w14:textId="05535D5C" w:rsidR="1AC7090A" w:rsidRPr="006D538B" w:rsidRDefault="005A1DD1" w:rsidP="007C16C6">
      <w:pPr>
        <w:pStyle w:val="FootnoteText"/>
        <w:spacing w:after="0"/>
        <w:rPr>
          <w:rFonts w:eastAsia="Calibri"/>
        </w:rPr>
      </w:pPr>
      <w:r>
        <w:rPr>
          <w:rStyle w:val="FootnoteReference"/>
        </w:rPr>
        <w:footnoteRef/>
      </w:r>
      <w:r>
        <w:t xml:space="preserve"> </w:t>
      </w:r>
      <w:r w:rsidR="00B86881">
        <w:tab/>
      </w:r>
      <w:r>
        <w:t>Comme le service Copernicus Global Land Cover and Tropical Forest Mapping and Monitoring, WorldCover de l’Agence spatiale européenne, les données sur la couverture forestière tropicale du WRI, les données sur la couverture terrestre mondiale de l’UMD, Global Mangrove Watch et Tropical Moist Forests du JRC.</w:t>
      </w:r>
    </w:p>
  </w:footnote>
  <w:footnote w:id="23">
    <w:p w14:paraId="20EF423D" w14:textId="717610BA" w:rsidR="00954A0B" w:rsidRPr="006D538B" w:rsidRDefault="00954A0B" w:rsidP="0012174E">
      <w:pPr>
        <w:pStyle w:val="FootnoteText"/>
        <w:spacing w:after="0"/>
      </w:pPr>
      <w:r>
        <w:rPr>
          <w:rStyle w:val="FootnoteReference"/>
        </w:rPr>
        <w:footnoteRef/>
      </w:r>
      <w:r>
        <w:tab/>
        <w:t xml:space="preserve">Règlement (UE) 2025/2650 modifiant le règlement (UE) 2023/1115 en ce qui concerne certaines obligations incombant aux opérateurs et aux commerçants, JO L 2025/2650, 23.12.2025, ELI: </w:t>
      </w:r>
      <w:hyperlink r:id="rId17" w:history="1">
        <w:r w:rsidR="00B86881" w:rsidRPr="00834D23">
          <w:rPr>
            <w:rStyle w:val="Hyperlink"/>
          </w:rPr>
          <w:t>http://data.europa.eu/eli/reg/2025/2650/oj</w:t>
        </w:r>
      </w:hyperlink>
      <w:r w:rsidR="00B86881">
        <w:t>.</w:t>
      </w:r>
    </w:p>
  </w:footnote>
  <w:footnote w:id="24">
    <w:p w14:paraId="15CCD0BD" w14:textId="77777777" w:rsidR="00954A0B" w:rsidRPr="006D538B" w:rsidRDefault="00954A0B" w:rsidP="0012174E">
      <w:pPr>
        <w:pStyle w:val="FootnoteText"/>
        <w:spacing w:after="0"/>
      </w:pPr>
      <w:r>
        <w:rPr>
          <w:rStyle w:val="FootnoteReference"/>
        </w:rPr>
        <w:footnoteRef/>
      </w:r>
      <w:r>
        <w:tab/>
        <w:t>COM(2025) 652 final.</w:t>
      </w:r>
    </w:p>
  </w:footnote>
  <w:footnote w:id="25">
    <w:p w14:paraId="5A950116" w14:textId="629B7B2B" w:rsidR="0070789E" w:rsidRPr="007C3C3A" w:rsidRDefault="0070789E" w:rsidP="00637B48">
      <w:pPr>
        <w:pStyle w:val="FootnoteText"/>
        <w:spacing w:after="0"/>
        <w:rPr>
          <w:lang w:val="en-IE"/>
        </w:rPr>
      </w:pPr>
      <w:r>
        <w:rPr>
          <w:rStyle w:val="FootnoteReference"/>
        </w:rPr>
        <w:footnoteRef/>
      </w:r>
      <w:r>
        <w:tab/>
        <w:t xml:space="preserve">Règlement d’exécution (UE) 2024/3084 de la Commission relatif au fonctionnement du système d’information prévu par le règlement (UE) 2023/1115 du Parlement européen et du Conseil relatif à la mise à disposition sur le marché de l’Union et à l’exportation à partir de l’Union de certains produits de base et produits associés à la déforestation et à la dégradation des forêts. </w:t>
      </w:r>
      <w:r w:rsidRPr="007C3C3A">
        <w:rPr>
          <w:lang w:val="en-IE"/>
        </w:rPr>
        <w:t>JO L, 2024/3084, 6.12.2024, ELI: </w:t>
      </w:r>
      <w:hyperlink r:id="rId18" w:tgtFrame="_blank" w:tooltip="Permet d’accéder à ce document via son URI ELI." w:history="1">
        <w:r w:rsidRPr="007C3C3A">
          <w:rPr>
            <w:rStyle w:val="Hyperlink"/>
            <w:lang w:val="en-IE"/>
          </w:rPr>
          <w:t>http://data.europa.eu/eli/reg_impl/2024/3084/oj</w:t>
        </w:r>
      </w:hyperlink>
      <w:r w:rsidRPr="007C3C3A">
        <w:rPr>
          <w:lang w:val="en-IE"/>
        </w:rPr>
        <w:t>.</w:t>
      </w:r>
    </w:p>
  </w:footnote>
  <w:footnote w:id="26">
    <w:p w14:paraId="00E38E02" w14:textId="0766BD27" w:rsidR="00862DDF" w:rsidRPr="00637B48" w:rsidRDefault="00862DDF" w:rsidP="00637B48">
      <w:pPr>
        <w:pStyle w:val="FootnoteText"/>
        <w:spacing w:after="0"/>
      </w:pPr>
      <w:r>
        <w:rPr>
          <w:rStyle w:val="FootnoteReference"/>
        </w:rPr>
        <w:footnoteRef/>
      </w:r>
      <w:r>
        <w:tab/>
        <w:t xml:space="preserve">Accessible à l’adresse suivante: </w:t>
      </w:r>
      <w:hyperlink r:id="rId19" w:history="1">
        <w:r>
          <w:rPr>
            <w:rStyle w:val="Hyperlink"/>
          </w:rPr>
          <w:t>Déforestation — Environnement — Commission européenne</w:t>
        </w:r>
      </w:hyperlink>
      <w:r>
        <w:t>.</w:t>
      </w:r>
    </w:p>
  </w:footnote>
  <w:footnote w:id="27">
    <w:p w14:paraId="163DE15A" w14:textId="77777777" w:rsidR="008261EF" w:rsidRPr="006D538B" w:rsidRDefault="008261EF" w:rsidP="0012174E">
      <w:pPr>
        <w:pStyle w:val="FootnoteText"/>
        <w:spacing w:after="0"/>
      </w:pPr>
      <w:r>
        <w:rPr>
          <w:rStyle w:val="FootnoteReference"/>
        </w:rPr>
        <w:footnoteRef/>
      </w:r>
      <w:r>
        <w:tab/>
        <w:t xml:space="preserve">Document d’orientation concernant le règlement (UE) 2023/1115 relatif aux produits «zéro déforestation», JO C, C/2024/6789, 13.11.2024, ELI: </w:t>
      </w:r>
      <w:hyperlink r:id="rId20" w:history="1">
        <w:r>
          <w:rPr>
            <w:rStyle w:val="Hyperlink"/>
            <w:color w:val="0000FF"/>
          </w:rPr>
          <w:t>http://data.europa.eu/eli/C/2024/6789/oj</w:t>
        </w:r>
      </w:hyperlink>
      <w:r>
        <w:t>.</w:t>
      </w:r>
    </w:p>
  </w:footnote>
  <w:footnote w:id="28">
    <w:p w14:paraId="5EFAE9CC" w14:textId="2F2CE3C8" w:rsidR="008261EF" w:rsidRPr="006D538B" w:rsidRDefault="008261EF" w:rsidP="0012174E">
      <w:pPr>
        <w:pStyle w:val="FootnoteText"/>
        <w:spacing w:after="0"/>
      </w:pPr>
      <w:r>
        <w:rPr>
          <w:rStyle w:val="FootnoteReference"/>
        </w:rPr>
        <w:footnoteRef/>
      </w:r>
      <w:r>
        <w:tab/>
        <w:t>https://circabc.europa.eu/ui/group/34861680-e799-4d7c-bbad-da83c45da458/library/e126f816-844b-41a9-89ef-cb2a33b6aa56/details.</w:t>
      </w:r>
    </w:p>
  </w:footnote>
  <w:footnote w:id="29">
    <w:p w14:paraId="20B4A12C" w14:textId="34B903EE" w:rsidR="0096719A" w:rsidRPr="006D538B" w:rsidRDefault="0096719A" w:rsidP="0012174E">
      <w:pPr>
        <w:pStyle w:val="FootnoteText"/>
        <w:spacing w:after="0"/>
      </w:pPr>
      <w:r>
        <w:rPr>
          <w:rStyle w:val="FootnoteReference"/>
        </w:rPr>
        <w:footnoteRef/>
      </w:r>
      <w:r>
        <w:tab/>
        <w:t>https://op.europa.eu/en/publication-detail/-/publication/693156f0-5d3b-11f0-a9d0-01aa75ed71a1/language-en.</w:t>
      </w:r>
    </w:p>
  </w:footnote>
  <w:footnote w:id="30">
    <w:p w14:paraId="1B0C68D6" w14:textId="77777777" w:rsidR="00E30213" w:rsidRPr="006D538B" w:rsidRDefault="00E30213" w:rsidP="00E30213">
      <w:pPr>
        <w:pStyle w:val="FootnoteText"/>
        <w:spacing w:after="0"/>
      </w:pPr>
      <w:r>
        <w:rPr>
          <w:rStyle w:val="FootnoteReference"/>
        </w:rPr>
        <w:footnoteRef/>
      </w:r>
      <w:r>
        <w:tab/>
        <w:t>Règlement (UE) 2024/3234 modifiant le règlement (UE) 2023/1115 en ce qui concerne les dispositions relatives à la date d’application, JO L, 2024/3234, 23.12.2024, ELI: http://data.europa.eu/eli/reg/2024/3234/oj.</w:t>
      </w:r>
    </w:p>
  </w:footnote>
  <w:footnote w:id="31">
    <w:p w14:paraId="2C3A2933" w14:textId="2199FF7C" w:rsidR="00CD5C15" w:rsidRPr="00637B48" w:rsidRDefault="00CD5C15" w:rsidP="000F4567">
      <w:pPr>
        <w:pStyle w:val="FootnoteText"/>
        <w:spacing w:after="0"/>
        <w:rPr>
          <w:rStyle w:val="Hyperlink"/>
        </w:rPr>
      </w:pPr>
      <w:r>
        <w:rPr>
          <w:rStyle w:val="FootnoteReference"/>
        </w:rPr>
        <w:footnoteRef/>
      </w:r>
      <w:r>
        <w:t xml:space="preserve"> </w:t>
      </w:r>
      <w:r w:rsidR="00B86881">
        <w:tab/>
      </w:r>
      <w:r>
        <w:t xml:space="preserve">Règlement d’exécution (UE) 2025/1093 de la Commission du 22 mai 2025 portant modalités d’application du règlement (UE) 2023/1115 du Parlement européen et du Conseil en ce qui concerne une liste des pays qui présentent un risque faible ou un risque élevé de production de produits de base en cause pour lesquels les produits en cause ne sont pas conformes à l’article 3, point a) (C/2025/3279, JO L, 2025/1093, 23.5.2025), ELI: </w:t>
      </w:r>
      <w:hyperlink r:id="rId21" w:history="1">
        <w:r w:rsidR="00B86881" w:rsidRPr="00834D23">
          <w:rPr>
            <w:rStyle w:val="Hyperlink"/>
          </w:rPr>
          <w:t>http://data.europa.eu/eli/reg_impl/2025/1093/oj</w:t>
        </w:r>
      </w:hyperlink>
      <w:r w:rsidR="00B86881">
        <w:t>.</w:t>
      </w:r>
    </w:p>
  </w:footnote>
  <w:footnote w:id="32">
    <w:p w14:paraId="44822C11" w14:textId="4973456B" w:rsidR="001B67AF" w:rsidRPr="00637B48" w:rsidRDefault="001B67AF" w:rsidP="001B67AF">
      <w:pPr>
        <w:pStyle w:val="FootnoteText"/>
      </w:pPr>
      <w:r>
        <w:rPr>
          <w:rStyle w:val="FootnoteReference"/>
        </w:rPr>
        <w:footnoteRef/>
      </w:r>
      <w:r>
        <w:tab/>
        <w:t>Règlement (UE) nº 995/2010 établissant les obligations des opérateurs qui mettent du bois et des produits dérivés sur le marché (Texte présentant de l’intérêt pour l’EEE) (JO L 295 du 12.11.2010, p. 23).</w:t>
      </w:r>
    </w:p>
  </w:footnote>
  <w:footnote w:id="33">
    <w:p w14:paraId="05A56CE4" w14:textId="77777777" w:rsidR="00934E71" w:rsidRPr="006D538B" w:rsidRDefault="00934E71" w:rsidP="0012174E">
      <w:pPr>
        <w:pStyle w:val="FootnoteText"/>
        <w:spacing w:after="0"/>
      </w:pPr>
      <w:r>
        <w:rPr>
          <w:rStyle w:val="FootnoteReference"/>
        </w:rPr>
        <w:footnoteRef/>
      </w:r>
      <w:r>
        <w:tab/>
      </w:r>
      <w:hyperlink r:id="rId22" w:history="1">
        <w:r>
          <w:rPr>
            <w:rStyle w:val="Hyperlink"/>
          </w:rPr>
          <w:t>Compte rendu sommaire</w:t>
        </w:r>
      </w:hyperlink>
      <w:r>
        <w:t xml:space="preserve"> de la 38</w:t>
      </w:r>
      <w:r>
        <w:rPr>
          <w:vertAlign w:val="superscript"/>
        </w:rPr>
        <w:t>e</w:t>
      </w:r>
      <w:r>
        <w:t> réunion de la «Plateforme pluripartite sur la protection et la restauration des forêts de la planète», axée sur la déforestation et la dégradation des forêts, 11.12.25.</w:t>
      </w:r>
    </w:p>
  </w:footnote>
  <w:footnote w:id="34">
    <w:p w14:paraId="30C133D2" w14:textId="5474B985" w:rsidR="00E5727C" w:rsidRPr="00637B48" w:rsidRDefault="00E5727C" w:rsidP="00637B48">
      <w:pPr>
        <w:pStyle w:val="FootnoteText"/>
        <w:spacing w:after="0"/>
      </w:pPr>
      <w:r>
        <w:rPr>
          <w:rStyle w:val="FootnoteReference"/>
        </w:rPr>
        <w:footnoteRef/>
      </w:r>
      <w:r>
        <w:tab/>
      </w:r>
      <w:hyperlink r:id="rId23" w:history="1">
        <w:r>
          <w:rPr>
            <w:rStyle w:val="Hyperlink"/>
          </w:rPr>
          <w:t>Règles de l’UE visant à réduire au minimum la déforestation et la dégradation des forêts — modification de l’annexe I du règlement sur la déforestation</w:t>
        </w:r>
      </w:hyperlink>
      <w:r>
        <w:t>.</w:t>
      </w:r>
    </w:p>
  </w:footnote>
  <w:footnote w:id="35">
    <w:p w14:paraId="4DFC05FC" w14:textId="1ADF4683" w:rsidR="00814A6F" w:rsidRPr="006D538B" w:rsidRDefault="00814A6F" w:rsidP="006D538B">
      <w:pPr>
        <w:pStyle w:val="FootnoteText"/>
        <w:spacing w:after="0"/>
      </w:pPr>
      <w:r>
        <w:rPr>
          <w:rStyle w:val="FootnoteReference"/>
        </w:rPr>
        <w:footnoteRef/>
      </w:r>
      <w:r>
        <w:tab/>
      </w:r>
      <w:hyperlink r:id="rId24" w:history="1">
        <w:r>
          <w:rPr>
            <w:rStyle w:val="Hyperlink"/>
          </w:rPr>
          <w:t>Simplification de la charge administrative liée à la législation environnementale</w:t>
        </w:r>
      </w:hyperlink>
      <w:r>
        <w:t xml:space="preserve">. </w:t>
      </w:r>
    </w:p>
  </w:footnote>
  <w:footnote w:id="36">
    <w:p w14:paraId="1821C019" w14:textId="4F671C6D" w:rsidR="003C0F5A" w:rsidRPr="006D538B" w:rsidRDefault="003C0F5A">
      <w:pPr>
        <w:pStyle w:val="FootnoteText"/>
      </w:pPr>
      <w:r>
        <w:rPr>
          <w:rStyle w:val="FootnoteReference"/>
        </w:rPr>
        <w:footnoteRef/>
      </w:r>
      <w:r>
        <w:tab/>
      </w:r>
      <w:hyperlink r:id="rId25" w:history="1">
        <w:r>
          <w:rPr>
            <w:rStyle w:val="Hyperlink"/>
          </w:rPr>
          <w:t>Infographies sur la chaîne d’approvisionnement du RDUE (3</w:t>
        </w:r>
        <w:r>
          <w:rPr>
            <w:rStyle w:val="Hyperlink"/>
            <w:vertAlign w:val="superscript"/>
          </w:rPr>
          <w:t>e</w:t>
        </w:r>
        <w:r>
          <w:rPr>
            <w:rStyle w:val="Hyperlink"/>
          </w:rPr>
          <w:t> édition) — Environnement</w:t>
        </w:r>
      </w:hyperlink>
      <w:r>
        <w:t>.</w:t>
      </w:r>
    </w:p>
  </w:footnote>
  <w:footnote w:id="37">
    <w:p w14:paraId="13C7FF3D" w14:textId="097DA941" w:rsidR="0076499A" w:rsidRPr="006D538B" w:rsidRDefault="0076499A" w:rsidP="0015133F">
      <w:pPr>
        <w:pStyle w:val="FootnoteText"/>
        <w:spacing w:after="0"/>
      </w:pPr>
      <w:r>
        <w:rPr>
          <w:rStyle w:val="FootnoteReference"/>
        </w:rPr>
        <w:footnoteRef/>
      </w:r>
      <w:r>
        <w:tab/>
      </w:r>
      <w:hyperlink r:id="rId26" w:history="1">
        <w:r>
          <w:rPr>
            <w:rStyle w:val="Hyperlink"/>
          </w:rPr>
          <w:t>Initiatives publiées</w:t>
        </w:r>
      </w:hyperlink>
      <w:r>
        <w:t>.</w:t>
      </w:r>
    </w:p>
  </w:footnote>
  <w:footnote w:id="38">
    <w:p w14:paraId="5CD84F6F" w14:textId="77777777" w:rsidR="00426FBE" w:rsidRPr="006D538B" w:rsidRDefault="00426FBE" w:rsidP="0015133F">
      <w:pPr>
        <w:pStyle w:val="FootnoteText"/>
        <w:spacing w:after="0"/>
      </w:pPr>
      <w:r>
        <w:rPr>
          <w:rStyle w:val="FootnoteReference"/>
        </w:rPr>
        <w:footnoteRef/>
      </w:r>
      <w:r>
        <w:tab/>
        <w:t>Les produits qu’il est proposé de retirer du champ d’application du règlement sont les pneumatiques rechapés, en caoutchouc, pour voitures de tourisme (SH 40121100), les pneumatiques rechapés, en caoutchouc, pour autobus (SH 40121200), les pneumatiques rechapés, en caoutchouc, pour avions (SH 40121300), les autres pneumatiques rechapés, en caoutchouc (SH 40121900), les bandages pleins ou creux (mi-pleins), en caoutchouc (SH 40129020) et les flaps en caoutchouc (SH 40129090).</w:t>
      </w:r>
    </w:p>
  </w:footnote>
  <w:footnote w:id="39">
    <w:p w14:paraId="539D46E2" w14:textId="2F811D6D" w:rsidR="00426FBE" w:rsidRPr="006D538B" w:rsidRDefault="00426FBE" w:rsidP="0012174E">
      <w:pPr>
        <w:pStyle w:val="FootnoteText"/>
        <w:spacing w:after="0"/>
      </w:pPr>
      <w:r>
        <w:rPr>
          <w:rStyle w:val="FootnoteReference"/>
        </w:rPr>
        <w:footnoteRef/>
      </w:r>
      <w:r>
        <w:tab/>
        <w:t>Les codes de produits relatifs aux bovins qu’il est proposé de supprimer du champ d’application du règlement sont les cuirs et peaux bruts de bovins (SH 4101), les cuirs et peaux tannés ou en croûte de bovins (SH 4104) et les cuirs de bovins, préparés après tannage ou après dessèchement (SH 4107).</w:t>
      </w:r>
    </w:p>
  </w:footnote>
  <w:footnote w:id="40">
    <w:p w14:paraId="7DD71624" w14:textId="3610CD7A" w:rsidR="008B6623" w:rsidRPr="006D538B" w:rsidRDefault="008B6623" w:rsidP="0012174E">
      <w:pPr>
        <w:pStyle w:val="FootnoteText"/>
        <w:spacing w:after="0"/>
      </w:pPr>
      <w:r>
        <w:rPr>
          <w:rStyle w:val="FootnoteReference"/>
        </w:rPr>
        <w:footnoteRef/>
      </w:r>
      <w:r>
        <w:tab/>
        <w:t>Cette quantification rend compte des coûts annuels récurrents de mise en conformité opérationnelle, mais n’inclut pas les dépenses en capital liées au développement du système.</w:t>
      </w:r>
    </w:p>
  </w:footnote>
  <w:footnote w:id="41">
    <w:p w14:paraId="05B00D0B" w14:textId="08D8AF2A" w:rsidR="00647F5D" w:rsidRPr="006D538B" w:rsidRDefault="00647F5D" w:rsidP="00637B48">
      <w:pPr>
        <w:pStyle w:val="FootnoteText"/>
        <w:spacing w:after="0"/>
      </w:pPr>
      <w:r>
        <w:rPr>
          <w:rStyle w:val="FootnoteReference"/>
        </w:rPr>
        <w:footnoteRef/>
      </w:r>
      <w:r>
        <w:tab/>
        <w:t>Cette méthode s’appuie sur l’étude intitulée «</w:t>
      </w:r>
      <w:r>
        <w:rPr>
          <w:i/>
        </w:rPr>
        <w:t>Assessment of environmental reporting and the potential for simplification</w:t>
      </w:r>
      <w:r>
        <w:t>» commandée par la Commission et qui devrait être publiée fin 2026. Les étapes de calcul sont mises à jour afin d’inclure les simplifications présentées dans l’acte délégué, les FAQ et les orientations publiés en même temps que le présent rapport.</w:t>
      </w:r>
    </w:p>
  </w:footnote>
  <w:footnote w:id="42">
    <w:p w14:paraId="12DFA7A3" w14:textId="4254F49B" w:rsidR="00B0075E" w:rsidRPr="00637B48" w:rsidRDefault="00B0075E">
      <w:pPr>
        <w:pStyle w:val="FootnoteText"/>
      </w:pPr>
      <w:r>
        <w:rPr>
          <w:rStyle w:val="FootnoteReference"/>
        </w:rPr>
        <w:footnoteRef/>
      </w:r>
      <w:r>
        <w:tab/>
        <w:t xml:space="preserve">Commission européenne (2020), </w:t>
      </w:r>
      <w:hyperlink r:id="rId27" w:history="1">
        <w:r>
          <w:rPr>
            <w:rStyle w:val="Hyperlink"/>
          </w:rPr>
          <w:t>Study on due diligence requirements through the supply chain</w:t>
        </w:r>
      </w:hyperlink>
      <w:r>
        <w:t xml:space="preserve"> (Étude sur les obligations de diligence raisonnée tout au long de la chaîne d’approvisionnement).</w:t>
      </w:r>
    </w:p>
  </w:footnote>
  <w:footnote w:id="43">
    <w:p w14:paraId="2832D26A" w14:textId="2ED8DF7A" w:rsidR="00EC415B" w:rsidRPr="00637B48" w:rsidRDefault="00EC415B" w:rsidP="00637B48">
      <w:pPr>
        <w:pStyle w:val="FootnoteText"/>
        <w:spacing w:after="0"/>
      </w:pPr>
      <w:r>
        <w:rPr>
          <w:rStyle w:val="FootnoteReference"/>
        </w:rPr>
        <w:footnoteRef/>
      </w:r>
      <w:r>
        <w:tab/>
        <w:t>Étant donné que l’ensemble de données DeDuCE établi par Singh et Persson (2026), qui fournit des estimations de la déforestation par pays et par produit, n’est disponible que jusqu’en 2022 et présente des limites pour les années 2021 à 2022, l’analyse se concentre sur la période 2015-2020. Les principales limitations sont liées aux retards dans la communication au niveau national des données relatives à l’utilisation des terres agricoles et aux superficies récoltées, qui servent de données d’entrée au modèle DeDuCE et sont susceptibles de fausser les indicateurs de déforestation pour les années 2021-2022.</w:t>
      </w:r>
    </w:p>
  </w:footnote>
  <w:footnote w:id="44">
    <w:p w14:paraId="2950D5C5" w14:textId="4194080E" w:rsidR="00C52586" w:rsidRPr="006D538B" w:rsidRDefault="00C52586" w:rsidP="00FF03FC">
      <w:pPr>
        <w:pStyle w:val="FootnoteText"/>
        <w:spacing w:after="0"/>
      </w:pPr>
      <w:r>
        <w:rPr>
          <w:rStyle w:val="FootnoteReference"/>
        </w:rPr>
        <w:footnoteRef/>
      </w:r>
      <w:r>
        <w:tab/>
        <w:t xml:space="preserve">Les avantages environnementaux pour le bois sont sous-estimés, étant donné que la dégradation des forêts, la conversion de forêts naturelles en forêts gérées ou en plantations, n’est pas incluse dans les calculs. </w:t>
      </w:r>
    </w:p>
  </w:footnote>
  <w:footnote w:id="45">
    <w:p w14:paraId="11F6C815" w14:textId="2B028CE2" w:rsidR="000454A0" w:rsidRPr="00637B48" w:rsidRDefault="000454A0" w:rsidP="00637B48">
      <w:pPr>
        <w:pStyle w:val="FootnoteText"/>
        <w:spacing w:after="0"/>
      </w:pPr>
      <w:r>
        <w:rPr>
          <w:rStyle w:val="FootnoteReference"/>
        </w:rPr>
        <w:footnoteRef/>
      </w:r>
      <w:r>
        <w:tab/>
        <w:t>Une valeur de service écosystémique est le bénéfice quantifié que l’homme tire des écosystèmes naturels, tels que l’eau propre, la production alimentaire, la régulation du climat, les loisirs et le maintien des ressources génétiques qui soutiennent l’amélioration des cultures, le développement de médicaments et la résilience des écosystèmes.</w:t>
      </w:r>
    </w:p>
  </w:footnote>
  <w:footnote w:id="46">
    <w:p w14:paraId="63A65115" w14:textId="3E04AA6A" w:rsidR="000454A0" w:rsidRPr="00637B48" w:rsidRDefault="000454A0" w:rsidP="0015133F">
      <w:pPr>
        <w:pStyle w:val="FootnoteText"/>
        <w:spacing w:after="0"/>
      </w:pPr>
      <w:r>
        <w:rPr>
          <w:rStyle w:val="FootnoteReference"/>
        </w:rPr>
        <w:footnoteRef/>
      </w:r>
      <w:r>
        <w:tab/>
        <w:t xml:space="preserve">Brander, L. M., De Groot, R., Schägner, J. P., Guisado-Goñi, V., Van't Hoff, V., Solomonides, S., ... et Thomas, R. (2024). </w:t>
      </w:r>
      <w:r w:rsidRPr="007C3C3A">
        <w:rPr>
          <w:i/>
          <w:iCs/>
          <w:lang w:val="en-IE"/>
        </w:rPr>
        <w:t>Economic values for ecosystem services: A global synthesis and way forward.</w:t>
      </w:r>
      <w:r w:rsidRPr="007C3C3A">
        <w:rPr>
          <w:lang w:val="en-IE"/>
        </w:rPr>
        <w:t xml:space="preserve"> </w:t>
      </w:r>
      <w:r>
        <w:t>(Valeurs économiques pour les services écosystémiques: une synthèse mondiale et la voie à suivre.) </w:t>
      </w:r>
      <w:r>
        <w:rPr>
          <w:i/>
        </w:rPr>
        <w:t>Ecosystem Services</w:t>
      </w:r>
      <w:r>
        <w:t>, </w:t>
      </w:r>
      <w:r>
        <w:rPr>
          <w:i/>
        </w:rPr>
        <w:t>66</w:t>
      </w:r>
      <w:r>
        <w:t>, 101606.</w:t>
      </w:r>
    </w:p>
  </w:footnote>
  <w:footnote w:id="47">
    <w:p w14:paraId="5D16F864" w14:textId="4071BC65" w:rsidR="000454A0" w:rsidRPr="00637B48" w:rsidRDefault="000454A0" w:rsidP="0015133F">
      <w:pPr>
        <w:pStyle w:val="FootnoteText"/>
        <w:spacing w:after="0"/>
      </w:pPr>
      <w:r>
        <w:rPr>
          <w:rStyle w:val="FootnoteReference"/>
        </w:rPr>
        <w:footnoteRef/>
      </w:r>
      <w:r>
        <w:tab/>
      </w:r>
      <w:hyperlink r:id="rId28" w:history="1">
        <w:r>
          <w:rPr>
            <w:rStyle w:val="Hyperlink"/>
          </w:rPr>
          <w:t>Document de travail des services de la Commission – Analyse d’impact (2021)</w:t>
        </w:r>
      </w:hyperlink>
      <w:r>
        <w:t>.</w:t>
      </w:r>
    </w:p>
  </w:footnote>
  <w:footnote w:id="48">
    <w:p w14:paraId="7276EF68" w14:textId="100A1693" w:rsidR="00C1740D" w:rsidRPr="006D538B" w:rsidRDefault="00C1740D" w:rsidP="0015133F">
      <w:pPr>
        <w:pStyle w:val="FootnoteText"/>
        <w:spacing w:after="0"/>
      </w:pPr>
      <w:r>
        <w:rPr>
          <w:vertAlign w:val="superscript"/>
          <w:lang w:val="en-IE"/>
        </w:rPr>
        <w:footnoteRef/>
      </w:r>
      <w:r>
        <w:tab/>
        <w:t xml:space="preserve">Singh, C. et Persson, U. M. (2026). </w:t>
      </w:r>
      <w:r>
        <w:rPr>
          <w:i/>
          <w:iCs/>
        </w:rPr>
        <w:t>Global patterns of commodity-driven deforestation and associated carbon emissions</w:t>
      </w:r>
      <w:r>
        <w:t xml:space="preserve"> (Modèles mondiaux de déforestation liée aux produits de base et émissions de carbone y associées). Nature Food, 7(2), 138-151.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24A6C" w14:textId="77777777" w:rsidR="006560CD" w:rsidRPr="006560CD" w:rsidRDefault="006560CD" w:rsidP="006560C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DFB48" w14:textId="77777777" w:rsidR="006560CD" w:rsidRPr="006560CD" w:rsidRDefault="006560CD" w:rsidP="006560C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F6A85" w14:textId="77777777" w:rsidR="006560CD" w:rsidRPr="006560CD" w:rsidRDefault="006560CD" w:rsidP="006560C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07CE2" w14:textId="77777777" w:rsidR="00BD6E9D" w:rsidRDefault="00BD6E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71421" w14:textId="77777777" w:rsidR="00FE05C7" w:rsidRDefault="00FE05C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811F0" w14:textId="77777777" w:rsidR="007678CB" w:rsidRDefault="007678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60245"/>
    <w:multiLevelType w:val="hybridMultilevel"/>
    <w:tmpl w:val="E2F42A08"/>
    <w:lvl w:ilvl="0" w:tplc="1809001B">
      <w:start w:val="1"/>
      <w:numFmt w:val="lowerRoman"/>
      <w:lvlText w:val="%1."/>
      <w:lvlJc w:val="right"/>
      <w:pPr>
        <w:ind w:left="2145" w:hanging="360"/>
      </w:pPr>
      <w:rPr>
        <w:rFonts w:hint="default"/>
      </w:rPr>
    </w:lvl>
    <w:lvl w:ilvl="1" w:tplc="FFFFFFFF">
      <w:start w:val="1"/>
      <w:numFmt w:val="bullet"/>
      <w:lvlText w:val="o"/>
      <w:lvlJc w:val="left"/>
      <w:pPr>
        <w:ind w:left="2865" w:hanging="360"/>
      </w:pPr>
      <w:rPr>
        <w:rFonts w:ascii="Courier New" w:hAnsi="Courier New" w:hint="default"/>
      </w:rPr>
    </w:lvl>
    <w:lvl w:ilvl="2" w:tplc="FFFFFFFF" w:tentative="1">
      <w:start w:val="1"/>
      <w:numFmt w:val="bullet"/>
      <w:lvlText w:val=""/>
      <w:lvlJc w:val="left"/>
      <w:pPr>
        <w:ind w:left="3585" w:hanging="360"/>
      </w:pPr>
      <w:rPr>
        <w:rFonts w:ascii="Wingdings" w:hAnsi="Wingdings" w:hint="default"/>
      </w:rPr>
    </w:lvl>
    <w:lvl w:ilvl="3" w:tplc="FFFFFFFF" w:tentative="1">
      <w:start w:val="1"/>
      <w:numFmt w:val="bullet"/>
      <w:lvlText w:val=""/>
      <w:lvlJc w:val="left"/>
      <w:pPr>
        <w:ind w:left="4305" w:hanging="360"/>
      </w:pPr>
      <w:rPr>
        <w:rFonts w:ascii="Symbol" w:hAnsi="Symbol" w:hint="default"/>
      </w:rPr>
    </w:lvl>
    <w:lvl w:ilvl="4" w:tplc="FFFFFFFF" w:tentative="1">
      <w:start w:val="1"/>
      <w:numFmt w:val="bullet"/>
      <w:lvlText w:val="o"/>
      <w:lvlJc w:val="left"/>
      <w:pPr>
        <w:ind w:left="5025" w:hanging="360"/>
      </w:pPr>
      <w:rPr>
        <w:rFonts w:ascii="Courier New" w:hAnsi="Courier New" w:hint="default"/>
      </w:rPr>
    </w:lvl>
    <w:lvl w:ilvl="5" w:tplc="FFFFFFFF" w:tentative="1">
      <w:start w:val="1"/>
      <w:numFmt w:val="bullet"/>
      <w:lvlText w:val=""/>
      <w:lvlJc w:val="left"/>
      <w:pPr>
        <w:ind w:left="5745" w:hanging="360"/>
      </w:pPr>
      <w:rPr>
        <w:rFonts w:ascii="Wingdings" w:hAnsi="Wingdings" w:hint="default"/>
      </w:rPr>
    </w:lvl>
    <w:lvl w:ilvl="6" w:tplc="FFFFFFFF" w:tentative="1">
      <w:start w:val="1"/>
      <w:numFmt w:val="bullet"/>
      <w:lvlText w:val=""/>
      <w:lvlJc w:val="left"/>
      <w:pPr>
        <w:ind w:left="6465" w:hanging="360"/>
      </w:pPr>
      <w:rPr>
        <w:rFonts w:ascii="Symbol" w:hAnsi="Symbol" w:hint="default"/>
      </w:rPr>
    </w:lvl>
    <w:lvl w:ilvl="7" w:tplc="FFFFFFFF" w:tentative="1">
      <w:start w:val="1"/>
      <w:numFmt w:val="bullet"/>
      <w:lvlText w:val="o"/>
      <w:lvlJc w:val="left"/>
      <w:pPr>
        <w:ind w:left="7185" w:hanging="360"/>
      </w:pPr>
      <w:rPr>
        <w:rFonts w:ascii="Courier New" w:hAnsi="Courier New" w:hint="default"/>
      </w:rPr>
    </w:lvl>
    <w:lvl w:ilvl="8" w:tplc="FFFFFFFF" w:tentative="1">
      <w:start w:val="1"/>
      <w:numFmt w:val="bullet"/>
      <w:lvlText w:val=""/>
      <w:lvlJc w:val="left"/>
      <w:pPr>
        <w:ind w:left="7905" w:hanging="360"/>
      </w:pPr>
      <w:rPr>
        <w:rFonts w:ascii="Wingdings" w:hAnsi="Wingdings" w:hint="default"/>
      </w:rPr>
    </w:lvl>
  </w:abstractNum>
  <w:abstractNum w:abstractNumId="1" w15:restartNumberingAfterBreak="0">
    <w:nsid w:val="01B65BE2"/>
    <w:multiLevelType w:val="multilevel"/>
    <w:tmpl w:val="4B7E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F65910"/>
    <w:multiLevelType w:val="hybridMultilevel"/>
    <w:tmpl w:val="95FA0D5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40E4C55"/>
    <w:multiLevelType w:val="hybridMultilevel"/>
    <w:tmpl w:val="278EB9FA"/>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44173C0"/>
    <w:multiLevelType w:val="hybridMultilevel"/>
    <w:tmpl w:val="A5CC0522"/>
    <w:lvl w:ilvl="0" w:tplc="58E80D12">
      <w:start w:val="1"/>
      <w:numFmt w:val="decimal"/>
      <w:lvlText w:val="%1)"/>
      <w:lvlJc w:val="left"/>
      <w:pPr>
        <w:ind w:left="720" w:hanging="360"/>
      </w:pPr>
    </w:lvl>
    <w:lvl w:ilvl="1" w:tplc="E80EED00">
      <w:start w:val="1"/>
      <w:numFmt w:val="decimal"/>
      <w:lvlText w:val="%2)"/>
      <w:lvlJc w:val="left"/>
      <w:pPr>
        <w:ind w:left="720" w:hanging="360"/>
      </w:pPr>
    </w:lvl>
    <w:lvl w:ilvl="2" w:tplc="C4FA5444">
      <w:start w:val="1"/>
      <w:numFmt w:val="decimal"/>
      <w:lvlText w:val="%3)"/>
      <w:lvlJc w:val="left"/>
      <w:pPr>
        <w:ind w:left="720" w:hanging="360"/>
      </w:pPr>
    </w:lvl>
    <w:lvl w:ilvl="3" w:tplc="46F20A2C">
      <w:start w:val="1"/>
      <w:numFmt w:val="decimal"/>
      <w:lvlText w:val="%4)"/>
      <w:lvlJc w:val="left"/>
      <w:pPr>
        <w:ind w:left="720" w:hanging="360"/>
      </w:pPr>
    </w:lvl>
    <w:lvl w:ilvl="4" w:tplc="9CA26708">
      <w:start w:val="1"/>
      <w:numFmt w:val="decimal"/>
      <w:lvlText w:val="%5)"/>
      <w:lvlJc w:val="left"/>
      <w:pPr>
        <w:ind w:left="720" w:hanging="360"/>
      </w:pPr>
    </w:lvl>
    <w:lvl w:ilvl="5" w:tplc="F7C2541C">
      <w:start w:val="1"/>
      <w:numFmt w:val="decimal"/>
      <w:lvlText w:val="%6)"/>
      <w:lvlJc w:val="left"/>
      <w:pPr>
        <w:ind w:left="720" w:hanging="360"/>
      </w:pPr>
    </w:lvl>
    <w:lvl w:ilvl="6" w:tplc="4DD422D4">
      <w:start w:val="1"/>
      <w:numFmt w:val="decimal"/>
      <w:lvlText w:val="%7)"/>
      <w:lvlJc w:val="left"/>
      <w:pPr>
        <w:ind w:left="720" w:hanging="360"/>
      </w:pPr>
    </w:lvl>
    <w:lvl w:ilvl="7" w:tplc="6CC8C912">
      <w:start w:val="1"/>
      <w:numFmt w:val="decimal"/>
      <w:lvlText w:val="%8)"/>
      <w:lvlJc w:val="left"/>
      <w:pPr>
        <w:ind w:left="720" w:hanging="360"/>
      </w:pPr>
    </w:lvl>
    <w:lvl w:ilvl="8" w:tplc="5CFC8D5C">
      <w:start w:val="1"/>
      <w:numFmt w:val="decimal"/>
      <w:lvlText w:val="%9)"/>
      <w:lvlJc w:val="left"/>
      <w:pPr>
        <w:ind w:left="720" w:hanging="360"/>
      </w:pPr>
    </w:lvl>
  </w:abstractNum>
  <w:abstractNum w:abstractNumId="5" w15:restartNumberingAfterBreak="0">
    <w:nsid w:val="099006F3"/>
    <w:multiLevelType w:val="multilevel"/>
    <w:tmpl w:val="85E8AD2A"/>
    <w:lvl w:ilvl="0">
      <w:start w:val="1"/>
      <w:numFmt w:val="decimal"/>
      <w:lvlText w:val="%1."/>
      <w:lvlJc w:val="left"/>
      <w:pPr>
        <w:tabs>
          <w:tab w:val="num" w:pos="360"/>
        </w:tabs>
        <w:ind w:left="360" w:hanging="360"/>
      </w:p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0A2900F7"/>
    <w:multiLevelType w:val="multilevel"/>
    <w:tmpl w:val="4E78CD0E"/>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B47621A"/>
    <w:multiLevelType w:val="hybridMultilevel"/>
    <w:tmpl w:val="B172EE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51619E"/>
    <w:multiLevelType w:val="hybridMultilevel"/>
    <w:tmpl w:val="E7148A5A"/>
    <w:lvl w:ilvl="0" w:tplc="A34C3670">
      <w:start w:val="4"/>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EFB7115"/>
    <w:multiLevelType w:val="multilevel"/>
    <w:tmpl w:val="11042686"/>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0C870C4"/>
    <w:multiLevelType w:val="hybridMultilevel"/>
    <w:tmpl w:val="64D49B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14C41C5"/>
    <w:multiLevelType w:val="multilevel"/>
    <w:tmpl w:val="C80A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20B7201"/>
    <w:multiLevelType w:val="multilevel"/>
    <w:tmpl w:val="F9BEACE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20B8345"/>
    <w:multiLevelType w:val="multilevel"/>
    <w:tmpl w:val="D2EA053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262685D"/>
    <w:multiLevelType w:val="multilevel"/>
    <w:tmpl w:val="58D8B30C"/>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27E2411"/>
    <w:multiLevelType w:val="hybridMultilevel"/>
    <w:tmpl w:val="A4445D1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31A070B"/>
    <w:multiLevelType w:val="multilevel"/>
    <w:tmpl w:val="CB40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43D0A16"/>
    <w:multiLevelType w:val="multilevel"/>
    <w:tmpl w:val="97423CFE"/>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58E15A7"/>
    <w:multiLevelType w:val="hybridMultilevel"/>
    <w:tmpl w:val="8C9492C2"/>
    <w:lvl w:ilvl="0" w:tplc="5798D776">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6532E2D"/>
    <w:multiLevelType w:val="hybridMultilevel"/>
    <w:tmpl w:val="62B0630C"/>
    <w:lvl w:ilvl="0" w:tplc="7E7CC89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172F0AC5"/>
    <w:multiLevelType w:val="multilevel"/>
    <w:tmpl w:val="C28C2638"/>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84D001A"/>
    <w:multiLevelType w:val="multilevel"/>
    <w:tmpl w:val="3D90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703E46"/>
    <w:multiLevelType w:val="multilevel"/>
    <w:tmpl w:val="AA4C9F1E"/>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189E29D1"/>
    <w:multiLevelType w:val="hybridMultilevel"/>
    <w:tmpl w:val="9C6ED7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1B95E4EC"/>
    <w:multiLevelType w:val="hybridMultilevel"/>
    <w:tmpl w:val="85E0586E"/>
    <w:lvl w:ilvl="0" w:tplc="D264D918">
      <w:start w:val="1"/>
      <w:numFmt w:val="bullet"/>
      <w:lvlText w:val=""/>
      <w:lvlJc w:val="left"/>
      <w:pPr>
        <w:ind w:left="720" w:hanging="360"/>
      </w:pPr>
      <w:rPr>
        <w:rFonts w:ascii="Symbol" w:hAnsi="Symbol" w:hint="default"/>
      </w:rPr>
    </w:lvl>
    <w:lvl w:ilvl="1" w:tplc="F58ECAEA">
      <w:start w:val="1"/>
      <w:numFmt w:val="bullet"/>
      <w:lvlText w:val="o"/>
      <w:lvlJc w:val="left"/>
      <w:pPr>
        <w:ind w:left="1440" w:hanging="360"/>
      </w:pPr>
      <w:rPr>
        <w:rFonts w:ascii="Courier New" w:hAnsi="Courier New" w:hint="default"/>
      </w:rPr>
    </w:lvl>
    <w:lvl w:ilvl="2" w:tplc="1548D29E">
      <w:start w:val="1"/>
      <w:numFmt w:val="bullet"/>
      <w:lvlText w:val=""/>
      <w:lvlJc w:val="left"/>
      <w:pPr>
        <w:ind w:left="2160" w:hanging="360"/>
      </w:pPr>
      <w:rPr>
        <w:rFonts w:ascii="Wingdings" w:hAnsi="Wingdings" w:hint="default"/>
      </w:rPr>
    </w:lvl>
    <w:lvl w:ilvl="3" w:tplc="7056346E">
      <w:start w:val="1"/>
      <w:numFmt w:val="bullet"/>
      <w:lvlText w:val=""/>
      <w:lvlJc w:val="left"/>
      <w:pPr>
        <w:ind w:left="2880" w:hanging="360"/>
      </w:pPr>
      <w:rPr>
        <w:rFonts w:ascii="Symbol" w:hAnsi="Symbol" w:hint="default"/>
      </w:rPr>
    </w:lvl>
    <w:lvl w:ilvl="4" w:tplc="C1520062">
      <w:start w:val="1"/>
      <w:numFmt w:val="bullet"/>
      <w:lvlText w:val="o"/>
      <w:lvlJc w:val="left"/>
      <w:pPr>
        <w:ind w:left="3600" w:hanging="360"/>
      </w:pPr>
      <w:rPr>
        <w:rFonts w:ascii="Courier New" w:hAnsi="Courier New" w:hint="default"/>
      </w:rPr>
    </w:lvl>
    <w:lvl w:ilvl="5" w:tplc="0F06C96C">
      <w:start w:val="1"/>
      <w:numFmt w:val="bullet"/>
      <w:lvlText w:val=""/>
      <w:lvlJc w:val="left"/>
      <w:pPr>
        <w:ind w:left="4320" w:hanging="360"/>
      </w:pPr>
      <w:rPr>
        <w:rFonts w:ascii="Wingdings" w:hAnsi="Wingdings" w:hint="default"/>
      </w:rPr>
    </w:lvl>
    <w:lvl w:ilvl="6" w:tplc="CB6EBDFA">
      <w:start w:val="1"/>
      <w:numFmt w:val="bullet"/>
      <w:lvlText w:val=""/>
      <w:lvlJc w:val="left"/>
      <w:pPr>
        <w:ind w:left="5040" w:hanging="360"/>
      </w:pPr>
      <w:rPr>
        <w:rFonts w:ascii="Symbol" w:hAnsi="Symbol" w:hint="default"/>
      </w:rPr>
    </w:lvl>
    <w:lvl w:ilvl="7" w:tplc="BDBC7CD4">
      <w:start w:val="1"/>
      <w:numFmt w:val="bullet"/>
      <w:lvlText w:val="o"/>
      <w:lvlJc w:val="left"/>
      <w:pPr>
        <w:ind w:left="5760" w:hanging="360"/>
      </w:pPr>
      <w:rPr>
        <w:rFonts w:ascii="Courier New" w:hAnsi="Courier New" w:hint="default"/>
      </w:rPr>
    </w:lvl>
    <w:lvl w:ilvl="8" w:tplc="435EE8C8">
      <w:start w:val="1"/>
      <w:numFmt w:val="bullet"/>
      <w:lvlText w:val=""/>
      <w:lvlJc w:val="left"/>
      <w:pPr>
        <w:ind w:left="6480" w:hanging="360"/>
      </w:pPr>
      <w:rPr>
        <w:rFonts w:ascii="Wingdings" w:hAnsi="Wingdings" w:hint="default"/>
      </w:rPr>
    </w:lvl>
  </w:abstractNum>
  <w:abstractNum w:abstractNumId="25" w15:restartNumberingAfterBreak="0">
    <w:nsid w:val="1C7B624F"/>
    <w:multiLevelType w:val="multilevel"/>
    <w:tmpl w:val="1578F158"/>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D822AA5"/>
    <w:multiLevelType w:val="hybridMultilevel"/>
    <w:tmpl w:val="548E2382"/>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1F384BFE"/>
    <w:multiLevelType w:val="hybridMultilevel"/>
    <w:tmpl w:val="223A6DB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210911BB"/>
    <w:multiLevelType w:val="hybridMultilevel"/>
    <w:tmpl w:val="E8C697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2218195F"/>
    <w:multiLevelType w:val="multilevel"/>
    <w:tmpl w:val="102EF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7A407B7"/>
    <w:multiLevelType w:val="multilevel"/>
    <w:tmpl w:val="75107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86B5210"/>
    <w:multiLevelType w:val="hybridMultilevel"/>
    <w:tmpl w:val="06C402B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2C2839C8"/>
    <w:multiLevelType w:val="hybridMultilevel"/>
    <w:tmpl w:val="D512BF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C8DFDF8"/>
    <w:multiLevelType w:val="multilevel"/>
    <w:tmpl w:val="98C42ECA"/>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D293CE3"/>
    <w:multiLevelType w:val="multilevel"/>
    <w:tmpl w:val="434C0910"/>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D293CF4"/>
    <w:multiLevelType w:val="multilevel"/>
    <w:tmpl w:val="DBC46DE4"/>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ED267EC"/>
    <w:multiLevelType w:val="multilevel"/>
    <w:tmpl w:val="9A0C3EB6"/>
    <w:lvl w:ilvl="0">
      <w:start w:val="1"/>
      <w:numFmt w:val="bullet"/>
      <w:lvlText w:val="o"/>
      <w:lvlJc w:val="left"/>
      <w:pPr>
        <w:tabs>
          <w:tab w:val="num" w:pos="360"/>
        </w:tabs>
        <w:ind w:left="360" w:hanging="360"/>
      </w:pPr>
      <w:rPr>
        <w:rFonts w:ascii="Courier New" w:hAnsi="Courier New" w:hint="default"/>
      </w:r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15:restartNumberingAfterBreak="0">
    <w:nsid w:val="2FE21B55"/>
    <w:multiLevelType w:val="multilevel"/>
    <w:tmpl w:val="917CC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0561AD1"/>
    <w:multiLevelType w:val="multilevel"/>
    <w:tmpl w:val="DB8A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24D6445"/>
    <w:multiLevelType w:val="hybridMultilevel"/>
    <w:tmpl w:val="E0B86D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33C95F45"/>
    <w:multiLevelType w:val="multilevel"/>
    <w:tmpl w:val="599AD3C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352F7CC8"/>
    <w:multiLevelType w:val="multilevel"/>
    <w:tmpl w:val="CC489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5CA5341"/>
    <w:multiLevelType w:val="hybridMultilevel"/>
    <w:tmpl w:val="9B1C3084"/>
    <w:lvl w:ilvl="0" w:tplc="19F6799A">
      <w:start w:val="1"/>
      <w:numFmt w:val="decimal"/>
      <w:lvlText w:val="(%1)"/>
      <w:lvlJc w:val="left"/>
      <w:pPr>
        <w:ind w:left="728" w:hanging="368"/>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36324F1E"/>
    <w:multiLevelType w:val="multilevel"/>
    <w:tmpl w:val="17C8B944"/>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6510E3D"/>
    <w:multiLevelType w:val="hybridMultilevel"/>
    <w:tmpl w:val="150CB27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37AA264D"/>
    <w:multiLevelType w:val="hybridMultilevel"/>
    <w:tmpl w:val="425070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37CB1E1C"/>
    <w:multiLevelType w:val="multilevel"/>
    <w:tmpl w:val="DBCA7976"/>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A7730C4"/>
    <w:multiLevelType w:val="multilevel"/>
    <w:tmpl w:val="8D0CADF0"/>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B7D708A"/>
    <w:multiLevelType w:val="multilevel"/>
    <w:tmpl w:val="5286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C0D750F"/>
    <w:multiLevelType w:val="hybridMultilevel"/>
    <w:tmpl w:val="FF04D046"/>
    <w:lvl w:ilvl="0" w:tplc="7E7CC89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0" w15:restartNumberingAfterBreak="0">
    <w:nsid w:val="3D3C6ACC"/>
    <w:multiLevelType w:val="hybridMultilevel"/>
    <w:tmpl w:val="783AAFCA"/>
    <w:lvl w:ilvl="0" w:tplc="5066E082">
      <w:start w:val="54"/>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3DE00DCE"/>
    <w:multiLevelType w:val="hybridMultilevel"/>
    <w:tmpl w:val="9DA2EA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3E6D1C3C"/>
    <w:multiLevelType w:val="hybridMultilevel"/>
    <w:tmpl w:val="FFFFFFFF"/>
    <w:lvl w:ilvl="0" w:tplc="3EDE4892">
      <w:start w:val="1"/>
      <w:numFmt w:val="bullet"/>
      <w:lvlText w:val=""/>
      <w:lvlJc w:val="left"/>
      <w:pPr>
        <w:ind w:left="720" w:hanging="360"/>
      </w:pPr>
      <w:rPr>
        <w:rFonts w:ascii="Symbol" w:hAnsi="Symbol" w:hint="default"/>
      </w:rPr>
    </w:lvl>
    <w:lvl w:ilvl="1" w:tplc="681C7C50">
      <w:start w:val="1"/>
      <w:numFmt w:val="bullet"/>
      <w:lvlText w:val="o"/>
      <w:lvlJc w:val="left"/>
      <w:pPr>
        <w:ind w:left="1440" w:hanging="360"/>
      </w:pPr>
      <w:rPr>
        <w:rFonts w:ascii="Courier New" w:hAnsi="Courier New" w:hint="default"/>
      </w:rPr>
    </w:lvl>
    <w:lvl w:ilvl="2" w:tplc="A1920070">
      <w:start w:val="1"/>
      <w:numFmt w:val="bullet"/>
      <w:lvlText w:val=""/>
      <w:lvlJc w:val="left"/>
      <w:pPr>
        <w:ind w:left="2160" w:hanging="360"/>
      </w:pPr>
      <w:rPr>
        <w:rFonts w:ascii="Wingdings" w:hAnsi="Wingdings" w:hint="default"/>
      </w:rPr>
    </w:lvl>
    <w:lvl w:ilvl="3" w:tplc="3B5ED83E">
      <w:start w:val="1"/>
      <w:numFmt w:val="bullet"/>
      <w:lvlText w:val=""/>
      <w:lvlJc w:val="left"/>
      <w:pPr>
        <w:ind w:left="2880" w:hanging="360"/>
      </w:pPr>
      <w:rPr>
        <w:rFonts w:ascii="Symbol" w:hAnsi="Symbol" w:hint="default"/>
      </w:rPr>
    </w:lvl>
    <w:lvl w:ilvl="4" w:tplc="72D281FE">
      <w:start w:val="1"/>
      <w:numFmt w:val="bullet"/>
      <w:lvlText w:val="o"/>
      <w:lvlJc w:val="left"/>
      <w:pPr>
        <w:ind w:left="3600" w:hanging="360"/>
      </w:pPr>
      <w:rPr>
        <w:rFonts w:ascii="Courier New" w:hAnsi="Courier New" w:hint="default"/>
      </w:rPr>
    </w:lvl>
    <w:lvl w:ilvl="5" w:tplc="58AE5ED8">
      <w:start w:val="1"/>
      <w:numFmt w:val="bullet"/>
      <w:lvlText w:val=""/>
      <w:lvlJc w:val="left"/>
      <w:pPr>
        <w:ind w:left="4320" w:hanging="360"/>
      </w:pPr>
      <w:rPr>
        <w:rFonts w:ascii="Wingdings" w:hAnsi="Wingdings" w:hint="default"/>
      </w:rPr>
    </w:lvl>
    <w:lvl w:ilvl="6" w:tplc="22B4D6D0">
      <w:start w:val="1"/>
      <w:numFmt w:val="bullet"/>
      <w:lvlText w:val=""/>
      <w:lvlJc w:val="left"/>
      <w:pPr>
        <w:ind w:left="5040" w:hanging="360"/>
      </w:pPr>
      <w:rPr>
        <w:rFonts w:ascii="Symbol" w:hAnsi="Symbol" w:hint="default"/>
      </w:rPr>
    </w:lvl>
    <w:lvl w:ilvl="7" w:tplc="A29A834C">
      <w:start w:val="1"/>
      <w:numFmt w:val="bullet"/>
      <w:lvlText w:val="o"/>
      <w:lvlJc w:val="left"/>
      <w:pPr>
        <w:ind w:left="5760" w:hanging="360"/>
      </w:pPr>
      <w:rPr>
        <w:rFonts w:ascii="Courier New" w:hAnsi="Courier New" w:hint="default"/>
      </w:rPr>
    </w:lvl>
    <w:lvl w:ilvl="8" w:tplc="89FAACFA">
      <w:start w:val="1"/>
      <w:numFmt w:val="bullet"/>
      <w:lvlText w:val=""/>
      <w:lvlJc w:val="left"/>
      <w:pPr>
        <w:ind w:left="6480" w:hanging="360"/>
      </w:pPr>
      <w:rPr>
        <w:rFonts w:ascii="Wingdings" w:hAnsi="Wingdings" w:hint="default"/>
      </w:rPr>
    </w:lvl>
  </w:abstractNum>
  <w:abstractNum w:abstractNumId="53" w15:restartNumberingAfterBreak="0">
    <w:nsid w:val="3E8D76B9"/>
    <w:multiLevelType w:val="hybridMultilevel"/>
    <w:tmpl w:val="B90EC8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3EC7C959"/>
    <w:multiLevelType w:val="hybridMultilevel"/>
    <w:tmpl w:val="FFFFFFFF"/>
    <w:lvl w:ilvl="0" w:tplc="7E7CC892">
      <w:start w:val="1"/>
      <w:numFmt w:val="bullet"/>
      <w:lvlText w:val=""/>
      <w:lvlJc w:val="left"/>
      <w:pPr>
        <w:ind w:left="360" w:hanging="360"/>
      </w:pPr>
      <w:rPr>
        <w:rFonts w:ascii="Symbol" w:hAnsi="Symbol" w:hint="default"/>
      </w:rPr>
    </w:lvl>
    <w:lvl w:ilvl="1" w:tplc="17649A3A">
      <w:start w:val="1"/>
      <w:numFmt w:val="bullet"/>
      <w:lvlText w:val="o"/>
      <w:lvlJc w:val="left"/>
      <w:pPr>
        <w:ind w:left="1080" w:hanging="360"/>
      </w:pPr>
      <w:rPr>
        <w:rFonts w:ascii="Courier New" w:hAnsi="Courier New" w:hint="default"/>
      </w:rPr>
    </w:lvl>
    <w:lvl w:ilvl="2" w:tplc="1AE88F30">
      <w:start w:val="1"/>
      <w:numFmt w:val="bullet"/>
      <w:lvlText w:val=""/>
      <w:lvlJc w:val="left"/>
      <w:pPr>
        <w:ind w:left="1800" w:hanging="360"/>
      </w:pPr>
      <w:rPr>
        <w:rFonts w:ascii="Wingdings" w:hAnsi="Wingdings" w:hint="default"/>
      </w:rPr>
    </w:lvl>
    <w:lvl w:ilvl="3" w:tplc="C842155A">
      <w:start w:val="1"/>
      <w:numFmt w:val="bullet"/>
      <w:lvlText w:val=""/>
      <w:lvlJc w:val="left"/>
      <w:pPr>
        <w:ind w:left="2520" w:hanging="360"/>
      </w:pPr>
      <w:rPr>
        <w:rFonts w:ascii="Symbol" w:hAnsi="Symbol" w:hint="default"/>
      </w:rPr>
    </w:lvl>
    <w:lvl w:ilvl="4" w:tplc="8C4825C2">
      <w:start w:val="1"/>
      <w:numFmt w:val="bullet"/>
      <w:lvlText w:val="o"/>
      <w:lvlJc w:val="left"/>
      <w:pPr>
        <w:ind w:left="3240" w:hanging="360"/>
      </w:pPr>
      <w:rPr>
        <w:rFonts w:ascii="Courier New" w:hAnsi="Courier New" w:hint="default"/>
      </w:rPr>
    </w:lvl>
    <w:lvl w:ilvl="5" w:tplc="EA8A3A6E">
      <w:start w:val="1"/>
      <w:numFmt w:val="bullet"/>
      <w:lvlText w:val=""/>
      <w:lvlJc w:val="left"/>
      <w:pPr>
        <w:ind w:left="3960" w:hanging="360"/>
      </w:pPr>
      <w:rPr>
        <w:rFonts w:ascii="Wingdings" w:hAnsi="Wingdings" w:hint="default"/>
      </w:rPr>
    </w:lvl>
    <w:lvl w:ilvl="6" w:tplc="D9A07E2A">
      <w:start w:val="1"/>
      <w:numFmt w:val="bullet"/>
      <w:lvlText w:val=""/>
      <w:lvlJc w:val="left"/>
      <w:pPr>
        <w:ind w:left="4680" w:hanging="360"/>
      </w:pPr>
      <w:rPr>
        <w:rFonts w:ascii="Symbol" w:hAnsi="Symbol" w:hint="default"/>
      </w:rPr>
    </w:lvl>
    <w:lvl w:ilvl="7" w:tplc="9F365248">
      <w:start w:val="1"/>
      <w:numFmt w:val="bullet"/>
      <w:lvlText w:val="o"/>
      <w:lvlJc w:val="left"/>
      <w:pPr>
        <w:ind w:left="5400" w:hanging="360"/>
      </w:pPr>
      <w:rPr>
        <w:rFonts w:ascii="Courier New" w:hAnsi="Courier New" w:hint="default"/>
      </w:rPr>
    </w:lvl>
    <w:lvl w:ilvl="8" w:tplc="0936CDB4">
      <w:start w:val="1"/>
      <w:numFmt w:val="bullet"/>
      <w:lvlText w:val=""/>
      <w:lvlJc w:val="left"/>
      <w:pPr>
        <w:ind w:left="6120" w:hanging="360"/>
      </w:pPr>
      <w:rPr>
        <w:rFonts w:ascii="Wingdings" w:hAnsi="Wingdings" w:hint="default"/>
      </w:rPr>
    </w:lvl>
  </w:abstractNum>
  <w:abstractNum w:abstractNumId="55" w15:restartNumberingAfterBreak="0">
    <w:nsid w:val="3FE1635D"/>
    <w:multiLevelType w:val="hybridMultilevel"/>
    <w:tmpl w:val="500E78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6" w15:restartNumberingAfterBreak="0">
    <w:nsid w:val="403876B7"/>
    <w:multiLevelType w:val="hybridMultilevel"/>
    <w:tmpl w:val="4490AB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429E662A"/>
    <w:multiLevelType w:val="multilevel"/>
    <w:tmpl w:val="5FA4B33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85DC088"/>
    <w:multiLevelType w:val="hybridMultilevel"/>
    <w:tmpl w:val="FFFFFFFF"/>
    <w:lvl w:ilvl="0" w:tplc="4E103534">
      <w:start w:val="1"/>
      <w:numFmt w:val="bullet"/>
      <w:lvlText w:val=""/>
      <w:lvlJc w:val="left"/>
      <w:pPr>
        <w:ind w:left="720" w:hanging="360"/>
      </w:pPr>
      <w:rPr>
        <w:rFonts w:ascii="Symbol" w:hAnsi="Symbol" w:hint="default"/>
      </w:rPr>
    </w:lvl>
    <w:lvl w:ilvl="1" w:tplc="6296B49A">
      <w:start w:val="1"/>
      <w:numFmt w:val="bullet"/>
      <w:lvlText w:val="o"/>
      <w:lvlJc w:val="left"/>
      <w:pPr>
        <w:ind w:left="1440" w:hanging="360"/>
      </w:pPr>
      <w:rPr>
        <w:rFonts w:ascii="Courier New" w:hAnsi="Courier New" w:hint="default"/>
      </w:rPr>
    </w:lvl>
    <w:lvl w:ilvl="2" w:tplc="212CDDB0">
      <w:start w:val="1"/>
      <w:numFmt w:val="bullet"/>
      <w:lvlText w:val=""/>
      <w:lvlJc w:val="left"/>
      <w:pPr>
        <w:ind w:left="2160" w:hanging="360"/>
      </w:pPr>
      <w:rPr>
        <w:rFonts w:ascii="Wingdings" w:hAnsi="Wingdings" w:hint="default"/>
      </w:rPr>
    </w:lvl>
    <w:lvl w:ilvl="3" w:tplc="694E5110">
      <w:start w:val="1"/>
      <w:numFmt w:val="bullet"/>
      <w:lvlText w:val=""/>
      <w:lvlJc w:val="left"/>
      <w:pPr>
        <w:ind w:left="2880" w:hanging="360"/>
      </w:pPr>
      <w:rPr>
        <w:rFonts w:ascii="Symbol" w:hAnsi="Symbol" w:hint="default"/>
      </w:rPr>
    </w:lvl>
    <w:lvl w:ilvl="4" w:tplc="562A2374">
      <w:start w:val="1"/>
      <w:numFmt w:val="bullet"/>
      <w:lvlText w:val="o"/>
      <w:lvlJc w:val="left"/>
      <w:pPr>
        <w:ind w:left="3600" w:hanging="360"/>
      </w:pPr>
      <w:rPr>
        <w:rFonts w:ascii="Courier New" w:hAnsi="Courier New" w:hint="default"/>
      </w:rPr>
    </w:lvl>
    <w:lvl w:ilvl="5" w:tplc="9006B56E">
      <w:start w:val="1"/>
      <w:numFmt w:val="bullet"/>
      <w:lvlText w:val=""/>
      <w:lvlJc w:val="left"/>
      <w:pPr>
        <w:ind w:left="4320" w:hanging="360"/>
      </w:pPr>
      <w:rPr>
        <w:rFonts w:ascii="Wingdings" w:hAnsi="Wingdings" w:hint="default"/>
      </w:rPr>
    </w:lvl>
    <w:lvl w:ilvl="6" w:tplc="B7445B5A">
      <w:start w:val="1"/>
      <w:numFmt w:val="bullet"/>
      <w:lvlText w:val=""/>
      <w:lvlJc w:val="left"/>
      <w:pPr>
        <w:ind w:left="5040" w:hanging="360"/>
      </w:pPr>
      <w:rPr>
        <w:rFonts w:ascii="Symbol" w:hAnsi="Symbol" w:hint="default"/>
      </w:rPr>
    </w:lvl>
    <w:lvl w:ilvl="7" w:tplc="ED184FAA">
      <w:start w:val="1"/>
      <w:numFmt w:val="bullet"/>
      <w:lvlText w:val="o"/>
      <w:lvlJc w:val="left"/>
      <w:pPr>
        <w:ind w:left="5760" w:hanging="360"/>
      </w:pPr>
      <w:rPr>
        <w:rFonts w:ascii="Courier New" w:hAnsi="Courier New" w:hint="default"/>
      </w:rPr>
    </w:lvl>
    <w:lvl w:ilvl="8" w:tplc="BDD2AEA0">
      <w:start w:val="1"/>
      <w:numFmt w:val="bullet"/>
      <w:lvlText w:val=""/>
      <w:lvlJc w:val="left"/>
      <w:pPr>
        <w:ind w:left="6480" w:hanging="360"/>
      </w:pPr>
      <w:rPr>
        <w:rFonts w:ascii="Wingdings" w:hAnsi="Wingdings" w:hint="default"/>
      </w:rPr>
    </w:lvl>
  </w:abstractNum>
  <w:abstractNum w:abstractNumId="59" w15:restartNumberingAfterBreak="0">
    <w:nsid w:val="499D62B0"/>
    <w:multiLevelType w:val="hybridMultilevel"/>
    <w:tmpl w:val="89169C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0" w15:restartNumberingAfterBreak="0">
    <w:nsid w:val="4D532554"/>
    <w:multiLevelType w:val="hybridMultilevel"/>
    <w:tmpl w:val="6CA0CCBC"/>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36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4E1A63DF"/>
    <w:multiLevelType w:val="multilevel"/>
    <w:tmpl w:val="43849B72"/>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E1A982C"/>
    <w:multiLevelType w:val="multilevel"/>
    <w:tmpl w:val="C2269C86"/>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F30262A"/>
    <w:multiLevelType w:val="hybridMultilevel"/>
    <w:tmpl w:val="A9C67D72"/>
    <w:lvl w:ilvl="0" w:tplc="99EECBB0">
      <w:start w:val="1"/>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5072619B"/>
    <w:multiLevelType w:val="multilevel"/>
    <w:tmpl w:val="0178A23E"/>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50729B52"/>
    <w:multiLevelType w:val="multilevel"/>
    <w:tmpl w:val="2C7AB7AE"/>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51A44BB4"/>
    <w:multiLevelType w:val="hybridMultilevel"/>
    <w:tmpl w:val="1548CB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7" w15:restartNumberingAfterBreak="0">
    <w:nsid w:val="54A177EC"/>
    <w:multiLevelType w:val="hybridMultilevel"/>
    <w:tmpl w:val="AF8AE892"/>
    <w:lvl w:ilvl="0" w:tplc="A34C3670">
      <w:start w:val="4"/>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54EF1C85"/>
    <w:multiLevelType w:val="hybridMultilevel"/>
    <w:tmpl w:val="4C360DB2"/>
    <w:lvl w:ilvl="0" w:tplc="1809001B">
      <w:start w:val="1"/>
      <w:numFmt w:val="lowerRoman"/>
      <w:lvlText w:val="%1."/>
      <w:lvlJc w:val="right"/>
      <w:pPr>
        <w:ind w:left="2145" w:hanging="360"/>
      </w:pPr>
      <w:rPr>
        <w:rFonts w:hint="default"/>
      </w:rPr>
    </w:lvl>
    <w:lvl w:ilvl="1" w:tplc="FFFFFFFF">
      <w:start w:val="1"/>
      <w:numFmt w:val="bullet"/>
      <w:lvlText w:val="o"/>
      <w:lvlJc w:val="left"/>
      <w:pPr>
        <w:ind w:left="2865" w:hanging="360"/>
      </w:pPr>
      <w:rPr>
        <w:rFonts w:ascii="Courier New" w:hAnsi="Courier New" w:hint="default"/>
      </w:rPr>
    </w:lvl>
    <w:lvl w:ilvl="2" w:tplc="FFFFFFFF" w:tentative="1">
      <w:start w:val="1"/>
      <w:numFmt w:val="bullet"/>
      <w:lvlText w:val=""/>
      <w:lvlJc w:val="left"/>
      <w:pPr>
        <w:ind w:left="3585" w:hanging="360"/>
      </w:pPr>
      <w:rPr>
        <w:rFonts w:ascii="Wingdings" w:hAnsi="Wingdings" w:hint="default"/>
      </w:rPr>
    </w:lvl>
    <w:lvl w:ilvl="3" w:tplc="FFFFFFFF" w:tentative="1">
      <w:start w:val="1"/>
      <w:numFmt w:val="bullet"/>
      <w:lvlText w:val=""/>
      <w:lvlJc w:val="left"/>
      <w:pPr>
        <w:ind w:left="4305" w:hanging="360"/>
      </w:pPr>
      <w:rPr>
        <w:rFonts w:ascii="Symbol" w:hAnsi="Symbol" w:hint="default"/>
      </w:rPr>
    </w:lvl>
    <w:lvl w:ilvl="4" w:tplc="FFFFFFFF" w:tentative="1">
      <w:start w:val="1"/>
      <w:numFmt w:val="bullet"/>
      <w:lvlText w:val="o"/>
      <w:lvlJc w:val="left"/>
      <w:pPr>
        <w:ind w:left="5025" w:hanging="360"/>
      </w:pPr>
      <w:rPr>
        <w:rFonts w:ascii="Courier New" w:hAnsi="Courier New" w:hint="default"/>
      </w:rPr>
    </w:lvl>
    <w:lvl w:ilvl="5" w:tplc="FFFFFFFF" w:tentative="1">
      <w:start w:val="1"/>
      <w:numFmt w:val="bullet"/>
      <w:lvlText w:val=""/>
      <w:lvlJc w:val="left"/>
      <w:pPr>
        <w:ind w:left="5745" w:hanging="360"/>
      </w:pPr>
      <w:rPr>
        <w:rFonts w:ascii="Wingdings" w:hAnsi="Wingdings" w:hint="default"/>
      </w:rPr>
    </w:lvl>
    <w:lvl w:ilvl="6" w:tplc="FFFFFFFF" w:tentative="1">
      <w:start w:val="1"/>
      <w:numFmt w:val="bullet"/>
      <w:lvlText w:val=""/>
      <w:lvlJc w:val="left"/>
      <w:pPr>
        <w:ind w:left="6465" w:hanging="360"/>
      </w:pPr>
      <w:rPr>
        <w:rFonts w:ascii="Symbol" w:hAnsi="Symbol" w:hint="default"/>
      </w:rPr>
    </w:lvl>
    <w:lvl w:ilvl="7" w:tplc="FFFFFFFF" w:tentative="1">
      <w:start w:val="1"/>
      <w:numFmt w:val="bullet"/>
      <w:lvlText w:val="o"/>
      <w:lvlJc w:val="left"/>
      <w:pPr>
        <w:ind w:left="7185" w:hanging="360"/>
      </w:pPr>
      <w:rPr>
        <w:rFonts w:ascii="Courier New" w:hAnsi="Courier New" w:hint="default"/>
      </w:rPr>
    </w:lvl>
    <w:lvl w:ilvl="8" w:tplc="FFFFFFFF" w:tentative="1">
      <w:start w:val="1"/>
      <w:numFmt w:val="bullet"/>
      <w:lvlText w:val=""/>
      <w:lvlJc w:val="left"/>
      <w:pPr>
        <w:ind w:left="7905" w:hanging="360"/>
      </w:pPr>
      <w:rPr>
        <w:rFonts w:ascii="Wingdings" w:hAnsi="Wingdings" w:hint="default"/>
      </w:rPr>
    </w:lvl>
  </w:abstractNum>
  <w:abstractNum w:abstractNumId="69" w15:restartNumberingAfterBreak="0">
    <w:nsid w:val="575A5EA4"/>
    <w:multiLevelType w:val="multilevel"/>
    <w:tmpl w:val="0DB2B2AA"/>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0" w15:restartNumberingAfterBreak="0">
    <w:nsid w:val="588D5F30"/>
    <w:multiLevelType w:val="hybridMultilevel"/>
    <w:tmpl w:val="F266D8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59184022"/>
    <w:multiLevelType w:val="hybridMultilevel"/>
    <w:tmpl w:val="291EAA74"/>
    <w:lvl w:ilvl="0" w:tplc="935A53DE">
      <w:start w:val="1"/>
      <w:numFmt w:val="decimal"/>
      <w:lvlText w:val="%1)"/>
      <w:lvlJc w:val="left"/>
      <w:pPr>
        <w:ind w:left="720" w:hanging="360"/>
      </w:pPr>
    </w:lvl>
    <w:lvl w:ilvl="1" w:tplc="DDA46490">
      <w:start w:val="1"/>
      <w:numFmt w:val="decimal"/>
      <w:lvlText w:val="%2)"/>
      <w:lvlJc w:val="left"/>
      <w:pPr>
        <w:ind w:left="720" w:hanging="360"/>
      </w:pPr>
    </w:lvl>
    <w:lvl w:ilvl="2" w:tplc="47E6972A">
      <w:start w:val="1"/>
      <w:numFmt w:val="decimal"/>
      <w:lvlText w:val="%3)"/>
      <w:lvlJc w:val="left"/>
      <w:pPr>
        <w:ind w:left="720" w:hanging="360"/>
      </w:pPr>
    </w:lvl>
    <w:lvl w:ilvl="3" w:tplc="A0BE03E4">
      <w:start w:val="1"/>
      <w:numFmt w:val="decimal"/>
      <w:lvlText w:val="%4)"/>
      <w:lvlJc w:val="left"/>
      <w:pPr>
        <w:ind w:left="720" w:hanging="360"/>
      </w:pPr>
    </w:lvl>
    <w:lvl w:ilvl="4" w:tplc="A1441866">
      <w:start w:val="1"/>
      <w:numFmt w:val="decimal"/>
      <w:lvlText w:val="%5)"/>
      <w:lvlJc w:val="left"/>
      <w:pPr>
        <w:ind w:left="720" w:hanging="360"/>
      </w:pPr>
    </w:lvl>
    <w:lvl w:ilvl="5" w:tplc="6BF89E42">
      <w:start w:val="1"/>
      <w:numFmt w:val="decimal"/>
      <w:lvlText w:val="%6)"/>
      <w:lvlJc w:val="left"/>
      <w:pPr>
        <w:ind w:left="720" w:hanging="360"/>
      </w:pPr>
    </w:lvl>
    <w:lvl w:ilvl="6" w:tplc="AFB68C48">
      <w:start w:val="1"/>
      <w:numFmt w:val="decimal"/>
      <w:lvlText w:val="%7)"/>
      <w:lvlJc w:val="left"/>
      <w:pPr>
        <w:ind w:left="720" w:hanging="360"/>
      </w:pPr>
    </w:lvl>
    <w:lvl w:ilvl="7" w:tplc="2B5A930A">
      <w:start w:val="1"/>
      <w:numFmt w:val="decimal"/>
      <w:lvlText w:val="%8)"/>
      <w:lvlJc w:val="left"/>
      <w:pPr>
        <w:ind w:left="720" w:hanging="360"/>
      </w:pPr>
    </w:lvl>
    <w:lvl w:ilvl="8" w:tplc="932681B4">
      <w:start w:val="1"/>
      <w:numFmt w:val="decimal"/>
      <w:lvlText w:val="%9)"/>
      <w:lvlJc w:val="left"/>
      <w:pPr>
        <w:ind w:left="720" w:hanging="360"/>
      </w:pPr>
    </w:lvl>
  </w:abstractNum>
  <w:abstractNum w:abstractNumId="72" w15:restartNumberingAfterBreak="0">
    <w:nsid w:val="5D373EE0"/>
    <w:multiLevelType w:val="hybridMultilevel"/>
    <w:tmpl w:val="AA96D5E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3" w15:restartNumberingAfterBreak="0">
    <w:nsid w:val="5E094B1D"/>
    <w:multiLevelType w:val="hybridMultilevel"/>
    <w:tmpl w:val="A53A2F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60F67E2D"/>
    <w:multiLevelType w:val="hybridMultilevel"/>
    <w:tmpl w:val="BECE988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76" w15:restartNumberingAfterBreak="0">
    <w:nsid w:val="6977472E"/>
    <w:multiLevelType w:val="multilevel"/>
    <w:tmpl w:val="AB045DCE"/>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6E477761"/>
    <w:multiLevelType w:val="hybridMultilevel"/>
    <w:tmpl w:val="3EA4A4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8" w15:restartNumberingAfterBreak="0">
    <w:nsid w:val="725C7F82"/>
    <w:multiLevelType w:val="hybridMultilevel"/>
    <w:tmpl w:val="C2F254B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767B1490"/>
    <w:multiLevelType w:val="hybridMultilevel"/>
    <w:tmpl w:val="FECC7A0E"/>
    <w:lvl w:ilvl="0" w:tplc="DC2ADDF8">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78024509"/>
    <w:multiLevelType w:val="hybridMultilevel"/>
    <w:tmpl w:val="5476B054"/>
    <w:lvl w:ilvl="0" w:tplc="B3265698">
      <w:start w:val="1"/>
      <w:numFmt w:val="bullet"/>
      <w:lvlText w:val=""/>
      <w:lvlJc w:val="left"/>
      <w:pPr>
        <w:ind w:left="2145" w:hanging="360"/>
      </w:pPr>
      <w:rPr>
        <w:rFonts w:ascii="Symbol" w:hAnsi="Symbol" w:hint="default"/>
      </w:rPr>
    </w:lvl>
    <w:lvl w:ilvl="1" w:tplc="8612D1D2">
      <w:start w:val="1"/>
      <w:numFmt w:val="bullet"/>
      <w:lvlText w:val="o"/>
      <w:lvlJc w:val="left"/>
      <w:pPr>
        <w:ind w:left="2865" w:hanging="360"/>
      </w:pPr>
      <w:rPr>
        <w:rFonts w:ascii="Courier New" w:hAnsi="Courier New" w:hint="default"/>
      </w:rPr>
    </w:lvl>
    <w:lvl w:ilvl="2" w:tplc="DB504934" w:tentative="1">
      <w:start w:val="1"/>
      <w:numFmt w:val="bullet"/>
      <w:lvlText w:val=""/>
      <w:lvlJc w:val="left"/>
      <w:pPr>
        <w:ind w:left="3585" w:hanging="360"/>
      </w:pPr>
      <w:rPr>
        <w:rFonts w:ascii="Wingdings" w:hAnsi="Wingdings" w:hint="default"/>
      </w:rPr>
    </w:lvl>
    <w:lvl w:ilvl="3" w:tplc="DADCDCAC" w:tentative="1">
      <w:start w:val="1"/>
      <w:numFmt w:val="bullet"/>
      <w:lvlText w:val=""/>
      <w:lvlJc w:val="left"/>
      <w:pPr>
        <w:ind w:left="4305" w:hanging="360"/>
      </w:pPr>
      <w:rPr>
        <w:rFonts w:ascii="Symbol" w:hAnsi="Symbol" w:hint="default"/>
      </w:rPr>
    </w:lvl>
    <w:lvl w:ilvl="4" w:tplc="6128998A" w:tentative="1">
      <w:start w:val="1"/>
      <w:numFmt w:val="bullet"/>
      <w:lvlText w:val="o"/>
      <w:lvlJc w:val="left"/>
      <w:pPr>
        <w:ind w:left="5025" w:hanging="360"/>
      </w:pPr>
      <w:rPr>
        <w:rFonts w:ascii="Courier New" w:hAnsi="Courier New" w:hint="default"/>
      </w:rPr>
    </w:lvl>
    <w:lvl w:ilvl="5" w:tplc="E6E8E92A" w:tentative="1">
      <w:start w:val="1"/>
      <w:numFmt w:val="bullet"/>
      <w:lvlText w:val=""/>
      <w:lvlJc w:val="left"/>
      <w:pPr>
        <w:ind w:left="5745" w:hanging="360"/>
      </w:pPr>
      <w:rPr>
        <w:rFonts w:ascii="Wingdings" w:hAnsi="Wingdings" w:hint="default"/>
      </w:rPr>
    </w:lvl>
    <w:lvl w:ilvl="6" w:tplc="76041C1E" w:tentative="1">
      <w:start w:val="1"/>
      <w:numFmt w:val="bullet"/>
      <w:lvlText w:val=""/>
      <w:lvlJc w:val="left"/>
      <w:pPr>
        <w:ind w:left="6465" w:hanging="360"/>
      </w:pPr>
      <w:rPr>
        <w:rFonts w:ascii="Symbol" w:hAnsi="Symbol" w:hint="default"/>
      </w:rPr>
    </w:lvl>
    <w:lvl w:ilvl="7" w:tplc="11288784" w:tentative="1">
      <w:start w:val="1"/>
      <w:numFmt w:val="bullet"/>
      <w:lvlText w:val="o"/>
      <w:lvlJc w:val="left"/>
      <w:pPr>
        <w:ind w:left="7185" w:hanging="360"/>
      </w:pPr>
      <w:rPr>
        <w:rFonts w:ascii="Courier New" w:hAnsi="Courier New" w:hint="default"/>
      </w:rPr>
    </w:lvl>
    <w:lvl w:ilvl="8" w:tplc="37200E00" w:tentative="1">
      <w:start w:val="1"/>
      <w:numFmt w:val="bullet"/>
      <w:lvlText w:val=""/>
      <w:lvlJc w:val="left"/>
      <w:pPr>
        <w:ind w:left="7905" w:hanging="360"/>
      </w:pPr>
      <w:rPr>
        <w:rFonts w:ascii="Wingdings" w:hAnsi="Wingdings" w:hint="default"/>
      </w:rPr>
    </w:lvl>
  </w:abstractNum>
  <w:abstractNum w:abstractNumId="81" w15:restartNumberingAfterBreak="0">
    <w:nsid w:val="7C65145E"/>
    <w:multiLevelType w:val="multilevel"/>
    <w:tmpl w:val="1012D64A"/>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8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6"/>
  </w:num>
  <w:num w:numId="2">
    <w:abstractNumId w:val="43"/>
  </w:num>
  <w:num w:numId="3">
    <w:abstractNumId w:val="25"/>
  </w:num>
  <w:num w:numId="4">
    <w:abstractNumId w:val="46"/>
  </w:num>
  <w:num w:numId="5">
    <w:abstractNumId w:val="64"/>
  </w:num>
  <w:num w:numId="6">
    <w:abstractNumId w:val="76"/>
  </w:num>
  <w:num w:numId="7">
    <w:abstractNumId w:val="9"/>
  </w:num>
  <w:num w:numId="8">
    <w:abstractNumId w:val="20"/>
  </w:num>
  <w:num w:numId="9">
    <w:abstractNumId w:val="57"/>
  </w:num>
  <w:num w:numId="10">
    <w:abstractNumId w:val="12"/>
  </w:num>
  <w:num w:numId="11">
    <w:abstractNumId w:val="14"/>
  </w:num>
  <w:num w:numId="12">
    <w:abstractNumId w:val="17"/>
  </w:num>
  <w:num w:numId="13">
    <w:abstractNumId w:val="33"/>
  </w:num>
  <w:num w:numId="14">
    <w:abstractNumId w:val="47"/>
  </w:num>
  <w:num w:numId="15">
    <w:abstractNumId w:val="62"/>
  </w:num>
  <w:num w:numId="16">
    <w:abstractNumId w:val="81"/>
  </w:num>
  <w:num w:numId="17">
    <w:abstractNumId w:val="34"/>
  </w:num>
  <w:num w:numId="18">
    <w:abstractNumId w:val="35"/>
  </w:num>
  <w:num w:numId="19">
    <w:abstractNumId w:val="82"/>
  </w:num>
  <w:num w:numId="20">
    <w:abstractNumId w:val="61"/>
  </w:num>
  <w:num w:numId="21">
    <w:abstractNumId w:val="65"/>
  </w:num>
  <w:num w:numId="22">
    <w:abstractNumId w:val="13"/>
  </w:num>
  <w:num w:numId="23">
    <w:abstractNumId w:val="41"/>
  </w:num>
  <w:num w:numId="24">
    <w:abstractNumId w:val="5"/>
  </w:num>
  <w:num w:numId="25">
    <w:abstractNumId w:val="69"/>
  </w:num>
  <w:num w:numId="26">
    <w:abstractNumId w:val="36"/>
  </w:num>
  <w:num w:numId="27">
    <w:abstractNumId w:val="30"/>
  </w:num>
  <w:num w:numId="28">
    <w:abstractNumId w:val="21"/>
  </w:num>
  <w:num w:numId="29">
    <w:abstractNumId w:val="75"/>
  </w:num>
  <w:num w:numId="30">
    <w:abstractNumId w:val="27"/>
  </w:num>
  <w:num w:numId="31">
    <w:abstractNumId w:val="80"/>
  </w:num>
  <w:num w:numId="32">
    <w:abstractNumId w:val="54"/>
  </w:num>
  <w:num w:numId="33">
    <w:abstractNumId w:val="63"/>
  </w:num>
  <w:num w:numId="34">
    <w:abstractNumId w:val="37"/>
  </w:num>
  <w:num w:numId="35">
    <w:abstractNumId w:val="24"/>
  </w:num>
  <w:num w:numId="36">
    <w:abstractNumId w:val="74"/>
  </w:num>
  <w:num w:numId="37">
    <w:abstractNumId w:val="8"/>
  </w:num>
  <w:num w:numId="38">
    <w:abstractNumId w:val="67"/>
  </w:num>
  <w:num w:numId="39">
    <w:abstractNumId w:val="72"/>
  </w:num>
  <w:num w:numId="40">
    <w:abstractNumId w:val="15"/>
  </w:num>
  <w:num w:numId="41">
    <w:abstractNumId w:val="40"/>
  </w:num>
  <w:num w:numId="42">
    <w:abstractNumId w:val="60"/>
  </w:num>
  <w:num w:numId="43">
    <w:abstractNumId w:val="10"/>
  </w:num>
  <w:num w:numId="44">
    <w:abstractNumId w:val="19"/>
  </w:num>
  <w:num w:numId="45">
    <w:abstractNumId w:val="49"/>
  </w:num>
  <w:num w:numId="46">
    <w:abstractNumId w:val="23"/>
  </w:num>
  <w:num w:numId="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9"/>
  </w:num>
  <w:num w:numId="49">
    <w:abstractNumId w:val="55"/>
  </w:num>
  <w:num w:numId="50">
    <w:abstractNumId w:val="77"/>
  </w:num>
  <w:num w:numId="51">
    <w:abstractNumId w:val="66"/>
  </w:num>
  <w:num w:numId="52">
    <w:abstractNumId w:val="7"/>
  </w:num>
  <w:num w:numId="53">
    <w:abstractNumId w:val="45"/>
  </w:num>
  <w:num w:numId="54">
    <w:abstractNumId w:val="73"/>
  </w:num>
  <w:num w:numId="55">
    <w:abstractNumId w:val="70"/>
  </w:num>
  <w:num w:numId="56">
    <w:abstractNumId w:val="31"/>
  </w:num>
  <w:num w:numId="57">
    <w:abstractNumId w:val="51"/>
  </w:num>
  <w:num w:numId="58">
    <w:abstractNumId w:val="59"/>
  </w:num>
  <w:num w:numId="59">
    <w:abstractNumId w:val="50"/>
  </w:num>
  <w:num w:numId="60">
    <w:abstractNumId w:val="53"/>
  </w:num>
  <w:num w:numId="61">
    <w:abstractNumId w:val="32"/>
  </w:num>
  <w:num w:numId="62">
    <w:abstractNumId w:val="58"/>
  </w:num>
  <w:num w:numId="63">
    <w:abstractNumId w:val="3"/>
  </w:num>
  <w:num w:numId="64">
    <w:abstractNumId w:val="26"/>
  </w:num>
  <w:num w:numId="65">
    <w:abstractNumId w:val="44"/>
  </w:num>
  <w:num w:numId="66">
    <w:abstractNumId w:val="22"/>
  </w:num>
  <w:num w:numId="67">
    <w:abstractNumId w:val="0"/>
  </w:num>
  <w:num w:numId="68">
    <w:abstractNumId w:val="48"/>
  </w:num>
  <w:num w:numId="69">
    <w:abstractNumId w:val="38"/>
  </w:num>
  <w:num w:numId="70">
    <w:abstractNumId w:val="16"/>
  </w:num>
  <w:num w:numId="71">
    <w:abstractNumId w:val="29"/>
  </w:num>
  <w:num w:numId="72">
    <w:abstractNumId w:val="11"/>
  </w:num>
  <w:num w:numId="73">
    <w:abstractNumId w:val="1"/>
  </w:num>
  <w:num w:numId="74">
    <w:abstractNumId w:val="79"/>
  </w:num>
  <w:num w:numId="75">
    <w:abstractNumId w:val="68"/>
  </w:num>
  <w:num w:numId="76">
    <w:abstractNumId w:val="56"/>
  </w:num>
  <w:num w:numId="77">
    <w:abstractNumId w:val="42"/>
  </w:num>
  <w:num w:numId="78">
    <w:abstractNumId w:val="18"/>
  </w:num>
  <w:num w:numId="79">
    <w:abstractNumId w:val="28"/>
  </w:num>
  <w:num w:numId="80">
    <w:abstractNumId w:val="4"/>
  </w:num>
  <w:num w:numId="81">
    <w:abstractNumId w:val="71"/>
  </w:num>
  <w:num w:numId="82">
    <w:abstractNumId w:val="52"/>
  </w:num>
  <w:num w:numId="83">
    <w:abstractNumId w:val="7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16261F7-0D33-43FD-8C47-9145CE098106"/>
    <w:docVar w:name="LW_COVERPAGE_TYPE" w:val="1"/>
    <w:docVar w:name="LW_CROSSREFERENCE" w:val="&lt;UNUSED&gt;"/>
    <w:docVar w:name="LW_DocType" w:val="EUROLOOK"/>
    <w:docVar w:name="LW_EMISSION" w:val="4.5.2026"/>
    <w:docVar w:name="LW_EMISSION_ISODATE" w:val="2026-05-04"/>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9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xamen de simplification du règlement (UE) 2023/2115 relatif à la mise à disposition sur le marché de l\u8217?Union et à l\u8217?exportation à partir de l\u8217?Union de certains produits de base et produits associés à la déforestation et à la dégradation des forêts (RDUE)"/>
    <w:docVar w:name="LW_TYPE.DOC.CP" w:val="RAPPORT DE LA COMMISSION AU PARLEMENT EUROPÉEN ET AU CONSEIL"/>
    <w:docVar w:name="LwApiVersions" w:val="LW4CoDe 1.24.5.0; LW 9.2, Build 20251112"/>
  </w:docVars>
  <w:rsids>
    <w:rsidRoot w:val="00E63F32"/>
    <w:rsid w:val="00000016"/>
    <w:rsid w:val="000000A9"/>
    <w:rsid w:val="000000D3"/>
    <w:rsid w:val="00000200"/>
    <w:rsid w:val="000003CC"/>
    <w:rsid w:val="0000040D"/>
    <w:rsid w:val="00000413"/>
    <w:rsid w:val="000005A3"/>
    <w:rsid w:val="0000075A"/>
    <w:rsid w:val="000008C0"/>
    <w:rsid w:val="00000A11"/>
    <w:rsid w:val="00000AA0"/>
    <w:rsid w:val="00000AEA"/>
    <w:rsid w:val="00000C0E"/>
    <w:rsid w:val="00000DAF"/>
    <w:rsid w:val="00000DE9"/>
    <w:rsid w:val="0000116A"/>
    <w:rsid w:val="000011E9"/>
    <w:rsid w:val="00001284"/>
    <w:rsid w:val="00001478"/>
    <w:rsid w:val="0000153A"/>
    <w:rsid w:val="00001781"/>
    <w:rsid w:val="00001880"/>
    <w:rsid w:val="0000192D"/>
    <w:rsid w:val="00001998"/>
    <w:rsid w:val="00001A1D"/>
    <w:rsid w:val="00001A3E"/>
    <w:rsid w:val="00001AB7"/>
    <w:rsid w:val="00001BC4"/>
    <w:rsid w:val="00001BF3"/>
    <w:rsid w:val="00001C13"/>
    <w:rsid w:val="00001CA1"/>
    <w:rsid w:val="00001EF1"/>
    <w:rsid w:val="00001F66"/>
    <w:rsid w:val="000020EC"/>
    <w:rsid w:val="000020F3"/>
    <w:rsid w:val="000022E3"/>
    <w:rsid w:val="00002437"/>
    <w:rsid w:val="000024F0"/>
    <w:rsid w:val="000026A7"/>
    <w:rsid w:val="000027B0"/>
    <w:rsid w:val="000028FE"/>
    <w:rsid w:val="00002949"/>
    <w:rsid w:val="00002A44"/>
    <w:rsid w:val="00002DF5"/>
    <w:rsid w:val="00002E79"/>
    <w:rsid w:val="00003080"/>
    <w:rsid w:val="000031B8"/>
    <w:rsid w:val="00003214"/>
    <w:rsid w:val="0000331F"/>
    <w:rsid w:val="00003360"/>
    <w:rsid w:val="00003441"/>
    <w:rsid w:val="00003599"/>
    <w:rsid w:val="00003683"/>
    <w:rsid w:val="0000370F"/>
    <w:rsid w:val="000037DF"/>
    <w:rsid w:val="000038EB"/>
    <w:rsid w:val="00003AD6"/>
    <w:rsid w:val="00003BDE"/>
    <w:rsid w:val="00003C84"/>
    <w:rsid w:val="00003D81"/>
    <w:rsid w:val="00003EEC"/>
    <w:rsid w:val="00003F2C"/>
    <w:rsid w:val="00003FA5"/>
    <w:rsid w:val="00003FB1"/>
    <w:rsid w:val="00004017"/>
    <w:rsid w:val="00004150"/>
    <w:rsid w:val="00004171"/>
    <w:rsid w:val="00004200"/>
    <w:rsid w:val="00004374"/>
    <w:rsid w:val="000046C1"/>
    <w:rsid w:val="0000480B"/>
    <w:rsid w:val="00004899"/>
    <w:rsid w:val="00004979"/>
    <w:rsid w:val="0000497E"/>
    <w:rsid w:val="00004B62"/>
    <w:rsid w:val="00004B73"/>
    <w:rsid w:val="00004BDE"/>
    <w:rsid w:val="00004E3D"/>
    <w:rsid w:val="00004FB3"/>
    <w:rsid w:val="0000504C"/>
    <w:rsid w:val="0000510E"/>
    <w:rsid w:val="00005223"/>
    <w:rsid w:val="00005271"/>
    <w:rsid w:val="0000536F"/>
    <w:rsid w:val="000055B5"/>
    <w:rsid w:val="000055EF"/>
    <w:rsid w:val="00005BB8"/>
    <w:rsid w:val="00005C75"/>
    <w:rsid w:val="00005F1B"/>
    <w:rsid w:val="00006145"/>
    <w:rsid w:val="0000627B"/>
    <w:rsid w:val="0000636A"/>
    <w:rsid w:val="000065EC"/>
    <w:rsid w:val="0000680C"/>
    <w:rsid w:val="00006C28"/>
    <w:rsid w:val="00006D1A"/>
    <w:rsid w:val="00006D46"/>
    <w:rsid w:val="00006E35"/>
    <w:rsid w:val="00006E64"/>
    <w:rsid w:val="00006ECF"/>
    <w:rsid w:val="00006F9E"/>
    <w:rsid w:val="00007208"/>
    <w:rsid w:val="0000726B"/>
    <w:rsid w:val="000074A7"/>
    <w:rsid w:val="000074CC"/>
    <w:rsid w:val="000074F7"/>
    <w:rsid w:val="00007762"/>
    <w:rsid w:val="0000798C"/>
    <w:rsid w:val="00007A36"/>
    <w:rsid w:val="00010174"/>
    <w:rsid w:val="000102C2"/>
    <w:rsid w:val="000102D0"/>
    <w:rsid w:val="000103DB"/>
    <w:rsid w:val="0001044C"/>
    <w:rsid w:val="000105E4"/>
    <w:rsid w:val="000107AE"/>
    <w:rsid w:val="00010AC7"/>
    <w:rsid w:val="00010AEE"/>
    <w:rsid w:val="00010B61"/>
    <w:rsid w:val="00010B9F"/>
    <w:rsid w:val="00010CB2"/>
    <w:rsid w:val="00010ED2"/>
    <w:rsid w:val="00010F2C"/>
    <w:rsid w:val="0001104B"/>
    <w:rsid w:val="0001105F"/>
    <w:rsid w:val="00011116"/>
    <w:rsid w:val="00011159"/>
    <w:rsid w:val="00011476"/>
    <w:rsid w:val="0001150A"/>
    <w:rsid w:val="00011597"/>
    <w:rsid w:val="0001159D"/>
    <w:rsid w:val="00011664"/>
    <w:rsid w:val="00011713"/>
    <w:rsid w:val="0001186F"/>
    <w:rsid w:val="000119B0"/>
    <w:rsid w:val="000119BE"/>
    <w:rsid w:val="00011BE9"/>
    <w:rsid w:val="00011E9B"/>
    <w:rsid w:val="00011ECB"/>
    <w:rsid w:val="00011FA3"/>
    <w:rsid w:val="00011FD7"/>
    <w:rsid w:val="0001210A"/>
    <w:rsid w:val="0001217D"/>
    <w:rsid w:val="00012517"/>
    <w:rsid w:val="0001252F"/>
    <w:rsid w:val="000128B0"/>
    <w:rsid w:val="000128E1"/>
    <w:rsid w:val="00012CFA"/>
    <w:rsid w:val="00012F22"/>
    <w:rsid w:val="00013055"/>
    <w:rsid w:val="0001325F"/>
    <w:rsid w:val="000133DE"/>
    <w:rsid w:val="00013486"/>
    <w:rsid w:val="000134C2"/>
    <w:rsid w:val="00013687"/>
    <w:rsid w:val="00013957"/>
    <w:rsid w:val="00013B0A"/>
    <w:rsid w:val="00013D6B"/>
    <w:rsid w:val="00013DE5"/>
    <w:rsid w:val="00013F3D"/>
    <w:rsid w:val="00013FE2"/>
    <w:rsid w:val="0001406D"/>
    <w:rsid w:val="000141C7"/>
    <w:rsid w:val="0001439C"/>
    <w:rsid w:val="00014448"/>
    <w:rsid w:val="00014452"/>
    <w:rsid w:val="00014555"/>
    <w:rsid w:val="000145BD"/>
    <w:rsid w:val="000145C5"/>
    <w:rsid w:val="00014623"/>
    <w:rsid w:val="00014751"/>
    <w:rsid w:val="000147BE"/>
    <w:rsid w:val="000147CF"/>
    <w:rsid w:val="000147F4"/>
    <w:rsid w:val="00014B0F"/>
    <w:rsid w:val="00014B8A"/>
    <w:rsid w:val="00014C18"/>
    <w:rsid w:val="00014C99"/>
    <w:rsid w:val="00014CC2"/>
    <w:rsid w:val="00014D4D"/>
    <w:rsid w:val="00014E4C"/>
    <w:rsid w:val="00014E9F"/>
    <w:rsid w:val="00015008"/>
    <w:rsid w:val="000151A0"/>
    <w:rsid w:val="000153CA"/>
    <w:rsid w:val="00015445"/>
    <w:rsid w:val="00015507"/>
    <w:rsid w:val="00015637"/>
    <w:rsid w:val="0001564F"/>
    <w:rsid w:val="0001568A"/>
    <w:rsid w:val="00015946"/>
    <w:rsid w:val="00015A85"/>
    <w:rsid w:val="00015CC9"/>
    <w:rsid w:val="00015D5B"/>
    <w:rsid w:val="00015E11"/>
    <w:rsid w:val="00015E5C"/>
    <w:rsid w:val="00015EC8"/>
    <w:rsid w:val="00015ECA"/>
    <w:rsid w:val="0001601A"/>
    <w:rsid w:val="000162ED"/>
    <w:rsid w:val="0001634C"/>
    <w:rsid w:val="000164D9"/>
    <w:rsid w:val="00016562"/>
    <w:rsid w:val="00016601"/>
    <w:rsid w:val="000166E2"/>
    <w:rsid w:val="000169C7"/>
    <w:rsid w:val="000169E8"/>
    <w:rsid w:val="00016A58"/>
    <w:rsid w:val="00016BC5"/>
    <w:rsid w:val="00016BE4"/>
    <w:rsid w:val="00016C02"/>
    <w:rsid w:val="00016E29"/>
    <w:rsid w:val="00016E74"/>
    <w:rsid w:val="00017010"/>
    <w:rsid w:val="0001712C"/>
    <w:rsid w:val="000171F4"/>
    <w:rsid w:val="00017422"/>
    <w:rsid w:val="00017577"/>
    <w:rsid w:val="00017700"/>
    <w:rsid w:val="000178FB"/>
    <w:rsid w:val="00017DD9"/>
    <w:rsid w:val="00017DEB"/>
    <w:rsid w:val="00017F48"/>
    <w:rsid w:val="000202B4"/>
    <w:rsid w:val="00020448"/>
    <w:rsid w:val="000204D7"/>
    <w:rsid w:val="000204FE"/>
    <w:rsid w:val="00020535"/>
    <w:rsid w:val="000205DA"/>
    <w:rsid w:val="0002089F"/>
    <w:rsid w:val="000209FA"/>
    <w:rsid w:val="00020C8F"/>
    <w:rsid w:val="00020F4A"/>
    <w:rsid w:val="00021024"/>
    <w:rsid w:val="00021331"/>
    <w:rsid w:val="00021500"/>
    <w:rsid w:val="00021504"/>
    <w:rsid w:val="00021534"/>
    <w:rsid w:val="00021578"/>
    <w:rsid w:val="000215E9"/>
    <w:rsid w:val="0002174E"/>
    <w:rsid w:val="0002176E"/>
    <w:rsid w:val="00021943"/>
    <w:rsid w:val="00021984"/>
    <w:rsid w:val="00021AA2"/>
    <w:rsid w:val="00021AAA"/>
    <w:rsid w:val="00021CF4"/>
    <w:rsid w:val="00021D83"/>
    <w:rsid w:val="00022032"/>
    <w:rsid w:val="000221BB"/>
    <w:rsid w:val="000221EF"/>
    <w:rsid w:val="00022257"/>
    <w:rsid w:val="000223F4"/>
    <w:rsid w:val="000225A9"/>
    <w:rsid w:val="00022640"/>
    <w:rsid w:val="000226E9"/>
    <w:rsid w:val="000228E1"/>
    <w:rsid w:val="000229CB"/>
    <w:rsid w:val="00022A94"/>
    <w:rsid w:val="00022D09"/>
    <w:rsid w:val="00022D10"/>
    <w:rsid w:val="00022F76"/>
    <w:rsid w:val="00023057"/>
    <w:rsid w:val="0002312B"/>
    <w:rsid w:val="00023148"/>
    <w:rsid w:val="000231AE"/>
    <w:rsid w:val="0002321A"/>
    <w:rsid w:val="00023242"/>
    <w:rsid w:val="000232E3"/>
    <w:rsid w:val="0002332C"/>
    <w:rsid w:val="00023371"/>
    <w:rsid w:val="00023569"/>
    <w:rsid w:val="0002367E"/>
    <w:rsid w:val="000236AD"/>
    <w:rsid w:val="000237BA"/>
    <w:rsid w:val="0002398A"/>
    <w:rsid w:val="000239D9"/>
    <w:rsid w:val="00023A72"/>
    <w:rsid w:val="00023A7B"/>
    <w:rsid w:val="00023AE5"/>
    <w:rsid w:val="00023B22"/>
    <w:rsid w:val="00023B4C"/>
    <w:rsid w:val="00023D6D"/>
    <w:rsid w:val="00023DE1"/>
    <w:rsid w:val="00023FB7"/>
    <w:rsid w:val="00024043"/>
    <w:rsid w:val="00024203"/>
    <w:rsid w:val="000243FF"/>
    <w:rsid w:val="00024485"/>
    <w:rsid w:val="0002457A"/>
    <w:rsid w:val="0002486F"/>
    <w:rsid w:val="00024956"/>
    <w:rsid w:val="00024A9E"/>
    <w:rsid w:val="00024B62"/>
    <w:rsid w:val="00024BD9"/>
    <w:rsid w:val="00024F49"/>
    <w:rsid w:val="00024F6A"/>
    <w:rsid w:val="00025066"/>
    <w:rsid w:val="0002506D"/>
    <w:rsid w:val="00025151"/>
    <w:rsid w:val="00025260"/>
    <w:rsid w:val="000252D1"/>
    <w:rsid w:val="00025377"/>
    <w:rsid w:val="000253B3"/>
    <w:rsid w:val="000253DC"/>
    <w:rsid w:val="00025463"/>
    <w:rsid w:val="00025471"/>
    <w:rsid w:val="000254C8"/>
    <w:rsid w:val="00025517"/>
    <w:rsid w:val="0002576F"/>
    <w:rsid w:val="0002577C"/>
    <w:rsid w:val="00025789"/>
    <w:rsid w:val="00025A40"/>
    <w:rsid w:val="00025CBB"/>
    <w:rsid w:val="00025D50"/>
    <w:rsid w:val="00025FF7"/>
    <w:rsid w:val="00026054"/>
    <w:rsid w:val="000260D2"/>
    <w:rsid w:val="0002610A"/>
    <w:rsid w:val="0002613C"/>
    <w:rsid w:val="00026155"/>
    <w:rsid w:val="0002640A"/>
    <w:rsid w:val="000264B1"/>
    <w:rsid w:val="000267E4"/>
    <w:rsid w:val="00026934"/>
    <w:rsid w:val="00026945"/>
    <w:rsid w:val="0002697D"/>
    <w:rsid w:val="00026A4C"/>
    <w:rsid w:val="00026B07"/>
    <w:rsid w:val="00026B78"/>
    <w:rsid w:val="00026D12"/>
    <w:rsid w:val="00026EF6"/>
    <w:rsid w:val="0002706B"/>
    <w:rsid w:val="000270A8"/>
    <w:rsid w:val="00027302"/>
    <w:rsid w:val="0002731C"/>
    <w:rsid w:val="00027347"/>
    <w:rsid w:val="000273BC"/>
    <w:rsid w:val="000274E2"/>
    <w:rsid w:val="0002754C"/>
    <w:rsid w:val="0002769D"/>
    <w:rsid w:val="000278AB"/>
    <w:rsid w:val="00027948"/>
    <w:rsid w:val="000279BD"/>
    <w:rsid w:val="00027AF9"/>
    <w:rsid w:val="00027B22"/>
    <w:rsid w:val="00027C34"/>
    <w:rsid w:val="00027D4A"/>
    <w:rsid w:val="00027E31"/>
    <w:rsid w:val="00027E7F"/>
    <w:rsid w:val="000300EC"/>
    <w:rsid w:val="000302BD"/>
    <w:rsid w:val="00030436"/>
    <w:rsid w:val="0003051B"/>
    <w:rsid w:val="000305D4"/>
    <w:rsid w:val="0003078F"/>
    <w:rsid w:val="00030AAD"/>
    <w:rsid w:val="00030B78"/>
    <w:rsid w:val="00030C56"/>
    <w:rsid w:val="00030DA5"/>
    <w:rsid w:val="00030F45"/>
    <w:rsid w:val="00031108"/>
    <w:rsid w:val="00031111"/>
    <w:rsid w:val="000312C6"/>
    <w:rsid w:val="000312D7"/>
    <w:rsid w:val="00031597"/>
    <w:rsid w:val="000315F8"/>
    <w:rsid w:val="000316FD"/>
    <w:rsid w:val="00031844"/>
    <w:rsid w:val="0003194E"/>
    <w:rsid w:val="00031956"/>
    <w:rsid w:val="00031973"/>
    <w:rsid w:val="00031A73"/>
    <w:rsid w:val="00031AA7"/>
    <w:rsid w:val="00031C15"/>
    <w:rsid w:val="00031ED4"/>
    <w:rsid w:val="00031EE6"/>
    <w:rsid w:val="00031F78"/>
    <w:rsid w:val="00032138"/>
    <w:rsid w:val="00032182"/>
    <w:rsid w:val="000322A9"/>
    <w:rsid w:val="00032385"/>
    <w:rsid w:val="000324F2"/>
    <w:rsid w:val="00032602"/>
    <w:rsid w:val="00032889"/>
    <w:rsid w:val="00032A17"/>
    <w:rsid w:val="00032A2C"/>
    <w:rsid w:val="00032A8D"/>
    <w:rsid w:val="00032BCB"/>
    <w:rsid w:val="00032D8E"/>
    <w:rsid w:val="00032E3E"/>
    <w:rsid w:val="00033127"/>
    <w:rsid w:val="000334E7"/>
    <w:rsid w:val="000334EB"/>
    <w:rsid w:val="00033553"/>
    <w:rsid w:val="000335D0"/>
    <w:rsid w:val="00033647"/>
    <w:rsid w:val="000336E5"/>
    <w:rsid w:val="000337BB"/>
    <w:rsid w:val="000337D7"/>
    <w:rsid w:val="000337DA"/>
    <w:rsid w:val="00033920"/>
    <w:rsid w:val="00033B45"/>
    <w:rsid w:val="00033EC0"/>
    <w:rsid w:val="00033F17"/>
    <w:rsid w:val="00033F39"/>
    <w:rsid w:val="00033F41"/>
    <w:rsid w:val="0003409D"/>
    <w:rsid w:val="000340CB"/>
    <w:rsid w:val="00034138"/>
    <w:rsid w:val="000342C2"/>
    <w:rsid w:val="00034303"/>
    <w:rsid w:val="000345B9"/>
    <w:rsid w:val="00034663"/>
    <w:rsid w:val="00034694"/>
    <w:rsid w:val="00034866"/>
    <w:rsid w:val="000348D7"/>
    <w:rsid w:val="00034989"/>
    <w:rsid w:val="00034B00"/>
    <w:rsid w:val="00034D95"/>
    <w:rsid w:val="00034E48"/>
    <w:rsid w:val="00034E94"/>
    <w:rsid w:val="00034F61"/>
    <w:rsid w:val="00034F78"/>
    <w:rsid w:val="00034F86"/>
    <w:rsid w:val="00034F87"/>
    <w:rsid w:val="00035218"/>
    <w:rsid w:val="00035227"/>
    <w:rsid w:val="000352C3"/>
    <w:rsid w:val="00035436"/>
    <w:rsid w:val="00035514"/>
    <w:rsid w:val="000356BC"/>
    <w:rsid w:val="000356FB"/>
    <w:rsid w:val="000357D3"/>
    <w:rsid w:val="000357E5"/>
    <w:rsid w:val="0003586F"/>
    <w:rsid w:val="00035902"/>
    <w:rsid w:val="00035A9C"/>
    <w:rsid w:val="00035E8C"/>
    <w:rsid w:val="00035F46"/>
    <w:rsid w:val="00035F9D"/>
    <w:rsid w:val="00035FEC"/>
    <w:rsid w:val="00036128"/>
    <w:rsid w:val="000361C1"/>
    <w:rsid w:val="000361EA"/>
    <w:rsid w:val="00036320"/>
    <w:rsid w:val="00036349"/>
    <w:rsid w:val="000363A5"/>
    <w:rsid w:val="00036459"/>
    <w:rsid w:val="000364BB"/>
    <w:rsid w:val="00036501"/>
    <w:rsid w:val="00036602"/>
    <w:rsid w:val="00036612"/>
    <w:rsid w:val="000369CE"/>
    <w:rsid w:val="00036B4F"/>
    <w:rsid w:val="00036C92"/>
    <w:rsid w:val="00036D58"/>
    <w:rsid w:val="00036F0A"/>
    <w:rsid w:val="00037207"/>
    <w:rsid w:val="0003720A"/>
    <w:rsid w:val="0003721D"/>
    <w:rsid w:val="000373C0"/>
    <w:rsid w:val="00037BA3"/>
    <w:rsid w:val="00037C7A"/>
    <w:rsid w:val="00037D86"/>
    <w:rsid w:val="00040221"/>
    <w:rsid w:val="0004022A"/>
    <w:rsid w:val="000402CF"/>
    <w:rsid w:val="0004035D"/>
    <w:rsid w:val="00040399"/>
    <w:rsid w:val="00040516"/>
    <w:rsid w:val="000406D6"/>
    <w:rsid w:val="00040854"/>
    <w:rsid w:val="000408D7"/>
    <w:rsid w:val="00040A47"/>
    <w:rsid w:val="00040BB5"/>
    <w:rsid w:val="00040D79"/>
    <w:rsid w:val="00040DA5"/>
    <w:rsid w:val="00040EA1"/>
    <w:rsid w:val="00040F0B"/>
    <w:rsid w:val="00040F65"/>
    <w:rsid w:val="00041013"/>
    <w:rsid w:val="00041052"/>
    <w:rsid w:val="0004130A"/>
    <w:rsid w:val="00041503"/>
    <w:rsid w:val="00041568"/>
    <w:rsid w:val="000416CA"/>
    <w:rsid w:val="00041756"/>
    <w:rsid w:val="0004175A"/>
    <w:rsid w:val="000417DE"/>
    <w:rsid w:val="00041B6E"/>
    <w:rsid w:val="00041B8D"/>
    <w:rsid w:val="00041BC4"/>
    <w:rsid w:val="00041E13"/>
    <w:rsid w:val="00042018"/>
    <w:rsid w:val="00042105"/>
    <w:rsid w:val="00042126"/>
    <w:rsid w:val="00042145"/>
    <w:rsid w:val="00042307"/>
    <w:rsid w:val="000423C1"/>
    <w:rsid w:val="000423F9"/>
    <w:rsid w:val="0004265D"/>
    <w:rsid w:val="00042686"/>
    <w:rsid w:val="000427DE"/>
    <w:rsid w:val="000427E7"/>
    <w:rsid w:val="0004289E"/>
    <w:rsid w:val="000428C0"/>
    <w:rsid w:val="00042A7E"/>
    <w:rsid w:val="00042C82"/>
    <w:rsid w:val="00042D40"/>
    <w:rsid w:val="00043158"/>
    <w:rsid w:val="00043216"/>
    <w:rsid w:val="000433CE"/>
    <w:rsid w:val="00043735"/>
    <w:rsid w:val="00043816"/>
    <w:rsid w:val="000439F2"/>
    <w:rsid w:val="00043B03"/>
    <w:rsid w:val="00043C8B"/>
    <w:rsid w:val="00043D3D"/>
    <w:rsid w:val="00043E51"/>
    <w:rsid w:val="00043E83"/>
    <w:rsid w:val="00043F6E"/>
    <w:rsid w:val="00043FAA"/>
    <w:rsid w:val="0004419E"/>
    <w:rsid w:val="0004423B"/>
    <w:rsid w:val="00044296"/>
    <w:rsid w:val="000442A5"/>
    <w:rsid w:val="000442AB"/>
    <w:rsid w:val="0004447B"/>
    <w:rsid w:val="00044876"/>
    <w:rsid w:val="00044B5E"/>
    <w:rsid w:val="00044C46"/>
    <w:rsid w:val="00044D17"/>
    <w:rsid w:val="00044DA4"/>
    <w:rsid w:val="00044DD3"/>
    <w:rsid w:val="00045136"/>
    <w:rsid w:val="00045237"/>
    <w:rsid w:val="00045444"/>
    <w:rsid w:val="000454A0"/>
    <w:rsid w:val="0004555D"/>
    <w:rsid w:val="00045688"/>
    <w:rsid w:val="000456A6"/>
    <w:rsid w:val="000457AE"/>
    <w:rsid w:val="00045C37"/>
    <w:rsid w:val="00045C83"/>
    <w:rsid w:val="00045CD7"/>
    <w:rsid w:val="00045D24"/>
    <w:rsid w:val="00045D51"/>
    <w:rsid w:val="00045ED4"/>
    <w:rsid w:val="00045FB6"/>
    <w:rsid w:val="00045FC6"/>
    <w:rsid w:val="00046021"/>
    <w:rsid w:val="0004628E"/>
    <w:rsid w:val="0004630C"/>
    <w:rsid w:val="00046508"/>
    <w:rsid w:val="00046660"/>
    <w:rsid w:val="0004674C"/>
    <w:rsid w:val="0004676B"/>
    <w:rsid w:val="000468B8"/>
    <w:rsid w:val="000468DA"/>
    <w:rsid w:val="00046938"/>
    <w:rsid w:val="00046F45"/>
    <w:rsid w:val="00047075"/>
    <w:rsid w:val="000475E3"/>
    <w:rsid w:val="0004766D"/>
    <w:rsid w:val="0004768E"/>
    <w:rsid w:val="00047BFA"/>
    <w:rsid w:val="00047C6C"/>
    <w:rsid w:val="00047D5E"/>
    <w:rsid w:val="00047DC9"/>
    <w:rsid w:val="0005040B"/>
    <w:rsid w:val="00050546"/>
    <w:rsid w:val="000507AB"/>
    <w:rsid w:val="00050808"/>
    <w:rsid w:val="00050811"/>
    <w:rsid w:val="00050934"/>
    <w:rsid w:val="00050CFC"/>
    <w:rsid w:val="00051014"/>
    <w:rsid w:val="000510A7"/>
    <w:rsid w:val="000510D3"/>
    <w:rsid w:val="00051407"/>
    <w:rsid w:val="00051423"/>
    <w:rsid w:val="00051524"/>
    <w:rsid w:val="000515A6"/>
    <w:rsid w:val="000515E0"/>
    <w:rsid w:val="00051608"/>
    <w:rsid w:val="00051640"/>
    <w:rsid w:val="000516BE"/>
    <w:rsid w:val="000516CF"/>
    <w:rsid w:val="000516F6"/>
    <w:rsid w:val="00051A11"/>
    <w:rsid w:val="00051A5F"/>
    <w:rsid w:val="00051AE4"/>
    <w:rsid w:val="00051B68"/>
    <w:rsid w:val="00051BB5"/>
    <w:rsid w:val="00051BC0"/>
    <w:rsid w:val="00051C3E"/>
    <w:rsid w:val="00051E4F"/>
    <w:rsid w:val="000521A4"/>
    <w:rsid w:val="0005223C"/>
    <w:rsid w:val="0005227F"/>
    <w:rsid w:val="0005270C"/>
    <w:rsid w:val="0005273C"/>
    <w:rsid w:val="000527AF"/>
    <w:rsid w:val="00052873"/>
    <w:rsid w:val="0005290E"/>
    <w:rsid w:val="00052AF9"/>
    <w:rsid w:val="00052B7F"/>
    <w:rsid w:val="00052B8D"/>
    <w:rsid w:val="00052CC4"/>
    <w:rsid w:val="00053042"/>
    <w:rsid w:val="0005311C"/>
    <w:rsid w:val="000531B4"/>
    <w:rsid w:val="000531C4"/>
    <w:rsid w:val="00053209"/>
    <w:rsid w:val="000532B5"/>
    <w:rsid w:val="000533B9"/>
    <w:rsid w:val="000533EB"/>
    <w:rsid w:val="000534AB"/>
    <w:rsid w:val="00053515"/>
    <w:rsid w:val="0005353A"/>
    <w:rsid w:val="000535A3"/>
    <w:rsid w:val="000536F8"/>
    <w:rsid w:val="0005379A"/>
    <w:rsid w:val="00053836"/>
    <w:rsid w:val="000539FE"/>
    <w:rsid w:val="00053A06"/>
    <w:rsid w:val="00053A07"/>
    <w:rsid w:val="00053B76"/>
    <w:rsid w:val="00054023"/>
    <w:rsid w:val="00054427"/>
    <w:rsid w:val="00054461"/>
    <w:rsid w:val="00054522"/>
    <w:rsid w:val="000545B5"/>
    <w:rsid w:val="00054920"/>
    <w:rsid w:val="000549D5"/>
    <w:rsid w:val="00054C0D"/>
    <w:rsid w:val="00054C5A"/>
    <w:rsid w:val="00054C5C"/>
    <w:rsid w:val="00054C61"/>
    <w:rsid w:val="00054CE5"/>
    <w:rsid w:val="00054D3B"/>
    <w:rsid w:val="00054E29"/>
    <w:rsid w:val="00054E38"/>
    <w:rsid w:val="00054EA9"/>
    <w:rsid w:val="00054FF1"/>
    <w:rsid w:val="00055079"/>
    <w:rsid w:val="000551D3"/>
    <w:rsid w:val="000553EF"/>
    <w:rsid w:val="000555AF"/>
    <w:rsid w:val="00055902"/>
    <w:rsid w:val="0005592D"/>
    <w:rsid w:val="00055951"/>
    <w:rsid w:val="00055B77"/>
    <w:rsid w:val="00055FF8"/>
    <w:rsid w:val="0005609D"/>
    <w:rsid w:val="00056291"/>
    <w:rsid w:val="00056323"/>
    <w:rsid w:val="000563AD"/>
    <w:rsid w:val="000564AF"/>
    <w:rsid w:val="0005653D"/>
    <w:rsid w:val="0005662A"/>
    <w:rsid w:val="00056649"/>
    <w:rsid w:val="00056660"/>
    <w:rsid w:val="00056788"/>
    <w:rsid w:val="0005683C"/>
    <w:rsid w:val="00056847"/>
    <w:rsid w:val="000568C2"/>
    <w:rsid w:val="00056BDA"/>
    <w:rsid w:val="00056C39"/>
    <w:rsid w:val="00056CCF"/>
    <w:rsid w:val="00056E1D"/>
    <w:rsid w:val="00056FA2"/>
    <w:rsid w:val="00057182"/>
    <w:rsid w:val="000571AC"/>
    <w:rsid w:val="000571C3"/>
    <w:rsid w:val="0005728A"/>
    <w:rsid w:val="000573AA"/>
    <w:rsid w:val="00057460"/>
    <w:rsid w:val="0005746C"/>
    <w:rsid w:val="00057502"/>
    <w:rsid w:val="00057709"/>
    <w:rsid w:val="00057751"/>
    <w:rsid w:val="000577F0"/>
    <w:rsid w:val="00057905"/>
    <w:rsid w:val="0005799E"/>
    <w:rsid w:val="00057B8E"/>
    <w:rsid w:val="00057C83"/>
    <w:rsid w:val="00057EDA"/>
    <w:rsid w:val="00057F3C"/>
    <w:rsid w:val="00057F83"/>
    <w:rsid w:val="00057FCD"/>
    <w:rsid w:val="0006002E"/>
    <w:rsid w:val="00060148"/>
    <w:rsid w:val="000602F3"/>
    <w:rsid w:val="00060403"/>
    <w:rsid w:val="00060436"/>
    <w:rsid w:val="00060700"/>
    <w:rsid w:val="0006073F"/>
    <w:rsid w:val="00060A14"/>
    <w:rsid w:val="00060C0C"/>
    <w:rsid w:val="00060C10"/>
    <w:rsid w:val="00060D87"/>
    <w:rsid w:val="00060DFC"/>
    <w:rsid w:val="00060EBE"/>
    <w:rsid w:val="00060F54"/>
    <w:rsid w:val="00060F7C"/>
    <w:rsid w:val="00060FC8"/>
    <w:rsid w:val="000610A9"/>
    <w:rsid w:val="00061140"/>
    <w:rsid w:val="00061141"/>
    <w:rsid w:val="00061149"/>
    <w:rsid w:val="00061154"/>
    <w:rsid w:val="00061183"/>
    <w:rsid w:val="00061251"/>
    <w:rsid w:val="00061354"/>
    <w:rsid w:val="00061543"/>
    <w:rsid w:val="0006154C"/>
    <w:rsid w:val="00061670"/>
    <w:rsid w:val="0006175F"/>
    <w:rsid w:val="0006186D"/>
    <w:rsid w:val="000618C3"/>
    <w:rsid w:val="00061B39"/>
    <w:rsid w:val="00061B8D"/>
    <w:rsid w:val="00061CC1"/>
    <w:rsid w:val="00061D61"/>
    <w:rsid w:val="00061D87"/>
    <w:rsid w:val="00062122"/>
    <w:rsid w:val="0006233E"/>
    <w:rsid w:val="00062493"/>
    <w:rsid w:val="00062868"/>
    <w:rsid w:val="000628B4"/>
    <w:rsid w:val="000628F0"/>
    <w:rsid w:val="000629A8"/>
    <w:rsid w:val="00062A60"/>
    <w:rsid w:val="00062BC2"/>
    <w:rsid w:val="00062CB4"/>
    <w:rsid w:val="00062D1D"/>
    <w:rsid w:val="00062E7B"/>
    <w:rsid w:val="00062FE5"/>
    <w:rsid w:val="00063090"/>
    <w:rsid w:val="00063361"/>
    <w:rsid w:val="0006336C"/>
    <w:rsid w:val="0006346C"/>
    <w:rsid w:val="000634F0"/>
    <w:rsid w:val="00063735"/>
    <w:rsid w:val="00063744"/>
    <w:rsid w:val="00063944"/>
    <w:rsid w:val="00063976"/>
    <w:rsid w:val="00063B62"/>
    <w:rsid w:val="00063B6D"/>
    <w:rsid w:val="00063C3E"/>
    <w:rsid w:val="00063C90"/>
    <w:rsid w:val="00063CE9"/>
    <w:rsid w:val="00063DA9"/>
    <w:rsid w:val="00063DFA"/>
    <w:rsid w:val="00064087"/>
    <w:rsid w:val="000640DF"/>
    <w:rsid w:val="00064122"/>
    <w:rsid w:val="0006424C"/>
    <w:rsid w:val="000644DA"/>
    <w:rsid w:val="00064563"/>
    <w:rsid w:val="00064573"/>
    <w:rsid w:val="000645D2"/>
    <w:rsid w:val="0006475F"/>
    <w:rsid w:val="000647C6"/>
    <w:rsid w:val="000648AB"/>
    <w:rsid w:val="00064915"/>
    <w:rsid w:val="000649EB"/>
    <w:rsid w:val="000649ED"/>
    <w:rsid w:val="000649F6"/>
    <w:rsid w:val="00064A24"/>
    <w:rsid w:val="00064B32"/>
    <w:rsid w:val="00064B57"/>
    <w:rsid w:val="00064C34"/>
    <w:rsid w:val="00064E82"/>
    <w:rsid w:val="00064F40"/>
    <w:rsid w:val="00064FF4"/>
    <w:rsid w:val="0006501E"/>
    <w:rsid w:val="00065129"/>
    <w:rsid w:val="00065190"/>
    <w:rsid w:val="000651B6"/>
    <w:rsid w:val="00065334"/>
    <w:rsid w:val="000653E6"/>
    <w:rsid w:val="0006555C"/>
    <w:rsid w:val="0006557E"/>
    <w:rsid w:val="000656B9"/>
    <w:rsid w:val="000656C6"/>
    <w:rsid w:val="000656D7"/>
    <w:rsid w:val="000657CD"/>
    <w:rsid w:val="000657F9"/>
    <w:rsid w:val="0006580D"/>
    <w:rsid w:val="00065A03"/>
    <w:rsid w:val="00065BF2"/>
    <w:rsid w:val="00065C59"/>
    <w:rsid w:val="00065D91"/>
    <w:rsid w:val="00066126"/>
    <w:rsid w:val="00066127"/>
    <w:rsid w:val="0006619D"/>
    <w:rsid w:val="00066504"/>
    <w:rsid w:val="0006675B"/>
    <w:rsid w:val="00066849"/>
    <w:rsid w:val="0006685E"/>
    <w:rsid w:val="0006688D"/>
    <w:rsid w:val="00066C53"/>
    <w:rsid w:val="00066D0E"/>
    <w:rsid w:val="00066D7E"/>
    <w:rsid w:val="00066D9E"/>
    <w:rsid w:val="00066DD9"/>
    <w:rsid w:val="00066DE9"/>
    <w:rsid w:val="00066F81"/>
    <w:rsid w:val="0006705C"/>
    <w:rsid w:val="0006706E"/>
    <w:rsid w:val="000670CB"/>
    <w:rsid w:val="00067430"/>
    <w:rsid w:val="0006751C"/>
    <w:rsid w:val="00067566"/>
    <w:rsid w:val="000675CE"/>
    <w:rsid w:val="00067787"/>
    <w:rsid w:val="000679C5"/>
    <w:rsid w:val="000679D4"/>
    <w:rsid w:val="00067AFB"/>
    <w:rsid w:val="00067BE6"/>
    <w:rsid w:val="00067C4E"/>
    <w:rsid w:val="00067E39"/>
    <w:rsid w:val="00067FC2"/>
    <w:rsid w:val="00067FC8"/>
    <w:rsid w:val="000700CF"/>
    <w:rsid w:val="00070283"/>
    <w:rsid w:val="00070717"/>
    <w:rsid w:val="0007088A"/>
    <w:rsid w:val="00070E29"/>
    <w:rsid w:val="00070F32"/>
    <w:rsid w:val="00070FD9"/>
    <w:rsid w:val="000710DE"/>
    <w:rsid w:val="00071195"/>
    <w:rsid w:val="000711CE"/>
    <w:rsid w:val="000712BE"/>
    <w:rsid w:val="00071300"/>
    <w:rsid w:val="00071326"/>
    <w:rsid w:val="00071451"/>
    <w:rsid w:val="00071456"/>
    <w:rsid w:val="00071467"/>
    <w:rsid w:val="0007146E"/>
    <w:rsid w:val="00071572"/>
    <w:rsid w:val="000717B6"/>
    <w:rsid w:val="000717D8"/>
    <w:rsid w:val="000718DD"/>
    <w:rsid w:val="00071D33"/>
    <w:rsid w:val="00071DA2"/>
    <w:rsid w:val="00072040"/>
    <w:rsid w:val="00072257"/>
    <w:rsid w:val="000723B0"/>
    <w:rsid w:val="00072419"/>
    <w:rsid w:val="00072514"/>
    <w:rsid w:val="000726BC"/>
    <w:rsid w:val="0007295B"/>
    <w:rsid w:val="00072998"/>
    <w:rsid w:val="000729BF"/>
    <w:rsid w:val="00072B6E"/>
    <w:rsid w:val="00072B90"/>
    <w:rsid w:val="00072BB0"/>
    <w:rsid w:val="00072BFE"/>
    <w:rsid w:val="00072CE6"/>
    <w:rsid w:val="00072E04"/>
    <w:rsid w:val="00072EAE"/>
    <w:rsid w:val="00073013"/>
    <w:rsid w:val="0007301D"/>
    <w:rsid w:val="00073175"/>
    <w:rsid w:val="000731B3"/>
    <w:rsid w:val="00073293"/>
    <w:rsid w:val="000736B2"/>
    <w:rsid w:val="00073763"/>
    <w:rsid w:val="000737B6"/>
    <w:rsid w:val="000738F6"/>
    <w:rsid w:val="000739AA"/>
    <w:rsid w:val="00073F2D"/>
    <w:rsid w:val="0007401A"/>
    <w:rsid w:val="00074097"/>
    <w:rsid w:val="00074445"/>
    <w:rsid w:val="0007452F"/>
    <w:rsid w:val="000748AF"/>
    <w:rsid w:val="0007490A"/>
    <w:rsid w:val="00074AD9"/>
    <w:rsid w:val="00074B50"/>
    <w:rsid w:val="00074C6F"/>
    <w:rsid w:val="00074E89"/>
    <w:rsid w:val="00074E8B"/>
    <w:rsid w:val="00074FF0"/>
    <w:rsid w:val="000751DF"/>
    <w:rsid w:val="000752FE"/>
    <w:rsid w:val="00075496"/>
    <w:rsid w:val="00075578"/>
    <w:rsid w:val="000758D2"/>
    <w:rsid w:val="00075A8F"/>
    <w:rsid w:val="00075BE3"/>
    <w:rsid w:val="00075D04"/>
    <w:rsid w:val="00075F0B"/>
    <w:rsid w:val="00075F2B"/>
    <w:rsid w:val="00076015"/>
    <w:rsid w:val="00076020"/>
    <w:rsid w:val="00076070"/>
    <w:rsid w:val="000761EB"/>
    <w:rsid w:val="000762EE"/>
    <w:rsid w:val="00076354"/>
    <w:rsid w:val="0007635B"/>
    <w:rsid w:val="000764E4"/>
    <w:rsid w:val="0007668F"/>
    <w:rsid w:val="00076829"/>
    <w:rsid w:val="0007684D"/>
    <w:rsid w:val="00076D35"/>
    <w:rsid w:val="00076DBC"/>
    <w:rsid w:val="00076F8C"/>
    <w:rsid w:val="00076FBC"/>
    <w:rsid w:val="0007703C"/>
    <w:rsid w:val="000770ED"/>
    <w:rsid w:val="00077228"/>
    <w:rsid w:val="00077263"/>
    <w:rsid w:val="000774B2"/>
    <w:rsid w:val="00077545"/>
    <w:rsid w:val="0007755C"/>
    <w:rsid w:val="000777EC"/>
    <w:rsid w:val="00077839"/>
    <w:rsid w:val="0007786E"/>
    <w:rsid w:val="00077973"/>
    <w:rsid w:val="00077C0E"/>
    <w:rsid w:val="00077C24"/>
    <w:rsid w:val="00077CDB"/>
    <w:rsid w:val="00077D4D"/>
    <w:rsid w:val="00077FC4"/>
    <w:rsid w:val="00080205"/>
    <w:rsid w:val="00080336"/>
    <w:rsid w:val="0008047C"/>
    <w:rsid w:val="000806BB"/>
    <w:rsid w:val="00080734"/>
    <w:rsid w:val="000808A1"/>
    <w:rsid w:val="000808EA"/>
    <w:rsid w:val="00080947"/>
    <w:rsid w:val="0008096E"/>
    <w:rsid w:val="000809B1"/>
    <w:rsid w:val="00080A53"/>
    <w:rsid w:val="00080B8D"/>
    <w:rsid w:val="00080BD8"/>
    <w:rsid w:val="00080C18"/>
    <w:rsid w:val="00080C2B"/>
    <w:rsid w:val="00080C32"/>
    <w:rsid w:val="00080C34"/>
    <w:rsid w:val="00080F13"/>
    <w:rsid w:val="00080F9F"/>
    <w:rsid w:val="00081070"/>
    <w:rsid w:val="00081093"/>
    <w:rsid w:val="000811E3"/>
    <w:rsid w:val="00081328"/>
    <w:rsid w:val="00081617"/>
    <w:rsid w:val="00081661"/>
    <w:rsid w:val="0008174B"/>
    <w:rsid w:val="00081757"/>
    <w:rsid w:val="000817FF"/>
    <w:rsid w:val="000818AA"/>
    <w:rsid w:val="00081A08"/>
    <w:rsid w:val="00081A7C"/>
    <w:rsid w:val="00081B45"/>
    <w:rsid w:val="000820A2"/>
    <w:rsid w:val="00082201"/>
    <w:rsid w:val="00082253"/>
    <w:rsid w:val="00082422"/>
    <w:rsid w:val="00082556"/>
    <w:rsid w:val="000825FB"/>
    <w:rsid w:val="0008263E"/>
    <w:rsid w:val="0008267B"/>
    <w:rsid w:val="0008276E"/>
    <w:rsid w:val="00082791"/>
    <w:rsid w:val="0008294D"/>
    <w:rsid w:val="00082A73"/>
    <w:rsid w:val="00082A80"/>
    <w:rsid w:val="00082A8C"/>
    <w:rsid w:val="00082CBC"/>
    <w:rsid w:val="00082D34"/>
    <w:rsid w:val="00082DED"/>
    <w:rsid w:val="00082F39"/>
    <w:rsid w:val="00082FEF"/>
    <w:rsid w:val="0008328C"/>
    <w:rsid w:val="00083578"/>
    <w:rsid w:val="00083654"/>
    <w:rsid w:val="00083785"/>
    <w:rsid w:val="000837C3"/>
    <w:rsid w:val="000838AB"/>
    <w:rsid w:val="00083917"/>
    <w:rsid w:val="0008399F"/>
    <w:rsid w:val="000839C6"/>
    <w:rsid w:val="000839CE"/>
    <w:rsid w:val="00083A68"/>
    <w:rsid w:val="00083AD6"/>
    <w:rsid w:val="00083C1B"/>
    <w:rsid w:val="00083D1F"/>
    <w:rsid w:val="00083DDB"/>
    <w:rsid w:val="000840E6"/>
    <w:rsid w:val="00084118"/>
    <w:rsid w:val="00084150"/>
    <w:rsid w:val="000843B4"/>
    <w:rsid w:val="000846A0"/>
    <w:rsid w:val="0008474D"/>
    <w:rsid w:val="00084845"/>
    <w:rsid w:val="000849A4"/>
    <w:rsid w:val="00084F56"/>
    <w:rsid w:val="000850E8"/>
    <w:rsid w:val="0008512C"/>
    <w:rsid w:val="000853CA"/>
    <w:rsid w:val="000854EA"/>
    <w:rsid w:val="00085654"/>
    <w:rsid w:val="000858D1"/>
    <w:rsid w:val="0008596D"/>
    <w:rsid w:val="000859F9"/>
    <w:rsid w:val="00085A46"/>
    <w:rsid w:val="00085A64"/>
    <w:rsid w:val="00085BFD"/>
    <w:rsid w:val="00085C65"/>
    <w:rsid w:val="00085D2B"/>
    <w:rsid w:val="00085E20"/>
    <w:rsid w:val="00086125"/>
    <w:rsid w:val="00086331"/>
    <w:rsid w:val="000863B1"/>
    <w:rsid w:val="00086432"/>
    <w:rsid w:val="000864C4"/>
    <w:rsid w:val="000864CE"/>
    <w:rsid w:val="000866E2"/>
    <w:rsid w:val="000867BF"/>
    <w:rsid w:val="000867C9"/>
    <w:rsid w:val="00086822"/>
    <w:rsid w:val="000868B8"/>
    <w:rsid w:val="00086A75"/>
    <w:rsid w:val="00086A8D"/>
    <w:rsid w:val="00086BC5"/>
    <w:rsid w:val="00086C27"/>
    <w:rsid w:val="00086CA7"/>
    <w:rsid w:val="00086DB0"/>
    <w:rsid w:val="00086DE9"/>
    <w:rsid w:val="00086E44"/>
    <w:rsid w:val="00086FB2"/>
    <w:rsid w:val="000870BE"/>
    <w:rsid w:val="000870CE"/>
    <w:rsid w:val="00087103"/>
    <w:rsid w:val="00087178"/>
    <w:rsid w:val="000872A1"/>
    <w:rsid w:val="00087695"/>
    <w:rsid w:val="00087803"/>
    <w:rsid w:val="000879B6"/>
    <w:rsid w:val="00087B9C"/>
    <w:rsid w:val="00087C67"/>
    <w:rsid w:val="00087C86"/>
    <w:rsid w:val="00087D8C"/>
    <w:rsid w:val="00087E95"/>
    <w:rsid w:val="00087F88"/>
    <w:rsid w:val="0009004E"/>
    <w:rsid w:val="000900B4"/>
    <w:rsid w:val="00090186"/>
    <w:rsid w:val="000901C9"/>
    <w:rsid w:val="000903D0"/>
    <w:rsid w:val="00090417"/>
    <w:rsid w:val="0009041B"/>
    <w:rsid w:val="00090589"/>
    <w:rsid w:val="000905EE"/>
    <w:rsid w:val="000906B0"/>
    <w:rsid w:val="000906C8"/>
    <w:rsid w:val="00090968"/>
    <w:rsid w:val="00090AD2"/>
    <w:rsid w:val="00090B45"/>
    <w:rsid w:val="00090C72"/>
    <w:rsid w:val="00090D16"/>
    <w:rsid w:val="00090D70"/>
    <w:rsid w:val="00090EF6"/>
    <w:rsid w:val="00091036"/>
    <w:rsid w:val="00091145"/>
    <w:rsid w:val="000913E5"/>
    <w:rsid w:val="00091498"/>
    <w:rsid w:val="0009155F"/>
    <w:rsid w:val="000915C1"/>
    <w:rsid w:val="000916CA"/>
    <w:rsid w:val="00091710"/>
    <w:rsid w:val="00091797"/>
    <w:rsid w:val="00091798"/>
    <w:rsid w:val="00091AD4"/>
    <w:rsid w:val="00091CDE"/>
    <w:rsid w:val="00091F92"/>
    <w:rsid w:val="00091FF4"/>
    <w:rsid w:val="00092066"/>
    <w:rsid w:val="000920D8"/>
    <w:rsid w:val="0009219D"/>
    <w:rsid w:val="000924B1"/>
    <w:rsid w:val="000928BA"/>
    <w:rsid w:val="000929EA"/>
    <w:rsid w:val="00092A8B"/>
    <w:rsid w:val="00092C80"/>
    <w:rsid w:val="00092CCB"/>
    <w:rsid w:val="00092CEE"/>
    <w:rsid w:val="00093041"/>
    <w:rsid w:val="0009307B"/>
    <w:rsid w:val="000930A1"/>
    <w:rsid w:val="0009317B"/>
    <w:rsid w:val="0009318D"/>
    <w:rsid w:val="0009338F"/>
    <w:rsid w:val="00093451"/>
    <w:rsid w:val="000934CF"/>
    <w:rsid w:val="0009359E"/>
    <w:rsid w:val="00093657"/>
    <w:rsid w:val="00093667"/>
    <w:rsid w:val="000936A8"/>
    <w:rsid w:val="0009375B"/>
    <w:rsid w:val="000938B5"/>
    <w:rsid w:val="000939F3"/>
    <w:rsid w:val="00093A8E"/>
    <w:rsid w:val="00093C26"/>
    <w:rsid w:val="00093DE3"/>
    <w:rsid w:val="00093EF3"/>
    <w:rsid w:val="00093F36"/>
    <w:rsid w:val="000940D5"/>
    <w:rsid w:val="0009420F"/>
    <w:rsid w:val="0009423E"/>
    <w:rsid w:val="0009427F"/>
    <w:rsid w:val="000942E3"/>
    <w:rsid w:val="0009435C"/>
    <w:rsid w:val="00094659"/>
    <w:rsid w:val="00094675"/>
    <w:rsid w:val="0009467C"/>
    <w:rsid w:val="000946B7"/>
    <w:rsid w:val="00094704"/>
    <w:rsid w:val="00094A70"/>
    <w:rsid w:val="00094AE0"/>
    <w:rsid w:val="00094BE6"/>
    <w:rsid w:val="00094CDD"/>
    <w:rsid w:val="00094E24"/>
    <w:rsid w:val="00094F0D"/>
    <w:rsid w:val="00094F13"/>
    <w:rsid w:val="0009533A"/>
    <w:rsid w:val="0009533C"/>
    <w:rsid w:val="00095361"/>
    <w:rsid w:val="00095362"/>
    <w:rsid w:val="000953DF"/>
    <w:rsid w:val="0009560E"/>
    <w:rsid w:val="00095680"/>
    <w:rsid w:val="0009575B"/>
    <w:rsid w:val="0009580B"/>
    <w:rsid w:val="000958FF"/>
    <w:rsid w:val="00095A1C"/>
    <w:rsid w:val="00095D22"/>
    <w:rsid w:val="00095D40"/>
    <w:rsid w:val="00095DFF"/>
    <w:rsid w:val="00096062"/>
    <w:rsid w:val="000962AB"/>
    <w:rsid w:val="0009668D"/>
    <w:rsid w:val="000966A9"/>
    <w:rsid w:val="000966C7"/>
    <w:rsid w:val="000967CA"/>
    <w:rsid w:val="0009695F"/>
    <w:rsid w:val="00096BB1"/>
    <w:rsid w:val="00096F86"/>
    <w:rsid w:val="0009701B"/>
    <w:rsid w:val="000972C9"/>
    <w:rsid w:val="00097382"/>
    <w:rsid w:val="000973B1"/>
    <w:rsid w:val="0009760C"/>
    <w:rsid w:val="000977AA"/>
    <w:rsid w:val="000977D2"/>
    <w:rsid w:val="0009795F"/>
    <w:rsid w:val="00097B04"/>
    <w:rsid w:val="00097C48"/>
    <w:rsid w:val="00097D09"/>
    <w:rsid w:val="00097E1E"/>
    <w:rsid w:val="00097E31"/>
    <w:rsid w:val="00097F01"/>
    <w:rsid w:val="000A00C3"/>
    <w:rsid w:val="000A017B"/>
    <w:rsid w:val="000A0326"/>
    <w:rsid w:val="000A0446"/>
    <w:rsid w:val="000A044D"/>
    <w:rsid w:val="000A0685"/>
    <w:rsid w:val="000A06A2"/>
    <w:rsid w:val="000A0753"/>
    <w:rsid w:val="000A07A4"/>
    <w:rsid w:val="000A07DE"/>
    <w:rsid w:val="000A08C5"/>
    <w:rsid w:val="000A0A8D"/>
    <w:rsid w:val="000A0B81"/>
    <w:rsid w:val="000A0D14"/>
    <w:rsid w:val="000A0DD0"/>
    <w:rsid w:val="000A0DEE"/>
    <w:rsid w:val="000A0E1F"/>
    <w:rsid w:val="000A104A"/>
    <w:rsid w:val="000A10A8"/>
    <w:rsid w:val="000A10C5"/>
    <w:rsid w:val="000A1121"/>
    <w:rsid w:val="000A1215"/>
    <w:rsid w:val="000A123E"/>
    <w:rsid w:val="000A1374"/>
    <w:rsid w:val="000A164E"/>
    <w:rsid w:val="000A186E"/>
    <w:rsid w:val="000A18EF"/>
    <w:rsid w:val="000A1A27"/>
    <w:rsid w:val="000A1A6A"/>
    <w:rsid w:val="000A1C1A"/>
    <w:rsid w:val="000A1C8B"/>
    <w:rsid w:val="000A1CC7"/>
    <w:rsid w:val="000A23DD"/>
    <w:rsid w:val="000A23E5"/>
    <w:rsid w:val="000A250B"/>
    <w:rsid w:val="000A263E"/>
    <w:rsid w:val="000A268A"/>
    <w:rsid w:val="000A2843"/>
    <w:rsid w:val="000A2B81"/>
    <w:rsid w:val="000A2CC2"/>
    <w:rsid w:val="000A2D72"/>
    <w:rsid w:val="000A2E27"/>
    <w:rsid w:val="000A2E8E"/>
    <w:rsid w:val="000A30FE"/>
    <w:rsid w:val="000A310C"/>
    <w:rsid w:val="000A31A9"/>
    <w:rsid w:val="000A3214"/>
    <w:rsid w:val="000A3372"/>
    <w:rsid w:val="000A33E6"/>
    <w:rsid w:val="000A34FD"/>
    <w:rsid w:val="000A362F"/>
    <w:rsid w:val="000A36D3"/>
    <w:rsid w:val="000A370B"/>
    <w:rsid w:val="000A37DD"/>
    <w:rsid w:val="000A3817"/>
    <w:rsid w:val="000A3D08"/>
    <w:rsid w:val="000A3D3D"/>
    <w:rsid w:val="000A3DC0"/>
    <w:rsid w:val="000A3DED"/>
    <w:rsid w:val="000A3E01"/>
    <w:rsid w:val="000A3E88"/>
    <w:rsid w:val="000A3ED7"/>
    <w:rsid w:val="000A3F47"/>
    <w:rsid w:val="000A412E"/>
    <w:rsid w:val="000A4211"/>
    <w:rsid w:val="000A42A2"/>
    <w:rsid w:val="000A42CE"/>
    <w:rsid w:val="000A4301"/>
    <w:rsid w:val="000A4517"/>
    <w:rsid w:val="000A45F8"/>
    <w:rsid w:val="000A475F"/>
    <w:rsid w:val="000A49A5"/>
    <w:rsid w:val="000A49EC"/>
    <w:rsid w:val="000A4A14"/>
    <w:rsid w:val="000A4A63"/>
    <w:rsid w:val="000A4B4C"/>
    <w:rsid w:val="000A4B62"/>
    <w:rsid w:val="000A4D23"/>
    <w:rsid w:val="000A5157"/>
    <w:rsid w:val="000A52F7"/>
    <w:rsid w:val="000A53D8"/>
    <w:rsid w:val="000A5425"/>
    <w:rsid w:val="000A558A"/>
    <w:rsid w:val="000A55A5"/>
    <w:rsid w:val="000A55D0"/>
    <w:rsid w:val="000A55D1"/>
    <w:rsid w:val="000A56BE"/>
    <w:rsid w:val="000A5710"/>
    <w:rsid w:val="000A579F"/>
    <w:rsid w:val="000A5801"/>
    <w:rsid w:val="000A5846"/>
    <w:rsid w:val="000A5A4B"/>
    <w:rsid w:val="000A5B91"/>
    <w:rsid w:val="000A5CCB"/>
    <w:rsid w:val="000A5D7A"/>
    <w:rsid w:val="000A5DA4"/>
    <w:rsid w:val="000A5DB9"/>
    <w:rsid w:val="000A5EDF"/>
    <w:rsid w:val="000A606C"/>
    <w:rsid w:val="000A627F"/>
    <w:rsid w:val="000A62A1"/>
    <w:rsid w:val="000A631F"/>
    <w:rsid w:val="000A6370"/>
    <w:rsid w:val="000A6469"/>
    <w:rsid w:val="000A646D"/>
    <w:rsid w:val="000A6574"/>
    <w:rsid w:val="000A66CD"/>
    <w:rsid w:val="000A6795"/>
    <w:rsid w:val="000A6997"/>
    <w:rsid w:val="000A6AC6"/>
    <w:rsid w:val="000A6AD6"/>
    <w:rsid w:val="000A6B11"/>
    <w:rsid w:val="000A6B2E"/>
    <w:rsid w:val="000A6CC3"/>
    <w:rsid w:val="000A6D4F"/>
    <w:rsid w:val="000A6FCC"/>
    <w:rsid w:val="000A6FE7"/>
    <w:rsid w:val="000A7221"/>
    <w:rsid w:val="000A723F"/>
    <w:rsid w:val="000A7253"/>
    <w:rsid w:val="000A769B"/>
    <w:rsid w:val="000A7732"/>
    <w:rsid w:val="000A791C"/>
    <w:rsid w:val="000A799C"/>
    <w:rsid w:val="000A7AA7"/>
    <w:rsid w:val="000A7AAF"/>
    <w:rsid w:val="000A7C18"/>
    <w:rsid w:val="000A7CD5"/>
    <w:rsid w:val="000A7D28"/>
    <w:rsid w:val="000A7E98"/>
    <w:rsid w:val="000A7EC1"/>
    <w:rsid w:val="000A7F0E"/>
    <w:rsid w:val="000B000D"/>
    <w:rsid w:val="000B0011"/>
    <w:rsid w:val="000B0039"/>
    <w:rsid w:val="000B0066"/>
    <w:rsid w:val="000B0072"/>
    <w:rsid w:val="000B00CC"/>
    <w:rsid w:val="000B0184"/>
    <w:rsid w:val="000B02B0"/>
    <w:rsid w:val="000B0336"/>
    <w:rsid w:val="000B03DD"/>
    <w:rsid w:val="000B042F"/>
    <w:rsid w:val="000B04B2"/>
    <w:rsid w:val="000B04EC"/>
    <w:rsid w:val="000B06C6"/>
    <w:rsid w:val="000B07EC"/>
    <w:rsid w:val="000B0851"/>
    <w:rsid w:val="000B089F"/>
    <w:rsid w:val="000B09AF"/>
    <w:rsid w:val="000B0A61"/>
    <w:rsid w:val="000B0A68"/>
    <w:rsid w:val="000B0AEC"/>
    <w:rsid w:val="000B0B06"/>
    <w:rsid w:val="000B0D9E"/>
    <w:rsid w:val="000B0E34"/>
    <w:rsid w:val="000B0F5D"/>
    <w:rsid w:val="000B0FCA"/>
    <w:rsid w:val="000B1088"/>
    <w:rsid w:val="000B1151"/>
    <w:rsid w:val="000B1327"/>
    <w:rsid w:val="000B133E"/>
    <w:rsid w:val="000B13AC"/>
    <w:rsid w:val="000B13DC"/>
    <w:rsid w:val="000B14DC"/>
    <w:rsid w:val="000B1587"/>
    <w:rsid w:val="000B1598"/>
    <w:rsid w:val="000B15AF"/>
    <w:rsid w:val="000B1674"/>
    <w:rsid w:val="000B1689"/>
    <w:rsid w:val="000B1695"/>
    <w:rsid w:val="000B1704"/>
    <w:rsid w:val="000B17B2"/>
    <w:rsid w:val="000B18EB"/>
    <w:rsid w:val="000B1B8C"/>
    <w:rsid w:val="000B1CA1"/>
    <w:rsid w:val="000B1D36"/>
    <w:rsid w:val="000B1F4A"/>
    <w:rsid w:val="000B20AF"/>
    <w:rsid w:val="000B2198"/>
    <w:rsid w:val="000B21C9"/>
    <w:rsid w:val="000B236F"/>
    <w:rsid w:val="000B240E"/>
    <w:rsid w:val="000B24B2"/>
    <w:rsid w:val="000B25FC"/>
    <w:rsid w:val="000B2681"/>
    <w:rsid w:val="000B2713"/>
    <w:rsid w:val="000B27AB"/>
    <w:rsid w:val="000B27FA"/>
    <w:rsid w:val="000B27FB"/>
    <w:rsid w:val="000B2949"/>
    <w:rsid w:val="000B2AE0"/>
    <w:rsid w:val="000B2AE9"/>
    <w:rsid w:val="000B2D14"/>
    <w:rsid w:val="000B2DDE"/>
    <w:rsid w:val="000B2DF2"/>
    <w:rsid w:val="000B2E08"/>
    <w:rsid w:val="000B2E12"/>
    <w:rsid w:val="000B2FA0"/>
    <w:rsid w:val="000B307B"/>
    <w:rsid w:val="000B30B5"/>
    <w:rsid w:val="000B30CA"/>
    <w:rsid w:val="000B30F2"/>
    <w:rsid w:val="000B3374"/>
    <w:rsid w:val="000B3431"/>
    <w:rsid w:val="000B3499"/>
    <w:rsid w:val="000B3549"/>
    <w:rsid w:val="000B3566"/>
    <w:rsid w:val="000B35A9"/>
    <w:rsid w:val="000B3671"/>
    <w:rsid w:val="000B3720"/>
    <w:rsid w:val="000B3777"/>
    <w:rsid w:val="000B38AB"/>
    <w:rsid w:val="000B394F"/>
    <w:rsid w:val="000B3D9D"/>
    <w:rsid w:val="000B3F2B"/>
    <w:rsid w:val="000B3FBB"/>
    <w:rsid w:val="000B42A8"/>
    <w:rsid w:val="000B43A6"/>
    <w:rsid w:val="000B43BF"/>
    <w:rsid w:val="000B47C5"/>
    <w:rsid w:val="000B47D2"/>
    <w:rsid w:val="000B47E1"/>
    <w:rsid w:val="000B4932"/>
    <w:rsid w:val="000B49BD"/>
    <w:rsid w:val="000B4A04"/>
    <w:rsid w:val="000B4A28"/>
    <w:rsid w:val="000B4A52"/>
    <w:rsid w:val="000B4A7E"/>
    <w:rsid w:val="000B4D8F"/>
    <w:rsid w:val="000B4DDE"/>
    <w:rsid w:val="000B503D"/>
    <w:rsid w:val="000B5228"/>
    <w:rsid w:val="000B52A8"/>
    <w:rsid w:val="000B5354"/>
    <w:rsid w:val="000B5475"/>
    <w:rsid w:val="000B56F8"/>
    <w:rsid w:val="000B5A68"/>
    <w:rsid w:val="000B5A7C"/>
    <w:rsid w:val="000B5C7A"/>
    <w:rsid w:val="000B5CD3"/>
    <w:rsid w:val="000B5E3B"/>
    <w:rsid w:val="000B5E52"/>
    <w:rsid w:val="000B5F27"/>
    <w:rsid w:val="000B60A6"/>
    <w:rsid w:val="000B631D"/>
    <w:rsid w:val="000B6584"/>
    <w:rsid w:val="000B66B9"/>
    <w:rsid w:val="000B686F"/>
    <w:rsid w:val="000B688C"/>
    <w:rsid w:val="000B693B"/>
    <w:rsid w:val="000B6A22"/>
    <w:rsid w:val="000B6AA9"/>
    <w:rsid w:val="000B6ADE"/>
    <w:rsid w:val="000B70DC"/>
    <w:rsid w:val="000B7154"/>
    <w:rsid w:val="000B7219"/>
    <w:rsid w:val="000B731E"/>
    <w:rsid w:val="000B7556"/>
    <w:rsid w:val="000B75EC"/>
    <w:rsid w:val="000B772E"/>
    <w:rsid w:val="000B79B8"/>
    <w:rsid w:val="000B79C9"/>
    <w:rsid w:val="000B79F3"/>
    <w:rsid w:val="000B7A4B"/>
    <w:rsid w:val="000B7AD1"/>
    <w:rsid w:val="000B7AE9"/>
    <w:rsid w:val="000B7B01"/>
    <w:rsid w:val="000B7C6E"/>
    <w:rsid w:val="000B7CD7"/>
    <w:rsid w:val="000B7CDB"/>
    <w:rsid w:val="000B7D4C"/>
    <w:rsid w:val="000B7E44"/>
    <w:rsid w:val="000C018A"/>
    <w:rsid w:val="000C0193"/>
    <w:rsid w:val="000C01AB"/>
    <w:rsid w:val="000C01E2"/>
    <w:rsid w:val="000C01FD"/>
    <w:rsid w:val="000C0202"/>
    <w:rsid w:val="000C0338"/>
    <w:rsid w:val="000C060D"/>
    <w:rsid w:val="000C0932"/>
    <w:rsid w:val="000C098B"/>
    <w:rsid w:val="000C09F6"/>
    <w:rsid w:val="000C0B6D"/>
    <w:rsid w:val="000C0BC9"/>
    <w:rsid w:val="000C0C2B"/>
    <w:rsid w:val="000C0D44"/>
    <w:rsid w:val="000C0F0F"/>
    <w:rsid w:val="000C0F18"/>
    <w:rsid w:val="000C12F5"/>
    <w:rsid w:val="000C1331"/>
    <w:rsid w:val="000C13B6"/>
    <w:rsid w:val="000C14D1"/>
    <w:rsid w:val="000C1567"/>
    <w:rsid w:val="000C161D"/>
    <w:rsid w:val="000C1A95"/>
    <w:rsid w:val="000C1B26"/>
    <w:rsid w:val="000C1D38"/>
    <w:rsid w:val="000C1F93"/>
    <w:rsid w:val="000C2079"/>
    <w:rsid w:val="000C20CA"/>
    <w:rsid w:val="000C216C"/>
    <w:rsid w:val="000C2187"/>
    <w:rsid w:val="000C22CF"/>
    <w:rsid w:val="000C22F0"/>
    <w:rsid w:val="000C22FE"/>
    <w:rsid w:val="000C244F"/>
    <w:rsid w:val="000C26EA"/>
    <w:rsid w:val="000C270D"/>
    <w:rsid w:val="000C2873"/>
    <w:rsid w:val="000C2A56"/>
    <w:rsid w:val="000C2E9B"/>
    <w:rsid w:val="000C3260"/>
    <w:rsid w:val="000C35C6"/>
    <w:rsid w:val="000C3713"/>
    <w:rsid w:val="000C38A9"/>
    <w:rsid w:val="000C3A6D"/>
    <w:rsid w:val="000C3AAB"/>
    <w:rsid w:val="000C3BBE"/>
    <w:rsid w:val="000C3C0C"/>
    <w:rsid w:val="000C3D28"/>
    <w:rsid w:val="000C3DD3"/>
    <w:rsid w:val="000C3E2A"/>
    <w:rsid w:val="000C3FEA"/>
    <w:rsid w:val="000C4011"/>
    <w:rsid w:val="000C40CB"/>
    <w:rsid w:val="000C410A"/>
    <w:rsid w:val="000C41B3"/>
    <w:rsid w:val="000C43D9"/>
    <w:rsid w:val="000C44D8"/>
    <w:rsid w:val="000C4534"/>
    <w:rsid w:val="000C46C3"/>
    <w:rsid w:val="000C4C0E"/>
    <w:rsid w:val="000C4D5F"/>
    <w:rsid w:val="000C4E5D"/>
    <w:rsid w:val="000C5068"/>
    <w:rsid w:val="000C513E"/>
    <w:rsid w:val="000C522B"/>
    <w:rsid w:val="000C533D"/>
    <w:rsid w:val="000C5379"/>
    <w:rsid w:val="000C545D"/>
    <w:rsid w:val="000C54C9"/>
    <w:rsid w:val="000C5758"/>
    <w:rsid w:val="000C5898"/>
    <w:rsid w:val="000C5968"/>
    <w:rsid w:val="000C598F"/>
    <w:rsid w:val="000C59F5"/>
    <w:rsid w:val="000C5AAB"/>
    <w:rsid w:val="000C5B47"/>
    <w:rsid w:val="000C5C09"/>
    <w:rsid w:val="000C5CBB"/>
    <w:rsid w:val="000C5E7A"/>
    <w:rsid w:val="000C5EE9"/>
    <w:rsid w:val="000C5EF3"/>
    <w:rsid w:val="000C6080"/>
    <w:rsid w:val="000C60D1"/>
    <w:rsid w:val="000C623A"/>
    <w:rsid w:val="000C62C7"/>
    <w:rsid w:val="000C6364"/>
    <w:rsid w:val="000C645C"/>
    <w:rsid w:val="000C64AB"/>
    <w:rsid w:val="000C64BD"/>
    <w:rsid w:val="000C64DD"/>
    <w:rsid w:val="000C6548"/>
    <w:rsid w:val="000C654D"/>
    <w:rsid w:val="000C66A7"/>
    <w:rsid w:val="000C6A6D"/>
    <w:rsid w:val="000C6BEA"/>
    <w:rsid w:val="000C6C35"/>
    <w:rsid w:val="000C6EAF"/>
    <w:rsid w:val="000C6F2C"/>
    <w:rsid w:val="000C6F3F"/>
    <w:rsid w:val="000C6FCB"/>
    <w:rsid w:val="000C709D"/>
    <w:rsid w:val="000C7123"/>
    <w:rsid w:val="000C7397"/>
    <w:rsid w:val="000C73AB"/>
    <w:rsid w:val="000C73C6"/>
    <w:rsid w:val="000C76C9"/>
    <w:rsid w:val="000C76EB"/>
    <w:rsid w:val="000C77BC"/>
    <w:rsid w:val="000C77F5"/>
    <w:rsid w:val="000C7808"/>
    <w:rsid w:val="000C7827"/>
    <w:rsid w:val="000C7977"/>
    <w:rsid w:val="000C7ADA"/>
    <w:rsid w:val="000C7D37"/>
    <w:rsid w:val="000C7D95"/>
    <w:rsid w:val="000C7E68"/>
    <w:rsid w:val="000C7FEC"/>
    <w:rsid w:val="000D0052"/>
    <w:rsid w:val="000D00F9"/>
    <w:rsid w:val="000D0197"/>
    <w:rsid w:val="000D0373"/>
    <w:rsid w:val="000D0389"/>
    <w:rsid w:val="000D038B"/>
    <w:rsid w:val="000D0440"/>
    <w:rsid w:val="000D04E8"/>
    <w:rsid w:val="000D0737"/>
    <w:rsid w:val="000D0741"/>
    <w:rsid w:val="000D0813"/>
    <w:rsid w:val="000D08AA"/>
    <w:rsid w:val="000D08AB"/>
    <w:rsid w:val="000D0A97"/>
    <w:rsid w:val="000D0BA3"/>
    <w:rsid w:val="000D0C4E"/>
    <w:rsid w:val="000D0E37"/>
    <w:rsid w:val="000D1118"/>
    <w:rsid w:val="000D1349"/>
    <w:rsid w:val="000D13EE"/>
    <w:rsid w:val="000D166D"/>
    <w:rsid w:val="000D1690"/>
    <w:rsid w:val="000D16CF"/>
    <w:rsid w:val="000D17FE"/>
    <w:rsid w:val="000D1852"/>
    <w:rsid w:val="000D1915"/>
    <w:rsid w:val="000D1970"/>
    <w:rsid w:val="000D19E0"/>
    <w:rsid w:val="000D1A0E"/>
    <w:rsid w:val="000D1AAF"/>
    <w:rsid w:val="000D1EBC"/>
    <w:rsid w:val="000D20AF"/>
    <w:rsid w:val="000D21C3"/>
    <w:rsid w:val="000D242E"/>
    <w:rsid w:val="000D2676"/>
    <w:rsid w:val="000D2765"/>
    <w:rsid w:val="000D2BCB"/>
    <w:rsid w:val="000D2C25"/>
    <w:rsid w:val="000D2D82"/>
    <w:rsid w:val="000D2E04"/>
    <w:rsid w:val="000D2F4D"/>
    <w:rsid w:val="000D2F95"/>
    <w:rsid w:val="000D329C"/>
    <w:rsid w:val="000D333B"/>
    <w:rsid w:val="000D3344"/>
    <w:rsid w:val="000D344B"/>
    <w:rsid w:val="000D3729"/>
    <w:rsid w:val="000D37A9"/>
    <w:rsid w:val="000D37E4"/>
    <w:rsid w:val="000D37E6"/>
    <w:rsid w:val="000D37EA"/>
    <w:rsid w:val="000D38A9"/>
    <w:rsid w:val="000D3977"/>
    <w:rsid w:val="000D3B5B"/>
    <w:rsid w:val="000D3C55"/>
    <w:rsid w:val="000D3D92"/>
    <w:rsid w:val="000D3E57"/>
    <w:rsid w:val="000D3EC9"/>
    <w:rsid w:val="000D4021"/>
    <w:rsid w:val="000D40B7"/>
    <w:rsid w:val="000D40D9"/>
    <w:rsid w:val="000D40FF"/>
    <w:rsid w:val="000D4275"/>
    <w:rsid w:val="000D45A8"/>
    <w:rsid w:val="000D4860"/>
    <w:rsid w:val="000D4D46"/>
    <w:rsid w:val="000D4E31"/>
    <w:rsid w:val="000D519B"/>
    <w:rsid w:val="000D519D"/>
    <w:rsid w:val="000D53E8"/>
    <w:rsid w:val="000D5780"/>
    <w:rsid w:val="000D57ED"/>
    <w:rsid w:val="000D587D"/>
    <w:rsid w:val="000D5B03"/>
    <w:rsid w:val="000D5B77"/>
    <w:rsid w:val="000D647B"/>
    <w:rsid w:val="000D64CF"/>
    <w:rsid w:val="000D65ED"/>
    <w:rsid w:val="000D66A1"/>
    <w:rsid w:val="000D6A0D"/>
    <w:rsid w:val="000D6C57"/>
    <w:rsid w:val="000D6D06"/>
    <w:rsid w:val="000D6D61"/>
    <w:rsid w:val="000D6D92"/>
    <w:rsid w:val="000D6E99"/>
    <w:rsid w:val="000D6EAB"/>
    <w:rsid w:val="000D6EAE"/>
    <w:rsid w:val="000D6FCA"/>
    <w:rsid w:val="000D7020"/>
    <w:rsid w:val="000D7095"/>
    <w:rsid w:val="000D71C7"/>
    <w:rsid w:val="000D71DC"/>
    <w:rsid w:val="000D7245"/>
    <w:rsid w:val="000D7276"/>
    <w:rsid w:val="000D72BA"/>
    <w:rsid w:val="000D72E9"/>
    <w:rsid w:val="000D740F"/>
    <w:rsid w:val="000D7611"/>
    <w:rsid w:val="000D76FD"/>
    <w:rsid w:val="000D770F"/>
    <w:rsid w:val="000D777A"/>
    <w:rsid w:val="000D779E"/>
    <w:rsid w:val="000D790D"/>
    <w:rsid w:val="000D79B7"/>
    <w:rsid w:val="000D7B10"/>
    <w:rsid w:val="000D7B43"/>
    <w:rsid w:val="000D7CE5"/>
    <w:rsid w:val="000D7E1F"/>
    <w:rsid w:val="000E0009"/>
    <w:rsid w:val="000E001B"/>
    <w:rsid w:val="000E0210"/>
    <w:rsid w:val="000E0256"/>
    <w:rsid w:val="000E028C"/>
    <w:rsid w:val="000E042A"/>
    <w:rsid w:val="000E04E4"/>
    <w:rsid w:val="000E0568"/>
    <w:rsid w:val="000E057B"/>
    <w:rsid w:val="000E06CA"/>
    <w:rsid w:val="000E08D0"/>
    <w:rsid w:val="000E08FE"/>
    <w:rsid w:val="000E095D"/>
    <w:rsid w:val="000E0A74"/>
    <w:rsid w:val="000E0A7A"/>
    <w:rsid w:val="000E0B50"/>
    <w:rsid w:val="000E0CAB"/>
    <w:rsid w:val="000E0CEF"/>
    <w:rsid w:val="000E0CF0"/>
    <w:rsid w:val="000E0D30"/>
    <w:rsid w:val="000E0E55"/>
    <w:rsid w:val="000E0F24"/>
    <w:rsid w:val="000E1147"/>
    <w:rsid w:val="000E11AD"/>
    <w:rsid w:val="000E12C8"/>
    <w:rsid w:val="000E1308"/>
    <w:rsid w:val="000E1483"/>
    <w:rsid w:val="000E14C3"/>
    <w:rsid w:val="000E15E5"/>
    <w:rsid w:val="000E1601"/>
    <w:rsid w:val="000E162E"/>
    <w:rsid w:val="000E178A"/>
    <w:rsid w:val="000E195F"/>
    <w:rsid w:val="000E1CA4"/>
    <w:rsid w:val="000E1CF4"/>
    <w:rsid w:val="000E1DE1"/>
    <w:rsid w:val="000E1FFA"/>
    <w:rsid w:val="000E20B1"/>
    <w:rsid w:val="000E2146"/>
    <w:rsid w:val="000E2625"/>
    <w:rsid w:val="000E2702"/>
    <w:rsid w:val="000E2884"/>
    <w:rsid w:val="000E28AE"/>
    <w:rsid w:val="000E29A2"/>
    <w:rsid w:val="000E29B0"/>
    <w:rsid w:val="000E29B6"/>
    <w:rsid w:val="000E29F4"/>
    <w:rsid w:val="000E2E3D"/>
    <w:rsid w:val="000E2F0D"/>
    <w:rsid w:val="000E3015"/>
    <w:rsid w:val="000E3253"/>
    <w:rsid w:val="000E325B"/>
    <w:rsid w:val="000E32AD"/>
    <w:rsid w:val="000E3449"/>
    <w:rsid w:val="000E34E5"/>
    <w:rsid w:val="000E3530"/>
    <w:rsid w:val="000E3541"/>
    <w:rsid w:val="000E369A"/>
    <w:rsid w:val="000E36D8"/>
    <w:rsid w:val="000E380E"/>
    <w:rsid w:val="000E3A67"/>
    <w:rsid w:val="000E3BA2"/>
    <w:rsid w:val="000E3F6A"/>
    <w:rsid w:val="000E3FDD"/>
    <w:rsid w:val="000E401B"/>
    <w:rsid w:val="000E4086"/>
    <w:rsid w:val="000E40BF"/>
    <w:rsid w:val="000E416E"/>
    <w:rsid w:val="000E4428"/>
    <w:rsid w:val="000E446C"/>
    <w:rsid w:val="000E4474"/>
    <w:rsid w:val="000E4478"/>
    <w:rsid w:val="000E4551"/>
    <w:rsid w:val="000E4596"/>
    <w:rsid w:val="000E4639"/>
    <w:rsid w:val="000E4706"/>
    <w:rsid w:val="000E485B"/>
    <w:rsid w:val="000E4971"/>
    <w:rsid w:val="000E4972"/>
    <w:rsid w:val="000E49A4"/>
    <w:rsid w:val="000E4A59"/>
    <w:rsid w:val="000E4B0D"/>
    <w:rsid w:val="000E4B40"/>
    <w:rsid w:val="000E4CCE"/>
    <w:rsid w:val="000E4E9B"/>
    <w:rsid w:val="000E5185"/>
    <w:rsid w:val="000E5441"/>
    <w:rsid w:val="000E568D"/>
    <w:rsid w:val="000E57BD"/>
    <w:rsid w:val="000E5A91"/>
    <w:rsid w:val="000E5B85"/>
    <w:rsid w:val="000E5BB4"/>
    <w:rsid w:val="000E5C90"/>
    <w:rsid w:val="000E5E8B"/>
    <w:rsid w:val="000E5EF9"/>
    <w:rsid w:val="000E5F6D"/>
    <w:rsid w:val="000E5FA2"/>
    <w:rsid w:val="000E5FA6"/>
    <w:rsid w:val="000E61D7"/>
    <w:rsid w:val="000E6303"/>
    <w:rsid w:val="000E6495"/>
    <w:rsid w:val="000E6515"/>
    <w:rsid w:val="000E680F"/>
    <w:rsid w:val="000E696F"/>
    <w:rsid w:val="000E6B91"/>
    <w:rsid w:val="000E6E27"/>
    <w:rsid w:val="000E6F15"/>
    <w:rsid w:val="000E6F8D"/>
    <w:rsid w:val="000E7041"/>
    <w:rsid w:val="000E70B3"/>
    <w:rsid w:val="000E70E3"/>
    <w:rsid w:val="000E715A"/>
    <w:rsid w:val="000E7183"/>
    <w:rsid w:val="000E7280"/>
    <w:rsid w:val="000E73B4"/>
    <w:rsid w:val="000E74C0"/>
    <w:rsid w:val="000E7738"/>
    <w:rsid w:val="000E778D"/>
    <w:rsid w:val="000E779C"/>
    <w:rsid w:val="000E77EE"/>
    <w:rsid w:val="000E7B21"/>
    <w:rsid w:val="000E7BBB"/>
    <w:rsid w:val="000E7DA0"/>
    <w:rsid w:val="000E7DD8"/>
    <w:rsid w:val="000E7E54"/>
    <w:rsid w:val="000E7F01"/>
    <w:rsid w:val="000E7FA0"/>
    <w:rsid w:val="000F01E3"/>
    <w:rsid w:val="000F0277"/>
    <w:rsid w:val="000F067D"/>
    <w:rsid w:val="000F067F"/>
    <w:rsid w:val="000F0680"/>
    <w:rsid w:val="000F07A8"/>
    <w:rsid w:val="000F0964"/>
    <w:rsid w:val="000F09AB"/>
    <w:rsid w:val="000F0AE7"/>
    <w:rsid w:val="000F0CAA"/>
    <w:rsid w:val="000F0D6A"/>
    <w:rsid w:val="000F0F5F"/>
    <w:rsid w:val="000F0FE9"/>
    <w:rsid w:val="000F14EE"/>
    <w:rsid w:val="000F16D1"/>
    <w:rsid w:val="000F1800"/>
    <w:rsid w:val="000F1802"/>
    <w:rsid w:val="000F18A7"/>
    <w:rsid w:val="000F18B1"/>
    <w:rsid w:val="000F18B8"/>
    <w:rsid w:val="000F1999"/>
    <w:rsid w:val="000F1D60"/>
    <w:rsid w:val="000F1FD0"/>
    <w:rsid w:val="000F202D"/>
    <w:rsid w:val="000F2036"/>
    <w:rsid w:val="000F21B0"/>
    <w:rsid w:val="000F225B"/>
    <w:rsid w:val="000F2262"/>
    <w:rsid w:val="000F231F"/>
    <w:rsid w:val="000F237B"/>
    <w:rsid w:val="000F23B0"/>
    <w:rsid w:val="000F2604"/>
    <w:rsid w:val="000F26A9"/>
    <w:rsid w:val="000F26DD"/>
    <w:rsid w:val="000F28CE"/>
    <w:rsid w:val="000F2A10"/>
    <w:rsid w:val="000F2B20"/>
    <w:rsid w:val="000F2B25"/>
    <w:rsid w:val="000F2C3B"/>
    <w:rsid w:val="000F2D6D"/>
    <w:rsid w:val="000F2E48"/>
    <w:rsid w:val="000F2E7E"/>
    <w:rsid w:val="000F2EFE"/>
    <w:rsid w:val="000F2FDA"/>
    <w:rsid w:val="000F3094"/>
    <w:rsid w:val="000F3134"/>
    <w:rsid w:val="000F321B"/>
    <w:rsid w:val="000F337E"/>
    <w:rsid w:val="000F34D8"/>
    <w:rsid w:val="000F3530"/>
    <w:rsid w:val="000F3573"/>
    <w:rsid w:val="000F35D5"/>
    <w:rsid w:val="000F36DE"/>
    <w:rsid w:val="000F38B8"/>
    <w:rsid w:val="000F3A30"/>
    <w:rsid w:val="000F3A92"/>
    <w:rsid w:val="000F3BAB"/>
    <w:rsid w:val="000F3BF1"/>
    <w:rsid w:val="000F3C21"/>
    <w:rsid w:val="000F3ED7"/>
    <w:rsid w:val="000F406B"/>
    <w:rsid w:val="000F406C"/>
    <w:rsid w:val="000F40DD"/>
    <w:rsid w:val="000F41BA"/>
    <w:rsid w:val="000F435C"/>
    <w:rsid w:val="000F44AE"/>
    <w:rsid w:val="000F44D7"/>
    <w:rsid w:val="000F44F9"/>
    <w:rsid w:val="000F4567"/>
    <w:rsid w:val="000F45A3"/>
    <w:rsid w:val="000F46E6"/>
    <w:rsid w:val="000F4750"/>
    <w:rsid w:val="000F4794"/>
    <w:rsid w:val="000F47C5"/>
    <w:rsid w:val="000F4827"/>
    <w:rsid w:val="000F4839"/>
    <w:rsid w:val="000F4A9B"/>
    <w:rsid w:val="000F4B63"/>
    <w:rsid w:val="000F4CB3"/>
    <w:rsid w:val="000F4E83"/>
    <w:rsid w:val="000F4EE4"/>
    <w:rsid w:val="000F4EEA"/>
    <w:rsid w:val="000F50E8"/>
    <w:rsid w:val="000F5101"/>
    <w:rsid w:val="000F5171"/>
    <w:rsid w:val="000F523B"/>
    <w:rsid w:val="000F531A"/>
    <w:rsid w:val="000F53F4"/>
    <w:rsid w:val="000F5557"/>
    <w:rsid w:val="000F5563"/>
    <w:rsid w:val="000F55E3"/>
    <w:rsid w:val="000F5950"/>
    <w:rsid w:val="000F5BF7"/>
    <w:rsid w:val="000F5C0E"/>
    <w:rsid w:val="000F5C58"/>
    <w:rsid w:val="000F5C81"/>
    <w:rsid w:val="000F5EDA"/>
    <w:rsid w:val="000F5EFE"/>
    <w:rsid w:val="000F5F37"/>
    <w:rsid w:val="000F6006"/>
    <w:rsid w:val="000F62DD"/>
    <w:rsid w:val="000F62EA"/>
    <w:rsid w:val="000F652D"/>
    <w:rsid w:val="000F65A7"/>
    <w:rsid w:val="000F65F4"/>
    <w:rsid w:val="000F675F"/>
    <w:rsid w:val="000F6844"/>
    <w:rsid w:val="000F6B8B"/>
    <w:rsid w:val="000F6C35"/>
    <w:rsid w:val="000F6CF6"/>
    <w:rsid w:val="000F6F1B"/>
    <w:rsid w:val="000F7047"/>
    <w:rsid w:val="000F7196"/>
    <w:rsid w:val="000F71A8"/>
    <w:rsid w:val="000F72A3"/>
    <w:rsid w:val="000F72A5"/>
    <w:rsid w:val="000F7439"/>
    <w:rsid w:val="000F743C"/>
    <w:rsid w:val="000F74CE"/>
    <w:rsid w:val="000F763B"/>
    <w:rsid w:val="000F77E0"/>
    <w:rsid w:val="000F7830"/>
    <w:rsid w:val="000F7909"/>
    <w:rsid w:val="000F7BA0"/>
    <w:rsid w:val="000F7BC7"/>
    <w:rsid w:val="000F7EDA"/>
    <w:rsid w:val="0010002E"/>
    <w:rsid w:val="001001E5"/>
    <w:rsid w:val="001004AD"/>
    <w:rsid w:val="001004C3"/>
    <w:rsid w:val="00100877"/>
    <w:rsid w:val="00100945"/>
    <w:rsid w:val="0010094F"/>
    <w:rsid w:val="00100956"/>
    <w:rsid w:val="0010096A"/>
    <w:rsid w:val="00100AE8"/>
    <w:rsid w:val="00100B56"/>
    <w:rsid w:val="00100C80"/>
    <w:rsid w:val="00100E48"/>
    <w:rsid w:val="00100E53"/>
    <w:rsid w:val="00100F1F"/>
    <w:rsid w:val="00100F38"/>
    <w:rsid w:val="00100F49"/>
    <w:rsid w:val="001010AF"/>
    <w:rsid w:val="001010C5"/>
    <w:rsid w:val="001012DC"/>
    <w:rsid w:val="001012EA"/>
    <w:rsid w:val="001013CF"/>
    <w:rsid w:val="001015A6"/>
    <w:rsid w:val="0010161B"/>
    <w:rsid w:val="001017F5"/>
    <w:rsid w:val="0010182D"/>
    <w:rsid w:val="001018D8"/>
    <w:rsid w:val="001018EB"/>
    <w:rsid w:val="001019E1"/>
    <w:rsid w:val="00101B6E"/>
    <w:rsid w:val="00101B77"/>
    <w:rsid w:val="00101B9B"/>
    <w:rsid w:val="00101D21"/>
    <w:rsid w:val="0010208E"/>
    <w:rsid w:val="001020A7"/>
    <w:rsid w:val="001024BC"/>
    <w:rsid w:val="001024F2"/>
    <w:rsid w:val="001025D3"/>
    <w:rsid w:val="001026C4"/>
    <w:rsid w:val="001026C6"/>
    <w:rsid w:val="00102777"/>
    <w:rsid w:val="00102C76"/>
    <w:rsid w:val="0010315F"/>
    <w:rsid w:val="001032D7"/>
    <w:rsid w:val="00103532"/>
    <w:rsid w:val="00103593"/>
    <w:rsid w:val="00103606"/>
    <w:rsid w:val="00103666"/>
    <w:rsid w:val="0010366C"/>
    <w:rsid w:val="001036B3"/>
    <w:rsid w:val="001036FF"/>
    <w:rsid w:val="00103924"/>
    <w:rsid w:val="0010394C"/>
    <w:rsid w:val="00103988"/>
    <w:rsid w:val="00103A96"/>
    <w:rsid w:val="00103C6A"/>
    <w:rsid w:val="00103D0E"/>
    <w:rsid w:val="00103D29"/>
    <w:rsid w:val="00104267"/>
    <w:rsid w:val="0010428B"/>
    <w:rsid w:val="0010432C"/>
    <w:rsid w:val="001043C7"/>
    <w:rsid w:val="001045D7"/>
    <w:rsid w:val="001045FD"/>
    <w:rsid w:val="00104A76"/>
    <w:rsid w:val="00104AAB"/>
    <w:rsid w:val="00104ADD"/>
    <w:rsid w:val="00104B67"/>
    <w:rsid w:val="00104C3E"/>
    <w:rsid w:val="00104D74"/>
    <w:rsid w:val="00104EC7"/>
    <w:rsid w:val="0010523C"/>
    <w:rsid w:val="001054D0"/>
    <w:rsid w:val="001057C5"/>
    <w:rsid w:val="00105932"/>
    <w:rsid w:val="00105AB5"/>
    <w:rsid w:val="00105B10"/>
    <w:rsid w:val="00105B54"/>
    <w:rsid w:val="00105B9C"/>
    <w:rsid w:val="00105D25"/>
    <w:rsid w:val="00105D97"/>
    <w:rsid w:val="00105FBA"/>
    <w:rsid w:val="00106149"/>
    <w:rsid w:val="00106174"/>
    <w:rsid w:val="001062E5"/>
    <w:rsid w:val="00106527"/>
    <w:rsid w:val="00106631"/>
    <w:rsid w:val="00106773"/>
    <w:rsid w:val="001067F1"/>
    <w:rsid w:val="001068FA"/>
    <w:rsid w:val="0010693A"/>
    <w:rsid w:val="00106A7B"/>
    <w:rsid w:val="00106AB3"/>
    <w:rsid w:val="00106B23"/>
    <w:rsid w:val="00106C0D"/>
    <w:rsid w:val="00106C3D"/>
    <w:rsid w:val="00106E35"/>
    <w:rsid w:val="00106EEF"/>
    <w:rsid w:val="00106F39"/>
    <w:rsid w:val="00106FC0"/>
    <w:rsid w:val="00106FD6"/>
    <w:rsid w:val="001070C7"/>
    <w:rsid w:val="001071F3"/>
    <w:rsid w:val="00107304"/>
    <w:rsid w:val="00107430"/>
    <w:rsid w:val="00107671"/>
    <w:rsid w:val="00107859"/>
    <w:rsid w:val="00107AA0"/>
    <w:rsid w:val="00107B1F"/>
    <w:rsid w:val="00107C5A"/>
    <w:rsid w:val="00107CA3"/>
    <w:rsid w:val="00107CF4"/>
    <w:rsid w:val="00107D02"/>
    <w:rsid w:val="00107D70"/>
    <w:rsid w:val="00107D83"/>
    <w:rsid w:val="00107DDC"/>
    <w:rsid w:val="00107FA7"/>
    <w:rsid w:val="00110066"/>
    <w:rsid w:val="0011039D"/>
    <w:rsid w:val="00110420"/>
    <w:rsid w:val="00110507"/>
    <w:rsid w:val="00110638"/>
    <w:rsid w:val="00110B18"/>
    <w:rsid w:val="00110B2C"/>
    <w:rsid w:val="00110BEB"/>
    <w:rsid w:val="00110E9F"/>
    <w:rsid w:val="00110EE6"/>
    <w:rsid w:val="00110F69"/>
    <w:rsid w:val="001111BB"/>
    <w:rsid w:val="001111E2"/>
    <w:rsid w:val="00111254"/>
    <w:rsid w:val="00111348"/>
    <w:rsid w:val="001113AF"/>
    <w:rsid w:val="0011141C"/>
    <w:rsid w:val="00111436"/>
    <w:rsid w:val="001114A8"/>
    <w:rsid w:val="001114FF"/>
    <w:rsid w:val="00111634"/>
    <w:rsid w:val="00111816"/>
    <w:rsid w:val="00111A40"/>
    <w:rsid w:val="00111AC8"/>
    <w:rsid w:val="00111B67"/>
    <w:rsid w:val="00111C43"/>
    <w:rsid w:val="00111D95"/>
    <w:rsid w:val="00112132"/>
    <w:rsid w:val="0011217D"/>
    <w:rsid w:val="0011221F"/>
    <w:rsid w:val="00112365"/>
    <w:rsid w:val="00112801"/>
    <w:rsid w:val="00112922"/>
    <w:rsid w:val="00112A1E"/>
    <w:rsid w:val="00112ABA"/>
    <w:rsid w:val="00112AF2"/>
    <w:rsid w:val="00112D19"/>
    <w:rsid w:val="00112ED0"/>
    <w:rsid w:val="00112F8A"/>
    <w:rsid w:val="0011300D"/>
    <w:rsid w:val="0011318E"/>
    <w:rsid w:val="0011324B"/>
    <w:rsid w:val="00113417"/>
    <w:rsid w:val="0011341F"/>
    <w:rsid w:val="001134D9"/>
    <w:rsid w:val="00113509"/>
    <w:rsid w:val="00113560"/>
    <w:rsid w:val="0011394A"/>
    <w:rsid w:val="00113A93"/>
    <w:rsid w:val="00113CCD"/>
    <w:rsid w:val="00113FD0"/>
    <w:rsid w:val="00114002"/>
    <w:rsid w:val="00114194"/>
    <w:rsid w:val="00114383"/>
    <w:rsid w:val="001143E6"/>
    <w:rsid w:val="00114705"/>
    <w:rsid w:val="001147D2"/>
    <w:rsid w:val="0011485A"/>
    <w:rsid w:val="00114880"/>
    <w:rsid w:val="00114C99"/>
    <w:rsid w:val="00114D38"/>
    <w:rsid w:val="00114F3F"/>
    <w:rsid w:val="00114FBF"/>
    <w:rsid w:val="0011502F"/>
    <w:rsid w:val="00115097"/>
    <w:rsid w:val="00115126"/>
    <w:rsid w:val="00115278"/>
    <w:rsid w:val="0011529A"/>
    <w:rsid w:val="00115377"/>
    <w:rsid w:val="001153F0"/>
    <w:rsid w:val="00115551"/>
    <w:rsid w:val="0011570B"/>
    <w:rsid w:val="00115891"/>
    <w:rsid w:val="00115943"/>
    <w:rsid w:val="00115986"/>
    <w:rsid w:val="00115BF3"/>
    <w:rsid w:val="00115C37"/>
    <w:rsid w:val="00115DD2"/>
    <w:rsid w:val="001160CC"/>
    <w:rsid w:val="0011642C"/>
    <w:rsid w:val="00116611"/>
    <w:rsid w:val="0011667B"/>
    <w:rsid w:val="001169A4"/>
    <w:rsid w:val="00116AE6"/>
    <w:rsid w:val="00116B31"/>
    <w:rsid w:val="00116C35"/>
    <w:rsid w:val="00116CE5"/>
    <w:rsid w:val="00116DD7"/>
    <w:rsid w:val="00117066"/>
    <w:rsid w:val="0011716B"/>
    <w:rsid w:val="00117322"/>
    <w:rsid w:val="001175A5"/>
    <w:rsid w:val="0011761A"/>
    <w:rsid w:val="0011763C"/>
    <w:rsid w:val="00117880"/>
    <w:rsid w:val="00117992"/>
    <w:rsid w:val="00117A43"/>
    <w:rsid w:val="00117BE2"/>
    <w:rsid w:val="00117C82"/>
    <w:rsid w:val="00117DDB"/>
    <w:rsid w:val="00117EB4"/>
    <w:rsid w:val="00120056"/>
    <w:rsid w:val="001201E5"/>
    <w:rsid w:val="00120290"/>
    <w:rsid w:val="00120359"/>
    <w:rsid w:val="001206D9"/>
    <w:rsid w:val="00120740"/>
    <w:rsid w:val="00120795"/>
    <w:rsid w:val="00120882"/>
    <w:rsid w:val="00120A07"/>
    <w:rsid w:val="00120A37"/>
    <w:rsid w:val="00120AB7"/>
    <w:rsid w:val="00120D32"/>
    <w:rsid w:val="00121026"/>
    <w:rsid w:val="001215CD"/>
    <w:rsid w:val="00121606"/>
    <w:rsid w:val="0012174E"/>
    <w:rsid w:val="001218A5"/>
    <w:rsid w:val="00121BD8"/>
    <w:rsid w:val="00121C11"/>
    <w:rsid w:val="00121CB9"/>
    <w:rsid w:val="00121CBD"/>
    <w:rsid w:val="00121D4E"/>
    <w:rsid w:val="00121D85"/>
    <w:rsid w:val="00121EAF"/>
    <w:rsid w:val="00121F72"/>
    <w:rsid w:val="00122068"/>
    <w:rsid w:val="00122179"/>
    <w:rsid w:val="001223D9"/>
    <w:rsid w:val="00122529"/>
    <w:rsid w:val="0012253E"/>
    <w:rsid w:val="00122711"/>
    <w:rsid w:val="0012290C"/>
    <w:rsid w:val="00122BA2"/>
    <w:rsid w:val="00122DF8"/>
    <w:rsid w:val="00122E4E"/>
    <w:rsid w:val="00122F84"/>
    <w:rsid w:val="0012300A"/>
    <w:rsid w:val="00123079"/>
    <w:rsid w:val="001231E7"/>
    <w:rsid w:val="00123358"/>
    <w:rsid w:val="00123440"/>
    <w:rsid w:val="0012356D"/>
    <w:rsid w:val="00123579"/>
    <w:rsid w:val="001239BA"/>
    <w:rsid w:val="001239E0"/>
    <w:rsid w:val="00123A31"/>
    <w:rsid w:val="00123A6F"/>
    <w:rsid w:val="00123AFF"/>
    <w:rsid w:val="00123B17"/>
    <w:rsid w:val="00123B35"/>
    <w:rsid w:val="00123B98"/>
    <w:rsid w:val="00123C06"/>
    <w:rsid w:val="00123D6A"/>
    <w:rsid w:val="00123E01"/>
    <w:rsid w:val="00123F27"/>
    <w:rsid w:val="00124007"/>
    <w:rsid w:val="00124047"/>
    <w:rsid w:val="0012414D"/>
    <w:rsid w:val="0012423A"/>
    <w:rsid w:val="0012438F"/>
    <w:rsid w:val="00124453"/>
    <w:rsid w:val="00124464"/>
    <w:rsid w:val="0012447B"/>
    <w:rsid w:val="00124556"/>
    <w:rsid w:val="00124782"/>
    <w:rsid w:val="001247CF"/>
    <w:rsid w:val="0012487D"/>
    <w:rsid w:val="00124999"/>
    <w:rsid w:val="00124C55"/>
    <w:rsid w:val="00124CFC"/>
    <w:rsid w:val="00124D5A"/>
    <w:rsid w:val="00124D97"/>
    <w:rsid w:val="00124EE6"/>
    <w:rsid w:val="00124F60"/>
    <w:rsid w:val="00124FDA"/>
    <w:rsid w:val="00125161"/>
    <w:rsid w:val="0012529E"/>
    <w:rsid w:val="0012533B"/>
    <w:rsid w:val="00125449"/>
    <w:rsid w:val="0012565B"/>
    <w:rsid w:val="001256F2"/>
    <w:rsid w:val="0012572E"/>
    <w:rsid w:val="0012582B"/>
    <w:rsid w:val="001258F3"/>
    <w:rsid w:val="0012595C"/>
    <w:rsid w:val="0012596F"/>
    <w:rsid w:val="00125AC3"/>
    <w:rsid w:val="00125D6B"/>
    <w:rsid w:val="00125EBC"/>
    <w:rsid w:val="00126072"/>
    <w:rsid w:val="001260EC"/>
    <w:rsid w:val="00126144"/>
    <w:rsid w:val="00126327"/>
    <w:rsid w:val="001264AF"/>
    <w:rsid w:val="001264FD"/>
    <w:rsid w:val="00126830"/>
    <w:rsid w:val="00126A3F"/>
    <w:rsid w:val="00126A75"/>
    <w:rsid w:val="00126B3C"/>
    <w:rsid w:val="00126D7D"/>
    <w:rsid w:val="00126DF0"/>
    <w:rsid w:val="00126E25"/>
    <w:rsid w:val="00127030"/>
    <w:rsid w:val="0012714B"/>
    <w:rsid w:val="00127176"/>
    <w:rsid w:val="00127241"/>
    <w:rsid w:val="001274BE"/>
    <w:rsid w:val="001276E3"/>
    <w:rsid w:val="00127802"/>
    <w:rsid w:val="00127955"/>
    <w:rsid w:val="00127A06"/>
    <w:rsid w:val="00127B15"/>
    <w:rsid w:val="00127B1A"/>
    <w:rsid w:val="00127CAA"/>
    <w:rsid w:val="00127D25"/>
    <w:rsid w:val="00127D94"/>
    <w:rsid w:val="00127F5A"/>
    <w:rsid w:val="00130032"/>
    <w:rsid w:val="00130131"/>
    <w:rsid w:val="0013020B"/>
    <w:rsid w:val="00130312"/>
    <w:rsid w:val="001304CF"/>
    <w:rsid w:val="0013081E"/>
    <w:rsid w:val="00130ACE"/>
    <w:rsid w:val="00130B4B"/>
    <w:rsid w:val="00130C59"/>
    <w:rsid w:val="00130D7A"/>
    <w:rsid w:val="00130FAC"/>
    <w:rsid w:val="00130FCC"/>
    <w:rsid w:val="0013103A"/>
    <w:rsid w:val="00131040"/>
    <w:rsid w:val="00131055"/>
    <w:rsid w:val="00131069"/>
    <w:rsid w:val="001311B2"/>
    <w:rsid w:val="0013122A"/>
    <w:rsid w:val="001315D5"/>
    <w:rsid w:val="0013161D"/>
    <w:rsid w:val="001316D5"/>
    <w:rsid w:val="00131704"/>
    <w:rsid w:val="0013190A"/>
    <w:rsid w:val="00131A67"/>
    <w:rsid w:val="00131BCF"/>
    <w:rsid w:val="00131D94"/>
    <w:rsid w:val="00131E1A"/>
    <w:rsid w:val="00131F0B"/>
    <w:rsid w:val="00131FDB"/>
    <w:rsid w:val="00132131"/>
    <w:rsid w:val="0013217B"/>
    <w:rsid w:val="00132464"/>
    <w:rsid w:val="0013255E"/>
    <w:rsid w:val="001328CF"/>
    <w:rsid w:val="00132945"/>
    <w:rsid w:val="001329EA"/>
    <w:rsid w:val="00132C82"/>
    <w:rsid w:val="00132CEC"/>
    <w:rsid w:val="00132D8E"/>
    <w:rsid w:val="001330DF"/>
    <w:rsid w:val="001331A0"/>
    <w:rsid w:val="001331EE"/>
    <w:rsid w:val="00133272"/>
    <w:rsid w:val="001332EC"/>
    <w:rsid w:val="0013333C"/>
    <w:rsid w:val="00133347"/>
    <w:rsid w:val="00133437"/>
    <w:rsid w:val="0013350B"/>
    <w:rsid w:val="001335BF"/>
    <w:rsid w:val="00133660"/>
    <w:rsid w:val="0013380A"/>
    <w:rsid w:val="0013382F"/>
    <w:rsid w:val="00133954"/>
    <w:rsid w:val="001339A8"/>
    <w:rsid w:val="00133B15"/>
    <w:rsid w:val="00133BB4"/>
    <w:rsid w:val="00133CBC"/>
    <w:rsid w:val="00133D2C"/>
    <w:rsid w:val="00133D32"/>
    <w:rsid w:val="00133E79"/>
    <w:rsid w:val="00133E86"/>
    <w:rsid w:val="00133F8F"/>
    <w:rsid w:val="0013401D"/>
    <w:rsid w:val="0013403D"/>
    <w:rsid w:val="0013412F"/>
    <w:rsid w:val="00134244"/>
    <w:rsid w:val="0013427D"/>
    <w:rsid w:val="00134403"/>
    <w:rsid w:val="00134546"/>
    <w:rsid w:val="001348A2"/>
    <w:rsid w:val="001349B0"/>
    <w:rsid w:val="001349FC"/>
    <w:rsid w:val="00134A65"/>
    <w:rsid w:val="00135170"/>
    <w:rsid w:val="001351E6"/>
    <w:rsid w:val="00135222"/>
    <w:rsid w:val="001352D1"/>
    <w:rsid w:val="0013555A"/>
    <w:rsid w:val="001356A2"/>
    <w:rsid w:val="00135816"/>
    <w:rsid w:val="0013589D"/>
    <w:rsid w:val="00135ABF"/>
    <w:rsid w:val="00135BEA"/>
    <w:rsid w:val="00135E94"/>
    <w:rsid w:val="00136040"/>
    <w:rsid w:val="0013608D"/>
    <w:rsid w:val="00136423"/>
    <w:rsid w:val="0013649B"/>
    <w:rsid w:val="001365A0"/>
    <w:rsid w:val="001365E1"/>
    <w:rsid w:val="00136842"/>
    <w:rsid w:val="001368F9"/>
    <w:rsid w:val="00136A38"/>
    <w:rsid w:val="00136C98"/>
    <w:rsid w:val="00136F29"/>
    <w:rsid w:val="00136F84"/>
    <w:rsid w:val="001370F7"/>
    <w:rsid w:val="0013718B"/>
    <w:rsid w:val="001371EF"/>
    <w:rsid w:val="0013747B"/>
    <w:rsid w:val="00137641"/>
    <w:rsid w:val="0013767B"/>
    <w:rsid w:val="001376E9"/>
    <w:rsid w:val="0013771F"/>
    <w:rsid w:val="00137807"/>
    <w:rsid w:val="00137854"/>
    <w:rsid w:val="001379C1"/>
    <w:rsid w:val="00137A2F"/>
    <w:rsid w:val="00137A5A"/>
    <w:rsid w:val="00137A7B"/>
    <w:rsid w:val="00137AD4"/>
    <w:rsid w:val="00137E0A"/>
    <w:rsid w:val="00137F71"/>
    <w:rsid w:val="00137F95"/>
    <w:rsid w:val="00140277"/>
    <w:rsid w:val="001403B7"/>
    <w:rsid w:val="001403F0"/>
    <w:rsid w:val="00140412"/>
    <w:rsid w:val="0014041F"/>
    <w:rsid w:val="0014043E"/>
    <w:rsid w:val="001404C4"/>
    <w:rsid w:val="001406C7"/>
    <w:rsid w:val="001407AB"/>
    <w:rsid w:val="001409F5"/>
    <w:rsid w:val="00140B20"/>
    <w:rsid w:val="00140D85"/>
    <w:rsid w:val="001410FA"/>
    <w:rsid w:val="00141289"/>
    <w:rsid w:val="00141407"/>
    <w:rsid w:val="001414BF"/>
    <w:rsid w:val="00141544"/>
    <w:rsid w:val="001415D8"/>
    <w:rsid w:val="0014176C"/>
    <w:rsid w:val="00141886"/>
    <w:rsid w:val="00141BA7"/>
    <w:rsid w:val="00141C28"/>
    <w:rsid w:val="00141D2D"/>
    <w:rsid w:val="00141EDE"/>
    <w:rsid w:val="00141F01"/>
    <w:rsid w:val="00141F16"/>
    <w:rsid w:val="001420B0"/>
    <w:rsid w:val="0014214B"/>
    <w:rsid w:val="001422CE"/>
    <w:rsid w:val="00142352"/>
    <w:rsid w:val="001423DD"/>
    <w:rsid w:val="0014255F"/>
    <w:rsid w:val="00142605"/>
    <w:rsid w:val="001426E0"/>
    <w:rsid w:val="00142756"/>
    <w:rsid w:val="0014286F"/>
    <w:rsid w:val="00142937"/>
    <w:rsid w:val="00142A20"/>
    <w:rsid w:val="00142B9A"/>
    <w:rsid w:val="00142D08"/>
    <w:rsid w:val="00143071"/>
    <w:rsid w:val="001431EF"/>
    <w:rsid w:val="001432CF"/>
    <w:rsid w:val="0014352F"/>
    <w:rsid w:val="001435BC"/>
    <w:rsid w:val="00143784"/>
    <w:rsid w:val="00143937"/>
    <w:rsid w:val="00143A0B"/>
    <w:rsid w:val="00143ADD"/>
    <w:rsid w:val="00143B87"/>
    <w:rsid w:val="00143C1E"/>
    <w:rsid w:val="00143E36"/>
    <w:rsid w:val="00144116"/>
    <w:rsid w:val="00144283"/>
    <w:rsid w:val="0014432E"/>
    <w:rsid w:val="00144555"/>
    <w:rsid w:val="0014455E"/>
    <w:rsid w:val="001445D4"/>
    <w:rsid w:val="0014465B"/>
    <w:rsid w:val="001446FC"/>
    <w:rsid w:val="001447A4"/>
    <w:rsid w:val="00144901"/>
    <w:rsid w:val="00144963"/>
    <w:rsid w:val="00144AF1"/>
    <w:rsid w:val="00144B0B"/>
    <w:rsid w:val="00144BEC"/>
    <w:rsid w:val="00144C39"/>
    <w:rsid w:val="00144D8D"/>
    <w:rsid w:val="00144E52"/>
    <w:rsid w:val="00144EA5"/>
    <w:rsid w:val="00144F21"/>
    <w:rsid w:val="0014502B"/>
    <w:rsid w:val="00145096"/>
    <w:rsid w:val="0014517A"/>
    <w:rsid w:val="00145290"/>
    <w:rsid w:val="0014529B"/>
    <w:rsid w:val="00145392"/>
    <w:rsid w:val="0014541B"/>
    <w:rsid w:val="0014544A"/>
    <w:rsid w:val="001455EA"/>
    <w:rsid w:val="0014565B"/>
    <w:rsid w:val="0014579E"/>
    <w:rsid w:val="00145811"/>
    <w:rsid w:val="001458D6"/>
    <w:rsid w:val="00145AF7"/>
    <w:rsid w:val="00145DA2"/>
    <w:rsid w:val="00145DA8"/>
    <w:rsid w:val="00145FBC"/>
    <w:rsid w:val="00145FFD"/>
    <w:rsid w:val="001461E9"/>
    <w:rsid w:val="0014629A"/>
    <w:rsid w:val="0014630E"/>
    <w:rsid w:val="001463A6"/>
    <w:rsid w:val="0014657C"/>
    <w:rsid w:val="0014662B"/>
    <w:rsid w:val="00146761"/>
    <w:rsid w:val="001467EF"/>
    <w:rsid w:val="00146A82"/>
    <w:rsid w:val="00146BA3"/>
    <w:rsid w:val="00146C46"/>
    <w:rsid w:val="00146C4D"/>
    <w:rsid w:val="00146D82"/>
    <w:rsid w:val="00146DBB"/>
    <w:rsid w:val="00147125"/>
    <w:rsid w:val="0014716C"/>
    <w:rsid w:val="001471CC"/>
    <w:rsid w:val="00147355"/>
    <w:rsid w:val="001475FE"/>
    <w:rsid w:val="0014774E"/>
    <w:rsid w:val="001479A7"/>
    <w:rsid w:val="00147A03"/>
    <w:rsid w:val="00147B79"/>
    <w:rsid w:val="00147BB3"/>
    <w:rsid w:val="00147BD8"/>
    <w:rsid w:val="00147BD9"/>
    <w:rsid w:val="00147CC3"/>
    <w:rsid w:val="00147D1F"/>
    <w:rsid w:val="00147D2D"/>
    <w:rsid w:val="00147D66"/>
    <w:rsid w:val="00147D78"/>
    <w:rsid w:val="00147E91"/>
    <w:rsid w:val="00147F86"/>
    <w:rsid w:val="00150184"/>
    <w:rsid w:val="001502F7"/>
    <w:rsid w:val="0015034C"/>
    <w:rsid w:val="0015035C"/>
    <w:rsid w:val="00150360"/>
    <w:rsid w:val="001505F9"/>
    <w:rsid w:val="001506F7"/>
    <w:rsid w:val="00150725"/>
    <w:rsid w:val="001507EC"/>
    <w:rsid w:val="0015089B"/>
    <w:rsid w:val="00150B09"/>
    <w:rsid w:val="00150C7C"/>
    <w:rsid w:val="00150FD1"/>
    <w:rsid w:val="00151055"/>
    <w:rsid w:val="0015123E"/>
    <w:rsid w:val="0015127E"/>
    <w:rsid w:val="0015133F"/>
    <w:rsid w:val="00151388"/>
    <w:rsid w:val="00151540"/>
    <w:rsid w:val="001517CF"/>
    <w:rsid w:val="00151B61"/>
    <w:rsid w:val="00151B65"/>
    <w:rsid w:val="00151B8A"/>
    <w:rsid w:val="00151F73"/>
    <w:rsid w:val="001520FC"/>
    <w:rsid w:val="00152100"/>
    <w:rsid w:val="001522A8"/>
    <w:rsid w:val="001522F2"/>
    <w:rsid w:val="0015230E"/>
    <w:rsid w:val="0015231C"/>
    <w:rsid w:val="0015235B"/>
    <w:rsid w:val="001523B4"/>
    <w:rsid w:val="00152413"/>
    <w:rsid w:val="001524C6"/>
    <w:rsid w:val="001526CF"/>
    <w:rsid w:val="0015273B"/>
    <w:rsid w:val="00152989"/>
    <w:rsid w:val="00152A8E"/>
    <w:rsid w:val="00152BF2"/>
    <w:rsid w:val="00152C1B"/>
    <w:rsid w:val="00152E6F"/>
    <w:rsid w:val="00152EF4"/>
    <w:rsid w:val="00152F08"/>
    <w:rsid w:val="00152F8F"/>
    <w:rsid w:val="00152FC3"/>
    <w:rsid w:val="0015306D"/>
    <w:rsid w:val="00153163"/>
    <w:rsid w:val="0015319A"/>
    <w:rsid w:val="001534F7"/>
    <w:rsid w:val="00153529"/>
    <w:rsid w:val="0015370F"/>
    <w:rsid w:val="0015387D"/>
    <w:rsid w:val="00153890"/>
    <w:rsid w:val="00153BD5"/>
    <w:rsid w:val="00153CA5"/>
    <w:rsid w:val="00153E69"/>
    <w:rsid w:val="0015400B"/>
    <w:rsid w:val="00154107"/>
    <w:rsid w:val="001542E0"/>
    <w:rsid w:val="0015442C"/>
    <w:rsid w:val="00154440"/>
    <w:rsid w:val="0015446D"/>
    <w:rsid w:val="0015458C"/>
    <w:rsid w:val="00154641"/>
    <w:rsid w:val="001546CE"/>
    <w:rsid w:val="00154741"/>
    <w:rsid w:val="001547DE"/>
    <w:rsid w:val="001547E4"/>
    <w:rsid w:val="00154AF3"/>
    <w:rsid w:val="00154B0B"/>
    <w:rsid w:val="00154B1A"/>
    <w:rsid w:val="00154D47"/>
    <w:rsid w:val="00154EF0"/>
    <w:rsid w:val="00154FFC"/>
    <w:rsid w:val="00155196"/>
    <w:rsid w:val="001551B9"/>
    <w:rsid w:val="001551D6"/>
    <w:rsid w:val="001552B0"/>
    <w:rsid w:val="00155437"/>
    <w:rsid w:val="00155479"/>
    <w:rsid w:val="00155804"/>
    <w:rsid w:val="00155984"/>
    <w:rsid w:val="001559D7"/>
    <w:rsid w:val="00155C30"/>
    <w:rsid w:val="00155CAA"/>
    <w:rsid w:val="00155D05"/>
    <w:rsid w:val="00155F29"/>
    <w:rsid w:val="00155F59"/>
    <w:rsid w:val="001561D4"/>
    <w:rsid w:val="00156456"/>
    <w:rsid w:val="001568E1"/>
    <w:rsid w:val="0015690D"/>
    <w:rsid w:val="0015696B"/>
    <w:rsid w:val="00156C14"/>
    <w:rsid w:val="00156CE6"/>
    <w:rsid w:val="00156D76"/>
    <w:rsid w:val="00156F64"/>
    <w:rsid w:val="00156FDE"/>
    <w:rsid w:val="0015742B"/>
    <w:rsid w:val="0015753C"/>
    <w:rsid w:val="00157610"/>
    <w:rsid w:val="001577E4"/>
    <w:rsid w:val="00157A3F"/>
    <w:rsid w:val="00157B92"/>
    <w:rsid w:val="00157CF7"/>
    <w:rsid w:val="00157E75"/>
    <w:rsid w:val="00160295"/>
    <w:rsid w:val="001602C5"/>
    <w:rsid w:val="00160345"/>
    <w:rsid w:val="00160369"/>
    <w:rsid w:val="00160409"/>
    <w:rsid w:val="00160460"/>
    <w:rsid w:val="00160585"/>
    <w:rsid w:val="001606E0"/>
    <w:rsid w:val="001606FD"/>
    <w:rsid w:val="00160758"/>
    <w:rsid w:val="001607AA"/>
    <w:rsid w:val="001609EC"/>
    <w:rsid w:val="00160A6A"/>
    <w:rsid w:val="00160B5C"/>
    <w:rsid w:val="00160C9E"/>
    <w:rsid w:val="00160CA1"/>
    <w:rsid w:val="00160DC1"/>
    <w:rsid w:val="00160E59"/>
    <w:rsid w:val="0016100F"/>
    <w:rsid w:val="0016105E"/>
    <w:rsid w:val="001612A3"/>
    <w:rsid w:val="0016155B"/>
    <w:rsid w:val="001616EB"/>
    <w:rsid w:val="00161781"/>
    <w:rsid w:val="00161869"/>
    <w:rsid w:val="00161893"/>
    <w:rsid w:val="00161956"/>
    <w:rsid w:val="001619E3"/>
    <w:rsid w:val="00161BD8"/>
    <w:rsid w:val="00161D69"/>
    <w:rsid w:val="00161F7D"/>
    <w:rsid w:val="00161FF2"/>
    <w:rsid w:val="00162159"/>
    <w:rsid w:val="001621D9"/>
    <w:rsid w:val="00162333"/>
    <w:rsid w:val="001623F5"/>
    <w:rsid w:val="001623FD"/>
    <w:rsid w:val="00162446"/>
    <w:rsid w:val="00162500"/>
    <w:rsid w:val="0016261A"/>
    <w:rsid w:val="00162707"/>
    <w:rsid w:val="00162797"/>
    <w:rsid w:val="001627CC"/>
    <w:rsid w:val="00162975"/>
    <w:rsid w:val="00162EC7"/>
    <w:rsid w:val="001631BF"/>
    <w:rsid w:val="0016325A"/>
    <w:rsid w:val="00163271"/>
    <w:rsid w:val="00163357"/>
    <w:rsid w:val="001635BC"/>
    <w:rsid w:val="001636EC"/>
    <w:rsid w:val="001637DF"/>
    <w:rsid w:val="00163A9E"/>
    <w:rsid w:val="00163B35"/>
    <w:rsid w:val="00163D72"/>
    <w:rsid w:val="00164017"/>
    <w:rsid w:val="0016415D"/>
    <w:rsid w:val="001641E7"/>
    <w:rsid w:val="00164219"/>
    <w:rsid w:val="001644A5"/>
    <w:rsid w:val="001644D4"/>
    <w:rsid w:val="00164633"/>
    <w:rsid w:val="00164A4B"/>
    <w:rsid w:val="00164B79"/>
    <w:rsid w:val="00164F82"/>
    <w:rsid w:val="00165025"/>
    <w:rsid w:val="0016507D"/>
    <w:rsid w:val="00165256"/>
    <w:rsid w:val="00165261"/>
    <w:rsid w:val="00165297"/>
    <w:rsid w:val="0016537D"/>
    <w:rsid w:val="0016538C"/>
    <w:rsid w:val="0016572F"/>
    <w:rsid w:val="001659CD"/>
    <w:rsid w:val="00165AB7"/>
    <w:rsid w:val="00165B08"/>
    <w:rsid w:val="00165B5A"/>
    <w:rsid w:val="00165BF9"/>
    <w:rsid w:val="00165E14"/>
    <w:rsid w:val="00165E60"/>
    <w:rsid w:val="00165EAE"/>
    <w:rsid w:val="0016608E"/>
    <w:rsid w:val="001662A1"/>
    <w:rsid w:val="001662D3"/>
    <w:rsid w:val="001665C7"/>
    <w:rsid w:val="00166645"/>
    <w:rsid w:val="0016696E"/>
    <w:rsid w:val="0016698E"/>
    <w:rsid w:val="001669E7"/>
    <w:rsid w:val="00166A49"/>
    <w:rsid w:val="00166BEE"/>
    <w:rsid w:val="001670F1"/>
    <w:rsid w:val="0016712E"/>
    <w:rsid w:val="00167240"/>
    <w:rsid w:val="00167528"/>
    <w:rsid w:val="00167654"/>
    <w:rsid w:val="00167900"/>
    <w:rsid w:val="00167981"/>
    <w:rsid w:val="001679B3"/>
    <w:rsid w:val="00167BD7"/>
    <w:rsid w:val="00167C32"/>
    <w:rsid w:val="00167C9E"/>
    <w:rsid w:val="00167E25"/>
    <w:rsid w:val="00167EE3"/>
    <w:rsid w:val="00167F77"/>
    <w:rsid w:val="00170074"/>
    <w:rsid w:val="0017008A"/>
    <w:rsid w:val="00170138"/>
    <w:rsid w:val="00170341"/>
    <w:rsid w:val="001703A6"/>
    <w:rsid w:val="00170426"/>
    <w:rsid w:val="001705F5"/>
    <w:rsid w:val="001708B2"/>
    <w:rsid w:val="0017094B"/>
    <w:rsid w:val="00170C10"/>
    <w:rsid w:val="00170E28"/>
    <w:rsid w:val="00170E67"/>
    <w:rsid w:val="00171002"/>
    <w:rsid w:val="00171022"/>
    <w:rsid w:val="00171240"/>
    <w:rsid w:val="001714F8"/>
    <w:rsid w:val="00171664"/>
    <w:rsid w:val="00171857"/>
    <w:rsid w:val="001718F1"/>
    <w:rsid w:val="00171A4E"/>
    <w:rsid w:val="00171ADC"/>
    <w:rsid w:val="00171BE0"/>
    <w:rsid w:val="00171CE3"/>
    <w:rsid w:val="00171D0F"/>
    <w:rsid w:val="00171E4E"/>
    <w:rsid w:val="00171FD2"/>
    <w:rsid w:val="0017219C"/>
    <w:rsid w:val="001721B7"/>
    <w:rsid w:val="00172407"/>
    <w:rsid w:val="0017245F"/>
    <w:rsid w:val="001724B7"/>
    <w:rsid w:val="0017266D"/>
    <w:rsid w:val="001729F1"/>
    <w:rsid w:val="00172E1D"/>
    <w:rsid w:val="00172F36"/>
    <w:rsid w:val="001731BA"/>
    <w:rsid w:val="00173356"/>
    <w:rsid w:val="001738C2"/>
    <w:rsid w:val="00173975"/>
    <w:rsid w:val="00173B4F"/>
    <w:rsid w:val="00173BEC"/>
    <w:rsid w:val="00173C7A"/>
    <w:rsid w:val="00173C81"/>
    <w:rsid w:val="00173E24"/>
    <w:rsid w:val="00173E8C"/>
    <w:rsid w:val="00173FBC"/>
    <w:rsid w:val="00173FE8"/>
    <w:rsid w:val="001740C4"/>
    <w:rsid w:val="001740C5"/>
    <w:rsid w:val="00174565"/>
    <w:rsid w:val="0017476A"/>
    <w:rsid w:val="0017476C"/>
    <w:rsid w:val="00174D78"/>
    <w:rsid w:val="00174F23"/>
    <w:rsid w:val="00174F6B"/>
    <w:rsid w:val="00174F96"/>
    <w:rsid w:val="00175034"/>
    <w:rsid w:val="0017503C"/>
    <w:rsid w:val="0017507C"/>
    <w:rsid w:val="001750A4"/>
    <w:rsid w:val="00175135"/>
    <w:rsid w:val="001753FF"/>
    <w:rsid w:val="0017559B"/>
    <w:rsid w:val="00175713"/>
    <w:rsid w:val="001758F1"/>
    <w:rsid w:val="00175BC6"/>
    <w:rsid w:val="00175E3A"/>
    <w:rsid w:val="00176279"/>
    <w:rsid w:val="00176301"/>
    <w:rsid w:val="001763A6"/>
    <w:rsid w:val="001763B7"/>
    <w:rsid w:val="001765E6"/>
    <w:rsid w:val="00176617"/>
    <w:rsid w:val="00176729"/>
    <w:rsid w:val="00176AEE"/>
    <w:rsid w:val="00176BE3"/>
    <w:rsid w:val="00176BFA"/>
    <w:rsid w:val="00176F4A"/>
    <w:rsid w:val="00176FDB"/>
    <w:rsid w:val="001772E4"/>
    <w:rsid w:val="00177529"/>
    <w:rsid w:val="00177698"/>
    <w:rsid w:val="001777E9"/>
    <w:rsid w:val="001778FA"/>
    <w:rsid w:val="001778FD"/>
    <w:rsid w:val="00177A46"/>
    <w:rsid w:val="00177AB6"/>
    <w:rsid w:val="00177CB4"/>
    <w:rsid w:val="00177E60"/>
    <w:rsid w:val="0018007B"/>
    <w:rsid w:val="0018018B"/>
    <w:rsid w:val="001804DD"/>
    <w:rsid w:val="00180508"/>
    <w:rsid w:val="001805C2"/>
    <w:rsid w:val="00180712"/>
    <w:rsid w:val="00180803"/>
    <w:rsid w:val="001808BB"/>
    <w:rsid w:val="001809C0"/>
    <w:rsid w:val="00180A53"/>
    <w:rsid w:val="00180C82"/>
    <w:rsid w:val="00180D58"/>
    <w:rsid w:val="00180E71"/>
    <w:rsid w:val="00180F04"/>
    <w:rsid w:val="00180FD6"/>
    <w:rsid w:val="0018107D"/>
    <w:rsid w:val="001810A6"/>
    <w:rsid w:val="0018115B"/>
    <w:rsid w:val="001811E8"/>
    <w:rsid w:val="00181331"/>
    <w:rsid w:val="0018143A"/>
    <w:rsid w:val="00181A72"/>
    <w:rsid w:val="00181A7A"/>
    <w:rsid w:val="00181ABF"/>
    <w:rsid w:val="00181B81"/>
    <w:rsid w:val="00181CA7"/>
    <w:rsid w:val="00181DC8"/>
    <w:rsid w:val="00182215"/>
    <w:rsid w:val="001824C6"/>
    <w:rsid w:val="001824F9"/>
    <w:rsid w:val="00182680"/>
    <w:rsid w:val="001827B0"/>
    <w:rsid w:val="001827D0"/>
    <w:rsid w:val="00182819"/>
    <w:rsid w:val="001828F4"/>
    <w:rsid w:val="00182A0C"/>
    <w:rsid w:val="00182B81"/>
    <w:rsid w:val="00182CA2"/>
    <w:rsid w:val="00182EBD"/>
    <w:rsid w:val="0018308C"/>
    <w:rsid w:val="0018335B"/>
    <w:rsid w:val="001835A4"/>
    <w:rsid w:val="001835AD"/>
    <w:rsid w:val="0018378E"/>
    <w:rsid w:val="001837D4"/>
    <w:rsid w:val="00183838"/>
    <w:rsid w:val="0018388D"/>
    <w:rsid w:val="00183B90"/>
    <w:rsid w:val="00184225"/>
    <w:rsid w:val="00184249"/>
    <w:rsid w:val="001842DA"/>
    <w:rsid w:val="001843FF"/>
    <w:rsid w:val="001847B9"/>
    <w:rsid w:val="0018487B"/>
    <w:rsid w:val="00184BA2"/>
    <w:rsid w:val="00184C7A"/>
    <w:rsid w:val="00184C9F"/>
    <w:rsid w:val="00184D2A"/>
    <w:rsid w:val="00184DA9"/>
    <w:rsid w:val="00184DCC"/>
    <w:rsid w:val="0018505D"/>
    <w:rsid w:val="0018515D"/>
    <w:rsid w:val="0018516E"/>
    <w:rsid w:val="00185191"/>
    <w:rsid w:val="00185361"/>
    <w:rsid w:val="0018556D"/>
    <w:rsid w:val="00185808"/>
    <w:rsid w:val="00185969"/>
    <w:rsid w:val="001859A3"/>
    <w:rsid w:val="00185A75"/>
    <w:rsid w:val="00185B09"/>
    <w:rsid w:val="00185D4B"/>
    <w:rsid w:val="00185DE4"/>
    <w:rsid w:val="001860FD"/>
    <w:rsid w:val="00186259"/>
    <w:rsid w:val="00186281"/>
    <w:rsid w:val="0018637C"/>
    <w:rsid w:val="00186470"/>
    <w:rsid w:val="00186547"/>
    <w:rsid w:val="0018668E"/>
    <w:rsid w:val="00186818"/>
    <w:rsid w:val="001869F0"/>
    <w:rsid w:val="00186BC6"/>
    <w:rsid w:val="00186BF1"/>
    <w:rsid w:val="00186C73"/>
    <w:rsid w:val="00186D34"/>
    <w:rsid w:val="00186D43"/>
    <w:rsid w:val="00186DC2"/>
    <w:rsid w:val="001872BD"/>
    <w:rsid w:val="00187303"/>
    <w:rsid w:val="00187369"/>
    <w:rsid w:val="00187759"/>
    <w:rsid w:val="00187819"/>
    <w:rsid w:val="00187833"/>
    <w:rsid w:val="001878C2"/>
    <w:rsid w:val="00187B45"/>
    <w:rsid w:val="0019000E"/>
    <w:rsid w:val="00190080"/>
    <w:rsid w:val="001900C8"/>
    <w:rsid w:val="00190183"/>
    <w:rsid w:val="00190357"/>
    <w:rsid w:val="0019045E"/>
    <w:rsid w:val="0019073F"/>
    <w:rsid w:val="001907C1"/>
    <w:rsid w:val="00190975"/>
    <w:rsid w:val="00190BAD"/>
    <w:rsid w:val="00190C69"/>
    <w:rsid w:val="00190C9B"/>
    <w:rsid w:val="00190D17"/>
    <w:rsid w:val="00190F2D"/>
    <w:rsid w:val="00190FF0"/>
    <w:rsid w:val="0019118D"/>
    <w:rsid w:val="001912D9"/>
    <w:rsid w:val="0019162C"/>
    <w:rsid w:val="00191656"/>
    <w:rsid w:val="0019182B"/>
    <w:rsid w:val="00191852"/>
    <w:rsid w:val="00191960"/>
    <w:rsid w:val="00191A73"/>
    <w:rsid w:val="00191A88"/>
    <w:rsid w:val="00191D44"/>
    <w:rsid w:val="00191EC6"/>
    <w:rsid w:val="00191ECE"/>
    <w:rsid w:val="00191F5D"/>
    <w:rsid w:val="0019257D"/>
    <w:rsid w:val="001928B1"/>
    <w:rsid w:val="001929B8"/>
    <w:rsid w:val="00192B4E"/>
    <w:rsid w:val="00192C8E"/>
    <w:rsid w:val="00193023"/>
    <w:rsid w:val="00193056"/>
    <w:rsid w:val="0019309F"/>
    <w:rsid w:val="0019310C"/>
    <w:rsid w:val="0019311B"/>
    <w:rsid w:val="001931C0"/>
    <w:rsid w:val="00193234"/>
    <w:rsid w:val="0019329E"/>
    <w:rsid w:val="00193568"/>
    <w:rsid w:val="00193618"/>
    <w:rsid w:val="00193654"/>
    <w:rsid w:val="00193682"/>
    <w:rsid w:val="0019368A"/>
    <w:rsid w:val="001938AB"/>
    <w:rsid w:val="001938F0"/>
    <w:rsid w:val="00193A64"/>
    <w:rsid w:val="00193D2F"/>
    <w:rsid w:val="00193D48"/>
    <w:rsid w:val="00193D60"/>
    <w:rsid w:val="00193E11"/>
    <w:rsid w:val="00193EC1"/>
    <w:rsid w:val="001940A3"/>
    <w:rsid w:val="00194477"/>
    <w:rsid w:val="001944D0"/>
    <w:rsid w:val="0019460D"/>
    <w:rsid w:val="00194801"/>
    <w:rsid w:val="0019499D"/>
    <w:rsid w:val="00194D25"/>
    <w:rsid w:val="00194EC8"/>
    <w:rsid w:val="00194F26"/>
    <w:rsid w:val="00194F78"/>
    <w:rsid w:val="00195001"/>
    <w:rsid w:val="00195184"/>
    <w:rsid w:val="001951AD"/>
    <w:rsid w:val="001951B3"/>
    <w:rsid w:val="00195209"/>
    <w:rsid w:val="001952F6"/>
    <w:rsid w:val="00195343"/>
    <w:rsid w:val="001953FD"/>
    <w:rsid w:val="00195457"/>
    <w:rsid w:val="0019546F"/>
    <w:rsid w:val="001957D2"/>
    <w:rsid w:val="00195832"/>
    <w:rsid w:val="001959BA"/>
    <w:rsid w:val="00195A8C"/>
    <w:rsid w:val="00195B0F"/>
    <w:rsid w:val="00195B56"/>
    <w:rsid w:val="00195BE7"/>
    <w:rsid w:val="00195CCA"/>
    <w:rsid w:val="00195DC7"/>
    <w:rsid w:val="00195F89"/>
    <w:rsid w:val="00195FEB"/>
    <w:rsid w:val="00196031"/>
    <w:rsid w:val="0019604E"/>
    <w:rsid w:val="00196215"/>
    <w:rsid w:val="0019630F"/>
    <w:rsid w:val="00196458"/>
    <w:rsid w:val="00196468"/>
    <w:rsid w:val="00196554"/>
    <w:rsid w:val="00196576"/>
    <w:rsid w:val="00196925"/>
    <w:rsid w:val="00196A4F"/>
    <w:rsid w:val="00196A88"/>
    <w:rsid w:val="00196B0A"/>
    <w:rsid w:val="00196D21"/>
    <w:rsid w:val="00196DB9"/>
    <w:rsid w:val="001973F2"/>
    <w:rsid w:val="001976CB"/>
    <w:rsid w:val="0019770C"/>
    <w:rsid w:val="00197775"/>
    <w:rsid w:val="001977B5"/>
    <w:rsid w:val="00197849"/>
    <w:rsid w:val="00197904"/>
    <w:rsid w:val="00197BEE"/>
    <w:rsid w:val="00197F12"/>
    <w:rsid w:val="001A011D"/>
    <w:rsid w:val="001A01A6"/>
    <w:rsid w:val="001A0320"/>
    <w:rsid w:val="001A065F"/>
    <w:rsid w:val="001A0676"/>
    <w:rsid w:val="001A06D6"/>
    <w:rsid w:val="001A06F1"/>
    <w:rsid w:val="001A0873"/>
    <w:rsid w:val="001A0894"/>
    <w:rsid w:val="001A08E0"/>
    <w:rsid w:val="001A09EC"/>
    <w:rsid w:val="001A0B36"/>
    <w:rsid w:val="001A0BCB"/>
    <w:rsid w:val="001A0C24"/>
    <w:rsid w:val="001A0C4B"/>
    <w:rsid w:val="001A0C7E"/>
    <w:rsid w:val="001A0D08"/>
    <w:rsid w:val="001A0E37"/>
    <w:rsid w:val="001A0EBF"/>
    <w:rsid w:val="001A0FC6"/>
    <w:rsid w:val="001A13FF"/>
    <w:rsid w:val="001A1407"/>
    <w:rsid w:val="001A1580"/>
    <w:rsid w:val="001A15E9"/>
    <w:rsid w:val="001A16C5"/>
    <w:rsid w:val="001A17C1"/>
    <w:rsid w:val="001A1815"/>
    <w:rsid w:val="001A1898"/>
    <w:rsid w:val="001A1A7A"/>
    <w:rsid w:val="001A1E2A"/>
    <w:rsid w:val="001A214E"/>
    <w:rsid w:val="001A220A"/>
    <w:rsid w:val="001A224D"/>
    <w:rsid w:val="001A2793"/>
    <w:rsid w:val="001A27EA"/>
    <w:rsid w:val="001A27FE"/>
    <w:rsid w:val="001A283D"/>
    <w:rsid w:val="001A2A6A"/>
    <w:rsid w:val="001A2D2E"/>
    <w:rsid w:val="001A2FE4"/>
    <w:rsid w:val="001A3083"/>
    <w:rsid w:val="001A316D"/>
    <w:rsid w:val="001A31CF"/>
    <w:rsid w:val="001A31F3"/>
    <w:rsid w:val="001A3226"/>
    <w:rsid w:val="001A3364"/>
    <w:rsid w:val="001A33EB"/>
    <w:rsid w:val="001A3420"/>
    <w:rsid w:val="001A3447"/>
    <w:rsid w:val="001A353D"/>
    <w:rsid w:val="001A3576"/>
    <w:rsid w:val="001A3596"/>
    <w:rsid w:val="001A3760"/>
    <w:rsid w:val="001A38DF"/>
    <w:rsid w:val="001A3DAA"/>
    <w:rsid w:val="001A3E37"/>
    <w:rsid w:val="001A3EAA"/>
    <w:rsid w:val="001A414E"/>
    <w:rsid w:val="001A43EF"/>
    <w:rsid w:val="001A442A"/>
    <w:rsid w:val="001A4503"/>
    <w:rsid w:val="001A4534"/>
    <w:rsid w:val="001A4586"/>
    <w:rsid w:val="001A476B"/>
    <w:rsid w:val="001A4BA5"/>
    <w:rsid w:val="001A4C80"/>
    <w:rsid w:val="001A4E88"/>
    <w:rsid w:val="001A5004"/>
    <w:rsid w:val="001A5237"/>
    <w:rsid w:val="001A5250"/>
    <w:rsid w:val="001A52D7"/>
    <w:rsid w:val="001A52DC"/>
    <w:rsid w:val="001A53D5"/>
    <w:rsid w:val="001A5527"/>
    <w:rsid w:val="001A55BD"/>
    <w:rsid w:val="001A5800"/>
    <w:rsid w:val="001A584F"/>
    <w:rsid w:val="001A58B8"/>
    <w:rsid w:val="001A597B"/>
    <w:rsid w:val="001A5A37"/>
    <w:rsid w:val="001A5F97"/>
    <w:rsid w:val="001A6004"/>
    <w:rsid w:val="001A62A8"/>
    <w:rsid w:val="001A63E8"/>
    <w:rsid w:val="001A6451"/>
    <w:rsid w:val="001A6975"/>
    <w:rsid w:val="001A6BAD"/>
    <w:rsid w:val="001A6C64"/>
    <w:rsid w:val="001A6DFA"/>
    <w:rsid w:val="001A6FED"/>
    <w:rsid w:val="001A70B9"/>
    <w:rsid w:val="001A71F9"/>
    <w:rsid w:val="001A7202"/>
    <w:rsid w:val="001A728A"/>
    <w:rsid w:val="001A7308"/>
    <w:rsid w:val="001A75B9"/>
    <w:rsid w:val="001A7713"/>
    <w:rsid w:val="001A7788"/>
    <w:rsid w:val="001A77AF"/>
    <w:rsid w:val="001A77B9"/>
    <w:rsid w:val="001A78D0"/>
    <w:rsid w:val="001A78F4"/>
    <w:rsid w:val="001A790D"/>
    <w:rsid w:val="001A7BB6"/>
    <w:rsid w:val="001A7BEC"/>
    <w:rsid w:val="001A7E5F"/>
    <w:rsid w:val="001A7EFE"/>
    <w:rsid w:val="001B0031"/>
    <w:rsid w:val="001B0170"/>
    <w:rsid w:val="001B01BB"/>
    <w:rsid w:val="001B0252"/>
    <w:rsid w:val="001B057B"/>
    <w:rsid w:val="001B05C2"/>
    <w:rsid w:val="001B0618"/>
    <w:rsid w:val="001B0761"/>
    <w:rsid w:val="001B0966"/>
    <w:rsid w:val="001B09A7"/>
    <w:rsid w:val="001B0BD6"/>
    <w:rsid w:val="001B0BE1"/>
    <w:rsid w:val="001B110D"/>
    <w:rsid w:val="001B114D"/>
    <w:rsid w:val="001B12FE"/>
    <w:rsid w:val="001B13F8"/>
    <w:rsid w:val="001B1420"/>
    <w:rsid w:val="001B1678"/>
    <w:rsid w:val="001B17C6"/>
    <w:rsid w:val="001B1862"/>
    <w:rsid w:val="001B1942"/>
    <w:rsid w:val="001B19CC"/>
    <w:rsid w:val="001B1A19"/>
    <w:rsid w:val="001B1A6F"/>
    <w:rsid w:val="001B1B1F"/>
    <w:rsid w:val="001B1EB7"/>
    <w:rsid w:val="001B1F04"/>
    <w:rsid w:val="001B1FEF"/>
    <w:rsid w:val="001B21DA"/>
    <w:rsid w:val="001B22C8"/>
    <w:rsid w:val="001B251A"/>
    <w:rsid w:val="001B25B2"/>
    <w:rsid w:val="001B260E"/>
    <w:rsid w:val="001B28C0"/>
    <w:rsid w:val="001B2A2F"/>
    <w:rsid w:val="001B2A98"/>
    <w:rsid w:val="001B2D30"/>
    <w:rsid w:val="001B3023"/>
    <w:rsid w:val="001B34B0"/>
    <w:rsid w:val="001B35EA"/>
    <w:rsid w:val="001B3A1D"/>
    <w:rsid w:val="001B3B14"/>
    <w:rsid w:val="001B3CC3"/>
    <w:rsid w:val="001B3D19"/>
    <w:rsid w:val="001B3D1D"/>
    <w:rsid w:val="001B3DDF"/>
    <w:rsid w:val="001B3E0E"/>
    <w:rsid w:val="001B40F0"/>
    <w:rsid w:val="001B417F"/>
    <w:rsid w:val="001B4398"/>
    <w:rsid w:val="001B43FF"/>
    <w:rsid w:val="001B4486"/>
    <w:rsid w:val="001B44AC"/>
    <w:rsid w:val="001B458F"/>
    <w:rsid w:val="001B46AD"/>
    <w:rsid w:val="001B46D7"/>
    <w:rsid w:val="001B46E9"/>
    <w:rsid w:val="001B4736"/>
    <w:rsid w:val="001B48C9"/>
    <w:rsid w:val="001B48F8"/>
    <w:rsid w:val="001B4AD4"/>
    <w:rsid w:val="001B4CEF"/>
    <w:rsid w:val="001B4DA5"/>
    <w:rsid w:val="001B4DC4"/>
    <w:rsid w:val="001B4DC8"/>
    <w:rsid w:val="001B4EB5"/>
    <w:rsid w:val="001B4F5D"/>
    <w:rsid w:val="001B4FD7"/>
    <w:rsid w:val="001B501A"/>
    <w:rsid w:val="001B5098"/>
    <w:rsid w:val="001B523E"/>
    <w:rsid w:val="001B5332"/>
    <w:rsid w:val="001B53A0"/>
    <w:rsid w:val="001B53B9"/>
    <w:rsid w:val="001B55BF"/>
    <w:rsid w:val="001B562A"/>
    <w:rsid w:val="001B56F4"/>
    <w:rsid w:val="001B570A"/>
    <w:rsid w:val="001B5892"/>
    <w:rsid w:val="001B5986"/>
    <w:rsid w:val="001B5AB7"/>
    <w:rsid w:val="001B5B7E"/>
    <w:rsid w:val="001B5BC8"/>
    <w:rsid w:val="001B5D29"/>
    <w:rsid w:val="001B5E50"/>
    <w:rsid w:val="001B5F98"/>
    <w:rsid w:val="001B60D6"/>
    <w:rsid w:val="001B61BC"/>
    <w:rsid w:val="001B639B"/>
    <w:rsid w:val="001B654A"/>
    <w:rsid w:val="001B6604"/>
    <w:rsid w:val="001B6777"/>
    <w:rsid w:val="001B6797"/>
    <w:rsid w:val="001B67AF"/>
    <w:rsid w:val="001B67BA"/>
    <w:rsid w:val="001B686D"/>
    <w:rsid w:val="001B6A1C"/>
    <w:rsid w:val="001B6BFF"/>
    <w:rsid w:val="001B6DC4"/>
    <w:rsid w:val="001B6E1F"/>
    <w:rsid w:val="001B6E64"/>
    <w:rsid w:val="001B71E9"/>
    <w:rsid w:val="001B75E4"/>
    <w:rsid w:val="001B7648"/>
    <w:rsid w:val="001B7786"/>
    <w:rsid w:val="001B79BF"/>
    <w:rsid w:val="001B7ADA"/>
    <w:rsid w:val="001B7C5C"/>
    <w:rsid w:val="001B7E80"/>
    <w:rsid w:val="001C0029"/>
    <w:rsid w:val="001C0147"/>
    <w:rsid w:val="001C0177"/>
    <w:rsid w:val="001C0384"/>
    <w:rsid w:val="001C0541"/>
    <w:rsid w:val="001C05C5"/>
    <w:rsid w:val="001C064F"/>
    <w:rsid w:val="001C0841"/>
    <w:rsid w:val="001C08F3"/>
    <w:rsid w:val="001C0B2A"/>
    <w:rsid w:val="001C0C89"/>
    <w:rsid w:val="001C0CEF"/>
    <w:rsid w:val="001C0D2E"/>
    <w:rsid w:val="001C0DB5"/>
    <w:rsid w:val="001C0DF5"/>
    <w:rsid w:val="001C0EEA"/>
    <w:rsid w:val="001C0F86"/>
    <w:rsid w:val="001C1209"/>
    <w:rsid w:val="001C12D6"/>
    <w:rsid w:val="001C1342"/>
    <w:rsid w:val="001C1600"/>
    <w:rsid w:val="001C182E"/>
    <w:rsid w:val="001C1835"/>
    <w:rsid w:val="001C18C2"/>
    <w:rsid w:val="001C1916"/>
    <w:rsid w:val="001C19F4"/>
    <w:rsid w:val="001C1A81"/>
    <w:rsid w:val="001C1ADA"/>
    <w:rsid w:val="001C1DF2"/>
    <w:rsid w:val="001C1E5D"/>
    <w:rsid w:val="001C2029"/>
    <w:rsid w:val="001C21DA"/>
    <w:rsid w:val="001C22FC"/>
    <w:rsid w:val="001C239F"/>
    <w:rsid w:val="001C242E"/>
    <w:rsid w:val="001C245E"/>
    <w:rsid w:val="001C24E6"/>
    <w:rsid w:val="001C26A5"/>
    <w:rsid w:val="001C28DA"/>
    <w:rsid w:val="001C2A64"/>
    <w:rsid w:val="001C2D26"/>
    <w:rsid w:val="001C2E31"/>
    <w:rsid w:val="001C2E77"/>
    <w:rsid w:val="001C2EEC"/>
    <w:rsid w:val="001C31A1"/>
    <w:rsid w:val="001C31D9"/>
    <w:rsid w:val="001C3218"/>
    <w:rsid w:val="001C341F"/>
    <w:rsid w:val="001C3628"/>
    <w:rsid w:val="001C36BC"/>
    <w:rsid w:val="001C3712"/>
    <w:rsid w:val="001C3737"/>
    <w:rsid w:val="001C39E5"/>
    <w:rsid w:val="001C3AB6"/>
    <w:rsid w:val="001C3B4A"/>
    <w:rsid w:val="001C3BB9"/>
    <w:rsid w:val="001C3CC0"/>
    <w:rsid w:val="001C3CFA"/>
    <w:rsid w:val="001C3F8E"/>
    <w:rsid w:val="001C3FC0"/>
    <w:rsid w:val="001C3FF8"/>
    <w:rsid w:val="001C4094"/>
    <w:rsid w:val="001C40E6"/>
    <w:rsid w:val="001C410F"/>
    <w:rsid w:val="001C421B"/>
    <w:rsid w:val="001C4368"/>
    <w:rsid w:val="001C43BF"/>
    <w:rsid w:val="001C43E7"/>
    <w:rsid w:val="001C458E"/>
    <w:rsid w:val="001C459F"/>
    <w:rsid w:val="001C4789"/>
    <w:rsid w:val="001C48D8"/>
    <w:rsid w:val="001C4A4F"/>
    <w:rsid w:val="001C4B80"/>
    <w:rsid w:val="001C4BEB"/>
    <w:rsid w:val="001C4D5F"/>
    <w:rsid w:val="001C4D9D"/>
    <w:rsid w:val="001C4F42"/>
    <w:rsid w:val="001C5223"/>
    <w:rsid w:val="001C52A4"/>
    <w:rsid w:val="001C52D0"/>
    <w:rsid w:val="001C5377"/>
    <w:rsid w:val="001C537E"/>
    <w:rsid w:val="001C5475"/>
    <w:rsid w:val="001C5536"/>
    <w:rsid w:val="001C5616"/>
    <w:rsid w:val="001C5867"/>
    <w:rsid w:val="001C5A18"/>
    <w:rsid w:val="001C5B29"/>
    <w:rsid w:val="001C5C64"/>
    <w:rsid w:val="001C5CA3"/>
    <w:rsid w:val="001C5EB5"/>
    <w:rsid w:val="001C6015"/>
    <w:rsid w:val="001C6047"/>
    <w:rsid w:val="001C60A5"/>
    <w:rsid w:val="001C60D9"/>
    <w:rsid w:val="001C61B8"/>
    <w:rsid w:val="001C61E9"/>
    <w:rsid w:val="001C63F2"/>
    <w:rsid w:val="001C6682"/>
    <w:rsid w:val="001C6716"/>
    <w:rsid w:val="001C6883"/>
    <w:rsid w:val="001C6912"/>
    <w:rsid w:val="001C6AFA"/>
    <w:rsid w:val="001C6D42"/>
    <w:rsid w:val="001C6FE2"/>
    <w:rsid w:val="001C70BC"/>
    <w:rsid w:val="001C7247"/>
    <w:rsid w:val="001C724E"/>
    <w:rsid w:val="001C73FF"/>
    <w:rsid w:val="001C74EA"/>
    <w:rsid w:val="001C787E"/>
    <w:rsid w:val="001C78B7"/>
    <w:rsid w:val="001C7968"/>
    <w:rsid w:val="001C7C38"/>
    <w:rsid w:val="001C7DC5"/>
    <w:rsid w:val="001C7EF9"/>
    <w:rsid w:val="001C7F14"/>
    <w:rsid w:val="001C7F23"/>
    <w:rsid w:val="001D0029"/>
    <w:rsid w:val="001D0056"/>
    <w:rsid w:val="001D0082"/>
    <w:rsid w:val="001D0193"/>
    <w:rsid w:val="001D031E"/>
    <w:rsid w:val="001D044D"/>
    <w:rsid w:val="001D0535"/>
    <w:rsid w:val="001D0760"/>
    <w:rsid w:val="001D0785"/>
    <w:rsid w:val="001D0857"/>
    <w:rsid w:val="001D0956"/>
    <w:rsid w:val="001D0AFC"/>
    <w:rsid w:val="001D0BE3"/>
    <w:rsid w:val="001D0C34"/>
    <w:rsid w:val="001D0C98"/>
    <w:rsid w:val="001D0E9C"/>
    <w:rsid w:val="001D0FFC"/>
    <w:rsid w:val="001D104C"/>
    <w:rsid w:val="001D10A1"/>
    <w:rsid w:val="001D11B0"/>
    <w:rsid w:val="001D1466"/>
    <w:rsid w:val="001D1579"/>
    <w:rsid w:val="001D15FC"/>
    <w:rsid w:val="001D1A64"/>
    <w:rsid w:val="001D1AD5"/>
    <w:rsid w:val="001D1B30"/>
    <w:rsid w:val="001D1CDD"/>
    <w:rsid w:val="001D1D57"/>
    <w:rsid w:val="001D1E67"/>
    <w:rsid w:val="001D1E95"/>
    <w:rsid w:val="001D1F0D"/>
    <w:rsid w:val="001D203B"/>
    <w:rsid w:val="001D21D5"/>
    <w:rsid w:val="001D2490"/>
    <w:rsid w:val="001D24FA"/>
    <w:rsid w:val="001D25EB"/>
    <w:rsid w:val="001D27AB"/>
    <w:rsid w:val="001D27BC"/>
    <w:rsid w:val="001D2941"/>
    <w:rsid w:val="001D2B72"/>
    <w:rsid w:val="001D2C0D"/>
    <w:rsid w:val="001D2E23"/>
    <w:rsid w:val="001D3097"/>
    <w:rsid w:val="001D30F1"/>
    <w:rsid w:val="001D3288"/>
    <w:rsid w:val="001D348A"/>
    <w:rsid w:val="001D359F"/>
    <w:rsid w:val="001D3647"/>
    <w:rsid w:val="001D36B1"/>
    <w:rsid w:val="001D36C5"/>
    <w:rsid w:val="001D3736"/>
    <w:rsid w:val="001D3826"/>
    <w:rsid w:val="001D3961"/>
    <w:rsid w:val="001D3B6F"/>
    <w:rsid w:val="001D3C18"/>
    <w:rsid w:val="001D3D76"/>
    <w:rsid w:val="001D3D97"/>
    <w:rsid w:val="001D3E24"/>
    <w:rsid w:val="001D3F2F"/>
    <w:rsid w:val="001D3F76"/>
    <w:rsid w:val="001D40B5"/>
    <w:rsid w:val="001D415E"/>
    <w:rsid w:val="001D422C"/>
    <w:rsid w:val="001D4239"/>
    <w:rsid w:val="001D43FB"/>
    <w:rsid w:val="001D469B"/>
    <w:rsid w:val="001D4710"/>
    <w:rsid w:val="001D4745"/>
    <w:rsid w:val="001D4AC3"/>
    <w:rsid w:val="001D4BE5"/>
    <w:rsid w:val="001D4D15"/>
    <w:rsid w:val="001D4E86"/>
    <w:rsid w:val="001D4FA3"/>
    <w:rsid w:val="001D5235"/>
    <w:rsid w:val="001D52C0"/>
    <w:rsid w:val="001D539F"/>
    <w:rsid w:val="001D53C4"/>
    <w:rsid w:val="001D54B2"/>
    <w:rsid w:val="001D551B"/>
    <w:rsid w:val="001D55F0"/>
    <w:rsid w:val="001D572C"/>
    <w:rsid w:val="001D5798"/>
    <w:rsid w:val="001D57B5"/>
    <w:rsid w:val="001D59CE"/>
    <w:rsid w:val="001D5A44"/>
    <w:rsid w:val="001D5BF5"/>
    <w:rsid w:val="001D5E41"/>
    <w:rsid w:val="001D5E64"/>
    <w:rsid w:val="001D5F7C"/>
    <w:rsid w:val="001D5FAC"/>
    <w:rsid w:val="001D603A"/>
    <w:rsid w:val="001D6244"/>
    <w:rsid w:val="001D632D"/>
    <w:rsid w:val="001D63BE"/>
    <w:rsid w:val="001D63EC"/>
    <w:rsid w:val="001D6488"/>
    <w:rsid w:val="001D6675"/>
    <w:rsid w:val="001D67B2"/>
    <w:rsid w:val="001D696C"/>
    <w:rsid w:val="001D6A06"/>
    <w:rsid w:val="001D6E95"/>
    <w:rsid w:val="001D6FF5"/>
    <w:rsid w:val="001D7003"/>
    <w:rsid w:val="001D703F"/>
    <w:rsid w:val="001D710E"/>
    <w:rsid w:val="001D7180"/>
    <w:rsid w:val="001D73B0"/>
    <w:rsid w:val="001D7589"/>
    <w:rsid w:val="001D7709"/>
    <w:rsid w:val="001D7867"/>
    <w:rsid w:val="001D78D7"/>
    <w:rsid w:val="001D7C86"/>
    <w:rsid w:val="001D7E30"/>
    <w:rsid w:val="001D7ED8"/>
    <w:rsid w:val="001E002F"/>
    <w:rsid w:val="001E00B7"/>
    <w:rsid w:val="001E00C4"/>
    <w:rsid w:val="001E0302"/>
    <w:rsid w:val="001E0327"/>
    <w:rsid w:val="001E052B"/>
    <w:rsid w:val="001E07E7"/>
    <w:rsid w:val="001E0C05"/>
    <w:rsid w:val="001E0D0E"/>
    <w:rsid w:val="001E0DEB"/>
    <w:rsid w:val="001E0E27"/>
    <w:rsid w:val="001E1079"/>
    <w:rsid w:val="001E1206"/>
    <w:rsid w:val="001E1605"/>
    <w:rsid w:val="001E1686"/>
    <w:rsid w:val="001E1818"/>
    <w:rsid w:val="001E18A8"/>
    <w:rsid w:val="001E1A92"/>
    <w:rsid w:val="001E1AB0"/>
    <w:rsid w:val="001E1BF9"/>
    <w:rsid w:val="001E1C26"/>
    <w:rsid w:val="001E1C2D"/>
    <w:rsid w:val="001E1C35"/>
    <w:rsid w:val="001E1DEE"/>
    <w:rsid w:val="001E1EC8"/>
    <w:rsid w:val="001E1F3D"/>
    <w:rsid w:val="001E1FEF"/>
    <w:rsid w:val="001E207C"/>
    <w:rsid w:val="001E21FA"/>
    <w:rsid w:val="001E2374"/>
    <w:rsid w:val="001E2436"/>
    <w:rsid w:val="001E2479"/>
    <w:rsid w:val="001E2698"/>
    <w:rsid w:val="001E26B9"/>
    <w:rsid w:val="001E2870"/>
    <w:rsid w:val="001E293D"/>
    <w:rsid w:val="001E2A2B"/>
    <w:rsid w:val="001E2C7D"/>
    <w:rsid w:val="001E2CB9"/>
    <w:rsid w:val="001E2DE7"/>
    <w:rsid w:val="001E2E32"/>
    <w:rsid w:val="001E2EEA"/>
    <w:rsid w:val="001E2FD1"/>
    <w:rsid w:val="001E301A"/>
    <w:rsid w:val="001E301D"/>
    <w:rsid w:val="001E3181"/>
    <w:rsid w:val="001E31A6"/>
    <w:rsid w:val="001E3296"/>
    <w:rsid w:val="001E3348"/>
    <w:rsid w:val="001E3457"/>
    <w:rsid w:val="001E3B2C"/>
    <w:rsid w:val="001E3EC4"/>
    <w:rsid w:val="001E3FB3"/>
    <w:rsid w:val="001E3FBC"/>
    <w:rsid w:val="001E4143"/>
    <w:rsid w:val="001E4283"/>
    <w:rsid w:val="001E4285"/>
    <w:rsid w:val="001E46D4"/>
    <w:rsid w:val="001E47E1"/>
    <w:rsid w:val="001E4968"/>
    <w:rsid w:val="001E4A3D"/>
    <w:rsid w:val="001E4B0C"/>
    <w:rsid w:val="001E4B21"/>
    <w:rsid w:val="001E4C6B"/>
    <w:rsid w:val="001E52B3"/>
    <w:rsid w:val="001E541E"/>
    <w:rsid w:val="001E5434"/>
    <w:rsid w:val="001E5440"/>
    <w:rsid w:val="001E54C9"/>
    <w:rsid w:val="001E5532"/>
    <w:rsid w:val="001E5590"/>
    <w:rsid w:val="001E56EA"/>
    <w:rsid w:val="001E5761"/>
    <w:rsid w:val="001E580D"/>
    <w:rsid w:val="001E5A0F"/>
    <w:rsid w:val="001E5A49"/>
    <w:rsid w:val="001E5C1C"/>
    <w:rsid w:val="001E5D63"/>
    <w:rsid w:val="001E5D98"/>
    <w:rsid w:val="001E5FD9"/>
    <w:rsid w:val="001E6172"/>
    <w:rsid w:val="001E629E"/>
    <w:rsid w:val="001E66AA"/>
    <w:rsid w:val="001E6728"/>
    <w:rsid w:val="001E6754"/>
    <w:rsid w:val="001E67B7"/>
    <w:rsid w:val="001E69BC"/>
    <w:rsid w:val="001E6C81"/>
    <w:rsid w:val="001E7010"/>
    <w:rsid w:val="001E7057"/>
    <w:rsid w:val="001E70F6"/>
    <w:rsid w:val="001E72D7"/>
    <w:rsid w:val="001E7422"/>
    <w:rsid w:val="001E747F"/>
    <w:rsid w:val="001E7488"/>
    <w:rsid w:val="001E7918"/>
    <w:rsid w:val="001E7AF8"/>
    <w:rsid w:val="001E7B7B"/>
    <w:rsid w:val="001E7C7B"/>
    <w:rsid w:val="001E7D3C"/>
    <w:rsid w:val="001E7E5D"/>
    <w:rsid w:val="001E7EC6"/>
    <w:rsid w:val="001E7EEF"/>
    <w:rsid w:val="001F0035"/>
    <w:rsid w:val="001F033C"/>
    <w:rsid w:val="001F052E"/>
    <w:rsid w:val="001F064F"/>
    <w:rsid w:val="001F068C"/>
    <w:rsid w:val="001F0862"/>
    <w:rsid w:val="001F09F7"/>
    <w:rsid w:val="001F09F8"/>
    <w:rsid w:val="001F0A36"/>
    <w:rsid w:val="001F0ACE"/>
    <w:rsid w:val="001F0CAA"/>
    <w:rsid w:val="001F0CFA"/>
    <w:rsid w:val="001F0D37"/>
    <w:rsid w:val="001F0E4B"/>
    <w:rsid w:val="001F0E83"/>
    <w:rsid w:val="001F1263"/>
    <w:rsid w:val="001F136A"/>
    <w:rsid w:val="001F1376"/>
    <w:rsid w:val="001F1380"/>
    <w:rsid w:val="001F1429"/>
    <w:rsid w:val="001F1448"/>
    <w:rsid w:val="001F1670"/>
    <w:rsid w:val="001F16C4"/>
    <w:rsid w:val="001F16C5"/>
    <w:rsid w:val="001F16F0"/>
    <w:rsid w:val="001F1710"/>
    <w:rsid w:val="001F17A7"/>
    <w:rsid w:val="001F186D"/>
    <w:rsid w:val="001F19A0"/>
    <w:rsid w:val="001F1A3C"/>
    <w:rsid w:val="001F1C89"/>
    <w:rsid w:val="001F1CE9"/>
    <w:rsid w:val="001F1D8E"/>
    <w:rsid w:val="001F1F1A"/>
    <w:rsid w:val="001F1F57"/>
    <w:rsid w:val="001F20AC"/>
    <w:rsid w:val="001F219B"/>
    <w:rsid w:val="001F2229"/>
    <w:rsid w:val="001F2308"/>
    <w:rsid w:val="001F239E"/>
    <w:rsid w:val="001F24DD"/>
    <w:rsid w:val="001F25ED"/>
    <w:rsid w:val="001F29BB"/>
    <w:rsid w:val="001F2A16"/>
    <w:rsid w:val="001F2BB2"/>
    <w:rsid w:val="001F2CAB"/>
    <w:rsid w:val="001F2CB7"/>
    <w:rsid w:val="001F2E84"/>
    <w:rsid w:val="001F2ECE"/>
    <w:rsid w:val="001F2F6F"/>
    <w:rsid w:val="001F304A"/>
    <w:rsid w:val="001F3066"/>
    <w:rsid w:val="001F30DF"/>
    <w:rsid w:val="001F3175"/>
    <w:rsid w:val="001F3235"/>
    <w:rsid w:val="001F3694"/>
    <w:rsid w:val="001F391E"/>
    <w:rsid w:val="001F3BF6"/>
    <w:rsid w:val="001F3C50"/>
    <w:rsid w:val="001F3C99"/>
    <w:rsid w:val="001F3D56"/>
    <w:rsid w:val="001F3E40"/>
    <w:rsid w:val="001F413E"/>
    <w:rsid w:val="001F4208"/>
    <w:rsid w:val="001F42D0"/>
    <w:rsid w:val="001F4342"/>
    <w:rsid w:val="001F4539"/>
    <w:rsid w:val="001F4609"/>
    <w:rsid w:val="001F46ED"/>
    <w:rsid w:val="001F4761"/>
    <w:rsid w:val="001F47C7"/>
    <w:rsid w:val="001F480E"/>
    <w:rsid w:val="001F4CB3"/>
    <w:rsid w:val="001F4CB5"/>
    <w:rsid w:val="001F4D10"/>
    <w:rsid w:val="001F4F0B"/>
    <w:rsid w:val="001F4F7D"/>
    <w:rsid w:val="001F5028"/>
    <w:rsid w:val="001F51BA"/>
    <w:rsid w:val="001F51CC"/>
    <w:rsid w:val="001F527C"/>
    <w:rsid w:val="001F5390"/>
    <w:rsid w:val="001F54B4"/>
    <w:rsid w:val="001F55A6"/>
    <w:rsid w:val="001F5755"/>
    <w:rsid w:val="001F5881"/>
    <w:rsid w:val="001F5912"/>
    <w:rsid w:val="001F5E11"/>
    <w:rsid w:val="001F5EC7"/>
    <w:rsid w:val="001F62B5"/>
    <w:rsid w:val="001F62B8"/>
    <w:rsid w:val="001F642F"/>
    <w:rsid w:val="001F64B8"/>
    <w:rsid w:val="001F65B0"/>
    <w:rsid w:val="001F66D4"/>
    <w:rsid w:val="001F6854"/>
    <w:rsid w:val="001F6A0C"/>
    <w:rsid w:val="001F6A4B"/>
    <w:rsid w:val="001F6AA4"/>
    <w:rsid w:val="001F6AAD"/>
    <w:rsid w:val="001F6FF5"/>
    <w:rsid w:val="001F711E"/>
    <w:rsid w:val="001F71E9"/>
    <w:rsid w:val="001F71EB"/>
    <w:rsid w:val="001F743C"/>
    <w:rsid w:val="001F74FE"/>
    <w:rsid w:val="001F7508"/>
    <w:rsid w:val="001F7696"/>
    <w:rsid w:val="001F770C"/>
    <w:rsid w:val="001F7926"/>
    <w:rsid w:val="001F79FB"/>
    <w:rsid w:val="001F7AA9"/>
    <w:rsid w:val="001F7AB6"/>
    <w:rsid w:val="001F7C65"/>
    <w:rsid w:val="001F7D66"/>
    <w:rsid w:val="001F7F33"/>
    <w:rsid w:val="00200073"/>
    <w:rsid w:val="00200102"/>
    <w:rsid w:val="002001FE"/>
    <w:rsid w:val="0020034E"/>
    <w:rsid w:val="0020036C"/>
    <w:rsid w:val="0020055E"/>
    <w:rsid w:val="002005E7"/>
    <w:rsid w:val="00200966"/>
    <w:rsid w:val="00200BD8"/>
    <w:rsid w:val="00200C19"/>
    <w:rsid w:val="00200F16"/>
    <w:rsid w:val="00200FD8"/>
    <w:rsid w:val="002010EC"/>
    <w:rsid w:val="0020122E"/>
    <w:rsid w:val="002012A4"/>
    <w:rsid w:val="0020130C"/>
    <w:rsid w:val="002013F3"/>
    <w:rsid w:val="0020147E"/>
    <w:rsid w:val="00201592"/>
    <w:rsid w:val="00201712"/>
    <w:rsid w:val="0020176C"/>
    <w:rsid w:val="002017E4"/>
    <w:rsid w:val="0020184D"/>
    <w:rsid w:val="002019A5"/>
    <w:rsid w:val="002019F8"/>
    <w:rsid w:val="00201AE7"/>
    <w:rsid w:val="00201BB0"/>
    <w:rsid w:val="00201BE3"/>
    <w:rsid w:val="00201C7C"/>
    <w:rsid w:val="00201D1E"/>
    <w:rsid w:val="00201E2D"/>
    <w:rsid w:val="00201EA1"/>
    <w:rsid w:val="00201EE0"/>
    <w:rsid w:val="002021CA"/>
    <w:rsid w:val="00202211"/>
    <w:rsid w:val="0020228D"/>
    <w:rsid w:val="00202306"/>
    <w:rsid w:val="002025F0"/>
    <w:rsid w:val="002026EE"/>
    <w:rsid w:val="002027E1"/>
    <w:rsid w:val="00202A3A"/>
    <w:rsid w:val="00202C1D"/>
    <w:rsid w:val="00202D55"/>
    <w:rsid w:val="00202DD4"/>
    <w:rsid w:val="00202DEE"/>
    <w:rsid w:val="00202E3A"/>
    <w:rsid w:val="00203059"/>
    <w:rsid w:val="00203142"/>
    <w:rsid w:val="002031B3"/>
    <w:rsid w:val="00203205"/>
    <w:rsid w:val="00203513"/>
    <w:rsid w:val="00203A82"/>
    <w:rsid w:val="00203AEB"/>
    <w:rsid w:val="00203CB9"/>
    <w:rsid w:val="00203D39"/>
    <w:rsid w:val="00203DCA"/>
    <w:rsid w:val="00203EFA"/>
    <w:rsid w:val="0020413C"/>
    <w:rsid w:val="002043C6"/>
    <w:rsid w:val="00204426"/>
    <w:rsid w:val="002044AF"/>
    <w:rsid w:val="0020459E"/>
    <w:rsid w:val="00204766"/>
    <w:rsid w:val="00204814"/>
    <w:rsid w:val="002048A5"/>
    <w:rsid w:val="00204940"/>
    <w:rsid w:val="00204A9C"/>
    <w:rsid w:val="00204AD3"/>
    <w:rsid w:val="00204E84"/>
    <w:rsid w:val="00205291"/>
    <w:rsid w:val="002052B7"/>
    <w:rsid w:val="002052BB"/>
    <w:rsid w:val="00205362"/>
    <w:rsid w:val="00205370"/>
    <w:rsid w:val="002057AC"/>
    <w:rsid w:val="00205820"/>
    <w:rsid w:val="0020593A"/>
    <w:rsid w:val="0020594B"/>
    <w:rsid w:val="00205AFD"/>
    <w:rsid w:val="00205B25"/>
    <w:rsid w:val="00205B65"/>
    <w:rsid w:val="00205BE1"/>
    <w:rsid w:val="00205C8D"/>
    <w:rsid w:val="00205D74"/>
    <w:rsid w:val="00205F74"/>
    <w:rsid w:val="00205FCC"/>
    <w:rsid w:val="002060A0"/>
    <w:rsid w:val="0020610A"/>
    <w:rsid w:val="00206265"/>
    <w:rsid w:val="00206303"/>
    <w:rsid w:val="0020641E"/>
    <w:rsid w:val="002065EC"/>
    <w:rsid w:val="00206683"/>
    <w:rsid w:val="00206726"/>
    <w:rsid w:val="002067AE"/>
    <w:rsid w:val="002069CC"/>
    <w:rsid w:val="00206B05"/>
    <w:rsid w:val="0020708E"/>
    <w:rsid w:val="002070C0"/>
    <w:rsid w:val="002070FE"/>
    <w:rsid w:val="0020716C"/>
    <w:rsid w:val="0020718C"/>
    <w:rsid w:val="002072C6"/>
    <w:rsid w:val="0020757D"/>
    <w:rsid w:val="0020760E"/>
    <w:rsid w:val="002076E8"/>
    <w:rsid w:val="002077C7"/>
    <w:rsid w:val="002079F8"/>
    <w:rsid w:val="00207AC7"/>
    <w:rsid w:val="00207D5F"/>
    <w:rsid w:val="00207E9B"/>
    <w:rsid w:val="0021038A"/>
    <w:rsid w:val="002108BC"/>
    <w:rsid w:val="0021098C"/>
    <w:rsid w:val="00210E90"/>
    <w:rsid w:val="00210EDE"/>
    <w:rsid w:val="00211025"/>
    <w:rsid w:val="00211164"/>
    <w:rsid w:val="00211670"/>
    <w:rsid w:val="002117CB"/>
    <w:rsid w:val="0021180F"/>
    <w:rsid w:val="0021186D"/>
    <w:rsid w:val="002118C6"/>
    <w:rsid w:val="00211B7B"/>
    <w:rsid w:val="00211C27"/>
    <w:rsid w:val="002121B2"/>
    <w:rsid w:val="002121FB"/>
    <w:rsid w:val="00212264"/>
    <w:rsid w:val="0021237E"/>
    <w:rsid w:val="00212422"/>
    <w:rsid w:val="00212755"/>
    <w:rsid w:val="00212904"/>
    <w:rsid w:val="00212CE6"/>
    <w:rsid w:val="00212E2E"/>
    <w:rsid w:val="00212F66"/>
    <w:rsid w:val="002130E2"/>
    <w:rsid w:val="0021333F"/>
    <w:rsid w:val="002133BA"/>
    <w:rsid w:val="0021378C"/>
    <w:rsid w:val="00213841"/>
    <w:rsid w:val="002138B8"/>
    <w:rsid w:val="002138F0"/>
    <w:rsid w:val="00213A8F"/>
    <w:rsid w:val="00213ADE"/>
    <w:rsid w:val="00213BD5"/>
    <w:rsid w:val="00213DA1"/>
    <w:rsid w:val="00213E6E"/>
    <w:rsid w:val="00213EBD"/>
    <w:rsid w:val="00213F73"/>
    <w:rsid w:val="00213FE5"/>
    <w:rsid w:val="002140BE"/>
    <w:rsid w:val="002142C7"/>
    <w:rsid w:val="002144EC"/>
    <w:rsid w:val="00214758"/>
    <w:rsid w:val="00214946"/>
    <w:rsid w:val="00214B48"/>
    <w:rsid w:val="00214CCB"/>
    <w:rsid w:val="00214D34"/>
    <w:rsid w:val="00214D3E"/>
    <w:rsid w:val="00214D41"/>
    <w:rsid w:val="002150A0"/>
    <w:rsid w:val="002150C7"/>
    <w:rsid w:val="002154B8"/>
    <w:rsid w:val="002154C5"/>
    <w:rsid w:val="002155F4"/>
    <w:rsid w:val="00215697"/>
    <w:rsid w:val="0021587F"/>
    <w:rsid w:val="00215952"/>
    <w:rsid w:val="00215B0B"/>
    <w:rsid w:val="00215BE0"/>
    <w:rsid w:val="00215F24"/>
    <w:rsid w:val="002160C4"/>
    <w:rsid w:val="00216101"/>
    <w:rsid w:val="00216120"/>
    <w:rsid w:val="0021612D"/>
    <w:rsid w:val="00216140"/>
    <w:rsid w:val="00216248"/>
    <w:rsid w:val="0021634D"/>
    <w:rsid w:val="002164D5"/>
    <w:rsid w:val="00216558"/>
    <w:rsid w:val="002167ED"/>
    <w:rsid w:val="00216893"/>
    <w:rsid w:val="002168B3"/>
    <w:rsid w:val="00216927"/>
    <w:rsid w:val="00216958"/>
    <w:rsid w:val="00216999"/>
    <w:rsid w:val="00216A09"/>
    <w:rsid w:val="00216B1D"/>
    <w:rsid w:val="00216B5E"/>
    <w:rsid w:val="00216EAB"/>
    <w:rsid w:val="0021719F"/>
    <w:rsid w:val="00217528"/>
    <w:rsid w:val="00217531"/>
    <w:rsid w:val="002175F2"/>
    <w:rsid w:val="002177DB"/>
    <w:rsid w:val="00217815"/>
    <w:rsid w:val="0021784B"/>
    <w:rsid w:val="00217A91"/>
    <w:rsid w:val="00217B23"/>
    <w:rsid w:val="00217C2E"/>
    <w:rsid w:val="00217E36"/>
    <w:rsid w:val="00217EE6"/>
    <w:rsid w:val="00217F61"/>
    <w:rsid w:val="00217FDC"/>
    <w:rsid w:val="0022019F"/>
    <w:rsid w:val="002201B3"/>
    <w:rsid w:val="002204FC"/>
    <w:rsid w:val="0022070D"/>
    <w:rsid w:val="00220774"/>
    <w:rsid w:val="00220839"/>
    <w:rsid w:val="00220931"/>
    <w:rsid w:val="00220B16"/>
    <w:rsid w:val="00220B58"/>
    <w:rsid w:val="00220B86"/>
    <w:rsid w:val="00220BAB"/>
    <w:rsid w:val="00220EBC"/>
    <w:rsid w:val="00220FF5"/>
    <w:rsid w:val="0022111C"/>
    <w:rsid w:val="00221241"/>
    <w:rsid w:val="0022142F"/>
    <w:rsid w:val="0022148C"/>
    <w:rsid w:val="002214FB"/>
    <w:rsid w:val="0022160E"/>
    <w:rsid w:val="0022164C"/>
    <w:rsid w:val="002216C8"/>
    <w:rsid w:val="00221728"/>
    <w:rsid w:val="002217BF"/>
    <w:rsid w:val="002219A4"/>
    <w:rsid w:val="00221A74"/>
    <w:rsid w:val="00221ACD"/>
    <w:rsid w:val="00221E14"/>
    <w:rsid w:val="00221F54"/>
    <w:rsid w:val="002223C5"/>
    <w:rsid w:val="002223C6"/>
    <w:rsid w:val="00222414"/>
    <w:rsid w:val="002224EE"/>
    <w:rsid w:val="0022251E"/>
    <w:rsid w:val="002227CC"/>
    <w:rsid w:val="00222815"/>
    <w:rsid w:val="002228A6"/>
    <w:rsid w:val="002229C6"/>
    <w:rsid w:val="00222B4B"/>
    <w:rsid w:val="00222C99"/>
    <w:rsid w:val="00222E37"/>
    <w:rsid w:val="00222FE5"/>
    <w:rsid w:val="0022303D"/>
    <w:rsid w:val="00223058"/>
    <w:rsid w:val="00223125"/>
    <w:rsid w:val="002232F4"/>
    <w:rsid w:val="0022336D"/>
    <w:rsid w:val="002233FF"/>
    <w:rsid w:val="00223416"/>
    <w:rsid w:val="002234A0"/>
    <w:rsid w:val="002234FD"/>
    <w:rsid w:val="002236DD"/>
    <w:rsid w:val="0022381F"/>
    <w:rsid w:val="00223821"/>
    <w:rsid w:val="00223A8E"/>
    <w:rsid w:val="00223BB3"/>
    <w:rsid w:val="00223CD2"/>
    <w:rsid w:val="00223D0C"/>
    <w:rsid w:val="00223D72"/>
    <w:rsid w:val="00223F04"/>
    <w:rsid w:val="00223FF3"/>
    <w:rsid w:val="00223FFF"/>
    <w:rsid w:val="002241E3"/>
    <w:rsid w:val="0022425D"/>
    <w:rsid w:val="002242DE"/>
    <w:rsid w:val="002242E6"/>
    <w:rsid w:val="0022436B"/>
    <w:rsid w:val="00224390"/>
    <w:rsid w:val="0022451C"/>
    <w:rsid w:val="002245C1"/>
    <w:rsid w:val="00224645"/>
    <w:rsid w:val="002248F9"/>
    <w:rsid w:val="00224A20"/>
    <w:rsid w:val="00224BCF"/>
    <w:rsid w:val="00224FB9"/>
    <w:rsid w:val="00224FD6"/>
    <w:rsid w:val="00225059"/>
    <w:rsid w:val="0022509B"/>
    <w:rsid w:val="002251AF"/>
    <w:rsid w:val="00225205"/>
    <w:rsid w:val="0022529A"/>
    <w:rsid w:val="002252AA"/>
    <w:rsid w:val="0022531D"/>
    <w:rsid w:val="00225440"/>
    <w:rsid w:val="00225538"/>
    <w:rsid w:val="002255A0"/>
    <w:rsid w:val="002257D8"/>
    <w:rsid w:val="00225A77"/>
    <w:rsid w:val="00225BD0"/>
    <w:rsid w:val="00225D90"/>
    <w:rsid w:val="00225FD7"/>
    <w:rsid w:val="002261DC"/>
    <w:rsid w:val="00226375"/>
    <w:rsid w:val="00226388"/>
    <w:rsid w:val="002263D8"/>
    <w:rsid w:val="002265AB"/>
    <w:rsid w:val="00226657"/>
    <w:rsid w:val="002267DA"/>
    <w:rsid w:val="00226853"/>
    <w:rsid w:val="002268C8"/>
    <w:rsid w:val="002268EF"/>
    <w:rsid w:val="00226A7A"/>
    <w:rsid w:val="00226B11"/>
    <w:rsid w:val="00226B98"/>
    <w:rsid w:val="00226CCF"/>
    <w:rsid w:val="00226F25"/>
    <w:rsid w:val="00226F3D"/>
    <w:rsid w:val="00226F91"/>
    <w:rsid w:val="00227120"/>
    <w:rsid w:val="002271D9"/>
    <w:rsid w:val="0022720E"/>
    <w:rsid w:val="0022726B"/>
    <w:rsid w:val="002273CE"/>
    <w:rsid w:val="00227531"/>
    <w:rsid w:val="00227564"/>
    <w:rsid w:val="002276D3"/>
    <w:rsid w:val="002276EF"/>
    <w:rsid w:val="00227948"/>
    <w:rsid w:val="002279FA"/>
    <w:rsid w:val="00227A0A"/>
    <w:rsid w:val="00227C42"/>
    <w:rsid w:val="00227C92"/>
    <w:rsid w:val="00227DAC"/>
    <w:rsid w:val="00227F19"/>
    <w:rsid w:val="0023005C"/>
    <w:rsid w:val="00230078"/>
    <w:rsid w:val="002300C3"/>
    <w:rsid w:val="0023033C"/>
    <w:rsid w:val="0023053B"/>
    <w:rsid w:val="002306EC"/>
    <w:rsid w:val="00230738"/>
    <w:rsid w:val="0023099A"/>
    <w:rsid w:val="00230A7E"/>
    <w:rsid w:val="00230CA5"/>
    <w:rsid w:val="00230E45"/>
    <w:rsid w:val="00230E89"/>
    <w:rsid w:val="00230F21"/>
    <w:rsid w:val="00230F84"/>
    <w:rsid w:val="00230F9F"/>
    <w:rsid w:val="0023110D"/>
    <w:rsid w:val="0023111D"/>
    <w:rsid w:val="00231200"/>
    <w:rsid w:val="00231455"/>
    <w:rsid w:val="0023146E"/>
    <w:rsid w:val="0023162C"/>
    <w:rsid w:val="0023166A"/>
    <w:rsid w:val="00231774"/>
    <w:rsid w:val="00231EB4"/>
    <w:rsid w:val="00231EF4"/>
    <w:rsid w:val="00232076"/>
    <w:rsid w:val="002320B8"/>
    <w:rsid w:val="00232179"/>
    <w:rsid w:val="0023223A"/>
    <w:rsid w:val="0023244C"/>
    <w:rsid w:val="00232541"/>
    <w:rsid w:val="0023264C"/>
    <w:rsid w:val="002326E6"/>
    <w:rsid w:val="0023286A"/>
    <w:rsid w:val="002329B2"/>
    <w:rsid w:val="00232BCF"/>
    <w:rsid w:val="00232CCA"/>
    <w:rsid w:val="00232CEA"/>
    <w:rsid w:val="00232D01"/>
    <w:rsid w:val="00232D8F"/>
    <w:rsid w:val="00232E3A"/>
    <w:rsid w:val="00232FD4"/>
    <w:rsid w:val="00232FD6"/>
    <w:rsid w:val="0023303E"/>
    <w:rsid w:val="0023314A"/>
    <w:rsid w:val="002333A4"/>
    <w:rsid w:val="00233567"/>
    <w:rsid w:val="00233614"/>
    <w:rsid w:val="002338CE"/>
    <w:rsid w:val="00233A6F"/>
    <w:rsid w:val="00233B6A"/>
    <w:rsid w:val="00233C2E"/>
    <w:rsid w:val="00233C62"/>
    <w:rsid w:val="00233FF1"/>
    <w:rsid w:val="002341B2"/>
    <w:rsid w:val="00234240"/>
    <w:rsid w:val="00234310"/>
    <w:rsid w:val="00234380"/>
    <w:rsid w:val="00234429"/>
    <w:rsid w:val="0023451B"/>
    <w:rsid w:val="00234594"/>
    <w:rsid w:val="002345F5"/>
    <w:rsid w:val="0023488F"/>
    <w:rsid w:val="00234ABB"/>
    <w:rsid w:val="002350B5"/>
    <w:rsid w:val="00235136"/>
    <w:rsid w:val="00235190"/>
    <w:rsid w:val="00235511"/>
    <w:rsid w:val="00235561"/>
    <w:rsid w:val="002355A9"/>
    <w:rsid w:val="0023572B"/>
    <w:rsid w:val="00235792"/>
    <w:rsid w:val="0023580E"/>
    <w:rsid w:val="002358D2"/>
    <w:rsid w:val="00235A14"/>
    <w:rsid w:val="00235A34"/>
    <w:rsid w:val="00235BE8"/>
    <w:rsid w:val="00235BEE"/>
    <w:rsid w:val="00235C15"/>
    <w:rsid w:val="00236265"/>
    <w:rsid w:val="0023627A"/>
    <w:rsid w:val="002362DD"/>
    <w:rsid w:val="0023630F"/>
    <w:rsid w:val="00236B40"/>
    <w:rsid w:val="00236B6B"/>
    <w:rsid w:val="00236C7A"/>
    <w:rsid w:val="00236E99"/>
    <w:rsid w:val="00236EBF"/>
    <w:rsid w:val="00236F53"/>
    <w:rsid w:val="0023700F"/>
    <w:rsid w:val="002370CD"/>
    <w:rsid w:val="00237164"/>
    <w:rsid w:val="00237177"/>
    <w:rsid w:val="002375C2"/>
    <w:rsid w:val="002375E0"/>
    <w:rsid w:val="0023768C"/>
    <w:rsid w:val="002376B2"/>
    <w:rsid w:val="00237A07"/>
    <w:rsid w:val="00237C8D"/>
    <w:rsid w:val="00237CE4"/>
    <w:rsid w:val="00237D49"/>
    <w:rsid w:val="00237DE6"/>
    <w:rsid w:val="00237EDB"/>
    <w:rsid w:val="00237F3B"/>
    <w:rsid w:val="0023CE60"/>
    <w:rsid w:val="0024003A"/>
    <w:rsid w:val="0024006C"/>
    <w:rsid w:val="00240188"/>
    <w:rsid w:val="00240234"/>
    <w:rsid w:val="002403F8"/>
    <w:rsid w:val="00240493"/>
    <w:rsid w:val="0024059C"/>
    <w:rsid w:val="0024068A"/>
    <w:rsid w:val="0024096D"/>
    <w:rsid w:val="00240999"/>
    <w:rsid w:val="00240B79"/>
    <w:rsid w:val="00240CD1"/>
    <w:rsid w:val="00240E1F"/>
    <w:rsid w:val="00240E4A"/>
    <w:rsid w:val="00240FA9"/>
    <w:rsid w:val="00241075"/>
    <w:rsid w:val="00241092"/>
    <w:rsid w:val="0024117E"/>
    <w:rsid w:val="00241345"/>
    <w:rsid w:val="002415D7"/>
    <w:rsid w:val="00241652"/>
    <w:rsid w:val="002416B2"/>
    <w:rsid w:val="00241902"/>
    <w:rsid w:val="00241ADF"/>
    <w:rsid w:val="00241B11"/>
    <w:rsid w:val="00241B8B"/>
    <w:rsid w:val="00241C10"/>
    <w:rsid w:val="002421C1"/>
    <w:rsid w:val="00242255"/>
    <w:rsid w:val="002422E2"/>
    <w:rsid w:val="002423BE"/>
    <w:rsid w:val="00242417"/>
    <w:rsid w:val="00242502"/>
    <w:rsid w:val="00242923"/>
    <w:rsid w:val="00242DE9"/>
    <w:rsid w:val="00243270"/>
    <w:rsid w:val="002434A6"/>
    <w:rsid w:val="00243575"/>
    <w:rsid w:val="002435A5"/>
    <w:rsid w:val="002436D2"/>
    <w:rsid w:val="0024375A"/>
    <w:rsid w:val="002438C0"/>
    <w:rsid w:val="00243A0C"/>
    <w:rsid w:val="00243A61"/>
    <w:rsid w:val="00243A7B"/>
    <w:rsid w:val="00243C0E"/>
    <w:rsid w:val="00243C3C"/>
    <w:rsid w:val="00243D67"/>
    <w:rsid w:val="00243E59"/>
    <w:rsid w:val="00243FEC"/>
    <w:rsid w:val="00244066"/>
    <w:rsid w:val="00244134"/>
    <w:rsid w:val="002441D5"/>
    <w:rsid w:val="00244263"/>
    <w:rsid w:val="002442EB"/>
    <w:rsid w:val="00244350"/>
    <w:rsid w:val="00244401"/>
    <w:rsid w:val="00244573"/>
    <w:rsid w:val="0024461A"/>
    <w:rsid w:val="0024468C"/>
    <w:rsid w:val="002446B0"/>
    <w:rsid w:val="002446C9"/>
    <w:rsid w:val="0024471F"/>
    <w:rsid w:val="002447C4"/>
    <w:rsid w:val="00244813"/>
    <w:rsid w:val="0024496C"/>
    <w:rsid w:val="002449C5"/>
    <w:rsid w:val="00244D0D"/>
    <w:rsid w:val="00244E82"/>
    <w:rsid w:val="00244F02"/>
    <w:rsid w:val="0024500F"/>
    <w:rsid w:val="00245127"/>
    <w:rsid w:val="0024530D"/>
    <w:rsid w:val="002455CC"/>
    <w:rsid w:val="00245696"/>
    <w:rsid w:val="002457B3"/>
    <w:rsid w:val="002459A9"/>
    <w:rsid w:val="00245AEC"/>
    <w:rsid w:val="00245C4A"/>
    <w:rsid w:val="00245C50"/>
    <w:rsid w:val="00245C66"/>
    <w:rsid w:val="00245CDD"/>
    <w:rsid w:val="00245D07"/>
    <w:rsid w:val="00245D46"/>
    <w:rsid w:val="00245D4E"/>
    <w:rsid w:val="00245D6E"/>
    <w:rsid w:val="0024616E"/>
    <w:rsid w:val="002461CF"/>
    <w:rsid w:val="00246295"/>
    <w:rsid w:val="00246433"/>
    <w:rsid w:val="00246487"/>
    <w:rsid w:val="002466BE"/>
    <w:rsid w:val="00246724"/>
    <w:rsid w:val="00246757"/>
    <w:rsid w:val="002467CF"/>
    <w:rsid w:val="00246853"/>
    <w:rsid w:val="00246B5C"/>
    <w:rsid w:val="00246C4E"/>
    <w:rsid w:val="00246D5B"/>
    <w:rsid w:val="00246DE2"/>
    <w:rsid w:val="00246E4F"/>
    <w:rsid w:val="00246F86"/>
    <w:rsid w:val="002470A8"/>
    <w:rsid w:val="002470C9"/>
    <w:rsid w:val="002470DD"/>
    <w:rsid w:val="002471C8"/>
    <w:rsid w:val="00247649"/>
    <w:rsid w:val="00247726"/>
    <w:rsid w:val="00247913"/>
    <w:rsid w:val="0024797E"/>
    <w:rsid w:val="00247A8C"/>
    <w:rsid w:val="00247AFD"/>
    <w:rsid w:val="00247D3B"/>
    <w:rsid w:val="00247D56"/>
    <w:rsid w:val="00247E1B"/>
    <w:rsid w:val="00247ED0"/>
    <w:rsid w:val="00247F34"/>
    <w:rsid w:val="0025002C"/>
    <w:rsid w:val="0025011E"/>
    <w:rsid w:val="00250131"/>
    <w:rsid w:val="002501FB"/>
    <w:rsid w:val="00250243"/>
    <w:rsid w:val="002502B2"/>
    <w:rsid w:val="002502D1"/>
    <w:rsid w:val="002504B8"/>
    <w:rsid w:val="00250716"/>
    <w:rsid w:val="0025085B"/>
    <w:rsid w:val="0025086A"/>
    <w:rsid w:val="00250927"/>
    <w:rsid w:val="002509A1"/>
    <w:rsid w:val="00250BFD"/>
    <w:rsid w:val="00250C3F"/>
    <w:rsid w:val="00250E9F"/>
    <w:rsid w:val="002513C9"/>
    <w:rsid w:val="0025150B"/>
    <w:rsid w:val="0025152C"/>
    <w:rsid w:val="002515FD"/>
    <w:rsid w:val="0025161D"/>
    <w:rsid w:val="002516A2"/>
    <w:rsid w:val="002516AB"/>
    <w:rsid w:val="002517B5"/>
    <w:rsid w:val="002517DB"/>
    <w:rsid w:val="00251920"/>
    <w:rsid w:val="00251951"/>
    <w:rsid w:val="00251A85"/>
    <w:rsid w:val="00251BDB"/>
    <w:rsid w:val="00251C7D"/>
    <w:rsid w:val="00251FC1"/>
    <w:rsid w:val="00251FE4"/>
    <w:rsid w:val="00252083"/>
    <w:rsid w:val="002520AE"/>
    <w:rsid w:val="002520E8"/>
    <w:rsid w:val="002521F8"/>
    <w:rsid w:val="00252305"/>
    <w:rsid w:val="00252328"/>
    <w:rsid w:val="0025251F"/>
    <w:rsid w:val="00252626"/>
    <w:rsid w:val="00252786"/>
    <w:rsid w:val="002527D4"/>
    <w:rsid w:val="00252AC0"/>
    <w:rsid w:val="00252B18"/>
    <w:rsid w:val="00252DDB"/>
    <w:rsid w:val="00252ED1"/>
    <w:rsid w:val="00253059"/>
    <w:rsid w:val="002531DF"/>
    <w:rsid w:val="00253201"/>
    <w:rsid w:val="00253373"/>
    <w:rsid w:val="00253382"/>
    <w:rsid w:val="00253485"/>
    <w:rsid w:val="00253809"/>
    <w:rsid w:val="00253911"/>
    <w:rsid w:val="00253950"/>
    <w:rsid w:val="00253A46"/>
    <w:rsid w:val="00253B65"/>
    <w:rsid w:val="00253B97"/>
    <w:rsid w:val="00253DE7"/>
    <w:rsid w:val="00253FB3"/>
    <w:rsid w:val="002544D1"/>
    <w:rsid w:val="002544DB"/>
    <w:rsid w:val="0025453A"/>
    <w:rsid w:val="0025475C"/>
    <w:rsid w:val="002547DD"/>
    <w:rsid w:val="00254C57"/>
    <w:rsid w:val="00254CD4"/>
    <w:rsid w:val="00254D1C"/>
    <w:rsid w:val="00254DF9"/>
    <w:rsid w:val="00254EE4"/>
    <w:rsid w:val="00254F12"/>
    <w:rsid w:val="00254FA2"/>
    <w:rsid w:val="0025500B"/>
    <w:rsid w:val="00255680"/>
    <w:rsid w:val="00255722"/>
    <w:rsid w:val="0025593B"/>
    <w:rsid w:val="002559CB"/>
    <w:rsid w:val="00255D8F"/>
    <w:rsid w:val="00255EE8"/>
    <w:rsid w:val="00255FF1"/>
    <w:rsid w:val="00256115"/>
    <w:rsid w:val="0025616D"/>
    <w:rsid w:val="00256197"/>
    <w:rsid w:val="00256208"/>
    <w:rsid w:val="0025627C"/>
    <w:rsid w:val="002562E6"/>
    <w:rsid w:val="002563C7"/>
    <w:rsid w:val="00256416"/>
    <w:rsid w:val="002565C0"/>
    <w:rsid w:val="002566F2"/>
    <w:rsid w:val="0025672E"/>
    <w:rsid w:val="00256852"/>
    <w:rsid w:val="002568DB"/>
    <w:rsid w:val="00256B56"/>
    <w:rsid w:val="00256B98"/>
    <w:rsid w:val="00256CB1"/>
    <w:rsid w:val="00256ED1"/>
    <w:rsid w:val="00256F32"/>
    <w:rsid w:val="00256FC7"/>
    <w:rsid w:val="0025702F"/>
    <w:rsid w:val="002570B5"/>
    <w:rsid w:val="00257343"/>
    <w:rsid w:val="00257411"/>
    <w:rsid w:val="0025741E"/>
    <w:rsid w:val="002574BA"/>
    <w:rsid w:val="002574F5"/>
    <w:rsid w:val="00257553"/>
    <w:rsid w:val="002577BA"/>
    <w:rsid w:val="002578CF"/>
    <w:rsid w:val="0025795D"/>
    <w:rsid w:val="00257A0B"/>
    <w:rsid w:val="00257A15"/>
    <w:rsid w:val="00257A5C"/>
    <w:rsid w:val="00257A76"/>
    <w:rsid w:val="00257DC4"/>
    <w:rsid w:val="00257DF8"/>
    <w:rsid w:val="00257E84"/>
    <w:rsid w:val="002601BF"/>
    <w:rsid w:val="00260203"/>
    <w:rsid w:val="0026020F"/>
    <w:rsid w:val="002604B6"/>
    <w:rsid w:val="002606A8"/>
    <w:rsid w:val="00260845"/>
    <w:rsid w:val="0026092E"/>
    <w:rsid w:val="00260AB1"/>
    <w:rsid w:val="00260BD2"/>
    <w:rsid w:val="00260E6C"/>
    <w:rsid w:val="00260F2B"/>
    <w:rsid w:val="00260F3D"/>
    <w:rsid w:val="00261151"/>
    <w:rsid w:val="002611E5"/>
    <w:rsid w:val="002612F6"/>
    <w:rsid w:val="0026138C"/>
    <w:rsid w:val="00261408"/>
    <w:rsid w:val="00261676"/>
    <w:rsid w:val="00261772"/>
    <w:rsid w:val="00261A98"/>
    <w:rsid w:val="00261AE3"/>
    <w:rsid w:val="00261BCE"/>
    <w:rsid w:val="00261BF6"/>
    <w:rsid w:val="00261F76"/>
    <w:rsid w:val="002620C9"/>
    <w:rsid w:val="00262126"/>
    <w:rsid w:val="00262327"/>
    <w:rsid w:val="00262367"/>
    <w:rsid w:val="0026266E"/>
    <w:rsid w:val="0026291D"/>
    <w:rsid w:val="002629D5"/>
    <w:rsid w:val="00262B87"/>
    <w:rsid w:val="00262B98"/>
    <w:rsid w:val="00262C65"/>
    <w:rsid w:val="00262CF1"/>
    <w:rsid w:val="00262DB1"/>
    <w:rsid w:val="00262E56"/>
    <w:rsid w:val="00263160"/>
    <w:rsid w:val="002636EE"/>
    <w:rsid w:val="0026374D"/>
    <w:rsid w:val="002638E3"/>
    <w:rsid w:val="002639A5"/>
    <w:rsid w:val="00263CD2"/>
    <w:rsid w:val="00263EC1"/>
    <w:rsid w:val="00263F13"/>
    <w:rsid w:val="00263F1E"/>
    <w:rsid w:val="00263F6C"/>
    <w:rsid w:val="00263FD4"/>
    <w:rsid w:val="0026410D"/>
    <w:rsid w:val="0026422D"/>
    <w:rsid w:val="002642B6"/>
    <w:rsid w:val="0026439E"/>
    <w:rsid w:val="00264A12"/>
    <w:rsid w:val="00264A77"/>
    <w:rsid w:val="00264DAC"/>
    <w:rsid w:val="00264DF7"/>
    <w:rsid w:val="00265023"/>
    <w:rsid w:val="00265061"/>
    <w:rsid w:val="002651AF"/>
    <w:rsid w:val="0026528F"/>
    <w:rsid w:val="002652FB"/>
    <w:rsid w:val="002654D7"/>
    <w:rsid w:val="00265541"/>
    <w:rsid w:val="0026572C"/>
    <w:rsid w:val="002657AA"/>
    <w:rsid w:val="00265969"/>
    <w:rsid w:val="00265AB8"/>
    <w:rsid w:val="00265EDD"/>
    <w:rsid w:val="00265FDB"/>
    <w:rsid w:val="002660DA"/>
    <w:rsid w:val="002662DB"/>
    <w:rsid w:val="00266313"/>
    <w:rsid w:val="002664C3"/>
    <w:rsid w:val="002664E7"/>
    <w:rsid w:val="002665A3"/>
    <w:rsid w:val="0026665C"/>
    <w:rsid w:val="00266687"/>
    <w:rsid w:val="0026677B"/>
    <w:rsid w:val="00266A47"/>
    <w:rsid w:val="00266B11"/>
    <w:rsid w:val="00266BAD"/>
    <w:rsid w:val="00266C70"/>
    <w:rsid w:val="00266F7B"/>
    <w:rsid w:val="00267060"/>
    <w:rsid w:val="00267380"/>
    <w:rsid w:val="002673AD"/>
    <w:rsid w:val="00267401"/>
    <w:rsid w:val="00267403"/>
    <w:rsid w:val="00267697"/>
    <w:rsid w:val="0026769C"/>
    <w:rsid w:val="002677B7"/>
    <w:rsid w:val="00267C80"/>
    <w:rsid w:val="00267CF8"/>
    <w:rsid w:val="00267E3F"/>
    <w:rsid w:val="00267E79"/>
    <w:rsid w:val="00270021"/>
    <w:rsid w:val="0027005B"/>
    <w:rsid w:val="0027023D"/>
    <w:rsid w:val="00270276"/>
    <w:rsid w:val="002702D7"/>
    <w:rsid w:val="00270387"/>
    <w:rsid w:val="002705FE"/>
    <w:rsid w:val="00270654"/>
    <w:rsid w:val="00270709"/>
    <w:rsid w:val="00270716"/>
    <w:rsid w:val="002708D3"/>
    <w:rsid w:val="0027096A"/>
    <w:rsid w:val="00270A05"/>
    <w:rsid w:val="00270ACD"/>
    <w:rsid w:val="00270B0F"/>
    <w:rsid w:val="00270CC1"/>
    <w:rsid w:val="00270DAF"/>
    <w:rsid w:val="00270DBF"/>
    <w:rsid w:val="00271040"/>
    <w:rsid w:val="0027104C"/>
    <w:rsid w:val="00271155"/>
    <w:rsid w:val="0027116D"/>
    <w:rsid w:val="002711EC"/>
    <w:rsid w:val="0027139A"/>
    <w:rsid w:val="002713A9"/>
    <w:rsid w:val="00271447"/>
    <w:rsid w:val="002715A6"/>
    <w:rsid w:val="002719DE"/>
    <w:rsid w:val="00271A14"/>
    <w:rsid w:val="00271A89"/>
    <w:rsid w:val="00271AF7"/>
    <w:rsid w:val="00271B70"/>
    <w:rsid w:val="00271CE5"/>
    <w:rsid w:val="00271DF6"/>
    <w:rsid w:val="00271E27"/>
    <w:rsid w:val="00271E60"/>
    <w:rsid w:val="00271ECC"/>
    <w:rsid w:val="0027204B"/>
    <w:rsid w:val="00272203"/>
    <w:rsid w:val="002722D2"/>
    <w:rsid w:val="00272316"/>
    <w:rsid w:val="00272445"/>
    <w:rsid w:val="00272604"/>
    <w:rsid w:val="0027276A"/>
    <w:rsid w:val="002727A1"/>
    <w:rsid w:val="002727FA"/>
    <w:rsid w:val="00272A0A"/>
    <w:rsid w:val="00272A9C"/>
    <w:rsid w:val="00272B23"/>
    <w:rsid w:val="00272B9A"/>
    <w:rsid w:val="00272D45"/>
    <w:rsid w:val="002730F2"/>
    <w:rsid w:val="00273168"/>
    <w:rsid w:val="002732BC"/>
    <w:rsid w:val="00273424"/>
    <w:rsid w:val="0027357A"/>
    <w:rsid w:val="0027363F"/>
    <w:rsid w:val="00273728"/>
    <w:rsid w:val="00273793"/>
    <w:rsid w:val="002739F1"/>
    <w:rsid w:val="00273C4D"/>
    <w:rsid w:val="00273C56"/>
    <w:rsid w:val="00273D33"/>
    <w:rsid w:val="0027427E"/>
    <w:rsid w:val="002743FD"/>
    <w:rsid w:val="00274588"/>
    <w:rsid w:val="002745A1"/>
    <w:rsid w:val="002745AE"/>
    <w:rsid w:val="00274732"/>
    <w:rsid w:val="002747E8"/>
    <w:rsid w:val="00274922"/>
    <w:rsid w:val="002749A1"/>
    <w:rsid w:val="002749CE"/>
    <w:rsid w:val="00274B3C"/>
    <w:rsid w:val="00274C97"/>
    <w:rsid w:val="00274D15"/>
    <w:rsid w:val="00274D37"/>
    <w:rsid w:val="00274DB1"/>
    <w:rsid w:val="00274E33"/>
    <w:rsid w:val="00274FFE"/>
    <w:rsid w:val="002751A1"/>
    <w:rsid w:val="00275349"/>
    <w:rsid w:val="0027534D"/>
    <w:rsid w:val="00275528"/>
    <w:rsid w:val="00275542"/>
    <w:rsid w:val="0027567A"/>
    <w:rsid w:val="002756B6"/>
    <w:rsid w:val="00275A91"/>
    <w:rsid w:val="00275ACE"/>
    <w:rsid w:val="00275B73"/>
    <w:rsid w:val="00275C5F"/>
    <w:rsid w:val="00275CE6"/>
    <w:rsid w:val="00275DCD"/>
    <w:rsid w:val="00275E4C"/>
    <w:rsid w:val="00275FA6"/>
    <w:rsid w:val="00276306"/>
    <w:rsid w:val="00276358"/>
    <w:rsid w:val="00276470"/>
    <w:rsid w:val="002764AC"/>
    <w:rsid w:val="002764E1"/>
    <w:rsid w:val="00276516"/>
    <w:rsid w:val="00276565"/>
    <w:rsid w:val="00276623"/>
    <w:rsid w:val="002768A9"/>
    <w:rsid w:val="0027696D"/>
    <w:rsid w:val="00276A26"/>
    <w:rsid w:val="00276A43"/>
    <w:rsid w:val="00276A5E"/>
    <w:rsid w:val="00276ABA"/>
    <w:rsid w:val="00276B43"/>
    <w:rsid w:val="00276D25"/>
    <w:rsid w:val="00276D52"/>
    <w:rsid w:val="00276E2F"/>
    <w:rsid w:val="00276FAE"/>
    <w:rsid w:val="002770C4"/>
    <w:rsid w:val="0027754C"/>
    <w:rsid w:val="002775B9"/>
    <w:rsid w:val="002777EE"/>
    <w:rsid w:val="002778A4"/>
    <w:rsid w:val="002778B1"/>
    <w:rsid w:val="002778BE"/>
    <w:rsid w:val="0027796A"/>
    <w:rsid w:val="002779C2"/>
    <w:rsid w:val="00277AEE"/>
    <w:rsid w:val="00277B60"/>
    <w:rsid w:val="00277C23"/>
    <w:rsid w:val="00277C88"/>
    <w:rsid w:val="00277F5E"/>
    <w:rsid w:val="00277F7F"/>
    <w:rsid w:val="00280087"/>
    <w:rsid w:val="0028034D"/>
    <w:rsid w:val="0028064C"/>
    <w:rsid w:val="00280868"/>
    <w:rsid w:val="002809B8"/>
    <w:rsid w:val="002809C5"/>
    <w:rsid w:val="00280A2C"/>
    <w:rsid w:val="00280AC3"/>
    <w:rsid w:val="00280B2A"/>
    <w:rsid w:val="00280F1D"/>
    <w:rsid w:val="00280F4B"/>
    <w:rsid w:val="00281158"/>
    <w:rsid w:val="00281251"/>
    <w:rsid w:val="002812E3"/>
    <w:rsid w:val="00281437"/>
    <w:rsid w:val="0028168F"/>
    <w:rsid w:val="0028199A"/>
    <w:rsid w:val="00281A0D"/>
    <w:rsid w:val="00281A44"/>
    <w:rsid w:val="00281ACE"/>
    <w:rsid w:val="00281BB1"/>
    <w:rsid w:val="00281D88"/>
    <w:rsid w:val="00281F60"/>
    <w:rsid w:val="002821F9"/>
    <w:rsid w:val="0028224F"/>
    <w:rsid w:val="002827BE"/>
    <w:rsid w:val="00282A11"/>
    <w:rsid w:val="00282DDC"/>
    <w:rsid w:val="00282FFB"/>
    <w:rsid w:val="00283251"/>
    <w:rsid w:val="00283299"/>
    <w:rsid w:val="002833AE"/>
    <w:rsid w:val="00283450"/>
    <w:rsid w:val="00283499"/>
    <w:rsid w:val="002834B0"/>
    <w:rsid w:val="00283564"/>
    <w:rsid w:val="0028368F"/>
    <w:rsid w:val="002836C8"/>
    <w:rsid w:val="0028395E"/>
    <w:rsid w:val="00283AF6"/>
    <w:rsid w:val="00283C2A"/>
    <w:rsid w:val="00283D37"/>
    <w:rsid w:val="00283E44"/>
    <w:rsid w:val="00283F33"/>
    <w:rsid w:val="0028407D"/>
    <w:rsid w:val="002841AB"/>
    <w:rsid w:val="002842BB"/>
    <w:rsid w:val="00284425"/>
    <w:rsid w:val="0028448F"/>
    <w:rsid w:val="00284598"/>
    <w:rsid w:val="00284839"/>
    <w:rsid w:val="00284932"/>
    <w:rsid w:val="00284955"/>
    <w:rsid w:val="00284B5B"/>
    <w:rsid w:val="00284D94"/>
    <w:rsid w:val="00284DE1"/>
    <w:rsid w:val="00284E5A"/>
    <w:rsid w:val="002850FD"/>
    <w:rsid w:val="0028513D"/>
    <w:rsid w:val="00285188"/>
    <w:rsid w:val="00285221"/>
    <w:rsid w:val="0028538E"/>
    <w:rsid w:val="002853C5"/>
    <w:rsid w:val="00285413"/>
    <w:rsid w:val="00285701"/>
    <w:rsid w:val="00285734"/>
    <w:rsid w:val="00285B81"/>
    <w:rsid w:val="00285C05"/>
    <w:rsid w:val="00285C58"/>
    <w:rsid w:val="00285FEC"/>
    <w:rsid w:val="00286088"/>
    <w:rsid w:val="00286171"/>
    <w:rsid w:val="00286354"/>
    <w:rsid w:val="002863F6"/>
    <w:rsid w:val="002864E1"/>
    <w:rsid w:val="00286879"/>
    <w:rsid w:val="002868A0"/>
    <w:rsid w:val="00286A7D"/>
    <w:rsid w:val="00286D56"/>
    <w:rsid w:val="00286D7E"/>
    <w:rsid w:val="00286DAF"/>
    <w:rsid w:val="00287244"/>
    <w:rsid w:val="00287317"/>
    <w:rsid w:val="00287359"/>
    <w:rsid w:val="00287545"/>
    <w:rsid w:val="002875E9"/>
    <w:rsid w:val="00287735"/>
    <w:rsid w:val="0028786A"/>
    <w:rsid w:val="0028786B"/>
    <w:rsid w:val="00287C54"/>
    <w:rsid w:val="00287E1F"/>
    <w:rsid w:val="00287E6C"/>
    <w:rsid w:val="00287FA6"/>
    <w:rsid w:val="00290055"/>
    <w:rsid w:val="00290153"/>
    <w:rsid w:val="002901BB"/>
    <w:rsid w:val="002902A4"/>
    <w:rsid w:val="002902C8"/>
    <w:rsid w:val="002903C8"/>
    <w:rsid w:val="00290438"/>
    <w:rsid w:val="00290D3E"/>
    <w:rsid w:val="00290D91"/>
    <w:rsid w:val="00290E1A"/>
    <w:rsid w:val="00290E69"/>
    <w:rsid w:val="00290F2A"/>
    <w:rsid w:val="00291092"/>
    <w:rsid w:val="00291130"/>
    <w:rsid w:val="00291249"/>
    <w:rsid w:val="00291331"/>
    <w:rsid w:val="0029133C"/>
    <w:rsid w:val="00291608"/>
    <w:rsid w:val="00291749"/>
    <w:rsid w:val="002917E1"/>
    <w:rsid w:val="00291AAA"/>
    <w:rsid w:val="00291AB2"/>
    <w:rsid w:val="00291BB0"/>
    <w:rsid w:val="00291BD2"/>
    <w:rsid w:val="00291C6A"/>
    <w:rsid w:val="00291C7E"/>
    <w:rsid w:val="00291C9A"/>
    <w:rsid w:val="00291D1E"/>
    <w:rsid w:val="00291D45"/>
    <w:rsid w:val="00291E73"/>
    <w:rsid w:val="00291FB0"/>
    <w:rsid w:val="00291FCF"/>
    <w:rsid w:val="00292305"/>
    <w:rsid w:val="00292313"/>
    <w:rsid w:val="002923AD"/>
    <w:rsid w:val="002924C1"/>
    <w:rsid w:val="00292588"/>
    <w:rsid w:val="002926AD"/>
    <w:rsid w:val="0029278F"/>
    <w:rsid w:val="002927A0"/>
    <w:rsid w:val="002927F0"/>
    <w:rsid w:val="00292900"/>
    <w:rsid w:val="00292904"/>
    <w:rsid w:val="00292AF9"/>
    <w:rsid w:val="00292B5A"/>
    <w:rsid w:val="00292BBE"/>
    <w:rsid w:val="00292CC1"/>
    <w:rsid w:val="00292D48"/>
    <w:rsid w:val="00292E9B"/>
    <w:rsid w:val="00292EB8"/>
    <w:rsid w:val="002931F1"/>
    <w:rsid w:val="00293387"/>
    <w:rsid w:val="00293451"/>
    <w:rsid w:val="0029382D"/>
    <w:rsid w:val="0029389F"/>
    <w:rsid w:val="002938E5"/>
    <w:rsid w:val="00293905"/>
    <w:rsid w:val="00293D7C"/>
    <w:rsid w:val="00293F08"/>
    <w:rsid w:val="00293F9B"/>
    <w:rsid w:val="00294058"/>
    <w:rsid w:val="00294144"/>
    <w:rsid w:val="002941BF"/>
    <w:rsid w:val="00294216"/>
    <w:rsid w:val="0029437E"/>
    <w:rsid w:val="002943A8"/>
    <w:rsid w:val="00294416"/>
    <w:rsid w:val="0029458F"/>
    <w:rsid w:val="002945BB"/>
    <w:rsid w:val="0029464C"/>
    <w:rsid w:val="002947F8"/>
    <w:rsid w:val="00294A48"/>
    <w:rsid w:val="00294AF5"/>
    <w:rsid w:val="00294BA9"/>
    <w:rsid w:val="00294C02"/>
    <w:rsid w:val="00294DF3"/>
    <w:rsid w:val="00294ED6"/>
    <w:rsid w:val="002956FC"/>
    <w:rsid w:val="0029570D"/>
    <w:rsid w:val="002957D0"/>
    <w:rsid w:val="0029593E"/>
    <w:rsid w:val="00295A83"/>
    <w:rsid w:val="00295AB9"/>
    <w:rsid w:val="00295AEB"/>
    <w:rsid w:val="00295BF3"/>
    <w:rsid w:val="00295DC0"/>
    <w:rsid w:val="00295E26"/>
    <w:rsid w:val="00295E6F"/>
    <w:rsid w:val="00295EE2"/>
    <w:rsid w:val="00295F72"/>
    <w:rsid w:val="0029607B"/>
    <w:rsid w:val="002960A8"/>
    <w:rsid w:val="002965A2"/>
    <w:rsid w:val="002966CB"/>
    <w:rsid w:val="00296B65"/>
    <w:rsid w:val="00296C4F"/>
    <w:rsid w:val="00296D76"/>
    <w:rsid w:val="002970AB"/>
    <w:rsid w:val="00297106"/>
    <w:rsid w:val="0029729D"/>
    <w:rsid w:val="002972B2"/>
    <w:rsid w:val="002972DF"/>
    <w:rsid w:val="002974F9"/>
    <w:rsid w:val="002977D6"/>
    <w:rsid w:val="002978B3"/>
    <w:rsid w:val="00297908"/>
    <w:rsid w:val="00297A68"/>
    <w:rsid w:val="00297B85"/>
    <w:rsid w:val="00297D58"/>
    <w:rsid w:val="00297E64"/>
    <w:rsid w:val="00297EDD"/>
    <w:rsid w:val="00297F84"/>
    <w:rsid w:val="002A0131"/>
    <w:rsid w:val="002A01B9"/>
    <w:rsid w:val="002A02E7"/>
    <w:rsid w:val="002A040B"/>
    <w:rsid w:val="002A0443"/>
    <w:rsid w:val="002A05CB"/>
    <w:rsid w:val="002A0873"/>
    <w:rsid w:val="002A0AF4"/>
    <w:rsid w:val="002A0B2D"/>
    <w:rsid w:val="002A0B73"/>
    <w:rsid w:val="002A0BF1"/>
    <w:rsid w:val="002A0CAC"/>
    <w:rsid w:val="002A0CCE"/>
    <w:rsid w:val="002A0DC6"/>
    <w:rsid w:val="002A0E5C"/>
    <w:rsid w:val="002A1152"/>
    <w:rsid w:val="002A1286"/>
    <w:rsid w:val="002A128D"/>
    <w:rsid w:val="002A12B7"/>
    <w:rsid w:val="002A1500"/>
    <w:rsid w:val="002A1558"/>
    <w:rsid w:val="002A15EE"/>
    <w:rsid w:val="002A1935"/>
    <w:rsid w:val="002A1A51"/>
    <w:rsid w:val="002A1B35"/>
    <w:rsid w:val="002A1C4D"/>
    <w:rsid w:val="002A1CE8"/>
    <w:rsid w:val="002A210C"/>
    <w:rsid w:val="002A2148"/>
    <w:rsid w:val="002A222F"/>
    <w:rsid w:val="002A228D"/>
    <w:rsid w:val="002A2564"/>
    <w:rsid w:val="002A25F5"/>
    <w:rsid w:val="002A27D4"/>
    <w:rsid w:val="002A299F"/>
    <w:rsid w:val="002A2A80"/>
    <w:rsid w:val="002A2C41"/>
    <w:rsid w:val="002A2E70"/>
    <w:rsid w:val="002A2EA2"/>
    <w:rsid w:val="002A2F79"/>
    <w:rsid w:val="002A3006"/>
    <w:rsid w:val="002A3140"/>
    <w:rsid w:val="002A324C"/>
    <w:rsid w:val="002A32E8"/>
    <w:rsid w:val="002A32EB"/>
    <w:rsid w:val="002A372B"/>
    <w:rsid w:val="002A3A7D"/>
    <w:rsid w:val="002A3AE6"/>
    <w:rsid w:val="002A3C1C"/>
    <w:rsid w:val="002A3E72"/>
    <w:rsid w:val="002A3EE4"/>
    <w:rsid w:val="002A4009"/>
    <w:rsid w:val="002A4204"/>
    <w:rsid w:val="002A42BF"/>
    <w:rsid w:val="002A42CB"/>
    <w:rsid w:val="002A431B"/>
    <w:rsid w:val="002A447B"/>
    <w:rsid w:val="002A46BE"/>
    <w:rsid w:val="002A49EB"/>
    <w:rsid w:val="002A4A2D"/>
    <w:rsid w:val="002A4A9C"/>
    <w:rsid w:val="002A4ABD"/>
    <w:rsid w:val="002A4C8C"/>
    <w:rsid w:val="002A4D78"/>
    <w:rsid w:val="002A4DB3"/>
    <w:rsid w:val="002A4DBC"/>
    <w:rsid w:val="002A4EDA"/>
    <w:rsid w:val="002A4EE6"/>
    <w:rsid w:val="002A4F27"/>
    <w:rsid w:val="002A4FFF"/>
    <w:rsid w:val="002A53AE"/>
    <w:rsid w:val="002A5438"/>
    <w:rsid w:val="002A56E8"/>
    <w:rsid w:val="002A5761"/>
    <w:rsid w:val="002A576B"/>
    <w:rsid w:val="002A590E"/>
    <w:rsid w:val="002A59AC"/>
    <w:rsid w:val="002A5C31"/>
    <w:rsid w:val="002A5D7A"/>
    <w:rsid w:val="002A5E1A"/>
    <w:rsid w:val="002A5E56"/>
    <w:rsid w:val="002A5F53"/>
    <w:rsid w:val="002A6022"/>
    <w:rsid w:val="002A615F"/>
    <w:rsid w:val="002A6211"/>
    <w:rsid w:val="002A62A9"/>
    <w:rsid w:val="002A6537"/>
    <w:rsid w:val="002A65BE"/>
    <w:rsid w:val="002A65C3"/>
    <w:rsid w:val="002A66EB"/>
    <w:rsid w:val="002A67D4"/>
    <w:rsid w:val="002A6802"/>
    <w:rsid w:val="002A6817"/>
    <w:rsid w:val="002A6990"/>
    <w:rsid w:val="002A6B12"/>
    <w:rsid w:val="002A6B32"/>
    <w:rsid w:val="002A6B4C"/>
    <w:rsid w:val="002A6B74"/>
    <w:rsid w:val="002A6C9C"/>
    <w:rsid w:val="002A6D26"/>
    <w:rsid w:val="002A6E0A"/>
    <w:rsid w:val="002A6F7D"/>
    <w:rsid w:val="002A6FAD"/>
    <w:rsid w:val="002A70FA"/>
    <w:rsid w:val="002A7342"/>
    <w:rsid w:val="002A7551"/>
    <w:rsid w:val="002A75C1"/>
    <w:rsid w:val="002A76BB"/>
    <w:rsid w:val="002A774C"/>
    <w:rsid w:val="002A779B"/>
    <w:rsid w:val="002A77D9"/>
    <w:rsid w:val="002A78FF"/>
    <w:rsid w:val="002A7901"/>
    <w:rsid w:val="002A7B5E"/>
    <w:rsid w:val="002A7B82"/>
    <w:rsid w:val="002A7F4D"/>
    <w:rsid w:val="002A7F6E"/>
    <w:rsid w:val="002B0081"/>
    <w:rsid w:val="002B013A"/>
    <w:rsid w:val="002B0242"/>
    <w:rsid w:val="002B04EA"/>
    <w:rsid w:val="002B05A3"/>
    <w:rsid w:val="002B091B"/>
    <w:rsid w:val="002B0D2A"/>
    <w:rsid w:val="002B0EE6"/>
    <w:rsid w:val="002B11F2"/>
    <w:rsid w:val="002B1236"/>
    <w:rsid w:val="002B13D4"/>
    <w:rsid w:val="002B1406"/>
    <w:rsid w:val="002B1409"/>
    <w:rsid w:val="002B1452"/>
    <w:rsid w:val="002B1587"/>
    <w:rsid w:val="002B1588"/>
    <w:rsid w:val="002B1706"/>
    <w:rsid w:val="002B186F"/>
    <w:rsid w:val="002B191D"/>
    <w:rsid w:val="002B19A9"/>
    <w:rsid w:val="002B1D97"/>
    <w:rsid w:val="002B1E74"/>
    <w:rsid w:val="002B1E78"/>
    <w:rsid w:val="002B1EF9"/>
    <w:rsid w:val="002B2498"/>
    <w:rsid w:val="002B2587"/>
    <w:rsid w:val="002B26B9"/>
    <w:rsid w:val="002B2A17"/>
    <w:rsid w:val="002B2DB0"/>
    <w:rsid w:val="002B3010"/>
    <w:rsid w:val="002B301B"/>
    <w:rsid w:val="002B319A"/>
    <w:rsid w:val="002B333D"/>
    <w:rsid w:val="002B3497"/>
    <w:rsid w:val="002B38A4"/>
    <w:rsid w:val="002B3A6F"/>
    <w:rsid w:val="002B3AA9"/>
    <w:rsid w:val="002B3ACA"/>
    <w:rsid w:val="002B3AD3"/>
    <w:rsid w:val="002B3AE3"/>
    <w:rsid w:val="002B3BC3"/>
    <w:rsid w:val="002B404D"/>
    <w:rsid w:val="002B4144"/>
    <w:rsid w:val="002B43A7"/>
    <w:rsid w:val="002B449B"/>
    <w:rsid w:val="002B44A1"/>
    <w:rsid w:val="002B452D"/>
    <w:rsid w:val="002B4581"/>
    <w:rsid w:val="002B463A"/>
    <w:rsid w:val="002B4A78"/>
    <w:rsid w:val="002B4BE7"/>
    <w:rsid w:val="002B4DE7"/>
    <w:rsid w:val="002B5035"/>
    <w:rsid w:val="002B50EE"/>
    <w:rsid w:val="002B5376"/>
    <w:rsid w:val="002B5632"/>
    <w:rsid w:val="002B56F8"/>
    <w:rsid w:val="002B593E"/>
    <w:rsid w:val="002B5983"/>
    <w:rsid w:val="002B5B58"/>
    <w:rsid w:val="002B5BF9"/>
    <w:rsid w:val="002B5C65"/>
    <w:rsid w:val="002B5E5D"/>
    <w:rsid w:val="002B6062"/>
    <w:rsid w:val="002B62E8"/>
    <w:rsid w:val="002B63F4"/>
    <w:rsid w:val="002B6438"/>
    <w:rsid w:val="002B643E"/>
    <w:rsid w:val="002B64B1"/>
    <w:rsid w:val="002B6572"/>
    <w:rsid w:val="002B6614"/>
    <w:rsid w:val="002B662F"/>
    <w:rsid w:val="002B6658"/>
    <w:rsid w:val="002B67E8"/>
    <w:rsid w:val="002B6B4A"/>
    <w:rsid w:val="002B6BAA"/>
    <w:rsid w:val="002B6C2E"/>
    <w:rsid w:val="002B6D30"/>
    <w:rsid w:val="002B7108"/>
    <w:rsid w:val="002B7299"/>
    <w:rsid w:val="002B7301"/>
    <w:rsid w:val="002B7383"/>
    <w:rsid w:val="002B73B5"/>
    <w:rsid w:val="002B7575"/>
    <w:rsid w:val="002B7656"/>
    <w:rsid w:val="002B76A9"/>
    <w:rsid w:val="002B790B"/>
    <w:rsid w:val="002B796A"/>
    <w:rsid w:val="002B79B7"/>
    <w:rsid w:val="002B7EA6"/>
    <w:rsid w:val="002B7F20"/>
    <w:rsid w:val="002C0094"/>
    <w:rsid w:val="002C01A0"/>
    <w:rsid w:val="002C0351"/>
    <w:rsid w:val="002C03E1"/>
    <w:rsid w:val="002C0513"/>
    <w:rsid w:val="002C07EA"/>
    <w:rsid w:val="002C099C"/>
    <w:rsid w:val="002C0B83"/>
    <w:rsid w:val="002C0C8C"/>
    <w:rsid w:val="002C0CD9"/>
    <w:rsid w:val="002C0EF5"/>
    <w:rsid w:val="002C0FBD"/>
    <w:rsid w:val="002C1024"/>
    <w:rsid w:val="002C1439"/>
    <w:rsid w:val="002C15F4"/>
    <w:rsid w:val="002C1914"/>
    <w:rsid w:val="002C196D"/>
    <w:rsid w:val="002C1AE1"/>
    <w:rsid w:val="002C1CB4"/>
    <w:rsid w:val="002C1DB3"/>
    <w:rsid w:val="002C225D"/>
    <w:rsid w:val="002C23B0"/>
    <w:rsid w:val="002C23B2"/>
    <w:rsid w:val="002C23C6"/>
    <w:rsid w:val="002C23D6"/>
    <w:rsid w:val="002C2721"/>
    <w:rsid w:val="002C2A75"/>
    <w:rsid w:val="002C2A7F"/>
    <w:rsid w:val="002C2AA5"/>
    <w:rsid w:val="002C2B43"/>
    <w:rsid w:val="002C2BE0"/>
    <w:rsid w:val="002C2E44"/>
    <w:rsid w:val="002C2EF5"/>
    <w:rsid w:val="002C3021"/>
    <w:rsid w:val="002C309D"/>
    <w:rsid w:val="002C30BE"/>
    <w:rsid w:val="002C30E2"/>
    <w:rsid w:val="002C321A"/>
    <w:rsid w:val="002C3421"/>
    <w:rsid w:val="002C35EF"/>
    <w:rsid w:val="002C3694"/>
    <w:rsid w:val="002C37DB"/>
    <w:rsid w:val="002C37FD"/>
    <w:rsid w:val="002C3876"/>
    <w:rsid w:val="002C3D3B"/>
    <w:rsid w:val="002C3E2A"/>
    <w:rsid w:val="002C3F29"/>
    <w:rsid w:val="002C3F71"/>
    <w:rsid w:val="002C407F"/>
    <w:rsid w:val="002C408D"/>
    <w:rsid w:val="002C413F"/>
    <w:rsid w:val="002C43A2"/>
    <w:rsid w:val="002C443B"/>
    <w:rsid w:val="002C4460"/>
    <w:rsid w:val="002C4473"/>
    <w:rsid w:val="002C4489"/>
    <w:rsid w:val="002C45BD"/>
    <w:rsid w:val="002C46CA"/>
    <w:rsid w:val="002C4849"/>
    <w:rsid w:val="002C4956"/>
    <w:rsid w:val="002C496D"/>
    <w:rsid w:val="002C4A5B"/>
    <w:rsid w:val="002C4A93"/>
    <w:rsid w:val="002C4B0E"/>
    <w:rsid w:val="002C4B37"/>
    <w:rsid w:val="002C4B63"/>
    <w:rsid w:val="002C4C21"/>
    <w:rsid w:val="002C4CBD"/>
    <w:rsid w:val="002C4FA2"/>
    <w:rsid w:val="002C52DA"/>
    <w:rsid w:val="002C546B"/>
    <w:rsid w:val="002C54B0"/>
    <w:rsid w:val="002C54FF"/>
    <w:rsid w:val="002C551A"/>
    <w:rsid w:val="002C5690"/>
    <w:rsid w:val="002C5692"/>
    <w:rsid w:val="002C56D5"/>
    <w:rsid w:val="002C577B"/>
    <w:rsid w:val="002C58A5"/>
    <w:rsid w:val="002C5B25"/>
    <w:rsid w:val="002C5BCA"/>
    <w:rsid w:val="002C5C6A"/>
    <w:rsid w:val="002C5D68"/>
    <w:rsid w:val="002C5D98"/>
    <w:rsid w:val="002C5DF9"/>
    <w:rsid w:val="002C648C"/>
    <w:rsid w:val="002C6967"/>
    <w:rsid w:val="002C69B7"/>
    <w:rsid w:val="002C6A1B"/>
    <w:rsid w:val="002C6CEF"/>
    <w:rsid w:val="002C6D6A"/>
    <w:rsid w:val="002C6DA1"/>
    <w:rsid w:val="002C6DB3"/>
    <w:rsid w:val="002C6F2D"/>
    <w:rsid w:val="002C713C"/>
    <w:rsid w:val="002C7149"/>
    <w:rsid w:val="002C7173"/>
    <w:rsid w:val="002C7266"/>
    <w:rsid w:val="002C727B"/>
    <w:rsid w:val="002C7287"/>
    <w:rsid w:val="002C739B"/>
    <w:rsid w:val="002C7465"/>
    <w:rsid w:val="002C7527"/>
    <w:rsid w:val="002C7544"/>
    <w:rsid w:val="002C771E"/>
    <w:rsid w:val="002C7759"/>
    <w:rsid w:val="002C77C5"/>
    <w:rsid w:val="002C7934"/>
    <w:rsid w:val="002C79D9"/>
    <w:rsid w:val="002C7AEE"/>
    <w:rsid w:val="002C7C43"/>
    <w:rsid w:val="002C7FA1"/>
    <w:rsid w:val="002C7FA5"/>
    <w:rsid w:val="002C7FFD"/>
    <w:rsid w:val="002D0003"/>
    <w:rsid w:val="002D019C"/>
    <w:rsid w:val="002D02AB"/>
    <w:rsid w:val="002D02CC"/>
    <w:rsid w:val="002D0321"/>
    <w:rsid w:val="002D037F"/>
    <w:rsid w:val="002D03C7"/>
    <w:rsid w:val="002D05E7"/>
    <w:rsid w:val="002D06B3"/>
    <w:rsid w:val="002D082B"/>
    <w:rsid w:val="002D09D4"/>
    <w:rsid w:val="002D0A4D"/>
    <w:rsid w:val="002D0A53"/>
    <w:rsid w:val="002D0ADD"/>
    <w:rsid w:val="002D0BDA"/>
    <w:rsid w:val="002D0C9E"/>
    <w:rsid w:val="002D114C"/>
    <w:rsid w:val="002D1155"/>
    <w:rsid w:val="002D1213"/>
    <w:rsid w:val="002D143E"/>
    <w:rsid w:val="002D157F"/>
    <w:rsid w:val="002D1860"/>
    <w:rsid w:val="002D18D6"/>
    <w:rsid w:val="002D199B"/>
    <w:rsid w:val="002D1B65"/>
    <w:rsid w:val="002D1BCD"/>
    <w:rsid w:val="002D1C94"/>
    <w:rsid w:val="002D1DF3"/>
    <w:rsid w:val="002D201D"/>
    <w:rsid w:val="002D2042"/>
    <w:rsid w:val="002D24B4"/>
    <w:rsid w:val="002D25ED"/>
    <w:rsid w:val="002D274D"/>
    <w:rsid w:val="002D2755"/>
    <w:rsid w:val="002D2A18"/>
    <w:rsid w:val="002D2D8E"/>
    <w:rsid w:val="002D2E07"/>
    <w:rsid w:val="002D2E4A"/>
    <w:rsid w:val="002D2E9C"/>
    <w:rsid w:val="002D3776"/>
    <w:rsid w:val="002D37F2"/>
    <w:rsid w:val="002D38BB"/>
    <w:rsid w:val="002D3981"/>
    <w:rsid w:val="002D39F7"/>
    <w:rsid w:val="002D3A9C"/>
    <w:rsid w:val="002D3AC2"/>
    <w:rsid w:val="002D3EAF"/>
    <w:rsid w:val="002D401F"/>
    <w:rsid w:val="002D42FF"/>
    <w:rsid w:val="002D441D"/>
    <w:rsid w:val="002D4433"/>
    <w:rsid w:val="002D4446"/>
    <w:rsid w:val="002D45D5"/>
    <w:rsid w:val="002D4640"/>
    <w:rsid w:val="002D46C4"/>
    <w:rsid w:val="002D47CA"/>
    <w:rsid w:val="002D4867"/>
    <w:rsid w:val="002D4B3E"/>
    <w:rsid w:val="002D4BC0"/>
    <w:rsid w:val="002D4C0A"/>
    <w:rsid w:val="002D4C39"/>
    <w:rsid w:val="002D4C5E"/>
    <w:rsid w:val="002D4D09"/>
    <w:rsid w:val="002D4D77"/>
    <w:rsid w:val="002D511F"/>
    <w:rsid w:val="002D5403"/>
    <w:rsid w:val="002D5478"/>
    <w:rsid w:val="002D54DC"/>
    <w:rsid w:val="002D560A"/>
    <w:rsid w:val="002D5669"/>
    <w:rsid w:val="002D5685"/>
    <w:rsid w:val="002D569D"/>
    <w:rsid w:val="002D56E4"/>
    <w:rsid w:val="002D5719"/>
    <w:rsid w:val="002D59C0"/>
    <w:rsid w:val="002D5BAD"/>
    <w:rsid w:val="002D5C6C"/>
    <w:rsid w:val="002D5D36"/>
    <w:rsid w:val="002D5D68"/>
    <w:rsid w:val="002D5D94"/>
    <w:rsid w:val="002D5DF3"/>
    <w:rsid w:val="002D5FAA"/>
    <w:rsid w:val="002D6003"/>
    <w:rsid w:val="002D60BA"/>
    <w:rsid w:val="002D6120"/>
    <w:rsid w:val="002D618D"/>
    <w:rsid w:val="002D6367"/>
    <w:rsid w:val="002D64EC"/>
    <w:rsid w:val="002D678C"/>
    <w:rsid w:val="002D6AB2"/>
    <w:rsid w:val="002D6B02"/>
    <w:rsid w:val="002D6CB0"/>
    <w:rsid w:val="002D7057"/>
    <w:rsid w:val="002D713F"/>
    <w:rsid w:val="002D724B"/>
    <w:rsid w:val="002D72C9"/>
    <w:rsid w:val="002D730D"/>
    <w:rsid w:val="002D739D"/>
    <w:rsid w:val="002D76E3"/>
    <w:rsid w:val="002D774C"/>
    <w:rsid w:val="002D77C5"/>
    <w:rsid w:val="002D7933"/>
    <w:rsid w:val="002D79A2"/>
    <w:rsid w:val="002D7AA2"/>
    <w:rsid w:val="002D7C2F"/>
    <w:rsid w:val="002D7C7F"/>
    <w:rsid w:val="002D7D41"/>
    <w:rsid w:val="002D7EA6"/>
    <w:rsid w:val="002E054C"/>
    <w:rsid w:val="002E066F"/>
    <w:rsid w:val="002E0AD0"/>
    <w:rsid w:val="002E0D7D"/>
    <w:rsid w:val="002E0DAF"/>
    <w:rsid w:val="002E0DBA"/>
    <w:rsid w:val="002E0DC8"/>
    <w:rsid w:val="002E0EBC"/>
    <w:rsid w:val="002E10B6"/>
    <w:rsid w:val="002E116B"/>
    <w:rsid w:val="002E1222"/>
    <w:rsid w:val="002E138B"/>
    <w:rsid w:val="002E13EC"/>
    <w:rsid w:val="002E1449"/>
    <w:rsid w:val="002E14FF"/>
    <w:rsid w:val="002E193C"/>
    <w:rsid w:val="002E1952"/>
    <w:rsid w:val="002E19CD"/>
    <w:rsid w:val="002E19EF"/>
    <w:rsid w:val="002E1A19"/>
    <w:rsid w:val="002E1ADB"/>
    <w:rsid w:val="002E1B1C"/>
    <w:rsid w:val="002E1C78"/>
    <w:rsid w:val="002E1C95"/>
    <w:rsid w:val="002E1EA6"/>
    <w:rsid w:val="002E226A"/>
    <w:rsid w:val="002E2326"/>
    <w:rsid w:val="002E2429"/>
    <w:rsid w:val="002E2487"/>
    <w:rsid w:val="002E2708"/>
    <w:rsid w:val="002E2941"/>
    <w:rsid w:val="002E29AC"/>
    <w:rsid w:val="002E2A9C"/>
    <w:rsid w:val="002E2B74"/>
    <w:rsid w:val="002E2B87"/>
    <w:rsid w:val="002E2C95"/>
    <w:rsid w:val="002E2DBF"/>
    <w:rsid w:val="002E2DEE"/>
    <w:rsid w:val="002E2E26"/>
    <w:rsid w:val="002E2EAC"/>
    <w:rsid w:val="002E2ED1"/>
    <w:rsid w:val="002E3003"/>
    <w:rsid w:val="002E319F"/>
    <w:rsid w:val="002E31F6"/>
    <w:rsid w:val="002E351B"/>
    <w:rsid w:val="002E35E8"/>
    <w:rsid w:val="002E380F"/>
    <w:rsid w:val="002E3B71"/>
    <w:rsid w:val="002E3B81"/>
    <w:rsid w:val="002E3DD8"/>
    <w:rsid w:val="002E3EA7"/>
    <w:rsid w:val="002E3FDC"/>
    <w:rsid w:val="002E415A"/>
    <w:rsid w:val="002E41A5"/>
    <w:rsid w:val="002E42C4"/>
    <w:rsid w:val="002E4384"/>
    <w:rsid w:val="002E43E2"/>
    <w:rsid w:val="002E4427"/>
    <w:rsid w:val="002E4429"/>
    <w:rsid w:val="002E4572"/>
    <w:rsid w:val="002E46DF"/>
    <w:rsid w:val="002E47CF"/>
    <w:rsid w:val="002E4853"/>
    <w:rsid w:val="002E4967"/>
    <w:rsid w:val="002E49FD"/>
    <w:rsid w:val="002E4B12"/>
    <w:rsid w:val="002E4C6B"/>
    <w:rsid w:val="002E4E8D"/>
    <w:rsid w:val="002E4FE8"/>
    <w:rsid w:val="002E4FE9"/>
    <w:rsid w:val="002E515F"/>
    <w:rsid w:val="002E51F1"/>
    <w:rsid w:val="002E53DC"/>
    <w:rsid w:val="002E57C0"/>
    <w:rsid w:val="002E585A"/>
    <w:rsid w:val="002E58F4"/>
    <w:rsid w:val="002E59B0"/>
    <w:rsid w:val="002E5A16"/>
    <w:rsid w:val="002E5AC6"/>
    <w:rsid w:val="002E5BFA"/>
    <w:rsid w:val="002E5D3E"/>
    <w:rsid w:val="002E6075"/>
    <w:rsid w:val="002E607A"/>
    <w:rsid w:val="002E6296"/>
    <w:rsid w:val="002E6403"/>
    <w:rsid w:val="002E646B"/>
    <w:rsid w:val="002E6632"/>
    <w:rsid w:val="002E66A7"/>
    <w:rsid w:val="002E67B8"/>
    <w:rsid w:val="002E6804"/>
    <w:rsid w:val="002E68A5"/>
    <w:rsid w:val="002E6930"/>
    <w:rsid w:val="002E6953"/>
    <w:rsid w:val="002E697E"/>
    <w:rsid w:val="002E69EC"/>
    <w:rsid w:val="002E6CC9"/>
    <w:rsid w:val="002E6DAF"/>
    <w:rsid w:val="002E6F2E"/>
    <w:rsid w:val="002E6F3B"/>
    <w:rsid w:val="002E6F43"/>
    <w:rsid w:val="002E6F88"/>
    <w:rsid w:val="002E70A1"/>
    <w:rsid w:val="002E719E"/>
    <w:rsid w:val="002E71E9"/>
    <w:rsid w:val="002E72A5"/>
    <w:rsid w:val="002E74FE"/>
    <w:rsid w:val="002E770D"/>
    <w:rsid w:val="002E77ED"/>
    <w:rsid w:val="002E7874"/>
    <w:rsid w:val="002E78E2"/>
    <w:rsid w:val="002E78F2"/>
    <w:rsid w:val="002E7D4B"/>
    <w:rsid w:val="002E7EA6"/>
    <w:rsid w:val="002E7ED8"/>
    <w:rsid w:val="002F0064"/>
    <w:rsid w:val="002F0129"/>
    <w:rsid w:val="002F02B1"/>
    <w:rsid w:val="002F02B3"/>
    <w:rsid w:val="002F02DA"/>
    <w:rsid w:val="002F035C"/>
    <w:rsid w:val="002F056C"/>
    <w:rsid w:val="002F085E"/>
    <w:rsid w:val="002F0AD9"/>
    <w:rsid w:val="002F0B8A"/>
    <w:rsid w:val="002F0D9D"/>
    <w:rsid w:val="002F0F98"/>
    <w:rsid w:val="002F11EC"/>
    <w:rsid w:val="002F120C"/>
    <w:rsid w:val="002F1245"/>
    <w:rsid w:val="002F125B"/>
    <w:rsid w:val="002F12FE"/>
    <w:rsid w:val="002F13FF"/>
    <w:rsid w:val="002F1726"/>
    <w:rsid w:val="002F17E9"/>
    <w:rsid w:val="002F1890"/>
    <w:rsid w:val="002F19AC"/>
    <w:rsid w:val="002F1B07"/>
    <w:rsid w:val="002F1B08"/>
    <w:rsid w:val="002F1B86"/>
    <w:rsid w:val="002F1C18"/>
    <w:rsid w:val="002F1C21"/>
    <w:rsid w:val="002F1C89"/>
    <w:rsid w:val="002F1D09"/>
    <w:rsid w:val="002F1FB1"/>
    <w:rsid w:val="002F2015"/>
    <w:rsid w:val="002F2054"/>
    <w:rsid w:val="002F20ED"/>
    <w:rsid w:val="002F2172"/>
    <w:rsid w:val="002F21AE"/>
    <w:rsid w:val="002F2308"/>
    <w:rsid w:val="002F2344"/>
    <w:rsid w:val="002F2496"/>
    <w:rsid w:val="002F252B"/>
    <w:rsid w:val="002F2790"/>
    <w:rsid w:val="002F27A2"/>
    <w:rsid w:val="002F28D4"/>
    <w:rsid w:val="002F2942"/>
    <w:rsid w:val="002F29FB"/>
    <w:rsid w:val="002F2A22"/>
    <w:rsid w:val="002F2C1D"/>
    <w:rsid w:val="002F2D97"/>
    <w:rsid w:val="002F2E29"/>
    <w:rsid w:val="002F2FA5"/>
    <w:rsid w:val="002F3042"/>
    <w:rsid w:val="002F3100"/>
    <w:rsid w:val="002F3128"/>
    <w:rsid w:val="002F31B6"/>
    <w:rsid w:val="002F32F5"/>
    <w:rsid w:val="002F3309"/>
    <w:rsid w:val="002F38D9"/>
    <w:rsid w:val="002F38E8"/>
    <w:rsid w:val="002F390C"/>
    <w:rsid w:val="002F3A64"/>
    <w:rsid w:val="002F3AEE"/>
    <w:rsid w:val="002F3B28"/>
    <w:rsid w:val="002F3B79"/>
    <w:rsid w:val="002F3B8A"/>
    <w:rsid w:val="002F3C6B"/>
    <w:rsid w:val="002F3DB3"/>
    <w:rsid w:val="002F3EDF"/>
    <w:rsid w:val="002F3F05"/>
    <w:rsid w:val="002F3F68"/>
    <w:rsid w:val="002F3FDD"/>
    <w:rsid w:val="002F3FFF"/>
    <w:rsid w:val="002F407A"/>
    <w:rsid w:val="002F4295"/>
    <w:rsid w:val="002F45B1"/>
    <w:rsid w:val="002F47EF"/>
    <w:rsid w:val="002F4A7B"/>
    <w:rsid w:val="002F4B24"/>
    <w:rsid w:val="002F4EC9"/>
    <w:rsid w:val="002F4F93"/>
    <w:rsid w:val="002F517C"/>
    <w:rsid w:val="002F51CD"/>
    <w:rsid w:val="002F52B3"/>
    <w:rsid w:val="002F54A5"/>
    <w:rsid w:val="002F569B"/>
    <w:rsid w:val="002F56FA"/>
    <w:rsid w:val="002F5707"/>
    <w:rsid w:val="002F5794"/>
    <w:rsid w:val="002F5872"/>
    <w:rsid w:val="002F590B"/>
    <w:rsid w:val="002F59FC"/>
    <w:rsid w:val="002F5BEF"/>
    <w:rsid w:val="002F5E89"/>
    <w:rsid w:val="002F5F19"/>
    <w:rsid w:val="002F5F82"/>
    <w:rsid w:val="002F5FC8"/>
    <w:rsid w:val="002F6085"/>
    <w:rsid w:val="002F633A"/>
    <w:rsid w:val="002F6363"/>
    <w:rsid w:val="002F6406"/>
    <w:rsid w:val="002F6816"/>
    <w:rsid w:val="002F6D0D"/>
    <w:rsid w:val="002F6FF1"/>
    <w:rsid w:val="002F702D"/>
    <w:rsid w:val="002F7034"/>
    <w:rsid w:val="002F7170"/>
    <w:rsid w:val="002F7288"/>
    <w:rsid w:val="002F7290"/>
    <w:rsid w:val="002F7815"/>
    <w:rsid w:val="002F78DE"/>
    <w:rsid w:val="002F795B"/>
    <w:rsid w:val="002F798D"/>
    <w:rsid w:val="002F7ABD"/>
    <w:rsid w:val="002F7B3A"/>
    <w:rsid w:val="002F7E49"/>
    <w:rsid w:val="002F7FEB"/>
    <w:rsid w:val="003002B3"/>
    <w:rsid w:val="003004B5"/>
    <w:rsid w:val="003007C7"/>
    <w:rsid w:val="00300838"/>
    <w:rsid w:val="00300867"/>
    <w:rsid w:val="0030086F"/>
    <w:rsid w:val="003009D9"/>
    <w:rsid w:val="00300C3C"/>
    <w:rsid w:val="00300E85"/>
    <w:rsid w:val="00300EDD"/>
    <w:rsid w:val="00301018"/>
    <w:rsid w:val="0030109E"/>
    <w:rsid w:val="003013CC"/>
    <w:rsid w:val="003014C9"/>
    <w:rsid w:val="003014CE"/>
    <w:rsid w:val="0030157A"/>
    <w:rsid w:val="003015C5"/>
    <w:rsid w:val="0030166C"/>
    <w:rsid w:val="00301887"/>
    <w:rsid w:val="003018AA"/>
    <w:rsid w:val="00301A5B"/>
    <w:rsid w:val="00301D2A"/>
    <w:rsid w:val="00302160"/>
    <w:rsid w:val="0030223E"/>
    <w:rsid w:val="0030233F"/>
    <w:rsid w:val="00302483"/>
    <w:rsid w:val="00302512"/>
    <w:rsid w:val="00302694"/>
    <w:rsid w:val="003026B2"/>
    <w:rsid w:val="0030270C"/>
    <w:rsid w:val="003027E1"/>
    <w:rsid w:val="00302A3F"/>
    <w:rsid w:val="00302AC6"/>
    <w:rsid w:val="00302B8F"/>
    <w:rsid w:val="00302C0A"/>
    <w:rsid w:val="00302C96"/>
    <w:rsid w:val="00302CB4"/>
    <w:rsid w:val="00302DDC"/>
    <w:rsid w:val="00302DE9"/>
    <w:rsid w:val="0030312A"/>
    <w:rsid w:val="003031F6"/>
    <w:rsid w:val="00303206"/>
    <w:rsid w:val="003033DA"/>
    <w:rsid w:val="00303433"/>
    <w:rsid w:val="0030346C"/>
    <w:rsid w:val="0030349E"/>
    <w:rsid w:val="00303692"/>
    <w:rsid w:val="0030380B"/>
    <w:rsid w:val="00303815"/>
    <w:rsid w:val="00303861"/>
    <w:rsid w:val="00303891"/>
    <w:rsid w:val="00303957"/>
    <w:rsid w:val="00303B44"/>
    <w:rsid w:val="00303BA2"/>
    <w:rsid w:val="00303C7B"/>
    <w:rsid w:val="00303C93"/>
    <w:rsid w:val="00303CE0"/>
    <w:rsid w:val="00303D4D"/>
    <w:rsid w:val="00303E9D"/>
    <w:rsid w:val="003040E6"/>
    <w:rsid w:val="00304247"/>
    <w:rsid w:val="0030460D"/>
    <w:rsid w:val="00304622"/>
    <w:rsid w:val="0030469E"/>
    <w:rsid w:val="003046E4"/>
    <w:rsid w:val="00304832"/>
    <w:rsid w:val="00304AB9"/>
    <w:rsid w:val="00304B2E"/>
    <w:rsid w:val="00304BE5"/>
    <w:rsid w:val="00304C86"/>
    <w:rsid w:val="00304CFA"/>
    <w:rsid w:val="00304E64"/>
    <w:rsid w:val="00304F4C"/>
    <w:rsid w:val="0030504A"/>
    <w:rsid w:val="003050A6"/>
    <w:rsid w:val="003050F1"/>
    <w:rsid w:val="003050FC"/>
    <w:rsid w:val="00305121"/>
    <w:rsid w:val="00305317"/>
    <w:rsid w:val="00305354"/>
    <w:rsid w:val="0030537D"/>
    <w:rsid w:val="003054A5"/>
    <w:rsid w:val="00305523"/>
    <w:rsid w:val="00305596"/>
    <w:rsid w:val="003055C5"/>
    <w:rsid w:val="003056D5"/>
    <w:rsid w:val="0030582B"/>
    <w:rsid w:val="00305835"/>
    <w:rsid w:val="003058D0"/>
    <w:rsid w:val="003058E1"/>
    <w:rsid w:val="00305984"/>
    <w:rsid w:val="00305DCA"/>
    <w:rsid w:val="00305DD0"/>
    <w:rsid w:val="00305F4A"/>
    <w:rsid w:val="00305F4F"/>
    <w:rsid w:val="00305F7F"/>
    <w:rsid w:val="00305FC7"/>
    <w:rsid w:val="00306159"/>
    <w:rsid w:val="00306246"/>
    <w:rsid w:val="00306247"/>
    <w:rsid w:val="003067A6"/>
    <w:rsid w:val="00306B89"/>
    <w:rsid w:val="00306BB7"/>
    <w:rsid w:val="00306C6C"/>
    <w:rsid w:val="00306EAA"/>
    <w:rsid w:val="00307057"/>
    <w:rsid w:val="00307152"/>
    <w:rsid w:val="0030747B"/>
    <w:rsid w:val="003074A4"/>
    <w:rsid w:val="0030751B"/>
    <w:rsid w:val="00307621"/>
    <w:rsid w:val="00307658"/>
    <w:rsid w:val="00307761"/>
    <w:rsid w:val="003077BB"/>
    <w:rsid w:val="003077C0"/>
    <w:rsid w:val="003077D7"/>
    <w:rsid w:val="00307975"/>
    <w:rsid w:val="00307995"/>
    <w:rsid w:val="00307AE3"/>
    <w:rsid w:val="00307D85"/>
    <w:rsid w:val="00307E71"/>
    <w:rsid w:val="00307EBA"/>
    <w:rsid w:val="00307F5D"/>
    <w:rsid w:val="00310064"/>
    <w:rsid w:val="0031006F"/>
    <w:rsid w:val="003100E1"/>
    <w:rsid w:val="0031033A"/>
    <w:rsid w:val="003103F5"/>
    <w:rsid w:val="0031045A"/>
    <w:rsid w:val="00310558"/>
    <w:rsid w:val="00310672"/>
    <w:rsid w:val="00310692"/>
    <w:rsid w:val="0031071F"/>
    <w:rsid w:val="0031074C"/>
    <w:rsid w:val="00310942"/>
    <w:rsid w:val="00310A14"/>
    <w:rsid w:val="00310A1F"/>
    <w:rsid w:val="00310B60"/>
    <w:rsid w:val="00310C00"/>
    <w:rsid w:val="003110D6"/>
    <w:rsid w:val="00311122"/>
    <w:rsid w:val="0031115A"/>
    <w:rsid w:val="00311439"/>
    <w:rsid w:val="003114A2"/>
    <w:rsid w:val="00311512"/>
    <w:rsid w:val="0031154A"/>
    <w:rsid w:val="003115C3"/>
    <w:rsid w:val="00311A91"/>
    <w:rsid w:val="00311C89"/>
    <w:rsid w:val="00311CEB"/>
    <w:rsid w:val="00311DC0"/>
    <w:rsid w:val="00311FA7"/>
    <w:rsid w:val="00312190"/>
    <w:rsid w:val="0031257E"/>
    <w:rsid w:val="003127CA"/>
    <w:rsid w:val="00312876"/>
    <w:rsid w:val="003129B5"/>
    <w:rsid w:val="003129B7"/>
    <w:rsid w:val="00312B76"/>
    <w:rsid w:val="00312E05"/>
    <w:rsid w:val="00312F72"/>
    <w:rsid w:val="00312F95"/>
    <w:rsid w:val="00312FE0"/>
    <w:rsid w:val="00313179"/>
    <w:rsid w:val="003131C1"/>
    <w:rsid w:val="003133E0"/>
    <w:rsid w:val="0031367F"/>
    <w:rsid w:val="00313739"/>
    <w:rsid w:val="00313789"/>
    <w:rsid w:val="0031385A"/>
    <w:rsid w:val="003138FC"/>
    <w:rsid w:val="0031391A"/>
    <w:rsid w:val="003139C1"/>
    <w:rsid w:val="00313A4E"/>
    <w:rsid w:val="00313B3C"/>
    <w:rsid w:val="00313B90"/>
    <w:rsid w:val="00313EC6"/>
    <w:rsid w:val="00313F5D"/>
    <w:rsid w:val="0031423D"/>
    <w:rsid w:val="00314330"/>
    <w:rsid w:val="003144CE"/>
    <w:rsid w:val="003146A0"/>
    <w:rsid w:val="00314837"/>
    <w:rsid w:val="00314ABF"/>
    <w:rsid w:val="00314BDF"/>
    <w:rsid w:val="00314BE3"/>
    <w:rsid w:val="00314C31"/>
    <w:rsid w:val="00314DDE"/>
    <w:rsid w:val="00314EB2"/>
    <w:rsid w:val="00314EDA"/>
    <w:rsid w:val="0031504A"/>
    <w:rsid w:val="003150E5"/>
    <w:rsid w:val="00315227"/>
    <w:rsid w:val="0031533C"/>
    <w:rsid w:val="00315813"/>
    <w:rsid w:val="00315888"/>
    <w:rsid w:val="003158D2"/>
    <w:rsid w:val="00315960"/>
    <w:rsid w:val="00315968"/>
    <w:rsid w:val="00315982"/>
    <w:rsid w:val="00315C02"/>
    <w:rsid w:val="00315C79"/>
    <w:rsid w:val="00315DBC"/>
    <w:rsid w:val="00315E9D"/>
    <w:rsid w:val="00315ED3"/>
    <w:rsid w:val="00315EED"/>
    <w:rsid w:val="00315F5F"/>
    <w:rsid w:val="00315FEB"/>
    <w:rsid w:val="00316046"/>
    <w:rsid w:val="003160BD"/>
    <w:rsid w:val="00316242"/>
    <w:rsid w:val="003163F0"/>
    <w:rsid w:val="00316425"/>
    <w:rsid w:val="003164FF"/>
    <w:rsid w:val="0031677A"/>
    <w:rsid w:val="003167F1"/>
    <w:rsid w:val="00316868"/>
    <w:rsid w:val="00316896"/>
    <w:rsid w:val="0031695A"/>
    <w:rsid w:val="003169F7"/>
    <w:rsid w:val="00316D8D"/>
    <w:rsid w:val="00316DBE"/>
    <w:rsid w:val="00316F45"/>
    <w:rsid w:val="003171AF"/>
    <w:rsid w:val="003171CA"/>
    <w:rsid w:val="003171DB"/>
    <w:rsid w:val="003171DE"/>
    <w:rsid w:val="003172C7"/>
    <w:rsid w:val="00317339"/>
    <w:rsid w:val="00317378"/>
    <w:rsid w:val="003173EA"/>
    <w:rsid w:val="003175B1"/>
    <w:rsid w:val="003175CF"/>
    <w:rsid w:val="003176E1"/>
    <w:rsid w:val="003176E4"/>
    <w:rsid w:val="0031771B"/>
    <w:rsid w:val="003177A7"/>
    <w:rsid w:val="003177FA"/>
    <w:rsid w:val="0031791E"/>
    <w:rsid w:val="00317ABC"/>
    <w:rsid w:val="00317E3A"/>
    <w:rsid w:val="00317ECF"/>
    <w:rsid w:val="00317F66"/>
    <w:rsid w:val="00317F81"/>
    <w:rsid w:val="0032008E"/>
    <w:rsid w:val="00320090"/>
    <w:rsid w:val="0032014B"/>
    <w:rsid w:val="003201E4"/>
    <w:rsid w:val="003201EE"/>
    <w:rsid w:val="0032021E"/>
    <w:rsid w:val="003204D2"/>
    <w:rsid w:val="0032053D"/>
    <w:rsid w:val="00320623"/>
    <w:rsid w:val="003208B9"/>
    <w:rsid w:val="00320946"/>
    <w:rsid w:val="0032094E"/>
    <w:rsid w:val="0032099F"/>
    <w:rsid w:val="00320A6F"/>
    <w:rsid w:val="00320B73"/>
    <w:rsid w:val="00320B83"/>
    <w:rsid w:val="00320BD4"/>
    <w:rsid w:val="00320D78"/>
    <w:rsid w:val="00320DB7"/>
    <w:rsid w:val="00320EC1"/>
    <w:rsid w:val="00320ED2"/>
    <w:rsid w:val="00320F61"/>
    <w:rsid w:val="003210C3"/>
    <w:rsid w:val="003211ED"/>
    <w:rsid w:val="00321329"/>
    <w:rsid w:val="00321331"/>
    <w:rsid w:val="003213D3"/>
    <w:rsid w:val="0032141B"/>
    <w:rsid w:val="003214EF"/>
    <w:rsid w:val="00321538"/>
    <w:rsid w:val="0032158F"/>
    <w:rsid w:val="00321590"/>
    <w:rsid w:val="0032159A"/>
    <w:rsid w:val="00321615"/>
    <w:rsid w:val="003218C9"/>
    <w:rsid w:val="0032192B"/>
    <w:rsid w:val="00321992"/>
    <w:rsid w:val="00321B86"/>
    <w:rsid w:val="00321C9E"/>
    <w:rsid w:val="00321CA1"/>
    <w:rsid w:val="00321CFC"/>
    <w:rsid w:val="003220BE"/>
    <w:rsid w:val="003220E5"/>
    <w:rsid w:val="0032233C"/>
    <w:rsid w:val="003223E9"/>
    <w:rsid w:val="00322486"/>
    <w:rsid w:val="003225D2"/>
    <w:rsid w:val="00322601"/>
    <w:rsid w:val="003226E7"/>
    <w:rsid w:val="00322775"/>
    <w:rsid w:val="003227A3"/>
    <w:rsid w:val="0032287C"/>
    <w:rsid w:val="00322A0F"/>
    <w:rsid w:val="00322B13"/>
    <w:rsid w:val="00322B72"/>
    <w:rsid w:val="00322B97"/>
    <w:rsid w:val="00322ED6"/>
    <w:rsid w:val="00323083"/>
    <w:rsid w:val="0032310B"/>
    <w:rsid w:val="0032312C"/>
    <w:rsid w:val="00323185"/>
    <w:rsid w:val="0032321D"/>
    <w:rsid w:val="00323262"/>
    <w:rsid w:val="003234E6"/>
    <w:rsid w:val="0032382A"/>
    <w:rsid w:val="00323943"/>
    <w:rsid w:val="003239A9"/>
    <w:rsid w:val="00323B52"/>
    <w:rsid w:val="00323B8D"/>
    <w:rsid w:val="00323C09"/>
    <w:rsid w:val="00323E5A"/>
    <w:rsid w:val="00323ECC"/>
    <w:rsid w:val="003240FE"/>
    <w:rsid w:val="003242B1"/>
    <w:rsid w:val="003242B3"/>
    <w:rsid w:val="003242B5"/>
    <w:rsid w:val="00324387"/>
    <w:rsid w:val="003243A7"/>
    <w:rsid w:val="003243B2"/>
    <w:rsid w:val="003243EF"/>
    <w:rsid w:val="0032478A"/>
    <w:rsid w:val="00324833"/>
    <w:rsid w:val="00324872"/>
    <w:rsid w:val="00324906"/>
    <w:rsid w:val="00324918"/>
    <w:rsid w:val="0032494F"/>
    <w:rsid w:val="00324AF7"/>
    <w:rsid w:val="00324BA4"/>
    <w:rsid w:val="00324BAF"/>
    <w:rsid w:val="00324D11"/>
    <w:rsid w:val="00324D69"/>
    <w:rsid w:val="003250E5"/>
    <w:rsid w:val="0032529A"/>
    <w:rsid w:val="003252E0"/>
    <w:rsid w:val="00325358"/>
    <w:rsid w:val="003253C2"/>
    <w:rsid w:val="00325455"/>
    <w:rsid w:val="003256A9"/>
    <w:rsid w:val="003257D6"/>
    <w:rsid w:val="00325A37"/>
    <w:rsid w:val="00325A3D"/>
    <w:rsid w:val="00325D2B"/>
    <w:rsid w:val="00325D4A"/>
    <w:rsid w:val="00325E69"/>
    <w:rsid w:val="00326065"/>
    <w:rsid w:val="0032606F"/>
    <w:rsid w:val="0032627A"/>
    <w:rsid w:val="0032643F"/>
    <w:rsid w:val="003265F6"/>
    <w:rsid w:val="0032661B"/>
    <w:rsid w:val="00326894"/>
    <w:rsid w:val="00326AC9"/>
    <w:rsid w:val="00326B29"/>
    <w:rsid w:val="00326C3A"/>
    <w:rsid w:val="00326E30"/>
    <w:rsid w:val="00326E8E"/>
    <w:rsid w:val="00326F39"/>
    <w:rsid w:val="00326FCF"/>
    <w:rsid w:val="0032701B"/>
    <w:rsid w:val="00327046"/>
    <w:rsid w:val="00327099"/>
    <w:rsid w:val="00327173"/>
    <w:rsid w:val="00327318"/>
    <w:rsid w:val="0032745D"/>
    <w:rsid w:val="003274FE"/>
    <w:rsid w:val="0032751D"/>
    <w:rsid w:val="0032761D"/>
    <w:rsid w:val="0032768E"/>
    <w:rsid w:val="00327739"/>
    <w:rsid w:val="0032774C"/>
    <w:rsid w:val="00327889"/>
    <w:rsid w:val="00327974"/>
    <w:rsid w:val="00327A05"/>
    <w:rsid w:val="00327CA0"/>
    <w:rsid w:val="00327CB4"/>
    <w:rsid w:val="00327D94"/>
    <w:rsid w:val="00327DA4"/>
    <w:rsid w:val="00327E21"/>
    <w:rsid w:val="00327E4F"/>
    <w:rsid w:val="00330010"/>
    <w:rsid w:val="0033006D"/>
    <w:rsid w:val="0033050C"/>
    <w:rsid w:val="0033077D"/>
    <w:rsid w:val="003309A4"/>
    <w:rsid w:val="003309EF"/>
    <w:rsid w:val="00330B43"/>
    <w:rsid w:val="00330B4E"/>
    <w:rsid w:val="00330D7A"/>
    <w:rsid w:val="00330DCD"/>
    <w:rsid w:val="00330E97"/>
    <w:rsid w:val="00330EA9"/>
    <w:rsid w:val="003310D1"/>
    <w:rsid w:val="003310D2"/>
    <w:rsid w:val="003310D8"/>
    <w:rsid w:val="0033128A"/>
    <w:rsid w:val="0033166F"/>
    <w:rsid w:val="0033176B"/>
    <w:rsid w:val="00331893"/>
    <w:rsid w:val="00331C24"/>
    <w:rsid w:val="00331CAD"/>
    <w:rsid w:val="00331CB1"/>
    <w:rsid w:val="00331CEB"/>
    <w:rsid w:val="00331D7C"/>
    <w:rsid w:val="00331FEA"/>
    <w:rsid w:val="00331FF2"/>
    <w:rsid w:val="0033201E"/>
    <w:rsid w:val="00332062"/>
    <w:rsid w:val="003320FF"/>
    <w:rsid w:val="00332104"/>
    <w:rsid w:val="00332247"/>
    <w:rsid w:val="003324E4"/>
    <w:rsid w:val="0033266C"/>
    <w:rsid w:val="003326B3"/>
    <w:rsid w:val="003327F3"/>
    <w:rsid w:val="00332894"/>
    <w:rsid w:val="00332994"/>
    <w:rsid w:val="003329BA"/>
    <w:rsid w:val="00332AA0"/>
    <w:rsid w:val="00332E4D"/>
    <w:rsid w:val="00332FA1"/>
    <w:rsid w:val="00332FE7"/>
    <w:rsid w:val="0033308A"/>
    <w:rsid w:val="00333249"/>
    <w:rsid w:val="00333274"/>
    <w:rsid w:val="003332A8"/>
    <w:rsid w:val="003334CC"/>
    <w:rsid w:val="0033380E"/>
    <w:rsid w:val="00333A3C"/>
    <w:rsid w:val="00333A9C"/>
    <w:rsid w:val="00333B46"/>
    <w:rsid w:val="00333E66"/>
    <w:rsid w:val="003340D9"/>
    <w:rsid w:val="0033427B"/>
    <w:rsid w:val="0033431F"/>
    <w:rsid w:val="00334356"/>
    <w:rsid w:val="00334704"/>
    <w:rsid w:val="003348F1"/>
    <w:rsid w:val="00334949"/>
    <w:rsid w:val="00334967"/>
    <w:rsid w:val="00334AC9"/>
    <w:rsid w:val="00334C71"/>
    <w:rsid w:val="00334E6B"/>
    <w:rsid w:val="00334FCA"/>
    <w:rsid w:val="003350C3"/>
    <w:rsid w:val="003350D6"/>
    <w:rsid w:val="003351CA"/>
    <w:rsid w:val="00335312"/>
    <w:rsid w:val="0033536C"/>
    <w:rsid w:val="003356AD"/>
    <w:rsid w:val="003356C3"/>
    <w:rsid w:val="0033576A"/>
    <w:rsid w:val="00335A0E"/>
    <w:rsid w:val="00335A6B"/>
    <w:rsid w:val="00335E81"/>
    <w:rsid w:val="00335FC0"/>
    <w:rsid w:val="003363B5"/>
    <w:rsid w:val="00336500"/>
    <w:rsid w:val="0033661E"/>
    <w:rsid w:val="00336744"/>
    <w:rsid w:val="00336846"/>
    <w:rsid w:val="003368E9"/>
    <w:rsid w:val="00336A19"/>
    <w:rsid w:val="00336AB8"/>
    <w:rsid w:val="00336D3A"/>
    <w:rsid w:val="00337022"/>
    <w:rsid w:val="0033706D"/>
    <w:rsid w:val="0033708D"/>
    <w:rsid w:val="00337196"/>
    <w:rsid w:val="00337252"/>
    <w:rsid w:val="00337546"/>
    <w:rsid w:val="00337569"/>
    <w:rsid w:val="003375DA"/>
    <w:rsid w:val="00337677"/>
    <w:rsid w:val="0033784E"/>
    <w:rsid w:val="00337993"/>
    <w:rsid w:val="00337A6B"/>
    <w:rsid w:val="00337A87"/>
    <w:rsid w:val="00337B08"/>
    <w:rsid w:val="00337B35"/>
    <w:rsid w:val="00337C5F"/>
    <w:rsid w:val="00337D1D"/>
    <w:rsid w:val="00337D44"/>
    <w:rsid w:val="00337D6C"/>
    <w:rsid w:val="00337DE9"/>
    <w:rsid w:val="00337E25"/>
    <w:rsid w:val="00337E54"/>
    <w:rsid w:val="00337EAC"/>
    <w:rsid w:val="00337FE7"/>
    <w:rsid w:val="00340037"/>
    <w:rsid w:val="0034020D"/>
    <w:rsid w:val="003402CF"/>
    <w:rsid w:val="00340327"/>
    <w:rsid w:val="00340330"/>
    <w:rsid w:val="00340395"/>
    <w:rsid w:val="003403E6"/>
    <w:rsid w:val="0034041E"/>
    <w:rsid w:val="0034044E"/>
    <w:rsid w:val="003405F8"/>
    <w:rsid w:val="003405FD"/>
    <w:rsid w:val="003406E7"/>
    <w:rsid w:val="00340792"/>
    <w:rsid w:val="003409E6"/>
    <w:rsid w:val="00340A1E"/>
    <w:rsid w:val="00340BDC"/>
    <w:rsid w:val="00340C45"/>
    <w:rsid w:val="00340CF3"/>
    <w:rsid w:val="00340D40"/>
    <w:rsid w:val="00340E28"/>
    <w:rsid w:val="00340FB2"/>
    <w:rsid w:val="0034109A"/>
    <w:rsid w:val="003413A7"/>
    <w:rsid w:val="00341592"/>
    <w:rsid w:val="0034181E"/>
    <w:rsid w:val="0034196B"/>
    <w:rsid w:val="00341A5A"/>
    <w:rsid w:val="00341DFA"/>
    <w:rsid w:val="00341E19"/>
    <w:rsid w:val="00341E83"/>
    <w:rsid w:val="0034217E"/>
    <w:rsid w:val="003423FE"/>
    <w:rsid w:val="00342403"/>
    <w:rsid w:val="003425E0"/>
    <w:rsid w:val="00342632"/>
    <w:rsid w:val="003427EB"/>
    <w:rsid w:val="0034292C"/>
    <w:rsid w:val="00342AB5"/>
    <w:rsid w:val="00342C9F"/>
    <w:rsid w:val="00342D7F"/>
    <w:rsid w:val="00342F2B"/>
    <w:rsid w:val="00342FA5"/>
    <w:rsid w:val="00343110"/>
    <w:rsid w:val="0034316E"/>
    <w:rsid w:val="0034328B"/>
    <w:rsid w:val="0034345A"/>
    <w:rsid w:val="003434D0"/>
    <w:rsid w:val="003434F9"/>
    <w:rsid w:val="003436C0"/>
    <w:rsid w:val="003437DE"/>
    <w:rsid w:val="003438DE"/>
    <w:rsid w:val="00343902"/>
    <w:rsid w:val="003439F9"/>
    <w:rsid w:val="00343B2A"/>
    <w:rsid w:val="00343B7F"/>
    <w:rsid w:val="00343B96"/>
    <w:rsid w:val="00343BFD"/>
    <w:rsid w:val="00343CE6"/>
    <w:rsid w:val="00343CFC"/>
    <w:rsid w:val="00344057"/>
    <w:rsid w:val="0034426A"/>
    <w:rsid w:val="003442F1"/>
    <w:rsid w:val="003443B4"/>
    <w:rsid w:val="003443D0"/>
    <w:rsid w:val="00344407"/>
    <w:rsid w:val="003444CD"/>
    <w:rsid w:val="003444EE"/>
    <w:rsid w:val="0034456F"/>
    <w:rsid w:val="003445EE"/>
    <w:rsid w:val="0034464E"/>
    <w:rsid w:val="0034484B"/>
    <w:rsid w:val="00344896"/>
    <w:rsid w:val="003449DA"/>
    <w:rsid w:val="00344A98"/>
    <w:rsid w:val="00344C39"/>
    <w:rsid w:val="00344F99"/>
    <w:rsid w:val="003452C8"/>
    <w:rsid w:val="00345313"/>
    <w:rsid w:val="003453E2"/>
    <w:rsid w:val="0034543E"/>
    <w:rsid w:val="00345451"/>
    <w:rsid w:val="00345510"/>
    <w:rsid w:val="003456AA"/>
    <w:rsid w:val="00345860"/>
    <w:rsid w:val="0034596E"/>
    <w:rsid w:val="00345C0E"/>
    <w:rsid w:val="00345D99"/>
    <w:rsid w:val="00345E51"/>
    <w:rsid w:val="003461DE"/>
    <w:rsid w:val="003465F9"/>
    <w:rsid w:val="0034661C"/>
    <w:rsid w:val="00346720"/>
    <w:rsid w:val="003468A5"/>
    <w:rsid w:val="003468D6"/>
    <w:rsid w:val="00346982"/>
    <w:rsid w:val="003469D8"/>
    <w:rsid w:val="00346A65"/>
    <w:rsid w:val="00346B71"/>
    <w:rsid w:val="00346BB5"/>
    <w:rsid w:val="00346DB3"/>
    <w:rsid w:val="00346E71"/>
    <w:rsid w:val="00346FFF"/>
    <w:rsid w:val="003470EF"/>
    <w:rsid w:val="00347181"/>
    <w:rsid w:val="00347361"/>
    <w:rsid w:val="003474E9"/>
    <w:rsid w:val="0034770D"/>
    <w:rsid w:val="00347867"/>
    <w:rsid w:val="0034789D"/>
    <w:rsid w:val="003478D9"/>
    <w:rsid w:val="003478DB"/>
    <w:rsid w:val="003479EC"/>
    <w:rsid w:val="00347AC9"/>
    <w:rsid w:val="00347ADA"/>
    <w:rsid w:val="00347B45"/>
    <w:rsid w:val="00347BDF"/>
    <w:rsid w:val="00347DEB"/>
    <w:rsid w:val="00347EC8"/>
    <w:rsid w:val="00347FA8"/>
    <w:rsid w:val="0035010D"/>
    <w:rsid w:val="0035018C"/>
    <w:rsid w:val="003501CE"/>
    <w:rsid w:val="003502AA"/>
    <w:rsid w:val="0035031F"/>
    <w:rsid w:val="0035086B"/>
    <w:rsid w:val="003508FC"/>
    <w:rsid w:val="0035094B"/>
    <w:rsid w:val="00350AC9"/>
    <w:rsid w:val="00350BD4"/>
    <w:rsid w:val="00350D16"/>
    <w:rsid w:val="00350D2D"/>
    <w:rsid w:val="00350DFF"/>
    <w:rsid w:val="00350E2C"/>
    <w:rsid w:val="00350E82"/>
    <w:rsid w:val="00350F5F"/>
    <w:rsid w:val="00350F71"/>
    <w:rsid w:val="00351145"/>
    <w:rsid w:val="003511D6"/>
    <w:rsid w:val="00351210"/>
    <w:rsid w:val="00351313"/>
    <w:rsid w:val="00351405"/>
    <w:rsid w:val="0035143B"/>
    <w:rsid w:val="0035157A"/>
    <w:rsid w:val="0035168B"/>
    <w:rsid w:val="0035183E"/>
    <w:rsid w:val="00351842"/>
    <w:rsid w:val="00351941"/>
    <w:rsid w:val="0035198D"/>
    <w:rsid w:val="00351A64"/>
    <w:rsid w:val="00351D08"/>
    <w:rsid w:val="00351F49"/>
    <w:rsid w:val="003522ED"/>
    <w:rsid w:val="003523AB"/>
    <w:rsid w:val="00352470"/>
    <w:rsid w:val="00352647"/>
    <w:rsid w:val="0035269A"/>
    <w:rsid w:val="003527E5"/>
    <w:rsid w:val="003527FD"/>
    <w:rsid w:val="003528E4"/>
    <w:rsid w:val="0035294F"/>
    <w:rsid w:val="003529A8"/>
    <w:rsid w:val="00352BE7"/>
    <w:rsid w:val="00352CF5"/>
    <w:rsid w:val="00352DB8"/>
    <w:rsid w:val="00352DDE"/>
    <w:rsid w:val="00352F57"/>
    <w:rsid w:val="00352FA0"/>
    <w:rsid w:val="003531FF"/>
    <w:rsid w:val="003535CB"/>
    <w:rsid w:val="00353695"/>
    <w:rsid w:val="003537E5"/>
    <w:rsid w:val="00353997"/>
    <w:rsid w:val="0035399D"/>
    <w:rsid w:val="00353C14"/>
    <w:rsid w:val="00353C19"/>
    <w:rsid w:val="00353DCB"/>
    <w:rsid w:val="00353F00"/>
    <w:rsid w:val="003541F8"/>
    <w:rsid w:val="003543C2"/>
    <w:rsid w:val="0035454B"/>
    <w:rsid w:val="00354717"/>
    <w:rsid w:val="00354730"/>
    <w:rsid w:val="003547D9"/>
    <w:rsid w:val="0035491B"/>
    <w:rsid w:val="0035495C"/>
    <w:rsid w:val="00354ABB"/>
    <w:rsid w:val="00354AC3"/>
    <w:rsid w:val="00354BEC"/>
    <w:rsid w:val="00354CC2"/>
    <w:rsid w:val="00354D83"/>
    <w:rsid w:val="00354E54"/>
    <w:rsid w:val="00354F62"/>
    <w:rsid w:val="003551F8"/>
    <w:rsid w:val="0035529A"/>
    <w:rsid w:val="0035539A"/>
    <w:rsid w:val="003553AD"/>
    <w:rsid w:val="003555A0"/>
    <w:rsid w:val="003555EB"/>
    <w:rsid w:val="00355748"/>
    <w:rsid w:val="0035575A"/>
    <w:rsid w:val="00355830"/>
    <w:rsid w:val="00355B7C"/>
    <w:rsid w:val="00355DA8"/>
    <w:rsid w:val="00355DB4"/>
    <w:rsid w:val="00355DBE"/>
    <w:rsid w:val="00355E70"/>
    <w:rsid w:val="00355ED8"/>
    <w:rsid w:val="00355F21"/>
    <w:rsid w:val="003560AA"/>
    <w:rsid w:val="0035619B"/>
    <w:rsid w:val="003564FF"/>
    <w:rsid w:val="0035683D"/>
    <w:rsid w:val="0035687D"/>
    <w:rsid w:val="003568C0"/>
    <w:rsid w:val="00356979"/>
    <w:rsid w:val="00356C3D"/>
    <w:rsid w:val="00356CA2"/>
    <w:rsid w:val="00356DF7"/>
    <w:rsid w:val="00356E88"/>
    <w:rsid w:val="00356E94"/>
    <w:rsid w:val="00356F0A"/>
    <w:rsid w:val="00356FB9"/>
    <w:rsid w:val="00356FBD"/>
    <w:rsid w:val="0035719C"/>
    <w:rsid w:val="003571C4"/>
    <w:rsid w:val="00357200"/>
    <w:rsid w:val="0035733C"/>
    <w:rsid w:val="00357463"/>
    <w:rsid w:val="00357541"/>
    <w:rsid w:val="00357667"/>
    <w:rsid w:val="003576DD"/>
    <w:rsid w:val="00357C1D"/>
    <w:rsid w:val="00357C29"/>
    <w:rsid w:val="00357D5A"/>
    <w:rsid w:val="00357DC6"/>
    <w:rsid w:val="00360062"/>
    <w:rsid w:val="0036009F"/>
    <w:rsid w:val="003601D6"/>
    <w:rsid w:val="00360202"/>
    <w:rsid w:val="003602B3"/>
    <w:rsid w:val="00360516"/>
    <w:rsid w:val="003605AD"/>
    <w:rsid w:val="00360654"/>
    <w:rsid w:val="0036065B"/>
    <w:rsid w:val="00360795"/>
    <w:rsid w:val="00360B9A"/>
    <w:rsid w:val="00360C7B"/>
    <w:rsid w:val="00360D2E"/>
    <w:rsid w:val="00360F40"/>
    <w:rsid w:val="00361179"/>
    <w:rsid w:val="00361276"/>
    <w:rsid w:val="00361511"/>
    <w:rsid w:val="003617F5"/>
    <w:rsid w:val="003617F7"/>
    <w:rsid w:val="00361A2C"/>
    <w:rsid w:val="00361DC1"/>
    <w:rsid w:val="00361E65"/>
    <w:rsid w:val="00361E69"/>
    <w:rsid w:val="003621AF"/>
    <w:rsid w:val="00362220"/>
    <w:rsid w:val="0036247E"/>
    <w:rsid w:val="00362590"/>
    <w:rsid w:val="00362783"/>
    <w:rsid w:val="00362880"/>
    <w:rsid w:val="003628A3"/>
    <w:rsid w:val="003628F7"/>
    <w:rsid w:val="00362A25"/>
    <w:rsid w:val="00362DD2"/>
    <w:rsid w:val="00362E18"/>
    <w:rsid w:val="00362EDA"/>
    <w:rsid w:val="00362F90"/>
    <w:rsid w:val="00362FA4"/>
    <w:rsid w:val="00363018"/>
    <w:rsid w:val="003631BA"/>
    <w:rsid w:val="00363320"/>
    <w:rsid w:val="003633C2"/>
    <w:rsid w:val="003634EF"/>
    <w:rsid w:val="0036379F"/>
    <w:rsid w:val="00363A26"/>
    <w:rsid w:val="00363BAD"/>
    <w:rsid w:val="00363E96"/>
    <w:rsid w:val="00364256"/>
    <w:rsid w:val="003642CD"/>
    <w:rsid w:val="003642DF"/>
    <w:rsid w:val="003643BE"/>
    <w:rsid w:val="003646AB"/>
    <w:rsid w:val="0036480A"/>
    <w:rsid w:val="00364819"/>
    <w:rsid w:val="003649D0"/>
    <w:rsid w:val="00364AA2"/>
    <w:rsid w:val="00364ADB"/>
    <w:rsid w:val="00364AF5"/>
    <w:rsid w:val="00364DF9"/>
    <w:rsid w:val="00364E2D"/>
    <w:rsid w:val="00364E91"/>
    <w:rsid w:val="00364ED7"/>
    <w:rsid w:val="00364F10"/>
    <w:rsid w:val="00365191"/>
    <w:rsid w:val="003652F2"/>
    <w:rsid w:val="00365527"/>
    <w:rsid w:val="0036553A"/>
    <w:rsid w:val="00365642"/>
    <w:rsid w:val="00365675"/>
    <w:rsid w:val="003657AC"/>
    <w:rsid w:val="00365839"/>
    <w:rsid w:val="00365917"/>
    <w:rsid w:val="003659F8"/>
    <w:rsid w:val="00365A8A"/>
    <w:rsid w:val="00365AA3"/>
    <w:rsid w:val="00365BE0"/>
    <w:rsid w:val="00365F2C"/>
    <w:rsid w:val="00366060"/>
    <w:rsid w:val="00366357"/>
    <w:rsid w:val="00366373"/>
    <w:rsid w:val="00366429"/>
    <w:rsid w:val="003665A1"/>
    <w:rsid w:val="0036695F"/>
    <w:rsid w:val="00366A4A"/>
    <w:rsid w:val="00366AE5"/>
    <w:rsid w:val="0036711E"/>
    <w:rsid w:val="0036725E"/>
    <w:rsid w:val="00367359"/>
    <w:rsid w:val="003673B3"/>
    <w:rsid w:val="00367413"/>
    <w:rsid w:val="00367415"/>
    <w:rsid w:val="0036761C"/>
    <w:rsid w:val="00367646"/>
    <w:rsid w:val="003676FC"/>
    <w:rsid w:val="0036794F"/>
    <w:rsid w:val="00367962"/>
    <w:rsid w:val="00367A53"/>
    <w:rsid w:val="00367AA9"/>
    <w:rsid w:val="00367BEE"/>
    <w:rsid w:val="00367C0A"/>
    <w:rsid w:val="00367C9E"/>
    <w:rsid w:val="00367F23"/>
    <w:rsid w:val="00370003"/>
    <w:rsid w:val="00370098"/>
    <w:rsid w:val="0037012C"/>
    <w:rsid w:val="00370162"/>
    <w:rsid w:val="003702B1"/>
    <w:rsid w:val="003702CC"/>
    <w:rsid w:val="00370313"/>
    <w:rsid w:val="00370444"/>
    <w:rsid w:val="00370516"/>
    <w:rsid w:val="003706DD"/>
    <w:rsid w:val="00370700"/>
    <w:rsid w:val="00370727"/>
    <w:rsid w:val="0037089D"/>
    <w:rsid w:val="003709A4"/>
    <w:rsid w:val="00370A90"/>
    <w:rsid w:val="00370E4E"/>
    <w:rsid w:val="00370EB6"/>
    <w:rsid w:val="00370F62"/>
    <w:rsid w:val="00370F70"/>
    <w:rsid w:val="003710BC"/>
    <w:rsid w:val="003710D9"/>
    <w:rsid w:val="00371176"/>
    <w:rsid w:val="003711B9"/>
    <w:rsid w:val="003711E1"/>
    <w:rsid w:val="003711E3"/>
    <w:rsid w:val="0037120A"/>
    <w:rsid w:val="0037138B"/>
    <w:rsid w:val="0037147B"/>
    <w:rsid w:val="003714B8"/>
    <w:rsid w:val="003715D7"/>
    <w:rsid w:val="00371644"/>
    <w:rsid w:val="00371723"/>
    <w:rsid w:val="00371753"/>
    <w:rsid w:val="003718D3"/>
    <w:rsid w:val="0037197A"/>
    <w:rsid w:val="003719A6"/>
    <w:rsid w:val="00371C5F"/>
    <w:rsid w:val="00371CA8"/>
    <w:rsid w:val="00371DB7"/>
    <w:rsid w:val="00371EB7"/>
    <w:rsid w:val="00371EFC"/>
    <w:rsid w:val="00371FDF"/>
    <w:rsid w:val="003725E7"/>
    <w:rsid w:val="003726AE"/>
    <w:rsid w:val="00372986"/>
    <w:rsid w:val="003729A8"/>
    <w:rsid w:val="00372A7D"/>
    <w:rsid w:val="00372C0C"/>
    <w:rsid w:val="00372C10"/>
    <w:rsid w:val="00372E5D"/>
    <w:rsid w:val="00372F6B"/>
    <w:rsid w:val="00372FA0"/>
    <w:rsid w:val="00372FAA"/>
    <w:rsid w:val="00373183"/>
    <w:rsid w:val="0037326C"/>
    <w:rsid w:val="003732D4"/>
    <w:rsid w:val="003733AD"/>
    <w:rsid w:val="0037340D"/>
    <w:rsid w:val="00373419"/>
    <w:rsid w:val="00373427"/>
    <w:rsid w:val="003734B7"/>
    <w:rsid w:val="003736D4"/>
    <w:rsid w:val="003737E3"/>
    <w:rsid w:val="00373A18"/>
    <w:rsid w:val="00373A34"/>
    <w:rsid w:val="00373B8C"/>
    <w:rsid w:val="00373CF6"/>
    <w:rsid w:val="00373D19"/>
    <w:rsid w:val="00373D7A"/>
    <w:rsid w:val="00373E34"/>
    <w:rsid w:val="00373E4E"/>
    <w:rsid w:val="00373E6A"/>
    <w:rsid w:val="00373EBC"/>
    <w:rsid w:val="00373F95"/>
    <w:rsid w:val="0037407C"/>
    <w:rsid w:val="0037407F"/>
    <w:rsid w:val="003741C1"/>
    <w:rsid w:val="003741E9"/>
    <w:rsid w:val="00374252"/>
    <w:rsid w:val="0037454B"/>
    <w:rsid w:val="00374569"/>
    <w:rsid w:val="003745E2"/>
    <w:rsid w:val="003747D7"/>
    <w:rsid w:val="003748BB"/>
    <w:rsid w:val="0037493A"/>
    <w:rsid w:val="00374981"/>
    <w:rsid w:val="00374A4F"/>
    <w:rsid w:val="00374B4B"/>
    <w:rsid w:val="00374CBF"/>
    <w:rsid w:val="00374D80"/>
    <w:rsid w:val="003750DB"/>
    <w:rsid w:val="0037514D"/>
    <w:rsid w:val="0037517A"/>
    <w:rsid w:val="003751D8"/>
    <w:rsid w:val="003751F2"/>
    <w:rsid w:val="003753A9"/>
    <w:rsid w:val="003753D6"/>
    <w:rsid w:val="003755C1"/>
    <w:rsid w:val="0037567A"/>
    <w:rsid w:val="003756B9"/>
    <w:rsid w:val="003759C9"/>
    <w:rsid w:val="003759D7"/>
    <w:rsid w:val="00375A3B"/>
    <w:rsid w:val="00375A4B"/>
    <w:rsid w:val="00375B1E"/>
    <w:rsid w:val="00375BAF"/>
    <w:rsid w:val="00375BE6"/>
    <w:rsid w:val="00375C70"/>
    <w:rsid w:val="00375CA2"/>
    <w:rsid w:val="00375EA6"/>
    <w:rsid w:val="00375F6F"/>
    <w:rsid w:val="00375FF0"/>
    <w:rsid w:val="003762AA"/>
    <w:rsid w:val="003762C5"/>
    <w:rsid w:val="003763CE"/>
    <w:rsid w:val="003764A0"/>
    <w:rsid w:val="003764FE"/>
    <w:rsid w:val="003765CB"/>
    <w:rsid w:val="0037662C"/>
    <w:rsid w:val="003768F5"/>
    <w:rsid w:val="00376AB3"/>
    <w:rsid w:val="00376CCE"/>
    <w:rsid w:val="00376CE3"/>
    <w:rsid w:val="00376E56"/>
    <w:rsid w:val="00376F3C"/>
    <w:rsid w:val="00376F53"/>
    <w:rsid w:val="0037702F"/>
    <w:rsid w:val="0037704B"/>
    <w:rsid w:val="00377159"/>
    <w:rsid w:val="003772BA"/>
    <w:rsid w:val="003772CD"/>
    <w:rsid w:val="00377366"/>
    <w:rsid w:val="003773B1"/>
    <w:rsid w:val="0037747B"/>
    <w:rsid w:val="0037747F"/>
    <w:rsid w:val="0037754D"/>
    <w:rsid w:val="00377A86"/>
    <w:rsid w:val="00377AF4"/>
    <w:rsid w:val="00377BCD"/>
    <w:rsid w:val="00377C2D"/>
    <w:rsid w:val="00377F37"/>
    <w:rsid w:val="00380059"/>
    <w:rsid w:val="00380100"/>
    <w:rsid w:val="003802D4"/>
    <w:rsid w:val="003803B1"/>
    <w:rsid w:val="003803B3"/>
    <w:rsid w:val="00380419"/>
    <w:rsid w:val="00380444"/>
    <w:rsid w:val="0038082D"/>
    <w:rsid w:val="00380997"/>
    <w:rsid w:val="003809B6"/>
    <w:rsid w:val="00380A4B"/>
    <w:rsid w:val="00380BB3"/>
    <w:rsid w:val="00380BF0"/>
    <w:rsid w:val="00380DF3"/>
    <w:rsid w:val="00380F0F"/>
    <w:rsid w:val="00381199"/>
    <w:rsid w:val="0038123A"/>
    <w:rsid w:val="0038126C"/>
    <w:rsid w:val="003814F2"/>
    <w:rsid w:val="00381635"/>
    <w:rsid w:val="003816B8"/>
    <w:rsid w:val="00381767"/>
    <w:rsid w:val="003817E3"/>
    <w:rsid w:val="003817F4"/>
    <w:rsid w:val="00381BE4"/>
    <w:rsid w:val="00381CC5"/>
    <w:rsid w:val="00381D85"/>
    <w:rsid w:val="00381E4C"/>
    <w:rsid w:val="00381E78"/>
    <w:rsid w:val="00382046"/>
    <w:rsid w:val="00382185"/>
    <w:rsid w:val="0038292A"/>
    <w:rsid w:val="003829F6"/>
    <w:rsid w:val="00382A38"/>
    <w:rsid w:val="00382AC9"/>
    <w:rsid w:val="00382B9D"/>
    <w:rsid w:val="00382F5C"/>
    <w:rsid w:val="00383051"/>
    <w:rsid w:val="003830C0"/>
    <w:rsid w:val="00383267"/>
    <w:rsid w:val="00383340"/>
    <w:rsid w:val="0038336F"/>
    <w:rsid w:val="003837B8"/>
    <w:rsid w:val="003837FA"/>
    <w:rsid w:val="003838FA"/>
    <w:rsid w:val="00383955"/>
    <w:rsid w:val="00383B0C"/>
    <w:rsid w:val="00383C20"/>
    <w:rsid w:val="00383C3C"/>
    <w:rsid w:val="00383DB4"/>
    <w:rsid w:val="00383F01"/>
    <w:rsid w:val="00383F45"/>
    <w:rsid w:val="0038418D"/>
    <w:rsid w:val="0038449C"/>
    <w:rsid w:val="003846DA"/>
    <w:rsid w:val="003847AB"/>
    <w:rsid w:val="0038490B"/>
    <w:rsid w:val="0038498A"/>
    <w:rsid w:val="00384FF0"/>
    <w:rsid w:val="0038514E"/>
    <w:rsid w:val="00385228"/>
    <w:rsid w:val="003854AF"/>
    <w:rsid w:val="003857CE"/>
    <w:rsid w:val="003857E8"/>
    <w:rsid w:val="00385932"/>
    <w:rsid w:val="00385941"/>
    <w:rsid w:val="003859EE"/>
    <w:rsid w:val="00385A1C"/>
    <w:rsid w:val="00385B1F"/>
    <w:rsid w:val="00385B8A"/>
    <w:rsid w:val="00385BBD"/>
    <w:rsid w:val="00385C90"/>
    <w:rsid w:val="00385E98"/>
    <w:rsid w:val="00385EAD"/>
    <w:rsid w:val="00385F47"/>
    <w:rsid w:val="00385FA3"/>
    <w:rsid w:val="0038625D"/>
    <w:rsid w:val="003863CF"/>
    <w:rsid w:val="0038644D"/>
    <w:rsid w:val="00386473"/>
    <w:rsid w:val="00386571"/>
    <w:rsid w:val="00386885"/>
    <w:rsid w:val="00386948"/>
    <w:rsid w:val="00386A5F"/>
    <w:rsid w:val="00386A67"/>
    <w:rsid w:val="00386C42"/>
    <w:rsid w:val="00386C74"/>
    <w:rsid w:val="00386DB2"/>
    <w:rsid w:val="00386F3C"/>
    <w:rsid w:val="00386F3F"/>
    <w:rsid w:val="0038700E"/>
    <w:rsid w:val="00387110"/>
    <w:rsid w:val="00387168"/>
    <w:rsid w:val="00387310"/>
    <w:rsid w:val="003873CC"/>
    <w:rsid w:val="003873CF"/>
    <w:rsid w:val="003874EE"/>
    <w:rsid w:val="00387685"/>
    <w:rsid w:val="003878B7"/>
    <w:rsid w:val="003878F9"/>
    <w:rsid w:val="0038792B"/>
    <w:rsid w:val="00387A89"/>
    <w:rsid w:val="00387BF3"/>
    <w:rsid w:val="00387E5B"/>
    <w:rsid w:val="00387F35"/>
    <w:rsid w:val="00387FB9"/>
    <w:rsid w:val="00390002"/>
    <w:rsid w:val="003900AB"/>
    <w:rsid w:val="00390294"/>
    <w:rsid w:val="00390328"/>
    <w:rsid w:val="00390451"/>
    <w:rsid w:val="0039045F"/>
    <w:rsid w:val="00390567"/>
    <w:rsid w:val="00390589"/>
    <w:rsid w:val="00390689"/>
    <w:rsid w:val="003906FD"/>
    <w:rsid w:val="003907DC"/>
    <w:rsid w:val="00390801"/>
    <w:rsid w:val="0039086C"/>
    <w:rsid w:val="0039093F"/>
    <w:rsid w:val="00390BB3"/>
    <w:rsid w:val="00390C27"/>
    <w:rsid w:val="00390DDB"/>
    <w:rsid w:val="00390FC5"/>
    <w:rsid w:val="00390FCA"/>
    <w:rsid w:val="0039100B"/>
    <w:rsid w:val="003910AB"/>
    <w:rsid w:val="00391290"/>
    <w:rsid w:val="003913F9"/>
    <w:rsid w:val="00391494"/>
    <w:rsid w:val="00391698"/>
    <w:rsid w:val="0039186A"/>
    <w:rsid w:val="003919BA"/>
    <w:rsid w:val="00391A85"/>
    <w:rsid w:val="00391AD6"/>
    <w:rsid w:val="00391AF2"/>
    <w:rsid w:val="00391C76"/>
    <w:rsid w:val="00391CAC"/>
    <w:rsid w:val="00391CE1"/>
    <w:rsid w:val="00391DA9"/>
    <w:rsid w:val="00391FB1"/>
    <w:rsid w:val="00391FF4"/>
    <w:rsid w:val="0039217C"/>
    <w:rsid w:val="003922E6"/>
    <w:rsid w:val="0039253A"/>
    <w:rsid w:val="00392654"/>
    <w:rsid w:val="003926CE"/>
    <w:rsid w:val="00392806"/>
    <w:rsid w:val="00392B6E"/>
    <w:rsid w:val="00392B96"/>
    <w:rsid w:val="00392C01"/>
    <w:rsid w:val="00392C94"/>
    <w:rsid w:val="00392DD5"/>
    <w:rsid w:val="00392E5D"/>
    <w:rsid w:val="00392E7B"/>
    <w:rsid w:val="00392FEE"/>
    <w:rsid w:val="00393168"/>
    <w:rsid w:val="00393255"/>
    <w:rsid w:val="003933FF"/>
    <w:rsid w:val="00393457"/>
    <w:rsid w:val="00393495"/>
    <w:rsid w:val="00393515"/>
    <w:rsid w:val="003935B3"/>
    <w:rsid w:val="00393676"/>
    <w:rsid w:val="0039369A"/>
    <w:rsid w:val="0039373F"/>
    <w:rsid w:val="00393852"/>
    <w:rsid w:val="003938F6"/>
    <w:rsid w:val="0039392E"/>
    <w:rsid w:val="003939AB"/>
    <w:rsid w:val="003939E1"/>
    <w:rsid w:val="00393ADC"/>
    <w:rsid w:val="00393BA1"/>
    <w:rsid w:val="00393C80"/>
    <w:rsid w:val="00393CFE"/>
    <w:rsid w:val="00393EEF"/>
    <w:rsid w:val="0039402B"/>
    <w:rsid w:val="00394069"/>
    <w:rsid w:val="00394170"/>
    <w:rsid w:val="003941B8"/>
    <w:rsid w:val="0039433C"/>
    <w:rsid w:val="003943F5"/>
    <w:rsid w:val="003944AD"/>
    <w:rsid w:val="0039468A"/>
    <w:rsid w:val="00394718"/>
    <w:rsid w:val="0039496A"/>
    <w:rsid w:val="00394C90"/>
    <w:rsid w:val="00394DA4"/>
    <w:rsid w:val="00394DE5"/>
    <w:rsid w:val="00394EA4"/>
    <w:rsid w:val="003951A5"/>
    <w:rsid w:val="00395315"/>
    <w:rsid w:val="003953F6"/>
    <w:rsid w:val="003953F8"/>
    <w:rsid w:val="0039549D"/>
    <w:rsid w:val="00395894"/>
    <w:rsid w:val="00395A07"/>
    <w:rsid w:val="00395B1A"/>
    <w:rsid w:val="00395B35"/>
    <w:rsid w:val="00395B53"/>
    <w:rsid w:val="00395C66"/>
    <w:rsid w:val="00396097"/>
    <w:rsid w:val="0039609C"/>
    <w:rsid w:val="003962EE"/>
    <w:rsid w:val="003962FB"/>
    <w:rsid w:val="00396363"/>
    <w:rsid w:val="003965F9"/>
    <w:rsid w:val="00396C11"/>
    <w:rsid w:val="00396D4F"/>
    <w:rsid w:val="00396E63"/>
    <w:rsid w:val="00396F0B"/>
    <w:rsid w:val="0039707B"/>
    <w:rsid w:val="0039719F"/>
    <w:rsid w:val="003972D9"/>
    <w:rsid w:val="0039730C"/>
    <w:rsid w:val="003973DA"/>
    <w:rsid w:val="0039742D"/>
    <w:rsid w:val="00397430"/>
    <w:rsid w:val="003979FE"/>
    <w:rsid w:val="00397A19"/>
    <w:rsid w:val="00397AFF"/>
    <w:rsid w:val="00397FB1"/>
    <w:rsid w:val="003A0068"/>
    <w:rsid w:val="003A00B3"/>
    <w:rsid w:val="003A0319"/>
    <w:rsid w:val="003A0338"/>
    <w:rsid w:val="003A06CD"/>
    <w:rsid w:val="003A081D"/>
    <w:rsid w:val="003A08FE"/>
    <w:rsid w:val="003A09CB"/>
    <w:rsid w:val="003A0A3C"/>
    <w:rsid w:val="003A0A93"/>
    <w:rsid w:val="003A0E4A"/>
    <w:rsid w:val="003A0E59"/>
    <w:rsid w:val="003A0EA8"/>
    <w:rsid w:val="003A1180"/>
    <w:rsid w:val="003A1273"/>
    <w:rsid w:val="003A1457"/>
    <w:rsid w:val="003A16A4"/>
    <w:rsid w:val="003A180D"/>
    <w:rsid w:val="003A1821"/>
    <w:rsid w:val="003A193D"/>
    <w:rsid w:val="003A1AEB"/>
    <w:rsid w:val="003A1AF2"/>
    <w:rsid w:val="003A1F96"/>
    <w:rsid w:val="003A2053"/>
    <w:rsid w:val="003A21F6"/>
    <w:rsid w:val="003A2358"/>
    <w:rsid w:val="003A2480"/>
    <w:rsid w:val="003A25A6"/>
    <w:rsid w:val="003A26B2"/>
    <w:rsid w:val="003A2A05"/>
    <w:rsid w:val="003A2A16"/>
    <w:rsid w:val="003A2A6F"/>
    <w:rsid w:val="003A2C9F"/>
    <w:rsid w:val="003A2F30"/>
    <w:rsid w:val="003A30F2"/>
    <w:rsid w:val="003A3106"/>
    <w:rsid w:val="003A329C"/>
    <w:rsid w:val="003A333D"/>
    <w:rsid w:val="003A33CB"/>
    <w:rsid w:val="003A36FA"/>
    <w:rsid w:val="003A37FA"/>
    <w:rsid w:val="003A39A8"/>
    <w:rsid w:val="003A3A6C"/>
    <w:rsid w:val="003A3AAE"/>
    <w:rsid w:val="003A3AE7"/>
    <w:rsid w:val="003A3B6D"/>
    <w:rsid w:val="003A3BB4"/>
    <w:rsid w:val="003A3C05"/>
    <w:rsid w:val="003A3E84"/>
    <w:rsid w:val="003A3ED8"/>
    <w:rsid w:val="003A4493"/>
    <w:rsid w:val="003A44E8"/>
    <w:rsid w:val="003A4712"/>
    <w:rsid w:val="003A48BD"/>
    <w:rsid w:val="003A4979"/>
    <w:rsid w:val="003A4B5D"/>
    <w:rsid w:val="003A4D11"/>
    <w:rsid w:val="003A4D19"/>
    <w:rsid w:val="003A4E2E"/>
    <w:rsid w:val="003A4E4A"/>
    <w:rsid w:val="003A4EE0"/>
    <w:rsid w:val="003A4FC0"/>
    <w:rsid w:val="003A50E1"/>
    <w:rsid w:val="003A52F9"/>
    <w:rsid w:val="003A558C"/>
    <w:rsid w:val="003A55BE"/>
    <w:rsid w:val="003A5614"/>
    <w:rsid w:val="003A5634"/>
    <w:rsid w:val="003A573D"/>
    <w:rsid w:val="003A5787"/>
    <w:rsid w:val="003A57CC"/>
    <w:rsid w:val="003A586E"/>
    <w:rsid w:val="003A598F"/>
    <w:rsid w:val="003A5AA2"/>
    <w:rsid w:val="003A5AB2"/>
    <w:rsid w:val="003A5AE8"/>
    <w:rsid w:val="003A5B4E"/>
    <w:rsid w:val="003A5B51"/>
    <w:rsid w:val="003A5C3E"/>
    <w:rsid w:val="003A5C6D"/>
    <w:rsid w:val="003A5D1F"/>
    <w:rsid w:val="003A5E24"/>
    <w:rsid w:val="003A5EFF"/>
    <w:rsid w:val="003A5F8B"/>
    <w:rsid w:val="003A5FC4"/>
    <w:rsid w:val="003A61D0"/>
    <w:rsid w:val="003A61E5"/>
    <w:rsid w:val="003A6351"/>
    <w:rsid w:val="003A6418"/>
    <w:rsid w:val="003A6454"/>
    <w:rsid w:val="003A64AB"/>
    <w:rsid w:val="003A654E"/>
    <w:rsid w:val="003A658E"/>
    <w:rsid w:val="003A6660"/>
    <w:rsid w:val="003A6764"/>
    <w:rsid w:val="003A68C1"/>
    <w:rsid w:val="003A6A6C"/>
    <w:rsid w:val="003A6A8D"/>
    <w:rsid w:val="003A6AC1"/>
    <w:rsid w:val="003A6B25"/>
    <w:rsid w:val="003A6B2C"/>
    <w:rsid w:val="003A6D19"/>
    <w:rsid w:val="003A6E25"/>
    <w:rsid w:val="003A7111"/>
    <w:rsid w:val="003A71BF"/>
    <w:rsid w:val="003A729B"/>
    <w:rsid w:val="003A733B"/>
    <w:rsid w:val="003A73B3"/>
    <w:rsid w:val="003A78A3"/>
    <w:rsid w:val="003A793A"/>
    <w:rsid w:val="003A79AE"/>
    <w:rsid w:val="003A7B39"/>
    <w:rsid w:val="003A7C05"/>
    <w:rsid w:val="003A7D93"/>
    <w:rsid w:val="003B01BF"/>
    <w:rsid w:val="003B031F"/>
    <w:rsid w:val="003B03DC"/>
    <w:rsid w:val="003B048F"/>
    <w:rsid w:val="003B0516"/>
    <w:rsid w:val="003B0677"/>
    <w:rsid w:val="003B084A"/>
    <w:rsid w:val="003B0994"/>
    <w:rsid w:val="003B0A8C"/>
    <w:rsid w:val="003B0B25"/>
    <w:rsid w:val="003B0D11"/>
    <w:rsid w:val="003B0F68"/>
    <w:rsid w:val="003B100F"/>
    <w:rsid w:val="003B1016"/>
    <w:rsid w:val="003B116B"/>
    <w:rsid w:val="003B118B"/>
    <w:rsid w:val="003B123E"/>
    <w:rsid w:val="003B163F"/>
    <w:rsid w:val="003B170B"/>
    <w:rsid w:val="003B17FB"/>
    <w:rsid w:val="003B2127"/>
    <w:rsid w:val="003B21B4"/>
    <w:rsid w:val="003B2315"/>
    <w:rsid w:val="003B2331"/>
    <w:rsid w:val="003B2374"/>
    <w:rsid w:val="003B2489"/>
    <w:rsid w:val="003B24F2"/>
    <w:rsid w:val="003B25AE"/>
    <w:rsid w:val="003B25BB"/>
    <w:rsid w:val="003B277D"/>
    <w:rsid w:val="003B27AE"/>
    <w:rsid w:val="003B27EF"/>
    <w:rsid w:val="003B284C"/>
    <w:rsid w:val="003B2A70"/>
    <w:rsid w:val="003B2EF9"/>
    <w:rsid w:val="003B2FB2"/>
    <w:rsid w:val="003B3039"/>
    <w:rsid w:val="003B30DA"/>
    <w:rsid w:val="003B30E8"/>
    <w:rsid w:val="003B3154"/>
    <w:rsid w:val="003B3588"/>
    <w:rsid w:val="003B35A3"/>
    <w:rsid w:val="003B35C8"/>
    <w:rsid w:val="003B35EA"/>
    <w:rsid w:val="003B367A"/>
    <w:rsid w:val="003B36D5"/>
    <w:rsid w:val="003B372A"/>
    <w:rsid w:val="003B376F"/>
    <w:rsid w:val="003B3780"/>
    <w:rsid w:val="003B39E6"/>
    <w:rsid w:val="003B3A98"/>
    <w:rsid w:val="003B3B32"/>
    <w:rsid w:val="003B3EE5"/>
    <w:rsid w:val="003B3FEB"/>
    <w:rsid w:val="003B4186"/>
    <w:rsid w:val="003B4461"/>
    <w:rsid w:val="003B45BA"/>
    <w:rsid w:val="003B46D5"/>
    <w:rsid w:val="003B47CB"/>
    <w:rsid w:val="003B4873"/>
    <w:rsid w:val="003B489D"/>
    <w:rsid w:val="003B4A33"/>
    <w:rsid w:val="003B4C3F"/>
    <w:rsid w:val="003B4DEC"/>
    <w:rsid w:val="003B4E97"/>
    <w:rsid w:val="003B4F94"/>
    <w:rsid w:val="003B52C9"/>
    <w:rsid w:val="003B52CC"/>
    <w:rsid w:val="003B549C"/>
    <w:rsid w:val="003B559C"/>
    <w:rsid w:val="003B562F"/>
    <w:rsid w:val="003B56C2"/>
    <w:rsid w:val="003B5837"/>
    <w:rsid w:val="003B590B"/>
    <w:rsid w:val="003B59C7"/>
    <w:rsid w:val="003B59FF"/>
    <w:rsid w:val="003B5DDD"/>
    <w:rsid w:val="003B5E34"/>
    <w:rsid w:val="003B5F38"/>
    <w:rsid w:val="003B606F"/>
    <w:rsid w:val="003B61C6"/>
    <w:rsid w:val="003B61FF"/>
    <w:rsid w:val="003B63B2"/>
    <w:rsid w:val="003B65F8"/>
    <w:rsid w:val="003B665A"/>
    <w:rsid w:val="003B6662"/>
    <w:rsid w:val="003B66E5"/>
    <w:rsid w:val="003B671C"/>
    <w:rsid w:val="003B6764"/>
    <w:rsid w:val="003B684F"/>
    <w:rsid w:val="003B6972"/>
    <w:rsid w:val="003B6B1D"/>
    <w:rsid w:val="003B6B9B"/>
    <w:rsid w:val="003B6C52"/>
    <w:rsid w:val="003B6DB8"/>
    <w:rsid w:val="003B71B5"/>
    <w:rsid w:val="003B7323"/>
    <w:rsid w:val="003B756D"/>
    <w:rsid w:val="003B75E2"/>
    <w:rsid w:val="003B7779"/>
    <w:rsid w:val="003B77BB"/>
    <w:rsid w:val="003B77D2"/>
    <w:rsid w:val="003B7885"/>
    <w:rsid w:val="003B790A"/>
    <w:rsid w:val="003B7A59"/>
    <w:rsid w:val="003B7BCC"/>
    <w:rsid w:val="003B7EF1"/>
    <w:rsid w:val="003C014E"/>
    <w:rsid w:val="003C0351"/>
    <w:rsid w:val="003C048E"/>
    <w:rsid w:val="003C0726"/>
    <w:rsid w:val="003C07D2"/>
    <w:rsid w:val="003C0930"/>
    <w:rsid w:val="003C0F10"/>
    <w:rsid w:val="003C0F5A"/>
    <w:rsid w:val="003C103E"/>
    <w:rsid w:val="003C1152"/>
    <w:rsid w:val="003C1169"/>
    <w:rsid w:val="003C121B"/>
    <w:rsid w:val="003C14A3"/>
    <w:rsid w:val="003C151C"/>
    <w:rsid w:val="003C1698"/>
    <w:rsid w:val="003C16A9"/>
    <w:rsid w:val="003C16EA"/>
    <w:rsid w:val="003C18CB"/>
    <w:rsid w:val="003C18D7"/>
    <w:rsid w:val="003C19FD"/>
    <w:rsid w:val="003C1ABB"/>
    <w:rsid w:val="003C1C83"/>
    <w:rsid w:val="003C1FF2"/>
    <w:rsid w:val="003C21E5"/>
    <w:rsid w:val="003C24F4"/>
    <w:rsid w:val="003C252B"/>
    <w:rsid w:val="003C254E"/>
    <w:rsid w:val="003C25A5"/>
    <w:rsid w:val="003C26F0"/>
    <w:rsid w:val="003C280A"/>
    <w:rsid w:val="003C299C"/>
    <w:rsid w:val="003C2AD4"/>
    <w:rsid w:val="003C2BA1"/>
    <w:rsid w:val="003C2DB9"/>
    <w:rsid w:val="003C2E43"/>
    <w:rsid w:val="003C2E67"/>
    <w:rsid w:val="003C2FDE"/>
    <w:rsid w:val="003C31E5"/>
    <w:rsid w:val="003C32B2"/>
    <w:rsid w:val="003C3486"/>
    <w:rsid w:val="003C36D3"/>
    <w:rsid w:val="003C37E8"/>
    <w:rsid w:val="003C38C0"/>
    <w:rsid w:val="003C38D5"/>
    <w:rsid w:val="003C3953"/>
    <w:rsid w:val="003C395E"/>
    <w:rsid w:val="003C3B47"/>
    <w:rsid w:val="003C3BD6"/>
    <w:rsid w:val="003C3CDD"/>
    <w:rsid w:val="003C3D41"/>
    <w:rsid w:val="003C3E36"/>
    <w:rsid w:val="003C3EB0"/>
    <w:rsid w:val="003C3F9A"/>
    <w:rsid w:val="003C4096"/>
    <w:rsid w:val="003C4384"/>
    <w:rsid w:val="003C43CF"/>
    <w:rsid w:val="003C456B"/>
    <w:rsid w:val="003C4572"/>
    <w:rsid w:val="003C4683"/>
    <w:rsid w:val="003C469C"/>
    <w:rsid w:val="003C46A7"/>
    <w:rsid w:val="003C4799"/>
    <w:rsid w:val="003C47F1"/>
    <w:rsid w:val="003C4828"/>
    <w:rsid w:val="003C49AD"/>
    <w:rsid w:val="003C4B06"/>
    <w:rsid w:val="003C4DC3"/>
    <w:rsid w:val="003C4E31"/>
    <w:rsid w:val="003C5100"/>
    <w:rsid w:val="003C5192"/>
    <w:rsid w:val="003C5231"/>
    <w:rsid w:val="003C55B9"/>
    <w:rsid w:val="003C566E"/>
    <w:rsid w:val="003C577B"/>
    <w:rsid w:val="003C58EB"/>
    <w:rsid w:val="003C59DF"/>
    <w:rsid w:val="003C5ABC"/>
    <w:rsid w:val="003C5B94"/>
    <w:rsid w:val="003C5C18"/>
    <w:rsid w:val="003C5CD8"/>
    <w:rsid w:val="003C5CDA"/>
    <w:rsid w:val="003C5E68"/>
    <w:rsid w:val="003C620A"/>
    <w:rsid w:val="003C6253"/>
    <w:rsid w:val="003C625A"/>
    <w:rsid w:val="003C6265"/>
    <w:rsid w:val="003C654A"/>
    <w:rsid w:val="003C6732"/>
    <w:rsid w:val="003C686B"/>
    <w:rsid w:val="003C6B1E"/>
    <w:rsid w:val="003C6B3A"/>
    <w:rsid w:val="003C6B91"/>
    <w:rsid w:val="003C6E28"/>
    <w:rsid w:val="003C6FB1"/>
    <w:rsid w:val="003C70FF"/>
    <w:rsid w:val="003C7224"/>
    <w:rsid w:val="003C725D"/>
    <w:rsid w:val="003C7353"/>
    <w:rsid w:val="003C7608"/>
    <w:rsid w:val="003C768D"/>
    <w:rsid w:val="003C7808"/>
    <w:rsid w:val="003C7969"/>
    <w:rsid w:val="003C7AB7"/>
    <w:rsid w:val="003C7C1E"/>
    <w:rsid w:val="003C7C22"/>
    <w:rsid w:val="003C7C48"/>
    <w:rsid w:val="003C7EE1"/>
    <w:rsid w:val="003C7FC4"/>
    <w:rsid w:val="003D00CB"/>
    <w:rsid w:val="003D01B9"/>
    <w:rsid w:val="003D01F5"/>
    <w:rsid w:val="003D03B1"/>
    <w:rsid w:val="003D0558"/>
    <w:rsid w:val="003D06D4"/>
    <w:rsid w:val="003D0841"/>
    <w:rsid w:val="003D0909"/>
    <w:rsid w:val="003D0A5A"/>
    <w:rsid w:val="003D0A8F"/>
    <w:rsid w:val="003D0E31"/>
    <w:rsid w:val="003D0EC2"/>
    <w:rsid w:val="003D0F9F"/>
    <w:rsid w:val="003D0FD4"/>
    <w:rsid w:val="003D107F"/>
    <w:rsid w:val="003D11D2"/>
    <w:rsid w:val="003D128C"/>
    <w:rsid w:val="003D12A9"/>
    <w:rsid w:val="003D130C"/>
    <w:rsid w:val="003D1313"/>
    <w:rsid w:val="003D1335"/>
    <w:rsid w:val="003D13AF"/>
    <w:rsid w:val="003D13BC"/>
    <w:rsid w:val="003D14AE"/>
    <w:rsid w:val="003D165D"/>
    <w:rsid w:val="003D16B7"/>
    <w:rsid w:val="003D175E"/>
    <w:rsid w:val="003D193F"/>
    <w:rsid w:val="003D1A25"/>
    <w:rsid w:val="003D1A97"/>
    <w:rsid w:val="003D1B21"/>
    <w:rsid w:val="003D1B47"/>
    <w:rsid w:val="003D1D57"/>
    <w:rsid w:val="003D1D7C"/>
    <w:rsid w:val="003D1F3B"/>
    <w:rsid w:val="003D2322"/>
    <w:rsid w:val="003D253E"/>
    <w:rsid w:val="003D25EA"/>
    <w:rsid w:val="003D2674"/>
    <w:rsid w:val="003D2692"/>
    <w:rsid w:val="003D269E"/>
    <w:rsid w:val="003D26B5"/>
    <w:rsid w:val="003D298D"/>
    <w:rsid w:val="003D2A81"/>
    <w:rsid w:val="003D2ACB"/>
    <w:rsid w:val="003D2C50"/>
    <w:rsid w:val="003D2EFE"/>
    <w:rsid w:val="003D2F13"/>
    <w:rsid w:val="003D2FC4"/>
    <w:rsid w:val="003D2FCA"/>
    <w:rsid w:val="003D3056"/>
    <w:rsid w:val="003D3129"/>
    <w:rsid w:val="003D32EC"/>
    <w:rsid w:val="003D3330"/>
    <w:rsid w:val="003D3408"/>
    <w:rsid w:val="003D3507"/>
    <w:rsid w:val="003D3674"/>
    <w:rsid w:val="003D3754"/>
    <w:rsid w:val="003D3756"/>
    <w:rsid w:val="003D376F"/>
    <w:rsid w:val="003D377C"/>
    <w:rsid w:val="003D379A"/>
    <w:rsid w:val="003D3894"/>
    <w:rsid w:val="003D3DB0"/>
    <w:rsid w:val="003D3DD1"/>
    <w:rsid w:val="003D3DD7"/>
    <w:rsid w:val="003D3E3B"/>
    <w:rsid w:val="003D3EBE"/>
    <w:rsid w:val="003D3FDA"/>
    <w:rsid w:val="003D4011"/>
    <w:rsid w:val="003D4047"/>
    <w:rsid w:val="003D42EB"/>
    <w:rsid w:val="003D462E"/>
    <w:rsid w:val="003D46F2"/>
    <w:rsid w:val="003D48E2"/>
    <w:rsid w:val="003D4948"/>
    <w:rsid w:val="003D4AAE"/>
    <w:rsid w:val="003D4AAF"/>
    <w:rsid w:val="003D4B40"/>
    <w:rsid w:val="003D500A"/>
    <w:rsid w:val="003D5159"/>
    <w:rsid w:val="003D5405"/>
    <w:rsid w:val="003D58C0"/>
    <w:rsid w:val="003D58CA"/>
    <w:rsid w:val="003D5902"/>
    <w:rsid w:val="003D5987"/>
    <w:rsid w:val="003D59D4"/>
    <w:rsid w:val="003D5A85"/>
    <w:rsid w:val="003D5D69"/>
    <w:rsid w:val="003D5D75"/>
    <w:rsid w:val="003D5E4F"/>
    <w:rsid w:val="003D5EDB"/>
    <w:rsid w:val="003D60B2"/>
    <w:rsid w:val="003D6184"/>
    <w:rsid w:val="003D6233"/>
    <w:rsid w:val="003D62D6"/>
    <w:rsid w:val="003D640B"/>
    <w:rsid w:val="003D6483"/>
    <w:rsid w:val="003D6576"/>
    <w:rsid w:val="003D6609"/>
    <w:rsid w:val="003D6865"/>
    <w:rsid w:val="003D68DA"/>
    <w:rsid w:val="003D6921"/>
    <w:rsid w:val="003D6949"/>
    <w:rsid w:val="003D69D5"/>
    <w:rsid w:val="003D6A4F"/>
    <w:rsid w:val="003D6D39"/>
    <w:rsid w:val="003D6E38"/>
    <w:rsid w:val="003D6F9D"/>
    <w:rsid w:val="003D704B"/>
    <w:rsid w:val="003D70FE"/>
    <w:rsid w:val="003D724E"/>
    <w:rsid w:val="003D7261"/>
    <w:rsid w:val="003D73BF"/>
    <w:rsid w:val="003D740B"/>
    <w:rsid w:val="003D7427"/>
    <w:rsid w:val="003D74DD"/>
    <w:rsid w:val="003D75CE"/>
    <w:rsid w:val="003D7820"/>
    <w:rsid w:val="003D7847"/>
    <w:rsid w:val="003D78E2"/>
    <w:rsid w:val="003D791D"/>
    <w:rsid w:val="003D7989"/>
    <w:rsid w:val="003D7ADE"/>
    <w:rsid w:val="003D7B3E"/>
    <w:rsid w:val="003D7E3A"/>
    <w:rsid w:val="003D7EC4"/>
    <w:rsid w:val="003D7F8F"/>
    <w:rsid w:val="003D7FAA"/>
    <w:rsid w:val="003E0053"/>
    <w:rsid w:val="003E00FC"/>
    <w:rsid w:val="003E02D4"/>
    <w:rsid w:val="003E03C5"/>
    <w:rsid w:val="003E03EA"/>
    <w:rsid w:val="003E0416"/>
    <w:rsid w:val="003E043F"/>
    <w:rsid w:val="003E0579"/>
    <w:rsid w:val="003E05AC"/>
    <w:rsid w:val="003E0610"/>
    <w:rsid w:val="003E066B"/>
    <w:rsid w:val="003E07DD"/>
    <w:rsid w:val="003E0800"/>
    <w:rsid w:val="003E08B0"/>
    <w:rsid w:val="003E0A05"/>
    <w:rsid w:val="003E0D12"/>
    <w:rsid w:val="003E0D65"/>
    <w:rsid w:val="003E0DA2"/>
    <w:rsid w:val="003E0F54"/>
    <w:rsid w:val="003E1188"/>
    <w:rsid w:val="003E1570"/>
    <w:rsid w:val="003E1BBA"/>
    <w:rsid w:val="003E1C2D"/>
    <w:rsid w:val="003E1C34"/>
    <w:rsid w:val="003E20D3"/>
    <w:rsid w:val="003E2111"/>
    <w:rsid w:val="003E2158"/>
    <w:rsid w:val="003E21C9"/>
    <w:rsid w:val="003E22B7"/>
    <w:rsid w:val="003E23A7"/>
    <w:rsid w:val="003E23DB"/>
    <w:rsid w:val="003E240E"/>
    <w:rsid w:val="003E253C"/>
    <w:rsid w:val="003E25DA"/>
    <w:rsid w:val="003E26A1"/>
    <w:rsid w:val="003E2727"/>
    <w:rsid w:val="003E2790"/>
    <w:rsid w:val="003E289C"/>
    <w:rsid w:val="003E2A49"/>
    <w:rsid w:val="003E2A86"/>
    <w:rsid w:val="003E2AE1"/>
    <w:rsid w:val="003E2B16"/>
    <w:rsid w:val="003E2B49"/>
    <w:rsid w:val="003E2E5A"/>
    <w:rsid w:val="003E2EC4"/>
    <w:rsid w:val="003E323C"/>
    <w:rsid w:val="003E3429"/>
    <w:rsid w:val="003E35CF"/>
    <w:rsid w:val="003E366B"/>
    <w:rsid w:val="003E3762"/>
    <w:rsid w:val="003E3BD0"/>
    <w:rsid w:val="003E3C72"/>
    <w:rsid w:val="003E3DFE"/>
    <w:rsid w:val="003E3ED3"/>
    <w:rsid w:val="003E4004"/>
    <w:rsid w:val="003E4269"/>
    <w:rsid w:val="003E4557"/>
    <w:rsid w:val="003E45B1"/>
    <w:rsid w:val="003E46E9"/>
    <w:rsid w:val="003E473E"/>
    <w:rsid w:val="003E4897"/>
    <w:rsid w:val="003E4934"/>
    <w:rsid w:val="003E4975"/>
    <w:rsid w:val="003E4991"/>
    <w:rsid w:val="003E4AE5"/>
    <w:rsid w:val="003E4AEB"/>
    <w:rsid w:val="003E4B46"/>
    <w:rsid w:val="003E4D9B"/>
    <w:rsid w:val="003E4E34"/>
    <w:rsid w:val="003E4E85"/>
    <w:rsid w:val="003E52C0"/>
    <w:rsid w:val="003E531D"/>
    <w:rsid w:val="003E553A"/>
    <w:rsid w:val="003E594A"/>
    <w:rsid w:val="003E598B"/>
    <w:rsid w:val="003E5A57"/>
    <w:rsid w:val="003E5AD2"/>
    <w:rsid w:val="003E5AE7"/>
    <w:rsid w:val="003E5B83"/>
    <w:rsid w:val="003E5DBF"/>
    <w:rsid w:val="003E5E39"/>
    <w:rsid w:val="003E6075"/>
    <w:rsid w:val="003E60E0"/>
    <w:rsid w:val="003E6120"/>
    <w:rsid w:val="003E6155"/>
    <w:rsid w:val="003E6178"/>
    <w:rsid w:val="003E61EA"/>
    <w:rsid w:val="003E6478"/>
    <w:rsid w:val="003E6596"/>
    <w:rsid w:val="003E65D1"/>
    <w:rsid w:val="003E676E"/>
    <w:rsid w:val="003E691D"/>
    <w:rsid w:val="003E6994"/>
    <w:rsid w:val="003E6995"/>
    <w:rsid w:val="003E6A00"/>
    <w:rsid w:val="003E6C80"/>
    <w:rsid w:val="003E6DA8"/>
    <w:rsid w:val="003E6E71"/>
    <w:rsid w:val="003E6ECE"/>
    <w:rsid w:val="003E6F63"/>
    <w:rsid w:val="003E6FE8"/>
    <w:rsid w:val="003E7037"/>
    <w:rsid w:val="003E706D"/>
    <w:rsid w:val="003E713B"/>
    <w:rsid w:val="003E7294"/>
    <w:rsid w:val="003E72B7"/>
    <w:rsid w:val="003E7532"/>
    <w:rsid w:val="003E75C0"/>
    <w:rsid w:val="003E7705"/>
    <w:rsid w:val="003E7717"/>
    <w:rsid w:val="003E77BD"/>
    <w:rsid w:val="003E7A91"/>
    <w:rsid w:val="003E7DC4"/>
    <w:rsid w:val="003E7F7F"/>
    <w:rsid w:val="003F018D"/>
    <w:rsid w:val="003F0391"/>
    <w:rsid w:val="003F0447"/>
    <w:rsid w:val="003F0507"/>
    <w:rsid w:val="003F0581"/>
    <w:rsid w:val="003F05DE"/>
    <w:rsid w:val="003F07B8"/>
    <w:rsid w:val="003F0A33"/>
    <w:rsid w:val="003F0A7D"/>
    <w:rsid w:val="003F0AB7"/>
    <w:rsid w:val="003F0BE5"/>
    <w:rsid w:val="003F0C58"/>
    <w:rsid w:val="003F0D3C"/>
    <w:rsid w:val="003F0D80"/>
    <w:rsid w:val="003F0DE5"/>
    <w:rsid w:val="003F129D"/>
    <w:rsid w:val="003F13B4"/>
    <w:rsid w:val="003F156A"/>
    <w:rsid w:val="003F168D"/>
    <w:rsid w:val="003F1950"/>
    <w:rsid w:val="003F1BA7"/>
    <w:rsid w:val="003F1CD7"/>
    <w:rsid w:val="003F1E3D"/>
    <w:rsid w:val="003F1E6D"/>
    <w:rsid w:val="003F1E89"/>
    <w:rsid w:val="003F2078"/>
    <w:rsid w:val="003F2080"/>
    <w:rsid w:val="003F2160"/>
    <w:rsid w:val="003F216B"/>
    <w:rsid w:val="003F228F"/>
    <w:rsid w:val="003F22F9"/>
    <w:rsid w:val="003F262A"/>
    <w:rsid w:val="003F2870"/>
    <w:rsid w:val="003F28BC"/>
    <w:rsid w:val="003F2929"/>
    <w:rsid w:val="003F2A73"/>
    <w:rsid w:val="003F2B07"/>
    <w:rsid w:val="003F2BCF"/>
    <w:rsid w:val="003F2C45"/>
    <w:rsid w:val="003F2CA1"/>
    <w:rsid w:val="003F2D14"/>
    <w:rsid w:val="003F2DB1"/>
    <w:rsid w:val="003F2EF1"/>
    <w:rsid w:val="003F304D"/>
    <w:rsid w:val="003F3125"/>
    <w:rsid w:val="003F31A5"/>
    <w:rsid w:val="003F3638"/>
    <w:rsid w:val="003F393A"/>
    <w:rsid w:val="003F3948"/>
    <w:rsid w:val="003F3A97"/>
    <w:rsid w:val="003F3AB2"/>
    <w:rsid w:val="003F3BC7"/>
    <w:rsid w:val="003F3C1C"/>
    <w:rsid w:val="003F3CAE"/>
    <w:rsid w:val="003F3D20"/>
    <w:rsid w:val="003F3DC3"/>
    <w:rsid w:val="003F3F17"/>
    <w:rsid w:val="003F3F65"/>
    <w:rsid w:val="003F3F8F"/>
    <w:rsid w:val="003F4036"/>
    <w:rsid w:val="003F41B8"/>
    <w:rsid w:val="003F4373"/>
    <w:rsid w:val="003F4479"/>
    <w:rsid w:val="003F4515"/>
    <w:rsid w:val="003F460F"/>
    <w:rsid w:val="003F4691"/>
    <w:rsid w:val="003F46A9"/>
    <w:rsid w:val="003F4748"/>
    <w:rsid w:val="003F47A8"/>
    <w:rsid w:val="003F4825"/>
    <w:rsid w:val="003F49EB"/>
    <w:rsid w:val="003F49F5"/>
    <w:rsid w:val="003F4A45"/>
    <w:rsid w:val="003F4CA6"/>
    <w:rsid w:val="003F4CC1"/>
    <w:rsid w:val="003F4EE9"/>
    <w:rsid w:val="003F4FD2"/>
    <w:rsid w:val="003F5071"/>
    <w:rsid w:val="003F50C4"/>
    <w:rsid w:val="003F524F"/>
    <w:rsid w:val="003F5300"/>
    <w:rsid w:val="003F53A3"/>
    <w:rsid w:val="003F5473"/>
    <w:rsid w:val="003F579C"/>
    <w:rsid w:val="003F58A6"/>
    <w:rsid w:val="003F5A33"/>
    <w:rsid w:val="003F5BD9"/>
    <w:rsid w:val="003F5C95"/>
    <w:rsid w:val="003F5CC7"/>
    <w:rsid w:val="003F5CE8"/>
    <w:rsid w:val="003F5D23"/>
    <w:rsid w:val="003F5DE2"/>
    <w:rsid w:val="003F5EB5"/>
    <w:rsid w:val="003F5EE4"/>
    <w:rsid w:val="003F5FB8"/>
    <w:rsid w:val="003F5FCE"/>
    <w:rsid w:val="003F60AB"/>
    <w:rsid w:val="003F6149"/>
    <w:rsid w:val="003F6189"/>
    <w:rsid w:val="003F6244"/>
    <w:rsid w:val="003F63E7"/>
    <w:rsid w:val="003F63FF"/>
    <w:rsid w:val="003F6401"/>
    <w:rsid w:val="003F6612"/>
    <w:rsid w:val="003F6628"/>
    <w:rsid w:val="003F67DA"/>
    <w:rsid w:val="003F6854"/>
    <w:rsid w:val="003F68F6"/>
    <w:rsid w:val="003F6923"/>
    <w:rsid w:val="003F6A42"/>
    <w:rsid w:val="003F6BBD"/>
    <w:rsid w:val="003F6C3D"/>
    <w:rsid w:val="003F6EC0"/>
    <w:rsid w:val="003F6FF6"/>
    <w:rsid w:val="003F7065"/>
    <w:rsid w:val="003F7104"/>
    <w:rsid w:val="003F714E"/>
    <w:rsid w:val="003F72D6"/>
    <w:rsid w:val="003F73E7"/>
    <w:rsid w:val="003F73F2"/>
    <w:rsid w:val="003F7540"/>
    <w:rsid w:val="003F7566"/>
    <w:rsid w:val="003F7612"/>
    <w:rsid w:val="003F767E"/>
    <w:rsid w:val="003F76DE"/>
    <w:rsid w:val="003F7731"/>
    <w:rsid w:val="003F7AE7"/>
    <w:rsid w:val="003F7B98"/>
    <w:rsid w:val="0040026E"/>
    <w:rsid w:val="004002F0"/>
    <w:rsid w:val="004003AE"/>
    <w:rsid w:val="004003AF"/>
    <w:rsid w:val="0040050B"/>
    <w:rsid w:val="00400691"/>
    <w:rsid w:val="00400699"/>
    <w:rsid w:val="004007D0"/>
    <w:rsid w:val="00400849"/>
    <w:rsid w:val="0040088A"/>
    <w:rsid w:val="00400A37"/>
    <w:rsid w:val="00400C6C"/>
    <w:rsid w:val="00400CA9"/>
    <w:rsid w:val="00400D62"/>
    <w:rsid w:val="00400DBB"/>
    <w:rsid w:val="00400E52"/>
    <w:rsid w:val="00400F4C"/>
    <w:rsid w:val="00400FC6"/>
    <w:rsid w:val="00400FE6"/>
    <w:rsid w:val="00401073"/>
    <w:rsid w:val="00401377"/>
    <w:rsid w:val="00401406"/>
    <w:rsid w:val="00401532"/>
    <w:rsid w:val="00401641"/>
    <w:rsid w:val="00401656"/>
    <w:rsid w:val="00401D59"/>
    <w:rsid w:val="00401D96"/>
    <w:rsid w:val="00401DFA"/>
    <w:rsid w:val="00401F1A"/>
    <w:rsid w:val="00401F9A"/>
    <w:rsid w:val="0040212D"/>
    <w:rsid w:val="00402341"/>
    <w:rsid w:val="004023A5"/>
    <w:rsid w:val="00402402"/>
    <w:rsid w:val="00402433"/>
    <w:rsid w:val="0040244F"/>
    <w:rsid w:val="00402555"/>
    <w:rsid w:val="0040255A"/>
    <w:rsid w:val="004025F9"/>
    <w:rsid w:val="00402A06"/>
    <w:rsid w:val="00402A1B"/>
    <w:rsid w:val="00402F7F"/>
    <w:rsid w:val="00402FF5"/>
    <w:rsid w:val="00403036"/>
    <w:rsid w:val="0040304D"/>
    <w:rsid w:val="004033A7"/>
    <w:rsid w:val="0040347A"/>
    <w:rsid w:val="00403627"/>
    <w:rsid w:val="004036ED"/>
    <w:rsid w:val="004037E0"/>
    <w:rsid w:val="00403B7D"/>
    <w:rsid w:val="00403BD2"/>
    <w:rsid w:val="00403C0E"/>
    <w:rsid w:val="00403CFE"/>
    <w:rsid w:val="00403ED5"/>
    <w:rsid w:val="00403F10"/>
    <w:rsid w:val="00403F78"/>
    <w:rsid w:val="00403F7B"/>
    <w:rsid w:val="00403FAA"/>
    <w:rsid w:val="00404016"/>
    <w:rsid w:val="00404017"/>
    <w:rsid w:val="00404257"/>
    <w:rsid w:val="00404306"/>
    <w:rsid w:val="00404333"/>
    <w:rsid w:val="004044B0"/>
    <w:rsid w:val="004046DD"/>
    <w:rsid w:val="00404A9F"/>
    <w:rsid w:val="00404CA9"/>
    <w:rsid w:val="00404CE3"/>
    <w:rsid w:val="00404DA8"/>
    <w:rsid w:val="00404DAD"/>
    <w:rsid w:val="00404E27"/>
    <w:rsid w:val="00404EF5"/>
    <w:rsid w:val="004050A6"/>
    <w:rsid w:val="004050EC"/>
    <w:rsid w:val="0040514F"/>
    <w:rsid w:val="00405416"/>
    <w:rsid w:val="00405619"/>
    <w:rsid w:val="0040575F"/>
    <w:rsid w:val="00405B91"/>
    <w:rsid w:val="00405E57"/>
    <w:rsid w:val="00405EBA"/>
    <w:rsid w:val="00406057"/>
    <w:rsid w:val="004062CC"/>
    <w:rsid w:val="00406397"/>
    <w:rsid w:val="004063BF"/>
    <w:rsid w:val="004064B7"/>
    <w:rsid w:val="004064BF"/>
    <w:rsid w:val="0040665B"/>
    <w:rsid w:val="00406789"/>
    <w:rsid w:val="0040682E"/>
    <w:rsid w:val="00406A4B"/>
    <w:rsid w:val="00406D5D"/>
    <w:rsid w:val="0040710C"/>
    <w:rsid w:val="00407233"/>
    <w:rsid w:val="004072CA"/>
    <w:rsid w:val="004072CE"/>
    <w:rsid w:val="00407385"/>
    <w:rsid w:val="00407443"/>
    <w:rsid w:val="004074AE"/>
    <w:rsid w:val="00407764"/>
    <w:rsid w:val="004077B9"/>
    <w:rsid w:val="004079D6"/>
    <w:rsid w:val="00407AA8"/>
    <w:rsid w:val="00407D4A"/>
    <w:rsid w:val="00410208"/>
    <w:rsid w:val="00410325"/>
    <w:rsid w:val="0041036B"/>
    <w:rsid w:val="004106B0"/>
    <w:rsid w:val="00410729"/>
    <w:rsid w:val="004108C2"/>
    <w:rsid w:val="0041092B"/>
    <w:rsid w:val="004109A8"/>
    <w:rsid w:val="00410A02"/>
    <w:rsid w:val="00410A72"/>
    <w:rsid w:val="00410A94"/>
    <w:rsid w:val="00410B0F"/>
    <w:rsid w:val="00410CA8"/>
    <w:rsid w:val="00410D72"/>
    <w:rsid w:val="00410F59"/>
    <w:rsid w:val="0041110C"/>
    <w:rsid w:val="0041112D"/>
    <w:rsid w:val="00411171"/>
    <w:rsid w:val="004112C8"/>
    <w:rsid w:val="00411378"/>
    <w:rsid w:val="004113C2"/>
    <w:rsid w:val="004114FB"/>
    <w:rsid w:val="0041170E"/>
    <w:rsid w:val="004117A5"/>
    <w:rsid w:val="00411AEA"/>
    <w:rsid w:val="00411B07"/>
    <w:rsid w:val="00411B8C"/>
    <w:rsid w:val="00411BF7"/>
    <w:rsid w:val="00411C5F"/>
    <w:rsid w:val="00411DC2"/>
    <w:rsid w:val="00411E16"/>
    <w:rsid w:val="004120E6"/>
    <w:rsid w:val="00412217"/>
    <w:rsid w:val="004123C2"/>
    <w:rsid w:val="0041242B"/>
    <w:rsid w:val="004124CA"/>
    <w:rsid w:val="004128FC"/>
    <w:rsid w:val="004129EE"/>
    <w:rsid w:val="00412A5D"/>
    <w:rsid w:val="00412A75"/>
    <w:rsid w:val="00412AEA"/>
    <w:rsid w:val="00412B1E"/>
    <w:rsid w:val="00412C55"/>
    <w:rsid w:val="00412CD7"/>
    <w:rsid w:val="00412E0A"/>
    <w:rsid w:val="00413061"/>
    <w:rsid w:val="00413166"/>
    <w:rsid w:val="004131B1"/>
    <w:rsid w:val="00413315"/>
    <w:rsid w:val="004135C4"/>
    <w:rsid w:val="004135D4"/>
    <w:rsid w:val="00413622"/>
    <w:rsid w:val="0041363D"/>
    <w:rsid w:val="00413689"/>
    <w:rsid w:val="004137DA"/>
    <w:rsid w:val="00413836"/>
    <w:rsid w:val="00413876"/>
    <w:rsid w:val="004139A8"/>
    <w:rsid w:val="00413A4A"/>
    <w:rsid w:val="00413D23"/>
    <w:rsid w:val="00413D2A"/>
    <w:rsid w:val="00413D43"/>
    <w:rsid w:val="00413DD9"/>
    <w:rsid w:val="00413DFE"/>
    <w:rsid w:val="00413E23"/>
    <w:rsid w:val="00413F4A"/>
    <w:rsid w:val="00413FCB"/>
    <w:rsid w:val="00413FE7"/>
    <w:rsid w:val="00414023"/>
    <w:rsid w:val="0041405B"/>
    <w:rsid w:val="00414219"/>
    <w:rsid w:val="00414250"/>
    <w:rsid w:val="00414252"/>
    <w:rsid w:val="004145E5"/>
    <w:rsid w:val="00414716"/>
    <w:rsid w:val="00414C27"/>
    <w:rsid w:val="00414D1C"/>
    <w:rsid w:val="00414E00"/>
    <w:rsid w:val="00415090"/>
    <w:rsid w:val="004150B4"/>
    <w:rsid w:val="00415194"/>
    <w:rsid w:val="0041527B"/>
    <w:rsid w:val="004154D0"/>
    <w:rsid w:val="00415557"/>
    <w:rsid w:val="004155AF"/>
    <w:rsid w:val="004155E6"/>
    <w:rsid w:val="004156C9"/>
    <w:rsid w:val="004157D4"/>
    <w:rsid w:val="00415885"/>
    <w:rsid w:val="0041598D"/>
    <w:rsid w:val="00415B42"/>
    <w:rsid w:val="00415BB6"/>
    <w:rsid w:val="00415C10"/>
    <w:rsid w:val="00415C14"/>
    <w:rsid w:val="00415C4E"/>
    <w:rsid w:val="00415CE7"/>
    <w:rsid w:val="00415FBF"/>
    <w:rsid w:val="0041602E"/>
    <w:rsid w:val="0041605F"/>
    <w:rsid w:val="0041608A"/>
    <w:rsid w:val="0041621E"/>
    <w:rsid w:val="004162AF"/>
    <w:rsid w:val="0041646F"/>
    <w:rsid w:val="00416541"/>
    <w:rsid w:val="004165C9"/>
    <w:rsid w:val="00416888"/>
    <w:rsid w:val="004169D4"/>
    <w:rsid w:val="00416B4E"/>
    <w:rsid w:val="00416B96"/>
    <w:rsid w:val="00416D35"/>
    <w:rsid w:val="00416EED"/>
    <w:rsid w:val="00416F67"/>
    <w:rsid w:val="004172B4"/>
    <w:rsid w:val="004174F1"/>
    <w:rsid w:val="0041766C"/>
    <w:rsid w:val="00417921"/>
    <w:rsid w:val="004179B7"/>
    <w:rsid w:val="00417A15"/>
    <w:rsid w:val="00417A62"/>
    <w:rsid w:val="00417B89"/>
    <w:rsid w:val="00417E1C"/>
    <w:rsid w:val="0041E69F"/>
    <w:rsid w:val="00420087"/>
    <w:rsid w:val="0042019D"/>
    <w:rsid w:val="00420204"/>
    <w:rsid w:val="00420283"/>
    <w:rsid w:val="00420523"/>
    <w:rsid w:val="004206BB"/>
    <w:rsid w:val="004206F8"/>
    <w:rsid w:val="0042083E"/>
    <w:rsid w:val="00420B5C"/>
    <w:rsid w:val="00420CE0"/>
    <w:rsid w:val="00420CF4"/>
    <w:rsid w:val="00420E09"/>
    <w:rsid w:val="00420FDB"/>
    <w:rsid w:val="00420FE5"/>
    <w:rsid w:val="00421263"/>
    <w:rsid w:val="004215B8"/>
    <w:rsid w:val="00421628"/>
    <w:rsid w:val="00421646"/>
    <w:rsid w:val="0042181B"/>
    <w:rsid w:val="004218F2"/>
    <w:rsid w:val="00421948"/>
    <w:rsid w:val="00421963"/>
    <w:rsid w:val="004219F0"/>
    <w:rsid w:val="00421B07"/>
    <w:rsid w:val="00421B3E"/>
    <w:rsid w:val="00421CDF"/>
    <w:rsid w:val="00421D0F"/>
    <w:rsid w:val="00421E51"/>
    <w:rsid w:val="00421E9F"/>
    <w:rsid w:val="00421ED7"/>
    <w:rsid w:val="004222DA"/>
    <w:rsid w:val="00422301"/>
    <w:rsid w:val="0042237A"/>
    <w:rsid w:val="0042241A"/>
    <w:rsid w:val="00422565"/>
    <w:rsid w:val="00422693"/>
    <w:rsid w:val="004226D9"/>
    <w:rsid w:val="0042294E"/>
    <w:rsid w:val="004229A7"/>
    <w:rsid w:val="004229E5"/>
    <w:rsid w:val="00422B0E"/>
    <w:rsid w:val="00422F01"/>
    <w:rsid w:val="004230E2"/>
    <w:rsid w:val="00423640"/>
    <w:rsid w:val="00423642"/>
    <w:rsid w:val="004236AB"/>
    <w:rsid w:val="0042389C"/>
    <w:rsid w:val="00423AF0"/>
    <w:rsid w:val="00423E24"/>
    <w:rsid w:val="00423F6E"/>
    <w:rsid w:val="0042403F"/>
    <w:rsid w:val="0042437E"/>
    <w:rsid w:val="0042457A"/>
    <w:rsid w:val="004245AF"/>
    <w:rsid w:val="004248AC"/>
    <w:rsid w:val="0042491B"/>
    <w:rsid w:val="004249C0"/>
    <w:rsid w:val="00424D50"/>
    <w:rsid w:val="00424D82"/>
    <w:rsid w:val="00424E71"/>
    <w:rsid w:val="00424FA2"/>
    <w:rsid w:val="0042527D"/>
    <w:rsid w:val="004252A3"/>
    <w:rsid w:val="0042530B"/>
    <w:rsid w:val="0042557E"/>
    <w:rsid w:val="004255A0"/>
    <w:rsid w:val="0042578D"/>
    <w:rsid w:val="004257BD"/>
    <w:rsid w:val="0042589F"/>
    <w:rsid w:val="00425A79"/>
    <w:rsid w:val="00425AF8"/>
    <w:rsid w:val="00425B11"/>
    <w:rsid w:val="00425BE1"/>
    <w:rsid w:val="00425CE4"/>
    <w:rsid w:val="00425D3D"/>
    <w:rsid w:val="00425D48"/>
    <w:rsid w:val="00425D56"/>
    <w:rsid w:val="00425E1C"/>
    <w:rsid w:val="00425F75"/>
    <w:rsid w:val="00426000"/>
    <w:rsid w:val="00426016"/>
    <w:rsid w:val="004261A2"/>
    <w:rsid w:val="004261A9"/>
    <w:rsid w:val="0042631A"/>
    <w:rsid w:val="00426415"/>
    <w:rsid w:val="00426421"/>
    <w:rsid w:val="00426552"/>
    <w:rsid w:val="0042664F"/>
    <w:rsid w:val="00426664"/>
    <w:rsid w:val="00426A06"/>
    <w:rsid w:val="00426A45"/>
    <w:rsid w:val="00426BC0"/>
    <w:rsid w:val="00426E53"/>
    <w:rsid w:val="00426FBE"/>
    <w:rsid w:val="00426FFF"/>
    <w:rsid w:val="0042705B"/>
    <w:rsid w:val="00427098"/>
    <w:rsid w:val="004271C0"/>
    <w:rsid w:val="0042725C"/>
    <w:rsid w:val="0042726C"/>
    <w:rsid w:val="004272F5"/>
    <w:rsid w:val="00427409"/>
    <w:rsid w:val="0042751D"/>
    <w:rsid w:val="00427741"/>
    <w:rsid w:val="004278A0"/>
    <w:rsid w:val="00427989"/>
    <w:rsid w:val="004279D6"/>
    <w:rsid w:val="00427BF3"/>
    <w:rsid w:val="00427C44"/>
    <w:rsid w:val="00427C94"/>
    <w:rsid w:val="00430103"/>
    <w:rsid w:val="00430115"/>
    <w:rsid w:val="004301FE"/>
    <w:rsid w:val="00430200"/>
    <w:rsid w:val="004302F6"/>
    <w:rsid w:val="00430387"/>
    <w:rsid w:val="0043051D"/>
    <w:rsid w:val="004305E8"/>
    <w:rsid w:val="00430651"/>
    <w:rsid w:val="004307AA"/>
    <w:rsid w:val="004307AE"/>
    <w:rsid w:val="004308FF"/>
    <w:rsid w:val="0043092B"/>
    <w:rsid w:val="00430990"/>
    <w:rsid w:val="00430A61"/>
    <w:rsid w:val="00430A6A"/>
    <w:rsid w:val="00430BA1"/>
    <w:rsid w:val="00430D55"/>
    <w:rsid w:val="00430DFB"/>
    <w:rsid w:val="004310AB"/>
    <w:rsid w:val="00431266"/>
    <w:rsid w:val="004314CC"/>
    <w:rsid w:val="00431630"/>
    <w:rsid w:val="0043166F"/>
    <w:rsid w:val="004317B9"/>
    <w:rsid w:val="00431956"/>
    <w:rsid w:val="004319E8"/>
    <w:rsid w:val="00431BD6"/>
    <w:rsid w:val="00431C66"/>
    <w:rsid w:val="00431C8B"/>
    <w:rsid w:val="00431CC2"/>
    <w:rsid w:val="00431D15"/>
    <w:rsid w:val="00431DE9"/>
    <w:rsid w:val="00431F6C"/>
    <w:rsid w:val="00431F98"/>
    <w:rsid w:val="00431FB6"/>
    <w:rsid w:val="004320D8"/>
    <w:rsid w:val="004321AE"/>
    <w:rsid w:val="004324BC"/>
    <w:rsid w:val="004324F1"/>
    <w:rsid w:val="0043253E"/>
    <w:rsid w:val="00432559"/>
    <w:rsid w:val="004325C4"/>
    <w:rsid w:val="004326D1"/>
    <w:rsid w:val="00432996"/>
    <w:rsid w:val="00432A5B"/>
    <w:rsid w:val="00432B60"/>
    <w:rsid w:val="00432C6F"/>
    <w:rsid w:val="00432D3D"/>
    <w:rsid w:val="00432E41"/>
    <w:rsid w:val="00432F7F"/>
    <w:rsid w:val="00432FB6"/>
    <w:rsid w:val="00432FFB"/>
    <w:rsid w:val="0043300F"/>
    <w:rsid w:val="0043323A"/>
    <w:rsid w:val="0043362B"/>
    <w:rsid w:val="004339A1"/>
    <w:rsid w:val="00433AE7"/>
    <w:rsid w:val="00433AFA"/>
    <w:rsid w:val="00433BBF"/>
    <w:rsid w:val="00433CEB"/>
    <w:rsid w:val="00433D95"/>
    <w:rsid w:val="00433DC1"/>
    <w:rsid w:val="00434059"/>
    <w:rsid w:val="0043409F"/>
    <w:rsid w:val="00434127"/>
    <w:rsid w:val="004341C3"/>
    <w:rsid w:val="00434444"/>
    <w:rsid w:val="0043445E"/>
    <w:rsid w:val="00434527"/>
    <w:rsid w:val="00434674"/>
    <w:rsid w:val="00434829"/>
    <w:rsid w:val="0043486B"/>
    <w:rsid w:val="004348D4"/>
    <w:rsid w:val="00434959"/>
    <w:rsid w:val="0043499A"/>
    <w:rsid w:val="00434A9F"/>
    <w:rsid w:val="00434B01"/>
    <w:rsid w:val="00434BF4"/>
    <w:rsid w:val="00434C32"/>
    <w:rsid w:val="00434DA8"/>
    <w:rsid w:val="00434E0C"/>
    <w:rsid w:val="00434F43"/>
    <w:rsid w:val="00435102"/>
    <w:rsid w:val="00435134"/>
    <w:rsid w:val="0043535B"/>
    <w:rsid w:val="0043540E"/>
    <w:rsid w:val="00435594"/>
    <w:rsid w:val="00435779"/>
    <w:rsid w:val="00435799"/>
    <w:rsid w:val="004357B7"/>
    <w:rsid w:val="00435832"/>
    <w:rsid w:val="0043584D"/>
    <w:rsid w:val="004358B9"/>
    <w:rsid w:val="00435A34"/>
    <w:rsid w:val="00435DC6"/>
    <w:rsid w:val="00435FAD"/>
    <w:rsid w:val="004363DB"/>
    <w:rsid w:val="004364CD"/>
    <w:rsid w:val="004364EB"/>
    <w:rsid w:val="0043650D"/>
    <w:rsid w:val="00436577"/>
    <w:rsid w:val="004367C8"/>
    <w:rsid w:val="004369AF"/>
    <w:rsid w:val="00436A61"/>
    <w:rsid w:val="00436E88"/>
    <w:rsid w:val="00436EF8"/>
    <w:rsid w:val="00436F66"/>
    <w:rsid w:val="00437145"/>
    <w:rsid w:val="00437156"/>
    <w:rsid w:val="00437163"/>
    <w:rsid w:val="00437170"/>
    <w:rsid w:val="004371AE"/>
    <w:rsid w:val="004371CE"/>
    <w:rsid w:val="004372A5"/>
    <w:rsid w:val="004372A7"/>
    <w:rsid w:val="004372AC"/>
    <w:rsid w:val="00437577"/>
    <w:rsid w:val="00437981"/>
    <w:rsid w:val="00437AA1"/>
    <w:rsid w:val="00437C93"/>
    <w:rsid w:val="00437D25"/>
    <w:rsid w:val="00437EAC"/>
    <w:rsid w:val="00437FC0"/>
    <w:rsid w:val="0044006D"/>
    <w:rsid w:val="0044011C"/>
    <w:rsid w:val="00440260"/>
    <w:rsid w:val="0044035D"/>
    <w:rsid w:val="00440508"/>
    <w:rsid w:val="00440565"/>
    <w:rsid w:val="00440575"/>
    <w:rsid w:val="00440632"/>
    <w:rsid w:val="004406AB"/>
    <w:rsid w:val="004406EB"/>
    <w:rsid w:val="00440732"/>
    <w:rsid w:val="00440808"/>
    <w:rsid w:val="0044087A"/>
    <w:rsid w:val="00440882"/>
    <w:rsid w:val="00440C8E"/>
    <w:rsid w:val="00440EB1"/>
    <w:rsid w:val="00440EBB"/>
    <w:rsid w:val="00440FA3"/>
    <w:rsid w:val="00440FAD"/>
    <w:rsid w:val="00441037"/>
    <w:rsid w:val="00441115"/>
    <w:rsid w:val="0044111C"/>
    <w:rsid w:val="00441209"/>
    <w:rsid w:val="00441258"/>
    <w:rsid w:val="00441366"/>
    <w:rsid w:val="0044142C"/>
    <w:rsid w:val="00441502"/>
    <w:rsid w:val="00441541"/>
    <w:rsid w:val="00441561"/>
    <w:rsid w:val="00441699"/>
    <w:rsid w:val="004417B0"/>
    <w:rsid w:val="004418CC"/>
    <w:rsid w:val="00441970"/>
    <w:rsid w:val="00441B6C"/>
    <w:rsid w:val="00441D55"/>
    <w:rsid w:val="00441FE5"/>
    <w:rsid w:val="0044209A"/>
    <w:rsid w:val="004420AC"/>
    <w:rsid w:val="00442165"/>
    <w:rsid w:val="004421D7"/>
    <w:rsid w:val="00442264"/>
    <w:rsid w:val="00442558"/>
    <w:rsid w:val="00442646"/>
    <w:rsid w:val="004426AA"/>
    <w:rsid w:val="00442869"/>
    <w:rsid w:val="004429A4"/>
    <w:rsid w:val="004429EE"/>
    <w:rsid w:val="00442B2C"/>
    <w:rsid w:val="00442B71"/>
    <w:rsid w:val="00442B87"/>
    <w:rsid w:val="00442DC2"/>
    <w:rsid w:val="00442F35"/>
    <w:rsid w:val="00443233"/>
    <w:rsid w:val="0044337A"/>
    <w:rsid w:val="00443380"/>
    <w:rsid w:val="004434D7"/>
    <w:rsid w:val="004434EE"/>
    <w:rsid w:val="004434F4"/>
    <w:rsid w:val="004435E2"/>
    <w:rsid w:val="00443623"/>
    <w:rsid w:val="00443757"/>
    <w:rsid w:val="004439A9"/>
    <w:rsid w:val="00443AA8"/>
    <w:rsid w:val="00443B70"/>
    <w:rsid w:val="00443CBB"/>
    <w:rsid w:val="00443D7E"/>
    <w:rsid w:val="00443D83"/>
    <w:rsid w:val="00443EBC"/>
    <w:rsid w:val="00443F55"/>
    <w:rsid w:val="00443F8A"/>
    <w:rsid w:val="00443FF6"/>
    <w:rsid w:val="00444138"/>
    <w:rsid w:val="004442FE"/>
    <w:rsid w:val="0044431C"/>
    <w:rsid w:val="004444D1"/>
    <w:rsid w:val="00444535"/>
    <w:rsid w:val="00444693"/>
    <w:rsid w:val="004446EF"/>
    <w:rsid w:val="004447C6"/>
    <w:rsid w:val="00444849"/>
    <w:rsid w:val="004449F7"/>
    <w:rsid w:val="00444A9D"/>
    <w:rsid w:val="00444D3C"/>
    <w:rsid w:val="00444E00"/>
    <w:rsid w:val="00444FE8"/>
    <w:rsid w:val="00445392"/>
    <w:rsid w:val="004454DD"/>
    <w:rsid w:val="00445592"/>
    <w:rsid w:val="00445754"/>
    <w:rsid w:val="004457B9"/>
    <w:rsid w:val="00445A9C"/>
    <w:rsid w:val="00445CCA"/>
    <w:rsid w:val="00445D2C"/>
    <w:rsid w:val="00445DA5"/>
    <w:rsid w:val="00445E12"/>
    <w:rsid w:val="00445F50"/>
    <w:rsid w:val="00445FE2"/>
    <w:rsid w:val="0044612D"/>
    <w:rsid w:val="0044641F"/>
    <w:rsid w:val="00446544"/>
    <w:rsid w:val="0044671E"/>
    <w:rsid w:val="00446871"/>
    <w:rsid w:val="004468EE"/>
    <w:rsid w:val="0044694B"/>
    <w:rsid w:val="0044698B"/>
    <w:rsid w:val="004469EE"/>
    <w:rsid w:val="00446AEB"/>
    <w:rsid w:val="00446D0E"/>
    <w:rsid w:val="00446D2F"/>
    <w:rsid w:val="00446D63"/>
    <w:rsid w:val="00446EFD"/>
    <w:rsid w:val="00446FCA"/>
    <w:rsid w:val="004471A1"/>
    <w:rsid w:val="004472AD"/>
    <w:rsid w:val="0044731C"/>
    <w:rsid w:val="004475DF"/>
    <w:rsid w:val="004475E7"/>
    <w:rsid w:val="00447655"/>
    <w:rsid w:val="00447902"/>
    <w:rsid w:val="00447B0A"/>
    <w:rsid w:val="00447BFF"/>
    <w:rsid w:val="00447D14"/>
    <w:rsid w:val="00447FCF"/>
    <w:rsid w:val="00450153"/>
    <w:rsid w:val="004503EE"/>
    <w:rsid w:val="004504AA"/>
    <w:rsid w:val="004504F6"/>
    <w:rsid w:val="004505BB"/>
    <w:rsid w:val="004507A3"/>
    <w:rsid w:val="00450828"/>
    <w:rsid w:val="004508F9"/>
    <w:rsid w:val="00450C52"/>
    <w:rsid w:val="00450CB4"/>
    <w:rsid w:val="00451004"/>
    <w:rsid w:val="0045105F"/>
    <w:rsid w:val="004510CC"/>
    <w:rsid w:val="004513F2"/>
    <w:rsid w:val="00451538"/>
    <w:rsid w:val="0045156D"/>
    <w:rsid w:val="00451583"/>
    <w:rsid w:val="00451705"/>
    <w:rsid w:val="00451870"/>
    <w:rsid w:val="00451873"/>
    <w:rsid w:val="004518E9"/>
    <w:rsid w:val="00451C1C"/>
    <w:rsid w:val="00451D6F"/>
    <w:rsid w:val="00451E19"/>
    <w:rsid w:val="00451E26"/>
    <w:rsid w:val="00451E71"/>
    <w:rsid w:val="00452060"/>
    <w:rsid w:val="0045210D"/>
    <w:rsid w:val="00452273"/>
    <w:rsid w:val="004522E5"/>
    <w:rsid w:val="0045253A"/>
    <w:rsid w:val="00452647"/>
    <w:rsid w:val="004526D0"/>
    <w:rsid w:val="00452859"/>
    <w:rsid w:val="004528BF"/>
    <w:rsid w:val="0045293D"/>
    <w:rsid w:val="00452949"/>
    <w:rsid w:val="00452A29"/>
    <w:rsid w:val="00452A6D"/>
    <w:rsid w:val="00452BB9"/>
    <w:rsid w:val="00452D23"/>
    <w:rsid w:val="00452E41"/>
    <w:rsid w:val="00452E60"/>
    <w:rsid w:val="00452F50"/>
    <w:rsid w:val="00453015"/>
    <w:rsid w:val="004530FD"/>
    <w:rsid w:val="00453148"/>
    <w:rsid w:val="004532C4"/>
    <w:rsid w:val="0045334E"/>
    <w:rsid w:val="00453687"/>
    <w:rsid w:val="00453731"/>
    <w:rsid w:val="0045386D"/>
    <w:rsid w:val="00453942"/>
    <w:rsid w:val="00453997"/>
    <w:rsid w:val="004539CF"/>
    <w:rsid w:val="00453BED"/>
    <w:rsid w:val="00453C59"/>
    <w:rsid w:val="00453D44"/>
    <w:rsid w:val="00453D56"/>
    <w:rsid w:val="00453EDD"/>
    <w:rsid w:val="0045422F"/>
    <w:rsid w:val="0045432C"/>
    <w:rsid w:val="004543E7"/>
    <w:rsid w:val="0045454A"/>
    <w:rsid w:val="004546A1"/>
    <w:rsid w:val="004546B8"/>
    <w:rsid w:val="00454AFF"/>
    <w:rsid w:val="00454B84"/>
    <w:rsid w:val="00454EE2"/>
    <w:rsid w:val="00455049"/>
    <w:rsid w:val="00455232"/>
    <w:rsid w:val="0045526C"/>
    <w:rsid w:val="00455303"/>
    <w:rsid w:val="004554C9"/>
    <w:rsid w:val="004555D1"/>
    <w:rsid w:val="0045563B"/>
    <w:rsid w:val="00455645"/>
    <w:rsid w:val="004556BB"/>
    <w:rsid w:val="004556CA"/>
    <w:rsid w:val="00455789"/>
    <w:rsid w:val="00455825"/>
    <w:rsid w:val="0045596D"/>
    <w:rsid w:val="004559C0"/>
    <w:rsid w:val="00455A93"/>
    <w:rsid w:val="00455BA0"/>
    <w:rsid w:val="00455D6D"/>
    <w:rsid w:val="00455F03"/>
    <w:rsid w:val="00455F8D"/>
    <w:rsid w:val="004561AC"/>
    <w:rsid w:val="00456220"/>
    <w:rsid w:val="00456493"/>
    <w:rsid w:val="004564BF"/>
    <w:rsid w:val="004564D0"/>
    <w:rsid w:val="0045679B"/>
    <w:rsid w:val="00456879"/>
    <w:rsid w:val="00456A17"/>
    <w:rsid w:val="00456A1A"/>
    <w:rsid w:val="00456A33"/>
    <w:rsid w:val="00456BB7"/>
    <w:rsid w:val="00456D25"/>
    <w:rsid w:val="00456FA1"/>
    <w:rsid w:val="004571C0"/>
    <w:rsid w:val="004571ED"/>
    <w:rsid w:val="00457350"/>
    <w:rsid w:val="004573C4"/>
    <w:rsid w:val="004573EB"/>
    <w:rsid w:val="004574A3"/>
    <w:rsid w:val="00457516"/>
    <w:rsid w:val="0045754A"/>
    <w:rsid w:val="004577DB"/>
    <w:rsid w:val="00457815"/>
    <w:rsid w:val="0045786C"/>
    <w:rsid w:val="004579D3"/>
    <w:rsid w:val="00457A68"/>
    <w:rsid w:val="00457C6C"/>
    <w:rsid w:val="00457CDD"/>
    <w:rsid w:val="00457E72"/>
    <w:rsid w:val="00457EB7"/>
    <w:rsid w:val="00457F45"/>
    <w:rsid w:val="00457F8D"/>
    <w:rsid w:val="00457FAC"/>
    <w:rsid w:val="0046017F"/>
    <w:rsid w:val="0046044F"/>
    <w:rsid w:val="004605DE"/>
    <w:rsid w:val="00460742"/>
    <w:rsid w:val="0046081C"/>
    <w:rsid w:val="00460860"/>
    <w:rsid w:val="00460A65"/>
    <w:rsid w:val="00460ED7"/>
    <w:rsid w:val="00460F3D"/>
    <w:rsid w:val="00460FA3"/>
    <w:rsid w:val="004611B9"/>
    <w:rsid w:val="004611F1"/>
    <w:rsid w:val="00461265"/>
    <w:rsid w:val="00461295"/>
    <w:rsid w:val="004612E3"/>
    <w:rsid w:val="004613C1"/>
    <w:rsid w:val="00461425"/>
    <w:rsid w:val="004615A0"/>
    <w:rsid w:val="004618BC"/>
    <w:rsid w:val="00461907"/>
    <w:rsid w:val="00461963"/>
    <w:rsid w:val="00461A53"/>
    <w:rsid w:val="00461A5E"/>
    <w:rsid w:val="00461CAD"/>
    <w:rsid w:val="004620A6"/>
    <w:rsid w:val="00462385"/>
    <w:rsid w:val="004623C3"/>
    <w:rsid w:val="00462540"/>
    <w:rsid w:val="004625FF"/>
    <w:rsid w:val="00462937"/>
    <w:rsid w:val="004629BA"/>
    <w:rsid w:val="00462AA3"/>
    <w:rsid w:val="00462BD7"/>
    <w:rsid w:val="00462BE0"/>
    <w:rsid w:val="00462CB4"/>
    <w:rsid w:val="00462E31"/>
    <w:rsid w:val="004630B7"/>
    <w:rsid w:val="0046310A"/>
    <w:rsid w:val="004631CD"/>
    <w:rsid w:val="004631DB"/>
    <w:rsid w:val="00463242"/>
    <w:rsid w:val="0046333E"/>
    <w:rsid w:val="00463362"/>
    <w:rsid w:val="004634C4"/>
    <w:rsid w:val="004634DE"/>
    <w:rsid w:val="00463574"/>
    <w:rsid w:val="00463638"/>
    <w:rsid w:val="0046365F"/>
    <w:rsid w:val="0046368A"/>
    <w:rsid w:val="004636BE"/>
    <w:rsid w:val="004636CC"/>
    <w:rsid w:val="004636FF"/>
    <w:rsid w:val="00463775"/>
    <w:rsid w:val="00463886"/>
    <w:rsid w:val="00463918"/>
    <w:rsid w:val="00463BCA"/>
    <w:rsid w:val="00463DEE"/>
    <w:rsid w:val="00463DF3"/>
    <w:rsid w:val="00463E74"/>
    <w:rsid w:val="00464129"/>
    <w:rsid w:val="00464283"/>
    <w:rsid w:val="0046428E"/>
    <w:rsid w:val="004642E2"/>
    <w:rsid w:val="0046431E"/>
    <w:rsid w:val="00464322"/>
    <w:rsid w:val="004643D5"/>
    <w:rsid w:val="004643DA"/>
    <w:rsid w:val="00464448"/>
    <w:rsid w:val="004649F0"/>
    <w:rsid w:val="00464A15"/>
    <w:rsid w:val="00464BB0"/>
    <w:rsid w:val="00464BC4"/>
    <w:rsid w:val="00464E1E"/>
    <w:rsid w:val="00464E94"/>
    <w:rsid w:val="00464EA8"/>
    <w:rsid w:val="00464EAF"/>
    <w:rsid w:val="00464F35"/>
    <w:rsid w:val="00464F7E"/>
    <w:rsid w:val="00464FE8"/>
    <w:rsid w:val="00465032"/>
    <w:rsid w:val="004650EA"/>
    <w:rsid w:val="00465246"/>
    <w:rsid w:val="004653E7"/>
    <w:rsid w:val="0046540A"/>
    <w:rsid w:val="0046546D"/>
    <w:rsid w:val="00465476"/>
    <w:rsid w:val="00465578"/>
    <w:rsid w:val="004655D5"/>
    <w:rsid w:val="00465667"/>
    <w:rsid w:val="00465756"/>
    <w:rsid w:val="00465766"/>
    <w:rsid w:val="004657E7"/>
    <w:rsid w:val="0046587F"/>
    <w:rsid w:val="00465AE7"/>
    <w:rsid w:val="00465B04"/>
    <w:rsid w:val="00465B1D"/>
    <w:rsid w:val="00465C61"/>
    <w:rsid w:val="00465E22"/>
    <w:rsid w:val="00465E8F"/>
    <w:rsid w:val="00465F18"/>
    <w:rsid w:val="00465FD3"/>
    <w:rsid w:val="0046601C"/>
    <w:rsid w:val="004660F7"/>
    <w:rsid w:val="00466102"/>
    <w:rsid w:val="00466121"/>
    <w:rsid w:val="004661A7"/>
    <w:rsid w:val="00466206"/>
    <w:rsid w:val="004663DD"/>
    <w:rsid w:val="004664A5"/>
    <w:rsid w:val="00466649"/>
    <w:rsid w:val="00466698"/>
    <w:rsid w:val="004666B1"/>
    <w:rsid w:val="00466727"/>
    <w:rsid w:val="0046684A"/>
    <w:rsid w:val="00466965"/>
    <w:rsid w:val="00466A54"/>
    <w:rsid w:val="00466CA4"/>
    <w:rsid w:val="00466CE3"/>
    <w:rsid w:val="00466DA7"/>
    <w:rsid w:val="00466DAC"/>
    <w:rsid w:val="00466EEB"/>
    <w:rsid w:val="00466FC5"/>
    <w:rsid w:val="00467111"/>
    <w:rsid w:val="00467194"/>
    <w:rsid w:val="0046726A"/>
    <w:rsid w:val="0046742D"/>
    <w:rsid w:val="00467566"/>
    <w:rsid w:val="00467696"/>
    <w:rsid w:val="004677C7"/>
    <w:rsid w:val="0046786F"/>
    <w:rsid w:val="0046795A"/>
    <w:rsid w:val="00467A32"/>
    <w:rsid w:val="00467AD6"/>
    <w:rsid w:val="00467B15"/>
    <w:rsid w:val="00467B1E"/>
    <w:rsid w:val="00467C68"/>
    <w:rsid w:val="00467CD5"/>
    <w:rsid w:val="0047003A"/>
    <w:rsid w:val="00470050"/>
    <w:rsid w:val="004700F4"/>
    <w:rsid w:val="00470231"/>
    <w:rsid w:val="00470240"/>
    <w:rsid w:val="004703EF"/>
    <w:rsid w:val="00470420"/>
    <w:rsid w:val="00470523"/>
    <w:rsid w:val="004705AF"/>
    <w:rsid w:val="00470699"/>
    <w:rsid w:val="00470738"/>
    <w:rsid w:val="00470798"/>
    <w:rsid w:val="00470A1E"/>
    <w:rsid w:val="00470A37"/>
    <w:rsid w:val="00470B58"/>
    <w:rsid w:val="00470DA6"/>
    <w:rsid w:val="00470E41"/>
    <w:rsid w:val="00470E89"/>
    <w:rsid w:val="00470EA1"/>
    <w:rsid w:val="00470FBA"/>
    <w:rsid w:val="00471014"/>
    <w:rsid w:val="00471064"/>
    <w:rsid w:val="0047120A"/>
    <w:rsid w:val="0047139F"/>
    <w:rsid w:val="004714EB"/>
    <w:rsid w:val="004715EA"/>
    <w:rsid w:val="0047183E"/>
    <w:rsid w:val="004719F1"/>
    <w:rsid w:val="00471A3F"/>
    <w:rsid w:val="00471C5A"/>
    <w:rsid w:val="00471ED9"/>
    <w:rsid w:val="0047206B"/>
    <w:rsid w:val="004722C0"/>
    <w:rsid w:val="00472306"/>
    <w:rsid w:val="00472376"/>
    <w:rsid w:val="00472435"/>
    <w:rsid w:val="004724E5"/>
    <w:rsid w:val="0047250C"/>
    <w:rsid w:val="0047276C"/>
    <w:rsid w:val="00472AE0"/>
    <w:rsid w:val="00472D21"/>
    <w:rsid w:val="00472DD2"/>
    <w:rsid w:val="00472DEB"/>
    <w:rsid w:val="00472E9E"/>
    <w:rsid w:val="00472FAE"/>
    <w:rsid w:val="0047304E"/>
    <w:rsid w:val="00473066"/>
    <w:rsid w:val="0047311A"/>
    <w:rsid w:val="00473121"/>
    <w:rsid w:val="00473193"/>
    <w:rsid w:val="00473220"/>
    <w:rsid w:val="0047342D"/>
    <w:rsid w:val="00473795"/>
    <w:rsid w:val="0047381E"/>
    <w:rsid w:val="00473899"/>
    <w:rsid w:val="004738A1"/>
    <w:rsid w:val="004739CA"/>
    <w:rsid w:val="004739D5"/>
    <w:rsid w:val="00473B23"/>
    <w:rsid w:val="00473B66"/>
    <w:rsid w:val="00473C13"/>
    <w:rsid w:val="00473C31"/>
    <w:rsid w:val="00473C52"/>
    <w:rsid w:val="00473CA1"/>
    <w:rsid w:val="00473D86"/>
    <w:rsid w:val="00473DC7"/>
    <w:rsid w:val="00473E71"/>
    <w:rsid w:val="00473FD0"/>
    <w:rsid w:val="004741BF"/>
    <w:rsid w:val="004745CA"/>
    <w:rsid w:val="0047464D"/>
    <w:rsid w:val="00474AF6"/>
    <w:rsid w:val="00474DBC"/>
    <w:rsid w:val="00474E0B"/>
    <w:rsid w:val="00474EA5"/>
    <w:rsid w:val="00474FC6"/>
    <w:rsid w:val="004751DC"/>
    <w:rsid w:val="004752E7"/>
    <w:rsid w:val="004754ED"/>
    <w:rsid w:val="004759F0"/>
    <w:rsid w:val="00475AA3"/>
    <w:rsid w:val="00475C4C"/>
    <w:rsid w:val="00475E21"/>
    <w:rsid w:val="00475E58"/>
    <w:rsid w:val="0047611F"/>
    <w:rsid w:val="00476191"/>
    <w:rsid w:val="004761DF"/>
    <w:rsid w:val="0047633B"/>
    <w:rsid w:val="0047666A"/>
    <w:rsid w:val="0047676C"/>
    <w:rsid w:val="004767BA"/>
    <w:rsid w:val="00476892"/>
    <w:rsid w:val="00476994"/>
    <w:rsid w:val="004769AF"/>
    <w:rsid w:val="004769E3"/>
    <w:rsid w:val="00476A41"/>
    <w:rsid w:val="00476C57"/>
    <w:rsid w:val="00476DDC"/>
    <w:rsid w:val="00476E38"/>
    <w:rsid w:val="00476E4A"/>
    <w:rsid w:val="00476FAC"/>
    <w:rsid w:val="00477116"/>
    <w:rsid w:val="00477379"/>
    <w:rsid w:val="004773E8"/>
    <w:rsid w:val="004779EB"/>
    <w:rsid w:val="00477AB1"/>
    <w:rsid w:val="00477BAC"/>
    <w:rsid w:val="00477E61"/>
    <w:rsid w:val="0048007A"/>
    <w:rsid w:val="004804B5"/>
    <w:rsid w:val="004808BE"/>
    <w:rsid w:val="004808F8"/>
    <w:rsid w:val="00480C7A"/>
    <w:rsid w:val="00480D13"/>
    <w:rsid w:val="00480D2F"/>
    <w:rsid w:val="00480F3E"/>
    <w:rsid w:val="00481136"/>
    <w:rsid w:val="00481160"/>
    <w:rsid w:val="004811BB"/>
    <w:rsid w:val="00481207"/>
    <w:rsid w:val="0048128D"/>
    <w:rsid w:val="004812D0"/>
    <w:rsid w:val="00481351"/>
    <w:rsid w:val="00481512"/>
    <w:rsid w:val="004815DC"/>
    <w:rsid w:val="004815FB"/>
    <w:rsid w:val="00481BE2"/>
    <w:rsid w:val="00481F4C"/>
    <w:rsid w:val="00482193"/>
    <w:rsid w:val="004822E9"/>
    <w:rsid w:val="004824F7"/>
    <w:rsid w:val="00482607"/>
    <w:rsid w:val="00482760"/>
    <w:rsid w:val="00482785"/>
    <w:rsid w:val="0048280E"/>
    <w:rsid w:val="004828A1"/>
    <w:rsid w:val="00482BE3"/>
    <w:rsid w:val="00482D21"/>
    <w:rsid w:val="00482D67"/>
    <w:rsid w:val="00482E16"/>
    <w:rsid w:val="00482EBD"/>
    <w:rsid w:val="00482EC6"/>
    <w:rsid w:val="00483245"/>
    <w:rsid w:val="00483526"/>
    <w:rsid w:val="00483534"/>
    <w:rsid w:val="004838AE"/>
    <w:rsid w:val="004838B7"/>
    <w:rsid w:val="004838E5"/>
    <w:rsid w:val="00483B22"/>
    <w:rsid w:val="00483B51"/>
    <w:rsid w:val="00483DDA"/>
    <w:rsid w:val="00483ED0"/>
    <w:rsid w:val="00483EDB"/>
    <w:rsid w:val="0048411A"/>
    <w:rsid w:val="004842E2"/>
    <w:rsid w:val="0048431D"/>
    <w:rsid w:val="004843C9"/>
    <w:rsid w:val="0048442A"/>
    <w:rsid w:val="004844DF"/>
    <w:rsid w:val="00484A2D"/>
    <w:rsid w:val="00484B80"/>
    <w:rsid w:val="00484B85"/>
    <w:rsid w:val="00484BC8"/>
    <w:rsid w:val="00484DAA"/>
    <w:rsid w:val="00484E55"/>
    <w:rsid w:val="00484E93"/>
    <w:rsid w:val="0048504B"/>
    <w:rsid w:val="0048515A"/>
    <w:rsid w:val="0048520C"/>
    <w:rsid w:val="00485211"/>
    <w:rsid w:val="00485532"/>
    <w:rsid w:val="00485739"/>
    <w:rsid w:val="0048578A"/>
    <w:rsid w:val="0048582D"/>
    <w:rsid w:val="004858DA"/>
    <w:rsid w:val="00485A9E"/>
    <w:rsid w:val="00485AFB"/>
    <w:rsid w:val="00485C46"/>
    <w:rsid w:val="00485C4D"/>
    <w:rsid w:val="00485C4E"/>
    <w:rsid w:val="00485C5D"/>
    <w:rsid w:val="004860EA"/>
    <w:rsid w:val="00486560"/>
    <w:rsid w:val="00486638"/>
    <w:rsid w:val="0048674A"/>
    <w:rsid w:val="00486987"/>
    <w:rsid w:val="004869BC"/>
    <w:rsid w:val="004869E5"/>
    <w:rsid w:val="00486B97"/>
    <w:rsid w:val="00486EF2"/>
    <w:rsid w:val="00486FA4"/>
    <w:rsid w:val="00487021"/>
    <w:rsid w:val="0048716C"/>
    <w:rsid w:val="00487243"/>
    <w:rsid w:val="00487260"/>
    <w:rsid w:val="00487316"/>
    <w:rsid w:val="00487397"/>
    <w:rsid w:val="0048746B"/>
    <w:rsid w:val="004877FE"/>
    <w:rsid w:val="004878E2"/>
    <w:rsid w:val="00487A36"/>
    <w:rsid w:val="00487E92"/>
    <w:rsid w:val="00487FAA"/>
    <w:rsid w:val="00490241"/>
    <w:rsid w:val="00490277"/>
    <w:rsid w:val="004902C2"/>
    <w:rsid w:val="004902D9"/>
    <w:rsid w:val="004903DF"/>
    <w:rsid w:val="004904FB"/>
    <w:rsid w:val="0049064A"/>
    <w:rsid w:val="00490798"/>
    <w:rsid w:val="0049083B"/>
    <w:rsid w:val="00490A1E"/>
    <w:rsid w:val="00490B6E"/>
    <w:rsid w:val="00490B90"/>
    <w:rsid w:val="00490C12"/>
    <w:rsid w:val="00490DCA"/>
    <w:rsid w:val="00490E6B"/>
    <w:rsid w:val="00491018"/>
    <w:rsid w:val="00491129"/>
    <w:rsid w:val="0049118F"/>
    <w:rsid w:val="004912DC"/>
    <w:rsid w:val="004912F0"/>
    <w:rsid w:val="00491355"/>
    <w:rsid w:val="004915D0"/>
    <w:rsid w:val="00491636"/>
    <w:rsid w:val="004916A2"/>
    <w:rsid w:val="004917A1"/>
    <w:rsid w:val="00491907"/>
    <w:rsid w:val="00491996"/>
    <w:rsid w:val="00491C2E"/>
    <w:rsid w:val="00491CF2"/>
    <w:rsid w:val="00491F6B"/>
    <w:rsid w:val="0049215F"/>
    <w:rsid w:val="004921F1"/>
    <w:rsid w:val="0049239E"/>
    <w:rsid w:val="004923ED"/>
    <w:rsid w:val="00492552"/>
    <w:rsid w:val="00492710"/>
    <w:rsid w:val="00492830"/>
    <w:rsid w:val="0049288B"/>
    <w:rsid w:val="00492896"/>
    <w:rsid w:val="00492E16"/>
    <w:rsid w:val="00492E19"/>
    <w:rsid w:val="0049328C"/>
    <w:rsid w:val="004932CE"/>
    <w:rsid w:val="00493317"/>
    <w:rsid w:val="0049334F"/>
    <w:rsid w:val="004933BF"/>
    <w:rsid w:val="004934DA"/>
    <w:rsid w:val="004937A3"/>
    <w:rsid w:val="00493AB4"/>
    <w:rsid w:val="00493AD9"/>
    <w:rsid w:val="00493C09"/>
    <w:rsid w:val="00493EF3"/>
    <w:rsid w:val="00493FDA"/>
    <w:rsid w:val="004940B7"/>
    <w:rsid w:val="00494175"/>
    <w:rsid w:val="004941ED"/>
    <w:rsid w:val="00494258"/>
    <w:rsid w:val="00494663"/>
    <w:rsid w:val="00494829"/>
    <w:rsid w:val="004948A2"/>
    <w:rsid w:val="004949BF"/>
    <w:rsid w:val="00494A63"/>
    <w:rsid w:val="00494D8C"/>
    <w:rsid w:val="00494FCA"/>
    <w:rsid w:val="00494FEB"/>
    <w:rsid w:val="004951B2"/>
    <w:rsid w:val="00495235"/>
    <w:rsid w:val="00495387"/>
    <w:rsid w:val="00495420"/>
    <w:rsid w:val="00495524"/>
    <w:rsid w:val="0049575B"/>
    <w:rsid w:val="004957CA"/>
    <w:rsid w:val="004957EF"/>
    <w:rsid w:val="00495AE4"/>
    <w:rsid w:val="00495B77"/>
    <w:rsid w:val="00495BCE"/>
    <w:rsid w:val="00495DC1"/>
    <w:rsid w:val="00495F27"/>
    <w:rsid w:val="00495F49"/>
    <w:rsid w:val="004960B7"/>
    <w:rsid w:val="0049610C"/>
    <w:rsid w:val="0049625C"/>
    <w:rsid w:val="004962B0"/>
    <w:rsid w:val="0049633B"/>
    <w:rsid w:val="0049636E"/>
    <w:rsid w:val="00496A01"/>
    <w:rsid w:val="00496A49"/>
    <w:rsid w:val="00496B79"/>
    <w:rsid w:val="00496D95"/>
    <w:rsid w:val="00496DD6"/>
    <w:rsid w:val="00496E42"/>
    <w:rsid w:val="00497102"/>
    <w:rsid w:val="00497151"/>
    <w:rsid w:val="00497236"/>
    <w:rsid w:val="00497422"/>
    <w:rsid w:val="004974C0"/>
    <w:rsid w:val="004975E5"/>
    <w:rsid w:val="0049761C"/>
    <w:rsid w:val="004976C2"/>
    <w:rsid w:val="0049773D"/>
    <w:rsid w:val="0049778A"/>
    <w:rsid w:val="004978C0"/>
    <w:rsid w:val="004978FF"/>
    <w:rsid w:val="00497904"/>
    <w:rsid w:val="0049792F"/>
    <w:rsid w:val="00497A43"/>
    <w:rsid w:val="00497A76"/>
    <w:rsid w:val="00497C7C"/>
    <w:rsid w:val="00497CBC"/>
    <w:rsid w:val="00497CC8"/>
    <w:rsid w:val="00497D88"/>
    <w:rsid w:val="00497E2E"/>
    <w:rsid w:val="00497F1C"/>
    <w:rsid w:val="004A0264"/>
    <w:rsid w:val="004A03B8"/>
    <w:rsid w:val="004A0529"/>
    <w:rsid w:val="004A070D"/>
    <w:rsid w:val="004A073B"/>
    <w:rsid w:val="004A0AD0"/>
    <w:rsid w:val="004A0B3C"/>
    <w:rsid w:val="004A0B92"/>
    <w:rsid w:val="004A0C7B"/>
    <w:rsid w:val="004A0EBB"/>
    <w:rsid w:val="004A13FE"/>
    <w:rsid w:val="004A1459"/>
    <w:rsid w:val="004A14C7"/>
    <w:rsid w:val="004A153F"/>
    <w:rsid w:val="004A15A8"/>
    <w:rsid w:val="004A1610"/>
    <w:rsid w:val="004A166C"/>
    <w:rsid w:val="004A1904"/>
    <w:rsid w:val="004A1AE1"/>
    <w:rsid w:val="004A1D3F"/>
    <w:rsid w:val="004A1DD7"/>
    <w:rsid w:val="004A1EA9"/>
    <w:rsid w:val="004A2095"/>
    <w:rsid w:val="004A2107"/>
    <w:rsid w:val="004A220F"/>
    <w:rsid w:val="004A225E"/>
    <w:rsid w:val="004A2272"/>
    <w:rsid w:val="004A22E4"/>
    <w:rsid w:val="004A2355"/>
    <w:rsid w:val="004A23B0"/>
    <w:rsid w:val="004A253F"/>
    <w:rsid w:val="004A2667"/>
    <w:rsid w:val="004A26FD"/>
    <w:rsid w:val="004A2880"/>
    <w:rsid w:val="004A2A81"/>
    <w:rsid w:val="004A2AD3"/>
    <w:rsid w:val="004A2C5E"/>
    <w:rsid w:val="004A2C9E"/>
    <w:rsid w:val="004A2CC3"/>
    <w:rsid w:val="004A2D20"/>
    <w:rsid w:val="004A3215"/>
    <w:rsid w:val="004A352C"/>
    <w:rsid w:val="004A35AB"/>
    <w:rsid w:val="004A35D4"/>
    <w:rsid w:val="004A3695"/>
    <w:rsid w:val="004A3862"/>
    <w:rsid w:val="004A38AF"/>
    <w:rsid w:val="004A38EE"/>
    <w:rsid w:val="004A3A4D"/>
    <w:rsid w:val="004A3B3C"/>
    <w:rsid w:val="004A3B7E"/>
    <w:rsid w:val="004A3B93"/>
    <w:rsid w:val="004A3C3E"/>
    <w:rsid w:val="004A3CA0"/>
    <w:rsid w:val="004A3D99"/>
    <w:rsid w:val="004A3FE1"/>
    <w:rsid w:val="004A40D2"/>
    <w:rsid w:val="004A4175"/>
    <w:rsid w:val="004A42FC"/>
    <w:rsid w:val="004A4527"/>
    <w:rsid w:val="004A47CB"/>
    <w:rsid w:val="004A4818"/>
    <w:rsid w:val="004A4A38"/>
    <w:rsid w:val="004A4AEC"/>
    <w:rsid w:val="004A4B50"/>
    <w:rsid w:val="004A4C2A"/>
    <w:rsid w:val="004A4C2C"/>
    <w:rsid w:val="004A4D9C"/>
    <w:rsid w:val="004A50A4"/>
    <w:rsid w:val="004A5224"/>
    <w:rsid w:val="004A522F"/>
    <w:rsid w:val="004A5425"/>
    <w:rsid w:val="004A5457"/>
    <w:rsid w:val="004A5648"/>
    <w:rsid w:val="004A5690"/>
    <w:rsid w:val="004A581F"/>
    <w:rsid w:val="004A5833"/>
    <w:rsid w:val="004A59E0"/>
    <w:rsid w:val="004A5C2C"/>
    <w:rsid w:val="004A5C57"/>
    <w:rsid w:val="004A5E1F"/>
    <w:rsid w:val="004A5E73"/>
    <w:rsid w:val="004A5ED0"/>
    <w:rsid w:val="004A60F2"/>
    <w:rsid w:val="004A61DB"/>
    <w:rsid w:val="004A6293"/>
    <w:rsid w:val="004A6402"/>
    <w:rsid w:val="004A6481"/>
    <w:rsid w:val="004A663A"/>
    <w:rsid w:val="004A66E1"/>
    <w:rsid w:val="004A67C3"/>
    <w:rsid w:val="004A693B"/>
    <w:rsid w:val="004A6AA8"/>
    <w:rsid w:val="004A6AB4"/>
    <w:rsid w:val="004A6D2D"/>
    <w:rsid w:val="004A6E13"/>
    <w:rsid w:val="004A6F52"/>
    <w:rsid w:val="004A6FA5"/>
    <w:rsid w:val="004A70CA"/>
    <w:rsid w:val="004A74DB"/>
    <w:rsid w:val="004A7544"/>
    <w:rsid w:val="004A7547"/>
    <w:rsid w:val="004A76F8"/>
    <w:rsid w:val="004A77CF"/>
    <w:rsid w:val="004A7980"/>
    <w:rsid w:val="004A79B0"/>
    <w:rsid w:val="004A79CA"/>
    <w:rsid w:val="004A7B51"/>
    <w:rsid w:val="004A7FC9"/>
    <w:rsid w:val="004AAE7D"/>
    <w:rsid w:val="004B00C7"/>
    <w:rsid w:val="004B023E"/>
    <w:rsid w:val="004B04E4"/>
    <w:rsid w:val="004B04FA"/>
    <w:rsid w:val="004B0504"/>
    <w:rsid w:val="004B05C3"/>
    <w:rsid w:val="004B0741"/>
    <w:rsid w:val="004B080C"/>
    <w:rsid w:val="004B095C"/>
    <w:rsid w:val="004B0C87"/>
    <w:rsid w:val="004B0DCB"/>
    <w:rsid w:val="004B0E2D"/>
    <w:rsid w:val="004B0E66"/>
    <w:rsid w:val="004B0F18"/>
    <w:rsid w:val="004B0F58"/>
    <w:rsid w:val="004B0FCC"/>
    <w:rsid w:val="004B13CE"/>
    <w:rsid w:val="004B1549"/>
    <w:rsid w:val="004B1552"/>
    <w:rsid w:val="004B15F6"/>
    <w:rsid w:val="004B18C4"/>
    <w:rsid w:val="004B1B0E"/>
    <w:rsid w:val="004B1C5B"/>
    <w:rsid w:val="004B1E38"/>
    <w:rsid w:val="004B1FF9"/>
    <w:rsid w:val="004B213E"/>
    <w:rsid w:val="004B219B"/>
    <w:rsid w:val="004B2472"/>
    <w:rsid w:val="004B250A"/>
    <w:rsid w:val="004B271E"/>
    <w:rsid w:val="004B27EE"/>
    <w:rsid w:val="004B28CB"/>
    <w:rsid w:val="004B290F"/>
    <w:rsid w:val="004B296F"/>
    <w:rsid w:val="004B2A52"/>
    <w:rsid w:val="004B2C08"/>
    <w:rsid w:val="004B2C5B"/>
    <w:rsid w:val="004B2D3B"/>
    <w:rsid w:val="004B2E18"/>
    <w:rsid w:val="004B2EA2"/>
    <w:rsid w:val="004B2F79"/>
    <w:rsid w:val="004B30AF"/>
    <w:rsid w:val="004B3178"/>
    <w:rsid w:val="004B3344"/>
    <w:rsid w:val="004B33B6"/>
    <w:rsid w:val="004B33E8"/>
    <w:rsid w:val="004B36AA"/>
    <w:rsid w:val="004B371C"/>
    <w:rsid w:val="004B371F"/>
    <w:rsid w:val="004B3782"/>
    <w:rsid w:val="004B38E4"/>
    <w:rsid w:val="004B3900"/>
    <w:rsid w:val="004B3975"/>
    <w:rsid w:val="004B3B0C"/>
    <w:rsid w:val="004B3B21"/>
    <w:rsid w:val="004B3BAC"/>
    <w:rsid w:val="004B3D85"/>
    <w:rsid w:val="004B3E1A"/>
    <w:rsid w:val="004B42F3"/>
    <w:rsid w:val="004B44FF"/>
    <w:rsid w:val="004B45BA"/>
    <w:rsid w:val="004B46BA"/>
    <w:rsid w:val="004B4ACC"/>
    <w:rsid w:val="004B4D54"/>
    <w:rsid w:val="004B4D67"/>
    <w:rsid w:val="004B4D6E"/>
    <w:rsid w:val="004B4DCB"/>
    <w:rsid w:val="004B4E65"/>
    <w:rsid w:val="004B5172"/>
    <w:rsid w:val="004B523D"/>
    <w:rsid w:val="004B5289"/>
    <w:rsid w:val="004B53FF"/>
    <w:rsid w:val="004B56B7"/>
    <w:rsid w:val="004B5930"/>
    <w:rsid w:val="004B5A54"/>
    <w:rsid w:val="004B5B6B"/>
    <w:rsid w:val="004B5B91"/>
    <w:rsid w:val="004B5C6F"/>
    <w:rsid w:val="004B5CDF"/>
    <w:rsid w:val="004B5FBA"/>
    <w:rsid w:val="004B5FE6"/>
    <w:rsid w:val="004B604B"/>
    <w:rsid w:val="004B6145"/>
    <w:rsid w:val="004B627F"/>
    <w:rsid w:val="004B6324"/>
    <w:rsid w:val="004B65E3"/>
    <w:rsid w:val="004B65FD"/>
    <w:rsid w:val="004B684E"/>
    <w:rsid w:val="004B6942"/>
    <w:rsid w:val="004B6C71"/>
    <w:rsid w:val="004B6D38"/>
    <w:rsid w:val="004B6DC5"/>
    <w:rsid w:val="004B6F6B"/>
    <w:rsid w:val="004B709E"/>
    <w:rsid w:val="004B720A"/>
    <w:rsid w:val="004B7439"/>
    <w:rsid w:val="004B74BF"/>
    <w:rsid w:val="004B7578"/>
    <w:rsid w:val="004B7789"/>
    <w:rsid w:val="004B7C9E"/>
    <w:rsid w:val="004B7DC3"/>
    <w:rsid w:val="004B7EA4"/>
    <w:rsid w:val="004C003D"/>
    <w:rsid w:val="004C02D4"/>
    <w:rsid w:val="004C0421"/>
    <w:rsid w:val="004C0513"/>
    <w:rsid w:val="004C06E4"/>
    <w:rsid w:val="004C0727"/>
    <w:rsid w:val="004C07B2"/>
    <w:rsid w:val="004C085F"/>
    <w:rsid w:val="004C0889"/>
    <w:rsid w:val="004C093E"/>
    <w:rsid w:val="004C0B44"/>
    <w:rsid w:val="004C0B69"/>
    <w:rsid w:val="004C0BBC"/>
    <w:rsid w:val="004C0F3A"/>
    <w:rsid w:val="004C1116"/>
    <w:rsid w:val="004C1148"/>
    <w:rsid w:val="004C12C1"/>
    <w:rsid w:val="004C1598"/>
    <w:rsid w:val="004C15F0"/>
    <w:rsid w:val="004C1616"/>
    <w:rsid w:val="004C171E"/>
    <w:rsid w:val="004C1725"/>
    <w:rsid w:val="004C1822"/>
    <w:rsid w:val="004C1A77"/>
    <w:rsid w:val="004C1C79"/>
    <w:rsid w:val="004C1C87"/>
    <w:rsid w:val="004C1CAD"/>
    <w:rsid w:val="004C1E1A"/>
    <w:rsid w:val="004C1E71"/>
    <w:rsid w:val="004C1EFF"/>
    <w:rsid w:val="004C2037"/>
    <w:rsid w:val="004C20C7"/>
    <w:rsid w:val="004C243C"/>
    <w:rsid w:val="004C248B"/>
    <w:rsid w:val="004C257C"/>
    <w:rsid w:val="004C25E6"/>
    <w:rsid w:val="004C273D"/>
    <w:rsid w:val="004C287F"/>
    <w:rsid w:val="004C28FB"/>
    <w:rsid w:val="004C28FF"/>
    <w:rsid w:val="004C2A7D"/>
    <w:rsid w:val="004C2ADB"/>
    <w:rsid w:val="004C2B53"/>
    <w:rsid w:val="004C2D6E"/>
    <w:rsid w:val="004C2EA7"/>
    <w:rsid w:val="004C306F"/>
    <w:rsid w:val="004C328B"/>
    <w:rsid w:val="004C33D0"/>
    <w:rsid w:val="004C34B4"/>
    <w:rsid w:val="004C352B"/>
    <w:rsid w:val="004C3579"/>
    <w:rsid w:val="004C36EE"/>
    <w:rsid w:val="004C37FF"/>
    <w:rsid w:val="004C38D6"/>
    <w:rsid w:val="004C3CC9"/>
    <w:rsid w:val="004C3CEA"/>
    <w:rsid w:val="004C3D7B"/>
    <w:rsid w:val="004C3E37"/>
    <w:rsid w:val="004C4057"/>
    <w:rsid w:val="004C4264"/>
    <w:rsid w:val="004C4456"/>
    <w:rsid w:val="004C4598"/>
    <w:rsid w:val="004C4BD1"/>
    <w:rsid w:val="004C4C05"/>
    <w:rsid w:val="004C4C2E"/>
    <w:rsid w:val="004C4D06"/>
    <w:rsid w:val="004C4ED2"/>
    <w:rsid w:val="004C514E"/>
    <w:rsid w:val="004C53A6"/>
    <w:rsid w:val="004C5461"/>
    <w:rsid w:val="004C54AA"/>
    <w:rsid w:val="004C5590"/>
    <w:rsid w:val="004C55CB"/>
    <w:rsid w:val="004C571B"/>
    <w:rsid w:val="004C57DD"/>
    <w:rsid w:val="004C58A9"/>
    <w:rsid w:val="004C597B"/>
    <w:rsid w:val="004C5D8C"/>
    <w:rsid w:val="004C5E4E"/>
    <w:rsid w:val="004C5F54"/>
    <w:rsid w:val="004C6156"/>
    <w:rsid w:val="004C61F9"/>
    <w:rsid w:val="004C62EA"/>
    <w:rsid w:val="004C62F0"/>
    <w:rsid w:val="004C6536"/>
    <w:rsid w:val="004C65EE"/>
    <w:rsid w:val="004C67DF"/>
    <w:rsid w:val="004C6BF0"/>
    <w:rsid w:val="004C6EE2"/>
    <w:rsid w:val="004C70F8"/>
    <w:rsid w:val="004C7221"/>
    <w:rsid w:val="004C728B"/>
    <w:rsid w:val="004C72C2"/>
    <w:rsid w:val="004C74CB"/>
    <w:rsid w:val="004C75C2"/>
    <w:rsid w:val="004C77AF"/>
    <w:rsid w:val="004C787F"/>
    <w:rsid w:val="004C7918"/>
    <w:rsid w:val="004C7AE4"/>
    <w:rsid w:val="004C7C2F"/>
    <w:rsid w:val="004C7DBA"/>
    <w:rsid w:val="004C7DBD"/>
    <w:rsid w:val="004C7DEC"/>
    <w:rsid w:val="004D00A3"/>
    <w:rsid w:val="004D04AB"/>
    <w:rsid w:val="004D0507"/>
    <w:rsid w:val="004D0547"/>
    <w:rsid w:val="004D0592"/>
    <w:rsid w:val="004D0639"/>
    <w:rsid w:val="004D0649"/>
    <w:rsid w:val="004D0859"/>
    <w:rsid w:val="004D0880"/>
    <w:rsid w:val="004D09AC"/>
    <w:rsid w:val="004D0A13"/>
    <w:rsid w:val="004D0A49"/>
    <w:rsid w:val="004D0C28"/>
    <w:rsid w:val="004D0C5F"/>
    <w:rsid w:val="004D0E17"/>
    <w:rsid w:val="004D0EE2"/>
    <w:rsid w:val="004D0F71"/>
    <w:rsid w:val="004D1030"/>
    <w:rsid w:val="004D1204"/>
    <w:rsid w:val="004D1233"/>
    <w:rsid w:val="004D124C"/>
    <w:rsid w:val="004D12B3"/>
    <w:rsid w:val="004D1314"/>
    <w:rsid w:val="004D151F"/>
    <w:rsid w:val="004D160E"/>
    <w:rsid w:val="004D1625"/>
    <w:rsid w:val="004D1633"/>
    <w:rsid w:val="004D169F"/>
    <w:rsid w:val="004D16D0"/>
    <w:rsid w:val="004D16E8"/>
    <w:rsid w:val="004D191B"/>
    <w:rsid w:val="004D19B5"/>
    <w:rsid w:val="004D1BB1"/>
    <w:rsid w:val="004D1C25"/>
    <w:rsid w:val="004D1C59"/>
    <w:rsid w:val="004D1C8A"/>
    <w:rsid w:val="004D1CC3"/>
    <w:rsid w:val="004D1D2B"/>
    <w:rsid w:val="004D1D40"/>
    <w:rsid w:val="004D1D90"/>
    <w:rsid w:val="004D1E35"/>
    <w:rsid w:val="004D1ED7"/>
    <w:rsid w:val="004D1EE5"/>
    <w:rsid w:val="004D1F39"/>
    <w:rsid w:val="004D1F7E"/>
    <w:rsid w:val="004D219E"/>
    <w:rsid w:val="004D223A"/>
    <w:rsid w:val="004D2285"/>
    <w:rsid w:val="004D242E"/>
    <w:rsid w:val="004D25C6"/>
    <w:rsid w:val="004D266F"/>
    <w:rsid w:val="004D2673"/>
    <w:rsid w:val="004D26EC"/>
    <w:rsid w:val="004D272D"/>
    <w:rsid w:val="004D272E"/>
    <w:rsid w:val="004D29E4"/>
    <w:rsid w:val="004D2A1F"/>
    <w:rsid w:val="004D2B41"/>
    <w:rsid w:val="004D2E87"/>
    <w:rsid w:val="004D30DF"/>
    <w:rsid w:val="004D3153"/>
    <w:rsid w:val="004D3535"/>
    <w:rsid w:val="004D374F"/>
    <w:rsid w:val="004D377C"/>
    <w:rsid w:val="004D379C"/>
    <w:rsid w:val="004D38E9"/>
    <w:rsid w:val="004D3B1C"/>
    <w:rsid w:val="004D3C0E"/>
    <w:rsid w:val="004D3C8A"/>
    <w:rsid w:val="004D3CE8"/>
    <w:rsid w:val="004D3D8B"/>
    <w:rsid w:val="004D3E0A"/>
    <w:rsid w:val="004D3E8A"/>
    <w:rsid w:val="004D3F15"/>
    <w:rsid w:val="004D3F8F"/>
    <w:rsid w:val="004D407E"/>
    <w:rsid w:val="004D4095"/>
    <w:rsid w:val="004D4138"/>
    <w:rsid w:val="004D41DF"/>
    <w:rsid w:val="004D42E0"/>
    <w:rsid w:val="004D4374"/>
    <w:rsid w:val="004D43C4"/>
    <w:rsid w:val="004D46EF"/>
    <w:rsid w:val="004D485C"/>
    <w:rsid w:val="004D4944"/>
    <w:rsid w:val="004D4981"/>
    <w:rsid w:val="004D499F"/>
    <w:rsid w:val="004D4B9C"/>
    <w:rsid w:val="004D4D2C"/>
    <w:rsid w:val="004D4ED5"/>
    <w:rsid w:val="004D4F35"/>
    <w:rsid w:val="004D4F58"/>
    <w:rsid w:val="004D4FA4"/>
    <w:rsid w:val="004D523B"/>
    <w:rsid w:val="004D53C9"/>
    <w:rsid w:val="004D53EA"/>
    <w:rsid w:val="004D5494"/>
    <w:rsid w:val="004D55C1"/>
    <w:rsid w:val="004D562F"/>
    <w:rsid w:val="004D56A0"/>
    <w:rsid w:val="004D597D"/>
    <w:rsid w:val="004D5A24"/>
    <w:rsid w:val="004D5AD3"/>
    <w:rsid w:val="004D5C84"/>
    <w:rsid w:val="004D5D4A"/>
    <w:rsid w:val="004D5D89"/>
    <w:rsid w:val="004D5E7E"/>
    <w:rsid w:val="004D5FC3"/>
    <w:rsid w:val="004D6267"/>
    <w:rsid w:val="004D6673"/>
    <w:rsid w:val="004D675A"/>
    <w:rsid w:val="004D67DE"/>
    <w:rsid w:val="004D6859"/>
    <w:rsid w:val="004D68CC"/>
    <w:rsid w:val="004D6941"/>
    <w:rsid w:val="004D6E7B"/>
    <w:rsid w:val="004D6FFC"/>
    <w:rsid w:val="004D70D3"/>
    <w:rsid w:val="004D70E4"/>
    <w:rsid w:val="004D7151"/>
    <w:rsid w:val="004D7278"/>
    <w:rsid w:val="004D749D"/>
    <w:rsid w:val="004D758B"/>
    <w:rsid w:val="004D767B"/>
    <w:rsid w:val="004D7BAC"/>
    <w:rsid w:val="004D7D6A"/>
    <w:rsid w:val="004E00B4"/>
    <w:rsid w:val="004E01EE"/>
    <w:rsid w:val="004E03F2"/>
    <w:rsid w:val="004E0929"/>
    <w:rsid w:val="004E09FF"/>
    <w:rsid w:val="004E0D84"/>
    <w:rsid w:val="004E0D92"/>
    <w:rsid w:val="004E0E9E"/>
    <w:rsid w:val="004E1168"/>
    <w:rsid w:val="004E123A"/>
    <w:rsid w:val="004E1404"/>
    <w:rsid w:val="004E14F7"/>
    <w:rsid w:val="004E1533"/>
    <w:rsid w:val="004E15E4"/>
    <w:rsid w:val="004E16D4"/>
    <w:rsid w:val="004E178F"/>
    <w:rsid w:val="004E1823"/>
    <w:rsid w:val="004E183E"/>
    <w:rsid w:val="004E18C1"/>
    <w:rsid w:val="004E191E"/>
    <w:rsid w:val="004E1A65"/>
    <w:rsid w:val="004E1ADD"/>
    <w:rsid w:val="004E1B09"/>
    <w:rsid w:val="004E1E17"/>
    <w:rsid w:val="004E1E5E"/>
    <w:rsid w:val="004E1EA6"/>
    <w:rsid w:val="004E1EDA"/>
    <w:rsid w:val="004E1FDD"/>
    <w:rsid w:val="004E24EA"/>
    <w:rsid w:val="004E2923"/>
    <w:rsid w:val="004E29FC"/>
    <w:rsid w:val="004E2A67"/>
    <w:rsid w:val="004E2A90"/>
    <w:rsid w:val="004E2B08"/>
    <w:rsid w:val="004E2B7B"/>
    <w:rsid w:val="004E2C19"/>
    <w:rsid w:val="004E2E3D"/>
    <w:rsid w:val="004E2E41"/>
    <w:rsid w:val="004E2EC1"/>
    <w:rsid w:val="004E3066"/>
    <w:rsid w:val="004E311C"/>
    <w:rsid w:val="004E3183"/>
    <w:rsid w:val="004E3199"/>
    <w:rsid w:val="004E323D"/>
    <w:rsid w:val="004E344C"/>
    <w:rsid w:val="004E347A"/>
    <w:rsid w:val="004E34AF"/>
    <w:rsid w:val="004E352F"/>
    <w:rsid w:val="004E35A2"/>
    <w:rsid w:val="004E3611"/>
    <w:rsid w:val="004E364C"/>
    <w:rsid w:val="004E3663"/>
    <w:rsid w:val="004E36E1"/>
    <w:rsid w:val="004E3994"/>
    <w:rsid w:val="004E3A28"/>
    <w:rsid w:val="004E3A9C"/>
    <w:rsid w:val="004E3B8E"/>
    <w:rsid w:val="004E3DA8"/>
    <w:rsid w:val="004E3E3A"/>
    <w:rsid w:val="004E3FA9"/>
    <w:rsid w:val="004E4040"/>
    <w:rsid w:val="004E4197"/>
    <w:rsid w:val="004E43A0"/>
    <w:rsid w:val="004E4432"/>
    <w:rsid w:val="004E4440"/>
    <w:rsid w:val="004E45B7"/>
    <w:rsid w:val="004E467C"/>
    <w:rsid w:val="004E4795"/>
    <w:rsid w:val="004E48E7"/>
    <w:rsid w:val="004E49C6"/>
    <w:rsid w:val="004E49F1"/>
    <w:rsid w:val="004E51AA"/>
    <w:rsid w:val="004E5246"/>
    <w:rsid w:val="004E526E"/>
    <w:rsid w:val="004E5325"/>
    <w:rsid w:val="004E536A"/>
    <w:rsid w:val="004E5430"/>
    <w:rsid w:val="004E5473"/>
    <w:rsid w:val="004E54DE"/>
    <w:rsid w:val="004E55BE"/>
    <w:rsid w:val="004E5616"/>
    <w:rsid w:val="004E5619"/>
    <w:rsid w:val="004E5DB5"/>
    <w:rsid w:val="004E5E2E"/>
    <w:rsid w:val="004E6379"/>
    <w:rsid w:val="004E6434"/>
    <w:rsid w:val="004E67F2"/>
    <w:rsid w:val="004E683B"/>
    <w:rsid w:val="004E6BAA"/>
    <w:rsid w:val="004E6BFB"/>
    <w:rsid w:val="004E6DA6"/>
    <w:rsid w:val="004E7163"/>
    <w:rsid w:val="004E718E"/>
    <w:rsid w:val="004E76B7"/>
    <w:rsid w:val="004E7841"/>
    <w:rsid w:val="004E7A92"/>
    <w:rsid w:val="004E7B53"/>
    <w:rsid w:val="004E7E00"/>
    <w:rsid w:val="004F0000"/>
    <w:rsid w:val="004F00B5"/>
    <w:rsid w:val="004F0102"/>
    <w:rsid w:val="004F0170"/>
    <w:rsid w:val="004F019E"/>
    <w:rsid w:val="004F03AF"/>
    <w:rsid w:val="004F05EB"/>
    <w:rsid w:val="004F06CE"/>
    <w:rsid w:val="004F0715"/>
    <w:rsid w:val="004F0902"/>
    <w:rsid w:val="004F0C98"/>
    <w:rsid w:val="004F0D05"/>
    <w:rsid w:val="004F0DB3"/>
    <w:rsid w:val="004F0EC2"/>
    <w:rsid w:val="004F0F3D"/>
    <w:rsid w:val="004F1050"/>
    <w:rsid w:val="004F12F2"/>
    <w:rsid w:val="004F13AF"/>
    <w:rsid w:val="004F14CC"/>
    <w:rsid w:val="004F152D"/>
    <w:rsid w:val="004F16FD"/>
    <w:rsid w:val="004F17AF"/>
    <w:rsid w:val="004F1852"/>
    <w:rsid w:val="004F18E2"/>
    <w:rsid w:val="004F1A6D"/>
    <w:rsid w:val="004F1D05"/>
    <w:rsid w:val="004F1DEE"/>
    <w:rsid w:val="004F1E82"/>
    <w:rsid w:val="004F2013"/>
    <w:rsid w:val="004F201F"/>
    <w:rsid w:val="004F2076"/>
    <w:rsid w:val="004F22CB"/>
    <w:rsid w:val="004F230B"/>
    <w:rsid w:val="004F2474"/>
    <w:rsid w:val="004F24B3"/>
    <w:rsid w:val="004F2574"/>
    <w:rsid w:val="004F25FE"/>
    <w:rsid w:val="004F29EF"/>
    <w:rsid w:val="004F2A4A"/>
    <w:rsid w:val="004F2B69"/>
    <w:rsid w:val="004F2BC9"/>
    <w:rsid w:val="004F2D5E"/>
    <w:rsid w:val="004F2E79"/>
    <w:rsid w:val="004F2F5A"/>
    <w:rsid w:val="004F2FC9"/>
    <w:rsid w:val="004F3248"/>
    <w:rsid w:val="004F3447"/>
    <w:rsid w:val="004F3689"/>
    <w:rsid w:val="004F378B"/>
    <w:rsid w:val="004F378D"/>
    <w:rsid w:val="004F3882"/>
    <w:rsid w:val="004F3A27"/>
    <w:rsid w:val="004F3CBF"/>
    <w:rsid w:val="004F3D0C"/>
    <w:rsid w:val="004F3E70"/>
    <w:rsid w:val="004F3E92"/>
    <w:rsid w:val="004F3EFA"/>
    <w:rsid w:val="004F4008"/>
    <w:rsid w:val="004F40DA"/>
    <w:rsid w:val="004F4206"/>
    <w:rsid w:val="004F4267"/>
    <w:rsid w:val="004F4296"/>
    <w:rsid w:val="004F42A8"/>
    <w:rsid w:val="004F43D4"/>
    <w:rsid w:val="004F454A"/>
    <w:rsid w:val="004F47F1"/>
    <w:rsid w:val="004F4856"/>
    <w:rsid w:val="004F49EA"/>
    <w:rsid w:val="004F4A22"/>
    <w:rsid w:val="004F4ABC"/>
    <w:rsid w:val="004F4B76"/>
    <w:rsid w:val="004F4C45"/>
    <w:rsid w:val="004F4CFB"/>
    <w:rsid w:val="004F4E99"/>
    <w:rsid w:val="004F4F14"/>
    <w:rsid w:val="004F4FE6"/>
    <w:rsid w:val="004F5022"/>
    <w:rsid w:val="004F50C4"/>
    <w:rsid w:val="004F5305"/>
    <w:rsid w:val="004F53EF"/>
    <w:rsid w:val="004F546F"/>
    <w:rsid w:val="004F555F"/>
    <w:rsid w:val="004F5610"/>
    <w:rsid w:val="004F57AF"/>
    <w:rsid w:val="004F5A00"/>
    <w:rsid w:val="004F5A56"/>
    <w:rsid w:val="004F5A58"/>
    <w:rsid w:val="004F5B04"/>
    <w:rsid w:val="004F5B2E"/>
    <w:rsid w:val="004F5C42"/>
    <w:rsid w:val="004F5E00"/>
    <w:rsid w:val="004F5EF1"/>
    <w:rsid w:val="004F5F43"/>
    <w:rsid w:val="004F5F56"/>
    <w:rsid w:val="004F5F5F"/>
    <w:rsid w:val="004F6491"/>
    <w:rsid w:val="004F6500"/>
    <w:rsid w:val="004F65C6"/>
    <w:rsid w:val="004F66E3"/>
    <w:rsid w:val="004F6736"/>
    <w:rsid w:val="004F6788"/>
    <w:rsid w:val="004F68F4"/>
    <w:rsid w:val="004F69D1"/>
    <w:rsid w:val="004F6A16"/>
    <w:rsid w:val="004F6A7E"/>
    <w:rsid w:val="004F6EB1"/>
    <w:rsid w:val="004F6F11"/>
    <w:rsid w:val="004F709B"/>
    <w:rsid w:val="004F7264"/>
    <w:rsid w:val="004F7455"/>
    <w:rsid w:val="004F7674"/>
    <w:rsid w:val="004F7A0F"/>
    <w:rsid w:val="004F7AB3"/>
    <w:rsid w:val="004F7B05"/>
    <w:rsid w:val="004F7B1B"/>
    <w:rsid w:val="00500007"/>
    <w:rsid w:val="005000CE"/>
    <w:rsid w:val="00500195"/>
    <w:rsid w:val="00500278"/>
    <w:rsid w:val="0050032D"/>
    <w:rsid w:val="0050043F"/>
    <w:rsid w:val="0050054A"/>
    <w:rsid w:val="00500623"/>
    <w:rsid w:val="00500656"/>
    <w:rsid w:val="005007A9"/>
    <w:rsid w:val="00500830"/>
    <w:rsid w:val="005008C1"/>
    <w:rsid w:val="0050090A"/>
    <w:rsid w:val="00500A1E"/>
    <w:rsid w:val="00500C63"/>
    <w:rsid w:val="00500C7B"/>
    <w:rsid w:val="00500CBB"/>
    <w:rsid w:val="00500DCB"/>
    <w:rsid w:val="00500FDD"/>
    <w:rsid w:val="00500FEE"/>
    <w:rsid w:val="0050103C"/>
    <w:rsid w:val="005011DC"/>
    <w:rsid w:val="00501364"/>
    <w:rsid w:val="00501451"/>
    <w:rsid w:val="00501523"/>
    <w:rsid w:val="005015D1"/>
    <w:rsid w:val="005016A0"/>
    <w:rsid w:val="005017A1"/>
    <w:rsid w:val="0050182F"/>
    <w:rsid w:val="00501833"/>
    <w:rsid w:val="00501912"/>
    <w:rsid w:val="00501930"/>
    <w:rsid w:val="005019B3"/>
    <w:rsid w:val="005019EA"/>
    <w:rsid w:val="005019F3"/>
    <w:rsid w:val="00501A0E"/>
    <w:rsid w:val="00501D24"/>
    <w:rsid w:val="00501E06"/>
    <w:rsid w:val="00501E98"/>
    <w:rsid w:val="00501EC6"/>
    <w:rsid w:val="0050223D"/>
    <w:rsid w:val="0050237F"/>
    <w:rsid w:val="005023B7"/>
    <w:rsid w:val="00502604"/>
    <w:rsid w:val="00502768"/>
    <w:rsid w:val="00502830"/>
    <w:rsid w:val="00502870"/>
    <w:rsid w:val="005028E1"/>
    <w:rsid w:val="005028EB"/>
    <w:rsid w:val="005028F5"/>
    <w:rsid w:val="005029E0"/>
    <w:rsid w:val="00502ABB"/>
    <w:rsid w:val="00502ACB"/>
    <w:rsid w:val="00502F78"/>
    <w:rsid w:val="00502F8E"/>
    <w:rsid w:val="00502F91"/>
    <w:rsid w:val="0050301D"/>
    <w:rsid w:val="0050321B"/>
    <w:rsid w:val="00503513"/>
    <w:rsid w:val="0050358E"/>
    <w:rsid w:val="005037C7"/>
    <w:rsid w:val="00503938"/>
    <w:rsid w:val="00503945"/>
    <w:rsid w:val="00503A19"/>
    <w:rsid w:val="00503A7D"/>
    <w:rsid w:val="00503B40"/>
    <w:rsid w:val="00503B4A"/>
    <w:rsid w:val="00503D48"/>
    <w:rsid w:val="00503DC1"/>
    <w:rsid w:val="00503F1B"/>
    <w:rsid w:val="005041F7"/>
    <w:rsid w:val="005042E9"/>
    <w:rsid w:val="0050442C"/>
    <w:rsid w:val="0050465A"/>
    <w:rsid w:val="0050473F"/>
    <w:rsid w:val="00504A1E"/>
    <w:rsid w:val="00504CF8"/>
    <w:rsid w:val="00504DA3"/>
    <w:rsid w:val="00504FFE"/>
    <w:rsid w:val="00505120"/>
    <w:rsid w:val="00505219"/>
    <w:rsid w:val="00505276"/>
    <w:rsid w:val="0050540E"/>
    <w:rsid w:val="00505436"/>
    <w:rsid w:val="0050555F"/>
    <w:rsid w:val="005059A8"/>
    <w:rsid w:val="00505A49"/>
    <w:rsid w:val="00505ABC"/>
    <w:rsid w:val="00505ACF"/>
    <w:rsid w:val="00505BAD"/>
    <w:rsid w:val="00505BCA"/>
    <w:rsid w:val="00505C32"/>
    <w:rsid w:val="00505CC2"/>
    <w:rsid w:val="00505CE2"/>
    <w:rsid w:val="00505E81"/>
    <w:rsid w:val="005060C5"/>
    <w:rsid w:val="00506379"/>
    <w:rsid w:val="00506419"/>
    <w:rsid w:val="0050647E"/>
    <w:rsid w:val="00506659"/>
    <w:rsid w:val="0050668E"/>
    <w:rsid w:val="00506876"/>
    <w:rsid w:val="005068BB"/>
    <w:rsid w:val="005069F8"/>
    <w:rsid w:val="00506AD6"/>
    <w:rsid w:val="00506B58"/>
    <w:rsid w:val="00506B74"/>
    <w:rsid w:val="00506C26"/>
    <w:rsid w:val="00506CA1"/>
    <w:rsid w:val="00506DE7"/>
    <w:rsid w:val="00506F1C"/>
    <w:rsid w:val="00506F39"/>
    <w:rsid w:val="00506F6A"/>
    <w:rsid w:val="00507079"/>
    <w:rsid w:val="005070F6"/>
    <w:rsid w:val="005070FB"/>
    <w:rsid w:val="00507354"/>
    <w:rsid w:val="005075A9"/>
    <w:rsid w:val="00507653"/>
    <w:rsid w:val="00507697"/>
    <w:rsid w:val="005076FC"/>
    <w:rsid w:val="00507731"/>
    <w:rsid w:val="00507895"/>
    <w:rsid w:val="005079C6"/>
    <w:rsid w:val="00507A94"/>
    <w:rsid w:val="00507BCE"/>
    <w:rsid w:val="00507E0F"/>
    <w:rsid w:val="00507FF0"/>
    <w:rsid w:val="0051001C"/>
    <w:rsid w:val="0051040F"/>
    <w:rsid w:val="0051067A"/>
    <w:rsid w:val="005108A7"/>
    <w:rsid w:val="00510CED"/>
    <w:rsid w:val="00510D34"/>
    <w:rsid w:val="00510DD9"/>
    <w:rsid w:val="00510FCC"/>
    <w:rsid w:val="00511272"/>
    <w:rsid w:val="005112C1"/>
    <w:rsid w:val="0051132C"/>
    <w:rsid w:val="005116CF"/>
    <w:rsid w:val="00511804"/>
    <w:rsid w:val="005118C6"/>
    <w:rsid w:val="00511A88"/>
    <w:rsid w:val="00511B1C"/>
    <w:rsid w:val="00511C47"/>
    <w:rsid w:val="00511CB1"/>
    <w:rsid w:val="00511D0C"/>
    <w:rsid w:val="00511F63"/>
    <w:rsid w:val="00512350"/>
    <w:rsid w:val="00512632"/>
    <w:rsid w:val="00512735"/>
    <w:rsid w:val="0051297F"/>
    <w:rsid w:val="005129E7"/>
    <w:rsid w:val="00512A3A"/>
    <w:rsid w:val="00512BA7"/>
    <w:rsid w:val="00512CE7"/>
    <w:rsid w:val="00512E69"/>
    <w:rsid w:val="00512F8C"/>
    <w:rsid w:val="00512F91"/>
    <w:rsid w:val="005131C2"/>
    <w:rsid w:val="00513277"/>
    <w:rsid w:val="0051337B"/>
    <w:rsid w:val="00513507"/>
    <w:rsid w:val="00513549"/>
    <w:rsid w:val="0051366B"/>
    <w:rsid w:val="005136AA"/>
    <w:rsid w:val="005138B9"/>
    <w:rsid w:val="005138EC"/>
    <w:rsid w:val="00513A2D"/>
    <w:rsid w:val="00513B29"/>
    <w:rsid w:val="00513BAB"/>
    <w:rsid w:val="00513C13"/>
    <w:rsid w:val="00513C73"/>
    <w:rsid w:val="00513C95"/>
    <w:rsid w:val="00513CF4"/>
    <w:rsid w:val="00513DE2"/>
    <w:rsid w:val="00513E1C"/>
    <w:rsid w:val="00513E57"/>
    <w:rsid w:val="00513F11"/>
    <w:rsid w:val="00513F1D"/>
    <w:rsid w:val="00514043"/>
    <w:rsid w:val="00514191"/>
    <w:rsid w:val="005141B7"/>
    <w:rsid w:val="00514222"/>
    <w:rsid w:val="00514239"/>
    <w:rsid w:val="005142CB"/>
    <w:rsid w:val="005142CD"/>
    <w:rsid w:val="00514324"/>
    <w:rsid w:val="00514345"/>
    <w:rsid w:val="005143BB"/>
    <w:rsid w:val="005143E6"/>
    <w:rsid w:val="005145A6"/>
    <w:rsid w:val="00514663"/>
    <w:rsid w:val="005149B8"/>
    <w:rsid w:val="00514AC6"/>
    <w:rsid w:val="00514C42"/>
    <w:rsid w:val="00514E05"/>
    <w:rsid w:val="00514E47"/>
    <w:rsid w:val="00514E4D"/>
    <w:rsid w:val="00514FF5"/>
    <w:rsid w:val="00515197"/>
    <w:rsid w:val="00515310"/>
    <w:rsid w:val="00515478"/>
    <w:rsid w:val="00515540"/>
    <w:rsid w:val="00515585"/>
    <w:rsid w:val="005156EF"/>
    <w:rsid w:val="00515705"/>
    <w:rsid w:val="0051594C"/>
    <w:rsid w:val="00515ABB"/>
    <w:rsid w:val="00515B20"/>
    <w:rsid w:val="00515C25"/>
    <w:rsid w:val="00515CFC"/>
    <w:rsid w:val="00515D52"/>
    <w:rsid w:val="00516118"/>
    <w:rsid w:val="00516321"/>
    <w:rsid w:val="00516355"/>
    <w:rsid w:val="00516379"/>
    <w:rsid w:val="005166FC"/>
    <w:rsid w:val="00516A14"/>
    <w:rsid w:val="00516AA9"/>
    <w:rsid w:val="00516AE4"/>
    <w:rsid w:val="00516CD1"/>
    <w:rsid w:val="00516D1D"/>
    <w:rsid w:val="00516FEC"/>
    <w:rsid w:val="005170F5"/>
    <w:rsid w:val="00517189"/>
    <w:rsid w:val="00517311"/>
    <w:rsid w:val="00517760"/>
    <w:rsid w:val="0051785E"/>
    <w:rsid w:val="00517C0C"/>
    <w:rsid w:val="00517C39"/>
    <w:rsid w:val="00517D8C"/>
    <w:rsid w:val="00517EAD"/>
    <w:rsid w:val="00517EE7"/>
    <w:rsid w:val="00520054"/>
    <w:rsid w:val="005200A7"/>
    <w:rsid w:val="0052074C"/>
    <w:rsid w:val="00520892"/>
    <w:rsid w:val="005209A0"/>
    <w:rsid w:val="005209D8"/>
    <w:rsid w:val="00520B5E"/>
    <w:rsid w:val="00520C36"/>
    <w:rsid w:val="00520D33"/>
    <w:rsid w:val="00520E64"/>
    <w:rsid w:val="00520F1E"/>
    <w:rsid w:val="00520FFD"/>
    <w:rsid w:val="00521026"/>
    <w:rsid w:val="005210F8"/>
    <w:rsid w:val="00521467"/>
    <w:rsid w:val="005214F7"/>
    <w:rsid w:val="00521518"/>
    <w:rsid w:val="005217F8"/>
    <w:rsid w:val="00521B57"/>
    <w:rsid w:val="00521D18"/>
    <w:rsid w:val="00521E7E"/>
    <w:rsid w:val="00521F23"/>
    <w:rsid w:val="00521FB3"/>
    <w:rsid w:val="00521FBB"/>
    <w:rsid w:val="0052219D"/>
    <w:rsid w:val="0052225F"/>
    <w:rsid w:val="00522269"/>
    <w:rsid w:val="005222EA"/>
    <w:rsid w:val="005223DD"/>
    <w:rsid w:val="005225BE"/>
    <w:rsid w:val="00522607"/>
    <w:rsid w:val="00522653"/>
    <w:rsid w:val="00522699"/>
    <w:rsid w:val="005227BD"/>
    <w:rsid w:val="00522805"/>
    <w:rsid w:val="0052287B"/>
    <w:rsid w:val="00522926"/>
    <w:rsid w:val="00522A19"/>
    <w:rsid w:val="00522AE3"/>
    <w:rsid w:val="00522D3D"/>
    <w:rsid w:val="00522E11"/>
    <w:rsid w:val="00522F23"/>
    <w:rsid w:val="00522FA7"/>
    <w:rsid w:val="00523161"/>
    <w:rsid w:val="0052318F"/>
    <w:rsid w:val="0052328E"/>
    <w:rsid w:val="00523392"/>
    <w:rsid w:val="005233D8"/>
    <w:rsid w:val="00523462"/>
    <w:rsid w:val="005234B8"/>
    <w:rsid w:val="005234E5"/>
    <w:rsid w:val="00523522"/>
    <w:rsid w:val="0052378A"/>
    <w:rsid w:val="00523831"/>
    <w:rsid w:val="005239AB"/>
    <w:rsid w:val="00523C8C"/>
    <w:rsid w:val="00523CCE"/>
    <w:rsid w:val="00523EC3"/>
    <w:rsid w:val="00523F14"/>
    <w:rsid w:val="0052401F"/>
    <w:rsid w:val="005240D7"/>
    <w:rsid w:val="00524472"/>
    <w:rsid w:val="00524569"/>
    <w:rsid w:val="00524727"/>
    <w:rsid w:val="00524784"/>
    <w:rsid w:val="00524A37"/>
    <w:rsid w:val="00524AD6"/>
    <w:rsid w:val="00524BAC"/>
    <w:rsid w:val="00524CF4"/>
    <w:rsid w:val="00524DF5"/>
    <w:rsid w:val="00524E4E"/>
    <w:rsid w:val="00524E80"/>
    <w:rsid w:val="00524EB9"/>
    <w:rsid w:val="00524F2B"/>
    <w:rsid w:val="00524F39"/>
    <w:rsid w:val="005250BA"/>
    <w:rsid w:val="005250D2"/>
    <w:rsid w:val="0052521A"/>
    <w:rsid w:val="005253A4"/>
    <w:rsid w:val="00525459"/>
    <w:rsid w:val="005254B4"/>
    <w:rsid w:val="0052553E"/>
    <w:rsid w:val="005255FC"/>
    <w:rsid w:val="005257A8"/>
    <w:rsid w:val="00525831"/>
    <w:rsid w:val="0052592D"/>
    <w:rsid w:val="0052598A"/>
    <w:rsid w:val="00525BB2"/>
    <w:rsid w:val="00525F6C"/>
    <w:rsid w:val="005262D8"/>
    <w:rsid w:val="0052638C"/>
    <w:rsid w:val="00526495"/>
    <w:rsid w:val="0052649F"/>
    <w:rsid w:val="0052660E"/>
    <w:rsid w:val="005268AA"/>
    <w:rsid w:val="00526A37"/>
    <w:rsid w:val="00526FB5"/>
    <w:rsid w:val="0052702F"/>
    <w:rsid w:val="0052708D"/>
    <w:rsid w:val="00527273"/>
    <w:rsid w:val="005272AE"/>
    <w:rsid w:val="005272ED"/>
    <w:rsid w:val="005272F6"/>
    <w:rsid w:val="005274B0"/>
    <w:rsid w:val="0052753A"/>
    <w:rsid w:val="0052756F"/>
    <w:rsid w:val="005275FC"/>
    <w:rsid w:val="005276C0"/>
    <w:rsid w:val="005276C3"/>
    <w:rsid w:val="005276E0"/>
    <w:rsid w:val="00527737"/>
    <w:rsid w:val="00527966"/>
    <w:rsid w:val="00527B3B"/>
    <w:rsid w:val="00527B4E"/>
    <w:rsid w:val="00527C02"/>
    <w:rsid w:val="00530042"/>
    <w:rsid w:val="0053024F"/>
    <w:rsid w:val="005302A7"/>
    <w:rsid w:val="0053033F"/>
    <w:rsid w:val="005306E1"/>
    <w:rsid w:val="005307C3"/>
    <w:rsid w:val="00530927"/>
    <w:rsid w:val="00530A48"/>
    <w:rsid w:val="00530A7F"/>
    <w:rsid w:val="00530AB4"/>
    <w:rsid w:val="00530C16"/>
    <w:rsid w:val="00530C5B"/>
    <w:rsid w:val="00530D3D"/>
    <w:rsid w:val="00530D87"/>
    <w:rsid w:val="00530E21"/>
    <w:rsid w:val="00530F18"/>
    <w:rsid w:val="005310E7"/>
    <w:rsid w:val="005311FD"/>
    <w:rsid w:val="005312F6"/>
    <w:rsid w:val="005314DF"/>
    <w:rsid w:val="00531549"/>
    <w:rsid w:val="005315F6"/>
    <w:rsid w:val="00531842"/>
    <w:rsid w:val="00531952"/>
    <w:rsid w:val="00531A77"/>
    <w:rsid w:val="00531B1A"/>
    <w:rsid w:val="00531EAF"/>
    <w:rsid w:val="0053201B"/>
    <w:rsid w:val="00532043"/>
    <w:rsid w:val="0053218D"/>
    <w:rsid w:val="005322F5"/>
    <w:rsid w:val="00532396"/>
    <w:rsid w:val="0053253A"/>
    <w:rsid w:val="00532782"/>
    <w:rsid w:val="005327B8"/>
    <w:rsid w:val="005327DB"/>
    <w:rsid w:val="0053281E"/>
    <w:rsid w:val="00532863"/>
    <w:rsid w:val="00532947"/>
    <w:rsid w:val="0053296D"/>
    <w:rsid w:val="00532B95"/>
    <w:rsid w:val="00532BBD"/>
    <w:rsid w:val="00532BD5"/>
    <w:rsid w:val="00532BE9"/>
    <w:rsid w:val="00532C5E"/>
    <w:rsid w:val="00532CB1"/>
    <w:rsid w:val="00532D09"/>
    <w:rsid w:val="00532D61"/>
    <w:rsid w:val="00532E7C"/>
    <w:rsid w:val="00532EA3"/>
    <w:rsid w:val="00532F4E"/>
    <w:rsid w:val="00532F83"/>
    <w:rsid w:val="00533022"/>
    <w:rsid w:val="0053302E"/>
    <w:rsid w:val="00533061"/>
    <w:rsid w:val="00533180"/>
    <w:rsid w:val="0053331E"/>
    <w:rsid w:val="0053359A"/>
    <w:rsid w:val="005335A3"/>
    <w:rsid w:val="005336FC"/>
    <w:rsid w:val="00533957"/>
    <w:rsid w:val="00533966"/>
    <w:rsid w:val="00533AFB"/>
    <w:rsid w:val="00533B26"/>
    <w:rsid w:val="00533E14"/>
    <w:rsid w:val="00533EF0"/>
    <w:rsid w:val="005341CB"/>
    <w:rsid w:val="005342A6"/>
    <w:rsid w:val="0053435E"/>
    <w:rsid w:val="00534471"/>
    <w:rsid w:val="0053465C"/>
    <w:rsid w:val="00534707"/>
    <w:rsid w:val="00534738"/>
    <w:rsid w:val="0053478B"/>
    <w:rsid w:val="00534859"/>
    <w:rsid w:val="0053488C"/>
    <w:rsid w:val="005348EF"/>
    <w:rsid w:val="005349B9"/>
    <w:rsid w:val="005349C8"/>
    <w:rsid w:val="00534A44"/>
    <w:rsid w:val="00534B01"/>
    <w:rsid w:val="00534B0A"/>
    <w:rsid w:val="00534EEA"/>
    <w:rsid w:val="0053506D"/>
    <w:rsid w:val="005350BF"/>
    <w:rsid w:val="005352A6"/>
    <w:rsid w:val="0053537D"/>
    <w:rsid w:val="005354E7"/>
    <w:rsid w:val="00535563"/>
    <w:rsid w:val="0053558F"/>
    <w:rsid w:val="005359DA"/>
    <w:rsid w:val="00535A1B"/>
    <w:rsid w:val="00535D2B"/>
    <w:rsid w:val="00535DA9"/>
    <w:rsid w:val="00535EFD"/>
    <w:rsid w:val="00535F26"/>
    <w:rsid w:val="00536027"/>
    <w:rsid w:val="0053607D"/>
    <w:rsid w:val="00536095"/>
    <w:rsid w:val="00536099"/>
    <w:rsid w:val="005361ED"/>
    <w:rsid w:val="005361FC"/>
    <w:rsid w:val="005363AB"/>
    <w:rsid w:val="00536477"/>
    <w:rsid w:val="0053690D"/>
    <w:rsid w:val="00536A23"/>
    <w:rsid w:val="00536AF9"/>
    <w:rsid w:val="00536B08"/>
    <w:rsid w:val="00536C00"/>
    <w:rsid w:val="00536CA3"/>
    <w:rsid w:val="00536DA4"/>
    <w:rsid w:val="00536F7C"/>
    <w:rsid w:val="0053718B"/>
    <w:rsid w:val="00537211"/>
    <w:rsid w:val="00537370"/>
    <w:rsid w:val="00537479"/>
    <w:rsid w:val="0053748F"/>
    <w:rsid w:val="0053790C"/>
    <w:rsid w:val="005379A3"/>
    <w:rsid w:val="00537B62"/>
    <w:rsid w:val="00537C29"/>
    <w:rsid w:val="00537F4C"/>
    <w:rsid w:val="0054007B"/>
    <w:rsid w:val="0054021A"/>
    <w:rsid w:val="00540349"/>
    <w:rsid w:val="0054038C"/>
    <w:rsid w:val="005403F5"/>
    <w:rsid w:val="005404D4"/>
    <w:rsid w:val="00540521"/>
    <w:rsid w:val="00540602"/>
    <w:rsid w:val="005406D8"/>
    <w:rsid w:val="005406DF"/>
    <w:rsid w:val="00540730"/>
    <w:rsid w:val="00540786"/>
    <w:rsid w:val="0054078B"/>
    <w:rsid w:val="0054092E"/>
    <w:rsid w:val="00540972"/>
    <w:rsid w:val="005409FC"/>
    <w:rsid w:val="00540A3B"/>
    <w:rsid w:val="00540D3A"/>
    <w:rsid w:val="00540DB7"/>
    <w:rsid w:val="0054116C"/>
    <w:rsid w:val="00541221"/>
    <w:rsid w:val="005412D0"/>
    <w:rsid w:val="0054138B"/>
    <w:rsid w:val="00541737"/>
    <w:rsid w:val="00541914"/>
    <w:rsid w:val="00541B09"/>
    <w:rsid w:val="00541C15"/>
    <w:rsid w:val="00541CCA"/>
    <w:rsid w:val="00541D87"/>
    <w:rsid w:val="00541D8C"/>
    <w:rsid w:val="00541F8F"/>
    <w:rsid w:val="00542094"/>
    <w:rsid w:val="00542128"/>
    <w:rsid w:val="005423D1"/>
    <w:rsid w:val="005425F6"/>
    <w:rsid w:val="00542660"/>
    <w:rsid w:val="0054271F"/>
    <w:rsid w:val="0054289F"/>
    <w:rsid w:val="005428ED"/>
    <w:rsid w:val="00542964"/>
    <w:rsid w:val="00542C16"/>
    <w:rsid w:val="00542CA2"/>
    <w:rsid w:val="00542D7E"/>
    <w:rsid w:val="00542F0F"/>
    <w:rsid w:val="00542F46"/>
    <w:rsid w:val="00542F8C"/>
    <w:rsid w:val="005430A8"/>
    <w:rsid w:val="005430B1"/>
    <w:rsid w:val="0054316B"/>
    <w:rsid w:val="0054318D"/>
    <w:rsid w:val="0054328F"/>
    <w:rsid w:val="00543319"/>
    <w:rsid w:val="00543325"/>
    <w:rsid w:val="0054349D"/>
    <w:rsid w:val="00543576"/>
    <w:rsid w:val="0054358F"/>
    <w:rsid w:val="00543611"/>
    <w:rsid w:val="00543712"/>
    <w:rsid w:val="00543907"/>
    <w:rsid w:val="0054395E"/>
    <w:rsid w:val="00543D52"/>
    <w:rsid w:val="00543D84"/>
    <w:rsid w:val="00543E62"/>
    <w:rsid w:val="00543EC6"/>
    <w:rsid w:val="00543F10"/>
    <w:rsid w:val="00543FC5"/>
    <w:rsid w:val="005440B4"/>
    <w:rsid w:val="005441C6"/>
    <w:rsid w:val="00544484"/>
    <w:rsid w:val="0054451F"/>
    <w:rsid w:val="005445A6"/>
    <w:rsid w:val="0054463D"/>
    <w:rsid w:val="00544847"/>
    <w:rsid w:val="00544850"/>
    <w:rsid w:val="00544909"/>
    <w:rsid w:val="005449E3"/>
    <w:rsid w:val="00544A63"/>
    <w:rsid w:val="00544D2C"/>
    <w:rsid w:val="00544DB1"/>
    <w:rsid w:val="005450DB"/>
    <w:rsid w:val="005452B3"/>
    <w:rsid w:val="005452E5"/>
    <w:rsid w:val="00545375"/>
    <w:rsid w:val="00545470"/>
    <w:rsid w:val="00545486"/>
    <w:rsid w:val="00545731"/>
    <w:rsid w:val="0054575B"/>
    <w:rsid w:val="00545A32"/>
    <w:rsid w:val="00545B38"/>
    <w:rsid w:val="00545B67"/>
    <w:rsid w:val="00545BB5"/>
    <w:rsid w:val="00545BF6"/>
    <w:rsid w:val="00545C12"/>
    <w:rsid w:val="00545CA8"/>
    <w:rsid w:val="00545DF3"/>
    <w:rsid w:val="00546010"/>
    <w:rsid w:val="005460B5"/>
    <w:rsid w:val="005462B9"/>
    <w:rsid w:val="0054637D"/>
    <w:rsid w:val="005466E6"/>
    <w:rsid w:val="005466F6"/>
    <w:rsid w:val="00546954"/>
    <w:rsid w:val="00546968"/>
    <w:rsid w:val="00546A14"/>
    <w:rsid w:val="00546A80"/>
    <w:rsid w:val="00546B2E"/>
    <w:rsid w:val="00546C47"/>
    <w:rsid w:val="00546C5E"/>
    <w:rsid w:val="00546C66"/>
    <w:rsid w:val="00546DC3"/>
    <w:rsid w:val="00546F77"/>
    <w:rsid w:val="00546FBA"/>
    <w:rsid w:val="00546FE2"/>
    <w:rsid w:val="005470AB"/>
    <w:rsid w:val="00547188"/>
    <w:rsid w:val="005471BA"/>
    <w:rsid w:val="0054757F"/>
    <w:rsid w:val="00547631"/>
    <w:rsid w:val="0054765C"/>
    <w:rsid w:val="00547678"/>
    <w:rsid w:val="00547841"/>
    <w:rsid w:val="0054792D"/>
    <w:rsid w:val="0054795F"/>
    <w:rsid w:val="00547B14"/>
    <w:rsid w:val="00550050"/>
    <w:rsid w:val="0055027F"/>
    <w:rsid w:val="005502D3"/>
    <w:rsid w:val="005504A3"/>
    <w:rsid w:val="005505C6"/>
    <w:rsid w:val="005505CE"/>
    <w:rsid w:val="00550659"/>
    <w:rsid w:val="00550663"/>
    <w:rsid w:val="0055068D"/>
    <w:rsid w:val="005506D3"/>
    <w:rsid w:val="0055073F"/>
    <w:rsid w:val="00550850"/>
    <w:rsid w:val="0055088F"/>
    <w:rsid w:val="00550A24"/>
    <w:rsid w:val="00550B9D"/>
    <w:rsid w:val="00550C2D"/>
    <w:rsid w:val="00550C49"/>
    <w:rsid w:val="00550F75"/>
    <w:rsid w:val="005510BE"/>
    <w:rsid w:val="00551486"/>
    <w:rsid w:val="0055199C"/>
    <w:rsid w:val="00551A5C"/>
    <w:rsid w:val="00551BCB"/>
    <w:rsid w:val="00551BD5"/>
    <w:rsid w:val="00551D4E"/>
    <w:rsid w:val="00551E9C"/>
    <w:rsid w:val="00551FDA"/>
    <w:rsid w:val="00552062"/>
    <w:rsid w:val="0055218D"/>
    <w:rsid w:val="005522F2"/>
    <w:rsid w:val="00552325"/>
    <w:rsid w:val="0055237D"/>
    <w:rsid w:val="0055238B"/>
    <w:rsid w:val="0055252B"/>
    <w:rsid w:val="00552598"/>
    <w:rsid w:val="005526C9"/>
    <w:rsid w:val="00552908"/>
    <w:rsid w:val="00552CEA"/>
    <w:rsid w:val="00552D57"/>
    <w:rsid w:val="00552EC4"/>
    <w:rsid w:val="00552F2B"/>
    <w:rsid w:val="00552F65"/>
    <w:rsid w:val="0055303A"/>
    <w:rsid w:val="00553057"/>
    <w:rsid w:val="005533C6"/>
    <w:rsid w:val="005533D4"/>
    <w:rsid w:val="005535F4"/>
    <w:rsid w:val="00553692"/>
    <w:rsid w:val="005536B1"/>
    <w:rsid w:val="0055370D"/>
    <w:rsid w:val="005537EB"/>
    <w:rsid w:val="00553857"/>
    <w:rsid w:val="0055390F"/>
    <w:rsid w:val="005539D4"/>
    <w:rsid w:val="00553B41"/>
    <w:rsid w:val="00553CF3"/>
    <w:rsid w:val="00553D60"/>
    <w:rsid w:val="00553E75"/>
    <w:rsid w:val="00553E92"/>
    <w:rsid w:val="00553F80"/>
    <w:rsid w:val="0055401C"/>
    <w:rsid w:val="00554134"/>
    <w:rsid w:val="005541BD"/>
    <w:rsid w:val="00554241"/>
    <w:rsid w:val="00554314"/>
    <w:rsid w:val="005543B0"/>
    <w:rsid w:val="00554483"/>
    <w:rsid w:val="00554652"/>
    <w:rsid w:val="00554685"/>
    <w:rsid w:val="005546B6"/>
    <w:rsid w:val="005546D7"/>
    <w:rsid w:val="0055471F"/>
    <w:rsid w:val="00554725"/>
    <w:rsid w:val="0055478D"/>
    <w:rsid w:val="00554968"/>
    <w:rsid w:val="00554A3C"/>
    <w:rsid w:val="00554CAE"/>
    <w:rsid w:val="00554CE4"/>
    <w:rsid w:val="00554E75"/>
    <w:rsid w:val="00554EEC"/>
    <w:rsid w:val="00554F4D"/>
    <w:rsid w:val="00554F78"/>
    <w:rsid w:val="00554F96"/>
    <w:rsid w:val="0055522B"/>
    <w:rsid w:val="0055524F"/>
    <w:rsid w:val="00555470"/>
    <w:rsid w:val="0055548A"/>
    <w:rsid w:val="00555530"/>
    <w:rsid w:val="005555F2"/>
    <w:rsid w:val="00555679"/>
    <w:rsid w:val="00555712"/>
    <w:rsid w:val="00555765"/>
    <w:rsid w:val="00555A9E"/>
    <w:rsid w:val="00555B21"/>
    <w:rsid w:val="00555C11"/>
    <w:rsid w:val="00555C59"/>
    <w:rsid w:val="00555F9C"/>
    <w:rsid w:val="00555FF8"/>
    <w:rsid w:val="00556025"/>
    <w:rsid w:val="005560A7"/>
    <w:rsid w:val="0055634C"/>
    <w:rsid w:val="005563CC"/>
    <w:rsid w:val="005563F6"/>
    <w:rsid w:val="00556437"/>
    <w:rsid w:val="005565A8"/>
    <w:rsid w:val="00556652"/>
    <w:rsid w:val="0055668F"/>
    <w:rsid w:val="0055692A"/>
    <w:rsid w:val="0055699A"/>
    <w:rsid w:val="00556C98"/>
    <w:rsid w:val="00556DF7"/>
    <w:rsid w:val="00556F03"/>
    <w:rsid w:val="00556F16"/>
    <w:rsid w:val="00556F55"/>
    <w:rsid w:val="00557064"/>
    <w:rsid w:val="00557084"/>
    <w:rsid w:val="005570F6"/>
    <w:rsid w:val="00557182"/>
    <w:rsid w:val="005572EC"/>
    <w:rsid w:val="00557339"/>
    <w:rsid w:val="00557501"/>
    <w:rsid w:val="00557530"/>
    <w:rsid w:val="0055758A"/>
    <w:rsid w:val="005575B0"/>
    <w:rsid w:val="00557687"/>
    <w:rsid w:val="0055775A"/>
    <w:rsid w:val="00557794"/>
    <w:rsid w:val="005578BC"/>
    <w:rsid w:val="0055797C"/>
    <w:rsid w:val="00557A7B"/>
    <w:rsid w:val="00557B28"/>
    <w:rsid w:val="00557BD2"/>
    <w:rsid w:val="00557C75"/>
    <w:rsid w:val="00557CCA"/>
    <w:rsid w:val="00557D1D"/>
    <w:rsid w:val="0056009C"/>
    <w:rsid w:val="0056015C"/>
    <w:rsid w:val="00560226"/>
    <w:rsid w:val="00560369"/>
    <w:rsid w:val="0056041F"/>
    <w:rsid w:val="00560467"/>
    <w:rsid w:val="00560677"/>
    <w:rsid w:val="00560747"/>
    <w:rsid w:val="00560770"/>
    <w:rsid w:val="00560829"/>
    <w:rsid w:val="00560AEB"/>
    <w:rsid w:val="00560C1F"/>
    <w:rsid w:val="00560C4E"/>
    <w:rsid w:val="00560DB2"/>
    <w:rsid w:val="00560E03"/>
    <w:rsid w:val="00560F9A"/>
    <w:rsid w:val="00560FB8"/>
    <w:rsid w:val="005610BA"/>
    <w:rsid w:val="00561178"/>
    <w:rsid w:val="0056122E"/>
    <w:rsid w:val="00561570"/>
    <w:rsid w:val="005615B3"/>
    <w:rsid w:val="0056166F"/>
    <w:rsid w:val="0056184E"/>
    <w:rsid w:val="005618E8"/>
    <w:rsid w:val="005619F9"/>
    <w:rsid w:val="00561A8C"/>
    <w:rsid w:val="00561B69"/>
    <w:rsid w:val="00561CA6"/>
    <w:rsid w:val="00561CC5"/>
    <w:rsid w:val="00561D76"/>
    <w:rsid w:val="00561EAD"/>
    <w:rsid w:val="00561F0E"/>
    <w:rsid w:val="00561F67"/>
    <w:rsid w:val="00562195"/>
    <w:rsid w:val="0056229F"/>
    <w:rsid w:val="005623F1"/>
    <w:rsid w:val="00562437"/>
    <w:rsid w:val="005624C6"/>
    <w:rsid w:val="00562818"/>
    <w:rsid w:val="0056289F"/>
    <w:rsid w:val="00562939"/>
    <w:rsid w:val="00562994"/>
    <w:rsid w:val="00562B54"/>
    <w:rsid w:val="00562B60"/>
    <w:rsid w:val="00562CD2"/>
    <w:rsid w:val="00562D8F"/>
    <w:rsid w:val="00562EFB"/>
    <w:rsid w:val="00562F9F"/>
    <w:rsid w:val="00562FB0"/>
    <w:rsid w:val="0056339B"/>
    <w:rsid w:val="00563499"/>
    <w:rsid w:val="005635FB"/>
    <w:rsid w:val="00563708"/>
    <w:rsid w:val="00563946"/>
    <w:rsid w:val="00563ACC"/>
    <w:rsid w:val="00563AE2"/>
    <w:rsid w:val="00563BE5"/>
    <w:rsid w:val="00563E4E"/>
    <w:rsid w:val="00563FCE"/>
    <w:rsid w:val="00564025"/>
    <w:rsid w:val="00564119"/>
    <w:rsid w:val="00564131"/>
    <w:rsid w:val="005641A0"/>
    <w:rsid w:val="005641DF"/>
    <w:rsid w:val="005641F2"/>
    <w:rsid w:val="0056425A"/>
    <w:rsid w:val="0056443B"/>
    <w:rsid w:val="0056447A"/>
    <w:rsid w:val="00564665"/>
    <w:rsid w:val="0056484A"/>
    <w:rsid w:val="005648A2"/>
    <w:rsid w:val="00564B6D"/>
    <w:rsid w:val="00564CF1"/>
    <w:rsid w:val="00564E99"/>
    <w:rsid w:val="00564FCA"/>
    <w:rsid w:val="00565090"/>
    <w:rsid w:val="0056516B"/>
    <w:rsid w:val="0056517E"/>
    <w:rsid w:val="005653E8"/>
    <w:rsid w:val="00565588"/>
    <w:rsid w:val="005655F5"/>
    <w:rsid w:val="0056569D"/>
    <w:rsid w:val="0056575F"/>
    <w:rsid w:val="0056616E"/>
    <w:rsid w:val="00566552"/>
    <w:rsid w:val="00566608"/>
    <w:rsid w:val="00566906"/>
    <w:rsid w:val="00566AFC"/>
    <w:rsid w:val="00566B0D"/>
    <w:rsid w:val="00566B20"/>
    <w:rsid w:val="00566C60"/>
    <w:rsid w:val="00566E68"/>
    <w:rsid w:val="00567014"/>
    <w:rsid w:val="0056714C"/>
    <w:rsid w:val="0056736C"/>
    <w:rsid w:val="00567895"/>
    <w:rsid w:val="00567B96"/>
    <w:rsid w:val="00567E06"/>
    <w:rsid w:val="00567E2D"/>
    <w:rsid w:val="00567E50"/>
    <w:rsid w:val="00567F34"/>
    <w:rsid w:val="0057005C"/>
    <w:rsid w:val="0057011C"/>
    <w:rsid w:val="0057022A"/>
    <w:rsid w:val="005702DC"/>
    <w:rsid w:val="0057030C"/>
    <w:rsid w:val="00570379"/>
    <w:rsid w:val="00570610"/>
    <w:rsid w:val="005709F8"/>
    <w:rsid w:val="00570BE5"/>
    <w:rsid w:val="00570C7C"/>
    <w:rsid w:val="005710B1"/>
    <w:rsid w:val="00571171"/>
    <w:rsid w:val="00571174"/>
    <w:rsid w:val="005711B1"/>
    <w:rsid w:val="00571255"/>
    <w:rsid w:val="00571541"/>
    <w:rsid w:val="005715F6"/>
    <w:rsid w:val="005717B8"/>
    <w:rsid w:val="0057182C"/>
    <w:rsid w:val="00571B90"/>
    <w:rsid w:val="00571DF4"/>
    <w:rsid w:val="00571EA4"/>
    <w:rsid w:val="00571FB0"/>
    <w:rsid w:val="00571FD0"/>
    <w:rsid w:val="0057229A"/>
    <w:rsid w:val="00572448"/>
    <w:rsid w:val="00572603"/>
    <w:rsid w:val="00572608"/>
    <w:rsid w:val="005727F0"/>
    <w:rsid w:val="0057283C"/>
    <w:rsid w:val="00572844"/>
    <w:rsid w:val="00572AD6"/>
    <w:rsid w:val="00572B06"/>
    <w:rsid w:val="00572B11"/>
    <w:rsid w:val="00572B48"/>
    <w:rsid w:val="00572CF8"/>
    <w:rsid w:val="00572EDB"/>
    <w:rsid w:val="00573004"/>
    <w:rsid w:val="00573105"/>
    <w:rsid w:val="00573198"/>
    <w:rsid w:val="005731CD"/>
    <w:rsid w:val="00573317"/>
    <w:rsid w:val="00573428"/>
    <w:rsid w:val="00573570"/>
    <w:rsid w:val="005735F4"/>
    <w:rsid w:val="0057362F"/>
    <w:rsid w:val="00573664"/>
    <w:rsid w:val="00573724"/>
    <w:rsid w:val="00573846"/>
    <w:rsid w:val="00573A1D"/>
    <w:rsid w:val="00573A80"/>
    <w:rsid w:val="00573AAA"/>
    <w:rsid w:val="00573CAA"/>
    <w:rsid w:val="00573E6D"/>
    <w:rsid w:val="00574081"/>
    <w:rsid w:val="00574189"/>
    <w:rsid w:val="0057425A"/>
    <w:rsid w:val="005743C9"/>
    <w:rsid w:val="005746FA"/>
    <w:rsid w:val="00574784"/>
    <w:rsid w:val="00574839"/>
    <w:rsid w:val="00575150"/>
    <w:rsid w:val="0057521D"/>
    <w:rsid w:val="005752E0"/>
    <w:rsid w:val="0057532B"/>
    <w:rsid w:val="005753D8"/>
    <w:rsid w:val="0057556B"/>
    <w:rsid w:val="005755A6"/>
    <w:rsid w:val="0057564C"/>
    <w:rsid w:val="0057567E"/>
    <w:rsid w:val="00575695"/>
    <w:rsid w:val="0057574A"/>
    <w:rsid w:val="0057582A"/>
    <w:rsid w:val="005759C2"/>
    <w:rsid w:val="00575CEC"/>
    <w:rsid w:val="00575D9F"/>
    <w:rsid w:val="00575F52"/>
    <w:rsid w:val="0057617B"/>
    <w:rsid w:val="00576287"/>
    <w:rsid w:val="00576479"/>
    <w:rsid w:val="00576495"/>
    <w:rsid w:val="005766A7"/>
    <w:rsid w:val="00576A82"/>
    <w:rsid w:val="00576C5A"/>
    <w:rsid w:val="00576CC3"/>
    <w:rsid w:val="00576E69"/>
    <w:rsid w:val="00576F5A"/>
    <w:rsid w:val="00576FCA"/>
    <w:rsid w:val="00577030"/>
    <w:rsid w:val="005771CF"/>
    <w:rsid w:val="005772E4"/>
    <w:rsid w:val="00577381"/>
    <w:rsid w:val="00577507"/>
    <w:rsid w:val="00577709"/>
    <w:rsid w:val="005777F8"/>
    <w:rsid w:val="005779F8"/>
    <w:rsid w:val="00577B7D"/>
    <w:rsid w:val="00577B88"/>
    <w:rsid w:val="00577CFB"/>
    <w:rsid w:val="00577DB8"/>
    <w:rsid w:val="00577F33"/>
    <w:rsid w:val="00577FFA"/>
    <w:rsid w:val="00580023"/>
    <w:rsid w:val="005800F6"/>
    <w:rsid w:val="00580126"/>
    <w:rsid w:val="005801A7"/>
    <w:rsid w:val="0058039D"/>
    <w:rsid w:val="00580506"/>
    <w:rsid w:val="005805DE"/>
    <w:rsid w:val="005807B5"/>
    <w:rsid w:val="0058092C"/>
    <w:rsid w:val="00580B6D"/>
    <w:rsid w:val="00580B9D"/>
    <w:rsid w:val="00580C3E"/>
    <w:rsid w:val="00580D2F"/>
    <w:rsid w:val="00580DAF"/>
    <w:rsid w:val="00580FD4"/>
    <w:rsid w:val="00581129"/>
    <w:rsid w:val="005812BA"/>
    <w:rsid w:val="00581375"/>
    <w:rsid w:val="00581448"/>
    <w:rsid w:val="00581525"/>
    <w:rsid w:val="0058161D"/>
    <w:rsid w:val="005817DA"/>
    <w:rsid w:val="0058183E"/>
    <w:rsid w:val="005818FF"/>
    <w:rsid w:val="00581A81"/>
    <w:rsid w:val="00581D3F"/>
    <w:rsid w:val="00581D43"/>
    <w:rsid w:val="00581DAE"/>
    <w:rsid w:val="00581EEA"/>
    <w:rsid w:val="00581F5B"/>
    <w:rsid w:val="00582323"/>
    <w:rsid w:val="0058240C"/>
    <w:rsid w:val="005825D9"/>
    <w:rsid w:val="005828F4"/>
    <w:rsid w:val="00582935"/>
    <w:rsid w:val="00582A27"/>
    <w:rsid w:val="00582B01"/>
    <w:rsid w:val="00582D1B"/>
    <w:rsid w:val="0058335C"/>
    <w:rsid w:val="005833B0"/>
    <w:rsid w:val="0058356A"/>
    <w:rsid w:val="00583597"/>
    <w:rsid w:val="00583808"/>
    <w:rsid w:val="00583A98"/>
    <w:rsid w:val="00583BD7"/>
    <w:rsid w:val="00583C81"/>
    <w:rsid w:val="00583D16"/>
    <w:rsid w:val="00583DB2"/>
    <w:rsid w:val="00583E69"/>
    <w:rsid w:val="00583EE0"/>
    <w:rsid w:val="00584032"/>
    <w:rsid w:val="005840D7"/>
    <w:rsid w:val="005841B7"/>
    <w:rsid w:val="00584617"/>
    <w:rsid w:val="00584693"/>
    <w:rsid w:val="0058478B"/>
    <w:rsid w:val="00584930"/>
    <w:rsid w:val="00584933"/>
    <w:rsid w:val="0058493D"/>
    <w:rsid w:val="0058499F"/>
    <w:rsid w:val="00584B1F"/>
    <w:rsid w:val="00584C64"/>
    <w:rsid w:val="00584D65"/>
    <w:rsid w:val="00584E57"/>
    <w:rsid w:val="00584EAF"/>
    <w:rsid w:val="00584F9C"/>
    <w:rsid w:val="00584FE7"/>
    <w:rsid w:val="005850D7"/>
    <w:rsid w:val="00585180"/>
    <w:rsid w:val="00585252"/>
    <w:rsid w:val="0058531B"/>
    <w:rsid w:val="005853A2"/>
    <w:rsid w:val="0058563D"/>
    <w:rsid w:val="005859AD"/>
    <w:rsid w:val="00585B5E"/>
    <w:rsid w:val="00585CA1"/>
    <w:rsid w:val="00585D9A"/>
    <w:rsid w:val="005860C6"/>
    <w:rsid w:val="0058617D"/>
    <w:rsid w:val="005861E2"/>
    <w:rsid w:val="00586354"/>
    <w:rsid w:val="00586445"/>
    <w:rsid w:val="0058645A"/>
    <w:rsid w:val="005865DC"/>
    <w:rsid w:val="00586840"/>
    <w:rsid w:val="00586877"/>
    <w:rsid w:val="005868AB"/>
    <w:rsid w:val="00586911"/>
    <w:rsid w:val="00586913"/>
    <w:rsid w:val="00586AE9"/>
    <w:rsid w:val="00586C9C"/>
    <w:rsid w:val="00586CC4"/>
    <w:rsid w:val="00586CCF"/>
    <w:rsid w:val="00586D2A"/>
    <w:rsid w:val="00586DF3"/>
    <w:rsid w:val="00586E31"/>
    <w:rsid w:val="00586EB7"/>
    <w:rsid w:val="00586EBB"/>
    <w:rsid w:val="00586EC5"/>
    <w:rsid w:val="00586ED0"/>
    <w:rsid w:val="0058729A"/>
    <w:rsid w:val="005872E7"/>
    <w:rsid w:val="005874DC"/>
    <w:rsid w:val="005874E8"/>
    <w:rsid w:val="00587544"/>
    <w:rsid w:val="005877D8"/>
    <w:rsid w:val="00587826"/>
    <w:rsid w:val="00587879"/>
    <w:rsid w:val="00587A9B"/>
    <w:rsid w:val="00587A9F"/>
    <w:rsid w:val="00587B2E"/>
    <w:rsid w:val="00587F22"/>
    <w:rsid w:val="00587FE0"/>
    <w:rsid w:val="005900CB"/>
    <w:rsid w:val="0059021B"/>
    <w:rsid w:val="00590313"/>
    <w:rsid w:val="00590584"/>
    <w:rsid w:val="00590596"/>
    <w:rsid w:val="005906B8"/>
    <w:rsid w:val="0059080F"/>
    <w:rsid w:val="0059086B"/>
    <w:rsid w:val="005909B7"/>
    <w:rsid w:val="005909BA"/>
    <w:rsid w:val="00590B1E"/>
    <w:rsid w:val="00590B6A"/>
    <w:rsid w:val="00590C1E"/>
    <w:rsid w:val="00590C2F"/>
    <w:rsid w:val="00590C8C"/>
    <w:rsid w:val="00590DC4"/>
    <w:rsid w:val="00590E62"/>
    <w:rsid w:val="0059104B"/>
    <w:rsid w:val="005910B8"/>
    <w:rsid w:val="00591221"/>
    <w:rsid w:val="0059135C"/>
    <w:rsid w:val="0059138D"/>
    <w:rsid w:val="005914F5"/>
    <w:rsid w:val="005917D4"/>
    <w:rsid w:val="00591849"/>
    <w:rsid w:val="0059188F"/>
    <w:rsid w:val="00591AB5"/>
    <w:rsid w:val="00591B1D"/>
    <w:rsid w:val="00591C24"/>
    <w:rsid w:val="00591CC3"/>
    <w:rsid w:val="00591D35"/>
    <w:rsid w:val="00591E06"/>
    <w:rsid w:val="00591FD7"/>
    <w:rsid w:val="0059214C"/>
    <w:rsid w:val="005922DC"/>
    <w:rsid w:val="0059233B"/>
    <w:rsid w:val="005923DA"/>
    <w:rsid w:val="0059244F"/>
    <w:rsid w:val="00592663"/>
    <w:rsid w:val="005926DF"/>
    <w:rsid w:val="00592747"/>
    <w:rsid w:val="005927FD"/>
    <w:rsid w:val="00592B8B"/>
    <w:rsid w:val="00592D7A"/>
    <w:rsid w:val="00592E0B"/>
    <w:rsid w:val="00592E62"/>
    <w:rsid w:val="00593229"/>
    <w:rsid w:val="0059327D"/>
    <w:rsid w:val="00593326"/>
    <w:rsid w:val="005935AC"/>
    <w:rsid w:val="005935C9"/>
    <w:rsid w:val="00593665"/>
    <w:rsid w:val="005938A0"/>
    <w:rsid w:val="00593900"/>
    <w:rsid w:val="00593959"/>
    <w:rsid w:val="00593980"/>
    <w:rsid w:val="00593981"/>
    <w:rsid w:val="00593A23"/>
    <w:rsid w:val="00593C88"/>
    <w:rsid w:val="00593E6A"/>
    <w:rsid w:val="00593FE9"/>
    <w:rsid w:val="005941B1"/>
    <w:rsid w:val="00594443"/>
    <w:rsid w:val="00594486"/>
    <w:rsid w:val="005944B6"/>
    <w:rsid w:val="005945A1"/>
    <w:rsid w:val="00594627"/>
    <w:rsid w:val="0059471C"/>
    <w:rsid w:val="00594726"/>
    <w:rsid w:val="00594855"/>
    <w:rsid w:val="00594BA5"/>
    <w:rsid w:val="00594DC3"/>
    <w:rsid w:val="00594E86"/>
    <w:rsid w:val="00594F06"/>
    <w:rsid w:val="00594FC6"/>
    <w:rsid w:val="00595040"/>
    <w:rsid w:val="005950A0"/>
    <w:rsid w:val="005950ED"/>
    <w:rsid w:val="005952B5"/>
    <w:rsid w:val="005952B8"/>
    <w:rsid w:val="005953B5"/>
    <w:rsid w:val="005954C9"/>
    <w:rsid w:val="005954E5"/>
    <w:rsid w:val="00595691"/>
    <w:rsid w:val="005957BF"/>
    <w:rsid w:val="00595831"/>
    <w:rsid w:val="005958E5"/>
    <w:rsid w:val="005959EC"/>
    <w:rsid w:val="00595AEC"/>
    <w:rsid w:val="00595B42"/>
    <w:rsid w:val="00595BEB"/>
    <w:rsid w:val="00595BEC"/>
    <w:rsid w:val="00595CC0"/>
    <w:rsid w:val="00595DD4"/>
    <w:rsid w:val="00595E54"/>
    <w:rsid w:val="00595ED0"/>
    <w:rsid w:val="00595FE7"/>
    <w:rsid w:val="005960E3"/>
    <w:rsid w:val="00596145"/>
    <w:rsid w:val="00596236"/>
    <w:rsid w:val="005964B7"/>
    <w:rsid w:val="00596598"/>
    <w:rsid w:val="00596747"/>
    <w:rsid w:val="0059679C"/>
    <w:rsid w:val="005967BD"/>
    <w:rsid w:val="005968C5"/>
    <w:rsid w:val="005969F3"/>
    <w:rsid w:val="00596DB1"/>
    <w:rsid w:val="00596E7A"/>
    <w:rsid w:val="00597028"/>
    <w:rsid w:val="00597090"/>
    <w:rsid w:val="00597374"/>
    <w:rsid w:val="005973A5"/>
    <w:rsid w:val="00597404"/>
    <w:rsid w:val="0059746D"/>
    <w:rsid w:val="0059764D"/>
    <w:rsid w:val="0059779A"/>
    <w:rsid w:val="005977AC"/>
    <w:rsid w:val="00597943"/>
    <w:rsid w:val="0059795E"/>
    <w:rsid w:val="00597A58"/>
    <w:rsid w:val="00597A71"/>
    <w:rsid w:val="00597BCE"/>
    <w:rsid w:val="005A00F8"/>
    <w:rsid w:val="005A012F"/>
    <w:rsid w:val="005A04BB"/>
    <w:rsid w:val="005A0586"/>
    <w:rsid w:val="005A05EA"/>
    <w:rsid w:val="005A067C"/>
    <w:rsid w:val="005A068B"/>
    <w:rsid w:val="005A06D0"/>
    <w:rsid w:val="005A06FC"/>
    <w:rsid w:val="005A070E"/>
    <w:rsid w:val="005A08E4"/>
    <w:rsid w:val="005A093B"/>
    <w:rsid w:val="005A0A45"/>
    <w:rsid w:val="005A0B30"/>
    <w:rsid w:val="005A0C3C"/>
    <w:rsid w:val="005A0F02"/>
    <w:rsid w:val="005A119D"/>
    <w:rsid w:val="005A1256"/>
    <w:rsid w:val="005A13BF"/>
    <w:rsid w:val="005A13D2"/>
    <w:rsid w:val="005A1407"/>
    <w:rsid w:val="005A1457"/>
    <w:rsid w:val="005A1557"/>
    <w:rsid w:val="005A191E"/>
    <w:rsid w:val="005A1A82"/>
    <w:rsid w:val="005A1AE0"/>
    <w:rsid w:val="005A1DD1"/>
    <w:rsid w:val="005A1DF9"/>
    <w:rsid w:val="005A1E7D"/>
    <w:rsid w:val="005A1F66"/>
    <w:rsid w:val="005A227E"/>
    <w:rsid w:val="005A2519"/>
    <w:rsid w:val="005A255A"/>
    <w:rsid w:val="005A25B9"/>
    <w:rsid w:val="005A25FA"/>
    <w:rsid w:val="005A28AA"/>
    <w:rsid w:val="005A2946"/>
    <w:rsid w:val="005A2957"/>
    <w:rsid w:val="005A2961"/>
    <w:rsid w:val="005A2A29"/>
    <w:rsid w:val="005A2CB4"/>
    <w:rsid w:val="005A2F68"/>
    <w:rsid w:val="005A3076"/>
    <w:rsid w:val="005A3132"/>
    <w:rsid w:val="005A33AA"/>
    <w:rsid w:val="005A34D7"/>
    <w:rsid w:val="005A37F2"/>
    <w:rsid w:val="005A3802"/>
    <w:rsid w:val="005A3809"/>
    <w:rsid w:val="005A388B"/>
    <w:rsid w:val="005A38F5"/>
    <w:rsid w:val="005A3C0E"/>
    <w:rsid w:val="005A3ECD"/>
    <w:rsid w:val="005A3F3B"/>
    <w:rsid w:val="005A41CF"/>
    <w:rsid w:val="005A4200"/>
    <w:rsid w:val="005A4577"/>
    <w:rsid w:val="005A4624"/>
    <w:rsid w:val="005A466A"/>
    <w:rsid w:val="005A474E"/>
    <w:rsid w:val="005A4856"/>
    <w:rsid w:val="005A492C"/>
    <w:rsid w:val="005A4BC4"/>
    <w:rsid w:val="005A4D18"/>
    <w:rsid w:val="005A4E6F"/>
    <w:rsid w:val="005A4E9F"/>
    <w:rsid w:val="005A4EC6"/>
    <w:rsid w:val="005A513B"/>
    <w:rsid w:val="005A5263"/>
    <w:rsid w:val="005A5413"/>
    <w:rsid w:val="005A54BD"/>
    <w:rsid w:val="005A56D0"/>
    <w:rsid w:val="005A5773"/>
    <w:rsid w:val="005A58FB"/>
    <w:rsid w:val="005A5997"/>
    <w:rsid w:val="005A59A0"/>
    <w:rsid w:val="005A5B91"/>
    <w:rsid w:val="005A5D5D"/>
    <w:rsid w:val="005A5E05"/>
    <w:rsid w:val="005A5EDA"/>
    <w:rsid w:val="005A5EFC"/>
    <w:rsid w:val="005A5F0C"/>
    <w:rsid w:val="005A5F91"/>
    <w:rsid w:val="005A5FE2"/>
    <w:rsid w:val="005A609F"/>
    <w:rsid w:val="005A62B3"/>
    <w:rsid w:val="005A62CF"/>
    <w:rsid w:val="005A676F"/>
    <w:rsid w:val="005A68F3"/>
    <w:rsid w:val="005A6A0D"/>
    <w:rsid w:val="005A6B00"/>
    <w:rsid w:val="005A6CD1"/>
    <w:rsid w:val="005A6DFE"/>
    <w:rsid w:val="005A6FA9"/>
    <w:rsid w:val="005A70B1"/>
    <w:rsid w:val="005A7126"/>
    <w:rsid w:val="005A71BB"/>
    <w:rsid w:val="005A71FE"/>
    <w:rsid w:val="005A72FC"/>
    <w:rsid w:val="005A72FF"/>
    <w:rsid w:val="005A74FB"/>
    <w:rsid w:val="005A75F3"/>
    <w:rsid w:val="005A7636"/>
    <w:rsid w:val="005A77F3"/>
    <w:rsid w:val="005A7946"/>
    <w:rsid w:val="005A7CC2"/>
    <w:rsid w:val="005A7CDC"/>
    <w:rsid w:val="005A7CE7"/>
    <w:rsid w:val="005A7CEE"/>
    <w:rsid w:val="005A7E62"/>
    <w:rsid w:val="005A7E74"/>
    <w:rsid w:val="005A7EA7"/>
    <w:rsid w:val="005B00FC"/>
    <w:rsid w:val="005B01D0"/>
    <w:rsid w:val="005B032A"/>
    <w:rsid w:val="005B05F0"/>
    <w:rsid w:val="005B08BC"/>
    <w:rsid w:val="005B0A74"/>
    <w:rsid w:val="005B0A7D"/>
    <w:rsid w:val="005B0B1E"/>
    <w:rsid w:val="005B0B37"/>
    <w:rsid w:val="005B0B6D"/>
    <w:rsid w:val="005B0B81"/>
    <w:rsid w:val="005B0BBE"/>
    <w:rsid w:val="005B1058"/>
    <w:rsid w:val="005B109C"/>
    <w:rsid w:val="005B1187"/>
    <w:rsid w:val="005B1223"/>
    <w:rsid w:val="005B125C"/>
    <w:rsid w:val="005B12EC"/>
    <w:rsid w:val="005B1341"/>
    <w:rsid w:val="005B1554"/>
    <w:rsid w:val="005B15AA"/>
    <w:rsid w:val="005B15CD"/>
    <w:rsid w:val="005B1612"/>
    <w:rsid w:val="005B16B6"/>
    <w:rsid w:val="005B1812"/>
    <w:rsid w:val="005B18B6"/>
    <w:rsid w:val="005B18BA"/>
    <w:rsid w:val="005B1BEA"/>
    <w:rsid w:val="005B1C5C"/>
    <w:rsid w:val="005B1CDD"/>
    <w:rsid w:val="005B1DA4"/>
    <w:rsid w:val="005B1E98"/>
    <w:rsid w:val="005B1FD5"/>
    <w:rsid w:val="005B205F"/>
    <w:rsid w:val="005B24AF"/>
    <w:rsid w:val="005B25C6"/>
    <w:rsid w:val="005B25D3"/>
    <w:rsid w:val="005B261D"/>
    <w:rsid w:val="005B26F5"/>
    <w:rsid w:val="005B278E"/>
    <w:rsid w:val="005B282A"/>
    <w:rsid w:val="005B2852"/>
    <w:rsid w:val="005B2EDA"/>
    <w:rsid w:val="005B3025"/>
    <w:rsid w:val="005B34F3"/>
    <w:rsid w:val="005B35FB"/>
    <w:rsid w:val="005B3657"/>
    <w:rsid w:val="005B36DF"/>
    <w:rsid w:val="005B376C"/>
    <w:rsid w:val="005B37FE"/>
    <w:rsid w:val="005B389B"/>
    <w:rsid w:val="005B3A08"/>
    <w:rsid w:val="005B3B98"/>
    <w:rsid w:val="005B3F52"/>
    <w:rsid w:val="005B3F96"/>
    <w:rsid w:val="005B3FDF"/>
    <w:rsid w:val="005B4011"/>
    <w:rsid w:val="005B4190"/>
    <w:rsid w:val="005B41FD"/>
    <w:rsid w:val="005B43EC"/>
    <w:rsid w:val="005B474D"/>
    <w:rsid w:val="005B48B1"/>
    <w:rsid w:val="005B4BB7"/>
    <w:rsid w:val="005B51E0"/>
    <w:rsid w:val="005B54D2"/>
    <w:rsid w:val="005B5537"/>
    <w:rsid w:val="005B55B9"/>
    <w:rsid w:val="005B5631"/>
    <w:rsid w:val="005B5635"/>
    <w:rsid w:val="005B579A"/>
    <w:rsid w:val="005B58BB"/>
    <w:rsid w:val="005B58D7"/>
    <w:rsid w:val="005B597B"/>
    <w:rsid w:val="005B5ED2"/>
    <w:rsid w:val="005B5FC8"/>
    <w:rsid w:val="005B60EF"/>
    <w:rsid w:val="005B624D"/>
    <w:rsid w:val="005B6277"/>
    <w:rsid w:val="005B6321"/>
    <w:rsid w:val="005B63EE"/>
    <w:rsid w:val="005B64B3"/>
    <w:rsid w:val="005B6525"/>
    <w:rsid w:val="005B65CF"/>
    <w:rsid w:val="005B6619"/>
    <w:rsid w:val="005B667F"/>
    <w:rsid w:val="005B6A54"/>
    <w:rsid w:val="005B6AB0"/>
    <w:rsid w:val="005B6B81"/>
    <w:rsid w:val="005B6BC6"/>
    <w:rsid w:val="005B6C29"/>
    <w:rsid w:val="005B6D69"/>
    <w:rsid w:val="005B6EE3"/>
    <w:rsid w:val="005B6EED"/>
    <w:rsid w:val="005B6F2F"/>
    <w:rsid w:val="005B7076"/>
    <w:rsid w:val="005B76A5"/>
    <w:rsid w:val="005B76F5"/>
    <w:rsid w:val="005B77FC"/>
    <w:rsid w:val="005B7A8A"/>
    <w:rsid w:val="005B7AA0"/>
    <w:rsid w:val="005B7C98"/>
    <w:rsid w:val="005B7CB3"/>
    <w:rsid w:val="005B7E0C"/>
    <w:rsid w:val="005B7E49"/>
    <w:rsid w:val="005B7FA3"/>
    <w:rsid w:val="005B7FFD"/>
    <w:rsid w:val="005C0104"/>
    <w:rsid w:val="005C0215"/>
    <w:rsid w:val="005C02A7"/>
    <w:rsid w:val="005C05D5"/>
    <w:rsid w:val="005C05DD"/>
    <w:rsid w:val="005C05E2"/>
    <w:rsid w:val="005C05FF"/>
    <w:rsid w:val="005C06B9"/>
    <w:rsid w:val="005C0A3C"/>
    <w:rsid w:val="005C0D78"/>
    <w:rsid w:val="005C0EDF"/>
    <w:rsid w:val="005C0FB9"/>
    <w:rsid w:val="005C10E6"/>
    <w:rsid w:val="005C1580"/>
    <w:rsid w:val="005C15B9"/>
    <w:rsid w:val="005C1790"/>
    <w:rsid w:val="005C1818"/>
    <w:rsid w:val="005C18A3"/>
    <w:rsid w:val="005C1B50"/>
    <w:rsid w:val="005C1B8F"/>
    <w:rsid w:val="005C1C49"/>
    <w:rsid w:val="005C1C8A"/>
    <w:rsid w:val="005C1CBA"/>
    <w:rsid w:val="005C2035"/>
    <w:rsid w:val="005C20E7"/>
    <w:rsid w:val="005C225A"/>
    <w:rsid w:val="005C2283"/>
    <w:rsid w:val="005C229C"/>
    <w:rsid w:val="005C2379"/>
    <w:rsid w:val="005C237B"/>
    <w:rsid w:val="005C25DC"/>
    <w:rsid w:val="005C2729"/>
    <w:rsid w:val="005C27A5"/>
    <w:rsid w:val="005C283A"/>
    <w:rsid w:val="005C28B3"/>
    <w:rsid w:val="005C2C29"/>
    <w:rsid w:val="005C30FE"/>
    <w:rsid w:val="005C3272"/>
    <w:rsid w:val="005C349F"/>
    <w:rsid w:val="005C362C"/>
    <w:rsid w:val="005C36B6"/>
    <w:rsid w:val="005C36F2"/>
    <w:rsid w:val="005C37B3"/>
    <w:rsid w:val="005C389B"/>
    <w:rsid w:val="005C390E"/>
    <w:rsid w:val="005C39F7"/>
    <w:rsid w:val="005C3A94"/>
    <w:rsid w:val="005C3ADF"/>
    <w:rsid w:val="005C3B82"/>
    <w:rsid w:val="005C3BA2"/>
    <w:rsid w:val="005C3E08"/>
    <w:rsid w:val="005C3E99"/>
    <w:rsid w:val="005C3FB8"/>
    <w:rsid w:val="005C4001"/>
    <w:rsid w:val="005C4127"/>
    <w:rsid w:val="005C4160"/>
    <w:rsid w:val="005C4378"/>
    <w:rsid w:val="005C443B"/>
    <w:rsid w:val="005C44F0"/>
    <w:rsid w:val="005C46AF"/>
    <w:rsid w:val="005C46D1"/>
    <w:rsid w:val="005C4726"/>
    <w:rsid w:val="005C4CB0"/>
    <w:rsid w:val="005C4CBD"/>
    <w:rsid w:val="005C4F6C"/>
    <w:rsid w:val="005C4F83"/>
    <w:rsid w:val="005C51E5"/>
    <w:rsid w:val="005C520D"/>
    <w:rsid w:val="005C52F1"/>
    <w:rsid w:val="005C53D7"/>
    <w:rsid w:val="005C572E"/>
    <w:rsid w:val="005C574A"/>
    <w:rsid w:val="005C57B0"/>
    <w:rsid w:val="005C58DC"/>
    <w:rsid w:val="005C5917"/>
    <w:rsid w:val="005C5A38"/>
    <w:rsid w:val="005C5AB1"/>
    <w:rsid w:val="005C5B21"/>
    <w:rsid w:val="005C5C6C"/>
    <w:rsid w:val="005C5CE0"/>
    <w:rsid w:val="005C6087"/>
    <w:rsid w:val="005C61BD"/>
    <w:rsid w:val="005C62B2"/>
    <w:rsid w:val="005C6372"/>
    <w:rsid w:val="005C67DE"/>
    <w:rsid w:val="005C6892"/>
    <w:rsid w:val="005C69F5"/>
    <w:rsid w:val="005C6A75"/>
    <w:rsid w:val="005C6CBB"/>
    <w:rsid w:val="005C6D77"/>
    <w:rsid w:val="005C7092"/>
    <w:rsid w:val="005C7095"/>
    <w:rsid w:val="005C70D1"/>
    <w:rsid w:val="005C724D"/>
    <w:rsid w:val="005C7423"/>
    <w:rsid w:val="005C75D9"/>
    <w:rsid w:val="005C7670"/>
    <w:rsid w:val="005C7914"/>
    <w:rsid w:val="005C7A2C"/>
    <w:rsid w:val="005C7B78"/>
    <w:rsid w:val="005C7DC3"/>
    <w:rsid w:val="005C7E63"/>
    <w:rsid w:val="005D0171"/>
    <w:rsid w:val="005D01A8"/>
    <w:rsid w:val="005D0309"/>
    <w:rsid w:val="005D03E7"/>
    <w:rsid w:val="005D0461"/>
    <w:rsid w:val="005D04AF"/>
    <w:rsid w:val="005D05F5"/>
    <w:rsid w:val="005D07E7"/>
    <w:rsid w:val="005D08F5"/>
    <w:rsid w:val="005D0901"/>
    <w:rsid w:val="005D0A23"/>
    <w:rsid w:val="005D0AC2"/>
    <w:rsid w:val="005D0C2A"/>
    <w:rsid w:val="005D0DFA"/>
    <w:rsid w:val="005D0E15"/>
    <w:rsid w:val="005D116F"/>
    <w:rsid w:val="005D11DB"/>
    <w:rsid w:val="005D1440"/>
    <w:rsid w:val="005D14B4"/>
    <w:rsid w:val="005D14D2"/>
    <w:rsid w:val="005D1548"/>
    <w:rsid w:val="005D166E"/>
    <w:rsid w:val="005D16F0"/>
    <w:rsid w:val="005D1739"/>
    <w:rsid w:val="005D17B5"/>
    <w:rsid w:val="005D18B4"/>
    <w:rsid w:val="005D19ED"/>
    <w:rsid w:val="005D1B4F"/>
    <w:rsid w:val="005D1B5B"/>
    <w:rsid w:val="005D1C0B"/>
    <w:rsid w:val="005D1CE6"/>
    <w:rsid w:val="005D1D5F"/>
    <w:rsid w:val="005D237F"/>
    <w:rsid w:val="005D243B"/>
    <w:rsid w:val="005D24D6"/>
    <w:rsid w:val="005D2797"/>
    <w:rsid w:val="005D2B33"/>
    <w:rsid w:val="005D2FF9"/>
    <w:rsid w:val="005D3054"/>
    <w:rsid w:val="005D305C"/>
    <w:rsid w:val="005D310F"/>
    <w:rsid w:val="005D3170"/>
    <w:rsid w:val="005D331D"/>
    <w:rsid w:val="005D33CD"/>
    <w:rsid w:val="005D343F"/>
    <w:rsid w:val="005D3456"/>
    <w:rsid w:val="005D34A2"/>
    <w:rsid w:val="005D35DC"/>
    <w:rsid w:val="005D36CF"/>
    <w:rsid w:val="005D38B1"/>
    <w:rsid w:val="005D38CE"/>
    <w:rsid w:val="005D390F"/>
    <w:rsid w:val="005D39C9"/>
    <w:rsid w:val="005D3A41"/>
    <w:rsid w:val="005D3BB5"/>
    <w:rsid w:val="005D3BCB"/>
    <w:rsid w:val="005D3C0D"/>
    <w:rsid w:val="005D3C22"/>
    <w:rsid w:val="005D3C39"/>
    <w:rsid w:val="005D3DF7"/>
    <w:rsid w:val="005D4288"/>
    <w:rsid w:val="005D4474"/>
    <w:rsid w:val="005D44D7"/>
    <w:rsid w:val="005D463F"/>
    <w:rsid w:val="005D4680"/>
    <w:rsid w:val="005D4727"/>
    <w:rsid w:val="005D4830"/>
    <w:rsid w:val="005D48AF"/>
    <w:rsid w:val="005D48EF"/>
    <w:rsid w:val="005D4AED"/>
    <w:rsid w:val="005D4B15"/>
    <w:rsid w:val="005D4CCC"/>
    <w:rsid w:val="005D4E89"/>
    <w:rsid w:val="005D4E8C"/>
    <w:rsid w:val="005D4E90"/>
    <w:rsid w:val="005D4EBB"/>
    <w:rsid w:val="005D4F13"/>
    <w:rsid w:val="005D52AA"/>
    <w:rsid w:val="005D5472"/>
    <w:rsid w:val="005D54C0"/>
    <w:rsid w:val="005D571A"/>
    <w:rsid w:val="005D5765"/>
    <w:rsid w:val="005D5893"/>
    <w:rsid w:val="005D5B99"/>
    <w:rsid w:val="005D5BC9"/>
    <w:rsid w:val="005D5C3F"/>
    <w:rsid w:val="005D5C9C"/>
    <w:rsid w:val="005D5D3A"/>
    <w:rsid w:val="005D5D7A"/>
    <w:rsid w:val="005D5ED9"/>
    <w:rsid w:val="005D613A"/>
    <w:rsid w:val="005D61B6"/>
    <w:rsid w:val="005D6208"/>
    <w:rsid w:val="005D6224"/>
    <w:rsid w:val="005D6428"/>
    <w:rsid w:val="005D665E"/>
    <w:rsid w:val="005D6738"/>
    <w:rsid w:val="005D68B9"/>
    <w:rsid w:val="005D6A40"/>
    <w:rsid w:val="005D6C32"/>
    <w:rsid w:val="005D6CB1"/>
    <w:rsid w:val="005D6CE2"/>
    <w:rsid w:val="005D6DE8"/>
    <w:rsid w:val="005D6EC3"/>
    <w:rsid w:val="005D6FC0"/>
    <w:rsid w:val="005D6FFC"/>
    <w:rsid w:val="005D7027"/>
    <w:rsid w:val="005D72DF"/>
    <w:rsid w:val="005D72F6"/>
    <w:rsid w:val="005D733E"/>
    <w:rsid w:val="005D7541"/>
    <w:rsid w:val="005D7721"/>
    <w:rsid w:val="005D7966"/>
    <w:rsid w:val="005D79ED"/>
    <w:rsid w:val="005D7B19"/>
    <w:rsid w:val="005D7BA0"/>
    <w:rsid w:val="005E0024"/>
    <w:rsid w:val="005E0109"/>
    <w:rsid w:val="005E01CF"/>
    <w:rsid w:val="005E0266"/>
    <w:rsid w:val="005E029B"/>
    <w:rsid w:val="005E0527"/>
    <w:rsid w:val="005E05FC"/>
    <w:rsid w:val="005E06B4"/>
    <w:rsid w:val="005E0852"/>
    <w:rsid w:val="005E0A59"/>
    <w:rsid w:val="005E0B30"/>
    <w:rsid w:val="005E0D55"/>
    <w:rsid w:val="005E0EB6"/>
    <w:rsid w:val="005E111E"/>
    <w:rsid w:val="005E1178"/>
    <w:rsid w:val="005E11D5"/>
    <w:rsid w:val="005E1243"/>
    <w:rsid w:val="005E1314"/>
    <w:rsid w:val="005E14F7"/>
    <w:rsid w:val="005E165D"/>
    <w:rsid w:val="005E184C"/>
    <w:rsid w:val="005E18E7"/>
    <w:rsid w:val="005E19E5"/>
    <w:rsid w:val="005E1A26"/>
    <w:rsid w:val="005E1C45"/>
    <w:rsid w:val="005E1D3B"/>
    <w:rsid w:val="005E1E96"/>
    <w:rsid w:val="005E1EE2"/>
    <w:rsid w:val="005E1F55"/>
    <w:rsid w:val="005E22D1"/>
    <w:rsid w:val="005E232D"/>
    <w:rsid w:val="005E2469"/>
    <w:rsid w:val="005E247A"/>
    <w:rsid w:val="005E24D5"/>
    <w:rsid w:val="005E24DF"/>
    <w:rsid w:val="005E25E5"/>
    <w:rsid w:val="005E27E8"/>
    <w:rsid w:val="005E27F1"/>
    <w:rsid w:val="005E29F7"/>
    <w:rsid w:val="005E2D42"/>
    <w:rsid w:val="005E2D6A"/>
    <w:rsid w:val="005E2EB9"/>
    <w:rsid w:val="005E2EC0"/>
    <w:rsid w:val="005E2FFD"/>
    <w:rsid w:val="005E301E"/>
    <w:rsid w:val="005E3074"/>
    <w:rsid w:val="005E31AA"/>
    <w:rsid w:val="005E3312"/>
    <w:rsid w:val="005E3457"/>
    <w:rsid w:val="005E351E"/>
    <w:rsid w:val="005E3534"/>
    <w:rsid w:val="005E3572"/>
    <w:rsid w:val="005E364A"/>
    <w:rsid w:val="005E3734"/>
    <w:rsid w:val="005E375D"/>
    <w:rsid w:val="005E3840"/>
    <w:rsid w:val="005E388D"/>
    <w:rsid w:val="005E39CF"/>
    <w:rsid w:val="005E3BA0"/>
    <w:rsid w:val="005E3BE0"/>
    <w:rsid w:val="005E3C3D"/>
    <w:rsid w:val="005E3E0B"/>
    <w:rsid w:val="005E3FE2"/>
    <w:rsid w:val="005E416F"/>
    <w:rsid w:val="005E4174"/>
    <w:rsid w:val="005E42E4"/>
    <w:rsid w:val="005E44C9"/>
    <w:rsid w:val="005E458F"/>
    <w:rsid w:val="005E459F"/>
    <w:rsid w:val="005E45CF"/>
    <w:rsid w:val="005E46CD"/>
    <w:rsid w:val="005E48FE"/>
    <w:rsid w:val="005E496C"/>
    <w:rsid w:val="005E4A28"/>
    <w:rsid w:val="005E4A7A"/>
    <w:rsid w:val="005E4AC2"/>
    <w:rsid w:val="005E4BEA"/>
    <w:rsid w:val="005E4D05"/>
    <w:rsid w:val="005E4DF4"/>
    <w:rsid w:val="005E4E0B"/>
    <w:rsid w:val="005E5036"/>
    <w:rsid w:val="005E508B"/>
    <w:rsid w:val="005E51AF"/>
    <w:rsid w:val="005E521D"/>
    <w:rsid w:val="005E5605"/>
    <w:rsid w:val="005E567B"/>
    <w:rsid w:val="005E56A6"/>
    <w:rsid w:val="005E57E7"/>
    <w:rsid w:val="005E58DA"/>
    <w:rsid w:val="005E5950"/>
    <w:rsid w:val="005E5A5A"/>
    <w:rsid w:val="005E5B50"/>
    <w:rsid w:val="005E5BD8"/>
    <w:rsid w:val="005E5C0B"/>
    <w:rsid w:val="005E5DE7"/>
    <w:rsid w:val="005E5EFA"/>
    <w:rsid w:val="005E615C"/>
    <w:rsid w:val="005E6472"/>
    <w:rsid w:val="005E6592"/>
    <w:rsid w:val="005E667A"/>
    <w:rsid w:val="005E68D4"/>
    <w:rsid w:val="005E6CAA"/>
    <w:rsid w:val="005E6DCE"/>
    <w:rsid w:val="005E6DD7"/>
    <w:rsid w:val="005E6F1B"/>
    <w:rsid w:val="005E6F2D"/>
    <w:rsid w:val="005E6F7F"/>
    <w:rsid w:val="005E6F8F"/>
    <w:rsid w:val="005E7380"/>
    <w:rsid w:val="005E74AC"/>
    <w:rsid w:val="005E7605"/>
    <w:rsid w:val="005E76A2"/>
    <w:rsid w:val="005E76DE"/>
    <w:rsid w:val="005E77B4"/>
    <w:rsid w:val="005E79D8"/>
    <w:rsid w:val="005E7A8E"/>
    <w:rsid w:val="005E7B5C"/>
    <w:rsid w:val="005E7BB8"/>
    <w:rsid w:val="005E7D5C"/>
    <w:rsid w:val="005E7EE3"/>
    <w:rsid w:val="005F0133"/>
    <w:rsid w:val="005F041A"/>
    <w:rsid w:val="005F0457"/>
    <w:rsid w:val="005F094D"/>
    <w:rsid w:val="005F09C8"/>
    <w:rsid w:val="005F0A39"/>
    <w:rsid w:val="005F0A41"/>
    <w:rsid w:val="005F0D89"/>
    <w:rsid w:val="005F0E91"/>
    <w:rsid w:val="005F1106"/>
    <w:rsid w:val="005F1162"/>
    <w:rsid w:val="005F1322"/>
    <w:rsid w:val="005F13DC"/>
    <w:rsid w:val="005F14B0"/>
    <w:rsid w:val="005F1541"/>
    <w:rsid w:val="005F1548"/>
    <w:rsid w:val="005F16D0"/>
    <w:rsid w:val="005F1741"/>
    <w:rsid w:val="005F18D9"/>
    <w:rsid w:val="005F1ABC"/>
    <w:rsid w:val="005F1E55"/>
    <w:rsid w:val="005F1E88"/>
    <w:rsid w:val="005F1F62"/>
    <w:rsid w:val="005F20F3"/>
    <w:rsid w:val="005F2171"/>
    <w:rsid w:val="005F221B"/>
    <w:rsid w:val="005F2413"/>
    <w:rsid w:val="005F2682"/>
    <w:rsid w:val="005F29AE"/>
    <w:rsid w:val="005F2B54"/>
    <w:rsid w:val="005F2D79"/>
    <w:rsid w:val="005F2DB5"/>
    <w:rsid w:val="005F2EFF"/>
    <w:rsid w:val="005F3083"/>
    <w:rsid w:val="005F311B"/>
    <w:rsid w:val="005F3316"/>
    <w:rsid w:val="005F33A3"/>
    <w:rsid w:val="005F3420"/>
    <w:rsid w:val="005F3476"/>
    <w:rsid w:val="005F369D"/>
    <w:rsid w:val="005F372A"/>
    <w:rsid w:val="005F377B"/>
    <w:rsid w:val="005F37B0"/>
    <w:rsid w:val="005F3820"/>
    <w:rsid w:val="005F38E4"/>
    <w:rsid w:val="005F3963"/>
    <w:rsid w:val="005F3D47"/>
    <w:rsid w:val="005F3D4A"/>
    <w:rsid w:val="005F3DB3"/>
    <w:rsid w:val="005F3DD7"/>
    <w:rsid w:val="005F3E51"/>
    <w:rsid w:val="005F4192"/>
    <w:rsid w:val="005F41DB"/>
    <w:rsid w:val="005F42C0"/>
    <w:rsid w:val="005F45C7"/>
    <w:rsid w:val="005F4650"/>
    <w:rsid w:val="005F4882"/>
    <w:rsid w:val="005F4916"/>
    <w:rsid w:val="005F49CE"/>
    <w:rsid w:val="005F49D9"/>
    <w:rsid w:val="005F4A34"/>
    <w:rsid w:val="005F4B4A"/>
    <w:rsid w:val="005F4B55"/>
    <w:rsid w:val="005F4BFE"/>
    <w:rsid w:val="005F4C4E"/>
    <w:rsid w:val="005F4CD9"/>
    <w:rsid w:val="005F4E08"/>
    <w:rsid w:val="005F4F22"/>
    <w:rsid w:val="005F5090"/>
    <w:rsid w:val="005F5229"/>
    <w:rsid w:val="005F5531"/>
    <w:rsid w:val="005F556C"/>
    <w:rsid w:val="005F559C"/>
    <w:rsid w:val="005F5674"/>
    <w:rsid w:val="005F56E2"/>
    <w:rsid w:val="005F57A5"/>
    <w:rsid w:val="005F5906"/>
    <w:rsid w:val="005F5A9B"/>
    <w:rsid w:val="005F5B92"/>
    <w:rsid w:val="005F5DE0"/>
    <w:rsid w:val="005F6025"/>
    <w:rsid w:val="005F603C"/>
    <w:rsid w:val="005F60A9"/>
    <w:rsid w:val="005F6270"/>
    <w:rsid w:val="005F6290"/>
    <w:rsid w:val="005F63B8"/>
    <w:rsid w:val="005F6406"/>
    <w:rsid w:val="005F64A1"/>
    <w:rsid w:val="005F68D2"/>
    <w:rsid w:val="005F6D0C"/>
    <w:rsid w:val="005F6D24"/>
    <w:rsid w:val="005F6D26"/>
    <w:rsid w:val="005F6DD9"/>
    <w:rsid w:val="005F6F01"/>
    <w:rsid w:val="005F6F7F"/>
    <w:rsid w:val="005F7158"/>
    <w:rsid w:val="005F7230"/>
    <w:rsid w:val="005F7288"/>
    <w:rsid w:val="005F7308"/>
    <w:rsid w:val="005F73D2"/>
    <w:rsid w:val="005F76C8"/>
    <w:rsid w:val="005F792C"/>
    <w:rsid w:val="005F7BAB"/>
    <w:rsid w:val="005F7BAE"/>
    <w:rsid w:val="005F7DBE"/>
    <w:rsid w:val="005F7DFC"/>
    <w:rsid w:val="005F7E5D"/>
    <w:rsid w:val="005F7E76"/>
    <w:rsid w:val="005F7FD5"/>
    <w:rsid w:val="0060015E"/>
    <w:rsid w:val="006001EC"/>
    <w:rsid w:val="006001ED"/>
    <w:rsid w:val="00600299"/>
    <w:rsid w:val="00600628"/>
    <w:rsid w:val="006006E7"/>
    <w:rsid w:val="00600735"/>
    <w:rsid w:val="006007AF"/>
    <w:rsid w:val="0060081B"/>
    <w:rsid w:val="00600A77"/>
    <w:rsid w:val="00600B5B"/>
    <w:rsid w:val="00600D50"/>
    <w:rsid w:val="00600DBC"/>
    <w:rsid w:val="00600E1D"/>
    <w:rsid w:val="00600E62"/>
    <w:rsid w:val="00600EC2"/>
    <w:rsid w:val="0060120D"/>
    <w:rsid w:val="00601328"/>
    <w:rsid w:val="0060138C"/>
    <w:rsid w:val="006013FE"/>
    <w:rsid w:val="0060161C"/>
    <w:rsid w:val="0060172D"/>
    <w:rsid w:val="006017AE"/>
    <w:rsid w:val="006017DB"/>
    <w:rsid w:val="006017F9"/>
    <w:rsid w:val="00601866"/>
    <w:rsid w:val="0060189B"/>
    <w:rsid w:val="00601AA2"/>
    <w:rsid w:val="00601B1A"/>
    <w:rsid w:val="00601B7B"/>
    <w:rsid w:val="00601E04"/>
    <w:rsid w:val="00602245"/>
    <w:rsid w:val="00602306"/>
    <w:rsid w:val="00602385"/>
    <w:rsid w:val="00602814"/>
    <w:rsid w:val="006028F3"/>
    <w:rsid w:val="00602CC1"/>
    <w:rsid w:val="00602E05"/>
    <w:rsid w:val="00602E67"/>
    <w:rsid w:val="00602E81"/>
    <w:rsid w:val="00602E8B"/>
    <w:rsid w:val="00602F06"/>
    <w:rsid w:val="006030F8"/>
    <w:rsid w:val="0060310E"/>
    <w:rsid w:val="00603145"/>
    <w:rsid w:val="0060323C"/>
    <w:rsid w:val="0060335F"/>
    <w:rsid w:val="006035BD"/>
    <w:rsid w:val="00603629"/>
    <w:rsid w:val="006037F2"/>
    <w:rsid w:val="00603A68"/>
    <w:rsid w:val="00603DDE"/>
    <w:rsid w:val="00604017"/>
    <w:rsid w:val="00604052"/>
    <w:rsid w:val="006042CD"/>
    <w:rsid w:val="0060446F"/>
    <w:rsid w:val="006046DE"/>
    <w:rsid w:val="006047A7"/>
    <w:rsid w:val="00604BA5"/>
    <w:rsid w:val="00604CC6"/>
    <w:rsid w:val="00604CCD"/>
    <w:rsid w:val="00604D4B"/>
    <w:rsid w:val="00604F54"/>
    <w:rsid w:val="00605043"/>
    <w:rsid w:val="00605293"/>
    <w:rsid w:val="006052D5"/>
    <w:rsid w:val="0060544F"/>
    <w:rsid w:val="006054FC"/>
    <w:rsid w:val="006055AC"/>
    <w:rsid w:val="00605664"/>
    <w:rsid w:val="00605941"/>
    <w:rsid w:val="00605A18"/>
    <w:rsid w:val="00605A21"/>
    <w:rsid w:val="00605A74"/>
    <w:rsid w:val="00605B41"/>
    <w:rsid w:val="00605C65"/>
    <w:rsid w:val="00605DFD"/>
    <w:rsid w:val="00605E11"/>
    <w:rsid w:val="00605EBA"/>
    <w:rsid w:val="00605EF6"/>
    <w:rsid w:val="00605F3F"/>
    <w:rsid w:val="006060B5"/>
    <w:rsid w:val="00606136"/>
    <w:rsid w:val="006063FF"/>
    <w:rsid w:val="006064E6"/>
    <w:rsid w:val="00606611"/>
    <w:rsid w:val="00606636"/>
    <w:rsid w:val="006067A2"/>
    <w:rsid w:val="0060684A"/>
    <w:rsid w:val="00606893"/>
    <w:rsid w:val="00606BA5"/>
    <w:rsid w:val="00606CB3"/>
    <w:rsid w:val="00606E49"/>
    <w:rsid w:val="00606E64"/>
    <w:rsid w:val="00606FDF"/>
    <w:rsid w:val="006072DF"/>
    <w:rsid w:val="0060730E"/>
    <w:rsid w:val="00607310"/>
    <w:rsid w:val="00607340"/>
    <w:rsid w:val="00607341"/>
    <w:rsid w:val="0060768D"/>
    <w:rsid w:val="006076A7"/>
    <w:rsid w:val="0060778E"/>
    <w:rsid w:val="00607D6C"/>
    <w:rsid w:val="00607D97"/>
    <w:rsid w:val="00607F29"/>
    <w:rsid w:val="0061005E"/>
    <w:rsid w:val="006100AB"/>
    <w:rsid w:val="006102AE"/>
    <w:rsid w:val="006103BC"/>
    <w:rsid w:val="00610433"/>
    <w:rsid w:val="00610545"/>
    <w:rsid w:val="00610588"/>
    <w:rsid w:val="00610604"/>
    <w:rsid w:val="0061060E"/>
    <w:rsid w:val="0061068B"/>
    <w:rsid w:val="006109E7"/>
    <w:rsid w:val="00610A3B"/>
    <w:rsid w:val="00610A94"/>
    <w:rsid w:val="00610B79"/>
    <w:rsid w:val="00610CE3"/>
    <w:rsid w:val="00610E53"/>
    <w:rsid w:val="00610EE7"/>
    <w:rsid w:val="00610FA4"/>
    <w:rsid w:val="00611042"/>
    <w:rsid w:val="006110F3"/>
    <w:rsid w:val="006110F8"/>
    <w:rsid w:val="0061126E"/>
    <w:rsid w:val="00611364"/>
    <w:rsid w:val="006113BE"/>
    <w:rsid w:val="006114C9"/>
    <w:rsid w:val="0061152D"/>
    <w:rsid w:val="006115A4"/>
    <w:rsid w:val="006115E9"/>
    <w:rsid w:val="00611674"/>
    <w:rsid w:val="00611676"/>
    <w:rsid w:val="00611BC4"/>
    <w:rsid w:val="00611C21"/>
    <w:rsid w:val="00611D51"/>
    <w:rsid w:val="00611E46"/>
    <w:rsid w:val="0061216E"/>
    <w:rsid w:val="006121B2"/>
    <w:rsid w:val="00612361"/>
    <w:rsid w:val="006124B6"/>
    <w:rsid w:val="006124BE"/>
    <w:rsid w:val="0061251C"/>
    <w:rsid w:val="00612588"/>
    <w:rsid w:val="00612774"/>
    <w:rsid w:val="00612841"/>
    <w:rsid w:val="006128BE"/>
    <w:rsid w:val="00612955"/>
    <w:rsid w:val="00612B2E"/>
    <w:rsid w:val="00612B7E"/>
    <w:rsid w:val="00612CCB"/>
    <w:rsid w:val="00612D9C"/>
    <w:rsid w:val="00612E45"/>
    <w:rsid w:val="00612F48"/>
    <w:rsid w:val="00613006"/>
    <w:rsid w:val="006131FA"/>
    <w:rsid w:val="006132F6"/>
    <w:rsid w:val="00613328"/>
    <w:rsid w:val="0061356A"/>
    <w:rsid w:val="00613732"/>
    <w:rsid w:val="0061377D"/>
    <w:rsid w:val="00613793"/>
    <w:rsid w:val="0061380D"/>
    <w:rsid w:val="0061381E"/>
    <w:rsid w:val="006138DF"/>
    <w:rsid w:val="00613A20"/>
    <w:rsid w:val="00613B77"/>
    <w:rsid w:val="00613F40"/>
    <w:rsid w:val="0061416C"/>
    <w:rsid w:val="006141FC"/>
    <w:rsid w:val="00614220"/>
    <w:rsid w:val="00614265"/>
    <w:rsid w:val="00614349"/>
    <w:rsid w:val="0061444B"/>
    <w:rsid w:val="006145B2"/>
    <w:rsid w:val="00614623"/>
    <w:rsid w:val="00614771"/>
    <w:rsid w:val="0061478C"/>
    <w:rsid w:val="00614794"/>
    <w:rsid w:val="006147E0"/>
    <w:rsid w:val="006148D5"/>
    <w:rsid w:val="006149F6"/>
    <w:rsid w:val="00614AEB"/>
    <w:rsid w:val="00614DBF"/>
    <w:rsid w:val="00614E91"/>
    <w:rsid w:val="00614F97"/>
    <w:rsid w:val="0061510A"/>
    <w:rsid w:val="0061523A"/>
    <w:rsid w:val="0061526A"/>
    <w:rsid w:val="006152D4"/>
    <w:rsid w:val="00615322"/>
    <w:rsid w:val="00615557"/>
    <w:rsid w:val="006159CC"/>
    <w:rsid w:val="00615AB7"/>
    <w:rsid w:val="00615BF0"/>
    <w:rsid w:val="00615C6E"/>
    <w:rsid w:val="00615C8B"/>
    <w:rsid w:val="00615C9E"/>
    <w:rsid w:val="00615E15"/>
    <w:rsid w:val="00615E57"/>
    <w:rsid w:val="00615EEE"/>
    <w:rsid w:val="00615EFA"/>
    <w:rsid w:val="00616172"/>
    <w:rsid w:val="0061635C"/>
    <w:rsid w:val="006163F6"/>
    <w:rsid w:val="006167FB"/>
    <w:rsid w:val="00616868"/>
    <w:rsid w:val="006168F5"/>
    <w:rsid w:val="00616911"/>
    <w:rsid w:val="006169B2"/>
    <w:rsid w:val="00616A12"/>
    <w:rsid w:val="00616B65"/>
    <w:rsid w:val="00616BAC"/>
    <w:rsid w:val="00616BBB"/>
    <w:rsid w:val="00616BCD"/>
    <w:rsid w:val="00616D2F"/>
    <w:rsid w:val="00616E28"/>
    <w:rsid w:val="00616E43"/>
    <w:rsid w:val="00616FCB"/>
    <w:rsid w:val="006170C4"/>
    <w:rsid w:val="006170F7"/>
    <w:rsid w:val="0061719F"/>
    <w:rsid w:val="0061727F"/>
    <w:rsid w:val="006173BD"/>
    <w:rsid w:val="0061774F"/>
    <w:rsid w:val="0061777E"/>
    <w:rsid w:val="00617A1F"/>
    <w:rsid w:val="00617A5B"/>
    <w:rsid w:val="00617C3D"/>
    <w:rsid w:val="00617DB0"/>
    <w:rsid w:val="00617E5C"/>
    <w:rsid w:val="00617FF7"/>
    <w:rsid w:val="006200E2"/>
    <w:rsid w:val="00620136"/>
    <w:rsid w:val="00620245"/>
    <w:rsid w:val="00620645"/>
    <w:rsid w:val="0062074D"/>
    <w:rsid w:val="00620835"/>
    <w:rsid w:val="00620911"/>
    <w:rsid w:val="00620A18"/>
    <w:rsid w:val="00620B5C"/>
    <w:rsid w:val="00621280"/>
    <w:rsid w:val="00621309"/>
    <w:rsid w:val="00621560"/>
    <w:rsid w:val="00621620"/>
    <w:rsid w:val="00621746"/>
    <w:rsid w:val="0062188F"/>
    <w:rsid w:val="0062189F"/>
    <w:rsid w:val="006218FA"/>
    <w:rsid w:val="00621A20"/>
    <w:rsid w:val="00621B8A"/>
    <w:rsid w:val="00621BDE"/>
    <w:rsid w:val="00621BF3"/>
    <w:rsid w:val="00621C32"/>
    <w:rsid w:val="00621D5D"/>
    <w:rsid w:val="00621EDF"/>
    <w:rsid w:val="00621F21"/>
    <w:rsid w:val="00621FC9"/>
    <w:rsid w:val="00622034"/>
    <w:rsid w:val="006220A1"/>
    <w:rsid w:val="006220A5"/>
    <w:rsid w:val="006220E8"/>
    <w:rsid w:val="00622324"/>
    <w:rsid w:val="00622330"/>
    <w:rsid w:val="00622395"/>
    <w:rsid w:val="00622573"/>
    <w:rsid w:val="006225F0"/>
    <w:rsid w:val="0062260B"/>
    <w:rsid w:val="0062262B"/>
    <w:rsid w:val="00622710"/>
    <w:rsid w:val="006227E1"/>
    <w:rsid w:val="006228F8"/>
    <w:rsid w:val="00622A88"/>
    <w:rsid w:val="00622C03"/>
    <w:rsid w:val="00622E60"/>
    <w:rsid w:val="00622E7D"/>
    <w:rsid w:val="00622F81"/>
    <w:rsid w:val="006230B1"/>
    <w:rsid w:val="00623121"/>
    <w:rsid w:val="006232E6"/>
    <w:rsid w:val="00623304"/>
    <w:rsid w:val="006233D0"/>
    <w:rsid w:val="0062345E"/>
    <w:rsid w:val="006235F7"/>
    <w:rsid w:val="0062381F"/>
    <w:rsid w:val="0062389D"/>
    <w:rsid w:val="006238A0"/>
    <w:rsid w:val="00623B5A"/>
    <w:rsid w:val="00623C1F"/>
    <w:rsid w:val="00623C27"/>
    <w:rsid w:val="00623E8F"/>
    <w:rsid w:val="00623F0B"/>
    <w:rsid w:val="00624062"/>
    <w:rsid w:val="0062406B"/>
    <w:rsid w:val="00624099"/>
    <w:rsid w:val="00624136"/>
    <w:rsid w:val="006242AA"/>
    <w:rsid w:val="00624361"/>
    <w:rsid w:val="006243F1"/>
    <w:rsid w:val="0062471C"/>
    <w:rsid w:val="00624793"/>
    <w:rsid w:val="006247E0"/>
    <w:rsid w:val="00624949"/>
    <w:rsid w:val="0062494B"/>
    <w:rsid w:val="006249F4"/>
    <w:rsid w:val="00624A49"/>
    <w:rsid w:val="00624B07"/>
    <w:rsid w:val="00624E8E"/>
    <w:rsid w:val="00624EC7"/>
    <w:rsid w:val="0062503D"/>
    <w:rsid w:val="00625045"/>
    <w:rsid w:val="00625293"/>
    <w:rsid w:val="0062540C"/>
    <w:rsid w:val="0062567B"/>
    <w:rsid w:val="00625882"/>
    <w:rsid w:val="0062591D"/>
    <w:rsid w:val="00625A32"/>
    <w:rsid w:val="00625AB6"/>
    <w:rsid w:val="00625BC2"/>
    <w:rsid w:val="00625DFC"/>
    <w:rsid w:val="00625E16"/>
    <w:rsid w:val="00625E94"/>
    <w:rsid w:val="00625FF0"/>
    <w:rsid w:val="0062606C"/>
    <w:rsid w:val="006260F6"/>
    <w:rsid w:val="006261D1"/>
    <w:rsid w:val="00626381"/>
    <w:rsid w:val="006263E1"/>
    <w:rsid w:val="006264B3"/>
    <w:rsid w:val="006264C5"/>
    <w:rsid w:val="0062656E"/>
    <w:rsid w:val="00626834"/>
    <w:rsid w:val="00626965"/>
    <w:rsid w:val="006269E0"/>
    <w:rsid w:val="00626A34"/>
    <w:rsid w:val="00626B69"/>
    <w:rsid w:val="00626B92"/>
    <w:rsid w:val="00626F7B"/>
    <w:rsid w:val="00626FE6"/>
    <w:rsid w:val="00627016"/>
    <w:rsid w:val="0062753C"/>
    <w:rsid w:val="006275B2"/>
    <w:rsid w:val="00627622"/>
    <w:rsid w:val="006277E9"/>
    <w:rsid w:val="00627824"/>
    <w:rsid w:val="006278AD"/>
    <w:rsid w:val="006278FC"/>
    <w:rsid w:val="0062796B"/>
    <w:rsid w:val="00627C2D"/>
    <w:rsid w:val="00627C8E"/>
    <w:rsid w:val="00627CC2"/>
    <w:rsid w:val="00627E6D"/>
    <w:rsid w:val="00627E71"/>
    <w:rsid w:val="00630021"/>
    <w:rsid w:val="006302F9"/>
    <w:rsid w:val="006303C5"/>
    <w:rsid w:val="006305A7"/>
    <w:rsid w:val="006305F7"/>
    <w:rsid w:val="00630763"/>
    <w:rsid w:val="006307B1"/>
    <w:rsid w:val="00630B01"/>
    <w:rsid w:val="00630B02"/>
    <w:rsid w:val="00630BD1"/>
    <w:rsid w:val="00630C4E"/>
    <w:rsid w:val="00630ED2"/>
    <w:rsid w:val="00630F0E"/>
    <w:rsid w:val="00630F68"/>
    <w:rsid w:val="006311B1"/>
    <w:rsid w:val="00631489"/>
    <w:rsid w:val="006314CE"/>
    <w:rsid w:val="006315DF"/>
    <w:rsid w:val="00631639"/>
    <w:rsid w:val="0063173E"/>
    <w:rsid w:val="00631810"/>
    <w:rsid w:val="00631A75"/>
    <w:rsid w:val="00631BC8"/>
    <w:rsid w:val="006320D1"/>
    <w:rsid w:val="0063225E"/>
    <w:rsid w:val="00632613"/>
    <w:rsid w:val="00632928"/>
    <w:rsid w:val="00632A49"/>
    <w:rsid w:val="00632B01"/>
    <w:rsid w:val="00632BA8"/>
    <w:rsid w:val="00632BB7"/>
    <w:rsid w:val="00632C9B"/>
    <w:rsid w:val="00633171"/>
    <w:rsid w:val="006334B5"/>
    <w:rsid w:val="0063358B"/>
    <w:rsid w:val="006338FC"/>
    <w:rsid w:val="0063393F"/>
    <w:rsid w:val="006339B6"/>
    <w:rsid w:val="00633C6C"/>
    <w:rsid w:val="00633DC2"/>
    <w:rsid w:val="00633ECE"/>
    <w:rsid w:val="0063406B"/>
    <w:rsid w:val="00634199"/>
    <w:rsid w:val="006343D3"/>
    <w:rsid w:val="00634728"/>
    <w:rsid w:val="00634745"/>
    <w:rsid w:val="00634A80"/>
    <w:rsid w:val="00634BCC"/>
    <w:rsid w:val="00634E81"/>
    <w:rsid w:val="00634EB1"/>
    <w:rsid w:val="00634F80"/>
    <w:rsid w:val="006350B9"/>
    <w:rsid w:val="0063519A"/>
    <w:rsid w:val="006352D6"/>
    <w:rsid w:val="006353CD"/>
    <w:rsid w:val="006354E7"/>
    <w:rsid w:val="0063577E"/>
    <w:rsid w:val="0063579E"/>
    <w:rsid w:val="00635865"/>
    <w:rsid w:val="00635893"/>
    <w:rsid w:val="006359CE"/>
    <w:rsid w:val="00635C77"/>
    <w:rsid w:val="00635D2E"/>
    <w:rsid w:val="00635D8C"/>
    <w:rsid w:val="00635DB6"/>
    <w:rsid w:val="00635E5E"/>
    <w:rsid w:val="00635EE5"/>
    <w:rsid w:val="00635EF8"/>
    <w:rsid w:val="00636023"/>
    <w:rsid w:val="006363DB"/>
    <w:rsid w:val="006364A6"/>
    <w:rsid w:val="006366F7"/>
    <w:rsid w:val="006368BC"/>
    <w:rsid w:val="00636A30"/>
    <w:rsid w:val="00636B4D"/>
    <w:rsid w:val="00636C06"/>
    <w:rsid w:val="00636CE5"/>
    <w:rsid w:val="00636EAD"/>
    <w:rsid w:val="00636ECB"/>
    <w:rsid w:val="00636F63"/>
    <w:rsid w:val="00637034"/>
    <w:rsid w:val="00637140"/>
    <w:rsid w:val="00637619"/>
    <w:rsid w:val="00637829"/>
    <w:rsid w:val="006378E8"/>
    <w:rsid w:val="00637986"/>
    <w:rsid w:val="006379E8"/>
    <w:rsid w:val="00637A5C"/>
    <w:rsid w:val="00637B23"/>
    <w:rsid w:val="00637B48"/>
    <w:rsid w:val="00637BCD"/>
    <w:rsid w:val="00637F84"/>
    <w:rsid w:val="00640306"/>
    <w:rsid w:val="00640536"/>
    <w:rsid w:val="00640633"/>
    <w:rsid w:val="0064068C"/>
    <w:rsid w:val="006408BA"/>
    <w:rsid w:val="00640B27"/>
    <w:rsid w:val="00640D79"/>
    <w:rsid w:val="00640E2B"/>
    <w:rsid w:val="00640EE1"/>
    <w:rsid w:val="006410AD"/>
    <w:rsid w:val="006411F2"/>
    <w:rsid w:val="00641219"/>
    <w:rsid w:val="0064165E"/>
    <w:rsid w:val="006416DB"/>
    <w:rsid w:val="006417A7"/>
    <w:rsid w:val="00641992"/>
    <w:rsid w:val="00641C68"/>
    <w:rsid w:val="00641C81"/>
    <w:rsid w:val="00641D16"/>
    <w:rsid w:val="00641D27"/>
    <w:rsid w:val="00641EB1"/>
    <w:rsid w:val="00641EF3"/>
    <w:rsid w:val="00641FEA"/>
    <w:rsid w:val="00642293"/>
    <w:rsid w:val="006422CE"/>
    <w:rsid w:val="0064233A"/>
    <w:rsid w:val="0064233E"/>
    <w:rsid w:val="006423EB"/>
    <w:rsid w:val="0064248E"/>
    <w:rsid w:val="006424D2"/>
    <w:rsid w:val="00642547"/>
    <w:rsid w:val="00642635"/>
    <w:rsid w:val="006429B5"/>
    <w:rsid w:val="00642F9C"/>
    <w:rsid w:val="00643163"/>
    <w:rsid w:val="006431BE"/>
    <w:rsid w:val="00643210"/>
    <w:rsid w:val="00643417"/>
    <w:rsid w:val="006435A7"/>
    <w:rsid w:val="00643633"/>
    <w:rsid w:val="006436B9"/>
    <w:rsid w:val="006437C9"/>
    <w:rsid w:val="0064380A"/>
    <w:rsid w:val="006438A5"/>
    <w:rsid w:val="00643C12"/>
    <w:rsid w:val="00643CFB"/>
    <w:rsid w:val="00643D31"/>
    <w:rsid w:val="00643E2C"/>
    <w:rsid w:val="00643FFE"/>
    <w:rsid w:val="0064417C"/>
    <w:rsid w:val="00644366"/>
    <w:rsid w:val="006445EC"/>
    <w:rsid w:val="006446FD"/>
    <w:rsid w:val="006446FF"/>
    <w:rsid w:val="00644743"/>
    <w:rsid w:val="006447A9"/>
    <w:rsid w:val="006449C2"/>
    <w:rsid w:val="00644A9C"/>
    <w:rsid w:val="00644AD4"/>
    <w:rsid w:val="00644CEB"/>
    <w:rsid w:val="00644DBE"/>
    <w:rsid w:val="00644E37"/>
    <w:rsid w:val="00644F67"/>
    <w:rsid w:val="00645174"/>
    <w:rsid w:val="00645189"/>
    <w:rsid w:val="00645256"/>
    <w:rsid w:val="006454FA"/>
    <w:rsid w:val="00645574"/>
    <w:rsid w:val="006457DD"/>
    <w:rsid w:val="0064585F"/>
    <w:rsid w:val="0064586A"/>
    <w:rsid w:val="006459AA"/>
    <w:rsid w:val="00645A88"/>
    <w:rsid w:val="00645B0C"/>
    <w:rsid w:val="00645B9F"/>
    <w:rsid w:val="0064603C"/>
    <w:rsid w:val="006461EF"/>
    <w:rsid w:val="006463C4"/>
    <w:rsid w:val="00646429"/>
    <w:rsid w:val="0064643D"/>
    <w:rsid w:val="00646603"/>
    <w:rsid w:val="0064677A"/>
    <w:rsid w:val="00646927"/>
    <w:rsid w:val="006469C7"/>
    <w:rsid w:val="00646BBE"/>
    <w:rsid w:val="00646CD1"/>
    <w:rsid w:val="00646CDF"/>
    <w:rsid w:val="00646CF1"/>
    <w:rsid w:val="00646DD1"/>
    <w:rsid w:val="006470B7"/>
    <w:rsid w:val="006471B6"/>
    <w:rsid w:val="0064739E"/>
    <w:rsid w:val="00647533"/>
    <w:rsid w:val="006475D1"/>
    <w:rsid w:val="00647811"/>
    <w:rsid w:val="00647AAF"/>
    <w:rsid w:val="00647B3F"/>
    <w:rsid w:val="00647B8F"/>
    <w:rsid w:val="00647BE0"/>
    <w:rsid w:val="00647CD2"/>
    <w:rsid w:val="00647D07"/>
    <w:rsid w:val="00647E30"/>
    <w:rsid w:val="00647E74"/>
    <w:rsid w:val="00647EF6"/>
    <w:rsid w:val="00647F1D"/>
    <w:rsid w:val="00647F4C"/>
    <w:rsid w:val="00647F5D"/>
    <w:rsid w:val="00650091"/>
    <w:rsid w:val="00650097"/>
    <w:rsid w:val="00650308"/>
    <w:rsid w:val="0065045C"/>
    <w:rsid w:val="006504A9"/>
    <w:rsid w:val="006504B7"/>
    <w:rsid w:val="00650734"/>
    <w:rsid w:val="00650822"/>
    <w:rsid w:val="00650A6D"/>
    <w:rsid w:val="00650DBE"/>
    <w:rsid w:val="00650DED"/>
    <w:rsid w:val="00650E47"/>
    <w:rsid w:val="00650E89"/>
    <w:rsid w:val="00650E8B"/>
    <w:rsid w:val="00651143"/>
    <w:rsid w:val="00651223"/>
    <w:rsid w:val="0065122C"/>
    <w:rsid w:val="0065126F"/>
    <w:rsid w:val="0065139C"/>
    <w:rsid w:val="006513AC"/>
    <w:rsid w:val="00651423"/>
    <w:rsid w:val="006514C8"/>
    <w:rsid w:val="006515E1"/>
    <w:rsid w:val="006516B1"/>
    <w:rsid w:val="006516E4"/>
    <w:rsid w:val="006517AA"/>
    <w:rsid w:val="006519BE"/>
    <w:rsid w:val="00651A38"/>
    <w:rsid w:val="00651ED2"/>
    <w:rsid w:val="00651F17"/>
    <w:rsid w:val="006520BF"/>
    <w:rsid w:val="006521D6"/>
    <w:rsid w:val="006522A1"/>
    <w:rsid w:val="006525CD"/>
    <w:rsid w:val="00652607"/>
    <w:rsid w:val="006526A9"/>
    <w:rsid w:val="006526B5"/>
    <w:rsid w:val="006527BD"/>
    <w:rsid w:val="006527C7"/>
    <w:rsid w:val="006528F5"/>
    <w:rsid w:val="0065298F"/>
    <w:rsid w:val="00652A35"/>
    <w:rsid w:val="00652CD6"/>
    <w:rsid w:val="00653003"/>
    <w:rsid w:val="00653126"/>
    <w:rsid w:val="0065317C"/>
    <w:rsid w:val="00653486"/>
    <w:rsid w:val="00653983"/>
    <w:rsid w:val="006539DF"/>
    <w:rsid w:val="00653A54"/>
    <w:rsid w:val="00653A71"/>
    <w:rsid w:val="00653A99"/>
    <w:rsid w:val="00653B4B"/>
    <w:rsid w:val="00653EC4"/>
    <w:rsid w:val="006541D8"/>
    <w:rsid w:val="00654374"/>
    <w:rsid w:val="0065456D"/>
    <w:rsid w:val="006545E9"/>
    <w:rsid w:val="0065467F"/>
    <w:rsid w:val="006546D2"/>
    <w:rsid w:val="00654866"/>
    <w:rsid w:val="006549BA"/>
    <w:rsid w:val="00654A1D"/>
    <w:rsid w:val="00654A35"/>
    <w:rsid w:val="00654C90"/>
    <w:rsid w:val="00654CA0"/>
    <w:rsid w:val="006550C3"/>
    <w:rsid w:val="006552BE"/>
    <w:rsid w:val="00655507"/>
    <w:rsid w:val="006556B6"/>
    <w:rsid w:val="006557DC"/>
    <w:rsid w:val="006559F0"/>
    <w:rsid w:val="00655AF9"/>
    <w:rsid w:val="00655CAB"/>
    <w:rsid w:val="00655CB6"/>
    <w:rsid w:val="00655CE0"/>
    <w:rsid w:val="00655D25"/>
    <w:rsid w:val="00655D8E"/>
    <w:rsid w:val="00655F34"/>
    <w:rsid w:val="00656024"/>
    <w:rsid w:val="006560CD"/>
    <w:rsid w:val="006560E1"/>
    <w:rsid w:val="006560F4"/>
    <w:rsid w:val="0065612B"/>
    <w:rsid w:val="006561F5"/>
    <w:rsid w:val="006564A9"/>
    <w:rsid w:val="0065672F"/>
    <w:rsid w:val="00656A0F"/>
    <w:rsid w:val="00656A68"/>
    <w:rsid w:val="00656A9E"/>
    <w:rsid w:val="00656D60"/>
    <w:rsid w:val="00656D70"/>
    <w:rsid w:val="00656E97"/>
    <w:rsid w:val="00656F55"/>
    <w:rsid w:val="006571F6"/>
    <w:rsid w:val="006572A2"/>
    <w:rsid w:val="00657389"/>
    <w:rsid w:val="00657651"/>
    <w:rsid w:val="0065786B"/>
    <w:rsid w:val="006578CE"/>
    <w:rsid w:val="00657964"/>
    <w:rsid w:val="00657A87"/>
    <w:rsid w:val="00657ED2"/>
    <w:rsid w:val="00657F06"/>
    <w:rsid w:val="00657FEB"/>
    <w:rsid w:val="00660042"/>
    <w:rsid w:val="006602C8"/>
    <w:rsid w:val="0066048B"/>
    <w:rsid w:val="00660797"/>
    <w:rsid w:val="0066080B"/>
    <w:rsid w:val="0066088B"/>
    <w:rsid w:val="00660DE0"/>
    <w:rsid w:val="00660EF1"/>
    <w:rsid w:val="00660F30"/>
    <w:rsid w:val="0066114F"/>
    <w:rsid w:val="0066116E"/>
    <w:rsid w:val="00661487"/>
    <w:rsid w:val="00661562"/>
    <w:rsid w:val="00661567"/>
    <w:rsid w:val="0066164B"/>
    <w:rsid w:val="006616A1"/>
    <w:rsid w:val="00661820"/>
    <w:rsid w:val="00661ABA"/>
    <w:rsid w:val="00661B83"/>
    <w:rsid w:val="00661BB3"/>
    <w:rsid w:val="00661D05"/>
    <w:rsid w:val="00661D08"/>
    <w:rsid w:val="00661D14"/>
    <w:rsid w:val="00661D95"/>
    <w:rsid w:val="00661E89"/>
    <w:rsid w:val="00662023"/>
    <w:rsid w:val="0066208B"/>
    <w:rsid w:val="00662206"/>
    <w:rsid w:val="0066233E"/>
    <w:rsid w:val="006623FF"/>
    <w:rsid w:val="00662433"/>
    <w:rsid w:val="00662442"/>
    <w:rsid w:val="006626CE"/>
    <w:rsid w:val="006626DB"/>
    <w:rsid w:val="00662B50"/>
    <w:rsid w:val="00662EB7"/>
    <w:rsid w:val="006631C7"/>
    <w:rsid w:val="006633E4"/>
    <w:rsid w:val="00663561"/>
    <w:rsid w:val="00663581"/>
    <w:rsid w:val="0066379E"/>
    <w:rsid w:val="006637D5"/>
    <w:rsid w:val="0066391C"/>
    <w:rsid w:val="0066393F"/>
    <w:rsid w:val="0066395B"/>
    <w:rsid w:val="00663CF6"/>
    <w:rsid w:val="00663D6D"/>
    <w:rsid w:val="006640D4"/>
    <w:rsid w:val="006640E2"/>
    <w:rsid w:val="00664373"/>
    <w:rsid w:val="006643AE"/>
    <w:rsid w:val="006643E0"/>
    <w:rsid w:val="006646C2"/>
    <w:rsid w:val="00664869"/>
    <w:rsid w:val="006649C1"/>
    <w:rsid w:val="006649FB"/>
    <w:rsid w:val="00664AE2"/>
    <w:rsid w:val="00664B2B"/>
    <w:rsid w:val="00664BE7"/>
    <w:rsid w:val="00664C69"/>
    <w:rsid w:val="0066508C"/>
    <w:rsid w:val="0066513C"/>
    <w:rsid w:val="00665222"/>
    <w:rsid w:val="0066528F"/>
    <w:rsid w:val="006652D0"/>
    <w:rsid w:val="006652E6"/>
    <w:rsid w:val="00665410"/>
    <w:rsid w:val="00665610"/>
    <w:rsid w:val="0066576B"/>
    <w:rsid w:val="0066590B"/>
    <w:rsid w:val="00665AB4"/>
    <w:rsid w:val="00665AD3"/>
    <w:rsid w:val="00665B43"/>
    <w:rsid w:val="00665C70"/>
    <w:rsid w:val="00665D5A"/>
    <w:rsid w:val="00665E57"/>
    <w:rsid w:val="00665EDB"/>
    <w:rsid w:val="00665F4C"/>
    <w:rsid w:val="0066624F"/>
    <w:rsid w:val="00666268"/>
    <w:rsid w:val="006663BA"/>
    <w:rsid w:val="00666506"/>
    <w:rsid w:val="0066663A"/>
    <w:rsid w:val="00666730"/>
    <w:rsid w:val="0066679E"/>
    <w:rsid w:val="006669CF"/>
    <w:rsid w:val="00666C67"/>
    <w:rsid w:val="00666FE2"/>
    <w:rsid w:val="006671C8"/>
    <w:rsid w:val="00667203"/>
    <w:rsid w:val="00667225"/>
    <w:rsid w:val="006672D1"/>
    <w:rsid w:val="006674D8"/>
    <w:rsid w:val="006675D2"/>
    <w:rsid w:val="00667789"/>
    <w:rsid w:val="0066788F"/>
    <w:rsid w:val="00667A2A"/>
    <w:rsid w:val="00667AFF"/>
    <w:rsid w:val="00667B8C"/>
    <w:rsid w:val="00667C2D"/>
    <w:rsid w:val="00667D95"/>
    <w:rsid w:val="00667E35"/>
    <w:rsid w:val="00667E59"/>
    <w:rsid w:val="00667FF2"/>
    <w:rsid w:val="006701B4"/>
    <w:rsid w:val="00670283"/>
    <w:rsid w:val="006703BE"/>
    <w:rsid w:val="00670525"/>
    <w:rsid w:val="00670601"/>
    <w:rsid w:val="0067077D"/>
    <w:rsid w:val="006708A4"/>
    <w:rsid w:val="00670956"/>
    <w:rsid w:val="006709AE"/>
    <w:rsid w:val="006709C4"/>
    <w:rsid w:val="00670AE8"/>
    <w:rsid w:val="00670B73"/>
    <w:rsid w:val="00670C48"/>
    <w:rsid w:val="00670D90"/>
    <w:rsid w:val="00670DDE"/>
    <w:rsid w:val="00670FE4"/>
    <w:rsid w:val="00670FE6"/>
    <w:rsid w:val="00671032"/>
    <w:rsid w:val="0067104F"/>
    <w:rsid w:val="0067114B"/>
    <w:rsid w:val="00671180"/>
    <w:rsid w:val="0067154F"/>
    <w:rsid w:val="006717C5"/>
    <w:rsid w:val="0067193C"/>
    <w:rsid w:val="00671A46"/>
    <w:rsid w:val="00671BF0"/>
    <w:rsid w:val="00671C16"/>
    <w:rsid w:val="00671C3C"/>
    <w:rsid w:val="00671D12"/>
    <w:rsid w:val="00671D7F"/>
    <w:rsid w:val="00671DE9"/>
    <w:rsid w:val="00671EE3"/>
    <w:rsid w:val="00672193"/>
    <w:rsid w:val="00672230"/>
    <w:rsid w:val="006722EA"/>
    <w:rsid w:val="006723B7"/>
    <w:rsid w:val="0067243C"/>
    <w:rsid w:val="006725AA"/>
    <w:rsid w:val="00672745"/>
    <w:rsid w:val="0067287A"/>
    <w:rsid w:val="0067287E"/>
    <w:rsid w:val="00672942"/>
    <w:rsid w:val="00672C4A"/>
    <w:rsid w:val="00672C91"/>
    <w:rsid w:val="00672D5A"/>
    <w:rsid w:val="00672DFD"/>
    <w:rsid w:val="00672E4B"/>
    <w:rsid w:val="006731CA"/>
    <w:rsid w:val="0067323F"/>
    <w:rsid w:val="006734FF"/>
    <w:rsid w:val="00673656"/>
    <w:rsid w:val="0067380A"/>
    <w:rsid w:val="0067397C"/>
    <w:rsid w:val="00673CDC"/>
    <w:rsid w:val="00673EC3"/>
    <w:rsid w:val="00673F0C"/>
    <w:rsid w:val="00674008"/>
    <w:rsid w:val="00674286"/>
    <w:rsid w:val="00674387"/>
    <w:rsid w:val="0067452E"/>
    <w:rsid w:val="00674547"/>
    <w:rsid w:val="006745AC"/>
    <w:rsid w:val="00674622"/>
    <w:rsid w:val="00674664"/>
    <w:rsid w:val="006746D5"/>
    <w:rsid w:val="00674770"/>
    <w:rsid w:val="00674A60"/>
    <w:rsid w:val="00674BD8"/>
    <w:rsid w:val="00674CB2"/>
    <w:rsid w:val="00674DAC"/>
    <w:rsid w:val="00674DCA"/>
    <w:rsid w:val="00674FD6"/>
    <w:rsid w:val="00674FF3"/>
    <w:rsid w:val="00675013"/>
    <w:rsid w:val="00675092"/>
    <w:rsid w:val="006750DA"/>
    <w:rsid w:val="00675141"/>
    <w:rsid w:val="006751AD"/>
    <w:rsid w:val="006752BA"/>
    <w:rsid w:val="00675370"/>
    <w:rsid w:val="006754D1"/>
    <w:rsid w:val="00675534"/>
    <w:rsid w:val="006755AA"/>
    <w:rsid w:val="006755B0"/>
    <w:rsid w:val="0067575A"/>
    <w:rsid w:val="0067575C"/>
    <w:rsid w:val="00675B0D"/>
    <w:rsid w:val="00675B79"/>
    <w:rsid w:val="00675B84"/>
    <w:rsid w:val="00675BCA"/>
    <w:rsid w:val="00675C3E"/>
    <w:rsid w:val="00675CD5"/>
    <w:rsid w:val="00675E1D"/>
    <w:rsid w:val="006760C6"/>
    <w:rsid w:val="0067616F"/>
    <w:rsid w:val="0067628E"/>
    <w:rsid w:val="00676543"/>
    <w:rsid w:val="00676674"/>
    <w:rsid w:val="006768ED"/>
    <w:rsid w:val="006769BA"/>
    <w:rsid w:val="006769EF"/>
    <w:rsid w:val="00676AE8"/>
    <w:rsid w:val="00676BC5"/>
    <w:rsid w:val="0067721B"/>
    <w:rsid w:val="0067755A"/>
    <w:rsid w:val="00677578"/>
    <w:rsid w:val="006775A3"/>
    <w:rsid w:val="006776A0"/>
    <w:rsid w:val="0067778A"/>
    <w:rsid w:val="0067798E"/>
    <w:rsid w:val="00677C28"/>
    <w:rsid w:val="00677D85"/>
    <w:rsid w:val="00677F1E"/>
    <w:rsid w:val="00677FB4"/>
    <w:rsid w:val="00677FC3"/>
    <w:rsid w:val="00680124"/>
    <w:rsid w:val="0068030D"/>
    <w:rsid w:val="0068035C"/>
    <w:rsid w:val="006804A6"/>
    <w:rsid w:val="006804E1"/>
    <w:rsid w:val="006804E9"/>
    <w:rsid w:val="00680544"/>
    <w:rsid w:val="00680698"/>
    <w:rsid w:val="006808B7"/>
    <w:rsid w:val="00680907"/>
    <w:rsid w:val="006809FC"/>
    <w:rsid w:val="00680AC7"/>
    <w:rsid w:val="00680B9B"/>
    <w:rsid w:val="00680C7A"/>
    <w:rsid w:val="00680E3D"/>
    <w:rsid w:val="00680E4D"/>
    <w:rsid w:val="00680F2D"/>
    <w:rsid w:val="00680F53"/>
    <w:rsid w:val="00680F65"/>
    <w:rsid w:val="00680F97"/>
    <w:rsid w:val="0068103F"/>
    <w:rsid w:val="006814EF"/>
    <w:rsid w:val="00681622"/>
    <w:rsid w:val="00681657"/>
    <w:rsid w:val="0068174C"/>
    <w:rsid w:val="00681909"/>
    <w:rsid w:val="006819C2"/>
    <w:rsid w:val="00681B6F"/>
    <w:rsid w:val="00681C7A"/>
    <w:rsid w:val="00681F19"/>
    <w:rsid w:val="00682214"/>
    <w:rsid w:val="006822DB"/>
    <w:rsid w:val="006823BD"/>
    <w:rsid w:val="0068251A"/>
    <w:rsid w:val="0068256D"/>
    <w:rsid w:val="00682663"/>
    <w:rsid w:val="00682707"/>
    <w:rsid w:val="00682782"/>
    <w:rsid w:val="00682AD5"/>
    <w:rsid w:val="00682B08"/>
    <w:rsid w:val="00682D1E"/>
    <w:rsid w:val="00682D86"/>
    <w:rsid w:val="00682FB0"/>
    <w:rsid w:val="00683161"/>
    <w:rsid w:val="00683476"/>
    <w:rsid w:val="00683588"/>
    <w:rsid w:val="00683596"/>
    <w:rsid w:val="00683B58"/>
    <w:rsid w:val="00683BA4"/>
    <w:rsid w:val="00683C6D"/>
    <w:rsid w:val="00683E68"/>
    <w:rsid w:val="00683F37"/>
    <w:rsid w:val="00684109"/>
    <w:rsid w:val="00684194"/>
    <w:rsid w:val="0068419B"/>
    <w:rsid w:val="00684378"/>
    <w:rsid w:val="0068439B"/>
    <w:rsid w:val="006843D8"/>
    <w:rsid w:val="0068444F"/>
    <w:rsid w:val="006845D1"/>
    <w:rsid w:val="0068465B"/>
    <w:rsid w:val="006846BA"/>
    <w:rsid w:val="006847B7"/>
    <w:rsid w:val="0068484A"/>
    <w:rsid w:val="00684A6D"/>
    <w:rsid w:val="00684AF0"/>
    <w:rsid w:val="00684C6C"/>
    <w:rsid w:val="00684D45"/>
    <w:rsid w:val="00684D63"/>
    <w:rsid w:val="00684D99"/>
    <w:rsid w:val="00684E51"/>
    <w:rsid w:val="00684F22"/>
    <w:rsid w:val="00684F54"/>
    <w:rsid w:val="00684FC7"/>
    <w:rsid w:val="00684FF8"/>
    <w:rsid w:val="00685011"/>
    <w:rsid w:val="006850A2"/>
    <w:rsid w:val="006852B3"/>
    <w:rsid w:val="006852D1"/>
    <w:rsid w:val="0068538E"/>
    <w:rsid w:val="00685480"/>
    <w:rsid w:val="0068562A"/>
    <w:rsid w:val="00685650"/>
    <w:rsid w:val="006856F3"/>
    <w:rsid w:val="0068578E"/>
    <w:rsid w:val="0068593D"/>
    <w:rsid w:val="006859BF"/>
    <w:rsid w:val="00685A13"/>
    <w:rsid w:val="00685A86"/>
    <w:rsid w:val="00685D8F"/>
    <w:rsid w:val="00685E82"/>
    <w:rsid w:val="00685F55"/>
    <w:rsid w:val="00686065"/>
    <w:rsid w:val="006862EA"/>
    <w:rsid w:val="00686329"/>
    <w:rsid w:val="006863E8"/>
    <w:rsid w:val="00686682"/>
    <w:rsid w:val="006868DF"/>
    <w:rsid w:val="00686980"/>
    <w:rsid w:val="00686C47"/>
    <w:rsid w:val="00686CB9"/>
    <w:rsid w:val="00686CBC"/>
    <w:rsid w:val="00686D32"/>
    <w:rsid w:val="00686D7F"/>
    <w:rsid w:val="00686E89"/>
    <w:rsid w:val="00686EDA"/>
    <w:rsid w:val="00686FE6"/>
    <w:rsid w:val="006870FC"/>
    <w:rsid w:val="0068721C"/>
    <w:rsid w:val="00687296"/>
    <w:rsid w:val="00687319"/>
    <w:rsid w:val="00687393"/>
    <w:rsid w:val="0068756D"/>
    <w:rsid w:val="006875FB"/>
    <w:rsid w:val="0068765F"/>
    <w:rsid w:val="006877C9"/>
    <w:rsid w:val="006877FB"/>
    <w:rsid w:val="006877FD"/>
    <w:rsid w:val="006878BF"/>
    <w:rsid w:val="00687BFB"/>
    <w:rsid w:val="00687EC8"/>
    <w:rsid w:val="00690342"/>
    <w:rsid w:val="0069035C"/>
    <w:rsid w:val="00690368"/>
    <w:rsid w:val="006903B4"/>
    <w:rsid w:val="006903BC"/>
    <w:rsid w:val="006905B9"/>
    <w:rsid w:val="006905EF"/>
    <w:rsid w:val="00690641"/>
    <w:rsid w:val="00690743"/>
    <w:rsid w:val="006907C8"/>
    <w:rsid w:val="006908AC"/>
    <w:rsid w:val="006908BE"/>
    <w:rsid w:val="0069090E"/>
    <w:rsid w:val="00690979"/>
    <w:rsid w:val="00690980"/>
    <w:rsid w:val="006909B7"/>
    <w:rsid w:val="00690A1B"/>
    <w:rsid w:val="00690C72"/>
    <w:rsid w:val="00690C83"/>
    <w:rsid w:val="00690D6E"/>
    <w:rsid w:val="00690ED3"/>
    <w:rsid w:val="00690FA7"/>
    <w:rsid w:val="00691153"/>
    <w:rsid w:val="0069119C"/>
    <w:rsid w:val="006911B1"/>
    <w:rsid w:val="00691413"/>
    <w:rsid w:val="00691785"/>
    <w:rsid w:val="006918B9"/>
    <w:rsid w:val="0069196F"/>
    <w:rsid w:val="006919AC"/>
    <w:rsid w:val="00691BDD"/>
    <w:rsid w:val="00691C03"/>
    <w:rsid w:val="00691EDF"/>
    <w:rsid w:val="00691F44"/>
    <w:rsid w:val="006921C7"/>
    <w:rsid w:val="006921ED"/>
    <w:rsid w:val="00692424"/>
    <w:rsid w:val="00692476"/>
    <w:rsid w:val="00692507"/>
    <w:rsid w:val="0069272E"/>
    <w:rsid w:val="00692859"/>
    <w:rsid w:val="00692928"/>
    <w:rsid w:val="006929FB"/>
    <w:rsid w:val="00692A27"/>
    <w:rsid w:val="00692A2F"/>
    <w:rsid w:val="00692BB1"/>
    <w:rsid w:val="00692C50"/>
    <w:rsid w:val="00692C56"/>
    <w:rsid w:val="00692C7D"/>
    <w:rsid w:val="00692E39"/>
    <w:rsid w:val="00692EF8"/>
    <w:rsid w:val="00692FBE"/>
    <w:rsid w:val="006930FA"/>
    <w:rsid w:val="006931AF"/>
    <w:rsid w:val="00693282"/>
    <w:rsid w:val="00693828"/>
    <w:rsid w:val="0069386C"/>
    <w:rsid w:val="00693876"/>
    <w:rsid w:val="0069388E"/>
    <w:rsid w:val="00693A58"/>
    <w:rsid w:val="00693AB7"/>
    <w:rsid w:val="00693CE3"/>
    <w:rsid w:val="00693D3E"/>
    <w:rsid w:val="00693E98"/>
    <w:rsid w:val="006940B4"/>
    <w:rsid w:val="0069425B"/>
    <w:rsid w:val="00694381"/>
    <w:rsid w:val="00694432"/>
    <w:rsid w:val="00694468"/>
    <w:rsid w:val="006944D0"/>
    <w:rsid w:val="006944F9"/>
    <w:rsid w:val="00694A31"/>
    <w:rsid w:val="00694AA7"/>
    <w:rsid w:val="00694BBC"/>
    <w:rsid w:val="00694BFC"/>
    <w:rsid w:val="00694C40"/>
    <w:rsid w:val="00694C41"/>
    <w:rsid w:val="00694C9A"/>
    <w:rsid w:val="00694D88"/>
    <w:rsid w:val="00695338"/>
    <w:rsid w:val="006955DC"/>
    <w:rsid w:val="006955DE"/>
    <w:rsid w:val="0069578E"/>
    <w:rsid w:val="00695806"/>
    <w:rsid w:val="00695877"/>
    <w:rsid w:val="0069597E"/>
    <w:rsid w:val="006959C1"/>
    <w:rsid w:val="006959DC"/>
    <w:rsid w:val="006959F6"/>
    <w:rsid w:val="00695A45"/>
    <w:rsid w:val="00695A68"/>
    <w:rsid w:val="00695B02"/>
    <w:rsid w:val="00695B1A"/>
    <w:rsid w:val="00695E3A"/>
    <w:rsid w:val="00695F6A"/>
    <w:rsid w:val="0069601F"/>
    <w:rsid w:val="006960C8"/>
    <w:rsid w:val="006960DC"/>
    <w:rsid w:val="006961A8"/>
    <w:rsid w:val="006963F9"/>
    <w:rsid w:val="00696498"/>
    <w:rsid w:val="0069674D"/>
    <w:rsid w:val="00696808"/>
    <w:rsid w:val="00696825"/>
    <w:rsid w:val="00696AE3"/>
    <w:rsid w:val="00696CBF"/>
    <w:rsid w:val="0069703F"/>
    <w:rsid w:val="006971F8"/>
    <w:rsid w:val="0069737B"/>
    <w:rsid w:val="006975DE"/>
    <w:rsid w:val="006977E3"/>
    <w:rsid w:val="006979D2"/>
    <w:rsid w:val="00697A0F"/>
    <w:rsid w:val="00697B79"/>
    <w:rsid w:val="00697C07"/>
    <w:rsid w:val="00697CDD"/>
    <w:rsid w:val="00697D51"/>
    <w:rsid w:val="00697E74"/>
    <w:rsid w:val="00697F76"/>
    <w:rsid w:val="006A0475"/>
    <w:rsid w:val="006A0598"/>
    <w:rsid w:val="006A0653"/>
    <w:rsid w:val="006A0877"/>
    <w:rsid w:val="006A0885"/>
    <w:rsid w:val="006A0910"/>
    <w:rsid w:val="006A0942"/>
    <w:rsid w:val="006A09D4"/>
    <w:rsid w:val="006A0BDE"/>
    <w:rsid w:val="006A0BFF"/>
    <w:rsid w:val="006A0C17"/>
    <w:rsid w:val="006A0F03"/>
    <w:rsid w:val="006A115B"/>
    <w:rsid w:val="006A123A"/>
    <w:rsid w:val="006A12E3"/>
    <w:rsid w:val="006A134F"/>
    <w:rsid w:val="006A1390"/>
    <w:rsid w:val="006A1420"/>
    <w:rsid w:val="006A149D"/>
    <w:rsid w:val="006A1636"/>
    <w:rsid w:val="006A165C"/>
    <w:rsid w:val="006A174A"/>
    <w:rsid w:val="006A17E1"/>
    <w:rsid w:val="006A1911"/>
    <w:rsid w:val="006A196A"/>
    <w:rsid w:val="006A197E"/>
    <w:rsid w:val="006A1B43"/>
    <w:rsid w:val="006A1B67"/>
    <w:rsid w:val="006A1C55"/>
    <w:rsid w:val="006A1C93"/>
    <w:rsid w:val="006A1D51"/>
    <w:rsid w:val="006A1ED1"/>
    <w:rsid w:val="006A1F48"/>
    <w:rsid w:val="006A202F"/>
    <w:rsid w:val="006A2270"/>
    <w:rsid w:val="006A2319"/>
    <w:rsid w:val="006A24BD"/>
    <w:rsid w:val="006A27C9"/>
    <w:rsid w:val="006A2978"/>
    <w:rsid w:val="006A29FA"/>
    <w:rsid w:val="006A2A08"/>
    <w:rsid w:val="006A2AFC"/>
    <w:rsid w:val="006A2B65"/>
    <w:rsid w:val="006A2B66"/>
    <w:rsid w:val="006A2BA8"/>
    <w:rsid w:val="006A2C16"/>
    <w:rsid w:val="006A2D65"/>
    <w:rsid w:val="006A2DC9"/>
    <w:rsid w:val="006A2E73"/>
    <w:rsid w:val="006A2F1F"/>
    <w:rsid w:val="006A3048"/>
    <w:rsid w:val="006A3200"/>
    <w:rsid w:val="006A3335"/>
    <w:rsid w:val="006A33DC"/>
    <w:rsid w:val="006A3525"/>
    <w:rsid w:val="006A35CB"/>
    <w:rsid w:val="006A35E7"/>
    <w:rsid w:val="006A3A41"/>
    <w:rsid w:val="006A3B1D"/>
    <w:rsid w:val="006A3CD8"/>
    <w:rsid w:val="006A3DE4"/>
    <w:rsid w:val="006A3FD5"/>
    <w:rsid w:val="006A401C"/>
    <w:rsid w:val="006A410F"/>
    <w:rsid w:val="006A4219"/>
    <w:rsid w:val="006A4243"/>
    <w:rsid w:val="006A42A5"/>
    <w:rsid w:val="006A43A3"/>
    <w:rsid w:val="006A48ED"/>
    <w:rsid w:val="006A4922"/>
    <w:rsid w:val="006A49CC"/>
    <w:rsid w:val="006A4CC4"/>
    <w:rsid w:val="006A4DB7"/>
    <w:rsid w:val="006A4DC7"/>
    <w:rsid w:val="006A4DF3"/>
    <w:rsid w:val="006A5124"/>
    <w:rsid w:val="006A51CF"/>
    <w:rsid w:val="006A522F"/>
    <w:rsid w:val="006A528B"/>
    <w:rsid w:val="006A53A3"/>
    <w:rsid w:val="006A597D"/>
    <w:rsid w:val="006A59B5"/>
    <w:rsid w:val="006A5A90"/>
    <w:rsid w:val="006A5BE3"/>
    <w:rsid w:val="006A5CF3"/>
    <w:rsid w:val="006A5E32"/>
    <w:rsid w:val="006A5E58"/>
    <w:rsid w:val="006A5F3E"/>
    <w:rsid w:val="006A5F71"/>
    <w:rsid w:val="006A6110"/>
    <w:rsid w:val="006A615B"/>
    <w:rsid w:val="006A6188"/>
    <w:rsid w:val="006A61CF"/>
    <w:rsid w:val="006A6381"/>
    <w:rsid w:val="006A640A"/>
    <w:rsid w:val="006A6423"/>
    <w:rsid w:val="006A6489"/>
    <w:rsid w:val="006A6617"/>
    <w:rsid w:val="006A6686"/>
    <w:rsid w:val="006A66C8"/>
    <w:rsid w:val="006A67E5"/>
    <w:rsid w:val="006A68D6"/>
    <w:rsid w:val="006A69D4"/>
    <w:rsid w:val="006A6A3E"/>
    <w:rsid w:val="006A6D01"/>
    <w:rsid w:val="006A6E69"/>
    <w:rsid w:val="006A6E6B"/>
    <w:rsid w:val="006A701C"/>
    <w:rsid w:val="006A722E"/>
    <w:rsid w:val="006A72B6"/>
    <w:rsid w:val="006A7312"/>
    <w:rsid w:val="006A7369"/>
    <w:rsid w:val="006A73EE"/>
    <w:rsid w:val="006A7402"/>
    <w:rsid w:val="006A748D"/>
    <w:rsid w:val="006A7720"/>
    <w:rsid w:val="006A7B5A"/>
    <w:rsid w:val="006A7CE6"/>
    <w:rsid w:val="006A7CFA"/>
    <w:rsid w:val="006A7E76"/>
    <w:rsid w:val="006A7E98"/>
    <w:rsid w:val="006A7FC0"/>
    <w:rsid w:val="006B0104"/>
    <w:rsid w:val="006B0134"/>
    <w:rsid w:val="006B0319"/>
    <w:rsid w:val="006B0AEA"/>
    <w:rsid w:val="006B0DB3"/>
    <w:rsid w:val="006B0DC2"/>
    <w:rsid w:val="006B0E48"/>
    <w:rsid w:val="006B0F81"/>
    <w:rsid w:val="006B12E6"/>
    <w:rsid w:val="006B14F9"/>
    <w:rsid w:val="006B1541"/>
    <w:rsid w:val="006B194C"/>
    <w:rsid w:val="006B1A0F"/>
    <w:rsid w:val="006B1A3E"/>
    <w:rsid w:val="006B1ADF"/>
    <w:rsid w:val="006B1BCE"/>
    <w:rsid w:val="006B1CE1"/>
    <w:rsid w:val="006B1E11"/>
    <w:rsid w:val="006B2059"/>
    <w:rsid w:val="006B2101"/>
    <w:rsid w:val="006B213B"/>
    <w:rsid w:val="006B23C2"/>
    <w:rsid w:val="006B244A"/>
    <w:rsid w:val="006B2619"/>
    <w:rsid w:val="006B26A4"/>
    <w:rsid w:val="006B28E9"/>
    <w:rsid w:val="006B29BF"/>
    <w:rsid w:val="006B2A90"/>
    <w:rsid w:val="006B2B6F"/>
    <w:rsid w:val="006B2C2F"/>
    <w:rsid w:val="006B2C9B"/>
    <w:rsid w:val="006B2DFD"/>
    <w:rsid w:val="006B2F2A"/>
    <w:rsid w:val="006B2F3E"/>
    <w:rsid w:val="006B2FB3"/>
    <w:rsid w:val="006B303B"/>
    <w:rsid w:val="006B31D5"/>
    <w:rsid w:val="006B3228"/>
    <w:rsid w:val="006B345B"/>
    <w:rsid w:val="006B3477"/>
    <w:rsid w:val="006B3517"/>
    <w:rsid w:val="006B3919"/>
    <w:rsid w:val="006B3969"/>
    <w:rsid w:val="006B3A02"/>
    <w:rsid w:val="006B3CA4"/>
    <w:rsid w:val="006B3CA5"/>
    <w:rsid w:val="006B3F56"/>
    <w:rsid w:val="006B403D"/>
    <w:rsid w:val="006B415A"/>
    <w:rsid w:val="006B4336"/>
    <w:rsid w:val="006B43C1"/>
    <w:rsid w:val="006B440C"/>
    <w:rsid w:val="006B4535"/>
    <w:rsid w:val="006B4682"/>
    <w:rsid w:val="006B47FE"/>
    <w:rsid w:val="006B496B"/>
    <w:rsid w:val="006B4A50"/>
    <w:rsid w:val="006B4CA9"/>
    <w:rsid w:val="006B4D29"/>
    <w:rsid w:val="006B4D45"/>
    <w:rsid w:val="006B4DFB"/>
    <w:rsid w:val="006B4EB3"/>
    <w:rsid w:val="006B50E1"/>
    <w:rsid w:val="006B513E"/>
    <w:rsid w:val="006B53A9"/>
    <w:rsid w:val="006B53C9"/>
    <w:rsid w:val="006B560E"/>
    <w:rsid w:val="006B57A5"/>
    <w:rsid w:val="006B581A"/>
    <w:rsid w:val="006B5842"/>
    <w:rsid w:val="006B5847"/>
    <w:rsid w:val="006B5993"/>
    <w:rsid w:val="006B5A0F"/>
    <w:rsid w:val="006B5A97"/>
    <w:rsid w:val="006B5AB0"/>
    <w:rsid w:val="006B5C9E"/>
    <w:rsid w:val="006B5D2F"/>
    <w:rsid w:val="006B5E4D"/>
    <w:rsid w:val="006B60AC"/>
    <w:rsid w:val="006B62E4"/>
    <w:rsid w:val="006B63EB"/>
    <w:rsid w:val="006B6403"/>
    <w:rsid w:val="006B64A3"/>
    <w:rsid w:val="006B64CE"/>
    <w:rsid w:val="006B659A"/>
    <w:rsid w:val="006B6869"/>
    <w:rsid w:val="006B6873"/>
    <w:rsid w:val="006B68F4"/>
    <w:rsid w:val="006B6925"/>
    <w:rsid w:val="006B696F"/>
    <w:rsid w:val="006B69D1"/>
    <w:rsid w:val="006B6C80"/>
    <w:rsid w:val="006B6F52"/>
    <w:rsid w:val="006B73F8"/>
    <w:rsid w:val="006B75B8"/>
    <w:rsid w:val="006B76AE"/>
    <w:rsid w:val="006B76EF"/>
    <w:rsid w:val="006B7710"/>
    <w:rsid w:val="006B77F5"/>
    <w:rsid w:val="006B782A"/>
    <w:rsid w:val="006B787B"/>
    <w:rsid w:val="006B7900"/>
    <w:rsid w:val="006B7BF9"/>
    <w:rsid w:val="006B7EC5"/>
    <w:rsid w:val="006B7F7B"/>
    <w:rsid w:val="006C00A8"/>
    <w:rsid w:val="006C01ED"/>
    <w:rsid w:val="006C0381"/>
    <w:rsid w:val="006C0652"/>
    <w:rsid w:val="006C069F"/>
    <w:rsid w:val="006C08C0"/>
    <w:rsid w:val="006C08FF"/>
    <w:rsid w:val="006C0903"/>
    <w:rsid w:val="006C090A"/>
    <w:rsid w:val="006C09F2"/>
    <w:rsid w:val="006C0DC0"/>
    <w:rsid w:val="006C0F1B"/>
    <w:rsid w:val="006C1071"/>
    <w:rsid w:val="006C12BE"/>
    <w:rsid w:val="006C1351"/>
    <w:rsid w:val="006C13DC"/>
    <w:rsid w:val="006C1411"/>
    <w:rsid w:val="006C154B"/>
    <w:rsid w:val="006C15D2"/>
    <w:rsid w:val="006C1666"/>
    <w:rsid w:val="006C16AC"/>
    <w:rsid w:val="006C1836"/>
    <w:rsid w:val="006C18DA"/>
    <w:rsid w:val="006C1A03"/>
    <w:rsid w:val="006C1A23"/>
    <w:rsid w:val="006C1C07"/>
    <w:rsid w:val="006C1C59"/>
    <w:rsid w:val="006C1DEF"/>
    <w:rsid w:val="006C1E94"/>
    <w:rsid w:val="006C1F73"/>
    <w:rsid w:val="006C205F"/>
    <w:rsid w:val="006C2137"/>
    <w:rsid w:val="006C2179"/>
    <w:rsid w:val="006C21C2"/>
    <w:rsid w:val="006C23F6"/>
    <w:rsid w:val="006C2617"/>
    <w:rsid w:val="006C2B99"/>
    <w:rsid w:val="006C2BA3"/>
    <w:rsid w:val="006C2C1E"/>
    <w:rsid w:val="006C2C89"/>
    <w:rsid w:val="006C2ED6"/>
    <w:rsid w:val="006C3177"/>
    <w:rsid w:val="006C3239"/>
    <w:rsid w:val="006C3243"/>
    <w:rsid w:val="006C32C3"/>
    <w:rsid w:val="006C371D"/>
    <w:rsid w:val="006C3753"/>
    <w:rsid w:val="006C3770"/>
    <w:rsid w:val="006C37A1"/>
    <w:rsid w:val="006C37AD"/>
    <w:rsid w:val="006C386E"/>
    <w:rsid w:val="006C38B7"/>
    <w:rsid w:val="006C390C"/>
    <w:rsid w:val="006C3CE3"/>
    <w:rsid w:val="006C3DCA"/>
    <w:rsid w:val="006C3EB7"/>
    <w:rsid w:val="006C3EE8"/>
    <w:rsid w:val="006C3F23"/>
    <w:rsid w:val="006C403A"/>
    <w:rsid w:val="006C4271"/>
    <w:rsid w:val="006C42B2"/>
    <w:rsid w:val="006C45B5"/>
    <w:rsid w:val="006C4689"/>
    <w:rsid w:val="006C4746"/>
    <w:rsid w:val="006C48B9"/>
    <w:rsid w:val="006C4962"/>
    <w:rsid w:val="006C49A7"/>
    <w:rsid w:val="006C4A36"/>
    <w:rsid w:val="006C4B20"/>
    <w:rsid w:val="006C4BC1"/>
    <w:rsid w:val="006C4DA1"/>
    <w:rsid w:val="006C4DE1"/>
    <w:rsid w:val="006C4E70"/>
    <w:rsid w:val="006C4EAE"/>
    <w:rsid w:val="006C4F92"/>
    <w:rsid w:val="006C5190"/>
    <w:rsid w:val="006C524E"/>
    <w:rsid w:val="006C5324"/>
    <w:rsid w:val="006C535C"/>
    <w:rsid w:val="006C5406"/>
    <w:rsid w:val="006C54D9"/>
    <w:rsid w:val="006C559A"/>
    <w:rsid w:val="006C576D"/>
    <w:rsid w:val="006C5989"/>
    <w:rsid w:val="006C59CA"/>
    <w:rsid w:val="006C59CF"/>
    <w:rsid w:val="006C5AB6"/>
    <w:rsid w:val="006C5ACF"/>
    <w:rsid w:val="006C5E68"/>
    <w:rsid w:val="006C5FC4"/>
    <w:rsid w:val="006C617E"/>
    <w:rsid w:val="006C636B"/>
    <w:rsid w:val="006C63A0"/>
    <w:rsid w:val="006C6550"/>
    <w:rsid w:val="006C6573"/>
    <w:rsid w:val="006C6642"/>
    <w:rsid w:val="006C6706"/>
    <w:rsid w:val="006C67FC"/>
    <w:rsid w:val="006C6926"/>
    <w:rsid w:val="006C6979"/>
    <w:rsid w:val="006C6ADC"/>
    <w:rsid w:val="006C6C7C"/>
    <w:rsid w:val="006C6C95"/>
    <w:rsid w:val="006C6EBD"/>
    <w:rsid w:val="006C6F27"/>
    <w:rsid w:val="006C6FC0"/>
    <w:rsid w:val="006C7017"/>
    <w:rsid w:val="006C711A"/>
    <w:rsid w:val="006C72BB"/>
    <w:rsid w:val="006C73D6"/>
    <w:rsid w:val="006C7582"/>
    <w:rsid w:val="006C765E"/>
    <w:rsid w:val="006C766E"/>
    <w:rsid w:val="006C7737"/>
    <w:rsid w:val="006C773A"/>
    <w:rsid w:val="006C784D"/>
    <w:rsid w:val="006C78A0"/>
    <w:rsid w:val="006C7A31"/>
    <w:rsid w:val="006C7BAA"/>
    <w:rsid w:val="006C7C26"/>
    <w:rsid w:val="006C7CC8"/>
    <w:rsid w:val="006C7E47"/>
    <w:rsid w:val="006C7EF2"/>
    <w:rsid w:val="006C7FA2"/>
    <w:rsid w:val="006C7FF7"/>
    <w:rsid w:val="006D01B4"/>
    <w:rsid w:val="006D0324"/>
    <w:rsid w:val="006D0330"/>
    <w:rsid w:val="006D052A"/>
    <w:rsid w:val="006D05BF"/>
    <w:rsid w:val="006D05D7"/>
    <w:rsid w:val="006D08C5"/>
    <w:rsid w:val="006D0937"/>
    <w:rsid w:val="006D09B0"/>
    <w:rsid w:val="006D0ACB"/>
    <w:rsid w:val="006D0B16"/>
    <w:rsid w:val="006D0BDF"/>
    <w:rsid w:val="006D0E15"/>
    <w:rsid w:val="006D0F11"/>
    <w:rsid w:val="006D12BE"/>
    <w:rsid w:val="006D12F1"/>
    <w:rsid w:val="006D132E"/>
    <w:rsid w:val="006D135C"/>
    <w:rsid w:val="006D13B4"/>
    <w:rsid w:val="006D1518"/>
    <w:rsid w:val="006D1714"/>
    <w:rsid w:val="006D1BE2"/>
    <w:rsid w:val="006D1D6B"/>
    <w:rsid w:val="006D1ED3"/>
    <w:rsid w:val="006D2141"/>
    <w:rsid w:val="006D231A"/>
    <w:rsid w:val="006D261D"/>
    <w:rsid w:val="006D26BA"/>
    <w:rsid w:val="006D2859"/>
    <w:rsid w:val="006D2868"/>
    <w:rsid w:val="006D28C1"/>
    <w:rsid w:val="006D2908"/>
    <w:rsid w:val="006D290D"/>
    <w:rsid w:val="006D295E"/>
    <w:rsid w:val="006D2A5B"/>
    <w:rsid w:val="006D2A64"/>
    <w:rsid w:val="006D2B59"/>
    <w:rsid w:val="006D2D04"/>
    <w:rsid w:val="006D2D7C"/>
    <w:rsid w:val="006D2D7D"/>
    <w:rsid w:val="006D2E46"/>
    <w:rsid w:val="006D30F7"/>
    <w:rsid w:val="006D318D"/>
    <w:rsid w:val="006D31A6"/>
    <w:rsid w:val="006D3387"/>
    <w:rsid w:val="006D3393"/>
    <w:rsid w:val="006D33BC"/>
    <w:rsid w:val="006D3787"/>
    <w:rsid w:val="006D3812"/>
    <w:rsid w:val="006D39BE"/>
    <w:rsid w:val="006D3AEB"/>
    <w:rsid w:val="006D3B47"/>
    <w:rsid w:val="006D3CF9"/>
    <w:rsid w:val="006D3E1D"/>
    <w:rsid w:val="006D3ECA"/>
    <w:rsid w:val="006D3F32"/>
    <w:rsid w:val="006D402B"/>
    <w:rsid w:val="006D41EA"/>
    <w:rsid w:val="006D42B9"/>
    <w:rsid w:val="006D4519"/>
    <w:rsid w:val="006D455A"/>
    <w:rsid w:val="006D458A"/>
    <w:rsid w:val="006D496A"/>
    <w:rsid w:val="006D4A1C"/>
    <w:rsid w:val="006D4BD7"/>
    <w:rsid w:val="006D4EC5"/>
    <w:rsid w:val="006D4EED"/>
    <w:rsid w:val="006D4F7F"/>
    <w:rsid w:val="006D4FE1"/>
    <w:rsid w:val="006D5043"/>
    <w:rsid w:val="006D517E"/>
    <w:rsid w:val="006D5261"/>
    <w:rsid w:val="006D52B5"/>
    <w:rsid w:val="006D5317"/>
    <w:rsid w:val="006D538B"/>
    <w:rsid w:val="006D54A5"/>
    <w:rsid w:val="006D54EE"/>
    <w:rsid w:val="006D5611"/>
    <w:rsid w:val="006D56D6"/>
    <w:rsid w:val="006D5874"/>
    <w:rsid w:val="006D5879"/>
    <w:rsid w:val="006D59E5"/>
    <w:rsid w:val="006D5AA3"/>
    <w:rsid w:val="006D5C33"/>
    <w:rsid w:val="006D5CFC"/>
    <w:rsid w:val="006D5D0E"/>
    <w:rsid w:val="006D5DFF"/>
    <w:rsid w:val="006D5E16"/>
    <w:rsid w:val="006D5EAD"/>
    <w:rsid w:val="006D6064"/>
    <w:rsid w:val="006D623F"/>
    <w:rsid w:val="006D63EB"/>
    <w:rsid w:val="006D6664"/>
    <w:rsid w:val="006D666D"/>
    <w:rsid w:val="006D673F"/>
    <w:rsid w:val="006D67E6"/>
    <w:rsid w:val="006D6870"/>
    <w:rsid w:val="006D6992"/>
    <w:rsid w:val="006D6A71"/>
    <w:rsid w:val="006D6AF8"/>
    <w:rsid w:val="006D6C50"/>
    <w:rsid w:val="006D6DB5"/>
    <w:rsid w:val="006D6DD1"/>
    <w:rsid w:val="006D6F4E"/>
    <w:rsid w:val="006D6F5A"/>
    <w:rsid w:val="006D6F77"/>
    <w:rsid w:val="006D7209"/>
    <w:rsid w:val="006D724F"/>
    <w:rsid w:val="006D7263"/>
    <w:rsid w:val="006D72A7"/>
    <w:rsid w:val="006D743D"/>
    <w:rsid w:val="006D75E5"/>
    <w:rsid w:val="006D76AE"/>
    <w:rsid w:val="006D77C5"/>
    <w:rsid w:val="006D77CE"/>
    <w:rsid w:val="006D7839"/>
    <w:rsid w:val="006D7881"/>
    <w:rsid w:val="006D789E"/>
    <w:rsid w:val="006D7944"/>
    <w:rsid w:val="006D798B"/>
    <w:rsid w:val="006D7CD6"/>
    <w:rsid w:val="006D7CDD"/>
    <w:rsid w:val="006D7D7A"/>
    <w:rsid w:val="006D7F70"/>
    <w:rsid w:val="006E0445"/>
    <w:rsid w:val="006E047B"/>
    <w:rsid w:val="006E0508"/>
    <w:rsid w:val="006E057C"/>
    <w:rsid w:val="006E0665"/>
    <w:rsid w:val="006E06F3"/>
    <w:rsid w:val="006E070E"/>
    <w:rsid w:val="006E074B"/>
    <w:rsid w:val="006E0958"/>
    <w:rsid w:val="006E0BC6"/>
    <w:rsid w:val="006E0C5D"/>
    <w:rsid w:val="006E0D09"/>
    <w:rsid w:val="006E0DA8"/>
    <w:rsid w:val="006E0F30"/>
    <w:rsid w:val="006E0F3E"/>
    <w:rsid w:val="006E1012"/>
    <w:rsid w:val="006E132B"/>
    <w:rsid w:val="006E141A"/>
    <w:rsid w:val="006E1646"/>
    <w:rsid w:val="006E16B7"/>
    <w:rsid w:val="006E1998"/>
    <w:rsid w:val="006E19A8"/>
    <w:rsid w:val="006E1A46"/>
    <w:rsid w:val="006E1A6B"/>
    <w:rsid w:val="006E1B84"/>
    <w:rsid w:val="006E1C1C"/>
    <w:rsid w:val="006E1DB2"/>
    <w:rsid w:val="006E1E68"/>
    <w:rsid w:val="006E1F38"/>
    <w:rsid w:val="006E227C"/>
    <w:rsid w:val="006E22E3"/>
    <w:rsid w:val="006E23AF"/>
    <w:rsid w:val="006E2413"/>
    <w:rsid w:val="006E2496"/>
    <w:rsid w:val="006E2604"/>
    <w:rsid w:val="006E2626"/>
    <w:rsid w:val="006E26DE"/>
    <w:rsid w:val="006E2903"/>
    <w:rsid w:val="006E2925"/>
    <w:rsid w:val="006E2932"/>
    <w:rsid w:val="006E2B62"/>
    <w:rsid w:val="006E2C7F"/>
    <w:rsid w:val="006E2EE1"/>
    <w:rsid w:val="006E2F7E"/>
    <w:rsid w:val="006E3069"/>
    <w:rsid w:val="006E3091"/>
    <w:rsid w:val="006E3094"/>
    <w:rsid w:val="006E30B4"/>
    <w:rsid w:val="006E311F"/>
    <w:rsid w:val="006E32D4"/>
    <w:rsid w:val="006E349A"/>
    <w:rsid w:val="006E34C9"/>
    <w:rsid w:val="006E36D5"/>
    <w:rsid w:val="006E36D7"/>
    <w:rsid w:val="006E36DA"/>
    <w:rsid w:val="006E3843"/>
    <w:rsid w:val="006E38F7"/>
    <w:rsid w:val="006E3926"/>
    <w:rsid w:val="006E3A0A"/>
    <w:rsid w:val="006E3A28"/>
    <w:rsid w:val="006E3B7F"/>
    <w:rsid w:val="006E3B94"/>
    <w:rsid w:val="006E3D7C"/>
    <w:rsid w:val="006E3E05"/>
    <w:rsid w:val="006E3E1A"/>
    <w:rsid w:val="006E3E22"/>
    <w:rsid w:val="006E3FFB"/>
    <w:rsid w:val="006E402E"/>
    <w:rsid w:val="006E4096"/>
    <w:rsid w:val="006E414A"/>
    <w:rsid w:val="006E41C5"/>
    <w:rsid w:val="006E4434"/>
    <w:rsid w:val="006E4512"/>
    <w:rsid w:val="006E45FB"/>
    <w:rsid w:val="006E4667"/>
    <w:rsid w:val="006E46AB"/>
    <w:rsid w:val="006E4864"/>
    <w:rsid w:val="006E4A2C"/>
    <w:rsid w:val="006E4AD6"/>
    <w:rsid w:val="006E4AE4"/>
    <w:rsid w:val="006E4B38"/>
    <w:rsid w:val="006E4B47"/>
    <w:rsid w:val="006E4B6A"/>
    <w:rsid w:val="006E4C46"/>
    <w:rsid w:val="006E4D0D"/>
    <w:rsid w:val="006E4E61"/>
    <w:rsid w:val="006E4F20"/>
    <w:rsid w:val="006E5392"/>
    <w:rsid w:val="006E5491"/>
    <w:rsid w:val="006E5614"/>
    <w:rsid w:val="006E5988"/>
    <w:rsid w:val="006E5A40"/>
    <w:rsid w:val="006E5A52"/>
    <w:rsid w:val="006E5E38"/>
    <w:rsid w:val="006E6093"/>
    <w:rsid w:val="006E60E8"/>
    <w:rsid w:val="006E62F1"/>
    <w:rsid w:val="006E6440"/>
    <w:rsid w:val="006E6511"/>
    <w:rsid w:val="006E66EC"/>
    <w:rsid w:val="006E6728"/>
    <w:rsid w:val="006E678C"/>
    <w:rsid w:val="006E68A8"/>
    <w:rsid w:val="006E69A5"/>
    <w:rsid w:val="006E6A52"/>
    <w:rsid w:val="006E6BE1"/>
    <w:rsid w:val="006E6C60"/>
    <w:rsid w:val="006E6CE2"/>
    <w:rsid w:val="006E6DFE"/>
    <w:rsid w:val="006E6EEB"/>
    <w:rsid w:val="006E6F56"/>
    <w:rsid w:val="006E728E"/>
    <w:rsid w:val="006E7336"/>
    <w:rsid w:val="006E7645"/>
    <w:rsid w:val="006E7671"/>
    <w:rsid w:val="006E76F8"/>
    <w:rsid w:val="006E7836"/>
    <w:rsid w:val="006E78BE"/>
    <w:rsid w:val="006E79AC"/>
    <w:rsid w:val="006E79C7"/>
    <w:rsid w:val="006E7A28"/>
    <w:rsid w:val="006E7A80"/>
    <w:rsid w:val="006E7B90"/>
    <w:rsid w:val="006E7BA3"/>
    <w:rsid w:val="006E7BC7"/>
    <w:rsid w:val="006E7BE3"/>
    <w:rsid w:val="006E7D2A"/>
    <w:rsid w:val="006E7F14"/>
    <w:rsid w:val="006E7F26"/>
    <w:rsid w:val="006E7FED"/>
    <w:rsid w:val="006F0171"/>
    <w:rsid w:val="006F068E"/>
    <w:rsid w:val="006F0915"/>
    <w:rsid w:val="006F0BC2"/>
    <w:rsid w:val="006F0BCD"/>
    <w:rsid w:val="006F0E4E"/>
    <w:rsid w:val="006F0E75"/>
    <w:rsid w:val="006F0FBF"/>
    <w:rsid w:val="006F1256"/>
    <w:rsid w:val="006F1418"/>
    <w:rsid w:val="006F1491"/>
    <w:rsid w:val="006F1649"/>
    <w:rsid w:val="006F16C7"/>
    <w:rsid w:val="006F170B"/>
    <w:rsid w:val="006F192C"/>
    <w:rsid w:val="006F19F7"/>
    <w:rsid w:val="006F1AAE"/>
    <w:rsid w:val="006F1AD1"/>
    <w:rsid w:val="006F1B30"/>
    <w:rsid w:val="006F1E4C"/>
    <w:rsid w:val="006F1E5A"/>
    <w:rsid w:val="006F1EE5"/>
    <w:rsid w:val="006F20F9"/>
    <w:rsid w:val="006F2152"/>
    <w:rsid w:val="006F250C"/>
    <w:rsid w:val="006F254D"/>
    <w:rsid w:val="006F2844"/>
    <w:rsid w:val="006F286F"/>
    <w:rsid w:val="006F2900"/>
    <w:rsid w:val="006F291B"/>
    <w:rsid w:val="006F292D"/>
    <w:rsid w:val="006F29D9"/>
    <w:rsid w:val="006F2A2D"/>
    <w:rsid w:val="006F2A7D"/>
    <w:rsid w:val="006F2AEF"/>
    <w:rsid w:val="006F2BAD"/>
    <w:rsid w:val="006F2C7A"/>
    <w:rsid w:val="006F2E43"/>
    <w:rsid w:val="006F2E5B"/>
    <w:rsid w:val="006F3146"/>
    <w:rsid w:val="006F3809"/>
    <w:rsid w:val="006F3844"/>
    <w:rsid w:val="006F3846"/>
    <w:rsid w:val="006F38BF"/>
    <w:rsid w:val="006F39B2"/>
    <w:rsid w:val="006F3BDC"/>
    <w:rsid w:val="006F3CB1"/>
    <w:rsid w:val="006F3CD7"/>
    <w:rsid w:val="006F3CF9"/>
    <w:rsid w:val="006F3D25"/>
    <w:rsid w:val="006F3EB8"/>
    <w:rsid w:val="006F3F33"/>
    <w:rsid w:val="006F3F86"/>
    <w:rsid w:val="006F425B"/>
    <w:rsid w:val="006F42F6"/>
    <w:rsid w:val="006F42F9"/>
    <w:rsid w:val="006F42FB"/>
    <w:rsid w:val="006F44E2"/>
    <w:rsid w:val="006F4542"/>
    <w:rsid w:val="006F48F8"/>
    <w:rsid w:val="006F49DD"/>
    <w:rsid w:val="006F4ABC"/>
    <w:rsid w:val="006F4B08"/>
    <w:rsid w:val="006F4B52"/>
    <w:rsid w:val="006F4E2F"/>
    <w:rsid w:val="006F5160"/>
    <w:rsid w:val="006F5317"/>
    <w:rsid w:val="006F5365"/>
    <w:rsid w:val="006F53A8"/>
    <w:rsid w:val="006F53E2"/>
    <w:rsid w:val="006F5420"/>
    <w:rsid w:val="006F54B3"/>
    <w:rsid w:val="006F586A"/>
    <w:rsid w:val="006F5888"/>
    <w:rsid w:val="006F5982"/>
    <w:rsid w:val="006F5B7D"/>
    <w:rsid w:val="006F5CE3"/>
    <w:rsid w:val="006F5FF4"/>
    <w:rsid w:val="006F6031"/>
    <w:rsid w:val="006F6172"/>
    <w:rsid w:val="006F6397"/>
    <w:rsid w:val="006F6401"/>
    <w:rsid w:val="006F65CC"/>
    <w:rsid w:val="006F6797"/>
    <w:rsid w:val="006F679C"/>
    <w:rsid w:val="006F6877"/>
    <w:rsid w:val="006F6B25"/>
    <w:rsid w:val="006F6BE8"/>
    <w:rsid w:val="006F6C0F"/>
    <w:rsid w:val="006F6C51"/>
    <w:rsid w:val="006F6E81"/>
    <w:rsid w:val="006F6F6D"/>
    <w:rsid w:val="006F6FB8"/>
    <w:rsid w:val="006F7074"/>
    <w:rsid w:val="006F72C0"/>
    <w:rsid w:val="006F7479"/>
    <w:rsid w:val="006F74CC"/>
    <w:rsid w:val="006F7512"/>
    <w:rsid w:val="006F75E4"/>
    <w:rsid w:val="006F7873"/>
    <w:rsid w:val="006F788E"/>
    <w:rsid w:val="006F78DF"/>
    <w:rsid w:val="006F78EB"/>
    <w:rsid w:val="006F7940"/>
    <w:rsid w:val="006F795B"/>
    <w:rsid w:val="006F7AAB"/>
    <w:rsid w:val="006F7B11"/>
    <w:rsid w:val="006F7C9C"/>
    <w:rsid w:val="006F7D20"/>
    <w:rsid w:val="006F7EB7"/>
    <w:rsid w:val="006F7ECE"/>
    <w:rsid w:val="006F7F73"/>
    <w:rsid w:val="006F7FFE"/>
    <w:rsid w:val="0070010C"/>
    <w:rsid w:val="00700128"/>
    <w:rsid w:val="00700194"/>
    <w:rsid w:val="00700219"/>
    <w:rsid w:val="00700248"/>
    <w:rsid w:val="007002B6"/>
    <w:rsid w:val="00700497"/>
    <w:rsid w:val="007005A4"/>
    <w:rsid w:val="007008FA"/>
    <w:rsid w:val="00700E2F"/>
    <w:rsid w:val="007010D0"/>
    <w:rsid w:val="007010D2"/>
    <w:rsid w:val="00701303"/>
    <w:rsid w:val="00701329"/>
    <w:rsid w:val="00701418"/>
    <w:rsid w:val="007014A6"/>
    <w:rsid w:val="007015B5"/>
    <w:rsid w:val="0070165D"/>
    <w:rsid w:val="007016C0"/>
    <w:rsid w:val="007019B8"/>
    <w:rsid w:val="00701A82"/>
    <w:rsid w:val="00701B03"/>
    <w:rsid w:val="00702000"/>
    <w:rsid w:val="0070206D"/>
    <w:rsid w:val="007020E9"/>
    <w:rsid w:val="0070234D"/>
    <w:rsid w:val="0070245E"/>
    <w:rsid w:val="007024E7"/>
    <w:rsid w:val="007024ED"/>
    <w:rsid w:val="007025AA"/>
    <w:rsid w:val="007025DB"/>
    <w:rsid w:val="00702640"/>
    <w:rsid w:val="007026C8"/>
    <w:rsid w:val="00702789"/>
    <w:rsid w:val="0070292F"/>
    <w:rsid w:val="0070295E"/>
    <w:rsid w:val="007029B2"/>
    <w:rsid w:val="00702B51"/>
    <w:rsid w:val="00702D26"/>
    <w:rsid w:val="00702E01"/>
    <w:rsid w:val="00702E1A"/>
    <w:rsid w:val="00703042"/>
    <w:rsid w:val="00703366"/>
    <w:rsid w:val="0070342E"/>
    <w:rsid w:val="007037C8"/>
    <w:rsid w:val="007038E9"/>
    <w:rsid w:val="007039B4"/>
    <w:rsid w:val="00703BB7"/>
    <w:rsid w:val="00703C46"/>
    <w:rsid w:val="00703C91"/>
    <w:rsid w:val="00703CE1"/>
    <w:rsid w:val="00703CF8"/>
    <w:rsid w:val="00703D3C"/>
    <w:rsid w:val="00703E5B"/>
    <w:rsid w:val="00703E80"/>
    <w:rsid w:val="00703F3E"/>
    <w:rsid w:val="00703FAD"/>
    <w:rsid w:val="00703FFC"/>
    <w:rsid w:val="00704129"/>
    <w:rsid w:val="0070417E"/>
    <w:rsid w:val="007041DB"/>
    <w:rsid w:val="007043A9"/>
    <w:rsid w:val="0070448D"/>
    <w:rsid w:val="007044BC"/>
    <w:rsid w:val="00704507"/>
    <w:rsid w:val="0070461B"/>
    <w:rsid w:val="007047FE"/>
    <w:rsid w:val="0070480D"/>
    <w:rsid w:val="0070485B"/>
    <w:rsid w:val="00704BBE"/>
    <w:rsid w:val="00704EE7"/>
    <w:rsid w:val="00704FC3"/>
    <w:rsid w:val="007050C1"/>
    <w:rsid w:val="007051DF"/>
    <w:rsid w:val="00705259"/>
    <w:rsid w:val="007053EC"/>
    <w:rsid w:val="00705513"/>
    <w:rsid w:val="007057FC"/>
    <w:rsid w:val="0070589F"/>
    <w:rsid w:val="00705916"/>
    <w:rsid w:val="007059D8"/>
    <w:rsid w:val="00705BBB"/>
    <w:rsid w:val="00705CE6"/>
    <w:rsid w:val="00705EC0"/>
    <w:rsid w:val="00705FC6"/>
    <w:rsid w:val="00706043"/>
    <w:rsid w:val="0070629E"/>
    <w:rsid w:val="0070636D"/>
    <w:rsid w:val="0070637D"/>
    <w:rsid w:val="00706457"/>
    <w:rsid w:val="00706742"/>
    <w:rsid w:val="0070678B"/>
    <w:rsid w:val="007067FC"/>
    <w:rsid w:val="00706856"/>
    <w:rsid w:val="00706A2F"/>
    <w:rsid w:val="00706C67"/>
    <w:rsid w:val="00706C8B"/>
    <w:rsid w:val="00706D00"/>
    <w:rsid w:val="00706D16"/>
    <w:rsid w:val="00706DB3"/>
    <w:rsid w:val="00706EA4"/>
    <w:rsid w:val="00706FEE"/>
    <w:rsid w:val="00707097"/>
    <w:rsid w:val="007071EA"/>
    <w:rsid w:val="0070722C"/>
    <w:rsid w:val="00707402"/>
    <w:rsid w:val="00707628"/>
    <w:rsid w:val="00707665"/>
    <w:rsid w:val="007076A4"/>
    <w:rsid w:val="00707765"/>
    <w:rsid w:val="0070789E"/>
    <w:rsid w:val="00707990"/>
    <w:rsid w:val="00707B4D"/>
    <w:rsid w:val="00707CE0"/>
    <w:rsid w:val="00707D8C"/>
    <w:rsid w:val="00707E11"/>
    <w:rsid w:val="00707EC2"/>
    <w:rsid w:val="0071012D"/>
    <w:rsid w:val="0071057E"/>
    <w:rsid w:val="007105EA"/>
    <w:rsid w:val="00710747"/>
    <w:rsid w:val="007107AB"/>
    <w:rsid w:val="00710846"/>
    <w:rsid w:val="007109C1"/>
    <w:rsid w:val="007109C9"/>
    <w:rsid w:val="00710A94"/>
    <w:rsid w:val="00710ACC"/>
    <w:rsid w:val="00710B6B"/>
    <w:rsid w:val="00710BE1"/>
    <w:rsid w:val="00710E7D"/>
    <w:rsid w:val="007111DF"/>
    <w:rsid w:val="007111FC"/>
    <w:rsid w:val="007112EF"/>
    <w:rsid w:val="00711328"/>
    <w:rsid w:val="00711655"/>
    <w:rsid w:val="007116E1"/>
    <w:rsid w:val="007116EA"/>
    <w:rsid w:val="00711860"/>
    <w:rsid w:val="00711969"/>
    <w:rsid w:val="00711D0B"/>
    <w:rsid w:val="00711EF5"/>
    <w:rsid w:val="00711F4B"/>
    <w:rsid w:val="00711F6C"/>
    <w:rsid w:val="007121BF"/>
    <w:rsid w:val="00712205"/>
    <w:rsid w:val="0071223B"/>
    <w:rsid w:val="0071234B"/>
    <w:rsid w:val="00712371"/>
    <w:rsid w:val="007123D2"/>
    <w:rsid w:val="007124DC"/>
    <w:rsid w:val="00712502"/>
    <w:rsid w:val="0071259A"/>
    <w:rsid w:val="007125EE"/>
    <w:rsid w:val="00712700"/>
    <w:rsid w:val="007127C3"/>
    <w:rsid w:val="007128EE"/>
    <w:rsid w:val="0071290C"/>
    <w:rsid w:val="007129A9"/>
    <w:rsid w:val="007129FA"/>
    <w:rsid w:val="00712A92"/>
    <w:rsid w:val="00712C6C"/>
    <w:rsid w:val="00712D1D"/>
    <w:rsid w:val="00712DC8"/>
    <w:rsid w:val="00712E2E"/>
    <w:rsid w:val="007131E8"/>
    <w:rsid w:val="0071353F"/>
    <w:rsid w:val="00713580"/>
    <w:rsid w:val="00713744"/>
    <w:rsid w:val="00713BA8"/>
    <w:rsid w:val="00713E9F"/>
    <w:rsid w:val="0071404F"/>
    <w:rsid w:val="0071433C"/>
    <w:rsid w:val="0071438B"/>
    <w:rsid w:val="0071454D"/>
    <w:rsid w:val="00714563"/>
    <w:rsid w:val="0071499E"/>
    <w:rsid w:val="007149F5"/>
    <w:rsid w:val="00714A0E"/>
    <w:rsid w:val="00714A60"/>
    <w:rsid w:val="00714C76"/>
    <w:rsid w:val="00714D8D"/>
    <w:rsid w:val="00714D91"/>
    <w:rsid w:val="00714E30"/>
    <w:rsid w:val="00714E63"/>
    <w:rsid w:val="00714F6E"/>
    <w:rsid w:val="00714F95"/>
    <w:rsid w:val="00714FE9"/>
    <w:rsid w:val="00715142"/>
    <w:rsid w:val="00715498"/>
    <w:rsid w:val="007155FC"/>
    <w:rsid w:val="0071580D"/>
    <w:rsid w:val="00715837"/>
    <w:rsid w:val="0071599F"/>
    <w:rsid w:val="00715A5F"/>
    <w:rsid w:val="00715C19"/>
    <w:rsid w:val="00715D18"/>
    <w:rsid w:val="00715D44"/>
    <w:rsid w:val="00715FE4"/>
    <w:rsid w:val="00715FF2"/>
    <w:rsid w:val="00715FF5"/>
    <w:rsid w:val="0071603D"/>
    <w:rsid w:val="0071606F"/>
    <w:rsid w:val="00716132"/>
    <w:rsid w:val="00716427"/>
    <w:rsid w:val="0071649A"/>
    <w:rsid w:val="0071672E"/>
    <w:rsid w:val="0071673E"/>
    <w:rsid w:val="0071681A"/>
    <w:rsid w:val="0071686B"/>
    <w:rsid w:val="00716B2A"/>
    <w:rsid w:val="00716CD3"/>
    <w:rsid w:val="00716E31"/>
    <w:rsid w:val="00716ECB"/>
    <w:rsid w:val="00716F1A"/>
    <w:rsid w:val="00716F4F"/>
    <w:rsid w:val="00716F6F"/>
    <w:rsid w:val="00716F78"/>
    <w:rsid w:val="00717056"/>
    <w:rsid w:val="00717191"/>
    <w:rsid w:val="0071719A"/>
    <w:rsid w:val="007171B8"/>
    <w:rsid w:val="007172A2"/>
    <w:rsid w:val="0071737C"/>
    <w:rsid w:val="00717434"/>
    <w:rsid w:val="00717474"/>
    <w:rsid w:val="0071751A"/>
    <w:rsid w:val="007175ED"/>
    <w:rsid w:val="007176DF"/>
    <w:rsid w:val="00717780"/>
    <w:rsid w:val="00717827"/>
    <w:rsid w:val="00717834"/>
    <w:rsid w:val="0071799B"/>
    <w:rsid w:val="007179BB"/>
    <w:rsid w:val="00717A79"/>
    <w:rsid w:val="00717C57"/>
    <w:rsid w:val="00717E56"/>
    <w:rsid w:val="00717F33"/>
    <w:rsid w:val="00717F37"/>
    <w:rsid w:val="00717F8E"/>
    <w:rsid w:val="00718FD6"/>
    <w:rsid w:val="007200EA"/>
    <w:rsid w:val="0072016E"/>
    <w:rsid w:val="00720321"/>
    <w:rsid w:val="0072045E"/>
    <w:rsid w:val="0072052D"/>
    <w:rsid w:val="00720710"/>
    <w:rsid w:val="007207B3"/>
    <w:rsid w:val="007207F3"/>
    <w:rsid w:val="00720947"/>
    <w:rsid w:val="00720B6D"/>
    <w:rsid w:val="00720DDF"/>
    <w:rsid w:val="00720F3C"/>
    <w:rsid w:val="00721029"/>
    <w:rsid w:val="0072119F"/>
    <w:rsid w:val="00721319"/>
    <w:rsid w:val="0072144E"/>
    <w:rsid w:val="0072148E"/>
    <w:rsid w:val="007216B1"/>
    <w:rsid w:val="007216DF"/>
    <w:rsid w:val="00721881"/>
    <w:rsid w:val="007218E0"/>
    <w:rsid w:val="00721E33"/>
    <w:rsid w:val="00721F08"/>
    <w:rsid w:val="00721F21"/>
    <w:rsid w:val="00721F37"/>
    <w:rsid w:val="00721F94"/>
    <w:rsid w:val="00721FE4"/>
    <w:rsid w:val="00722134"/>
    <w:rsid w:val="0072223B"/>
    <w:rsid w:val="00722334"/>
    <w:rsid w:val="007223A8"/>
    <w:rsid w:val="007226AE"/>
    <w:rsid w:val="00722778"/>
    <w:rsid w:val="007227D4"/>
    <w:rsid w:val="0072288A"/>
    <w:rsid w:val="00722900"/>
    <w:rsid w:val="00722ACE"/>
    <w:rsid w:val="00722B2E"/>
    <w:rsid w:val="00722BEC"/>
    <w:rsid w:val="00722CBB"/>
    <w:rsid w:val="00722EE1"/>
    <w:rsid w:val="00722EE3"/>
    <w:rsid w:val="00722FCB"/>
    <w:rsid w:val="007230E1"/>
    <w:rsid w:val="0072310A"/>
    <w:rsid w:val="00723160"/>
    <w:rsid w:val="0072320F"/>
    <w:rsid w:val="007235E3"/>
    <w:rsid w:val="00723812"/>
    <w:rsid w:val="00723861"/>
    <w:rsid w:val="00723883"/>
    <w:rsid w:val="007238B8"/>
    <w:rsid w:val="007239A3"/>
    <w:rsid w:val="00723A96"/>
    <w:rsid w:val="00723BD2"/>
    <w:rsid w:val="00723C28"/>
    <w:rsid w:val="00723C9C"/>
    <w:rsid w:val="00723CFF"/>
    <w:rsid w:val="0072410E"/>
    <w:rsid w:val="00724226"/>
    <w:rsid w:val="0072428E"/>
    <w:rsid w:val="007242D2"/>
    <w:rsid w:val="007242DC"/>
    <w:rsid w:val="00724675"/>
    <w:rsid w:val="00724A1E"/>
    <w:rsid w:val="00724D75"/>
    <w:rsid w:val="00725022"/>
    <w:rsid w:val="00725292"/>
    <w:rsid w:val="00725443"/>
    <w:rsid w:val="007255CF"/>
    <w:rsid w:val="00725851"/>
    <w:rsid w:val="007258FA"/>
    <w:rsid w:val="00725B27"/>
    <w:rsid w:val="00725B67"/>
    <w:rsid w:val="007261CF"/>
    <w:rsid w:val="00726612"/>
    <w:rsid w:val="007266DD"/>
    <w:rsid w:val="007266F2"/>
    <w:rsid w:val="00726795"/>
    <w:rsid w:val="0072687E"/>
    <w:rsid w:val="007268F9"/>
    <w:rsid w:val="00726A6E"/>
    <w:rsid w:val="00726C7D"/>
    <w:rsid w:val="00726CB3"/>
    <w:rsid w:val="00726F86"/>
    <w:rsid w:val="00726FE7"/>
    <w:rsid w:val="007270EF"/>
    <w:rsid w:val="00727136"/>
    <w:rsid w:val="00727277"/>
    <w:rsid w:val="007272C0"/>
    <w:rsid w:val="00727318"/>
    <w:rsid w:val="00727351"/>
    <w:rsid w:val="00727371"/>
    <w:rsid w:val="00727391"/>
    <w:rsid w:val="00727415"/>
    <w:rsid w:val="00727551"/>
    <w:rsid w:val="00727559"/>
    <w:rsid w:val="007275E6"/>
    <w:rsid w:val="0072787F"/>
    <w:rsid w:val="00727959"/>
    <w:rsid w:val="00727ACE"/>
    <w:rsid w:val="00727BFE"/>
    <w:rsid w:val="00727D6F"/>
    <w:rsid w:val="00727D72"/>
    <w:rsid w:val="0073018F"/>
    <w:rsid w:val="00730450"/>
    <w:rsid w:val="0073065D"/>
    <w:rsid w:val="007309F0"/>
    <w:rsid w:val="00730B3F"/>
    <w:rsid w:val="00730BBD"/>
    <w:rsid w:val="00730C93"/>
    <w:rsid w:val="00730CFB"/>
    <w:rsid w:val="00730DE4"/>
    <w:rsid w:val="00730F80"/>
    <w:rsid w:val="00731095"/>
    <w:rsid w:val="007310BD"/>
    <w:rsid w:val="0073138A"/>
    <w:rsid w:val="00731445"/>
    <w:rsid w:val="0073146C"/>
    <w:rsid w:val="007316EB"/>
    <w:rsid w:val="007317AB"/>
    <w:rsid w:val="00731821"/>
    <w:rsid w:val="007319C5"/>
    <w:rsid w:val="007319E8"/>
    <w:rsid w:val="00731A57"/>
    <w:rsid w:val="00731C12"/>
    <w:rsid w:val="00731F2D"/>
    <w:rsid w:val="0073200C"/>
    <w:rsid w:val="00732178"/>
    <w:rsid w:val="007321E0"/>
    <w:rsid w:val="007321F0"/>
    <w:rsid w:val="0073225F"/>
    <w:rsid w:val="0073227E"/>
    <w:rsid w:val="007323E9"/>
    <w:rsid w:val="00732543"/>
    <w:rsid w:val="007325DA"/>
    <w:rsid w:val="0073261B"/>
    <w:rsid w:val="00732769"/>
    <w:rsid w:val="007328FA"/>
    <w:rsid w:val="00732923"/>
    <w:rsid w:val="00732C75"/>
    <w:rsid w:val="00732D3D"/>
    <w:rsid w:val="00732EAE"/>
    <w:rsid w:val="00732F94"/>
    <w:rsid w:val="0073300E"/>
    <w:rsid w:val="007332A0"/>
    <w:rsid w:val="007334E9"/>
    <w:rsid w:val="007338B3"/>
    <w:rsid w:val="007338E3"/>
    <w:rsid w:val="007339D7"/>
    <w:rsid w:val="00733E7C"/>
    <w:rsid w:val="00733FEE"/>
    <w:rsid w:val="00734296"/>
    <w:rsid w:val="007342C8"/>
    <w:rsid w:val="007343B1"/>
    <w:rsid w:val="007343EB"/>
    <w:rsid w:val="007345D8"/>
    <w:rsid w:val="007345F0"/>
    <w:rsid w:val="00734655"/>
    <w:rsid w:val="00734990"/>
    <w:rsid w:val="00734AEE"/>
    <w:rsid w:val="00734B60"/>
    <w:rsid w:val="00734BCE"/>
    <w:rsid w:val="00734BDA"/>
    <w:rsid w:val="00734C4C"/>
    <w:rsid w:val="00734F39"/>
    <w:rsid w:val="00734F4C"/>
    <w:rsid w:val="007351BE"/>
    <w:rsid w:val="007352BF"/>
    <w:rsid w:val="007352D1"/>
    <w:rsid w:val="0073537E"/>
    <w:rsid w:val="007353BD"/>
    <w:rsid w:val="007353EE"/>
    <w:rsid w:val="00735857"/>
    <w:rsid w:val="007358E9"/>
    <w:rsid w:val="00735A03"/>
    <w:rsid w:val="00735ABC"/>
    <w:rsid w:val="00735AE8"/>
    <w:rsid w:val="00735B26"/>
    <w:rsid w:val="00735DA0"/>
    <w:rsid w:val="00735F42"/>
    <w:rsid w:val="00736032"/>
    <w:rsid w:val="007360BB"/>
    <w:rsid w:val="007360CA"/>
    <w:rsid w:val="0073613B"/>
    <w:rsid w:val="0073643C"/>
    <w:rsid w:val="00736521"/>
    <w:rsid w:val="0073652E"/>
    <w:rsid w:val="0073659C"/>
    <w:rsid w:val="007365DB"/>
    <w:rsid w:val="0073661C"/>
    <w:rsid w:val="007366C1"/>
    <w:rsid w:val="0073671B"/>
    <w:rsid w:val="00736727"/>
    <w:rsid w:val="00736990"/>
    <w:rsid w:val="00736A2C"/>
    <w:rsid w:val="00736DCE"/>
    <w:rsid w:val="00736E98"/>
    <w:rsid w:val="00736FB5"/>
    <w:rsid w:val="007371D4"/>
    <w:rsid w:val="0073744F"/>
    <w:rsid w:val="0073760A"/>
    <w:rsid w:val="00737611"/>
    <w:rsid w:val="007378B9"/>
    <w:rsid w:val="00737920"/>
    <w:rsid w:val="00737942"/>
    <w:rsid w:val="00737B26"/>
    <w:rsid w:val="00737B67"/>
    <w:rsid w:val="00737C1E"/>
    <w:rsid w:val="00737C6F"/>
    <w:rsid w:val="00737D29"/>
    <w:rsid w:val="00737DB0"/>
    <w:rsid w:val="00737F65"/>
    <w:rsid w:val="00737F69"/>
    <w:rsid w:val="00740028"/>
    <w:rsid w:val="0074022E"/>
    <w:rsid w:val="00740256"/>
    <w:rsid w:val="00740343"/>
    <w:rsid w:val="00740359"/>
    <w:rsid w:val="0074045E"/>
    <w:rsid w:val="00740517"/>
    <w:rsid w:val="007405D0"/>
    <w:rsid w:val="00740871"/>
    <w:rsid w:val="0074089E"/>
    <w:rsid w:val="007408BB"/>
    <w:rsid w:val="00740A66"/>
    <w:rsid w:val="00740C2A"/>
    <w:rsid w:val="00740C3E"/>
    <w:rsid w:val="00740E58"/>
    <w:rsid w:val="00740EF6"/>
    <w:rsid w:val="00740F38"/>
    <w:rsid w:val="00741039"/>
    <w:rsid w:val="0074105E"/>
    <w:rsid w:val="0074113F"/>
    <w:rsid w:val="00741217"/>
    <w:rsid w:val="0074121B"/>
    <w:rsid w:val="0074125F"/>
    <w:rsid w:val="007413DA"/>
    <w:rsid w:val="0074149B"/>
    <w:rsid w:val="007414E3"/>
    <w:rsid w:val="00741688"/>
    <w:rsid w:val="007418E0"/>
    <w:rsid w:val="00741AA9"/>
    <w:rsid w:val="00741C51"/>
    <w:rsid w:val="00741E80"/>
    <w:rsid w:val="00742091"/>
    <w:rsid w:val="007420B1"/>
    <w:rsid w:val="0074216E"/>
    <w:rsid w:val="00742170"/>
    <w:rsid w:val="0074225B"/>
    <w:rsid w:val="007423D6"/>
    <w:rsid w:val="0074263A"/>
    <w:rsid w:val="0074278F"/>
    <w:rsid w:val="0074283C"/>
    <w:rsid w:val="007428B6"/>
    <w:rsid w:val="00742B38"/>
    <w:rsid w:val="00742C51"/>
    <w:rsid w:val="00742E56"/>
    <w:rsid w:val="00742E82"/>
    <w:rsid w:val="00742FE0"/>
    <w:rsid w:val="007430AE"/>
    <w:rsid w:val="007430FD"/>
    <w:rsid w:val="0074317D"/>
    <w:rsid w:val="007434D5"/>
    <w:rsid w:val="007436C2"/>
    <w:rsid w:val="007437A0"/>
    <w:rsid w:val="00743815"/>
    <w:rsid w:val="007439BA"/>
    <w:rsid w:val="00743B09"/>
    <w:rsid w:val="00743B82"/>
    <w:rsid w:val="00743D36"/>
    <w:rsid w:val="00743D3D"/>
    <w:rsid w:val="00743F5C"/>
    <w:rsid w:val="0074408B"/>
    <w:rsid w:val="00744238"/>
    <w:rsid w:val="00744290"/>
    <w:rsid w:val="007442EB"/>
    <w:rsid w:val="007443FA"/>
    <w:rsid w:val="00744415"/>
    <w:rsid w:val="007445C4"/>
    <w:rsid w:val="007445CF"/>
    <w:rsid w:val="0074464C"/>
    <w:rsid w:val="007447F1"/>
    <w:rsid w:val="0074491B"/>
    <w:rsid w:val="00744BDF"/>
    <w:rsid w:val="00744E27"/>
    <w:rsid w:val="00744E28"/>
    <w:rsid w:val="00744E6B"/>
    <w:rsid w:val="00744E7D"/>
    <w:rsid w:val="00744EF9"/>
    <w:rsid w:val="00745162"/>
    <w:rsid w:val="0074532F"/>
    <w:rsid w:val="0074553B"/>
    <w:rsid w:val="007455C0"/>
    <w:rsid w:val="007457D4"/>
    <w:rsid w:val="00745858"/>
    <w:rsid w:val="00745976"/>
    <w:rsid w:val="00745B32"/>
    <w:rsid w:val="00745B87"/>
    <w:rsid w:val="00745E3B"/>
    <w:rsid w:val="00745F6F"/>
    <w:rsid w:val="00745F78"/>
    <w:rsid w:val="00746318"/>
    <w:rsid w:val="00746363"/>
    <w:rsid w:val="00746639"/>
    <w:rsid w:val="00746725"/>
    <w:rsid w:val="00746774"/>
    <w:rsid w:val="00746804"/>
    <w:rsid w:val="007468F0"/>
    <w:rsid w:val="00746931"/>
    <w:rsid w:val="00746A58"/>
    <w:rsid w:val="00746B0A"/>
    <w:rsid w:val="00746BAB"/>
    <w:rsid w:val="00746E87"/>
    <w:rsid w:val="00746ED9"/>
    <w:rsid w:val="00746EEA"/>
    <w:rsid w:val="00746FA9"/>
    <w:rsid w:val="00746FF8"/>
    <w:rsid w:val="007470F6"/>
    <w:rsid w:val="007470F7"/>
    <w:rsid w:val="0074716A"/>
    <w:rsid w:val="007471C3"/>
    <w:rsid w:val="0074722A"/>
    <w:rsid w:val="007472AE"/>
    <w:rsid w:val="007472C3"/>
    <w:rsid w:val="00747380"/>
    <w:rsid w:val="007474B3"/>
    <w:rsid w:val="007474C1"/>
    <w:rsid w:val="007476C2"/>
    <w:rsid w:val="0074787D"/>
    <w:rsid w:val="00747A59"/>
    <w:rsid w:val="00747A97"/>
    <w:rsid w:val="00747AC8"/>
    <w:rsid w:val="00747B30"/>
    <w:rsid w:val="00750024"/>
    <w:rsid w:val="007500A8"/>
    <w:rsid w:val="0075024A"/>
    <w:rsid w:val="007502D6"/>
    <w:rsid w:val="0075030A"/>
    <w:rsid w:val="0075030C"/>
    <w:rsid w:val="007504A9"/>
    <w:rsid w:val="007505BC"/>
    <w:rsid w:val="00750785"/>
    <w:rsid w:val="00750790"/>
    <w:rsid w:val="00750860"/>
    <w:rsid w:val="007508C0"/>
    <w:rsid w:val="00750A12"/>
    <w:rsid w:val="00750AE3"/>
    <w:rsid w:val="00750B2B"/>
    <w:rsid w:val="00750C38"/>
    <w:rsid w:val="00750E85"/>
    <w:rsid w:val="00750E95"/>
    <w:rsid w:val="00750ED4"/>
    <w:rsid w:val="00750F49"/>
    <w:rsid w:val="007511FF"/>
    <w:rsid w:val="00751289"/>
    <w:rsid w:val="007512A7"/>
    <w:rsid w:val="007513E5"/>
    <w:rsid w:val="00751608"/>
    <w:rsid w:val="00751637"/>
    <w:rsid w:val="00751664"/>
    <w:rsid w:val="00751AB4"/>
    <w:rsid w:val="00751B67"/>
    <w:rsid w:val="00751B7A"/>
    <w:rsid w:val="00751C89"/>
    <w:rsid w:val="00751D01"/>
    <w:rsid w:val="00751D12"/>
    <w:rsid w:val="00751DA1"/>
    <w:rsid w:val="00751E7D"/>
    <w:rsid w:val="00751E9F"/>
    <w:rsid w:val="00751EC4"/>
    <w:rsid w:val="00751FE6"/>
    <w:rsid w:val="007520A1"/>
    <w:rsid w:val="00752299"/>
    <w:rsid w:val="0075238E"/>
    <w:rsid w:val="00752413"/>
    <w:rsid w:val="007529AE"/>
    <w:rsid w:val="007529F8"/>
    <w:rsid w:val="00752AD8"/>
    <w:rsid w:val="00752B21"/>
    <w:rsid w:val="00752C19"/>
    <w:rsid w:val="00752D58"/>
    <w:rsid w:val="00752EC4"/>
    <w:rsid w:val="00752F11"/>
    <w:rsid w:val="00753083"/>
    <w:rsid w:val="00753181"/>
    <w:rsid w:val="007531B9"/>
    <w:rsid w:val="00753239"/>
    <w:rsid w:val="0075324C"/>
    <w:rsid w:val="007533C5"/>
    <w:rsid w:val="007533CC"/>
    <w:rsid w:val="0075343B"/>
    <w:rsid w:val="00753733"/>
    <w:rsid w:val="0075382C"/>
    <w:rsid w:val="007538EF"/>
    <w:rsid w:val="00753900"/>
    <w:rsid w:val="00753965"/>
    <w:rsid w:val="00753A11"/>
    <w:rsid w:val="00753A1A"/>
    <w:rsid w:val="00753A9B"/>
    <w:rsid w:val="00753CEE"/>
    <w:rsid w:val="00753DC9"/>
    <w:rsid w:val="00753E1A"/>
    <w:rsid w:val="00753EBB"/>
    <w:rsid w:val="00753F4E"/>
    <w:rsid w:val="00754268"/>
    <w:rsid w:val="007542F4"/>
    <w:rsid w:val="00754414"/>
    <w:rsid w:val="0075450A"/>
    <w:rsid w:val="00754C85"/>
    <w:rsid w:val="00754DE2"/>
    <w:rsid w:val="00754E19"/>
    <w:rsid w:val="00755014"/>
    <w:rsid w:val="00755083"/>
    <w:rsid w:val="007557B7"/>
    <w:rsid w:val="0075590C"/>
    <w:rsid w:val="00755A64"/>
    <w:rsid w:val="00755AEB"/>
    <w:rsid w:val="00755BD8"/>
    <w:rsid w:val="00755C5C"/>
    <w:rsid w:val="00755CD8"/>
    <w:rsid w:val="00755DC6"/>
    <w:rsid w:val="007561E3"/>
    <w:rsid w:val="007561FC"/>
    <w:rsid w:val="007566E2"/>
    <w:rsid w:val="0075678F"/>
    <w:rsid w:val="00756929"/>
    <w:rsid w:val="00756A3F"/>
    <w:rsid w:val="00756A89"/>
    <w:rsid w:val="00756ACA"/>
    <w:rsid w:val="00756C36"/>
    <w:rsid w:val="00756C37"/>
    <w:rsid w:val="00756C3E"/>
    <w:rsid w:val="00756D3B"/>
    <w:rsid w:val="00756ED7"/>
    <w:rsid w:val="0075709F"/>
    <w:rsid w:val="00757217"/>
    <w:rsid w:val="007573E4"/>
    <w:rsid w:val="007576D9"/>
    <w:rsid w:val="0075780F"/>
    <w:rsid w:val="0075790A"/>
    <w:rsid w:val="00757ABF"/>
    <w:rsid w:val="00757B29"/>
    <w:rsid w:val="00757C06"/>
    <w:rsid w:val="00757C8B"/>
    <w:rsid w:val="00757CA7"/>
    <w:rsid w:val="00757FAC"/>
    <w:rsid w:val="0076011B"/>
    <w:rsid w:val="0076020F"/>
    <w:rsid w:val="00760223"/>
    <w:rsid w:val="00760382"/>
    <w:rsid w:val="007603AF"/>
    <w:rsid w:val="0076071E"/>
    <w:rsid w:val="00760775"/>
    <w:rsid w:val="00760879"/>
    <w:rsid w:val="00760983"/>
    <w:rsid w:val="007609AD"/>
    <w:rsid w:val="00760A5B"/>
    <w:rsid w:val="00760A67"/>
    <w:rsid w:val="00760AC6"/>
    <w:rsid w:val="00760B8B"/>
    <w:rsid w:val="00760BD7"/>
    <w:rsid w:val="00760CB7"/>
    <w:rsid w:val="00760CBB"/>
    <w:rsid w:val="00760EDC"/>
    <w:rsid w:val="007610B5"/>
    <w:rsid w:val="0076113C"/>
    <w:rsid w:val="0076120B"/>
    <w:rsid w:val="007612E7"/>
    <w:rsid w:val="007613A2"/>
    <w:rsid w:val="0076142C"/>
    <w:rsid w:val="007614D4"/>
    <w:rsid w:val="0076163F"/>
    <w:rsid w:val="00761774"/>
    <w:rsid w:val="007617A7"/>
    <w:rsid w:val="00761A21"/>
    <w:rsid w:val="00761BED"/>
    <w:rsid w:val="00761C5F"/>
    <w:rsid w:val="00761DE1"/>
    <w:rsid w:val="00761E49"/>
    <w:rsid w:val="00761EF3"/>
    <w:rsid w:val="007622DB"/>
    <w:rsid w:val="007622FC"/>
    <w:rsid w:val="0076251F"/>
    <w:rsid w:val="00762548"/>
    <w:rsid w:val="0076266F"/>
    <w:rsid w:val="0076280C"/>
    <w:rsid w:val="00762B27"/>
    <w:rsid w:val="00762B7C"/>
    <w:rsid w:val="00762C44"/>
    <w:rsid w:val="00762CE3"/>
    <w:rsid w:val="00762DA4"/>
    <w:rsid w:val="00762DA9"/>
    <w:rsid w:val="00762E14"/>
    <w:rsid w:val="007632E4"/>
    <w:rsid w:val="007635C6"/>
    <w:rsid w:val="0076364D"/>
    <w:rsid w:val="0076379A"/>
    <w:rsid w:val="00763855"/>
    <w:rsid w:val="0076386A"/>
    <w:rsid w:val="007638B7"/>
    <w:rsid w:val="0076391A"/>
    <w:rsid w:val="00763A8E"/>
    <w:rsid w:val="00763AC9"/>
    <w:rsid w:val="00763E98"/>
    <w:rsid w:val="00764100"/>
    <w:rsid w:val="007644E4"/>
    <w:rsid w:val="007645E0"/>
    <w:rsid w:val="0076486D"/>
    <w:rsid w:val="007648B4"/>
    <w:rsid w:val="00764900"/>
    <w:rsid w:val="00764926"/>
    <w:rsid w:val="00764957"/>
    <w:rsid w:val="00764960"/>
    <w:rsid w:val="0076499A"/>
    <w:rsid w:val="007649A2"/>
    <w:rsid w:val="00764AEE"/>
    <w:rsid w:val="00764C4D"/>
    <w:rsid w:val="00764C9B"/>
    <w:rsid w:val="00764D9C"/>
    <w:rsid w:val="00764DF6"/>
    <w:rsid w:val="00764E6C"/>
    <w:rsid w:val="00764EB0"/>
    <w:rsid w:val="00764F6C"/>
    <w:rsid w:val="00765207"/>
    <w:rsid w:val="0076523D"/>
    <w:rsid w:val="00765452"/>
    <w:rsid w:val="0076550E"/>
    <w:rsid w:val="0076552D"/>
    <w:rsid w:val="007655A5"/>
    <w:rsid w:val="0076561F"/>
    <w:rsid w:val="00765679"/>
    <w:rsid w:val="007656AE"/>
    <w:rsid w:val="007656DE"/>
    <w:rsid w:val="00765822"/>
    <w:rsid w:val="00765830"/>
    <w:rsid w:val="00765863"/>
    <w:rsid w:val="00765874"/>
    <w:rsid w:val="00765AE6"/>
    <w:rsid w:val="00765D6E"/>
    <w:rsid w:val="00765DC2"/>
    <w:rsid w:val="00765E65"/>
    <w:rsid w:val="00765EC4"/>
    <w:rsid w:val="00765F45"/>
    <w:rsid w:val="00765FFC"/>
    <w:rsid w:val="00766056"/>
    <w:rsid w:val="00766295"/>
    <w:rsid w:val="00766426"/>
    <w:rsid w:val="00766435"/>
    <w:rsid w:val="007664B8"/>
    <w:rsid w:val="007664E0"/>
    <w:rsid w:val="00766531"/>
    <w:rsid w:val="00766536"/>
    <w:rsid w:val="00766805"/>
    <w:rsid w:val="00766886"/>
    <w:rsid w:val="0076692D"/>
    <w:rsid w:val="0076694E"/>
    <w:rsid w:val="0076698E"/>
    <w:rsid w:val="00766C80"/>
    <w:rsid w:val="00766CB6"/>
    <w:rsid w:val="00766CF1"/>
    <w:rsid w:val="00766DC8"/>
    <w:rsid w:val="00766E6F"/>
    <w:rsid w:val="00766F79"/>
    <w:rsid w:val="00766FAD"/>
    <w:rsid w:val="00766FC9"/>
    <w:rsid w:val="00766FEE"/>
    <w:rsid w:val="00767056"/>
    <w:rsid w:val="007670C7"/>
    <w:rsid w:val="007671EC"/>
    <w:rsid w:val="0076730C"/>
    <w:rsid w:val="0076738C"/>
    <w:rsid w:val="007673CB"/>
    <w:rsid w:val="007674E6"/>
    <w:rsid w:val="00767597"/>
    <w:rsid w:val="007676BE"/>
    <w:rsid w:val="007676C1"/>
    <w:rsid w:val="007676F4"/>
    <w:rsid w:val="00767790"/>
    <w:rsid w:val="00767796"/>
    <w:rsid w:val="007678A7"/>
    <w:rsid w:val="007678CB"/>
    <w:rsid w:val="00767938"/>
    <w:rsid w:val="00767AA0"/>
    <w:rsid w:val="00767B18"/>
    <w:rsid w:val="00767BF8"/>
    <w:rsid w:val="00767DD7"/>
    <w:rsid w:val="00770161"/>
    <w:rsid w:val="00770189"/>
    <w:rsid w:val="007701B9"/>
    <w:rsid w:val="00770227"/>
    <w:rsid w:val="00770274"/>
    <w:rsid w:val="00770342"/>
    <w:rsid w:val="007705CC"/>
    <w:rsid w:val="007708BB"/>
    <w:rsid w:val="00770A08"/>
    <w:rsid w:val="00770A81"/>
    <w:rsid w:val="00770B30"/>
    <w:rsid w:val="00770D76"/>
    <w:rsid w:val="007711BD"/>
    <w:rsid w:val="007711EE"/>
    <w:rsid w:val="007713B1"/>
    <w:rsid w:val="0077141A"/>
    <w:rsid w:val="0077160B"/>
    <w:rsid w:val="00771617"/>
    <w:rsid w:val="007716D1"/>
    <w:rsid w:val="0077177F"/>
    <w:rsid w:val="007717BA"/>
    <w:rsid w:val="00771862"/>
    <w:rsid w:val="007719B1"/>
    <w:rsid w:val="00771A44"/>
    <w:rsid w:val="00771AB9"/>
    <w:rsid w:val="00771C24"/>
    <w:rsid w:val="00771C5C"/>
    <w:rsid w:val="00771E8D"/>
    <w:rsid w:val="007720C1"/>
    <w:rsid w:val="007722C1"/>
    <w:rsid w:val="007722C8"/>
    <w:rsid w:val="0077231A"/>
    <w:rsid w:val="00772677"/>
    <w:rsid w:val="0077270C"/>
    <w:rsid w:val="00772840"/>
    <w:rsid w:val="00772855"/>
    <w:rsid w:val="007729B0"/>
    <w:rsid w:val="00772AFC"/>
    <w:rsid w:val="00772B05"/>
    <w:rsid w:val="00772D50"/>
    <w:rsid w:val="00772E53"/>
    <w:rsid w:val="00773382"/>
    <w:rsid w:val="007735FB"/>
    <w:rsid w:val="00773731"/>
    <w:rsid w:val="0077375F"/>
    <w:rsid w:val="00773834"/>
    <w:rsid w:val="00773B7E"/>
    <w:rsid w:val="00773C05"/>
    <w:rsid w:val="0077402A"/>
    <w:rsid w:val="00774143"/>
    <w:rsid w:val="007741AE"/>
    <w:rsid w:val="007742B0"/>
    <w:rsid w:val="007742D4"/>
    <w:rsid w:val="0077446C"/>
    <w:rsid w:val="0077457A"/>
    <w:rsid w:val="00774583"/>
    <w:rsid w:val="007746CB"/>
    <w:rsid w:val="0077478A"/>
    <w:rsid w:val="007748CD"/>
    <w:rsid w:val="0077496E"/>
    <w:rsid w:val="00774BA3"/>
    <w:rsid w:val="00774BBD"/>
    <w:rsid w:val="00774BDC"/>
    <w:rsid w:val="00774C3F"/>
    <w:rsid w:val="00774D0C"/>
    <w:rsid w:val="00774D39"/>
    <w:rsid w:val="00774DD3"/>
    <w:rsid w:val="00774E2B"/>
    <w:rsid w:val="00774EB3"/>
    <w:rsid w:val="00774EED"/>
    <w:rsid w:val="0077500F"/>
    <w:rsid w:val="00775198"/>
    <w:rsid w:val="00775250"/>
    <w:rsid w:val="0077527A"/>
    <w:rsid w:val="00775367"/>
    <w:rsid w:val="00775369"/>
    <w:rsid w:val="007753BD"/>
    <w:rsid w:val="007753F3"/>
    <w:rsid w:val="007753FF"/>
    <w:rsid w:val="00775416"/>
    <w:rsid w:val="007754A0"/>
    <w:rsid w:val="007754F9"/>
    <w:rsid w:val="007755AB"/>
    <w:rsid w:val="00775630"/>
    <w:rsid w:val="007756E8"/>
    <w:rsid w:val="00775881"/>
    <w:rsid w:val="0077593E"/>
    <w:rsid w:val="0077594A"/>
    <w:rsid w:val="00775A17"/>
    <w:rsid w:val="00775A2F"/>
    <w:rsid w:val="00775ACC"/>
    <w:rsid w:val="00775BCF"/>
    <w:rsid w:val="00775BDF"/>
    <w:rsid w:val="00775BED"/>
    <w:rsid w:val="00775C89"/>
    <w:rsid w:val="00775DDB"/>
    <w:rsid w:val="00775F92"/>
    <w:rsid w:val="00776052"/>
    <w:rsid w:val="007762E2"/>
    <w:rsid w:val="0077648F"/>
    <w:rsid w:val="007766EF"/>
    <w:rsid w:val="00776763"/>
    <w:rsid w:val="00776958"/>
    <w:rsid w:val="00776B0D"/>
    <w:rsid w:val="00776B70"/>
    <w:rsid w:val="00776BE3"/>
    <w:rsid w:val="00776DC9"/>
    <w:rsid w:val="00776DE7"/>
    <w:rsid w:val="00776EDA"/>
    <w:rsid w:val="00776F45"/>
    <w:rsid w:val="00776F51"/>
    <w:rsid w:val="0077709F"/>
    <w:rsid w:val="00777135"/>
    <w:rsid w:val="00777180"/>
    <w:rsid w:val="00777266"/>
    <w:rsid w:val="00777299"/>
    <w:rsid w:val="007772C6"/>
    <w:rsid w:val="007772FD"/>
    <w:rsid w:val="00777384"/>
    <w:rsid w:val="00777432"/>
    <w:rsid w:val="0077743D"/>
    <w:rsid w:val="007775DE"/>
    <w:rsid w:val="00777655"/>
    <w:rsid w:val="00777684"/>
    <w:rsid w:val="007776BA"/>
    <w:rsid w:val="007776F9"/>
    <w:rsid w:val="0077771F"/>
    <w:rsid w:val="00777901"/>
    <w:rsid w:val="00777967"/>
    <w:rsid w:val="00777AAF"/>
    <w:rsid w:val="00777AB2"/>
    <w:rsid w:val="00777BD4"/>
    <w:rsid w:val="00777D52"/>
    <w:rsid w:val="00779018"/>
    <w:rsid w:val="0078014C"/>
    <w:rsid w:val="0078025E"/>
    <w:rsid w:val="00780288"/>
    <w:rsid w:val="007802A1"/>
    <w:rsid w:val="00780445"/>
    <w:rsid w:val="00780532"/>
    <w:rsid w:val="00780560"/>
    <w:rsid w:val="007805DB"/>
    <w:rsid w:val="007806FA"/>
    <w:rsid w:val="007809B6"/>
    <w:rsid w:val="00780A96"/>
    <w:rsid w:val="00780B91"/>
    <w:rsid w:val="00780FA3"/>
    <w:rsid w:val="0078128B"/>
    <w:rsid w:val="0078129D"/>
    <w:rsid w:val="007813DD"/>
    <w:rsid w:val="00781406"/>
    <w:rsid w:val="007816C4"/>
    <w:rsid w:val="00781718"/>
    <w:rsid w:val="0078179F"/>
    <w:rsid w:val="00781853"/>
    <w:rsid w:val="00781899"/>
    <w:rsid w:val="007818C7"/>
    <w:rsid w:val="00781CAF"/>
    <w:rsid w:val="00781DA3"/>
    <w:rsid w:val="00781E3C"/>
    <w:rsid w:val="0078205A"/>
    <w:rsid w:val="00782084"/>
    <w:rsid w:val="007821C0"/>
    <w:rsid w:val="007822EC"/>
    <w:rsid w:val="0078237C"/>
    <w:rsid w:val="00782697"/>
    <w:rsid w:val="007826DF"/>
    <w:rsid w:val="00782800"/>
    <w:rsid w:val="00782C81"/>
    <w:rsid w:val="00782DBE"/>
    <w:rsid w:val="00782E56"/>
    <w:rsid w:val="0078308C"/>
    <w:rsid w:val="00783149"/>
    <w:rsid w:val="0078332F"/>
    <w:rsid w:val="007833B0"/>
    <w:rsid w:val="007833F4"/>
    <w:rsid w:val="0078347F"/>
    <w:rsid w:val="007835DB"/>
    <w:rsid w:val="00783625"/>
    <w:rsid w:val="00783634"/>
    <w:rsid w:val="007838A2"/>
    <w:rsid w:val="007839E0"/>
    <w:rsid w:val="00783A0F"/>
    <w:rsid w:val="00783B87"/>
    <w:rsid w:val="00783E70"/>
    <w:rsid w:val="007842DA"/>
    <w:rsid w:val="00784449"/>
    <w:rsid w:val="0078446F"/>
    <w:rsid w:val="007845F9"/>
    <w:rsid w:val="007846E2"/>
    <w:rsid w:val="0078473B"/>
    <w:rsid w:val="007847AA"/>
    <w:rsid w:val="00784892"/>
    <w:rsid w:val="0078493B"/>
    <w:rsid w:val="00784980"/>
    <w:rsid w:val="00784AC0"/>
    <w:rsid w:val="00784AEC"/>
    <w:rsid w:val="00784BDD"/>
    <w:rsid w:val="00784C57"/>
    <w:rsid w:val="00784DB4"/>
    <w:rsid w:val="00784E25"/>
    <w:rsid w:val="007850F3"/>
    <w:rsid w:val="00785216"/>
    <w:rsid w:val="007853AD"/>
    <w:rsid w:val="00785492"/>
    <w:rsid w:val="0078554D"/>
    <w:rsid w:val="0078558D"/>
    <w:rsid w:val="007855A0"/>
    <w:rsid w:val="007855D8"/>
    <w:rsid w:val="007857C5"/>
    <w:rsid w:val="00785B00"/>
    <w:rsid w:val="00785D8A"/>
    <w:rsid w:val="00786114"/>
    <w:rsid w:val="00786449"/>
    <w:rsid w:val="0078657B"/>
    <w:rsid w:val="0078657F"/>
    <w:rsid w:val="007866A9"/>
    <w:rsid w:val="007868B4"/>
    <w:rsid w:val="00786A10"/>
    <w:rsid w:val="00786AC8"/>
    <w:rsid w:val="00786AEB"/>
    <w:rsid w:val="00786D7E"/>
    <w:rsid w:val="00786EF4"/>
    <w:rsid w:val="00786FBF"/>
    <w:rsid w:val="0078705B"/>
    <w:rsid w:val="007870F5"/>
    <w:rsid w:val="00787320"/>
    <w:rsid w:val="0078739C"/>
    <w:rsid w:val="00787537"/>
    <w:rsid w:val="00787625"/>
    <w:rsid w:val="00787733"/>
    <w:rsid w:val="00787875"/>
    <w:rsid w:val="007878F5"/>
    <w:rsid w:val="007879E2"/>
    <w:rsid w:val="00787A43"/>
    <w:rsid w:val="00787A6F"/>
    <w:rsid w:val="00787CA2"/>
    <w:rsid w:val="00787E25"/>
    <w:rsid w:val="00787EE0"/>
    <w:rsid w:val="00787EF2"/>
    <w:rsid w:val="00787F52"/>
    <w:rsid w:val="00787FA8"/>
    <w:rsid w:val="00790092"/>
    <w:rsid w:val="00790190"/>
    <w:rsid w:val="007901A7"/>
    <w:rsid w:val="00790275"/>
    <w:rsid w:val="0079048C"/>
    <w:rsid w:val="007904EB"/>
    <w:rsid w:val="00790578"/>
    <w:rsid w:val="007906BC"/>
    <w:rsid w:val="00790823"/>
    <w:rsid w:val="007909D7"/>
    <w:rsid w:val="00790AD1"/>
    <w:rsid w:val="00790B15"/>
    <w:rsid w:val="00790B2C"/>
    <w:rsid w:val="00790BBA"/>
    <w:rsid w:val="00790D8F"/>
    <w:rsid w:val="00790D9A"/>
    <w:rsid w:val="00790EEF"/>
    <w:rsid w:val="00791117"/>
    <w:rsid w:val="007914E5"/>
    <w:rsid w:val="00791689"/>
    <w:rsid w:val="007916F3"/>
    <w:rsid w:val="00791711"/>
    <w:rsid w:val="00791773"/>
    <w:rsid w:val="007917AD"/>
    <w:rsid w:val="00791831"/>
    <w:rsid w:val="00791905"/>
    <w:rsid w:val="00791991"/>
    <w:rsid w:val="00791A00"/>
    <w:rsid w:val="00791BC8"/>
    <w:rsid w:val="00791D97"/>
    <w:rsid w:val="00791E7F"/>
    <w:rsid w:val="00791EE8"/>
    <w:rsid w:val="00791F47"/>
    <w:rsid w:val="007921D6"/>
    <w:rsid w:val="007924DB"/>
    <w:rsid w:val="0079262D"/>
    <w:rsid w:val="00792671"/>
    <w:rsid w:val="0079277B"/>
    <w:rsid w:val="0079281D"/>
    <w:rsid w:val="007928F7"/>
    <w:rsid w:val="00792919"/>
    <w:rsid w:val="00792AE0"/>
    <w:rsid w:val="00792C43"/>
    <w:rsid w:val="00792D91"/>
    <w:rsid w:val="00792F6A"/>
    <w:rsid w:val="00792F6D"/>
    <w:rsid w:val="007930DD"/>
    <w:rsid w:val="0079312A"/>
    <w:rsid w:val="007931D5"/>
    <w:rsid w:val="00793667"/>
    <w:rsid w:val="0079370D"/>
    <w:rsid w:val="007937CD"/>
    <w:rsid w:val="007939A0"/>
    <w:rsid w:val="007939B3"/>
    <w:rsid w:val="007939F8"/>
    <w:rsid w:val="00793A03"/>
    <w:rsid w:val="00793AAA"/>
    <w:rsid w:val="00793ADF"/>
    <w:rsid w:val="00793B18"/>
    <w:rsid w:val="00793D88"/>
    <w:rsid w:val="00793E1D"/>
    <w:rsid w:val="00794242"/>
    <w:rsid w:val="00794289"/>
    <w:rsid w:val="007942CB"/>
    <w:rsid w:val="007945C3"/>
    <w:rsid w:val="00794652"/>
    <w:rsid w:val="007946FA"/>
    <w:rsid w:val="0079470A"/>
    <w:rsid w:val="00794865"/>
    <w:rsid w:val="0079498D"/>
    <w:rsid w:val="007949DB"/>
    <w:rsid w:val="00794A53"/>
    <w:rsid w:val="00794AB5"/>
    <w:rsid w:val="00794ADC"/>
    <w:rsid w:val="00794BF3"/>
    <w:rsid w:val="00794CB2"/>
    <w:rsid w:val="00794E09"/>
    <w:rsid w:val="00794F53"/>
    <w:rsid w:val="00794FF9"/>
    <w:rsid w:val="0079514F"/>
    <w:rsid w:val="00795245"/>
    <w:rsid w:val="00795386"/>
    <w:rsid w:val="0079542F"/>
    <w:rsid w:val="00795615"/>
    <w:rsid w:val="00795895"/>
    <w:rsid w:val="007959BA"/>
    <w:rsid w:val="00795B81"/>
    <w:rsid w:val="00795CA7"/>
    <w:rsid w:val="00795CDC"/>
    <w:rsid w:val="00795D10"/>
    <w:rsid w:val="00795DCE"/>
    <w:rsid w:val="00795F55"/>
    <w:rsid w:val="00795F81"/>
    <w:rsid w:val="00795FDD"/>
    <w:rsid w:val="00796525"/>
    <w:rsid w:val="007966BE"/>
    <w:rsid w:val="00796964"/>
    <w:rsid w:val="00796C52"/>
    <w:rsid w:val="007971A9"/>
    <w:rsid w:val="00797248"/>
    <w:rsid w:val="007974F6"/>
    <w:rsid w:val="00797624"/>
    <w:rsid w:val="007976A3"/>
    <w:rsid w:val="0079770C"/>
    <w:rsid w:val="0079779C"/>
    <w:rsid w:val="0079788E"/>
    <w:rsid w:val="007978AE"/>
    <w:rsid w:val="0079796A"/>
    <w:rsid w:val="00797F46"/>
    <w:rsid w:val="00797F9E"/>
    <w:rsid w:val="007A0045"/>
    <w:rsid w:val="007A01E1"/>
    <w:rsid w:val="007A023D"/>
    <w:rsid w:val="007A040C"/>
    <w:rsid w:val="007A05AB"/>
    <w:rsid w:val="007A05EF"/>
    <w:rsid w:val="007A081F"/>
    <w:rsid w:val="007A0899"/>
    <w:rsid w:val="007A08E2"/>
    <w:rsid w:val="007A09DE"/>
    <w:rsid w:val="007A0A3D"/>
    <w:rsid w:val="007A0A5C"/>
    <w:rsid w:val="007A0A8A"/>
    <w:rsid w:val="007A0BB7"/>
    <w:rsid w:val="007A0C3B"/>
    <w:rsid w:val="007A0C6B"/>
    <w:rsid w:val="007A0DD6"/>
    <w:rsid w:val="007A0DE4"/>
    <w:rsid w:val="007A0EB1"/>
    <w:rsid w:val="007A0F08"/>
    <w:rsid w:val="007A0F5B"/>
    <w:rsid w:val="007A100E"/>
    <w:rsid w:val="007A1017"/>
    <w:rsid w:val="007A1024"/>
    <w:rsid w:val="007A10DE"/>
    <w:rsid w:val="007A1111"/>
    <w:rsid w:val="007A1113"/>
    <w:rsid w:val="007A116D"/>
    <w:rsid w:val="007A117A"/>
    <w:rsid w:val="007A12D3"/>
    <w:rsid w:val="007A13AA"/>
    <w:rsid w:val="007A1525"/>
    <w:rsid w:val="007A1561"/>
    <w:rsid w:val="007A1597"/>
    <w:rsid w:val="007A1672"/>
    <w:rsid w:val="007A169C"/>
    <w:rsid w:val="007A19C8"/>
    <w:rsid w:val="007A19DA"/>
    <w:rsid w:val="007A1B82"/>
    <w:rsid w:val="007A1CD2"/>
    <w:rsid w:val="007A1D57"/>
    <w:rsid w:val="007A2014"/>
    <w:rsid w:val="007A20EE"/>
    <w:rsid w:val="007A2584"/>
    <w:rsid w:val="007A2664"/>
    <w:rsid w:val="007A26E6"/>
    <w:rsid w:val="007A271D"/>
    <w:rsid w:val="007A2A66"/>
    <w:rsid w:val="007A2B0B"/>
    <w:rsid w:val="007A2D43"/>
    <w:rsid w:val="007A2D71"/>
    <w:rsid w:val="007A313A"/>
    <w:rsid w:val="007A34DE"/>
    <w:rsid w:val="007A366C"/>
    <w:rsid w:val="007A3746"/>
    <w:rsid w:val="007A38A3"/>
    <w:rsid w:val="007A38FA"/>
    <w:rsid w:val="007A3956"/>
    <w:rsid w:val="007A3985"/>
    <w:rsid w:val="007A3AB6"/>
    <w:rsid w:val="007A3B74"/>
    <w:rsid w:val="007A3BFD"/>
    <w:rsid w:val="007A3C22"/>
    <w:rsid w:val="007A3D4D"/>
    <w:rsid w:val="007A3DCF"/>
    <w:rsid w:val="007A3F67"/>
    <w:rsid w:val="007A409C"/>
    <w:rsid w:val="007A4191"/>
    <w:rsid w:val="007A41B1"/>
    <w:rsid w:val="007A41F9"/>
    <w:rsid w:val="007A4282"/>
    <w:rsid w:val="007A44E7"/>
    <w:rsid w:val="007A4564"/>
    <w:rsid w:val="007A469C"/>
    <w:rsid w:val="007A46EE"/>
    <w:rsid w:val="007A4713"/>
    <w:rsid w:val="007A47A0"/>
    <w:rsid w:val="007A47D3"/>
    <w:rsid w:val="007A47E3"/>
    <w:rsid w:val="007A491F"/>
    <w:rsid w:val="007A4956"/>
    <w:rsid w:val="007A4CE9"/>
    <w:rsid w:val="007A4DD3"/>
    <w:rsid w:val="007A50F0"/>
    <w:rsid w:val="007A513C"/>
    <w:rsid w:val="007A51A3"/>
    <w:rsid w:val="007A520E"/>
    <w:rsid w:val="007A533A"/>
    <w:rsid w:val="007A555A"/>
    <w:rsid w:val="007A55B4"/>
    <w:rsid w:val="007A575E"/>
    <w:rsid w:val="007A594C"/>
    <w:rsid w:val="007A5ABF"/>
    <w:rsid w:val="007A5AE6"/>
    <w:rsid w:val="007A5B65"/>
    <w:rsid w:val="007A5D48"/>
    <w:rsid w:val="007A5D58"/>
    <w:rsid w:val="007A5D85"/>
    <w:rsid w:val="007A5F31"/>
    <w:rsid w:val="007A6167"/>
    <w:rsid w:val="007A6240"/>
    <w:rsid w:val="007A628E"/>
    <w:rsid w:val="007A62C5"/>
    <w:rsid w:val="007A6498"/>
    <w:rsid w:val="007A649E"/>
    <w:rsid w:val="007A64BC"/>
    <w:rsid w:val="007A64E8"/>
    <w:rsid w:val="007A651E"/>
    <w:rsid w:val="007A675F"/>
    <w:rsid w:val="007A67A6"/>
    <w:rsid w:val="007A67C5"/>
    <w:rsid w:val="007A682C"/>
    <w:rsid w:val="007A69F6"/>
    <w:rsid w:val="007A6C0B"/>
    <w:rsid w:val="007A6C27"/>
    <w:rsid w:val="007A6D0C"/>
    <w:rsid w:val="007A6D48"/>
    <w:rsid w:val="007A6E46"/>
    <w:rsid w:val="007A6EAA"/>
    <w:rsid w:val="007A6FF1"/>
    <w:rsid w:val="007A7060"/>
    <w:rsid w:val="007A7274"/>
    <w:rsid w:val="007A72F8"/>
    <w:rsid w:val="007A7580"/>
    <w:rsid w:val="007A7640"/>
    <w:rsid w:val="007A7725"/>
    <w:rsid w:val="007A7850"/>
    <w:rsid w:val="007A78DC"/>
    <w:rsid w:val="007A7A69"/>
    <w:rsid w:val="007A7ABD"/>
    <w:rsid w:val="007A7B58"/>
    <w:rsid w:val="007A7B7C"/>
    <w:rsid w:val="007A7BFD"/>
    <w:rsid w:val="007A7C12"/>
    <w:rsid w:val="007A7E86"/>
    <w:rsid w:val="007A7F2F"/>
    <w:rsid w:val="007A7FA7"/>
    <w:rsid w:val="007B01DB"/>
    <w:rsid w:val="007B0319"/>
    <w:rsid w:val="007B03B5"/>
    <w:rsid w:val="007B03F4"/>
    <w:rsid w:val="007B0619"/>
    <w:rsid w:val="007B069B"/>
    <w:rsid w:val="007B069D"/>
    <w:rsid w:val="007B072B"/>
    <w:rsid w:val="007B093A"/>
    <w:rsid w:val="007B09AD"/>
    <w:rsid w:val="007B0AA2"/>
    <w:rsid w:val="007B0B66"/>
    <w:rsid w:val="007B0CFC"/>
    <w:rsid w:val="007B0D05"/>
    <w:rsid w:val="007B0E47"/>
    <w:rsid w:val="007B0E99"/>
    <w:rsid w:val="007B0F64"/>
    <w:rsid w:val="007B1306"/>
    <w:rsid w:val="007B1341"/>
    <w:rsid w:val="007B1402"/>
    <w:rsid w:val="007B1466"/>
    <w:rsid w:val="007B1563"/>
    <w:rsid w:val="007B1706"/>
    <w:rsid w:val="007B1740"/>
    <w:rsid w:val="007B1863"/>
    <w:rsid w:val="007B19D9"/>
    <w:rsid w:val="007B1C43"/>
    <w:rsid w:val="007B1DAC"/>
    <w:rsid w:val="007B2026"/>
    <w:rsid w:val="007B20AD"/>
    <w:rsid w:val="007B2297"/>
    <w:rsid w:val="007B22C5"/>
    <w:rsid w:val="007B23D6"/>
    <w:rsid w:val="007B256B"/>
    <w:rsid w:val="007B25BC"/>
    <w:rsid w:val="007B26F1"/>
    <w:rsid w:val="007B2797"/>
    <w:rsid w:val="007B288B"/>
    <w:rsid w:val="007B289C"/>
    <w:rsid w:val="007B293C"/>
    <w:rsid w:val="007B2951"/>
    <w:rsid w:val="007B296A"/>
    <w:rsid w:val="007B2CFD"/>
    <w:rsid w:val="007B2DF6"/>
    <w:rsid w:val="007B2F41"/>
    <w:rsid w:val="007B32C9"/>
    <w:rsid w:val="007B3594"/>
    <w:rsid w:val="007B359A"/>
    <w:rsid w:val="007B361D"/>
    <w:rsid w:val="007B37BE"/>
    <w:rsid w:val="007B37EC"/>
    <w:rsid w:val="007B382F"/>
    <w:rsid w:val="007B3A3E"/>
    <w:rsid w:val="007B3A8D"/>
    <w:rsid w:val="007B3BF7"/>
    <w:rsid w:val="007B3D12"/>
    <w:rsid w:val="007B3D95"/>
    <w:rsid w:val="007B3DF2"/>
    <w:rsid w:val="007B3F37"/>
    <w:rsid w:val="007B4034"/>
    <w:rsid w:val="007B41BE"/>
    <w:rsid w:val="007B429B"/>
    <w:rsid w:val="007B42CA"/>
    <w:rsid w:val="007B42CF"/>
    <w:rsid w:val="007B42E5"/>
    <w:rsid w:val="007B43D2"/>
    <w:rsid w:val="007B44C9"/>
    <w:rsid w:val="007B4651"/>
    <w:rsid w:val="007B4687"/>
    <w:rsid w:val="007B484B"/>
    <w:rsid w:val="007B485E"/>
    <w:rsid w:val="007B490B"/>
    <w:rsid w:val="007B4FF3"/>
    <w:rsid w:val="007B5155"/>
    <w:rsid w:val="007B5300"/>
    <w:rsid w:val="007B53E4"/>
    <w:rsid w:val="007B580D"/>
    <w:rsid w:val="007B58F6"/>
    <w:rsid w:val="007B598D"/>
    <w:rsid w:val="007B5A95"/>
    <w:rsid w:val="007B5A9A"/>
    <w:rsid w:val="007B5D5E"/>
    <w:rsid w:val="007B5D73"/>
    <w:rsid w:val="007B5E2B"/>
    <w:rsid w:val="007B628A"/>
    <w:rsid w:val="007B6337"/>
    <w:rsid w:val="007B635E"/>
    <w:rsid w:val="007B6383"/>
    <w:rsid w:val="007B6555"/>
    <w:rsid w:val="007B65E3"/>
    <w:rsid w:val="007B67D3"/>
    <w:rsid w:val="007B6849"/>
    <w:rsid w:val="007B6A3E"/>
    <w:rsid w:val="007B6AC2"/>
    <w:rsid w:val="007B6B43"/>
    <w:rsid w:val="007B6DF8"/>
    <w:rsid w:val="007B7432"/>
    <w:rsid w:val="007B75A8"/>
    <w:rsid w:val="007B7699"/>
    <w:rsid w:val="007B796E"/>
    <w:rsid w:val="007B7D25"/>
    <w:rsid w:val="007B7E1C"/>
    <w:rsid w:val="007B7EE6"/>
    <w:rsid w:val="007C001B"/>
    <w:rsid w:val="007C00DA"/>
    <w:rsid w:val="007C01C0"/>
    <w:rsid w:val="007C0222"/>
    <w:rsid w:val="007C0228"/>
    <w:rsid w:val="007C0332"/>
    <w:rsid w:val="007C0336"/>
    <w:rsid w:val="007C033C"/>
    <w:rsid w:val="007C03C7"/>
    <w:rsid w:val="007C06CC"/>
    <w:rsid w:val="007C0747"/>
    <w:rsid w:val="007C0760"/>
    <w:rsid w:val="007C07E9"/>
    <w:rsid w:val="007C08BE"/>
    <w:rsid w:val="007C08F6"/>
    <w:rsid w:val="007C0923"/>
    <w:rsid w:val="007C0A0C"/>
    <w:rsid w:val="007C0AD1"/>
    <w:rsid w:val="007C0AF0"/>
    <w:rsid w:val="007C0FFF"/>
    <w:rsid w:val="007C10F9"/>
    <w:rsid w:val="007C1158"/>
    <w:rsid w:val="007C12E5"/>
    <w:rsid w:val="007C1344"/>
    <w:rsid w:val="007C1504"/>
    <w:rsid w:val="007C1541"/>
    <w:rsid w:val="007C15B2"/>
    <w:rsid w:val="007C16C6"/>
    <w:rsid w:val="007C17C2"/>
    <w:rsid w:val="007C1964"/>
    <w:rsid w:val="007C1BEE"/>
    <w:rsid w:val="007C1CA4"/>
    <w:rsid w:val="007C1CB2"/>
    <w:rsid w:val="007C20E2"/>
    <w:rsid w:val="007C218F"/>
    <w:rsid w:val="007C23E7"/>
    <w:rsid w:val="007C2443"/>
    <w:rsid w:val="007C2489"/>
    <w:rsid w:val="007C25F9"/>
    <w:rsid w:val="007C28B2"/>
    <w:rsid w:val="007C28B6"/>
    <w:rsid w:val="007C292C"/>
    <w:rsid w:val="007C296F"/>
    <w:rsid w:val="007C2B0D"/>
    <w:rsid w:val="007C2C0E"/>
    <w:rsid w:val="007C2C74"/>
    <w:rsid w:val="007C2E0C"/>
    <w:rsid w:val="007C2F48"/>
    <w:rsid w:val="007C3167"/>
    <w:rsid w:val="007C317A"/>
    <w:rsid w:val="007C3193"/>
    <w:rsid w:val="007C326A"/>
    <w:rsid w:val="007C332C"/>
    <w:rsid w:val="007C3342"/>
    <w:rsid w:val="007C337E"/>
    <w:rsid w:val="007C37D8"/>
    <w:rsid w:val="007C38A1"/>
    <w:rsid w:val="007C39F6"/>
    <w:rsid w:val="007C3A18"/>
    <w:rsid w:val="007C3A41"/>
    <w:rsid w:val="007C3B99"/>
    <w:rsid w:val="007C3C3A"/>
    <w:rsid w:val="007C3C59"/>
    <w:rsid w:val="007C3CF1"/>
    <w:rsid w:val="007C3EC2"/>
    <w:rsid w:val="007C4128"/>
    <w:rsid w:val="007C42C0"/>
    <w:rsid w:val="007C4388"/>
    <w:rsid w:val="007C4515"/>
    <w:rsid w:val="007C458A"/>
    <w:rsid w:val="007C473B"/>
    <w:rsid w:val="007C48B7"/>
    <w:rsid w:val="007C49E1"/>
    <w:rsid w:val="007C4A1A"/>
    <w:rsid w:val="007C4BC8"/>
    <w:rsid w:val="007C4D05"/>
    <w:rsid w:val="007C4DB3"/>
    <w:rsid w:val="007C4E33"/>
    <w:rsid w:val="007C507C"/>
    <w:rsid w:val="007C513B"/>
    <w:rsid w:val="007C52A9"/>
    <w:rsid w:val="007C55B8"/>
    <w:rsid w:val="007C55EE"/>
    <w:rsid w:val="007C5695"/>
    <w:rsid w:val="007C586B"/>
    <w:rsid w:val="007C5B52"/>
    <w:rsid w:val="007C5D22"/>
    <w:rsid w:val="007C5DD2"/>
    <w:rsid w:val="007C5E85"/>
    <w:rsid w:val="007C5F8D"/>
    <w:rsid w:val="007C600B"/>
    <w:rsid w:val="007C615B"/>
    <w:rsid w:val="007C62CF"/>
    <w:rsid w:val="007C6415"/>
    <w:rsid w:val="007C64ED"/>
    <w:rsid w:val="007C656B"/>
    <w:rsid w:val="007C65A7"/>
    <w:rsid w:val="007C66E0"/>
    <w:rsid w:val="007C6794"/>
    <w:rsid w:val="007C683A"/>
    <w:rsid w:val="007C689D"/>
    <w:rsid w:val="007C6902"/>
    <w:rsid w:val="007C693F"/>
    <w:rsid w:val="007C69A7"/>
    <w:rsid w:val="007C6A5E"/>
    <w:rsid w:val="007C6AC6"/>
    <w:rsid w:val="007C6BB6"/>
    <w:rsid w:val="007C6C90"/>
    <w:rsid w:val="007C6E3B"/>
    <w:rsid w:val="007C70B7"/>
    <w:rsid w:val="007C715A"/>
    <w:rsid w:val="007C71A0"/>
    <w:rsid w:val="007C71A4"/>
    <w:rsid w:val="007C7268"/>
    <w:rsid w:val="007C735B"/>
    <w:rsid w:val="007C7564"/>
    <w:rsid w:val="007C7565"/>
    <w:rsid w:val="007C7683"/>
    <w:rsid w:val="007C76DB"/>
    <w:rsid w:val="007C7776"/>
    <w:rsid w:val="007C7887"/>
    <w:rsid w:val="007C7979"/>
    <w:rsid w:val="007C798A"/>
    <w:rsid w:val="007C79B1"/>
    <w:rsid w:val="007C7D52"/>
    <w:rsid w:val="007C7D61"/>
    <w:rsid w:val="007C7EAB"/>
    <w:rsid w:val="007C7F66"/>
    <w:rsid w:val="007C7FCA"/>
    <w:rsid w:val="007D035F"/>
    <w:rsid w:val="007D03C6"/>
    <w:rsid w:val="007D03CE"/>
    <w:rsid w:val="007D04F5"/>
    <w:rsid w:val="007D0564"/>
    <w:rsid w:val="007D05C9"/>
    <w:rsid w:val="007D06AA"/>
    <w:rsid w:val="007D07D2"/>
    <w:rsid w:val="007D08AD"/>
    <w:rsid w:val="007D09FF"/>
    <w:rsid w:val="007D0A0C"/>
    <w:rsid w:val="007D0C1B"/>
    <w:rsid w:val="007D0CDB"/>
    <w:rsid w:val="007D0DAD"/>
    <w:rsid w:val="007D0E25"/>
    <w:rsid w:val="007D0FC1"/>
    <w:rsid w:val="007D1066"/>
    <w:rsid w:val="007D10EE"/>
    <w:rsid w:val="007D11F3"/>
    <w:rsid w:val="007D1221"/>
    <w:rsid w:val="007D1272"/>
    <w:rsid w:val="007D172E"/>
    <w:rsid w:val="007D1851"/>
    <w:rsid w:val="007D1BD4"/>
    <w:rsid w:val="007D1FA3"/>
    <w:rsid w:val="007D2118"/>
    <w:rsid w:val="007D2131"/>
    <w:rsid w:val="007D220B"/>
    <w:rsid w:val="007D2355"/>
    <w:rsid w:val="007D237D"/>
    <w:rsid w:val="007D23F8"/>
    <w:rsid w:val="007D242D"/>
    <w:rsid w:val="007D2555"/>
    <w:rsid w:val="007D26E0"/>
    <w:rsid w:val="007D2704"/>
    <w:rsid w:val="007D286E"/>
    <w:rsid w:val="007D287F"/>
    <w:rsid w:val="007D2906"/>
    <w:rsid w:val="007D29D4"/>
    <w:rsid w:val="007D2B48"/>
    <w:rsid w:val="007D2B9C"/>
    <w:rsid w:val="007D2BA1"/>
    <w:rsid w:val="007D2CF7"/>
    <w:rsid w:val="007D2D63"/>
    <w:rsid w:val="007D2E91"/>
    <w:rsid w:val="007D31A0"/>
    <w:rsid w:val="007D34B8"/>
    <w:rsid w:val="007D353D"/>
    <w:rsid w:val="007D3665"/>
    <w:rsid w:val="007D3736"/>
    <w:rsid w:val="007D38C0"/>
    <w:rsid w:val="007D38DD"/>
    <w:rsid w:val="007D39C4"/>
    <w:rsid w:val="007D39CD"/>
    <w:rsid w:val="007D3A20"/>
    <w:rsid w:val="007D3D99"/>
    <w:rsid w:val="007D3E14"/>
    <w:rsid w:val="007D3EA4"/>
    <w:rsid w:val="007D3ECC"/>
    <w:rsid w:val="007D3FE5"/>
    <w:rsid w:val="007D4151"/>
    <w:rsid w:val="007D415D"/>
    <w:rsid w:val="007D4232"/>
    <w:rsid w:val="007D4268"/>
    <w:rsid w:val="007D42ED"/>
    <w:rsid w:val="007D4362"/>
    <w:rsid w:val="007D4412"/>
    <w:rsid w:val="007D4570"/>
    <w:rsid w:val="007D458E"/>
    <w:rsid w:val="007D45AA"/>
    <w:rsid w:val="007D4606"/>
    <w:rsid w:val="007D49BC"/>
    <w:rsid w:val="007D49DC"/>
    <w:rsid w:val="007D4A35"/>
    <w:rsid w:val="007D4BA6"/>
    <w:rsid w:val="007D4BAF"/>
    <w:rsid w:val="007D4BDB"/>
    <w:rsid w:val="007D4F27"/>
    <w:rsid w:val="007D4F4E"/>
    <w:rsid w:val="007D4FB8"/>
    <w:rsid w:val="007D518F"/>
    <w:rsid w:val="007D51D4"/>
    <w:rsid w:val="007D541D"/>
    <w:rsid w:val="007D5565"/>
    <w:rsid w:val="007D55D7"/>
    <w:rsid w:val="007D5775"/>
    <w:rsid w:val="007D5833"/>
    <w:rsid w:val="007D58CA"/>
    <w:rsid w:val="007D5D76"/>
    <w:rsid w:val="007D605B"/>
    <w:rsid w:val="007D608C"/>
    <w:rsid w:val="007D6415"/>
    <w:rsid w:val="007D652F"/>
    <w:rsid w:val="007D6743"/>
    <w:rsid w:val="007D675D"/>
    <w:rsid w:val="007D67F6"/>
    <w:rsid w:val="007D6D48"/>
    <w:rsid w:val="007D6D51"/>
    <w:rsid w:val="007D6E6D"/>
    <w:rsid w:val="007D6ECA"/>
    <w:rsid w:val="007D703C"/>
    <w:rsid w:val="007D71D5"/>
    <w:rsid w:val="007D74E6"/>
    <w:rsid w:val="007D755E"/>
    <w:rsid w:val="007D759F"/>
    <w:rsid w:val="007D7682"/>
    <w:rsid w:val="007D76C5"/>
    <w:rsid w:val="007D7755"/>
    <w:rsid w:val="007D7866"/>
    <w:rsid w:val="007D7BAE"/>
    <w:rsid w:val="007D7D69"/>
    <w:rsid w:val="007E0103"/>
    <w:rsid w:val="007E0214"/>
    <w:rsid w:val="007E0343"/>
    <w:rsid w:val="007E037D"/>
    <w:rsid w:val="007E03AF"/>
    <w:rsid w:val="007E0417"/>
    <w:rsid w:val="007E056B"/>
    <w:rsid w:val="007E063C"/>
    <w:rsid w:val="007E0775"/>
    <w:rsid w:val="007E0843"/>
    <w:rsid w:val="007E08A3"/>
    <w:rsid w:val="007E08EC"/>
    <w:rsid w:val="007E0AE1"/>
    <w:rsid w:val="007E0B0E"/>
    <w:rsid w:val="007E0B35"/>
    <w:rsid w:val="007E0B7D"/>
    <w:rsid w:val="007E0B99"/>
    <w:rsid w:val="007E0C16"/>
    <w:rsid w:val="007E0CFF"/>
    <w:rsid w:val="007E0EF8"/>
    <w:rsid w:val="007E0F92"/>
    <w:rsid w:val="007E0FD9"/>
    <w:rsid w:val="007E13AE"/>
    <w:rsid w:val="007E1447"/>
    <w:rsid w:val="007E1499"/>
    <w:rsid w:val="007E15A9"/>
    <w:rsid w:val="007E166D"/>
    <w:rsid w:val="007E1674"/>
    <w:rsid w:val="007E16E0"/>
    <w:rsid w:val="007E1963"/>
    <w:rsid w:val="007E19EF"/>
    <w:rsid w:val="007E1BF7"/>
    <w:rsid w:val="007E1C3A"/>
    <w:rsid w:val="007E1D57"/>
    <w:rsid w:val="007E23D8"/>
    <w:rsid w:val="007E24F6"/>
    <w:rsid w:val="007E250A"/>
    <w:rsid w:val="007E25BC"/>
    <w:rsid w:val="007E25EC"/>
    <w:rsid w:val="007E27E9"/>
    <w:rsid w:val="007E28D3"/>
    <w:rsid w:val="007E2A22"/>
    <w:rsid w:val="007E2AEC"/>
    <w:rsid w:val="007E2B24"/>
    <w:rsid w:val="007E2C22"/>
    <w:rsid w:val="007E2E4B"/>
    <w:rsid w:val="007E2EA0"/>
    <w:rsid w:val="007E2FEE"/>
    <w:rsid w:val="007E300A"/>
    <w:rsid w:val="007E30F6"/>
    <w:rsid w:val="007E322B"/>
    <w:rsid w:val="007E32C6"/>
    <w:rsid w:val="007E33D5"/>
    <w:rsid w:val="007E3489"/>
    <w:rsid w:val="007E3553"/>
    <w:rsid w:val="007E360B"/>
    <w:rsid w:val="007E3678"/>
    <w:rsid w:val="007E38C4"/>
    <w:rsid w:val="007E3A13"/>
    <w:rsid w:val="007E3BE2"/>
    <w:rsid w:val="007E3BFF"/>
    <w:rsid w:val="007E3D6B"/>
    <w:rsid w:val="007E3DEB"/>
    <w:rsid w:val="007E3E1A"/>
    <w:rsid w:val="007E404F"/>
    <w:rsid w:val="007E418F"/>
    <w:rsid w:val="007E42EB"/>
    <w:rsid w:val="007E43F0"/>
    <w:rsid w:val="007E4766"/>
    <w:rsid w:val="007E4850"/>
    <w:rsid w:val="007E498D"/>
    <w:rsid w:val="007E4BEE"/>
    <w:rsid w:val="007E4DAA"/>
    <w:rsid w:val="007E4E42"/>
    <w:rsid w:val="007E502F"/>
    <w:rsid w:val="007E52B4"/>
    <w:rsid w:val="007E53E8"/>
    <w:rsid w:val="007E5431"/>
    <w:rsid w:val="007E554C"/>
    <w:rsid w:val="007E55BA"/>
    <w:rsid w:val="007E563D"/>
    <w:rsid w:val="007E5653"/>
    <w:rsid w:val="007E5719"/>
    <w:rsid w:val="007E5874"/>
    <w:rsid w:val="007E5999"/>
    <w:rsid w:val="007E59A0"/>
    <w:rsid w:val="007E5D79"/>
    <w:rsid w:val="007E5D80"/>
    <w:rsid w:val="007E60E3"/>
    <w:rsid w:val="007E62BC"/>
    <w:rsid w:val="007E631C"/>
    <w:rsid w:val="007E6320"/>
    <w:rsid w:val="007E643E"/>
    <w:rsid w:val="007E6521"/>
    <w:rsid w:val="007E6544"/>
    <w:rsid w:val="007E68D6"/>
    <w:rsid w:val="007E6927"/>
    <w:rsid w:val="007E6BDF"/>
    <w:rsid w:val="007E706D"/>
    <w:rsid w:val="007E70BD"/>
    <w:rsid w:val="007E73B3"/>
    <w:rsid w:val="007E74D8"/>
    <w:rsid w:val="007E74E1"/>
    <w:rsid w:val="007E75E8"/>
    <w:rsid w:val="007E7636"/>
    <w:rsid w:val="007E769A"/>
    <w:rsid w:val="007E76AA"/>
    <w:rsid w:val="007E79F4"/>
    <w:rsid w:val="007E7CD0"/>
    <w:rsid w:val="007E7EB4"/>
    <w:rsid w:val="007F0086"/>
    <w:rsid w:val="007F0241"/>
    <w:rsid w:val="007F02B6"/>
    <w:rsid w:val="007F0414"/>
    <w:rsid w:val="007F0520"/>
    <w:rsid w:val="007F07C7"/>
    <w:rsid w:val="007F085F"/>
    <w:rsid w:val="007F08E7"/>
    <w:rsid w:val="007F09E6"/>
    <w:rsid w:val="007F0BAE"/>
    <w:rsid w:val="007F0BFA"/>
    <w:rsid w:val="007F0CD3"/>
    <w:rsid w:val="007F0DD6"/>
    <w:rsid w:val="007F10CA"/>
    <w:rsid w:val="007F110C"/>
    <w:rsid w:val="007F13EC"/>
    <w:rsid w:val="007F14EC"/>
    <w:rsid w:val="007F14FF"/>
    <w:rsid w:val="007F1523"/>
    <w:rsid w:val="007F1555"/>
    <w:rsid w:val="007F15C0"/>
    <w:rsid w:val="007F1623"/>
    <w:rsid w:val="007F166A"/>
    <w:rsid w:val="007F19F5"/>
    <w:rsid w:val="007F1AD7"/>
    <w:rsid w:val="007F1C11"/>
    <w:rsid w:val="007F21BC"/>
    <w:rsid w:val="007F235A"/>
    <w:rsid w:val="007F252C"/>
    <w:rsid w:val="007F2556"/>
    <w:rsid w:val="007F255B"/>
    <w:rsid w:val="007F259C"/>
    <w:rsid w:val="007F25FE"/>
    <w:rsid w:val="007F2798"/>
    <w:rsid w:val="007F2869"/>
    <w:rsid w:val="007F28A2"/>
    <w:rsid w:val="007F2997"/>
    <w:rsid w:val="007F29D0"/>
    <w:rsid w:val="007F2BE5"/>
    <w:rsid w:val="007F2BEC"/>
    <w:rsid w:val="007F2E14"/>
    <w:rsid w:val="007F30A7"/>
    <w:rsid w:val="007F3224"/>
    <w:rsid w:val="007F3567"/>
    <w:rsid w:val="007F361E"/>
    <w:rsid w:val="007F361F"/>
    <w:rsid w:val="007F373C"/>
    <w:rsid w:val="007F374F"/>
    <w:rsid w:val="007F3B87"/>
    <w:rsid w:val="007F3CF5"/>
    <w:rsid w:val="007F3F48"/>
    <w:rsid w:val="007F40B0"/>
    <w:rsid w:val="007F40D9"/>
    <w:rsid w:val="007F40FF"/>
    <w:rsid w:val="007F41BA"/>
    <w:rsid w:val="007F41BD"/>
    <w:rsid w:val="007F4429"/>
    <w:rsid w:val="007F44B4"/>
    <w:rsid w:val="007F45C9"/>
    <w:rsid w:val="007F480E"/>
    <w:rsid w:val="007F4820"/>
    <w:rsid w:val="007F48C4"/>
    <w:rsid w:val="007F48D3"/>
    <w:rsid w:val="007F4A24"/>
    <w:rsid w:val="007F4A96"/>
    <w:rsid w:val="007F4DD6"/>
    <w:rsid w:val="007F4DEB"/>
    <w:rsid w:val="007F4E2B"/>
    <w:rsid w:val="007F4EAC"/>
    <w:rsid w:val="007F4F86"/>
    <w:rsid w:val="007F5072"/>
    <w:rsid w:val="007F517B"/>
    <w:rsid w:val="007F535C"/>
    <w:rsid w:val="007F5372"/>
    <w:rsid w:val="007F53C3"/>
    <w:rsid w:val="007F5565"/>
    <w:rsid w:val="007F567F"/>
    <w:rsid w:val="007F5694"/>
    <w:rsid w:val="007F57E1"/>
    <w:rsid w:val="007F583C"/>
    <w:rsid w:val="007F59AD"/>
    <w:rsid w:val="007F5A03"/>
    <w:rsid w:val="007F5B1A"/>
    <w:rsid w:val="007F61D5"/>
    <w:rsid w:val="007F626E"/>
    <w:rsid w:val="007F63DA"/>
    <w:rsid w:val="007F648A"/>
    <w:rsid w:val="007F648D"/>
    <w:rsid w:val="007F6562"/>
    <w:rsid w:val="007F6595"/>
    <w:rsid w:val="007F6687"/>
    <w:rsid w:val="007F66CA"/>
    <w:rsid w:val="007F67B4"/>
    <w:rsid w:val="007F6862"/>
    <w:rsid w:val="007F6B4E"/>
    <w:rsid w:val="007F6C42"/>
    <w:rsid w:val="007F6CBC"/>
    <w:rsid w:val="007F6D0F"/>
    <w:rsid w:val="007F6E4B"/>
    <w:rsid w:val="007F6ECB"/>
    <w:rsid w:val="007F6F5F"/>
    <w:rsid w:val="007F7045"/>
    <w:rsid w:val="007F7184"/>
    <w:rsid w:val="007F7207"/>
    <w:rsid w:val="007F72BB"/>
    <w:rsid w:val="007F73CA"/>
    <w:rsid w:val="007F7415"/>
    <w:rsid w:val="007F7425"/>
    <w:rsid w:val="007F74E4"/>
    <w:rsid w:val="007F75C3"/>
    <w:rsid w:val="007F78EB"/>
    <w:rsid w:val="007F7B07"/>
    <w:rsid w:val="007F7B78"/>
    <w:rsid w:val="007F7FC5"/>
    <w:rsid w:val="0080010E"/>
    <w:rsid w:val="0080016B"/>
    <w:rsid w:val="008001DD"/>
    <w:rsid w:val="00800293"/>
    <w:rsid w:val="0080033B"/>
    <w:rsid w:val="008003F2"/>
    <w:rsid w:val="008004F4"/>
    <w:rsid w:val="0080052F"/>
    <w:rsid w:val="008005A2"/>
    <w:rsid w:val="008005CF"/>
    <w:rsid w:val="008005FA"/>
    <w:rsid w:val="008007F3"/>
    <w:rsid w:val="0080080E"/>
    <w:rsid w:val="00800C0E"/>
    <w:rsid w:val="00800C47"/>
    <w:rsid w:val="00800D5A"/>
    <w:rsid w:val="00800DEA"/>
    <w:rsid w:val="00800FD5"/>
    <w:rsid w:val="00800FE5"/>
    <w:rsid w:val="00801103"/>
    <w:rsid w:val="00801188"/>
    <w:rsid w:val="00801189"/>
    <w:rsid w:val="008011B6"/>
    <w:rsid w:val="00801288"/>
    <w:rsid w:val="00801398"/>
    <w:rsid w:val="00801537"/>
    <w:rsid w:val="0080153D"/>
    <w:rsid w:val="00801585"/>
    <w:rsid w:val="00801664"/>
    <w:rsid w:val="00801767"/>
    <w:rsid w:val="008017D9"/>
    <w:rsid w:val="00801A1F"/>
    <w:rsid w:val="00801C79"/>
    <w:rsid w:val="00801DD6"/>
    <w:rsid w:val="00801E65"/>
    <w:rsid w:val="00801EBE"/>
    <w:rsid w:val="00801EE9"/>
    <w:rsid w:val="00801EEA"/>
    <w:rsid w:val="00802089"/>
    <w:rsid w:val="008020D4"/>
    <w:rsid w:val="00802198"/>
    <w:rsid w:val="008021B3"/>
    <w:rsid w:val="0080245B"/>
    <w:rsid w:val="00802605"/>
    <w:rsid w:val="0080281F"/>
    <w:rsid w:val="00802895"/>
    <w:rsid w:val="00802C48"/>
    <w:rsid w:val="00802DB4"/>
    <w:rsid w:val="00803012"/>
    <w:rsid w:val="00803077"/>
    <w:rsid w:val="00803097"/>
    <w:rsid w:val="008030BF"/>
    <w:rsid w:val="00803149"/>
    <w:rsid w:val="00803269"/>
    <w:rsid w:val="00803365"/>
    <w:rsid w:val="0080341B"/>
    <w:rsid w:val="00803468"/>
    <w:rsid w:val="0080358B"/>
    <w:rsid w:val="0080360E"/>
    <w:rsid w:val="0080368C"/>
    <w:rsid w:val="008036FA"/>
    <w:rsid w:val="00803752"/>
    <w:rsid w:val="0080375D"/>
    <w:rsid w:val="008038A2"/>
    <w:rsid w:val="00803A1E"/>
    <w:rsid w:val="00803B8E"/>
    <w:rsid w:val="00803B95"/>
    <w:rsid w:val="00803BC2"/>
    <w:rsid w:val="00803F8A"/>
    <w:rsid w:val="00803F8F"/>
    <w:rsid w:val="00804040"/>
    <w:rsid w:val="00804043"/>
    <w:rsid w:val="008040D3"/>
    <w:rsid w:val="00804145"/>
    <w:rsid w:val="00804329"/>
    <w:rsid w:val="008043FB"/>
    <w:rsid w:val="008044AE"/>
    <w:rsid w:val="008048D6"/>
    <w:rsid w:val="00804933"/>
    <w:rsid w:val="00804AF7"/>
    <w:rsid w:val="00804B4E"/>
    <w:rsid w:val="008050EF"/>
    <w:rsid w:val="008051BC"/>
    <w:rsid w:val="0080539F"/>
    <w:rsid w:val="00805B31"/>
    <w:rsid w:val="00805BAA"/>
    <w:rsid w:val="00805CF7"/>
    <w:rsid w:val="00805E0C"/>
    <w:rsid w:val="00805E71"/>
    <w:rsid w:val="00805F9F"/>
    <w:rsid w:val="008060B1"/>
    <w:rsid w:val="008062C2"/>
    <w:rsid w:val="008063A5"/>
    <w:rsid w:val="008063B7"/>
    <w:rsid w:val="008065D7"/>
    <w:rsid w:val="0080679D"/>
    <w:rsid w:val="00806815"/>
    <w:rsid w:val="008068D2"/>
    <w:rsid w:val="008068E8"/>
    <w:rsid w:val="00806B2A"/>
    <w:rsid w:val="00806DA7"/>
    <w:rsid w:val="00806EBF"/>
    <w:rsid w:val="00806F07"/>
    <w:rsid w:val="008070AC"/>
    <w:rsid w:val="0080721F"/>
    <w:rsid w:val="00807266"/>
    <w:rsid w:val="008073E8"/>
    <w:rsid w:val="0080745A"/>
    <w:rsid w:val="0080763C"/>
    <w:rsid w:val="0080787B"/>
    <w:rsid w:val="008078B3"/>
    <w:rsid w:val="00807B72"/>
    <w:rsid w:val="00807E70"/>
    <w:rsid w:val="00807ECD"/>
    <w:rsid w:val="00807FAE"/>
    <w:rsid w:val="008101DB"/>
    <w:rsid w:val="0081046A"/>
    <w:rsid w:val="00810474"/>
    <w:rsid w:val="008105DE"/>
    <w:rsid w:val="008106E5"/>
    <w:rsid w:val="0081096B"/>
    <w:rsid w:val="00810AE0"/>
    <w:rsid w:val="00810D36"/>
    <w:rsid w:val="00810DF5"/>
    <w:rsid w:val="00810E3E"/>
    <w:rsid w:val="00810E84"/>
    <w:rsid w:val="00810E99"/>
    <w:rsid w:val="00810F98"/>
    <w:rsid w:val="0081101C"/>
    <w:rsid w:val="0081108F"/>
    <w:rsid w:val="00811154"/>
    <w:rsid w:val="0081119D"/>
    <w:rsid w:val="008111BA"/>
    <w:rsid w:val="00811249"/>
    <w:rsid w:val="0081128F"/>
    <w:rsid w:val="0081138D"/>
    <w:rsid w:val="008114A2"/>
    <w:rsid w:val="0081155C"/>
    <w:rsid w:val="0081167B"/>
    <w:rsid w:val="00811D85"/>
    <w:rsid w:val="00811DE9"/>
    <w:rsid w:val="00811DF1"/>
    <w:rsid w:val="00811E43"/>
    <w:rsid w:val="00811E49"/>
    <w:rsid w:val="00811E71"/>
    <w:rsid w:val="00812092"/>
    <w:rsid w:val="00812540"/>
    <w:rsid w:val="0081261C"/>
    <w:rsid w:val="00812659"/>
    <w:rsid w:val="00812776"/>
    <w:rsid w:val="00812A30"/>
    <w:rsid w:val="00812AF6"/>
    <w:rsid w:val="00812E13"/>
    <w:rsid w:val="00812E19"/>
    <w:rsid w:val="00812E40"/>
    <w:rsid w:val="00812E67"/>
    <w:rsid w:val="00812F0F"/>
    <w:rsid w:val="0081304B"/>
    <w:rsid w:val="0081320C"/>
    <w:rsid w:val="0081325C"/>
    <w:rsid w:val="008132D1"/>
    <w:rsid w:val="00813342"/>
    <w:rsid w:val="00813425"/>
    <w:rsid w:val="0081357D"/>
    <w:rsid w:val="008135AC"/>
    <w:rsid w:val="008135E6"/>
    <w:rsid w:val="008139B5"/>
    <w:rsid w:val="00813AA1"/>
    <w:rsid w:val="00813AD2"/>
    <w:rsid w:val="00813B74"/>
    <w:rsid w:val="00813BA6"/>
    <w:rsid w:val="00814023"/>
    <w:rsid w:val="008140E6"/>
    <w:rsid w:val="0081415A"/>
    <w:rsid w:val="008141F3"/>
    <w:rsid w:val="0081445D"/>
    <w:rsid w:val="008145F5"/>
    <w:rsid w:val="008146D5"/>
    <w:rsid w:val="00814718"/>
    <w:rsid w:val="0081479E"/>
    <w:rsid w:val="008147AA"/>
    <w:rsid w:val="0081480A"/>
    <w:rsid w:val="00814A6F"/>
    <w:rsid w:val="00814CDB"/>
    <w:rsid w:val="00814ECD"/>
    <w:rsid w:val="008150EE"/>
    <w:rsid w:val="00815136"/>
    <w:rsid w:val="00815302"/>
    <w:rsid w:val="00815369"/>
    <w:rsid w:val="0081556A"/>
    <w:rsid w:val="0081586C"/>
    <w:rsid w:val="0081598C"/>
    <w:rsid w:val="00815B49"/>
    <w:rsid w:val="00815B6D"/>
    <w:rsid w:val="00815CFC"/>
    <w:rsid w:val="00815D8B"/>
    <w:rsid w:val="00815DEB"/>
    <w:rsid w:val="00815F65"/>
    <w:rsid w:val="00815FC0"/>
    <w:rsid w:val="00815FE1"/>
    <w:rsid w:val="00816005"/>
    <w:rsid w:val="008160C9"/>
    <w:rsid w:val="008160D1"/>
    <w:rsid w:val="0081618B"/>
    <w:rsid w:val="00816213"/>
    <w:rsid w:val="008163A7"/>
    <w:rsid w:val="008164DF"/>
    <w:rsid w:val="00816527"/>
    <w:rsid w:val="00816708"/>
    <w:rsid w:val="00816806"/>
    <w:rsid w:val="00816853"/>
    <w:rsid w:val="008168A7"/>
    <w:rsid w:val="008168F6"/>
    <w:rsid w:val="00816AFF"/>
    <w:rsid w:val="00816C3C"/>
    <w:rsid w:val="00816E97"/>
    <w:rsid w:val="00816F40"/>
    <w:rsid w:val="0081702F"/>
    <w:rsid w:val="008170FF"/>
    <w:rsid w:val="008171E4"/>
    <w:rsid w:val="008171FB"/>
    <w:rsid w:val="0081749D"/>
    <w:rsid w:val="0081755A"/>
    <w:rsid w:val="008175B3"/>
    <w:rsid w:val="0081784D"/>
    <w:rsid w:val="00817864"/>
    <w:rsid w:val="00817905"/>
    <w:rsid w:val="00817B60"/>
    <w:rsid w:val="00817C6A"/>
    <w:rsid w:val="00817CAA"/>
    <w:rsid w:val="00817DD6"/>
    <w:rsid w:val="00817E06"/>
    <w:rsid w:val="00817E49"/>
    <w:rsid w:val="00817F7B"/>
    <w:rsid w:val="00820174"/>
    <w:rsid w:val="008202A1"/>
    <w:rsid w:val="008202CC"/>
    <w:rsid w:val="00820374"/>
    <w:rsid w:val="00820404"/>
    <w:rsid w:val="00820644"/>
    <w:rsid w:val="0082084B"/>
    <w:rsid w:val="008209FB"/>
    <w:rsid w:val="00820CA1"/>
    <w:rsid w:val="00820D38"/>
    <w:rsid w:val="00820D53"/>
    <w:rsid w:val="00820E97"/>
    <w:rsid w:val="00820EA8"/>
    <w:rsid w:val="00820F7B"/>
    <w:rsid w:val="0082110C"/>
    <w:rsid w:val="008211F9"/>
    <w:rsid w:val="00821252"/>
    <w:rsid w:val="0082139E"/>
    <w:rsid w:val="00821425"/>
    <w:rsid w:val="00821516"/>
    <w:rsid w:val="00821600"/>
    <w:rsid w:val="008216DD"/>
    <w:rsid w:val="00821749"/>
    <w:rsid w:val="008217A9"/>
    <w:rsid w:val="00821B1F"/>
    <w:rsid w:val="00821B28"/>
    <w:rsid w:val="00821BC0"/>
    <w:rsid w:val="00821C65"/>
    <w:rsid w:val="00821C97"/>
    <w:rsid w:val="00821D54"/>
    <w:rsid w:val="00821E76"/>
    <w:rsid w:val="00821FAF"/>
    <w:rsid w:val="0082201C"/>
    <w:rsid w:val="00822040"/>
    <w:rsid w:val="00822052"/>
    <w:rsid w:val="008221C7"/>
    <w:rsid w:val="00822243"/>
    <w:rsid w:val="00822261"/>
    <w:rsid w:val="008222B3"/>
    <w:rsid w:val="00822335"/>
    <w:rsid w:val="00822371"/>
    <w:rsid w:val="0082249C"/>
    <w:rsid w:val="008224B7"/>
    <w:rsid w:val="008224EF"/>
    <w:rsid w:val="008225FD"/>
    <w:rsid w:val="008226F6"/>
    <w:rsid w:val="00822742"/>
    <w:rsid w:val="00822913"/>
    <w:rsid w:val="008229B2"/>
    <w:rsid w:val="00822A4C"/>
    <w:rsid w:val="00822F56"/>
    <w:rsid w:val="00822FD0"/>
    <w:rsid w:val="00822FE1"/>
    <w:rsid w:val="008230ED"/>
    <w:rsid w:val="00823163"/>
    <w:rsid w:val="00823304"/>
    <w:rsid w:val="008235B5"/>
    <w:rsid w:val="008236A9"/>
    <w:rsid w:val="00823815"/>
    <w:rsid w:val="0082384E"/>
    <w:rsid w:val="008239AB"/>
    <w:rsid w:val="00823AD2"/>
    <w:rsid w:val="00823BD8"/>
    <w:rsid w:val="00823C58"/>
    <w:rsid w:val="00823C7F"/>
    <w:rsid w:val="00823E9E"/>
    <w:rsid w:val="00823FF0"/>
    <w:rsid w:val="0082412D"/>
    <w:rsid w:val="0082438C"/>
    <w:rsid w:val="00824559"/>
    <w:rsid w:val="008245AA"/>
    <w:rsid w:val="00824619"/>
    <w:rsid w:val="00824687"/>
    <w:rsid w:val="0082488C"/>
    <w:rsid w:val="00824976"/>
    <w:rsid w:val="00824D06"/>
    <w:rsid w:val="0082510F"/>
    <w:rsid w:val="0082515B"/>
    <w:rsid w:val="0082516A"/>
    <w:rsid w:val="0082519E"/>
    <w:rsid w:val="008251B3"/>
    <w:rsid w:val="0082526E"/>
    <w:rsid w:val="0082542F"/>
    <w:rsid w:val="00825469"/>
    <w:rsid w:val="00825A9D"/>
    <w:rsid w:val="00825B19"/>
    <w:rsid w:val="00825B62"/>
    <w:rsid w:val="00825CA5"/>
    <w:rsid w:val="00825DC6"/>
    <w:rsid w:val="00825E61"/>
    <w:rsid w:val="00825F39"/>
    <w:rsid w:val="00825F58"/>
    <w:rsid w:val="00825FC6"/>
    <w:rsid w:val="0082606B"/>
    <w:rsid w:val="008260A8"/>
    <w:rsid w:val="008260B4"/>
    <w:rsid w:val="0082613C"/>
    <w:rsid w:val="008261EF"/>
    <w:rsid w:val="008262AD"/>
    <w:rsid w:val="0082638F"/>
    <w:rsid w:val="00826537"/>
    <w:rsid w:val="008265B6"/>
    <w:rsid w:val="008268F5"/>
    <w:rsid w:val="0082693E"/>
    <w:rsid w:val="00826975"/>
    <w:rsid w:val="00826BEC"/>
    <w:rsid w:val="00826CEF"/>
    <w:rsid w:val="00826EC1"/>
    <w:rsid w:val="008271A2"/>
    <w:rsid w:val="00827237"/>
    <w:rsid w:val="00827296"/>
    <w:rsid w:val="00827454"/>
    <w:rsid w:val="008274C6"/>
    <w:rsid w:val="00827624"/>
    <w:rsid w:val="0082768B"/>
    <w:rsid w:val="0082768C"/>
    <w:rsid w:val="00827790"/>
    <w:rsid w:val="008277F3"/>
    <w:rsid w:val="00827BF9"/>
    <w:rsid w:val="00827D25"/>
    <w:rsid w:val="00827DE0"/>
    <w:rsid w:val="00827E19"/>
    <w:rsid w:val="00827E57"/>
    <w:rsid w:val="0083002D"/>
    <w:rsid w:val="008300BC"/>
    <w:rsid w:val="0083015C"/>
    <w:rsid w:val="00830188"/>
    <w:rsid w:val="008302D6"/>
    <w:rsid w:val="00830416"/>
    <w:rsid w:val="00830630"/>
    <w:rsid w:val="00830B08"/>
    <w:rsid w:val="00830BC0"/>
    <w:rsid w:val="00830C47"/>
    <w:rsid w:val="00830D72"/>
    <w:rsid w:val="00830E75"/>
    <w:rsid w:val="00830E9B"/>
    <w:rsid w:val="0083112B"/>
    <w:rsid w:val="00831242"/>
    <w:rsid w:val="008312D8"/>
    <w:rsid w:val="0083132D"/>
    <w:rsid w:val="00831342"/>
    <w:rsid w:val="0083134F"/>
    <w:rsid w:val="0083135A"/>
    <w:rsid w:val="00831375"/>
    <w:rsid w:val="008317D8"/>
    <w:rsid w:val="008317E2"/>
    <w:rsid w:val="00831ACF"/>
    <w:rsid w:val="00831C39"/>
    <w:rsid w:val="00831CF1"/>
    <w:rsid w:val="00831D59"/>
    <w:rsid w:val="00831F4B"/>
    <w:rsid w:val="00832112"/>
    <w:rsid w:val="008321A2"/>
    <w:rsid w:val="008321AE"/>
    <w:rsid w:val="008321DE"/>
    <w:rsid w:val="00832260"/>
    <w:rsid w:val="0083241E"/>
    <w:rsid w:val="0083262F"/>
    <w:rsid w:val="0083267B"/>
    <w:rsid w:val="00832723"/>
    <w:rsid w:val="0083290F"/>
    <w:rsid w:val="00832918"/>
    <w:rsid w:val="00832946"/>
    <w:rsid w:val="00832AFD"/>
    <w:rsid w:val="008332B6"/>
    <w:rsid w:val="008332EE"/>
    <w:rsid w:val="00833322"/>
    <w:rsid w:val="00833484"/>
    <w:rsid w:val="0083356D"/>
    <w:rsid w:val="00833590"/>
    <w:rsid w:val="0083367E"/>
    <w:rsid w:val="008338A6"/>
    <w:rsid w:val="0083391A"/>
    <w:rsid w:val="00833A25"/>
    <w:rsid w:val="00833B74"/>
    <w:rsid w:val="00833D6B"/>
    <w:rsid w:val="00833D8D"/>
    <w:rsid w:val="00833DDD"/>
    <w:rsid w:val="00833EC1"/>
    <w:rsid w:val="00833ED5"/>
    <w:rsid w:val="008341BF"/>
    <w:rsid w:val="008344D6"/>
    <w:rsid w:val="008344E6"/>
    <w:rsid w:val="008345B6"/>
    <w:rsid w:val="00834637"/>
    <w:rsid w:val="00834680"/>
    <w:rsid w:val="008346CE"/>
    <w:rsid w:val="00834772"/>
    <w:rsid w:val="00834810"/>
    <w:rsid w:val="00834812"/>
    <w:rsid w:val="00834A4D"/>
    <w:rsid w:val="00834B63"/>
    <w:rsid w:val="00834D41"/>
    <w:rsid w:val="00835043"/>
    <w:rsid w:val="0083520D"/>
    <w:rsid w:val="0083523B"/>
    <w:rsid w:val="0083545A"/>
    <w:rsid w:val="0083549C"/>
    <w:rsid w:val="0083582D"/>
    <w:rsid w:val="00835A1F"/>
    <w:rsid w:val="00835A4E"/>
    <w:rsid w:val="00835AD1"/>
    <w:rsid w:val="00835B3A"/>
    <w:rsid w:val="00835E58"/>
    <w:rsid w:val="00835F06"/>
    <w:rsid w:val="00836043"/>
    <w:rsid w:val="008360DD"/>
    <w:rsid w:val="00836112"/>
    <w:rsid w:val="00836131"/>
    <w:rsid w:val="0083626F"/>
    <w:rsid w:val="008362B1"/>
    <w:rsid w:val="008362B3"/>
    <w:rsid w:val="00836473"/>
    <w:rsid w:val="008364C5"/>
    <w:rsid w:val="00836506"/>
    <w:rsid w:val="0083651A"/>
    <w:rsid w:val="008366B3"/>
    <w:rsid w:val="00836837"/>
    <w:rsid w:val="00836977"/>
    <w:rsid w:val="00836C79"/>
    <w:rsid w:val="00836DCF"/>
    <w:rsid w:val="00836DDB"/>
    <w:rsid w:val="00836EE1"/>
    <w:rsid w:val="00836F88"/>
    <w:rsid w:val="0083708D"/>
    <w:rsid w:val="00837198"/>
    <w:rsid w:val="00837280"/>
    <w:rsid w:val="00837351"/>
    <w:rsid w:val="00837490"/>
    <w:rsid w:val="008374BA"/>
    <w:rsid w:val="008374C5"/>
    <w:rsid w:val="0083756D"/>
    <w:rsid w:val="00837607"/>
    <w:rsid w:val="00837639"/>
    <w:rsid w:val="008378A9"/>
    <w:rsid w:val="00837927"/>
    <w:rsid w:val="0083792B"/>
    <w:rsid w:val="0083795D"/>
    <w:rsid w:val="00837A95"/>
    <w:rsid w:val="00837DCC"/>
    <w:rsid w:val="00837DF9"/>
    <w:rsid w:val="00837E83"/>
    <w:rsid w:val="00837F66"/>
    <w:rsid w:val="00837FD0"/>
    <w:rsid w:val="00840112"/>
    <w:rsid w:val="0084018E"/>
    <w:rsid w:val="008401E6"/>
    <w:rsid w:val="00840333"/>
    <w:rsid w:val="00840501"/>
    <w:rsid w:val="0084072B"/>
    <w:rsid w:val="00840891"/>
    <w:rsid w:val="00840973"/>
    <w:rsid w:val="008409F7"/>
    <w:rsid w:val="00840A56"/>
    <w:rsid w:val="00840C33"/>
    <w:rsid w:val="00840CA2"/>
    <w:rsid w:val="00840CD5"/>
    <w:rsid w:val="00840FBF"/>
    <w:rsid w:val="008410F1"/>
    <w:rsid w:val="008413EF"/>
    <w:rsid w:val="008413FB"/>
    <w:rsid w:val="0084166D"/>
    <w:rsid w:val="008417DD"/>
    <w:rsid w:val="00841A1D"/>
    <w:rsid w:val="00841B1A"/>
    <w:rsid w:val="00841B53"/>
    <w:rsid w:val="00841C33"/>
    <w:rsid w:val="00841C86"/>
    <w:rsid w:val="00841EAD"/>
    <w:rsid w:val="00841F20"/>
    <w:rsid w:val="00842064"/>
    <w:rsid w:val="00842269"/>
    <w:rsid w:val="00842479"/>
    <w:rsid w:val="00842727"/>
    <w:rsid w:val="00842749"/>
    <w:rsid w:val="0084282B"/>
    <w:rsid w:val="00842B62"/>
    <w:rsid w:val="00842E0B"/>
    <w:rsid w:val="00842FB2"/>
    <w:rsid w:val="0084307F"/>
    <w:rsid w:val="00843227"/>
    <w:rsid w:val="00843432"/>
    <w:rsid w:val="00843582"/>
    <w:rsid w:val="008435C2"/>
    <w:rsid w:val="008437BA"/>
    <w:rsid w:val="0084380C"/>
    <w:rsid w:val="00843815"/>
    <w:rsid w:val="0084389C"/>
    <w:rsid w:val="00843919"/>
    <w:rsid w:val="0084392C"/>
    <w:rsid w:val="00843ACB"/>
    <w:rsid w:val="00843B18"/>
    <w:rsid w:val="00843B42"/>
    <w:rsid w:val="00843BB6"/>
    <w:rsid w:val="00843D2E"/>
    <w:rsid w:val="00843E4C"/>
    <w:rsid w:val="00844144"/>
    <w:rsid w:val="008442AB"/>
    <w:rsid w:val="008442C0"/>
    <w:rsid w:val="008442CA"/>
    <w:rsid w:val="00844379"/>
    <w:rsid w:val="008443E8"/>
    <w:rsid w:val="00844712"/>
    <w:rsid w:val="00844843"/>
    <w:rsid w:val="00844891"/>
    <w:rsid w:val="00844896"/>
    <w:rsid w:val="008449E1"/>
    <w:rsid w:val="00844DF8"/>
    <w:rsid w:val="00844E2F"/>
    <w:rsid w:val="00844E35"/>
    <w:rsid w:val="00844FF9"/>
    <w:rsid w:val="0084501C"/>
    <w:rsid w:val="008452C5"/>
    <w:rsid w:val="0084539F"/>
    <w:rsid w:val="008458B7"/>
    <w:rsid w:val="00845971"/>
    <w:rsid w:val="008459E2"/>
    <w:rsid w:val="00845A9D"/>
    <w:rsid w:val="00845AFD"/>
    <w:rsid w:val="00845CED"/>
    <w:rsid w:val="00845D61"/>
    <w:rsid w:val="00845DDA"/>
    <w:rsid w:val="00845E81"/>
    <w:rsid w:val="00845F18"/>
    <w:rsid w:val="00846080"/>
    <w:rsid w:val="008460C7"/>
    <w:rsid w:val="008460C9"/>
    <w:rsid w:val="00846135"/>
    <w:rsid w:val="0084620F"/>
    <w:rsid w:val="008463E2"/>
    <w:rsid w:val="00846A6F"/>
    <w:rsid w:val="00846AA7"/>
    <w:rsid w:val="00846B07"/>
    <w:rsid w:val="00846C2C"/>
    <w:rsid w:val="00846C71"/>
    <w:rsid w:val="008472C6"/>
    <w:rsid w:val="008473B1"/>
    <w:rsid w:val="0084747D"/>
    <w:rsid w:val="0084748A"/>
    <w:rsid w:val="0084760D"/>
    <w:rsid w:val="0084772C"/>
    <w:rsid w:val="00847753"/>
    <w:rsid w:val="008477A5"/>
    <w:rsid w:val="00847847"/>
    <w:rsid w:val="00847AA7"/>
    <w:rsid w:val="00847B5F"/>
    <w:rsid w:val="00847C65"/>
    <w:rsid w:val="00847CAC"/>
    <w:rsid w:val="00847E99"/>
    <w:rsid w:val="00847F9B"/>
    <w:rsid w:val="00847FDA"/>
    <w:rsid w:val="00850104"/>
    <w:rsid w:val="008502EE"/>
    <w:rsid w:val="008505E6"/>
    <w:rsid w:val="008507B6"/>
    <w:rsid w:val="00850AE0"/>
    <w:rsid w:val="00850B37"/>
    <w:rsid w:val="00850B5F"/>
    <w:rsid w:val="00850D72"/>
    <w:rsid w:val="00850E0F"/>
    <w:rsid w:val="00850E6F"/>
    <w:rsid w:val="00850E73"/>
    <w:rsid w:val="0085105B"/>
    <w:rsid w:val="00851097"/>
    <w:rsid w:val="00851105"/>
    <w:rsid w:val="00851166"/>
    <w:rsid w:val="00851222"/>
    <w:rsid w:val="008513B1"/>
    <w:rsid w:val="008514BC"/>
    <w:rsid w:val="00851760"/>
    <w:rsid w:val="00851A07"/>
    <w:rsid w:val="00851A0C"/>
    <w:rsid w:val="00851ACD"/>
    <w:rsid w:val="00851B25"/>
    <w:rsid w:val="00851B4B"/>
    <w:rsid w:val="00851BEB"/>
    <w:rsid w:val="00851C10"/>
    <w:rsid w:val="00851C2E"/>
    <w:rsid w:val="00851EEA"/>
    <w:rsid w:val="00851FE7"/>
    <w:rsid w:val="0085219B"/>
    <w:rsid w:val="008521D5"/>
    <w:rsid w:val="008521F3"/>
    <w:rsid w:val="00852244"/>
    <w:rsid w:val="008524C1"/>
    <w:rsid w:val="00852536"/>
    <w:rsid w:val="00852694"/>
    <w:rsid w:val="008527DB"/>
    <w:rsid w:val="008528C7"/>
    <w:rsid w:val="00852B98"/>
    <w:rsid w:val="00852BF3"/>
    <w:rsid w:val="00852D89"/>
    <w:rsid w:val="00852E9C"/>
    <w:rsid w:val="008530A6"/>
    <w:rsid w:val="008530B1"/>
    <w:rsid w:val="008533D7"/>
    <w:rsid w:val="00853528"/>
    <w:rsid w:val="0085353F"/>
    <w:rsid w:val="0085361E"/>
    <w:rsid w:val="0085366E"/>
    <w:rsid w:val="008536CF"/>
    <w:rsid w:val="00853739"/>
    <w:rsid w:val="008537B2"/>
    <w:rsid w:val="00853846"/>
    <w:rsid w:val="0085385E"/>
    <w:rsid w:val="00853A8C"/>
    <w:rsid w:val="00853C1A"/>
    <w:rsid w:val="00853DE7"/>
    <w:rsid w:val="0085415F"/>
    <w:rsid w:val="008545C6"/>
    <w:rsid w:val="008546B0"/>
    <w:rsid w:val="008546EB"/>
    <w:rsid w:val="008548FF"/>
    <w:rsid w:val="00854930"/>
    <w:rsid w:val="00854A12"/>
    <w:rsid w:val="00854B30"/>
    <w:rsid w:val="00854B99"/>
    <w:rsid w:val="00854E21"/>
    <w:rsid w:val="00854E71"/>
    <w:rsid w:val="00854F0A"/>
    <w:rsid w:val="00855064"/>
    <w:rsid w:val="008550AC"/>
    <w:rsid w:val="00855215"/>
    <w:rsid w:val="0085553C"/>
    <w:rsid w:val="00855686"/>
    <w:rsid w:val="008556BF"/>
    <w:rsid w:val="008558B1"/>
    <w:rsid w:val="008558EA"/>
    <w:rsid w:val="0085593E"/>
    <w:rsid w:val="008559E5"/>
    <w:rsid w:val="00855A67"/>
    <w:rsid w:val="00855C94"/>
    <w:rsid w:val="00855D3C"/>
    <w:rsid w:val="00855DBC"/>
    <w:rsid w:val="00855E89"/>
    <w:rsid w:val="00856027"/>
    <w:rsid w:val="00856117"/>
    <w:rsid w:val="00856154"/>
    <w:rsid w:val="008561EC"/>
    <w:rsid w:val="0085638D"/>
    <w:rsid w:val="008565A3"/>
    <w:rsid w:val="00856604"/>
    <w:rsid w:val="0085667A"/>
    <w:rsid w:val="00856784"/>
    <w:rsid w:val="008567AE"/>
    <w:rsid w:val="00856877"/>
    <w:rsid w:val="00856AD7"/>
    <w:rsid w:val="00856B62"/>
    <w:rsid w:val="00856F5E"/>
    <w:rsid w:val="00856F8F"/>
    <w:rsid w:val="00856FEC"/>
    <w:rsid w:val="00857188"/>
    <w:rsid w:val="00857291"/>
    <w:rsid w:val="0085750B"/>
    <w:rsid w:val="0085790D"/>
    <w:rsid w:val="00857A2A"/>
    <w:rsid w:val="00857AB1"/>
    <w:rsid w:val="00857BC7"/>
    <w:rsid w:val="00857E42"/>
    <w:rsid w:val="00860020"/>
    <w:rsid w:val="00860023"/>
    <w:rsid w:val="00860065"/>
    <w:rsid w:val="008604C8"/>
    <w:rsid w:val="008604D1"/>
    <w:rsid w:val="008605A5"/>
    <w:rsid w:val="008605B1"/>
    <w:rsid w:val="0086063A"/>
    <w:rsid w:val="0086063B"/>
    <w:rsid w:val="00860646"/>
    <w:rsid w:val="008608CE"/>
    <w:rsid w:val="00860997"/>
    <w:rsid w:val="008609A1"/>
    <w:rsid w:val="00860ABF"/>
    <w:rsid w:val="00860AE3"/>
    <w:rsid w:val="00860BE7"/>
    <w:rsid w:val="00860D2B"/>
    <w:rsid w:val="00860E7D"/>
    <w:rsid w:val="00860ED0"/>
    <w:rsid w:val="00860FCC"/>
    <w:rsid w:val="0086116D"/>
    <w:rsid w:val="00861457"/>
    <w:rsid w:val="00861577"/>
    <w:rsid w:val="00861592"/>
    <w:rsid w:val="008615F7"/>
    <w:rsid w:val="00861635"/>
    <w:rsid w:val="008616FA"/>
    <w:rsid w:val="008618FF"/>
    <w:rsid w:val="00861B40"/>
    <w:rsid w:val="00861D6E"/>
    <w:rsid w:val="00861E1E"/>
    <w:rsid w:val="00861F07"/>
    <w:rsid w:val="00862310"/>
    <w:rsid w:val="00862329"/>
    <w:rsid w:val="008624C2"/>
    <w:rsid w:val="00862507"/>
    <w:rsid w:val="00862590"/>
    <w:rsid w:val="008626B2"/>
    <w:rsid w:val="008626C5"/>
    <w:rsid w:val="00862944"/>
    <w:rsid w:val="00862A18"/>
    <w:rsid w:val="00862A54"/>
    <w:rsid w:val="00862D58"/>
    <w:rsid w:val="00862DDF"/>
    <w:rsid w:val="00862E20"/>
    <w:rsid w:val="00862F4A"/>
    <w:rsid w:val="008630C0"/>
    <w:rsid w:val="00863165"/>
    <w:rsid w:val="008631E1"/>
    <w:rsid w:val="008631E9"/>
    <w:rsid w:val="008633E5"/>
    <w:rsid w:val="00863596"/>
    <w:rsid w:val="0086394F"/>
    <w:rsid w:val="0086396C"/>
    <w:rsid w:val="00863972"/>
    <w:rsid w:val="008639E8"/>
    <w:rsid w:val="00863AC4"/>
    <w:rsid w:val="00863D41"/>
    <w:rsid w:val="00863D53"/>
    <w:rsid w:val="00863DB1"/>
    <w:rsid w:val="00863DBF"/>
    <w:rsid w:val="00863FA6"/>
    <w:rsid w:val="00863FC7"/>
    <w:rsid w:val="00864137"/>
    <w:rsid w:val="008641A2"/>
    <w:rsid w:val="008641BA"/>
    <w:rsid w:val="0086427D"/>
    <w:rsid w:val="0086434D"/>
    <w:rsid w:val="0086441A"/>
    <w:rsid w:val="00864489"/>
    <w:rsid w:val="008644BA"/>
    <w:rsid w:val="00864502"/>
    <w:rsid w:val="00864569"/>
    <w:rsid w:val="008645AC"/>
    <w:rsid w:val="00864655"/>
    <w:rsid w:val="00864692"/>
    <w:rsid w:val="00864760"/>
    <w:rsid w:val="008647AB"/>
    <w:rsid w:val="00864911"/>
    <w:rsid w:val="00864940"/>
    <w:rsid w:val="00864AAB"/>
    <w:rsid w:val="00864B19"/>
    <w:rsid w:val="00864B54"/>
    <w:rsid w:val="00864D4B"/>
    <w:rsid w:val="00864FB9"/>
    <w:rsid w:val="00864FBD"/>
    <w:rsid w:val="00864FE6"/>
    <w:rsid w:val="00864FF0"/>
    <w:rsid w:val="0086530B"/>
    <w:rsid w:val="008656A4"/>
    <w:rsid w:val="00865798"/>
    <w:rsid w:val="008657A4"/>
    <w:rsid w:val="00865A14"/>
    <w:rsid w:val="00865AF7"/>
    <w:rsid w:val="00865B16"/>
    <w:rsid w:val="00865B89"/>
    <w:rsid w:val="00865C37"/>
    <w:rsid w:val="00865C3F"/>
    <w:rsid w:val="00865E4E"/>
    <w:rsid w:val="00866014"/>
    <w:rsid w:val="008660F3"/>
    <w:rsid w:val="00866177"/>
    <w:rsid w:val="0086620A"/>
    <w:rsid w:val="008663AD"/>
    <w:rsid w:val="0086644B"/>
    <w:rsid w:val="008666E3"/>
    <w:rsid w:val="00866848"/>
    <w:rsid w:val="00866B4D"/>
    <w:rsid w:val="00866BE1"/>
    <w:rsid w:val="00866C28"/>
    <w:rsid w:val="00866F3A"/>
    <w:rsid w:val="00867197"/>
    <w:rsid w:val="0086728E"/>
    <w:rsid w:val="00867330"/>
    <w:rsid w:val="00867506"/>
    <w:rsid w:val="0086750C"/>
    <w:rsid w:val="008677B4"/>
    <w:rsid w:val="008677B8"/>
    <w:rsid w:val="00867C96"/>
    <w:rsid w:val="00867D5C"/>
    <w:rsid w:val="00867EAA"/>
    <w:rsid w:val="00870068"/>
    <w:rsid w:val="0087012F"/>
    <w:rsid w:val="00870375"/>
    <w:rsid w:val="008704AC"/>
    <w:rsid w:val="0087078F"/>
    <w:rsid w:val="008707C0"/>
    <w:rsid w:val="008708FE"/>
    <w:rsid w:val="00870916"/>
    <w:rsid w:val="00870A23"/>
    <w:rsid w:val="00870B63"/>
    <w:rsid w:val="008710A3"/>
    <w:rsid w:val="008710C9"/>
    <w:rsid w:val="008710E0"/>
    <w:rsid w:val="00871268"/>
    <w:rsid w:val="008712D1"/>
    <w:rsid w:val="008714EC"/>
    <w:rsid w:val="00871620"/>
    <w:rsid w:val="00871713"/>
    <w:rsid w:val="00871897"/>
    <w:rsid w:val="00871898"/>
    <w:rsid w:val="0087193B"/>
    <w:rsid w:val="00871B0A"/>
    <w:rsid w:val="00871CFC"/>
    <w:rsid w:val="00871D25"/>
    <w:rsid w:val="00871DED"/>
    <w:rsid w:val="00871F7F"/>
    <w:rsid w:val="00872191"/>
    <w:rsid w:val="00872293"/>
    <w:rsid w:val="008723C5"/>
    <w:rsid w:val="00872724"/>
    <w:rsid w:val="008727DC"/>
    <w:rsid w:val="008728A2"/>
    <w:rsid w:val="00872912"/>
    <w:rsid w:val="00872A59"/>
    <w:rsid w:val="00872C3E"/>
    <w:rsid w:val="00872F47"/>
    <w:rsid w:val="00872FC5"/>
    <w:rsid w:val="00873098"/>
    <w:rsid w:val="0087315F"/>
    <w:rsid w:val="008732DA"/>
    <w:rsid w:val="0087353C"/>
    <w:rsid w:val="008735DA"/>
    <w:rsid w:val="0087363B"/>
    <w:rsid w:val="00873653"/>
    <w:rsid w:val="0087370F"/>
    <w:rsid w:val="00873905"/>
    <w:rsid w:val="00873DE7"/>
    <w:rsid w:val="0087401C"/>
    <w:rsid w:val="00874251"/>
    <w:rsid w:val="00874303"/>
    <w:rsid w:val="0087430C"/>
    <w:rsid w:val="00874664"/>
    <w:rsid w:val="008746C4"/>
    <w:rsid w:val="008748A7"/>
    <w:rsid w:val="008748CE"/>
    <w:rsid w:val="00874911"/>
    <w:rsid w:val="00874934"/>
    <w:rsid w:val="008749AB"/>
    <w:rsid w:val="00874A03"/>
    <w:rsid w:val="00874A1C"/>
    <w:rsid w:val="00874A36"/>
    <w:rsid w:val="00874A7F"/>
    <w:rsid w:val="00874C16"/>
    <w:rsid w:val="00874F39"/>
    <w:rsid w:val="00874F62"/>
    <w:rsid w:val="00875338"/>
    <w:rsid w:val="0087542F"/>
    <w:rsid w:val="008755C3"/>
    <w:rsid w:val="0087568C"/>
    <w:rsid w:val="00875772"/>
    <w:rsid w:val="008757EF"/>
    <w:rsid w:val="008758AC"/>
    <w:rsid w:val="00875945"/>
    <w:rsid w:val="00875D28"/>
    <w:rsid w:val="00875D41"/>
    <w:rsid w:val="00875E15"/>
    <w:rsid w:val="00875EBA"/>
    <w:rsid w:val="00875F3B"/>
    <w:rsid w:val="008760B7"/>
    <w:rsid w:val="008761BF"/>
    <w:rsid w:val="0087620E"/>
    <w:rsid w:val="008766AC"/>
    <w:rsid w:val="008766CA"/>
    <w:rsid w:val="0087685E"/>
    <w:rsid w:val="00876BAE"/>
    <w:rsid w:val="00876C28"/>
    <w:rsid w:val="00876CDB"/>
    <w:rsid w:val="00876D27"/>
    <w:rsid w:val="00876EA1"/>
    <w:rsid w:val="00877020"/>
    <w:rsid w:val="00877069"/>
    <w:rsid w:val="008770A0"/>
    <w:rsid w:val="00877161"/>
    <w:rsid w:val="00877389"/>
    <w:rsid w:val="0087756B"/>
    <w:rsid w:val="00877618"/>
    <w:rsid w:val="00877A3A"/>
    <w:rsid w:val="00877C75"/>
    <w:rsid w:val="00877D1E"/>
    <w:rsid w:val="00877D62"/>
    <w:rsid w:val="00877F1D"/>
    <w:rsid w:val="00880174"/>
    <w:rsid w:val="008801CC"/>
    <w:rsid w:val="0088023F"/>
    <w:rsid w:val="008802C6"/>
    <w:rsid w:val="008802DD"/>
    <w:rsid w:val="00880460"/>
    <w:rsid w:val="00880518"/>
    <w:rsid w:val="008806B5"/>
    <w:rsid w:val="0088075A"/>
    <w:rsid w:val="00880908"/>
    <w:rsid w:val="00880909"/>
    <w:rsid w:val="00880937"/>
    <w:rsid w:val="00880CCA"/>
    <w:rsid w:val="0088111B"/>
    <w:rsid w:val="008811EF"/>
    <w:rsid w:val="00881263"/>
    <w:rsid w:val="00881308"/>
    <w:rsid w:val="0088136B"/>
    <w:rsid w:val="008814D5"/>
    <w:rsid w:val="0088156D"/>
    <w:rsid w:val="00881693"/>
    <w:rsid w:val="00881705"/>
    <w:rsid w:val="00881838"/>
    <w:rsid w:val="008819FC"/>
    <w:rsid w:val="00881A86"/>
    <w:rsid w:val="00881BDF"/>
    <w:rsid w:val="00881DB2"/>
    <w:rsid w:val="00882015"/>
    <w:rsid w:val="008820CF"/>
    <w:rsid w:val="008820FC"/>
    <w:rsid w:val="008821ED"/>
    <w:rsid w:val="008822E3"/>
    <w:rsid w:val="0088242E"/>
    <w:rsid w:val="00882706"/>
    <w:rsid w:val="00882732"/>
    <w:rsid w:val="0088285E"/>
    <w:rsid w:val="00882AC6"/>
    <w:rsid w:val="00882B24"/>
    <w:rsid w:val="00882CE9"/>
    <w:rsid w:val="00882DA7"/>
    <w:rsid w:val="00882F21"/>
    <w:rsid w:val="00882F5B"/>
    <w:rsid w:val="008830B5"/>
    <w:rsid w:val="008830BB"/>
    <w:rsid w:val="008832A3"/>
    <w:rsid w:val="00883571"/>
    <w:rsid w:val="008835D0"/>
    <w:rsid w:val="00883863"/>
    <w:rsid w:val="00883A3F"/>
    <w:rsid w:val="00883BDA"/>
    <w:rsid w:val="00884157"/>
    <w:rsid w:val="00884273"/>
    <w:rsid w:val="00884591"/>
    <w:rsid w:val="00884660"/>
    <w:rsid w:val="00884669"/>
    <w:rsid w:val="00884708"/>
    <w:rsid w:val="00884A8F"/>
    <w:rsid w:val="00884BB6"/>
    <w:rsid w:val="00884E83"/>
    <w:rsid w:val="00884F8B"/>
    <w:rsid w:val="00884FA5"/>
    <w:rsid w:val="00884FBB"/>
    <w:rsid w:val="00884FE1"/>
    <w:rsid w:val="0088512C"/>
    <w:rsid w:val="00885150"/>
    <w:rsid w:val="008851CA"/>
    <w:rsid w:val="0088528C"/>
    <w:rsid w:val="0088537C"/>
    <w:rsid w:val="008855EA"/>
    <w:rsid w:val="0088579A"/>
    <w:rsid w:val="0088579F"/>
    <w:rsid w:val="0088589C"/>
    <w:rsid w:val="008858DA"/>
    <w:rsid w:val="0088598A"/>
    <w:rsid w:val="00885A9D"/>
    <w:rsid w:val="00885AF2"/>
    <w:rsid w:val="00885C35"/>
    <w:rsid w:val="00885D2B"/>
    <w:rsid w:val="00885E99"/>
    <w:rsid w:val="00885F22"/>
    <w:rsid w:val="00885F8F"/>
    <w:rsid w:val="00885F9E"/>
    <w:rsid w:val="0088602D"/>
    <w:rsid w:val="00886044"/>
    <w:rsid w:val="0088605E"/>
    <w:rsid w:val="0088607F"/>
    <w:rsid w:val="00886460"/>
    <w:rsid w:val="008864AC"/>
    <w:rsid w:val="008865F6"/>
    <w:rsid w:val="00886601"/>
    <w:rsid w:val="00886855"/>
    <w:rsid w:val="0088688B"/>
    <w:rsid w:val="0088690C"/>
    <w:rsid w:val="00886965"/>
    <w:rsid w:val="00886A71"/>
    <w:rsid w:val="00886AC7"/>
    <w:rsid w:val="00886C14"/>
    <w:rsid w:val="00886C37"/>
    <w:rsid w:val="00886CD2"/>
    <w:rsid w:val="00886D94"/>
    <w:rsid w:val="00886DC3"/>
    <w:rsid w:val="00887004"/>
    <w:rsid w:val="00887025"/>
    <w:rsid w:val="008870C9"/>
    <w:rsid w:val="008871FB"/>
    <w:rsid w:val="0088724F"/>
    <w:rsid w:val="00887267"/>
    <w:rsid w:val="008872C2"/>
    <w:rsid w:val="0088741B"/>
    <w:rsid w:val="00887588"/>
    <w:rsid w:val="0088766E"/>
    <w:rsid w:val="0088787A"/>
    <w:rsid w:val="008878FA"/>
    <w:rsid w:val="00887A36"/>
    <w:rsid w:val="00887B70"/>
    <w:rsid w:val="00887BFF"/>
    <w:rsid w:val="00887C05"/>
    <w:rsid w:val="00887C4C"/>
    <w:rsid w:val="00887CF4"/>
    <w:rsid w:val="00890107"/>
    <w:rsid w:val="00890215"/>
    <w:rsid w:val="00890361"/>
    <w:rsid w:val="0089052F"/>
    <w:rsid w:val="0089061A"/>
    <w:rsid w:val="0089084B"/>
    <w:rsid w:val="0089099A"/>
    <w:rsid w:val="00890A31"/>
    <w:rsid w:val="00890A62"/>
    <w:rsid w:val="00890B53"/>
    <w:rsid w:val="00890BF4"/>
    <w:rsid w:val="00890EE7"/>
    <w:rsid w:val="00890F5B"/>
    <w:rsid w:val="00890F6C"/>
    <w:rsid w:val="00890FC4"/>
    <w:rsid w:val="0089119D"/>
    <w:rsid w:val="0089160E"/>
    <w:rsid w:val="008917FE"/>
    <w:rsid w:val="00891980"/>
    <w:rsid w:val="0089198A"/>
    <w:rsid w:val="008919CB"/>
    <w:rsid w:val="00891A4B"/>
    <w:rsid w:val="00891A53"/>
    <w:rsid w:val="00891DB9"/>
    <w:rsid w:val="00892154"/>
    <w:rsid w:val="0089258D"/>
    <w:rsid w:val="008925E4"/>
    <w:rsid w:val="00892920"/>
    <w:rsid w:val="00892B58"/>
    <w:rsid w:val="00892E04"/>
    <w:rsid w:val="00892EBD"/>
    <w:rsid w:val="00892EF8"/>
    <w:rsid w:val="0089305C"/>
    <w:rsid w:val="008930C8"/>
    <w:rsid w:val="008931B2"/>
    <w:rsid w:val="008932D8"/>
    <w:rsid w:val="008932F8"/>
    <w:rsid w:val="008933B2"/>
    <w:rsid w:val="0089342C"/>
    <w:rsid w:val="00893442"/>
    <w:rsid w:val="008934A1"/>
    <w:rsid w:val="008934AC"/>
    <w:rsid w:val="0089369E"/>
    <w:rsid w:val="00893879"/>
    <w:rsid w:val="008938BF"/>
    <w:rsid w:val="00893A6E"/>
    <w:rsid w:val="00893B54"/>
    <w:rsid w:val="00893C60"/>
    <w:rsid w:val="00893CC5"/>
    <w:rsid w:val="00894120"/>
    <w:rsid w:val="008941C7"/>
    <w:rsid w:val="008941EA"/>
    <w:rsid w:val="00894220"/>
    <w:rsid w:val="00894326"/>
    <w:rsid w:val="0089432A"/>
    <w:rsid w:val="00894392"/>
    <w:rsid w:val="008944CA"/>
    <w:rsid w:val="008944DC"/>
    <w:rsid w:val="00894500"/>
    <w:rsid w:val="0089453D"/>
    <w:rsid w:val="00894690"/>
    <w:rsid w:val="00894833"/>
    <w:rsid w:val="0089487C"/>
    <w:rsid w:val="00894AB9"/>
    <w:rsid w:val="00894B68"/>
    <w:rsid w:val="00894E5E"/>
    <w:rsid w:val="0089507D"/>
    <w:rsid w:val="0089507F"/>
    <w:rsid w:val="008950D4"/>
    <w:rsid w:val="00895268"/>
    <w:rsid w:val="008952BB"/>
    <w:rsid w:val="00895312"/>
    <w:rsid w:val="008953EB"/>
    <w:rsid w:val="008954A1"/>
    <w:rsid w:val="008954F3"/>
    <w:rsid w:val="00895A9F"/>
    <w:rsid w:val="00895AD0"/>
    <w:rsid w:val="00895DC2"/>
    <w:rsid w:val="0089607E"/>
    <w:rsid w:val="008960CE"/>
    <w:rsid w:val="00896239"/>
    <w:rsid w:val="008964CC"/>
    <w:rsid w:val="00896722"/>
    <w:rsid w:val="008968AC"/>
    <w:rsid w:val="0089696F"/>
    <w:rsid w:val="008969E4"/>
    <w:rsid w:val="00896E63"/>
    <w:rsid w:val="00896E6F"/>
    <w:rsid w:val="00897269"/>
    <w:rsid w:val="0089728C"/>
    <w:rsid w:val="008972AA"/>
    <w:rsid w:val="008974B7"/>
    <w:rsid w:val="00897AEE"/>
    <w:rsid w:val="00897B82"/>
    <w:rsid w:val="00897D9F"/>
    <w:rsid w:val="00897DBE"/>
    <w:rsid w:val="00897E2E"/>
    <w:rsid w:val="00897E3F"/>
    <w:rsid w:val="00897E63"/>
    <w:rsid w:val="00897F78"/>
    <w:rsid w:val="008A006B"/>
    <w:rsid w:val="008A00C6"/>
    <w:rsid w:val="008A0297"/>
    <w:rsid w:val="008A039A"/>
    <w:rsid w:val="008A0659"/>
    <w:rsid w:val="008A0677"/>
    <w:rsid w:val="008A06F4"/>
    <w:rsid w:val="008A06F6"/>
    <w:rsid w:val="008A0863"/>
    <w:rsid w:val="008A0CE5"/>
    <w:rsid w:val="008A0D8F"/>
    <w:rsid w:val="008A0FA0"/>
    <w:rsid w:val="008A10B5"/>
    <w:rsid w:val="008A1101"/>
    <w:rsid w:val="008A1175"/>
    <w:rsid w:val="008A12E7"/>
    <w:rsid w:val="008A1488"/>
    <w:rsid w:val="008A1645"/>
    <w:rsid w:val="008A1848"/>
    <w:rsid w:val="008A1880"/>
    <w:rsid w:val="008A19DD"/>
    <w:rsid w:val="008A1A4B"/>
    <w:rsid w:val="008A1A77"/>
    <w:rsid w:val="008A1B3B"/>
    <w:rsid w:val="008A1B5D"/>
    <w:rsid w:val="008A1C3A"/>
    <w:rsid w:val="008A1DD7"/>
    <w:rsid w:val="008A1F85"/>
    <w:rsid w:val="008A1FE6"/>
    <w:rsid w:val="008A2052"/>
    <w:rsid w:val="008A2053"/>
    <w:rsid w:val="008A2148"/>
    <w:rsid w:val="008A21DF"/>
    <w:rsid w:val="008A224A"/>
    <w:rsid w:val="008A230B"/>
    <w:rsid w:val="008A23D4"/>
    <w:rsid w:val="008A23F0"/>
    <w:rsid w:val="008A2420"/>
    <w:rsid w:val="008A2523"/>
    <w:rsid w:val="008A269B"/>
    <w:rsid w:val="008A2869"/>
    <w:rsid w:val="008A28D6"/>
    <w:rsid w:val="008A2930"/>
    <w:rsid w:val="008A293C"/>
    <w:rsid w:val="008A2A7A"/>
    <w:rsid w:val="008A2CC9"/>
    <w:rsid w:val="008A2CD7"/>
    <w:rsid w:val="008A2E0E"/>
    <w:rsid w:val="008A3042"/>
    <w:rsid w:val="008A30EE"/>
    <w:rsid w:val="008A31B6"/>
    <w:rsid w:val="008A320A"/>
    <w:rsid w:val="008A333C"/>
    <w:rsid w:val="008A33D3"/>
    <w:rsid w:val="008A3425"/>
    <w:rsid w:val="008A3686"/>
    <w:rsid w:val="008A3895"/>
    <w:rsid w:val="008A39CF"/>
    <w:rsid w:val="008A3B6F"/>
    <w:rsid w:val="008A3F72"/>
    <w:rsid w:val="008A3FAF"/>
    <w:rsid w:val="008A4002"/>
    <w:rsid w:val="008A404E"/>
    <w:rsid w:val="008A40AF"/>
    <w:rsid w:val="008A435B"/>
    <w:rsid w:val="008A43E1"/>
    <w:rsid w:val="008A44DB"/>
    <w:rsid w:val="008A44FE"/>
    <w:rsid w:val="008A4897"/>
    <w:rsid w:val="008A4A18"/>
    <w:rsid w:val="008A4B12"/>
    <w:rsid w:val="008A4B45"/>
    <w:rsid w:val="008A4D0C"/>
    <w:rsid w:val="008A5370"/>
    <w:rsid w:val="008A538E"/>
    <w:rsid w:val="008A55AA"/>
    <w:rsid w:val="008A55B8"/>
    <w:rsid w:val="008A56EF"/>
    <w:rsid w:val="008A572F"/>
    <w:rsid w:val="008A5800"/>
    <w:rsid w:val="008A587E"/>
    <w:rsid w:val="008A5A24"/>
    <w:rsid w:val="008A5AAC"/>
    <w:rsid w:val="008A5D0A"/>
    <w:rsid w:val="008A5E1E"/>
    <w:rsid w:val="008A5FC2"/>
    <w:rsid w:val="008A602A"/>
    <w:rsid w:val="008A60FA"/>
    <w:rsid w:val="008A6136"/>
    <w:rsid w:val="008A616C"/>
    <w:rsid w:val="008A6291"/>
    <w:rsid w:val="008A6412"/>
    <w:rsid w:val="008A684B"/>
    <w:rsid w:val="008A686E"/>
    <w:rsid w:val="008A6938"/>
    <w:rsid w:val="008A695B"/>
    <w:rsid w:val="008A69BF"/>
    <w:rsid w:val="008A6A6B"/>
    <w:rsid w:val="008A6B6D"/>
    <w:rsid w:val="008A6BC2"/>
    <w:rsid w:val="008A6D7A"/>
    <w:rsid w:val="008A6D8A"/>
    <w:rsid w:val="008A6EF5"/>
    <w:rsid w:val="008A6F4B"/>
    <w:rsid w:val="008A7002"/>
    <w:rsid w:val="008A731F"/>
    <w:rsid w:val="008A73AA"/>
    <w:rsid w:val="008A73C5"/>
    <w:rsid w:val="008A76E1"/>
    <w:rsid w:val="008A7719"/>
    <w:rsid w:val="008A782F"/>
    <w:rsid w:val="008A7886"/>
    <w:rsid w:val="008A795E"/>
    <w:rsid w:val="008A7A56"/>
    <w:rsid w:val="008A7B39"/>
    <w:rsid w:val="008A7CBA"/>
    <w:rsid w:val="008A7E97"/>
    <w:rsid w:val="008A7EB7"/>
    <w:rsid w:val="008A7F62"/>
    <w:rsid w:val="008A7F64"/>
    <w:rsid w:val="008A7FD4"/>
    <w:rsid w:val="008B0027"/>
    <w:rsid w:val="008B00E6"/>
    <w:rsid w:val="008B0329"/>
    <w:rsid w:val="008B03D8"/>
    <w:rsid w:val="008B04F8"/>
    <w:rsid w:val="008B050E"/>
    <w:rsid w:val="008B0548"/>
    <w:rsid w:val="008B061A"/>
    <w:rsid w:val="008B0628"/>
    <w:rsid w:val="008B06A9"/>
    <w:rsid w:val="008B07A0"/>
    <w:rsid w:val="008B085A"/>
    <w:rsid w:val="008B08FB"/>
    <w:rsid w:val="008B09A3"/>
    <w:rsid w:val="008B0CBD"/>
    <w:rsid w:val="008B0CCB"/>
    <w:rsid w:val="008B0CCC"/>
    <w:rsid w:val="008B0DB1"/>
    <w:rsid w:val="008B0E73"/>
    <w:rsid w:val="008B0F55"/>
    <w:rsid w:val="008B0FCD"/>
    <w:rsid w:val="008B0FEB"/>
    <w:rsid w:val="008B10A8"/>
    <w:rsid w:val="008B11B7"/>
    <w:rsid w:val="008B132E"/>
    <w:rsid w:val="008B1441"/>
    <w:rsid w:val="008B15E3"/>
    <w:rsid w:val="008B16CA"/>
    <w:rsid w:val="008B187A"/>
    <w:rsid w:val="008B19C6"/>
    <w:rsid w:val="008B19DD"/>
    <w:rsid w:val="008B1A66"/>
    <w:rsid w:val="008B1ECF"/>
    <w:rsid w:val="008B1FC6"/>
    <w:rsid w:val="008B2048"/>
    <w:rsid w:val="008B22CB"/>
    <w:rsid w:val="008B256E"/>
    <w:rsid w:val="008B2883"/>
    <w:rsid w:val="008B2A1E"/>
    <w:rsid w:val="008B2A77"/>
    <w:rsid w:val="008B2BD5"/>
    <w:rsid w:val="008B2C39"/>
    <w:rsid w:val="008B2C4C"/>
    <w:rsid w:val="008B2D00"/>
    <w:rsid w:val="008B2DCD"/>
    <w:rsid w:val="008B2E9B"/>
    <w:rsid w:val="008B2ECF"/>
    <w:rsid w:val="008B2F8D"/>
    <w:rsid w:val="008B2FEB"/>
    <w:rsid w:val="008B3247"/>
    <w:rsid w:val="008B33E4"/>
    <w:rsid w:val="008B35A3"/>
    <w:rsid w:val="008B3643"/>
    <w:rsid w:val="008B366D"/>
    <w:rsid w:val="008B3678"/>
    <w:rsid w:val="008B3687"/>
    <w:rsid w:val="008B37BF"/>
    <w:rsid w:val="008B389D"/>
    <w:rsid w:val="008B392C"/>
    <w:rsid w:val="008B39C6"/>
    <w:rsid w:val="008B39F0"/>
    <w:rsid w:val="008B3AFB"/>
    <w:rsid w:val="008B3BAD"/>
    <w:rsid w:val="008B3DE7"/>
    <w:rsid w:val="008B3E55"/>
    <w:rsid w:val="008B3EC5"/>
    <w:rsid w:val="008B4140"/>
    <w:rsid w:val="008B41E3"/>
    <w:rsid w:val="008B4575"/>
    <w:rsid w:val="008B45AF"/>
    <w:rsid w:val="008B45C2"/>
    <w:rsid w:val="008B478F"/>
    <w:rsid w:val="008B4914"/>
    <w:rsid w:val="008B4940"/>
    <w:rsid w:val="008B4A8E"/>
    <w:rsid w:val="008B4A9C"/>
    <w:rsid w:val="008B4DC6"/>
    <w:rsid w:val="008B4EA9"/>
    <w:rsid w:val="008B4EF0"/>
    <w:rsid w:val="008B4F98"/>
    <w:rsid w:val="008B50F9"/>
    <w:rsid w:val="008B513E"/>
    <w:rsid w:val="008B5238"/>
    <w:rsid w:val="008B528C"/>
    <w:rsid w:val="008B5317"/>
    <w:rsid w:val="008B533E"/>
    <w:rsid w:val="008B54AE"/>
    <w:rsid w:val="008B5575"/>
    <w:rsid w:val="008B55E0"/>
    <w:rsid w:val="008B55F4"/>
    <w:rsid w:val="008B5873"/>
    <w:rsid w:val="008B5A54"/>
    <w:rsid w:val="008B5AE3"/>
    <w:rsid w:val="008B5B34"/>
    <w:rsid w:val="008B5B7B"/>
    <w:rsid w:val="008B5C07"/>
    <w:rsid w:val="008B5CFB"/>
    <w:rsid w:val="008B5D08"/>
    <w:rsid w:val="008B5D95"/>
    <w:rsid w:val="008B5F6D"/>
    <w:rsid w:val="008B61C2"/>
    <w:rsid w:val="008B628D"/>
    <w:rsid w:val="008B6410"/>
    <w:rsid w:val="008B6412"/>
    <w:rsid w:val="008B6507"/>
    <w:rsid w:val="008B6591"/>
    <w:rsid w:val="008B6623"/>
    <w:rsid w:val="008B664B"/>
    <w:rsid w:val="008B6862"/>
    <w:rsid w:val="008B6942"/>
    <w:rsid w:val="008B696B"/>
    <w:rsid w:val="008B69B9"/>
    <w:rsid w:val="008B6A14"/>
    <w:rsid w:val="008B6A29"/>
    <w:rsid w:val="008B6B59"/>
    <w:rsid w:val="008B6B6B"/>
    <w:rsid w:val="008B6C2B"/>
    <w:rsid w:val="008B6F62"/>
    <w:rsid w:val="008B6FF7"/>
    <w:rsid w:val="008B7169"/>
    <w:rsid w:val="008B71E4"/>
    <w:rsid w:val="008B7557"/>
    <w:rsid w:val="008B761E"/>
    <w:rsid w:val="008B7658"/>
    <w:rsid w:val="008B7669"/>
    <w:rsid w:val="008B7A3C"/>
    <w:rsid w:val="008B7C07"/>
    <w:rsid w:val="008B7E4A"/>
    <w:rsid w:val="008B7E7C"/>
    <w:rsid w:val="008C0167"/>
    <w:rsid w:val="008C0274"/>
    <w:rsid w:val="008C0284"/>
    <w:rsid w:val="008C02F5"/>
    <w:rsid w:val="008C03F1"/>
    <w:rsid w:val="008C03F7"/>
    <w:rsid w:val="008C042D"/>
    <w:rsid w:val="008C0470"/>
    <w:rsid w:val="008C04E4"/>
    <w:rsid w:val="008C0701"/>
    <w:rsid w:val="008C079D"/>
    <w:rsid w:val="008C0923"/>
    <w:rsid w:val="008C0B59"/>
    <w:rsid w:val="008C0CB2"/>
    <w:rsid w:val="008C0D00"/>
    <w:rsid w:val="008C0D74"/>
    <w:rsid w:val="008C0F87"/>
    <w:rsid w:val="008C0FC3"/>
    <w:rsid w:val="008C0FDE"/>
    <w:rsid w:val="008C1166"/>
    <w:rsid w:val="008C136B"/>
    <w:rsid w:val="008C1379"/>
    <w:rsid w:val="008C14B2"/>
    <w:rsid w:val="008C152A"/>
    <w:rsid w:val="008C168C"/>
    <w:rsid w:val="008C1728"/>
    <w:rsid w:val="008C1799"/>
    <w:rsid w:val="008C17BE"/>
    <w:rsid w:val="008C18B4"/>
    <w:rsid w:val="008C19A2"/>
    <w:rsid w:val="008C19BD"/>
    <w:rsid w:val="008C1CAC"/>
    <w:rsid w:val="008C1D39"/>
    <w:rsid w:val="008C1DEC"/>
    <w:rsid w:val="008C1DF0"/>
    <w:rsid w:val="008C1DF7"/>
    <w:rsid w:val="008C1FF6"/>
    <w:rsid w:val="008C2006"/>
    <w:rsid w:val="008C2242"/>
    <w:rsid w:val="008C26A6"/>
    <w:rsid w:val="008C26C2"/>
    <w:rsid w:val="008C279A"/>
    <w:rsid w:val="008C29A5"/>
    <w:rsid w:val="008C2B51"/>
    <w:rsid w:val="008C2DCF"/>
    <w:rsid w:val="008C2F67"/>
    <w:rsid w:val="008C30AB"/>
    <w:rsid w:val="008C30FC"/>
    <w:rsid w:val="008C3266"/>
    <w:rsid w:val="008C3387"/>
    <w:rsid w:val="008C342F"/>
    <w:rsid w:val="008C34E7"/>
    <w:rsid w:val="008C34ED"/>
    <w:rsid w:val="008C3540"/>
    <w:rsid w:val="008C3652"/>
    <w:rsid w:val="008C36F5"/>
    <w:rsid w:val="008C37D8"/>
    <w:rsid w:val="008C3801"/>
    <w:rsid w:val="008C3861"/>
    <w:rsid w:val="008C38A8"/>
    <w:rsid w:val="008C38DF"/>
    <w:rsid w:val="008C3984"/>
    <w:rsid w:val="008C39EF"/>
    <w:rsid w:val="008C3A1F"/>
    <w:rsid w:val="008C3D63"/>
    <w:rsid w:val="008C3D9B"/>
    <w:rsid w:val="008C3E28"/>
    <w:rsid w:val="008C3E3A"/>
    <w:rsid w:val="008C41DE"/>
    <w:rsid w:val="008C43C0"/>
    <w:rsid w:val="008C46F0"/>
    <w:rsid w:val="008C46FC"/>
    <w:rsid w:val="008C48AD"/>
    <w:rsid w:val="008C4A88"/>
    <w:rsid w:val="008C4A98"/>
    <w:rsid w:val="008C4A9A"/>
    <w:rsid w:val="008C4AE7"/>
    <w:rsid w:val="008C4B28"/>
    <w:rsid w:val="008C4D16"/>
    <w:rsid w:val="008C4E06"/>
    <w:rsid w:val="008C4E55"/>
    <w:rsid w:val="008C4F55"/>
    <w:rsid w:val="008C50EF"/>
    <w:rsid w:val="008C5174"/>
    <w:rsid w:val="008C51B4"/>
    <w:rsid w:val="008C5279"/>
    <w:rsid w:val="008C5316"/>
    <w:rsid w:val="008C5398"/>
    <w:rsid w:val="008C53D9"/>
    <w:rsid w:val="008C5544"/>
    <w:rsid w:val="008C5861"/>
    <w:rsid w:val="008C5B34"/>
    <w:rsid w:val="008C5BC6"/>
    <w:rsid w:val="008C5BEC"/>
    <w:rsid w:val="008C5EBE"/>
    <w:rsid w:val="008C604E"/>
    <w:rsid w:val="008C60B2"/>
    <w:rsid w:val="008C6199"/>
    <w:rsid w:val="008C61F4"/>
    <w:rsid w:val="008C63B6"/>
    <w:rsid w:val="008C6443"/>
    <w:rsid w:val="008C6538"/>
    <w:rsid w:val="008C65E0"/>
    <w:rsid w:val="008C6743"/>
    <w:rsid w:val="008C6909"/>
    <w:rsid w:val="008C6B50"/>
    <w:rsid w:val="008C6C2A"/>
    <w:rsid w:val="008C6CBA"/>
    <w:rsid w:val="008C6CD2"/>
    <w:rsid w:val="008C6D9C"/>
    <w:rsid w:val="008C6DB7"/>
    <w:rsid w:val="008C6E3A"/>
    <w:rsid w:val="008C6ED5"/>
    <w:rsid w:val="008C6FF4"/>
    <w:rsid w:val="008C7077"/>
    <w:rsid w:val="008C7419"/>
    <w:rsid w:val="008C74D5"/>
    <w:rsid w:val="008C75C4"/>
    <w:rsid w:val="008C75E6"/>
    <w:rsid w:val="008C7682"/>
    <w:rsid w:val="008C7861"/>
    <w:rsid w:val="008C79A3"/>
    <w:rsid w:val="008C7A33"/>
    <w:rsid w:val="008C7A3E"/>
    <w:rsid w:val="008C7AE2"/>
    <w:rsid w:val="008C7B4C"/>
    <w:rsid w:val="008C7BB5"/>
    <w:rsid w:val="008C7C30"/>
    <w:rsid w:val="008C7D19"/>
    <w:rsid w:val="008C7E57"/>
    <w:rsid w:val="008C9438"/>
    <w:rsid w:val="008D0037"/>
    <w:rsid w:val="008D01D0"/>
    <w:rsid w:val="008D0218"/>
    <w:rsid w:val="008D032E"/>
    <w:rsid w:val="008D0491"/>
    <w:rsid w:val="008D05B2"/>
    <w:rsid w:val="008D065E"/>
    <w:rsid w:val="008D067D"/>
    <w:rsid w:val="008D06B6"/>
    <w:rsid w:val="008D089D"/>
    <w:rsid w:val="008D08A0"/>
    <w:rsid w:val="008D09EF"/>
    <w:rsid w:val="008D0AF2"/>
    <w:rsid w:val="008D0B37"/>
    <w:rsid w:val="008D0BA2"/>
    <w:rsid w:val="008D0D26"/>
    <w:rsid w:val="008D0F6A"/>
    <w:rsid w:val="008D1017"/>
    <w:rsid w:val="008D1158"/>
    <w:rsid w:val="008D117F"/>
    <w:rsid w:val="008D1314"/>
    <w:rsid w:val="008D1375"/>
    <w:rsid w:val="008D1648"/>
    <w:rsid w:val="008D17D8"/>
    <w:rsid w:val="008D1849"/>
    <w:rsid w:val="008D18AE"/>
    <w:rsid w:val="008D18DA"/>
    <w:rsid w:val="008D1923"/>
    <w:rsid w:val="008D1ADE"/>
    <w:rsid w:val="008D1C63"/>
    <w:rsid w:val="008D1C85"/>
    <w:rsid w:val="008D1F69"/>
    <w:rsid w:val="008D2100"/>
    <w:rsid w:val="008D237A"/>
    <w:rsid w:val="008D23EC"/>
    <w:rsid w:val="008D24BD"/>
    <w:rsid w:val="008D2537"/>
    <w:rsid w:val="008D257E"/>
    <w:rsid w:val="008D2679"/>
    <w:rsid w:val="008D289A"/>
    <w:rsid w:val="008D2B90"/>
    <w:rsid w:val="008D2C05"/>
    <w:rsid w:val="008D2D1F"/>
    <w:rsid w:val="008D2DC7"/>
    <w:rsid w:val="008D30F9"/>
    <w:rsid w:val="008D31A5"/>
    <w:rsid w:val="008D322A"/>
    <w:rsid w:val="008D3386"/>
    <w:rsid w:val="008D342C"/>
    <w:rsid w:val="008D378C"/>
    <w:rsid w:val="008D37BA"/>
    <w:rsid w:val="008D38C5"/>
    <w:rsid w:val="008D38E5"/>
    <w:rsid w:val="008D3A2B"/>
    <w:rsid w:val="008D3DC1"/>
    <w:rsid w:val="008D3DCA"/>
    <w:rsid w:val="008D3DEF"/>
    <w:rsid w:val="008D3E58"/>
    <w:rsid w:val="008D3F98"/>
    <w:rsid w:val="008D4033"/>
    <w:rsid w:val="008D4183"/>
    <w:rsid w:val="008D42AD"/>
    <w:rsid w:val="008D42E7"/>
    <w:rsid w:val="008D4399"/>
    <w:rsid w:val="008D479A"/>
    <w:rsid w:val="008D47E7"/>
    <w:rsid w:val="008D4889"/>
    <w:rsid w:val="008D488B"/>
    <w:rsid w:val="008D4A0E"/>
    <w:rsid w:val="008D4C5B"/>
    <w:rsid w:val="008D4FAB"/>
    <w:rsid w:val="008D4FCA"/>
    <w:rsid w:val="008D4FCF"/>
    <w:rsid w:val="008D51A1"/>
    <w:rsid w:val="008D52B0"/>
    <w:rsid w:val="008D537C"/>
    <w:rsid w:val="008D54E2"/>
    <w:rsid w:val="008D55E8"/>
    <w:rsid w:val="008D56D2"/>
    <w:rsid w:val="008D5702"/>
    <w:rsid w:val="008D581B"/>
    <w:rsid w:val="008D589F"/>
    <w:rsid w:val="008D58D3"/>
    <w:rsid w:val="008D58E1"/>
    <w:rsid w:val="008D5A6D"/>
    <w:rsid w:val="008D5B24"/>
    <w:rsid w:val="008D5D0D"/>
    <w:rsid w:val="008D6062"/>
    <w:rsid w:val="008D62A4"/>
    <w:rsid w:val="008D63B0"/>
    <w:rsid w:val="008D6430"/>
    <w:rsid w:val="008D64BF"/>
    <w:rsid w:val="008D654F"/>
    <w:rsid w:val="008D65E8"/>
    <w:rsid w:val="008D671C"/>
    <w:rsid w:val="008D684B"/>
    <w:rsid w:val="008D6866"/>
    <w:rsid w:val="008D69BE"/>
    <w:rsid w:val="008D69D6"/>
    <w:rsid w:val="008D6C65"/>
    <w:rsid w:val="008D6CD1"/>
    <w:rsid w:val="008D6CFF"/>
    <w:rsid w:val="008D6D38"/>
    <w:rsid w:val="008D6D3D"/>
    <w:rsid w:val="008D6F92"/>
    <w:rsid w:val="008D705A"/>
    <w:rsid w:val="008D71A6"/>
    <w:rsid w:val="008D7416"/>
    <w:rsid w:val="008D743D"/>
    <w:rsid w:val="008D781C"/>
    <w:rsid w:val="008D7868"/>
    <w:rsid w:val="008D7959"/>
    <w:rsid w:val="008D7ADD"/>
    <w:rsid w:val="008D7AF6"/>
    <w:rsid w:val="008D7C4E"/>
    <w:rsid w:val="008D7D55"/>
    <w:rsid w:val="008D7EFB"/>
    <w:rsid w:val="008D7FD2"/>
    <w:rsid w:val="008E00E2"/>
    <w:rsid w:val="008E00FC"/>
    <w:rsid w:val="008E03B0"/>
    <w:rsid w:val="008E0406"/>
    <w:rsid w:val="008E056D"/>
    <w:rsid w:val="008E064F"/>
    <w:rsid w:val="008E06E3"/>
    <w:rsid w:val="008E07CA"/>
    <w:rsid w:val="008E08B4"/>
    <w:rsid w:val="008E0A1E"/>
    <w:rsid w:val="008E0A31"/>
    <w:rsid w:val="008E0B32"/>
    <w:rsid w:val="008E0B97"/>
    <w:rsid w:val="008E0BE7"/>
    <w:rsid w:val="008E0CF2"/>
    <w:rsid w:val="008E1057"/>
    <w:rsid w:val="008E10B8"/>
    <w:rsid w:val="008E1102"/>
    <w:rsid w:val="008E120D"/>
    <w:rsid w:val="008E12AA"/>
    <w:rsid w:val="008E154D"/>
    <w:rsid w:val="008E170D"/>
    <w:rsid w:val="008E1797"/>
    <w:rsid w:val="008E1ADF"/>
    <w:rsid w:val="008E1CE8"/>
    <w:rsid w:val="008E1D00"/>
    <w:rsid w:val="008E1FB5"/>
    <w:rsid w:val="008E207F"/>
    <w:rsid w:val="008E258E"/>
    <w:rsid w:val="008E27F2"/>
    <w:rsid w:val="008E2821"/>
    <w:rsid w:val="008E2898"/>
    <w:rsid w:val="008E2BC5"/>
    <w:rsid w:val="008E2C5E"/>
    <w:rsid w:val="008E2D90"/>
    <w:rsid w:val="008E2E08"/>
    <w:rsid w:val="008E2F8F"/>
    <w:rsid w:val="008E304F"/>
    <w:rsid w:val="008E31F4"/>
    <w:rsid w:val="008E330C"/>
    <w:rsid w:val="008E3366"/>
    <w:rsid w:val="008E33D3"/>
    <w:rsid w:val="008E34C0"/>
    <w:rsid w:val="008E3698"/>
    <w:rsid w:val="008E373F"/>
    <w:rsid w:val="008E37D1"/>
    <w:rsid w:val="008E38B1"/>
    <w:rsid w:val="008E3919"/>
    <w:rsid w:val="008E39E7"/>
    <w:rsid w:val="008E3AA7"/>
    <w:rsid w:val="008E3B91"/>
    <w:rsid w:val="008E3CCF"/>
    <w:rsid w:val="008E3D5C"/>
    <w:rsid w:val="008E3D8C"/>
    <w:rsid w:val="008E3F28"/>
    <w:rsid w:val="008E4014"/>
    <w:rsid w:val="008E40A7"/>
    <w:rsid w:val="008E4119"/>
    <w:rsid w:val="008E41CC"/>
    <w:rsid w:val="008E429B"/>
    <w:rsid w:val="008E4385"/>
    <w:rsid w:val="008E43D6"/>
    <w:rsid w:val="008E453E"/>
    <w:rsid w:val="008E4557"/>
    <w:rsid w:val="008E4670"/>
    <w:rsid w:val="008E47CD"/>
    <w:rsid w:val="008E487D"/>
    <w:rsid w:val="008E4916"/>
    <w:rsid w:val="008E4AFE"/>
    <w:rsid w:val="008E4C3D"/>
    <w:rsid w:val="008E4C71"/>
    <w:rsid w:val="008E4E95"/>
    <w:rsid w:val="008E4F25"/>
    <w:rsid w:val="008E4F40"/>
    <w:rsid w:val="008E4FC6"/>
    <w:rsid w:val="008E50B4"/>
    <w:rsid w:val="008E50EC"/>
    <w:rsid w:val="008E51F1"/>
    <w:rsid w:val="008E521F"/>
    <w:rsid w:val="008E527B"/>
    <w:rsid w:val="008E5287"/>
    <w:rsid w:val="008E52B7"/>
    <w:rsid w:val="008E54BA"/>
    <w:rsid w:val="008E55AB"/>
    <w:rsid w:val="008E58BB"/>
    <w:rsid w:val="008E5A31"/>
    <w:rsid w:val="008E5BDB"/>
    <w:rsid w:val="008E5C01"/>
    <w:rsid w:val="008E5DAA"/>
    <w:rsid w:val="008E5E1D"/>
    <w:rsid w:val="008E6101"/>
    <w:rsid w:val="008E61D1"/>
    <w:rsid w:val="008E61DF"/>
    <w:rsid w:val="008E64FD"/>
    <w:rsid w:val="008E6713"/>
    <w:rsid w:val="008E683B"/>
    <w:rsid w:val="008E696E"/>
    <w:rsid w:val="008E698F"/>
    <w:rsid w:val="008E6C56"/>
    <w:rsid w:val="008E6C95"/>
    <w:rsid w:val="008E6D0E"/>
    <w:rsid w:val="008E6D37"/>
    <w:rsid w:val="008E6DF1"/>
    <w:rsid w:val="008E6E37"/>
    <w:rsid w:val="008E709A"/>
    <w:rsid w:val="008E7141"/>
    <w:rsid w:val="008E7325"/>
    <w:rsid w:val="008E755F"/>
    <w:rsid w:val="008E75BC"/>
    <w:rsid w:val="008E7617"/>
    <w:rsid w:val="008E76B5"/>
    <w:rsid w:val="008E771A"/>
    <w:rsid w:val="008E7875"/>
    <w:rsid w:val="008E78EB"/>
    <w:rsid w:val="008E7D09"/>
    <w:rsid w:val="008E7D5F"/>
    <w:rsid w:val="008E7DA9"/>
    <w:rsid w:val="008E7DC9"/>
    <w:rsid w:val="008E7FEE"/>
    <w:rsid w:val="008F0020"/>
    <w:rsid w:val="008F013B"/>
    <w:rsid w:val="008F036E"/>
    <w:rsid w:val="008F0392"/>
    <w:rsid w:val="008F058C"/>
    <w:rsid w:val="008F063D"/>
    <w:rsid w:val="008F0730"/>
    <w:rsid w:val="008F0A21"/>
    <w:rsid w:val="008F0A75"/>
    <w:rsid w:val="008F0DD1"/>
    <w:rsid w:val="008F0FC8"/>
    <w:rsid w:val="008F11BA"/>
    <w:rsid w:val="008F1378"/>
    <w:rsid w:val="008F13F1"/>
    <w:rsid w:val="008F143A"/>
    <w:rsid w:val="008F1447"/>
    <w:rsid w:val="008F1495"/>
    <w:rsid w:val="008F14FA"/>
    <w:rsid w:val="008F14FB"/>
    <w:rsid w:val="008F15EF"/>
    <w:rsid w:val="008F166D"/>
    <w:rsid w:val="008F1695"/>
    <w:rsid w:val="008F1745"/>
    <w:rsid w:val="008F1A05"/>
    <w:rsid w:val="008F1BE4"/>
    <w:rsid w:val="008F1D2C"/>
    <w:rsid w:val="008F1D60"/>
    <w:rsid w:val="008F1D9C"/>
    <w:rsid w:val="008F1F0E"/>
    <w:rsid w:val="008F1F39"/>
    <w:rsid w:val="008F1F76"/>
    <w:rsid w:val="008F2180"/>
    <w:rsid w:val="008F22FB"/>
    <w:rsid w:val="008F2303"/>
    <w:rsid w:val="008F2394"/>
    <w:rsid w:val="008F24BE"/>
    <w:rsid w:val="008F24D3"/>
    <w:rsid w:val="008F25EF"/>
    <w:rsid w:val="008F26E0"/>
    <w:rsid w:val="008F2711"/>
    <w:rsid w:val="008F2860"/>
    <w:rsid w:val="008F28C2"/>
    <w:rsid w:val="008F2ABE"/>
    <w:rsid w:val="008F2C42"/>
    <w:rsid w:val="008F2E1A"/>
    <w:rsid w:val="008F3045"/>
    <w:rsid w:val="008F314F"/>
    <w:rsid w:val="008F347C"/>
    <w:rsid w:val="008F34CC"/>
    <w:rsid w:val="008F388A"/>
    <w:rsid w:val="008F38A2"/>
    <w:rsid w:val="008F3941"/>
    <w:rsid w:val="008F3A65"/>
    <w:rsid w:val="008F3BFF"/>
    <w:rsid w:val="008F3D2F"/>
    <w:rsid w:val="008F3D49"/>
    <w:rsid w:val="008F3D4C"/>
    <w:rsid w:val="008F3E00"/>
    <w:rsid w:val="008F3E10"/>
    <w:rsid w:val="008F4117"/>
    <w:rsid w:val="008F4281"/>
    <w:rsid w:val="008F42D1"/>
    <w:rsid w:val="008F43B6"/>
    <w:rsid w:val="008F451D"/>
    <w:rsid w:val="008F4529"/>
    <w:rsid w:val="008F46F2"/>
    <w:rsid w:val="008F4812"/>
    <w:rsid w:val="008F48E9"/>
    <w:rsid w:val="008F4941"/>
    <w:rsid w:val="008F4945"/>
    <w:rsid w:val="008F4B8D"/>
    <w:rsid w:val="008F4C46"/>
    <w:rsid w:val="008F505C"/>
    <w:rsid w:val="008F546C"/>
    <w:rsid w:val="008F55DF"/>
    <w:rsid w:val="008F5810"/>
    <w:rsid w:val="008F58A1"/>
    <w:rsid w:val="008F58E1"/>
    <w:rsid w:val="008F5909"/>
    <w:rsid w:val="008F5988"/>
    <w:rsid w:val="008F5A53"/>
    <w:rsid w:val="008F5AD5"/>
    <w:rsid w:val="008F5B10"/>
    <w:rsid w:val="008F5B16"/>
    <w:rsid w:val="008F5D4B"/>
    <w:rsid w:val="008F5E80"/>
    <w:rsid w:val="008F5E90"/>
    <w:rsid w:val="008F5EB3"/>
    <w:rsid w:val="008F62AA"/>
    <w:rsid w:val="008F6303"/>
    <w:rsid w:val="008F666B"/>
    <w:rsid w:val="008F66C6"/>
    <w:rsid w:val="008F67C3"/>
    <w:rsid w:val="008F68CB"/>
    <w:rsid w:val="008F6A92"/>
    <w:rsid w:val="008F6BCF"/>
    <w:rsid w:val="008F6BD2"/>
    <w:rsid w:val="008F6D0F"/>
    <w:rsid w:val="008F6F5A"/>
    <w:rsid w:val="008F7030"/>
    <w:rsid w:val="008F710B"/>
    <w:rsid w:val="008F7325"/>
    <w:rsid w:val="008F73BB"/>
    <w:rsid w:val="008F747C"/>
    <w:rsid w:val="008F74E8"/>
    <w:rsid w:val="008F7694"/>
    <w:rsid w:val="008F772D"/>
    <w:rsid w:val="008F782A"/>
    <w:rsid w:val="008F7AB8"/>
    <w:rsid w:val="008F7B23"/>
    <w:rsid w:val="008F7E2B"/>
    <w:rsid w:val="008F7EA8"/>
    <w:rsid w:val="008F7EFC"/>
    <w:rsid w:val="0090011B"/>
    <w:rsid w:val="00900160"/>
    <w:rsid w:val="00900224"/>
    <w:rsid w:val="009003F0"/>
    <w:rsid w:val="009004A5"/>
    <w:rsid w:val="00900564"/>
    <w:rsid w:val="0090081A"/>
    <w:rsid w:val="00900872"/>
    <w:rsid w:val="009009D4"/>
    <w:rsid w:val="00900CD2"/>
    <w:rsid w:val="0090103F"/>
    <w:rsid w:val="009011AF"/>
    <w:rsid w:val="0090120D"/>
    <w:rsid w:val="00901225"/>
    <w:rsid w:val="00901244"/>
    <w:rsid w:val="0090132D"/>
    <w:rsid w:val="009015E4"/>
    <w:rsid w:val="00901724"/>
    <w:rsid w:val="00901873"/>
    <w:rsid w:val="00901930"/>
    <w:rsid w:val="00901A95"/>
    <w:rsid w:val="00901AEE"/>
    <w:rsid w:val="00901AFF"/>
    <w:rsid w:val="00901B07"/>
    <w:rsid w:val="00901BB8"/>
    <w:rsid w:val="00901C50"/>
    <w:rsid w:val="00901DBE"/>
    <w:rsid w:val="00901DFA"/>
    <w:rsid w:val="00901E1D"/>
    <w:rsid w:val="0090213B"/>
    <w:rsid w:val="00902163"/>
    <w:rsid w:val="0090226A"/>
    <w:rsid w:val="009022DB"/>
    <w:rsid w:val="009022EB"/>
    <w:rsid w:val="0090242D"/>
    <w:rsid w:val="0090245B"/>
    <w:rsid w:val="009024AA"/>
    <w:rsid w:val="0090269A"/>
    <w:rsid w:val="00902744"/>
    <w:rsid w:val="0090276A"/>
    <w:rsid w:val="009029B2"/>
    <w:rsid w:val="00902AE3"/>
    <w:rsid w:val="00902C85"/>
    <w:rsid w:val="00902CC5"/>
    <w:rsid w:val="00902E89"/>
    <w:rsid w:val="00902FF1"/>
    <w:rsid w:val="009030C8"/>
    <w:rsid w:val="00903152"/>
    <w:rsid w:val="00903210"/>
    <w:rsid w:val="0090331D"/>
    <w:rsid w:val="0090349F"/>
    <w:rsid w:val="00903718"/>
    <w:rsid w:val="00903818"/>
    <w:rsid w:val="00903C1B"/>
    <w:rsid w:val="00903E49"/>
    <w:rsid w:val="00904053"/>
    <w:rsid w:val="00904062"/>
    <w:rsid w:val="009040E7"/>
    <w:rsid w:val="00904194"/>
    <w:rsid w:val="009041E4"/>
    <w:rsid w:val="00904364"/>
    <w:rsid w:val="00904446"/>
    <w:rsid w:val="009044F9"/>
    <w:rsid w:val="009045AE"/>
    <w:rsid w:val="00904652"/>
    <w:rsid w:val="009046CA"/>
    <w:rsid w:val="0090470B"/>
    <w:rsid w:val="00904831"/>
    <w:rsid w:val="0090492A"/>
    <w:rsid w:val="00904AC1"/>
    <w:rsid w:val="00904AF4"/>
    <w:rsid w:val="00904B03"/>
    <w:rsid w:val="00904B33"/>
    <w:rsid w:val="00904C08"/>
    <w:rsid w:val="00904C5F"/>
    <w:rsid w:val="00904D7C"/>
    <w:rsid w:val="00904EB0"/>
    <w:rsid w:val="00904EDA"/>
    <w:rsid w:val="0090506D"/>
    <w:rsid w:val="0090514C"/>
    <w:rsid w:val="009052C1"/>
    <w:rsid w:val="009052E2"/>
    <w:rsid w:val="0090539C"/>
    <w:rsid w:val="009053BB"/>
    <w:rsid w:val="0090540E"/>
    <w:rsid w:val="00905427"/>
    <w:rsid w:val="009054CB"/>
    <w:rsid w:val="00905733"/>
    <w:rsid w:val="0090579D"/>
    <w:rsid w:val="00905847"/>
    <w:rsid w:val="00905958"/>
    <w:rsid w:val="00905A16"/>
    <w:rsid w:val="00905CE1"/>
    <w:rsid w:val="00905D61"/>
    <w:rsid w:val="00905F43"/>
    <w:rsid w:val="00905F7B"/>
    <w:rsid w:val="00905FA7"/>
    <w:rsid w:val="009061E6"/>
    <w:rsid w:val="009062CD"/>
    <w:rsid w:val="00906462"/>
    <w:rsid w:val="00906536"/>
    <w:rsid w:val="00906560"/>
    <w:rsid w:val="00906724"/>
    <w:rsid w:val="009068AC"/>
    <w:rsid w:val="00906A28"/>
    <w:rsid w:val="00906D3D"/>
    <w:rsid w:val="00906D67"/>
    <w:rsid w:val="00906D7A"/>
    <w:rsid w:val="00906DAB"/>
    <w:rsid w:val="00906F49"/>
    <w:rsid w:val="00906F55"/>
    <w:rsid w:val="0090713A"/>
    <w:rsid w:val="009072D7"/>
    <w:rsid w:val="0090746C"/>
    <w:rsid w:val="0090754F"/>
    <w:rsid w:val="00907661"/>
    <w:rsid w:val="00907690"/>
    <w:rsid w:val="0090790E"/>
    <w:rsid w:val="009079E2"/>
    <w:rsid w:val="00907BA9"/>
    <w:rsid w:val="00907BFC"/>
    <w:rsid w:val="00907C62"/>
    <w:rsid w:val="00907D4D"/>
    <w:rsid w:val="00907E6D"/>
    <w:rsid w:val="00907FFD"/>
    <w:rsid w:val="00910009"/>
    <w:rsid w:val="00910041"/>
    <w:rsid w:val="00910109"/>
    <w:rsid w:val="0091014D"/>
    <w:rsid w:val="0091022F"/>
    <w:rsid w:val="009102FD"/>
    <w:rsid w:val="009103F5"/>
    <w:rsid w:val="00910447"/>
    <w:rsid w:val="00910563"/>
    <w:rsid w:val="009106D9"/>
    <w:rsid w:val="00910705"/>
    <w:rsid w:val="00910731"/>
    <w:rsid w:val="009107E3"/>
    <w:rsid w:val="0091083E"/>
    <w:rsid w:val="00910996"/>
    <w:rsid w:val="009109B2"/>
    <w:rsid w:val="00910C35"/>
    <w:rsid w:val="00910D69"/>
    <w:rsid w:val="00910E04"/>
    <w:rsid w:val="00910F1E"/>
    <w:rsid w:val="00911175"/>
    <w:rsid w:val="0091119E"/>
    <w:rsid w:val="0091142A"/>
    <w:rsid w:val="00911489"/>
    <w:rsid w:val="00911635"/>
    <w:rsid w:val="00911737"/>
    <w:rsid w:val="0091174F"/>
    <w:rsid w:val="00911775"/>
    <w:rsid w:val="00911864"/>
    <w:rsid w:val="009119C2"/>
    <w:rsid w:val="00911A23"/>
    <w:rsid w:val="00911A25"/>
    <w:rsid w:val="00911CD0"/>
    <w:rsid w:val="00911CD1"/>
    <w:rsid w:val="00911CF2"/>
    <w:rsid w:val="00911D23"/>
    <w:rsid w:val="00911D8F"/>
    <w:rsid w:val="00911E8A"/>
    <w:rsid w:val="00911EDE"/>
    <w:rsid w:val="00912399"/>
    <w:rsid w:val="0091268A"/>
    <w:rsid w:val="009128BF"/>
    <w:rsid w:val="00912940"/>
    <w:rsid w:val="00912A18"/>
    <w:rsid w:val="00912B85"/>
    <w:rsid w:val="00912CC0"/>
    <w:rsid w:val="00912CDD"/>
    <w:rsid w:val="00912D98"/>
    <w:rsid w:val="00912EF8"/>
    <w:rsid w:val="009131E1"/>
    <w:rsid w:val="00913431"/>
    <w:rsid w:val="00913744"/>
    <w:rsid w:val="00913806"/>
    <w:rsid w:val="009139FE"/>
    <w:rsid w:val="00913A69"/>
    <w:rsid w:val="00913ABF"/>
    <w:rsid w:val="00913C8E"/>
    <w:rsid w:val="00913DA1"/>
    <w:rsid w:val="00913E1E"/>
    <w:rsid w:val="00913F1D"/>
    <w:rsid w:val="00913F22"/>
    <w:rsid w:val="00914054"/>
    <w:rsid w:val="009140E8"/>
    <w:rsid w:val="009140F5"/>
    <w:rsid w:val="009141E5"/>
    <w:rsid w:val="0091432D"/>
    <w:rsid w:val="0091435E"/>
    <w:rsid w:val="009143F9"/>
    <w:rsid w:val="0091456D"/>
    <w:rsid w:val="00914726"/>
    <w:rsid w:val="00914795"/>
    <w:rsid w:val="009148D0"/>
    <w:rsid w:val="009148F6"/>
    <w:rsid w:val="00914B5E"/>
    <w:rsid w:val="00914F64"/>
    <w:rsid w:val="00914F6A"/>
    <w:rsid w:val="0091501D"/>
    <w:rsid w:val="00915266"/>
    <w:rsid w:val="009153E8"/>
    <w:rsid w:val="009154BE"/>
    <w:rsid w:val="00915692"/>
    <w:rsid w:val="009156AB"/>
    <w:rsid w:val="009156D3"/>
    <w:rsid w:val="0091573F"/>
    <w:rsid w:val="00915785"/>
    <w:rsid w:val="009157F3"/>
    <w:rsid w:val="0091590F"/>
    <w:rsid w:val="00915947"/>
    <w:rsid w:val="00915A77"/>
    <w:rsid w:val="00915BBB"/>
    <w:rsid w:val="00915BF7"/>
    <w:rsid w:val="00915CCC"/>
    <w:rsid w:val="00915DB7"/>
    <w:rsid w:val="00915DDF"/>
    <w:rsid w:val="00915FC7"/>
    <w:rsid w:val="00916044"/>
    <w:rsid w:val="009161A6"/>
    <w:rsid w:val="009161DF"/>
    <w:rsid w:val="00916315"/>
    <w:rsid w:val="0091646A"/>
    <w:rsid w:val="00916518"/>
    <w:rsid w:val="0091653E"/>
    <w:rsid w:val="00916619"/>
    <w:rsid w:val="00916673"/>
    <w:rsid w:val="0091667E"/>
    <w:rsid w:val="0091685C"/>
    <w:rsid w:val="009168FA"/>
    <w:rsid w:val="00916B13"/>
    <w:rsid w:val="00916B16"/>
    <w:rsid w:val="00916D32"/>
    <w:rsid w:val="00916DD4"/>
    <w:rsid w:val="00916E63"/>
    <w:rsid w:val="00917202"/>
    <w:rsid w:val="009174C6"/>
    <w:rsid w:val="0091765F"/>
    <w:rsid w:val="009177E3"/>
    <w:rsid w:val="00917852"/>
    <w:rsid w:val="009178B7"/>
    <w:rsid w:val="00917906"/>
    <w:rsid w:val="00917A6A"/>
    <w:rsid w:val="00917B86"/>
    <w:rsid w:val="00917B9A"/>
    <w:rsid w:val="00917BE4"/>
    <w:rsid w:val="00917D73"/>
    <w:rsid w:val="00917E71"/>
    <w:rsid w:val="00917FA0"/>
    <w:rsid w:val="00917FC7"/>
    <w:rsid w:val="0092002F"/>
    <w:rsid w:val="009202D5"/>
    <w:rsid w:val="00920360"/>
    <w:rsid w:val="0092048E"/>
    <w:rsid w:val="009207B7"/>
    <w:rsid w:val="009208DF"/>
    <w:rsid w:val="009208E0"/>
    <w:rsid w:val="00920A60"/>
    <w:rsid w:val="00920A73"/>
    <w:rsid w:val="00920BD5"/>
    <w:rsid w:val="00920D10"/>
    <w:rsid w:val="00920F62"/>
    <w:rsid w:val="00920FAF"/>
    <w:rsid w:val="009211A6"/>
    <w:rsid w:val="00921264"/>
    <w:rsid w:val="00921569"/>
    <w:rsid w:val="00921596"/>
    <w:rsid w:val="009216A3"/>
    <w:rsid w:val="00921769"/>
    <w:rsid w:val="00921794"/>
    <w:rsid w:val="00921842"/>
    <w:rsid w:val="00921A8D"/>
    <w:rsid w:val="00921AC3"/>
    <w:rsid w:val="00921BDD"/>
    <w:rsid w:val="00921BE2"/>
    <w:rsid w:val="00921CBD"/>
    <w:rsid w:val="00921D0B"/>
    <w:rsid w:val="00921DC3"/>
    <w:rsid w:val="00921FA1"/>
    <w:rsid w:val="009220EC"/>
    <w:rsid w:val="00922150"/>
    <w:rsid w:val="009221FA"/>
    <w:rsid w:val="0092251F"/>
    <w:rsid w:val="00922647"/>
    <w:rsid w:val="0092268E"/>
    <w:rsid w:val="00922A63"/>
    <w:rsid w:val="00922B84"/>
    <w:rsid w:val="00922D9A"/>
    <w:rsid w:val="00922DB9"/>
    <w:rsid w:val="00922E5E"/>
    <w:rsid w:val="00922FFB"/>
    <w:rsid w:val="009230CD"/>
    <w:rsid w:val="009230ED"/>
    <w:rsid w:val="009231AE"/>
    <w:rsid w:val="009231D3"/>
    <w:rsid w:val="009232D1"/>
    <w:rsid w:val="009236D1"/>
    <w:rsid w:val="0092376D"/>
    <w:rsid w:val="009238A5"/>
    <w:rsid w:val="00923A03"/>
    <w:rsid w:val="00923C36"/>
    <w:rsid w:val="00923D30"/>
    <w:rsid w:val="00923D56"/>
    <w:rsid w:val="00923E78"/>
    <w:rsid w:val="00923F1F"/>
    <w:rsid w:val="00924061"/>
    <w:rsid w:val="0092413A"/>
    <w:rsid w:val="009241FD"/>
    <w:rsid w:val="0092428E"/>
    <w:rsid w:val="0092429D"/>
    <w:rsid w:val="0092441A"/>
    <w:rsid w:val="00924527"/>
    <w:rsid w:val="00924594"/>
    <w:rsid w:val="0092464A"/>
    <w:rsid w:val="00924684"/>
    <w:rsid w:val="009247C6"/>
    <w:rsid w:val="00924854"/>
    <w:rsid w:val="009248BD"/>
    <w:rsid w:val="009248F1"/>
    <w:rsid w:val="00924915"/>
    <w:rsid w:val="00924B8C"/>
    <w:rsid w:val="00924D45"/>
    <w:rsid w:val="00924E15"/>
    <w:rsid w:val="00924E2D"/>
    <w:rsid w:val="00924E88"/>
    <w:rsid w:val="009250A0"/>
    <w:rsid w:val="009251A1"/>
    <w:rsid w:val="0092526C"/>
    <w:rsid w:val="0092531E"/>
    <w:rsid w:val="00925340"/>
    <w:rsid w:val="00925372"/>
    <w:rsid w:val="009254B6"/>
    <w:rsid w:val="00925583"/>
    <w:rsid w:val="00925589"/>
    <w:rsid w:val="009258EC"/>
    <w:rsid w:val="00925AA5"/>
    <w:rsid w:val="00925BD0"/>
    <w:rsid w:val="00925CB8"/>
    <w:rsid w:val="00925E24"/>
    <w:rsid w:val="00925E59"/>
    <w:rsid w:val="00925EC4"/>
    <w:rsid w:val="00926039"/>
    <w:rsid w:val="009260AE"/>
    <w:rsid w:val="00926216"/>
    <w:rsid w:val="00926246"/>
    <w:rsid w:val="00926269"/>
    <w:rsid w:val="0092639E"/>
    <w:rsid w:val="0092654B"/>
    <w:rsid w:val="00926DBC"/>
    <w:rsid w:val="00926E65"/>
    <w:rsid w:val="00926E7A"/>
    <w:rsid w:val="00926F2F"/>
    <w:rsid w:val="0092707D"/>
    <w:rsid w:val="009277CF"/>
    <w:rsid w:val="0092792C"/>
    <w:rsid w:val="0092793B"/>
    <w:rsid w:val="00927A85"/>
    <w:rsid w:val="00927BBC"/>
    <w:rsid w:val="00927CBA"/>
    <w:rsid w:val="00927CC0"/>
    <w:rsid w:val="00927D5E"/>
    <w:rsid w:val="00927D62"/>
    <w:rsid w:val="00927D76"/>
    <w:rsid w:val="00927D84"/>
    <w:rsid w:val="00927F59"/>
    <w:rsid w:val="00927FF6"/>
    <w:rsid w:val="00930005"/>
    <w:rsid w:val="00930273"/>
    <w:rsid w:val="009302B0"/>
    <w:rsid w:val="00930305"/>
    <w:rsid w:val="00930771"/>
    <w:rsid w:val="009307FA"/>
    <w:rsid w:val="009309DB"/>
    <w:rsid w:val="00930B06"/>
    <w:rsid w:val="00930B89"/>
    <w:rsid w:val="00930C97"/>
    <w:rsid w:val="00930CD7"/>
    <w:rsid w:val="00930D99"/>
    <w:rsid w:val="00930DF5"/>
    <w:rsid w:val="00930E69"/>
    <w:rsid w:val="00930F2C"/>
    <w:rsid w:val="00931058"/>
    <w:rsid w:val="009310F6"/>
    <w:rsid w:val="00931140"/>
    <w:rsid w:val="009311D4"/>
    <w:rsid w:val="009312EB"/>
    <w:rsid w:val="00931313"/>
    <w:rsid w:val="0093138E"/>
    <w:rsid w:val="00931394"/>
    <w:rsid w:val="009317DD"/>
    <w:rsid w:val="009318F3"/>
    <w:rsid w:val="00931973"/>
    <w:rsid w:val="00931997"/>
    <w:rsid w:val="00931B82"/>
    <w:rsid w:val="0093222F"/>
    <w:rsid w:val="00932466"/>
    <w:rsid w:val="009324BC"/>
    <w:rsid w:val="009324C4"/>
    <w:rsid w:val="009324FE"/>
    <w:rsid w:val="0093254C"/>
    <w:rsid w:val="00932790"/>
    <w:rsid w:val="009328CA"/>
    <w:rsid w:val="0093293C"/>
    <w:rsid w:val="009329E2"/>
    <w:rsid w:val="00932A21"/>
    <w:rsid w:val="00932AAE"/>
    <w:rsid w:val="00932ABC"/>
    <w:rsid w:val="00932CCF"/>
    <w:rsid w:val="00932E95"/>
    <w:rsid w:val="00932ED6"/>
    <w:rsid w:val="009330C6"/>
    <w:rsid w:val="009331C1"/>
    <w:rsid w:val="00933287"/>
    <w:rsid w:val="009332BF"/>
    <w:rsid w:val="00933417"/>
    <w:rsid w:val="0093342D"/>
    <w:rsid w:val="009334B8"/>
    <w:rsid w:val="00933856"/>
    <w:rsid w:val="0093390C"/>
    <w:rsid w:val="00933994"/>
    <w:rsid w:val="00933A78"/>
    <w:rsid w:val="00933AA2"/>
    <w:rsid w:val="00933B0D"/>
    <w:rsid w:val="00933BEA"/>
    <w:rsid w:val="00933C5B"/>
    <w:rsid w:val="00933D8A"/>
    <w:rsid w:val="00933F15"/>
    <w:rsid w:val="00933F2E"/>
    <w:rsid w:val="00933FA9"/>
    <w:rsid w:val="00934033"/>
    <w:rsid w:val="009343B8"/>
    <w:rsid w:val="0093444B"/>
    <w:rsid w:val="00934591"/>
    <w:rsid w:val="009346FD"/>
    <w:rsid w:val="009347E5"/>
    <w:rsid w:val="00934860"/>
    <w:rsid w:val="009348E8"/>
    <w:rsid w:val="00934971"/>
    <w:rsid w:val="00934BA1"/>
    <w:rsid w:val="00934D56"/>
    <w:rsid w:val="00934DD0"/>
    <w:rsid w:val="00934DF8"/>
    <w:rsid w:val="00934E71"/>
    <w:rsid w:val="00934ED4"/>
    <w:rsid w:val="00934FF7"/>
    <w:rsid w:val="00935035"/>
    <w:rsid w:val="009352D8"/>
    <w:rsid w:val="00935355"/>
    <w:rsid w:val="00935484"/>
    <w:rsid w:val="0093554B"/>
    <w:rsid w:val="00935575"/>
    <w:rsid w:val="009355B1"/>
    <w:rsid w:val="00935777"/>
    <w:rsid w:val="0093584B"/>
    <w:rsid w:val="00935C81"/>
    <w:rsid w:val="00935CBB"/>
    <w:rsid w:val="00935D75"/>
    <w:rsid w:val="00935DF1"/>
    <w:rsid w:val="00935E28"/>
    <w:rsid w:val="00935E42"/>
    <w:rsid w:val="00935F2C"/>
    <w:rsid w:val="00935FC3"/>
    <w:rsid w:val="00935FFD"/>
    <w:rsid w:val="00936319"/>
    <w:rsid w:val="00936422"/>
    <w:rsid w:val="009365C3"/>
    <w:rsid w:val="009366A9"/>
    <w:rsid w:val="0093683C"/>
    <w:rsid w:val="0093685D"/>
    <w:rsid w:val="009368E9"/>
    <w:rsid w:val="00936AD6"/>
    <w:rsid w:val="00936AEC"/>
    <w:rsid w:val="00936D65"/>
    <w:rsid w:val="00936DC6"/>
    <w:rsid w:val="00936DD1"/>
    <w:rsid w:val="00936F75"/>
    <w:rsid w:val="009370DE"/>
    <w:rsid w:val="0093711A"/>
    <w:rsid w:val="00937212"/>
    <w:rsid w:val="00937215"/>
    <w:rsid w:val="00937522"/>
    <w:rsid w:val="00937680"/>
    <w:rsid w:val="009376EF"/>
    <w:rsid w:val="0093770E"/>
    <w:rsid w:val="0093771F"/>
    <w:rsid w:val="00937755"/>
    <w:rsid w:val="0093790F"/>
    <w:rsid w:val="0093791C"/>
    <w:rsid w:val="00937A88"/>
    <w:rsid w:val="00937B6F"/>
    <w:rsid w:val="00937C32"/>
    <w:rsid w:val="00937FD1"/>
    <w:rsid w:val="0094001B"/>
    <w:rsid w:val="0094011C"/>
    <w:rsid w:val="00940236"/>
    <w:rsid w:val="0094039B"/>
    <w:rsid w:val="00940417"/>
    <w:rsid w:val="009405AB"/>
    <w:rsid w:val="00940603"/>
    <w:rsid w:val="0094062F"/>
    <w:rsid w:val="00940646"/>
    <w:rsid w:val="009406F2"/>
    <w:rsid w:val="00940709"/>
    <w:rsid w:val="00940792"/>
    <w:rsid w:val="00940816"/>
    <w:rsid w:val="0094084B"/>
    <w:rsid w:val="0094086B"/>
    <w:rsid w:val="00940A49"/>
    <w:rsid w:val="00940A4B"/>
    <w:rsid w:val="00940B07"/>
    <w:rsid w:val="00940E35"/>
    <w:rsid w:val="00940F8C"/>
    <w:rsid w:val="00941087"/>
    <w:rsid w:val="009414BA"/>
    <w:rsid w:val="00941555"/>
    <w:rsid w:val="009416F7"/>
    <w:rsid w:val="00941AA7"/>
    <w:rsid w:val="00941AFD"/>
    <w:rsid w:val="00941BED"/>
    <w:rsid w:val="00941C83"/>
    <w:rsid w:val="00941E48"/>
    <w:rsid w:val="00942031"/>
    <w:rsid w:val="009420B4"/>
    <w:rsid w:val="00942311"/>
    <w:rsid w:val="0094258D"/>
    <w:rsid w:val="009425FE"/>
    <w:rsid w:val="0094268C"/>
    <w:rsid w:val="009427BA"/>
    <w:rsid w:val="00942804"/>
    <w:rsid w:val="00942808"/>
    <w:rsid w:val="009428E5"/>
    <w:rsid w:val="009429DD"/>
    <w:rsid w:val="009429F8"/>
    <w:rsid w:val="00942A74"/>
    <w:rsid w:val="00942AC2"/>
    <w:rsid w:val="00942CD7"/>
    <w:rsid w:val="00942DA1"/>
    <w:rsid w:val="00942ED3"/>
    <w:rsid w:val="00942F48"/>
    <w:rsid w:val="00942F4E"/>
    <w:rsid w:val="00942F92"/>
    <w:rsid w:val="00942FB8"/>
    <w:rsid w:val="00942FB9"/>
    <w:rsid w:val="00943008"/>
    <w:rsid w:val="00943279"/>
    <w:rsid w:val="009432FC"/>
    <w:rsid w:val="009434B3"/>
    <w:rsid w:val="009438F1"/>
    <w:rsid w:val="00943B95"/>
    <w:rsid w:val="00943BE6"/>
    <w:rsid w:val="00943C1D"/>
    <w:rsid w:val="00943DC8"/>
    <w:rsid w:val="00943DCC"/>
    <w:rsid w:val="00943E20"/>
    <w:rsid w:val="00943EB1"/>
    <w:rsid w:val="00943F5D"/>
    <w:rsid w:val="0094400D"/>
    <w:rsid w:val="0094415F"/>
    <w:rsid w:val="00944164"/>
    <w:rsid w:val="009442D3"/>
    <w:rsid w:val="009443F2"/>
    <w:rsid w:val="00944482"/>
    <w:rsid w:val="00944511"/>
    <w:rsid w:val="009445D0"/>
    <w:rsid w:val="0094467F"/>
    <w:rsid w:val="009447D3"/>
    <w:rsid w:val="00944905"/>
    <w:rsid w:val="0094498F"/>
    <w:rsid w:val="00944A7C"/>
    <w:rsid w:val="00944CDA"/>
    <w:rsid w:val="00944D5B"/>
    <w:rsid w:val="00944E2A"/>
    <w:rsid w:val="00944EE5"/>
    <w:rsid w:val="00944EE9"/>
    <w:rsid w:val="009451AD"/>
    <w:rsid w:val="00945234"/>
    <w:rsid w:val="009453A9"/>
    <w:rsid w:val="0094557F"/>
    <w:rsid w:val="0094586A"/>
    <w:rsid w:val="00945886"/>
    <w:rsid w:val="009458B0"/>
    <w:rsid w:val="00945931"/>
    <w:rsid w:val="00945D2C"/>
    <w:rsid w:val="00945E6A"/>
    <w:rsid w:val="0094605B"/>
    <w:rsid w:val="00946068"/>
    <w:rsid w:val="00946071"/>
    <w:rsid w:val="00946160"/>
    <w:rsid w:val="009461E5"/>
    <w:rsid w:val="00946229"/>
    <w:rsid w:val="009463C1"/>
    <w:rsid w:val="0094647E"/>
    <w:rsid w:val="0094652B"/>
    <w:rsid w:val="0094656E"/>
    <w:rsid w:val="00946656"/>
    <w:rsid w:val="0094668C"/>
    <w:rsid w:val="00946708"/>
    <w:rsid w:val="00946791"/>
    <w:rsid w:val="00946806"/>
    <w:rsid w:val="00946863"/>
    <w:rsid w:val="009469AE"/>
    <w:rsid w:val="00946B58"/>
    <w:rsid w:val="00946BFB"/>
    <w:rsid w:val="00946E64"/>
    <w:rsid w:val="0094710A"/>
    <w:rsid w:val="00947332"/>
    <w:rsid w:val="009474C4"/>
    <w:rsid w:val="00947581"/>
    <w:rsid w:val="00947A3E"/>
    <w:rsid w:val="00947A4E"/>
    <w:rsid w:val="00947E06"/>
    <w:rsid w:val="00947E2D"/>
    <w:rsid w:val="00947F81"/>
    <w:rsid w:val="00950032"/>
    <w:rsid w:val="00950134"/>
    <w:rsid w:val="00950501"/>
    <w:rsid w:val="00950620"/>
    <w:rsid w:val="00950812"/>
    <w:rsid w:val="009508FD"/>
    <w:rsid w:val="00950A8D"/>
    <w:rsid w:val="00950C00"/>
    <w:rsid w:val="00950C7F"/>
    <w:rsid w:val="00950D1D"/>
    <w:rsid w:val="00950E16"/>
    <w:rsid w:val="009510D9"/>
    <w:rsid w:val="00951101"/>
    <w:rsid w:val="0095117F"/>
    <w:rsid w:val="009513EA"/>
    <w:rsid w:val="00951477"/>
    <w:rsid w:val="0095154D"/>
    <w:rsid w:val="009516A9"/>
    <w:rsid w:val="00951994"/>
    <w:rsid w:val="00951A2E"/>
    <w:rsid w:val="00951B94"/>
    <w:rsid w:val="00951C58"/>
    <w:rsid w:val="00951DDB"/>
    <w:rsid w:val="00951E23"/>
    <w:rsid w:val="00951F58"/>
    <w:rsid w:val="00951FA2"/>
    <w:rsid w:val="00951FEE"/>
    <w:rsid w:val="0095200A"/>
    <w:rsid w:val="0095205C"/>
    <w:rsid w:val="009523EB"/>
    <w:rsid w:val="00952497"/>
    <w:rsid w:val="00952530"/>
    <w:rsid w:val="009525CA"/>
    <w:rsid w:val="00952657"/>
    <w:rsid w:val="009526EA"/>
    <w:rsid w:val="00952853"/>
    <w:rsid w:val="00952C1A"/>
    <w:rsid w:val="00952C25"/>
    <w:rsid w:val="00952DB5"/>
    <w:rsid w:val="00952E1F"/>
    <w:rsid w:val="00952E82"/>
    <w:rsid w:val="0095300A"/>
    <w:rsid w:val="0095304D"/>
    <w:rsid w:val="009530EF"/>
    <w:rsid w:val="00953149"/>
    <w:rsid w:val="00953182"/>
    <w:rsid w:val="00953394"/>
    <w:rsid w:val="00953715"/>
    <w:rsid w:val="009537BA"/>
    <w:rsid w:val="0095381B"/>
    <w:rsid w:val="009538BF"/>
    <w:rsid w:val="00953957"/>
    <w:rsid w:val="00953A25"/>
    <w:rsid w:val="00953BE3"/>
    <w:rsid w:val="00953E83"/>
    <w:rsid w:val="00953EDF"/>
    <w:rsid w:val="00954019"/>
    <w:rsid w:val="0095405C"/>
    <w:rsid w:val="00954195"/>
    <w:rsid w:val="009541D6"/>
    <w:rsid w:val="00954227"/>
    <w:rsid w:val="009543E4"/>
    <w:rsid w:val="00954425"/>
    <w:rsid w:val="00954544"/>
    <w:rsid w:val="00954556"/>
    <w:rsid w:val="00954731"/>
    <w:rsid w:val="009547AD"/>
    <w:rsid w:val="00954899"/>
    <w:rsid w:val="00954A0B"/>
    <w:rsid w:val="00954A36"/>
    <w:rsid w:val="00954DA4"/>
    <w:rsid w:val="00954F0D"/>
    <w:rsid w:val="00954FA6"/>
    <w:rsid w:val="00954FDD"/>
    <w:rsid w:val="009551E5"/>
    <w:rsid w:val="009553A6"/>
    <w:rsid w:val="00955420"/>
    <w:rsid w:val="0095542A"/>
    <w:rsid w:val="0095544A"/>
    <w:rsid w:val="00955460"/>
    <w:rsid w:val="00955482"/>
    <w:rsid w:val="0095571A"/>
    <w:rsid w:val="0095583E"/>
    <w:rsid w:val="00955A02"/>
    <w:rsid w:val="00955A29"/>
    <w:rsid w:val="00955A93"/>
    <w:rsid w:val="00955BA5"/>
    <w:rsid w:val="00955C4A"/>
    <w:rsid w:val="00955D5E"/>
    <w:rsid w:val="00955E0C"/>
    <w:rsid w:val="00955E87"/>
    <w:rsid w:val="00955EB5"/>
    <w:rsid w:val="00956013"/>
    <w:rsid w:val="009560F7"/>
    <w:rsid w:val="00956329"/>
    <w:rsid w:val="0095642A"/>
    <w:rsid w:val="00956516"/>
    <w:rsid w:val="009565AF"/>
    <w:rsid w:val="009565B5"/>
    <w:rsid w:val="009565CA"/>
    <w:rsid w:val="009565CF"/>
    <w:rsid w:val="00956794"/>
    <w:rsid w:val="009567C4"/>
    <w:rsid w:val="009568E9"/>
    <w:rsid w:val="009569F3"/>
    <w:rsid w:val="00956D0B"/>
    <w:rsid w:val="00956E37"/>
    <w:rsid w:val="00956EA6"/>
    <w:rsid w:val="00956F85"/>
    <w:rsid w:val="00956FBD"/>
    <w:rsid w:val="00956FD6"/>
    <w:rsid w:val="009570D0"/>
    <w:rsid w:val="009571D5"/>
    <w:rsid w:val="0095720D"/>
    <w:rsid w:val="00957292"/>
    <w:rsid w:val="009574CA"/>
    <w:rsid w:val="009574F9"/>
    <w:rsid w:val="00957529"/>
    <w:rsid w:val="0095782D"/>
    <w:rsid w:val="00957835"/>
    <w:rsid w:val="00957E14"/>
    <w:rsid w:val="00957F0B"/>
    <w:rsid w:val="0096017B"/>
    <w:rsid w:val="009606EF"/>
    <w:rsid w:val="0096085E"/>
    <w:rsid w:val="00960A0D"/>
    <w:rsid w:val="00960D1C"/>
    <w:rsid w:val="00960ED1"/>
    <w:rsid w:val="00960ED2"/>
    <w:rsid w:val="00961393"/>
    <w:rsid w:val="0096143D"/>
    <w:rsid w:val="009614CF"/>
    <w:rsid w:val="009614EC"/>
    <w:rsid w:val="009616BF"/>
    <w:rsid w:val="009617EF"/>
    <w:rsid w:val="00961829"/>
    <w:rsid w:val="009618EE"/>
    <w:rsid w:val="009619DA"/>
    <w:rsid w:val="00961A67"/>
    <w:rsid w:val="00961B41"/>
    <w:rsid w:val="00961CA0"/>
    <w:rsid w:val="00961CEF"/>
    <w:rsid w:val="00961DAA"/>
    <w:rsid w:val="00961E6C"/>
    <w:rsid w:val="009620ED"/>
    <w:rsid w:val="00962116"/>
    <w:rsid w:val="00962235"/>
    <w:rsid w:val="0096259D"/>
    <w:rsid w:val="009626B1"/>
    <w:rsid w:val="00962741"/>
    <w:rsid w:val="00962769"/>
    <w:rsid w:val="009627EE"/>
    <w:rsid w:val="0096296E"/>
    <w:rsid w:val="00962AF5"/>
    <w:rsid w:val="00962B01"/>
    <w:rsid w:val="00962B96"/>
    <w:rsid w:val="00962C77"/>
    <w:rsid w:val="00962FE1"/>
    <w:rsid w:val="00963111"/>
    <w:rsid w:val="009631EE"/>
    <w:rsid w:val="009632E0"/>
    <w:rsid w:val="009633FF"/>
    <w:rsid w:val="00963409"/>
    <w:rsid w:val="00963419"/>
    <w:rsid w:val="009634CF"/>
    <w:rsid w:val="00963758"/>
    <w:rsid w:val="009637CB"/>
    <w:rsid w:val="00963A02"/>
    <w:rsid w:val="00963AFD"/>
    <w:rsid w:val="00963C5A"/>
    <w:rsid w:val="00963CFC"/>
    <w:rsid w:val="00963EA8"/>
    <w:rsid w:val="00963ED2"/>
    <w:rsid w:val="00964007"/>
    <w:rsid w:val="00964060"/>
    <w:rsid w:val="009640AE"/>
    <w:rsid w:val="00964210"/>
    <w:rsid w:val="00964341"/>
    <w:rsid w:val="00964424"/>
    <w:rsid w:val="009644C4"/>
    <w:rsid w:val="009646BC"/>
    <w:rsid w:val="00964800"/>
    <w:rsid w:val="0096485E"/>
    <w:rsid w:val="009649A8"/>
    <w:rsid w:val="00964B4A"/>
    <w:rsid w:val="00964F0B"/>
    <w:rsid w:val="0096540E"/>
    <w:rsid w:val="009654F7"/>
    <w:rsid w:val="00965605"/>
    <w:rsid w:val="0096561D"/>
    <w:rsid w:val="00965776"/>
    <w:rsid w:val="0096577B"/>
    <w:rsid w:val="00965842"/>
    <w:rsid w:val="00965898"/>
    <w:rsid w:val="009659B8"/>
    <w:rsid w:val="00965BB9"/>
    <w:rsid w:val="00965DA9"/>
    <w:rsid w:val="00965E4B"/>
    <w:rsid w:val="00965F22"/>
    <w:rsid w:val="0096605C"/>
    <w:rsid w:val="00966176"/>
    <w:rsid w:val="009663F4"/>
    <w:rsid w:val="00966503"/>
    <w:rsid w:val="00966553"/>
    <w:rsid w:val="00966555"/>
    <w:rsid w:val="00966608"/>
    <w:rsid w:val="0096666F"/>
    <w:rsid w:val="00966A80"/>
    <w:rsid w:val="00966BA2"/>
    <w:rsid w:val="00966BE3"/>
    <w:rsid w:val="00966DC0"/>
    <w:rsid w:val="00966ED3"/>
    <w:rsid w:val="00966F07"/>
    <w:rsid w:val="00966F17"/>
    <w:rsid w:val="00966F42"/>
    <w:rsid w:val="00967189"/>
    <w:rsid w:val="0096719A"/>
    <w:rsid w:val="009671FE"/>
    <w:rsid w:val="0096723D"/>
    <w:rsid w:val="00967250"/>
    <w:rsid w:val="009672E6"/>
    <w:rsid w:val="009674B5"/>
    <w:rsid w:val="00967582"/>
    <w:rsid w:val="009677CB"/>
    <w:rsid w:val="00967939"/>
    <w:rsid w:val="00967B83"/>
    <w:rsid w:val="00967C64"/>
    <w:rsid w:val="009700D8"/>
    <w:rsid w:val="009701B8"/>
    <w:rsid w:val="0097034A"/>
    <w:rsid w:val="0097035E"/>
    <w:rsid w:val="00970515"/>
    <w:rsid w:val="0097051B"/>
    <w:rsid w:val="009705B0"/>
    <w:rsid w:val="0097066F"/>
    <w:rsid w:val="0097070E"/>
    <w:rsid w:val="00970723"/>
    <w:rsid w:val="009707E3"/>
    <w:rsid w:val="00970802"/>
    <w:rsid w:val="0097093F"/>
    <w:rsid w:val="0097096D"/>
    <w:rsid w:val="00970A01"/>
    <w:rsid w:val="00970A43"/>
    <w:rsid w:val="00970BB0"/>
    <w:rsid w:val="00970CDA"/>
    <w:rsid w:val="00970DBA"/>
    <w:rsid w:val="00970F56"/>
    <w:rsid w:val="00970F9B"/>
    <w:rsid w:val="009710F3"/>
    <w:rsid w:val="00971267"/>
    <w:rsid w:val="009712E4"/>
    <w:rsid w:val="009713FD"/>
    <w:rsid w:val="0097144C"/>
    <w:rsid w:val="009715A9"/>
    <w:rsid w:val="0097180A"/>
    <w:rsid w:val="0097185C"/>
    <w:rsid w:val="0097189D"/>
    <w:rsid w:val="0097194F"/>
    <w:rsid w:val="00971B3A"/>
    <w:rsid w:val="00971CA1"/>
    <w:rsid w:val="00971CB3"/>
    <w:rsid w:val="00971D13"/>
    <w:rsid w:val="00971D56"/>
    <w:rsid w:val="00971E1D"/>
    <w:rsid w:val="00971E56"/>
    <w:rsid w:val="00971EA8"/>
    <w:rsid w:val="009721A5"/>
    <w:rsid w:val="0097265A"/>
    <w:rsid w:val="009726D6"/>
    <w:rsid w:val="00972870"/>
    <w:rsid w:val="00972911"/>
    <w:rsid w:val="00972C6C"/>
    <w:rsid w:val="00972CCB"/>
    <w:rsid w:val="00972CE0"/>
    <w:rsid w:val="00972E1C"/>
    <w:rsid w:val="009731C6"/>
    <w:rsid w:val="009732BC"/>
    <w:rsid w:val="009733D8"/>
    <w:rsid w:val="00973454"/>
    <w:rsid w:val="00973531"/>
    <w:rsid w:val="009735E2"/>
    <w:rsid w:val="00973674"/>
    <w:rsid w:val="00973715"/>
    <w:rsid w:val="00973795"/>
    <w:rsid w:val="00973815"/>
    <w:rsid w:val="00973878"/>
    <w:rsid w:val="00973899"/>
    <w:rsid w:val="009738A4"/>
    <w:rsid w:val="009738C6"/>
    <w:rsid w:val="0097395D"/>
    <w:rsid w:val="00973971"/>
    <w:rsid w:val="00973A20"/>
    <w:rsid w:val="00973B91"/>
    <w:rsid w:val="00973C0F"/>
    <w:rsid w:val="00973C3F"/>
    <w:rsid w:val="0097408C"/>
    <w:rsid w:val="00974440"/>
    <w:rsid w:val="0097456E"/>
    <w:rsid w:val="0097475C"/>
    <w:rsid w:val="0097479D"/>
    <w:rsid w:val="009748E8"/>
    <w:rsid w:val="00974A79"/>
    <w:rsid w:val="00974B69"/>
    <w:rsid w:val="00974B85"/>
    <w:rsid w:val="00974B92"/>
    <w:rsid w:val="00974BD0"/>
    <w:rsid w:val="00974D4C"/>
    <w:rsid w:val="00974DF8"/>
    <w:rsid w:val="00974E1A"/>
    <w:rsid w:val="00974E68"/>
    <w:rsid w:val="00974EA3"/>
    <w:rsid w:val="0097518D"/>
    <w:rsid w:val="00975420"/>
    <w:rsid w:val="00975437"/>
    <w:rsid w:val="0097548A"/>
    <w:rsid w:val="009754DD"/>
    <w:rsid w:val="0097553B"/>
    <w:rsid w:val="00975550"/>
    <w:rsid w:val="009755C5"/>
    <w:rsid w:val="0097562E"/>
    <w:rsid w:val="00975724"/>
    <w:rsid w:val="0097586E"/>
    <w:rsid w:val="009758D2"/>
    <w:rsid w:val="00975B18"/>
    <w:rsid w:val="00975B96"/>
    <w:rsid w:val="00975DDA"/>
    <w:rsid w:val="0097624F"/>
    <w:rsid w:val="0097634D"/>
    <w:rsid w:val="0097656A"/>
    <w:rsid w:val="00976665"/>
    <w:rsid w:val="00976817"/>
    <w:rsid w:val="00976857"/>
    <w:rsid w:val="0097691F"/>
    <w:rsid w:val="009769CF"/>
    <w:rsid w:val="00976BB7"/>
    <w:rsid w:val="00976C83"/>
    <w:rsid w:val="009770F6"/>
    <w:rsid w:val="009771BD"/>
    <w:rsid w:val="00977370"/>
    <w:rsid w:val="00977397"/>
    <w:rsid w:val="00977514"/>
    <w:rsid w:val="00977588"/>
    <w:rsid w:val="009777C2"/>
    <w:rsid w:val="009777F2"/>
    <w:rsid w:val="009777FF"/>
    <w:rsid w:val="00977905"/>
    <w:rsid w:val="009779F6"/>
    <w:rsid w:val="00977A91"/>
    <w:rsid w:val="00977B25"/>
    <w:rsid w:val="00980208"/>
    <w:rsid w:val="00980225"/>
    <w:rsid w:val="00980227"/>
    <w:rsid w:val="00980291"/>
    <w:rsid w:val="009802B4"/>
    <w:rsid w:val="009802C3"/>
    <w:rsid w:val="009802CE"/>
    <w:rsid w:val="0098031F"/>
    <w:rsid w:val="009803FA"/>
    <w:rsid w:val="00980434"/>
    <w:rsid w:val="00980503"/>
    <w:rsid w:val="00980513"/>
    <w:rsid w:val="00980730"/>
    <w:rsid w:val="00980749"/>
    <w:rsid w:val="009807FB"/>
    <w:rsid w:val="00980878"/>
    <w:rsid w:val="009809E9"/>
    <w:rsid w:val="00980CFA"/>
    <w:rsid w:val="00981196"/>
    <w:rsid w:val="009812DF"/>
    <w:rsid w:val="00981301"/>
    <w:rsid w:val="009813C1"/>
    <w:rsid w:val="00981607"/>
    <w:rsid w:val="00981793"/>
    <w:rsid w:val="0098199F"/>
    <w:rsid w:val="00981AE1"/>
    <w:rsid w:val="00981EEC"/>
    <w:rsid w:val="00981F7F"/>
    <w:rsid w:val="00981F84"/>
    <w:rsid w:val="00981FFC"/>
    <w:rsid w:val="00982206"/>
    <w:rsid w:val="00982237"/>
    <w:rsid w:val="00982260"/>
    <w:rsid w:val="0098230B"/>
    <w:rsid w:val="00982318"/>
    <w:rsid w:val="00982376"/>
    <w:rsid w:val="009823FD"/>
    <w:rsid w:val="00982454"/>
    <w:rsid w:val="00982579"/>
    <w:rsid w:val="0098269F"/>
    <w:rsid w:val="0098296B"/>
    <w:rsid w:val="00982A60"/>
    <w:rsid w:val="00982AD7"/>
    <w:rsid w:val="00982B98"/>
    <w:rsid w:val="00982C11"/>
    <w:rsid w:val="00982C99"/>
    <w:rsid w:val="00982E68"/>
    <w:rsid w:val="00982FA3"/>
    <w:rsid w:val="009831C3"/>
    <w:rsid w:val="0098326F"/>
    <w:rsid w:val="009832D3"/>
    <w:rsid w:val="009834D4"/>
    <w:rsid w:val="0098356F"/>
    <w:rsid w:val="009836F2"/>
    <w:rsid w:val="009838FB"/>
    <w:rsid w:val="00983A35"/>
    <w:rsid w:val="00983BFD"/>
    <w:rsid w:val="00983D6C"/>
    <w:rsid w:val="00983DFD"/>
    <w:rsid w:val="009840E3"/>
    <w:rsid w:val="009841B5"/>
    <w:rsid w:val="00984206"/>
    <w:rsid w:val="0098420C"/>
    <w:rsid w:val="009842E6"/>
    <w:rsid w:val="009843D3"/>
    <w:rsid w:val="0098440B"/>
    <w:rsid w:val="00984456"/>
    <w:rsid w:val="009846A8"/>
    <w:rsid w:val="00984767"/>
    <w:rsid w:val="0098480C"/>
    <w:rsid w:val="00984B24"/>
    <w:rsid w:val="00984B99"/>
    <w:rsid w:val="00984E99"/>
    <w:rsid w:val="00984FC6"/>
    <w:rsid w:val="00985088"/>
    <w:rsid w:val="00985263"/>
    <w:rsid w:val="009855F4"/>
    <w:rsid w:val="00985789"/>
    <w:rsid w:val="0098590E"/>
    <w:rsid w:val="00985B47"/>
    <w:rsid w:val="00985E9C"/>
    <w:rsid w:val="00985EFB"/>
    <w:rsid w:val="00985F28"/>
    <w:rsid w:val="009861AE"/>
    <w:rsid w:val="009862CC"/>
    <w:rsid w:val="009863EF"/>
    <w:rsid w:val="009864C1"/>
    <w:rsid w:val="00986537"/>
    <w:rsid w:val="00986588"/>
    <w:rsid w:val="009866BE"/>
    <w:rsid w:val="00986898"/>
    <w:rsid w:val="00986A58"/>
    <w:rsid w:val="00986FA9"/>
    <w:rsid w:val="00986FE4"/>
    <w:rsid w:val="0098711F"/>
    <w:rsid w:val="00987368"/>
    <w:rsid w:val="00987508"/>
    <w:rsid w:val="00987750"/>
    <w:rsid w:val="00987756"/>
    <w:rsid w:val="009877BF"/>
    <w:rsid w:val="0098796D"/>
    <w:rsid w:val="00987A22"/>
    <w:rsid w:val="00987C1E"/>
    <w:rsid w:val="00987C52"/>
    <w:rsid w:val="00987CBD"/>
    <w:rsid w:val="00990182"/>
    <w:rsid w:val="009901C4"/>
    <w:rsid w:val="009902EE"/>
    <w:rsid w:val="0099030E"/>
    <w:rsid w:val="009903E9"/>
    <w:rsid w:val="0099050A"/>
    <w:rsid w:val="0099058F"/>
    <w:rsid w:val="00990688"/>
    <w:rsid w:val="009909C7"/>
    <w:rsid w:val="00990ADF"/>
    <w:rsid w:val="00990D35"/>
    <w:rsid w:val="00990D83"/>
    <w:rsid w:val="00990F31"/>
    <w:rsid w:val="0099106F"/>
    <w:rsid w:val="00991187"/>
    <w:rsid w:val="0099130E"/>
    <w:rsid w:val="00991409"/>
    <w:rsid w:val="0099145F"/>
    <w:rsid w:val="0099191E"/>
    <w:rsid w:val="00991B34"/>
    <w:rsid w:val="00991BA9"/>
    <w:rsid w:val="00991C5B"/>
    <w:rsid w:val="00991CA5"/>
    <w:rsid w:val="00991CBB"/>
    <w:rsid w:val="00991CCF"/>
    <w:rsid w:val="00991E74"/>
    <w:rsid w:val="00991F0B"/>
    <w:rsid w:val="00991F44"/>
    <w:rsid w:val="00991F4B"/>
    <w:rsid w:val="0099231F"/>
    <w:rsid w:val="00992581"/>
    <w:rsid w:val="009926A0"/>
    <w:rsid w:val="009926DF"/>
    <w:rsid w:val="00992773"/>
    <w:rsid w:val="009927A3"/>
    <w:rsid w:val="00992803"/>
    <w:rsid w:val="0099282B"/>
    <w:rsid w:val="0099291C"/>
    <w:rsid w:val="00992B0D"/>
    <w:rsid w:val="00992B4D"/>
    <w:rsid w:val="00992B78"/>
    <w:rsid w:val="00992C2D"/>
    <w:rsid w:val="00992CA1"/>
    <w:rsid w:val="00992D1B"/>
    <w:rsid w:val="00992F80"/>
    <w:rsid w:val="00992FC6"/>
    <w:rsid w:val="00992FD9"/>
    <w:rsid w:val="0099333F"/>
    <w:rsid w:val="00993467"/>
    <w:rsid w:val="0099352F"/>
    <w:rsid w:val="00993917"/>
    <w:rsid w:val="00993980"/>
    <w:rsid w:val="00993982"/>
    <w:rsid w:val="00993A34"/>
    <w:rsid w:val="00993ACF"/>
    <w:rsid w:val="00993D64"/>
    <w:rsid w:val="009942B6"/>
    <w:rsid w:val="00994428"/>
    <w:rsid w:val="009946D2"/>
    <w:rsid w:val="00994B4F"/>
    <w:rsid w:val="00994B65"/>
    <w:rsid w:val="00994FA9"/>
    <w:rsid w:val="00995140"/>
    <w:rsid w:val="00995155"/>
    <w:rsid w:val="009952C1"/>
    <w:rsid w:val="009952CB"/>
    <w:rsid w:val="00995367"/>
    <w:rsid w:val="0099539D"/>
    <w:rsid w:val="00995495"/>
    <w:rsid w:val="009954F9"/>
    <w:rsid w:val="00995557"/>
    <w:rsid w:val="009955AC"/>
    <w:rsid w:val="00995684"/>
    <w:rsid w:val="00995748"/>
    <w:rsid w:val="0099586F"/>
    <w:rsid w:val="00995939"/>
    <w:rsid w:val="00995AC9"/>
    <w:rsid w:val="00995D53"/>
    <w:rsid w:val="00995E93"/>
    <w:rsid w:val="00995EF6"/>
    <w:rsid w:val="00995FCF"/>
    <w:rsid w:val="00995FF4"/>
    <w:rsid w:val="00995FF7"/>
    <w:rsid w:val="0099600B"/>
    <w:rsid w:val="009962F8"/>
    <w:rsid w:val="00996410"/>
    <w:rsid w:val="0099659E"/>
    <w:rsid w:val="009966C1"/>
    <w:rsid w:val="009967CD"/>
    <w:rsid w:val="009967E2"/>
    <w:rsid w:val="0099690C"/>
    <w:rsid w:val="00996973"/>
    <w:rsid w:val="009969E4"/>
    <w:rsid w:val="00996A44"/>
    <w:rsid w:val="00996A73"/>
    <w:rsid w:val="00996AB0"/>
    <w:rsid w:val="00996E70"/>
    <w:rsid w:val="00996EED"/>
    <w:rsid w:val="00996F7F"/>
    <w:rsid w:val="00996FB2"/>
    <w:rsid w:val="00997059"/>
    <w:rsid w:val="0099711E"/>
    <w:rsid w:val="00997123"/>
    <w:rsid w:val="009973A6"/>
    <w:rsid w:val="0099753A"/>
    <w:rsid w:val="00997546"/>
    <w:rsid w:val="0099754E"/>
    <w:rsid w:val="009978AF"/>
    <w:rsid w:val="009979BA"/>
    <w:rsid w:val="00997A33"/>
    <w:rsid w:val="00997BDB"/>
    <w:rsid w:val="00997D27"/>
    <w:rsid w:val="009A004F"/>
    <w:rsid w:val="009A0062"/>
    <w:rsid w:val="009A0457"/>
    <w:rsid w:val="009A0619"/>
    <w:rsid w:val="009A073A"/>
    <w:rsid w:val="009A0765"/>
    <w:rsid w:val="009A0AD5"/>
    <w:rsid w:val="009A0C6F"/>
    <w:rsid w:val="009A0D4F"/>
    <w:rsid w:val="009A0D7E"/>
    <w:rsid w:val="009A0F0E"/>
    <w:rsid w:val="009A10C5"/>
    <w:rsid w:val="009A114A"/>
    <w:rsid w:val="009A1210"/>
    <w:rsid w:val="009A1214"/>
    <w:rsid w:val="009A1251"/>
    <w:rsid w:val="009A15C0"/>
    <w:rsid w:val="009A1673"/>
    <w:rsid w:val="009A1822"/>
    <w:rsid w:val="009A18B6"/>
    <w:rsid w:val="009A18EF"/>
    <w:rsid w:val="009A18F4"/>
    <w:rsid w:val="009A1A54"/>
    <w:rsid w:val="009A1AC0"/>
    <w:rsid w:val="009A1B43"/>
    <w:rsid w:val="009A1B57"/>
    <w:rsid w:val="009A1C6E"/>
    <w:rsid w:val="009A1D76"/>
    <w:rsid w:val="009A1DBE"/>
    <w:rsid w:val="009A1F2F"/>
    <w:rsid w:val="009A1F64"/>
    <w:rsid w:val="009A1FAE"/>
    <w:rsid w:val="009A1FF1"/>
    <w:rsid w:val="009A205D"/>
    <w:rsid w:val="009A2219"/>
    <w:rsid w:val="009A2248"/>
    <w:rsid w:val="009A23E8"/>
    <w:rsid w:val="009A2407"/>
    <w:rsid w:val="009A2458"/>
    <w:rsid w:val="009A2503"/>
    <w:rsid w:val="009A27F6"/>
    <w:rsid w:val="009A28E1"/>
    <w:rsid w:val="009A2960"/>
    <w:rsid w:val="009A2A01"/>
    <w:rsid w:val="009A2A4E"/>
    <w:rsid w:val="009A2B22"/>
    <w:rsid w:val="009A2BAC"/>
    <w:rsid w:val="009A2C00"/>
    <w:rsid w:val="009A2C1E"/>
    <w:rsid w:val="009A2C6D"/>
    <w:rsid w:val="009A2DD2"/>
    <w:rsid w:val="009A2EF6"/>
    <w:rsid w:val="009A2F9E"/>
    <w:rsid w:val="009A313C"/>
    <w:rsid w:val="009A321D"/>
    <w:rsid w:val="009A327F"/>
    <w:rsid w:val="009A336D"/>
    <w:rsid w:val="009A33AB"/>
    <w:rsid w:val="009A3570"/>
    <w:rsid w:val="009A3643"/>
    <w:rsid w:val="009A3750"/>
    <w:rsid w:val="009A3A2D"/>
    <w:rsid w:val="009A3A5B"/>
    <w:rsid w:val="009A3ADF"/>
    <w:rsid w:val="009A3DE3"/>
    <w:rsid w:val="009A3E44"/>
    <w:rsid w:val="009A3EA4"/>
    <w:rsid w:val="009A3F8D"/>
    <w:rsid w:val="009A3FAB"/>
    <w:rsid w:val="009A4098"/>
    <w:rsid w:val="009A41B6"/>
    <w:rsid w:val="009A41FA"/>
    <w:rsid w:val="009A4424"/>
    <w:rsid w:val="009A46EF"/>
    <w:rsid w:val="009A46F2"/>
    <w:rsid w:val="009A4733"/>
    <w:rsid w:val="009A4747"/>
    <w:rsid w:val="009A47AE"/>
    <w:rsid w:val="009A4915"/>
    <w:rsid w:val="009A49AF"/>
    <w:rsid w:val="009A49FB"/>
    <w:rsid w:val="009A4A32"/>
    <w:rsid w:val="009A4ADB"/>
    <w:rsid w:val="009A4B01"/>
    <w:rsid w:val="009A4B4A"/>
    <w:rsid w:val="009A4BFB"/>
    <w:rsid w:val="009A4CD8"/>
    <w:rsid w:val="009A4E31"/>
    <w:rsid w:val="009A4EE8"/>
    <w:rsid w:val="009A4FE2"/>
    <w:rsid w:val="009A5187"/>
    <w:rsid w:val="009A51FF"/>
    <w:rsid w:val="009A5376"/>
    <w:rsid w:val="009A53D0"/>
    <w:rsid w:val="009A54A0"/>
    <w:rsid w:val="009A5554"/>
    <w:rsid w:val="009A5576"/>
    <w:rsid w:val="009A55D2"/>
    <w:rsid w:val="009A5727"/>
    <w:rsid w:val="009A5872"/>
    <w:rsid w:val="009A596E"/>
    <w:rsid w:val="009A5A40"/>
    <w:rsid w:val="009A5A9D"/>
    <w:rsid w:val="009A5B02"/>
    <w:rsid w:val="009A5B3B"/>
    <w:rsid w:val="009A5B8D"/>
    <w:rsid w:val="009A5D50"/>
    <w:rsid w:val="009A5D5A"/>
    <w:rsid w:val="009A5D65"/>
    <w:rsid w:val="009A5F73"/>
    <w:rsid w:val="009A6348"/>
    <w:rsid w:val="009A63E4"/>
    <w:rsid w:val="009A65F7"/>
    <w:rsid w:val="009A6699"/>
    <w:rsid w:val="009A67B3"/>
    <w:rsid w:val="009A68A6"/>
    <w:rsid w:val="009A6D38"/>
    <w:rsid w:val="009A6D5D"/>
    <w:rsid w:val="009A7277"/>
    <w:rsid w:val="009A728D"/>
    <w:rsid w:val="009A741B"/>
    <w:rsid w:val="009A758D"/>
    <w:rsid w:val="009A75FB"/>
    <w:rsid w:val="009A77B9"/>
    <w:rsid w:val="009A784A"/>
    <w:rsid w:val="009A7AAB"/>
    <w:rsid w:val="009A7B55"/>
    <w:rsid w:val="009A7C59"/>
    <w:rsid w:val="009A7D0B"/>
    <w:rsid w:val="009A7FFE"/>
    <w:rsid w:val="009B0391"/>
    <w:rsid w:val="009B045C"/>
    <w:rsid w:val="009B0656"/>
    <w:rsid w:val="009B0680"/>
    <w:rsid w:val="009B07F7"/>
    <w:rsid w:val="009B0B38"/>
    <w:rsid w:val="009B0BD7"/>
    <w:rsid w:val="009B0D3D"/>
    <w:rsid w:val="009B0E41"/>
    <w:rsid w:val="009B0EAC"/>
    <w:rsid w:val="009B0FA4"/>
    <w:rsid w:val="009B102D"/>
    <w:rsid w:val="009B1082"/>
    <w:rsid w:val="009B10C1"/>
    <w:rsid w:val="009B1191"/>
    <w:rsid w:val="009B1415"/>
    <w:rsid w:val="009B1507"/>
    <w:rsid w:val="009B15B1"/>
    <w:rsid w:val="009B15D4"/>
    <w:rsid w:val="009B1685"/>
    <w:rsid w:val="009B188F"/>
    <w:rsid w:val="009B18AD"/>
    <w:rsid w:val="009B18D8"/>
    <w:rsid w:val="009B194C"/>
    <w:rsid w:val="009B1AD5"/>
    <w:rsid w:val="009B1B17"/>
    <w:rsid w:val="009B1BEF"/>
    <w:rsid w:val="009B1EC2"/>
    <w:rsid w:val="009B1F10"/>
    <w:rsid w:val="009B2137"/>
    <w:rsid w:val="009B225B"/>
    <w:rsid w:val="009B22BB"/>
    <w:rsid w:val="009B237A"/>
    <w:rsid w:val="009B2484"/>
    <w:rsid w:val="009B25F5"/>
    <w:rsid w:val="009B26A5"/>
    <w:rsid w:val="009B2775"/>
    <w:rsid w:val="009B28CA"/>
    <w:rsid w:val="009B28ED"/>
    <w:rsid w:val="009B2992"/>
    <w:rsid w:val="009B2AA1"/>
    <w:rsid w:val="009B2B02"/>
    <w:rsid w:val="009B2B6C"/>
    <w:rsid w:val="009B2DF0"/>
    <w:rsid w:val="009B303E"/>
    <w:rsid w:val="009B3083"/>
    <w:rsid w:val="009B321B"/>
    <w:rsid w:val="009B325E"/>
    <w:rsid w:val="009B3597"/>
    <w:rsid w:val="009B37C8"/>
    <w:rsid w:val="009B3A20"/>
    <w:rsid w:val="009B3A5B"/>
    <w:rsid w:val="009B3A88"/>
    <w:rsid w:val="009B3ACE"/>
    <w:rsid w:val="009B3B86"/>
    <w:rsid w:val="009B3DA0"/>
    <w:rsid w:val="009B3DAF"/>
    <w:rsid w:val="009B3DCC"/>
    <w:rsid w:val="009B3E06"/>
    <w:rsid w:val="009B3E17"/>
    <w:rsid w:val="009B3E69"/>
    <w:rsid w:val="009B4064"/>
    <w:rsid w:val="009B41C3"/>
    <w:rsid w:val="009B41C8"/>
    <w:rsid w:val="009B421C"/>
    <w:rsid w:val="009B435A"/>
    <w:rsid w:val="009B4468"/>
    <w:rsid w:val="009B446E"/>
    <w:rsid w:val="009B449C"/>
    <w:rsid w:val="009B4604"/>
    <w:rsid w:val="009B4958"/>
    <w:rsid w:val="009B4AF2"/>
    <w:rsid w:val="009B4C3B"/>
    <w:rsid w:val="009B4FEF"/>
    <w:rsid w:val="009B52A2"/>
    <w:rsid w:val="009B52F6"/>
    <w:rsid w:val="009B5558"/>
    <w:rsid w:val="009B5BE7"/>
    <w:rsid w:val="009B5DCE"/>
    <w:rsid w:val="009B5E5F"/>
    <w:rsid w:val="009B5F48"/>
    <w:rsid w:val="009B5FAA"/>
    <w:rsid w:val="009B5FDB"/>
    <w:rsid w:val="009B619F"/>
    <w:rsid w:val="009B628C"/>
    <w:rsid w:val="009B63FC"/>
    <w:rsid w:val="009B6473"/>
    <w:rsid w:val="009B65A8"/>
    <w:rsid w:val="009B665E"/>
    <w:rsid w:val="009B666C"/>
    <w:rsid w:val="009B66FB"/>
    <w:rsid w:val="009B683F"/>
    <w:rsid w:val="009B68B5"/>
    <w:rsid w:val="009B69AE"/>
    <w:rsid w:val="009B69E4"/>
    <w:rsid w:val="009B69FF"/>
    <w:rsid w:val="009B6ADD"/>
    <w:rsid w:val="009B6D33"/>
    <w:rsid w:val="009B6D9B"/>
    <w:rsid w:val="009B7152"/>
    <w:rsid w:val="009B71D4"/>
    <w:rsid w:val="009B731E"/>
    <w:rsid w:val="009B73DA"/>
    <w:rsid w:val="009B756A"/>
    <w:rsid w:val="009B75B7"/>
    <w:rsid w:val="009B75CF"/>
    <w:rsid w:val="009B75E7"/>
    <w:rsid w:val="009B76F0"/>
    <w:rsid w:val="009B7A25"/>
    <w:rsid w:val="009B7A8B"/>
    <w:rsid w:val="009B7B24"/>
    <w:rsid w:val="009B7B53"/>
    <w:rsid w:val="009B7CF9"/>
    <w:rsid w:val="009B7E52"/>
    <w:rsid w:val="009C00E9"/>
    <w:rsid w:val="009C027D"/>
    <w:rsid w:val="009C0346"/>
    <w:rsid w:val="009C0466"/>
    <w:rsid w:val="009C0633"/>
    <w:rsid w:val="009C078F"/>
    <w:rsid w:val="009C07E1"/>
    <w:rsid w:val="009C0862"/>
    <w:rsid w:val="009C0968"/>
    <w:rsid w:val="009C0998"/>
    <w:rsid w:val="009C0A90"/>
    <w:rsid w:val="009C0AFB"/>
    <w:rsid w:val="009C0AFF"/>
    <w:rsid w:val="009C0C9F"/>
    <w:rsid w:val="009C0E22"/>
    <w:rsid w:val="009C0FDB"/>
    <w:rsid w:val="009C1036"/>
    <w:rsid w:val="009C1137"/>
    <w:rsid w:val="009C1157"/>
    <w:rsid w:val="009C11CC"/>
    <w:rsid w:val="009C1247"/>
    <w:rsid w:val="009C1256"/>
    <w:rsid w:val="009C1328"/>
    <w:rsid w:val="009C133B"/>
    <w:rsid w:val="009C159E"/>
    <w:rsid w:val="009C15F0"/>
    <w:rsid w:val="009C1723"/>
    <w:rsid w:val="009C1875"/>
    <w:rsid w:val="009C187A"/>
    <w:rsid w:val="009C197F"/>
    <w:rsid w:val="009C1999"/>
    <w:rsid w:val="009C1BB6"/>
    <w:rsid w:val="009C1CDB"/>
    <w:rsid w:val="009C1D9E"/>
    <w:rsid w:val="009C1E5A"/>
    <w:rsid w:val="009C1E69"/>
    <w:rsid w:val="009C1E89"/>
    <w:rsid w:val="009C1EA7"/>
    <w:rsid w:val="009C1F10"/>
    <w:rsid w:val="009C1F79"/>
    <w:rsid w:val="009C1F83"/>
    <w:rsid w:val="009C1FE7"/>
    <w:rsid w:val="009C20AC"/>
    <w:rsid w:val="009C2147"/>
    <w:rsid w:val="009C21A0"/>
    <w:rsid w:val="009C2257"/>
    <w:rsid w:val="009C251C"/>
    <w:rsid w:val="009C259B"/>
    <w:rsid w:val="009C2642"/>
    <w:rsid w:val="009C26F7"/>
    <w:rsid w:val="009C2817"/>
    <w:rsid w:val="009C2F4C"/>
    <w:rsid w:val="009C306A"/>
    <w:rsid w:val="009C30A4"/>
    <w:rsid w:val="009C322F"/>
    <w:rsid w:val="009C32C5"/>
    <w:rsid w:val="009C32C6"/>
    <w:rsid w:val="009C337D"/>
    <w:rsid w:val="009C340A"/>
    <w:rsid w:val="009C3437"/>
    <w:rsid w:val="009C377A"/>
    <w:rsid w:val="009C393F"/>
    <w:rsid w:val="009C399F"/>
    <w:rsid w:val="009C39D1"/>
    <w:rsid w:val="009C3B6D"/>
    <w:rsid w:val="009C3B7F"/>
    <w:rsid w:val="009C3C46"/>
    <w:rsid w:val="009C3D1F"/>
    <w:rsid w:val="009C3E50"/>
    <w:rsid w:val="009C3ED6"/>
    <w:rsid w:val="009C3F66"/>
    <w:rsid w:val="009C401D"/>
    <w:rsid w:val="009C4065"/>
    <w:rsid w:val="009C409E"/>
    <w:rsid w:val="009C4252"/>
    <w:rsid w:val="009C439B"/>
    <w:rsid w:val="009C447D"/>
    <w:rsid w:val="009C466E"/>
    <w:rsid w:val="009C470D"/>
    <w:rsid w:val="009C4735"/>
    <w:rsid w:val="009C47FC"/>
    <w:rsid w:val="009C480B"/>
    <w:rsid w:val="009C48F5"/>
    <w:rsid w:val="009C4ACE"/>
    <w:rsid w:val="009C4B3A"/>
    <w:rsid w:val="009C4BE6"/>
    <w:rsid w:val="009C4C8E"/>
    <w:rsid w:val="009C4CBD"/>
    <w:rsid w:val="009C4CC0"/>
    <w:rsid w:val="009C4FCA"/>
    <w:rsid w:val="009C5074"/>
    <w:rsid w:val="009C508E"/>
    <w:rsid w:val="009C50AF"/>
    <w:rsid w:val="009C50E6"/>
    <w:rsid w:val="009C5181"/>
    <w:rsid w:val="009C53C3"/>
    <w:rsid w:val="009C54A6"/>
    <w:rsid w:val="009C5517"/>
    <w:rsid w:val="009C555B"/>
    <w:rsid w:val="009C55DE"/>
    <w:rsid w:val="009C56A3"/>
    <w:rsid w:val="009C57B8"/>
    <w:rsid w:val="009C5845"/>
    <w:rsid w:val="009C587A"/>
    <w:rsid w:val="009C59BA"/>
    <w:rsid w:val="009C5C23"/>
    <w:rsid w:val="009C5D18"/>
    <w:rsid w:val="009C5D88"/>
    <w:rsid w:val="009C5E6B"/>
    <w:rsid w:val="009C5FAB"/>
    <w:rsid w:val="009C5FEA"/>
    <w:rsid w:val="009C6120"/>
    <w:rsid w:val="009C6160"/>
    <w:rsid w:val="009C6195"/>
    <w:rsid w:val="009C620C"/>
    <w:rsid w:val="009C6265"/>
    <w:rsid w:val="009C672A"/>
    <w:rsid w:val="009C6940"/>
    <w:rsid w:val="009C6ABF"/>
    <w:rsid w:val="009C6DAB"/>
    <w:rsid w:val="009C6DE3"/>
    <w:rsid w:val="009C7202"/>
    <w:rsid w:val="009C7222"/>
    <w:rsid w:val="009C726B"/>
    <w:rsid w:val="009C72E6"/>
    <w:rsid w:val="009C738D"/>
    <w:rsid w:val="009C74C3"/>
    <w:rsid w:val="009C752A"/>
    <w:rsid w:val="009C7629"/>
    <w:rsid w:val="009C76A0"/>
    <w:rsid w:val="009C7997"/>
    <w:rsid w:val="009C7A6C"/>
    <w:rsid w:val="009C7AE4"/>
    <w:rsid w:val="009C7C06"/>
    <w:rsid w:val="009C7C0D"/>
    <w:rsid w:val="009C7C47"/>
    <w:rsid w:val="009C7CF8"/>
    <w:rsid w:val="009C7D4C"/>
    <w:rsid w:val="009C7D65"/>
    <w:rsid w:val="009C7E91"/>
    <w:rsid w:val="009C7F7C"/>
    <w:rsid w:val="009D018C"/>
    <w:rsid w:val="009D0236"/>
    <w:rsid w:val="009D023D"/>
    <w:rsid w:val="009D0296"/>
    <w:rsid w:val="009D04E4"/>
    <w:rsid w:val="009D056E"/>
    <w:rsid w:val="009D0624"/>
    <w:rsid w:val="009D070E"/>
    <w:rsid w:val="009D075E"/>
    <w:rsid w:val="009D0AF3"/>
    <w:rsid w:val="009D0AF4"/>
    <w:rsid w:val="009D0C28"/>
    <w:rsid w:val="009D0D70"/>
    <w:rsid w:val="009D0F5F"/>
    <w:rsid w:val="009D125F"/>
    <w:rsid w:val="009D1344"/>
    <w:rsid w:val="009D1485"/>
    <w:rsid w:val="009D15EC"/>
    <w:rsid w:val="009D1621"/>
    <w:rsid w:val="009D162E"/>
    <w:rsid w:val="009D16C3"/>
    <w:rsid w:val="009D1754"/>
    <w:rsid w:val="009D17F2"/>
    <w:rsid w:val="009D180E"/>
    <w:rsid w:val="009D1861"/>
    <w:rsid w:val="009D18A8"/>
    <w:rsid w:val="009D19F0"/>
    <w:rsid w:val="009D1A9B"/>
    <w:rsid w:val="009D1AB8"/>
    <w:rsid w:val="009D1FAD"/>
    <w:rsid w:val="009D2039"/>
    <w:rsid w:val="009D209C"/>
    <w:rsid w:val="009D21D0"/>
    <w:rsid w:val="009D2242"/>
    <w:rsid w:val="009D2344"/>
    <w:rsid w:val="009D23BC"/>
    <w:rsid w:val="009D240E"/>
    <w:rsid w:val="009D254E"/>
    <w:rsid w:val="009D256E"/>
    <w:rsid w:val="009D282B"/>
    <w:rsid w:val="009D2842"/>
    <w:rsid w:val="009D2889"/>
    <w:rsid w:val="009D2A5A"/>
    <w:rsid w:val="009D2AD0"/>
    <w:rsid w:val="009D2BF3"/>
    <w:rsid w:val="009D2BFE"/>
    <w:rsid w:val="009D2D66"/>
    <w:rsid w:val="009D2E8E"/>
    <w:rsid w:val="009D2F58"/>
    <w:rsid w:val="009D30B8"/>
    <w:rsid w:val="009D30EC"/>
    <w:rsid w:val="009D3291"/>
    <w:rsid w:val="009D330E"/>
    <w:rsid w:val="009D336D"/>
    <w:rsid w:val="009D344C"/>
    <w:rsid w:val="009D349C"/>
    <w:rsid w:val="009D360B"/>
    <w:rsid w:val="009D363F"/>
    <w:rsid w:val="009D3649"/>
    <w:rsid w:val="009D3684"/>
    <w:rsid w:val="009D3711"/>
    <w:rsid w:val="009D3774"/>
    <w:rsid w:val="009D385E"/>
    <w:rsid w:val="009D3953"/>
    <w:rsid w:val="009D3984"/>
    <w:rsid w:val="009D39A4"/>
    <w:rsid w:val="009D3CB0"/>
    <w:rsid w:val="009D3D32"/>
    <w:rsid w:val="009D3DB7"/>
    <w:rsid w:val="009D3DC8"/>
    <w:rsid w:val="009D4256"/>
    <w:rsid w:val="009D4291"/>
    <w:rsid w:val="009D42A2"/>
    <w:rsid w:val="009D42CE"/>
    <w:rsid w:val="009D42E5"/>
    <w:rsid w:val="009D4300"/>
    <w:rsid w:val="009D492F"/>
    <w:rsid w:val="009D4A1F"/>
    <w:rsid w:val="009D4B78"/>
    <w:rsid w:val="009D4C0D"/>
    <w:rsid w:val="009D4D4D"/>
    <w:rsid w:val="009D4EFF"/>
    <w:rsid w:val="009D51E5"/>
    <w:rsid w:val="009D5382"/>
    <w:rsid w:val="009D5428"/>
    <w:rsid w:val="009D545A"/>
    <w:rsid w:val="009D56A9"/>
    <w:rsid w:val="009D571F"/>
    <w:rsid w:val="009D5C6D"/>
    <w:rsid w:val="009D5C9A"/>
    <w:rsid w:val="009D5D92"/>
    <w:rsid w:val="009D5ED7"/>
    <w:rsid w:val="009D5EE5"/>
    <w:rsid w:val="009D5F31"/>
    <w:rsid w:val="009D6017"/>
    <w:rsid w:val="009D6090"/>
    <w:rsid w:val="009D610C"/>
    <w:rsid w:val="009D61D6"/>
    <w:rsid w:val="009D61E7"/>
    <w:rsid w:val="009D6254"/>
    <w:rsid w:val="009D6429"/>
    <w:rsid w:val="009D6639"/>
    <w:rsid w:val="009D6826"/>
    <w:rsid w:val="009D6884"/>
    <w:rsid w:val="009D69B1"/>
    <w:rsid w:val="009D6A8A"/>
    <w:rsid w:val="009D6BD2"/>
    <w:rsid w:val="009D6D50"/>
    <w:rsid w:val="009D6D6A"/>
    <w:rsid w:val="009D6E4A"/>
    <w:rsid w:val="009D709C"/>
    <w:rsid w:val="009D7150"/>
    <w:rsid w:val="009D71E7"/>
    <w:rsid w:val="009D7848"/>
    <w:rsid w:val="009D7A75"/>
    <w:rsid w:val="009D7A8C"/>
    <w:rsid w:val="009D7CEB"/>
    <w:rsid w:val="009D7D76"/>
    <w:rsid w:val="009D7D97"/>
    <w:rsid w:val="009E021F"/>
    <w:rsid w:val="009E024F"/>
    <w:rsid w:val="009E0395"/>
    <w:rsid w:val="009E08FA"/>
    <w:rsid w:val="009E09B5"/>
    <w:rsid w:val="009E0AEF"/>
    <w:rsid w:val="009E0BBD"/>
    <w:rsid w:val="009E0D8A"/>
    <w:rsid w:val="009E0F8C"/>
    <w:rsid w:val="009E0FD8"/>
    <w:rsid w:val="009E11EC"/>
    <w:rsid w:val="009E1225"/>
    <w:rsid w:val="009E12DC"/>
    <w:rsid w:val="009E1342"/>
    <w:rsid w:val="009E14EC"/>
    <w:rsid w:val="009E1672"/>
    <w:rsid w:val="009E169B"/>
    <w:rsid w:val="009E17D3"/>
    <w:rsid w:val="009E1858"/>
    <w:rsid w:val="009E1D88"/>
    <w:rsid w:val="009E1E29"/>
    <w:rsid w:val="009E1FB6"/>
    <w:rsid w:val="009E2090"/>
    <w:rsid w:val="009E2319"/>
    <w:rsid w:val="009E235B"/>
    <w:rsid w:val="009E2389"/>
    <w:rsid w:val="009E2620"/>
    <w:rsid w:val="009E2756"/>
    <w:rsid w:val="009E279A"/>
    <w:rsid w:val="009E2926"/>
    <w:rsid w:val="009E294D"/>
    <w:rsid w:val="009E29E6"/>
    <w:rsid w:val="009E2A67"/>
    <w:rsid w:val="009E2AEE"/>
    <w:rsid w:val="009E2B82"/>
    <w:rsid w:val="009E2CA3"/>
    <w:rsid w:val="009E2CBA"/>
    <w:rsid w:val="009E2E10"/>
    <w:rsid w:val="009E2E59"/>
    <w:rsid w:val="009E2F96"/>
    <w:rsid w:val="009E2F99"/>
    <w:rsid w:val="009E32B9"/>
    <w:rsid w:val="009E331C"/>
    <w:rsid w:val="009E363F"/>
    <w:rsid w:val="009E3648"/>
    <w:rsid w:val="009E372C"/>
    <w:rsid w:val="009E3880"/>
    <w:rsid w:val="009E38EA"/>
    <w:rsid w:val="009E392B"/>
    <w:rsid w:val="009E39C4"/>
    <w:rsid w:val="009E3C08"/>
    <w:rsid w:val="009E3F31"/>
    <w:rsid w:val="009E3F72"/>
    <w:rsid w:val="009E4037"/>
    <w:rsid w:val="009E4211"/>
    <w:rsid w:val="009E449D"/>
    <w:rsid w:val="009E4553"/>
    <w:rsid w:val="009E45CD"/>
    <w:rsid w:val="009E4621"/>
    <w:rsid w:val="009E481F"/>
    <w:rsid w:val="009E4B36"/>
    <w:rsid w:val="009E4D77"/>
    <w:rsid w:val="009E4E8C"/>
    <w:rsid w:val="009E4EBB"/>
    <w:rsid w:val="009E4F21"/>
    <w:rsid w:val="009E5008"/>
    <w:rsid w:val="009E524F"/>
    <w:rsid w:val="009E535F"/>
    <w:rsid w:val="009E5447"/>
    <w:rsid w:val="009E56C8"/>
    <w:rsid w:val="009E5747"/>
    <w:rsid w:val="009E5891"/>
    <w:rsid w:val="009E5981"/>
    <w:rsid w:val="009E5BB7"/>
    <w:rsid w:val="009E5C17"/>
    <w:rsid w:val="009E5D5F"/>
    <w:rsid w:val="009E5EB1"/>
    <w:rsid w:val="009E61A2"/>
    <w:rsid w:val="009E61CE"/>
    <w:rsid w:val="009E624E"/>
    <w:rsid w:val="009E63AD"/>
    <w:rsid w:val="009E6555"/>
    <w:rsid w:val="009E65B9"/>
    <w:rsid w:val="009E66B2"/>
    <w:rsid w:val="009E6944"/>
    <w:rsid w:val="009E6A22"/>
    <w:rsid w:val="009E6A3F"/>
    <w:rsid w:val="009E6B01"/>
    <w:rsid w:val="009E6C1E"/>
    <w:rsid w:val="009E6DB6"/>
    <w:rsid w:val="009E6DD4"/>
    <w:rsid w:val="009E6ECF"/>
    <w:rsid w:val="009E6F20"/>
    <w:rsid w:val="009E7167"/>
    <w:rsid w:val="009E72A7"/>
    <w:rsid w:val="009E743F"/>
    <w:rsid w:val="009E74CE"/>
    <w:rsid w:val="009E75DE"/>
    <w:rsid w:val="009E7726"/>
    <w:rsid w:val="009E77E8"/>
    <w:rsid w:val="009E7876"/>
    <w:rsid w:val="009E7A81"/>
    <w:rsid w:val="009F00A4"/>
    <w:rsid w:val="009F0130"/>
    <w:rsid w:val="009F0161"/>
    <w:rsid w:val="009F02F3"/>
    <w:rsid w:val="009F04A1"/>
    <w:rsid w:val="009F052A"/>
    <w:rsid w:val="009F05FA"/>
    <w:rsid w:val="009F0694"/>
    <w:rsid w:val="009F06B3"/>
    <w:rsid w:val="009F09C4"/>
    <w:rsid w:val="009F0BCA"/>
    <w:rsid w:val="009F0C03"/>
    <w:rsid w:val="009F0EE4"/>
    <w:rsid w:val="009F0F69"/>
    <w:rsid w:val="009F105F"/>
    <w:rsid w:val="009F12C9"/>
    <w:rsid w:val="009F12FF"/>
    <w:rsid w:val="009F1336"/>
    <w:rsid w:val="009F145C"/>
    <w:rsid w:val="009F153F"/>
    <w:rsid w:val="009F184C"/>
    <w:rsid w:val="009F1A75"/>
    <w:rsid w:val="009F1BD8"/>
    <w:rsid w:val="009F1C36"/>
    <w:rsid w:val="009F1C77"/>
    <w:rsid w:val="009F1E71"/>
    <w:rsid w:val="009F2093"/>
    <w:rsid w:val="009F20DD"/>
    <w:rsid w:val="009F218A"/>
    <w:rsid w:val="009F235B"/>
    <w:rsid w:val="009F239D"/>
    <w:rsid w:val="009F247B"/>
    <w:rsid w:val="009F24A4"/>
    <w:rsid w:val="009F25F0"/>
    <w:rsid w:val="009F2902"/>
    <w:rsid w:val="009F2BC8"/>
    <w:rsid w:val="009F2E20"/>
    <w:rsid w:val="009F2E79"/>
    <w:rsid w:val="009F2F05"/>
    <w:rsid w:val="009F2F08"/>
    <w:rsid w:val="009F2F77"/>
    <w:rsid w:val="009F306C"/>
    <w:rsid w:val="009F3214"/>
    <w:rsid w:val="009F328F"/>
    <w:rsid w:val="009F32AD"/>
    <w:rsid w:val="009F3336"/>
    <w:rsid w:val="009F38DC"/>
    <w:rsid w:val="009F3969"/>
    <w:rsid w:val="009F3A2B"/>
    <w:rsid w:val="009F3D3C"/>
    <w:rsid w:val="009F3E38"/>
    <w:rsid w:val="009F3F44"/>
    <w:rsid w:val="009F403F"/>
    <w:rsid w:val="009F405C"/>
    <w:rsid w:val="009F41E8"/>
    <w:rsid w:val="009F4280"/>
    <w:rsid w:val="009F42A4"/>
    <w:rsid w:val="009F42E6"/>
    <w:rsid w:val="009F4474"/>
    <w:rsid w:val="009F45F9"/>
    <w:rsid w:val="009F4753"/>
    <w:rsid w:val="009F48EC"/>
    <w:rsid w:val="009F499E"/>
    <w:rsid w:val="009F4B7C"/>
    <w:rsid w:val="009F4B83"/>
    <w:rsid w:val="009F4CA4"/>
    <w:rsid w:val="009F4D4A"/>
    <w:rsid w:val="009F4D94"/>
    <w:rsid w:val="009F4DAC"/>
    <w:rsid w:val="009F4F50"/>
    <w:rsid w:val="009F5308"/>
    <w:rsid w:val="009F5518"/>
    <w:rsid w:val="009F552F"/>
    <w:rsid w:val="009F561C"/>
    <w:rsid w:val="009F57C6"/>
    <w:rsid w:val="009F5816"/>
    <w:rsid w:val="009F5827"/>
    <w:rsid w:val="009F595C"/>
    <w:rsid w:val="009F59E3"/>
    <w:rsid w:val="009F5DB2"/>
    <w:rsid w:val="009F5DB3"/>
    <w:rsid w:val="009F5E9F"/>
    <w:rsid w:val="009F5F0D"/>
    <w:rsid w:val="009F6029"/>
    <w:rsid w:val="009F61D9"/>
    <w:rsid w:val="009F6471"/>
    <w:rsid w:val="009F66CF"/>
    <w:rsid w:val="009F691D"/>
    <w:rsid w:val="009F6968"/>
    <w:rsid w:val="009F69E6"/>
    <w:rsid w:val="009F6A37"/>
    <w:rsid w:val="009F6BE6"/>
    <w:rsid w:val="009F6C34"/>
    <w:rsid w:val="009F6CA5"/>
    <w:rsid w:val="009F6CEA"/>
    <w:rsid w:val="009F6D67"/>
    <w:rsid w:val="009F6F75"/>
    <w:rsid w:val="009F70E0"/>
    <w:rsid w:val="009F70EB"/>
    <w:rsid w:val="009F7112"/>
    <w:rsid w:val="009F72C7"/>
    <w:rsid w:val="009F72E9"/>
    <w:rsid w:val="009F74CB"/>
    <w:rsid w:val="009F7569"/>
    <w:rsid w:val="009F75A4"/>
    <w:rsid w:val="009F77D6"/>
    <w:rsid w:val="009F77E2"/>
    <w:rsid w:val="009F7805"/>
    <w:rsid w:val="009F78B6"/>
    <w:rsid w:val="009F7967"/>
    <w:rsid w:val="009F79CA"/>
    <w:rsid w:val="009F79F2"/>
    <w:rsid w:val="009F7A03"/>
    <w:rsid w:val="009F7BD2"/>
    <w:rsid w:val="009F7E1E"/>
    <w:rsid w:val="009F7FA4"/>
    <w:rsid w:val="00A00055"/>
    <w:rsid w:val="00A001E4"/>
    <w:rsid w:val="00A0021F"/>
    <w:rsid w:val="00A002A1"/>
    <w:rsid w:val="00A0040B"/>
    <w:rsid w:val="00A006EE"/>
    <w:rsid w:val="00A00718"/>
    <w:rsid w:val="00A007C0"/>
    <w:rsid w:val="00A007EA"/>
    <w:rsid w:val="00A0093A"/>
    <w:rsid w:val="00A00AAD"/>
    <w:rsid w:val="00A00D8A"/>
    <w:rsid w:val="00A00ECF"/>
    <w:rsid w:val="00A00F0F"/>
    <w:rsid w:val="00A00FAE"/>
    <w:rsid w:val="00A01417"/>
    <w:rsid w:val="00A01432"/>
    <w:rsid w:val="00A0158F"/>
    <w:rsid w:val="00A01764"/>
    <w:rsid w:val="00A01825"/>
    <w:rsid w:val="00A01B8D"/>
    <w:rsid w:val="00A01BF0"/>
    <w:rsid w:val="00A01C04"/>
    <w:rsid w:val="00A01C92"/>
    <w:rsid w:val="00A01CA5"/>
    <w:rsid w:val="00A01CE6"/>
    <w:rsid w:val="00A01D7E"/>
    <w:rsid w:val="00A01DCF"/>
    <w:rsid w:val="00A01E2B"/>
    <w:rsid w:val="00A01F24"/>
    <w:rsid w:val="00A02016"/>
    <w:rsid w:val="00A0204E"/>
    <w:rsid w:val="00A021D6"/>
    <w:rsid w:val="00A021F8"/>
    <w:rsid w:val="00A02509"/>
    <w:rsid w:val="00A025E2"/>
    <w:rsid w:val="00A0262A"/>
    <w:rsid w:val="00A02676"/>
    <w:rsid w:val="00A029D1"/>
    <w:rsid w:val="00A029F4"/>
    <w:rsid w:val="00A029F6"/>
    <w:rsid w:val="00A02ADD"/>
    <w:rsid w:val="00A02AF8"/>
    <w:rsid w:val="00A02C22"/>
    <w:rsid w:val="00A02C3A"/>
    <w:rsid w:val="00A02DE1"/>
    <w:rsid w:val="00A02F88"/>
    <w:rsid w:val="00A030CD"/>
    <w:rsid w:val="00A0319B"/>
    <w:rsid w:val="00A0321C"/>
    <w:rsid w:val="00A0329B"/>
    <w:rsid w:val="00A033E7"/>
    <w:rsid w:val="00A03426"/>
    <w:rsid w:val="00A0343D"/>
    <w:rsid w:val="00A0346C"/>
    <w:rsid w:val="00A0355E"/>
    <w:rsid w:val="00A035DA"/>
    <w:rsid w:val="00A035FC"/>
    <w:rsid w:val="00A03617"/>
    <w:rsid w:val="00A038E4"/>
    <w:rsid w:val="00A03A10"/>
    <w:rsid w:val="00A03B2F"/>
    <w:rsid w:val="00A03BA6"/>
    <w:rsid w:val="00A03CC0"/>
    <w:rsid w:val="00A03E74"/>
    <w:rsid w:val="00A03E7C"/>
    <w:rsid w:val="00A03F30"/>
    <w:rsid w:val="00A03F97"/>
    <w:rsid w:val="00A03FAA"/>
    <w:rsid w:val="00A03FB9"/>
    <w:rsid w:val="00A0429D"/>
    <w:rsid w:val="00A04445"/>
    <w:rsid w:val="00A04571"/>
    <w:rsid w:val="00A04654"/>
    <w:rsid w:val="00A04679"/>
    <w:rsid w:val="00A046AC"/>
    <w:rsid w:val="00A04826"/>
    <w:rsid w:val="00A0482B"/>
    <w:rsid w:val="00A04A29"/>
    <w:rsid w:val="00A04B14"/>
    <w:rsid w:val="00A04B1E"/>
    <w:rsid w:val="00A04B9F"/>
    <w:rsid w:val="00A04F09"/>
    <w:rsid w:val="00A04FDE"/>
    <w:rsid w:val="00A0503E"/>
    <w:rsid w:val="00A050A3"/>
    <w:rsid w:val="00A0512B"/>
    <w:rsid w:val="00A05202"/>
    <w:rsid w:val="00A05378"/>
    <w:rsid w:val="00A0542C"/>
    <w:rsid w:val="00A05447"/>
    <w:rsid w:val="00A054BD"/>
    <w:rsid w:val="00A05660"/>
    <w:rsid w:val="00A057FA"/>
    <w:rsid w:val="00A058F1"/>
    <w:rsid w:val="00A0591D"/>
    <w:rsid w:val="00A05959"/>
    <w:rsid w:val="00A05A24"/>
    <w:rsid w:val="00A05A50"/>
    <w:rsid w:val="00A05ABD"/>
    <w:rsid w:val="00A05B5F"/>
    <w:rsid w:val="00A05BE4"/>
    <w:rsid w:val="00A05D8C"/>
    <w:rsid w:val="00A05E71"/>
    <w:rsid w:val="00A0612F"/>
    <w:rsid w:val="00A0613A"/>
    <w:rsid w:val="00A062E1"/>
    <w:rsid w:val="00A06376"/>
    <w:rsid w:val="00A067EA"/>
    <w:rsid w:val="00A06807"/>
    <w:rsid w:val="00A0684C"/>
    <w:rsid w:val="00A068B9"/>
    <w:rsid w:val="00A068E3"/>
    <w:rsid w:val="00A06979"/>
    <w:rsid w:val="00A06A35"/>
    <w:rsid w:val="00A06AC8"/>
    <w:rsid w:val="00A06AD0"/>
    <w:rsid w:val="00A06B03"/>
    <w:rsid w:val="00A06D13"/>
    <w:rsid w:val="00A06DA8"/>
    <w:rsid w:val="00A06E39"/>
    <w:rsid w:val="00A06E54"/>
    <w:rsid w:val="00A06F49"/>
    <w:rsid w:val="00A0760A"/>
    <w:rsid w:val="00A07827"/>
    <w:rsid w:val="00A078B4"/>
    <w:rsid w:val="00A07A59"/>
    <w:rsid w:val="00A07AAF"/>
    <w:rsid w:val="00A07B60"/>
    <w:rsid w:val="00A07CEE"/>
    <w:rsid w:val="00A07EEF"/>
    <w:rsid w:val="00A07FD8"/>
    <w:rsid w:val="00A07FDB"/>
    <w:rsid w:val="00A1012A"/>
    <w:rsid w:val="00A101F7"/>
    <w:rsid w:val="00A10246"/>
    <w:rsid w:val="00A102EE"/>
    <w:rsid w:val="00A10695"/>
    <w:rsid w:val="00A1073F"/>
    <w:rsid w:val="00A10854"/>
    <w:rsid w:val="00A108E5"/>
    <w:rsid w:val="00A10AEC"/>
    <w:rsid w:val="00A10B2D"/>
    <w:rsid w:val="00A10B73"/>
    <w:rsid w:val="00A10B75"/>
    <w:rsid w:val="00A110A5"/>
    <w:rsid w:val="00A11118"/>
    <w:rsid w:val="00A1112A"/>
    <w:rsid w:val="00A111CB"/>
    <w:rsid w:val="00A111F7"/>
    <w:rsid w:val="00A1123A"/>
    <w:rsid w:val="00A112A1"/>
    <w:rsid w:val="00A112ED"/>
    <w:rsid w:val="00A11302"/>
    <w:rsid w:val="00A1133F"/>
    <w:rsid w:val="00A11720"/>
    <w:rsid w:val="00A11790"/>
    <w:rsid w:val="00A1187B"/>
    <w:rsid w:val="00A11902"/>
    <w:rsid w:val="00A11A0A"/>
    <w:rsid w:val="00A11B40"/>
    <w:rsid w:val="00A11BB9"/>
    <w:rsid w:val="00A11C96"/>
    <w:rsid w:val="00A11D8B"/>
    <w:rsid w:val="00A11DEA"/>
    <w:rsid w:val="00A11E3D"/>
    <w:rsid w:val="00A1205F"/>
    <w:rsid w:val="00A12088"/>
    <w:rsid w:val="00A12181"/>
    <w:rsid w:val="00A12233"/>
    <w:rsid w:val="00A12289"/>
    <w:rsid w:val="00A1236B"/>
    <w:rsid w:val="00A1250E"/>
    <w:rsid w:val="00A12713"/>
    <w:rsid w:val="00A12B7B"/>
    <w:rsid w:val="00A13007"/>
    <w:rsid w:val="00A13038"/>
    <w:rsid w:val="00A130E5"/>
    <w:rsid w:val="00A13193"/>
    <w:rsid w:val="00A13272"/>
    <w:rsid w:val="00A13277"/>
    <w:rsid w:val="00A1369F"/>
    <w:rsid w:val="00A136C6"/>
    <w:rsid w:val="00A13760"/>
    <w:rsid w:val="00A138AB"/>
    <w:rsid w:val="00A139E3"/>
    <w:rsid w:val="00A13A8D"/>
    <w:rsid w:val="00A13A93"/>
    <w:rsid w:val="00A13C58"/>
    <w:rsid w:val="00A13CE8"/>
    <w:rsid w:val="00A13E2B"/>
    <w:rsid w:val="00A141C4"/>
    <w:rsid w:val="00A143DB"/>
    <w:rsid w:val="00A1442F"/>
    <w:rsid w:val="00A14552"/>
    <w:rsid w:val="00A14629"/>
    <w:rsid w:val="00A14636"/>
    <w:rsid w:val="00A14659"/>
    <w:rsid w:val="00A146DF"/>
    <w:rsid w:val="00A146F0"/>
    <w:rsid w:val="00A149F7"/>
    <w:rsid w:val="00A14A7C"/>
    <w:rsid w:val="00A14B33"/>
    <w:rsid w:val="00A14D99"/>
    <w:rsid w:val="00A152E0"/>
    <w:rsid w:val="00A1538D"/>
    <w:rsid w:val="00A1544F"/>
    <w:rsid w:val="00A15547"/>
    <w:rsid w:val="00A155FA"/>
    <w:rsid w:val="00A15772"/>
    <w:rsid w:val="00A157E5"/>
    <w:rsid w:val="00A15B7D"/>
    <w:rsid w:val="00A15D73"/>
    <w:rsid w:val="00A15EC6"/>
    <w:rsid w:val="00A15F37"/>
    <w:rsid w:val="00A1654F"/>
    <w:rsid w:val="00A1673E"/>
    <w:rsid w:val="00A16748"/>
    <w:rsid w:val="00A16777"/>
    <w:rsid w:val="00A16786"/>
    <w:rsid w:val="00A168BB"/>
    <w:rsid w:val="00A16E1F"/>
    <w:rsid w:val="00A16E2D"/>
    <w:rsid w:val="00A17111"/>
    <w:rsid w:val="00A171FB"/>
    <w:rsid w:val="00A172A5"/>
    <w:rsid w:val="00A17308"/>
    <w:rsid w:val="00A17397"/>
    <w:rsid w:val="00A17460"/>
    <w:rsid w:val="00A1755F"/>
    <w:rsid w:val="00A1775E"/>
    <w:rsid w:val="00A177A4"/>
    <w:rsid w:val="00A17842"/>
    <w:rsid w:val="00A17A0F"/>
    <w:rsid w:val="00A17A36"/>
    <w:rsid w:val="00A17A71"/>
    <w:rsid w:val="00A17C4B"/>
    <w:rsid w:val="00A17F9E"/>
    <w:rsid w:val="00A20071"/>
    <w:rsid w:val="00A20091"/>
    <w:rsid w:val="00A20155"/>
    <w:rsid w:val="00A2038B"/>
    <w:rsid w:val="00A2057B"/>
    <w:rsid w:val="00A2069A"/>
    <w:rsid w:val="00A207A4"/>
    <w:rsid w:val="00A207D9"/>
    <w:rsid w:val="00A208EA"/>
    <w:rsid w:val="00A209CF"/>
    <w:rsid w:val="00A20C04"/>
    <w:rsid w:val="00A20C97"/>
    <w:rsid w:val="00A20F4A"/>
    <w:rsid w:val="00A210F7"/>
    <w:rsid w:val="00A21230"/>
    <w:rsid w:val="00A21327"/>
    <w:rsid w:val="00A21482"/>
    <w:rsid w:val="00A21528"/>
    <w:rsid w:val="00A21654"/>
    <w:rsid w:val="00A216A5"/>
    <w:rsid w:val="00A217C6"/>
    <w:rsid w:val="00A219B2"/>
    <w:rsid w:val="00A219F4"/>
    <w:rsid w:val="00A219F8"/>
    <w:rsid w:val="00A21A83"/>
    <w:rsid w:val="00A21C11"/>
    <w:rsid w:val="00A21CFA"/>
    <w:rsid w:val="00A21E28"/>
    <w:rsid w:val="00A21E87"/>
    <w:rsid w:val="00A21F61"/>
    <w:rsid w:val="00A21FEA"/>
    <w:rsid w:val="00A220F3"/>
    <w:rsid w:val="00A221D2"/>
    <w:rsid w:val="00A222BF"/>
    <w:rsid w:val="00A222DC"/>
    <w:rsid w:val="00A22370"/>
    <w:rsid w:val="00A2240F"/>
    <w:rsid w:val="00A224B1"/>
    <w:rsid w:val="00A22546"/>
    <w:rsid w:val="00A22582"/>
    <w:rsid w:val="00A225B5"/>
    <w:rsid w:val="00A22653"/>
    <w:rsid w:val="00A22746"/>
    <w:rsid w:val="00A227A9"/>
    <w:rsid w:val="00A229AD"/>
    <w:rsid w:val="00A22D14"/>
    <w:rsid w:val="00A22D89"/>
    <w:rsid w:val="00A22F0F"/>
    <w:rsid w:val="00A22FAF"/>
    <w:rsid w:val="00A22FEA"/>
    <w:rsid w:val="00A23019"/>
    <w:rsid w:val="00A230E7"/>
    <w:rsid w:val="00A23288"/>
    <w:rsid w:val="00A233DB"/>
    <w:rsid w:val="00A235FF"/>
    <w:rsid w:val="00A236AA"/>
    <w:rsid w:val="00A237F9"/>
    <w:rsid w:val="00A239E9"/>
    <w:rsid w:val="00A23AF1"/>
    <w:rsid w:val="00A23B76"/>
    <w:rsid w:val="00A23BF9"/>
    <w:rsid w:val="00A23CC2"/>
    <w:rsid w:val="00A23D0A"/>
    <w:rsid w:val="00A23DB7"/>
    <w:rsid w:val="00A23E3B"/>
    <w:rsid w:val="00A23E4C"/>
    <w:rsid w:val="00A24055"/>
    <w:rsid w:val="00A243D9"/>
    <w:rsid w:val="00A24499"/>
    <w:rsid w:val="00A245A6"/>
    <w:rsid w:val="00A245E5"/>
    <w:rsid w:val="00A246BF"/>
    <w:rsid w:val="00A246D9"/>
    <w:rsid w:val="00A249FB"/>
    <w:rsid w:val="00A24A2A"/>
    <w:rsid w:val="00A24AA7"/>
    <w:rsid w:val="00A24B72"/>
    <w:rsid w:val="00A24CBE"/>
    <w:rsid w:val="00A24CEA"/>
    <w:rsid w:val="00A24E86"/>
    <w:rsid w:val="00A24ED7"/>
    <w:rsid w:val="00A24F5C"/>
    <w:rsid w:val="00A2547E"/>
    <w:rsid w:val="00A2550B"/>
    <w:rsid w:val="00A25523"/>
    <w:rsid w:val="00A2561B"/>
    <w:rsid w:val="00A25621"/>
    <w:rsid w:val="00A256E4"/>
    <w:rsid w:val="00A25800"/>
    <w:rsid w:val="00A258BB"/>
    <w:rsid w:val="00A25A2A"/>
    <w:rsid w:val="00A25C00"/>
    <w:rsid w:val="00A25C6C"/>
    <w:rsid w:val="00A25F23"/>
    <w:rsid w:val="00A261A4"/>
    <w:rsid w:val="00A26323"/>
    <w:rsid w:val="00A26508"/>
    <w:rsid w:val="00A2659D"/>
    <w:rsid w:val="00A2689D"/>
    <w:rsid w:val="00A26AC4"/>
    <w:rsid w:val="00A26B2E"/>
    <w:rsid w:val="00A26CC0"/>
    <w:rsid w:val="00A26CC8"/>
    <w:rsid w:val="00A26E9E"/>
    <w:rsid w:val="00A2727B"/>
    <w:rsid w:val="00A272D1"/>
    <w:rsid w:val="00A273F9"/>
    <w:rsid w:val="00A27516"/>
    <w:rsid w:val="00A275CF"/>
    <w:rsid w:val="00A275F5"/>
    <w:rsid w:val="00A27870"/>
    <w:rsid w:val="00A279F7"/>
    <w:rsid w:val="00A27AFB"/>
    <w:rsid w:val="00A27B94"/>
    <w:rsid w:val="00A27C4F"/>
    <w:rsid w:val="00A27CEB"/>
    <w:rsid w:val="00A27D0D"/>
    <w:rsid w:val="00A27E68"/>
    <w:rsid w:val="00A27F8A"/>
    <w:rsid w:val="00A30159"/>
    <w:rsid w:val="00A301B6"/>
    <w:rsid w:val="00A301F7"/>
    <w:rsid w:val="00A3020B"/>
    <w:rsid w:val="00A30412"/>
    <w:rsid w:val="00A30555"/>
    <w:rsid w:val="00A30653"/>
    <w:rsid w:val="00A3065E"/>
    <w:rsid w:val="00A3086A"/>
    <w:rsid w:val="00A308C2"/>
    <w:rsid w:val="00A30978"/>
    <w:rsid w:val="00A309C2"/>
    <w:rsid w:val="00A30A82"/>
    <w:rsid w:val="00A30A83"/>
    <w:rsid w:val="00A30B4B"/>
    <w:rsid w:val="00A30C04"/>
    <w:rsid w:val="00A30CBD"/>
    <w:rsid w:val="00A30E89"/>
    <w:rsid w:val="00A30EAE"/>
    <w:rsid w:val="00A31083"/>
    <w:rsid w:val="00A310D7"/>
    <w:rsid w:val="00A31230"/>
    <w:rsid w:val="00A3149D"/>
    <w:rsid w:val="00A315E0"/>
    <w:rsid w:val="00A3173B"/>
    <w:rsid w:val="00A31881"/>
    <w:rsid w:val="00A31902"/>
    <w:rsid w:val="00A31BF3"/>
    <w:rsid w:val="00A31C2D"/>
    <w:rsid w:val="00A31C66"/>
    <w:rsid w:val="00A31CB6"/>
    <w:rsid w:val="00A31D46"/>
    <w:rsid w:val="00A31DE1"/>
    <w:rsid w:val="00A32093"/>
    <w:rsid w:val="00A32483"/>
    <w:rsid w:val="00A325B0"/>
    <w:rsid w:val="00A327C0"/>
    <w:rsid w:val="00A32CD9"/>
    <w:rsid w:val="00A32CE5"/>
    <w:rsid w:val="00A32D1E"/>
    <w:rsid w:val="00A32E63"/>
    <w:rsid w:val="00A32F7D"/>
    <w:rsid w:val="00A32FAD"/>
    <w:rsid w:val="00A33019"/>
    <w:rsid w:val="00A33033"/>
    <w:rsid w:val="00A330A0"/>
    <w:rsid w:val="00A330E5"/>
    <w:rsid w:val="00A3316A"/>
    <w:rsid w:val="00A3329A"/>
    <w:rsid w:val="00A3339A"/>
    <w:rsid w:val="00A333C9"/>
    <w:rsid w:val="00A334B9"/>
    <w:rsid w:val="00A33619"/>
    <w:rsid w:val="00A33734"/>
    <w:rsid w:val="00A33785"/>
    <w:rsid w:val="00A3381D"/>
    <w:rsid w:val="00A339A2"/>
    <w:rsid w:val="00A33A08"/>
    <w:rsid w:val="00A33AD4"/>
    <w:rsid w:val="00A33E28"/>
    <w:rsid w:val="00A33E64"/>
    <w:rsid w:val="00A33ED8"/>
    <w:rsid w:val="00A33F20"/>
    <w:rsid w:val="00A33F57"/>
    <w:rsid w:val="00A3412C"/>
    <w:rsid w:val="00A344E6"/>
    <w:rsid w:val="00A347B6"/>
    <w:rsid w:val="00A34847"/>
    <w:rsid w:val="00A34998"/>
    <w:rsid w:val="00A34ABA"/>
    <w:rsid w:val="00A34C05"/>
    <w:rsid w:val="00A34C8D"/>
    <w:rsid w:val="00A34D69"/>
    <w:rsid w:val="00A3514E"/>
    <w:rsid w:val="00A352A5"/>
    <w:rsid w:val="00A353CC"/>
    <w:rsid w:val="00A3566D"/>
    <w:rsid w:val="00A356A8"/>
    <w:rsid w:val="00A35785"/>
    <w:rsid w:val="00A358C8"/>
    <w:rsid w:val="00A35936"/>
    <w:rsid w:val="00A35985"/>
    <w:rsid w:val="00A35A1F"/>
    <w:rsid w:val="00A35D47"/>
    <w:rsid w:val="00A35DF6"/>
    <w:rsid w:val="00A35E1B"/>
    <w:rsid w:val="00A35E2F"/>
    <w:rsid w:val="00A35EAE"/>
    <w:rsid w:val="00A35EC6"/>
    <w:rsid w:val="00A36002"/>
    <w:rsid w:val="00A363F8"/>
    <w:rsid w:val="00A364B3"/>
    <w:rsid w:val="00A36517"/>
    <w:rsid w:val="00A36640"/>
    <w:rsid w:val="00A366D2"/>
    <w:rsid w:val="00A3693F"/>
    <w:rsid w:val="00A36A63"/>
    <w:rsid w:val="00A36C6C"/>
    <w:rsid w:val="00A36CB0"/>
    <w:rsid w:val="00A36F74"/>
    <w:rsid w:val="00A36F82"/>
    <w:rsid w:val="00A37034"/>
    <w:rsid w:val="00A370AF"/>
    <w:rsid w:val="00A370FA"/>
    <w:rsid w:val="00A3730D"/>
    <w:rsid w:val="00A37320"/>
    <w:rsid w:val="00A3733F"/>
    <w:rsid w:val="00A37390"/>
    <w:rsid w:val="00A373F7"/>
    <w:rsid w:val="00A3741F"/>
    <w:rsid w:val="00A374C5"/>
    <w:rsid w:val="00A3757B"/>
    <w:rsid w:val="00A376A6"/>
    <w:rsid w:val="00A37979"/>
    <w:rsid w:val="00A379CA"/>
    <w:rsid w:val="00A37A75"/>
    <w:rsid w:val="00A37C2F"/>
    <w:rsid w:val="00A37DBA"/>
    <w:rsid w:val="00A37DD6"/>
    <w:rsid w:val="00A37E0A"/>
    <w:rsid w:val="00A400D6"/>
    <w:rsid w:val="00A40271"/>
    <w:rsid w:val="00A4033F"/>
    <w:rsid w:val="00A406C3"/>
    <w:rsid w:val="00A4079F"/>
    <w:rsid w:val="00A40828"/>
    <w:rsid w:val="00A40918"/>
    <w:rsid w:val="00A409D9"/>
    <w:rsid w:val="00A409E0"/>
    <w:rsid w:val="00A409FD"/>
    <w:rsid w:val="00A40A1C"/>
    <w:rsid w:val="00A40A7E"/>
    <w:rsid w:val="00A40AEE"/>
    <w:rsid w:val="00A40B7A"/>
    <w:rsid w:val="00A40C64"/>
    <w:rsid w:val="00A40E7C"/>
    <w:rsid w:val="00A40EB7"/>
    <w:rsid w:val="00A40F26"/>
    <w:rsid w:val="00A40F3C"/>
    <w:rsid w:val="00A40F3F"/>
    <w:rsid w:val="00A41092"/>
    <w:rsid w:val="00A410BE"/>
    <w:rsid w:val="00A41136"/>
    <w:rsid w:val="00A412A2"/>
    <w:rsid w:val="00A41679"/>
    <w:rsid w:val="00A41922"/>
    <w:rsid w:val="00A4193D"/>
    <w:rsid w:val="00A419B1"/>
    <w:rsid w:val="00A419D4"/>
    <w:rsid w:val="00A41A58"/>
    <w:rsid w:val="00A41A75"/>
    <w:rsid w:val="00A41B93"/>
    <w:rsid w:val="00A41D5E"/>
    <w:rsid w:val="00A41DB1"/>
    <w:rsid w:val="00A41DE1"/>
    <w:rsid w:val="00A41E13"/>
    <w:rsid w:val="00A41E4B"/>
    <w:rsid w:val="00A41E63"/>
    <w:rsid w:val="00A41FCB"/>
    <w:rsid w:val="00A42145"/>
    <w:rsid w:val="00A425A8"/>
    <w:rsid w:val="00A425B8"/>
    <w:rsid w:val="00A425F7"/>
    <w:rsid w:val="00A425FD"/>
    <w:rsid w:val="00A42656"/>
    <w:rsid w:val="00A42679"/>
    <w:rsid w:val="00A4269B"/>
    <w:rsid w:val="00A427EA"/>
    <w:rsid w:val="00A4289F"/>
    <w:rsid w:val="00A428F3"/>
    <w:rsid w:val="00A4295F"/>
    <w:rsid w:val="00A429CC"/>
    <w:rsid w:val="00A42A84"/>
    <w:rsid w:val="00A42D6A"/>
    <w:rsid w:val="00A4301A"/>
    <w:rsid w:val="00A43068"/>
    <w:rsid w:val="00A43081"/>
    <w:rsid w:val="00A43315"/>
    <w:rsid w:val="00A43414"/>
    <w:rsid w:val="00A4353E"/>
    <w:rsid w:val="00A435FE"/>
    <w:rsid w:val="00A43634"/>
    <w:rsid w:val="00A438CC"/>
    <w:rsid w:val="00A43A56"/>
    <w:rsid w:val="00A43ABB"/>
    <w:rsid w:val="00A43B2A"/>
    <w:rsid w:val="00A43ECF"/>
    <w:rsid w:val="00A43FBA"/>
    <w:rsid w:val="00A44034"/>
    <w:rsid w:val="00A4407E"/>
    <w:rsid w:val="00A44196"/>
    <w:rsid w:val="00A441FB"/>
    <w:rsid w:val="00A442D6"/>
    <w:rsid w:val="00A44456"/>
    <w:rsid w:val="00A44507"/>
    <w:rsid w:val="00A44757"/>
    <w:rsid w:val="00A447C0"/>
    <w:rsid w:val="00A448B7"/>
    <w:rsid w:val="00A44A35"/>
    <w:rsid w:val="00A44A64"/>
    <w:rsid w:val="00A44B05"/>
    <w:rsid w:val="00A44BFE"/>
    <w:rsid w:val="00A44CEE"/>
    <w:rsid w:val="00A44D3F"/>
    <w:rsid w:val="00A4503C"/>
    <w:rsid w:val="00A45307"/>
    <w:rsid w:val="00A4538E"/>
    <w:rsid w:val="00A454AB"/>
    <w:rsid w:val="00A4551C"/>
    <w:rsid w:val="00A4556B"/>
    <w:rsid w:val="00A4564A"/>
    <w:rsid w:val="00A45806"/>
    <w:rsid w:val="00A45A44"/>
    <w:rsid w:val="00A45AEB"/>
    <w:rsid w:val="00A45B7B"/>
    <w:rsid w:val="00A45F5B"/>
    <w:rsid w:val="00A4654B"/>
    <w:rsid w:val="00A4655A"/>
    <w:rsid w:val="00A46657"/>
    <w:rsid w:val="00A46661"/>
    <w:rsid w:val="00A466C7"/>
    <w:rsid w:val="00A46A32"/>
    <w:rsid w:val="00A46D4F"/>
    <w:rsid w:val="00A46FA0"/>
    <w:rsid w:val="00A470CD"/>
    <w:rsid w:val="00A47111"/>
    <w:rsid w:val="00A471AE"/>
    <w:rsid w:val="00A47251"/>
    <w:rsid w:val="00A47293"/>
    <w:rsid w:val="00A474A8"/>
    <w:rsid w:val="00A47533"/>
    <w:rsid w:val="00A4775D"/>
    <w:rsid w:val="00A47896"/>
    <w:rsid w:val="00A478F7"/>
    <w:rsid w:val="00A479FE"/>
    <w:rsid w:val="00A47A37"/>
    <w:rsid w:val="00A47ADD"/>
    <w:rsid w:val="00A47C99"/>
    <w:rsid w:val="00A47EB8"/>
    <w:rsid w:val="00A47FE6"/>
    <w:rsid w:val="00A50027"/>
    <w:rsid w:val="00A5004B"/>
    <w:rsid w:val="00A50116"/>
    <w:rsid w:val="00A5011F"/>
    <w:rsid w:val="00A5035E"/>
    <w:rsid w:val="00A5058D"/>
    <w:rsid w:val="00A5063E"/>
    <w:rsid w:val="00A5074D"/>
    <w:rsid w:val="00A507F4"/>
    <w:rsid w:val="00A50886"/>
    <w:rsid w:val="00A50983"/>
    <w:rsid w:val="00A50CB5"/>
    <w:rsid w:val="00A50E69"/>
    <w:rsid w:val="00A50F4C"/>
    <w:rsid w:val="00A50F8C"/>
    <w:rsid w:val="00A51070"/>
    <w:rsid w:val="00A51196"/>
    <w:rsid w:val="00A5138D"/>
    <w:rsid w:val="00A51895"/>
    <w:rsid w:val="00A518D4"/>
    <w:rsid w:val="00A51A27"/>
    <w:rsid w:val="00A51A34"/>
    <w:rsid w:val="00A51AAE"/>
    <w:rsid w:val="00A51B29"/>
    <w:rsid w:val="00A51B2C"/>
    <w:rsid w:val="00A51FB5"/>
    <w:rsid w:val="00A5200D"/>
    <w:rsid w:val="00A52019"/>
    <w:rsid w:val="00A521FE"/>
    <w:rsid w:val="00A522F6"/>
    <w:rsid w:val="00A5231C"/>
    <w:rsid w:val="00A52486"/>
    <w:rsid w:val="00A5280A"/>
    <w:rsid w:val="00A529A5"/>
    <w:rsid w:val="00A52AC4"/>
    <w:rsid w:val="00A52C54"/>
    <w:rsid w:val="00A52CC0"/>
    <w:rsid w:val="00A52CC6"/>
    <w:rsid w:val="00A52D32"/>
    <w:rsid w:val="00A52F5B"/>
    <w:rsid w:val="00A52F87"/>
    <w:rsid w:val="00A531DC"/>
    <w:rsid w:val="00A5327C"/>
    <w:rsid w:val="00A53284"/>
    <w:rsid w:val="00A53286"/>
    <w:rsid w:val="00A535A1"/>
    <w:rsid w:val="00A5382F"/>
    <w:rsid w:val="00A53987"/>
    <w:rsid w:val="00A53AB5"/>
    <w:rsid w:val="00A53ABA"/>
    <w:rsid w:val="00A53BB3"/>
    <w:rsid w:val="00A53BBC"/>
    <w:rsid w:val="00A53CCA"/>
    <w:rsid w:val="00A53F3E"/>
    <w:rsid w:val="00A54042"/>
    <w:rsid w:val="00A540DC"/>
    <w:rsid w:val="00A542B5"/>
    <w:rsid w:val="00A54362"/>
    <w:rsid w:val="00A54394"/>
    <w:rsid w:val="00A54444"/>
    <w:rsid w:val="00A5448E"/>
    <w:rsid w:val="00A548DD"/>
    <w:rsid w:val="00A548FC"/>
    <w:rsid w:val="00A5492D"/>
    <w:rsid w:val="00A54C1C"/>
    <w:rsid w:val="00A54D76"/>
    <w:rsid w:val="00A54E23"/>
    <w:rsid w:val="00A54E8C"/>
    <w:rsid w:val="00A5505C"/>
    <w:rsid w:val="00A552ED"/>
    <w:rsid w:val="00A555EC"/>
    <w:rsid w:val="00A5565D"/>
    <w:rsid w:val="00A556BD"/>
    <w:rsid w:val="00A5581D"/>
    <w:rsid w:val="00A55A40"/>
    <w:rsid w:val="00A55A6B"/>
    <w:rsid w:val="00A55A93"/>
    <w:rsid w:val="00A55AF5"/>
    <w:rsid w:val="00A55AFA"/>
    <w:rsid w:val="00A55CB8"/>
    <w:rsid w:val="00A55E51"/>
    <w:rsid w:val="00A55EDE"/>
    <w:rsid w:val="00A55F6B"/>
    <w:rsid w:val="00A55FC7"/>
    <w:rsid w:val="00A561E8"/>
    <w:rsid w:val="00A564B0"/>
    <w:rsid w:val="00A565C4"/>
    <w:rsid w:val="00A565FC"/>
    <w:rsid w:val="00A5667E"/>
    <w:rsid w:val="00A56768"/>
    <w:rsid w:val="00A567A1"/>
    <w:rsid w:val="00A567C6"/>
    <w:rsid w:val="00A56806"/>
    <w:rsid w:val="00A56841"/>
    <w:rsid w:val="00A56987"/>
    <w:rsid w:val="00A56A99"/>
    <w:rsid w:val="00A56BA9"/>
    <w:rsid w:val="00A56BD0"/>
    <w:rsid w:val="00A56BE5"/>
    <w:rsid w:val="00A56DBE"/>
    <w:rsid w:val="00A56DC6"/>
    <w:rsid w:val="00A57155"/>
    <w:rsid w:val="00A57483"/>
    <w:rsid w:val="00A5767B"/>
    <w:rsid w:val="00A576A0"/>
    <w:rsid w:val="00A5786B"/>
    <w:rsid w:val="00A57898"/>
    <w:rsid w:val="00A578B4"/>
    <w:rsid w:val="00A57D81"/>
    <w:rsid w:val="00A57DF4"/>
    <w:rsid w:val="00A57EFD"/>
    <w:rsid w:val="00A600C0"/>
    <w:rsid w:val="00A600DE"/>
    <w:rsid w:val="00A60133"/>
    <w:rsid w:val="00A602AC"/>
    <w:rsid w:val="00A6030D"/>
    <w:rsid w:val="00A6035F"/>
    <w:rsid w:val="00A606CD"/>
    <w:rsid w:val="00A6075F"/>
    <w:rsid w:val="00A6076B"/>
    <w:rsid w:val="00A607CB"/>
    <w:rsid w:val="00A60850"/>
    <w:rsid w:val="00A60946"/>
    <w:rsid w:val="00A60A58"/>
    <w:rsid w:val="00A60B58"/>
    <w:rsid w:val="00A60DA8"/>
    <w:rsid w:val="00A60FC7"/>
    <w:rsid w:val="00A612A0"/>
    <w:rsid w:val="00A612A8"/>
    <w:rsid w:val="00A613FC"/>
    <w:rsid w:val="00A61405"/>
    <w:rsid w:val="00A614C9"/>
    <w:rsid w:val="00A614D3"/>
    <w:rsid w:val="00A617D2"/>
    <w:rsid w:val="00A617F9"/>
    <w:rsid w:val="00A61A77"/>
    <w:rsid w:val="00A61B3C"/>
    <w:rsid w:val="00A61B48"/>
    <w:rsid w:val="00A61C80"/>
    <w:rsid w:val="00A61D13"/>
    <w:rsid w:val="00A61D7F"/>
    <w:rsid w:val="00A61EEC"/>
    <w:rsid w:val="00A61F0E"/>
    <w:rsid w:val="00A622A5"/>
    <w:rsid w:val="00A62702"/>
    <w:rsid w:val="00A62809"/>
    <w:rsid w:val="00A6283C"/>
    <w:rsid w:val="00A6283E"/>
    <w:rsid w:val="00A628B0"/>
    <w:rsid w:val="00A6296B"/>
    <w:rsid w:val="00A629DA"/>
    <w:rsid w:val="00A62B60"/>
    <w:rsid w:val="00A62B61"/>
    <w:rsid w:val="00A62BA3"/>
    <w:rsid w:val="00A62CDB"/>
    <w:rsid w:val="00A62E44"/>
    <w:rsid w:val="00A62E63"/>
    <w:rsid w:val="00A63478"/>
    <w:rsid w:val="00A634B3"/>
    <w:rsid w:val="00A6357C"/>
    <w:rsid w:val="00A63625"/>
    <w:rsid w:val="00A636D4"/>
    <w:rsid w:val="00A6384C"/>
    <w:rsid w:val="00A63993"/>
    <w:rsid w:val="00A63AB5"/>
    <w:rsid w:val="00A63AB6"/>
    <w:rsid w:val="00A63B5E"/>
    <w:rsid w:val="00A63E13"/>
    <w:rsid w:val="00A63E18"/>
    <w:rsid w:val="00A63E32"/>
    <w:rsid w:val="00A63F43"/>
    <w:rsid w:val="00A63FCB"/>
    <w:rsid w:val="00A63FE0"/>
    <w:rsid w:val="00A640F6"/>
    <w:rsid w:val="00A64109"/>
    <w:rsid w:val="00A64268"/>
    <w:rsid w:val="00A64340"/>
    <w:rsid w:val="00A64496"/>
    <w:rsid w:val="00A64882"/>
    <w:rsid w:val="00A649BD"/>
    <w:rsid w:val="00A64A20"/>
    <w:rsid w:val="00A64D10"/>
    <w:rsid w:val="00A64E21"/>
    <w:rsid w:val="00A64E2F"/>
    <w:rsid w:val="00A65127"/>
    <w:rsid w:val="00A651F3"/>
    <w:rsid w:val="00A654A4"/>
    <w:rsid w:val="00A65739"/>
    <w:rsid w:val="00A657E8"/>
    <w:rsid w:val="00A65873"/>
    <w:rsid w:val="00A65889"/>
    <w:rsid w:val="00A65892"/>
    <w:rsid w:val="00A6593F"/>
    <w:rsid w:val="00A65944"/>
    <w:rsid w:val="00A65B64"/>
    <w:rsid w:val="00A65B68"/>
    <w:rsid w:val="00A65B96"/>
    <w:rsid w:val="00A65BDD"/>
    <w:rsid w:val="00A65D33"/>
    <w:rsid w:val="00A65DFB"/>
    <w:rsid w:val="00A65F71"/>
    <w:rsid w:val="00A6613D"/>
    <w:rsid w:val="00A66175"/>
    <w:rsid w:val="00A66205"/>
    <w:rsid w:val="00A66278"/>
    <w:rsid w:val="00A6648B"/>
    <w:rsid w:val="00A664B1"/>
    <w:rsid w:val="00A66581"/>
    <w:rsid w:val="00A666E3"/>
    <w:rsid w:val="00A6683A"/>
    <w:rsid w:val="00A668EE"/>
    <w:rsid w:val="00A66AB9"/>
    <w:rsid w:val="00A66B1B"/>
    <w:rsid w:val="00A66C8A"/>
    <w:rsid w:val="00A66E16"/>
    <w:rsid w:val="00A670EB"/>
    <w:rsid w:val="00A6739A"/>
    <w:rsid w:val="00A6744C"/>
    <w:rsid w:val="00A6793F"/>
    <w:rsid w:val="00A67964"/>
    <w:rsid w:val="00A679F6"/>
    <w:rsid w:val="00A67C75"/>
    <w:rsid w:val="00A67CA0"/>
    <w:rsid w:val="00A67DE6"/>
    <w:rsid w:val="00A67EF1"/>
    <w:rsid w:val="00A67F31"/>
    <w:rsid w:val="00A67F95"/>
    <w:rsid w:val="00A70076"/>
    <w:rsid w:val="00A701C3"/>
    <w:rsid w:val="00A70257"/>
    <w:rsid w:val="00A70385"/>
    <w:rsid w:val="00A7038F"/>
    <w:rsid w:val="00A705D6"/>
    <w:rsid w:val="00A708C7"/>
    <w:rsid w:val="00A70944"/>
    <w:rsid w:val="00A7094A"/>
    <w:rsid w:val="00A70C27"/>
    <w:rsid w:val="00A70E77"/>
    <w:rsid w:val="00A71180"/>
    <w:rsid w:val="00A71199"/>
    <w:rsid w:val="00A714D4"/>
    <w:rsid w:val="00A715B4"/>
    <w:rsid w:val="00A715C0"/>
    <w:rsid w:val="00A71631"/>
    <w:rsid w:val="00A71751"/>
    <w:rsid w:val="00A7179F"/>
    <w:rsid w:val="00A71829"/>
    <w:rsid w:val="00A7187F"/>
    <w:rsid w:val="00A718BF"/>
    <w:rsid w:val="00A7191A"/>
    <w:rsid w:val="00A71944"/>
    <w:rsid w:val="00A71A25"/>
    <w:rsid w:val="00A71E6F"/>
    <w:rsid w:val="00A71E7C"/>
    <w:rsid w:val="00A71E92"/>
    <w:rsid w:val="00A71F3D"/>
    <w:rsid w:val="00A7210E"/>
    <w:rsid w:val="00A72127"/>
    <w:rsid w:val="00A721BA"/>
    <w:rsid w:val="00A722B8"/>
    <w:rsid w:val="00A72320"/>
    <w:rsid w:val="00A72473"/>
    <w:rsid w:val="00A7253E"/>
    <w:rsid w:val="00A72671"/>
    <w:rsid w:val="00A72703"/>
    <w:rsid w:val="00A7284D"/>
    <w:rsid w:val="00A7288E"/>
    <w:rsid w:val="00A7289F"/>
    <w:rsid w:val="00A72BB9"/>
    <w:rsid w:val="00A72C35"/>
    <w:rsid w:val="00A72CDD"/>
    <w:rsid w:val="00A72F7C"/>
    <w:rsid w:val="00A731EC"/>
    <w:rsid w:val="00A732D5"/>
    <w:rsid w:val="00A734C2"/>
    <w:rsid w:val="00A73506"/>
    <w:rsid w:val="00A736C5"/>
    <w:rsid w:val="00A7377E"/>
    <w:rsid w:val="00A73868"/>
    <w:rsid w:val="00A73A46"/>
    <w:rsid w:val="00A73B56"/>
    <w:rsid w:val="00A73B73"/>
    <w:rsid w:val="00A73BC6"/>
    <w:rsid w:val="00A73C18"/>
    <w:rsid w:val="00A73DBE"/>
    <w:rsid w:val="00A73F05"/>
    <w:rsid w:val="00A74116"/>
    <w:rsid w:val="00A7418A"/>
    <w:rsid w:val="00A7444C"/>
    <w:rsid w:val="00A744C3"/>
    <w:rsid w:val="00A744F4"/>
    <w:rsid w:val="00A7454F"/>
    <w:rsid w:val="00A74750"/>
    <w:rsid w:val="00A7496C"/>
    <w:rsid w:val="00A74C3F"/>
    <w:rsid w:val="00A74CFA"/>
    <w:rsid w:val="00A74E10"/>
    <w:rsid w:val="00A74E60"/>
    <w:rsid w:val="00A74F6A"/>
    <w:rsid w:val="00A74F75"/>
    <w:rsid w:val="00A74FE2"/>
    <w:rsid w:val="00A7500F"/>
    <w:rsid w:val="00A751F8"/>
    <w:rsid w:val="00A75314"/>
    <w:rsid w:val="00A7535C"/>
    <w:rsid w:val="00A75392"/>
    <w:rsid w:val="00A75496"/>
    <w:rsid w:val="00A7568A"/>
    <w:rsid w:val="00A756C2"/>
    <w:rsid w:val="00A75964"/>
    <w:rsid w:val="00A75974"/>
    <w:rsid w:val="00A75ABB"/>
    <w:rsid w:val="00A75C0E"/>
    <w:rsid w:val="00A75C34"/>
    <w:rsid w:val="00A75CAE"/>
    <w:rsid w:val="00A75D94"/>
    <w:rsid w:val="00A75DCC"/>
    <w:rsid w:val="00A75F25"/>
    <w:rsid w:val="00A75FA1"/>
    <w:rsid w:val="00A7609B"/>
    <w:rsid w:val="00A760D4"/>
    <w:rsid w:val="00A7619E"/>
    <w:rsid w:val="00A7626F"/>
    <w:rsid w:val="00A762FE"/>
    <w:rsid w:val="00A76333"/>
    <w:rsid w:val="00A7651C"/>
    <w:rsid w:val="00A7659D"/>
    <w:rsid w:val="00A766D0"/>
    <w:rsid w:val="00A767BB"/>
    <w:rsid w:val="00A76807"/>
    <w:rsid w:val="00A7680D"/>
    <w:rsid w:val="00A76829"/>
    <w:rsid w:val="00A76845"/>
    <w:rsid w:val="00A7699F"/>
    <w:rsid w:val="00A76ADD"/>
    <w:rsid w:val="00A76BA2"/>
    <w:rsid w:val="00A76D0B"/>
    <w:rsid w:val="00A770B2"/>
    <w:rsid w:val="00A77190"/>
    <w:rsid w:val="00A771BB"/>
    <w:rsid w:val="00A77210"/>
    <w:rsid w:val="00A77379"/>
    <w:rsid w:val="00A773C7"/>
    <w:rsid w:val="00A77573"/>
    <w:rsid w:val="00A77579"/>
    <w:rsid w:val="00A7766A"/>
    <w:rsid w:val="00A7768A"/>
    <w:rsid w:val="00A776DD"/>
    <w:rsid w:val="00A776FC"/>
    <w:rsid w:val="00A77785"/>
    <w:rsid w:val="00A7786D"/>
    <w:rsid w:val="00A77BB4"/>
    <w:rsid w:val="00A77BCF"/>
    <w:rsid w:val="00A77C08"/>
    <w:rsid w:val="00A77D6D"/>
    <w:rsid w:val="00A80010"/>
    <w:rsid w:val="00A8002A"/>
    <w:rsid w:val="00A80045"/>
    <w:rsid w:val="00A80389"/>
    <w:rsid w:val="00A803D9"/>
    <w:rsid w:val="00A803DC"/>
    <w:rsid w:val="00A8046C"/>
    <w:rsid w:val="00A8052B"/>
    <w:rsid w:val="00A80694"/>
    <w:rsid w:val="00A806BE"/>
    <w:rsid w:val="00A80849"/>
    <w:rsid w:val="00A80888"/>
    <w:rsid w:val="00A8089A"/>
    <w:rsid w:val="00A80A75"/>
    <w:rsid w:val="00A80AB8"/>
    <w:rsid w:val="00A80B18"/>
    <w:rsid w:val="00A80BA2"/>
    <w:rsid w:val="00A80E0A"/>
    <w:rsid w:val="00A80E79"/>
    <w:rsid w:val="00A8133B"/>
    <w:rsid w:val="00A813AE"/>
    <w:rsid w:val="00A813C4"/>
    <w:rsid w:val="00A81877"/>
    <w:rsid w:val="00A818A4"/>
    <w:rsid w:val="00A81947"/>
    <w:rsid w:val="00A81985"/>
    <w:rsid w:val="00A81A51"/>
    <w:rsid w:val="00A81ABD"/>
    <w:rsid w:val="00A81D3A"/>
    <w:rsid w:val="00A81F1B"/>
    <w:rsid w:val="00A820A2"/>
    <w:rsid w:val="00A820E1"/>
    <w:rsid w:val="00A821A1"/>
    <w:rsid w:val="00A821AF"/>
    <w:rsid w:val="00A821EA"/>
    <w:rsid w:val="00A822A3"/>
    <w:rsid w:val="00A82437"/>
    <w:rsid w:val="00A82534"/>
    <w:rsid w:val="00A8254A"/>
    <w:rsid w:val="00A82677"/>
    <w:rsid w:val="00A8282C"/>
    <w:rsid w:val="00A82874"/>
    <w:rsid w:val="00A82927"/>
    <w:rsid w:val="00A82AFA"/>
    <w:rsid w:val="00A82B41"/>
    <w:rsid w:val="00A82B64"/>
    <w:rsid w:val="00A82C99"/>
    <w:rsid w:val="00A82CB9"/>
    <w:rsid w:val="00A82CF8"/>
    <w:rsid w:val="00A82D22"/>
    <w:rsid w:val="00A82D55"/>
    <w:rsid w:val="00A82DD2"/>
    <w:rsid w:val="00A82E8E"/>
    <w:rsid w:val="00A82FC1"/>
    <w:rsid w:val="00A831B2"/>
    <w:rsid w:val="00A83434"/>
    <w:rsid w:val="00A8377C"/>
    <w:rsid w:val="00A83887"/>
    <w:rsid w:val="00A83960"/>
    <w:rsid w:val="00A83A5B"/>
    <w:rsid w:val="00A83BC2"/>
    <w:rsid w:val="00A83C78"/>
    <w:rsid w:val="00A83C7D"/>
    <w:rsid w:val="00A83DD6"/>
    <w:rsid w:val="00A83EE0"/>
    <w:rsid w:val="00A843FE"/>
    <w:rsid w:val="00A8455D"/>
    <w:rsid w:val="00A84597"/>
    <w:rsid w:val="00A8459A"/>
    <w:rsid w:val="00A847EB"/>
    <w:rsid w:val="00A84896"/>
    <w:rsid w:val="00A8497E"/>
    <w:rsid w:val="00A84AAD"/>
    <w:rsid w:val="00A84AE0"/>
    <w:rsid w:val="00A84D80"/>
    <w:rsid w:val="00A84DAD"/>
    <w:rsid w:val="00A84E92"/>
    <w:rsid w:val="00A84EAA"/>
    <w:rsid w:val="00A84F81"/>
    <w:rsid w:val="00A851E3"/>
    <w:rsid w:val="00A85500"/>
    <w:rsid w:val="00A85756"/>
    <w:rsid w:val="00A8588D"/>
    <w:rsid w:val="00A858F4"/>
    <w:rsid w:val="00A8590D"/>
    <w:rsid w:val="00A859C0"/>
    <w:rsid w:val="00A859DF"/>
    <w:rsid w:val="00A85CF5"/>
    <w:rsid w:val="00A85FEB"/>
    <w:rsid w:val="00A8610C"/>
    <w:rsid w:val="00A86200"/>
    <w:rsid w:val="00A86257"/>
    <w:rsid w:val="00A8636F"/>
    <w:rsid w:val="00A86418"/>
    <w:rsid w:val="00A86477"/>
    <w:rsid w:val="00A86485"/>
    <w:rsid w:val="00A8671F"/>
    <w:rsid w:val="00A867E5"/>
    <w:rsid w:val="00A86804"/>
    <w:rsid w:val="00A868FE"/>
    <w:rsid w:val="00A86A42"/>
    <w:rsid w:val="00A86AEF"/>
    <w:rsid w:val="00A86AF8"/>
    <w:rsid w:val="00A86D4F"/>
    <w:rsid w:val="00A86DAF"/>
    <w:rsid w:val="00A86EB8"/>
    <w:rsid w:val="00A8721D"/>
    <w:rsid w:val="00A87237"/>
    <w:rsid w:val="00A87359"/>
    <w:rsid w:val="00A87552"/>
    <w:rsid w:val="00A87589"/>
    <w:rsid w:val="00A8787F"/>
    <w:rsid w:val="00A87A50"/>
    <w:rsid w:val="00A87ADE"/>
    <w:rsid w:val="00A87C0F"/>
    <w:rsid w:val="00A87CEB"/>
    <w:rsid w:val="00A87EE0"/>
    <w:rsid w:val="00A87F80"/>
    <w:rsid w:val="00A900AC"/>
    <w:rsid w:val="00A901A8"/>
    <w:rsid w:val="00A901AB"/>
    <w:rsid w:val="00A901F5"/>
    <w:rsid w:val="00A9027B"/>
    <w:rsid w:val="00A9033C"/>
    <w:rsid w:val="00A90366"/>
    <w:rsid w:val="00A903BF"/>
    <w:rsid w:val="00A903F4"/>
    <w:rsid w:val="00A903F8"/>
    <w:rsid w:val="00A903F9"/>
    <w:rsid w:val="00A9055A"/>
    <w:rsid w:val="00A906E7"/>
    <w:rsid w:val="00A907B9"/>
    <w:rsid w:val="00A908B5"/>
    <w:rsid w:val="00A909F9"/>
    <w:rsid w:val="00A90A38"/>
    <w:rsid w:val="00A90B7A"/>
    <w:rsid w:val="00A90C81"/>
    <w:rsid w:val="00A90CDA"/>
    <w:rsid w:val="00A90DA2"/>
    <w:rsid w:val="00A90EEC"/>
    <w:rsid w:val="00A90FF1"/>
    <w:rsid w:val="00A91126"/>
    <w:rsid w:val="00A9119A"/>
    <w:rsid w:val="00A9119E"/>
    <w:rsid w:val="00A91513"/>
    <w:rsid w:val="00A916A5"/>
    <w:rsid w:val="00A9176C"/>
    <w:rsid w:val="00A91AB1"/>
    <w:rsid w:val="00A91AC7"/>
    <w:rsid w:val="00A91B6B"/>
    <w:rsid w:val="00A91EB4"/>
    <w:rsid w:val="00A92148"/>
    <w:rsid w:val="00A92173"/>
    <w:rsid w:val="00A9224E"/>
    <w:rsid w:val="00A923B3"/>
    <w:rsid w:val="00A923B8"/>
    <w:rsid w:val="00A923FA"/>
    <w:rsid w:val="00A925D3"/>
    <w:rsid w:val="00A92795"/>
    <w:rsid w:val="00A927A6"/>
    <w:rsid w:val="00A927B2"/>
    <w:rsid w:val="00A928C4"/>
    <w:rsid w:val="00A92B38"/>
    <w:rsid w:val="00A92B6E"/>
    <w:rsid w:val="00A92C08"/>
    <w:rsid w:val="00A92C54"/>
    <w:rsid w:val="00A92E17"/>
    <w:rsid w:val="00A930C5"/>
    <w:rsid w:val="00A9314C"/>
    <w:rsid w:val="00A9315A"/>
    <w:rsid w:val="00A93165"/>
    <w:rsid w:val="00A932CA"/>
    <w:rsid w:val="00A93346"/>
    <w:rsid w:val="00A9345B"/>
    <w:rsid w:val="00A93555"/>
    <w:rsid w:val="00A9371A"/>
    <w:rsid w:val="00A939E0"/>
    <w:rsid w:val="00A93B4A"/>
    <w:rsid w:val="00A93B70"/>
    <w:rsid w:val="00A93BB0"/>
    <w:rsid w:val="00A93E5F"/>
    <w:rsid w:val="00A93F17"/>
    <w:rsid w:val="00A9403A"/>
    <w:rsid w:val="00A94068"/>
    <w:rsid w:val="00A94072"/>
    <w:rsid w:val="00A94202"/>
    <w:rsid w:val="00A9451C"/>
    <w:rsid w:val="00A945F2"/>
    <w:rsid w:val="00A9460D"/>
    <w:rsid w:val="00A9488A"/>
    <w:rsid w:val="00A949B2"/>
    <w:rsid w:val="00A94AA3"/>
    <w:rsid w:val="00A94B50"/>
    <w:rsid w:val="00A94F7F"/>
    <w:rsid w:val="00A950FB"/>
    <w:rsid w:val="00A95195"/>
    <w:rsid w:val="00A9540B"/>
    <w:rsid w:val="00A95756"/>
    <w:rsid w:val="00A9586B"/>
    <w:rsid w:val="00A958AF"/>
    <w:rsid w:val="00A95926"/>
    <w:rsid w:val="00A95955"/>
    <w:rsid w:val="00A959E7"/>
    <w:rsid w:val="00A95A7B"/>
    <w:rsid w:val="00A95BE8"/>
    <w:rsid w:val="00A95C8D"/>
    <w:rsid w:val="00A95F04"/>
    <w:rsid w:val="00A95F53"/>
    <w:rsid w:val="00A95FC0"/>
    <w:rsid w:val="00A96117"/>
    <w:rsid w:val="00A961FE"/>
    <w:rsid w:val="00A967CC"/>
    <w:rsid w:val="00A96866"/>
    <w:rsid w:val="00A96B82"/>
    <w:rsid w:val="00A96E1F"/>
    <w:rsid w:val="00A96FAA"/>
    <w:rsid w:val="00A9700C"/>
    <w:rsid w:val="00A970C5"/>
    <w:rsid w:val="00A971CA"/>
    <w:rsid w:val="00A972CE"/>
    <w:rsid w:val="00A97326"/>
    <w:rsid w:val="00A973B0"/>
    <w:rsid w:val="00A97664"/>
    <w:rsid w:val="00A977AB"/>
    <w:rsid w:val="00A9793D"/>
    <w:rsid w:val="00A97A33"/>
    <w:rsid w:val="00A97BD0"/>
    <w:rsid w:val="00A97BF8"/>
    <w:rsid w:val="00A97BFA"/>
    <w:rsid w:val="00A97D14"/>
    <w:rsid w:val="00A97E2A"/>
    <w:rsid w:val="00A97E31"/>
    <w:rsid w:val="00A97E64"/>
    <w:rsid w:val="00A97E88"/>
    <w:rsid w:val="00A97EF0"/>
    <w:rsid w:val="00AA03BF"/>
    <w:rsid w:val="00AA05EB"/>
    <w:rsid w:val="00AA061A"/>
    <w:rsid w:val="00AA0794"/>
    <w:rsid w:val="00AA0803"/>
    <w:rsid w:val="00AA0811"/>
    <w:rsid w:val="00AA08F4"/>
    <w:rsid w:val="00AA09B1"/>
    <w:rsid w:val="00AA0A25"/>
    <w:rsid w:val="00AA0ADB"/>
    <w:rsid w:val="00AA0C10"/>
    <w:rsid w:val="00AA0E14"/>
    <w:rsid w:val="00AA0F72"/>
    <w:rsid w:val="00AA108E"/>
    <w:rsid w:val="00AA1182"/>
    <w:rsid w:val="00AA11D4"/>
    <w:rsid w:val="00AA1252"/>
    <w:rsid w:val="00AA130C"/>
    <w:rsid w:val="00AA13B1"/>
    <w:rsid w:val="00AA15E3"/>
    <w:rsid w:val="00AA15F9"/>
    <w:rsid w:val="00AA17C0"/>
    <w:rsid w:val="00AA19C3"/>
    <w:rsid w:val="00AA1A86"/>
    <w:rsid w:val="00AA1BF7"/>
    <w:rsid w:val="00AA1C10"/>
    <w:rsid w:val="00AA1DAE"/>
    <w:rsid w:val="00AA1ECC"/>
    <w:rsid w:val="00AA1F92"/>
    <w:rsid w:val="00AA2076"/>
    <w:rsid w:val="00AA2277"/>
    <w:rsid w:val="00AA22D8"/>
    <w:rsid w:val="00AA2549"/>
    <w:rsid w:val="00AA254E"/>
    <w:rsid w:val="00AA280D"/>
    <w:rsid w:val="00AA29E7"/>
    <w:rsid w:val="00AA2B08"/>
    <w:rsid w:val="00AA2B36"/>
    <w:rsid w:val="00AA2DB7"/>
    <w:rsid w:val="00AA2DD4"/>
    <w:rsid w:val="00AA2ECE"/>
    <w:rsid w:val="00AA2FDD"/>
    <w:rsid w:val="00AA2FE2"/>
    <w:rsid w:val="00AA34A7"/>
    <w:rsid w:val="00AA34D9"/>
    <w:rsid w:val="00AA35DE"/>
    <w:rsid w:val="00AA360D"/>
    <w:rsid w:val="00AA3617"/>
    <w:rsid w:val="00AA3948"/>
    <w:rsid w:val="00AA3A0E"/>
    <w:rsid w:val="00AA3C2F"/>
    <w:rsid w:val="00AA3D3A"/>
    <w:rsid w:val="00AA40D7"/>
    <w:rsid w:val="00AA42A5"/>
    <w:rsid w:val="00AA4387"/>
    <w:rsid w:val="00AA4475"/>
    <w:rsid w:val="00AA46C5"/>
    <w:rsid w:val="00AA4719"/>
    <w:rsid w:val="00AA4734"/>
    <w:rsid w:val="00AA476E"/>
    <w:rsid w:val="00AA48ED"/>
    <w:rsid w:val="00AA4AC1"/>
    <w:rsid w:val="00AA4B05"/>
    <w:rsid w:val="00AA4CEF"/>
    <w:rsid w:val="00AA4FD4"/>
    <w:rsid w:val="00AA5033"/>
    <w:rsid w:val="00AA5083"/>
    <w:rsid w:val="00AA53E0"/>
    <w:rsid w:val="00AA54F5"/>
    <w:rsid w:val="00AA54FA"/>
    <w:rsid w:val="00AA557E"/>
    <w:rsid w:val="00AA55A1"/>
    <w:rsid w:val="00AA56F5"/>
    <w:rsid w:val="00AA5865"/>
    <w:rsid w:val="00AA58E7"/>
    <w:rsid w:val="00AA5A8D"/>
    <w:rsid w:val="00AA5BF7"/>
    <w:rsid w:val="00AA5D7E"/>
    <w:rsid w:val="00AA5DCE"/>
    <w:rsid w:val="00AA5ECB"/>
    <w:rsid w:val="00AA5F75"/>
    <w:rsid w:val="00AA603E"/>
    <w:rsid w:val="00AA610D"/>
    <w:rsid w:val="00AA62D5"/>
    <w:rsid w:val="00AA64E3"/>
    <w:rsid w:val="00AA650E"/>
    <w:rsid w:val="00AA6534"/>
    <w:rsid w:val="00AA6577"/>
    <w:rsid w:val="00AA66E6"/>
    <w:rsid w:val="00AA6987"/>
    <w:rsid w:val="00AA6A02"/>
    <w:rsid w:val="00AA6ACD"/>
    <w:rsid w:val="00AA6C61"/>
    <w:rsid w:val="00AA6F3B"/>
    <w:rsid w:val="00AA6FBD"/>
    <w:rsid w:val="00AA7234"/>
    <w:rsid w:val="00AA7445"/>
    <w:rsid w:val="00AA744E"/>
    <w:rsid w:val="00AA74FD"/>
    <w:rsid w:val="00AA7530"/>
    <w:rsid w:val="00AA7562"/>
    <w:rsid w:val="00AA75DA"/>
    <w:rsid w:val="00AA77BA"/>
    <w:rsid w:val="00AA78AE"/>
    <w:rsid w:val="00AA78FF"/>
    <w:rsid w:val="00AA79BE"/>
    <w:rsid w:val="00AA79F2"/>
    <w:rsid w:val="00AA7AC8"/>
    <w:rsid w:val="00AA7DD1"/>
    <w:rsid w:val="00AA7DF3"/>
    <w:rsid w:val="00AA7E51"/>
    <w:rsid w:val="00AA7ED9"/>
    <w:rsid w:val="00AA7FF9"/>
    <w:rsid w:val="00AB009C"/>
    <w:rsid w:val="00AB00D4"/>
    <w:rsid w:val="00AB0243"/>
    <w:rsid w:val="00AB0372"/>
    <w:rsid w:val="00AB04B5"/>
    <w:rsid w:val="00AB054B"/>
    <w:rsid w:val="00AB07BD"/>
    <w:rsid w:val="00AB07C2"/>
    <w:rsid w:val="00AB08A4"/>
    <w:rsid w:val="00AB08D3"/>
    <w:rsid w:val="00AB09F8"/>
    <w:rsid w:val="00AB0B76"/>
    <w:rsid w:val="00AB0E25"/>
    <w:rsid w:val="00AB0E4C"/>
    <w:rsid w:val="00AB0E9A"/>
    <w:rsid w:val="00AB0F44"/>
    <w:rsid w:val="00AB0FB8"/>
    <w:rsid w:val="00AB11C5"/>
    <w:rsid w:val="00AB12F8"/>
    <w:rsid w:val="00AB132B"/>
    <w:rsid w:val="00AB132F"/>
    <w:rsid w:val="00AB148A"/>
    <w:rsid w:val="00AB1520"/>
    <w:rsid w:val="00AB16B8"/>
    <w:rsid w:val="00AB16C4"/>
    <w:rsid w:val="00AB1712"/>
    <w:rsid w:val="00AB19E6"/>
    <w:rsid w:val="00AB1AF2"/>
    <w:rsid w:val="00AB1B42"/>
    <w:rsid w:val="00AB1CC6"/>
    <w:rsid w:val="00AB1E2C"/>
    <w:rsid w:val="00AB1ED7"/>
    <w:rsid w:val="00AB2186"/>
    <w:rsid w:val="00AB2219"/>
    <w:rsid w:val="00AB22E3"/>
    <w:rsid w:val="00AB23DD"/>
    <w:rsid w:val="00AB2619"/>
    <w:rsid w:val="00AB28A1"/>
    <w:rsid w:val="00AB28AA"/>
    <w:rsid w:val="00AB2928"/>
    <w:rsid w:val="00AB2B33"/>
    <w:rsid w:val="00AB2BE3"/>
    <w:rsid w:val="00AB2C12"/>
    <w:rsid w:val="00AB2D2A"/>
    <w:rsid w:val="00AB2DF7"/>
    <w:rsid w:val="00AB2E5D"/>
    <w:rsid w:val="00AB2E81"/>
    <w:rsid w:val="00AB2EFD"/>
    <w:rsid w:val="00AB3328"/>
    <w:rsid w:val="00AB340F"/>
    <w:rsid w:val="00AB3424"/>
    <w:rsid w:val="00AB3534"/>
    <w:rsid w:val="00AB359D"/>
    <w:rsid w:val="00AB36FD"/>
    <w:rsid w:val="00AB3821"/>
    <w:rsid w:val="00AB3856"/>
    <w:rsid w:val="00AB3926"/>
    <w:rsid w:val="00AB3944"/>
    <w:rsid w:val="00AB39C7"/>
    <w:rsid w:val="00AB3A5A"/>
    <w:rsid w:val="00AB3B5F"/>
    <w:rsid w:val="00AB3BD5"/>
    <w:rsid w:val="00AB3C0B"/>
    <w:rsid w:val="00AB3C84"/>
    <w:rsid w:val="00AB3C8D"/>
    <w:rsid w:val="00AB3E2F"/>
    <w:rsid w:val="00AB40CA"/>
    <w:rsid w:val="00AB4110"/>
    <w:rsid w:val="00AB4125"/>
    <w:rsid w:val="00AB433C"/>
    <w:rsid w:val="00AB4345"/>
    <w:rsid w:val="00AB4433"/>
    <w:rsid w:val="00AB4659"/>
    <w:rsid w:val="00AB4772"/>
    <w:rsid w:val="00AB47E2"/>
    <w:rsid w:val="00AB47FB"/>
    <w:rsid w:val="00AB488F"/>
    <w:rsid w:val="00AB49C8"/>
    <w:rsid w:val="00AB4A91"/>
    <w:rsid w:val="00AB4CC8"/>
    <w:rsid w:val="00AB4D2D"/>
    <w:rsid w:val="00AB4E27"/>
    <w:rsid w:val="00AB4EA5"/>
    <w:rsid w:val="00AB500A"/>
    <w:rsid w:val="00AB503A"/>
    <w:rsid w:val="00AB5125"/>
    <w:rsid w:val="00AB518A"/>
    <w:rsid w:val="00AB533B"/>
    <w:rsid w:val="00AB5673"/>
    <w:rsid w:val="00AB5730"/>
    <w:rsid w:val="00AB5789"/>
    <w:rsid w:val="00AB59DE"/>
    <w:rsid w:val="00AB5B14"/>
    <w:rsid w:val="00AB5D19"/>
    <w:rsid w:val="00AB5E92"/>
    <w:rsid w:val="00AB60C8"/>
    <w:rsid w:val="00AB6373"/>
    <w:rsid w:val="00AB63D3"/>
    <w:rsid w:val="00AB6554"/>
    <w:rsid w:val="00AB65D3"/>
    <w:rsid w:val="00AB6CB6"/>
    <w:rsid w:val="00AB6CC1"/>
    <w:rsid w:val="00AB6DE5"/>
    <w:rsid w:val="00AB6E30"/>
    <w:rsid w:val="00AB6EB6"/>
    <w:rsid w:val="00AB6F67"/>
    <w:rsid w:val="00AB7101"/>
    <w:rsid w:val="00AB71AC"/>
    <w:rsid w:val="00AB71D9"/>
    <w:rsid w:val="00AB72C3"/>
    <w:rsid w:val="00AB7369"/>
    <w:rsid w:val="00AB7429"/>
    <w:rsid w:val="00AB760B"/>
    <w:rsid w:val="00AB762A"/>
    <w:rsid w:val="00AB798C"/>
    <w:rsid w:val="00AB7AF3"/>
    <w:rsid w:val="00AB7B5A"/>
    <w:rsid w:val="00AB7B96"/>
    <w:rsid w:val="00AB7BB8"/>
    <w:rsid w:val="00AB7CDB"/>
    <w:rsid w:val="00AB7F15"/>
    <w:rsid w:val="00AC00DB"/>
    <w:rsid w:val="00AC020C"/>
    <w:rsid w:val="00AC027E"/>
    <w:rsid w:val="00AC0378"/>
    <w:rsid w:val="00AC037A"/>
    <w:rsid w:val="00AC040B"/>
    <w:rsid w:val="00AC060A"/>
    <w:rsid w:val="00AC06D7"/>
    <w:rsid w:val="00AC072F"/>
    <w:rsid w:val="00AC076D"/>
    <w:rsid w:val="00AC08E2"/>
    <w:rsid w:val="00AC08E5"/>
    <w:rsid w:val="00AC0950"/>
    <w:rsid w:val="00AC0A64"/>
    <w:rsid w:val="00AC0A87"/>
    <w:rsid w:val="00AC0ABB"/>
    <w:rsid w:val="00AC0B8A"/>
    <w:rsid w:val="00AC0FC9"/>
    <w:rsid w:val="00AC11DD"/>
    <w:rsid w:val="00AC1504"/>
    <w:rsid w:val="00AC150C"/>
    <w:rsid w:val="00AC1589"/>
    <w:rsid w:val="00AC16DA"/>
    <w:rsid w:val="00AC1790"/>
    <w:rsid w:val="00AC17C9"/>
    <w:rsid w:val="00AC17E5"/>
    <w:rsid w:val="00AC1A47"/>
    <w:rsid w:val="00AC1E93"/>
    <w:rsid w:val="00AC214D"/>
    <w:rsid w:val="00AC23C8"/>
    <w:rsid w:val="00AC240C"/>
    <w:rsid w:val="00AC278B"/>
    <w:rsid w:val="00AC29A3"/>
    <w:rsid w:val="00AC29E6"/>
    <w:rsid w:val="00AC2A18"/>
    <w:rsid w:val="00AC2A5A"/>
    <w:rsid w:val="00AC2A7E"/>
    <w:rsid w:val="00AC2C84"/>
    <w:rsid w:val="00AC2CB7"/>
    <w:rsid w:val="00AC2D6C"/>
    <w:rsid w:val="00AC2DB9"/>
    <w:rsid w:val="00AC2F8F"/>
    <w:rsid w:val="00AC3A9D"/>
    <w:rsid w:val="00AC3B40"/>
    <w:rsid w:val="00AC3D3C"/>
    <w:rsid w:val="00AC3D6F"/>
    <w:rsid w:val="00AC3EF1"/>
    <w:rsid w:val="00AC3F64"/>
    <w:rsid w:val="00AC40A2"/>
    <w:rsid w:val="00AC422A"/>
    <w:rsid w:val="00AC4248"/>
    <w:rsid w:val="00AC424B"/>
    <w:rsid w:val="00AC425E"/>
    <w:rsid w:val="00AC4497"/>
    <w:rsid w:val="00AC44A7"/>
    <w:rsid w:val="00AC46FB"/>
    <w:rsid w:val="00AC481A"/>
    <w:rsid w:val="00AC4846"/>
    <w:rsid w:val="00AC4A30"/>
    <w:rsid w:val="00AC4ABC"/>
    <w:rsid w:val="00AC4AFE"/>
    <w:rsid w:val="00AC4BAA"/>
    <w:rsid w:val="00AC4BF1"/>
    <w:rsid w:val="00AC4DB2"/>
    <w:rsid w:val="00AC4ECD"/>
    <w:rsid w:val="00AC4FE5"/>
    <w:rsid w:val="00AC5063"/>
    <w:rsid w:val="00AC50A6"/>
    <w:rsid w:val="00AC5274"/>
    <w:rsid w:val="00AC5380"/>
    <w:rsid w:val="00AC5385"/>
    <w:rsid w:val="00AC53A4"/>
    <w:rsid w:val="00AC5521"/>
    <w:rsid w:val="00AC56E8"/>
    <w:rsid w:val="00AC5800"/>
    <w:rsid w:val="00AC5B02"/>
    <w:rsid w:val="00AC5B64"/>
    <w:rsid w:val="00AC5D5F"/>
    <w:rsid w:val="00AC5D90"/>
    <w:rsid w:val="00AC5DF7"/>
    <w:rsid w:val="00AC5EA9"/>
    <w:rsid w:val="00AC6074"/>
    <w:rsid w:val="00AC6171"/>
    <w:rsid w:val="00AC61E6"/>
    <w:rsid w:val="00AC6210"/>
    <w:rsid w:val="00AC6301"/>
    <w:rsid w:val="00AC632D"/>
    <w:rsid w:val="00AC637C"/>
    <w:rsid w:val="00AC6425"/>
    <w:rsid w:val="00AC6499"/>
    <w:rsid w:val="00AC6584"/>
    <w:rsid w:val="00AC6717"/>
    <w:rsid w:val="00AC6753"/>
    <w:rsid w:val="00AC6786"/>
    <w:rsid w:val="00AC6BD7"/>
    <w:rsid w:val="00AC6DC3"/>
    <w:rsid w:val="00AC6E43"/>
    <w:rsid w:val="00AC6FA7"/>
    <w:rsid w:val="00AC6FC1"/>
    <w:rsid w:val="00AC720E"/>
    <w:rsid w:val="00AC7216"/>
    <w:rsid w:val="00AC727C"/>
    <w:rsid w:val="00AC730C"/>
    <w:rsid w:val="00AC7682"/>
    <w:rsid w:val="00AC7830"/>
    <w:rsid w:val="00AC799E"/>
    <w:rsid w:val="00AC79A6"/>
    <w:rsid w:val="00AC7A6C"/>
    <w:rsid w:val="00AC7A99"/>
    <w:rsid w:val="00AC7AB0"/>
    <w:rsid w:val="00AC7CA8"/>
    <w:rsid w:val="00AD0270"/>
    <w:rsid w:val="00AD0353"/>
    <w:rsid w:val="00AD0390"/>
    <w:rsid w:val="00AD066A"/>
    <w:rsid w:val="00AD0876"/>
    <w:rsid w:val="00AD088D"/>
    <w:rsid w:val="00AD09C7"/>
    <w:rsid w:val="00AD0A31"/>
    <w:rsid w:val="00AD0BC6"/>
    <w:rsid w:val="00AD0F03"/>
    <w:rsid w:val="00AD1013"/>
    <w:rsid w:val="00AD1253"/>
    <w:rsid w:val="00AD13B2"/>
    <w:rsid w:val="00AD150B"/>
    <w:rsid w:val="00AD1660"/>
    <w:rsid w:val="00AD179A"/>
    <w:rsid w:val="00AD181D"/>
    <w:rsid w:val="00AD18C2"/>
    <w:rsid w:val="00AD1905"/>
    <w:rsid w:val="00AD1907"/>
    <w:rsid w:val="00AD1A26"/>
    <w:rsid w:val="00AD1A87"/>
    <w:rsid w:val="00AD1AA9"/>
    <w:rsid w:val="00AD1B01"/>
    <w:rsid w:val="00AD1C2C"/>
    <w:rsid w:val="00AD1D7D"/>
    <w:rsid w:val="00AD1DAB"/>
    <w:rsid w:val="00AD1E8A"/>
    <w:rsid w:val="00AD1E9D"/>
    <w:rsid w:val="00AD1EF0"/>
    <w:rsid w:val="00AD1F96"/>
    <w:rsid w:val="00AD20E6"/>
    <w:rsid w:val="00AD2152"/>
    <w:rsid w:val="00AD2308"/>
    <w:rsid w:val="00AD233B"/>
    <w:rsid w:val="00AD23F5"/>
    <w:rsid w:val="00AD2440"/>
    <w:rsid w:val="00AD2584"/>
    <w:rsid w:val="00AD2647"/>
    <w:rsid w:val="00AD27B0"/>
    <w:rsid w:val="00AD27B4"/>
    <w:rsid w:val="00AD2A27"/>
    <w:rsid w:val="00AD2A69"/>
    <w:rsid w:val="00AD2D55"/>
    <w:rsid w:val="00AD2D96"/>
    <w:rsid w:val="00AD2E0C"/>
    <w:rsid w:val="00AD2E51"/>
    <w:rsid w:val="00AD2FC8"/>
    <w:rsid w:val="00AD31B2"/>
    <w:rsid w:val="00AD323D"/>
    <w:rsid w:val="00AD32B4"/>
    <w:rsid w:val="00AD32D5"/>
    <w:rsid w:val="00AD34FF"/>
    <w:rsid w:val="00AD3522"/>
    <w:rsid w:val="00AD358D"/>
    <w:rsid w:val="00AD35CC"/>
    <w:rsid w:val="00AD36D8"/>
    <w:rsid w:val="00AD3779"/>
    <w:rsid w:val="00AD3AA5"/>
    <w:rsid w:val="00AD3CBA"/>
    <w:rsid w:val="00AD3CDB"/>
    <w:rsid w:val="00AD3CF7"/>
    <w:rsid w:val="00AD3D67"/>
    <w:rsid w:val="00AD3E94"/>
    <w:rsid w:val="00AD3E9D"/>
    <w:rsid w:val="00AD4196"/>
    <w:rsid w:val="00AD433E"/>
    <w:rsid w:val="00AD43DF"/>
    <w:rsid w:val="00AD43EE"/>
    <w:rsid w:val="00AD446A"/>
    <w:rsid w:val="00AD45CA"/>
    <w:rsid w:val="00AD46C4"/>
    <w:rsid w:val="00AD46D2"/>
    <w:rsid w:val="00AD46F2"/>
    <w:rsid w:val="00AD4706"/>
    <w:rsid w:val="00AD4900"/>
    <w:rsid w:val="00AD4D39"/>
    <w:rsid w:val="00AD509E"/>
    <w:rsid w:val="00AD51D7"/>
    <w:rsid w:val="00AD51E1"/>
    <w:rsid w:val="00AD51E5"/>
    <w:rsid w:val="00AD5226"/>
    <w:rsid w:val="00AD52F9"/>
    <w:rsid w:val="00AD5379"/>
    <w:rsid w:val="00AD53F0"/>
    <w:rsid w:val="00AD55D8"/>
    <w:rsid w:val="00AD56E3"/>
    <w:rsid w:val="00AD59FD"/>
    <w:rsid w:val="00AD5A1F"/>
    <w:rsid w:val="00AD5BE5"/>
    <w:rsid w:val="00AD5C04"/>
    <w:rsid w:val="00AD5F35"/>
    <w:rsid w:val="00AD60EF"/>
    <w:rsid w:val="00AD6175"/>
    <w:rsid w:val="00AD6221"/>
    <w:rsid w:val="00AD6411"/>
    <w:rsid w:val="00AD64CA"/>
    <w:rsid w:val="00AD6537"/>
    <w:rsid w:val="00AD6607"/>
    <w:rsid w:val="00AD660D"/>
    <w:rsid w:val="00AD677F"/>
    <w:rsid w:val="00AD6801"/>
    <w:rsid w:val="00AD6A51"/>
    <w:rsid w:val="00AD6B24"/>
    <w:rsid w:val="00AD6B70"/>
    <w:rsid w:val="00AD6B71"/>
    <w:rsid w:val="00AD6B9F"/>
    <w:rsid w:val="00AD6D63"/>
    <w:rsid w:val="00AD704A"/>
    <w:rsid w:val="00AD706B"/>
    <w:rsid w:val="00AD71EE"/>
    <w:rsid w:val="00AD730C"/>
    <w:rsid w:val="00AD763E"/>
    <w:rsid w:val="00AD76DE"/>
    <w:rsid w:val="00AD772B"/>
    <w:rsid w:val="00AD7741"/>
    <w:rsid w:val="00AD781F"/>
    <w:rsid w:val="00AD7A41"/>
    <w:rsid w:val="00AD7C4C"/>
    <w:rsid w:val="00AD7C60"/>
    <w:rsid w:val="00AE0029"/>
    <w:rsid w:val="00AE0050"/>
    <w:rsid w:val="00AE0084"/>
    <w:rsid w:val="00AE0199"/>
    <w:rsid w:val="00AE01C7"/>
    <w:rsid w:val="00AE0442"/>
    <w:rsid w:val="00AE0487"/>
    <w:rsid w:val="00AE054C"/>
    <w:rsid w:val="00AE05AC"/>
    <w:rsid w:val="00AE06AF"/>
    <w:rsid w:val="00AE06ED"/>
    <w:rsid w:val="00AE070A"/>
    <w:rsid w:val="00AE07F8"/>
    <w:rsid w:val="00AE0838"/>
    <w:rsid w:val="00AE0998"/>
    <w:rsid w:val="00AE0DB3"/>
    <w:rsid w:val="00AE0E0D"/>
    <w:rsid w:val="00AE0FAC"/>
    <w:rsid w:val="00AE0FB3"/>
    <w:rsid w:val="00AE11D0"/>
    <w:rsid w:val="00AE120B"/>
    <w:rsid w:val="00AE133A"/>
    <w:rsid w:val="00AE160B"/>
    <w:rsid w:val="00AE162E"/>
    <w:rsid w:val="00AE17C1"/>
    <w:rsid w:val="00AE1941"/>
    <w:rsid w:val="00AE1BE8"/>
    <w:rsid w:val="00AE1C0F"/>
    <w:rsid w:val="00AE1CBE"/>
    <w:rsid w:val="00AE1CDF"/>
    <w:rsid w:val="00AE1D1A"/>
    <w:rsid w:val="00AE1D78"/>
    <w:rsid w:val="00AE1DBE"/>
    <w:rsid w:val="00AE1EB3"/>
    <w:rsid w:val="00AE20FC"/>
    <w:rsid w:val="00AE2104"/>
    <w:rsid w:val="00AE21EC"/>
    <w:rsid w:val="00AE226B"/>
    <w:rsid w:val="00AE2278"/>
    <w:rsid w:val="00AE2295"/>
    <w:rsid w:val="00AE2329"/>
    <w:rsid w:val="00AE2346"/>
    <w:rsid w:val="00AE2582"/>
    <w:rsid w:val="00AE2606"/>
    <w:rsid w:val="00AE2618"/>
    <w:rsid w:val="00AE2918"/>
    <w:rsid w:val="00AE2A85"/>
    <w:rsid w:val="00AE2BB8"/>
    <w:rsid w:val="00AE2D30"/>
    <w:rsid w:val="00AE2F86"/>
    <w:rsid w:val="00AE310D"/>
    <w:rsid w:val="00AE3173"/>
    <w:rsid w:val="00AE3267"/>
    <w:rsid w:val="00AE3354"/>
    <w:rsid w:val="00AE3476"/>
    <w:rsid w:val="00AE3534"/>
    <w:rsid w:val="00AE3774"/>
    <w:rsid w:val="00AE37A6"/>
    <w:rsid w:val="00AE3CA0"/>
    <w:rsid w:val="00AE3E73"/>
    <w:rsid w:val="00AE3EC6"/>
    <w:rsid w:val="00AE3EF5"/>
    <w:rsid w:val="00AE40E1"/>
    <w:rsid w:val="00AE4283"/>
    <w:rsid w:val="00AE42EB"/>
    <w:rsid w:val="00AE4312"/>
    <w:rsid w:val="00AE4318"/>
    <w:rsid w:val="00AE4383"/>
    <w:rsid w:val="00AE460B"/>
    <w:rsid w:val="00AE4633"/>
    <w:rsid w:val="00AE480F"/>
    <w:rsid w:val="00AE4947"/>
    <w:rsid w:val="00AE4952"/>
    <w:rsid w:val="00AE4BAB"/>
    <w:rsid w:val="00AE4C37"/>
    <w:rsid w:val="00AE4CE5"/>
    <w:rsid w:val="00AE4E07"/>
    <w:rsid w:val="00AE4F18"/>
    <w:rsid w:val="00AE4F3C"/>
    <w:rsid w:val="00AE4F8E"/>
    <w:rsid w:val="00AE4F94"/>
    <w:rsid w:val="00AE4FB4"/>
    <w:rsid w:val="00AE509E"/>
    <w:rsid w:val="00AE5228"/>
    <w:rsid w:val="00AE5290"/>
    <w:rsid w:val="00AE535E"/>
    <w:rsid w:val="00AE557E"/>
    <w:rsid w:val="00AE55C8"/>
    <w:rsid w:val="00AE5673"/>
    <w:rsid w:val="00AE56B5"/>
    <w:rsid w:val="00AE56BC"/>
    <w:rsid w:val="00AE572C"/>
    <w:rsid w:val="00AE5906"/>
    <w:rsid w:val="00AE5B2A"/>
    <w:rsid w:val="00AE5B3E"/>
    <w:rsid w:val="00AE5BF2"/>
    <w:rsid w:val="00AE5CFF"/>
    <w:rsid w:val="00AE5D16"/>
    <w:rsid w:val="00AE5E66"/>
    <w:rsid w:val="00AE5E6A"/>
    <w:rsid w:val="00AE5E9A"/>
    <w:rsid w:val="00AE5FEA"/>
    <w:rsid w:val="00AE60B2"/>
    <w:rsid w:val="00AE6252"/>
    <w:rsid w:val="00AE6277"/>
    <w:rsid w:val="00AE6473"/>
    <w:rsid w:val="00AE664B"/>
    <w:rsid w:val="00AE676B"/>
    <w:rsid w:val="00AE6893"/>
    <w:rsid w:val="00AE6B9A"/>
    <w:rsid w:val="00AE6E3F"/>
    <w:rsid w:val="00AE6EA3"/>
    <w:rsid w:val="00AE6F1A"/>
    <w:rsid w:val="00AE6FAB"/>
    <w:rsid w:val="00AE7323"/>
    <w:rsid w:val="00AE7362"/>
    <w:rsid w:val="00AE73BE"/>
    <w:rsid w:val="00AE750F"/>
    <w:rsid w:val="00AE7658"/>
    <w:rsid w:val="00AE769D"/>
    <w:rsid w:val="00AE79B3"/>
    <w:rsid w:val="00AE7BB7"/>
    <w:rsid w:val="00AE7C4A"/>
    <w:rsid w:val="00AE7C65"/>
    <w:rsid w:val="00AE7C6E"/>
    <w:rsid w:val="00AE7CA1"/>
    <w:rsid w:val="00AE7D3E"/>
    <w:rsid w:val="00AE7D43"/>
    <w:rsid w:val="00AE7DCF"/>
    <w:rsid w:val="00AE7EB1"/>
    <w:rsid w:val="00AE7EFB"/>
    <w:rsid w:val="00AE7EFC"/>
    <w:rsid w:val="00AF0012"/>
    <w:rsid w:val="00AF022C"/>
    <w:rsid w:val="00AF023D"/>
    <w:rsid w:val="00AF0285"/>
    <w:rsid w:val="00AF07BD"/>
    <w:rsid w:val="00AF0C56"/>
    <w:rsid w:val="00AF0C7E"/>
    <w:rsid w:val="00AF0DD4"/>
    <w:rsid w:val="00AF0F77"/>
    <w:rsid w:val="00AF100F"/>
    <w:rsid w:val="00AF103F"/>
    <w:rsid w:val="00AF118B"/>
    <w:rsid w:val="00AF1297"/>
    <w:rsid w:val="00AF129D"/>
    <w:rsid w:val="00AF154F"/>
    <w:rsid w:val="00AF158E"/>
    <w:rsid w:val="00AF15E9"/>
    <w:rsid w:val="00AF16B9"/>
    <w:rsid w:val="00AF17AA"/>
    <w:rsid w:val="00AF184A"/>
    <w:rsid w:val="00AF18B9"/>
    <w:rsid w:val="00AF19DD"/>
    <w:rsid w:val="00AF1E1E"/>
    <w:rsid w:val="00AF1E78"/>
    <w:rsid w:val="00AF2065"/>
    <w:rsid w:val="00AF2185"/>
    <w:rsid w:val="00AF22F2"/>
    <w:rsid w:val="00AF22FF"/>
    <w:rsid w:val="00AF2333"/>
    <w:rsid w:val="00AF2459"/>
    <w:rsid w:val="00AF27D4"/>
    <w:rsid w:val="00AF2916"/>
    <w:rsid w:val="00AF293C"/>
    <w:rsid w:val="00AF29DD"/>
    <w:rsid w:val="00AF2A27"/>
    <w:rsid w:val="00AF2A5F"/>
    <w:rsid w:val="00AF2AC1"/>
    <w:rsid w:val="00AF2BA1"/>
    <w:rsid w:val="00AF2D1D"/>
    <w:rsid w:val="00AF2DF0"/>
    <w:rsid w:val="00AF2E2E"/>
    <w:rsid w:val="00AF302A"/>
    <w:rsid w:val="00AF31F0"/>
    <w:rsid w:val="00AF322F"/>
    <w:rsid w:val="00AF346A"/>
    <w:rsid w:val="00AF34BC"/>
    <w:rsid w:val="00AF3505"/>
    <w:rsid w:val="00AF375E"/>
    <w:rsid w:val="00AF3768"/>
    <w:rsid w:val="00AF3786"/>
    <w:rsid w:val="00AF3868"/>
    <w:rsid w:val="00AF3962"/>
    <w:rsid w:val="00AF3BC8"/>
    <w:rsid w:val="00AF3C70"/>
    <w:rsid w:val="00AF3CC6"/>
    <w:rsid w:val="00AF3E88"/>
    <w:rsid w:val="00AF3F2E"/>
    <w:rsid w:val="00AF3FD9"/>
    <w:rsid w:val="00AF414D"/>
    <w:rsid w:val="00AF435F"/>
    <w:rsid w:val="00AF4382"/>
    <w:rsid w:val="00AF45AB"/>
    <w:rsid w:val="00AF45DD"/>
    <w:rsid w:val="00AF47A1"/>
    <w:rsid w:val="00AF48A5"/>
    <w:rsid w:val="00AF492C"/>
    <w:rsid w:val="00AF4B4F"/>
    <w:rsid w:val="00AF4D95"/>
    <w:rsid w:val="00AF4E99"/>
    <w:rsid w:val="00AF4FC8"/>
    <w:rsid w:val="00AF5089"/>
    <w:rsid w:val="00AF5092"/>
    <w:rsid w:val="00AF517E"/>
    <w:rsid w:val="00AF5221"/>
    <w:rsid w:val="00AF523E"/>
    <w:rsid w:val="00AF5280"/>
    <w:rsid w:val="00AF54A0"/>
    <w:rsid w:val="00AF54D8"/>
    <w:rsid w:val="00AF55F2"/>
    <w:rsid w:val="00AF560D"/>
    <w:rsid w:val="00AF5838"/>
    <w:rsid w:val="00AF5A19"/>
    <w:rsid w:val="00AF5A8A"/>
    <w:rsid w:val="00AF5D12"/>
    <w:rsid w:val="00AF5D3D"/>
    <w:rsid w:val="00AF5D67"/>
    <w:rsid w:val="00AF5ED2"/>
    <w:rsid w:val="00AF633B"/>
    <w:rsid w:val="00AF642E"/>
    <w:rsid w:val="00AF6631"/>
    <w:rsid w:val="00AF69F6"/>
    <w:rsid w:val="00AF6A00"/>
    <w:rsid w:val="00AF6A2C"/>
    <w:rsid w:val="00AF6A46"/>
    <w:rsid w:val="00AF6B15"/>
    <w:rsid w:val="00AF6BBE"/>
    <w:rsid w:val="00AF6BDF"/>
    <w:rsid w:val="00AF6C3B"/>
    <w:rsid w:val="00AF6E27"/>
    <w:rsid w:val="00AF6E6C"/>
    <w:rsid w:val="00AF6EC4"/>
    <w:rsid w:val="00AF6F17"/>
    <w:rsid w:val="00AF707D"/>
    <w:rsid w:val="00AF709D"/>
    <w:rsid w:val="00AF7112"/>
    <w:rsid w:val="00AF7181"/>
    <w:rsid w:val="00AF71B5"/>
    <w:rsid w:val="00AF71D8"/>
    <w:rsid w:val="00AF725C"/>
    <w:rsid w:val="00AF72B7"/>
    <w:rsid w:val="00AF72D4"/>
    <w:rsid w:val="00AF7349"/>
    <w:rsid w:val="00AF74D5"/>
    <w:rsid w:val="00AF7542"/>
    <w:rsid w:val="00AF7652"/>
    <w:rsid w:val="00AF7664"/>
    <w:rsid w:val="00AF7706"/>
    <w:rsid w:val="00AF7B72"/>
    <w:rsid w:val="00AF7C20"/>
    <w:rsid w:val="00AF7CA6"/>
    <w:rsid w:val="00AF7DF6"/>
    <w:rsid w:val="00AF7E0B"/>
    <w:rsid w:val="00AF7E49"/>
    <w:rsid w:val="00AF7FE0"/>
    <w:rsid w:val="00B000A7"/>
    <w:rsid w:val="00B0010C"/>
    <w:rsid w:val="00B00122"/>
    <w:rsid w:val="00B001DA"/>
    <w:rsid w:val="00B002B6"/>
    <w:rsid w:val="00B002E8"/>
    <w:rsid w:val="00B00339"/>
    <w:rsid w:val="00B0053B"/>
    <w:rsid w:val="00B005F0"/>
    <w:rsid w:val="00B006C2"/>
    <w:rsid w:val="00B0075E"/>
    <w:rsid w:val="00B007B8"/>
    <w:rsid w:val="00B00895"/>
    <w:rsid w:val="00B0092D"/>
    <w:rsid w:val="00B00A10"/>
    <w:rsid w:val="00B00E12"/>
    <w:rsid w:val="00B00F0B"/>
    <w:rsid w:val="00B0102C"/>
    <w:rsid w:val="00B0119B"/>
    <w:rsid w:val="00B011A3"/>
    <w:rsid w:val="00B012F3"/>
    <w:rsid w:val="00B0132A"/>
    <w:rsid w:val="00B01467"/>
    <w:rsid w:val="00B01468"/>
    <w:rsid w:val="00B0155B"/>
    <w:rsid w:val="00B01754"/>
    <w:rsid w:val="00B0185F"/>
    <w:rsid w:val="00B01908"/>
    <w:rsid w:val="00B0191E"/>
    <w:rsid w:val="00B01C7E"/>
    <w:rsid w:val="00B01CD4"/>
    <w:rsid w:val="00B01E6F"/>
    <w:rsid w:val="00B01ED8"/>
    <w:rsid w:val="00B01EF3"/>
    <w:rsid w:val="00B01F07"/>
    <w:rsid w:val="00B01F14"/>
    <w:rsid w:val="00B01F68"/>
    <w:rsid w:val="00B020E6"/>
    <w:rsid w:val="00B02193"/>
    <w:rsid w:val="00B02204"/>
    <w:rsid w:val="00B0221E"/>
    <w:rsid w:val="00B023F0"/>
    <w:rsid w:val="00B0259B"/>
    <w:rsid w:val="00B025FC"/>
    <w:rsid w:val="00B02923"/>
    <w:rsid w:val="00B02C1A"/>
    <w:rsid w:val="00B02C6B"/>
    <w:rsid w:val="00B02E1B"/>
    <w:rsid w:val="00B02E8C"/>
    <w:rsid w:val="00B02F63"/>
    <w:rsid w:val="00B03081"/>
    <w:rsid w:val="00B03268"/>
    <w:rsid w:val="00B03286"/>
    <w:rsid w:val="00B032DD"/>
    <w:rsid w:val="00B032E9"/>
    <w:rsid w:val="00B03458"/>
    <w:rsid w:val="00B03AFF"/>
    <w:rsid w:val="00B03CA5"/>
    <w:rsid w:val="00B041A4"/>
    <w:rsid w:val="00B0454D"/>
    <w:rsid w:val="00B045E9"/>
    <w:rsid w:val="00B04612"/>
    <w:rsid w:val="00B04668"/>
    <w:rsid w:val="00B04D80"/>
    <w:rsid w:val="00B04DAF"/>
    <w:rsid w:val="00B04FC8"/>
    <w:rsid w:val="00B0505E"/>
    <w:rsid w:val="00B05079"/>
    <w:rsid w:val="00B05174"/>
    <w:rsid w:val="00B05346"/>
    <w:rsid w:val="00B05400"/>
    <w:rsid w:val="00B05416"/>
    <w:rsid w:val="00B0548F"/>
    <w:rsid w:val="00B0550C"/>
    <w:rsid w:val="00B05606"/>
    <w:rsid w:val="00B056A5"/>
    <w:rsid w:val="00B056EE"/>
    <w:rsid w:val="00B058C9"/>
    <w:rsid w:val="00B05953"/>
    <w:rsid w:val="00B05A73"/>
    <w:rsid w:val="00B05B29"/>
    <w:rsid w:val="00B05C12"/>
    <w:rsid w:val="00B05F24"/>
    <w:rsid w:val="00B05F26"/>
    <w:rsid w:val="00B05F40"/>
    <w:rsid w:val="00B05F60"/>
    <w:rsid w:val="00B06047"/>
    <w:rsid w:val="00B06060"/>
    <w:rsid w:val="00B061B3"/>
    <w:rsid w:val="00B062C3"/>
    <w:rsid w:val="00B06367"/>
    <w:rsid w:val="00B06371"/>
    <w:rsid w:val="00B063B1"/>
    <w:rsid w:val="00B06567"/>
    <w:rsid w:val="00B0674B"/>
    <w:rsid w:val="00B06781"/>
    <w:rsid w:val="00B0698A"/>
    <w:rsid w:val="00B06A96"/>
    <w:rsid w:val="00B06B55"/>
    <w:rsid w:val="00B06CB6"/>
    <w:rsid w:val="00B06DF1"/>
    <w:rsid w:val="00B06E81"/>
    <w:rsid w:val="00B070FE"/>
    <w:rsid w:val="00B07307"/>
    <w:rsid w:val="00B0730C"/>
    <w:rsid w:val="00B074E1"/>
    <w:rsid w:val="00B076C1"/>
    <w:rsid w:val="00B077F3"/>
    <w:rsid w:val="00B0786B"/>
    <w:rsid w:val="00B0788B"/>
    <w:rsid w:val="00B078A0"/>
    <w:rsid w:val="00B078CD"/>
    <w:rsid w:val="00B079A1"/>
    <w:rsid w:val="00B079B2"/>
    <w:rsid w:val="00B07A1B"/>
    <w:rsid w:val="00B07AC0"/>
    <w:rsid w:val="00B07C74"/>
    <w:rsid w:val="00B07E4D"/>
    <w:rsid w:val="00B07F59"/>
    <w:rsid w:val="00B07FB8"/>
    <w:rsid w:val="00B1016E"/>
    <w:rsid w:val="00B101D6"/>
    <w:rsid w:val="00B10229"/>
    <w:rsid w:val="00B1027C"/>
    <w:rsid w:val="00B10293"/>
    <w:rsid w:val="00B1034C"/>
    <w:rsid w:val="00B105F7"/>
    <w:rsid w:val="00B10639"/>
    <w:rsid w:val="00B106B1"/>
    <w:rsid w:val="00B1097D"/>
    <w:rsid w:val="00B10A05"/>
    <w:rsid w:val="00B10B2A"/>
    <w:rsid w:val="00B10C0A"/>
    <w:rsid w:val="00B10C68"/>
    <w:rsid w:val="00B10CEF"/>
    <w:rsid w:val="00B10E8A"/>
    <w:rsid w:val="00B11154"/>
    <w:rsid w:val="00B11278"/>
    <w:rsid w:val="00B113E7"/>
    <w:rsid w:val="00B113EA"/>
    <w:rsid w:val="00B114AC"/>
    <w:rsid w:val="00B11537"/>
    <w:rsid w:val="00B115A3"/>
    <w:rsid w:val="00B115C5"/>
    <w:rsid w:val="00B11609"/>
    <w:rsid w:val="00B117A2"/>
    <w:rsid w:val="00B117E4"/>
    <w:rsid w:val="00B11A4D"/>
    <w:rsid w:val="00B11C1F"/>
    <w:rsid w:val="00B11C2D"/>
    <w:rsid w:val="00B11E85"/>
    <w:rsid w:val="00B122FA"/>
    <w:rsid w:val="00B1239C"/>
    <w:rsid w:val="00B125EC"/>
    <w:rsid w:val="00B126FA"/>
    <w:rsid w:val="00B127B9"/>
    <w:rsid w:val="00B127D1"/>
    <w:rsid w:val="00B1280D"/>
    <w:rsid w:val="00B12BD5"/>
    <w:rsid w:val="00B12C33"/>
    <w:rsid w:val="00B12C53"/>
    <w:rsid w:val="00B12C98"/>
    <w:rsid w:val="00B12D54"/>
    <w:rsid w:val="00B12D65"/>
    <w:rsid w:val="00B12D75"/>
    <w:rsid w:val="00B12E56"/>
    <w:rsid w:val="00B12F71"/>
    <w:rsid w:val="00B12FE8"/>
    <w:rsid w:val="00B1303D"/>
    <w:rsid w:val="00B131A7"/>
    <w:rsid w:val="00B131AF"/>
    <w:rsid w:val="00B13254"/>
    <w:rsid w:val="00B13696"/>
    <w:rsid w:val="00B139AA"/>
    <w:rsid w:val="00B13DE3"/>
    <w:rsid w:val="00B14025"/>
    <w:rsid w:val="00B14163"/>
    <w:rsid w:val="00B1421C"/>
    <w:rsid w:val="00B142B8"/>
    <w:rsid w:val="00B144BE"/>
    <w:rsid w:val="00B14515"/>
    <w:rsid w:val="00B1470B"/>
    <w:rsid w:val="00B1471D"/>
    <w:rsid w:val="00B147A1"/>
    <w:rsid w:val="00B14A9A"/>
    <w:rsid w:val="00B14AC8"/>
    <w:rsid w:val="00B14E43"/>
    <w:rsid w:val="00B14F18"/>
    <w:rsid w:val="00B14F59"/>
    <w:rsid w:val="00B14FFF"/>
    <w:rsid w:val="00B151CC"/>
    <w:rsid w:val="00B15307"/>
    <w:rsid w:val="00B1533E"/>
    <w:rsid w:val="00B15486"/>
    <w:rsid w:val="00B15538"/>
    <w:rsid w:val="00B155FA"/>
    <w:rsid w:val="00B156B7"/>
    <w:rsid w:val="00B156D9"/>
    <w:rsid w:val="00B157B9"/>
    <w:rsid w:val="00B157E0"/>
    <w:rsid w:val="00B15995"/>
    <w:rsid w:val="00B15A19"/>
    <w:rsid w:val="00B15A30"/>
    <w:rsid w:val="00B15BAD"/>
    <w:rsid w:val="00B15BE7"/>
    <w:rsid w:val="00B15C46"/>
    <w:rsid w:val="00B15CB1"/>
    <w:rsid w:val="00B15E14"/>
    <w:rsid w:val="00B15E5F"/>
    <w:rsid w:val="00B15E9F"/>
    <w:rsid w:val="00B15EBF"/>
    <w:rsid w:val="00B15F53"/>
    <w:rsid w:val="00B1600E"/>
    <w:rsid w:val="00B16076"/>
    <w:rsid w:val="00B163E6"/>
    <w:rsid w:val="00B164E5"/>
    <w:rsid w:val="00B16546"/>
    <w:rsid w:val="00B16874"/>
    <w:rsid w:val="00B168A2"/>
    <w:rsid w:val="00B16903"/>
    <w:rsid w:val="00B169E9"/>
    <w:rsid w:val="00B16A60"/>
    <w:rsid w:val="00B16B0A"/>
    <w:rsid w:val="00B16B34"/>
    <w:rsid w:val="00B16BAD"/>
    <w:rsid w:val="00B16DBB"/>
    <w:rsid w:val="00B16E80"/>
    <w:rsid w:val="00B170C4"/>
    <w:rsid w:val="00B1715D"/>
    <w:rsid w:val="00B1718C"/>
    <w:rsid w:val="00B17596"/>
    <w:rsid w:val="00B175CA"/>
    <w:rsid w:val="00B175DC"/>
    <w:rsid w:val="00B176CC"/>
    <w:rsid w:val="00B177B3"/>
    <w:rsid w:val="00B178BC"/>
    <w:rsid w:val="00B1797C"/>
    <w:rsid w:val="00B17AA9"/>
    <w:rsid w:val="00B17BD1"/>
    <w:rsid w:val="00B17F5A"/>
    <w:rsid w:val="00B17F93"/>
    <w:rsid w:val="00B2001E"/>
    <w:rsid w:val="00B20045"/>
    <w:rsid w:val="00B20255"/>
    <w:rsid w:val="00B202C6"/>
    <w:rsid w:val="00B20312"/>
    <w:rsid w:val="00B203E9"/>
    <w:rsid w:val="00B204AC"/>
    <w:rsid w:val="00B204E1"/>
    <w:rsid w:val="00B20511"/>
    <w:rsid w:val="00B205E6"/>
    <w:rsid w:val="00B206D5"/>
    <w:rsid w:val="00B2076E"/>
    <w:rsid w:val="00B207F9"/>
    <w:rsid w:val="00B20BB3"/>
    <w:rsid w:val="00B20CB3"/>
    <w:rsid w:val="00B20DD0"/>
    <w:rsid w:val="00B20EF6"/>
    <w:rsid w:val="00B20FC3"/>
    <w:rsid w:val="00B20FC5"/>
    <w:rsid w:val="00B21034"/>
    <w:rsid w:val="00B21087"/>
    <w:rsid w:val="00B210BE"/>
    <w:rsid w:val="00B21103"/>
    <w:rsid w:val="00B2110C"/>
    <w:rsid w:val="00B21165"/>
    <w:rsid w:val="00B211E5"/>
    <w:rsid w:val="00B212A1"/>
    <w:rsid w:val="00B213D0"/>
    <w:rsid w:val="00B217C6"/>
    <w:rsid w:val="00B219F5"/>
    <w:rsid w:val="00B21A26"/>
    <w:rsid w:val="00B21B67"/>
    <w:rsid w:val="00B21BC3"/>
    <w:rsid w:val="00B21CEE"/>
    <w:rsid w:val="00B21DA1"/>
    <w:rsid w:val="00B21DDB"/>
    <w:rsid w:val="00B21E0F"/>
    <w:rsid w:val="00B21F37"/>
    <w:rsid w:val="00B22027"/>
    <w:rsid w:val="00B22039"/>
    <w:rsid w:val="00B22146"/>
    <w:rsid w:val="00B221DD"/>
    <w:rsid w:val="00B222CA"/>
    <w:rsid w:val="00B222CB"/>
    <w:rsid w:val="00B223B6"/>
    <w:rsid w:val="00B2241A"/>
    <w:rsid w:val="00B22587"/>
    <w:rsid w:val="00B226C0"/>
    <w:rsid w:val="00B2274E"/>
    <w:rsid w:val="00B227D8"/>
    <w:rsid w:val="00B2281F"/>
    <w:rsid w:val="00B22B63"/>
    <w:rsid w:val="00B22C75"/>
    <w:rsid w:val="00B22CFE"/>
    <w:rsid w:val="00B22E5D"/>
    <w:rsid w:val="00B23685"/>
    <w:rsid w:val="00B23840"/>
    <w:rsid w:val="00B23940"/>
    <w:rsid w:val="00B23DEA"/>
    <w:rsid w:val="00B241A4"/>
    <w:rsid w:val="00B2434F"/>
    <w:rsid w:val="00B243A7"/>
    <w:rsid w:val="00B2446D"/>
    <w:rsid w:val="00B2453D"/>
    <w:rsid w:val="00B24699"/>
    <w:rsid w:val="00B247B7"/>
    <w:rsid w:val="00B2489D"/>
    <w:rsid w:val="00B248C8"/>
    <w:rsid w:val="00B248DF"/>
    <w:rsid w:val="00B24BFB"/>
    <w:rsid w:val="00B24DB4"/>
    <w:rsid w:val="00B24DDF"/>
    <w:rsid w:val="00B24DF6"/>
    <w:rsid w:val="00B24E3F"/>
    <w:rsid w:val="00B24EFF"/>
    <w:rsid w:val="00B24F28"/>
    <w:rsid w:val="00B24FA2"/>
    <w:rsid w:val="00B2518E"/>
    <w:rsid w:val="00B251C7"/>
    <w:rsid w:val="00B251CC"/>
    <w:rsid w:val="00B251F5"/>
    <w:rsid w:val="00B25269"/>
    <w:rsid w:val="00B25310"/>
    <w:rsid w:val="00B25323"/>
    <w:rsid w:val="00B2559B"/>
    <w:rsid w:val="00B258BC"/>
    <w:rsid w:val="00B25B46"/>
    <w:rsid w:val="00B25C89"/>
    <w:rsid w:val="00B25DDA"/>
    <w:rsid w:val="00B25DEF"/>
    <w:rsid w:val="00B25FB4"/>
    <w:rsid w:val="00B26094"/>
    <w:rsid w:val="00B26126"/>
    <w:rsid w:val="00B261D4"/>
    <w:rsid w:val="00B2621B"/>
    <w:rsid w:val="00B262B7"/>
    <w:rsid w:val="00B26351"/>
    <w:rsid w:val="00B26356"/>
    <w:rsid w:val="00B26566"/>
    <w:rsid w:val="00B26588"/>
    <w:rsid w:val="00B26751"/>
    <w:rsid w:val="00B26861"/>
    <w:rsid w:val="00B26921"/>
    <w:rsid w:val="00B26978"/>
    <w:rsid w:val="00B26985"/>
    <w:rsid w:val="00B26A39"/>
    <w:rsid w:val="00B26B66"/>
    <w:rsid w:val="00B26B92"/>
    <w:rsid w:val="00B26BB1"/>
    <w:rsid w:val="00B26C59"/>
    <w:rsid w:val="00B26CFD"/>
    <w:rsid w:val="00B26D7B"/>
    <w:rsid w:val="00B26DC1"/>
    <w:rsid w:val="00B26EB2"/>
    <w:rsid w:val="00B26FDE"/>
    <w:rsid w:val="00B27043"/>
    <w:rsid w:val="00B2718E"/>
    <w:rsid w:val="00B272E2"/>
    <w:rsid w:val="00B272E5"/>
    <w:rsid w:val="00B27317"/>
    <w:rsid w:val="00B273FC"/>
    <w:rsid w:val="00B27748"/>
    <w:rsid w:val="00B277BF"/>
    <w:rsid w:val="00B27880"/>
    <w:rsid w:val="00B278B6"/>
    <w:rsid w:val="00B278F8"/>
    <w:rsid w:val="00B278FC"/>
    <w:rsid w:val="00B27A2A"/>
    <w:rsid w:val="00B27AC0"/>
    <w:rsid w:val="00B27AC9"/>
    <w:rsid w:val="00B27C63"/>
    <w:rsid w:val="00B27C74"/>
    <w:rsid w:val="00B27CFC"/>
    <w:rsid w:val="00B27D28"/>
    <w:rsid w:val="00B27E77"/>
    <w:rsid w:val="00B27ED2"/>
    <w:rsid w:val="00B27F34"/>
    <w:rsid w:val="00B3003B"/>
    <w:rsid w:val="00B301CB"/>
    <w:rsid w:val="00B3045C"/>
    <w:rsid w:val="00B304C4"/>
    <w:rsid w:val="00B305FD"/>
    <w:rsid w:val="00B30610"/>
    <w:rsid w:val="00B3062B"/>
    <w:rsid w:val="00B308AA"/>
    <w:rsid w:val="00B3090E"/>
    <w:rsid w:val="00B30AFB"/>
    <w:rsid w:val="00B30B3A"/>
    <w:rsid w:val="00B30B69"/>
    <w:rsid w:val="00B30CF0"/>
    <w:rsid w:val="00B30DE9"/>
    <w:rsid w:val="00B30F35"/>
    <w:rsid w:val="00B30F9D"/>
    <w:rsid w:val="00B31045"/>
    <w:rsid w:val="00B31080"/>
    <w:rsid w:val="00B310A6"/>
    <w:rsid w:val="00B310D3"/>
    <w:rsid w:val="00B31117"/>
    <w:rsid w:val="00B314B0"/>
    <w:rsid w:val="00B31509"/>
    <w:rsid w:val="00B31545"/>
    <w:rsid w:val="00B3154D"/>
    <w:rsid w:val="00B31573"/>
    <w:rsid w:val="00B31742"/>
    <w:rsid w:val="00B31836"/>
    <w:rsid w:val="00B31ADA"/>
    <w:rsid w:val="00B31AE6"/>
    <w:rsid w:val="00B31C3B"/>
    <w:rsid w:val="00B32365"/>
    <w:rsid w:val="00B325A0"/>
    <w:rsid w:val="00B32793"/>
    <w:rsid w:val="00B32896"/>
    <w:rsid w:val="00B32A62"/>
    <w:rsid w:val="00B32ADF"/>
    <w:rsid w:val="00B32B88"/>
    <w:rsid w:val="00B32C52"/>
    <w:rsid w:val="00B32C98"/>
    <w:rsid w:val="00B32CEB"/>
    <w:rsid w:val="00B32D75"/>
    <w:rsid w:val="00B32DC7"/>
    <w:rsid w:val="00B32F9A"/>
    <w:rsid w:val="00B32FD2"/>
    <w:rsid w:val="00B32FFD"/>
    <w:rsid w:val="00B3309C"/>
    <w:rsid w:val="00B332AE"/>
    <w:rsid w:val="00B33446"/>
    <w:rsid w:val="00B33568"/>
    <w:rsid w:val="00B337CC"/>
    <w:rsid w:val="00B33971"/>
    <w:rsid w:val="00B339BA"/>
    <w:rsid w:val="00B33A17"/>
    <w:rsid w:val="00B33BAA"/>
    <w:rsid w:val="00B33CB3"/>
    <w:rsid w:val="00B33D03"/>
    <w:rsid w:val="00B33D76"/>
    <w:rsid w:val="00B33EA3"/>
    <w:rsid w:val="00B33FE9"/>
    <w:rsid w:val="00B3402F"/>
    <w:rsid w:val="00B3403C"/>
    <w:rsid w:val="00B341D9"/>
    <w:rsid w:val="00B3422F"/>
    <w:rsid w:val="00B342E5"/>
    <w:rsid w:val="00B34347"/>
    <w:rsid w:val="00B345CB"/>
    <w:rsid w:val="00B34658"/>
    <w:rsid w:val="00B34785"/>
    <w:rsid w:val="00B347A1"/>
    <w:rsid w:val="00B34805"/>
    <w:rsid w:val="00B3481D"/>
    <w:rsid w:val="00B348DA"/>
    <w:rsid w:val="00B34A26"/>
    <w:rsid w:val="00B34C45"/>
    <w:rsid w:val="00B34C68"/>
    <w:rsid w:val="00B34C7B"/>
    <w:rsid w:val="00B34E01"/>
    <w:rsid w:val="00B34E82"/>
    <w:rsid w:val="00B34E97"/>
    <w:rsid w:val="00B35058"/>
    <w:rsid w:val="00B35175"/>
    <w:rsid w:val="00B351E4"/>
    <w:rsid w:val="00B352A9"/>
    <w:rsid w:val="00B35305"/>
    <w:rsid w:val="00B3553A"/>
    <w:rsid w:val="00B355E8"/>
    <w:rsid w:val="00B355EA"/>
    <w:rsid w:val="00B35607"/>
    <w:rsid w:val="00B3589B"/>
    <w:rsid w:val="00B35924"/>
    <w:rsid w:val="00B35A0B"/>
    <w:rsid w:val="00B35B4D"/>
    <w:rsid w:val="00B35C8D"/>
    <w:rsid w:val="00B35CBC"/>
    <w:rsid w:val="00B35DB9"/>
    <w:rsid w:val="00B35F9B"/>
    <w:rsid w:val="00B35FD6"/>
    <w:rsid w:val="00B360C5"/>
    <w:rsid w:val="00B36123"/>
    <w:rsid w:val="00B363C1"/>
    <w:rsid w:val="00B36448"/>
    <w:rsid w:val="00B364B5"/>
    <w:rsid w:val="00B365B1"/>
    <w:rsid w:val="00B366A4"/>
    <w:rsid w:val="00B366B6"/>
    <w:rsid w:val="00B36737"/>
    <w:rsid w:val="00B367E8"/>
    <w:rsid w:val="00B36AAF"/>
    <w:rsid w:val="00B36B59"/>
    <w:rsid w:val="00B36F0F"/>
    <w:rsid w:val="00B36F42"/>
    <w:rsid w:val="00B36FAA"/>
    <w:rsid w:val="00B36FAD"/>
    <w:rsid w:val="00B37165"/>
    <w:rsid w:val="00B3717B"/>
    <w:rsid w:val="00B371A2"/>
    <w:rsid w:val="00B3722A"/>
    <w:rsid w:val="00B372DB"/>
    <w:rsid w:val="00B372E9"/>
    <w:rsid w:val="00B37412"/>
    <w:rsid w:val="00B37414"/>
    <w:rsid w:val="00B374E6"/>
    <w:rsid w:val="00B37777"/>
    <w:rsid w:val="00B377D1"/>
    <w:rsid w:val="00B3790B"/>
    <w:rsid w:val="00B37949"/>
    <w:rsid w:val="00B379BC"/>
    <w:rsid w:val="00B37BB9"/>
    <w:rsid w:val="00B37ECE"/>
    <w:rsid w:val="00B400D3"/>
    <w:rsid w:val="00B40142"/>
    <w:rsid w:val="00B40350"/>
    <w:rsid w:val="00B404B4"/>
    <w:rsid w:val="00B406F1"/>
    <w:rsid w:val="00B40749"/>
    <w:rsid w:val="00B409CC"/>
    <w:rsid w:val="00B40A01"/>
    <w:rsid w:val="00B40A16"/>
    <w:rsid w:val="00B40A3F"/>
    <w:rsid w:val="00B40CA0"/>
    <w:rsid w:val="00B40D88"/>
    <w:rsid w:val="00B40F18"/>
    <w:rsid w:val="00B40F1B"/>
    <w:rsid w:val="00B41044"/>
    <w:rsid w:val="00B41118"/>
    <w:rsid w:val="00B41129"/>
    <w:rsid w:val="00B41133"/>
    <w:rsid w:val="00B41259"/>
    <w:rsid w:val="00B416F8"/>
    <w:rsid w:val="00B4173A"/>
    <w:rsid w:val="00B4190E"/>
    <w:rsid w:val="00B4192E"/>
    <w:rsid w:val="00B41955"/>
    <w:rsid w:val="00B41A1F"/>
    <w:rsid w:val="00B41C8D"/>
    <w:rsid w:val="00B41D35"/>
    <w:rsid w:val="00B41F63"/>
    <w:rsid w:val="00B41F6F"/>
    <w:rsid w:val="00B420C2"/>
    <w:rsid w:val="00B420F3"/>
    <w:rsid w:val="00B421A9"/>
    <w:rsid w:val="00B4225D"/>
    <w:rsid w:val="00B4229F"/>
    <w:rsid w:val="00B42313"/>
    <w:rsid w:val="00B4238D"/>
    <w:rsid w:val="00B424D0"/>
    <w:rsid w:val="00B424E2"/>
    <w:rsid w:val="00B4252F"/>
    <w:rsid w:val="00B4256A"/>
    <w:rsid w:val="00B4281B"/>
    <w:rsid w:val="00B428BD"/>
    <w:rsid w:val="00B42E0C"/>
    <w:rsid w:val="00B42E14"/>
    <w:rsid w:val="00B42EED"/>
    <w:rsid w:val="00B42F17"/>
    <w:rsid w:val="00B42F71"/>
    <w:rsid w:val="00B42F8C"/>
    <w:rsid w:val="00B43064"/>
    <w:rsid w:val="00B43136"/>
    <w:rsid w:val="00B4317E"/>
    <w:rsid w:val="00B43286"/>
    <w:rsid w:val="00B434A6"/>
    <w:rsid w:val="00B43522"/>
    <w:rsid w:val="00B43686"/>
    <w:rsid w:val="00B436DE"/>
    <w:rsid w:val="00B43728"/>
    <w:rsid w:val="00B43B68"/>
    <w:rsid w:val="00B44168"/>
    <w:rsid w:val="00B443BA"/>
    <w:rsid w:val="00B444DE"/>
    <w:rsid w:val="00B446AE"/>
    <w:rsid w:val="00B447A9"/>
    <w:rsid w:val="00B44A98"/>
    <w:rsid w:val="00B44AE1"/>
    <w:rsid w:val="00B44BCC"/>
    <w:rsid w:val="00B44E4E"/>
    <w:rsid w:val="00B44EC0"/>
    <w:rsid w:val="00B45066"/>
    <w:rsid w:val="00B450E8"/>
    <w:rsid w:val="00B4524A"/>
    <w:rsid w:val="00B45512"/>
    <w:rsid w:val="00B455B7"/>
    <w:rsid w:val="00B45795"/>
    <w:rsid w:val="00B457A3"/>
    <w:rsid w:val="00B45801"/>
    <w:rsid w:val="00B4598C"/>
    <w:rsid w:val="00B459E5"/>
    <w:rsid w:val="00B45B47"/>
    <w:rsid w:val="00B45C24"/>
    <w:rsid w:val="00B45CB4"/>
    <w:rsid w:val="00B45EA5"/>
    <w:rsid w:val="00B45F00"/>
    <w:rsid w:val="00B46044"/>
    <w:rsid w:val="00B46060"/>
    <w:rsid w:val="00B461DC"/>
    <w:rsid w:val="00B465A6"/>
    <w:rsid w:val="00B465EE"/>
    <w:rsid w:val="00B4669A"/>
    <w:rsid w:val="00B466B2"/>
    <w:rsid w:val="00B46896"/>
    <w:rsid w:val="00B468C6"/>
    <w:rsid w:val="00B46B64"/>
    <w:rsid w:val="00B46CE3"/>
    <w:rsid w:val="00B46D24"/>
    <w:rsid w:val="00B46F28"/>
    <w:rsid w:val="00B46FCB"/>
    <w:rsid w:val="00B4709C"/>
    <w:rsid w:val="00B47176"/>
    <w:rsid w:val="00B472E0"/>
    <w:rsid w:val="00B47680"/>
    <w:rsid w:val="00B4786D"/>
    <w:rsid w:val="00B47999"/>
    <w:rsid w:val="00B479A0"/>
    <w:rsid w:val="00B47B12"/>
    <w:rsid w:val="00B47DE0"/>
    <w:rsid w:val="00B47F5A"/>
    <w:rsid w:val="00B4F49D"/>
    <w:rsid w:val="00B500F7"/>
    <w:rsid w:val="00B5028D"/>
    <w:rsid w:val="00B5069D"/>
    <w:rsid w:val="00B5078E"/>
    <w:rsid w:val="00B507DB"/>
    <w:rsid w:val="00B50A35"/>
    <w:rsid w:val="00B50AA7"/>
    <w:rsid w:val="00B50B72"/>
    <w:rsid w:val="00B50BD2"/>
    <w:rsid w:val="00B50C5B"/>
    <w:rsid w:val="00B50D27"/>
    <w:rsid w:val="00B50D5A"/>
    <w:rsid w:val="00B50F01"/>
    <w:rsid w:val="00B50F61"/>
    <w:rsid w:val="00B511BA"/>
    <w:rsid w:val="00B51244"/>
    <w:rsid w:val="00B51278"/>
    <w:rsid w:val="00B512A4"/>
    <w:rsid w:val="00B515EE"/>
    <w:rsid w:val="00B5179E"/>
    <w:rsid w:val="00B517EC"/>
    <w:rsid w:val="00B518A9"/>
    <w:rsid w:val="00B518B2"/>
    <w:rsid w:val="00B519C2"/>
    <w:rsid w:val="00B519DA"/>
    <w:rsid w:val="00B51A82"/>
    <w:rsid w:val="00B51AC1"/>
    <w:rsid w:val="00B51D06"/>
    <w:rsid w:val="00B51D75"/>
    <w:rsid w:val="00B51DE6"/>
    <w:rsid w:val="00B51F63"/>
    <w:rsid w:val="00B52031"/>
    <w:rsid w:val="00B520A0"/>
    <w:rsid w:val="00B5216C"/>
    <w:rsid w:val="00B52381"/>
    <w:rsid w:val="00B52448"/>
    <w:rsid w:val="00B52685"/>
    <w:rsid w:val="00B526D3"/>
    <w:rsid w:val="00B52848"/>
    <w:rsid w:val="00B52861"/>
    <w:rsid w:val="00B52A7B"/>
    <w:rsid w:val="00B52B30"/>
    <w:rsid w:val="00B52C89"/>
    <w:rsid w:val="00B52D4A"/>
    <w:rsid w:val="00B52ECE"/>
    <w:rsid w:val="00B52F19"/>
    <w:rsid w:val="00B530D6"/>
    <w:rsid w:val="00B53209"/>
    <w:rsid w:val="00B533EF"/>
    <w:rsid w:val="00B53551"/>
    <w:rsid w:val="00B53623"/>
    <w:rsid w:val="00B53655"/>
    <w:rsid w:val="00B536F7"/>
    <w:rsid w:val="00B5398F"/>
    <w:rsid w:val="00B53A1A"/>
    <w:rsid w:val="00B53A90"/>
    <w:rsid w:val="00B53AAE"/>
    <w:rsid w:val="00B53B20"/>
    <w:rsid w:val="00B53BDF"/>
    <w:rsid w:val="00B53E07"/>
    <w:rsid w:val="00B53E4D"/>
    <w:rsid w:val="00B5403F"/>
    <w:rsid w:val="00B54057"/>
    <w:rsid w:val="00B54078"/>
    <w:rsid w:val="00B540D2"/>
    <w:rsid w:val="00B5421D"/>
    <w:rsid w:val="00B542CE"/>
    <w:rsid w:val="00B544DC"/>
    <w:rsid w:val="00B54756"/>
    <w:rsid w:val="00B54844"/>
    <w:rsid w:val="00B54A27"/>
    <w:rsid w:val="00B54AC2"/>
    <w:rsid w:val="00B54AFA"/>
    <w:rsid w:val="00B54BA8"/>
    <w:rsid w:val="00B54E8A"/>
    <w:rsid w:val="00B54E9A"/>
    <w:rsid w:val="00B55027"/>
    <w:rsid w:val="00B55112"/>
    <w:rsid w:val="00B55421"/>
    <w:rsid w:val="00B55477"/>
    <w:rsid w:val="00B554D4"/>
    <w:rsid w:val="00B554F5"/>
    <w:rsid w:val="00B55590"/>
    <w:rsid w:val="00B555D5"/>
    <w:rsid w:val="00B55793"/>
    <w:rsid w:val="00B557BE"/>
    <w:rsid w:val="00B55838"/>
    <w:rsid w:val="00B55C41"/>
    <w:rsid w:val="00B55D08"/>
    <w:rsid w:val="00B55D14"/>
    <w:rsid w:val="00B560D5"/>
    <w:rsid w:val="00B56246"/>
    <w:rsid w:val="00B5630B"/>
    <w:rsid w:val="00B564FA"/>
    <w:rsid w:val="00B5661D"/>
    <w:rsid w:val="00B567E6"/>
    <w:rsid w:val="00B5686A"/>
    <w:rsid w:val="00B56936"/>
    <w:rsid w:val="00B569E0"/>
    <w:rsid w:val="00B56A6E"/>
    <w:rsid w:val="00B56CBD"/>
    <w:rsid w:val="00B56D35"/>
    <w:rsid w:val="00B56E82"/>
    <w:rsid w:val="00B56FD0"/>
    <w:rsid w:val="00B57030"/>
    <w:rsid w:val="00B57421"/>
    <w:rsid w:val="00B57423"/>
    <w:rsid w:val="00B57688"/>
    <w:rsid w:val="00B57760"/>
    <w:rsid w:val="00B57913"/>
    <w:rsid w:val="00B57B11"/>
    <w:rsid w:val="00B57B27"/>
    <w:rsid w:val="00B57BBB"/>
    <w:rsid w:val="00B57C5B"/>
    <w:rsid w:val="00B57DAC"/>
    <w:rsid w:val="00B57EFC"/>
    <w:rsid w:val="00B600B1"/>
    <w:rsid w:val="00B601AF"/>
    <w:rsid w:val="00B604CD"/>
    <w:rsid w:val="00B60504"/>
    <w:rsid w:val="00B60656"/>
    <w:rsid w:val="00B6070A"/>
    <w:rsid w:val="00B6078E"/>
    <w:rsid w:val="00B609AE"/>
    <w:rsid w:val="00B60A76"/>
    <w:rsid w:val="00B60AA4"/>
    <w:rsid w:val="00B60AD6"/>
    <w:rsid w:val="00B60BAD"/>
    <w:rsid w:val="00B60BAE"/>
    <w:rsid w:val="00B60E1C"/>
    <w:rsid w:val="00B60E27"/>
    <w:rsid w:val="00B60E87"/>
    <w:rsid w:val="00B60F1C"/>
    <w:rsid w:val="00B61088"/>
    <w:rsid w:val="00B611C7"/>
    <w:rsid w:val="00B61286"/>
    <w:rsid w:val="00B614BC"/>
    <w:rsid w:val="00B615B2"/>
    <w:rsid w:val="00B615D7"/>
    <w:rsid w:val="00B61637"/>
    <w:rsid w:val="00B616C7"/>
    <w:rsid w:val="00B61896"/>
    <w:rsid w:val="00B61981"/>
    <w:rsid w:val="00B61B71"/>
    <w:rsid w:val="00B61D8E"/>
    <w:rsid w:val="00B61E11"/>
    <w:rsid w:val="00B61F41"/>
    <w:rsid w:val="00B620B6"/>
    <w:rsid w:val="00B621C2"/>
    <w:rsid w:val="00B623A9"/>
    <w:rsid w:val="00B6249B"/>
    <w:rsid w:val="00B62500"/>
    <w:rsid w:val="00B626BB"/>
    <w:rsid w:val="00B626F9"/>
    <w:rsid w:val="00B62711"/>
    <w:rsid w:val="00B6286A"/>
    <w:rsid w:val="00B62A13"/>
    <w:rsid w:val="00B62B4D"/>
    <w:rsid w:val="00B62C2B"/>
    <w:rsid w:val="00B62C71"/>
    <w:rsid w:val="00B62EE7"/>
    <w:rsid w:val="00B62EFF"/>
    <w:rsid w:val="00B62F60"/>
    <w:rsid w:val="00B630EF"/>
    <w:rsid w:val="00B63100"/>
    <w:rsid w:val="00B631D3"/>
    <w:rsid w:val="00B6352C"/>
    <w:rsid w:val="00B637B0"/>
    <w:rsid w:val="00B63897"/>
    <w:rsid w:val="00B63993"/>
    <w:rsid w:val="00B639D9"/>
    <w:rsid w:val="00B63CF1"/>
    <w:rsid w:val="00B63ECD"/>
    <w:rsid w:val="00B63FF4"/>
    <w:rsid w:val="00B64097"/>
    <w:rsid w:val="00B64101"/>
    <w:rsid w:val="00B64385"/>
    <w:rsid w:val="00B643F5"/>
    <w:rsid w:val="00B64543"/>
    <w:rsid w:val="00B6457A"/>
    <w:rsid w:val="00B64768"/>
    <w:rsid w:val="00B649E7"/>
    <w:rsid w:val="00B64B45"/>
    <w:rsid w:val="00B64BAF"/>
    <w:rsid w:val="00B64C89"/>
    <w:rsid w:val="00B64C99"/>
    <w:rsid w:val="00B64D07"/>
    <w:rsid w:val="00B64D77"/>
    <w:rsid w:val="00B64E11"/>
    <w:rsid w:val="00B64F88"/>
    <w:rsid w:val="00B65031"/>
    <w:rsid w:val="00B65058"/>
    <w:rsid w:val="00B6517F"/>
    <w:rsid w:val="00B65289"/>
    <w:rsid w:val="00B65468"/>
    <w:rsid w:val="00B65518"/>
    <w:rsid w:val="00B655B0"/>
    <w:rsid w:val="00B655CE"/>
    <w:rsid w:val="00B65700"/>
    <w:rsid w:val="00B658C6"/>
    <w:rsid w:val="00B65905"/>
    <w:rsid w:val="00B65974"/>
    <w:rsid w:val="00B659A4"/>
    <w:rsid w:val="00B65A6E"/>
    <w:rsid w:val="00B65D8D"/>
    <w:rsid w:val="00B65E00"/>
    <w:rsid w:val="00B65EB5"/>
    <w:rsid w:val="00B65F99"/>
    <w:rsid w:val="00B65FBF"/>
    <w:rsid w:val="00B660A4"/>
    <w:rsid w:val="00B66125"/>
    <w:rsid w:val="00B6626E"/>
    <w:rsid w:val="00B66424"/>
    <w:rsid w:val="00B66589"/>
    <w:rsid w:val="00B66701"/>
    <w:rsid w:val="00B669AF"/>
    <w:rsid w:val="00B66B14"/>
    <w:rsid w:val="00B66D77"/>
    <w:rsid w:val="00B66ED4"/>
    <w:rsid w:val="00B67061"/>
    <w:rsid w:val="00B670C6"/>
    <w:rsid w:val="00B67175"/>
    <w:rsid w:val="00B671BF"/>
    <w:rsid w:val="00B6748D"/>
    <w:rsid w:val="00B67625"/>
    <w:rsid w:val="00B67636"/>
    <w:rsid w:val="00B67651"/>
    <w:rsid w:val="00B67793"/>
    <w:rsid w:val="00B67868"/>
    <w:rsid w:val="00B679A6"/>
    <w:rsid w:val="00B679B7"/>
    <w:rsid w:val="00B67BAF"/>
    <w:rsid w:val="00B67C20"/>
    <w:rsid w:val="00B67E52"/>
    <w:rsid w:val="00B67F02"/>
    <w:rsid w:val="00B67FFB"/>
    <w:rsid w:val="00B7005A"/>
    <w:rsid w:val="00B700D2"/>
    <w:rsid w:val="00B7016F"/>
    <w:rsid w:val="00B70296"/>
    <w:rsid w:val="00B703B5"/>
    <w:rsid w:val="00B705EA"/>
    <w:rsid w:val="00B705FA"/>
    <w:rsid w:val="00B70801"/>
    <w:rsid w:val="00B70829"/>
    <w:rsid w:val="00B70987"/>
    <w:rsid w:val="00B70A4D"/>
    <w:rsid w:val="00B70BA6"/>
    <w:rsid w:val="00B70FA9"/>
    <w:rsid w:val="00B71009"/>
    <w:rsid w:val="00B7103B"/>
    <w:rsid w:val="00B71057"/>
    <w:rsid w:val="00B712F7"/>
    <w:rsid w:val="00B7156F"/>
    <w:rsid w:val="00B71715"/>
    <w:rsid w:val="00B71761"/>
    <w:rsid w:val="00B717FD"/>
    <w:rsid w:val="00B718C3"/>
    <w:rsid w:val="00B71905"/>
    <w:rsid w:val="00B7192C"/>
    <w:rsid w:val="00B71932"/>
    <w:rsid w:val="00B71A89"/>
    <w:rsid w:val="00B71A98"/>
    <w:rsid w:val="00B71B6B"/>
    <w:rsid w:val="00B71B7D"/>
    <w:rsid w:val="00B71C25"/>
    <w:rsid w:val="00B71D01"/>
    <w:rsid w:val="00B71E05"/>
    <w:rsid w:val="00B71E54"/>
    <w:rsid w:val="00B71F09"/>
    <w:rsid w:val="00B71FE9"/>
    <w:rsid w:val="00B72023"/>
    <w:rsid w:val="00B720BC"/>
    <w:rsid w:val="00B72204"/>
    <w:rsid w:val="00B72215"/>
    <w:rsid w:val="00B722F6"/>
    <w:rsid w:val="00B7247C"/>
    <w:rsid w:val="00B72523"/>
    <w:rsid w:val="00B725DC"/>
    <w:rsid w:val="00B725E1"/>
    <w:rsid w:val="00B72771"/>
    <w:rsid w:val="00B728BC"/>
    <w:rsid w:val="00B72A77"/>
    <w:rsid w:val="00B72B3F"/>
    <w:rsid w:val="00B72CDA"/>
    <w:rsid w:val="00B72FB0"/>
    <w:rsid w:val="00B730FB"/>
    <w:rsid w:val="00B7326F"/>
    <w:rsid w:val="00B73301"/>
    <w:rsid w:val="00B73304"/>
    <w:rsid w:val="00B7357D"/>
    <w:rsid w:val="00B735FE"/>
    <w:rsid w:val="00B737CD"/>
    <w:rsid w:val="00B737E5"/>
    <w:rsid w:val="00B738F8"/>
    <w:rsid w:val="00B73A7E"/>
    <w:rsid w:val="00B73BC9"/>
    <w:rsid w:val="00B73C17"/>
    <w:rsid w:val="00B73C64"/>
    <w:rsid w:val="00B73CB2"/>
    <w:rsid w:val="00B73CB7"/>
    <w:rsid w:val="00B746FE"/>
    <w:rsid w:val="00B7485D"/>
    <w:rsid w:val="00B748E5"/>
    <w:rsid w:val="00B7490E"/>
    <w:rsid w:val="00B74CDE"/>
    <w:rsid w:val="00B74DC4"/>
    <w:rsid w:val="00B74F8B"/>
    <w:rsid w:val="00B75053"/>
    <w:rsid w:val="00B7520A"/>
    <w:rsid w:val="00B752F4"/>
    <w:rsid w:val="00B7534E"/>
    <w:rsid w:val="00B753ED"/>
    <w:rsid w:val="00B754A1"/>
    <w:rsid w:val="00B754C8"/>
    <w:rsid w:val="00B75543"/>
    <w:rsid w:val="00B75603"/>
    <w:rsid w:val="00B75800"/>
    <w:rsid w:val="00B75BBD"/>
    <w:rsid w:val="00B75EEE"/>
    <w:rsid w:val="00B7609A"/>
    <w:rsid w:val="00B76248"/>
    <w:rsid w:val="00B7628D"/>
    <w:rsid w:val="00B76442"/>
    <w:rsid w:val="00B7645A"/>
    <w:rsid w:val="00B76721"/>
    <w:rsid w:val="00B76750"/>
    <w:rsid w:val="00B76789"/>
    <w:rsid w:val="00B76A8B"/>
    <w:rsid w:val="00B76AD6"/>
    <w:rsid w:val="00B76C59"/>
    <w:rsid w:val="00B76CBA"/>
    <w:rsid w:val="00B76FC4"/>
    <w:rsid w:val="00B771A8"/>
    <w:rsid w:val="00B771C6"/>
    <w:rsid w:val="00B771E3"/>
    <w:rsid w:val="00B77369"/>
    <w:rsid w:val="00B77637"/>
    <w:rsid w:val="00B776B6"/>
    <w:rsid w:val="00B77791"/>
    <w:rsid w:val="00B777C7"/>
    <w:rsid w:val="00B7784E"/>
    <w:rsid w:val="00B7799E"/>
    <w:rsid w:val="00B77C95"/>
    <w:rsid w:val="00B77D04"/>
    <w:rsid w:val="00B77D49"/>
    <w:rsid w:val="00B77D60"/>
    <w:rsid w:val="00B77DEF"/>
    <w:rsid w:val="00B77ECC"/>
    <w:rsid w:val="00B800C2"/>
    <w:rsid w:val="00B803CA"/>
    <w:rsid w:val="00B804E4"/>
    <w:rsid w:val="00B8056D"/>
    <w:rsid w:val="00B8057E"/>
    <w:rsid w:val="00B80858"/>
    <w:rsid w:val="00B80D0C"/>
    <w:rsid w:val="00B812E4"/>
    <w:rsid w:val="00B81491"/>
    <w:rsid w:val="00B814D3"/>
    <w:rsid w:val="00B8150D"/>
    <w:rsid w:val="00B815A7"/>
    <w:rsid w:val="00B8187E"/>
    <w:rsid w:val="00B81992"/>
    <w:rsid w:val="00B81ADF"/>
    <w:rsid w:val="00B81C01"/>
    <w:rsid w:val="00B81DA4"/>
    <w:rsid w:val="00B81DFD"/>
    <w:rsid w:val="00B81F5F"/>
    <w:rsid w:val="00B81F64"/>
    <w:rsid w:val="00B8204F"/>
    <w:rsid w:val="00B820D8"/>
    <w:rsid w:val="00B82110"/>
    <w:rsid w:val="00B8223C"/>
    <w:rsid w:val="00B8237E"/>
    <w:rsid w:val="00B82510"/>
    <w:rsid w:val="00B82582"/>
    <w:rsid w:val="00B827BE"/>
    <w:rsid w:val="00B827CF"/>
    <w:rsid w:val="00B82B54"/>
    <w:rsid w:val="00B82B89"/>
    <w:rsid w:val="00B82CAC"/>
    <w:rsid w:val="00B82CBF"/>
    <w:rsid w:val="00B82D34"/>
    <w:rsid w:val="00B82D40"/>
    <w:rsid w:val="00B82D46"/>
    <w:rsid w:val="00B82F20"/>
    <w:rsid w:val="00B8308D"/>
    <w:rsid w:val="00B83292"/>
    <w:rsid w:val="00B83392"/>
    <w:rsid w:val="00B83413"/>
    <w:rsid w:val="00B83548"/>
    <w:rsid w:val="00B835B2"/>
    <w:rsid w:val="00B83631"/>
    <w:rsid w:val="00B8370D"/>
    <w:rsid w:val="00B83971"/>
    <w:rsid w:val="00B839D6"/>
    <w:rsid w:val="00B83B34"/>
    <w:rsid w:val="00B83CD0"/>
    <w:rsid w:val="00B83CEE"/>
    <w:rsid w:val="00B83D47"/>
    <w:rsid w:val="00B83EDF"/>
    <w:rsid w:val="00B83F2D"/>
    <w:rsid w:val="00B8417A"/>
    <w:rsid w:val="00B842B6"/>
    <w:rsid w:val="00B8431D"/>
    <w:rsid w:val="00B843F7"/>
    <w:rsid w:val="00B8460A"/>
    <w:rsid w:val="00B84816"/>
    <w:rsid w:val="00B84AF3"/>
    <w:rsid w:val="00B84BF9"/>
    <w:rsid w:val="00B84CC9"/>
    <w:rsid w:val="00B84CCE"/>
    <w:rsid w:val="00B84D74"/>
    <w:rsid w:val="00B84D97"/>
    <w:rsid w:val="00B84DAB"/>
    <w:rsid w:val="00B84DED"/>
    <w:rsid w:val="00B8503E"/>
    <w:rsid w:val="00B852B9"/>
    <w:rsid w:val="00B854D0"/>
    <w:rsid w:val="00B854F2"/>
    <w:rsid w:val="00B8550A"/>
    <w:rsid w:val="00B85749"/>
    <w:rsid w:val="00B85931"/>
    <w:rsid w:val="00B85993"/>
    <w:rsid w:val="00B85B6D"/>
    <w:rsid w:val="00B85B87"/>
    <w:rsid w:val="00B85C0F"/>
    <w:rsid w:val="00B85CA4"/>
    <w:rsid w:val="00B85E3C"/>
    <w:rsid w:val="00B8605C"/>
    <w:rsid w:val="00B860AD"/>
    <w:rsid w:val="00B861C3"/>
    <w:rsid w:val="00B8647E"/>
    <w:rsid w:val="00B86642"/>
    <w:rsid w:val="00B86881"/>
    <w:rsid w:val="00B868B5"/>
    <w:rsid w:val="00B86918"/>
    <w:rsid w:val="00B86A78"/>
    <w:rsid w:val="00B86B19"/>
    <w:rsid w:val="00B86C50"/>
    <w:rsid w:val="00B86D06"/>
    <w:rsid w:val="00B86D29"/>
    <w:rsid w:val="00B86DA1"/>
    <w:rsid w:val="00B86DE6"/>
    <w:rsid w:val="00B86E32"/>
    <w:rsid w:val="00B86E8D"/>
    <w:rsid w:val="00B86FF4"/>
    <w:rsid w:val="00B87052"/>
    <w:rsid w:val="00B87104"/>
    <w:rsid w:val="00B87272"/>
    <w:rsid w:val="00B87379"/>
    <w:rsid w:val="00B87667"/>
    <w:rsid w:val="00B876FA"/>
    <w:rsid w:val="00B87841"/>
    <w:rsid w:val="00B87BF0"/>
    <w:rsid w:val="00B87C85"/>
    <w:rsid w:val="00B87D1C"/>
    <w:rsid w:val="00B87D26"/>
    <w:rsid w:val="00B87DC6"/>
    <w:rsid w:val="00B87DCF"/>
    <w:rsid w:val="00B87F08"/>
    <w:rsid w:val="00B9028E"/>
    <w:rsid w:val="00B90432"/>
    <w:rsid w:val="00B9071A"/>
    <w:rsid w:val="00B90B24"/>
    <w:rsid w:val="00B90CDF"/>
    <w:rsid w:val="00B90EEF"/>
    <w:rsid w:val="00B90FBC"/>
    <w:rsid w:val="00B9107F"/>
    <w:rsid w:val="00B911A6"/>
    <w:rsid w:val="00B911C8"/>
    <w:rsid w:val="00B9128F"/>
    <w:rsid w:val="00B91303"/>
    <w:rsid w:val="00B91393"/>
    <w:rsid w:val="00B914CD"/>
    <w:rsid w:val="00B91530"/>
    <w:rsid w:val="00B915AE"/>
    <w:rsid w:val="00B91629"/>
    <w:rsid w:val="00B91AA5"/>
    <w:rsid w:val="00B91C25"/>
    <w:rsid w:val="00B91D25"/>
    <w:rsid w:val="00B91E84"/>
    <w:rsid w:val="00B91FFE"/>
    <w:rsid w:val="00B9220C"/>
    <w:rsid w:val="00B923FE"/>
    <w:rsid w:val="00B92502"/>
    <w:rsid w:val="00B9257A"/>
    <w:rsid w:val="00B9265F"/>
    <w:rsid w:val="00B926BA"/>
    <w:rsid w:val="00B9270F"/>
    <w:rsid w:val="00B9278E"/>
    <w:rsid w:val="00B928D2"/>
    <w:rsid w:val="00B928DB"/>
    <w:rsid w:val="00B928F2"/>
    <w:rsid w:val="00B92951"/>
    <w:rsid w:val="00B92B01"/>
    <w:rsid w:val="00B92C50"/>
    <w:rsid w:val="00B92DB8"/>
    <w:rsid w:val="00B92E3C"/>
    <w:rsid w:val="00B92E5C"/>
    <w:rsid w:val="00B92F61"/>
    <w:rsid w:val="00B92FA1"/>
    <w:rsid w:val="00B93076"/>
    <w:rsid w:val="00B93134"/>
    <w:rsid w:val="00B933BA"/>
    <w:rsid w:val="00B933F2"/>
    <w:rsid w:val="00B93414"/>
    <w:rsid w:val="00B93481"/>
    <w:rsid w:val="00B93531"/>
    <w:rsid w:val="00B93570"/>
    <w:rsid w:val="00B939E0"/>
    <w:rsid w:val="00B939FA"/>
    <w:rsid w:val="00B93A25"/>
    <w:rsid w:val="00B93B69"/>
    <w:rsid w:val="00B93BB1"/>
    <w:rsid w:val="00B93E35"/>
    <w:rsid w:val="00B93E44"/>
    <w:rsid w:val="00B93EFD"/>
    <w:rsid w:val="00B93F6A"/>
    <w:rsid w:val="00B9409D"/>
    <w:rsid w:val="00B9410F"/>
    <w:rsid w:val="00B94293"/>
    <w:rsid w:val="00B94427"/>
    <w:rsid w:val="00B9451C"/>
    <w:rsid w:val="00B9466E"/>
    <w:rsid w:val="00B947D9"/>
    <w:rsid w:val="00B9484A"/>
    <w:rsid w:val="00B948C5"/>
    <w:rsid w:val="00B948F3"/>
    <w:rsid w:val="00B949D5"/>
    <w:rsid w:val="00B94A41"/>
    <w:rsid w:val="00B94AB0"/>
    <w:rsid w:val="00B94BD7"/>
    <w:rsid w:val="00B94EB5"/>
    <w:rsid w:val="00B94F5D"/>
    <w:rsid w:val="00B94F62"/>
    <w:rsid w:val="00B952B3"/>
    <w:rsid w:val="00B952C4"/>
    <w:rsid w:val="00B95419"/>
    <w:rsid w:val="00B95680"/>
    <w:rsid w:val="00B957C2"/>
    <w:rsid w:val="00B957E9"/>
    <w:rsid w:val="00B95880"/>
    <w:rsid w:val="00B95936"/>
    <w:rsid w:val="00B95BF6"/>
    <w:rsid w:val="00B95C75"/>
    <w:rsid w:val="00B95D0F"/>
    <w:rsid w:val="00B95DFE"/>
    <w:rsid w:val="00B95F4F"/>
    <w:rsid w:val="00B95FB6"/>
    <w:rsid w:val="00B9629C"/>
    <w:rsid w:val="00B962C2"/>
    <w:rsid w:val="00B968DB"/>
    <w:rsid w:val="00B9694E"/>
    <w:rsid w:val="00B96965"/>
    <w:rsid w:val="00B969A4"/>
    <w:rsid w:val="00B96A41"/>
    <w:rsid w:val="00B96AA2"/>
    <w:rsid w:val="00B96ACF"/>
    <w:rsid w:val="00B96B5F"/>
    <w:rsid w:val="00B96D45"/>
    <w:rsid w:val="00B96E03"/>
    <w:rsid w:val="00B96F18"/>
    <w:rsid w:val="00B96F60"/>
    <w:rsid w:val="00B96FE6"/>
    <w:rsid w:val="00B971C3"/>
    <w:rsid w:val="00B97346"/>
    <w:rsid w:val="00B97402"/>
    <w:rsid w:val="00B9741A"/>
    <w:rsid w:val="00B975FD"/>
    <w:rsid w:val="00B97638"/>
    <w:rsid w:val="00B97676"/>
    <w:rsid w:val="00B97703"/>
    <w:rsid w:val="00B97745"/>
    <w:rsid w:val="00B97766"/>
    <w:rsid w:val="00B97785"/>
    <w:rsid w:val="00B9781B"/>
    <w:rsid w:val="00B97892"/>
    <w:rsid w:val="00B9797A"/>
    <w:rsid w:val="00B97F10"/>
    <w:rsid w:val="00B97FD8"/>
    <w:rsid w:val="00BA0118"/>
    <w:rsid w:val="00BA0191"/>
    <w:rsid w:val="00BA0342"/>
    <w:rsid w:val="00BA0531"/>
    <w:rsid w:val="00BA05C4"/>
    <w:rsid w:val="00BA06A0"/>
    <w:rsid w:val="00BA0728"/>
    <w:rsid w:val="00BA074E"/>
    <w:rsid w:val="00BA0C08"/>
    <w:rsid w:val="00BA0C76"/>
    <w:rsid w:val="00BA1002"/>
    <w:rsid w:val="00BA100B"/>
    <w:rsid w:val="00BA102F"/>
    <w:rsid w:val="00BA10C3"/>
    <w:rsid w:val="00BA120B"/>
    <w:rsid w:val="00BA13EF"/>
    <w:rsid w:val="00BA164D"/>
    <w:rsid w:val="00BA1754"/>
    <w:rsid w:val="00BA1861"/>
    <w:rsid w:val="00BA1883"/>
    <w:rsid w:val="00BA1990"/>
    <w:rsid w:val="00BA1A4A"/>
    <w:rsid w:val="00BA1C2A"/>
    <w:rsid w:val="00BA1DB6"/>
    <w:rsid w:val="00BA20FD"/>
    <w:rsid w:val="00BA22A3"/>
    <w:rsid w:val="00BA23D3"/>
    <w:rsid w:val="00BA2429"/>
    <w:rsid w:val="00BA2700"/>
    <w:rsid w:val="00BA291E"/>
    <w:rsid w:val="00BA293F"/>
    <w:rsid w:val="00BA2A8F"/>
    <w:rsid w:val="00BA2AA4"/>
    <w:rsid w:val="00BA2C4D"/>
    <w:rsid w:val="00BA2D85"/>
    <w:rsid w:val="00BA2D8C"/>
    <w:rsid w:val="00BA2DA7"/>
    <w:rsid w:val="00BA2EC2"/>
    <w:rsid w:val="00BA2F98"/>
    <w:rsid w:val="00BA2FBF"/>
    <w:rsid w:val="00BA2FFC"/>
    <w:rsid w:val="00BA3102"/>
    <w:rsid w:val="00BA335B"/>
    <w:rsid w:val="00BA3393"/>
    <w:rsid w:val="00BA34D9"/>
    <w:rsid w:val="00BA370D"/>
    <w:rsid w:val="00BA3768"/>
    <w:rsid w:val="00BA3929"/>
    <w:rsid w:val="00BA39B9"/>
    <w:rsid w:val="00BA3B22"/>
    <w:rsid w:val="00BA3C88"/>
    <w:rsid w:val="00BA3E08"/>
    <w:rsid w:val="00BA40F2"/>
    <w:rsid w:val="00BA44D2"/>
    <w:rsid w:val="00BA44F3"/>
    <w:rsid w:val="00BA4631"/>
    <w:rsid w:val="00BA4760"/>
    <w:rsid w:val="00BA478D"/>
    <w:rsid w:val="00BA4E29"/>
    <w:rsid w:val="00BA4E9B"/>
    <w:rsid w:val="00BA506F"/>
    <w:rsid w:val="00BA5089"/>
    <w:rsid w:val="00BA510E"/>
    <w:rsid w:val="00BA5295"/>
    <w:rsid w:val="00BA53A4"/>
    <w:rsid w:val="00BA5560"/>
    <w:rsid w:val="00BA57FC"/>
    <w:rsid w:val="00BA5A45"/>
    <w:rsid w:val="00BA5D67"/>
    <w:rsid w:val="00BA5E3B"/>
    <w:rsid w:val="00BA5ECE"/>
    <w:rsid w:val="00BA5FB8"/>
    <w:rsid w:val="00BA61C4"/>
    <w:rsid w:val="00BA62CB"/>
    <w:rsid w:val="00BA62E6"/>
    <w:rsid w:val="00BA65FC"/>
    <w:rsid w:val="00BA6756"/>
    <w:rsid w:val="00BA6A05"/>
    <w:rsid w:val="00BA6ACC"/>
    <w:rsid w:val="00BA6AD5"/>
    <w:rsid w:val="00BA6B27"/>
    <w:rsid w:val="00BA6E1D"/>
    <w:rsid w:val="00BA721F"/>
    <w:rsid w:val="00BA748F"/>
    <w:rsid w:val="00BA7568"/>
    <w:rsid w:val="00BA7677"/>
    <w:rsid w:val="00BA7698"/>
    <w:rsid w:val="00BA77C9"/>
    <w:rsid w:val="00BA78CC"/>
    <w:rsid w:val="00BA79EA"/>
    <w:rsid w:val="00BA7B98"/>
    <w:rsid w:val="00BA7BB7"/>
    <w:rsid w:val="00BA7D5F"/>
    <w:rsid w:val="00BA7D99"/>
    <w:rsid w:val="00BA7DB2"/>
    <w:rsid w:val="00BB00CC"/>
    <w:rsid w:val="00BB0193"/>
    <w:rsid w:val="00BB0275"/>
    <w:rsid w:val="00BB0358"/>
    <w:rsid w:val="00BB0599"/>
    <w:rsid w:val="00BB05FD"/>
    <w:rsid w:val="00BB0687"/>
    <w:rsid w:val="00BB0850"/>
    <w:rsid w:val="00BB0A48"/>
    <w:rsid w:val="00BB0A9F"/>
    <w:rsid w:val="00BB0BDB"/>
    <w:rsid w:val="00BB0CF1"/>
    <w:rsid w:val="00BB0DD6"/>
    <w:rsid w:val="00BB1103"/>
    <w:rsid w:val="00BB1263"/>
    <w:rsid w:val="00BB1463"/>
    <w:rsid w:val="00BB168A"/>
    <w:rsid w:val="00BB16EF"/>
    <w:rsid w:val="00BB17F6"/>
    <w:rsid w:val="00BB1890"/>
    <w:rsid w:val="00BB191D"/>
    <w:rsid w:val="00BB1A37"/>
    <w:rsid w:val="00BB1CE3"/>
    <w:rsid w:val="00BB1D29"/>
    <w:rsid w:val="00BB1EA2"/>
    <w:rsid w:val="00BB1ED3"/>
    <w:rsid w:val="00BB1FBD"/>
    <w:rsid w:val="00BB205F"/>
    <w:rsid w:val="00BB206E"/>
    <w:rsid w:val="00BB21BA"/>
    <w:rsid w:val="00BB228B"/>
    <w:rsid w:val="00BB22FF"/>
    <w:rsid w:val="00BB23EA"/>
    <w:rsid w:val="00BB2520"/>
    <w:rsid w:val="00BB25D5"/>
    <w:rsid w:val="00BB2668"/>
    <w:rsid w:val="00BB2674"/>
    <w:rsid w:val="00BB26EE"/>
    <w:rsid w:val="00BB26F3"/>
    <w:rsid w:val="00BB2732"/>
    <w:rsid w:val="00BB27BF"/>
    <w:rsid w:val="00BB283A"/>
    <w:rsid w:val="00BB2898"/>
    <w:rsid w:val="00BB2957"/>
    <w:rsid w:val="00BB2A07"/>
    <w:rsid w:val="00BB2AA2"/>
    <w:rsid w:val="00BB2CA6"/>
    <w:rsid w:val="00BB2E27"/>
    <w:rsid w:val="00BB3008"/>
    <w:rsid w:val="00BB3188"/>
    <w:rsid w:val="00BB31B7"/>
    <w:rsid w:val="00BB324C"/>
    <w:rsid w:val="00BB32B7"/>
    <w:rsid w:val="00BB32C1"/>
    <w:rsid w:val="00BB348C"/>
    <w:rsid w:val="00BB34F0"/>
    <w:rsid w:val="00BB3589"/>
    <w:rsid w:val="00BB3758"/>
    <w:rsid w:val="00BB379F"/>
    <w:rsid w:val="00BB385B"/>
    <w:rsid w:val="00BB3879"/>
    <w:rsid w:val="00BB38EC"/>
    <w:rsid w:val="00BB3939"/>
    <w:rsid w:val="00BB396C"/>
    <w:rsid w:val="00BB399B"/>
    <w:rsid w:val="00BB3B2F"/>
    <w:rsid w:val="00BB3BC7"/>
    <w:rsid w:val="00BB3D34"/>
    <w:rsid w:val="00BB3ED5"/>
    <w:rsid w:val="00BB3FAC"/>
    <w:rsid w:val="00BB3FC5"/>
    <w:rsid w:val="00BB41D8"/>
    <w:rsid w:val="00BB4468"/>
    <w:rsid w:val="00BB46AF"/>
    <w:rsid w:val="00BB480F"/>
    <w:rsid w:val="00BB4B3C"/>
    <w:rsid w:val="00BB4BDB"/>
    <w:rsid w:val="00BB4BF4"/>
    <w:rsid w:val="00BB4D83"/>
    <w:rsid w:val="00BB4EB3"/>
    <w:rsid w:val="00BB4F35"/>
    <w:rsid w:val="00BB517A"/>
    <w:rsid w:val="00BB5305"/>
    <w:rsid w:val="00BB55AD"/>
    <w:rsid w:val="00BB55F1"/>
    <w:rsid w:val="00BB5681"/>
    <w:rsid w:val="00BB57FB"/>
    <w:rsid w:val="00BB5969"/>
    <w:rsid w:val="00BB5A00"/>
    <w:rsid w:val="00BB5AF8"/>
    <w:rsid w:val="00BB5D5C"/>
    <w:rsid w:val="00BB6273"/>
    <w:rsid w:val="00BB62B5"/>
    <w:rsid w:val="00BB62F6"/>
    <w:rsid w:val="00BB6344"/>
    <w:rsid w:val="00BB63C9"/>
    <w:rsid w:val="00BB6416"/>
    <w:rsid w:val="00BB66AC"/>
    <w:rsid w:val="00BB66E9"/>
    <w:rsid w:val="00BB66F6"/>
    <w:rsid w:val="00BB674E"/>
    <w:rsid w:val="00BB6996"/>
    <w:rsid w:val="00BB69DF"/>
    <w:rsid w:val="00BB6BAC"/>
    <w:rsid w:val="00BB6BC8"/>
    <w:rsid w:val="00BB6C34"/>
    <w:rsid w:val="00BB6C9D"/>
    <w:rsid w:val="00BB6CEF"/>
    <w:rsid w:val="00BB6EDB"/>
    <w:rsid w:val="00BB6F0D"/>
    <w:rsid w:val="00BB6F1C"/>
    <w:rsid w:val="00BB7049"/>
    <w:rsid w:val="00BB711A"/>
    <w:rsid w:val="00BB712C"/>
    <w:rsid w:val="00BB7425"/>
    <w:rsid w:val="00BB7512"/>
    <w:rsid w:val="00BB75AA"/>
    <w:rsid w:val="00BB75B5"/>
    <w:rsid w:val="00BB7886"/>
    <w:rsid w:val="00BB7BD2"/>
    <w:rsid w:val="00BB7C79"/>
    <w:rsid w:val="00BB7E44"/>
    <w:rsid w:val="00BB7F02"/>
    <w:rsid w:val="00BB7F07"/>
    <w:rsid w:val="00BB7F6F"/>
    <w:rsid w:val="00BB7F86"/>
    <w:rsid w:val="00BB7F88"/>
    <w:rsid w:val="00BC0057"/>
    <w:rsid w:val="00BC0129"/>
    <w:rsid w:val="00BC027A"/>
    <w:rsid w:val="00BC0372"/>
    <w:rsid w:val="00BC050C"/>
    <w:rsid w:val="00BC07BA"/>
    <w:rsid w:val="00BC08E3"/>
    <w:rsid w:val="00BC09B4"/>
    <w:rsid w:val="00BC0AEA"/>
    <w:rsid w:val="00BC0AF8"/>
    <w:rsid w:val="00BC0C64"/>
    <w:rsid w:val="00BC0C6E"/>
    <w:rsid w:val="00BC0F7E"/>
    <w:rsid w:val="00BC1033"/>
    <w:rsid w:val="00BC1210"/>
    <w:rsid w:val="00BC134A"/>
    <w:rsid w:val="00BC1421"/>
    <w:rsid w:val="00BC148E"/>
    <w:rsid w:val="00BC14FF"/>
    <w:rsid w:val="00BC176A"/>
    <w:rsid w:val="00BC17CC"/>
    <w:rsid w:val="00BC1ADD"/>
    <w:rsid w:val="00BC1B96"/>
    <w:rsid w:val="00BC1CE0"/>
    <w:rsid w:val="00BC1CFF"/>
    <w:rsid w:val="00BC1D3B"/>
    <w:rsid w:val="00BC1E4A"/>
    <w:rsid w:val="00BC1EBA"/>
    <w:rsid w:val="00BC1F22"/>
    <w:rsid w:val="00BC1F29"/>
    <w:rsid w:val="00BC2017"/>
    <w:rsid w:val="00BC20DF"/>
    <w:rsid w:val="00BC22E3"/>
    <w:rsid w:val="00BC236B"/>
    <w:rsid w:val="00BC25F0"/>
    <w:rsid w:val="00BC25F8"/>
    <w:rsid w:val="00BC269E"/>
    <w:rsid w:val="00BC26B5"/>
    <w:rsid w:val="00BC26E4"/>
    <w:rsid w:val="00BC26F4"/>
    <w:rsid w:val="00BC2764"/>
    <w:rsid w:val="00BC27E6"/>
    <w:rsid w:val="00BC2940"/>
    <w:rsid w:val="00BC2978"/>
    <w:rsid w:val="00BC29AB"/>
    <w:rsid w:val="00BC29CB"/>
    <w:rsid w:val="00BC2AC8"/>
    <w:rsid w:val="00BC2B67"/>
    <w:rsid w:val="00BC2EB7"/>
    <w:rsid w:val="00BC2FAF"/>
    <w:rsid w:val="00BC302F"/>
    <w:rsid w:val="00BC3096"/>
    <w:rsid w:val="00BC311B"/>
    <w:rsid w:val="00BC31FA"/>
    <w:rsid w:val="00BC32E0"/>
    <w:rsid w:val="00BC3396"/>
    <w:rsid w:val="00BC3580"/>
    <w:rsid w:val="00BC3604"/>
    <w:rsid w:val="00BC3866"/>
    <w:rsid w:val="00BC3899"/>
    <w:rsid w:val="00BC38C1"/>
    <w:rsid w:val="00BC39FF"/>
    <w:rsid w:val="00BC3A3D"/>
    <w:rsid w:val="00BC3C6A"/>
    <w:rsid w:val="00BC3CAD"/>
    <w:rsid w:val="00BC3FE7"/>
    <w:rsid w:val="00BC4009"/>
    <w:rsid w:val="00BC4092"/>
    <w:rsid w:val="00BC4259"/>
    <w:rsid w:val="00BC4310"/>
    <w:rsid w:val="00BC43E2"/>
    <w:rsid w:val="00BC43EF"/>
    <w:rsid w:val="00BC443B"/>
    <w:rsid w:val="00BC4609"/>
    <w:rsid w:val="00BC46BC"/>
    <w:rsid w:val="00BC4765"/>
    <w:rsid w:val="00BC47AF"/>
    <w:rsid w:val="00BC47B2"/>
    <w:rsid w:val="00BC4802"/>
    <w:rsid w:val="00BC4935"/>
    <w:rsid w:val="00BC49AC"/>
    <w:rsid w:val="00BC4B07"/>
    <w:rsid w:val="00BC4E16"/>
    <w:rsid w:val="00BC4F41"/>
    <w:rsid w:val="00BC4F9B"/>
    <w:rsid w:val="00BC50F0"/>
    <w:rsid w:val="00BC51A3"/>
    <w:rsid w:val="00BC51F9"/>
    <w:rsid w:val="00BC5225"/>
    <w:rsid w:val="00BC529D"/>
    <w:rsid w:val="00BC5398"/>
    <w:rsid w:val="00BC5411"/>
    <w:rsid w:val="00BC5412"/>
    <w:rsid w:val="00BC57A8"/>
    <w:rsid w:val="00BC5965"/>
    <w:rsid w:val="00BC5A5E"/>
    <w:rsid w:val="00BC5BE2"/>
    <w:rsid w:val="00BC5E2E"/>
    <w:rsid w:val="00BC5E4E"/>
    <w:rsid w:val="00BC5E5A"/>
    <w:rsid w:val="00BC60E9"/>
    <w:rsid w:val="00BC6118"/>
    <w:rsid w:val="00BC6177"/>
    <w:rsid w:val="00BC622E"/>
    <w:rsid w:val="00BC6394"/>
    <w:rsid w:val="00BC63D2"/>
    <w:rsid w:val="00BC63DB"/>
    <w:rsid w:val="00BC63EA"/>
    <w:rsid w:val="00BC6546"/>
    <w:rsid w:val="00BC65C0"/>
    <w:rsid w:val="00BC6601"/>
    <w:rsid w:val="00BC66CB"/>
    <w:rsid w:val="00BC690D"/>
    <w:rsid w:val="00BC6A17"/>
    <w:rsid w:val="00BC6AB5"/>
    <w:rsid w:val="00BC6B7B"/>
    <w:rsid w:val="00BC6CAC"/>
    <w:rsid w:val="00BC6E20"/>
    <w:rsid w:val="00BC6E9F"/>
    <w:rsid w:val="00BC6EA5"/>
    <w:rsid w:val="00BC721B"/>
    <w:rsid w:val="00BC723A"/>
    <w:rsid w:val="00BC72A5"/>
    <w:rsid w:val="00BC76DF"/>
    <w:rsid w:val="00BC7833"/>
    <w:rsid w:val="00BC785E"/>
    <w:rsid w:val="00BC79E8"/>
    <w:rsid w:val="00BC7AC4"/>
    <w:rsid w:val="00BC7B48"/>
    <w:rsid w:val="00BC7B94"/>
    <w:rsid w:val="00BC7BFD"/>
    <w:rsid w:val="00BC7DE0"/>
    <w:rsid w:val="00BC7F89"/>
    <w:rsid w:val="00BD0084"/>
    <w:rsid w:val="00BD0265"/>
    <w:rsid w:val="00BD038A"/>
    <w:rsid w:val="00BD047E"/>
    <w:rsid w:val="00BD0509"/>
    <w:rsid w:val="00BD0563"/>
    <w:rsid w:val="00BD05B3"/>
    <w:rsid w:val="00BD0604"/>
    <w:rsid w:val="00BD068F"/>
    <w:rsid w:val="00BD0719"/>
    <w:rsid w:val="00BD07BA"/>
    <w:rsid w:val="00BD0839"/>
    <w:rsid w:val="00BD09C7"/>
    <w:rsid w:val="00BD0B35"/>
    <w:rsid w:val="00BD0B3D"/>
    <w:rsid w:val="00BD0C81"/>
    <w:rsid w:val="00BD0CED"/>
    <w:rsid w:val="00BD0D50"/>
    <w:rsid w:val="00BD0DBE"/>
    <w:rsid w:val="00BD0E7F"/>
    <w:rsid w:val="00BD0E98"/>
    <w:rsid w:val="00BD0ECE"/>
    <w:rsid w:val="00BD0F6D"/>
    <w:rsid w:val="00BD0FD5"/>
    <w:rsid w:val="00BD100A"/>
    <w:rsid w:val="00BD1108"/>
    <w:rsid w:val="00BD115A"/>
    <w:rsid w:val="00BD12F1"/>
    <w:rsid w:val="00BD13AB"/>
    <w:rsid w:val="00BD142A"/>
    <w:rsid w:val="00BD1507"/>
    <w:rsid w:val="00BD1A88"/>
    <w:rsid w:val="00BD1BC7"/>
    <w:rsid w:val="00BD1BC8"/>
    <w:rsid w:val="00BD1CD3"/>
    <w:rsid w:val="00BD1D46"/>
    <w:rsid w:val="00BD1EA1"/>
    <w:rsid w:val="00BD1F83"/>
    <w:rsid w:val="00BD1FAF"/>
    <w:rsid w:val="00BD2092"/>
    <w:rsid w:val="00BD2132"/>
    <w:rsid w:val="00BD2265"/>
    <w:rsid w:val="00BD264B"/>
    <w:rsid w:val="00BD2754"/>
    <w:rsid w:val="00BD29DF"/>
    <w:rsid w:val="00BD2AE3"/>
    <w:rsid w:val="00BD2BBA"/>
    <w:rsid w:val="00BD2DCB"/>
    <w:rsid w:val="00BD2E5A"/>
    <w:rsid w:val="00BD2E9B"/>
    <w:rsid w:val="00BD3165"/>
    <w:rsid w:val="00BD32AC"/>
    <w:rsid w:val="00BD33D8"/>
    <w:rsid w:val="00BD3477"/>
    <w:rsid w:val="00BD34FF"/>
    <w:rsid w:val="00BD3543"/>
    <w:rsid w:val="00BD358B"/>
    <w:rsid w:val="00BD35C9"/>
    <w:rsid w:val="00BD379A"/>
    <w:rsid w:val="00BD3890"/>
    <w:rsid w:val="00BD3A5C"/>
    <w:rsid w:val="00BD3BEF"/>
    <w:rsid w:val="00BD3C36"/>
    <w:rsid w:val="00BD3CAE"/>
    <w:rsid w:val="00BD3E3C"/>
    <w:rsid w:val="00BD3E9D"/>
    <w:rsid w:val="00BD4280"/>
    <w:rsid w:val="00BD4489"/>
    <w:rsid w:val="00BD45A5"/>
    <w:rsid w:val="00BD4CDC"/>
    <w:rsid w:val="00BD4CE9"/>
    <w:rsid w:val="00BD4D13"/>
    <w:rsid w:val="00BD4EC5"/>
    <w:rsid w:val="00BD4F8A"/>
    <w:rsid w:val="00BD54A1"/>
    <w:rsid w:val="00BD551F"/>
    <w:rsid w:val="00BD554A"/>
    <w:rsid w:val="00BD566D"/>
    <w:rsid w:val="00BD57A5"/>
    <w:rsid w:val="00BD5827"/>
    <w:rsid w:val="00BD5859"/>
    <w:rsid w:val="00BD59CF"/>
    <w:rsid w:val="00BD5A3A"/>
    <w:rsid w:val="00BD5A6D"/>
    <w:rsid w:val="00BD5A6E"/>
    <w:rsid w:val="00BD5CB9"/>
    <w:rsid w:val="00BD5D8A"/>
    <w:rsid w:val="00BD5E2D"/>
    <w:rsid w:val="00BD61C4"/>
    <w:rsid w:val="00BD6422"/>
    <w:rsid w:val="00BD642A"/>
    <w:rsid w:val="00BD6467"/>
    <w:rsid w:val="00BD65BB"/>
    <w:rsid w:val="00BD66B1"/>
    <w:rsid w:val="00BD67FD"/>
    <w:rsid w:val="00BD67FF"/>
    <w:rsid w:val="00BD681C"/>
    <w:rsid w:val="00BD6D51"/>
    <w:rsid w:val="00BD6E14"/>
    <w:rsid w:val="00BD6E9D"/>
    <w:rsid w:val="00BD6F28"/>
    <w:rsid w:val="00BD6FE9"/>
    <w:rsid w:val="00BD6FEC"/>
    <w:rsid w:val="00BD7107"/>
    <w:rsid w:val="00BD71E5"/>
    <w:rsid w:val="00BD7209"/>
    <w:rsid w:val="00BD7351"/>
    <w:rsid w:val="00BD7576"/>
    <w:rsid w:val="00BD7794"/>
    <w:rsid w:val="00BD77DC"/>
    <w:rsid w:val="00BD7823"/>
    <w:rsid w:val="00BD7BCF"/>
    <w:rsid w:val="00BD7C57"/>
    <w:rsid w:val="00BD7C6A"/>
    <w:rsid w:val="00BD7C8F"/>
    <w:rsid w:val="00BD7D50"/>
    <w:rsid w:val="00BD7D70"/>
    <w:rsid w:val="00BD7DCB"/>
    <w:rsid w:val="00BD7E09"/>
    <w:rsid w:val="00BD7E3D"/>
    <w:rsid w:val="00BD7E75"/>
    <w:rsid w:val="00BD7E83"/>
    <w:rsid w:val="00BD7F5B"/>
    <w:rsid w:val="00BD7FFB"/>
    <w:rsid w:val="00BD972F"/>
    <w:rsid w:val="00BE003A"/>
    <w:rsid w:val="00BE01B1"/>
    <w:rsid w:val="00BE022F"/>
    <w:rsid w:val="00BE030F"/>
    <w:rsid w:val="00BE0399"/>
    <w:rsid w:val="00BE039E"/>
    <w:rsid w:val="00BE0428"/>
    <w:rsid w:val="00BE04D0"/>
    <w:rsid w:val="00BE06C3"/>
    <w:rsid w:val="00BE074A"/>
    <w:rsid w:val="00BE0CC5"/>
    <w:rsid w:val="00BE10A9"/>
    <w:rsid w:val="00BE1191"/>
    <w:rsid w:val="00BE12B1"/>
    <w:rsid w:val="00BE13ED"/>
    <w:rsid w:val="00BE15D1"/>
    <w:rsid w:val="00BE15DC"/>
    <w:rsid w:val="00BE1643"/>
    <w:rsid w:val="00BE172E"/>
    <w:rsid w:val="00BE175E"/>
    <w:rsid w:val="00BE1A93"/>
    <w:rsid w:val="00BE1C69"/>
    <w:rsid w:val="00BE1E88"/>
    <w:rsid w:val="00BE214C"/>
    <w:rsid w:val="00BE2220"/>
    <w:rsid w:val="00BE229E"/>
    <w:rsid w:val="00BE2378"/>
    <w:rsid w:val="00BE244A"/>
    <w:rsid w:val="00BE2511"/>
    <w:rsid w:val="00BE273B"/>
    <w:rsid w:val="00BE28AF"/>
    <w:rsid w:val="00BE297E"/>
    <w:rsid w:val="00BE29A2"/>
    <w:rsid w:val="00BE2A8C"/>
    <w:rsid w:val="00BE2CD4"/>
    <w:rsid w:val="00BE2CDF"/>
    <w:rsid w:val="00BE3060"/>
    <w:rsid w:val="00BE3089"/>
    <w:rsid w:val="00BE3123"/>
    <w:rsid w:val="00BE3265"/>
    <w:rsid w:val="00BE32A4"/>
    <w:rsid w:val="00BE32D7"/>
    <w:rsid w:val="00BE32E1"/>
    <w:rsid w:val="00BE346D"/>
    <w:rsid w:val="00BE34B8"/>
    <w:rsid w:val="00BE3B2B"/>
    <w:rsid w:val="00BE3C1F"/>
    <w:rsid w:val="00BE4029"/>
    <w:rsid w:val="00BE410B"/>
    <w:rsid w:val="00BE445A"/>
    <w:rsid w:val="00BE458E"/>
    <w:rsid w:val="00BE46E1"/>
    <w:rsid w:val="00BE47CE"/>
    <w:rsid w:val="00BE47F4"/>
    <w:rsid w:val="00BE4942"/>
    <w:rsid w:val="00BE4A33"/>
    <w:rsid w:val="00BE4BB7"/>
    <w:rsid w:val="00BE4C6B"/>
    <w:rsid w:val="00BE4CA0"/>
    <w:rsid w:val="00BE522C"/>
    <w:rsid w:val="00BE5261"/>
    <w:rsid w:val="00BE5323"/>
    <w:rsid w:val="00BE56A0"/>
    <w:rsid w:val="00BE576E"/>
    <w:rsid w:val="00BE59D5"/>
    <w:rsid w:val="00BE5B92"/>
    <w:rsid w:val="00BE5C4F"/>
    <w:rsid w:val="00BE5D63"/>
    <w:rsid w:val="00BE5E09"/>
    <w:rsid w:val="00BE5E7D"/>
    <w:rsid w:val="00BE5ECF"/>
    <w:rsid w:val="00BE615E"/>
    <w:rsid w:val="00BE6333"/>
    <w:rsid w:val="00BE6376"/>
    <w:rsid w:val="00BE64E0"/>
    <w:rsid w:val="00BE661A"/>
    <w:rsid w:val="00BE68EB"/>
    <w:rsid w:val="00BE6934"/>
    <w:rsid w:val="00BE6963"/>
    <w:rsid w:val="00BE6D57"/>
    <w:rsid w:val="00BE6D80"/>
    <w:rsid w:val="00BE6E6A"/>
    <w:rsid w:val="00BE6EDD"/>
    <w:rsid w:val="00BE6F7C"/>
    <w:rsid w:val="00BE7166"/>
    <w:rsid w:val="00BE7261"/>
    <w:rsid w:val="00BE747E"/>
    <w:rsid w:val="00BE74AD"/>
    <w:rsid w:val="00BE74D0"/>
    <w:rsid w:val="00BE765D"/>
    <w:rsid w:val="00BE770C"/>
    <w:rsid w:val="00BE776B"/>
    <w:rsid w:val="00BE776E"/>
    <w:rsid w:val="00BE792B"/>
    <w:rsid w:val="00BE7A93"/>
    <w:rsid w:val="00BE7B25"/>
    <w:rsid w:val="00BE7D2F"/>
    <w:rsid w:val="00BE7D8B"/>
    <w:rsid w:val="00BE7DCB"/>
    <w:rsid w:val="00BE7F89"/>
    <w:rsid w:val="00BE7FAB"/>
    <w:rsid w:val="00BF010B"/>
    <w:rsid w:val="00BF0185"/>
    <w:rsid w:val="00BF044A"/>
    <w:rsid w:val="00BF04E0"/>
    <w:rsid w:val="00BF065F"/>
    <w:rsid w:val="00BF0858"/>
    <w:rsid w:val="00BF0B01"/>
    <w:rsid w:val="00BF0DD0"/>
    <w:rsid w:val="00BF106E"/>
    <w:rsid w:val="00BF10D8"/>
    <w:rsid w:val="00BF1273"/>
    <w:rsid w:val="00BF13E2"/>
    <w:rsid w:val="00BF16B4"/>
    <w:rsid w:val="00BF18BC"/>
    <w:rsid w:val="00BF194B"/>
    <w:rsid w:val="00BF19BA"/>
    <w:rsid w:val="00BF19BC"/>
    <w:rsid w:val="00BF19CF"/>
    <w:rsid w:val="00BF1AD2"/>
    <w:rsid w:val="00BF1B49"/>
    <w:rsid w:val="00BF1BD4"/>
    <w:rsid w:val="00BF1BE2"/>
    <w:rsid w:val="00BF1CE9"/>
    <w:rsid w:val="00BF1F92"/>
    <w:rsid w:val="00BF2018"/>
    <w:rsid w:val="00BF22B5"/>
    <w:rsid w:val="00BF2326"/>
    <w:rsid w:val="00BF25CF"/>
    <w:rsid w:val="00BF26BA"/>
    <w:rsid w:val="00BF26DD"/>
    <w:rsid w:val="00BF275B"/>
    <w:rsid w:val="00BF2776"/>
    <w:rsid w:val="00BF284F"/>
    <w:rsid w:val="00BF285D"/>
    <w:rsid w:val="00BF2909"/>
    <w:rsid w:val="00BF29A0"/>
    <w:rsid w:val="00BF2AC2"/>
    <w:rsid w:val="00BF2B63"/>
    <w:rsid w:val="00BF2D9E"/>
    <w:rsid w:val="00BF2DA0"/>
    <w:rsid w:val="00BF2DC3"/>
    <w:rsid w:val="00BF2E4F"/>
    <w:rsid w:val="00BF2EF5"/>
    <w:rsid w:val="00BF2F26"/>
    <w:rsid w:val="00BF317D"/>
    <w:rsid w:val="00BF3231"/>
    <w:rsid w:val="00BF32CB"/>
    <w:rsid w:val="00BF3310"/>
    <w:rsid w:val="00BF33D4"/>
    <w:rsid w:val="00BF3461"/>
    <w:rsid w:val="00BF351B"/>
    <w:rsid w:val="00BF3584"/>
    <w:rsid w:val="00BF358F"/>
    <w:rsid w:val="00BF35F3"/>
    <w:rsid w:val="00BF3676"/>
    <w:rsid w:val="00BF373F"/>
    <w:rsid w:val="00BF37CF"/>
    <w:rsid w:val="00BF3AFE"/>
    <w:rsid w:val="00BF3B3F"/>
    <w:rsid w:val="00BF3B67"/>
    <w:rsid w:val="00BF3B74"/>
    <w:rsid w:val="00BF3D8B"/>
    <w:rsid w:val="00BF3E19"/>
    <w:rsid w:val="00BF3E5D"/>
    <w:rsid w:val="00BF3EE5"/>
    <w:rsid w:val="00BF3F02"/>
    <w:rsid w:val="00BF3F48"/>
    <w:rsid w:val="00BF4253"/>
    <w:rsid w:val="00BF440D"/>
    <w:rsid w:val="00BF4655"/>
    <w:rsid w:val="00BF4657"/>
    <w:rsid w:val="00BF46B2"/>
    <w:rsid w:val="00BF476A"/>
    <w:rsid w:val="00BF4B8D"/>
    <w:rsid w:val="00BF4BB2"/>
    <w:rsid w:val="00BF4BE8"/>
    <w:rsid w:val="00BF4D1D"/>
    <w:rsid w:val="00BF4D5B"/>
    <w:rsid w:val="00BF4E06"/>
    <w:rsid w:val="00BF4E11"/>
    <w:rsid w:val="00BF4ECB"/>
    <w:rsid w:val="00BF5127"/>
    <w:rsid w:val="00BF53C0"/>
    <w:rsid w:val="00BF5499"/>
    <w:rsid w:val="00BF54E8"/>
    <w:rsid w:val="00BF565D"/>
    <w:rsid w:val="00BF56A1"/>
    <w:rsid w:val="00BF5B15"/>
    <w:rsid w:val="00BF5DBE"/>
    <w:rsid w:val="00BF5FEB"/>
    <w:rsid w:val="00BF6252"/>
    <w:rsid w:val="00BF6615"/>
    <w:rsid w:val="00BF6622"/>
    <w:rsid w:val="00BF684B"/>
    <w:rsid w:val="00BF6A62"/>
    <w:rsid w:val="00BF6A95"/>
    <w:rsid w:val="00BF6C02"/>
    <w:rsid w:val="00BF6C3F"/>
    <w:rsid w:val="00BF6F71"/>
    <w:rsid w:val="00BF7016"/>
    <w:rsid w:val="00BF7273"/>
    <w:rsid w:val="00BF73F2"/>
    <w:rsid w:val="00BF762F"/>
    <w:rsid w:val="00BF7748"/>
    <w:rsid w:val="00BF77F3"/>
    <w:rsid w:val="00BF7881"/>
    <w:rsid w:val="00BF78F9"/>
    <w:rsid w:val="00BF7B12"/>
    <w:rsid w:val="00BF7B32"/>
    <w:rsid w:val="00BF7C7F"/>
    <w:rsid w:val="00BF7CE5"/>
    <w:rsid w:val="00C0009B"/>
    <w:rsid w:val="00C000A4"/>
    <w:rsid w:val="00C0013F"/>
    <w:rsid w:val="00C002B7"/>
    <w:rsid w:val="00C002FD"/>
    <w:rsid w:val="00C00441"/>
    <w:rsid w:val="00C0087D"/>
    <w:rsid w:val="00C008D3"/>
    <w:rsid w:val="00C00916"/>
    <w:rsid w:val="00C00971"/>
    <w:rsid w:val="00C00A5A"/>
    <w:rsid w:val="00C00AD6"/>
    <w:rsid w:val="00C00BB6"/>
    <w:rsid w:val="00C00C66"/>
    <w:rsid w:val="00C00CDC"/>
    <w:rsid w:val="00C00CE7"/>
    <w:rsid w:val="00C00DA3"/>
    <w:rsid w:val="00C00EC5"/>
    <w:rsid w:val="00C00FE5"/>
    <w:rsid w:val="00C01076"/>
    <w:rsid w:val="00C0109B"/>
    <w:rsid w:val="00C01107"/>
    <w:rsid w:val="00C0112E"/>
    <w:rsid w:val="00C01185"/>
    <w:rsid w:val="00C011E7"/>
    <w:rsid w:val="00C0120F"/>
    <w:rsid w:val="00C012C0"/>
    <w:rsid w:val="00C0133F"/>
    <w:rsid w:val="00C0150E"/>
    <w:rsid w:val="00C0172F"/>
    <w:rsid w:val="00C01897"/>
    <w:rsid w:val="00C018F8"/>
    <w:rsid w:val="00C01BC6"/>
    <w:rsid w:val="00C01D06"/>
    <w:rsid w:val="00C01E44"/>
    <w:rsid w:val="00C02156"/>
    <w:rsid w:val="00C0219C"/>
    <w:rsid w:val="00C023A6"/>
    <w:rsid w:val="00C02510"/>
    <w:rsid w:val="00C025B6"/>
    <w:rsid w:val="00C026D8"/>
    <w:rsid w:val="00C02843"/>
    <w:rsid w:val="00C02903"/>
    <w:rsid w:val="00C029B3"/>
    <w:rsid w:val="00C02AA7"/>
    <w:rsid w:val="00C02CEE"/>
    <w:rsid w:val="00C02D41"/>
    <w:rsid w:val="00C02EAC"/>
    <w:rsid w:val="00C02F4F"/>
    <w:rsid w:val="00C03020"/>
    <w:rsid w:val="00C0306A"/>
    <w:rsid w:val="00C030A8"/>
    <w:rsid w:val="00C030B0"/>
    <w:rsid w:val="00C0314E"/>
    <w:rsid w:val="00C03233"/>
    <w:rsid w:val="00C03509"/>
    <w:rsid w:val="00C03767"/>
    <w:rsid w:val="00C03802"/>
    <w:rsid w:val="00C038C8"/>
    <w:rsid w:val="00C03A6A"/>
    <w:rsid w:val="00C03AD2"/>
    <w:rsid w:val="00C03BBC"/>
    <w:rsid w:val="00C03D06"/>
    <w:rsid w:val="00C03D37"/>
    <w:rsid w:val="00C03D57"/>
    <w:rsid w:val="00C03E2D"/>
    <w:rsid w:val="00C03E72"/>
    <w:rsid w:val="00C03FC2"/>
    <w:rsid w:val="00C04004"/>
    <w:rsid w:val="00C040C7"/>
    <w:rsid w:val="00C040E2"/>
    <w:rsid w:val="00C04212"/>
    <w:rsid w:val="00C04294"/>
    <w:rsid w:val="00C042AE"/>
    <w:rsid w:val="00C044EC"/>
    <w:rsid w:val="00C0453B"/>
    <w:rsid w:val="00C04552"/>
    <w:rsid w:val="00C045FC"/>
    <w:rsid w:val="00C049CE"/>
    <w:rsid w:val="00C04A6A"/>
    <w:rsid w:val="00C04D39"/>
    <w:rsid w:val="00C04DFE"/>
    <w:rsid w:val="00C04EA4"/>
    <w:rsid w:val="00C04FA9"/>
    <w:rsid w:val="00C0501A"/>
    <w:rsid w:val="00C0511B"/>
    <w:rsid w:val="00C05185"/>
    <w:rsid w:val="00C052EB"/>
    <w:rsid w:val="00C05325"/>
    <w:rsid w:val="00C05380"/>
    <w:rsid w:val="00C054A9"/>
    <w:rsid w:val="00C0552F"/>
    <w:rsid w:val="00C0563C"/>
    <w:rsid w:val="00C05653"/>
    <w:rsid w:val="00C058F5"/>
    <w:rsid w:val="00C05934"/>
    <w:rsid w:val="00C0595B"/>
    <w:rsid w:val="00C05991"/>
    <w:rsid w:val="00C05C47"/>
    <w:rsid w:val="00C05DE3"/>
    <w:rsid w:val="00C05F45"/>
    <w:rsid w:val="00C06003"/>
    <w:rsid w:val="00C064C5"/>
    <w:rsid w:val="00C064EA"/>
    <w:rsid w:val="00C06916"/>
    <w:rsid w:val="00C0695B"/>
    <w:rsid w:val="00C06988"/>
    <w:rsid w:val="00C069E2"/>
    <w:rsid w:val="00C069FC"/>
    <w:rsid w:val="00C06A1A"/>
    <w:rsid w:val="00C06CE4"/>
    <w:rsid w:val="00C06D09"/>
    <w:rsid w:val="00C06F1B"/>
    <w:rsid w:val="00C06F9C"/>
    <w:rsid w:val="00C07202"/>
    <w:rsid w:val="00C0730B"/>
    <w:rsid w:val="00C07434"/>
    <w:rsid w:val="00C0747D"/>
    <w:rsid w:val="00C07486"/>
    <w:rsid w:val="00C0763C"/>
    <w:rsid w:val="00C07853"/>
    <w:rsid w:val="00C078A6"/>
    <w:rsid w:val="00C0798B"/>
    <w:rsid w:val="00C07C2B"/>
    <w:rsid w:val="00C07C82"/>
    <w:rsid w:val="00C07F42"/>
    <w:rsid w:val="00C100DC"/>
    <w:rsid w:val="00C1012D"/>
    <w:rsid w:val="00C1016D"/>
    <w:rsid w:val="00C10266"/>
    <w:rsid w:val="00C10425"/>
    <w:rsid w:val="00C104CF"/>
    <w:rsid w:val="00C1050F"/>
    <w:rsid w:val="00C1063B"/>
    <w:rsid w:val="00C106C3"/>
    <w:rsid w:val="00C1079B"/>
    <w:rsid w:val="00C10800"/>
    <w:rsid w:val="00C10841"/>
    <w:rsid w:val="00C10979"/>
    <w:rsid w:val="00C10ACC"/>
    <w:rsid w:val="00C10B28"/>
    <w:rsid w:val="00C10BF0"/>
    <w:rsid w:val="00C10C8D"/>
    <w:rsid w:val="00C10D78"/>
    <w:rsid w:val="00C10FF8"/>
    <w:rsid w:val="00C11041"/>
    <w:rsid w:val="00C1104F"/>
    <w:rsid w:val="00C1110F"/>
    <w:rsid w:val="00C11122"/>
    <w:rsid w:val="00C1125A"/>
    <w:rsid w:val="00C11793"/>
    <w:rsid w:val="00C117D3"/>
    <w:rsid w:val="00C117E1"/>
    <w:rsid w:val="00C11A02"/>
    <w:rsid w:val="00C11EE9"/>
    <w:rsid w:val="00C123A8"/>
    <w:rsid w:val="00C12539"/>
    <w:rsid w:val="00C125C9"/>
    <w:rsid w:val="00C12658"/>
    <w:rsid w:val="00C1296B"/>
    <w:rsid w:val="00C12C3A"/>
    <w:rsid w:val="00C12CB3"/>
    <w:rsid w:val="00C12DAA"/>
    <w:rsid w:val="00C12E92"/>
    <w:rsid w:val="00C12F82"/>
    <w:rsid w:val="00C12FDB"/>
    <w:rsid w:val="00C133F5"/>
    <w:rsid w:val="00C136C9"/>
    <w:rsid w:val="00C136D3"/>
    <w:rsid w:val="00C137E6"/>
    <w:rsid w:val="00C1389B"/>
    <w:rsid w:val="00C13901"/>
    <w:rsid w:val="00C139F7"/>
    <w:rsid w:val="00C13A66"/>
    <w:rsid w:val="00C13BD3"/>
    <w:rsid w:val="00C13C15"/>
    <w:rsid w:val="00C13D69"/>
    <w:rsid w:val="00C13E57"/>
    <w:rsid w:val="00C13E94"/>
    <w:rsid w:val="00C13FD1"/>
    <w:rsid w:val="00C13FDB"/>
    <w:rsid w:val="00C13FF5"/>
    <w:rsid w:val="00C14177"/>
    <w:rsid w:val="00C14243"/>
    <w:rsid w:val="00C144CE"/>
    <w:rsid w:val="00C1451E"/>
    <w:rsid w:val="00C145BD"/>
    <w:rsid w:val="00C1464F"/>
    <w:rsid w:val="00C1475C"/>
    <w:rsid w:val="00C1479A"/>
    <w:rsid w:val="00C147EB"/>
    <w:rsid w:val="00C14814"/>
    <w:rsid w:val="00C14842"/>
    <w:rsid w:val="00C14863"/>
    <w:rsid w:val="00C14F6F"/>
    <w:rsid w:val="00C14F8B"/>
    <w:rsid w:val="00C15012"/>
    <w:rsid w:val="00C15310"/>
    <w:rsid w:val="00C1549B"/>
    <w:rsid w:val="00C1571B"/>
    <w:rsid w:val="00C158D6"/>
    <w:rsid w:val="00C158F7"/>
    <w:rsid w:val="00C15A42"/>
    <w:rsid w:val="00C15A79"/>
    <w:rsid w:val="00C15B31"/>
    <w:rsid w:val="00C15B62"/>
    <w:rsid w:val="00C15D9D"/>
    <w:rsid w:val="00C15DB7"/>
    <w:rsid w:val="00C15F35"/>
    <w:rsid w:val="00C160B9"/>
    <w:rsid w:val="00C16195"/>
    <w:rsid w:val="00C161AE"/>
    <w:rsid w:val="00C164E0"/>
    <w:rsid w:val="00C16578"/>
    <w:rsid w:val="00C16631"/>
    <w:rsid w:val="00C16735"/>
    <w:rsid w:val="00C16787"/>
    <w:rsid w:val="00C1680F"/>
    <w:rsid w:val="00C16810"/>
    <w:rsid w:val="00C16833"/>
    <w:rsid w:val="00C16862"/>
    <w:rsid w:val="00C168DA"/>
    <w:rsid w:val="00C16A4A"/>
    <w:rsid w:val="00C16A5A"/>
    <w:rsid w:val="00C16B07"/>
    <w:rsid w:val="00C16C74"/>
    <w:rsid w:val="00C16CCB"/>
    <w:rsid w:val="00C16D04"/>
    <w:rsid w:val="00C16DE4"/>
    <w:rsid w:val="00C16E50"/>
    <w:rsid w:val="00C172E8"/>
    <w:rsid w:val="00C17343"/>
    <w:rsid w:val="00C1735B"/>
    <w:rsid w:val="00C17374"/>
    <w:rsid w:val="00C17381"/>
    <w:rsid w:val="00C173E7"/>
    <w:rsid w:val="00C1740D"/>
    <w:rsid w:val="00C1741F"/>
    <w:rsid w:val="00C17432"/>
    <w:rsid w:val="00C17447"/>
    <w:rsid w:val="00C175AE"/>
    <w:rsid w:val="00C17716"/>
    <w:rsid w:val="00C17724"/>
    <w:rsid w:val="00C1785B"/>
    <w:rsid w:val="00C179D9"/>
    <w:rsid w:val="00C17A28"/>
    <w:rsid w:val="00C17B00"/>
    <w:rsid w:val="00C17B27"/>
    <w:rsid w:val="00C17B57"/>
    <w:rsid w:val="00C17D58"/>
    <w:rsid w:val="00C17D70"/>
    <w:rsid w:val="00C17E12"/>
    <w:rsid w:val="00C17F00"/>
    <w:rsid w:val="00C2018A"/>
    <w:rsid w:val="00C2018D"/>
    <w:rsid w:val="00C2029A"/>
    <w:rsid w:val="00C202EA"/>
    <w:rsid w:val="00C204E8"/>
    <w:rsid w:val="00C2076A"/>
    <w:rsid w:val="00C20974"/>
    <w:rsid w:val="00C20AAB"/>
    <w:rsid w:val="00C20B24"/>
    <w:rsid w:val="00C20B81"/>
    <w:rsid w:val="00C20C6C"/>
    <w:rsid w:val="00C20E75"/>
    <w:rsid w:val="00C20FE6"/>
    <w:rsid w:val="00C21252"/>
    <w:rsid w:val="00C212B9"/>
    <w:rsid w:val="00C214B0"/>
    <w:rsid w:val="00C2152E"/>
    <w:rsid w:val="00C21593"/>
    <w:rsid w:val="00C2160F"/>
    <w:rsid w:val="00C216D4"/>
    <w:rsid w:val="00C218C3"/>
    <w:rsid w:val="00C219D7"/>
    <w:rsid w:val="00C21AA4"/>
    <w:rsid w:val="00C21AAA"/>
    <w:rsid w:val="00C21C43"/>
    <w:rsid w:val="00C22265"/>
    <w:rsid w:val="00C22294"/>
    <w:rsid w:val="00C222DA"/>
    <w:rsid w:val="00C225DC"/>
    <w:rsid w:val="00C226BB"/>
    <w:rsid w:val="00C226E3"/>
    <w:rsid w:val="00C2280E"/>
    <w:rsid w:val="00C22962"/>
    <w:rsid w:val="00C22AA3"/>
    <w:rsid w:val="00C22C7A"/>
    <w:rsid w:val="00C22C96"/>
    <w:rsid w:val="00C22CB8"/>
    <w:rsid w:val="00C22CDB"/>
    <w:rsid w:val="00C22D75"/>
    <w:rsid w:val="00C22E9D"/>
    <w:rsid w:val="00C22F91"/>
    <w:rsid w:val="00C23052"/>
    <w:rsid w:val="00C23260"/>
    <w:rsid w:val="00C23265"/>
    <w:rsid w:val="00C23364"/>
    <w:rsid w:val="00C2338D"/>
    <w:rsid w:val="00C23579"/>
    <w:rsid w:val="00C23587"/>
    <w:rsid w:val="00C23785"/>
    <w:rsid w:val="00C23999"/>
    <w:rsid w:val="00C239B9"/>
    <w:rsid w:val="00C239BC"/>
    <w:rsid w:val="00C23AC6"/>
    <w:rsid w:val="00C23B5F"/>
    <w:rsid w:val="00C23CFF"/>
    <w:rsid w:val="00C23E7D"/>
    <w:rsid w:val="00C23F46"/>
    <w:rsid w:val="00C23F6F"/>
    <w:rsid w:val="00C23FD1"/>
    <w:rsid w:val="00C240F2"/>
    <w:rsid w:val="00C242E3"/>
    <w:rsid w:val="00C243B8"/>
    <w:rsid w:val="00C243DF"/>
    <w:rsid w:val="00C24470"/>
    <w:rsid w:val="00C244CE"/>
    <w:rsid w:val="00C245EE"/>
    <w:rsid w:val="00C24814"/>
    <w:rsid w:val="00C24BF1"/>
    <w:rsid w:val="00C24C5C"/>
    <w:rsid w:val="00C24CF7"/>
    <w:rsid w:val="00C24D68"/>
    <w:rsid w:val="00C24DFF"/>
    <w:rsid w:val="00C250E1"/>
    <w:rsid w:val="00C25139"/>
    <w:rsid w:val="00C251B8"/>
    <w:rsid w:val="00C25229"/>
    <w:rsid w:val="00C253BF"/>
    <w:rsid w:val="00C25554"/>
    <w:rsid w:val="00C25873"/>
    <w:rsid w:val="00C25876"/>
    <w:rsid w:val="00C258FD"/>
    <w:rsid w:val="00C25AA3"/>
    <w:rsid w:val="00C25BD9"/>
    <w:rsid w:val="00C26106"/>
    <w:rsid w:val="00C2617F"/>
    <w:rsid w:val="00C2632E"/>
    <w:rsid w:val="00C265A4"/>
    <w:rsid w:val="00C266D0"/>
    <w:rsid w:val="00C26833"/>
    <w:rsid w:val="00C26871"/>
    <w:rsid w:val="00C26A9F"/>
    <w:rsid w:val="00C26ABD"/>
    <w:rsid w:val="00C26AD4"/>
    <w:rsid w:val="00C26B3A"/>
    <w:rsid w:val="00C26B8C"/>
    <w:rsid w:val="00C26C7F"/>
    <w:rsid w:val="00C26CA9"/>
    <w:rsid w:val="00C26DD9"/>
    <w:rsid w:val="00C2725A"/>
    <w:rsid w:val="00C27323"/>
    <w:rsid w:val="00C273AB"/>
    <w:rsid w:val="00C2752C"/>
    <w:rsid w:val="00C2753B"/>
    <w:rsid w:val="00C275EA"/>
    <w:rsid w:val="00C276F1"/>
    <w:rsid w:val="00C27774"/>
    <w:rsid w:val="00C277A5"/>
    <w:rsid w:val="00C27825"/>
    <w:rsid w:val="00C279D7"/>
    <w:rsid w:val="00C27AF2"/>
    <w:rsid w:val="00C27C23"/>
    <w:rsid w:val="00C27EC0"/>
    <w:rsid w:val="00C27ED4"/>
    <w:rsid w:val="00C30072"/>
    <w:rsid w:val="00C3022E"/>
    <w:rsid w:val="00C30236"/>
    <w:rsid w:val="00C30281"/>
    <w:rsid w:val="00C302AC"/>
    <w:rsid w:val="00C303DE"/>
    <w:rsid w:val="00C304F2"/>
    <w:rsid w:val="00C3053A"/>
    <w:rsid w:val="00C30590"/>
    <w:rsid w:val="00C3072C"/>
    <w:rsid w:val="00C3087E"/>
    <w:rsid w:val="00C3096E"/>
    <w:rsid w:val="00C30AFA"/>
    <w:rsid w:val="00C30B91"/>
    <w:rsid w:val="00C30BAA"/>
    <w:rsid w:val="00C30CD2"/>
    <w:rsid w:val="00C30CE8"/>
    <w:rsid w:val="00C30D57"/>
    <w:rsid w:val="00C30F9C"/>
    <w:rsid w:val="00C310B7"/>
    <w:rsid w:val="00C31132"/>
    <w:rsid w:val="00C311B0"/>
    <w:rsid w:val="00C3123C"/>
    <w:rsid w:val="00C3130C"/>
    <w:rsid w:val="00C31408"/>
    <w:rsid w:val="00C3141D"/>
    <w:rsid w:val="00C31448"/>
    <w:rsid w:val="00C3146C"/>
    <w:rsid w:val="00C314A2"/>
    <w:rsid w:val="00C31677"/>
    <w:rsid w:val="00C316E3"/>
    <w:rsid w:val="00C31867"/>
    <w:rsid w:val="00C318D5"/>
    <w:rsid w:val="00C31B05"/>
    <w:rsid w:val="00C31C90"/>
    <w:rsid w:val="00C31E50"/>
    <w:rsid w:val="00C31E89"/>
    <w:rsid w:val="00C31F35"/>
    <w:rsid w:val="00C31FD6"/>
    <w:rsid w:val="00C3201A"/>
    <w:rsid w:val="00C322E0"/>
    <w:rsid w:val="00C324BA"/>
    <w:rsid w:val="00C32525"/>
    <w:rsid w:val="00C3252E"/>
    <w:rsid w:val="00C32538"/>
    <w:rsid w:val="00C32551"/>
    <w:rsid w:val="00C3259A"/>
    <w:rsid w:val="00C3260E"/>
    <w:rsid w:val="00C326BD"/>
    <w:rsid w:val="00C326CA"/>
    <w:rsid w:val="00C326FE"/>
    <w:rsid w:val="00C32764"/>
    <w:rsid w:val="00C328F4"/>
    <w:rsid w:val="00C329A2"/>
    <w:rsid w:val="00C32A32"/>
    <w:rsid w:val="00C32A8D"/>
    <w:rsid w:val="00C32AA4"/>
    <w:rsid w:val="00C32CAC"/>
    <w:rsid w:val="00C32D1D"/>
    <w:rsid w:val="00C32D4E"/>
    <w:rsid w:val="00C32E55"/>
    <w:rsid w:val="00C32F21"/>
    <w:rsid w:val="00C330A5"/>
    <w:rsid w:val="00C330EA"/>
    <w:rsid w:val="00C33374"/>
    <w:rsid w:val="00C333B9"/>
    <w:rsid w:val="00C333BD"/>
    <w:rsid w:val="00C334F0"/>
    <w:rsid w:val="00C33539"/>
    <w:rsid w:val="00C3356C"/>
    <w:rsid w:val="00C33581"/>
    <w:rsid w:val="00C335CC"/>
    <w:rsid w:val="00C33680"/>
    <w:rsid w:val="00C337C5"/>
    <w:rsid w:val="00C3381D"/>
    <w:rsid w:val="00C33836"/>
    <w:rsid w:val="00C33951"/>
    <w:rsid w:val="00C33D93"/>
    <w:rsid w:val="00C33F32"/>
    <w:rsid w:val="00C341F6"/>
    <w:rsid w:val="00C34254"/>
    <w:rsid w:val="00C342E3"/>
    <w:rsid w:val="00C343BD"/>
    <w:rsid w:val="00C34501"/>
    <w:rsid w:val="00C34552"/>
    <w:rsid w:val="00C34697"/>
    <w:rsid w:val="00C346FF"/>
    <w:rsid w:val="00C34716"/>
    <w:rsid w:val="00C3483C"/>
    <w:rsid w:val="00C34A8E"/>
    <w:rsid w:val="00C34B43"/>
    <w:rsid w:val="00C34E38"/>
    <w:rsid w:val="00C34F32"/>
    <w:rsid w:val="00C3502D"/>
    <w:rsid w:val="00C3509C"/>
    <w:rsid w:val="00C350A1"/>
    <w:rsid w:val="00C353E2"/>
    <w:rsid w:val="00C3540C"/>
    <w:rsid w:val="00C355DF"/>
    <w:rsid w:val="00C35672"/>
    <w:rsid w:val="00C35708"/>
    <w:rsid w:val="00C35744"/>
    <w:rsid w:val="00C35855"/>
    <w:rsid w:val="00C35884"/>
    <w:rsid w:val="00C35A22"/>
    <w:rsid w:val="00C35A8D"/>
    <w:rsid w:val="00C35AD6"/>
    <w:rsid w:val="00C35DF8"/>
    <w:rsid w:val="00C362AA"/>
    <w:rsid w:val="00C36343"/>
    <w:rsid w:val="00C36361"/>
    <w:rsid w:val="00C364E5"/>
    <w:rsid w:val="00C366E4"/>
    <w:rsid w:val="00C366E5"/>
    <w:rsid w:val="00C36820"/>
    <w:rsid w:val="00C36916"/>
    <w:rsid w:val="00C36AA9"/>
    <w:rsid w:val="00C36BAE"/>
    <w:rsid w:val="00C36F43"/>
    <w:rsid w:val="00C37021"/>
    <w:rsid w:val="00C3702A"/>
    <w:rsid w:val="00C370F1"/>
    <w:rsid w:val="00C3727B"/>
    <w:rsid w:val="00C372AC"/>
    <w:rsid w:val="00C373F7"/>
    <w:rsid w:val="00C375EA"/>
    <w:rsid w:val="00C37649"/>
    <w:rsid w:val="00C378F7"/>
    <w:rsid w:val="00C3794D"/>
    <w:rsid w:val="00C37BDB"/>
    <w:rsid w:val="00C37E5A"/>
    <w:rsid w:val="00C37F7A"/>
    <w:rsid w:val="00C37FB6"/>
    <w:rsid w:val="00C37FBD"/>
    <w:rsid w:val="00C4063B"/>
    <w:rsid w:val="00C40844"/>
    <w:rsid w:val="00C40925"/>
    <w:rsid w:val="00C40ACF"/>
    <w:rsid w:val="00C40B41"/>
    <w:rsid w:val="00C40B96"/>
    <w:rsid w:val="00C40C9A"/>
    <w:rsid w:val="00C40CF7"/>
    <w:rsid w:val="00C40D1C"/>
    <w:rsid w:val="00C40D8B"/>
    <w:rsid w:val="00C40E92"/>
    <w:rsid w:val="00C40F6D"/>
    <w:rsid w:val="00C4125F"/>
    <w:rsid w:val="00C41398"/>
    <w:rsid w:val="00C4148D"/>
    <w:rsid w:val="00C41543"/>
    <w:rsid w:val="00C415C7"/>
    <w:rsid w:val="00C41671"/>
    <w:rsid w:val="00C41678"/>
    <w:rsid w:val="00C416E8"/>
    <w:rsid w:val="00C4174A"/>
    <w:rsid w:val="00C4182A"/>
    <w:rsid w:val="00C418B9"/>
    <w:rsid w:val="00C41A66"/>
    <w:rsid w:val="00C41DE1"/>
    <w:rsid w:val="00C41E38"/>
    <w:rsid w:val="00C41E46"/>
    <w:rsid w:val="00C41EEB"/>
    <w:rsid w:val="00C42169"/>
    <w:rsid w:val="00C42245"/>
    <w:rsid w:val="00C422D2"/>
    <w:rsid w:val="00C42717"/>
    <w:rsid w:val="00C42739"/>
    <w:rsid w:val="00C4275D"/>
    <w:rsid w:val="00C42878"/>
    <w:rsid w:val="00C428BC"/>
    <w:rsid w:val="00C42A39"/>
    <w:rsid w:val="00C42A51"/>
    <w:rsid w:val="00C42AB8"/>
    <w:rsid w:val="00C42B11"/>
    <w:rsid w:val="00C42CEB"/>
    <w:rsid w:val="00C42EF4"/>
    <w:rsid w:val="00C42FB6"/>
    <w:rsid w:val="00C42FF5"/>
    <w:rsid w:val="00C430A9"/>
    <w:rsid w:val="00C4311B"/>
    <w:rsid w:val="00C4322F"/>
    <w:rsid w:val="00C4335A"/>
    <w:rsid w:val="00C433BC"/>
    <w:rsid w:val="00C433F9"/>
    <w:rsid w:val="00C43456"/>
    <w:rsid w:val="00C43575"/>
    <w:rsid w:val="00C4359A"/>
    <w:rsid w:val="00C4395F"/>
    <w:rsid w:val="00C4396D"/>
    <w:rsid w:val="00C439F6"/>
    <w:rsid w:val="00C43AEF"/>
    <w:rsid w:val="00C43D49"/>
    <w:rsid w:val="00C43DA5"/>
    <w:rsid w:val="00C43DA6"/>
    <w:rsid w:val="00C43DFE"/>
    <w:rsid w:val="00C43E19"/>
    <w:rsid w:val="00C43F45"/>
    <w:rsid w:val="00C44060"/>
    <w:rsid w:val="00C44132"/>
    <w:rsid w:val="00C445BE"/>
    <w:rsid w:val="00C44607"/>
    <w:rsid w:val="00C44626"/>
    <w:rsid w:val="00C4471E"/>
    <w:rsid w:val="00C4480E"/>
    <w:rsid w:val="00C44888"/>
    <w:rsid w:val="00C44F2F"/>
    <w:rsid w:val="00C45054"/>
    <w:rsid w:val="00C45169"/>
    <w:rsid w:val="00C4546C"/>
    <w:rsid w:val="00C455B5"/>
    <w:rsid w:val="00C456B8"/>
    <w:rsid w:val="00C45892"/>
    <w:rsid w:val="00C4591E"/>
    <w:rsid w:val="00C459F3"/>
    <w:rsid w:val="00C45AC6"/>
    <w:rsid w:val="00C45C44"/>
    <w:rsid w:val="00C45CA6"/>
    <w:rsid w:val="00C45D92"/>
    <w:rsid w:val="00C45EA3"/>
    <w:rsid w:val="00C461FC"/>
    <w:rsid w:val="00C462D2"/>
    <w:rsid w:val="00C46356"/>
    <w:rsid w:val="00C4645F"/>
    <w:rsid w:val="00C465A6"/>
    <w:rsid w:val="00C46652"/>
    <w:rsid w:val="00C4666A"/>
    <w:rsid w:val="00C46802"/>
    <w:rsid w:val="00C46BF6"/>
    <w:rsid w:val="00C46D48"/>
    <w:rsid w:val="00C46DEA"/>
    <w:rsid w:val="00C46FD0"/>
    <w:rsid w:val="00C473E7"/>
    <w:rsid w:val="00C47437"/>
    <w:rsid w:val="00C47455"/>
    <w:rsid w:val="00C4747F"/>
    <w:rsid w:val="00C477C7"/>
    <w:rsid w:val="00C4781F"/>
    <w:rsid w:val="00C4799B"/>
    <w:rsid w:val="00C47AAB"/>
    <w:rsid w:val="00C47CC5"/>
    <w:rsid w:val="00C47D1E"/>
    <w:rsid w:val="00C47F1E"/>
    <w:rsid w:val="00C50029"/>
    <w:rsid w:val="00C50161"/>
    <w:rsid w:val="00C5027D"/>
    <w:rsid w:val="00C503D7"/>
    <w:rsid w:val="00C50529"/>
    <w:rsid w:val="00C50566"/>
    <w:rsid w:val="00C5058E"/>
    <w:rsid w:val="00C505E5"/>
    <w:rsid w:val="00C5061C"/>
    <w:rsid w:val="00C506CD"/>
    <w:rsid w:val="00C506E0"/>
    <w:rsid w:val="00C50763"/>
    <w:rsid w:val="00C507F7"/>
    <w:rsid w:val="00C509EE"/>
    <w:rsid w:val="00C50BCC"/>
    <w:rsid w:val="00C50DF0"/>
    <w:rsid w:val="00C50E97"/>
    <w:rsid w:val="00C50EB5"/>
    <w:rsid w:val="00C50ED9"/>
    <w:rsid w:val="00C50EFE"/>
    <w:rsid w:val="00C50FBB"/>
    <w:rsid w:val="00C512C7"/>
    <w:rsid w:val="00C51377"/>
    <w:rsid w:val="00C513DF"/>
    <w:rsid w:val="00C51497"/>
    <w:rsid w:val="00C514BB"/>
    <w:rsid w:val="00C514D3"/>
    <w:rsid w:val="00C516EA"/>
    <w:rsid w:val="00C51731"/>
    <w:rsid w:val="00C5184E"/>
    <w:rsid w:val="00C51A72"/>
    <w:rsid w:val="00C51B91"/>
    <w:rsid w:val="00C51B95"/>
    <w:rsid w:val="00C51C2C"/>
    <w:rsid w:val="00C51CA6"/>
    <w:rsid w:val="00C51CE0"/>
    <w:rsid w:val="00C51D2F"/>
    <w:rsid w:val="00C51DE7"/>
    <w:rsid w:val="00C52009"/>
    <w:rsid w:val="00C520AC"/>
    <w:rsid w:val="00C52281"/>
    <w:rsid w:val="00C5246E"/>
    <w:rsid w:val="00C524E9"/>
    <w:rsid w:val="00C52512"/>
    <w:rsid w:val="00C5255C"/>
    <w:rsid w:val="00C52586"/>
    <w:rsid w:val="00C527F0"/>
    <w:rsid w:val="00C52859"/>
    <w:rsid w:val="00C528DA"/>
    <w:rsid w:val="00C52E38"/>
    <w:rsid w:val="00C52FA3"/>
    <w:rsid w:val="00C53128"/>
    <w:rsid w:val="00C5325D"/>
    <w:rsid w:val="00C5338C"/>
    <w:rsid w:val="00C533AC"/>
    <w:rsid w:val="00C535EC"/>
    <w:rsid w:val="00C535FD"/>
    <w:rsid w:val="00C536A9"/>
    <w:rsid w:val="00C53984"/>
    <w:rsid w:val="00C53AC5"/>
    <w:rsid w:val="00C53C76"/>
    <w:rsid w:val="00C53E3D"/>
    <w:rsid w:val="00C53E8C"/>
    <w:rsid w:val="00C53F5D"/>
    <w:rsid w:val="00C5403E"/>
    <w:rsid w:val="00C542C2"/>
    <w:rsid w:val="00C542D7"/>
    <w:rsid w:val="00C5439B"/>
    <w:rsid w:val="00C54437"/>
    <w:rsid w:val="00C545CA"/>
    <w:rsid w:val="00C5461C"/>
    <w:rsid w:val="00C546B4"/>
    <w:rsid w:val="00C54757"/>
    <w:rsid w:val="00C5479D"/>
    <w:rsid w:val="00C54878"/>
    <w:rsid w:val="00C548A9"/>
    <w:rsid w:val="00C54A39"/>
    <w:rsid w:val="00C54C97"/>
    <w:rsid w:val="00C54CFE"/>
    <w:rsid w:val="00C54D0D"/>
    <w:rsid w:val="00C54D49"/>
    <w:rsid w:val="00C54F70"/>
    <w:rsid w:val="00C5507D"/>
    <w:rsid w:val="00C551F2"/>
    <w:rsid w:val="00C552F5"/>
    <w:rsid w:val="00C553D0"/>
    <w:rsid w:val="00C55490"/>
    <w:rsid w:val="00C55591"/>
    <w:rsid w:val="00C55618"/>
    <w:rsid w:val="00C55730"/>
    <w:rsid w:val="00C55848"/>
    <w:rsid w:val="00C55987"/>
    <w:rsid w:val="00C55C39"/>
    <w:rsid w:val="00C55C43"/>
    <w:rsid w:val="00C55E2B"/>
    <w:rsid w:val="00C55E7A"/>
    <w:rsid w:val="00C55FAE"/>
    <w:rsid w:val="00C55FFE"/>
    <w:rsid w:val="00C5603B"/>
    <w:rsid w:val="00C5617D"/>
    <w:rsid w:val="00C56420"/>
    <w:rsid w:val="00C56484"/>
    <w:rsid w:val="00C56557"/>
    <w:rsid w:val="00C566CD"/>
    <w:rsid w:val="00C56775"/>
    <w:rsid w:val="00C56941"/>
    <w:rsid w:val="00C56B75"/>
    <w:rsid w:val="00C56CFB"/>
    <w:rsid w:val="00C56DC5"/>
    <w:rsid w:val="00C56FEE"/>
    <w:rsid w:val="00C56FFF"/>
    <w:rsid w:val="00C57036"/>
    <w:rsid w:val="00C57102"/>
    <w:rsid w:val="00C5712F"/>
    <w:rsid w:val="00C57196"/>
    <w:rsid w:val="00C57426"/>
    <w:rsid w:val="00C57527"/>
    <w:rsid w:val="00C57572"/>
    <w:rsid w:val="00C57591"/>
    <w:rsid w:val="00C57606"/>
    <w:rsid w:val="00C57632"/>
    <w:rsid w:val="00C57873"/>
    <w:rsid w:val="00C57910"/>
    <w:rsid w:val="00C57C4F"/>
    <w:rsid w:val="00C57C75"/>
    <w:rsid w:val="00C57D8B"/>
    <w:rsid w:val="00C60103"/>
    <w:rsid w:val="00C60244"/>
    <w:rsid w:val="00C60391"/>
    <w:rsid w:val="00C6056B"/>
    <w:rsid w:val="00C60594"/>
    <w:rsid w:val="00C605CF"/>
    <w:rsid w:val="00C6060F"/>
    <w:rsid w:val="00C60643"/>
    <w:rsid w:val="00C6066C"/>
    <w:rsid w:val="00C6067E"/>
    <w:rsid w:val="00C6081A"/>
    <w:rsid w:val="00C60A7A"/>
    <w:rsid w:val="00C60AE0"/>
    <w:rsid w:val="00C60CAB"/>
    <w:rsid w:val="00C60CCA"/>
    <w:rsid w:val="00C60CF5"/>
    <w:rsid w:val="00C60D1F"/>
    <w:rsid w:val="00C60E26"/>
    <w:rsid w:val="00C60E36"/>
    <w:rsid w:val="00C60FE5"/>
    <w:rsid w:val="00C610BA"/>
    <w:rsid w:val="00C6120C"/>
    <w:rsid w:val="00C61268"/>
    <w:rsid w:val="00C61279"/>
    <w:rsid w:val="00C6135B"/>
    <w:rsid w:val="00C6147C"/>
    <w:rsid w:val="00C61501"/>
    <w:rsid w:val="00C6153A"/>
    <w:rsid w:val="00C61593"/>
    <w:rsid w:val="00C61647"/>
    <w:rsid w:val="00C61660"/>
    <w:rsid w:val="00C616E7"/>
    <w:rsid w:val="00C617EB"/>
    <w:rsid w:val="00C6188D"/>
    <w:rsid w:val="00C61B5A"/>
    <w:rsid w:val="00C61D49"/>
    <w:rsid w:val="00C61DA8"/>
    <w:rsid w:val="00C61E1B"/>
    <w:rsid w:val="00C61E49"/>
    <w:rsid w:val="00C61E7E"/>
    <w:rsid w:val="00C61F5D"/>
    <w:rsid w:val="00C61FD1"/>
    <w:rsid w:val="00C621C9"/>
    <w:rsid w:val="00C6228D"/>
    <w:rsid w:val="00C62421"/>
    <w:rsid w:val="00C626CA"/>
    <w:rsid w:val="00C62712"/>
    <w:rsid w:val="00C62867"/>
    <w:rsid w:val="00C62871"/>
    <w:rsid w:val="00C62884"/>
    <w:rsid w:val="00C628CE"/>
    <w:rsid w:val="00C62B22"/>
    <w:rsid w:val="00C62C30"/>
    <w:rsid w:val="00C62C8F"/>
    <w:rsid w:val="00C62CAC"/>
    <w:rsid w:val="00C62D80"/>
    <w:rsid w:val="00C62E1A"/>
    <w:rsid w:val="00C62EB3"/>
    <w:rsid w:val="00C62F05"/>
    <w:rsid w:val="00C62F3A"/>
    <w:rsid w:val="00C63094"/>
    <w:rsid w:val="00C6311C"/>
    <w:rsid w:val="00C631C6"/>
    <w:rsid w:val="00C632E9"/>
    <w:rsid w:val="00C6339A"/>
    <w:rsid w:val="00C63819"/>
    <w:rsid w:val="00C638C7"/>
    <w:rsid w:val="00C638E3"/>
    <w:rsid w:val="00C6390B"/>
    <w:rsid w:val="00C6391B"/>
    <w:rsid w:val="00C639A5"/>
    <w:rsid w:val="00C639F2"/>
    <w:rsid w:val="00C63C81"/>
    <w:rsid w:val="00C63CDF"/>
    <w:rsid w:val="00C63E02"/>
    <w:rsid w:val="00C63F14"/>
    <w:rsid w:val="00C63F42"/>
    <w:rsid w:val="00C63FCB"/>
    <w:rsid w:val="00C63FD7"/>
    <w:rsid w:val="00C63FEB"/>
    <w:rsid w:val="00C6407D"/>
    <w:rsid w:val="00C641C9"/>
    <w:rsid w:val="00C641EC"/>
    <w:rsid w:val="00C64226"/>
    <w:rsid w:val="00C642BF"/>
    <w:rsid w:val="00C64327"/>
    <w:rsid w:val="00C644D7"/>
    <w:rsid w:val="00C647AC"/>
    <w:rsid w:val="00C647CB"/>
    <w:rsid w:val="00C647DF"/>
    <w:rsid w:val="00C648CD"/>
    <w:rsid w:val="00C64914"/>
    <w:rsid w:val="00C64A39"/>
    <w:rsid w:val="00C64A75"/>
    <w:rsid w:val="00C64B00"/>
    <w:rsid w:val="00C64B79"/>
    <w:rsid w:val="00C64E48"/>
    <w:rsid w:val="00C65199"/>
    <w:rsid w:val="00C65236"/>
    <w:rsid w:val="00C652E4"/>
    <w:rsid w:val="00C653A2"/>
    <w:rsid w:val="00C654C0"/>
    <w:rsid w:val="00C656EF"/>
    <w:rsid w:val="00C65881"/>
    <w:rsid w:val="00C658D2"/>
    <w:rsid w:val="00C65C1B"/>
    <w:rsid w:val="00C65C2A"/>
    <w:rsid w:val="00C65C5C"/>
    <w:rsid w:val="00C65CCB"/>
    <w:rsid w:val="00C65D73"/>
    <w:rsid w:val="00C65D88"/>
    <w:rsid w:val="00C66077"/>
    <w:rsid w:val="00C660D7"/>
    <w:rsid w:val="00C661B6"/>
    <w:rsid w:val="00C662EE"/>
    <w:rsid w:val="00C663C8"/>
    <w:rsid w:val="00C66593"/>
    <w:rsid w:val="00C665F9"/>
    <w:rsid w:val="00C66667"/>
    <w:rsid w:val="00C666DC"/>
    <w:rsid w:val="00C66792"/>
    <w:rsid w:val="00C667CF"/>
    <w:rsid w:val="00C66823"/>
    <w:rsid w:val="00C66842"/>
    <w:rsid w:val="00C668EF"/>
    <w:rsid w:val="00C66928"/>
    <w:rsid w:val="00C66B6D"/>
    <w:rsid w:val="00C66D9E"/>
    <w:rsid w:val="00C66DBE"/>
    <w:rsid w:val="00C66F16"/>
    <w:rsid w:val="00C66F2C"/>
    <w:rsid w:val="00C66F8C"/>
    <w:rsid w:val="00C6713D"/>
    <w:rsid w:val="00C6721A"/>
    <w:rsid w:val="00C672AC"/>
    <w:rsid w:val="00C67586"/>
    <w:rsid w:val="00C6758A"/>
    <w:rsid w:val="00C6762B"/>
    <w:rsid w:val="00C67704"/>
    <w:rsid w:val="00C677DF"/>
    <w:rsid w:val="00C67806"/>
    <w:rsid w:val="00C67AE0"/>
    <w:rsid w:val="00C67D9A"/>
    <w:rsid w:val="00C67DF5"/>
    <w:rsid w:val="00C67E93"/>
    <w:rsid w:val="00C67F2F"/>
    <w:rsid w:val="00C70010"/>
    <w:rsid w:val="00C7013C"/>
    <w:rsid w:val="00C705A1"/>
    <w:rsid w:val="00C705CD"/>
    <w:rsid w:val="00C70625"/>
    <w:rsid w:val="00C706FB"/>
    <w:rsid w:val="00C70702"/>
    <w:rsid w:val="00C708F5"/>
    <w:rsid w:val="00C70ABF"/>
    <w:rsid w:val="00C70B58"/>
    <w:rsid w:val="00C70B78"/>
    <w:rsid w:val="00C70D08"/>
    <w:rsid w:val="00C70E1E"/>
    <w:rsid w:val="00C70FD1"/>
    <w:rsid w:val="00C71090"/>
    <w:rsid w:val="00C710B5"/>
    <w:rsid w:val="00C712F8"/>
    <w:rsid w:val="00C714CD"/>
    <w:rsid w:val="00C715C7"/>
    <w:rsid w:val="00C717CF"/>
    <w:rsid w:val="00C71977"/>
    <w:rsid w:val="00C719DA"/>
    <w:rsid w:val="00C71B11"/>
    <w:rsid w:val="00C71B85"/>
    <w:rsid w:val="00C71C15"/>
    <w:rsid w:val="00C71CC2"/>
    <w:rsid w:val="00C71D74"/>
    <w:rsid w:val="00C71D96"/>
    <w:rsid w:val="00C71DCB"/>
    <w:rsid w:val="00C71F52"/>
    <w:rsid w:val="00C71FB6"/>
    <w:rsid w:val="00C720A3"/>
    <w:rsid w:val="00C72134"/>
    <w:rsid w:val="00C7217B"/>
    <w:rsid w:val="00C7231E"/>
    <w:rsid w:val="00C72576"/>
    <w:rsid w:val="00C726EE"/>
    <w:rsid w:val="00C7274A"/>
    <w:rsid w:val="00C727C6"/>
    <w:rsid w:val="00C729B5"/>
    <w:rsid w:val="00C72D8B"/>
    <w:rsid w:val="00C72E72"/>
    <w:rsid w:val="00C73191"/>
    <w:rsid w:val="00C7328B"/>
    <w:rsid w:val="00C735C1"/>
    <w:rsid w:val="00C735C8"/>
    <w:rsid w:val="00C73701"/>
    <w:rsid w:val="00C73741"/>
    <w:rsid w:val="00C737B6"/>
    <w:rsid w:val="00C737CE"/>
    <w:rsid w:val="00C73806"/>
    <w:rsid w:val="00C73970"/>
    <w:rsid w:val="00C73988"/>
    <w:rsid w:val="00C739F8"/>
    <w:rsid w:val="00C73A6A"/>
    <w:rsid w:val="00C73B26"/>
    <w:rsid w:val="00C73D3F"/>
    <w:rsid w:val="00C73E92"/>
    <w:rsid w:val="00C74095"/>
    <w:rsid w:val="00C7434F"/>
    <w:rsid w:val="00C74398"/>
    <w:rsid w:val="00C743AA"/>
    <w:rsid w:val="00C74505"/>
    <w:rsid w:val="00C745D5"/>
    <w:rsid w:val="00C747DC"/>
    <w:rsid w:val="00C747FC"/>
    <w:rsid w:val="00C74A8A"/>
    <w:rsid w:val="00C74B19"/>
    <w:rsid w:val="00C74B3D"/>
    <w:rsid w:val="00C74C3D"/>
    <w:rsid w:val="00C74C97"/>
    <w:rsid w:val="00C74D4F"/>
    <w:rsid w:val="00C74DCA"/>
    <w:rsid w:val="00C74F11"/>
    <w:rsid w:val="00C74F50"/>
    <w:rsid w:val="00C74FFB"/>
    <w:rsid w:val="00C751B2"/>
    <w:rsid w:val="00C7553A"/>
    <w:rsid w:val="00C75690"/>
    <w:rsid w:val="00C757A0"/>
    <w:rsid w:val="00C75971"/>
    <w:rsid w:val="00C759C0"/>
    <w:rsid w:val="00C75A66"/>
    <w:rsid w:val="00C75F06"/>
    <w:rsid w:val="00C75FD1"/>
    <w:rsid w:val="00C760AA"/>
    <w:rsid w:val="00C763C7"/>
    <w:rsid w:val="00C764BA"/>
    <w:rsid w:val="00C765B8"/>
    <w:rsid w:val="00C76614"/>
    <w:rsid w:val="00C76687"/>
    <w:rsid w:val="00C76778"/>
    <w:rsid w:val="00C767E9"/>
    <w:rsid w:val="00C768C1"/>
    <w:rsid w:val="00C76993"/>
    <w:rsid w:val="00C769EB"/>
    <w:rsid w:val="00C76B65"/>
    <w:rsid w:val="00C76C32"/>
    <w:rsid w:val="00C76D50"/>
    <w:rsid w:val="00C76DC1"/>
    <w:rsid w:val="00C76F08"/>
    <w:rsid w:val="00C76FCF"/>
    <w:rsid w:val="00C77134"/>
    <w:rsid w:val="00C772E8"/>
    <w:rsid w:val="00C77362"/>
    <w:rsid w:val="00C77526"/>
    <w:rsid w:val="00C77592"/>
    <w:rsid w:val="00C777ED"/>
    <w:rsid w:val="00C77829"/>
    <w:rsid w:val="00C77BE9"/>
    <w:rsid w:val="00C8009A"/>
    <w:rsid w:val="00C800DF"/>
    <w:rsid w:val="00C801AE"/>
    <w:rsid w:val="00C802C8"/>
    <w:rsid w:val="00C802CD"/>
    <w:rsid w:val="00C80382"/>
    <w:rsid w:val="00C803C8"/>
    <w:rsid w:val="00C80414"/>
    <w:rsid w:val="00C8059C"/>
    <w:rsid w:val="00C8066A"/>
    <w:rsid w:val="00C80763"/>
    <w:rsid w:val="00C8077F"/>
    <w:rsid w:val="00C80A6C"/>
    <w:rsid w:val="00C80B68"/>
    <w:rsid w:val="00C80C42"/>
    <w:rsid w:val="00C80CDE"/>
    <w:rsid w:val="00C80CE2"/>
    <w:rsid w:val="00C80F79"/>
    <w:rsid w:val="00C81067"/>
    <w:rsid w:val="00C81091"/>
    <w:rsid w:val="00C810FE"/>
    <w:rsid w:val="00C81123"/>
    <w:rsid w:val="00C811E4"/>
    <w:rsid w:val="00C813FA"/>
    <w:rsid w:val="00C815DA"/>
    <w:rsid w:val="00C81710"/>
    <w:rsid w:val="00C817D3"/>
    <w:rsid w:val="00C818E8"/>
    <w:rsid w:val="00C81C35"/>
    <w:rsid w:val="00C81CB7"/>
    <w:rsid w:val="00C81FC1"/>
    <w:rsid w:val="00C82136"/>
    <w:rsid w:val="00C82380"/>
    <w:rsid w:val="00C823FD"/>
    <w:rsid w:val="00C824C3"/>
    <w:rsid w:val="00C8255C"/>
    <w:rsid w:val="00C825A7"/>
    <w:rsid w:val="00C825C0"/>
    <w:rsid w:val="00C825F3"/>
    <w:rsid w:val="00C826A9"/>
    <w:rsid w:val="00C82767"/>
    <w:rsid w:val="00C82942"/>
    <w:rsid w:val="00C829E5"/>
    <w:rsid w:val="00C82A60"/>
    <w:rsid w:val="00C82A8A"/>
    <w:rsid w:val="00C82B0B"/>
    <w:rsid w:val="00C82BE7"/>
    <w:rsid w:val="00C82CB7"/>
    <w:rsid w:val="00C82D0F"/>
    <w:rsid w:val="00C82EE0"/>
    <w:rsid w:val="00C82F7A"/>
    <w:rsid w:val="00C82F7B"/>
    <w:rsid w:val="00C83084"/>
    <w:rsid w:val="00C8316F"/>
    <w:rsid w:val="00C83335"/>
    <w:rsid w:val="00C8349B"/>
    <w:rsid w:val="00C83563"/>
    <w:rsid w:val="00C83983"/>
    <w:rsid w:val="00C83996"/>
    <w:rsid w:val="00C83999"/>
    <w:rsid w:val="00C83A29"/>
    <w:rsid w:val="00C83ADD"/>
    <w:rsid w:val="00C83AE5"/>
    <w:rsid w:val="00C83B77"/>
    <w:rsid w:val="00C83D48"/>
    <w:rsid w:val="00C83D93"/>
    <w:rsid w:val="00C83EE7"/>
    <w:rsid w:val="00C83F26"/>
    <w:rsid w:val="00C83F50"/>
    <w:rsid w:val="00C84163"/>
    <w:rsid w:val="00C84208"/>
    <w:rsid w:val="00C84253"/>
    <w:rsid w:val="00C84270"/>
    <w:rsid w:val="00C843A6"/>
    <w:rsid w:val="00C845A1"/>
    <w:rsid w:val="00C84739"/>
    <w:rsid w:val="00C8474F"/>
    <w:rsid w:val="00C84851"/>
    <w:rsid w:val="00C849AA"/>
    <w:rsid w:val="00C849AF"/>
    <w:rsid w:val="00C84B4A"/>
    <w:rsid w:val="00C84C08"/>
    <w:rsid w:val="00C84C27"/>
    <w:rsid w:val="00C84D32"/>
    <w:rsid w:val="00C8526A"/>
    <w:rsid w:val="00C8537A"/>
    <w:rsid w:val="00C8540A"/>
    <w:rsid w:val="00C85534"/>
    <w:rsid w:val="00C856A5"/>
    <w:rsid w:val="00C8572E"/>
    <w:rsid w:val="00C857AC"/>
    <w:rsid w:val="00C859BE"/>
    <w:rsid w:val="00C859EE"/>
    <w:rsid w:val="00C859FD"/>
    <w:rsid w:val="00C85A44"/>
    <w:rsid w:val="00C85C2E"/>
    <w:rsid w:val="00C86062"/>
    <w:rsid w:val="00C860A6"/>
    <w:rsid w:val="00C8620A"/>
    <w:rsid w:val="00C86379"/>
    <w:rsid w:val="00C8658F"/>
    <w:rsid w:val="00C865DB"/>
    <w:rsid w:val="00C8677F"/>
    <w:rsid w:val="00C867D8"/>
    <w:rsid w:val="00C86E80"/>
    <w:rsid w:val="00C86FD7"/>
    <w:rsid w:val="00C87056"/>
    <w:rsid w:val="00C871B7"/>
    <w:rsid w:val="00C871CC"/>
    <w:rsid w:val="00C874AD"/>
    <w:rsid w:val="00C874F2"/>
    <w:rsid w:val="00C87588"/>
    <w:rsid w:val="00C875C1"/>
    <w:rsid w:val="00C87600"/>
    <w:rsid w:val="00C876BB"/>
    <w:rsid w:val="00C8787E"/>
    <w:rsid w:val="00C87B19"/>
    <w:rsid w:val="00C87D29"/>
    <w:rsid w:val="00C87D2F"/>
    <w:rsid w:val="00C87E41"/>
    <w:rsid w:val="00C87F19"/>
    <w:rsid w:val="00C90079"/>
    <w:rsid w:val="00C901C5"/>
    <w:rsid w:val="00C904D0"/>
    <w:rsid w:val="00C90882"/>
    <w:rsid w:val="00C908FD"/>
    <w:rsid w:val="00C90A2F"/>
    <w:rsid w:val="00C90BAA"/>
    <w:rsid w:val="00C90CBA"/>
    <w:rsid w:val="00C90CC4"/>
    <w:rsid w:val="00C90CCB"/>
    <w:rsid w:val="00C90E44"/>
    <w:rsid w:val="00C90F72"/>
    <w:rsid w:val="00C910AB"/>
    <w:rsid w:val="00C910E2"/>
    <w:rsid w:val="00C910FE"/>
    <w:rsid w:val="00C91113"/>
    <w:rsid w:val="00C91161"/>
    <w:rsid w:val="00C9116C"/>
    <w:rsid w:val="00C913E8"/>
    <w:rsid w:val="00C9157F"/>
    <w:rsid w:val="00C91695"/>
    <w:rsid w:val="00C917F2"/>
    <w:rsid w:val="00C91A44"/>
    <w:rsid w:val="00C91A7E"/>
    <w:rsid w:val="00C91BE3"/>
    <w:rsid w:val="00C91C3B"/>
    <w:rsid w:val="00C91C9E"/>
    <w:rsid w:val="00C91D10"/>
    <w:rsid w:val="00C91F2C"/>
    <w:rsid w:val="00C91F64"/>
    <w:rsid w:val="00C91FC1"/>
    <w:rsid w:val="00C91FC5"/>
    <w:rsid w:val="00C9215C"/>
    <w:rsid w:val="00C921B9"/>
    <w:rsid w:val="00C922C4"/>
    <w:rsid w:val="00C92324"/>
    <w:rsid w:val="00C92351"/>
    <w:rsid w:val="00C9244B"/>
    <w:rsid w:val="00C92476"/>
    <w:rsid w:val="00C924EE"/>
    <w:rsid w:val="00C92587"/>
    <w:rsid w:val="00C92703"/>
    <w:rsid w:val="00C92715"/>
    <w:rsid w:val="00C927CE"/>
    <w:rsid w:val="00C92892"/>
    <w:rsid w:val="00C92A3B"/>
    <w:rsid w:val="00C92AA2"/>
    <w:rsid w:val="00C92C11"/>
    <w:rsid w:val="00C92DFA"/>
    <w:rsid w:val="00C92EF7"/>
    <w:rsid w:val="00C92F47"/>
    <w:rsid w:val="00C9310E"/>
    <w:rsid w:val="00C93111"/>
    <w:rsid w:val="00C931B4"/>
    <w:rsid w:val="00C9320B"/>
    <w:rsid w:val="00C93551"/>
    <w:rsid w:val="00C93566"/>
    <w:rsid w:val="00C9373B"/>
    <w:rsid w:val="00C9380F"/>
    <w:rsid w:val="00C93882"/>
    <w:rsid w:val="00C9388A"/>
    <w:rsid w:val="00C938FF"/>
    <w:rsid w:val="00C93942"/>
    <w:rsid w:val="00C93ABF"/>
    <w:rsid w:val="00C93B2F"/>
    <w:rsid w:val="00C93B90"/>
    <w:rsid w:val="00C93C37"/>
    <w:rsid w:val="00C93CEC"/>
    <w:rsid w:val="00C93EE6"/>
    <w:rsid w:val="00C93F4D"/>
    <w:rsid w:val="00C94091"/>
    <w:rsid w:val="00C94174"/>
    <w:rsid w:val="00C943C3"/>
    <w:rsid w:val="00C94412"/>
    <w:rsid w:val="00C94471"/>
    <w:rsid w:val="00C945B0"/>
    <w:rsid w:val="00C94642"/>
    <w:rsid w:val="00C946B2"/>
    <w:rsid w:val="00C948BE"/>
    <w:rsid w:val="00C94946"/>
    <w:rsid w:val="00C94D18"/>
    <w:rsid w:val="00C94DB4"/>
    <w:rsid w:val="00C94E8F"/>
    <w:rsid w:val="00C94EBC"/>
    <w:rsid w:val="00C94EF4"/>
    <w:rsid w:val="00C950D9"/>
    <w:rsid w:val="00C95174"/>
    <w:rsid w:val="00C9517D"/>
    <w:rsid w:val="00C95212"/>
    <w:rsid w:val="00C95253"/>
    <w:rsid w:val="00C952BC"/>
    <w:rsid w:val="00C95390"/>
    <w:rsid w:val="00C9569D"/>
    <w:rsid w:val="00C95965"/>
    <w:rsid w:val="00C9598D"/>
    <w:rsid w:val="00C959EB"/>
    <w:rsid w:val="00C95AF8"/>
    <w:rsid w:val="00C95C79"/>
    <w:rsid w:val="00C95D68"/>
    <w:rsid w:val="00C95E0F"/>
    <w:rsid w:val="00C960A8"/>
    <w:rsid w:val="00C960B0"/>
    <w:rsid w:val="00C960D9"/>
    <w:rsid w:val="00C962C7"/>
    <w:rsid w:val="00C965F2"/>
    <w:rsid w:val="00C96614"/>
    <w:rsid w:val="00C9676B"/>
    <w:rsid w:val="00C96801"/>
    <w:rsid w:val="00C96937"/>
    <w:rsid w:val="00C96DE9"/>
    <w:rsid w:val="00C96E5F"/>
    <w:rsid w:val="00C96EC9"/>
    <w:rsid w:val="00C9721C"/>
    <w:rsid w:val="00C9727F"/>
    <w:rsid w:val="00C9730A"/>
    <w:rsid w:val="00C9748C"/>
    <w:rsid w:val="00C97498"/>
    <w:rsid w:val="00C975CF"/>
    <w:rsid w:val="00C9772F"/>
    <w:rsid w:val="00C97780"/>
    <w:rsid w:val="00C979ED"/>
    <w:rsid w:val="00C97A82"/>
    <w:rsid w:val="00C97BCB"/>
    <w:rsid w:val="00C97CD9"/>
    <w:rsid w:val="00CA01BA"/>
    <w:rsid w:val="00CA0205"/>
    <w:rsid w:val="00CA0296"/>
    <w:rsid w:val="00CA02E3"/>
    <w:rsid w:val="00CA0387"/>
    <w:rsid w:val="00CA0479"/>
    <w:rsid w:val="00CA04B2"/>
    <w:rsid w:val="00CA0503"/>
    <w:rsid w:val="00CA0569"/>
    <w:rsid w:val="00CA06E9"/>
    <w:rsid w:val="00CA0751"/>
    <w:rsid w:val="00CA0968"/>
    <w:rsid w:val="00CA0A02"/>
    <w:rsid w:val="00CA0AF1"/>
    <w:rsid w:val="00CA0D10"/>
    <w:rsid w:val="00CA0DB3"/>
    <w:rsid w:val="00CA0F59"/>
    <w:rsid w:val="00CA0FDB"/>
    <w:rsid w:val="00CA0FEF"/>
    <w:rsid w:val="00CA114C"/>
    <w:rsid w:val="00CA14CC"/>
    <w:rsid w:val="00CA1736"/>
    <w:rsid w:val="00CA1D42"/>
    <w:rsid w:val="00CA1D4E"/>
    <w:rsid w:val="00CA1D5A"/>
    <w:rsid w:val="00CA1D83"/>
    <w:rsid w:val="00CA1EA2"/>
    <w:rsid w:val="00CA1F1B"/>
    <w:rsid w:val="00CA2353"/>
    <w:rsid w:val="00CA23B0"/>
    <w:rsid w:val="00CA243D"/>
    <w:rsid w:val="00CA2698"/>
    <w:rsid w:val="00CA26C5"/>
    <w:rsid w:val="00CA28E0"/>
    <w:rsid w:val="00CA29A0"/>
    <w:rsid w:val="00CA2B24"/>
    <w:rsid w:val="00CA2D6C"/>
    <w:rsid w:val="00CA2DDC"/>
    <w:rsid w:val="00CA2E4A"/>
    <w:rsid w:val="00CA3080"/>
    <w:rsid w:val="00CA311B"/>
    <w:rsid w:val="00CA31CF"/>
    <w:rsid w:val="00CA333B"/>
    <w:rsid w:val="00CA33D8"/>
    <w:rsid w:val="00CA345B"/>
    <w:rsid w:val="00CA35C6"/>
    <w:rsid w:val="00CA3772"/>
    <w:rsid w:val="00CA3A2C"/>
    <w:rsid w:val="00CA3A53"/>
    <w:rsid w:val="00CA3AE3"/>
    <w:rsid w:val="00CA3D02"/>
    <w:rsid w:val="00CA3E53"/>
    <w:rsid w:val="00CA3EB0"/>
    <w:rsid w:val="00CA3EC3"/>
    <w:rsid w:val="00CA3F98"/>
    <w:rsid w:val="00CA447E"/>
    <w:rsid w:val="00CA44CA"/>
    <w:rsid w:val="00CA463F"/>
    <w:rsid w:val="00CA47C2"/>
    <w:rsid w:val="00CA47E7"/>
    <w:rsid w:val="00CA485B"/>
    <w:rsid w:val="00CA4A38"/>
    <w:rsid w:val="00CA4B80"/>
    <w:rsid w:val="00CA4C12"/>
    <w:rsid w:val="00CA4D80"/>
    <w:rsid w:val="00CA4F45"/>
    <w:rsid w:val="00CA4F90"/>
    <w:rsid w:val="00CA5048"/>
    <w:rsid w:val="00CA5088"/>
    <w:rsid w:val="00CA50AA"/>
    <w:rsid w:val="00CA518B"/>
    <w:rsid w:val="00CA518E"/>
    <w:rsid w:val="00CA5366"/>
    <w:rsid w:val="00CA54AF"/>
    <w:rsid w:val="00CA55B4"/>
    <w:rsid w:val="00CA5663"/>
    <w:rsid w:val="00CA567E"/>
    <w:rsid w:val="00CA57D1"/>
    <w:rsid w:val="00CA57FE"/>
    <w:rsid w:val="00CA58C9"/>
    <w:rsid w:val="00CA5C49"/>
    <w:rsid w:val="00CA5D55"/>
    <w:rsid w:val="00CA5E7F"/>
    <w:rsid w:val="00CA5EAB"/>
    <w:rsid w:val="00CA5F42"/>
    <w:rsid w:val="00CA6040"/>
    <w:rsid w:val="00CA60DA"/>
    <w:rsid w:val="00CA616C"/>
    <w:rsid w:val="00CA61A7"/>
    <w:rsid w:val="00CA6212"/>
    <w:rsid w:val="00CA6228"/>
    <w:rsid w:val="00CA64F9"/>
    <w:rsid w:val="00CA6511"/>
    <w:rsid w:val="00CA660E"/>
    <w:rsid w:val="00CA6757"/>
    <w:rsid w:val="00CA67A7"/>
    <w:rsid w:val="00CA67C0"/>
    <w:rsid w:val="00CA6964"/>
    <w:rsid w:val="00CA6A1D"/>
    <w:rsid w:val="00CA6AEA"/>
    <w:rsid w:val="00CA6B83"/>
    <w:rsid w:val="00CA6BB8"/>
    <w:rsid w:val="00CA6C88"/>
    <w:rsid w:val="00CA6D1B"/>
    <w:rsid w:val="00CA6E36"/>
    <w:rsid w:val="00CA6EF9"/>
    <w:rsid w:val="00CA709E"/>
    <w:rsid w:val="00CA70C2"/>
    <w:rsid w:val="00CA70DB"/>
    <w:rsid w:val="00CA71B0"/>
    <w:rsid w:val="00CA7208"/>
    <w:rsid w:val="00CA7347"/>
    <w:rsid w:val="00CA740C"/>
    <w:rsid w:val="00CA7451"/>
    <w:rsid w:val="00CA7802"/>
    <w:rsid w:val="00CA7887"/>
    <w:rsid w:val="00CA7A93"/>
    <w:rsid w:val="00CA7AB4"/>
    <w:rsid w:val="00CA7ACD"/>
    <w:rsid w:val="00CA7B63"/>
    <w:rsid w:val="00CA7BB8"/>
    <w:rsid w:val="00CA7D41"/>
    <w:rsid w:val="00CA7D80"/>
    <w:rsid w:val="00CA7DD9"/>
    <w:rsid w:val="00CA7ECC"/>
    <w:rsid w:val="00CA7ECD"/>
    <w:rsid w:val="00CA7EED"/>
    <w:rsid w:val="00CA7FB1"/>
    <w:rsid w:val="00CA7FBA"/>
    <w:rsid w:val="00CB00F5"/>
    <w:rsid w:val="00CB011D"/>
    <w:rsid w:val="00CB04EC"/>
    <w:rsid w:val="00CB05F7"/>
    <w:rsid w:val="00CB065D"/>
    <w:rsid w:val="00CB06C4"/>
    <w:rsid w:val="00CB076B"/>
    <w:rsid w:val="00CB08D5"/>
    <w:rsid w:val="00CB0A26"/>
    <w:rsid w:val="00CB0B1B"/>
    <w:rsid w:val="00CB0B1E"/>
    <w:rsid w:val="00CB0B7A"/>
    <w:rsid w:val="00CB0BCE"/>
    <w:rsid w:val="00CB0E6B"/>
    <w:rsid w:val="00CB1369"/>
    <w:rsid w:val="00CB1561"/>
    <w:rsid w:val="00CB15D0"/>
    <w:rsid w:val="00CB174D"/>
    <w:rsid w:val="00CB17D3"/>
    <w:rsid w:val="00CB18B3"/>
    <w:rsid w:val="00CB198C"/>
    <w:rsid w:val="00CB1C16"/>
    <w:rsid w:val="00CB1C41"/>
    <w:rsid w:val="00CB1CE1"/>
    <w:rsid w:val="00CB1D9A"/>
    <w:rsid w:val="00CB1E5F"/>
    <w:rsid w:val="00CB1E64"/>
    <w:rsid w:val="00CB20C4"/>
    <w:rsid w:val="00CB2152"/>
    <w:rsid w:val="00CB22F0"/>
    <w:rsid w:val="00CB233E"/>
    <w:rsid w:val="00CB2348"/>
    <w:rsid w:val="00CB234A"/>
    <w:rsid w:val="00CB2380"/>
    <w:rsid w:val="00CB24A5"/>
    <w:rsid w:val="00CB2643"/>
    <w:rsid w:val="00CB2A82"/>
    <w:rsid w:val="00CB2BA3"/>
    <w:rsid w:val="00CB2D0B"/>
    <w:rsid w:val="00CB2EEF"/>
    <w:rsid w:val="00CB2F36"/>
    <w:rsid w:val="00CB2F71"/>
    <w:rsid w:val="00CB3168"/>
    <w:rsid w:val="00CB3184"/>
    <w:rsid w:val="00CB31B0"/>
    <w:rsid w:val="00CB31D4"/>
    <w:rsid w:val="00CB3285"/>
    <w:rsid w:val="00CB3404"/>
    <w:rsid w:val="00CB3406"/>
    <w:rsid w:val="00CB3506"/>
    <w:rsid w:val="00CB35A5"/>
    <w:rsid w:val="00CB3933"/>
    <w:rsid w:val="00CB3A8E"/>
    <w:rsid w:val="00CB3D98"/>
    <w:rsid w:val="00CB3F16"/>
    <w:rsid w:val="00CB3F80"/>
    <w:rsid w:val="00CB3F89"/>
    <w:rsid w:val="00CB3F8B"/>
    <w:rsid w:val="00CB3F9D"/>
    <w:rsid w:val="00CB40A3"/>
    <w:rsid w:val="00CB40B4"/>
    <w:rsid w:val="00CB4164"/>
    <w:rsid w:val="00CB41B0"/>
    <w:rsid w:val="00CB423B"/>
    <w:rsid w:val="00CB42AF"/>
    <w:rsid w:val="00CB430E"/>
    <w:rsid w:val="00CB4467"/>
    <w:rsid w:val="00CB44EB"/>
    <w:rsid w:val="00CB455A"/>
    <w:rsid w:val="00CB460E"/>
    <w:rsid w:val="00CB469D"/>
    <w:rsid w:val="00CB46B3"/>
    <w:rsid w:val="00CB49F2"/>
    <w:rsid w:val="00CB4BA3"/>
    <w:rsid w:val="00CB4BA6"/>
    <w:rsid w:val="00CB4BE7"/>
    <w:rsid w:val="00CB4E08"/>
    <w:rsid w:val="00CB4E3E"/>
    <w:rsid w:val="00CB4EEC"/>
    <w:rsid w:val="00CB5020"/>
    <w:rsid w:val="00CB5028"/>
    <w:rsid w:val="00CB51A3"/>
    <w:rsid w:val="00CB52EC"/>
    <w:rsid w:val="00CB5538"/>
    <w:rsid w:val="00CB554C"/>
    <w:rsid w:val="00CB567E"/>
    <w:rsid w:val="00CB574E"/>
    <w:rsid w:val="00CB5853"/>
    <w:rsid w:val="00CB5886"/>
    <w:rsid w:val="00CB5A97"/>
    <w:rsid w:val="00CB5AB5"/>
    <w:rsid w:val="00CB5AFC"/>
    <w:rsid w:val="00CB5BF6"/>
    <w:rsid w:val="00CB5C29"/>
    <w:rsid w:val="00CB5C4A"/>
    <w:rsid w:val="00CB5CAC"/>
    <w:rsid w:val="00CB5CB9"/>
    <w:rsid w:val="00CB5D15"/>
    <w:rsid w:val="00CB5D9E"/>
    <w:rsid w:val="00CB5F59"/>
    <w:rsid w:val="00CB627A"/>
    <w:rsid w:val="00CB631A"/>
    <w:rsid w:val="00CB655B"/>
    <w:rsid w:val="00CB659B"/>
    <w:rsid w:val="00CB659C"/>
    <w:rsid w:val="00CB66C3"/>
    <w:rsid w:val="00CB66F8"/>
    <w:rsid w:val="00CB6762"/>
    <w:rsid w:val="00CB67E9"/>
    <w:rsid w:val="00CB69A0"/>
    <w:rsid w:val="00CB6A9C"/>
    <w:rsid w:val="00CB6AA0"/>
    <w:rsid w:val="00CB6E1D"/>
    <w:rsid w:val="00CB704C"/>
    <w:rsid w:val="00CB71D7"/>
    <w:rsid w:val="00CB726B"/>
    <w:rsid w:val="00CB72EA"/>
    <w:rsid w:val="00CB72ED"/>
    <w:rsid w:val="00CB7302"/>
    <w:rsid w:val="00CB74BC"/>
    <w:rsid w:val="00CB74E4"/>
    <w:rsid w:val="00CB771D"/>
    <w:rsid w:val="00CB7730"/>
    <w:rsid w:val="00CB779C"/>
    <w:rsid w:val="00CB77AF"/>
    <w:rsid w:val="00CB7825"/>
    <w:rsid w:val="00CB7B0E"/>
    <w:rsid w:val="00CB7D14"/>
    <w:rsid w:val="00CB7E02"/>
    <w:rsid w:val="00CB7EAC"/>
    <w:rsid w:val="00CB7EF6"/>
    <w:rsid w:val="00CC03C7"/>
    <w:rsid w:val="00CC03CA"/>
    <w:rsid w:val="00CC0564"/>
    <w:rsid w:val="00CC0908"/>
    <w:rsid w:val="00CC0915"/>
    <w:rsid w:val="00CC0C20"/>
    <w:rsid w:val="00CC0C22"/>
    <w:rsid w:val="00CC0C3F"/>
    <w:rsid w:val="00CC0CBC"/>
    <w:rsid w:val="00CC0CFE"/>
    <w:rsid w:val="00CC0D33"/>
    <w:rsid w:val="00CC0D8D"/>
    <w:rsid w:val="00CC0DCC"/>
    <w:rsid w:val="00CC0DE1"/>
    <w:rsid w:val="00CC111B"/>
    <w:rsid w:val="00CC134C"/>
    <w:rsid w:val="00CC14A2"/>
    <w:rsid w:val="00CC14CC"/>
    <w:rsid w:val="00CC1870"/>
    <w:rsid w:val="00CC1939"/>
    <w:rsid w:val="00CC198B"/>
    <w:rsid w:val="00CC19E9"/>
    <w:rsid w:val="00CC1A06"/>
    <w:rsid w:val="00CC1A81"/>
    <w:rsid w:val="00CC1B63"/>
    <w:rsid w:val="00CC1CAE"/>
    <w:rsid w:val="00CC1CDB"/>
    <w:rsid w:val="00CC1E83"/>
    <w:rsid w:val="00CC206C"/>
    <w:rsid w:val="00CC2150"/>
    <w:rsid w:val="00CC21C5"/>
    <w:rsid w:val="00CC22E9"/>
    <w:rsid w:val="00CC25A4"/>
    <w:rsid w:val="00CC260A"/>
    <w:rsid w:val="00CC26A0"/>
    <w:rsid w:val="00CC295C"/>
    <w:rsid w:val="00CC2ABA"/>
    <w:rsid w:val="00CC2D18"/>
    <w:rsid w:val="00CC2D5C"/>
    <w:rsid w:val="00CC2E15"/>
    <w:rsid w:val="00CC2ECE"/>
    <w:rsid w:val="00CC2F23"/>
    <w:rsid w:val="00CC2F56"/>
    <w:rsid w:val="00CC2FDE"/>
    <w:rsid w:val="00CC3024"/>
    <w:rsid w:val="00CC3049"/>
    <w:rsid w:val="00CC309D"/>
    <w:rsid w:val="00CC33DD"/>
    <w:rsid w:val="00CC3524"/>
    <w:rsid w:val="00CC35E8"/>
    <w:rsid w:val="00CC39BD"/>
    <w:rsid w:val="00CC3A0C"/>
    <w:rsid w:val="00CC3BB5"/>
    <w:rsid w:val="00CC3C16"/>
    <w:rsid w:val="00CC3C1F"/>
    <w:rsid w:val="00CC3C25"/>
    <w:rsid w:val="00CC3EA6"/>
    <w:rsid w:val="00CC40A8"/>
    <w:rsid w:val="00CC4523"/>
    <w:rsid w:val="00CC467A"/>
    <w:rsid w:val="00CC489D"/>
    <w:rsid w:val="00CC4924"/>
    <w:rsid w:val="00CC49E7"/>
    <w:rsid w:val="00CC4A12"/>
    <w:rsid w:val="00CC4BA2"/>
    <w:rsid w:val="00CC4ED4"/>
    <w:rsid w:val="00CC5014"/>
    <w:rsid w:val="00CC51DB"/>
    <w:rsid w:val="00CC535A"/>
    <w:rsid w:val="00CC5495"/>
    <w:rsid w:val="00CC54CD"/>
    <w:rsid w:val="00CC5583"/>
    <w:rsid w:val="00CC5592"/>
    <w:rsid w:val="00CC55DA"/>
    <w:rsid w:val="00CC5612"/>
    <w:rsid w:val="00CC5667"/>
    <w:rsid w:val="00CC575B"/>
    <w:rsid w:val="00CC5C04"/>
    <w:rsid w:val="00CC5D99"/>
    <w:rsid w:val="00CC5EC0"/>
    <w:rsid w:val="00CC5EF5"/>
    <w:rsid w:val="00CC605A"/>
    <w:rsid w:val="00CC60DC"/>
    <w:rsid w:val="00CC60FD"/>
    <w:rsid w:val="00CC6113"/>
    <w:rsid w:val="00CC6418"/>
    <w:rsid w:val="00CC67F2"/>
    <w:rsid w:val="00CC688E"/>
    <w:rsid w:val="00CC6991"/>
    <w:rsid w:val="00CC6B37"/>
    <w:rsid w:val="00CC6D16"/>
    <w:rsid w:val="00CC6EAA"/>
    <w:rsid w:val="00CC6FA1"/>
    <w:rsid w:val="00CC7053"/>
    <w:rsid w:val="00CC715B"/>
    <w:rsid w:val="00CC719C"/>
    <w:rsid w:val="00CC72D6"/>
    <w:rsid w:val="00CC7310"/>
    <w:rsid w:val="00CC73FA"/>
    <w:rsid w:val="00CC75A5"/>
    <w:rsid w:val="00CC75D8"/>
    <w:rsid w:val="00CC75F2"/>
    <w:rsid w:val="00CC7683"/>
    <w:rsid w:val="00CC79D3"/>
    <w:rsid w:val="00CC7AFC"/>
    <w:rsid w:val="00CC7BA6"/>
    <w:rsid w:val="00CC7C09"/>
    <w:rsid w:val="00CC7CA8"/>
    <w:rsid w:val="00CC7D65"/>
    <w:rsid w:val="00CC7ED1"/>
    <w:rsid w:val="00CD046A"/>
    <w:rsid w:val="00CD04F2"/>
    <w:rsid w:val="00CD075B"/>
    <w:rsid w:val="00CD079A"/>
    <w:rsid w:val="00CD084C"/>
    <w:rsid w:val="00CD0A40"/>
    <w:rsid w:val="00CD0B2E"/>
    <w:rsid w:val="00CD0C38"/>
    <w:rsid w:val="00CD0CD3"/>
    <w:rsid w:val="00CD0D83"/>
    <w:rsid w:val="00CD0F56"/>
    <w:rsid w:val="00CD108F"/>
    <w:rsid w:val="00CD112D"/>
    <w:rsid w:val="00CD1140"/>
    <w:rsid w:val="00CD1186"/>
    <w:rsid w:val="00CD12C4"/>
    <w:rsid w:val="00CD1346"/>
    <w:rsid w:val="00CD1381"/>
    <w:rsid w:val="00CD1383"/>
    <w:rsid w:val="00CD1479"/>
    <w:rsid w:val="00CD1541"/>
    <w:rsid w:val="00CD1587"/>
    <w:rsid w:val="00CD17D0"/>
    <w:rsid w:val="00CD189D"/>
    <w:rsid w:val="00CD189E"/>
    <w:rsid w:val="00CD1A0A"/>
    <w:rsid w:val="00CD1A57"/>
    <w:rsid w:val="00CD1AA4"/>
    <w:rsid w:val="00CD1B04"/>
    <w:rsid w:val="00CD1DEE"/>
    <w:rsid w:val="00CD1FD9"/>
    <w:rsid w:val="00CD1FF0"/>
    <w:rsid w:val="00CD23C2"/>
    <w:rsid w:val="00CD24CB"/>
    <w:rsid w:val="00CD24FC"/>
    <w:rsid w:val="00CD25D3"/>
    <w:rsid w:val="00CD2627"/>
    <w:rsid w:val="00CD2899"/>
    <w:rsid w:val="00CD2A67"/>
    <w:rsid w:val="00CD2B30"/>
    <w:rsid w:val="00CD2B5A"/>
    <w:rsid w:val="00CD2BEA"/>
    <w:rsid w:val="00CD2C49"/>
    <w:rsid w:val="00CD2CC3"/>
    <w:rsid w:val="00CD2DC9"/>
    <w:rsid w:val="00CD2E28"/>
    <w:rsid w:val="00CD2E34"/>
    <w:rsid w:val="00CD2ED2"/>
    <w:rsid w:val="00CD2F31"/>
    <w:rsid w:val="00CD3107"/>
    <w:rsid w:val="00CD3149"/>
    <w:rsid w:val="00CD319C"/>
    <w:rsid w:val="00CD3266"/>
    <w:rsid w:val="00CD3627"/>
    <w:rsid w:val="00CD365F"/>
    <w:rsid w:val="00CD36AF"/>
    <w:rsid w:val="00CD3750"/>
    <w:rsid w:val="00CD38BB"/>
    <w:rsid w:val="00CD3A19"/>
    <w:rsid w:val="00CD3B4A"/>
    <w:rsid w:val="00CD3BF6"/>
    <w:rsid w:val="00CD3EA0"/>
    <w:rsid w:val="00CD3FA8"/>
    <w:rsid w:val="00CD410B"/>
    <w:rsid w:val="00CD41AB"/>
    <w:rsid w:val="00CD4529"/>
    <w:rsid w:val="00CD452F"/>
    <w:rsid w:val="00CD4717"/>
    <w:rsid w:val="00CD482C"/>
    <w:rsid w:val="00CD4999"/>
    <w:rsid w:val="00CD4ABB"/>
    <w:rsid w:val="00CD4D46"/>
    <w:rsid w:val="00CD4E58"/>
    <w:rsid w:val="00CD4E74"/>
    <w:rsid w:val="00CD5580"/>
    <w:rsid w:val="00CD58B8"/>
    <w:rsid w:val="00CD5A86"/>
    <w:rsid w:val="00CD5C15"/>
    <w:rsid w:val="00CD5E13"/>
    <w:rsid w:val="00CD5EDF"/>
    <w:rsid w:val="00CD6075"/>
    <w:rsid w:val="00CD60AB"/>
    <w:rsid w:val="00CD613B"/>
    <w:rsid w:val="00CD62B6"/>
    <w:rsid w:val="00CD6418"/>
    <w:rsid w:val="00CD6473"/>
    <w:rsid w:val="00CD64AE"/>
    <w:rsid w:val="00CD6638"/>
    <w:rsid w:val="00CD6812"/>
    <w:rsid w:val="00CD68B3"/>
    <w:rsid w:val="00CD695A"/>
    <w:rsid w:val="00CD698D"/>
    <w:rsid w:val="00CD69F1"/>
    <w:rsid w:val="00CD6A3C"/>
    <w:rsid w:val="00CD6AE3"/>
    <w:rsid w:val="00CD72B1"/>
    <w:rsid w:val="00CD73A7"/>
    <w:rsid w:val="00CD7466"/>
    <w:rsid w:val="00CD7649"/>
    <w:rsid w:val="00CD76A6"/>
    <w:rsid w:val="00CD76D6"/>
    <w:rsid w:val="00CD775F"/>
    <w:rsid w:val="00CD77C6"/>
    <w:rsid w:val="00CD7900"/>
    <w:rsid w:val="00CD7D7F"/>
    <w:rsid w:val="00CD7F42"/>
    <w:rsid w:val="00CE0295"/>
    <w:rsid w:val="00CE03D4"/>
    <w:rsid w:val="00CE05A1"/>
    <w:rsid w:val="00CE06E2"/>
    <w:rsid w:val="00CE070C"/>
    <w:rsid w:val="00CE0782"/>
    <w:rsid w:val="00CE0B0D"/>
    <w:rsid w:val="00CE0B36"/>
    <w:rsid w:val="00CE0B85"/>
    <w:rsid w:val="00CE0B8D"/>
    <w:rsid w:val="00CE0D5B"/>
    <w:rsid w:val="00CE0DB3"/>
    <w:rsid w:val="00CE0DC2"/>
    <w:rsid w:val="00CE0EC8"/>
    <w:rsid w:val="00CE0ECA"/>
    <w:rsid w:val="00CE116F"/>
    <w:rsid w:val="00CE11D1"/>
    <w:rsid w:val="00CE12AD"/>
    <w:rsid w:val="00CE1492"/>
    <w:rsid w:val="00CE168A"/>
    <w:rsid w:val="00CE174C"/>
    <w:rsid w:val="00CE178E"/>
    <w:rsid w:val="00CE18CA"/>
    <w:rsid w:val="00CE19C1"/>
    <w:rsid w:val="00CE1C2E"/>
    <w:rsid w:val="00CE1CF8"/>
    <w:rsid w:val="00CE1E16"/>
    <w:rsid w:val="00CE1E7A"/>
    <w:rsid w:val="00CE2186"/>
    <w:rsid w:val="00CE2280"/>
    <w:rsid w:val="00CE2688"/>
    <w:rsid w:val="00CE28D2"/>
    <w:rsid w:val="00CE2C9D"/>
    <w:rsid w:val="00CE2D44"/>
    <w:rsid w:val="00CE2DF6"/>
    <w:rsid w:val="00CE2F4A"/>
    <w:rsid w:val="00CE2F66"/>
    <w:rsid w:val="00CE30C5"/>
    <w:rsid w:val="00CE31D3"/>
    <w:rsid w:val="00CE327A"/>
    <w:rsid w:val="00CE331E"/>
    <w:rsid w:val="00CE3461"/>
    <w:rsid w:val="00CE3722"/>
    <w:rsid w:val="00CE38F8"/>
    <w:rsid w:val="00CE39D0"/>
    <w:rsid w:val="00CE3B04"/>
    <w:rsid w:val="00CE3B5C"/>
    <w:rsid w:val="00CE3B77"/>
    <w:rsid w:val="00CE4042"/>
    <w:rsid w:val="00CE4087"/>
    <w:rsid w:val="00CE40B2"/>
    <w:rsid w:val="00CE421F"/>
    <w:rsid w:val="00CE4240"/>
    <w:rsid w:val="00CE438B"/>
    <w:rsid w:val="00CE4474"/>
    <w:rsid w:val="00CE4585"/>
    <w:rsid w:val="00CE471C"/>
    <w:rsid w:val="00CE474C"/>
    <w:rsid w:val="00CE4751"/>
    <w:rsid w:val="00CE482B"/>
    <w:rsid w:val="00CE48A2"/>
    <w:rsid w:val="00CE49EC"/>
    <w:rsid w:val="00CE4A1D"/>
    <w:rsid w:val="00CE4A3E"/>
    <w:rsid w:val="00CE4CDC"/>
    <w:rsid w:val="00CE4D16"/>
    <w:rsid w:val="00CE4D8A"/>
    <w:rsid w:val="00CE4E97"/>
    <w:rsid w:val="00CE50B5"/>
    <w:rsid w:val="00CE55A3"/>
    <w:rsid w:val="00CE55A9"/>
    <w:rsid w:val="00CE560F"/>
    <w:rsid w:val="00CE56CB"/>
    <w:rsid w:val="00CE57E6"/>
    <w:rsid w:val="00CE5B5F"/>
    <w:rsid w:val="00CE5C4B"/>
    <w:rsid w:val="00CE5DFD"/>
    <w:rsid w:val="00CE5F29"/>
    <w:rsid w:val="00CE60C6"/>
    <w:rsid w:val="00CE6147"/>
    <w:rsid w:val="00CE624D"/>
    <w:rsid w:val="00CE64E8"/>
    <w:rsid w:val="00CE653C"/>
    <w:rsid w:val="00CE65AB"/>
    <w:rsid w:val="00CE65AE"/>
    <w:rsid w:val="00CE66B6"/>
    <w:rsid w:val="00CE68B6"/>
    <w:rsid w:val="00CE68D5"/>
    <w:rsid w:val="00CE6A0F"/>
    <w:rsid w:val="00CE6D89"/>
    <w:rsid w:val="00CE6E5F"/>
    <w:rsid w:val="00CE6E97"/>
    <w:rsid w:val="00CE6EA9"/>
    <w:rsid w:val="00CE6FC6"/>
    <w:rsid w:val="00CE728D"/>
    <w:rsid w:val="00CE7470"/>
    <w:rsid w:val="00CE761A"/>
    <w:rsid w:val="00CE780A"/>
    <w:rsid w:val="00CE7887"/>
    <w:rsid w:val="00CE789D"/>
    <w:rsid w:val="00CE791D"/>
    <w:rsid w:val="00CE79A9"/>
    <w:rsid w:val="00CE7A14"/>
    <w:rsid w:val="00CE7A8A"/>
    <w:rsid w:val="00CE7A8E"/>
    <w:rsid w:val="00CE7B3F"/>
    <w:rsid w:val="00CE7CB8"/>
    <w:rsid w:val="00CE7DBC"/>
    <w:rsid w:val="00CE7EAE"/>
    <w:rsid w:val="00CE7EB6"/>
    <w:rsid w:val="00CE7EF0"/>
    <w:rsid w:val="00CF0012"/>
    <w:rsid w:val="00CF00E3"/>
    <w:rsid w:val="00CF02A6"/>
    <w:rsid w:val="00CF030B"/>
    <w:rsid w:val="00CF03C8"/>
    <w:rsid w:val="00CF05DF"/>
    <w:rsid w:val="00CF06AF"/>
    <w:rsid w:val="00CF0A74"/>
    <w:rsid w:val="00CF0D58"/>
    <w:rsid w:val="00CF0FD0"/>
    <w:rsid w:val="00CF113E"/>
    <w:rsid w:val="00CF1286"/>
    <w:rsid w:val="00CF1292"/>
    <w:rsid w:val="00CF13C4"/>
    <w:rsid w:val="00CF14B1"/>
    <w:rsid w:val="00CF1833"/>
    <w:rsid w:val="00CF18D8"/>
    <w:rsid w:val="00CF194B"/>
    <w:rsid w:val="00CF19B0"/>
    <w:rsid w:val="00CF1A0C"/>
    <w:rsid w:val="00CF1BF8"/>
    <w:rsid w:val="00CF1D00"/>
    <w:rsid w:val="00CF1D1E"/>
    <w:rsid w:val="00CF1EB8"/>
    <w:rsid w:val="00CF1EC3"/>
    <w:rsid w:val="00CF1F00"/>
    <w:rsid w:val="00CF1F30"/>
    <w:rsid w:val="00CF213C"/>
    <w:rsid w:val="00CF2168"/>
    <w:rsid w:val="00CF2234"/>
    <w:rsid w:val="00CF2331"/>
    <w:rsid w:val="00CF2504"/>
    <w:rsid w:val="00CF2524"/>
    <w:rsid w:val="00CF254B"/>
    <w:rsid w:val="00CF26DE"/>
    <w:rsid w:val="00CF270A"/>
    <w:rsid w:val="00CF2AFB"/>
    <w:rsid w:val="00CF2B51"/>
    <w:rsid w:val="00CF2D5E"/>
    <w:rsid w:val="00CF2E11"/>
    <w:rsid w:val="00CF2E9D"/>
    <w:rsid w:val="00CF2FF1"/>
    <w:rsid w:val="00CF3379"/>
    <w:rsid w:val="00CF3558"/>
    <w:rsid w:val="00CF360E"/>
    <w:rsid w:val="00CF3657"/>
    <w:rsid w:val="00CF3717"/>
    <w:rsid w:val="00CF379F"/>
    <w:rsid w:val="00CF37DA"/>
    <w:rsid w:val="00CF3809"/>
    <w:rsid w:val="00CF385E"/>
    <w:rsid w:val="00CF394D"/>
    <w:rsid w:val="00CF3C91"/>
    <w:rsid w:val="00CF3D83"/>
    <w:rsid w:val="00CF3D8D"/>
    <w:rsid w:val="00CF3F0F"/>
    <w:rsid w:val="00CF40B9"/>
    <w:rsid w:val="00CF4377"/>
    <w:rsid w:val="00CF4418"/>
    <w:rsid w:val="00CF4791"/>
    <w:rsid w:val="00CF48B9"/>
    <w:rsid w:val="00CF49AC"/>
    <w:rsid w:val="00CF49BE"/>
    <w:rsid w:val="00CF49BF"/>
    <w:rsid w:val="00CF4A38"/>
    <w:rsid w:val="00CF4B33"/>
    <w:rsid w:val="00CF4D2D"/>
    <w:rsid w:val="00CF4DD8"/>
    <w:rsid w:val="00CF4DE5"/>
    <w:rsid w:val="00CF50B5"/>
    <w:rsid w:val="00CF50BD"/>
    <w:rsid w:val="00CF545D"/>
    <w:rsid w:val="00CF56C6"/>
    <w:rsid w:val="00CF56F4"/>
    <w:rsid w:val="00CF5803"/>
    <w:rsid w:val="00CF58F7"/>
    <w:rsid w:val="00CF5A18"/>
    <w:rsid w:val="00CF5B5A"/>
    <w:rsid w:val="00CF5B65"/>
    <w:rsid w:val="00CF5D30"/>
    <w:rsid w:val="00CF5E51"/>
    <w:rsid w:val="00CF6046"/>
    <w:rsid w:val="00CF625A"/>
    <w:rsid w:val="00CF62CA"/>
    <w:rsid w:val="00CF62D8"/>
    <w:rsid w:val="00CF6429"/>
    <w:rsid w:val="00CF6781"/>
    <w:rsid w:val="00CF67F0"/>
    <w:rsid w:val="00CF67F4"/>
    <w:rsid w:val="00CF6848"/>
    <w:rsid w:val="00CF68CA"/>
    <w:rsid w:val="00CF6C0A"/>
    <w:rsid w:val="00CF6C3B"/>
    <w:rsid w:val="00CF6C89"/>
    <w:rsid w:val="00CF6CE5"/>
    <w:rsid w:val="00CF6F82"/>
    <w:rsid w:val="00CF6FCD"/>
    <w:rsid w:val="00CF7058"/>
    <w:rsid w:val="00CF70E8"/>
    <w:rsid w:val="00CF7276"/>
    <w:rsid w:val="00CF771F"/>
    <w:rsid w:val="00CF7801"/>
    <w:rsid w:val="00CF78D5"/>
    <w:rsid w:val="00CF79D7"/>
    <w:rsid w:val="00CF7A42"/>
    <w:rsid w:val="00CF7C10"/>
    <w:rsid w:val="00CF7CBB"/>
    <w:rsid w:val="00CF7D2D"/>
    <w:rsid w:val="00CF7E60"/>
    <w:rsid w:val="00CF7FBE"/>
    <w:rsid w:val="00D0000D"/>
    <w:rsid w:val="00D0037F"/>
    <w:rsid w:val="00D003DE"/>
    <w:rsid w:val="00D0046A"/>
    <w:rsid w:val="00D004FC"/>
    <w:rsid w:val="00D007AD"/>
    <w:rsid w:val="00D007F0"/>
    <w:rsid w:val="00D008D3"/>
    <w:rsid w:val="00D008E0"/>
    <w:rsid w:val="00D00AE1"/>
    <w:rsid w:val="00D00B3E"/>
    <w:rsid w:val="00D00B51"/>
    <w:rsid w:val="00D00DA1"/>
    <w:rsid w:val="00D00E08"/>
    <w:rsid w:val="00D00EDF"/>
    <w:rsid w:val="00D00F24"/>
    <w:rsid w:val="00D00F6D"/>
    <w:rsid w:val="00D00F70"/>
    <w:rsid w:val="00D00FB7"/>
    <w:rsid w:val="00D01048"/>
    <w:rsid w:val="00D0114A"/>
    <w:rsid w:val="00D0117E"/>
    <w:rsid w:val="00D01252"/>
    <w:rsid w:val="00D0170D"/>
    <w:rsid w:val="00D018B3"/>
    <w:rsid w:val="00D01905"/>
    <w:rsid w:val="00D0192B"/>
    <w:rsid w:val="00D01AEA"/>
    <w:rsid w:val="00D01C09"/>
    <w:rsid w:val="00D01CCB"/>
    <w:rsid w:val="00D01E2A"/>
    <w:rsid w:val="00D01E7D"/>
    <w:rsid w:val="00D01F98"/>
    <w:rsid w:val="00D01FF4"/>
    <w:rsid w:val="00D02003"/>
    <w:rsid w:val="00D023FF"/>
    <w:rsid w:val="00D026C0"/>
    <w:rsid w:val="00D026D1"/>
    <w:rsid w:val="00D0282D"/>
    <w:rsid w:val="00D0298E"/>
    <w:rsid w:val="00D02A4F"/>
    <w:rsid w:val="00D02BAA"/>
    <w:rsid w:val="00D02BD6"/>
    <w:rsid w:val="00D02C11"/>
    <w:rsid w:val="00D02CA3"/>
    <w:rsid w:val="00D03147"/>
    <w:rsid w:val="00D031A8"/>
    <w:rsid w:val="00D031B0"/>
    <w:rsid w:val="00D032BB"/>
    <w:rsid w:val="00D03384"/>
    <w:rsid w:val="00D033C6"/>
    <w:rsid w:val="00D03513"/>
    <w:rsid w:val="00D0351E"/>
    <w:rsid w:val="00D03793"/>
    <w:rsid w:val="00D037E4"/>
    <w:rsid w:val="00D038CB"/>
    <w:rsid w:val="00D0392D"/>
    <w:rsid w:val="00D039C3"/>
    <w:rsid w:val="00D03A60"/>
    <w:rsid w:val="00D03D8E"/>
    <w:rsid w:val="00D03F75"/>
    <w:rsid w:val="00D0420E"/>
    <w:rsid w:val="00D043D7"/>
    <w:rsid w:val="00D0451D"/>
    <w:rsid w:val="00D046AD"/>
    <w:rsid w:val="00D04746"/>
    <w:rsid w:val="00D0474C"/>
    <w:rsid w:val="00D04853"/>
    <w:rsid w:val="00D048D0"/>
    <w:rsid w:val="00D04A53"/>
    <w:rsid w:val="00D04A68"/>
    <w:rsid w:val="00D04AA8"/>
    <w:rsid w:val="00D04AFA"/>
    <w:rsid w:val="00D04D71"/>
    <w:rsid w:val="00D04E7E"/>
    <w:rsid w:val="00D04F4C"/>
    <w:rsid w:val="00D05112"/>
    <w:rsid w:val="00D0526C"/>
    <w:rsid w:val="00D05280"/>
    <w:rsid w:val="00D05352"/>
    <w:rsid w:val="00D05379"/>
    <w:rsid w:val="00D0539C"/>
    <w:rsid w:val="00D05432"/>
    <w:rsid w:val="00D055B0"/>
    <w:rsid w:val="00D055D6"/>
    <w:rsid w:val="00D055DC"/>
    <w:rsid w:val="00D05690"/>
    <w:rsid w:val="00D056A9"/>
    <w:rsid w:val="00D05826"/>
    <w:rsid w:val="00D0584D"/>
    <w:rsid w:val="00D059E3"/>
    <w:rsid w:val="00D05A55"/>
    <w:rsid w:val="00D05AD0"/>
    <w:rsid w:val="00D05B7B"/>
    <w:rsid w:val="00D05E9E"/>
    <w:rsid w:val="00D06361"/>
    <w:rsid w:val="00D06381"/>
    <w:rsid w:val="00D065C0"/>
    <w:rsid w:val="00D066E0"/>
    <w:rsid w:val="00D067C7"/>
    <w:rsid w:val="00D067F6"/>
    <w:rsid w:val="00D0681F"/>
    <w:rsid w:val="00D068E5"/>
    <w:rsid w:val="00D0697F"/>
    <w:rsid w:val="00D06AB8"/>
    <w:rsid w:val="00D06B04"/>
    <w:rsid w:val="00D06BB9"/>
    <w:rsid w:val="00D06CA6"/>
    <w:rsid w:val="00D06D96"/>
    <w:rsid w:val="00D06E0F"/>
    <w:rsid w:val="00D06F05"/>
    <w:rsid w:val="00D06F45"/>
    <w:rsid w:val="00D0700F"/>
    <w:rsid w:val="00D07173"/>
    <w:rsid w:val="00D07175"/>
    <w:rsid w:val="00D073B9"/>
    <w:rsid w:val="00D073F5"/>
    <w:rsid w:val="00D0773E"/>
    <w:rsid w:val="00D0776C"/>
    <w:rsid w:val="00D07A03"/>
    <w:rsid w:val="00D07D6B"/>
    <w:rsid w:val="00D07EC2"/>
    <w:rsid w:val="00D07FEB"/>
    <w:rsid w:val="00D10031"/>
    <w:rsid w:val="00D10121"/>
    <w:rsid w:val="00D101C1"/>
    <w:rsid w:val="00D1021F"/>
    <w:rsid w:val="00D102E8"/>
    <w:rsid w:val="00D1039A"/>
    <w:rsid w:val="00D10404"/>
    <w:rsid w:val="00D104D5"/>
    <w:rsid w:val="00D105C3"/>
    <w:rsid w:val="00D105EB"/>
    <w:rsid w:val="00D1076C"/>
    <w:rsid w:val="00D107C7"/>
    <w:rsid w:val="00D10895"/>
    <w:rsid w:val="00D1089C"/>
    <w:rsid w:val="00D10A6F"/>
    <w:rsid w:val="00D10A76"/>
    <w:rsid w:val="00D10FA3"/>
    <w:rsid w:val="00D110FA"/>
    <w:rsid w:val="00D1116D"/>
    <w:rsid w:val="00D1117D"/>
    <w:rsid w:val="00D111D4"/>
    <w:rsid w:val="00D112B6"/>
    <w:rsid w:val="00D112EE"/>
    <w:rsid w:val="00D1132D"/>
    <w:rsid w:val="00D1142D"/>
    <w:rsid w:val="00D11443"/>
    <w:rsid w:val="00D114F2"/>
    <w:rsid w:val="00D11501"/>
    <w:rsid w:val="00D115C6"/>
    <w:rsid w:val="00D11718"/>
    <w:rsid w:val="00D11837"/>
    <w:rsid w:val="00D118EB"/>
    <w:rsid w:val="00D11B45"/>
    <w:rsid w:val="00D11B85"/>
    <w:rsid w:val="00D11BCD"/>
    <w:rsid w:val="00D11CF1"/>
    <w:rsid w:val="00D11DAB"/>
    <w:rsid w:val="00D11EBF"/>
    <w:rsid w:val="00D11FF8"/>
    <w:rsid w:val="00D1219D"/>
    <w:rsid w:val="00D122E9"/>
    <w:rsid w:val="00D1235D"/>
    <w:rsid w:val="00D123A2"/>
    <w:rsid w:val="00D124A9"/>
    <w:rsid w:val="00D124C2"/>
    <w:rsid w:val="00D1266F"/>
    <w:rsid w:val="00D1288E"/>
    <w:rsid w:val="00D1289B"/>
    <w:rsid w:val="00D128C8"/>
    <w:rsid w:val="00D129B3"/>
    <w:rsid w:val="00D129B6"/>
    <w:rsid w:val="00D12A27"/>
    <w:rsid w:val="00D12BF3"/>
    <w:rsid w:val="00D12D78"/>
    <w:rsid w:val="00D12DB7"/>
    <w:rsid w:val="00D12E61"/>
    <w:rsid w:val="00D12E8B"/>
    <w:rsid w:val="00D12F4F"/>
    <w:rsid w:val="00D13013"/>
    <w:rsid w:val="00D1309A"/>
    <w:rsid w:val="00D131DF"/>
    <w:rsid w:val="00D13221"/>
    <w:rsid w:val="00D13520"/>
    <w:rsid w:val="00D13854"/>
    <w:rsid w:val="00D13873"/>
    <w:rsid w:val="00D13971"/>
    <w:rsid w:val="00D13C7B"/>
    <w:rsid w:val="00D13CEC"/>
    <w:rsid w:val="00D13F5F"/>
    <w:rsid w:val="00D14011"/>
    <w:rsid w:val="00D140D4"/>
    <w:rsid w:val="00D1419B"/>
    <w:rsid w:val="00D1424B"/>
    <w:rsid w:val="00D142D3"/>
    <w:rsid w:val="00D1432D"/>
    <w:rsid w:val="00D14533"/>
    <w:rsid w:val="00D145E6"/>
    <w:rsid w:val="00D146E2"/>
    <w:rsid w:val="00D146E9"/>
    <w:rsid w:val="00D147A4"/>
    <w:rsid w:val="00D148C2"/>
    <w:rsid w:val="00D14A13"/>
    <w:rsid w:val="00D14A36"/>
    <w:rsid w:val="00D14BE3"/>
    <w:rsid w:val="00D14CCB"/>
    <w:rsid w:val="00D14D7A"/>
    <w:rsid w:val="00D14EF7"/>
    <w:rsid w:val="00D14FD0"/>
    <w:rsid w:val="00D14FF3"/>
    <w:rsid w:val="00D154F6"/>
    <w:rsid w:val="00D155AA"/>
    <w:rsid w:val="00D15657"/>
    <w:rsid w:val="00D15670"/>
    <w:rsid w:val="00D157C0"/>
    <w:rsid w:val="00D15871"/>
    <w:rsid w:val="00D159E9"/>
    <w:rsid w:val="00D15A7E"/>
    <w:rsid w:val="00D15AE0"/>
    <w:rsid w:val="00D15E19"/>
    <w:rsid w:val="00D15E42"/>
    <w:rsid w:val="00D15EB5"/>
    <w:rsid w:val="00D16029"/>
    <w:rsid w:val="00D1620E"/>
    <w:rsid w:val="00D162A1"/>
    <w:rsid w:val="00D164EC"/>
    <w:rsid w:val="00D16833"/>
    <w:rsid w:val="00D16B58"/>
    <w:rsid w:val="00D16C03"/>
    <w:rsid w:val="00D16E57"/>
    <w:rsid w:val="00D16E65"/>
    <w:rsid w:val="00D16ECC"/>
    <w:rsid w:val="00D16F9C"/>
    <w:rsid w:val="00D17050"/>
    <w:rsid w:val="00D170AE"/>
    <w:rsid w:val="00D171B6"/>
    <w:rsid w:val="00D17236"/>
    <w:rsid w:val="00D17298"/>
    <w:rsid w:val="00D1736D"/>
    <w:rsid w:val="00D17458"/>
    <w:rsid w:val="00D17488"/>
    <w:rsid w:val="00D17528"/>
    <w:rsid w:val="00D1759F"/>
    <w:rsid w:val="00D177A5"/>
    <w:rsid w:val="00D17AFB"/>
    <w:rsid w:val="00D17B46"/>
    <w:rsid w:val="00D17B97"/>
    <w:rsid w:val="00D17C61"/>
    <w:rsid w:val="00D17D0E"/>
    <w:rsid w:val="00D17EC3"/>
    <w:rsid w:val="00D17F31"/>
    <w:rsid w:val="00D17F52"/>
    <w:rsid w:val="00D19582"/>
    <w:rsid w:val="00D20078"/>
    <w:rsid w:val="00D200F8"/>
    <w:rsid w:val="00D2012F"/>
    <w:rsid w:val="00D20160"/>
    <w:rsid w:val="00D2025B"/>
    <w:rsid w:val="00D202F3"/>
    <w:rsid w:val="00D207A3"/>
    <w:rsid w:val="00D209C1"/>
    <w:rsid w:val="00D209CC"/>
    <w:rsid w:val="00D20CD1"/>
    <w:rsid w:val="00D20D3E"/>
    <w:rsid w:val="00D20DA5"/>
    <w:rsid w:val="00D21041"/>
    <w:rsid w:val="00D21269"/>
    <w:rsid w:val="00D213BD"/>
    <w:rsid w:val="00D213ED"/>
    <w:rsid w:val="00D2140D"/>
    <w:rsid w:val="00D21505"/>
    <w:rsid w:val="00D21853"/>
    <w:rsid w:val="00D21883"/>
    <w:rsid w:val="00D219DD"/>
    <w:rsid w:val="00D21ABC"/>
    <w:rsid w:val="00D21ABE"/>
    <w:rsid w:val="00D21B2B"/>
    <w:rsid w:val="00D21B5D"/>
    <w:rsid w:val="00D21C2D"/>
    <w:rsid w:val="00D21D23"/>
    <w:rsid w:val="00D21EEB"/>
    <w:rsid w:val="00D21F81"/>
    <w:rsid w:val="00D22099"/>
    <w:rsid w:val="00D2209F"/>
    <w:rsid w:val="00D220BD"/>
    <w:rsid w:val="00D22199"/>
    <w:rsid w:val="00D222FC"/>
    <w:rsid w:val="00D2236A"/>
    <w:rsid w:val="00D223AF"/>
    <w:rsid w:val="00D227FA"/>
    <w:rsid w:val="00D2281E"/>
    <w:rsid w:val="00D22875"/>
    <w:rsid w:val="00D2288D"/>
    <w:rsid w:val="00D2291A"/>
    <w:rsid w:val="00D2297C"/>
    <w:rsid w:val="00D22AC7"/>
    <w:rsid w:val="00D22AE9"/>
    <w:rsid w:val="00D22B91"/>
    <w:rsid w:val="00D22C3F"/>
    <w:rsid w:val="00D22E9A"/>
    <w:rsid w:val="00D23081"/>
    <w:rsid w:val="00D23269"/>
    <w:rsid w:val="00D2335C"/>
    <w:rsid w:val="00D233D9"/>
    <w:rsid w:val="00D23482"/>
    <w:rsid w:val="00D235CA"/>
    <w:rsid w:val="00D237D5"/>
    <w:rsid w:val="00D23843"/>
    <w:rsid w:val="00D238C4"/>
    <w:rsid w:val="00D239DA"/>
    <w:rsid w:val="00D23B0D"/>
    <w:rsid w:val="00D23CB1"/>
    <w:rsid w:val="00D23CB9"/>
    <w:rsid w:val="00D24081"/>
    <w:rsid w:val="00D24471"/>
    <w:rsid w:val="00D24664"/>
    <w:rsid w:val="00D24730"/>
    <w:rsid w:val="00D24ADC"/>
    <w:rsid w:val="00D24B76"/>
    <w:rsid w:val="00D24B8A"/>
    <w:rsid w:val="00D24CBD"/>
    <w:rsid w:val="00D24D76"/>
    <w:rsid w:val="00D25007"/>
    <w:rsid w:val="00D25067"/>
    <w:rsid w:val="00D250B2"/>
    <w:rsid w:val="00D251AD"/>
    <w:rsid w:val="00D25324"/>
    <w:rsid w:val="00D25329"/>
    <w:rsid w:val="00D25331"/>
    <w:rsid w:val="00D25589"/>
    <w:rsid w:val="00D25714"/>
    <w:rsid w:val="00D2572B"/>
    <w:rsid w:val="00D25799"/>
    <w:rsid w:val="00D257E2"/>
    <w:rsid w:val="00D257F8"/>
    <w:rsid w:val="00D2585E"/>
    <w:rsid w:val="00D258AB"/>
    <w:rsid w:val="00D258FF"/>
    <w:rsid w:val="00D259A8"/>
    <w:rsid w:val="00D25D53"/>
    <w:rsid w:val="00D25DD4"/>
    <w:rsid w:val="00D26154"/>
    <w:rsid w:val="00D2626A"/>
    <w:rsid w:val="00D26381"/>
    <w:rsid w:val="00D263A4"/>
    <w:rsid w:val="00D263CA"/>
    <w:rsid w:val="00D2642F"/>
    <w:rsid w:val="00D26543"/>
    <w:rsid w:val="00D26697"/>
    <w:rsid w:val="00D267F0"/>
    <w:rsid w:val="00D2681F"/>
    <w:rsid w:val="00D26866"/>
    <w:rsid w:val="00D26872"/>
    <w:rsid w:val="00D26BC9"/>
    <w:rsid w:val="00D26CB9"/>
    <w:rsid w:val="00D26CE6"/>
    <w:rsid w:val="00D26EED"/>
    <w:rsid w:val="00D2719D"/>
    <w:rsid w:val="00D272A2"/>
    <w:rsid w:val="00D27438"/>
    <w:rsid w:val="00D27523"/>
    <w:rsid w:val="00D2754D"/>
    <w:rsid w:val="00D275A8"/>
    <w:rsid w:val="00D2768C"/>
    <w:rsid w:val="00D276C0"/>
    <w:rsid w:val="00D27771"/>
    <w:rsid w:val="00D277E4"/>
    <w:rsid w:val="00D27A45"/>
    <w:rsid w:val="00D27C07"/>
    <w:rsid w:val="00D27CFE"/>
    <w:rsid w:val="00D301A3"/>
    <w:rsid w:val="00D30266"/>
    <w:rsid w:val="00D3028D"/>
    <w:rsid w:val="00D30485"/>
    <w:rsid w:val="00D3058C"/>
    <w:rsid w:val="00D30761"/>
    <w:rsid w:val="00D30A10"/>
    <w:rsid w:val="00D30A7D"/>
    <w:rsid w:val="00D30A97"/>
    <w:rsid w:val="00D30B3A"/>
    <w:rsid w:val="00D30C10"/>
    <w:rsid w:val="00D30C87"/>
    <w:rsid w:val="00D30CE7"/>
    <w:rsid w:val="00D30DF6"/>
    <w:rsid w:val="00D30EAB"/>
    <w:rsid w:val="00D31071"/>
    <w:rsid w:val="00D311C2"/>
    <w:rsid w:val="00D312B5"/>
    <w:rsid w:val="00D31357"/>
    <w:rsid w:val="00D3148D"/>
    <w:rsid w:val="00D31660"/>
    <w:rsid w:val="00D3169D"/>
    <w:rsid w:val="00D316F5"/>
    <w:rsid w:val="00D31826"/>
    <w:rsid w:val="00D31868"/>
    <w:rsid w:val="00D319DD"/>
    <w:rsid w:val="00D319DE"/>
    <w:rsid w:val="00D319E7"/>
    <w:rsid w:val="00D31BCC"/>
    <w:rsid w:val="00D31D06"/>
    <w:rsid w:val="00D31FCF"/>
    <w:rsid w:val="00D320F2"/>
    <w:rsid w:val="00D323B5"/>
    <w:rsid w:val="00D32407"/>
    <w:rsid w:val="00D3256D"/>
    <w:rsid w:val="00D326C4"/>
    <w:rsid w:val="00D3272F"/>
    <w:rsid w:val="00D3283C"/>
    <w:rsid w:val="00D3283D"/>
    <w:rsid w:val="00D32951"/>
    <w:rsid w:val="00D32A66"/>
    <w:rsid w:val="00D32DAF"/>
    <w:rsid w:val="00D32E51"/>
    <w:rsid w:val="00D33527"/>
    <w:rsid w:val="00D3363B"/>
    <w:rsid w:val="00D33707"/>
    <w:rsid w:val="00D33743"/>
    <w:rsid w:val="00D33972"/>
    <w:rsid w:val="00D33A2F"/>
    <w:rsid w:val="00D33DB8"/>
    <w:rsid w:val="00D33FE3"/>
    <w:rsid w:val="00D34213"/>
    <w:rsid w:val="00D34638"/>
    <w:rsid w:val="00D34669"/>
    <w:rsid w:val="00D346A2"/>
    <w:rsid w:val="00D3475F"/>
    <w:rsid w:val="00D34957"/>
    <w:rsid w:val="00D349C8"/>
    <w:rsid w:val="00D34BB6"/>
    <w:rsid w:val="00D34CDF"/>
    <w:rsid w:val="00D34CE5"/>
    <w:rsid w:val="00D34D53"/>
    <w:rsid w:val="00D34DC1"/>
    <w:rsid w:val="00D34E33"/>
    <w:rsid w:val="00D35030"/>
    <w:rsid w:val="00D35503"/>
    <w:rsid w:val="00D35561"/>
    <w:rsid w:val="00D3563E"/>
    <w:rsid w:val="00D35693"/>
    <w:rsid w:val="00D356A3"/>
    <w:rsid w:val="00D35745"/>
    <w:rsid w:val="00D359E8"/>
    <w:rsid w:val="00D35B12"/>
    <w:rsid w:val="00D35BD3"/>
    <w:rsid w:val="00D35D6F"/>
    <w:rsid w:val="00D35EE0"/>
    <w:rsid w:val="00D35F8B"/>
    <w:rsid w:val="00D35FF6"/>
    <w:rsid w:val="00D36611"/>
    <w:rsid w:val="00D36661"/>
    <w:rsid w:val="00D366C7"/>
    <w:rsid w:val="00D3670D"/>
    <w:rsid w:val="00D36747"/>
    <w:rsid w:val="00D36845"/>
    <w:rsid w:val="00D36A4A"/>
    <w:rsid w:val="00D36AC0"/>
    <w:rsid w:val="00D36B38"/>
    <w:rsid w:val="00D36BB1"/>
    <w:rsid w:val="00D36CD8"/>
    <w:rsid w:val="00D36CFD"/>
    <w:rsid w:val="00D36E47"/>
    <w:rsid w:val="00D36F33"/>
    <w:rsid w:val="00D36F7F"/>
    <w:rsid w:val="00D36FD4"/>
    <w:rsid w:val="00D36FF0"/>
    <w:rsid w:val="00D36FF5"/>
    <w:rsid w:val="00D37051"/>
    <w:rsid w:val="00D372C4"/>
    <w:rsid w:val="00D373A3"/>
    <w:rsid w:val="00D37450"/>
    <w:rsid w:val="00D374E8"/>
    <w:rsid w:val="00D37521"/>
    <w:rsid w:val="00D37559"/>
    <w:rsid w:val="00D3755D"/>
    <w:rsid w:val="00D379EF"/>
    <w:rsid w:val="00D37A82"/>
    <w:rsid w:val="00D37B2A"/>
    <w:rsid w:val="00D37BC6"/>
    <w:rsid w:val="00D37F75"/>
    <w:rsid w:val="00D400CA"/>
    <w:rsid w:val="00D40178"/>
    <w:rsid w:val="00D40223"/>
    <w:rsid w:val="00D4026B"/>
    <w:rsid w:val="00D405B2"/>
    <w:rsid w:val="00D40649"/>
    <w:rsid w:val="00D4079F"/>
    <w:rsid w:val="00D40991"/>
    <w:rsid w:val="00D409D8"/>
    <w:rsid w:val="00D40B8B"/>
    <w:rsid w:val="00D40CE2"/>
    <w:rsid w:val="00D40D29"/>
    <w:rsid w:val="00D40EE0"/>
    <w:rsid w:val="00D4106F"/>
    <w:rsid w:val="00D411AB"/>
    <w:rsid w:val="00D413E7"/>
    <w:rsid w:val="00D41521"/>
    <w:rsid w:val="00D41544"/>
    <w:rsid w:val="00D41591"/>
    <w:rsid w:val="00D418F0"/>
    <w:rsid w:val="00D41906"/>
    <w:rsid w:val="00D41C33"/>
    <w:rsid w:val="00D41D8E"/>
    <w:rsid w:val="00D41F64"/>
    <w:rsid w:val="00D42052"/>
    <w:rsid w:val="00D42422"/>
    <w:rsid w:val="00D42466"/>
    <w:rsid w:val="00D4263E"/>
    <w:rsid w:val="00D4282E"/>
    <w:rsid w:val="00D42834"/>
    <w:rsid w:val="00D42957"/>
    <w:rsid w:val="00D42961"/>
    <w:rsid w:val="00D42A46"/>
    <w:rsid w:val="00D42B39"/>
    <w:rsid w:val="00D42CF0"/>
    <w:rsid w:val="00D42D42"/>
    <w:rsid w:val="00D42DA6"/>
    <w:rsid w:val="00D4305F"/>
    <w:rsid w:val="00D43080"/>
    <w:rsid w:val="00D43204"/>
    <w:rsid w:val="00D432B7"/>
    <w:rsid w:val="00D432D6"/>
    <w:rsid w:val="00D43460"/>
    <w:rsid w:val="00D434BB"/>
    <w:rsid w:val="00D436D8"/>
    <w:rsid w:val="00D43851"/>
    <w:rsid w:val="00D438EA"/>
    <w:rsid w:val="00D4394C"/>
    <w:rsid w:val="00D43981"/>
    <w:rsid w:val="00D43CA9"/>
    <w:rsid w:val="00D43D4A"/>
    <w:rsid w:val="00D43DED"/>
    <w:rsid w:val="00D43ECF"/>
    <w:rsid w:val="00D43F30"/>
    <w:rsid w:val="00D441A8"/>
    <w:rsid w:val="00D443F1"/>
    <w:rsid w:val="00D4453B"/>
    <w:rsid w:val="00D44566"/>
    <w:rsid w:val="00D448BC"/>
    <w:rsid w:val="00D448F6"/>
    <w:rsid w:val="00D449D5"/>
    <w:rsid w:val="00D44CFC"/>
    <w:rsid w:val="00D44D9E"/>
    <w:rsid w:val="00D44EBD"/>
    <w:rsid w:val="00D44EFC"/>
    <w:rsid w:val="00D44F1A"/>
    <w:rsid w:val="00D44FDD"/>
    <w:rsid w:val="00D4505A"/>
    <w:rsid w:val="00D45062"/>
    <w:rsid w:val="00D45150"/>
    <w:rsid w:val="00D451D4"/>
    <w:rsid w:val="00D452D1"/>
    <w:rsid w:val="00D4531C"/>
    <w:rsid w:val="00D45338"/>
    <w:rsid w:val="00D45497"/>
    <w:rsid w:val="00D4549D"/>
    <w:rsid w:val="00D4570D"/>
    <w:rsid w:val="00D45788"/>
    <w:rsid w:val="00D457B4"/>
    <w:rsid w:val="00D457FD"/>
    <w:rsid w:val="00D458F7"/>
    <w:rsid w:val="00D45921"/>
    <w:rsid w:val="00D45BD4"/>
    <w:rsid w:val="00D45BE4"/>
    <w:rsid w:val="00D45C05"/>
    <w:rsid w:val="00D45D06"/>
    <w:rsid w:val="00D45D56"/>
    <w:rsid w:val="00D45EBD"/>
    <w:rsid w:val="00D462FB"/>
    <w:rsid w:val="00D46384"/>
    <w:rsid w:val="00D46728"/>
    <w:rsid w:val="00D468E1"/>
    <w:rsid w:val="00D46BC6"/>
    <w:rsid w:val="00D46C2E"/>
    <w:rsid w:val="00D46C45"/>
    <w:rsid w:val="00D46E3F"/>
    <w:rsid w:val="00D46E42"/>
    <w:rsid w:val="00D46E77"/>
    <w:rsid w:val="00D46F5C"/>
    <w:rsid w:val="00D4707B"/>
    <w:rsid w:val="00D4717D"/>
    <w:rsid w:val="00D47210"/>
    <w:rsid w:val="00D47268"/>
    <w:rsid w:val="00D473DF"/>
    <w:rsid w:val="00D47489"/>
    <w:rsid w:val="00D474EE"/>
    <w:rsid w:val="00D476D2"/>
    <w:rsid w:val="00D477B7"/>
    <w:rsid w:val="00D478ED"/>
    <w:rsid w:val="00D47A89"/>
    <w:rsid w:val="00D47ACA"/>
    <w:rsid w:val="00D47C0E"/>
    <w:rsid w:val="00D47C7F"/>
    <w:rsid w:val="00D47E48"/>
    <w:rsid w:val="00D47F05"/>
    <w:rsid w:val="00D47F28"/>
    <w:rsid w:val="00D5003A"/>
    <w:rsid w:val="00D5004C"/>
    <w:rsid w:val="00D50282"/>
    <w:rsid w:val="00D502DC"/>
    <w:rsid w:val="00D502E3"/>
    <w:rsid w:val="00D503D6"/>
    <w:rsid w:val="00D50463"/>
    <w:rsid w:val="00D5060B"/>
    <w:rsid w:val="00D50616"/>
    <w:rsid w:val="00D509B3"/>
    <w:rsid w:val="00D50C24"/>
    <w:rsid w:val="00D50F13"/>
    <w:rsid w:val="00D50F6C"/>
    <w:rsid w:val="00D51063"/>
    <w:rsid w:val="00D510E1"/>
    <w:rsid w:val="00D51216"/>
    <w:rsid w:val="00D5127E"/>
    <w:rsid w:val="00D518CE"/>
    <w:rsid w:val="00D518EE"/>
    <w:rsid w:val="00D518F9"/>
    <w:rsid w:val="00D51922"/>
    <w:rsid w:val="00D51E9C"/>
    <w:rsid w:val="00D51EB1"/>
    <w:rsid w:val="00D52332"/>
    <w:rsid w:val="00D523CE"/>
    <w:rsid w:val="00D524E2"/>
    <w:rsid w:val="00D525FC"/>
    <w:rsid w:val="00D528C8"/>
    <w:rsid w:val="00D52919"/>
    <w:rsid w:val="00D529BB"/>
    <w:rsid w:val="00D52A0B"/>
    <w:rsid w:val="00D52BC9"/>
    <w:rsid w:val="00D52BDF"/>
    <w:rsid w:val="00D52D3D"/>
    <w:rsid w:val="00D52F20"/>
    <w:rsid w:val="00D53137"/>
    <w:rsid w:val="00D5330D"/>
    <w:rsid w:val="00D533E6"/>
    <w:rsid w:val="00D534A3"/>
    <w:rsid w:val="00D53524"/>
    <w:rsid w:val="00D5374B"/>
    <w:rsid w:val="00D537F3"/>
    <w:rsid w:val="00D5380F"/>
    <w:rsid w:val="00D539A7"/>
    <w:rsid w:val="00D53A45"/>
    <w:rsid w:val="00D53A64"/>
    <w:rsid w:val="00D53A73"/>
    <w:rsid w:val="00D53A93"/>
    <w:rsid w:val="00D53BB8"/>
    <w:rsid w:val="00D53D28"/>
    <w:rsid w:val="00D53D5D"/>
    <w:rsid w:val="00D53F08"/>
    <w:rsid w:val="00D53F97"/>
    <w:rsid w:val="00D54237"/>
    <w:rsid w:val="00D542A0"/>
    <w:rsid w:val="00D542E9"/>
    <w:rsid w:val="00D5439D"/>
    <w:rsid w:val="00D543B7"/>
    <w:rsid w:val="00D544FF"/>
    <w:rsid w:val="00D54772"/>
    <w:rsid w:val="00D548E4"/>
    <w:rsid w:val="00D54E55"/>
    <w:rsid w:val="00D54E5B"/>
    <w:rsid w:val="00D54F6B"/>
    <w:rsid w:val="00D5519D"/>
    <w:rsid w:val="00D5536E"/>
    <w:rsid w:val="00D55414"/>
    <w:rsid w:val="00D55466"/>
    <w:rsid w:val="00D555E5"/>
    <w:rsid w:val="00D55623"/>
    <w:rsid w:val="00D5576E"/>
    <w:rsid w:val="00D557B2"/>
    <w:rsid w:val="00D55840"/>
    <w:rsid w:val="00D55937"/>
    <w:rsid w:val="00D55947"/>
    <w:rsid w:val="00D55B4C"/>
    <w:rsid w:val="00D55CEB"/>
    <w:rsid w:val="00D55CEF"/>
    <w:rsid w:val="00D55FD7"/>
    <w:rsid w:val="00D5602E"/>
    <w:rsid w:val="00D5603B"/>
    <w:rsid w:val="00D5606D"/>
    <w:rsid w:val="00D5619D"/>
    <w:rsid w:val="00D561C0"/>
    <w:rsid w:val="00D56203"/>
    <w:rsid w:val="00D56251"/>
    <w:rsid w:val="00D5648D"/>
    <w:rsid w:val="00D56524"/>
    <w:rsid w:val="00D56577"/>
    <w:rsid w:val="00D5658D"/>
    <w:rsid w:val="00D5661B"/>
    <w:rsid w:val="00D56727"/>
    <w:rsid w:val="00D567AB"/>
    <w:rsid w:val="00D5683E"/>
    <w:rsid w:val="00D56A39"/>
    <w:rsid w:val="00D56A4E"/>
    <w:rsid w:val="00D56B75"/>
    <w:rsid w:val="00D56CED"/>
    <w:rsid w:val="00D56CFF"/>
    <w:rsid w:val="00D56E93"/>
    <w:rsid w:val="00D5708F"/>
    <w:rsid w:val="00D570BF"/>
    <w:rsid w:val="00D57232"/>
    <w:rsid w:val="00D57306"/>
    <w:rsid w:val="00D57316"/>
    <w:rsid w:val="00D573A3"/>
    <w:rsid w:val="00D573E0"/>
    <w:rsid w:val="00D57487"/>
    <w:rsid w:val="00D57541"/>
    <w:rsid w:val="00D57588"/>
    <w:rsid w:val="00D575FD"/>
    <w:rsid w:val="00D57704"/>
    <w:rsid w:val="00D57710"/>
    <w:rsid w:val="00D5780B"/>
    <w:rsid w:val="00D579DF"/>
    <w:rsid w:val="00D57C34"/>
    <w:rsid w:val="00D57CE3"/>
    <w:rsid w:val="00D57D77"/>
    <w:rsid w:val="00D57F2F"/>
    <w:rsid w:val="00D60004"/>
    <w:rsid w:val="00D601C5"/>
    <w:rsid w:val="00D601E3"/>
    <w:rsid w:val="00D602A8"/>
    <w:rsid w:val="00D6033C"/>
    <w:rsid w:val="00D60370"/>
    <w:rsid w:val="00D604D2"/>
    <w:rsid w:val="00D6068D"/>
    <w:rsid w:val="00D6068E"/>
    <w:rsid w:val="00D606BE"/>
    <w:rsid w:val="00D607B1"/>
    <w:rsid w:val="00D60874"/>
    <w:rsid w:val="00D6091B"/>
    <w:rsid w:val="00D60A1D"/>
    <w:rsid w:val="00D60D76"/>
    <w:rsid w:val="00D60D87"/>
    <w:rsid w:val="00D60DCB"/>
    <w:rsid w:val="00D61021"/>
    <w:rsid w:val="00D610B6"/>
    <w:rsid w:val="00D6114C"/>
    <w:rsid w:val="00D6116D"/>
    <w:rsid w:val="00D61267"/>
    <w:rsid w:val="00D6131C"/>
    <w:rsid w:val="00D61345"/>
    <w:rsid w:val="00D61371"/>
    <w:rsid w:val="00D61405"/>
    <w:rsid w:val="00D614CC"/>
    <w:rsid w:val="00D6155F"/>
    <w:rsid w:val="00D61567"/>
    <w:rsid w:val="00D6172F"/>
    <w:rsid w:val="00D6179D"/>
    <w:rsid w:val="00D6185F"/>
    <w:rsid w:val="00D619E2"/>
    <w:rsid w:val="00D61A00"/>
    <w:rsid w:val="00D61CD5"/>
    <w:rsid w:val="00D61DCB"/>
    <w:rsid w:val="00D61FE7"/>
    <w:rsid w:val="00D620CE"/>
    <w:rsid w:val="00D620DA"/>
    <w:rsid w:val="00D621DD"/>
    <w:rsid w:val="00D622D3"/>
    <w:rsid w:val="00D6276B"/>
    <w:rsid w:val="00D6290F"/>
    <w:rsid w:val="00D62AD9"/>
    <w:rsid w:val="00D62C05"/>
    <w:rsid w:val="00D62D21"/>
    <w:rsid w:val="00D62D9A"/>
    <w:rsid w:val="00D62F87"/>
    <w:rsid w:val="00D62FFA"/>
    <w:rsid w:val="00D630B8"/>
    <w:rsid w:val="00D63133"/>
    <w:rsid w:val="00D633BD"/>
    <w:rsid w:val="00D63438"/>
    <w:rsid w:val="00D63450"/>
    <w:rsid w:val="00D6345E"/>
    <w:rsid w:val="00D63484"/>
    <w:rsid w:val="00D635D6"/>
    <w:rsid w:val="00D6370C"/>
    <w:rsid w:val="00D63925"/>
    <w:rsid w:val="00D63BA4"/>
    <w:rsid w:val="00D63C40"/>
    <w:rsid w:val="00D63C9C"/>
    <w:rsid w:val="00D63D00"/>
    <w:rsid w:val="00D63DF5"/>
    <w:rsid w:val="00D63F01"/>
    <w:rsid w:val="00D63F0F"/>
    <w:rsid w:val="00D64022"/>
    <w:rsid w:val="00D64070"/>
    <w:rsid w:val="00D64104"/>
    <w:rsid w:val="00D64535"/>
    <w:rsid w:val="00D645F8"/>
    <w:rsid w:val="00D6479E"/>
    <w:rsid w:val="00D648CE"/>
    <w:rsid w:val="00D64906"/>
    <w:rsid w:val="00D64927"/>
    <w:rsid w:val="00D6495E"/>
    <w:rsid w:val="00D6498B"/>
    <w:rsid w:val="00D64B3A"/>
    <w:rsid w:val="00D64C89"/>
    <w:rsid w:val="00D64D34"/>
    <w:rsid w:val="00D64DD9"/>
    <w:rsid w:val="00D64EF2"/>
    <w:rsid w:val="00D64EFB"/>
    <w:rsid w:val="00D65087"/>
    <w:rsid w:val="00D650F2"/>
    <w:rsid w:val="00D6515C"/>
    <w:rsid w:val="00D6518F"/>
    <w:rsid w:val="00D65481"/>
    <w:rsid w:val="00D6554D"/>
    <w:rsid w:val="00D655A4"/>
    <w:rsid w:val="00D6584B"/>
    <w:rsid w:val="00D658CF"/>
    <w:rsid w:val="00D659E5"/>
    <w:rsid w:val="00D659EA"/>
    <w:rsid w:val="00D65C5D"/>
    <w:rsid w:val="00D65D06"/>
    <w:rsid w:val="00D65D07"/>
    <w:rsid w:val="00D65DB1"/>
    <w:rsid w:val="00D65DD6"/>
    <w:rsid w:val="00D65E61"/>
    <w:rsid w:val="00D65EB5"/>
    <w:rsid w:val="00D65FAC"/>
    <w:rsid w:val="00D665B0"/>
    <w:rsid w:val="00D6663A"/>
    <w:rsid w:val="00D666BC"/>
    <w:rsid w:val="00D66773"/>
    <w:rsid w:val="00D667C2"/>
    <w:rsid w:val="00D668EF"/>
    <w:rsid w:val="00D6692F"/>
    <w:rsid w:val="00D66A44"/>
    <w:rsid w:val="00D66B02"/>
    <w:rsid w:val="00D66B0D"/>
    <w:rsid w:val="00D66B3E"/>
    <w:rsid w:val="00D66BA8"/>
    <w:rsid w:val="00D66BF6"/>
    <w:rsid w:val="00D66CE0"/>
    <w:rsid w:val="00D66D18"/>
    <w:rsid w:val="00D66DC8"/>
    <w:rsid w:val="00D66EB1"/>
    <w:rsid w:val="00D672F0"/>
    <w:rsid w:val="00D6744E"/>
    <w:rsid w:val="00D6757E"/>
    <w:rsid w:val="00D676C1"/>
    <w:rsid w:val="00D6788F"/>
    <w:rsid w:val="00D67B3F"/>
    <w:rsid w:val="00D67BAF"/>
    <w:rsid w:val="00D67BF3"/>
    <w:rsid w:val="00D67C48"/>
    <w:rsid w:val="00D67D87"/>
    <w:rsid w:val="00D67EEB"/>
    <w:rsid w:val="00D67F25"/>
    <w:rsid w:val="00D700D8"/>
    <w:rsid w:val="00D7013A"/>
    <w:rsid w:val="00D7039A"/>
    <w:rsid w:val="00D705E5"/>
    <w:rsid w:val="00D70636"/>
    <w:rsid w:val="00D70805"/>
    <w:rsid w:val="00D70852"/>
    <w:rsid w:val="00D70939"/>
    <w:rsid w:val="00D70BC2"/>
    <w:rsid w:val="00D70C54"/>
    <w:rsid w:val="00D70CD7"/>
    <w:rsid w:val="00D70E42"/>
    <w:rsid w:val="00D70F28"/>
    <w:rsid w:val="00D70F78"/>
    <w:rsid w:val="00D70F7B"/>
    <w:rsid w:val="00D71111"/>
    <w:rsid w:val="00D713F9"/>
    <w:rsid w:val="00D71537"/>
    <w:rsid w:val="00D716FC"/>
    <w:rsid w:val="00D7176F"/>
    <w:rsid w:val="00D71838"/>
    <w:rsid w:val="00D7185E"/>
    <w:rsid w:val="00D71B64"/>
    <w:rsid w:val="00D71BD6"/>
    <w:rsid w:val="00D71CFD"/>
    <w:rsid w:val="00D71EE2"/>
    <w:rsid w:val="00D71EF5"/>
    <w:rsid w:val="00D71F3A"/>
    <w:rsid w:val="00D71F8F"/>
    <w:rsid w:val="00D72074"/>
    <w:rsid w:val="00D72104"/>
    <w:rsid w:val="00D72224"/>
    <w:rsid w:val="00D72358"/>
    <w:rsid w:val="00D723A4"/>
    <w:rsid w:val="00D724B7"/>
    <w:rsid w:val="00D727AF"/>
    <w:rsid w:val="00D729BA"/>
    <w:rsid w:val="00D72B51"/>
    <w:rsid w:val="00D72B54"/>
    <w:rsid w:val="00D72B94"/>
    <w:rsid w:val="00D72C2B"/>
    <w:rsid w:val="00D72D0A"/>
    <w:rsid w:val="00D72E5A"/>
    <w:rsid w:val="00D72F27"/>
    <w:rsid w:val="00D730F4"/>
    <w:rsid w:val="00D7333C"/>
    <w:rsid w:val="00D7354C"/>
    <w:rsid w:val="00D735B7"/>
    <w:rsid w:val="00D736D9"/>
    <w:rsid w:val="00D738F7"/>
    <w:rsid w:val="00D739B0"/>
    <w:rsid w:val="00D73B18"/>
    <w:rsid w:val="00D73BE0"/>
    <w:rsid w:val="00D740B5"/>
    <w:rsid w:val="00D74182"/>
    <w:rsid w:val="00D741D5"/>
    <w:rsid w:val="00D74364"/>
    <w:rsid w:val="00D74392"/>
    <w:rsid w:val="00D7457E"/>
    <w:rsid w:val="00D74593"/>
    <w:rsid w:val="00D746EE"/>
    <w:rsid w:val="00D7477E"/>
    <w:rsid w:val="00D7483C"/>
    <w:rsid w:val="00D74A03"/>
    <w:rsid w:val="00D74A16"/>
    <w:rsid w:val="00D74A66"/>
    <w:rsid w:val="00D74A77"/>
    <w:rsid w:val="00D74AFC"/>
    <w:rsid w:val="00D74CE4"/>
    <w:rsid w:val="00D751B8"/>
    <w:rsid w:val="00D75379"/>
    <w:rsid w:val="00D754B6"/>
    <w:rsid w:val="00D755D2"/>
    <w:rsid w:val="00D758CF"/>
    <w:rsid w:val="00D75AA1"/>
    <w:rsid w:val="00D75B70"/>
    <w:rsid w:val="00D75B71"/>
    <w:rsid w:val="00D75D49"/>
    <w:rsid w:val="00D75D80"/>
    <w:rsid w:val="00D75D9F"/>
    <w:rsid w:val="00D75DB1"/>
    <w:rsid w:val="00D75E9D"/>
    <w:rsid w:val="00D760DB"/>
    <w:rsid w:val="00D76181"/>
    <w:rsid w:val="00D76186"/>
    <w:rsid w:val="00D761B1"/>
    <w:rsid w:val="00D7621A"/>
    <w:rsid w:val="00D762CB"/>
    <w:rsid w:val="00D762F3"/>
    <w:rsid w:val="00D76475"/>
    <w:rsid w:val="00D7663E"/>
    <w:rsid w:val="00D76711"/>
    <w:rsid w:val="00D769FC"/>
    <w:rsid w:val="00D76A46"/>
    <w:rsid w:val="00D76A53"/>
    <w:rsid w:val="00D76C9C"/>
    <w:rsid w:val="00D76CE7"/>
    <w:rsid w:val="00D76D13"/>
    <w:rsid w:val="00D76E2B"/>
    <w:rsid w:val="00D76F01"/>
    <w:rsid w:val="00D76F82"/>
    <w:rsid w:val="00D77015"/>
    <w:rsid w:val="00D77172"/>
    <w:rsid w:val="00D7717B"/>
    <w:rsid w:val="00D772CC"/>
    <w:rsid w:val="00D774DB"/>
    <w:rsid w:val="00D77549"/>
    <w:rsid w:val="00D77632"/>
    <w:rsid w:val="00D7772E"/>
    <w:rsid w:val="00D77749"/>
    <w:rsid w:val="00D777EA"/>
    <w:rsid w:val="00D77984"/>
    <w:rsid w:val="00D77D57"/>
    <w:rsid w:val="00D8014E"/>
    <w:rsid w:val="00D802BD"/>
    <w:rsid w:val="00D802EE"/>
    <w:rsid w:val="00D80321"/>
    <w:rsid w:val="00D8032B"/>
    <w:rsid w:val="00D80479"/>
    <w:rsid w:val="00D8049E"/>
    <w:rsid w:val="00D80585"/>
    <w:rsid w:val="00D805CD"/>
    <w:rsid w:val="00D806FB"/>
    <w:rsid w:val="00D808A5"/>
    <w:rsid w:val="00D80928"/>
    <w:rsid w:val="00D809FD"/>
    <w:rsid w:val="00D80E55"/>
    <w:rsid w:val="00D80F65"/>
    <w:rsid w:val="00D81113"/>
    <w:rsid w:val="00D81222"/>
    <w:rsid w:val="00D81675"/>
    <w:rsid w:val="00D81881"/>
    <w:rsid w:val="00D81943"/>
    <w:rsid w:val="00D8195A"/>
    <w:rsid w:val="00D81D0B"/>
    <w:rsid w:val="00D81E04"/>
    <w:rsid w:val="00D82154"/>
    <w:rsid w:val="00D82248"/>
    <w:rsid w:val="00D8226C"/>
    <w:rsid w:val="00D822F2"/>
    <w:rsid w:val="00D82309"/>
    <w:rsid w:val="00D8230E"/>
    <w:rsid w:val="00D824AF"/>
    <w:rsid w:val="00D82659"/>
    <w:rsid w:val="00D8277C"/>
    <w:rsid w:val="00D82858"/>
    <w:rsid w:val="00D82AA0"/>
    <w:rsid w:val="00D82ABE"/>
    <w:rsid w:val="00D82E46"/>
    <w:rsid w:val="00D82EDA"/>
    <w:rsid w:val="00D830C7"/>
    <w:rsid w:val="00D834AF"/>
    <w:rsid w:val="00D834D6"/>
    <w:rsid w:val="00D834EE"/>
    <w:rsid w:val="00D83569"/>
    <w:rsid w:val="00D83654"/>
    <w:rsid w:val="00D8366E"/>
    <w:rsid w:val="00D83736"/>
    <w:rsid w:val="00D83B40"/>
    <w:rsid w:val="00D83B54"/>
    <w:rsid w:val="00D83B72"/>
    <w:rsid w:val="00D83D25"/>
    <w:rsid w:val="00D83DD1"/>
    <w:rsid w:val="00D83E02"/>
    <w:rsid w:val="00D84001"/>
    <w:rsid w:val="00D84075"/>
    <w:rsid w:val="00D8410C"/>
    <w:rsid w:val="00D841D8"/>
    <w:rsid w:val="00D841E5"/>
    <w:rsid w:val="00D84236"/>
    <w:rsid w:val="00D8425A"/>
    <w:rsid w:val="00D84342"/>
    <w:rsid w:val="00D845E3"/>
    <w:rsid w:val="00D84601"/>
    <w:rsid w:val="00D847C8"/>
    <w:rsid w:val="00D8485F"/>
    <w:rsid w:val="00D8487B"/>
    <w:rsid w:val="00D8489B"/>
    <w:rsid w:val="00D84C8D"/>
    <w:rsid w:val="00D84D29"/>
    <w:rsid w:val="00D84D2F"/>
    <w:rsid w:val="00D8532A"/>
    <w:rsid w:val="00D85468"/>
    <w:rsid w:val="00D856A0"/>
    <w:rsid w:val="00D85764"/>
    <w:rsid w:val="00D85898"/>
    <w:rsid w:val="00D858B9"/>
    <w:rsid w:val="00D85B29"/>
    <w:rsid w:val="00D85B4D"/>
    <w:rsid w:val="00D85EE7"/>
    <w:rsid w:val="00D85FAF"/>
    <w:rsid w:val="00D8615D"/>
    <w:rsid w:val="00D861BD"/>
    <w:rsid w:val="00D861FA"/>
    <w:rsid w:val="00D8633B"/>
    <w:rsid w:val="00D86616"/>
    <w:rsid w:val="00D866EE"/>
    <w:rsid w:val="00D8672C"/>
    <w:rsid w:val="00D8685A"/>
    <w:rsid w:val="00D8687C"/>
    <w:rsid w:val="00D868C5"/>
    <w:rsid w:val="00D86AA2"/>
    <w:rsid w:val="00D86AD8"/>
    <w:rsid w:val="00D86C7D"/>
    <w:rsid w:val="00D86D5B"/>
    <w:rsid w:val="00D86E95"/>
    <w:rsid w:val="00D87009"/>
    <w:rsid w:val="00D8716A"/>
    <w:rsid w:val="00D872A9"/>
    <w:rsid w:val="00D872CE"/>
    <w:rsid w:val="00D873E6"/>
    <w:rsid w:val="00D8755B"/>
    <w:rsid w:val="00D87948"/>
    <w:rsid w:val="00D87955"/>
    <w:rsid w:val="00D87BA7"/>
    <w:rsid w:val="00D87C33"/>
    <w:rsid w:val="00D87CCE"/>
    <w:rsid w:val="00D87DD3"/>
    <w:rsid w:val="00D87E04"/>
    <w:rsid w:val="00D87E1F"/>
    <w:rsid w:val="00D902CC"/>
    <w:rsid w:val="00D902E2"/>
    <w:rsid w:val="00D903AF"/>
    <w:rsid w:val="00D904A6"/>
    <w:rsid w:val="00D90515"/>
    <w:rsid w:val="00D905C7"/>
    <w:rsid w:val="00D9063F"/>
    <w:rsid w:val="00D906EF"/>
    <w:rsid w:val="00D90B97"/>
    <w:rsid w:val="00D90BE3"/>
    <w:rsid w:val="00D90BF7"/>
    <w:rsid w:val="00D90CC3"/>
    <w:rsid w:val="00D90D7C"/>
    <w:rsid w:val="00D90E62"/>
    <w:rsid w:val="00D91165"/>
    <w:rsid w:val="00D91249"/>
    <w:rsid w:val="00D9128B"/>
    <w:rsid w:val="00D9155E"/>
    <w:rsid w:val="00D9159D"/>
    <w:rsid w:val="00D915C2"/>
    <w:rsid w:val="00D91627"/>
    <w:rsid w:val="00D91690"/>
    <w:rsid w:val="00D91756"/>
    <w:rsid w:val="00D91841"/>
    <w:rsid w:val="00D91877"/>
    <w:rsid w:val="00D91A1D"/>
    <w:rsid w:val="00D91B11"/>
    <w:rsid w:val="00D91BA7"/>
    <w:rsid w:val="00D91C32"/>
    <w:rsid w:val="00D91C9D"/>
    <w:rsid w:val="00D91CAE"/>
    <w:rsid w:val="00D91CCA"/>
    <w:rsid w:val="00D91CE3"/>
    <w:rsid w:val="00D91E9D"/>
    <w:rsid w:val="00D91EA0"/>
    <w:rsid w:val="00D91EBB"/>
    <w:rsid w:val="00D91FED"/>
    <w:rsid w:val="00D91FF7"/>
    <w:rsid w:val="00D9221D"/>
    <w:rsid w:val="00D9224D"/>
    <w:rsid w:val="00D92250"/>
    <w:rsid w:val="00D9234C"/>
    <w:rsid w:val="00D92372"/>
    <w:rsid w:val="00D923FE"/>
    <w:rsid w:val="00D92436"/>
    <w:rsid w:val="00D925AD"/>
    <w:rsid w:val="00D9266B"/>
    <w:rsid w:val="00D92829"/>
    <w:rsid w:val="00D92A15"/>
    <w:rsid w:val="00D92AC9"/>
    <w:rsid w:val="00D92B9F"/>
    <w:rsid w:val="00D92CB3"/>
    <w:rsid w:val="00D92DD0"/>
    <w:rsid w:val="00D92E6B"/>
    <w:rsid w:val="00D92FEC"/>
    <w:rsid w:val="00D931BC"/>
    <w:rsid w:val="00D933F6"/>
    <w:rsid w:val="00D9354C"/>
    <w:rsid w:val="00D93627"/>
    <w:rsid w:val="00D936BD"/>
    <w:rsid w:val="00D937BA"/>
    <w:rsid w:val="00D938A3"/>
    <w:rsid w:val="00D93BB8"/>
    <w:rsid w:val="00D93C94"/>
    <w:rsid w:val="00D93D1A"/>
    <w:rsid w:val="00D93DF0"/>
    <w:rsid w:val="00D93FA2"/>
    <w:rsid w:val="00D94192"/>
    <w:rsid w:val="00D944C0"/>
    <w:rsid w:val="00D94656"/>
    <w:rsid w:val="00D946B9"/>
    <w:rsid w:val="00D947D2"/>
    <w:rsid w:val="00D94852"/>
    <w:rsid w:val="00D949DA"/>
    <w:rsid w:val="00D94B57"/>
    <w:rsid w:val="00D94B87"/>
    <w:rsid w:val="00D94C06"/>
    <w:rsid w:val="00D94C1B"/>
    <w:rsid w:val="00D94D02"/>
    <w:rsid w:val="00D94ED0"/>
    <w:rsid w:val="00D95221"/>
    <w:rsid w:val="00D952DE"/>
    <w:rsid w:val="00D9542B"/>
    <w:rsid w:val="00D957B3"/>
    <w:rsid w:val="00D957DA"/>
    <w:rsid w:val="00D958D1"/>
    <w:rsid w:val="00D95AB1"/>
    <w:rsid w:val="00D95C6C"/>
    <w:rsid w:val="00D95D29"/>
    <w:rsid w:val="00D95DD0"/>
    <w:rsid w:val="00D95E04"/>
    <w:rsid w:val="00D95EF1"/>
    <w:rsid w:val="00D9604E"/>
    <w:rsid w:val="00D960BB"/>
    <w:rsid w:val="00D960D1"/>
    <w:rsid w:val="00D96126"/>
    <w:rsid w:val="00D9627A"/>
    <w:rsid w:val="00D964AC"/>
    <w:rsid w:val="00D967E1"/>
    <w:rsid w:val="00D968E8"/>
    <w:rsid w:val="00D969BE"/>
    <w:rsid w:val="00D96B08"/>
    <w:rsid w:val="00D96B15"/>
    <w:rsid w:val="00D96B3E"/>
    <w:rsid w:val="00D96C28"/>
    <w:rsid w:val="00D96C2E"/>
    <w:rsid w:val="00D96DA4"/>
    <w:rsid w:val="00D96DAD"/>
    <w:rsid w:val="00D96EA7"/>
    <w:rsid w:val="00D96F71"/>
    <w:rsid w:val="00D971C8"/>
    <w:rsid w:val="00D971DF"/>
    <w:rsid w:val="00D9746B"/>
    <w:rsid w:val="00D974AB"/>
    <w:rsid w:val="00D974BE"/>
    <w:rsid w:val="00D9751F"/>
    <w:rsid w:val="00D978E8"/>
    <w:rsid w:val="00D979BA"/>
    <w:rsid w:val="00D97B40"/>
    <w:rsid w:val="00D97C06"/>
    <w:rsid w:val="00D97DC1"/>
    <w:rsid w:val="00D97E32"/>
    <w:rsid w:val="00D97F0F"/>
    <w:rsid w:val="00D97FB2"/>
    <w:rsid w:val="00D97FB7"/>
    <w:rsid w:val="00DA0054"/>
    <w:rsid w:val="00DA009F"/>
    <w:rsid w:val="00DA0176"/>
    <w:rsid w:val="00DA0475"/>
    <w:rsid w:val="00DA047C"/>
    <w:rsid w:val="00DA074A"/>
    <w:rsid w:val="00DA0761"/>
    <w:rsid w:val="00DA09CB"/>
    <w:rsid w:val="00DA0B6D"/>
    <w:rsid w:val="00DA0CCB"/>
    <w:rsid w:val="00DA0F11"/>
    <w:rsid w:val="00DA0F56"/>
    <w:rsid w:val="00DA0F81"/>
    <w:rsid w:val="00DA0FAC"/>
    <w:rsid w:val="00DA0FE1"/>
    <w:rsid w:val="00DA1007"/>
    <w:rsid w:val="00DA1120"/>
    <w:rsid w:val="00DA120C"/>
    <w:rsid w:val="00DA1219"/>
    <w:rsid w:val="00DA1221"/>
    <w:rsid w:val="00DA1257"/>
    <w:rsid w:val="00DA1321"/>
    <w:rsid w:val="00DA1634"/>
    <w:rsid w:val="00DA1663"/>
    <w:rsid w:val="00DA16AB"/>
    <w:rsid w:val="00DA171A"/>
    <w:rsid w:val="00DA173A"/>
    <w:rsid w:val="00DA1876"/>
    <w:rsid w:val="00DA198D"/>
    <w:rsid w:val="00DA1FC4"/>
    <w:rsid w:val="00DA1FFD"/>
    <w:rsid w:val="00DA207C"/>
    <w:rsid w:val="00DA20DF"/>
    <w:rsid w:val="00DA219F"/>
    <w:rsid w:val="00DA2386"/>
    <w:rsid w:val="00DA245F"/>
    <w:rsid w:val="00DA2486"/>
    <w:rsid w:val="00DA24F5"/>
    <w:rsid w:val="00DA2523"/>
    <w:rsid w:val="00DA259D"/>
    <w:rsid w:val="00DA25C0"/>
    <w:rsid w:val="00DA261F"/>
    <w:rsid w:val="00DA2634"/>
    <w:rsid w:val="00DA2693"/>
    <w:rsid w:val="00DA26B9"/>
    <w:rsid w:val="00DA275F"/>
    <w:rsid w:val="00DA2A5A"/>
    <w:rsid w:val="00DA2C61"/>
    <w:rsid w:val="00DA2C76"/>
    <w:rsid w:val="00DA2D94"/>
    <w:rsid w:val="00DA2F78"/>
    <w:rsid w:val="00DA2F91"/>
    <w:rsid w:val="00DA309A"/>
    <w:rsid w:val="00DA334B"/>
    <w:rsid w:val="00DA33C7"/>
    <w:rsid w:val="00DA3621"/>
    <w:rsid w:val="00DA36A9"/>
    <w:rsid w:val="00DA36DD"/>
    <w:rsid w:val="00DA3822"/>
    <w:rsid w:val="00DA3873"/>
    <w:rsid w:val="00DA394D"/>
    <w:rsid w:val="00DA3BCC"/>
    <w:rsid w:val="00DA3BF6"/>
    <w:rsid w:val="00DA3BF7"/>
    <w:rsid w:val="00DA3C43"/>
    <w:rsid w:val="00DA3C97"/>
    <w:rsid w:val="00DA3CD5"/>
    <w:rsid w:val="00DA3D25"/>
    <w:rsid w:val="00DA3F1A"/>
    <w:rsid w:val="00DA4014"/>
    <w:rsid w:val="00DA4242"/>
    <w:rsid w:val="00DA4266"/>
    <w:rsid w:val="00DA42C7"/>
    <w:rsid w:val="00DA45DF"/>
    <w:rsid w:val="00DA4885"/>
    <w:rsid w:val="00DA4973"/>
    <w:rsid w:val="00DA4B45"/>
    <w:rsid w:val="00DA4CD5"/>
    <w:rsid w:val="00DA4DAC"/>
    <w:rsid w:val="00DA502F"/>
    <w:rsid w:val="00DA5072"/>
    <w:rsid w:val="00DA50C1"/>
    <w:rsid w:val="00DA52FC"/>
    <w:rsid w:val="00DA5332"/>
    <w:rsid w:val="00DA54B5"/>
    <w:rsid w:val="00DA54ED"/>
    <w:rsid w:val="00DA55F2"/>
    <w:rsid w:val="00DA5681"/>
    <w:rsid w:val="00DA56D1"/>
    <w:rsid w:val="00DA5706"/>
    <w:rsid w:val="00DA57DB"/>
    <w:rsid w:val="00DA5861"/>
    <w:rsid w:val="00DA5862"/>
    <w:rsid w:val="00DA5888"/>
    <w:rsid w:val="00DA59F3"/>
    <w:rsid w:val="00DA5A43"/>
    <w:rsid w:val="00DA5C36"/>
    <w:rsid w:val="00DA5DD7"/>
    <w:rsid w:val="00DA5EBC"/>
    <w:rsid w:val="00DA60EA"/>
    <w:rsid w:val="00DA60F5"/>
    <w:rsid w:val="00DA6212"/>
    <w:rsid w:val="00DA621A"/>
    <w:rsid w:val="00DA64C0"/>
    <w:rsid w:val="00DA64D9"/>
    <w:rsid w:val="00DA64ED"/>
    <w:rsid w:val="00DA6530"/>
    <w:rsid w:val="00DA6945"/>
    <w:rsid w:val="00DA69CF"/>
    <w:rsid w:val="00DA6D3B"/>
    <w:rsid w:val="00DA6D9F"/>
    <w:rsid w:val="00DA6DCD"/>
    <w:rsid w:val="00DA6E38"/>
    <w:rsid w:val="00DA6F84"/>
    <w:rsid w:val="00DA70C3"/>
    <w:rsid w:val="00DA7141"/>
    <w:rsid w:val="00DA7225"/>
    <w:rsid w:val="00DA727C"/>
    <w:rsid w:val="00DA731A"/>
    <w:rsid w:val="00DA73A5"/>
    <w:rsid w:val="00DA745A"/>
    <w:rsid w:val="00DA74D5"/>
    <w:rsid w:val="00DA7930"/>
    <w:rsid w:val="00DA79BF"/>
    <w:rsid w:val="00DA7BB4"/>
    <w:rsid w:val="00DA7BD4"/>
    <w:rsid w:val="00DA7C27"/>
    <w:rsid w:val="00DA7D25"/>
    <w:rsid w:val="00DA7D7A"/>
    <w:rsid w:val="00DA7EF7"/>
    <w:rsid w:val="00DA7FCF"/>
    <w:rsid w:val="00DB00A5"/>
    <w:rsid w:val="00DB01B3"/>
    <w:rsid w:val="00DB0204"/>
    <w:rsid w:val="00DB0240"/>
    <w:rsid w:val="00DB046B"/>
    <w:rsid w:val="00DB04A9"/>
    <w:rsid w:val="00DB0593"/>
    <w:rsid w:val="00DB05D9"/>
    <w:rsid w:val="00DB09FC"/>
    <w:rsid w:val="00DB0A38"/>
    <w:rsid w:val="00DB0B44"/>
    <w:rsid w:val="00DB0B65"/>
    <w:rsid w:val="00DB0C8E"/>
    <w:rsid w:val="00DB0CFF"/>
    <w:rsid w:val="00DB0D83"/>
    <w:rsid w:val="00DB0DD7"/>
    <w:rsid w:val="00DB10F9"/>
    <w:rsid w:val="00DB11B0"/>
    <w:rsid w:val="00DB124F"/>
    <w:rsid w:val="00DB126E"/>
    <w:rsid w:val="00DB1562"/>
    <w:rsid w:val="00DB1581"/>
    <w:rsid w:val="00DB1594"/>
    <w:rsid w:val="00DB1601"/>
    <w:rsid w:val="00DB1689"/>
    <w:rsid w:val="00DB16B4"/>
    <w:rsid w:val="00DB1908"/>
    <w:rsid w:val="00DB1950"/>
    <w:rsid w:val="00DB1BBD"/>
    <w:rsid w:val="00DB1E4A"/>
    <w:rsid w:val="00DB25F7"/>
    <w:rsid w:val="00DB260F"/>
    <w:rsid w:val="00DB2862"/>
    <w:rsid w:val="00DB2BE2"/>
    <w:rsid w:val="00DB2CC6"/>
    <w:rsid w:val="00DB2D09"/>
    <w:rsid w:val="00DB2E89"/>
    <w:rsid w:val="00DB2F43"/>
    <w:rsid w:val="00DB2F76"/>
    <w:rsid w:val="00DB30B4"/>
    <w:rsid w:val="00DB3205"/>
    <w:rsid w:val="00DB3221"/>
    <w:rsid w:val="00DB33FF"/>
    <w:rsid w:val="00DB3421"/>
    <w:rsid w:val="00DB34E2"/>
    <w:rsid w:val="00DB3776"/>
    <w:rsid w:val="00DB3843"/>
    <w:rsid w:val="00DB389B"/>
    <w:rsid w:val="00DB38F0"/>
    <w:rsid w:val="00DB3974"/>
    <w:rsid w:val="00DB39E6"/>
    <w:rsid w:val="00DB3A6E"/>
    <w:rsid w:val="00DB3BEF"/>
    <w:rsid w:val="00DB3CF6"/>
    <w:rsid w:val="00DB3D17"/>
    <w:rsid w:val="00DB3D64"/>
    <w:rsid w:val="00DB3DA8"/>
    <w:rsid w:val="00DB3EAD"/>
    <w:rsid w:val="00DB3F58"/>
    <w:rsid w:val="00DB3F97"/>
    <w:rsid w:val="00DB41CD"/>
    <w:rsid w:val="00DB44A9"/>
    <w:rsid w:val="00DB45A9"/>
    <w:rsid w:val="00DB4665"/>
    <w:rsid w:val="00DB47BA"/>
    <w:rsid w:val="00DB48C1"/>
    <w:rsid w:val="00DB4A0D"/>
    <w:rsid w:val="00DB4AA1"/>
    <w:rsid w:val="00DB4C5D"/>
    <w:rsid w:val="00DB4C7B"/>
    <w:rsid w:val="00DB4CDE"/>
    <w:rsid w:val="00DB4D07"/>
    <w:rsid w:val="00DB4EA4"/>
    <w:rsid w:val="00DB5170"/>
    <w:rsid w:val="00DB5176"/>
    <w:rsid w:val="00DB5295"/>
    <w:rsid w:val="00DB52E2"/>
    <w:rsid w:val="00DB52EF"/>
    <w:rsid w:val="00DB543B"/>
    <w:rsid w:val="00DB549D"/>
    <w:rsid w:val="00DB54D7"/>
    <w:rsid w:val="00DB5524"/>
    <w:rsid w:val="00DB5532"/>
    <w:rsid w:val="00DB5588"/>
    <w:rsid w:val="00DB5697"/>
    <w:rsid w:val="00DB598A"/>
    <w:rsid w:val="00DB5B91"/>
    <w:rsid w:val="00DB5CFF"/>
    <w:rsid w:val="00DB5DA9"/>
    <w:rsid w:val="00DB5DD3"/>
    <w:rsid w:val="00DB5FDE"/>
    <w:rsid w:val="00DB61A0"/>
    <w:rsid w:val="00DB64D6"/>
    <w:rsid w:val="00DB651A"/>
    <w:rsid w:val="00DB65C5"/>
    <w:rsid w:val="00DB67B9"/>
    <w:rsid w:val="00DB6876"/>
    <w:rsid w:val="00DB6997"/>
    <w:rsid w:val="00DB69A2"/>
    <w:rsid w:val="00DB6B44"/>
    <w:rsid w:val="00DB6B54"/>
    <w:rsid w:val="00DB6C42"/>
    <w:rsid w:val="00DB6CA1"/>
    <w:rsid w:val="00DB6CB2"/>
    <w:rsid w:val="00DB6DB0"/>
    <w:rsid w:val="00DB6E11"/>
    <w:rsid w:val="00DB6EEF"/>
    <w:rsid w:val="00DB6F6C"/>
    <w:rsid w:val="00DB705C"/>
    <w:rsid w:val="00DB7637"/>
    <w:rsid w:val="00DB77B1"/>
    <w:rsid w:val="00DB7D00"/>
    <w:rsid w:val="00DB7EE1"/>
    <w:rsid w:val="00DC0102"/>
    <w:rsid w:val="00DC011D"/>
    <w:rsid w:val="00DC01C7"/>
    <w:rsid w:val="00DC01D7"/>
    <w:rsid w:val="00DC03A9"/>
    <w:rsid w:val="00DC048D"/>
    <w:rsid w:val="00DC05E5"/>
    <w:rsid w:val="00DC0604"/>
    <w:rsid w:val="00DC0624"/>
    <w:rsid w:val="00DC0659"/>
    <w:rsid w:val="00DC06EF"/>
    <w:rsid w:val="00DC08DC"/>
    <w:rsid w:val="00DC0CBB"/>
    <w:rsid w:val="00DC0CFE"/>
    <w:rsid w:val="00DC0D01"/>
    <w:rsid w:val="00DC0DD5"/>
    <w:rsid w:val="00DC0F98"/>
    <w:rsid w:val="00DC107E"/>
    <w:rsid w:val="00DC115E"/>
    <w:rsid w:val="00DC120E"/>
    <w:rsid w:val="00DC1230"/>
    <w:rsid w:val="00DC1270"/>
    <w:rsid w:val="00DC1499"/>
    <w:rsid w:val="00DC1726"/>
    <w:rsid w:val="00DC1814"/>
    <w:rsid w:val="00DC1920"/>
    <w:rsid w:val="00DC1D35"/>
    <w:rsid w:val="00DC1E05"/>
    <w:rsid w:val="00DC201E"/>
    <w:rsid w:val="00DC21D5"/>
    <w:rsid w:val="00DC2231"/>
    <w:rsid w:val="00DC2234"/>
    <w:rsid w:val="00DC236B"/>
    <w:rsid w:val="00DC236C"/>
    <w:rsid w:val="00DC2511"/>
    <w:rsid w:val="00DC2566"/>
    <w:rsid w:val="00DC2570"/>
    <w:rsid w:val="00DC25FC"/>
    <w:rsid w:val="00DC264D"/>
    <w:rsid w:val="00DC26DB"/>
    <w:rsid w:val="00DC2736"/>
    <w:rsid w:val="00DC275C"/>
    <w:rsid w:val="00DC281C"/>
    <w:rsid w:val="00DC2A34"/>
    <w:rsid w:val="00DC2B3C"/>
    <w:rsid w:val="00DC31FE"/>
    <w:rsid w:val="00DC3287"/>
    <w:rsid w:val="00DC3340"/>
    <w:rsid w:val="00DC3476"/>
    <w:rsid w:val="00DC354F"/>
    <w:rsid w:val="00DC35F7"/>
    <w:rsid w:val="00DC37B2"/>
    <w:rsid w:val="00DC37BF"/>
    <w:rsid w:val="00DC37EB"/>
    <w:rsid w:val="00DC3967"/>
    <w:rsid w:val="00DC3AF5"/>
    <w:rsid w:val="00DC3AFD"/>
    <w:rsid w:val="00DC3F16"/>
    <w:rsid w:val="00DC41C4"/>
    <w:rsid w:val="00DC4253"/>
    <w:rsid w:val="00DC42EC"/>
    <w:rsid w:val="00DC4330"/>
    <w:rsid w:val="00DC43EB"/>
    <w:rsid w:val="00DC4446"/>
    <w:rsid w:val="00DC49C9"/>
    <w:rsid w:val="00DC4A11"/>
    <w:rsid w:val="00DC4A54"/>
    <w:rsid w:val="00DC4CF4"/>
    <w:rsid w:val="00DC4FF5"/>
    <w:rsid w:val="00DC521C"/>
    <w:rsid w:val="00DC521D"/>
    <w:rsid w:val="00DC5310"/>
    <w:rsid w:val="00DC5319"/>
    <w:rsid w:val="00DC54CD"/>
    <w:rsid w:val="00DC57A8"/>
    <w:rsid w:val="00DC5AA8"/>
    <w:rsid w:val="00DC5B8F"/>
    <w:rsid w:val="00DC5E2C"/>
    <w:rsid w:val="00DC5EA7"/>
    <w:rsid w:val="00DC5FA5"/>
    <w:rsid w:val="00DC6020"/>
    <w:rsid w:val="00DC61A7"/>
    <w:rsid w:val="00DC61FC"/>
    <w:rsid w:val="00DC6202"/>
    <w:rsid w:val="00DC631E"/>
    <w:rsid w:val="00DC6342"/>
    <w:rsid w:val="00DC63D7"/>
    <w:rsid w:val="00DC6442"/>
    <w:rsid w:val="00DC6546"/>
    <w:rsid w:val="00DC655E"/>
    <w:rsid w:val="00DC6609"/>
    <w:rsid w:val="00DC6652"/>
    <w:rsid w:val="00DC6727"/>
    <w:rsid w:val="00DC6749"/>
    <w:rsid w:val="00DC6810"/>
    <w:rsid w:val="00DC6BBC"/>
    <w:rsid w:val="00DC741F"/>
    <w:rsid w:val="00DC7444"/>
    <w:rsid w:val="00DC7499"/>
    <w:rsid w:val="00DC753D"/>
    <w:rsid w:val="00DC7553"/>
    <w:rsid w:val="00DC7A15"/>
    <w:rsid w:val="00DC7AE3"/>
    <w:rsid w:val="00DC7AFD"/>
    <w:rsid w:val="00DC7CB8"/>
    <w:rsid w:val="00DC7D30"/>
    <w:rsid w:val="00DC7E6C"/>
    <w:rsid w:val="00DC7EB0"/>
    <w:rsid w:val="00DC7FA9"/>
    <w:rsid w:val="00DC7FD9"/>
    <w:rsid w:val="00DD0084"/>
    <w:rsid w:val="00DD011C"/>
    <w:rsid w:val="00DD01BC"/>
    <w:rsid w:val="00DD042A"/>
    <w:rsid w:val="00DD0573"/>
    <w:rsid w:val="00DD0670"/>
    <w:rsid w:val="00DD07B9"/>
    <w:rsid w:val="00DD0991"/>
    <w:rsid w:val="00DD0B5F"/>
    <w:rsid w:val="00DD0CD3"/>
    <w:rsid w:val="00DD0E03"/>
    <w:rsid w:val="00DD0EC0"/>
    <w:rsid w:val="00DD0F0E"/>
    <w:rsid w:val="00DD0F1C"/>
    <w:rsid w:val="00DD10E5"/>
    <w:rsid w:val="00DD1308"/>
    <w:rsid w:val="00DD13A4"/>
    <w:rsid w:val="00DD13B8"/>
    <w:rsid w:val="00DD149C"/>
    <w:rsid w:val="00DD14B5"/>
    <w:rsid w:val="00DD15B3"/>
    <w:rsid w:val="00DD16BF"/>
    <w:rsid w:val="00DD1718"/>
    <w:rsid w:val="00DD1764"/>
    <w:rsid w:val="00DD188E"/>
    <w:rsid w:val="00DD1971"/>
    <w:rsid w:val="00DD1A0B"/>
    <w:rsid w:val="00DD1B26"/>
    <w:rsid w:val="00DD1BE4"/>
    <w:rsid w:val="00DD1DAD"/>
    <w:rsid w:val="00DD1FF8"/>
    <w:rsid w:val="00DD210D"/>
    <w:rsid w:val="00DD2156"/>
    <w:rsid w:val="00DD2163"/>
    <w:rsid w:val="00DD2328"/>
    <w:rsid w:val="00DD23F6"/>
    <w:rsid w:val="00DD2425"/>
    <w:rsid w:val="00DD242A"/>
    <w:rsid w:val="00DD24C0"/>
    <w:rsid w:val="00DD259F"/>
    <w:rsid w:val="00DD25F4"/>
    <w:rsid w:val="00DD2795"/>
    <w:rsid w:val="00DD2A52"/>
    <w:rsid w:val="00DD2B94"/>
    <w:rsid w:val="00DD2D48"/>
    <w:rsid w:val="00DD2DF7"/>
    <w:rsid w:val="00DD2EA7"/>
    <w:rsid w:val="00DD2F48"/>
    <w:rsid w:val="00DD30B2"/>
    <w:rsid w:val="00DD3100"/>
    <w:rsid w:val="00DD3220"/>
    <w:rsid w:val="00DD323A"/>
    <w:rsid w:val="00DD32FB"/>
    <w:rsid w:val="00DD3741"/>
    <w:rsid w:val="00DD37BE"/>
    <w:rsid w:val="00DD388B"/>
    <w:rsid w:val="00DD3906"/>
    <w:rsid w:val="00DD39F3"/>
    <w:rsid w:val="00DD3BDC"/>
    <w:rsid w:val="00DD3D06"/>
    <w:rsid w:val="00DD40EA"/>
    <w:rsid w:val="00DD4115"/>
    <w:rsid w:val="00DD4118"/>
    <w:rsid w:val="00DD420A"/>
    <w:rsid w:val="00DD42EE"/>
    <w:rsid w:val="00DD4363"/>
    <w:rsid w:val="00DD436D"/>
    <w:rsid w:val="00DD4422"/>
    <w:rsid w:val="00DD445A"/>
    <w:rsid w:val="00DD4684"/>
    <w:rsid w:val="00DD47D4"/>
    <w:rsid w:val="00DD48F5"/>
    <w:rsid w:val="00DD4916"/>
    <w:rsid w:val="00DD4A8B"/>
    <w:rsid w:val="00DD4AF0"/>
    <w:rsid w:val="00DD4CE9"/>
    <w:rsid w:val="00DD4CFB"/>
    <w:rsid w:val="00DD4E4C"/>
    <w:rsid w:val="00DD4FC9"/>
    <w:rsid w:val="00DD50C3"/>
    <w:rsid w:val="00DD52D4"/>
    <w:rsid w:val="00DD536C"/>
    <w:rsid w:val="00DD54F8"/>
    <w:rsid w:val="00DD557F"/>
    <w:rsid w:val="00DD55A9"/>
    <w:rsid w:val="00DD5636"/>
    <w:rsid w:val="00DD56CA"/>
    <w:rsid w:val="00DD5761"/>
    <w:rsid w:val="00DD57DE"/>
    <w:rsid w:val="00DD58B1"/>
    <w:rsid w:val="00DD590A"/>
    <w:rsid w:val="00DD5A33"/>
    <w:rsid w:val="00DD5AA7"/>
    <w:rsid w:val="00DD5BDF"/>
    <w:rsid w:val="00DD5BE7"/>
    <w:rsid w:val="00DD5C72"/>
    <w:rsid w:val="00DD5EA8"/>
    <w:rsid w:val="00DD60E6"/>
    <w:rsid w:val="00DD620D"/>
    <w:rsid w:val="00DD6323"/>
    <w:rsid w:val="00DD6699"/>
    <w:rsid w:val="00DD680D"/>
    <w:rsid w:val="00DD6973"/>
    <w:rsid w:val="00DD6997"/>
    <w:rsid w:val="00DD6ABF"/>
    <w:rsid w:val="00DD6ACD"/>
    <w:rsid w:val="00DD6B76"/>
    <w:rsid w:val="00DD6C5D"/>
    <w:rsid w:val="00DD6F36"/>
    <w:rsid w:val="00DD6FA3"/>
    <w:rsid w:val="00DD7119"/>
    <w:rsid w:val="00DD72D7"/>
    <w:rsid w:val="00DD76B3"/>
    <w:rsid w:val="00DD771A"/>
    <w:rsid w:val="00DD7734"/>
    <w:rsid w:val="00DD77F9"/>
    <w:rsid w:val="00DD7872"/>
    <w:rsid w:val="00DD787D"/>
    <w:rsid w:val="00DD7969"/>
    <w:rsid w:val="00DD799D"/>
    <w:rsid w:val="00DD7AED"/>
    <w:rsid w:val="00DD7B1B"/>
    <w:rsid w:val="00DD7C62"/>
    <w:rsid w:val="00DD7C70"/>
    <w:rsid w:val="00DD7D05"/>
    <w:rsid w:val="00DD7E82"/>
    <w:rsid w:val="00DD7F6A"/>
    <w:rsid w:val="00DE002B"/>
    <w:rsid w:val="00DE0367"/>
    <w:rsid w:val="00DE0593"/>
    <w:rsid w:val="00DE05B1"/>
    <w:rsid w:val="00DE0648"/>
    <w:rsid w:val="00DE07FA"/>
    <w:rsid w:val="00DE0919"/>
    <w:rsid w:val="00DE0925"/>
    <w:rsid w:val="00DE0937"/>
    <w:rsid w:val="00DE0B09"/>
    <w:rsid w:val="00DE0C2D"/>
    <w:rsid w:val="00DE0DDE"/>
    <w:rsid w:val="00DE0E64"/>
    <w:rsid w:val="00DE0F71"/>
    <w:rsid w:val="00DE1008"/>
    <w:rsid w:val="00DE1100"/>
    <w:rsid w:val="00DE1103"/>
    <w:rsid w:val="00DE1133"/>
    <w:rsid w:val="00DE11C9"/>
    <w:rsid w:val="00DE139E"/>
    <w:rsid w:val="00DE14EF"/>
    <w:rsid w:val="00DE14FF"/>
    <w:rsid w:val="00DE16BE"/>
    <w:rsid w:val="00DE1831"/>
    <w:rsid w:val="00DE183D"/>
    <w:rsid w:val="00DE18BB"/>
    <w:rsid w:val="00DE1C73"/>
    <w:rsid w:val="00DE1CB3"/>
    <w:rsid w:val="00DE1E2F"/>
    <w:rsid w:val="00DE1E7E"/>
    <w:rsid w:val="00DE1F13"/>
    <w:rsid w:val="00DE2165"/>
    <w:rsid w:val="00DE21AF"/>
    <w:rsid w:val="00DE25B4"/>
    <w:rsid w:val="00DE2739"/>
    <w:rsid w:val="00DE285B"/>
    <w:rsid w:val="00DE2914"/>
    <w:rsid w:val="00DE29C5"/>
    <w:rsid w:val="00DE29D1"/>
    <w:rsid w:val="00DE2A6A"/>
    <w:rsid w:val="00DE2AC8"/>
    <w:rsid w:val="00DE2AEA"/>
    <w:rsid w:val="00DE2B13"/>
    <w:rsid w:val="00DE2BAE"/>
    <w:rsid w:val="00DE2D18"/>
    <w:rsid w:val="00DE2DB9"/>
    <w:rsid w:val="00DE302D"/>
    <w:rsid w:val="00DE303C"/>
    <w:rsid w:val="00DE30F2"/>
    <w:rsid w:val="00DE30F6"/>
    <w:rsid w:val="00DE3252"/>
    <w:rsid w:val="00DE33E7"/>
    <w:rsid w:val="00DE342D"/>
    <w:rsid w:val="00DE34C5"/>
    <w:rsid w:val="00DE3508"/>
    <w:rsid w:val="00DE354D"/>
    <w:rsid w:val="00DE3718"/>
    <w:rsid w:val="00DE3749"/>
    <w:rsid w:val="00DE39E4"/>
    <w:rsid w:val="00DE3A0C"/>
    <w:rsid w:val="00DE3A8E"/>
    <w:rsid w:val="00DE3B32"/>
    <w:rsid w:val="00DE3B36"/>
    <w:rsid w:val="00DE3C41"/>
    <w:rsid w:val="00DE4042"/>
    <w:rsid w:val="00DE4233"/>
    <w:rsid w:val="00DE4499"/>
    <w:rsid w:val="00DE44EA"/>
    <w:rsid w:val="00DE4531"/>
    <w:rsid w:val="00DE45E1"/>
    <w:rsid w:val="00DE4672"/>
    <w:rsid w:val="00DE4864"/>
    <w:rsid w:val="00DE489C"/>
    <w:rsid w:val="00DE491C"/>
    <w:rsid w:val="00DE4C7F"/>
    <w:rsid w:val="00DE4D74"/>
    <w:rsid w:val="00DE4E32"/>
    <w:rsid w:val="00DE4E86"/>
    <w:rsid w:val="00DE5050"/>
    <w:rsid w:val="00DE52B8"/>
    <w:rsid w:val="00DE5431"/>
    <w:rsid w:val="00DE577B"/>
    <w:rsid w:val="00DE5B53"/>
    <w:rsid w:val="00DE5BAC"/>
    <w:rsid w:val="00DE5C4B"/>
    <w:rsid w:val="00DE5D54"/>
    <w:rsid w:val="00DE5DA1"/>
    <w:rsid w:val="00DE5DB1"/>
    <w:rsid w:val="00DE5F89"/>
    <w:rsid w:val="00DE6154"/>
    <w:rsid w:val="00DE6565"/>
    <w:rsid w:val="00DE66FA"/>
    <w:rsid w:val="00DE67B2"/>
    <w:rsid w:val="00DE6818"/>
    <w:rsid w:val="00DE6847"/>
    <w:rsid w:val="00DE6A38"/>
    <w:rsid w:val="00DE6CD5"/>
    <w:rsid w:val="00DE6D55"/>
    <w:rsid w:val="00DE6D57"/>
    <w:rsid w:val="00DE6F91"/>
    <w:rsid w:val="00DE7006"/>
    <w:rsid w:val="00DE7123"/>
    <w:rsid w:val="00DE72B3"/>
    <w:rsid w:val="00DE73DE"/>
    <w:rsid w:val="00DE7667"/>
    <w:rsid w:val="00DE7753"/>
    <w:rsid w:val="00DE77FF"/>
    <w:rsid w:val="00DE7826"/>
    <w:rsid w:val="00DE7827"/>
    <w:rsid w:val="00DE7BEB"/>
    <w:rsid w:val="00DE7BED"/>
    <w:rsid w:val="00DE7CFE"/>
    <w:rsid w:val="00DE7D5B"/>
    <w:rsid w:val="00DE7F7C"/>
    <w:rsid w:val="00DE7FA5"/>
    <w:rsid w:val="00DE7FEA"/>
    <w:rsid w:val="00DF00EA"/>
    <w:rsid w:val="00DF00FB"/>
    <w:rsid w:val="00DF015B"/>
    <w:rsid w:val="00DF02F2"/>
    <w:rsid w:val="00DF0356"/>
    <w:rsid w:val="00DF0471"/>
    <w:rsid w:val="00DF047E"/>
    <w:rsid w:val="00DF04E5"/>
    <w:rsid w:val="00DF0B5E"/>
    <w:rsid w:val="00DF0D97"/>
    <w:rsid w:val="00DF11A2"/>
    <w:rsid w:val="00DF17C6"/>
    <w:rsid w:val="00DF1978"/>
    <w:rsid w:val="00DF19EC"/>
    <w:rsid w:val="00DF1A3C"/>
    <w:rsid w:val="00DF1D33"/>
    <w:rsid w:val="00DF1DC1"/>
    <w:rsid w:val="00DF1EFF"/>
    <w:rsid w:val="00DF20D5"/>
    <w:rsid w:val="00DF2346"/>
    <w:rsid w:val="00DF23D5"/>
    <w:rsid w:val="00DF23DD"/>
    <w:rsid w:val="00DF252B"/>
    <w:rsid w:val="00DF256D"/>
    <w:rsid w:val="00DF25D2"/>
    <w:rsid w:val="00DF2621"/>
    <w:rsid w:val="00DF2700"/>
    <w:rsid w:val="00DF2784"/>
    <w:rsid w:val="00DF2791"/>
    <w:rsid w:val="00DF27DC"/>
    <w:rsid w:val="00DF27F9"/>
    <w:rsid w:val="00DF282A"/>
    <w:rsid w:val="00DF2A31"/>
    <w:rsid w:val="00DF2ABF"/>
    <w:rsid w:val="00DF2E84"/>
    <w:rsid w:val="00DF304B"/>
    <w:rsid w:val="00DF3213"/>
    <w:rsid w:val="00DF35C1"/>
    <w:rsid w:val="00DF35D0"/>
    <w:rsid w:val="00DF367C"/>
    <w:rsid w:val="00DF37A9"/>
    <w:rsid w:val="00DF390E"/>
    <w:rsid w:val="00DF3A96"/>
    <w:rsid w:val="00DF3D04"/>
    <w:rsid w:val="00DF3D8F"/>
    <w:rsid w:val="00DF3EE0"/>
    <w:rsid w:val="00DF4012"/>
    <w:rsid w:val="00DF42F4"/>
    <w:rsid w:val="00DF4419"/>
    <w:rsid w:val="00DF4574"/>
    <w:rsid w:val="00DF46F7"/>
    <w:rsid w:val="00DF48EB"/>
    <w:rsid w:val="00DF499D"/>
    <w:rsid w:val="00DF4A21"/>
    <w:rsid w:val="00DF4C3D"/>
    <w:rsid w:val="00DF4E4C"/>
    <w:rsid w:val="00DF4EC0"/>
    <w:rsid w:val="00DF4FA0"/>
    <w:rsid w:val="00DF5361"/>
    <w:rsid w:val="00DF5425"/>
    <w:rsid w:val="00DF554A"/>
    <w:rsid w:val="00DF5574"/>
    <w:rsid w:val="00DF557F"/>
    <w:rsid w:val="00DF56E2"/>
    <w:rsid w:val="00DF57EE"/>
    <w:rsid w:val="00DF580B"/>
    <w:rsid w:val="00DF59EC"/>
    <w:rsid w:val="00DF59F6"/>
    <w:rsid w:val="00DF5AD0"/>
    <w:rsid w:val="00DF5BB1"/>
    <w:rsid w:val="00DF5EA6"/>
    <w:rsid w:val="00DF5F22"/>
    <w:rsid w:val="00DF5F50"/>
    <w:rsid w:val="00DF6059"/>
    <w:rsid w:val="00DF6385"/>
    <w:rsid w:val="00DF6432"/>
    <w:rsid w:val="00DF6436"/>
    <w:rsid w:val="00DF657B"/>
    <w:rsid w:val="00DF66CB"/>
    <w:rsid w:val="00DF66D1"/>
    <w:rsid w:val="00DF6722"/>
    <w:rsid w:val="00DF67AB"/>
    <w:rsid w:val="00DF67CD"/>
    <w:rsid w:val="00DF6849"/>
    <w:rsid w:val="00DF6860"/>
    <w:rsid w:val="00DF6926"/>
    <w:rsid w:val="00DF6947"/>
    <w:rsid w:val="00DF6993"/>
    <w:rsid w:val="00DF6A00"/>
    <w:rsid w:val="00DF6ADB"/>
    <w:rsid w:val="00DF6B37"/>
    <w:rsid w:val="00DF6BCC"/>
    <w:rsid w:val="00DF6C19"/>
    <w:rsid w:val="00DF6C6A"/>
    <w:rsid w:val="00DF6CBA"/>
    <w:rsid w:val="00DF6D33"/>
    <w:rsid w:val="00DF6D3D"/>
    <w:rsid w:val="00DF6D6B"/>
    <w:rsid w:val="00DF6D80"/>
    <w:rsid w:val="00DF70A3"/>
    <w:rsid w:val="00DF717B"/>
    <w:rsid w:val="00DF7309"/>
    <w:rsid w:val="00DF7978"/>
    <w:rsid w:val="00DF7C7E"/>
    <w:rsid w:val="00DF7CD1"/>
    <w:rsid w:val="00DF7D35"/>
    <w:rsid w:val="00DF7D8A"/>
    <w:rsid w:val="00DF7DB9"/>
    <w:rsid w:val="00DF7DBA"/>
    <w:rsid w:val="00DF7E03"/>
    <w:rsid w:val="00DF7F18"/>
    <w:rsid w:val="00DF7FCD"/>
    <w:rsid w:val="00E00342"/>
    <w:rsid w:val="00E0037E"/>
    <w:rsid w:val="00E003CF"/>
    <w:rsid w:val="00E003EA"/>
    <w:rsid w:val="00E0047A"/>
    <w:rsid w:val="00E00998"/>
    <w:rsid w:val="00E00B4C"/>
    <w:rsid w:val="00E00BA6"/>
    <w:rsid w:val="00E00D19"/>
    <w:rsid w:val="00E00EF6"/>
    <w:rsid w:val="00E00F71"/>
    <w:rsid w:val="00E00FC7"/>
    <w:rsid w:val="00E01035"/>
    <w:rsid w:val="00E010AE"/>
    <w:rsid w:val="00E010D5"/>
    <w:rsid w:val="00E01140"/>
    <w:rsid w:val="00E01186"/>
    <w:rsid w:val="00E01249"/>
    <w:rsid w:val="00E013F9"/>
    <w:rsid w:val="00E01426"/>
    <w:rsid w:val="00E01582"/>
    <w:rsid w:val="00E0192E"/>
    <w:rsid w:val="00E019C8"/>
    <w:rsid w:val="00E01A78"/>
    <w:rsid w:val="00E01DC6"/>
    <w:rsid w:val="00E01FF2"/>
    <w:rsid w:val="00E020E9"/>
    <w:rsid w:val="00E0211B"/>
    <w:rsid w:val="00E02162"/>
    <w:rsid w:val="00E02220"/>
    <w:rsid w:val="00E022D6"/>
    <w:rsid w:val="00E02767"/>
    <w:rsid w:val="00E0279F"/>
    <w:rsid w:val="00E027B8"/>
    <w:rsid w:val="00E0287C"/>
    <w:rsid w:val="00E02B68"/>
    <w:rsid w:val="00E02DCE"/>
    <w:rsid w:val="00E02EA3"/>
    <w:rsid w:val="00E02FC0"/>
    <w:rsid w:val="00E0311B"/>
    <w:rsid w:val="00E03251"/>
    <w:rsid w:val="00E03260"/>
    <w:rsid w:val="00E032ED"/>
    <w:rsid w:val="00E034BE"/>
    <w:rsid w:val="00E036E7"/>
    <w:rsid w:val="00E0386D"/>
    <w:rsid w:val="00E0388B"/>
    <w:rsid w:val="00E038CE"/>
    <w:rsid w:val="00E03A71"/>
    <w:rsid w:val="00E03AA3"/>
    <w:rsid w:val="00E03BFD"/>
    <w:rsid w:val="00E03C75"/>
    <w:rsid w:val="00E03C7D"/>
    <w:rsid w:val="00E03C8E"/>
    <w:rsid w:val="00E03CE6"/>
    <w:rsid w:val="00E03D75"/>
    <w:rsid w:val="00E03E5C"/>
    <w:rsid w:val="00E03FA3"/>
    <w:rsid w:val="00E04176"/>
    <w:rsid w:val="00E04266"/>
    <w:rsid w:val="00E042CA"/>
    <w:rsid w:val="00E044BF"/>
    <w:rsid w:val="00E045EC"/>
    <w:rsid w:val="00E047E5"/>
    <w:rsid w:val="00E0486E"/>
    <w:rsid w:val="00E049FF"/>
    <w:rsid w:val="00E04A72"/>
    <w:rsid w:val="00E04BC2"/>
    <w:rsid w:val="00E04C68"/>
    <w:rsid w:val="00E04D05"/>
    <w:rsid w:val="00E04D60"/>
    <w:rsid w:val="00E04DBE"/>
    <w:rsid w:val="00E04DDB"/>
    <w:rsid w:val="00E04F1D"/>
    <w:rsid w:val="00E04F90"/>
    <w:rsid w:val="00E04FD4"/>
    <w:rsid w:val="00E04FD9"/>
    <w:rsid w:val="00E05116"/>
    <w:rsid w:val="00E05135"/>
    <w:rsid w:val="00E05277"/>
    <w:rsid w:val="00E053A6"/>
    <w:rsid w:val="00E053B0"/>
    <w:rsid w:val="00E0553D"/>
    <w:rsid w:val="00E05559"/>
    <w:rsid w:val="00E0565F"/>
    <w:rsid w:val="00E056AD"/>
    <w:rsid w:val="00E05828"/>
    <w:rsid w:val="00E0591D"/>
    <w:rsid w:val="00E059EF"/>
    <w:rsid w:val="00E05B2E"/>
    <w:rsid w:val="00E05C02"/>
    <w:rsid w:val="00E05C25"/>
    <w:rsid w:val="00E05E5B"/>
    <w:rsid w:val="00E060EF"/>
    <w:rsid w:val="00E0615D"/>
    <w:rsid w:val="00E062A7"/>
    <w:rsid w:val="00E064D4"/>
    <w:rsid w:val="00E06513"/>
    <w:rsid w:val="00E06691"/>
    <w:rsid w:val="00E066EA"/>
    <w:rsid w:val="00E0670C"/>
    <w:rsid w:val="00E0677D"/>
    <w:rsid w:val="00E06798"/>
    <w:rsid w:val="00E0699C"/>
    <w:rsid w:val="00E06CB7"/>
    <w:rsid w:val="00E06D6F"/>
    <w:rsid w:val="00E06F27"/>
    <w:rsid w:val="00E06F3A"/>
    <w:rsid w:val="00E06F3D"/>
    <w:rsid w:val="00E06F55"/>
    <w:rsid w:val="00E0714C"/>
    <w:rsid w:val="00E071C1"/>
    <w:rsid w:val="00E07394"/>
    <w:rsid w:val="00E074B9"/>
    <w:rsid w:val="00E075A8"/>
    <w:rsid w:val="00E077DA"/>
    <w:rsid w:val="00E0785A"/>
    <w:rsid w:val="00E07937"/>
    <w:rsid w:val="00E07947"/>
    <w:rsid w:val="00E079D4"/>
    <w:rsid w:val="00E079EC"/>
    <w:rsid w:val="00E07A72"/>
    <w:rsid w:val="00E07AA3"/>
    <w:rsid w:val="00E07AA7"/>
    <w:rsid w:val="00E07B7F"/>
    <w:rsid w:val="00E07BF8"/>
    <w:rsid w:val="00E07E39"/>
    <w:rsid w:val="00E07F3F"/>
    <w:rsid w:val="00E07F71"/>
    <w:rsid w:val="00E07F94"/>
    <w:rsid w:val="00E1000B"/>
    <w:rsid w:val="00E10010"/>
    <w:rsid w:val="00E101B4"/>
    <w:rsid w:val="00E103D9"/>
    <w:rsid w:val="00E103F5"/>
    <w:rsid w:val="00E10427"/>
    <w:rsid w:val="00E10700"/>
    <w:rsid w:val="00E1084A"/>
    <w:rsid w:val="00E1089D"/>
    <w:rsid w:val="00E10A88"/>
    <w:rsid w:val="00E10AFD"/>
    <w:rsid w:val="00E10B24"/>
    <w:rsid w:val="00E10F89"/>
    <w:rsid w:val="00E11575"/>
    <w:rsid w:val="00E1161D"/>
    <w:rsid w:val="00E116B9"/>
    <w:rsid w:val="00E1186B"/>
    <w:rsid w:val="00E118A2"/>
    <w:rsid w:val="00E11908"/>
    <w:rsid w:val="00E11A7B"/>
    <w:rsid w:val="00E11ABF"/>
    <w:rsid w:val="00E11BA9"/>
    <w:rsid w:val="00E11C7E"/>
    <w:rsid w:val="00E11CA8"/>
    <w:rsid w:val="00E11D24"/>
    <w:rsid w:val="00E11EE1"/>
    <w:rsid w:val="00E122CC"/>
    <w:rsid w:val="00E12425"/>
    <w:rsid w:val="00E1244A"/>
    <w:rsid w:val="00E1262F"/>
    <w:rsid w:val="00E12693"/>
    <w:rsid w:val="00E126DA"/>
    <w:rsid w:val="00E127AA"/>
    <w:rsid w:val="00E12961"/>
    <w:rsid w:val="00E129E7"/>
    <w:rsid w:val="00E12A4D"/>
    <w:rsid w:val="00E12BE1"/>
    <w:rsid w:val="00E12C14"/>
    <w:rsid w:val="00E12DAD"/>
    <w:rsid w:val="00E12F1A"/>
    <w:rsid w:val="00E1300A"/>
    <w:rsid w:val="00E1300F"/>
    <w:rsid w:val="00E13584"/>
    <w:rsid w:val="00E1367A"/>
    <w:rsid w:val="00E1368B"/>
    <w:rsid w:val="00E136D6"/>
    <w:rsid w:val="00E136DF"/>
    <w:rsid w:val="00E136F4"/>
    <w:rsid w:val="00E13747"/>
    <w:rsid w:val="00E137F6"/>
    <w:rsid w:val="00E1381B"/>
    <w:rsid w:val="00E138A5"/>
    <w:rsid w:val="00E1396A"/>
    <w:rsid w:val="00E13976"/>
    <w:rsid w:val="00E13B09"/>
    <w:rsid w:val="00E13B20"/>
    <w:rsid w:val="00E13B4F"/>
    <w:rsid w:val="00E13C97"/>
    <w:rsid w:val="00E13CB4"/>
    <w:rsid w:val="00E13D77"/>
    <w:rsid w:val="00E1403F"/>
    <w:rsid w:val="00E1453D"/>
    <w:rsid w:val="00E14673"/>
    <w:rsid w:val="00E1473B"/>
    <w:rsid w:val="00E14951"/>
    <w:rsid w:val="00E149A8"/>
    <w:rsid w:val="00E14A05"/>
    <w:rsid w:val="00E14A8D"/>
    <w:rsid w:val="00E14AC5"/>
    <w:rsid w:val="00E14B99"/>
    <w:rsid w:val="00E14CE7"/>
    <w:rsid w:val="00E14D8C"/>
    <w:rsid w:val="00E14F59"/>
    <w:rsid w:val="00E15026"/>
    <w:rsid w:val="00E15115"/>
    <w:rsid w:val="00E15230"/>
    <w:rsid w:val="00E1525D"/>
    <w:rsid w:val="00E1567C"/>
    <w:rsid w:val="00E158E1"/>
    <w:rsid w:val="00E1595A"/>
    <w:rsid w:val="00E1598B"/>
    <w:rsid w:val="00E15991"/>
    <w:rsid w:val="00E15B2D"/>
    <w:rsid w:val="00E15BC1"/>
    <w:rsid w:val="00E15FE3"/>
    <w:rsid w:val="00E16046"/>
    <w:rsid w:val="00E1627B"/>
    <w:rsid w:val="00E16543"/>
    <w:rsid w:val="00E16575"/>
    <w:rsid w:val="00E1658E"/>
    <w:rsid w:val="00E16871"/>
    <w:rsid w:val="00E168EA"/>
    <w:rsid w:val="00E16B25"/>
    <w:rsid w:val="00E16B9D"/>
    <w:rsid w:val="00E16C7C"/>
    <w:rsid w:val="00E16DE6"/>
    <w:rsid w:val="00E16E61"/>
    <w:rsid w:val="00E16E79"/>
    <w:rsid w:val="00E16E8D"/>
    <w:rsid w:val="00E1707E"/>
    <w:rsid w:val="00E17155"/>
    <w:rsid w:val="00E171C6"/>
    <w:rsid w:val="00E17259"/>
    <w:rsid w:val="00E172FE"/>
    <w:rsid w:val="00E17647"/>
    <w:rsid w:val="00E1775C"/>
    <w:rsid w:val="00E17ABE"/>
    <w:rsid w:val="00E17AC1"/>
    <w:rsid w:val="00E17C86"/>
    <w:rsid w:val="00E17C96"/>
    <w:rsid w:val="00E17D84"/>
    <w:rsid w:val="00E17E19"/>
    <w:rsid w:val="00E17EFA"/>
    <w:rsid w:val="00E17F4F"/>
    <w:rsid w:val="00E1EC78"/>
    <w:rsid w:val="00E20013"/>
    <w:rsid w:val="00E200EA"/>
    <w:rsid w:val="00E200F6"/>
    <w:rsid w:val="00E20107"/>
    <w:rsid w:val="00E2017B"/>
    <w:rsid w:val="00E202EB"/>
    <w:rsid w:val="00E20345"/>
    <w:rsid w:val="00E2049F"/>
    <w:rsid w:val="00E204B0"/>
    <w:rsid w:val="00E2072C"/>
    <w:rsid w:val="00E2076D"/>
    <w:rsid w:val="00E2078E"/>
    <w:rsid w:val="00E20868"/>
    <w:rsid w:val="00E20892"/>
    <w:rsid w:val="00E208F3"/>
    <w:rsid w:val="00E20B08"/>
    <w:rsid w:val="00E20C3F"/>
    <w:rsid w:val="00E20DF8"/>
    <w:rsid w:val="00E20E4E"/>
    <w:rsid w:val="00E20F52"/>
    <w:rsid w:val="00E20FCA"/>
    <w:rsid w:val="00E211A3"/>
    <w:rsid w:val="00E211C7"/>
    <w:rsid w:val="00E2125A"/>
    <w:rsid w:val="00E21323"/>
    <w:rsid w:val="00E21465"/>
    <w:rsid w:val="00E2146D"/>
    <w:rsid w:val="00E21525"/>
    <w:rsid w:val="00E215A8"/>
    <w:rsid w:val="00E215B1"/>
    <w:rsid w:val="00E2162F"/>
    <w:rsid w:val="00E2173C"/>
    <w:rsid w:val="00E21784"/>
    <w:rsid w:val="00E21872"/>
    <w:rsid w:val="00E2188C"/>
    <w:rsid w:val="00E21902"/>
    <w:rsid w:val="00E219C4"/>
    <w:rsid w:val="00E21ABD"/>
    <w:rsid w:val="00E21ADD"/>
    <w:rsid w:val="00E21B71"/>
    <w:rsid w:val="00E21BDF"/>
    <w:rsid w:val="00E21C24"/>
    <w:rsid w:val="00E21F56"/>
    <w:rsid w:val="00E22075"/>
    <w:rsid w:val="00E22110"/>
    <w:rsid w:val="00E222B6"/>
    <w:rsid w:val="00E222BB"/>
    <w:rsid w:val="00E222E0"/>
    <w:rsid w:val="00E22601"/>
    <w:rsid w:val="00E227AC"/>
    <w:rsid w:val="00E227F6"/>
    <w:rsid w:val="00E228C7"/>
    <w:rsid w:val="00E228FB"/>
    <w:rsid w:val="00E22BEC"/>
    <w:rsid w:val="00E22C7D"/>
    <w:rsid w:val="00E22D41"/>
    <w:rsid w:val="00E22DF6"/>
    <w:rsid w:val="00E22EE7"/>
    <w:rsid w:val="00E22F0B"/>
    <w:rsid w:val="00E2311A"/>
    <w:rsid w:val="00E23430"/>
    <w:rsid w:val="00E235E6"/>
    <w:rsid w:val="00E2363F"/>
    <w:rsid w:val="00E23848"/>
    <w:rsid w:val="00E23850"/>
    <w:rsid w:val="00E2386F"/>
    <w:rsid w:val="00E239EB"/>
    <w:rsid w:val="00E239FC"/>
    <w:rsid w:val="00E23A7F"/>
    <w:rsid w:val="00E23AAE"/>
    <w:rsid w:val="00E23B71"/>
    <w:rsid w:val="00E23CC2"/>
    <w:rsid w:val="00E23D41"/>
    <w:rsid w:val="00E23E01"/>
    <w:rsid w:val="00E23EA7"/>
    <w:rsid w:val="00E2413D"/>
    <w:rsid w:val="00E243FB"/>
    <w:rsid w:val="00E24573"/>
    <w:rsid w:val="00E245D1"/>
    <w:rsid w:val="00E246A9"/>
    <w:rsid w:val="00E246CC"/>
    <w:rsid w:val="00E246CD"/>
    <w:rsid w:val="00E2485C"/>
    <w:rsid w:val="00E2492D"/>
    <w:rsid w:val="00E24CDE"/>
    <w:rsid w:val="00E24D8D"/>
    <w:rsid w:val="00E24FF1"/>
    <w:rsid w:val="00E25169"/>
    <w:rsid w:val="00E25278"/>
    <w:rsid w:val="00E25297"/>
    <w:rsid w:val="00E2532B"/>
    <w:rsid w:val="00E25352"/>
    <w:rsid w:val="00E25353"/>
    <w:rsid w:val="00E255CA"/>
    <w:rsid w:val="00E25614"/>
    <w:rsid w:val="00E2581A"/>
    <w:rsid w:val="00E258E1"/>
    <w:rsid w:val="00E2595B"/>
    <w:rsid w:val="00E25AE6"/>
    <w:rsid w:val="00E25B5D"/>
    <w:rsid w:val="00E25BDB"/>
    <w:rsid w:val="00E25F39"/>
    <w:rsid w:val="00E25F76"/>
    <w:rsid w:val="00E261E9"/>
    <w:rsid w:val="00E2635D"/>
    <w:rsid w:val="00E2637C"/>
    <w:rsid w:val="00E26408"/>
    <w:rsid w:val="00E26472"/>
    <w:rsid w:val="00E266A4"/>
    <w:rsid w:val="00E2688D"/>
    <w:rsid w:val="00E26AD0"/>
    <w:rsid w:val="00E26AF0"/>
    <w:rsid w:val="00E26B54"/>
    <w:rsid w:val="00E26D6D"/>
    <w:rsid w:val="00E26DD4"/>
    <w:rsid w:val="00E26EF9"/>
    <w:rsid w:val="00E270F4"/>
    <w:rsid w:val="00E272FA"/>
    <w:rsid w:val="00E2738C"/>
    <w:rsid w:val="00E274F6"/>
    <w:rsid w:val="00E2750D"/>
    <w:rsid w:val="00E277A5"/>
    <w:rsid w:val="00E27801"/>
    <w:rsid w:val="00E27899"/>
    <w:rsid w:val="00E2789C"/>
    <w:rsid w:val="00E27BF8"/>
    <w:rsid w:val="00E27CC1"/>
    <w:rsid w:val="00E27D59"/>
    <w:rsid w:val="00E27EF8"/>
    <w:rsid w:val="00E27F44"/>
    <w:rsid w:val="00E27FFA"/>
    <w:rsid w:val="00E3009E"/>
    <w:rsid w:val="00E300DF"/>
    <w:rsid w:val="00E30117"/>
    <w:rsid w:val="00E3020F"/>
    <w:rsid w:val="00E30213"/>
    <w:rsid w:val="00E30226"/>
    <w:rsid w:val="00E302FE"/>
    <w:rsid w:val="00E30411"/>
    <w:rsid w:val="00E3044C"/>
    <w:rsid w:val="00E304B9"/>
    <w:rsid w:val="00E3050A"/>
    <w:rsid w:val="00E3063F"/>
    <w:rsid w:val="00E30842"/>
    <w:rsid w:val="00E308EE"/>
    <w:rsid w:val="00E30AD4"/>
    <w:rsid w:val="00E30B9F"/>
    <w:rsid w:val="00E30E18"/>
    <w:rsid w:val="00E30F97"/>
    <w:rsid w:val="00E3115A"/>
    <w:rsid w:val="00E31517"/>
    <w:rsid w:val="00E3151C"/>
    <w:rsid w:val="00E31571"/>
    <w:rsid w:val="00E315DF"/>
    <w:rsid w:val="00E31632"/>
    <w:rsid w:val="00E316E1"/>
    <w:rsid w:val="00E3177D"/>
    <w:rsid w:val="00E31B31"/>
    <w:rsid w:val="00E31D33"/>
    <w:rsid w:val="00E31DB9"/>
    <w:rsid w:val="00E31E1E"/>
    <w:rsid w:val="00E31EA1"/>
    <w:rsid w:val="00E32215"/>
    <w:rsid w:val="00E324EA"/>
    <w:rsid w:val="00E32A49"/>
    <w:rsid w:val="00E32B71"/>
    <w:rsid w:val="00E32DE0"/>
    <w:rsid w:val="00E32E39"/>
    <w:rsid w:val="00E32E5A"/>
    <w:rsid w:val="00E32E74"/>
    <w:rsid w:val="00E32ECC"/>
    <w:rsid w:val="00E33032"/>
    <w:rsid w:val="00E33160"/>
    <w:rsid w:val="00E33235"/>
    <w:rsid w:val="00E33292"/>
    <w:rsid w:val="00E332DB"/>
    <w:rsid w:val="00E33537"/>
    <w:rsid w:val="00E33638"/>
    <w:rsid w:val="00E338CD"/>
    <w:rsid w:val="00E338D3"/>
    <w:rsid w:val="00E339EB"/>
    <w:rsid w:val="00E33B0F"/>
    <w:rsid w:val="00E33BA2"/>
    <w:rsid w:val="00E33C29"/>
    <w:rsid w:val="00E33D6A"/>
    <w:rsid w:val="00E33D7D"/>
    <w:rsid w:val="00E33DE0"/>
    <w:rsid w:val="00E33FA2"/>
    <w:rsid w:val="00E340FC"/>
    <w:rsid w:val="00E34245"/>
    <w:rsid w:val="00E34609"/>
    <w:rsid w:val="00E346BF"/>
    <w:rsid w:val="00E346DE"/>
    <w:rsid w:val="00E348F7"/>
    <w:rsid w:val="00E34984"/>
    <w:rsid w:val="00E34C5B"/>
    <w:rsid w:val="00E34D50"/>
    <w:rsid w:val="00E34F0D"/>
    <w:rsid w:val="00E350FB"/>
    <w:rsid w:val="00E351C8"/>
    <w:rsid w:val="00E352CF"/>
    <w:rsid w:val="00E35436"/>
    <w:rsid w:val="00E35545"/>
    <w:rsid w:val="00E355FC"/>
    <w:rsid w:val="00E35648"/>
    <w:rsid w:val="00E3573C"/>
    <w:rsid w:val="00E3579A"/>
    <w:rsid w:val="00E35AAF"/>
    <w:rsid w:val="00E35BC1"/>
    <w:rsid w:val="00E35C50"/>
    <w:rsid w:val="00E35D06"/>
    <w:rsid w:val="00E35DCE"/>
    <w:rsid w:val="00E35DF7"/>
    <w:rsid w:val="00E35FD3"/>
    <w:rsid w:val="00E3619D"/>
    <w:rsid w:val="00E36833"/>
    <w:rsid w:val="00E36905"/>
    <w:rsid w:val="00E36A58"/>
    <w:rsid w:val="00E36ADF"/>
    <w:rsid w:val="00E36BC1"/>
    <w:rsid w:val="00E36C90"/>
    <w:rsid w:val="00E36D0C"/>
    <w:rsid w:val="00E36D75"/>
    <w:rsid w:val="00E36E02"/>
    <w:rsid w:val="00E36E3A"/>
    <w:rsid w:val="00E36F8E"/>
    <w:rsid w:val="00E370A5"/>
    <w:rsid w:val="00E3712C"/>
    <w:rsid w:val="00E3715E"/>
    <w:rsid w:val="00E372C0"/>
    <w:rsid w:val="00E37324"/>
    <w:rsid w:val="00E3737F"/>
    <w:rsid w:val="00E3744B"/>
    <w:rsid w:val="00E3756A"/>
    <w:rsid w:val="00E3756E"/>
    <w:rsid w:val="00E375EA"/>
    <w:rsid w:val="00E375EF"/>
    <w:rsid w:val="00E377D7"/>
    <w:rsid w:val="00E37A10"/>
    <w:rsid w:val="00E37CE9"/>
    <w:rsid w:val="00E37D67"/>
    <w:rsid w:val="00E37D98"/>
    <w:rsid w:val="00E37DAE"/>
    <w:rsid w:val="00E37E58"/>
    <w:rsid w:val="00E37FB0"/>
    <w:rsid w:val="00E37FC9"/>
    <w:rsid w:val="00E400D3"/>
    <w:rsid w:val="00E400E4"/>
    <w:rsid w:val="00E4026A"/>
    <w:rsid w:val="00E402C4"/>
    <w:rsid w:val="00E40441"/>
    <w:rsid w:val="00E40506"/>
    <w:rsid w:val="00E405A5"/>
    <w:rsid w:val="00E40649"/>
    <w:rsid w:val="00E40792"/>
    <w:rsid w:val="00E407F2"/>
    <w:rsid w:val="00E40B58"/>
    <w:rsid w:val="00E40D0E"/>
    <w:rsid w:val="00E40E1E"/>
    <w:rsid w:val="00E41292"/>
    <w:rsid w:val="00E41310"/>
    <w:rsid w:val="00E41363"/>
    <w:rsid w:val="00E4188A"/>
    <w:rsid w:val="00E418A5"/>
    <w:rsid w:val="00E419DF"/>
    <w:rsid w:val="00E41A19"/>
    <w:rsid w:val="00E41AB6"/>
    <w:rsid w:val="00E41B3A"/>
    <w:rsid w:val="00E41B7F"/>
    <w:rsid w:val="00E41BDB"/>
    <w:rsid w:val="00E41D46"/>
    <w:rsid w:val="00E41D7A"/>
    <w:rsid w:val="00E41DD0"/>
    <w:rsid w:val="00E41ECC"/>
    <w:rsid w:val="00E41F4B"/>
    <w:rsid w:val="00E4207B"/>
    <w:rsid w:val="00E42156"/>
    <w:rsid w:val="00E4215E"/>
    <w:rsid w:val="00E42208"/>
    <w:rsid w:val="00E422D1"/>
    <w:rsid w:val="00E424DD"/>
    <w:rsid w:val="00E42502"/>
    <w:rsid w:val="00E42632"/>
    <w:rsid w:val="00E426B2"/>
    <w:rsid w:val="00E42814"/>
    <w:rsid w:val="00E4281C"/>
    <w:rsid w:val="00E42862"/>
    <w:rsid w:val="00E42978"/>
    <w:rsid w:val="00E42A3E"/>
    <w:rsid w:val="00E42A6B"/>
    <w:rsid w:val="00E42EAF"/>
    <w:rsid w:val="00E42ECD"/>
    <w:rsid w:val="00E42EF2"/>
    <w:rsid w:val="00E430B0"/>
    <w:rsid w:val="00E4318F"/>
    <w:rsid w:val="00E4323B"/>
    <w:rsid w:val="00E4324E"/>
    <w:rsid w:val="00E432F8"/>
    <w:rsid w:val="00E43370"/>
    <w:rsid w:val="00E43372"/>
    <w:rsid w:val="00E4340D"/>
    <w:rsid w:val="00E43495"/>
    <w:rsid w:val="00E43908"/>
    <w:rsid w:val="00E43AD4"/>
    <w:rsid w:val="00E43B0D"/>
    <w:rsid w:val="00E43FA9"/>
    <w:rsid w:val="00E43FAE"/>
    <w:rsid w:val="00E44045"/>
    <w:rsid w:val="00E440C0"/>
    <w:rsid w:val="00E4410F"/>
    <w:rsid w:val="00E443BF"/>
    <w:rsid w:val="00E444EA"/>
    <w:rsid w:val="00E447D5"/>
    <w:rsid w:val="00E4491A"/>
    <w:rsid w:val="00E4494F"/>
    <w:rsid w:val="00E449A0"/>
    <w:rsid w:val="00E449E5"/>
    <w:rsid w:val="00E44A06"/>
    <w:rsid w:val="00E44B0F"/>
    <w:rsid w:val="00E44B5C"/>
    <w:rsid w:val="00E44BFA"/>
    <w:rsid w:val="00E44C71"/>
    <w:rsid w:val="00E44E65"/>
    <w:rsid w:val="00E44EA3"/>
    <w:rsid w:val="00E4503A"/>
    <w:rsid w:val="00E453A4"/>
    <w:rsid w:val="00E45410"/>
    <w:rsid w:val="00E455A5"/>
    <w:rsid w:val="00E45624"/>
    <w:rsid w:val="00E456A2"/>
    <w:rsid w:val="00E45A3D"/>
    <w:rsid w:val="00E45A5D"/>
    <w:rsid w:val="00E45B7B"/>
    <w:rsid w:val="00E45C0A"/>
    <w:rsid w:val="00E45E13"/>
    <w:rsid w:val="00E45E18"/>
    <w:rsid w:val="00E46194"/>
    <w:rsid w:val="00E46291"/>
    <w:rsid w:val="00E46322"/>
    <w:rsid w:val="00E46336"/>
    <w:rsid w:val="00E4640B"/>
    <w:rsid w:val="00E4646B"/>
    <w:rsid w:val="00E4650B"/>
    <w:rsid w:val="00E4676B"/>
    <w:rsid w:val="00E46871"/>
    <w:rsid w:val="00E46ADD"/>
    <w:rsid w:val="00E46DE1"/>
    <w:rsid w:val="00E46E54"/>
    <w:rsid w:val="00E46F3B"/>
    <w:rsid w:val="00E46F91"/>
    <w:rsid w:val="00E46FA5"/>
    <w:rsid w:val="00E470FC"/>
    <w:rsid w:val="00E471A9"/>
    <w:rsid w:val="00E471E9"/>
    <w:rsid w:val="00E475DC"/>
    <w:rsid w:val="00E476C1"/>
    <w:rsid w:val="00E47719"/>
    <w:rsid w:val="00E477A9"/>
    <w:rsid w:val="00E4790C"/>
    <w:rsid w:val="00E47A44"/>
    <w:rsid w:val="00E47B2C"/>
    <w:rsid w:val="00E47C34"/>
    <w:rsid w:val="00E47DAA"/>
    <w:rsid w:val="00E47E86"/>
    <w:rsid w:val="00E47FE9"/>
    <w:rsid w:val="00E47FEE"/>
    <w:rsid w:val="00E5035B"/>
    <w:rsid w:val="00E505E5"/>
    <w:rsid w:val="00E50830"/>
    <w:rsid w:val="00E50B3B"/>
    <w:rsid w:val="00E50B8F"/>
    <w:rsid w:val="00E50CB4"/>
    <w:rsid w:val="00E50CC1"/>
    <w:rsid w:val="00E50DAE"/>
    <w:rsid w:val="00E50F3C"/>
    <w:rsid w:val="00E50F7B"/>
    <w:rsid w:val="00E51077"/>
    <w:rsid w:val="00E51080"/>
    <w:rsid w:val="00E510C5"/>
    <w:rsid w:val="00E51193"/>
    <w:rsid w:val="00E512D1"/>
    <w:rsid w:val="00E51408"/>
    <w:rsid w:val="00E51581"/>
    <w:rsid w:val="00E515C4"/>
    <w:rsid w:val="00E51601"/>
    <w:rsid w:val="00E517CF"/>
    <w:rsid w:val="00E519BC"/>
    <w:rsid w:val="00E519FA"/>
    <w:rsid w:val="00E519FB"/>
    <w:rsid w:val="00E51B74"/>
    <w:rsid w:val="00E51B89"/>
    <w:rsid w:val="00E51BC3"/>
    <w:rsid w:val="00E51C73"/>
    <w:rsid w:val="00E51DC9"/>
    <w:rsid w:val="00E51F34"/>
    <w:rsid w:val="00E51FF4"/>
    <w:rsid w:val="00E52186"/>
    <w:rsid w:val="00E521A2"/>
    <w:rsid w:val="00E521B9"/>
    <w:rsid w:val="00E5230F"/>
    <w:rsid w:val="00E52356"/>
    <w:rsid w:val="00E5235F"/>
    <w:rsid w:val="00E523AF"/>
    <w:rsid w:val="00E52549"/>
    <w:rsid w:val="00E529D4"/>
    <w:rsid w:val="00E52A8F"/>
    <w:rsid w:val="00E52ACF"/>
    <w:rsid w:val="00E52B13"/>
    <w:rsid w:val="00E52C8B"/>
    <w:rsid w:val="00E52F0B"/>
    <w:rsid w:val="00E52F3D"/>
    <w:rsid w:val="00E5306D"/>
    <w:rsid w:val="00E531A2"/>
    <w:rsid w:val="00E53331"/>
    <w:rsid w:val="00E534D9"/>
    <w:rsid w:val="00E5356B"/>
    <w:rsid w:val="00E53590"/>
    <w:rsid w:val="00E53625"/>
    <w:rsid w:val="00E536EE"/>
    <w:rsid w:val="00E536F4"/>
    <w:rsid w:val="00E5382C"/>
    <w:rsid w:val="00E53973"/>
    <w:rsid w:val="00E53A0C"/>
    <w:rsid w:val="00E53A84"/>
    <w:rsid w:val="00E53B3D"/>
    <w:rsid w:val="00E53BE8"/>
    <w:rsid w:val="00E53D0F"/>
    <w:rsid w:val="00E53FD7"/>
    <w:rsid w:val="00E540FB"/>
    <w:rsid w:val="00E543A3"/>
    <w:rsid w:val="00E54859"/>
    <w:rsid w:val="00E5487F"/>
    <w:rsid w:val="00E548C5"/>
    <w:rsid w:val="00E54AA5"/>
    <w:rsid w:val="00E54FAC"/>
    <w:rsid w:val="00E54FFE"/>
    <w:rsid w:val="00E550C8"/>
    <w:rsid w:val="00E55177"/>
    <w:rsid w:val="00E551B4"/>
    <w:rsid w:val="00E555A1"/>
    <w:rsid w:val="00E55A58"/>
    <w:rsid w:val="00E55B91"/>
    <w:rsid w:val="00E55C3C"/>
    <w:rsid w:val="00E55E7E"/>
    <w:rsid w:val="00E55EF7"/>
    <w:rsid w:val="00E560DE"/>
    <w:rsid w:val="00E5632A"/>
    <w:rsid w:val="00E56349"/>
    <w:rsid w:val="00E56586"/>
    <w:rsid w:val="00E56796"/>
    <w:rsid w:val="00E56A3E"/>
    <w:rsid w:val="00E56B40"/>
    <w:rsid w:val="00E56B7D"/>
    <w:rsid w:val="00E56F03"/>
    <w:rsid w:val="00E56FD6"/>
    <w:rsid w:val="00E570B5"/>
    <w:rsid w:val="00E5727C"/>
    <w:rsid w:val="00E573DA"/>
    <w:rsid w:val="00E574A7"/>
    <w:rsid w:val="00E574D7"/>
    <w:rsid w:val="00E574F4"/>
    <w:rsid w:val="00E57532"/>
    <w:rsid w:val="00E575CF"/>
    <w:rsid w:val="00E57620"/>
    <w:rsid w:val="00E57628"/>
    <w:rsid w:val="00E57670"/>
    <w:rsid w:val="00E576D0"/>
    <w:rsid w:val="00E577AE"/>
    <w:rsid w:val="00E57CE2"/>
    <w:rsid w:val="00E57DE8"/>
    <w:rsid w:val="00E57E99"/>
    <w:rsid w:val="00E57F7A"/>
    <w:rsid w:val="00E6010A"/>
    <w:rsid w:val="00E60123"/>
    <w:rsid w:val="00E601BA"/>
    <w:rsid w:val="00E60249"/>
    <w:rsid w:val="00E602E9"/>
    <w:rsid w:val="00E603F0"/>
    <w:rsid w:val="00E60419"/>
    <w:rsid w:val="00E6045C"/>
    <w:rsid w:val="00E604FA"/>
    <w:rsid w:val="00E60699"/>
    <w:rsid w:val="00E607E8"/>
    <w:rsid w:val="00E60802"/>
    <w:rsid w:val="00E609A8"/>
    <w:rsid w:val="00E609F2"/>
    <w:rsid w:val="00E60A4C"/>
    <w:rsid w:val="00E60DFA"/>
    <w:rsid w:val="00E60F34"/>
    <w:rsid w:val="00E61119"/>
    <w:rsid w:val="00E6130D"/>
    <w:rsid w:val="00E61318"/>
    <w:rsid w:val="00E613BF"/>
    <w:rsid w:val="00E61531"/>
    <w:rsid w:val="00E61556"/>
    <w:rsid w:val="00E616A3"/>
    <w:rsid w:val="00E616D1"/>
    <w:rsid w:val="00E616F5"/>
    <w:rsid w:val="00E61792"/>
    <w:rsid w:val="00E61884"/>
    <w:rsid w:val="00E61944"/>
    <w:rsid w:val="00E61A61"/>
    <w:rsid w:val="00E61B84"/>
    <w:rsid w:val="00E61E4C"/>
    <w:rsid w:val="00E61FB7"/>
    <w:rsid w:val="00E620C1"/>
    <w:rsid w:val="00E6214D"/>
    <w:rsid w:val="00E621EC"/>
    <w:rsid w:val="00E622FF"/>
    <w:rsid w:val="00E623DC"/>
    <w:rsid w:val="00E62732"/>
    <w:rsid w:val="00E62752"/>
    <w:rsid w:val="00E627CB"/>
    <w:rsid w:val="00E6288F"/>
    <w:rsid w:val="00E62B13"/>
    <w:rsid w:val="00E62D31"/>
    <w:rsid w:val="00E62DF3"/>
    <w:rsid w:val="00E62F26"/>
    <w:rsid w:val="00E62FF1"/>
    <w:rsid w:val="00E63095"/>
    <w:rsid w:val="00E63304"/>
    <w:rsid w:val="00E6330B"/>
    <w:rsid w:val="00E6331E"/>
    <w:rsid w:val="00E63554"/>
    <w:rsid w:val="00E6359C"/>
    <w:rsid w:val="00E63644"/>
    <w:rsid w:val="00E638D3"/>
    <w:rsid w:val="00E6392C"/>
    <w:rsid w:val="00E6395C"/>
    <w:rsid w:val="00E63991"/>
    <w:rsid w:val="00E63A13"/>
    <w:rsid w:val="00E63A2A"/>
    <w:rsid w:val="00E63AE4"/>
    <w:rsid w:val="00E63B8E"/>
    <w:rsid w:val="00E63E21"/>
    <w:rsid w:val="00E63E79"/>
    <w:rsid w:val="00E63F18"/>
    <w:rsid w:val="00E63F32"/>
    <w:rsid w:val="00E6401C"/>
    <w:rsid w:val="00E64055"/>
    <w:rsid w:val="00E64124"/>
    <w:rsid w:val="00E641BE"/>
    <w:rsid w:val="00E6424C"/>
    <w:rsid w:val="00E6428B"/>
    <w:rsid w:val="00E642D8"/>
    <w:rsid w:val="00E643AD"/>
    <w:rsid w:val="00E6480B"/>
    <w:rsid w:val="00E6496D"/>
    <w:rsid w:val="00E64ADF"/>
    <w:rsid w:val="00E64CB6"/>
    <w:rsid w:val="00E64D1F"/>
    <w:rsid w:val="00E65153"/>
    <w:rsid w:val="00E65291"/>
    <w:rsid w:val="00E654D0"/>
    <w:rsid w:val="00E655ED"/>
    <w:rsid w:val="00E65629"/>
    <w:rsid w:val="00E65698"/>
    <w:rsid w:val="00E657FE"/>
    <w:rsid w:val="00E6587A"/>
    <w:rsid w:val="00E6591D"/>
    <w:rsid w:val="00E65B69"/>
    <w:rsid w:val="00E65BAA"/>
    <w:rsid w:val="00E65C8C"/>
    <w:rsid w:val="00E65E66"/>
    <w:rsid w:val="00E66164"/>
    <w:rsid w:val="00E6625A"/>
    <w:rsid w:val="00E664CC"/>
    <w:rsid w:val="00E6670D"/>
    <w:rsid w:val="00E667F5"/>
    <w:rsid w:val="00E6680F"/>
    <w:rsid w:val="00E66AF3"/>
    <w:rsid w:val="00E66B57"/>
    <w:rsid w:val="00E66CD7"/>
    <w:rsid w:val="00E66CE0"/>
    <w:rsid w:val="00E66FE2"/>
    <w:rsid w:val="00E670A4"/>
    <w:rsid w:val="00E672B1"/>
    <w:rsid w:val="00E67335"/>
    <w:rsid w:val="00E67401"/>
    <w:rsid w:val="00E6753B"/>
    <w:rsid w:val="00E675F4"/>
    <w:rsid w:val="00E676A8"/>
    <w:rsid w:val="00E67747"/>
    <w:rsid w:val="00E67917"/>
    <w:rsid w:val="00E67B2F"/>
    <w:rsid w:val="00E67D4B"/>
    <w:rsid w:val="00E67D61"/>
    <w:rsid w:val="00E67D6E"/>
    <w:rsid w:val="00E67E10"/>
    <w:rsid w:val="00E67E3A"/>
    <w:rsid w:val="00E67E53"/>
    <w:rsid w:val="00E67F11"/>
    <w:rsid w:val="00E67FE0"/>
    <w:rsid w:val="00E70317"/>
    <w:rsid w:val="00E7040B"/>
    <w:rsid w:val="00E704C7"/>
    <w:rsid w:val="00E70536"/>
    <w:rsid w:val="00E709CC"/>
    <w:rsid w:val="00E70B01"/>
    <w:rsid w:val="00E70D33"/>
    <w:rsid w:val="00E70E2A"/>
    <w:rsid w:val="00E70FC1"/>
    <w:rsid w:val="00E710AE"/>
    <w:rsid w:val="00E710D1"/>
    <w:rsid w:val="00E711BD"/>
    <w:rsid w:val="00E711FF"/>
    <w:rsid w:val="00E71201"/>
    <w:rsid w:val="00E7127A"/>
    <w:rsid w:val="00E712EB"/>
    <w:rsid w:val="00E713C5"/>
    <w:rsid w:val="00E715C5"/>
    <w:rsid w:val="00E71650"/>
    <w:rsid w:val="00E71814"/>
    <w:rsid w:val="00E71826"/>
    <w:rsid w:val="00E71B9C"/>
    <w:rsid w:val="00E71DCC"/>
    <w:rsid w:val="00E71E6C"/>
    <w:rsid w:val="00E71F00"/>
    <w:rsid w:val="00E72084"/>
    <w:rsid w:val="00E720AB"/>
    <w:rsid w:val="00E724A4"/>
    <w:rsid w:val="00E724CB"/>
    <w:rsid w:val="00E7251F"/>
    <w:rsid w:val="00E7257D"/>
    <w:rsid w:val="00E7275F"/>
    <w:rsid w:val="00E729CE"/>
    <w:rsid w:val="00E72ADF"/>
    <w:rsid w:val="00E72E07"/>
    <w:rsid w:val="00E72E31"/>
    <w:rsid w:val="00E72EEA"/>
    <w:rsid w:val="00E7306A"/>
    <w:rsid w:val="00E730CC"/>
    <w:rsid w:val="00E73187"/>
    <w:rsid w:val="00E733E7"/>
    <w:rsid w:val="00E734D9"/>
    <w:rsid w:val="00E734EA"/>
    <w:rsid w:val="00E7365C"/>
    <w:rsid w:val="00E73668"/>
    <w:rsid w:val="00E738D1"/>
    <w:rsid w:val="00E73965"/>
    <w:rsid w:val="00E73B55"/>
    <w:rsid w:val="00E73B7F"/>
    <w:rsid w:val="00E73BBD"/>
    <w:rsid w:val="00E73C41"/>
    <w:rsid w:val="00E73D14"/>
    <w:rsid w:val="00E73DA8"/>
    <w:rsid w:val="00E73DAB"/>
    <w:rsid w:val="00E73E5F"/>
    <w:rsid w:val="00E73F9F"/>
    <w:rsid w:val="00E74226"/>
    <w:rsid w:val="00E7422B"/>
    <w:rsid w:val="00E7424C"/>
    <w:rsid w:val="00E74400"/>
    <w:rsid w:val="00E7441A"/>
    <w:rsid w:val="00E744B4"/>
    <w:rsid w:val="00E744B5"/>
    <w:rsid w:val="00E744E7"/>
    <w:rsid w:val="00E74513"/>
    <w:rsid w:val="00E74517"/>
    <w:rsid w:val="00E74564"/>
    <w:rsid w:val="00E7479F"/>
    <w:rsid w:val="00E747A6"/>
    <w:rsid w:val="00E7488D"/>
    <w:rsid w:val="00E7492C"/>
    <w:rsid w:val="00E7496E"/>
    <w:rsid w:val="00E74B26"/>
    <w:rsid w:val="00E74B94"/>
    <w:rsid w:val="00E74C50"/>
    <w:rsid w:val="00E74D65"/>
    <w:rsid w:val="00E74DDF"/>
    <w:rsid w:val="00E74E88"/>
    <w:rsid w:val="00E74F9B"/>
    <w:rsid w:val="00E75055"/>
    <w:rsid w:val="00E750E9"/>
    <w:rsid w:val="00E7535F"/>
    <w:rsid w:val="00E753D2"/>
    <w:rsid w:val="00E7556E"/>
    <w:rsid w:val="00E756B9"/>
    <w:rsid w:val="00E75887"/>
    <w:rsid w:val="00E75927"/>
    <w:rsid w:val="00E75952"/>
    <w:rsid w:val="00E75A67"/>
    <w:rsid w:val="00E75B95"/>
    <w:rsid w:val="00E75C75"/>
    <w:rsid w:val="00E75DE5"/>
    <w:rsid w:val="00E75E12"/>
    <w:rsid w:val="00E75F35"/>
    <w:rsid w:val="00E75FD8"/>
    <w:rsid w:val="00E7608E"/>
    <w:rsid w:val="00E76170"/>
    <w:rsid w:val="00E761BE"/>
    <w:rsid w:val="00E76392"/>
    <w:rsid w:val="00E765C3"/>
    <w:rsid w:val="00E76600"/>
    <w:rsid w:val="00E7684D"/>
    <w:rsid w:val="00E76B72"/>
    <w:rsid w:val="00E76D7B"/>
    <w:rsid w:val="00E76F4D"/>
    <w:rsid w:val="00E7714F"/>
    <w:rsid w:val="00E772EC"/>
    <w:rsid w:val="00E7737C"/>
    <w:rsid w:val="00E77804"/>
    <w:rsid w:val="00E7787C"/>
    <w:rsid w:val="00E77AAC"/>
    <w:rsid w:val="00E77BFA"/>
    <w:rsid w:val="00E77FAA"/>
    <w:rsid w:val="00E800B5"/>
    <w:rsid w:val="00E80515"/>
    <w:rsid w:val="00E806E0"/>
    <w:rsid w:val="00E80831"/>
    <w:rsid w:val="00E80852"/>
    <w:rsid w:val="00E80A29"/>
    <w:rsid w:val="00E80A9E"/>
    <w:rsid w:val="00E80C27"/>
    <w:rsid w:val="00E80C56"/>
    <w:rsid w:val="00E80D80"/>
    <w:rsid w:val="00E80DA1"/>
    <w:rsid w:val="00E80F15"/>
    <w:rsid w:val="00E81025"/>
    <w:rsid w:val="00E81238"/>
    <w:rsid w:val="00E812ED"/>
    <w:rsid w:val="00E81351"/>
    <w:rsid w:val="00E813BF"/>
    <w:rsid w:val="00E8153A"/>
    <w:rsid w:val="00E81613"/>
    <w:rsid w:val="00E81940"/>
    <w:rsid w:val="00E819D1"/>
    <w:rsid w:val="00E81C2D"/>
    <w:rsid w:val="00E81F17"/>
    <w:rsid w:val="00E81FCA"/>
    <w:rsid w:val="00E822C8"/>
    <w:rsid w:val="00E823FE"/>
    <w:rsid w:val="00E82464"/>
    <w:rsid w:val="00E824C6"/>
    <w:rsid w:val="00E82580"/>
    <w:rsid w:val="00E82710"/>
    <w:rsid w:val="00E827F7"/>
    <w:rsid w:val="00E82923"/>
    <w:rsid w:val="00E82C2D"/>
    <w:rsid w:val="00E82D82"/>
    <w:rsid w:val="00E82E29"/>
    <w:rsid w:val="00E82E98"/>
    <w:rsid w:val="00E82F0D"/>
    <w:rsid w:val="00E83092"/>
    <w:rsid w:val="00E831CF"/>
    <w:rsid w:val="00E83283"/>
    <w:rsid w:val="00E83302"/>
    <w:rsid w:val="00E83351"/>
    <w:rsid w:val="00E8345E"/>
    <w:rsid w:val="00E835B6"/>
    <w:rsid w:val="00E836CD"/>
    <w:rsid w:val="00E83756"/>
    <w:rsid w:val="00E8387E"/>
    <w:rsid w:val="00E83899"/>
    <w:rsid w:val="00E838FC"/>
    <w:rsid w:val="00E8393F"/>
    <w:rsid w:val="00E839E9"/>
    <w:rsid w:val="00E83A3D"/>
    <w:rsid w:val="00E83CF1"/>
    <w:rsid w:val="00E83D13"/>
    <w:rsid w:val="00E83D35"/>
    <w:rsid w:val="00E841E0"/>
    <w:rsid w:val="00E84218"/>
    <w:rsid w:val="00E84250"/>
    <w:rsid w:val="00E8428C"/>
    <w:rsid w:val="00E84448"/>
    <w:rsid w:val="00E84456"/>
    <w:rsid w:val="00E84634"/>
    <w:rsid w:val="00E8479E"/>
    <w:rsid w:val="00E847FF"/>
    <w:rsid w:val="00E84825"/>
    <w:rsid w:val="00E84C37"/>
    <w:rsid w:val="00E84C5A"/>
    <w:rsid w:val="00E84C84"/>
    <w:rsid w:val="00E84DF3"/>
    <w:rsid w:val="00E84ED4"/>
    <w:rsid w:val="00E84F75"/>
    <w:rsid w:val="00E8511C"/>
    <w:rsid w:val="00E85520"/>
    <w:rsid w:val="00E8557A"/>
    <w:rsid w:val="00E8560C"/>
    <w:rsid w:val="00E85786"/>
    <w:rsid w:val="00E8586C"/>
    <w:rsid w:val="00E858F4"/>
    <w:rsid w:val="00E8597E"/>
    <w:rsid w:val="00E85BC6"/>
    <w:rsid w:val="00E85F2D"/>
    <w:rsid w:val="00E8600D"/>
    <w:rsid w:val="00E863AB"/>
    <w:rsid w:val="00E8645C"/>
    <w:rsid w:val="00E865CD"/>
    <w:rsid w:val="00E866FE"/>
    <w:rsid w:val="00E86726"/>
    <w:rsid w:val="00E86732"/>
    <w:rsid w:val="00E867F5"/>
    <w:rsid w:val="00E868EA"/>
    <w:rsid w:val="00E86A8C"/>
    <w:rsid w:val="00E86AFA"/>
    <w:rsid w:val="00E86B67"/>
    <w:rsid w:val="00E86CE1"/>
    <w:rsid w:val="00E86DD6"/>
    <w:rsid w:val="00E86E7E"/>
    <w:rsid w:val="00E86ECD"/>
    <w:rsid w:val="00E86F0D"/>
    <w:rsid w:val="00E87060"/>
    <w:rsid w:val="00E87112"/>
    <w:rsid w:val="00E87231"/>
    <w:rsid w:val="00E872ED"/>
    <w:rsid w:val="00E87327"/>
    <w:rsid w:val="00E87347"/>
    <w:rsid w:val="00E874B7"/>
    <w:rsid w:val="00E8771F"/>
    <w:rsid w:val="00E87878"/>
    <w:rsid w:val="00E8793C"/>
    <w:rsid w:val="00E87A01"/>
    <w:rsid w:val="00E87A42"/>
    <w:rsid w:val="00E87B62"/>
    <w:rsid w:val="00E87CBD"/>
    <w:rsid w:val="00E87EA3"/>
    <w:rsid w:val="00E87F48"/>
    <w:rsid w:val="00E87FBE"/>
    <w:rsid w:val="00E90004"/>
    <w:rsid w:val="00E901B7"/>
    <w:rsid w:val="00E9024A"/>
    <w:rsid w:val="00E90634"/>
    <w:rsid w:val="00E90649"/>
    <w:rsid w:val="00E906A3"/>
    <w:rsid w:val="00E90886"/>
    <w:rsid w:val="00E9099D"/>
    <w:rsid w:val="00E909B8"/>
    <w:rsid w:val="00E90BD4"/>
    <w:rsid w:val="00E90D55"/>
    <w:rsid w:val="00E90E47"/>
    <w:rsid w:val="00E90F2D"/>
    <w:rsid w:val="00E9100F"/>
    <w:rsid w:val="00E9104B"/>
    <w:rsid w:val="00E91575"/>
    <w:rsid w:val="00E916F2"/>
    <w:rsid w:val="00E9195F"/>
    <w:rsid w:val="00E91C94"/>
    <w:rsid w:val="00E91D1B"/>
    <w:rsid w:val="00E91E33"/>
    <w:rsid w:val="00E91ED6"/>
    <w:rsid w:val="00E91FA1"/>
    <w:rsid w:val="00E9202F"/>
    <w:rsid w:val="00E920BF"/>
    <w:rsid w:val="00E92383"/>
    <w:rsid w:val="00E925C0"/>
    <w:rsid w:val="00E925C5"/>
    <w:rsid w:val="00E925E5"/>
    <w:rsid w:val="00E92686"/>
    <w:rsid w:val="00E9272E"/>
    <w:rsid w:val="00E929AE"/>
    <w:rsid w:val="00E92B4F"/>
    <w:rsid w:val="00E92DD3"/>
    <w:rsid w:val="00E92DE7"/>
    <w:rsid w:val="00E92F2A"/>
    <w:rsid w:val="00E93038"/>
    <w:rsid w:val="00E93089"/>
    <w:rsid w:val="00E931D1"/>
    <w:rsid w:val="00E934FD"/>
    <w:rsid w:val="00E93615"/>
    <w:rsid w:val="00E936A2"/>
    <w:rsid w:val="00E938EA"/>
    <w:rsid w:val="00E93A35"/>
    <w:rsid w:val="00E93C72"/>
    <w:rsid w:val="00E93D2C"/>
    <w:rsid w:val="00E93D3A"/>
    <w:rsid w:val="00E93E0D"/>
    <w:rsid w:val="00E93E4F"/>
    <w:rsid w:val="00E93E79"/>
    <w:rsid w:val="00E9407C"/>
    <w:rsid w:val="00E940C1"/>
    <w:rsid w:val="00E941E2"/>
    <w:rsid w:val="00E9436D"/>
    <w:rsid w:val="00E94388"/>
    <w:rsid w:val="00E945C2"/>
    <w:rsid w:val="00E945D8"/>
    <w:rsid w:val="00E946F3"/>
    <w:rsid w:val="00E94707"/>
    <w:rsid w:val="00E9475A"/>
    <w:rsid w:val="00E94909"/>
    <w:rsid w:val="00E949A9"/>
    <w:rsid w:val="00E949CF"/>
    <w:rsid w:val="00E94A6B"/>
    <w:rsid w:val="00E94A81"/>
    <w:rsid w:val="00E9519C"/>
    <w:rsid w:val="00E951C4"/>
    <w:rsid w:val="00E951F3"/>
    <w:rsid w:val="00E9526D"/>
    <w:rsid w:val="00E9532F"/>
    <w:rsid w:val="00E954E5"/>
    <w:rsid w:val="00E954F5"/>
    <w:rsid w:val="00E9550B"/>
    <w:rsid w:val="00E9557C"/>
    <w:rsid w:val="00E95858"/>
    <w:rsid w:val="00E958DB"/>
    <w:rsid w:val="00E95A3A"/>
    <w:rsid w:val="00E95A6E"/>
    <w:rsid w:val="00E95B67"/>
    <w:rsid w:val="00E95E8B"/>
    <w:rsid w:val="00E95F51"/>
    <w:rsid w:val="00E9602E"/>
    <w:rsid w:val="00E9615A"/>
    <w:rsid w:val="00E9618B"/>
    <w:rsid w:val="00E96269"/>
    <w:rsid w:val="00E96327"/>
    <w:rsid w:val="00E963AD"/>
    <w:rsid w:val="00E963DF"/>
    <w:rsid w:val="00E964EC"/>
    <w:rsid w:val="00E96633"/>
    <w:rsid w:val="00E967C0"/>
    <w:rsid w:val="00E9681A"/>
    <w:rsid w:val="00E96851"/>
    <w:rsid w:val="00E9696C"/>
    <w:rsid w:val="00E969A0"/>
    <w:rsid w:val="00E96AC8"/>
    <w:rsid w:val="00E96ACA"/>
    <w:rsid w:val="00E96D9B"/>
    <w:rsid w:val="00E96DB0"/>
    <w:rsid w:val="00E96DB6"/>
    <w:rsid w:val="00E96E55"/>
    <w:rsid w:val="00E96EAD"/>
    <w:rsid w:val="00E96F34"/>
    <w:rsid w:val="00E9700E"/>
    <w:rsid w:val="00E97077"/>
    <w:rsid w:val="00E972FF"/>
    <w:rsid w:val="00E9733F"/>
    <w:rsid w:val="00E9737C"/>
    <w:rsid w:val="00E97401"/>
    <w:rsid w:val="00E974CB"/>
    <w:rsid w:val="00E9750A"/>
    <w:rsid w:val="00E975FA"/>
    <w:rsid w:val="00E97625"/>
    <w:rsid w:val="00E9772E"/>
    <w:rsid w:val="00E9777C"/>
    <w:rsid w:val="00E97819"/>
    <w:rsid w:val="00E97833"/>
    <w:rsid w:val="00E97836"/>
    <w:rsid w:val="00E97976"/>
    <w:rsid w:val="00E97B39"/>
    <w:rsid w:val="00E97BAA"/>
    <w:rsid w:val="00E97BD0"/>
    <w:rsid w:val="00E97D37"/>
    <w:rsid w:val="00E97E1B"/>
    <w:rsid w:val="00E97EC5"/>
    <w:rsid w:val="00E97FA1"/>
    <w:rsid w:val="00EA0070"/>
    <w:rsid w:val="00EA027E"/>
    <w:rsid w:val="00EA0311"/>
    <w:rsid w:val="00EA03EE"/>
    <w:rsid w:val="00EA05E3"/>
    <w:rsid w:val="00EA063A"/>
    <w:rsid w:val="00EA06A7"/>
    <w:rsid w:val="00EA07BE"/>
    <w:rsid w:val="00EA0861"/>
    <w:rsid w:val="00EA0942"/>
    <w:rsid w:val="00EA0A5B"/>
    <w:rsid w:val="00EA0AC5"/>
    <w:rsid w:val="00EA0AEF"/>
    <w:rsid w:val="00EA0B06"/>
    <w:rsid w:val="00EA0B9D"/>
    <w:rsid w:val="00EA0BE2"/>
    <w:rsid w:val="00EA0BEF"/>
    <w:rsid w:val="00EA0D68"/>
    <w:rsid w:val="00EA0DD2"/>
    <w:rsid w:val="00EA1078"/>
    <w:rsid w:val="00EA10BB"/>
    <w:rsid w:val="00EA10FE"/>
    <w:rsid w:val="00EA12B1"/>
    <w:rsid w:val="00EA1336"/>
    <w:rsid w:val="00EA142D"/>
    <w:rsid w:val="00EA14E0"/>
    <w:rsid w:val="00EA14E5"/>
    <w:rsid w:val="00EA152B"/>
    <w:rsid w:val="00EA17EC"/>
    <w:rsid w:val="00EA1941"/>
    <w:rsid w:val="00EA1A65"/>
    <w:rsid w:val="00EA1B80"/>
    <w:rsid w:val="00EA1D4A"/>
    <w:rsid w:val="00EA1D87"/>
    <w:rsid w:val="00EA2087"/>
    <w:rsid w:val="00EA208A"/>
    <w:rsid w:val="00EA2231"/>
    <w:rsid w:val="00EA23F8"/>
    <w:rsid w:val="00EA249F"/>
    <w:rsid w:val="00EA26A7"/>
    <w:rsid w:val="00EA2967"/>
    <w:rsid w:val="00EA29ED"/>
    <w:rsid w:val="00EA2AEA"/>
    <w:rsid w:val="00EA2B5C"/>
    <w:rsid w:val="00EA2C01"/>
    <w:rsid w:val="00EA2CBD"/>
    <w:rsid w:val="00EA2E16"/>
    <w:rsid w:val="00EA2E65"/>
    <w:rsid w:val="00EA3049"/>
    <w:rsid w:val="00EA3176"/>
    <w:rsid w:val="00EA319D"/>
    <w:rsid w:val="00EA3842"/>
    <w:rsid w:val="00EA3855"/>
    <w:rsid w:val="00EA3A70"/>
    <w:rsid w:val="00EA3A81"/>
    <w:rsid w:val="00EA3B76"/>
    <w:rsid w:val="00EA3D56"/>
    <w:rsid w:val="00EA3DC4"/>
    <w:rsid w:val="00EA3E7E"/>
    <w:rsid w:val="00EA3F74"/>
    <w:rsid w:val="00EA3FCA"/>
    <w:rsid w:val="00EA41A7"/>
    <w:rsid w:val="00EA41EA"/>
    <w:rsid w:val="00EA4321"/>
    <w:rsid w:val="00EA432B"/>
    <w:rsid w:val="00EA4366"/>
    <w:rsid w:val="00EA453E"/>
    <w:rsid w:val="00EA484C"/>
    <w:rsid w:val="00EA48BD"/>
    <w:rsid w:val="00EA4951"/>
    <w:rsid w:val="00EA49E4"/>
    <w:rsid w:val="00EA4A4F"/>
    <w:rsid w:val="00EA4AD3"/>
    <w:rsid w:val="00EA4B8F"/>
    <w:rsid w:val="00EA4EAC"/>
    <w:rsid w:val="00EA4FB7"/>
    <w:rsid w:val="00EA50DF"/>
    <w:rsid w:val="00EA524A"/>
    <w:rsid w:val="00EA52D7"/>
    <w:rsid w:val="00EA53E3"/>
    <w:rsid w:val="00EA5440"/>
    <w:rsid w:val="00EA560A"/>
    <w:rsid w:val="00EA5639"/>
    <w:rsid w:val="00EA572A"/>
    <w:rsid w:val="00EA5A90"/>
    <w:rsid w:val="00EA5B06"/>
    <w:rsid w:val="00EA5D5A"/>
    <w:rsid w:val="00EA5DC6"/>
    <w:rsid w:val="00EA5DE9"/>
    <w:rsid w:val="00EA6008"/>
    <w:rsid w:val="00EA6019"/>
    <w:rsid w:val="00EA60EF"/>
    <w:rsid w:val="00EA613E"/>
    <w:rsid w:val="00EA616F"/>
    <w:rsid w:val="00EA618D"/>
    <w:rsid w:val="00EA6246"/>
    <w:rsid w:val="00EA6247"/>
    <w:rsid w:val="00EA64B1"/>
    <w:rsid w:val="00EA64DB"/>
    <w:rsid w:val="00EA653B"/>
    <w:rsid w:val="00EA6564"/>
    <w:rsid w:val="00EA6822"/>
    <w:rsid w:val="00EA6ACA"/>
    <w:rsid w:val="00EA6BFC"/>
    <w:rsid w:val="00EA6CB7"/>
    <w:rsid w:val="00EA6D93"/>
    <w:rsid w:val="00EA6DF7"/>
    <w:rsid w:val="00EA6E87"/>
    <w:rsid w:val="00EA700F"/>
    <w:rsid w:val="00EA707D"/>
    <w:rsid w:val="00EA719C"/>
    <w:rsid w:val="00EA7591"/>
    <w:rsid w:val="00EA77C1"/>
    <w:rsid w:val="00EA7A82"/>
    <w:rsid w:val="00EA7AE6"/>
    <w:rsid w:val="00EA7C54"/>
    <w:rsid w:val="00EA7C9A"/>
    <w:rsid w:val="00EA7E0A"/>
    <w:rsid w:val="00EA7E31"/>
    <w:rsid w:val="00EA7F18"/>
    <w:rsid w:val="00EA7F1E"/>
    <w:rsid w:val="00EB0236"/>
    <w:rsid w:val="00EB02A9"/>
    <w:rsid w:val="00EB0322"/>
    <w:rsid w:val="00EB0622"/>
    <w:rsid w:val="00EB07F5"/>
    <w:rsid w:val="00EB0A13"/>
    <w:rsid w:val="00EB0AE4"/>
    <w:rsid w:val="00EB0CB7"/>
    <w:rsid w:val="00EB0CCA"/>
    <w:rsid w:val="00EB0DDA"/>
    <w:rsid w:val="00EB0EA4"/>
    <w:rsid w:val="00EB1422"/>
    <w:rsid w:val="00EB1482"/>
    <w:rsid w:val="00EB1553"/>
    <w:rsid w:val="00EB1682"/>
    <w:rsid w:val="00EB1688"/>
    <w:rsid w:val="00EB16AD"/>
    <w:rsid w:val="00EB18FE"/>
    <w:rsid w:val="00EB1B3C"/>
    <w:rsid w:val="00EB1C13"/>
    <w:rsid w:val="00EB1C14"/>
    <w:rsid w:val="00EB1E99"/>
    <w:rsid w:val="00EB1F7C"/>
    <w:rsid w:val="00EB230E"/>
    <w:rsid w:val="00EB2330"/>
    <w:rsid w:val="00EB2485"/>
    <w:rsid w:val="00EB25EF"/>
    <w:rsid w:val="00EB277C"/>
    <w:rsid w:val="00EB2847"/>
    <w:rsid w:val="00EB293F"/>
    <w:rsid w:val="00EB2954"/>
    <w:rsid w:val="00EB2A0D"/>
    <w:rsid w:val="00EB2B68"/>
    <w:rsid w:val="00EB2C28"/>
    <w:rsid w:val="00EB2C7F"/>
    <w:rsid w:val="00EB2CF2"/>
    <w:rsid w:val="00EB2D3A"/>
    <w:rsid w:val="00EB3024"/>
    <w:rsid w:val="00EB30CC"/>
    <w:rsid w:val="00EB335F"/>
    <w:rsid w:val="00EB35F1"/>
    <w:rsid w:val="00EB3606"/>
    <w:rsid w:val="00EB366C"/>
    <w:rsid w:val="00EB36D3"/>
    <w:rsid w:val="00EB37CD"/>
    <w:rsid w:val="00EB3869"/>
    <w:rsid w:val="00EB3C65"/>
    <w:rsid w:val="00EB3E29"/>
    <w:rsid w:val="00EB3E6A"/>
    <w:rsid w:val="00EB3EA0"/>
    <w:rsid w:val="00EB4040"/>
    <w:rsid w:val="00EB419B"/>
    <w:rsid w:val="00EB41FE"/>
    <w:rsid w:val="00EB425D"/>
    <w:rsid w:val="00EB4322"/>
    <w:rsid w:val="00EB432A"/>
    <w:rsid w:val="00EB4366"/>
    <w:rsid w:val="00EB439A"/>
    <w:rsid w:val="00EB45CE"/>
    <w:rsid w:val="00EB4637"/>
    <w:rsid w:val="00EB47FF"/>
    <w:rsid w:val="00EB4805"/>
    <w:rsid w:val="00EB492E"/>
    <w:rsid w:val="00EB4988"/>
    <w:rsid w:val="00EB4B20"/>
    <w:rsid w:val="00EB4DA4"/>
    <w:rsid w:val="00EB4E78"/>
    <w:rsid w:val="00EB4EB5"/>
    <w:rsid w:val="00EB4F26"/>
    <w:rsid w:val="00EB4F5D"/>
    <w:rsid w:val="00EB4FDE"/>
    <w:rsid w:val="00EB504C"/>
    <w:rsid w:val="00EB52FB"/>
    <w:rsid w:val="00EB5323"/>
    <w:rsid w:val="00EB54B3"/>
    <w:rsid w:val="00EB561A"/>
    <w:rsid w:val="00EB568C"/>
    <w:rsid w:val="00EB5722"/>
    <w:rsid w:val="00EB57A4"/>
    <w:rsid w:val="00EB57CC"/>
    <w:rsid w:val="00EB589A"/>
    <w:rsid w:val="00EB59AE"/>
    <w:rsid w:val="00EB59FF"/>
    <w:rsid w:val="00EB5A11"/>
    <w:rsid w:val="00EB5A34"/>
    <w:rsid w:val="00EB5A56"/>
    <w:rsid w:val="00EB5C27"/>
    <w:rsid w:val="00EB6019"/>
    <w:rsid w:val="00EB604D"/>
    <w:rsid w:val="00EB6194"/>
    <w:rsid w:val="00EB6218"/>
    <w:rsid w:val="00EB634E"/>
    <w:rsid w:val="00EB6446"/>
    <w:rsid w:val="00EB64CE"/>
    <w:rsid w:val="00EB6670"/>
    <w:rsid w:val="00EB66C3"/>
    <w:rsid w:val="00EB6972"/>
    <w:rsid w:val="00EB6B23"/>
    <w:rsid w:val="00EB6CC8"/>
    <w:rsid w:val="00EB6CD0"/>
    <w:rsid w:val="00EB6D38"/>
    <w:rsid w:val="00EB6F3B"/>
    <w:rsid w:val="00EB6F68"/>
    <w:rsid w:val="00EB6F71"/>
    <w:rsid w:val="00EB7097"/>
    <w:rsid w:val="00EB7374"/>
    <w:rsid w:val="00EB74CC"/>
    <w:rsid w:val="00EB7660"/>
    <w:rsid w:val="00EB772A"/>
    <w:rsid w:val="00EB779A"/>
    <w:rsid w:val="00EB7B09"/>
    <w:rsid w:val="00EB7BBF"/>
    <w:rsid w:val="00EB7D0C"/>
    <w:rsid w:val="00EB7E26"/>
    <w:rsid w:val="00EB7E42"/>
    <w:rsid w:val="00EBBBCC"/>
    <w:rsid w:val="00EC00BF"/>
    <w:rsid w:val="00EC02CB"/>
    <w:rsid w:val="00EC0385"/>
    <w:rsid w:val="00EC03E6"/>
    <w:rsid w:val="00EC03F6"/>
    <w:rsid w:val="00EC0418"/>
    <w:rsid w:val="00EC069B"/>
    <w:rsid w:val="00EC06E0"/>
    <w:rsid w:val="00EC0982"/>
    <w:rsid w:val="00EC0BE7"/>
    <w:rsid w:val="00EC0CE7"/>
    <w:rsid w:val="00EC0D1F"/>
    <w:rsid w:val="00EC0E49"/>
    <w:rsid w:val="00EC0E5F"/>
    <w:rsid w:val="00EC0EAB"/>
    <w:rsid w:val="00EC0F03"/>
    <w:rsid w:val="00EC1163"/>
    <w:rsid w:val="00EC12D4"/>
    <w:rsid w:val="00EC1435"/>
    <w:rsid w:val="00EC147E"/>
    <w:rsid w:val="00EC194C"/>
    <w:rsid w:val="00EC1962"/>
    <w:rsid w:val="00EC1A4B"/>
    <w:rsid w:val="00EC1D25"/>
    <w:rsid w:val="00EC1D84"/>
    <w:rsid w:val="00EC1DDB"/>
    <w:rsid w:val="00EC1EE9"/>
    <w:rsid w:val="00EC1F0A"/>
    <w:rsid w:val="00EC1F17"/>
    <w:rsid w:val="00EC1FBB"/>
    <w:rsid w:val="00EC1FDB"/>
    <w:rsid w:val="00EC21CB"/>
    <w:rsid w:val="00EC21F5"/>
    <w:rsid w:val="00EC2243"/>
    <w:rsid w:val="00EC2333"/>
    <w:rsid w:val="00EC2388"/>
    <w:rsid w:val="00EC2511"/>
    <w:rsid w:val="00EC262F"/>
    <w:rsid w:val="00EC27B1"/>
    <w:rsid w:val="00EC27BA"/>
    <w:rsid w:val="00EC285B"/>
    <w:rsid w:val="00EC28B9"/>
    <w:rsid w:val="00EC28E3"/>
    <w:rsid w:val="00EC2AF8"/>
    <w:rsid w:val="00EC2BBD"/>
    <w:rsid w:val="00EC2DF5"/>
    <w:rsid w:val="00EC2E74"/>
    <w:rsid w:val="00EC3028"/>
    <w:rsid w:val="00EC3074"/>
    <w:rsid w:val="00EC30DA"/>
    <w:rsid w:val="00EC3251"/>
    <w:rsid w:val="00EC34E6"/>
    <w:rsid w:val="00EC34FE"/>
    <w:rsid w:val="00EC36DD"/>
    <w:rsid w:val="00EC38A8"/>
    <w:rsid w:val="00EC3910"/>
    <w:rsid w:val="00EC3B66"/>
    <w:rsid w:val="00EC3B97"/>
    <w:rsid w:val="00EC3C0C"/>
    <w:rsid w:val="00EC3D7C"/>
    <w:rsid w:val="00EC3E3C"/>
    <w:rsid w:val="00EC3F06"/>
    <w:rsid w:val="00EC3FFB"/>
    <w:rsid w:val="00EC411D"/>
    <w:rsid w:val="00EC415B"/>
    <w:rsid w:val="00EC4655"/>
    <w:rsid w:val="00EC489D"/>
    <w:rsid w:val="00EC48D5"/>
    <w:rsid w:val="00EC4910"/>
    <w:rsid w:val="00EC4994"/>
    <w:rsid w:val="00EC4B40"/>
    <w:rsid w:val="00EC4C5E"/>
    <w:rsid w:val="00EC4C75"/>
    <w:rsid w:val="00EC4C88"/>
    <w:rsid w:val="00EC4D6E"/>
    <w:rsid w:val="00EC4DBA"/>
    <w:rsid w:val="00EC4E67"/>
    <w:rsid w:val="00EC4F97"/>
    <w:rsid w:val="00EC5261"/>
    <w:rsid w:val="00EC534B"/>
    <w:rsid w:val="00EC5599"/>
    <w:rsid w:val="00EC56CC"/>
    <w:rsid w:val="00EC577C"/>
    <w:rsid w:val="00EC5966"/>
    <w:rsid w:val="00EC5985"/>
    <w:rsid w:val="00EC5989"/>
    <w:rsid w:val="00EC5A51"/>
    <w:rsid w:val="00EC5A7A"/>
    <w:rsid w:val="00EC5C16"/>
    <w:rsid w:val="00EC5C31"/>
    <w:rsid w:val="00EC5D06"/>
    <w:rsid w:val="00EC5D8A"/>
    <w:rsid w:val="00EC5FC1"/>
    <w:rsid w:val="00EC64A1"/>
    <w:rsid w:val="00EC64D6"/>
    <w:rsid w:val="00EC6661"/>
    <w:rsid w:val="00EC679D"/>
    <w:rsid w:val="00EC681C"/>
    <w:rsid w:val="00EC6898"/>
    <w:rsid w:val="00EC68E9"/>
    <w:rsid w:val="00EC6916"/>
    <w:rsid w:val="00EC69C3"/>
    <w:rsid w:val="00EC6AE2"/>
    <w:rsid w:val="00EC6B5D"/>
    <w:rsid w:val="00EC6CB8"/>
    <w:rsid w:val="00EC6D0B"/>
    <w:rsid w:val="00EC6D69"/>
    <w:rsid w:val="00EC6D6A"/>
    <w:rsid w:val="00EC6DC1"/>
    <w:rsid w:val="00EC6E79"/>
    <w:rsid w:val="00EC7080"/>
    <w:rsid w:val="00EC7304"/>
    <w:rsid w:val="00EC730E"/>
    <w:rsid w:val="00EC73CA"/>
    <w:rsid w:val="00EC75ED"/>
    <w:rsid w:val="00EC75FD"/>
    <w:rsid w:val="00EC7697"/>
    <w:rsid w:val="00EC78D9"/>
    <w:rsid w:val="00EC79B3"/>
    <w:rsid w:val="00EC7C2C"/>
    <w:rsid w:val="00EC7C4E"/>
    <w:rsid w:val="00EC7C50"/>
    <w:rsid w:val="00EC7EC3"/>
    <w:rsid w:val="00EC7F32"/>
    <w:rsid w:val="00ECA1E0"/>
    <w:rsid w:val="00ECDFB3"/>
    <w:rsid w:val="00ED0355"/>
    <w:rsid w:val="00ED0361"/>
    <w:rsid w:val="00ED0383"/>
    <w:rsid w:val="00ED03A8"/>
    <w:rsid w:val="00ED03E6"/>
    <w:rsid w:val="00ED04E4"/>
    <w:rsid w:val="00ED056E"/>
    <w:rsid w:val="00ED065C"/>
    <w:rsid w:val="00ED06A5"/>
    <w:rsid w:val="00ED0811"/>
    <w:rsid w:val="00ED0822"/>
    <w:rsid w:val="00ED0887"/>
    <w:rsid w:val="00ED0BB4"/>
    <w:rsid w:val="00ED0E5A"/>
    <w:rsid w:val="00ED1061"/>
    <w:rsid w:val="00ED10A4"/>
    <w:rsid w:val="00ED11A2"/>
    <w:rsid w:val="00ED11F2"/>
    <w:rsid w:val="00ED11F4"/>
    <w:rsid w:val="00ED1264"/>
    <w:rsid w:val="00ED12ED"/>
    <w:rsid w:val="00ED1452"/>
    <w:rsid w:val="00ED14C3"/>
    <w:rsid w:val="00ED15AC"/>
    <w:rsid w:val="00ED1845"/>
    <w:rsid w:val="00ED189D"/>
    <w:rsid w:val="00ED1977"/>
    <w:rsid w:val="00ED1A02"/>
    <w:rsid w:val="00ED1A09"/>
    <w:rsid w:val="00ED1C35"/>
    <w:rsid w:val="00ED1E33"/>
    <w:rsid w:val="00ED2037"/>
    <w:rsid w:val="00ED2055"/>
    <w:rsid w:val="00ED2074"/>
    <w:rsid w:val="00ED21BD"/>
    <w:rsid w:val="00ED21DB"/>
    <w:rsid w:val="00ED229A"/>
    <w:rsid w:val="00ED22EE"/>
    <w:rsid w:val="00ED23F8"/>
    <w:rsid w:val="00ED2647"/>
    <w:rsid w:val="00ED267F"/>
    <w:rsid w:val="00ED269C"/>
    <w:rsid w:val="00ED2814"/>
    <w:rsid w:val="00ED29B0"/>
    <w:rsid w:val="00ED2B29"/>
    <w:rsid w:val="00ED2BCD"/>
    <w:rsid w:val="00ED2C8B"/>
    <w:rsid w:val="00ED2E0E"/>
    <w:rsid w:val="00ED2E3C"/>
    <w:rsid w:val="00ED3028"/>
    <w:rsid w:val="00ED30B4"/>
    <w:rsid w:val="00ED311B"/>
    <w:rsid w:val="00ED3273"/>
    <w:rsid w:val="00ED32F9"/>
    <w:rsid w:val="00ED33AF"/>
    <w:rsid w:val="00ED384B"/>
    <w:rsid w:val="00ED39A8"/>
    <w:rsid w:val="00ED3C1A"/>
    <w:rsid w:val="00ED3CE5"/>
    <w:rsid w:val="00ED3D00"/>
    <w:rsid w:val="00ED3D43"/>
    <w:rsid w:val="00ED3EAF"/>
    <w:rsid w:val="00ED3ED0"/>
    <w:rsid w:val="00ED3F1A"/>
    <w:rsid w:val="00ED40C1"/>
    <w:rsid w:val="00ED4181"/>
    <w:rsid w:val="00ED4218"/>
    <w:rsid w:val="00ED441D"/>
    <w:rsid w:val="00ED4568"/>
    <w:rsid w:val="00ED4672"/>
    <w:rsid w:val="00ED4973"/>
    <w:rsid w:val="00ED4A8B"/>
    <w:rsid w:val="00ED4B6A"/>
    <w:rsid w:val="00ED4C2F"/>
    <w:rsid w:val="00ED4C45"/>
    <w:rsid w:val="00ED4E3B"/>
    <w:rsid w:val="00ED4EC0"/>
    <w:rsid w:val="00ED4FBB"/>
    <w:rsid w:val="00ED5015"/>
    <w:rsid w:val="00ED5047"/>
    <w:rsid w:val="00ED515E"/>
    <w:rsid w:val="00ED5197"/>
    <w:rsid w:val="00ED5462"/>
    <w:rsid w:val="00ED557F"/>
    <w:rsid w:val="00ED558E"/>
    <w:rsid w:val="00ED5675"/>
    <w:rsid w:val="00ED56C1"/>
    <w:rsid w:val="00ED5744"/>
    <w:rsid w:val="00ED57F1"/>
    <w:rsid w:val="00ED582E"/>
    <w:rsid w:val="00ED58D2"/>
    <w:rsid w:val="00ED59BD"/>
    <w:rsid w:val="00ED5AC2"/>
    <w:rsid w:val="00ED5BC2"/>
    <w:rsid w:val="00ED6000"/>
    <w:rsid w:val="00ED6010"/>
    <w:rsid w:val="00ED6057"/>
    <w:rsid w:val="00ED617B"/>
    <w:rsid w:val="00ED6686"/>
    <w:rsid w:val="00ED678A"/>
    <w:rsid w:val="00ED6972"/>
    <w:rsid w:val="00ED6AF9"/>
    <w:rsid w:val="00ED6B35"/>
    <w:rsid w:val="00ED6B5E"/>
    <w:rsid w:val="00ED6D8D"/>
    <w:rsid w:val="00ED6F0E"/>
    <w:rsid w:val="00ED6F96"/>
    <w:rsid w:val="00ED70F3"/>
    <w:rsid w:val="00ED720E"/>
    <w:rsid w:val="00ED73B8"/>
    <w:rsid w:val="00ED7781"/>
    <w:rsid w:val="00ED7858"/>
    <w:rsid w:val="00ED78FD"/>
    <w:rsid w:val="00ED7B4E"/>
    <w:rsid w:val="00ED7CE2"/>
    <w:rsid w:val="00ED7D5A"/>
    <w:rsid w:val="00EE0012"/>
    <w:rsid w:val="00EE0062"/>
    <w:rsid w:val="00EE0090"/>
    <w:rsid w:val="00EE0187"/>
    <w:rsid w:val="00EE0466"/>
    <w:rsid w:val="00EE0656"/>
    <w:rsid w:val="00EE0875"/>
    <w:rsid w:val="00EE08AC"/>
    <w:rsid w:val="00EE09FF"/>
    <w:rsid w:val="00EE0A33"/>
    <w:rsid w:val="00EE0BAD"/>
    <w:rsid w:val="00EE0BBA"/>
    <w:rsid w:val="00EE0C2E"/>
    <w:rsid w:val="00EE0D4C"/>
    <w:rsid w:val="00EE0ECD"/>
    <w:rsid w:val="00EE0F50"/>
    <w:rsid w:val="00EE10DA"/>
    <w:rsid w:val="00EE1136"/>
    <w:rsid w:val="00EE119A"/>
    <w:rsid w:val="00EE11B7"/>
    <w:rsid w:val="00EE12C5"/>
    <w:rsid w:val="00EE15BB"/>
    <w:rsid w:val="00EE16A4"/>
    <w:rsid w:val="00EE1A46"/>
    <w:rsid w:val="00EE1B50"/>
    <w:rsid w:val="00EE1E88"/>
    <w:rsid w:val="00EE21E8"/>
    <w:rsid w:val="00EE221E"/>
    <w:rsid w:val="00EE22C3"/>
    <w:rsid w:val="00EE2409"/>
    <w:rsid w:val="00EE245F"/>
    <w:rsid w:val="00EE2658"/>
    <w:rsid w:val="00EE267D"/>
    <w:rsid w:val="00EE2872"/>
    <w:rsid w:val="00EE2B1E"/>
    <w:rsid w:val="00EE2B6A"/>
    <w:rsid w:val="00EE2C34"/>
    <w:rsid w:val="00EE2DAC"/>
    <w:rsid w:val="00EE3105"/>
    <w:rsid w:val="00EE3200"/>
    <w:rsid w:val="00EE32A1"/>
    <w:rsid w:val="00EE3348"/>
    <w:rsid w:val="00EE33A1"/>
    <w:rsid w:val="00EE33DF"/>
    <w:rsid w:val="00EE358D"/>
    <w:rsid w:val="00EE35AB"/>
    <w:rsid w:val="00EE360F"/>
    <w:rsid w:val="00EE377F"/>
    <w:rsid w:val="00EE3787"/>
    <w:rsid w:val="00EE389F"/>
    <w:rsid w:val="00EE3948"/>
    <w:rsid w:val="00EE3C53"/>
    <w:rsid w:val="00EE3C5E"/>
    <w:rsid w:val="00EE3D0F"/>
    <w:rsid w:val="00EE3D2C"/>
    <w:rsid w:val="00EE402A"/>
    <w:rsid w:val="00EE4610"/>
    <w:rsid w:val="00EE4783"/>
    <w:rsid w:val="00EE47EF"/>
    <w:rsid w:val="00EE4A0E"/>
    <w:rsid w:val="00EE4A8C"/>
    <w:rsid w:val="00EE4AB7"/>
    <w:rsid w:val="00EE4C02"/>
    <w:rsid w:val="00EE4DDF"/>
    <w:rsid w:val="00EE4E89"/>
    <w:rsid w:val="00EE4EAB"/>
    <w:rsid w:val="00EE5008"/>
    <w:rsid w:val="00EE50BD"/>
    <w:rsid w:val="00EE5110"/>
    <w:rsid w:val="00EE5135"/>
    <w:rsid w:val="00EE51E3"/>
    <w:rsid w:val="00EE5261"/>
    <w:rsid w:val="00EE52AD"/>
    <w:rsid w:val="00EE53AF"/>
    <w:rsid w:val="00EE54DB"/>
    <w:rsid w:val="00EE5511"/>
    <w:rsid w:val="00EE5592"/>
    <w:rsid w:val="00EE5647"/>
    <w:rsid w:val="00EE565B"/>
    <w:rsid w:val="00EE5678"/>
    <w:rsid w:val="00EE56F8"/>
    <w:rsid w:val="00EE5819"/>
    <w:rsid w:val="00EE58B8"/>
    <w:rsid w:val="00EE5BB7"/>
    <w:rsid w:val="00EE5C97"/>
    <w:rsid w:val="00EE5D5F"/>
    <w:rsid w:val="00EE6050"/>
    <w:rsid w:val="00EE633A"/>
    <w:rsid w:val="00EE63B9"/>
    <w:rsid w:val="00EE66C4"/>
    <w:rsid w:val="00EE66D4"/>
    <w:rsid w:val="00EE687E"/>
    <w:rsid w:val="00EE6916"/>
    <w:rsid w:val="00EE694D"/>
    <w:rsid w:val="00EE6A38"/>
    <w:rsid w:val="00EE6AE7"/>
    <w:rsid w:val="00EE6AE8"/>
    <w:rsid w:val="00EE6BED"/>
    <w:rsid w:val="00EE6BF6"/>
    <w:rsid w:val="00EE6C9D"/>
    <w:rsid w:val="00EE6CD8"/>
    <w:rsid w:val="00EE6CDC"/>
    <w:rsid w:val="00EE6CE8"/>
    <w:rsid w:val="00EE6E76"/>
    <w:rsid w:val="00EE6F4D"/>
    <w:rsid w:val="00EE6FAC"/>
    <w:rsid w:val="00EE6FBE"/>
    <w:rsid w:val="00EE7009"/>
    <w:rsid w:val="00EE700E"/>
    <w:rsid w:val="00EE70BB"/>
    <w:rsid w:val="00EE7146"/>
    <w:rsid w:val="00EE7222"/>
    <w:rsid w:val="00EE7240"/>
    <w:rsid w:val="00EE737E"/>
    <w:rsid w:val="00EE73C7"/>
    <w:rsid w:val="00EE73E9"/>
    <w:rsid w:val="00EE745A"/>
    <w:rsid w:val="00EE74A0"/>
    <w:rsid w:val="00EE74D9"/>
    <w:rsid w:val="00EE75FB"/>
    <w:rsid w:val="00EE7760"/>
    <w:rsid w:val="00EE77AD"/>
    <w:rsid w:val="00EE7A13"/>
    <w:rsid w:val="00EE7A14"/>
    <w:rsid w:val="00EE7B2D"/>
    <w:rsid w:val="00EE7BC6"/>
    <w:rsid w:val="00EE7BDF"/>
    <w:rsid w:val="00EE7C0D"/>
    <w:rsid w:val="00EE7C9A"/>
    <w:rsid w:val="00EE7DBE"/>
    <w:rsid w:val="00EE7DDF"/>
    <w:rsid w:val="00EE7E2C"/>
    <w:rsid w:val="00EE7F79"/>
    <w:rsid w:val="00EE7FB8"/>
    <w:rsid w:val="00EE7FEF"/>
    <w:rsid w:val="00EF0112"/>
    <w:rsid w:val="00EF01B3"/>
    <w:rsid w:val="00EF01FF"/>
    <w:rsid w:val="00EF0216"/>
    <w:rsid w:val="00EF0747"/>
    <w:rsid w:val="00EF07E5"/>
    <w:rsid w:val="00EF0C56"/>
    <w:rsid w:val="00EF0E49"/>
    <w:rsid w:val="00EF0F4D"/>
    <w:rsid w:val="00EF105F"/>
    <w:rsid w:val="00EF113D"/>
    <w:rsid w:val="00EF12BB"/>
    <w:rsid w:val="00EF12E4"/>
    <w:rsid w:val="00EF14A7"/>
    <w:rsid w:val="00EF162C"/>
    <w:rsid w:val="00EF1723"/>
    <w:rsid w:val="00EF1971"/>
    <w:rsid w:val="00EF19C9"/>
    <w:rsid w:val="00EF19D1"/>
    <w:rsid w:val="00EF1A02"/>
    <w:rsid w:val="00EF1B9D"/>
    <w:rsid w:val="00EF1F95"/>
    <w:rsid w:val="00EF1FA9"/>
    <w:rsid w:val="00EF2066"/>
    <w:rsid w:val="00EF209A"/>
    <w:rsid w:val="00EF215B"/>
    <w:rsid w:val="00EF2173"/>
    <w:rsid w:val="00EF218F"/>
    <w:rsid w:val="00EF21B7"/>
    <w:rsid w:val="00EF232D"/>
    <w:rsid w:val="00EF23F6"/>
    <w:rsid w:val="00EF2403"/>
    <w:rsid w:val="00EF2553"/>
    <w:rsid w:val="00EF27D0"/>
    <w:rsid w:val="00EF2802"/>
    <w:rsid w:val="00EF29C5"/>
    <w:rsid w:val="00EF2C03"/>
    <w:rsid w:val="00EF2CE7"/>
    <w:rsid w:val="00EF2E39"/>
    <w:rsid w:val="00EF2FFB"/>
    <w:rsid w:val="00EF303D"/>
    <w:rsid w:val="00EF31B8"/>
    <w:rsid w:val="00EF3322"/>
    <w:rsid w:val="00EF33B3"/>
    <w:rsid w:val="00EF341B"/>
    <w:rsid w:val="00EF3428"/>
    <w:rsid w:val="00EF34B7"/>
    <w:rsid w:val="00EF34D4"/>
    <w:rsid w:val="00EF352A"/>
    <w:rsid w:val="00EF3609"/>
    <w:rsid w:val="00EF360C"/>
    <w:rsid w:val="00EF3808"/>
    <w:rsid w:val="00EF3810"/>
    <w:rsid w:val="00EF397C"/>
    <w:rsid w:val="00EF39D2"/>
    <w:rsid w:val="00EF3C47"/>
    <w:rsid w:val="00EF3D27"/>
    <w:rsid w:val="00EF3D58"/>
    <w:rsid w:val="00EF3D62"/>
    <w:rsid w:val="00EF3E18"/>
    <w:rsid w:val="00EF3EDB"/>
    <w:rsid w:val="00EF4022"/>
    <w:rsid w:val="00EF4023"/>
    <w:rsid w:val="00EF4149"/>
    <w:rsid w:val="00EF417B"/>
    <w:rsid w:val="00EF431A"/>
    <w:rsid w:val="00EF4616"/>
    <w:rsid w:val="00EF46B1"/>
    <w:rsid w:val="00EF4916"/>
    <w:rsid w:val="00EF492B"/>
    <w:rsid w:val="00EF49D5"/>
    <w:rsid w:val="00EF4D21"/>
    <w:rsid w:val="00EF4E54"/>
    <w:rsid w:val="00EF51B2"/>
    <w:rsid w:val="00EF544D"/>
    <w:rsid w:val="00EF5458"/>
    <w:rsid w:val="00EF5516"/>
    <w:rsid w:val="00EF55D0"/>
    <w:rsid w:val="00EF55E4"/>
    <w:rsid w:val="00EF5648"/>
    <w:rsid w:val="00EF58D9"/>
    <w:rsid w:val="00EF59F7"/>
    <w:rsid w:val="00EF5B03"/>
    <w:rsid w:val="00EF5D1A"/>
    <w:rsid w:val="00EF5D7D"/>
    <w:rsid w:val="00EF5DC5"/>
    <w:rsid w:val="00EF5E2F"/>
    <w:rsid w:val="00EF5F9B"/>
    <w:rsid w:val="00EF5FE2"/>
    <w:rsid w:val="00EF60B1"/>
    <w:rsid w:val="00EF61CA"/>
    <w:rsid w:val="00EF6223"/>
    <w:rsid w:val="00EF62AE"/>
    <w:rsid w:val="00EF6358"/>
    <w:rsid w:val="00EF65CB"/>
    <w:rsid w:val="00EF670F"/>
    <w:rsid w:val="00EF6890"/>
    <w:rsid w:val="00EF6A0D"/>
    <w:rsid w:val="00EF6EF7"/>
    <w:rsid w:val="00EF6F34"/>
    <w:rsid w:val="00EF6F3F"/>
    <w:rsid w:val="00EF7249"/>
    <w:rsid w:val="00EF727E"/>
    <w:rsid w:val="00EF73E6"/>
    <w:rsid w:val="00EF74BB"/>
    <w:rsid w:val="00EF75E5"/>
    <w:rsid w:val="00EF7838"/>
    <w:rsid w:val="00EF79F4"/>
    <w:rsid w:val="00EF7A3D"/>
    <w:rsid w:val="00EF7BAA"/>
    <w:rsid w:val="00EF7C65"/>
    <w:rsid w:val="00EF7D59"/>
    <w:rsid w:val="00EF7FD1"/>
    <w:rsid w:val="00F00059"/>
    <w:rsid w:val="00F000A1"/>
    <w:rsid w:val="00F002C4"/>
    <w:rsid w:val="00F003D0"/>
    <w:rsid w:val="00F004E4"/>
    <w:rsid w:val="00F005A8"/>
    <w:rsid w:val="00F005FA"/>
    <w:rsid w:val="00F0067D"/>
    <w:rsid w:val="00F0083A"/>
    <w:rsid w:val="00F0085E"/>
    <w:rsid w:val="00F00987"/>
    <w:rsid w:val="00F00A89"/>
    <w:rsid w:val="00F00AAD"/>
    <w:rsid w:val="00F00E6A"/>
    <w:rsid w:val="00F00F69"/>
    <w:rsid w:val="00F00F7A"/>
    <w:rsid w:val="00F01007"/>
    <w:rsid w:val="00F0109B"/>
    <w:rsid w:val="00F011E0"/>
    <w:rsid w:val="00F012B4"/>
    <w:rsid w:val="00F0132A"/>
    <w:rsid w:val="00F01374"/>
    <w:rsid w:val="00F0155E"/>
    <w:rsid w:val="00F015A1"/>
    <w:rsid w:val="00F015BD"/>
    <w:rsid w:val="00F0172B"/>
    <w:rsid w:val="00F0186B"/>
    <w:rsid w:val="00F01876"/>
    <w:rsid w:val="00F018D0"/>
    <w:rsid w:val="00F01AE4"/>
    <w:rsid w:val="00F01BD0"/>
    <w:rsid w:val="00F01D5E"/>
    <w:rsid w:val="00F01DC6"/>
    <w:rsid w:val="00F01E10"/>
    <w:rsid w:val="00F02066"/>
    <w:rsid w:val="00F021BE"/>
    <w:rsid w:val="00F02276"/>
    <w:rsid w:val="00F025BF"/>
    <w:rsid w:val="00F0268F"/>
    <w:rsid w:val="00F02884"/>
    <w:rsid w:val="00F0296A"/>
    <w:rsid w:val="00F02AD9"/>
    <w:rsid w:val="00F02ADD"/>
    <w:rsid w:val="00F02BD8"/>
    <w:rsid w:val="00F02CE2"/>
    <w:rsid w:val="00F02DDC"/>
    <w:rsid w:val="00F02F0B"/>
    <w:rsid w:val="00F02F4D"/>
    <w:rsid w:val="00F02FC7"/>
    <w:rsid w:val="00F02FE5"/>
    <w:rsid w:val="00F03210"/>
    <w:rsid w:val="00F034AA"/>
    <w:rsid w:val="00F034CF"/>
    <w:rsid w:val="00F03658"/>
    <w:rsid w:val="00F03793"/>
    <w:rsid w:val="00F0379F"/>
    <w:rsid w:val="00F0383C"/>
    <w:rsid w:val="00F03879"/>
    <w:rsid w:val="00F0399B"/>
    <w:rsid w:val="00F039DB"/>
    <w:rsid w:val="00F03ADE"/>
    <w:rsid w:val="00F03F1A"/>
    <w:rsid w:val="00F03F98"/>
    <w:rsid w:val="00F041D0"/>
    <w:rsid w:val="00F041DF"/>
    <w:rsid w:val="00F042D1"/>
    <w:rsid w:val="00F04322"/>
    <w:rsid w:val="00F043C6"/>
    <w:rsid w:val="00F045BB"/>
    <w:rsid w:val="00F0464E"/>
    <w:rsid w:val="00F0496C"/>
    <w:rsid w:val="00F04A73"/>
    <w:rsid w:val="00F04AD9"/>
    <w:rsid w:val="00F04C7A"/>
    <w:rsid w:val="00F04DE0"/>
    <w:rsid w:val="00F04EB1"/>
    <w:rsid w:val="00F04EBF"/>
    <w:rsid w:val="00F04F15"/>
    <w:rsid w:val="00F04FD6"/>
    <w:rsid w:val="00F05036"/>
    <w:rsid w:val="00F051B2"/>
    <w:rsid w:val="00F051BD"/>
    <w:rsid w:val="00F056EE"/>
    <w:rsid w:val="00F05A28"/>
    <w:rsid w:val="00F05BD2"/>
    <w:rsid w:val="00F05F96"/>
    <w:rsid w:val="00F05FEC"/>
    <w:rsid w:val="00F06024"/>
    <w:rsid w:val="00F06056"/>
    <w:rsid w:val="00F06092"/>
    <w:rsid w:val="00F0613B"/>
    <w:rsid w:val="00F06170"/>
    <w:rsid w:val="00F061E2"/>
    <w:rsid w:val="00F0620D"/>
    <w:rsid w:val="00F0625A"/>
    <w:rsid w:val="00F0633D"/>
    <w:rsid w:val="00F063D5"/>
    <w:rsid w:val="00F064D9"/>
    <w:rsid w:val="00F064DF"/>
    <w:rsid w:val="00F0678B"/>
    <w:rsid w:val="00F0679F"/>
    <w:rsid w:val="00F06AAB"/>
    <w:rsid w:val="00F06ADD"/>
    <w:rsid w:val="00F06CAA"/>
    <w:rsid w:val="00F06CEA"/>
    <w:rsid w:val="00F06F0C"/>
    <w:rsid w:val="00F07035"/>
    <w:rsid w:val="00F07164"/>
    <w:rsid w:val="00F0719E"/>
    <w:rsid w:val="00F072F5"/>
    <w:rsid w:val="00F073B5"/>
    <w:rsid w:val="00F0759B"/>
    <w:rsid w:val="00F077C6"/>
    <w:rsid w:val="00F07841"/>
    <w:rsid w:val="00F07A5E"/>
    <w:rsid w:val="00F07BE0"/>
    <w:rsid w:val="00F07C84"/>
    <w:rsid w:val="00F07D1D"/>
    <w:rsid w:val="00F07DCA"/>
    <w:rsid w:val="00F07F65"/>
    <w:rsid w:val="00F1024D"/>
    <w:rsid w:val="00F102AF"/>
    <w:rsid w:val="00F1042E"/>
    <w:rsid w:val="00F1045F"/>
    <w:rsid w:val="00F104A8"/>
    <w:rsid w:val="00F10AF3"/>
    <w:rsid w:val="00F10B50"/>
    <w:rsid w:val="00F10CDB"/>
    <w:rsid w:val="00F10DE1"/>
    <w:rsid w:val="00F10E58"/>
    <w:rsid w:val="00F11017"/>
    <w:rsid w:val="00F110BC"/>
    <w:rsid w:val="00F1113E"/>
    <w:rsid w:val="00F111E8"/>
    <w:rsid w:val="00F1126A"/>
    <w:rsid w:val="00F113FC"/>
    <w:rsid w:val="00F11475"/>
    <w:rsid w:val="00F116D3"/>
    <w:rsid w:val="00F1179F"/>
    <w:rsid w:val="00F11824"/>
    <w:rsid w:val="00F11897"/>
    <w:rsid w:val="00F1197D"/>
    <w:rsid w:val="00F11A40"/>
    <w:rsid w:val="00F11AE1"/>
    <w:rsid w:val="00F11AEF"/>
    <w:rsid w:val="00F11B37"/>
    <w:rsid w:val="00F11C0B"/>
    <w:rsid w:val="00F11C3C"/>
    <w:rsid w:val="00F11CAD"/>
    <w:rsid w:val="00F12002"/>
    <w:rsid w:val="00F1215C"/>
    <w:rsid w:val="00F12226"/>
    <w:rsid w:val="00F12242"/>
    <w:rsid w:val="00F123EF"/>
    <w:rsid w:val="00F124DD"/>
    <w:rsid w:val="00F12529"/>
    <w:rsid w:val="00F12582"/>
    <w:rsid w:val="00F12656"/>
    <w:rsid w:val="00F126C9"/>
    <w:rsid w:val="00F126EC"/>
    <w:rsid w:val="00F126F3"/>
    <w:rsid w:val="00F127B2"/>
    <w:rsid w:val="00F128D7"/>
    <w:rsid w:val="00F12C58"/>
    <w:rsid w:val="00F12CA1"/>
    <w:rsid w:val="00F12E23"/>
    <w:rsid w:val="00F12FBD"/>
    <w:rsid w:val="00F1320E"/>
    <w:rsid w:val="00F13259"/>
    <w:rsid w:val="00F132FA"/>
    <w:rsid w:val="00F133A7"/>
    <w:rsid w:val="00F133CC"/>
    <w:rsid w:val="00F134A3"/>
    <w:rsid w:val="00F135B5"/>
    <w:rsid w:val="00F13BB3"/>
    <w:rsid w:val="00F13EA7"/>
    <w:rsid w:val="00F14090"/>
    <w:rsid w:val="00F142AB"/>
    <w:rsid w:val="00F142BA"/>
    <w:rsid w:val="00F14406"/>
    <w:rsid w:val="00F1443C"/>
    <w:rsid w:val="00F144DD"/>
    <w:rsid w:val="00F145AF"/>
    <w:rsid w:val="00F146EE"/>
    <w:rsid w:val="00F14811"/>
    <w:rsid w:val="00F148A3"/>
    <w:rsid w:val="00F1490A"/>
    <w:rsid w:val="00F14A6B"/>
    <w:rsid w:val="00F14A6D"/>
    <w:rsid w:val="00F14A95"/>
    <w:rsid w:val="00F14AD3"/>
    <w:rsid w:val="00F14B31"/>
    <w:rsid w:val="00F14C23"/>
    <w:rsid w:val="00F14D0F"/>
    <w:rsid w:val="00F14D10"/>
    <w:rsid w:val="00F1505E"/>
    <w:rsid w:val="00F15088"/>
    <w:rsid w:val="00F15207"/>
    <w:rsid w:val="00F1528D"/>
    <w:rsid w:val="00F152A2"/>
    <w:rsid w:val="00F15662"/>
    <w:rsid w:val="00F1578B"/>
    <w:rsid w:val="00F15A01"/>
    <w:rsid w:val="00F15BAC"/>
    <w:rsid w:val="00F15C48"/>
    <w:rsid w:val="00F160CD"/>
    <w:rsid w:val="00F160ED"/>
    <w:rsid w:val="00F162B5"/>
    <w:rsid w:val="00F162C0"/>
    <w:rsid w:val="00F162C5"/>
    <w:rsid w:val="00F1632C"/>
    <w:rsid w:val="00F16433"/>
    <w:rsid w:val="00F16497"/>
    <w:rsid w:val="00F164E1"/>
    <w:rsid w:val="00F1650A"/>
    <w:rsid w:val="00F165D5"/>
    <w:rsid w:val="00F16721"/>
    <w:rsid w:val="00F16927"/>
    <w:rsid w:val="00F1694A"/>
    <w:rsid w:val="00F16B6C"/>
    <w:rsid w:val="00F16C28"/>
    <w:rsid w:val="00F16D26"/>
    <w:rsid w:val="00F16DB5"/>
    <w:rsid w:val="00F170A2"/>
    <w:rsid w:val="00F17248"/>
    <w:rsid w:val="00F17582"/>
    <w:rsid w:val="00F17667"/>
    <w:rsid w:val="00F1776E"/>
    <w:rsid w:val="00F177A9"/>
    <w:rsid w:val="00F17828"/>
    <w:rsid w:val="00F1786D"/>
    <w:rsid w:val="00F178BC"/>
    <w:rsid w:val="00F17938"/>
    <w:rsid w:val="00F17AF3"/>
    <w:rsid w:val="00F17AF7"/>
    <w:rsid w:val="00F17B18"/>
    <w:rsid w:val="00F17C99"/>
    <w:rsid w:val="00F17EEE"/>
    <w:rsid w:val="00F17F5D"/>
    <w:rsid w:val="00F200DA"/>
    <w:rsid w:val="00F20159"/>
    <w:rsid w:val="00F2016D"/>
    <w:rsid w:val="00F2035B"/>
    <w:rsid w:val="00F20408"/>
    <w:rsid w:val="00F2047E"/>
    <w:rsid w:val="00F2049A"/>
    <w:rsid w:val="00F20510"/>
    <w:rsid w:val="00F20576"/>
    <w:rsid w:val="00F20591"/>
    <w:rsid w:val="00F207D7"/>
    <w:rsid w:val="00F208EC"/>
    <w:rsid w:val="00F20A1B"/>
    <w:rsid w:val="00F20A2B"/>
    <w:rsid w:val="00F20A94"/>
    <w:rsid w:val="00F20AA3"/>
    <w:rsid w:val="00F20ABA"/>
    <w:rsid w:val="00F20DA1"/>
    <w:rsid w:val="00F20E42"/>
    <w:rsid w:val="00F20EA9"/>
    <w:rsid w:val="00F21069"/>
    <w:rsid w:val="00F21090"/>
    <w:rsid w:val="00F2118D"/>
    <w:rsid w:val="00F2120F"/>
    <w:rsid w:val="00F21344"/>
    <w:rsid w:val="00F2182A"/>
    <w:rsid w:val="00F2186B"/>
    <w:rsid w:val="00F218C0"/>
    <w:rsid w:val="00F218CA"/>
    <w:rsid w:val="00F219AC"/>
    <w:rsid w:val="00F21C95"/>
    <w:rsid w:val="00F21CB8"/>
    <w:rsid w:val="00F21ED0"/>
    <w:rsid w:val="00F21F0E"/>
    <w:rsid w:val="00F220A5"/>
    <w:rsid w:val="00F2221A"/>
    <w:rsid w:val="00F2228C"/>
    <w:rsid w:val="00F22355"/>
    <w:rsid w:val="00F2239B"/>
    <w:rsid w:val="00F223B5"/>
    <w:rsid w:val="00F224CC"/>
    <w:rsid w:val="00F2255D"/>
    <w:rsid w:val="00F2263A"/>
    <w:rsid w:val="00F2269A"/>
    <w:rsid w:val="00F2285F"/>
    <w:rsid w:val="00F228AB"/>
    <w:rsid w:val="00F229E0"/>
    <w:rsid w:val="00F22A35"/>
    <w:rsid w:val="00F22BB5"/>
    <w:rsid w:val="00F22C13"/>
    <w:rsid w:val="00F22CD9"/>
    <w:rsid w:val="00F22FEE"/>
    <w:rsid w:val="00F2306E"/>
    <w:rsid w:val="00F230F7"/>
    <w:rsid w:val="00F232F5"/>
    <w:rsid w:val="00F237D1"/>
    <w:rsid w:val="00F2385D"/>
    <w:rsid w:val="00F238E2"/>
    <w:rsid w:val="00F23921"/>
    <w:rsid w:val="00F239BB"/>
    <w:rsid w:val="00F23AEE"/>
    <w:rsid w:val="00F23B20"/>
    <w:rsid w:val="00F23BC9"/>
    <w:rsid w:val="00F23CBD"/>
    <w:rsid w:val="00F23D36"/>
    <w:rsid w:val="00F23FA3"/>
    <w:rsid w:val="00F23FDA"/>
    <w:rsid w:val="00F241D3"/>
    <w:rsid w:val="00F24292"/>
    <w:rsid w:val="00F243CC"/>
    <w:rsid w:val="00F244E5"/>
    <w:rsid w:val="00F2451D"/>
    <w:rsid w:val="00F245EA"/>
    <w:rsid w:val="00F2468C"/>
    <w:rsid w:val="00F24710"/>
    <w:rsid w:val="00F2493D"/>
    <w:rsid w:val="00F24A40"/>
    <w:rsid w:val="00F24B4C"/>
    <w:rsid w:val="00F24B63"/>
    <w:rsid w:val="00F24C16"/>
    <w:rsid w:val="00F24E0B"/>
    <w:rsid w:val="00F24F69"/>
    <w:rsid w:val="00F252AE"/>
    <w:rsid w:val="00F25333"/>
    <w:rsid w:val="00F25395"/>
    <w:rsid w:val="00F2548B"/>
    <w:rsid w:val="00F2548F"/>
    <w:rsid w:val="00F255C9"/>
    <w:rsid w:val="00F255F1"/>
    <w:rsid w:val="00F257CE"/>
    <w:rsid w:val="00F25C3C"/>
    <w:rsid w:val="00F25D65"/>
    <w:rsid w:val="00F25F3C"/>
    <w:rsid w:val="00F25F8D"/>
    <w:rsid w:val="00F26019"/>
    <w:rsid w:val="00F2605B"/>
    <w:rsid w:val="00F2620C"/>
    <w:rsid w:val="00F263A7"/>
    <w:rsid w:val="00F26529"/>
    <w:rsid w:val="00F265AF"/>
    <w:rsid w:val="00F2685C"/>
    <w:rsid w:val="00F26B35"/>
    <w:rsid w:val="00F26BDB"/>
    <w:rsid w:val="00F26CFA"/>
    <w:rsid w:val="00F2711A"/>
    <w:rsid w:val="00F2712A"/>
    <w:rsid w:val="00F2712F"/>
    <w:rsid w:val="00F271DE"/>
    <w:rsid w:val="00F2727F"/>
    <w:rsid w:val="00F27338"/>
    <w:rsid w:val="00F2742E"/>
    <w:rsid w:val="00F27461"/>
    <w:rsid w:val="00F275F2"/>
    <w:rsid w:val="00F2770F"/>
    <w:rsid w:val="00F27924"/>
    <w:rsid w:val="00F27A76"/>
    <w:rsid w:val="00F27D8B"/>
    <w:rsid w:val="00F27DE4"/>
    <w:rsid w:val="00F2CDC1"/>
    <w:rsid w:val="00F300EC"/>
    <w:rsid w:val="00F300FA"/>
    <w:rsid w:val="00F301C7"/>
    <w:rsid w:val="00F3057A"/>
    <w:rsid w:val="00F306CB"/>
    <w:rsid w:val="00F30969"/>
    <w:rsid w:val="00F30A64"/>
    <w:rsid w:val="00F30C4F"/>
    <w:rsid w:val="00F30D55"/>
    <w:rsid w:val="00F30EC8"/>
    <w:rsid w:val="00F31099"/>
    <w:rsid w:val="00F310D4"/>
    <w:rsid w:val="00F311B7"/>
    <w:rsid w:val="00F31211"/>
    <w:rsid w:val="00F314EB"/>
    <w:rsid w:val="00F315FD"/>
    <w:rsid w:val="00F316FC"/>
    <w:rsid w:val="00F31711"/>
    <w:rsid w:val="00F31771"/>
    <w:rsid w:val="00F3178A"/>
    <w:rsid w:val="00F318E6"/>
    <w:rsid w:val="00F31E91"/>
    <w:rsid w:val="00F31F13"/>
    <w:rsid w:val="00F3235E"/>
    <w:rsid w:val="00F32A0A"/>
    <w:rsid w:val="00F32A14"/>
    <w:rsid w:val="00F32A56"/>
    <w:rsid w:val="00F32C1A"/>
    <w:rsid w:val="00F32F1F"/>
    <w:rsid w:val="00F331A2"/>
    <w:rsid w:val="00F331B7"/>
    <w:rsid w:val="00F334A5"/>
    <w:rsid w:val="00F3359E"/>
    <w:rsid w:val="00F335DB"/>
    <w:rsid w:val="00F3364E"/>
    <w:rsid w:val="00F339EA"/>
    <w:rsid w:val="00F33A11"/>
    <w:rsid w:val="00F33D22"/>
    <w:rsid w:val="00F33D7B"/>
    <w:rsid w:val="00F33D7E"/>
    <w:rsid w:val="00F33DD3"/>
    <w:rsid w:val="00F33E5D"/>
    <w:rsid w:val="00F3401F"/>
    <w:rsid w:val="00F3402B"/>
    <w:rsid w:val="00F3404A"/>
    <w:rsid w:val="00F34148"/>
    <w:rsid w:val="00F342B9"/>
    <w:rsid w:val="00F342E4"/>
    <w:rsid w:val="00F3435F"/>
    <w:rsid w:val="00F34395"/>
    <w:rsid w:val="00F3443B"/>
    <w:rsid w:val="00F3443E"/>
    <w:rsid w:val="00F3447C"/>
    <w:rsid w:val="00F34484"/>
    <w:rsid w:val="00F344EF"/>
    <w:rsid w:val="00F345E6"/>
    <w:rsid w:val="00F345FF"/>
    <w:rsid w:val="00F347B8"/>
    <w:rsid w:val="00F34911"/>
    <w:rsid w:val="00F34946"/>
    <w:rsid w:val="00F34947"/>
    <w:rsid w:val="00F349D5"/>
    <w:rsid w:val="00F34A26"/>
    <w:rsid w:val="00F34AC7"/>
    <w:rsid w:val="00F34B68"/>
    <w:rsid w:val="00F34D0B"/>
    <w:rsid w:val="00F34DF7"/>
    <w:rsid w:val="00F34E59"/>
    <w:rsid w:val="00F34F09"/>
    <w:rsid w:val="00F3504B"/>
    <w:rsid w:val="00F35170"/>
    <w:rsid w:val="00F351C7"/>
    <w:rsid w:val="00F354F9"/>
    <w:rsid w:val="00F355EF"/>
    <w:rsid w:val="00F35813"/>
    <w:rsid w:val="00F3583A"/>
    <w:rsid w:val="00F358B6"/>
    <w:rsid w:val="00F358E4"/>
    <w:rsid w:val="00F35AD1"/>
    <w:rsid w:val="00F35D49"/>
    <w:rsid w:val="00F3609F"/>
    <w:rsid w:val="00F36257"/>
    <w:rsid w:val="00F3640B"/>
    <w:rsid w:val="00F36468"/>
    <w:rsid w:val="00F36672"/>
    <w:rsid w:val="00F366B2"/>
    <w:rsid w:val="00F36729"/>
    <w:rsid w:val="00F36732"/>
    <w:rsid w:val="00F36742"/>
    <w:rsid w:val="00F36B78"/>
    <w:rsid w:val="00F36D08"/>
    <w:rsid w:val="00F36EB7"/>
    <w:rsid w:val="00F36F63"/>
    <w:rsid w:val="00F37116"/>
    <w:rsid w:val="00F37320"/>
    <w:rsid w:val="00F3732B"/>
    <w:rsid w:val="00F373C1"/>
    <w:rsid w:val="00F37967"/>
    <w:rsid w:val="00F37C38"/>
    <w:rsid w:val="00F37E34"/>
    <w:rsid w:val="00F37E70"/>
    <w:rsid w:val="00F37E96"/>
    <w:rsid w:val="00F4006D"/>
    <w:rsid w:val="00F402AF"/>
    <w:rsid w:val="00F402F4"/>
    <w:rsid w:val="00F403BC"/>
    <w:rsid w:val="00F403D9"/>
    <w:rsid w:val="00F4041A"/>
    <w:rsid w:val="00F404F3"/>
    <w:rsid w:val="00F4070C"/>
    <w:rsid w:val="00F408FB"/>
    <w:rsid w:val="00F40A02"/>
    <w:rsid w:val="00F40D4A"/>
    <w:rsid w:val="00F40DF8"/>
    <w:rsid w:val="00F40EF2"/>
    <w:rsid w:val="00F40FE1"/>
    <w:rsid w:val="00F4106D"/>
    <w:rsid w:val="00F410DB"/>
    <w:rsid w:val="00F41220"/>
    <w:rsid w:val="00F41462"/>
    <w:rsid w:val="00F41483"/>
    <w:rsid w:val="00F416AB"/>
    <w:rsid w:val="00F41756"/>
    <w:rsid w:val="00F4183E"/>
    <w:rsid w:val="00F41B1A"/>
    <w:rsid w:val="00F41DD4"/>
    <w:rsid w:val="00F42021"/>
    <w:rsid w:val="00F42097"/>
    <w:rsid w:val="00F4218A"/>
    <w:rsid w:val="00F4248A"/>
    <w:rsid w:val="00F42654"/>
    <w:rsid w:val="00F427A5"/>
    <w:rsid w:val="00F4283D"/>
    <w:rsid w:val="00F42878"/>
    <w:rsid w:val="00F4292E"/>
    <w:rsid w:val="00F42936"/>
    <w:rsid w:val="00F42D7D"/>
    <w:rsid w:val="00F42E7B"/>
    <w:rsid w:val="00F42F45"/>
    <w:rsid w:val="00F42FB9"/>
    <w:rsid w:val="00F42FCB"/>
    <w:rsid w:val="00F433A2"/>
    <w:rsid w:val="00F433A3"/>
    <w:rsid w:val="00F433E8"/>
    <w:rsid w:val="00F434F8"/>
    <w:rsid w:val="00F4356D"/>
    <w:rsid w:val="00F43729"/>
    <w:rsid w:val="00F43806"/>
    <w:rsid w:val="00F43965"/>
    <w:rsid w:val="00F43A29"/>
    <w:rsid w:val="00F43AB4"/>
    <w:rsid w:val="00F43C31"/>
    <w:rsid w:val="00F43E38"/>
    <w:rsid w:val="00F43E4F"/>
    <w:rsid w:val="00F43F69"/>
    <w:rsid w:val="00F44173"/>
    <w:rsid w:val="00F44174"/>
    <w:rsid w:val="00F44310"/>
    <w:rsid w:val="00F44399"/>
    <w:rsid w:val="00F446B7"/>
    <w:rsid w:val="00F446BB"/>
    <w:rsid w:val="00F446E1"/>
    <w:rsid w:val="00F448AF"/>
    <w:rsid w:val="00F44A2B"/>
    <w:rsid w:val="00F44A74"/>
    <w:rsid w:val="00F44AE3"/>
    <w:rsid w:val="00F44C29"/>
    <w:rsid w:val="00F44D3F"/>
    <w:rsid w:val="00F44DB2"/>
    <w:rsid w:val="00F44E0A"/>
    <w:rsid w:val="00F44E4F"/>
    <w:rsid w:val="00F44EFA"/>
    <w:rsid w:val="00F44F28"/>
    <w:rsid w:val="00F45088"/>
    <w:rsid w:val="00F451DA"/>
    <w:rsid w:val="00F452BB"/>
    <w:rsid w:val="00F4542F"/>
    <w:rsid w:val="00F45650"/>
    <w:rsid w:val="00F457B3"/>
    <w:rsid w:val="00F45865"/>
    <w:rsid w:val="00F45D04"/>
    <w:rsid w:val="00F45E97"/>
    <w:rsid w:val="00F460E9"/>
    <w:rsid w:val="00F46135"/>
    <w:rsid w:val="00F461C7"/>
    <w:rsid w:val="00F4636D"/>
    <w:rsid w:val="00F46470"/>
    <w:rsid w:val="00F464C2"/>
    <w:rsid w:val="00F46875"/>
    <w:rsid w:val="00F468F5"/>
    <w:rsid w:val="00F46A86"/>
    <w:rsid w:val="00F46F7F"/>
    <w:rsid w:val="00F47049"/>
    <w:rsid w:val="00F4707D"/>
    <w:rsid w:val="00F471AA"/>
    <w:rsid w:val="00F47222"/>
    <w:rsid w:val="00F473C0"/>
    <w:rsid w:val="00F473F0"/>
    <w:rsid w:val="00F4744C"/>
    <w:rsid w:val="00F47480"/>
    <w:rsid w:val="00F47630"/>
    <w:rsid w:val="00F4765A"/>
    <w:rsid w:val="00F477FD"/>
    <w:rsid w:val="00F4788D"/>
    <w:rsid w:val="00F478BC"/>
    <w:rsid w:val="00F478D8"/>
    <w:rsid w:val="00F479FE"/>
    <w:rsid w:val="00F47A7D"/>
    <w:rsid w:val="00F47D30"/>
    <w:rsid w:val="00F47D92"/>
    <w:rsid w:val="00F47E2A"/>
    <w:rsid w:val="00F47FE3"/>
    <w:rsid w:val="00F50191"/>
    <w:rsid w:val="00F50249"/>
    <w:rsid w:val="00F502E0"/>
    <w:rsid w:val="00F50534"/>
    <w:rsid w:val="00F50568"/>
    <w:rsid w:val="00F5058A"/>
    <w:rsid w:val="00F505B5"/>
    <w:rsid w:val="00F505D4"/>
    <w:rsid w:val="00F505DC"/>
    <w:rsid w:val="00F507B7"/>
    <w:rsid w:val="00F507F8"/>
    <w:rsid w:val="00F508AC"/>
    <w:rsid w:val="00F508E5"/>
    <w:rsid w:val="00F50919"/>
    <w:rsid w:val="00F50ACF"/>
    <w:rsid w:val="00F50B36"/>
    <w:rsid w:val="00F50CD1"/>
    <w:rsid w:val="00F50DF8"/>
    <w:rsid w:val="00F50E05"/>
    <w:rsid w:val="00F5137A"/>
    <w:rsid w:val="00F51419"/>
    <w:rsid w:val="00F51462"/>
    <w:rsid w:val="00F51681"/>
    <w:rsid w:val="00F5178B"/>
    <w:rsid w:val="00F5189C"/>
    <w:rsid w:val="00F51A0D"/>
    <w:rsid w:val="00F51A6A"/>
    <w:rsid w:val="00F51A6E"/>
    <w:rsid w:val="00F51D58"/>
    <w:rsid w:val="00F52412"/>
    <w:rsid w:val="00F52462"/>
    <w:rsid w:val="00F5253B"/>
    <w:rsid w:val="00F525A6"/>
    <w:rsid w:val="00F52626"/>
    <w:rsid w:val="00F5273A"/>
    <w:rsid w:val="00F52785"/>
    <w:rsid w:val="00F5280D"/>
    <w:rsid w:val="00F52836"/>
    <w:rsid w:val="00F5296D"/>
    <w:rsid w:val="00F52B94"/>
    <w:rsid w:val="00F52C76"/>
    <w:rsid w:val="00F52C85"/>
    <w:rsid w:val="00F52F2D"/>
    <w:rsid w:val="00F52F34"/>
    <w:rsid w:val="00F531EB"/>
    <w:rsid w:val="00F53291"/>
    <w:rsid w:val="00F53292"/>
    <w:rsid w:val="00F533C3"/>
    <w:rsid w:val="00F535B6"/>
    <w:rsid w:val="00F5366F"/>
    <w:rsid w:val="00F53683"/>
    <w:rsid w:val="00F53913"/>
    <w:rsid w:val="00F53AF6"/>
    <w:rsid w:val="00F53B1D"/>
    <w:rsid w:val="00F53C0C"/>
    <w:rsid w:val="00F53C6C"/>
    <w:rsid w:val="00F53E43"/>
    <w:rsid w:val="00F54053"/>
    <w:rsid w:val="00F5431C"/>
    <w:rsid w:val="00F543DC"/>
    <w:rsid w:val="00F5448A"/>
    <w:rsid w:val="00F54796"/>
    <w:rsid w:val="00F548B7"/>
    <w:rsid w:val="00F54B02"/>
    <w:rsid w:val="00F54B29"/>
    <w:rsid w:val="00F54B2D"/>
    <w:rsid w:val="00F54BE7"/>
    <w:rsid w:val="00F54C70"/>
    <w:rsid w:val="00F54E2E"/>
    <w:rsid w:val="00F54E65"/>
    <w:rsid w:val="00F55580"/>
    <w:rsid w:val="00F556ED"/>
    <w:rsid w:val="00F5574D"/>
    <w:rsid w:val="00F557C3"/>
    <w:rsid w:val="00F55897"/>
    <w:rsid w:val="00F55CA7"/>
    <w:rsid w:val="00F55CFF"/>
    <w:rsid w:val="00F55D3D"/>
    <w:rsid w:val="00F55E44"/>
    <w:rsid w:val="00F56576"/>
    <w:rsid w:val="00F56627"/>
    <w:rsid w:val="00F5665F"/>
    <w:rsid w:val="00F568BA"/>
    <w:rsid w:val="00F568E3"/>
    <w:rsid w:val="00F5693D"/>
    <w:rsid w:val="00F56A6F"/>
    <w:rsid w:val="00F56AD9"/>
    <w:rsid w:val="00F56B47"/>
    <w:rsid w:val="00F56DDF"/>
    <w:rsid w:val="00F56E7D"/>
    <w:rsid w:val="00F5708B"/>
    <w:rsid w:val="00F57133"/>
    <w:rsid w:val="00F571D7"/>
    <w:rsid w:val="00F5724C"/>
    <w:rsid w:val="00F572EE"/>
    <w:rsid w:val="00F574B5"/>
    <w:rsid w:val="00F57513"/>
    <w:rsid w:val="00F57550"/>
    <w:rsid w:val="00F576BF"/>
    <w:rsid w:val="00F57752"/>
    <w:rsid w:val="00F5778C"/>
    <w:rsid w:val="00F577ED"/>
    <w:rsid w:val="00F57AF0"/>
    <w:rsid w:val="00F57C1E"/>
    <w:rsid w:val="00F57E19"/>
    <w:rsid w:val="00F57EBB"/>
    <w:rsid w:val="00F60099"/>
    <w:rsid w:val="00F6015A"/>
    <w:rsid w:val="00F6016A"/>
    <w:rsid w:val="00F6028E"/>
    <w:rsid w:val="00F60310"/>
    <w:rsid w:val="00F60608"/>
    <w:rsid w:val="00F6085B"/>
    <w:rsid w:val="00F60929"/>
    <w:rsid w:val="00F60E5F"/>
    <w:rsid w:val="00F60ED9"/>
    <w:rsid w:val="00F60F02"/>
    <w:rsid w:val="00F60FC4"/>
    <w:rsid w:val="00F61117"/>
    <w:rsid w:val="00F6113F"/>
    <w:rsid w:val="00F612A1"/>
    <w:rsid w:val="00F612B6"/>
    <w:rsid w:val="00F61316"/>
    <w:rsid w:val="00F61615"/>
    <w:rsid w:val="00F61636"/>
    <w:rsid w:val="00F616E0"/>
    <w:rsid w:val="00F618AC"/>
    <w:rsid w:val="00F61925"/>
    <w:rsid w:val="00F6197C"/>
    <w:rsid w:val="00F61B8B"/>
    <w:rsid w:val="00F61BF3"/>
    <w:rsid w:val="00F61D86"/>
    <w:rsid w:val="00F61E06"/>
    <w:rsid w:val="00F620F3"/>
    <w:rsid w:val="00F62328"/>
    <w:rsid w:val="00F624D8"/>
    <w:rsid w:val="00F62580"/>
    <w:rsid w:val="00F62989"/>
    <w:rsid w:val="00F62A56"/>
    <w:rsid w:val="00F62B79"/>
    <w:rsid w:val="00F62B9B"/>
    <w:rsid w:val="00F62D26"/>
    <w:rsid w:val="00F62DE2"/>
    <w:rsid w:val="00F62E2F"/>
    <w:rsid w:val="00F62E59"/>
    <w:rsid w:val="00F6304C"/>
    <w:rsid w:val="00F63064"/>
    <w:rsid w:val="00F63152"/>
    <w:rsid w:val="00F6319E"/>
    <w:rsid w:val="00F632EB"/>
    <w:rsid w:val="00F633BE"/>
    <w:rsid w:val="00F6349A"/>
    <w:rsid w:val="00F63614"/>
    <w:rsid w:val="00F639C7"/>
    <w:rsid w:val="00F639D9"/>
    <w:rsid w:val="00F63B80"/>
    <w:rsid w:val="00F63CDB"/>
    <w:rsid w:val="00F63D07"/>
    <w:rsid w:val="00F63DB7"/>
    <w:rsid w:val="00F63EA7"/>
    <w:rsid w:val="00F64103"/>
    <w:rsid w:val="00F641D4"/>
    <w:rsid w:val="00F641F9"/>
    <w:rsid w:val="00F64262"/>
    <w:rsid w:val="00F64340"/>
    <w:rsid w:val="00F64348"/>
    <w:rsid w:val="00F645A1"/>
    <w:rsid w:val="00F6475B"/>
    <w:rsid w:val="00F647D1"/>
    <w:rsid w:val="00F64ACE"/>
    <w:rsid w:val="00F64BCD"/>
    <w:rsid w:val="00F64CA2"/>
    <w:rsid w:val="00F64CA3"/>
    <w:rsid w:val="00F64D43"/>
    <w:rsid w:val="00F64FA5"/>
    <w:rsid w:val="00F65014"/>
    <w:rsid w:val="00F65283"/>
    <w:rsid w:val="00F6538B"/>
    <w:rsid w:val="00F65559"/>
    <w:rsid w:val="00F6555D"/>
    <w:rsid w:val="00F656CE"/>
    <w:rsid w:val="00F6595C"/>
    <w:rsid w:val="00F65C57"/>
    <w:rsid w:val="00F65DB2"/>
    <w:rsid w:val="00F65F34"/>
    <w:rsid w:val="00F65FAF"/>
    <w:rsid w:val="00F66004"/>
    <w:rsid w:val="00F66276"/>
    <w:rsid w:val="00F662D6"/>
    <w:rsid w:val="00F662F0"/>
    <w:rsid w:val="00F6640C"/>
    <w:rsid w:val="00F66523"/>
    <w:rsid w:val="00F6656E"/>
    <w:rsid w:val="00F66683"/>
    <w:rsid w:val="00F667A8"/>
    <w:rsid w:val="00F667AD"/>
    <w:rsid w:val="00F66814"/>
    <w:rsid w:val="00F66849"/>
    <w:rsid w:val="00F66B6C"/>
    <w:rsid w:val="00F66BB5"/>
    <w:rsid w:val="00F66CA8"/>
    <w:rsid w:val="00F66E2B"/>
    <w:rsid w:val="00F66E46"/>
    <w:rsid w:val="00F6708B"/>
    <w:rsid w:val="00F67189"/>
    <w:rsid w:val="00F673A7"/>
    <w:rsid w:val="00F674F0"/>
    <w:rsid w:val="00F6773C"/>
    <w:rsid w:val="00F6774D"/>
    <w:rsid w:val="00F677CE"/>
    <w:rsid w:val="00F677D4"/>
    <w:rsid w:val="00F67994"/>
    <w:rsid w:val="00F67B56"/>
    <w:rsid w:val="00F67D63"/>
    <w:rsid w:val="00F67EA1"/>
    <w:rsid w:val="00F67EA5"/>
    <w:rsid w:val="00F67F88"/>
    <w:rsid w:val="00F67FC3"/>
    <w:rsid w:val="00F70166"/>
    <w:rsid w:val="00F701A5"/>
    <w:rsid w:val="00F701AF"/>
    <w:rsid w:val="00F702B4"/>
    <w:rsid w:val="00F7030A"/>
    <w:rsid w:val="00F7030E"/>
    <w:rsid w:val="00F7052A"/>
    <w:rsid w:val="00F707D5"/>
    <w:rsid w:val="00F70A65"/>
    <w:rsid w:val="00F70AE9"/>
    <w:rsid w:val="00F70BBC"/>
    <w:rsid w:val="00F70C98"/>
    <w:rsid w:val="00F70CA2"/>
    <w:rsid w:val="00F70D83"/>
    <w:rsid w:val="00F70F59"/>
    <w:rsid w:val="00F71008"/>
    <w:rsid w:val="00F71119"/>
    <w:rsid w:val="00F711D5"/>
    <w:rsid w:val="00F712C2"/>
    <w:rsid w:val="00F71332"/>
    <w:rsid w:val="00F71342"/>
    <w:rsid w:val="00F7142C"/>
    <w:rsid w:val="00F7149B"/>
    <w:rsid w:val="00F7150B"/>
    <w:rsid w:val="00F7163C"/>
    <w:rsid w:val="00F7167B"/>
    <w:rsid w:val="00F71797"/>
    <w:rsid w:val="00F717C1"/>
    <w:rsid w:val="00F71AAC"/>
    <w:rsid w:val="00F71B7C"/>
    <w:rsid w:val="00F71CE2"/>
    <w:rsid w:val="00F71DC6"/>
    <w:rsid w:val="00F71E48"/>
    <w:rsid w:val="00F71F32"/>
    <w:rsid w:val="00F71F66"/>
    <w:rsid w:val="00F720AF"/>
    <w:rsid w:val="00F72151"/>
    <w:rsid w:val="00F72290"/>
    <w:rsid w:val="00F7250D"/>
    <w:rsid w:val="00F7252C"/>
    <w:rsid w:val="00F72678"/>
    <w:rsid w:val="00F7270F"/>
    <w:rsid w:val="00F72C4D"/>
    <w:rsid w:val="00F72DC8"/>
    <w:rsid w:val="00F72EB0"/>
    <w:rsid w:val="00F72FBC"/>
    <w:rsid w:val="00F733B8"/>
    <w:rsid w:val="00F73400"/>
    <w:rsid w:val="00F73553"/>
    <w:rsid w:val="00F7376F"/>
    <w:rsid w:val="00F737CC"/>
    <w:rsid w:val="00F738C4"/>
    <w:rsid w:val="00F739C4"/>
    <w:rsid w:val="00F73D60"/>
    <w:rsid w:val="00F73F70"/>
    <w:rsid w:val="00F73FB5"/>
    <w:rsid w:val="00F7400D"/>
    <w:rsid w:val="00F7408C"/>
    <w:rsid w:val="00F74327"/>
    <w:rsid w:val="00F7444A"/>
    <w:rsid w:val="00F74456"/>
    <w:rsid w:val="00F74476"/>
    <w:rsid w:val="00F744CA"/>
    <w:rsid w:val="00F74593"/>
    <w:rsid w:val="00F745A6"/>
    <w:rsid w:val="00F746D7"/>
    <w:rsid w:val="00F74759"/>
    <w:rsid w:val="00F74794"/>
    <w:rsid w:val="00F7488A"/>
    <w:rsid w:val="00F748BA"/>
    <w:rsid w:val="00F74939"/>
    <w:rsid w:val="00F74956"/>
    <w:rsid w:val="00F74A0D"/>
    <w:rsid w:val="00F74ADB"/>
    <w:rsid w:val="00F74BCD"/>
    <w:rsid w:val="00F75111"/>
    <w:rsid w:val="00F75117"/>
    <w:rsid w:val="00F75151"/>
    <w:rsid w:val="00F7519E"/>
    <w:rsid w:val="00F751E3"/>
    <w:rsid w:val="00F75216"/>
    <w:rsid w:val="00F7529F"/>
    <w:rsid w:val="00F75396"/>
    <w:rsid w:val="00F75432"/>
    <w:rsid w:val="00F755C4"/>
    <w:rsid w:val="00F75621"/>
    <w:rsid w:val="00F758E6"/>
    <w:rsid w:val="00F759B9"/>
    <w:rsid w:val="00F75B29"/>
    <w:rsid w:val="00F75CAB"/>
    <w:rsid w:val="00F75D87"/>
    <w:rsid w:val="00F75DE5"/>
    <w:rsid w:val="00F75E30"/>
    <w:rsid w:val="00F75F08"/>
    <w:rsid w:val="00F75F63"/>
    <w:rsid w:val="00F7604B"/>
    <w:rsid w:val="00F7605E"/>
    <w:rsid w:val="00F76226"/>
    <w:rsid w:val="00F76347"/>
    <w:rsid w:val="00F76493"/>
    <w:rsid w:val="00F7668F"/>
    <w:rsid w:val="00F766F1"/>
    <w:rsid w:val="00F76809"/>
    <w:rsid w:val="00F7683C"/>
    <w:rsid w:val="00F76EC0"/>
    <w:rsid w:val="00F76EF3"/>
    <w:rsid w:val="00F77387"/>
    <w:rsid w:val="00F77585"/>
    <w:rsid w:val="00F77656"/>
    <w:rsid w:val="00F77894"/>
    <w:rsid w:val="00F77B15"/>
    <w:rsid w:val="00F77C21"/>
    <w:rsid w:val="00F77E7A"/>
    <w:rsid w:val="00F77EB7"/>
    <w:rsid w:val="00F800E7"/>
    <w:rsid w:val="00F8010A"/>
    <w:rsid w:val="00F80185"/>
    <w:rsid w:val="00F8020E"/>
    <w:rsid w:val="00F80303"/>
    <w:rsid w:val="00F804CF"/>
    <w:rsid w:val="00F807F1"/>
    <w:rsid w:val="00F80CC4"/>
    <w:rsid w:val="00F80CEE"/>
    <w:rsid w:val="00F80DB2"/>
    <w:rsid w:val="00F80E2E"/>
    <w:rsid w:val="00F80F84"/>
    <w:rsid w:val="00F81065"/>
    <w:rsid w:val="00F8128D"/>
    <w:rsid w:val="00F812A7"/>
    <w:rsid w:val="00F813E7"/>
    <w:rsid w:val="00F8148A"/>
    <w:rsid w:val="00F81617"/>
    <w:rsid w:val="00F819B2"/>
    <w:rsid w:val="00F819BA"/>
    <w:rsid w:val="00F81AB1"/>
    <w:rsid w:val="00F81B6D"/>
    <w:rsid w:val="00F81C0B"/>
    <w:rsid w:val="00F81C74"/>
    <w:rsid w:val="00F81F3D"/>
    <w:rsid w:val="00F82035"/>
    <w:rsid w:val="00F82174"/>
    <w:rsid w:val="00F821CD"/>
    <w:rsid w:val="00F822B3"/>
    <w:rsid w:val="00F824F8"/>
    <w:rsid w:val="00F8259A"/>
    <w:rsid w:val="00F82682"/>
    <w:rsid w:val="00F827FF"/>
    <w:rsid w:val="00F82924"/>
    <w:rsid w:val="00F829B2"/>
    <w:rsid w:val="00F82A12"/>
    <w:rsid w:val="00F82AD5"/>
    <w:rsid w:val="00F82C55"/>
    <w:rsid w:val="00F82D49"/>
    <w:rsid w:val="00F82F41"/>
    <w:rsid w:val="00F83261"/>
    <w:rsid w:val="00F8335C"/>
    <w:rsid w:val="00F8336B"/>
    <w:rsid w:val="00F83696"/>
    <w:rsid w:val="00F83883"/>
    <w:rsid w:val="00F83974"/>
    <w:rsid w:val="00F83AAC"/>
    <w:rsid w:val="00F83CA4"/>
    <w:rsid w:val="00F83D41"/>
    <w:rsid w:val="00F83EA2"/>
    <w:rsid w:val="00F83F70"/>
    <w:rsid w:val="00F83FB9"/>
    <w:rsid w:val="00F840BB"/>
    <w:rsid w:val="00F84277"/>
    <w:rsid w:val="00F84317"/>
    <w:rsid w:val="00F84354"/>
    <w:rsid w:val="00F8458E"/>
    <w:rsid w:val="00F8459B"/>
    <w:rsid w:val="00F8498F"/>
    <w:rsid w:val="00F849CC"/>
    <w:rsid w:val="00F84A5A"/>
    <w:rsid w:val="00F84C34"/>
    <w:rsid w:val="00F84C53"/>
    <w:rsid w:val="00F84D31"/>
    <w:rsid w:val="00F84D88"/>
    <w:rsid w:val="00F84F19"/>
    <w:rsid w:val="00F850AE"/>
    <w:rsid w:val="00F851DA"/>
    <w:rsid w:val="00F85209"/>
    <w:rsid w:val="00F85360"/>
    <w:rsid w:val="00F85587"/>
    <w:rsid w:val="00F855C0"/>
    <w:rsid w:val="00F8563A"/>
    <w:rsid w:val="00F85888"/>
    <w:rsid w:val="00F858FE"/>
    <w:rsid w:val="00F859CF"/>
    <w:rsid w:val="00F85C8F"/>
    <w:rsid w:val="00F85CCD"/>
    <w:rsid w:val="00F85EE8"/>
    <w:rsid w:val="00F86056"/>
    <w:rsid w:val="00F8643B"/>
    <w:rsid w:val="00F865BF"/>
    <w:rsid w:val="00F865C1"/>
    <w:rsid w:val="00F86839"/>
    <w:rsid w:val="00F868BE"/>
    <w:rsid w:val="00F869A0"/>
    <w:rsid w:val="00F86BD8"/>
    <w:rsid w:val="00F86F20"/>
    <w:rsid w:val="00F86F3D"/>
    <w:rsid w:val="00F8704B"/>
    <w:rsid w:val="00F87211"/>
    <w:rsid w:val="00F8728B"/>
    <w:rsid w:val="00F872CA"/>
    <w:rsid w:val="00F873A0"/>
    <w:rsid w:val="00F873D2"/>
    <w:rsid w:val="00F8742E"/>
    <w:rsid w:val="00F874FB"/>
    <w:rsid w:val="00F87550"/>
    <w:rsid w:val="00F875CF"/>
    <w:rsid w:val="00F876ED"/>
    <w:rsid w:val="00F8789A"/>
    <w:rsid w:val="00F87BC8"/>
    <w:rsid w:val="00F87CEB"/>
    <w:rsid w:val="00F87E29"/>
    <w:rsid w:val="00F87F47"/>
    <w:rsid w:val="00F87FD8"/>
    <w:rsid w:val="00F9008D"/>
    <w:rsid w:val="00F900AA"/>
    <w:rsid w:val="00F901F5"/>
    <w:rsid w:val="00F90249"/>
    <w:rsid w:val="00F902CD"/>
    <w:rsid w:val="00F90326"/>
    <w:rsid w:val="00F9038A"/>
    <w:rsid w:val="00F904E7"/>
    <w:rsid w:val="00F90720"/>
    <w:rsid w:val="00F909E8"/>
    <w:rsid w:val="00F90D67"/>
    <w:rsid w:val="00F90E2A"/>
    <w:rsid w:val="00F90E54"/>
    <w:rsid w:val="00F90F69"/>
    <w:rsid w:val="00F9107C"/>
    <w:rsid w:val="00F91136"/>
    <w:rsid w:val="00F91176"/>
    <w:rsid w:val="00F9122D"/>
    <w:rsid w:val="00F91372"/>
    <w:rsid w:val="00F91452"/>
    <w:rsid w:val="00F91854"/>
    <w:rsid w:val="00F918AB"/>
    <w:rsid w:val="00F91959"/>
    <w:rsid w:val="00F919F1"/>
    <w:rsid w:val="00F91D21"/>
    <w:rsid w:val="00F91E6D"/>
    <w:rsid w:val="00F91E7B"/>
    <w:rsid w:val="00F91EA5"/>
    <w:rsid w:val="00F91EB5"/>
    <w:rsid w:val="00F92068"/>
    <w:rsid w:val="00F92229"/>
    <w:rsid w:val="00F92413"/>
    <w:rsid w:val="00F92434"/>
    <w:rsid w:val="00F92574"/>
    <w:rsid w:val="00F925C2"/>
    <w:rsid w:val="00F92634"/>
    <w:rsid w:val="00F92742"/>
    <w:rsid w:val="00F92830"/>
    <w:rsid w:val="00F92A59"/>
    <w:rsid w:val="00F92BA5"/>
    <w:rsid w:val="00F92C13"/>
    <w:rsid w:val="00F92C24"/>
    <w:rsid w:val="00F92D1D"/>
    <w:rsid w:val="00F92E7C"/>
    <w:rsid w:val="00F92F35"/>
    <w:rsid w:val="00F93023"/>
    <w:rsid w:val="00F9328F"/>
    <w:rsid w:val="00F933C2"/>
    <w:rsid w:val="00F9345E"/>
    <w:rsid w:val="00F9347E"/>
    <w:rsid w:val="00F9352D"/>
    <w:rsid w:val="00F9361D"/>
    <w:rsid w:val="00F93645"/>
    <w:rsid w:val="00F936CF"/>
    <w:rsid w:val="00F9386A"/>
    <w:rsid w:val="00F93A64"/>
    <w:rsid w:val="00F93B0F"/>
    <w:rsid w:val="00F93E06"/>
    <w:rsid w:val="00F93F2B"/>
    <w:rsid w:val="00F93F8B"/>
    <w:rsid w:val="00F9411C"/>
    <w:rsid w:val="00F9422A"/>
    <w:rsid w:val="00F9447E"/>
    <w:rsid w:val="00F944E5"/>
    <w:rsid w:val="00F9459D"/>
    <w:rsid w:val="00F94695"/>
    <w:rsid w:val="00F94831"/>
    <w:rsid w:val="00F9497B"/>
    <w:rsid w:val="00F94A34"/>
    <w:rsid w:val="00F94B5D"/>
    <w:rsid w:val="00F94BA4"/>
    <w:rsid w:val="00F94EE4"/>
    <w:rsid w:val="00F94FE1"/>
    <w:rsid w:val="00F95060"/>
    <w:rsid w:val="00F9506B"/>
    <w:rsid w:val="00F950E5"/>
    <w:rsid w:val="00F954F5"/>
    <w:rsid w:val="00F95539"/>
    <w:rsid w:val="00F95690"/>
    <w:rsid w:val="00F95718"/>
    <w:rsid w:val="00F9590D"/>
    <w:rsid w:val="00F9591F"/>
    <w:rsid w:val="00F959BF"/>
    <w:rsid w:val="00F959DE"/>
    <w:rsid w:val="00F95C2F"/>
    <w:rsid w:val="00F95CA6"/>
    <w:rsid w:val="00F95CA9"/>
    <w:rsid w:val="00F95D0B"/>
    <w:rsid w:val="00F95D30"/>
    <w:rsid w:val="00F95EEE"/>
    <w:rsid w:val="00F96079"/>
    <w:rsid w:val="00F96087"/>
    <w:rsid w:val="00F960DB"/>
    <w:rsid w:val="00F960F4"/>
    <w:rsid w:val="00F96144"/>
    <w:rsid w:val="00F9618D"/>
    <w:rsid w:val="00F961DB"/>
    <w:rsid w:val="00F9622F"/>
    <w:rsid w:val="00F962C5"/>
    <w:rsid w:val="00F963A8"/>
    <w:rsid w:val="00F963D5"/>
    <w:rsid w:val="00F965AF"/>
    <w:rsid w:val="00F96651"/>
    <w:rsid w:val="00F967A7"/>
    <w:rsid w:val="00F967E2"/>
    <w:rsid w:val="00F96821"/>
    <w:rsid w:val="00F96A5B"/>
    <w:rsid w:val="00F96D32"/>
    <w:rsid w:val="00F970C4"/>
    <w:rsid w:val="00F970CB"/>
    <w:rsid w:val="00F97143"/>
    <w:rsid w:val="00F97228"/>
    <w:rsid w:val="00F972AA"/>
    <w:rsid w:val="00F974EC"/>
    <w:rsid w:val="00F97505"/>
    <w:rsid w:val="00F97726"/>
    <w:rsid w:val="00F9779E"/>
    <w:rsid w:val="00F978A7"/>
    <w:rsid w:val="00F978B4"/>
    <w:rsid w:val="00F97A11"/>
    <w:rsid w:val="00F97A28"/>
    <w:rsid w:val="00F97A93"/>
    <w:rsid w:val="00F97B4B"/>
    <w:rsid w:val="00F97C1D"/>
    <w:rsid w:val="00F97E76"/>
    <w:rsid w:val="00FA016A"/>
    <w:rsid w:val="00FA034C"/>
    <w:rsid w:val="00FA03EF"/>
    <w:rsid w:val="00FA068B"/>
    <w:rsid w:val="00FA081B"/>
    <w:rsid w:val="00FA08C9"/>
    <w:rsid w:val="00FA09B7"/>
    <w:rsid w:val="00FA09EE"/>
    <w:rsid w:val="00FA0AFB"/>
    <w:rsid w:val="00FA0C3C"/>
    <w:rsid w:val="00FA0E2C"/>
    <w:rsid w:val="00FA0E31"/>
    <w:rsid w:val="00FA102F"/>
    <w:rsid w:val="00FA10A1"/>
    <w:rsid w:val="00FA12D8"/>
    <w:rsid w:val="00FA12E7"/>
    <w:rsid w:val="00FA133B"/>
    <w:rsid w:val="00FA1573"/>
    <w:rsid w:val="00FA158E"/>
    <w:rsid w:val="00FA1A48"/>
    <w:rsid w:val="00FA1AB5"/>
    <w:rsid w:val="00FA1BD2"/>
    <w:rsid w:val="00FA1C18"/>
    <w:rsid w:val="00FA1D13"/>
    <w:rsid w:val="00FA1D4D"/>
    <w:rsid w:val="00FA1E42"/>
    <w:rsid w:val="00FA1F15"/>
    <w:rsid w:val="00FA2486"/>
    <w:rsid w:val="00FA2570"/>
    <w:rsid w:val="00FA25A3"/>
    <w:rsid w:val="00FA2867"/>
    <w:rsid w:val="00FA2AE0"/>
    <w:rsid w:val="00FA2AE8"/>
    <w:rsid w:val="00FA2BF9"/>
    <w:rsid w:val="00FA2CA1"/>
    <w:rsid w:val="00FA2D23"/>
    <w:rsid w:val="00FA30AA"/>
    <w:rsid w:val="00FA30D2"/>
    <w:rsid w:val="00FA3121"/>
    <w:rsid w:val="00FA3192"/>
    <w:rsid w:val="00FA3510"/>
    <w:rsid w:val="00FA37BB"/>
    <w:rsid w:val="00FA3854"/>
    <w:rsid w:val="00FA3B18"/>
    <w:rsid w:val="00FA3C22"/>
    <w:rsid w:val="00FA3D8D"/>
    <w:rsid w:val="00FA3DFB"/>
    <w:rsid w:val="00FA3F05"/>
    <w:rsid w:val="00FA3FB6"/>
    <w:rsid w:val="00FA4045"/>
    <w:rsid w:val="00FA407F"/>
    <w:rsid w:val="00FA4156"/>
    <w:rsid w:val="00FA43CC"/>
    <w:rsid w:val="00FA4679"/>
    <w:rsid w:val="00FA467F"/>
    <w:rsid w:val="00FA4738"/>
    <w:rsid w:val="00FA47CC"/>
    <w:rsid w:val="00FA48A3"/>
    <w:rsid w:val="00FA4AF8"/>
    <w:rsid w:val="00FA4B2C"/>
    <w:rsid w:val="00FA4B8B"/>
    <w:rsid w:val="00FA4BC5"/>
    <w:rsid w:val="00FA4BC7"/>
    <w:rsid w:val="00FA4BE2"/>
    <w:rsid w:val="00FA4D4B"/>
    <w:rsid w:val="00FA4E07"/>
    <w:rsid w:val="00FA4FAF"/>
    <w:rsid w:val="00FA500B"/>
    <w:rsid w:val="00FA504C"/>
    <w:rsid w:val="00FA51B0"/>
    <w:rsid w:val="00FA524D"/>
    <w:rsid w:val="00FA539E"/>
    <w:rsid w:val="00FA551A"/>
    <w:rsid w:val="00FA55C4"/>
    <w:rsid w:val="00FA597B"/>
    <w:rsid w:val="00FA5B09"/>
    <w:rsid w:val="00FA5DB6"/>
    <w:rsid w:val="00FA5DDE"/>
    <w:rsid w:val="00FA6184"/>
    <w:rsid w:val="00FA62BF"/>
    <w:rsid w:val="00FA63E7"/>
    <w:rsid w:val="00FA63F6"/>
    <w:rsid w:val="00FA66D3"/>
    <w:rsid w:val="00FA67C7"/>
    <w:rsid w:val="00FA682B"/>
    <w:rsid w:val="00FA68FF"/>
    <w:rsid w:val="00FA693E"/>
    <w:rsid w:val="00FA6973"/>
    <w:rsid w:val="00FA6B4C"/>
    <w:rsid w:val="00FA6C2C"/>
    <w:rsid w:val="00FA6C7E"/>
    <w:rsid w:val="00FA6C9C"/>
    <w:rsid w:val="00FA6EFD"/>
    <w:rsid w:val="00FA6FD7"/>
    <w:rsid w:val="00FA7096"/>
    <w:rsid w:val="00FA70F3"/>
    <w:rsid w:val="00FA7306"/>
    <w:rsid w:val="00FA7627"/>
    <w:rsid w:val="00FA78B3"/>
    <w:rsid w:val="00FA78FD"/>
    <w:rsid w:val="00FA7B63"/>
    <w:rsid w:val="00FA7B84"/>
    <w:rsid w:val="00FA7C89"/>
    <w:rsid w:val="00FA7D8B"/>
    <w:rsid w:val="00FA7E68"/>
    <w:rsid w:val="00FA7E88"/>
    <w:rsid w:val="00FB05AF"/>
    <w:rsid w:val="00FB0767"/>
    <w:rsid w:val="00FB07C0"/>
    <w:rsid w:val="00FB0AB9"/>
    <w:rsid w:val="00FB0AE5"/>
    <w:rsid w:val="00FB0B39"/>
    <w:rsid w:val="00FB0D62"/>
    <w:rsid w:val="00FB0E55"/>
    <w:rsid w:val="00FB0F55"/>
    <w:rsid w:val="00FB0F78"/>
    <w:rsid w:val="00FB11C2"/>
    <w:rsid w:val="00FB1286"/>
    <w:rsid w:val="00FB1416"/>
    <w:rsid w:val="00FB1466"/>
    <w:rsid w:val="00FB15A8"/>
    <w:rsid w:val="00FB1912"/>
    <w:rsid w:val="00FB1919"/>
    <w:rsid w:val="00FB199C"/>
    <w:rsid w:val="00FB1D29"/>
    <w:rsid w:val="00FB1E15"/>
    <w:rsid w:val="00FB1F35"/>
    <w:rsid w:val="00FB2007"/>
    <w:rsid w:val="00FB2104"/>
    <w:rsid w:val="00FB21D3"/>
    <w:rsid w:val="00FB22D6"/>
    <w:rsid w:val="00FB23A9"/>
    <w:rsid w:val="00FB2530"/>
    <w:rsid w:val="00FB255B"/>
    <w:rsid w:val="00FB25CD"/>
    <w:rsid w:val="00FB25CF"/>
    <w:rsid w:val="00FB2674"/>
    <w:rsid w:val="00FB2700"/>
    <w:rsid w:val="00FB271C"/>
    <w:rsid w:val="00FB27AC"/>
    <w:rsid w:val="00FB2A72"/>
    <w:rsid w:val="00FB2AC4"/>
    <w:rsid w:val="00FB2AF8"/>
    <w:rsid w:val="00FB2CC0"/>
    <w:rsid w:val="00FB2CFB"/>
    <w:rsid w:val="00FB2D3C"/>
    <w:rsid w:val="00FB2DA1"/>
    <w:rsid w:val="00FB2DC2"/>
    <w:rsid w:val="00FB3017"/>
    <w:rsid w:val="00FB3024"/>
    <w:rsid w:val="00FB30F5"/>
    <w:rsid w:val="00FB327D"/>
    <w:rsid w:val="00FB33B5"/>
    <w:rsid w:val="00FB368E"/>
    <w:rsid w:val="00FB3828"/>
    <w:rsid w:val="00FB3858"/>
    <w:rsid w:val="00FB3906"/>
    <w:rsid w:val="00FB3A5A"/>
    <w:rsid w:val="00FB3A69"/>
    <w:rsid w:val="00FB3AFE"/>
    <w:rsid w:val="00FB3B52"/>
    <w:rsid w:val="00FB3BB4"/>
    <w:rsid w:val="00FB3C4B"/>
    <w:rsid w:val="00FB3CA6"/>
    <w:rsid w:val="00FB3E9E"/>
    <w:rsid w:val="00FB40D9"/>
    <w:rsid w:val="00FB42C2"/>
    <w:rsid w:val="00FB438B"/>
    <w:rsid w:val="00FB4771"/>
    <w:rsid w:val="00FB477D"/>
    <w:rsid w:val="00FB485E"/>
    <w:rsid w:val="00FB48E3"/>
    <w:rsid w:val="00FB49B3"/>
    <w:rsid w:val="00FB49DF"/>
    <w:rsid w:val="00FB4A4B"/>
    <w:rsid w:val="00FB4BEB"/>
    <w:rsid w:val="00FB4CD4"/>
    <w:rsid w:val="00FB4CFC"/>
    <w:rsid w:val="00FB4EED"/>
    <w:rsid w:val="00FB5036"/>
    <w:rsid w:val="00FB53D9"/>
    <w:rsid w:val="00FB5444"/>
    <w:rsid w:val="00FB544B"/>
    <w:rsid w:val="00FB55E5"/>
    <w:rsid w:val="00FB569B"/>
    <w:rsid w:val="00FB5834"/>
    <w:rsid w:val="00FB596F"/>
    <w:rsid w:val="00FB59BA"/>
    <w:rsid w:val="00FB59C8"/>
    <w:rsid w:val="00FB5B6E"/>
    <w:rsid w:val="00FB5C19"/>
    <w:rsid w:val="00FB5DF2"/>
    <w:rsid w:val="00FB5E05"/>
    <w:rsid w:val="00FB5F97"/>
    <w:rsid w:val="00FB6151"/>
    <w:rsid w:val="00FB61C0"/>
    <w:rsid w:val="00FB62D5"/>
    <w:rsid w:val="00FB64FA"/>
    <w:rsid w:val="00FB6652"/>
    <w:rsid w:val="00FB693F"/>
    <w:rsid w:val="00FB6BAE"/>
    <w:rsid w:val="00FB6C1E"/>
    <w:rsid w:val="00FB6D34"/>
    <w:rsid w:val="00FB72A5"/>
    <w:rsid w:val="00FB73BB"/>
    <w:rsid w:val="00FB73BE"/>
    <w:rsid w:val="00FB74F3"/>
    <w:rsid w:val="00FB7523"/>
    <w:rsid w:val="00FB7910"/>
    <w:rsid w:val="00FB7944"/>
    <w:rsid w:val="00FB79BE"/>
    <w:rsid w:val="00FB7AFC"/>
    <w:rsid w:val="00FB7C41"/>
    <w:rsid w:val="00FB7DCA"/>
    <w:rsid w:val="00FB7EAD"/>
    <w:rsid w:val="00FB7F94"/>
    <w:rsid w:val="00FC0037"/>
    <w:rsid w:val="00FC00BC"/>
    <w:rsid w:val="00FC00C4"/>
    <w:rsid w:val="00FC018C"/>
    <w:rsid w:val="00FC02FE"/>
    <w:rsid w:val="00FC0303"/>
    <w:rsid w:val="00FC035B"/>
    <w:rsid w:val="00FC055A"/>
    <w:rsid w:val="00FC06AA"/>
    <w:rsid w:val="00FC078E"/>
    <w:rsid w:val="00FC07BA"/>
    <w:rsid w:val="00FC0848"/>
    <w:rsid w:val="00FC08DD"/>
    <w:rsid w:val="00FC09EB"/>
    <w:rsid w:val="00FC09FF"/>
    <w:rsid w:val="00FC0BC3"/>
    <w:rsid w:val="00FC0C65"/>
    <w:rsid w:val="00FC0EBF"/>
    <w:rsid w:val="00FC10DC"/>
    <w:rsid w:val="00FC11EB"/>
    <w:rsid w:val="00FC13B7"/>
    <w:rsid w:val="00FC1624"/>
    <w:rsid w:val="00FC16CB"/>
    <w:rsid w:val="00FC1A67"/>
    <w:rsid w:val="00FC1B18"/>
    <w:rsid w:val="00FC1D6D"/>
    <w:rsid w:val="00FC1D6E"/>
    <w:rsid w:val="00FC1DBC"/>
    <w:rsid w:val="00FC1E90"/>
    <w:rsid w:val="00FC1ED7"/>
    <w:rsid w:val="00FC1F09"/>
    <w:rsid w:val="00FC238C"/>
    <w:rsid w:val="00FC2441"/>
    <w:rsid w:val="00FC2772"/>
    <w:rsid w:val="00FC28AD"/>
    <w:rsid w:val="00FC2986"/>
    <w:rsid w:val="00FC2B07"/>
    <w:rsid w:val="00FC2EB1"/>
    <w:rsid w:val="00FC2EEF"/>
    <w:rsid w:val="00FC3000"/>
    <w:rsid w:val="00FC310E"/>
    <w:rsid w:val="00FC323C"/>
    <w:rsid w:val="00FC3393"/>
    <w:rsid w:val="00FC3432"/>
    <w:rsid w:val="00FC35BA"/>
    <w:rsid w:val="00FC36A4"/>
    <w:rsid w:val="00FC3813"/>
    <w:rsid w:val="00FC39D6"/>
    <w:rsid w:val="00FC3A7B"/>
    <w:rsid w:val="00FC3BD5"/>
    <w:rsid w:val="00FC3C0A"/>
    <w:rsid w:val="00FC3CB8"/>
    <w:rsid w:val="00FC3E75"/>
    <w:rsid w:val="00FC3EC8"/>
    <w:rsid w:val="00FC3F03"/>
    <w:rsid w:val="00FC3F7A"/>
    <w:rsid w:val="00FC4065"/>
    <w:rsid w:val="00FC414B"/>
    <w:rsid w:val="00FC41AA"/>
    <w:rsid w:val="00FC435F"/>
    <w:rsid w:val="00FC438A"/>
    <w:rsid w:val="00FC43A4"/>
    <w:rsid w:val="00FC4476"/>
    <w:rsid w:val="00FC47AA"/>
    <w:rsid w:val="00FC4999"/>
    <w:rsid w:val="00FC4B49"/>
    <w:rsid w:val="00FC4BC3"/>
    <w:rsid w:val="00FC4BE1"/>
    <w:rsid w:val="00FC4D0B"/>
    <w:rsid w:val="00FC4F03"/>
    <w:rsid w:val="00FC4F28"/>
    <w:rsid w:val="00FC5008"/>
    <w:rsid w:val="00FC5074"/>
    <w:rsid w:val="00FC50C7"/>
    <w:rsid w:val="00FC50DA"/>
    <w:rsid w:val="00FC5155"/>
    <w:rsid w:val="00FC5178"/>
    <w:rsid w:val="00FC5239"/>
    <w:rsid w:val="00FC52B9"/>
    <w:rsid w:val="00FC52E0"/>
    <w:rsid w:val="00FC531F"/>
    <w:rsid w:val="00FC5348"/>
    <w:rsid w:val="00FC54EA"/>
    <w:rsid w:val="00FC58D0"/>
    <w:rsid w:val="00FC5CC2"/>
    <w:rsid w:val="00FC5CE4"/>
    <w:rsid w:val="00FC5D20"/>
    <w:rsid w:val="00FC5F91"/>
    <w:rsid w:val="00FC6080"/>
    <w:rsid w:val="00FC6084"/>
    <w:rsid w:val="00FC616C"/>
    <w:rsid w:val="00FC63C8"/>
    <w:rsid w:val="00FC6569"/>
    <w:rsid w:val="00FC660B"/>
    <w:rsid w:val="00FC683A"/>
    <w:rsid w:val="00FC68C8"/>
    <w:rsid w:val="00FC693C"/>
    <w:rsid w:val="00FC6959"/>
    <w:rsid w:val="00FC699C"/>
    <w:rsid w:val="00FC699E"/>
    <w:rsid w:val="00FC6A7B"/>
    <w:rsid w:val="00FC6B45"/>
    <w:rsid w:val="00FC6BA1"/>
    <w:rsid w:val="00FC6CAC"/>
    <w:rsid w:val="00FC6D32"/>
    <w:rsid w:val="00FC6D7A"/>
    <w:rsid w:val="00FC6EF2"/>
    <w:rsid w:val="00FC7051"/>
    <w:rsid w:val="00FC72FE"/>
    <w:rsid w:val="00FC74D1"/>
    <w:rsid w:val="00FC7725"/>
    <w:rsid w:val="00FC7832"/>
    <w:rsid w:val="00FC799D"/>
    <w:rsid w:val="00FC7CF8"/>
    <w:rsid w:val="00FC7CFC"/>
    <w:rsid w:val="00FC7E0E"/>
    <w:rsid w:val="00FC7E6B"/>
    <w:rsid w:val="00FC7E80"/>
    <w:rsid w:val="00FD01BA"/>
    <w:rsid w:val="00FD02A8"/>
    <w:rsid w:val="00FD03E5"/>
    <w:rsid w:val="00FD061B"/>
    <w:rsid w:val="00FD0629"/>
    <w:rsid w:val="00FD0914"/>
    <w:rsid w:val="00FD09B2"/>
    <w:rsid w:val="00FD0A14"/>
    <w:rsid w:val="00FD0A2D"/>
    <w:rsid w:val="00FD0A4F"/>
    <w:rsid w:val="00FD0AA2"/>
    <w:rsid w:val="00FD0B9E"/>
    <w:rsid w:val="00FD0CD7"/>
    <w:rsid w:val="00FD1010"/>
    <w:rsid w:val="00FD1132"/>
    <w:rsid w:val="00FD1382"/>
    <w:rsid w:val="00FD13B4"/>
    <w:rsid w:val="00FD1569"/>
    <w:rsid w:val="00FD167B"/>
    <w:rsid w:val="00FD17BE"/>
    <w:rsid w:val="00FD17C7"/>
    <w:rsid w:val="00FD1829"/>
    <w:rsid w:val="00FD196A"/>
    <w:rsid w:val="00FD19DD"/>
    <w:rsid w:val="00FD1A6C"/>
    <w:rsid w:val="00FD1BF0"/>
    <w:rsid w:val="00FD1C1D"/>
    <w:rsid w:val="00FD1E4F"/>
    <w:rsid w:val="00FD1FC8"/>
    <w:rsid w:val="00FD201E"/>
    <w:rsid w:val="00FD204B"/>
    <w:rsid w:val="00FD2065"/>
    <w:rsid w:val="00FD213D"/>
    <w:rsid w:val="00FD215C"/>
    <w:rsid w:val="00FD23DE"/>
    <w:rsid w:val="00FD23E8"/>
    <w:rsid w:val="00FD2418"/>
    <w:rsid w:val="00FD246B"/>
    <w:rsid w:val="00FD2497"/>
    <w:rsid w:val="00FD25CE"/>
    <w:rsid w:val="00FD25CF"/>
    <w:rsid w:val="00FD263C"/>
    <w:rsid w:val="00FD26A9"/>
    <w:rsid w:val="00FD2736"/>
    <w:rsid w:val="00FD274C"/>
    <w:rsid w:val="00FD27A9"/>
    <w:rsid w:val="00FD27B4"/>
    <w:rsid w:val="00FD283F"/>
    <w:rsid w:val="00FD294A"/>
    <w:rsid w:val="00FD2C87"/>
    <w:rsid w:val="00FD2DB2"/>
    <w:rsid w:val="00FD320F"/>
    <w:rsid w:val="00FD3351"/>
    <w:rsid w:val="00FD35F9"/>
    <w:rsid w:val="00FD36C3"/>
    <w:rsid w:val="00FD3A1F"/>
    <w:rsid w:val="00FD3CA8"/>
    <w:rsid w:val="00FD3CCC"/>
    <w:rsid w:val="00FD3DB7"/>
    <w:rsid w:val="00FD3DE1"/>
    <w:rsid w:val="00FD4019"/>
    <w:rsid w:val="00FD40AA"/>
    <w:rsid w:val="00FD4136"/>
    <w:rsid w:val="00FD422C"/>
    <w:rsid w:val="00FD4468"/>
    <w:rsid w:val="00FD4663"/>
    <w:rsid w:val="00FD4714"/>
    <w:rsid w:val="00FD47F7"/>
    <w:rsid w:val="00FD497D"/>
    <w:rsid w:val="00FD4AAD"/>
    <w:rsid w:val="00FD4ACE"/>
    <w:rsid w:val="00FD4B68"/>
    <w:rsid w:val="00FD4C8B"/>
    <w:rsid w:val="00FD4DA3"/>
    <w:rsid w:val="00FD4DEA"/>
    <w:rsid w:val="00FD4EC7"/>
    <w:rsid w:val="00FD4F14"/>
    <w:rsid w:val="00FD4FA3"/>
    <w:rsid w:val="00FD50DD"/>
    <w:rsid w:val="00FD5543"/>
    <w:rsid w:val="00FD561F"/>
    <w:rsid w:val="00FD5637"/>
    <w:rsid w:val="00FD5752"/>
    <w:rsid w:val="00FD57C8"/>
    <w:rsid w:val="00FD5829"/>
    <w:rsid w:val="00FD585C"/>
    <w:rsid w:val="00FD5981"/>
    <w:rsid w:val="00FD5A45"/>
    <w:rsid w:val="00FD5A4B"/>
    <w:rsid w:val="00FD5B28"/>
    <w:rsid w:val="00FD5E8E"/>
    <w:rsid w:val="00FD5EA7"/>
    <w:rsid w:val="00FD6197"/>
    <w:rsid w:val="00FD61AD"/>
    <w:rsid w:val="00FD621B"/>
    <w:rsid w:val="00FD622D"/>
    <w:rsid w:val="00FD626D"/>
    <w:rsid w:val="00FD62BA"/>
    <w:rsid w:val="00FD6414"/>
    <w:rsid w:val="00FD64D2"/>
    <w:rsid w:val="00FD6661"/>
    <w:rsid w:val="00FD66EC"/>
    <w:rsid w:val="00FD672A"/>
    <w:rsid w:val="00FD6804"/>
    <w:rsid w:val="00FD6A62"/>
    <w:rsid w:val="00FD6B26"/>
    <w:rsid w:val="00FD6B96"/>
    <w:rsid w:val="00FD6BF9"/>
    <w:rsid w:val="00FD6CDC"/>
    <w:rsid w:val="00FD70DC"/>
    <w:rsid w:val="00FD7132"/>
    <w:rsid w:val="00FD72D5"/>
    <w:rsid w:val="00FD735E"/>
    <w:rsid w:val="00FD7445"/>
    <w:rsid w:val="00FD745A"/>
    <w:rsid w:val="00FD747B"/>
    <w:rsid w:val="00FD7542"/>
    <w:rsid w:val="00FD75EE"/>
    <w:rsid w:val="00FD77F1"/>
    <w:rsid w:val="00FD78C2"/>
    <w:rsid w:val="00FD7A3C"/>
    <w:rsid w:val="00FD7A78"/>
    <w:rsid w:val="00FD7C9C"/>
    <w:rsid w:val="00FD7E82"/>
    <w:rsid w:val="00FE004F"/>
    <w:rsid w:val="00FE00BE"/>
    <w:rsid w:val="00FE0368"/>
    <w:rsid w:val="00FE0389"/>
    <w:rsid w:val="00FE03D8"/>
    <w:rsid w:val="00FE0518"/>
    <w:rsid w:val="00FE05C7"/>
    <w:rsid w:val="00FE0866"/>
    <w:rsid w:val="00FE0895"/>
    <w:rsid w:val="00FE0B6C"/>
    <w:rsid w:val="00FE0CE6"/>
    <w:rsid w:val="00FE0FBD"/>
    <w:rsid w:val="00FE1192"/>
    <w:rsid w:val="00FE11B5"/>
    <w:rsid w:val="00FE15FA"/>
    <w:rsid w:val="00FE1634"/>
    <w:rsid w:val="00FE165F"/>
    <w:rsid w:val="00FE167B"/>
    <w:rsid w:val="00FE17AA"/>
    <w:rsid w:val="00FE1842"/>
    <w:rsid w:val="00FE1975"/>
    <w:rsid w:val="00FE1A65"/>
    <w:rsid w:val="00FE1ABE"/>
    <w:rsid w:val="00FE1AC7"/>
    <w:rsid w:val="00FE1AE5"/>
    <w:rsid w:val="00FE1B3D"/>
    <w:rsid w:val="00FE1BD1"/>
    <w:rsid w:val="00FE1D0D"/>
    <w:rsid w:val="00FE1F35"/>
    <w:rsid w:val="00FE203E"/>
    <w:rsid w:val="00FE2041"/>
    <w:rsid w:val="00FE2234"/>
    <w:rsid w:val="00FE227C"/>
    <w:rsid w:val="00FE2385"/>
    <w:rsid w:val="00FE23A1"/>
    <w:rsid w:val="00FE254C"/>
    <w:rsid w:val="00FE25BF"/>
    <w:rsid w:val="00FE25D1"/>
    <w:rsid w:val="00FE25FA"/>
    <w:rsid w:val="00FE262D"/>
    <w:rsid w:val="00FE272F"/>
    <w:rsid w:val="00FE2804"/>
    <w:rsid w:val="00FE2816"/>
    <w:rsid w:val="00FE2874"/>
    <w:rsid w:val="00FE2A79"/>
    <w:rsid w:val="00FE2AFC"/>
    <w:rsid w:val="00FE2B0B"/>
    <w:rsid w:val="00FE2E82"/>
    <w:rsid w:val="00FE3311"/>
    <w:rsid w:val="00FE365D"/>
    <w:rsid w:val="00FE3972"/>
    <w:rsid w:val="00FE398C"/>
    <w:rsid w:val="00FE3CD3"/>
    <w:rsid w:val="00FE3E8D"/>
    <w:rsid w:val="00FE40A2"/>
    <w:rsid w:val="00FE4141"/>
    <w:rsid w:val="00FE415B"/>
    <w:rsid w:val="00FE4199"/>
    <w:rsid w:val="00FE421D"/>
    <w:rsid w:val="00FE44C7"/>
    <w:rsid w:val="00FE4585"/>
    <w:rsid w:val="00FE45B0"/>
    <w:rsid w:val="00FE45CB"/>
    <w:rsid w:val="00FE4665"/>
    <w:rsid w:val="00FE4B3F"/>
    <w:rsid w:val="00FE4BD9"/>
    <w:rsid w:val="00FE4C12"/>
    <w:rsid w:val="00FE4E6C"/>
    <w:rsid w:val="00FE4F1F"/>
    <w:rsid w:val="00FE5018"/>
    <w:rsid w:val="00FE505F"/>
    <w:rsid w:val="00FE512C"/>
    <w:rsid w:val="00FE52D3"/>
    <w:rsid w:val="00FE53E6"/>
    <w:rsid w:val="00FE540A"/>
    <w:rsid w:val="00FE5445"/>
    <w:rsid w:val="00FE54BB"/>
    <w:rsid w:val="00FE5661"/>
    <w:rsid w:val="00FE5728"/>
    <w:rsid w:val="00FE572D"/>
    <w:rsid w:val="00FE5818"/>
    <w:rsid w:val="00FE5A9F"/>
    <w:rsid w:val="00FE5B52"/>
    <w:rsid w:val="00FE5F31"/>
    <w:rsid w:val="00FE6063"/>
    <w:rsid w:val="00FE652D"/>
    <w:rsid w:val="00FE6572"/>
    <w:rsid w:val="00FE676D"/>
    <w:rsid w:val="00FE6771"/>
    <w:rsid w:val="00FE6779"/>
    <w:rsid w:val="00FE68D3"/>
    <w:rsid w:val="00FE6981"/>
    <w:rsid w:val="00FE6A11"/>
    <w:rsid w:val="00FE6AEF"/>
    <w:rsid w:val="00FE6BEF"/>
    <w:rsid w:val="00FE6DF9"/>
    <w:rsid w:val="00FE6F31"/>
    <w:rsid w:val="00FE712E"/>
    <w:rsid w:val="00FE7192"/>
    <w:rsid w:val="00FE7210"/>
    <w:rsid w:val="00FE73A5"/>
    <w:rsid w:val="00FE7712"/>
    <w:rsid w:val="00FE78AD"/>
    <w:rsid w:val="00FE7A04"/>
    <w:rsid w:val="00FE7A59"/>
    <w:rsid w:val="00FE7A65"/>
    <w:rsid w:val="00FE7C87"/>
    <w:rsid w:val="00FE7E78"/>
    <w:rsid w:val="00FE7EAC"/>
    <w:rsid w:val="00FE7FF7"/>
    <w:rsid w:val="00FF010D"/>
    <w:rsid w:val="00FF0189"/>
    <w:rsid w:val="00FF030E"/>
    <w:rsid w:val="00FF03FC"/>
    <w:rsid w:val="00FF041C"/>
    <w:rsid w:val="00FF063B"/>
    <w:rsid w:val="00FF0724"/>
    <w:rsid w:val="00FF0771"/>
    <w:rsid w:val="00FF0798"/>
    <w:rsid w:val="00FF0820"/>
    <w:rsid w:val="00FF08DD"/>
    <w:rsid w:val="00FF0B37"/>
    <w:rsid w:val="00FF0F87"/>
    <w:rsid w:val="00FF10FA"/>
    <w:rsid w:val="00FF11E2"/>
    <w:rsid w:val="00FF12F7"/>
    <w:rsid w:val="00FF13C7"/>
    <w:rsid w:val="00FF13E3"/>
    <w:rsid w:val="00FF140C"/>
    <w:rsid w:val="00FF1500"/>
    <w:rsid w:val="00FF158A"/>
    <w:rsid w:val="00FF17AA"/>
    <w:rsid w:val="00FF1910"/>
    <w:rsid w:val="00FF1958"/>
    <w:rsid w:val="00FF1A8B"/>
    <w:rsid w:val="00FF1B2F"/>
    <w:rsid w:val="00FF1B49"/>
    <w:rsid w:val="00FF1F99"/>
    <w:rsid w:val="00FF1FA6"/>
    <w:rsid w:val="00FF2144"/>
    <w:rsid w:val="00FF25A0"/>
    <w:rsid w:val="00FF25C7"/>
    <w:rsid w:val="00FF2868"/>
    <w:rsid w:val="00FF299C"/>
    <w:rsid w:val="00FF2A3B"/>
    <w:rsid w:val="00FF2CEA"/>
    <w:rsid w:val="00FF3340"/>
    <w:rsid w:val="00FF335E"/>
    <w:rsid w:val="00FF34AD"/>
    <w:rsid w:val="00FF357B"/>
    <w:rsid w:val="00FF382F"/>
    <w:rsid w:val="00FF3852"/>
    <w:rsid w:val="00FF3928"/>
    <w:rsid w:val="00FF3CB9"/>
    <w:rsid w:val="00FF3D79"/>
    <w:rsid w:val="00FF3EC1"/>
    <w:rsid w:val="00FF4048"/>
    <w:rsid w:val="00FF40C4"/>
    <w:rsid w:val="00FF40D0"/>
    <w:rsid w:val="00FF4239"/>
    <w:rsid w:val="00FF429F"/>
    <w:rsid w:val="00FF45BA"/>
    <w:rsid w:val="00FF47BE"/>
    <w:rsid w:val="00FF47F7"/>
    <w:rsid w:val="00FF48EA"/>
    <w:rsid w:val="00FF496C"/>
    <w:rsid w:val="00FF4A0E"/>
    <w:rsid w:val="00FF4ADA"/>
    <w:rsid w:val="00FF4B03"/>
    <w:rsid w:val="00FF4B1A"/>
    <w:rsid w:val="00FF4C21"/>
    <w:rsid w:val="00FF4C2A"/>
    <w:rsid w:val="00FF4C70"/>
    <w:rsid w:val="00FF4CF1"/>
    <w:rsid w:val="00FF4CF7"/>
    <w:rsid w:val="00FF4ED2"/>
    <w:rsid w:val="00FF50D7"/>
    <w:rsid w:val="00FF51BB"/>
    <w:rsid w:val="00FF5358"/>
    <w:rsid w:val="00FF5520"/>
    <w:rsid w:val="00FF5522"/>
    <w:rsid w:val="00FF55AD"/>
    <w:rsid w:val="00FF57F2"/>
    <w:rsid w:val="00FF59FC"/>
    <w:rsid w:val="00FF5A8D"/>
    <w:rsid w:val="00FF5B38"/>
    <w:rsid w:val="00FF5B4C"/>
    <w:rsid w:val="00FF5B6D"/>
    <w:rsid w:val="00FF5CB0"/>
    <w:rsid w:val="00FF5E36"/>
    <w:rsid w:val="00FF5E9E"/>
    <w:rsid w:val="00FF5F01"/>
    <w:rsid w:val="00FF5F79"/>
    <w:rsid w:val="00FF605B"/>
    <w:rsid w:val="00FF6065"/>
    <w:rsid w:val="00FF612D"/>
    <w:rsid w:val="00FF62FD"/>
    <w:rsid w:val="00FF66B7"/>
    <w:rsid w:val="00FF66EA"/>
    <w:rsid w:val="00FF6A80"/>
    <w:rsid w:val="00FF6ACE"/>
    <w:rsid w:val="00FF6B0F"/>
    <w:rsid w:val="00FF6DAA"/>
    <w:rsid w:val="00FF6E47"/>
    <w:rsid w:val="00FF6E59"/>
    <w:rsid w:val="00FF70E0"/>
    <w:rsid w:val="00FF72AB"/>
    <w:rsid w:val="00FF72E3"/>
    <w:rsid w:val="00FF74FB"/>
    <w:rsid w:val="00FF7543"/>
    <w:rsid w:val="00FF7592"/>
    <w:rsid w:val="00FF76C5"/>
    <w:rsid w:val="00FF7741"/>
    <w:rsid w:val="00FF7AC0"/>
    <w:rsid w:val="00FF7C79"/>
    <w:rsid w:val="00FF7E06"/>
    <w:rsid w:val="00FF7F11"/>
    <w:rsid w:val="0102BA0E"/>
    <w:rsid w:val="01040F2A"/>
    <w:rsid w:val="0104CD13"/>
    <w:rsid w:val="0104D4D2"/>
    <w:rsid w:val="011510DF"/>
    <w:rsid w:val="011A4D3A"/>
    <w:rsid w:val="011C9235"/>
    <w:rsid w:val="011D9D6B"/>
    <w:rsid w:val="0132090E"/>
    <w:rsid w:val="013A81BF"/>
    <w:rsid w:val="0147FECA"/>
    <w:rsid w:val="014EE667"/>
    <w:rsid w:val="01513107"/>
    <w:rsid w:val="0154AECE"/>
    <w:rsid w:val="01583DED"/>
    <w:rsid w:val="015C1B06"/>
    <w:rsid w:val="015FF24F"/>
    <w:rsid w:val="01618DEB"/>
    <w:rsid w:val="01632766"/>
    <w:rsid w:val="01648030"/>
    <w:rsid w:val="0171A564"/>
    <w:rsid w:val="0171FD17"/>
    <w:rsid w:val="018DD6F2"/>
    <w:rsid w:val="01AACE78"/>
    <w:rsid w:val="01AB8368"/>
    <w:rsid w:val="01B59E9F"/>
    <w:rsid w:val="01BD184D"/>
    <w:rsid w:val="01BDB597"/>
    <w:rsid w:val="01C2F255"/>
    <w:rsid w:val="01C62071"/>
    <w:rsid w:val="01C991B0"/>
    <w:rsid w:val="01CA35EB"/>
    <w:rsid w:val="01CA6E0B"/>
    <w:rsid w:val="01D5FD3D"/>
    <w:rsid w:val="01DC6AC9"/>
    <w:rsid w:val="01E2F15D"/>
    <w:rsid w:val="01E9BDCB"/>
    <w:rsid w:val="01FDD757"/>
    <w:rsid w:val="01FE57D7"/>
    <w:rsid w:val="0207D63C"/>
    <w:rsid w:val="02111331"/>
    <w:rsid w:val="02121BCC"/>
    <w:rsid w:val="021557D4"/>
    <w:rsid w:val="021A54B7"/>
    <w:rsid w:val="021AFD54"/>
    <w:rsid w:val="021DBA66"/>
    <w:rsid w:val="022C3F42"/>
    <w:rsid w:val="0230810F"/>
    <w:rsid w:val="023DE301"/>
    <w:rsid w:val="024544E1"/>
    <w:rsid w:val="02546614"/>
    <w:rsid w:val="02584481"/>
    <w:rsid w:val="0258BE41"/>
    <w:rsid w:val="025B79D4"/>
    <w:rsid w:val="026591CC"/>
    <w:rsid w:val="0266F235"/>
    <w:rsid w:val="0269589B"/>
    <w:rsid w:val="026E137A"/>
    <w:rsid w:val="02731778"/>
    <w:rsid w:val="027EEC03"/>
    <w:rsid w:val="0282BB88"/>
    <w:rsid w:val="029A47B4"/>
    <w:rsid w:val="02A340DE"/>
    <w:rsid w:val="02A57A37"/>
    <w:rsid w:val="02A7F180"/>
    <w:rsid w:val="02A96563"/>
    <w:rsid w:val="02B4DAB9"/>
    <w:rsid w:val="02B565AA"/>
    <w:rsid w:val="02B6686D"/>
    <w:rsid w:val="02BDD4F6"/>
    <w:rsid w:val="02C858C1"/>
    <w:rsid w:val="02C9AED8"/>
    <w:rsid w:val="02D982F4"/>
    <w:rsid w:val="02DC5401"/>
    <w:rsid w:val="02DD05BF"/>
    <w:rsid w:val="02DF9FBA"/>
    <w:rsid w:val="02EC2499"/>
    <w:rsid w:val="02FC4D95"/>
    <w:rsid w:val="02FE80D0"/>
    <w:rsid w:val="0310241F"/>
    <w:rsid w:val="03114825"/>
    <w:rsid w:val="0313FEB8"/>
    <w:rsid w:val="031A1B74"/>
    <w:rsid w:val="03332789"/>
    <w:rsid w:val="033BB07C"/>
    <w:rsid w:val="0349198A"/>
    <w:rsid w:val="03498BA7"/>
    <w:rsid w:val="034F3F1D"/>
    <w:rsid w:val="035B8B0E"/>
    <w:rsid w:val="035D6CE6"/>
    <w:rsid w:val="0363C09D"/>
    <w:rsid w:val="0366BC68"/>
    <w:rsid w:val="036B6198"/>
    <w:rsid w:val="037236CE"/>
    <w:rsid w:val="03735B71"/>
    <w:rsid w:val="03924021"/>
    <w:rsid w:val="0394034F"/>
    <w:rsid w:val="039DBBE8"/>
    <w:rsid w:val="03A01190"/>
    <w:rsid w:val="03AB64C9"/>
    <w:rsid w:val="03AC40EA"/>
    <w:rsid w:val="03B4B8AE"/>
    <w:rsid w:val="03B89E93"/>
    <w:rsid w:val="03BAA429"/>
    <w:rsid w:val="03C3CF84"/>
    <w:rsid w:val="03C50E59"/>
    <w:rsid w:val="03C5F53B"/>
    <w:rsid w:val="03D79AEF"/>
    <w:rsid w:val="03D85E39"/>
    <w:rsid w:val="03E754A0"/>
    <w:rsid w:val="03EAC36C"/>
    <w:rsid w:val="03EAFDA6"/>
    <w:rsid w:val="03EFAD8F"/>
    <w:rsid w:val="03F49BB7"/>
    <w:rsid w:val="040E2F6E"/>
    <w:rsid w:val="0412D058"/>
    <w:rsid w:val="0414EBF6"/>
    <w:rsid w:val="0419F432"/>
    <w:rsid w:val="041A4223"/>
    <w:rsid w:val="04283CBF"/>
    <w:rsid w:val="04480CE6"/>
    <w:rsid w:val="044F6C8A"/>
    <w:rsid w:val="044F9F94"/>
    <w:rsid w:val="04513A50"/>
    <w:rsid w:val="046789ED"/>
    <w:rsid w:val="046AFF6A"/>
    <w:rsid w:val="0471E5EF"/>
    <w:rsid w:val="0473CE7D"/>
    <w:rsid w:val="0499F42B"/>
    <w:rsid w:val="04A7651F"/>
    <w:rsid w:val="04AD0BE2"/>
    <w:rsid w:val="04B2851B"/>
    <w:rsid w:val="04C3F146"/>
    <w:rsid w:val="04D0CA54"/>
    <w:rsid w:val="04D2393F"/>
    <w:rsid w:val="04D49188"/>
    <w:rsid w:val="04E2006B"/>
    <w:rsid w:val="04EA2DDB"/>
    <w:rsid w:val="04EDBF23"/>
    <w:rsid w:val="04EEF069"/>
    <w:rsid w:val="04FCC814"/>
    <w:rsid w:val="0506559A"/>
    <w:rsid w:val="050C2A6F"/>
    <w:rsid w:val="050D60F3"/>
    <w:rsid w:val="051FDE06"/>
    <w:rsid w:val="05270781"/>
    <w:rsid w:val="0533D0A5"/>
    <w:rsid w:val="0536D992"/>
    <w:rsid w:val="0545F021"/>
    <w:rsid w:val="05503CC5"/>
    <w:rsid w:val="057DD173"/>
    <w:rsid w:val="0583F326"/>
    <w:rsid w:val="058A246A"/>
    <w:rsid w:val="059073EB"/>
    <w:rsid w:val="0593C1C2"/>
    <w:rsid w:val="05A8281D"/>
    <w:rsid w:val="05B835B8"/>
    <w:rsid w:val="05BA3D07"/>
    <w:rsid w:val="05BF92E5"/>
    <w:rsid w:val="05C00920"/>
    <w:rsid w:val="05C01890"/>
    <w:rsid w:val="05C123FC"/>
    <w:rsid w:val="05CC3E32"/>
    <w:rsid w:val="05CC94AE"/>
    <w:rsid w:val="05D3CF56"/>
    <w:rsid w:val="05DBFE76"/>
    <w:rsid w:val="05DE5EF2"/>
    <w:rsid w:val="05E34C2E"/>
    <w:rsid w:val="05E3D09C"/>
    <w:rsid w:val="05E72896"/>
    <w:rsid w:val="0622996D"/>
    <w:rsid w:val="0628BBE9"/>
    <w:rsid w:val="062A584E"/>
    <w:rsid w:val="064359C2"/>
    <w:rsid w:val="0643BE8C"/>
    <w:rsid w:val="064A64E2"/>
    <w:rsid w:val="0656535A"/>
    <w:rsid w:val="065A1160"/>
    <w:rsid w:val="065A5B99"/>
    <w:rsid w:val="0664FD50"/>
    <w:rsid w:val="0669BC03"/>
    <w:rsid w:val="066C4386"/>
    <w:rsid w:val="06744937"/>
    <w:rsid w:val="06791AD4"/>
    <w:rsid w:val="067EB134"/>
    <w:rsid w:val="067F61DB"/>
    <w:rsid w:val="067F78F2"/>
    <w:rsid w:val="0682B76B"/>
    <w:rsid w:val="0684DE38"/>
    <w:rsid w:val="06863779"/>
    <w:rsid w:val="068B3908"/>
    <w:rsid w:val="0692CC18"/>
    <w:rsid w:val="069AF888"/>
    <w:rsid w:val="06A5584A"/>
    <w:rsid w:val="06AD86FA"/>
    <w:rsid w:val="06ADE250"/>
    <w:rsid w:val="06C8E17B"/>
    <w:rsid w:val="06CA09CF"/>
    <w:rsid w:val="06CBA4D9"/>
    <w:rsid w:val="06CC4C89"/>
    <w:rsid w:val="06D15E68"/>
    <w:rsid w:val="06DAAF93"/>
    <w:rsid w:val="06E955CA"/>
    <w:rsid w:val="06F07C39"/>
    <w:rsid w:val="06F3FF1B"/>
    <w:rsid w:val="070726AB"/>
    <w:rsid w:val="07078CA1"/>
    <w:rsid w:val="070A6C80"/>
    <w:rsid w:val="070EB1A1"/>
    <w:rsid w:val="070FE127"/>
    <w:rsid w:val="07153632"/>
    <w:rsid w:val="07247C01"/>
    <w:rsid w:val="072B60D1"/>
    <w:rsid w:val="0735F867"/>
    <w:rsid w:val="0738B262"/>
    <w:rsid w:val="07390CD7"/>
    <w:rsid w:val="073AF234"/>
    <w:rsid w:val="0742EF18"/>
    <w:rsid w:val="0744FED1"/>
    <w:rsid w:val="075E71BB"/>
    <w:rsid w:val="07608FF3"/>
    <w:rsid w:val="0762A4A3"/>
    <w:rsid w:val="0775022D"/>
    <w:rsid w:val="0779A964"/>
    <w:rsid w:val="077A1D3B"/>
    <w:rsid w:val="078E26BA"/>
    <w:rsid w:val="078FDAC5"/>
    <w:rsid w:val="07A6A2BF"/>
    <w:rsid w:val="07A916C5"/>
    <w:rsid w:val="07B7BAAE"/>
    <w:rsid w:val="07B9DE23"/>
    <w:rsid w:val="07B9FA56"/>
    <w:rsid w:val="07BA7CDF"/>
    <w:rsid w:val="07C366E5"/>
    <w:rsid w:val="07D5C893"/>
    <w:rsid w:val="07D9B8CA"/>
    <w:rsid w:val="07E738E9"/>
    <w:rsid w:val="07EA269F"/>
    <w:rsid w:val="0805CBE9"/>
    <w:rsid w:val="0811BF66"/>
    <w:rsid w:val="08177C18"/>
    <w:rsid w:val="0824D6C8"/>
    <w:rsid w:val="08269D7C"/>
    <w:rsid w:val="08293E9B"/>
    <w:rsid w:val="0829E4F8"/>
    <w:rsid w:val="0829ECBE"/>
    <w:rsid w:val="082F7B61"/>
    <w:rsid w:val="0838AFC9"/>
    <w:rsid w:val="08490ED1"/>
    <w:rsid w:val="084A6623"/>
    <w:rsid w:val="084AD71A"/>
    <w:rsid w:val="084E8253"/>
    <w:rsid w:val="0854D700"/>
    <w:rsid w:val="085C3052"/>
    <w:rsid w:val="085DB094"/>
    <w:rsid w:val="085DBF79"/>
    <w:rsid w:val="0867B7DE"/>
    <w:rsid w:val="0870D1F0"/>
    <w:rsid w:val="087ECBCA"/>
    <w:rsid w:val="0883A0D3"/>
    <w:rsid w:val="0886037A"/>
    <w:rsid w:val="08928057"/>
    <w:rsid w:val="08AB94E4"/>
    <w:rsid w:val="08CA7DCD"/>
    <w:rsid w:val="08D03698"/>
    <w:rsid w:val="08D193D2"/>
    <w:rsid w:val="08D72F99"/>
    <w:rsid w:val="08DB47E1"/>
    <w:rsid w:val="08E036CA"/>
    <w:rsid w:val="08E41F23"/>
    <w:rsid w:val="08E9505C"/>
    <w:rsid w:val="08F012E7"/>
    <w:rsid w:val="08F15C67"/>
    <w:rsid w:val="08F260F9"/>
    <w:rsid w:val="08F705EA"/>
    <w:rsid w:val="08F9CA48"/>
    <w:rsid w:val="08F9D16E"/>
    <w:rsid w:val="08FCD51E"/>
    <w:rsid w:val="0903778A"/>
    <w:rsid w:val="090496FD"/>
    <w:rsid w:val="0904C4D2"/>
    <w:rsid w:val="090957DA"/>
    <w:rsid w:val="090A54D7"/>
    <w:rsid w:val="091F801C"/>
    <w:rsid w:val="093C4E5E"/>
    <w:rsid w:val="094FACFB"/>
    <w:rsid w:val="0952FE01"/>
    <w:rsid w:val="09535208"/>
    <w:rsid w:val="09560030"/>
    <w:rsid w:val="095DC454"/>
    <w:rsid w:val="095FD8AA"/>
    <w:rsid w:val="0961A57E"/>
    <w:rsid w:val="096307BE"/>
    <w:rsid w:val="09697B62"/>
    <w:rsid w:val="096E2E29"/>
    <w:rsid w:val="096E4AB5"/>
    <w:rsid w:val="096F6BF1"/>
    <w:rsid w:val="097584C7"/>
    <w:rsid w:val="09835D1C"/>
    <w:rsid w:val="09877B7F"/>
    <w:rsid w:val="09A96288"/>
    <w:rsid w:val="09B8469E"/>
    <w:rsid w:val="09B9A8FB"/>
    <w:rsid w:val="09CB8071"/>
    <w:rsid w:val="09CEBC6C"/>
    <w:rsid w:val="09D22F72"/>
    <w:rsid w:val="09D6922F"/>
    <w:rsid w:val="09D879CA"/>
    <w:rsid w:val="09DA6A0C"/>
    <w:rsid w:val="09DD8E7B"/>
    <w:rsid w:val="09E1BA6E"/>
    <w:rsid w:val="09F28196"/>
    <w:rsid w:val="0A00B830"/>
    <w:rsid w:val="0A157FB3"/>
    <w:rsid w:val="0A1BDC42"/>
    <w:rsid w:val="0A221716"/>
    <w:rsid w:val="0A25C050"/>
    <w:rsid w:val="0A29CBD0"/>
    <w:rsid w:val="0A3FD422"/>
    <w:rsid w:val="0A4298F0"/>
    <w:rsid w:val="0A47E643"/>
    <w:rsid w:val="0A4D1ECA"/>
    <w:rsid w:val="0A4FA5DC"/>
    <w:rsid w:val="0A5590BD"/>
    <w:rsid w:val="0A6E437C"/>
    <w:rsid w:val="0A711796"/>
    <w:rsid w:val="0A82E3E3"/>
    <w:rsid w:val="0A86D75B"/>
    <w:rsid w:val="0A8805E2"/>
    <w:rsid w:val="0A89304A"/>
    <w:rsid w:val="0A8B5B45"/>
    <w:rsid w:val="0A8D58CE"/>
    <w:rsid w:val="0A8EB275"/>
    <w:rsid w:val="0A999ABF"/>
    <w:rsid w:val="0A9B15E5"/>
    <w:rsid w:val="0AA9F4FA"/>
    <w:rsid w:val="0AAEFCAA"/>
    <w:rsid w:val="0AB62204"/>
    <w:rsid w:val="0AB9A881"/>
    <w:rsid w:val="0ABF3B3A"/>
    <w:rsid w:val="0AC5B063"/>
    <w:rsid w:val="0AC9DB6B"/>
    <w:rsid w:val="0AC9FAB9"/>
    <w:rsid w:val="0AD6C5E6"/>
    <w:rsid w:val="0AE012C0"/>
    <w:rsid w:val="0AE5E384"/>
    <w:rsid w:val="0AEC92DE"/>
    <w:rsid w:val="0AF74B52"/>
    <w:rsid w:val="0B09E826"/>
    <w:rsid w:val="0B0A077F"/>
    <w:rsid w:val="0B0D0122"/>
    <w:rsid w:val="0B253892"/>
    <w:rsid w:val="0B254193"/>
    <w:rsid w:val="0B28EA1B"/>
    <w:rsid w:val="0B2CF811"/>
    <w:rsid w:val="0B3514CF"/>
    <w:rsid w:val="0B39D23D"/>
    <w:rsid w:val="0B428CB5"/>
    <w:rsid w:val="0B42ED99"/>
    <w:rsid w:val="0B430B88"/>
    <w:rsid w:val="0B460C22"/>
    <w:rsid w:val="0B46CEB6"/>
    <w:rsid w:val="0B4B8EC4"/>
    <w:rsid w:val="0B4DCE0E"/>
    <w:rsid w:val="0B5963E3"/>
    <w:rsid w:val="0B5D560D"/>
    <w:rsid w:val="0B5F3DBA"/>
    <w:rsid w:val="0B64262E"/>
    <w:rsid w:val="0B720010"/>
    <w:rsid w:val="0B8302D7"/>
    <w:rsid w:val="0B86B745"/>
    <w:rsid w:val="0B898B19"/>
    <w:rsid w:val="0B89E792"/>
    <w:rsid w:val="0B8D2EA4"/>
    <w:rsid w:val="0B8E482E"/>
    <w:rsid w:val="0B8FD2C1"/>
    <w:rsid w:val="0B97FB4F"/>
    <w:rsid w:val="0BA02564"/>
    <w:rsid w:val="0BA3D035"/>
    <w:rsid w:val="0BA85B9D"/>
    <w:rsid w:val="0BAF115C"/>
    <w:rsid w:val="0BB25066"/>
    <w:rsid w:val="0BC6B3FE"/>
    <w:rsid w:val="0BD4E139"/>
    <w:rsid w:val="0BE35A9C"/>
    <w:rsid w:val="0BE559AD"/>
    <w:rsid w:val="0C026747"/>
    <w:rsid w:val="0C161299"/>
    <w:rsid w:val="0C16EFC5"/>
    <w:rsid w:val="0C28613D"/>
    <w:rsid w:val="0C37F86E"/>
    <w:rsid w:val="0C3A703E"/>
    <w:rsid w:val="0C3AB60D"/>
    <w:rsid w:val="0C4188CB"/>
    <w:rsid w:val="0C445DD0"/>
    <w:rsid w:val="0C4CB54E"/>
    <w:rsid w:val="0C5747E5"/>
    <w:rsid w:val="0C575C90"/>
    <w:rsid w:val="0C59B23D"/>
    <w:rsid w:val="0C59CC6A"/>
    <w:rsid w:val="0C5F4CBF"/>
    <w:rsid w:val="0C5F508F"/>
    <w:rsid w:val="0C6399F1"/>
    <w:rsid w:val="0C64AA94"/>
    <w:rsid w:val="0C657B48"/>
    <w:rsid w:val="0C845B29"/>
    <w:rsid w:val="0C9DF25B"/>
    <w:rsid w:val="0CAA95B1"/>
    <w:rsid w:val="0CB30715"/>
    <w:rsid w:val="0CB4D5BB"/>
    <w:rsid w:val="0CC04A64"/>
    <w:rsid w:val="0CD3B127"/>
    <w:rsid w:val="0CDC9026"/>
    <w:rsid w:val="0CE176BB"/>
    <w:rsid w:val="0CE78629"/>
    <w:rsid w:val="0CEC588B"/>
    <w:rsid w:val="0CECDA7D"/>
    <w:rsid w:val="0CEE035F"/>
    <w:rsid w:val="0CF37B53"/>
    <w:rsid w:val="0CF867B3"/>
    <w:rsid w:val="0CFC4734"/>
    <w:rsid w:val="0D00B404"/>
    <w:rsid w:val="0D14BBBB"/>
    <w:rsid w:val="0D1AAEC0"/>
    <w:rsid w:val="0D25415E"/>
    <w:rsid w:val="0D2C1496"/>
    <w:rsid w:val="0D307722"/>
    <w:rsid w:val="0D31421F"/>
    <w:rsid w:val="0D361F66"/>
    <w:rsid w:val="0D3C3479"/>
    <w:rsid w:val="0D3DC764"/>
    <w:rsid w:val="0D3E355D"/>
    <w:rsid w:val="0D3E55CC"/>
    <w:rsid w:val="0D4A7A81"/>
    <w:rsid w:val="0D4C0C7F"/>
    <w:rsid w:val="0D5A2253"/>
    <w:rsid w:val="0D6AADEA"/>
    <w:rsid w:val="0D76FF0A"/>
    <w:rsid w:val="0D949A3C"/>
    <w:rsid w:val="0D9502FE"/>
    <w:rsid w:val="0DB7C477"/>
    <w:rsid w:val="0DB83EB4"/>
    <w:rsid w:val="0DBC2CE6"/>
    <w:rsid w:val="0DBDE3B1"/>
    <w:rsid w:val="0DBE8575"/>
    <w:rsid w:val="0DBEC4CA"/>
    <w:rsid w:val="0DC580E8"/>
    <w:rsid w:val="0DC87A4E"/>
    <w:rsid w:val="0DD60803"/>
    <w:rsid w:val="0DEC0BF3"/>
    <w:rsid w:val="0DF41068"/>
    <w:rsid w:val="0DF46DB4"/>
    <w:rsid w:val="0DF7C47E"/>
    <w:rsid w:val="0DF8A95A"/>
    <w:rsid w:val="0E03403B"/>
    <w:rsid w:val="0E03FE98"/>
    <w:rsid w:val="0E0A4204"/>
    <w:rsid w:val="0E0C1B4C"/>
    <w:rsid w:val="0E10995A"/>
    <w:rsid w:val="0E121DB0"/>
    <w:rsid w:val="0E1B4903"/>
    <w:rsid w:val="0E1E8150"/>
    <w:rsid w:val="0E2226A2"/>
    <w:rsid w:val="0E2426AE"/>
    <w:rsid w:val="0E265C37"/>
    <w:rsid w:val="0E3532EB"/>
    <w:rsid w:val="0E3EABFB"/>
    <w:rsid w:val="0E46F424"/>
    <w:rsid w:val="0E4F74A2"/>
    <w:rsid w:val="0E50147A"/>
    <w:rsid w:val="0E52828D"/>
    <w:rsid w:val="0E63930A"/>
    <w:rsid w:val="0E67733F"/>
    <w:rsid w:val="0E6C2907"/>
    <w:rsid w:val="0E712C73"/>
    <w:rsid w:val="0E7CE43F"/>
    <w:rsid w:val="0E8E92C9"/>
    <w:rsid w:val="0E98F389"/>
    <w:rsid w:val="0EA8D5C2"/>
    <w:rsid w:val="0EB35156"/>
    <w:rsid w:val="0ED26E1D"/>
    <w:rsid w:val="0EDE5DCF"/>
    <w:rsid w:val="0EDFD315"/>
    <w:rsid w:val="0EE8C017"/>
    <w:rsid w:val="0EE9A62D"/>
    <w:rsid w:val="0EF1D367"/>
    <w:rsid w:val="0EF8F664"/>
    <w:rsid w:val="0EFB08A8"/>
    <w:rsid w:val="0F035243"/>
    <w:rsid w:val="0F17A8B7"/>
    <w:rsid w:val="0F1915F1"/>
    <w:rsid w:val="0F1A7902"/>
    <w:rsid w:val="0F1BCC0F"/>
    <w:rsid w:val="0F1D29E1"/>
    <w:rsid w:val="0F1DA581"/>
    <w:rsid w:val="0F1F5007"/>
    <w:rsid w:val="0F22CF98"/>
    <w:rsid w:val="0F22ED13"/>
    <w:rsid w:val="0F3734AC"/>
    <w:rsid w:val="0F3F51A7"/>
    <w:rsid w:val="0F4A4A9C"/>
    <w:rsid w:val="0F52EFB3"/>
    <w:rsid w:val="0F5D46BD"/>
    <w:rsid w:val="0F640EFD"/>
    <w:rsid w:val="0F6C72D1"/>
    <w:rsid w:val="0F7E1754"/>
    <w:rsid w:val="0F7EB536"/>
    <w:rsid w:val="0F7EEA4C"/>
    <w:rsid w:val="0F8280DA"/>
    <w:rsid w:val="0F9FCFAE"/>
    <w:rsid w:val="0FA2E9FA"/>
    <w:rsid w:val="0FAA01F3"/>
    <w:rsid w:val="0FBC5A64"/>
    <w:rsid w:val="0FC726F2"/>
    <w:rsid w:val="0FCDA79E"/>
    <w:rsid w:val="0FCE33D5"/>
    <w:rsid w:val="0FD6D4A4"/>
    <w:rsid w:val="0FD70544"/>
    <w:rsid w:val="0FD97951"/>
    <w:rsid w:val="0FE0D557"/>
    <w:rsid w:val="0FE0E075"/>
    <w:rsid w:val="0FE28628"/>
    <w:rsid w:val="0FED35FD"/>
    <w:rsid w:val="0FF4D8CF"/>
    <w:rsid w:val="0FF807EB"/>
    <w:rsid w:val="0FFBDDC0"/>
    <w:rsid w:val="1007FA85"/>
    <w:rsid w:val="100C9482"/>
    <w:rsid w:val="1019A0CA"/>
    <w:rsid w:val="1019CFE3"/>
    <w:rsid w:val="101D82AA"/>
    <w:rsid w:val="10204385"/>
    <w:rsid w:val="10220E9C"/>
    <w:rsid w:val="1025E199"/>
    <w:rsid w:val="10443567"/>
    <w:rsid w:val="10535399"/>
    <w:rsid w:val="105D0D26"/>
    <w:rsid w:val="10608168"/>
    <w:rsid w:val="10621CCE"/>
    <w:rsid w:val="1067069D"/>
    <w:rsid w:val="106D1D93"/>
    <w:rsid w:val="107A2637"/>
    <w:rsid w:val="10801A07"/>
    <w:rsid w:val="109101CC"/>
    <w:rsid w:val="1091CD32"/>
    <w:rsid w:val="109EDB74"/>
    <w:rsid w:val="109F439D"/>
    <w:rsid w:val="109F956E"/>
    <w:rsid w:val="10A3CEB7"/>
    <w:rsid w:val="10B1BBCD"/>
    <w:rsid w:val="10B63F75"/>
    <w:rsid w:val="10B8CA58"/>
    <w:rsid w:val="10CD1E80"/>
    <w:rsid w:val="10D1C426"/>
    <w:rsid w:val="10D8FDE8"/>
    <w:rsid w:val="10DD3341"/>
    <w:rsid w:val="10E59C92"/>
    <w:rsid w:val="10EE0568"/>
    <w:rsid w:val="110AFFD3"/>
    <w:rsid w:val="11132912"/>
    <w:rsid w:val="1116D637"/>
    <w:rsid w:val="111750C4"/>
    <w:rsid w:val="111812EF"/>
    <w:rsid w:val="111AC4FC"/>
    <w:rsid w:val="111D56AE"/>
    <w:rsid w:val="1128B505"/>
    <w:rsid w:val="114AE076"/>
    <w:rsid w:val="114CB09B"/>
    <w:rsid w:val="1156493F"/>
    <w:rsid w:val="115F9805"/>
    <w:rsid w:val="115F9CA9"/>
    <w:rsid w:val="116232F7"/>
    <w:rsid w:val="11655D04"/>
    <w:rsid w:val="11661BD9"/>
    <w:rsid w:val="1174E754"/>
    <w:rsid w:val="11772AE4"/>
    <w:rsid w:val="1177D189"/>
    <w:rsid w:val="117C0659"/>
    <w:rsid w:val="117FA165"/>
    <w:rsid w:val="119BD99B"/>
    <w:rsid w:val="11ADCE23"/>
    <w:rsid w:val="11B17E4C"/>
    <w:rsid w:val="11B84414"/>
    <w:rsid w:val="11B9C1CF"/>
    <w:rsid w:val="11BBE769"/>
    <w:rsid w:val="11BD1586"/>
    <w:rsid w:val="11BF93BE"/>
    <w:rsid w:val="11C23713"/>
    <w:rsid w:val="11CEE901"/>
    <w:rsid w:val="11D8C439"/>
    <w:rsid w:val="11DE2FFA"/>
    <w:rsid w:val="11EE6E0A"/>
    <w:rsid w:val="11F2F454"/>
    <w:rsid w:val="1204751C"/>
    <w:rsid w:val="121C0105"/>
    <w:rsid w:val="121F5611"/>
    <w:rsid w:val="12295896"/>
    <w:rsid w:val="122D1E2C"/>
    <w:rsid w:val="12330D34"/>
    <w:rsid w:val="12331297"/>
    <w:rsid w:val="1236A9A0"/>
    <w:rsid w:val="1246EE09"/>
    <w:rsid w:val="1252F7AB"/>
    <w:rsid w:val="12539263"/>
    <w:rsid w:val="125A7CDB"/>
    <w:rsid w:val="125B55E9"/>
    <w:rsid w:val="125E5B3F"/>
    <w:rsid w:val="125EC30A"/>
    <w:rsid w:val="12615A31"/>
    <w:rsid w:val="12641670"/>
    <w:rsid w:val="127464B7"/>
    <w:rsid w:val="127DE774"/>
    <w:rsid w:val="12872451"/>
    <w:rsid w:val="12920A33"/>
    <w:rsid w:val="129905F6"/>
    <w:rsid w:val="12A30FB8"/>
    <w:rsid w:val="12B14AB9"/>
    <w:rsid w:val="12B38E59"/>
    <w:rsid w:val="12C3D3D7"/>
    <w:rsid w:val="12CD093A"/>
    <w:rsid w:val="12CE5947"/>
    <w:rsid w:val="12CFA1F6"/>
    <w:rsid w:val="12D2C23A"/>
    <w:rsid w:val="12DD4D51"/>
    <w:rsid w:val="12EFB91E"/>
    <w:rsid w:val="12F0E6E9"/>
    <w:rsid w:val="12F67A67"/>
    <w:rsid w:val="12F84CC0"/>
    <w:rsid w:val="13028920"/>
    <w:rsid w:val="130979E2"/>
    <w:rsid w:val="130F09E3"/>
    <w:rsid w:val="131E0010"/>
    <w:rsid w:val="131E8EEC"/>
    <w:rsid w:val="1320F73F"/>
    <w:rsid w:val="132143C7"/>
    <w:rsid w:val="1321A61F"/>
    <w:rsid w:val="13221091"/>
    <w:rsid w:val="132FCBCF"/>
    <w:rsid w:val="133231E4"/>
    <w:rsid w:val="1335CB46"/>
    <w:rsid w:val="13363C9F"/>
    <w:rsid w:val="13392A2C"/>
    <w:rsid w:val="133A303C"/>
    <w:rsid w:val="133FF4A8"/>
    <w:rsid w:val="13468FF0"/>
    <w:rsid w:val="1348A4C7"/>
    <w:rsid w:val="134DEE79"/>
    <w:rsid w:val="1353C163"/>
    <w:rsid w:val="135CCB44"/>
    <w:rsid w:val="1362F88D"/>
    <w:rsid w:val="138048D3"/>
    <w:rsid w:val="139018FC"/>
    <w:rsid w:val="13A32742"/>
    <w:rsid w:val="13B4EC3D"/>
    <w:rsid w:val="13B75232"/>
    <w:rsid w:val="13B7E427"/>
    <w:rsid w:val="13BD5B5A"/>
    <w:rsid w:val="13C54E5D"/>
    <w:rsid w:val="13C619ED"/>
    <w:rsid w:val="13CCF957"/>
    <w:rsid w:val="13D85733"/>
    <w:rsid w:val="13DB1F92"/>
    <w:rsid w:val="13DE4818"/>
    <w:rsid w:val="13E13B65"/>
    <w:rsid w:val="13F053A1"/>
    <w:rsid w:val="13F2B507"/>
    <w:rsid w:val="13F68662"/>
    <w:rsid w:val="13F7285E"/>
    <w:rsid w:val="13F93A35"/>
    <w:rsid w:val="13FB886D"/>
    <w:rsid w:val="1400005E"/>
    <w:rsid w:val="14119468"/>
    <w:rsid w:val="1418AAC3"/>
    <w:rsid w:val="14285B6B"/>
    <w:rsid w:val="142A59A1"/>
    <w:rsid w:val="142FEC3D"/>
    <w:rsid w:val="143021A8"/>
    <w:rsid w:val="1445733C"/>
    <w:rsid w:val="14459722"/>
    <w:rsid w:val="14480201"/>
    <w:rsid w:val="1455793A"/>
    <w:rsid w:val="145B7263"/>
    <w:rsid w:val="1475FA0B"/>
    <w:rsid w:val="1478AFFD"/>
    <w:rsid w:val="147E22AF"/>
    <w:rsid w:val="147EB2D4"/>
    <w:rsid w:val="148160EC"/>
    <w:rsid w:val="1489ECC8"/>
    <w:rsid w:val="148CA162"/>
    <w:rsid w:val="148CFF7A"/>
    <w:rsid w:val="148F5EE0"/>
    <w:rsid w:val="14917B4E"/>
    <w:rsid w:val="1498D7C0"/>
    <w:rsid w:val="149BD733"/>
    <w:rsid w:val="14A935E6"/>
    <w:rsid w:val="14A9A09C"/>
    <w:rsid w:val="14AB7E6A"/>
    <w:rsid w:val="14BCD621"/>
    <w:rsid w:val="14C71979"/>
    <w:rsid w:val="14CACC86"/>
    <w:rsid w:val="14CCD3ED"/>
    <w:rsid w:val="14D5701D"/>
    <w:rsid w:val="14DCC175"/>
    <w:rsid w:val="14E3000E"/>
    <w:rsid w:val="14E9EB6F"/>
    <w:rsid w:val="14ED4106"/>
    <w:rsid w:val="14EDE5B8"/>
    <w:rsid w:val="14EE11FD"/>
    <w:rsid w:val="14EEF035"/>
    <w:rsid w:val="14EF8B6A"/>
    <w:rsid w:val="14F7D8E4"/>
    <w:rsid w:val="14FCF1D2"/>
    <w:rsid w:val="1505F24A"/>
    <w:rsid w:val="1507DD7D"/>
    <w:rsid w:val="150A2DF1"/>
    <w:rsid w:val="15180620"/>
    <w:rsid w:val="152E313F"/>
    <w:rsid w:val="15375CA0"/>
    <w:rsid w:val="15383029"/>
    <w:rsid w:val="153A4EAB"/>
    <w:rsid w:val="1549E754"/>
    <w:rsid w:val="154FA85B"/>
    <w:rsid w:val="1551C201"/>
    <w:rsid w:val="1558134B"/>
    <w:rsid w:val="1558270C"/>
    <w:rsid w:val="155E1577"/>
    <w:rsid w:val="15666C8B"/>
    <w:rsid w:val="157CFCF8"/>
    <w:rsid w:val="157D383E"/>
    <w:rsid w:val="157F3C5E"/>
    <w:rsid w:val="158172CF"/>
    <w:rsid w:val="15838F9C"/>
    <w:rsid w:val="1586A936"/>
    <w:rsid w:val="15887F94"/>
    <w:rsid w:val="15935F0D"/>
    <w:rsid w:val="1598BFA0"/>
    <w:rsid w:val="15A70BDA"/>
    <w:rsid w:val="15AB6634"/>
    <w:rsid w:val="15C12827"/>
    <w:rsid w:val="15C1D01A"/>
    <w:rsid w:val="15CA1B78"/>
    <w:rsid w:val="15CBF02F"/>
    <w:rsid w:val="15DAD589"/>
    <w:rsid w:val="15E25455"/>
    <w:rsid w:val="15E6760B"/>
    <w:rsid w:val="15F802C0"/>
    <w:rsid w:val="15FBE530"/>
    <w:rsid w:val="1603CC68"/>
    <w:rsid w:val="161470E2"/>
    <w:rsid w:val="1615B0E1"/>
    <w:rsid w:val="16206999"/>
    <w:rsid w:val="16207560"/>
    <w:rsid w:val="16225FF7"/>
    <w:rsid w:val="1623182C"/>
    <w:rsid w:val="162985AA"/>
    <w:rsid w:val="1638C5A8"/>
    <w:rsid w:val="164344A4"/>
    <w:rsid w:val="1647F482"/>
    <w:rsid w:val="164D7E2E"/>
    <w:rsid w:val="165011FB"/>
    <w:rsid w:val="165C5871"/>
    <w:rsid w:val="165CF74C"/>
    <w:rsid w:val="16600F9A"/>
    <w:rsid w:val="167CE8AE"/>
    <w:rsid w:val="16857098"/>
    <w:rsid w:val="168EE82F"/>
    <w:rsid w:val="169B16E7"/>
    <w:rsid w:val="16A588AB"/>
    <w:rsid w:val="16AE1001"/>
    <w:rsid w:val="16AE4749"/>
    <w:rsid w:val="16BD8ED1"/>
    <w:rsid w:val="16BF01CF"/>
    <w:rsid w:val="16C34F3C"/>
    <w:rsid w:val="16CC90B9"/>
    <w:rsid w:val="16DEEBAC"/>
    <w:rsid w:val="16E4AC02"/>
    <w:rsid w:val="16E5034E"/>
    <w:rsid w:val="16E743BB"/>
    <w:rsid w:val="16F846E9"/>
    <w:rsid w:val="16FD5E7E"/>
    <w:rsid w:val="1708CA77"/>
    <w:rsid w:val="170DE136"/>
    <w:rsid w:val="170F654D"/>
    <w:rsid w:val="17110C54"/>
    <w:rsid w:val="171403D4"/>
    <w:rsid w:val="1717361E"/>
    <w:rsid w:val="171B7026"/>
    <w:rsid w:val="172DBF40"/>
    <w:rsid w:val="1731F012"/>
    <w:rsid w:val="17399DF8"/>
    <w:rsid w:val="174B897D"/>
    <w:rsid w:val="174D039C"/>
    <w:rsid w:val="175C25F7"/>
    <w:rsid w:val="175CF510"/>
    <w:rsid w:val="175F5674"/>
    <w:rsid w:val="176AA999"/>
    <w:rsid w:val="176BE29A"/>
    <w:rsid w:val="17753318"/>
    <w:rsid w:val="177AD770"/>
    <w:rsid w:val="1786B49B"/>
    <w:rsid w:val="178AB7C1"/>
    <w:rsid w:val="178FC9AD"/>
    <w:rsid w:val="179061E3"/>
    <w:rsid w:val="179A40DC"/>
    <w:rsid w:val="17A1C33C"/>
    <w:rsid w:val="17B0A450"/>
    <w:rsid w:val="17B9B427"/>
    <w:rsid w:val="17BB54A7"/>
    <w:rsid w:val="17BCFCAE"/>
    <w:rsid w:val="17C4DDC5"/>
    <w:rsid w:val="17CD5530"/>
    <w:rsid w:val="17D393EE"/>
    <w:rsid w:val="17D5E1B9"/>
    <w:rsid w:val="17D7857F"/>
    <w:rsid w:val="17D93373"/>
    <w:rsid w:val="17D94564"/>
    <w:rsid w:val="17E27EAA"/>
    <w:rsid w:val="17E3F150"/>
    <w:rsid w:val="17E7B01E"/>
    <w:rsid w:val="17EB3382"/>
    <w:rsid w:val="17F270ED"/>
    <w:rsid w:val="17F39140"/>
    <w:rsid w:val="17F3BB91"/>
    <w:rsid w:val="17F4745F"/>
    <w:rsid w:val="1805FE5F"/>
    <w:rsid w:val="18069926"/>
    <w:rsid w:val="180824CC"/>
    <w:rsid w:val="180C3060"/>
    <w:rsid w:val="180EA046"/>
    <w:rsid w:val="180F1D1C"/>
    <w:rsid w:val="1816B611"/>
    <w:rsid w:val="18278FB1"/>
    <w:rsid w:val="182C6E77"/>
    <w:rsid w:val="182F13B6"/>
    <w:rsid w:val="1836CC46"/>
    <w:rsid w:val="1842FD9A"/>
    <w:rsid w:val="184445ED"/>
    <w:rsid w:val="18489C06"/>
    <w:rsid w:val="184F4708"/>
    <w:rsid w:val="185BD0FF"/>
    <w:rsid w:val="185F2DE4"/>
    <w:rsid w:val="1861D9BC"/>
    <w:rsid w:val="186700E4"/>
    <w:rsid w:val="1868F418"/>
    <w:rsid w:val="1869E113"/>
    <w:rsid w:val="186B3951"/>
    <w:rsid w:val="18711400"/>
    <w:rsid w:val="187380FB"/>
    <w:rsid w:val="187677A9"/>
    <w:rsid w:val="1877051C"/>
    <w:rsid w:val="1878EB00"/>
    <w:rsid w:val="187D9F8C"/>
    <w:rsid w:val="1883B314"/>
    <w:rsid w:val="1883D387"/>
    <w:rsid w:val="188634B1"/>
    <w:rsid w:val="1886C462"/>
    <w:rsid w:val="188C1DF8"/>
    <w:rsid w:val="1890CFD3"/>
    <w:rsid w:val="1893635D"/>
    <w:rsid w:val="18980AFE"/>
    <w:rsid w:val="189D9917"/>
    <w:rsid w:val="189EC4BB"/>
    <w:rsid w:val="18A01ABE"/>
    <w:rsid w:val="18A7B5A1"/>
    <w:rsid w:val="18AB22E9"/>
    <w:rsid w:val="18B2C3B8"/>
    <w:rsid w:val="18B4C924"/>
    <w:rsid w:val="18C316C4"/>
    <w:rsid w:val="18C54384"/>
    <w:rsid w:val="18CD65A2"/>
    <w:rsid w:val="18D7CC6F"/>
    <w:rsid w:val="18DEE3FE"/>
    <w:rsid w:val="18E1DCC3"/>
    <w:rsid w:val="18E21BE3"/>
    <w:rsid w:val="18E919F7"/>
    <w:rsid w:val="18F4732A"/>
    <w:rsid w:val="1908C22E"/>
    <w:rsid w:val="1916FC60"/>
    <w:rsid w:val="191B15E9"/>
    <w:rsid w:val="191D9923"/>
    <w:rsid w:val="19281752"/>
    <w:rsid w:val="19352D2D"/>
    <w:rsid w:val="193B8451"/>
    <w:rsid w:val="193D5702"/>
    <w:rsid w:val="194951ED"/>
    <w:rsid w:val="194A42DC"/>
    <w:rsid w:val="196E9D2C"/>
    <w:rsid w:val="196EE81E"/>
    <w:rsid w:val="1973E8AF"/>
    <w:rsid w:val="1978FA57"/>
    <w:rsid w:val="197BFADC"/>
    <w:rsid w:val="197DB116"/>
    <w:rsid w:val="198A0922"/>
    <w:rsid w:val="198BE4E1"/>
    <w:rsid w:val="198F545E"/>
    <w:rsid w:val="1992B7D5"/>
    <w:rsid w:val="19936C5F"/>
    <w:rsid w:val="199429BC"/>
    <w:rsid w:val="19A2DD61"/>
    <w:rsid w:val="19ADC044"/>
    <w:rsid w:val="19B5D081"/>
    <w:rsid w:val="19BA5366"/>
    <w:rsid w:val="19C50D56"/>
    <w:rsid w:val="19CF30F2"/>
    <w:rsid w:val="19D0C786"/>
    <w:rsid w:val="19DBC0B3"/>
    <w:rsid w:val="19E27AAB"/>
    <w:rsid w:val="19E53BD3"/>
    <w:rsid w:val="19F0985B"/>
    <w:rsid w:val="19FD9B68"/>
    <w:rsid w:val="1A0075B9"/>
    <w:rsid w:val="1A020B68"/>
    <w:rsid w:val="1A038AC2"/>
    <w:rsid w:val="1A081C0F"/>
    <w:rsid w:val="1A0C5066"/>
    <w:rsid w:val="1A0D0660"/>
    <w:rsid w:val="1A16F278"/>
    <w:rsid w:val="1A204203"/>
    <w:rsid w:val="1A2A93D0"/>
    <w:rsid w:val="1A2D1008"/>
    <w:rsid w:val="1A2DF3BF"/>
    <w:rsid w:val="1A320341"/>
    <w:rsid w:val="1A3216AB"/>
    <w:rsid w:val="1A3333AC"/>
    <w:rsid w:val="1A3A05EE"/>
    <w:rsid w:val="1A4672BF"/>
    <w:rsid w:val="1A486237"/>
    <w:rsid w:val="1A556C77"/>
    <w:rsid w:val="1A5C20F9"/>
    <w:rsid w:val="1A661306"/>
    <w:rsid w:val="1A693311"/>
    <w:rsid w:val="1A6F911B"/>
    <w:rsid w:val="1A879276"/>
    <w:rsid w:val="1A87F7BA"/>
    <w:rsid w:val="1A8995C9"/>
    <w:rsid w:val="1A930536"/>
    <w:rsid w:val="1A9457E2"/>
    <w:rsid w:val="1A9D64CF"/>
    <w:rsid w:val="1AAA5A40"/>
    <w:rsid w:val="1ABC3BDC"/>
    <w:rsid w:val="1AC7090A"/>
    <w:rsid w:val="1AD07C0E"/>
    <w:rsid w:val="1AD9A05F"/>
    <w:rsid w:val="1AE01C67"/>
    <w:rsid w:val="1AEC6207"/>
    <w:rsid w:val="1AF10304"/>
    <w:rsid w:val="1AF3CEA1"/>
    <w:rsid w:val="1AF9287C"/>
    <w:rsid w:val="1AF987F8"/>
    <w:rsid w:val="1B011248"/>
    <w:rsid w:val="1B1364F5"/>
    <w:rsid w:val="1B2B76CC"/>
    <w:rsid w:val="1B2DE427"/>
    <w:rsid w:val="1B311DAD"/>
    <w:rsid w:val="1B3AE214"/>
    <w:rsid w:val="1B3D552F"/>
    <w:rsid w:val="1B40335F"/>
    <w:rsid w:val="1B4D9E03"/>
    <w:rsid w:val="1B4E4683"/>
    <w:rsid w:val="1B500BF0"/>
    <w:rsid w:val="1B61160B"/>
    <w:rsid w:val="1B67D005"/>
    <w:rsid w:val="1B6D5D26"/>
    <w:rsid w:val="1B71960B"/>
    <w:rsid w:val="1B8529CB"/>
    <w:rsid w:val="1B933767"/>
    <w:rsid w:val="1B976120"/>
    <w:rsid w:val="1B9BC6C6"/>
    <w:rsid w:val="1BA2B364"/>
    <w:rsid w:val="1BAF06F1"/>
    <w:rsid w:val="1BB10958"/>
    <w:rsid w:val="1BB33EA6"/>
    <w:rsid w:val="1BC152CB"/>
    <w:rsid w:val="1BC2C831"/>
    <w:rsid w:val="1BE65920"/>
    <w:rsid w:val="1BE7773E"/>
    <w:rsid w:val="1BFBBA69"/>
    <w:rsid w:val="1C06A4BB"/>
    <w:rsid w:val="1C083F0F"/>
    <w:rsid w:val="1C08A7E5"/>
    <w:rsid w:val="1C1736A2"/>
    <w:rsid w:val="1C1993A5"/>
    <w:rsid w:val="1C1DD7E5"/>
    <w:rsid w:val="1C2D17F3"/>
    <w:rsid w:val="1C38EDA4"/>
    <w:rsid w:val="1C396ECF"/>
    <w:rsid w:val="1C439825"/>
    <w:rsid w:val="1C490AA8"/>
    <w:rsid w:val="1C4BFE3E"/>
    <w:rsid w:val="1C508D3B"/>
    <w:rsid w:val="1C53DCFC"/>
    <w:rsid w:val="1C54EA79"/>
    <w:rsid w:val="1C5AC750"/>
    <w:rsid w:val="1C5EE6D6"/>
    <w:rsid w:val="1C60B7BB"/>
    <w:rsid w:val="1C884C57"/>
    <w:rsid w:val="1C89AE89"/>
    <w:rsid w:val="1C9EA793"/>
    <w:rsid w:val="1CA53173"/>
    <w:rsid w:val="1CA58C87"/>
    <w:rsid w:val="1CA748BF"/>
    <w:rsid w:val="1CAA274B"/>
    <w:rsid w:val="1CC94030"/>
    <w:rsid w:val="1CCB0412"/>
    <w:rsid w:val="1CDF254C"/>
    <w:rsid w:val="1CE41DF3"/>
    <w:rsid w:val="1CEA8713"/>
    <w:rsid w:val="1CF03DE8"/>
    <w:rsid w:val="1CF460D3"/>
    <w:rsid w:val="1CFF4913"/>
    <w:rsid w:val="1D02DDE6"/>
    <w:rsid w:val="1D05B407"/>
    <w:rsid w:val="1D157F19"/>
    <w:rsid w:val="1D19C847"/>
    <w:rsid w:val="1D22C3F4"/>
    <w:rsid w:val="1D49EB2C"/>
    <w:rsid w:val="1D58E142"/>
    <w:rsid w:val="1D5D3EF7"/>
    <w:rsid w:val="1D631064"/>
    <w:rsid w:val="1D65B383"/>
    <w:rsid w:val="1D676BB9"/>
    <w:rsid w:val="1D6884BA"/>
    <w:rsid w:val="1D6BA275"/>
    <w:rsid w:val="1D6EB102"/>
    <w:rsid w:val="1D6F6E5C"/>
    <w:rsid w:val="1D8C3CB2"/>
    <w:rsid w:val="1D922216"/>
    <w:rsid w:val="1D9494E0"/>
    <w:rsid w:val="1DA553F4"/>
    <w:rsid w:val="1DAA48B6"/>
    <w:rsid w:val="1DAB6FA5"/>
    <w:rsid w:val="1DB23687"/>
    <w:rsid w:val="1DB4DCEE"/>
    <w:rsid w:val="1DBBA322"/>
    <w:rsid w:val="1DC13FE0"/>
    <w:rsid w:val="1DC28180"/>
    <w:rsid w:val="1DCDF30F"/>
    <w:rsid w:val="1DE9DAC7"/>
    <w:rsid w:val="1DEED631"/>
    <w:rsid w:val="1DF098F3"/>
    <w:rsid w:val="1DFB4DDB"/>
    <w:rsid w:val="1DFB7446"/>
    <w:rsid w:val="1E00D706"/>
    <w:rsid w:val="1E03AF66"/>
    <w:rsid w:val="1E043158"/>
    <w:rsid w:val="1E04C461"/>
    <w:rsid w:val="1E0578C0"/>
    <w:rsid w:val="1E07C74B"/>
    <w:rsid w:val="1E0944EF"/>
    <w:rsid w:val="1E0F3086"/>
    <w:rsid w:val="1E1DB3FA"/>
    <w:rsid w:val="1E22516C"/>
    <w:rsid w:val="1E43ADD2"/>
    <w:rsid w:val="1E45E084"/>
    <w:rsid w:val="1E576578"/>
    <w:rsid w:val="1E57A923"/>
    <w:rsid w:val="1E5A28F6"/>
    <w:rsid w:val="1E6288AA"/>
    <w:rsid w:val="1E6C0CA8"/>
    <w:rsid w:val="1E75703A"/>
    <w:rsid w:val="1E7684C5"/>
    <w:rsid w:val="1E76AE90"/>
    <w:rsid w:val="1E7894A7"/>
    <w:rsid w:val="1E7B9827"/>
    <w:rsid w:val="1E874854"/>
    <w:rsid w:val="1E877F90"/>
    <w:rsid w:val="1E8EA1F2"/>
    <w:rsid w:val="1EAE9084"/>
    <w:rsid w:val="1EC0AFBE"/>
    <w:rsid w:val="1EC0C71A"/>
    <w:rsid w:val="1EC2325B"/>
    <w:rsid w:val="1EC5E7EC"/>
    <w:rsid w:val="1ECCEDB7"/>
    <w:rsid w:val="1ED9BD69"/>
    <w:rsid w:val="1EE9A5D5"/>
    <w:rsid w:val="1EEED884"/>
    <w:rsid w:val="1EF8ACAE"/>
    <w:rsid w:val="1F0AD5BC"/>
    <w:rsid w:val="1F1007D9"/>
    <w:rsid w:val="1F131E3B"/>
    <w:rsid w:val="1F1A8311"/>
    <w:rsid w:val="1F2E18C6"/>
    <w:rsid w:val="1F30816D"/>
    <w:rsid w:val="1F35543A"/>
    <w:rsid w:val="1F363708"/>
    <w:rsid w:val="1F39EB6D"/>
    <w:rsid w:val="1F3CA8E2"/>
    <w:rsid w:val="1F40C76F"/>
    <w:rsid w:val="1F4EE383"/>
    <w:rsid w:val="1F52FE94"/>
    <w:rsid w:val="1F5A9E1D"/>
    <w:rsid w:val="1F5DE4AB"/>
    <w:rsid w:val="1F5FA779"/>
    <w:rsid w:val="1F65439E"/>
    <w:rsid w:val="1F6679A1"/>
    <w:rsid w:val="1F7C1727"/>
    <w:rsid w:val="1F8141D9"/>
    <w:rsid w:val="1F864D88"/>
    <w:rsid w:val="1F87A0E5"/>
    <w:rsid w:val="1F8DE2B9"/>
    <w:rsid w:val="1F8DFBF6"/>
    <w:rsid w:val="1FAA1AFF"/>
    <w:rsid w:val="1FAADF15"/>
    <w:rsid w:val="1FABC05C"/>
    <w:rsid w:val="1FAE3CAC"/>
    <w:rsid w:val="1FB1F0B5"/>
    <w:rsid w:val="1FB4BC17"/>
    <w:rsid w:val="1FB8DC70"/>
    <w:rsid w:val="1FBC306C"/>
    <w:rsid w:val="1FBCC24D"/>
    <w:rsid w:val="1FC4776D"/>
    <w:rsid w:val="1FD8215A"/>
    <w:rsid w:val="1FE6E8FB"/>
    <w:rsid w:val="1FF387EB"/>
    <w:rsid w:val="1FF6B00F"/>
    <w:rsid w:val="20007EFE"/>
    <w:rsid w:val="20230FB9"/>
    <w:rsid w:val="202F50A6"/>
    <w:rsid w:val="204B62AB"/>
    <w:rsid w:val="204E4DF0"/>
    <w:rsid w:val="20527DD2"/>
    <w:rsid w:val="2053269F"/>
    <w:rsid w:val="2053F587"/>
    <w:rsid w:val="20687A3A"/>
    <w:rsid w:val="2081BEF2"/>
    <w:rsid w:val="20888305"/>
    <w:rsid w:val="208A2F06"/>
    <w:rsid w:val="20985B16"/>
    <w:rsid w:val="209A1EB6"/>
    <w:rsid w:val="20A083CF"/>
    <w:rsid w:val="20A4E47C"/>
    <w:rsid w:val="20A9F82B"/>
    <w:rsid w:val="20AD0C52"/>
    <w:rsid w:val="20B009F3"/>
    <w:rsid w:val="20B0FA1B"/>
    <w:rsid w:val="20BF0C91"/>
    <w:rsid w:val="20CAC4B6"/>
    <w:rsid w:val="20CF5088"/>
    <w:rsid w:val="20DF84EE"/>
    <w:rsid w:val="20E086CE"/>
    <w:rsid w:val="20EB101C"/>
    <w:rsid w:val="20EC5CB5"/>
    <w:rsid w:val="20EE72C6"/>
    <w:rsid w:val="20F4705F"/>
    <w:rsid w:val="210A1198"/>
    <w:rsid w:val="213A33E8"/>
    <w:rsid w:val="213CA395"/>
    <w:rsid w:val="213F1738"/>
    <w:rsid w:val="21509DC7"/>
    <w:rsid w:val="215BE0C0"/>
    <w:rsid w:val="215DC42A"/>
    <w:rsid w:val="215F70C8"/>
    <w:rsid w:val="21646554"/>
    <w:rsid w:val="216C0632"/>
    <w:rsid w:val="21782941"/>
    <w:rsid w:val="21807A6A"/>
    <w:rsid w:val="21823499"/>
    <w:rsid w:val="219BDA74"/>
    <w:rsid w:val="21A16B21"/>
    <w:rsid w:val="21A8C7B7"/>
    <w:rsid w:val="21ABA8DB"/>
    <w:rsid w:val="21B1AD2A"/>
    <w:rsid w:val="21B491DC"/>
    <w:rsid w:val="21B55113"/>
    <w:rsid w:val="21B6940B"/>
    <w:rsid w:val="21BA371E"/>
    <w:rsid w:val="21BB075A"/>
    <w:rsid w:val="21BFDF8C"/>
    <w:rsid w:val="21D19B87"/>
    <w:rsid w:val="21D8C047"/>
    <w:rsid w:val="21DCD681"/>
    <w:rsid w:val="21DCDAEA"/>
    <w:rsid w:val="21E15C9F"/>
    <w:rsid w:val="21E7A51E"/>
    <w:rsid w:val="21F3AE8A"/>
    <w:rsid w:val="21F3CABA"/>
    <w:rsid w:val="21F781DB"/>
    <w:rsid w:val="21FFD6D3"/>
    <w:rsid w:val="220B843A"/>
    <w:rsid w:val="220B92A9"/>
    <w:rsid w:val="220ECBED"/>
    <w:rsid w:val="221A7BCB"/>
    <w:rsid w:val="221B6D82"/>
    <w:rsid w:val="222B3703"/>
    <w:rsid w:val="223C2147"/>
    <w:rsid w:val="2248040C"/>
    <w:rsid w:val="224A3E74"/>
    <w:rsid w:val="226A0E81"/>
    <w:rsid w:val="226D8A8A"/>
    <w:rsid w:val="22737831"/>
    <w:rsid w:val="227A367E"/>
    <w:rsid w:val="227A9A73"/>
    <w:rsid w:val="227F1B8F"/>
    <w:rsid w:val="2281A7AF"/>
    <w:rsid w:val="2281C774"/>
    <w:rsid w:val="2283783F"/>
    <w:rsid w:val="2285DCAE"/>
    <w:rsid w:val="2288D01B"/>
    <w:rsid w:val="228D8653"/>
    <w:rsid w:val="2299FE9A"/>
    <w:rsid w:val="229DA702"/>
    <w:rsid w:val="22A54F81"/>
    <w:rsid w:val="22AD14E6"/>
    <w:rsid w:val="22AF66D0"/>
    <w:rsid w:val="22B8F1C8"/>
    <w:rsid w:val="22BA1455"/>
    <w:rsid w:val="22BA9E51"/>
    <w:rsid w:val="22BE33CE"/>
    <w:rsid w:val="22C51F5F"/>
    <w:rsid w:val="22D70F4A"/>
    <w:rsid w:val="22D9B505"/>
    <w:rsid w:val="22DFB2BC"/>
    <w:rsid w:val="22E098A8"/>
    <w:rsid w:val="22E5ECD3"/>
    <w:rsid w:val="22E68CCC"/>
    <w:rsid w:val="22F9383D"/>
    <w:rsid w:val="22FAE006"/>
    <w:rsid w:val="2302C925"/>
    <w:rsid w:val="23082617"/>
    <w:rsid w:val="230BF2C6"/>
    <w:rsid w:val="23165FC3"/>
    <w:rsid w:val="23214AA6"/>
    <w:rsid w:val="23224B08"/>
    <w:rsid w:val="23282021"/>
    <w:rsid w:val="2337FD2F"/>
    <w:rsid w:val="233FB664"/>
    <w:rsid w:val="2349D348"/>
    <w:rsid w:val="234EAEF7"/>
    <w:rsid w:val="2354B677"/>
    <w:rsid w:val="23555910"/>
    <w:rsid w:val="23567626"/>
    <w:rsid w:val="23626C78"/>
    <w:rsid w:val="2362A532"/>
    <w:rsid w:val="2367A2C7"/>
    <w:rsid w:val="2368A6DE"/>
    <w:rsid w:val="236D4E57"/>
    <w:rsid w:val="236D6C69"/>
    <w:rsid w:val="2371B290"/>
    <w:rsid w:val="237609AE"/>
    <w:rsid w:val="237FEC33"/>
    <w:rsid w:val="2383174B"/>
    <w:rsid w:val="2383E64D"/>
    <w:rsid w:val="23A49EFB"/>
    <w:rsid w:val="23A516FC"/>
    <w:rsid w:val="23ACEAF8"/>
    <w:rsid w:val="23AE3376"/>
    <w:rsid w:val="23BCE1A0"/>
    <w:rsid w:val="23C071FC"/>
    <w:rsid w:val="23CD95A0"/>
    <w:rsid w:val="23E3E82D"/>
    <w:rsid w:val="23E68C0E"/>
    <w:rsid w:val="23E8049E"/>
    <w:rsid w:val="23EB546D"/>
    <w:rsid w:val="23EDC45C"/>
    <w:rsid w:val="23F34377"/>
    <w:rsid w:val="23F580C5"/>
    <w:rsid w:val="23FA3A7A"/>
    <w:rsid w:val="23FC4290"/>
    <w:rsid w:val="23FF12F4"/>
    <w:rsid w:val="2400138F"/>
    <w:rsid w:val="240181D7"/>
    <w:rsid w:val="241B7605"/>
    <w:rsid w:val="2423A239"/>
    <w:rsid w:val="2427F2E0"/>
    <w:rsid w:val="242EF04E"/>
    <w:rsid w:val="2434350C"/>
    <w:rsid w:val="243A06B9"/>
    <w:rsid w:val="24472BD2"/>
    <w:rsid w:val="244CA98A"/>
    <w:rsid w:val="244E598D"/>
    <w:rsid w:val="244F7874"/>
    <w:rsid w:val="24512B62"/>
    <w:rsid w:val="24554BA6"/>
    <w:rsid w:val="24574045"/>
    <w:rsid w:val="2458A046"/>
    <w:rsid w:val="2458B098"/>
    <w:rsid w:val="2458D5DE"/>
    <w:rsid w:val="245CCC36"/>
    <w:rsid w:val="245FD864"/>
    <w:rsid w:val="246CD5A8"/>
    <w:rsid w:val="248293A2"/>
    <w:rsid w:val="24911EE4"/>
    <w:rsid w:val="249AF9C4"/>
    <w:rsid w:val="24A1F61C"/>
    <w:rsid w:val="24A43DA0"/>
    <w:rsid w:val="24A8D7A8"/>
    <w:rsid w:val="24AE9CF8"/>
    <w:rsid w:val="24B340E1"/>
    <w:rsid w:val="24BCFDAF"/>
    <w:rsid w:val="24C578DF"/>
    <w:rsid w:val="24C96D11"/>
    <w:rsid w:val="24CBA23E"/>
    <w:rsid w:val="24D19E97"/>
    <w:rsid w:val="24DD0B99"/>
    <w:rsid w:val="24EF782D"/>
    <w:rsid w:val="24F3CFBB"/>
    <w:rsid w:val="24FA2F3D"/>
    <w:rsid w:val="2501DD97"/>
    <w:rsid w:val="25043409"/>
    <w:rsid w:val="250B6A89"/>
    <w:rsid w:val="251160E0"/>
    <w:rsid w:val="2519B943"/>
    <w:rsid w:val="252EB19C"/>
    <w:rsid w:val="253ED347"/>
    <w:rsid w:val="25411995"/>
    <w:rsid w:val="254476CD"/>
    <w:rsid w:val="2547A79D"/>
    <w:rsid w:val="254C83A6"/>
    <w:rsid w:val="254F76D0"/>
    <w:rsid w:val="25666E20"/>
    <w:rsid w:val="256D6072"/>
    <w:rsid w:val="256E9F1C"/>
    <w:rsid w:val="25714A4F"/>
    <w:rsid w:val="25732EC4"/>
    <w:rsid w:val="257C7522"/>
    <w:rsid w:val="258C9C5C"/>
    <w:rsid w:val="258E1B94"/>
    <w:rsid w:val="258F97FB"/>
    <w:rsid w:val="259322B1"/>
    <w:rsid w:val="259AD172"/>
    <w:rsid w:val="259B4B39"/>
    <w:rsid w:val="259E8932"/>
    <w:rsid w:val="25AB0EBF"/>
    <w:rsid w:val="25AEB63F"/>
    <w:rsid w:val="25B56FE5"/>
    <w:rsid w:val="25B61FCE"/>
    <w:rsid w:val="25C3C5F0"/>
    <w:rsid w:val="25C6985D"/>
    <w:rsid w:val="25E84C65"/>
    <w:rsid w:val="25ED2171"/>
    <w:rsid w:val="25F08053"/>
    <w:rsid w:val="25F25EAD"/>
    <w:rsid w:val="25FC6EF9"/>
    <w:rsid w:val="25FD022A"/>
    <w:rsid w:val="260C2831"/>
    <w:rsid w:val="260F5A37"/>
    <w:rsid w:val="261FF093"/>
    <w:rsid w:val="2623321C"/>
    <w:rsid w:val="26401C53"/>
    <w:rsid w:val="264CB327"/>
    <w:rsid w:val="264FA1E5"/>
    <w:rsid w:val="2658F121"/>
    <w:rsid w:val="265927D5"/>
    <w:rsid w:val="265F5434"/>
    <w:rsid w:val="26675EDD"/>
    <w:rsid w:val="267309E1"/>
    <w:rsid w:val="26758102"/>
    <w:rsid w:val="267AEF06"/>
    <w:rsid w:val="26810A86"/>
    <w:rsid w:val="26846C8A"/>
    <w:rsid w:val="2686A13D"/>
    <w:rsid w:val="268CC653"/>
    <w:rsid w:val="268F2715"/>
    <w:rsid w:val="269082C3"/>
    <w:rsid w:val="26A5685C"/>
    <w:rsid w:val="26A795F9"/>
    <w:rsid w:val="26AF13FD"/>
    <w:rsid w:val="26B738AD"/>
    <w:rsid w:val="26BED6C3"/>
    <w:rsid w:val="26BF6A7A"/>
    <w:rsid w:val="26C8F7C1"/>
    <w:rsid w:val="26C9D901"/>
    <w:rsid w:val="26CD6274"/>
    <w:rsid w:val="26CE381A"/>
    <w:rsid w:val="26D19977"/>
    <w:rsid w:val="26D3B944"/>
    <w:rsid w:val="26D48A12"/>
    <w:rsid w:val="26DE6595"/>
    <w:rsid w:val="26DEF387"/>
    <w:rsid w:val="26E6E842"/>
    <w:rsid w:val="26E9E3BC"/>
    <w:rsid w:val="26EAE1A8"/>
    <w:rsid w:val="26EF1F3A"/>
    <w:rsid w:val="26FC526E"/>
    <w:rsid w:val="27015A7D"/>
    <w:rsid w:val="2702B7EC"/>
    <w:rsid w:val="2708C2D9"/>
    <w:rsid w:val="270AA816"/>
    <w:rsid w:val="2710A871"/>
    <w:rsid w:val="271825B7"/>
    <w:rsid w:val="272F2293"/>
    <w:rsid w:val="27353C1F"/>
    <w:rsid w:val="2739A551"/>
    <w:rsid w:val="273B9D66"/>
    <w:rsid w:val="273CDBBD"/>
    <w:rsid w:val="273D6A34"/>
    <w:rsid w:val="2747B9A1"/>
    <w:rsid w:val="2748656F"/>
    <w:rsid w:val="2751AEE9"/>
    <w:rsid w:val="2755FCF4"/>
    <w:rsid w:val="27636102"/>
    <w:rsid w:val="277A3540"/>
    <w:rsid w:val="27933415"/>
    <w:rsid w:val="27A7BA13"/>
    <w:rsid w:val="27B02D49"/>
    <w:rsid w:val="27B1C767"/>
    <w:rsid w:val="27B58F80"/>
    <w:rsid w:val="27D4EE10"/>
    <w:rsid w:val="27DF2BFE"/>
    <w:rsid w:val="27EB15F8"/>
    <w:rsid w:val="27EFFC21"/>
    <w:rsid w:val="27F0625F"/>
    <w:rsid w:val="27F13BD1"/>
    <w:rsid w:val="27FF2501"/>
    <w:rsid w:val="281A361D"/>
    <w:rsid w:val="281A7378"/>
    <w:rsid w:val="281C5B0B"/>
    <w:rsid w:val="281D9FD8"/>
    <w:rsid w:val="281EBC5B"/>
    <w:rsid w:val="281F87D4"/>
    <w:rsid w:val="2826B2FB"/>
    <w:rsid w:val="282847CE"/>
    <w:rsid w:val="282D1C59"/>
    <w:rsid w:val="282F53F8"/>
    <w:rsid w:val="28337A1E"/>
    <w:rsid w:val="2846B852"/>
    <w:rsid w:val="2846C9BD"/>
    <w:rsid w:val="2867C8D7"/>
    <w:rsid w:val="28684912"/>
    <w:rsid w:val="2869DF91"/>
    <w:rsid w:val="286F5CFF"/>
    <w:rsid w:val="2873299F"/>
    <w:rsid w:val="2876E03B"/>
    <w:rsid w:val="2878BBCF"/>
    <w:rsid w:val="287C4888"/>
    <w:rsid w:val="2881016C"/>
    <w:rsid w:val="2889BE15"/>
    <w:rsid w:val="2889D7FB"/>
    <w:rsid w:val="288BFD49"/>
    <w:rsid w:val="289A5850"/>
    <w:rsid w:val="28A4FE97"/>
    <w:rsid w:val="28B2C3CA"/>
    <w:rsid w:val="28B756CE"/>
    <w:rsid w:val="28C136B8"/>
    <w:rsid w:val="28C978CC"/>
    <w:rsid w:val="28CACFC3"/>
    <w:rsid w:val="28CECA23"/>
    <w:rsid w:val="28D4E32F"/>
    <w:rsid w:val="28D77543"/>
    <w:rsid w:val="28DC7DBE"/>
    <w:rsid w:val="28F32AE6"/>
    <w:rsid w:val="28F4713F"/>
    <w:rsid w:val="2904FE27"/>
    <w:rsid w:val="290C2FD6"/>
    <w:rsid w:val="291A1EC7"/>
    <w:rsid w:val="292ABEA3"/>
    <w:rsid w:val="292EA175"/>
    <w:rsid w:val="29362583"/>
    <w:rsid w:val="293DBB16"/>
    <w:rsid w:val="29449166"/>
    <w:rsid w:val="2947FD0D"/>
    <w:rsid w:val="294A991A"/>
    <w:rsid w:val="294D720F"/>
    <w:rsid w:val="29584A13"/>
    <w:rsid w:val="295ADE07"/>
    <w:rsid w:val="295CBFF9"/>
    <w:rsid w:val="296706F7"/>
    <w:rsid w:val="2969E334"/>
    <w:rsid w:val="29767E23"/>
    <w:rsid w:val="2997390A"/>
    <w:rsid w:val="2997F4E5"/>
    <w:rsid w:val="2999693D"/>
    <w:rsid w:val="299A65D1"/>
    <w:rsid w:val="299BEE5C"/>
    <w:rsid w:val="29A2BB1F"/>
    <w:rsid w:val="29AFF8E9"/>
    <w:rsid w:val="29B910AF"/>
    <w:rsid w:val="29C7C39B"/>
    <w:rsid w:val="29D4CB9A"/>
    <w:rsid w:val="29E3C75F"/>
    <w:rsid w:val="29E42814"/>
    <w:rsid w:val="29EDAD35"/>
    <w:rsid w:val="29EFFBBD"/>
    <w:rsid w:val="29F68B5E"/>
    <w:rsid w:val="2A0257F8"/>
    <w:rsid w:val="2A15027B"/>
    <w:rsid w:val="2A25C7D6"/>
    <w:rsid w:val="2A274658"/>
    <w:rsid w:val="2A2D47CD"/>
    <w:rsid w:val="2A3482FF"/>
    <w:rsid w:val="2A394039"/>
    <w:rsid w:val="2A3B0D50"/>
    <w:rsid w:val="2A443F7F"/>
    <w:rsid w:val="2A4CC825"/>
    <w:rsid w:val="2A611E36"/>
    <w:rsid w:val="2A620DEC"/>
    <w:rsid w:val="2A67BB5C"/>
    <w:rsid w:val="2A6B2168"/>
    <w:rsid w:val="2A6FAD76"/>
    <w:rsid w:val="2A7A926D"/>
    <w:rsid w:val="2A7F4A8F"/>
    <w:rsid w:val="2A857CC0"/>
    <w:rsid w:val="2A8634FE"/>
    <w:rsid w:val="2A956573"/>
    <w:rsid w:val="2A9958CA"/>
    <w:rsid w:val="2A9B99A4"/>
    <w:rsid w:val="2AA00C21"/>
    <w:rsid w:val="2AA5C684"/>
    <w:rsid w:val="2AA79A0C"/>
    <w:rsid w:val="2AB5150A"/>
    <w:rsid w:val="2AB6A185"/>
    <w:rsid w:val="2ABE3938"/>
    <w:rsid w:val="2ACF62F6"/>
    <w:rsid w:val="2AD5A42C"/>
    <w:rsid w:val="2AD9902F"/>
    <w:rsid w:val="2AE4B8E1"/>
    <w:rsid w:val="2AE853FD"/>
    <w:rsid w:val="2AFE2F3A"/>
    <w:rsid w:val="2AFFEA93"/>
    <w:rsid w:val="2B0BFD39"/>
    <w:rsid w:val="2B0C6513"/>
    <w:rsid w:val="2B163A9C"/>
    <w:rsid w:val="2B1B2F7E"/>
    <w:rsid w:val="2B223E41"/>
    <w:rsid w:val="2B2BBBB2"/>
    <w:rsid w:val="2B2D0FE9"/>
    <w:rsid w:val="2B2D7D2B"/>
    <w:rsid w:val="2B2FF070"/>
    <w:rsid w:val="2B31D71D"/>
    <w:rsid w:val="2B3C4B87"/>
    <w:rsid w:val="2B3D3917"/>
    <w:rsid w:val="2B43042A"/>
    <w:rsid w:val="2B4C2C2D"/>
    <w:rsid w:val="2B4F4D1F"/>
    <w:rsid w:val="2B538195"/>
    <w:rsid w:val="2B5A66ED"/>
    <w:rsid w:val="2B5BD31D"/>
    <w:rsid w:val="2B5C1207"/>
    <w:rsid w:val="2B65057A"/>
    <w:rsid w:val="2B744007"/>
    <w:rsid w:val="2B999E51"/>
    <w:rsid w:val="2BA37181"/>
    <w:rsid w:val="2BB1C75A"/>
    <w:rsid w:val="2BC25473"/>
    <w:rsid w:val="2BD09703"/>
    <w:rsid w:val="2BD6438F"/>
    <w:rsid w:val="2BD9C51B"/>
    <w:rsid w:val="2BDD0C60"/>
    <w:rsid w:val="2BF21D40"/>
    <w:rsid w:val="2BF9D618"/>
    <w:rsid w:val="2BFBE8AE"/>
    <w:rsid w:val="2C0352E0"/>
    <w:rsid w:val="2C042847"/>
    <w:rsid w:val="2C05C4CC"/>
    <w:rsid w:val="2C07116C"/>
    <w:rsid w:val="2C0EAB08"/>
    <w:rsid w:val="2C3316D2"/>
    <w:rsid w:val="2C365EBD"/>
    <w:rsid w:val="2C3AC494"/>
    <w:rsid w:val="2C3C399E"/>
    <w:rsid w:val="2C3D092A"/>
    <w:rsid w:val="2C423769"/>
    <w:rsid w:val="2C46E698"/>
    <w:rsid w:val="2C4B2A10"/>
    <w:rsid w:val="2C53FFD9"/>
    <w:rsid w:val="2C593386"/>
    <w:rsid w:val="2C660830"/>
    <w:rsid w:val="2C67C26C"/>
    <w:rsid w:val="2C68492E"/>
    <w:rsid w:val="2C707ACC"/>
    <w:rsid w:val="2C748677"/>
    <w:rsid w:val="2C755BB9"/>
    <w:rsid w:val="2C7C1E9E"/>
    <w:rsid w:val="2C864F01"/>
    <w:rsid w:val="2C89CCF1"/>
    <w:rsid w:val="2C8B5674"/>
    <w:rsid w:val="2C9A2869"/>
    <w:rsid w:val="2C9C3B88"/>
    <w:rsid w:val="2C9D55F3"/>
    <w:rsid w:val="2C9D8F53"/>
    <w:rsid w:val="2CAA87E5"/>
    <w:rsid w:val="2CB8FA70"/>
    <w:rsid w:val="2CBACA22"/>
    <w:rsid w:val="2CBB61CE"/>
    <w:rsid w:val="2CBDB0AE"/>
    <w:rsid w:val="2CD2BE69"/>
    <w:rsid w:val="2CD59A76"/>
    <w:rsid w:val="2CD83096"/>
    <w:rsid w:val="2CE7C989"/>
    <w:rsid w:val="2CF20010"/>
    <w:rsid w:val="2D05F896"/>
    <w:rsid w:val="2D096777"/>
    <w:rsid w:val="2D0D353E"/>
    <w:rsid w:val="2D0FF530"/>
    <w:rsid w:val="2D1597DC"/>
    <w:rsid w:val="2D18F468"/>
    <w:rsid w:val="2D1B9E02"/>
    <w:rsid w:val="2D1FD192"/>
    <w:rsid w:val="2D2A4030"/>
    <w:rsid w:val="2D2AB3BC"/>
    <w:rsid w:val="2D2C9A3C"/>
    <w:rsid w:val="2D2F21AC"/>
    <w:rsid w:val="2D30D08A"/>
    <w:rsid w:val="2D3321A7"/>
    <w:rsid w:val="2D42ACC6"/>
    <w:rsid w:val="2D44992D"/>
    <w:rsid w:val="2D45A5E7"/>
    <w:rsid w:val="2D475546"/>
    <w:rsid w:val="2D494996"/>
    <w:rsid w:val="2D55C8C3"/>
    <w:rsid w:val="2D5C4269"/>
    <w:rsid w:val="2D5D64DE"/>
    <w:rsid w:val="2D5F6AA7"/>
    <w:rsid w:val="2D6F5CBB"/>
    <w:rsid w:val="2D6FA27C"/>
    <w:rsid w:val="2D719676"/>
    <w:rsid w:val="2D72677D"/>
    <w:rsid w:val="2D7CB7B2"/>
    <w:rsid w:val="2D81C422"/>
    <w:rsid w:val="2D81EBA5"/>
    <w:rsid w:val="2D8934A2"/>
    <w:rsid w:val="2D8A84DF"/>
    <w:rsid w:val="2D8C6496"/>
    <w:rsid w:val="2D99A778"/>
    <w:rsid w:val="2DA8DC69"/>
    <w:rsid w:val="2DAEC47A"/>
    <w:rsid w:val="2DC04059"/>
    <w:rsid w:val="2DC5EACE"/>
    <w:rsid w:val="2DC8E527"/>
    <w:rsid w:val="2DCC59A2"/>
    <w:rsid w:val="2DD69212"/>
    <w:rsid w:val="2DE4A818"/>
    <w:rsid w:val="2DEE2490"/>
    <w:rsid w:val="2DEECFB9"/>
    <w:rsid w:val="2DF1CEFA"/>
    <w:rsid w:val="2DFDD5CB"/>
    <w:rsid w:val="2E075836"/>
    <w:rsid w:val="2E0DBDD6"/>
    <w:rsid w:val="2E0EEC6E"/>
    <w:rsid w:val="2E17A16E"/>
    <w:rsid w:val="2E2B4F57"/>
    <w:rsid w:val="2E4661F1"/>
    <w:rsid w:val="2E4870F9"/>
    <w:rsid w:val="2E4C0771"/>
    <w:rsid w:val="2E50FB4E"/>
    <w:rsid w:val="2E5E64D0"/>
    <w:rsid w:val="2E604CBF"/>
    <w:rsid w:val="2E6110F0"/>
    <w:rsid w:val="2E6A3FC0"/>
    <w:rsid w:val="2E6BB86E"/>
    <w:rsid w:val="2E703A3E"/>
    <w:rsid w:val="2E739AE0"/>
    <w:rsid w:val="2E79182A"/>
    <w:rsid w:val="2E82BFBD"/>
    <w:rsid w:val="2E89B29C"/>
    <w:rsid w:val="2E93BB3B"/>
    <w:rsid w:val="2E9C0B85"/>
    <w:rsid w:val="2EA30484"/>
    <w:rsid w:val="2EB5AB67"/>
    <w:rsid w:val="2EB6EFEC"/>
    <w:rsid w:val="2EB918C8"/>
    <w:rsid w:val="2EBB9F5D"/>
    <w:rsid w:val="2EBBA887"/>
    <w:rsid w:val="2EBD3BA4"/>
    <w:rsid w:val="2EC266B5"/>
    <w:rsid w:val="2ECAB6C3"/>
    <w:rsid w:val="2ECD2D99"/>
    <w:rsid w:val="2ECDB40A"/>
    <w:rsid w:val="2ECE7827"/>
    <w:rsid w:val="2ECF2666"/>
    <w:rsid w:val="2EE19CB8"/>
    <w:rsid w:val="2EEE55A4"/>
    <w:rsid w:val="2EF03BBB"/>
    <w:rsid w:val="2EF05DE3"/>
    <w:rsid w:val="2EFECB6C"/>
    <w:rsid w:val="2F0FB5E2"/>
    <w:rsid w:val="2F116AF5"/>
    <w:rsid w:val="2F20C765"/>
    <w:rsid w:val="2F2206FA"/>
    <w:rsid w:val="2F28BCF8"/>
    <w:rsid w:val="2F2A2042"/>
    <w:rsid w:val="2F2F51FF"/>
    <w:rsid w:val="2F2FCE29"/>
    <w:rsid w:val="2F39E434"/>
    <w:rsid w:val="2F579405"/>
    <w:rsid w:val="2F57D602"/>
    <w:rsid w:val="2F5B16C3"/>
    <w:rsid w:val="2F5BD485"/>
    <w:rsid w:val="2F628AEF"/>
    <w:rsid w:val="2F641359"/>
    <w:rsid w:val="2F6834C3"/>
    <w:rsid w:val="2F6A1FAF"/>
    <w:rsid w:val="2F706CF6"/>
    <w:rsid w:val="2F758510"/>
    <w:rsid w:val="2F7D354A"/>
    <w:rsid w:val="2F83D018"/>
    <w:rsid w:val="2F8417E9"/>
    <w:rsid w:val="2F86C210"/>
    <w:rsid w:val="2F8D9ECC"/>
    <w:rsid w:val="2F9A3DD1"/>
    <w:rsid w:val="2F9AE8C6"/>
    <w:rsid w:val="2F9E6324"/>
    <w:rsid w:val="2FA463C8"/>
    <w:rsid w:val="2FA95DBC"/>
    <w:rsid w:val="2FC19D8A"/>
    <w:rsid w:val="2FD8CA2E"/>
    <w:rsid w:val="2FD9CCBE"/>
    <w:rsid w:val="2FDA329E"/>
    <w:rsid w:val="2FE09BDF"/>
    <w:rsid w:val="2FE47DC3"/>
    <w:rsid w:val="2FE62019"/>
    <w:rsid w:val="2FEC8BBA"/>
    <w:rsid w:val="2FF53F1E"/>
    <w:rsid w:val="2FFC64C0"/>
    <w:rsid w:val="3011DAB5"/>
    <w:rsid w:val="301338B8"/>
    <w:rsid w:val="30185A5C"/>
    <w:rsid w:val="301B1C3D"/>
    <w:rsid w:val="301C9418"/>
    <w:rsid w:val="303138E6"/>
    <w:rsid w:val="30355460"/>
    <w:rsid w:val="3038EB7D"/>
    <w:rsid w:val="303DC0A1"/>
    <w:rsid w:val="304D26FF"/>
    <w:rsid w:val="304F120D"/>
    <w:rsid w:val="3053B406"/>
    <w:rsid w:val="30564A6C"/>
    <w:rsid w:val="3059AE05"/>
    <w:rsid w:val="305F6C0E"/>
    <w:rsid w:val="3060415C"/>
    <w:rsid w:val="30630B9E"/>
    <w:rsid w:val="306D1410"/>
    <w:rsid w:val="306E4990"/>
    <w:rsid w:val="3075D7D1"/>
    <w:rsid w:val="307DA3F7"/>
    <w:rsid w:val="30808EA7"/>
    <w:rsid w:val="30876793"/>
    <w:rsid w:val="309629AC"/>
    <w:rsid w:val="30968D35"/>
    <w:rsid w:val="309B49ED"/>
    <w:rsid w:val="309FF98A"/>
    <w:rsid w:val="30B0F422"/>
    <w:rsid w:val="30C2D7DA"/>
    <w:rsid w:val="30C4E784"/>
    <w:rsid w:val="30C6FF0E"/>
    <w:rsid w:val="30DDA64C"/>
    <w:rsid w:val="30EA65CF"/>
    <w:rsid w:val="30F22201"/>
    <w:rsid w:val="30F7F416"/>
    <w:rsid w:val="30F8AF60"/>
    <w:rsid w:val="30FB6F62"/>
    <w:rsid w:val="310898BB"/>
    <w:rsid w:val="310AB863"/>
    <w:rsid w:val="310EF8D9"/>
    <w:rsid w:val="3111F031"/>
    <w:rsid w:val="31135687"/>
    <w:rsid w:val="3122480F"/>
    <w:rsid w:val="315083F6"/>
    <w:rsid w:val="31692BB7"/>
    <w:rsid w:val="318D7598"/>
    <w:rsid w:val="3194D5C3"/>
    <w:rsid w:val="319F9D01"/>
    <w:rsid w:val="31A90F43"/>
    <w:rsid w:val="31AA9047"/>
    <w:rsid w:val="31AB32A6"/>
    <w:rsid w:val="31CC9175"/>
    <w:rsid w:val="31CDD705"/>
    <w:rsid w:val="31D2C129"/>
    <w:rsid w:val="31D39728"/>
    <w:rsid w:val="31D76BBD"/>
    <w:rsid w:val="31E69AD7"/>
    <w:rsid w:val="31F08F91"/>
    <w:rsid w:val="31F43A7F"/>
    <w:rsid w:val="31F75FFF"/>
    <w:rsid w:val="3205B9AD"/>
    <w:rsid w:val="321CDC67"/>
    <w:rsid w:val="322A558D"/>
    <w:rsid w:val="322E2B16"/>
    <w:rsid w:val="322F2E6E"/>
    <w:rsid w:val="3239358B"/>
    <w:rsid w:val="323B216B"/>
    <w:rsid w:val="323DDC25"/>
    <w:rsid w:val="323F2FC3"/>
    <w:rsid w:val="32413913"/>
    <w:rsid w:val="3241D4F4"/>
    <w:rsid w:val="324C6396"/>
    <w:rsid w:val="3250EDAB"/>
    <w:rsid w:val="325AE90A"/>
    <w:rsid w:val="3263B57D"/>
    <w:rsid w:val="326A609E"/>
    <w:rsid w:val="327A7FFA"/>
    <w:rsid w:val="327AC364"/>
    <w:rsid w:val="327C8ACB"/>
    <w:rsid w:val="32805AEA"/>
    <w:rsid w:val="3280D4C1"/>
    <w:rsid w:val="328AA971"/>
    <w:rsid w:val="3296747A"/>
    <w:rsid w:val="329D4E6A"/>
    <w:rsid w:val="329E4AD8"/>
    <w:rsid w:val="32A01366"/>
    <w:rsid w:val="32A4C59E"/>
    <w:rsid w:val="32AB3A37"/>
    <w:rsid w:val="32ABCEA3"/>
    <w:rsid w:val="32AD0266"/>
    <w:rsid w:val="32AFF195"/>
    <w:rsid w:val="32B81C72"/>
    <w:rsid w:val="32B8F2D6"/>
    <w:rsid w:val="32BA6227"/>
    <w:rsid w:val="32BEC6E9"/>
    <w:rsid w:val="32C93996"/>
    <w:rsid w:val="32E3110A"/>
    <w:rsid w:val="32E7A85D"/>
    <w:rsid w:val="32E8E104"/>
    <w:rsid w:val="32F456FF"/>
    <w:rsid w:val="32FF6AAD"/>
    <w:rsid w:val="330D2A75"/>
    <w:rsid w:val="330DA58B"/>
    <w:rsid w:val="33245BE8"/>
    <w:rsid w:val="332D5FC6"/>
    <w:rsid w:val="333C5E0F"/>
    <w:rsid w:val="3354EB3C"/>
    <w:rsid w:val="3355E68E"/>
    <w:rsid w:val="335665BD"/>
    <w:rsid w:val="336096AF"/>
    <w:rsid w:val="3365192F"/>
    <w:rsid w:val="337D3DB5"/>
    <w:rsid w:val="338157D8"/>
    <w:rsid w:val="338BBD5B"/>
    <w:rsid w:val="3398C157"/>
    <w:rsid w:val="339AFEC6"/>
    <w:rsid w:val="33A5E0A4"/>
    <w:rsid w:val="33ACECD8"/>
    <w:rsid w:val="33B41B93"/>
    <w:rsid w:val="33BB42A0"/>
    <w:rsid w:val="33BD6FC0"/>
    <w:rsid w:val="33BDFB48"/>
    <w:rsid w:val="33BEE639"/>
    <w:rsid w:val="33DB151A"/>
    <w:rsid w:val="33F0FA8B"/>
    <w:rsid w:val="33F81D95"/>
    <w:rsid w:val="33F9D5E8"/>
    <w:rsid w:val="3400A463"/>
    <w:rsid w:val="3405B402"/>
    <w:rsid w:val="3408C81A"/>
    <w:rsid w:val="3408F822"/>
    <w:rsid w:val="34107BFC"/>
    <w:rsid w:val="341B8756"/>
    <w:rsid w:val="34255FB7"/>
    <w:rsid w:val="342B22E3"/>
    <w:rsid w:val="342B7600"/>
    <w:rsid w:val="342F4542"/>
    <w:rsid w:val="342FD933"/>
    <w:rsid w:val="3441C6DF"/>
    <w:rsid w:val="34433C6F"/>
    <w:rsid w:val="344C7BBE"/>
    <w:rsid w:val="3455DAE5"/>
    <w:rsid w:val="3455EBF4"/>
    <w:rsid w:val="34593D9D"/>
    <w:rsid w:val="3459A8B0"/>
    <w:rsid w:val="345C34C8"/>
    <w:rsid w:val="345D8F91"/>
    <w:rsid w:val="34614847"/>
    <w:rsid w:val="346CD5C2"/>
    <w:rsid w:val="346E8615"/>
    <w:rsid w:val="3473AD84"/>
    <w:rsid w:val="3475AC81"/>
    <w:rsid w:val="347612B8"/>
    <w:rsid w:val="347CF357"/>
    <w:rsid w:val="34852B5E"/>
    <w:rsid w:val="34859A38"/>
    <w:rsid w:val="34883C7B"/>
    <w:rsid w:val="34891B2A"/>
    <w:rsid w:val="34941C34"/>
    <w:rsid w:val="34AB46A1"/>
    <w:rsid w:val="34AC547C"/>
    <w:rsid w:val="34B40BFD"/>
    <w:rsid w:val="34BCC0BA"/>
    <w:rsid w:val="34BD6B0B"/>
    <w:rsid w:val="34BE3261"/>
    <w:rsid w:val="34C461D7"/>
    <w:rsid w:val="34C4776E"/>
    <w:rsid w:val="34CB454C"/>
    <w:rsid w:val="34DA5921"/>
    <w:rsid w:val="34DCD999"/>
    <w:rsid w:val="34E3BE4A"/>
    <w:rsid w:val="34EEC2CF"/>
    <w:rsid w:val="34F1159E"/>
    <w:rsid w:val="34F1691C"/>
    <w:rsid w:val="35010AAD"/>
    <w:rsid w:val="350F47EF"/>
    <w:rsid w:val="3510D08A"/>
    <w:rsid w:val="35154A30"/>
    <w:rsid w:val="351D9BBC"/>
    <w:rsid w:val="351FAEF5"/>
    <w:rsid w:val="352023FD"/>
    <w:rsid w:val="35297B07"/>
    <w:rsid w:val="352AA27B"/>
    <w:rsid w:val="352B8BCF"/>
    <w:rsid w:val="35372A40"/>
    <w:rsid w:val="3539EDC3"/>
    <w:rsid w:val="353B2C88"/>
    <w:rsid w:val="353B6F60"/>
    <w:rsid w:val="35499326"/>
    <w:rsid w:val="3549B2AF"/>
    <w:rsid w:val="354D7788"/>
    <w:rsid w:val="354EF520"/>
    <w:rsid w:val="35586F8A"/>
    <w:rsid w:val="3558C312"/>
    <w:rsid w:val="355C97C0"/>
    <w:rsid w:val="35649357"/>
    <w:rsid w:val="3564B4AF"/>
    <w:rsid w:val="356B02BD"/>
    <w:rsid w:val="356F16DD"/>
    <w:rsid w:val="3572EA69"/>
    <w:rsid w:val="35786540"/>
    <w:rsid w:val="357C0AC1"/>
    <w:rsid w:val="3582B603"/>
    <w:rsid w:val="35854660"/>
    <w:rsid w:val="3586E394"/>
    <w:rsid w:val="358F3FC6"/>
    <w:rsid w:val="359AE94E"/>
    <w:rsid w:val="359E26CC"/>
    <w:rsid w:val="35A28C1E"/>
    <w:rsid w:val="35A9AF7E"/>
    <w:rsid w:val="35AC33F9"/>
    <w:rsid w:val="35B307B6"/>
    <w:rsid w:val="35BB0585"/>
    <w:rsid w:val="35BC391F"/>
    <w:rsid w:val="35C5BC39"/>
    <w:rsid w:val="35CE5649"/>
    <w:rsid w:val="35D24570"/>
    <w:rsid w:val="35DA8777"/>
    <w:rsid w:val="35E00746"/>
    <w:rsid w:val="35E97FBD"/>
    <w:rsid w:val="35F1CB0E"/>
    <w:rsid w:val="360F5856"/>
    <w:rsid w:val="3619D122"/>
    <w:rsid w:val="361E2BCD"/>
    <w:rsid w:val="36223F59"/>
    <w:rsid w:val="362550F9"/>
    <w:rsid w:val="3627B275"/>
    <w:rsid w:val="3639084E"/>
    <w:rsid w:val="36486641"/>
    <w:rsid w:val="3657124E"/>
    <w:rsid w:val="365A2122"/>
    <w:rsid w:val="365E3200"/>
    <w:rsid w:val="3666A361"/>
    <w:rsid w:val="367277FA"/>
    <w:rsid w:val="3677A204"/>
    <w:rsid w:val="367A0124"/>
    <w:rsid w:val="367FBD61"/>
    <w:rsid w:val="36867A10"/>
    <w:rsid w:val="368F57E7"/>
    <w:rsid w:val="369AE23D"/>
    <w:rsid w:val="369CA7DB"/>
    <w:rsid w:val="36B0ADF0"/>
    <w:rsid w:val="36B64E64"/>
    <w:rsid w:val="36B7BF51"/>
    <w:rsid w:val="36BA3317"/>
    <w:rsid w:val="36BB16E3"/>
    <w:rsid w:val="36BE0A8D"/>
    <w:rsid w:val="36D49ED2"/>
    <w:rsid w:val="36DEC239"/>
    <w:rsid w:val="36E0A436"/>
    <w:rsid w:val="3706AE7B"/>
    <w:rsid w:val="370CDBC8"/>
    <w:rsid w:val="371041F6"/>
    <w:rsid w:val="371C7986"/>
    <w:rsid w:val="37238E1C"/>
    <w:rsid w:val="372560A9"/>
    <w:rsid w:val="3734B081"/>
    <w:rsid w:val="3741F3E9"/>
    <w:rsid w:val="374305DD"/>
    <w:rsid w:val="374CA6D2"/>
    <w:rsid w:val="37545404"/>
    <w:rsid w:val="3760567A"/>
    <w:rsid w:val="3767BF6D"/>
    <w:rsid w:val="376D88E7"/>
    <w:rsid w:val="37724E6D"/>
    <w:rsid w:val="3775C652"/>
    <w:rsid w:val="377A640B"/>
    <w:rsid w:val="377E2465"/>
    <w:rsid w:val="37853B24"/>
    <w:rsid w:val="3790E8D1"/>
    <w:rsid w:val="37940844"/>
    <w:rsid w:val="3794F1A4"/>
    <w:rsid w:val="3795ED45"/>
    <w:rsid w:val="3797BA2C"/>
    <w:rsid w:val="379C6675"/>
    <w:rsid w:val="379E43FC"/>
    <w:rsid w:val="37B26EEE"/>
    <w:rsid w:val="37C4AD9E"/>
    <w:rsid w:val="37C7A835"/>
    <w:rsid w:val="37C7F794"/>
    <w:rsid w:val="37CEB28F"/>
    <w:rsid w:val="37D3CD84"/>
    <w:rsid w:val="37D4367D"/>
    <w:rsid w:val="37D61292"/>
    <w:rsid w:val="37F755C6"/>
    <w:rsid w:val="37F78A26"/>
    <w:rsid w:val="3801BAE7"/>
    <w:rsid w:val="38080E21"/>
    <w:rsid w:val="380908C2"/>
    <w:rsid w:val="381C1E8D"/>
    <w:rsid w:val="382A760F"/>
    <w:rsid w:val="38342AFF"/>
    <w:rsid w:val="383A523E"/>
    <w:rsid w:val="38416CBC"/>
    <w:rsid w:val="3843E60B"/>
    <w:rsid w:val="384F094A"/>
    <w:rsid w:val="385810C1"/>
    <w:rsid w:val="386E4F1D"/>
    <w:rsid w:val="387A286F"/>
    <w:rsid w:val="388C545E"/>
    <w:rsid w:val="38932A9A"/>
    <w:rsid w:val="3897C8AC"/>
    <w:rsid w:val="389FF26C"/>
    <w:rsid w:val="38A91547"/>
    <w:rsid w:val="38B22B39"/>
    <w:rsid w:val="38B3CABE"/>
    <w:rsid w:val="38B633E1"/>
    <w:rsid w:val="38B94714"/>
    <w:rsid w:val="38C02CC4"/>
    <w:rsid w:val="38C5D4C0"/>
    <w:rsid w:val="38D37F17"/>
    <w:rsid w:val="38D7B5AC"/>
    <w:rsid w:val="38E03AF2"/>
    <w:rsid w:val="38E5768B"/>
    <w:rsid w:val="38E584D6"/>
    <w:rsid w:val="38E6FA71"/>
    <w:rsid w:val="38E98E1D"/>
    <w:rsid w:val="38EC792C"/>
    <w:rsid w:val="38ECB7BF"/>
    <w:rsid w:val="38F4D44D"/>
    <w:rsid w:val="3904E10C"/>
    <w:rsid w:val="3907DCD7"/>
    <w:rsid w:val="391168B0"/>
    <w:rsid w:val="39156DB2"/>
    <w:rsid w:val="3915D0E0"/>
    <w:rsid w:val="3920B2DC"/>
    <w:rsid w:val="392BF414"/>
    <w:rsid w:val="392C35CC"/>
    <w:rsid w:val="393DCCCF"/>
    <w:rsid w:val="3950127E"/>
    <w:rsid w:val="3954B292"/>
    <w:rsid w:val="395BD1D8"/>
    <w:rsid w:val="39676F12"/>
    <w:rsid w:val="39689003"/>
    <w:rsid w:val="397662EA"/>
    <w:rsid w:val="397BE6E1"/>
    <w:rsid w:val="3982E260"/>
    <w:rsid w:val="399EF140"/>
    <w:rsid w:val="39A0C7F6"/>
    <w:rsid w:val="39A7563D"/>
    <w:rsid w:val="39AB90A7"/>
    <w:rsid w:val="39B244BF"/>
    <w:rsid w:val="39D84927"/>
    <w:rsid w:val="39DCA221"/>
    <w:rsid w:val="39DDB074"/>
    <w:rsid w:val="39E97D2A"/>
    <w:rsid w:val="39F38BA3"/>
    <w:rsid w:val="39F6A206"/>
    <w:rsid w:val="39FC6010"/>
    <w:rsid w:val="3A0DCF76"/>
    <w:rsid w:val="3A0EDA66"/>
    <w:rsid w:val="3A159A94"/>
    <w:rsid w:val="3A284C59"/>
    <w:rsid w:val="3A33AEB5"/>
    <w:rsid w:val="3A39AC28"/>
    <w:rsid w:val="3A3B7391"/>
    <w:rsid w:val="3A40C248"/>
    <w:rsid w:val="3A4424C1"/>
    <w:rsid w:val="3A48DB04"/>
    <w:rsid w:val="3A54F5D8"/>
    <w:rsid w:val="3A5745D7"/>
    <w:rsid w:val="3A58CD0C"/>
    <w:rsid w:val="3A65F64C"/>
    <w:rsid w:val="3A694E3A"/>
    <w:rsid w:val="3A728DB1"/>
    <w:rsid w:val="3A88FDC3"/>
    <w:rsid w:val="3A8DBA5C"/>
    <w:rsid w:val="3A8E770A"/>
    <w:rsid w:val="3A9655A6"/>
    <w:rsid w:val="3A9CE33E"/>
    <w:rsid w:val="3AA0F5E3"/>
    <w:rsid w:val="3AA15DC9"/>
    <w:rsid w:val="3AA5E0AA"/>
    <w:rsid w:val="3ABDE3E7"/>
    <w:rsid w:val="3AD55ADA"/>
    <w:rsid w:val="3AD898A4"/>
    <w:rsid w:val="3ADECCBD"/>
    <w:rsid w:val="3ADF60FF"/>
    <w:rsid w:val="3AFC4A2F"/>
    <w:rsid w:val="3B052C8E"/>
    <w:rsid w:val="3B0CF60F"/>
    <w:rsid w:val="3B248073"/>
    <w:rsid w:val="3B257163"/>
    <w:rsid w:val="3B263219"/>
    <w:rsid w:val="3B264D4F"/>
    <w:rsid w:val="3B2EB82F"/>
    <w:rsid w:val="3B34D4FB"/>
    <w:rsid w:val="3B3D5F0E"/>
    <w:rsid w:val="3B3FCAE6"/>
    <w:rsid w:val="3B42059E"/>
    <w:rsid w:val="3B436641"/>
    <w:rsid w:val="3B53DD16"/>
    <w:rsid w:val="3B664907"/>
    <w:rsid w:val="3B6F18AA"/>
    <w:rsid w:val="3B77A319"/>
    <w:rsid w:val="3B784B0A"/>
    <w:rsid w:val="3B792932"/>
    <w:rsid w:val="3B7EE3E3"/>
    <w:rsid w:val="3B80CBCB"/>
    <w:rsid w:val="3B843101"/>
    <w:rsid w:val="3B8C591F"/>
    <w:rsid w:val="3B8D0B52"/>
    <w:rsid w:val="3B95DEF4"/>
    <w:rsid w:val="3BA6ACC9"/>
    <w:rsid w:val="3BAA64BE"/>
    <w:rsid w:val="3BB537C2"/>
    <w:rsid w:val="3BBB6E27"/>
    <w:rsid w:val="3BCEC70C"/>
    <w:rsid w:val="3BCF6720"/>
    <w:rsid w:val="3BD41EB9"/>
    <w:rsid w:val="3BDB02F1"/>
    <w:rsid w:val="3BDED1EC"/>
    <w:rsid w:val="3BE27988"/>
    <w:rsid w:val="3BE72AE6"/>
    <w:rsid w:val="3BE87EED"/>
    <w:rsid w:val="3BEA42DD"/>
    <w:rsid w:val="3BED02CD"/>
    <w:rsid w:val="3BFF3FC7"/>
    <w:rsid w:val="3C01E9A7"/>
    <w:rsid w:val="3C03E3DC"/>
    <w:rsid w:val="3C0416DE"/>
    <w:rsid w:val="3C0765CA"/>
    <w:rsid w:val="3C0C02B9"/>
    <w:rsid w:val="3C1033B2"/>
    <w:rsid w:val="3C12B479"/>
    <w:rsid w:val="3C1BA1EF"/>
    <w:rsid w:val="3C22F680"/>
    <w:rsid w:val="3C29CF18"/>
    <w:rsid w:val="3C2A0E6C"/>
    <w:rsid w:val="3C2CEBDE"/>
    <w:rsid w:val="3C2FED63"/>
    <w:rsid w:val="3C30EB72"/>
    <w:rsid w:val="3C38291C"/>
    <w:rsid w:val="3C387E7D"/>
    <w:rsid w:val="3C3AA021"/>
    <w:rsid w:val="3C557974"/>
    <w:rsid w:val="3C5D215C"/>
    <w:rsid w:val="3C640762"/>
    <w:rsid w:val="3C674D25"/>
    <w:rsid w:val="3C6C5848"/>
    <w:rsid w:val="3C78A263"/>
    <w:rsid w:val="3C8ECFAC"/>
    <w:rsid w:val="3C92B421"/>
    <w:rsid w:val="3C97203F"/>
    <w:rsid w:val="3C9E3002"/>
    <w:rsid w:val="3CA11EF6"/>
    <w:rsid w:val="3CB14438"/>
    <w:rsid w:val="3CB4B846"/>
    <w:rsid w:val="3CBB4498"/>
    <w:rsid w:val="3CCD8369"/>
    <w:rsid w:val="3CCE3517"/>
    <w:rsid w:val="3CCFCDF2"/>
    <w:rsid w:val="3CD2B124"/>
    <w:rsid w:val="3CD80CA0"/>
    <w:rsid w:val="3CDB1538"/>
    <w:rsid w:val="3CDBB3E5"/>
    <w:rsid w:val="3CE180A4"/>
    <w:rsid w:val="3CE940E1"/>
    <w:rsid w:val="3CF00126"/>
    <w:rsid w:val="3CF99A65"/>
    <w:rsid w:val="3D06A5F5"/>
    <w:rsid w:val="3D1BEE5D"/>
    <w:rsid w:val="3D26D466"/>
    <w:rsid w:val="3D2DD110"/>
    <w:rsid w:val="3D2E4D64"/>
    <w:rsid w:val="3D31A830"/>
    <w:rsid w:val="3D334452"/>
    <w:rsid w:val="3D33E45F"/>
    <w:rsid w:val="3D39B31F"/>
    <w:rsid w:val="3D3C4165"/>
    <w:rsid w:val="3D3C5D14"/>
    <w:rsid w:val="3D416C25"/>
    <w:rsid w:val="3D5941A8"/>
    <w:rsid w:val="3D62D406"/>
    <w:rsid w:val="3D74ACE7"/>
    <w:rsid w:val="3D79E6E3"/>
    <w:rsid w:val="3D986A70"/>
    <w:rsid w:val="3D9A3909"/>
    <w:rsid w:val="3D9DFED5"/>
    <w:rsid w:val="3DB2C7AF"/>
    <w:rsid w:val="3DBC0750"/>
    <w:rsid w:val="3DBD798A"/>
    <w:rsid w:val="3DBF7984"/>
    <w:rsid w:val="3DC1A1F5"/>
    <w:rsid w:val="3DCA4FA1"/>
    <w:rsid w:val="3DCA8225"/>
    <w:rsid w:val="3DD6C93C"/>
    <w:rsid w:val="3DDCB6BE"/>
    <w:rsid w:val="3DE6A103"/>
    <w:rsid w:val="3DE735F9"/>
    <w:rsid w:val="3DF250E9"/>
    <w:rsid w:val="3DF6910B"/>
    <w:rsid w:val="3E070385"/>
    <w:rsid w:val="3E17CA87"/>
    <w:rsid w:val="3E3AC88F"/>
    <w:rsid w:val="3E4C3566"/>
    <w:rsid w:val="3E4EF17F"/>
    <w:rsid w:val="3E531A0E"/>
    <w:rsid w:val="3E550A3D"/>
    <w:rsid w:val="3E5BDF55"/>
    <w:rsid w:val="3E5C5BB3"/>
    <w:rsid w:val="3E5FBA69"/>
    <w:rsid w:val="3E64E338"/>
    <w:rsid w:val="3E670911"/>
    <w:rsid w:val="3E6DEEF5"/>
    <w:rsid w:val="3E71D3B2"/>
    <w:rsid w:val="3E78F873"/>
    <w:rsid w:val="3E825A65"/>
    <w:rsid w:val="3E8E9A21"/>
    <w:rsid w:val="3EA7DC89"/>
    <w:rsid w:val="3EB462AD"/>
    <w:rsid w:val="3EBD677B"/>
    <w:rsid w:val="3EC1B5B7"/>
    <w:rsid w:val="3EC54102"/>
    <w:rsid w:val="3EC7A80C"/>
    <w:rsid w:val="3ECFF7F6"/>
    <w:rsid w:val="3ED2BFF9"/>
    <w:rsid w:val="3EDC11EF"/>
    <w:rsid w:val="3EDEA579"/>
    <w:rsid w:val="3EDFE26B"/>
    <w:rsid w:val="3EE87A61"/>
    <w:rsid w:val="3EEAD541"/>
    <w:rsid w:val="3EF03A66"/>
    <w:rsid w:val="3EF1F4B6"/>
    <w:rsid w:val="3EFEB7EE"/>
    <w:rsid w:val="3F183538"/>
    <w:rsid w:val="3F185E48"/>
    <w:rsid w:val="3F28FE9F"/>
    <w:rsid w:val="3F2B2258"/>
    <w:rsid w:val="3F31A95F"/>
    <w:rsid w:val="3F3742EE"/>
    <w:rsid w:val="3F421870"/>
    <w:rsid w:val="3F442D7C"/>
    <w:rsid w:val="3F488AB5"/>
    <w:rsid w:val="3F4FCA12"/>
    <w:rsid w:val="3F5F748F"/>
    <w:rsid w:val="3F6E235B"/>
    <w:rsid w:val="3F752E7D"/>
    <w:rsid w:val="3F772218"/>
    <w:rsid w:val="3F942463"/>
    <w:rsid w:val="3F95E359"/>
    <w:rsid w:val="3F9B0541"/>
    <w:rsid w:val="3F9F2279"/>
    <w:rsid w:val="3FA0AD76"/>
    <w:rsid w:val="3FA80B0F"/>
    <w:rsid w:val="3FAB0801"/>
    <w:rsid w:val="3FBD6684"/>
    <w:rsid w:val="3FBFB27D"/>
    <w:rsid w:val="3FC47D67"/>
    <w:rsid w:val="3FC9C8CA"/>
    <w:rsid w:val="3FEA41F4"/>
    <w:rsid w:val="3FECA3F2"/>
    <w:rsid w:val="3FF33B77"/>
    <w:rsid w:val="3FF541D3"/>
    <w:rsid w:val="40004A78"/>
    <w:rsid w:val="400155DE"/>
    <w:rsid w:val="401707E5"/>
    <w:rsid w:val="401E6B27"/>
    <w:rsid w:val="40398D44"/>
    <w:rsid w:val="403FEE70"/>
    <w:rsid w:val="40499259"/>
    <w:rsid w:val="404E0721"/>
    <w:rsid w:val="405D10F9"/>
    <w:rsid w:val="40635895"/>
    <w:rsid w:val="4067090D"/>
    <w:rsid w:val="407091C5"/>
    <w:rsid w:val="407D3CD2"/>
    <w:rsid w:val="4082F8C4"/>
    <w:rsid w:val="40842AE8"/>
    <w:rsid w:val="4084B329"/>
    <w:rsid w:val="408AB5D1"/>
    <w:rsid w:val="409BD6E3"/>
    <w:rsid w:val="409BD7EE"/>
    <w:rsid w:val="40AF873D"/>
    <w:rsid w:val="40B23C7A"/>
    <w:rsid w:val="40B42FC7"/>
    <w:rsid w:val="40B5B9AE"/>
    <w:rsid w:val="40B7D5AF"/>
    <w:rsid w:val="40BF17F7"/>
    <w:rsid w:val="40C4F052"/>
    <w:rsid w:val="40CF870D"/>
    <w:rsid w:val="40CFA59A"/>
    <w:rsid w:val="40D04DC1"/>
    <w:rsid w:val="40DB2005"/>
    <w:rsid w:val="40DB64A9"/>
    <w:rsid w:val="40E8126A"/>
    <w:rsid w:val="40EF01EB"/>
    <w:rsid w:val="40F4250B"/>
    <w:rsid w:val="40F4E561"/>
    <w:rsid w:val="40F96733"/>
    <w:rsid w:val="410D8CAD"/>
    <w:rsid w:val="4120674C"/>
    <w:rsid w:val="4129B697"/>
    <w:rsid w:val="412C38EB"/>
    <w:rsid w:val="412D7E1D"/>
    <w:rsid w:val="4130396E"/>
    <w:rsid w:val="414A61CA"/>
    <w:rsid w:val="4152660A"/>
    <w:rsid w:val="4172816F"/>
    <w:rsid w:val="417480DB"/>
    <w:rsid w:val="4177F450"/>
    <w:rsid w:val="417B2A5C"/>
    <w:rsid w:val="418259B5"/>
    <w:rsid w:val="4182A7DC"/>
    <w:rsid w:val="418AA43B"/>
    <w:rsid w:val="41984015"/>
    <w:rsid w:val="419984C1"/>
    <w:rsid w:val="419ABB9A"/>
    <w:rsid w:val="419DF6DB"/>
    <w:rsid w:val="41AD8F19"/>
    <w:rsid w:val="41B0A5DF"/>
    <w:rsid w:val="41C9FED9"/>
    <w:rsid w:val="41CA4F3D"/>
    <w:rsid w:val="41CC204A"/>
    <w:rsid w:val="41D562F6"/>
    <w:rsid w:val="41DFECCD"/>
    <w:rsid w:val="41E4D7D5"/>
    <w:rsid w:val="41E8E0F0"/>
    <w:rsid w:val="42015416"/>
    <w:rsid w:val="4202BB45"/>
    <w:rsid w:val="4203E6ED"/>
    <w:rsid w:val="420706F2"/>
    <w:rsid w:val="42108C7E"/>
    <w:rsid w:val="421E1BC5"/>
    <w:rsid w:val="422796BD"/>
    <w:rsid w:val="422E6850"/>
    <w:rsid w:val="42349AF0"/>
    <w:rsid w:val="4238D2DD"/>
    <w:rsid w:val="424110ED"/>
    <w:rsid w:val="42418A19"/>
    <w:rsid w:val="42463C80"/>
    <w:rsid w:val="4248FA97"/>
    <w:rsid w:val="424E7316"/>
    <w:rsid w:val="4253DF15"/>
    <w:rsid w:val="4253FA0F"/>
    <w:rsid w:val="4256A3DF"/>
    <w:rsid w:val="4261441C"/>
    <w:rsid w:val="426766B2"/>
    <w:rsid w:val="42729B4C"/>
    <w:rsid w:val="427A1A1F"/>
    <w:rsid w:val="42817116"/>
    <w:rsid w:val="4281F0E0"/>
    <w:rsid w:val="4282B88E"/>
    <w:rsid w:val="42930FC5"/>
    <w:rsid w:val="42AA1AD1"/>
    <w:rsid w:val="42ADCA33"/>
    <w:rsid w:val="42B7D36F"/>
    <w:rsid w:val="42BA7CC4"/>
    <w:rsid w:val="42BAC94F"/>
    <w:rsid w:val="42BEF700"/>
    <w:rsid w:val="42C29EEB"/>
    <w:rsid w:val="42C53BFC"/>
    <w:rsid w:val="42CD905F"/>
    <w:rsid w:val="42D21658"/>
    <w:rsid w:val="42D47434"/>
    <w:rsid w:val="42DFBFDB"/>
    <w:rsid w:val="42E4C401"/>
    <w:rsid w:val="42E68649"/>
    <w:rsid w:val="42ECAFA5"/>
    <w:rsid w:val="42F1D4A2"/>
    <w:rsid w:val="42F1E950"/>
    <w:rsid w:val="42F4E446"/>
    <w:rsid w:val="42F545EF"/>
    <w:rsid w:val="42F95A6A"/>
    <w:rsid w:val="430135D5"/>
    <w:rsid w:val="4303A836"/>
    <w:rsid w:val="4304DD8C"/>
    <w:rsid w:val="430C84A0"/>
    <w:rsid w:val="4315D440"/>
    <w:rsid w:val="431F3CAC"/>
    <w:rsid w:val="43232E76"/>
    <w:rsid w:val="432DA0C7"/>
    <w:rsid w:val="433420AC"/>
    <w:rsid w:val="4334E430"/>
    <w:rsid w:val="4336E420"/>
    <w:rsid w:val="434272C2"/>
    <w:rsid w:val="4344AA07"/>
    <w:rsid w:val="43493EEE"/>
    <w:rsid w:val="434A68CB"/>
    <w:rsid w:val="434BA78C"/>
    <w:rsid w:val="434E20F1"/>
    <w:rsid w:val="435AE03D"/>
    <w:rsid w:val="4361BCDB"/>
    <w:rsid w:val="4365C33D"/>
    <w:rsid w:val="437A748A"/>
    <w:rsid w:val="4388B12A"/>
    <w:rsid w:val="4389D2AF"/>
    <w:rsid w:val="438A438F"/>
    <w:rsid w:val="4396A1A4"/>
    <w:rsid w:val="43AC6DDC"/>
    <w:rsid w:val="43B8063D"/>
    <w:rsid w:val="43BBB970"/>
    <w:rsid w:val="43BD572D"/>
    <w:rsid w:val="43C26E0F"/>
    <w:rsid w:val="43CB3667"/>
    <w:rsid w:val="43D4BE29"/>
    <w:rsid w:val="43D7C702"/>
    <w:rsid w:val="43E04941"/>
    <w:rsid w:val="43E50190"/>
    <w:rsid w:val="43EA4AF2"/>
    <w:rsid w:val="43F0FB43"/>
    <w:rsid w:val="43FAE2DF"/>
    <w:rsid w:val="43FF64AA"/>
    <w:rsid w:val="44058E93"/>
    <w:rsid w:val="44087D1A"/>
    <w:rsid w:val="44187CC5"/>
    <w:rsid w:val="441AAA73"/>
    <w:rsid w:val="44249C81"/>
    <w:rsid w:val="4430B926"/>
    <w:rsid w:val="443BCE64"/>
    <w:rsid w:val="4443A7DB"/>
    <w:rsid w:val="444B3563"/>
    <w:rsid w:val="4451388B"/>
    <w:rsid w:val="44565DF3"/>
    <w:rsid w:val="44573689"/>
    <w:rsid w:val="445A8D24"/>
    <w:rsid w:val="445AC110"/>
    <w:rsid w:val="445DF7A5"/>
    <w:rsid w:val="446CAFB3"/>
    <w:rsid w:val="446CB29D"/>
    <w:rsid w:val="44782902"/>
    <w:rsid w:val="44798D0A"/>
    <w:rsid w:val="448119A7"/>
    <w:rsid w:val="44849453"/>
    <w:rsid w:val="44878475"/>
    <w:rsid w:val="44889416"/>
    <w:rsid w:val="448B67C8"/>
    <w:rsid w:val="448C08CF"/>
    <w:rsid w:val="448CD884"/>
    <w:rsid w:val="448EFAC1"/>
    <w:rsid w:val="44905CB4"/>
    <w:rsid w:val="4490CFA0"/>
    <w:rsid w:val="44924D70"/>
    <w:rsid w:val="4499EF35"/>
    <w:rsid w:val="449BBF84"/>
    <w:rsid w:val="44A4E7EF"/>
    <w:rsid w:val="44A81A4E"/>
    <w:rsid w:val="44AFE5A5"/>
    <w:rsid w:val="44B55BE0"/>
    <w:rsid w:val="44C1DED4"/>
    <w:rsid w:val="44DB713E"/>
    <w:rsid w:val="44DD3AC3"/>
    <w:rsid w:val="44DF46F2"/>
    <w:rsid w:val="44DF8815"/>
    <w:rsid w:val="44EC4939"/>
    <w:rsid w:val="44F39FF6"/>
    <w:rsid w:val="44F70039"/>
    <w:rsid w:val="44FF6F5B"/>
    <w:rsid w:val="45109072"/>
    <w:rsid w:val="45245C5D"/>
    <w:rsid w:val="45291A34"/>
    <w:rsid w:val="4530B4AF"/>
    <w:rsid w:val="45310EAA"/>
    <w:rsid w:val="4533780D"/>
    <w:rsid w:val="4543DDDD"/>
    <w:rsid w:val="454CF83F"/>
    <w:rsid w:val="45513342"/>
    <w:rsid w:val="455AC296"/>
    <w:rsid w:val="455AF6FE"/>
    <w:rsid w:val="45653DC6"/>
    <w:rsid w:val="45695B1C"/>
    <w:rsid w:val="45844391"/>
    <w:rsid w:val="458603AD"/>
    <w:rsid w:val="4587E5FA"/>
    <w:rsid w:val="458B70F2"/>
    <w:rsid w:val="459112FC"/>
    <w:rsid w:val="4591D6B6"/>
    <w:rsid w:val="45A2A378"/>
    <w:rsid w:val="45A4F573"/>
    <w:rsid w:val="45AA0BD4"/>
    <w:rsid w:val="45B2AED8"/>
    <w:rsid w:val="45BA3498"/>
    <w:rsid w:val="45CC05AE"/>
    <w:rsid w:val="45D22F09"/>
    <w:rsid w:val="45ED6F74"/>
    <w:rsid w:val="45F1257A"/>
    <w:rsid w:val="46124C2F"/>
    <w:rsid w:val="4614A21F"/>
    <w:rsid w:val="46185BCB"/>
    <w:rsid w:val="4623ED32"/>
    <w:rsid w:val="4626C4BB"/>
    <w:rsid w:val="462D65A3"/>
    <w:rsid w:val="4637242B"/>
    <w:rsid w:val="4645491B"/>
    <w:rsid w:val="46462516"/>
    <w:rsid w:val="4653FABC"/>
    <w:rsid w:val="465BA064"/>
    <w:rsid w:val="4666B5F5"/>
    <w:rsid w:val="4668998F"/>
    <w:rsid w:val="46952D0A"/>
    <w:rsid w:val="469FAC79"/>
    <w:rsid w:val="46A193D6"/>
    <w:rsid w:val="46A714DD"/>
    <w:rsid w:val="46C51065"/>
    <w:rsid w:val="46CA1E4A"/>
    <w:rsid w:val="46CFFFA3"/>
    <w:rsid w:val="46D3C048"/>
    <w:rsid w:val="46DD3F5D"/>
    <w:rsid w:val="46F444CC"/>
    <w:rsid w:val="46FD0430"/>
    <w:rsid w:val="470C88EB"/>
    <w:rsid w:val="470D8535"/>
    <w:rsid w:val="47157194"/>
    <w:rsid w:val="4719F7BB"/>
    <w:rsid w:val="4720A293"/>
    <w:rsid w:val="4726015A"/>
    <w:rsid w:val="47269FD8"/>
    <w:rsid w:val="47391F4A"/>
    <w:rsid w:val="473C8288"/>
    <w:rsid w:val="473D15B2"/>
    <w:rsid w:val="473E696F"/>
    <w:rsid w:val="4742E8DC"/>
    <w:rsid w:val="47430D2F"/>
    <w:rsid w:val="47461672"/>
    <w:rsid w:val="47469364"/>
    <w:rsid w:val="474B0D6F"/>
    <w:rsid w:val="475C48C1"/>
    <w:rsid w:val="476BD889"/>
    <w:rsid w:val="476DA6B9"/>
    <w:rsid w:val="4770175E"/>
    <w:rsid w:val="4773CB44"/>
    <w:rsid w:val="477987A0"/>
    <w:rsid w:val="47824988"/>
    <w:rsid w:val="47850986"/>
    <w:rsid w:val="478A09EA"/>
    <w:rsid w:val="478B3007"/>
    <w:rsid w:val="47A59EEA"/>
    <w:rsid w:val="47B2F2EA"/>
    <w:rsid w:val="47B62F10"/>
    <w:rsid w:val="47B9845D"/>
    <w:rsid w:val="47C877A2"/>
    <w:rsid w:val="47CB6814"/>
    <w:rsid w:val="47D2FC8E"/>
    <w:rsid w:val="47D551D6"/>
    <w:rsid w:val="47DB0C50"/>
    <w:rsid w:val="47DE27E0"/>
    <w:rsid w:val="47DEA579"/>
    <w:rsid w:val="47E116B7"/>
    <w:rsid w:val="47E84283"/>
    <w:rsid w:val="47FD20C1"/>
    <w:rsid w:val="47FD9359"/>
    <w:rsid w:val="481A1AB7"/>
    <w:rsid w:val="4820EA29"/>
    <w:rsid w:val="48284D7B"/>
    <w:rsid w:val="483477C3"/>
    <w:rsid w:val="4843D9AC"/>
    <w:rsid w:val="484969A6"/>
    <w:rsid w:val="485213DD"/>
    <w:rsid w:val="486677AB"/>
    <w:rsid w:val="48691406"/>
    <w:rsid w:val="486B4ACB"/>
    <w:rsid w:val="486E69A2"/>
    <w:rsid w:val="4871569B"/>
    <w:rsid w:val="4878D6CD"/>
    <w:rsid w:val="487B07F0"/>
    <w:rsid w:val="488167FF"/>
    <w:rsid w:val="489D1136"/>
    <w:rsid w:val="48B659E8"/>
    <w:rsid w:val="48C1AC73"/>
    <w:rsid w:val="48CAABD1"/>
    <w:rsid w:val="48D7D502"/>
    <w:rsid w:val="48DF998E"/>
    <w:rsid w:val="48E67B9C"/>
    <w:rsid w:val="48E9BBF5"/>
    <w:rsid w:val="48F2279F"/>
    <w:rsid w:val="49067476"/>
    <w:rsid w:val="490B3CB7"/>
    <w:rsid w:val="490D77A7"/>
    <w:rsid w:val="4916CEF4"/>
    <w:rsid w:val="491A7421"/>
    <w:rsid w:val="491FD11E"/>
    <w:rsid w:val="4924166D"/>
    <w:rsid w:val="4929E4F8"/>
    <w:rsid w:val="492FF615"/>
    <w:rsid w:val="4930AA71"/>
    <w:rsid w:val="4933962B"/>
    <w:rsid w:val="493D2EEB"/>
    <w:rsid w:val="4946489A"/>
    <w:rsid w:val="494A31E4"/>
    <w:rsid w:val="494F6CF5"/>
    <w:rsid w:val="4953A42A"/>
    <w:rsid w:val="4954FA2E"/>
    <w:rsid w:val="495CD426"/>
    <w:rsid w:val="495DB884"/>
    <w:rsid w:val="4973171A"/>
    <w:rsid w:val="49740423"/>
    <w:rsid w:val="49771048"/>
    <w:rsid w:val="497C80F2"/>
    <w:rsid w:val="497D7D53"/>
    <w:rsid w:val="497EA20B"/>
    <w:rsid w:val="499238CA"/>
    <w:rsid w:val="4999D5B5"/>
    <w:rsid w:val="49A6C542"/>
    <w:rsid w:val="49A8A37C"/>
    <w:rsid w:val="49A9B250"/>
    <w:rsid w:val="49ACCC3A"/>
    <w:rsid w:val="49AF9208"/>
    <w:rsid w:val="49B953FF"/>
    <w:rsid w:val="49C1728E"/>
    <w:rsid w:val="49C82D71"/>
    <w:rsid w:val="49CB51E2"/>
    <w:rsid w:val="49DC0C1D"/>
    <w:rsid w:val="49E3583C"/>
    <w:rsid w:val="49E3CC77"/>
    <w:rsid w:val="49E7E964"/>
    <w:rsid w:val="49EFE311"/>
    <w:rsid w:val="49F7D9E7"/>
    <w:rsid w:val="49FC41B7"/>
    <w:rsid w:val="4A08A2D0"/>
    <w:rsid w:val="4A0A8956"/>
    <w:rsid w:val="4A25CB19"/>
    <w:rsid w:val="4A3DE59B"/>
    <w:rsid w:val="4A3F403C"/>
    <w:rsid w:val="4A45E6C1"/>
    <w:rsid w:val="4A48A6BE"/>
    <w:rsid w:val="4A54CA90"/>
    <w:rsid w:val="4A58A46D"/>
    <w:rsid w:val="4A58BBF3"/>
    <w:rsid w:val="4A5D96B9"/>
    <w:rsid w:val="4A5EEE10"/>
    <w:rsid w:val="4A646345"/>
    <w:rsid w:val="4A70F6D5"/>
    <w:rsid w:val="4A835AA5"/>
    <w:rsid w:val="4A852ADA"/>
    <w:rsid w:val="4A94E914"/>
    <w:rsid w:val="4A9B2BFE"/>
    <w:rsid w:val="4A9C2676"/>
    <w:rsid w:val="4AAB641C"/>
    <w:rsid w:val="4AB22527"/>
    <w:rsid w:val="4AC13020"/>
    <w:rsid w:val="4AD8B3F6"/>
    <w:rsid w:val="4AE17D1A"/>
    <w:rsid w:val="4AE9EA82"/>
    <w:rsid w:val="4AEE6644"/>
    <w:rsid w:val="4AF0AF98"/>
    <w:rsid w:val="4B014EFA"/>
    <w:rsid w:val="4B02EB4F"/>
    <w:rsid w:val="4B117B36"/>
    <w:rsid w:val="4B122832"/>
    <w:rsid w:val="4B14AC66"/>
    <w:rsid w:val="4B1E3181"/>
    <w:rsid w:val="4B2442DF"/>
    <w:rsid w:val="4B246DF8"/>
    <w:rsid w:val="4B2B970E"/>
    <w:rsid w:val="4B31C023"/>
    <w:rsid w:val="4B38BE72"/>
    <w:rsid w:val="4B49AA8E"/>
    <w:rsid w:val="4B4A03D5"/>
    <w:rsid w:val="4B590C6A"/>
    <w:rsid w:val="4B5ADCA5"/>
    <w:rsid w:val="4B5B0040"/>
    <w:rsid w:val="4B5C1213"/>
    <w:rsid w:val="4B623887"/>
    <w:rsid w:val="4B654F9E"/>
    <w:rsid w:val="4B6B9914"/>
    <w:rsid w:val="4B711B26"/>
    <w:rsid w:val="4B79B411"/>
    <w:rsid w:val="4B7C306B"/>
    <w:rsid w:val="4B7C8181"/>
    <w:rsid w:val="4B95BE9E"/>
    <w:rsid w:val="4B963AAE"/>
    <w:rsid w:val="4BA19889"/>
    <w:rsid w:val="4BA5336C"/>
    <w:rsid w:val="4BAB7823"/>
    <w:rsid w:val="4BB0EFF6"/>
    <w:rsid w:val="4BB90FE8"/>
    <w:rsid w:val="4BC0ED5B"/>
    <w:rsid w:val="4BC7344A"/>
    <w:rsid w:val="4BC7A2C6"/>
    <w:rsid w:val="4BC8128A"/>
    <w:rsid w:val="4BCA0B41"/>
    <w:rsid w:val="4BCF091E"/>
    <w:rsid w:val="4BD2B876"/>
    <w:rsid w:val="4BD6447A"/>
    <w:rsid w:val="4BE3F23E"/>
    <w:rsid w:val="4C0150A4"/>
    <w:rsid w:val="4C029F3F"/>
    <w:rsid w:val="4C08B148"/>
    <w:rsid w:val="4C196C02"/>
    <w:rsid w:val="4C1B6D11"/>
    <w:rsid w:val="4C2C7690"/>
    <w:rsid w:val="4C33D91C"/>
    <w:rsid w:val="4C33F847"/>
    <w:rsid w:val="4C3B4489"/>
    <w:rsid w:val="4C3B8B1D"/>
    <w:rsid w:val="4C3E87A1"/>
    <w:rsid w:val="4C449972"/>
    <w:rsid w:val="4C54DB74"/>
    <w:rsid w:val="4C59345F"/>
    <w:rsid w:val="4C5C3D47"/>
    <w:rsid w:val="4C7237A6"/>
    <w:rsid w:val="4C76A5AD"/>
    <w:rsid w:val="4C7EA332"/>
    <w:rsid w:val="4C86088E"/>
    <w:rsid w:val="4C86BCB2"/>
    <w:rsid w:val="4C8B2E11"/>
    <w:rsid w:val="4C8E7606"/>
    <w:rsid w:val="4C905BD9"/>
    <w:rsid w:val="4C92F018"/>
    <w:rsid w:val="4C935971"/>
    <w:rsid w:val="4C966A96"/>
    <w:rsid w:val="4CB474A1"/>
    <w:rsid w:val="4CC0DB99"/>
    <w:rsid w:val="4CD63C7E"/>
    <w:rsid w:val="4CDAD599"/>
    <w:rsid w:val="4CDFD571"/>
    <w:rsid w:val="4CE0C2A2"/>
    <w:rsid w:val="4CE202F9"/>
    <w:rsid w:val="4CE85C9F"/>
    <w:rsid w:val="4CF1DF64"/>
    <w:rsid w:val="4D04EA58"/>
    <w:rsid w:val="4D0CA222"/>
    <w:rsid w:val="4D14BB4C"/>
    <w:rsid w:val="4D1F53CE"/>
    <w:rsid w:val="4D20B454"/>
    <w:rsid w:val="4D2C2AD9"/>
    <w:rsid w:val="4D2C67D9"/>
    <w:rsid w:val="4D326872"/>
    <w:rsid w:val="4D327F38"/>
    <w:rsid w:val="4D3531B4"/>
    <w:rsid w:val="4D380F58"/>
    <w:rsid w:val="4D39CCCA"/>
    <w:rsid w:val="4D3B2DF5"/>
    <w:rsid w:val="4D4028F0"/>
    <w:rsid w:val="4D4A432C"/>
    <w:rsid w:val="4D4D1983"/>
    <w:rsid w:val="4D530297"/>
    <w:rsid w:val="4D55BE5A"/>
    <w:rsid w:val="4D56BA71"/>
    <w:rsid w:val="4D591CCB"/>
    <w:rsid w:val="4D6408E6"/>
    <w:rsid w:val="4D64BCDB"/>
    <w:rsid w:val="4D71B9AB"/>
    <w:rsid w:val="4D7243F3"/>
    <w:rsid w:val="4D780221"/>
    <w:rsid w:val="4D7D39C7"/>
    <w:rsid w:val="4D818BF5"/>
    <w:rsid w:val="4D82D1DF"/>
    <w:rsid w:val="4D8527DF"/>
    <w:rsid w:val="4D8AC79B"/>
    <w:rsid w:val="4D98CBE3"/>
    <w:rsid w:val="4D99E794"/>
    <w:rsid w:val="4D9D3B6D"/>
    <w:rsid w:val="4DA36641"/>
    <w:rsid w:val="4DB329EC"/>
    <w:rsid w:val="4DBB8DEB"/>
    <w:rsid w:val="4DCE3ADB"/>
    <w:rsid w:val="4DD18899"/>
    <w:rsid w:val="4DD48434"/>
    <w:rsid w:val="4DDBE04E"/>
    <w:rsid w:val="4DE3A648"/>
    <w:rsid w:val="4DEEF823"/>
    <w:rsid w:val="4DF254BB"/>
    <w:rsid w:val="4DF3E47C"/>
    <w:rsid w:val="4DF9A881"/>
    <w:rsid w:val="4DFFEC4A"/>
    <w:rsid w:val="4E082588"/>
    <w:rsid w:val="4E1280B9"/>
    <w:rsid w:val="4E147C0C"/>
    <w:rsid w:val="4E1913F3"/>
    <w:rsid w:val="4E1E3D7A"/>
    <w:rsid w:val="4E253B26"/>
    <w:rsid w:val="4E31911D"/>
    <w:rsid w:val="4E3FEF05"/>
    <w:rsid w:val="4E4125C6"/>
    <w:rsid w:val="4E41F3FA"/>
    <w:rsid w:val="4E4A5E3F"/>
    <w:rsid w:val="4E4B2DB9"/>
    <w:rsid w:val="4E4DB6B5"/>
    <w:rsid w:val="4E57E1E4"/>
    <w:rsid w:val="4E5CB0FE"/>
    <w:rsid w:val="4E5EBAB8"/>
    <w:rsid w:val="4E656E3D"/>
    <w:rsid w:val="4E69BBA5"/>
    <w:rsid w:val="4E6E3B0C"/>
    <w:rsid w:val="4E6FAF60"/>
    <w:rsid w:val="4E7D78C5"/>
    <w:rsid w:val="4E8A425E"/>
    <w:rsid w:val="4E90A9C2"/>
    <w:rsid w:val="4E94AA98"/>
    <w:rsid w:val="4EA83D2A"/>
    <w:rsid w:val="4EC51CE7"/>
    <w:rsid w:val="4ECCCE07"/>
    <w:rsid w:val="4ED3E05C"/>
    <w:rsid w:val="4ED9C6D2"/>
    <w:rsid w:val="4EDDCBF5"/>
    <w:rsid w:val="4EDF3F9E"/>
    <w:rsid w:val="4EE815F0"/>
    <w:rsid w:val="4EF22EA3"/>
    <w:rsid w:val="4F030D2E"/>
    <w:rsid w:val="4F1089B7"/>
    <w:rsid w:val="4F31051E"/>
    <w:rsid w:val="4F317143"/>
    <w:rsid w:val="4F4EFF1B"/>
    <w:rsid w:val="4F510809"/>
    <w:rsid w:val="4F55B940"/>
    <w:rsid w:val="4F685E17"/>
    <w:rsid w:val="4F7331A1"/>
    <w:rsid w:val="4F76A68F"/>
    <w:rsid w:val="4F9BC374"/>
    <w:rsid w:val="4F9DD680"/>
    <w:rsid w:val="4FA700D3"/>
    <w:rsid w:val="4FAA1171"/>
    <w:rsid w:val="4FAD148D"/>
    <w:rsid w:val="4FAE2754"/>
    <w:rsid w:val="4FB2CCB5"/>
    <w:rsid w:val="4FB3B23F"/>
    <w:rsid w:val="4FB6FCB4"/>
    <w:rsid w:val="4FB92A9C"/>
    <w:rsid w:val="4FC67F71"/>
    <w:rsid w:val="4FCC59A5"/>
    <w:rsid w:val="4FCFAF04"/>
    <w:rsid w:val="4FDF3062"/>
    <w:rsid w:val="4FEC5611"/>
    <w:rsid w:val="4FEF1FB3"/>
    <w:rsid w:val="4FF04DF0"/>
    <w:rsid w:val="500FA7C6"/>
    <w:rsid w:val="5012F8E5"/>
    <w:rsid w:val="5013B62A"/>
    <w:rsid w:val="5014D06F"/>
    <w:rsid w:val="502088DA"/>
    <w:rsid w:val="5037D4E9"/>
    <w:rsid w:val="504CB9F3"/>
    <w:rsid w:val="50509FDC"/>
    <w:rsid w:val="5055380E"/>
    <w:rsid w:val="506454BE"/>
    <w:rsid w:val="5070247A"/>
    <w:rsid w:val="50708D95"/>
    <w:rsid w:val="5070D565"/>
    <w:rsid w:val="507AF00B"/>
    <w:rsid w:val="50805C92"/>
    <w:rsid w:val="50815F32"/>
    <w:rsid w:val="508955D8"/>
    <w:rsid w:val="508E3027"/>
    <w:rsid w:val="50908A07"/>
    <w:rsid w:val="509F8002"/>
    <w:rsid w:val="50A40A52"/>
    <w:rsid w:val="50A84C2C"/>
    <w:rsid w:val="50AD2561"/>
    <w:rsid w:val="50B7693F"/>
    <w:rsid w:val="50B84161"/>
    <w:rsid w:val="50BB8CC7"/>
    <w:rsid w:val="50C01744"/>
    <w:rsid w:val="50C485B4"/>
    <w:rsid w:val="50CAEF51"/>
    <w:rsid w:val="50E423E2"/>
    <w:rsid w:val="50E66211"/>
    <w:rsid w:val="50F177DD"/>
    <w:rsid w:val="50F244FC"/>
    <w:rsid w:val="50FC4108"/>
    <w:rsid w:val="51060426"/>
    <w:rsid w:val="510AE096"/>
    <w:rsid w:val="510E63CC"/>
    <w:rsid w:val="5111F099"/>
    <w:rsid w:val="51188B74"/>
    <w:rsid w:val="5127181B"/>
    <w:rsid w:val="512866F2"/>
    <w:rsid w:val="513B1315"/>
    <w:rsid w:val="513D8073"/>
    <w:rsid w:val="513F98F5"/>
    <w:rsid w:val="515DFA7C"/>
    <w:rsid w:val="51608D11"/>
    <w:rsid w:val="5165F34E"/>
    <w:rsid w:val="51681EF0"/>
    <w:rsid w:val="517AAE65"/>
    <w:rsid w:val="517D289B"/>
    <w:rsid w:val="5186624B"/>
    <w:rsid w:val="518E1A24"/>
    <w:rsid w:val="5194B8E0"/>
    <w:rsid w:val="51B166D6"/>
    <w:rsid w:val="51BAF299"/>
    <w:rsid w:val="51D4B92F"/>
    <w:rsid w:val="51D61187"/>
    <w:rsid w:val="51D9711C"/>
    <w:rsid w:val="51DA210A"/>
    <w:rsid w:val="51E12615"/>
    <w:rsid w:val="51E1F766"/>
    <w:rsid w:val="51E43377"/>
    <w:rsid w:val="51E4EE9A"/>
    <w:rsid w:val="51F68646"/>
    <w:rsid w:val="51FEF3D4"/>
    <w:rsid w:val="51FFEFF2"/>
    <w:rsid w:val="52052D50"/>
    <w:rsid w:val="520F7FD1"/>
    <w:rsid w:val="5213B528"/>
    <w:rsid w:val="52143350"/>
    <w:rsid w:val="521C36EA"/>
    <w:rsid w:val="521CEA4B"/>
    <w:rsid w:val="521D1B63"/>
    <w:rsid w:val="5228C365"/>
    <w:rsid w:val="5232CBF7"/>
    <w:rsid w:val="5239F3C0"/>
    <w:rsid w:val="523A6416"/>
    <w:rsid w:val="523EA635"/>
    <w:rsid w:val="52439FC3"/>
    <w:rsid w:val="5246F62A"/>
    <w:rsid w:val="524814AC"/>
    <w:rsid w:val="5248A182"/>
    <w:rsid w:val="525CD381"/>
    <w:rsid w:val="52640E63"/>
    <w:rsid w:val="52779C1B"/>
    <w:rsid w:val="52826EFE"/>
    <w:rsid w:val="52845B1E"/>
    <w:rsid w:val="528577AA"/>
    <w:rsid w:val="528EF9F7"/>
    <w:rsid w:val="529AE3FD"/>
    <w:rsid w:val="529BCFAA"/>
    <w:rsid w:val="52A03721"/>
    <w:rsid w:val="52C0007D"/>
    <w:rsid w:val="52CDFBA2"/>
    <w:rsid w:val="52D43517"/>
    <w:rsid w:val="52D84E89"/>
    <w:rsid w:val="52D85308"/>
    <w:rsid w:val="52D8EADE"/>
    <w:rsid w:val="52E8DA7F"/>
    <w:rsid w:val="52EF2C2F"/>
    <w:rsid w:val="52F84E71"/>
    <w:rsid w:val="52FFA742"/>
    <w:rsid w:val="53087473"/>
    <w:rsid w:val="530B3A7A"/>
    <w:rsid w:val="53112679"/>
    <w:rsid w:val="53183F18"/>
    <w:rsid w:val="5331982E"/>
    <w:rsid w:val="53347795"/>
    <w:rsid w:val="5334FD60"/>
    <w:rsid w:val="53357F7F"/>
    <w:rsid w:val="5342391B"/>
    <w:rsid w:val="5342EFDB"/>
    <w:rsid w:val="5349E149"/>
    <w:rsid w:val="535C3FF0"/>
    <w:rsid w:val="536C9A3E"/>
    <w:rsid w:val="536E90FC"/>
    <w:rsid w:val="536ED730"/>
    <w:rsid w:val="53778DCA"/>
    <w:rsid w:val="537E65B7"/>
    <w:rsid w:val="53869E7C"/>
    <w:rsid w:val="5388A815"/>
    <w:rsid w:val="538968D8"/>
    <w:rsid w:val="5389B38F"/>
    <w:rsid w:val="5389E717"/>
    <w:rsid w:val="538B2D50"/>
    <w:rsid w:val="538BCDB2"/>
    <w:rsid w:val="538EF982"/>
    <w:rsid w:val="53B683A8"/>
    <w:rsid w:val="53C093B7"/>
    <w:rsid w:val="53C09500"/>
    <w:rsid w:val="53C74A16"/>
    <w:rsid w:val="53C98BA1"/>
    <w:rsid w:val="53EBB3BD"/>
    <w:rsid w:val="53F1702A"/>
    <w:rsid w:val="53FAF74D"/>
    <w:rsid w:val="5400B722"/>
    <w:rsid w:val="541080B9"/>
    <w:rsid w:val="5415382B"/>
    <w:rsid w:val="541B5C50"/>
    <w:rsid w:val="54321494"/>
    <w:rsid w:val="54334AFC"/>
    <w:rsid w:val="54392B0A"/>
    <w:rsid w:val="543D2C7E"/>
    <w:rsid w:val="5447BDC2"/>
    <w:rsid w:val="5449BB5D"/>
    <w:rsid w:val="544C0F85"/>
    <w:rsid w:val="545886C7"/>
    <w:rsid w:val="5460DE4D"/>
    <w:rsid w:val="54660FE3"/>
    <w:rsid w:val="546BFE6D"/>
    <w:rsid w:val="54712628"/>
    <w:rsid w:val="547CA33C"/>
    <w:rsid w:val="5480C6DF"/>
    <w:rsid w:val="54986B4E"/>
    <w:rsid w:val="549FE069"/>
    <w:rsid w:val="54A566D3"/>
    <w:rsid w:val="54A71A02"/>
    <w:rsid w:val="54B29DB5"/>
    <w:rsid w:val="54B76DA6"/>
    <w:rsid w:val="54C2CE66"/>
    <w:rsid w:val="54C65CDC"/>
    <w:rsid w:val="54C7DE64"/>
    <w:rsid w:val="54CB6413"/>
    <w:rsid w:val="54D4CDB0"/>
    <w:rsid w:val="54DFAB72"/>
    <w:rsid w:val="54E62C97"/>
    <w:rsid w:val="54E7380B"/>
    <w:rsid w:val="54F2841C"/>
    <w:rsid w:val="54F4F6E7"/>
    <w:rsid w:val="54F7B6D9"/>
    <w:rsid w:val="550A54A1"/>
    <w:rsid w:val="55113AAB"/>
    <w:rsid w:val="552490FA"/>
    <w:rsid w:val="552CA3A5"/>
    <w:rsid w:val="55305707"/>
    <w:rsid w:val="553778E1"/>
    <w:rsid w:val="553D710C"/>
    <w:rsid w:val="553D7A57"/>
    <w:rsid w:val="553F97CF"/>
    <w:rsid w:val="555126EF"/>
    <w:rsid w:val="5553D90E"/>
    <w:rsid w:val="555C6653"/>
    <w:rsid w:val="555DBF17"/>
    <w:rsid w:val="5567A650"/>
    <w:rsid w:val="55758C70"/>
    <w:rsid w:val="55890E29"/>
    <w:rsid w:val="55973259"/>
    <w:rsid w:val="559C3421"/>
    <w:rsid w:val="55AEB7F1"/>
    <w:rsid w:val="55B6821D"/>
    <w:rsid w:val="55BAE00F"/>
    <w:rsid w:val="55C2F62C"/>
    <w:rsid w:val="55C4C079"/>
    <w:rsid w:val="55C9BAF1"/>
    <w:rsid w:val="55D6A135"/>
    <w:rsid w:val="55E3EBF7"/>
    <w:rsid w:val="55E4ED95"/>
    <w:rsid w:val="55E4FD3C"/>
    <w:rsid w:val="55EB867D"/>
    <w:rsid w:val="55F00D41"/>
    <w:rsid w:val="55F09EE2"/>
    <w:rsid w:val="55F2F7AD"/>
    <w:rsid w:val="55F85522"/>
    <w:rsid w:val="55FF838C"/>
    <w:rsid w:val="5600A909"/>
    <w:rsid w:val="56016534"/>
    <w:rsid w:val="56055AE2"/>
    <w:rsid w:val="5620368E"/>
    <w:rsid w:val="562A618D"/>
    <w:rsid w:val="56370E9B"/>
    <w:rsid w:val="563E0EE5"/>
    <w:rsid w:val="564DFCC6"/>
    <w:rsid w:val="56511F53"/>
    <w:rsid w:val="5668944A"/>
    <w:rsid w:val="567D7E4E"/>
    <w:rsid w:val="56A3BE9A"/>
    <w:rsid w:val="56A9C867"/>
    <w:rsid w:val="56AC191D"/>
    <w:rsid w:val="56B0CC25"/>
    <w:rsid w:val="56B11A2E"/>
    <w:rsid w:val="56B4C9A8"/>
    <w:rsid w:val="56B5381B"/>
    <w:rsid w:val="56B5D132"/>
    <w:rsid w:val="56B7552C"/>
    <w:rsid w:val="56BD15A7"/>
    <w:rsid w:val="56D149EF"/>
    <w:rsid w:val="56D1B411"/>
    <w:rsid w:val="56D5AE62"/>
    <w:rsid w:val="56D63E77"/>
    <w:rsid w:val="56DD9D43"/>
    <w:rsid w:val="56DF15EE"/>
    <w:rsid w:val="56E9CE20"/>
    <w:rsid w:val="56EF21C9"/>
    <w:rsid w:val="56F8E8F2"/>
    <w:rsid w:val="57059C63"/>
    <w:rsid w:val="57135150"/>
    <w:rsid w:val="571561A4"/>
    <w:rsid w:val="573EDD1D"/>
    <w:rsid w:val="573F165B"/>
    <w:rsid w:val="5740C3EF"/>
    <w:rsid w:val="575AF5DC"/>
    <w:rsid w:val="575CAA17"/>
    <w:rsid w:val="57677C94"/>
    <w:rsid w:val="5768394F"/>
    <w:rsid w:val="5769841B"/>
    <w:rsid w:val="57784490"/>
    <w:rsid w:val="577D0AD5"/>
    <w:rsid w:val="5780E398"/>
    <w:rsid w:val="578165C2"/>
    <w:rsid w:val="5782463D"/>
    <w:rsid w:val="578D63A0"/>
    <w:rsid w:val="57931A85"/>
    <w:rsid w:val="5793E0C4"/>
    <w:rsid w:val="57945947"/>
    <w:rsid w:val="57AD8EA3"/>
    <w:rsid w:val="57AE264B"/>
    <w:rsid w:val="57AED1B0"/>
    <w:rsid w:val="57B326D7"/>
    <w:rsid w:val="57B8DC53"/>
    <w:rsid w:val="57CC472A"/>
    <w:rsid w:val="57D60235"/>
    <w:rsid w:val="57DBF687"/>
    <w:rsid w:val="57DE62A1"/>
    <w:rsid w:val="57E26E9C"/>
    <w:rsid w:val="57F4B3CB"/>
    <w:rsid w:val="57FCA9DD"/>
    <w:rsid w:val="580B5F04"/>
    <w:rsid w:val="580C9869"/>
    <w:rsid w:val="581C77F4"/>
    <w:rsid w:val="5827079D"/>
    <w:rsid w:val="5827A40B"/>
    <w:rsid w:val="582C3C0F"/>
    <w:rsid w:val="582F7DEB"/>
    <w:rsid w:val="5831583E"/>
    <w:rsid w:val="583A8239"/>
    <w:rsid w:val="58434D8B"/>
    <w:rsid w:val="5844BAB1"/>
    <w:rsid w:val="58473856"/>
    <w:rsid w:val="585024B9"/>
    <w:rsid w:val="5852EE83"/>
    <w:rsid w:val="5855B293"/>
    <w:rsid w:val="585DA983"/>
    <w:rsid w:val="585F4A14"/>
    <w:rsid w:val="58641444"/>
    <w:rsid w:val="5865F045"/>
    <w:rsid w:val="586C9681"/>
    <w:rsid w:val="58702534"/>
    <w:rsid w:val="5878EE47"/>
    <w:rsid w:val="587AB239"/>
    <w:rsid w:val="58853E01"/>
    <w:rsid w:val="58898BFF"/>
    <w:rsid w:val="588BDA9C"/>
    <w:rsid w:val="5890C660"/>
    <w:rsid w:val="589B1E13"/>
    <w:rsid w:val="589B640D"/>
    <w:rsid w:val="58A73C5E"/>
    <w:rsid w:val="58A797FB"/>
    <w:rsid w:val="58AA28EF"/>
    <w:rsid w:val="58ABA6CE"/>
    <w:rsid w:val="58ABE0A2"/>
    <w:rsid w:val="58BD29AF"/>
    <w:rsid w:val="58C17118"/>
    <w:rsid w:val="58CFE660"/>
    <w:rsid w:val="58D4BD47"/>
    <w:rsid w:val="58D916BA"/>
    <w:rsid w:val="58DB082C"/>
    <w:rsid w:val="58E2F9AA"/>
    <w:rsid w:val="58F943A2"/>
    <w:rsid w:val="58FA31C0"/>
    <w:rsid w:val="58FA9B92"/>
    <w:rsid w:val="59039F49"/>
    <w:rsid w:val="591569A0"/>
    <w:rsid w:val="591C220A"/>
    <w:rsid w:val="592278EF"/>
    <w:rsid w:val="593428D3"/>
    <w:rsid w:val="5950DA5C"/>
    <w:rsid w:val="595102FF"/>
    <w:rsid w:val="5954DCE1"/>
    <w:rsid w:val="59558E33"/>
    <w:rsid w:val="59596B80"/>
    <w:rsid w:val="595BD02F"/>
    <w:rsid w:val="595D6B50"/>
    <w:rsid w:val="5965B669"/>
    <w:rsid w:val="5966DA37"/>
    <w:rsid w:val="59710146"/>
    <w:rsid w:val="597B9B00"/>
    <w:rsid w:val="597D84C6"/>
    <w:rsid w:val="5983936B"/>
    <w:rsid w:val="598E8146"/>
    <w:rsid w:val="599AE358"/>
    <w:rsid w:val="599B783D"/>
    <w:rsid w:val="59A0BD55"/>
    <w:rsid w:val="59A357A2"/>
    <w:rsid w:val="59AB1C0A"/>
    <w:rsid w:val="59B27E2E"/>
    <w:rsid w:val="59B68CF3"/>
    <w:rsid w:val="59B69103"/>
    <w:rsid w:val="59B78F1F"/>
    <w:rsid w:val="59B9C609"/>
    <w:rsid w:val="59C56645"/>
    <w:rsid w:val="59C77F45"/>
    <w:rsid w:val="59D1A0F4"/>
    <w:rsid w:val="59D7D8C6"/>
    <w:rsid w:val="59D8401D"/>
    <w:rsid w:val="59DD0B0D"/>
    <w:rsid w:val="59DD223B"/>
    <w:rsid w:val="59DF1623"/>
    <w:rsid w:val="59E198E7"/>
    <w:rsid w:val="59E8AA66"/>
    <w:rsid w:val="59EA3416"/>
    <w:rsid w:val="59EB0F00"/>
    <w:rsid w:val="59EBFDAF"/>
    <w:rsid w:val="59FC1178"/>
    <w:rsid w:val="5A079FFD"/>
    <w:rsid w:val="5A0B4D89"/>
    <w:rsid w:val="5A12C123"/>
    <w:rsid w:val="5A162522"/>
    <w:rsid w:val="5A210A4D"/>
    <w:rsid w:val="5A2D20E3"/>
    <w:rsid w:val="5A2FDDC2"/>
    <w:rsid w:val="5A31513E"/>
    <w:rsid w:val="5A3F8BD5"/>
    <w:rsid w:val="5A46BE19"/>
    <w:rsid w:val="5A67B3C6"/>
    <w:rsid w:val="5A68AB4D"/>
    <w:rsid w:val="5A6ACC2F"/>
    <w:rsid w:val="5A71E32E"/>
    <w:rsid w:val="5A73DEED"/>
    <w:rsid w:val="5A7AE062"/>
    <w:rsid w:val="5A7D5CC3"/>
    <w:rsid w:val="5A808088"/>
    <w:rsid w:val="5A82E369"/>
    <w:rsid w:val="5A8315D4"/>
    <w:rsid w:val="5A8551E3"/>
    <w:rsid w:val="5A883224"/>
    <w:rsid w:val="5A8BBDEE"/>
    <w:rsid w:val="5A8DE8AE"/>
    <w:rsid w:val="5A98EAF0"/>
    <w:rsid w:val="5A9E2727"/>
    <w:rsid w:val="5AA93AB6"/>
    <w:rsid w:val="5AB3E0A3"/>
    <w:rsid w:val="5AB77C90"/>
    <w:rsid w:val="5ABC68C6"/>
    <w:rsid w:val="5AC0AB71"/>
    <w:rsid w:val="5AC1E882"/>
    <w:rsid w:val="5AC46733"/>
    <w:rsid w:val="5AD62BF3"/>
    <w:rsid w:val="5AE065BB"/>
    <w:rsid w:val="5AE2AA5F"/>
    <w:rsid w:val="5AE32146"/>
    <w:rsid w:val="5AE403E2"/>
    <w:rsid w:val="5AE5FF35"/>
    <w:rsid w:val="5AF36BC1"/>
    <w:rsid w:val="5AF6DC56"/>
    <w:rsid w:val="5AFA0178"/>
    <w:rsid w:val="5AFB4CC8"/>
    <w:rsid w:val="5B0133C0"/>
    <w:rsid w:val="5B01FB7F"/>
    <w:rsid w:val="5B174A04"/>
    <w:rsid w:val="5B2AFFDB"/>
    <w:rsid w:val="5B387F08"/>
    <w:rsid w:val="5B426969"/>
    <w:rsid w:val="5B4A756F"/>
    <w:rsid w:val="5B4CFB75"/>
    <w:rsid w:val="5B57BE70"/>
    <w:rsid w:val="5B5CF22B"/>
    <w:rsid w:val="5B6235F5"/>
    <w:rsid w:val="5B6A1E75"/>
    <w:rsid w:val="5B6E0AE9"/>
    <w:rsid w:val="5B705B85"/>
    <w:rsid w:val="5B71BDFB"/>
    <w:rsid w:val="5B79BB3D"/>
    <w:rsid w:val="5B869A33"/>
    <w:rsid w:val="5B88D1A5"/>
    <w:rsid w:val="5B94FDF6"/>
    <w:rsid w:val="5B9DD024"/>
    <w:rsid w:val="5BA1CDA0"/>
    <w:rsid w:val="5BAC2AD4"/>
    <w:rsid w:val="5BAE30F4"/>
    <w:rsid w:val="5BB1F74E"/>
    <w:rsid w:val="5BB6E139"/>
    <w:rsid w:val="5BBB3C7F"/>
    <w:rsid w:val="5BBC59BE"/>
    <w:rsid w:val="5BC05D6B"/>
    <w:rsid w:val="5BCE014A"/>
    <w:rsid w:val="5BCF4E29"/>
    <w:rsid w:val="5BDD80F4"/>
    <w:rsid w:val="5BEA9A7E"/>
    <w:rsid w:val="5BED9635"/>
    <w:rsid w:val="5BF545AE"/>
    <w:rsid w:val="5C08E080"/>
    <w:rsid w:val="5C13EBB7"/>
    <w:rsid w:val="5C1B9F2D"/>
    <w:rsid w:val="5C1CA2AA"/>
    <w:rsid w:val="5C2268D0"/>
    <w:rsid w:val="5C2750BD"/>
    <w:rsid w:val="5C2891F6"/>
    <w:rsid w:val="5C2A6DCA"/>
    <w:rsid w:val="5C38FD13"/>
    <w:rsid w:val="5C3D4E8F"/>
    <w:rsid w:val="5C452796"/>
    <w:rsid w:val="5C455480"/>
    <w:rsid w:val="5C47F96A"/>
    <w:rsid w:val="5C4F2D70"/>
    <w:rsid w:val="5C600EAE"/>
    <w:rsid w:val="5C739A58"/>
    <w:rsid w:val="5C745245"/>
    <w:rsid w:val="5C76091B"/>
    <w:rsid w:val="5C7D4A28"/>
    <w:rsid w:val="5C7DBBD0"/>
    <w:rsid w:val="5C9AF0EE"/>
    <w:rsid w:val="5C9FBAEF"/>
    <w:rsid w:val="5CA449AC"/>
    <w:rsid w:val="5CBB5295"/>
    <w:rsid w:val="5CD0249E"/>
    <w:rsid w:val="5CE073C9"/>
    <w:rsid w:val="5CF7A3DC"/>
    <w:rsid w:val="5CFE016F"/>
    <w:rsid w:val="5D007C54"/>
    <w:rsid w:val="5D05FF06"/>
    <w:rsid w:val="5D0613EC"/>
    <w:rsid w:val="5D09DF82"/>
    <w:rsid w:val="5D33C3C2"/>
    <w:rsid w:val="5D34C607"/>
    <w:rsid w:val="5D35D622"/>
    <w:rsid w:val="5D370DFD"/>
    <w:rsid w:val="5D457CF1"/>
    <w:rsid w:val="5D460255"/>
    <w:rsid w:val="5D551E7F"/>
    <w:rsid w:val="5D55A3AF"/>
    <w:rsid w:val="5D5BC6EB"/>
    <w:rsid w:val="5D5BD4F0"/>
    <w:rsid w:val="5D5D5400"/>
    <w:rsid w:val="5D605645"/>
    <w:rsid w:val="5D60834C"/>
    <w:rsid w:val="5D633D2F"/>
    <w:rsid w:val="5D65C908"/>
    <w:rsid w:val="5D68FCB7"/>
    <w:rsid w:val="5D6C7EBE"/>
    <w:rsid w:val="5D82FA6B"/>
    <w:rsid w:val="5D86B878"/>
    <w:rsid w:val="5D8FB3D7"/>
    <w:rsid w:val="5D94140B"/>
    <w:rsid w:val="5D9553F6"/>
    <w:rsid w:val="5D968575"/>
    <w:rsid w:val="5DA9587F"/>
    <w:rsid w:val="5DAAF4F7"/>
    <w:rsid w:val="5DAEA8C7"/>
    <w:rsid w:val="5DAF2A6D"/>
    <w:rsid w:val="5DB70CC8"/>
    <w:rsid w:val="5DC30D78"/>
    <w:rsid w:val="5DCCB0AA"/>
    <w:rsid w:val="5DD34D47"/>
    <w:rsid w:val="5DD7FEE1"/>
    <w:rsid w:val="5DD839FB"/>
    <w:rsid w:val="5DDDF339"/>
    <w:rsid w:val="5DE9630A"/>
    <w:rsid w:val="5DEA948B"/>
    <w:rsid w:val="5DED5C91"/>
    <w:rsid w:val="5DF3F1B5"/>
    <w:rsid w:val="5DFD54F9"/>
    <w:rsid w:val="5E042851"/>
    <w:rsid w:val="5E07323E"/>
    <w:rsid w:val="5E0DFE02"/>
    <w:rsid w:val="5E116A5C"/>
    <w:rsid w:val="5E218517"/>
    <w:rsid w:val="5E246EA4"/>
    <w:rsid w:val="5E2C6342"/>
    <w:rsid w:val="5E2E3E99"/>
    <w:rsid w:val="5E354160"/>
    <w:rsid w:val="5E385EB4"/>
    <w:rsid w:val="5E4045F1"/>
    <w:rsid w:val="5E4638C5"/>
    <w:rsid w:val="5E465047"/>
    <w:rsid w:val="5E4EB35A"/>
    <w:rsid w:val="5E50D464"/>
    <w:rsid w:val="5E59F091"/>
    <w:rsid w:val="5E5F93B7"/>
    <w:rsid w:val="5E608465"/>
    <w:rsid w:val="5E6DE99C"/>
    <w:rsid w:val="5E7405C8"/>
    <w:rsid w:val="5E7653E6"/>
    <w:rsid w:val="5E871D10"/>
    <w:rsid w:val="5E915F0C"/>
    <w:rsid w:val="5E98F974"/>
    <w:rsid w:val="5E9F425C"/>
    <w:rsid w:val="5EA39E99"/>
    <w:rsid w:val="5EA5DAC1"/>
    <w:rsid w:val="5EAF934D"/>
    <w:rsid w:val="5EB14A32"/>
    <w:rsid w:val="5EB54E0E"/>
    <w:rsid w:val="5EBDF158"/>
    <w:rsid w:val="5EC3640C"/>
    <w:rsid w:val="5EC6163A"/>
    <w:rsid w:val="5EDFE94D"/>
    <w:rsid w:val="5EDFF6FF"/>
    <w:rsid w:val="5EE699F6"/>
    <w:rsid w:val="5EE977F7"/>
    <w:rsid w:val="5EED3D07"/>
    <w:rsid w:val="5F013E86"/>
    <w:rsid w:val="5F0DA184"/>
    <w:rsid w:val="5F0F7EA0"/>
    <w:rsid w:val="5F17D35C"/>
    <w:rsid w:val="5F282DA0"/>
    <w:rsid w:val="5F28DA10"/>
    <w:rsid w:val="5F2E8C1A"/>
    <w:rsid w:val="5F3045FB"/>
    <w:rsid w:val="5F38E277"/>
    <w:rsid w:val="5F39697E"/>
    <w:rsid w:val="5F3B9429"/>
    <w:rsid w:val="5F425139"/>
    <w:rsid w:val="5F485B22"/>
    <w:rsid w:val="5F52B6D4"/>
    <w:rsid w:val="5F597F2F"/>
    <w:rsid w:val="5F5B82DA"/>
    <w:rsid w:val="5F5E20BE"/>
    <w:rsid w:val="5F6AC166"/>
    <w:rsid w:val="5F704319"/>
    <w:rsid w:val="5F8088E3"/>
    <w:rsid w:val="5F89F4BA"/>
    <w:rsid w:val="5F8B4266"/>
    <w:rsid w:val="5F8CD4FB"/>
    <w:rsid w:val="5F9406BE"/>
    <w:rsid w:val="5F95E26B"/>
    <w:rsid w:val="5FA9188A"/>
    <w:rsid w:val="5FAB277B"/>
    <w:rsid w:val="5FBB060F"/>
    <w:rsid w:val="5FC194DD"/>
    <w:rsid w:val="5FCA6796"/>
    <w:rsid w:val="5FD0C834"/>
    <w:rsid w:val="5FD11A95"/>
    <w:rsid w:val="5FD3966F"/>
    <w:rsid w:val="5FD39C33"/>
    <w:rsid w:val="5FDB5FC5"/>
    <w:rsid w:val="5FDB7881"/>
    <w:rsid w:val="5FF6DD67"/>
    <w:rsid w:val="6006E612"/>
    <w:rsid w:val="6008ECB7"/>
    <w:rsid w:val="601152C1"/>
    <w:rsid w:val="601A76C8"/>
    <w:rsid w:val="601E85A6"/>
    <w:rsid w:val="602232EC"/>
    <w:rsid w:val="602C172A"/>
    <w:rsid w:val="602E8BC2"/>
    <w:rsid w:val="602FB9F9"/>
    <w:rsid w:val="6030F466"/>
    <w:rsid w:val="6036D3B1"/>
    <w:rsid w:val="60456AF3"/>
    <w:rsid w:val="60519151"/>
    <w:rsid w:val="6059C6EE"/>
    <w:rsid w:val="606144FD"/>
    <w:rsid w:val="60776FD7"/>
    <w:rsid w:val="60797626"/>
    <w:rsid w:val="60807FD2"/>
    <w:rsid w:val="60848926"/>
    <w:rsid w:val="6095FBDF"/>
    <w:rsid w:val="609B5D0C"/>
    <w:rsid w:val="609C42F4"/>
    <w:rsid w:val="60A2F37B"/>
    <w:rsid w:val="60B4D62B"/>
    <w:rsid w:val="60B73C70"/>
    <w:rsid w:val="60BA282E"/>
    <w:rsid w:val="60BC6DCA"/>
    <w:rsid w:val="60C090C4"/>
    <w:rsid w:val="60C1779D"/>
    <w:rsid w:val="60C49D5D"/>
    <w:rsid w:val="60C9C0FF"/>
    <w:rsid w:val="60D36E1D"/>
    <w:rsid w:val="60DFAC0A"/>
    <w:rsid w:val="60E2EDA9"/>
    <w:rsid w:val="60E41969"/>
    <w:rsid w:val="60EB155B"/>
    <w:rsid w:val="60EF83E0"/>
    <w:rsid w:val="60F008C7"/>
    <w:rsid w:val="60F2EA4A"/>
    <w:rsid w:val="60F3E18C"/>
    <w:rsid w:val="60F4A42A"/>
    <w:rsid w:val="60F96400"/>
    <w:rsid w:val="6104E68F"/>
    <w:rsid w:val="6110A0EA"/>
    <w:rsid w:val="611C5338"/>
    <w:rsid w:val="61296A5E"/>
    <w:rsid w:val="612CA4AA"/>
    <w:rsid w:val="613BF563"/>
    <w:rsid w:val="613F93D9"/>
    <w:rsid w:val="614975E0"/>
    <w:rsid w:val="614B175C"/>
    <w:rsid w:val="61650DFA"/>
    <w:rsid w:val="6166A8E1"/>
    <w:rsid w:val="616745EF"/>
    <w:rsid w:val="6168D917"/>
    <w:rsid w:val="616C9CB9"/>
    <w:rsid w:val="616DACE0"/>
    <w:rsid w:val="61749992"/>
    <w:rsid w:val="61787D6E"/>
    <w:rsid w:val="617B3B3C"/>
    <w:rsid w:val="617C8CBF"/>
    <w:rsid w:val="61831E03"/>
    <w:rsid w:val="618327E2"/>
    <w:rsid w:val="618CA81D"/>
    <w:rsid w:val="619BD66F"/>
    <w:rsid w:val="619C0426"/>
    <w:rsid w:val="61A3DFFD"/>
    <w:rsid w:val="61AB5C80"/>
    <w:rsid w:val="61B075A8"/>
    <w:rsid w:val="61D0C247"/>
    <w:rsid w:val="61E457F4"/>
    <w:rsid w:val="61E8EBE9"/>
    <w:rsid w:val="61ED6C65"/>
    <w:rsid w:val="61EF0202"/>
    <w:rsid w:val="61EF241F"/>
    <w:rsid w:val="61FE011F"/>
    <w:rsid w:val="6201307A"/>
    <w:rsid w:val="6210AC07"/>
    <w:rsid w:val="6217AF60"/>
    <w:rsid w:val="6223EB71"/>
    <w:rsid w:val="622FA75C"/>
    <w:rsid w:val="6236F413"/>
    <w:rsid w:val="6239F581"/>
    <w:rsid w:val="623F0FBF"/>
    <w:rsid w:val="624B8C3E"/>
    <w:rsid w:val="624D5852"/>
    <w:rsid w:val="624E8F30"/>
    <w:rsid w:val="626027DF"/>
    <w:rsid w:val="6264CC72"/>
    <w:rsid w:val="626ACCE6"/>
    <w:rsid w:val="6273FA8D"/>
    <w:rsid w:val="627A297F"/>
    <w:rsid w:val="627AF035"/>
    <w:rsid w:val="628E2AA3"/>
    <w:rsid w:val="62945FEE"/>
    <w:rsid w:val="6294A73C"/>
    <w:rsid w:val="629833A9"/>
    <w:rsid w:val="62AB04CE"/>
    <w:rsid w:val="62AFC9B9"/>
    <w:rsid w:val="62B67B06"/>
    <w:rsid w:val="62BC38E8"/>
    <w:rsid w:val="62C2AD8D"/>
    <w:rsid w:val="62CA79AF"/>
    <w:rsid w:val="62CD16AB"/>
    <w:rsid w:val="62D7AEB9"/>
    <w:rsid w:val="62DE841D"/>
    <w:rsid w:val="62E4CFBE"/>
    <w:rsid w:val="6306D983"/>
    <w:rsid w:val="6308FDBA"/>
    <w:rsid w:val="630D12F7"/>
    <w:rsid w:val="631B4D9B"/>
    <w:rsid w:val="631FAEF4"/>
    <w:rsid w:val="6324E515"/>
    <w:rsid w:val="633AF0AA"/>
    <w:rsid w:val="63414FEC"/>
    <w:rsid w:val="63473F59"/>
    <w:rsid w:val="63516781"/>
    <w:rsid w:val="635214D0"/>
    <w:rsid w:val="635ACADB"/>
    <w:rsid w:val="63612CEE"/>
    <w:rsid w:val="636714B9"/>
    <w:rsid w:val="636811B8"/>
    <w:rsid w:val="636D6833"/>
    <w:rsid w:val="6383FD70"/>
    <w:rsid w:val="639594C7"/>
    <w:rsid w:val="6397B0D9"/>
    <w:rsid w:val="63A6E694"/>
    <w:rsid w:val="63AB11A5"/>
    <w:rsid w:val="63AE1374"/>
    <w:rsid w:val="63B1F38D"/>
    <w:rsid w:val="63B8654F"/>
    <w:rsid w:val="63BE1B40"/>
    <w:rsid w:val="63C04731"/>
    <w:rsid w:val="63C0CD63"/>
    <w:rsid w:val="63C176D8"/>
    <w:rsid w:val="63C744F1"/>
    <w:rsid w:val="63D2EF1A"/>
    <w:rsid w:val="63D8050A"/>
    <w:rsid w:val="63DE0173"/>
    <w:rsid w:val="63E2A8D3"/>
    <w:rsid w:val="63E4224C"/>
    <w:rsid w:val="63EDA4F2"/>
    <w:rsid w:val="6409EB4C"/>
    <w:rsid w:val="640E4576"/>
    <w:rsid w:val="6415BD3B"/>
    <w:rsid w:val="64182B9A"/>
    <w:rsid w:val="641DD636"/>
    <w:rsid w:val="642A573D"/>
    <w:rsid w:val="64302BD8"/>
    <w:rsid w:val="643376E2"/>
    <w:rsid w:val="6433EEE8"/>
    <w:rsid w:val="64362557"/>
    <w:rsid w:val="6436EB53"/>
    <w:rsid w:val="643EF6AB"/>
    <w:rsid w:val="643F9A06"/>
    <w:rsid w:val="64467A38"/>
    <w:rsid w:val="644DC0F8"/>
    <w:rsid w:val="64569649"/>
    <w:rsid w:val="645A280B"/>
    <w:rsid w:val="645CDD17"/>
    <w:rsid w:val="645E207F"/>
    <w:rsid w:val="646FD544"/>
    <w:rsid w:val="64747388"/>
    <w:rsid w:val="647765AD"/>
    <w:rsid w:val="6477C27D"/>
    <w:rsid w:val="64787E7C"/>
    <w:rsid w:val="647B83AB"/>
    <w:rsid w:val="647D50D5"/>
    <w:rsid w:val="647F9D6D"/>
    <w:rsid w:val="6485F931"/>
    <w:rsid w:val="648E7B6D"/>
    <w:rsid w:val="6492F8B1"/>
    <w:rsid w:val="6494E1A6"/>
    <w:rsid w:val="649DDE44"/>
    <w:rsid w:val="64AFD313"/>
    <w:rsid w:val="64B36435"/>
    <w:rsid w:val="64BD70EF"/>
    <w:rsid w:val="64BE5165"/>
    <w:rsid w:val="64C6688C"/>
    <w:rsid w:val="64CB5129"/>
    <w:rsid w:val="64CCF358"/>
    <w:rsid w:val="64D3A61E"/>
    <w:rsid w:val="64DD1A08"/>
    <w:rsid w:val="64E60C17"/>
    <w:rsid w:val="64F57A80"/>
    <w:rsid w:val="64F9CDC1"/>
    <w:rsid w:val="650EDEA2"/>
    <w:rsid w:val="6517A421"/>
    <w:rsid w:val="6522719C"/>
    <w:rsid w:val="652ABB72"/>
    <w:rsid w:val="652E64EC"/>
    <w:rsid w:val="652E6D01"/>
    <w:rsid w:val="6536216F"/>
    <w:rsid w:val="65364F74"/>
    <w:rsid w:val="6540447F"/>
    <w:rsid w:val="654ED86F"/>
    <w:rsid w:val="65518661"/>
    <w:rsid w:val="6553B607"/>
    <w:rsid w:val="6558D4C0"/>
    <w:rsid w:val="6565C17C"/>
    <w:rsid w:val="656DD3CB"/>
    <w:rsid w:val="6590F5EB"/>
    <w:rsid w:val="65995074"/>
    <w:rsid w:val="65ADAF5A"/>
    <w:rsid w:val="65BE42B4"/>
    <w:rsid w:val="65C6264A"/>
    <w:rsid w:val="65C9DE5F"/>
    <w:rsid w:val="65D53568"/>
    <w:rsid w:val="65DEAF5C"/>
    <w:rsid w:val="65E323A9"/>
    <w:rsid w:val="65E94004"/>
    <w:rsid w:val="65F56635"/>
    <w:rsid w:val="65F78A18"/>
    <w:rsid w:val="65FA19A2"/>
    <w:rsid w:val="65FFA241"/>
    <w:rsid w:val="66032F10"/>
    <w:rsid w:val="6604CFFE"/>
    <w:rsid w:val="66056CC0"/>
    <w:rsid w:val="661701F9"/>
    <w:rsid w:val="661F4E38"/>
    <w:rsid w:val="662373B9"/>
    <w:rsid w:val="662617E8"/>
    <w:rsid w:val="66281A9C"/>
    <w:rsid w:val="662849D6"/>
    <w:rsid w:val="662CCD31"/>
    <w:rsid w:val="663011C4"/>
    <w:rsid w:val="66389935"/>
    <w:rsid w:val="664B2D29"/>
    <w:rsid w:val="6658DDCC"/>
    <w:rsid w:val="66619B1D"/>
    <w:rsid w:val="6668B1C8"/>
    <w:rsid w:val="666F2762"/>
    <w:rsid w:val="6673D1FE"/>
    <w:rsid w:val="6676021D"/>
    <w:rsid w:val="66815ED2"/>
    <w:rsid w:val="6681A354"/>
    <w:rsid w:val="6681F981"/>
    <w:rsid w:val="668421BD"/>
    <w:rsid w:val="669B19BC"/>
    <w:rsid w:val="66A472CF"/>
    <w:rsid w:val="66B25944"/>
    <w:rsid w:val="66C87DBA"/>
    <w:rsid w:val="66D3AA0C"/>
    <w:rsid w:val="66D6DCCC"/>
    <w:rsid w:val="66D8DF1D"/>
    <w:rsid w:val="66DA2EE3"/>
    <w:rsid w:val="66DD9484"/>
    <w:rsid w:val="66E0635C"/>
    <w:rsid w:val="66E46FF0"/>
    <w:rsid w:val="66E860BA"/>
    <w:rsid w:val="66F76357"/>
    <w:rsid w:val="66F91F4F"/>
    <w:rsid w:val="66FA1B61"/>
    <w:rsid w:val="66FFCCC9"/>
    <w:rsid w:val="67063358"/>
    <w:rsid w:val="670B4882"/>
    <w:rsid w:val="67173033"/>
    <w:rsid w:val="672A7908"/>
    <w:rsid w:val="672D8A67"/>
    <w:rsid w:val="67335FEB"/>
    <w:rsid w:val="67447F7D"/>
    <w:rsid w:val="674D7054"/>
    <w:rsid w:val="6750048D"/>
    <w:rsid w:val="6761F345"/>
    <w:rsid w:val="6762ADEC"/>
    <w:rsid w:val="6764C93E"/>
    <w:rsid w:val="67704B9C"/>
    <w:rsid w:val="67755148"/>
    <w:rsid w:val="677FA6EB"/>
    <w:rsid w:val="6783C718"/>
    <w:rsid w:val="6794F134"/>
    <w:rsid w:val="67ABEF6A"/>
    <w:rsid w:val="67B37461"/>
    <w:rsid w:val="67B45BEF"/>
    <w:rsid w:val="67B4DAC3"/>
    <w:rsid w:val="67CBBF71"/>
    <w:rsid w:val="67D5A6BD"/>
    <w:rsid w:val="67D9885B"/>
    <w:rsid w:val="67E56F15"/>
    <w:rsid w:val="67EC3E3E"/>
    <w:rsid w:val="67F77C80"/>
    <w:rsid w:val="67F891C7"/>
    <w:rsid w:val="67FEE472"/>
    <w:rsid w:val="680BA815"/>
    <w:rsid w:val="6812D1AA"/>
    <w:rsid w:val="681C09BE"/>
    <w:rsid w:val="681EFC0B"/>
    <w:rsid w:val="682033A2"/>
    <w:rsid w:val="682099C7"/>
    <w:rsid w:val="6820D00B"/>
    <w:rsid w:val="68216928"/>
    <w:rsid w:val="6843C1A1"/>
    <w:rsid w:val="68482A29"/>
    <w:rsid w:val="684F088F"/>
    <w:rsid w:val="6850AE18"/>
    <w:rsid w:val="686930BE"/>
    <w:rsid w:val="6874BFC1"/>
    <w:rsid w:val="6876EF6D"/>
    <w:rsid w:val="687B18FB"/>
    <w:rsid w:val="6884DA74"/>
    <w:rsid w:val="689A707C"/>
    <w:rsid w:val="68BA8DD5"/>
    <w:rsid w:val="68BC615F"/>
    <w:rsid w:val="68C215C4"/>
    <w:rsid w:val="68CAC179"/>
    <w:rsid w:val="68D2BE13"/>
    <w:rsid w:val="68D45A99"/>
    <w:rsid w:val="68E47DC0"/>
    <w:rsid w:val="68F21846"/>
    <w:rsid w:val="68FDF053"/>
    <w:rsid w:val="6900032A"/>
    <w:rsid w:val="690F8174"/>
    <w:rsid w:val="691C0F8C"/>
    <w:rsid w:val="69312FA5"/>
    <w:rsid w:val="69333EC9"/>
    <w:rsid w:val="693575AE"/>
    <w:rsid w:val="693FD360"/>
    <w:rsid w:val="694314DF"/>
    <w:rsid w:val="6956E6D7"/>
    <w:rsid w:val="6966A62E"/>
    <w:rsid w:val="6973F16A"/>
    <w:rsid w:val="6975ECA0"/>
    <w:rsid w:val="69832B23"/>
    <w:rsid w:val="698EED65"/>
    <w:rsid w:val="6997029A"/>
    <w:rsid w:val="6999B8CA"/>
    <w:rsid w:val="69B63D31"/>
    <w:rsid w:val="69C97203"/>
    <w:rsid w:val="69DDD54C"/>
    <w:rsid w:val="69E2B191"/>
    <w:rsid w:val="69E3D712"/>
    <w:rsid w:val="69E46FC7"/>
    <w:rsid w:val="69E9025D"/>
    <w:rsid w:val="69E939C5"/>
    <w:rsid w:val="69EB3810"/>
    <w:rsid w:val="69EBBE45"/>
    <w:rsid w:val="69F0AF3C"/>
    <w:rsid w:val="69F28C25"/>
    <w:rsid w:val="69F37561"/>
    <w:rsid w:val="6A02BF91"/>
    <w:rsid w:val="6A0F404B"/>
    <w:rsid w:val="6A15796D"/>
    <w:rsid w:val="6A297232"/>
    <w:rsid w:val="6A2F3485"/>
    <w:rsid w:val="6A3190B1"/>
    <w:rsid w:val="6A3D3811"/>
    <w:rsid w:val="6A4009F4"/>
    <w:rsid w:val="6A48F1A4"/>
    <w:rsid w:val="6A49627D"/>
    <w:rsid w:val="6A4989C3"/>
    <w:rsid w:val="6A63F6EC"/>
    <w:rsid w:val="6A6EEF19"/>
    <w:rsid w:val="6A7464D7"/>
    <w:rsid w:val="6A7BD0BE"/>
    <w:rsid w:val="6A7CC049"/>
    <w:rsid w:val="6A86FCF0"/>
    <w:rsid w:val="6A892F35"/>
    <w:rsid w:val="6A904ED2"/>
    <w:rsid w:val="6A98748B"/>
    <w:rsid w:val="6A9B9A14"/>
    <w:rsid w:val="6A9CC432"/>
    <w:rsid w:val="6AA7CAD9"/>
    <w:rsid w:val="6AADC18F"/>
    <w:rsid w:val="6AB4CF38"/>
    <w:rsid w:val="6ABA8B6E"/>
    <w:rsid w:val="6ABC2A6C"/>
    <w:rsid w:val="6AC51F29"/>
    <w:rsid w:val="6AC52EBC"/>
    <w:rsid w:val="6ACB3B2E"/>
    <w:rsid w:val="6ACE1AFC"/>
    <w:rsid w:val="6AD30B7B"/>
    <w:rsid w:val="6AD6F15A"/>
    <w:rsid w:val="6AE27A6F"/>
    <w:rsid w:val="6AE65D78"/>
    <w:rsid w:val="6AE840BF"/>
    <w:rsid w:val="6AEFB1F0"/>
    <w:rsid w:val="6B062E7F"/>
    <w:rsid w:val="6B0B6CD9"/>
    <w:rsid w:val="6B158165"/>
    <w:rsid w:val="6B1ED1CC"/>
    <w:rsid w:val="6B241F2C"/>
    <w:rsid w:val="6B29C36F"/>
    <w:rsid w:val="6B2B981C"/>
    <w:rsid w:val="6B2C41E5"/>
    <w:rsid w:val="6B35D16B"/>
    <w:rsid w:val="6B38BC7C"/>
    <w:rsid w:val="6B3A003B"/>
    <w:rsid w:val="6B3F8229"/>
    <w:rsid w:val="6B45148C"/>
    <w:rsid w:val="6B485857"/>
    <w:rsid w:val="6B4B4A1E"/>
    <w:rsid w:val="6B5794B8"/>
    <w:rsid w:val="6B58CAD8"/>
    <w:rsid w:val="6B791DB9"/>
    <w:rsid w:val="6B7C53E6"/>
    <w:rsid w:val="6B80BF0F"/>
    <w:rsid w:val="6B88594E"/>
    <w:rsid w:val="6B8E8753"/>
    <w:rsid w:val="6B8F2FD0"/>
    <w:rsid w:val="6B96A85D"/>
    <w:rsid w:val="6B9AFCF9"/>
    <w:rsid w:val="6BA4613F"/>
    <w:rsid w:val="6BA4B30E"/>
    <w:rsid w:val="6BB07552"/>
    <w:rsid w:val="6BB6C7F2"/>
    <w:rsid w:val="6BBDA7C3"/>
    <w:rsid w:val="6BC32849"/>
    <w:rsid w:val="6BD3967F"/>
    <w:rsid w:val="6BD565F8"/>
    <w:rsid w:val="6BD58659"/>
    <w:rsid w:val="6BD6A5B2"/>
    <w:rsid w:val="6BD720D5"/>
    <w:rsid w:val="6BDFFA9E"/>
    <w:rsid w:val="6BE335EA"/>
    <w:rsid w:val="6BE6FD8E"/>
    <w:rsid w:val="6BF1413E"/>
    <w:rsid w:val="6BF616FF"/>
    <w:rsid w:val="6BFBCB6B"/>
    <w:rsid w:val="6C03F0BE"/>
    <w:rsid w:val="6C065E86"/>
    <w:rsid w:val="6C0E8DD3"/>
    <w:rsid w:val="6C1422D7"/>
    <w:rsid w:val="6C271EFB"/>
    <w:rsid w:val="6C2A1255"/>
    <w:rsid w:val="6C321CBE"/>
    <w:rsid w:val="6C363758"/>
    <w:rsid w:val="6C36E369"/>
    <w:rsid w:val="6C3C2A14"/>
    <w:rsid w:val="6C5860A8"/>
    <w:rsid w:val="6C61923B"/>
    <w:rsid w:val="6C7C4720"/>
    <w:rsid w:val="6C913AC7"/>
    <w:rsid w:val="6C93B589"/>
    <w:rsid w:val="6CB6F526"/>
    <w:rsid w:val="6CBBEA45"/>
    <w:rsid w:val="6CBC3FFC"/>
    <w:rsid w:val="6CC5CD84"/>
    <w:rsid w:val="6CCB4B54"/>
    <w:rsid w:val="6CCDD6F5"/>
    <w:rsid w:val="6CD2372B"/>
    <w:rsid w:val="6CDC132E"/>
    <w:rsid w:val="6CE6D15A"/>
    <w:rsid w:val="6CE6E782"/>
    <w:rsid w:val="6CF0EA31"/>
    <w:rsid w:val="6CF3BDBD"/>
    <w:rsid w:val="6CF96F35"/>
    <w:rsid w:val="6D02DA2C"/>
    <w:rsid w:val="6D0A0F5A"/>
    <w:rsid w:val="6D1E9E07"/>
    <w:rsid w:val="6D23EEED"/>
    <w:rsid w:val="6D25A4C2"/>
    <w:rsid w:val="6D27D90D"/>
    <w:rsid w:val="6D2DB017"/>
    <w:rsid w:val="6D34AE9D"/>
    <w:rsid w:val="6D4226D0"/>
    <w:rsid w:val="6D4834CC"/>
    <w:rsid w:val="6D49CEDA"/>
    <w:rsid w:val="6D550806"/>
    <w:rsid w:val="6D5FF3BD"/>
    <w:rsid w:val="6D60FE9E"/>
    <w:rsid w:val="6D646A5E"/>
    <w:rsid w:val="6D67DDF7"/>
    <w:rsid w:val="6D6F87FA"/>
    <w:rsid w:val="6D7AA84F"/>
    <w:rsid w:val="6D7BA209"/>
    <w:rsid w:val="6D7C0A4D"/>
    <w:rsid w:val="6D7C0BA9"/>
    <w:rsid w:val="6D850A78"/>
    <w:rsid w:val="6D896DE3"/>
    <w:rsid w:val="6D902825"/>
    <w:rsid w:val="6D95B2C2"/>
    <w:rsid w:val="6D985873"/>
    <w:rsid w:val="6D98FE0D"/>
    <w:rsid w:val="6DD2E9A3"/>
    <w:rsid w:val="6DE3E570"/>
    <w:rsid w:val="6DE7A8F4"/>
    <w:rsid w:val="6DEDDDAC"/>
    <w:rsid w:val="6DFA78C2"/>
    <w:rsid w:val="6DFEC39D"/>
    <w:rsid w:val="6E093B6D"/>
    <w:rsid w:val="6E0A3AE8"/>
    <w:rsid w:val="6E0D6675"/>
    <w:rsid w:val="6E1CCC65"/>
    <w:rsid w:val="6E2AF284"/>
    <w:rsid w:val="6E307A42"/>
    <w:rsid w:val="6E41B2F4"/>
    <w:rsid w:val="6E4A2643"/>
    <w:rsid w:val="6E4CAEC3"/>
    <w:rsid w:val="6E59D589"/>
    <w:rsid w:val="6E5E67AA"/>
    <w:rsid w:val="6E6EAAFA"/>
    <w:rsid w:val="6E7A1E02"/>
    <w:rsid w:val="6E871C1D"/>
    <w:rsid w:val="6E926ADB"/>
    <w:rsid w:val="6E9583A4"/>
    <w:rsid w:val="6EA2A5B2"/>
    <w:rsid w:val="6EA6580B"/>
    <w:rsid w:val="6EA6C6D9"/>
    <w:rsid w:val="6EB88D2B"/>
    <w:rsid w:val="6EBA3FD9"/>
    <w:rsid w:val="6EBA561D"/>
    <w:rsid w:val="6EC43D74"/>
    <w:rsid w:val="6ECF4584"/>
    <w:rsid w:val="6EE23786"/>
    <w:rsid w:val="6EFDF156"/>
    <w:rsid w:val="6F05934E"/>
    <w:rsid w:val="6F0AFB77"/>
    <w:rsid w:val="6F14D453"/>
    <w:rsid w:val="6F16585E"/>
    <w:rsid w:val="6F17FE54"/>
    <w:rsid w:val="6F18EFDD"/>
    <w:rsid w:val="6F1B0BDF"/>
    <w:rsid w:val="6F1BD395"/>
    <w:rsid w:val="6F2165DF"/>
    <w:rsid w:val="6F2B2CB4"/>
    <w:rsid w:val="6F2C3E42"/>
    <w:rsid w:val="6F2DE1BF"/>
    <w:rsid w:val="6F35B086"/>
    <w:rsid w:val="6F376ED5"/>
    <w:rsid w:val="6F37D6D5"/>
    <w:rsid w:val="6F3F74B3"/>
    <w:rsid w:val="6F4194B5"/>
    <w:rsid w:val="6F49C535"/>
    <w:rsid w:val="6F4FD5C3"/>
    <w:rsid w:val="6F58AF36"/>
    <w:rsid w:val="6F5AF5D5"/>
    <w:rsid w:val="6F693E24"/>
    <w:rsid w:val="6F699D55"/>
    <w:rsid w:val="6F6CC1B2"/>
    <w:rsid w:val="6F76859B"/>
    <w:rsid w:val="6F7A453F"/>
    <w:rsid w:val="6F7F0100"/>
    <w:rsid w:val="6F81D3CA"/>
    <w:rsid w:val="6F85374D"/>
    <w:rsid w:val="6F870B0E"/>
    <w:rsid w:val="6F8E94A2"/>
    <w:rsid w:val="6F9263BE"/>
    <w:rsid w:val="6F987D0B"/>
    <w:rsid w:val="6F9995CA"/>
    <w:rsid w:val="6F9A1611"/>
    <w:rsid w:val="6F9CF952"/>
    <w:rsid w:val="6FA568D6"/>
    <w:rsid w:val="6FA7906A"/>
    <w:rsid w:val="6FAF2741"/>
    <w:rsid w:val="6FC06E05"/>
    <w:rsid w:val="6FC29A2B"/>
    <w:rsid w:val="6FC8A332"/>
    <w:rsid w:val="6FCD78A5"/>
    <w:rsid w:val="6FD30A90"/>
    <w:rsid w:val="6FD8D91B"/>
    <w:rsid w:val="6FEB5181"/>
    <w:rsid w:val="6FED6F54"/>
    <w:rsid w:val="6FF88C14"/>
    <w:rsid w:val="6FFAABA6"/>
    <w:rsid w:val="6FFAB0E9"/>
    <w:rsid w:val="70029E2D"/>
    <w:rsid w:val="7011DF04"/>
    <w:rsid w:val="701771F4"/>
    <w:rsid w:val="701EFEBC"/>
    <w:rsid w:val="702A9D3C"/>
    <w:rsid w:val="702E5379"/>
    <w:rsid w:val="70309000"/>
    <w:rsid w:val="7031F734"/>
    <w:rsid w:val="7033E897"/>
    <w:rsid w:val="70358D4A"/>
    <w:rsid w:val="7037B4A3"/>
    <w:rsid w:val="70446A47"/>
    <w:rsid w:val="7045F686"/>
    <w:rsid w:val="70482608"/>
    <w:rsid w:val="7051BA33"/>
    <w:rsid w:val="705555B2"/>
    <w:rsid w:val="70569A8D"/>
    <w:rsid w:val="7069911E"/>
    <w:rsid w:val="706CA7BC"/>
    <w:rsid w:val="706F613F"/>
    <w:rsid w:val="7071EBF7"/>
    <w:rsid w:val="7073F61D"/>
    <w:rsid w:val="7085CDAE"/>
    <w:rsid w:val="708FCEC7"/>
    <w:rsid w:val="70911EA6"/>
    <w:rsid w:val="709C9523"/>
    <w:rsid w:val="70AD30C1"/>
    <w:rsid w:val="70ADCCCF"/>
    <w:rsid w:val="70B3D663"/>
    <w:rsid w:val="70C008CE"/>
    <w:rsid w:val="70C4AA40"/>
    <w:rsid w:val="70CE6203"/>
    <w:rsid w:val="70D17B2A"/>
    <w:rsid w:val="70DDBF73"/>
    <w:rsid w:val="70E229AF"/>
    <w:rsid w:val="70E8A7E5"/>
    <w:rsid w:val="70F2E334"/>
    <w:rsid w:val="70F2EC0B"/>
    <w:rsid w:val="70F62ECB"/>
    <w:rsid w:val="70FBECFB"/>
    <w:rsid w:val="70FEDB3A"/>
    <w:rsid w:val="71070F4C"/>
    <w:rsid w:val="71158C7B"/>
    <w:rsid w:val="71159F6D"/>
    <w:rsid w:val="7118AF9A"/>
    <w:rsid w:val="711958D2"/>
    <w:rsid w:val="711CBC70"/>
    <w:rsid w:val="711CD008"/>
    <w:rsid w:val="7120A026"/>
    <w:rsid w:val="71228391"/>
    <w:rsid w:val="7125475D"/>
    <w:rsid w:val="71384EF3"/>
    <w:rsid w:val="713B8BD3"/>
    <w:rsid w:val="713C7087"/>
    <w:rsid w:val="71417557"/>
    <w:rsid w:val="714D08B1"/>
    <w:rsid w:val="71519B97"/>
    <w:rsid w:val="715B3EB9"/>
    <w:rsid w:val="715DEDC7"/>
    <w:rsid w:val="71620744"/>
    <w:rsid w:val="716B20D4"/>
    <w:rsid w:val="716F7BA0"/>
    <w:rsid w:val="71808630"/>
    <w:rsid w:val="71821C80"/>
    <w:rsid w:val="7182D8EB"/>
    <w:rsid w:val="718BE3B0"/>
    <w:rsid w:val="71929E75"/>
    <w:rsid w:val="7194C477"/>
    <w:rsid w:val="719DBB15"/>
    <w:rsid w:val="71A195FC"/>
    <w:rsid w:val="71AAB988"/>
    <w:rsid w:val="71B01649"/>
    <w:rsid w:val="71B10D8E"/>
    <w:rsid w:val="71BC3D4A"/>
    <w:rsid w:val="71D06B15"/>
    <w:rsid w:val="71D84BA7"/>
    <w:rsid w:val="71EB9668"/>
    <w:rsid w:val="71ECDF68"/>
    <w:rsid w:val="71F5AE30"/>
    <w:rsid w:val="71FE0B61"/>
    <w:rsid w:val="72024690"/>
    <w:rsid w:val="720BAC9A"/>
    <w:rsid w:val="720DD17A"/>
    <w:rsid w:val="720E6F18"/>
    <w:rsid w:val="721DDE9F"/>
    <w:rsid w:val="721F531B"/>
    <w:rsid w:val="721F6894"/>
    <w:rsid w:val="72223D7A"/>
    <w:rsid w:val="72241A5E"/>
    <w:rsid w:val="722FF74B"/>
    <w:rsid w:val="7251E81A"/>
    <w:rsid w:val="72525927"/>
    <w:rsid w:val="72548514"/>
    <w:rsid w:val="72597CF4"/>
    <w:rsid w:val="725DB86B"/>
    <w:rsid w:val="7264F2C8"/>
    <w:rsid w:val="7271D839"/>
    <w:rsid w:val="72732E2A"/>
    <w:rsid w:val="727DE6CD"/>
    <w:rsid w:val="727F0D80"/>
    <w:rsid w:val="7280C925"/>
    <w:rsid w:val="7289F1D9"/>
    <w:rsid w:val="7292960F"/>
    <w:rsid w:val="72983DA0"/>
    <w:rsid w:val="729C3406"/>
    <w:rsid w:val="729CE21F"/>
    <w:rsid w:val="72A0D76E"/>
    <w:rsid w:val="72A94786"/>
    <w:rsid w:val="72A98C93"/>
    <w:rsid w:val="72B0A18C"/>
    <w:rsid w:val="72B0E31A"/>
    <w:rsid w:val="72B9E593"/>
    <w:rsid w:val="72D2E6D1"/>
    <w:rsid w:val="72D39C0B"/>
    <w:rsid w:val="72F30766"/>
    <w:rsid w:val="72F6A032"/>
    <w:rsid w:val="72FBBD01"/>
    <w:rsid w:val="72FCF914"/>
    <w:rsid w:val="730419E0"/>
    <w:rsid w:val="73042968"/>
    <w:rsid w:val="73070050"/>
    <w:rsid w:val="73186033"/>
    <w:rsid w:val="731CDE10"/>
    <w:rsid w:val="7327294A"/>
    <w:rsid w:val="732FF8C4"/>
    <w:rsid w:val="7330D015"/>
    <w:rsid w:val="73362443"/>
    <w:rsid w:val="7336CDEC"/>
    <w:rsid w:val="7345BC2F"/>
    <w:rsid w:val="734AD7B7"/>
    <w:rsid w:val="7355393E"/>
    <w:rsid w:val="7359E69C"/>
    <w:rsid w:val="73680BC2"/>
    <w:rsid w:val="736D51B0"/>
    <w:rsid w:val="73746AAB"/>
    <w:rsid w:val="73833575"/>
    <w:rsid w:val="7392AF5B"/>
    <w:rsid w:val="739B7A2B"/>
    <w:rsid w:val="739C4E1B"/>
    <w:rsid w:val="739DAC5C"/>
    <w:rsid w:val="73AC25CB"/>
    <w:rsid w:val="73ADD8D3"/>
    <w:rsid w:val="73B18D96"/>
    <w:rsid w:val="73B96831"/>
    <w:rsid w:val="73C48BD0"/>
    <w:rsid w:val="73CDC290"/>
    <w:rsid w:val="73CDEAC9"/>
    <w:rsid w:val="73D0686E"/>
    <w:rsid w:val="73D64062"/>
    <w:rsid w:val="73DADBE9"/>
    <w:rsid w:val="73DC30BB"/>
    <w:rsid w:val="73E3D2CC"/>
    <w:rsid w:val="73E53D2F"/>
    <w:rsid w:val="73E5C35B"/>
    <w:rsid w:val="73F589E3"/>
    <w:rsid w:val="73FBEF67"/>
    <w:rsid w:val="740A8D14"/>
    <w:rsid w:val="741065B8"/>
    <w:rsid w:val="741AE7BC"/>
    <w:rsid w:val="741DB3CB"/>
    <w:rsid w:val="741EDA1F"/>
    <w:rsid w:val="74212DEF"/>
    <w:rsid w:val="742F4BA1"/>
    <w:rsid w:val="7431DD4E"/>
    <w:rsid w:val="7433A0BF"/>
    <w:rsid w:val="7433E616"/>
    <w:rsid w:val="743517D4"/>
    <w:rsid w:val="7436F5BA"/>
    <w:rsid w:val="74370AF6"/>
    <w:rsid w:val="743E3F0E"/>
    <w:rsid w:val="743FCF21"/>
    <w:rsid w:val="744862CB"/>
    <w:rsid w:val="744FB33A"/>
    <w:rsid w:val="7460C687"/>
    <w:rsid w:val="7468FCD0"/>
    <w:rsid w:val="7469DDCE"/>
    <w:rsid w:val="746BAEA9"/>
    <w:rsid w:val="747372B3"/>
    <w:rsid w:val="74738275"/>
    <w:rsid w:val="74830BDD"/>
    <w:rsid w:val="74849CD0"/>
    <w:rsid w:val="748BF800"/>
    <w:rsid w:val="7498252E"/>
    <w:rsid w:val="749E9A15"/>
    <w:rsid w:val="74A7E04E"/>
    <w:rsid w:val="74B6BF34"/>
    <w:rsid w:val="74BDE292"/>
    <w:rsid w:val="74C07485"/>
    <w:rsid w:val="74C15A0D"/>
    <w:rsid w:val="74CC31D5"/>
    <w:rsid w:val="74CE91BE"/>
    <w:rsid w:val="74DE488F"/>
    <w:rsid w:val="74E21797"/>
    <w:rsid w:val="74F0594B"/>
    <w:rsid w:val="74F08DEB"/>
    <w:rsid w:val="74F8A5E5"/>
    <w:rsid w:val="7502089B"/>
    <w:rsid w:val="7507736D"/>
    <w:rsid w:val="750AFD3B"/>
    <w:rsid w:val="750EF543"/>
    <w:rsid w:val="7516E62E"/>
    <w:rsid w:val="75270D99"/>
    <w:rsid w:val="7533B6B6"/>
    <w:rsid w:val="7536E60B"/>
    <w:rsid w:val="753776D9"/>
    <w:rsid w:val="7538B858"/>
    <w:rsid w:val="753E7676"/>
    <w:rsid w:val="75403492"/>
    <w:rsid w:val="75457C66"/>
    <w:rsid w:val="75481DAE"/>
    <w:rsid w:val="754EA049"/>
    <w:rsid w:val="7552B679"/>
    <w:rsid w:val="75550DB8"/>
    <w:rsid w:val="75574440"/>
    <w:rsid w:val="7564BDF1"/>
    <w:rsid w:val="7569AB4E"/>
    <w:rsid w:val="75710A5A"/>
    <w:rsid w:val="757D4BE3"/>
    <w:rsid w:val="7583DCBB"/>
    <w:rsid w:val="75871A6E"/>
    <w:rsid w:val="75960A30"/>
    <w:rsid w:val="759B5827"/>
    <w:rsid w:val="75A3E0D7"/>
    <w:rsid w:val="75AE58A4"/>
    <w:rsid w:val="75CA8ADF"/>
    <w:rsid w:val="75D0523D"/>
    <w:rsid w:val="75D2790C"/>
    <w:rsid w:val="75D81CA0"/>
    <w:rsid w:val="75DC0474"/>
    <w:rsid w:val="75E0C8AA"/>
    <w:rsid w:val="75E7B333"/>
    <w:rsid w:val="75EAE84B"/>
    <w:rsid w:val="75ECD4C7"/>
    <w:rsid w:val="75EEED4E"/>
    <w:rsid w:val="75FCE876"/>
    <w:rsid w:val="76003C57"/>
    <w:rsid w:val="76118F57"/>
    <w:rsid w:val="7619F8D6"/>
    <w:rsid w:val="762446EF"/>
    <w:rsid w:val="7629394C"/>
    <w:rsid w:val="7633155B"/>
    <w:rsid w:val="76347050"/>
    <w:rsid w:val="763AA545"/>
    <w:rsid w:val="763D05B8"/>
    <w:rsid w:val="763D3A39"/>
    <w:rsid w:val="763DF38B"/>
    <w:rsid w:val="763EEADB"/>
    <w:rsid w:val="7645B0D0"/>
    <w:rsid w:val="7647219B"/>
    <w:rsid w:val="7647B09E"/>
    <w:rsid w:val="764C37ED"/>
    <w:rsid w:val="765DACEA"/>
    <w:rsid w:val="765F1697"/>
    <w:rsid w:val="7662B1B2"/>
    <w:rsid w:val="7668EF45"/>
    <w:rsid w:val="767763E4"/>
    <w:rsid w:val="7680817E"/>
    <w:rsid w:val="7683DAC8"/>
    <w:rsid w:val="769055BB"/>
    <w:rsid w:val="76905B1F"/>
    <w:rsid w:val="7699D4E1"/>
    <w:rsid w:val="76A6025F"/>
    <w:rsid w:val="76B8414F"/>
    <w:rsid w:val="76BCE702"/>
    <w:rsid w:val="76C64BB3"/>
    <w:rsid w:val="76CA21F0"/>
    <w:rsid w:val="76D10274"/>
    <w:rsid w:val="76DA6097"/>
    <w:rsid w:val="76DC6C57"/>
    <w:rsid w:val="76E0BACE"/>
    <w:rsid w:val="76E27DD4"/>
    <w:rsid w:val="76EB50EC"/>
    <w:rsid w:val="76F6D2DF"/>
    <w:rsid w:val="76F8BC36"/>
    <w:rsid w:val="76F8E3E0"/>
    <w:rsid w:val="77093722"/>
    <w:rsid w:val="770AF10E"/>
    <w:rsid w:val="77232E7C"/>
    <w:rsid w:val="77239F90"/>
    <w:rsid w:val="7725A348"/>
    <w:rsid w:val="772D480B"/>
    <w:rsid w:val="772D9E85"/>
    <w:rsid w:val="7733145E"/>
    <w:rsid w:val="77357EE4"/>
    <w:rsid w:val="773788BA"/>
    <w:rsid w:val="773F431D"/>
    <w:rsid w:val="77491224"/>
    <w:rsid w:val="774C41FE"/>
    <w:rsid w:val="7756828A"/>
    <w:rsid w:val="7757067F"/>
    <w:rsid w:val="775805F2"/>
    <w:rsid w:val="77632591"/>
    <w:rsid w:val="7767EADB"/>
    <w:rsid w:val="7770416A"/>
    <w:rsid w:val="77818C5C"/>
    <w:rsid w:val="7784A671"/>
    <w:rsid w:val="77973CBC"/>
    <w:rsid w:val="77CA4C15"/>
    <w:rsid w:val="77CC0075"/>
    <w:rsid w:val="77D7AED9"/>
    <w:rsid w:val="77DC842A"/>
    <w:rsid w:val="77E0AECA"/>
    <w:rsid w:val="77E452C3"/>
    <w:rsid w:val="77EF7021"/>
    <w:rsid w:val="77F74E0D"/>
    <w:rsid w:val="77FFE9CD"/>
    <w:rsid w:val="78002C48"/>
    <w:rsid w:val="7806FC00"/>
    <w:rsid w:val="781ABEF1"/>
    <w:rsid w:val="781DC379"/>
    <w:rsid w:val="78216B3E"/>
    <w:rsid w:val="7823012C"/>
    <w:rsid w:val="78268D88"/>
    <w:rsid w:val="782AE407"/>
    <w:rsid w:val="7858243D"/>
    <w:rsid w:val="78592E0D"/>
    <w:rsid w:val="785DB94E"/>
    <w:rsid w:val="7866F960"/>
    <w:rsid w:val="786813A7"/>
    <w:rsid w:val="786BD561"/>
    <w:rsid w:val="786F8029"/>
    <w:rsid w:val="7870CAB4"/>
    <w:rsid w:val="7871777B"/>
    <w:rsid w:val="78729871"/>
    <w:rsid w:val="7883FC30"/>
    <w:rsid w:val="788E0A0B"/>
    <w:rsid w:val="789CD634"/>
    <w:rsid w:val="78A9E8A2"/>
    <w:rsid w:val="78AAFE7F"/>
    <w:rsid w:val="78AF19FE"/>
    <w:rsid w:val="78B439BA"/>
    <w:rsid w:val="78B74145"/>
    <w:rsid w:val="78C667B5"/>
    <w:rsid w:val="78D4FC63"/>
    <w:rsid w:val="78D7EA1E"/>
    <w:rsid w:val="78DB3694"/>
    <w:rsid w:val="78DFDCB1"/>
    <w:rsid w:val="78DFFB4A"/>
    <w:rsid w:val="78E6FEEE"/>
    <w:rsid w:val="78E91F24"/>
    <w:rsid w:val="78F39D97"/>
    <w:rsid w:val="78F7544C"/>
    <w:rsid w:val="78F8EB0C"/>
    <w:rsid w:val="78FB490E"/>
    <w:rsid w:val="78FD43DE"/>
    <w:rsid w:val="78FE09FF"/>
    <w:rsid w:val="78FFCD6E"/>
    <w:rsid w:val="7905398B"/>
    <w:rsid w:val="7906879D"/>
    <w:rsid w:val="7906886E"/>
    <w:rsid w:val="790BD6F4"/>
    <w:rsid w:val="790C5BA4"/>
    <w:rsid w:val="790E101D"/>
    <w:rsid w:val="790FF4FE"/>
    <w:rsid w:val="79281BC5"/>
    <w:rsid w:val="792EDAB2"/>
    <w:rsid w:val="7933E818"/>
    <w:rsid w:val="793CF13A"/>
    <w:rsid w:val="7945A670"/>
    <w:rsid w:val="79492835"/>
    <w:rsid w:val="7955F2DC"/>
    <w:rsid w:val="795656BD"/>
    <w:rsid w:val="79592546"/>
    <w:rsid w:val="795C87FE"/>
    <w:rsid w:val="796AE39F"/>
    <w:rsid w:val="796BB9AC"/>
    <w:rsid w:val="798B5E21"/>
    <w:rsid w:val="79A14CED"/>
    <w:rsid w:val="79AC17F1"/>
    <w:rsid w:val="79AD67C4"/>
    <w:rsid w:val="79BA0A45"/>
    <w:rsid w:val="79C65447"/>
    <w:rsid w:val="79DDD712"/>
    <w:rsid w:val="79E79157"/>
    <w:rsid w:val="79F7C5F3"/>
    <w:rsid w:val="79FAA191"/>
    <w:rsid w:val="79FC2661"/>
    <w:rsid w:val="7A005342"/>
    <w:rsid w:val="7A04C6BC"/>
    <w:rsid w:val="7A05BD08"/>
    <w:rsid w:val="7A133787"/>
    <w:rsid w:val="7A164AFA"/>
    <w:rsid w:val="7A16B245"/>
    <w:rsid w:val="7A228EF8"/>
    <w:rsid w:val="7A247946"/>
    <w:rsid w:val="7A25BDF8"/>
    <w:rsid w:val="7A2924B2"/>
    <w:rsid w:val="7A31BF80"/>
    <w:rsid w:val="7A326303"/>
    <w:rsid w:val="7A3B7B68"/>
    <w:rsid w:val="7A4553FA"/>
    <w:rsid w:val="7A45DC3F"/>
    <w:rsid w:val="7A462372"/>
    <w:rsid w:val="7A4649EB"/>
    <w:rsid w:val="7A64360C"/>
    <w:rsid w:val="7A695A5F"/>
    <w:rsid w:val="7A7D6825"/>
    <w:rsid w:val="7A81DF58"/>
    <w:rsid w:val="7A89CB3F"/>
    <w:rsid w:val="7A8E6ACB"/>
    <w:rsid w:val="7A958738"/>
    <w:rsid w:val="7A9D13C9"/>
    <w:rsid w:val="7AA46C0F"/>
    <w:rsid w:val="7AA47A9B"/>
    <w:rsid w:val="7ACB4D40"/>
    <w:rsid w:val="7ADA1CF1"/>
    <w:rsid w:val="7AF0D83A"/>
    <w:rsid w:val="7AF86EF8"/>
    <w:rsid w:val="7B10395F"/>
    <w:rsid w:val="7B1D831B"/>
    <w:rsid w:val="7B249505"/>
    <w:rsid w:val="7B2F802A"/>
    <w:rsid w:val="7B3ADD29"/>
    <w:rsid w:val="7B48FAAF"/>
    <w:rsid w:val="7B4A58A4"/>
    <w:rsid w:val="7B5472B9"/>
    <w:rsid w:val="7B5A4D11"/>
    <w:rsid w:val="7B5AAAAB"/>
    <w:rsid w:val="7B5F9877"/>
    <w:rsid w:val="7B68AC4F"/>
    <w:rsid w:val="7B6958AD"/>
    <w:rsid w:val="7B72BDE2"/>
    <w:rsid w:val="7B765BB1"/>
    <w:rsid w:val="7B7A29E9"/>
    <w:rsid w:val="7B895408"/>
    <w:rsid w:val="7B8FB377"/>
    <w:rsid w:val="7B948AB6"/>
    <w:rsid w:val="7B9846D8"/>
    <w:rsid w:val="7B9FDE23"/>
    <w:rsid w:val="7BA0F04E"/>
    <w:rsid w:val="7BA1FBE8"/>
    <w:rsid w:val="7BADA98D"/>
    <w:rsid w:val="7BBA4A08"/>
    <w:rsid w:val="7BC57662"/>
    <w:rsid w:val="7BD14C68"/>
    <w:rsid w:val="7BD24738"/>
    <w:rsid w:val="7BD45BA7"/>
    <w:rsid w:val="7BD65617"/>
    <w:rsid w:val="7BE27019"/>
    <w:rsid w:val="7BE48160"/>
    <w:rsid w:val="7BF1004F"/>
    <w:rsid w:val="7BFB6CC9"/>
    <w:rsid w:val="7C0355A7"/>
    <w:rsid w:val="7C045E61"/>
    <w:rsid w:val="7C0AE11E"/>
    <w:rsid w:val="7C37422B"/>
    <w:rsid w:val="7C39EBD6"/>
    <w:rsid w:val="7C405D17"/>
    <w:rsid w:val="7C4B9CE5"/>
    <w:rsid w:val="7C4F9BA3"/>
    <w:rsid w:val="7C52A704"/>
    <w:rsid w:val="7C54ACC1"/>
    <w:rsid w:val="7C641AFE"/>
    <w:rsid w:val="7C71B502"/>
    <w:rsid w:val="7C7A8D06"/>
    <w:rsid w:val="7C7D489D"/>
    <w:rsid w:val="7C8DBFB5"/>
    <w:rsid w:val="7C96689D"/>
    <w:rsid w:val="7C9D1160"/>
    <w:rsid w:val="7C9D1406"/>
    <w:rsid w:val="7CA02780"/>
    <w:rsid w:val="7CA204C1"/>
    <w:rsid w:val="7CAC2B50"/>
    <w:rsid w:val="7CAFD6AF"/>
    <w:rsid w:val="7CB98120"/>
    <w:rsid w:val="7CBB2825"/>
    <w:rsid w:val="7CC06A92"/>
    <w:rsid w:val="7CC3C538"/>
    <w:rsid w:val="7CC484DC"/>
    <w:rsid w:val="7CC67B79"/>
    <w:rsid w:val="7CC7DF8D"/>
    <w:rsid w:val="7CDFA36E"/>
    <w:rsid w:val="7CE06D42"/>
    <w:rsid w:val="7CEB220B"/>
    <w:rsid w:val="7CF5EEF1"/>
    <w:rsid w:val="7CFD1851"/>
    <w:rsid w:val="7D06BAF4"/>
    <w:rsid w:val="7D070300"/>
    <w:rsid w:val="7D0AAD4D"/>
    <w:rsid w:val="7D0DD719"/>
    <w:rsid w:val="7D1B9239"/>
    <w:rsid w:val="7D1EEFFB"/>
    <w:rsid w:val="7D3A7A6D"/>
    <w:rsid w:val="7D4CA0AD"/>
    <w:rsid w:val="7D5B34EF"/>
    <w:rsid w:val="7D625C15"/>
    <w:rsid w:val="7D62B92A"/>
    <w:rsid w:val="7D6506DD"/>
    <w:rsid w:val="7D6933DE"/>
    <w:rsid w:val="7D6B9470"/>
    <w:rsid w:val="7D6C5D4A"/>
    <w:rsid w:val="7D6F484C"/>
    <w:rsid w:val="7D7EDC58"/>
    <w:rsid w:val="7D87B1ED"/>
    <w:rsid w:val="7D92BEED"/>
    <w:rsid w:val="7DA39560"/>
    <w:rsid w:val="7DA5DA38"/>
    <w:rsid w:val="7DB361B1"/>
    <w:rsid w:val="7DB4355F"/>
    <w:rsid w:val="7DC134F8"/>
    <w:rsid w:val="7DC279C2"/>
    <w:rsid w:val="7DD2A253"/>
    <w:rsid w:val="7DD6C5BB"/>
    <w:rsid w:val="7DE26D7B"/>
    <w:rsid w:val="7DE35F0A"/>
    <w:rsid w:val="7DEB53B0"/>
    <w:rsid w:val="7DEC3B68"/>
    <w:rsid w:val="7DF40382"/>
    <w:rsid w:val="7DF4A7AD"/>
    <w:rsid w:val="7DFC25C3"/>
    <w:rsid w:val="7E0C2C4B"/>
    <w:rsid w:val="7E0CA0B9"/>
    <w:rsid w:val="7E168C5E"/>
    <w:rsid w:val="7E213563"/>
    <w:rsid w:val="7E2BC56F"/>
    <w:rsid w:val="7E3899BD"/>
    <w:rsid w:val="7E3964CB"/>
    <w:rsid w:val="7E3E79F3"/>
    <w:rsid w:val="7E42A6B6"/>
    <w:rsid w:val="7E42CFB4"/>
    <w:rsid w:val="7E5C4F6A"/>
    <w:rsid w:val="7E66F2FC"/>
    <w:rsid w:val="7E7EE241"/>
    <w:rsid w:val="7E808D45"/>
    <w:rsid w:val="7E8731E5"/>
    <w:rsid w:val="7E87E8E6"/>
    <w:rsid w:val="7E89858C"/>
    <w:rsid w:val="7E9EA93B"/>
    <w:rsid w:val="7E9F3737"/>
    <w:rsid w:val="7EA1C37F"/>
    <w:rsid w:val="7EA53F31"/>
    <w:rsid w:val="7EA6AFB6"/>
    <w:rsid w:val="7EA8EAD5"/>
    <w:rsid w:val="7EB075BA"/>
    <w:rsid w:val="7EB0CC61"/>
    <w:rsid w:val="7EB0EFEA"/>
    <w:rsid w:val="7EC10A16"/>
    <w:rsid w:val="7ED4BB07"/>
    <w:rsid w:val="7EE8AF40"/>
    <w:rsid w:val="7EF6EAED"/>
    <w:rsid w:val="7EFC55A0"/>
    <w:rsid w:val="7EFCE69E"/>
    <w:rsid w:val="7F01BF43"/>
    <w:rsid w:val="7F07A701"/>
    <w:rsid w:val="7F08E4DA"/>
    <w:rsid w:val="7F0A1186"/>
    <w:rsid w:val="7F166987"/>
    <w:rsid w:val="7F1761BB"/>
    <w:rsid w:val="7F1C394D"/>
    <w:rsid w:val="7F213B70"/>
    <w:rsid w:val="7F25B921"/>
    <w:rsid w:val="7F30E1BA"/>
    <w:rsid w:val="7F370F8C"/>
    <w:rsid w:val="7F377D7F"/>
    <w:rsid w:val="7F37867E"/>
    <w:rsid w:val="7F44BA52"/>
    <w:rsid w:val="7F47A2C9"/>
    <w:rsid w:val="7F4C5F86"/>
    <w:rsid w:val="7F4C8F0E"/>
    <w:rsid w:val="7F4CE5CC"/>
    <w:rsid w:val="7F4FDD03"/>
    <w:rsid w:val="7F5F67E9"/>
    <w:rsid w:val="7F63A919"/>
    <w:rsid w:val="7F65E2A3"/>
    <w:rsid w:val="7F6A3952"/>
    <w:rsid w:val="7F6A5901"/>
    <w:rsid w:val="7F6E243A"/>
    <w:rsid w:val="7F7059F3"/>
    <w:rsid w:val="7F717DB0"/>
    <w:rsid w:val="7F7FA4AD"/>
    <w:rsid w:val="7F8BD38E"/>
    <w:rsid w:val="7F944603"/>
    <w:rsid w:val="7F99A5B0"/>
    <w:rsid w:val="7FAD54C0"/>
    <w:rsid w:val="7FB3FC2B"/>
    <w:rsid w:val="7FCF5E0E"/>
    <w:rsid w:val="7FDB3D1D"/>
    <w:rsid w:val="7FEAA17E"/>
    <w:rsid w:val="7FEC74F6"/>
    <w:rsid w:val="7FECA7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040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qFormat="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567"/>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uiPriority w:val="99"/>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uiPriority w:val="99"/>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E63F32"/>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34"/>
    <w:qFormat/>
    <w:rsid w:val="00E63F32"/>
    <w:pPr>
      <w:ind w:left="720"/>
      <w:contextualSpacing/>
    </w:pPr>
  </w:style>
  <w:style w:type="character" w:styleId="Hyperlink">
    <w:name w:val="Hyperlink"/>
    <w:basedOn w:val="DefaultParagraphFont"/>
    <w:uiPriority w:val="99"/>
    <w:rsid w:val="00E46291"/>
    <w:rPr>
      <w:color w:val="467886" w:themeColor="hyperlink"/>
      <w:u w:val="single"/>
    </w:rPr>
  </w:style>
  <w:style w:type="character" w:customStyle="1" w:styleId="UnresolvedMention">
    <w:name w:val="Unresolved Mention"/>
    <w:basedOn w:val="DefaultParagraphFont"/>
    <w:uiPriority w:val="99"/>
    <w:semiHidden/>
    <w:unhideWhenUsed/>
    <w:rsid w:val="00E46291"/>
    <w:rPr>
      <w:color w:val="605E5C"/>
      <w:shd w:val="clear" w:color="auto" w:fill="E1DFDD"/>
    </w:rPr>
  </w:style>
  <w:style w:type="paragraph" w:styleId="NormalWeb">
    <w:name w:val="Normal (Web)"/>
    <w:basedOn w:val="Normal"/>
    <w:uiPriority w:val="99"/>
    <w:qFormat/>
    <w:rsid w:val="001843FF"/>
    <w:rPr>
      <w:szCs w:val="24"/>
    </w:rPr>
  </w:style>
  <w:style w:type="character" w:styleId="CommentReference">
    <w:name w:val="annotation reference"/>
    <w:basedOn w:val="DefaultParagraphFont"/>
    <w:uiPriority w:val="99"/>
    <w:semiHidden/>
    <w:qFormat/>
    <w:rsid w:val="006D2859"/>
    <w:rPr>
      <w:sz w:val="16"/>
      <w:szCs w:val="16"/>
    </w:rPr>
  </w:style>
  <w:style w:type="paragraph" w:styleId="CommentText">
    <w:name w:val="annotation text"/>
    <w:basedOn w:val="Normal"/>
    <w:link w:val="CommentTextChar"/>
    <w:uiPriority w:val="99"/>
    <w:qFormat/>
    <w:rsid w:val="006D2859"/>
    <w:rPr>
      <w:sz w:val="20"/>
    </w:rPr>
  </w:style>
  <w:style w:type="character" w:customStyle="1" w:styleId="CommentTextChar">
    <w:name w:val="Comment Text Char"/>
    <w:basedOn w:val="DefaultParagraphFont"/>
    <w:link w:val="CommentText"/>
    <w:uiPriority w:val="99"/>
    <w:qFormat/>
    <w:rsid w:val="006D2859"/>
    <w:rPr>
      <w:sz w:val="20"/>
    </w:rPr>
  </w:style>
  <w:style w:type="paragraph" w:styleId="CommentSubject">
    <w:name w:val="annotation subject"/>
    <w:basedOn w:val="CommentText"/>
    <w:next w:val="CommentText"/>
    <w:link w:val="CommentSubjectChar"/>
    <w:uiPriority w:val="99"/>
    <w:semiHidden/>
    <w:rsid w:val="006D2859"/>
    <w:rPr>
      <w:b/>
      <w:bCs/>
    </w:rPr>
  </w:style>
  <w:style w:type="character" w:customStyle="1" w:styleId="CommentSubjectChar">
    <w:name w:val="Comment Subject Char"/>
    <w:basedOn w:val="CommentTextChar"/>
    <w:link w:val="CommentSubject"/>
    <w:uiPriority w:val="99"/>
    <w:semiHidden/>
    <w:rsid w:val="006D2859"/>
    <w:rPr>
      <w:b/>
      <w:bCs/>
      <w:sz w:val="20"/>
    </w:rPr>
  </w:style>
  <w:style w:type="character" w:customStyle="1" w:styleId="Mention">
    <w:name w:val="Mention"/>
    <w:basedOn w:val="DefaultParagraphFont"/>
    <w:uiPriority w:val="99"/>
    <w:unhideWhenUsed/>
    <w:rsid w:val="006D2859"/>
    <w:rPr>
      <w:color w:val="2B579A"/>
      <w:shd w:val="clear" w:color="auto" w:fill="E1DFDD"/>
    </w:rPr>
  </w:style>
  <w:style w:type="character" w:customStyle="1" w:styleId="FootnoteTextChar">
    <w:name w:val="Footnote Text Char"/>
    <w:basedOn w:val="DefaultParagraphFont"/>
    <w:link w:val="FootnoteText"/>
    <w:uiPriority w:val="99"/>
    <w:rsid w:val="00381E4C"/>
    <w:rPr>
      <w:sz w:val="20"/>
    </w:rPr>
  </w:style>
  <w:style w:type="paragraph" w:customStyle="1" w:styleId="DashEqual4">
    <w:name w:val="Dash Equal 4"/>
    <w:basedOn w:val="Normal"/>
    <w:rsid w:val="0031071F"/>
    <w:pPr>
      <w:numPr>
        <w:numId w:val="29"/>
      </w:numPr>
      <w:spacing w:before="120" w:after="120" w:line="360" w:lineRule="auto"/>
      <w:jc w:val="left"/>
    </w:pPr>
    <w:rPr>
      <w:rFonts w:eastAsiaTheme="minorHAnsi"/>
      <w:szCs w:val="22"/>
      <w:lang w:eastAsia="en-US"/>
    </w:rPr>
  </w:style>
  <w:style w:type="paragraph" w:styleId="Revision">
    <w:name w:val="Revision"/>
    <w:hidden/>
    <w:uiPriority w:val="99"/>
    <w:semiHidden/>
    <w:rsid w:val="00554685"/>
  </w:style>
  <w:style w:type="character" w:styleId="FollowedHyperlink">
    <w:name w:val="FollowedHyperlink"/>
    <w:basedOn w:val="DefaultParagraphFont"/>
    <w:uiPriority w:val="99"/>
    <w:semiHidden/>
    <w:rsid w:val="00D13F5F"/>
    <w:rPr>
      <w:color w:val="96607D" w:themeColor="followedHyperlink"/>
      <w:u w:val="single"/>
    </w:rPr>
  </w:style>
  <w:style w:type="character" w:customStyle="1" w:styleId="Marker">
    <w:name w:val="Marker"/>
    <w:basedOn w:val="DefaultParagraphFont"/>
    <w:rsid w:val="009D5428"/>
    <w:rPr>
      <w:color w:val="0000FF"/>
      <w:shd w:val="clear" w:color="auto" w:fill="auto"/>
    </w:rPr>
  </w:style>
  <w:style w:type="paragraph" w:customStyle="1" w:styleId="Pagedecouverture">
    <w:name w:val="Page de couverture"/>
    <w:basedOn w:val="Normal"/>
    <w:next w:val="Normal"/>
    <w:link w:val="PagedecouvertureChar"/>
    <w:rsid w:val="00BD6E9D"/>
    <w:pPr>
      <w:spacing w:after="0"/>
    </w:pPr>
    <w:rPr>
      <w:rFonts w:eastAsiaTheme="minorHAnsi"/>
      <w:szCs w:val="22"/>
      <w:lang w:eastAsia="en-US"/>
    </w:rPr>
  </w:style>
  <w:style w:type="paragraph" w:customStyle="1" w:styleId="FooterCoverPage">
    <w:name w:val="Footer Cover Page"/>
    <w:basedOn w:val="Normal"/>
    <w:link w:val="FooterCoverPageChar"/>
    <w:rsid w:val="00337252"/>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337252"/>
    <w:rPr>
      <w:rFonts w:eastAsiaTheme="minorHAnsi"/>
      <w:szCs w:val="22"/>
      <w:lang w:eastAsia="en-US"/>
    </w:rPr>
  </w:style>
  <w:style w:type="character" w:customStyle="1" w:styleId="FooterCoverPageChar">
    <w:name w:val="Footer Cover Page Char"/>
    <w:basedOn w:val="PagedecouvertureChar"/>
    <w:link w:val="FooterCoverPage"/>
    <w:rsid w:val="00337252"/>
    <w:rPr>
      <w:rFonts w:eastAsiaTheme="minorHAnsi"/>
      <w:szCs w:val="22"/>
      <w:lang w:eastAsia="en-US"/>
    </w:rPr>
  </w:style>
  <w:style w:type="paragraph" w:customStyle="1" w:styleId="FooterSensitivity">
    <w:name w:val="Footer Sensitivity"/>
    <w:basedOn w:val="Normal"/>
    <w:link w:val="FooterSensitivityChar"/>
    <w:rsid w:val="0033725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337252"/>
    <w:rPr>
      <w:rFonts w:eastAsiaTheme="minorHAnsi"/>
      <w:b/>
      <w:sz w:val="32"/>
      <w:szCs w:val="22"/>
      <w:lang w:eastAsia="en-US"/>
    </w:rPr>
  </w:style>
  <w:style w:type="paragraph" w:customStyle="1" w:styleId="HeaderCoverPage">
    <w:name w:val="Header Cover Page"/>
    <w:basedOn w:val="Normal"/>
    <w:link w:val="HeaderCoverPageChar"/>
    <w:rsid w:val="00337252"/>
    <w:pPr>
      <w:tabs>
        <w:tab w:val="center" w:pos="4535"/>
        <w:tab w:val="right" w:pos="9071"/>
      </w:tabs>
      <w:spacing w:after="120"/>
    </w:pPr>
  </w:style>
  <w:style w:type="character" w:customStyle="1" w:styleId="HeaderCoverPageChar">
    <w:name w:val="Header Cover Page Char"/>
    <w:basedOn w:val="PagedecouvertureChar"/>
    <w:link w:val="HeaderCoverPage"/>
    <w:rsid w:val="00337252"/>
    <w:rPr>
      <w:rFonts w:eastAsiaTheme="minorHAnsi"/>
      <w:szCs w:val="22"/>
      <w:lang w:eastAsia="en-US"/>
    </w:rPr>
  </w:style>
  <w:style w:type="paragraph" w:customStyle="1" w:styleId="HeaderSensitivity">
    <w:name w:val="Header Sensitivity"/>
    <w:basedOn w:val="Normal"/>
    <w:link w:val="HeaderSensitivityChar"/>
    <w:rsid w:val="00337252"/>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337252"/>
    <w:rPr>
      <w:rFonts w:eastAsiaTheme="minorHAnsi"/>
      <w:b/>
      <w:sz w:val="32"/>
      <w:szCs w:val="22"/>
      <w:lang w:eastAsia="en-US"/>
    </w:rPr>
  </w:style>
  <w:style w:type="paragraph" w:customStyle="1" w:styleId="HeaderSensitivityRight">
    <w:name w:val="Header Sensitivity Right"/>
    <w:basedOn w:val="Normal"/>
    <w:link w:val="HeaderSensitivityRightChar"/>
    <w:rsid w:val="00337252"/>
    <w:pPr>
      <w:spacing w:after="120"/>
      <w:jc w:val="right"/>
    </w:pPr>
    <w:rPr>
      <w:sz w:val="28"/>
    </w:rPr>
  </w:style>
  <w:style w:type="character" w:customStyle="1" w:styleId="HeaderSensitivityRightChar">
    <w:name w:val="Header Sensitivity Right Char"/>
    <w:basedOn w:val="PagedecouvertureChar"/>
    <w:link w:val="HeaderSensitivityRight"/>
    <w:rsid w:val="00337252"/>
    <w:rPr>
      <w:rFonts w:eastAsiaTheme="minorHAnsi"/>
      <w:sz w:val="28"/>
      <w:szCs w:val="22"/>
      <w:lang w:eastAsia="en-US"/>
    </w:rPr>
  </w:style>
  <w:style w:type="paragraph" w:customStyle="1" w:styleId="Body">
    <w:name w:val="Body"/>
    <w:rsid w:val="0075030C"/>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eastAsia="de-DE"/>
      <w14:textOutline w14:w="0" w14:cap="flat" w14:cmpd="sng" w14:algn="ctr">
        <w14:noFill/>
        <w14:prstDash w14:val="solid"/>
        <w14:bevel/>
      </w14:textOutline>
    </w:rPr>
  </w:style>
  <w:style w:type="character" w:customStyle="1" w:styleId="FooterChar">
    <w:name w:val="Footer Char"/>
    <w:basedOn w:val="DefaultParagraphFont"/>
    <w:link w:val="Footer"/>
    <w:uiPriority w:val="99"/>
    <w:rsid w:val="002611E5"/>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9056">
      <w:bodyDiv w:val="1"/>
      <w:marLeft w:val="0"/>
      <w:marRight w:val="0"/>
      <w:marTop w:val="0"/>
      <w:marBottom w:val="0"/>
      <w:divBdr>
        <w:top w:val="none" w:sz="0" w:space="0" w:color="auto"/>
        <w:left w:val="none" w:sz="0" w:space="0" w:color="auto"/>
        <w:bottom w:val="none" w:sz="0" w:space="0" w:color="auto"/>
        <w:right w:val="none" w:sz="0" w:space="0" w:color="auto"/>
      </w:divBdr>
    </w:div>
    <w:div w:id="7173893">
      <w:bodyDiv w:val="1"/>
      <w:marLeft w:val="0"/>
      <w:marRight w:val="0"/>
      <w:marTop w:val="0"/>
      <w:marBottom w:val="0"/>
      <w:divBdr>
        <w:top w:val="none" w:sz="0" w:space="0" w:color="auto"/>
        <w:left w:val="none" w:sz="0" w:space="0" w:color="auto"/>
        <w:bottom w:val="none" w:sz="0" w:space="0" w:color="auto"/>
        <w:right w:val="none" w:sz="0" w:space="0" w:color="auto"/>
      </w:divBdr>
    </w:div>
    <w:div w:id="16783274">
      <w:bodyDiv w:val="1"/>
      <w:marLeft w:val="0"/>
      <w:marRight w:val="0"/>
      <w:marTop w:val="0"/>
      <w:marBottom w:val="0"/>
      <w:divBdr>
        <w:top w:val="none" w:sz="0" w:space="0" w:color="auto"/>
        <w:left w:val="none" w:sz="0" w:space="0" w:color="auto"/>
        <w:bottom w:val="none" w:sz="0" w:space="0" w:color="auto"/>
        <w:right w:val="none" w:sz="0" w:space="0" w:color="auto"/>
      </w:divBdr>
      <w:divsChild>
        <w:div w:id="11455138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90584">
      <w:bodyDiv w:val="1"/>
      <w:marLeft w:val="0"/>
      <w:marRight w:val="0"/>
      <w:marTop w:val="0"/>
      <w:marBottom w:val="0"/>
      <w:divBdr>
        <w:top w:val="none" w:sz="0" w:space="0" w:color="auto"/>
        <w:left w:val="none" w:sz="0" w:space="0" w:color="auto"/>
        <w:bottom w:val="none" w:sz="0" w:space="0" w:color="auto"/>
        <w:right w:val="none" w:sz="0" w:space="0" w:color="auto"/>
      </w:divBdr>
    </w:div>
    <w:div w:id="21247937">
      <w:bodyDiv w:val="1"/>
      <w:marLeft w:val="0"/>
      <w:marRight w:val="0"/>
      <w:marTop w:val="0"/>
      <w:marBottom w:val="0"/>
      <w:divBdr>
        <w:top w:val="none" w:sz="0" w:space="0" w:color="auto"/>
        <w:left w:val="none" w:sz="0" w:space="0" w:color="auto"/>
        <w:bottom w:val="none" w:sz="0" w:space="0" w:color="auto"/>
        <w:right w:val="none" w:sz="0" w:space="0" w:color="auto"/>
      </w:divBdr>
    </w:div>
    <w:div w:id="31465520">
      <w:bodyDiv w:val="1"/>
      <w:marLeft w:val="0"/>
      <w:marRight w:val="0"/>
      <w:marTop w:val="0"/>
      <w:marBottom w:val="0"/>
      <w:divBdr>
        <w:top w:val="none" w:sz="0" w:space="0" w:color="auto"/>
        <w:left w:val="none" w:sz="0" w:space="0" w:color="auto"/>
        <w:bottom w:val="none" w:sz="0" w:space="0" w:color="auto"/>
        <w:right w:val="none" w:sz="0" w:space="0" w:color="auto"/>
      </w:divBdr>
    </w:div>
    <w:div w:id="36467206">
      <w:bodyDiv w:val="1"/>
      <w:marLeft w:val="0"/>
      <w:marRight w:val="0"/>
      <w:marTop w:val="0"/>
      <w:marBottom w:val="0"/>
      <w:divBdr>
        <w:top w:val="none" w:sz="0" w:space="0" w:color="auto"/>
        <w:left w:val="none" w:sz="0" w:space="0" w:color="auto"/>
        <w:bottom w:val="none" w:sz="0" w:space="0" w:color="auto"/>
        <w:right w:val="none" w:sz="0" w:space="0" w:color="auto"/>
      </w:divBdr>
      <w:divsChild>
        <w:div w:id="514030087">
          <w:marLeft w:val="0"/>
          <w:marRight w:val="0"/>
          <w:marTop w:val="225"/>
          <w:marBottom w:val="300"/>
          <w:divBdr>
            <w:top w:val="none" w:sz="0" w:space="0" w:color="auto"/>
            <w:left w:val="none" w:sz="0" w:space="0" w:color="auto"/>
            <w:bottom w:val="none" w:sz="0" w:space="0" w:color="auto"/>
            <w:right w:val="none" w:sz="0" w:space="0" w:color="auto"/>
          </w:divBdr>
          <w:divsChild>
            <w:div w:id="7088455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0034249">
      <w:bodyDiv w:val="1"/>
      <w:marLeft w:val="0"/>
      <w:marRight w:val="0"/>
      <w:marTop w:val="0"/>
      <w:marBottom w:val="0"/>
      <w:divBdr>
        <w:top w:val="none" w:sz="0" w:space="0" w:color="auto"/>
        <w:left w:val="none" w:sz="0" w:space="0" w:color="auto"/>
        <w:bottom w:val="none" w:sz="0" w:space="0" w:color="auto"/>
        <w:right w:val="none" w:sz="0" w:space="0" w:color="auto"/>
      </w:divBdr>
    </w:div>
    <w:div w:id="58217139">
      <w:bodyDiv w:val="1"/>
      <w:marLeft w:val="0"/>
      <w:marRight w:val="0"/>
      <w:marTop w:val="0"/>
      <w:marBottom w:val="0"/>
      <w:divBdr>
        <w:top w:val="none" w:sz="0" w:space="0" w:color="auto"/>
        <w:left w:val="none" w:sz="0" w:space="0" w:color="auto"/>
        <w:bottom w:val="none" w:sz="0" w:space="0" w:color="auto"/>
        <w:right w:val="none" w:sz="0" w:space="0" w:color="auto"/>
      </w:divBdr>
    </w:div>
    <w:div w:id="58988768">
      <w:bodyDiv w:val="1"/>
      <w:marLeft w:val="0"/>
      <w:marRight w:val="0"/>
      <w:marTop w:val="0"/>
      <w:marBottom w:val="0"/>
      <w:divBdr>
        <w:top w:val="none" w:sz="0" w:space="0" w:color="auto"/>
        <w:left w:val="none" w:sz="0" w:space="0" w:color="auto"/>
        <w:bottom w:val="none" w:sz="0" w:space="0" w:color="auto"/>
        <w:right w:val="none" w:sz="0" w:space="0" w:color="auto"/>
      </w:divBdr>
    </w:div>
    <w:div w:id="101385372">
      <w:bodyDiv w:val="1"/>
      <w:marLeft w:val="0"/>
      <w:marRight w:val="0"/>
      <w:marTop w:val="0"/>
      <w:marBottom w:val="0"/>
      <w:divBdr>
        <w:top w:val="none" w:sz="0" w:space="0" w:color="auto"/>
        <w:left w:val="none" w:sz="0" w:space="0" w:color="auto"/>
        <w:bottom w:val="none" w:sz="0" w:space="0" w:color="auto"/>
        <w:right w:val="none" w:sz="0" w:space="0" w:color="auto"/>
      </w:divBdr>
      <w:divsChild>
        <w:div w:id="49889675">
          <w:marLeft w:val="0"/>
          <w:marRight w:val="0"/>
          <w:marTop w:val="0"/>
          <w:marBottom w:val="0"/>
          <w:divBdr>
            <w:top w:val="none" w:sz="0" w:space="0" w:color="auto"/>
            <w:left w:val="none" w:sz="0" w:space="0" w:color="auto"/>
            <w:bottom w:val="none" w:sz="0" w:space="0" w:color="auto"/>
            <w:right w:val="none" w:sz="0" w:space="0" w:color="auto"/>
          </w:divBdr>
          <w:divsChild>
            <w:div w:id="1739135738">
              <w:marLeft w:val="0"/>
              <w:marRight w:val="0"/>
              <w:marTop w:val="0"/>
              <w:marBottom w:val="0"/>
              <w:divBdr>
                <w:top w:val="none" w:sz="0" w:space="0" w:color="auto"/>
                <w:left w:val="none" w:sz="0" w:space="0" w:color="auto"/>
                <w:bottom w:val="none" w:sz="0" w:space="0" w:color="auto"/>
                <w:right w:val="none" w:sz="0" w:space="0" w:color="auto"/>
              </w:divBdr>
              <w:divsChild>
                <w:div w:id="264849549">
                  <w:marLeft w:val="0"/>
                  <w:marRight w:val="0"/>
                  <w:marTop w:val="0"/>
                  <w:marBottom w:val="0"/>
                  <w:divBdr>
                    <w:top w:val="none" w:sz="0" w:space="0" w:color="auto"/>
                    <w:left w:val="none" w:sz="0" w:space="0" w:color="auto"/>
                    <w:bottom w:val="none" w:sz="0" w:space="0" w:color="auto"/>
                    <w:right w:val="none" w:sz="0" w:space="0" w:color="auto"/>
                  </w:divBdr>
                  <w:divsChild>
                    <w:div w:id="1807115735">
                      <w:marLeft w:val="0"/>
                      <w:marRight w:val="0"/>
                      <w:marTop w:val="0"/>
                      <w:marBottom w:val="0"/>
                      <w:divBdr>
                        <w:top w:val="none" w:sz="0" w:space="0" w:color="auto"/>
                        <w:left w:val="none" w:sz="0" w:space="0" w:color="auto"/>
                        <w:bottom w:val="none" w:sz="0" w:space="0" w:color="auto"/>
                        <w:right w:val="none" w:sz="0" w:space="0" w:color="auto"/>
                      </w:divBdr>
                      <w:divsChild>
                        <w:div w:id="1335955967">
                          <w:marLeft w:val="0"/>
                          <w:marRight w:val="0"/>
                          <w:marTop w:val="0"/>
                          <w:marBottom w:val="0"/>
                          <w:divBdr>
                            <w:top w:val="none" w:sz="0" w:space="0" w:color="auto"/>
                            <w:left w:val="none" w:sz="0" w:space="0" w:color="auto"/>
                            <w:bottom w:val="none" w:sz="0" w:space="0" w:color="auto"/>
                            <w:right w:val="none" w:sz="0" w:space="0" w:color="auto"/>
                          </w:divBdr>
                          <w:divsChild>
                            <w:div w:id="534849998">
                              <w:marLeft w:val="0"/>
                              <w:marRight w:val="0"/>
                              <w:marTop w:val="0"/>
                              <w:marBottom w:val="0"/>
                              <w:divBdr>
                                <w:top w:val="none" w:sz="0" w:space="0" w:color="auto"/>
                                <w:left w:val="none" w:sz="0" w:space="0" w:color="auto"/>
                                <w:bottom w:val="none" w:sz="0" w:space="0" w:color="auto"/>
                                <w:right w:val="none" w:sz="0" w:space="0" w:color="auto"/>
                              </w:divBdr>
                              <w:divsChild>
                                <w:div w:id="1406296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7627">
      <w:bodyDiv w:val="1"/>
      <w:marLeft w:val="0"/>
      <w:marRight w:val="0"/>
      <w:marTop w:val="0"/>
      <w:marBottom w:val="0"/>
      <w:divBdr>
        <w:top w:val="none" w:sz="0" w:space="0" w:color="auto"/>
        <w:left w:val="none" w:sz="0" w:space="0" w:color="auto"/>
        <w:bottom w:val="none" w:sz="0" w:space="0" w:color="auto"/>
        <w:right w:val="none" w:sz="0" w:space="0" w:color="auto"/>
      </w:divBdr>
    </w:div>
    <w:div w:id="103693816">
      <w:bodyDiv w:val="1"/>
      <w:marLeft w:val="0"/>
      <w:marRight w:val="0"/>
      <w:marTop w:val="0"/>
      <w:marBottom w:val="0"/>
      <w:divBdr>
        <w:top w:val="none" w:sz="0" w:space="0" w:color="auto"/>
        <w:left w:val="none" w:sz="0" w:space="0" w:color="auto"/>
        <w:bottom w:val="none" w:sz="0" w:space="0" w:color="auto"/>
        <w:right w:val="none" w:sz="0" w:space="0" w:color="auto"/>
      </w:divBdr>
      <w:divsChild>
        <w:div w:id="244412527">
          <w:marLeft w:val="0"/>
          <w:marRight w:val="0"/>
          <w:marTop w:val="0"/>
          <w:marBottom w:val="0"/>
          <w:divBdr>
            <w:top w:val="none" w:sz="0" w:space="0" w:color="auto"/>
            <w:left w:val="none" w:sz="0" w:space="0" w:color="auto"/>
            <w:bottom w:val="none" w:sz="0" w:space="0" w:color="auto"/>
            <w:right w:val="none" w:sz="0" w:space="0" w:color="auto"/>
          </w:divBdr>
          <w:divsChild>
            <w:div w:id="1661546263">
              <w:marLeft w:val="0"/>
              <w:marRight w:val="0"/>
              <w:marTop w:val="0"/>
              <w:marBottom w:val="0"/>
              <w:divBdr>
                <w:top w:val="none" w:sz="0" w:space="0" w:color="auto"/>
                <w:left w:val="none" w:sz="0" w:space="0" w:color="auto"/>
                <w:bottom w:val="none" w:sz="0" w:space="0" w:color="auto"/>
                <w:right w:val="none" w:sz="0" w:space="0" w:color="auto"/>
              </w:divBdr>
              <w:divsChild>
                <w:div w:id="1246527469">
                  <w:marLeft w:val="0"/>
                  <w:marRight w:val="0"/>
                  <w:marTop w:val="0"/>
                  <w:marBottom w:val="0"/>
                  <w:divBdr>
                    <w:top w:val="none" w:sz="0" w:space="0" w:color="auto"/>
                    <w:left w:val="none" w:sz="0" w:space="0" w:color="auto"/>
                    <w:bottom w:val="none" w:sz="0" w:space="0" w:color="auto"/>
                    <w:right w:val="none" w:sz="0" w:space="0" w:color="auto"/>
                  </w:divBdr>
                  <w:divsChild>
                    <w:div w:id="1310747624">
                      <w:marLeft w:val="0"/>
                      <w:marRight w:val="0"/>
                      <w:marTop w:val="0"/>
                      <w:marBottom w:val="0"/>
                      <w:divBdr>
                        <w:top w:val="none" w:sz="0" w:space="0" w:color="auto"/>
                        <w:left w:val="none" w:sz="0" w:space="0" w:color="auto"/>
                        <w:bottom w:val="none" w:sz="0" w:space="0" w:color="auto"/>
                        <w:right w:val="none" w:sz="0" w:space="0" w:color="auto"/>
                      </w:divBdr>
                      <w:divsChild>
                        <w:div w:id="1228611301">
                          <w:marLeft w:val="0"/>
                          <w:marRight w:val="0"/>
                          <w:marTop w:val="0"/>
                          <w:marBottom w:val="0"/>
                          <w:divBdr>
                            <w:top w:val="none" w:sz="0" w:space="0" w:color="auto"/>
                            <w:left w:val="none" w:sz="0" w:space="0" w:color="auto"/>
                            <w:bottom w:val="none" w:sz="0" w:space="0" w:color="auto"/>
                            <w:right w:val="none" w:sz="0" w:space="0" w:color="auto"/>
                          </w:divBdr>
                          <w:divsChild>
                            <w:div w:id="830174008">
                              <w:marLeft w:val="0"/>
                              <w:marRight w:val="0"/>
                              <w:marTop w:val="0"/>
                              <w:marBottom w:val="0"/>
                              <w:divBdr>
                                <w:top w:val="none" w:sz="0" w:space="0" w:color="auto"/>
                                <w:left w:val="none" w:sz="0" w:space="0" w:color="auto"/>
                                <w:bottom w:val="none" w:sz="0" w:space="0" w:color="auto"/>
                                <w:right w:val="none" w:sz="0" w:space="0" w:color="auto"/>
                              </w:divBdr>
                              <w:divsChild>
                                <w:div w:id="20073981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566002">
      <w:bodyDiv w:val="1"/>
      <w:marLeft w:val="0"/>
      <w:marRight w:val="0"/>
      <w:marTop w:val="0"/>
      <w:marBottom w:val="0"/>
      <w:divBdr>
        <w:top w:val="none" w:sz="0" w:space="0" w:color="auto"/>
        <w:left w:val="none" w:sz="0" w:space="0" w:color="auto"/>
        <w:bottom w:val="none" w:sz="0" w:space="0" w:color="auto"/>
        <w:right w:val="none" w:sz="0" w:space="0" w:color="auto"/>
      </w:divBdr>
    </w:div>
    <w:div w:id="129057392">
      <w:bodyDiv w:val="1"/>
      <w:marLeft w:val="0"/>
      <w:marRight w:val="0"/>
      <w:marTop w:val="0"/>
      <w:marBottom w:val="0"/>
      <w:divBdr>
        <w:top w:val="none" w:sz="0" w:space="0" w:color="auto"/>
        <w:left w:val="none" w:sz="0" w:space="0" w:color="auto"/>
        <w:bottom w:val="none" w:sz="0" w:space="0" w:color="auto"/>
        <w:right w:val="none" w:sz="0" w:space="0" w:color="auto"/>
      </w:divBdr>
    </w:div>
    <w:div w:id="133497108">
      <w:bodyDiv w:val="1"/>
      <w:marLeft w:val="0"/>
      <w:marRight w:val="0"/>
      <w:marTop w:val="0"/>
      <w:marBottom w:val="0"/>
      <w:divBdr>
        <w:top w:val="none" w:sz="0" w:space="0" w:color="auto"/>
        <w:left w:val="none" w:sz="0" w:space="0" w:color="auto"/>
        <w:bottom w:val="none" w:sz="0" w:space="0" w:color="auto"/>
        <w:right w:val="none" w:sz="0" w:space="0" w:color="auto"/>
      </w:divBdr>
    </w:div>
    <w:div w:id="137187781">
      <w:bodyDiv w:val="1"/>
      <w:marLeft w:val="0"/>
      <w:marRight w:val="0"/>
      <w:marTop w:val="0"/>
      <w:marBottom w:val="0"/>
      <w:divBdr>
        <w:top w:val="none" w:sz="0" w:space="0" w:color="auto"/>
        <w:left w:val="none" w:sz="0" w:space="0" w:color="auto"/>
        <w:bottom w:val="none" w:sz="0" w:space="0" w:color="auto"/>
        <w:right w:val="none" w:sz="0" w:space="0" w:color="auto"/>
      </w:divBdr>
    </w:div>
    <w:div w:id="142164486">
      <w:bodyDiv w:val="1"/>
      <w:marLeft w:val="0"/>
      <w:marRight w:val="0"/>
      <w:marTop w:val="0"/>
      <w:marBottom w:val="0"/>
      <w:divBdr>
        <w:top w:val="none" w:sz="0" w:space="0" w:color="auto"/>
        <w:left w:val="none" w:sz="0" w:space="0" w:color="auto"/>
        <w:bottom w:val="none" w:sz="0" w:space="0" w:color="auto"/>
        <w:right w:val="none" w:sz="0" w:space="0" w:color="auto"/>
      </w:divBdr>
    </w:div>
    <w:div w:id="151994811">
      <w:bodyDiv w:val="1"/>
      <w:marLeft w:val="0"/>
      <w:marRight w:val="0"/>
      <w:marTop w:val="0"/>
      <w:marBottom w:val="0"/>
      <w:divBdr>
        <w:top w:val="none" w:sz="0" w:space="0" w:color="auto"/>
        <w:left w:val="none" w:sz="0" w:space="0" w:color="auto"/>
        <w:bottom w:val="none" w:sz="0" w:space="0" w:color="auto"/>
        <w:right w:val="none" w:sz="0" w:space="0" w:color="auto"/>
      </w:divBdr>
    </w:div>
    <w:div w:id="153112274">
      <w:bodyDiv w:val="1"/>
      <w:marLeft w:val="0"/>
      <w:marRight w:val="0"/>
      <w:marTop w:val="0"/>
      <w:marBottom w:val="0"/>
      <w:divBdr>
        <w:top w:val="none" w:sz="0" w:space="0" w:color="auto"/>
        <w:left w:val="none" w:sz="0" w:space="0" w:color="auto"/>
        <w:bottom w:val="none" w:sz="0" w:space="0" w:color="auto"/>
        <w:right w:val="none" w:sz="0" w:space="0" w:color="auto"/>
      </w:divBdr>
      <w:divsChild>
        <w:div w:id="1641307596">
          <w:marLeft w:val="0"/>
          <w:marRight w:val="0"/>
          <w:marTop w:val="0"/>
          <w:marBottom w:val="0"/>
          <w:divBdr>
            <w:top w:val="none" w:sz="0" w:space="0" w:color="auto"/>
            <w:left w:val="none" w:sz="0" w:space="0" w:color="auto"/>
            <w:bottom w:val="none" w:sz="0" w:space="0" w:color="auto"/>
            <w:right w:val="none" w:sz="0" w:space="0" w:color="auto"/>
          </w:divBdr>
          <w:divsChild>
            <w:div w:id="1060592045">
              <w:marLeft w:val="0"/>
              <w:marRight w:val="0"/>
              <w:marTop w:val="0"/>
              <w:marBottom w:val="0"/>
              <w:divBdr>
                <w:top w:val="none" w:sz="0" w:space="0" w:color="auto"/>
                <w:left w:val="none" w:sz="0" w:space="0" w:color="auto"/>
                <w:bottom w:val="none" w:sz="0" w:space="0" w:color="auto"/>
                <w:right w:val="none" w:sz="0" w:space="0" w:color="auto"/>
              </w:divBdr>
              <w:divsChild>
                <w:div w:id="202522220">
                  <w:marLeft w:val="0"/>
                  <w:marRight w:val="0"/>
                  <w:marTop w:val="0"/>
                  <w:marBottom w:val="0"/>
                  <w:divBdr>
                    <w:top w:val="none" w:sz="0" w:space="0" w:color="auto"/>
                    <w:left w:val="none" w:sz="0" w:space="0" w:color="auto"/>
                    <w:bottom w:val="none" w:sz="0" w:space="0" w:color="auto"/>
                    <w:right w:val="none" w:sz="0" w:space="0" w:color="auto"/>
                  </w:divBdr>
                  <w:divsChild>
                    <w:div w:id="2039887556">
                      <w:marLeft w:val="0"/>
                      <w:marRight w:val="0"/>
                      <w:marTop w:val="0"/>
                      <w:marBottom w:val="0"/>
                      <w:divBdr>
                        <w:top w:val="none" w:sz="0" w:space="0" w:color="auto"/>
                        <w:left w:val="none" w:sz="0" w:space="0" w:color="auto"/>
                        <w:bottom w:val="none" w:sz="0" w:space="0" w:color="auto"/>
                        <w:right w:val="none" w:sz="0" w:space="0" w:color="auto"/>
                      </w:divBdr>
                      <w:divsChild>
                        <w:div w:id="1895777678">
                          <w:marLeft w:val="0"/>
                          <w:marRight w:val="0"/>
                          <w:marTop w:val="0"/>
                          <w:marBottom w:val="0"/>
                          <w:divBdr>
                            <w:top w:val="none" w:sz="0" w:space="0" w:color="auto"/>
                            <w:left w:val="none" w:sz="0" w:space="0" w:color="auto"/>
                            <w:bottom w:val="none" w:sz="0" w:space="0" w:color="auto"/>
                            <w:right w:val="none" w:sz="0" w:space="0" w:color="auto"/>
                          </w:divBdr>
                          <w:divsChild>
                            <w:div w:id="20043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238577">
      <w:bodyDiv w:val="1"/>
      <w:marLeft w:val="0"/>
      <w:marRight w:val="0"/>
      <w:marTop w:val="0"/>
      <w:marBottom w:val="0"/>
      <w:divBdr>
        <w:top w:val="none" w:sz="0" w:space="0" w:color="auto"/>
        <w:left w:val="none" w:sz="0" w:space="0" w:color="auto"/>
        <w:bottom w:val="none" w:sz="0" w:space="0" w:color="auto"/>
        <w:right w:val="none" w:sz="0" w:space="0" w:color="auto"/>
      </w:divBdr>
    </w:div>
    <w:div w:id="157113154">
      <w:bodyDiv w:val="1"/>
      <w:marLeft w:val="0"/>
      <w:marRight w:val="0"/>
      <w:marTop w:val="0"/>
      <w:marBottom w:val="0"/>
      <w:divBdr>
        <w:top w:val="none" w:sz="0" w:space="0" w:color="auto"/>
        <w:left w:val="none" w:sz="0" w:space="0" w:color="auto"/>
        <w:bottom w:val="none" w:sz="0" w:space="0" w:color="auto"/>
        <w:right w:val="none" w:sz="0" w:space="0" w:color="auto"/>
      </w:divBdr>
    </w:div>
    <w:div w:id="168758807">
      <w:bodyDiv w:val="1"/>
      <w:marLeft w:val="0"/>
      <w:marRight w:val="0"/>
      <w:marTop w:val="0"/>
      <w:marBottom w:val="0"/>
      <w:divBdr>
        <w:top w:val="none" w:sz="0" w:space="0" w:color="auto"/>
        <w:left w:val="none" w:sz="0" w:space="0" w:color="auto"/>
        <w:bottom w:val="none" w:sz="0" w:space="0" w:color="auto"/>
        <w:right w:val="none" w:sz="0" w:space="0" w:color="auto"/>
      </w:divBdr>
    </w:div>
    <w:div w:id="169761405">
      <w:bodyDiv w:val="1"/>
      <w:marLeft w:val="0"/>
      <w:marRight w:val="0"/>
      <w:marTop w:val="0"/>
      <w:marBottom w:val="0"/>
      <w:divBdr>
        <w:top w:val="none" w:sz="0" w:space="0" w:color="auto"/>
        <w:left w:val="none" w:sz="0" w:space="0" w:color="auto"/>
        <w:bottom w:val="none" w:sz="0" w:space="0" w:color="auto"/>
        <w:right w:val="none" w:sz="0" w:space="0" w:color="auto"/>
      </w:divBdr>
    </w:div>
    <w:div w:id="171721592">
      <w:bodyDiv w:val="1"/>
      <w:marLeft w:val="0"/>
      <w:marRight w:val="0"/>
      <w:marTop w:val="0"/>
      <w:marBottom w:val="0"/>
      <w:divBdr>
        <w:top w:val="none" w:sz="0" w:space="0" w:color="auto"/>
        <w:left w:val="none" w:sz="0" w:space="0" w:color="auto"/>
        <w:bottom w:val="none" w:sz="0" w:space="0" w:color="auto"/>
        <w:right w:val="none" w:sz="0" w:space="0" w:color="auto"/>
      </w:divBdr>
    </w:div>
    <w:div w:id="172646250">
      <w:bodyDiv w:val="1"/>
      <w:marLeft w:val="0"/>
      <w:marRight w:val="0"/>
      <w:marTop w:val="0"/>
      <w:marBottom w:val="0"/>
      <w:divBdr>
        <w:top w:val="none" w:sz="0" w:space="0" w:color="auto"/>
        <w:left w:val="none" w:sz="0" w:space="0" w:color="auto"/>
        <w:bottom w:val="none" w:sz="0" w:space="0" w:color="auto"/>
        <w:right w:val="none" w:sz="0" w:space="0" w:color="auto"/>
      </w:divBdr>
    </w:div>
    <w:div w:id="173153937">
      <w:bodyDiv w:val="1"/>
      <w:marLeft w:val="0"/>
      <w:marRight w:val="0"/>
      <w:marTop w:val="0"/>
      <w:marBottom w:val="0"/>
      <w:divBdr>
        <w:top w:val="none" w:sz="0" w:space="0" w:color="auto"/>
        <w:left w:val="none" w:sz="0" w:space="0" w:color="auto"/>
        <w:bottom w:val="none" w:sz="0" w:space="0" w:color="auto"/>
        <w:right w:val="none" w:sz="0" w:space="0" w:color="auto"/>
      </w:divBdr>
    </w:div>
    <w:div w:id="198934288">
      <w:bodyDiv w:val="1"/>
      <w:marLeft w:val="0"/>
      <w:marRight w:val="0"/>
      <w:marTop w:val="0"/>
      <w:marBottom w:val="0"/>
      <w:divBdr>
        <w:top w:val="none" w:sz="0" w:space="0" w:color="auto"/>
        <w:left w:val="none" w:sz="0" w:space="0" w:color="auto"/>
        <w:bottom w:val="none" w:sz="0" w:space="0" w:color="auto"/>
        <w:right w:val="none" w:sz="0" w:space="0" w:color="auto"/>
      </w:divBdr>
    </w:div>
    <w:div w:id="214590537">
      <w:bodyDiv w:val="1"/>
      <w:marLeft w:val="0"/>
      <w:marRight w:val="0"/>
      <w:marTop w:val="0"/>
      <w:marBottom w:val="0"/>
      <w:divBdr>
        <w:top w:val="none" w:sz="0" w:space="0" w:color="auto"/>
        <w:left w:val="none" w:sz="0" w:space="0" w:color="auto"/>
        <w:bottom w:val="none" w:sz="0" w:space="0" w:color="auto"/>
        <w:right w:val="none" w:sz="0" w:space="0" w:color="auto"/>
      </w:divBdr>
    </w:div>
    <w:div w:id="216168081">
      <w:bodyDiv w:val="1"/>
      <w:marLeft w:val="0"/>
      <w:marRight w:val="0"/>
      <w:marTop w:val="0"/>
      <w:marBottom w:val="0"/>
      <w:divBdr>
        <w:top w:val="none" w:sz="0" w:space="0" w:color="auto"/>
        <w:left w:val="none" w:sz="0" w:space="0" w:color="auto"/>
        <w:bottom w:val="none" w:sz="0" w:space="0" w:color="auto"/>
        <w:right w:val="none" w:sz="0" w:space="0" w:color="auto"/>
      </w:divBdr>
    </w:div>
    <w:div w:id="233392955">
      <w:bodyDiv w:val="1"/>
      <w:marLeft w:val="0"/>
      <w:marRight w:val="0"/>
      <w:marTop w:val="0"/>
      <w:marBottom w:val="0"/>
      <w:divBdr>
        <w:top w:val="none" w:sz="0" w:space="0" w:color="auto"/>
        <w:left w:val="none" w:sz="0" w:space="0" w:color="auto"/>
        <w:bottom w:val="none" w:sz="0" w:space="0" w:color="auto"/>
        <w:right w:val="none" w:sz="0" w:space="0" w:color="auto"/>
      </w:divBdr>
    </w:div>
    <w:div w:id="235097762">
      <w:bodyDiv w:val="1"/>
      <w:marLeft w:val="0"/>
      <w:marRight w:val="0"/>
      <w:marTop w:val="0"/>
      <w:marBottom w:val="0"/>
      <w:divBdr>
        <w:top w:val="none" w:sz="0" w:space="0" w:color="auto"/>
        <w:left w:val="none" w:sz="0" w:space="0" w:color="auto"/>
        <w:bottom w:val="none" w:sz="0" w:space="0" w:color="auto"/>
        <w:right w:val="none" w:sz="0" w:space="0" w:color="auto"/>
      </w:divBdr>
    </w:div>
    <w:div w:id="242106986">
      <w:bodyDiv w:val="1"/>
      <w:marLeft w:val="0"/>
      <w:marRight w:val="0"/>
      <w:marTop w:val="0"/>
      <w:marBottom w:val="0"/>
      <w:divBdr>
        <w:top w:val="none" w:sz="0" w:space="0" w:color="auto"/>
        <w:left w:val="none" w:sz="0" w:space="0" w:color="auto"/>
        <w:bottom w:val="none" w:sz="0" w:space="0" w:color="auto"/>
        <w:right w:val="none" w:sz="0" w:space="0" w:color="auto"/>
      </w:divBdr>
    </w:div>
    <w:div w:id="248662895">
      <w:bodyDiv w:val="1"/>
      <w:marLeft w:val="0"/>
      <w:marRight w:val="0"/>
      <w:marTop w:val="0"/>
      <w:marBottom w:val="0"/>
      <w:divBdr>
        <w:top w:val="none" w:sz="0" w:space="0" w:color="auto"/>
        <w:left w:val="none" w:sz="0" w:space="0" w:color="auto"/>
        <w:bottom w:val="none" w:sz="0" w:space="0" w:color="auto"/>
        <w:right w:val="none" w:sz="0" w:space="0" w:color="auto"/>
      </w:divBdr>
    </w:div>
    <w:div w:id="251282174">
      <w:bodyDiv w:val="1"/>
      <w:marLeft w:val="0"/>
      <w:marRight w:val="0"/>
      <w:marTop w:val="0"/>
      <w:marBottom w:val="0"/>
      <w:divBdr>
        <w:top w:val="none" w:sz="0" w:space="0" w:color="auto"/>
        <w:left w:val="none" w:sz="0" w:space="0" w:color="auto"/>
        <w:bottom w:val="none" w:sz="0" w:space="0" w:color="auto"/>
        <w:right w:val="none" w:sz="0" w:space="0" w:color="auto"/>
      </w:divBdr>
      <w:divsChild>
        <w:div w:id="1947076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0358405">
      <w:bodyDiv w:val="1"/>
      <w:marLeft w:val="0"/>
      <w:marRight w:val="0"/>
      <w:marTop w:val="0"/>
      <w:marBottom w:val="0"/>
      <w:divBdr>
        <w:top w:val="none" w:sz="0" w:space="0" w:color="auto"/>
        <w:left w:val="none" w:sz="0" w:space="0" w:color="auto"/>
        <w:bottom w:val="none" w:sz="0" w:space="0" w:color="auto"/>
        <w:right w:val="none" w:sz="0" w:space="0" w:color="auto"/>
      </w:divBdr>
    </w:div>
    <w:div w:id="273679864">
      <w:bodyDiv w:val="1"/>
      <w:marLeft w:val="0"/>
      <w:marRight w:val="0"/>
      <w:marTop w:val="0"/>
      <w:marBottom w:val="0"/>
      <w:divBdr>
        <w:top w:val="none" w:sz="0" w:space="0" w:color="auto"/>
        <w:left w:val="none" w:sz="0" w:space="0" w:color="auto"/>
        <w:bottom w:val="none" w:sz="0" w:space="0" w:color="auto"/>
        <w:right w:val="none" w:sz="0" w:space="0" w:color="auto"/>
      </w:divBdr>
    </w:div>
    <w:div w:id="278994000">
      <w:bodyDiv w:val="1"/>
      <w:marLeft w:val="0"/>
      <w:marRight w:val="0"/>
      <w:marTop w:val="0"/>
      <w:marBottom w:val="0"/>
      <w:divBdr>
        <w:top w:val="none" w:sz="0" w:space="0" w:color="auto"/>
        <w:left w:val="none" w:sz="0" w:space="0" w:color="auto"/>
        <w:bottom w:val="none" w:sz="0" w:space="0" w:color="auto"/>
        <w:right w:val="none" w:sz="0" w:space="0" w:color="auto"/>
      </w:divBdr>
    </w:div>
    <w:div w:id="297031148">
      <w:bodyDiv w:val="1"/>
      <w:marLeft w:val="0"/>
      <w:marRight w:val="0"/>
      <w:marTop w:val="0"/>
      <w:marBottom w:val="0"/>
      <w:divBdr>
        <w:top w:val="none" w:sz="0" w:space="0" w:color="auto"/>
        <w:left w:val="none" w:sz="0" w:space="0" w:color="auto"/>
        <w:bottom w:val="none" w:sz="0" w:space="0" w:color="auto"/>
        <w:right w:val="none" w:sz="0" w:space="0" w:color="auto"/>
      </w:divBdr>
    </w:div>
    <w:div w:id="299653509">
      <w:bodyDiv w:val="1"/>
      <w:marLeft w:val="0"/>
      <w:marRight w:val="0"/>
      <w:marTop w:val="0"/>
      <w:marBottom w:val="0"/>
      <w:divBdr>
        <w:top w:val="none" w:sz="0" w:space="0" w:color="auto"/>
        <w:left w:val="none" w:sz="0" w:space="0" w:color="auto"/>
        <w:bottom w:val="none" w:sz="0" w:space="0" w:color="auto"/>
        <w:right w:val="none" w:sz="0" w:space="0" w:color="auto"/>
      </w:divBdr>
      <w:divsChild>
        <w:div w:id="1110322943">
          <w:marLeft w:val="0"/>
          <w:marRight w:val="0"/>
          <w:marTop w:val="0"/>
          <w:marBottom w:val="0"/>
          <w:divBdr>
            <w:top w:val="none" w:sz="0" w:space="0" w:color="auto"/>
            <w:left w:val="none" w:sz="0" w:space="0" w:color="auto"/>
            <w:bottom w:val="none" w:sz="0" w:space="0" w:color="auto"/>
            <w:right w:val="none" w:sz="0" w:space="0" w:color="auto"/>
          </w:divBdr>
          <w:divsChild>
            <w:div w:id="448935344">
              <w:marLeft w:val="0"/>
              <w:marRight w:val="0"/>
              <w:marTop w:val="0"/>
              <w:marBottom w:val="0"/>
              <w:divBdr>
                <w:top w:val="none" w:sz="0" w:space="0" w:color="auto"/>
                <w:left w:val="none" w:sz="0" w:space="0" w:color="auto"/>
                <w:bottom w:val="none" w:sz="0" w:space="0" w:color="auto"/>
                <w:right w:val="none" w:sz="0" w:space="0" w:color="auto"/>
              </w:divBdr>
              <w:divsChild>
                <w:div w:id="1233076179">
                  <w:marLeft w:val="0"/>
                  <w:marRight w:val="0"/>
                  <w:marTop w:val="0"/>
                  <w:marBottom w:val="0"/>
                  <w:divBdr>
                    <w:top w:val="none" w:sz="0" w:space="0" w:color="auto"/>
                    <w:left w:val="none" w:sz="0" w:space="0" w:color="auto"/>
                    <w:bottom w:val="none" w:sz="0" w:space="0" w:color="auto"/>
                    <w:right w:val="none" w:sz="0" w:space="0" w:color="auto"/>
                  </w:divBdr>
                  <w:divsChild>
                    <w:div w:id="607086755">
                      <w:marLeft w:val="0"/>
                      <w:marRight w:val="0"/>
                      <w:marTop w:val="0"/>
                      <w:marBottom w:val="0"/>
                      <w:divBdr>
                        <w:top w:val="none" w:sz="0" w:space="0" w:color="auto"/>
                        <w:left w:val="none" w:sz="0" w:space="0" w:color="auto"/>
                        <w:bottom w:val="none" w:sz="0" w:space="0" w:color="auto"/>
                        <w:right w:val="none" w:sz="0" w:space="0" w:color="auto"/>
                      </w:divBdr>
                      <w:divsChild>
                        <w:div w:id="67506635">
                          <w:marLeft w:val="0"/>
                          <w:marRight w:val="0"/>
                          <w:marTop w:val="0"/>
                          <w:marBottom w:val="0"/>
                          <w:divBdr>
                            <w:top w:val="none" w:sz="0" w:space="0" w:color="auto"/>
                            <w:left w:val="none" w:sz="0" w:space="0" w:color="auto"/>
                            <w:bottom w:val="none" w:sz="0" w:space="0" w:color="auto"/>
                            <w:right w:val="none" w:sz="0" w:space="0" w:color="auto"/>
                          </w:divBdr>
                          <w:divsChild>
                            <w:div w:id="496265437">
                              <w:marLeft w:val="0"/>
                              <w:marRight w:val="0"/>
                              <w:marTop w:val="0"/>
                              <w:marBottom w:val="0"/>
                              <w:divBdr>
                                <w:top w:val="none" w:sz="0" w:space="0" w:color="auto"/>
                                <w:left w:val="none" w:sz="0" w:space="0" w:color="auto"/>
                                <w:bottom w:val="none" w:sz="0" w:space="0" w:color="auto"/>
                                <w:right w:val="none" w:sz="0" w:space="0" w:color="auto"/>
                              </w:divBdr>
                              <w:divsChild>
                                <w:div w:id="5067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1720534">
      <w:bodyDiv w:val="1"/>
      <w:marLeft w:val="0"/>
      <w:marRight w:val="0"/>
      <w:marTop w:val="0"/>
      <w:marBottom w:val="0"/>
      <w:divBdr>
        <w:top w:val="none" w:sz="0" w:space="0" w:color="auto"/>
        <w:left w:val="none" w:sz="0" w:space="0" w:color="auto"/>
        <w:bottom w:val="none" w:sz="0" w:space="0" w:color="auto"/>
        <w:right w:val="none" w:sz="0" w:space="0" w:color="auto"/>
      </w:divBdr>
    </w:div>
    <w:div w:id="313874562">
      <w:bodyDiv w:val="1"/>
      <w:marLeft w:val="0"/>
      <w:marRight w:val="0"/>
      <w:marTop w:val="0"/>
      <w:marBottom w:val="0"/>
      <w:divBdr>
        <w:top w:val="none" w:sz="0" w:space="0" w:color="auto"/>
        <w:left w:val="none" w:sz="0" w:space="0" w:color="auto"/>
        <w:bottom w:val="none" w:sz="0" w:space="0" w:color="auto"/>
        <w:right w:val="none" w:sz="0" w:space="0" w:color="auto"/>
      </w:divBdr>
    </w:div>
    <w:div w:id="332298126">
      <w:bodyDiv w:val="1"/>
      <w:marLeft w:val="0"/>
      <w:marRight w:val="0"/>
      <w:marTop w:val="0"/>
      <w:marBottom w:val="0"/>
      <w:divBdr>
        <w:top w:val="none" w:sz="0" w:space="0" w:color="auto"/>
        <w:left w:val="none" w:sz="0" w:space="0" w:color="auto"/>
        <w:bottom w:val="none" w:sz="0" w:space="0" w:color="auto"/>
        <w:right w:val="none" w:sz="0" w:space="0" w:color="auto"/>
      </w:divBdr>
    </w:div>
    <w:div w:id="333261237">
      <w:bodyDiv w:val="1"/>
      <w:marLeft w:val="0"/>
      <w:marRight w:val="0"/>
      <w:marTop w:val="0"/>
      <w:marBottom w:val="0"/>
      <w:divBdr>
        <w:top w:val="none" w:sz="0" w:space="0" w:color="auto"/>
        <w:left w:val="none" w:sz="0" w:space="0" w:color="auto"/>
        <w:bottom w:val="none" w:sz="0" w:space="0" w:color="auto"/>
        <w:right w:val="none" w:sz="0" w:space="0" w:color="auto"/>
      </w:divBdr>
    </w:div>
    <w:div w:id="339433052">
      <w:bodyDiv w:val="1"/>
      <w:marLeft w:val="0"/>
      <w:marRight w:val="0"/>
      <w:marTop w:val="0"/>
      <w:marBottom w:val="0"/>
      <w:divBdr>
        <w:top w:val="none" w:sz="0" w:space="0" w:color="auto"/>
        <w:left w:val="none" w:sz="0" w:space="0" w:color="auto"/>
        <w:bottom w:val="none" w:sz="0" w:space="0" w:color="auto"/>
        <w:right w:val="none" w:sz="0" w:space="0" w:color="auto"/>
      </w:divBdr>
      <w:divsChild>
        <w:div w:id="5879252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9576437">
      <w:bodyDiv w:val="1"/>
      <w:marLeft w:val="0"/>
      <w:marRight w:val="0"/>
      <w:marTop w:val="0"/>
      <w:marBottom w:val="0"/>
      <w:divBdr>
        <w:top w:val="none" w:sz="0" w:space="0" w:color="auto"/>
        <w:left w:val="none" w:sz="0" w:space="0" w:color="auto"/>
        <w:bottom w:val="none" w:sz="0" w:space="0" w:color="auto"/>
        <w:right w:val="none" w:sz="0" w:space="0" w:color="auto"/>
      </w:divBdr>
      <w:divsChild>
        <w:div w:id="1476684708">
          <w:marLeft w:val="0"/>
          <w:marRight w:val="0"/>
          <w:marTop w:val="0"/>
          <w:marBottom w:val="0"/>
          <w:divBdr>
            <w:top w:val="none" w:sz="0" w:space="0" w:color="auto"/>
            <w:left w:val="none" w:sz="0" w:space="0" w:color="auto"/>
            <w:bottom w:val="none" w:sz="0" w:space="0" w:color="auto"/>
            <w:right w:val="none" w:sz="0" w:space="0" w:color="auto"/>
          </w:divBdr>
          <w:divsChild>
            <w:div w:id="2099592155">
              <w:marLeft w:val="0"/>
              <w:marRight w:val="0"/>
              <w:marTop w:val="0"/>
              <w:marBottom w:val="0"/>
              <w:divBdr>
                <w:top w:val="none" w:sz="0" w:space="0" w:color="auto"/>
                <w:left w:val="none" w:sz="0" w:space="0" w:color="auto"/>
                <w:bottom w:val="none" w:sz="0" w:space="0" w:color="auto"/>
                <w:right w:val="none" w:sz="0" w:space="0" w:color="auto"/>
              </w:divBdr>
              <w:divsChild>
                <w:div w:id="1600064980">
                  <w:marLeft w:val="0"/>
                  <w:marRight w:val="0"/>
                  <w:marTop w:val="0"/>
                  <w:marBottom w:val="0"/>
                  <w:divBdr>
                    <w:top w:val="none" w:sz="0" w:space="0" w:color="auto"/>
                    <w:left w:val="none" w:sz="0" w:space="0" w:color="auto"/>
                    <w:bottom w:val="none" w:sz="0" w:space="0" w:color="auto"/>
                    <w:right w:val="none" w:sz="0" w:space="0" w:color="auto"/>
                  </w:divBdr>
                  <w:divsChild>
                    <w:div w:id="43723835">
                      <w:marLeft w:val="0"/>
                      <w:marRight w:val="0"/>
                      <w:marTop w:val="0"/>
                      <w:marBottom w:val="0"/>
                      <w:divBdr>
                        <w:top w:val="none" w:sz="0" w:space="0" w:color="auto"/>
                        <w:left w:val="none" w:sz="0" w:space="0" w:color="auto"/>
                        <w:bottom w:val="none" w:sz="0" w:space="0" w:color="auto"/>
                        <w:right w:val="none" w:sz="0" w:space="0" w:color="auto"/>
                      </w:divBdr>
                      <w:divsChild>
                        <w:div w:id="39867074">
                          <w:marLeft w:val="0"/>
                          <w:marRight w:val="0"/>
                          <w:marTop w:val="0"/>
                          <w:marBottom w:val="0"/>
                          <w:divBdr>
                            <w:top w:val="none" w:sz="0" w:space="0" w:color="auto"/>
                            <w:left w:val="none" w:sz="0" w:space="0" w:color="auto"/>
                            <w:bottom w:val="none" w:sz="0" w:space="0" w:color="auto"/>
                            <w:right w:val="none" w:sz="0" w:space="0" w:color="auto"/>
                          </w:divBdr>
                          <w:divsChild>
                            <w:div w:id="1739861999">
                              <w:marLeft w:val="0"/>
                              <w:marRight w:val="0"/>
                              <w:marTop w:val="0"/>
                              <w:marBottom w:val="0"/>
                              <w:divBdr>
                                <w:top w:val="none" w:sz="0" w:space="0" w:color="auto"/>
                                <w:left w:val="none" w:sz="0" w:space="0" w:color="auto"/>
                                <w:bottom w:val="none" w:sz="0" w:space="0" w:color="auto"/>
                                <w:right w:val="none" w:sz="0" w:space="0" w:color="auto"/>
                              </w:divBdr>
                              <w:divsChild>
                                <w:div w:id="1227565425">
                                  <w:marLeft w:val="0"/>
                                  <w:marRight w:val="0"/>
                                  <w:marTop w:val="0"/>
                                  <w:marBottom w:val="0"/>
                                  <w:divBdr>
                                    <w:top w:val="none" w:sz="0" w:space="0" w:color="auto"/>
                                    <w:left w:val="none" w:sz="0" w:space="0" w:color="auto"/>
                                    <w:bottom w:val="none" w:sz="0" w:space="0" w:color="auto"/>
                                    <w:right w:val="none" w:sz="0" w:space="0" w:color="auto"/>
                                  </w:divBdr>
                                  <w:divsChild>
                                    <w:div w:id="19103390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1466539">
      <w:bodyDiv w:val="1"/>
      <w:marLeft w:val="0"/>
      <w:marRight w:val="0"/>
      <w:marTop w:val="0"/>
      <w:marBottom w:val="0"/>
      <w:divBdr>
        <w:top w:val="none" w:sz="0" w:space="0" w:color="auto"/>
        <w:left w:val="none" w:sz="0" w:space="0" w:color="auto"/>
        <w:bottom w:val="none" w:sz="0" w:space="0" w:color="auto"/>
        <w:right w:val="none" w:sz="0" w:space="0" w:color="auto"/>
      </w:divBdr>
    </w:div>
    <w:div w:id="375661291">
      <w:bodyDiv w:val="1"/>
      <w:marLeft w:val="0"/>
      <w:marRight w:val="0"/>
      <w:marTop w:val="0"/>
      <w:marBottom w:val="0"/>
      <w:divBdr>
        <w:top w:val="none" w:sz="0" w:space="0" w:color="auto"/>
        <w:left w:val="none" w:sz="0" w:space="0" w:color="auto"/>
        <w:bottom w:val="none" w:sz="0" w:space="0" w:color="auto"/>
        <w:right w:val="none" w:sz="0" w:space="0" w:color="auto"/>
      </w:divBdr>
    </w:div>
    <w:div w:id="379020264">
      <w:bodyDiv w:val="1"/>
      <w:marLeft w:val="0"/>
      <w:marRight w:val="0"/>
      <w:marTop w:val="0"/>
      <w:marBottom w:val="0"/>
      <w:divBdr>
        <w:top w:val="none" w:sz="0" w:space="0" w:color="auto"/>
        <w:left w:val="none" w:sz="0" w:space="0" w:color="auto"/>
        <w:bottom w:val="none" w:sz="0" w:space="0" w:color="auto"/>
        <w:right w:val="none" w:sz="0" w:space="0" w:color="auto"/>
      </w:divBdr>
    </w:div>
    <w:div w:id="389576496">
      <w:bodyDiv w:val="1"/>
      <w:marLeft w:val="0"/>
      <w:marRight w:val="0"/>
      <w:marTop w:val="0"/>
      <w:marBottom w:val="0"/>
      <w:divBdr>
        <w:top w:val="none" w:sz="0" w:space="0" w:color="auto"/>
        <w:left w:val="none" w:sz="0" w:space="0" w:color="auto"/>
        <w:bottom w:val="none" w:sz="0" w:space="0" w:color="auto"/>
        <w:right w:val="none" w:sz="0" w:space="0" w:color="auto"/>
      </w:divBdr>
    </w:div>
    <w:div w:id="391081129">
      <w:bodyDiv w:val="1"/>
      <w:marLeft w:val="0"/>
      <w:marRight w:val="0"/>
      <w:marTop w:val="0"/>
      <w:marBottom w:val="0"/>
      <w:divBdr>
        <w:top w:val="none" w:sz="0" w:space="0" w:color="auto"/>
        <w:left w:val="none" w:sz="0" w:space="0" w:color="auto"/>
        <w:bottom w:val="none" w:sz="0" w:space="0" w:color="auto"/>
        <w:right w:val="none" w:sz="0" w:space="0" w:color="auto"/>
      </w:divBdr>
    </w:div>
    <w:div w:id="398287159">
      <w:bodyDiv w:val="1"/>
      <w:marLeft w:val="0"/>
      <w:marRight w:val="0"/>
      <w:marTop w:val="0"/>
      <w:marBottom w:val="0"/>
      <w:divBdr>
        <w:top w:val="none" w:sz="0" w:space="0" w:color="auto"/>
        <w:left w:val="none" w:sz="0" w:space="0" w:color="auto"/>
        <w:bottom w:val="none" w:sz="0" w:space="0" w:color="auto"/>
        <w:right w:val="none" w:sz="0" w:space="0" w:color="auto"/>
      </w:divBdr>
    </w:div>
    <w:div w:id="400564621">
      <w:bodyDiv w:val="1"/>
      <w:marLeft w:val="0"/>
      <w:marRight w:val="0"/>
      <w:marTop w:val="0"/>
      <w:marBottom w:val="0"/>
      <w:divBdr>
        <w:top w:val="none" w:sz="0" w:space="0" w:color="auto"/>
        <w:left w:val="none" w:sz="0" w:space="0" w:color="auto"/>
        <w:bottom w:val="none" w:sz="0" w:space="0" w:color="auto"/>
        <w:right w:val="none" w:sz="0" w:space="0" w:color="auto"/>
      </w:divBdr>
      <w:divsChild>
        <w:div w:id="544410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0615005">
      <w:bodyDiv w:val="1"/>
      <w:marLeft w:val="0"/>
      <w:marRight w:val="0"/>
      <w:marTop w:val="0"/>
      <w:marBottom w:val="0"/>
      <w:divBdr>
        <w:top w:val="none" w:sz="0" w:space="0" w:color="auto"/>
        <w:left w:val="none" w:sz="0" w:space="0" w:color="auto"/>
        <w:bottom w:val="none" w:sz="0" w:space="0" w:color="auto"/>
        <w:right w:val="none" w:sz="0" w:space="0" w:color="auto"/>
      </w:divBdr>
    </w:div>
    <w:div w:id="420564859">
      <w:bodyDiv w:val="1"/>
      <w:marLeft w:val="0"/>
      <w:marRight w:val="0"/>
      <w:marTop w:val="0"/>
      <w:marBottom w:val="0"/>
      <w:divBdr>
        <w:top w:val="none" w:sz="0" w:space="0" w:color="auto"/>
        <w:left w:val="none" w:sz="0" w:space="0" w:color="auto"/>
        <w:bottom w:val="none" w:sz="0" w:space="0" w:color="auto"/>
        <w:right w:val="none" w:sz="0" w:space="0" w:color="auto"/>
      </w:divBdr>
    </w:div>
    <w:div w:id="431098368">
      <w:bodyDiv w:val="1"/>
      <w:marLeft w:val="0"/>
      <w:marRight w:val="0"/>
      <w:marTop w:val="0"/>
      <w:marBottom w:val="0"/>
      <w:divBdr>
        <w:top w:val="none" w:sz="0" w:space="0" w:color="auto"/>
        <w:left w:val="none" w:sz="0" w:space="0" w:color="auto"/>
        <w:bottom w:val="none" w:sz="0" w:space="0" w:color="auto"/>
        <w:right w:val="none" w:sz="0" w:space="0" w:color="auto"/>
      </w:divBdr>
      <w:divsChild>
        <w:div w:id="2105110456">
          <w:marLeft w:val="0"/>
          <w:marRight w:val="0"/>
          <w:marTop w:val="0"/>
          <w:marBottom w:val="0"/>
          <w:divBdr>
            <w:top w:val="none" w:sz="0" w:space="0" w:color="auto"/>
            <w:left w:val="none" w:sz="0" w:space="0" w:color="auto"/>
            <w:bottom w:val="none" w:sz="0" w:space="0" w:color="auto"/>
            <w:right w:val="none" w:sz="0" w:space="0" w:color="auto"/>
          </w:divBdr>
          <w:divsChild>
            <w:div w:id="1639646008">
              <w:marLeft w:val="0"/>
              <w:marRight w:val="0"/>
              <w:marTop w:val="0"/>
              <w:marBottom w:val="0"/>
              <w:divBdr>
                <w:top w:val="none" w:sz="0" w:space="0" w:color="auto"/>
                <w:left w:val="none" w:sz="0" w:space="0" w:color="auto"/>
                <w:bottom w:val="none" w:sz="0" w:space="0" w:color="auto"/>
                <w:right w:val="none" w:sz="0" w:space="0" w:color="auto"/>
              </w:divBdr>
              <w:divsChild>
                <w:div w:id="181284476">
                  <w:marLeft w:val="0"/>
                  <w:marRight w:val="0"/>
                  <w:marTop w:val="0"/>
                  <w:marBottom w:val="0"/>
                  <w:divBdr>
                    <w:top w:val="none" w:sz="0" w:space="0" w:color="auto"/>
                    <w:left w:val="none" w:sz="0" w:space="0" w:color="auto"/>
                    <w:bottom w:val="none" w:sz="0" w:space="0" w:color="auto"/>
                    <w:right w:val="none" w:sz="0" w:space="0" w:color="auto"/>
                  </w:divBdr>
                  <w:divsChild>
                    <w:div w:id="2016030910">
                      <w:marLeft w:val="0"/>
                      <w:marRight w:val="0"/>
                      <w:marTop w:val="0"/>
                      <w:marBottom w:val="0"/>
                      <w:divBdr>
                        <w:top w:val="none" w:sz="0" w:space="0" w:color="auto"/>
                        <w:left w:val="none" w:sz="0" w:space="0" w:color="auto"/>
                        <w:bottom w:val="none" w:sz="0" w:space="0" w:color="auto"/>
                        <w:right w:val="none" w:sz="0" w:space="0" w:color="auto"/>
                      </w:divBdr>
                      <w:divsChild>
                        <w:div w:id="1711493506">
                          <w:marLeft w:val="0"/>
                          <w:marRight w:val="0"/>
                          <w:marTop w:val="0"/>
                          <w:marBottom w:val="0"/>
                          <w:divBdr>
                            <w:top w:val="none" w:sz="0" w:space="0" w:color="auto"/>
                            <w:left w:val="none" w:sz="0" w:space="0" w:color="auto"/>
                            <w:bottom w:val="none" w:sz="0" w:space="0" w:color="auto"/>
                            <w:right w:val="none" w:sz="0" w:space="0" w:color="auto"/>
                          </w:divBdr>
                          <w:divsChild>
                            <w:div w:id="856504710">
                              <w:marLeft w:val="0"/>
                              <w:marRight w:val="0"/>
                              <w:marTop w:val="0"/>
                              <w:marBottom w:val="0"/>
                              <w:divBdr>
                                <w:top w:val="none" w:sz="0" w:space="0" w:color="auto"/>
                                <w:left w:val="none" w:sz="0" w:space="0" w:color="auto"/>
                                <w:bottom w:val="none" w:sz="0" w:space="0" w:color="auto"/>
                                <w:right w:val="none" w:sz="0" w:space="0" w:color="auto"/>
                              </w:divBdr>
                              <w:divsChild>
                                <w:div w:id="104775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87188">
      <w:bodyDiv w:val="1"/>
      <w:marLeft w:val="0"/>
      <w:marRight w:val="0"/>
      <w:marTop w:val="0"/>
      <w:marBottom w:val="0"/>
      <w:divBdr>
        <w:top w:val="none" w:sz="0" w:space="0" w:color="auto"/>
        <w:left w:val="none" w:sz="0" w:space="0" w:color="auto"/>
        <w:bottom w:val="none" w:sz="0" w:space="0" w:color="auto"/>
        <w:right w:val="none" w:sz="0" w:space="0" w:color="auto"/>
      </w:divBdr>
    </w:div>
    <w:div w:id="438529885">
      <w:bodyDiv w:val="1"/>
      <w:marLeft w:val="0"/>
      <w:marRight w:val="0"/>
      <w:marTop w:val="0"/>
      <w:marBottom w:val="0"/>
      <w:divBdr>
        <w:top w:val="none" w:sz="0" w:space="0" w:color="auto"/>
        <w:left w:val="none" w:sz="0" w:space="0" w:color="auto"/>
        <w:bottom w:val="none" w:sz="0" w:space="0" w:color="auto"/>
        <w:right w:val="none" w:sz="0" w:space="0" w:color="auto"/>
      </w:divBdr>
    </w:div>
    <w:div w:id="443960596">
      <w:bodyDiv w:val="1"/>
      <w:marLeft w:val="0"/>
      <w:marRight w:val="0"/>
      <w:marTop w:val="0"/>
      <w:marBottom w:val="0"/>
      <w:divBdr>
        <w:top w:val="none" w:sz="0" w:space="0" w:color="auto"/>
        <w:left w:val="none" w:sz="0" w:space="0" w:color="auto"/>
        <w:bottom w:val="none" w:sz="0" w:space="0" w:color="auto"/>
        <w:right w:val="none" w:sz="0" w:space="0" w:color="auto"/>
      </w:divBdr>
    </w:div>
    <w:div w:id="447823878">
      <w:bodyDiv w:val="1"/>
      <w:marLeft w:val="0"/>
      <w:marRight w:val="0"/>
      <w:marTop w:val="0"/>
      <w:marBottom w:val="0"/>
      <w:divBdr>
        <w:top w:val="none" w:sz="0" w:space="0" w:color="auto"/>
        <w:left w:val="none" w:sz="0" w:space="0" w:color="auto"/>
        <w:bottom w:val="none" w:sz="0" w:space="0" w:color="auto"/>
        <w:right w:val="none" w:sz="0" w:space="0" w:color="auto"/>
      </w:divBdr>
    </w:div>
    <w:div w:id="452483894">
      <w:bodyDiv w:val="1"/>
      <w:marLeft w:val="0"/>
      <w:marRight w:val="0"/>
      <w:marTop w:val="0"/>
      <w:marBottom w:val="0"/>
      <w:divBdr>
        <w:top w:val="none" w:sz="0" w:space="0" w:color="auto"/>
        <w:left w:val="none" w:sz="0" w:space="0" w:color="auto"/>
        <w:bottom w:val="none" w:sz="0" w:space="0" w:color="auto"/>
        <w:right w:val="none" w:sz="0" w:space="0" w:color="auto"/>
      </w:divBdr>
    </w:div>
    <w:div w:id="469327973">
      <w:bodyDiv w:val="1"/>
      <w:marLeft w:val="0"/>
      <w:marRight w:val="0"/>
      <w:marTop w:val="0"/>
      <w:marBottom w:val="0"/>
      <w:divBdr>
        <w:top w:val="none" w:sz="0" w:space="0" w:color="auto"/>
        <w:left w:val="none" w:sz="0" w:space="0" w:color="auto"/>
        <w:bottom w:val="none" w:sz="0" w:space="0" w:color="auto"/>
        <w:right w:val="none" w:sz="0" w:space="0" w:color="auto"/>
      </w:divBdr>
      <w:divsChild>
        <w:div w:id="18893688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0639377">
      <w:bodyDiv w:val="1"/>
      <w:marLeft w:val="0"/>
      <w:marRight w:val="0"/>
      <w:marTop w:val="0"/>
      <w:marBottom w:val="0"/>
      <w:divBdr>
        <w:top w:val="none" w:sz="0" w:space="0" w:color="auto"/>
        <w:left w:val="none" w:sz="0" w:space="0" w:color="auto"/>
        <w:bottom w:val="none" w:sz="0" w:space="0" w:color="auto"/>
        <w:right w:val="none" w:sz="0" w:space="0" w:color="auto"/>
      </w:divBdr>
    </w:div>
    <w:div w:id="479345155">
      <w:bodyDiv w:val="1"/>
      <w:marLeft w:val="0"/>
      <w:marRight w:val="0"/>
      <w:marTop w:val="0"/>
      <w:marBottom w:val="0"/>
      <w:divBdr>
        <w:top w:val="none" w:sz="0" w:space="0" w:color="auto"/>
        <w:left w:val="none" w:sz="0" w:space="0" w:color="auto"/>
        <w:bottom w:val="none" w:sz="0" w:space="0" w:color="auto"/>
        <w:right w:val="none" w:sz="0" w:space="0" w:color="auto"/>
      </w:divBdr>
      <w:divsChild>
        <w:div w:id="1921713123">
          <w:marLeft w:val="0"/>
          <w:marRight w:val="0"/>
          <w:marTop w:val="0"/>
          <w:marBottom w:val="0"/>
          <w:divBdr>
            <w:top w:val="none" w:sz="0" w:space="0" w:color="auto"/>
            <w:left w:val="none" w:sz="0" w:space="0" w:color="auto"/>
            <w:bottom w:val="none" w:sz="0" w:space="0" w:color="auto"/>
            <w:right w:val="none" w:sz="0" w:space="0" w:color="auto"/>
          </w:divBdr>
          <w:divsChild>
            <w:div w:id="598878073">
              <w:marLeft w:val="0"/>
              <w:marRight w:val="0"/>
              <w:marTop w:val="0"/>
              <w:marBottom w:val="0"/>
              <w:divBdr>
                <w:top w:val="none" w:sz="0" w:space="0" w:color="auto"/>
                <w:left w:val="none" w:sz="0" w:space="0" w:color="auto"/>
                <w:bottom w:val="none" w:sz="0" w:space="0" w:color="auto"/>
                <w:right w:val="none" w:sz="0" w:space="0" w:color="auto"/>
              </w:divBdr>
              <w:divsChild>
                <w:div w:id="794718674">
                  <w:marLeft w:val="0"/>
                  <w:marRight w:val="0"/>
                  <w:marTop w:val="0"/>
                  <w:marBottom w:val="0"/>
                  <w:divBdr>
                    <w:top w:val="none" w:sz="0" w:space="0" w:color="auto"/>
                    <w:left w:val="none" w:sz="0" w:space="0" w:color="auto"/>
                    <w:bottom w:val="none" w:sz="0" w:space="0" w:color="auto"/>
                    <w:right w:val="none" w:sz="0" w:space="0" w:color="auto"/>
                  </w:divBdr>
                  <w:divsChild>
                    <w:div w:id="1718508648">
                      <w:marLeft w:val="0"/>
                      <w:marRight w:val="0"/>
                      <w:marTop w:val="0"/>
                      <w:marBottom w:val="0"/>
                      <w:divBdr>
                        <w:top w:val="none" w:sz="0" w:space="0" w:color="auto"/>
                        <w:left w:val="none" w:sz="0" w:space="0" w:color="auto"/>
                        <w:bottom w:val="none" w:sz="0" w:space="0" w:color="auto"/>
                        <w:right w:val="none" w:sz="0" w:space="0" w:color="auto"/>
                      </w:divBdr>
                      <w:divsChild>
                        <w:div w:id="665865738">
                          <w:marLeft w:val="0"/>
                          <w:marRight w:val="0"/>
                          <w:marTop w:val="0"/>
                          <w:marBottom w:val="0"/>
                          <w:divBdr>
                            <w:top w:val="none" w:sz="0" w:space="0" w:color="auto"/>
                            <w:left w:val="none" w:sz="0" w:space="0" w:color="auto"/>
                            <w:bottom w:val="none" w:sz="0" w:space="0" w:color="auto"/>
                            <w:right w:val="none" w:sz="0" w:space="0" w:color="auto"/>
                          </w:divBdr>
                          <w:divsChild>
                            <w:div w:id="116684736">
                              <w:marLeft w:val="0"/>
                              <w:marRight w:val="0"/>
                              <w:marTop w:val="0"/>
                              <w:marBottom w:val="0"/>
                              <w:divBdr>
                                <w:top w:val="none" w:sz="0" w:space="0" w:color="auto"/>
                                <w:left w:val="none" w:sz="0" w:space="0" w:color="auto"/>
                                <w:bottom w:val="none" w:sz="0" w:space="0" w:color="auto"/>
                                <w:right w:val="none" w:sz="0" w:space="0" w:color="auto"/>
                              </w:divBdr>
                              <w:divsChild>
                                <w:div w:id="12904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638">
      <w:bodyDiv w:val="1"/>
      <w:marLeft w:val="0"/>
      <w:marRight w:val="0"/>
      <w:marTop w:val="0"/>
      <w:marBottom w:val="0"/>
      <w:divBdr>
        <w:top w:val="none" w:sz="0" w:space="0" w:color="auto"/>
        <w:left w:val="none" w:sz="0" w:space="0" w:color="auto"/>
        <w:bottom w:val="none" w:sz="0" w:space="0" w:color="auto"/>
        <w:right w:val="none" w:sz="0" w:space="0" w:color="auto"/>
      </w:divBdr>
    </w:div>
    <w:div w:id="489758829">
      <w:bodyDiv w:val="1"/>
      <w:marLeft w:val="0"/>
      <w:marRight w:val="0"/>
      <w:marTop w:val="0"/>
      <w:marBottom w:val="0"/>
      <w:divBdr>
        <w:top w:val="none" w:sz="0" w:space="0" w:color="auto"/>
        <w:left w:val="none" w:sz="0" w:space="0" w:color="auto"/>
        <w:bottom w:val="none" w:sz="0" w:space="0" w:color="auto"/>
        <w:right w:val="none" w:sz="0" w:space="0" w:color="auto"/>
      </w:divBdr>
    </w:div>
    <w:div w:id="498237414">
      <w:bodyDiv w:val="1"/>
      <w:marLeft w:val="0"/>
      <w:marRight w:val="0"/>
      <w:marTop w:val="0"/>
      <w:marBottom w:val="0"/>
      <w:divBdr>
        <w:top w:val="none" w:sz="0" w:space="0" w:color="auto"/>
        <w:left w:val="none" w:sz="0" w:space="0" w:color="auto"/>
        <w:bottom w:val="none" w:sz="0" w:space="0" w:color="auto"/>
        <w:right w:val="none" w:sz="0" w:space="0" w:color="auto"/>
      </w:divBdr>
    </w:div>
    <w:div w:id="505096160">
      <w:bodyDiv w:val="1"/>
      <w:marLeft w:val="0"/>
      <w:marRight w:val="0"/>
      <w:marTop w:val="0"/>
      <w:marBottom w:val="0"/>
      <w:divBdr>
        <w:top w:val="none" w:sz="0" w:space="0" w:color="auto"/>
        <w:left w:val="none" w:sz="0" w:space="0" w:color="auto"/>
        <w:bottom w:val="none" w:sz="0" w:space="0" w:color="auto"/>
        <w:right w:val="none" w:sz="0" w:space="0" w:color="auto"/>
      </w:divBdr>
    </w:div>
    <w:div w:id="521824402">
      <w:bodyDiv w:val="1"/>
      <w:marLeft w:val="0"/>
      <w:marRight w:val="0"/>
      <w:marTop w:val="0"/>
      <w:marBottom w:val="0"/>
      <w:divBdr>
        <w:top w:val="none" w:sz="0" w:space="0" w:color="auto"/>
        <w:left w:val="none" w:sz="0" w:space="0" w:color="auto"/>
        <w:bottom w:val="none" w:sz="0" w:space="0" w:color="auto"/>
        <w:right w:val="none" w:sz="0" w:space="0" w:color="auto"/>
      </w:divBdr>
    </w:div>
    <w:div w:id="538320702">
      <w:bodyDiv w:val="1"/>
      <w:marLeft w:val="0"/>
      <w:marRight w:val="0"/>
      <w:marTop w:val="0"/>
      <w:marBottom w:val="0"/>
      <w:divBdr>
        <w:top w:val="none" w:sz="0" w:space="0" w:color="auto"/>
        <w:left w:val="none" w:sz="0" w:space="0" w:color="auto"/>
        <w:bottom w:val="none" w:sz="0" w:space="0" w:color="auto"/>
        <w:right w:val="none" w:sz="0" w:space="0" w:color="auto"/>
      </w:divBdr>
    </w:div>
    <w:div w:id="570966582">
      <w:bodyDiv w:val="1"/>
      <w:marLeft w:val="0"/>
      <w:marRight w:val="0"/>
      <w:marTop w:val="0"/>
      <w:marBottom w:val="0"/>
      <w:divBdr>
        <w:top w:val="none" w:sz="0" w:space="0" w:color="auto"/>
        <w:left w:val="none" w:sz="0" w:space="0" w:color="auto"/>
        <w:bottom w:val="none" w:sz="0" w:space="0" w:color="auto"/>
        <w:right w:val="none" w:sz="0" w:space="0" w:color="auto"/>
      </w:divBdr>
      <w:divsChild>
        <w:div w:id="44912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046663">
      <w:bodyDiv w:val="1"/>
      <w:marLeft w:val="0"/>
      <w:marRight w:val="0"/>
      <w:marTop w:val="0"/>
      <w:marBottom w:val="0"/>
      <w:divBdr>
        <w:top w:val="none" w:sz="0" w:space="0" w:color="auto"/>
        <w:left w:val="none" w:sz="0" w:space="0" w:color="auto"/>
        <w:bottom w:val="none" w:sz="0" w:space="0" w:color="auto"/>
        <w:right w:val="none" w:sz="0" w:space="0" w:color="auto"/>
      </w:divBdr>
    </w:div>
    <w:div w:id="595485663">
      <w:bodyDiv w:val="1"/>
      <w:marLeft w:val="0"/>
      <w:marRight w:val="0"/>
      <w:marTop w:val="0"/>
      <w:marBottom w:val="0"/>
      <w:divBdr>
        <w:top w:val="none" w:sz="0" w:space="0" w:color="auto"/>
        <w:left w:val="none" w:sz="0" w:space="0" w:color="auto"/>
        <w:bottom w:val="none" w:sz="0" w:space="0" w:color="auto"/>
        <w:right w:val="none" w:sz="0" w:space="0" w:color="auto"/>
      </w:divBdr>
    </w:div>
    <w:div w:id="603463557">
      <w:bodyDiv w:val="1"/>
      <w:marLeft w:val="0"/>
      <w:marRight w:val="0"/>
      <w:marTop w:val="0"/>
      <w:marBottom w:val="0"/>
      <w:divBdr>
        <w:top w:val="none" w:sz="0" w:space="0" w:color="auto"/>
        <w:left w:val="none" w:sz="0" w:space="0" w:color="auto"/>
        <w:bottom w:val="none" w:sz="0" w:space="0" w:color="auto"/>
        <w:right w:val="none" w:sz="0" w:space="0" w:color="auto"/>
      </w:divBdr>
    </w:div>
    <w:div w:id="618027382">
      <w:bodyDiv w:val="1"/>
      <w:marLeft w:val="0"/>
      <w:marRight w:val="0"/>
      <w:marTop w:val="0"/>
      <w:marBottom w:val="0"/>
      <w:divBdr>
        <w:top w:val="none" w:sz="0" w:space="0" w:color="auto"/>
        <w:left w:val="none" w:sz="0" w:space="0" w:color="auto"/>
        <w:bottom w:val="none" w:sz="0" w:space="0" w:color="auto"/>
        <w:right w:val="none" w:sz="0" w:space="0" w:color="auto"/>
      </w:divBdr>
    </w:div>
    <w:div w:id="633751969">
      <w:bodyDiv w:val="1"/>
      <w:marLeft w:val="0"/>
      <w:marRight w:val="0"/>
      <w:marTop w:val="0"/>
      <w:marBottom w:val="0"/>
      <w:divBdr>
        <w:top w:val="none" w:sz="0" w:space="0" w:color="auto"/>
        <w:left w:val="none" w:sz="0" w:space="0" w:color="auto"/>
        <w:bottom w:val="none" w:sz="0" w:space="0" w:color="auto"/>
        <w:right w:val="none" w:sz="0" w:space="0" w:color="auto"/>
      </w:divBdr>
    </w:div>
    <w:div w:id="641498957">
      <w:bodyDiv w:val="1"/>
      <w:marLeft w:val="0"/>
      <w:marRight w:val="0"/>
      <w:marTop w:val="0"/>
      <w:marBottom w:val="0"/>
      <w:divBdr>
        <w:top w:val="none" w:sz="0" w:space="0" w:color="auto"/>
        <w:left w:val="none" w:sz="0" w:space="0" w:color="auto"/>
        <w:bottom w:val="none" w:sz="0" w:space="0" w:color="auto"/>
        <w:right w:val="none" w:sz="0" w:space="0" w:color="auto"/>
      </w:divBdr>
    </w:div>
    <w:div w:id="647630844">
      <w:bodyDiv w:val="1"/>
      <w:marLeft w:val="0"/>
      <w:marRight w:val="0"/>
      <w:marTop w:val="0"/>
      <w:marBottom w:val="0"/>
      <w:divBdr>
        <w:top w:val="none" w:sz="0" w:space="0" w:color="auto"/>
        <w:left w:val="none" w:sz="0" w:space="0" w:color="auto"/>
        <w:bottom w:val="none" w:sz="0" w:space="0" w:color="auto"/>
        <w:right w:val="none" w:sz="0" w:space="0" w:color="auto"/>
      </w:divBdr>
    </w:div>
    <w:div w:id="671569380">
      <w:bodyDiv w:val="1"/>
      <w:marLeft w:val="0"/>
      <w:marRight w:val="0"/>
      <w:marTop w:val="0"/>
      <w:marBottom w:val="0"/>
      <w:divBdr>
        <w:top w:val="none" w:sz="0" w:space="0" w:color="auto"/>
        <w:left w:val="none" w:sz="0" w:space="0" w:color="auto"/>
        <w:bottom w:val="none" w:sz="0" w:space="0" w:color="auto"/>
        <w:right w:val="none" w:sz="0" w:space="0" w:color="auto"/>
      </w:divBdr>
    </w:div>
    <w:div w:id="677730546">
      <w:bodyDiv w:val="1"/>
      <w:marLeft w:val="0"/>
      <w:marRight w:val="0"/>
      <w:marTop w:val="0"/>
      <w:marBottom w:val="0"/>
      <w:divBdr>
        <w:top w:val="none" w:sz="0" w:space="0" w:color="auto"/>
        <w:left w:val="none" w:sz="0" w:space="0" w:color="auto"/>
        <w:bottom w:val="none" w:sz="0" w:space="0" w:color="auto"/>
        <w:right w:val="none" w:sz="0" w:space="0" w:color="auto"/>
      </w:divBdr>
    </w:div>
    <w:div w:id="685207230">
      <w:bodyDiv w:val="1"/>
      <w:marLeft w:val="0"/>
      <w:marRight w:val="0"/>
      <w:marTop w:val="0"/>
      <w:marBottom w:val="0"/>
      <w:divBdr>
        <w:top w:val="none" w:sz="0" w:space="0" w:color="auto"/>
        <w:left w:val="none" w:sz="0" w:space="0" w:color="auto"/>
        <w:bottom w:val="none" w:sz="0" w:space="0" w:color="auto"/>
        <w:right w:val="none" w:sz="0" w:space="0" w:color="auto"/>
      </w:divBdr>
    </w:div>
    <w:div w:id="686057310">
      <w:bodyDiv w:val="1"/>
      <w:marLeft w:val="0"/>
      <w:marRight w:val="0"/>
      <w:marTop w:val="0"/>
      <w:marBottom w:val="0"/>
      <w:divBdr>
        <w:top w:val="none" w:sz="0" w:space="0" w:color="auto"/>
        <w:left w:val="none" w:sz="0" w:space="0" w:color="auto"/>
        <w:bottom w:val="none" w:sz="0" w:space="0" w:color="auto"/>
        <w:right w:val="none" w:sz="0" w:space="0" w:color="auto"/>
      </w:divBdr>
    </w:div>
    <w:div w:id="686756333">
      <w:bodyDiv w:val="1"/>
      <w:marLeft w:val="0"/>
      <w:marRight w:val="0"/>
      <w:marTop w:val="0"/>
      <w:marBottom w:val="0"/>
      <w:divBdr>
        <w:top w:val="none" w:sz="0" w:space="0" w:color="auto"/>
        <w:left w:val="none" w:sz="0" w:space="0" w:color="auto"/>
        <w:bottom w:val="none" w:sz="0" w:space="0" w:color="auto"/>
        <w:right w:val="none" w:sz="0" w:space="0" w:color="auto"/>
      </w:divBdr>
    </w:div>
    <w:div w:id="697506545">
      <w:bodyDiv w:val="1"/>
      <w:marLeft w:val="0"/>
      <w:marRight w:val="0"/>
      <w:marTop w:val="0"/>
      <w:marBottom w:val="0"/>
      <w:divBdr>
        <w:top w:val="none" w:sz="0" w:space="0" w:color="auto"/>
        <w:left w:val="none" w:sz="0" w:space="0" w:color="auto"/>
        <w:bottom w:val="none" w:sz="0" w:space="0" w:color="auto"/>
        <w:right w:val="none" w:sz="0" w:space="0" w:color="auto"/>
      </w:divBdr>
    </w:div>
    <w:div w:id="706372288">
      <w:bodyDiv w:val="1"/>
      <w:marLeft w:val="0"/>
      <w:marRight w:val="0"/>
      <w:marTop w:val="0"/>
      <w:marBottom w:val="0"/>
      <w:divBdr>
        <w:top w:val="none" w:sz="0" w:space="0" w:color="auto"/>
        <w:left w:val="none" w:sz="0" w:space="0" w:color="auto"/>
        <w:bottom w:val="none" w:sz="0" w:space="0" w:color="auto"/>
        <w:right w:val="none" w:sz="0" w:space="0" w:color="auto"/>
      </w:divBdr>
      <w:divsChild>
        <w:div w:id="992611543">
          <w:marLeft w:val="0"/>
          <w:marRight w:val="0"/>
          <w:marTop w:val="0"/>
          <w:marBottom w:val="0"/>
          <w:divBdr>
            <w:top w:val="none" w:sz="0" w:space="0" w:color="auto"/>
            <w:left w:val="none" w:sz="0" w:space="0" w:color="auto"/>
            <w:bottom w:val="none" w:sz="0" w:space="0" w:color="auto"/>
            <w:right w:val="none" w:sz="0" w:space="0" w:color="auto"/>
          </w:divBdr>
          <w:divsChild>
            <w:div w:id="202982963">
              <w:marLeft w:val="0"/>
              <w:marRight w:val="0"/>
              <w:marTop w:val="0"/>
              <w:marBottom w:val="0"/>
              <w:divBdr>
                <w:top w:val="none" w:sz="0" w:space="0" w:color="auto"/>
                <w:left w:val="none" w:sz="0" w:space="0" w:color="auto"/>
                <w:bottom w:val="none" w:sz="0" w:space="0" w:color="auto"/>
                <w:right w:val="none" w:sz="0" w:space="0" w:color="auto"/>
              </w:divBdr>
              <w:divsChild>
                <w:div w:id="2027291175">
                  <w:marLeft w:val="0"/>
                  <w:marRight w:val="0"/>
                  <w:marTop w:val="0"/>
                  <w:marBottom w:val="0"/>
                  <w:divBdr>
                    <w:top w:val="none" w:sz="0" w:space="0" w:color="auto"/>
                    <w:left w:val="none" w:sz="0" w:space="0" w:color="auto"/>
                    <w:bottom w:val="none" w:sz="0" w:space="0" w:color="auto"/>
                    <w:right w:val="none" w:sz="0" w:space="0" w:color="auto"/>
                  </w:divBdr>
                  <w:divsChild>
                    <w:div w:id="1012801761">
                      <w:marLeft w:val="0"/>
                      <w:marRight w:val="0"/>
                      <w:marTop w:val="0"/>
                      <w:marBottom w:val="0"/>
                      <w:divBdr>
                        <w:top w:val="none" w:sz="0" w:space="0" w:color="auto"/>
                        <w:left w:val="none" w:sz="0" w:space="0" w:color="auto"/>
                        <w:bottom w:val="none" w:sz="0" w:space="0" w:color="auto"/>
                        <w:right w:val="none" w:sz="0" w:space="0" w:color="auto"/>
                      </w:divBdr>
                      <w:divsChild>
                        <w:div w:id="1615863708">
                          <w:marLeft w:val="0"/>
                          <w:marRight w:val="0"/>
                          <w:marTop w:val="0"/>
                          <w:marBottom w:val="0"/>
                          <w:divBdr>
                            <w:top w:val="none" w:sz="0" w:space="0" w:color="auto"/>
                            <w:left w:val="none" w:sz="0" w:space="0" w:color="auto"/>
                            <w:bottom w:val="none" w:sz="0" w:space="0" w:color="auto"/>
                            <w:right w:val="none" w:sz="0" w:space="0" w:color="auto"/>
                          </w:divBdr>
                          <w:divsChild>
                            <w:div w:id="1775202478">
                              <w:marLeft w:val="0"/>
                              <w:marRight w:val="0"/>
                              <w:marTop w:val="0"/>
                              <w:marBottom w:val="0"/>
                              <w:divBdr>
                                <w:top w:val="none" w:sz="0" w:space="0" w:color="auto"/>
                                <w:left w:val="none" w:sz="0" w:space="0" w:color="auto"/>
                                <w:bottom w:val="none" w:sz="0" w:space="0" w:color="auto"/>
                                <w:right w:val="none" w:sz="0" w:space="0" w:color="auto"/>
                              </w:divBdr>
                              <w:divsChild>
                                <w:div w:id="188325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1153682">
      <w:bodyDiv w:val="1"/>
      <w:marLeft w:val="0"/>
      <w:marRight w:val="0"/>
      <w:marTop w:val="0"/>
      <w:marBottom w:val="0"/>
      <w:divBdr>
        <w:top w:val="none" w:sz="0" w:space="0" w:color="auto"/>
        <w:left w:val="none" w:sz="0" w:space="0" w:color="auto"/>
        <w:bottom w:val="none" w:sz="0" w:space="0" w:color="auto"/>
        <w:right w:val="none" w:sz="0" w:space="0" w:color="auto"/>
      </w:divBdr>
    </w:div>
    <w:div w:id="713652847">
      <w:bodyDiv w:val="1"/>
      <w:marLeft w:val="0"/>
      <w:marRight w:val="0"/>
      <w:marTop w:val="0"/>
      <w:marBottom w:val="0"/>
      <w:divBdr>
        <w:top w:val="none" w:sz="0" w:space="0" w:color="auto"/>
        <w:left w:val="none" w:sz="0" w:space="0" w:color="auto"/>
        <w:bottom w:val="none" w:sz="0" w:space="0" w:color="auto"/>
        <w:right w:val="none" w:sz="0" w:space="0" w:color="auto"/>
      </w:divBdr>
    </w:div>
    <w:div w:id="721487190">
      <w:bodyDiv w:val="1"/>
      <w:marLeft w:val="0"/>
      <w:marRight w:val="0"/>
      <w:marTop w:val="0"/>
      <w:marBottom w:val="0"/>
      <w:divBdr>
        <w:top w:val="none" w:sz="0" w:space="0" w:color="auto"/>
        <w:left w:val="none" w:sz="0" w:space="0" w:color="auto"/>
        <w:bottom w:val="none" w:sz="0" w:space="0" w:color="auto"/>
        <w:right w:val="none" w:sz="0" w:space="0" w:color="auto"/>
      </w:divBdr>
    </w:div>
    <w:div w:id="724571493">
      <w:bodyDiv w:val="1"/>
      <w:marLeft w:val="0"/>
      <w:marRight w:val="0"/>
      <w:marTop w:val="0"/>
      <w:marBottom w:val="0"/>
      <w:divBdr>
        <w:top w:val="none" w:sz="0" w:space="0" w:color="auto"/>
        <w:left w:val="none" w:sz="0" w:space="0" w:color="auto"/>
        <w:bottom w:val="none" w:sz="0" w:space="0" w:color="auto"/>
        <w:right w:val="none" w:sz="0" w:space="0" w:color="auto"/>
      </w:divBdr>
    </w:div>
    <w:div w:id="724909285">
      <w:bodyDiv w:val="1"/>
      <w:marLeft w:val="0"/>
      <w:marRight w:val="0"/>
      <w:marTop w:val="0"/>
      <w:marBottom w:val="0"/>
      <w:divBdr>
        <w:top w:val="none" w:sz="0" w:space="0" w:color="auto"/>
        <w:left w:val="none" w:sz="0" w:space="0" w:color="auto"/>
        <w:bottom w:val="none" w:sz="0" w:space="0" w:color="auto"/>
        <w:right w:val="none" w:sz="0" w:space="0" w:color="auto"/>
      </w:divBdr>
      <w:divsChild>
        <w:div w:id="1706785475">
          <w:marLeft w:val="0"/>
          <w:marRight w:val="0"/>
          <w:marTop w:val="0"/>
          <w:marBottom w:val="0"/>
          <w:divBdr>
            <w:top w:val="none" w:sz="0" w:space="0" w:color="auto"/>
            <w:left w:val="none" w:sz="0" w:space="0" w:color="auto"/>
            <w:bottom w:val="none" w:sz="0" w:space="0" w:color="auto"/>
            <w:right w:val="none" w:sz="0" w:space="0" w:color="auto"/>
          </w:divBdr>
          <w:divsChild>
            <w:div w:id="281301077">
              <w:marLeft w:val="0"/>
              <w:marRight w:val="0"/>
              <w:marTop w:val="0"/>
              <w:marBottom w:val="0"/>
              <w:divBdr>
                <w:top w:val="none" w:sz="0" w:space="0" w:color="auto"/>
                <w:left w:val="none" w:sz="0" w:space="0" w:color="auto"/>
                <w:bottom w:val="none" w:sz="0" w:space="0" w:color="auto"/>
                <w:right w:val="none" w:sz="0" w:space="0" w:color="auto"/>
              </w:divBdr>
              <w:divsChild>
                <w:div w:id="168444252">
                  <w:marLeft w:val="0"/>
                  <w:marRight w:val="0"/>
                  <w:marTop w:val="0"/>
                  <w:marBottom w:val="0"/>
                  <w:divBdr>
                    <w:top w:val="none" w:sz="0" w:space="0" w:color="auto"/>
                    <w:left w:val="none" w:sz="0" w:space="0" w:color="auto"/>
                    <w:bottom w:val="none" w:sz="0" w:space="0" w:color="auto"/>
                    <w:right w:val="none" w:sz="0" w:space="0" w:color="auto"/>
                  </w:divBdr>
                  <w:divsChild>
                    <w:div w:id="480971286">
                      <w:marLeft w:val="0"/>
                      <w:marRight w:val="0"/>
                      <w:marTop w:val="0"/>
                      <w:marBottom w:val="0"/>
                      <w:divBdr>
                        <w:top w:val="none" w:sz="0" w:space="0" w:color="auto"/>
                        <w:left w:val="none" w:sz="0" w:space="0" w:color="auto"/>
                        <w:bottom w:val="none" w:sz="0" w:space="0" w:color="auto"/>
                        <w:right w:val="none" w:sz="0" w:space="0" w:color="auto"/>
                      </w:divBdr>
                      <w:divsChild>
                        <w:div w:id="2028830272">
                          <w:marLeft w:val="0"/>
                          <w:marRight w:val="0"/>
                          <w:marTop w:val="0"/>
                          <w:marBottom w:val="0"/>
                          <w:divBdr>
                            <w:top w:val="none" w:sz="0" w:space="0" w:color="auto"/>
                            <w:left w:val="none" w:sz="0" w:space="0" w:color="auto"/>
                            <w:bottom w:val="none" w:sz="0" w:space="0" w:color="auto"/>
                            <w:right w:val="none" w:sz="0" w:space="0" w:color="auto"/>
                          </w:divBdr>
                          <w:divsChild>
                            <w:div w:id="1237285793">
                              <w:marLeft w:val="0"/>
                              <w:marRight w:val="0"/>
                              <w:marTop w:val="0"/>
                              <w:marBottom w:val="0"/>
                              <w:divBdr>
                                <w:top w:val="none" w:sz="0" w:space="0" w:color="auto"/>
                                <w:left w:val="none" w:sz="0" w:space="0" w:color="auto"/>
                                <w:bottom w:val="none" w:sz="0" w:space="0" w:color="auto"/>
                                <w:right w:val="none" w:sz="0" w:space="0" w:color="auto"/>
                              </w:divBdr>
                              <w:divsChild>
                                <w:div w:id="8711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2004270">
      <w:bodyDiv w:val="1"/>
      <w:marLeft w:val="0"/>
      <w:marRight w:val="0"/>
      <w:marTop w:val="0"/>
      <w:marBottom w:val="0"/>
      <w:divBdr>
        <w:top w:val="none" w:sz="0" w:space="0" w:color="auto"/>
        <w:left w:val="none" w:sz="0" w:space="0" w:color="auto"/>
        <w:bottom w:val="none" w:sz="0" w:space="0" w:color="auto"/>
        <w:right w:val="none" w:sz="0" w:space="0" w:color="auto"/>
      </w:divBdr>
    </w:div>
    <w:div w:id="733284727">
      <w:bodyDiv w:val="1"/>
      <w:marLeft w:val="0"/>
      <w:marRight w:val="0"/>
      <w:marTop w:val="0"/>
      <w:marBottom w:val="0"/>
      <w:divBdr>
        <w:top w:val="none" w:sz="0" w:space="0" w:color="auto"/>
        <w:left w:val="none" w:sz="0" w:space="0" w:color="auto"/>
        <w:bottom w:val="none" w:sz="0" w:space="0" w:color="auto"/>
        <w:right w:val="none" w:sz="0" w:space="0" w:color="auto"/>
      </w:divBdr>
    </w:div>
    <w:div w:id="737049646">
      <w:bodyDiv w:val="1"/>
      <w:marLeft w:val="0"/>
      <w:marRight w:val="0"/>
      <w:marTop w:val="0"/>
      <w:marBottom w:val="0"/>
      <w:divBdr>
        <w:top w:val="none" w:sz="0" w:space="0" w:color="auto"/>
        <w:left w:val="none" w:sz="0" w:space="0" w:color="auto"/>
        <w:bottom w:val="none" w:sz="0" w:space="0" w:color="auto"/>
        <w:right w:val="none" w:sz="0" w:space="0" w:color="auto"/>
      </w:divBdr>
    </w:div>
    <w:div w:id="737367112">
      <w:bodyDiv w:val="1"/>
      <w:marLeft w:val="0"/>
      <w:marRight w:val="0"/>
      <w:marTop w:val="0"/>
      <w:marBottom w:val="0"/>
      <w:divBdr>
        <w:top w:val="none" w:sz="0" w:space="0" w:color="auto"/>
        <w:left w:val="none" w:sz="0" w:space="0" w:color="auto"/>
        <w:bottom w:val="none" w:sz="0" w:space="0" w:color="auto"/>
        <w:right w:val="none" w:sz="0" w:space="0" w:color="auto"/>
      </w:divBdr>
    </w:div>
    <w:div w:id="738984196">
      <w:bodyDiv w:val="1"/>
      <w:marLeft w:val="0"/>
      <w:marRight w:val="0"/>
      <w:marTop w:val="0"/>
      <w:marBottom w:val="0"/>
      <w:divBdr>
        <w:top w:val="none" w:sz="0" w:space="0" w:color="auto"/>
        <w:left w:val="none" w:sz="0" w:space="0" w:color="auto"/>
        <w:bottom w:val="none" w:sz="0" w:space="0" w:color="auto"/>
        <w:right w:val="none" w:sz="0" w:space="0" w:color="auto"/>
      </w:divBdr>
    </w:div>
    <w:div w:id="740952272">
      <w:bodyDiv w:val="1"/>
      <w:marLeft w:val="0"/>
      <w:marRight w:val="0"/>
      <w:marTop w:val="0"/>
      <w:marBottom w:val="0"/>
      <w:divBdr>
        <w:top w:val="none" w:sz="0" w:space="0" w:color="auto"/>
        <w:left w:val="none" w:sz="0" w:space="0" w:color="auto"/>
        <w:bottom w:val="none" w:sz="0" w:space="0" w:color="auto"/>
        <w:right w:val="none" w:sz="0" w:space="0" w:color="auto"/>
      </w:divBdr>
    </w:div>
    <w:div w:id="741680705">
      <w:bodyDiv w:val="1"/>
      <w:marLeft w:val="0"/>
      <w:marRight w:val="0"/>
      <w:marTop w:val="0"/>
      <w:marBottom w:val="0"/>
      <w:divBdr>
        <w:top w:val="none" w:sz="0" w:space="0" w:color="auto"/>
        <w:left w:val="none" w:sz="0" w:space="0" w:color="auto"/>
        <w:bottom w:val="none" w:sz="0" w:space="0" w:color="auto"/>
        <w:right w:val="none" w:sz="0" w:space="0" w:color="auto"/>
      </w:divBdr>
    </w:div>
    <w:div w:id="763301008">
      <w:bodyDiv w:val="1"/>
      <w:marLeft w:val="0"/>
      <w:marRight w:val="0"/>
      <w:marTop w:val="0"/>
      <w:marBottom w:val="0"/>
      <w:divBdr>
        <w:top w:val="none" w:sz="0" w:space="0" w:color="auto"/>
        <w:left w:val="none" w:sz="0" w:space="0" w:color="auto"/>
        <w:bottom w:val="none" w:sz="0" w:space="0" w:color="auto"/>
        <w:right w:val="none" w:sz="0" w:space="0" w:color="auto"/>
      </w:divBdr>
    </w:div>
    <w:div w:id="763575040">
      <w:bodyDiv w:val="1"/>
      <w:marLeft w:val="0"/>
      <w:marRight w:val="0"/>
      <w:marTop w:val="0"/>
      <w:marBottom w:val="0"/>
      <w:divBdr>
        <w:top w:val="none" w:sz="0" w:space="0" w:color="auto"/>
        <w:left w:val="none" w:sz="0" w:space="0" w:color="auto"/>
        <w:bottom w:val="none" w:sz="0" w:space="0" w:color="auto"/>
        <w:right w:val="none" w:sz="0" w:space="0" w:color="auto"/>
      </w:divBdr>
      <w:divsChild>
        <w:div w:id="474837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3722807">
      <w:bodyDiv w:val="1"/>
      <w:marLeft w:val="0"/>
      <w:marRight w:val="0"/>
      <w:marTop w:val="0"/>
      <w:marBottom w:val="0"/>
      <w:divBdr>
        <w:top w:val="none" w:sz="0" w:space="0" w:color="auto"/>
        <w:left w:val="none" w:sz="0" w:space="0" w:color="auto"/>
        <w:bottom w:val="none" w:sz="0" w:space="0" w:color="auto"/>
        <w:right w:val="none" w:sz="0" w:space="0" w:color="auto"/>
      </w:divBdr>
    </w:div>
    <w:div w:id="763765934">
      <w:bodyDiv w:val="1"/>
      <w:marLeft w:val="0"/>
      <w:marRight w:val="0"/>
      <w:marTop w:val="0"/>
      <w:marBottom w:val="0"/>
      <w:divBdr>
        <w:top w:val="none" w:sz="0" w:space="0" w:color="auto"/>
        <w:left w:val="none" w:sz="0" w:space="0" w:color="auto"/>
        <w:bottom w:val="none" w:sz="0" w:space="0" w:color="auto"/>
        <w:right w:val="none" w:sz="0" w:space="0" w:color="auto"/>
      </w:divBdr>
      <w:divsChild>
        <w:div w:id="1082488162">
          <w:marLeft w:val="0"/>
          <w:marRight w:val="0"/>
          <w:marTop w:val="600"/>
          <w:marBottom w:val="0"/>
          <w:divBdr>
            <w:top w:val="none" w:sz="0" w:space="0" w:color="auto"/>
            <w:left w:val="none" w:sz="0" w:space="0" w:color="auto"/>
            <w:bottom w:val="none" w:sz="0" w:space="0" w:color="auto"/>
            <w:right w:val="none" w:sz="0" w:space="0" w:color="auto"/>
          </w:divBdr>
          <w:divsChild>
            <w:div w:id="7517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885731">
      <w:bodyDiv w:val="1"/>
      <w:marLeft w:val="0"/>
      <w:marRight w:val="0"/>
      <w:marTop w:val="0"/>
      <w:marBottom w:val="0"/>
      <w:divBdr>
        <w:top w:val="none" w:sz="0" w:space="0" w:color="auto"/>
        <w:left w:val="none" w:sz="0" w:space="0" w:color="auto"/>
        <w:bottom w:val="none" w:sz="0" w:space="0" w:color="auto"/>
        <w:right w:val="none" w:sz="0" w:space="0" w:color="auto"/>
      </w:divBdr>
    </w:div>
    <w:div w:id="768237347">
      <w:bodyDiv w:val="1"/>
      <w:marLeft w:val="0"/>
      <w:marRight w:val="0"/>
      <w:marTop w:val="0"/>
      <w:marBottom w:val="0"/>
      <w:divBdr>
        <w:top w:val="none" w:sz="0" w:space="0" w:color="auto"/>
        <w:left w:val="none" w:sz="0" w:space="0" w:color="auto"/>
        <w:bottom w:val="none" w:sz="0" w:space="0" w:color="auto"/>
        <w:right w:val="none" w:sz="0" w:space="0" w:color="auto"/>
      </w:divBdr>
      <w:divsChild>
        <w:div w:id="82919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9351101">
      <w:bodyDiv w:val="1"/>
      <w:marLeft w:val="0"/>
      <w:marRight w:val="0"/>
      <w:marTop w:val="0"/>
      <w:marBottom w:val="0"/>
      <w:divBdr>
        <w:top w:val="none" w:sz="0" w:space="0" w:color="auto"/>
        <w:left w:val="none" w:sz="0" w:space="0" w:color="auto"/>
        <w:bottom w:val="none" w:sz="0" w:space="0" w:color="auto"/>
        <w:right w:val="none" w:sz="0" w:space="0" w:color="auto"/>
      </w:divBdr>
    </w:div>
    <w:div w:id="778910741">
      <w:bodyDiv w:val="1"/>
      <w:marLeft w:val="0"/>
      <w:marRight w:val="0"/>
      <w:marTop w:val="0"/>
      <w:marBottom w:val="0"/>
      <w:divBdr>
        <w:top w:val="none" w:sz="0" w:space="0" w:color="auto"/>
        <w:left w:val="none" w:sz="0" w:space="0" w:color="auto"/>
        <w:bottom w:val="none" w:sz="0" w:space="0" w:color="auto"/>
        <w:right w:val="none" w:sz="0" w:space="0" w:color="auto"/>
      </w:divBdr>
    </w:div>
    <w:div w:id="787360047">
      <w:bodyDiv w:val="1"/>
      <w:marLeft w:val="0"/>
      <w:marRight w:val="0"/>
      <w:marTop w:val="0"/>
      <w:marBottom w:val="0"/>
      <w:divBdr>
        <w:top w:val="none" w:sz="0" w:space="0" w:color="auto"/>
        <w:left w:val="none" w:sz="0" w:space="0" w:color="auto"/>
        <w:bottom w:val="none" w:sz="0" w:space="0" w:color="auto"/>
        <w:right w:val="none" w:sz="0" w:space="0" w:color="auto"/>
      </w:divBdr>
    </w:div>
    <w:div w:id="795804545">
      <w:bodyDiv w:val="1"/>
      <w:marLeft w:val="0"/>
      <w:marRight w:val="0"/>
      <w:marTop w:val="0"/>
      <w:marBottom w:val="0"/>
      <w:divBdr>
        <w:top w:val="none" w:sz="0" w:space="0" w:color="auto"/>
        <w:left w:val="none" w:sz="0" w:space="0" w:color="auto"/>
        <w:bottom w:val="none" w:sz="0" w:space="0" w:color="auto"/>
        <w:right w:val="none" w:sz="0" w:space="0" w:color="auto"/>
      </w:divBdr>
    </w:div>
    <w:div w:id="798106851">
      <w:bodyDiv w:val="1"/>
      <w:marLeft w:val="0"/>
      <w:marRight w:val="0"/>
      <w:marTop w:val="0"/>
      <w:marBottom w:val="0"/>
      <w:divBdr>
        <w:top w:val="none" w:sz="0" w:space="0" w:color="auto"/>
        <w:left w:val="none" w:sz="0" w:space="0" w:color="auto"/>
        <w:bottom w:val="none" w:sz="0" w:space="0" w:color="auto"/>
        <w:right w:val="none" w:sz="0" w:space="0" w:color="auto"/>
      </w:divBdr>
    </w:div>
    <w:div w:id="811287199">
      <w:bodyDiv w:val="1"/>
      <w:marLeft w:val="0"/>
      <w:marRight w:val="0"/>
      <w:marTop w:val="0"/>
      <w:marBottom w:val="0"/>
      <w:divBdr>
        <w:top w:val="none" w:sz="0" w:space="0" w:color="auto"/>
        <w:left w:val="none" w:sz="0" w:space="0" w:color="auto"/>
        <w:bottom w:val="none" w:sz="0" w:space="0" w:color="auto"/>
        <w:right w:val="none" w:sz="0" w:space="0" w:color="auto"/>
      </w:divBdr>
    </w:div>
    <w:div w:id="816610243">
      <w:bodyDiv w:val="1"/>
      <w:marLeft w:val="0"/>
      <w:marRight w:val="0"/>
      <w:marTop w:val="0"/>
      <w:marBottom w:val="0"/>
      <w:divBdr>
        <w:top w:val="none" w:sz="0" w:space="0" w:color="auto"/>
        <w:left w:val="none" w:sz="0" w:space="0" w:color="auto"/>
        <w:bottom w:val="none" w:sz="0" w:space="0" w:color="auto"/>
        <w:right w:val="none" w:sz="0" w:space="0" w:color="auto"/>
      </w:divBdr>
    </w:div>
    <w:div w:id="823201659">
      <w:bodyDiv w:val="1"/>
      <w:marLeft w:val="0"/>
      <w:marRight w:val="0"/>
      <w:marTop w:val="0"/>
      <w:marBottom w:val="0"/>
      <w:divBdr>
        <w:top w:val="none" w:sz="0" w:space="0" w:color="auto"/>
        <w:left w:val="none" w:sz="0" w:space="0" w:color="auto"/>
        <w:bottom w:val="none" w:sz="0" w:space="0" w:color="auto"/>
        <w:right w:val="none" w:sz="0" w:space="0" w:color="auto"/>
      </w:divBdr>
    </w:div>
    <w:div w:id="828638409">
      <w:bodyDiv w:val="1"/>
      <w:marLeft w:val="0"/>
      <w:marRight w:val="0"/>
      <w:marTop w:val="0"/>
      <w:marBottom w:val="0"/>
      <w:divBdr>
        <w:top w:val="none" w:sz="0" w:space="0" w:color="auto"/>
        <w:left w:val="none" w:sz="0" w:space="0" w:color="auto"/>
        <w:bottom w:val="none" w:sz="0" w:space="0" w:color="auto"/>
        <w:right w:val="none" w:sz="0" w:space="0" w:color="auto"/>
      </w:divBdr>
    </w:div>
    <w:div w:id="839006685">
      <w:bodyDiv w:val="1"/>
      <w:marLeft w:val="0"/>
      <w:marRight w:val="0"/>
      <w:marTop w:val="0"/>
      <w:marBottom w:val="0"/>
      <w:divBdr>
        <w:top w:val="none" w:sz="0" w:space="0" w:color="auto"/>
        <w:left w:val="none" w:sz="0" w:space="0" w:color="auto"/>
        <w:bottom w:val="none" w:sz="0" w:space="0" w:color="auto"/>
        <w:right w:val="none" w:sz="0" w:space="0" w:color="auto"/>
      </w:divBdr>
    </w:div>
    <w:div w:id="840704772">
      <w:bodyDiv w:val="1"/>
      <w:marLeft w:val="0"/>
      <w:marRight w:val="0"/>
      <w:marTop w:val="0"/>
      <w:marBottom w:val="0"/>
      <w:divBdr>
        <w:top w:val="none" w:sz="0" w:space="0" w:color="auto"/>
        <w:left w:val="none" w:sz="0" w:space="0" w:color="auto"/>
        <w:bottom w:val="none" w:sz="0" w:space="0" w:color="auto"/>
        <w:right w:val="none" w:sz="0" w:space="0" w:color="auto"/>
      </w:divBdr>
    </w:div>
    <w:div w:id="842091623">
      <w:bodyDiv w:val="1"/>
      <w:marLeft w:val="0"/>
      <w:marRight w:val="0"/>
      <w:marTop w:val="0"/>
      <w:marBottom w:val="0"/>
      <w:divBdr>
        <w:top w:val="none" w:sz="0" w:space="0" w:color="auto"/>
        <w:left w:val="none" w:sz="0" w:space="0" w:color="auto"/>
        <w:bottom w:val="none" w:sz="0" w:space="0" w:color="auto"/>
        <w:right w:val="none" w:sz="0" w:space="0" w:color="auto"/>
      </w:divBdr>
    </w:div>
    <w:div w:id="846016064">
      <w:bodyDiv w:val="1"/>
      <w:marLeft w:val="0"/>
      <w:marRight w:val="0"/>
      <w:marTop w:val="0"/>
      <w:marBottom w:val="0"/>
      <w:divBdr>
        <w:top w:val="none" w:sz="0" w:space="0" w:color="auto"/>
        <w:left w:val="none" w:sz="0" w:space="0" w:color="auto"/>
        <w:bottom w:val="none" w:sz="0" w:space="0" w:color="auto"/>
        <w:right w:val="none" w:sz="0" w:space="0" w:color="auto"/>
      </w:divBdr>
    </w:div>
    <w:div w:id="850602027">
      <w:bodyDiv w:val="1"/>
      <w:marLeft w:val="0"/>
      <w:marRight w:val="0"/>
      <w:marTop w:val="0"/>
      <w:marBottom w:val="0"/>
      <w:divBdr>
        <w:top w:val="none" w:sz="0" w:space="0" w:color="auto"/>
        <w:left w:val="none" w:sz="0" w:space="0" w:color="auto"/>
        <w:bottom w:val="none" w:sz="0" w:space="0" w:color="auto"/>
        <w:right w:val="none" w:sz="0" w:space="0" w:color="auto"/>
      </w:divBdr>
    </w:div>
    <w:div w:id="859054105">
      <w:bodyDiv w:val="1"/>
      <w:marLeft w:val="0"/>
      <w:marRight w:val="0"/>
      <w:marTop w:val="0"/>
      <w:marBottom w:val="0"/>
      <w:divBdr>
        <w:top w:val="none" w:sz="0" w:space="0" w:color="auto"/>
        <w:left w:val="none" w:sz="0" w:space="0" w:color="auto"/>
        <w:bottom w:val="none" w:sz="0" w:space="0" w:color="auto"/>
        <w:right w:val="none" w:sz="0" w:space="0" w:color="auto"/>
      </w:divBdr>
      <w:divsChild>
        <w:div w:id="1544175962">
          <w:marLeft w:val="0"/>
          <w:marRight w:val="0"/>
          <w:marTop w:val="0"/>
          <w:marBottom w:val="0"/>
          <w:divBdr>
            <w:top w:val="none" w:sz="0" w:space="0" w:color="auto"/>
            <w:left w:val="none" w:sz="0" w:space="0" w:color="auto"/>
            <w:bottom w:val="none" w:sz="0" w:space="0" w:color="auto"/>
            <w:right w:val="none" w:sz="0" w:space="0" w:color="auto"/>
          </w:divBdr>
          <w:divsChild>
            <w:div w:id="1925722965">
              <w:marLeft w:val="0"/>
              <w:marRight w:val="0"/>
              <w:marTop w:val="0"/>
              <w:marBottom w:val="0"/>
              <w:divBdr>
                <w:top w:val="none" w:sz="0" w:space="0" w:color="auto"/>
                <w:left w:val="none" w:sz="0" w:space="0" w:color="auto"/>
                <w:bottom w:val="none" w:sz="0" w:space="0" w:color="auto"/>
                <w:right w:val="none" w:sz="0" w:space="0" w:color="auto"/>
              </w:divBdr>
              <w:divsChild>
                <w:div w:id="1595434644">
                  <w:marLeft w:val="0"/>
                  <w:marRight w:val="0"/>
                  <w:marTop w:val="0"/>
                  <w:marBottom w:val="0"/>
                  <w:divBdr>
                    <w:top w:val="none" w:sz="0" w:space="0" w:color="auto"/>
                    <w:left w:val="none" w:sz="0" w:space="0" w:color="auto"/>
                    <w:bottom w:val="none" w:sz="0" w:space="0" w:color="auto"/>
                    <w:right w:val="none" w:sz="0" w:space="0" w:color="auto"/>
                  </w:divBdr>
                  <w:divsChild>
                    <w:div w:id="1804694435">
                      <w:marLeft w:val="0"/>
                      <w:marRight w:val="0"/>
                      <w:marTop w:val="0"/>
                      <w:marBottom w:val="0"/>
                      <w:divBdr>
                        <w:top w:val="none" w:sz="0" w:space="0" w:color="auto"/>
                        <w:left w:val="none" w:sz="0" w:space="0" w:color="auto"/>
                        <w:bottom w:val="none" w:sz="0" w:space="0" w:color="auto"/>
                        <w:right w:val="none" w:sz="0" w:space="0" w:color="auto"/>
                      </w:divBdr>
                      <w:divsChild>
                        <w:div w:id="113211323">
                          <w:marLeft w:val="0"/>
                          <w:marRight w:val="0"/>
                          <w:marTop w:val="0"/>
                          <w:marBottom w:val="0"/>
                          <w:divBdr>
                            <w:top w:val="none" w:sz="0" w:space="0" w:color="auto"/>
                            <w:left w:val="none" w:sz="0" w:space="0" w:color="auto"/>
                            <w:bottom w:val="none" w:sz="0" w:space="0" w:color="auto"/>
                            <w:right w:val="none" w:sz="0" w:space="0" w:color="auto"/>
                          </w:divBdr>
                          <w:divsChild>
                            <w:div w:id="444234297">
                              <w:marLeft w:val="0"/>
                              <w:marRight w:val="0"/>
                              <w:marTop w:val="0"/>
                              <w:marBottom w:val="0"/>
                              <w:divBdr>
                                <w:top w:val="none" w:sz="0" w:space="0" w:color="auto"/>
                                <w:left w:val="none" w:sz="0" w:space="0" w:color="auto"/>
                                <w:bottom w:val="none" w:sz="0" w:space="0" w:color="auto"/>
                                <w:right w:val="none" w:sz="0" w:space="0" w:color="auto"/>
                              </w:divBdr>
                              <w:divsChild>
                                <w:div w:id="161960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557449">
      <w:bodyDiv w:val="1"/>
      <w:marLeft w:val="0"/>
      <w:marRight w:val="0"/>
      <w:marTop w:val="0"/>
      <w:marBottom w:val="0"/>
      <w:divBdr>
        <w:top w:val="none" w:sz="0" w:space="0" w:color="auto"/>
        <w:left w:val="none" w:sz="0" w:space="0" w:color="auto"/>
        <w:bottom w:val="none" w:sz="0" w:space="0" w:color="auto"/>
        <w:right w:val="none" w:sz="0" w:space="0" w:color="auto"/>
      </w:divBdr>
    </w:div>
    <w:div w:id="871966335">
      <w:bodyDiv w:val="1"/>
      <w:marLeft w:val="0"/>
      <w:marRight w:val="0"/>
      <w:marTop w:val="0"/>
      <w:marBottom w:val="0"/>
      <w:divBdr>
        <w:top w:val="none" w:sz="0" w:space="0" w:color="auto"/>
        <w:left w:val="none" w:sz="0" w:space="0" w:color="auto"/>
        <w:bottom w:val="none" w:sz="0" w:space="0" w:color="auto"/>
        <w:right w:val="none" w:sz="0" w:space="0" w:color="auto"/>
      </w:divBdr>
    </w:div>
    <w:div w:id="876235764">
      <w:bodyDiv w:val="1"/>
      <w:marLeft w:val="0"/>
      <w:marRight w:val="0"/>
      <w:marTop w:val="0"/>
      <w:marBottom w:val="0"/>
      <w:divBdr>
        <w:top w:val="none" w:sz="0" w:space="0" w:color="auto"/>
        <w:left w:val="none" w:sz="0" w:space="0" w:color="auto"/>
        <w:bottom w:val="none" w:sz="0" w:space="0" w:color="auto"/>
        <w:right w:val="none" w:sz="0" w:space="0" w:color="auto"/>
      </w:divBdr>
    </w:div>
    <w:div w:id="876628121">
      <w:bodyDiv w:val="1"/>
      <w:marLeft w:val="0"/>
      <w:marRight w:val="0"/>
      <w:marTop w:val="0"/>
      <w:marBottom w:val="0"/>
      <w:divBdr>
        <w:top w:val="none" w:sz="0" w:space="0" w:color="auto"/>
        <w:left w:val="none" w:sz="0" w:space="0" w:color="auto"/>
        <w:bottom w:val="none" w:sz="0" w:space="0" w:color="auto"/>
        <w:right w:val="none" w:sz="0" w:space="0" w:color="auto"/>
      </w:divBdr>
    </w:div>
    <w:div w:id="896937244">
      <w:bodyDiv w:val="1"/>
      <w:marLeft w:val="0"/>
      <w:marRight w:val="0"/>
      <w:marTop w:val="0"/>
      <w:marBottom w:val="0"/>
      <w:divBdr>
        <w:top w:val="none" w:sz="0" w:space="0" w:color="auto"/>
        <w:left w:val="none" w:sz="0" w:space="0" w:color="auto"/>
        <w:bottom w:val="none" w:sz="0" w:space="0" w:color="auto"/>
        <w:right w:val="none" w:sz="0" w:space="0" w:color="auto"/>
      </w:divBdr>
    </w:div>
    <w:div w:id="900288890">
      <w:bodyDiv w:val="1"/>
      <w:marLeft w:val="0"/>
      <w:marRight w:val="0"/>
      <w:marTop w:val="0"/>
      <w:marBottom w:val="0"/>
      <w:divBdr>
        <w:top w:val="none" w:sz="0" w:space="0" w:color="auto"/>
        <w:left w:val="none" w:sz="0" w:space="0" w:color="auto"/>
        <w:bottom w:val="none" w:sz="0" w:space="0" w:color="auto"/>
        <w:right w:val="none" w:sz="0" w:space="0" w:color="auto"/>
      </w:divBdr>
    </w:div>
    <w:div w:id="906380015">
      <w:bodyDiv w:val="1"/>
      <w:marLeft w:val="0"/>
      <w:marRight w:val="0"/>
      <w:marTop w:val="0"/>
      <w:marBottom w:val="0"/>
      <w:divBdr>
        <w:top w:val="none" w:sz="0" w:space="0" w:color="auto"/>
        <w:left w:val="none" w:sz="0" w:space="0" w:color="auto"/>
        <w:bottom w:val="none" w:sz="0" w:space="0" w:color="auto"/>
        <w:right w:val="none" w:sz="0" w:space="0" w:color="auto"/>
      </w:divBdr>
    </w:div>
    <w:div w:id="908534676">
      <w:bodyDiv w:val="1"/>
      <w:marLeft w:val="0"/>
      <w:marRight w:val="0"/>
      <w:marTop w:val="0"/>
      <w:marBottom w:val="0"/>
      <w:divBdr>
        <w:top w:val="none" w:sz="0" w:space="0" w:color="auto"/>
        <w:left w:val="none" w:sz="0" w:space="0" w:color="auto"/>
        <w:bottom w:val="none" w:sz="0" w:space="0" w:color="auto"/>
        <w:right w:val="none" w:sz="0" w:space="0" w:color="auto"/>
      </w:divBdr>
    </w:div>
    <w:div w:id="934283120">
      <w:bodyDiv w:val="1"/>
      <w:marLeft w:val="0"/>
      <w:marRight w:val="0"/>
      <w:marTop w:val="0"/>
      <w:marBottom w:val="0"/>
      <w:divBdr>
        <w:top w:val="none" w:sz="0" w:space="0" w:color="auto"/>
        <w:left w:val="none" w:sz="0" w:space="0" w:color="auto"/>
        <w:bottom w:val="none" w:sz="0" w:space="0" w:color="auto"/>
        <w:right w:val="none" w:sz="0" w:space="0" w:color="auto"/>
      </w:divBdr>
    </w:div>
    <w:div w:id="944196859">
      <w:bodyDiv w:val="1"/>
      <w:marLeft w:val="0"/>
      <w:marRight w:val="0"/>
      <w:marTop w:val="0"/>
      <w:marBottom w:val="0"/>
      <w:divBdr>
        <w:top w:val="none" w:sz="0" w:space="0" w:color="auto"/>
        <w:left w:val="none" w:sz="0" w:space="0" w:color="auto"/>
        <w:bottom w:val="none" w:sz="0" w:space="0" w:color="auto"/>
        <w:right w:val="none" w:sz="0" w:space="0" w:color="auto"/>
      </w:divBdr>
    </w:div>
    <w:div w:id="948125585">
      <w:bodyDiv w:val="1"/>
      <w:marLeft w:val="0"/>
      <w:marRight w:val="0"/>
      <w:marTop w:val="0"/>
      <w:marBottom w:val="0"/>
      <w:divBdr>
        <w:top w:val="none" w:sz="0" w:space="0" w:color="auto"/>
        <w:left w:val="none" w:sz="0" w:space="0" w:color="auto"/>
        <w:bottom w:val="none" w:sz="0" w:space="0" w:color="auto"/>
        <w:right w:val="none" w:sz="0" w:space="0" w:color="auto"/>
      </w:divBdr>
    </w:div>
    <w:div w:id="949630480">
      <w:bodyDiv w:val="1"/>
      <w:marLeft w:val="0"/>
      <w:marRight w:val="0"/>
      <w:marTop w:val="0"/>
      <w:marBottom w:val="0"/>
      <w:divBdr>
        <w:top w:val="none" w:sz="0" w:space="0" w:color="auto"/>
        <w:left w:val="none" w:sz="0" w:space="0" w:color="auto"/>
        <w:bottom w:val="none" w:sz="0" w:space="0" w:color="auto"/>
        <w:right w:val="none" w:sz="0" w:space="0" w:color="auto"/>
      </w:divBdr>
    </w:div>
    <w:div w:id="952133525">
      <w:bodyDiv w:val="1"/>
      <w:marLeft w:val="0"/>
      <w:marRight w:val="0"/>
      <w:marTop w:val="0"/>
      <w:marBottom w:val="0"/>
      <w:divBdr>
        <w:top w:val="none" w:sz="0" w:space="0" w:color="auto"/>
        <w:left w:val="none" w:sz="0" w:space="0" w:color="auto"/>
        <w:bottom w:val="none" w:sz="0" w:space="0" w:color="auto"/>
        <w:right w:val="none" w:sz="0" w:space="0" w:color="auto"/>
      </w:divBdr>
    </w:div>
    <w:div w:id="952245835">
      <w:bodyDiv w:val="1"/>
      <w:marLeft w:val="0"/>
      <w:marRight w:val="0"/>
      <w:marTop w:val="0"/>
      <w:marBottom w:val="0"/>
      <w:divBdr>
        <w:top w:val="none" w:sz="0" w:space="0" w:color="auto"/>
        <w:left w:val="none" w:sz="0" w:space="0" w:color="auto"/>
        <w:bottom w:val="none" w:sz="0" w:space="0" w:color="auto"/>
        <w:right w:val="none" w:sz="0" w:space="0" w:color="auto"/>
      </w:divBdr>
    </w:div>
    <w:div w:id="964308303">
      <w:bodyDiv w:val="1"/>
      <w:marLeft w:val="0"/>
      <w:marRight w:val="0"/>
      <w:marTop w:val="0"/>
      <w:marBottom w:val="0"/>
      <w:divBdr>
        <w:top w:val="none" w:sz="0" w:space="0" w:color="auto"/>
        <w:left w:val="none" w:sz="0" w:space="0" w:color="auto"/>
        <w:bottom w:val="none" w:sz="0" w:space="0" w:color="auto"/>
        <w:right w:val="none" w:sz="0" w:space="0" w:color="auto"/>
      </w:divBdr>
      <w:divsChild>
        <w:div w:id="270479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0398865">
      <w:bodyDiv w:val="1"/>
      <w:marLeft w:val="0"/>
      <w:marRight w:val="0"/>
      <w:marTop w:val="0"/>
      <w:marBottom w:val="0"/>
      <w:divBdr>
        <w:top w:val="none" w:sz="0" w:space="0" w:color="auto"/>
        <w:left w:val="none" w:sz="0" w:space="0" w:color="auto"/>
        <w:bottom w:val="none" w:sz="0" w:space="0" w:color="auto"/>
        <w:right w:val="none" w:sz="0" w:space="0" w:color="auto"/>
      </w:divBdr>
    </w:div>
    <w:div w:id="991056640">
      <w:bodyDiv w:val="1"/>
      <w:marLeft w:val="0"/>
      <w:marRight w:val="0"/>
      <w:marTop w:val="0"/>
      <w:marBottom w:val="0"/>
      <w:divBdr>
        <w:top w:val="none" w:sz="0" w:space="0" w:color="auto"/>
        <w:left w:val="none" w:sz="0" w:space="0" w:color="auto"/>
        <w:bottom w:val="none" w:sz="0" w:space="0" w:color="auto"/>
        <w:right w:val="none" w:sz="0" w:space="0" w:color="auto"/>
      </w:divBdr>
    </w:div>
    <w:div w:id="993800248">
      <w:bodyDiv w:val="1"/>
      <w:marLeft w:val="0"/>
      <w:marRight w:val="0"/>
      <w:marTop w:val="0"/>
      <w:marBottom w:val="0"/>
      <w:divBdr>
        <w:top w:val="none" w:sz="0" w:space="0" w:color="auto"/>
        <w:left w:val="none" w:sz="0" w:space="0" w:color="auto"/>
        <w:bottom w:val="none" w:sz="0" w:space="0" w:color="auto"/>
        <w:right w:val="none" w:sz="0" w:space="0" w:color="auto"/>
      </w:divBdr>
      <w:divsChild>
        <w:div w:id="525480424">
          <w:marLeft w:val="0"/>
          <w:marRight w:val="0"/>
          <w:marTop w:val="0"/>
          <w:marBottom w:val="0"/>
          <w:divBdr>
            <w:top w:val="none" w:sz="0" w:space="0" w:color="auto"/>
            <w:left w:val="none" w:sz="0" w:space="0" w:color="auto"/>
            <w:bottom w:val="none" w:sz="0" w:space="0" w:color="auto"/>
            <w:right w:val="none" w:sz="0" w:space="0" w:color="auto"/>
          </w:divBdr>
          <w:divsChild>
            <w:div w:id="521936916">
              <w:marLeft w:val="0"/>
              <w:marRight w:val="0"/>
              <w:marTop w:val="0"/>
              <w:marBottom w:val="0"/>
              <w:divBdr>
                <w:top w:val="none" w:sz="0" w:space="0" w:color="auto"/>
                <w:left w:val="none" w:sz="0" w:space="0" w:color="auto"/>
                <w:bottom w:val="none" w:sz="0" w:space="0" w:color="auto"/>
                <w:right w:val="none" w:sz="0" w:space="0" w:color="auto"/>
              </w:divBdr>
              <w:divsChild>
                <w:div w:id="2026207268">
                  <w:marLeft w:val="0"/>
                  <w:marRight w:val="0"/>
                  <w:marTop w:val="0"/>
                  <w:marBottom w:val="0"/>
                  <w:divBdr>
                    <w:top w:val="none" w:sz="0" w:space="0" w:color="auto"/>
                    <w:left w:val="none" w:sz="0" w:space="0" w:color="auto"/>
                    <w:bottom w:val="none" w:sz="0" w:space="0" w:color="auto"/>
                    <w:right w:val="none" w:sz="0" w:space="0" w:color="auto"/>
                  </w:divBdr>
                  <w:divsChild>
                    <w:div w:id="918950533">
                      <w:marLeft w:val="0"/>
                      <w:marRight w:val="0"/>
                      <w:marTop w:val="0"/>
                      <w:marBottom w:val="0"/>
                      <w:divBdr>
                        <w:top w:val="none" w:sz="0" w:space="0" w:color="auto"/>
                        <w:left w:val="none" w:sz="0" w:space="0" w:color="auto"/>
                        <w:bottom w:val="none" w:sz="0" w:space="0" w:color="auto"/>
                        <w:right w:val="none" w:sz="0" w:space="0" w:color="auto"/>
                      </w:divBdr>
                      <w:divsChild>
                        <w:div w:id="1004866349">
                          <w:marLeft w:val="0"/>
                          <w:marRight w:val="0"/>
                          <w:marTop w:val="0"/>
                          <w:marBottom w:val="0"/>
                          <w:divBdr>
                            <w:top w:val="none" w:sz="0" w:space="0" w:color="auto"/>
                            <w:left w:val="none" w:sz="0" w:space="0" w:color="auto"/>
                            <w:bottom w:val="none" w:sz="0" w:space="0" w:color="auto"/>
                            <w:right w:val="none" w:sz="0" w:space="0" w:color="auto"/>
                          </w:divBdr>
                          <w:divsChild>
                            <w:div w:id="133156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768352">
      <w:bodyDiv w:val="1"/>
      <w:marLeft w:val="0"/>
      <w:marRight w:val="0"/>
      <w:marTop w:val="0"/>
      <w:marBottom w:val="0"/>
      <w:divBdr>
        <w:top w:val="none" w:sz="0" w:space="0" w:color="auto"/>
        <w:left w:val="none" w:sz="0" w:space="0" w:color="auto"/>
        <w:bottom w:val="none" w:sz="0" w:space="0" w:color="auto"/>
        <w:right w:val="none" w:sz="0" w:space="0" w:color="auto"/>
      </w:divBdr>
    </w:div>
    <w:div w:id="997927247">
      <w:bodyDiv w:val="1"/>
      <w:marLeft w:val="0"/>
      <w:marRight w:val="0"/>
      <w:marTop w:val="0"/>
      <w:marBottom w:val="0"/>
      <w:divBdr>
        <w:top w:val="none" w:sz="0" w:space="0" w:color="auto"/>
        <w:left w:val="none" w:sz="0" w:space="0" w:color="auto"/>
        <w:bottom w:val="none" w:sz="0" w:space="0" w:color="auto"/>
        <w:right w:val="none" w:sz="0" w:space="0" w:color="auto"/>
      </w:divBdr>
    </w:div>
    <w:div w:id="1005747849">
      <w:bodyDiv w:val="1"/>
      <w:marLeft w:val="0"/>
      <w:marRight w:val="0"/>
      <w:marTop w:val="0"/>
      <w:marBottom w:val="0"/>
      <w:divBdr>
        <w:top w:val="none" w:sz="0" w:space="0" w:color="auto"/>
        <w:left w:val="none" w:sz="0" w:space="0" w:color="auto"/>
        <w:bottom w:val="none" w:sz="0" w:space="0" w:color="auto"/>
        <w:right w:val="none" w:sz="0" w:space="0" w:color="auto"/>
      </w:divBdr>
    </w:div>
    <w:div w:id="1007707063">
      <w:bodyDiv w:val="1"/>
      <w:marLeft w:val="0"/>
      <w:marRight w:val="0"/>
      <w:marTop w:val="0"/>
      <w:marBottom w:val="0"/>
      <w:divBdr>
        <w:top w:val="none" w:sz="0" w:space="0" w:color="auto"/>
        <w:left w:val="none" w:sz="0" w:space="0" w:color="auto"/>
        <w:bottom w:val="none" w:sz="0" w:space="0" w:color="auto"/>
        <w:right w:val="none" w:sz="0" w:space="0" w:color="auto"/>
      </w:divBdr>
      <w:divsChild>
        <w:div w:id="453065130">
          <w:marLeft w:val="0"/>
          <w:marRight w:val="0"/>
          <w:marTop w:val="0"/>
          <w:marBottom w:val="0"/>
          <w:divBdr>
            <w:top w:val="none" w:sz="0" w:space="0" w:color="auto"/>
            <w:left w:val="none" w:sz="0" w:space="0" w:color="auto"/>
            <w:bottom w:val="none" w:sz="0" w:space="0" w:color="auto"/>
            <w:right w:val="none" w:sz="0" w:space="0" w:color="auto"/>
          </w:divBdr>
          <w:divsChild>
            <w:div w:id="401101570">
              <w:marLeft w:val="0"/>
              <w:marRight w:val="0"/>
              <w:marTop w:val="0"/>
              <w:marBottom w:val="0"/>
              <w:divBdr>
                <w:top w:val="none" w:sz="0" w:space="0" w:color="auto"/>
                <w:left w:val="none" w:sz="0" w:space="0" w:color="auto"/>
                <w:bottom w:val="none" w:sz="0" w:space="0" w:color="auto"/>
                <w:right w:val="none" w:sz="0" w:space="0" w:color="auto"/>
              </w:divBdr>
              <w:divsChild>
                <w:div w:id="2116435603">
                  <w:marLeft w:val="0"/>
                  <w:marRight w:val="0"/>
                  <w:marTop w:val="0"/>
                  <w:marBottom w:val="0"/>
                  <w:divBdr>
                    <w:top w:val="none" w:sz="0" w:space="0" w:color="auto"/>
                    <w:left w:val="none" w:sz="0" w:space="0" w:color="auto"/>
                    <w:bottom w:val="none" w:sz="0" w:space="0" w:color="auto"/>
                    <w:right w:val="none" w:sz="0" w:space="0" w:color="auto"/>
                  </w:divBdr>
                  <w:divsChild>
                    <w:div w:id="1925801444">
                      <w:marLeft w:val="0"/>
                      <w:marRight w:val="0"/>
                      <w:marTop w:val="0"/>
                      <w:marBottom w:val="0"/>
                      <w:divBdr>
                        <w:top w:val="none" w:sz="0" w:space="0" w:color="auto"/>
                        <w:left w:val="none" w:sz="0" w:space="0" w:color="auto"/>
                        <w:bottom w:val="none" w:sz="0" w:space="0" w:color="auto"/>
                        <w:right w:val="none" w:sz="0" w:space="0" w:color="auto"/>
                      </w:divBdr>
                      <w:divsChild>
                        <w:div w:id="818425579">
                          <w:marLeft w:val="0"/>
                          <w:marRight w:val="0"/>
                          <w:marTop w:val="0"/>
                          <w:marBottom w:val="0"/>
                          <w:divBdr>
                            <w:top w:val="none" w:sz="0" w:space="0" w:color="auto"/>
                            <w:left w:val="none" w:sz="0" w:space="0" w:color="auto"/>
                            <w:bottom w:val="none" w:sz="0" w:space="0" w:color="auto"/>
                            <w:right w:val="none" w:sz="0" w:space="0" w:color="auto"/>
                          </w:divBdr>
                          <w:divsChild>
                            <w:div w:id="2389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0837659">
      <w:bodyDiv w:val="1"/>
      <w:marLeft w:val="0"/>
      <w:marRight w:val="0"/>
      <w:marTop w:val="0"/>
      <w:marBottom w:val="0"/>
      <w:divBdr>
        <w:top w:val="none" w:sz="0" w:space="0" w:color="auto"/>
        <w:left w:val="none" w:sz="0" w:space="0" w:color="auto"/>
        <w:bottom w:val="none" w:sz="0" w:space="0" w:color="auto"/>
        <w:right w:val="none" w:sz="0" w:space="0" w:color="auto"/>
      </w:divBdr>
    </w:div>
    <w:div w:id="1011449023">
      <w:bodyDiv w:val="1"/>
      <w:marLeft w:val="0"/>
      <w:marRight w:val="0"/>
      <w:marTop w:val="0"/>
      <w:marBottom w:val="0"/>
      <w:divBdr>
        <w:top w:val="none" w:sz="0" w:space="0" w:color="auto"/>
        <w:left w:val="none" w:sz="0" w:space="0" w:color="auto"/>
        <w:bottom w:val="none" w:sz="0" w:space="0" w:color="auto"/>
        <w:right w:val="none" w:sz="0" w:space="0" w:color="auto"/>
      </w:divBdr>
    </w:div>
    <w:div w:id="1015569368">
      <w:bodyDiv w:val="1"/>
      <w:marLeft w:val="0"/>
      <w:marRight w:val="0"/>
      <w:marTop w:val="0"/>
      <w:marBottom w:val="0"/>
      <w:divBdr>
        <w:top w:val="none" w:sz="0" w:space="0" w:color="auto"/>
        <w:left w:val="none" w:sz="0" w:space="0" w:color="auto"/>
        <w:bottom w:val="none" w:sz="0" w:space="0" w:color="auto"/>
        <w:right w:val="none" w:sz="0" w:space="0" w:color="auto"/>
      </w:divBdr>
      <w:divsChild>
        <w:div w:id="1212689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469927">
      <w:bodyDiv w:val="1"/>
      <w:marLeft w:val="0"/>
      <w:marRight w:val="0"/>
      <w:marTop w:val="0"/>
      <w:marBottom w:val="0"/>
      <w:divBdr>
        <w:top w:val="none" w:sz="0" w:space="0" w:color="auto"/>
        <w:left w:val="none" w:sz="0" w:space="0" w:color="auto"/>
        <w:bottom w:val="none" w:sz="0" w:space="0" w:color="auto"/>
        <w:right w:val="none" w:sz="0" w:space="0" w:color="auto"/>
      </w:divBdr>
    </w:div>
    <w:div w:id="1017924077">
      <w:bodyDiv w:val="1"/>
      <w:marLeft w:val="0"/>
      <w:marRight w:val="0"/>
      <w:marTop w:val="0"/>
      <w:marBottom w:val="0"/>
      <w:divBdr>
        <w:top w:val="none" w:sz="0" w:space="0" w:color="auto"/>
        <w:left w:val="none" w:sz="0" w:space="0" w:color="auto"/>
        <w:bottom w:val="none" w:sz="0" w:space="0" w:color="auto"/>
        <w:right w:val="none" w:sz="0" w:space="0" w:color="auto"/>
      </w:divBdr>
    </w:div>
    <w:div w:id="1025180010">
      <w:bodyDiv w:val="1"/>
      <w:marLeft w:val="0"/>
      <w:marRight w:val="0"/>
      <w:marTop w:val="0"/>
      <w:marBottom w:val="0"/>
      <w:divBdr>
        <w:top w:val="none" w:sz="0" w:space="0" w:color="auto"/>
        <w:left w:val="none" w:sz="0" w:space="0" w:color="auto"/>
        <w:bottom w:val="none" w:sz="0" w:space="0" w:color="auto"/>
        <w:right w:val="none" w:sz="0" w:space="0" w:color="auto"/>
      </w:divBdr>
    </w:div>
    <w:div w:id="1026102777">
      <w:bodyDiv w:val="1"/>
      <w:marLeft w:val="0"/>
      <w:marRight w:val="0"/>
      <w:marTop w:val="0"/>
      <w:marBottom w:val="0"/>
      <w:divBdr>
        <w:top w:val="none" w:sz="0" w:space="0" w:color="auto"/>
        <w:left w:val="none" w:sz="0" w:space="0" w:color="auto"/>
        <w:bottom w:val="none" w:sz="0" w:space="0" w:color="auto"/>
        <w:right w:val="none" w:sz="0" w:space="0" w:color="auto"/>
      </w:divBdr>
    </w:div>
    <w:div w:id="1026833744">
      <w:bodyDiv w:val="1"/>
      <w:marLeft w:val="0"/>
      <w:marRight w:val="0"/>
      <w:marTop w:val="0"/>
      <w:marBottom w:val="0"/>
      <w:divBdr>
        <w:top w:val="none" w:sz="0" w:space="0" w:color="auto"/>
        <w:left w:val="none" w:sz="0" w:space="0" w:color="auto"/>
        <w:bottom w:val="none" w:sz="0" w:space="0" w:color="auto"/>
        <w:right w:val="none" w:sz="0" w:space="0" w:color="auto"/>
      </w:divBdr>
      <w:divsChild>
        <w:div w:id="1263493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7826991">
      <w:bodyDiv w:val="1"/>
      <w:marLeft w:val="0"/>
      <w:marRight w:val="0"/>
      <w:marTop w:val="0"/>
      <w:marBottom w:val="0"/>
      <w:divBdr>
        <w:top w:val="none" w:sz="0" w:space="0" w:color="auto"/>
        <w:left w:val="none" w:sz="0" w:space="0" w:color="auto"/>
        <w:bottom w:val="none" w:sz="0" w:space="0" w:color="auto"/>
        <w:right w:val="none" w:sz="0" w:space="0" w:color="auto"/>
      </w:divBdr>
    </w:div>
    <w:div w:id="1029451095">
      <w:bodyDiv w:val="1"/>
      <w:marLeft w:val="0"/>
      <w:marRight w:val="0"/>
      <w:marTop w:val="0"/>
      <w:marBottom w:val="0"/>
      <w:divBdr>
        <w:top w:val="none" w:sz="0" w:space="0" w:color="auto"/>
        <w:left w:val="none" w:sz="0" w:space="0" w:color="auto"/>
        <w:bottom w:val="none" w:sz="0" w:space="0" w:color="auto"/>
        <w:right w:val="none" w:sz="0" w:space="0" w:color="auto"/>
      </w:divBdr>
    </w:div>
    <w:div w:id="1038315916">
      <w:bodyDiv w:val="1"/>
      <w:marLeft w:val="0"/>
      <w:marRight w:val="0"/>
      <w:marTop w:val="0"/>
      <w:marBottom w:val="0"/>
      <w:divBdr>
        <w:top w:val="none" w:sz="0" w:space="0" w:color="auto"/>
        <w:left w:val="none" w:sz="0" w:space="0" w:color="auto"/>
        <w:bottom w:val="none" w:sz="0" w:space="0" w:color="auto"/>
        <w:right w:val="none" w:sz="0" w:space="0" w:color="auto"/>
      </w:divBdr>
      <w:divsChild>
        <w:div w:id="263925258">
          <w:marLeft w:val="0"/>
          <w:marRight w:val="0"/>
          <w:marTop w:val="0"/>
          <w:marBottom w:val="0"/>
          <w:divBdr>
            <w:top w:val="none" w:sz="0" w:space="0" w:color="auto"/>
            <w:left w:val="none" w:sz="0" w:space="0" w:color="auto"/>
            <w:bottom w:val="none" w:sz="0" w:space="0" w:color="auto"/>
            <w:right w:val="none" w:sz="0" w:space="0" w:color="auto"/>
          </w:divBdr>
          <w:divsChild>
            <w:div w:id="1645504713">
              <w:marLeft w:val="0"/>
              <w:marRight w:val="0"/>
              <w:marTop w:val="0"/>
              <w:marBottom w:val="0"/>
              <w:divBdr>
                <w:top w:val="none" w:sz="0" w:space="0" w:color="auto"/>
                <w:left w:val="none" w:sz="0" w:space="0" w:color="auto"/>
                <w:bottom w:val="none" w:sz="0" w:space="0" w:color="auto"/>
                <w:right w:val="none" w:sz="0" w:space="0" w:color="auto"/>
              </w:divBdr>
              <w:divsChild>
                <w:div w:id="170799513">
                  <w:marLeft w:val="0"/>
                  <w:marRight w:val="0"/>
                  <w:marTop w:val="0"/>
                  <w:marBottom w:val="0"/>
                  <w:divBdr>
                    <w:top w:val="none" w:sz="0" w:space="0" w:color="auto"/>
                    <w:left w:val="none" w:sz="0" w:space="0" w:color="auto"/>
                    <w:bottom w:val="none" w:sz="0" w:space="0" w:color="auto"/>
                    <w:right w:val="none" w:sz="0" w:space="0" w:color="auto"/>
                  </w:divBdr>
                  <w:divsChild>
                    <w:div w:id="449128531">
                      <w:marLeft w:val="0"/>
                      <w:marRight w:val="0"/>
                      <w:marTop w:val="0"/>
                      <w:marBottom w:val="0"/>
                      <w:divBdr>
                        <w:top w:val="none" w:sz="0" w:space="0" w:color="auto"/>
                        <w:left w:val="none" w:sz="0" w:space="0" w:color="auto"/>
                        <w:bottom w:val="none" w:sz="0" w:space="0" w:color="auto"/>
                        <w:right w:val="none" w:sz="0" w:space="0" w:color="auto"/>
                      </w:divBdr>
                      <w:divsChild>
                        <w:div w:id="1573807509">
                          <w:marLeft w:val="0"/>
                          <w:marRight w:val="0"/>
                          <w:marTop w:val="0"/>
                          <w:marBottom w:val="0"/>
                          <w:divBdr>
                            <w:top w:val="none" w:sz="0" w:space="0" w:color="auto"/>
                            <w:left w:val="none" w:sz="0" w:space="0" w:color="auto"/>
                            <w:bottom w:val="none" w:sz="0" w:space="0" w:color="auto"/>
                            <w:right w:val="none" w:sz="0" w:space="0" w:color="auto"/>
                          </w:divBdr>
                          <w:divsChild>
                            <w:div w:id="544803696">
                              <w:marLeft w:val="0"/>
                              <w:marRight w:val="0"/>
                              <w:marTop w:val="0"/>
                              <w:marBottom w:val="0"/>
                              <w:divBdr>
                                <w:top w:val="none" w:sz="0" w:space="0" w:color="auto"/>
                                <w:left w:val="none" w:sz="0" w:space="0" w:color="auto"/>
                                <w:bottom w:val="none" w:sz="0" w:space="0" w:color="auto"/>
                                <w:right w:val="none" w:sz="0" w:space="0" w:color="auto"/>
                              </w:divBdr>
                              <w:divsChild>
                                <w:div w:id="62443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8507125">
      <w:bodyDiv w:val="1"/>
      <w:marLeft w:val="0"/>
      <w:marRight w:val="0"/>
      <w:marTop w:val="0"/>
      <w:marBottom w:val="0"/>
      <w:divBdr>
        <w:top w:val="none" w:sz="0" w:space="0" w:color="auto"/>
        <w:left w:val="none" w:sz="0" w:space="0" w:color="auto"/>
        <w:bottom w:val="none" w:sz="0" w:space="0" w:color="auto"/>
        <w:right w:val="none" w:sz="0" w:space="0" w:color="auto"/>
      </w:divBdr>
    </w:div>
    <w:div w:id="1045447363">
      <w:bodyDiv w:val="1"/>
      <w:marLeft w:val="0"/>
      <w:marRight w:val="0"/>
      <w:marTop w:val="0"/>
      <w:marBottom w:val="0"/>
      <w:divBdr>
        <w:top w:val="none" w:sz="0" w:space="0" w:color="auto"/>
        <w:left w:val="none" w:sz="0" w:space="0" w:color="auto"/>
        <w:bottom w:val="none" w:sz="0" w:space="0" w:color="auto"/>
        <w:right w:val="none" w:sz="0" w:space="0" w:color="auto"/>
      </w:divBdr>
    </w:div>
    <w:div w:id="1051805878">
      <w:bodyDiv w:val="1"/>
      <w:marLeft w:val="0"/>
      <w:marRight w:val="0"/>
      <w:marTop w:val="0"/>
      <w:marBottom w:val="0"/>
      <w:divBdr>
        <w:top w:val="none" w:sz="0" w:space="0" w:color="auto"/>
        <w:left w:val="none" w:sz="0" w:space="0" w:color="auto"/>
        <w:bottom w:val="none" w:sz="0" w:space="0" w:color="auto"/>
        <w:right w:val="none" w:sz="0" w:space="0" w:color="auto"/>
      </w:divBdr>
    </w:div>
    <w:div w:id="1055853747">
      <w:bodyDiv w:val="1"/>
      <w:marLeft w:val="0"/>
      <w:marRight w:val="0"/>
      <w:marTop w:val="0"/>
      <w:marBottom w:val="0"/>
      <w:divBdr>
        <w:top w:val="none" w:sz="0" w:space="0" w:color="auto"/>
        <w:left w:val="none" w:sz="0" w:space="0" w:color="auto"/>
        <w:bottom w:val="none" w:sz="0" w:space="0" w:color="auto"/>
        <w:right w:val="none" w:sz="0" w:space="0" w:color="auto"/>
      </w:divBdr>
      <w:divsChild>
        <w:div w:id="466168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5856625">
      <w:bodyDiv w:val="1"/>
      <w:marLeft w:val="0"/>
      <w:marRight w:val="0"/>
      <w:marTop w:val="0"/>
      <w:marBottom w:val="0"/>
      <w:divBdr>
        <w:top w:val="none" w:sz="0" w:space="0" w:color="auto"/>
        <w:left w:val="none" w:sz="0" w:space="0" w:color="auto"/>
        <w:bottom w:val="none" w:sz="0" w:space="0" w:color="auto"/>
        <w:right w:val="none" w:sz="0" w:space="0" w:color="auto"/>
      </w:divBdr>
    </w:div>
    <w:div w:id="1060834141">
      <w:bodyDiv w:val="1"/>
      <w:marLeft w:val="0"/>
      <w:marRight w:val="0"/>
      <w:marTop w:val="0"/>
      <w:marBottom w:val="0"/>
      <w:divBdr>
        <w:top w:val="none" w:sz="0" w:space="0" w:color="auto"/>
        <w:left w:val="none" w:sz="0" w:space="0" w:color="auto"/>
        <w:bottom w:val="none" w:sz="0" w:space="0" w:color="auto"/>
        <w:right w:val="none" w:sz="0" w:space="0" w:color="auto"/>
      </w:divBdr>
      <w:divsChild>
        <w:div w:id="847215112">
          <w:marLeft w:val="0"/>
          <w:marRight w:val="0"/>
          <w:marTop w:val="0"/>
          <w:marBottom w:val="0"/>
          <w:divBdr>
            <w:top w:val="none" w:sz="0" w:space="0" w:color="auto"/>
            <w:left w:val="none" w:sz="0" w:space="0" w:color="auto"/>
            <w:bottom w:val="none" w:sz="0" w:space="0" w:color="auto"/>
            <w:right w:val="none" w:sz="0" w:space="0" w:color="auto"/>
          </w:divBdr>
          <w:divsChild>
            <w:div w:id="1827747328">
              <w:marLeft w:val="0"/>
              <w:marRight w:val="0"/>
              <w:marTop w:val="0"/>
              <w:marBottom w:val="0"/>
              <w:divBdr>
                <w:top w:val="none" w:sz="0" w:space="0" w:color="auto"/>
                <w:left w:val="none" w:sz="0" w:space="0" w:color="auto"/>
                <w:bottom w:val="none" w:sz="0" w:space="0" w:color="auto"/>
                <w:right w:val="none" w:sz="0" w:space="0" w:color="auto"/>
              </w:divBdr>
              <w:divsChild>
                <w:div w:id="357048432">
                  <w:marLeft w:val="0"/>
                  <w:marRight w:val="0"/>
                  <w:marTop w:val="0"/>
                  <w:marBottom w:val="0"/>
                  <w:divBdr>
                    <w:top w:val="none" w:sz="0" w:space="0" w:color="auto"/>
                    <w:left w:val="none" w:sz="0" w:space="0" w:color="auto"/>
                    <w:bottom w:val="none" w:sz="0" w:space="0" w:color="auto"/>
                    <w:right w:val="none" w:sz="0" w:space="0" w:color="auto"/>
                  </w:divBdr>
                  <w:divsChild>
                    <w:div w:id="1744832813">
                      <w:marLeft w:val="0"/>
                      <w:marRight w:val="0"/>
                      <w:marTop w:val="0"/>
                      <w:marBottom w:val="0"/>
                      <w:divBdr>
                        <w:top w:val="none" w:sz="0" w:space="0" w:color="auto"/>
                        <w:left w:val="none" w:sz="0" w:space="0" w:color="auto"/>
                        <w:bottom w:val="none" w:sz="0" w:space="0" w:color="auto"/>
                        <w:right w:val="none" w:sz="0" w:space="0" w:color="auto"/>
                      </w:divBdr>
                      <w:divsChild>
                        <w:div w:id="1378116908">
                          <w:marLeft w:val="0"/>
                          <w:marRight w:val="0"/>
                          <w:marTop w:val="0"/>
                          <w:marBottom w:val="0"/>
                          <w:divBdr>
                            <w:top w:val="none" w:sz="0" w:space="0" w:color="auto"/>
                            <w:left w:val="none" w:sz="0" w:space="0" w:color="auto"/>
                            <w:bottom w:val="none" w:sz="0" w:space="0" w:color="auto"/>
                            <w:right w:val="none" w:sz="0" w:space="0" w:color="auto"/>
                          </w:divBdr>
                          <w:divsChild>
                            <w:div w:id="1065183812">
                              <w:marLeft w:val="0"/>
                              <w:marRight w:val="0"/>
                              <w:marTop w:val="0"/>
                              <w:marBottom w:val="0"/>
                              <w:divBdr>
                                <w:top w:val="none" w:sz="0" w:space="0" w:color="auto"/>
                                <w:left w:val="none" w:sz="0" w:space="0" w:color="auto"/>
                                <w:bottom w:val="none" w:sz="0" w:space="0" w:color="auto"/>
                                <w:right w:val="none" w:sz="0" w:space="0" w:color="auto"/>
                              </w:divBdr>
                              <w:divsChild>
                                <w:div w:id="129086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534823">
      <w:bodyDiv w:val="1"/>
      <w:marLeft w:val="0"/>
      <w:marRight w:val="0"/>
      <w:marTop w:val="0"/>
      <w:marBottom w:val="0"/>
      <w:divBdr>
        <w:top w:val="none" w:sz="0" w:space="0" w:color="auto"/>
        <w:left w:val="none" w:sz="0" w:space="0" w:color="auto"/>
        <w:bottom w:val="none" w:sz="0" w:space="0" w:color="auto"/>
        <w:right w:val="none" w:sz="0" w:space="0" w:color="auto"/>
      </w:divBdr>
      <w:divsChild>
        <w:div w:id="103044500">
          <w:marLeft w:val="0"/>
          <w:marRight w:val="0"/>
          <w:marTop w:val="0"/>
          <w:marBottom w:val="0"/>
          <w:divBdr>
            <w:top w:val="none" w:sz="0" w:space="0" w:color="auto"/>
            <w:left w:val="none" w:sz="0" w:space="0" w:color="auto"/>
            <w:bottom w:val="none" w:sz="0" w:space="0" w:color="auto"/>
            <w:right w:val="none" w:sz="0" w:space="0" w:color="auto"/>
          </w:divBdr>
          <w:divsChild>
            <w:div w:id="1448771416">
              <w:marLeft w:val="0"/>
              <w:marRight w:val="0"/>
              <w:marTop w:val="0"/>
              <w:marBottom w:val="0"/>
              <w:divBdr>
                <w:top w:val="none" w:sz="0" w:space="0" w:color="auto"/>
                <w:left w:val="none" w:sz="0" w:space="0" w:color="auto"/>
                <w:bottom w:val="none" w:sz="0" w:space="0" w:color="auto"/>
                <w:right w:val="none" w:sz="0" w:space="0" w:color="auto"/>
              </w:divBdr>
              <w:divsChild>
                <w:div w:id="692806789">
                  <w:marLeft w:val="0"/>
                  <w:marRight w:val="0"/>
                  <w:marTop w:val="0"/>
                  <w:marBottom w:val="0"/>
                  <w:divBdr>
                    <w:top w:val="none" w:sz="0" w:space="0" w:color="auto"/>
                    <w:left w:val="none" w:sz="0" w:space="0" w:color="auto"/>
                    <w:bottom w:val="none" w:sz="0" w:space="0" w:color="auto"/>
                    <w:right w:val="none" w:sz="0" w:space="0" w:color="auto"/>
                  </w:divBdr>
                  <w:divsChild>
                    <w:div w:id="516431241">
                      <w:marLeft w:val="0"/>
                      <w:marRight w:val="0"/>
                      <w:marTop w:val="0"/>
                      <w:marBottom w:val="0"/>
                      <w:divBdr>
                        <w:top w:val="none" w:sz="0" w:space="0" w:color="auto"/>
                        <w:left w:val="none" w:sz="0" w:space="0" w:color="auto"/>
                        <w:bottom w:val="none" w:sz="0" w:space="0" w:color="auto"/>
                        <w:right w:val="none" w:sz="0" w:space="0" w:color="auto"/>
                      </w:divBdr>
                      <w:divsChild>
                        <w:div w:id="1833913200">
                          <w:marLeft w:val="0"/>
                          <w:marRight w:val="0"/>
                          <w:marTop w:val="0"/>
                          <w:marBottom w:val="0"/>
                          <w:divBdr>
                            <w:top w:val="none" w:sz="0" w:space="0" w:color="auto"/>
                            <w:left w:val="none" w:sz="0" w:space="0" w:color="auto"/>
                            <w:bottom w:val="none" w:sz="0" w:space="0" w:color="auto"/>
                            <w:right w:val="none" w:sz="0" w:space="0" w:color="auto"/>
                          </w:divBdr>
                          <w:divsChild>
                            <w:div w:id="2085638576">
                              <w:marLeft w:val="0"/>
                              <w:marRight w:val="0"/>
                              <w:marTop w:val="0"/>
                              <w:marBottom w:val="0"/>
                              <w:divBdr>
                                <w:top w:val="none" w:sz="0" w:space="0" w:color="auto"/>
                                <w:left w:val="none" w:sz="0" w:space="0" w:color="auto"/>
                                <w:bottom w:val="none" w:sz="0" w:space="0" w:color="auto"/>
                                <w:right w:val="none" w:sz="0" w:space="0" w:color="auto"/>
                              </w:divBdr>
                              <w:divsChild>
                                <w:div w:id="42430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2029478">
      <w:bodyDiv w:val="1"/>
      <w:marLeft w:val="0"/>
      <w:marRight w:val="0"/>
      <w:marTop w:val="0"/>
      <w:marBottom w:val="0"/>
      <w:divBdr>
        <w:top w:val="none" w:sz="0" w:space="0" w:color="auto"/>
        <w:left w:val="none" w:sz="0" w:space="0" w:color="auto"/>
        <w:bottom w:val="none" w:sz="0" w:space="0" w:color="auto"/>
        <w:right w:val="none" w:sz="0" w:space="0" w:color="auto"/>
      </w:divBdr>
    </w:div>
    <w:div w:id="1085999876">
      <w:bodyDiv w:val="1"/>
      <w:marLeft w:val="0"/>
      <w:marRight w:val="0"/>
      <w:marTop w:val="0"/>
      <w:marBottom w:val="0"/>
      <w:divBdr>
        <w:top w:val="none" w:sz="0" w:space="0" w:color="auto"/>
        <w:left w:val="none" w:sz="0" w:space="0" w:color="auto"/>
        <w:bottom w:val="none" w:sz="0" w:space="0" w:color="auto"/>
        <w:right w:val="none" w:sz="0" w:space="0" w:color="auto"/>
      </w:divBdr>
      <w:divsChild>
        <w:div w:id="861548075">
          <w:marLeft w:val="0"/>
          <w:marRight w:val="0"/>
          <w:marTop w:val="0"/>
          <w:marBottom w:val="0"/>
          <w:divBdr>
            <w:top w:val="none" w:sz="0" w:space="0" w:color="auto"/>
            <w:left w:val="none" w:sz="0" w:space="0" w:color="auto"/>
            <w:bottom w:val="none" w:sz="0" w:space="0" w:color="auto"/>
            <w:right w:val="none" w:sz="0" w:space="0" w:color="auto"/>
          </w:divBdr>
          <w:divsChild>
            <w:div w:id="1922908403">
              <w:marLeft w:val="0"/>
              <w:marRight w:val="0"/>
              <w:marTop w:val="0"/>
              <w:marBottom w:val="0"/>
              <w:divBdr>
                <w:top w:val="none" w:sz="0" w:space="0" w:color="auto"/>
                <w:left w:val="none" w:sz="0" w:space="0" w:color="auto"/>
                <w:bottom w:val="none" w:sz="0" w:space="0" w:color="auto"/>
                <w:right w:val="none" w:sz="0" w:space="0" w:color="auto"/>
              </w:divBdr>
              <w:divsChild>
                <w:div w:id="1471089638">
                  <w:marLeft w:val="0"/>
                  <w:marRight w:val="0"/>
                  <w:marTop w:val="0"/>
                  <w:marBottom w:val="0"/>
                  <w:divBdr>
                    <w:top w:val="none" w:sz="0" w:space="0" w:color="auto"/>
                    <w:left w:val="none" w:sz="0" w:space="0" w:color="auto"/>
                    <w:bottom w:val="none" w:sz="0" w:space="0" w:color="auto"/>
                    <w:right w:val="none" w:sz="0" w:space="0" w:color="auto"/>
                  </w:divBdr>
                  <w:divsChild>
                    <w:div w:id="1084231343">
                      <w:marLeft w:val="0"/>
                      <w:marRight w:val="0"/>
                      <w:marTop w:val="0"/>
                      <w:marBottom w:val="0"/>
                      <w:divBdr>
                        <w:top w:val="none" w:sz="0" w:space="0" w:color="auto"/>
                        <w:left w:val="none" w:sz="0" w:space="0" w:color="auto"/>
                        <w:bottom w:val="none" w:sz="0" w:space="0" w:color="auto"/>
                        <w:right w:val="none" w:sz="0" w:space="0" w:color="auto"/>
                      </w:divBdr>
                      <w:divsChild>
                        <w:div w:id="1621297431">
                          <w:marLeft w:val="0"/>
                          <w:marRight w:val="0"/>
                          <w:marTop w:val="0"/>
                          <w:marBottom w:val="0"/>
                          <w:divBdr>
                            <w:top w:val="none" w:sz="0" w:space="0" w:color="auto"/>
                            <w:left w:val="none" w:sz="0" w:space="0" w:color="auto"/>
                            <w:bottom w:val="none" w:sz="0" w:space="0" w:color="auto"/>
                            <w:right w:val="none" w:sz="0" w:space="0" w:color="auto"/>
                          </w:divBdr>
                          <w:divsChild>
                            <w:div w:id="756561493">
                              <w:marLeft w:val="0"/>
                              <w:marRight w:val="0"/>
                              <w:marTop w:val="0"/>
                              <w:marBottom w:val="0"/>
                              <w:divBdr>
                                <w:top w:val="none" w:sz="0" w:space="0" w:color="auto"/>
                                <w:left w:val="none" w:sz="0" w:space="0" w:color="auto"/>
                                <w:bottom w:val="none" w:sz="0" w:space="0" w:color="auto"/>
                                <w:right w:val="none" w:sz="0" w:space="0" w:color="auto"/>
                              </w:divBdr>
                              <w:divsChild>
                                <w:div w:id="10912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071481">
      <w:bodyDiv w:val="1"/>
      <w:marLeft w:val="0"/>
      <w:marRight w:val="0"/>
      <w:marTop w:val="0"/>
      <w:marBottom w:val="0"/>
      <w:divBdr>
        <w:top w:val="none" w:sz="0" w:space="0" w:color="auto"/>
        <w:left w:val="none" w:sz="0" w:space="0" w:color="auto"/>
        <w:bottom w:val="none" w:sz="0" w:space="0" w:color="auto"/>
        <w:right w:val="none" w:sz="0" w:space="0" w:color="auto"/>
      </w:divBdr>
    </w:div>
    <w:div w:id="1087385560">
      <w:bodyDiv w:val="1"/>
      <w:marLeft w:val="0"/>
      <w:marRight w:val="0"/>
      <w:marTop w:val="0"/>
      <w:marBottom w:val="0"/>
      <w:divBdr>
        <w:top w:val="none" w:sz="0" w:space="0" w:color="auto"/>
        <w:left w:val="none" w:sz="0" w:space="0" w:color="auto"/>
        <w:bottom w:val="none" w:sz="0" w:space="0" w:color="auto"/>
        <w:right w:val="none" w:sz="0" w:space="0" w:color="auto"/>
      </w:divBdr>
      <w:divsChild>
        <w:div w:id="1034043933">
          <w:marLeft w:val="0"/>
          <w:marRight w:val="0"/>
          <w:marTop w:val="0"/>
          <w:marBottom w:val="0"/>
          <w:divBdr>
            <w:top w:val="none" w:sz="0" w:space="0" w:color="auto"/>
            <w:left w:val="none" w:sz="0" w:space="0" w:color="auto"/>
            <w:bottom w:val="none" w:sz="0" w:space="0" w:color="auto"/>
            <w:right w:val="none" w:sz="0" w:space="0" w:color="auto"/>
          </w:divBdr>
        </w:div>
        <w:div w:id="1766222860">
          <w:marLeft w:val="0"/>
          <w:marRight w:val="0"/>
          <w:marTop w:val="0"/>
          <w:marBottom w:val="0"/>
          <w:divBdr>
            <w:top w:val="none" w:sz="0" w:space="0" w:color="auto"/>
            <w:left w:val="none" w:sz="0" w:space="0" w:color="auto"/>
            <w:bottom w:val="none" w:sz="0" w:space="0" w:color="auto"/>
            <w:right w:val="none" w:sz="0" w:space="0" w:color="auto"/>
          </w:divBdr>
        </w:div>
      </w:divsChild>
    </w:div>
    <w:div w:id="1117484883">
      <w:bodyDiv w:val="1"/>
      <w:marLeft w:val="0"/>
      <w:marRight w:val="0"/>
      <w:marTop w:val="0"/>
      <w:marBottom w:val="0"/>
      <w:divBdr>
        <w:top w:val="none" w:sz="0" w:space="0" w:color="auto"/>
        <w:left w:val="none" w:sz="0" w:space="0" w:color="auto"/>
        <w:bottom w:val="none" w:sz="0" w:space="0" w:color="auto"/>
        <w:right w:val="none" w:sz="0" w:space="0" w:color="auto"/>
      </w:divBdr>
    </w:div>
    <w:div w:id="1129011593">
      <w:bodyDiv w:val="1"/>
      <w:marLeft w:val="0"/>
      <w:marRight w:val="0"/>
      <w:marTop w:val="0"/>
      <w:marBottom w:val="0"/>
      <w:divBdr>
        <w:top w:val="none" w:sz="0" w:space="0" w:color="auto"/>
        <w:left w:val="none" w:sz="0" w:space="0" w:color="auto"/>
        <w:bottom w:val="none" w:sz="0" w:space="0" w:color="auto"/>
        <w:right w:val="none" w:sz="0" w:space="0" w:color="auto"/>
      </w:divBdr>
    </w:div>
    <w:div w:id="1138910608">
      <w:bodyDiv w:val="1"/>
      <w:marLeft w:val="0"/>
      <w:marRight w:val="0"/>
      <w:marTop w:val="0"/>
      <w:marBottom w:val="0"/>
      <w:divBdr>
        <w:top w:val="none" w:sz="0" w:space="0" w:color="auto"/>
        <w:left w:val="none" w:sz="0" w:space="0" w:color="auto"/>
        <w:bottom w:val="none" w:sz="0" w:space="0" w:color="auto"/>
        <w:right w:val="none" w:sz="0" w:space="0" w:color="auto"/>
      </w:divBdr>
    </w:div>
    <w:div w:id="1154681626">
      <w:bodyDiv w:val="1"/>
      <w:marLeft w:val="0"/>
      <w:marRight w:val="0"/>
      <w:marTop w:val="0"/>
      <w:marBottom w:val="0"/>
      <w:divBdr>
        <w:top w:val="none" w:sz="0" w:space="0" w:color="auto"/>
        <w:left w:val="none" w:sz="0" w:space="0" w:color="auto"/>
        <w:bottom w:val="none" w:sz="0" w:space="0" w:color="auto"/>
        <w:right w:val="none" w:sz="0" w:space="0" w:color="auto"/>
      </w:divBdr>
      <w:divsChild>
        <w:div w:id="824466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0412833">
      <w:bodyDiv w:val="1"/>
      <w:marLeft w:val="0"/>
      <w:marRight w:val="0"/>
      <w:marTop w:val="0"/>
      <w:marBottom w:val="0"/>
      <w:divBdr>
        <w:top w:val="none" w:sz="0" w:space="0" w:color="auto"/>
        <w:left w:val="none" w:sz="0" w:space="0" w:color="auto"/>
        <w:bottom w:val="none" w:sz="0" w:space="0" w:color="auto"/>
        <w:right w:val="none" w:sz="0" w:space="0" w:color="auto"/>
      </w:divBdr>
    </w:div>
    <w:div w:id="1182663640">
      <w:bodyDiv w:val="1"/>
      <w:marLeft w:val="0"/>
      <w:marRight w:val="0"/>
      <w:marTop w:val="0"/>
      <w:marBottom w:val="0"/>
      <w:divBdr>
        <w:top w:val="none" w:sz="0" w:space="0" w:color="auto"/>
        <w:left w:val="none" w:sz="0" w:space="0" w:color="auto"/>
        <w:bottom w:val="none" w:sz="0" w:space="0" w:color="auto"/>
        <w:right w:val="none" w:sz="0" w:space="0" w:color="auto"/>
      </w:divBdr>
    </w:div>
    <w:div w:id="1186750189">
      <w:bodyDiv w:val="1"/>
      <w:marLeft w:val="0"/>
      <w:marRight w:val="0"/>
      <w:marTop w:val="0"/>
      <w:marBottom w:val="0"/>
      <w:divBdr>
        <w:top w:val="none" w:sz="0" w:space="0" w:color="auto"/>
        <w:left w:val="none" w:sz="0" w:space="0" w:color="auto"/>
        <w:bottom w:val="none" w:sz="0" w:space="0" w:color="auto"/>
        <w:right w:val="none" w:sz="0" w:space="0" w:color="auto"/>
      </w:divBdr>
    </w:div>
    <w:div w:id="1194029101">
      <w:bodyDiv w:val="1"/>
      <w:marLeft w:val="0"/>
      <w:marRight w:val="0"/>
      <w:marTop w:val="0"/>
      <w:marBottom w:val="0"/>
      <w:divBdr>
        <w:top w:val="none" w:sz="0" w:space="0" w:color="auto"/>
        <w:left w:val="none" w:sz="0" w:space="0" w:color="auto"/>
        <w:bottom w:val="none" w:sz="0" w:space="0" w:color="auto"/>
        <w:right w:val="none" w:sz="0" w:space="0" w:color="auto"/>
      </w:divBdr>
      <w:divsChild>
        <w:div w:id="99634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4343947">
      <w:bodyDiv w:val="1"/>
      <w:marLeft w:val="0"/>
      <w:marRight w:val="0"/>
      <w:marTop w:val="0"/>
      <w:marBottom w:val="0"/>
      <w:divBdr>
        <w:top w:val="none" w:sz="0" w:space="0" w:color="auto"/>
        <w:left w:val="none" w:sz="0" w:space="0" w:color="auto"/>
        <w:bottom w:val="none" w:sz="0" w:space="0" w:color="auto"/>
        <w:right w:val="none" w:sz="0" w:space="0" w:color="auto"/>
      </w:divBdr>
      <w:divsChild>
        <w:div w:id="642463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7892022">
      <w:bodyDiv w:val="1"/>
      <w:marLeft w:val="0"/>
      <w:marRight w:val="0"/>
      <w:marTop w:val="0"/>
      <w:marBottom w:val="0"/>
      <w:divBdr>
        <w:top w:val="none" w:sz="0" w:space="0" w:color="auto"/>
        <w:left w:val="none" w:sz="0" w:space="0" w:color="auto"/>
        <w:bottom w:val="none" w:sz="0" w:space="0" w:color="auto"/>
        <w:right w:val="none" w:sz="0" w:space="0" w:color="auto"/>
      </w:divBdr>
    </w:div>
    <w:div w:id="1203706640">
      <w:bodyDiv w:val="1"/>
      <w:marLeft w:val="0"/>
      <w:marRight w:val="0"/>
      <w:marTop w:val="0"/>
      <w:marBottom w:val="0"/>
      <w:divBdr>
        <w:top w:val="none" w:sz="0" w:space="0" w:color="auto"/>
        <w:left w:val="none" w:sz="0" w:space="0" w:color="auto"/>
        <w:bottom w:val="none" w:sz="0" w:space="0" w:color="auto"/>
        <w:right w:val="none" w:sz="0" w:space="0" w:color="auto"/>
      </w:divBdr>
    </w:div>
    <w:div w:id="1238173102">
      <w:bodyDiv w:val="1"/>
      <w:marLeft w:val="0"/>
      <w:marRight w:val="0"/>
      <w:marTop w:val="0"/>
      <w:marBottom w:val="0"/>
      <w:divBdr>
        <w:top w:val="none" w:sz="0" w:space="0" w:color="auto"/>
        <w:left w:val="none" w:sz="0" w:space="0" w:color="auto"/>
        <w:bottom w:val="none" w:sz="0" w:space="0" w:color="auto"/>
        <w:right w:val="none" w:sz="0" w:space="0" w:color="auto"/>
      </w:divBdr>
      <w:divsChild>
        <w:div w:id="1291091004">
          <w:marLeft w:val="0"/>
          <w:marRight w:val="0"/>
          <w:marTop w:val="0"/>
          <w:marBottom w:val="0"/>
          <w:divBdr>
            <w:top w:val="none" w:sz="0" w:space="0" w:color="auto"/>
            <w:left w:val="none" w:sz="0" w:space="0" w:color="auto"/>
            <w:bottom w:val="none" w:sz="0" w:space="0" w:color="auto"/>
            <w:right w:val="none" w:sz="0" w:space="0" w:color="auto"/>
          </w:divBdr>
          <w:divsChild>
            <w:div w:id="552665887">
              <w:marLeft w:val="0"/>
              <w:marRight w:val="0"/>
              <w:marTop w:val="0"/>
              <w:marBottom w:val="0"/>
              <w:divBdr>
                <w:top w:val="none" w:sz="0" w:space="0" w:color="auto"/>
                <w:left w:val="none" w:sz="0" w:space="0" w:color="auto"/>
                <w:bottom w:val="none" w:sz="0" w:space="0" w:color="auto"/>
                <w:right w:val="none" w:sz="0" w:space="0" w:color="auto"/>
              </w:divBdr>
              <w:divsChild>
                <w:div w:id="449477098">
                  <w:marLeft w:val="0"/>
                  <w:marRight w:val="0"/>
                  <w:marTop w:val="0"/>
                  <w:marBottom w:val="0"/>
                  <w:divBdr>
                    <w:top w:val="none" w:sz="0" w:space="0" w:color="auto"/>
                    <w:left w:val="none" w:sz="0" w:space="0" w:color="auto"/>
                    <w:bottom w:val="none" w:sz="0" w:space="0" w:color="auto"/>
                    <w:right w:val="none" w:sz="0" w:space="0" w:color="auto"/>
                  </w:divBdr>
                  <w:divsChild>
                    <w:div w:id="2108689733">
                      <w:marLeft w:val="0"/>
                      <w:marRight w:val="0"/>
                      <w:marTop w:val="0"/>
                      <w:marBottom w:val="0"/>
                      <w:divBdr>
                        <w:top w:val="none" w:sz="0" w:space="0" w:color="auto"/>
                        <w:left w:val="none" w:sz="0" w:space="0" w:color="auto"/>
                        <w:bottom w:val="none" w:sz="0" w:space="0" w:color="auto"/>
                        <w:right w:val="none" w:sz="0" w:space="0" w:color="auto"/>
                      </w:divBdr>
                      <w:divsChild>
                        <w:div w:id="61008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840654">
      <w:bodyDiv w:val="1"/>
      <w:marLeft w:val="0"/>
      <w:marRight w:val="0"/>
      <w:marTop w:val="0"/>
      <w:marBottom w:val="0"/>
      <w:divBdr>
        <w:top w:val="none" w:sz="0" w:space="0" w:color="auto"/>
        <w:left w:val="none" w:sz="0" w:space="0" w:color="auto"/>
        <w:bottom w:val="none" w:sz="0" w:space="0" w:color="auto"/>
        <w:right w:val="none" w:sz="0" w:space="0" w:color="auto"/>
      </w:divBdr>
    </w:div>
    <w:div w:id="1250965063">
      <w:bodyDiv w:val="1"/>
      <w:marLeft w:val="0"/>
      <w:marRight w:val="0"/>
      <w:marTop w:val="0"/>
      <w:marBottom w:val="0"/>
      <w:divBdr>
        <w:top w:val="none" w:sz="0" w:space="0" w:color="auto"/>
        <w:left w:val="none" w:sz="0" w:space="0" w:color="auto"/>
        <w:bottom w:val="none" w:sz="0" w:space="0" w:color="auto"/>
        <w:right w:val="none" w:sz="0" w:space="0" w:color="auto"/>
      </w:divBdr>
    </w:div>
    <w:div w:id="1253860365">
      <w:bodyDiv w:val="1"/>
      <w:marLeft w:val="0"/>
      <w:marRight w:val="0"/>
      <w:marTop w:val="0"/>
      <w:marBottom w:val="0"/>
      <w:divBdr>
        <w:top w:val="none" w:sz="0" w:space="0" w:color="auto"/>
        <w:left w:val="none" w:sz="0" w:space="0" w:color="auto"/>
        <w:bottom w:val="none" w:sz="0" w:space="0" w:color="auto"/>
        <w:right w:val="none" w:sz="0" w:space="0" w:color="auto"/>
      </w:divBdr>
      <w:divsChild>
        <w:div w:id="730427529">
          <w:marLeft w:val="0"/>
          <w:marRight w:val="0"/>
          <w:marTop w:val="0"/>
          <w:marBottom w:val="0"/>
          <w:divBdr>
            <w:top w:val="none" w:sz="0" w:space="0" w:color="auto"/>
            <w:left w:val="none" w:sz="0" w:space="0" w:color="auto"/>
            <w:bottom w:val="none" w:sz="0" w:space="0" w:color="auto"/>
            <w:right w:val="none" w:sz="0" w:space="0" w:color="auto"/>
          </w:divBdr>
        </w:div>
        <w:div w:id="1384594223">
          <w:marLeft w:val="0"/>
          <w:marRight w:val="0"/>
          <w:marTop w:val="0"/>
          <w:marBottom w:val="0"/>
          <w:divBdr>
            <w:top w:val="none" w:sz="0" w:space="0" w:color="auto"/>
            <w:left w:val="none" w:sz="0" w:space="0" w:color="auto"/>
            <w:bottom w:val="none" w:sz="0" w:space="0" w:color="auto"/>
            <w:right w:val="none" w:sz="0" w:space="0" w:color="auto"/>
          </w:divBdr>
        </w:div>
        <w:div w:id="1497301825">
          <w:marLeft w:val="0"/>
          <w:marRight w:val="0"/>
          <w:marTop w:val="0"/>
          <w:marBottom w:val="0"/>
          <w:divBdr>
            <w:top w:val="none" w:sz="0" w:space="0" w:color="auto"/>
            <w:left w:val="none" w:sz="0" w:space="0" w:color="auto"/>
            <w:bottom w:val="none" w:sz="0" w:space="0" w:color="auto"/>
            <w:right w:val="none" w:sz="0" w:space="0" w:color="auto"/>
          </w:divBdr>
        </w:div>
      </w:divsChild>
    </w:div>
    <w:div w:id="1260522681">
      <w:bodyDiv w:val="1"/>
      <w:marLeft w:val="0"/>
      <w:marRight w:val="0"/>
      <w:marTop w:val="0"/>
      <w:marBottom w:val="0"/>
      <w:divBdr>
        <w:top w:val="none" w:sz="0" w:space="0" w:color="auto"/>
        <w:left w:val="none" w:sz="0" w:space="0" w:color="auto"/>
        <w:bottom w:val="none" w:sz="0" w:space="0" w:color="auto"/>
        <w:right w:val="none" w:sz="0" w:space="0" w:color="auto"/>
      </w:divBdr>
    </w:div>
    <w:div w:id="1272778870">
      <w:bodyDiv w:val="1"/>
      <w:marLeft w:val="0"/>
      <w:marRight w:val="0"/>
      <w:marTop w:val="0"/>
      <w:marBottom w:val="0"/>
      <w:divBdr>
        <w:top w:val="none" w:sz="0" w:space="0" w:color="auto"/>
        <w:left w:val="none" w:sz="0" w:space="0" w:color="auto"/>
        <w:bottom w:val="none" w:sz="0" w:space="0" w:color="auto"/>
        <w:right w:val="none" w:sz="0" w:space="0" w:color="auto"/>
      </w:divBdr>
    </w:div>
    <w:div w:id="1282147577">
      <w:bodyDiv w:val="1"/>
      <w:marLeft w:val="0"/>
      <w:marRight w:val="0"/>
      <w:marTop w:val="0"/>
      <w:marBottom w:val="0"/>
      <w:divBdr>
        <w:top w:val="none" w:sz="0" w:space="0" w:color="auto"/>
        <w:left w:val="none" w:sz="0" w:space="0" w:color="auto"/>
        <w:bottom w:val="none" w:sz="0" w:space="0" w:color="auto"/>
        <w:right w:val="none" w:sz="0" w:space="0" w:color="auto"/>
      </w:divBdr>
    </w:div>
    <w:div w:id="1289048614">
      <w:bodyDiv w:val="1"/>
      <w:marLeft w:val="0"/>
      <w:marRight w:val="0"/>
      <w:marTop w:val="0"/>
      <w:marBottom w:val="0"/>
      <w:divBdr>
        <w:top w:val="none" w:sz="0" w:space="0" w:color="auto"/>
        <w:left w:val="none" w:sz="0" w:space="0" w:color="auto"/>
        <w:bottom w:val="none" w:sz="0" w:space="0" w:color="auto"/>
        <w:right w:val="none" w:sz="0" w:space="0" w:color="auto"/>
      </w:divBdr>
    </w:div>
    <w:div w:id="1293753871">
      <w:bodyDiv w:val="1"/>
      <w:marLeft w:val="0"/>
      <w:marRight w:val="0"/>
      <w:marTop w:val="0"/>
      <w:marBottom w:val="0"/>
      <w:divBdr>
        <w:top w:val="none" w:sz="0" w:space="0" w:color="auto"/>
        <w:left w:val="none" w:sz="0" w:space="0" w:color="auto"/>
        <w:bottom w:val="none" w:sz="0" w:space="0" w:color="auto"/>
        <w:right w:val="none" w:sz="0" w:space="0" w:color="auto"/>
      </w:divBdr>
      <w:divsChild>
        <w:div w:id="343018688">
          <w:marLeft w:val="0"/>
          <w:marRight w:val="0"/>
          <w:marTop w:val="0"/>
          <w:marBottom w:val="0"/>
          <w:divBdr>
            <w:top w:val="none" w:sz="0" w:space="0" w:color="auto"/>
            <w:left w:val="none" w:sz="0" w:space="0" w:color="auto"/>
            <w:bottom w:val="none" w:sz="0" w:space="0" w:color="auto"/>
            <w:right w:val="none" w:sz="0" w:space="0" w:color="auto"/>
          </w:divBdr>
        </w:div>
        <w:div w:id="1349257849">
          <w:marLeft w:val="0"/>
          <w:marRight w:val="0"/>
          <w:marTop w:val="0"/>
          <w:marBottom w:val="0"/>
          <w:divBdr>
            <w:top w:val="none" w:sz="0" w:space="0" w:color="auto"/>
            <w:left w:val="none" w:sz="0" w:space="0" w:color="auto"/>
            <w:bottom w:val="none" w:sz="0" w:space="0" w:color="auto"/>
            <w:right w:val="none" w:sz="0" w:space="0" w:color="auto"/>
          </w:divBdr>
        </w:div>
        <w:div w:id="1903980349">
          <w:marLeft w:val="0"/>
          <w:marRight w:val="0"/>
          <w:marTop w:val="0"/>
          <w:marBottom w:val="0"/>
          <w:divBdr>
            <w:top w:val="none" w:sz="0" w:space="0" w:color="auto"/>
            <w:left w:val="none" w:sz="0" w:space="0" w:color="auto"/>
            <w:bottom w:val="none" w:sz="0" w:space="0" w:color="auto"/>
            <w:right w:val="none" w:sz="0" w:space="0" w:color="auto"/>
          </w:divBdr>
        </w:div>
      </w:divsChild>
    </w:div>
    <w:div w:id="1303189661">
      <w:bodyDiv w:val="1"/>
      <w:marLeft w:val="0"/>
      <w:marRight w:val="0"/>
      <w:marTop w:val="0"/>
      <w:marBottom w:val="0"/>
      <w:divBdr>
        <w:top w:val="none" w:sz="0" w:space="0" w:color="auto"/>
        <w:left w:val="none" w:sz="0" w:space="0" w:color="auto"/>
        <w:bottom w:val="none" w:sz="0" w:space="0" w:color="auto"/>
        <w:right w:val="none" w:sz="0" w:space="0" w:color="auto"/>
      </w:divBdr>
    </w:div>
    <w:div w:id="1340506042">
      <w:bodyDiv w:val="1"/>
      <w:marLeft w:val="0"/>
      <w:marRight w:val="0"/>
      <w:marTop w:val="0"/>
      <w:marBottom w:val="0"/>
      <w:divBdr>
        <w:top w:val="none" w:sz="0" w:space="0" w:color="auto"/>
        <w:left w:val="none" w:sz="0" w:space="0" w:color="auto"/>
        <w:bottom w:val="none" w:sz="0" w:space="0" w:color="auto"/>
        <w:right w:val="none" w:sz="0" w:space="0" w:color="auto"/>
      </w:divBdr>
    </w:div>
    <w:div w:id="1344818064">
      <w:bodyDiv w:val="1"/>
      <w:marLeft w:val="0"/>
      <w:marRight w:val="0"/>
      <w:marTop w:val="0"/>
      <w:marBottom w:val="0"/>
      <w:divBdr>
        <w:top w:val="none" w:sz="0" w:space="0" w:color="auto"/>
        <w:left w:val="none" w:sz="0" w:space="0" w:color="auto"/>
        <w:bottom w:val="none" w:sz="0" w:space="0" w:color="auto"/>
        <w:right w:val="none" w:sz="0" w:space="0" w:color="auto"/>
      </w:divBdr>
    </w:div>
    <w:div w:id="1358315524">
      <w:bodyDiv w:val="1"/>
      <w:marLeft w:val="0"/>
      <w:marRight w:val="0"/>
      <w:marTop w:val="0"/>
      <w:marBottom w:val="0"/>
      <w:divBdr>
        <w:top w:val="none" w:sz="0" w:space="0" w:color="auto"/>
        <w:left w:val="none" w:sz="0" w:space="0" w:color="auto"/>
        <w:bottom w:val="none" w:sz="0" w:space="0" w:color="auto"/>
        <w:right w:val="none" w:sz="0" w:space="0" w:color="auto"/>
      </w:divBdr>
    </w:div>
    <w:div w:id="1370227356">
      <w:bodyDiv w:val="1"/>
      <w:marLeft w:val="0"/>
      <w:marRight w:val="0"/>
      <w:marTop w:val="0"/>
      <w:marBottom w:val="0"/>
      <w:divBdr>
        <w:top w:val="none" w:sz="0" w:space="0" w:color="auto"/>
        <w:left w:val="none" w:sz="0" w:space="0" w:color="auto"/>
        <w:bottom w:val="none" w:sz="0" w:space="0" w:color="auto"/>
        <w:right w:val="none" w:sz="0" w:space="0" w:color="auto"/>
      </w:divBdr>
    </w:div>
    <w:div w:id="1370569779">
      <w:bodyDiv w:val="1"/>
      <w:marLeft w:val="0"/>
      <w:marRight w:val="0"/>
      <w:marTop w:val="0"/>
      <w:marBottom w:val="0"/>
      <w:divBdr>
        <w:top w:val="none" w:sz="0" w:space="0" w:color="auto"/>
        <w:left w:val="none" w:sz="0" w:space="0" w:color="auto"/>
        <w:bottom w:val="none" w:sz="0" w:space="0" w:color="auto"/>
        <w:right w:val="none" w:sz="0" w:space="0" w:color="auto"/>
      </w:divBdr>
    </w:div>
    <w:div w:id="1373070109">
      <w:bodyDiv w:val="1"/>
      <w:marLeft w:val="0"/>
      <w:marRight w:val="0"/>
      <w:marTop w:val="0"/>
      <w:marBottom w:val="0"/>
      <w:divBdr>
        <w:top w:val="none" w:sz="0" w:space="0" w:color="auto"/>
        <w:left w:val="none" w:sz="0" w:space="0" w:color="auto"/>
        <w:bottom w:val="none" w:sz="0" w:space="0" w:color="auto"/>
        <w:right w:val="none" w:sz="0" w:space="0" w:color="auto"/>
      </w:divBdr>
    </w:div>
    <w:div w:id="1379740898">
      <w:bodyDiv w:val="1"/>
      <w:marLeft w:val="0"/>
      <w:marRight w:val="0"/>
      <w:marTop w:val="0"/>
      <w:marBottom w:val="0"/>
      <w:divBdr>
        <w:top w:val="none" w:sz="0" w:space="0" w:color="auto"/>
        <w:left w:val="none" w:sz="0" w:space="0" w:color="auto"/>
        <w:bottom w:val="none" w:sz="0" w:space="0" w:color="auto"/>
        <w:right w:val="none" w:sz="0" w:space="0" w:color="auto"/>
      </w:divBdr>
    </w:div>
    <w:div w:id="1380325659">
      <w:bodyDiv w:val="1"/>
      <w:marLeft w:val="0"/>
      <w:marRight w:val="0"/>
      <w:marTop w:val="0"/>
      <w:marBottom w:val="0"/>
      <w:divBdr>
        <w:top w:val="none" w:sz="0" w:space="0" w:color="auto"/>
        <w:left w:val="none" w:sz="0" w:space="0" w:color="auto"/>
        <w:bottom w:val="none" w:sz="0" w:space="0" w:color="auto"/>
        <w:right w:val="none" w:sz="0" w:space="0" w:color="auto"/>
      </w:divBdr>
    </w:div>
    <w:div w:id="1384523568">
      <w:bodyDiv w:val="1"/>
      <w:marLeft w:val="0"/>
      <w:marRight w:val="0"/>
      <w:marTop w:val="0"/>
      <w:marBottom w:val="0"/>
      <w:divBdr>
        <w:top w:val="none" w:sz="0" w:space="0" w:color="auto"/>
        <w:left w:val="none" w:sz="0" w:space="0" w:color="auto"/>
        <w:bottom w:val="none" w:sz="0" w:space="0" w:color="auto"/>
        <w:right w:val="none" w:sz="0" w:space="0" w:color="auto"/>
      </w:divBdr>
    </w:div>
    <w:div w:id="1387337290">
      <w:bodyDiv w:val="1"/>
      <w:marLeft w:val="0"/>
      <w:marRight w:val="0"/>
      <w:marTop w:val="0"/>
      <w:marBottom w:val="0"/>
      <w:divBdr>
        <w:top w:val="none" w:sz="0" w:space="0" w:color="auto"/>
        <w:left w:val="none" w:sz="0" w:space="0" w:color="auto"/>
        <w:bottom w:val="none" w:sz="0" w:space="0" w:color="auto"/>
        <w:right w:val="none" w:sz="0" w:space="0" w:color="auto"/>
      </w:divBdr>
      <w:divsChild>
        <w:div w:id="1301764585">
          <w:marLeft w:val="0"/>
          <w:marRight w:val="0"/>
          <w:marTop w:val="225"/>
          <w:marBottom w:val="300"/>
          <w:divBdr>
            <w:top w:val="none" w:sz="0" w:space="0" w:color="auto"/>
            <w:left w:val="none" w:sz="0" w:space="0" w:color="auto"/>
            <w:bottom w:val="none" w:sz="0" w:space="0" w:color="auto"/>
            <w:right w:val="none" w:sz="0" w:space="0" w:color="auto"/>
          </w:divBdr>
          <w:divsChild>
            <w:div w:id="30101057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92383184">
      <w:bodyDiv w:val="1"/>
      <w:marLeft w:val="0"/>
      <w:marRight w:val="0"/>
      <w:marTop w:val="0"/>
      <w:marBottom w:val="0"/>
      <w:divBdr>
        <w:top w:val="none" w:sz="0" w:space="0" w:color="auto"/>
        <w:left w:val="none" w:sz="0" w:space="0" w:color="auto"/>
        <w:bottom w:val="none" w:sz="0" w:space="0" w:color="auto"/>
        <w:right w:val="none" w:sz="0" w:space="0" w:color="auto"/>
      </w:divBdr>
    </w:div>
    <w:div w:id="1393237927">
      <w:bodyDiv w:val="1"/>
      <w:marLeft w:val="0"/>
      <w:marRight w:val="0"/>
      <w:marTop w:val="0"/>
      <w:marBottom w:val="0"/>
      <w:divBdr>
        <w:top w:val="none" w:sz="0" w:space="0" w:color="auto"/>
        <w:left w:val="none" w:sz="0" w:space="0" w:color="auto"/>
        <w:bottom w:val="none" w:sz="0" w:space="0" w:color="auto"/>
        <w:right w:val="none" w:sz="0" w:space="0" w:color="auto"/>
      </w:divBdr>
    </w:div>
    <w:div w:id="1405495532">
      <w:bodyDiv w:val="1"/>
      <w:marLeft w:val="0"/>
      <w:marRight w:val="0"/>
      <w:marTop w:val="0"/>
      <w:marBottom w:val="0"/>
      <w:divBdr>
        <w:top w:val="none" w:sz="0" w:space="0" w:color="auto"/>
        <w:left w:val="none" w:sz="0" w:space="0" w:color="auto"/>
        <w:bottom w:val="none" w:sz="0" w:space="0" w:color="auto"/>
        <w:right w:val="none" w:sz="0" w:space="0" w:color="auto"/>
      </w:divBdr>
    </w:div>
    <w:div w:id="1405644264">
      <w:bodyDiv w:val="1"/>
      <w:marLeft w:val="0"/>
      <w:marRight w:val="0"/>
      <w:marTop w:val="0"/>
      <w:marBottom w:val="0"/>
      <w:divBdr>
        <w:top w:val="none" w:sz="0" w:space="0" w:color="auto"/>
        <w:left w:val="none" w:sz="0" w:space="0" w:color="auto"/>
        <w:bottom w:val="none" w:sz="0" w:space="0" w:color="auto"/>
        <w:right w:val="none" w:sz="0" w:space="0" w:color="auto"/>
      </w:divBdr>
    </w:div>
    <w:div w:id="1428425114">
      <w:bodyDiv w:val="1"/>
      <w:marLeft w:val="0"/>
      <w:marRight w:val="0"/>
      <w:marTop w:val="0"/>
      <w:marBottom w:val="0"/>
      <w:divBdr>
        <w:top w:val="none" w:sz="0" w:space="0" w:color="auto"/>
        <w:left w:val="none" w:sz="0" w:space="0" w:color="auto"/>
        <w:bottom w:val="none" w:sz="0" w:space="0" w:color="auto"/>
        <w:right w:val="none" w:sz="0" w:space="0" w:color="auto"/>
      </w:divBdr>
    </w:div>
    <w:div w:id="1433162112">
      <w:bodyDiv w:val="1"/>
      <w:marLeft w:val="0"/>
      <w:marRight w:val="0"/>
      <w:marTop w:val="0"/>
      <w:marBottom w:val="0"/>
      <w:divBdr>
        <w:top w:val="none" w:sz="0" w:space="0" w:color="auto"/>
        <w:left w:val="none" w:sz="0" w:space="0" w:color="auto"/>
        <w:bottom w:val="none" w:sz="0" w:space="0" w:color="auto"/>
        <w:right w:val="none" w:sz="0" w:space="0" w:color="auto"/>
      </w:divBdr>
    </w:div>
    <w:div w:id="1462842784">
      <w:bodyDiv w:val="1"/>
      <w:marLeft w:val="0"/>
      <w:marRight w:val="0"/>
      <w:marTop w:val="0"/>
      <w:marBottom w:val="0"/>
      <w:divBdr>
        <w:top w:val="none" w:sz="0" w:space="0" w:color="auto"/>
        <w:left w:val="none" w:sz="0" w:space="0" w:color="auto"/>
        <w:bottom w:val="none" w:sz="0" w:space="0" w:color="auto"/>
        <w:right w:val="none" w:sz="0" w:space="0" w:color="auto"/>
      </w:divBdr>
    </w:div>
    <w:div w:id="1470636643">
      <w:bodyDiv w:val="1"/>
      <w:marLeft w:val="0"/>
      <w:marRight w:val="0"/>
      <w:marTop w:val="0"/>
      <w:marBottom w:val="0"/>
      <w:divBdr>
        <w:top w:val="none" w:sz="0" w:space="0" w:color="auto"/>
        <w:left w:val="none" w:sz="0" w:space="0" w:color="auto"/>
        <w:bottom w:val="none" w:sz="0" w:space="0" w:color="auto"/>
        <w:right w:val="none" w:sz="0" w:space="0" w:color="auto"/>
      </w:divBdr>
    </w:div>
    <w:div w:id="1480001579">
      <w:bodyDiv w:val="1"/>
      <w:marLeft w:val="0"/>
      <w:marRight w:val="0"/>
      <w:marTop w:val="0"/>
      <w:marBottom w:val="0"/>
      <w:divBdr>
        <w:top w:val="none" w:sz="0" w:space="0" w:color="auto"/>
        <w:left w:val="none" w:sz="0" w:space="0" w:color="auto"/>
        <w:bottom w:val="none" w:sz="0" w:space="0" w:color="auto"/>
        <w:right w:val="none" w:sz="0" w:space="0" w:color="auto"/>
      </w:divBdr>
    </w:div>
    <w:div w:id="1481770361">
      <w:bodyDiv w:val="1"/>
      <w:marLeft w:val="0"/>
      <w:marRight w:val="0"/>
      <w:marTop w:val="0"/>
      <w:marBottom w:val="0"/>
      <w:divBdr>
        <w:top w:val="none" w:sz="0" w:space="0" w:color="auto"/>
        <w:left w:val="none" w:sz="0" w:space="0" w:color="auto"/>
        <w:bottom w:val="none" w:sz="0" w:space="0" w:color="auto"/>
        <w:right w:val="none" w:sz="0" w:space="0" w:color="auto"/>
      </w:divBdr>
    </w:div>
    <w:div w:id="1492912035">
      <w:bodyDiv w:val="1"/>
      <w:marLeft w:val="0"/>
      <w:marRight w:val="0"/>
      <w:marTop w:val="0"/>
      <w:marBottom w:val="0"/>
      <w:divBdr>
        <w:top w:val="none" w:sz="0" w:space="0" w:color="auto"/>
        <w:left w:val="none" w:sz="0" w:space="0" w:color="auto"/>
        <w:bottom w:val="none" w:sz="0" w:space="0" w:color="auto"/>
        <w:right w:val="none" w:sz="0" w:space="0" w:color="auto"/>
      </w:divBdr>
    </w:div>
    <w:div w:id="1505125347">
      <w:bodyDiv w:val="1"/>
      <w:marLeft w:val="0"/>
      <w:marRight w:val="0"/>
      <w:marTop w:val="0"/>
      <w:marBottom w:val="0"/>
      <w:divBdr>
        <w:top w:val="none" w:sz="0" w:space="0" w:color="auto"/>
        <w:left w:val="none" w:sz="0" w:space="0" w:color="auto"/>
        <w:bottom w:val="none" w:sz="0" w:space="0" w:color="auto"/>
        <w:right w:val="none" w:sz="0" w:space="0" w:color="auto"/>
      </w:divBdr>
    </w:div>
    <w:div w:id="1512916464">
      <w:bodyDiv w:val="1"/>
      <w:marLeft w:val="0"/>
      <w:marRight w:val="0"/>
      <w:marTop w:val="0"/>
      <w:marBottom w:val="0"/>
      <w:divBdr>
        <w:top w:val="none" w:sz="0" w:space="0" w:color="auto"/>
        <w:left w:val="none" w:sz="0" w:space="0" w:color="auto"/>
        <w:bottom w:val="none" w:sz="0" w:space="0" w:color="auto"/>
        <w:right w:val="none" w:sz="0" w:space="0" w:color="auto"/>
      </w:divBdr>
    </w:div>
    <w:div w:id="1516076518">
      <w:bodyDiv w:val="1"/>
      <w:marLeft w:val="0"/>
      <w:marRight w:val="0"/>
      <w:marTop w:val="0"/>
      <w:marBottom w:val="0"/>
      <w:divBdr>
        <w:top w:val="none" w:sz="0" w:space="0" w:color="auto"/>
        <w:left w:val="none" w:sz="0" w:space="0" w:color="auto"/>
        <w:bottom w:val="none" w:sz="0" w:space="0" w:color="auto"/>
        <w:right w:val="none" w:sz="0" w:space="0" w:color="auto"/>
      </w:divBdr>
    </w:div>
    <w:div w:id="1540359242">
      <w:bodyDiv w:val="1"/>
      <w:marLeft w:val="0"/>
      <w:marRight w:val="0"/>
      <w:marTop w:val="0"/>
      <w:marBottom w:val="0"/>
      <w:divBdr>
        <w:top w:val="none" w:sz="0" w:space="0" w:color="auto"/>
        <w:left w:val="none" w:sz="0" w:space="0" w:color="auto"/>
        <w:bottom w:val="none" w:sz="0" w:space="0" w:color="auto"/>
        <w:right w:val="none" w:sz="0" w:space="0" w:color="auto"/>
      </w:divBdr>
    </w:div>
    <w:div w:id="1548836998">
      <w:bodyDiv w:val="1"/>
      <w:marLeft w:val="0"/>
      <w:marRight w:val="0"/>
      <w:marTop w:val="0"/>
      <w:marBottom w:val="0"/>
      <w:divBdr>
        <w:top w:val="none" w:sz="0" w:space="0" w:color="auto"/>
        <w:left w:val="none" w:sz="0" w:space="0" w:color="auto"/>
        <w:bottom w:val="none" w:sz="0" w:space="0" w:color="auto"/>
        <w:right w:val="none" w:sz="0" w:space="0" w:color="auto"/>
      </w:divBdr>
    </w:div>
    <w:div w:id="1564682824">
      <w:bodyDiv w:val="1"/>
      <w:marLeft w:val="0"/>
      <w:marRight w:val="0"/>
      <w:marTop w:val="0"/>
      <w:marBottom w:val="0"/>
      <w:divBdr>
        <w:top w:val="none" w:sz="0" w:space="0" w:color="auto"/>
        <w:left w:val="none" w:sz="0" w:space="0" w:color="auto"/>
        <w:bottom w:val="none" w:sz="0" w:space="0" w:color="auto"/>
        <w:right w:val="none" w:sz="0" w:space="0" w:color="auto"/>
      </w:divBdr>
      <w:divsChild>
        <w:div w:id="2046444284">
          <w:marLeft w:val="0"/>
          <w:marRight w:val="0"/>
          <w:marTop w:val="0"/>
          <w:marBottom w:val="0"/>
          <w:divBdr>
            <w:top w:val="none" w:sz="0" w:space="0" w:color="auto"/>
            <w:left w:val="none" w:sz="0" w:space="0" w:color="auto"/>
            <w:bottom w:val="none" w:sz="0" w:space="0" w:color="auto"/>
            <w:right w:val="none" w:sz="0" w:space="0" w:color="auto"/>
          </w:divBdr>
          <w:divsChild>
            <w:div w:id="1200319819">
              <w:marLeft w:val="0"/>
              <w:marRight w:val="0"/>
              <w:marTop w:val="0"/>
              <w:marBottom w:val="0"/>
              <w:divBdr>
                <w:top w:val="none" w:sz="0" w:space="0" w:color="auto"/>
                <w:left w:val="none" w:sz="0" w:space="0" w:color="auto"/>
                <w:bottom w:val="none" w:sz="0" w:space="0" w:color="auto"/>
                <w:right w:val="none" w:sz="0" w:space="0" w:color="auto"/>
              </w:divBdr>
              <w:divsChild>
                <w:div w:id="496265442">
                  <w:marLeft w:val="0"/>
                  <w:marRight w:val="0"/>
                  <w:marTop w:val="0"/>
                  <w:marBottom w:val="0"/>
                  <w:divBdr>
                    <w:top w:val="none" w:sz="0" w:space="0" w:color="auto"/>
                    <w:left w:val="none" w:sz="0" w:space="0" w:color="auto"/>
                    <w:bottom w:val="none" w:sz="0" w:space="0" w:color="auto"/>
                    <w:right w:val="none" w:sz="0" w:space="0" w:color="auto"/>
                  </w:divBdr>
                  <w:divsChild>
                    <w:div w:id="1492285055">
                      <w:marLeft w:val="0"/>
                      <w:marRight w:val="0"/>
                      <w:marTop w:val="0"/>
                      <w:marBottom w:val="0"/>
                      <w:divBdr>
                        <w:top w:val="none" w:sz="0" w:space="0" w:color="auto"/>
                        <w:left w:val="none" w:sz="0" w:space="0" w:color="auto"/>
                        <w:bottom w:val="none" w:sz="0" w:space="0" w:color="auto"/>
                        <w:right w:val="none" w:sz="0" w:space="0" w:color="auto"/>
                      </w:divBdr>
                      <w:divsChild>
                        <w:div w:id="186787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210901">
      <w:bodyDiv w:val="1"/>
      <w:marLeft w:val="0"/>
      <w:marRight w:val="0"/>
      <w:marTop w:val="0"/>
      <w:marBottom w:val="0"/>
      <w:divBdr>
        <w:top w:val="none" w:sz="0" w:space="0" w:color="auto"/>
        <w:left w:val="none" w:sz="0" w:space="0" w:color="auto"/>
        <w:bottom w:val="none" w:sz="0" w:space="0" w:color="auto"/>
        <w:right w:val="none" w:sz="0" w:space="0" w:color="auto"/>
      </w:divBdr>
    </w:div>
    <w:div w:id="1600599539">
      <w:bodyDiv w:val="1"/>
      <w:marLeft w:val="0"/>
      <w:marRight w:val="0"/>
      <w:marTop w:val="0"/>
      <w:marBottom w:val="0"/>
      <w:divBdr>
        <w:top w:val="none" w:sz="0" w:space="0" w:color="auto"/>
        <w:left w:val="none" w:sz="0" w:space="0" w:color="auto"/>
        <w:bottom w:val="none" w:sz="0" w:space="0" w:color="auto"/>
        <w:right w:val="none" w:sz="0" w:space="0" w:color="auto"/>
      </w:divBdr>
      <w:divsChild>
        <w:div w:id="585847149">
          <w:marLeft w:val="0"/>
          <w:marRight w:val="0"/>
          <w:marTop w:val="0"/>
          <w:marBottom w:val="0"/>
          <w:divBdr>
            <w:top w:val="none" w:sz="0" w:space="0" w:color="auto"/>
            <w:left w:val="none" w:sz="0" w:space="0" w:color="auto"/>
            <w:bottom w:val="none" w:sz="0" w:space="0" w:color="auto"/>
            <w:right w:val="none" w:sz="0" w:space="0" w:color="auto"/>
          </w:divBdr>
          <w:divsChild>
            <w:div w:id="546642256">
              <w:marLeft w:val="0"/>
              <w:marRight w:val="0"/>
              <w:marTop w:val="0"/>
              <w:marBottom w:val="0"/>
              <w:divBdr>
                <w:top w:val="none" w:sz="0" w:space="0" w:color="auto"/>
                <w:left w:val="none" w:sz="0" w:space="0" w:color="auto"/>
                <w:bottom w:val="none" w:sz="0" w:space="0" w:color="auto"/>
                <w:right w:val="none" w:sz="0" w:space="0" w:color="auto"/>
              </w:divBdr>
              <w:divsChild>
                <w:div w:id="2036809410">
                  <w:marLeft w:val="0"/>
                  <w:marRight w:val="0"/>
                  <w:marTop w:val="0"/>
                  <w:marBottom w:val="0"/>
                  <w:divBdr>
                    <w:top w:val="none" w:sz="0" w:space="0" w:color="auto"/>
                    <w:left w:val="none" w:sz="0" w:space="0" w:color="auto"/>
                    <w:bottom w:val="none" w:sz="0" w:space="0" w:color="auto"/>
                    <w:right w:val="none" w:sz="0" w:space="0" w:color="auto"/>
                  </w:divBdr>
                  <w:divsChild>
                    <w:div w:id="2012832061">
                      <w:marLeft w:val="0"/>
                      <w:marRight w:val="0"/>
                      <w:marTop w:val="0"/>
                      <w:marBottom w:val="0"/>
                      <w:divBdr>
                        <w:top w:val="none" w:sz="0" w:space="0" w:color="auto"/>
                        <w:left w:val="none" w:sz="0" w:space="0" w:color="auto"/>
                        <w:bottom w:val="none" w:sz="0" w:space="0" w:color="auto"/>
                        <w:right w:val="none" w:sz="0" w:space="0" w:color="auto"/>
                      </w:divBdr>
                      <w:divsChild>
                        <w:div w:id="1005745013">
                          <w:marLeft w:val="0"/>
                          <w:marRight w:val="0"/>
                          <w:marTop w:val="0"/>
                          <w:marBottom w:val="0"/>
                          <w:divBdr>
                            <w:top w:val="none" w:sz="0" w:space="0" w:color="auto"/>
                            <w:left w:val="none" w:sz="0" w:space="0" w:color="auto"/>
                            <w:bottom w:val="none" w:sz="0" w:space="0" w:color="auto"/>
                            <w:right w:val="none" w:sz="0" w:space="0" w:color="auto"/>
                          </w:divBdr>
                          <w:divsChild>
                            <w:div w:id="182362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236545">
      <w:bodyDiv w:val="1"/>
      <w:marLeft w:val="0"/>
      <w:marRight w:val="0"/>
      <w:marTop w:val="0"/>
      <w:marBottom w:val="0"/>
      <w:divBdr>
        <w:top w:val="none" w:sz="0" w:space="0" w:color="auto"/>
        <w:left w:val="none" w:sz="0" w:space="0" w:color="auto"/>
        <w:bottom w:val="none" w:sz="0" w:space="0" w:color="auto"/>
        <w:right w:val="none" w:sz="0" w:space="0" w:color="auto"/>
      </w:divBdr>
      <w:divsChild>
        <w:div w:id="1959792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079573">
      <w:bodyDiv w:val="1"/>
      <w:marLeft w:val="0"/>
      <w:marRight w:val="0"/>
      <w:marTop w:val="0"/>
      <w:marBottom w:val="0"/>
      <w:divBdr>
        <w:top w:val="none" w:sz="0" w:space="0" w:color="auto"/>
        <w:left w:val="none" w:sz="0" w:space="0" w:color="auto"/>
        <w:bottom w:val="none" w:sz="0" w:space="0" w:color="auto"/>
        <w:right w:val="none" w:sz="0" w:space="0" w:color="auto"/>
      </w:divBdr>
      <w:divsChild>
        <w:div w:id="600381521">
          <w:marLeft w:val="0"/>
          <w:marRight w:val="0"/>
          <w:marTop w:val="0"/>
          <w:marBottom w:val="0"/>
          <w:divBdr>
            <w:top w:val="none" w:sz="0" w:space="0" w:color="auto"/>
            <w:left w:val="none" w:sz="0" w:space="0" w:color="auto"/>
            <w:bottom w:val="none" w:sz="0" w:space="0" w:color="auto"/>
            <w:right w:val="none" w:sz="0" w:space="0" w:color="auto"/>
          </w:divBdr>
          <w:divsChild>
            <w:div w:id="1252738904">
              <w:marLeft w:val="0"/>
              <w:marRight w:val="0"/>
              <w:marTop w:val="0"/>
              <w:marBottom w:val="0"/>
              <w:divBdr>
                <w:top w:val="none" w:sz="0" w:space="0" w:color="auto"/>
                <w:left w:val="none" w:sz="0" w:space="0" w:color="auto"/>
                <w:bottom w:val="none" w:sz="0" w:space="0" w:color="auto"/>
                <w:right w:val="none" w:sz="0" w:space="0" w:color="auto"/>
              </w:divBdr>
              <w:divsChild>
                <w:div w:id="1724057926">
                  <w:marLeft w:val="0"/>
                  <w:marRight w:val="0"/>
                  <w:marTop w:val="0"/>
                  <w:marBottom w:val="0"/>
                  <w:divBdr>
                    <w:top w:val="none" w:sz="0" w:space="0" w:color="auto"/>
                    <w:left w:val="none" w:sz="0" w:space="0" w:color="auto"/>
                    <w:bottom w:val="none" w:sz="0" w:space="0" w:color="auto"/>
                    <w:right w:val="none" w:sz="0" w:space="0" w:color="auto"/>
                  </w:divBdr>
                  <w:divsChild>
                    <w:div w:id="179424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897381">
      <w:bodyDiv w:val="1"/>
      <w:marLeft w:val="0"/>
      <w:marRight w:val="0"/>
      <w:marTop w:val="0"/>
      <w:marBottom w:val="0"/>
      <w:divBdr>
        <w:top w:val="none" w:sz="0" w:space="0" w:color="auto"/>
        <w:left w:val="none" w:sz="0" w:space="0" w:color="auto"/>
        <w:bottom w:val="none" w:sz="0" w:space="0" w:color="auto"/>
        <w:right w:val="none" w:sz="0" w:space="0" w:color="auto"/>
      </w:divBdr>
    </w:div>
    <w:div w:id="1633558069">
      <w:bodyDiv w:val="1"/>
      <w:marLeft w:val="0"/>
      <w:marRight w:val="0"/>
      <w:marTop w:val="0"/>
      <w:marBottom w:val="0"/>
      <w:divBdr>
        <w:top w:val="none" w:sz="0" w:space="0" w:color="auto"/>
        <w:left w:val="none" w:sz="0" w:space="0" w:color="auto"/>
        <w:bottom w:val="none" w:sz="0" w:space="0" w:color="auto"/>
        <w:right w:val="none" w:sz="0" w:space="0" w:color="auto"/>
      </w:divBdr>
      <w:divsChild>
        <w:div w:id="109783058">
          <w:marLeft w:val="0"/>
          <w:marRight w:val="0"/>
          <w:marTop w:val="0"/>
          <w:marBottom w:val="0"/>
          <w:divBdr>
            <w:top w:val="none" w:sz="0" w:space="0" w:color="auto"/>
            <w:left w:val="none" w:sz="0" w:space="0" w:color="auto"/>
            <w:bottom w:val="none" w:sz="0" w:space="0" w:color="auto"/>
            <w:right w:val="none" w:sz="0" w:space="0" w:color="auto"/>
          </w:divBdr>
          <w:divsChild>
            <w:div w:id="59210714">
              <w:marLeft w:val="0"/>
              <w:marRight w:val="0"/>
              <w:marTop w:val="0"/>
              <w:marBottom w:val="0"/>
              <w:divBdr>
                <w:top w:val="none" w:sz="0" w:space="0" w:color="auto"/>
                <w:left w:val="none" w:sz="0" w:space="0" w:color="auto"/>
                <w:bottom w:val="none" w:sz="0" w:space="0" w:color="auto"/>
                <w:right w:val="none" w:sz="0" w:space="0" w:color="auto"/>
              </w:divBdr>
              <w:divsChild>
                <w:div w:id="697051412">
                  <w:marLeft w:val="0"/>
                  <w:marRight w:val="0"/>
                  <w:marTop w:val="0"/>
                  <w:marBottom w:val="0"/>
                  <w:divBdr>
                    <w:top w:val="none" w:sz="0" w:space="0" w:color="auto"/>
                    <w:left w:val="none" w:sz="0" w:space="0" w:color="auto"/>
                    <w:bottom w:val="none" w:sz="0" w:space="0" w:color="auto"/>
                    <w:right w:val="none" w:sz="0" w:space="0" w:color="auto"/>
                  </w:divBdr>
                  <w:divsChild>
                    <w:div w:id="1158769139">
                      <w:marLeft w:val="0"/>
                      <w:marRight w:val="0"/>
                      <w:marTop w:val="0"/>
                      <w:marBottom w:val="0"/>
                      <w:divBdr>
                        <w:top w:val="none" w:sz="0" w:space="0" w:color="auto"/>
                        <w:left w:val="none" w:sz="0" w:space="0" w:color="auto"/>
                        <w:bottom w:val="none" w:sz="0" w:space="0" w:color="auto"/>
                        <w:right w:val="none" w:sz="0" w:space="0" w:color="auto"/>
                      </w:divBdr>
                      <w:divsChild>
                        <w:div w:id="721053548">
                          <w:marLeft w:val="0"/>
                          <w:marRight w:val="0"/>
                          <w:marTop w:val="0"/>
                          <w:marBottom w:val="0"/>
                          <w:divBdr>
                            <w:top w:val="none" w:sz="0" w:space="0" w:color="auto"/>
                            <w:left w:val="none" w:sz="0" w:space="0" w:color="auto"/>
                            <w:bottom w:val="none" w:sz="0" w:space="0" w:color="auto"/>
                            <w:right w:val="none" w:sz="0" w:space="0" w:color="auto"/>
                          </w:divBdr>
                          <w:divsChild>
                            <w:div w:id="1431469009">
                              <w:marLeft w:val="0"/>
                              <w:marRight w:val="0"/>
                              <w:marTop w:val="0"/>
                              <w:marBottom w:val="0"/>
                              <w:divBdr>
                                <w:top w:val="none" w:sz="0" w:space="0" w:color="auto"/>
                                <w:left w:val="none" w:sz="0" w:space="0" w:color="auto"/>
                                <w:bottom w:val="none" w:sz="0" w:space="0" w:color="auto"/>
                                <w:right w:val="none" w:sz="0" w:space="0" w:color="auto"/>
                              </w:divBdr>
                              <w:divsChild>
                                <w:div w:id="38988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8167848">
      <w:bodyDiv w:val="1"/>
      <w:marLeft w:val="0"/>
      <w:marRight w:val="0"/>
      <w:marTop w:val="0"/>
      <w:marBottom w:val="0"/>
      <w:divBdr>
        <w:top w:val="none" w:sz="0" w:space="0" w:color="auto"/>
        <w:left w:val="none" w:sz="0" w:space="0" w:color="auto"/>
        <w:bottom w:val="none" w:sz="0" w:space="0" w:color="auto"/>
        <w:right w:val="none" w:sz="0" w:space="0" w:color="auto"/>
      </w:divBdr>
      <w:divsChild>
        <w:div w:id="1714384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1158762">
      <w:bodyDiv w:val="1"/>
      <w:marLeft w:val="0"/>
      <w:marRight w:val="0"/>
      <w:marTop w:val="0"/>
      <w:marBottom w:val="0"/>
      <w:divBdr>
        <w:top w:val="none" w:sz="0" w:space="0" w:color="auto"/>
        <w:left w:val="none" w:sz="0" w:space="0" w:color="auto"/>
        <w:bottom w:val="none" w:sz="0" w:space="0" w:color="auto"/>
        <w:right w:val="none" w:sz="0" w:space="0" w:color="auto"/>
      </w:divBdr>
    </w:div>
    <w:div w:id="1670012589">
      <w:bodyDiv w:val="1"/>
      <w:marLeft w:val="0"/>
      <w:marRight w:val="0"/>
      <w:marTop w:val="0"/>
      <w:marBottom w:val="0"/>
      <w:divBdr>
        <w:top w:val="none" w:sz="0" w:space="0" w:color="auto"/>
        <w:left w:val="none" w:sz="0" w:space="0" w:color="auto"/>
        <w:bottom w:val="none" w:sz="0" w:space="0" w:color="auto"/>
        <w:right w:val="none" w:sz="0" w:space="0" w:color="auto"/>
      </w:divBdr>
    </w:div>
    <w:div w:id="1685203060">
      <w:bodyDiv w:val="1"/>
      <w:marLeft w:val="0"/>
      <w:marRight w:val="0"/>
      <w:marTop w:val="0"/>
      <w:marBottom w:val="0"/>
      <w:divBdr>
        <w:top w:val="none" w:sz="0" w:space="0" w:color="auto"/>
        <w:left w:val="none" w:sz="0" w:space="0" w:color="auto"/>
        <w:bottom w:val="none" w:sz="0" w:space="0" w:color="auto"/>
        <w:right w:val="none" w:sz="0" w:space="0" w:color="auto"/>
      </w:divBdr>
    </w:div>
    <w:div w:id="1695574195">
      <w:bodyDiv w:val="1"/>
      <w:marLeft w:val="0"/>
      <w:marRight w:val="0"/>
      <w:marTop w:val="0"/>
      <w:marBottom w:val="0"/>
      <w:divBdr>
        <w:top w:val="none" w:sz="0" w:space="0" w:color="auto"/>
        <w:left w:val="none" w:sz="0" w:space="0" w:color="auto"/>
        <w:bottom w:val="none" w:sz="0" w:space="0" w:color="auto"/>
        <w:right w:val="none" w:sz="0" w:space="0" w:color="auto"/>
      </w:divBdr>
      <w:divsChild>
        <w:div w:id="1337490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290692">
      <w:bodyDiv w:val="1"/>
      <w:marLeft w:val="0"/>
      <w:marRight w:val="0"/>
      <w:marTop w:val="0"/>
      <w:marBottom w:val="0"/>
      <w:divBdr>
        <w:top w:val="none" w:sz="0" w:space="0" w:color="auto"/>
        <w:left w:val="none" w:sz="0" w:space="0" w:color="auto"/>
        <w:bottom w:val="none" w:sz="0" w:space="0" w:color="auto"/>
        <w:right w:val="none" w:sz="0" w:space="0" w:color="auto"/>
      </w:divBdr>
    </w:div>
    <w:div w:id="1729760679">
      <w:bodyDiv w:val="1"/>
      <w:marLeft w:val="0"/>
      <w:marRight w:val="0"/>
      <w:marTop w:val="0"/>
      <w:marBottom w:val="0"/>
      <w:divBdr>
        <w:top w:val="none" w:sz="0" w:space="0" w:color="auto"/>
        <w:left w:val="none" w:sz="0" w:space="0" w:color="auto"/>
        <w:bottom w:val="none" w:sz="0" w:space="0" w:color="auto"/>
        <w:right w:val="none" w:sz="0" w:space="0" w:color="auto"/>
      </w:divBdr>
    </w:div>
    <w:div w:id="1759131813">
      <w:bodyDiv w:val="1"/>
      <w:marLeft w:val="0"/>
      <w:marRight w:val="0"/>
      <w:marTop w:val="0"/>
      <w:marBottom w:val="0"/>
      <w:divBdr>
        <w:top w:val="none" w:sz="0" w:space="0" w:color="auto"/>
        <w:left w:val="none" w:sz="0" w:space="0" w:color="auto"/>
        <w:bottom w:val="none" w:sz="0" w:space="0" w:color="auto"/>
        <w:right w:val="none" w:sz="0" w:space="0" w:color="auto"/>
      </w:divBdr>
    </w:div>
    <w:div w:id="1773276591">
      <w:bodyDiv w:val="1"/>
      <w:marLeft w:val="0"/>
      <w:marRight w:val="0"/>
      <w:marTop w:val="0"/>
      <w:marBottom w:val="0"/>
      <w:divBdr>
        <w:top w:val="none" w:sz="0" w:space="0" w:color="auto"/>
        <w:left w:val="none" w:sz="0" w:space="0" w:color="auto"/>
        <w:bottom w:val="none" w:sz="0" w:space="0" w:color="auto"/>
        <w:right w:val="none" w:sz="0" w:space="0" w:color="auto"/>
      </w:divBdr>
    </w:div>
    <w:div w:id="1783262283">
      <w:bodyDiv w:val="1"/>
      <w:marLeft w:val="0"/>
      <w:marRight w:val="0"/>
      <w:marTop w:val="0"/>
      <w:marBottom w:val="0"/>
      <w:divBdr>
        <w:top w:val="none" w:sz="0" w:space="0" w:color="auto"/>
        <w:left w:val="none" w:sz="0" w:space="0" w:color="auto"/>
        <w:bottom w:val="none" w:sz="0" w:space="0" w:color="auto"/>
        <w:right w:val="none" w:sz="0" w:space="0" w:color="auto"/>
      </w:divBdr>
    </w:div>
    <w:div w:id="1788041256">
      <w:bodyDiv w:val="1"/>
      <w:marLeft w:val="0"/>
      <w:marRight w:val="0"/>
      <w:marTop w:val="0"/>
      <w:marBottom w:val="0"/>
      <w:divBdr>
        <w:top w:val="none" w:sz="0" w:space="0" w:color="auto"/>
        <w:left w:val="none" w:sz="0" w:space="0" w:color="auto"/>
        <w:bottom w:val="none" w:sz="0" w:space="0" w:color="auto"/>
        <w:right w:val="none" w:sz="0" w:space="0" w:color="auto"/>
      </w:divBdr>
    </w:div>
    <w:div w:id="1806503236">
      <w:bodyDiv w:val="1"/>
      <w:marLeft w:val="0"/>
      <w:marRight w:val="0"/>
      <w:marTop w:val="0"/>
      <w:marBottom w:val="0"/>
      <w:divBdr>
        <w:top w:val="none" w:sz="0" w:space="0" w:color="auto"/>
        <w:left w:val="none" w:sz="0" w:space="0" w:color="auto"/>
        <w:bottom w:val="none" w:sz="0" w:space="0" w:color="auto"/>
        <w:right w:val="none" w:sz="0" w:space="0" w:color="auto"/>
      </w:divBdr>
    </w:div>
    <w:div w:id="1817919705">
      <w:bodyDiv w:val="1"/>
      <w:marLeft w:val="0"/>
      <w:marRight w:val="0"/>
      <w:marTop w:val="0"/>
      <w:marBottom w:val="0"/>
      <w:divBdr>
        <w:top w:val="none" w:sz="0" w:space="0" w:color="auto"/>
        <w:left w:val="none" w:sz="0" w:space="0" w:color="auto"/>
        <w:bottom w:val="none" w:sz="0" w:space="0" w:color="auto"/>
        <w:right w:val="none" w:sz="0" w:space="0" w:color="auto"/>
      </w:divBdr>
    </w:div>
    <w:div w:id="1821967287">
      <w:bodyDiv w:val="1"/>
      <w:marLeft w:val="0"/>
      <w:marRight w:val="0"/>
      <w:marTop w:val="0"/>
      <w:marBottom w:val="0"/>
      <w:divBdr>
        <w:top w:val="none" w:sz="0" w:space="0" w:color="auto"/>
        <w:left w:val="none" w:sz="0" w:space="0" w:color="auto"/>
        <w:bottom w:val="none" w:sz="0" w:space="0" w:color="auto"/>
        <w:right w:val="none" w:sz="0" w:space="0" w:color="auto"/>
      </w:divBdr>
    </w:div>
    <w:div w:id="1833449611">
      <w:bodyDiv w:val="1"/>
      <w:marLeft w:val="0"/>
      <w:marRight w:val="0"/>
      <w:marTop w:val="0"/>
      <w:marBottom w:val="0"/>
      <w:divBdr>
        <w:top w:val="none" w:sz="0" w:space="0" w:color="auto"/>
        <w:left w:val="none" w:sz="0" w:space="0" w:color="auto"/>
        <w:bottom w:val="none" w:sz="0" w:space="0" w:color="auto"/>
        <w:right w:val="none" w:sz="0" w:space="0" w:color="auto"/>
      </w:divBdr>
    </w:div>
    <w:div w:id="1837916229">
      <w:bodyDiv w:val="1"/>
      <w:marLeft w:val="0"/>
      <w:marRight w:val="0"/>
      <w:marTop w:val="0"/>
      <w:marBottom w:val="0"/>
      <w:divBdr>
        <w:top w:val="none" w:sz="0" w:space="0" w:color="auto"/>
        <w:left w:val="none" w:sz="0" w:space="0" w:color="auto"/>
        <w:bottom w:val="none" w:sz="0" w:space="0" w:color="auto"/>
        <w:right w:val="none" w:sz="0" w:space="0" w:color="auto"/>
      </w:divBdr>
      <w:divsChild>
        <w:div w:id="1093433612">
          <w:marLeft w:val="0"/>
          <w:marRight w:val="0"/>
          <w:marTop w:val="0"/>
          <w:marBottom w:val="0"/>
          <w:divBdr>
            <w:top w:val="none" w:sz="0" w:space="0" w:color="auto"/>
            <w:left w:val="none" w:sz="0" w:space="0" w:color="auto"/>
            <w:bottom w:val="none" w:sz="0" w:space="0" w:color="auto"/>
            <w:right w:val="none" w:sz="0" w:space="0" w:color="auto"/>
          </w:divBdr>
          <w:divsChild>
            <w:div w:id="217252102">
              <w:marLeft w:val="0"/>
              <w:marRight w:val="0"/>
              <w:marTop w:val="0"/>
              <w:marBottom w:val="0"/>
              <w:divBdr>
                <w:top w:val="none" w:sz="0" w:space="0" w:color="auto"/>
                <w:left w:val="none" w:sz="0" w:space="0" w:color="auto"/>
                <w:bottom w:val="none" w:sz="0" w:space="0" w:color="auto"/>
                <w:right w:val="none" w:sz="0" w:space="0" w:color="auto"/>
              </w:divBdr>
              <w:divsChild>
                <w:div w:id="1070730348">
                  <w:marLeft w:val="0"/>
                  <w:marRight w:val="0"/>
                  <w:marTop w:val="0"/>
                  <w:marBottom w:val="0"/>
                  <w:divBdr>
                    <w:top w:val="none" w:sz="0" w:space="0" w:color="auto"/>
                    <w:left w:val="none" w:sz="0" w:space="0" w:color="auto"/>
                    <w:bottom w:val="none" w:sz="0" w:space="0" w:color="auto"/>
                    <w:right w:val="none" w:sz="0" w:space="0" w:color="auto"/>
                  </w:divBdr>
                  <w:divsChild>
                    <w:div w:id="492066070">
                      <w:marLeft w:val="0"/>
                      <w:marRight w:val="0"/>
                      <w:marTop w:val="0"/>
                      <w:marBottom w:val="0"/>
                      <w:divBdr>
                        <w:top w:val="none" w:sz="0" w:space="0" w:color="auto"/>
                        <w:left w:val="none" w:sz="0" w:space="0" w:color="auto"/>
                        <w:bottom w:val="none" w:sz="0" w:space="0" w:color="auto"/>
                        <w:right w:val="none" w:sz="0" w:space="0" w:color="auto"/>
                      </w:divBdr>
                      <w:divsChild>
                        <w:div w:id="494994633">
                          <w:marLeft w:val="0"/>
                          <w:marRight w:val="0"/>
                          <w:marTop w:val="0"/>
                          <w:marBottom w:val="0"/>
                          <w:divBdr>
                            <w:top w:val="none" w:sz="0" w:space="0" w:color="auto"/>
                            <w:left w:val="none" w:sz="0" w:space="0" w:color="auto"/>
                            <w:bottom w:val="none" w:sz="0" w:space="0" w:color="auto"/>
                            <w:right w:val="none" w:sz="0" w:space="0" w:color="auto"/>
                          </w:divBdr>
                          <w:divsChild>
                            <w:div w:id="158055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3665844">
      <w:bodyDiv w:val="1"/>
      <w:marLeft w:val="0"/>
      <w:marRight w:val="0"/>
      <w:marTop w:val="0"/>
      <w:marBottom w:val="0"/>
      <w:divBdr>
        <w:top w:val="none" w:sz="0" w:space="0" w:color="auto"/>
        <w:left w:val="none" w:sz="0" w:space="0" w:color="auto"/>
        <w:bottom w:val="none" w:sz="0" w:space="0" w:color="auto"/>
        <w:right w:val="none" w:sz="0" w:space="0" w:color="auto"/>
      </w:divBdr>
    </w:div>
    <w:div w:id="1846020475">
      <w:bodyDiv w:val="1"/>
      <w:marLeft w:val="0"/>
      <w:marRight w:val="0"/>
      <w:marTop w:val="0"/>
      <w:marBottom w:val="0"/>
      <w:divBdr>
        <w:top w:val="none" w:sz="0" w:space="0" w:color="auto"/>
        <w:left w:val="none" w:sz="0" w:space="0" w:color="auto"/>
        <w:bottom w:val="none" w:sz="0" w:space="0" w:color="auto"/>
        <w:right w:val="none" w:sz="0" w:space="0" w:color="auto"/>
      </w:divBdr>
    </w:div>
    <w:div w:id="1852915155">
      <w:bodyDiv w:val="1"/>
      <w:marLeft w:val="0"/>
      <w:marRight w:val="0"/>
      <w:marTop w:val="0"/>
      <w:marBottom w:val="0"/>
      <w:divBdr>
        <w:top w:val="none" w:sz="0" w:space="0" w:color="auto"/>
        <w:left w:val="none" w:sz="0" w:space="0" w:color="auto"/>
        <w:bottom w:val="none" w:sz="0" w:space="0" w:color="auto"/>
        <w:right w:val="none" w:sz="0" w:space="0" w:color="auto"/>
      </w:divBdr>
    </w:div>
    <w:div w:id="1855267842">
      <w:bodyDiv w:val="1"/>
      <w:marLeft w:val="0"/>
      <w:marRight w:val="0"/>
      <w:marTop w:val="0"/>
      <w:marBottom w:val="0"/>
      <w:divBdr>
        <w:top w:val="none" w:sz="0" w:space="0" w:color="auto"/>
        <w:left w:val="none" w:sz="0" w:space="0" w:color="auto"/>
        <w:bottom w:val="none" w:sz="0" w:space="0" w:color="auto"/>
        <w:right w:val="none" w:sz="0" w:space="0" w:color="auto"/>
      </w:divBdr>
    </w:div>
    <w:div w:id="1870559382">
      <w:bodyDiv w:val="1"/>
      <w:marLeft w:val="0"/>
      <w:marRight w:val="0"/>
      <w:marTop w:val="0"/>
      <w:marBottom w:val="0"/>
      <w:divBdr>
        <w:top w:val="none" w:sz="0" w:space="0" w:color="auto"/>
        <w:left w:val="none" w:sz="0" w:space="0" w:color="auto"/>
        <w:bottom w:val="none" w:sz="0" w:space="0" w:color="auto"/>
        <w:right w:val="none" w:sz="0" w:space="0" w:color="auto"/>
      </w:divBdr>
    </w:div>
    <w:div w:id="1875845723">
      <w:bodyDiv w:val="1"/>
      <w:marLeft w:val="0"/>
      <w:marRight w:val="0"/>
      <w:marTop w:val="0"/>
      <w:marBottom w:val="0"/>
      <w:divBdr>
        <w:top w:val="none" w:sz="0" w:space="0" w:color="auto"/>
        <w:left w:val="none" w:sz="0" w:space="0" w:color="auto"/>
        <w:bottom w:val="none" w:sz="0" w:space="0" w:color="auto"/>
        <w:right w:val="none" w:sz="0" w:space="0" w:color="auto"/>
      </w:divBdr>
      <w:divsChild>
        <w:div w:id="1744133203">
          <w:marLeft w:val="0"/>
          <w:marRight w:val="0"/>
          <w:marTop w:val="0"/>
          <w:marBottom w:val="0"/>
          <w:divBdr>
            <w:top w:val="none" w:sz="0" w:space="0" w:color="auto"/>
            <w:left w:val="none" w:sz="0" w:space="0" w:color="auto"/>
            <w:bottom w:val="none" w:sz="0" w:space="0" w:color="auto"/>
            <w:right w:val="none" w:sz="0" w:space="0" w:color="auto"/>
          </w:divBdr>
          <w:divsChild>
            <w:div w:id="1417819809">
              <w:marLeft w:val="0"/>
              <w:marRight w:val="0"/>
              <w:marTop w:val="0"/>
              <w:marBottom w:val="0"/>
              <w:divBdr>
                <w:top w:val="none" w:sz="0" w:space="0" w:color="auto"/>
                <w:left w:val="none" w:sz="0" w:space="0" w:color="auto"/>
                <w:bottom w:val="none" w:sz="0" w:space="0" w:color="auto"/>
                <w:right w:val="none" w:sz="0" w:space="0" w:color="auto"/>
              </w:divBdr>
              <w:divsChild>
                <w:div w:id="1975330090">
                  <w:marLeft w:val="0"/>
                  <w:marRight w:val="0"/>
                  <w:marTop w:val="0"/>
                  <w:marBottom w:val="0"/>
                  <w:divBdr>
                    <w:top w:val="none" w:sz="0" w:space="0" w:color="auto"/>
                    <w:left w:val="none" w:sz="0" w:space="0" w:color="auto"/>
                    <w:bottom w:val="none" w:sz="0" w:space="0" w:color="auto"/>
                    <w:right w:val="none" w:sz="0" w:space="0" w:color="auto"/>
                  </w:divBdr>
                  <w:divsChild>
                    <w:div w:id="1879858542">
                      <w:marLeft w:val="0"/>
                      <w:marRight w:val="0"/>
                      <w:marTop w:val="0"/>
                      <w:marBottom w:val="0"/>
                      <w:divBdr>
                        <w:top w:val="none" w:sz="0" w:space="0" w:color="auto"/>
                        <w:left w:val="none" w:sz="0" w:space="0" w:color="auto"/>
                        <w:bottom w:val="none" w:sz="0" w:space="0" w:color="auto"/>
                        <w:right w:val="none" w:sz="0" w:space="0" w:color="auto"/>
                      </w:divBdr>
                      <w:divsChild>
                        <w:div w:id="17318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859693">
      <w:bodyDiv w:val="1"/>
      <w:marLeft w:val="0"/>
      <w:marRight w:val="0"/>
      <w:marTop w:val="0"/>
      <w:marBottom w:val="0"/>
      <w:divBdr>
        <w:top w:val="none" w:sz="0" w:space="0" w:color="auto"/>
        <w:left w:val="none" w:sz="0" w:space="0" w:color="auto"/>
        <w:bottom w:val="none" w:sz="0" w:space="0" w:color="auto"/>
        <w:right w:val="none" w:sz="0" w:space="0" w:color="auto"/>
      </w:divBdr>
      <w:divsChild>
        <w:div w:id="1572620229">
          <w:marLeft w:val="0"/>
          <w:marRight w:val="0"/>
          <w:marTop w:val="0"/>
          <w:marBottom w:val="0"/>
          <w:divBdr>
            <w:top w:val="none" w:sz="0" w:space="0" w:color="auto"/>
            <w:left w:val="none" w:sz="0" w:space="0" w:color="auto"/>
            <w:bottom w:val="none" w:sz="0" w:space="0" w:color="auto"/>
            <w:right w:val="none" w:sz="0" w:space="0" w:color="auto"/>
          </w:divBdr>
          <w:divsChild>
            <w:div w:id="1167208017">
              <w:marLeft w:val="0"/>
              <w:marRight w:val="0"/>
              <w:marTop w:val="0"/>
              <w:marBottom w:val="0"/>
              <w:divBdr>
                <w:top w:val="none" w:sz="0" w:space="0" w:color="auto"/>
                <w:left w:val="none" w:sz="0" w:space="0" w:color="auto"/>
                <w:bottom w:val="none" w:sz="0" w:space="0" w:color="auto"/>
                <w:right w:val="none" w:sz="0" w:space="0" w:color="auto"/>
              </w:divBdr>
              <w:divsChild>
                <w:div w:id="1973900282">
                  <w:marLeft w:val="0"/>
                  <w:marRight w:val="0"/>
                  <w:marTop w:val="0"/>
                  <w:marBottom w:val="0"/>
                  <w:divBdr>
                    <w:top w:val="none" w:sz="0" w:space="0" w:color="auto"/>
                    <w:left w:val="none" w:sz="0" w:space="0" w:color="auto"/>
                    <w:bottom w:val="none" w:sz="0" w:space="0" w:color="auto"/>
                    <w:right w:val="none" w:sz="0" w:space="0" w:color="auto"/>
                  </w:divBdr>
                  <w:divsChild>
                    <w:div w:id="951982678">
                      <w:marLeft w:val="0"/>
                      <w:marRight w:val="0"/>
                      <w:marTop w:val="0"/>
                      <w:marBottom w:val="0"/>
                      <w:divBdr>
                        <w:top w:val="none" w:sz="0" w:space="0" w:color="auto"/>
                        <w:left w:val="none" w:sz="0" w:space="0" w:color="auto"/>
                        <w:bottom w:val="none" w:sz="0" w:space="0" w:color="auto"/>
                        <w:right w:val="none" w:sz="0" w:space="0" w:color="auto"/>
                      </w:divBdr>
                      <w:divsChild>
                        <w:div w:id="98844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475336">
      <w:bodyDiv w:val="1"/>
      <w:marLeft w:val="0"/>
      <w:marRight w:val="0"/>
      <w:marTop w:val="0"/>
      <w:marBottom w:val="0"/>
      <w:divBdr>
        <w:top w:val="none" w:sz="0" w:space="0" w:color="auto"/>
        <w:left w:val="none" w:sz="0" w:space="0" w:color="auto"/>
        <w:bottom w:val="none" w:sz="0" w:space="0" w:color="auto"/>
        <w:right w:val="none" w:sz="0" w:space="0" w:color="auto"/>
      </w:divBdr>
    </w:div>
    <w:div w:id="1890340940">
      <w:bodyDiv w:val="1"/>
      <w:marLeft w:val="0"/>
      <w:marRight w:val="0"/>
      <w:marTop w:val="0"/>
      <w:marBottom w:val="0"/>
      <w:divBdr>
        <w:top w:val="none" w:sz="0" w:space="0" w:color="auto"/>
        <w:left w:val="none" w:sz="0" w:space="0" w:color="auto"/>
        <w:bottom w:val="none" w:sz="0" w:space="0" w:color="auto"/>
        <w:right w:val="none" w:sz="0" w:space="0" w:color="auto"/>
      </w:divBdr>
    </w:div>
    <w:div w:id="1907259435">
      <w:bodyDiv w:val="1"/>
      <w:marLeft w:val="0"/>
      <w:marRight w:val="0"/>
      <w:marTop w:val="0"/>
      <w:marBottom w:val="0"/>
      <w:divBdr>
        <w:top w:val="none" w:sz="0" w:space="0" w:color="auto"/>
        <w:left w:val="none" w:sz="0" w:space="0" w:color="auto"/>
        <w:bottom w:val="none" w:sz="0" w:space="0" w:color="auto"/>
        <w:right w:val="none" w:sz="0" w:space="0" w:color="auto"/>
      </w:divBdr>
    </w:div>
    <w:div w:id="1907572488">
      <w:bodyDiv w:val="1"/>
      <w:marLeft w:val="0"/>
      <w:marRight w:val="0"/>
      <w:marTop w:val="0"/>
      <w:marBottom w:val="0"/>
      <w:divBdr>
        <w:top w:val="none" w:sz="0" w:space="0" w:color="auto"/>
        <w:left w:val="none" w:sz="0" w:space="0" w:color="auto"/>
        <w:bottom w:val="none" w:sz="0" w:space="0" w:color="auto"/>
        <w:right w:val="none" w:sz="0" w:space="0" w:color="auto"/>
      </w:divBdr>
    </w:div>
    <w:div w:id="1923442572">
      <w:bodyDiv w:val="1"/>
      <w:marLeft w:val="0"/>
      <w:marRight w:val="0"/>
      <w:marTop w:val="0"/>
      <w:marBottom w:val="0"/>
      <w:divBdr>
        <w:top w:val="none" w:sz="0" w:space="0" w:color="auto"/>
        <w:left w:val="none" w:sz="0" w:space="0" w:color="auto"/>
        <w:bottom w:val="none" w:sz="0" w:space="0" w:color="auto"/>
        <w:right w:val="none" w:sz="0" w:space="0" w:color="auto"/>
      </w:divBdr>
    </w:div>
    <w:div w:id="1923903685">
      <w:bodyDiv w:val="1"/>
      <w:marLeft w:val="0"/>
      <w:marRight w:val="0"/>
      <w:marTop w:val="0"/>
      <w:marBottom w:val="0"/>
      <w:divBdr>
        <w:top w:val="none" w:sz="0" w:space="0" w:color="auto"/>
        <w:left w:val="none" w:sz="0" w:space="0" w:color="auto"/>
        <w:bottom w:val="none" w:sz="0" w:space="0" w:color="auto"/>
        <w:right w:val="none" w:sz="0" w:space="0" w:color="auto"/>
      </w:divBdr>
      <w:divsChild>
        <w:div w:id="15043188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0386951">
      <w:bodyDiv w:val="1"/>
      <w:marLeft w:val="0"/>
      <w:marRight w:val="0"/>
      <w:marTop w:val="0"/>
      <w:marBottom w:val="0"/>
      <w:divBdr>
        <w:top w:val="none" w:sz="0" w:space="0" w:color="auto"/>
        <w:left w:val="none" w:sz="0" w:space="0" w:color="auto"/>
        <w:bottom w:val="none" w:sz="0" w:space="0" w:color="auto"/>
        <w:right w:val="none" w:sz="0" w:space="0" w:color="auto"/>
      </w:divBdr>
    </w:div>
    <w:div w:id="1932739912">
      <w:bodyDiv w:val="1"/>
      <w:marLeft w:val="0"/>
      <w:marRight w:val="0"/>
      <w:marTop w:val="0"/>
      <w:marBottom w:val="0"/>
      <w:divBdr>
        <w:top w:val="none" w:sz="0" w:space="0" w:color="auto"/>
        <w:left w:val="none" w:sz="0" w:space="0" w:color="auto"/>
        <w:bottom w:val="none" w:sz="0" w:space="0" w:color="auto"/>
        <w:right w:val="none" w:sz="0" w:space="0" w:color="auto"/>
      </w:divBdr>
    </w:div>
    <w:div w:id="1936326658">
      <w:bodyDiv w:val="1"/>
      <w:marLeft w:val="0"/>
      <w:marRight w:val="0"/>
      <w:marTop w:val="0"/>
      <w:marBottom w:val="0"/>
      <w:divBdr>
        <w:top w:val="none" w:sz="0" w:space="0" w:color="auto"/>
        <w:left w:val="none" w:sz="0" w:space="0" w:color="auto"/>
        <w:bottom w:val="none" w:sz="0" w:space="0" w:color="auto"/>
        <w:right w:val="none" w:sz="0" w:space="0" w:color="auto"/>
      </w:divBdr>
      <w:divsChild>
        <w:div w:id="157234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2182609">
      <w:bodyDiv w:val="1"/>
      <w:marLeft w:val="0"/>
      <w:marRight w:val="0"/>
      <w:marTop w:val="0"/>
      <w:marBottom w:val="0"/>
      <w:divBdr>
        <w:top w:val="none" w:sz="0" w:space="0" w:color="auto"/>
        <w:left w:val="none" w:sz="0" w:space="0" w:color="auto"/>
        <w:bottom w:val="none" w:sz="0" w:space="0" w:color="auto"/>
        <w:right w:val="none" w:sz="0" w:space="0" w:color="auto"/>
      </w:divBdr>
    </w:div>
    <w:div w:id="1955555479">
      <w:bodyDiv w:val="1"/>
      <w:marLeft w:val="0"/>
      <w:marRight w:val="0"/>
      <w:marTop w:val="0"/>
      <w:marBottom w:val="0"/>
      <w:divBdr>
        <w:top w:val="none" w:sz="0" w:space="0" w:color="auto"/>
        <w:left w:val="none" w:sz="0" w:space="0" w:color="auto"/>
        <w:bottom w:val="none" w:sz="0" w:space="0" w:color="auto"/>
        <w:right w:val="none" w:sz="0" w:space="0" w:color="auto"/>
      </w:divBdr>
      <w:divsChild>
        <w:div w:id="1495678563">
          <w:marLeft w:val="0"/>
          <w:marRight w:val="0"/>
          <w:marTop w:val="0"/>
          <w:marBottom w:val="0"/>
          <w:divBdr>
            <w:top w:val="none" w:sz="0" w:space="0" w:color="auto"/>
            <w:left w:val="none" w:sz="0" w:space="0" w:color="auto"/>
            <w:bottom w:val="none" w:sz="0" w:space="0" w:color="auto"/>
            <w:right w:val="none" w:sz="0" w:space="0" w:color="auto"/>
          </w:divBdr>
          <w:divsChild>
            <w:div w:id="71896951">
              <w:marLeft w:val="0"/>
              <w:marRight w:val="0"/>
              <w:marTop w:val="0"/>
              <w:marBottom w:val="0"/>
              <w:divBdr>
                <w:top w:val="none" w:sz="0" w:space="0" w:color="auto"/>
                <w:left w:val="none" w:sz="0" w:space="0" w:color="auto"/>
                <w:bottom w:val="none" w:sz="0" w:space="0" w:color="auto"/>
                <w:right w:val="none" w:sz="0" w:space="0" w:color="auto"/>
              </w:divBdr>
              <w:divsChild>
                <w:div w:id="286398452">
                  <w:marLeft w:val="0"/>
                  <w:marRight w:val="0"/>
                  <w:marTop w:val="0"/>
                  <w:marBottom w:val="0"/>
                  <w:divBdr>
                    <w:top w:val="none" w:sz="0" w:space="0" w:color="auto"/>
                    <w:left w:val="none" w:sz="0" w:space="0" w:color="auto"/>
                    <w:bottom w:val="none" w:sz="0" w:space="0" w:color="auto"/>
                    <w:right w:val="none" w:sz="0" w:space="0" w:color="auto"/>
                  </w:divBdr>
                  <w:divsChild>
                    <w:div w:id="476266461">
                      <w:marLeft w:val="0"/>
                      <w:marRight w:val="0"/>
                      <w:marTop w:val="0"/>
                      <w:marBottom w:val="0"/>
                      <w:divBdr>
                        <w:top w:val="none" w:sz="0" w:space="0" w:color="auto"/>
                        <w:left w:val="none" w:sz="0" w:space="0" w:color="auto"/>
                        <w:bottom w:val="none" w:sz="0" w:space="0" w:color="auto"/>
                        <w:right w:val="none" w:sz="0" w:space="0" w:color="auto"/>
                      </w:divBdr>
                      <w:divsChild>
                        <w:div w:id="1057432546">
                          <w:marLeft w:val="0"/>
                          <w:marRight w:val="0"/>
                          <w:marTop w:val="0"/>
                          <w:marBottom w:val="0"/>
                          <w:divBdr>
                            <w:top w:val="none" w:sz="0" w:space="0" w:color="auto"/>
                            <w:left w:val="none" w:sz="0" w:space="0" w:color="auto"/>
                            <w:bottom w:val="none" w:sz="0" w:space="0" w:color="auto"/>
                            <w:right w:val="none" w:sz="0" w:space="0" w:color="auto"/>
                          </w:divBdr>
                          <w:divsChild>
                            <w:div w:id="131413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597242">
      <w:bodyDiv w:val="1"/>
      <w:marLeft w:val="0"/>
      <w:marRight w:val="0"/>
      <w:marTop w:val="0"/>
      <w:marBottom w:val="0"/>
      <w:divBdr>
        <w:top w:val="none" w:sz="0" w:space="0" w:color="auto"/>
        <w:left w:val="none" w:sz="0" w:space="0" w:color="auto"/>
        <w:bottom w:val="none" w:sz="0" w:space="0" w:color="auto"/>
        <w:right w:val="none" w:sz="0" w:space="0" w:color="auto"/>
      </w:divBdr>
      <w:divsChild>
        <w:div w:id="1495301131">
          <w:marLeft w:val="0"/>
          <w:marRight w:val="0"/>
          <w:marTop w:val="0"/>
          <w:marBottom w:val="0"/>
          <w:divBdr>
            <w:top w:val="none" w:sz="0" w:space="0" w:color="auto"/>
            <w:left w:val="none" w:sz="0" w:space="0" w:color="auto"/>
            <w:bottom w:val="none" w:sz="0" w:space="0" w:color="auto"/>
            <w:right w:val="none" w:sz="0" w:space="0" w:color="auto"/>
          </w:divBdr>
        </w:div>
        <w:div w:id="1583291040">
          <w:marLeft w:val="0"/>
          <w:marRight w:val="0"/>
          <w:marTop w:val="0"/>
          <w:marBottom w:val="0"/>
          <w:divBdr>
            <w:top w:val="none" w:sz="0" w:space="0" w:color="auto"/>
            <w:left w:val="none" w:sz="0" w:space="0" w:color="auto"/>
            <w:bottom w:val="none" w:sz="0" w:space="0" w:color="auto"/>
            <w:right w:val="none" w:sz="0" w:space="0" w:color="auto"/>
          </w:divBdr>
        </w:div>
      </w:divsChild>
    </w:div>
    <w:div w:id="1960867782">
      <w:bodyDiv w:val="1"/>
      <w:marLeft w:val="0"/>
      <w:marRight w:val="0"/>
      <w:marTop w:val="0"/>
      <w:marBottom w:val="0"/>
      <w:divBdr>
        <w:top w:val="none" w:sz="0" w:space="0" w:color="auto"/>
        <w:left w:val="none" w:sz="0" w:space="0" w:color="auto"/>
        <w:bottom w:val="none" w:sz="0" w:space="0" w:color="auto"/>
        <w:right w:val="none" w:sz="0" w:space="0" w:color="auto"/>
      </w:divBdr>
      <w:divsChild>
        <w:div w:id="1432160416">
          <w:marLeft w:val="0"/>
          <w:marRight w:val="0"/>
          <w:marTop w:val="0"/>
          <w:marBottom w:val="0"/>
          <w:divBdr>
            <w:top w:val="none" w:sz="0" w:space="0" w:color="auto"/>
            <w:left w:val="none" w:sz="0" w:space="0" w:color="auto"/>
            <w:bottom w:val="none" w:sz="0" w:space="0" w:color="auto"/>
            <w:right w:val="none" w:sz="0" w:space="0" w:color="auto"/>
          </w:divBdr>
          <w:divsChild>
            <w:div w:id="1925722711">
              <w:marLeft w:val="0"/>
              <w:marRight w:val="0"/>
              <w:marTop w:val="0"/>
              <w:marBottom w:val="0"/>
              <w:divBdr>
                <w:top w:val="none" w:sz="0" w:space="0" w:color="auto"/>
                <w:left w:val="none" w:sz="0" w:space="0" w:color="auto"/>
                <w:bottom w:val="none" w:sz="0" w:space="0" w:color="auto"/>
                <w:right w:val="none" w:sz="0" w:space="0" w:color="auto"/>
              </w:divBdr>
              <w:divsChild>
                <w:div w:id="960764913">
                  <w:marLeft w:val="0"/>
                  <w:marRight w:val="0"/>
                  <w:marTop w:val="0"/>
                  <w:marBottom w:val="0"/>
                  <w:divBdr>
                    <w:top w:val="none" w:sz="0" w:space="0" w:color="auto"/>
                    <w:left w:val="none" w:sz="0" w:space="0" w:color="auto"/>
                    <w:bottom w:val="none" w:sz="0" w:space="0" w:color="auto"/>
                    <w:right w:val="none" w:sz="0" w:space="0" w:color="auto"/>
                  </w:divBdr>
                  <w:divsChild>
                    <w:div w:id="31707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378834">
      <w:bodyDiv w:val="1"/>
      <w:marLeft w:val="0"/>
      <w:marRight w:val="0"/>
      <w:marTop w:val="0"/>
      <w:marBottom w:val="0"/>
      <w:divBdr>
        <w:top w:val="none" w:sz="0" w:space="0" w:color="auto"/>
        <w:left w:val="none" w:sz="0" w:space="0" w:color="auto"/>
        <w:bottom w:val="none" w:sz="0" w:space="0" w:color="auto"/>
        <w:right w:val="none" w:sz="0" w:space="0" w:color="auto"/>
      </w:divBdr>
    </w:div>
    <w:div w:id="1971201676">
      <w:bodyDiv w:val="1"/>
      <w:marLeft w:val="0"/>
      <w:marRight w:val="0"/>
      <w:marTop w:val="0"/>
      <w:marBottom w:val="0"/>
      <w:divBdr>
        <w:top w:val="none" w:sz="0" w:space="0" w:color="auto"/>
        <w:left w:val="none" w:sz="0" w:space="0" w:color="auto"/>
        <w:bottom w:val="none" w:sz="0" w:space="0" w:color="auto"/>
        <w:right w:val="none" w:sz="0" w:space="0" w:color="auto"/>
      </w:divBdr>
    </w:div>
    <w:div w:id="1974098856">
      <w:bodyDiv w:val="1"/>
      <w:marLeft w:val="0"/>
      <w:marRight w:val="0"/>
      <w:marTop w:val="0"/>
      <w:marBottom w:val="0"/>
      <w:divBdr>
        <w:top w:val="none" w:sz="0" w:space="0" w:color="auto"/>
        <w:left w:val="none" w:sz="0" w:space="0" w:color="auto"/>
        <w:bottom w:val="none" w:sz="0" w:space="0" w:color="auto"/>
        <w:right w:val="none" w:sz="0" w:space="0" w:color="auto"/>
      </w:divBdr>
    </w:div>
    <w:div w:id="1975522435">
      <w:bodyDiv w:val="1"/>
      <w:marLeft w:val="0"/>
      <w:marRight w:val="0"/>
      <w:marTop w:val="0"/>
      <w:marBottom w:val="0"/>
      <w:divBdr>
        <w:top w:val="none" w:sz="0" w:space="0" w:color="auto"/>
        <w:left w:val="none" w:sz="0" w:space="0" w:color="auto"/>
        <w:bottom w:val="none" w:sz="0" w:space="0" w:color="auto"/>
        <w:right w:val="none" w:sz="0" w:space="0" w:color="auto"/>
      </w:divBdr>
    </w:div>
    <w:div w:id="1977026111">
      <w:bodyDiv w:val="1"/>
      <w:marLeft w:val="0"/>
      <w:marRight w:val="0"/>
      <w:marTop w:val="0"/>
      <w:marBottom w:val="0"/>
      <w:divBdr>
        <w:top w:val="none" w:sz="0" w:space="0" w:color="auto"/>
        <w:left w:val="none" w:sz="0" w:space="0" w:color="auto"/>
        <w:bottom w:val="none" w:sz="0" w:space="0" w:color="auto"/>
        <w:right w:val="none" w:sz="0" w:space="0" w:color="auto"/>
      </w:divBdr>
      <w:divsChild>
        <w:div w:id="1796749112">
          <w:marLeft w:val="0"/>
          <w:marRight w:val="0"/>
          <w:marTop w:val="0"/>
          <w:marBottom w:val="0"/>
          <w:divBdr>
            <w:top w:val="none" w:sz="0" w:space="0" w:color="auto"/>
            <w:left w:val="none" w:sz="0" w:space="0" w:color="auto"/>
            <w:bottom w:val="none" w:sz="0" w:space="0" w:color="auto"/>
            <w:right w:val="none" w:sz="0" w:space="0" w:color="auto"/>
          </w:divBdr>
          <w:divsChild>
            <w:div w:id="1019430853">
              <w:marLeft w:val="0"/>
              <w:marRight w:val="0"/>
              <w:marTop w:val="0"/>
              <w:marBottom w:val="0"/>
              <w:divBdr>
                <w:top w:val="none" w:sz="0" w:space="0" w:color="auto"/>
                <w:left w:val="none" w:sz="0" w:space="0" w:color="auto"/>
                <w:bottom w:val="none" w:sz="0" w:space="0" w:color="auto"/>
                <w:right w:val="none" w:sz="0" w:space="0" w:color="auto"/>
              </w:divBdr>
              <w:divsChild>
                <w:div w:id="1311473157">
                  <w:marLeft w:val="0"/>
                  <w:marRight w:val="0"/>
                  <w:marTop w:val="0"/>
                  <w:marBottom w:val="0"/>
                  <w:divBdr>
                    <w:top w:val="none" w:sz="0" w:space="0" w:color="auto"/>
                    <w:left w:val="none" w:sz="0" w:space="0" w:color="auto"/>
                    <w:bottom w:val="none" w:sz="0" w:space="0" w:color="auto"/>
                    <w:right w:val="none" w:sz="0" w:space="0" w:color="auto"/>
                  </w:divBdr>
                  <w:divsChild>
                    <w:div w:id="291063721">
                      <w:marLeft w:val="0"/>
                      <w:marRight w:val="0"/>
                      <w:marTop w:val="0"/>
                      <w:marBottom w:val="0"/>
                      <w:divBdr>
                        <w:top w:val="none" w:sz="0" w:space="0" w:color="auto"/>
                        <w:left w:val="none" w:sz="0" w:space="0" w:color="auto"/>
                        <w:bottom w:val="none" w:sz="0" w:space="0" w:color="auto"/>
                        <w:right w:val="none" w:sz="0" w:space="0" w:color="auto"/>
                      </w:divBdr>
                      <w:divsChild>
                        <w:div w:id="1922257002">
                          <w:marLeft w:val="0"/>
                          <w:marRight w:val="0"/>
                          <w:marTop w:val="0"/>
                          <w:marBottom w:val="0"/>
                          <w:divBdr>
                            <w:top w:val="none" w:sz="0" w:space="0" w:color="auto"/>
                            <w:left w:val="none" w:sz="0" w:space="0" w:color="auto"/>
                            <w:bottom w:val="none" w:sz="0" w:space="0" w:color="auto"/>
                            <w:right w:val="none" w:sz="0" w:space="0" w:color="auto"/>
                          </w:divBdr>
                          <w:divsChild>
                            <w:div w:id="1331984275">
                              <w:marLeft w:val="0"/>
                              <w:marRight w:val="0"/>
                              <w:marTop w:val="0"/>
                              <w:marBottom w:val="0"/>
                              <w:divBdr>
                                <w:top w:val="none" w:sz="0" w:space="0" w:color="auto"/>
                                <w:left w:val="none" w:sz="0" w:space="0" w:color="auto"/>
                                <w:bottom w:val="none" w:sz="0" w:space="0" w:color="auto"/>
                                <w:right w:val="none" w:sz="0" w:space="0" w:color="auto"/>
                              </w:divBdr>
                              <w:divsChild>
                                <w:div w:id="99105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8335945">
      <w:bodyDiv w:val="1"/>
      <w:marLeft w:val="0"/>
      <w:marRight w:val="0"/>
      <w:marTop w:val="0"/>
      <w:marBottom w:val="0"/>
      <w:divBdr>
        <w:top w:val="none" w:sz="0" w:space="0" w:color="auto"/>
        <w:left w:val="none" w:sz="0" w:space="0" w:color="auto"/>
        <w:bottom w:val="none" w:sz="0" w:space="0" w:color="auto"/>
        <w:right w:val="none" w:sz="0" w:space="0" w:color="auto"/>
      </w:divBdr>
    </w:div>
    <w:div w:id="2007896179">
      <w:bodyDiv w:val="1"/>
      <w:marLeft w:val="0"/>
      <w:marRight w:val="0"/>
      <w:marTop w:val="0"/>
      <w:marBottom w:val="0"/>
      <w:divBdr>
        <w:top w:val="none" w:sz="0" w:space="0" w:color="auto"/>
        <w:left w:val="none" w:sz="0" w:space="0" w:color="auto"/>
        <w:bottom w:val="none" w:sz="0" w:space="0" w:color="auto"/>
        <w:right w:val="none" w:sz="0" w:space="0" w:color="auto"/>
      </w:divBdr>
    </w:div>
    <w:div w:id="2013216632">
      <w:bodyDiv w:val="1"/>
      <w:marLeft w:val="0"/>
      <w:marRight w:val="0"/>
      <w:marTop w:val="0"/>
      <w:marBottom w:val="0"/>
      <w:divBdr>
        <w:top w:val="none" w:sz="0" w:space="0" w:color="auto"/>
        <w:left w:val="none" w:sz="0" w:space="0" w:color="auto"/>
        <w:bottom w:val="none" w:sz="0" w:space="0" w:color="auto"/>
        <w:right w:val="none" w:sz="0" w:space="0" w:color="auto"/>
      </w:divBdr>
      <w:divsChild>
        <w:div w:id="1362049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1296032">
      <w:bodyDiv w:val="1"/>
      <w:marLeft w:val="0"/>
      <w:marRight w:val="0"/>
      <w:marTop w:val="0"/>
      <w:marBottom w:val="0"/>
      <w:divBdr>
        <w:top w:val="none" w:sz="0" w:space="0" w:color="auto"/>
        <w:left w:val="none" w:sz="0" w:space="0" w:color="auto"/>
        <w:bottom w:val="none" w:sz="0" w:space="0" w:color="auto"/>
        <w:right w:val="none" w:sz="0" w:space="0" w:color="auto"/>
      </w:divBdr>
      <w:divsChild>
        <w:div w:id="1521821178">
          <w:marLeft w:val="0"/>
          <w:marRight w:val="0"/>
          <w:marTop w:val="0"/>
          <w:marBottom w:val="0"/>
          <w:divBdr>
            <w:top w:val="none" w:sz="0" w:space="0" w:color="auto"/>
            <w:left w:val="none" w:sz="0" w:space="0" w:color="auto"/>
            <w:bottom w:val="none" w:sz="0" w:space="0" w:color="auto"/>
            <w:right w:val="none" w:sz="0" w:space="0" w:color="auto"/>
          </w:divBdr>
          <w:divsChild>
            <w:div w:id="1303344582">
              <w:marLeft w:val="0"/>
              <w:marRight w:val="0"/>
              <w:marTop w:val="0"/>
              <w:marBottom w:val="0"/>
              <w:divBdr>
                <w:top w:val="none" w:sz="0" w:space="0" w:color="auto"/>
                <w:left w:val="none" w:sz="0" w:space="0" w:color="auto"/>
                <w:bottom w:val="none" w:sz="0" w:space="0" w:color="auto"/>
                <w:right w:val="none" w:sz="0" w:space="0" w:color="auto"/>
              </w:divBdr>
              <w:divsChild>
                <w:div w:id="1545632872">
                  <w:marLeft w:val="0"/>
                  <w:marRight w:val="0"/>
                  <w:marTop w:val="0"/>
                  <w:marBottom w:val="0"/>
                  <w:divBdr>
                    <w:top w:val="none" w:sz="0" w:space="0" w:color="auto"/>
                    <w:left w:val="none" w:sz="0" w:space="0" w:color="auto"/>
                    <w:bottom w:val="none" w:sz="0" w:space="0" w:color="auto"/>
                    <w:right w:val="none" w:sz="0" w:space="0" w:color="auto"/>
                  </w:divBdr>
                  <w:divsChild>
                    <w:div w:id="91126348">
                      <w:marLeft w:val="0"/>
                      <w:marRight w:val="0"/>
                      <w:marTop w:val="0"/>
                      <w:marBottom w:val="0"/>
                      <w:divBdr>
                        <w:top w:val="none" w:sz="0" w:space="0" w:color="auto"/>
                        <w:left w:val="none" w:sz="0" w:space="0" w:color="auto"/>
                        <w:bottom w:val="none" w:sz="0" w:space="0" w:color="auto"/>
                        <w:right w:val="none" w:sz="0" w:space="0" w:color="auto"/>
                      </w:divBdr>
                      <w:divsChild>
                        <w:div w:id="842554581">
                          <w:marLeft w:val="0"/>
                          <w:marRight w:val="0"/>
                          <w:marTop w:val="0"/>
                          <w:marBottom w:val="0"/>
                          <w:divBdr>
                            <w:top w:val="none" w:sz="0" w:space="0" w:color="auto"/>
                            <w:left w:val="none" w:sz="0" w:space="0" w:color="auto"/>
                            <w:bottom w:val="none" w:sz="0" w:space="0" w:color="auto"/>
                            <w:right w:val="none" w:sz="0" w:space="0" w:color="auto"/>
                          </w:divBdr>
                          <w:divsChild>
                            <w:div w:id="944578256">
                              <w:marLeft w:val="0"/>
                              <w:marRight w:val="0"/>
                              <w:marTop w:val="0"/>
                              <w:marBottom w:val="0"/>
                              <w:divBdr>
                                <w:top w:val="none" w:sz="0" w:space="0" w:color="auto"/>
                                <w:left w:val="none" w:sz="0" w:space="0" w:color="auto"/>
                                <w:bottom w:val="none" w:sz="0" w:space="0" w:color="auto"/>
                                <w:right w:val="none" w:sz="0" w:space="0" w:color="auto"/>
                              </w:divBdr>
                              <w:divsChild>
                                <w:div w:id="1409614496">
                                  <w:marLeft w:val="0"/>
                                  <w:marRight w:val="0"/>
                                  <w:marTop w:val="0"/>
                                  <w:marBottom w:val="0"/>
                                  <w:divBdr>
                                    <w:top w:val="none" w:sz="0" w:space="0" w:color="auto"/>
                                    <w:left w:val="none" w:sz="0" w:space="0" w:color="auto"/>
                                    <w:bottom w:val="none" w:sz="0" w:space="0" w:color="auto"/>
                                    <w:right w:val="none" w:sz="0" w:space="0" w:color="auto"/>
                                  </w:divBdr>
                                  <w:divsChild>
                                    <w:div w:id="88282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7732896">
      <w:bodyDiv w:val="1"/>
      <w:marLeft w:val="0"/>
      <w:marRight w:val="0"/>
      <w:marTop w:val="0"/>
      <w:marBottom w:val="0"/>
      <w:divBdr>
        <w:top w:val="none" w:sz="0" w:space="0" w:color="auto"/>
        <w:left w:val="none" w:sz="0" w:space="0" w:color="auto"/>
        <w:bottom w:val="none" w:sz="0" w:space="0" w:color="auto"/>
        <w:right w:val="none" w:sz="0" w:space="0" w:color="auto"/>
      </w:divBdr>
    </w:div>
    <w:div w:id="2054188382">
      <w:bodyDiv w:val="1"/>
      <w:marLeft w:val="0"/>
      <w:marRight w:val="0"/>
      <w:marTop w:val="0"/>
      <w:marBottom w:val="0"/>
      <w:divBdr>
        <w:top w:val="none" w:sz="0" w:space="0" w:color="auto"/>
        <w:left w:val="none" w:sz="0" w:space="0" w:color="auto"/>
        <w:bottom w:val="none" w:sz="0" w:space="0" w:color="auto"/>
        <w:right w:val="none" w:sz="0" w:space="0" w:color="auto"/>
      </w:divBdr>
    </w:div>
    <w:div w:id="2058700453">
      <w:bodyDiv w:val="1"/>
      <w:marLeft w:val="0"/>
      <w:marRight w:val="0"/>
      <w:marTop w:val="0"/>
      <w:marBottom w:val="0"/>
      <w:divBdr>
        <w:top w:val="none" w:sz="0" w:space="0" w:color="auto"/>
        <w:left w:val="none" w:sz="0" w:space="0" w:color="auto"/>
        <w:bottom w:val="none" w:sz="0" w:space="0" w:color="auto"/>
        <w:right w:val="none" w:sz="0" w:space="0" w:color="auto"/>
      </w:divBdr>
    </w:div>
    <w:div w:id="2076657671">
      <w:bodyDiv w:val="1"/>
      <w:marLeft w:val="0"/>
      <w:marRight w:val="0"/>
      <w:marTop w:val="0"/>
      <w:marBottom w:val="0"/>
      <w:divBdr>
        <w:top w:val="none" w:sz="0" w:space="0" w:color="auto"/>
        <w:left w:val="none" w:sz="0" w:space="0" w:color="auto"/>
        <w:bottom w:val="none" w:sz="0" w:space="0" w:color="auto"/>
        <w:right w:val="none" w:sz="0" w:space="0" w:color="auto"/>
      </w:divBdr>
    </w:div>
    <w:div w:id="2078243419">
      <w:bodyDiv w:val="1"/>
      <w:marLeft w:val="0"/>
      <w:marRight w:val="0"/>
      <w:marTop w:val="0"/>
      <w:marBottom w:val="0"/>
      <w:divBdr>
        <w:top w:val="none" w:sz="0" w:space="0" w:color="auto"/>
        <w:left w:val="none" w:sz="0" w:space="0" w:color="auto"/>
        <w:bottom w:val="none" w:sz="0" w:space="0" w:color="auto"/>
        <w:right w:val="none" w:sz="0" w:space="0" w:color="auto"/>
      </w:divBdr>
    </w:div>
    <w:div w:id="2079086564">
      <w:bodyDiv w:val="1"/>
      <w:marLeft w:val="0"/>
      <w:marRight w:val="0"/>
      <w:marTop w:val="0"/>
      <w:marBottom w:val="0"/>
      <w:divBdr>
        <w:top w:val="none" w:sz="0" w:space="0" w:color="auto"/>
        <w:left w:val="none" w:sz="0" w:space="0" w:color="auto"/>
        <w:bottom w:val="none" w:sz="0" w:space="0" w:color="auto"/>
        <w:right w:val="none" w:sz="0" w:space="0" w:color="auto"/>
      </w:divBdr>
      <w:divsChild>
        <w:div w:id="714936448">
          <w:marLeft w:val="0"/>
          <w:marRight w:val="0"/>
          <w:marTop w:val="0"/>
          <w:marBottom w:val="0"/>
          <w:divBdr>
            <w:top w:val="none" w:sz="0" w:space="0" w:color="auto"/>
            <w:left w:val="none" w:sz="0" w:space="0" w:color="auto"/>
            <w:bottom w:val="none" w:sz="0" w:space="0" w:color="auto"/>
            <w:right w:val="none" w:sz="0" w:space="0" w:color="auto"/>
          </w:divBdr>
        </w:div>
        <w:div w:id="933434696">
          <w:marLeft w:val="0"/>
          <w:marRight w:val="0"/>
          <w:marTop w:val="0"/>
          <w:marBottom w:val="0"/>
          <w:divBdr>
            <w:top w:val="none" w:sz="0" w:space="0" w:color="auto"/>
            <w:left w:val="none" w:sz="0" w:space="0" w:color="auto"/>
            <w:bottom w:val="none" w:sz="0" w:space="0" w:color="auto"/>
            <w:right w:val="none" w:sz="0" w:space="0" w:color="auto"/>
          </w:divBdr>
        </w:div>
        <w:div w:id="1678343204">
          <w:marLeft w:val="0"/>
          <w:marRight w:val="0"/>
          <w:marTop w:val="0"/>
          <w:marBottom w:val="0"/>
          <w:divBdr>
            <w:top w:val="none" w:sz="0" w:space="0" w:color="auto"/>
            <w:left w:val="none" w:sz="0" w:space="0" w:color="auto"/>
            <w:bottom w:val="none" w:sz="0" w:space="0" w:color="auto"/>
            <w:right w:val="none" w:sz="0" w:space="0" w:color="auto"/>
          </w:divBdr>
        </w:div>
      </w:divsChild>
    </w:div>
    <w:div w:id="2082872438">
      <w:bodyDiv w:val="1"/>
      <w:marLeft w:val="0"/>
      <w:marRight w:val="0"/>
      <w:marTop w:val="0"/>
      <w:marBottom w:val="0"/>
      <w:divBdr>
        <w:top w:val="none" w:sz="0" w:space="0" w:color="auto"/>
        <w:left w:val="none" w:sz="0" w:space="0" w:color="auto"/>
        <w:bottom w:val="none" w:sz="0" w:space="0" w:color="auto"/>
        <w:right w:val="none" w:sz="0" w:space="0" w:color="auto"/>
      </w:divBdr>
    </w:div>
    <w:div w:id="2092919832">
      <w:bodyDiv w:val="1"/>
      <w:marLeft w:val="0"/>
      <w:marRight w:val="0"/>
      <w:marTop w:val="0"/>
      <w:marBottom w:val="0"/>
      <w:divBdr>
        <w:top w:val="none" w:sz="0" w:space="0" w:color="auto"/>
        <w:left w:val="none" w:sz="0" w:space="0" w:color="auto"/>
        <w:bottom w:val="none" w:sz="0" w:space="0" w:color="auto"/>
        <w:right w:val="none" w:sz="0" w:space="0" w:color="auto"/>
      </w:divBdr>
    </w:div>
    <w:div w:id="2094426515">
      <w:bodyDiv w:val="1"/>
      <w:marLeft w:val="0"/>
      <w:marRight w:val="0"/>
      <w:marTop w:val="0"/>
      <w:marBottom w:val="0"/>
      <w:divBdr>
        <w:top w:val="none" w:sz="0" w:space="0" w:color="auto"/>
        <w:left w:val="none" w:sz="0" w:space="0" w:color="auto"/>
        <w:bottom w:val="none" w:sz="0" w:space="0" w:color="auto"/>
        <w:right w:val="none" w:sz="0" w:space="0" w:color="auto"/>
      </w:divBdr>
      <w:divsChild>
        <w:div w:id="115691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4815721">
      <w:bodyDiv w:val="1"/>
      <w:marLeft w:val="0"/>
      <w:marRight w:val="0"/>
      <w:marTop w:val="0"/>
      <w:marBottom w:val="0"/>
      <w:divBdr>
        <w:top w:val="none" w:sz="0" w:space="0" w:color="auto"/>
        <w:left w:val="none" w:sz="0" w:space="0" w:color="auto"/>
        <w:bottom w:val="none" w:sz="0" w:space="0" w:color="auto"/>
        <w:right w:val="none" w:sz="0" w:space="0" w:color="auto"/>
      </w:divBdr>
    </w:div>
    <w:div w:id="2096172010">
      <w:bodyDiv w:val="1"/>
      <w:marLeft w:val="0"/>
      <w:marRight w:val="0"/>
      <w:marTop w:val="0"/>
      <w:marBottom w:val="0"/>
      <w:divBdr>
        <w:top w:val="none" w:sz="0" w:space="0" w:color="auto"/>
        <w:left w:val="none" w:sz="0" w:space="0" w:color="auto"/>
        <w:bottom w:val="none" w:sz="0" w:space="0" w:color="auto"/>
        <w:right w:val="none" w:sz="0" w:space="0" w:color="auto"/>
      </w:divBdr>
      <w:divsChild>
        <w:div w:id="1185903681">
          <w:marLeft w:val="0"/>
          <w:marRight w:val="0"/>
          <w:marTop w:val="600"/>
          <w:marBottom w:val="0"/>
          <w:divBdr>
            <w:top w:val="none" w:sz="0" w:space="0" w:color="auto"/>
            <w:left w:val="none" w:sz="0" w:space="0" w:color="auto"/>
            <w:bottom w:val="none" w:sz="0" w:space="0" w:color="auto"/>
            <w:right w:val="none" w:sz="0" w:space="0" w:color="auto"/>
          </w:divBdr>
          <w:divsChild>
            <w:div w:id="132023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4032">
      <w:bodyDiv w:val="1"/>
      <w:marLeft w:val="0"/>
      <w:marRight w:val="0"/>
      <w:marTop w:val="0"/>
      <w:marBottom w:val="0"/>
      <w:divBdr>
        <w:top w:val="none" w:sz="0" w:space="0" w:color="auto"/>
        <w:left w:val="none" w:sz="0" w:space="0" w:color="auto"/>
        <w:bottom w:val="none" w:sz="0" w:space="0" w:color="auto"/>
        <w:right w:val="none" w:sz="0" w:space="0" w:color="auto"/>
      </w:divBdr>
    </w:div>
    <w:div w:id="2110197181">
      <w:bodyDiv w:val="1"/>
      <w:marLeft w:val="0"/>
      <w:marRight w:val="0"/>
      <w:marTop w:val="0"/>
      <w:marBottom w:val="0"/>
      <w:divBdr>
        <w:top w:val="none" w:sz="0" w:space="0" w:color="auto"/>
        <w:left w:val="none" w:sz="0" w:space="0" w:color="auto"/>
        <w:bottom w:val="none" w:sz="0" w:space="0" w:color="auto"/>
        <w:right w:val="none" w:sz="0" w:space="0" w:color="auto"/>
      </w:divBdr>
    </w:div>
    <w:div w:id="2111655399">
      <w:bodyDiv w:val="1"/>
      <w:marLeft w:val="0"/>
      <w:marRight w:val="0"/>
      <w:marTop w:val="0"/>
      <w:marBottom w:val="0"/>
      <w:divBdr>
        <w:top w:val="none" w:sz="0" w:space="0" w:color="auto"/>
        <w:left w:val="none" w:sz="0" w:space="0" w:color="auto"/>
        <w:bottom w:val="none" w:sz="0" w:space="0" w:color="auto"/>
        <w:right w:val="none" w:sz="0" w:space="0" w:color="auto"/>
      </w:divBdr>
    </w:div>
    <w:div w:id="2114551642">
      <w:bodyDiv w:val="1"/>
      <w:marLeft w:val="0"/>
      <w:marRight w:val="0"/>
      <w:marTop w:val="0"/>
      <w:marBottom w:val="0"/>
      <w:divBdr>
        <w:top w:val="none" w:sz="0" w:space="0" w:color="auto"/>
        <w:left w:val="none" w:sz="0" w:space="0" w:color="auto"/>
        <w:bottom w:val="none" w:sz="0" w:space="0" w:color="auto"/>
        <w:right w:val="none" w:sz="0" w:space="0" w:color="auto"/>
      </w:divBdr>
    </w:div>
    <w:div w:id="2118719084">
      <w:bodyDiv w:val="1"/>
      <w:marLeft w:val="0"/>
      <w:marRight w:val="0"/>
      <w:marTop w:val="0"/>
      <w:marBottom w:val="0"/>
      <w:divBdr>
        <w:top w:val="none" w:sz="0" w:space="0" w:color="auto"/>
        <w:left w:val="none" w:sz="0" w:space="0" w:color="auto"/>
        <w:bottom w:val="none" w:sz="0" w:space="0" w:color="auto"/>
        <w:right w:val="none" w:sz="0" w:space="0" w:color="auto"/>
      </w:divBdr>
    </w:div>
    <w:div w:id="2129278400">
      <w:bodyDiv w:val="1"/>
      <w:marLeft w:val="0"/>
      <w:marRight w:val="0"/>
      <w:marTop w:val="0"/>
      <w:marBottom w:val="0"/>
      <w:divBdr>
        <w:top w:val="none" w:sz="0" w:space="0" w:color="auto"/>
        <w:left w:val="none" w:sz="0" w:space="0" w:color="auto"/>
        <w:bottom w:val="none" w:sz="0" w:space="0" w:color="auto"/>
        <w:right w:val="none" w:sz="0" w:space="0" w:color="auto"/>
      </w:divBdr>
    </w:div>
    <w:div w:id="2130732513">
      <w:bodyDiv w:val="1"/>
      <w:marLeft w:val="0"/>
      <w:marRight w:val="0"/>
      <w:marTop w:val="0"/>
      <w:marBottom w:val="0"/>
      <w:divBdr>
        <w:top w:val="none" w:sz="0" w:space="0" w:color="auto"/>
        <w:left w:val="none" w:sz="0" w:space="0" w:color="auto"/>
        <w:bottom w:val="none" w:sz="0" w:space="0" w:color="auto"/>
        <w:right w:val="none" w:sz="0" w:space="0" w:color="auto"/>
      </w:divBdr>
      <w:divsChild>
        <w:div w:id="969046093">
          <w:marLeft w:val="0"/>
          <w:marRight w:val="0"/>
          <w:marTop w:val="0"/>
          <w:marBottom w:val="0"/>
          <w:divBdr>
            <w:top w:val="none" w:sz="0" w:space="0" w:color="auto"/>
            <w:left w:val="none" w:sz="0" w:space="0" w:color="auto"/>
            <w:bottom w:val="none" w:sz="0" w:space="0" w:color="auto"/>
            <w:right w:val="none" w:sz="0" w:space="0" w:color="auto"/>
          </w:divBdr>
        </w:div>
        <w:div w:id="1347563406">
          <w:marLeft w:val="0"/>
          <w:marRight w:val="0"/>
          <w:marTop w:val="0"/>
          <w:marBottom w:val="0"/>
          <w:divBdr>
            <w:top w:val="none" w:sz="0" w:space="0" w:color="auto"/>
            <w:left w:val="none" w:sz="0" w:space="0" w:color="auto"/>
            <w:bottom w:val="none" w:sz="0" w:space="0" w:color="auto"/>
            <w:right w:val="none" w:sz="0" w:space="0" w:color="auto"/>
          </w:divBdr>
        </w:div>
        <w:div w:id="1525093200">
          <w:marLeft w:val="0"/>
          <w:marRight w:val="0"/>
          <w:marTop w:val="0"/>
          <w:marBottom w:val="0"/>
          <w:divBdr>
            <w:top w:val="none" w:sz="0" w:space="0" w:color="auto"/>
            <w:left w:val="none" w:sz="0" w:space="0" w:color="auto"/>
            <w:bottom w:val="none" w:sz="0" w:space="0" w:color="auto"/>
            <w:right w:val="none" w:sz="0" w:space="0" w:color="auto"/>
          </w:divBdr>
        </w:div>
      </w:divsChild>
    </w:div>
    <w:div w:id="2132353965">
      <w:bodyDiv w:val="1"/>
      <w:marLeft w:val="0"/>
      <w:marRight w:val="0"/>
      <w:marTop w:val="0"/>
      <w:marBottom w:val="0"/>
      <w:divBdr>
        <w:top w:val="none" w:sz="0" w:space="0" w:color="auto"/>
        <w:left w:val="none" w:sz="0" w:space="0" w:color="auto"/>
        <w:bottom w:val="none" w:sz="0" w:space="0" w:color="auto"/>
        <w:right w:val="none" w:sz="0" w:space="0" w:color="auto"/>
      </w:divBdr>
    </w:div>
    <w:div w:id="2137288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5.xml"/><Relationship Id="rId3" Type="http://schemas.openxmlformats.org/officeDocument/2006/relationships/customXml" Target="../customXml/item3.xml"/><Relationship Id="rId21" Type="http://schemas.microsoft.com/office/2014/relationships/chartEx" Target="charts/chartEx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chart" Target="charts/chart2.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chart" Target="charts/chart1.xml"/><Relationship Id="rId28"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image" Target="media/image2.png"/><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cop30.br/en/forests-roadmap" TargetMode="External"/><Relationship Id="rId13" Type="http://schemas.openxmlformats.org/officeDocument/2006/relationships/hyperlink" Target="https://www.forest-trends.org/publications/from-market-signal-to-national-forest-governance-reform/" TargetMode="External"/><Relationship Id="rId18" Type="http://schemas.openxmlformats.org/officeDocument/2006/relationships/hyperlink" Target="http://data.europa.eu/eli/reg_impl/2024/3084/oj" TargetMode="External"/><Relationship Id="rId26" Type="http://schemas.openxmlformats.org/officeDocument/2006/relationships/hyperlink" Target="https://ec.europa.eu/info/law/better-regulation/have-your-say/initiatives_fr" TargetMode="External"/><Relationship Id="rId3" Type="http://schemas.openxmlformats.org/officeDocument/2006/relationships/hyperlink" Target="https://ec.europa.eu/info/law/better-regulation/have-your-say/initiatives_fr" TargetMode="External"/><Relationship Id="rId21" Type="http://schemas.openxmlformats.org/officeDocument/2006/relationships/hyperlink" Target="http://data.europa.eu/eli/reg_impl/2025/1093/oj" TargetMode="External"/><Relationship Id="rId7" Type="http://schemas.openxmlformats.org/officeDocument/2006/relationships/hyperlink" Target="https://sdgs.un.org/fr/2030agenda" TargetMode="External"/><Relationship Id="rId12" Type="http://schemas.openxmlformats.org/officeDocument/2006/relationships/hyperlink" Target="https://eur-lex.europa.eu/legal-content/FR/TXT/?uri=CELEX%3A32023R1115" TargetMode="External"/><Relationship Id="rId17" Type="http://schemas.openxmlformats.org/officeDocument/2006/relationships/hyperlink" Target="http://data.europa.eu/eli/reg/2025/2650/oj" TargetMode="External"/><Relationship Id="rId25" Type="http://schemas.openxmlformats.org/officeDocument/2006/relationships/hyperlink" Target="https://environment.ec.europa.eu/publications/eudr-supply-chain-infographics-3rd-edition_en" TargetMode="External"/><Relationship Id="rId2" Type="http://schemas.openxmlformats.org/officeDocument/2006/relationships/hyperlink" Target="https://ec.europa.eu/commission/presscorner/detail/fr/ip_25_1063" TargetMode="External"/><Relationship Id="rId16" Type="http://schemas.openxmlformats.org/officeDocument/2006/relationships/hyperlink" Target="https://zerodeforestationhub.eu/wp-content/uploads/2026/01/Insights_EUDR-exercise_Coffee.pdf" TargetMode="External"/><Relationship Id="rId20" Type="http://schemas.openxmlformats.org/officeDocument/2006/relationships/hyperlink" Target="http://data.europa.eu/eli/C/2024/6789/oj" TargetMode="External"/><Relationship Id="rId1" Type="http://schemas.openxmlformats.org/officeDocument/2006/relationships/hyperlink" Target="https://ec.europa.eu/commission/presscorner/detail/fr/ip_24_5009" TargetMode="External"/><Relationship Id="rId6" Type="http://schemas.openxmlformats.org/officeDocument/2006/relationships/hyperlink" Target="https://ukcop26.org/glasgow-leaders-declaration-on-forests-and-land-use/" TargetMode="External"/><Relationship Id="rId11" Type="http://schemas.openxmlformats.org/officeDocument/2006/relationships/hyperlink" Target="https://pure.iiasa.ac.at/id/eprint/14868/1/1.%20Report%20analysis%20of%20impact.pdf" TargetMode="External"/><Relationship Id="rId24" Type="http://schemas.openxmlformats.org/officeDocument/2006/relationships/hyperlink" Target="https://ec.europa.eu/info/law/better-regulation/have-your-say/initiatives/14794-Simplification-de-la-charge-administrative-liee-a-la-legislation-environnementale_fr" TargetMode="External"/><Relationship Id="rId5" Type="http://schemas.openxmlformats.org/officeDocument/2006/relationships/hyperlink" Target="https://www.cbd.int/convention/text/" TargetMode="External"/><Relationship Id="rId15" Type="http://schemas.openxmlformats.org/officeDocument/2006/relationships/hyperlink" Target="https://www.duh.de/fileadmin/user_upload/download/Projektinformation/Naturschutz/Policy_Brief__Dr._Metodi_Sotirov__-_The_EU_Deforestation_Regulation_Is_Already_Delivering_Results_-_Why_further_weakening_during_the_Simplification_Review_risks_undermining_progress_in_global_forest_governance.pdf" TargetMode="External"/><Relationship Id="rId23" Type="http://schemas.openxmlformats.org/officeDocument/2006/relationships/hyperlink" Target="https://ec.europa.eu/info/law/better-regulation/have-your-say/initiatives/14655-Regles-de-lUE-visant-a-reduire-au-minimum-la-deforestation-et-la-degradation-des-forets-modification-de-lannexe-I-du-reglement-sur-la-deforestation_fr" TargetMode="External"/><Relationship Id="rId28" Type="http://schemas.openxmlformats.org/officeDocument/2006/relationships/hyperlink" Target="https://eur-lex.europa.eu/resource.html?uri=cellar:c34ecf63-4878-11ec-91ac-01aa75ed71a1.0001.02/DOC_1&amp;format=PDF" TargetMode="External"/><Relationship Id="rId10" Type="http://schemas.openxmlformats.org/officeDocument/2006/relationships/hyperlink" Target="https://doi.org/10.4060/cb9360en" TargetMode="External"/><Relationship Id="rId19" Type="http://schemas.openxmlformats.org/officeDocument/2006/relationships/hyperlink" Target="https://environment.ec.europa.eu/topics/forests/deforestation_fr" TargetMode="External"/><Relationship Id="rId4" Type="http://schemas.openxmlformats.org/officeDocument/2006/relationships/hyperlink" Target="https://unfccc.int/sites/default/files/french_paris_agreement.pdf" TargetMode="External"/><Relationship Id="rId9" Type="http://schemas.openxmlformats.org/officeDocument/2006/relationships/hyperlink" Target="https://openknowledge.fao.org/items/090d2fbb-32a6-412b-a3b8-1ce5c5905df2" TargetMode="External"/><Relationship Id="rId14" Type="http://schemas.openxmlformats.org/officeDocument/2006/relationships/hyperlink" Target="https://www.forest-trends.org/publications/from-market-signal-to-national-forest-governance-reform/" TargetMode="External"/><Relationship Id="rId22" Type="http://schemas.openxmlformats.org/officeDocument/2006/relationships/hyperlink" Target="https://ec.europa.eu/transparency/expert-groups-register/screen/meetings/consult?lang=en&amp;meetingId=67585&amp;fromExpertGroups=3282" TargetMode="External"/><Relationship Id="rId27" Type="http://schemas.openxmlformats.org/officeDocument/2006/relationships/hyperlink" Target="https://op.europa.eu/en/publication-detail/-/publication/8ba0a8fd-4c83-11ea-b8b7-01aa75ed71a1/language-en"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752937908753514"/>
          <c:y val="4.3763676148796497E-2"/>
          <c:w val="0.61715161272049168"/>
          <c:h val="0.83957307703754058"/>
        </c:manualLayout>
      </c:layout>
      <c:barChart>
        <c:barDir val="bar"/>
        <c:grouping val="stacked"/>
        <c:varyColors val="0"/>
        <c:ser>
          <c:idx val="0"/>
          <c:order val="0"/>
          <c:tx>
            <c:strRef>
              <c:f>Sheet1!$B$1</c:f>
              <c:strCache>
                <c:ptCount val="1"/>
                <c:pt idx="0">
                  <c:v>Series 1</c:v>
                </c:pt>
              </c:strCache>
            </c:strRef>
          </c:tx>
          <c:spPr>
            <a:solidFill>
              <a:schemeClr val="accent1"/>
            </a:solidFill>
            <a:ln>
              <a:noFill/>
            </a:ln>
            <a:effectLst/>
          </c:spPr>
          <c:invertIfNegative val="0"/>
          <c:cat>
            <c:strRef>
              <c:f>Sheet1!$A$2:$A$10</c:f>
              <c:strCache>
                <c:ptCount val="9"/>
                <c:pt idx="0">
                  <c:v>juin-23</c:v>
                </c:pt>
                <c:pt idx="1">
                  <c:v>Présentation annuelle de DDS</c:v>
                </c:pt>
                <c:pt idx="2">
                  <c:v>Analyse comparative</c:v>
                </c:pt>
                <c:pt idx="3">
                  <c:v>Régime simplifié pour les MSPO</c:v>
                </c:pt>
                <c:pt idx="4">
                  <c:v>Obligations en aval</c:v>
                </c:pt>
                <c:pt idx="5">
                  <c:v>Exemptions horizontales - Annexe I</c:v>
                </c:pt>
                <c:pt idx="6">
                  <c:v>Portée modifiée du produit</c:v>
                </c:pt>
                <c:pt idx="7">
                  <c:v>Autres</c:v>
                </c:pt>
                <c:pt idx="8">
                  <c:v>Après avril 26</c:v>
                </c:pt>
              </c:strCache>
            </c:strRef>
          </c:cat>
          <c:val>
            <c:numRef>
              <c:f>Sheet1!$B$2:$B$10</c:f>
              <c:numCache>
                <c:formatCode>General</c:formatCode>
                <c:ptCount val="9"/>
                <c:pt idx="0">
                  <c:v>8072674000</c:v>
                </c:pt>
                <c:pt idx="8">
                  <c:v>2021215118.743547</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95A3-418A-805E-402DF5D9AF47}"/>
            </c:ext>
          </c:extLst>
        </c:ser>
        <c:ser>
          <c:idx val="1"/>
          <c:order val="1"/>
          <c:tx>
            <c:strRef>
              <c:f>Sheet1!$C$1</c:f>
              <c:strCache>
                <c:ptCount val="1"/>
                <c:pt idx="0">
                  <c:v>Series 2</c:v>
                </c:pt>
              </c:strCache>
            </c:strRef>
          </c:tx>
          <c:spPr>
            <a:noFill/>
            <a:ln>
              <a:noFill/>
            </a:ln>
            <a:effectLst/>
          </c:spPr>
          <c:invertIfNegative val="0"/>
          <c:cat>
            <c:strRef>
              <c:f>Sheet1!$A$2:$A$10</c:f>
              <c:strCache>
                <c:ptCount val="9"/>
                <c:pt idx="0">
                  <c:v>juin-23</c:v>
                </c:pt>
                <c:pt idx="1">
                  <c:v>Présentation annuelle de DDS</c:v>
                </c:pt>
                <c:pt idx="2">
                  <c:v>Analyse comparative</c:v>
                </c:pt>
                <c:pt idx="3">
                  <c:v>Régime simplifié pour les MSPO</c:v>
                </c:pt>
                <c:pt idx="4">
                  <c:v>Obligations en aval</c:v>
                </c:pt>
                <c:pt idx="5">
                  <c:v>Exemptions horizontales - Annexe I</c:v>
                </c:pt>
                <c:pt idx="6">
                  <c:v>Portée modifiée du produit</c:v>
                </c:pt>
                <c:pt idx="7">
                  <c:v>Autres</c:v>
                </c:pt>
                <c:pt idx="8">
                  <c:v>Après avril 26</c:v>
                </c:pt>
              </c:strCache>
            </c:strRef>
          </c:cat>
          <c:val>
            <c:numRef>
              <c:f>Sheet1!$C$2:$C$10</c:f>
              <c:numCache>
                <c:formatCode>General</c:formatCode>
                <c:ptCount val="9"/>
                <c:pt idx="1">
                  <c:v>7732913472.1428585</c:v>
                </c:pt>
                <c:pt idx="2">
                  <c:v>7246505135.2738104</c:v>
                </c:pt>
                <c:pt idx="3">
                  <c:v>2674681681.5792189</c:v>
                </c:pt>
                <c:pt idx="4">
                  <c:v>2588478681.5792189</c:v>
                </c:pt>
                <c:pt idx="5">
                  <c:v>2466920994.3150454</c:v>
                </c:pt>
                <c:pt idx="6">
                  <c:v>2023483618.743547</c:v>
                </c:pt>
                <c:pt idx="7">
                  <c:v>2021215118.743547</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95A3-418A-805E-402DF5D9AF47}"/>
            </c:ext>
          </c:extLst>
        </c:ser>
        <c:ser>
          <c:idx val="2"/>
          <c:order val="2"/>
          <c:tx>
            <c:strRef>
              <c:f>Sheet1!$D$1</c:f>
              <c:strCache>
                <c:ptCount val="1"/>
                <c:pt idx="0">
                  <c:v>Series 3</c:v>
                </c:pt>
              </c:strCache>
            </c:strRef>
          </c:tx>
          <c:spPr>
            <a:solidFill>
              <a:schemeClr val="bg1">
                <a:lumMod val="75000"/>
              </a:schemeClr>
            </a:solidFill>
            <a:ln>
              <a:noFill/>
            </a:ln>
            <a:effectLst/>
          </c:spPr>
          <c:invertIfNegative val="0"/>
          <c:cat>
            <c:strRef>
              <c:f>Sheet1!$A$2:$A$10</c:f>
              <c:strCache>
                <c:ptCount val="9"/>
                <c:pt idx="0">
                  <c:v>juin-23</c:v>
                </c:pt>
                <c:pt idx="1">
                  <c:v>Présentation annuelle de DDS</c:v>
                </c:pt>
                <c:pt idx="2">
                  <c:v>Analyse comparative</c:v>
                </c:pt>
                <c:pt idx="3">
                  <c:v>Régime simplifié pour les MSPO</c:v>
                </c:pt>
                <c:pt idx="4">
                  <c:v>Obligations en aval</c:v>
                </c:pt>
                <c:pt idx="5">
                  <c:v>Exemptions horizontales - Annexe I</c:v>
                </c:pt>
                <c:pt idx="6">
                  <c:v>Portée modifiée du produit</c:v>
                </c:pt>
                <c:pt idx="7">
                  <c:v>Autres</c:v>
                </c:pt>
                <c:pt idx="8">
                  <c:v>Après avril 26</c:v>
                </c:pt>
              </c:strCache>
            </c:strRef>
          </c:cat>
          <c:val>
            <c:numRef>
              <c:f>Sheet1!$D$2:$D$10</c:f>
              <c:numCache>
                <c:formatCode>General</c:formatCode>
                <c:ptCount val="9"/>
                <c:pt idx="1">
                  <c:v>339760527.85714149</c:v>
                </c:pt>
                <c:pt idx="2">
                  <c:v>486408336.86904812</c:v>
                </c:pt>
                <c:pt idx="3">
                  <c:v>4571823453.6945915</c:v>
                </c:pt>
                <c:pt idx="4">
                  <c:v>86203000</c:v>
                </c:pt>
                <c:pt idx="5">
                  <c:v>121557687.26417351</c:v>
                </c:pt>
                <c:pt idx="6">
                  <c:v>443437375.57149839</c:v>
                </c:pt>
                <c:pt idx="7">
                  <c:v>2268500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95A3-418A-805E-402DF5D9AF47}"/>
            </c:ext>
          </c:extLst>
        </c:ser>
        <c:dLbls>
          <c:showLegendKey val="0"/>
          <c:showVal val="0"/>
          <c:showCatName val="0"/>
          <c:showSerName val="0"/>
          <c:showPercent val="0"/>
          <c:showBubbleSize val="0"/>
        </c:dLbls>
        <c:gapWidth val="150"/>
        <c:overlap val="100"/>
        <c:axId val="2139943248"/>
        <c:axId val="2139944688"/>
      </c:barChart>
      <c:catAx>
        <c:axId val="213994324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9944688"/>
        <c:crosses val="autoZero"/>
        <c:auto val="1"/>
        <c:lblAlgn val="ctr"/>
        <c:lblOffset val="100"/>
        <c:noMultiLvlLbl val="0"/>
      </c:catAx>
      <c:valAx>
        <c:axId val="2139944688"/>
        <c:scaling>
          <c:orientation val="minMax"/>
          <c:max val="1000000000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9943248"/>
        <c:crosses val="max"/>
        <c:crossBetween val="between"/>
        <c:majorUnit val="2000000000"/>
        <c:minorUnit val="200000000"/>
        <c:dispUnits>
          <c:builtInUnit val="billions"/>
          <c:dispUnitsLbl>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Milliards</a:t>
                  </a:r>
                </a:p>
              </c:rich>
            </c:tx>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457771545680078"/>
          <c:y val="5.6410256410256411E-2"/>
          <c:w val="0.74467280104212474"/>
          <c:h val="0.7932138098122351"/>
        </c:manualLayout>
      </c:layout>
      <c:barChart>
        <c:barDir val="bar"/>
        <c:grouping val="clustered"/>
        <c:varyColors val="0"/>
        <c:ser>
          <c:idx val="0"/>
          <c:order val="0"/>
          <c:tx>
            <c:strRef>
              <c:f>Sheet1!$B$1</c:f>
              <c:strCache>
                <c:ptCount val="1"/>
                <c:pt idx="0">
                  <c:v>Total</c:v>
                </c:pt>
              </c:strCache>
            </c:strRef>
          </c:tx>
          <c:spPr>
            <a:solidFill>
              <a:schemeClr val="accent1"/>
            </a:solidFill>
            <a:ln>
              <a:noFill/>
            </a:ln>
            <a:effectLst/>
          </c:spPr>
          <c:invertIfNegative val="0"/>
          <c:cat>
            <c:strRef>
              <c:f>Sheet1!$A$2:$A$8</c:f>
              <c:strCache>
                <c:ptCount val="7"/>
                <c:pt idx="0">
                  <c:v>Bois</c:v>
                </c:pt>
                <c:pt idx="1">
                  <c:v>Caoutchouc</c:v>
                </c:pt>
                <c:pt idx="2">
                  <c:v>Soja</c:v>
                </c:pt>
                <c:pt idx="3">
                  <c:v>Café</c:v>
                </c:pt>
                <c:pt idx="4">
                  <c:v>Bovins</c:v>
                </c:pt>
                <c:pt idx="5">
                  <c:v>Huile de palme</c:v>
                </c:pt>
                <c:pt idx="6">
                  <c:v>Cacao</c:v>
                </c:pt>
              </c:strCache>
            </c:strRef>
          </c:cat>
          <c:val>
            <c:numRef>
              <c:f>Sheet1!$B$2:$B$8</c:f>
              <c:numCache>
                <c:formatCode>_-"€"* #\ ##0_-;\-"€"* #\ ##0_-;_-"€"* "-"??_-;_-@_-</c:formatCode>
                <c:ptCount val="7"/>
                <c:pt idx="0">
                  <c:v>183307372.28596228</c:v>
                </c:pt>
                <c:pt idx="1">
                  <c:v>461984536.5075767</c:v>
                </c:pt>
                <c:pt idx="2">
                  <c:v>742999984.33432996</c:v>
                </c:pt>
                <c:pt idx="3">
                  <c:v>751875108.57634449</c:v>
                </c:pt>
                <c:pt idx="4">
                  <c:v>872720764.44214797</c:v>
                </c:pt>
                <c:pt idx="5">
                  <c:v>958616093.9635061</c:v>
                </c:pt>
                <c:pt idx="6">
                  <c:v>3038808223.2019625</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8320-4D21-B5F8-84BDDDA40404}"/>
            </c:ext>
          </c:extLst>
        </c:ser>
        <c:dLbls>
          <c:showLegendKey val="0"/>
          <c:showVal val="0"/>
          <c:showCatName val="0"/>
          <c:showSerName val="0"/>
          <c:showPercent val="0"/>
          <c:showBubbleSize val="0"/>
        </c:dLbls>
        <c:gapWidth val="182"/>
        <c:axId val="1765369600"/>
        <c:axId val="1765380640"/>
      </c:barChart>
      <c:catAx>
        <c:axId val="1765369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5380640"/>
        <c:crosses val="autoZero"/>
        <c:auto val="1"/>
        <c:lblAlgn val="ctr"/>
        <c:lblOffset val="100"/>
        <c:noMultiLvlLbl val="0"/>
      </c:catAx>
      <c:valAx>
        <c:axId val="1765380640"/>
        <c:scaling>
          <c:orientation val="minMax"/>
        </c:scaling>
        <c:delete val="0"/>
        <c:axPos val="b"/>
        <c:majorGridlines>
          <c:spPr>
            <a:ln w="9525" cap="flat" cmpd="sng" algn="ctr">
              <a:solidFill>
                <a:schemeClr val="tx1">
                  <a:lumMod val="15000"/>
                  <a:lumOff val="85000"/>
                </a:schemeClr>
              </a:solidFill>
              <a:round/>
            </a:ln>
            <a:effectLst/>
          </c:spPr>
        </c:majorGridlines>
        <c:numFmt formatCode="_-&quot;€&quot;* #\ ##0_-;\-&quot;€&quot;* #\ ##0_-;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65369600"/>
        <c:crosses val="autoZero"/>
        <c:crossBetween val="between"/>
        <c:dispUnits>
          <c:builtInUnit val="billions"/>
          <c:dispUnitsLbl>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E"/>
                    <a:t>Milliards</a:t>
                  </a:r>
                </a:p>
              </c:rich>
            </c:tx>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Sheet1!$A$2:$A$9</cx:f>
        <cx:lvl ptCount="8">
          <cx:pt idx="0">Bovins</cx:pt>
          <cx:pt idx="1">Bois</cx:pt>
          <cx:pt idx="2">Huile de palme</cx:pt>
          <cx:pt idx="3">Soja</cx:pt>
          <cx:pt idx="4">Cacao</cx:pt>
          <cx:pt idx="5">Caoutchouc</cx:pt>
          <cx:pt idx="6">Café</cx:pt>
          <cx:pt idx="7">Total</cx:pt>
        </cx:lvl>
      </cx:strDim>
      <cx:numDim type="val">
        <cx:f>Sheet1!$B$2:$B$9</cx:f>
        <cx:lvl ptCount="8" formatCode="Standard">
          <cx:pt idx="0">2355</cx:pt>
          <cx:pt idx="1">675</cx:pt>
          <cx:pt idx="2">392</cx:pt>
          <cx:pt idx="3">224</cx:pt>
          <cx:pt idx="4">187</cx:pt>
          <cx:pt idx="5">111</cx:pt>
          <cx:pt idx="6">82</cx:pt>
          <cx:pt idx="7">4025</cx:pt>
        </cx:lvl>
      </cx:numDim>
    </cx:data>
  </cx:chartData>
  <cx:chart>
    <cx:plotArea>
      <cx:plotAreaRegion>
        <cx:series layoutId="waterfall" uniqueId="{98A00E82-02D0-496E-A1A1-BF19A958F8D9}">
          <cx:tx>
            <cx:txData>
              <cx:f>Sheet1!$B$1</cx:f>
              <cx:v>Déforestation mondiale (en milliers  d'hectares)</cx:v>
            </cx:txData>
          </cx:tx>
          <cx:spPr>
            <a:solidFill>
              <a:schemeClr val="tx2">
                <a:lumMod val="25000"/>
                <a:lumOff val="75000"/>
              </a:schemeClr>
            </a:solidFill>
          </cx:spPr>
          <cx:dataPt idx="7">
            <cx:spPr>
              <a:solidFill>
                <a:srgbClr val="156082"/>
              </a:solidFill>
            </cx:spPr>
          </cx:dataPt>
          <cx:dataLabels pos="outEnd">
            <cx:visibility seriesName="0" categoryName="0" value="1"/>
          </cx:dataLabels>
          <cx:dataId val="0"/>
          <cx:layoutPr>
            <cx:subtotals>
              <cx:idx val="0"/>
              <cx:idx val="7"/>
            </cx:subtotals>
          </cx:layoutPr>
        </cx:series>
      </cx:plotAreaRegion>
      <cx:axis id="0">
        <cx:catScaling gapWidth="0.800000012"/>
        <cx:tickLabels/>
      </cx:axis>
      <cx:axis id="1">
        <cx:valScaling/>
        <cx:title>
          <cx:tx>
            <cx:txData>
              <cx:v>Déforestation mondiale (en milliers  d'hectares)</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Aptos" panose="02110004020202020204"/>
                </a:rPr>
                <a:t>Déforestation mondiale (en milliers  d'hectares)</a:t>
              </a:r>
            </a:p>
          </cx:txPr>
        </cx:title>
        <cx:majorGridlines/>
        <cx:tickLabels/>
      </cx:axis>
    </cx:plotArea>
  </cx:chart>
  <cx:spPr>
    <a:ln>
      <a:no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95">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5173D67C871A429D9A58E9AC77F1F6" ma:contentTypeVersion="15" ma:contentTypeDescription="Create a new document." ma:contentTypeScope="" ma:versionID="308026350770500f930cdad5b3cf0ff8">
  <xsd:schema xmlns:xsd="http://www.w3.org/2001/XMLSchema" xmlns:xs="http://www.w3.org/2001/XMLSchema" xmlns:p="http://schemas.microsoft.com/office/2006/metadata/properties" xmlns:ns2="19b29e8c-5da5-41b7-9b48-7fad7b873b67" xmlns:ns3="a45643f3-7c99-4d24-b29f-08e86086f1a7" targetNamespace="http://schemas.microsoft.com/office/2006/metadata/properties" ma:root="true" ma:fieldsID="ed3079659433049ca75996bdc0ddbdac" ns2:_="" ns3:_="">
    <xsd:import namespace="19b29e8c-5da5-41b7-9b48-7fad7b873b67"/>
    <xsd:import namespace="a45643f3-7c99-4d24-b29f-08e86086f1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29e8c-5da5-41b7-9b48-7fad7b873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5643f3-7c99-4d24-b29f-08e86086f1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EurolookProperties>
  <ProductCustomizationId>EC</ProductCustomizationId>
  <Created>
    <Version>10.0.47989.0</Version>
    <Date>2026-03-05T12:18:43</Date>
    <Language>EN</Language>
    <Note/>
  </Created>
  <DocumentModel>
    <Id>6cbda13a-4db2-46c6-876a-ef72275827ef</Id>
    <Name>Report</Name>
  </DocumentModel>
  <CustomTemplate>
    <Id/>
    <Name/>
  </CustomTemplate>
  <DocumentDate>2026-03-05T12:18:43</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3.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Author Role="Creator" AuthorRoleName="Writer" AuthorRoleDisplayName="Writer" AuthorRoleId="a4fbaff4-b07c-48b4-a21e-e7b9eedf3796">
  <Id>2bfa1560-3a36-43f9-9c36-5d3a118a0c5a</Id>
  <Names>
    <Latin>
      <FirstName>Jeroen</FirstName>
      <LastName>VERHAGEN</LastName>
    </Latin>
    <Greek>
      <FirstName/>
      <LastName/>
    </Greek>
    <Cyrillic>
      <FirstName/>
      <LastName/>
    </Cyrillic>
    <DocumentScript>
      <FirstName>Jeroen</FirstName>
      <LastName>VERHAGEN</LastName>
      <FullName>Jeroen VERHAGEN</FullName>
    </DocumentScript>
  </Names>
  <Initials>JV</Initials>
  <Gender>m</Gender>
  <Email>Jeroen.VERHAGEN@ec.europa.eu</Email>
  <Service>ENV.F.1</Service>
  <Function ADCode="" ShowInSignature="true" ShowInHeader="false" HeaderText=""/>
  <WebAddress/>
  <FunctionalMailbox/>
  <InheritedWebAddress>WebAddress</InheritedWebAddress>
  <OrgaEntity1>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1>
  <OrgaEntity2>
    <Id>be42106e-9b51-4778-9113-d7e411658663</Id>
    <LogicalLevel>2</LogicalLevel>
    <Name>ENV.F</Name>
    <HeadLine1>Directorate F – Green Diplomacy &amp; Multilateralism</HeadLine1>
    <HeadLine2/>
    <PrimaryAddressId>f03b5801-04c9-4931-aa17-c6d6c70bc579</PrimaryAddressId>
    <SecondaryAddressId/>
    <WebAddress/>
    <InheritedWebAddress>WebAddress</InheritedWebAddress>
    <ShowInHeader>true</ShowInHeader>
  </OrgaEntity2>
  <OrgaEntity3>
    <Id>99c8d897-bc83-4cc2-a08e-6f858cdc8e7b</Id>
    <LogicalLevel>3</LogicalLevel>
    <Name>ENV.F.1</Name>
    <HeadLine1>ENV.F.1 – Planetary Common Goods, Universal Values &amp; Environmental Security</HeadLine1>
    <HeadLine2/>
    <PrimaryAddressId>f03b5801-04c9-4931-aa17-c6d6c70bc579</PrimaryAddressId>
    <SecondaryAddressId/>
    <WebAddress/>
    <InheritedWebAddress>WebAddress</InheritedWebAddress>
    <ShowInHeader>true</ShowInHeader>
  </OrgaEntity3>
  <Hierarchy>
    <OrgaEntity>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
    <OrgaEntity>
      <Id>be42106e-9b51-4778-9113-d7e411658663</Id>
      <LogicalLevel>2</LogicalLevel>
      <Name>ENV.F</Name>
      <HeadLine1>Directorate F – Green Diplomacy &amp; Multilateralism</HeadLine1>
      <HeadLine2/>
      <PrimaryAddressId>f03b5801-04c9-4931-aa17-c6d6c70bc579</PrimaryAddressId>
      <SecondaryAddressId/>
      <WebAddress/>
      <InheritedWebAddress>WebAddress</InheritedWebAddress>
      <ShowInHeader>true</ShowInHeader>
    </OrgaEntity>
    <OrgaEntity>
      <Id>99c8d897-bc83-4cc2-a08e-6f858cdc8e7b</Id>
      <LogicalLevel>3</LogicalLevel>
      <Name>ENV.F.1</Name>
      <HeadLine1>ENV.F.1 – Planetary Common Goods, Universal Values &amp; Environmental Security</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+32 229-93949</Phone>
    <Office>BRE2 07/DCS</Office>
  </MainWorkplace>
  <Workplaces>
    <Workplace IsMain="true">
      <AddressId>f03b5801-04c9-4931-aa17-c6d6c70bc579</AddressId>
      <Fax/>
      <Phone>+32 229-93949</Phone>
      <Office>BRE2 07/DCS</Office>
    </Workplace>
  </Workplaces>
</Author>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19b29e8c-5da5-41b7-9b48-7fad7b873b67">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AB7CD-3517-4634-ABA0-6B65952A7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29e8c-5da5-41b7-9b48-7fad7b873b67"/>
    <ds:schemaRef ds:uri="a45643f3-7c99-4d24-b29f-08e86086f1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A147D5A6-8CBB-4221-A466-39A3C79A968D}">
  <ds:schemaRefs>
    <ds:schemaRef ds:uri="http://schemas.microsoft.com/sharepoint/v3/contenttype/forms"/>
  </ds:schemaRefs>
</ds:datastoreItem>
</file>

<file path=customXml/itemProps5.xml><?xml version="1.0" encoding="utf-8"?>
<ds:datastoreItem xmlns:ds="http://schemas.openxmlformats.org/officeDocument/2006/customXml" ds:itemID="{6935553F-4636-41F1-B7CB-FA95229DEE77}">
  <ds:schemaRefs/>
</ds:datastoreItem>
</file>

<file path=customXml/itemProps6.xml><?xml version="1.0" encoding="utf-8"?>
<ds:datastoreItem xmlns:ds="http://schemas.openxmlformats.org/officeDocument/2006/customXml" ds:itemID="{90E1A4DB-67BA-449C-B663-2464B993ABEF}">
  <ds:schemaRefs>
    <ds:schemaRef ds:uri="http://schemas.microsoft.com/office/2006/metadata/properties"/>
    <ds:schemaRef ds:uri="http://schemas.microsoft.com/office/infopath/2007/PartnerControls"/>
    <ds:schemaRef ds:uri="19b29e8c-5da5-41b7-9b48-7fad7b873b67"/>
  </ds:schemaRefs>
</ds:datastoreItem>
</file>

<file path=customXml/itemProps7.xml><?xml version="1.0" encoding="utf-8"?>
<ds:datastoreItem xmlns:ds="http://schemas.openxmlformats.org/officeDocument/2006/customXml" ds:itemID="{5C4A0611-3094-4323-B8AA-FA9C81FF8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13254</Words>
  <Characters>75549</Characters>
  <Application>Microsoft Office Word</Application>
  <DocSecurity>0</DocSecurity>
  <PresentationFormat>Microsoft Word 14.0</PresentationFormat>
  <Lines>629</Lines>
  <Paragraphs>177</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2026-04-30T08:39:00Z</dcterms:created>
  <dcterms:modified xsi:type="dcterms:W3CDTF">2026-07-14T07:09:00Z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2026-04-27T16:31:01Z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c86823c5-3ebc-4024-9838-c7410d420dad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DocStatus">
    <vt:lpwstr>Green</vt:lpwstr>
  </property>
  <property fmtid="{D5CDD505-2E9C-101B-9397-08002B2CF9AE}" pid="11" name="Last edited using">
    <vt:lpwstr>LW 9.2, Build 20250828</vt:lpwstr>
  </property>
  <property fmtid="{D5CDD505-2E9C-101B-9397-08002B2CF9AE}" pid="12" name="ContentTypeId">
    <vt:lpwstr>0x010100145173D67C871A429D9A58E9AC77F1F6</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