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1.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2.xml" ContentType="application/vnd.openxmlformats-officedocument.drawingml.chart+xml"/>
  <Override PartName="/word/charts/style3.xml" ContentType="application/vnd.ms-office.chartstyle+xml"/>
  <Override PartName="/word/charts/colors3.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A58C1" w14:textId="5090F629" w:rsidR="009D5428" w:rsidRPr="00E84250" w:rsidRDefault="00E81AFC" w:rsidP="00E81AFC">
      <w:pPr>
        <w:pStyle w:val="Pagedecouverture"/>
        <w:rPr>
          <w:noProof/>
        </w:rPr>
      </w:pPr>
      <w:bookmarkStart w:id="0" w:name="LW_BM_COVERPAGE"/>
      <w:r>
        <w:rPr>
          <w:noProof/>
        </w:rPr>
        <w:pict w14:anchorId="63B30F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701D10E-E97C-452F-9D1D-4559FC138E22" style="width:455.25pt;height:300pt">
            <v:imagedata r:id="rId14" o:title=""/>
          </v:shape>
        </w:pict>
      </w:r>
    </w:p>
    <w:bookmarkEnd w:id="0"/>
    <w:p w14:paraId="63F69CA6" w14:textId="77777777" w:rsidR="007678CB" w:rsidRPr="00E84250" w:rsidRDefault="007678CB" w:rsidP="001B562A">
      <w:pPr>
        <w:rPr>
          <w:noProof/>
        </w:rPr>
        <w:sectPr w:rsidR="007678CB" w:rsidRPr="00E84250" w:rsidSect="00E81AFC">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47DCB04D" w14:textId="0207DC4A" w:rsidR="00356F0A" w:rsidRDefault="00356F0A" w:rsidP="001B562A">
      <w:pPr>
        <w:rPr>
          <w:b/>
          <w:noProof/>
          <w:sz w:val="28"/>
          <w:szCs w:val="28"/>
        </w:rPr>
      </w:pPr>
      <w:bookmarkStart w:id="1" w:name="_GoBack"/>
      <w:bookmarkEnd w:id="1"/>
      <w:r>
        <w:rPr>
          <w:b/>
          <w:noProof/>
          <w:sz w:val="28"/>
        </w:rPr>
        <w:lastRenderedPageBreak/>
        <w:t>Rezumat</w:t>
      </w:r>
    </w:p>
    <w:p w14:paraId="40F94CEB" w14:textId="710F6F34" w:rsidR="0049610C" w:rsidRDefault="0049610C" w:rsidP="0049610C">
      <w:pPr>
        <w:rPr>
          <w:noProof/>
        </w:rPr>
      </w:pPr>
      <w:r>
        <w:rPr>
          <w:noProof/>
        </w:rPr>
        <w:t>În decembrie 2025, Parlamentul European și Consiliul au adoptat o modificare a Regulamentului (UE) 2023/1115 (denumit în continuare „regulamentul” sau „Regulamentul privind defrișările”). În cadrul juridic revizuit, colegiuitorii au mandatat Comisia să efectueze o revizuire în scopul simplificării regulamentului și să prezinte Parlamentului European și Consiliului un raport în acest sens, însoțit, dacă este cazul, de o propunere legislativă, până la 30 aprilie 2026.</w:t>
      </w:r>
    </w:p>
    <w:p w14:paraId="3708A784" w14:textId="5F20D91F" w:rsidR="0049610C" w:rsidRDefault="2DA8DC69" w:rsidP="0049610C">
      <w:pPr>
        <w:rPr>
          <w:noProof/>
        </w:rPr>
      </w:pPr>
      <w:r>
        <w:rPr>
          <w:noProof/>
        </w:rPr>
        <w:t>Prin prezentul raport, Comisia își îndeplinește mandatul prevăzut la articolul 34 alineatul (1a) din regulament. Raportul oferă o imagine de ansamblu a măsurilor de simplificare introduse de la intrarea în vigoare a Regulamentului privind defrișările în iunie 2023 și evaluează impactul acestora asupra sarcinii administrative și asupra funcționării generale a regulamentului, acordând o atenție deosebită microoperatorilor și micilor operatori, cum ar fi fermierii și silvicultorii. El prezintă, de asemenea, măsuri suplimentare de facilitare care însoțesc prezentul raport, precum și progresele înregistrate în ceea ce privește principalele direcții de lucru pentru punerea în aplicare, în special sistemul de informații, în vederea asigurării aplicării efective a regulamentului începând cu sfârșitul anului 2026.</w:t>
      </w:r>
    </w:p>
    <w:p w14:paraId="620F4C1E" w14:textId="3DC5D7BD" w:rsidR="0049610C" w:rsidRDefault="0049610C" w:rsidP="0049610C">
      <w:pPr>
        <w:rPr>
          <w:noProof/>
        </w:rPr>
      </w:pPr>
      <w:r>
        <w:rPr>
          <w:noProof/>
        </w:rPr>
        <w:t>Ca instrument de pionierat pentru reducerea contribuției Uniunii la defrișările și degradarea pădurilor la nivel mondial, Regulamentul privind defrișările a făcut deja obiectul a două revizuiri legislative specifice, în 2024 și 2025, iar în anii respectivi au existat, de asemenea, două seturi cuprinzătoare de măsuri (</w:t>
      </w:r>
      <w:r>
        <w:rPr>
          <w:rStyle w:val="FootnoteReference"/>
          <w:noProof/>
        </w:rPr>
        <w:footnoteReference w:id="1"/>
      </w:r>
      <w:r>
        <w:rPr>
          <w:noProof/>
        </w:rPr>
        <w:t xml:space="preserve">) cu scopul de a facilita punerea în aplicare. </w:t>
      </w:r>
    </w:p>
    <w:p w14:paraId="7FE7FA94" w14:textId="7806A89C" w:rsidR="0049610C" w:rsidRDefault="2DA8DC69" w:rsidP="0049610C">
      <w:pPr>
        <w:rPr>
          <w:noProof/>
        </w:rPr>
      </w:pPr>
      <w:r>
        <w:rPr>
          <w:b/>
          <w:noProof/>
        </w:rPr>
        <w:t>În revizuire se concluzionează că măsurile introduse în 2024 și 2025, împreună cu modificările din decembrie 2025 și cu noile măsuri de simplificare care însoțesc prezentul raport, conduc la o reducere substanțială a sarcinii administrative și la o simplificare considerabilă pentru întreprinderile care intră în domeniul de aplicare al regulamentului.</w:t>
      </w:r>
      <w:r>
        <w:rPr>
          <w:noProof/>
        </w:rPr>
        <w:t xml:space="preserve"> Această reducere este deosebit de relevantă pentru operatorii care se aprovizionează din țări cu risc scăzut, pentru microoperatorii primari și micii operatori primari, precum și pentru actorii din aval, în special prin introducerea unor proceduri simplificate. Noile măsuri prezentate mai jos includ propuneri de modificare a domeniului de aplicare al produselor prevăzut în regulament, clarificări și simplificări ale anumitor dispoziții, precum și actualizări ale sistemului de informații, în vederea punerii în aplicare a recentelor modificări legislative și a asigurării unui nivel cât mai ridicat de ușurință în utilizare. Pentru a menține securitatea juridică și a asigura un cadru de reglementare stabil și previzibil pentru operatorii economici și ținând seama de progresele înregistrate în ceea ce privește reducerea costurilor de conformitate, Comisia nu consideră oportun să propună modificări suplimentare ale textului juridic de bază. </w:t>
      </w:r>
    </w:p>
    <w:p w14:paraId="52005A8E" w14:textId="7F8EE352" w:rsidR="00005C75" w:rsidRDefault="2288D01B" w:rsidP="007C20E2">
      <w:pPr>
        <w:spacing w:line="259" w:lineRule="auto"/>
        <w:rPr>
          <w:noProof/>
        </w:rPr>
      </w:pPr>
      <w:r>
        <w:rPr>
          <w:noProof/>
        </w:rPr>
        <w:t>Raportul include o serie de măsuri de simplificare noi:</w:t>
      </w:r>
    </w:p>
    <w:p w14:paraId="7513053F" w14:textId="0E135747" w:rsidR="53C74A16" w:rsidRPr="001E2D85" w:rsidRDefault="00005C75" w:rsidP="007C20E2">
      <w:pPr>
        <w:spacing w:line="259" w:lineRule="auto"/>
        <w:rPr>
          <w:noProof/>
          <w:spacing w:val="-3"/>
        </w:rPr>
      </w:pPr>
      <w:r w:rsidRPr="001E2D85">
        <w:rPr>
          <w:noProof/>
          <w:spacing w:val="-3"/>
        </w:rPr>
        <w:t xml:space="preserve">În primul rând, Comisia </w:t>
      </w:r>
      <w:r w:rsidRPr="001E2D85">
        <w:rPr>
          <w:b/>
          <w:noProof/>
          <w:spacing w:val="-3"/>
        </w:rPr>
        <w:t>a actualizat orientările și întrebările frecvente pentru a răspunde preocupărilor principalelor părți interesate</w:t>
      </w:r>
      <w:r w:rsidRPr="001E2D85">
        <w:rPr>
          <w:noProof/>
          <w:spacing w:val="-3"/>
        </w:rPr>
        <w:t>. În special, aceste documente clarifică posibilitatea de a acoperi mai multe transporturi în cadrul unei singure declarații privind diligența necesară și explică, de exemplu, modul în care asociațiile forestiere pot transmite informații în numele proprietarilor individuali de păduri. Comisia oferă, de asemenea, orientări practice suplimentare cu privire la obligațiile operatorilor din aval, inclusiv identificarea poziției acestora în lanțurile de aprovizionare și posibilitatea ca o întreprindere să fie atât importator, cât și producător. Ea confirmă, de asemenea, că rolul lor se limitează la colectarea pasivă și păstrarea informațiilor relevante. Sunt furnizate explicații cu privire la aspecte precum comerțul electronic, alternativele de geolocalizare și stabilirea pragurilor de mărime pentru microoperatorii primari și micii operatori primari. În plus, documentele de orientare și cele cu întrebări frecvente clarifică faptul că colectarea informațiilor referitoare la legalitate ar trebui să fie proporțională cu nivelul de risc, dovezi mai detaliate fiind necesare numai în lanțurile de aprovizionare cu risc mai ridicat. În plus, în infograficele actualizate privind lanțul de aprovizionare din cadrul Regulamentului privind defrișările sunt prezentate exemple practice, ușor de utilizat, care ilustrează diverse scenarii ale lanțului de aprovizionare. Comisia va continua să actualizeze orientările și întrebările frecvente, după caz, luând în considerare feedbackul părților interesate.</w:t>
      </w:r>
    </w:p>
    <w:p w14:paraId="794AC55C" w14:textId="6E142930" w:rsidR="009D17F2" w:rsidRPr="00383F45" w:rsidRDefault="00005C75" w:rsidP="0049610C">
      <w:pPr>
        <w:rPr>
          <w:noProof/>
        </w:rPr>
      </w:pPr>
      <w:r>
        <w:rPr>
          <w:noProof/>
        </w:rPr>
        <w:t xml:space="preserve">În al doilea rând, </w:t>
      </w:r>
      <w:r>
        <w:rPr>
          <w:b/>
          <w:noProof/>
        </w:rPr>
        <w:t>domeniul de aplicare al produselor a fost îmbunătățit</w:t>
      </w:r>
      <w:r>
        <w:rPr>
          <w:noProof/>
        </w:rPr>
        <w:t xml:space="preserve"> în proiectul de act delegat (</w:t>
      </w:r>
      <w:r>
        <w:rPr>
          <w:rStyle w:val="FootnoteReference"/>
          <w:noProof/>
        </w:rPr>
        <w:footnoteReference w:id="2"/>
      </w:r>
      <w:r>
        <w:rPr>
          <w:noProof/>
        </w:rPr>
        <w:t xml:space="preserve">), publicat în vederea obținerii de feedback din partea publicului, pentru a asigura o aplicare mai coerentă a regulamentului, incluzând propuneri de adăugare a unor produse din aval selectate, cum ar fi cafeaua solubilă și anumiți derivați ai uleiului de palmier (inclusiv săpunul fabricat cu ulei de palmier), precum și unele propuneri de excludere din domeniul de aplicare, cum ar fi articolele din piele, eșantioanele și anvelopele reșapate. </w:t>
      </w:r>
    </w:p>
    <w:p w14:paraId="03D786CC" w14:textId="539334AC" w:rsidR="00910705" w:rsidRDefault="00005C75" w:rsidP="0049610C">
      <w:pPr>
        <w:rPr>
          <w:noProof/>
        </w:rPr>
      </w:pPr>
      <w:r>
        <w:rPr>
          <w:noProof/>
        </w:rPr>
        <w:t xml:space="preserve">În al treilea rând, raportul prezintă, de asemenea, </w:t>
      </w:r>
      <w:r>
        <w:rPr>
          <w:b/>
          <w:noProof/>
        </w:rPr>
        <w:t>evoluțiile ulterioare ale sistemului de informații</w:t>
      </w:r>
      <w:r>
        <w:rPr>
          <w:noProof/>
        </w:rPr>
        <w:t>. Printre acestea se numără actualizările impuse de textul revizuit al Regulamentului privind defrișările, cum ar fi includerea declarațiilor simplificate, precum și funcționalitățile suplimentare solicitate de părțile interesate, inclusiv gruparea voluntară a numerelor de referință ale declarațiilor privind diligența necesară. În general, aceste îmbunătățiri vor asigura faptul că sistemul este solid și pregătit să susțină aplicarea fără probleme a regulamentului de la data intrării sale în vigoare.</w:t>
      </w:r>
    </w:p>
    <w:p w14:paraId="0184FE40" w14:textId="4D744355" w:rsidR="0049610C" w:rsidRPr="001E2D85" w:rsidRDefault="00005C75" w:rsidP="0049610C">
      <w:pPr>
        <w:rPr>
          <w:noProof/>
          <w:spacing w:val="-3"/>
        </w:rPr>
      </w:pPr>
      <w:r w:rsidRPr="001E2D85">
        <w:rPr>
          <w:noProof/>
          <w:spacing w:val="-3"/>
        </w:rPr>
        <w:t xml:space="preserve">În al patrulea rând, raportul prezintă </w:t>
      </w:r>
      <w:r w:rsidRPr="001E2D85">
        <w:rPr>
          <w:b/>
          <w:noProof/>
          <w:spacing w:val="-3"/>
        </w:rPr>
        <w:t>instituirea planificată a unor noi instrumente de facilitare a comerțului</w:t>
      </w:r>
      <w:r w:rsidRPr="001E2D85">
        <w:rPr>
          <w:noProof/>
          <w:spacing w:val="-3"/>
        </w:rPr>
        <w:t xml:space="preserve">, precum registre cu legislația țărilor producătoare de produse relevante în temeiul Regulamentului privind defrișările și cu sisteme de certificare sau alte mecanisme verificate de terți, aplicabile produselor de bază care fac obiectul Regulamentului privind defrișările, în vederea facilitării evaluărilor privind conformitatea și legalitatea. </w:t>
      </w:r>
    </w:p>
    <w:p w14:paraId="661A81BD" w14:textId="467D34C2" w:rsidR="0049610C" w:rsidRPr="00B911C8" w:rsidRDefault="0049610C" w:rsidP="44DF46F2">
      <w:pPr>
        <w:rPr>
          <w:b/>
          <w:bCs/>
          <w:noProof/>
          <w:highlight w:val="yellow"/>
        </w:rPr>
      </w:pPr>
      <w:r>
        <w:rPr>
          <w:b/>
          <w:noProof/>
        </w:rPr>
        <w:t xml:space="preserve">Evaluarea cantitativă indică faptul că, luate împreună, se preconizează că măsurile de simplificare prezentate vor reduce costurile anuale de conformitate pentru întreprinderile care fac obiectul obligațiilor prevăzute în Regulamentul privind defrișările cu aproximativ 75 % în comparație cu costurile inițiale de conformitate. </w:t>
      </w:r>
    </w:p>
    <w:p w14:paraId="21F01B1C" w14:textId="05AF3EC7" w:rsidR="0049610C" w:rsidRDefault="0049610C" w:rsidP="0049610C">
      <w:pPr>
        <w:rPr>
          <w:noProof/>
        </w:rPr>
      </w:pPr>
      <w:r>
        <w:rPr>
          <w:noProof/>
        </w:rPr>
        <w:t>În același timp, se preconizează că regulamentul va genera beneficii economice și de mediu semnificative (</w:t>
      </w:r>
      <w:r>
        <w:rPr>
          <w:rStyle w:val="FootnoteReference"/>
          <w:noProof/>
        </w:rPr>
        <w:footnoteReference w:id="3"/>
      </w:r>
      <w:r>
        <w:rPr>
          <w:noProof/>
        </w:rPr>
        <w:t xml:space="preserve">). Primele dovezi sugerează că Regulamentul privind defrișările contribuie la schimbările structurale din lanțurile de aprovizionare globale determinate de sinergiile dintre sectorul public și cel privat, inclusiv la creșterea investițiilor în trasabilitate, la o mai mare transparență și la adoptarea pe scară mai largă a soluțiilor digitale, sprijinind astfel practici de producție mai durabile și mai competitive. </w:t>
      </w:r>
    </w:p>
    <w:p w14:paraId="3DADB030" w14:textId="77777777" w:rsidR="00356F0A" w:rsidRPr="0012174E" w:rsidRDefault="00356F0A" w:rsidP="001B562A">
      <w:pPr>
        <w:spacing w:after="0"/>
        <w:jc w:val="left"/>
        <w:rPr>
          <w:b/>
          <w:noProof/>
          <w:sz w:val="28"/>
          <w:szCs w:val="28"/>
        </w:rPr>
      </w:pPr>
      <w:r>
        <w:rPr>
          <w:noProof/>
        </w:rPr>
        <w:br w:type="page"/>
      </w:r>
    </w:p>
    <w:p w14:paraId="4CAF42EE" w14:textId="4652739E" w:rsidR="00E63F32" w:rsidRPr="0012174E" w:rsidRDefault="00E63F32" w:rsidP="001B562A">
      <w:pPr>
        <w:rPr>
          <w:b/>
          <w:bCs/>
          <w:noProof/>
          <w:sz w:val="28"/>
          <w:szCs w:val="28"/>
        </w:rPr>
      </w:pPr>
      <w:r>
        <w:rPr>
          <w:b/>
          <w:noProof/>
          <w:sz w:val="28"/>
        </w:rPr>
        <w:t>1. Introducere</w:t>
      </w:r>
    </w:p>
    <w:p w14:paraId="148A03A3" w14:textId="48422E2E" w:rsidR="004E1E17" w:rsidRPr="0012174E" w:rsidRDefault="004E1E17" w:rsidP="0012174E">
      <w:pPr>
        <w:spacing w:after="80"/>
        <w:jc w:val="left"/>
        <w:rPr>
          <w:b/>
          <w:bCs/>
          <w:noProof/>
          <w:szCs w:val="24"/>
        </w:rPr>
      </w:pPr>
      <w:r>
        <w:rPr>
          <w:b/>
          <w:noProof/>
        </w:rPr>
        <w:t xml:space="preserve">1.1 Motivația politică </w:t>
      </w:r>
    </w:p>
    <w:p w14:paraId="6D259C97" w14:textId="1B7C0F52" w:rsidR="007C507C" w:rsidRPr="00E84250" w:rsidRDefault="007C507C" w:rsidP="0012174E">
      <w:pPr>
        <w:spacing w:after="120"/>
        <w:rPr>
          <w:noProof/>
          <w:szCs w:val="24"/>
        </w:rPr>
      </w:pPr>
      <w:r>
        <w:rPr>
          <w:noProof/>
        </w:rPr>
        <w:t>Uniunea Europeană (UE) joacă un rol-cheie în eforturile globale de protejare a ecosistemelor critice și de combatere a schimbărilor climatice, în conformitate cu Acordul de la Paris (</w:t>
      </w:r>
      <w:r>
        <w:rPr>
          <w:rStyle w:val="FootnoteReference"/>
          <w:noProof/>
        </w:rPr>
        <w:footnoteReference w:id="4"/>
      </w:r>
      <w:r>
        <w:rPr>
          <w:noProof/>
        </w:rPr>
        <w:t>), cu Convenția privind diversitatea biologică (</w:t>
      </w:r>
      <w:r>
        <w:rPr>
          <w:rStyle w:val="FootnoteReference"/>
          <w:noProof/>
        </w:rPr>
        <w:footnoteReference w:id="5"/>
      </w:r>
      <w:r>
        <w:rPr>
          <w:noProof/>
        </w:rPr>
        <w:t>), cu Declarația liderilor de la Glasgow privind pădurile și utilizarea terenurilor (</w:t>
      </w:r>
      <w:r>
        <w:rPr>
          <w:rStyle w:val="FootnoteReference"/>
          <w:noProof/>
        </w:rPr>
        <w:footnoteReference w:id="6"/>
      </w:r>
      <w:r>
        <w:rPr>
          <w:noProof/>
        </w:rPr>
        <w:t>) și cu obiectivele de dezvoltare durabilă ale ONU (</w:t>
      </w:r>
      <w:r>
        <w:rPr>
          <w:rStyle w:val="FootnoteReference"/>
          <w:noProof/>
        </w:rPr>
        <w:footnoteReference w:id="7"/>
      </w:r>
      <w:r>
        <w:rPr>
          <w:noProof/>
        </w:rPr>
        <w:t>). Acest lucru include combaterea defrișărilor și a degradării pădurilor, o prioritate reafirmată recent în cadrul celei de a 30-a Conferințe a părților la Convenția-cadru a Națiunilor Unite asupra schimbărilor climatice (COP30) de la Belém, în cadrul căreia președinția COP30 a propus o foaie de parcurs pentru oprirea și inversarea defrișărilor și a degradării pădurilor până în 2030 (</w:t>
      </w:r>
      <w:r>
        <w:rPr>
          <w:rStyle w:val="FootnoteReference"/>
          <w:noProof/>
        </w:rPr>
        <w:footnoteReference w:id="8"/>
      </w:r>
      <w:r>
        <w:rPr>
          <w:noProof/>
        </w:rPr>
        <w:t xml:space="preserve">). </w:t>
      </w:r>
    </w:p>
    <w:p w14:paraId="53B9E71A" w14:textId="2204D7DB" w:rsidR="00D45788" w:rsidRPr="0012174E" w:rsidRDefault="00B949D5" w:rsidP="0012174E">
      <w:pPr>
        <w:spacing w:after="120"/>
        <w:rPr>
          <w:noProof/>
          <w:szCs w:val="24"/>
        </w:rPr>
      </w:pPr>
      <w:r>
        <w:rPr>
          <w:noProof/>
        </w:rPr>
        <w:t>Cele mai recente cifre din 2025 provenind din Evaluarea resurselor forestiere mondiale (</w:t>
      </w:r>
      <w:r>
        <w:rPr>
          <w:rStyle w:val="FootnoteReference"/>
          <w:noProof/>
          <w:szCs w:val="24"/>
        </w:rPr>
        <w:footnoteReference w:id="9"/>
      </w:r>
      <w:r>
        <w:rPr>
          <w:noProof/>
        </w:rPr>
        <w:t>) realizată de Organizația Națiunilor Unite pentru Alimentație și Agricultură (FAO) indică faptul că, după ce a încetinit în perioada 2010-2020, rata anuală netă a pierderilor suprafețelor împădurite la nivel mondial a crescut din nou și depășește în prezent 5 milioane de hectare pe an, comparativ cu 3,6 milioane pe an în perioada 2010-2020 (</w:t>
      </w:r>
      <w:r>
        <w:rPr>
          <w:rStyle w:val="FootnoteReference"/>
          <w:noProof/>
          <w:szCs w:val="24"/>
        </w:rPr>
        <w:footnoteReference w:id="10"/>
      </w:r>
      <w:r>
        <w:rPr>
          <w:noProof/>
        </w:rPr>
        <w:t>).</w:t>
      </w:r>
    </w:p>
    <w:p w14:paraId="63EE0B15" w14:textId="572782A9" w:rsidR="00A55CB8" w:rsidRPr="0012174E" w:rsidRDefault="0089061A" w:rsidP="0012174E">
      <w:pPr>
        <w:spacing w:after="120"/>
        <w:rPr>
          <w:noProof/>
          <w:szCs w:val="24"/>
        </w:rPr>
      </w:pPr>
      <w:r>
        <w:rPr>
          <w:noProof/>
        </w:rPr>
        <w:t>Principalul factor determinant al defrișărilor rămâne extinderea terenurilor agricole (</w:t>
      </w:r>
      <w:r>
        <w:rPr>
          <w:rStyle w:val="FootnoteReference"/>
          <w:noProof/>
        </w:rPr>
        <w:footnoteReference w:id="11"/>
      </w:r>
      <w:r>
        <w:rPr>
          <w:noProof/>
        </w:rPr>
        <w:t>). Ca economie majoră la nivel mondial, UE este atât producător, cât și consumator important de produse de bază legate de pierderea suprafețelor împădurite, contribuind astfel la această problemă (</w:t>
      </w:r>
      <w:r>
        <w:rPr>
          <w:rStyle w:val="FootnoteReference"/>
          <w:noProof/>
        </w:rPr>
        <w:footnoteReference w:id="12"/>
      </w:r>
      <w:r>
        <w:rPr>
          <w:noProof/>
        </w:rPr>
        <w:t>). Acesta este motivul pentru care, în mai 2023, UE a adoptat Regulamentul privind defrișările (</w:t>
      </w:r>
      <w:r>
        <w:rPr>
          <w:rStyle w:val="FootnoteReference"/>
          <w:noProof/>
        </w:rPr>
        <w:footnoteReference w:id="13"/>
      </w:r>
      <w:r>
        <w:rPr>
          <w:noProof/>
        </w:rPr>
        <w:t>), cu scopul de a reduce contribuția UE la defrișările și degradarea pădurilor la nivel mondial. Prin abordarea extinderii agriculturii în zonele forestiere, regulamentul urmărește conservarea pădurilor, reducând astfel emisiile de gaze cu efect de seră asociate și protejând ecosistemele și speciile care depind de acestea. Regulamentul a intrat în vigoare în iunie 2023 și a fost revizuit de două ori, la sfârșitul anului 2024 și, din nou, la sfârșitul anului 2025, introducând simplificări specifice și o prelungire a perioadei de aplicare a acestuia.</w:t>
      </w:r>
    </w:p>
    <w:p w14:paraId="4BB48DE3" w14:textId="29CA401F" w:rsidR="00B348DA" w:rsidRPr="0012174E" w:rsidRDefault="00524784" w:rsidP="0012174E">
      <w:pPr>
        <w:spacing w:after="120"/>
        <w:rPr>
          <w:noProof/>
        </w:rPr>
      </w:pPr>
      <w:r>
        <w:rPr>
          <w:noProof/>
        </w:rPr>
        <w:t>Domeniul de aplicare al Regulamentului privind defrișările acoperă șapte produse de bază – bovine, cacao, cafea, ulei de palmier, soia, lemn și cauciuc. Cercetările (</w:t>
      </w:r>
      <w:r>
        <w:rPr>
          <w:rStyle w:val="FootnoteReference"/>
          <w:noProof/>
        </w:rPr>
        <w:footnoteReference w:id="14"/>
      </w:r>
      <w:r>
        <w:rPr>
          <w:noProof/>
        </w:rPr>
        <w:t>) arată că aceste șapte produse de bază au fost responsabile de defrișarea a peste 4 milioane de hectare la nivel mondial în fiecare an în perioada 2015-2020, reprezentând astfel aproximativ 70 % din defrișările cauzate de agricultură (figura 1).</w:t>
      </w:r>
    </w:p>
    <w:p w14:paraId="0B77F9B4" w14:textId="21CB411E" w:rsidR="00FE1AE5" w:rsidRPr="0012174E" w:rsidRDefault="00FE1AE5" w:rsidP="001B562A">
      <w:pPr>
        <w:pStyle w:val="Caption"/>
        <w:keepNext/>
        <w:rPr>
          <w:noProof/>
          <w:sz w:val="24"/>
          <w:szCs w:val="24"/>
        </w:rPr>
      </w:pPr>
      <w:r>
        <w:rPr>
          <w:noProof/>
          <w:sz w:val="24"/>
        </w:rPr>
        <w:t xml:space="preserve">Figura 1: Defrișările la nivel mondial, în mii de hectare pe an, cauzate de cele șapte produse de bază care intră în domeniul de aplicare al Regulamentului privind defrișările, în perioada 2015-2020 (Singh și Persson, 2026). </w:t>
      </w:r>
    </w:p>
    <w:p w14:paraId="531036B1" w14:textId="129BE026" w:rsidR="000A0446" w:rsidRPr="0012174E" w:rsidRDefault="007E30F6" w:rsidP="001B562A">
      <w:pPr>
        <w:rPr>
          <w:noProof/>
          <w:szCs w:val="24"/>
        </w:rPr>
      </w:pPr>
      <w:r>
        <w:rPr>
          <w:noProof/>
          <w:lang w:val="en-GB" w:eastAsia="en-GB"/>
        </w:rPr>
        <mc:AlternateContent>
          <mc:Choice Requires="cx1">
            <w:drawing>
              <wp:inline distT="0" distB="0" distL="0" distR="0" wp14:anchorId="00F2DDA3" wp14:editId="1EFE246A">
                <wp:extent cx="5322627" cy="2647950"/>
                <wp:effectExtent l="0" t="0" r="11430" b="0"/>
                <wp:docPr id="1849479790" name="Chart 2"/>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1"/>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pic="http://schemas.openxmlformats.org/drawingml/2006/picture" xmlns:a="http://schemas.openxmlformats.org/drawingml/2006/main">
            <w:drawing>
              <wp:inline distT="0" distB="0" distL="0" distR="0" wp14:anchorId="00F2DDA3" wp14:editId="1EFE246A">
                <wp:extent cx="5322627" cy="2647950"/>
                <wp:effectExtent l="0" t="0" r="11430" b="0"/>
                <wp:docPr id="1849479790" name="Chart 2"/>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849479790" name="Chart 2"/>
                        <pic:cNvPicPr>
                          <a:picLocks noGrp="1" noRot="1" noChangeAspect="1" noMove="1" noResize="1" noEditPoints="1" noAdjustHandles="1" noChangeArrowheads="1" noChangeShapeType="1"/>
                        </pic:cNvPicPr>
                      </pic:nvPicPr>
                      <pic:blipFill>
                        <a:blip r:embed="rId22"/>
                        <a:stretch>
                          <a:fillRect/>
                        </a:stretch>
                      </pic:blipFill>
                      <pic:spPr>
                        <a:xfrm>
                          <a:off x="0" y="0"/>
                          <a:ext cx="5322570" cy="2647950"/>
                        </a:xfrm>
                        <a:prstGeom prst="rect">
                          <a:avLst/>
                        </a:prstGeom>
                      </pic:spPr>
                    </pic:pic>
                  </a:graphicData>
                </a:graphic>
              </wp:inline>
            </w:drawing>
          </mc:Fallback>
        </mc:AlternateContent>
      </w:r>
    </w:p>
    <w:p w14:paraId="13193784" w14:textId="29C0A651" w:rsidR="00B348DA" w:rsidRPr="0012174E" w:rsidRDefault="00353C14" w:rsidP="001B562A">
      <w:pPr>
        <w:rPr>
          <w:b/>
          <w:bCs/>
          <w:noProof/>
          <w:szCs w:val="24"/>
        </w:rPr>
      </w:pPr>
      <w:r>
        <w:rPr>
          <w:noProof/>
        </w:rPr>
        <w:t xml:space="preserve"> </w:t>
      </w:r>
      <w:r>
        <w:rPr>
          <w:noProof/>
        </w:rPr>
        <w:br/>
      </w:r>
      <w:r>
        <w:rPr>
          <w:b/>
          <w:noProof/>
        </w:rPr>
        <w:t xml:space="preserve">1.2 Tendințe și evoluții recente </w:t>
      </w:r>
    </w:p>
    <w:p w14:paraId="263B40C5" w14:textId="46ED69E4" w:rsidR="00B348DA" w:rsidRPr="0012174E" w:rsidRDefault="00005C75" w:rsidP="0012174E">
      <w:pPr>
        <w:spacing w:after="120"/>
        <w:rPr>
          <w:noProof/>
        </w:rPr>
      </w:pPr>
      <w:r>
        <w:rPr>
          <w:b/>
          <w:noProof/>
        </w:rPr>
        <w:t>Țările din întreaga lume se pregătesc deja pentru punerea în aplicare a Regulamentului UE privind defrișările</w:t>
      </w:r>
      <w:r>
        <w:rPr>
          <w:noProof/>
        </w:rPr>
        <w:t>, utilizându-l adesea ca un catalizator pentru a consolida sistemele de trasabilitate și inițiativele în materie de durabilitate de-a lungul lanțurilor de aprovizionare cu produse de bază și pentru a îmbunătăți monitorizarea și guvernanța pădurilor și a agriculturii. Aceste efecte pozitive au fost documentate în cercetări recente (</w:t>
      </w:r>
      <w:r>
        <w:rPr>
          <w:rStyle w:val="FootnoteReference"/>
          <w:noProof/>
          <w:szCs w:val="24"/>
        </w:rPr>
        <w:footnoteReference w:id="15"/>
      </w:r>
      <w:r>
        <w:rPr>
          <w:noProof/>
        </w:rPr>
        <w:t>), demonstrând sinergii tot mai mari între inițiativele guvernamentale și cele din sectorul privat la nivel mondial. De exemplu, un raport al Forest Trends indică faptul că, începând din februarie 2026, cel puțin 25 de țări producătoare pun în aplicare peste 60 de inițiative guvernamentale legate de conformitatea cu Regulamentul privind defrișările, multe dintre acestea abordând aspecte mai ample de guvernanță, cum ar fi regimul funciar, trasabilitatea și claritatea juridică dincolo de lanțurile de aprovizionare individuale (</w:t>
      </w:r>
      <w:r>
        <w:rPr>
          <w:rStyle w:val="FootnoteReference"/>
          <w:noProof/>
          <w:szCs w:val="24"/>
        </w:rPr>
        <w:footnoteReference w:id="16"/>
      </w:r>
      <w:r>
        <w:rPr>
          <w:noProof/>
        </w:rPr>
        <w:t>).</w:t>
      </w:r>
    </w:p>
    <w:p w14:paraId="497380C5" w14:textId="63F66580" w:rsidR="00B348DA" w:rsidRPr="0012174E" w:rsidRDefault="00434127" w:rsidP="0012174E">
      <w:pPr>
        <w:spacing w:after="120"/>
        <w:rPr>
          <w:rFonts w:eastAsia="Arial"/>
          <w:noProof/>
        </w:rPr>
      </w:pPr>
      <w:r>
        <w:rPr>
          <w:noProof/>
        </w:rPr>
        <w:t>O parte substanțială a acestor eforturi a fost facilitată de finanțarea din partea UE și a statelor membre prin intermediul sprijinului tehnic și al programelor (</w:t>
      </w:r>
      <w:r>
        <w:rPr>
          <w:rStyle w:val="FootnoteReference"/>
          <w:noProof/>
        </w:rPr>
        <w:footnoteReference w:id="17"/>
      </w:r>
      <w:r>
        <w:rPr>
          <w:noProof/>
        </w:rPr>
        <w:t xml:space="preserve">) de capacitare a micilor fermieri, de stimulare a conservării pădurilor și de consolidare a capacităților locale pentru utilizarea durabilă a terenurilor și agricultură, precum și pentru crearea de locuri de muncă. </w:t>
      </w:r>
    </w:p>
    <w:p w14:paraId="239A1429" w14:textId="3FF15D66" w:rsidR="00515478" w:rsidRDefault="00005C75" w:rsidP="0012174E">
      <w:pPr>
        <w:spacing w:after="120"/>
        <w:rPr>
          <w:noProof/>
          <w:szCs w:val="24"/>
        </w:rPr>
      </w:pPr>
      <w:r>
        <w:rPr>
          <w:noProof/>
        </w:rPr>
        <w:t xml:space="preserve">Experiența dobândită în urma programelor și a inițiativelor în curs evidențiază trei tendințe majore în studiile de caz din Africa, Asia și America Latină: </w:t>
      </w:r>
    </w:p>
    <w:p w14:paraId="46B5943A" w14:textId="6EAF4E79" w:rsidR="00515478" w:rsidRPr="00515478" w:rsidRDefault="00816527" w:rsidP="000153CA">
      <w:pPr>
        <w:pStyle w:val="ListParagraph"/>
        <w:numPr>
          <w:ilvl w:val="0"/>
          <w:numId w:val="76"/>
        </w:numPr>
        <w:spacing w:after="120"/>
        <w:rPr>
          <w:noProof/>
          <w:szCs w:val="24"/>
        </w:rPr>
      </w:pPr>
      <w:r>
        <w:rPr>
          <w:noProof/>
        </w:rPr>
        <w:t xml:space="preserve">dezvoltarea rapidă și îmbunătățirea continuă a trasabilității lanțurilor de aprovizionare și a sistemelor de geolocalizare; </w:t>
      </w:r>
    </w:p>
    <w:p w14:paraId="00715AF0" w14:textId="56625A7D" w:rsidR="00515478" w:rsidRPr="00515478" w:rsidRDefault="00816527" w:rsidP="000153CA">
      <w:pPr>
        <w:pStyle w:val="ListParagraph"/>
        <w:numPr>
          <w:ilvl w:val="0"/>
          <w:numId w:val="76"/>
        </w:numPr>
        <w:spacing w:after="120"/>
        <w:rPr>
          <w:noProof/>
          <w:szCs w:val="24"/>
        </w:rPr>
      </w:pPr>
      <w:r>
        <w:rPr>
          <w:noProof/>
        </w:rPr>
        <w:t xml:space="preserve">consolidarea cadrelor naționale în materie de date și certificare și </w:t>
      </w:r>
    </w:p>
    <w:p w14:paraId="1641638A" w14:textId="163641DB" w:rsidR="00816527" w:rsidRPr="00515478" w:rsidRDefault="00816527" w:rsidP="000153CA">
      <w:pPr>
        <w:pStyle w:val="ListParagraph"/>
        <w:numPr>
          <w:ilvl w:val="0"/>
          <w:numId w:val="76"/>
        </w:numPr>
        <w:spacing w:after="120"/>
        <w:rPr>
          <w:noProof/>
          <w:szCs w:val="24"/>
        </w:rPr>
      </w:pPr>
      <w:r>
        <w:rPr>
          <w:noProof/>
        </w:rPr>
        <w:t>apariția unor sisteme digitale inovatoare.</w:t>
      </w:r>
    </w:p>
    <w:p w14:paraId="6EC14FF0" w14:textId="3592DED9" w:rsidR="00090C72" w:rsidRDefault="00581F5B" w:rsidP="0012174E">
      <w:pPr>
        <w:spacing w:after="120"/>
        <w:rPr>
          <w:rFonts w:eastAsia="Arial"/>
          <w:noProof/>
        </w:rPr>
      </w:pPr>
      <w:r>
        <w:rPr>
          <w:noProof/>
        </w:rPr>
        <w:t xml:space="preserve">De exemplu, un sistem digital de trasabilitate a cafelei, introdus în Etiopia, înregistrează lanțul de aprovizionare de la fermă la export și colectează date geospațiale prin intermediul aplicațiilor mobile pentru a verifica dacă cafeaua provine din culturi care nu implică defrișări. În mod similar, Ghana a lansat </w:t>
      </w:r>
      <w:r>
        <w:rPr>
          <w:i/>
          <w:noProof/>
        </w:rPr>
        <w:t>Sistemul de trasabilitate pentru cacao din Ghana</w:t>
      </w:r>
      <w:r>
        <w:rPr>
          <w:noProof/>
        </w:rPr>
        <w:t>, care cartografiază mii de ferme și corelează înregistrarea fermierilor cu datele privind exporturile, permițând elaborarea de rapoarte privind obligația de diligență orientate către cumpărători. Kenya utilizează, de asemenea, tehnologii de teledetecție în vederea pregătirii pentru punerea în aplicare a Regulamentului privind defrișările (</w:t>
      </w:r>
      <w:r>
        <w:rPr>
          <w:rStyle w:val="FootnoteReference"/>
          <w:rFonts w:eastAsia="Arial"/>
          <w:noProof/>
        </w:rPr>
        <w:footnoteReference w:id="18"/>
      </w:r>
      <w:r>
        <w:rPr>
          <w:noProof/>
        </w:rPr>
        <w:t>). În Côte d’Ivoire au fost elaborate hărți naționale foarte precise ale utilizării terenurilor, în strânsă coordonare cu Centrul Comun de Cercetare (JRC) al Comisiei. Platformele digitale inovatoare, cum ar fi platforma VISEC din Argentina, permit trasabilitatea exporturilor de soia. Sistemul guvernamental inovator „Selo Verde” din Brazilia integrează date de mediu și registre ale fermelor pentru a monitoriza respectarea legislației forestiere. Honduras a expediat deja cafea cu trasabilitate deplină în UE, utilizând o infrastructură digitală deschisă care include micii fermieri, demonstrând potențialul unor astfel de sisteme de a susține lanțurile de aprovizionare care nu implică defrișări. Thailanda a creat platforma EUDR THAI Traceability – un sistem de trasabilitate care funcționează ca o bază de date centrală unică pentru datele privind defrișările și legalitatea, pentru toate cele șapte produse de bază. În Malaysia, standardele naționale de durabilitate pentru uleiul de palmier, cauciuc și lemn au fost actualizate și aliniate la cerințele de informare prevăzute de Regulamentul privind defrișările. De asemenea, Indonezia și Malaysia își adaptează standardele naționale de durabilitate și dezvoltă sisteme integrate de trasabilitate (</w:t>
      </w:r>
      <w:r>
        <w:rPr>
          <w:rStyle w:val="FootnoteReference"/>
          <w:rFonts w:eastAsia="Arial"/>
          <w:noProof/>
        </w:rPr>
        <w:footnoteReference w:id="19"/>
      </w:r>
      <w:r>
        <w:rPr>
          <w:noProof/>
        </w:rPr>
        <w:t>).</w:t>
      </w:r>
      <w:r w:rsidR="009C0FF5">
        <w:rPr>
          <w:noProof/>
        </w:rPr>
        <w:t xml:space="preserve"> </w:t>
      </w:r>
    </w:p>
    <w:p w14:paraId="7966BC12" w14:textId="09C522B1" w:rsidR="0014465B" w:rsidRDefault="00373A34" w:rsidP="0012174E">
      <w:pPr>
        <w:spacing w:after="120"/>
        <w:rPr>
          <w:rFonts w:eastAsia="Arial"/>
          <w:noProof/>
        </w:rPr>
      </w:pPr>
      <w:r>
        <w:rPr>
          <w:noProof/>
        </w:rPr>
        <w:t>UE își menține angajamentul de a pune în aplicare Regulamentul privind defrișările prin colaborare, transparență și dialog deschis cu partenerii săi comerciali, inclusiv prin acorduri comerciale, platforme conexe și prin intermediul Organizației Mondiale a Comerțului. Măsurile de simplificare descrise în prezentul raport explică normele aplicabile și oferă clarificări pentru țările terțe care exportă către UE. Comisia își va continua activitățile de informare și va sprijini țările terțe în abordarea provocărilor legate de asigurarea unor lanțuri de aprovizionare care nu implică defrișări.</w:t>
      </w:r>
    </w:p>
    <w:p w14:paraId="03D0E6FD" w14:textId="4C5DC3CD" w:rsidR="003B3780" w:rsidRPr="00637B48" w:rsidRDefault="003B3780" w:rsidP="00637B48">
      <w:pPr>
        <w:rPr>
          <w:noProof/>
        </w:rPr>
      </w:pPr>
      <w:bookmarkStart w:id="2" w:name="_Hlk227673479"/>
      <w:r>
        <w:rPr>
          <w:noProof/>
        </w:rPr>
        <w:t>Statele membre ale UE înregistrează, de asemenea, progrese constante în ceea ce privește punerea în aplicare a Regulamentului privind defrișările, inclusiv adoptarea legislațiilor naționale de punere în aplicare a Regulamentului privind defrișările. Autoritățile competente ale statelor membre colaborează în mod activ cu părțile interesate de la nivel național prin seminare și campanii de informare specifice, precum și prin adaptarea și extinderea infrastructurii lor informatice pentru a sprijini conformitatea. Statele membre, sprijinite de Comisie, se concentrează, de asemenea, pe asigurarea armonizată a respectării legislației. De exemplu, în cadrul exercițiului de pregătire pentru punerea în aplicare a Regulamentului privind defrișările, finanțat de UE, statele membre au efectuat, în cooperare cu anumite întreprinderi din sectoarele vizate de Regulamentul privind defrișările, inspecții voluntare de conformitate pe mai multe luni (denumite în mod obișnuit „simulări”). (</w:t>
      </w:r>
      <w:r>
        <w:rPr>
          <w:rStyle w:val="FootnoteReference"/>
          <w:noProof/>
        </w:rPr>
        <w:footnoteReference w:id="20"/>
      </w:r>
      <w:r>
        <w:rPr>
          <w:noProof/>
        </w:rPr>
        <w:t xml:space="preserve">) De asemenea, Comisia a organizat la sfârșitul lunii noiembrie 2025, ca parte a programului său de asistență tehnică și schimb de informații, atelierul multinațional emblematic privind punerea în aplicare și asigurarea respectării Regulamentului UE privind defrișările, în cadrul căruia statele membre au făcut schimb de informații, de bune practici și de lecții învățate. </w:t>
      </w:r>
    </w:p>
    <w:bookmarkEnd w:id="2"/>
    <w:p w14:paraId="0992CA11" w14:textId="5F1F797E" w:rsidR="003B3A98" w:rsidRDefault="121F5611" w:rsidP="0012174E">
      <w:pPr>
        <w:spacing w:after="120"/>
        <w:rPr>
          <w:rFonts w:eastAsia="Calibri"/>
          <w:noProof/>
        </w:rPr>
      </w:pPr>
      <w:r>
        <w:rPr>
          <w:b/>
          <w:noProof/>
        </w:rPr>
        <w:t>De asemenea, s-au înregistrat progrese semnificative în ceea ce privește cartografierea suprafețelor împădurite și a acoperirii terenurilor la nivel mondial cu ajutorul instrumentelor de teledetecție.</w:t>
      </w:r>
      <w:r>
        <w:rPr>
          <w:noProof/>
        </w:rPr>
        <w:t xml:space="preserve"> JRC a elaborat un nou strat cartografic mondial privind pădurile, în cadrul activității Comisiei referitoare la Observatorul UE privind defrișările și degradarea pădurilor, cu scopul de a sprijini evaluările riscurilor efectuate în temeiul Regulamentului privind defrișările. Harta suprafețelor împădurite la nivel mondial pentru anul 2020 oferă o reprezentare armonizată și coerentă la nivel mondial a pădurilor la o rezoluție spațială de 10 m, care corespunde definiției pădurilor prevăzute în Regulamentul privind defrișările (</w:t>
      </w:r>
      <w:r>
        <w:rPr>
          <w:rStyle w:val="FootnoteReference"/>
          <w:rFonts w:eastAsia="Calibri"/>
          <w:noProof/>
        </w:rPr>
        <w:footnoteReference w:id="21"/>
      </w:r>
      <w:r>
        <w:rPr>
          <w:noProof/>
        </w:rPr>
        <w:t>). Aceasta a fost creată prin integrarea mai multor seturi de date obținute prin satelit (</w:t>
      </w:r>
      <w:r>
        <w:rPr>
          <w:rStyle w:val="FootnoteReference"/>
          <w:rFonts w:eastAsia="Calibri"/>
          <w:noProof/>
        </w:rPr>
        <w:footnoteReference w:id="22"/>
      </w:r>
      <w:r>
        <w:rPr>
          <w:noProof/>
        </w:rPr>
        <w:t>). Harta este actualizată în permanență pe măsură ce devin disponibile noi date și feedback din partea utilizatorilor, ceea ce sporește acuratețea și reprezentarea pădurilor la nivel mondial. Se înregistrează, de asemenea, o creștere semnificativă în ceea ce privește dezvoltarea de noi instrumente comerciale de informații geospațiale în sectorul privat. Comisia prezintă periodic și facilitează schimbul de bune practici între statele membre ale UE, țările terțe și părțile interesate din sectorul privat prin intermediul Platformei multipartite privind protejarea și refacerea pădurilor la nivel mondial a Grupului de experți (pentru mai multe informații, a se vedea capitolul 2.1).</w:t>
      </w:r>
    </w:p>
    <w:p w14:paraId="149A6904" w14:textId="7B161F2D" w:rsidR="00E63F32" w:rsidRPr="0012174E" w:rsidRDefault="00E63F32" w:rsidP="0012174E">
      <w:pPr>
        <w:spacing w:after="120"/>
        <w:rPr>
          <w:b/>
          <w:bCs/>
          <w:noProof/>
          <w:szCs w:val="24"/>
        </w:rPr>
      </w:pPr>
      <w:r>
        <w:rPr>
          <w:b/>
          <w:noProof/>
        </w:rPr>
        <w:t xml:space="preserve">1.3 Contextul măsurilor de simplificare a Regulamentului privind defrișările </w:t>
      </w:r>
    </w:p>
    <w:p w14:paraId="4E4E9A85" w14:textId="530EE200" w:rsidR="00335312" w:rsidRPr="0012174E" w:rsidRDefault="00295E6F" w:rsidP="0012174E">
      <w:pPr>
        <w:spacing w:after="120"/>
        <w:rPr>
          <w:noProof/>
          <w:szCs w:val="24"/>
        </w:rPr>
      </w:pPr>
      <w:r>
        <w:rPr>
          <w:noProof/>
        </w:rPr>
        <w:t xml:space="preserve">Cele două revizuiri ale textului juridic al Regulamentului privind defrișările au fost inițiate în urma observațiilor formulate de diverse părți interesate, cu scopul de a acorda mai mult timp tuturor țărilor și părților interesate pentru punerea sa în aplicare și de a asigura simplificări semnificative. </w:t>
      </w:r>
    </w:p>
    <w:p w14:paraId="35AC79C1" w14:textId="442D7AB2" w:rsidR="00951A2E" w:rsidRPr="0012174E" w:rsidRDefault="7E89858C" w:rsidP="0012174E">
      <w:pPr>
        <w:spacing w:after="120"/>
        <w:rPr>
          <w:noProof/>
        </w:rPr>
      </w:pPr>
      <w:r>
        <w:rPr>
          <w:noProof/>
        </w:rPr>
        <w:t>În decembrie 2024, pe baza unei propuneri a Comisiei, Parlamentul European și Consiliul au prelungit cu încă un an termenul de intrare în vigoare. În decembrie 2025, aceste instituții au adoptat o modificare suplimentară a Regulamentului privind defrișările (</w:t>
      </w:r>
      <w:r>
        <w:rPr>
          <w:rStyle w:val="FootnoteReference"/>
          <w:noProof/>
        </w:rPr>
        <w:footnoteReference w:id="23"/>
      </w:r>
      <w:r>
        <w:rPr>
          <w:noProof/>
        </w:rPr>
        <w:t>), pe baza unei a doua propuneri a Comisiei (</w:t>
      </w:r>
      <w:r>
        <w:rPr>
          <w:rStyle w:val="FootnoteReference"/>
          <w:noProof/>
        </w:rPr>
        <w:footnoteReference w:id="24"/>
      </w:r>
      <w:r>
        <w:rPr>
          <w:noProof/>
        </w:rPr>
        <w:t xml:space="preserve">), prin care s-a prelungit cu încă un an termenul de intrare în vigoare (decembrie 2026) și s-au introdus unele modificări de fond, pentru a simplifica punerea în aplicare practică și a reduce volumul de date care trebuie transmise. </w:t>
      </w:r>
    </w:p>
    <w:p w14:paraId="4F13F8C6" w14:textId="227DD79B" w:rsidR="00951A2E" w:rsidRPr="0012174E" w:rsidRDefault="00DC6727" w:rsidP="0012174E">
      <w:pPr>
        <w:spacing w:after="120"/>
        <w:rPr>
          <w:noProof/>
        </w:rPr>
      </w:pPr>
      <w:r>
        <w:rPr>
          <w:noProof/>
        </w:rPr>
        <w:t xml:space="preserve">În Regulamentul (UE) 2025/2650, Consiliul și Parlamentul European au inclus, de asemenea, o clauză [articolul 34 alineatul (1a)] prin care se solicită Comisiei să realizeze o </w:t>
      </w:r>
      <w:r>
        <w:rPr>
          <w:i/>
          <w:noProof/>
        </w:rPr>
        <w:t>„revizuire în scopul simplificării prezentului regulament și [să prezinte] Parlamentului European și Consiliului un raport în acest sens, însoțit, dacă este cazul, de o propunere legislativă”</w:t>
      </w:r>
      <w:r>
        <w:rPr>
          <w:noProof/>
        </w:rPr>
        <w:t xml:space="preserve">, care să fie prezentată până la 30 aprilie 2026. </w:t>
      </w:r>
    </w:p>
    <w:p w14:paraId="2EF56AB7" w14:textId="7C1431D5" w:rsidR="00940236" w:rsidRPr="0012174E" w:rsidRDefault="004D1E35" w:rsidP="0012174E">
      <w:pPr>
        <w:spacing w:after="120"/>
        <w:rPr>
          <w:noProof/>
          <w:szCs w:val="24"/>
        </w:rPr>
      </w:pPr>
      <w:r>
        <w:rPr>
          <w:noProof/>
        </w:rPr>
        <w:t xml:space="preserve">Considerentul 14 din regulamentul de modificare prevede, de asemenea, că </w:t>
      </w:r>
      <w:r>
        <w:rPr>
          <w:i/>
          <w:noProof/>
        </w:rPr>
        <w:t>„raportul ar trebui să evalueze sarcina administrativă și impactul regulamentului respectiv, în special pentru microoperatori sau micii operatori</w:t>
      </w:r>
      <w:r>
        <w:rPr>
          <w:noProof/>
        </w:rPr>
        <w:t>.</w:t>
      </w:r>
      <w:r>
        <w:rPr>
          <w:i/>
          <w:noProof/>
        </w:rPr>
        <w:t xml:space="preserve"> În plus, în raport, Comisia ar trebui să indice posibile modalități de abordare a problemelor identificate, inclusiv prin orientări tehnice, îmbunătățiri ale sistemului informatic, precum și acte delegate sau acte de punere în aplicare”.</w:t>
      </w:r>
    </w:p>
    <w:p w14:paraId="22E36468" w14:textId="2EDDA551" w:rsidR="0003409D" w:rsidRPr="00E84250" w:rsidRDefault="00B3090E" w:rsidP="0012174E">
      <w:pPr>
        <w:spacing w:after="120"/>
        <w:rPr>
          <w:noProof/>
        </w:rPr>
      </w:pPr>
      <w:r>
        <w:rPr>
          <w:noProof/>
        </w:rPr>
        <w:t>Astfel cum s-a menționat mai sus, raportul prezintă măsurile de simplificare introduse în temeiul Regulamentului privind defrișările de la intrarea sa în vigoare în iunie 2023 și oferă o evaluare a sarcinii administrative rezultate și a impactului general al regulamentului, în special pentru microoperatori sau micii operatori. De asemenea, Comisia evaluează măsura în care aceste simplificări au contribuit la reducerea sarcinii administrative pentru operatori și comercianți. În plus, raportul prezintă măsuri suplimentare de facilitare propuse de Comisie în urma revizuirii Regulamentului privind defrișările din decembrie 2025, inclusiv actualizarea documentelor cu întrebări frecvente și a celor de orientare, proiectul de propunere de act delegat privind domeniul de aplicare al produselor, precum și evoluțiile legate de sistemul de informații, menite să asigure aplicarea efectivă a regulamentului până la sfârșitul anului 2026.</w:t>
      </w:r>
    </w:p>
    <w:p w14:paraId="2F6211AC" w14:textId="0C4F4677" w:rsidR="006B2C2F" w:rsidRDefault="5B4A756F" w:rsidP="001E2D85">
      <w:pPr>
        <w:spacing w:after="0"/>
        <w:rPr>
          <w:b/>
          <w:bCs/>
          <w:noProof/>
          <w:sz w:val="28"/>
          <w:szCs w:val="28"/>
        </w:rPr>
      </w:pPr>
      <w:r>
        <w:rPr>
          <w:noProof/>
        </w:rPr>
        <w:t>Raportul prezintă în capitolul 2 măsurile de simplificare deja puse în aplicare de la intrarea în vigoare. Capitolul 3 prezintă feedbackul părților interesate, contribuțiile acestora și baza de dovezi care stă la baza noilor măsuri de simplificare introduse în cadrul actualului pachet de simplificare. Aceste măsuri sunt rezumate în capitolul 4, în timp ce capitolul 5 prezintă impactul cantitativ estimat atât al pachetului de simplificare anterior, cât și al noului pachet de simplificare.</w:t>
      </w:r>
    </w:p>
    <w:p w14:paraId="665E8650" w14:textId="77777777" w:rsidR="009024AA" w:rsidRDefault="009024AA">
      <w:pPr>
        <w:spacing w:after="0"/>
        <w:jc w:val="left"/>
        <w:rPr>
          <w:b/>
          <w:bCs/>
          <w:noProof/>
          <w:sz w:val="28"/>
          <w:szCs w:val="28"/>
        </w:rPr>
      </w:pPr>
    </w:p>
    <w:p w14:paraId="7AC7DBB5" w14:textId="2683F531" w:rsidR="00E63F32" w:rsidRPr="00E84250" w:rsidRDefault="00E63F32" w:rsidP="0012174E">
      <w:pPr>
        <w:spacing w:after="120"/>
        <w:rPr>
          <w:b/>
          <w:bCs/>
          <w:noProof/>
          <w:sz w:val="28"/>
          <w:szCs w:val="28"/>
        </w:rPr>
      </w:pPr>
      <w:r>
        <w:rPr>
          <w:b/>
          <w:noProof/>
          <w:sz w:val="28"/>
        </w:rPr>
        <w:t>2. Măsuri de simplificare puse în aplicare până la sfârșitul anului 2025</w:t>
      </w:r>
    </w:p>
    <w:p w14:paraId="18527E9F" w14:textId="5F57F7B1" w:rsidR="00604D4B" w:rsidRPr="00D21269" w:rsidRDefault="00604D4B" w:rsidP="0012174E">
      <w:pPr>
        <w:spacing w:after="120"/>
        <w:rPr>
          <w:b/>
          <w:bCs/>
          <w:noProof/>
          <w:szCs w:val="24"/>
        </w:rPr>
      </w:pPr>
      <w:r>
        <w:rPr>
          <w:b/>
          <w:noProof/>
        </w:rPr>
        <w:t xml:space="preserve">2.1. Colaborarea cu părțile interesate </w:t>
      </w:r>
    </w:p>
    <w:p w14:paraId="2EF30435" w14:textId="68E3708A" w:rsidR="00CA55B4" w:rsidRPr="0012174E" w:rsidRDefault="00CA55B4" w:rsidP="0012174E">
      <w:pPr>
        <w:spacing w:after="120"/>
        <w:rPr>
          <w:noProof/>
          <w:szCs w:val="24"/>
        </w:rPr>
      </w:pPr>
      <w:r>
        <w:rPr>
          <w:noProof/>
        </w:rPr>
        <w:t>De la intrarea în vigoare a Regulamentului privind defrișările în iunie 2023, Comisia a adoptat o serie de măsuri pentru a sprijini punerea sa în aplicare, pe baza contribuțiilor și a dovezilor colectate de la părțile interesate și de la statele membre.</w:t>
      </w:r>
    </w:p>
    <w:p w14:paraId="398A5655" w14:textId="47C4F7F4" w:rsidR="0003409D" w:rsidRPr="0012174E" w:rsidRDefault="546BFE6D" w:rsidP="44DF46F2">
      <w:pPr>
        <w:spacing w:after="120"/>
        <w:rPr>
          <w:noProof/>
        </w:rPr>
      </w:pPr>
      <w:r>
        <w:rPr>
          <w:noProof/>
        </w:rPr>
        <w:t xml:space="preserve">De-a lungul timpului, Comisia a colectat feedback de la părțile interesate prin consultări, ateliere, studii, reuniuni bilaterale și discuții în cadrul platformelor de experți. </w:t>
      </w:r>
    </w:p>
    <w:p w14:paraId="7F6CAE8B" w14:textId="46CF448F" w:rsidR="00A813AE" w:rsidRPr="0012174E" w:rsidDel="002C099C" w:rsidRDefault="0094652B" w:rsidP="0012174E">
      <w:pPr>
        <w:spacing w:after="120"/>
        <w:rPr>
          <w:noProof/>
        </w:rPr>
      </w:pPr>
      <w:r>
        <w:rPr>
          <w:noProof/>
        </w:rPr>
        <w:t xml:space="preserve">În 2024 și 2025, Direcția Generală Mediu a organizat aproximativ 700 de reuniuni bilaterale cu părțile interesate pentru a colecta contribuții și a răspunde la întrebări. Jumătate dintre aceste reuniuni au implicat colaborări cu actori din sectorul privat, inclusiv asociații de întreprinderi, întreprinderi, ONG-uri, precum și furnizori de servicii informatice și instituții de cercetare. Majoritatea celorlalte reuniuni au avut loc cu reprezentanți ai țărilor terțe (funcționari guvernamentali, întreprinderi și asociații de întreprinderi, actori ai societății civile etc.) la Bruxelles, în timpul reuniunilor din țările partenere și online. </w:t>
      </w:r>
    </w:p>
    <w:p w14:paraId="66DE19F5" w14:textId="349B4AC0" w:rsidR="00D97FB2" w:rsidRPr="0012174E" w:rsidRDefault="00B3090E" w:rsidP="0012174E">
      <w:pPr>
        <w:spacing w:after="120"/>
        <w:rPr>
          <w:noProof/>
        </w:rPr>
      </w:pPr>
      <w:r>
        <w:rPr>
          <w:noProof/>
        </w:rPr>
        <w:t>Platforma multipartită dedicată privind protejarea și refacerea pădurilor la nivel mondial (MSP), un grup de experți al Comisiei, este, de asemenea, o sursă importantă de contribuții și feedback. Platforma oferă orientări și sprijin Comisiei cu privire la punerea în aplicare a Regulamentului privind defrișările, pregătirea actelor delegate și a actelor de punere în aplicare, precum și cu privire la asigurarea respectării legislației, a programelor și a politicilor UE legate de protejarea și refacerea pădurilor la nivel mondial, inclusiv combaterea exploatării forestiere ilegale. De asemenea, platforma facilitează coordonarea cu statele membre și cu alte părți interesate. Platforma are în prezent 89 de membri: 62 de părți interesate și 27 de state membre. Țările terțe, organizațiile internaționale și anumite părți interesate participă în calitate de observatori. Printre părțile interesate participante se numără asociații de întreprinderi, ONG-uri și alte părți interesate, reprezentând toate cele șapte produse de bază care fac obiectul Regulamentului privind defrișările. În viitor, Comisia va lansa o cerere de propuneri pentru selectarea de noi membri ai Platformei multipartite (MSP), având în vedere Regulamentul revizuit privind defrișările și domeniul de aplicare modificat al produselor.</w:t>
      </w:r>
    </w:p>
    <w:p w14:paraId="469E5722" w14:textId="1A951ECD" w:rsidR="00A330E5" w:rsidRPr="0012174E" w:rsidDel="002C099C" w:rsidRDefault="00CA50AA" w:rsidP="0012174E">
      <w:pPr>
        <w:spacing w:after="120"/>
        <w:rPr>
          <w:noProof/>
        </w:rPr>
      </w:pPr>
      <w:r>
        <w:rPr>
          <w:noProof/>
        </w:rPr>
        <w:t xml:space="preserve">Pe parcursul anilor 2024 și 2025, au avut loc 14 astfel de reuniuni ale platformei. Reuniunile includeau, de regulă, atât o adunare generală, cât și o sesiune rezervată exclusiv statelor membre, în cadrul cărora aveau loc prezentări ale Comisiei și ale părților interesate, precum și un interval de timp dedicat părților interesate pentru a adresa întrebări și a-și exprima eventualele preocupări. De regulă, la o adunare generală participă aproximativ 150 de persoane. Pentru a îmbunătăți reprezentarea sectorială, în 2025 s-a acordat statutul de observator unui număr de 12 asociații și ONG-uri suplimentare. </w:t>
      </w:r>
    </w:p>
    <w:p w14:paraId="37E6372E" w14:textId="6D89B1C5" w:rsidR="01E9BDCB" w:rsidRPr="004E0929" w:rsidRDefault="750AFD3B" w:rsidP="3B6F18AA">
      <w:pPr>
        <w:spacing w:after="120"/>
        <w:rPr>
          <w:noProof/>
        </w:rPr>
      </w:pPr>
      <w:r>
        <w:rPr>
          <w:noProof/>
        </w:rPr>
        <w:t>Pe lângă platformă, Comisia contribuie în mod activ la activitatea Grupului de lucru informal pentru asigurarea respectării Regulamentului privind defrișările, un grup informal de experți organizat și prezidat de statele membre cu scopul de a discuta aspecte de politică și de a armoniza asigurarea respectării legislației.</w:t>
      </w:r>
    </w:p>
    <w:p w14:paraId="2408C22B" w14:textId="448F6CE9" w:rsidR="008005A2" w:rsidRDefault="7CAC2B50" w:rsidP="0012174E">
      <w:pPr>
        <w:spacing w:after="120"/>
        <w:rPr>
          <w:noProof/>
        </w:rPr>
      </w:pPr>
      <w:r>
        <w:rPr>
          <w:noProof/>
        </w:rPr>
        <w:t xml:space="preserve">Feedbackul furnizat în cursul tuturor acestor schimburi a stat la baza activității Comisiei de a facilita punerea în aplicare, aplicarea armonizată și asigurarea respectării regulamentului, astfel cum se subliniază mai jos. </w:t>
      </w:r>
    </w:p>
    <w:p w14:paraId="0C357C6E" w14:textId="31711260" w:rsidR="00DC2A34" w:rsidRDefault="00DC2A34" w:rsidP="0015133F">
      <w:pPr>
        <w:spacing w:after="120"/>
        <w:rPr>
          <w:noProof/>
          <w:szCs w:val="24"/>
        </w:rPr>
      </w:pPr>
      <w:r>
        <w:rPr>
          <w:noProof/>
        </w:rPr>
        <w:t>Comisia va continua să asigure un dialog structurat, constructiv și incluziv cu toate părțile interesate relevante, cu scopul de a sprijini punerea în aplicare eficace, coerentă și în timp util a regulamentului.</w:t>
      </w:r>
    </w:p>
    <w:p w14:paraId="622E20B9" w14:textId="1B2E4D63" w:rsidR="001A0EBF" w:rsidRPr="0012174E" w:rsidRDefault="0045334E" w:rsidP="0012174E">
      <w:pPr>
        <w:spacing w:after="120"/>
        <w:rPr>
          <w:b/>
          <w:bCs/>
          <w:noProof/>
          <w:szCs w:val="24"/>
        </w:rPr>
      </w:pPr>
      <w:r>
        <w:rPr>
          <w:b/>
          <w:noProof/>
        </w:rPr>
        <w:t xml:space="preserve">2.2 Măsuri legate de sistemul de informații </w:t>
      </w:r>
    </w:p>
    <w:p w14:paraId="54DF9984" w14:textId="35DFB3F4" w:rsidR="00382046" w:rsidRPr="0012174E" w:rsidRDefault="00382046" w:rsidP="0012174E">
      <w:pPr>
        <w:spacing w:after="120"/>
        <w:rPr>
          <w:noProof/>
          <w:szCs w:val="24"/>
        </w:rPr>
      </w:pPr>
      <w:r>
        <w:rPr>
          <w:noProof/>
        </w:rPr>
        <w:t xml:space="preserve">Regulamentul însărcinează Comisia să instituie și să gestioneze acest sistem de informații în conformitate cu articolul 33 din Regulamentul privind defrișările. Sistemul de informații este necesar pentru ca operatorii economici să respecte Regulamentul privind defrișările și pentru ca autoritățile competente să asigure respectarea acestuia. Prin urmare, este esențial să se asigure operabilitatea sistemului de informații, deoarece acesta trebuie să gestioneze toate tranzacțiile informatice inițiate de operatorii economici care intră în domeniul de aplicare al regulamentului. </w:t>
      </w:r>
    </w:p>
    <w:p w14:paraId="1AAAED4C" w14:textId="52CDD113" w:rsidR="005A13D2" w:rsidRPr="0012174E" w:rsidRDefault="0038082D" w:rsidP="0012174E">
      <w:pPr>
        <w:spacing w:after="120"/>
        <w:rPr>
          <w:noProof/>
          <w:szCs w:val="24"/>
        </w:rPr>
      </w:pPr>
      <w:r>
        <w:rPr>
          <w:noProof/>
        </w:rPr>
        <w:t>În urma schimburilor cu părțile interesate și cu statele membre, în decembrie 2024, Comisia a adoptat actul de punere în aplicare privind sistemul de informații (</w:t>
      </w:r>
      <w:r>
        <w:rPr>
          <w:rStyle w:val="FootnoteReference"/>
          <w:noProof/>
          <w:szCs w:val="24"/>
          <w:lang w:val="en-IE"/>
        </w:rPr>
        <w:footnoteReference w:id="25"/>
      </w:r>
      <w:r>
        <w:rPr>
          <w:noProof/>
        </w:rPr>
        <w:t xml:space="preserve">), care stabilește normele de funcționare a acestuia. Sistemul de informații a fost deschis pentru înregistrare la 6 noiembrie 2024 și a fost lansat la 4 decembrie 2024, permițând operatorilor și reprezentanților autorizați ai acestora să depună declarații privind diligența necesară. În aceeași zi a fost lansat și un server paralel de formare, care oferă părților interesate posibilitatea de a se familiariza cu caracteristicile sistemului. </w:t>
      </w:r>
    </w:p>
    <w:p w14:paraId="59ACA182" w14:textId="4168FB2E" w:rsidR="00382046" w:rsidRPr="00553E75" w:rsidRDefault="00676543" w:rsidP="0012174E">
      <w:pPr>
        <w:spacing w:after="120"/>
        <w:rPr>
          <w:noProof/>
          <w:szCs w:val="24"/>
        </w:rPr>
      </w:pPr>
      <w:r>
        <w:rPr>
          <w:noProof/>
        </w:rPr>
        <w:t>În paralel, Comisia a sprijinit părțile interesate cu documente explicative relevante cu privire la utilizarea sistemului, inclusiv cu un ghid al utilizatorului și cu materiale video de formare care sunt disponibile pe un site Europa dedicat (</w:t>
      </w:r>
      <w:r>
        <w:rPr>
          <w:rStyle w:val="FootnoteReference"/>
          <w:noProof/>
          <w:szCs w:val="24"/>
        </w:rPr>
        <w:footnoteReference w:id="26"/>
      </w:r>
      <w:r>
        <w:rPr>
          <w:noProof/>
        </w:rPr>
        <w:t xml:space="preserve">). De la lansarea sa în octombrie 2024, peste 33 000 de părți interesate au participat la cursuri de formare online în cadrul a 85 de sesiuni de formare. </w:t>
      </w:r>
    </w:p>
    <w:p w14:paraId="6A3EBE8C" w14:textId="69AE281A" w:rsidR="00AB2D2A" w:rsidRDefault="009E5EB1" w:rsidP="009024AA">
      <w:pPr>
        <w:rPr>
          <w:noProof/>
        </w:rPr>
      </w:pPr>
      <w:r>
        <w:rPr>
          <w:noProof/>
        </w:rPr>
        <w:t>La cererea industriei și a statelor membre, în al doilea trimestru al anului 2024 a fost dezvoltată și publicată o interfață de programare a aplicațiilor (API). Această interfață a fost concepută pentru a permite întreprinderilor să își conecteze sistemele interne direct la platforma UE printr-o conexiune de tip mașină-mașină, permițând operatorilor să transmită și să gestioneze declarațiile privind diligența necesară în bloc, în loc să introducă informațiile manual prin intermediul site-ului (interfața grafică cu utilizatorul). Alte funcții introduse în sistem simplifică procesul de depunere a datelor de către părțile interesate, cum ar fi reutilizarea conținutului de date existent, încărcarea geolocalizărilor sub formă de fișiere de date, punerea la dispoziție a unei hărți cu funcție de căutare pentru a identifica și confirma introducerea corectă a datelor de geolocalizare, precum și posibilitățile de modificare sau retragere a datelor transmise incorect, în vederea corectării erorilor.</w:t>
      </w:r>
    </w:p>
    <w:p w14:paraId="433AFD5C" w14:textId="2CD928B9" w:rsidR="00AE4CE5" w:rsidRPr="0012174E" w:rsidRDefault="0045334E" w:rsidP="0012174E">
      <w:pPr>
        <w:spacing w:after="120"/>
        <w:jc w:val="left"/>
        <w:rPr>
          <w:b/>
          <w:bCs/>
          <w:noProof/>
          <w:szCs w:val="24"/>
        </w:rPr>
      </w:pPr>
      <w:r>
        <w:rPr>
          <w:b/>
          <w:noProof/>
        </w:rPr>
        <w:t>2.3 Documente de orientare și documente cu întrebări frecvente</w:t>
      </w:r>
    </w:p>
    <w:p w14:paraId="29B941FF" w14:textId="3CDAA79C" w:rsidR="008261EF" w:rsidRPr="0012174E" w:rsidRDefault="273CDBBD" w:rsidP="0012174E">
      <w:pPr>
        <w:spacing w:after="120"/>
        <w:rPr>
          <w:b/>
          <w:noProof/>
        </w:rPr>
      </w:pPr>
      <w:r>
        <w:rPr>
          <w:noProof/>
        </w:rPr>
        <w:t xml:space="preserve">Orientările clare și cuprinzătoare constituie o punte esențială între intenția legislativă și punerea în practică, asigurându-se astfel că întreprinderile și administrațiile publice își înțeleg obligațiile. </w:t>
      </w:r>
    </w:p>
    <w:p w14:paraId="1755B342" w14:textId="2B5CE01E" w:rsidR="008A0863" w:rsidRPr="0012174E" w:rsidRDefault="00D967E1" w:rsidP="44DF46F2">
      <w:pPr>
        <w:spacing w:after="120"/>
        <w:rPr>
          <w:noProof/>
        </w:rPr>
      </w:pPr>
      <w:r>
        <w:rPr>
          <w:noProof/>
        </w:rPr>
        <w:t>În acest scop și ca urmare a cooperării strânse cu părțile interesate și cu statele membre, Comisia a publicat, în cursul anilor 2024 și 2025, două iterații ale unui document de orientare (</w:t>
      </w:r>
      <w:r>
        <w:rPr>
          <w:rStyle w:val="FootnoteReference"/>
          <w:noProof/>
        </w:rPr>
        <w:footnoteReference w:id="27"/>
      </w:r>
      <w:r>
        <w:rPr>
          <w:noProof/>
        </w:rPr>
        <w:t>) și patru iterații ale întrebărilor frecvente (</w:t>
      </w:r>
      <w:r>
        <w:rPr>
          <w:rStyle w:val="FootnoteReference"/>
          <w:noProof/>
        </w:rPr>
        <w:footnoteReference w:id="28"/>
      </w:r>
      <w:r>
        <w:rPr>
          <w:noProof/>
        </w:rPr>
        <w:t>) referitoare la punerea în aplicare a Regulamentului privind defrișările. Mai mult, au fost publicate mai multe infografice care explică în detaliu scenarii relevante privind lanțurile de aprovizionare (</w:t>
      </w:r>
      <w:r>
        <w:rPr>
          <w:rStyle w:val="FootnoteReference"/>
          <w:noProof/>
        </w:rPr>
        <w:footnoteReference w:id="29"/>
      </w:r>
      <w:r>
        <w:rPr>
          <w:noProof/>
        </w:rPr>
        <w:t xml:space="preserve">). Aceste materiale au oferit clarificări suplimentare care îmbunătățesc claritatea juridică, facilitează interpretarea consecventă și reduc sarcina administrativă între statele membre și lanțurile de aprovizionare, oferind în același timp simplificări operaționale. </w:t>
      </w:r>
    </w:p>
    <w:p w14:paraId="7FABD456" w14:textId="202FD205" w:rsidR="7906886E" w:rsidRPr="0012174E" w:rsidRDefault="20B009F3">
      <w:pPr>
        <w:spacing w:after="120" w:line="259" w:lineRule="auto"/>
        <w:rPr>
          <w:noProof/>
        </w:rPr>
      </w:pPr>
      <w:r>
        <w:rPr>
          <w:noProof/>
        </w:rPr>
        <w:t xml:space="preserve">Aceste orientări și întrebări frecvente existente au urmărit să ofere clarificări și să promoveze o abordare clară și armonizată a punerii în aplicare a legislației. De exemplu, în secțiunea de întrebări frecvente s-a subliniat posibilitatea de a include mai multe transporturi/loturi într-o singură declarație privind diligența necesară, precum și așa-numita „declarație în exces”, care permite operatorilor care comercializează produse de bază în vrac să declare mai multe parcele decât cele utilizate efectiv pentru producția respectivelor produse de bază. Aceste clarificări au redus în mod semnificativ complexitatea logistică și efortul administrativ. În plus, în cazul produselor compuse, s-a clarificat faptul că operatorul trebuie să exercite diligența necesară numai cu privire la principalul produs de bază considerat relevant în temeiul Regulamentului privind defrișările. </w:t>
      </w:r>
    </w:p>
    <w:p w14:paraId="534167C1" w14:textId="044051D4" w:rsidR="004660F7" w:rsidRDefault="11ADCE23" w:rsidP="0015133F">
      <w:pPr>
        <w:spacing w:after="120"/>
        <w:rPr>
          <w:i/>
          <w:iCs/>
          <w:noProof/>
        </w:rPr>
      </w:pPr>
      <w:r>
        <w:rPr>
          <w:noProof/>
        </w:rPr>
        <w:t xml:space="preserve">Având în vedere cele mai recente modificări aduse Regulamentului privind defrișările, unele părți ale orientărilor și ale întrebărilor frecvente (cum ar fi interpretarea obligațiilor de „asigurare”, procedurile simplificate de reimport pentru IMM-uri sau clarificările privind depunerea dublă a declarațiilor privind diligența necesară) au devenit între timp caduce și au fost eliminate. </w:t>
      </w:r>
    </w:p>
    <w:p w14:paraId="1D332A59" w14:textId="328FEF76" w:rsidR="0014455E" w:rsidRPr="0012174E" w:rsidRDefault="0045334E" w:rsidP="009024AA">
      <w:pPr>
        <w:spacing w:after="0"/>
        <w:jc w:val="left"/>
        <w:rPr>
          <w:b/>
          <w:bCs/>
          <w:noProof/>
          <w:szCs w:val="24"/>
        </w:rPr>
      </w:pPr>
      <w:r>
        <w:rPr>
          <w:b/>
          <w:noProof/>
        </w:rPr>
        <w:t>2.4 Modificări legislative</w:t>
      </w:r>
    </w:p>
    <w:p w14:paraId="62F235CC" w14:textId="6598D6EA" w:rsidR="6F4FD5C3" w:rsidRDefault="6F4FD5C3" w:rsidP="0012174E">
      <w:pPr>
        <w:spacing w:before="120" w:after="120"/>
        <w:rPr>
          <w:noProof/>
          <w:szCs w:val="24"/>
        </w:rPr>
      </w:pPr>
      <w:r>
        <w:rPr>
          <w:noProof/>
        </w:rPr>
        <w:t>La sfârșitul anului 2024, a fost adoptat un text revizuit al Regulamentului privind defrișările (</w:t>
      </w:r>
      <w:r>
        <w:rPr>
          <w:rStyle w:val="FootnoteReference"/>
          <w:noProof/>
          <w:szCs w:val="24"/>
        </w:rPr>
        <w:footnoteReference w:id="30"/>
      </w:r>
      <w:r>
        <w:rPr>
          <w:noProof/>
        </w:rPr>
        <w:t>), care a acordat tuturor actorilor economici și autorităților publice un an suplimentar pentru a se pregăti pentru intrarea în vigoare a Regulamentului privind defrișările.</w:t>
      </w:r>
    </w:p>
    <w:p w14:paraId="3B20309B" w14:textId="57A402C0" w:rsidR="00CD5C15" w:rsidRPr="0012174E" w:rsidRDefault="00CD5C15" w:rsidP="00637B48">
      <w:pPr>
        <w:spacing w:after="120"/>
        <w:rPr>
          <w:noProof/>
          <w:highlight w:val="yellow"/>
        </w:rPr>
      </w:pPr>
      <w:r>
        <w:rPr>
          <w:noProof/>
        </w:rPr>
        <w:t>În mai 2025, a fost adoptat actul de punere în aplicare de stabilire a unei liste a țărilor clasificate în funcție de riscul lor de defrișare. În temeiul acestui act, mai multe țări sunt clasificate ca prezentând un „risc scăzut” decât se anticipase în evaluarea inițială a impactului, ceea ce permite operatorilor care se aprovizionează din țări cu risc scăzut să beneficieze de o procedură simplificată de diligență necesară, în timp ce eforturile de asigurare a respectării legislației ale autorităților competente se concentrează asupra zonelor cu risc mai ridicat, care, împreună, reprezintă 95 % din pierderea globală a suprafețelor împădurite (</w:t>
      </w:r>
      <w:r>
        <w:rPr>
          <w:rStyle w:val="FootnoteReference"/>
          <w:noProof/>
          <w:lang w:val="en-IE"/>
        </w:rPr>
        <w:footnoteReference w:id="31"/>
      </w:r>
      <w:r>
        <w:rPr>
          <w:noProof/>
        </w:rPr>
        <w:t xml:space="preserve">). </w:t>
      </w:r>
    </w:p>
    <w:p w14:paraId="5D2251A0" w14:textId="3379CBB1" w:rsidR="005C2729" w:rsidRPr="0012174E" w:rsidRDefault="00D22E9A" w:rsidP="0012174E">
      <w:pPr>
        <w:spacing w:after="120"/>
        <w:rPr>
          <w:noProof/>
          <w:szCs w:val="24"/>
        </w:rPr>
      </w:pPr>
      <w:r>
        <w:rPr>
          <w:noProof/>
        </w:rPr>
        <w:t xml:space="preserve">Pe parcursul anului 2025, previziunile privind numărul de operațiuni și interacțiuni preconizate în sistemul de informații au condus la o reevaluare substanțială a încărcării sistemului, indicând un trafic mult mai mare în sistemul de informații decât cel anticipat. Pentru a aborda aceste riscuri și a evita o defecțiune a sistemului de informații, Comisia a propus, în octombrie 2025, modificări specifice menite să reducă presiunea asupra sistemului informatic și, în același timp, să ușureze sarcina administrativă pentru operatorii economici. </w:t>
      </w:r>
    </w:p>
    <w:p w14:paraId="4D0D229F" w14:textId="2D93C8E0" w:rsidR="00466EEB" w:rsidRPr="0012174E" w:rsidRDefault="00466EEB" w:rsidP="0012174E">
      <w:pPr>
        <w:spacing w:after="120"/>
        <w:rPr>
          <w:noProof/>
          <w:szCs w:val="24"/>
        </w:rPr>
      </w:pPr>
      <w:r>
        <w:rPr>
          <w:noProof/>
        </w:rPr>
        <w:t>La 19 decembrie 2025, Parlamentul European și Consiliul au adoptat un Regulament revizuit privind defrișările, adăugând o perioadă suplimentară înainte de intrarea în vigoare și introducând unele modificări de fond. Toate întreprinderile, indiferent dacă se află în UE sau în altă parte, au primit încă un an pentru a se pregăti pentru intrarea în vigoare. Mai precis, Regulamentul privind defrișările va intra în vigoare la 30 decembrie 2026 în ceea ce privește toate întreprinderile, cu excepția majorității microoperatorilor sau a operatorilor mici, în cazul cărora intrarea în vigoare este prevăzută să aibă loc la 30 iunie 2027. Pentru microoperatorii sau micii operatori care fac deja obiectul Regulamentului UE privind lemnul (</w:t>
      </w:r>
      <w:r>
        <w:rPr>
          <w:rStyle w:val="FootnoteReference"/>
          <w:noProof/>
          <w:szCs w:val="24"/>
          <w:lang w:val="en-US" w:eastAsia="en-GB"/>
        </w:rPr>
        <w:footnoteReference w:id="32"/>
      </w:r>
      <w:r>
        <w:rPr>
          <w:noProof/>
        </w:rPr>
        <w:t xml:space="preserve">), data intrării în vigoare va fi 30 decembrie 2026. </w:t>
      </w:r>
    </w:p>
    <w:p w14:paraId="09A71EB2" w14:textId="37EFBE20" w:rsidR="005964B7" w:rsidRPr="0012174E" w:rsidRDefault="005964B7" w:rsidP="44DF46F2">
      <w:pPr>
        <w:spacing w:after="120"/>
        <w:rPr>
          <w:noProof/>
        </w:rPr>
      </w:pPr>
      <w:r>
        <w:rPr>
          <w:noProof/>
        </w:rPr>
        <w:t>În temeiul textului juridic revizuit, modelul privind diligența necesară a trecut de la un sistem în care fiecare actor care introducea pe piață, transforma sau comercializa produse relevante (cu excepția IMM-urilor) trebuia să depună o declarație privind diligența necesară, la un sistem mai simplu, în care această responsabilitate îi revine în prezent primului operator care introduce sau exportă un produs relevant pe piața UE. Operatorii din aval și comercianții nu mai sunt obligați să depună propria declarație privind diligența necesară în sistemul de informații și nici să se asigure că s-a exercitat diligența necesară de-a lungul lanțurilor de aprovizionare. În schimb, obligațiile lor se limitează în principal la înregistrarea în sistemul de informații prevăzut de Regulamentul privind defrișările (pentru întreprinderile care nu sunt IMM-uri) și, numai în cazurile în care se află imediat după operator în lanțurile de aprovizionare, la colectarea numerelor de referință ale declarațiilor privind diligența necesară primite.</w:t>
      </w:r>
    </w:p>
    <w:p w14:paraId="088FDE33" w14:textId="2845202B" w:rsidR="0062074D" w:rsidRDefault="11CEE901" w:rsidP="0015133F">
      <w:pPr>
        <w:rPr>
          <w:noProof/>
        </w:rPr>
      </w:pPr>
      <w:r>
        <w:rPr>
          <w:noProof/>
        </w:rPr>
        <w:t>Pentru a reduce cât mai mult posibil sarcinile administrative, a fost introdusă, de asemenea, o nouă categorie de microoperatori primari sau mici operatori primari</w:t>
      </w:r>
      <w:r w:rsidR="00051EEA">
        <w:rPr>
          <w:noProof/>
        </w:rPr>
        <w:t xml:space="preserve"> (MSPO)</w:t>
      </w:r>
      <w:r>
        <w:rPr>
          <w:noProof/>
        </w:rPr>
        <w:t>. Această categorie se aplică microoperatorilor primari și micilor operatori primari stabiliți în țări clasificate ca prezentând un risc scăzut care, în cursul unei activități comerciale, introduc pe piață sau exportă produse relevante pe care ei înșiși le-au cultivat, recoltat, obținut sau crescut pe anumite parcele de teren. Acești operatori, în principal fermieri și silvicultori, nu mai sunt obligați să depună declarații privind diligența necesară de fiecare dată când introduc un produs pe piață sau îl exportă. În schimb, aceștia trebuie doar să depună o declarație simplificată unică și să transmită identificatorul corespunzător al declarației operatorilor din aval sau comercianților.</w:t>
      </w:r>
    </w:p>
    <w:tbl>
      <w:tblPr>
        <w:tblStyle w:val="TableGrid"/>
        <w:tblW w:w="0" w:type="auto"/>
        <w:shd w:val="clear" w:color="auto" w:fill="E8E8E8" w:themeFill="background2"/>
        <w:tblLook w:val="04A0" w:firstRow="1" w:lastRow="0" w:firstColumn="1" w:lastColumn="0" w:noHBand="0" w:noVBand="1"/>
      </w:tblPr>
      <w:tblGrid>
        <w:gridCol w:w="8602"/>
      </w:tblGrid>
      <w:tr w:rsidR="00E53BE8" w14:paraId="7FD8629C" w14:textId="77777777" w:rsidTr="00D21269">
        <w:trPr>
          <w:trHeight w:val="1192"/>
        </w:trPr>
        <w:tc>
          <w:tcPr>
            <w:tcW w:w="8602" w:type="dxa"/>
            <w:shd w:val="clear" w:color="auto" w:fill="E8E8E8" w:themeFill="background2"/>
          </w:tcPr>
          <w:p w14:paraId="0DD27524" w14:textId="16445690" w:rsidR="00E53BE8" w:rsidRDefault="28F32AE6" w:rsidP="00E53BE8">
            <w:pPr>
              <w:spacing w:after="120"/>
              <w:rPr>
                <w:b/>
                <w:bCs/>
                <w:noProof/>
              </w:rPr>
            </w:pPr>
            <w:r>
              <w:rPr>
                <w:noProof/>
              </w:rPr>
              <w:t xml:space="preserve"> </w:t>
            </w:r>
            <w:r>
              <w:rPr>
                <w:b/>
                <w:noProof/>
              </w:rPr>
              <w:t>Puncte-cheie – rezumatul capitolului:</w:t>
            </w:r>
          </w:p>
          <w:p w14:paraId="12B9DD0B" w14:textId="22FF1774" w:rsidR="00B962C2" w:rsidRDefault="00995EF6" w:rsidP="000A017B">
            <w:pPr>
              <w:spacing w:after="120"/>
              <w:rPr>
                <w:noProof/>
              </w:rPr>
            </w:pPr>
            <w:r>
              <w:rPr>
                <w:noProof/>
              </w:rPr>
              <w:t xml:space="preserve">În 2024 și 2025, UE a pus în aplicare măsuri-cheie de simplificare a Regulamentului privind defrișările, pe baza unui dialog amplu cu părțile interesate. Au fost publicate documente de orientare și documente cu întrebări frecvente pentru a clarifica obligațiile, introducând flexibilități, cum ar fi declarații unice privind diligența necesară pentru transporturi multiple, reimporturi simplificate pentru IMM-uri și norme raționalizate pentru produsele compuse. </w:t>
            </w:r>
          </w:p>
          <w:p w14:paraId="6F0076BF" w14:textId="6861BA3E" w:rsidR="00E53BE8" w:rsidRDefault="35F1CB0E" w:rsidP="000A017B">
            <w:pPr>
              <w:spacing w:after="120"/>
              <w:rPr>
                <w:noProof/>
                <w:szCs w:val="24"/>
              </w:rPr>
            </w:pPr>
            <w:r>
              <w:rPr>
                <w:noProof/>
              </w:rPr>
              <w:t xml:space="preserve">Modificările legislative din decembrie 2024 și 2025 au prelungit fiecare cu încă un an termenul de pregătire pentru intrarea în vigoare și au transferat responsabilitățile privind diligența necesară către întreprinderile care introduc pentru prima dată pe piața UE produsele în cauză, exceptând comercianții din aval de la obligația de depunere a declarațiilor privind diligența necesară și introducând în același timp o declarație simplificată unică pentru microoperatorii primari sau micii operatori primari. </w:t>
            </w:r>
          </w:p>
        </w:tc>
      </w:tr>
    </w:tbl>
    <w:p w14:paraId="10517191" w14:textId="17ABA4FA" w:rsidR="1A87F7BA" w:rsidRPr="000775D9" w:rsidRDefault="1A87F7BA" w:rsidP="0012174E">
      <w:pPr>
        <w:spacing w:after="120"/>
        <w:rPr>
          <w:noProof/>
          <w:szCs w:val="24"/>
        </w:rPr>
      </w:pPr>
    </w:p>
    <w:p w14:paraId="5329C17F" w14:textId="3048D8B5" w:rsidR="002C099C" w:rsidRPr="003B4F94" w:rsidRDefault="00347AC9" w:rsidP="0012174E">
      <w:pPr>
        <w:spacing w:after="120"/>
        <w:rPr>
          <w:b/>
          <w:bCs/>
          <w:noProof/>
          <w:sz w:val="28"/>
          <w:szCs w:val="28"/>
        </w:rPr>
      </w:pPr>
      <w:r>
        <w:rPr>
          <w:b/>
          <w:noProof/>
          <w:sz w:val="28"/>
        </w:rPr>
        <w:t>3. Feedbackul părților interesate care stă la baza noilor măsuri de simplificare</w:t>
      </w:r>
    </w:p>
    <w:p w14:paraId="3AB102CC" w14:textId="1AD7DF17" w:rsidR="002C099C" w:rsidRPr="0012174E" w:rsidRDefault="002C099C" w:rsidP="0012174E">
      <w:pPr>
        <w:spacing w:after="120"/>
        <w:rPr>
          <w:noProof/>
          <w:szCs w:val="24"/>
        </w:rPr>
      </w:pPr>
      <w:r>
        <w:rPr>
          <w:noProof/>
        </w:rPr>
        <w:t xml:space="preserve">Prezentul capitol prezintă dovezile colectate de la părțile interesate în urma revizuirii textului Regulamentului privind defrișările din 2025. Informațiile constituie o parte esențială a bazei de dovezi care sprijină noul pachet de măsuri. </w:t>
      </w:r>
    </w:p>
    <w:p w14:paraId="0E6201D8" w14:textId="77777777" w:rsidR="0015133F" w:rsidRDefault="0015133F" w:rsidP="0012174E">
      <w:pPr>
        <w:spacing w:after="120"/>
        <w:rPr>
          <w:b/>
          <w:bCs/>
          <w:noProof/>
          <w:szCs w:val="24"/>
        </w:rPr>
      </w:pPr>
    </w:p>
    <w:p w14:paraId="33C50CEC" w14:textId="0BA9DBCD" w:rsidR="002C099C" w:rsidRPr="0012174E" w:rsidRDefault="0090713A" w:rsidP="0012174E">
      <w:pPr>
        <w:spacing w:after="120"/>
        <w:rPr>
          <w:b/>
          <w:bCs/>
          <w:noProof/>
          <w:szCs w:val="24"/>
        </w:rPr>
      </w:pPr>
      <w:r>
        <w:rPr>
          <w:b/>
          <w:noProof/>
        </w:rPr>
        <w:t xml:space="preserve">3.1 Activități de implicare a părților interesate </w:t>
      </w:r>
    </w:p>
    <w:p w14:paraId="5E9F2149" w14:textId="721DD434" w:rsidR="005B15CD" w:rsidRPr="0012174E" w:rsidRDefault="003129B5" w:rsidP="0012174E">
      <w:pPr>
        <w:spacing w:after="120"/>
        <w:jc w:val="left"/>
        <w:rPr>
          <w:i/>
          <w:iCs/>
          <w:noProof/>
          <w:szCs w:val="24"/>
        </w:rPr>
      </w:pPr>
      <w:r>
        <w:rPr>
          <w:i/>
          <w:noProof/>
        </w:rPr>
        <w:t xml:space="preserve">3.1.1 Consultări cu părțile interesate </w:t>
      </w:r>
    </w:p>
    <w:p w14:paraId="3C652D9F" w14:textId="0832C5BA" w:rsidR="002C099C" w:rsidRPr="0012174E" w:rsidRDefault="00934E71" w:rsidP="0012174E">
      <w:pPr>
        <w:spacing w:after="120"/>
        <w:rPr>
          <w:noProof/>
          <w:szCs w:val="24"/>
        </w:rPr>
      </w:pPr>
      <w:r>
        <w:rPr>
          <w:noProof/>
        </w:rPr>
        <w:t>Pentru a identifica cele mai relevante subiecte pentru noile documente cu întrebări frecvente și documente de orientare și pentru a le putea analiza, Comisia a invitat părțile interesate, în cadrul celei de a 38-a MSP (</w:t>
      </w:r>
      <w:r>
        <w:rPr>
          <w:rStyle w:val="FootnoteReference"/>
          <w:noProof/>
        </w:rPr>
        <w:footnoteReference w:id="33"/>
      </w:r>
      <w:r>
        <w:rPr>
          <w:noProof/>
        </w:rPr>
        <w:t xml:space="preserve">) din decembrie 2025, să transmită întrebări și feedback cu privire la noul text juridic. Până la sfârșitul lunii februarie 2026, s-au primit peste 110 contribuții. Din acestea, s-au extras și s-au analizat peste 750 de întrebări și observații. Printre participanți s-au numărat asociații comerciale și de afaceri (35 %), întreprinderi individuale (20 %), autorități ale statelor membre ale UE (12 %), autorități din țări terțe (12 %), asociații comerciale și industriale din țări terțe (5 %), precum și ONG-uri și alte organizații, cum ar fi prestatorii de servicii și organismele de certificare (16 %). În plus, au avut loc 48 de reuniuni cu reprezentanți ai sectorului privat, ai statelor membre și ai țărilor terțe. În plus, MSP s-a reunit deja de două ori în 2026 (februarie și martie). </w:t>
      </w:r>
    </w:p>
    <w:p w14:paraId="65DEAB05" w14:textId="2680DD69" w:rsidR="002C099C" w:rsidRPr="0012174E" w:rsidRDefault="0090713A" w:rsidP="0012174E">
      <w:pPr>
        <w:spacing w:after="120"/>
        <w:jc w:val="left"/>
        <w:rPr>
          <w:i/>
          <w:iCs/>
          <w:noProof/>
          <w:szCs w:val="24"/>
        </w:rPr>
      </w:pPr>
      <w:r>
        <w:rPr>
          <w:i/>
          <w:noProof/>
        </w:rPr>
        <w:t>3.1.2 Consultare publică în 2025 cu privire la proiectul de act delegat referitor la domeniul de aplicare al Regulamentului privind defrișările</w:t>
      </w:r>
    </w:p>
    <w:p w14:paraId="265FCA0D" w14:textId="1ED824F3" w:rsidR="001B3DDF" w:rsidRPr="0012174E" w:rsidRDefault="002C099C" w:rsidP="0012174E">
      <w:pPr>
        <w:spacing w:after="120"/>
        <w:rPr>
          <w:noProof/>
          <w:szCs w:val="24"/>
        </w:rPr>
      </w:pPr>
      <w:r>
        <w:rPr>
          <w:noProof/>
        </w:rPr>
        <w:t>Un proiect de act delegat de modificare a Regulamentului privind defrișările în ceea ce privește lista produselor de bază și a altor produse relevante a fost publicat pentru consultare publică în perioada aprilie-mai 2025 (</w:t>
      </w:r>
      <w:r>
        <w:rPr>
          <w:rStyle w:val="FootnoteReference"/>
          <w:noProof/>
          <w:szCs w:val="24"/>
          <w:lang w:val="en-IE"/>
        </w:rPr>
        <w:footnoteReference w:id="34"/>
      </w:r>
      <w:r>
        <w:rPr>
          <w:noProof/>
        </w:rPr>
        <w:t xml:space="preserve">). Au fost primite 291 de răspunsuri din partea cetățenilor, a asociațiilor de întreprinderi, a ONG-urilor, a instituțiilor de cercetare, a cabinetelor de avocatură, a întreprinderilor și a autorităților publice, atât din interiorul, cât și din afara UE. Proiectul de text a obținut un consens larg din partea părților interesate. De asemenea, 40 % dintre respondenți au utilizat perioada de feedback pentru a oferi contribuții cu privire la adăugarea sau eliminarea anumitor produse. </w:t>
      </w:r>
    </w:p>
    <w:p w14:paraId="6DD65D8A" w14:textId="66F15EA6" w:rsidR="002C099C" w:rsidRPr="0012174E" w:rsidRDefault="0090713A" w:rsidP="0012174E">
      <w:pPr>
        <w:spacing w:after="120"/>
        <w:jc w:val="left"/>
        <w:rPr>
          <w:i/>
          <w:iCs/>
          <w:noProof/>
          <w:szCs w:val="24"/>
        </w:rPr>
      </w:pPr>
      <w:r>
        <w:rPr>
          <w:i/>
          <w:noProof/>
        </w:rPr>
        <w:t xml:space="preserve">3.1.3 Consultare publică privind pachetul omnibus privind mediul </w:t>
      </w:r>
    </w:p>
    <w:p w14:paraId="4995ADB2" w14:textId="6C66ACFB" w:rsidR="00FD4FA3" w:rsidRPr="0012174E" w:rsidRDefault="002C099C" w:rsidP="0012174E">
      <w:pPr>
        <w:spacing w:after="120"/>
        <w:rPr>
          <w:noProof/>
          <w:szCs w:val="24"/>
        </w:rPr>
      </w:pPr>
      <w:r>
        <w:rPr>
          <w:noProof/>
        </w:rPr>
        <w:t>În cursul consultării publice privind pachetul omnibus privind mediul din 2025 (</w:t>
      </w:r>
      <w:r>
        <w:rPr>
          <w:rStyle w:val="FootnoteReference"/>
          <w:noProof/>
          <w:lang w:val="en-IE"/>
        </w:rPr>
        <w:footnoteReference w:id="35"/>
      </w:r>
      <w:r>
        <w:rPr>
          <w:noProof/>
        </w:rPr>
        <w:t xml:space="preserve">), un număr mare de respondenți au furnizat contribuții cu privire la Regulamentul privind defrișările, în pofida faptului că acesta nu a fost inclus în domeniul de aplicare al pachetului omnibus. S-au primit contribuții de la peste 550 de părți interesate, care au vizat atât observații la nivel înalt, cât și documente de poziție detaliate, precum și de la aproximativ 1 800 de cetățeni. Feedbackul substanțial oferă informații valoroase cu privire la așteptările părților interesate, la sprijin și la preocupările legate de punerea în aplicare. </w:t>
      </w:r>
    </w:p>
    <w:p w14:paraId="217F3713" w14:textId="0D523D25" w:rsidR="002C099C" w:rsidRPr="0012174E" w:rsidRDefault="0090713A" w:rsidP="0012174E">
      <w:pPr>
        <w:spacing w:after="120"/>
        <w:rPr>
          <w:noProof/>
          <w:szCs w:val="24"/>
        </w:rPr>
      </w:pPr>
      <w:r>
        <w:rPr>
          <w:i/>
          <w:noProof/>
        </w:rPr>
        <w:t>3.1.4 Consultări privind sistemul de informații</w:t>
      </w:r>
    </w:p>
    <w:p w14:paraId="01F91586" w14:textId="3C54A8EC" w:rsidR="002C099C" w:rsidRPr="0012174E" w:rsidRDefault="002C099C" w:rsidP="00DD0F0E">
      <w:pPr>
        <w:rPr>
          <w:noProof/>
        </w:rPr>
      </w:pPr>
      <w:r>
        <w:rPr>
          <w:noProof/>
        </w:rPr>
        <w:t xml:space="preserve">Pentru a evalua mai bine volumul de date care urmează să fie gestionate de sistemul de informații, pentru a înțelege interacțiunile utilizatorilor și pentru a colecta feedback cu privire la experiențele acestora, în ianuarie 2026 a fost lansat un sondaj specific, urmat de un număr limitat de interviuri subsecvente. Prin intermediul asociațiilor comerciale, au fost invitate să participe 155 de întreprinderi din toate sectoarele de produse de bază reglementate de Regulamentul privind defrișările, de la mici producători naționali la operatori multinaționali care comercializează mai multe produse de bază. La sondaj au participat 140 de întreprinderi. Comisia a organizat, de asemenea, două ateliere pentru a înțelege mai bine provocările cu care se confruntă operatorii atunci când utilizează interfața grafică cu utilizatorul a sistemului de informații. Primul atelier s-a axat pe microoperatorii primari sau pe micii operatori primari, iar al doilea pe operatorii importatori. </w:t>
      </w:r>
    </w:p>
    <w:p w14:paraId="4BBB5932" w14:textId="54D222EB" w:rsidR="002C099C" w:rsidRPr="0012174E" w:rsidRDefault="0090713A" w:rsidP="0012174E">
      <w:pPr>
        <w:spacing w:after="120"/>
        <w:jc w:val="left"/>
        <w:rPr>
          <w:b/>
          <w:bCs/>
          <w:noProof/>
          <w:szCs w:val="24"/>
        </w:rPr>
      </w:pPr>
      <w:r>
        <w:rPr>
          <w:b/>
          <w:noProof/>
        </w:rPr>
        <w:t>3.2 Perspective și feedback din partea principalelor părți interesate: cinci domenii în care sunt necesare clarificări și simplificări suplimentare</w:t>
      </w:r>
      <w:r w:rsidR="009C0FF5">
        <w:rPr>
          <w:b/>
          <w:noProof/>
        </w:rPr>
        <w:t xml:space="preserve"> </w:t>
      </w:r>
    </w:p>
    <w:p w14:paraId="54FF9079" w14:textId="0FCDEDB7" w:rsidR="0089607E" w:rsidRPr="0012174E" w:rsidRDefault="004A3A4D" w:rsidP="0012174E">
      <w:pPr>
        <w:spacing w:before="120" w:after="120"/>
        <w:rPr>
          <w:noProof/>
          <w:szCs w:val="24"/>
        </w:rPr>
      </w:pPr>
      <w:r>
        <w:rPr>
          <w:noProof/>
        </w:rPr>
        <w:t>Feedbackul primit de la părțile interesate în urma activităților prezentate mai sus a fost analizat cu atenție. Au fost identificate cinci domenii prioritare în care părțile interesate solicită clarificări sau simplificări suplimentare: microoperatorii primari sau micii operatori primari, obligațiile privind lanțul de aprovizionare din aval, obligațiile privind diligența necesară (legalitate și categoria cu risc zero), domeniul de aplicare al produselor și sistemul de informații.</w:t>
      </w:r>
    </w:p>
    <w:p w14:paraId="11D4161C" w14:textId="5B6D4F45" w:rsidR="00BD5A6D" w:rsidRPr="0012174E" w:rsidRDefault="0090713A" w:rsidP="0012174E">
      <w:pPr>
        <w:spacing w:after="120"/>
        <w:rPr>
          <w:i/>
          <w:iCs/>
          <w:noProof/>
          <w:szCs w:val="24"/>
        </w:rPr>
      </w:pPr>
      <w:r>
        <w:rPr>
          <w:i/>
          <w:noProof/>
        </w:rPr>
        <w:t xml:space="preserve">3.2.1 Microoperatori primari sau mici operatori primari </w:t>
      </w:r>
    </w:p>
    <w:p w14:paraId="56DAFEBE" w14:textId="02E0A43F" w:rsidR="00A409D9" w:rsidRPr="0012174E" w:rsidRDefault="004A2C5E" w:rsidP="0012174E">
      <w:pPr>
        <w:spacing w:after="120"/>
        <w:rPr>
          <w:noProof/>
          <w:szCs w:val="24"/>
        </w:rPr>
      </w:pPr>
      <w:r>
        <w:rPr>
          <w:noProof/>
        </w:rPr>
        <w:t>O parte semnificativă a feedbackului s-a axat pe metodologia de calculare a cantității anuale estimate de produse relevante, în timp ce altă parte a pus sub semnul întrebării circumstanțele în care o adresă poștală ar putea înlocui datele de geolocalizare. Părțile interesate au solicitat, de asemenea, clarificări cu privire la modul de determinare a dimensiunii întreprinderii, având în vedere, de asemenea, fluctuațiile de la an la an. Întreprinderile mai mari, cu o implicare doar parțială în producția de produse de bază relevante, au solicitat clarificări cu privire la criteriile referitoare la modul de calificare ca microoperatori primari sau mici operatori primari, precum și la modul de identificare și evaluare a segmentelor de activitate relevante pentru calificare. În plus, s-au primit solicitări de orientări cu privire la obligația microoperatorilor primari sau a micilor operatori primari de a actualiza declarațiile simplificate unice și la ceea ce constituie o „modificare majoră” care declanșează astfel de actualizări. Unele cooperative forestiere au solicitat posibilitatea de a depune declarații simplificate în numele membrilor lor. În cele din urmă, crescătorii de bovine au subliniat necesitatea de a clarifica rolurile din cadrul lanțului de aprovizionare, în special cine ar trebui considerat operator, operator din aval sau comerciant – în special în cazurile care implică animale vii.</w:t>
      </w:r>
    </w:p>
    <w:p w14:paraId="1A260249" w14:textId="3D10E5BF" w:rsidR="00BD5A6D" w:rsidRPr="0012174E" w:rsidRDefault="007F3567" w:rsidP="0012174E">
      <w:pPr>
        <w:spacing w:after="120"/>
        <w:rPr>
          <w:i/>
          <w:iCs/>
          <w:noProof/>
          <w:szCs w:val="24"/>
        </w:rPr>
      </w:pPr>
      <w:r>
        <w:rPr>
          <w:i/>
          <w:noProof/>
        </w:rPr>
        <w:t xml:space="preserve">3.2.2 Obligații privind lanțul de aprovizionare din aval </w:t>
      </w:r>
    </w:p>
    <w:p w14:paraId="275E9BF4" w14:textId="03873C75" w:rsidR="7784A671" w:rsidRPr="004A2880" w:rsidRDefault="004E5619" w:rsidP="0012174E">
      <w:pPr>
        <w:spacing w:after="120"/>
        <w:rPr>
          <w:noProof/>
        </w:rPr>
      </w:pPr>
      <w:r>
        <w:rPr>
          <w:noProof/>
        </w:rPr>
        <w:t>Părțile interesate au furnizat feedback detaliat cu privire la obligațiile privind lanțul de aprovizionare, cu accent pe clarificarea rolurilor și a cerințelor procedurale. Ele au susținut că primii actori din aval ar trebui să aibă o obligație mai degrabă pasivă decât proactivă de a colecta numerele de referință sau identificatorii declarațiilor, subliniind că numai primul operator, fiind singura parte capabilă să se autoidentifice, ar trebui să poarte responsabilitatea transmiterii acestor detalii în aval. S-au solicitat numeroase clarificări cu privire la semnificația practică a obligației de „colectare și păstrare” pentru primii actori din aval, inclusiv în ceea ce privește formatele acceptabile de transmitere și stocare, dacă acestea trebuie să corespundă cu transporturile individuale sau cu produsele și dacă se așteaptă ca actorii din aval să verifice în mod regulat validitatea acestora. Părțile interesate au subliniat, de asemenea, nevoia de flexibilitate, solicitând ca o singură entitate să își poată asuma mai multe roluri. Au apărut întrebări cu privire la cerințele de declarare vamală pentru exporturile efectuate de operatorii din aval, în special dacă ar fi suficient un cod generic sau dacă trebuie utilizate numerele de referință originale. Alte incertitudini se refereau la tratamentul aplicat reimporturilor. În cele din urmă, părțile interesate au solicitat orientări practice privind obligațiile de verificare pentru actorii din aval care nu sunt IMM-uri.</w:t>
      </w:r>
    </w:p>
    <w:p w14:paraId="3FEFD98D" w14:textId="3F1C8B93" w:rsidR="00BD5A6D" w:rsidRPr="004A2880" w:rsidRDefault="007F3567" w:rsidP="0012174E">
      <w:pPr>
        <w:spacing w:after="120"/>
        <w:rPr>
          <w:i/>
          <w:iCs/>
          <w:noProof/>
          <w:szCs w:val="24"/>
        </w:rPr>
      </w:pPr>
      <w:r>
        <w:rPr>
          <w:i/>
          <w:noProof/>
        </w:rPr>
        <w:t>3.2.3 Obligații privind diligența necesară</w:t>
      </w:r>
    </w:p>
    <w:p w14:paraId="201A9827" w14:textId="61890566" w:rsidR="00A57483" w:rsidRDefault="00E94909" w:rsidP="0012174E">
      <w:pPr>
        <w:spacing w:after="120"/>
        <w:rPr>
          <w:noProof/>
          <w:szCs w:val="24"/>
        </w:rPr>
      </w:pPr>
      <w:r>
        <w:rPr>
          <w:noProof/>
        </w:rPr>
        <w:t xml:space="preserve">Părțile interesate au evidențiat lacune în orientările actuale în ceea ce privește evaluarea și demonstrarea conformității cu cerințele de legalitate, solicitând clarificări suplimentare cu privire la modul de evaluare a respectării legislației comerciale, a standardelor de muncă, a protecției drepturilor omului și a interdicțiilor privind munca copiilor. Pentru a raționaliza eforturile de asigurare a conformității, ele au solicitat o mai mare accesibilitate la un registru centralizat al legislației naționale relevante din țările producătoare, subliniind necesitatea ca Comisia să faciliteze accesul transparent la aceste cadre juridice. În plus, s-a sugerat să se introducă „culoare verzi” pentru produsele certificate și să se coreleze mai bine sistemele de certificare existente cu obligațiile privind diligența necesară. </w:t>
      </w:r>
    </w:p>
    <w:p w14:paraId="52CB7538" w14:textId="428D5204" w:rsidR="009442D3" w:rsidRPr="004A2880" w:rsidRDefault="008175B3" w:rsidP="0012174E">
      <w:pPr>
        <w:spacing w:after="120"/>
        <w:rPr>
          <w:noProof/>
          <w:szCs w:val="24"/>
        </w:rPr>
      </w:pPr>
      <w:r>
        <w:rPr>
          <w:noProof/>
        </w:rPr>
        <w:t xml:space="preserve">Unele părți interesate au propus, de asemenea, introducerea unei clasificări cu „risc zero” pentru țările cu un risc de defrișare neglijabil, pentru a reduce sau a elimina obligațiile privind diligența necesară pentru operatorii care se aprovizionează din țările respective. </w:t>
      </w:r>
    </w:p>
    <w:p w14:paraId="3811EBE1" w14:textId="77777777" w:rsidR="0015133F" w:rsidRDefault="0015133F">
      <w:pPr>
        <w:spacing w:after="0"/>
        <w:jc w:val="left"/>
        <w:rPr>
          <w:i/>
          <w:iCs/>
          <w:noProof/>
          <w:szCs w:val="24"/>
        </w:rPr>
      </w:pPr>
      <w:r>
        <w:rPr>
          <w:noProof/>
        </w:rPr>
        <w:br w:type="page"/>
      </w:r>
    </w:p>
    <w:p w14:paraId="2C151A25" w14:textId="7741F2F0" w:rsidR="00BD5A6D" w:rsidRPr="004A2880" w:rsidRDefault="00EF5FE2" w:rsidP="0012174E">
      <w:pPr>
        <w:spacing w:after="120"/>
        <w:rPr>
          <w:i/>
          <w:iCs/>
          <w:noProof/>
          <w:szCs w:val="24"/>
        </w:rPr>
      </w:pPr>
      <w:r>
        <w:rPr>
          <w:i/>
          <w:noProof/>
        </w:rPr>
        <w:t>3.2.4 Domeniul de aplicare al produselor</w:t>
      </w:r>
    </w:p>
    <w:p w14:paraId="7B4B3CB5" w14:textId="60A10D4B" w:rsidR="00D96EA7" w:rsidRDefault="00D96EA7" w:rsidP="0015133F">
      <w:pPr>
        <w:spacing w:after="120"/>
        <w:rPr>
          <w:noProof/>
        </w:rPr>
      </w:pPr>
      <w:r>
        <w:rPr>
          <w:noProof/>
        </w:rPr>
        <w:t xml:space="preserve">Părțile interesate au ridicat semne de întrebare cu privire la domeniul de aplicare și clasificarea produselor, în special în urma eliminării din anexa I, de către colegiuitori, la sfârșitul anului 2025, a SA 49 (cărți și materiale tipărite), ceea ce a creat ambiguități cu privire la produsele tipărite care rămân în domeniul de aplicare. S-au solicitat numeroase clarificări cu privire la exceptările pentru produsele uzate, second-hand, deșeuri și subproduse, precum și pentru eșantioane, în cazul cărora definițiile au fost considerate neclare. Au fost observate și alte incertitudini cu privire la obligațiile legate de materialele de ambalare, paleți și suporturile de expunere a produselor, părțile interesate punând sub semnul întrebării includerea acestora. Pentru a asigura o abordare coerentă de-a lungul lanțului de aprovizionare, au existat solicitări contradictorii în ceea ce privește extinderea domeniului de aplicare pentru a include produse derivate suplimentare – cum ar fi săpun, fidea de săpun, baloane și alte produse finite fabricate din latex de cauciuc, cafea solubilă și mai mulți derivați ai uleiului de palmier (inclusiv biocombustibili și hrană pentru animale). În schimb, unele produse, inclusiv pieile de bovine, anvelopele reșapate și anumiți derivați ai uleiului de palmier, au fost propuse pentru excludere din cauza unor justificări operaționale sau tehnice, în timp ce unele părți interesate s-au opus unei astfel de excluderi. În cele din urmă, micii operatori au pledat pentru introducerea unei reguli </w:t>
      </w:r>
      <w:r>
        <w:rPr>
          <w:i/>
          <w:noProof/>
        </w:rPr>
        <w:t>de minimis</w:t>
      </w:r>
      <w:r>
        <w:rPr>
          <w:noProof/>
        </w:rPr>
        <w:t xml:space="preserve"> care să excepteze cantitățile mici de la obligațiile prevăzute în Regulamentul privind defrișările.</w:t>
      </w:r>
    </w:p>
    <w:p w14:paraId="60EED134" w14:textId="75C101CB" w:rsidR="00BD5A6D" w:rsidRPr="004A2880" w:rsidRDefault="007F3567" w:rsidP="0012174E">
      <w:pPr>
        <w:spacing w:after="120"/>
        <w:rPr>
          <w:i/>
          <w:iCs/>
          <w:noProof/>
          <w:szCs w:val="24"/>
        </w:rPr>
      </w:pPr>
      <w:r>
        <w:rPr>
          <w:i/>
          <w:noProof/>
        </w:rPr>
        <w:t>3.2.5 Sistemul de informații</w:t>
      </w:r>
    </w:p>
    <w:p w14:paraId="773A61BF" w14:textId="1B300CA9" w:rsidR="003D4011" w:rsidRDefault="00624136" w:rsidP="00C6228D">
      <w:pPr>
        <w:rPr>
          <w:noProof/>
        </w:rPr>
      </w:pPr>
      <w:r>
        <w:rPr>
          <w:noProof/>
        </w:rPr>
        <w:t>Părțile interesate au evidențiat prioritățile tehnice și operaționale critice pentru sistemul de informații prevăzut de Regulamentul privind defrișările, solicitând accelerarea termenelor API pentru a permite realizarea la timp a dezvoltărilor informatice. Ele au susținut gruparea numerelor de referință și a identificatorilor pentru actorii din aval, solicitând, în același timp, înregistrarea și depunerea voluntară a declarației privind diligența necesară de către actorii din aval pentru a spori flexibilitatea. O altă cerință esențială a fost punerea în aplicare a planificării măsurilor de contingență, cum ar fi emiterea de numere convenționale pentru declarațiile privind diligența necesară în cazul unei întreruperi a sistemului. Eficiența operațională a fost subliniată prin solicitările de mărire a limitelor privind dimensiunea fișierelor (în prezent 25 MB). Părțile interesate au solicitat îmbunătățirea raportării erorilor prin furnizarea unei documentații detaliate, precum și o prelucrare transparentă a datelor de geolocalizare, inclusiv armonizarea verificărilor între interfața cu utilizatorul și datele transmise prin API. Pentru a reduce presiunea asupra sistemului, părțile interesate au propus implementarea unor webhookuri care să notifice operatorii cu privire la modificările de stare ale datelor transmise de aceștia. Operatorii au solicitat, de asemenea, introducerea conturilor de servicii pentru a permite accesul mai multor persoane autorizate la sistem. Accesul operatorilor din afara UE la sistemul informatic a reprezentat o preocupare a părților interesate din țările terțe. Autoritățile competente au solicitat asistență tehnică adecvată și un interval de timp suficient pentru integrarea sistemului.</w:t>
      </w:r>
    </w:p>
    <w:tbl>
      <w:tblPr>
        <w:tblStyle w:val="TableGrid"/>
        <w:tblW w:w="0" w:type="auto"/>
        <w:shd w:val="clear" w:color="auto" w:fill="E8E8E8" w:themeFill="background2"/>
        <w:tblLook w:val="04A0" w:firstRow="1" w:lastRow="0" w:firstColumn="1" w:lastColumn="0" w:noHBand="0" w:noVBand="1"/>
      </w:tblPr>
      <w:tblGrid>
        <w:gridCol w:w="8602"/>
      </w:tblGrid>
      <w:tr w:rsidR="00FF4C70" w14:paraId="3DAEBBF1" w14:textId="77777777" w:rsidTr="00D21269">
        <w:tc>
          <w:tcPr>
            <w:tcW w:w="8602" w:type="dxa"/>
            <w:shd w:val="clear" w:color="auto" w:fill="E8E8E8" w:themeFill="background2"/>
          </w:tcPr>
          <w:p w14:paraId="6F354CA0" w14:textId="1EB6E9D8" w:rsidR="003D4011" w:rsidRPr="00A57483" w:rsidRDefault="00B23840" w:rsidP="00A57483">
            <w:pPr>
              <w:spacing w:after="0"/>
              <w:rPr>
                <w:b/>
                <w:bCs/>
                <w:noProof/>
                <w:sz w:val="2"/>
                <w:szCs w:val="2"/>
              </w:rPr>
            </w:pPr>
            <w:r>
              <w:rPr>
                <w:noProof/>
              </w:rPr>
              <w:t xml:space="preserve"> </w:t>
            </w:r>
          </w:p>
          <w:p w14:paraId="024A0BA2" w14:textId="23343D4E" w:rsidR="00FF4C70" w:rsidRDefault="00FF4C70" w:rsidP="00FF4C70">
            <w:pPr>
              <w:spacing w:after="120"/>
              <w:rPr>
                <w:b/>
                <w:bCs/>
                <w:noProof/>
                <w:szCs w:val="24"/>
              </w:rPr>
            </w:pPr>
            <w:r>
              <w:rPr>
                <w:b/>
                <w:noProof/>
              </w:rPr>
              <w:t>Puncte-cheie – rezumatul capitolului:</w:t>
            </w:r>
          </w:p>
          <w:p w14:paraId="78047DF4" w14:textId="3F9F03F6" w:rsidR="00E422D1" w:rsidRDefault="00FF4C70" w:rsidP="00FF4C70">
            <w:pPr>
              <w:spacing w:after="120"/>
              <w:rPr>
                <w:noProof/>
                <w:szCs w:val="24"/>
              </w:rPr>
            </w:pPr>
            <w:r>
              <w:rPr>
                <w:noProof/>
              </w:rPr>
              <w:t xml:space="preserve">Feedbackul părților interesate care a stat la baza revizuirii în scopul simplificării a evidențiat cinci domenii critice care necesită clarificări: </w:t>
            </w:r>
          </w:p>
          <w:p w14:paraId="6074B9E3" w14:textId="1D626A4B" w:rsidR="00E422D1" w:rsidRPr="003907DC" w:rsidRDefault="0075030C" w:rsidP="00A57483">
            <w:pPr>
              <w:pStyle w:val="ListParagraph"/>
              <w:numPr>
                <w:ilvl w:val="0"/>
                <w:numId w:val="74"/>
              </w:numPr>
              <w:spacing w:after="0"/>
              <w:rPr>
                <w:noProof/>
                <w:szCs w:val="24"/>
              </w:rPr>
            </w:pPr>
            <w:r>
              <w:rPr>
                <w:noProof/>
              </w:rPr>
              <w:t xml:space="preserve">calificarea microoperatorilor primari sau a micilor operatori primari; </w:t>
            </w:r>
          </w:p>
          <w:p w14:paraId="00B7D530" w14:textId="0AB64D96" w:rsidR="00E422D1" w:rsidRPr="003907DC" w:rsidRDefault="00FF4C70" w:rsidP="00A57483">
            <w:pPr>
              <w:pStyle w:val="ListParagraph"/>
              <w:numPr>
                <w:ilvl w:val="0"/>
                <w:numId w:val="74"/>
              </w:numPr>
              <w:spacing w:after="0"/>
              <w:rPr>
                <w:noProof/>
                <w:szCs w:val="24"/>
              </w:rPr>
            </w:pPr>
            <w:r>
              <w:rPr>
                <w:noProof/>
              </w:rPr>
              <w:t>obligațiile privind lanțul de aprovizionare din aval;</w:t>
            </w:r>
          </w:p>
          <w:p w14:paraId="0FB7A101" w14:textId="5267C716" w:rsidR="00E422D1" w:rsidRPr="003907DC" w:rsidRDefault="00EE1E88" w:rsidP="00A57483">
            <w:pPr>
              <w:pStyle w:val="ListParagraph"/>
              <w:numPr>
                <w:ilvl w:val="0"/>
                <w:numId w:val="74"/>
              </w:numPr>
              <w:spacing w:after="0"/>
              <w:rPr>
                <w:noProof/>
                <w:szCs w:val="24"/>
              </w:rPr>
            </w:pPr>
            <w:r>
              <w:rPr>
                <w:noProof/>
              </w:rPr>
              <w:t>obligațiile privind diligența necesară (legalitate și risc zero);</w:t>
            </w:r>
          </w:p>
          <w:p w14:paraId="7CACF01D" w14:textId="28943DCE" w:rsidR="003D3330" w:rsidRPr="003907DC" w:rsidRDefault="00FF4C70" w:rsidP="00A57483">
            <w:pPr>
              <w:pStyle w:val="ListParagraph"/>
              <w:numPr>
                <w:ilvl w:val="0"/>
                <w:numId w:val="74"/>
              </w:numPr>
              <w:spacing w:after="0"/>
              <w:rPr>
                <w:noProof/>
                <w:szCs w:val="24"/>
              </w:rPr>
            </w:pPr>
            <w:r>
              <w:rPr>
                <w:noProof/>
              </w:rPr>
              <w:t>ambiguitățile domeniului de aplicare al produselor și</w:t>
            </w:r>
          </w:p>
          <w:p w14:paraId="5014813C" w14:textId="58FA415C" w:rsidR="00FF4C70" w:rsidRPr="00A57483" w:rsidRDefault="00FF4C70" w:rsidP="00FF041C">
            <w:pPr>
              <w:pStyle w:val="ListParagraph"/>
              <w:numPr>
                <w:ilvl w:val="0"/>
                <w:numId w:val="74"/>
              </w:numPr>
              <w:spacing w:after="120"/>
              <w:ind w:left="714" w:hanging="357"/>
              <w:rPr>
                <w:noProof/>
              </w:rPr>
            </w:pPr>
            <w:r>
              <w:rPr>
                <w:noProof/>
              </w:rPr>
              <w:t xml:space="preserve">îmbunătățiri ale sistemului de informații. </w:t>
            </w:r>
          </w:p>
        </w:tc>
      </w:tr>
    </w:tbl>
    <w:p w14:paraId="68C0B6D0" w14:textId="44324711" w:rsidR="009024AA" w:rsidRDefault="009024AA">
      <w:pPr>
        <w:spacing w:after="0"/>
        <w:jc w:val="left"/>
        <w:rPr>
          <w:b/>
          <w:bCs/>
          <w:noProof/>
          <w:sz w:val="28"/>
          <w:szCs w:val="28"/>
        </w:rPr>
      </w:pPr>
    </w:p>
    <w:p w14:paraId="04727505" w14:textId="6F960167" w:rsidR="001A0EBF" w:rsidRPr="0067616F" w:rsidRDefault="007F3567" w:rsidP="0012174E">
      <w:pPr>
        <w:spacing w:after="120"/>
        <w:jc w:val="left"/>
        <w:rPr>
          <w:b/>
          <w:bCs/>
          <w:noProof/>
          <w:sz w:val="28"/>
          <w:szCs w:val="28"/>
        </w:rPr>
      </w:pPr>
      <w:r>
        <w:rPr>
          <w:b/>
          <w:noProof/>
          <w:sz w:val="28"/>
        </w:rPr>
        <w:t xml:space="preserve">4. Măsuri identificate </w:t>
      </w:r>
    </w:p>
    <w:p w14:paraId="1795B6F9" w14:textId="639480E2" w:rsidR="00176617" w:rsidRPr="0012174E" w:rsidRDefault="004D499F" w:rsidP="0012174E">
      <w:pPr>
        <w:spacing w:before="120" w:after="120"/>
        <w:rPr>
          <w:noProof/>
          <w:szCs w:val="24"/>
        </w:rPr>
      </w:pPr>
      <w:r>
        <w:rPr>
          <w:noProof/>
        </w:rPr>
        <w:t xml:space="preserve">Luând în considerare feedbackul descris în capitolele 2 și 3, Comisia a identificat un set de măsuri care abordează în mare măsură preocupările exprimate și care facilitează și simplifică punerea în aplicare. </w:t>
      </w:r>
    </w:p>
    <w:p w14:paraId="66A427F9" w14:textId="3C975833" w:rsidR="00456A1A" w:rsidRDefault="004135D4" w:rsidP="009024AA">
      <w:pPr>
        <w:spacing w:after="120"/>
        <w:rPr>
          <w:noProof/>
          <w:szCs w:val="24"/>
        </w:rPr>
      </w:pPr>
      <w:r>
        <w:rPr>
          <w:noProof/>
        </w:rPr>
        <w:t>Mai jos sunt prezentate principalele actualizări ale documentelor de orientare și ale documentelor cu întrebări frecvente (secțiunea 4.1), ale sistemului de informații (secțiunea 4.2) și ale domeniului de aplicare al produselor (secțiunea 4.3). Mai mult, capitolul introduce o nouă inițiativă axată pe crearea unor registre juridice și de certificare (secțiunea 4.4).</w:t>
      </w:r>
    </w:p>
    <w:p w14:paraId="35FFF03F" w14:textId="069F42C8" w:rsidR="001A0EBF" w:rsidRPr="0012174E" w:rsidRDefault="007F3567" w:rsidP="0012174E">
      <w:pPr>
        <w:spacing w:after="120"/>
        <w:jc w:val="left"/>
        <w:rPr>
          <w:b/>
          <w:bCs/>
          <w:noProof/>
          <w:szCs w:val="24"/>
        </w:rPr>
      </w:pPr>
      <w:r>
        <w:rPr>
          <w:b/>
          <w:noProof/>
        </w:rPr>
        <w:t>4.1 Documente de orientare și documente cu întrebări frecvente pentru a asigura o punere în aplicare și o asigurare a respectării legislației armonizate</w:t>
      </w:r>
    </w:p>
    <w:p w14:paraId="082F9F53" w14:textId="57A67225" w:rsidR="00B3090E" w:rsidRPr="00B3090E" w:rsidRDefault="00B3090E" w:rsidP="00B3090E">
      <w:pPr>
        <w:pStyle w:val="NormalWeb"/>
        <w:spacing w:after="120"/>
        <w:rPr>
          <w:noProof/>
        </w:rPr>
      </w:pPr>
      <w:r>
        <w:rPr>
          <w:noProof/>
        </w:rPr>
        <w:t>Documentele de orientare și documentele cu întrebări frecvente ale Comisiei urmăresc să sprijine punerea în aplicare coerentă și proporțională a regulamentului în toate statele membre, asigurând claritatea pentru actorii economici și autoritățile competente. Statele membre sunt încurajate să le ia în considerare în cadrul politicilor lor de asigurare a respectării legislației și de sancționare, pentru a evita impunerea unor sarcini disproporționate, în special în ceea ce privește microoperatorii primari sau micii operatori primari. În special, în conformitate cu abordarea bazată pe riscuri stabilită de Regulamentul privind defrișările, statele membre sunt încurajate să își concentreze inspecțiile și acțiunile de asigurare a respectării legislației asupra actorilor care au cele mai multe obligații în ceea ce privește diligența necesară în temeiul Regulamentului privind defrișările, cum ar fi cei care introduc pentru prima dată produse pe piață. Pentru operatorii din aval și comercianți, aceste acțiuni ar trebui să fie proporționale cu obligațiile care le revin și care au fost modificate în Regulamentul revizuit privind defrișările. Comisia va continua să colaboreze cu statele membre pentru a asigura convergența practicilor de asigurare a respectării legislației, inclusiv, dacă este necesar, prin intermediul unor modele și instrumente.</w:t>
      </w:r>
    </w:p>
    <w:p w14:paraId="75E4F8A8" w14:textId="0C3A0CF6" w:rsidR="00EA2B5C" w:rsidRPr="00975420" w:rsidRDefault="00EA2B5C" w:rsidP="0012174E">
      <w:pPr>
        <w:pStyle w:val="NormalWeb"/>
        <w:spacing w:after="120"/>
        <w:rPr>
          <w:noProof/>
        </w:rPr>
      </w:pPr>
      <w:r>
        <w:rPr>
          <w:noProof/>
        </w:rPr>
        <w:t xml:space="preserve">În urma modificării Regulamentului privind defrișările în 2025, </w:t>
      </w:r>
      <w:r>
        <w:rPr>
          <w:b/>
          <w:noProof/>
        </w:rPr>
        <w:t>documentul cu întrebări frecvente și documentul de orientare au fost actualizate</w:t>
      </w:r>
      <w:r>
        <w:rPr>
          <w:noProof/>
        </w:rPr>
        <w:t>. Pe lângă ajustările necesare, Comisia a profitat de ocazie pentru a analiza contribuțiile părților interesate, pe baza cărora au fost introduse mai multe clarificări operaționale suplimentare. Acestea sunt grupate în patru categorii: clarificări menite să simplifice activitatea lanțului de aprovizionare din aval, microoperatorii primari sau micii operatori primari, precum și toate aspectele legate de legalitate pentru toți operatorii. În documentele actualizate sunt furnizate explicații detaliate; în infograficele privind lanțul de aprovizionare din cadrul Regulamentului privind defrișările sunt furnizate exemple de scenarii (</w:t>
      </w:r>
      <w:r>
        <w:rPr>
          <w:rStyle w:val="FootnoteReference"/>
          <w:noProof/>
        </w:rPr>
        <w:footnoteReference w:id="36"/>
      </w:r>
      <w:r>
        <w:rPr>
          <w:noProof/>
        </w:rPr>
        <w:t>).</w:t>
      </w:r>
    </w:p>
    <w:p w14:paraId="23557B61" w14:textId="628D4CFF" w:rsidR="00C07F42" w:rsidRPr="00975420" w:rsidRDefault="00516AE4" w:rsidP="0012174E">
      <w:pPr>
        <w:spacing w:after="120"/>
        <w:rPr>
          <w:i/>
          <w:iCs/>
          <w:noProof/>
          <w:szCs w:val="24"/>
        </w:rPr>
      </w:pPr>
      <w:r>
        <w:rPr>
          <w:i/>
          <w:noProof/>
        </w:rPr>
        <w:t>4.1.1 Măsuri suplimentare de sprijin pentru lanțul de aprovizionare din aval</w:t>
      </w:r>
    </w:p>
    <w:p w14:paraId="67CC40CF" w14:textId="77777777" w:rsidR="00D05432" w:rsidRDefault="00134546" w:rsidP="000A017B">
      <w:pPr>
        <w:pStyle w:val="NormalWeb"/>
        <w:spacing w:after="120"/>
        <w:rPr>
          <w:noProof/>
        </w:rPr>
      </w:pPr>
      <w:r>
        <w:rPr>
          <w:noProof/>
        </w:rPr>
        <w:t xml:space="preserve">Primul set de clarificări operaționale se referă la stabilirea mai clară a rolurilor în lanțul de aprovizionare din aval și la clarificări privind importurile și exporturile. </w:t>
      </w:r>
    </w:p>
    <w:p w14:paraId="1AF0B0EA" w14:textId="4946050E" w:rsidR="006850A2" w:rsidRDefault="00D05432" w:rsidP="00D05432">
      <w:pPr>
        <w:spacing w:after="0"/>
        <w:textAlignment w:val="baseline"/>
        <w:rPr>
          <w:noProof/>
        </w:rPr>
      </w:pPr>
      <w:r>
        <w:rPr>
          <w:noProof/>
        </w:rPr>
        <w:t xml:space="preserve">În temeiul Regulamentului revizuit privind defrișările, </w:t>
      </w:r>
      <w:r>
        <w:rPr>
          <w:b/>
          <w:noProof/>
        </w:rPr>
        <w:t>actorul din aval</w:t>
      </w:r>
      <w:r>
        <w:rPr>
          <w:noProof/>
        </w:rPr>
        <w:t xml:space="preserve"> trebuie să colecteze și să păstreze informații (în principal numele, adresa poștală și adresa de e-mail) referitoare la partenerii săi de afaceri direcți. Aceste informații sunt incluse, de regulă, în datele comerciale standard, cum ar fi facturile, pe care majoritatea operatorilor din aval și a comercianților le dețin deja ca parte a tranzacțiilor de rutină. Informațiile urmează să facă obiectul unor schimburi în afara sistemului prevăzut în Regulamentul privind defrișările.</w:t>
      </w:r>
    </w:p>
    <w:p w14:paraId="592046AA" w14:textId="77777777" w:rsidR="006850A2" w:rsidRDefault="006850A2" w:rsidP="00D05432">
      <w:pPr>
        <w:spacing w:after="0"/>
        <w:textAlignment w:val="baseline"/>
        <w:rPr>
          <w:noProof/>
        </w:rPr>
      </w:pPr>
    </w:p>
    <w:p w14:paraId="5923BBA0" w14:textId="03E1B2C1" w:rsidR="00D05432" w:rsidRPr="002032CD" w:rsidRDefault="00D05432" w:rsidP="00637B48">
      <w:pPr>
        <w:spacing w:after="120"/>
        <w:textAlignment w:val="baseline"/>
        <w:rPr>
          <w:rFonts w:eastAsia="Calibri"/>
          <w:noProof/>
        </w:rPr>
      </w:pPr>
      <w:r>
        <w:rPr>
          <w:noProof/>
        </w:rPr>
        <w:t xml:space="preserve">Numai în cazul în care furnizorul direct al actorului din aval este un operator (din amonte), ceea ce face ca operatorul din aval sau comerciantul să fie un așa-numit </w:t>
      </w:r>
      <w:r>
        <w:rPr>
          <w:b/>
          <w:noProof/>
        </w:rPr>
        <w:t>prim operator din aval sau comerciant</w:t>
      </w:r>
      <w:r>
        <w:rPr>
          <w:noProof/>
        </w:rPr>
        <w:t>, informațiile solicitate trebuie să includă și numerele de referință ale declarației privind diligența necesară sau identificatorii declarațiilor pentru produsele relevante.</w:t>
      </w:r>
    </w:p>
    <w:p w14:paraId="36AE1BF5" w14:textId="22FF98B4" w:rsidR="00A90B7A" w:rsidRPr="004A2880" w:rsidRDefault="009B4468" w:rsidP="000A017B">
      <w:pPr>
        <w:pStyle w:val="NormalWeb"/>
        <w:spacing w:after="120"/>
        <w:rPr>
          <w:noProof/>
        </w:rPr>
      </w:pPr>
      <w:r>
        <w:rPr>
          <w:noProof/>
        </w:rPr>
        <w:t xml:space="preserve">În detaliu, pentru a asigura o simplificare practică pentru actorii din aval, noile documente de orientare și noile documente cu întrebări frecvente prezintă o abordare pragmatică pentru ca acești actori să stabilească dacă sunt sau nu primul operator din aval. Se clarifică faptul că obligația primului actor din lanțul de aprovizionare din aval de a colecta și de a păstra numerele de referință sau identificatorii declarațiilor este una pasivă – actorul din aval nu este obligat să investigheze sau să solicite în mod proactiv furnizorului său numărul de referință sau identificatorul declarației. Operatorul din aval sau comerciantul, acționând cu bună-credință, poate presupune că furnizorii săi nu sunt operatori din amonte dacă nu primește de la aceștia numere de referință sau identificatori ai declarațiilor. Într-o situație tipică de vânzare cu amănuntul, și anume în cazul în care actorul din aval își vinde produsul unui utilizator final, actorul din aval nu are obligația de a colecta sau de a păstra informațiile menționate mai sus de la acest utilizator final. În cele din urmă, deși actorii din aval au obligația de a informa autoritățile în cazul unor informații care indică o neconformitate, inclusiv în cazul unor suspiciuni motivate, aceasta este o obligație pur reactivă și nu implică obligații active de a solicita astfel de informații de-a lungul lanțului de aprovizionare. Mai mult, situația actorilor din aval trebuie, de asemenea, să fie luată în considerare în cadrul politicii de asigurare a respectării legislației a statelor membre (a se vedea introducerea la secțiunea 4.1 de mai sus). </w:t>
      </w:r>
    </w:p>
    <w:p w14:paraId="4E757308" w14:textId="74C8704C" w:rsidR="00DA2A5A" w:rsidRDefault="005017A1" w:rsidP="0012174E">
      <w:pPr>
        <w:pStyle w:val="NormalWeb"/>
        <w:spacing w:after="120"/>
        <w:rPr>
          <w:noProof/>
        </w:rPr>
      </w:pPr>
      <w:r>
        <w:rPr>
          <w:noProof/>
        </w:rPr>
        <w:t>În ceea ce privește reimporturile, întrebările frecvente clarifică faptul că reimportul de produse este o activitate din aval. În cazul în care importatorul poate furniza dovezi care să ateste că produsele introduse pe piața UE au fost deja introduse pe piața UE anterior sau sunt derivate din produse introduse anterior pe piața UE, importatorul este considerat un operator din aval. La vamă, „reimportatorul” poate utiliza un număr de referință convențional.</w:t>
      </w:r>
    </w:p>
    <w:p w14:paraId="72F5D0EF" w14:textId="1D87DE06" w:rsidR="002E4384" w:rsidRDefault="009C6195" w:rsidP="0012174E">
      <w:pPr>
        <w:pStyle w:val="NormalWeb"/>
        <w:spacing w:after="120"/>
        <w:rPr>
          <w:noProof/>
        </w:rPr>
      </w:pPr>
      <w:r>
        <w:rPr>
          <w:noProof/>
        </w:rPr>
        <w:t>Actorii din aval care nu sunt IMM-uri au obligația de a acționa pe baza informațiilor care indică o posibilă neconformitate, inclusiv suspiciunea motivată. Întrebările frecvente și documentele de orientare conțin clarificări cu privire la modul în care acești actori pot verifica dacă s-a exercitat diligența necesară în cazul unor suspiciuni motivate, oferind diferite posibilități în funcție de informațiile obținute.</w:t>
      </w:r>
    </w:p>
    <w:p w14:paraId="315F9088" w14:textId="6DDE4F4F" w:rsidR="00DF282A" w:rsidRPr="0012174E" w:rsidRDefault="00DF282A" w:rsidP="0012174E">
      <w:pPr>
        <w:pStyle w:val="NormalWeb"/>
        <w:spacing w:after="120"/>
        <w:rPr>
          <w:noProof/>
        </w:rPr>
      </w:pPr>
      <w:r>
        <w:rPr>
          <w:noProof/>
        </w:rPr>
        <w:t>Întrebările frecvente oferă clarificări suplimentare cu privire la cazurile în care una și aceeași întreprindere are un „rol dublu”, de exemplu atunci când întreprinderea importă un produs relevant și îl transformă ulterior înainte de a-l vinde pe piața UE. O astfel de întreprindere ar fi atât operator, cât și (primul) operator din aval.</w:t>
      </w:r>
    </w:p>
    <w:p w14:paraId="3AFFA614" w14:textId="04958AD8" w:rsidR="00605EF6" w:rsidRPr="0012174E" w:rsidRDefault="00513E57" w:rsidP="0012174E">
      <w:pPr>
        <w:pStyle w:val="NormalWeb"/>
        <w:spacing w:after="120"/>
        <w:rPr>
          <w:noProof/>
        </w:rPr>
      </w:pPr>
      <w:r>
        <w:rPr>
          <w:noProof/>
        </w:rPr>
        <w:t xml:space="preserve">În plus, întrebările frecvente explică faptul că operatorii din aval care exportă produse care fac obiectul unei declarații privind diligența necesară sau al unei declarații simplificate existente sunt exceptați de la obligația de a prezenta autorităților vamale, la export, un număr de referință sau un identificator al declarației. În schimb, poate fi utilizat un cod de certificat TARIC specific. </w:t>
      </w:r>
    </w:p>
    <w:p w14:paraId="13038A7D" w14:textId="5E978497" w:rsidR="00605EF6" w:rsidRPr="0012174E" w:rsidRDefault="00F32F1F" w:rsidP="0012174E">
      <w:pPr>
        <w:pStyle w:val="NormalWeb"/>
        <w:spacing w:after="120"/>
        <w:rPr>
          <w:noProof/>
        </w:rPr>
      </w:pPr>
      <w:r>
        <w:rPr>
          <w:noProof/>
        </w:rPr>
        <w:t>În cele din urmă, se precizează că, în lanțul de aprovizionare cu bovine, prima persoană fizică sau juridică ce introduce bovine vii pe piața UE este operatorul (din amonte). Toți vânzătorii ulteriori de bovine vii sunt comercianți și nu sunt obligați să efectueze diligența necesară sau să depună o declarație privind diligența necesară sau o declarație simplificată.</w:t>
      </w:r>
    </w:p>
    <w:p w14:paraId="37171CE7" w14:textId="2077B449" w:rsidR="00761DE1" w:rsidRPr="0012174E" w:rsidRDefault="00516AE4" w:rsidP="00637B48">
      <w:pPr>
        <w:pStyle w:val="NormalWeb"/>
        <w:tabs>
          <w:tab w:val="left" w:pos="7035"/>
        </w:tabs>
        <w:spacing w:after="120"/>
        <w:rPr>
          <w:i/>
          <w:iCs/>
          <w:noProof/>
        </w:rPr>
      </w:pPr>
      <w:r>
        <w:rPr>
          <w:i/>
          <w:noProof/>
        </w:rPr>
        <w:t>4.1.2 Măsuri suplimentare de sprijin pentru microoperatorii primari sau micii operatori primari și declarațiile reprezentanților autorizați</w:t>
      </w:r>
    </w:p>
    <w:p w14:paraId="14D1ADE5" w14:textId="5B62F3E0" w:rsidR="0075030C" w:rsidRPr="00637B48" w:rsidRDefault="0075030C" w:rsidP="0015133F">
      <w:pPr>
        <w:pStyle w:val="Body"/>
        <w:spacing w:after="120" w:line="240" w:lineRule="auto"/>
        <w:jc w:val="both"/>
        <w:rPr>
          <w:rFonts w:ascii="Times New Roman" w:hAnsi="Times New Roman" w:cs="Times New Roman"/>
          <w:noProof/>
          <w:color w:val="auto"/>
          <w:sz w:val="24"/>
          <w:szCs w:val="24"/>
        </w:rPr>
      </w:pPr>
      <w:r>
        <w:rPr>
          <w:rFonts w:ascii="Times New Roman" w:hAnsi="Times New Roman"/>
          <w:noProof/>
          <w:color w:val="auto"/>
          <w:sz w:val="24"/>
        </w:rPr>
        <w:t>Microoperatorii primari sau micii operatori primari fac obiectul unui regim foarte simplificat. Mai precis, în locul obligației de a depune o declarație privind diligența necesară în sistemul de informații, aceștia au doar obligația de a depune o declarație simplificată unică în sistemul de informații prevăzut de Regulamentul privind defrișările. De asemenea, ei pot utiliza adresa poștală în locul geolocalizării, cu condiția ca aceasta să corespundă în mod clar localizării geografice a parcelelor de teren sau, în cazul bovinelor, a unității în cauză.</w:t>
      </w:r>
    </w:p>
    <w:p w14:paraId="09396953" w14:textId="432533BA" w:rsidR="00415CE7" w:rsidRPr="0021237E" w:rsidRDefault="00CE30C5" w:rsidP="0012174E">
      <w:pPr>
        <w:pStyle w:val="NormalWeb"/>
        <w:spacing w:after="120"/>
        <w:rPr>
          <w:noProof/>
        </w:rPr>
      </w:pPr>
      <w:r>
        <w:rPr>
          <w:noProof/>
        </w:rPr>
        <w:t xml:space="preserve">Un set de clarificări operaționale pentru microoperatorii primari sau micii operatori primari precizează care sunt întreprinderile care îndeplinesc condițiile și beneficiază de o declarație simplificată. Mai exact, întrebările frecvente precizează că chiar și o întreprindere mai mare se poate califica drept </w:t>
      </w:r>
      <w:bookmarkStart w:id="3" w:name="_Hlk227773525"/>
      <w:r>
        <w:rPr>
          <w:noProof/>
        </w:rPr>
        <w:t>microoperator primar sau mic operator primar</w:t>
      </w:r>
      <w:bookmarkEnd w:id="3"/>
      <w:r>
        <w:rPr>
          <w:noProof/>
        </w:rPr>
        <w:t xml:space="preserve"> dacă poate demonstra că segmentul de activitate implicat în activități legate de produsele de bază și alte produse relevante îndeplinește criteriile aplicabile microoperatorilor primari sau micilor operatori primari. Clarificările includ, de asemenea, explicații privind utilizarea adresei poștale ca alternativă la geolocalizare. În special, se explică faptul că, pe lângă adresa poștală directă, ca opțiune simplă suplimentară, în locul geolocalizării pot fi utilizate informații cadastrale sau un echivalent care să permită identificarea parcelei de teren sau a unității.</w:t>
      </w:r>
    </w:p>
    <w:p w14:paraId="65CE514F" w14:textId="68BD82A1" w:rsidR="00606611" w:rsidRPr="0021237E" w:rsidRDefault="00EB18FE" w:rsidP="0012174E">
      <w:pPr>
        <w:pStyle w:val="NormalWeb"/>
        <w:spacing w:after="120"/>
        <w:rPr>
          <w:noProof/>
        </w:rPr>
      </w:pPr>
      <w:r>
        <w:rPr>
          <w:noProof/>
        </w:rPr>
        <w:t xml:space="preserve">În plus, în documentul cu întrebări frecvente se precizează că nu este necesar să se actualizeze declarația simplificată în cazul în care cantitatea producției anuale a produsului relevant se modifică. În cazul în care recoltarea și introducerea pe piață au loc în mod neregulat (de exemplu, doar o dată la zece ani), microoperatorii primari sau micii operatori primari pot, în declarațiile lor simplificate, să contabilizeze în estimare numai anii în care produsele sunt efectiv introduse pe piață. În cazul unui </w:t>
      </w:r>
      <w:r>
        <w:rPr>
          <w:noProof/>
          <w:color w:val="000000" w:themeColor="text1"/>
        </w:rPr>
        <w:t>plan de recoltare pe mai mulți ani, estimarea anuală poate fi, în mod alternativ, cea mai mare estimare anuală care urmează să fie recoltată în cadrul planului.</w:t>
      </w:r>
      <w:r>
        <w:rPr>
          <w:noProof/>
        </w:rPr>
        <w:t xml:space="preserve"> </w:t>
      </w:r>
    </w:p>
    <w:p w14:paraId="1DEDB61A" w14:textId="005D559D" w:rsidR="00C0563C" w:rsidRDefault="00743B82" w:rsidP="0012174E">
      <w:pPr>
        <w:pStyle w:val="NormalWeb"/>
        <w:spacing w:after="120"/>
        <w:rPr>
          <w:noProof/>
        </w:rPr>
      </w:pPr>
      <w:r>
        <w:rPr>
          <w:noProof/>
        </w:rPr>
        <w:t xml:space="preserve">Microoperatorii primari sau micii operatori primari au posibilitatea de a utiliza reprezentanți autorizați (cum ar fi organisme guvernamentale naționale sau regionale, asociații sau cooperative/grupuri de producători) pentru a transmite date în numele lor. Atunci când cooperativa produce ea însăși produse relevante pe care le introduce pe piața UE (de exemplu, în cazul vânzărilor de arbore pe picior), aceasta poate fi considerată operator în sensul Regulamentului privind defrișările. În astfel de cazuri, cooperativa, mai degrabă decât membrii săi, poate depune o singură declarație privind diligența necesară sau, în cazul în care cooperativa corespunde definiției microoperatorului primar sau a micului operator primar, o singură declarație simplificată. </w:t>
      </w:r>
    </w:p>
    <w:p w14:paraId="638ACDEA" w14:textId="37FE0D3E" w:rsidR="0017094B" w:rsidRPr="0012174E" w:rsidRDefault="00743B82" w:rsidP="0012174E">
      <w:pPr>
        <w:pStyle w:val="NormalWeb"/>
        <w:spacing w:after="120"/>
        <w:rPr>
          <w:noProof/>
        </w:rPr>
      </w:pPr>
      <w:r>
        <w:rPr>
          <w:noProof/>
        </w:rPr>
        <w:t>În plus, Comisia încurajează transmiterea datelor disponibile în bazele de date naționale în numele microoperatorilor primari sau al micilor operatori primari și sprijină statele membre în utilizarea deplină a simplificărilor introduse în temeiul articolului 4a alineatul (4). Cooperativele agricole și forestiere și alte asociații pot fi considerate operatori sau microoperatori primari sau mici operatori primari, în funcție de rolul real pe care îl joacă în lanțurile de aprovizionare, în special atunci când introduc ele însele produsele respective pe piață. Acest lucru depinde de acordurile dintre fermieri, silvicultori și asociații, precum și de legislația națională care reglementează aceste acorduri.</w:t>
      </w:r>
    </w:p>
    <w:p w14:paraId="68137B35" w14:textId="480ADAB7" w:rsidR="00516AE4" w:rsidRPr="0012174E" w:rsidRDefault="00516AE4" w:rsidP="0012174E">
      <w:pPr>
        <w:pStyle w:val="NormalWeb"/>
        <w:spacing w:after="120"/>
        <w:rPr>
          <w:i/>
          <w:iCs/>
          <w:noProof/>
        </w:rPr>
      </w:pPr>
      <w:r>
        <w:rPr>
          <w:i/>
          <w:noProof/>
        </w:rPr>
        <w:t>4.1.3 Simplificări ale obligațiilor privind diligența necesară, în special pentru comerțul cu țări cu risc scăzut</w:t>
      </w:r>
    </w:p>
    <w:p w14:paraId="1D8047BD" w14:textId="4BE1013F" w:rsidR="0036794F" w:rsidRPr="006A5E32" w:rsidRDefault="00ED4672" w:rsidP="0012174E">
      <w:pPr>
        <w:pStyle w:val="NormalWeb"/>
        <w:spacing w:after="120"/>
        <w:rPr>
          <w:i/>
          <w:iCs/>
          <w:noProof/>
        </w:rPr>
      </w:pPr>
      <w:r>
        <w:rPr>
          <w:noProof/>
        </w:rPr>
        <w:t xml:space="preserve">Ca răspuns la solicitările de clarificări referitoare la obligațiile privind diligența necesară, documentul de orientare revizuit oferă o explicație mai clară cu privire la obligațiile privind diligența necesară ale operatorilor în ceea ce privește procedura simplificată privind diligența necesară și colectarea de informații cu privire la legislația relevantă, în conformitate cu articolul 2 alineatul (40) și cu articolul 9 alineatul (1) litera (h). În special, se explică faptul că operatorii care se aprovizionează din țări cu risc scăzut care beneficiază de procedura simplificată privind diligența necesară nu sunt obligați să efectueze o evaluare a riscurilor și să adopte măsuri de atenuare a riscurilor, cu excepția cazului în care obțin sau li se aduc la cunoștință informații care ar indica un risc ca produsele respective să nu respecte Regulamentul privind defrișările. Se subliniază, de asemenea, că microoperatorii primari sau micii operatori primari se aprovizionează, prin definiție, din țări cu risc scăzut și, prin urmare, nu sunt niciodată obligați să efectueze o evaluare a riscurilor sau să ia măsuri de atenuare a riscurilor, cu excepția cazului în care se identifică un risc de neconformitate. </w:t>
      </w:r>
    </w:p>
    <w:p w14:paraId="70351F35" w14:textId="5C720076" w:rsidR="003D4011" w:rsidRDefault="00ED2074" w:rsidP="0062074D">
      <w:pPr>
        <w:pStyle w:val="NormalWeb"/>
        <w:spacing w:after="120"/>
        <w:rPr>
          <w:b/>
          <w:bCs/>
          <w:noProof/>
          <w:highlight w:val="yellow"/>
        </w:rPr>
      </w:pPr>
      <w:r>
        <w:rPr>
          <w:noProof/>
        </w:rPr>
        <w:t>În plus, orientările introduc clarificări cu privire la modul de dovedire a conformității cu legislația relevantă a țării de producție (așa-numitul criteriu de legalitate). Pentru a sprijini operatorii în demonstrarea respectării criteriului de legalitate, Comisia va crea registre cu legislația relevantă a țării de producție și cu sisteme de certificare (a se vedea secțiunea 4.4 de mai jos). Orientările subliniază că operatorii pot decide, pe baza unei prime analize a informațiilor disponibile, cum ar fi rapoartele accesibile publicului, indicatorii și clasificările țărilor și regiunilor de producție, dacă este necesară o colectare aprofundată a informațiilor. Acestea se pot baza pe registrul Comisiei în aceste scopuri. În cazul în care această analiză inițială indică un risc neglijabil de neconformitate, operatorii nu ar trebui să fie obligați să efectueze o colectare aprofundată a datelor. Numai pentru lanțurile de aprovizionare, zonele de producție și țările de producție în care informațiile inițiale de care dispune operatorul indică un risc mai ridicat de neconformitate, ar trebui să se acorde prioritate colectării aprofundate de dovezi privind conformitatea cu legislația relevantă a țării de producție.</w:t>
      </w:r>
    </w:p>
    <w:p w14:paraId="3B3174E5" w14:textId="740B530A" w:rsidR="0015133F" w:rsidRDefault="0015133F">
      <w:pPr>
        <w:spacing w:after="0"/>
        <w:jc w:val="left"/>
        <w:rPr>
          <w:b/>
          <w:bCs/>
          <w:noProof/>
          <w:szCs w:val="24"/>
        </w:rPr>
      </w:pPr>
    </w:p>
    <w:p w14:paraId="2B4164AB" w14:textId="55C9D65C" w:rsidR="001A0EBF" w:rsidRPr="0012174E" w:rsidRDefault="007F3567" w:rsidP="0012174E">
      <w:pPr>
        <w:spacing w:after="120"/>
        <w:jc w:val="left"/>
        <w:rPr>
          <w:b/>
          <w:bCs/>
          <w:noProof/>
          <w:szCs w:val="24"/>
        </w:rPr>
      </w:pPr>
      <w:r>
        <w:rPr>
          <w:b/>
          <w:noProof/>
        </w:rPr>
        <w:t>4.2 Sistemul de informații</w:t>
      </w:r>
    </w:p>
    <w:p w14:paraId="7E5A6D83" w14:textId="2B4C22E5" w:rsidR="39676F12" w:rsidRPr="007B1DAC" w:rsidRDefault="39676F12" w:rsidP="53FAF74D">
      <w:pPr>
        <w:spacing w:after="120"/>
        <w:rPr>
          <w:noProof/>
        </w:rPr>
      </w:pPr>
      <w:r>
        <w:rPr>
          <w:noProof/>
        </w:rPr>
        <w:t>Pentru a se asigura că sistemul de informații poate face față volumului și varietății crescute de tranzacții care decurg din regulamentul revizuit, Comisia a efectuat o analiză tehnică cuprinzătoare a arhitecturii sistemului. Prin urmare, au fost aduse îmbunătățiri specifice pentru a consolida capacitatea sa de prelucrare, gestionarea datelor și reziliența operațională. Aceste îmbunătățiri țin cont de feedbackul părților interesate și al autorităților competente cu privire la performanța și disponibilitatea sistemului, precum și de previziunile interne privind volumul tranzacțiilor. Un program de testare specific va valida gradul de pregătire al sistemului înainte de redeschiderea acestuia.</w:t>
      </w:r>
    </w:p>
    <w:p w14:paraId="7BF83B04" w14:textId="341F42B2" w:rsidR="62CA79AF" w:rsidRPr="0012174E" w:rsidRDefault="00EE5135" w:rsidP="0012174E">
      <w:pPr>
        <w:spacing w:after="120"/>
        <w:rPr>
          <w:noProof/>
        </w:rPr>
      </w:pPr>
      <w:r>
        <w:rPr>
          <w:noProof/>
        </w:rPr>
        <w:t xml:space="preserve">În urma unei închideri temporare a sistemului de informații pentru a integra ajustările necesare determinate de revizuirea regulamentului, Comisia va relansa sistemul de informații în etape. Redeschiderea este planificată pentru iunie 2026 (atât pentru mediul de formare, cât și pentru cel de producție). Actualizările ulterioare vor include funcționalități suplimentare și îmbunătățiri care urmează să fie puse în aplicare mai târziu în cursul verii și înainte de data aplicării regulamentului. </w:t>
      </w:r>
    </w:p>
    <w:p w14:paraId="5874921D" w14:textId="1E9462E8" w:rsidR="00EB5323" w:rsidRPr="00323262" w:rsidRDefault="00513C13" w:rsidP="3B257163">
      <w:pPr>
        <w:spacing w:after="120"/>
        <w:rPr>
          <w:noProof/>
        </w:rPr>
      </w:pPr>
      <w:r>
        <w:rPr>
          <w:noProof/>
        </w:rPr>
        <w:t xml:space="preserve">Sistemul de informații va include caracteristici menite să faciliteze punerea în aplicare, de exemplu mecanisme de sprijinire a autorităților statelor membre în analizarea datelor de geolocalizare. În urma modificării Regulamentului privind defrișările în decembrie 2025, sistemul de informații va include, de asemenea, noi caracteristici. Regulamentul de punere în aplicare (UE) 2024/3084 al Comisiei din 4 decembrie 2024 este, de asemenea, modificat în consecință. Principalele funcționalități și modificări introduse în sistemul de informații și în actul de punere în aplicare, care aduc simplificări operaționale, vor fi: </w:t>
      </w:r>
    </w:p>
    <w:p w14:paraId="67800DE7" w14:textId="2A305C9E" w:rsidR="00EB5323" w:rsidRPr="00C13BD3" w:rsidRDefault="580B5F04" w:rsidP="00637B48">
      <w:pPr>
        <w:pStyle w:val="ListParagraph"/>
        <w:numPr>
          <w:ilvl w:val="0"/>
          <w:numId w:val="82"/>
        </w:numPr>
        <w:spacing w:after="120"/>
        <w:rPr>
          <w:noProof/>
        </w:rPr>
      </w:pPr>
      <w:r>
        <w:rPr>
          <w:noProof/>
        </w:rPr>
        <w:t xml:space="preserve">permiterea depunerii declarațiilor simplificate, respectând formatul existent al declarației privind diligența necesară și în conformitate cu textul revizuit al Regulamentului privind defrișările, care să fie sprijinită și de interfața de programare a aplicațiilor (API); </w:t>
      </w:r>
    </w:p>
    <w:p w14:paraId="1D6E72D6" w14:textId="0C177371" w:rsidR="00EB5323" w:rsidRPr="00637B48" w:rsidRDefault="65FA19A2" w:rsidP="003837B8">
      <w:pPr>
        <w:pStyle w:val="ListParagraph"/>
        <w:numPr>
          <w:ilvl w:val="0"/>
          <w:numId w:val="82"/>
        </w:numPr>
        <w:spacing w:after="120" w:line="259" w:lineRule="auto"/>
        <w:rPr>
          <w:noProof/>
        </w:rPr>
      </w:pPr>
      <w:r>
        <w:rPr>
          <w:noProof/>
        </w:rPr>
        <w:t xml:space="preserve">înregistrarea de roluri noi (microoperatori primari sau mici operatori primari, operatori din aval sau comercianți care nu sunt IMM-uri); </w:t>
      </w:r>
    </w:p>
    <w:p w14:paraId="34CD2966" w14:textId="6EE75B4E" w:rsidR="00EB5323" w:rsidRPr="00637B48" w:rsidRDefault="51BAF299" w:rsidP="04C3F146">
      <w:pPr>
        <w:pStyle w:val="ListParagraph"/>
        <w:numPr>
          <w:ilvl w:val="0"/>
          <w:numId w:val="82"/>
        </w:numPr>
        <w:spacing w:after="120" w:line="259" w:lineRule="auto"/>
        <w:rPr>
          <w:noProof/>
        </w:rPr>
      </w:pPr>
      <w:r>
        <w:rPr>
          <w:noProof/>
        </w:rPr>
        <w:t xml:space="preserve">actualizarea specificațiilor serviciului web pentru a reflecta funcționalitățile existente ale sistemului și măsurile pentru situații neprevăzute; </w:t>
      </w:r>
    </w:p>
    <w:p w14:paraId="611284BC" w14:textId="4816EBD6" w:rsidR="00EB5323" w:rsidRPr="00637B48" w:rsidRDefault="4A835AA5" w:rsidP="04C3F146">
      <w:pPr>
        <w:pStyle w:val="ListParagraph"/>
        <w:numPr>
          <w:ilvl w:val="0"/>
          <w:numId w:val="82"/>
        </w:numPr>
        <w:spacing w:after="120" w:line="259" w:lineRule="auto"/>
        <w:rPr>
          <w:noProof/>
        </w:rPr>
      </w:pPr>
      <w:r>
        <w:rPr>
          <w:noProof/>
        </w:rPr>
        <w:t xml:space="preserve">trebuie adăugate și caracteristici de grupare voluntară, ca urmare a solicitărilor venite din partea sectorului de afaceri. </w:t>
      </w:r>
    </w:p>
    <w:p w14:paraId="2DBF3DE2" w14:textId="70BED345" w:rsidR="005D1C0B" w:rsidRDefault="0269589B" w:rsidP="7A228EF8">
      <w:pPr>
        <w:spacing w:after="120"/>
        <w:rPr>
          <w:noProof/>
        </w:rPr>
      </w:pPr>
      <w:r>
        <w:rPr>
          <w:noProof/>
        </w:rPr>
        <w:t xml:space="preserve">În paralel, Comisia încurajează transmiterea informațiilor deținute în bazele de date naționale și va sprijini statele membre în utilizarea simplificării introduse prin articolul 4a alineatul (4), pentru a se asigura că sarcina administrativă pentru microoperatorii primari și micii operatori primari este neglijabilă. Comisia va institui infrastructura tehnică necesară (în special prin intermediul API) pentru a facilita acest proces. </w:t>
      </w:r>
    </w:p>
    <w:p w14:paraId="3977E2C6" w14:textId="64A05426" w:rsidR="008A6291" w:rsidRDefault="009029B2" w:rsidP="0012174E">
      <w:pPr>
        <w:spacing w:after="120"/>
        <w:rPr>
          <w:noProof/>
        </w:rPr>
      </w:pPr>
      <w:r>
        <w:rPr>
          <w:noProof/>
        </w:rPr>
        <w:t>Pentru a sprijini în continuare operatorii în ceea ce privește utilizarea sistemului, Comisia va continua să perfecționeze sistemul și documentația aferentă în permanență. Acest lucru include actualizări planificate ale instrucțiunilor de utilizare, orientări privind gestionarea datelor de geolocalizare și descrierea codurilor de eroare. Se va acorda o atenție deosebită facilitării transmiterii datelor de către microoperatorii primari sau micii operatori primari, inclusiv prin intermediul organizațiilor lor de producători sau al asociațiilor care acționează în calitate de reprezentanți autorizați în numele lor.</w:t>
      </w:r>
    </w:p>
    <w:p w14:paraId="02877F02" w14:textId="378C8F46" w:rsidR="001A0EBF" w:rsidRPr="0012174E" w:rsidRDefault="007F3567" w:rsidP="00D21269">
      <w:pPr>
        <w:spacing w:before="120"/>
        <w:jc w:val="left"/>
        <w:rPr>
          <w:b/>
          <w:bCs/>
          <w:noProof/>
          <w:szCs w:val="24"/>
        </w:rPr>
      </w:pPr>
      <w:r>
        <w:rPr>
          <w:b/>
          <w:noProof/>
        </w:rPr>
        <w:t>4.3 Domeniul de aplicare al produselor</w:t>
      </w:r>
      <w:r w:rsidR="009C0FF5">
        <w:rPr>
          <w:b/>
          <w:noProof/>
        </w:rPr>
        <w:t xml:space="preserve"> </w:t>
      </w:r>
    </w:p>
    <w:p w14:paraId="60042B05" w14:textId="17AA1BD0" w:rsidR="00C71C15" w:rsidRPr="0012174E" w:rsidRDefault="006B7EC5" w:rsidP="0012174E">
      <w:pPr>
        <w:spacing w:after="120"/>
        <w:rPr>
          <w:noProof/>
          <w:szCs w:val="24"/>
        </w:rPr>
      </w:pPr>
      <w:r>
        <w:rPr>
          <w:noProof/>
        </w:rPr>
        <w:t xml:space="preserve">Împreună cu prezentul raport, </w:t>
      </w:r>
      <w:r>
        <w:rPr>
          <w:b/>
          <w:noProof/>
        </w:rPr>
        <w:t>Comisia a publicat, de asemenea, în vederea obținerii de feedback din partea publicului, un proiect de act delegat (</w:t>
      </w:r>
      <w:r>
        <w:rPr>
          <w:rStyle w:val="FootnoteReference"/>
          <w:noProof/>
          <w:lang w:val="en-IE"/>
        </w:rPr>
        <w:footnoteReference w:id="37"/>
      </w:r>
      <w:r>
        <w:rPr>
          <w:b/>
          <w:noProof/>
        </w:rPr>
        <w:t>) care cuprinde ajustări ale domeniului de aplicare al produselor prevăzut în Regulamentul privind defrișările</w:t>
      </w:r>
      <w:r>
        <w:rPr>
          <w:noProof/>
        </w:rPr>
        <w:t>, definit în anexa I. Această anexă enumeră produsele relevante care fac obiectul obligațiilor prevăzute în Regulamentul privind defrișările atunci când sunt introduse pe piață, puse la dispoziție pe piață sau exportate de pe piață. Comisia este împuternicită să modifice anexa printr-un act delegat.</w:t>
      </w:r>
    </w:p>
    <w:p w14:paraId="1642CE66" w14:textId="22E384E2" w:rsidR="008F1F76" w:rsidRPr="0012174E" w:rsidRDefault="00087B9C" w:rsidP="0012174E">
      <w:pPr>
        <w:spacing w:after="120"/>
        <w:rPr>
          <w:noProof/>
        </w:rPr>
      </w:pPr>
      <w:r>
        <w:rPr>
          <w:noProof/>
        </w:rPr>
        <w:t xml:space="preserve">Comisia solicită opiniile părților interesate cu privire la introducerea de clarificări și exceptări orizontale, la raționalizarea modului în care dispozițiile Regulamentului privind defrișările se aplică anumitor categorii de produse și cazuri de utilizare, precum și cu privire la modificările specifice ale codurilor NC specifice pentru a asigura o abordare coerentă și o punere în aplicare eficace a Regulamentului privind defrișările. </w:t>
      </w:r>
    </w:p>
    <w:p w14:paraId="170682A6" w14:textId="1B69F9BC" w:rsidR="00D26CE6" w:rsidRPr="0012174E" w:rsidRDefault="1B71960B" w:rsidP="0012174E">
      <w:pPr>
        <w:spacing w:after="120"/>
        <w:rPr>
          <w:noProof/>
        </w:rPr>
      </w:pPr>
      <w:r>
        <w:rPr>
          <w:noProof/>
        </w:rPr>
        <w:t xml:space="preserve">Mai precis, sunt propuse exceptări orizontale pentru a se asigura că Regulamentul privind defrișările se axează pe produsele care sunt asociate cu riscuri de defrișare, evitând în același timp sarcina administrativă inutilă. În special, proiectul de text propune exceptarea eșantioanelor și a produselor utilizate în scopul examinării, al analizei și al testării; a materialelor și recipientelor de ambalare de unică folosință; a materialelor de ambalare și recipientelor reutilizabile; a materialelor de marketing și de informare; a deșeurilor, a produselor uzate și a celor second-hand, precum și a articolelor de corespondență. Majoritatea acestor clarificări făceau deja parte din proiectul de act delegat publicat de Comisie în vederea obținerii de feedback din partea publicului în 2025. </w:t>
      </w:r>
    </w:p>
    <w:p w14:paraId="41EF6624" w14:textId="0EE0379B" w:rsidR="00482EBD" w:rsidRPr="0012174E" w:rsidRDefault="00D26CE6" w:rsidP="0012174E">
      <w:pPr>
        <w:spacing w:after="120"/>
        <w:rPr>
          <w:noProof/>
          <w:szCs w:val="24"/>
        </w:rPr>
      </w:pPr>
      <w:r>
        <w:rPr>
          <w:noProof/>
        </w:rPr>
        <w:t xml:space="preserve">Se introduc clarificări orizontale suplimentare, precizând faptul că produsele enumerate în anexa I la Regulamentul privind defrișările fac obiectul obligațiilor prevăzute de acesta numai în măsura în care sunt obținute dintr-un produs de bază relevant. În acest scop, proiectul de act delegat introduce prefixul </w:t>
      </w:r>
      <w:r>
        <w:rPr>
          <w:i/>
          <w:noProof/>
        </w:rPr>
        <w:t>„ex”</w:t>
      </w:r>
      <w:r>
        <w:rPr>
          <w:noProof/>
        </w:rPr>
        <w:t xml:space="preserve"> în mai multe rubrici din anexa I pentru a se asigura că produsele fabricate cu produse de bază nerelevante, cum ar fi uleiul de nucă de cocos sau bambusul, nu sunt incluse în domeniul de aplicare al regulamentului. Se oferă, de asemenea, clarificări cu privire la speciile relevante, pentru a asigura o interpretare clară și coerentă a domeniului de aplicare al produselor.</w:t>
      </w:r>
    </w:p>
    <w:p w14:paraId="4D760085" w14:textId="63BBF3C7" w:rsidR="00441970" w:rsidRPr="0012174E" w:rsidRDefault="70FEDB3A" w:rsidP="1400005E">
      <w:pPr>
        <w:spacing w:after="120"/>
        <w:rPr>
          <w:noProof/>
        </w:rPr>
      </w:pPr>
      <w:r>
        <w:rPr>
          <w:noProof/>
        </w:rPr>
        <w:t>În plus, proiectul de act delegat introduce modificări ale domeniului de aplicare al produselor prevăzut în Regulamentul privind defrișările pentru a asigura intrarea în vigoare eficace și fără probleme, pe baza unei abordări uniforme și coerente pentru toate produsele de bază și prevenind relocarea riscului de defrișare. Proiectul de act propune eliminarea din domeniul de aplicare al Regulamentului privind defrișările a anvelopelor reșapate </w:t>
      </w:r>
      <w:r>
        <w:rPr>
          <w:noProof/>
          <w:vertAlign w:val="superscript"/>
        </w:rPr>
        <w:t>(</w:t>
      </w:r>
      <w:r>
        <w:rPr>
          <w:noProof/>
          <w:vertAlign w:val="superscript"/>
        </w:rPr>
        <w:footnoteReference w:id="38"/>
      </w:r>
      <w:r>
        <w:rPr>
          <w:noProof/>
          <w:vertAlign w:val="superscript"/>
        </w:rPr>
        <w:t>)</w:t>
      </w:r>
      <w:r>
        <w:rPr>
          <w:noProof/>
        </w:rPr>
        <w:t>, precum și a pieilor de bovine </w:t>
      </w:r>
      <w:r>
        <w:rPr>
          <w:noProof/>
          <w:vertAlign w:val="superscript"/>
        </w:rPr>
        <w:t>(</w:t>
      </w:r>
      <w:r>
        <w:rPr>
          <w:noProof/>
          <w:vertAlign w:val="superscript"/>
        </w:rPr>
        <w:footnoteReference w:id="39"/>
      </w:r>
      <w:r>
        <w:rPr>
          <w:noProof/>
          <w:vertAlign w:val="superscript"/>
        </w:rPr>
        <w:t>)</w:t>
      </w:r>
      <w:r>
        <w:rPr>
          <w:noProof/>
        </w:rPr>
        <w:t xml:space="preserve">. </w:t>
      </w:r>
    </w:p>
    <w:p w14:paraId="5BCFA871" w14:textId="2BF04C40" w:rsidR="00B206D5" w:rsidRDefault="744FB33A" w:rsidP="0012174E">
      <w:pPr>
        <w:spacing w:after="120"/>
        <w:rPr>
          <w:noProof/>
        </w:rPr>
      </w:pPr>
      <w:r>
        <w:rPr>
          <w:noProof/>
        </w:rPr>
        <w:t>În același timp, pe baza feedbackului părților interesate, unele produse din aval sunt propuse pentru a fi incluse în domeniul de aplicare al Regulamentului privind defrișările pentru a preveni lacunele în ceea ce privește obligațiile aplicabile în lanțul de aprovizionare și pentru a preveni relocarea, mai degrabă decât eliminarea riscului de defrișare – cafeaua solubilă, anumiți derivați ai uleiului de palmier, inclusiv săpunul fabricat cu ulei de palmier, și limba congelată de vită.</w:t>
      </w:r>
    </w:p>
    <w:p w14:paraId="4CC0C0B1" w14:textId="3CAA0945" w:rsidR="3A9CE33E" w:rsidRDefault="3A9CE33E" w:rsidP="7A228EF8">
      <w:pPr>
        <w:spacing w:after="120"/>
        <w:rPr>
          <w:noProof/>
          <w:szCs w:val="24"/>
        </w:rPr>
      </w:pPr>
      <w:r>
        <w:rPr>
          <w:noProof/>
        </w:rPr>
        <w:t>Proiectul de act delegat este publicat pentru o perioadă de consultare publică de patru săptămâni, fiind însoțit de un document de lucru al serviciilor Comisiei care prezintă metodologia utilizată pentru evaluarea produselor în vederea unei potențiale includeri sau excluderi din domeniul de aplicare al Regulamentului privind defrișările.</w:t>
      </w:r>
    </w:p>
    <w:p w14:paraId="662A8E9E" w14:textId="717D997F" w:rsidR="00AE226B" w:rsidRPr="0012174E" w:rsidRDefault="007F3567" w:rsidP="00DD0573">
      <w:pPr>
        <w:spacing w:before="120"/>
        <w:jc w:val="left"/>
        <w:rPr>
          <w:b/>
          <w:bCs/>
          <w:noProof/>
          <w:szCs w:val="24"/>
        </w:rPr>
      </w:pPr>
      <w:r>
        <w:rPr>
          <w:b/>
          <w:noProof/>
        </w:rPr>
        <w:t xml:space="preserve">4.4 Noi instrumente de facilitare a comerțului: Registre cu legislație și sisteme de certificare </w:t>
      </w:r>
    </w:p>
    <w:p w14:paraId="59F49238" w14:textId="205FA4AA" w:rsidR="00EB439A" w:rsidRDefault="004206BB" w:rsidP="4130396E">
      <w:pPr>
        <w:spacing w:after="120"/>
        <w:rPr>
          <w:noProof/>
        </w:rPr>
      </w:pPr>
      <w:r>
        <w:rPr>
          <w:noProof/>
        </w:rPr>
        <w:t xml:space="preserve">Punerea în aplicare a Regulamentului privind defrișările impune, în unele cazuri, ca operatorii economici și autoritățile competente să se orienteze într-un cadru legislativ național diferit în cadrul procesului de diligență necesară. Operatorii pot utiliza sisteme de certificare în cadrul evaluării riscurilor pe care o efectuează în temeiul articolului 10 alineatul (2). </w:t>
      </w:r>
    </w:p>
    <w:p w14:paraId="3C649E38" w14:textId="77777777" w:rsidR="00C44F2F" w:rsidRDefault="6F8E94A2" w:rsidP="4130396E">
      <w:pPr>
        <w:spacing w:after="120"/>
        <w:rPr>
          <w:noProof/>
        </w:rPr>
      </w:pPr>
      <w:r>
        <w:rPr>
          <w:noProof/>
        </w:rPr>
        <w:t xml:space="preserve">Pentru a sprijini părțile interesate în acest efort, Comisia va crea două registre: </w:t>
      </w:r>
    </w:p>
    <w:p w14:paraId="47D65118" w14:textId="705CE4E9" w:rsidR="00C44F2F" w:rsidRPr="00DD0573" w:rsidRDefault="2867C8D7" w:rsidP="00637B48">
      <w:pPr>
        <w:pStyle w:val="ListParagraph"/>
        <w:numPr>
          <w:ilvl w:val="0"/>
          <w:numId w:val="83"/>
        </w:numPr>
        <w:spacing w:after="120"/>
        <w:rPr>
          <w:noProof/>
        </w:rPr>
      </w:pPr>
      <w:r>
        <w:rPr>
          <w:noProof/>
        </w:rPr>
        <w:t xml:space="preserve">un registru care să cuprindă legislația relevantă a țării de producție, în conformitate cu articolul 2 punctul 40 din Regulamentul privind defrișările și </w:t>
      </w:r>
    </w:p>
    <w:p w14:paraId="664E437E" w14:textId="73F9C1BE" w:rsidR="00C44F2F" w:rsidRPr="00DD0573" w:rsidRDefault="2867C8D7" w:rsidP="00637B48">
      <w:pPr>
        <w:pStyle w:val="ListParagraph"/>
        <w:numPr>
          <w:ilvl w:val="0"/>
          <w:numId w:val="83"/>
        </w:numPr>
        <w:spacing w:after="120"/>
        <w:rPr>
          <w:noProof/>
        </w:rPr>
      </w:pPr>
      <w:r>
        <w:rPr>
          <w:noProof/>
        </w:rPr>
        <w:t xml:space="preserve">un registru care să cuprindă sistemele de certificare aplicabile produselor de bază care intră sub incidența Regulamentului privind defrișările. </w:t>
      </w:r>
    </w:p>
    <w:p w14:paraId="1834B9D5" w14:textId="417657E8" w:rsidR="00696825" w:rsidRPr="00C44F2F" w:rsidRDefault="46CA1E4A" w:rsidP="00C44F2F">
      <w:pPr>
        <w:spacing w:after="120"/>
        <w:rPr>
          <w:noProof/>
        </w:rPr>
      </w:pPr>
      <w:r>
        <w:rPr>
          <w:noProof/>
        </w:rPr>
        <w:t>Aceste registre vor aduce beneficii operatorilor economici și autorităților competente, deoarece vor facilita accesul la informațiile relevante necesare pentru procesul de diligență necesară și vor contribui la dovedirea conformității cu articolul 9 alineatul (1) litera (h). Existența unei surse unice și centralizate de informații va contribui, de asemenea, la sporirea transparenței și la evitarea duplicării eforturilor între statele membre, reducând astfel costurile administrative asociate. Prin intermediul acestor două registre, se va facilita schimbul de bune practici și se va asigura coerența aplicării regulamentului în toate statele membre.</w:t>
      </w:r>
    </w:p>
    <w:p w14:paraId="0FCC293A" w14:textId="03CC3B26" w:rsidR="14119468" w:rsidRPr="0012174E" w:rsidRDefault="33A5E0A4">
      <w:pPr>
        <w:spacing w:after="120" w:line="259" w:lineRule="auto"/>
        <w:rPr>
          <w:noProof/>
        </w:rPr>
      </w:pPr>
      <w:r>
        <w:rPr>
          <w:noProof/>
        </w:rPr>
        <w:t xml:space="preserve">Cele două registre vor fi găzduite pe site-uri dedicate. Comisia va furniza modele care să prezinte informațiile specifice necesare pentru fiecare registru, pentru a asigura relevanța acestora în contextul Regulamentului privind defrișările și coerența cu textul juridic. Informațiile vor fi furnizate de țările terțe și de proprietarii sistemelor de certificare. Registrele vor sprijini eforturile de asigurare a conformității prin facilitarea accesului la informațiile relevante, în special în ceea ce privește cerința de legalitate și legislația relevantă a țării de producție. </w:t>
      </w:r>
    </w:p>
    <w:p w14:paraId="5A1D6B3D" w14:textId="5F1EB40B" w:rsidR="147EB2D4" w:rsidRDefault="0EB35156" w:rsidP="0015133F">
      <w:pPr>
        <w:spacing w:after="0"/>
        <w:rPr>
          <w:noProof/>
        </w:rPr>
      </w:pPr>
      <w:r>
        <w:rPr>
          <w:noProof/>
        </w:rPr>
        <w:t xml:space="preserve">Comisia intenționează să lanseze registrul cu legislația relevantă și registrul sistemelor de certificare înainte de intrarea în vigoare a Regulamentului privind defrișările în decembrie 2026. Țările terțe și părțile interesate relevante vor fi invitate să facă schimb de informații relevante pentru a se asigura că registrele sunt complete. </w:t>
      </w:r>
    </w:p>
    <w:p w14:paraId="0FBF515F" w14:textId="77777777" w:rsidR="00EB5722" w:rsidRPr="000775D9" w:rsidRDefault="00EB5722" w:rsidP="1400005E">
      <w:pPr>
        <w:spacing w:after="120"/>
        <w:rPr>
          <w:noProof/>
          <w:lang w:val="it-IT"/>
        </w:rPr>
      </w:pPr>
    </w:p>
    <w:tbl>
      <w:tblPr>
        <w:tblStyle w:val="TableGrid"/>
        <w:tblW w:w="0" w:type="auto"/>
        <w:shd w:val="clear" w:color="auto" w:fill="E8E8E8" w:themeFill="background2"/>
        <w:tblLook w:val="04A0" w:firstRow="1" w:lastRow="0" w:firstColumn="1" w:lastColumn="0" w:noHBand="0" w:noVBand="1"/>
      </w:tblPr>
      <w:tblGrid>
        <w:gridCol w:w="8602"/>
      </w:tblGrid>
      <w:tr w:rsidR="005E1D3B" w14:paraId="10D909F8" w14:textId="77777777" w:rsidTr="00707402">
        <w:tc>
          <w:tcPr>
            <w:tcW w:w="8602" w:type="dxa"/>
            <w:shd w:val="clear" w:color="auto" w:fill="E8E8E8" w:themeFill="background2"/>
          </w:tcPr>
          <w:p w14:paraId="04EE3967" w14:textId="176F1422" w:rsidR="005E1D3B" w:rsidRPr="00EA0AC5" w:rsidRDefault="005E1D3B" w:rsidP="005E1D3B">
            <w:pPr>
              <w:spacing w:after="0"/>
              <w:jc w:val="left"/>
              <w:rPr>
                <w:rFonts w:eastAsia="Aptos"/>
                <w:b/>
                <w:bCs/>
                <w:noProof/>
                <w:szCs w:val="24"/>
              </w:rPr>
            </w:pPr>
            <w:r>
              <w:rPr>
                <w:b/>
                <w:noProof/>
              </w:rPr>
              <w:t>Puncte-cheie – rezumatul capitolului:</w:t>
            </w:r>
          </w:p>
          <w:p w14:paraId="421CCC5B" w14:textId="77777777" w:rsidR="005E1D3B" w:rsidRDefault="005E1D3B" w:rsidP="005E1D3B">
            <w:pPr>
              <w:spacing w:after="0"/>
              <w:jc w:val="left"/>
              <w:rPr>
                <w:rFonts w:eastAsia="Aptos"/>
                <w:b/>
                <w:bCs/>
                <w:noProof/>
                <w:szCs w:val="24"/>
                <w:highlight w:val="yellow"/>
                <w:lang w:eastAsia="en-US"/>
              </w:rPr>
            </w:pPr>
          </w:p>
          <w:p w14:paraId="65D891C7" w14:textId="4DAF7B42" w:rsidR="005E1D3B" w:rsidRDefault="005E1D3B" w:rsidP="005E1D3B">
            <w:pPr>
              <w:spacing w:after="120"/>
              <w:rPr>
                <w:rFonts w:eastAsia="Aptos"/>
                <w:noProof/>
                <w:szCs w:val="24"/>
              </w:rPr>
            </w:pPr>
            <w:r>
              <w:rPr>
                <w:noProof/>
              </w:rPr>
              <w:t>Pachetul de simplificare, care răspunde preocupărilor părților interesate, prevede în special:</w:t>
            </w:r>
          </w:p>
          <w:p w14:paraId="405D6D83" w14:textId="77777777" w:rsidR="005E1D3B" w:rsidRDefault="005E1D3B" w:rsidP="005E1D3B">
            <w:pPr>
              <w:pStyle w:val="ListParagraph"/>
              <w:numPr>
                <w:ilvl w:val="0"/>
                <w:numId w:val="74"/>
              </w:numPr>
              <w:spacing w:after="120"/>
              <w:rPr>
                <w:rFonts w:eastAsia="Aptos"/>
                <w:noProof/>
                <w:szCs w:val="24"/>
              </w:rPr>
            </w:pPr>
            <w:r>
              <w:rPr>
                <w:noProof/>
              </w:rPr>
              <w:t xml:space="preserve">clarificări pentru operatorii din aval, în special pentru a explica faptul că rolul primilor operatori din aval în colectarea numerelor de referință de la operatori este unul pasiv, precum și pentru a explica normele aplicabile privind reimporturile și suspiciunile motivate; </w:t>
            </w:r>
          </w:p>
          <w:p w14:paraId="5B3F1BD8" w14:textId="2278977B" w:rsidR="005E1D3B" w:rsidRDefault="005E1D3B" w:rsidP="005E1D3B">
            <w:pPr>
              <w:pStyle w:val="ListParagraph"/>
              <w:numPr>
                <w:ilvl w:val="0"/>
                <w:numId w:val="74"/>
              </w:numPr>
              <w:spacing w:after="120"/>
              <w:rPr>
                <w:rFonts w:eastAsia="Aptos"/>
                <w:noProof/>
                <w:szCs w:val="24"/>
              </w:rPr>
            </w:pPr>
            <w:r>
              <w:rPr>
                <w:noProof/>
              </w:rPr>
              <w:t xml:space="preserve">clarificări pentru microoperatorii primari sau micii operatori primari, în special prin furnizarea de orientări privind pragurile de mărime; </w:t>
            </w:r>
          </w:p>
          <w:p w14:paraId="1F1C24D5" w14:textId="044F79A7" w:rsidR="005E1D3B" w:rsidRDefault="005E1D3B" w:rsidP="005E1D3B">
            <w:pPr>
              <w:pStyle w:val="ListParagraph"/>
              <w:numPr>
                <w:ilvl w:val="0"/>
                <w:numId w:val="74"/>
              </w:numPr>
              <w:spacing w:after="120"/>
              <w:rPr>
                <w:rFonts w:eastAsia="Aptos"/>
                <w:noProof/>
                <w:szCs w:val="24"/>
              </w:rPr>
            </w:pPr>
            <w:r>
              <w:rPr>
                <w:noProof/>
              </w:rPr>
              <w:t xml:space="preserve">clarificări privind principiul verificării legalității, inclusiv orientări mai clare privind cerințele referitoare la procedura simplificată privind diligența necesară; </w:t>
            </w:r>
          </w:p>
          <w:p w14:paraId="3F7D3FB6" w14:textId="5AFBA17D" w:rsidR="003C048E" w:rsidRPr="00B446AE" w:rsidRDefault="003C048E" w:rsidP="003C048E">
            <w:pPr>
              <w:pStyle w:val="ListParagraph"/>
              <w:numPr>
                <w:ilvl w:val="0"/>
                <w:numId w:val="74"/>
              </w:numPr>
              <w:spacing w:after="120"/>
              <w:rPr>
                <w:rFonts w:eastAsia="Aptos"/>
                <w:noProof/>
              </w:rPr>
            </w:pPr>
            <w:r>
              <w:rPr>
                <w:noProof/>
              </w:rPr>
              <w:t xml:space="preserve">actualizarea sistemului de informații (redeschidere începând din iunie 2026) prin introducerea unor funcții noi care să reflecte modificările aduse textului Regulamentului privind defrișările, cum ar fi înregistrarea de roluri noi, declarații simplificate și funcționalități suplimentare, inclusiv API-uri suplimentare sau îmbunătățite, precum și instrumente de grupare voluntară, în urma sugestiilor părților interesate; </w:t>
            </w:r>
          </w:p>
          <w:p w14:paraId="15BDC06B" w14:textId="026F2296" w:rsidR="005E1D3B" w:rsidRDefault="0593C1C2" w:rsidP="7A228EF8">
            <w:pPr>
              <w:pStyle w:val="ListParagraph"/>
              <w:numPr>
                <w:ilvl w:val="0"/>
                <w:numId w:val="74"/>
              </w:numPr>
              <w:spacing w:after="120"/>
              <w:rPr>
                <w:rFonts w:eastAsia="Aptos"/>
                <w:noProof/>
              </w:rPr>
            </w:pPr>
            <w:r>
              <w:rPr>
                <w:noProof/>
              </w:rPr>
              <w:t xml:space="preserve">îmbunătățirea domeniului de aplicare al produselor prin propunerea de a introduce anumite exceptări orizontale, eliminarea anumitor produse (de exemplu, anvelopele reșapate și pieile de bovine) și includerea altora (de exemplu, cafeaua solubilă, anumiți derivați ai uleiului de palmier și limba congelată de vită), astfel cum se precizează în proiectul de act delegat publicat în vederea obținerii de feedback din partea publicului; </w:t>
            </w:r>
          </w:p>
          <w:p w14:paraId="50E2335B" w14:textId="5DC3D3AF" w:rsidR="005E1D3B" w:rsidRDefault="005E1D3B" w:rsidP="00FF041C">
            <w:pPr>
              <w:pStyle w:val="ListParagraph"/>
              <w:numPr>
                <w:ilvl w:val="0"/>
                <w:numId w:val="74"/>
              </w:numPr>
              <w:ind w:left="714" w:hanging="357"/>
              <w:rPr>
                <w:noProof/>
              </w:rPr>
            </w:pPr>
            <w:r>
              <w:rPr>
                <w:noProof/>
              </w:rPr>
              <w:t xml:space="preserve">lansarea, până la sfârșitul anului 2026, a unor registre care să cuprindă legislația relevantă a țărilor de producție și sisteme de certificare. </w:t>
            </w:r>
          </w:p>
        </w:tc>
      </w:tr>
    </w:tbl>
    <w:p w14:paraId="3E1FB100" w14:textId="77777777" w:rsidR="005E1D3B" w:rsidRPr="000775D9" w:rsidRDefault="005E1D3B" w:rsidP="0012174E">
      <w:pPr>
        <w:spacing w:after="120"/>
        <w:rPr>
          <w:noProof/>
          <w:lang w:val="it-IT"/>
        </w:rPr>
      </w:pPr>
    </w:p>
    <w:p w14:paraId="416D9431" w14:textId="63579BE6" w:rsidR="004B6324" w:rsidRPr="0012174E" w:rsidRDefault="007F3567" w:rsidP="00EB3FB0">
      <w:pPr>
        <w:pageBreakBefore/>
        <w:spacing w:after="120"/>
        <w:rPr>
          <w:b/>
          <w:bCs/>
          <w:noProof/>
          <w:sz w:val="28"/>
          <w:szCs w:val="28"/>
        </w:rPr>
      </w:pPr>
      <w:r>
        <w:rPr>
          <w:b/>
          <w:noProof/>
          <w:sz w:val="28"/>
        </w:rPr>
        <w:t xml:space="preserve">5. Evaluarea cantitativă a eforturilor de simplificare </w:t>
      </w:r>
    </w:p>
    <w:p w14:paraId="771E1408" w14:textId="2B1F5D09" w:rsidR="00FE7A04" w:rsidRDefault="00050934" w:rsidP="0012174E">
      <w:pPr>
        <w:spacing w:after="120"/>
        <w:rPr>
          <w:noProof/>
        </w:rPr>
      </w:pPr>
      <w:r>
        <w:rPr>
          <w:noProof/>
        </w:rPr>
        <w:t xml:space="preserve">Pe baza simplificărilor explicate în capitolele 2 și 4, prezentul capitol prezintă o cuantificare economică a costurilor anuale recurente de asigurare a conformității pentru operatori și comercianți (secțiunea 5.1) și a beneficiilor anuale asociate pentru mediu (secțiunea 5.2) din Regulamentul privind defrișările. Acest lucru oferă o bază consecventă pentru o comparație anuală. </w:t>
      </w:r>
    </w:p>
    <w:p w14:paraId="174BDCC6" w14:textId="4A64E462" w:rsidR="002660DA" w:rsidRPr="0012174E" w:rsidRDefault="007F3567" w:rsidP="0012174E">
      <w:pPr>
        <w:spacing w:after="120"/>
        <w:rPr>
          <w:b/>
          <w:bCs/>
          <w:noProof/>
          <w:szCs w:val="24"/>
        </w:rPr>
      </w:pPr>
      <w:r>
        <w:rPr>
          <w:b/>
          <w:noProof/>
        </w:rPr>
        <w:t>5.1 Cuantificarea economică a sarcinii administrative</w:t>
      </w:r>
    </w:p>
    <w:p w14:paraId="56616619" w14:textId="01E91721" w:rsidR="00C11A02" w:rsidRPr="0012174E" w:rsidRDefault="6764C93E" w:rsidP="4A70F6D5">
      <w:pPr>
        <w:spacing w:after="120"/>
        <w:rPr>
          <w:noProof/>
        </w:rPr>
      </w:pPr>
      <w:r>
        <w:rPr>
          <w:noProof/>
        </w:rPr>
        <w:t>Luate împreună, se estimează că măsurile legislative și nelegislative de simplificare descrise în capitolele precedente vor reduce costurile anuale de asigurare a conformității pentru întreprinderile care fac obiectul obligațiilor prevăzute în Regulamentul privind defrișările cu aproximativ 75 % – de la aproximativ 8,1 miliarde EUR pe an estimate în temeiul regulamentului, astfel cum a intrat în vigoare în 2023, la 2,0 miliarde EUR pe an după luarea în considerare a tuturor măsurilor de simplificare (</w:t>
      </w:r>
      <w:r>
        <w:rPr>
          <w:rStyle w:val="FootnoteReference"/>
          <w:noProof/>
          <w:lang w:val="en-IE"/>
        </w:rPr>
        <w:footnoteReference w:id="40"/>
      </w:r>
      <w:r>
        <w:rPr>
          <w:noProof/>
        </w:rPr>
        <w:t xml:space="preserve">). </w:t>
      </w:r>
    </w:p>
    <w:p w14:paraId="4BC28102" w14:textId="15BA2751" w:rsidR="00CC1870" w:rsidRPr="0012174E" w:rsidRDefault="00CC1870" w:rsidP="0012174E">
      <w:pPr>
        <w:spacing w:after="120"/>
        <w:rPr>
          <w:noProof/>
          <w:szCs w:val="24"/>
        </w:rPr>
      </w:pPr>
      <w:r>
        <w:rPr>
          <w:noProof/>
        </w:rPr>
        <w:t>Această scădere semnificativă este determinată de o combinație de ajustări specifice care simplifică în mod colectiv cadrul de reglementare. Printre măsurile cuantificate de reducere a costurilor din trecut se numără exercițiul de clasificare a riscurilor (mai 2025), în cadrul căruia un număr mai mare de țări sunt clasificate ca fiind „cu risc scăzut” decât se anticipase în evaluarea inițială a impactului, posibilitatea depunerii anuale a declarațiilor privind diligența necesară (clarificări în documentul cu întrebări frecvente și în documentul de orientare din aprilie 2025) și regimul simplificat pentru microoperatorii primari sau micii operatori primari (revizuirea din 2025 a Regulamentului privind defrișările).</w:t>
      </w:r>
    </w:p>
    <w:p w14:paraId="38A20A92" w14:textId="1715DB12" w:rsidR="009B0656" w:rsidRPr="0012174E" w:rsidRDefault="00CC1870" w:rsidP="0012174E">
      <w:pPr>
        <w:spacing w:after="120"/>
        <w:rPr>
          <w:noProof/>
        </w:rPr>
      </w:pPr>
      <w:r>
        <w:rPr>
          <w:noProof/>
        </w:rPr>
        <w:t>Cuantificarea reflectă, de asemenea, cele mai recente simplificări publicate împreună cu prezentul raport. Sunt luate în considerare modificările propuse în proiectul de act delegat publicat în vederea obținerii de feedback din partea publicului, cum ar fi includerea produselor din ulei de palmier din aval și excluderea articolelor din piele, precum și exceptările orizontale. În plus, reduceri suplimentare ale costurilor rezultă dintr-o interpretare mai clară a modului în care este verificată diligența necesară, precum și din interpretarea colectării identificatorilor sau a numerelor de referință ca o obligație pasivă pentru actorii din aval.</w:t>
      </w:r>
    </w:p>
    <w:p w14:paraId="3CFEA531" w14:textId="0ABF258F" w:rsidR="00C258FD" w:rsidRPr="0012174E" w:rsidRDefault="00C258FD" w:rsidP="001B114D">
      <w:pPr>
        <w:spacing w:after="120"/>
        <w:rPr>
          <w:noProof/>
          <w:szCs w:val="24"/>
        </w:rPr>
      </w:pPr>
      <w:r>
        <w:rPr>
          <w:noProof/>
        </w:rPr>
        <w:t>Figura 2 prezintă o imagine de ansamblu a economiilor realizate în fiecare etapă. În total, cele mai mari reduceri ale costurilor sunt determinate de introducerea regimului simplificat și de modificările domeniului de aplicare al Regulamentului privind defrișările. Prima măsură are un impact deosebit, având în vedere numărul mare de micro-producători primari și de mici producători primari. Deși economiile de costuri pentru marii operatori din aval sunt semnificative la nivelul fiecărui operator în parte, contribuția acestora la reducerile totale ale costurilor de asigurare a conformității cu Regulamentul privind defrișările rămâne mai limitată din cauza ponderii lor relativ mici pe care o dețin în totalul operatorilor.</w:t>
      </w:r>
    </w:p>
    <w:p w14:paraId="1B06D229" w14:textId="5F81F90E" w:rsidR="00124C55" w:rsidRPr="0012174E" w:rsidRDefault="00124C55" w:rsidP="0012174E">
      <w:pPr>
        <w:pStyle w:val="Caption"/>
        <w:keepNext/>
        <w:spacing w:after="120"/>
        <w:rPr>
          <w:noProof/>
          <w:sz w:val="24"/>
          <w:szCs w:val="24"/>
        </w:rPr>
      </w:pPr>
      <w:r>
        <w:rPr>
          <w:noProof/>
          <w:sz w:val="24"/>
        </w:rPr>
        <w:t>Figura 2</w:t>
      </w:r>
      <w:r>
        <w:rPr>
          <w:noProof/>
          <w:sz w:val="24"/>
        </w:rPr>
        <w:fldChar w:fldCharType="begin"/>
      </w:r>
      <w:r>
        <w:rPr>
          <w:noProof/>
          <w:sz w:val="24"/>
        </w:rPr>
        <w:instrText xml:space="preserve"> SEQ Figure \* ARABIC </w:instrText>
      </w:r>
      <w:r>
        <w:rPr>
          <w:noProof/>
          <w:sz w:val="24"/>
        </w:rPr>
        <w:fldChar w:fldCharType="end"/>
      </w:r>
      <w:r>
        <w:rPr>
          <w:noProof/>
          <w:sz w:val="24"/>
        </w:rPr>
        <w:t>: Defalcarea economiilor de costuri de la intrarea în vigoare în iunie 2023, prin pachetele de simplificare introduse între aprilie 2025 și aprilie 2026, în miliarde pe an</w:t>
      </w:r>
    </w:p>
    <w:p w14:paraId="73846195" w14:textId="24C8862F" w:rsidR="00AA3A0E" w:rsidRPr="0012174E" w:rsidRDefault="00E96DB6" w:rsidP="0012174E">
      <w:pPr>
        <w:spacing w:after="120"/>
        <w:rPr>
          <w:noProof/>
          <w:szCs w:val="24"/>
        </w:rPr>
      </w:pPr>
      <w:r>
        <w:rPr>
          <w:noProof/>
          <w:lang w:val="en-GB" w:eastAsia="en-GB"/>
        </w:rPr>
        <w:drawing>
          <wp:inline distT="0" distB="0" distL="0" distR="0" wp14:anchorId="3BD07C6F" wp14:editId="4246EBA8">
            <wp:extent cx="5833378" cy="3192145"/>
            <wp:effectExtent l="0" t="0" r="0" b="8255"/>
            <wp:docPr id="137123160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FC650D5" w14:textId="77777777" w:rsidR="00FF041C" w:rsidRDefault="00FF041C" w:rsidP="0012174E">
      <w:pPr>
        <w:spacing w:after="120"/>
        <w:rPr>
          <w:i/>
          <w:iCs/>
          <w:noProof/>
          <w:szCs w:val="24"/>
        </w:rPr>
      </w:pPr>
    </w:p>
    <w:p w14:paraId="27A0D57C" w14:textId="776ED21C" w:rsidR="00AA3A0E" w:rsidRPr="0012174E" w:rsidRDefault="00C04552" w:rsidP="0012174E">
      <w:pPr>
        <w:spacing w:after="120"/>
        <w:rPr>
          <w:i/>
          <w:iCs/>
          <w:noProof/>
          <w:szCs w:val="24"/>
        </w:rPr>
      </w:pPr>
      <w:r>
        <w:rPr>
          <w:i/>
          <w:noProof/>
        </w:rPr>
        <w:t>Metodologia de cuantificare economică</w:t>
      </w:r>
    </w:p>
    <w:p w14:paraId="30B9B3DE" w14:textId="67AF37D6" w:rsidR="002833AE" w:rsidRDefault="0032287C" w:rsidP="0012174E">
      <w:pPr>
        <w:spacing w:after="120"/>
        <w:rPr>
          <w:noProof/>
        </w:rPr>
      </w:pPr>
      <w:r>
        <w:rPr>
          <w:noProof/>
        </w:rPr>
        <w:t>Metodologia (</w:t>
      </w:r>
      <w:r>
        <w:rPr>
          <w:rStyle w:val="FootnoteReference"/>
          <w:noProof/>
          <w:lang w:val="en-IE"/>
        </w:rPr>
        <w:footnoteReference w:id="41"/>
      </w:r>
      <w:r>
        <w:rPr>
          <w:noProof/>
        </w:rPr>
        <w:t xml:space="preserve">) a aplicat abordarea standard de estimare a costurilor, calculând costurile recurente anuale prin înmulțirea numărului de operatori și comercianți care fac obiectul Regulamentului privind defrișările cu un cost mediu fix per actor. </w:t>
      </w:r>
    </w:p>
    <w:p w14:paraId="65EA368B" w14:textId="183C83F3" w:rsidR="00A021F8" w:rsidRPr="0012174E" w:rsidRDefault="00A021F8" w:rsidP="0012174E">
      <w:pPr>
        <w:spacing w:after="120"/>
        <w:rPr>
          <w:noProof/>
          <w:highlight w:val="yellow"/>
        </w:rPr>
      </w:pPr>
      <w:r>
        <w:rPr>
          <w:noProof/>
        </w:rPr>
        <w:t>Costurile recurente includ, în conformitate cu definiția din evaluarea inițială a impactului, costurile legate de personalul alocat acestei sarcini, întreținerea sistemelor, precum și costurile legate de colaționarea, agregarea și analiza datelor, inclusiv, în unele cazuri, costurile serviciilor profesionale pentru auditul efectuat de terți și pentru sondaje.</w:t>
      </w:r>
    </w:p>
    <w:p w14:paraId="0784D0F9" w14:textId="649ED066" w:rsidR="0011394A" w:rsidRPr="0012174E" w:rsidRDefault="0011394A" w:rsidP="0012174E">
      <w:pPr>
        <w:spacing w:after="120"/>
        <w:rPr>
          <w:noProof/>
          <w:szCs w:val="24"/>
        </w:rPr>
      </w:pPr>
      <w:r>
        <w:rPr>
          <w:noProof/>
        </w:rPr>
        <w:t>Calculele se bazează pe cuantificările economice din evaluarea inițială a impactului, dar scenariul de referință a fost extins pentru a include segmentele de actori omise anterior. Calculele costurilor de asigurare a conformității acoperă în prezent toți operatorii importatori, înlocuind ipoteza inițială potrivit căreia doar jumătate dintre aceștia suportă costuri suplimentare aferente obligației privind diligența necesară. Sunt incluși, de asemenea, operatorii din aval, comercianții și producătorii interni, ceea ce reflectă costurile recurente de asigurare a conformității care au fost excluse anterior din cauza lacunelor de date sau a ipotezelor privind un impact neglijabil.</w:t>
      </w:r>
    </w:p>
    <w:p w14:paraId="1B50A90C" w14:textId="489B7828" w:rsidR="00DA6E38" w:rsidRPr="0012174E" w:rsidRDefault="00DA6E38" w:rsidP="4A70F6D5">
      <w:pPr>
        <w:spacing w:after="120"/>
        <w:rPr>
          <w:noProof/>
        </w:rPr>
      </w:pPr>
      <w:r>
        <w:rPr>
          <w:noProof/>
        </w:rPr>
        <w:t>În cazul operatorilor importatori și al celor din aval, al producătorilor primari naționali de dimensiuni medii și mari, precum și al comercianților, se aplică aceleași estimări ale costurilor unitare aferente obligației privind diligența necesară, prevăzute în evaluarea inițială a impactului. Evaluarea respectivă a pornit de la ipoteza unui cost de asigurare a conformității pe întreprindere de 1 000 EUR pentru intervalul inferior, de 10 000 EUR pentru intervalul mediu și de 15 000 EUR pentru intervalul superior, în cazul aprovizionării din țări cu risc standard sau cu risc ridicat. Această analiză se axează pe valoarea centrală de 10 000 EUR pe întreprindere. Se presupune că un operator care se aprovizionează din țări cu risc scăzut suportă jumătate din costul standard. Pentru microoperatorii primari sau micii operatori primari, costurile aferente obligației privind diligența necesară sunt estimate la 500 EUR pe operator pe an, reflectând cheltuielile mai mici ale acestora pentru urmărirea lanțului de aprovizionare și documentația de conformitate.</w:t>
      </w:r>
    </w:p>
    <w:p w14:paraId="33E647E1" w14:textId="0FD4D0DE" w:rsidR="000C5068" w:rsidRPr="000C5068" w:rsidRDefault="00C91D10" w:rsidP="000C5068">
      <w:pPr>
        <w:spacing w:after="120"/>
        <w:rPr>
          <w:noProof/>
          <w:szCs w:val="24"/>
        </w:rPr>
      </w:pPr>
      <w:r>
        <w:rPr>
          <w:noProof/>
        </w:rPr>
        <w:t>Se introduce o reducere de 10,7 % a costurilor pe operator, ca urmare a simplificărilor prezentate în documentul cu întrebări frecvente și în documentul de orientare din aprilie 2025, în special posibilitatea de a include mai multe transporturi sau loturi într-o singură declarație anuală privind diligența necesară. Această estimare se bazează pe ipoteza potrivit căreia costurile de raportare reprezintă aproximativ 11 % din costurile totale aferente obligației privind diligența necesară (</w:t>
      </w:r>
      <w:r>
        <w:rPr>
          <w:rStyle w:val="FootnoteReference"/>
          <w:noProof/>
          <w:szCs w:val="24"/>
          <w:lang w:val="en-IE"/>
        </w:rPr>
        <w:footnoteReference w:id="42"/>
      </w:r>
      <w:r>
        <w:rPr>
          <w:noProof/>
        </w:rPr>
        <w:t>), combinate cu date privind frecvența transporturilor care indică faptul că întreprinderile gestionează în medie 42 de transporturi pe an (excluzând eșantioanele).</w:t>
      </w:r>
    </w:p>
    <w:p w14:paraId="1F8CD544" w14:textId="66435F2A" w:rsidR="00C91D10" w:rsidRPr="0012174E" w:rsidRDefault="00C91D10" w:rsidP="0012174E">
      <w:pPr>
        <w:spacing w:after="120"/>
        <w:rPr>
          <w:noProof/>
          <w:szCs w:val="24"/>
        </w:rPr>
      </w:pPr>
      <w:r>
        <w:rPr>
          <w:noProof/>
        </w:rPr>
        <w:t>Pentru a reflecta efectul exercițiului de clasificare a riscurilor din mai 2025, în urma căruia un număr mai mare de țări sunt clasificate ca având „risc scăzut”, unei părți mai mari din baza operatorilor importatori – 51 %, față de 20 % anterior – i se atribuie jumătate din costul standard de asigurare a conformității.</w:t>
      </w:r>
    </w:p>
    <w:p w14:paraId="2188DB3D" w14:textId="725D8533" w:rsidR="002778BE" w:rsidRPr="0012174E" w:rsidRDefault="002778BE" w:rsidP="0012174E">
      <w:pPr>
        <w:spacing w:after="120"/>
        <w:rPr>
          <w:noProof/>
          <w:szCs w:val="24"/>
        </w:rPr>
      </w:pPr>
      <w:r>
        <w:rPr>
          <w:noProof/>
        </w:rPr>
        <w:t>Pentru a cuantifica simplificările introduse prin modificarea din decembrie 2025, costul pe operator pentru microoperatorii primari sau micii operatori primari este redus în mod semnificativ, deoarece obligația de a depune periodic declarații privind diligența necesară este înlocuită cu o declarație unică ce poate fi actualizată în cazul unor modificări majore. Pentru aceste calcule, se presupune că declarația este actualizată în medie o dată la 20 de ani, ceea ce reduce costul recurent anual cu 95 %. În mod similar, se presupune că operatorii din aval și comercianții, care nu mai sunt obligați să transmită numerele de referință, suportă doar 5 % din costurile lor inițiale de asigurare a conformității pentru a colecta și a stoca în mod pasiv numerele de referință primite de la operatorul din amonte.</w:t>
      </w:r>
    </w:p>
    <w:p w14:paraId="0DF6534F" w14:textId="11992FD9" w:rsidR="008524C1" w:rsidRPr="00AC6499" w:rsidRDefault="00195BE7" w:rsidP="008524C1">
      <w:pPr>
        <w:spacing w:after="120"/>
        <w:rPr>
          <w:noProof/>
        </w:rPr>
      </w:pPr>
      <w:r>
        <w:rPr>
          <w:noProof/>
        </w:rPr>
        <w:t>Modificările domeniului de aplicare al produselor, atât față de modificarea din 2025, cât și față de proiectul de act delegat din 2026, sunt încorporate prin ajustarea dimensiunii populației de operatori importatori pe baza numărului de operatori unici pentru toate produsele relevante pentru Regulamentul privind defrișările, astfel cum rezultă din baza de date a Direcției Generale Impozitare și Uniune Vamală. Pornind de la un număr estimat de 352 de mii de operatori, excluzând cărțile, articolele din piele și anvelopele reșapate, dar incluzând produsele derivate din ulei de palmier, cafeaua și limba congelată de vită, numărul operatorilor importatori unici se reduce la 275 de mii. În urma actualizării documentului de orientare și a documentului cu întrebări frecvente, se aplică reduceri suplimentare ale costurilor pentru operatorii din aval și comercianți, ceea ce reflectă abordarea pragmatică cu privire la modul în care este verificată diligența necesară, precum și faptul că colectarea identificatorilor sau a numerelor de referință este în mod clar o obligație pasivă pentru actorii din aval. În plus, se aplică o reducere de 6,8 % a costurilor pentru a reflecta simplificările orizontale introduse în proiectul de act delegat. Această reducere este determinată în principal de exceptările pentru deșeuri și produse uzate (4,6 %), urmate de materialele de ambalare (1,95 %), în timp ce produsele din bambus reprezintă o pondere mai mică (0,25 %), iar eșantioanele au un impact neglijabil (0,004 %). Ponderea deșeurilor și a produselor uzate a fost estimată cu ajutorul unor indicatori indirecți, deduși, de regulă, din alte categorii de produse pentru care au fost disponibile date prin intermediul valorilor de import asociate cu coduri NC specifice. Valoarea eșantioanelor a fost obținută pe baza datelor comerciale vamale, prin aplicarea unui prag de 150 EUR pentru a identifica transporturile cu valoare scăzută ca eșantioane. Exceptările pentru produsele din bambus au fost calculate pe baza codurilor NC care au permis o distincție clară între produsele din bambus și cele din lemn. În cele din urmă, economiile legate de materialele de ambalare au fost estimate pe baza codurilor NC relevante care includ articole precum lăzi din lemn, coșuri, butoaie, cuve, cutii și lădițe. Analiza nu include costurile mai ample de asigurare a respectării sau de punere în aplicare suportate anual de autoritățile publice din statele membre ale UE în legătură cu regulamentul în ansamblu. Se preconizează că aceste costuri, estimate în evaluarea inițială a impactului la aproximativ 18 milioane EUR pe an, vor varia doar marginal și, având în vedere că sunt cu aproximativ două ordine de mărime mai mici decât costurile recurente estimate de asigurare a conformității pentru operatori și comercianți, nu se preconizează că vor afecta proporționalitatea generală a regulamentului. Același lucru este valabil și pentru costurile preconizate a fi suportate de Comisia Europeană, estimate la 16,5 milioane EUR în primii șase ani de punere în aplicare.</w:t>
      </w:r>
    </w:p>
    <w:p w14:paraId="4AF6C3A4" w14:textId="4691FC4B" w:rsidR="00FF041C" w:rsidRDefault="003B71B5" w:rsidP="0012174E">
      <w:pPr>
        <w:spacing w:after="120"/>
        <w:rPr>
          <w:noProof/>
        </w:rPr>
      </w:pPr>
      <w:r>
        <w:rPr>
          <w:noProof/>
        </w:rPr>
        <w:t>Această analiză nu ține seama de costurile unice suportate de operatori, cum ar fi elaborarea și instituirea unei politici privind diligența necesară, achiziționarea și instalarea sistemelor informatice necesare, informarea și pregătirea personalului și a partenerilor din lanțul de aprovizionare, deoarece aceste costuri nu sunt comparabile anual. Se preconizează că aceste costuri vor scădea proporțional cu reducerea numărului de operatori unici care intră sub incidența Regulamentului privind defrișările, ca urmare a modificărilor aduse domeniului de aplicare al produselor.</w:t>
      </w:r>
    </w:p>
    <w:p w14:paraId="79335A41" w14:textId="0D97B75D" w:rsidR="004B6324" w:rsidRPr="0012174E" w:rsidRDefault="007F3567" w:rsidP="0012174E">
      <w:pPr>
        <w:spacing w:after="120"/>
        <w:rPr>
          <w:b/>
          <w:bCs/>
          <w:noProof/>
          <w:szCs w:val="24"/>
        </w:rPr>
      </w:pPr>
      <w:r>
        <w:rPr>
          <w:b/>
          <w:noProof/>
        </w:rPr>
        <w:t>5.2 Proporționalitatea costurilor și beneficiile pentru mediu</w:t>
      </w:r>
    </w:p>
    <w:p w14:paraId="3A297645" w14:textId="2ED7A575" w:rsidR="00C52586" w:rsidRPr="0012174E" w:rsidRDefault="00C52586" w:rsidP="4A70F6D5">
      <w:pPr>
        <w:spacing w:after="120"/>
        <w:rPr>
          <w:noProof/>
        </w:rPr>
      </w:pPr>
      <w:r>
        <w:rPr>
          <w:noProof/>
        </w:rPr>
        <w:t>Pe baza datelor din perioada 2015-2020 (</w:t>
      </w:r>
      <w:r>
        <w:rPr>
          <w:rStyle w:val="FootnoteReference"/>
          <w:noProof/>
          <w:lang w:val="en-IE"/>
        </w:rPr>
        <w:footnoteReference w:id="43"/>
      </w:r>
      <w:r>
        <w:rPr>
          <w:noProof/>
        </w:rPr>
        <w:t>), se estimează că, după eliminarea SA49 și includerea modificărilor propuse în actul delegat, Regulamentul privind defrișările va genera beneficii economice de aproximativ 7 miliarde EUR pe an prin monetizarea a 208 mii de hectare de defrișări evitate și a 49 de milioane de tone de emisii de gaze cu efect de seră evitate, atât în interiorul UE, cât și incluse în importuri. Prin urmare, el depășește în mod semnificativ costurile de asigurare a conformității estimate după simplificare. Figura 3 ilustrează defalcarea beneficiilor pentru mediu pe produse de bază în urma modificărilor propuse în proiectul de act delegat.</w:t>
      </w:r>
    </w:p>
    <w:p w14:paraId="3578BFAB" w14:textId="6012A8F7" w:rsidR="00C52586" w:rsidRPr="0012174E" w:rsidRDefault="00C52586" w:rsidP="0012174E">
      <w:pPr>
        <w:pStyle w:val="Caption"/>
        <w:keepNext/>
        <w:spacing w:after="120"/>
        <w:jc w:val="left"/>
        <w:rPr>
          <w:noProof/>
          <w:sz w:val="24"/>
          <w:szCs w:val="24"/>
        </w:rPr>
      </w:pPr>
      <w:r>
        <w:rPr>
          <w:noProof/>
          <w:sz w:val="24"/>
        </w:rPr>
        <w:t>Figura 3</w:t>
      </w:r>
      <w:r>
        <w:rPr>
          <w:noProof/>
          <w:sz w:val="24"/>
        </w:rPr>
        <w:fldChar w:fldCharType="begin"/>
      </w:r>
      <w:r>
        <w:rPr>
          <w:noProof/>
          <w:sz w:val="24"/>
        </w:rPr>
        <w:instrText xml:space="preserve"> SEQ Figure \* ARABIC </w:instrText>
      </w:r>
      <w:r>
        <w:rPr>
          <w:noProof/>
          <w:sz w:val="24"/>
        </w:rPr>
        <w:fldChar w:fldCharType="end"/>
      </w:r>
      <w:r>
        <w:rPr>
          <w:noProof/>
          <w:sz w:val="24"/>
        </w:rPr>
        <w:t>: Beneficiile pentru mediu ale noului domeniu de aplicare, atât în cadrul UE, cât și incluse în importuri pe an, defalcate pe produse de bază (</w:t>
      </w:r>
      <w:r>
        <w:rPr>
          <w:rStyle w:val="FootnoteReference"/>
          <w:noProof/>
          <w:sz w:val="24"/>
          <w:szCs w:val="24"/>
        </w:rPr>
        <w:footnoteReference w:id="44"/>
      </w:r>
      <w:r>
        <w:rPr>
          <w:noProof/>
          <w:sz w:val="24"/>
        </w:rPr>
        <w:t>) </w:t>
      </w:r>
    </w:p>
    <w:p w14:paraId="20E324D7" w14:textId="6F64D6B9" w:rsidR="00892B58" w:rsidRPr="00E84250" w:rsidRDefault="00AD51D7" w:rsidP="0012174E">
      <w:pPr>
        <w:spacing w:after="120"/>
        <w:rPr>
          <w:noProof/>
        </w:rPr>
      </w:pPr>
      <w:r>
        <w:rPr>
          <w:noProof/>
          <w:lang w:val="en-GB" w:eastAsia="en-GB"/>
        </w:rPr>
        <w:drawing>
          <wp:inline distT="0" distB="0" distL="0" distR="0" wp14:anchorId="0A8E5E16" wp14:editId="5B813BAD">
            <wp:extent cx="5768340" cy="3093720"/>
            <wp:effectExtent l="0" t="0" r="3810" b="0"/>
            <wp:docPr id="171706384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0B59951" w14:textId="4565D748" w:rsidR="008360DD" w:rsidRPr="0012174E" w:rsidRDefault="008360DD" w:rsidP="0012174E">
      <w:pPr>
        <w:spacing w:after="120"/>
        <w:rPr>
          <w:i/>
          <w:iCs/>
          <w:noProof/>
          <w:szCs w:val="24"/>
        </w:rPr>
      </w:pPr>
      <w:r>
        <w:rPr>
          <w:i/>
          <w:noProof/>
        </w:rPr>
        <w:t>Metodologia de calcul al beneficiilor pentru mediu</w:t>
      </w:r>
    </w:p>
    <w:p w14:paraId="7E6E19C7" w14:textId="7C3498B4" w:rsidR="009D39A4" w:rsidRPr="0012174E" w:rsidRDefault="00B92DB8" w:rsidP="009D39A4">
      <w:pPr>
        <w:spacing w:after="120"/>
        <w:rPr>
          <w:noProof/>
        </w:rPr>
      </w:pPr>
      <w:r>
        <w:rPr>
          <w:noProof/>
        </w:rPr>
        <w:t>Beneficiile pentru mediu sunt cuantificate pe baza amprentei defrișărilor și a amprentei emisiilor asociate importului de mărfuri care intră sub incidența Regulamentului privind defrișările, precum și a defrișărilor și a emisiilor asociate producției respectivelor produse de bază în cadrul UE. Amprenta defrișărilor reprezintă suprafața de teren convertită din pădure în teren agricol pentru producția respectivului produs de bază. Amprenta emisiilor reflectă diferența netă a stocurilor de carbon asociate acestei schimbări a utilizării terenurilor. Această metodologie nu ia în considerare beneficiile pentru mediu ale reducerii degradării pădurilor. Indicatorii privind defrișările și emisiile sunt monetizați separat și, ulterior, agregați pentru a estima beneficiile totale pentru mediu. Impactul defrișărilor este evaluat utilizând o abordare bazată pe servicii ecosistemice, iar emisiile sunt evaluate utilizând un preț al carbonului derivat din schema de comercializare a certificatelor de emisii (ETS). Se adoptă o valoare a serviciilor ecosistemice (</w:t>
      </w:r>
      <w:r>
        <w:rPr>
          <w:rStyle w:val="FootnoteReference"/>
          <w:noProof/>
        </w:rPr>
        <w:footnoteReference w:id="45"/>
      </w:r>
      <w:r>
        <w:rPr>
          <w:noProof/>
        </w:rPr>
        <w:t>) de 10 000 EUR pe hectar pe an, preluată din Brander et al. (2024) (</w:t>
      </w:r>
      <w:r>
        <w:rPr>
          <w:rStyle w:val="FootnoteReference"/>
          <w:noProof/>
        </w:rPr>
        <w:footnoteReference w:id="46"/>
      </w:r>
      <w:r>
        <w:rPr>
          <w:noProof/>
        </w:rPr>
        <w:t>), ca valoare reprezentativă pentru pădurile tropicale, subtropicale și temperate, în timp ce prețul carbonului este adoptat la 100 EUR pe tonă de CO₂, în conformitate cu evaluarea inițială a impactului (</w:t>
      </w:r>
      <w:r>
        <w:rPr>
          <w:rStyle w:val="FootnoteReference"/>
          <w:noProof/>
        </w:rPr>
        <w:footnoteReference w:id="47"/>
      </w:r>
      <w:r>
        <w:rPr>
          <w:noProof/>
        </w:rPr>
        <w:t>).</w:t>
      </w:r>
      <w:r w:rsidR="009C0FF5">
        <w:rPr>
          <w:noProof/>
        </w:rPr>
        <w:t xml:space="preserve"> </w:t>
      </w:r>
    </w:p>
    <w:p w14:paraId="28090434" w14:textId="40BFEF2F" w:rsidR="00B92DB8" w:rsidRPr="0012174E" w:rsidRDefault="00B92DB8" w:rsidP="0012174E">
      <w:pPr>
        <w:spacing w:after="120"/>
        <w:rPr>
          <w:noProof/>
          <w:szCs w:val="24"/>
        </w:rPr>
      </w:pPr>
      <w:r>
        <w:rPr>
          <w:noProof/>
        </w:rPr>
        <w:t>Amprenta defrișărilor și emisiile asociate legate de importurile care intră sub incidența Regulamentului privind defrișările sunt estimate pe baza unei serii de surse din literatura de specialitate. În primul rând, estimările la nivel de țară privind defrișările totale asociate cu producția celor șapte produse de bază care intră în domeniul de aplicare al Regulamentului privind defrișările sunt preluate din Singh și Persson (2026) (</w:t>
      </w:r>
      <w:r>
        <w:rPr>
          <w:rStyle w:val="FootnoteReference"/>
          <w:noProof/>
        </w:rPr>
        <w:footnoteReference w:id="48"/>
      </w:r>
      <w:r>
        <w:rPr>
          <w:noProof/>
        </w:rPr>
        <w:t>). Pe baza datelor privind producția furnizate de FAOSTAT, se calculează intensitatea defrișărilor pentru fiecare combinație țară-produs de bază, definită ca raportul dintre defrișări și producția națională a produsului de bază respectiv.</w:t>
      </w:r>
    </w:p>
    <w:p w14:paraId="7E5898D4" w14:textId="1E30D8F6" w:rsidR="00911CD1" w:rsidRPr="0012174E" w:rsidRDefault="00B92DB8" w:rsidP="0012174E">
      <w:pPr>
        <w:spacing w:after="120"/>
        <w:rPr>
          <w:noProof/>
          <w:szCs w:val="24"/>
        </w:rPr>
      </w:pPr>
      <w:r>
        <w:rPr>
          <w:noProof/>
        </w:rPr>
        <w:t>Defrișările incluse asociate importurilor de produse derivate se calculează apoi prin înmulțirea intensității defrișării cu volumul produsului derivat importat în UE (COMEXT, COMTRADE) și cu fracția masică a produsului de bază primar conținut în produsul finit.</w:t>
      </w:r>
    </w:p>
    <w:p w14:paraId="3CCCE9A1" w14:textId="1E47B36C" w:rsidR="00EC0982" w:rsidRDefault="004D1EE5" w:rsidP="0012174E">
      <w:pPr>
        <w:spacing w:after="120"/>
        <w:rPr>
          <w:noProof/>
          <w:szCs w:val="24"/>
        </w:rPr>
      </w:pPr>
      <w:r>
        <w:rPr>
          <w:noProof/>
        </w:rPr>
        <w:t>Pentru a ține seama de diferențele dintre țara de producție și țara de origine, se aplică intensități distincte ale defrișărilor pentru produsele de bază brute și produsele derivate. În cazul produselor de bază brute, intensitatea defrișărilor se bazează exclusiv pe defrișările și pe producția din țara de origine, astfel cum se descrie mai sus. În cazul produselor derivate, intensitatea defrișărilor se calculează ca medie ponderată care reflectă fluxurile de producție, import și export ale produsului de bază brut relevant, aproximând astfel mixul geografic al aprovizionării din amonte.</w:t>
      </w:r>
    </w:p>
    <w:p w14:paraId="768E94D0" w14:textId="521AAE5C" w:rsidR="00D630B8" w:rsidRDefault="00937215" w:rsidP="0012174E">
      <w:pPr>
        <w:spacing w:after="120"/>
        <w:rPr>
          <w:noProof/>
        </w:rPr>
      </w:pPr>
      <w:r>
        <w:rPr>
          <w:noProof/>
        </w:rPr>
        <w:t xml:space="preserve">Amprenta defrișărilor și emisiile asociate legate de producția de produse de bază care intră sub incidența Regulamentului privind defrișările în UE sunt stabilite la un nivel egal cu media defrișărilor și a emisiilor provenite din conversia terenurilor în perioada 2015-2020, presupunând astfel implicit că defrișările asociate cu producția de produse de bază relevante în UE vor fi oprite complet atunci când va intra în vigoare Regulamentul privind defrișările. </w:t>
      </w:r>
    </w:p>
    <w:p w14:paraId="0C35F374" w14:textId="46E69814" w:rsidR="00291FB0" w:rsidRDefault="00291FB0" w:rsidP="0012174E">
      <w:pPr>
        <w:spacing w:after="120"/>
        <w:rPr>
          <w:noProof/>
          <w:szCs w:val="24"/>
        </w:rPr>
      </w:pPr>
      <w:r>
        <w:rPr>
          <w:noProof/>
        </w:rPr>
        <w:t>Pe baza metodologiei descrise mai sus, se estimează că domeniul de aplicare actualizat al produselor prevăzut în Regulamentul privind defrișările va permite evitarea defrișării a 208 mii de hectare și, prin urmare, a 49 de milioane de tone de emisii de gaze cu efect de seră, provenite atât din producția în interiorul UE, cât și incluse în importuri.</w:t>
      </w:r>
    </w:p>
    <w:p w14:paraId="6289A69E" w14:textId="77777777" w:rsidR="0015133F" w:rsidRPr="000775D9" w:rsidRDefault="0015133F" w:rsidP="0012174E">
      <w:pPr>
        <w:spacing w:after="120"/>
        <w:rPr>
          <w:noProof/>
          <w:szCs w:val="24"/>
        </w:rPr>
      </w:pPr>
    </w:p>
    <w:tbl>
      <w:tblPr>
        <w:tblStyle w:val="TableGrid"/>
        <w:tblW w:w="0" w:type="auto"/>
        <w:shd w:val="clear" w:color="auto" w:fill="E8E8E8" w:themeFill="background2"/>
        <w:tblLook w:val="04A0" w:firstRow="1" w:lastRow="0" w:firstColumn="1" w:lastColumn="0" w:noHBand="0" w:noVBand="1"/>
      </w:tblPr>
      <w:tblGrid>
        <w:gridCol w:w="8602"/>
      </w:tblGrid>
      <w:tr w:rsidR="00EB0AE4" w14:paraId="6CDBAF46" w14:textId="77777777" w:rsidTr="00637B48">
        <w:trPr>
          <w:trHeight w:val="2929"/>
        </w:trPr>
        <w:tc>
          <w:tcPr>
            <w:tcW w:w="8602" w:type="dxa"/>
            <w:shd w:val="clear" w:color="auto" w:fill="E8E8E8" w:themeFill="background2"/>
          </w:tcPr>
          <w:p w14:paraId="5CCB56C9" w14:textId="17118042" w:rsidR="00EB0AE4" w:rsidRDefault="00EB0AE4" w:rsidP="00EB0AE4">
            <w:pPr>
              <w:spacing w:after="0"/>
              <w:rPr>
                <w:rFonts w:eastAsia="Aptos"/>
                <w:b/>
                <w:bCs/>
                <w:noProof/>
                <w:szCs w:val="24"/>
              </w:rPr>
            </w:pPr>
            <w:r>
              <w:rPr>
                <w:b/>
                <w:noProof/>
              </w:rPr>
              <w:t>Puncte-cheie – rezumatul capitolului:</w:t>
            </w:r>
          </w:p>
          <w:p w14:paraId="7FCD40BF" w14:textId="77777777" w:rsidR="00EB0AE4" w:rsidRDefault="00EB0AE4" w:rsidP="00637B48">
            <w:pPr>
              <w:spacing w:after="0"/>
              <w:ind w:left="567"/>
              <w:rPr>
                <w:rFonts w:eastAsia="Aptos"/>
                <w:b/>
                <w:bCs/>
                <w:noProof/>
                <w:szCs w:val="24"/>
                <w:lang w:eastAsia="en-US"/>
              </w:rPr>
            </w:pPr>
          </w:p>
          <w:p w14:paraId="4A72C6C2" w14:textId="649FD18B" w:rsidR="00E1525D" w:rsidRDefault="00E1525D" w:rsidP="00637B48">
            <w:pPr>
              <w:pStyle w:val="ListParagraph"/>
              <w:numPr>
                <w:ilvl w:val="0"/>
                <w:numId w:val="74"/>
              </w:numPr>
              <w:spacing w:after="0"/>
              <w:ind w:left="567"/>
              <w:rPr>
                <w:noProof/>
              </w:rPr>
            </w:pPr>
            <w:r>
              <w:rPr>
                <w:noProof/>
              </w:rPr>
              <w:t>Se preconizează că măsurile combinate de simplificare prezentate în prezentul raport vor reduce costurile anuale de asigurare a conformității pentru întreprinderi cu 75 %. ()</w:t>
            </w:r>
          </w:p>
          <w:p w14:paraId="410B0E6D" w14:textId="5362123B" w:rsidR="00270654" w:rsidRDefault="00EB0AE4" w:rsidP="00637B48">
            <w:pPr>
              <w:pStyle w:val="ListParagraph"/>
              <w:numPr>
                <w:ilvl w:val="0"/>
                <w:numId w:val="74"/>
              </w:numPr>
              <w:spacing w:after="0"/>
              <w:ind w:left="567"/>
              <w:rPr>
                <w:noProof/>
              </w:rPr>
            </w:pPr>
            <w:r>
              <w:rPr>
                <w:noProof/>
              </w:rPr>
              <w:t xml:space="preserve">Se preconizează că Regulamentul privind defrișările va genera beneficii economice de aproximativ 7 miliarde EUR pe an prin monetizarea a 208 mii de hectare de defrișări evitate și a 49 de milioane de tone de emisii de gaze cu efect de seră evitate. </w:t>
            </w:r>
          </w:p>
          <w:p w14:paraId="273D11AC" w14:textId="3102F192" w:rsidR="00EB0AE4" w:rsidRDefault="00EB0AE4" w:rsidP="00637B48">
            <w:pPr>
              <w:pStyle w:val="ListParagraph"/>
              <w:numPr>
                <w:ilvl w:val="0"/>
                <w:numId w:val="74"/>
              </w:numPr>
              <w:spacing w:after="0"/>
              <w:ind w:left="567"/>
              <w:rPr>
                <w:noProof/>
              </w:rPr>
            </w:pPr>
            <w:r>
              <w:rPr>
                <w:noProof/>
              </w:rPr>
              <w:t xml:space="preserve">Reducerile de costuri sunt deosebit de importante pentru micro-producătorii primari sau micii producători primari, pentru întreprinderile care se aprovizionează din țări cu risc scăzut și pentru actorii din lanțurile de aprovizionare din aval. </w:t>
            </w:r>
          </w:p>
        </w:tc>
      </w:tr>
    </w:tbl>
    <w:p w14:paraId="352EDF02" w14:textId="07DB49FF" w:rsidR="001A0EBF" w:rsidRPr="0012174E" w:rsidRDefault="001A0EBF" w:rsidP="009C0FF5">
      <w:pPr>
        <w:spacing w:after="0"/>
        <w:rPr>
          <w:b/>
          <w:bCs/>
          <w:noProof/>
          <w:sz w:val="28"/>
          <w:szCs w:val="28"/>
        </w:rPr>
      </w:pPr>
    </w:p>
    <w:sectPr w:rsidR="001A0EBF" w:rsidRPr="0012174E" w:rsidSect="007270EF">
      <w:headerReference w:type="even" r:id="rId25"/>
      <w:headerReference w:type="default" r:id="rId26"/>
      <w:footerReference w:type="even" r:id="rId27"/>
      <w:footerReference w:type="default" r:id="rId28"/>
      <w:headerReference w:type="first" r:id="rId29"/>
      <w:footerReference w:type="first" r:id="rId30"/>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16C373" w14:textId="77777777" w:rsidR="00F40F0B" w:rsidRDefault="00F40F0B">
      <w:pPr>
        <w:spacing w:after="0"/>
      </w:pPr>
      <w:r>
        <w:separator/>
      </w:r>
    </w:p>
  </w:endnote>
  <w:endnote w:type="continuationSeparator" w:id="0">
    <w:p w14:paraId="316B2D91" w14:textId="77777777" w:rsidR="00F40F0B" w:rsidRDefault="00F40F0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ptos">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60FF1" w14:textId="54F8D2B9" w:rsidR="00E81AFC" w:rsidRPr="00E81AFC" w:rsidRDefault="00E81AFC" w:rsidP="00E81AFC">
    <w:pPr>
      <w:pStyle w:val="FooterCoverPage"/>
      <w:rPr>
        <w:rFonts w:ascii="Arial" w:hAnsi="Arial" w:cs="Arial"/>
        <w:b/>
        <w:sz w:val="48"/>
      </w:rPr>
    </w:pPr>
    <w:r w:rsidRPr="00E81AFC">
      <w:rPr>
        <w:rFonts w:ascii="Arial" w:hAnsi="Arial" w:cs="Arial"/>
        <w:b/>
        <w:sz w:val="48"/>
      </w:rPr>
      <w:t>RO</w:t>
    </w:r>
    <w:r w:rsidRPr="00E81AFC">
      <w:rPr>
        <w:rFonts w:ascii="Arial" w:hAnsi="Arial" w:cs="Arial"/>
        <w:b/>
        <w:sz w:val="48"/>
      </w:rPr>
      <w:tab/>
    </w:r>
    <w:r w:rsidRPr="00E81AFC">
      <w:rPr>
        <w:rFonts w:ascii="Arial" w:hAnsi="Arial" w:cs="Arial"/>
        <w:b/>
        <w:sz w:val="48"/>
      </w:rPr>
      <w:tab/>
    </w:r>
    <w:r w:rsidRPr="00E81AFC">
      <w:tab/>
    </w:r>
    <w:r w:rsidRPr="00E81AF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0074B" w14:textId="335BFF8E" w:rsidR="00E81AFC" w:rsidRPr="00E81AFC" w:rsidRDefault="00E81AFC" w:rsidP="00E81AFC">
    <w:pPr>
      <w:pStyle w:val="FooterCoverPage"/>
      <w:rPr>
        <w:rFonts w:ascii="Arial" w:hAnsi="Arial" w:cs="Arial"/>
        <w:b/>
        <w:sz w:val="48"/>
      </w:rPr>
    </w:pPr>
    <w:r w:rsidRPr="00E81AFC">
      <w:rPr>
        <w:rFonts w:ascii="Arial" w:hAnsi="Arial" w:cs="Arial"/>
        <w:b/>
        <w:sz w:val="48"/>
      </w:rPr>
      <w:t>RO</w:t>
    </w:r>
    <w:r w:rsidRPr="00E81AFC">
      <w:rPr>
        <w:rFonts w:ascii="Arial" w:hAnsi="Arial" w:cs="Arial"/>
        <w:b/>
        <w:sz w:val="48"/>
      </w:rPr>
      <w:tab/>
    </w:r>
    <w:r w:rsidRPr="00E81AFC">
      <w:rPr>
        <w:rFonts w:ascii="Arial" w:hAnsi="Arial" w:cs="Arial"/>
        <w:b/>
        <w:sz w:val="48"/>
      </w:rPr>
      <w:tab/>
    </w:r>
    <w:r w:rsidRPr="00E81AFC">
      <w:tab/>
    </w:r>
    <w:r w:rsidRPr="00E81AF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611E1" w14:textId="77777777" w:rsidR="00E81AFC" w:rsidRPr="00E81AFC" w:rsidRDefault="00E81AFC" w:rsidP="00E81AF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06FB8" w14:textId="77777777" w:rsidR="00D61CD5" w:rsidRDefault="00D61CD5">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F2CBF" w14:textId="4140CFA8" w:rsidR="00DB2862" w:rsidRDefault="00DB2862">
    <w:pPr>
      <w:pStyle w:val="FooterLine"/>
      <w:jc w:val="center"/>
    </w:pPr>
    <w:r>
      <w:fldChar w:fldCharType="begin"/>
    </w:r>
    <w:r>
      <w:instrText>PAGE   \* MERGEFORMAT</w:instrText>
    </w:r>
    <w:r>
      <w:fldChar w:fldCharType="separate"/>
    </w:r>
    <w:r w:rsidR="00E81AFC">
      <w:rPr>
        <w:noProof/>
      </w:rPr>
      <w:t>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0566828"/>
      <w:docPartObj>
        <w:docPartGallery w:val="Page Numbers (Bottom of Page)"/>
        <w:docPartUnique/>
      </w:docPartObj>
    </w:sdtPr>
    <w:sdtEndPr>
      <w:rPr>
        <w:noProof/>
      </w:rPr>
    </w:sdtEndPr>
    <w:sdtContent>
      <w:p w14:paraId="5BC07667" w14:textId="412DDE43" w:rsidR="002611E5" w:rsidRDefault="002611E5">
        <w:pPr>
          <w:pStyle w:val="Footer"/>
          <w:jc w:val="center"/>
        </w:pPr>
        <w:r>
          <w:fldChar w:fldCharType="begin"/>
        </w:r>
        <w:r>
          <w:instrText xml:space="preserve"> PAGE   \* MERGEFORMAT </w:instrText>
        </w:r>
        <w:r>
          <w:fldChar w:fldCharType="separate"/>
        </w:r>
        <w:r w:rsidR="00E81AFC">
          <w:rPr>
            <w:noProof/>
          </w:rPr>
          <w:t>1</w:t>
        </w:r>
        <w:r>
          <w:fldChar w:fldCharType="end"/>
        </w:r>
      </w:p>
    </w:sdtContent>
  </w:sdt>
  <w:p w14:paraId="192503F0" w14:textId="673838FF" w:rsidR="001E6172" w:rsidRDefault="001E61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7E5E69" w14:textId="77777777" w:rsidR="00F40F0B" w:rsidRDefault="00F40F0B">
      <w:pPr>
        <w:spacing w:after="0"/>
      </w:pPr>
      <w:r>
        <w:separator/>
      </w:r>
    </w:p>
  </w:footnote>
  <w:footnote w:type="continuationSeparator" w:id="0">
    <w:p w14:paraId="4233F106" w14:textId="77777777" w:rsidR="00F40F0B" w:rsidRDefault="00F40F0B">
      <w:pPr>
        <w:spacing w:after="0"/>
      </w:pPr>
      <w:r>
        <w:continuationSeparator/>
      </w:r>
    </w:p>
  </w:footnote>
  <w:footnote w:id="1">
    <w:p w14:paraId="052242B0" w14:textId="77777777" w:rsidR="00E13747" w:rsidRPr="006D538B" w:rsidRDefault="00E13747" w:rsidP="00E13747">
      <w:pPr>
        <w:pStyle w:val="FootnoteText"/>
      </w:pPr>
      <w:r>
        <w:t>(</w:t>
      </w:r>
      <w:r>
        <w:rPr>
          <w:rStyle w:val="FootnoteReference"/>
        </w:rPr>
        <w:footnoteRef/>
      </w:r>
      <w:r>
        <w:t>)</w:t>
      </w:r>
      <w:r>
        <w:tab/>
        <w:t xml:space="preserve">Seturi de documente constând în orientări, întrebări frecvente și acte de punere în aplicare și acte delegate cu efecte de simplificare au fost publicate în toamna anului </w:t>
      </w:r>
      <w:hyperlink r:id="rId1" w:history="1">
        <w:r>
          <w:rPr>
            <w:rStyle w:val="Hyperlink"/>
          </w:rPr>
          <w:t>2024</w:t>
        </w:r>
      </w:hyperlink>
      <w:r>
        <w:t xml:space="preserve"> și </w:t>
      </w:r>
      <w:hyperlink r:id="rId2" w:history="1">
        <w:r>
          <w:rPr>
            <w:rStyle w:val="Hyperlink"/>
          </w:rPr>
          <w:t>aprilie 2025</w:t>
        </w:r>
      </w:hyperlink>
      <w:r>
        <w:t>.</w:t>
      </w:r>
    </w:p>
  </w:footnote>
  <w:footnote w:id="2">
    <w:p w14:paraId="4C0AC53C" w14:textId="2264DCC9" w:rsidR="00A55F6B" w:rsidRPr="00637B48" w:rsidRDefault="00A55F6B" w:rsidP="00637B48">
      <w:pPr>
        <w:pStyle w:val="FootnoteText"/>
        <w:spacing w:after="0"/>
      </w:pPr>
      <w:r>
        <w:t>(</w:t>
      </w:r>
      <w:r>
        <w:rPr>
          <w:rStyle w:val="FootnoteReference"/>
        </w:rPr>
        <w:footnoteRef/>
      </w:r>
      <w:r>
        <w:t>)</w:t>
      </w:r>
      <w:r>
        <w:tab/>
        <w:t xml:space="preserve">Publicat în vederea obținerii de feedback din partea publicului la </w:t>
      </w:r>
      <w:hyperlink r:id="rId3" w:history="1">
        <w:r>
          <w:rPr>
            <w:rStyle w:val="Hyperlink"/>
          </w:rPr>
          <w:t>Inițiative publicate</w:t>
        </w:r>
      </w:hyperlink>
      <w:r>
        <w:t>.</w:t>
      </w:r>
    </w:p>
  </w:footnote>
  <w:footnote w:id="3">
    <w:p w14:paraId="3DA7B201" w14:textId="0602E7EF" w:rsidR="00BD4EC5" w:rsidRPr="006D538B" w:rsidRDefault="00BD4EC5" w:rsidP="00B911C8">
      <w:pPr>
        <w:pStyle w:val="FootnoteText"/>
        <w:spacing w:after="0"/>
      </w:pPr>
      <w:r>
        <w:t>(</w:t>
      </w:r>
      <w:r>
        <w:rPr>
          <w:rStyle w:val="FootnoteReference"/>
        </w:rPr>
        <w:footnoteRef/>
      </w:r>
      <w:r>
        <w:t>)</w:t>
      </w:r>
      <w:r>
        <w:tab/>
        <w:t>Estimate la aproximativ 7 miliarde EUR pe an prin monetizarea a 208 mii de hectare de defrișări evitate și a 49 de milioane de tone de emisii de gaze cu efect de seră evitate pe an.</w:t>
      </w:r>
    </w:p>
  </w:footnote>
  <w:footnote w:id="4">
    <w:p w14:paraId="56F531DC" w14:textId="4F317D80" w:rsidR="007C507C" w:rsidRPr="006D538B" w:rsidRDefault="007C507C" w:rsidP="0015133F">
      <w:pPr>
        <w:pStyle w:val="FootnoteText"/>
        <w:spacing w:after="0"/>
      </w:pPr>
      <w:r>
        <w:t>(</w:t>
      </w:r>
      <w:r>
        <w:rPr>
          <w:rStyle w:val="FootnoteReference"/>
        </w:rPr>
        <w:footnoteRef/>
      </w:r>
      <w:r>
        <w:t>)</w:t>
      </w:r>
      <w:r>
        <w:tab/>
        <w:t xml:space="preserve">Convenția-cadru a Națiunilor Unite asupra schimbărilor climatice, </w:t>
      </w:r>
      <w:r>
        <w:rPr>
          <w:i/>
        </w:rPr>
        <w:t>Acordul de la Paris</w:t>
      </w:r>
      <w:r>
        <w:t xml:space="preserve">, FCCC/CP/2015/L.9/Rev/1 (12 decembrie 2015), </w:t>
      </w:r>
      <w:hyperlink r:id="rId4" w:history="1">
        <w:r>
          <w:rPr>
            <w:rStyle w:val="Hyperlink"/>
          </w:rPr>
          <w:t>https://unfccc.int/sites/default/files/english_paris_agreement.pdf</w:t>
        </w:r>
      </w:hyperlink>
      <w:r>
        <w:t>.</w:t>
      </w:r>
    </w:p>
  </w:footnote>
  <w:footnote w:id="5">
    <w:p w14:paraId="42A6B8FC" w14:textId="491ABA83" w:rsidR="00D9627A" w:rsidRPr="006D538B" w:rsidRDefault="00D9627A" w:rsidP="0015133F">
      <w:pPr>
        <w:pStyle w:val="FootnoteText"/>
        <w:spacing w:after="0"/>
      </w:pPr>
      <w:r>
        <w:t>(</w:t>
      </w:r>
      <w:r>
        <w:rPr>
          <w:rStyle w:val="FootnoteReference"/>
        </w:rPr>
        <w:footnoteRef/>
      </w:r>
      <w:r>
        <w:t xml:space="preserve">) Organizația Națiunilor Unite, </w:t>
      </w:r>
      <w:r>
        <w:rPr>
          <w:i/>
        </w:rPr>
        <w:t>Convenția privind diversitatea biologică</w:t>
      </w:r>
      <w:r>
        <w:t xml:space="preserve"> (deschisă spre semnare la 5 iunie 1992, intrată în vigoare la 29 decembrie 1993), 1760 UNTS 79, </w:t>
      </w:r>
      <w:hyperlink r:id="rId5" w:history="1">
        <w:r>
          <w:rPr>
            <w:rStyle w:val="Hyperlink"/>
          </w:rPr>
          <w:t>https://www.cbd.int/convention/text/</w:t>
        </w:r>
      </w:hyperlink>
      <w:r>
        <w:t>.</w:t>
      </w:r>
    </w:p>
  </w:footnote>
  <w:footnote w:id="6">
    <w:p w14:paraId="17869912" w14:textId="38A884AC" w:rsidR="007C507C" w:rsidRPr="006D538B" w:rsidRDefault="007C507C" w:rsidP="0015133F">
      <w:pPr>
        <w:pStyle w:val="FootnoteText"/>
        <w:spacing w:after="0"/>
      </w:pPr>
      <w:r>
        <w:t>(</w:t>
      </w:r>
      <w:r>
        <w:rPr>
          <w:rStyle w:val="FootnoteReference"/>
        </w:rPr>
        <w:footnoteRef/>
      </w:r>
      <w:r>
        <w:t>)</w:t>
      </w:r>
      <w:r>
        <w:tab/>
        <w:t xml:space="preserve">Guvernul Regatului Unit (președinția COP26), </w:t>
      </w:r>
      <w:r>
        <w:rPr>
          <w:i/>
        </w:rPr>
        <w:t>Declarația liderilor de la Glasgow privind pădurile și utilizarea terenurilor</w:t>
      </w:r>
      <w:r>
        <w:t xml:space="preserve"> (2 noiembrie 2021), </w:t>
      </w:r>
      <w:hyperlink r:id="rId6" w:history="1">
        <w:r>
          <w:rPr>
            <w:rStyle w:val="Hyperlink"/>
          </w:rPr>
          <w:t>https://ukcop26.org/glasgow-leaders-declaration-on-forests-and-land-use/</w:t>
        </w:r>
      </w:hyperlink>
      <w:r>
        <w:t>.</w:t>
      </w:r>
    </w:p>
  </w:footnote>
  <w:footnote w:id="7">
    <w:p w14:paraId="21AAFA58" w14:textId="33F686EA" w:rsidR="007C507C" w:rsidRPr="006D538B" w:rsidRDefault="007C507C" w:rsidP="0015133F">
      <w:pPr>
        <w:pStyle w:val="FootnoteText"/>
        <w:spacing w:after="0"/>
      </w:pPr>
      <w:r>
        <w:t>(</w:t>
      </w:r>
      <w:r>
        <w:rPr>
          <w:rStyle w:val="FootnoteReference"/>
        </w:rPr>
        <w:footnoteRef/>
      </w:r>
      <w:r>
        <w:t>)</w:t>
      </w:r>
      <w:r>
        <w:tab/>
        <w:t xml:space="preserve">Organizația Națiunilor Unite, </w:t>
      </w:r>
      <w:r>
        <w:rPr>
          <w:i/>
        </w:rPr>
        <w:t xml:space="preserve">Transforming Our World: The 2030 Agenda for Sustainable Development </w:t>
      </w:r>
      <w:r>
        <w:t xml:space="preserve">(Transformarea lumii în care trăim: Agenda 2030 pentru dezvoltare durabilă), documentul ONU A/RES/70/1 (25 septembrie 2015), </w:t>
      </w:r>
      <w:hyperlink r:id="rId7" w:history="1">
        <w:r>
          <w:rPr>
            <w:rStyle w:val="Hyperlink"/>
          </w:rPr>
          <w:t>https://sdgs.un.org/2030agenda</w:t>
        </w:r>
      </w:hyperlink>
      <w:r>
        <w:t>.</w:t>
      </w:r>
    </w:p>
  </w:footnote>
  <w:footnote w:id="8">
    <w:p w14:paraId="3752BB4A" w14:textId="13A27CFA" w:rsidR="007C507C" w:rsidRPr="006D538B" w:rsidRDefault="007C507C" w:rsidP="0015133F">
      <w:pPr>
        <w:pStyle w:val="FootnoteText"/>
        <w:spacing w:after="0"/>
      </w:pPr>
      <w:r>
        <w:t>(</w:t>
      </w:r>
      <w:r>
        <w:rPr>
          <w:rStyle w:val="FootnoteReference"/>
        </w:rPr>
        <w:footnoteRef/>
      </w:r>
      <w:r>
        <w:t>)</w:t>
      </w:r>
      <w:r>
        <w:tab/>
        <w:t xml:space="preserve"> Guvernul Braziliei (președinția COP30), </w:t>
      </w:r>
      <w:r>
        <w:rPr>
          <w:i/>
        </w:rPr>
        <w:t>Roadmap to Halting and Reversing Deforestation and Forest Degradation by 2030</w:t>
      </w:r>
      <w:r>
        <w:t xml:space="preserve"> (Foaie de parcurs pentru oprirea și inversarea defrișărilor și a degradării pădurilor până în 2030) (mai 2024), </w:t>
      </w:r>
      <w:hyperlink r:id="rId8" w:history="1">
        <w:r>
          <w:rPr>
            <w:rStyle w:val="Hyperlink"/>
          </w:rPr>
          <w:t>https://www.cop30.br/en/forests-roadmap</w:t>
        </w:r>
      </w:hyperlink>
      <w:r>
        <w:t>.</w:t>
      </w:r>
    </w:p>
  </w:footnote>
  <w:footnote w:id="9">
    <w:p w14:paraId="685934DA" w14:textId="13569AD1" w:rsidR="00816853" w:rsidRPr="006D538B" w:rsidRDefault="00816853" w:rsidP="0015133F">
      <w:pPr>
        <w:pStyle w:val="FootnoteText"/>
        <w:spacing w:after="0"/>
      </w:pPr>
      <w:r>
        <w:t>(</w:t>
      </w:r>
      <w:r>
        <w:rPr>
          <w:rStyle w:val="FootnoteReference"/>
        </w:rPr>
        <w:footnoteRef/>
      </w:r>
      <w:r>
        <w:t>)</w:t>
      </w:r>
      <w:r>
        <w:tab/>
      </w:r>
      <w:hyperlink r:id="rId9" w:history="1">
        <w:r>
          <w:rPr>
            <w:rStyle w:val="Hyperlink"/>
          </w:rPr>
          <w:t>Evaluarea resurselor forestiere mondiale 2025</w:t>
        </w:r>
      </w:hyperlink>
      <w:r>
        <w:t>.</w:t>
      </w:r>
    </w:p>
  </w:footnote>
  <w:footnote w:id="10">
    <w:p w14:paraId="3D30B304" w14:textId="0098EB8C" w:rsidR="0043166F" w:rsidRPr="00637B48" w:rsidRDefault="0043166F" w:rsidP="0015133F">
      <w:pPr>
        <w:pStyle w:val="FootnoteText"/>
        <w:spacing w:after="0"/>
      </w:pPr>
      <w:r>
        <w:t>(</w:t>
      </w:r>
      <w:r>
        <w:rPr>
          <w:rStyle w:val="FootnoteReference"/>
        </w:rPr>
        <w:footnoteRef/>
      </w:r>
      <w:r>
        <w:t>)</w:t>
      </w:r>
      <w:r>
        <w:tab/>
        <w:t>Cu toate acestea, există diferențe regionale, unele zone geografice înregistrând o creștere netă a suprafeței forestiere.</w:t>
      </w:r>
    </w:p>
  </w:footnote>
  <w:footnote w:id="11">
    <w:p w14:paraId="21CC7F10" w14:textId="77777777" w:rsidR="009024AA" w:rsidRPr="00637B48" w:rsidRDefault="009024AA" w:rsidP="0015133F">
      <w:pPr>
        <w:pStyle w:val="FootnoteText"/>
        <w:spacing w:after="0"/>
      </w:pPr>
      <w:r>
        <w:t>(</w:t>
      </w:r>
      <w:r>
        <w:rPr>
          <w:rStyle w:val="FootnoteReference"/>
        </w:rPr>
        <w:footnoteRef/>
      </w:r>
      <w:r>
        <w:t>)</w:t>
      </w:r>
      <w:r>
        <w:tab/>
        <w:t xml:space="preserve">FAO. 2022. </w:t>
      </w:r>
      <w:r>
        <w:rPr>
          <w:i/>
        </w:rPr>
        <w:t>The State of the World’s Forests 2022.</w:t>
      </w:r>
      <w:r>
        <w:t xml:space="preserve"> </w:t>
      </w:r>
      <w:r>
        <w:rPr>
          <w:i/>
        </w:rPr>
        <w:t>Forest pathways for green recovery and building inclusive, resilient and sustainable economies</w:t>
      </w:r>
      <w:r>
        <w:t xml:space="preserve"> (Starea pădurilor lumii în 2022. Căi de urmat pentru o redresare verde și pentru construirea unor economii incluzive, reziliente și durabile), disponibil la adresa </w:t>
      </w:r>
      <w:hyperlink r:id="rId10" w:history="1">
        <w:r>
          <w:rPr>
            <w:rStyle w:val="Hyperlink"/>
          </w:rPr>
          <w:t>https://doi.org/10.4060/cb9360en</w:t>
        </w:r>
      </w:hyperlink>
      <w:r>
        <w:t>.</w:t>
      </w:r>
    </w:p>
  </w:footnote>
  <w:footnote w:id="12">
    <w:p w14:paraId="1BB04BCF" w14:textId="406E9053" w:rsidR="005A1DD1" w:rsidRPr="006D538B" w:rsidRDefault="005A1DD1" w:rsidP="0015133F">
      <w:pPr>
        <w:pStyle w:val="FootnoteText"/>
        <w:spacing w:after="0"/>
      </w:pPr>
      <w:r>
        <w:t>(</w:t>
      </w:r>
      <w:r>
        <w:rPr>
          <w:rStyle w:val="FootnoteReference"/>
        </w:rPr>
        <w:footnoteRef/>
      </w:r>
      <w:r>
        <w:t>)</w:t>
      </w:r>
      <w:r>
        <w:tab/>
        <w:t xml:space="preserve">Kastner, T. et al. (2013) </w:t>
      </w:r>
      <w:r>
        <w:rPr>
          <w:i/>
        </w:rPr>
        <w:t>Analysis of the Impacts of EU Consumption on Deforestation: Comprehensive Analysis of the Impact of EU Consumption on Deforestation</w:t>
      </w:r>
      <w:r>
        <w:t xml:space="preserve"> (Analiza impactului consumului din UE asupra defrișărilor: analiză cuprinzătoare a impactului consumului din UE asupra defrișărilor). Institutul Internațional pentru Analiza Sistemelor Aplicate (IIASA), Laxenburg, Austria, </w:t>
      </w:r>
      <w:hyperlink r:id="rId11" w:history="1">
        <w:r>
          <w:rPr>
            <w:rStyle w:val="Hyperlink"/>
          </w:rPr>
          <w:t>https://pure.iiasa.ac.at/id/eprint/14868/1/1.%20Report%20analysis%20of%20impact.pdf</w:t>
        </w:r>
      </w:hyperlink>
      <w:r>
        <w:t>.</w:t>
      </w:r>
    </w:p>
  </w:footnote>
  <w:footnote w:id="13">
    <w:p w14:paraId="695A7081" w14:textId="437C0E57" w:rsidR="005A1DD1" w:rsidRPr="006D538B" w:rsidRDefault="005A1DD1" w:rsidP="0015133F">
      <w:pPr>
        <w:pStyle w:val="FootnoteText"/>
        <w:spacing w:after="0"/>
      </w:pPr>
      <w:r>
        <w:t>(</w:t>
      </w:r>
      <w:r>
        <w:rPr>
          <w:rStyle w:val="FootnoteReference"/>
        </w:rPr>
        <w:footnoteRef/>
      </w:r>
      <w:r>
        <w:t>)</w:t>
      </w:r>
      <w:r>
        <w:tab/>
        <w:t xml:space="preserve">Uniunea Europeană, </w:t>
      </w:r>
      <w:r>
        <w:rPr>
          <w:i/>
        </w:rPr>
        <w:t>Regulamentul (UE) 2023/1115 al Parlamentului European și al Consiliului din 31 mai 2023 privind punerea la dispoziție pe piața Uniunii și exportul din Uniune a anumitor produse de bază și produse asociate cu defrișările și degradarea pădurilor</w:t>
      </w:r>
      <w:r>
        <w:t xml:space="preserve">, JO L 150, 9.6.2023, </w:t>
      </w:r>
      <w:hyperlink r:id="rId12" w:history="1">
        <w:r>
          <w:rPr>
            <w:rStyle w:val="Hyperlink"/>
          </w:rPr>
          <w:t>https://eur-lex.europa.eu/legal-content/RO/TXT/?uri=CELEX%3A32023R1115</w:t>
        </w:r>
      </w:hyperlink>
      <w:r>
        <w:t>.</w:t>
      </w:r>
    </w:p>
  </w:footnote>
  <w:footnote w:id="14">
    <w:p w14:paraId="43C2E7C0" w14:textId="184CF9C5" w:rsidR="1AC7090A" w:rsidRPr="006D538B" w:rsidRDefault="005A1DD1" w:rsidP="0015133F">
      <w:pPr>
        <w:pStyle w:val="FootnoteText"/>
        <w:spacing w:after="0"/>
      </w:pPr>
      <w:r>
        <w:t>(</w:t>
      </w:r>
      <w:r>
        <w:rPr>
          <w:rStyle w:val="FootnoteReference"/>
        </w:rPr>
        <w:footnoteRef/>
      </w:r>
      <w:r>
        <w:t xml:space="preserve">) Singh, C., Persson, U.M. </w:t>
      </w:r>
      <w:r>
        <w:rPr>
          <w:i/>
        </w:rPr>
        <w:t>Global patterns of commodity-driven deforestation and associated carbon emissions</w:t>
      </w:r>
      <w:r>
        <w:t xml:space="preserve"> (Modelele globale ale defrișărilor cauzate de produsele de bază și emisiile de carbon asociate). </w:t>
      </w:r>
      <w:r>
        <w:rPr>
          <w:i/>
        </w:rPr>
        <w:t>Nat Food</w:t>
      </w:r>
      <w:r>
        <w:rPr>
          <w:b/>
        </w:rPr>
        <w:t xml:space="preserve"> </w:t>
      </w:r>
      <w:r>
        <w:t>7, 138–151 (2026), https://doi.org/10.1038/s43016-026-01305-4.</w:t>
      </w:r>
    </w:p>
  </w:footnote>
  <w:footnote w:id="15">
    <w:p w14:paraId="5EFE1FDC" w14:textId="6D573BD8" w:rsidR="001A2D2E" w:rsidRPr="006D538B" w:rsidRDefault="001A2D2E" w:rsidP="00D21269">
      <w:pPr>
        <w:pStyle w:val="FootnoteText"/>
        <w:spacing w:after="0"/>
      </w:pPr>
      <w:r>
        <w:t>(</w:t>
      </w:r>
      <w:r>
        <w:rPr>
          <w:rStyle w:val="FootnoteReference"/>
        </w:rPr>
        <w:footnoteRef/>
      </w:r>
      <w:r>
        <w:t>)</w:t>
      </w:r>
      <w:r>
        <w:tab/>
        <w:t xml:space="preserve">Brack. D, </w:t>
      </w:r>
      <w:r>
        <w:rPr>
          <w:i/>
        </w:rPr>
        <w:t>How the EUDR Is Already Driving Forest Governance Reform:</w:t>
      </w:r>
      <w:r>
        <w:t xml:space="preserve"> </w:t>
      </w:r>
      <w:r>
        <w:rPr>
          <w:i/>
        </w:rPr>
        <w:t xml:space="preserve">From Market Signal to Systemic Impact </w:t>
      </w:r>
      <w:r>
        <w:t>(Cum contribuie deja Regulamentul privind defrișările la reforma guvernanței în domeniul forestier: de la semnalul pieței la impactul sistemic),</w:t>
      </w:r>
      <w:r>
        <w:rPr>
          <w:i/>
        </w:rPr>
        <w:t xml:space="preserve"> </w:t>
      </w:r>
      <w:r>
        <w:t xml:space="preserve">Forest Policy, Trade and Finance Initiative, aprilie 2026, la </w:t>
      </w:r>
      <w:hyperlink r:id="rId13" w:history="1">
        <w:r>
          <w:rPr>
            <w:rStyle w:val="Hyperlink"/>
          </w:rPr>
          <w:t>How the EUDR Is Already Driving Forest Governance Reform - Forest Trends</w:t>
        </w:r>
      </w:hyperlink>
      <w:r>
        <w:t>, aprilie 2026.</w:t>
      </w:r>
    </w:p>
  </w:footnote>
  <w:footnote w:id="16">
    <w:p w14:paraId="48440426" w14:textId="77777777" w:rsidR="006D538B" w:rsidRPr="006D538B" w:rsidRDefault="006D538B" w:rsidP="006D538B">
      <w:pPr>
        <w:pStyle w:val="FootnoteText"/>
        <w:spacing w:after="0"/>
      </w:pPr>
      <w:r>
        <w:t>(</w:t>
      </w:r>
      <w:r>
        <w:rPr>
          <w:rStyle w:val="FootnoteReference"/>
        </w:rPr>
        <w:footnoteRef/>
      </w:r>
      <w:r>
        <w:t>)</w:t>
      </w:r>
      <w:r>
        <w:tab/>
        <w:t xml:space="preserve">Printre studiile recente se numără cel al lui Brack. D, </w:t>
      </w:r>
      <w:r>
        <w:rPr>
          <w:i/>
        </w:rPr>
        <w:t>How the EUDR Is Already Driving Forest Governance Reform:</w:t>
      </w:r>
      <w:r>
        <w:t xml:space="preserve"> From Market Signal to Systemic Impact (Cum contribuie deja Regulamentul privind defrișările la reforma guvernanței în domeniul forestier: de la semnalul pieței la impactul sistemic), Forest Policy, Trade and Finance Initiative, aprilie 2026, la </w:t>
      </w:r>
      <w:hyperlink r:id="rId14" w:history="1">
        <w:r>
          <w:rPr>
            <w:rStyle w:val="Hyperlink"/>
          </w:rPr>
          <w:t>How the EUDR Is Already Driving Forest Governance Reform - Forest Trends</w:t>
        </w:r>
      </w:hyperlink>
      <w:r>
        <w:t xml:space="preserve">, aprilie 2026; Sotirov, M., </w:t>
      </w:r>
      <w:r>
        <w:rPr>
          <w:i/>
        </w:rPr>
        <w:t>Policy Brief - The EU Deforestation Regulation Is Already Delivering Results</w:t>
      </w:r>
      <w:r>
        <w:t xml:space="preserve"> (Rezumat politic – Regulamentul UE privind defrișările dă deja rezultate), Deutsche Umwelthilfe, aprilie 2026, disponibil la </w:t>
      </w:r>
      <w:hyperlink r:id="rId15" w:history="1">
        <w:r>
          <w:rPr>
            <w:rStyle w:val="Hyperlink"/>
          </w:rPr>
          <w:t>Policy_Brief__Dr._Metodi_Sotirov__-_The_EU_Deforestation_Regulation_Is_Already_Delivering_Results_-_Why_further_weakening_during_the_Simplification_Review_risks_undermining_progress_in_global_forest_governance.pdf</w:t>
        </w:r>
      </w:hyperlink>
      <w:r>
        <w:t>.</w:t>
      </w:r>
    </w:p>
  </w:footnote>
  <w:footnote w:id="17">
    <w:p w14:paraId="1192B6DB" w14:textId="1E98A5A2" w:rsidR="1AC7090A" w:rsidRPr="006D538B" w:rsidRDefault="005A1DD1" w:rsidP="007C16C6">
      <w:pPr>
        <w:pStyle w:val="FootnoteText"/>
        <w:spacing w:after="0"/>
        <w:rPr>
          <w:rFonts w:eastAsia="Arial"/>
        </w:rPr>
      </w:pPr>
      <w:r>
        <w:t>(</w:t>
      </w:r>
      <w:r>
        <w:rPr>
          <w:rStyle w:val="FootnoteReference"/>
        </w:rPr>
        <w:footnoteRef/>
      </w:r>
      <w:r>
        <w:t>) Cum ar fi un mecanism tehnic specific pentru lanțuri valorice care nu implică defrișări, finanțat de UE și de statele membre în cadrul inițiativei de tip „Echipa Europa” (</w:t>
      </w:r>
      <w:r>
        <w:rPr>
          <w:i/>
        </w:rPr>
        <w:t xml:space="preserve">Team Europe Initiative </w:t>
      </w:r>
      <w:r>
        <w:t>– TEI) privind lanțurile valorice care nu implică defrișări. Printre alte proiecte emblematice ale TEI se numără programul „Agricultură durabilă pentru ecosistemele forestiere” (SAFE), care sprijină pregătirea micilor fermieri pentru Regulamentul privind defrișările în zece țări prioritare, AL INVEST Verde, care sprijină eforturile de trasabilitate în America Latină, și Programul de îmbunătățire a accesului pe piață (MARKUP II), care vizează promovarea consolidării capacităților în Africa în ceea ce privește Regulamentul privind defrișările.</w:t>
      </w:r>
    </w:p>
  </w:footnote>
  <w:footnote w:id="18">
    <w:p w14:paraId="4353B51D" w14:textId="77777777" w:rsidR="006D538B" w:rsidRPr="006D538B" w:rsidRDefault="006D538B" w:rsidP="006D538B">
      <w:pPr>
        <w:pStyle w:val="FootnoteText"/>
        <w:spacing w:after="0"/>
      </w:pPr>
      <w:r>
        <w:t>(</w:t>
      </w:r>
      <w:r>
        <w:rPr>
          <w:rStyle w:val="FootnoteReference"/>
        </w:rPr>
        <w:footnoteRef/>
      </w:r>
      <w:r>
        <w:t>)</w:t>
      </w:r>
      <w:r>
        <w:tab/>
        <w:t xml:space="preserve">Sotirov, M., </w:t>
      </w:r>
      <w:r>
        <w:rPr>
          <w:i/>
        </w:rPr>
        <w:t>Policy Brief - The EU Deforestation Regulation Is Already Delivering Results</w:t>
      </w:r>
      <w:r>
        <w:t xml:space="preserve"> (Rezumat politic – Regulamentul UE privind defrișările dă deja rezultate), Deutsche Umwelthilfe, aprilie 2026. </w:t>
      </w:r>
    </w:p>
  </w:footnote>
  <w:footnote w:id="19">
    <w:p w14:paraId="14C96A8A" w14:textId="77777777" w:rsidR="00BB4BDB" w:rsidRPr="006D538B" w:rsidRDefault="00BB4BDB" w:rsidP="00BB4BDB">
      <w:pPr>
        <w:pStyle w:val="FootnoteText"/>
        <w:spacing w:after="0"/>
      </w:pPr>
      <w:r>
        <w:t>(</w:t>
      </w:r>
      <w:r>
        <w:rPr>
          <w:rStyle w:val="FootnoteReference"/>
        </w:rPr>
        <w:footnoteRef/>
      </w:r>
      <w:r>
        <w:t>)</w:t>
      </w:r>
      <w:r>
        <w:tab/>
        <w:t xml:space="preserve">Sotirov, M., </w:t>
      </w:r>
      <w:r>
        <w:rPr>
          <w:i/>
        </w:rPr>
        <w:t>Policy Brief - The EU Deforestation Regulation Is Already Delivering Results</w:t>
      </w:r>
      <w:r>
        <w:t xml:space="preserve"> (Rezumat politic – Regulamentul UE privind defrișările dă deja rezultate), Deutsche Umwelthilfe, aprilie 2026.</w:t>
      </w:r>
    </w:p>
  </w:footnote>
  <w:footnote w:id="20">
    <w:p w14:paraId="7EBB71D0" w14:textId="1375FEA5" w:rsidR="00EF2C03" w:rsidRPr="00637B48" w:rsidRDefault="00EF2C03" w:rsidP="00637B48">
      <w:pPr>
        <w:pStyle w:val="FootnoteText"/>
        <w:spacing w:after="0"/>
      </w:pPr>
      <w:r>
        <w:t>(</w:t>
      </w:r>
      <w:r>
        <w:rPr>
          <w:rStyle w:val="FootnoteReference"/>
        </w:rPr>
        <w:footnoteRef/>
      </w:r>
      <w:r>
        <w:t>)</w:t>
      </w:r>
      <w:r>
        <w:tab/>
        <w:t xml:space="preserve">Raportul privind simulările pentru sectorul cafelei este disponibil aici: </w:t>
      </w:r>
      <w:hyperlink r:id="rId16" w:history="1">
        <w:r>
          <w:rPr>
            <w:rStyle w:val="Hyperlink"/>
          </w:rPr>
          <w:t>Insights_EUDR-exercise_Coffee.pdf</w:t>
        </w:r>
      </w:hyperlink>
      <w:r>
        <w:t>.</w:t>
      </w:r>
    </w:p>
  </w:footnote>
  <w:footnote w:id="21">
    <w:p w14:paraId="4395E095" w14:textId="5CF2B128" w:rsidR="00DF2346" w:rsidRPr="00637B48" w:rsidRDefault="00DF2346" w:rsidP="00637B48">
      <w:pPr>
        <w:pStyle w:val="FootnoteText"/>
        <w:spacing w:after="0"/>
      </w:pPr>
      <w:r>
        <w:t>(</w:t>
      </w:r>
      <w:r>
        <w:rPr>
          <w:rStyle w:val="FootnoteReference"/>
        </w:rPr>
        <w:footnoteRef/>
      </w:r>
      <w:r>
        <w:t>)</w:t>
      </w:r>
      <w:r>
        <w:tab/>
        <w:t xml:space="preserve">Bourgoin, C., Verhegghen, A., Carboni, S., Ameztoy, I., Degreve, L., Fritz, S., Herold, M., Tsendbazar, N., Lesiv, M., Achard, F. și Colditz, R., </w:t>
      </w:r>
      <w:r>
        <w:rPr>
          <w:i/>
        </w:rPr>
        <w:t>GFC2020:</w:t>
      </w:r>
      <w:r>
        <w:t xml:space="preserve"> </w:t>
      </w:r>
      <w:r>
        <w:rPr>
          <w:i/>
        </w:rPr>
        <w:t>a global map of forest land use for year 2020 to support the EU Deforestation Regulation</w:t>
      </w:r>
      <w:r>
        <w:t xml:space="preserve"> (GFC2020: o hartă globală a utilizării terenurilor forestiere pentru anul 2020 în sprijinul Regulamentului UE privind defrișările), Earth Syst. Sci. Data, 18, 1331–1365, https://doi.org/10.5194/essd-18-1331-2026, 2026.</w:t>
      </w:r>
    </w:p>
  </w:footnote>
  <w:footnote w:id="22">
    <w:p w14:paraId="31DF8F06" w14:textId="7FB25214" w:rsidR="1AC7090A" w:rsidRPr="006D538B" w:rsidRDefault="005A1DD1" w:rsidP="007C16C6">
      <w:pPr>
        <w:pStyle w:val="FootnoteText"/>
        <w:spacing w:after="0"/>
        <w:rPr>
          <w:rFonts w:eastAsia="Calibri"/>
        </w:rPr>
      </w:pPr>
      <w:r>
        <w:t>(</w:t>
      </w:r>
      <w:r>
        <w:rPr>
          <w:rStyle w:val="FootnoteReference"/>
        </w:rPr>
        <w:footnoteRef/>
      </w:r>
      <w:r>
        <w:t>) Cum ar fi Serviciul Copernicus de cartografiere și monitorizare a acoperirii terestre și a pădurilor tropicale, ESA World Cover, WRI Tropical Tree Cover, UMd Global Land Cover, Global Mangrove Watch și JRC Tropical Moist Forests.</w:t>
      </w:r>
    </w:p>
  </w:footnote>
  <w:footnote w:id="23">
    <w:p w14:paraId="20EF423D" w14:textId="396806C9" w:rsidR="00954A0B" w:rsidRPr="006D538B" w:rsidRDefault="00954A0B" w:rsidP="0012174E">
      <w:pPr>
        <w:pStyle w:val="FootnoteText"/>
        <w:spacing w:after="0"/>
      </w:pPr>
      <w:r>
        <w:t>(</w:t>
      </w:r>
      <w:r>
        <w:rPr>
          <w:rStyle w:val="FootnoteReference"/>
        </w:rPr>
        <w:footnoteRef/>
      </w:r>
      <w:r>
        <w:t>)</w:t>
      </w:r>
      <w:r>
        <w:tab/>
        <w:t>Regulamentul (UE) 2025/2650 de modificare a Regulamentului (UE) 2023/1115 în ceea ce privește anumite obligații ale operatorilor și comercianților, JO L, 2025/2650, 23.12.2025, ELI: http://data.europa.eu/eli/reg/2025/2650/oj.</w:t>
      </w:r>
    </w:p>
  </w:footnote>
  <w:footnote w:id="24">
    <w:p w14:paraId="15CCD0BD" w14:textId="77777777" w:rsidR="00954A0B" w:rsidRPr="006D538B" w:rsidRDefault="00954A0B" w:rsidP="0012174E">
      <w:pPr>
        <w:pStyle w:val="FootnoteText"/>
        <w:spacing w:after="0"/>
      </w:pPr>
      <w:r>
        <w:t>(</w:t>
      </w:r>
      <w:r>
        <w:rPr>
          <w:rStyle w:val="FootnoteReference"/>
        </w:rPr>
        <w:footnoteRef/>
      </w:r>
      <w:r>
        <w:t>)</w:t>
      </w:r>
      <w:r>
        <w:tab/>
        <w:t>COM(2025) 652 final.</w:t>
      </w:r>
    </w:p>
  </w:footnote>
  <w:footnote w:id="25">
    <w:p w14:paraId="5A950116" w14:textId="0E723A90" w:rsidR="0070789E" w:rsidRPr="00637B48" w:rsidRDefault="0070789E" w:rsidP="00637B48">
      <w:pPr>
        <w:pStyle w:val="FootnoteText"/>
        <w:spacing w:after="0"/>
      </w:pPr>
      <w:r>
        <w:t>(</w:t>
      </w:r>
      <w:r>
        <w:rPr>
          <w:rStyle w:val="FootnoteReference"/>
        </w:rPr>
        <w:footnoteRef/>
      </w:r>
      <w:r>
        <w:t>)</w:t>
      </w:r>
      <w:r>
        <w:tab/>
        <w:t>Regulamentul de punere în aplicare (UE) 2024/3084 al Comisiei privind funcționarea sistemului de informații în temeiul Regulamentului (UE) 2023/1115 al Parlamentului European și al Consiliului privind punerea la dispoziție pe piața Uniunii și exportul din Uniune a anumitor produse de bază și produse asociate cu defrișările și degradarea pădurilor, JO L, 2024/3084, 6.12.2024, ELI: </w:t>
      </w:r>
      <w:hyperlink r:id="rId17" w:tgtFrame="_blank" w:tooltip="Oferă acces la acest document prin identificatorul său uniform de resurse ELI." w:history="1">
        <w:r>
          <w:rPr>
            <w:rStyle w:val="Hyperlink"/>
          </w:rPr>
          <w:t>http://data.europa.eu/eli/reg_impl/2024/3084/oj</w:t>
        </w:r>
      </w:hyperlink>
      <w:r>
        <w:t>.</w:t>
      </w:r>
    </w:p>
  </w:footnote>
  <w:footnote w:id="26">
    <w:p w14:paraId="00E38E02" w14:textId="0766BD27" w:rsidR="00862DDF" w:rsidRPr="00637B48" w:rsidRDefault="00862DDF" w:rsidP="00637B48">
      <w:pPr>
        <w:pStyle w:val="FootnoteText"/>
        <w:spacing w:after="0"/>
      </w:pPr>
      <w:r>
        <w:t>(</w:t>
      </w:r>
      <w:r>
        <w:rPr>
          <w:rStyle w:val="FootnoteReference"/>
        </w:rPr>
        <w:footnoteRef/>
      </w:r>
      <w:r>
        <w:t>)</w:t>
      </w:r>
      <w:r>
        <w:tab/>
        <w:t xml:space="preserve">Accesibil la </w:t>
      </w:r>
      <w:hyperlink r:id="rId18" w:history="1">
        <w:r>
          <w:rPr>
            <w:rStyle w:val="Hyperlink"/>
          </w:rPr>
          <w:t>Deforestation - Environment - European Commission</w:t>
        </w:r>
      </w:hyperlink>
      <w:r>
        <w:t>.</w:t>
      </w:r>
    </w:p>
  </w:footnote>
  <w:footnote w:id="27">
    <w:p w14:paraId="163DE15A" w14:textId="77777777" w:rsidR="008261EF" w:rsidRPr="006D538B" w:rsidRDefault="008261EF" w:rsidP="0012174E">
      <w:pPr>
        <w:pStyle w:val="FootnoteText"/>
        <w:spacing w:after="0"/>
      </w:pPr>
      <w:r>
        <w:t>(</w:t>
      </w:r>
      <w:r>
        <w:rPr>
          <w:rStyle w:val="FootnoteReference"/>
        </w:rPr>
        <w:footnoteRef/>
      </w:r>
      <w:r>
        <w:t>)</w:t>
      </w:r>
      <w:r>
        <w:tab/>
        <w:t xml:space="preserve">Documentul de orientare pentru Regulamentul (UE) 2023/1115 privind produsele care nu implică defrișări, JO C, C/2024/6789, 13.11.2024, ELI: </w:t>
      </w:r>
      <w:hyperlink r:id="rId19" w:history="1">
        <w:r>
          <w:rPr>
            <w:rStyle w:val="Hyperlink"/>
            <w:color w:val="0000FF"/>
          </w:rPr>
          <w:t>http://data.europa.eu/eli/C/2024/6789/oj</w:t>
        </w:r>
      </w:hyperlink>
      <w:r>
        <w:t>.</w:t>
      </w:r>
    </w:p>
  </w:footnote>
  <w:footnote w:id="28">
    <w:p w14:paraId="5EFAE9CC" w14:textId="2F2CE3C8" w:rsidR="008261EF" w:rsidRPr="006D538B" w:rsidRDefault="008261EF" w:rsidP="0012174E">
      <w:pPr>
        <w:pStyle w:val="FootnoteText"/>
        <w:spacing w:after="0"/>
      </w:pPr>
      <w:r>
        <w:t>(</w:t>
      </w:r>
      <w:r>
        <w:rPr>
          <w:rStyle w:val="FootnoteReference"/>
        </w:rPr>
        <w:footnoteRef/>
      </w:r>
      <w:r>
        <w:t>)</w:t>
      </w:r>
      <w:r>
        <w:tab/>
        <w:t>https://circabc.europa.eu/ui/group/34861680-e799-4d7c-bbad-da83c45da458/library/e126f816-844b-41a9-89ef-cb2a33b6aa56/details.</w:t>
      </w:r>
    </w:p>
  </w:footnote>
  <w:footnote w:id="29">
    <w:p w14:paraId="20B4A12C" w14:textId="34B903EE" w:rsidR="0096719A" w:rsidRPr="006D538B" w:rsidRDefault="0096719A" w:rsidP="0012174E">
      <w:pPr>
        <w:pStyle w:val="FootnoteText"/>
        <w:spacing w:after="0"/>
      </w:pPr>
      <w:r>
        <w:t>(</w:t>
      </w:r>
      <w:r>
        <w:rPr>
          <w:rStyle w:val="FootnoteReference"/>
        </w:rPr>
        <w:footnoteRef/>
      </w:r>
      <w:r>
        <w:t>)</w:t>
      </w:r>
      <w:r>
        <w:tab/>
        <w:t>https://op.europa.eu/en/publication-detail/-/publication/693156f0-5d3b-11f0-a9d0-01aa75ed71a1/language-en.</w:t>
      </w:r>
    </w:p>
  </w:footnote>
  <w:footnote w:id="30">
    <w:p w14:paraId="1B0C68D6" w14:textId="77777777" w:rsidR="00E30213" w:rsidRPr="006D538B" w:rsidRDefault="00E30213" w:rsidP="00E30213">
      <w:pPr>
        <w:pStyle w:val="FootnoteText"/>
        <w:spacing w:after="0"/>
      </w:pPr>
      <w:r>
        <w:t>(</w:t>
      </w:r>
      <w:r>
        <w:rPr>
          <w:rStyle w:val="FootnoteReference"/>
        </w:rPr>
        <w:footnoteRef/>
      </w:r>
      <w:r>
        <w:t>)</w:t>
      </w:r>
      <w:r>
        <w:tab/>
        <w:t>Regulamentul (UE) 2024/3234 de modificare a Regulamentului (UE) 2023/1115 în ceea ce privește dispozițiile referitoare la data aplicării, JO L, 2024/3234, 23.12.2024, ELI: http://data.europa.eu/eli/reg/2024/3234/oj.</w:t>
      </w:r>
    </w:p>
  </w:footnote>
  <w:footnote w:id="31">
    <w:p w14:paraId="2C3A2933" w14:textId="4F8A93A9" w:rsidR="00CD5C15" w:rsidRPr="00637B48" w:rsidRDefault="00CD5C15" w:rsidP="000F4567">
      <w:pPr>
        <w:pStyle w:val="FootnoteText"/>
        <w:spacing w:after="0"/>
        <w:rPr>
          <w:rStyle w:val="Hyperlink"/>
        </w:rPr>
      </w:pPr>
      <w:r>
        <w:t>(</w:t>
      </w:r>
      <w:r>
        <w:rPr>
          <w:rStyle w:val="FootnoteReference"/>
        </w:rPr>
        <w:footnoteRef/>
      </w:r>
      <w:r>
        <w:t>) Regulamentul de punere în aplicare (UE) 2025/1093 al Comisiei din 22 mai 2025 de stabilire a normelor de aplicare a Regulamentului (UE) 2023/1115 al Parlamentului European și al Consiliului în ceea ce privește o listă a țărilor care prezintă un risc scăzut sau ridicat de a produce produse de bază relevante pentru care produsele relevante nu sunt conforme cu articolul 3 litera (a), C/2025/3279, JO L, 2025/1093, 23.5.2025, ELI: http://data.europa.eu/eli/reg_impl/2025/1093/oj</w:t>
      </w:r>
    </w:p>
  </w:footnote>
  <w:footnote w:id="32">
    <w:p w14:paraId="44822C11" w14:textId="4973456B" w:rsidR="001B67AF" w:rsidRPr="00637B48" w:rsidRDefault="001B67AF" w:rsidP="001B67AF">
      <w:pPr>
        <w:pStyle w:val="FootnoteText"/>
      </w:pPr>
      <w:r>
        <w:t>(</w:t>
      </w:r>
      <w:r>
        <w:rPr>
          <w:rStyle w:val="FootnoteReference"/>
        </w:rPr>
        <w:footnoteRef/>
      </w:r>
      <w:r>
        <w:t>)</w:t>
      </w:r>
      <w:r>
        <w:tab/>
        <w:t>Regulamentul (UE) nr. 995/2010 de stabilire a obligațiilor care revin operatorilor care introduc pe piață lemn și produse din lemn Text cu relevanță pentru SEE, JO L 295, 12.11.2010, p. 23.</w:t>
      </w:r>
    </w:p>
  </w:footnote>
  <w:footnote w:id="33">
    <w:p w14:paraId="05A56CE4" w14:textId="77777777" w:rsidR="00934E71" w:rsidRPr="006D538B" w:rsidRDefault="00934E71" w:rsidP="0012174E">
      <w:pPr>
        <w:pStyle w:val="FootnoteText"/>
        <w:spacing w:after="0"/>
      </w:pPr>
      <w:r>
        <w:t>(</w:t>
      </w:r>
      <w:r>
        <w:rPr>
          <w:rStyle w:val="FootnoteReference"/>
        </w:rPr>
        <w:footnoteRef/>
      </w:r>
      <w:r>
        <w:t>)</w:t>
      </w:r>
      <w:r>
        <w:tab/>
      </w:r>
      <w:hyperlink r:id="rId20" w:history="1">
        <w:r>
          <w:rPr>
            <w:rStyle w:val="Hyperlink"/>
          </w:rPr>
          <w:t>Minuta</w:t>
        </w:r>
      </w:hyperlink>
      <w:r>
        <w:t xml:space="preserve"> celei de a 38-a reuniuni a „Platformei multipartite privind protejarea și refacerea pădurilor la nivel mondial”, cu accent pe defrișări și degradarea pădurilor, 11.12.25.</w:t>
      </w:r>
    </w:p>
  </w:footnote>
  <w:footnote w:id="34">
    <w:p w14:paraId="30C133D2" w14:textId="5474B985" w:rsidR="00E5727C" w:rsidRPr="00637B48" w:rsidRDefault="00E5727C" w:rsidP="00637B48">
      <w:pPr>
        <w:pStyle w:val="FootnoteText"/>
        <w:spacing w:after="0"/>
      </w:pPr>
      <w:r>
        <w:t>(</w:t>
      </w:r>
      <w:r>
        <w:rPr>
          <w:rStyle w:val="FootnoteReference"/>
        </w:rPr>
        <w:footnoteRef/>
      </w:r>
      <w:r>
        <w:t>)</w:t>
      </w:r>
      <w:r>
        <w:tab/>
      </w:r>
      <w:hyperlink r:id="rId21" w:history="1">
        <w:r>
          <w:rPr>
            <w:rStyle w:val="Hyperlink"/>
          </w:rPr>
          <w:t>Normele UE vizând reducerea la minimum a defrișărilor și a degradării pădurilor – modificarea anexei I la Regulamentul privind defrișările</w:t>
        </w:r>
      </w:hyperlink>
      <w:r>
        <w:t>.</w:t>
      </w:r>
    </w:p>
  </w:footnote>
  <w:footnote w:id="35">
    <w:p w14:paraId="4DFC05FC" w14:textId="1ADF4683" w:rsidR="00814A6F" w:rsidRPr="006D538B" w:rsidRDefault="00814A6F" w:rsidP="006D538B">
      <w:pPr>
        <w:pStyle w:val="FootnoteText"/>
        <w:spacing w:after="0"/>
      </w:pPr>
      <w:r>
        <w:t>(</w:t>
      </w:r>
      <w:r>
        <w:rPr>
          <w:rStyle w:val="FootnoteReference"/>
        </w:rPr>
        <w:footnoteRef/>
      </w:r>
      <w:r>
        <w:t>)</w:t>
      </w:r>
      <w:r>
        <w:tab/>
      </w:r>
      <w:hyperlink r:id="rId22" w:history="1">
        <w:r>
          <w:rPr>
            <w:rStyle w:val="Hyperlink"/>
          </w:rPr>
          <w:t>Simplificarea sarcinii administrative în legislația de mediu</w:t>
        </w:r>
      </w:hyperlink>
      <w:r>
        <w:t xml:space="preserve">. </w:t>
      </w:r>
    </w:p>
  </w:footnote>
  <w:footnote w:id="36">
    <w:p w14:paraId="1821C019" w14:textId="4F671C6D" w:rsidR="003C0F5A" w:rsidRPr="006D538B" w:rsidRDefault="003C0F5A">
      <w:pPr>
        <w:pStyle w:val="FootnoteText"/>
      </w:pPr>
      <w:r>
        <w:t>(</w:t>
      </w:r>
      <w:r>
        <w:rPr>
          <w:rStyle w:val="FootnoteReference"/>
        </w:rPr>
        <w:footnoteRef/>
      </w:r>
      <w:r>
        <w:t>)</w:t>
      </w:r>
      <w:r>
        <w:tab/>
      </w:r>
      <w:hyperlink r:id="rId23" w:history="1">
        <w:r>
          <w:rPr>
            <w:rStyle w:val="Hyperlink"/>
          </w:rPr>
          <w:t>Infografice privind lanțul de aprovizionare din cadrul Regulamentului privind defrișările (ediția a 3-a) – Mediu</w:t>
        </w:r>
      </w:hyperlink>
      <w:r>
        <w:t>.</w:t>
      </w:r>
    </w:p>
  </w:footnote>
  <w:footnote w:id="37">
    <w:p w14:paraId="13C7FF3D" w14:textId="097DA941" w:rsidR="0076499A" w:rsidRPr="006D538B" w:rsidRDefault="0076499A" w:rsidP="0015133F">
      <w:pPr>
        <w:pStyle w:val="FootnoteText"/>
        <w:spacing w:after="0"/>
      </w:pPr>
      <w:r>
        <w:t>(</w:t>
      </w:r>
      <w:r>
        <w:rPr>
          <w:rStyle w:val="FootnoteReference"/>
        </w:rPr>
        <w:footnoteRef/>
      </w:r>
      <w:r>
        <w:t>)</w:t>
      </w:r>
      <w:r>
        <w:tab/>
      </w:r>
      <w:hyperlink r:id="rId24" w:history="1">
        <w:r>
          <w:rPr>
            <w:rStyle w:val="Hyperlink"/>
          </w:rPr>
          <w:t>Inițiative publicate</w:t>
        </w:r>
      </w:hyperlink>
      <w:r>
        <w:t>.</w:t>
      </w:r>
    </w:p>
  </w:footnote>
  <w:footnote w:id="38">
    <w:p w14:paraId="5CD84F6F" w14:textId="77777777" w:rsidR="00426FBE" w:rsidRPr="006D538B" w:rsidRDefault="00426FBE" w:rsidP="0015133F">
      <w:pPr>
        <w:pStyle w:val="FootnoteText"/>
        <w:spacing w:after="0"/>
      </w:pPr>
      <w:r>
        <w:t>(</w:t>
      </w:r>
      <w:r>
        <w:rPr>
          <w:rStyle w:val="FootnoteReference"/>
        </w:rPr>
        <w:footnoteRef/>
      </w:r>
      <w:r>
        <w:t>)</w:t>
      </w:r>
      <w:r>
        <w:tab/>
        <w:t>Produsele propuse pentru a fi eliminate din domeniul de aplicare al Regulamentului privind defrișările sunt anvelopele reșapate din cauciuc pentru autovehicule (SA 40121100), anvelopele reșapate din cauciuc pentru autobuze (SA 40121200), anvelopele reșapate din cauciuc pentru aeronave (SA 40121300), alte anvelope reșapate din cauciuc (SA 40121900), bandajele din cauciuc solid sau din cauciuc spongios (40129020) și „flapsurile” din cauciuc (SA 40129090).</w:t>
      </w:r>
    </w:p>
  </w:footnote>
  <w:footnote w:id="39">
    <w:p w14:paraId="539D46E2" w14:textId="2F811D6D" w:rsidR="00426FBE" w:rsidRPr="006D538B" w:rsidRDefault="00426FBE" w:rsidP="0012174E">
      <w:pPr>
        <w:pStyle w:val="FootnoteText"/>
        <w:spacing w:after="0"/>
      </w:pPr>
      <w:r>
        <w:t>(</w:t>
      </w:r>
      <w:r>
        <w:rPr>
          <w:rStyle w:val="FootnoteReference"/>
        </w:rPr>
        <w:footnoteRef/>
      </w:r>
      <w:r>
        <w:t>)</w:t>
      </w:r>
      <w:r>
        <w:tab/>
        <w:t>Codurile de produse referitoare la bovine și piei, propuse pentru a fi eliminate din domeniul de aplicare al Regulamentului privind defrișările, sunt pieile brute de bovine (SA 4101), pieile tăbăcite sau pieile semifinite de bovine (SA 4104) și pieile de bovine, prelucrate după tăbăcire sau după uscare (SA 4107).</w:t>
      </w:r>
    </w:p>
  </w:footnote>
  <w:footnote w:id="40">
    <w:p w14:paraId="7DD71624" w14:textId="3610CD7A" w:rsidR="008B6623" w:rsidRPr="006D538B" w:rsidRDefault="008B6623" w:rsidP="0012174E">
      <w:pPr>
        <w:pStyle w:val="FootnoteText"/>
        <w:spacing w:after="0"/>
      </w:pPr>
      <w:r>
        <w:t>(</w:t>
      </w:r>
      <w:r>
        <w:rPr>
          <w:rStyle w:val="FootnoteReference"/>
        </w:rPr>
        <w:footnoteRef/>
      </w:r>
      <w:r>
        <w:t>)</w:t>
      </w:r>
      <w:r>
        <w:tab/>
        <w:t>Această cuantificare reflectă costurile anuale recurente de asigurare a conformității operaționale, dar nu include cheltuielile de capital legate de dezvoltarea sistemului.</w:t>
      </w:r>
    </w:p>
  </w:footnote>
  <w:footnote w:id="41">
    <w:p w14:paraId="05B00D0B" w14:textId="08D8AF2A" w:rsidR="00647F5D" w:rsidRPr="006D538B" w:rsidRDefault="00647F5D" w:rsidP="00637B48">
      <w:pPr>
        <w:pStyle w:val="FootnoteText"/>
        <w:spacing w:after="0"/>
      </w:pPr>
      <w:r>
        <w:t>(</w:t>
      </w:r>
      <w:r>
        <w:rPr>
          <w:rStyle w:val="FootnoteReference"/>
        </w:rPr>
        <w:footnoteRef/>
      </w:r>
      <w:r>
        <w:t>)</w:t>
      </w:r>
      <w:r>
        <w:tab/>
        <w:t xml:space="preserve">Această metodologie se bazează pe studiul intitulat </w:t>
      </w:r>
      <w:r>
        <w:rPr>
          <w:i/>
        </w:rPr>
        <w:t>„Assessment of environmental reporting and the potential for simplification”</w:t>
      </w:r>
      <w:r>
        <w:t xml:space="preserve"> (Evaluarea raportării cu privire la mediu și potențialul de simplificare), comandat de Comisie și care se preconizează că va fi publicat la sfârșitul anului 2026. Etapele de calcul sunt actualizate pentru a include simplificările prezentate în actul delegat, în întrebările frecvente și în orientările publicate împreună cu prezentul raport.</w:t>
      </w:r>
    </w:p>
  </w:footnote>
  <w:footnote w:id="42">
    <w:p w14:paraId="12DFA7A3" w14:textId="4254F49B" w:rsidR="00B0075E" w:rsidRPr="00637B48" w:rsidRDefault="00B0075E">
      <w:pPr>
        <w:pStyle w:val="FootnoteText"/>
      </w:pPr>
      <w:r>
        <w:t>(</w:t>
      </w:r>
      <w:r>
        <w:rPr>
          <w:rStyle w:val="FootnoteReference"/>
        </w:rPr>
        <w:footnoteRef/>
      </w:r>
      <w:r>
        <w:t>)</w:t>
      </w:r>
      <w:r>
        <w:tab/>
        <w:t xml:space="preserve">Comisia Europeană (2020), </w:t>
      </w:r>
      <w:hyperlink r:id="rId25" w:history="1">
        <w:r>
          <w:rPr>
            <w:rStyle w:val="Hyperlink"/>
          </w:rPr>
          <w:t>Study on due diligence requirements through the supply chain</w:t>
        </w:r>
      </w:hyperlink>
      <w:r>
        <w:t xml:space="preserve"> (Studiu referitor la cerințele privind diligența necesară de-a lungul lanțului de aprovizionare).</w:t>
      </w:r>
    </w:p>
  </w:footnote>
  <w:footnote w:id="43">
    <w:p w14:paraId="2832D26A" w14:textId="2ED8DF7A" w:rsidR="00EC415B" w:rsidRPr="00637B48" w:rsidRDefault="00EC415B" w:rsidP="00637B48">
      <w:pPr>
        <w:pStyle w:val="FootnoteText"/>
        <w:spacing w:after="0"/>
      </w:pPr>
      <w:r>
        <w:t>(</w:t>
      </w:r>
      <w:r>
        <w:rPr>
          <w:rStyle w:val="FootnoteReference"/>
        </w:rPr>
        <w:footnoteRef/>
      </w:r>
      <w:r>
        <w:t>)</w:t>
      </w:r>
      <w:r>
        <w:tab/>
        <w:t>Deoarece setul de date DeDuCE realizat de Singh și Persson (2026), care oferă estimări ale defrișărilor pe țări și pe produse de bază, este disponibil numai până în 2022 și prezintă limitări pentru anii 2021-2022, analiza se axează pe perioada 2015-2020. Principalele limitări sunt legate de întârzierile în raportarea la nivel național a datelor privind utilizarea terenurilor agricole și suprafața recoltată, care servesc drept date de intrare pentru modelul DeDuCE, ceea ce ar putea denatura semnalele privind defrișările în anii 2021-2022.</w:t>
      </w:r>
    </w:p>
  </w:footnote>
  <w:footnote w:id="44">
    <w:p w14:paraId="2950D5C5" w14:textId="4194080E" w:rsidR="00C52586" w:rsidRPr="006D538B" w:rsidRDefault="00C52586" w:rsidP="00FF03FC">
      <w:pPr>
        <w:pStyle w:val="FootnoteText"/>
        <w:spacing w:after="0"/>
      </w:pPr>
      <w:r>
        <w:t>(</w:t>
      </w:r>
      <w:r>
        <w:rPr>
          <w:rStyle w:val="FootnoteReference"/>
        </w:rPr>
        <w:footnoteRef/>
      </w:r>
      <w:r>
        <w:t>)</w:t>
      </w:r>
      <w:r>
        <w:tab/>
        <w:t xml:space="preserve">Beneficiile pentru mediu în cazul lemnului sunt subestimate, întrucât degradarea pădurilor, și anume conversia pădurilor naturale în păduri gestionate sau plantații forestiere, nu este inclusă în calcule. </w:t>
      </w:r>
    </w:p>
  </w:footnote>
  <w:footnote w:id="45">
    <w:p w14:paraId="11F6C815" w14:textId="2B028CE2" w:rsidR="000454A0" w:rsidRPr="00637B48" w:rsidRDefault="000454A0" w:rsidP="00637B48">
      <w:pPr>
        <w:pStyle w:val="FootnoteText"/>
        <w:spacing w:after="0"/>
      </w:pPr>
      <w:r>
        <w:t>(</w:t>
      </w:r>
      <w:r>
        <w:rPr>
          <w:rStyle w:val="FootnoteReference"/>
        </w:rPr>
        <w:footnoteRef/>
      </w:r>
      <w:r>
        <w:t>)</w:t>
      </w:r>
      <w:r>
        <w:tab/>
        <w:t>Valoarea serviciilor ecosistemice este beneficiul cuantificat pe care oamenii îl obțin din ecosistemele naturale, cum ar fi apa curată, producția de alimente, reglarea climei, recreerea și menținerea resurselor genetice care sprijină îmbunătățirea culturilor, dezvoltarea medicamentelor și reziliența ecosistemelor.</w:t>
      </w:r>
    </w:p>
  </w:footnote>
  <w:footnote w:id="46">
    <w:p w14:paraId="63A65115" w14:textId="3E04AA6A" w:rsidR="000454A0" w:rsidRPr="00637B48" w:rsidRDefault="000454A0" w:rsidP="0015133F">
      <w:pPr>
        <w:pStyle w:val="FootnoteText"/>
        <w:spacing w:after="0"/>
      </w:pPr>
      <w:r>
        <w:t>(</w:t>
      </w:r>
      <w:r>
        <w:rPr>
          <w:rStyle w:val="FootnoteReference"/>
        </w:rPr>
        <w:footnoteRef/>
      </w:r>
      <w:r>
        <w:t>)</w:t>
      </w:r>
      <w:r>
        <w:tab/>
        <w:t xml:space="preserve">Brander, L. M., De Groot, R., Schägner, J. P., Guisado-Goñi, V., Van't Hoff, V., Solomonides, S., ... și Thomas, R. (2024). </w:t>
      </w:r>
      <w:r>
        <w:rPr>
          <w:i/>
        </w:rPr>
        <w:t>Economic values for ecosystem services:</w:t>
      </w:r>
      <w:r>
        <w:t xml:space="preserve"> </w:t>
      </w:r>
      <w:r>
        <w:rPr>
          <w:i/>
        </w:rPr>
        <w:t>A global synthesis and way forward</w:t>
      </w:r>
      <w:r>
        <w:t xml:space="preserve"> (Valorile economice ale serviciilor ecosistemice: o sinteză globală și calea de urmat). </w:t>
      </w:r>
      <w:r>
        <w:rPr>
          <w:i/>
        </w:rPr>
        <w:t>Ecosystem Services</w:t>
      </w:r>
      <w:r>
        <w:t>, </w:t>
      </w:r>
      <w:r>
        <w:rPr>
          <w:i/>
        </w:rPr>
        <w:t>66</w:t>
      </w:r>
      <w:r>
        <w:t>, 101606.</w:t>
      </w:r>
    </w:p>
  </w:footnote>
  <w:footnote w:id="47">
    <w:p w14:paraId="5D16F864" w14:textId="4071BC65" w:rsidR="000454A0" w:rsidRPr="00637B48" w:rsidRDefault="000454A0" w:rsidP="0015133F">
      <w:pPr>
        <w:pStyle w:val="FootnoteText"/>
        <w:spacing w:after="0"/>
      </w:pPr>
      <w:r>
        <w:t>(</w:t>
      </w:r>
      <w:r>
        <w:rPr>
          <w:rStyle w:val="FootnoteReference"/>
        </w:rPr>
        <w:footnoteRef/>
      </w:r>
      <w:r>
        <w:t>)</w:t>
      </w:r>
      <w:r>
        <w:tab/>
      </w:r>
      <w:hyperlink r:id="rId26" w:history="1">
        <w:r>
          <w:rPr>
            <w:rStyle w:val="Hyperlink"/>
          </w:rPr>
          <w:t>Document de lucru al serviciilor Comisiei – Evaluarea impactului (2021)</w:t>
        </w:r>
      </w:hyperlink>
      <w:r>
        <w:t>.</w:t>
      </w:r>
    </w:p>
  </w:footnote>
  <w:footnote w:id="48">
    <w:p w14:paraId="7276EF68" w14:textId="100A1693" w:rsidR="00C1740D" w:rsidRPr="006D538B" w:rsidRDefault="00C1740D" w:rsidP="0015133F">
      <w:pPr>
        <w:pStyle w:val="FootnoteText"/>
        <w:spacing w:after="0"/>
      </w:pPr>
      <w:r>
        <w:t>(</w:t>
      </w:r>
      <w:r>
        <w:rPr>
          <w:vertAlign w:val="superscript"/>
          <w:lang w:val="en-IE"/>
        </w:rPr>
        <w:footnoteRef/>
      </w:r>
      <w:r>
        <w:t>)</w:t>
      </w:r>
      <w:r>
        <w:tab/>
        <w:t xml:space="preserve">Singh, C., &amp; Persson, U. M. (2026). </w:t>
      </w:r>
      <w:r>
        <w:rPr>
          <w:i/>
        </w:rPr>
        <w:t>Global patterns of commodity-driven deforestation and associated carbon emissions</w:t>
      </w:r>
      <w:r>
        <w:t xml:space="preserve"> (Modelele globale ale defrișărilor cauzate de produsele de bază și emisiile de carbon asociate). Nature Food, 7(2), 138-151.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C6E2B" w14:textId="77777777" w:rsidR="00E81AFC" w:rsidRPr="00E81AFC" w:rsidRDefault="00E81AFC" w:rsidP="00E81AF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D46DF" w14:textId="77777777" w:rsidR="00E81AFC" w:rsidRPr="00E81AFC" w:rsidRDefault="00E81AFC" w:rsidP="00E81AF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A6F0E" w14:textId="77777777" w:rsidR="00E81AFC" w:rsidRPr="00E81AFC" w:rsidRDefault="00E81AFC" w:rsidP="00E81AF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07CE2" w14:textId="77777777" w:rsidR="00BD6E9D" w:rsidRDefault="00BD6E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71421" w14:textId="77777777" w:rsidR="00FE05C7" w:rsidRDefault="00FE05C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811F0" w14:textId="77777777" w:rsidR="007678CB" w:rsidRDefault="007678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60245"/>
    <w:multiLevelType w:val="hybridMultilevel"/>
    <w:tmpl w:val="E2F42A08"/>
    <w:lvl w:ilvl="0" w:tplc="1809001B">
      <w:start w:val="1"/>
      <w:numFmt w:val="lowerRoman"/>
      <w:lvlText w:val="%1."/>
      <w:lvlJc w:val="right"/>
      <w:pPr>
        <w:ind w:left="2145" w:hanging="360"/>
      </w:pPr>
      <w:rPr>
        <w:rFonts w:hint="default"/>
      </w:rPr>
    </w:lvl>
    <w:lvl w:ilvl="1" w:tplc="FFFFFFFF">
      <w:start w:val="1"/>
      <w:numFmt w:val="bullet"/>
      <w:lvlText w:val="o"/>
      <w:lvlJc w:val="left"/>
      <w:pPr>
        <w:ind w:left="2865" w:hanging="360"/>
      </w:pPr>
      <w:rPr>
        <w:rFonts w:ascii="Courier New" w:hAnsi="Courier New" w:hint="default"/>
      </w:rPr>
    </w:lvl>
    <w:lvl w:ilvl="2" w:tplc="FFFFFFFF" w:tentative="1">
      <w:start w:val="1"/>
      <w:numFmt w:val="bullet"/>
      <w:lvlText w:val=""/>
      <w:lvlJc w:val="left"/>
      <w:pPr>
        <w:ind w:left="3585" w:hanging="360"/>
      </w:pPr>
      <w:rPr>
        <w:rFonts w:ascii="Wingdings" w:hAnsi="Wingdings" w:hint="default"/>
      </w:rPr>
    </w:lvl>
    <w:lvl w:ilvl="3" w:tplc="FFFFFFFF" w:tentative="1">
      <w:start w:val="1"/>
      <w:numFmt w:val="bullet"/>
      <w:lvlText w:val=""/>
      <w:lvlJc w:val="left"/>
      <w:pPr>
        <w:ind w:left="4305" w:hanging="360"/>
      </w:pPr>
      <w:rPr>
        <w:rFonts w:ascii="Symbol" w:hAnsi="Symbol" w:hint="default"/>
      </w:rPr>
    </w:lvl>
    <w:lvl w:ilvl="4" w:tplc="FFFFFFFF" w:tentative="1">
      <w:start w:val="1"/>
      <w:numFmt w:val="bullet"/>
      <w:lvlText w:val="o"/>
      <w:lvlJc w:val="left"/>
      <w:pPr>
        <w:ind w:left="5025" w:hanging="360"/>
      </w:pPr>
      <w:rPr>
        <w:rFonts w:ascii="Courier New" w:hAnsi="Courier New" w:hint="default"/>
      </w:rPr>
    </w:lvl>
    <w:lvl w:ilvl="5" w:tplc="FFFFFFFF" w:tentative="1">
      <w:start w:val="1"/>
      <w:numFmt w:val="bullet"/>
      <w:lvlText w:val=""/>
      <w:lvlJc w:val="left"/>
      <w:pPr>
        <w:ind w:left="5745" w:hanging="360"/>
      </w:pPr>
      <w:rPr>
        <w:rFonts w:ascii="Wingdings" w:hAnsi="Wingdings" w:hint="default"/>
      </w:rPr>
    </w:lvl>
    <w:lvl w:ilvl="6" w:tplc="FFFFFFFF" w:tentative="1">
      <w:start w:val="1"/>
      <w:numFmt w:val="bullet"/>
      <w:lvlText w:val=""/>
      <w:lvlJc w:val="left"/>
      <w:pPr>
        <w:ind w:left="6465" w:hanging="360"/>
      </w:pPr>
      <w:rPr>
        <w:rFonts w:ascii="Symbol" w:hAnsi="Symbol" w:hint="default"/>
      </w:rPr>
    </w:lvl>
    <w:lvl w:ilvl="7" w:tplc="FFFFFFFF" w:tentative="1">
      <w:start w:val="1"/>
      <w:numFmt w:val="bullet"/>
      <w:lvlText w:val="o"/>
      <w:lvlJc w:val="left"/>
      <w:pPr>
        <w:ind w:left="7185" w:hanging="360"/>
      </w:pPr>
      <w:rPr>
        <w:rFonts w:ascii="Courier New" w:hAnsi="Courier New" w:hint="default"/>
      </w:rPr>
    </w:lvl>
    <w:lvl w:ilvl="8" w:tplc="FFFFFFFF" w:tentative="1">
      <w:start w:val="1"/>
      <w:numFmt w:val="bullet"/>
      <w:lvlText w:val=""/>
      <w:lvlJc w:val="left"/>
      <w:pPr>
        <w:ind w:left="7905" w:hanging="360"/>
      </w:pPr>
      <w:rPr>
        <w:rFonts w:ascii="Wingdings" w:hAnsi="Wingdings" w:hint="default"/>
      </w:rPr>
    </w:lvl>
  </w:abstractNum>
  <w:abstractNum w:abstractNumId="1" w15:restartNumberingAfterBreak="0">
    <w:nsid w:val="01B65BE2"/>
    <w:multiLevelType w:val="multilevel"/>
    <w:tmpl w:val="4B7E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F65910"/>
    <w:multiLevelType w:val="hybridMultilevel"/>
    <w:tmpl w:val="95FA0D5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40E4C55"/>
    <w:multiLevelType w:val="hybridMultilevel"/>
    <w:tmpl w:val="278EB9FA"/>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44173C0"/>
    <w:multiLevelType w:val="hybridMultilevel"/>
    <w:tmpl w:val="A5CC0522"/>
    <w:lvl w:ilvl="0" w:tplc="58E80D12">
      <w:start w:val="1"/>
      <w:numFmt w:val="decimal"/>
      <w:lvlText w:val="%1)"/>
      <w:lvlJc w:val="left"/>
      <w:pPr>
        <w:ind w:left="720" w:hanging="360"/>
      </w:pPr>
    </w:lvl>
    <w:lvl w:ilvl="1" w:tplc="E80EED00">
      <w:start w:val="1"/>
      <w:numFmt w:val="decimal"/>
      <w:lvlText w:val="%2)"/>
      <w:lvlJc w:val="left"/>
      <w:pPr>
        <w:ind w:left="720" w:hanging="360"/>
      </w:pPr>
    </w:lvl>
    <w:lvl w:ilvl="2" w:tplc="C4FA5444">
      <w:start w:val="1"/>
      <w:numFmt w:val="decimal"/>
      <w:lvlText w:val="%3)"/>
      <w:lvlJc w:val="left"/>
      <w:pPr>
        <w:ind w:left="720" w:hanging="360"/>
      </w:pPr>
    </w:lvl>
    <w:lvl w:ilvl="3" w:tplc="46F20A2C">
      <w:start w:val="1"/>
      <w:numFmt w:val="decimal"/>
      <w:lvlText w:val="%4)"/>
      <w:lvlJc w:val="left"/>
      <w:pPr>
        <w:ind w:left="720" w:hanging="360"/>
      </w:pPr>
    </w:lvl>
    <w:lvl w:ilvl="4" w:tplc="9CA26708">
      <w:start w:val="1"/>
      <w:numFmt w:val="decimal"/>
      <w:lvlText w:val="%5)"/>
      <w:lvlJc w:val="left"/>
      <w:pPr>
        <w:ind w:left="720" w:hanging="360"/>
      </w:pPr>
    </w:lvl>
    <w:lvl w:ilvl="5" w:tplc="F7C2541C">
      <w:start w:val="1"/>
      <w:numFmt w:val="decimal"/>
      <w:lvlText w:val="%6)"/>
      <w:lvlJc w:val="left"/>
      <w:pPr>
        <w:ind w:left="720" w:hanging="360"/>
      </w:pPr>
    </w:lvl>
    <w:lvl w:ilvl="6" w:tplc="4DD422D4">
      <w:start w:val="1"/>
      <w:numFmt w:val="decimal"/>
      <w:lvlText w:val="%7)"/>
      <w:lvlJc w:val="left"/>
      <w:pPr>
        <w:ind w:left="720" w:hanging="360"/>
      </w:pPr>
    </w:lvl>
    <w:lvl w:ilvl="7" w:tplc="6CC8C912">
      <w:start w:val="1"/>
      <w:numFmt w:val="decimal"/>
      <w:lvlText w:val="%8)"/>
      <w:lvlJc w:val="left"/>
      <w:pPr>
        <w:ind w:left="720" w:hanging="360"/>
      </w:pPr>
    </w:lvl>
    <w:lvl w:ilvl="8" w:tplc="5CFC8D5C">
      <w:start w:val="1"/>
      <w:numFmt w:val="decimal"/>
      <w:lvlText w:val="%9)"/>
      <w:lvlJc w:val="left"/>
      <w:pPr>
        <w:ind w:left="720" w:hanging="360"/>
      </w:pPr>
    </w:lvl>
  </w:abstractNum>
  <w:abstractNum w:abstractNumId="5" w15:restartNumberingAfterBreak="0">
    <w:nsid w:val="099006F3"/>
    <w:multiLevelType w:val="multilevel"/>
    <w:tmpl w:val="85E8AD2A"/>
    <w:lvl w:ilvl="0">
      <w:start w:val="1"/>
      <w:numFmt w:val="decimal"/>
      <w:lvlText w:val="%1."/>
      <w:lvlJc w:val="left"/>
      <w:pPr>
        <w:tabs>
          <w:tab w:val="num" w:pos="360"/>
        </w:tabs>
        <w:ind w:left="360" w:hanging="360"/>
      </w:pPr>
    </w:lvl>
    <w:lvl w:ilvl="1">
      <w:start w:val="1"/>
      <w:numFmt w:val="lowerLetter"/>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0A2900F7"/>
    <w:multiLevelType w:val="multilevel"/>
    <w:tmpl w:val="4E78CD0E"/>
    <w:name w:val="ListDash4Numbering"/>
    <w:lvl w:ilvl="0">
      <w:start w:val="1"/>
      <w:numFmt w:val="bullet"/>
      <w:pStyle w:val="ListDash4"/>
      <w:lvlText w:val="–"/>
      <w:lvlJc w:val="left"/>
      <w:pPr>
        <w:tabs>
          <w:tab w:val="num" w:pos="1485"/>
        </w:tabs>
        <w:ind w:left="1485" w:hanging="283"/>
      </w:pPr>
      <w:rPr>
        <w:rFonts w:ascii="Times New Roman" w:hAnsi="Times New Roman" w:hint="default"/>
      </w:rPr>
    </w:lvl>
    <w:lvl w:ilvl="1">
      <w:start w:val="1"/>
      <w:numFmt w:val="bullet"/>
      <w:pStyle w:val="ListDash4Level2"/>
      <w:lvlText w:val="–"/>
      <w:lvlJc w:val="left"/>
      <w:pPr>
        <w:tabs>
          <w:tab w:val="num" w:pos="1769"/>
        </w:tabs>
        <w:ind w:left="1769" w:hanging="284"/>
      </w:pPr>
      <w:rPr>
        <w:rFonts w:ascii="Times New Roman" w:hAnsi="Times New Roman" w:hint="default"/>
      </w:rPr>
    </w:lvl>
    <w:lvl w:ilvl="2">
      <w:start w:val="1"/>
      <w:numFmt w:val="bullet"/>
      <w:pStyle w:val="ListDash4Level3"/>
      <w:lvlText w:val="–"/>
      <w:lvlJc w:val="left"/>
      <w:pPr>
        <w:tabs>
          <w:tab w:val="num" w:pos="2052"/>
        </w:tabs>
        <w:ind w:left="2052" w:hanging="283"/>
      </w:pPr>
      <w:rPr>
        <w:rFonts w:ascii="Times New Roman" w:hAnsi="Times New Roman" w:hint="default"/>
      </w:rPr>
    </w:lvl>
    <w:lvl w:ilvl="3">
      <w:start w:val="1"/>
      <w:numFmt w:val="bullet"/>
      <w:pStyle w:val="ListDash4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B47621A"/>
    <w:multiLevelType w:val="hybridMultilevel"/>
    <w:tmpl w:val="B172EE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E51619E"/>
    <w:multiLevelType w:val="hybridMultilevel"/>
    <w:tmpl w:val="E7148A5A"/>
    <w:lvl w:ilvl="0" w:tplc="A34C3670">
      <w:start w:val="4"/>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EFB7115"/>
    <w:multiLevelType w:val="multilevel"/>
    <w:tmpl w:val="11042686"/>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hint="default"/>
      </w:rPr>
    </w:lvl>
    <w:lvl w:ilvl="3">
      <w:start w:val="1"/>
      <w:numFmt w:val="bullet"/>
      <w:pStyle w:val="ListNumber3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0C870C4"/>
    <w:multiLevelType w:val="hybridMultilevel"/>
    <w:tmpl w:val="64D49B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14C41C5"/>
    <w:multiLevelType w:val="multilevel"/>
    <w:tmpl w:val="C80AE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20B7201"/>
    <w:multiLevelType w:val="multilevel"/>
    <w:tmpl w:val="F9BEACE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20B8345"/>
    <w:multiLevelType w:val="multilevel"/>
    <w:tmpl w:val="D2EA053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262685D"/>
    <w:multiLevelType w:val="multilevel"/>
    <w:tmpl w:val="58D8B30C"/>
    <w:name w:val="ListBullet4Numbering"/>
    <w:lvl w:ilvl="0">
      <w:start w:val="1"/>
      <w:numFmt w:val="bullet"/>
      <w:pStyle w:val="ListBullet4"/>
      <w:lvlText w:val=""/>
      <w:lvlJc w:val="left"/>
      <w:pPr>
        <w:tabs>
          <w:tab w:val="num" w:pos="1485"/>
        </w:tabs>
        <w:ind w:left="1485" w:hanging="283"/>
      </w:pPr>
      <w:rPr>
        <w:rFonts w:ascii="Symbol" w:hAnsi="Symbol" w:hint="default"/>
      </w:rPr>
    </w:lvl>
    <w:lvl w:ilvl="1">
      <w:start w:val="1"/>
      <w:numFmt w:val="bullet"/>
      <w:pStyle w:val="ListBullet4Level2"/>
      <w:lvlText w:val=""/>
      <w:lvlJc w:val="left"/>
      <w:pPr>
        <w:tabs>
          <w:tab w:val="num" w:pos="1769"/>
        </w:tabs>
        <w:ind w:left="1769" w:hanging="284"/>
      </w:pPr>
      <w:rPr>
        <w:rFonts w:ascii="Symbol" w:hAnsi="Symbol" w:hint="default"/>
      </w:rPr>
    </w:lvl>
    <w:lvl w:ilvl="2">
      <w:start w:val="1"/>
      <w:numFmt w:val="bullet"/>
      <w:pStyle w:val="ListBullet4Level3"/>
      <w:lvlText w:val=""/>
      <w:lvlJc w:val="left"/>
      <w:pPr>
        <w:tabs>
          <w:tab w:val="num" w:pos="2052"/>
        </w:tabs>
        <w:ind w:left="2052" w:hanging="283"/>
      </w:pPr>
      <w:rPr>
        <w:rFonts w:ascii="Symbol" w:hAnsi="Symbol" w:hint="default"/>
      </w:rPr>
    </w:lvl>
    <w:lvl w:ilvl="3">
      <w:start w:val="1"/>
      <w:numFmt w:val="bullet"/>
      <w:pStyle w:val="ListBullet4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27E2411"/>
    <w:multiLevelType w:val="hybridMultilevel"/>
    <w:tmpl w:val="A4445D1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31A070B"/>
    <w:multiLevelType w:val="multilevel"/>
    <w:tmpl w:val="CB40C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43D0A16"/>
    <w:multiLevelType w:val="multilevel"/>
    <w:tmpl w:val="97423CFE"/>
    <w:name w:val="ListBullet3Numbering"/>
    <w:lvl w:ilvl="0">
      <w:start w:val="1"/>
      <w:numFmt w:val="bullet"/>
      <w:pStyle w:val="ListBullet3"/>
      <w:lvlText w:val=""/>
      <w:lvlJc w:val="left"/>
      <w:pPr>
        <w:tabs>
          <w:tab w:val="num" w:pos="1485"/>
        </w:tabs>
        <w:ind w:left="1485" w:hanging="283"/>
      </w:pPr>
      <w:rPr>
        <w:rFonts w:ascii="Symbol" w:hAnsi="Symbol" w:hint="default"/>
      </w:rPr>
    </w:lvl>
    <w:lvl w:ilvl="1">
      <w:start w:val="1"/>
      <w:numFmt w:val="bullet"/>
      <w:pStyle w:val="ListBullet3Level2"/>
      <w:lvlText w:val=""/>
      <w:lvlJc w:val="left"/>
      <w:pPr>
        <w:tabs>
          <w:tab w:val="num" w:pos="1769"/>
        </w:tabs>
        <w:ind w:left="1769" w:hanging="284"/>
      </w:pPr>
      <w:rPr>
        <w:rFonts w:ascii="Symbol" w:hAnsi="Symbol" w:hint="default"/>
      </w:rPr>
    </w:lvl>
    <w:lvl w:ilvl="2">
      <w:start w:val="1"/>
      <w:numFmt w:val="bullet"/>
      <w:pStyle w:val="ListBullet3Level3"/>
      <w:lvlText w:val=""/>
      <w:lvlJc w:val="left"/>
      <w:pPr>
        <w:tabs>
          <w:tab w:val="num" w:pos="2052"/>
        </w:tabs>
        <w:ind w:left="2052" w:hanging="283"/>
      </w:pPr>
      <w:rPr>
        <w:rFonts w:ascii="Symbol" w:hAnsi="Symbol" w:hint="default"/>
      </w:rPr>
    </w:lvl>
    <w:lvl w:ilvl="3">
      <w:start w:val="1"/>
      <w:numFmt w:val="bullet"/>
      <w:pStyle w:val="ListBullet3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58E15A7"/>
    <w:multiLevelType w:val="hybridMultilevel"/>
    <w:tmpl w:val="8C9492C2"/>
    <w:lvl w:ilvl="0" w:tplc="5798D776">
      <w:start w:val="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6532E2D"/>
    <w:multiLevelType w:val="hybridMultilevel"/>
    <w:tmpl w:val="62B0630C"/>
    <w:lvl w:ilvl="0" w:tplc="7E7CC89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172F0AC5"/>
    <w:multiLevelType w:val="multilevel"/>
    <w:tmpl w:val="C28C2638"/>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hint="default"/>
      </w:rPr>
    </w:lvl>
    <w:lvl w:ilvl="3">
      <w:start w:val="1"/>
      <w:numFmt w:val="bullet"/>
      <w:pStyle w:val="ListNumber2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84D001A"/>
    <w:multiLevelType w:val="multilevel"/>
    <w:tmpl w:val="3D904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703E46"/>
    <w:multiLevelType w:val="multilevel"/>
    <w:tmpl w:val="AA4C9F1E"/>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189E29D1"/>
    <w:multiLevelType w:val="hybridMultilevel"/>
    <w:tmpl w:val="9C6ED7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1B95E4EC"/>
    <w:multiLevelType w:val="hybridMultilevel"/>
    <w:tmpl w:val="85E0586E"/>
    <w:lvl w:ilvl="0" w:tplc="D264D918">
      <w:start w:val="1"/>
      <w:numFmt w:val="bullet"/>
      <w:lvlText w:val=""/>
      <w:lvlJc w:val="left"/>
      <w:pPr>
        <w:ind w:left="720" w:hanging="360"/>
      </w:pPr>
      <w:rPr>
        <w:rFonts w:ascii="Symbol" w:hAnsi="Symbol" w:hint="default"/>
      </w:rPr>
    </w:lvl>
    <w:lvl w:ilvl="1" w:tplc="F58ECAEA">
      <w:start w:val="1"/>
      <w:numFmt w:val="bullet"/>
      <w:lvlText w:val="o"/>
      <w:lvlJc w:val="left"/>
      <w:pPr>
        <w:ind w:left="1440" w:hanging="360"/>
      </w:pPr>
      <w:rPr>
        <w:rFonts w:ascii="Courier New" w:hAnsi="Courier New" w:hint="default"/>
      </w:rPr>
    </w:lvl>
    <w:lvl w:ilvl="2" w:tplc="1548D29E">
      <w:start w:val="1"/>
      <w:numFmt w:val="bullet"/>
      <w:lvlText w:val=""/>
      <w:lvlJc w:val="left"/>
      <w:pPr>
        <w:ind w:left="2160" w:hanging="360"/>
      </w:pPr>
      <w:rPr>
        <w:rFonts w:ascii="Wingdings" w:hAnsi="Wingdings" w:hint="default"/>
      </w:rPr>
    </w:lvl>
    <w:lvl w:ilvl="3" w:tplc="7056346E">
      <w:start w:val="1"/>
      <w:numFmt w:val="bullet"/>
      <w:lvlText w:val=""/>
      <w:lvlJc w:val="left"/>
      <w:pPr>
        <w:ind w:left="2880" w:hanging="360"/>
      </w:pPr>
      <w:rPr>
        <w:rFonts w:ascii="Symbol" w:hAnsi="Symbol" w:hint="default"/>
      </w:rPr>
    </w:lvl>
    <w:lvl w:ilvl="4" w:tplc="C1520062">
      <w:start w:val="1"/>
      <w:numFmt w:val="bullet"/>
      <w:lvlText w:val="o"/>
      <w:lvlJc w:val="left"/>
      <w:pPr>
        <w:ind w:left="3600" w:hanging="360"/>
      </w:pPr>
      <w:rPr>
        <w:rFonts w:ascii="Courier New" w:hAnsi="Courier New" w:hint="default"/>
      </w:rPr>
    </w:lvl>
    <w:lvl w:ilvl="5" w:tplc="0F06C96C">
      <w:start w:val="1"/>
      <w:numFmt w:val="bullet"/>
      <w:lvlText w:val=""/>
      <w:lvlJc w:val="left"/>
      <w:pPr>
        <w:ind w:left="4320" w:hanging="360"/>
      </w:pPr>
      <w:rPr>
        <w:rFonts w:ascii="Wingdings" w:hAnsi="Wingdings" w:hint="default"/>
      </w:rPr>
    </w:lvl>
    <w:lvl w:ilvl="6" w:tplc="CB6EBDFA">
      <w:start w:val="1"/>
      <w:numFmt w:val="bullet"/>
      <w:lvlText w:val=""/>
      <w:lvlJc w:val="left"/>
      <w:pPr>
        <w:ind w:left="5040" w:hanging="360"/>
      </w:pPr>
      <w:rPr>
        <w:rFonts w:ascii="Symbol" w:hAnsi="Symbol" w:hint="default"/>
      </w:rPr>
    </w:lvl>
    <w:lvl w:ilvl="7" w:tplc="BDBC7CD4">
      <w:start w:val="1"/>
      <w:numFmt w:val="bullet"/>
      <w:lvlText w:val="o"/>
      <w:lvlJc w:val="left"/>
      <w:pPr>
        <w:ind w:left="5760" w:hanging="360"/>
      </w:pPr>
      <w:rPr>
        <w:rFonts w:ascii="Courier New" w:hAnsi="Courier New" w:hint="default"/>
      </w:rPr>
    </w:lvl>
    <w:lvl w:ilvl="8" w:tplc="435EE8C8">
      <w:start w:val="1"/>
      <w:numFmt w:val="bullet"/>
      <w:lvlText w:val=""/>
      <w:lvlJc w:val="left"/>
      <w:pPr>
        <w:ind w:left="6480" w:hanging="360"/>
      </w:pPr>
      <w:rPr>
        <w:rFonts w:ascii="Wingdings" w:hAnsi="Wingdings" w:hint="default"/>
      </w:rPr>
    </w:lvl>
  </w:abstractNum>
  <w:abstractNum w:abstractNumId="25" w15:restartNumberingAfterBreak="0">
    <w:nsid w:val="1C7B624F"/>
    <w:multiLevelType w:val="multilevel"/>
    <w:tmpl w:val="1578F158"/>
    <w:name w:val="ListDash2Numbering"/>
    <w:lvl w:ilvl="0">
      <w:start w:val="1"/>
      <w:numFmt w:val="bullet"/>
      <w:pStyle w:val="ListDash2"/>
      <w:lvlText w:val="–"/>
      <w:lvlJc w:val="left"/>
      <w:pPr>
        <w:tabs>
          <w:tab w:val="num" w:pos="1485"/>
        </w:tabs>
        <w:ind w:left="1485" w:hanging="283"/>
      </w:pPr>
      <w:rPr>
        <w:rFonts w:ascii="Times New Roman" w:hAnsi="Times New Roman" w:hint="default"/>
      </w:rPr>
    </w:lvl>
    <w:lvl w:ilvl="1">
      <w:start w:val="1"/>
      <w:numFmt w:val="bullet"/>
      <w:pStyle w:val="ListDash2Level2"/>
      <w:lvlText w:val="–"/>
      <w:lvlJc w:val="left"/>
      <w:pPr>
        <w:tabs>
          <w:tab w:val="num" w:pos="1769"/>
        </w:tabs>
        <w:ind w:left="1769" w:hanging="284"/>
      </w:pPr>
      <w:rPr>
        <w:rFonts w:ascii="Times New Roman" w:hAnsi="Times New Roman" w:hint="default"/>
      </w:rPr>
    </w:lvl>
    <w:lvl w:ilvl="2">
      <w:start w:val="1"/>
      <w:numFmt w:val="bullet"/>
      <w:pStyle w:val="ListDash2Level3"/>
      <w:lvlText w:val="–"/>
      <w:lvlJc w:val="left"/>
      <w:pPr>
        <w:tabs>
          <w:tab w:val="num" w:pos="2052"/>
        </w:tabs>
        <w:ind w:left="2052" w:hanging="283"/>
      </w:pPr>
      <w:rPr>
        <w:rFonts w:ascii="Times New Roman" w:hAnsi="Times New Roman" w:hint="default"/>
      </w:rPr>
    </w:lvl>
    <w:lvl w:ilvl="3">
      <w:start w:val="1"/>
      <w:numFmt w:val="bullet"/>
      <w:pStyle w:val="ListDash2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1D822AA5"/>
    <w:multiLevelType w:val="hybridMultilevel"/>
    <w:tmpl w:val="548E2382"/>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1F384BFE"/>
    <w:multiLevelType w:val="hybridMultilevel"/>
    <w:tmpl w:val="223A6DB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210911BB"/>
    <w:multiLevelType w:val="hybridMultilevel"/>
    <w:tmpl w:val="E8C697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2218195F"/>
    <w:multiLevelType w:val="multilevel"/>
    <w:tmpl w:val="102EF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7A407B7"/>
    <w:multiLevelType w:val="multilevel"/>
    <w:tmpl w:val="75107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86B5210"/>
    <w:multiLevelType w:val="hybridMultilevel"/>
    <w:tmpl w:val="06C402B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2C2839C8"/>
    <w:multiLevelType w:val="hybridMultilevel"/>
    <w:tmpl w:val="D512BF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2C8DFDF8"/>
    <w:multiLevelType w:val="multilevel"/>
    <w:tmpl w:val="98C42ECA"/>
    <w:name w:val="ListBullet2Numbering"/>
    <w:lvl w:ilvl="0">
      <w:start w:val="1"/>
      <w:numFmt w:val="bullet"/>
      <w:pStyle w:val="ListBullet2"/>
      <w:lvlText w:val=""/>
      <w:lvlJc w:val="left"/>
      <w:pPr>
        <w:tabs>
          <w:tab w:val="num" w:pos="1485"/>
        </w:tabs>
        <w:ind w:left="1485" w:hanging="283"/>
      </w:pPr>
      <w:rPr>
        <w:rFonts w:ascii="Symbol" w:hAnsi="Symbol" w:hint="default"/>
      </w:rPr>
    </w:lvl>
    <w:lvl w:ilvl="1">
      <w:start w:val="1"/>
      <w:numFmt w:val="bullet"/>
      <w:pStyle w:val="ListBullet2Level2"/>
      <w:lvlText w:val=""/>
      <w:lvlJc w:val="left"/>
      <w:pPr>
        <w:tabs>
          <w:tab w:val="num" w:pos="1769"/>
        </w:tabs>
        <w:ind w:left="1769" w:hanging="284"/>
      </w:pPr>
      <w:rPr>
        <w:rFonts w:ascii="Symbol" w:hAnsi="Symbol" w:hint="default"/>
      </w:rPr>
    </w:lvl>
    <w:lvl w:ilvl="2">
      <w:start w:val="1"/>
      <w:numFmt w:val="bullet"/>
      <w:pStyle w:val="ListBullet2Level3"/>
      <w:lvlText w:val=""/>
      <w:lvlJc w:val="left"/>
      <w:pPr>
        <w:tabs>
          <w:tab w:val="num" w:pos="2052"/>
        </w:tabs>
        <w:ind w:left="2052" w:hanging="283"/>
      </w:pPr>
      <w:rPr>
        <w:rFonts w:ascii="Symbol" w:hAnsi="Symbol" w:hint="default"/>
      </w:rPr>
    </w:lvl>
    <w:lvl w:ilvl="3">
      <w:start w:val="1"/>
      <w:numFmt w:val="bullet"/>
      <w:pStyle w:val="ListBullet2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D293CE3"/>
    <w:multiLevelType w:val="multilevel"/>
    <w:tmpl w:val="434C0910"/>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D293CF4"/>
    <w:multiLevelType w:val="multilevel"/>
    <w:tmpl w:val="DBC46DE4"/>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2ED267EC"/>
    <w:multiLevelType w:val="multilevel"/>
    <w:tmpl w:val="9A0C3EB6"/>
    <w:lvl w:ilvl="0">
      <w:start w:val="1"/>
      <w:numFmt w:val="bullet"/>
      <w:lvlText w:val="o"/>
      <w:lvlJc w:val="left"/>
      <w:pPr>
        <w:tabs>
          <w:tab w:val="num" w:pos="360"/>
        </w:tabs>
        <w:ind w:left="360" w:hanging="360"/>
      </w:pPr>
      <w:rPr>
        <w:rFonts w:ascii="Courier New" w:hAnsi="Courier New" w:hint="default"/>
      </w:rPr>
    </w:lvl>
    <w:lvl w:ilvl="1">
      <w:start w:val="1"/>
      <w:numFmt w:val="lowerLetter"/>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7" w15:restartNumberingAfterBreak="0">
    <w:nsid w:val="2FE21B55"/>
    <w:multiLevelType w:val="multilevel"/>
    <w:tmpl w:val="917CC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0561AD1"/>
    <w:multiLevelType w:val="multilevel"/>
    <w:tmpl w:val="DB8AD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24D6445"/>
    <w:multiLevelType w:val="hybridMultilevel"/>
    <w:tmpl w:val="E0B86DE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33C95F45"/>
    <w:multiLevelType w:val="multilevel"/>
    <w:tmpl w:val="599AD3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352F7CC8"/>
    <w:multiLevelType w:val="multilevel"/>
    <w:tmpl w:val="CC489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5CA5341"/>
    <w:multiLevelType w:val="hybridMultilevel"/>
    <w:tmpl w:val="9B1C3084"/>
    <w:lvl w:ilvl="0" w:tplc="19F6799A">
      <w:start w:val="1"/>
      <w:numFmt w:val="decimal"/>
      <w:lvlText w:val="(%1)"/>
      <w:lvlJc w:val="left"/>
      <w:pPr>
        <w:ind w:left="728" w:hanging="368"/>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36324F1E"/>
    <w:multiLevelType w:val="multilevel"/>
    <w:tmpl w:val="17C8B944"/>
    <w:name w:val="ListDash3Numbering"/>
    <w:lvl w:ilvl="0">
      <w:start w:val="1"/>
      <w:numFmt w:val="bullet"/>
      <w:pStyle w:val="ListDash3"/>
      <w:lvlText w:val="–"/>
      <w:lvlJc w:val="left"/>
      <w:pPr>
        <w:tabs>
          <w:tab w:val="num" w:pos="1485"/>
        </w:tabs>
        <w:ind w:left="1485" w:hanging="283"/>
      </w:pPr>
      <w:rPr>
        <w:rFonts w:ascii="Times New Roman" w:hAnsi="Times New Roman" w:hint="default"/>
      </w:rPr>
    </w:lvl>
    <w:lvl w:ilvl="1">
      <w:start w:val="1"/>
      <w:numFmt w:val="bullet"/>
      <w:pStyle w:val="ListDash3Level2"/>
      <w:lvlText w:val="–"/>
      <w:lvlJc w:val="left"/>
      <w:pPr>
        <w:tabs>
          <w:tab w:val="num" w:pos="1769"/>
        </w:tabs>
        <w:ind w:left="1769" w:hanging="284"/>
      </w:pPr>
      <w:rPr>
        <w:rFonts w:ascii="Times New Roman" w:hAnsi="Times New Roman" w:hint="default"/>
      </w:rPr>
    </w:lvl>
    <w:lvl w:ilvl="2">
      <w:start w:val="1"/>
      <w:numFmt w:val="bullet"/>
      <w:pStyle w:val="ListDash3Level3"/>
      <w:lvlText w:val="–"/>
      <w:lvlJc w:val="left"/>
      <w:pPr>
        <w:tabs>
          <w:tab w:val="num" w:pos="2052"/>
        </w:tabs>
        <w:ind w:left="2052" w:hanging="283"/>
      </w:pPr>
      <w:rPr>
        <w:rFonts w:ascii="Times New Roman" w:hAnsi="Times New Roman" w:hint="default"/>
      </w:rPr>
    </w:lvl>
    <w:lvl w:ilvl="3">
      <w:start w:val="1"/>
      <w:numFmt w:val="bullet"/>
      <w:pStyle w:val="ListDash3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36510E3D"/>
    <w:multiLevelType w:val="hybridMultilevel"/>
    <w:tmpl w:val="150CB27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37AA264D"/>
    <w:multiLevelType w:val="hybridMultilevel"/>
    <w:tmpl w:val="425070C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6" w15:restartNumberingAfterBreak="0">
    <w:nsid w:val="37CB1E1C"/>
    <w:multiLevelType w:val="multilevel"/>
    <w:tmpl w:val="DBCA7976"/>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3A7730C4"/>
    <w:multiLevelType w:val="multilevel"/>
    <w:tmpl w:val="8D0CADF0"/>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B7D708A"/>
    <w:multiLevelType w:val="multilevel"/>
    <w:tmpl w:val="5286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C0D750F"/>
    <w:multiLevelType w:val="hybridMultilevel"/>
    <w:tmpl w:val="FF04D046"/>
    <w:lvl w:ilvl="0" w:tplc="7E7CC89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0" w15:restartNumberingAfterBreak="0">
    <w:nsid w:val="3D3C6ACC"/>
    <w:multiLevelType w:val="hybridMultilevel"/>
    <w:tmpl w:val="783AAFCA"/>
    <w:lvl w:ilvl="0" w:tplc="5066E082">
      <w:start w:val="54"/>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3DE00DCE"/>
    <w:multiLevelType w:val="hybridMultilevel"/>
    <w:tmpl w:val="9DA2EA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3E6D1C3C"/>
    <w:multiLevelType w:val="hybridMultilevel"/>
    <w:tmpl w:val="FFFFFFFF"/>
    <w:lvl w:ilvl="0" w:tplc="3EDE4892">
      <w:start w:val="1"/>
      <w:numFmt w:val="bullet"/>
      <w:lvlText w:val=""/>
      <w:lvlJc w:val="left"/>
      <w:pPr>
        <w:ind w:left="720" w:hanging="360"/>
      </w:pPr>
      <w:rPr>
        <w:rFonts w:ascii="Symbol" w:hAnsi="Symbol" w:hint="default"/>
      </w:rPr>
    </w:lvl>
    <w:lvl w:ilvl="1" w:tplc="681C7C50">
      <w:start w:val="1"/>
      <w:numFmt w:val="bullet"/>
      <w:lvlText w:val="o"/>
      <w:lvlJc w:val="left"/>
      <w:pPr>
        <w:ind w:left="1440" w:hanging="360"/>
      </w:pPr>
      <w:rPr>
        <w:rFonts w:ascii="Courier New" w:hAnsi="Courier New" w:hint="default"/>
      </w:rPr>
    </w:lvl>
    <w:lvl w:ilvl="2" w:tplc="A1920070">
      <w:start w:val="1"/>
      <w:numFmt w:val="bullet"/>
      <w:lvlText w:val=""/>
      <w:lvlJc w:val="left"/>
      <w:pPr>
        <w:ind w:left="2160" w:hanging="360"/>
      </w:pPr>
      <w:rPr>
        <w:rFonts w:ascii="Wingdings" w:hAnsi="Wingdings" w:hint="default"/>
      </w:rPr>
    </w:lvl>
    <w:lvl w:ilvl="3" w:tplc="3B5ED83E">
      <w:start w:val="1"/>
      <w:numFmt w:val="bullet"/>
      <w:lvlText w:val=""/>
      <w:lvlJc w:val="left"/>
      <w:pPr>
        <w:ind w:left="2880" w:hanging="360"/>
      </w:pPr>
      <w:rPr>
        <w:rFonts w:ascii="Symbol" w:hAnsi="Symbol" w:hint="default"/>
      </w:rPr>
    </w:lvl>
    <w:lvl w:ilvl="4" w:tplc="72D281FE">
      <w:start w:val="1"/>
      <w:numFmt w:val="bullet"/>
      <w:lvlText w:val="o"/>
      <w:lvlJc w:val="left"/>
      <w:pPr>
        <w:ind w:left="3600" w:hanging="360"/>
      </w:pPr>
      <w:rPr>
        <w:rFonts w:ascii="Courier New" w:hAnsi="Courier New" w:hint="default"/>
      </w:rPr>
    </w:lvl>
    <w:lvl w:ilvl="5" w:tplc="58AE5ED8">
      <w:start w:val="1"/>
      <w:numFmt w:val="bullet"/>
      <w:lvlText w:val=""/>
      <w:lvlJc w:val="left"/>
      <w:pPr>
        <w:ind w:left="4320" w:hanging="360"/>
      </w:pPr>
      <w:rPr>
        <w:rFonts w:ascii="Wingdings" w:hAnsi="Wingdings" w:hint="default"/>
      </w:rPr>
    </w:lvl>
    <w:lvl w:ilvl="6" w:tplc="22B4D6D0">
      <w:start w:val="1"/>
      <w:numFmt w:val="bullet"/>
      <w:lvlText w:val=""/>
      <w:lvlJc w:val="left"/>
      <w:pPr>
        <w:ind w:left="5040" w:hanging="360"/>
      </w:pPr>
      <w:rPr>
        <w:rFonts w:ascii="Symbol" w:hAnsi="Symbol" w:hint="default"/>
      </w:rPr>
    </w:lvl>
    <w:lvl w:ilvl="7" w:tplc="A29A834C">
      <w:start w:val="1"/>
      <w:numFmt w:val="bullet"/>
      <w:lvlText w:val="o"/>
      <w:lvlJc w:val="left"/>
      <w:pPr>
        <w:ind w:left="5760" w:hanging="360"/>
      </w:pPr>
      <w:rPr>
        <w:rFonts w:ascii="Courier New" w:hAnsi="Courier New" w:hint="default"/>
      </w:rPr>
    </w:lvl>
    <w:lvl w:ilvl="8" w:tplc="89FAACFA">
      <w:start w:val="1"/>
      <w:numFmt w:val="bullet"/>
      <w:lvlText w:val=""/>
      <w:lvlJc w:val="left"/>
      <w:pPr>
        <w:ind w:left="6480" w:hanging="360"/>
      </w:pPr>
      <w:rPr>
        <w:rFonts w:ascii="Wingdings" w:hAnsi="Wingdings" w:hint="default"/>
      </w:rPr>
    </w:lvl>
  </w:abstractNum>
  <w:abstractNum w:abstractNumId="53" w15:restartNumberingAfterBreak="0">
    <w:nsid w:val="3E8D76B9"/>
    <w:multiLevelType w:val="hybridMultilevel"/>
    <w:tmpl w:val="B90EC8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3EC7C959"/>
    <w:multiLevelType w:val="hybridMultilevel"/>
    <w:tmpl w:val="FFFFFFFF"/>
    <w:lvl w:ilvl="0" w:tplc="7E7CC892">
      <w:start w:val="1"/>
      <w:numFmt w:val="bullet"/>
      <w:lvlText w:val=""/>
      <w:lvlJc w:val="left"/>
      <w:pPr>
        <w:ind w:left="360" w:hanging="360"/>
      </w:pPr>
      <w:rPr>
        <w:rFonts w:ascii="Symbol" w:hAnsi="Symbol" w:hint="default"/>
      </w:rPr>
    </w:lvl>
    <w:lvl w:ilvl="1" w:tplc="17649A3A">
      <w:start w:val="1"/>
      <w:numFmt w:val="bullet"/>
      <w:lvlText w:val="o"/>
      <w:lvlJc w:val="left"/>
      <w:pPr>
        <w:ind w:left="1080" w:hanging="360"/>
      </w:pPr>
      <w:rPr>
        <w:rFonts w:ascii="Courier New" w:hAnsi="Courier New" w:hint="default"/>
      </w:rPr>
    </w:lvl>
    <w:lvl w:ilvl="2" w:tplc="1AE88F30">
      <w:start w:val="1"/>
      <w:numFmt w:val="bullet"/>
      <w:lvlText w:val=""/>
      <w:lvlJc w:val="left"/>
      <w:pPr>
        <w:ind w:left="1800" w:hanging="360"/>
      </w:pPr>
      <w:rPr>
        <w:rFonts w:ascii="Wingdings" w:hAnsi="Wingdings" w:hint="default"/>
      </w:rPr>
    </w:lvl>
    <w:lvl w:ilvl="3" w:tplc="C842155A">
      <w:start w:val="1"/>
      <w:numFmt w:val="bullet"/>
      <w:lvlText w:val=""/>
      <w:lvlJc w:val="left"/>
      <w:pPr>
        <w:ind w:left="2520" w:hanging="360"/>
      </w:pPr>
      <w:rPr>
        <w:rFonts w:ascii="Symbol" w:hAnsi="Symbol" w:hint="default"/>
      </w:rPr>
    </w:lvl>
    <w:lvl w:ilvl="4" w:tplc="8C4825C2">
      <w:start w:val="1"/>
      <w:numFmt w:val="bullet"/>
      <w:lvlText w:val="o"/>
      <w:lvlJc w:val="left"/>
      <w:pPr>
        <w:ind w:left="3240" w:hanging="360"/>
      </w:pPr>
      <w:rPr>
        <w:rFonts w:ascii="Courier New" w:hAnsi="Courier New" w:hint="default"/>
      </w:rPr>
    </w:lvl>
    <w:lvl w:ilvl="5" w:tplc="EA8A3A6E">
      <w:start w:val="1"/>
      <w:numFmt w:val="bullet"/>
      <w:lvlText w:val=""/>
      <w:lvlJc w:val="left"/>
      <w:pPr>
        <w:ind w:left="3960" w:hanging="360"/>
      </w:pPr>
      <w:rPr>
        <w:rFonts w:ascii="Wingdings" w:hAnsi="Wingdings" w:hint="default"/>
      </w:rPr>
    </w:lvl>
    <w:lvl w:ilvl="6" w:tplc="D9A07E2A">
      <w:start w:val="1"/>
      <w:numFmt w:val="bullet"/>
      <w:lvlText w:val=""/>
      <w:lvlJc w:val="left"/>
      <w:pPr>
        <w:ind w:left="4680" w:hanging="360"/>
      </w:pPr>
      <w:rPr>
        <w:rFonts w:ascii="Symbol" w:hAnsi="Symbol" w:hint="default"/>
      </w:rPr>
    </w:lvl>
    <w:lvl w:ilvl="7" w:tplc="9F365248">
      <w:start w:val="1"/>
      <w:numFmt w:val="bullet"/>
      <w:lvlText w:val="o"/>
      <w:lvlJc w:val="left"/>
      <w:pPr>
        <w:ind w:left="5400" w:hanging="360"/>
      </w:pPr>
      <w:rPr>
        <w:rFonts w:ascii="Courier New" w:hAnsi="Courier New" w:hint="default"/>
      </w:rPr>
    </w:lvl>
    <w:lvl w:ilvl="8" w:tplc="0936CDB4">
      <w:start w:val="1"/>
      <w:numFmt w:val="bullet"/>
      <w:lvlText w:val=""/>
      <w:lvlJc w:val="left"/>
      <w:pPr>
        <w:ind w:left="6120" w:hanging="360"/>
      </w:pPr>
      <w:rPr>
        <w:rFonts w:ascii="Wingdings" w:hAnsi="Wingdings" w:hint="default"/>
      </w:rPr>
    </w:lvl>
  </w:abstractNum>
  <w:abstractNum w:abstractNumId="55" w15:restartNumberingAfterBreak="0">
    <w:nsid w:val="3FE1635D"/>
    <w:multiLevelType w:val="hybridMultilevel"/>
    <w:tmpl w:val="500E78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6" w15:restartNumberingAfterBreak="0">
    <w:nsid w:val="403876B7"/>
    <w:multiLevelType w:val="hybridMultilevel"/>
    <w:tmpl w:val="4490AB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429E662A"/>
    <w:multiLevelType w:val="multilevel"/>
    <w:tmpl w:val="5FA4B334"/>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485DC088"/>
    <w:multiLevelType w:val="hybridMultilevel"/>
    <w:tmpl w:val="FFFFFFFF"/>
    <w:lvl w:ilvl="0" w:tplc="4E103534">
      <w:start w:val="1"/>
      <w:numFmt w:val="bullet"/>
      <w:lvlText w:val=""/>
      <w:lvlJc w:val="left"/>
      <w:pPr>
        <w:ind w:left="720" w:hanging="360"/>
      </w:pPr>
      <w:rPr>
        <w:rFonts w:ascii="Symbol" w:hAnsi="Symbol" w:hint="default"/>
      </w:rPr>
    </w:lvl>
    <w:lvl w:ilvl="1" w:tplc="6296B49A">
      <w:start w:val="1"/>
      <w:numFmt w:val="bullet"/>
      <w:lvlText w:val="o"/>
      <w:lvlJc w:val="left"/>
      <w:pPr>
        <w:ind w:left="1440" w:hanging="360"/>
      </w:pPr>
      <w:rPr>
        <w:rFonts w:ascii="Courier New" w:hAnsi="Courier New" w:hint="default"/>
      </w:rPr>
    </w:lvl>
    <w:lvl w:ilvl="2" w:tplc="212CDDB0">
      <w:start w:val="1"/>
      <w:numFmt w:val="bullet"/>
      <w:lvlText w:val=""/>
      <w:lvlJc w:val="left"/>
      <w:pPr>
        <w:ind w:left="2160" w:hanging="360"/>
      </w:pPr>
      <w:rPr>
        <w:rFonts w:ascii="Wingdings" w:hAnsi="Wingdings" w:hint="default"/>
      </w:rPr>
    </w:lvl>
    <w:lvl w:ilvl="3" w:tplc="694E5110">
      <w:start w:val="1"/>
      <w:numFmt w:val="bullet"/>
      <w:lvlText w:val=""/>
      <w:lvlJc w:val="left"/>
      <w:pPr>
        <w:ind w:left="2880" w:hanging="360"/>
      </w:pPr>
      <w:rPr>
        <w:rFonts w:ascii="Symbol" w:hAnsi="Symbol" w:hint="default"/>
      </w:rPr>
    </w:lvl>
    <w:lvl w:ilvl="4" w:tplc="562A2374">
      <w:start w:val="1"/>
      <w:numFmt w:val="bullet"/>
      <w:lvlText w:val="o"/>
      <w:lvlJc w:val="left"/>
      <w:pPr>
        <w:ind w:left="3600" w:hanging="360"/>
      </w:pPr>
      <w:rPr>
        <w:rFonts w:ascii="Courier New" w:hAnsi="Courier New" w:hint="default"/>
      </w:rPr>
    </w:lvl>
    <w:lvl w:ilvl="5" w:tplc="9006B56E">
      <w:start w:val="1"/>
      <w:numFmt w:val="bullet"/>
      <w:lvlText w:val=""/>
      <w:lvlJc w:val="left"/>
      <w:pPr>
        <w:ind w:left="4320" w:hanging="360"/>
      </w:pPr>
      <w:rPr>
        <w:rFonts w:ascii="Wingdings" w:hAnsi="Wingdings" w:hint="default"/>
      </w:rPr>
    </w:lvl>
    <w:lvl w:ilvl="6" w:tplc="B7445B5A">
      <w:start w:val="1"/>
      <w:numFmt w:val="bullet"/>
      <w:lvlText w:val=""/>
      <w:lvlJc w:val="left"/>
      <w:pPr>
        <w:ind w:left="5040" w:hanging="360"/>
      </w:pPr>
      <w:rPr>
        <w:rFonts w:ascii="Symbol" w:hAnsi="Symbol" w:hint="default"/>
      </w:rPr>
    </w:lvl>
    <w:lvl w:ilvl="7" w:tplc="ED184FAA">
      <w:start w:val="1"/>
      <w:numFmt w:val="bullet"/>
      <w:lvlText w:val="o"/>
      <w:lvlJc w:val="left"/>
      <w:pPr>
        <w:ind w:left="5760" w:hanging="360"/>
      </w:pPr>
      <w:rPr>
        <w:rFonts w:ascii="Courier New" w:hAnsi="Courier New" w:hint="default"/>
      </w:rPr>
    </w:lvl>
    <w:lvl w:ilvl="8" w:tplc="BDD2AEA0">
      <w:start w:val="1"/>
      <w:numFmt w:val="bullet"/>
      <w:lvlText w:val=""/>
      <w:lvlJc w:val="left"/>
      <w:pPr>
        <w:ind w:left="6480" w:hanging="360"/>
      </w:pPr>
      <w:rPr>
        <w:rFonts w:ascii="Wingdings" w:hAnsi="Wingdings" w:hint="default"/>
      </w:rPr>
    </w:lvl>
  </w:abstractNum>
  <w:abstractNum w:abstractNumId="59" w15:restartNumberingAfterBreak="0">
    <w:nsid w:val="499D62B0"/>
    <w:multiLevelType w:val="hybridMultilevel"/>
    <w:tmpl w:val="89169C6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0" w15:restartNumberingAfterBreak="0">
    <w:nsid w:val="4D532554"/>
    <w:multiLevelType w:val="hybridMultilevel"/>
    <w:tmpl w:val="6CA0CCBC"/>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36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4E1A63DF"/>
    <w:multiLevelType w:val="multilevel"/>
    <w:tmpl w:val="43849B72"/>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4E1A982C"/>
    <w:multiLevelType w:val="multilevel"/>
    <w:tmpl w:val="C2269C86"/>
    <w:name w:val="ListBulletNumbering"/>
    <w:lvl w:ilvl="0">
      <w:start w:val="1"/>
      <w:numFmt w:val="bullet"/>
      <w:pStyle w:val="ListBullet"/>
      <w:lvlText w:val=""/>
      <w:lvlJc w:val="left"/>
      <w:pPr>
        <w:tabs>
          <w:tab w:val="num" w:pos="283"/>
        </w:tabs>
        <w:ind w:left="283" w:hanging="283"/>
      </w:pPr>
      <w:rPr>
        <w:rFonts w:ascii="Symbol" w:hAnsi="Symbol" w:hint="default"/>
      </w:rPr>
    </w:lvl>
    <w:lvl w:ilvl="1">
      <w:start w:val="1"/>
      <w:numFmt w:val="bullet"/>
      <w:pStyle w:val="ListBulletLevel2"/>
      <w:lvlText w:val=""/>
      <w:lvlJc w:val="left"/>
      <w:pPr>
        <w:tabs>
          <w:tab w:val="num" w:pos="567"/>
        </w:tabs>
        <w:ind w:left="567" w:hanging="284"/>
      </w:pPr>
      <w:rPr>
        <w:rFonts w:ascii="Symbol" w:hAnsi="Symbol" w:hint="default"/>
      </w:rPr>
    </w:lvl>
    <w:lvl w:ilvl="2">
      <w:start w:val="1"/>
      <w:numFmt w:val="bullet"/>
      <w:pStyle w:val="ListBulletLevel3"/>
      <w:lvlText w:val=""/>
      <w:lvlJc w:val="left"/>
      <w:pPr>
        <w:tabs>
          <w:tab w:val="num" w:pos="850"/>
        </w:tabs>
        <w:ind w:left="850" w:hanging="283"/>
      </w:pPr>
      <w:rPr>
        <w:rFonts w:ascii="Symbol" w:hAnsi="Symbol" w:hint="default"/>
      </w:rPr>
    </w:lvl>
    <w:lvl w:ilvl="3">
      <w:start w:val="1"/>
      <w:numFmt w:val="bullet"/>
      <w:pStyle w:val="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F30262A"/>
    <w:multiLevelType w:val="hybridMultilevel"/>
    <w:tmpl w:val="A9C67D72"/>
    <w:lvl w:ilvl="0" w:tplc="99EECBB0">
      <w:start w:val="1"/>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5072619B"/>
    <w:multiLevelType w:val="multilevel"/>
    <w:tmpl w:val="0178A23E"/>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50729B52"/>
    <w:multiLevelType w:val="multilevel"/>
    <w:tmpl w:val="2C7AB7AE"/>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51A44BB4"/>
    <w:multiLevelType w:val="hybridMultilevel"/>
    <w:tmpl w:val="1548CB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7" w15:restartNumberingAfterBreak="0">
    <w:nsid w:val="54A177EC"/>
    <w:multiLevelType w:val="hybridMultilevel"/>
    <w:tmpl w:val="AF8AE892"/>
    <w:lvl w:ilvl="0" w:tplc="A34C3670">
      <w:start w:val="4"/>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54EF1C85"/>
    <w:multiLevelType w:val="hybridMultilevel"/>
    <w:tmpl w:val="4C360DB2"/>
    <w:lvl w:ilvl="0" w:tplc="1809001B">
      <w:start w:val="1"/>
      <w:numFmt w:val="lowerRoman"/>
      <w:lvlText w:val="%1."/>
      <w:lvlJc w:val="right"/>
      <w:pPr>
        <w:ind w:left="2145" w:hanging="360"/>
      </w:pPr>
      <w:rPr>
        <w:rFonts w:hint="default"/>
      </w:rPr>
    </w:lvl>
    <w:lvl w:ilvl="1" w:tplc="FFFFFFFF">
      <w:start w:val="1"/>
      <w:numFmt w:val="bullet"/>
      <w:lvlText w:val="o"/>
      <w:lvlJc w:val="left"/>
      <w:pPr>
        <w:ind w:left="2865" w:hanging="360"/>
      </w:pPr>
      <w:rPr>
        <w:rFonts w:ascii="Courier New" w:hAnsi="Courier New" w:hint="default"/>
      </w:rPr>
    </w:lvl>
    <w:lvl w:ilvl="2" w:tplc="FFFFFFFF" w:tentative="1">
      <w:start w:val="1"/>
      <w:numFmt w:val="bullet"/>
      <w:lvlText w:val=""/>
      <w:lvlJc w:val="left"/>
      <w:pPr>
        <w:ind w:left="3585" w:hanging="360"/>
      </w:pPr>
      <w:rPr>
        <w:rFonts w:ascii="Wingdings" w:hAnsi="Wingdings" w:hint="default"/>
      </w:rPr>
    </w:lvl>
    <w:lvl w:ilvl="3" w:tplc="FFFFFFFF" w:tentative="1">
      <w:start w:val="1"/>
      <w:numFmt w:val="bullet"/>
      <w:lvlText w:val=""/>
      <w:lvlJc w:val="left"/>
      <w:pPr>
        <w:ind w:left="4305" w:hanging="360"/>
      </w:pPr>
      <w:rPr>
        <w:rFonts w:ascii="Symbol" w:hAnsi="Symbol" w:hint="default"/>
      </w:rPr>
    </w:lvl>
    <w:lvl w:ilvl="4" w:tplc="FFFFFFFF" w:tentative="1">
      <w:start w:val="1"/>
      <w:numFmt w:val="bullet"/>
      <w:lvlText w:val="o"/>
      <w:lvlJc w:val="left"/>
      <w:pPr>
        <w:ind w:left="5025" w:hanging="360"/>
      </w:pPr>
      <w:rPr>
        <w:rFonts w:ascii="Courier New" w:hAnsi="Courier New" w:hint="default"/>
      </w:rPr>
    </w:lvl>
    <w:lvl w:ilvl="5" w:tplc="FFFFFFFF" w:tentative="1">
      <w:start w:val="1"/>
      <w:numFmt w:val="bullet"/>
      <w:lvlText w:val=""/>
      <w:lvlJc w:val="left"/>
      <w:pPr>
        <w:ind w:left="5745" w:hanging="360"/>
      </w:pPr>
      <w:rPr>
        <w:rFonts w:ascii="Wingdings" w:hAnsi="Wingdings" w:hint="default"/>
      </w:rPr>
    </w:lvl>
    <w:lvl w:ilvl="6" w:tplc="FFFFFFFF" w:tentative="1">
      <w:start w:val="1"/>
      <w:numFmt w:val="bullet"/>
      <w:lvlText w:val=""/>
      <w:lvlJc w:val="left"/>
      <w:pPr>
        <w:ind w:left="6465" w:hanging="360"/>
      </w:pPr>
      <w:rPr>
        <w:rFonts w:ascii="Symbol" w:hAnsi="Symbol" w:hint="default"/>
      </w:rPr>
    </w:lvl>
    <w:lvl w:ilvl="7" w:tplc="FFFFFFFF" w:tentative="1">
      <w:start w:val="1"/>
      <w:numFmt w:val="bullet"/>
      <w:lvlText w:val="o"/>
      <w:lvlJc w:val="left"/>
      <w:pPr>
        <w:ind w:left="7185" w:hanging="360"/>
      </w:pPr>
      <w:rPr>
        <w:rFonts w:ascii="Courier New" w:hAnsi="Courier New" w:hint="default"/>
      </w:rPr>
    </w:lvl>
    <w:lvl w:ilvl="8" w:tplc="FFFFFFFF" w:tentative="1">
      <w:start w:val="1"/>
      <w:numFmt w:val="bullet"/>
      <w:lvlText w:val=""/>
      <w:lvlJc w:val="left"/>
      <w:pPr>
        <w:ind w:left="7905" w:hanging="360"/>
      </w:pPr>
      <w:rPr>
        <w:rFonts w:ascii="Wingdings" w:hAnsi="Wingdings" w:hint="default"/>
      </w:rPr>
    </w:lvl>
  </w:abstractNum>
  <w:abstractNum w:abstractNumId="69" w15:restartNumberingAfterBreak="0">
    <w:nsid w:val="575A5EA4"/>
    <w:multiLevelType w:val="multilevel"/>
    <w:tmpl w:val="0DB2B2A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0" w15:restartNumberingAfterBreak="0">
    <w:nsid w:val="588D5F30"/>
    <w:multiLevelType w:val="hybridMultilevel"/>
    <w:tmpl w:val="F266D8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59184022"/>
    <w:multiLevelType w:val="hybridMultilevel"/>
    <w:tmpl w:val="291EAA74"/>
    <w:lvl w:ilvl="0" w:tplc="935A53DE">
      <w:start w:val="1"/>
      <w:numFmt w:val="decimal"/>
      <w:lvlText w:val="%1)"/>
      <w:lvlJc w:val="left"/>
      <w:pPr>
        <w:ind w:left="720" w:hanging="360"/>
      </w:pPr>
    </w:lvl>
    <w:lvl w:ilvl="1" w:tplc="DDA46490">
      <w:start w:val="1"/>
      <w:numFmt w:val="decimal"/>
      <w:lvlText w:val="%2)"/>
      <w:lvlJc w:val="left"/>
      <w:pPr>
        <w:ind w:left="720" w:hanging="360"/>
      </w:pPr>
    </w:lvl>
    <w:lvl w:ilvl="2" w:tplc="47E6972A">
      <w:start w:val="1"/>
      <w:numFmt w:val="decimal"/>
      <w:lvlText w:val="%3)"/>
      <w:lvlJc w:val="left"/>
      <w:pPr>
        <w:ind w:left="720" w:hanging="360"/>
      </w:pPr>
    </w:lvl>
    <w:lvl w:ilvl="3" w:tplc="A0BE03E4">
      <w:start w:val="1"/>
      <w:numFmt w:val="decimal"/>
      <w:lvlText w:val="%4)"/>
      <w:lvlJc w:val="left"/>
      <w:pPr>
        <w:ind w:left="720" w:hanging="360"/>
      </w:pPr>
    </w:lvl>
    <w:lvl w:ilvl="4" w:tplc="A1441866">
      <w:start w:val="1"/>
      <w:numFmt w:val="decimal"/>
      <w:lvlText w:val="%5)"/>
      <w:lvlJc w:val="left"/>
      <w:pPr>
        <w:ind w:left="720" w:hanging="360"/>
      </w:pPr>
    </w:lvl>
    <w:lvl w:ilvl="5" w:tplc="6BF89E42">
      <w:start w:val="1"/>
      <w:numFmt w:val="decimal"/>
      <w:lvlText w:val="%6)"/>
      <w:lvlJc w:val="left"/>
      <w:pPr>
        <w:ind w:left="720" w:hanging="360"/>
      </w:pPr>
    </w:lvl>
    <w:lvl w:ilvl="6" w:tplc="AFB68C48">
      <w:start w:val="1"/>
      <w:numFmt w:val="decimal"/>
      <w:lvlText w:val="%7)"/>
      <w:lvlJc w:val="left"/>
      <w:pPr>
        <w:ind w:left="720" w:hanging="360"/>
      </w:pPr>
    </w:lvl>
    <w:lvl w:ilvl="7" w:tplc="2B5A930A">
      <w:start w:val="1"/>
      <w:numFmt w:val="decimal"/>
      <w:lvlText w:val="%8)"/>
      <w:lvlJc w:val="left"/>
      <w:pPr>
        <w:ind w:left="720" w:hanging="360"/>
      </w:pPr>
    </w:lvl>
    <w:lvl w:ilvl="8" w:tplc="932681B4">
      <w:start w:val="1"/>
      <w:numFmt w:val="decimal"/>
      <w:lvlText w:val="%9)"/>
      <w:lvlJc w:val="left"/>
      <w:pPr>
        <w:ind w:left="720" w:hanging="360"/>
      </w:pPr>
    </w:lvl>
  </w:abstractNum>
  <w:abstractNum w:abstractNumId="72" w15:restartNumberingAfterBreak="0">
    <w:nsid w:val="5D373EE0"/>
    <w:multiLevelType w:val="hybridMultilevel"/>
    <w:tmpl w:val="AA96D5E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3" w15:restartNumberingAfterBreak="0">
    <w:nsid w:val="5E094B1D"/>
    <w:multiLevelType w:val="hybridMultilevel"/>
    <w:tmpl w:val="A53A2F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60F67E2D"/>
    <w:multiLevelType w:val="hybridMultilevel"/>
    <w:tmpl w:val="BECE988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76" w15:restartNumberingAfterBreak="0">
    <w:nsid w:val="6977472E"/>
    <w:multiLevelType w:val="multilevel"/>
    <w:tmpl w:val="AB045DC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hint="default"/>
      </w:rPr>
    </w:lvl>
    <w:lvl w:ilvl="3">
      <w:start w:val="1"/>
      <w:numFmt w:val="bullet"/>
      <w:pStyle w:val="ListNumber4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6E477761"/>
    <w:multiLevelType w:val="hybridMultilevel"/>
    <w:tmpl w:val="3EA4A46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8" w15:restartNumberingAfterBreak="0">
    <w:nsid w:val="725C7F82"/>
    <w:multiLevelType w:val="hybridMultilevel"/>
    <w:tmpl w:val="C2F254BA"/>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767B1490"/>
    <w:multiLevelType w:val="hybridMultilevel"/>
    <w:tmpl w:val="FECC7A0E"/>
    <w:lvl w:ilvl="0" w:tplc="DC2ADDF8">
      <w:start w:val="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78024509"/>
    <w:multiLevelType w:val="hybridMultilevel"/>
    <w:tmpl w:val="5476B054"/>
    <w:lvl w:ilvl="0" w:tplc="B3265698">
      <w:start w:val="1"/>
      <w:numFmt w:val="bullet"/>
      <w:lvlText w:val=""/>
      <w:lvlJc w:val="left"/>
      <w:pPr>
        <w:ind w:left="2145" w:hanging="360"/>
      </w:pPr>
      <w:rPr>
        <w:rFonts w:ascii="Symbol" w:hAnsi="Symbol" w:hint="default"/>
      </w:rPr>
    </w:lvl>
    <w:lvl w:ilvl="1" w:tplc="8612D1D2">
      <w:start w:val="1"/>
      <w:numFmt w:val="bullet"/>
      <w:lvlText w:val="o"/>
      <w:lvlJc w:val="left"/>
      <w:pPr>
        <w:ind w:left="2865" w:hanging="360"/>
      </w:pPr>
      <w:rPr>
        <w:rFonts w:ascii="Courier New" w:hAnsi="Courier New" w:hint="default"/>
      </w:rPr>
    </w:lvl>
    <w:lvl w:ilvl="2" w:tplc="DB504934" w:tentative="1">
      <w:start w:val="1"/>
      <w:numFmt w:val="bullet"/>
      <w:lvlText w:val=""/>
      <w:lvlJc w:val="left"/>
      <w:pPr>
        <w:ind w:left="3585" w:hanging="360"/>
      </w:pPr>
      <w:rPr>
        <w:rFonts w:ascii="Wingdings" w:hAnsi="Wingdings" w:hint="default"/>
      </w:rPr>
    </w:lvl>
    <w:lvl w:ilvl="3" w:tplc="DADCDCAC" w:tentative="1">
      <w:start w:val="1"/>
      <w:numFmt w:val="bullet"/>
      <w:lvlText w:val=""/>
      <w:lvlJc w:val="left"/>
      <w:pPr>
        <w:ind w:left="4305" w:hanging="360"/>
      </w:pPr>
      <w:rPr>
        <w:rFonts w:ascii="Symbol" w:hAnsi="Symbol" w:hint="default"/>
      </w:rPr>
    </w:lvl>
    <w:lvl w:ilvl="4" w:tplc="6128998A" w:tentative="1">
      <w:start w:val="1"/>
      <w:numFmt w:val="bullet"/>
      <w:lvlText w:val="o"/>
      <w:lvlJc w:val="left"/>
      <w:pPr>
        <w:ind w:left="5025" w:hanging="360"/>
      </w:pPr>
      <w:rPr>
        <w:rFonts w:ascii="Courier New" w:hAnsi="Courier New" w:hint="default"/>
      </w:rPr>
    </w:lvl>
    <w:lvl w:ilvl="5" w:tplc="E6E8E92A" w:tentative="1">
      <w:start w:val="1"/>
      <w:numFmt w:val="bullet"/>
      <w:lvlText w:val=""/>
      <w:lvlJc w:val="left"/>
      <w:pPr>
        <w:ind w:left="5745" w:hanging="360"/>
      </w:pPr>
      <w:rPr>
        <w:rFonts w:ascii="Wingdings" w:hAnsi="Wingdings" w:hint="default"/>
      </w:rPr>
    </w:lvl>
    <w:lvl w:ilvl="6" w:tplc="76041C1E" w:tentative="1">
      <w:start w:val="1"/>
      <w:numFmt w:val="bullet"/>
      <w:lvlText w:val=""/>
      <w:lvlJc w:val="left"/>
      <w:pPr>
        <w:ind w:left="6465" w:hanging="360"/>
      </w:pPr>
      <w:rPr>
        <w:rFonts w:ascii="Symbol" w:hAnsi="Symbol" w:hint="default"/>
      </w:rPr>
    </w:lvl>
    <w:lvl w:ilvl="7" w:tplc="11288784" w:tentative="1">
      <w:start w:val="1"/>
      <w:numFmt w:val="bullet"/>
      <w:lvlText w:val="o"/>
      <w:lvlJc w:val="left"/>
      <w:pPr>
        <w:ind w:left="7185" w:hanging="360"/>
      </w:pPr>
      <w:rPr>
        <w:rFonts w:ascii="Courier New" w:hAnsi="Courier New" w:hint="default"/>
      </w:rPr>
    </w:lvl>
    <w:lvl w:ilvl="8" w:tplc="37200E00" w:tentative="1">
      <w:start w:val="1"/>
      <w:numFmt w:val="bullet"/>
      <w:lvlText w:val=""/>
      <w:lvlJc w:val="left"/>
      <w:pPr>
        <w:ind w:left="7905" w:hanging="360"/>
      </w:pPr>
      <w:rPr>
        <w:rFonts w:ascii="Wingdings" w:hAnsi="Wingdings" w:hint="default"/>
      </w:rPr>
    </w:lvl>
  </w:abstractNum>
  <w:abstractNum w:abstractNumId="81" w15:restartNumberingAfterBreak="0">
    <w:nsid w:val="7C65145E"/>
    <w:multiLevelType w:val="multilevel"/>
    <w:tmpl w:val="1012D64A"/>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8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6"/>
  </w:num>
  <w:num w:numId="2">
    <w:abstractNumId w:val="43"/>
  </w:num>
  <w:num w:numId="3">
    <w:abstractNumId w:val="25"/>
  </w:num>
  <w:num w:numId="4">
    <w:abstractNumId w:val="46"/>
  </w:num>
  <w:num w:numId="5">
    <w:abstractNumId w:val="64"/>
  </w:num>
  <w:num w:numId="6">
    <w:abstractNumId w:val="76"/>
  </w:num>
  <w:num w:numId="7">
    <w:abstractNumId w:val="9"/>
  </w:num>
  <w:num w:numId="8">
    <w:abstractNumId w:val="20"/>
  </w:num>
  <w:num w:numId="9">
    <w:abstractNumId w:val="57"/>
  </w:num>
  <w:num w:numId="10">
    <w:abstractNumId w:val="12"/>
  </w:num>
  <w:num w:numId="11">
    <w:abstractNumId w:val="14"/>
  </w:num>
  <w:num w:numId="12">
    <w:abstractNumId w:val="17"/>
  </w:num>
  <w:num w:numId="13">
    <w:abstractNumId w:val="33"/>
  </w:num>
  <w:num w:numId="14">
    <w:abstractNumId w:val="47"/>
  </w:num>
  <w:num w:numId="15">
    <w:abstractNumId w:val="62"/>
  </w:num>
  <w:num w:numId="16">
    <w:abstractNumId w:val="81"/>
  </w:num>
  <w:num w:numId="17">
    <w:abstractNumId w:val="34"/>
  </w:num>
  <w:num w:numId="18">
    <w:abstractNumId w:val="35"/>
  </w:num>
  <w:num w:numId="19">
    <w:abstractNumId w:val="82"/>
  </w:num>
  <w:num w:numId="20">
    <w:abstractNumId w:val="61"/>
  </w:num>
  <w:num w:numId="21">
    <w:abstractNumId w:val="65"/>
  </w:num>
  <w:num w:numId="22">
    <w:abstractNumId w:val="13"/>
  </w:num>
  <w:num w:numId="23">
    <w:abstractNumId w:val="41"/>
  </w:num>
  <w:num w:numId="24">
    <w:abstractNumId w:val="5"/>
  </w:num>
  <w:num w:numId="25">
    <w:abstractNumId w:val="69"/>
  </w:num>
  <w:num w:numId="26">
    <w:abstractNumId w:val="36"/>
  </w:num>
  <w:num w:numId="27">
    <w:abstractNumId w:val="30"/>
  </w:num>
  <w:num w:numId="28">
    <w:abstractNumId w:val="21"/>
  </w:num>
  <w:num w:numId="29">
    <w:abstractNumId w:val="75"/>
  </w:num>
  <w:num w:numId="30">
    <w:abstractNumId w:val="27"/>
  </w:num>
  <w:num w:numId="31">
    <w:abstractNumId w:val="80"/>
  </w:num>
  <w:num w:numId="32">
    <w:abstractNumId w:val="54"/>
  </w:num>
  <w:num w:numId="33">
    <w:abstractNumId w:val="63"/>
  </w:num>
  <w:num w:numId="34">
    <w:abstractNumId w:val="37"/>
  </w:num>
  <w:num w:numId="35">
    <w:abstractNumId w:val="24"/>
  </w:num>
  <w:num w:numId="36">
    <w:abstractNumId w:val="74"/>
  </w:num>
  <w:num w:numId="37">
    <w:abstractNumId w:val="8"/>
  </w:num>
  <w:num w:numId="38">
    <w:abstractNumId w:val="67"/>
  </w:num>
  <w:num w:numId="39">
    <w:abstractNumId w:val="72"/>
  </w:num>
  <w:num w:numId="40">
    <w:abstractNumId w:val="15"/>
  </w:num>
  <w:num w:numId="41">
    <w:abstractNumId w:val="40"/>
  </w:num>
  <w:num w:numId="42">
    <w:abstractNumId w:val="60"/>
  </w:num>
  <w:num w:numId="43">
    <w:abstractNumId w:val="10"/>
  </w:num>
  <w:num w:numId="44">
    <w:abstractNumId w:val="19"/>
  </w:num>
  <w:num w:numId="45">
    <w:abstractNumId w:val="49"/>
  </w:num>
  <w:num w:numId="46">
    <w:abstractNumId w:val="23"/>
  </w:num>
  <w:num w:numId="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9"/>
  </w:num>
  <w:num w:numId="49">
    <w:abstractNumId w:val="55"/>
  </w:num>
  <w:num w:numId="50">
    <w:abstractNumId w:val="77"/>
  </w:num>
  <w:num w:numId="51">
    <w:abstractNumId w:val="66"/>
  </w:num>
  <w:num w:numId="52">
    <w:abstractNumId w:val="7"/>
  </w:num>
  <w:num w:numId="53">
    <w:abstractNumId w:val="45"/>
  </w:num>
  <w:num w:numId="54">
    <w:abstractNumId w:val="73"/>
  </w:num>
  <w:num w:numId="55">
    <w:abstractNumId w:val="70"/>
  </w:num>
  <w:num w:numId="56">
    <w:abstractNumId w:val="31"/>
  </w:num>
  <w:num w:numId="57">
    <w:abstractNumId w:val="51"/>
  </w:num>
  <w:num w:numId="58">
    <w:abstractNumId w:val="59"/>
  </w:num>
  <w:num w:numId="59">
    <w:abstractNumId w:val="50"/>
  </w:num>
  <w:num w:numId="60">
    <w:abstractNumId w:val="53"/>
  </w:num>
  <w:num w:numId="61">
    <w:abstractNumId w:val="32"/>
  </w:num>
  <w:num w:numId="62">
    <w:abstractNumId w:val="58"/>
  </w:num>
  <w:num w:numId="63">
    <w:abstractNumId w:val="3"/>
  </w:num>
  <w:num w:numId="64">
    <w:abstractNumId w:val="26"/>
  </w:num>
  <w:num w:numId="65">
    <w:abstractNumId w:val="44"/>
  </w:num>
  <w:num w:numId="66">
    <w:abstractNumId w:val="22"/>
  </w:num>
  <w:num w:numId="67">
    <w:abstractNumId w:val="0"/>
  </w:num>
  <w:num w:numId="68">
    <w:abstractNumId w:val="48"/>
  </w:num>
  <w:num w:numId="69">
    <w:abstractNumId w:val="38"/>
  </w:num>
  <w:num w:numId="70">
    <w:abstractNumId w:val="16"/>
  </w:num>
  <w:num w:numId="71">
    <w:abstractNumId w:val="29"/>
  </w:num>
  <w:num w:numId="72">
    <w:abstractNumId w:val="11"/>
  </w:num>
  <w:num w:numId="73">
    <w:abstractNumId w:val="1"/>
  </w:num>
  <w:num w:numId="74">
    <w:abstractNumId w:val="79"/>
  </w:num>
  <w:num w:numId="75">
    <w:abstractNumId w:val="68"/>
  </w:num>
  <w:num w:numId="76">
    <w:abstractNumId w:val="56"/>
  </w:num>
  <w:num w:numId="77">
    <w:abstractNumId w:val="42"/>
  </w:num>
  <w:num w:numId="78">
    <w:abstractNumId w:val="18"/>
  </w:num>
  <w:num w:numId="79">
    <w:abstractNumId w:val="28"/>
  </w:num>
  <w:num w:numId="80">
    <w:abstractNumId w:val="4"/>
  </w:num>
  <w:num w:numId="81">
    <w:abstractNumId w:val="71"/>
  </w:num>
  <w:num w:numId="82">
    <w:abstractNumId w:val="52"/>
  </w:num>
  <w:num w:numId="83">
    <w:abstractNumId w:val="7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701D10E-E97C-452F-9D1D-4559FC138E22"/>
    <w:docVar w:name="LW_COVERPAGE_TYPE" w:val="1"/>
    <w:docVar w:name="LW_CROSSREFERENCE" w:val="&lt;UNUSED&gt;"/>
    <w:docVar w:name="LW_DocType" w:val="EUROLOOK"/>
    <w:docVar w:name="LW_EMISSION" w:val="4.5.2026"/>
    <w:docVar w:name="LW_EMISSION_ISODATE" w:val="2026-05-04"/>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9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vizuire în scopul simplific\u259?rii Regulamentului (UE) 2023/1115 privind punerea la dispozi\u539?ie pe pia\u539?a Uniunii \u537?i exportul din Uniune a anumitor produse de baz\u259? \u537?i produse asociate cu defri\u537?\u259?rile \u537?i degradarea p\u259?durilor (Regulamentul privind defri\u537?\u259?rile)"/>
    <w:docVar w:name="LW_TYPE.DOC.CP" w:val="RAPORT AL COMISIEI C\u258?TRE PARLAMENTUL EUROPEAN \u536?I CONSILIU"/>
    <w:docVar w:name="LwApiVersions" w:val="LW4CoDe 1.24.5.0; LW 9.2, Build 20251112"/>
  </w:docVars>
  <w:rsids>
    <w:rsidRoot w:val="00E63F32"/>
    <w:rsid w:val="00000016"/>
    <w:rsid w:val="000000A9"/>
    <w:rsid w:val="000000D3"/>
    <w:rsid w:val="00000200"/>
    <w:rsid w:val="000003CC"/>
    <w:rsid w:val="0000040D"/>
    <w:rsid w:val="00000413"/>
    <w:rsid w:val="000005A3"/>
    <w:rsid w:val="0000075A"/>
    <w:rsid w:val="000008C0"/>
    <w:rsid w:val="00000A11"/>
    <w:rsid w:val="00000AA0"/>
    <w:rsid w:val="00000AEA"/>
    <w:rsid w:val="00000C0E"/>
    <w:rsid w:val="00000DAF"/>
    <w:rsid w:val="00000DE9"/>
    <w:rsid w:val="0000116A"/>
    <w:rsid w:val="000011E9"/>
    <w:rsid w:val="00001284"/>
    <w:rsid w:val="00001478"/>
    <w:rsid w:val="0000153A"/>
    <w:rsid w:val="00001781"/>
    <w:rsid w:val="00001880"/>
    <w:rsid w:val="0000192D"/>
    <w:rsid w:val="00001998"/>
    <w:rsid w:val="00001A1D"/>
    <w:rsid w:val="00001A3E"/>
    <w:rsid w:val="00001AB7"/>
    <w:rsid w:val="00001BC4"/>
    <w:rsid w:val="00001BF3"/>
    <w:rsid w:val="00001C13"/>
    <w:rsid w:val="00001CA1"/>
    <w:rsid w:val="00001EF1"/>
    <w:rsid w:val="00001F66"/>
    <w:rsid w:val="000020EC"/>
    <w:rsid w:val="000020F3"/>
    <w:rsid w:val="000022E3"/>
    <w:rsid w:val="00002437"/>
    <w:rsid w:val="000024F0"/>
    <w:rsid w:val="000026A7"/>
    <w:rsid w:val="000027B0"/>
    <w:rsid w:val="000028FE"/>
    <w:rsid w:val="00002949"/>
    <w:rsid w:val="00002A44"/>
    <w:rsid w:val="00002DF5"/>
    <w:rsid w:val="00002E79"/>
    <w:rsid w:val="00003080"/>
    <w:rsid w:val="000031B8"/>
    <w:rsid w:val="00003214"/>
    <w:rsid w:val="0000331F"/>
    <w:rsid w:val="00003360"/>
    <w:rsid w:val="00003441"/>
    <w:rsid w:val="00003599"/>
    <w:rsid w:val="00003683"/>
    <w:rsid w:val="0000370F"/>
    <w:rsid w:val="000037DF"/>
    <w:rsid w:val="000038EB"/>
    <w:rsid w:val="00003AD6"/>
    <w:rsid w:val="00003BDE"/>
    <w:rsid w:val="00003C84"/>
    <w:rsid w:val="00003D81"/>
    <w:rsid w:val="00003EEC"/>
    <w:rsid w:val="00003F2C"/>
    <w:rsid w:val="00003FA5"/>
    <w:rsid w:val="00003FB1"/>
    <w:rsid w:val="00004017"/>
    <w:rsid w:val="00004150"/>
    <w:rsid w:val="00004171"/>
    <w:rsid w:val="00004200"/>
    <w:rsid w:val="00004374"/>
    <w:rsid w:val="000046C1"/>
    <w:rsid w:val="0000480B"/>
    <w:rsid w:val="00004899"/>
    <w:rsid w:val="00004979"/>
    <w:rsid w:val="0000497E"/>
    <w:rsid w:val="00004B62"/>
    <w:rsid w:val="00004B73"/>
    <w:rsid w:val="00004BDE"/>
    <w:rsid w:val="00004E3D"/>
    <w:rsid w:val="00004FB3"/>
    <w:rsid w:val="0000504C"/>
    <w:rsid w:val="0000510E"/>
    <w:rsid w:val="00005223"/>
    <w:rsid w:val="00005271"/>
    <w:rsid w:val="0000536F"/>
    <w:rsid w:val="000055B5"/>
    <w:rsid w:val="000055EF"/>
    <w:rsid w:val="00005BB8"/>
    <w:rsid w:val="00005C75"/>
    <w:rsid w:val="00005F1B"/>
    <w:rsid w:val="00006145"/>
    <w:rsid w:val="0000627B"/>
    <w:rsid w:val="0000636A"/>
    <w:rsid w:val="000065EC"/>
    <w:rsid w:val="0000680C"/>
    <w:rsid w:val="00006C28"/>
    <w:rsid w:val="00006D1A"/>
    <w:rsid w:val="00006D46"/>
    <w:rsid w:val="00006E35"/>
    <w:rsid w:val="00006E64"/>
    <w:rsid w:val="00006ECF"/>
    <w:rsid w:val="00006F9E"/>
    <w:rsid w:val="00007208"/>
    <w:rsid w:val="0000726B"/>
    <w:rsid w:val="000074A7"/>
    <w:rsid w:val="000074CC"/>
    <w:rsid w:val="000074F7"/>
    <w:rsid w:val="00007762"/>
    <w:rsid w:val="0000798C"/>
    <w:rsid w:val="00007A36"/>
    <w:rsid w:val="00010174"/>
    <w:rsid w:val="000102C2"/>
    <w:rsid w:val="000102D0"/>
    <w:rsid w:val="000103DB"/>
    <w:rsid w:val="0001044C"/>
    <w:rsid w:val="000105E4"/>
    <w:rsid w:val="000107AE"/>
    <w:rsid w:val="00010AC7"/>
    <w:rsid w:val="00010AEE"/>
    <w:rsid w:val="00010B61"/>
    <w:rsid w:val="00010B9F"/>
    <w:rsid w:val="00010CB2"/>
    <w:rsid w:val="00010ED2"/>
    <w:rsid w:val="00010F2C"/>
    <w:rsid w:val="0001104B"/>
    <w:rsid w:val="0001105F"/>
    <w:rsid w:val="00011116"/>
    <w:rsid w:val="00011159"/>
    <w:rsid w:val="00011476"/>
    <w:rsid w:val="0001150A"/>
    <w:rsid w:val="00011597"/>
    <w:rsid w:val="0001159D"/>
    <w:rsid w:val="00011664"/>
    <w:rsid w:val="00011713"/>
    <w:rsid w:val="0001186F"/>
    <w:rsid w:val="000119B0"/>
    <w:rsid w:val="000119BE"/>
    <w:rsid w:val="00011BE9"/>
    <w:rsid w:val="00011E9B"/>
    <w:rsid w:val="00011ECB"/>
    <w:rsid w:val="00011FA3"/>
    <w:rsid w:val="00011FD7"/>
    <w:rsid w:val="0001210A"/>
    <w:rsid w:val="0001217D"/>
    <w:rsid w:val="00012517"/>
    <w:rsid w:val="0001252F"/>
    <w:rsid w:val="000128B0"/>
    <w:rsid w:val="000128E1"/>
    <w:rsid w:val="00012CFA"/>
    <w:rsid w:val="00012F22"/>
    <w:rsid w:val="00013055"/>
    <w:rsid w:val="0001325F"/>
    <w:rsid w:val="000133DE"/>
    <w:rsid w:val="00013486"/>
    <w:rsid w:val="000134C2"/>
    <w:rsid w:val="00013687"/>
    <w:rsid w:val="00013957"/>
    <w:rsid w:val="00013B0A"/>
    <w:rsid w:val="00013D6B"/>
    <w:rsid w:val="00013DE5"/>
    <w:rsid w:val="00013F3D"/>
    <w:rsid w:val="00013FE2"/>
    <w:rsid w:val="0001406D"/>
    <w:rsid w:val="000141C7"/>
    <w:rsid w:val="0001439C"/>
    <w:rsid w:val="00014448"/>
    <w:rsid w:val="00014452"/>
    <w:rsid w:val="00014555"/>
    <w:rsid w:val="000145BD"/>
    <w:rsid w:val="000145C5"/>
    <w:rsid w:val="00014623"/>
    <w:rsid w:val="00014751"/>
    <w:rsid w:val="000147BE"/>
    <w:rsid w:val="000147CF"/>
    <w:rsid w:val="000147F4"/>
    <w:rsid w:val="00014B0F"/>
    <w:rsid w:val="00014B8A"/>
    <w:rsid w:val="00014C18"/>
    <w:rsid w:val="00014C99"/>
    <w:rsid w:val="00014CC2"/>
    <w:rsid w:val="00014D4D"/>
    <w:rsid w:val="00014E4C"/>
    <w:rsid w:val="00014E9F"/>
    <w:rsid w:val="00015008"/>
    <w:rsid w:val="000151A0"/>
    <w:rsid w:val="000153CA"/>
    <w:rsid w:val="00015445"/>
    <w:rsid w:val="00015507"/>
    <w:rsid w:val="00015637"/>
    <w:rsid w:val="0001564F"/>
    <w:rsid w:val="0001568A"/>
    <w:rsid w:val="00015946"/>
    <w:rsid w:val="00015A85"/>
    <w:rsid w:val="00015CC9"/>
    <w:rsid w:val="00015D5B"/>
    <w:rsid w:val="00015E11"/>
    <w:rsid w:val="00015E5C"/>
    <w:rsid w:val="00015EC8"/>
    <w:rsid w:val="00015ECA"/>
    <w:rsid w:val="0001601A"/>
    <w:rsid w:val="000162ED"/>
    <w:rsid w:val="0001634C"/>
    <w:rsid w:val="000164D9"/>
    <w:rsid w:val="00016562"/>
    <w:rsid w:val="00016601"/>
    <w:rsid w:val="000166E2"/>
    <w:rsid w:val="000169C7"/>
    <w:rsid w:val="000169E8"/>
    <w:rsid w:val="00016A58"/>
    <w:rsid w:val="00016BC5"/>
    <w:rsid w:val="00016BE4"/>
    <w:rsid w:val="00016C02"/>
    <w:rsid w:val="00016E29"/>
    <w:rsid w:val="00016E74"/>
    <w:rsid w:val="00017010"/>
    <w:rsid w:val="0001712C"/>
    <w:rsid w:val="000171F4"/>
    <w:rsid w:val="00017422"/>
    <w:rsid w:val="00017577"/>
    <w:rsid w:val="00017700"/>
    <w:rsid w:val="000178FB"/>
    <w:rsid w:val="00017DD9"/>
    <w:rsid w:val="00017DEB"/>
    <w:rsid w:val="00017F48"/>
    <w:rsid w:val="000202B4"/>
    <w:rsid w:val="00020448"/>
    <w:rsid w:val="000204D7"/>
    <w:rsid w:val="000204FE"/>
    <w:rsid w:val="00020535"/>
    <w:rsid w:val="000205DA"/>
    <w:rsid w:val="0002089F"/>
    <w:rsid w:val="000209FA"/>
    <w:rsid w:val="00020C8F"/>
    <w:rsid w:val="00020F4A"/>
    <w:rsid w:val="00021024"/>
    <w:rsid w:val="00021331"/>
    <w:rsid w:val="00021500"/>
    <w:rsid w:val="00021504"/>
    <w:rsid w:val="00021534"/>
    <w:rsid w:val="00021578"/>
    <w:rsid w:val="000215E9"/>
    <w:rsid w:val="0002174E"/>
    <w:rsid w:val="0002176E"/>
    <w:rsid w:val="00021943"/>
    <w:rsid w:val="00021984"/>
    <w:rsid w:val="00021AA2"/>
    <w:rsid w:val="00021AAA"/>
    <w:rsid w:val="00021CF4"/>
    <w:rsid w:val="00021D83"/>
    <w:rsid w:val="00022032"/>
    <w:rsid w:val="000221BB"/>
    <w:rsid w:val="000221EF"/>
    <w:rsid w:val="00022257"/>
    <w:rsid w:val="000223F4"/>
    <w:rsid w:val="000225A9"/>
    <w:rsid w:val="00022640"/>
    <w:rsid w:val="000226E9"/>
    <w:rsid w:val="000228E1"/>
    <w:rsid w:val="000229CB"/>
    <w:rsid w:val="00022A94"/>
    <w:rsid w:val="00022D09"/>
    <w:rsid w:val="00022D10"/>
    <w:rsid w:val="00022F76"/>
    <w:rsid w:val="00023057"/>
    <w:rsid w:val="0002312B"/>
    <w:rsid w:val="00023148"/>
    <w:rsid w:val="000231AE"/>
    <w:rsid w:val="0002321A"/>
    <w:rsid w:val="00023242"/>
    <w:rsid w:val="000232E3"/>
    <w:rsid w:val="0002332C"/>
    <w:rsid w:val="00023371"/>
    <w:rsid w:val="00023569"/>
    <w:rsid w:val="0002367E"/>
    <w:rsid w:val="000236AD"/>
    <w:rsid w:val="000237BA"/>
    <w:rsid w:val="0002398A"/>
    <w:rsid w:val="000239D9"/>
    <w:rsid w:val="00023A72"/>
    <w:rsid w:val="00023A7B"/>
    <w:rsid w:val="00023AE5"/>
    <w:rsid w:val="00023B22"/>
    <w:rsid w:val="00023B4C"/>
    <w:rsid w:val="00023D6D"/>
    <w:rsid w:val="00023DE1"/>
    <w:rsid w:val="00023FB7"/>
    <w:rsid w:val="00024043"/>
    <w:rsid w:val="00024203"/>
    <w:rsid w:val="000243FF"/>
    <w:rsid w:val="00024485"/>
    <w:rsid w:val="0002457A"/>
    <w:rsid w:val="0002486F"/>
    <w:rsid w:val="00024956"/>
    <w:rsid w:val="00024A9E"/>
    <w:rsid w:val="00024B62"/>
    <w:rsid w:val="00024BD9"/>
    <w:rsid w:val="00024F49"/>
    <w:rsid w:val="00024F6A"/>
    <w:rsid w:val="00025066"/>
    <w:rsid w:val="0002506D"/>
    <w:rsid w:val="00025151"/>
    <w:rsid w:val="00025260"/>
    <w:rsid w:val="000252D1"/>
    <w:rsid w:val="00025377"/>
    <w:rsid w:val="000253B3"/>
    <w:rsid w:val="000253DC"/>
    <w:rsid w:val="00025463"/>
    <w:rsid w:val="00025471"/>
    <w:rsid w:val="000254C8"/>
    <w:rsid w:val="00025517"/>
    <w:rsid w:val="0002576F"/>
    <w:rsid w:val="0002577C"/>
    <w:rsid w:val="00025789"/>
    <w:rsid w:val="00025A40"/>
    <w:rsid w:val="00025CBB"/>
    <w:rsid w:val="00025D50"/>
    <w:rsid w:val="00025FF7"/>
    <w:rsid w:val="00026054"/>
    <w:rsid w:val="000260D2"/>
    <w:rsid w:val="0002610A"/>
    <w:rsid w:val="0002613C"/>
    <w:rsid w:val="00026155"/>
    <w:rsid w:val="0002640A"/>
    <w:rsid w:val="000264B1"/>
    <w:rsid w:val="000267E4"/>
    <w:rsid w:val="00026934"/>
    <w:rsid w:val="00026945"/>
    <w:rsid w:val="0002697D"/>
    <w:rsid w:val="00026A4C"/>
    <w:rsid w:val="00026B07"/>
    <w:rsid w:val="00026B78"/>
    <w:rsid w:val="00026D12"/>
    <w:rsid w:val="00026EF6"/>
    <w:rsid w:val="0002706B"/>
    <w:rsid w:val="000270A8"/>
    <w:rsid w:val="00027302"/>
    <w:rsid w:val="0002731C"/>
    <w:rsid w:val="00027347"/>
    <w:rsid w:val="000273BC"/>
    <w:rsid w:val="000274E2"/>
    <w:rsid w:val="0002754C"/>
    <w:rsid w:val="0002769D"/>
    <w:rsid w:val="000278AB"/>
    <w:rsid w:val="00027948"/>
    <w:rsid w:val="000279BD"/>
    <w:rsid w:val="00027AF9"/>
    <w:rsid w:val="00027B22"/>
    <w:rsid w:val="00027C34"/>
    <w:rsid w:val="00027D4A"/>
    <w:rsid w:val="00027E31"/>
    <w:rsid w:val="00027E7F"/>
    <w:rsid w:val="000300EC"/>
    <w:rsid w:val="000302BD"/>
    <w:rsid w:val="00030436"/>
    <w:rsid w:val="0003051B"/>
    <w:rsid w:val="000305D4"/>
    <w:rsid w:val="0003078F"/>
    <w:rsid w:val="00030AAD"/>
    <w:rsid w:val="00030B78"/>
    <w:rsid w:val="00030C56"/>
    <w:rsid w:val="00030DA5"/>
    <w:rsid w:val="00030F45"/>
    <w:rsid w:val="00031108"/>
    <w:rsid w:val="00031111"/>
    <w:rsid w:val="000312C6"/>
    <w:rsid w:val="000312D7"/>
    <w:rsid w:val="00031597"/>
    <w:rsid w:val="000315F8"/>
    <w:rsid w:val="000316FD"/>
    <w:rsid w:val="00031844"/>
    <w:rsid w:val="0003194E"/>
    <w:rsid w:val="00031956"/>
    <w:rsid w:val="00031973"/>
    <w:rsid w:val="00031A73"/>
    <w:rsid w:val="00031AA7"/>
    <w:rsid w:val="00031C15"/>
    <w:rsid w:val="00031ED4"/>
    <w:rsid w:val="00031EE6"/>
    <w:rsid w:val="00031F78"/>
    <w:rsid w:val="00032138"/>
    <w:rsid w:val="00032182"/>
    <w:rsid w:val="000322A9"/>
    <w:rsid w:val="00032385"/>
    <w:rsid w:val="000324F2"/>
    <w:rsid w:val="00032602"/>
    <w:rsid w:val="00032889"/>
    <w:rsid w:val="00032A17"/>
    <w:rsid w:val="00032A2C"/>
    <w:rsid w:val="00032A8D"/>
    <w:rsid w:val="00032BCB"/>
    <w:rsid w:val="00032D8E"/>
    <w:rsid w:val="00032E3E"/>
    <w:rsid w:val="00033127"/>
    <w:rsid w:val="000334E7"/>
    <w:rsid w:val="000334EB"/>
    <w:rsid w:val="00033553"/>
    <w:rsid w:val="000335D0"/>
    <w:rsid w:val="00033647"/>
    <w:rsid w:val="000336E5"/>
    <w:rsid w:val="000337BB"/>
    <w:rsid w:val="000337D7"/>
    <w:rsid w:val="000337DA"/>
    <w:rsid w:val="00033920"/>
    <w:rsid w:val="00033B45"/>
    <w:rsid w:val="00033EC0"/>
    <w:rsid w:val="00033F17"/>
    <w:rsid w:val="00033F39"/>
    <w:rsid w:val="00033F41"/>
    <w:rsid w:val="0003409D"/>
    <w:rsid w:val="000340CB"/>
    <w:rsid w:val="00034138"/>
    <w:rsid w:val="000342C2"/>
    <w:rsid w:val="00034303"/>
    <w:rsid w:val="000345B9"/>
    <w:rsid w:val="00034663"/>
    <w:rsid w:val="00034694"/>
    <w:rsid w:val="00034866"/>
    <w:rsid w:val="000348D7"/>
    <w:rsid w:val="00034989"/>
    <w:rsid w:val="00034B00"/>
    <w:rsid w:val="00034D95"/>
    <w:rsid w:val="00034E48"/>
    <w:rsid w:val="00034E94"/>
    <w:rsid w:val="00034F61"/>
    <w:rsid w:val="00034F78"/>
    <w:rsid w:val="00034F86"/>
    <w:rsid w:val="00034F87"/>
    <w:rsid w:val="00035218"/>
    <w:rsid w:val="00035227"/>
    <w:rsid w:val="000352C3"/>
    <w:rsid w:val="00035436"/>
    <w:rsid w:val="00035514"/>
    <w:rsid w:val="000356BC"/>
    <w:rsid w:val="000356FB"/>
    <w:rsid w:val="000357D3"/>
    <w:rsid w:val="000357E5"/>
    <w:rsid w:val="0003586F"/>
    <w:rsid w:val="00035902"/>
    <w:rsid w:val="00035A9C"/>
    <w:rsid w:val="00035E8C"/>
    <w:rsid w:val="00035F46"/>
    <w:rsid w:val="00035F9D"/>
    <w:rsid w:val="00035FEC"/>
    <w:rsid w:val="00036128"/>
    <w:rsid w:val="000361C1"/>
    <w:rsid w:val="000361EA"/>
    <w:rsid w:val="00036320"/>
    <w:rsid w:val="00036349"/>
    <w:rsid w:val="000363A5"/>
    <w:rsid w:val="00036459"/>
    <w:rsid w:val="000364BB"/>
    <w:rsid w:val="00036501"/>
    <w:rsid w:val="00036602"/>
    <w:rsid w:val="00036612"/>
    <w:rsid w:val="000369CE"/>
    <w:rsid w:val="00036B4F"/>
    <w:rsid w:val="00036C92"/>
    <w:rsid w:val="00036D58"/>
    <w:rsid w:val="00036F0A"/>
    <w:rsid w:val="00037207"/>
    <w:rsid w:val="0003720A"/>
    <w:rsid w:val="0003721D"/>
    <w:rsid w:val="000373C0"/>
    <w:rsid w:val="00037BA3"/>
    <w:rsid w:val="00037C7A"/>
    <w:rsid w:val="00037D86"/>
    <w:rsid w:val="00040221"/>
    <w:rsid w:val="0004022A"/>
    <w:rsid w:val="000402CF"/>
    <w:rsid w:val="0004035D"/>
    <w:rsid w:val="00040399"/>
    <w:rsid w:val="00040516"/>
    <w:rsid w:val="000406D6"/>
    <w:rsid w:val="00040854"/>
    <w:rsid w:val="000408D7"/>
    <w:rsid w:val="00040A47"/>
    <w:rsid w:val="00040BB5"/>
    <w:rsid w:val="00040D79"/>
    <w:rsid w:val="00040DA5"/>
    <w:rsid w:val="00040EA1"/>
    <w:rsid w:val="00040F0B"/>
    <w:rsid w:val="00040F65"/>
    <w:rsid w:val="00041013"/>
    <w:rsid w:val="00041052"/>
    <w:rsid w:val="0004130A"/>
    <w:rsid w:val="00041503"/>
    <w:rsid w:val="00041568"/>
    <w:rsid w:val="000416CA"/>
    <w:rsid w:val="00041756"/>
    <w:rsid w:val="0004175A"/>
    <w:rsid w:val="000417DE"/>
    <w:rsid w:val="00041B6E"/>
    <w:rsid w:val="00041B8D"/>
    <w:rsid w:val="00041BC4"/>
    <w:rsid w:val="00041E13"/>
    <w:rsid w:val="00042018"/>
    <w:rsid w:val="00042105"/>
    <w:rsid w:val="00042126"/>
    <w:rsid w:val="00042145"/>
    <w:rsid w:val="00042307"/>
    <w:rsid w:val="000423C1"/>
    <w:rsid w:val="000423F9"/>
    <w:rsid w:val="0004265D"/>
    <w:rsid w:val="00042686"/>
    <w:rsid w:val="000427DE"/>
    <w:rsid w:val="000427E7"/>
    <w:rsid w:val="0004289E"/>
    <w:rsid w:val="000428C0"/>
    <w:rsid w:val="00042A7E"/>
    <w:rsid w:val="00042C82"/>
    <w:rsid w:val="00042D40"/>
    <w:rsid w:val="00043158"/>
    <w:rsid w:val="00043216"/>
    <w:rsid w:val="000433CE"/>
    <w:rsid w:val="00043735"/>
    <w:rsid w:val="00043816"/>
    <w:rsid w:val="000439F2"/>
    <w:rsid w:val="00043B03"/>
    <w:rsid w:val="00043C8B"/>
    <w:rsid w:val="00043D3D"/>
    <w:rsid w:val="00043E51"/>
    <w:rsid w:val="00043E83"/>
    <w:rsid w:val="00043F6E"/>
    <w:rsid w:val="00043FAA"/>
    <w:rsid w:val="0004419E"/>
    <w:rsid w:val="0004423B"/>
    <w:rsid w:val="00044296"/>
    <w:rsid w:val="000442A5"/>
    <w:rsid w:val="000442AB"/>
    <w:rsid w:val="0004447B"/>
    <w:rsid w:val="00044876"/>
    <w:rsid w:val="00044B5E"/>
    <w:rsid w:val="00044C46"/>
    <w:rsid w:val="00044D17"/>
    <w:rsid w:val="00044DA4"/>
    <w:rsid w:val="00044DD3"/>
    <w:rsid w:val="00045136"/>
    <w:rsid w:val="00045237"/>
    <w:rsid w:val="00045444"/>
    <w:rsid w:val="000454A0"/>
    <w:rsid w:val="0004555D"/>
    <w:rsid w:val="00045688"/>
    <w:rsid w:val="000456A6"/>
    <w:rsid w:val="000457AE"/>
    <w:rsid w:val="00045C37"/>
    <w:rsid w:val="00045C83"/>
    <w:rsid w:val="00045CD7"/>
    <w:rsid w:val="00045D24"/>
    <w:rsid w:val="00045D51"/>
    <w:rsid w:val="00045ED4"/>
    <w:rsid w:val="00045FB6"/>
    <w:rsid w:val="00045FC6"/>
    <w:rsid w:val="00046021"/>
    <w:rsid w:val="0004628E"/>
    <w:rsid w:val="0004630C"/>
    <w:rsid w:val="00046508"/>
    <w:rsid w:val="00046660"/>
    <w:rsid w:val="0004674C"/>
    <w:rsid w:val="0004676B"/>
    <w:rsid w:val="000468B8"/>
    <w:rsid w:val="000468DA"/>
    <w:rsid w:val="00046938"/>
    <w:rsid w:val="00046F45"/>
    <w:rsid w:val="00047075"/>
    <w:rsid w:val="000475E3"/>
    <w:rsid w:val="0004766D"/>
    <w:rsid w:val="0004768E"/>
    <w:rsid w:val="00047BFA"/>
    <w:rsid w:val="00047C6C"/>
    <w:rsid w:val="00047D5E"/>
    <w:rsid w:val="00047DC9"/>
    <w:rsid w:val="0005040B"/>
    <w:rsid w:val="00050546"/>
    <w:rsid w:val="000507AB"/>
    <w:rsid w:val="00050808"/>
    <w:rsid w:val="00050811"/>
    <w:rsid w:val="00050934"/>
    <w:rsid w:val="00050CFC"/>
    <w:rsid w:val="00051014"/>
    <w:rsid w:val="000510A7"/>
    <w:rsid w:val="000510D3"/>
    <w:rsid w:val="00051407"/>
    <w:rsid w:val="00051423"/>
    <w:rsid w:val="00051524"/>
    <w:rsid w:val="000515A6"/>
    <w:rsid w:val="000515E0"/>
    <w:rsid w:val="00051608"/>
    <w:rsid w:val="00051640"/>
    <w:rsid w:val="000516BE"/>
    <w:rsid w:val="000516CF"/>
    <w:rsid w:val="000516F6"/>
    <w:rsid w:val="00051A11"/>
    <w:rsid w:val="00051A5F"/>
    <w:rsid w:val="00051AE4"/>
    <w:rsid w:val="00051B68"/>
    <w:rsid w:val="00051BB5"/>
    <w:rsid w:val="00051BC0"/>
    <w:rsid w:val="00051C3E"/>
    <w:rsid w:val="00051E4F"/>
    <w:rsid w:val="00051EEA"/>
    <w:rsid w:val="000521A4"/>
    <w:rsid w:val="0005223C"/>
    <w:rsid w:val="0005227F"/>
    <w:rsid w:val="0005270C"/>
    <w:rsid w:val="0005273C"/>
    <w:rsid w:val="000527AF"/>
    <w:rsid w:val="00052873"/>
    <w:rsid w:val="0005290E"/>
    <w:rsid w:val="00052AF9"/>
    <w:rsid w:val="00052B7F"/>
    <w:rsid w:val="00052B8D"/>
    <w:rsid w:val="00052CC4"/>
    <w:rsid w:val="00053042"/>
    <w:rsid w:val="0005311C"/>
    <w:rsid w:val="000531B4"/>
    <w:rsid w:val="000531C4"/>
    <w:rsid w:val="00053209"/>
    <w:rsid w:val="000532B5"/>
    <w:rsid w:val="000533B9"/>
    <w:rsid w:val="000533EB"/>
    <w:rsid w:val="000534AB"/>
    <w:rsid w:val="00053515"/>
    <w:rsid w:val="0005353A"/>
    <w:rsid w:val="000535A3"/>
    <w:rsid w:val="000536F8"/>
    <w:rsid w:val="0005379A"/>
    <w:rsid w:val="00053836"/>
    <w:rsid w:val="000539FE"/>
    <w:rsid w:val="00053A06"/>
    <w:rsid w:val="00053A07"/>
    <w:rsid w:val="00053B76"/>
    <w:rsid w:val="00054023"/>
    <w:rsid w:val="00054427"/>
    <w:rsid w:val="00054461"/>
    <w:rsid w:val="00054522"/>
    <w:rsid w:val="000545B5"/>
    <w:rsid w:val="00054920"/>
    <w:rsid w:val="000549D5"/>
    <w:rsid w:val="00054C0D"/>
    <w:rsid w:val="00054C5A"/>
    <w:rsid w:val="00054C5C"/>
    <w:rsid w:val="00054C61"/>
    <w:rsid w:val="00054CE5"/>
    <w:rsid w:val="00054D3B"/>
    <w:rsid w:val="00054E29"/>
    <w:rsid w:val="00054E38"/>
    <w:rsid w:val="00054EA9"/>
    <w:rsid w:val="00054FF1"/>
    <w:rsid w:val="00055079"/>
    <w:rsid w:val="000551D3"/>
    <w:rsid w:val="000553EF"/>
    <w:rsid w:val="000555AF"/>
    <w:rsid w:val="00055902"/>
    <w:rsid w:val="0005592D"/>
    <w:rsid w:val="00055951"/>
    <w:rsid w:val="00055B77"/>
    <w:rsid w:val="00055FF8"/>
    <w:rsid w:val="0005609D"/>
    <w:rsid w:val="00056291"/>
    <w:rsid w:val="00056323"/>
    <w:rsid w:val="000563AD"/>
    <w:rsid w:val="000564AF"/>
    <w:rsid w:val="0005653D"/>
    <w:rsid w:val="0005662A"/>
    <w:rsid w:val="00056649"/>
    <w:rsid w:val="00056660"/>
    <w:rsid w:val="00056788"/>
    <w:rsid w:val="0005683C"/>
    <w:rsid w:val="00056847"/>
    <w:rsid w:val="000568C2"/>
    <w:rsid w:val="00056BDA"/>
    <w:rsid w:val="00056C39"/>
    <w:rsid w:val="00056CCF"/>
    <w:rsid w:val="00056E1D"/>
    <w:rsid w:val="00056FA2"/>
    <w:rsid w:val="00057182"/>
    <w:rsid w:val="000571AC"/>
    <w:rsid w:val="000571C3"/>
    <w:rsid w:val="0005728A"/>
    <w:rsid w:val="000573AA"/>
    <w:rsid w:val="00057460"/>
    <w:rsid w:val="0005746C"/>
    <w:rsid w:val="00057502"/>
    <w:rsid w:val="00057709"/>
    <w:rsid w:val="00057751"/>
    <w:rsid w:val="000577F0"/>
    <w:rsid w:val="00057905"/>
    <w:rsid w:val="0005799E"/>
    <w:rsid w:val="00057B8E"/>
    <w:rsid w:val="00057C83"/>
    <w:rsid w:val="00057EDA"/>
    <w:rsid w:val="00057F3C"/>
    <w:rsid w:val="00057F83"/>
    <w:rsid w:val="00057FCD"/>
    <w:rsid w:val="0006002E"/>
    <w:rsid w:val="00060148"/>
    <w:rsid w:val="000602F3"/>
    <w:rsid w:val="00060403"/>
    <w:rsid w:val="00060436"/>
    <w:rsid w:val="00060700"/>
    <w:rsid w:val="0006073F"/>
    <w:rsid w:val="00060A14"/>
    <w:rsid w:val="00060C0C"/>
    <w:rsid w:val="00060C10"/>
    <w:rsid w:val="00060D87"/>
    <w:rsid w:val="00060DFC"/>
    <w:rsid w:val="00060EBE"/>
    <w:rsid w:val="00060F54"/>
    <w:rsid w:val="00060F7C"/>
    <w:rsid w:val="00060FC8"/>
    <w:rsid w:val="000610A9"/>
    <w:rsid w:val="00061140"/>
    <w:rsid w:val="00061141"/>
    <w:rsid w:val="00061149"/>
    <w:rsid w:val="00061154"/>
    <w:rsid w:val="00061183"/>
    <w:rsid w:val="00061251"/>
    <w:rsid w:val="00061354"/>
    <w:rsid w:val="00061543"/>
    <w:rsid w:val="0006154C"/>
    <w:rsid w:val="00061670"/>
    <w:rsid w:val="0006175F"/>
    <w:rsid w:val="0006186D"/>
    <w:rsid w:val="000618C3"/>
    <w:rsid w:val="00061B39"/>
    <w:rsid w:val="00061B8D"/>
    <w:rsid w:val="00061CC1"/>
    <w:rsid w:val="00061D61"/>
    <w:rsid w:val="00061D87"/>
    <w:rsid w:val="00062122"/>
    <w:rsid w:val="0006233E"/>
    <w:rsid w:val="00062493"/>
    <w:rsid w:val="00062868"/>
    <w:rsid w:val="000628B4"/>
    <w:rsid w:val="000628F0"/>
    <w:rsid w:val="000629A8"/>
    <w:rsid w:val="00062A60"/>
    <w:rsid w:val="00062BC2"/>
    <w:rsid w:val="00062CB4"/>
    <w:rsid w:val="00062D1D"/>
    <w:rsid w:val="00062E7B"/>
    <w:rsid w:val="00062FE5"/>
    <w:rsid w:val="00063090"/>
    <w:rsid w:val="00063361"/>
    <w:rsid w:val="0006336C"/>
    <w:rsid w:val="0006346C"/>
    <w:rsid w:val="000634F0"/>
    <w:rsid w:val="00063735"/>
    <w:rsid w:val="00063744"/>
    <w:rsid w:val="00063944"/>
    <w:rsid w:val="00063976"/>
    <w:rsid w:val="00063B62"/>
    <w:rsid w:val="00063B6D"/>
    <w:rsid w:val="00063C3E"/>
    <w:rsid w:val="00063C90"/>
    <w:rsid w:val="00063CE9"/>
    <w:rsid w:val="00063DA9"/>
    <w:rsid w:val="00063DFA"/>
    <w:rsid w:val="00064087"/>
    <w:rsid w:val="000640DF"/>
    <w:rsid w:val="00064122"/>
    <w:rsid w:val="0006424C"/>
    <w:rsid w:val="000644DA"/>
    <w:rsid w:val="00064563"/>
    <w:rsid w:val="00064573"/>
    <w:rsid w:val="000645D2"/>
    <w:rsid w:val="0006475F"/>
    <w:rsid w:val="000647C6"/>
    <w:rsid w:val="000648AB"/>
    <w:rsid w:val="00064915"/>
    <w:rsid w:val="000649EB"/>
    <w:rsid w:val="000649ED"/>
    <w:rsid w:val="000649F6"/>
    <w:rsid w:val="00064A24"/>
    <w:rsid w:val="00064B32"/>
    <w:rsid w:val="00064B57"/>
    <w:rsid w:val="00064C34"/>
    <w:rsid w:val="00064E82"/>
    <w:rsid w:val="00064F40"/>
    <w:rsid w:val="00064FF4"/>
    <w:rsid w:val="0006501E"/>
    <w:rsid w:val="00065129"/>
    <w:rsid w:val="00065190"/>
    <w:rsid w:val="000651B6"/>
    <w:rsid w:val="00065334"/>
    <w:rsid w:val="000653E6"/>
    <w:rsid w:val="0006555C"/>
    <w:rsid w:val="0006557E"/>
    <w:rsid w:val="000656B9"/>
    <w:rsid w:val="000656C6"/>
    <w:rsid w:val="000656D7"/>
    <w:rsid w:val="000657CD"/>
    <w:rsid w:val="000657F9"/>
    <w:rsid w:val="0006580D"/>
    <w:rsid w:val="00065A03"/>
    <w:rsid w:val="00065BF2"/>
    <w:rsid w:val="00065C59"/>
    <w:rsid w:val="00065D91"/>
    <w:rsid w:val="00066126"/>
    <w:rsid w:val="00066127"/>
    <w:rsid w:val="0006619D"/>
    <w:rsid w:val="00066504"/>
    <w:rsid w:val="0006675B"/>
    <w:rsid w:val="00066849"/>
    <w:rsid w:val="0006685E"/>
    <w:rsid w:val="0006688D"/>
    <w:rsid w:val="00066C53"/>
    <w:rsid w:val="00066D0E"/>
    <w:rsid w:val="00066D7E"/>
    <w:rsid w:val="00066D9E"/>
    <w:rsid w:val="00066DD9"/>
    <w:rsid w:val="00066DE9"/>
    <w:rsid w:val="00066F81"/>
    <w:rsid w:val="0006705C"/>
    <w:rsid w:val="0006706E"/>
    <w:rsid w:val="000670CB"/>
    <w:rsid w:val="00067430"/>
    <w:rsid w:val="0006751C"/>
    <w:rsid w:val="00067566"/>
    <w:rsid w:val="000675CE"/>
    <w:rsid w:val="00067787"/>
    <w:rsid w:val="000679C5"/>
    <w:rsid w:val="000679D4"/>
    <w:rsid w:val="00067AFB"/>
    <w:rsid w:val="00067BE6"/>
    <w:rsid w:val="00067C4E"/>
    <w:rsid w:val="00067E39"/>
    <w:rsid w:val="00067FC2"/>
    <w:rsid w:val="00067FC8"/>
    <w:rsid w:val="000700CF"/>
    <w:rsid w:val="00070283"/>
    <w:rsid w:val="00070717"/>
    <w:rsid w:val="0007088A"/>
    <w:rsid w:val="00070E29"/>
    <w:rsid w:val="00070F32"/>
    <w:rsid w:val="00070FD9"/>
    <w:rsid w:val="000710DE"/>
    <w:rsid w:val="00071195"/>
    <w:rsid w:val="000711CE"/>
    <w:rsid w:val="000712BE"/>
    <w:rsid w:val="00071300"/>
    <w:rsid w:val="00071326"/>
    <w:rsid w:val="00071451"/>
    <w:rsid w:val="00071456"/>
    <w:rsid w:val="00071467"/>
    <w:rsid w:val="0007146E"/>
    <w:rsid w:val="00071572"/>
    <w:rsid w:val="000717B6"/>
    <w:rsid w:val="000717D8"/>
    <w:rsid w:val="000718DD"/>
    <w:rsid w:val="00071D33"/>
    <w:rsid w:val="00071DA2"/>
    <w:rsid w:val="00072040"/>
    <w:rsid w:val="00072257"/>
    <w:rsid w:val="000723B0"/>
    <w:rsid w:val="00072419"/>
    <w:rsid w:val="00072514"/>
    <w:rsid w:val="000726BC"/>
    <w:rsid w:val="0007295B"/>
    <w:rsid w:val="00072998"/>
    <w:rsid w:val="000729BF"/>
    <w:rsid w:val="00072B6E"/>
    <w:rsid w:val="00072B90"/>
    <w:rsid w:val="00072BB0"/>
    <w:rsid w:val="00072BFE"/>
    <w:rsid w:val="00072CE6"/>
    <w:rsid w:val="00072E04"/>
    <w:rsid w:val="00072EAE"/>
    <w:rsid w:val="00073013"/>
    <w:rsid w:val="0007301D"/>
    <w:rsid w:val="00073175"/>
    <w:rsid w:val="000731B3"/>
    <w:rsid w:val="00073293"/>
    <w:rsid w:val="000736B2"/>
    <w:rsid w:val="00073763"/>
    <w:rsid w:val="000737B6"/>
    <w:rsid w:val="000738F6"/>
    <w:rsid w:val="000739AA"/>
    <w:rsid w:val="00073F2D"/>
    <w:rsid w:val="0007401A"/>
    <w:rsid w:val="00074097"/>
    <w:rsid w:val="00074445"/>
    <w:rsid w:val="0007452F"/>
    <w:rsid w:val="000748AF"/>
    <w:rsid w:val="0007490A"/>
    <w:rsid w:val="00074AD9"/>
    <w:rsid w:val="00074B50"/>
    <w:rsid w:val="00074C6F"/>
    <w:rsid w:val="00074E89"/>
    <w:rsid w:val="00074E8B"/>
    <w:rsid w:val="00074FF0"/>
    <w:rsid w:val="000751DF"/>
    <w:rsid w:val="000752FE"/>
    <w:rsid w:val="00075496"/>
    <w:rsid w:val="00075578"/>
    <w:rsid w:val="000758D2"/>
    <w:rsid w:val="00075A8F"/>
    <w:rsid w:val="00075BE3"/>
    <w:rsid w:val="00075D04"/>
    <w:rsid w:val="00075F0B"/>
    <w:rsid w:val="00075F2B"/>
    <w:rsid w:val="00076015"/>
    <w:rsid w:val="00076020"/>
    <w:rsid w:val="00076070"/>
    <w:rsid w:val="000761EB"/>
    <w:rsid w:val="000762EE"/>
    <w:rsid w:val="00076354"/>
    <w:rsid w:val="0007635B"/>
    <w:rsid w:val="000764E4"/>
    <w:rsid w:val="0007668F"/>
    <w:rsid w:val="00076829"/>
    <w:rsid w:val="0007684D"/>
    <w:rsid w:val="00076D35"/>
    <w:rsid w:val="00076DBC"/>
    <w:rsid w:val="00076F8C"/>
    <w:rsid w:val="00076FBC"/>
    <w:rsid w:val="0007703C"/>
    <w:rsid w:val="000770ED"/>
    <w:rsid w:val="00077228"/>
    <w:rsid w:val="00077263"/>
    <w:rsid w:val="000774B2"/>
    <w:rsid w:val="00077545"/>
    <w:rsid w:val="0007755C"/>
    <w:rsid w:val="000775D9"/>
    <w:rsid w:val="000777EC"/>
    <w:rsid w:val="00077839"/>
    <w:rsid w:val="0007786E"/>
    <w:rsid w:val="00077973"/>
    <w:rsid w:val="00077C0E"/>
    <w:rsid w:val="00077C24"/>
    <w:rsid w:val="00077CDB"/>
    <w:rsid w:val="00077D4D"/>
    <w:rsid w:val="00077FC4"/>
    <w:rsid w:val="00080205"/>
    <w:rsid w:val="00080336"/>
    <w:rsid w:val="0008047C"/>
    <w:rsid w:val="000806BB"/>
    <w:rsid w:val="00080734"/>
    <w:rsid w:val="000808A1"/>
    <w:rsid w:val="000808EA"/>
    <w:rsid w:val="00080947"/>
    <w:rsid w:val="0008096E"/>
    <w:rsid w:val="000809B1"/>
    <w:rsid w:val="00080A53"/>
    <w:rsid w:val="00080B8D"/>
    <w:rsid w:val="00080BD8"/>
    <w:rsid w:val="00080C18"/>
    <w:rsid w:val="00080C2B"/>
    <w:rsid w:val="00080C32"/>
    <w:rsid w:val="00080C34"/>
    <w:rsid w:val="00080F13"/>
    <w:rsid w:val="00080F9F"/>
    <w:rsid w:val="00081070"/>
    <w:rsid w:val="00081093"/>
    <w:rsid w:val="000811E3"/>
    <w:rsid w:val="00081328"/>
    <w:rsid w:val="00081617"/>
    <w:rsid w:val="00081661"/>
    <w:rsid w:val="0008174B"/>
    <w:rsid w:val="00081757"/>
    <w:rsid w:val="000817FF"/>
    <w:rsid w:val="000818AA"/>
    <w:rsid w:val="00081A08"/>
    <w:rsid w:val="00081A7C"/>
    <w:rsid w:val="00081B45"/>
    <w:rsid w:val="000820A2"/>
    <w:rsid w:val="00082201"/>
    <w:rsid w:val="00082253"/>
    <w:rsid w:val="00082422"/>
    <w:rsid w:val="00082556"/>
    <w:rsid w:val="000825FB"/>
    <w:rsid w:val="0008263E"/>
    <w:rsid w:val="0008267B"/>
    <w:rsid w:val="0008276E"/>
    <w:rsid w:val="00082791"/>
    <w:rsid w:val="0008294D"/>
    <w:rsid w:val="00082A73"/>
    <w:rsid w:val="00082A80"/>
    <w:rsid w:val="00082A8C"/>
    <w:rsid w:val="00082CBC"/>
    <w:rsid w:val="00082D34"/>
    <w:rsid w:val="00082DED"/>
    <w:rsid w:val="00082F39"/>
    <w:rsid w:val="00082FEF"/>
    <w:rsid w:val="0008328C"/>
    <w:rsid w:val="00083578"/>
    <w:rsid w:val="00083654"/>
    <w:rsid w:val="00083785"/>
    <w:rsid w:val="000837C3"/>
    <w:rsid w:val="000838AB"/>
    <w:rsid w:val="00083917"/>
    <w:rsid w:val="0008399F"/>
    <w:rsid w:val="000839C6"/>
    <w:rsid w:val="000839CE"/>
    <w:rsid w:val="00083A68"/>
    <w:rsid w:val="00083AD6"/>
    <w:rsid w:val="00083C1B"/>
    <w:rsid w:val="00083D1F"/>
    <w:rsid w:val="00083DDB"/>
    <w:rsid w:val="000840E6"/>
    <w:rsid w:val="00084118"/>
    <w:rsid w:val="00084150"/>
    <w:rsid w:val="000843B4"/>
    <w:rsid w:val="000846A0"/>
    <w:rsid w:val="0008474D"/>
    <w:rsid w:val="00084845"/>
    <w:rsid w:val="000849A4"/>
    <w:rsid w:val="00084F56"/>
    <w:rsid w:val="000850E8"/>
    <w:rsid w:val="0008512C"/>
    <w:rsid w:val="000853CA"/>
    <w:rsid w:val="000854EA"/>
    <w:rsid w:val="00085654"/>
    <w:rsid w:val="000858D1"/>
    <w:rsid w:val="0008596D"/>
    <w:rsid w:val="000859F9"/>
    <w:rsid w:val="00085A46"/>
    <w:rsid w:val="00085A64"/>
    <w:rsid w:val="00085BFD"/>
    <w:rsid w:val="00085C65"/>
    <w:rsid w:val="00085D2B"/>
    <w:rsid w:val="00085E20"/>
    <w:rsid w:val="00086125"/>
    <w:rsid w:val="00086331"/>
    <w:rsid w:val="000863B1"/>
    <w:rsid w:val="00086432"/>
    <w:rsid w:val="000864C4"/>
    <w:rsid w:val="000864CE"/>
    <w:rsid w:val="000866E2"/>
    <w:rsid w:val="000867BF"/>
    <w:rsid w:val="000867C9"/>
    <w:rsid w:val="00086822"/>
    <w:rsid w:val="000868B8"/>
    <w:rsid w:val="00086A75"/>
    <w:rsid w:val="00086A8D"/>
    <w:rsid w:val="00086BC5"/>
    <w:rsid w:val="00086C27"/>
    <w:rsid w:val="00086CA7"/>
    <w:rsid w:val="00086DB0"/>
    <w:rsid w:val="00086DE9"/>
    <w:rsid w:val="00086E44"/>
    <w:rsid w:val="00086FB2"/>
    <w:rsid w:val="000870BE"/>
    <w:rsid w:val="000870CE"/>
    <w:rsid w:val="00087103"/>
    <w:rsid w:val="00087178"/>
    <w:rsid w:val="000872A1"/>
    <w:rsid w:val="00087695"/>
    <w:rsid w:val="00087803"/>
    <w:rsid w:val="000879B6"/>
    <w:rsid w:val="00087B9C"/>
    <w:rsid w:val="00087C67"/>
    <w:rsid w:val="00087C86"/>
    <w:rsid w:val="00087D8C"/>
    <w:rsid w:val="00087E95"/>
    <w:rsid w:val="00087F88"/>
    <w:rsid w:val="0009004E"/>
    <w:rsid w:val="000900B4"/>
    <w:rsid w:val="00090186"/>
    <w:rsid w:val="000901C9"/>
    <w:rsid w:val="000903D0"/>
    <w:rsid w:val="00090417"/>
    <w:rsid w:val="0009041B"/>
    <w:rsid w:val="00090589"/>
    <w:rsid w:val="000905EE"/>
    <w:rsid w:val="000906B0"/>
    <w:rsid w:val="000906C8"/>
    <w:rsid w:val="00090968"/>
    <w:rsid w:val="00090AD2"/>
    <w:rsid w:val="00090B45"/>
    <w:rsid w:val="00090C72"/>
    <w:rsid w:val="00090D16"/>
    <w:rsid w:val="00090D70"/>
    <w:rsid w:val="00090DC1"/>
    <w:rsid w:val="00090EF6"/>
    <w:rsid w:val="00091036"/>
    <w:rsid w:val="00091145"/>
    <w:rsid w:val="000913E5"/>
    <w:rsid w:val="00091498"/>
    <w:rsid w:val="0009155F"/>
    <w:rsid w:val="000915C1"/>
    <w:rsid w:val="000916CA"/>
    <w:rsid w:val="00091710"/>
    <w:rsid w:val="00091797"/>
    <w:rsid w:val="00091798"/>
    <w:rsid w:val="00091AD4"/>
    <w:rsid w:val="00091CDE"/>
    <w:rsid w:val="00091F92"/>
    <w:rsid w:val="00091FF4"/>
    <w:rsid w:val="00092066"/>
    <w:rsid w:val="000920D8"/>
    <w:rsid w:val="0009219D"/>
    <w:rsid w:val="000924B1"/>
    <w:rsid w:val="000928BA"/>
    <w:rsid w:val="000929EA"/>
    <w:rsid w:val="00092A8B"/>
    <w:rsid w:val="00092C80"/>
    <w:rsid w:val="00092CCB"/>
    <w:rsid w:val="00092CEE"/>
    <w:rsid w:val="00093041"/>
    <w:rsid w:val="0009307B"/>
    <w:rsid w:val="000930A1"/>
    <w:rsid w:val="0009317B"/>
    <w:rsid w:val="0009318D"/>
    <w:rsid w:val="0009338F"/>
    <w:rsid w:val="00093451"/>
    <w:rsid w:val="000934CF"/>
    <w:rsid w:val="0009359E"/>
    <w:rsid w:val="00093657"/>
    <w:rsid w:val="00093667"/>
    <w:rsid w:val="000936A8"/>
    <w:rsid w:val="0009375B"/>
    <w:rsid w:val="000938B5"/>
    <w:rsid w:val="000939F3"/>
    <w:rsid w:val="00093A8E"/>
    <w:rsid w:val="00093C26"/>
    <w:rsid w:val="00093DE3"/>
    <w:rsid w:val="00093EF3"/>
    <w:rsid w:val="00093F36"/>
    <w:rsid w:val="000940D5"/>
    <w:rsid w:val="0009420F"/>
    <w:rsid w:val="0009423E"/>
    <w:rsid w:val="0009427F"/>
    <w:rsid w:val="000942E3"/>
    <w:rsid w:val="0009435C"/>
    <w:rsid w:val="00094659"/>
    <w:rsid w:val="00094675"/>
    <w:rsid w:val="0009467C"/>
    <w:rsid w:val="000946B7"/>
    <w:rsid w:val="00094704"/>
    <w:rsid w:val="00094A70"/>
    <w:rsid w:val="00094AE0"/>
    <w:rsid w:val="00094BE6"/>
    <w:rsid w:val="00094CDD"/>
    <w:rsid w:val="00094E24"/>
    <w:rsid w:val="00094F0D"/>
    <w:rsid w:val="00094F13"/>
    <w:rsid w:val="0009533A"/>
    <w:rsid w:val="0009533C"/>
    <w:rsid w:val="00095361"/>
    <w:rsid w:val="00095362"/>
    <w:rsid w:val="000953DF"/>
    <w:rsid w:val="0009560E"/>
    <w:rsid w:val="00095680"/>
    <w:rsid w:val="0009575B"/>
    <w:rsid w:val="0009580B"/>
    <w:rsid w:val="000958FF"/>
    <w:rsid w:val="00095A1C"/>
    <w:rsid w:val="00095D22"/>
    <w:rsid w:val="00095D40"/>
    <w:rsid w:val="00095DFF"/>
    <w:rsid w:val="00096062"/>
    <w:rsid w:val="000962AB"/>
    <w:rsid w:val="0009668D"/>
    <w:rsid w:val="000966A9"/>
    <w:rsid w:val="000966C7"/>
    <w:rsid w:val="000967CA"/>
    <w:rsid w:val="0009695F"/>
    <w:rsid w:val="00096BB1"/>
    <w:rsid w:val="00096F86"/>
    <w:rsid w:val="0009701B"/>
    <w:rsid w:val="000972C9"/>
    <w:rsid w:val="00097382"/>
    <w:rsid w:val="000973B1"/>
    <w:rsid w:val="0009760C"/>
    <w:rsid w:val="000977AA"/>
    <w:rsid w:val="000977D2"/>
    <w:rsid w:val="0009795F"/>
    <w:rsid w:val="00097B04"/>
    <w:rsid w:val="00097C48"/>
    <w:rsid w:val="00097D09"/>
    <w:rsid w:val="00097E1E"/>
    <w:rsid w:val="00097E31"/>
    <w:rsid w:val="00097F01"/>
    <w:rsid w:val="000A00C3"/>
    <w:rsid w:val="000A017B"/>
    <w:rsid w:val="000A0326"/>
    <w:rsid w:val="000A0446"/>
    <w:rsid w:val="000A044D"/>
    <w:rsid w:val="000A0685"/>
    <w:rsid w:val="000A06A2"/>
    <w:rsid w:val="000A0753"/>
    <w:rsid w:val="000A07A4"/>
    <w:rsid w:val="000A07DE"/>
    <w:rsid w:val="000A08C5"/>
    <w:rsid w:val="000A0A8D"/>
    <w:rsid w:val="000A0B81"/>
    <w:rsid w:val="000A0D14"/>
    <w:rsid w:val="000A0DD0"/>
    <w:rsid w:val="000A0DEE"/>
    <w:rsid w:val="000A0E1F"/>
    <w:rsid w:val="000A104A"/>
    <w:rsid w:val="000A10A8"/>
    <w:rsid w:val="000A10C5"/>
    <w:rsid w:val="000A1121"/>
    <w:rsid w:val="000A1215"/>
    <w:rsid w:val="000A123E"/>
    <w:rsid w:val="000A1374"/>
    <w:rsid w:val="000A164E"/>
    <w:rsid w:val="000A186E"/>
    <w:rsid w:val="000A18EF"/>
    <w:rsid w:val="000A1A27"/>
    <w:rsid w:val="000A1A6A"/>
    <w:rsid w:val="000A1C1A"/>
    <w:rsid w:val="000A1C8B"/>
    <w:rsid w:val="000A1CC7"/>
    <w:rsid w:val="000A23DD"/>
    <w:rsid w:val="000A23E5"/>
    <w:rsid w:val="000A250B"/>
    <w:rsid w:val="000A263E"/>
    <w:rsid w:val="000A268A"/>
    <w:rsid w:val="000A2843"/>
    <w:rsid w:val="000A2B81"/>
    <w:rsid w:val="000A2CC2"/>
    <w:rsid w:val="000A2D72"/>
    <w:rsid w:val="000A2E27"/>
    <w:rsid w:val="000A2E8E"/>
    <w:rsid w:val="000A30FE"/>
    <w:rsid w:val="000A310C"/>
    <w:rsid w:val="000A31A9"/>
    <w:rsid w:val="000A3214"/>
    <w:rsid w:val="000A3372"/>
    <w:rsid w:val="000A33E6"/>
    <w:rsid w:val="000A34FD"/>
    <w:rsid w:val="000A362F"/>
    <w:rsid w:val="000A36D3"/>
    <w:rsid w:val="000A370B"/>
    <w:rsid w:val="000A37DD"/>
    <w:rsid w:val="000A3817"/>
    <w:rsid w:val="000A3D08"/>
    <w:rsid w:val="000A3D3D"/>
    <w:rsid w:val="000A3DC0"/>
    <w:rsid w:val="000A3DED"/>
    <w:rsid w:val="000A3E01"/>
    <w:rsid w:val="000A3E88"/>
    <w:rsid w:val="000A3ED7"/>
    <w:rsid w:val="000A3F47"/>
    <w:rsid w:val="000A412E"/>
    <w:rsid w:val="000A4211"/>
    <w:rsid w:val="000A42A2"/>
    <w:rsid w:val="000A42CE"/>
    <w:rsid w:val="000A4301"/>
    <w:rsid w:val="000A4517"/>
    <w:rsid w:val="000A45F8"/>
    <w:rsid w:val="000A475F"/>
    <w:rsid w:val="000A49A5"/>
    <w:rsid w:val="000A49EC"/>
    <w:rsid w:val="000A4A14"/>
    <w:rsid w:val="000A4A63"/>
    <w:rsid w:val="000A4B4C"/>
    <w:rsid w:val="000A4B62"/>
    <w:rsid w:val="000A4D23"/>
    <w:rsid w:val="000A5157"/>
    <w:rsid w:val="000A52F7"/>
    <w:rsid w:val="000A53D8"/>
    <w:rsid w:val="000A5425"/>
    <w:rsid w:val="000A558A"/>
    <w:rsid w:val="000A55A5"/>
    <w:rsid w:val="000A55D0"/>
    <w:rsid w:val="000A55D1"/>
    <w:rsid w:val="000A56BE"/>
    <w:rsid w:val="000A5710"/>
    <w:rsid w:val="000A579F"/>
    <w:rsid w:val="000A5801"/>
    <w:rsid w:val="000A5846"/>
    <w:rsid w:val="000A5A4B"/>
    <w:rsid w:val="000A5B91"/>
    <w:rsid w:val="000A5CCB"/>
    <w:rsid w:val="000A5D7A"/>
    <w:rsid w:val="000A5DA4"/>
    <w:rsid w:val="000A5DB9"/>
    <w:rsid w:val="000A5EDF"/>
    <w:rsid w:val="000A606C"/>
    <w:rsid w:val="000A627F"/>
    <w:rsid w:val="000A62A1"/>
    <w:rsid w:val="000A631F"/>
    <w:rsid w:val="000A6370"/>
    <w:rsid w:val="000A6469"/>
    <w:rsid w:val="000A646D"/>
    <w:rsid w:val="000A6574"/>
    <w:rsid w:val="000A66CD"/>
    <w:rsid w:val="000A6795"/>
    <w:rsid w:val="000A6997"/>
    <w:rsid w:val="000A6AC6"/>
    <w:rsid w:val="000A6AD6"/>
    <w:rsid w:val="000A6B11"/>
    <w:rsid w:val="000A6B2E"/>
    <w:rsid w:val="000A6CC3"/>
    <w:rsid w:val="000A6D4F"/>
    <w:rsid w:val="000A6FCC"/>
    <w:rsid w:val="000A6FE7"/>
    <w:rsid w:val="000A7221"/>
    <w:rsid w:val="000A723F"/>
    <w:rsid w:val="000A7253"/>
    <w:rsid w:val="000A769B"/>
    <w:rsid w:val="000A7732"/>
    <w:rsid w:val="000A791C"/>
    <w:rsid w:val="000A799C"/>
    <w:rsid w:val="000A7AA7"/>
    <w:rsid w:val="000A7AAF"/>
    <w:rsid w:val="000A7C18"/>
    <w:rsid w:val="000A7CD5"/>
    <w:rsid w:val="000A7D28"/>
    <w:rsid w:val="000A7E98"/>
    <w:rsid w:val="000A7EC1"/>
    <w:rsid w:val="000A7F0E"/>
    <w:rsid w:val="000B000D"/>
    <w:rsid w:val="000B0011"/>
    <w:rsid w:val="000B0039"/>
    <w:rsid w:val="000B0066"/>
    <w:rsid w:val="000B0072"/>
    <w:rsid w:val="000B00CC"/>
    <w:rsid w:val="000B0184"/>
    <w:rsid w:val="000B02B0"/>
    <w:rsid w:val="000B0336"/>
    <w:rsid w:val="000B03DD"/>
    <w:rsid w:val="000B042F"/>
    <w:rsid w:val="000B04B2"/>
    <w:rsid w:val="000B04EC"/>
    <w:rsid w:val="000B06C6"/>
    <w:rsid w:val="000B07EC"/>
    <w:rsid w:val="000B0851"/>
    <w:rsid w:val="000B089F"/>
    <w:rsid w:val="000B09AF"/>
    <w:rsid w:val="000B0A61"/>
    <w:rsid w:val="000B0A68"/>
    <w:rsid w:val="000B0AEC"/>
    <w:rsid w:val="000B0B06"/>
    <w:rsid w:val="000B0D9E"/>
    <w:rsid w:val="000B0E34"/>
    <w:rsid w:val="000B0F5D"/>
    <w:rsid w:val="000B0FCA"/>
    <w:rsid w:val="000B1088"/>
    <w:rsid w:val="000B1151"/>
    <w:rsid w:val="000B1327"/>
    <w:rsid w:val="000B133E"/>
    <w:rsid w:val="000B13AC"/>
    <w:rsid w:val="000B13DC"/>
    <w:rsid w:val="000B14DC"/>
    <w:rsid w:val="000B1587"/>
    <w:rsid w:val="000B1598"/>
    <w:rsid w:val="000B15AF"/>
    <w:rsid w:val="000B1674"/>
    <w:rsid w:val="000B1689"/>
    <w:rsid w:val="000B1695"/>
    <w:rsid w:val="000B1704"/>
    <w:rsid w:val="000B17B2"/>
    <w:rsid w:val="000B18EB"/>
    <w:rsid w:val="000B1B8C"/>
    <w:rsid w:val="000B1CA1"/>
    <w:rsid w:val="000B1D36"/>
    <w:rsid w:val="000B1F4A"/>
    <w:rsid w:val="000B20AF"/>
    <w:rsid w:val="000B2198"/>
    <w:rsid w:val="000B21C9"/>
    <w:rsid w:val="000B236F"/>
    <w:rsid w:val="000B240E"/>
    <w:rsid w:val="000B24B2"/>
    <w:rsid w:val="000B25FC"/>
    <w:rsid w:val="000B2681"/>
    <w:rsid w:val="000B2713"/>
    <w:rsid w:val="000B27AB"/>
    <w:rsid w:val="000B27FA"/>
    <w:rsid w:val="000B27FB"/>
    <w:rsid w:val="000B2949"/>
    <w:rsid w:val="000B2AE0"/>
    <w:rsid w:val="000B2AE9"/>
    <w:rsid w:val="000B2D14"/>
    <w:rsid w:val="000B2DDE"/>
    <w:rsid w:val="000B2DF2"/>
    <w:rsid w:val="000B2E08"/>
    <w:rsid w:val="000B2E12"/>
    <w:rsid w:val="000B2FA0"/>
    <w:rsid w:val="000B307B"/>
    <w:rsid w:val="000B30B5"/>
    <w:rsid w:val="000B30CA"/>
    <w:rsid w:val="000B30F2"/>
    <w:rsid w:val="000B3374"/>
    <w:rsid w:val="000B3431"/>
    <w:rsid w:val="000B3499"/>
    <w:rsid w:val="000B3549"/>
    <w:rsid w:val="000B3566"/>
    <w:rsid w:val="000B35A9"/>
    <w:rsid w:val="000B3671"/>
    <w:rsid w:val="000B3720"/>
    <w:rsid w:val="000B3777"/>
    <w:rsid w:val="000B38AB"/>
    <w:rsid w:val="000B394F"/>
    <w:rsid w:val="000B3D9D"/>
    <w:rsid w:val="000B3F2B"/>
    <w:rsid w:val="000B3FBB"/>
    <w:rsid w:val="000B42A8"/>
    <w:rsid w:val="000B43A6"/>
    <w:rsid w:val="000B43BF"/>
    <w:rsid w:val="000B47C5"/>
    <w:rsid w:val="000B47D2"/>
    <w:rsid w:val="000B47E1"/>
    <w:rsid w:val="000B4932"/>
    <w:rsid w:val="000B49BD"/>
    <w:rsid w:val="000B4A04"/>
    <w:rsid w:val="000B4A28"/>
    <w:rsid w:val="000B4A52"/>
    <w:rsid w:val="000B4A7E"/>
    <w:rsid w:val="000B4D8F"/>
    <w:rsid w:val="000B4DDE"/>
    <w:rsid w:val="000B503D"/>
    <w:rsid w:val="000B5228"/>
    <w:rsid w:val="000B52A8"/>
    <w:rsid w:val="000B5354"/>
    <w:rsid w:val="000B5475"/>
    <w:rsid w:val="000B56F8"/>
    <w:rsid w:val="000B5A68"/>
    <w:rsid w:val="000B5A7C"/>
    <w:rsid w:val="000B5C7A"/>
    <w:rsid w:val="000B5CD3"/>
    <w:rsid w:val="000B5E3B"/>
    <w:rsid w:val="000B5E52"/>
    <w:rsid w:val="000B5F27"/>
    <w:rsid w:val="000B60A6"/>
    <w:rsid w:val="000B631D"/>
    <w:rsid w:val="000B6584"/>
    <w:rsid w:val="000B66B9"/>
    <w:rsid w:val="000B686F"/>
    <w:rsid w:val="000B688C"/>
    <w:rsid w:val="000B693B"/>
    <w:rsid w:val="000B6A22"/>
    <w:rsid w:val="000B6AA9"/>
    <w:rsid w:val="000B6ADE"/>
    <w:rsid w:val="000B70DC"/>
    <w:rsid w:val="000B7154"/>
    <w:rsid w:val="000B7219"/>
    <w:rsid w:val="000B731E"/>
    <w:rsid w:val="000B7556"/>
    <w:rsid w:val="000B75EC"/>
    <w:rsid w:val="000B772E"/>
    <w:rsid w:val="000B79B8"/>
    <w:rsid w:val="000B79C9"/>
    <w:rsid w:val="000B79F3"/>
    <w:rsid w:val="000B7A4B"/>
    <w:rsid w:val="000B7AD1"/>
    <w:rsid w:val="000B7AE9"/>
    <w:rsid w:val="000B7B01"/>
    <w:rsid w:val="000B7C6E"/>
    <w:rsid w:val="000B7CD7"/>
    <w:rsid w:val="000B7CDB"/>
    <w:rsid w:val="000B7D4C"/>
    <w:rsid w:val="000B7E44"/>
    <w:rsid w:val="000C018A"/>
    <w:rsid w:val="000C0193"/>
    <w:rsid w:val="000C01AB"/>
    <w:rsid w:val="000C01E2"/>
    <w:rsid w:val="000C01FD"/>
    <w:rsid w:val="000C0202"/>
    <w:rsid w:val="000C0338"/>
    <w:rsid w:val="000C060D"/>
    <w:rsid w:val="000C0932"/>
    <w:rsid w:val="000C098B"/>
    <w:rsid w:val="000C09F6"/>
    <w:rsid w:val="000C0B6D"/>
    <w:rsid w:val="000C0BC9"/>
    <w:rsid w:val="000C0C2B"/>
    <w:rsid w:val="000C0D44"/>
    <w:rsid w:val="000C0F0F"/>
    <w:rsid w:val="000C0F18"/>
    <w:rsid w:val="000C12F5"/>
    <w:rsid w:val="000C1331"/>
    <w:rsid w:val="000C13B6"/>
    <w:rsid w:val="000C14D1"/>
    <w:rsid w:val="000C1567"/>
    <w:rsid w:val="000C161D"/>
    <w:rsid w:val="000C1A95"/>
    <w:rsid w:val="000C1B26"/>
    <w:rsid w:val="000C1D38"/>
    <w:rsid w:val="000C1F93"/>
    <w:rsid w:val="000C2079"/>
    <w:rsid w:val="000C20CA"/>
    <w:rsid w:val="000C216C"/>
    <w:rsid w:val="000C2187"/>
    <w:rsid w:val="000C22CF"/>
    <w:rsid w:val="000C22F0"/>
    <w:rsid w:val="000C22FE"/>
    <w:rsid w:val="000C244F"/>
    <w:rsid w:val="000C26EA"/>
    <w:rsid w:val="000C270D"/>
    <w:rsid w:val="000C2873"/>
    <w:rsid w:val="000C2A56"/>
    <w:rsid w:val="000C2E9B"/>
    <w:rsid w:val="000C3260"/>
    <w:rsid w:val="000C35C6"/>
    <w:rsid w:val="000C3713"/>
    <w:rsid w:val="000C38A9"/>
    <w:rsid w:val="000C3A6D"/>
    <w:rsid w:val="000C3AAB"/>
    <w:rsid w:val="000C3BBE"/>
    <w:rsid w:val="000C3C0C"/>
    <w:rsid w:val="000C3D28"/>
    <w:rsid w:val="000C3DD3"/>
    <w:rsid w:val="000C3E2A"/>
    <w:rsid w:val="000C3FEA"/>
    <w:rsid w:val="000C4011"/>
    <w:rsid w:val="000C40CB"/>
    <w:rsid w:val="000C410A"/>
    <w:rsid w:val="000C41B3"/>
    <w:rsid w:val="000C43D9"/>
    <w:rsid w:val="000C44D8"/>
    <w:rsid w:val="000C4534"/>
    <w:rsid w:val="000C46C3"/>
    <w:rsid w:val="000C4C0E"/>
    <w:rsid w:val="000C4D5F"/>
    <w:rsid w:val="000C4E5D"/>
    <w:rsid w:val="000C5068"/>
    <w:rsid w:val="000C513E"/>
    <w:rsid w:val="000C522B"/>
    <w:rsid w:val="000C533D"/>
    <w:rsid w:val="000C5379"/>
    <w:rsid w:val="000C545D"/>
    <w:rsid w:val="000C54C9"/>
    <w:rsid w:val="000C5758"/>
    <w:rsid w:val="000C5898"/>
    <w:rsid w:val="000C5968"/>
    <w:rsid w:val="000C598F"/>
    <w:rsid w:val="000C59F5"/>
    <w:rsid w:val="000C5AAB"/>
    <w:rsid w:val="000C5B47"/>
    <w:rsid w:val="000C5C09"/>
    <w:rsid w:val="000C5CBB"/>
    <w:rsid w:val="000C5E7A"/>
    <w:rsid w:val="000C5EE9"/>
    <w:rsid w:val="000C5EF3"/>
    <w:rsid w:val="000C6080"/>
    <w:rsid w:val="000C60D1"/>
    <w:rsid w:val="000C623A"/>
    <w:rsid w:val="000C62C7"/>
    <w:rsid w:val="000C6364"/>
    <w:rsid w:val="000C645C"/>
    <w:rsid w:val="000C64AB"/>
    <w:rsid w:val="000C64BD"/>
    <w:rsid w:val="000C64DD"/>
    <w:rsid w:val="000C6548"/>
    <w:rsid w:val="000C654D"/>
    <w:rsid w:val="000C66A7"/>
    <w:rsid w:val="000C6A6D"/>
    <w:rsid w:val="000C6BEA"/>
    <w:rsid w:val="000C6C35"/>
    <w:rsid w:val="000C6EAF"/>
    <w:rsid w:val="000C6F2C"/>
    <w:rsid w:val="000C6F3F"/>
    <w:rsid w:val="000C6FCB"/>
    <w:rsid w:val="000C709D"/>
    <w:rsid w:val="000C7123"/>
    <w:rsid w:val="000C7397"/>
    <w:rsid w:val="000C73AB"/>
    <w:rsid w:val="000C73C6"/>
    <w:rsid w:val="000C76C9"/>
    <w:rsid w:val="000C76EB"/>
    <w:rsid w:val="000C77BC"/>
    <w:rsid w:val="000C77F5"/>
    <w:rsid w:val="000C7808"/>
    <w:rsid w:val="000C7827"/>
    <w:rsid w:val="000C7977"/>
    <w:rsid w:val="000C7ADA"/>
    <w:rsid w:val="000C7D37"/>
    <w:rsid w:val="000C7D95"/>
    <w:rsid w:val="000C7E68"/>
    <w:rsid w:val="000C7FEC"/>
    <w:rsid w:val="000D0052"/>
    <w:rsid w:val="000D00F9"/>
    <w:rsid w:val="000D0197"/>
    <w:rsid w:val="000D0373"/>
    <w:rsid w:val="000D0389"/>
    <w:rsid w:val="000D038B"/>
    <w:rsid w:val="000D0440"/>
    <w:rsid w:val="000D04E8"/>
    <w:rsid w:val="000D0737"/>
    <w:rsid w:val="000D0741"/>
    <w:rsid w:val="000D0813"/>
    <w:rsid w:val="000D08AA"/>
    <w:rsid w:val="000D08AB"/>
    <w:rsid w:val="000D0A97"/>
    <w:rsid w:val="000D0BA3"/>
    <w:rsid w:val="000D0C4E"/>
    <w:rsid w:val="000D0E37"/>
    <w:rsid w:val="000D1118"/>
    <w:rsid w:val="000D1349"/>
    <w:rsid w:val="000D13EE"/>
    <w:rsid w:val="000D166D"/>
    <w:rsid w:val="000D1690"/>
    <w:rsid w:val="000D16CF"/>
    <w:rsid w:val="000D17FE"/>
    <w:rsid w:val="000D1852"/>
    <w:rsid w:val="000D1915"/>
    <w:rsid w:val="000D1970"/>
    <w:rsid w:val="000D19E0"/>
    <w:rsid w:val="000D1A0E"/>
    <w:rsid w:val="000D1AAF"/>
    <w:rsid w:val="000D1EBC"/>
    <w:rsid w:val="000D20AF"/>
    <w:rsid w:val="000D21C3"/>
    <w:rsid w:val="000D242E"/>
    <w:rsid w:val="000D2676"/>
    <w:rsid w:val="000D2765"/>
    <w:rsid w:val="000D2BCB"/>
    <w:rsid w:val="000D2C25"/>
    <w:rsid w:val="000D2D82"/>
    <w:rsid w:val="000D2E04"/>
    <w:rsid w:val="000D2F4D"/>
    <w:rsid w:val="000D2F95"/>
    <w:rsid w:val="000D329C"/>
    <w:rsid w:val="000D333B"/>
    <w:rsid w:val="000D3344"/>
    <w:rsid w:val="000D344B"/>
    <w:rsid w:val="000D3729"/>
    <w:rsid w:val="000D37A9"/>
    <w:rsid w:val="000D37E4"/>
    <w:rsid w:val="000D37E6"/>
    <w:rsid w:val="000D37EA"/>
    <w:rsid w:val="000D38A9"/>
    <w:rsid w:val="000D3977"/>
    <w:rsid w:val="000D3B5B"/>
    <w:rsid w:val="000D3C55"/>
    <w:rsid w:val="000D3D92"/>
    <w:rsid w:val="000D3E57"/>
    <w:rsid w:val="000D3EC9"/>
    <w:rsid w:val="000D4021"/>
    <w:rsid w:val="000D40B7"/>
    <w:rsid w:val="000D40D9"/>
    <w:rsid w:val="000D40FF"/>
    <w:rsid w:val="000D4275"/>
    <w:rsid w:val="000D45A8"/>
    <w:rsid w:val="000D4860"/>
    <w:rsid w:val="000D4D46"/>
    <w:rsid w:val="000D4E31"/>
    <w:rsid w:val="000D519B"/>
    <w:rsid w:val="000D519D"/>
    <w:rsid w:val="000D53E8"/>
    <w:rsid w:val="000D5780"/>
    <w:rsid w:val="000D57ED"/>
    <w:rsid w:val="000D587D"/>
    <w:rsid w:val="000D5B03"/>
    <w:rsid w:val="000D5B77"/>
    <w:rsid w:val="000D647B"/>
    <w:rsid w:val="000D64CF"/>
    <w:rsid w:val="000D65ED"/>
    <w:rsid w:val="000D66A1"/>
    <w:rsid w:val="000D6A0D"/>
    <w:rsid w:val="000D6C57"/>
    <w:rsid w:val="000D6D06"/>
    <w:rsid w:val="000D6D61"/>
    <w:rsid w:val="000D6D92"/>
    <w:rsid w:val="000D6E99"/>
    <w:rsid w:val="000D6EAB"/>
    <w:rsid w:val="000D6EAE"/>
    <w:rsid w:val="000D6FCA"/>
    <w:rsid w:val="000D7020"/>
    <w:rsid w:val="000D7095"/>
    <w:rsid w:val="000D71C7"/>
    <w:rsid w:val="000D71DC"/>
    <w:rsid w:val="000D7245"/>
    <w:rsid w:val="000D7276"/>
    <w:rsid w:val="000D72BA"/>
    <w:rsid w:val="000D72E9"/>
    <w:rsid w:val="000D740F"/>
    <w:rsid w:val="000D7611"/>
    <w:rsid w:val="000D76FD"/>
    <w:rsid w:val="000D770F"/>
    <w:rsid w:val="000D777A"/>
    <w:rsid w:val="000D779E"/>
    <w:rsid w:val="000D790D"/>
    <w:rsid w:val="000D79B7"/>
    <w:rsid w:val="000D7B10"/>
    <w:rsid w:val="000D7B43"/>
    <w:rsid w:val="000D7CE5"/>
    <w:rsid w:val="000D7E1F"/>
    <w:rsid w:val="000E0009"/>
    <w:rsid w:val="000E001B"/>
    <w:rsid w:val="000E0210"/>
    <w:rsid w:val="000E0256"/>
    <w:rsid w:val="000E028C"/>
    <w:rsid w:val="000E042A"/>
    <w:rsid w:val="000E04E4"/>
    <w:rsid w:val="000E0568"/>
    <w:rsid w:val="000E057B"/>
    <w:rsid w:val="000E06CA"/>
    <w:rsid w:val="000E08D0"/>
    <w:rsid w:val="000E08FE"/>
    <w:rsid w:val="000E095D"/>
    <w:rsid w:val="000E0A74"/>
    <w:rsid w:val="000E0A7A"/>
    <w:rsid w:val="000E0B50"/>
    <w:rsid w:val="000E0CAB"/>
    <w:rsid w:val="000E0CEF"/>
    <w:rsid w:val="000E0CF0"/>
    <w:rsid w:val="000E0D30"/>
    <w:rsid w:val="000E0E55"/>
    <w:rsid w:val="000E0F24"/>
    <w:rsid w:val="000E1147"/>
    <w:rsid w:val="000E11AD"/>
    <w:rsid w:val="000E12C8"/>
    <w:rsid w:val="000E1308"/>
    <w:rsid w:val="000E1483"/>
    <w:rsid w:val="000E14C3"/>
    <w:rsid w:val="000E15E5"/>
    <w:rsid w:val="000E1601"/>
    <w:rsid w:val="000E162E"/>
    <w:rsid w:val="000E178A"/>
    <w:rsid w:val="000E195F"/>
    <w:rsid w:val="000E1CA4"/>
    <w:rsid w:val="000E1CF4"/>
    <w:rsid w:val="000E1DE1"/>
    <w:rsid w:val="000E1FFA"/>
    <w:rsid w:val="000E20B1"/>
    <w:rsid w:val="000E2146"/>
    <w:rsid w:val="000E2625"/>
    <w:rsid w:val="000E2702"/>
    <w:rsid w:val="000E2884"/>
    <w:rsid w:val="000E28AE"/>
    <w:rsid w:val="000E29A2"/>
    <w:rsid w:val="000E29B0"/>
    <w:rsid w:val="000E29B6"/>
    <w:rsid w:val="000E29F4"/>
    <w:rsid w:val="000E2E3D"/>
    <w:rsid w:val="000E2F0D"/>
    <w:rsid w:val="000E3015"/>
    <w:rsid w:val="000E3253"/>
    <w:rsid w:val="000E325B"/>
    <w:rsid w:val="000E32AD"/>
    <w:rsid w:val="000E3449"/>
    <w:rsid w:val="000E34E5"/>
    <w:rsid w:val="000E3530"/>
    <w:rsid w:val="000E3541"/>
    <w:rsid w:val="000E369A"/>
    <w:rsid w:val="000E36D8"/>
    <w:rsid w:val="000E380E"/>
    <w:rsid w:val="000E3A67"/>
    <w:rsid w:val="000E3BA2"/>
    <w:rsid w:val="000E3F6A"/>
    <w:rsid w:val="000E3FDD"/>
    <w:rsid w:val="000E401B"/>
    <w:rsid w:val="000E4086"/>
    <w:rsid w:val="000E40BF"/>
    <w:rsid w:val="000E416E"/>
    <w:rsid w:val="000E4428"/>
    <w:rsid w:val="000E446C"/>
    <w:rsid w:val="000E4474"/>
    <w:rsid w:val="000E4478"/>
    <w:rsid w:val="000E4551"/>
    <w:rsid w:val="000E4596"/>
    <w:rsid w:val="000E4639"/>
    <w:rsid w:val="000E4706"/>
    <w:rsid w:val="000E485B"/>
    <w:rsid w:val="000E4971"/>
    <w:rsid w:val="000E4972"/>
    <w:rsid w:val="000E49A4"/>
    <w:rsid w:val="000E4A59"/>
    <w:rsid w:val="000E4B0D"/>
    <w:rsid w:val="000E4B40"/>
    <w:rsid w:val="000E4CCE"/>
    <w:rsid w:val="000E4E9B"/>
    <w:rsid w:val="000E5185"/>
    <w:rsid w:val="000E5441"/>
    <w:rsid w:val="000E568D"/>
    <w:rsid w:val="000E57BD"/>
    <w:rsid w:val="000E5A91"/>
    <w:rsid w:val="000E5B85"/>
    <w:rsid w:val="000E5BB4"/>
    <w:rsid w:val="000E5C90"/>
    <w:rsid w:val="000E5E8B"/>
    <w:rsid w:val="000E5EF9"/>
    <w:rsid w:val="000E5F6D"/>
    <w:rsid w:val="000E5FA2"/>
    <w:rsid w:val="000E5FA6"/>
    <w:rsid w:val="000E61D7"/>
    <w:rsid w:val="000E6303"/>
    <w:rsid w:val="000E6495"/>
    <w:rsid w:val="000E6515"/>
    <w:rsid w:val="000E680F"/>
    <w:rsid w:val="000E696F"/>
    <w:rsid w:val="000E6B91"/>
    <w:rsid w:val="000E6E27"/>
    <w:rsid w:val="000E6F15"/>
    <w:rsid w:val="000E6F8D"/>
    <w:rsid w:val="000E7041"/>
    <w:rsid w:val="000E70B3"/>
    <w:rsid w:val="000E70E3"/>
    <w:rsid w:val="000E715A"/>
    <w:rsid w:val="000E7183"/>
    <w:rsid w:val="000E7280"/>
    <w:rsid w:val="000E73B4"/>
    <w:rsid w:val="000E74C0"/>
    <w:rsid w:val="000E7738"/>
    <w:rsid w:val="000E778D"/>
    <w:rsid w:val="000E779C"/>
    <w:rsid w:val="000E77EE"/>
    <w:rsid w:val="000E7B21"/>
    <w:rsid w:val="000E7BBB"/>
    <w:rsid w:val="000E7DA0"/>
    <w:rsid w:val="000E7DD8"/>
    <w:rsid w:val="000E7E54"/>
    <w:rsid w:val="000E7F01"/>
    <w:rsid w:val="000E7FA0"/>
    <w:rsid w:val="000F01E3"/>
    <w:rsid w:val="000F0277"/>
    <w:rsid w:val="000F067D"/>
    <w:rsid w:val="000F067F"/>
    <w:rsid w:val="000F0680"/>
    <w:rsid w:val="000F07A8"/>
    <w:rsid w:val="000F0964"/>
    <w:rsid w:val="000F09AB"/>
    <w:rsid w:val="000F0AE7"/>
    <w:rsid w:val="000F0CAA"/>
    <w:rsid w:val="000F0D6A"/>
    <w:rsid w:val="000F0F5F"/>
    <w:rsid w:val="000F0FE9"/>
    <w:rsid w:val="000F14EE"/>
    <w:rsid w:val="000F16D1"/>
    <w:rsid w:val="000F1800"/>
    <w:rsid w:val="000F1802"/>
    <w:rsid w:val="000F18A7"/>
    <w:rsid w:val="000F18B1"/>
    <w:rsid w:val="000F18B8"/>
    <w:rsid w:val="000F1999"/>
    <w:rsid w:val="000F1D60"/>
    <w:rsid w:val="000F1FD0"/>
    <w:rsid w:val="000F202D"/>
    <w:rsid w:val="000F2036"/>
    <w:rsid w:val="000F21B0"/>
    <w:rsid w:val="000F225B"/>
    <w:rsid w:val="000F2262"/>
    <w:rsid w:val="000F231F"/>
    <w:rsid w:val="000F237B"/>
    <w:rsid w:val="000F23B0"/>
    <w:rsid w:val="000F2604"/>
    <w:rsid w:val="000F26A9"/>
    <w:rsid w:val="000F26DD"/>
    <w:rsid w:val="000F28CE"/>
    <w:rsid w:val="000F2A10"/>
    <w:rsid w:val="000F2B20"/>
    <w:rsid w:val="000F2B25"/>
    <w:rsid w:val="000F2C3B"/>
    <w:rsid w:val="000F2D6D"/>
    <w:rsid w:val="000F2E48"/>
    <w:rsid w:val="000F2E7E"/>
    <w:rsid w:val="000F2EFE"/>
    <w:rsid w:val="000F2FDA"/>
    <w:rsid w:val="000F3094"/>
    <w:rsid w:val="000F3134"/>
    <w:rsid w:val="000F321B"/>
    <w:rsid w:val="000F337E"/>
    <w:rsid w:val="000F34D8"/>
    <w:rsid w:val="000F3530"/>
    <w:rsid w:val="000F3573"/>
    <w:rsid w:val="000F35D5"/>
    <w:rsid w:val="000F36DE"/>
    <w:rsid w:val="000F38B8"/>
    <w:rsid w:val="000F3A30"/>
    <w:rsid w:val="000F3A92"/>
    <w:rsid w:val="000F3BAB"/>
    <w:rsid w:val="000F3BF1"/>
    <w:rsid w:val="000F3C21"/>
    <w:rsid w:val="000F3ED7"/>
    <w:rsid w:val="000F406B"/>
    <w:rsid w:val="000F406C"/>
    <w:rsid w:val="000F40DD"/>
    <w:rsid w:val="000F41BA"/>
    <w:rsid w:val="000F435C"/>
    <w:rsid w:val="000F44AE"/>
    <w:rsid w:val="000F44D7"/>
    <w:rsid w:val="000F44F9"/>
    <w:rsid w:val="000F4567"/>
    <w:rsid w:val="000F45A3"/>
    <w:rsid w:val="000F46E6"/>
    <w:rsid w:val="000F4750"/>
    <w:rsid w:val="000F4794"/>
    <w:rsid w:val="000F47C5"/>
    <w:rsid w:val="000F4827"/>
    <w:rsid w:val="000F4839"/>
    <w:rsid w:val="000F4A9B"/>
    <w:rsid w:val="000F4B63"/>
    <w:rsid w:val="000F4CB3"/>
    <w:rsid w:val="000F4E83"/>
    <w:rsid w:val="000F4EE4"/>
    <w:rsid w:val="000F4EEA"/>
    <w:rsid w:val="000F50E8"/>
    <w:rsid w:val="000F5101"/>
    <w:rsid w:val="000F5171"/>
    <w:rsid w:val="000F523B"/>
    <w:rsid w:val="000F531A"/>
    <w:rsid w:val="000F53F4"/>
    <w:rsid w:val="000F5557"/>
    <w:rsid w:val="000F5563"/>
    <w:rsid w:val="000F55E3"/>
    <w:rsid w:val="000F5950"/>
    <w:rsid w:val="000F5BF7"/>
    <w:rsid w:val="000F5C0E"/>
    <w:rsid w:val="000F5C58"/>
    <w:rsid w:val="000F5C81"/>
    <w:rsid w:val="000F5EDA"/>
    <w:rsid w:val="000F5EFE"/>
    <w:rsid w:val="000F5F37"/>
    <w:rsid w:val="000F6006"/>
    <w:rsid w:val="000F62DD"/>
    <w:rsid w:val="000F62EA"/>
    <w:rsid w:val="000F652D"/>
    <w:rsid w:val="000F65A7"/>
    <w:rsid w:val="000F65F4"/>
    <w:rsid w:val="000F675F"/>
    <w:rsid w:val="000F6844"/>
    <w:rsid w:val="000F6B8B"/>
    <w:rsid w:val="000F6C35"/>
    <w:rsid w:val="000F6CF6"/>
    <w:rsid w:val="000F6F1B"/>
    <w:rsid w:val="000F7047"/>
    <w:rsid w:val="000F7196"/>
    <w:rsid w:val="000F71A8"/>
    <w:rsid w:val="000F72A3"/>
    <w:rsid w:val="000F72A5"/>
    <w:rsid w:val="000F7439"/>
    <w:rsid w:val="000F743C"/>
    <w:rsid w:val="000F74CE"/>
    <w:rsid w:val="000F763B"/>
    <w:rsid w:val="000F77E0"/>
    <w:rsid w:val="000F7830"/>
    <w:rsid w:val="000F7909"/>
    <w:rsid w:val="000F7BA0"/>
    <w:rsid w:val="000F7BC7"/>
    <w:rsid w:val="000F7EDA"/>
    <w:rsid w:val="0010002E"/>
    <w:rsid w:val="001001E5"/>
    <w:rsid w:val="001004AD"/>
    <w:rsid w:val="001004C3"/>
    <w:rsid w:val="00100877"/>
    <w:rsid w:val="00100945"/>
    <w:rsid w:val="0010094F"/>
    <w:rsid w:val="00100956"/>
    <w:rsid w:val="0010096A"/>
    <w:rsid w:val="00100AE8"/>
    <w:rsid w:val="00100B56"/>
    <w:rsid w:val="00100C80"/>
    <w:rsid w:val="00100E48"/>
    <w:rsid w:val="00100E53"/>
    <w:rsid w:val="00100F1F"/>
    <w:rsid w:val="00100F38"/>
    <w:rsid w:val="00100F49"/>
    <w:rsid w:val="001010AF"/>
    <w:rsid w:val="001010C5"/>
    <w:rsid w:val="001012DC"/>
    <w:rsid w:val="001012EA"/>
    <w:rsid w:val="001013CF"/>
    <w:rsid w:val="001015A6"/>
    <w:rsid w:val="0010161B"/>
    <w:rsid w:val="001017F5"/>
    <w:rsid w:val="0010182D"/>
    <w:rsid w:val="001018D8"/>
    <w:rsid w:val="001018EB"/>
    <w:rsid w:val="001019E1"/>
    <w:rsid w:val="00101B6E"/>
    <w:rsid w:val="00101B77"/>
    <w:rsid w:val="00101B9B"/>
    <w:rsid w:val="00101D21"/>
    <w:rsid w:val="0010208E"/>
    <w:rsid w:val="001020A7"/>
    <w:rsid w:val="001024BC"/>
    <w:rsid w:val="001024F2"/>
    <w:rsid w:val="001025D3"/>
    <w:rsid w:val="001026C4"/>
    <w:rsid w:val="001026C6"/>
    <w:rsid w:val="00102777"/>
    <w:rsid w:val="00102C76"/>
    <w:rsid w:val="0010315F"/>
    <w:rsid w:val="001032D7"/>
    <w:rsid w:val="00103532"/>
    <w:rsid w:val="00103593"/>
    <w:rsid w:val="00103606"/>
    <w:rsid w:val="00103666"/>
    <w:rsid w:val="0010366C"/>
    <w:rsid w:val="001036B3"/>
    <w:rsid w:val="001036FF"/>
    <w:rsid w:val="00103924"/>
    <w:rsid w:val="0010394C"/>
    <w:rsid w:val="00103988"/>
    <w:rsid w:val="00103A96"/>
    <w:rsid w:val="00103C6A"/>
    <w:rsid w:val="00103D0E"/>
    <w:rsid w:val="00103D29"/>
    <w:rsid w:val="00104267"/>
    <w:rsid w:val="0010428B"/>
    <w:rsid w:val="0010432C"/>
    <w:rsid w:val="001043C7"/>
    <w:rsid w:val="001045D7"/>
    <w:rsid w:val="001045FD"/>
    <w:rsid w:val="00104A76"/>
    <w:rsid w:val="00104AAB"/>
    <w:rsid w:val="00104ADD"/>
    <w:rsid w:val="00104B67"/>
    <w:rsid w:val="00104C3E"/>
    <w:rsid w:val="00104D74"/>
    <w:rsid w:val="00104EC7"/>
    <w:rsid w:val="0010523C"/>
    <w:rsid w:val="001054D0"/>
    <w:rsid w:val="001057C5"/>
    <w:rsid w:val="00105932"/>
    <w:rsid w:val="00105AB5"/>
    <w:rsid w:val="00105B10"/>
    <w:rsid w:val="00105B54"/>
    <w:rsid w:val="00105B9C"/>
    <w:rsid w:val="00105D25"/>
    <w:rsid w:val="00105D97"/>
    <w:rsid w:val="00105FBA"/>
    <w:rsid w:val="00106149"/>
    <w:rsid w:val="00106174"/>
    <w:rsid w:val="001062E5"/>
    <w:rsid w:val="00106527"/>
    <w:rsid w:val="00106631"/>
    <w:rsid w:val="00106773"/>
    <w:rsid w:val="001067F1"/>
    <w:rsid w:val="001068FA"/>
    <w:rsid w:val="0010693A"/>
    <w:rsid w:val="00106A7B"/>
    <w:rsid w:val="00106AB3"/>
    <w:rsid w:val="00106B23"/>
    <w:rsid w:val="00106C0D"/>
    <w:rsid w:val="00106C3D"/>
    <w:rsid w:val="00106E35"/>
    <w:rsid w:val="00106EEF"/>
    <w:rsid w:val="00106F39"/>
    <w:rsid w:val="00106FC0"/>
    <w:rsid w:val="00106FD6"/>
    <w:rsid w:val="001070C7"/>
    <w:rsid w:val="001071F3"/>
    <w:rsid w:val="00107304"/>
    <w:rsid w:val="00107430"/>
    <w:rsid w:val="00107671"/>
    <w:rsid w:val="00107859"/>
    <w:rsid w:val="00107AA0"/>
    <w:rsid w:val="00107B1F"/>
    <w:rsid w:val="00107C5A"/>
    <w:rsid w:val="00107CA3"/>
    <w:rsid w:val="00107CF4"/>
    <w:rsid w:val="00107D02"/>
    <w:rsid w:val="00107D70"/>
    <w:rsid w:val="00107D83"/>
    <w:rsid w:val="00107DDC"/>
    <w:rsid w:val="00107FA7"/>
    <w:rsid w:val="00110066"/>
    <w:rsid w:val="0011039D"/>
    <w:rsid w:val="00110420"/>
    <w:rsid w:val="00110507"/>
    <w:rsid w:val="00110638"/>
    <w:rsid w:val="00110B18"/>
    <w:rsid w:val="00110B2C"/>
    <w:rsid w:val="00110BEB"/>
    <w:rsid w:val="00110E9F"/>
    <w:rsid w:val="00110EE6"/>
    <w:rsid w:val="00110F69"/>
    <w:rsid w:val="001111BB"/>
    <w:rsid w:val="001111E2"/>
    <w:rsid w:val="00111254"/>
    <w:rsid w:val="00111348"/>
    <w:rsid w:val="001113AF"/>
    <w:rsid w:val="0011141C"/>
    <w:rsid w:val="00111436"/>
    <w:rsid w:val="001114A8"/>
    <w:rsid w:val="001114FF"/>
    <w:rsid w:val="00111634"/>
    <w:rsid w:val="00111816"/>
    <w:rsid w:val="00111A40"/>
    <w:rsid w:val="00111AC8"/>
    <w:rsid w:val="00111B67"/>
    <w:rsid w:val="00111C43"/>
    <w:rsid w:val="00111D95"/>
    <w:rsid w:val="00112132"/>
    <w:rsid w:val="0011217D"/>
    <w:rsid w:val="0011221F"/>
    <w:rsid w:val="00112365"/>
    <w:rsid w:val="00112801"/>
    <w:rsid w:val="00112922"/>
    <w:rsid w:val="00112A1E"/>
    <w:rsid w:val="00112ABA"/>
    <w:rsid w:val="00112AF2"/>
    <w:rsid w:val="00112D19"/>
    <w:rsid w:val="00112ED0"/>
    <w:rsid w:val="00112F8A"/>
    <w:rsid w:val="0011300D"/>
    <w:rsid w:val="0011318E"/>
    <w:rsid w:val="0011324B"/>
    <w:rsid w:val="00113417"/>
    <w:rsid w:val="0011341F"/>
    <w:rsid w:val="001134D9"/>
    <w:rsid w:val="00113509"/>
    <w:rsid w:val="00113560"/>
    <w:rsid w:val="0011394A"/>
    <w:rsid w:val="00113A93"/>
    <w:rsid w:val="00113CCD"/>
    <w:rsid w:val="00113FD0"/>
    <w:rsid w:val="00114002"/>
    <w:rsid w:val="00114194"/>
    <w:rsid w:val="00114383"/>
    <w:rsid w:val="001143E6"/>
    <w:rsid w:val="00114705"/>
    <w:rsid w:val="001147D2"/>
    <w:rsid w:val="0011485A"/>
    <w:rsid w:val="00114880"/>
    <w:rsid w:val="00114C99"/>
    <w:rsid w:val="00114D38"/>
    <w:rsid w:val="00114F3F"/>
    <w:rsid w:val="00114FBF"/>
    <w:rsid w:val="0011502F"/>
    <w:rsid w:val="00115097"/>
    <w:rsid w:val="00115126"/>
    <w:rsid w:val="00115278"/>
    <w:rsid w:val="0011529A"/>
    <w:rsid w:val="00115377"/>
    <w:rsid w:val="001153F0"/>
    <w:rsid w:val="00115551"/>
    <w:rsid w:val="0011570B"/>
    <w:rsid w:val="00115891"/>
    <w:rsid w:val="00115943"/>
    <w:rsid w:val="00115986"/>
    <w:rsid w:val="00115BF3"/>
    <w:rsid w:val="00115C37"/>
    <w:rsid w:val="00115DD2"/>
    <w:rsid w:val="001160CC"/>
    <w:rsid w:val="0011642C"/>
    <w:rsid w:val="00116611"/>
    <w:rsid w:val="0011667B"/>
    <w:rsid w:val="001169A4"/>
    <w:rsid w:val="00116AE6"/>
    <w:rsid w:val="00116B31"/>
    <w:rsid w:val="00116C35"/>
    <w:rsid w:val="00116CE5"/>
    <w:rsid w:val="00116DD7"/>
    <w:rsid w:val="00117066"/>
    <w:rsid w:val="0011716B"/>
    <w:rsid w:val="00117322"/>
    <w:rsid w:val="001175A5"/>
    <w:rsid w:val="0011761A"/>
    <w:rsid w:val="0011763C"/>
    <w:rsid w:val="00117880"/>
    <w:rsid w:val="00117992"/>
    <w:rsid w:val="00117A43"/>
    <w:rsid w:val="00117BE2"/>
    <w:rsid w:val="00117C82"/>
    <w:rsid w:val="00117DDB"/>
    <w:rsid w:val="00117EB4"/>
    <w:rsid w:val="00120056"/>
    <w:rsid w:val="001201E5"/>
    <w:rsid w:val="00120290"/>
    <w:rsid w:val="00120359"/>
    <w:rsid w:val="001206D9"/>
    <w:rsid w:val="00120740"/>
    <w:rsid w:val="00120795"/>
    <w:rsid w:val="00120882"/>
    <w:rsid w:val="00120A07"/>
    <w:rsid w:val="00120A37"/>
    <w:rsid w:val="00120AB7"/>
    <w:rsid w:val="00120D32"/>
    <w:rsid w:val="00121026"/>
    <w:rsid w:val="001215CD"/>
    <w:rsid w:val="00121606"/>
    <w:rsid w:val="0012174E"/>
    <w:rsid w:val="001218A5"/>
    <w:rsid w:val="00121BD8"/>
    <w:rsid w:val="00121C11"/>
    <w:rsid w:val="00121CB9"/>
    <w:rsid w:val="00121CBD"/>
    <w:rsid w:val="00121D4E"/>
    <w:rsid w:val="00121D85"/>
    <w:rsid w:val="00121EAF"/>
    <w:rsid w:val="00121F72"/>
    <w:rsid w:val="00122068"/>
    <w:rsid w:val="00122179"/>
    <w:rsid w:val="001223D9"/>
    <w:rsid w:val="00122529"/>
    <w:rsid w:val="0012253E"/>
    <w:rsid w:val="00122711"/>
    <w:rsid w:val="0012290C"/>
    <w:rsid w:val="00122BA2"/>
    <w:rsid w:val="00122DF8"/>
    <w:rsid w:val="00122E4E"/>
    <w:rsid w:val="00122F84"/>
    <w:rsid w:val="0012300A"/>
    <w:rsid w:val="00123079"/>
    <w:rsid w:val="001231E7"/>
    <w:rsid w:val="00123358"/>
    <w:rsid w:val="00123440"/>
    <w:rsid w:val="0012356D"/>
    <w:rsid w:val="00123579"/>
    <w:rsid w:val="001239BA"/>
    <w:rsid w:val="001239E0"/>
    <w:rsid w:val="00123A31"/>
    <w:rsid w:val="00123A6F"/>
    <w:rsid w:val="00123AFF"/>
    <w:rsid w:val="00123B17"/>
    <w:rsid w:val="00123B35"/>
    <w:rsid w:val="00123B98"/>
    <w:rsid w:val="00123C06"/>
    <w:rsid w:val="00123D6A"/>
    <w:rsid w:val="00123E01"/>
    <w:rsid w:val="00123F27"/>
    <w:rsid w:val="00124007"/>
    <w:rsid w:val="00124047"/>
    <w:rsid w:val="0012414D"/>
    <w:rsid w:val="0012423A"/>
    <w:rsid w:val="0012438F"/>
    <w:rsid w:val="00124453"/>
    <w:rsid w:val="00124464"/>
    <w:rsid w:val="0012447B"/>
    <w:rsid w:val="00124556"/>
    <w:rsid w:val="00124782"/>
    <w:rsid w:val="001247CF"/>
    <w:rsid w:val="0012487D"/>
    <w:rsid w:val="00124999"/>
    <w:rsid w:val="00124C55"/>
    <w:rsid w:val="00124CFC"/>
    <w:rsid w:val="00124D5A"/>
    <w:rsid w:val="00124D97"/>
    <w:rsid w:val="00124EE6"/>
    <w:rsid w:val="00124F60"/>
    <w:rsid w:val="00124FDA"/>
    <w:rsid w:val="00125161"/>
    <w:rsid w:val="0012529E"/>
    <w:rsid w:val="0012533B"/>
    <w:rsid w:val="00125449"/>
    <w:rsid w:val="0012565B"/>
    <w:rsid w:val="001256F2"/>
    <w:rsid w:val="0012572E"/>
    <w:rsid w:val="0012582B"/>
    <w:rsid w:val="001258F3"/>
    <w:rsid w:val="0012595C"/>
    <w:rsid w:val="0012596F"/>
    <w:rsid w:val="00125AC3"/>
    <w:rsid w:val="00125D6B"/>
    <w:rsid w:val="00125EBC"/>
    <w:rsid w:val="00126072"/>
    <w:rsid w:val="001260EC"/>
    <w:rsid w:val="00126144"/>
    <w:rsid w:val="00126327"/>
    <w:rsid w:val="001264AF"/>
    <w:rsid w:val="001264FD"/>
    <w:rsid w:val="00126830"/>
    <w:rsid w:val="00126A3F"/>
    <w:rsid w:val="00126A75"/>
    <w:rsid w:val="00126B3C"/>
    <w:rsid w:val="00126D7D"/>
    <w:rsid w:val="00126DF0"/>
    <w:rsid w:val="00126E25"/>
    <w:rsid w:val="00127030"/>
    <w:rsid w:val="0012714B"/>
    <w:rsid w:val="00127176"/>
    <w:rsid w:val="00127241"/>
    <w:rsid w:val="001274BE"/>
    <w:rsid w:val="001276E3"/>
    <w:rsid w:val="00127802"/>
    <w:rsid w:val="00127955"/>
    <w:rsid w:val="00127A06"/>
    <w:rsid w:val="00127B15"/>
    <w:rsid w:val="00127B1A"/>
    <w:rsid w:val="00127CAA"/>
    <w:rsid w:val="00127D25"/>
    <w:rsid w:val="00127D94"/>
    <w:rsid w:val="00127F5A"/>
    <w:rsid w:val="00130032"/>
    <w:rsid w:val="00130131"/>
    <w:rsid w:val="0013020B"/>
    <w:rsid w:val="00130312"/>
    <w:rsid w:val="001304CF"/>
    <w:rsid w:val="0013081E"/>
    <w:rsid w:val="00130ACE"/>
    <w:rsid w:val="00130B4B"/>
    <w:rsid w:val="00130C59"/>
    <w:rsid w:val="00130D7A"/>
    <w:rsid w:val="00130FAC"/>
    <w:rsid w:val="00130FCC"/>
    <w:rsid w:val="0013103A"/>
    <w:rsid w:val="00131040"/>
    <w:rsid w:val="00131055"/>
    <w:rsid w:val="00131069"/>
    <w:rsid w:val="001311B2"/>
    <w:rsid w:val="0013122A"/>
    <w:rsid w:val="001315D5"/>
    <w:rsid w:val="0013161D"/>
    <w:rsid w:val="001316D5"/>
    <w:rsid w:val="00131704"/>
    <w:rsid w:val="0013190A"/>
    <w:rsid w:val="00131A67"/>
    <w:rsid w:val="00131BCF"/>
    <w:rsid w:val="00131D94"/>
    <w:rsid w:val="00131E1A"/>
    <w:rsid w:val="00131F0B"/>
    <w:rsid w:val="00131FDB"/>
    <w:rsid w:val="00132131"/>
    <w:rsid w:val="0013217B"/>
    <w:rsid w:val="00132464"/>
    <w:rsid w:val="0013255E"/>
    <w:rsid w:val="001328CF"/>
    <w:rsid w:val="00132945"/>
    <w:rsid w:val="001329EA"/>
    <w:rsid w:val="00132C82"/>
    <w:rsid w:val="00132CEC"/>
    <w:rsid w:val="00132D8E"/>
    <w:rsid w:val="001330DF"/>
    <w:rsid w:val="001331A0"/>
    <w:rsid w:val="001331EE"/>
    <w:rsid w:val="00133272"/>
    <w:rsid w:val="001332EC"/>
    <w:rsid w:val="0013333C"/>
    <w:rsid w:val="00133347"/>
    <w:rsid w:val="00133437"/>
    <w:rsid w:val="0013350B"/>
    <w:rsid w:val="001335BF"/>
    <w:rsid w:val="00133660"/>
    <w:rsid w:val="0013380A"/>
    <w:rsid w:val="0013382F"/>
    <w:rsid w:val="00133954"/>
    <w:rsid w:val="001339A8"/>
    <w:rsid w:val="00133B15"/>
    <w:rsid w:val="00133BB4"/>
    <w:rsid w:val="00133CBC"/>
    <w:rsid w:val="00133D2C"/>
    <w:rsid w:val="00133D32"/>
    <w:rsid w:val="00133E79"/>
    <w:rsid w:val="00133E86"/>
    <w:rsid w:val="00133F8F"/>
    <w:rsid w:val="0013401D"/>
    <w:rsid w:val="0013403D"/>
    <w:rsid w:val="0013412F"/>
    <w:rsid w:val="00134244"/>
    <w:rsid w:val="0013427D"/>
    <w:rsid w:val="00134403"/>
    <w:rsid w:val="00134546"/>
    <w:rsid w:val="001348A2"/>
    <w:rsid w:val="001349B0"/>
    <w:rsid w:val="001349FC"/>
    <w:rsid w:val="00134A65"/>
    <w:rsid w:val="00135170"/>
    <w:rsid w:val="001351E6"/>
    <w:rsid w:val="00135222"/>
    <w:rsid w:val="001352D1"/>
    <w:rsid w:val="0013555A"/>
    <w:rsid w:val="001356A2"/>
    <w:rsid w:val="00135816"/>
    <w:rsid w:val="0013589D"/>
    <w:rsid w:val="00135ABF"/>
    <w:rsid w:val="00135BEA"/>
    <w:rsid w:val="00135E94"/>
    <w:rsid w:val="00136040"/>
    <w:rsid w:val="0013608D"/>
    <w:rsid w:val="00136423"/>
    <w:rsid w:val="0013649B"/>
    <w:rsid w:val="001365A0"/>
    <w:rsid w:val="001365E1"/>
    <w:rsid w:val="00136842"/>
    <w:rsid w:val="001368F9"/>
    <w:rsid w:val="00136A38"/>
    <w:rsid w:val="00136C98"/>
    <w:rsid w:val="00136F29"/>
    <w:rsid w:val="00136F84"/>
    <w:rsid w:val="001370F7"/>
    <w:rsid w:val="0013718B"/>
    <w:rsid w:val="001371EF"/>
    <w:rsid w:val="0013747B"/>
    <w:rsid w:val="0013753E"/>
    <w:rsid w:val="00137641"/>
    <w:rsid w:val="0013767B"/>
    <w:rsid w:val="001376E9"/>
    <w:rsid w:val="0013771F"/>
    <w:rsid w:val="00137807"/>
    <w:rsid w:val="00137854"/>
    <w:rsid w:val="001379C1"/>
    <w:rsid w:val="00137A2F"/>
    <w:rsid w:val="00137A5A"/>
    <w:rsid w:val="00137A7B"/>
    <w:rsid w:val="00137AD4"/>
    <w:rsid w:val="00137E0A"/>
    <w:rsid w:val="00137F71"/>
    <w:rsid w:val="00137F95"/>
    <w:rsid w:val="00140277"/>
    <w:rsid w:val="001403B7"/>
    <w:rsid w:val="001403F0"/>
    <w:rsid w:val="00140412"/>
    <w:rsid w:val="0014041F"/>
    <w:rsid w:val="0014043E"/>
    <w:rsid w:val="001404C4"/>
    <w:rsid w:val="001406C7"/>
    <w:rsid w:val="001407AB"/>
    <w:rsid w:val="001409F5"/>
    <w:rsid w:val="00140B20"/>
    <w:rsid w:val="00140D85"/>
    <w:rsid w:val="001410FA"/>
    <w:rsid w:val="00141289"/>
    <w:rsid w:val="00141407"/>
    <w:rsid w:val="001414BF"/>
    <w:rsid w:val="00141544"/>
    <w:rsid w:val="001415D8"/>
    <w:rsid w:val="0014176C"/>
    <w:rsid w:val="00141886"/>
    <w:rsid w:val="00141BA7"/>
    <w:rsid w:val="00141C28"/>
    <w:rsid w:val="00141D2D"/>
    <w:rsid w:val="00141EDE"/>
    <w:rsid w:val="00141F01"/>
    <w:rsid w:val="00141F16"/>
    <w:rsid w:val="001420B0"/>
    <w:rsid w:val="0014214B"/>
    <w:rsid w:val="001422CE"/>
    <w:rsid w:val="00142352"/>
    <w:rsid w:val="001423DD"/>
    <w:rsid w:val="0014255F"/>
    <w:rsid w:val="00142605"/>
    <w:rsid w:val="001426E0"/>
    <w:rsid w:val="00142756"/>
    <w:rsid w:val="0014286F"/>
    <w:rsid w:val="00142937"/>
    <w:rsid w:val="00142A20"/>
    <w:rsid w:val="00142B9A"/>
    <w:rsid w:val="00142D08"/>
    <w:rsid w:val="00143071"/>
    <w:rsid w:val="001431EF"/>
    <w:rsid w:val="001432CF"/>
    <w:rsid w:val="0014352F"/>
    <w:rsid w:val="001435BC"/>
    <w:rsid w:val="00143784"/>
    <w:rsid w:val="00143937"/>
    <w:rsid w:val="00143A0B"/>
    <w:rsid w:val="00143ADD"/>
    <w:rsid w:val="00143B87"/>
    <w:rsid w:val="00143C1E"/>
    <w:rsid w:val="00143E36"/>
    <w:rsid w:val="00144116"/>
    <w:rsid w:val="00144283"/>
    <w:rsid w:val="0014432E"/>
    <w:rsid w:val="00144555"/>
    <w:rsid w:val="0014455E"/>
    <w:rsid w:val="001445D4"/>
    <w:rsid w:val="0014465B"/>
    <w:rsid w:val="001446FC"/>
    <w:rsid w:val="001447A4"/>
    <w:rsid w:val="00144901"/>
    <w:rsid w:val="00144963"/>
    <w:rsid w:val="00144AF1"/>
    <w:rsid w:val="00144B0B"/>
    <w:rsid w:val="00144BEC"/>
    <w:rsid w:val="00144C39"/>
    <w:rsid w:val="00144D8D"/>
    <w:rsid w:val="00144E52"/>
    <w:rsid w:val="00144EA5"/>
    <w:rsid w:val="00144F21"/>
    <w:rsid w:val="0014502B"/>
    <w:rsid w:val="00145096"/>
    <w:rsid w:val="0014517A"/>
    <w:rsid w:val="00145290"/>
    <w:rsid w:val="0014529B"/>
    <w:rsid w:val="00145392"/>
    <w:rsid w:val="0014541B"/>
    <w:rsid w:val="0014544A"/>
    <w:rsid w:val="001455EA"/>
    <w:rsid w:val="0014565B"/>
    <w:rsid w:val="0014579E"/>
    <w:rsid w:val="00145811"/>
    <w:rsid w:val="001458D6"/>
    <w:rsid w:val="00145AF7"/>
    <w:rsid w:val="00145DA2"/>
    <w:rsid w:val="00145DA8"/>
    <w:rsid w:val="00145FBC"/>
    <w:rsid w:val="00145FFD"/>
    <w:rsid w:val="001461E9"/>
    <w:rsid w:val="0014629A"/>
    <w:rsid w:val="0014630E"/>
    <w:rsid w:val="001463A6"/>
    <w:rsid w:val="0014657C"/>
    <w:rsid w:val="0014662B"/>
    <w:rsid w:val="00146761"/>
    <w:rsid w:val="001467EF"/>
    <w:rsid w:val="00146A82"/>
    <w:rsid w:val="00146BA3"/>
    <w:rsid w:val="00146C46"/>
    <w:rsid w:val="00146C4D"/>
    <w:rsid w:val="00146D82"/>
    <w:rsid w:val="00146DBB"/>
    <w:rsid w:val="00147125"/>
    <w:rsid w:val="0014716C"/>
    <w:rsid w:val="001471CC"/>
    <w:rsid w:val="00147355"/>
    <w:rsid w:val="001475FE"/>
    <w:rsid w:val="0014774E"/>
    <w:rsid w:val="001479A7"/>
    <w:rsid w:val="00147A03"/>
    <w:rsid w:val="00147B79"/>
    <w:rsid w:val="00147BB3"/>
    <w:rsid w:val="00147BD8"/>
    <w:rsid w:val="00147BD9"/>
    <w:rsid w:val="00147CC3"/>
    <w:rsid w:val="00147D1F"/>
    <w:rsid w:val="00147D2D"/>
    <w:rsid w:val="00147D66"/>
    <w:rsid w:val="00147D78"/>
    <w:rsid w:val="00147E91"/>
    <w:rsid w:val="00147F86"/>
    <w:rsid w:val="00150184"/>
    <w:rsid w:val="001502F7"/>
    <w:rsid w:val="0015034C"/>
    <w:rsid w:val="0015035C"/>
    <w:rsid w:val="00150360"/>
    <w:rsid w:val="001505F9"/>
    <w:rsid w:val="001506F7"/>
    <w:rsid w:val="00150725"/>
    <w:rsid w:val="001507EC"/>
    <w:rsid w:val="0015089B"/>
    <w:rsid w:val="00150B09"/>
    <w:rsid w:val="00150C7C"/>
    <w:rsid w:val="00150FD1"/>
    <w:rsid w:val="00151055"/>
    <w:rsid w:val="0015123E"/>
    <w:rsid w:val="0015127E"/>
    <w:rsid w:val="0015133F"/>
    <w:rsid w:val="00151388"/>
    <w:rsid w:val="00151540"/>
    <w:rsid w:val="001517CF"/>
    <w:rsid w:val="00151B61"/>
    <w:rsid w:val="00151B65"/>
    <w:rsid w:val="00151B8A"/>
    <w:rsid w:val="00151F73"/>
    <w:rsid w:val="001520FC"/>
    <w:rsid w:val="00152100"/>
    <w:rsid w:val="001522A8"/>
    <w:rsid w:val="001522F2"/>
    <w:rsid w:val="0015230E"/>
    <w:rsid w:val="0015231C"/>
    <w:rsid w:val="0015235B"/>
    <w:rsid w:val="001523B4"/>
    <w:rsid w:val="00152413"/>
    <w:rsid w:val="001524C6"/>
    <w:rsid w:val="001526CF"/>
    <w:rsid w:val="0015273B"/>
    <w:rsid w:val="00152989"/>
    <w:rsid w:val="00152A8E"/>
    <w:rsid w:val="00152BF2"/>
    <w:rsid w:val="00152C1B"/>
    <w:rsid w:val="00152E6F"/>
    <w:rsid w:val="00152EF4"/>
    <w:rsid w:val="00152F08"/>
    <w:rsid w:val="00152F8F"/>
    <w:rsid w:val="00152FC3"/>
    <w:rsid w:val="0015306D"/>
    <w:rsid w:val="00153163"/>
    <w:rsid w:val="0015319A"/>
    <w:rsid w:val="001534F7"/>
    <w:rsid w:val="00153529"/>
    <w:rsid w:val="0015370F"/>
    <w:rsid w:val="0015387D"/>
    <w:rsid w:val="00153890"/>
    <w:rsid w:val="00153BD5"/>
    <w:rsid w:val="00153CA5"/>
    <w:rsid w:val="00153E69"/>
    <w:rsid w:val="0015400B"/>
    <w:rsid w:val="00154107"/>
    <w:rsid w:val="001542E0"/>
    <w:rsid w:val="0015442C"/>
    <w:rsid w:val="00154440"/>
    <w:rsid w:val="0015446D"/>
    <w:rsid w:val="0015458C"/>
    <w:rsid w:val="001546CE"/>
    <w:rsid w:val="00154741"/>
    <w:rsid w:val="001547DE"/>
    <w:rsid w:val="001547E4"/>
    <w:rsid w:val="00154AF3"/>
    <w:rsid w:val="00154B0B"/>
    <w:rsid w:val="00154B1A"/>
    <w:rsid w:val="00154D47"/>
    <w:rsid w:val="00154EF0"/>
    <w:rsid w:val="00154FFC"/>
    <w:rsid w:val="00155196"/>
    <w:rsid w:val="001551B9"/>
    <w:rsid w:val="001551D6"/>
    <w:rsid w:val="001552B0"/>
    <w:rsid w:val="00155437"/>
    <w:rsid w:val="00155479"/>
    <w:rsid w:val="00155804"/>
    <w:rsid w:val="00155984"/>
    <w:rsid w:val="001559D7"/>
    <w:rsid w:val="00155C30"/>
    <w:rsid w:val="00155CAA"/>
    <w:rsid w:val="00155D05"/>
    <w:rsid w:val="00155F29"/>
    <w:rsid w:val="00155F59"/>
    <w:rsid w:val="001561D4"/>
    <w:rsid w:val="00156456"/>
    <w:rsid w:val="001568E1"/>
    <w:rsid w:val="0015690D"/>
    <w:rsid w:val="0015696B"/>
    <w:rsid w:val="00156C14"/>
    <w:rsid w:val="00156CE6"/>
    <w:rsid w:val="00156D76"/>
    <w:rsid w:val="00156F64"/>
    <w:rsid w:val="00156FDE"/>
    <w:rsid w:val="0015742B"/>
    <w:rsid w:val="0015753C"/>
    <w:rsid w:val="00157610"/>
    <w:rsid w:val="001577E4"/>
    <w:rsid w:val="00157A3F"/>
    <w:rsid w:val="00157B92"/>
    <w:rsid w:val="00157CF7"/>
    <w:rsid w:val="00157E75"/>
    <w:rsid w:val="00160295"/>
    <w:rsid w:val="001602C5"/>
    <w:rsid w:val="00160345"/>
    <w:rsid w:val="00160369"/>
    <w:rsid w:val="00160409"/>
    <w:rsid w:val="00160460"/>
    <w:rsid w:val="00160585"/>
    <w:rsid w:val="001606E0"/>
    <w:rsid w:val="001606FD"/>
    <w:rsid w:val="00160758"/>
    <w:rsid w:val="001607AA"/>
    <w:rsid w:val="001609EC"/>
    <w:rsid w:val="00160A6A"/>
    <w:rsid w:val="00160B5C"/>
    <w:rsid w:val="00160C9E"/>
    <w:rsid w:val="00160CA1"/>
    <w:rsid w:val="00160DC1"/>
    <w:rsid w:val="00160E59"/>
    <w:rsid w:val="0016100F"/>
    <w:rsid w:val="0016105E"/>
    <w:rsid w:val="001612A3"/>
    <w:rsid w:val="0016155B"/>
    <w:rsid w:val="001616EB"/>
    <w:rsid w:val="00161781"/>
    <w:rsid w:val="00161869"/>
    <w:rsid w:val="00161893"/>
    <w:rsid w:val="00161956"/>
    <w:rsid w:val="001619E3"/>
    <w:rsid w:val="00161BD8"/>
    <w:rsid w:val="00161D69"/>
    <w:rsid w:val="00161F7D"/>
    <w:rsid w:val="00161FF2"/>
    <w:rsid w:val="00162159"/>
    <w:rsid w:val="001621D9"/>
    <w:rsid w:val="00162333"/>
    <w:rsid w:val="001623F5"/>
    <w:rsid w:val="001623FD"/>
    <w:rsid w:val="00162446"/>
    <w:rsid w:val="00162500"/>
    <w:rsid w:val="0016261A"/>
    <w:rsid w:val="00162707"/>
    <w:rsid w:val="00162797"/>
    <w:rsid w:val="001627CC"/>
    <w:rsid w:val="00162975"/>
    <w:rsid w:val="00162EC7"/>
    <w:rsid w:val="001631BF"/>
    <w:rsid w:val="0016325A"/>
    <w:rsid w:val="00163271"/>
    <w:rsid w:val="00163357"/>
    <w:rsid w:val="001635BC"/>
    <w:rsid w:val="001636EC"/>
    <w:rsid w:val="001637DF"/>
    <w:rsid w:val="00163A9E"/>
    <w:rsid w:val="00163B35"/>
    <w:rsid w:val="00163D72"/>
    <w:rsid w:val="00164017"/>
    <w:rsid w:val="0016415D"/>
    <w:rsid w:val="001641E7"/>
    <w:rsid w:val="00164219"/>
    <w:rsid w:val="001644A5"/>
    <w:rsid w:val="001644D4"/>
    <w:rsid w:val="00164633"/>
    <w:rsid w:val="00164A4B"/>
    <w:rsid w:val="00164B79"/>
    <w:rsid w:val="00164F82"/>
    <w:rsid w:val="00165025"/>
    <w:rsid w:val="0016507D"/>
    <w:rsid w:val="00165256"/>
    <w:rsid w:val="00165261"/>
    <w:rsid w:val="00165297"/>
    <w:rsid w:val="0016537D"/>
    <w:rsid w:val="0016538C"/>
    <w:rsid w:val="0016572F"/>
    <w:rsid w:val="001659CD"/>
    <w:rsid w:val="00165AB7"/>
    <w:rsid w:val="00165B08"/>
    <w:rsid w:val="00165B5A"/>
    <w:rsid w:val="00165BF9"/>
    <w:rsid w:val="00165E14"/>
    <w:rsid w:val="00165E60"/>
    <w:rsid w:val="00165EAE"/>
    <w:rsid w:val="0016608E"/>
    <w:rsid w:val="001662A1"/>
    <w:rsid w:val="001662D3"/>
    <w:rsid w:val="001665C7"/>
    <w:rsid w:val="00166645"/>
    <w:rsid w:val="0016696E"/>
    <w:rsid w:val="0016698E"/>
    <w:rsid w:val="001669E7"/>
    <w:rsid w:val="00166A49"/>
    <w:rsid w:val="00166BEE"/>
    <w:rsid w:val="001670F1"/>
    <w:rsid w:val="0016712E"/>
    <w:rsid w:val="00167240"/>
    <w:rsid w:val="00167528"/>
    <w:rsid w:val="00167654"/>
    <w:rsid w:val="00167900"/>
    <w:rsid w:val="00167981"/>
    <w:rsid w:val="001679B3"/>
    <w:rsid w:val="00167BD7"/>
    <w:rsid w:val="00167C32"/>
    <w:rsid w:val="00167C9E"/>
    <w:rsid w:val="00167E25"/>
    <w:rsid w:val="00167EE3"/>
    <w:rsid w:val="00167F77"/>
    <w:rsid w:val="00170074"/>
    <w:rsid w:val="0017008A"/>
    <w:rsid w:val="00170138"/>
    <w:rsid w:val="00170341"/>
    <w:rsid w:val="001703A6"/>
    <w:rsid w:val="00170426"/>
    <w:rsid w:val="001705F5"/>
    <w:rsid w:val="001708B2"/>
    <w:rsid w:val="0017094B"/>
    <w:rsid w:val="00170C10"/>
    <w:rsid w:val="00170E28"/>
    <w:rsid w:val="00170E67"/>
    <w:rsid w:val="00171002"/>
    <w:rsid w:val="00171022"/>
    <w:rsid w:val="00171240"/>
    <w:rsid w:val="001714F8"/>
    <w:rsid w:val="00171664"/>
    <w:rsid w:val="00171857"/>
    <w:rsid w:val="001718F1"/>
    <w:rsid w:val="00171A4E"/>
    <w:rsid w:val="00171ADC"/>
    <w:rsid w:val="00171BE0"/>
    <w:rsid w:val="00171CE3"/>
    <w:rsid w:val="00171D0F"/>
    <w:rsid w:val="00171E4E"/>
    <w:rsid w:val="00171FD2"/>
    <w:rsid w:val="0017219C"/>
    <w:rsid w:val="001721B7"/>
    <w:rsid w:val="00172407"/>
    <w:rsid w:val="0017245F"/>
    <w:rsid w:val="001724B7"/>
    <w:rsid w:val="0017266D"/>
    <w:rsid w:val="001729F1"/>
    <w:rsid w:val="00172E1D"/>
    <w:rsid w:val="00172F36"/>
    <w:rsid w:val="001731BA"/>
    <w:rsid w:val="00173356"/>
    <w:rsid w:val="001738C2"/>
    <w:rsid w:val="00173975"/>
    <w:rsid w:val="00173B4F"/>
    <w:rsid w:val="00173BEC"/>
    <w:rsid w:val="00173C7A"/>
    <w:rsid w:val="00173C81"/>
    <w:rsid w:val="00173E24"/>
    <w:rsid w:val="00173E8C"/>
    <w:rsid w:val="00173FBC"/>
    <w:rsid w:val="00173FE8"/>
    <w:rsid w:val="001740C4"/>
    <w:rsid w:val="001740C5"/>
    <w:rsid w:val="00174565"/>
    <w:rsid w:val="0017476A"/>
    <w:rsid w:val="0017476C"/>
    <w:rsid w:val="00174D78"/>
    <w:rsid w:val="00174F23"/>
    <w:rsid w:val="00174F6B"/>
    <w:rsid w:val="00174F96"/>
    <w:rsid w:val="00175034"/>
    <w:rsid w:val="0017503C"/>
    <w:rsid w:val="0017507C"/>
    <w:rsid w:val="001750A4"/>
    <w:rsid w:val="00175135"/>
    <w:rsid w:val="001753FF"/>
    <w:rsid w:val="0017559B"/>
    <w:rsid w:val="00175713"/>
    <w:rsid w:val="001758F1"/>
    <w:rsid w:val="00175BC6"/>
    <w:rsid w:val="00175E3A"/>
    <w:rsid w:val="00176279"/>
    <w:rsid w:val="00176301"/>
    <w:rsid w:val="001763A6"/>
    <w:rsid w:val="001763B7"/>
    <w:rsid w:val="001765E6"/>
    <w:rsid w:val="00176617"/>
    <w:rsid w:val="00176729"/>
    <w:rsid w:val="00176AEE"/>
    <w:rsid w:val="00176BE3"/>
    <w:rsid w:val="00176BFA"/>
    <w:rsid w:val="00176F4A"/>
    <w:rsid w:val="00176FDB"/>
    <w:rsid w:val="001772E4"/>
    <w:rsid w:val="00177529"/>
    <w:rsid w:val="00177698"/>
    <w:rsid w:val="001777E9"/>
    <w:rsid w:val="001778FA"/>
    <w:rsid w:val="001778FD"/>
    <w:rsid w:val="00177A46"/>
    <w:rsid w:val="00177AB6"/>
    <w:rsid w:val="00177CB4"/>
    <w:rsid w:val="00177E60"/>
    <w:rsid w:val="0018007B"/>
    <w:rsid w:val="0018018B"/>
    <w:rsid w:val="001804DD"/>
    <w:rsid w:val="00180508"/>
    <w:rsid w:val="001805C2"/>
    <w:rsid w:val="00180712"/>
    <w:rsid w:val="00180803"/>
    <w:rsid w:val="001808BB"/>
    <w:rsid w:val="001809C0"/>
    <w:rsid w:val="00180A53"/>
    <w:rsid w:val="00180C82"/>
    <w:rsid w:val="00180D58"/>
    <w:rsid w:val="00180E71"/>
    <w:rsid w:val="00180F04"/>
    <w:rsid w:val="00180FD6"/>
    <w:rsid w:val="0018107D"/>
    <w:rsid w:val="001810A6"/>
    <w:rsid w:val="0018115B"/>
    <w:rsid w:val="001811E8"/>
    <w:rsid w:val="00181331"/>
    <w:rsid w:val="0018143A"/>
    <w:rsid w:val="00181A72"/>
    <w:rsid w:val="00181A7A"/>
    <w:rsid w:val="00181ABF"/>
    <w:rsid w:val="00181B81"/>
    <w:rsid w:val="00181CA7"/>
    <w:rsid w:val="00181DC8"/>
    <w:rsid w:val="00182215"/>
    <w:rsid w:val="001824C6"/>
    <w:rsid w:val="001824F9"/>
    <w:rsid w:val="00182680"/>
    <w:rsid w:val="001827B0"/>
    <w:rsid w:val="001827D0"/>
    <w:rsid w:val="00182819"/>
    <w:rsid w:val="001828F4"/>
    <w:rsid w:val="00182A0C"/>
    <w:rsid w:val="00182B81"/>
    <w:rsid w:val="00182CA2"/>
    <w:rsid w:val="00182EBD"/>
    <w:rsid w:val="0018308C"/>
    <w:rsid w:val="0018335B"/>
    <w:rsid w:val="001835A4"/>
    <w:rsid w:val="001835AD"/>
    <w:rsid w:val="0018378E"/>
    <w:rsid w:val="001837D4"/>
    <w:rsid w:val="00183838"/>
    <w:rsid w:val="0018388D"/>
    <w:rsid w:val="00183B90"/>
    <w:rsid w:val="00184225"/>
    <w:rsid w:val="00184249"/>
    <w:rsid w:val="001842DA"/>
    <w:rsid w:val="001843FF"/>
    <w:rsid w:val="001847B9"/>
    <w:rsid w:val="0018487B"/>
    <w:rsid w:val="00184BA2"/>
    <w:rsid w:val="00184C7A"/>
    <w:rsid w:val="00184C9F"/>
    <w:rsid w:val="00184D2A"/>
    <w:rsid w:val="00184DA9"/>
    <w:rsid w:val="00184DCC"/>
    <w:rsid w:val="0018505D"/>
    <w:rsid w:val="0018515D"/>
    <w:rsid w:val="0018516E"/>
    <w:rsid w:val="00185191"/>
    <w:rsid w:val="00185361"/>
    <w:rsid w:val="0018556D"/>
    <w:rsid w:val="00185808"/>
    <w:rsid w:val="00185969"/>
    <w:rsid w:val="001859A3"/>
    <w:rsid w:val="00185A75"/>
    <w:rsid w:val="00185B09"/>
    <w:rsid w:val="00185D4B"/>
    <w:rsid w:val="00185DE4"/>
    <w:rsid w:val="001860FD"/>
    <w:rsid w:val="00186259"/>
    <w:rsid w:val="00186281"/>
    <w:rsid w:val="0018637C"/>
    <w:rsid w:val="00186470"/>
    <w:rsid w:val="00186547"/>
    <w:rsid w:val="0018668E"/>
    <w:rsid w:val="00186818"/>
    <w:rsid w:val="001869F0"/>
    <w:rsid w:val="00186BC6"/>
    <w:rsid w:val="00186BF1"/>
    <w:rsid w:val="00186C73"/>
    <w:rsid w:val="00186D34"/>
    <w:rsid w:val="00186D43"/>
    <w:rsid w:val="00186DC2"/>
    <w:rsid w:val="001872BD"/>
    <w:rsid w:val="00187303"/>
    <w:rsid w:val="00187369"/>
    <w:rsid w:val="00187759"/>
    <w:rsid w:val="00187819"/>
    <w:rsid w:val="00187833"/>
    <w:rsid w:val="001878C2"/>
    <w:rsid w:val="00187B45"/>
    <w:rsid w:val="0019000E"/>
    <w:rsid w:val="00190080"/>
    <w:rsid w:val="001900C8"/>
    <w:rsid w:val="00190183"/>
    <w:rsid w:val="00190357"/>
    <w:rsid w:val="0019045E"/>
    <w:rsid w:val="0019073F"/>
    <w:rsid w:val="001907C1"/>
    <w:rsid w:val="00190975"/>
    <w:rsid w:val="00190BAD"/>
    <w:rsid w:val="00190C69"/>
    <w:rsid w:val="00190C9B"/>
    <w:rsid w:val="00190D17"/>
    <w:rsid w:val="00190F2D"/>
    <w:rsid w:val="00190FF0"/>
    <w:rsid w:val="0019118D"/>
    <w:rsid w:val="001912D9"/>
    <w:rsid w:val="0019162C"/>
    <w:rsid w:val="00191656"/>
    <w:rsid w:val="0019182B"/>
    <w:rsid w:val="00191852"/>
    <w:rsid w:val="00191960"/>
    <w:rsid w:val="00191A73"/>
    <w:rsid w:val="00191A88"/>
    <w:rsid w:val="00191D44"/>
    <w:rsid w:val="00191EC6"/>
    <w:rsid w:val="00191ECE"/>
    <w:rsid w:val="00191F5D"/>
    <w:rsid w:val="0019257D"/>
    <w:rsid w:val="001928B1"/>
    <w:rsid w:val="001929B8"/>
    <w:rsid w:val="00192B4E"/>
    <w:rsid w:val="00192C8E"/>
    <w:rsid w:val="00193023"/>
    <w:rsid w:val="00193056"/>
    <w:rsid w:val="0019309F"/>
    <w:rsid w:val="0019310C"/>
    <w:rsid w:val="0019311B"/>
    <w:rsid w:val="001931C0"/>
    <w:rsid w:val="00193234"/>
    <w:rsid w:val="0019329E"/>
    <w:rsid w:val="00193568"/>
    <w:rsid w:val="00193618"/>
    <w:rsid w:val="00193654"/>
    <w:rsid w:val="00193682"/>
    <w:rsid w:val="0019368A"/>
    <w:rsid w:val="001938AB"/>
    <w:rsid w:val="001938F0"/>
    <w:rsid w:val="00193A64"/>
    <w:rsid w:val="00193D2F"/>
    <w:rsid w:val="00193D48"/>
    <w:rsid w:val="00193D60"/>
    <w:rsid w:val="00193E11"/>
    <w:rsid w:val="00193EC1"/>
    <w:rsid w:val="001940A3"/>
    <w:rsid w:val="00194477"/>
    <w:rsid w:val="001944D0"/>
    <w:rsid w:val="0019460D"/>
    <w:rsid w:val="00194801"/>
    <w:rsid w:val="0019499D"/>
    <w:rsid w:val="00194D25"/>
    <w:rsid w:val="00194EC8"/>
    <w:rsid w:val="00194F26"/>
    <w:rsid w:val="00194F78"/>
    <w:rsid w:val="00195001"/>
    <w:rsid w:val="00195184"/>
    <w:rsid w:val="001951AD"/>
    <w:rsid w:val="001951B3"/>
    <w:rsid w:val="00195209"/>
    <w:rsid w:val="001952F6"/>
    <w:rsid w:val="00195343"/>
    <w:rsid w:val="001953FD"/>
    <w:rsid w:val="00195457"/>
    <w:rsid w:val="0019546F"/>
    <w:rsid w:val="001957D2"/>
    <w:rsid w:val="00195832"/>
    <w:rsid w:val="001959BA"/>
    <w:rsid w:val="00195A8C"/>
    <w:rsid w:val="00195B0F"/>
    <w:rsid w:val="00195B56"/>
    <w:rsid w:val="00195BE7"/>
    <w:rsid w:val="00195CCA"/>
    <w:rsid w:val="00195DC7"/>
    <w:rsid w:val="00195F89"/>
    <w:rsid w:val="00195FEB"/>
    <w:rsid w:val="00196031"/>
    <w:rsid w:val="0019604E"/>
    <w:rsid w:val="00196215"/>
    <w:rsid w:val="0019630F"/>
    <w:rsid w:val="00196458"/>
    <w:rsid w:val="00196468"/>
    <w:rsid w:val="00196554"/>
    <w:rsid w:val="00196576"/>
    <w:rsid w:val="00196925"/>
    <w:rsid w:val="00196A4F"/>
    <w:rsid w:val="00196A88"/>
    <w:rsid w:val="00196B0A"/>
    <w:rsid w:val="00196D21"/>
    <w:rsid w:val="00196DB9"/>
    <w:rsid w:val="001973F2"/>
    <w:rsid w:val="001976CB"/>
    <w:rsid w:val="0019770C"/>
    <w:rsid w:val="00197775"/>
    <w:rsid w:val="001977B5"/>
    <w:rsid w:val="00197849"/>
    <w:rsid w:val="00197904"/>
    <w:rsid w:val="00197BEE"/>
    <w:rsid w:val="00197F12"/>
    <w:rsid w:val="001A011D"/>
    <w:rsid w:val="001A01A6"/>
    <w:rsid w:val="001A0320"/>
    <w:rsid w:val="001A065F"/>
    <w:rsid w:val="001A0676"/>
    <w:rsid w:val="001A06D6"/>
    <w:rsid w:val="001A06F1"/>
    <w:rsid w:val="001A0873"/>
    <w:rsid w:val="001A0894"/>
    <w:rsid w:val="001A08E0"/>
    <w:rsid w:val="001A09EC"/>
    <w:rsid w:val="001A0B36"/>
    <w:rsid w:val="001A0BCB"/>
    <w:rsid w:val="001A0C24"/>
    <w:rsid w:val="001A0C4B"/>
    <w:rsid w:val="001A0C7E"/>
    <w:rsid w:val="001A0D08"/>
    <w:rsid w:val="001A0E37"/>
    <w:rsid w:val="001A0EBF"/>
    <w:rsid w:val="001A0FC6"/>
    <w:rsid w:val="001A13FF"/>
    <w:rsid w:val="001A1407"/>
    <w:rsid w:val="001A1580"/>
    <w:rsid w:val="001A15E9"/>
    <w:rsid w:val="001A16C5"/>
    <w:rsid w:val="001A17C1"/>
    <w:rsid w:val="001A1815"/>
    <w:rsid w:val="001A1898"/>
    <w:rsid w:val="001A1A7A"/>
    <w:rsid w:val="001A1E2A"/>
    <w:rsid w:val="001A214E"/>
    <w:rsid w:val="001A220A"/>
    <w:rsid w:val="001A224D"/>
    <w:rsid w:val="001A2793"/>
    <w:rsid w:val="001A27EA"/>
    <w:rsid w:val="001A27FE"/>
    <w:rsid w:val="001A283D"/>
    <w:rsid w:val="001A2A6A"/>
    <w:rsid w:val="001A2D2E"/>
    <w:rsid w:val="001A2FE4"/>
    <w:rsid w:val="001A3083"/>
    <w:rsid w:val="001A316D"/>
    <w:rsid w:val="001A31CF"/>
    <w:rsid w:val="001A31F3"/>
    <w:rsid w:val="001A3226"/>
    <w:rsid w:val="001A3364"/>
    <w:rsid w:val="001A33EB"/>
    <w:rsid w:val="001A3420"/>
    <w:rsid w:val="001A3447"/>
    <w:rsid w:val="001A353D"/>
    <w:rsid w:val="001A3576"/>
    <w:rsid w:val="001A3596"/>
    <w:rsid w:val="001A3760"/>
    <w:rsid w:val="001A38DF"/>
    <w:rsid w:val="001A3DAA"/>
    <w:rsid w:val="001A3E37"/>
    <w:rsid w:val="001A3EAA"/>
    <w:rsid w:val="001A414E"/>
    <w:rsid w:val="001A43EF"/>
    <w:rsid w:val="001A442A"/>
    <w:rsid w:val="001A4503"/>
    <w:rsid w:val="001A4534"/>
    <w:rsid w:val="001A4586"/>
    <w:rsid w:val="001A476B"/>
    <w:rsid w:val="001A4BA5"/>
    <w:rsid w:val="001A4C80"/>
    <w:rsid w:val="001A4E88"/>
    <w:rsid w:val="001A5004"/>
    <w:rsid w:val="001A5237"/>
    <w:rsid w:val="001A5250"/>
    <w:rsid w:val="001A52D7"/>
    <w:rsid w:val="001A52DC"/>
    <w:rsid w:val="001A53D5"/>
    <w:rsid w:val="001A5527"/>
    <w:rsid w:val="001A55BD"/>
    <w:rsid w:val="001A5800"/>
    <w:rsid w:val="001A584F"/>
    <w:rsid w:val="001A58B8"/>
    <w:rsid w:val="001A597B"/>
    <w:rsid w:val="001A5A37"/>
    <w:rsid w:val="001A5F97"/>
    <w:rsid w:val="001A6004"/>
    <w:rsid w:val="001A62A8"/>
    <w:rsid w:val="001A63E8"/>
    <w:rsid w:val="001A6451"/>
    <w:rsid w:val="001A6975"/>
    <w:rsid w:val="001A6BAD"/>
    <w:rsid w:val="001A6C64"/>
    <w:rsid w:val="001A6DFA"/>
    <w:rsid w:val="001A6FED"/>
    <w:rsid w:val="001A70B9"/>
    <w:rsid w:val="001A71F9"/>
    <w:rsid w:val="001A7202"/>
    <w:rsid w:val="001A728A"/>
    <w:rsid w:val="001A7308"/>
    <w:rsid w:val="001A75B9"/>
    <w:rsid w:val="001A7713"/>
    <w:rsid w:val="001A7788"/>
    <w:rsid w:val="001A77AF"/>
    <w:rsid w:val="001A77B9"/>
    <w:rsid w:val="001A78D0"/>
    <w:rsid w:val="001A78F4"/>
    <w:rsid w:val="001A790D"/>
    <w:rsid w:val="001A7BB6"/>
    <w:rsid w:val="001A7BEC"/>
    <w:rsid w:val="001A7E5F"/>
    <w:rsid w:val="001A7EFE"/>
    <w:rsid w:val="001B0031"/>
    <w:rsid w:val="001B0170"/>
    <w:rsid w:val="001B01BB"/>
    <w:rsid w:val="001B0252"/>
    <w:rsid w:val="001B057B"/>
    <w:rsid w:val="001B05C2"/>
    <w:rsid w:val="001B0618"/>
    <w:rsid w:val="001B0761"/>
    <w:rsid w:val="001B0966"/>
    <w:rsid w:val="001B09A7"/>
    <w:rsid w:val="001B0BD6"/>
    <w:rsid w:val="001B0BE1"/>
    <w:rsid w:val="001B110D"/>
    <w:rsid w:val="001B114D"/>
    <w:rsid w:val="001B12FE"/>
    <w:rsid w:val="001B13F8"/>
    <w:rsid w:val="001B1420"/>
    <w:rsid w:val="001B1678"/>
    <w:rsid w:val="001B17C6"/>
    <w:rsid w:val="001B1862"/>
    <w:rsid w:val="001B1942"/>
    <w:rsid w:val="001B19CC"/>
    <w:rsid w:val="001B1A19"/>
    <w:rsid w:val="001B1A6F"/>
    <w:rsid w:val="001B1B1F"/>
    <w:rsid w:val="001B1EB7"/>
    <w:rsid w:val="001B1F04"/>
    <w:rsid w:val="001B1FEF"/>
    <w:rsid w:val="001B21DA"/>
    <w:rsid w:val="001B22C8"/>
    <w:rsid w:val="001B251A"/>
    <w:rsid w:val="001B25B2"/>
    <w:rsid w:val="001B260E"/>
    <w:rsid w:val="001B28C0"/>
    <w:rsid w:val="001B2A2F"/>
    <w:rsid w:val="001B2A98"/>
    <w:rsid w:val="001B2D30"/>
    <w:rsid w:val="001B3023"/>
    <w:rsid w:val="001B34B0"/>
    <w:rsid w:val="001B35EA"/>
    <w:rsid w:val="001B3A1D"/>
    <w:rsid w:val="001B3B14"/>
    <w:rsid w:val="001B3CC3"/>
    <w:rsid w:val="001B3D19"/>
    <w:rsid w:val="001B3D1D"/>
    <w:rsid w:val="001B3DDF"/>
    <w:rsid w:val="001B3E0E"/>
    <w:rsid w:val="001B40F0"/>
    <w:rsid w:val="001B417F"/>
    <w:rsid w:val="001B4398"/>
    <w:rsid w:val="001B43FF"/>
    <w:rsid w:val="001B4486"/>
    <w:rsid w:val="001B44AC"/>
    <w:rsid w:val="001B458F"/>
    <w:rsid w:val="001B46AD"/>
    <w:rsid w:val="001B46D7"/>
    <w:rsid w:val="001B46E9"/>
    <w:rsid w:val="001B4736"/>
    <w:rsid w:val="001B48C9"/>
    <w:rsid w:val="001B48F8"/>
    <w:rsid w:val="001B4AD4"/>
    <w:rsid w:val="001B4CEF"/>
    <w:rsid w:val="001B4DA5"/>
    <w:rsid w:val="001B4DC4"/>
    <w:rsid w:val="001B4DC8"/>
    <w:rsid w:val="001B4EB5"/>
    <w:rsid w:val="001B4F5D"/>
    <w:rsid w:val="001B4FD7"/>
    <w:rsid w:val="001B501A"/>
    <w:rsid w:val="001B5098"/>
    <w:rsid w:val="001B523E"/>
    <w:rsid w:val="001B5332"/>
    <w:rsid w:val="001B53A0"/>
    <w:rsid w:val="001B53B9"/>
    <w:rsid w:val="001B55BF"/>
    <w:rsid w:val="001B562A"/>
    <w:rsid w:val="001B56F4"/>
    <w:rsid w:val="001B570A"/>
    <w:rsid w:val="001B5892"/>
    <w:rsid w:val="001B5986"/>
    <w:rsid w:val="001B5AB7"/>
    <w:rsid w:val="001B5B7E"/>
    <w:rsid w:val="001B5BC8"/>
    <w:rsid w:val="001B5D29"/>
    <w:rsid w:val="001B5E50"/>
    <w:rsid w:val="001B5F98"/>
    <w:rsid w:val="001B60D6"/>
    <w:rsid w:val="001B61BC"/>
    <w:rsid w:val="001B639B"/>
    <w:rsid w:val="001B654A"/>
    <w:rsid w:val="001B6604"/>
    <w:rsid w:val="001B6777"/>
    <w:rsid w:val="001B6797"/>
    <w:rsid w:val="001B67AF"/>
    <w:rsid w:val="001B67BA"/>
    <w:rsid w:val="001B686D"/>
    <w:rsid w:val="001B6A1C"/>
    <w:rsid w:val="001B6BFF"/>
    <w:rsid w:val="001B6DC4"/>
    <w:rsid w:val="001B6E1F"/>
    <w:rsid w:val="001B6E64"/>
    <w:rsid w:val="001B71E9"/>
    <w:rsid w:val="001B75E4"/>
    <w:rsid w:val="001B7648"/>
    <w:rsid w:val="001B7786"/>
    <w:rsid w:val="001B79BF"/>
    <w:rsid w:val="001B7ADA"/>
    <w:rsid w:val="001B7C5C"/>
    <w:rsid w:val="001B7E80"/>
    <w:rsid w:val="001C0029"/>
    <w:rsid w:val="001C0147"/>
    <w:rsid w:val="001C0177"/>
    <w:rsid w:val="001C0384"/>
    <w:rsid w:val="001C0541"/>
    <w:rsid w:val="001C05C5"/>
    <w:rsid w:val="001C064F"/>
    <w:rsid w:val="001C0841"/>
    <w:rsid w:val="001C08F3"/>
    <w:rsid w:val="001C0B2A"/>
    <w:rsid w:val="001C0C89"/>
    <w:rsid w:val="001C0CEF"/>
    <w:rsid w:val="001C0D2E"/>
    <w:rsid w:val="001C0DB5"/>
    <w:rsid w:val="001C0DF5"/>
    <w:rsid w:val="001C0EEA"/>
    <w:rsid w:val="001C0F86"/>
    <w:rsid w:val="001C1209"/>
    <w:rsid w:val="001C12D6"/>
    <w:rsid w:val="001C1342"/>
    <w:rsid w:val="001C1600"/>
    <w:rsid w:val="001C182E"/>
    <w:rsid w:val="001C1835"/>
    <w:rsid w:val="001C18C2"/>
    <w:rsid w:val="001C1916"/>
    <w:rsid w:val="001C19F4"/>
    <w:rsid w:val="001C1A81"/>
    <w:rsid w:val="001C1ADA"/>
    <w:rsid w:val="001C1DF2"/>
    <w:rsid w:val="001C1E5D"/>
    <w:rsid w:val="001C2029"/>
    <w:rsid w:val="001C21DA"/>
    <w:rsid w:val="001C22FC"/>
    <w:rsid w:val="001C239F"/>
    <w:rsid w:val="001C242E"/>
    <w:rsid w:val="001C245E"/>
    <w:rsid w:val="001C24E6"/>
    <w:rsid w:val="001C26A5"/>
    <w:rsid w:val="001C28DA"/>
    <w:rsid w:val="001C2A64"/>
    <w:rsid w:val="001C2D26"/>
    <w:rsid w:val="001C2E31"/>
    <w:rsid w:val="001C2E77"/>
    <w:rsid w:val="001C2EEC"/>
    <w:rsid w:val="001C31A1"/>
    <w:rsid w:val="001C31D9"/>
    <w:rsid w:val="001C3218"/>
    <w:rsid w:val="001C341F"/>
    <w:rsid w:val="001C3628"/>
    <w:rsid w:val="001C36BC"/>
    <w:rsid w:val="001C3712"/>
    <w:rsid w:val="001C3737"/>
    <w:rsid w:val="001C39E5"/>
    <w:rsid w:val="001C3AB6"/>
    <w:rsid w:val="001C3B4A"/>
    <w:rsid w:val="001C3BB9"/>
    <w:rsid w:val="001C3CC0"/>
    <w:rsid w:val="001C3CFA"/>
    <w:rsid w:val="001C3F8E"/>
    <w:rsid w:val="001C3FC0"/>
    <w:rsid w:val="001C3FF8"/>
    <w:rsid w:val="001C4094"/>
    <w:rsid w:val="001C40E6"/>
    <w:rsid w:val="001C410F"/>
    <w:rsid w:val="001C421B"/>
    <w:rsid w:val="001C4368"/>
    <w:rsid w:val="001C43BF"/>
    <w:rsid w:val="001C43E7"/>
    <w:rsid w:val="001C458E"/>
    <w:rsid w:val="001C459F"/>
    <w:rsid w:val="001C4789"/>
    <w:rsid w:val="001C48D8"/>
    <w:rsid w:val="001C4A4F"/>
    <w:rsid w:val="001C4B80"/>
    <w:rsid w:val="001C4BEB"/>
    <w:rsid w:val="001C4D5F"/>
    <w:rsid w:val="001C4D9D"/>
    <w:rsid w:val="001C4F42"/>
    <w:rsid w:val="001C5223"/>
    <w:rsid w:val="001C52A4"/>
    <w:rsid w:val="001C52D0"/>
    <w:rsid w:val="001C5377"/>
    <w:rsid w:val="001C537E"/>
    <w:rsid w:val="001C5475"/>
    <w:rsid w:val="001C5536"/>
    <w:rsid w:val="001C5616"/>
    <w:rsid w:val="001C5867"/>
    <w:rsid w:val="001C5A18"/>
    <w:rsid w:val="001C5B29"/>
    <w:rsid w:val="001C5C64"/>
    <w:rsid w:val="001C5CA3"/>
    <w:rsid w:val="001C5EB5"/>
    <w:rsid w:val="001C6015"/>
    <w:rsid w:val="001C6047"/>
    <w:rsid w:val="001C60A5"/>
    <w:rsid w:val="001C60D9"/>
    <w:rsid w:val="001C61B8"/>
    <w:rsid w:val="001C61E9"/>
    <w:rsid w:val="001C63F2"/>
    <w:rsid w:val="001C6682"/>
    <w:rsid w:val="001C6716"/>
    <w:rsid w:val="001C6883"/>
    <w:rsid w:val="001C6912"/>
    <w:rsid w:val="001C6AFA"/>
    <w:rsid w:val="001C6D42"/>
    <w:rsid w:val="001C6FE2"/>
    <w:rsid w:val="001C70BC"/>
    <w:rsid w:val="001C7247"/>
    <w:rsid w:val="001C724E"/>
    <w:rsid w:val="001C73FF"/>
    <w:rsid w:val="001C74EA"/>
    <w:rsid w:val="001C787E"/>
    <w:rsid w:val="001C78B7"/>
    <w:rsid w:val="001C7968"/>
    <w:rsid w:val="001C7C38"/>
    <w:rsid w:val="001C7DC5"/>
    <w:rsid w:val="001C7EF9"/>
    <w:rsid w:val="001C7F14"/>
    <w:rsid w:val="001C7F23"/>
    <w:rsid w:val="001D0029"/>
    <w:rsid w:val="001D0056"/>
    <w:rsid w:val="001D0082"/>
    <w:rsid w:val="001D0193"/>
    <w:rsid w:val="001D031E"/>
    <w:rsid w:val="001D044D"/>
    <w:rsid w:val="001D0535"/>
    <w:rsid w:val="001D0760"/>
    <w:rsid w:val="001D0785"/>
    <w:rsid w:val="001D0857"/>
    <w:rsid w:val="001D0956"/>
    <w:rsid w:val="001D0AFC"/>
    <w:rsid w:val="001D0BE3"/>
    <w:rsid w:val="001D0C34"/>
    <w:rsid w:val="001D0C98"/>
    <w:rsid w:val="001D0E9C"/>
    <w:rsid w:val="001D0FFC"/>
    <w:rsid w:val="001D104C"/>
    <w:rsid w:val="001D10A1"/>
    <w:rsid w:val="001D11B0"/>
    <w:rsid w:val="001D1466"/>
    <w:rsid w:val="001D1579"/>
    <w:rsid w:val="001D15FC"/>
    <w:rsid w:val="001D1A64"/>
    <w:rsid w:val="001D1AD5"/>
    <w:rsid w:val="001D1B30"/>
    <w:rsid w:val="001D1CDD"/>
    <w:rsid w:val="001D1D57"/>
    <w:rsid w:val="001D1E67"/>
    <w:rsid w:val="001D1E95"/>
    <w:rsid w:val="001D1F0D"/>
    <w:rsid w:val="001D203B"/>
    <w:rsid w:val="001D21D5"/>
    <w:rsid w:val="001D2490"/>
    <w:rsid w:val="001D24FA"/>
    <w:rsid w:val="001D25EB"/>
    <w:rsid w:val="001D27AB"/>
    <w:rsid w:val="001D27BC"/>
    <w:rsid w:val="001D2941"/>
    <w:rsid w:val="001D2B72"/>
    <w:rsid w:val="001D2C0D"/>
    <w:rsid w:val="001D2E23"/>
    <w:rsid w:val="001D3097"/>
    <w:rsid w:val="001D30F1"/>
    <w:rsid w:val="001D3288"/>
    <w:rsid w:val="001D348A"/>
    <w:rsid w:val="001D359F"/>
    <w:rsid w:val="001D3647"/>
    <w:rsid w:val="001D36B1"/>
    <w:rsid w:val="001D36C5"/>
    <w:rsid w:val="001D3736"/>
    <w:rsid w:val="001D3826"/>
    <w:rsid w:val="001D3961"/>
    <w:rsid w:val="001D3B6F"/>
    <w:rsid w:val="001D3C18"/>
    <w:rsid w:val="001D3D76"/>
    <w:rsid w:val="001D3D97"/>
    <w:rsid w:val="001D3E24"/>
    <w:rsid w:val="001D3F2F"/>
    <w:rsid w:val="001D3F76"/>
    <w:rsid w:val="001D40B5"/>
    <w:rsid w:val="001D415E"/>
    <w:rsid w:val="001D422C"/>
    <w:rsid w:val="001D4239"/>
    <w:rsid w:val="001D43FB"/>
    <w:rsid w:val="001D469B"/>
    <w:rsid w:val="001D4710"/>
    <w:rsid w:val="001D4745"/>
    <w:rsid w:val="001D4AC3"/>
    <w:rsid w:val="001D4BE5"/>
    <w:rsid w:val="001D4D15"/>
    <w:rsid w:val="001D4E86"/>
    <w:rsid w:val="001D4FA3"/>
    <w:rsid w:val="001D5235"/>
    <w:rsid w:val="001D52C0"/>
    <w:rsid w:val="001D539F"/>
    <w:rsid w:val="001D53C4"/>
    <w:rsid w:val="001D54B2"/>
    <w:rsid w:val="001D551B"/>
    <w:rsid w:val="001D55F0"/>
    <w:rsid w:val="001D572C"/>
    <w:rsid w:val="001D5798"/>
    <w:rsid w:val="001D57B5"/>
    <w:rsid w:val="001D59CE"/>
    <w:rsid w:val="001D5A44"/>
    <w:rsid w:val="001D5BF5"/>
    <w:rsid w:val="001D5E41"/>
    <w:rsid w:val="001D5E64"/>
    <w:rsid w:val="001D5F7C"/>
    <w:rsid w:val="001D5FAC"/>
    <w:rsid w:val="001D603A"/>
    <w:rsid w:val="001D6244"/>
    <w:rsid w:val="001D632D"/>
    <w:rsid w:val="001D63BE"/>
    <w:rsid w:val="001D63EC"/>
    <w:rsid w:val="001D6488"/>
    <w:rsid w:val="001D6675"/>
    <w:rsid w:val="001D67B2"/>
    <w:rsid w:val="001D696C"/>
    <w:rsid w:val="001D6A06"/>
    <w:rsid w:val="001D6E95"/>
    <w:rsid w:val="001D6FF5"/>
    <w:rsid w:val="001D7003"/>
    <w:rsid w:val="001D703F"/>
    <w:rsid w:val="001D710E"/>
    <w:rsid w:val="001D7180"/>
    <w:rsid w:val="001D73B0"/>
    <w:rsid w:val="001D7589"/>
    <w:rsid w:val="001D7709"/>
    <w:rsid w:val="001D7867"/>
    <w:rsid w:val="001D78D7"/>
    <w:rsid w:val="001D7C86"/>
    <w:rsid w:val="001D7E30"/>
    <w:rsid w:val="001D7ED8"/>
    <w:rsid w:val="001E002F"/>
    <w:rsid w:val="001E00B7"/>
    <w:rsid w:val="001E00C4"/>
    <w:rsid w:val="001E0302"/>
    <w:rsid w:val="001E0327"/>
    <w:rsid w:val="001E052B"/>
    <w:rsid w:val="001E07E7"/>
    <w:rsid w:val="001E0C05"/>
    <w:rsid w:val="001E0D0E"/>
    <w:rsid w:val="001E0DEB"/>
    <w:rsid w:val="001E0E27"/>
    <w:rsid w:val="001E1079"/>
    <w:rsid w:val="001E1206"/>
    <w:rsid w:val="001E1605"/>
    <w:rsid w:val="001E1686"/>
    <w:rsid w:val="001E1818"/>
    <w:rsid w:val="001E18A8"/>
    <w:rsid w:val="001E1A92"/>
    <w:rsid w:val="001E1AB0"/>
    <w:rsid w:val="001E1BF9"/>
    <w:rsid w:val="001E1C26"/>
    <w:rsid w:val="001E1C2D"/>
    <w:rsid w:val="001E1C35"/>
    <w:rsid w:val="001E1DEE"/>
    <w:rsid w:val="001E1EC8"/>
    <w:rsid w:val="001E1F3D"/>
    <w:rsid w:val="001E1FEF"/>
    <w:rsid w:val="001E207C"/>
    <w:rsid w:val="001E21FA"/>
    <w:rsid w:val="001E2374"/>
    <w:rsid w:val="001E2436"/>
    <w:rsid w:val="001E2479"/>
    <w:rsid w:val="001E2698"/>
    <w:rsid w:val="001E26B9"/>
    <w:rsid w:val="001E2870"/>
    <w:rsid w:val="001E293D"/>
    <w:rsid w:val="001E2A2B"/>
    <w:rsid w:val="001E2C7D"/>
    <w:rsid w:val="001E2CB9"/>
    <w:rsid w:val="001E2D85"/>
    <w:rsid w:val="001E2DE7"/>
    <w:rsid w:val="001E2E32"/>
    <w:rsid w:val="001E2EEA"/>
    <w:rsid w:val="001E2FD1"/>
    <w:rsid w:val="001E301A"/>
    <w:rsid w:val="001E301D"/>
    <w:rsid w:val="001E3181"/>
    <w:rsid w:val="001E31A6"/>
    <w:rsid w:val="001E3296"/>
    <w:rsid w:val="001E3348"/>
    <w:rsid w:val="001E3457"/>
    <w:rsid w:val="001E3B2C"/>
    <w:rsid w:val="001E3EC4"/>
    <w:rsid w:val="001E3FB3"/>
    <w:rsid w:val="001E3FBC"/>
    <w:rsid w:val="001E4143"/>
    <w:rsid w:val="001E4283"/>
    <w:rsid w:val="001E4285"/>
    <w:rsid w:val="001E46D4"/>
    <w:rsid w:val="001E47E1"/>
    <w:rsid w:val="001E4968"/>
    <w:rsid w:val="001E4A3D"/>
    <w:rsid w:val="001E4B0C"/>
    <w:rsid w:val="001E4B21"/>
    <w:rsid w:val="001E4C6B"/>
    <w:rsid w:val="001E52B3"/>
    <w:rsid w:val="001E541E"/>
    <w:rsid w:val="001E5434"/>
    <w:rsid w:val="001E5440"/>
    <w:rsid w:val="001E54C9"/>
    <w:rsid w:val="001E5532"/>
    <w:rsid w:val="001E5590"/>
    <w:rsid w:val="001E56EA"/>
    <w:rsid w:val="001E5761"/>
    <w:rsid w:val="001E580D"/>
    <w:rsid w:val="001E5A0F"/>
    <w:rsid w:val="001E5A49"/>
    <w:rsid w:val="001E5C1C"/>
    <w:rsid w:val="001E5D63"/>
    <w:rsid w:val="001E5D98"/>
    <w:rsid w:val="001E5FD9"/>
    <w:rsid w:val="001E6172"/>
    <w:rsid w:val="001E629E"/>
    <w:rsid w:val="001E66AA"/>
    <w:rsid w:val="001E6728"/>
    <w:rsid w:val="001E6754"/>
    <w:rsid w:val="001E67B7"/>
    <w:rsid w:val="001E69BC"/>
    <w:rsid w:val="001E6C81"/>
    <w:rsid w:val="001E7010"/>
    <w:rsid w:val="001E7057"/>
    <w:rsid w:val="001E70F6"/>
    <w:rsid w:val="001E72D7"/>
    <w:rsid w:val="001E7422"/>
    <w:rsid w:val="001E747F"/>
    <w:rsid w:val="001E7488"/>
    <w:rsid w:val="001E7918"/>
    <w:rsid w:val="001E7AF8"/>
    <w:rsid w:val="001E7B7B"/>
    <w:rsid w:val="001E7C7B"/>
    <w:rsid w:val="001E7D3C"/>
    <w:rsid w:val="001E7E5D"/>
    <w:rsid w:val="001E7EC6"/>
    <w:rsid w:val="001E7EEF"/>
    <w:rsid w:val="001F0035"/>
    <w:rsid w:val="001F033C"/>
    <w:rsid w:val="001F052E"/>
    <w:rsid w:val="001F064F"/>
    <w:rsid w:val="001F068C"/>
    <w:rsid w:val="001F0862"/>
    <w:rsid w:val="001F09F7"/>
    <w:rsid w:val="001F09F8"/>
    <w:rsid w:val="001F0A36"/>
    <w:rsid w:val="001F0ACE"/>
    <w:rsid w:val="001F0CAA"/>
    <w:rsid w:val="001F0CFA"/>
    <w:rsid w:val="001F0D37"/>
    <w:rsid w:val="001F0E4B"/>
    <w:rsid w:val="001F0E83"/>
    <w:rsid w:val="001F1263"/>
    <w:rsid w:val="001F136A"/>
    <w:rsid w:val="001F1376"/>
    <w:rsid w:val="001F1380"/>
    <w:rsid w:val="001F1429"/>
    <w:rsid w:val="001F1448"/>
    <w:rsid w:val="001F1670"/>
    <w:rsid w:val="001F16C4"/>
    <w:rsid w:val="001F16C5"/>
    <w:rsid w:val="001F16F0"/>
    <w:rsid w:val="001F1710"/>
    <w:rsid w:val="001F17A7"/>
    <w:rsid w:val="001F186D"/>
    <w:rsid w:val="001F19A0"/>
    <w:rsid w:val="001F1A3C"/>
    <w:rsid w:val="001F1C89"/>
    <w:rsid w:val="001F1CE9"/>
    <w:rsid w:val="001F1D8E"/>
    <w:rsid w:val="001F1F1A"/>
    <w:rsid w:val="001F1F57"/>
    <w:rsid w:val="001F20AC"/>
    <w:rsid w:val="001F219B"/>
    <w:rsid w:val="001F2229"/>
    <w:rsid w:val="001F2308"/>
    <w:rsid w:val="001F239E"/>
    <w:rsid w:val="001F24DD"/>
    <w:rsid w:val="001F25ED"/>
    <w:rsid w:val="001F29BB"/>
    <w:rsid w:val="001F2A16"/>
    <w:rsid w:val="001F2BB2"/>
    <w:rsid w:val="001F2CAB"/>
    <w:rsid w:val="001F2CB7"/>
    <w:rsid w:val="001F2E84"/>
    <w:rsid w:val="001F2ECE"/>
    <w:rsid w:val="001F2F6F"/>
    <w:rsid w:val="001F304A"/>
    <w:rsid w:val="001F3066"/>
    <w:rsid w:val="001F30DF"/>
    <w:rsid w:val="001F3175"/>
    <w:rsid w:val="001F3235"/>
    <w:rsid w:val="001F3694"/>
    <w:rsid w:val="001F391E"/>
    <w:rsid w:val="001F3BF6"/>
    <w:rsid w:val="001F3C50"/>
    <w:rsid w:val="001F3C99"/>
    <w:rsid w:val="001F3D56"/>
    <w:rsid w:val="001F3E40"/>
    <w:rsid w:val="001F413E"/>
    <w:rsid w:val="001F4208"/>
    <w:rsid w:val="001F42D0"/>
    <w:rsid w:val="001F4342"/>
    <w:rsid w:val="001F4539"/>
    <w:rsid w:val="001F4609"/>
    <w:rsid w:val="001F46ED"/>
    <w:rsid w:val="001F4761"/>
    <w:rsid w:val="001F47C7"/>
    <w:rsid w:val="001F480E"/>
    <w:rsid w:val="001F4CB3"/>
    <w:rsid w:val="001F4CB5"/>
    <w:rsid w:val="001F4D10"/>
    <w:rsid w:val="001F4F0B"/>
    <w:rsid w:val="001F4F7D"/>
    <w:rsid w:val="001F5028"/>
    <w:rsid w:val="001F51BA"/>
    <w:rsid w:val="001F51CC"/>
    <w:rsid w:val="001F527C"/>
    <w:rsid w:val="001F5390"/>
    <w:rsid w:val="001F54B4"/>
    <w:rsid w:val="001F55A6"/>
    <w:rsid w:val="001F5755"/>
    <w:rsid w:val="001F5881"/>
    <w:rsid w:val="001F5912"/>
    <w:rsid w:val="001F5E11"/>
    <w:rsid w:val="001F5EC7"/>
    <w:rsid w:val="001F62B5"/>
    <w:rsid w:val="001F62B8"/>
    <w:rsid w:val="001F642F"/>
    <w:rsid w:val="001F64B8"/>
    <w:rsid w:val="001F65B0"/>
    <w:rsid w:val="001F66D4"/>
    <w:rsid w:val="001F6854"/>
    <w:rsid w:val="001F6A0C"/>
    <w:rsid w:val="001F6A4B"/>
    <w:rsid w:val="001F6AA4"/>
    <w:rsid w:val="001F6AAD"/>
    <w:rsid w:val="001F6FF5"/>
    <w:rsid w:val="001F711E"/>
    <w:rsid w:val="001F71E9"/>
    <w:rsid w:val="001F71EB"/>
    <w:rsid w:val="001F743C"/>
    <w:rsid w:val="001F74FE"/>
    <w:rsid w:val="001F7508"/>
    <w:rsid w:val="001F7696"/>
    <w:rsid w:val="001F770C"/>
    <w:rsid w:val="001F7926"/>
    <w:rsid w:val="001F79FB"/>
    <w:rsid w:val="001F7AA9"/>
    <w:rsid w:val="001F7AB6"/>
    <w:rsid w:val="001F7C65"/>
    <w:rsid w:val="001F7D66"/>
    <w:rsid w:val="001F7F33"/>
    <w:rsid w:val="00200073"/>
    <w:rsid w:val="00200102"/>
    <w:rsid w:val="002001FE"/>
    <w:rsid w:val="0020034E"/>
    <w:rsid w:val="0020036C"/>
    <w:rsid w:val="0020055E"/>
    <w:rsid w:val="002005E7"/>
    <w:rsid w:val="00200966"/>
    <w:rsid w:val="00200BD8"/>
    <w:rsid w:val="00200C19"/>
    <w:rsid w:val="00200F16"/>
    <w:rsid w:val="00200FD8"/>
    <w:rsid w:val="002010EC"/>
    <w:rsid w:val="0020122E"/>
    <w:rsid w:val="002012A4"/>
    <w:rsid w:val="0020130C"/>
    <w:rsid w:val="002013F3"/>
    <w:rsid w:val="0020147E"/>
    <w:rsid w:val="00201592"/>
    <w:rsid w:val="00201712"/>
    <w:rsid w:val="0020176C"/>
    <w:rsid w:val="002017E4"/>
    <w:rsid w:val="0020184D"/>
    <w:rsid w:val="002019A5"/>
    <w:rsid w:val="002019F8"/>
    <w:rsid w:val="00201AE7"/>
    <w:rsid w:val="00201BB0"/>
    <w:rsid w:val="00201BE3"/>
    <w:rsid w:val="00201C7C"/>
    <w:rsid w:val="00201D1E"/>
    <w:rsid w:val="00201E2D"/>
    <w:rsid w:val="00201EA1"/>
    <w:rsid w:val="00201EE0"/>
    <w:rsid w:val="002021CA"/>
    <w:rsid w:val="00202211"/>
    <w:rsid w:val="0020228D"/>
    <w:rsid w:val="00202306"/>
    <w:rsid w:val="002025F0"/>
    <w:rsid w:val="002026EE"/>
    <w:rsid w:val="002027E1"/>
    <w:rsid w:val="00202A3A"/>
    <w:rsid w:val="00202C1D"/>
    <w:rsid w:val="00202D55"/>
    <w:rsid w:val="00202DD4"/>
    <w:rsid w:val="00202DEE"/>
    <w:rsid w:val="00202E3A"/>
    <w:rsid w:val="00203059"/>
    <w:rsid w:val="00203142"/>
    <w:rsid w:val="002031B3"/>
    <w:rsid w:val="00203205"/>
    <w:rsid w:val="00203513"/>
    <w:rsid w:val="00203A82"/>
    <w:rsid w:val="00203AEB"/>
    <w:rsid w:val="00203CB9"/>
    <w:rsid w:val="00203D39"/>
    <w:rsid w:val="00203DCA"/>
    <w:rsid w:val="00203EFA"/>
    <w:rsid w:val="0020413C"/>
    <w:rsid w:val="002043C6"/>
    <w:rsid w:val="00204426"/>
    <w:rsid w:val="002044AF"/>
    <w:rsid w:val="0020459E"/>
    <w:rsid w:val="00204766"/>
    <w:rsid w:val="00204814"/>
    <w:rsid w:val="002048A5"/>
    <w:rsid w:val="00204940"/>
    <w:rsid w:val="00204A9C"/>
    <w:rsid w:val="00204AD3"/>
    <w:rsid w:val="00204E84"/>
    <w:rsid w:val="00205291"/>
    <w:rsid w:val="002052B7"/>
    <w:rsid w:val="002052BB"/>
    <w:rsid w:val="00205362"/>
    <w:rsid w:val="00205370"/>
    <w:rsid w:val="002057AC"/>
    <w:rsid w:val="00205820"/>
    <w:rsid w:val="0020593A"/>
    <w:rsid w:val="0020594B"/>
    <w:rsid w:val="00205AFD"/>
    <w:rsid w:val="00205B25"/>
    <w:rsid w:val="00205B65"/>
    <w:rsid w:val="00205BE1"/>
    <w:rsid w:val="00205C8D"/>
    <w:rsid w:val="00205D74"/>
    <w:rsid w:val="00205F74"/>
    <w:rsid w:val="00205FCC"/>
    <w:rsid w:val="002060A0"/>
    <w:rsid w:val="0020610A"/>
    <w:rsid w:val="00206265"/>
    <w:rsid w:val="00206303"/>
    <w:rsid w:val="0020641E"/>
    <w:rsid w:val="002065EC"/>
    <w:rsid w:val="00206683"/>
    <w:rsid w:val="00206726"/>
    <w:rsid w:val="002067AE"/>
    <w:rsid w:val="002069CC"/>
    <w:rsid w:val="00206B05"/>
    <w:rsid w:val="0020708E"/>
    <w:rsid w:val="002070C0"/>
    <w:rsid w:val="002070FE"/>
    <w:rsid w:val="0020716C"/>
    <w:rsid w:val="0020718C"/>
    <w:rsid w:val="002072C6"/>
    <w:rsid w:val="0020757D"/>
    <w:rsid w:val="0020760E"/>
    <w:rsid w:val="002076E8"/>
    <w:rsid w:val="002077C7"/>
    <w:rsid w:val="002079F8"/>
    <w:rsid w:val="00207AC7"/>
    <w:rsid w:val="00207D5F"/>
    <w:rsid w:val="00207E9B"/>
    <w:rsid w:val="0021038A"/>
    <w:rsid w:val="002108BC"/>
    <w:rsid w:val="0021098C"/>
    <w:rsid w:val="00210E90"/>
    <w:rsid w:val="00210EDE"/>
    <w:rsid w:val="00211025"/>
    <w:rsid w:val="00211164"/>
    <w:rsid w:val="00211670"/>
    <w:rsid w:val="002117CB"/>
    <w:rsid w:val="0021180F"/>
    <w:rsid w:val="0021186D"/>
    <w:rsid w:val="002118C6"/>
    <w:rsid w:val="00211B7B"/>
    <w:rsid w:val="00211C27"/>
    <w:rsid w:val="002121B2"/>
    <w:rsid w:val="002121FB"/>
    <w:rsid w:val="00212264"/>
    <w:rsid w:val="0021237E"/>
    <w:rsid w:val="00212422"/>
    <w:rsid w:val="00212755"/>
    <w:rsid w:val="00212904"/>
    <w:rsid w:val="00212CE6"/>
    <w:rsid w:val="00212E2E"/>
    <w:rsid w:val="00212F66"/>
    <w:rsid w:val="002130E2"/>
    <w:rsid w:val="0021333F"/>
    <w:rsid w:val="002133BA"/>
    <w:rsid w:val="0021378C"/>
    <w:rsid w:val="00213841"/>
    <w:rsid w:val="002138B8"/>
    <w:rsid w:val="002138F0"/>
    <w:rsid w:val="00213A8F"/>
    <w:rsid w:val="00213ADE"/>
    <w:rsid w:val="00213BD5"/>
    <w:rsid w:val="00213DA1"/>
    <w:rsid w:val="00213E6E"/>
    <w:rsid w:val="00213EBD"/>
    <w:rsid w:val="00213F73"/>
    <w:rsid w:val="00213FE5"/>
    <w:rsid w:val="002140BE"/>
    <w:rsid w:val="002142C7"/>
    <w:rsid w:val="002144EC"/>
    <w:rsid w:val="00214758"/>
    <w:rsid w:val="00214946"/>
    <w:rsid w:val="00214B48"/>
    <w:rsid w:val="00214CCB"/>
    <w:rsid w:val="00214D34"/>
    <w:rsid w:val="00214D3E"/>
    <w:rsid w:val="00214D41"/>
    <w:rsid w:val="002150A0"/>
    <w:rsid w:val="002150C7"/>
    <w:rsid w:val="002154B8"/>
    <w:rsid w:val="002154C5"/>
    <w:rsid w:val="002155F4"/>
    <w:rsid w:val="00215697"/>
    <w:rsid w:val="0021587F"/>
    <w:rsid w:val="00215952"/>
    <w:rsid w:val="00215B0B"/>
    <w:rsid w:val="00215BE0"/>
    <w:rsid w:val="00215F24"/>
    <w:rsid w:val="002160C4"/>
    <w:rsid w:val="00216101"/>
    <w:rsid w:val="00216120"/>
    <w:rsid w:val="0021612D"/>
    <w:rsid w:val="00216140"/>
    <w:rsid w:val="00216248"/>
    <w:rsid w:val="0021634D"/>
    <w:rsid w:val="002164D5"/>
    <w:rsid w:val="00216558"/>
    <w:rsid w:val="002167ED"/>
    <w:rsid w:val="00216893"/>
    <w:rsid w:val="002168B3"/>
    <w:rsid w:val="00216927"/>
    <w:rsid w:val="00216958"/>
    <w:rsid w:val="00216999"/>
    <w:rsid w:val="00216A09"/>
    <w:rsid w:val="00216B1D"/>
    <w:rsid w:val="00216B5E"/>
    <w:rsid w:val="00216EAB"/>
    <w:rsid w:val="0021719F"/>
    <w:rsid w:val="00217528"/>
    <w:rsid w:val="00217531"/>
    <w:rsid w:val="002175F2"/>
    <w:rsid w:val="002177DB"/>
    <w:rsid w:val="00217815"/>
    <w:rsid w:val="0021784B"/>
    <w:rsid w:val="00217A91"/>
    <w:rsid w:val="00217B23"/>
    <w:rsid w:val="00217C2E"/>
    <w:rsid w:val="00217E36"/>
    <w:rsid w:val="00217EE6"/>
    <w:rsid w:val="00217F61"/>
    <w:rsid w:val="00217FDC"/>
    <w:rsid w:val="0022019F"/>
    <w:rsid w:val="002201B3"/>
    <w:rsid w:val="002204FC"/>
    <w:rsid w:val="0022070D"/>
    <w:rsid w:val="00220774"/>
    <w:rsid w:val="00220839"/>
    <w:rsid w:val="00220931"/>
    <w:rsid w:val="00220B16"/>
    <w:rsid w:val="00220B58"/>
    <w:rsid w:val="00220B86"/>
    <w:rsid w:val="00220BAB"/>
    <w:rsid w:val="00220EBC"/>
    <w:rsid w:val="00220FF5"/>
    <w:rsid w:val="0022111C"/>
    <w:rsid w:val="00221241"/>
    <w:rsid w:val="0022142F"/>
    <w:rsid w:val="0022148C"/>
    <w:rsid w:val="002214FB"/>
    <w:rsid w:val="0022160E"/>
    <w:rsid w:val="0022164C"/>
    <w:rsid w:val="002216C8"/>
    <w:rsid w:val="00221728"/>
    <w:rsid w:val="002217BF"/>
    <w:rsid w:val="002219A4"/>
    <w:rsid w:val="00221A74"/>
    <w:rsid w:val="00221ACD"/>
    <w:rsid w:val="00221E14"/>
    <w:rsid w:val="00221F54"/>
    <w:rsid w:val="002223C5"/>
    <w:rsid w:val="002223C6"/>
    <w:rsid w:val="00222414"/>
    <w:rsid w:val="002224EE"/>
    <w:rsid w:val="0022251E"/>
    <w:rsid w:val="002227CC"/>
    <w:rsid w:val="00222815"/>
    <w:rsid w:val="002228A6"/>
    <w:rsid w:val="002229C6"/>
    <w:rsid w:val="00222B4B"/>
    <w:rsid w:val="00222C99"/>
    <w:rsid w:val="00222E37"/>
    <w:rsid w:val="00222FE5"/>
    <w:rsid w:val="0022303D"/>
    <w:rsid w:val="00223058"/>
    <w:rsid w:val="00223125"/>
    <w:rsid w:val="002232F4"/>
    <w:rsid w:val="0022336D"/>
    <w:rsid w:val="002233FF"/>
    <w:rsid w:val="00223416"/>
    <w:rsid w:val="002234A0"/>
    <w:rsid w:val="002234FD"/>
    <w:rsid w:val="002236DD"/>
    <w:rsid w:val="0022381F"/>
    <w:rsid w:val="00223821"/>
    <w:rsid w:val="00223A8E"/>
    <w:rsid w:val="00223BB3"/>
    <w:rsid w:val="00223CD2"/>
    <w:rsid w:val="00223D0C"/>
    <w:rsid w:val="00223D72"/>
    <w:rsid w:val="00223F04"/>
    <w:rsid w:val="00223FF3"/>
    <w:rsid w:val="00223FFF"/>
    <w:rsid w:val="002241E3"/>
    <w:rsid w:val="0022425D"/>
    <w:rsid w:val="002242DE"/>
    <w:rsid w:val="002242E6"/>
    <w:rsid w:val="0022436B"/>
    <w:rsid w:val="00224390"/>
    <w:rsid w:val="0022451C"/>
    <w:rsid w:val="002245C1"/>
    <w:rsid w:val="00224645"/>
    <w:rsid w:val="002248F9"/>
    <w:rsid w:val="00224A20"/>
    <w:rsid w:val="00224BCF"/>
    <w:rsid w:val="00224FB9"/>
    <w:rsid w:val="00224FD6"/>
    <w:rsid w:val="00225059"/>
    <w:rsid w:val="0022509B"/>
    <w:rsid w:val="002251AF"/>
    <w:rsid w:val="00225205"/>
    <w:rsid w:val="0022529A"/>
    <w:rsid w:val="002252AA"/>
    <w:rsid w:val="0022531D"/>
    <w:rsid w:val="00225440"/>
    <w:rsid w:val="00225538"/>
    <w:rsid w:val="002255A0"/>
    <w:rsid w:val="002257D8"/>
    <w:rsid w:val="00225A77"/>
    <w:rsid w:val="00225BD0"/>
    <w:rsid w:val="00225D90"/>
    <w:rsid w:val="00225FD7"/>
    <w:rsid w:val="002261DC"/>
    <w:rsid w:val="00226375"/>
    <w:rsid w:val="00226388"/>
    <w:rsid w:val="002263D8"/>
    <w:rsid w:val="002265AB"/>
    <w:rsid w:val="00226657"/>
    <w:rsid w:val="002267DA"/>
    <w:rsid w:val="00226853"/>
    <w:rsid w:val="002268C8"/>
    <w:rsid w:val="002268EF"/>
    <w:rsid w:val="00226A7A"/>
    <w:rsid w:val="00226B11"/>
    <w:rsid w:val="00226B98"/>
    <w:rsid w:val="00226CCF"/>
    <w:rsid w:val="00226F25"/>
    <w:rsid w:val="00226F3D"/>
    <w:rsid w:val="00226F91"/>
    <w:rsid w:val="00227120"/>
    <w:rsid w:val="002271D9"/>
    <w:rsid w:val="0022720E"/>
    <w:rsid w:val="0022726B"/>
    <w:rsid w:val="002273CE"/>
    <w:rsid w:val="00227531"/>
    <w:rsid w:val="00227564"/>
    <w:rsid w:val="002276D3"/>
    <w:rsid w:val="002276EF"/>
    <w:rsid w:val="00227948"/>
    <w:rsid w:val="002279FA"/>
    <w:rsid w:val="00227A0A"/>
    <w:rsid w:val="00227C42"/>
    <w:rsid w:val="00227C92"/>
    <w:rsid w:val="00227DAC"/>
    <w:rsid w:val="00227F19"/>
    <w:rsid w:val="0023005C"/>
    <w:rsid w:val="00230078"/>
    <w:rsid w:val="002300C3"/>
    <w:rsid w:val="0023033C"/>
    <w:rsid w:val="0023053B"/>
    <w:rsid w:val="002306EC"/>
    <w:rsid w:val="00230738"/>
    <w:rsid w:val="0023099A"/>
    <w:rsid w:val="00230A7E"/>
    <w:rsid w:val="00230CA5"/>
    <w:rsid w:val="00230E45"/>
    <w:rsid w:val="00230E89"/>
    <w:rsid w:val="00230F21"/>
    <w:rsid w:val="00230F84"/>
    <w:rsid w:val="00230F9F"/>
    <w:rsid w:val="0023110D"/>
    <w:rsid w:val="0023111D"/>
    <w:rsid w:val="00231200"/>
    <w:rsid w:val="00231455"/>
    <w:rsid w:val="0023146E"/>
    <w:rsid w:val="0023162C"/>
    <w:rsid w:val="0023166A"/>
    <w:rsid w:val="00231774"/>
    <w:rsid w:val="00231EB4"/>
    <w:rsid w:val="00231EF4"/>
    <w:rsid w:val="00232076"/>
    <w:rsid w:val="002320B8"/>
    <w:rsid w:val="00232179"/>
    <w:rsid w:val="0023223A"/>
    <w:rsid w:val="0023244C"/>
    <w:rsid w:val="00232541"/>
    <w:rsid w:val="0023264C"/>
    <w:rsid w:val="002326E6"/>
    <w:rsid w:val="0023286A"/>
    <w:rsid w:val="002329B2"/>
    <w:rsid w:val="00232BCF"/>
    <w:rsid w:val="00232CCA"/>
    <w:rsid w:val="00232CEA"/>
    <w:rsid w:val="00232D01"/>
    <w:rsid w:val="00232D8F"/>
    <w:rsid w:val="00232E3A"/>
    <w:rsid w:val="00232FD4"/>
    <w:rsid w:val="00232FD6"/>
    <w:rsid w:val="0023303E"/>
    <w:rsid w:val="0023314A"/>
    <w:rsid w:val="002333A4"/>
    <w:rsid w:val="00233567"/>
    <w:rsid w:val="00233614"/>
    <w:rsid w:val="002338CE"/>
    <w:rsid w:val="00233A6F"/>
    <w:rsid w:val="00233B6A"/>
    <w:rsid w:val="00233C2E"/>
    <w:rsid w:val="00233C62"/>
    <w:rsid w:val="00233FF1"/>
    <w:rsid w:val="002341B2"/>
    <w:rsid w:val="00234240"/>
    <w:rsid w:val="00234310"/>
    <w:rsid w:val="00234380"/>
    <w:rsid w:val="00234429"/>
    <w:rsid w:val="0023451B"/>
    <w:rsid w:val="00234594"/>
    <w:rsid w:val="002345F5"/>
    <w:rsid w:val="0023488F"/>
    <w:rsid w:val="00234ABB"/>
    <w:rsid w:val="002350B5"/>
    <w:rsid w:val="00235136"/>
    <w:rsid w:val="00235190"/>
    <w:rsid w:val="00235511"/>
    <w:rsid w:val="00235561"/>
    <w:rsid w:val="002355A9"/>
    <w:rsid w:val="0023572B"/>
    <w:rsid w:val="00235792"/>
    <w:rsid w:val="0023580E"/>
    <w:rsid w:val="002358D2"/>
    <w:rsid w:val="00235A14"/>
    <w:rsid w:val="00235A34"/>
    <w:rsid w:val="00235BE8"/>
    <w:rsid w:val="00235BEE"/>
    <w:rsid w:val="00235C15"/>
    <w:rsid w:val="00236265"/>
    <w:rsid w:val="0023627A"/>
    <w:rsid w:val="002362DD"/>
    <w:rsid w:val="0023630F"/>
    <w:rsid w:val="00236B40"/>
    <w:rsid w:val="00236B6B"/>
    <w:rsid w:val="00236C7A"/>
    <w:rsid w:val="00236E99"/>
    <w:rsid w:val="00236EBF"/>
    <w:rsid w:val="00236F53"/>
    <w:rsid w:val="0023700F"/>
    <w:rsid w:val="002370CD"/>
    <w:rsid w:val="00237164"/>
    <w:rsid w:val="00237177"/>
    <w:rsid w:val="002375C2"/>
    <w:rsid w:val="002375E0"/>
    <w:rsid w:val="0023768C"/>
    <w:rsid w:val="002376B2"/>
    <w:rsid w:val="00237A07"/>
    <w:rsid w:val="00237C8D"/>
    <w:rsid w:val="00237CE4"/>
    <w:rsid w:val="00237D49"/>
    <w:rsid w:val="00237DE6"/>
    <w:rsid w:val="00237EDB"/>
    <w:rsid w:val="00237F3B"/>
    <w:rsid w:val="0023CE60"/>
    <w:rsid w:val="0024003A"/>
    <w:rsid w:val="0024006C"/>
    <w:rsid w:val="00240188"/>
    <w:rsid w:val="00240234"/>
    <w:rsid w:val="002403F8"/>
    <w:rsid w:val="00240493"/>
    <w:rsid w:val="0024059C"/>
    <w:rsid w:val="0024068A"/>
    <w:rsid w:val="0024096D"/>
    <w:rsid w:val="00240999"/>
    <w:rsid w:val="00240B79"/>
    <w:rsid w:val="00240CD1"/>
    <w:rsid w:val="00240E1F"/>
    <w:rsid w:val="00240E4A"/>
    <w:rsid w:val="00240FA9"/>
    <w:rsid w:val="00241075"/>
    <w:rsid w:val="00241092"/>
    <w:rsid w:val="0024117E"/>
    <w:rsid w:val="00241345"/>
    <w:rsid w:val="002415D7"/>
    <w:rsid w:val="00241652"/>
    <w:rsid w:val="002416B2"/>
    <w:rsid w:val="00241902"/>
    <w:rsid w:val="00241ADF"/>
    <w:rsid w:val="00241B11"/>
    <w:rsid w:val="00241B8B"/>
    <w:rsid w:val="00241C10"/>
    <w:rsid w:val="002421C1"/>
    <w:rsid w:val="00242255"/>
    <w:rsid w:val="002422E2"/>
    <w:rsid w:val="002423BE"/>
    <w:rsid w:val="00242417"/>
    <w:rsid w:val="00242502"/>
    <w:rsid w:val="00242923"/>
    <w:rsid w:val="00242DE9"/>
    <w:rsid w:val="00243270"/>
    <w:rsid w:val="002434A6"/>
    <w:rsid w:val="00243575"/>
    <w:rsid w:val="002435A5"/>
    <w:rsid w:val="002436D2"/>
    <w:rsid w:val="0024375A"/>
    <w:rsid w:val="002438C0"/>
    <w:rsid w:val="00243A0C"/>
    <w:rsid w:val="00243A61"/>
    <w:rsid w:val="00243A7B"/>
    <w:rsid w:val="00243C0E"/>
    <w:rsid w:val="00243C3C"/>
    <w:rsid w:val="00243D67"/>
    <w:rsid w:val="00243E59"/>
    <w:rsid w:val="00243FEC"/>
    <w:rsid w:val="00244066"/>
    <w:rsid w:val="00244134"/>
    <w:rsid w:val="002441D5"/>
    <w:rsid w:val="00244263"/>
    <w:rsid w:val="002442EB"/>
    <w:rsid w:val="00244350"/>
    <w:rsid w:val="00244401"/>
    <w:rsid w:val="00244573"/>
    <w:rsid w:val="0024461A"/>
    <w:rsid w:val="0024468C"/>
    <w:rsid w:val="002446B0"/>
    <w:rsid w:val="002446C9"/>
    <w:rsid w:val="0024471F"/>
    <w:rsid w:val="002447C4"/>
    <w:rsid w:val="00244813"/>
    <w:rsid w:val="0024496C"/>
    <w:rsid w:val="002449C5"/>
    <w:rsid w:val="00244D0D"/>
    <w:rsid w:val="00244E82"/>
    <w:rsid w:val="00244F02"/>
    <w:rsid w:val="0024500F"/>
    <w:rsid w:val="00245127"/>
    <w:rsid w:val="0024530D"/>
    <w:rsid w:val="002455CC"/>
    <w:rsid w:val="00245696"/>
    <w:rsid w:val="002457B3"/>
    <w:rsid w:val="002459A9"/>
    <w:rsid w:val="00245AEC"/>
    <w:rsid w:val="00245C4A"/>
    <w:rsid w:val="00245C50"/>
    <w:rsid w:val="00245C66"/>
    <w:rsid w:val="00245CDD"/>
    <w:rsid w:val="00245D07"/>
    <w:rsid w:val="00245D46"/>
    <w:rsid w:val="00245D4E"/>
    <w:rsid w:val="00245D6E"/>
    <w:rsid w:val="0024616E"/>
    <w:rsid w:val="002461CF"/>
    <w:rsid w:val="00246295"/>
    <w:rsid w:val="00246433"/>
    <w:rsid w:val="00246487"/>
    <w:rsid w:val="002466BE"/>
    <w:rsid w:val="00246724"/>
    <w:rsid w:val="00246757"/>
    <w:rsid w:val="002467CF"/>
    <w:rsid w:val="00246853"/>
    <w:rsid w:val="00246B5C"/>
    <w:rsid w:val="00246C4E"/>
    <w:rsid w:val="00246D5B"/>
    <w:rsid w:val="00246DE2"/>
    <w:rsid w:val="00246E4F"/>
    <w:rsid w:val="00246F86"/>
    <w:rsid w:val="002470A8"/>
    <w:rsid w:val="002470C9"/>
    <w:rsid w:val="002470DD"/>
    <w:rsid w:val="002471C8"/>
    <w:rsid w:val="00247649"/>
    <w:rsid w:val="00247726"/>
    <w:rsid w:val="00247913"/>
    <w:rsid w:val="0024797E"/>
    <w:rsid w:val="00247A8C"/>
    <w:rsid w:val="00247AFD"/>
    <w:rsid w:val="00247D3B"/>
    <w:rsid w:val="00247D56"/>
    <w:rsid w:val="00247E1B"/>
    <w:rsid w:val="00247ED0"/>
    <w:rsid w:val="00247F34"/>
    <w:rsid w:val="0025002C"/>
    <w:rsid w:val="0025011E"/>
    <w:rsid w:val="00250131"/>
    <w:rsid w:val="002501FB"/>
    <w:rsid w:val="00250243"/>
    <w:rsid w:val="002502B2"/>
    <w:rsid w:val="002502D1"/>
    <w:rsid w:val="002504B8"/>
    <w:rsid w:val="00250716"/>
    <w:rsid w:val="0025085B"/>
    <w:rsid w:val="0025086A"/>
    <w:rsid w:val="00250927"/>
    <w:rsid w:val="002509A1"/>
    <w:rsid w:val="00250BFD"/>
    <w:rsid w:val="00250C3F"/>
    <w:rsid w:val="00250E9F"/>
    <w:rsid w:val="002513C9"/>
    <w:rsid w:val="0025150B"/>
    <w:rsid w:val="0025152C"/>
    <w:rsid w:val="002515FD"/>
    <w:rsid w:val="0025161D"/>
    <w:rsid w:val="002516A2"/>
    <w:rsid w:val="002516AB"/>
    <w:rsid w:val="002517B5"/>
    <w:rsid w:val="002517DB"/>
    <w:rsid w:val="00251920"/>
    <w:rsid w:val="00251951"/>
    <w:rsid w:val="00251A85"/>
    <w:rsid w:val="00251BDB"/>
    <w:rsid w:val="00251C7D"/>
    <w:rsid w:val="00251FC1"/>
    <w:rsid w:val="00251FE4"/>
    <w:rsid w:val="00252083"/>
    <w:rsid w:val="002520AE"/>
    <w:rsid w:val="002520E8"/>
    <w:rsid w:val="002521F8"/>
    <w:rsid w:val="00252305"/>
    <w:rsid w:val="00252328"/>
    <w:rsid w:val="0025251F"/>
    <w:rsid w:val="00252626"/>
    <w:rsid w:val="00252786"/>
    <w:rsid w:val="002527D4"/>
    <w:rsid w:val="00252AC0"/>
    <w:rsid w:val="00252B18"/>
    <w:rsid w:val="00252DDB"/>
    <w:rsid w:val="00252ED1"/>
    <w:rsid w:val="00253059"/>
    <w:rsid w:val="002531DF"/>
    <w:rsid w:val="00253201"/>
    <w:rsid w:val="00253373"/>
    <w:rsid w:val="00253382"/>
    <w:rsid w:val="00253485"/>
    <w:rsid w:val="00253809"/>
    <w:rsid w:val="00253911"/>
    <w:rsid w:val="00253950"/>
    <w:rsid w:val="00253A46"/>
    <w:rsid w:val="00253B65"/>
    <w:rsid w:val="00253B97"/>
    <w:rsid w:val="00253DE7"/>
    <w:rsid w:val="00253FB3"/>
    <w:rsid w:val="002544D1"/>
    <w:rsid w:val="002544DB"/>
    <w:rsid w:val="0025453A"/>
    <w:rsid w:val="0025475C"/>
    <w:rsid w:val="002547DD"/>
    <w:rsid w:val="00254C57"/>
    <w:rsid w:val="00254CD4"/>
    <w:rsid w:val="00254D1C"/>
    <w:rsid w:val="00254DF9"/>
    <w:rsid w:val="00254EE4"/>
    <w:rsid w:val="00254F12"/>
    <w:rsid w:val="00254FA2"/>
    <w:rsid w:val="0025500B"/>
    <w:rsid w:val="00255680"/>
    <w:rsid w:val="00255722"/>
    <w:rsid w:val="0025593B"/>
    <w:rsid w:val="002559CB"/>
    <w:rsid w:val="00255D8F"/>
    <w:rsid w:val="00255EE8"/>
    <w:rsid w:val="00255FF1"/>
    <w:rsid w:val="00256115"/>
    <w:rsid w:val="0025616D"/>
    <w:rsid w:val="00256197"/>
    <w:rsid w:val="00256208"/>
    <w:rsid w:val="0025627C"/>
    <w:rsid w:val="002562E6"/>
    <w:rsid w:val="002563C7"/>
    <w:rsid w:val="00256416"/>
    <w:rsid w:val="002565C0"/>
    <w:rsid w:val="002566F2"/>
    <w:rsid w:val="0025672E"/>
    <w:rsid w:val="00256852"/>
    <w:rsid w:val="002568DB"/>
    <w:rsid w:val="00256B56"/>
    <w:rsid w:val="00256B98"/>
    <w:rsid w:val="00256CB1"/>
    <w:rsid w:val="00256ED1"/>
    <w:rsid w:val="00256F32"/>
    <w:rsid w:val="00256FC7"/>
    <w:rsid w:val="0025702F"/>
    <w:rsid w:val="002570B5"/>
    <w:rsid w:val="00257343"/>
    <w:rsid w:val="00257411"/>
    <w:rsid w:val="0025741E"/>
    <w:rsid w:val="002574BA"/>
    <w:rsid w:val="002574F5"/>
    <w:rsid w:val="00257553"/>
    <w:rsid w:val="002577BA"/>
    <w:rsid w:val="002578CF"/>
    <w:rsid w:val="0025795D"/>
    <w:rsid w:val="00257A0B"/>
    <w:rsid w:val="00257A15"/>
    <w:rsid w:val="00257A5C"/>
    <w:rsid w:val="00257A76"/>
    <w:rsid w:val="00257DC4"/>
    <w:rsid w:val="00257DF8"/>
    <w:rsid w:val="00257E84"/>
    <w:rsid w:val="002601BF"/>
    <w:rsid w:val="00260203"/>
    <w:rsid w:val="0026020F"/>
    <w:rsid w:val="002604B6"/>
    <w:rsid w:val="002606A8"/>
    <w:rsid w:val="00260845"/>
    <w:rsid w:val="0026092E"/>
    <w:rsid w:val="00260AB1"/>
    <w:rsid w:val="00260BD2"/>
    <w:rsid w:val="00260E6C"/>
    <w:rsid w:val="00260F2B"/>
    <w:rsid w:val="00260F3D"/>
    <w:rsid w:val="00261151"/>
    <w:rsid w:val="002611E5"/>
    <w:rsid w:val="002612F6"/>
    <w:rsid w:val="0026138C"/>
    <w:rsid w:val="00261408"/>
    <w:rsid w:val="00261676"/>
    <w:rsid w:val="00261772"/>
    <w:rsid w:val="00261A98"/>
    <w:rsid w:val="00261AE3"/>
    <w:rsid w:val="00261BCE"/>
    <w:rsid w:val="00261BF6"/>
    <w:rsid w:val="00261F76"/>
    <w:rsid w:val="002620C9"/>
    <w:rsid w:val="00262126"/>
    <w:rsid w:val="00262327"/>
    <w:rsid w:val="00262367"/>
    <w:rsid w:val="0026266E"/>
    <w:rsid w:val="0026291D"/>
    <w:rsid w:val="002629D5"/>
    <w:rsid w:val="00262B87"/>
    <w:rsid w:val="00262B98"/>
    <w:rsid w:val="00262C65"/>
    <w:rsid w:val="00262CF1"/>
    <w:rsid w:val="00262DB1"/>
    <w:rsid w:val="00262E56"/>
    <w:rsid w:val="00263160"/>
    <w:rsid w:val="002636EE"/>
    <w:rsid w:val="0026374D"/>
    <w:rsid w:val="002638E3"/>
    <w:rsid w:val="002639A5"/>
    <w:rsid w:val="00263CD2"/>
    <w:rsid w:val="00263EC1"/>
    <w:rsid w:val="00263F13"/>
    <w:rsid w:val="00263F1E"/>
    <w:rsid w:val="00263F6C"/>
    <w:rsid w:val="00263FD4"/>
    <w:rsid w:val="0026410D"/>
    <w:rsid w:val="0026422D"/>
    <w:rsid w:val="002642B6"/>
    <w:rsid w:val="0026439E"/>
    <w:rsid w:val="00264A12"/>
    <w:rsid w:val="00264A77"/>
    <w:rsid w:val="00264DAC"/>
    <w:rsid w:val="00264DF7"/>
    <w:rsid w:val="00265023"/>
    <w:rsid w:val="00265061"/>
    <w:rsid w:val="002651AF"/>
    <w:rsid w:val="0026528F"/>
    <w:rsid w:val="002652FB"/>
    <w:rsid w:val="002654D7"/>
    <w:rsid w:val="00265541"/>
    <w:rsid w:val="0026572C"/>
    <w:rsid w:val="002657AA"/>
    <w:rsid w:val="00265969"/>
    <w:rsid w:val="00265AB8"/>
    <w:rsid w:val="00265EDD"/>
    <w:rsid w:val="00265FDB"/>
    <w:rsid w:val="002660DA"/>
    <w:rsid w:val="002662DB"/>
    <w:rsid w:val="00266313"/>
    <w:rsid w:val="002664C3"/>
    <w:rsid w:val="002664E7"/>
    <w:rsid w:val="002665A3"/>
    <w:rsid w:val="0026665C"/>
    <w:rsid w:val="00266687"/>
    <w:rsid w:val="0026677B"/>
    <w:rsid w:val="00266A47"/>
    <w:rsid w:val="00266B11"/>
    <w:rsid w:val="00266BAD"/>
    <w:rsid w:val="00266C70"/>
    <w:rsid w:val="00266F7B"/>
    <w:rsid w:val="00267060"/>
    <w:rsid w:val="00267380"/>
    <w:rsid w:val="002673AD"/>
    <w:rsid w:val="00267401"/>
    <w:rsid w:val="00267403"/>
    <w:rsid w:val="00267697"/>
    <w:rsid w:val="0026769C"/>
    <w:rsid w:val="002677B7"/>
    <w:rsid w:val="00267C80"/>
    <w:rsid w:val="00267CF8"/>
    <w:rsid w:val="00267E3F"/>
    <w:rsid w:val="00267E79"/>
    <w:rsid w:val="00270021"/>
    <w:rsid w:val="0027005B"/>
    <w:rsid w:val="0027023D"/>
    <w:rsid w:val="00270276"/>
    <w:rsid w:val="002702D7"/>
    <w:rsid w:val="00270387"/>
    <w:rsid w:val="002705FE"/>
    <w:rsid w:val="00270654"/>
    <w:rsid w:val="00270709"/>
    <w:rsid w:val="00270716"/>
    <w:rsid w:val="002708D3"/>
    <w:rsid w:val="0027096A"/>
    <w:rsid w:val="00270A05"/>
    <w:rsid w:val="00270ACD"/>
    <w:rsid w:val="00270B0F"/>
    <w:rsid w:val="00270CC1"/>
    <w:rsid w:val="00270DAF"/>
    <w:rsid w:val="00270DBF"/>
    <w:rsid w:val="00271040"/>
    <w:rsid w:val="0027104C"/>
    <w:rsid w:val="00271155"/>
    <w:rsid w:val="0027116D"/>
    <w:rsid w:val="002711EC"/>
    <w:rsid w:val="0027139A"/>
    <w:rsid w:val="002713A9"/>
    <w:rsid w:val="00271447"/>
    <w:rsid w:val="002715A6"/>
    <w:rsid w:val="002719DE"/>
    <w:rsid w:val="00271A14"/>
    <w:rsid w:val="00271A89"/>
    <w:rsid w:val="00271AF7"/>
    <w:rsid w:val="00271B70"/>
    <w:rsid w:val="00271CE5"/>
    <w:rsid w:val="00271DF6"/>
    <w:rsid w:val="00271E27"/>
    <w:rsid w:val="00271E60"/>
    <w:rsid w:val="00271ECC"/>
    <w:rsid w:val="0027204B"/>
    <w:rsid w:val="00272203"/>
    <w:rsid w:val="002722D2"/>
    <w:rsid w:val="00272316"/>
    <w:rsid w:val="00272445"/>
    <w:rsid w:val="00272604"/>
    <w:rsid w:val="0027276A"/>
    <w:rsid w:val="002727A1"/>
    <w:rsid w:val="002727FA"/>
    <w:rsid w:val="00272A0A"/>
    <w:rsid w:val="00272A9C"/>
    <w:rsid w:val="00272B23"/>
    <w:rsid w:val="00272B9A"/>
    <w:rsid w:val="00272D45"/>
    <w:rsid w:val="002730F2"/>
    <w:rsid w:val="00273168"/>
    <w:rsid w:val="002732BC"/>
    <w:rsid w:val="00273424"/>
    <w:rsid w:val="0027357A"/>
    <w:rsid w:val="0027363F"/>
    <w:rsid w:val="00273728"/>
    <w:rsid w:val="00273793"/>
    <w:rsid w:val="002739F1"/>
    <w:rsid w:val="00273C4D"/>
    <w:rsid w:val="00273C56"/>
    <w:rsid w:val="00273D33"/>
    <w:rsid w:val="0027427E"/>
    <w:rsid w:val="002743FD"/>
    <w:rsid w:val="00274588"/>
    <w:rsid w:val="002745A1"/>
    <w:rsid w:val="002745AE"/>
    <w:rsid w:val="00274732"/>
    <w:rsid w:val="002747E8"/>
    <w:rsid w:val="00274922"/>
    <w:rsid w:val="002749A1"/>
    <w:rsid w:val="002749CE"/>
    <w:rsid w:val="00274B3C"/>
    <w:rsid w:val="00274C97"/>
    <w:rsid w:val="00274D15"/>
    <w:rsid w:val="00274D37"/>
    <w:rsid w:val="00274DB1"/>
    <w:rsid w:val="00274E33"/>
    <w:rsid w:val="00274FFE"/>
    <w:rsid w:val="002751A1"/>
    <w:rsid w:val="00275349"/>
    <w:rsid w:val="0027534D"/>
    <w:rsid w:val="00275528"/>
    <w:rsid w:val="00275542"/>
    <w:rsid w:val="0027567A"/>
    <w:rsid w:val="002756B6"/>
    <w:rsid w:val="00275A91"/>
    <w:rsid w:val="00275ACE"/>
    <w:rsid w:val="00275B73"/>
    <w:rsid w:val="00275C5F"/>
    <w:rsid w:val="00275CE6"/>
    <w:rsid w:val="00275DCD"/>
    <w:rsid w:val="00275E4C"/>
    <w:rsid w:val="00275FA6"/>
    <w:rsid w:val="00276306"/>
    <w:rsid w:val="00276358"/>
    <w:rsid w:val="00276470"/>
    <w:rsid w:val="002764AC"/>
    <w:rsid w:val="002764E1"/>
    <w:rsid w:val="00276516"/>
    <w:rsid w:val="00276565"/>
    <w:rsid w:val="00276623"/>
    <w:rsid w:val="002768A9"/>
    <w:rsid w:val="0027696D"/>
    <w:rsid w:val="00276A26"/>
    <w:rsid w:val="00276A43"/>
    <w:rsid w:val="00276A5E"/>
    <w:rsid w:val="00276ABA"/>
    <w:rsid w:val="00276B43"/>
    <w:rsid w:val="00276D25"/>
    <w:rsid w:val="00276D52"/>
    <w:rsid w:val="00276E2F"/>
    <w:rsid w:val="00276FAE"/>
    <w:rsid w:val="002770C4"/>
    <w:rsid w:val="0027754C"/>
    <w:rsid w:val="002775B9"/>
    <w:rsid w:val="002777EE"/>
    <w:rsid w:val="002778A4"/>
    <w:rsid w:val="002778B1"/>
    <w:rsid w:val="002778BE"/>
    <w:rsid w:val="0027796A"/>
    <w:rsid w:val="002779C2"/>
    <w:rsid w:val="00277AEE"/>
    <w:rsid w:val="00277B60"/>
    <w:rsid w:val="00277C23"/>
    <w:rsid w:val="00277C88"/>
    <w:rsid w:val="00277F5E"/>
    <w:rsid w:val="00277F7F"/>
    <w:rsid w:val="00280087"/>
    <w:rsid w:val="0028034D"/>
    <w:rsid w:val="0028064C"/>
    <w:rsid w:val="00280868"/>
    <w:rsid w:val="002809B8"/>
    <w:rsid w:val="002809C5"/>
    <w:rsid w:val="00280A2C"/>
    <w:rsid w:val="00280AC3"/>
    <w:rsid w:val="00280B2A"/>
    <w:rsid w:val="00280F1D"/>
    <w:rsid w:val="00280F4B"/>
    <w:rsid w:val="00281158"/>
    <w:rsid w:val="00281251"/>
    <w:rsid w:val="002812E3"/>
    <w:rsid w:val="00281437"/>
    <w:rsid w:val="0028168F"/>
    <w:rsid w:val="0028199A"/>
    <w:rsid w:val="00281A0D"/>
    <w:rsid w:val="00281A44"/>
    <w:rsid w:val="00281ACE"/>
    <w:rsid w:val="00281BB1"/>
    <w:rsid w:val="00281D88"/>
    <w:rsid w:val="00281F60"/>
    <w:rsid w:val="002821F9"/>
    <w:rsid w:val="0028224F"/>
    <w:rsid w:val="002827BE"/>
    <w:rsid w:val="00282A11"/>
    <w:rsid w:val="00282DDC"/>
    <w:rsid w:val="00282FFB"/>
    <w:rsid w:val="00283251"/>
    <w:rsid w:val="00283299"/>
    <w:rsid w:val="002833AE"/>
    <w:rsid w:val="00283450"/>
    <w:rsid w:val="00283499"/>
    <w:rsid w:val="002834B0"/>
    <w:rsid w:val="00283564"/>
    <w:rsid w:val="0028368F"/>
    <w:rsid w:val="002836C8"/>
    <w:rsid w:val="0028395E"/>
    <w:rsid w:val="00283AF6"/>
    <w:rsid w:val="00283C2A"/>
    <w:rsid w:val="00283D37"/>
    <w:rsid w:val="00283E44"/>
    <w:rsid w:val="00283F33"/>
    <w:rsid w:val="0028407D"/>
    <w:rsid w:val="002841AB"/>
    <w:rsid w:val="002842BB"/>
    <w:rsid w:val="00284425"/>
    <w:rsid w:val="0028448F"/>
    <w:rsid w:val="00284598"/>
    <w:rsid w:val="00284839"/>
    <w:rsid w:val="00284932"/>
    <w:rsid w:val="00284955"/>
    <w:rsid w:val="00284B5B"/>
    <w:rsid w:val="00284D94"/>
    <w:rsid w:val="00284DE1"/>
    <w:rsid w:val="00284E5A"/>
    <w:rsid w:val="002850FD"/>
    <w:rsid w:val="0028513D"/>
    <w:rsid w:val="00285188"/>
    <w:rsid w:val="00285221"/>
    <w:rsid w:val="0028538E"/>
    <w:rsid w:val="002853C5"/>
    <w:rsid w:val="00285413"/>
    <w:rsid w:val="00285701"/>
    <w:rsid w:val="00285734"/>
    <w:rsid w:val="00285B81"/>
    <w:rsid w:val="00285C05"/>
    <w:rsid w:val="00285C58"/>
    <w:rsid w:val="00285FEC"/>
    <w:rsid w:val="00286088"/>
    <w:rsid w:val="00286171"/>
    <w:rsid w:val="00286354"/>
    <w:rsid w:val="002863F6"/>
    <w:rsid w:val="002864E1"/>
    <w:rsid w:val="00286879"/>
    <w:rsid w:val="002868A0"/>
    <w:rsid w:val="00286A7D"/>
    <w:rsid w:val="00286D56"/>
    <w:rsid w:val="00286D7E"/>
    <w:rsid w:val="00286DAF"/>
    <w:rsid w:val="00287244"/>
    <w:rsid w:val="00287317"/>
    <w:rsid w:val="00287359"/>
    <w:rsid w:val="00287545"/>
    <w:rsid w:val="002875E9"/>
    <w:rsid w:val="00287735"/>
    <w:rsid w:val="0028786A"/>
    <w:rsid w:val="0028786B"/>
    <w:rsid w:val="00287C54"/>
    <w:rsid w:val="00287E1F"/>
    <w:rsid w:val="00287E6C"/>
    <w:rsid w:val="00287FA6"/>
    <w:rsid w:val="00290055"/>
    <w:rsid w:val="00290153"/>
    <w:rsid w:val="002901BB"/>
    <w:rsid w:val="002902A4"/>
    <w:rsid w:val="002902C8"/>
    <w:rsid w:val="002903C8"/>
    <w:rsid w:val="00290438"/>
    <w:rsid w:val="00290D3E"/>
    <w:rsid w:val="00290D91"/>
    <w:rsid w:val="00290E1A"/>
    <w:rsid w:val="00290E69"/>
    <w:rsid w:val="00290F2A"/>
    <w:rsid w:val="00291092"/>
    <w:rsid w:val="00291130"/>
    <w:rsid w:val="00291249"/>
    <w:rsid w:val="00291331"/>
    <w:rsid w:val="0029133C"/>
    <w:rsid w:val="00291608"/>
    <w:rsid w:val="00291749"/>
    <w:rsid w:val="002917E1"/>
    <w:rsid w:val="00291AAA"/>
    <w:rsid w:val="00291AB2"/>
    <w:rsid w:val="00291BB0"/>
    <w:rsid w:val="00291BD2"/>
    <w:rsid w:val="00291C6A"/>
    <w:rsid w:val="00291C7E"/>
    <w:rsid w:val="00291C9A"/>
    <w:rsid w:val="00291D1E"/>
    <w:rsid w:val="00291D45"/>
    <w:rsid w:val="00291E73"/>
    <w:rsid w:val="00291FB0"/>
    <w:rsid w:val="00291FCF"/>
    <w:rsid w:val="00292305"/>
    <w:rsid w:val="00292313"/>
    <w:rsid w:val="002923AD"/>
    <w:rsid w:val="002924C1"/>
    <w:rsid w:val="00292588"/>
    <w:rsid w:val="002926AD"/>
    <w:rsid w:val="0029278F"/>
    <w:rsid w:val="002927A0"/>
    <w:rsid w:val="002927F0"/>
    <w:rsid w:val="00292900"/>
    <w:rsid w:val="00292904"/>
    <w:rsid w:val="00292AF9"/>
    <w:rsid w:val="00292B5A"/>
    <w:rsid w:val="00292BBE"/>
    <w:rsid w:val="00292CC1"/>
    <w:rsid w:val="00292D48"/>
    <w:rsid w:val="00292E9B"/>
    <w:rsid w:val="00292EB8"/>
    <w:rsid w:val="002931F1"/>
    <w:rsid w:val="00293387"/>
    <w:rsid w:val="00293451"/>
    <w:rsid w:val="0029382D"/>
    <w:rsid w:val="0029389F"/>
    <w:rsid w:val="002938E5"/>
    <w:rsid w:val="00293905"/>
    <w:rsid w:val="00293D7C"/>
    <w:rsid w:val="00293F08"/>
    <w:rsid w:val="00293F9B"/>
    <w:rsid w:val="00294058"/>
    <w:rsid w:val="00294144"/>
    <w:rsid w:val="002941BF"/>
    <w:rsid w:val="00294216"/>
    <w:rsid w:val="0029437E"/>
    <w:rsid w:val="002943A8"/>
    <w:rsid w:val="00294416"/>
    <w:rsid w:val="0029458F"/>
    <w:rsid w:val="002945BB"/>
    <w:rsid w:val="0029464C"/>
    <w:rsid w:val="002947F8"/>
    <w:rsid w:val="00294A48"/>
    <w:rsid w:val="00294AF5"/>
    <w:rsid w:val="00294BA9"/>
    <w:rsid w:val="00294C02"/>
    <w:rsid w:val="00294DF3"/>
    <w:rsid w:val="00294ED6"/>
    <w:rsid w:val="002956FC"/>
    <w:rsid w:val="0029570D"/>
    <w:rsid w:val="002957D0"/>
    <w:rsid w:val="0029593E"/>
    <w:rsid w:val="00295A83"/>
    <w:rsid w:val="00295AB9"/>
    <w:rsid w:val="00295AEB"/>
    <w:rsid w:val="00295BF3"/>
    <w:rsid w:val="00295DC0"/>
    <w:rsid w:val="00295E26"/>
    <w:rsid w:val="00295E6F"/>
    <w:rsid w:val="00295EE2"/>
    <w:rsid w:val="00295F72"/>
    <w:rsid w:val="0029607B"/>
    <w:rsid w:val="002960A8"/>
    <w:rsid w:val="002965A2"/>
    <w:rsid w:val="002966CB"/>
    <w:rsid w:val="00296B65"/>
    <w:rsid w:val="00296C4F"/>
    <w:rsid w:val="00296D76"/>
    <w:rsid w:val="002970AB"/>
    <w:rsid w:val="00297106"/>
    <w:rsid w:val="0029729D"/>
    <w:rsid w:val="002972B2"/>
    <w:rsid w:val="002972DF"/>
    <w:rsid w:val="002974F9"/>
    <w:rsid w:val="002977D6"/>
    <w:rsid w:val="002978B3"/>
    <w:rsid w:val="00297908"/>
    <w:rsid w:val="00297A68"/>
    <w:rsid w:val="00297B85"/>
    <w:rsid w:val="00297D58"/>
    <w:rsid w:val="00297E64"/>
    <w:rsid w:val="00297EDD"/>
    <w:rsid w:val="00297F84"/>
    <w:rsid w:val="002A0131"/>
    <w:rsid w:val="002A01B9"/>
    <w:rsid w:val="002A02E7"/>
    <w:rsid w:val="002A040B"/>
    <w:rsid w:val="002A0443"/>
    <w:rsid w:val="002A05CB"/>
    <w:rsid w:val="002A0873"/>
    <w:rsid w:val="002A0AF4"/>
    <w:rsid w:val="002A0B2D"/>
    <w:rsid w:val="002A0B73"/>
    <w:rsid w:val="002A0BF1"/>
    <w:rsid w:val="002A0CAC"/>
    <w:rsid w:val="002A0CCE"/>
    <w:rsid w:val="002A0DC6"/>
    <w:rsid w:val="002A0E5C"/>
    <w:rsid w:val="002A1152"/>
    <w:rsid w:val="002A1286"/>
    <w:rsid w:val="002A128D"/>
    <w:rsid w:val="002A12B7"/>
    <w:rsid w:val="002A1500"/>
    <w:rsid w:val="002A1558"/>
    <w:rsid w:val="002A15EE"/>
    <w:rsid w:val="002A1935"/>
    <w:rsid w:val="002A1A51"/>
    <w:rsid w:val="002A1B35"/>
    <w:rsid w:val="002A1C4D"/>
    <w:rsid w:val="002A1CE8"/>
    <w:rsid w:val="002A210C"/>
    <w:rsid w:val="002A2148"/>
    <w:rsid w:val="002A222F"/>
    <w:rsid w:val="002A228D"/>
    <w:rsid w:val="002A2564"/>
    <w:rsid w:val="002A25F5"/>
    <w:rsid w:val="002A27D4"/>
    <w:rsid w:val="002A299F"/>
    <w:rsid w:val="002A2A80"/>
    <w:rsid w:val="002A2C41"/>
    <w:rsid w:val="002A2E70"/>
    <w:rsid w:val="002A2EA2"/>
    <w:rsid w:val="002A2F79"/>
    <w:rsid w:val="002A3006"/>
    <w:rsid w:val="002A3140"/>
    <w:rsid w:val="002A324C"/>
    <w:rsid w:val="002A32E8"/>
    <w:rsid w:val="002A32EB"/>
    <w:rsid w:val="002A372B"/>
    <w:rsid w:val="002A3A7D"/>
    <w:rsid w:val="002A3AE6"/>
    <w:rsid w:val="002A3C1C"/>
    <w:rsid w:val="002A3E72"/>
    <w:rsid w:val="002A3EE4"/>
    <w:rsid w:val="002A4009"/>
    <w:rsid w:val="002A4204"/>
    <w:rsid w:val="002A42BF"/>
    <w:rsid w:val="002A42CB"/>
    <w:rsid w:val="002A431B"/>
    <w:rsid w:val="002A447B"/>
    <w:rsid w:val="002A46BE"/>
    <w:rsid w:val="002A49EB"/>
    <w:rsid w:val="002A4A2D"/>
    <w:rsid w:val="002A4A9C"/>
    <w:rsid w:val="002A4ABD"/>
    <w:rsid w:val="002A4C8C"/>
    <w:rsid w:val="002A4D78"/>
    <w:rsid w:val="002A4DB3"/>
    <w:rsid w:val="002A4DBC"/>
    <w:rsid w:val="002A4EDA"/>
    <w:rsid w:val="002A4EE6"/>
    <w:rsid w:val="002A4F27"/>
    <w:rsid w:val="002A4FFF"/>
    <w:rsid w:val="002A53AE"/>
    <w:rsid w:val="002A5438"/>
    <w:rsid w:val="002A56E8"/>
    <w:rsid w:val="002A5761"/>
    <w:rsid w:val="002A576B"/>
    <w:rsid w:val="002A590E"/>
    <w:rsid w:val="002A59AC"/>
    <w:rsid w:val="002A5C31"/>
    <w:rsid w:val="002A5D7A"/>
    <w:rsid w:val="002A5E1A"/>
    <w:rsid w:val="002A5E56"/>
    <w:rsid w:val="002A5F53"/>
    <w:rsid w:val="002A6022"/>
    <w:rsid w:val="002A615F"/>
    <w:rsid w:val="002A6211"/>
    <w:rsid w:val="002A62A9"/>
    <w:rsid w:val="002A6537"/>
    <w:rsid w:val="002A65BE"/>
    <w:rsid w:val="002A65C3"/>
    <w:rsid w:val="002A66EB"/>
    <w:rsid w:val="002A67D4"/>
    <w:rsid w:val="002A6802"/>
    <w:rsid w:val="002A6817"/>
    <w:rsid w:val="002A6990"/>
    <w:rsid w:val="002A6B12"/>
    <w:rsid w:val="002A6B32"/>
    <w:rsid w:val="002A6B4C"/>
    <w:rsid w:val="002A6B74"/>
    <w:rsid w:val="002A6C9C"/>
    <w:rsid w:val="002A6D26"/>
    <w:rsid w:val="002A6E0A"/>
    <w:rsid w:val="002A6F7D"/>
    <w:rsid w:val="002A6FAD"/>
    <w:rsid w:val="002A70FA"/>
    <w:rsid w:val="002A7342"/>
    <w:rsid w:val="002A7551"/>
    <w:rsid w:val="002A75C1"/>
    <w:rsid w:val="002A76BB"/>
    <w:rsid w:val="002A774C"/>
    <w:rsid w:val="002A779B"/>
    <w:rsid w:val="002A77D9"/>
    <w:rsid w:val="002A78FF"/>
    <w:rsid w:val="002A7901"/>
    <w:rsid w:val="002A7B5E"/>
    <w:rsid w:val="002A7B82"/>
    <w:rsid w:val="002A7F4D"/>
    <w:rsid w:val="002A7F6E"/>
    <w:rsid w:val="002B0081"/>
    <w:rsid w:val="002B013A"/>
    <w:rsid w:val="002B0242"/>
    <w:rsid w:val="002B04EA"/>
    <w:rsid w:val="002B05A3"/>
    <w:rsid w:val="002B091B"/>
    <w:rsid w:val="002B0D2A"/>
    <w:rsid w:val="002B0EE6"/>
    <w:rsid w:val="002B11F2"/>
    <w:rsid w:val="002B1236"/>
    <w:rsid w:val="002B13D4"/>
    <w:rsid w:val="002B1406"/>
    <w:rsid w:val="002B1409"/>
    <w:rsid w:val="002B1452"/>
    <w:rsid w:val="002B1587"/>
    <w:rsid w:val="002B1588"/>
    <w:rsid w:val="002B1706"/>
    <w:rsid w:val="002B186F"/>
    <w:rsid w:val="002B191D"/>
    <w:rsid w:val="002B19A9"/>
    <w:rsid w:val="002B1D97"/>
    <w:rsid w:val="002B1E74"/>
    <w:rsid w:val="002B1E78"/>
    <w:rsid w:val="002B1EF9"/>
    <w:rsid w:val="002B2498"/>
    <w:rsid w:val="002B2587"/>
    <w:rsid w:val="002B26B9"/>
    <w:rsid w:val="002B2A17"/>
    <w:rsid w:val="002B2DB0"/>
    <w:rsid w:val="002B3010"/>
    <w:rsid w:val="002B301B"/>
    <w:rsid w:val="002B319A"/>
    <w:rsid w:val="002B333D"/>
    <w:rsid w:val="002B3497"/>
    <w:rsid w:val="002B38A4"/>
    <w:rsid w:val="002B3A6F"/>
    <w:rsid w:val="002B3AA9"/>
    <w:rsid w:val="002B3ACA"/>
    <w:rsid w:val="002B3AD3"/>
    <w:rsid w:val="002B3AE3"/>
    <w:rsid w:val="002B3BC3"/>
    <w:rsid w:val="002B404D"/>
    <w:rsid w:val="002B4144"/>
    <w:rsid w:val="002B43A7"/>
    <w:rsid w:val="002B449B"/>
    <w:rsid w:val="002B44A1"/>
    <w:rsid w:val="002B452D"/>
    <w:rsid w:val="002B4581"/>
    <w:rsid w:val="002B463A"/>
    <w:rsid w:val="002B4A78"/>
    <w:rsid w:val="002B4BE7"/>
    <w:rsid w:val="002B4DE7"/>
    <w:rsid w:val="002B5035"/>
    <w:rsid w:val="002B50EE"/>
    <w:rsid w:val="002B5376"/>
    <w:rsid w:val="002B5632"/>
    <w:rsid w:val="002B56F8"/>
    <w:rsid w:val="002B593E"/>
    <w:rsid w:val="002B5983"/>
    <w:rsid w:val="002B5B58"/>
    <w:rsid w:val="002B5BF9"/>
    <w:rsid w:val="002B5C65"/>
    <w:rsid w:val="002B5E5D"/>
    <w:rsid w:val="002B6062"/>
    <w:rsid w:val="002B62E8"/>
    <w:rsid w:val="002B63F4"/>
    <w:rsid w:val="002B6438"/>
    <w:rsid w:val="002B643E"/>
    <w:rsid w:val="002B64B1"/>
    <w:rsid w:val="002B6572"/>
    <w:rsid w:val="002B6614"/>
    <w:rsid w:val="002B662F"/>
    <w:rsid w:val="002B6658"/>
    <w:rsid w:val="002B67E8"/>
    <w:rsid w:val="002B6AF6"/>
    <w:rsid w:val="002B6B4A"/>
    <w:rsid w:val="002B6BAA"/>
    <w:rsid w:val="002B6C2E"/>
    <w:rsid w:val="002B6D30"/>
    <w:rsid w:val="002B7108"/>
    <w:rsid w:val="002B7299"/>
    <w:rsid w:val="002B7301"/>
    <w:rsid w:val="002B7383"/>
    <w:rsid w:val="002B73B5"/>
    <w:rsid w:val="002B7575"/>
    <w:rsid w:val="002B7656"/>
    <w:rsid w:val="002B76A9"/>
    <w:rsid w:val="002B790B"/>
    <w:rsid w:val="002B796A"/>
    <w:rsid w:val="002B79B7"/>
    <w:rsid w:val="002B7EA6"/>
    <w:rsid w:val="002B7F20"/>
    <w:rsid w:val="002C0094"/>
    <w:rsid w:val="002C01A0"/>
    <w:rsid w:val="002C0351"/>
    <w:rsid w:val="002C03E1"/>
    <w:rsid w:val="002C0513"/>
    <w:rsid w:val="002C07EA"/>
    <w:rsid w:val="002C099C"/>
    <w:rsid w:val="002C0B83"/>
    <w:rsid w:val="002C0C8C"/>
    <w:rsid w:val="002C0CD9"/>
    <w:rsid w:val="002C0EF5"/>
    <w:rsid w:val="002C0FBD"/>
    <w:rsid w:val="002C1024"/>
    <w:rsid w:val="002C1439"/>
    <w:rsid w:val="002C15F4"/>
    <w:rsid w:val="002C1914"/>
    <w:rsid w:val="002C196D"/>
    <w:rsid w:val="002C1AE1"/>
    <w:rsid w:val="002C1CB4"/>
    <w:rsid w:val="002C1DB3"/>
    <w:rsid w:val="002C225D"/>
    <w:rsid w:val="002C23B0"/>
    <w:rsid w:val="002C23B2"/>
    <w:rsid w:val="002C23C6"/>
    <w:rsid w:val="002C23D6"/>
    <w:rsid w:val="002C2721"/>
    <w:rsid w:val="002C2A75"/>
    <w:rsid w:val="002C2AA5"/>
    <w:rsid w:val="002C2B43"/>
    <w:rsid w:val="002C2BE0"/>
    <w:rsid w:val="002C2E44"/>
    <w:rsid w:val="002C2EF5"/>
    <w:rsid w:val="002C3021"/>
    <w:rsid w:val="002C309D"/>
    <w:rsid w:val="002C30BE"/>
    <w:rsid w:val="002C30E2"/>
    <w:rsid w:val="002C321A"/>
    <w:rsid w:val="002C3421"/>
    <w:rsid w:val="002C35EF"/>
    <w:rsid w:val="002C3694"/>
    <w:rsid w:val="002C37DB"/>
    <w:rsid w:val="002C37FD"/>
    <w:rsid w:val="002C3876"/>
    <w:rsid w:val="002C3D3B"/>
    <w:rsid w:val="002C3E2A"/>
    <w:rsid w:val="002C3F29"/>
    <w:rsid w:val="002C3F71"/>
    <w:rsid w:val="002C407F"/>
    <w:rsid w:val="002C408D"/>
    <w:rsid w:val="002C413F"/>
    <w:rsid w:val="002C43A2"/>
    <w:rsid w:val="002C443B"/>
    <w:rsid w:val="002C4460"/>
    <w:rsid w:val="002C4473"/>
    <w:rsid w:val="002C4489"/>
    <w:rsid w:val="002C45BD"/>
    <w:rsid w:val="002C46CA"/>
    <w:rsid w:val="002C4849"/>
    <w:rsid w:val="002C4956"/>
    <w:rsid w:val="002C496D"/>
    <w:rsid w:val="002C4A5B"/>
    <w:rsid w:val="002C4A93"/>
    <w:rsid w:val="002C4B0E"/>
    <w:rsid w:val="002C4B37"/>
    <w:rsid w:val="002C4B63"/>
    <w:rsid w:val="002C4C21"/>
    <w:rsid w:val="002C4CBD"/>
    <w:rsid w:val="002C4FA2"/>
    <w:rsid w:val="002C52DA"/>
    <w:rsid w:val="002C546B"/>
    <w:rsid w:val="002C54B0"/>
    <w:rsid w:val="002C54FF"/>
    <w:rsid w:val="002C551A"/>
    <w:rsid w:val="002C5690"/>
    <w:rsid w:val="002C5692"/>
    <w:rsid w:val="002C56D5"/>
    <w:rsid w:val="002C577B"/>
    <w:rsid w:val="002C58A5"/>
    <w:rsid w:val="002C5B25"/>
    <w:rsid w:val="002C5BCA"/>
    <w:rsid w:val="002C5C6A"/>
    <w:rsid w:val="002C5D68"/>
    <w:rsid w:val="002C5D98"/>
    <w:rsid w:val="002C5DF9"/>
    <w:rsid w:val="002C648C"/>
    <w:rsid w:val="002C6967"/>
    <w:rsid w:val="002C69B7"/>
    <w:rsid w:val="002C6A1B"/>
    <w:rsid w:val="002C6CEF"/>
    <w:rsid w:val="002C6D6A"/>
    <w:rsid w:val="002C6DA1"/>
    <w:rsid w:val="002C6DB3"/>
    <w:rsid w:val="002C6F2D"/>
    <w:rsid w:val="002C713C"/>
    <w:rsid w:val="002C7149"/>
    <w:rsid w:val="002C7173"/>
    <w:rsid w:val="002C7266"/>
    <w:rsid w:val="002C727B"/>
    <w:rsid w:val="002C7287"/>
    <w:rsid w:val="002C739B"/>
    <w:rsid w:val="002C7465"/>
    <w:rsid w:val="002C7527"/>
    <w:rsid w:val="002C7544"/>
    <w:rsid w:val="002C771E"/>
    <w:rsid w:val="002C7759"/>
    <w:rsid w:val="002C77C5"/>
    <w:rsid w:val="002C7934"/>
    <w:rsid w:val="002C79D9"/>
    <w:rsid w:val="002C7AEE"/>
    <w:rsid w:val="002C7C43"/>
    <w:rsid w:val="002C7FA1"/>
    <w:rsid w:val="002C7FA5"/>
    <w:rsid w:val="002C7FFD"/>
    <w:rsid w:val="002D0003"/>
    <w:rsid w:val="002D019C"/>
    <w:rsid w:val="002D02AB"/>
    <w:rsid w:val="002D02CC"/>
    <w:rsid w:val="002D0321"/>
    <w:rsid w:val="002D037F"/>
    <w:rsid w:val="002D03C7"/>
    <w:rsid w:val="002D05E7"/>
    <w:rsid w:val="002D06B3"/>
    <w:rsid w:val="002D082B"/>
    <w:rsid w:val="002D09D4"/>
    <w:rsid w:val="002D0A4D"/>
    <w:rsid w:val="002D0A53"/>
    <w:rsid w:val="002D0ADD"/>
    <w:rsid w:val="002D0BDA"/>
    <w:rsid w:val="002D0C9E"/>
    <w:rsid w:val="002D114C"/>
    <w:rsid w:val="002D1155"/>
    <w:rsid w:val="002D1213"/>
    <w:rsid w:val="002D143E"/>
    <w:rsid w:val="002D157F"/>
    <w:rsid w:val="002D1860"/>
    <w:rsid w:val="002D18D6"/>
    <w:rsid w:val="002D199B"/>
    <w:rsid w:val="002D1B65"/>
    <w:rsid w:val="002D1BCD"/>
    <w:rsid w:val="002D1C94"/>
    <w:rsid w:val="002D1DF3"/>
    <w:rsid w:val="002D201D"/>
    <w:rsid w:val="002D2042"/>
    <w:rsid w:val="002D24B4"/>
    <w:rsid w:val="002D25ED"/>
    <w:rsid w:val="002D274D"/>
    <w:rsid w:val="002D2755"/>
    <w:rsid w:val="002D2A18"/>
    <w:rsid w:val="002D2D8E"/>
    <w:rsid w:val="002D2E07"/>
    <w:rsid w:val="002D2E4A"/>
    <w:rsid w:val="002D2E9C"/>
    <w:rsid w:val="002D3776"/>
    <w:rsid w:val="002D37F2"/>
    <w:rsid w:val="002D38BB"/>
    <w:rsid w:val="002D3981"/>
    <w:rsid w:val="002D39F7"/>
    <w:rsid w:val="002D3A9C"/>
    <w:rsid w:val="002D3AC2"/>
    <w:rsid w:val="002D3EAF"/>
    <w:rsid w:val="002D401F"/>
    <w:rsid w:val="002D42FF"/>
    <w:rsid w:val="002D441D"/>
    <w:rsid w:val="002D4433"/>
    <w:rsid w:val="002D4446"/>
    <w:rsid w:val="002D45D5"/>
    <w:rsid w:val="002D4640"/>
    <w:rsid w:val="002D46C4"/>
    <w:rsid w:val="002D47CA"/>
    <w:rsid w:val="002D4867"/>
    <w:rsid w:val="002D4B3E"/>
    <w:rsid w:val="002D4BC0"/>
    <w:rsid w:val="002D4C0A"/>
    <w:rsid w:val="002D4C39"/>
    <w:rsid w:val="002D4C5E"/>
    <w:rsid w:val="002D4D09"/>
    <w:rsid w:val="002D4D77"/>
    <w:rsid w:val="002D511F"/>
    <w:rsid w:val="002D5403"/>
    <w:rsid w:val="002D5478"/>
    <w:rsid w:val="002D54DC"/>
    <w:rsid w:val="002D560A"/>
    <w:rsid w:val="002D5669"/>
    <w:rsid w:val="002D5685"/>
    <w:rsid w:val="002D569D"/>
    <w:rsid w:val="002D56E4"/>
    <w:rsid w:val="002D5719"/>
    <w:rsid w:val="002D59C0"/>
    <w:rsid w:val="002D5BAD"/>
    <w:rsid w:val="002D5C6C"/>
    <w:rsid w:val="002D5D36"/>
    <w:rsid w:val="002D5D68"/>
    <w:rsid w:val="002D5D94"/>
    <w:rsid w:val="002D5DF3"/>
    <w:rsid w:val="002D5FAA"/>
    <w:rsid w:val="002D6003"/>
    <w:rsid w:val="002D60BA"/>
    <w:rsid w:val="002D6120"/>
    <w:rsid w:val="002D618D"/>
    <w:rsid w:val="002D6367"/>
    <w:rsid w:val="002D64EC"/>
    <w:rsid w:val="002D678C"/>
    <w:rsid w:val="002D6AB2"/>
    <w:rsid w:val="002D6B02"/>
    <w:rsid w:val="002D6CB0"/>
    <w:rsid w:val="002D7057"/>
    <w:rsid w:val="002D713F"/>
    <w:rsid w:val="002D724B"/>
    <w:rsid w:val="002D72C9"/>
    <w:rsid w:val="002D730D"/>
    <w:rsid w:val="002D739D"/>
    <w:rsid w:val="002D76E3"/>
    <w:rsid w:val="002D774C"/>
    <w:rsid w:val="002D77C5"/>
    <w:rsid w:val="002D7933"/>
    <w:rsid w:val="002D79A2"/>
    <w:rsid w:val="002D7AA2"/>
    <w:rsid w:val="002D7C2F"/>
    <w:rsid w:val="002D7C7F"/>
    <w:rsid w:val="002D7D41"/>
    <w:rsid w:val="002D7EA6"/>
    <w:rsid w:val="002E054C"/>
    <w:rsid w:val="002E066F"/>
    <w:rsid w:val="002E0AD0"/>
    <w:rsid w:val="002E0D7D"/>
    <w:rsid w:val="002E0DAF"/>
    <w:rsid w:val="002E0DBA"/>
    <w:rsid w:val="002E0DC8"/>
    <w:rsid w:val="002E0EBC"/>
    <w:rsid w:val="002E10B6"/>
    <w:rsid w:val="002E116B"/>
    <w:rsid w:val="002E1222"/>
    <w:rsid w:val="002E138B"/>
    <w:rsid w:val="002E13EC"/>
    <w:rsid w:val="002E1449"/>
    <w:rsid w:val="002E14FF"/>
    <w:rsid w:val="002E193C"/>
    <w:rsid w:val="002E1952"/>
    <w:rsid w:val="002E19CD"/>
    <w:rsid w:val="002E19EF"/>
    <w:rsid w:val="002E1A19"/>
    <w:rsid w:val="002E1ADB"/>
    <w:rsid w:val="002E1B1C"/>
    <w:rsid w:val="002E1C78"/>
    <w:rsid w:val="002E1C95"/>
    <w:rsid w:val="002E1EA6"/>
    <w:rsid w:val="002E226A"/>
    <w:rsid w:val="002E2326"/>
    <w:rsid w:val="002E2429"/>
    <w:rsid w:val="002E2487"/>
    <w:rsid w:val="002E2708"/>
    <w:rsid w:val="002E2941"/>
    <w:rsid w:val="002E29AC"/>
    <w:rsid w:val="002E2A9C"/>
    <w:rsid w:val="002E2B74"/>
    <w:rsid w:val="002E2B87"/>
    <w:rsid w:val="002E2C95"/>
    <w:rsid w:val="002E2DBF"/>
    <w:rsid w:val="002E2DEE"/>
    <w:rsid w:val="002E2E26"/>
    <w:rsid w:val="002E2EAC"/>
    <w:rsid w:val="002E2ED1"/>
    <w:rsid w:val="002E3003"/>
    <w:rsid w:val="002E319F"/>
    <w:rsid w:val="002E31F6"/>
    <w:rsid w:val="002E351B"/>
    <w:rsid w:val="002E35E8"/>
    <w:rsid w:val="002E380F"/>
    <w:rsid w:val="002E3B71"/>
    <w:rsid w:val="002E3B81"/>
    <w:rsid w:val="002E3DD8"/>
    <w:rsid w:val="002E3EA7"/>
    <w:rsid w:val="002E3FDC"/>
    <w:rsid w:val="002E415A"/>
    <w:rsid w:val="002E41A5"/>
    <w:rsid w:val="002E42C4"/>
    <w:rsid w:val="002E4384"/>
    <w:rsid w:val="002E43E2"/>
    <w:rsid w:val="002E4427"/>
    <w:rsid w:val="002E4429"/>
    <w:rsid w:val="002E4572"/>
    <w:rsid w:val="002E46DF"/>
    <w:rsid w:val="002E47CF"/>
    <w:rsid w:val="002E4853"/>
    <w:rsid w:val="002E4967"/>
    <w:rsid w:val="002E49FD"/>
    <w:rsid w:val="002E4B12"/>
    <w:rsid w:val="002E4C6B"/>
    <w:rsid w:val="002E4E8D"/>
    <w:rsid w:val="002E4FE8"/>
    <w:rsid w:val="002E4FE9"/>
    <w:rsid w:val="002E515F"/>
    <w:rsid w:val="002E51F1"/>
    <w:rsid w:val="002E53DC"/>
    <w:rsid w:val="002E57C0"/>
    <w:rsid w:val="002E585A"/>
    <w:rsid w:val="002E58F4"/>
    <w:rsid w:val="002E59B0"/>
    <w:rsid w:val="002E5A16"/>
    <w:rsid w:val="002E5AC6"/>
    <w:rsid w:val="002E5BFA"/>
    <w:rsid w:val="002E5D3E"/>
    <w:rsid w:val="002E6075"/>
    <w:rsid w:val="002E607A"/>
    <w:rsid w:val="002E6296"/>
    <w:rsid w:val="002E6403"/>
    <w:rsid w:val="002E646B"/>
    <w:rsid w:val="002E6632"/>
    <w:rsid w:val="002E66A7"/>
    <w:rsid w:val="002E67B8"/>
    <w:rsid w:val="002E6804"/>
    <w:rsid w:val="002E68A5"/>
    <w:rsid w:val="002E6930"/>
    <w:rsid w:val="002E6953"/>
    <w:rsid w:val="002E697E"/>
    <w:rsid w:val="002E69EC"/>
    <w:rsid w:val="002E6CC9"/>
    <w:rsid w:val="002E6DAF"/>
    <w:rsid w:val="002E6F2E"/>
    <w:rsid w:val="002E6F3B"/>
    <w:rsid w:val="002E6F43"/>
    <w:rsid w:val="002E6F88"/>
    <w:rsid w:val="002E70A1"/>
    <w:rsid w:val="002E719E"/>
    <w:rsid w:val="002E71E9"/>
    <w:rsid w:val="002E72A5"/>
    <w:rsid w:val="002E74FE"/>
    <w:rsid w:val="002E770D"/>
    <w:rsid w:val="002E77ED"/>
    <w:rsid w:val="002E7874"/>
    <w:rsid w:val="002E78E2"/>
    <w:rsid w:val="002E78F2"/>
    <w:rsid w:val="002E7D4B"/>
    <w:rsid w:val="002E7EA6"/>
    <w:rsid w:val="002E7ED8"/>
    <w:rsid w:val="002F0064"/>
    <w:rsid w:val="002F0129"/>
    <w:rsid w:val="002F02B1"/>
    <w:rsid w:val="002F02B3"/>
    <w:rsid w:val="002F02DA"/>
    <w:rsid w:val="002F035C"/>
    <w:rsid w:val="002F056C"/>
    <w:rsid w:val="002F085E"/>
    <w:rsid w:val="002F0AD9"/>
    <w:rsid w:val="002F0B8A"/>
    <w:rsid w:val="002F0D9D"/>
    <w:rsid w:val="002F0F98"/>
    <w:rsid w:val="002F11EC"/>
    <w:rsid w:val="002F120C"/>
    <w:rsid w:val="002F1245"/>
    <w:rsid w:val="002F125B"/>
    <w:rsid w:val="002F12FE"/>
    <w:rsid w:val="002F13FF"/>
    <w:rsid w:val="002F1726"/>
    <w:rsid w:val="002F17E9"/>
    <w:rsid w:val="002F1890"/>
    <w:rsid w:val="002F19AC"/>
    <w:rsid w:val="002F1B07"/>
    <w:rsid w:val="002F1B08"/>
    <w:rsid w:val="002F1B86"/>
    <w:rsid w:val="002F1C18"/>
    <w:rsid w:val="002F1C21"/>
    <w:rsid w:val="002F1C89"/>
    <w:rsid w:val="002F1D09"/>
    <w:rsid w:val="002F1FB1"/>
    <w:rsid w:val="002F2015"/>
    <w:rsid w:val="002F2054"/>
    <w:rsid w:val="002F20ED"/>
    <w:rsid w:val="002F2172"/>
    <w:rsid w:val="002F21AE"/>
    <w:rsid w:val="002F2308"/>
    <w:rsid w:val="002F2344"/>
    <w:rsid w:val="002F2496"/>
    <w:rsid w:val="002F252B"/>
    <w:rsid w:val="002F2790"/>
    <w:rsid w:val="002F27A2"/>
    <w:rsid w:val="002F28D4"/>
    <w:rsid w:val="002F2942"/>
    <w:rsid w:val="002F29FB"/>
    <w:rsid w:val="002F2A22"/>
    <w:rsid w:val="002F2C1D"/>
    <w:rsid w:val="002F2D97"/>
    <w:rsid w:val="002F2E29"/>
    <w:rsid w:val="002F2FA5"/>
    <w:rsid w:val="002F3042"/>
    <w:rsid w:val="002F3100"/>
    <w:rsid w:val="002F3128"/>
    <w:rsid w:val="002F31B6"/>
    <w:rsid w:val="002F32F5"/>
    <w:rsid w:val="002F3309"/>
    <w:rsid w:val="002F38D9"/>
    <w:rsid w:val="002F38E8"/>
    <w:rsid w:val="002F390C"/>
    <w:rsid w:val="002F3A64"/>
    <w:rsid w:val="002F3AEE"/>
    <w:rsid w:val="002F3B28"/>
    <w:rsid w:val="002F3B79"/>
    <w:rsid w:val="002F3B8A"/>
    <w:rsid w:val="002F3C6B"/>
    <w:rsid w:val="002F3DB3"/>
    <w:rsid w:val="002F3EDF"/>
    <w:rsid w:val="002F3F05"/>
    <w:rsid w:val="002F3F68"/>
    <w:rsid w:val="002F3FDD"/>
    <w:rsid w:val="002F3FFF"/>
    <w:rsid w:val="002F407A"/>
    <w:rsid w:val="002F4295"/>
    <w:rsid w:val="002F45B1"/>
    <w:rsid w:val="002F47EF"/>
    <w:rsid w:val="002F4A7B"/>
    <w:rsid w:val="002F4B24"/>
    <w:rsid w:val="002F4EC9"/>
    <w:rsid w:val="002F4F93"/>
    <w:rsid w:val="002F517C"/>
    <w:rsid w:val="002F51CD"/>
    <w:rsid w:val="002F52B3"/>
    <w:rsid w:val="002F54A5"/>
    <w:rsid w:val="002F569B"/>
    <w:rsid w:val="002F56FA"/>
    <w:rsid w:val="002F5707"/>
    <w:rsid w:val="002F5794"/>
    <w:rsid w:val="002F5872"/>
    <w:rsid w:val="002F590B"/>
    <w:rsid w:val="002F59FC"/>
    <w:rsid w:val="002F5BEF"/>
    <w:rsid w:val="002F5E89"/>
    <w:rsid w:val="002F5F19"/>
    <w:rsid w:val="002F5F82"/>
    <w:rsid w:val="002F5FC8"/>
    <w:rsid w:val="002F6085"/>
    <w:rsid w:val="002F633A"/>
    <w:rsid w:val="002F6363"/>
    <w:rsid w:val="002F6406"/>
    <w:rsid w:val="002F6816"/>
    <w:rsid w:val="002F6D0D"/>
    <w:rsid w:val="002F6FF1"/>
    <w:rsid w:val="002F702D"/>
    <w:rsid w:val="002F7034"/>
    <w:rsid w:val="002F7170"/>
    <w:rsid w:val="002F7288"/>
    <w:rsid w:val="002F7290"/>
    <w:rsid w:val="002F7815"/>
    <w:rsid w:val="002F78DE"/>
    <w:rsid w:val="002F795B"/>
    <w:rsid w:val="002F798D"/>
    <w:rsid w:val="002F7ABD"/>
    <w:rsid w:val="002F7B3A"/>
    <w:rsid w:val="002F7E49"/>
    <w:rsid w:val="002F7FEB"/>
    <w:rsid w:val="003002B3"/>
    <w:rsid w:val="003004B5"/>
    <w:rsid w:val="003007C7"/>
    <w:rsid w:val="00300838"/>
    <w:rsid w:val="00300867"/>
    <w:rsid w:val="0030086F"/>
    <w:rsid w:val="003009D9"/>
    <w:rsid w:val="00300C3C"/>
    <w:rsid w:val="00300E85"/>
    <w:rsid w:val="00300EDD"/>
    <w:rsid w:val="00301018"/>
    <w:rsid w:val="0030109E"/>
    <w:rsid w:val="003013CC"/>
    <w:rsid w:val="003014C9"/>
    <w:rsid w:val="003014CE"/>
    <w:rsid w:val="0030157A"/>
    <w:rsid w:val="003015C5"/>
    <w:rsid w:val="0030166C"/>
    <w:rsid w:val="00301887"/>
    <w:rsid w:val="003018AA"/>
    <w:rsid w:val="00301A5B"/>
    <w:rsid w:val="00301D2A"/>
    <w:rsid w:val="00302160"/>
    <w:rsid w:val="0030223E"/>
    <w:rsid w:val="0030233F"/>
    <w:rsid w:val="00302483"/>
    <w:rsid w:val="00302512"/>
    <w:rsid w:val="00302694"/>
    <w:rsid w:val="003026B2"/>
    <w:rsid w:val="0030270C"/>
    <w:rsid w:val="003027E1"/>
    <w:rsid w:val="00302A3F"/>
    <w:rsid w:val="00302AC6"/>
    <w:rsid w:val="00302B8F"/>
    <w:rsid w:val="00302C0A"/>
    <w:rsid w:val="00302C96"/>
    <w:rsid w:val="00302CB4"/>
    <w:rsid w:val="00302DDC"/>
    <w:rsid w:val="00302DE9"/>
    <w:rsid w:val="0030312A"/>
    <w:rsid w:val="003031F6"/>
    <w:rsid w:val="00303206"/>
    <w:rsid w:val="003033DA"/>
    <w:rsid w:val="00303433"/>
    <w:rsid w:val="0030346C"/>
    <w:rsid w:val="0030349E"/>
    <w:rsid w:val="00303692"/>
    <w:rsid w:val="0030380B"/>
    <w:rsid w:val="00303815"/>
    <w:rsid w:val="00303861"/>
    <w:rsid w:val="00303891"/>
    <w:rsid w:val="00303957"/>
    <w:rsid w:val="00303B44"/>
    <w:rsid w:val="00303BA2"/>
    <w:rsid w:val="00303C7B"/>
    <w:rsid w:val="00303C93"/>
    <w:rsid w:val="00303CE0"/>
    <w:rsid w:val="00303D4D"/>
    <w:rsid w:val="00303E9D"/>
    <w:rsid w:val="003040E6"/>
    <w:rsid w:val="00304247"/>
    <w:rsid w:val="0030460D"/>
    <w:rsid w:val="00304622"/>
    <w:rsid w:val="0030469E"/>
    <w:rsid w:val="003046E4"/>
    <w:rsid w:val="00304832"/>
    <w:rsid w:val="00304AB9"/>
    <w:rsid w:val="00304B2E"/>
    <w:rsid w:val="00304BE5"/>
    <w:rsid w:val="00304C86"/>
    <w:rsid w:val="00304CFA"/>
    <w:rsid w:val="00304E64"/>
    <w:rsid w:val="00304F4C"/>
    <w:rsid w:val="0030504A"/>
    <w:rsid w:val="003050A6"/>
    <w:rsid w:val="003050F1"/>
    <w:rsid w:val="003050FC"/>
    <w:rsid w:val="00305121"/>
    <w:rsid w:val="00305317"/>
    <w:rsid w:val="00305354"/>
    <w:rsid w:val="0030537D"/>
    <w:rsid w:val="003054A5"/>
    <w:rsid w:val="00305523"/>
    <w:rsid w:val="00305596"/>
    <w:rsid w:val="003055C5"/>
    <w:rsid w:val="003056D5"/>
    <w:rsid w:val="0030582B"/>
    <w:rsid w:val="00305835"/>
    <w:rsid w:val="003058D0"/>
    <w:rsid w:val="003058E1"/>
    <w:rsid w:val="00305984"/>
    <w:rsid w:val="00305DCA"/>
    <w:rsid w:val="00305DD0"/>
    <w:rsid w:val="00305F4A"/>
    <w:rsid w:val="00305F4F"/>
    <w:rsid w:val="00305F7F"/>
    <w:rsid w:val="00305FC7"/>
    <w:rsid w:val="00306159"/>
    <w:rsid w:val="00306246"/>
    <w:rsid w:val="00306247"/>
    <w:rsid w:val="003067A6"/>
    <w:rsid w:val="00306B89"/>
    <w:rsid w:val="00306BB7"/>
    <w:rsid w:val="00306C6C"/>
    <w:rsid w:val="00306EAA"/>
    <w:rsid w:val="00307057"/>
    <w:rsid w:val="00307152"/>
    <w:rsid w:val="0030747B"/>
    <w:rsid w:val="003074A4"/>
    <w:rsid w:val="0030751B"/>
    <w:rsid w:val="00307621"/>
    <w:rsid w:val="00307658"/>
    <w:rsid w:val="00307761"/>
    <w:rsid w:val="003077BB"/>
    <w:rsid w:val="003077C0"/>
    <w:rsid w:val="003077D7"/>
    <w:rsid w:val="00307975"/>
    <w:rsid w:val="00307995"/>
    <w:rsid w:val="00307AE3"/>
    <w:rsid w:val="00307D85"/>
    <w:rsid w:val="00307E71"/>
    <w:rsid w:val="00307EBA"/>
    <w:rsid w:val="00307F5D"/>
    <w:rsid w:val="00310064"/>
    <w:rsid w:val="0031006F"/>
    <w:rsid w:val="003100E1"/>
    <w:rsid w:val="0031033A"/>
    <w:rsid w:val="003103F5"/>
    <w:rsid w:val="0031045A"/>
    <w:rsid w:val="00310558"/>
    <w:rsid w:val="00310672"/>
    <w:rsid w:val="00310692"/>
    <w:rsid w:val="0031071F"/>
    <w:rsid w:val="0031074C"/>
    <w:rsid w:val="00310942"/>
    <w:rsid w:val="00310A14"/>
    <w:rsid w:val="00310A1F"/>
    <w:rsid w:val="00310B60"/>
    <w:rsid w:val="00310C00"/>
    <w:rsid w:val="003110D6"/>
    <w:rsid w:val="00311122"/>
    <w:rsid w:val="0031115A"/>
    <w:rsid w:val="00311439"/>
    <w:rsid w:val="003114A2"/>
    <w:rsid w:val="00311512"/>
    <w:rsid w:val="0031154A"/>
    <w:rsid w:val="003115C3"/>
    <w:rsid w:val="00311A91"/>
    <w:rsid w:val="00311C89"/>
    <w:rsid w:val="00311CEB"/>
    <w:rsid w:val="00311DC0"/>
    <w:rsid w:val="00311FA7"/>
    <w:rsid w:val="00312190"/>
    <w:rsid w:val="0031257E"/>
    <w:rsid w:val="003127CA"/>
    <w:rsid w:val="00312876"/>
    <w:rsid w:val="003129B5"/>
    <w:rsid w:val="003129B7"/>
    <w:rsid w:val="00312B76"/>
    <w:rsid w:val="00312E05"/>
    <w:rsid w:val="00312F72"/>
    <w:rsid w:val="00312F95"/>
    <w:rsid w:val="00312FE0"/>
    <w:rsid w:val="00313179"/>
    <w:rsid w:val="003131C1"/>
    <w:rsid w:val="003133E0"/>
    <w:rsid w:val="0031367F"/>
    <w:rsid w:val="00313739"/>
    <w:rsid w:val="00313789"/>
    <w:rsid w:val="0031385A"/>
    <w:rsid w:val="003138FC"/>
    <w:rsid w:val="0031391A"/>
    <w:rsid w:val="003139C1"/>
    <w:rsid w:val="00313A4E"/>
    <w:rsid w:val="00313B3C"/>
    <w:rsid w:val="00313B90"/>
    <w:rsid w:val="00313EC6"/>
    <w:rsid w:val="00313F5D"/>
    <w:rsid w:val="0031423D"/>
    <w:rsid w:val="00314330"/>
    <w:rsid w:val="003144CE"/>
    <w:rsid w:val="003146A0"/>
    <w:rsid w:val="00314837"/>
    <w:rsid w:val="00314ABF"/>
    <w:rsid w:val="00314BDF"/>
    <w:rsid w:val="00314BE3"/>
    <w:rsid w:val="00314C31"/>
    <w:rsid w:val="00314DDE"/>
    <w:rsid w:val="00314EB2"/>
    <w:rsid w:val="00314EDA"/>
    <w:rsid w:val="0031504A"/>
    <w:rsid w:val="003150E5"/>
    <w:rsid w:val="00315227"/>
    <w:rsid w:val="0031533C"/>
    <w:rsid w:val="00315813"/>
    <w:rsid w:val="00315888"/>
    <w:rsid w:val="003158D2"/>
    <w:rsid w:val="00315960"/>
    <w:rsid w:val="00315968"/>
    <w:rsid w:val="00315982"/>
    <w:rsid w:val="00315C02"/>
    <w:rsid w:val="00315C79"/>
    <w:rsid w:val="00315DBC"/>
    <w:rsid w:val="00315E9D"/>
    <w:rsid w:val="00315ED3"/>
    <w:rsid w:val="00315EED"/>
    <w:rsid w:val="00315F5F"/>
    <w:rsid w:val="00315FEB"/>
    <w:rsid w:val="00316046"/>
    <w:rsid w:val="003160BD"/>
    <w:rsid w:val="00316242"/>
    <w:rsid w:val="003163F0"/>
    <w:rsid w:val="00316425"/>
    <w:rsid w:val="003164FF"/>
    <w:rsid w:val="0031677A"/>
    <w:rsid w:val="003167F1"/>
    <w:rsid w:val="00316868"/>
    <w:rsid w:val="00316896"/>
    <w:rsid w:val="0031695A"/>
    <w:rsid w:val="003169F7"/>
    <w:rsid w:val="00316D8D"/>
    <w:rsid w:val="00316DBE"/>
    <w:rsid w:val="00316F45"/>
    <w:rsid w:val="003171AF"/>
    <w:rsid w:val="003171CA"/>
    <w:rsid w:val="003171DB"/>
    <w:rsid w:val="003171DE"/>
    <w:rsid w:val="003172C7"/>
    <w:rsid w:val="00317339"/>
    <w:rsid w:val="00317378"/>
    <w:rsid w:val="003173EA"/>
    <w:rsid w:val="003175B1"/>
    <w:rsid w:val="003175CF"/>
    <w:rsid w:val="003176E1"/>
    <w:rsid w:val="003176E4"/>
    <w:rsid w:val="0031771B"/>
    <w:rsid w:val="003177A7"/>
    <w:rsid w:val="003177FA"/>
    <w:rsid w:val="0031791E"/>
    <w:rsid w:val="00317ABC"/>
    <w:rsid w:val="00317E3A"/>
    <w:rsid w:val="00317ECF"/>
    <w:rsid w:val="00317F66"/>
    <w:rsid w:val="00317F81"/>
    <w:rsid w:val="0032008E"/>
    <w:rsid w:val="00320090"/>
    <w:rsid w:val="0032014B"/>
    <w:rsid w:val="003201E4"/>
    <w:rsid w:val="003201EE"/>
    <w:rsid w:val="0032021E"/>
    <w:rsid w:val="003204D2"/>
    <w:rsid w:val="0032053D"/>
    <w:rsid w:val="00320623"/>
    <w:rsid w:val="003208B9"/>
    <w:rsid w:val="00320946"/>
    <w:rsid w:val="0032094E"/>
    <w:rsid w:val="0032099F"/>
    <w:rsid w:val="00320A6F"/>
    <w:rsid w:val="00320B73"/>
    <w:rsid w:val="00320B83"/>
    <w:rsid w:val="00320BD4"/>
    <w:rsid w:val="00320D78"/>
    <w:rsid w:val="00320DB7"/>
    <w:rsid w:val="00320EC1"/>
    <w:rsid w:val="00320ED2"/>
    <w:rsid w:val="00320F61"/>
    <w:rsid w:val="003210C3"/>
    <w:rsid w:val="003211ED"/>
    <w:rsid w:val="00321329"/>
    <w:rsid w:val="00321331"/>
    <w:rsid w:val="003213D3"/>
    <w:rsid w:val="0032141B"/>
    <w:rsid w:val="003214EF"/>
    <w:rsid w:val="00321538"/>
    <w:rsid w:val="0032158F"/>
    <w:rsid w:val="00321590"/>
    <w:rsid w:val="0032159A"/>
    <w:rsid w:val="00321615"/>
    <w:rsid w:val="003218C9"/>
    <w:rsid w:val="0032192B"/>
    <w:rsid w:val="00321992"/>
    <w:rsid w:val="00321B86"/>
    <w:rsid w:val="00321C9E"/>
    <w:rsid w:val="00321CA1"/>
    <w:rsid w:val="00321CFC"/>
    <w:rsid w:val="003220BE"/>
    <w:rsid w:val="003220E5"/>
    <w:rsid w:val="0032233C"/>
    <w:rsid w:val="003223E9"/>
    <w:rsid w:val="00322486"/>
    <w:rsid w:val="003225D2"/>
    <w:rsid w:val="00322601"/>
    <w:rsid w:val="003226E7"/>
    <w:rsid w:val="00322775"/>
    <w:rsid w:val="003227A3"/>
    <w:rsid w:val="0032287C"/>
    <w:rsid w:val="00322A0F"/>
    <w:rsid w:val="00322B13"/>
    <w:rsid w:val="00322B72"/>
    <w:rsid w:val="00322B97"/>
    <w:rsid w:val="00322ED6"/>
    <w:rsid w:val="00323083"/>
    <w:rsid w:val="0032310B"/>
    <w:rsid w:val="0032312C"/>
    <w:rsid w:val="00323185"/>
    <w:rsid w:val="0032321D"/>
    <w:rsid w:val="00323262"/>
    <w:rsid w:val="003234E6"/>
    <w:rsid w:val="0032382A"/>
    <w:rsid w:val="00323943"/>
    <w:rsid w:val="003239A9"/>
    <w:rsid w:val="00323B52"/>
    <w:rsid w:val="00323B8D"/>
    <w:rsid w:val="00323C09"/>
    <w:rsid w:val="00323E5A"/>
    <w:rsid w:val="00323ECC"/>
    <w:rsid w:val="003240FE"/>
    <w:rsid w:val="003242B1"/>
    <w:rsid w:val="003242B3"/>
    <w:rsid w:val="003242B5"/>
    <w:rsid w:val="00324387"/>
    <w:rsid w:val="003243A7"/>
    <w:rsid w:val="003243B2"/>
    <w:rsid w:val="003243EF"/>
    <w:rsid w:val="0032478A"/>
    <w:rsid w:val="00324833"/>
    <w:rsid w:val="00324872"/>
    <w:rsid w:val="00324906"/>
    <w:rsid w:val="00324918"/>
    <w:rsid w:val="0032494F"/>
    <w:rsid w:val="00324AF7"/>
    <w:rsid w:val="00324BA4"/>
    <w:rsid w:val="00324BAF"/>
    <w:rsid w:val="00324D11"/>
    <w:rsid w:val="00324D69"/>
    <w:rsid w:val="003250E5"/>
    <w:rsid w:val="0032529A"/>
    <w:rsid w:val="003252E0"/>
    <w:rsid w:val="00325358"/>
    <w:rsid w:val="003253C2"/>
    <w:rsid w:val="00325455"/>
    <w:rsid w:val="003256A9"/>
    <w:rsid w:val="003257D6"/>
    <w:rsid w:val="00325A37"/>
    <w:rsid w:val="00325A3D"/>
    <w:rsid w:val="00325D2B"/>
    <w:rsid w:val="00325D4A"/>
    <w:rsid w:val="00325E69"/>
    <w:rsid w:val="00326065"/>
    <w:rsid w:val="0032606F"/>
    <w:rsid w:val="0032627A"/>
    <w:rsid w:val="0032643F"/>
    <w:rsid w:val="003265F6"/>
    <w:rsid w:val="0032661B"/>
    <w:rsid w:val="00326894"/>
    <w:rsid w:val="00326AC9"/>
    <w:rsid w:val="00326B29"/>
    <w:rsid w:val="00326C3A"/>
    <w:rsid w:val="00326E30"/>
    <w:rsid w:val="00326E8E"/>
    <w:rsid w:val="00326F39"/>
    <w:rsid w:val="00326FCF"/>
    <w:rsid w:val="0032701B"/>
    <w:rsid w:val="00327046"/>
    <w:rsid w:val="00327099"/>
    <w:rsid w:val="00327173"/>
    <w:rsid w:val="00327318"/>
    <w:rsid w:val="0032745D"/>
    <w:rsid w:val="003274FE"/>
    <w:rsid w:val="0032751D"/>
    <w:rsid w:val="0032761D"/>
    <w:rsid w:val="0032768E"/>
    <w:rsid w:val="00327739"/>
    <w:rsid w:val="0032774C"/>
    <w:rsid w:val="00327889"/>
    <w:rsid w:val="00327974"/>
    <w:rsid w:val="00327A05"/>
    <w:rsid w:val="00327CA0"/>
    <w:rsid w:val="00327CB4"/>
    <w:rsid w:val="00327D94"/>
    <w:rsid w:val="00327DA4"/>
    <w:rsid w:val="00327E21"/>
    <w:rsid w:val="00327E4F"/>
    <w:rsid w:val="00330010"/>
    <w:rsid w:val="0033006D"/>
    <w:rsid w:val="0033050C"/>
    <w:rsid w:val="0033077D"/>
    <w:rsid w:val="003309A4"/>
    <w:rsid w:val="003309EF"/>
    <w:rsid w:val="00330B43"/>
    <w:rsid w:val="00330B4E"/>
    <w:rsid w:val="00330D7A"/>
    <w:rsid w:val="00330DCD"/>
    <w:rsid w:val="00330E97"/>
    <w:rsid w:val="00330EA9"/>
    <w:rsid w:val="003310D1"/>
    <w:rsid w:val="003310D2"/>
    <w:rsid w:val="003310D8"/>
    <w:rsid w:val="0033128A"/>
    <w:rsid w:val="0033166F"/>
    <w:rsid w:val="0033176B"/>
    <w:rsid w:val="00331893"/>
    <w:rsid w:val="00331C24"/>
    <w:rsid w:val="00331CAD"/>
    <w:rsid w:val="00331CB1"/>
    <w:rsid w:val="00331CEB"/>
    <w:rsid w:val="00331D7C"/>
    <w:rsid w:val="00331FEA"/>
    <w:rsid w:val="00331FF2"/>
    <w:rsid w:val="0033201E"/>
    <w:rsid w:val="00332062"/>
    <w:rsid w:val="003320FF"/>
    <w:rsid w:val="00332104"/>
    <w:rsid w:val="00332247"/>
    <w:rsid w:val="003324E4"/>
    <w:rsid w:val="0033266C"/>
    <w:rsid w:val="003326B3"/>
    <w:rsid w:val="003327F3"/>
    <w:rsid w:val="00332894"/>
    <w:rsid w:val="00332994"/>
    <w:rsid w:val="003329BA"/>
    <w:rsid w:val="00332AA0"/>
    <w:rsid w:val="00332E4D"/>
    <w:rsid w:val="00332FA1"/>
    <w:rsid w:val="00332FE7"/>
    <w:rsid w:val="0033308A"/>
    <w:rsid w:val="00333249"/>
    <w:rsid w:val="00333274"/>
    <w:rsid w:val="003332A8"/>
    <w:rsid w:val="003334CC"/>
    <w:rsid w:val="0033380E"/>
    <w:rsid w:val="00333A3C"/>
    <w:rsid w:val="00333A9C"/>
    <w:rsid w:val="00333B46"/>
    <w:rsid w:val="00333E66"/>
    <w:rsid w:val="003340D9"/>
    <w:rsid w:val="0033427B"/>
    <w:rsid w:val="0033431F"/>
    <w:rsid w:val="00334356"/>
    <w:rsid w:val="00334704"/>
    <w:rsid w:val="003348F1"/>
    <w:rsid w:val="00334949"/>
    <w:rsid w:val="00334967"/>
    <w:rsid w:val="00334AC9"/>
    <w:rsid w:val="00334C71"/>
    <w:rsid w:val="00334E6B"/>
    <w:rsid w:val="00334FCA"/>
    <w:rsid w:val="003350C3"/>
    <w:rsid w:val="003350D6"/>
    <w:rsid w:val="003351CA"/>
    <w:rsid w:val="00335312"/>
    <w:rsid w:val="0033536C"/>
    <w:rsid w:val="003356AD"/>
    <w:rsid w:val="003356C3"/>
    <w:rsid w:val="0033576A"/>
    <w:rsid w:val="00335A0E"/>
    <w:rsid w:val="00335A6B"/>
    <w:rsid w:val="00335E81"/>
    <w:rsid w:val="00335FC0"/>
    <w:rsid w:val="003363B5"/>
    <w:rsid w:val="00336500"/>
    <w:rsid w:val="0033661E"/>
    <w:rsid w:val="00336744"/>
    <w:rsid w:val="00336846"/>
    <w:rsid w:val="003368E9"/>
    <w:rsid w:val="00336AB8"/>
    <w:rsid w:val="00336D3A"/>
    <w:rsid w:val="00337022"/>
    <w:rsid w:val="0033706D"/>
    <w:rsid w:val="0033708D"/>
    <w:rsid w:val="00337196"/>
    <w:rsid w:val="00337252"/>
    <w:rsid w:val="00337546"/>
    <w:rsid w:val="00337569"/>
    <w:rsid w:val="003375DA"/>
    <w:rsid w:val="00337677"/>
    <w:rsid w:val="0033784E"/>
    <w:rsid w:val="00337993"/>
    <w:rsid w:val="00337A6B"/>
    <w:rsid w:val="00337A87"/>
    <w:rsid w:val="00337B08"/>
    <w:rsid w:val="00337B35"/>
    <w:rsid w:val="00337C5F"/>
    <w:rsid w:val="00337D1D"/>
    <w:rsid w:val="00337D44"/>
    <w:rsid w:val="00337D6C"/>
    <w:rsid w:val="00337DE9"/>
    <w:rsid w:val="00337E25"/>
    <w:rsid w:val="00337E54"/>
    <w:rsid w:val="00337EAC"/>
    <w:rsid w:val="00337FE7"/>
    <w:rsid w:val="00340037"/>
    <w:rsid w:val="0034020D"/>
    <w:rsid w:val="003402CF"/>
    <w:rsid w:val="00340327"/>
    <w:rsid w:val="00340330"/>
    <w:rsid w:val="00340395"/>
    <w:rsid w:val="003403E6"/>
    <w:rsid w:val="0034041E"/>
    <w:rsid w:val="0034044E"/>
    <w:rsid w:val="003405F8"/>
    <w:rsid w:val="003405FD"/>
    <w:rsid w:val="003406E7"/>
    <w:rsid w:val="00340792"/>
    <w:rsid w:val="003409E6"/>
    <w:rsid w:val="00340A1E"/>
    <w:rsid w:val="00340BDC"/>
    <w:rsid w:val="00340C45"/>
    <w:rsid w:val="00340CF3"/>
    <w:rsid w:val="00340D40"/>
    <w:rsid w:val="00340E28"/>
    <w:rsid w:val="00340FB2"/>
    <w:rsid w:val="0034109A"/>
    <w:rsid w:val="003413A7"/>
    <w:rsid w:val="00341592"/>
    <w:rsid w:val="0034181E"/>
    <w:rsid w:val="0034196B"/>
    <w:rsid w:val="00341A5A"/>
    <w:rsid w:val="00341DFA"/>
    <w:rsid w:val="00341E19"/>
    <w:rsid w:val="00341E83"/>
    <w:rsid w:val="0034217E"/>
    <w:rsid w:val="003423FE"/>
    <w:rsid w:val="00342403"/>
    <w:rsid w:val="003425E0"/>
    <w:rsid w:val="00342632"/>
    <w:rsid w:val="003427EB"/>
    <w:rsid w:val="0034292C"/>
    <w:rsid w:val="00342AB5"/>
    <w:rsid w:val="00342C9F"/>
    <w:rsid w:val="00342D7F"/>
    <w:rsid w:val="00342F2B"/>
    <w:rsid w:val="00342FA5"/>
    <w:rsid w:val="00343110"/>
    <w:rsid w:val="0034316E"/>
    <w:rsid w:val="0034328B"/>
    <w:rsid w:val="0034345A"/>
    <w:rsid w:val="003434D0"/>
    <w:rsid w:val="003434F9"/>
    <w:rsid w:val="003436C0"/>
    <w:rsid w:val="003437DE"/>
    <w:rsid w:val="003438DE"/>
    <w:rsid w:val="00343902"/>
    <w:rsid w:val="003439F9"/>
    <w:rsid w:val="00343B2A"/>
    <w:rsid w:val="00343B7F"/>
    <w:rsid w:val="00343B96"/>
    <w:rsid w:val="00343BFD"/>
    <w:rsid w:val="00343CE6"/>
    <w:rsid w:val="00343CFC"/>
    <w:rsid w:val="00344057"/>
    <w:rsid w:val="0034426A"/>
    <w:rsid w:val="003442F1"/>
    <w:rsid w:val="003443B4"/>
    <w:rsid w:val="003443D0"/>
    <w:rsid w:val="00344407"/>
    <w:rsid w:val="003444CD"/>
    <w:rsid w:val="003444EE"/>
    <w:rsid w:val="0034456F"/>
    <w:rsid w:val="003445EE"/>
    <w:rsid w:val="0034484B"/>
    <w:rsid w:val="00344896"/>
    <w:rsid w:val="003449DA"/>
    <w:rsid w:val="00344A98"/>
    <w:rsid w:val="00344C39"/>
    <w:rsid w:val="00344F99"/>
    <w:rsid w:val="003452C8"/>
    <w:rsid w:val="00345313"/>
    <w:rsid w:val="003453E2"/>
    <w:rsid w:val="0034543E"/>
    <w:rsid w:val="00345451"/>
    <w:rsid w:val="00345510"/>
    <w:rsid w:val="003456AA"/>
    <w:rsid w:val="00345860"/>
    <w:rsid w:val="0034596E"/>
    <w:rsid w:val="00345C0E"/>
    <w:rsid w:val="00345D99"/>
    <w:rsid w:val="00345E51"/>
    <w:rsid w:val="003461DE"/>
    <w:rsid w:val="003465F9"/>
    <w:rsid w:val="0034661C"/>
    <w:rsid w:val="00346720"/>
    <w:rsid w:val="003468A5"/>
    <w:rsid w:val="003468D6"/>
    <w:rsid w:val="00346982"/>
    <w:rsid w:val="003469D8"/>
    <w:rsid w:val="00346A65"/>
    <w:rsid w:val="00346B71"/>
    <w:rsid w:val="00346BB5"/>
    <w:rsid w:val="00346DB3"/>
    <w:rsid w:val="00346E71"/>
    <w:rsid w:val="00346FFF"/>
    <w:rsid w:val="003470EF"/>
    <w:rsid w:val="00347181"/>
    <w:rsid w:val="00347361"/>
    <w:rsid w:val="003474E9"/>
    <w:rsid w:val="0034770D"/>
    <w:rsid w:val="00347867"/>
    <w:rsid w:val="0034789D"/>
    <w:rsid w:val="003478D9"/>
    <w:rsid w:val="003478DB"/>
    <w:rsid w:val="003479EC"/>
    <w:rsid w:val="00347AC9"/>
    <w:rsid w:val="00347ADA"/>
    <w:rsid w:val="00347B45"/>
    <w:rsid w:val="00347BDF"/>
    <w:rsid w:val="00347DEB"/>
    <w:rsid w:val="00347EC8"/>
    <w:rsid w:val="00347FA8"/>
    <w:rsid w:val="0035010D"/>
    <w:rsid w:val="0035018C"/>
    <w:rsid w:val="003501CE"/>
    <w:rsid w:val="003502AA"/>
    <w:rsid w:val="0035031F"/>
    <w:rsid w:val="0035086B"/>
    <w:rsid w:val="003508FC"/>
    <w:rsid w:val="0035094B"/>
    <w:rsid w:val="00350AC9"/>
    <w:rsid w:val="00350BD4"/>
    <w:rsid w:val="00350D16"/>
    <w:rsid w:val="00350D2D"/>
    <w:rsid w:val="00350DFF"/>
    <w:rsid w:val="00350E2C"/>
    <w:rsid w:val="00350E82"/>
    <w:rsid w:val="00350F5F"/>
    <w:rsid w:val="00350F71"/>
    <w:rsid w:val="00351145"/>
    <w:rsid w:val="003511D6"/>
    <w:rsid w:val="00351210"/>
    <w:rsid w:val="00351313"/>
    <w:rsid w:val="00351405"/>
    <w:rsid w:val="0035143B"/>
    <w:rsid w:val="0035157A"/>
    <w:rsid w:val="0035168B"/>
    <w:rsid w:val="0035183E"/>
    <w:rsid w:val="00351842"/>
    <w:rsid w:val="00351941"/>
    <w:rsid w:val="0035198D"/>
    <w:rsid w:val="00351A64"/>
    <w:rsid w:val="00351D08"/>
    <w:rsid w:val="00351F49"/>
    <w:rsid w:val="003522ED"/>
    <w:rsid w:val="003523AB"/>
    <w:rsid w:val="00352470"/>
    <w:rsid w:val="00352647"/>
    <w:rsid w:val="0035269A"/>
    <w:rsid w:val="003527E5"/>
    <w:rsid w:val="003527FD"/>
    <w:rsid w:val="003528E4"/>
    <w:rsid w:val="0035294F"/>
    <w:rsid w:val="003529A8"/>
    <w:rsid w:val="00352BE7"/>
    <w:rsid w:val="00352CF5"/>
    <w:rsid w:val="00352DB8"/>
    <w:rsid w:val="00352DDE"/>
    <w:rsid w:val="00352F57"/>
    <w:rsid w:val="00352FA0"/>
    <w:rsid w:val="003531FF"/>
    <w:rsid w:val="003535CB"/>
    <w:rsid w:val="00353695"/>
    <w:rsid w:val="003537E5"/>
    <w:rsid w:val="00353997"/>
    <w:rsid w:val="0035399D"/>
    <w:rsid w:val="00353C14"/>
    <w:rsid w:val="00353C19"/>
    <w:rsid w:val="00353DCB"/>
    <w:rsid w:val="00353F00"/>
    <w:rsid w:val="003541F8"/>
    <w:rsid w:val="003543C2"/>
    <w:rsid w:val="0035454B"/>
    <w:rsid w:val="00354717"/>
    <w:rsid w:val="00354730"/>
    <w:rsid w:val="003547D9"/>
    <w:rsid w:val="0035491B"/>
    <w:rsid w:val="0035495C"/>
    <w:rsid w:val="00354ABB"/>
    <w:rsid w:val="00354AC3"/>
    <w:rsid w:val="00354BEC"/>
    <w:rsid w:val="00354CC2"/>
    <w:rsid w:val="00354D83"/>
    <w:rsid w:val="00354E54"/>
    <w:rsid w:val="00354F62"/>
    <w:rsid w:val="003551F8"/>
    <w:rsid w:val="0035529A"/>
    <w:rsid w:val="0035539A"/>
    <w:rsid w:val="003553AD"/>
    <w:rsid w:val="003555A0"/>
    <w:rsid w:val="003555EB"/>
    <w:rsid w:val="00355748"/>
    <w:rsid w:val="0035575A"/>
    <w:rsid w:val="00355830"/>
    <w:rsid w:val="00355B7C"/>
    <w:rsid w:val="00355DA8"/>
    <w:rsid w:val="00355DB4"/>
    <w:rsid w:val="00355DBE"/>
    <w:rsid w:val="00355E70"/>
    <w:rsid w:val="00355ED8"/>
    <w:rsid w:val="00355F21"/>
    <w:rsid w:val="003560AA"/>
    <w:rsid w:val="0035619B"/>
    <w:rsid w:val="003564FF"/>
    <w:rsid w:val="0035683D"/>
    <w:rsid w:val="0035687D"/>
    <w:rsid w:val="003568C0"/>
    <w:rsid w:val="00356979"/>
    <w:rsid w:val="00356C3D"/>
    <w:rsid w:val="00356CA2"/>
    <w:rsid w:val="00356DF7"/>
    <w:rsid w:val="00356E88"/>
    <w:rsid w:val="00356E94"/>
    <w:rsid w:val="00356F0A"/>
    <w:rsid w:val="00356FB9"/>
    <w:rsid w:val="00356FBD"/>
    <w:rsid w:val="0035719C"/>
    <w:rsid w:val="003571C4"/>
    <w:rsid w:val="00357200"/>
    <w:rsid w:val="0035733C"/>
    <w:rsid w:val="00357463"/>
    <w:rsid w:val="00357541"/>
    <w:rsid w:val="00357667"/>
    <w:rsid w:val="003576DD"/>
    <w:rsid w:val="00357C1D"/>
    <w:rsid w:val="00357C29"/>
    <w:rsid w:val="00357D5A"/>
    <w:rsid w:val="00357DC6"/>
    <w:rsid w:val="00360062"/>
    <w:rsid w:val="0036009F"/>
    <w:rsid w:val="003601D6"/>
    <w:rsid w:val="00360202"/>
    <w:rsid w:val="003602B3"/>
    <w:rsid w:val="00360516"/>
    <w:rsid w:val="003605AD"/>
    <w:rsid w:val="00360654"/>
    <w:rsid w:val="0036065B"/>
    <w:rsid w:val="00360795"/>
    <w:rsid w:val="00360B9A"/>
    <w:rsid w:val="00360C7B"/>
    <w:rsid w:val="00360D2E"/>
    <w:rsid w:val="00360F40"/>
    <w:rsid w:val="00361179"/>
    <w:rsid w:val="00361276"/>
    <w:rsid w:val="00361511"/>
    <w:rsid w:val="003617F5"/>
    <w:rsid w:val="003617F7"/>
    <w:rsid w:val="00361A2C"/>
    <w:rsid w:val="00361DC1"/>
    <w:rsid w:val="00361E65"/>
    <w:rsid w:val="00361E69"/>
    <w:rsid w:val="003621AF"/>
    <w:rsid w:val="00362220"/>
    <w:rsid w:val="0036247E"/>
    <w:rsid w:val="00362590"/>
    <w:rsid w:val="00362783"/>
    <w:rsid w:val="00362880"/>
    <w:rsid w:val="003628A3"/>
    <w:rsid w:val="003628F7"/>
    <w:rsid w:val="00362A25"/>
    <w:rsid w:val="00362DD2"/>
    <w:rsid w:val="00362E18"/>
    <w:rsid w:val="00362EDA"/>
    <w:rsid w:val="00362F90"/>
    <w:rsid w:val="00362FA4"/>
    <w:rsid w:val="00363018"/>
    <w:rsid w:val="003631BA"/>
    <w:rsid w:val="00363320"/>
    <w:rsid w:val="003633C2"/>
    <w:rsid w:val="003634EF"/>
    <w:rsid w:val="0036379F"/>
    <w:rsid w:val="00363A26"/>
    <w:rsid w:val="00363BAD"/>
    <w:rsid w:val="00363E96"/>
    <w:rsid w:val="00364256"/>
    <w:rsid w:val="003642CD"/>
    <w:rsid w:val="003642DF"/>
    <w:rsid w:val="003643BE"/>
    <w:rsid w:val="003646AB"/>
    <w:rsid w:val="0036480A"/>
    <w:rsid w:val="00364819"/>
    <w:rsid w:val="003649D0"/>
    <w:rsid w:val="00364AA2"/>
    <w:rsid w:val="00364ADB"/>
    <w:rsid w:val="00364AF5"/>
    <w:rsid w:val="00364DF9"/>
    <w:rsid w:val="00364E2D"/>
    <w:rsid w:val="00364E91"/>
    <w:rsid w:val="00364ED7"/>
    <w:rsid w:val="00364F10"/>
    <w:rsid w:val="00365191"/>
    <w:rsid w:val="003652F2"/>
    <w:rsid w:val="00365527"/>
    <w:rsid w:val="0036553A"/>
    <w:rsid w:val="00365642"/>
    <w:rsid w:val="00365675"/>
    <w:rsid w:val="003657AC"/>
    <w:rsid w:val="00365839"/>
    <w:rsid w:val="00365917"/>
    <w:rsid w:val="003659F8"/>
    <w:rsid w:val="00365A8A"/>
    <w:rsid w:val="00365AA3"/>
    <w:rsid w:val="00365BE0"/>
    <w:rsid w:val="00365F2C"/>
    <w:rsid w:val="00366060"/>
    <w:rsid w:val="00366323"/>
    <w:rsid w:val="00366357"/>
    <w:rsid w:val="00366373"/>
    <w:rsid w:val="00366429"/>
    <w:rsid w:val="003665A1"/>
    <w:rsid w:val="0036695F"/>
    <w:rsid w:val="00366A4A"/>
    <w:rsid w:val="00366AE5"/>
    <w:rsid w:val="0036711E"/>
    <w:rsid w:val="0036725E"/>
    <w:rsid w:val="00367359"/>
    <w:rsid w:val="003673B3"/>
    <w:rsid w:val="00367413"/>
    <w:rsid w:val="00367415"/>
    <w:rsid w:val="0036761C"/>
    <w:rsid w:val="00367646"/>
    <w:rsid w:val="003676FC"/>
    <w:rsid w:val="0036794F"/>
    <w:rsid w:val="00367962"/>
    <w:rsid w:val="00367A53"/>
    <w:rsid w:val="00367AA9"/>
    <w:rsid w:val="00367BEE"/>
    <w:rsid w:val="00367C0A"/>
    <w:rsid w:val="00367C9E"/>
    <w:rsid w:val="00367F23"/>
    <w:rsid w:val="00370003"/>
    <w:rsid w:val="00370098"/>
    <w:rsid w:val="0037012C"/>
    <w:rsid w:val="00370162"/>
    <w:rsid w:val="003702B1"/>
    <w:rsid w:val="003702CC"/>
    <w:rsid w:val="00370313"/>
    <w:rsid w:val="00370444"/>
    <w:rsid w:val="00370516"/>
    <w:rsid w:val="003706DD"/>
    <w:rsid w:val="00370700"/>
    <w:rsid w:val="00370727"/>
    <w:rsid w:val="0037089D"/>
    <w:rsid w:val="003709A4"/>
    <w:rsid w:val="00370A90"/>
    <w:rsid w:val="00370E4E"/>
    <w:rsid w:val="00370EB6"/>
    <w:rsid w:val="00370F62"/>
    <w:rsid w:val="00370F70"/>
    <w:rsid w:val="003710BC"/>
    <w:rsid w:val="003710D9"/>
    <w:rsid w:val="00371176"/>
    <w:rsid w:val="003711B9"/>
    <w:rsid w:val="003711E1"/>
    <w:rsid w:val="003711E3"/>
    <w:rsid w:val="0037120A"/>
    <w:rsid w:val="0037138B"/>
    <w:rsid w:val="0037147B"/>
    <w:rsid w:val="003714B8"/>
    <w:rsid w:val="003715D7"/>
    <w:rsid w:val="00371644"/>
    <w:rsid w:val="00371723"/>
    <w:rsid w:val="00371753"/>
    <w:rsid w:val="003718D3"/>
    <w:rsid w:val="0037197A"/>
    <w:rsid w:val="003719A6"/>
    <w:rsid w:val="00371C5F"/>
    <w:rsid w:val="00371CA8"/>
    <w:rsid w:val="00371DB7"/>
    <w:rsid w:val="00371EB7"/>
    <w:rsid w:val="00371EFC"/>
    <w:rsid w:val="00371FDF"/>
    <w:rsid w:val="003725E7"/>
    <w:rsid w:val="003726AE"/>
    <w:rsid w:val="00372986"/>
    <w:rsid w:val="003729A8"/>
    <w:rsid w:val="00372A7D"/>
    <w:rsid w:val="00372C0C"/>
    <w:rsid w:val="00372C10"/>
    <w:rsid w:val="00372E5D"/>
    <w:rsid w:val="00372F6B"/>
    <w:rsid w:val="00372FA0"/>
    <w:rsid w:val="00372FAA"/>
    <w:rsid w:val="00373183"/>
    <w:rsid w:val="0037326C"/>
    <w:rsid w:val="003732D4"/>
    <w:rsid w:val="003733AD"/>
    <w:rsid w:val="0037340D"/>
    <w:rsid w:val="00373419"/>
    <w:rsid w:val="00373427"/>
    <w:rsid w:val="003734B7"/>
    <w:rsid w:val="003736D4"/>
    <w:rsid w:val="003737E3"/>
    <w:rsid w:val="00373A18"/>
    <w:rsid w:val="00373A34"/>
    <w:rsid w:val="00373B8C"/>
    <w:rsid w:val="00373CF6"/>
    <w:rsid w:val="00373D19"/>
    <w:rsid w:val="00373D7A"/>
    <w:rsid w:val="00373E34"/>
    <w:rsid w:val="00373E4E"/>
    <w:rsid w:val="00373E6A"/>
    <w:rsid w:val="00373EBC"/>
    <w:rsid w:val="00373F95"/>
    <w:rsid w:val="0037407C"/>
    <w:rsid w:val="0037407F"/>
    <w:rsid w:val="003741C1"/>
    <w:rsid w:val="003741E9"/>
    <w:rsid w:val="00374252"/>
    <w:rsid w:val="0037454B"/>
    <w:rsid w:val="00374569"/>
    <w:rsid w:val="003745E2"/>
    <w:rsid w:val="003747D7"/>
    <w:rsid w:val="003748BB"/>
    <w:rsid w:val="0037493A"/>
    <w:rsid w:val="00374981"/>
    <w:rsid w:val="00374A4F"/>
    <w:rsid w:val="00374B4B"/>
    <w:rsid w:val="00374CBF"/>
    <w:rsid w:val="00374D80"/>
    <w:rsid w:val="003750DB"/>
    <w:rsid w:val="0037514D"/>
    <w:rsid w:val="0037517A"/>
    <w:rsid w:val="003751D8"/>
    <w:rsid w:val="003751F2"/>
    <w:rsid w:val="003753A9"/>
    <w:rsid w:val="003753D6"/>
    <w:rsid w:val="003755C1"/>
    <w:rsid w:val="0037567A"/>
    <w:rsid w:val="003756B9"/>
    <w:rsid w:val="003759C9"/>
    <w:rsid w:val="003759D7"/>
    <w:rsid w:val="00375A3B"/>
    <w:rsid w:val="00375A4B"/>
    <w:rsid w:val="00375B1E"/>
    <w:rsid w:val="00375BAF"/>
    <w:rsid w:val="00375BE6"/>
    <w:rsid w:val="00375C70"/>
    <w:rsid w:val="00375CA2"/>
    <w:rsid w:val="00375EA6"/>
    <w:rsid w:val="00375F6F"/>
    <w:rsid w:val="00375FF0"/>
    <w:rsid w:val="003762AA"/>
    <w:rsid w:val="003762C5"/>
    <w:rsid w:val="003763CE"/>
    <w:rsid w:val="003764A0"/>
    <w:rsid w:val="003764FE"/>
    <w:rsid w:val="003765CB"/>
    <w:rsid w:val="0037662C"/>
    <w:rsid w:val="003768F5"/>
    <w:rsid w:val="00376AB3"/>
    <w:rsid w:val="00376CCE"/>
    <w:rsid w:val="00376CE3"/>
    <w:rsid w:val="00376E56"/>
    <w:rsid w:val="00376F3C"/>
    <w:rsid w:val="00376F53"/>
    <w:rsid w:val="0037702F"/>
    <w:rsid w:val="0037704B"/>
    <w:rsid w:val="00377159"/>
    <w:rsid w:val="003772BA"/>
    <w:rsid w:val="003772CD"/>
    <w:rsid w:val="00377366"/>
    <w:rsid w:val="003773B1"/>
    <w:rsid w:val="0037747B"/>
    <w:rsid w:val="0037747F"/>
    <w:rsid w:val="0037754D"/>
    <w:rsid w:val="00377A86"/>
    <w:rsid w:val="00377AF4"/>
    <w:rsid w:val="00377BCD"/>
    <w:rsid w:val="00377C2D"/>
    <w:rsid w:val="00377F37"/>
    <w:rsid w:val="00380059"/>
    <w:rsid w:val="00380100"/>
    <w:rsid w:val="003802D4"/>
    <w:rsid w:val="003803B1"/>
    <w:rsid w:val="003803B3"/>
    <w:rsid w:val="00380419"/>
    <w:rsid w:val="00380444"/>
    <w:rsid w:val="0038082D"/>
    <w:rsid w:val="00380997"/>
    <w:rsid w:val="003809B6"/>
    <w:rsid w:val="00380A4B"/>
    <w:rsid w:val="00380BB3"/>
    <w:rsid w:val="00380BF0"/>
    <w:rsid w:val="00380DF3"/>
    <w:rsid w:val="00380F0F"/>
    <w:rsid w:val="00381199"/>
    <w:rsid w:val="0038123A"/>
    <w:rsid w:val="0038126C"/>
    <w:rsid w:val="003814F2"/>
    <w:rsid w:val="00381635"/>
    <w:rsid w:val="003816B8"/>
    <w:rsid w:val="00381767"/>
    <w:rsid w:val="003817E3"/>
    <w:rsid w:val="003817F4"/>
    <w:rsid w:val="00381BE4"/>
    <w:rsid w:val="00381CC5"/>
    <w:rsid w:val="00381D85"/>
    <w:rsid w:val="00381E4C"/>
    <w:rsid w:val="00381E78"/>
    <w:rsid w:val="00382046"/>
    <w:rsid w:val="00382185"/>
    <w:rsid w:val="0038292A"/>
    <w:rsid w:val="003829F6"/>
    <w:rsid w:val="00382A38"/>
    <w:rsid w:val="00382AC9"/>
    <w:rsid w:val="00382B9D"/>
    <w:rsid w:val="00382F5C"/>
    <w:rsid w:val="00383051"/>
    <w:rsid w:val="003830C0"/>
    <w:rsid w:val="00383267"/>
    <w:rsid w:val="00383340"/>
    <w:rsid w:val="0038336F"/>
    <w:rsid w:val="003837B8"/>
    <w:rsid w:val="003837FA"/>
    <w:rsid w:val="003838FA"/>
    <w:rsid w:val="00383955"/>
    <w:rsid w:val="00383B0C"/>
    <w:rsid w:val="00383C20"/>
    <w:rsid w:val="00383C3C"/>
    <w:rsid w:val="00383DB4"/>
    <w:rsid w:val="00383F01"/>
    <w:rsid w:val="00383F45"/>
    <w:rsid w:val="0038418D"/>
    <w:rsid w:val="0038449C"/>
    <w:rsid w:val="003846DA"/>
    <w:rsid w:val="003847AB"/>
    <w:rsid w:val="0038490B"/>
    <w:rsid w:val="0038498A"/>
    <w:rsid w:val="00384FF0"/>
    <w:rsid w:val="0038514E"/>
    <w:rsid w:val="00385228"/>
    <w:rsid w:val="003854AF"/>
    <w:rsid w:val="003857CE"/>
    <w:rsid w:val="003857E8"/>
    <w:rsid w:val="00385932"/>
    <w:rsid w:val="00385941"/>
    <w:rsid w:val="003859EE"/>
    <w:rsid w:val="00385A1C"/>
    <w:rsid w:val="00385B1F"/>
    <w:rsid w:val="00385B8A"/>
    <w:rsid w:val="00385BBD"/>
    <w:rsid w:val="00385C90"/>
    <w:rsid w:val="00385E98"/>
    <w:rsid w:val="00385EAD"/>
    <w:rsid w:val="00385F47"/>
    <w:rsid w:val="00385FA3"/>
    <w:rsid w:val="0038625D"/>
    <w:rsid w:val="003863CF"/>
    <w:rsid w:val="0038644D"/>
    <w:rsid w:val="00386473"/>
    <w:rsid w:val="00386571"/>
    <w:rsid w:val="00386885"/>
    <w:rsid w:val="00386948"/>
    <w:rsid w:val="00386A5F"/>
    <w:rsid w:val="00386A67"/>
    <w:rsid w:val="00386C42"/>
    <w:rsid w:val="00386C74"/>
    <w:rsid w:val="00386DB2"/>
    <w:rsid w:val="00386F3C"/>
    <w:rsid w:val="00386F3F"/>
    <w:rsid w:val="0038700E"/>
    <w:rsid w:val="00387110"/>
    <w:rsid w:val="00387168"/>
    <w:rsid w:val="00387310"/>
    <w:rsid w:val="003873CC"/>
    <w:rsid w:val="003873CF"/>
    <w:rsid w:val="003874EE"/>
    <w:rsid w:val="00387685"/>
    <w:rsid w:val="003878B7"/>
    <w:rsid w:val="003878F9"/>
    <w:rsid w:val="0038792B"/>
    <w:rsid w:val="00387A89"/>
    <w:rsid w:val="00387BF3"/>
    <w:rsid w:val="00387E5B"/>
    <w:rsid w:val="00387F35"/>
    <w:rsid w:val="00387FB9"/>
    <w:rsid w:val="00390002"/>
    <w:rsid w:val="003900AB"/>
    <w:rsid w:val="00390294"/>
    <w:rsid w:val="00390328"/>
    <w:rsid w:val="00390451"/>
    <w:rsid w:val="0039045F"/>
    <w:rsid w:val="00390567"/>
    <w:rsid w:val="00390589"/>
    <w:rsid w:val="00390689"/>
    <w:rsid w:val="003906FD"/>
    <w:rsid w:val="003907DC"/>
    <w:rsid w:val="00390801"/>
    <w:rsid w:val="0039086C"/>
    <w:rsid w:val="0039093F"/>
    <w:rsid w:val="00390BB3"/>
    <w:rsid w:val="00390C27"/>
    <w:rsid w:val="00390DDB"/>
    <w:rsid w:val="00390FC5"/>
    <w:rsid w:val="00390FCA"/>
    <w:rsid w:val="0039100B"/>
    <w:rsid w:val="003910AB"/>
    <w:rsid w:val="00391290"/>
    <w:rsid w:val="003913F9"/>
    <w:rsid w:val="00391494"/>
    <w:rsid w:val="00391698"/>
    <w:rsid w:val="0039186A"/>
    <w:rsid w:val="003919BA"/>
    <w:rsid w:val="00391A85"/>
    <w:rsid w:val="00391AD6"/>
    <w:rsid w:val="00391AF2"/>
    <w:rsid w:val="00391C76"/>
    <w:rsid w:val="00391CAC"/>
    <w:rsid w:val="00391CE1"/>
    <w:rsid w:val="00391DA9"/>
    <w:rsid w:val="00391FB1"/>
    <w:rsid w:val="00391FF4"/>
    <w:rsid w:val="0039217C"/>
    <w:rsid w:val="003922E6"/>
    <w:rsid w:val="0039253A"/>
    <w:rsid w:val="00392654"/>
    <w:rsid w:val="003926CE"/>
    <w:rsid w:val="00392806"/>
    <w:rsid w:val="00392B6E"/>
    <w:rsid w:val="00392B96"/>
    <w:rsid w:val="00392C01"/>
    <w:rsid w:val="00392C94"/>
    <w:rsid w:val="00392DD5"/>
    <w:rsid w:val="00392E5D"/>
    <w:rsid w:val="00392E7B"/>
    <w:rsid w:val="00392FEE"/>
    <w:rsid w:val="00393168"/>
    <w:rsid w:val="00393255"/>
    <w:rsid w:val="003933FF"/>
    <w:rsid w:val="00393457"/>
    <w:rsid w:val="00393495"/>
    <w:rsid w:val="00393515"/>
    <w:rsid w:val="003935B3"/>
    <w:rsid w:val="00393676"/>
    <w:rsid w:val="0039369A"/>
    <w:rsid w:val="0039373F"/>
    <w:rsid w:val="00393852"/>
    <w:rsid w:val="003938F6"/>
    <w:rsid w:val="0039392E"/>
    <w:rsid w:val="003939AB"/>
    <w:rsid w:val="003939E1"/>
    <w:rsid w:val="00393ADC"/>
    <w:rsid w:val="00393BA1"/>
    <w:rsid w:val="00393C80"/>
    <w:rsid w:val="00393CFE"/>
    <w:rsid w:val="00393EEF"/>
    <w:rsid w:val="0039402B"/>
    <w:rsid w:val="00394069"/>
    <w:rsid w:val="00394170"/>
    <w:rsid w:val="003941B8"/>
    <w:rsid w:val="0039433C"/>
    <w:rsid w:val="003943F5"/>
    <w:rsid w:val="003944AD"/>
    <w:rsid w:val="0039468A"/>
    <w:rsid w:val="00394718"/>
    <w:rsid w:val="0039496A"/>
    <w:rsid w:val="00394C90"/>
    <w:rsid w:val="00394DA4"/>
    <w:rsid w:val="00394DE5"/>
    <w:rsid w:val="00394EA4"/>
    <w:rsid w:val="003951A5"/>
    <w:rsid w:val="00395315"/>
    <w:rsid w:val="003953F6"/>
    <w:rsid w:val="003953F8"/>
    <w:rsid w:val="0039549D"/>
    <w:rsid w:val="00395894"/>
    <w:rsid w:val="00395A07"/>
    <w:rsid w:val="00395B1A"/>
    <w:rsid w:val="00395B35"/>
    <w:rsid w:val="00395B53"/>
    <w:rsid w:val="00395C66"/>
    <w:rsid w:val="00396097"/>
    <w:rsid w:val="0039609C"/>
    <w:rsid w:val="003962EE"/>
    <w:rsid w:val="003962FB"/>
    <w:rsid w:val="00396363"/>
    <w:rsid w:val="003965F9"/>
    <w:rsid w:val="00396C11"/>
    <w:rsid w:val="00396D4F"/>
    <w:rsid w:val="00396E63"/>
    <w:rsid w:val="00396F0B"/>
    <w:rsid w:val="0039707B"/>
    <w:rsid w:val="0039719F"/>
    <w:rsid w:val="003972D9"/>
    <w:rsid w:val="0039730C"/>
    <w:rsid w:val="003973DA"/>
    <w:rsid w:val="0039742D"/>
    <w:rsid w:val="00397430"/>
    <w:rsid w:val="003979FE"/>
    <w:rsid w:val="00397A19"/>
    <w:rsid w:val="00397AFF"/>
    <w:rsid w:val="00397FB1"/>
    <w:rsid w:val="003A0068"/>
    <w:rsid w:val="003A00B3"/>
    <w:rsid w:val="003A0319"/>
    <w:rsid w:val="003A0338"/>
    <w:rsid w:val="003A06CD"/>
    <w:rsid w:val="003A081D"/>
    <w:rsid w:val="003A08FE"/>
    <w:rsid w:val="003A09CB"/>
    <w:rsid w:val="003A0A3C"/>
    <w:rsid w:val="003A0A93"/>
    <w:rsid w:val="003A0E4A"/>
    <w:rsid w:val="003A0E59"/>
    <w:rsid w:val="003A0EA8"/>
    <w:rsid w:val="003A1180"/>
    <w:rsid w:val="003A1273"/>
    <w:rsid w:val="003A1457"/>
    <w:rsid w:val="003A16A4"/>
    <w:rsid w:val="003A180D"/>
    <w:rsid w:val="003A1821"/>
    <w:rsid w:val="003A193D"/>
    <w:rsid w:val="003A1AEB"/>
    <w:rsid w:val="003A1AF2"/>
    <w:rsid w:val="003A1F96"/>
    <w:rsid w:val="003A2053"/>
    <w:rsid w:val="003A21F6"/>
    <w:rsid w:val="003A2358"/>
    <w:rsid w:val="003A2480"/>
    <w:rsid w:val="003A25A6"/>
    <w:rsid w:val="003A26B2"/>
    <w:rsid w:val="003A2A05"/>
    <w:rsid w:val="003A2A16"/>
    <w:rsid w:val="003A2A6F"/>
    <w:rsid w:val="003A2C9F"/>
    <w:rsid w:val="003A2F30"/>
    <w:rsid w:val="003A30F2"/>
    <w:rsid w:val="003A3106"/>
    <w:rsid w:val="003A329C"/>
    <w:rsid w:val="003A333D"/>
    <w:rsid w:val="003A33CB"/>
    <w:rsid w:val="003A36FA"/>
    <w:rsid w:val="003A37FA"/>
    <w:rsid w:val="003A39A8"/>
    <w:rsid w:val="003A3A6C"/>
    <w:rsid w:val="003A3AAE"/>
    <w:rsid w:val="003A3AE7"/>
    <w:rsid w:val="003A3B6D"/>
    <w:rsid w:val="003A3BB4"/>
    <w:rsid w:val="003A3C05"/>
    <w:rsid w:val="003A3E84"/>
    <w:rsid w:val="003A3ED8"/>
    <w:rsid w:val="003A4493"/>
    <w:rsid w:val="003A44E8"/>
    <w:rsid w:val="003A4712"/>
    <w:rsid w:val="003A48BD"/>
    <w:rsid w:val="003A4979"/>
    <w:rsid w:val="003A4B5D"/>
    <w:rsid w:val="003A4D11"/>
    <w:rsid w:val="003A4D19"/>
    <w:rsid w:val="003A4E2E"/>
    <w:rsid w:val="003A4E4A"/>
    <w:rsid w:val="003A4EE0"/>
    <w:rsid w:val="003A4FC0"/>
    <w:rsid w:val="003A50E1"/>
    <w:rsid w:val="003A52F9"/>
    <w:rsid w:val="003A558C"/>
    <w:rsid w:val="003A55BE"/>
    <w:rsid w:val="003A5614"/>
    <w:rsid w:val="003A5634"/>
    <w:rsid w:val="003A573D"/>
    <w:rsid w:val="003A5787"/>
    <w:rsid w:val="003A57CC"/>
    <w:rsid w:val="003A586E"/>
    <w:rsid w:val="003A598F"/>
    <w:rsid w:val="003A5AA2"/>
    <w:rsid w:val="003A5AB2"/>
    <w:rsid w:val="003A5AE8"/>
    <w:rsid w:val="003A5B4E"/>
    <w:rsid w:val="003A5B51"/>
    <w:rsid w:val="003A5C3E"/>
    <w:rsid w:val="003A5C6D"/>
    <w:rsid w:val="003A5D1F"/>
    <w:rsid w:val="003A5E24"/>
    <w:rsid w:val="003A5EFF"/>
    <w:rsid w:val="003A5F8B"/>
    <w:rsid w:val="003A5FC4"/>
    <w:rsid w:val="003A61D0"/>
    <w:rsid w:val="003A61E5"/>
    <w:rsid w:val="003A6351"/>
    <w:rsid w:val="003A6418"/>
    <w:rsid w:val="003A6454"/>
    <w:rsid w:val="003A64AB"/>
    <w:rsid w:val="003A654E"/>
    <w:rsid w:val="003A658E"/>
    <w:rsid w:val="003A6660"/>
    <w:rsid w:val="003A6764"/>
    <w:rsid w:val="003A68C1"/>
    <w:rsid w:val="003A6A6C"/>
    <w:rsid w:val="003A6A8D"/>
    <w:rsid w:val="003A6AC1"/>
    <w:rsid w:val="003A6B25"/>
    <w:rsid w:val="003A6B2C"/>
    <w:rsid w:val="003A6D19"/>
    <w:rsid w:val="003A6E25"/>
    <w:rsid w:val="003A7061"/>
    <w:rsid w:val="003A7111"/>
    <w:rsid w:val="003A71BF"/>
    <w:rsid w:val="003A729B"/>
    <w:rsid w:val="003A733B"/>
    <w:rsid w:val="003A73B3"/>
    <w:rsid w:val="003A78A3"/>
    <w:rsid w:val="003A793A"/>
    <w:rsid w:val="003A79AE"/>
    <w:rsid w:val="003A7B39"/>
    <w:rsid w:val="003A7C05"/>
    <w:rsid w:val="003A7D93"/>
    <w:rsid w:val="003B01BF"/>
    <w:rsid w:val="003B031F"/>
    <w:rsid w:val="003B03DC"/>
    <w:rsid w:val="003B048F"/>
    <w:rsid w:val="003B0516"/>
    <w:rsid w:val="003B0677"/>
    <w:rsid w:val="003B084A"/>
    <w:rsid w:val="003B0994"/>
    <w:rsid w:val="003B0A8C"/>
    <w:rsid w:val="003B0B25"/>
    <w:rsid w:val="003B0D11"/>
    <w:rsid w:val="003B0F68"/>
    <w:rsid w:val="003B100F"/>
    <w:rsid w:val="003B1016"/>
    <w:rsid w:val="003B116B"/>
    <w:rsid w:val="003B118B"/>
    <w:rsid w:val="003B123E"/>
    <w:rsid w:val="003B163F"/>
    <w:rsid w:val="003B170B"/>
    <w:rsid w:val="003B17FB"/>
    <w:rsid w:val="003B2127"/>
    <w:rsid w:val="003B21B4"/>
    <w:rsid w:val="003B2315"/>
    <w:rsid w:val="003B2331"/>
    <w:rsid w:val="003B2374"/>
    <w:rsid w:val="003B2489"/>
    <w:rsid w:val="003B24F2"/>
    <w:rsid w:val="003B25AE"/>
    <w:rsid w:val="003B25BB"/>
    <w:rsid w:val="003B277D"/>
    <w:rsid w:val="003B27AE"/>
    <w:rsid w:val="003B27EF"/>
    <w:rsid w:val="003B284C"/>
    <w:rsid w:val="003B2A70"/>
    <w:rsid w:val="003B2EF9"/>
    <w:rsid w:val="003B2FB2"/>
    <w:rsid w:val="003B3039"/>
    <w:rsid w:val="003B30DA"/>
    <w:rsid w:val="003B30E8"/>
    <w:rsid w:val="003B3154"/>
    <w:rsid w:val="003B3588"/>
    <w:rsid w:val="003B35A3"/>
    <w:rsid w:val="003B35C8"/>
    <w:rsid w:val="003B35EA"/>
    <w:rsid w:val="003B367A"/>
    <w:rsid w:val="003B36D5"/>
    <w:rsid w:val="003B372A"/>
    <w:rsid w:val="003B376F"/>
    <w:rsid w:val="003B3780"/>
    <w:rsid w:val="003B39E6"/>
    <w:rsid w:val="003B3A98"/>
    <w:rsid w:val="003B3B32"/>
    <w:rsid w:val="003B3EE5"/>
    <w:rsid w:val="003B3FEB"/>
    <w:rsid w:val="003B4186"/>
    <w:rsid w:val="003B4461"/>
    <w:rsid w:val="003B45BA"/>
    <w:rsid w:val="003B46D5"/>
    <w:rsid w:val="003B47CB"/>
    <w:rsid w:val="003B4873"/>
    <w:rsid w:val="003B489D"/>
    <w:rsid w:val="003B4A33"/>
    <w:rsid w:val="003B4C3F"/>
    <w:rsid w:val="003B4DEC"/>
    <w:rsid w:val="003B4E97"/>
    <w:rsid w:val="003B4F94"/>
    <w:rsid w:val="003B52C9"/>
    <w:rsid w:val="003B52CC"/>
    <w:rsid w:val="003B549C"/>
    <w:rsid w:val="003B559C"/>
    <w:rsid w:val="003B562F"/>
    <w:rsid w:val="003B56C2"/>
    <w:rsid w:val="003B5837"/>
    <w:rsid w:val="003B590B"/>
    <w:rsid w:val="003B59C7"/>
    <w:rsid w:val="003B59FF"/>
    <w:rsid w:val="003B5DDD"/>
    <w:rsid w:val="003B5E34"/>
    <w:rsid w:val="003B5F38"/>
    <w:rsid w:val="003B606F"/>
    <w:rsid w:val="003B61C6"/>
    <w:rsid w:val="003B61FF"/>
    <w:rsid w:val="003B63B2"/>
    <w:rsid w:val="003B65F8"/>
    <w:rsid w:val="003B665A"/>
    <w:rsid w:val="003B6662"/>
    <w:rsid w:val="003B66E5"/>
    <w:rsid w:val="003B671C"/>
    <w:rsid w:val="003B6764"/>
    <w:rsid w:val="003B684F"/>
    <w:rsid w:val="003B6972"/>
    <w:rsid w:val="003B6B1D"/>
    <w:rsid w:val="003B6B9B"/>
    <w:rsid w:val="003B6C52"/>
    <w:rsid w:val="003B6DB8"/>
    <w:rsid w:val="003B71B5"/>
    <w:rsid w:val="003B7323"/>
    <w:rsid w:val="003B756D"/>
    <w:rsid w:val="003B75E2"/>
    <w:rsid w:val="003B7779"/>
    <w:rsid w:val="003B77BB"/>
    <w:rsid w:val="003B77D2"/>
    <w:rsid w:val="003B7885"/>
    <w:rsid w:val="003B790A"/>
    <w:rsid w:val="003B7A59"/>
    <w:rsid w:val="003B7BCC"/>
    <w:rsid w:val="003B7EF1"/>
    <w:rsid w:val="003C014E"/>
    <w:rsid w:val="003C0351"/>
    <w:rsid w:val="003C048E"/>
    <w:rsid w:val="003C0726"/>
    <w:rsid w:val="003C07D2"/>
    <w:rsid w:val="003C0930"/>
    <w:rsid w:val="003C0F10"/>
    <w:rsid w:val="003C0F5A"/>
    <w:rsid w:val="003C103E"/>
    <w:rsid w:val="003C1152"/>
    <w:rsid w:val="003C1169"/>
    <w:rsid w:val="003C121B"/>
    <w:rsid w:val="003C14A3"/>
    <w:rsid w:val="003C151C"/>
    <w:rsid w:val="003C1698"/>
    <w:rsid w:val="003C16A9"/>
    <w:rsid w:val="003C16EA"/>
    <w:rsid w:val="003C18CB"/>
    <w:rsid w:val="003C18D7"/>
    <w:rsid w:val="003C19FD"/>
    <w:rsid w:val="003C1ABB"/>
    <w:rsid w:val="003C1C83"/>
    <w:rsid w:val="003C1FF2"/>
    <w:rsid w:val="003C21E5"/>
    <w:rsid w:val="003C24F4"/>
    <w:rsid w:val="003C252B"/>
    <w:rsid w:val="003C254E"/>
    <w:rsid w:val="003C25A5"/>
    <w:rsid w:val="003C26F0"/>
    <w:rsid w:val="003C280A"/>
    <w:rsid w:val="003C299C"/>
    <w:rsid w:val="003C2AD4"/>
    <w:rsid w:val="003C2BA1"/>
    <w:rsid w:val="003C2DB9"/>
    <w:rsid w:val="003C2E43"/>
    <w:rsid w:val="003C2E67"/>
    <w:rsid w:val="003C2FDE"/>
    <w:rsid w:val="003C31E5"/>
    <w:rsid w:val="003C32B2"/>
    <w:rsid w:val="003C3486"/>
    <w:rsid w:val="003C36D3"/>
    <w:rsid w:val="003C37E8"/>
    <w:rsid w:val="003C38C0"/>
    <w:rsid w:val="003C38D5"/>
    <w:rsid w:val="003C3953"/>
    <w:rsid w:val="003C395E"/>
    <w:rsid w:val="003C3B47"/>
    <w:rsid w:val="003C3BD6"/>
    <w:rsid w:val="003C3CDD"/>
    <w:rsid w:val="003C3D41"/>
    <w:rsid w:val="003C3E36"/>
    <w:rsid w:val="003C3EB0"/>
    <w:rsid w:val="003C3F9A"/>
    <w:rsid w:val="003C4096"/>
    <w:rsid w:val="003C4384"/>
    <w:rsid w:val="003C43CF"/>
    <w:rsid w:val="003C456B"/>
    <w:rsid w:val="003C4572"/>
    <w:rsid w:val="003C4683"/>
    <w:rsid w:val="003C469C"/>
    <w:rsid w:val="003C46A7"/>
    <w:rsid w:val="003C4799"/>
    <w:rsid w:val="003C47F1"/>
    <w:rsid w:val="003C4828"/>
    <w:rsid w:val="003C49AD"/>
    <w:rsid w:val="003C4B06"/>
    <w:rsid w:val="003C4DC3"/>
    <w:rsid w:val="003C4E31"/>
    <w:rsid w:val="003C5100"/>
    <w:rsid w:val="003C5192"/>
    <w:rsid w:val="003C5231"/>
    <w:rsid w:val="003C55B9"/>
    <w:rsid w:val="003C566E"/>
    <w:rsid w:val="003C577B"/>
    <w:rsid w:val="003C58EB"/>
    <w:rsid w:val="003C59DF"/>
    <w:rsid w:val="003C5ABC"/>
    <w:rsid w:val="003C5B94"/>
    <w:rsid w:val="003C5C18"/>
    <w:rsid w:val="003C5CD8"/>
    <w:rsid w:val="003C5CDA"/>
    <w:rsid w:val="003C5E68"/>
    <w:rsid w:val="003C620A"/>
    <w:rsid w:val="003C6253"/>
    <w:rsid w:val="003C625A"/>
    <w:rsid w:val="003C6265"/>
    <w:rsid w:val="003C654A"/>
    <w:rsid w:val="003C6732"/>
    <w:rsid w:val="003C686B"/>
    <w:rsid w:val="003C6B1E"/>
    <w:rsid w:val="003C6B3A"/>
    <w:rsid w:val="003C6B91"/>
    <w:rsid w:val="003C6E28"/>
    <w:rsid w:val="003C6FB1"/>
    <w:rsid w:val="003C70FF"/>
    <w:rsid w:val="003C7224"/>
    <w:rsid w:val="003C725D"/>
    <w:rsid w:val="003C7353"/>
    <w:rsid w:val="003C7608"/>
    <w:rsid w:val="003C768D"/>
    <w:rsid w:val="003C7808"/>
    <w:rsid w:val="003C7969"/>
    <w:rsid w:val="003C7AB7"/>
    <w:rsid w:val="003C7C1E"/>
    <w:rsid w:val="003C7C22"/>
    <w:rsid w:val="003C7C48"/>
    <w:rsid w:val="003C7EE1"/>
    <w:rsid w:val="003C7FC4"/>
    <w:rsid w:val="003D00CB"/>
    <w:rsid w:val="003D01B9"/>
    <w:rsid w:val="003D01F5"/>
    <w:rsid w:val="003D03B1"/>
    <w:rsid w:val="003D0558"/>
    <w:rsid w:val="003D06D4"/>
    <w:rsid w:val="003D0841"/>
    <w:rsid w:val="003D0909"/>
    <w:rsid w:val="003D0A5A"/>
    <w:rsid w:val="003D0A8F"/>
    <w:rsid w:val="003D0E31"/>
    <w:rsid w:val="003D0EC2"/>
    <w:rsid w:val="003D0F9F"/>
    <w:rsid w:val="003D0FD4"/>
    <w:rsid w:val="003D107F"/>
    <w:rsid w:val="003D11D2"/>
    <w:rsid w:val="003D128C"/>
    <w:rsid w:val="003D12A9"/>
    <w:rsid w:val="003D130C"/>
    <w:rsid w:val="003D1313"/>
    <w:rsid w:val="003D1335"/>
    <w:rsid w:val="003D13AF"/>
    <w:rsid w:val="003D13BC"/>
    <w:rsid w:val="003D14AE"/>
    <w:rsid w:val="003D165D"/>
    <w:rsid w:val="003D16B7"/>
    <w:rsid w:val="003D175E"/>
    <w:rsid w:val="003D193F"/>
    <w:rsid w:val="003D1A25"/>
    <w:rsid w:val="003D1A97"/>
    <w:rsid w:val="003D1B21"/>
    <w:rsid w:val="003D1B47"/>
    <w:rsid w:val="003D1D57"/>
    <w:rsid w:val="003D1D7C"/>
    <w:rsid w:val="003D1F3B"/>
    <w:rsid w:val="003D2322"/>
    <w:rsid w:val="003D253E"/>
    <w:rsid w:val="003D25EA"/>
    <w:rsid w:val="003D2674"/>
    <w:rsid w:val="003D2692"/>
    <w:rsid w:val="003D269E"/>
    <w:rsid w:val="003D26B5"/>
    <w:rsid w:val="003D298D"/>
    <w:rsid w:val="003D2A81"/>
    <w:rsid w:val="003D2ACB"/>
    <w:rsid w:val="003D2C50"/>
    <w:rsid w:val="003D2EFE"/>
    <w:rsid w:val="003D2F13"/>
    <w:rsid w:val="003D2FC4"/>
    <w:rsid w:val="003D2FCA"/>
    <w:rsid w:val="003D3056"/>
    <w:rsid w:val="003D3129"/>
    <w:rsid w:val="003D32EC"/>
    <w:rsid w:val="003D3330"/>
    <w:rsid w:val="003D3408"/>
    <w:rsid w:val="003D3507"/>
    <w:rsid w:val="003D3674"/>
    <w:rsid w:val="003D3754"/>
    <w:rsid w:val="003D3756"/>
    <w:rsid w:val="003D376F"/>
    <w:rsid w:val="003D377C"/>
    <w:rsid w:val="003D379A"/>
    <w:rsid w:val="003D3894"/>
    <w:rsid w:val="003D3DB0"/>
    <w:rsid w:val="003D3DD1"/>
    <w:rsid w:val="003D3DD7"/>
    <w:rsid w:val="003D3E3B"/>
    <w:rsid w:val="003D3EBE"/>
    <w:rsid w:val="003D3FDA"/>
    <w:rsid w:val="003D4011"/>
    <w:rsid w:val="003D4047"/>
    <w:rsid w:val="003D42EB"/>
    <w:rsid w:val="003D462E"/>
    <w:rsid w:val="003D46F2"/>
    <w:rsid w:val="003D48E2"/>
    <w:rsid w:val="003D4948"/>
    <w:rsid w:val="003D4AAE"/>
    <w:rsid w:val="003D4AAF"/>
    <w:rsid w:val="003D4B40"/>
    <w:rsid w:val="003D500A"/>
    <w:rsid w:val="003D5159"/>
    <w:rsid w:val="003D5405"/>
    <w:rsid w:val="003D58C0"/>
    <w:rsid w:val="003D58CA"/>
    <w:rsid w:val="003D5902"/>
    <w:rsid w:val="003D5987"/>
    <w:rsid w:val="003D59D4"/>
    <w:rsid w:val="003D5A85"/>
    <w:rsid w:val="003D5D69"/>
    <w:rsid w:val="003D5D75"/>
    <w:rsid w:val="003D5E4F"/>
    <w:rsid w:val="003D5EDB"/>
    <w:rsid w:val="003D60B2"/>
    <w:rsid w:val="003D6184"/>
    <w:rsid w:val="003D6233"/>
    <w:rsid w:val="003D62D6"/>
    <w:rsid w:val="003D640B"/>
    <w:rsid w:val="003D6483"/>
    <w:rsid w:val="003D6576"/>
    <w:rsid w:val="003D6609"/>
    <w:rsid w:val="003D6865"/>
    <w:rsid w:val="003D68DA"/>
    <w:rsid w:val="003D6921"/>
    <w:rsid w:val="003D6949"/>
    <w:rsid w:val="003D69D5"/>
    <w:rsid w:val="003D6A4F"/>
    <w:rsid w:val="003D6D39"/>
    <w:rsid w:val="003D6E38"/>
    <w:rsid w:val="003D6F9D"/>
    <w:rsid w:val="003D704B"/>
    <w:rsid w:val="003D70FE"/>
    <w:rsid w:val="003D724E"/>
    <w:rsid w:val="003D7261"/>
    <w:rsid w:val="003D73BF"/>
    <w:rsid w:val="003D740B"/>
    <w:rsid w:val="003D7427"/>
    <w:rsid w:val="003D74DD"/>
    <w:rsid w:val="003D75CE"/>
    <w:rsid w:val="003D7820"/>
    <w:rsid w:val="003D7847"/>
    <w:rsid w:val="003D78E2"/>
    <w:rsid w:val="003D791D"/>
    <w:rsid w:val="003D7989"/>
    <w:rsid w:val="003D7ADE"/>
    <w:rsid w:val="003D7B3E"/>
    <w:rsid w:val="003D7E3A"/>
    <w:rsid w:val="003D7EC4"/>
    <w:rsid w:val="003D7F8F"/>
    <w:rsid w:val="003D7FAA"/>
    <w:rsid w:val="003E0053"/>
    <w:rsid w:val="003E00FC"/>
    <w:rsid w:val="003E02D4"/>
    <w:rsid w:val="003E03C5"/>
    <w:rsid w:val="003E03EA"/>
    <w:rsid w:val="003E0416"/>
    <w:rsid w:val="003E043F"/>
    <w:rsid w:val="003E0579"/>
    <w:rsid w:val="003E05AC"/>
    <w:rsid w:val="003E0610"/>
    <w:rsid w:val="003E066B"/>
    <w:rsid w:val="003E07DD"/>
    <w:rsid w:val="003E0800"/>
    <w:rsid w:val="003E08B0"/>
    <w:rsid w:val="003E0A05"/>
    <w:rsid w:val="003E0D12"/>
    <w:rsid w:val="003E0D65"/>
    <w:rsid w:val="003E0DA2"/>
    <w:rsid w:val="003E0F54"/>
    <w:rsid w:val="003E1188"/>
    <w:rsid w:val="003E1570"/>
    <w:rsid w:val="003E1BBA"/>
    <w:rsid w:val="003E1C2D"/>
    <w:rsid w:val="003E1C34"/>
    <w:rsid w:val="003E20D3"/>
    <w:rsid w:val="003E2111"/>
    <w:rsid w:val="003E2158"/>
    <w:rsid w:val="003E21C9"/>
    <w:rsid w:val="003E22B7"/>
    <w:rsid w:val="003E23A7"/>
    <w:rsid w:val="003E23DB"/>
    <w:rsid w:val="003E240E"/>
    <w:rsid w:val="003E253C"/>
    <w:rsid w:val="003E25DA"/>
    <w:rsid w:val="003E26A1"/>
    <w:rsid w:val="003E2727"/>
    <w:rsid w:val="003E2790"/>
    <w:rsid w:val="003E289C"/>
    <w:rsid w:val="003E2A49"/>
    <w:rsid w:val="003E2A86"/>
    <w:rsid w:val="003E2AE1"/>
    <w:rsid w:val="003E2B16"/>
    <w:rsid w:val="003E2B49"/>
    <w:rsid w:val="003E2E5A"/>
    <w:rsid w:val="003E2EC4"/>
    <w:rsid w:val="003E323C"/>
    <w:rsid w:val="003E3429"/>
    <w:rsid w:val="003E35CF"/>
    <w:rsid w:val="003E366B"/>
    <w:rsid w:val="003E3762"/>
    <w:rsid w:val="003E3BD0"/>
    <w:rsid w:val="003E3C72"/>
    <w:rsid w:val="003E3DFE"/>
    <w:rsid w:val="003E3ED3"/>
    <w:rsid w:val="003E4004"/>
    <w:rsid w:val="003E4269"/>
    <w:rsid w:val="003E4557"/>
    <w:rsid w:val="003E45B1"/>
    <w:rsid w:val="003E46E9"/>
    <w:rsid w:val="003E473E"/>
    <w:rsid w:val="003E4897"/>
    <w:rsid w:val="003E4934"/>
    <w:rsid w:val="003E4975"/>
    <w:rsid w:val="003E4991"/>
    <w:rsid w:val="003E4AE5"/>
    <w:rsid w:val="003E4AEB"/>
    <w:rsid w:val="003E4B46"/>
    <w:rsid w:val="003E4D9B"/>
    <w:rsid w:val="003E4E34"/>
    <w:rsid w:val="003E4E85"/>
    <w:rsid w:val="003E52C0"/>
    <w:rsid w:val="003E531D"/>
    <w:rsid w:val="003E553A"/>
    <w:rsid w:val="003E594A"/>
    <w:rsid w:val="003E598B"/>
    <w:rsid w:val="003E5A57"/>
    <w:rsid w:val="003E5AD2"/>
    <w:rsid w:val="003E5AE7"/>
    <w:rsid w:val="003E5B83"/>
    <w:rsid w:val="003E5DBF"/>
    <w:rsid w:val="003E5E39"/>
    <w:rsid w:val="003E6075"/>
    <w:rsid w:val="003E60E0"/>
    <w:rsid w:val="003E6120"/>
    <w:rsid w:val="003E6155"/>
    <w:rsid w:val="003E6178"/>
    <w:rsid w:val="003E61EA"/>
    <w:rsid w:val="003E6478"/>
    <w:rsid w:val="003E6596"/>
    <w:rsid w:val="003E65D1"/>
    <w:rsid w:val="003E676E"/>
    <w:rsid w:val="003E691D"/>
    <w:rsid w:val="003E6994"/>
    <w:rsid w:val="003E6995"/>
    <w:rsid w:val="003E6A00"/>
    <w:rsid w:val="003E6C80"/>
    <w:rsid w:val="003E6DA8"/>
    <w:rsid w:val="003E6E71"/>
    <w:rsid w:val="003E6ECE"/>
    <w:rsid w:val="003E6F63"/>
    <w:rsid w:val="003E6FE8"/>
    <w:rsid w:val="003E7037"/>
    <w:rsid w:val="003E706D"/>
    <w:rsid w:val="003E713B"/>
    <w:rsid w:val="003E7294"/>
    <w:rsid w:val="003E72B7"/>
    <w:rsid w:val="003E7532"/>
    <w:rsid w:val="003E75C0"/>
    <w:rsid w:val="003E7705"/>
    <w:rsid w:val="003E7717"/>
    <w:rsid w:val="003E77BD"/>
    <w:rsid w:val="003E7A91"/>
    <w:rsid w:val="003E7DC4"/>
    <w:rsid w:val="003E7F7F"/>
    <w:rsid w:val="003F018D"/>
    <w:rsid w:val="003F0391"/>
    <w:rsid w:val="003F0447"/>
    <w:rsid w:val="003F0507"/>
    <w:rsid w:val="003F0581"/>
    <w:rsid w:val="003F05DE"/>
    <w:rsid w:val="003F07B8"/>
    <w:rsid w:val="003F0A33"/>
    <w:rsid w:val="003F0A7D"/>
    <w:rsid w:val="003F0AB7"/>
    <w:rsid w:val="003F0BE5"/>
    <w:rsid w:val="003F0C58"/>
    <w:rsid w:val="003F0D3C"/>
    <w:rsid w:val="003F0D80"/>
    <w:rsid w:val="003F0DE5"/>
    <w:rsid w:val="003F129D"/>
    <w:rsid w:val="003F13B4"/>
    <w:rsid w:val="003F156A"/>
    <w:rsid w:val="003F168D"/>
    <w:rsid w:val="003F1950"/>
    <w:rsid w:val="003F1BA7"/>
    <w:rsid w:val="003F1CD7"/>
    <w:rsid w:val="003F1E3D"/>
    <w:rsid w:val="003F1E6D"/>
    <w:rsid w:val="003F1E89"/>
    <w:rsid w:val="003F2078"/>
    <w:rsid w:val="003F2080"/>
    <w:rsid w:val="003F2160"/>
    <w:rsid w:val="003F216B"/>
    <w:rsid w:val="003F228F"/>
    <w:rsid w:val="003F22F9"/>
    <w:rsid w:val="003F262A"/>
    <w:rsid w:val="003F2870"/>
    <w:rsid w:val="003F28BC"/>
    <w:rsid w:val="003F2929"/>
    <w:rsid w:val="003F2A73"/>
    <w:rsid w:val="003F2B07"/>
    <w:rsid w:val="003F2BCF"/>
    <w:rsid w:val="003F2C45"/>
    <w:rsid w:val="003F2CA1"/>
    <w:rsid w:val="003F2D14"/>
    <w:rsid w:val="003F2DB1"/>
    <w:rsid w:val="003F2EF1"/>
    <w:rsid w:val="003F304D"/>
    <w:rsid w:val="003F3125"/>
    <w:rsid w:val="003F31A5"/>
    <w:rsid w:val="003F3638"/>
    <w:rsid w:val="003F393A"/>
    <w:rsid w:val="003F3948"/>
    <w:rsid w:val="003F3A97"/>
    <w:rsid w:val="003F3AB2"/>
    <w:rsid w:val="003F3BC7"/>
    <w:rsid w:val="003F3C1C"/>
    <w:rsid w:val="003F3CAE"/>
    <w:rsid w:val="003F3D20"/>
    <w:rsid w:val="003F3DC3"/>
    <w:rsid w:val="003F3F17"/>
    <w:rsid w:val="003F3F65"/>
    <w:rsid w:val="003F3F8F"/>
    <w:rsid w:val="003F4036"/>
    <w:rsid w:val="003F41B8"/>
    <w:rsid w:val="003F4373"/>
    <w:rsid w:val="003F4479"/>
    <w:rsid w:val="003F4515"/>
    <w:rsid w:val="003F460F"/>
    <w:rsid w:val="003F4691"/>
    <w:rsid w:val="003F46A9"/>
    <w:rsid w:val="003F4748"/>
    <w:rsid w:val="003F47A8"/>
    <w:rsid w:val="003F4825"/>
    <w:rsid w:val="003F49EB"/>
    <w:rsid w:val="003F49F5"/>
    <w:rsid w:val="003F4A45"/>
    <w:rsid w:val="003F4CA6"/>
    <w:rsid w:val="003F4CC1"/>
    <w:rsid w:val="003F4EE9"/>
    <w:rsid w:val="003F4FD2"/>
    <w:rsid w:val="003F5071"/>
    <w:rsid w:val="003F50C4"/>
    <w:rsid w:val="003F524F"/>
    <w:rsid w:val="003F5300"/>
    <w:rsid w:val="003F53A3"/>
    <w:rsid w:val="003F5473"/>
    <w:rsid w:val="003F579C"/>
    <w:rsid w:val="003F58A6"/>
    <w:rsid w:val="003F5A33"/>
    <w:rsid w:val="003F5BD9"/>
    <w:rsid w:val="003F5C95"/>
    <w:rsid w:val="003F5CC7"/>
    <w:rsid w:val="003F5CE8"/>
    <w:rsid w:val="003F5D23"/>
    <w:rsid w:val="003F5DE2"/>
    <w:rsid w:val="003F5EB5"/>
    <w:rsid w:val="003F5EE4"/>
    <w:rsid w:val="003F5FB8"/>
    <w:rsid w:val="003F5FCE"/>
    <w:rsid w:val="003F60AB"/>
    <w:rsid w:val="003F6149"/>
    <w:rsid w:val="003F6189"/>
    <w:rsid w:val="003F6244"/>
    <w:rsid w:val="003F63E7"/>
    <w:rsid w:val="003F63FF"/>
    <w:rsid w:val="003F6401"/>
    <w:rsid w:val="003F6612"/>
    <w:rsid w:val="003F6628"/>
    <w:rsid w:val="003F67DA"/>
    <w:rsid w:val="003F6854"/>
    <w:rsid w:val="003F68F6"/>
    <w:rsid w:val="003F6923"/>
    <w:rsid w:val="003F6A42"/>
    <w:rsid w:val="003F6BBD"/>
    <w:rsid w:val="003F6C3D"/>
    <w:rsid w:val="003F6EC0"/>
    <w:rsid w:val="003F6FF6"/>
    <w:rsid w:val="003F7065"/>
    <w:rsid w:val="003F7104"/>
    <w:rsid w:val="003F714E"/>
    <w:rsid w:val="003F72D6"/>
    <w:rsid w:val="003F73E7"/>
    <w:rsid w:val="003F73F2"/>
    <w:rsid w:val="003F7540"/>
    <w:rsid w:val="003F7566"/>
    <w:rsid w:val="003F7612"/>
    <w:rsid w:val="003F767E"/>
    <w:rsid w:val="003F76DE"/>
    <w:rsid w:val="003F7731"/>
    <w:rsid w:val="003F7AE7"/>
    <w:rsid w:val="003F7B98"/>
    <w:rsid w:val="0040026E"/>
    <w:rsid w:val="004002F0"/>
    <w:rsid w:val="004003AE"/>
    <w:rsid w:val="004003AF"/>
    <w:rsid w:val="0040050B"/>
    <w:rsid w:val="00400691"/>
    <w:rsid w:val="00400699"/>
    <w:rsid w:val="004007D0"/>
    <w:rsid w:val="00400849"/>
    <w:rsid w:val="0040088A"/>
    <w:rsid w:val="00400A37"/>
    <w:rsid w:val="00400C6C"/>
    <w:rsid w:val="00400CA9"/>
    <w:rsid w:val="00400D62"/>
    <w:rsid w:val="00400DBB"/>
    <w:rsid w:val="00400E52"/>
    <w:rsid w:val="00400F4C"/>
    <w:rsid w:val="00400FC6"/>
    <w:rsid w:val="00400FE6"/>
    <w:rsid w:val="00401073"/>
    <w:rsid w:val="00401377"/>
    <w:rsid w:val="00401406"/>
    <w:rsid w:val="00401532"/>
    <w:rsid w:val="00401641"/>
    <w:rsid w:val="00401656"/>
    <w:rsid w:val="00401D59"/>
    <w:rsid w:val="00401D96"/>
    <w:rsid w:val="00401DFA"/>
    <w:rsid w:val="00401F1A"/>
    <w:rsid w:val="00401F9A"/>
    <w:rsid w:val="0040212D"/>
    <w:rsid w:val="00402341"/>
    <w:rsid w:val="004023A5"/>
    <w:rsid w:val="00402402"/>
    <w:rsid w:val="00402433"/>
    <w:rsid w:val="0040244F"/>
    <w:rsid w:val="00402555"/>
    <w:rsid w:val="0040255A"/>
    <w:rsid w:val="004025F9"/>
    <w:rsid w:val="00402A06"/>
    <w:rsid w:val="00402A1B"/>
    <w:rsid w:val="00402F7F"/>
    <w:rsid w:val="00402FF5"/>
    <w:rsid w:val="00403036"/>
    <w:rsid w:val="0040304D"/>
    <w:rsid w:val="004033A7"/>
    <w:rsid w:val="0040347A"/>
    <w:rsid w:val="00403627"/>
    <w:rsid w:val="004036ED"/>
    <w:rsid w:val="004037E0"/>
    <w:rsid w:val="00403B7D"/>
    <w:rsid w:val="00403BD2"/>
    <w:rsid w:val="00403C0E"/>
    <w:rsid w:val="00403CFE"/>
    <w:rsid w:val="00403ED5"/>
    <w:rsid w:val="00403F10"/>
    <w:rsid w:val="00403F78"/>
    <w:rsid w:val="00403F7B"/>
    <w:rsid w:val="00403FAA"/>
    <w:rsid w:val="00404016"/>
    <w:rsid w:val="00404017"/>
    <w:rsid w:val="00404257"/>
    <w:rsid w:val="00404306"/>
    <w:rsid w:val="00404333"/>
    <w:rsid w:val="004044B0"/>
    <w:rsid w:val="004046DD"/>
    <w:rsid w:val="00404A9F"/>
    <w:rsid w:val="00404CA9"/>
    <w:rsid w:val="00404CE3"/>
    <w:rsid w:val="00404DA8"/>
    <w:rsid w:val="00404DAD"/>
    <w:rsid w:val="00404E27"/>
    <w:rsid w:val="00404EF5"/>
    <w:rsid w:val="004050A6"/>
    <w:rsid w:val="004050EC"/>
    <w:rsid w:val="0040514F"/>
    <w:rsid w:val="00405416"/>
    <w:rsid w:val="00405619"/>
    <w:rsid w:val="0040575F"/>
    <w:rsid w:val="00405B91"/>
    <w:rsid w:val="00405E57"/>
    <w:rsid w:val="00405EBA"/>
    <w:rsid w:val="00406057"/>
    <w:rsid w:val="004062CC"/>
    <w:rsid w:val="00406397"/>
    <w:rsid w:val="004063BF"/>
    <w:rsid w:val="004064B7"/>
    <w:rsid w:val="004064BF"/>
    <w:rsid w:val="0040665B"/>
    <w:rsid w:val="00406789"/>
    <w:rsid w:val="0040682E"/>
    <w:rsid w:val="00406A4B"/>
    <w:rsid w:val="00406D5D"/>
    <w:rsid w:val="0040710C"/>
    <w:rsid w:val="00407233"/>
    <w:rsid w:val="004072CA"/>
    <w:rsid w:val="004072CE"/>
    <w:rsid w:val="00407385"/>
    <w:rsid w:val="00407443"/>
    <w:rsid w:val="004074AE"/>
    <w:rsid w:val="00407764"/>
    <w:rsid w:val="004077B9"/>
    <w:rsid w:val="004079D6"/>
    <w:rsid w:val="00407AA8"/>
    <w:rsid w:val="00407D4A"/>
    <w:rsid w:val="00410208"/>
    <w:rsid w:val="00410325"/>
    <w:rsid w:val="0041036B"/>
    <w:rsid w:val="004106B0"/>
    <w:rsid w:val="00410729"/>
    <w:rsid w:val="004108C2"/>
    <w:rsid w:val="0041092B"/>
    <w:rsid w:val="004109A8"/>
    <w:rsid w:val="00410A02"/>
    <w:rsid w:val="00410A72"/>
    <w:rsid w:val="00410A94"/>
    <w:rsid w:val="00410B0F"/>
    <w:rsid w:val="00410CA8"/>
    <w:rsid w:val="00410D72"/>
    <w:rsid w:val="00410F59"/>
    <w:rsid w:val="0041110C"/>
    <w:rsid w:val="0041112D"/>
    <w:rsid w:val="00411171"/>
    <w:rsid w:val="004112C8"/>
    <w:rsid w:val="00411378"/>
    <w:rsid w:val="004113C2"/>
    <w:rsid w:val="004114FB"/>
    <w:rsid w:val="0041170E"/>
    <w:rsid w:val="004117A5"/>
    <w:rsid w:val="00411AEA"/>
    <w:rsid w:val="00411B07"/>
    <w:rsid w:val="00411B8C"/>
    <w:rsid w:val="00411BF7"/>
    <w:rsid w:val="00411C5F"/>
    <w:rsid w:val="00411DC2"/>
    <w:rsid w:val="00411E16"/>
    <w:rsid w:val="004120E6"/>
    <w:rsid w:val="00412217"/>
    <w:rsid w:val="004123C2"/>
    <w:rsid w:val="0041242B"/>
    <w:rsid w:val="004124CA"/>
    <w:rsid w:val="004128FC"/>
    <w:rsid w:val="004129EE"/>
    <w:rsid w:val="00412A5D"/>
    <w:rsid w:val="00412A75"/>
    <w:rsid w:val="00412AEA"/>
    <w:rsid w:val="00412B1E"/>
    <w:rsid w:val="00412C55"/>
    <w:rsid w:val="00412CD7"/>
    <w:rsid w:val="00412E0A"/>
    <w:rsid w:val="00413061"/>
    <w:rsid w:val="00413166"/>
    <w:rsid w:val="004131B1"/>
    <w:rsid w:val="00413315"/>
    <w:rsid w:val="004135C4"/>
    <w:rsid w:val="004135D4"/>
    <w:rsid w:val="00413622"/>
    <w:rsid w:val="0041363D"/>
    <w:rsid w:val="00413689"/>
    <w:rsid w:val="004137DA"/>
    <w:rsid w:val="00413836"/>
    <w:rsid w:val="00413876"/>
    <w:rsid w:val="004139A8"/>
    <w:rsid w:val="00413A4A"/>
    <w:rsid w:val="00413D23"/>
    <w:rsid w:val="00413D2A"/>
    <w:rsid w:val="00413D43"/>
    <w:rsid w:val="00413DD9"/>
    <w:rsid w:val="00413DFE"/>
    <w:rsid w:val="00413E23"/>
    <w:rsid w:val="00413F4A"/>
    <w:rsid w:val="00413FCB"/>
    <w:rsid w:val="00413FE7"/>
    <w:rsid w:val="00414023"/>
    <w:rsid w:val="0041405B"/>
    <w:rsid w:val="00414219"/>
    <w:rsid w:val="00414250"/>
    <w:rsid w:val="00414252"/>
    <w:rsid w:val="004145E5"/>
    <w:rsid w:val="00414716"/>
    <w:rsid w:val="00414C27"/>
    <w:rsid w:val="00414D1C"/>
    <w:rsid w:val="00414E00"/>
    <w:rsid w:val="00415090"/>
    <w:rsid w:val="004150B4"/>
    <w:rsid w:val="00415194"/>
    <w:rsid w:val="0041527B"/>
    <w:rsid w:val="004154D0"/>
    <w:rsid w:val="00415557"/>
    <w:rsid w:val="004155AF"/>
    <w:rsid w:val="004155E6"/>
    <w:rsid w:val="004156C9"/>
    <w:rsid w:val="004157D4"/>
    <w:rsid w:val="00415885"/>
    <w:rsid w:val="0041598D"/>
    <w:rsid w:val="00415B42"/>
    <w:rsid w:val="00415BB6"/>
    <w:rsid w:val="00415C10"/>
    <w:rsid w:val="00415C14"/>
    <w:rsid w:val="00415C4E"/>
    <w:rsid w:val="00415CE7"/>
    <w:rsid w:val="00415FBF"/>
    <w:rsid w:val="0041602E"/>
    <w:rsid w:val="0041605F"/>
    <w:rsid w:val="0041608A"/>
    <w:rsid w:val="0041621E"/>
    <w:rsid w:val="004162AF"/>
    <w:rsid w:val="0041646F"/>
    <w:rsid w:val="00416541"/>
    <w:rsid w:val="004165C9"/>
    <w:rsid w:val="00416888"/>
    <w:rsid w:val="004169D4"/>
    <w:rsid w:val="00416B4E"/>
    <w:rsid w:val="00416B96"/>
    <w:rsid w:val="00416D35"/>
    <w:rsid w:val="00416EED"/>
    <w:rsid w:val="00416F67"/>
    <w:rsid w:val="004172B4"/>
    <w:rsid w:val="004174F1"/>
    <w:rsid w:val="0041766C"/>
    <w:rsid w:val="00417921"/>
    <w:rsid w:val="004179B7"/>
    <w:rsid w:val="00417A15"/>
    <w:rsid w:val="00417A62"/>
    <w:rsid w:val="00417B89"/>
    <w:rsid w:val="00417E1C"/>
    <w:rsid w:val="0041E69F"/>
    <w:rsid w:val="00420087"/>
    <w:rsid w:val="0042019D"/>
    <w:rsid w:val="00420204"/>
    <w:rsid w:val="00420283"/>
    <w:rsid w:val="00420523"/>
    <w:rsid w:val="004206BB"/>
    <w:rsid w:val="004206F8"/>
    <w:rsid w:val="0042083E"/>
    <w:rsid w:val="00420B5C"/>
    <w:rsid w:val="00420CE0"/>
    <w:rsid w:val="00420CF4"/>
    <w:rsid w:val="00420E09"/>
    <w:rsid w:val="00420FDB"/>
    <w:rsid w:val="00420FE5"/>
    <w:rsid w:val="00421263"/>
    <w:rsid w:val="004215B8"/>
    <w:rsid w:val="00421628"/>
    <w:rsid w:val="00421646"/>
    <w:rsid w:val="0042181B"/>
    <w:rsid w:val="004218F2"/>
    <w:rsid w:val="00421948"/>
    <w:rsid w:val="00421963"/>
    <w:rsid w:val="004219F0"/>
    <w:rsid w:val="00421B07"/>
    <w:rsid w:val="00421B3E"/>
    <w:rsid w:val="00421CDF"/>
    <w:rsid w:val="00421D0F"/>
    <w:rsid w:val="00421E51"/>
    <w:rsid w:val="00421E9F"/>
    <w:rsid w:val="00421ED7"/>
    <w:rsid w:val="004222DA"/>
    <w:rsid w:val="00422301"/>
    <w:rsid w:val="0042237A"/>
    <w:rsid w:val="0042241A"/>
    <w:rsid w:val="00422565"/>
    <w:rsid w:val="00422693"/>
    <w:rsid w:val="004226D9"/>
    <w:rsid w:val="0042294E"/>
    <w:rsid w:val="004229A7"/>
    <w:rsid w:val="004229E5"/>
    <w:rsid w:val="00422B0E"/>
    <w:rsid w:val="00422F01"/>
    <w:rsid w:val="004230E2"/>
    <w:rsid w:val="00423640"/>
    <w:rsid w:val="00423642"/>
    <w:rsid w:val="004236AB"/>
    <w:rsid w:val="0042389C"/>
    <w:rsid w:val="00423AF0"/>
    <w:rsid w:val="00423E24"/>
    <w:rsid w:val="00423F6E"/>
    <w:rsid w:val="0042403F"/>
    <w:rsid w:val="0042437E"/>
    <w:rsid w:val="0042457A"/>
    <w:rsid w:val="004245AF"/>
    <w:rsid w:val="004248AC"/>
    <w:rsid w:val="0042491B"/>
    <w:rsid w:val="004249C0"/>
    <w:rsid w:val="00424D50"/>
    <w:rsid w:val="00424D82"/>
    <w:rsid w:val="00424E71"/>
    <w:rsid w:val="00424FA2"/>
    <w:rsid w:val="0042527D"/>
    <w:rsid w:val="004252A3"/>
    <w:rsid w:val="0042530B"/>
    <w:rsid w:val="0042557E"/>
    <w:rsid w:val="004255A0"/>
    <w:rsid w:val="0042578D"/>
    <w:rsid w:val="004257BD"/>
    <w:rsid w:val="0042589F"/>
    <w:rsid w:val="00425A79"/>
    <w:rsid w:val="00425AF8"/>
    <w:rsid w:val="00425B11"/>
    <w:rsid w:val="00425BE1"/>
    <w:rsid w:val="00425CE4"/>
    <w:rsid w:val="00425D3D"/>
    <w:rsid w:val="00425D48"/>
    <w:rsid w:val="00425D56"/>
    <w:rsid w:val="00425E1C"/>
    <w:rsid w:val="00425F75"/>
    <w:rsid w:val="00426000"/>
    <w:rsid w:val="00426016"/>
    <w:rsid w:val="004261A2"/>
    <w:rsid w:val="004261A9"/>
    <w:rsid w:val="0042631A"/>
    <w:rsid w:val="00426415"/>
    <w:rsid w:val="00426421"/>
    <w:rsid w:val="00426552"/>
    <w:rsid w:val="0042664F"/>
    <w:rsid w:val="00426664"/>
    <w:rsid w:val="00426A06"/>
    <w:rsid w:val="00426A45"/>
    <w:rsid w:val="00426BC0"/>
    <w:rsid w:val="00426E53"/>
    <w:rsid w:val="00426FBE"/>
    <w:rsid w:val="00426FFF"/>
    <w:rsid w:val="0042705B"/>
    <w:rsid w:val="00427098"/>
    <w:rsid w:val="004271C0"/>
    <w:rsid w:val="0042725C"/>
    <w:rsid w:val="0042726C"/>
    <w:rsid w:val="004272F5"/>
    <w:rsid w:val="00427409"/>
    <w:rsid w:val="0042751D"/>
    <w:rsid w:val="00427741"/>
    <w:rsid w:val="004278A0"/>
    <w:rsid w:val="00427989"/>
    <w:rsid w:val="004279D6"/>
    <w:rsid w:val="00427BF3"/>
    <w:rsid w:val="00427C44"/>
    <w:rsid w:val="00427C94"/>
    <w:rsid w:val="00430103"/>
    <w:rsid w:val="00430115"/>
    <w:rsid w:val="004301FE"/>
    <w:rsid w:val="00430200"/>
    <w:rsid w:val="004302F6"/>
    <w:rsid w:val="00430387"/>
    <w:rsid w:val="0043051D"/>
    <w:rsid w:val="004305E8"/>
    <w:rsid w:val="00430651"/>
    <w:rsid w:val="004307AA"/>
    <w:rsid w:val="004307AE"/>
    <w:rsid w:val="004308FF"/>
    <w:rsid w:val="0043092B"/>
    <w:rsid w:val="00430990"/>
    <w:rsid w:val="00430A61"/>
    <w:rsid w:val="00430A6A"/>
    <w:rsid w:val="00430BA1"/>
    <w:rsid w:val="00430D55"/>
    <w:rsid w:val="00430DFB"/>
    <w:rsid w:val="004310AB"/>
    <w:rsid w:val="00431266"/>
    <w:rsid w:val="004314CC"/>
    <w:rsid w:val="00431630"/>
    <w:rsid w:val="0043166F"/>
    <w:rsid w:val="004317B9"/>
    <w:rsid w:val="00431956"/>
    <w:rsid w:val="004319E8"/>
    <w:rsid w:val="00431BD6"/>
    <w:rsid w:val="00431C66"/>
    <w:rsid w:val="00431C8B"/>
    <w:rsid w:val="00431CC2"/>
    <w:rsid w:val="00431D15"/>
    <w:rsid w:val="00431DE9"/>
    <w:rsid w:val="00431F6C"/>
    <w:rsid w:val="00431F98"/>
    <w:rsid w:val="00431FB6"/>
    <w:rsid w:val="004320D8"/>
    <w:rsid w:val="004321AE"/>
    <w:rsid w:val="004324BC"/>
    <w:rsid w:val="004324F1"/>
    <w:rsid w:val="0043253E"/>
    <w:rsid w:val="00432559"/>
    <w:rsid w:val="004325C4"/>
    <w:rsid w:val="004326D1"/>
    <w:rsid w:val="00432996"/>
    <w:rsid w:val="00432A5B"/>
    <w:rsid w:val="00432B60"/>
    <w:rsid w:val="00432C6F"/>
    <w:rsid w:val="00432D3D"/>
    <w:rsid w:val="00432E41"/>
    <w:rsid w:val="00432F7F"/>
    <w:rsid w:val="00432FB6"/>
    <w:rsid w:val="00432FFB"/>
    <w:rsid w:val="0043300F"/>
    <w:rsid w:val="0043323A"/>
    <w:rsid w:val="0043362B"/>
    <w:rsid w:val="004339A1"/>
    <w:rsid w:val="00433AE7"/>
    <w:rsid w:val="00433AFA"/>
    <w:rsid w:val="00433BBF"/>
    <w:rsid w:val="00433CEB"/>
    <w:rsid w:val="00433D95"/>
    <w:rsid w:val="00433DC1"/>
    <w:rsid w:val="00434059"/>
    <w:rsid w:val="0043409F"/>
    <w:rsid w:val="00434127"/>
    <w:rsid w:val="004341C3"/>
    <w:rsid w:val="00434444"/>
    <w:rsid w:val="0043445E"/>
    <w:rsid w:val="00434527"/>
    <w:rsid w:val="00434674"/>
    <w:rsid w:val="00434829"/>
    <w:rsid w:val="0043486B"/>
    <w:rsid w:val="004348D4"/>
    <w:rsid w:val="00434959"/>
    <w:rsid w:val="0043499A"/>
    <w:rsid w:val="00434A9F"/>
    <w:rsid w:val="00434B01"/>
    <w:rsid w:val="00434BF4"/>
    <w:rsid w:val="00434C32"/>
    <w:rsid w:val="00434DA8"/>
    <w:rsid w:val="00434E0C"/>
    <w:rsid w:val="00434F43"/>
    <w:rsid w:val="00435102"/>
    <w:rsid w:val="00435134"/>
    <w:rsid w:val="0043535B"/>
    <w:rsid w:val="0043540E"/>
    <w:rsid w:val="00435594"/>
    <w:rsid w:val="00435779"/>
    <w:rsid w:val="00435799"/>
    <w:rsid w:val="004357B7"/>
    <w:rsid w:val="00435832"/>
    <w:rsid w:val="0043584D"/>
    <w:rsid w:val="004358B9"/>
    <w:rsid w:val="00435A34"/>
    <w:rsid w:val="00435DC6"/>
    <w:rsid w:val="00435FAD"/>
    <w:rsid w:val="004363DB"/>
    <w:rsid w:val="004364CD"/>
    <w:rsid w:val="004364EB"/>
    <w:rsid w:val="0043650D"/>
    <w:rsid w:val="00436577"/>
    <w:rsid w:val="004367C8"/>
    <w:rsid w:val="004369AF"/>
    <w:rsid w:val="00436A61"/>
    <w:rsid w:val="00436E88"/>
    <w:rsid w:val="00436EF8"/>
    <w:rsid w:val="00436F66"/>
    <w:rsid w:val="00437145"/>
    <w:rsid w:val="00437156"/>
    <w:rsid w:val="00437163"/>
    <w:rsid w:val="00437170"/>
    <w:rsid w:val="004371AE"/>
    <w:rsid w:val="004371CE"/>
    <w:rsid w:val="004372A5"/>
    <w:rsid w:val="004372A7"/>
    <w:rsid w:val="004372AC"/>
    <w:rsid w:val="00437577"/>
    <w:rsid w:val="00437981"/>
    <w:rsid w:val="00437AA1"/>
    <w:rsid w:val="00437C93"/>
    <w:rsid w:val="00437D25"/>
    <w:rsid w:val="00437EAC"/>
    <w:rsid w:val="00437FC0"/>
    <w:rsid w:val="0044006D"/>
    <w:rsid w:val="0044011C"/>
    <w:rsid w:val="00440260"/>
    <w:rsid w:val="0044035D"/>
    <w:rsid w:val="00440508"/>
    <w:rsid w:val="00440565"/>
    <w:rsid w:val="00440575"/>
    <w:rsid w:val="00440632"/>
    <w:rsid w:val="004406AB"/>
    <w:rsid w:val="004406EB"/>
    <w:rsid w:val="00440732"/>
    <w:rsid w:val="00440808"/>
    <w:rsid w:val="0044087A"/>
    <w:rsid w:val="00440882"/>
    <w:rsid w:val="00440C8E"/>
    <w:rsid w:val="00440EB1"/>
    <w:rsid w:val="00440EBB"/>
    <w:rsid w:val="00440FA3"/>
    <w:rsid w:val="00440FAD"/>
    <w:rsid w:val="00441037"/>
    <w:rsid w:val="00441115"/>
    <w:rsid w:val="0044111C"/>
    <w:rsid w:val="00441209"/>
    <w:rsid w:val="00441258"/>
    <w:rsid w:val="00441366"/>
    <w:rsid w:val="0044142C"/>
    <w:rsid w:val="00441502"/>
    <w:rsid w:val="00441541"/>
    <w:rsid w:val="00441561"/>
    <w:rsid w:val="00441699"/>
    <w:rsid w:val="004417B0"/>
    <w:rsid w:val="004418CC"/>
    <w:rsid w:val="00441970"/>
    <w:rsid w:val="00441B6C"/>
    <w:rsid w:val="00441D55"/>
    <w:rsid w:val="00441FE5"/>
    <w:rsid w:val="0044209A"/>
    <w:rsid w:val="004420AC"/>
    <w:rsid w:val="00442165"/>
    <w:rsid w:val="004421D7"/>
    <w:rsid w:val="00442264"/>
    <w:rsid w:val="00442558"/>
    <w:rsid w:val="00442646"/>
    <w:rsid w:val="004426AA"/>
    <w:rsid w:val="00442869"/>
    <w:rsid w:val="004429A4"/>
    <w:rsid w:val="004429EE"/>
    <w:rsid w:val="00442B2C"/>
    <w:rsid w:val="00442B71"/>
    <w:rsid w:val="00442B87"/>
    <w:rsid w:val="00442DC2"/>
    <w:rsid w:val="00442F35"/>
    <w:rsid w:val="00443233"/>
    <w:rsid w:val="0044337A"/>
    <w:rsid w:val="00443380"/>
    <w:rsid w:val="004434D7"/>
    <w:rsid w:val="004434EE"/>
    <w:rsid w:val="004434F4"/>
    <w:rsid w:val="004435E2"/>
    <w:rsid w:val="00443623"/>
    <w:rsid w:val="00443757"/>
    <w:rsid w:val="004439A9"/>
    <w:rsid w:val="00443AA8"/>
    <w:rsid w:val="00443B70"/>
    <w:rsid w:val="00443CBB"/>
    <w:rsid w:val="00443D7E"/>
    <w:rsid w:val="00443D83"/>
    <w:rsid w:val="00443EBC"/>
    <w:rsid w:val="00443F55"/>
    <w:rsid w:val="00443F8A"/>
    <w:rsid w:val="00443FF6"/>
    <w:rsid w:val="00444138"/>
    <w:rsid w:val="004442FE"/>
    <w:rsid w:val="0044431C"/>
    <w:rsid w:val="004444D1"/>
    <w:rsid w:val="00444535"/>
    <w:rsid w:val="00444693"/>
    <w:rsid w:val="004446EF"/>
    <w:rsid w:val="004447C6"/>
    <w:rsid w:val="00444849"/>
    <w:rsid w:val="004449F7"/>
    <w:rsid w:val="00444A9D"/>
    <w:rsid w:val="00444D3C"/>
    <w:rsid w:val="00444E00"/>
    <w:rsid w:val="00444FE8"/>
    <w:rsid w:val="00445392"/>
    <w:rsid w:val="004454DD"/>
    <w:rsid w:val="00445592"/>
    <w:rsid w:val="00445754"/>
    <w:rsid w:val="004457B9"/>
    <w:rsid w:val="00445A9C"/>
    <w:rsid w:val="00445CCA"/>
    <w:rsid w:val="00445D2C"/>
    <w:rsid w:val="00445DA5"/>
    <w:rsid w:val="00445E12"/>
    <w:rsid w:val="00445F50"/>
    <w:rsid w:val="00445FE2"/>
    <w:rsid w:val="0044612D"/>
    <w:rsid w:val="0044641F"/>
    <w:rsid w:val="00446544"/>
    <w:rsid w:val="0044671E"/>
    <w:rsid w:val="00446871"/>
    <w:rsid w:val="004468EE"/>
    <w:rsid w:val="0044694B"/>
    <w:rsid w:val="0044698B"/>
    <w:rsid w:val="004469EE"/>
    <w:rsid w:val="00446AEB"/>
    <w:rsid w:val="00446D0E"/>
    <w:rsid w:val="00446D2F"/>
    <w:rsid w:val="00446D63"/>
    <w:rsid w:val="00446EFD"/>
    <w:rsid w:val="00446FCA"/>
    <w:rsid w:val="004471A1"/>
    <w:rsid w:val="004472AD"/>
    <w:rsid w:val="0044731C"/>
    <w:rsid w:val="004475DF"/>
    <w:rsid w:val="004475E7"/>
    <w:rsid w:val="00447655"/>
    <w:rsid w:val="00447902"/>
    <w:rsid w:val="00447B0A"/>
    <w:rsid w:val="00447BFF"/>
    <w:rsid w:val="00447D14"/>
    <w:rsid w:val="00447FCF"/>
    <w:rsid w:val="00450153"/>
    <w:rsid w:val="004503EE"/>
    <w:rsid w:val="004504AA"/>
    <w:rsid w:val="004504F6"/>
    <w:rsid w:val="004505BB"/>
    <w:rsid w:val="004507A3"/>
    <w:rsid w:val="00450828"/>
    <w:rsid w:val="004508F9"/>
    <w:rsid w:val="00450C52"/>
    <w:rsid w:val="00450CB4"/>
    <w:rsid w:val="00451004"/>
    <w:rsid w:val="0045105F"/>
    <w:rsid w:val="004510CC"/>
    <w:rsid w:val="004513F2"/>
    <w:rsid w:val="00451538"/>
    <w:rsid w:val="0045156D"/>
    <w:rsid w:val="00451583"/>
    <w:rsid w:val="00451705"/>
    <w:rsid w:val="00451870"/>
    <w:rsid w:val="00451873"/>
    <w:rsid w:val="004518E9"/>
    <w:rsid w:val="00451C1C"/>
    <w:rsid w:val="00451D6F"/>
    <w:rsid w:val="00451E19"/>
    <w:rsid w:val="00451E26"/>
    <w:rsid w:val="00451E71"/>
    <w:rsid w:val="00452060"/>
    <w:rsid w:val="0045210D"/>
    <w:rsid w:val="00452273"/>
    <w:rsid w:val="004522E5"/>
    <w:rsid w:val="0045253A"/>
    <w:rsid w:val="00452647"/>
    <w:rsid w:val="004526D0"/>
    <w:rsid w:val="00452859"/>
    <w:rsid w:val="004528BF"/>
    <w:rsid w:val="0045293D"/>
    <w:rsid w:val="00452949"/>
    <w:rsid w:val="00452A29"/>
    <w:rsid w:val="00452A6D"/>
    <w:rsid w:val="00452BB9"/>
    <w:rsid w:val="00452D23"/>
    <w:rsid w:val="00452E41"/>
    <w:rsid w:val="00452E60"/>
    <w:rsid w:val="00452F50"/>
    <w:rsid w:val="00453015"/>
    <w:rsid w:val="004530FD"/>
    <w:rsid w:val="00453148"/>
    <w:rsid w:val="004532C4"/>
    <w:rsid w:val="0045334E"/>
    <w:rsid w:val="00453687"/>
    <w:rsid w:val="00453731"/>
    <w:rsid w:val="0045386D"/>
    <w:rsid w:val="00453942"/>
    <w:rsid w:val="00453997"/>
    <w:rsid w:val="004539CF"/>
    <w:rsid w:val="00453BED"/>
    <w:rsid w:val="00453C59"/>
    <w:rsid w:val="00453D44"/>
    <w:rsid w:val="00453D56"/>
    <w:rsid w:val="00453EDD"/>
    <w:rsid w:val="0045422F"/>
    <w:rsid w:val="0045432C"/>
    <w:rsid w:val="004543E7"/>
    <w:rsid w:val="0045454A"/>
    <w:rsid w:val="004546A1"/>
    <w:rsid w:val="004546B8"/>
    <w:rsid w:val="00454AFF"/>
    <w:rsid w:val="00454B84"/>
    <w:rsid w:val="00454EE2"/>
    <w:rsid w:val="00455049"/>
    <w:rsid w:val="00455232"/>
    <w:rsid w:val="0045526C"/>
    <w:rsid w:val="00455303"/>
    <w:rsid w:val="004554C9"/>
    <w:rsid w:val="004555D1"/>
    <w:rsid w:val="0045563B"/>
    <w:rsid w:val="00455645"/>
    <w:rsid w:val="004556BB"/>
    <w:rsid w:val="004556CA"/>
    <w:rsid w:val="00455789"/>
    <w:rsid w:val="00455825"/>
    <w:rsid w:val="0045596D"/>
    <w:rsid w:val="004559C0"/>
    <w:rsid w:val="00455A93"/>
    <w:rsid w:val="00455BA0"/>
    <w:rsid w:val="00455D6D"/>
    <w:rsid w:val="00455F03"/>
    <w:rsid w:val="00455F8D"/>
    <w:rsid w:val="004561AC"/>
    <w:rsid w:val="00456220"/>
    <w:rsid w:val="00456493"/>
    <w:rsid w:val="004564BF"/>
    <w:rsid w:val="004564D0"/>
    <w:rsid w:val="0045679B"/>
    <w:rsid w:val="00456879"/>
    <w:rsid w:val="00456A17"/>
    <w:rsid w:val="00456A1A"/>
    <w:rsid w:val="00456A33"/>
    <w:rsid w:val="00456BB7"/>
    <w:rsid w:val="00456D25"/>
    <w:rsid w:val="00456FA1"/>
    <w:rsid w:val="004571C0"/>
    <w:rsid w:val="004571ED"/>
    <w:rsid w:val="00457350"/>
    <w:rsid w:val="004573C4"/>
    <w:rsid w:val="004573EB"/>
    <w:rsid w:val="004574A3"/>
    <w:rsid w:val="00457516"/>
    <w:rsid w:val="0045754A"/>
    <w:rsid w:val="004577DB"/>
    <w:rsid w:val="00457815"/>
    <w:rsid w:val="0045786C"/>
    <w:rsid w:val="004579D3"/>
    <w:rsid w:val="00457A68"/>
    <w:rsid w:val="00457C6C"/>
    <w:rsid w:val="00457CDD"/>
    <w:rsid w:val="00457E72"/>
    <w:rsid w:val="00457EB7"/>
    <w:rsid w:val="00457F45"/>
    <w:rsid w:val="00457F8D"/>
    <w:rsid w:val="00457FAC"/>
    <w:rsid w:val="0046017F"/>
    <w:rsid w:val="0046044F"/>
    <w:rsid w:val="004605DE"/>
    <w:rsid w:val="00460742"/>
    <w:rsid w:val="0046081C"/>
    <w:rsid w:val="00460A65"/>
    <w:rsid w:val="00460ED7"/>
    <w:rsid w:val="00460F3D"/>
    <w:rsid w:val="00460FA3"/>
    <w:rsid w:val="004611B9"/>
    <w:rsid w:val="004611F1"/>
    <w:rsid w:val="00461265"/>
    <w:rsid w:val="00461295"/>
    <w:rsid w:val="004612E3"/>
    <w:rsid w:val="004613C1"/>
    <w:rsid w:val="00461425"/>
    <w:rsid w:val="004615A0"/>
    <w:rsid w:val="004618BC"/>
    <w:rsid w:val="00461907"/>
    <w:rsid w:val="00461963"/>
    <w:rsid w:val="00461A53"/>
    <w:rsid w:val="00461A5E"/>
    <w:rsid w:val="00461CAD"/>
    <w:rsid w:val="004620A6"/>
    <w:rsid w:val="00462385"/>
    <w:rsid w:val="004623C3"/>
    <w:rsid w:val="00462540"/>
    <w:rsid w:val="004625FF"/>
    <w:rsid w:val="00462937"/>
    <w:rsid w:val="004629BA"/>
    <w:rsid w:val="00462AA3"/>
    <w:rsid w:val="00462BD7"/>
    <w:rsid w:val="00462BE0"/>
    <w:rsid w:val="00462CB4"/>
    <w:rsid w:val="00462E31"/>
    <w:rsid w:val="004630B7"/>
    <w:rsid w:val="0046310A"/>
    <w:rsid w:val="004631CD"/>
    <w:rsid w:val="004631DB"/>
    <w:rsid w:val="00463242"/>
    <w:rsid w:val="0046333E"/>
    <w:rsid w:val="00463362"/>
    <w:rsid w:val="004634C4"/>
    <w:rsid w:val="004634DE"/>
    <w:rsid w:val="00463574"/>
    <w:rsid w:val="00463638"/>
    <w:rsid w:val="0046365F"/>
    <w:rsid w:val="0046368A"/>
    <w:rsid w:val="004636BE"/>
    <w:rsid w:val="004636CC"/>
    <w:rsid w:val="004636FF"/>
    <w:rsid w:val="00463775"/>
    <w:rsid w:val="00463886"/>
    <w:rsid w:val="00463918"/>
    <w:rsid w:val="00463BCA"/>
    <w:rsid w:val="00463DEE"/>
    <w:rsid w:val="00463DF3"/>
    <w:rsid w:val="00463E74"/>
    <w:rsid w:val="00464129"/>
    <w:rsid w:val="00464283"/>
    <w:rsid w:val="0046428E"/>
    <w:rsid w:val="004642E2"/>
    <w:rsid w:val="0046431E"/>
    <w:rsid w:val="00464322"/>
    <w:rsid w:val="004643D5"/>
    <w:rsid w:val="004643DA"/>
    <w:rsid w:val="00464448"/>
    <w:rsid w:val="004649F0"/>
    <w:rsid w:val="00464A15"/>
    <w:rsid w:val="00464BB0"/>
    <w:rsid w:val="00464BC4"/>
    <w:rsid w:val="00464E1E"/>
    <w:rsid w:val="00464E94"/>
    <w:rsid w:val="00464EA8"/>
    <w:rsid w:val="00464EAF"/>
    <w:rsid w:val="00464F35"/>
    <w:rsid w:val="00464F7E"/>
    <w:rsid w:val="00464FE8"/>
    <w:rsid w:val="00465032"/>
    <w:rsid w:val="004650EA"/>
    <w:rsid w:val="00465246"/>
    <w:rsid w:val="004653E7"/>
    <w:rsid w:val="0046540A"/>
    <w:rsid w:val="0046546D"/>
    <w:rsid w:val="00465476"/>
    <w:rsid w:val="00465578"/>
    <w:rsid w:val="004655D5"/>
    <w:rsid w:val="00465667"/>
    <w:rsid w:val="00465756"/>
    <w:rsid w:val="00465766"/>
    <w:rsid w:val="004657E7"/>
    <w:rsid w:val="0046587F"/>
    <w:rsid w:val="00465AE7"/>
    <w:rsid w:val="00465B04"/>
    <w:rsid w:val="00465B1D"/>
    <w:rsid w:val="00465C61"/>
    <w:rsid w:val="00465E22"/>
    <w:rsid w:val="00465E8F"/>
    <w:rsid w:val="00465F18"/>
    <w:rsid w:val="00465FD3"/>
    <w:rsid w:val="0046601C"/>
    <w:rsid w:val="004660F7"/>
    <w:rsid w:val="00466102"/>
    <w:rsid w:val="00466121"/>
    <w:rsid w:val="004661A7"/>
    <w:rsid w:val="00466206"/>
    <w:rsid w:val="004663DD"/>
    <w:rsid w:val="004664A5"/>
    <w:rsid w:val="00466649"/>
    <w:rsid w:val="00466698"/>
    <w:rsid w:val="004666B1"/>
    <w:rsid w:val="00466727"/>
    <w:rsid w:val="0046684A"/>
    <w:rsid w:val="00466965"/>
    <w:rsid w:val="00466A54"/>
    <w:rsid w:val="00466CA4"/>
    <w:rsid w:val="00466CE3"/>
    <w:rsid w:val="00466DA7"/>
    <w:rsid w:val="00466DAC"/>
    <w:rsid w:val="00466EEB"/>
    <w:rsid w:val="00466FC5"/>
    <w:rsid w:val="00467111"/>
    <w:rsid w:val="00467194"/>
    <w:rsid w:val="0046726A"/>
    <w:rsid w:val="0046742D"/>
    <w:rsid w:val="00467566"/>
    <w:rsid w:val="00467696"/>
    <w:rsid w:val="004677C7"/>
    <w:rsid w:val="0046786F"/>
    <w:rsid w:val="0046795A"/>
    <w:rsid w:val="00467A32"/>
    <w:rsid w:val="00467AD6"/>
    <w:rsid w:val="00467B15"/>
    <w:rsid w:val="00467B1E"/>
    <w:rsid w:val="00467C68"/>
    <w:rsid w:val="00467CD5"/>
    <w:rsid w:val="0047003A"/>
    <w:rsid w:val="00470050"/>
    <w:rsid w:val="004700F4"/>
    <w:rsid w:val="00470231"/>
    <w:rsid w:val="00470240"/>
    <w:rsid w:val="004703EF"/>
    <w:rsid w:val="00470420"/>
    <w:rsid w:val="00470523"/>
    <w:rsid w:val="004705AF"/>
    <w:rsid w:val="00470699"/>
    <w:rsid w:val="00470738"/>
    <w:rsid w:val="00470798"/>
    <w:rsid w:val="00470A1E"/>
    <w:rsid w:val="00470A37"/>
    <w:rsid w:val="00470B58"/>
    <w:rsid w:val="00470DA6"/>
    <w:rsid w:val="00470E41"/>
    <w:rsid w:val="00470E89"/>
    <w:rsid w:val="00470EA1"/>
    <w:rsid w:val="00470FBA"/>
    <w:rsid w:val="00471014"/>
    <w:rsid w:val="00471064"/>
    <w:rsid w:val="0047120A"/>
    <w:rsid w:val="0047139F"/>
    <w:rsid w:val="004714EB"/>
    <w:rsid w:val="004715EA"/>
    <w:rsid w:val="0047183E"/>
    <w:rsid w:val="004719F1"/>
    <w:rsid w:val="00471A3F"/>
    <w:rsid w:val="00471C5A"/>
    <w:rsid w:val="00471ED9"/>
    <w:rsid w:val="0047206B"/>
    <w:rsid w:val="004722C0"/>
    <w:rsid w:val="00472306"/>
    <w:rsid w:val="00472376"/>
    <w:rsid w:val="00472435"/>
    <w:rsid w:val="004724E5"/>
    <w:rsid w:val="0047250C"/>
    <w:rsid w:val="0047276C"/>
    <w:rsid w:val="00472AE0"/>
    <w:rsid w:val="00472D21"/>
    <w:rsid w:val="00472DD2"/>
    <w:rsid w:val="00472DEB"/>
    <w:rsid w:val="00472E9E"/>
    <w:rsid w:val="00472FAE"/>
    <w:rsid w:val="0047304E"/>
    <w:rsid w:val="00473066"/>
    <w:rsid w:val="0047311A"/>
    <w:rsid w:val="00473121"/>
    <w:rsid w:val="00473193"/>
    <w:rsid w:val="00473220"/>
    <w:rsid w:val="0047342D"/>
    <w:rsid w:val="00473795"/>
    <w:rsid w:val="0047381E"/>
    <w:rsid w:val="00473899"/>
    <w:rsid w:val="004738A1"/>
    <w:rsid w:val="004739CA"/>
    <w:rsid w:val="004739D5"/>
    <w:rsid w:val="00473B23"/>
    <w:rsid w:val="00473B66"/>
    <w:rsid w:val="00473C13"/>
    <w:rsid w:val="00473C31"/>
    <w:rsid w:val="00473C52"/>
    <w:rsid w:val="00473CA1"/>
    <w:rsid w:val="00473D86"/>
    <w:rsid w:val="00473DC7"/>
    <w:rsid w:val="00473E71"/>
    <w:rsid w:val="00473FD0"/>
    <w:rsid w:val="004741BF"/>
    <w:rsid w:val="004745CA"/>
    <w:rsid w:val="0047464D"/>
    <w:rsid w:val="00474AF6"/>
    <w:rsid w:val="00474DBC"/>
    <w:rsid w:val="00474E0B"/>
    <w:rsid w:val="00474EA5"/>
    <w:rsid w:val="00474FC6"/>
    <w:rsid w:val="004751DC"/>
    <w:rsid w:val="004752E7"/>
    <w:rsid w:val="004754ED"/>
    <w:rsid w:val="004759F0"/>
    <w:rsid w:val="00475AA3"/>
    <w:rsid w:val="00475C4C"/>
    <w:rsid w:val="00475E21"/>
    <w:rsid w:val="00475E58"/>
    <w:rsid w:val="0047611F"/>
    <w:rsid w:val="00476191"/>
    <w:rsid w:val="004761DF"/>
    <w:rsid w:val="0047633B"/>
    <w:rsid w:val="0047666A"/>
    <w:rsid w:val="0047676C"/>
    <w:rsid w:val="004767BA"/>
    <w:rsid w:val="00476892"/>
    <w:rsid w:val="00476994"/>
    <w:rsid w:val="004769AF"/>
    <w:rsid w:val="004769E3"/>
    <w:rsid w:val="00476A41"/>
    <w:rsid w:val="00476C57"/>
    <w:rsid w:val="00476DDC"/>
    <w:rsid w:val="00476E38"/>
    <w:rsid w:val="00476E4A"/>
    <w:rsid w:val="00476FAC"/>
    <w:rsid w:val="00477116"/>
    <w:rsid w:val="00477379"/>
    <w:rsid w:val="004773E8"/>
    <w:rsid w:val="004779EB"/>
    <w:rsid w:val="00477AB1"/>
    <w:rsid w:val="00477BAC"/>
    <w:rsid w:val="00477E61"/>
    <w:rsid w:val="0048007A"/>
    <w:rsid w:val="004804B5"/>
    <w:rsid w:val="004808BE"/>
    <w:rsid w:val="004808F8"/>
    <w:rsid w:val="00480C7A"/>
    <w:rsid w:val="00480D13"/>
    <w:rsid w:val="00480D2F"/>
    <w:rsid w:val="00480F3E"/>
    <w:rsid w:val="00481136"/>
    <w:rsid w:val="00481160"/>
    <w:rsid w:val="004811BB"/>
    <w:rsid w:val="00481207"/>
    <w:rsid w:val="0048128D"/>
    <w:rsid w:val="004812D0"/>
    <w:rsid w:val="00481351"/>
    <w:rsid w:val="00481512"/>
    <w:rsid w:val="004815DC"/>
    <w:rsid w:val="004815FB"/>
    <w:rsid w:val="00481BE2"/>
    <w:rsid w:val="00481F4C"/>
    <w:rsid w:val="00482193"/>
    <w:rsid w:val="004822E9"/>
    <w:rsid w:val="004824F7"/>
    <w:rsid w:val="00482607"/>
    <w:rsid w:val="00482760"/>
    <w:rsid w:val="00482785"/>
    <w:rsid w:val="0048280E"/>
    <w:rsid w:val="004828A1"/>
    <w:rsid w:val="00482BE3"/>
    <w:rsid w:val="00482D21"/>
    <w:rsid w:val="00482D67"/>
    <w:rsid w:val="00482E16"/>
    <w:rsid w:val="00482EBD"/>
    <w:rsid w:val="00482EC6"/>
    <w:rsid w:val="00483245"/>
    <w:rsid w:val="00483526"/>
    <w:rsid w:val="00483534"/>
    <w:rsid w:val="004838AE"/>
    <w:rsid w:val="004838B7"/>
    <w:rsid w:val="004838E5"/>
    <w:rsid w:val="00483B22"/>
    <w:rsid w:val="00483B51"/>
    <w:rsid w:val="00483DDA"/>
    <w:rsid w:val="00483ED0"/>
    <w:rsid w:val="00483EDB"/>
    <w:rsid w:val="0048411A"/>
    <w:rsid w:val="004842E2"/>
    <w:rsid w:val="0048431D"/>
    <w:rsid w:val="004843C9"/>
    <w:rsid w:val="0048442A"/>
    <w:rsid w:val="004844DF"/>
    <w:rsid w:val="00484A2D"/>
    <w:rsid w:val="00484B80"/>
    <w:rsid w:val="00484B85"/>
    <w:rsid w:val="00484BC8"/>
    <w:rsid w:val="00484DAA"/>
    <w:rsid w:val="00484E55"/>
    <w:rsid w:val="00484E93"/>
    <w:rsid w:val="0048504B"/>
    <w:rsid w:val="0048515A"/>
    <w:rsid w:val="0048520C"/>
    <w:rsid w:val="00485211"/>
    <w:rsid w:val="00485532"/>
    <w:rsid w:val="00485739"/>
    <w:rsid w:val="0048578A"/>
    <w:rsid w:val="0048582D"/>
    <w:rsid w:val="004858DA"/>
    <w:rsid w:val="00485A9E"/>
    <w:rsid w:val="00485AFB"/>
    <w:rsid w:val="00485C46"/>
    <w:rsid w:val="00485C4D"/>
    <w:rsid w:val="00485C4E"/>
    <w:rsid w:val="00485C5D"/>
    <w:rsid w:val="004860EA"/>
    <w:rsid w:val="00486560"/>
    <w:rsid w:val="00486638"/>
    <w:rsid w:val="0048674A"/>
    <w:rsid w:val="00486987"/>
    <w:rsid w:val="004869BC"/>
    <w:rsid w:val="004869E5"/>
    <w:rsid w:val="00486B97"/>
    <w:rsid w:val="00486EF2"/>
    <w:rsid w:val="00486FA4"/>
    <w:rsid w:val="00487021"/>
    <w:rsid w:val="0048716C"/>
    <w:rsid w:val="00487243"/>
    <w:rsid w:val="00487260"/>
    <w:rsid w:val="00487316"/>
    <w:rsid w:val="00487397"/>
    <w:rsid w:val="0048746B"/>
    <w:rsid w:val="004877FE"/>
    <w:rsid w:val="004878E2"/>
    <w:rsid w:val="00487A36"/>
    <w:rsid w:val="00487E92"/>
    <w:rsid w:val="00487FAA"/>
    <w:rsid w:val="00490241"/>
    <w:rsid w:val="00490277"/>
    <w:rsid w:val="004902C2"/>
    <w:rsid w:val="004902D9"/>
    <w:rsid w:val="004903DF"/>
    <w:rsid w:val="004904FB"/>
    <w:rsid w:val="0049064A"/>
    <w:rsid w:val="00490798"/>
    <w:rsid w:val="0049083B"/>
    <w:rsid w:val="00490A1E"/>
    <w:rsid w:val="00490B6E"/>
    <w:rsid w:val="00490B90"/>
    <w:rsid w:val="00490C12"/>
    <w:rsid w:val="00490DCA"/>
    <w:rsid w:val="00490E6B"/>
    <w:rsid w:val="00491018"/>
    <w:rsid w:val="00491129"/>
    <w:rsid w:val="0049118F"/>
    <w:rsid w:val="004912DC"/>
    <w:rsid w:val="004912F0"/>
    <w:rsid w:val="00491355"/>
    <w:rsid w:val="004915D0"/>
    <w:rsid w:val="00491636"/>
    <w:rsid w:val="004916A2"/>
    <w:rsid w:val="004917A1"/>
    <w:rsid w:val="00491907"/>
    <w:rsid w:val="00491996"/>
    <w:rsid w:val="00491C2E"/>
    <w:rsid w:val="00491CF2"/>
    <w:rsid w:val="00491F6B"/>
    <w:rsid w:val="0049215F"/>
    <w:rsid w:val="004921F1"/>
    <w:rsid w:val="0049239E"/>
    <w:rsid w:val="004923ED"/>
    <w:rsid w:val="00492552"/>
    <w:rsid w:val="00492710"/>
    <w:rsid w:val="00492830"/>
    <w:rsid w:val="0049288B"/>
    <w:rsid w:val="00492896"/>
    <w:rsid w:val="00492E16"/>
    <w:rsid w:val="00492E19"/>
    <w:rsid w:val="0049328C"/>
    <w:rsid w:val="004932CE"/>
    <w:rsid w:val="00493317"/>
    <w:rsid w:val="0049334F"/>
    <w:rsid w:val="004933BF"/>
    <w:rsid w:val="004934DA"/>
    <w:rsid w:val="004937A3"/>
    <w:rsid w:val="00493AB4"/>
    <w:rsid w:val="00493AD9"/>
    <w:rsid w:val="00493C09"/>
    <w:rsid w:val="00493EF3"/>
    <w:rsid w:val="00493FDA"/>
    <w:rsid w:val="004940B7"/>
    <w:rsid w:val="00494175"/>
    <w:rsid w:val="004941ED"/>
    <w:rsid w:val="00494258"/>
    <w:rsid w:val="00494663"/>
    <w:rsid w:val="00494829"/>
    <w:rsid w:val="004948A2"/>
    <w:rsid w:val="004949BF"/>
    <w:rsid w:val="00494A63"/>
    <w:rsid w:val="00494D8C"/>
    <w:rsid w:val="00494FCA"/>
    <w:rsid w:val="00494FEB"/>
    <w:rsid w:val="004951B2"/>
    <w:rsid w:val="00495235"/>
    <w:rsid w:val="00495387"/>
    <w:rsid w:val="00495420"/>
    <w:rsid w:val="00495524"/>
    <w:rsid w:val="0049575B"/>
    <w:rsid w:val="004957CA"/>
    <w:rsid w:val="004957EF"/>
    <w:rsid w:val="00495AE4"/>
    <w:rsid w:val="00495B77"/>
    <w:rsid w:val="00495BCE"/>
    <w:rsid w:val="00495DC1"/>
    <w:rsid w:val="00495F27"/>
    <w:rsid w:val="00495F49"/>
    <w:rsid w:val="004960B7"/>
    <w:rsid w:val="0049610C"/>
    <w:rsid w:val="0049625C"/>
    <w:rsid w:val="004962B0"/>
    <w:rsid w:val="0049633B"/>
    <w:rsid w:val="0049636E"/>
    <w:rsid w:val="00496A01"/>
    <w:rsid w:val="00496A49"/>
    <w:rsid w:val="00496B79"/>
    <w:rsid w:val="00496D95"/>
    <w:rsid w:val="00496DD6"/>
    <w:rsid w:val="00496E42"/>
    <w:rsid w:val="00497102"/>
    <w:rsid w:val="00497151"/>
    <w:rsid w:val="00497236"/>
    <w:rsid w:val="00497422"/>
    <w:rsid w:val="004974C0"/>
    <w:rsid w:val="004975E5"/>
    <w:rsid w:val="0049761C"/>
    <w:rsid w:val="004976C2"/>
    <w:rsid w:val="0049773D"/>
    <w:rsid w:val="0049778A"/>
    <w:rsid w:val="004978C0"/>
    <w:rsid w:val="004978FF"/>
    <w:rsid w:val="00497904"/>
    <w:rsid w:val="0049792F"/>
    <w:rsid w:val="00497A43"/>
    <w:rsid w:val="00497A76"/>
    <w:rsid w:val="00497C7C"/>
    <w:rsid w:val="00497CBC"/>
    <w:rsid w:val="00497CC8"/>
    <w:rsid w:val="00497D88"/>
    <w:rsid w:val="00497E2E"/>
    <w:rsid w:val="00497F1C"/>
    <w:rsid w:val="004A0264"/>
    <w:rsid w:val="004A03B8"/>
    <w:rsid w:val="004A0529"/>
    <w:rsid w:val="004A070D"/>
    <w:rsid w:val="004A073B"/>
    <w:rsid w:val="004A0AD0"/>
    <w:rsid w:val="004A0B3C"/>
    <w:rsid w:val="004A0B92"/>
    <w:rsid w:val="004A0C7B"/>
    <w:rsid w:val="004A0EBB"/>
    <w:rsid w:val="004A13FE"/>
    <w:rsid w:val="004A1459"/>
    <w:rsid w:val="004A14C7"/>
    <w:rsid w:val="004A153F"/>
    <w:rsid w:val="004A15A8"/>
    <w:rsid w:val="004A1610"/>
    <w:rsid w:val="004A166C"/>
    <w:rsid w:val="004A1904"/>
    <w:rsid w:val="004A1AE1"/>
    <w:rsid w:val="004A1D3F"/>
    <w:rsid w:val="004A1DD7"/>
    <w:rsid w:val="004A1EA9"/>
    <w:rsid w:val="004A2095"/>
    <w:rsid w:val="004A2107"/>
    <w:rsid w:val="004A220F"/>
    <w:rsid w:val="004A225E"/>
    <w:rsid w:val="004A2272"/>
    <w:rsid w:val="004A22E4"/>
    <w:rsid w:val="004A2355"/>
    <w:rsid w:val="004A23B0"/>
    <w:rsid w:val="004A253F"/>
    <w:rsid w:val="004A2667"/>
    <w:rsid w:val="004A26FD"/>
    <w:rsid w:val="004A2880"/>
    <w:rsid w:val="004A2A81"/>
    <w:rsid w:val="004A2AD3"/>
    <w:rsid w:val="004A2C5E"/>
    <w:rsid w:val="004A2C9E"/>
    <w:rsid w:val="004A2CC3"/>
    <w:rsid w:val="004A2D20"/>
    <w:rsid w:val="004A3215"/>
    <w:rsid w:val="004A352C"/>
    <w:rsid w:val="004A35AB"/>
    <w:rsid w:val="004A35D4"/>
    <w:rsid w:val="004A3695"/>
    <w:rsid w:val="004A3862"/>
    <w:rsid w:val="004A38AF"/>
    <w:rsid w:val="004A38EE"/>
    <w:rsid w:val="004A3A4D"/>
    <w:rsid w:val="004A3B3C"/>
    <w:rsid w:val="004A3B7E"/>
    <w:rsid w:val="004A3B93"/>
    <w:rsid w:val="004A3C3E"/>
    <w:rsid w:val="004A3CA0"/>
    <w:rsid w:val="004A3D99"/>
    <w:rsid w:val="004A3FE1"/>
    <w:rsid w:val="004A40D2"/>
    <w:rsid w:val="004A4175"/>
    <w:rsid w:val="004A42FC"/>
    <w:rsid w:val="004A4527"/>
    <w:rsid w:val="004A47CB"/>
    <w:rsid w:val="004A4818"/>
    <w:rsid w:val="004A4A38"/>
    <w:rsid w:val="004A4AEC"/>
    <w:rsid w:val="004A4B50"/>
    <w:rsid w:val="004A4C2A"/>
    <w:rsid w:val="004A4C2C"/>
    <w:rsid w:val="004A4D9C"/>
    <w:rsid w:val="004A50A4"/>
    <w:rsid w:val="004A5224"/>
    <w:rsid w:val="004A522F"/>
    <w:rsid w:val="004A5425"/>
    <w:rsid w:val="004A5457"/>
    <w:rsid w:val="004A5648"/>
    <w:rsid w:val="004A5690"/>
    <w:rsid w:val="004A581F"/>
    <w:rsid w:val="004A5833"/>
    <w:rsid w:val="004A59E0"/>
    <w:rsid w:val="004A5C2C"/>
    <w:rsid w:val="004A5C57"/>
    <w:rsid w:val="004A5E1F"/>
    <w:rsid w:val="004A5E73"/>
    <w:rsid w:val="004A5ED0"/>
    <w:rsid w:val="004A60F2"/>
    <w:rsid w:val="004A61DB"/>
    <w:rsid w:val="004A6293"/>
    <w:rsid w:val="004A6402"/>
    <w:rsid w:val="004A6481"/>
    <w:rsid w:val="004A663A"/>
    <w:rsid w:val="004A66E1"/>
    <w:rsid w:val="004A67C3"/>
    <w:rsid w:val="004A693B"/>
    <w:rsid w:val="004A6AA8"/>
    <w:rsid w:val="004A6AB4"/>
    <w:rsid w:val="004A6D2D"/>
    <w:rsid w:val="004A6E13"/>
    <w:rsid w:val="004A6F52"/>
    <w:rsid w:val="004A6FA5"/>
    <w:rsid w:val="004A70CA"/>
    <w:rsid w:val="004A74DB"/>
    <w:rsid w:val="004A7544"/>
    <w:rsid w:val="004A7547"/>
    <w:rsid w:val="004A76F8"/>
    <w:rsid w:val="004A77CF"/>
    <w:rsid w:val="004A7980"/>
    <w:rsid w:val="004A79B0"/>
    <w:rsid w:val="004A79CA"/>
    <w:rsid w:val="004A7B51"/>
    <w:rsid w:val="004A7FC9"/>
    <w:rsid w:val="004AAE7D"/>
    <w:rsid w:val="004B00C7"/>
    <w:rsid w:val="004B023E"/>
    <w:rsid w:val="004B04E4"/>
    <w:rsid w:val="004B04FA"/>
    <w:rsid w:val="004B0504"/>
    <w:rsid w:val="004B05C3"/>
    <w:rsid w:val="004B0741"/>
    <w:rsid w:val="004B080C"/>
    <w:rsid w:val="004B095C"/>
    <w:rsid w:val="004B0C87"/>
    <w:rsid w:val="004B0DCB"/>
    <w:rsid w:val="004B0E2D"/>
    <w:rsid w:val="004B0E66"/>
    <w:rsid w:val="004B0F18"/>
    <w:rsid w:val="004B0F58"/>
    <w:rsid w:val="004B0FCC"/>
    <w:rsid w:val="004B13CE"/>
    <w:rsid w:val="004B1549"/>
    <w:rsid w:val="004B1552"/>
    <w:rsid w:val="004B15F6"/>
    <w:rsid w:val="004B18C4"/>
    <w:rsid w:val="004B1B0E"/>
    <w:rsid w:val="004B1C5B"/>
    <w:rsid w:val="004B1E38"/>
    <w:rsid w:val="004B1FF9"/>
    <w:rsid w:val="004B213E"/>
    <w:rsid w:val="004B219B"/>
    <w:rsid w:val="004B2472"/>
    <w:rsid w:val="004B250A"/>
    <w:rsid w:val="004B271E"/>
    <w:rsid w:val="004B27EE"/>
    <w:rsid w:val="004B28CB"/>
    <w:rsid w:val="004B290F"/>
    <w:rsid w:val="004B296F"/>
    <w:rsid w:val="004B2A52"/>
    <w:rsid w:val="004B2C08"/>
    <w:rsid w:val="004B2C5B"/>
    <w:rsid w:val="004B2D3B"/>
    <w:rsid w:val="004B2E18"/>
    <w:rsid w:val="004B2EA2"/>
    <w:rsid w:val="004B2F79"/>
    <w:rsid w:val="004B30AF"/>
    <w:rsid w:val="004B3178"/>
    <w:rsid w:val="004B3344"/>
    <w:rsid w:val="004B33B6"/>
    <w:rsid w:val="004B33E8"/>
    <w:rsid w:val="004B36AA"/>
    <w:rsid w:val="004B371C"/>
    <w:rsid w:val="004B371F"/>
    <w:rsid w:val="004B3782"/>
    <w:rsid w:val="004B38E4"/>
    <w:rsid w:val="004B3900"/>
    <w:rsid w:val="004B3975"/>
    <w:rsid w:val="004B3B0C"/>
    <w:rsid w:val="004B3B21"/>
    <w:rsid w:val="004B3BAC"/>
    <w:rsid w:val="004B3D85"/>
    <w:rsid w:val="004B3E1A"/>
    <w:rsid w:val="004B42F3"/>
    <w:rsid w:val="004B44FF"/>
    <w:rsid w:val="004B45BA"/>
    <w:rsid w:val="004B46BA"/>
    <w:rsid w:val="004B4ACC"/>
    <w:rsid w:val="004B4D54"/>
    <w:rsid w:val="004B4D67"/>
    <w:rsid w:val="004B4D6E"/>
    <w:rsid w:val="004B4DCB"/>
    <w:rsid w:val="004B4E65"/>
    <w:rsid w:val="004B5172"/>
    <w:rsid w:val="004B523D"/>
    <w:rsid w:val="004B5289"/>
    <w:rsid w:val="004B53FF"/>
    <w:rsid w:val="004B56B7"/>
    <w:rsid w:val="004B5930"/>
    <w:rsid w:val="004B5A54"/>
    <w:rsid w:val="004B5B6B"/>
    <w:rsid w:val="004B5B91"/>
    <w:rsid w:val="004B5C6F"/>
    <w:rsid w:val="004B5CDF"/>
    <w:rsid w:val="004B5FBA"/>
    <w:rsid w:val="004B5FE6"/>
    <w:rsid w:val="004B604B"/>
    <w:rsid w:val="004B6145"/>
    <w:rsid w:val="004B627F"/>
    <w:rsid w:val="004B6324"/>
    <w:rsid w:val="004B65E3"/>
    <w:rsid w:val="004B65FD"/>
    <w:rsid w:val="004B684E"/>
    <w:rsid w:val="004B6942"/>
    <w:rsid w:val="004B6C71"/>
    <w:rsid w:val="004B6D38"/>
    <w:rsid w:val="004B6DC5"/>
    <w:rsid w:val="004B6F6B"/>
    <w:rsid w:val="004B709E"/>
    <w:rsid w:val="004B720A"/>
    <w:rsid w:val="004B7439"/>
    <w:rsid w:val="004B74BF"/>
    <w:rsid w:val="004B7578"/>
    <w:rsid w:val="004B7789"/>
    <w:rsid w:val="004B7C9E"/>
    <w:rsid w:val="004B7DC3"/>
    <w:rsid w:val="004B7EA4"/>
    <w:rsid w:val="004C003D"/>
    <w:rsid w:val="004C02D4"/>
    <w:rsid w:val="004C0421"/>
    <w:rsid w:val="004C0513"/>
    <w:rsid w:val="004C06E4"/>
    <w:rsid w:val="004C0727"/>
    <w:rsid w:val="004C07B2"/>
    <w:rsid w:val="004C085F"/>
    <w:rsid w:val="004C0889"/>
    <w:rsid w:val="004C093E"/>
    <w:rsid w:val="004C0B44"/>
    <w:rsid w:val="004C0B69"/>
    <w:rsid w:val="004C0BBC"/>
    <w:rsid w:val="004C0F3A"/>
    <w:rsid w:val="004C1116"/>
    <w:rsid w:val="004C1148"/>
    <w:rsid w:val="004C12C1"/>
    <w:rsid w:val="004C1598"/>
    <w:rsid w:val="004C15F0"/>
    <w:rsid w:val="004C1616"/>
    <w:rsid w:val="004C171E"/>
    <w:rsid w:val="004C1725"/>
    <w:rsid w:val="004C1822"/>
    <w:rsid w:val="004C1A77"/>
    <w:rsid w:val="004C1C79"/>
    <w:rsid w:val="004C1C87"/>
    <w:rsid w:val="004C1CAD"/>
    <w:rsid w:val="004C1E1A"/>
    <w:rsid w:val="004C1E71"/>
    <w:rsid w:val="004C1EFF"/>
    <w:rsid w:val="004C2037"/>
    <w:rsid w:val="004C20C7"/>
    <w:rsid w:val="004C243C"/>
    <w:rsid w:val="004C248B"/>
    <w:rsid w:val="004C257C"/>
    <w:rsid w:val="004C25E6"/>
    <w:rsid w:val="004C273D"/>
    <w:rsid w:val="004C287F"/>
    <w:rsid w:val="004C28FB"/>
    <w:rsid w:val="004C28FF"/>
    <w:rsid w:val="004C2A7D"/>
    <w:rsid w:val="004C2ADB"/>
    <w:rsid w:val="004C2B53"/>
    <w:rsid w:val="004C2D6E"/>
    <w:rsid w:val="004C2EA7"/>
    <w:rsid w:val="004C306F"/>
    <w:rsid w:val="004C328B"/>
    <w:rsid w:val="004C33D0"/>
    <w:rsid w:val="004C34B4"/>
    <w:rsid w:val="004C352B"/>
    <w:rsid w:val="004C3579"/>
    <w:rsid w:val="004C36EE"/>
    <w:rsid w:val="004C37FF"/>
    <w:rsid w:val="004C38D6"/>
    <w:rsid w:val="004C3CC9"/>
    <w:rsid w:val="004C3CEA"/>
    <w:rsid w:val="004C3D7B"/>
    <w:rsid w:val="004C3E37"/>
    <w:rsid w:val="004C4057"/>
    <w:rsid w:val="004C4264"/>
    <w:rsid w:val="004C4456"/>
    <w:rsid w:val="004C4598"/>
    <w:rsid w:val="004C4BD1"/>
    <w:rsid w:val="004C4C05"/>
    <w:rsid w:val="004C4C2E"/>
    <w:rsid w:val="004C4D06"/>
    <w:rsid w:val="004C4ED2"/>
    <w:rsid w:val="004C514E"/>
    <w:rsid w:val="004C53A6"/>
    <w:rsid w:val="004C5461"/>
    <w:rsid w:val="004C54AA"/>
    <w:rsid w:val="004C5590"/>
    <w:rsid w:val="004C55CB"/>
    <w:rsid w:val="004C571B"/>
    <w:rsid w:val="004C57DD"/>
    <w:rsid w:val="004C58A9"/>
    <w:rsid w:val="004C597B"/>
    <w:rsid w:val="004C5D8C"/>
    <w:rsid w:val="004C5E4E"/>
    <w:rsid w:val="004C5F54"/>
    <w:rsid w:val="004C6156"/>
    <w:rsid w:val="004C61F9"/>
    <w:rsid w:val="004C62EA"/>
    <w:rsid w:val="004C62F0"/>
    <w:rsid w:val="004C6536"/>
    <w:rsid w:val="004C65EE"/>
    <w:rsid w:val="004C67DF"/>
    <w:rsid w:val="004C6BF0"/>
    <w:rsid w:val="004C6EE2"/>
    <w:rsid w:val="004C70F8"/>
    <w:rsid w:val="004C7221"/>
    <w:rsid w:val="004C728B"/>
    <w:rsid w:val="004C72C2"/>
    <w:rsid w:val="004C74CB"/>
    <w:rsid w:val="004C75C2"/>
    <w:rsid w:val="004C77AF"/>
    <w:rsid w:val="004C787F"/>
    <w:rsid w:val="004C7918"/>
    <w:rsid w:val="004C7AE4"/>
    <w:rsid w:val="004C7C2F"/>
    <w:rsid w:val="004C7DBA"/>
    <w:rsid w:val="004C7DBD"/>
    <w:rsid w:val="004C7DEC"/>
    <w:rsid w:val="004D00A3"/>
    <w:rsid w:val="004D04AB"/>
    <w:rsid w:val="004D0507"/>
    <w:rsid w:val="004D0547"/>
    <w:rsid w:val="004D0592"/>
    <w:rsid w:val="004D0639"/>
    <w:rsid w:val="004D0649"/>
    <w:rsid w:val="004D0859"/>
    <w:rsid w:val="004D0880"/>
    <w:rsid w:val="004D09AC"/>
    <w:rsid w:val="004D0A13"/>
    <w:rsid w:val="004D0A49"/>
    <w:rsid w:val="004D0C28"/>
    <w:rsid w:val="004D0C5F"/>
    <w:rsid w:val="004D0E17"/>
    <w:rsid w:val="004D0EE2"/>
    <w:rsid w:val="004D0F71"/>
    <w:rsid w:val="004D1030"/>
    <w:rsid w:val="004D1204"/>
    <w:rsid w:val="004D1233"/>
    <w:rsid w:val="004D124C"/>
    <w:rsid w:val="004D12B3"/>
    <w:rsid w:val="004D1314"/>
    <w:rsid w:val="004D151F"/>
    <w:rsid w:val="004D160E"/>
    <w:rsid w:val="004D1625"/>
    <w:rsid w:val="004D1633"/>
    <w:rsid w:val="004D169F"/>
    <w:rsid w:val="004D16D0"/>
    <w:rsid w:val="004D16E8"/>
    <w:rsid w:val="004D191B"/>
    <w:rsid w:val="004D19B5"/>
    <w:rsid w:val="004D1BB1"/>
    <w:rsid w:val="004D1C25"/>
    <w:rsid w:val="004D1C59"/>
    <w:rsid w:val="004D1C8A"/>
    <w:rsid w:val="004D1CC3"/>
    <w:rsid w:val="004D1D2B"/>
    <w:rsid w:val="004D1D40"/>
    <w:rsid w:val="004D1D90"/>
    <w:rsid w:val="004D1E35"/>
    <w:rsid w:val="004D1ED7"/>
    <w:rsid w:val="004D1EE5"/>
    <w:rsid w:val="004D1F39"/>
    <w:rsid w:val="004D1F7E"/>
    <w:rsid w:val="004D219E"/>
    <w:rsid w:val="004D223A"/>
    <w:rsid w:val="004D2285"/>
    <w:rsid w:val="004D242E"/>
    <w:rsid w:val="004D25C6"/>
    <w:rsid w:val="004D266F"/>
    <w:rsid w:val="004D2673"/>
    <w:rsid w:val="004D26EC"/>
    <w:rsid w:val="004D272D"/>
    <w:rsid w:val="004D272E"/>
    <w:rsid w:val="004D29E4"/>
    <w:rsid w:val="004D2A1F"/>
    <w:rsid w:val="004D2B41"/>
    <w:rsid w:val="004D2E87"/>
    <w:rsid w:val="004D30DF"/>
    <w:rsid w:val="004D3153"/>
    <w:rsid w:val="004D3535"/>
    <w:rsid w:val="004D374F"/>
    <w:rsid w:val="004D377C"/>
    <w:rsid w:val="004D379C"/>
    <w:rsid w:val="004D38E9"/>
    <w:rsid w:val="004D3B1C"/>
    <w:rsid w:val="004D3C0E"/>
    <w:rsid w:val="004D3C8A"/>
    <w:rsid w:val="004D3CE8"/>
    <w:rsid w:val="004D3D8B"/>
    <w:rsid w:val="004D3E0A"/>
    <w:rsid w:val="004D3E8A"/>
    <w:rsid w:val="004D3F15"/>
    <w:rsid w:val="004D3F8F"/>
    <w:rsid w:val="004D407E"/>
    <w:rsid w:val="004D4095"/>
    <w:rsid w:val="004D4138"/>
    <w:rsid w:val="004D41DF"/>
    <w:rsid w:val="004D42E0"/>
    <w:rsid w:val="004D4374"/>
    <w:rsid w:val="004D43C4"/>
    <w:rsid w:val="004D46EF"/>
    <w:rsid w:val="004D485C"/>
    <w:rsid w:val="004D4944"/>
    <w:rsid w:val="004D4981"/>
    <w:rsid w:val="004D499F"/>
    <w:rsid w:val="004D4B9C"/>
    <w:rsid w:val="004D4D2C"/>
    <w:rsid w:val="004D4ED5"/>
    <w:rsid w:val="004D4F35"/>
    <w:rsid w:val="004D4F58"/>
    <w:rsid w:val="004D4FA4"/>
    <w:rsid w:val="004D523B"/>
    <w:rsid w:val="004D53C9"/>
    <w:rsid w:val="004D53EA"/>
    <w:rsid w:val="004D5494"/>
    <w:rsid w:val="004D55C1"/>
    <w:rsid w:val="004D562F"/>
    <w:rsid w:val="004D56A0"/>
    <w:rsid w:val="004D597D"/>
    <w:rsid w:val="004D5A24"/>
    <w:rsid w:val="004D5AD3"/>
    <w:rsid w:val="004D5C84"/>
    <w:rsid w:val="004D5D4A"/>
    <w:rsid w:val="004D5D89"/>
    <w:rsid w:val="004D5E7E"/>
    <w:rsid w:val="004D5FC3"/>
    <w:rsid w:val="004D6673"/>
    <w:rsid w:val="004D675A"/>
    <w:rsid w:val="004D67DE"/>
    <w:rsid w:val="004D6859"/>
    <w:rsid w:val="004D68CC"/>
    <w:rsid w:val="004D6941"/>
    <w:rsid w:val="004D6E7B"/>
    <w:rsid w:val="004D6FFC"/>
    <w:rsid w:val="004D70D3"/>
    <w:rsid w:val="004D70E4"/>
    <w:rsid w:val="004D7151"/>
    <w:rsid w:val="004D7278"/>
    <w:rsid w:val="004D749D"/>
    <w:rsid w:val="004D758B"/>
    <w:rsid w:val="004D767B"/>
    <w:rsid w:val="004D7BAC"/>
    <w:rsid w:val="004D7D6A"/>
    <w:rsid w:val="004E00B4"/>
    <w:rsid w:val="004E01EE"/>
    <w:rsid w:val="004E03F2"/>
    <w:rsid w:val="004E0929"/>
    <w:rsid w:val="004E09FF"/>
    <w:rsid w:val="004E0D84"/>
    <w:rsid w:val="004E0D92"/>
    <w:rsid w:val="004E0E9E"/>
    <w:rsid w:val="004E1168"/>
    <w:rsid w:val="004E123A"/>
    <w:rsid w:val="004E1404"/>
    <w:rsid w:val="004E14F7"/>
    <w:rsid w:val="004E1533"/>
    <w:rsid w:val="004E15E4"/>
    <w:rsid w:val="004E16D4"/>
    <w:rsid w:val="004E178F"/>
    <w:rsid w:val="004E1823"/>
    <w:rsid w:val="004E183E"/>
    <w:rsid w:val="004E18C1"/>
    <w:rsid w:val="004E191E"/>
    <w:rsid w:val="004E1A65"/>
    <w:rsid w:val="004E1ADD"/>
    <w:rsid w:val="004E1B09"/>
    <w:rsid w:val="004E1E17"/>
    <w:rsid w:val="004E1E5E"/>
    <w:rsid w:val="004E1EA6"/>
    <w:rsid w:val="004E1EDA"/>
    <w:rsid w:val="004E1FDD"/>
    <w:rsid w:val="004E24EA"/>
    <w:rsid w:val="004E2923"/>
    <w:rsid w:val="004E29FC"/>
    <w:rsid w:val="004E2A67"/>
    <w:rsid w:val="004E2A90"/>
    <w:rsid w:val="004E2B08"/>
    <w:rsid w:val="004E2B7B"/>
    <w:rsid w:val="004E2C19"/>
    <w:rsid w:val="004E2E3D"/>
    <w:rsid w:val="004E2E41"/>
    <w:rsid w:val="004E2EC1"/>
    <w:rsid w:val="004E3066"/>
    <w:rsid w:val="004E311C"/>
    <w:rsid w:val="004E3183"/>
    <w:rsid w:val="004E3199"/>
    <w:rsid w:val="004E323D"/>
    <w:rsid w:val="004E344C"/>
    <w:rsid w:val="004E347A"/>
    <w:rsid w:val="004E34AF"/>
    <w:rsid w:val="004E352F"/>
    <w:rsid w:val="004E35A2"/>
    <w:rsid w:val="004E3611"/>
    <w:rsid w:val="004E364C"/>
    <w:rsid w:val="004E3663"/>
    <w:rsid w:val="004E36E1"/>
    <w:rsid w:val="004E3994"/>
    <w:rsid w:val="004E3A28"/>
    <w:rsid w:val="004E3A9C"/>
    <w:rsid w:val="004E3B8E"/>
    <w:rsid w:val="004E3DA8"/>
    <w:rsid w:val="004E3E3A"/>
    <w:rsid w:val="004E3FA9"/>
    <w:rsid w:val="004E4040"/>
    <w:rsid w:val="004E4197"/>
    <w:rsid w:val="004E43A0"/>
    <w:rsid w:val="004E4432"/>
    <w:rsid w:val="004E4440"/>
    <w:rsid w:val="004E45B7"/>
    <w:rsid w:val="004E467C"/>
    <w:rsid w:val="004E4795"/>
    <w:rsid w:val="004E48E7"/>
    <w:rsid w:val="004E49C6"/>
    <w:rsid w:val="004E49F1"/>
    <w:rsid w:val="004E51AA"/>
    <w:rsid w:val="004E5246"/>
    <w:rsid w:val="004E526E"/>
    <w:rsid w:val="004E5325"/>
    <w:rsid w:val="004E536A"/>
    <w:rsid w:val="004E5430"/>
    <w:rsid w:val="004E5473"/>
    <w:rsid w:val="004E54DE"/>
    <w:rsid w:val="004E55BE"/>
    <w:rsid w:val="004E5616"/>
    <w:rsid w:val="004E5619"/>
    <w:rsid w:val="004E5DB5"/>
    <w:rsid w:val="004E5E2E"/>
    <w:rsid w:val="004E6379"/>
    <w:rsid w:val="004E6434"/>
    <w:rsid w:val="004E67F2"/>
    <w:rsid w:val="004E683B"/>
    <w:rsid w:val="004E6BAA"/>
    <w:rsid w:val="004E6BFB"/>
    <w:rsid w:val="004E6DA6"/>
    <w:rsid w:val="004E7163"/>
    <w:rsid w:val="004E718E"/>
    <w:rsid w:val="004E76B7"/>
    <w:rsid w:val="004E7841"/>
    <w:rsid w:val="004E7A92"/>
    <w:rsid w:val="004E7B53"/>
    <w:rsid w:val="004E7E00"/>
    <w:rsid w:val="004F0000"/>
    <w:rsid w:val="004F00B5"/>
    <w:rsid w:val="004F0102"/>
    <w:rsid w:val="004F0170"/>
    <w:rsid w:val="004F019E"/>
    <w:rsid w:val="004F03AF"/>
    <w:rsid w:val="004F05EB"/>
    <w:rsid w:val="004F06CE"/>
    <w:rsid w:val="004F0715"/>
    <w:rsid w:val="004F0902"/>
    <w:rsid w:val="004F0C98"/>
    <w:rsid w:val="004F0D05"/>
    <w:rsid w:val="004F0DB3"/>
    <w:rsid w:val="004F0EC2"/>
    <w:rsid w:val="004F0F3D"/>
    <w:rsid w:val="004F1050"/>
    <w:rsid w:val="004F12F2"/>
    <w:rsid w:val="004F13AF"/>
    <w:rsid w:val="004F14CC"/>
    <w:rsid w:val="004F152D"/>
    <w:rsid w:val="004F16FD"/>
    <w:rsid w:val="004F17AF"/>
    <w:rsid w:val="004F1852"/>
    <w:rsid w:val="004F18E2"/>
    <w:rsid w:val="004F1A6D"/>
    <w:rsid w:val="004F1D05"/>
    <w:rsid w:val="004F1DEE"/>
    <w:rsid w:val="004F1E82"/>
    <w:rsid w:val="004F2013"/>
    <w:rsid w:val="004F201F"/>
    <w:rsid w:val="004F2076"/>
    <w:rsid w:val="004F22CB"/>
    <w:rsid w:val="004F230B"/>
    <w:rsid w:val="004F2474"/>
    <w:rsid w:val="004F24B3"/>
    <w:rsid w:val="004F2574"/>
    <w:rsid w:val="004F25FE"/>
    <w:rsid w:val="004F29EF"/>
    <w:rsid w:val="004F2A4A"/>
    <w:rsid w:val="004F2B69"/>
    <w:rsid w:val="004F2BC9"/>
    <w:rsid w:val="004F2D5E"/>
    <w:rsid w:val="004F2E79"/>
    <w:rsid w:val="004F2F5A"/>
    <w:rsid w:val="004F2FC9"/>
    <w:rsid w:val="004F3248"/>
    <w:rsid w:val="004F3447"/>
    <w:rsid w:val="004F3689"/>
    <w:rsid w:val="004F378B"/>
    <w:rsid w:val="004F378D"/>
    <w:rsid w:val="004F3882"/>
    <w:rsid w:val="004F3A27"/>
    <w:rsid w:val="004F3CBF"/>
    <w:rsid w:val="004F3D0C"/>
    <w:rsid w:val="004F3E70"/>
    <w:rsid w:val="004F3E92"/>
    <w:rsid w:val="004F3EFA"/>
    <w:rsid w:val="004F4008"/>
    <w:rsid w:val="004F40DA"/>
    <w:rsid w:val="004F4206"/>
    <w:rsid w:val="004F4267"/>
    <w:rsid w:val="004F4296"/>
    <w:rsid w:val="004F42A8"/>
    <w:rsid w:val="004F43D4"/>
    <w:rsid w:val="004F454A"/>
    <w:rsid w:val="004F47F1"/>
    <w:rsid w:val="004F4856"/>
    <w:rsid w:val="004F49EA"/>
    <w:rsid w:val="004F4A22"/>
    <w:rsid w:val="004F4ABC"/>
    <w:rsid w:val="004F4B76"/>
    <w:rsid w:val="004F4C45"/>
    <w:rsid w:val="004F4CFB"/>
    <w:rsid w:val="004F4E99"/>
    <w:rsid w:val="004F4F14"/>
    <w:rsid w:val="004F4FE6"/>
    <w:rsid w:val="004F5022"/>
    <w:rsid w:val="004F50C4"/>
    <w:rsid w:val="004F5305"/>
    <w:rsid w:val="004F53EF"/>
    <w:rsid w:val="004F546F"/>
    <w:rsid w:val="004F555F"/>
    <w:rsid w:val="004F5610"/>
    <w:rsid w:val="004F57AF"/>
    <w:rsid w:val="004F5A00"/>
    <w:rsid w:val="004F5A56"/>
    <w:rsid w:val="004F5A58"/>
    <w:rsid w:val="004F5B04"/>
    <w:rsid w:val="004F5B2E"/>
    <w:rsid w:val="004F5C42"/>
    <w:rsid w:val="004F5E00"/>
    <w:rsid w:val="004F5EF1"/>
    <w:rsid w:val="004F5F43"/>
    <w:rsid w:val="004F5F56"/>
    <w:rsid w:val="004F5F5F"/>
    <w:rsid w:val="004F6491"/>
    <w:rsid w:val="004F6500"/>
    <w:rsid w:val="004F65C6"/>
    <w:rsid w:val="004F66E3"/>
    <w:rsid w:val="004F6736"/>
    <w:rsid w:val="004F6788"/>
    <w:rsid w:val="004F68F4"/>
    <w:rsid w:val="004F69D1"/>
    <w:rsid w:val="004F6A16"/>
    <w:rsid w:val="004F6A7E"/>
    <w:rsid w:val="004F6EB1"/>
    <w:rsid w:val="004F6F11"/>
    <w:rsid w:val="004F709B"/>
    <w:rsid w:val="004F7264"/>
    <w:rsid w:val="004F7455"/>
    <w:rsid w:val="004F7674"/>
    <w:rsid w:val="004F7A0F"/>
    <w:rsid w:val="004F7AB3"/>
    <w:rsid w:val="004F7B05"/>
    <w:rsid w:val="004F7B1B"/>
    <w:rsid w:val="00500007"/>
    <w:rsid w:val="005000CE"/>
    <w:rsid w:val="00500195"/>
    <w:rsid w:val="00500278"/>
    <w:rsid w:val="0050032D"/>
    <w:rsid w:val="0050043F"/>
    <w:rsid w:val="0050054A"/>
    <w:rsid w:val="00500623"/>
    <w:rsid w:val="00500656"/>
    <w:rsid w:val="005007A9"/>
    <w:rsid w:val="00500830"/>
    <w:rsid w:val="005008C1"/>
    <w:rsid w:val="0050090A"/>
    <w:rsid w:val="00500A1E"/>
    <w:rsid w:val="00500C63"/>
    <w:rsid w:val="00500C7B"/>
    <w:rsid w:val="00500CBB"/>
    <w:rsid w:val="00500DCB"/>
    <w:rsid w:val="00500FDD"/>
    <w:rsid w:val="00500FEE"/>
    <w:rsid w:val="0050103C"/>
    <w:rsid w:val="005011DC"/>
    <w:rsid w:val="00501364"/>
    <w:rsid w:val="00501451"/>
    <w:rsid w:val="00501523"/>
    <w:rsid w:val="005015D1"/>
    <w:rsid w:val="005016A0"/>
    <w:rsid w:val="005017A1"/>
    <w:rsid w:val="0050182F"/>
    <w:rsid w:val="00501833"/>
    <w:rsid w:val="00501912"/>
    <w:rsid w:val="00501930"/>
    <w:rsid w:val="005019B3"/>
    <w:rsid w:val="005019EA"/>
    <w:rsid w:val="005019F3"/>
    <w:rsid w:val="00501A0E"/>
    <w:rsid w:val="00501D24"/>
    <w:rsid w:val="00501E06"/>
    <w:rsid w:val="00501E98"/>
    <w:rsid w:val="00501EC6"/>
    <w:rsid w:val="0050223D"/>
    <w:rsid w:val="0050237F"/>
    <w:rsid w:val="005023B7"/>
    <w:rsid w:val="00502604"/>
    <w:rsid w:val="00502768"/>
    <w:rsid w:val="00502830"/>
    <w:rsid w:val="00502870"/>
    <w:rsid w:val="005028E1"/>
    <w:rsid w:val="005028EB"/>
    <w:rsid w:val="005028F5"/>
    <w:rsid w:val="005029E0"/>
    <w:rsid w:val="00502ABB"/>
    <w:rsid w:val="00502ACB"/>
    <w:rsid w:val="00502F78"/>
    <w:rsid w:val="00502F8E"/>
    <w:rsid w:val="00502F91"/>
    <w:rsid w:val="0050301D"/>
    <w:rsid w:val="0050321B"/>
    <w:rsid w:val="00503513"/>
    <w:rsid w:val="0050358E"/>
    <w:rsid w:val="005037C7"/>
    <w:rsid w:val="00503938"/>
    <w:rsid w:val="00503945"/>
    <w:rsid w:val="00503A19"/>
    <w:rsid w:val="00503A7D"/>
    <w:rsid w:val="00503B40"/>
    <w:rsid w:val="00503B4A"/>
    <w:rsid w:val="00503D48"/>
    <w:rsid w:val="00503DC1"/>
    <w:rsid w:val="00503F1B"/>
    <w:rsid w:val="005041F7"/>
    <w:rsid w:val="005042E9"/>
    <w:rsid w:val="0050442C"/>
    <w:rsid w:val="0050465A"/>
    <w:rsid w:val="0050473F"/>
    <w:rsid w:val="00504A1E"/>
    <w:rsid w:val="00504CF8"/>
    <w:rsid w:val="00504DA3"/>
    <w:rsid w:val="00504FFE"/>
    <w:rsid w:val="00505120"/>
    <w:rsid w:val="00505219"/>
    <w:rsid w:val="00505276"/>
    <w:rsid w:val="0050540E"/>
    <w:rsid w:val="00505436"/>
    <w:rsid w:val="0050555F"/>
    <w:rsid w:val="005059A8"/>
    <w:rsid w:val="00505A49"/>
    <w:rsid w:val="00505ABC"/>
    <w:rsid w:val="00505ACF"/>
    <w:rsid w:val="00505BAD"/>
    <w:rsid w:val="00505BCA"/>
    <w:rsid w:val="00505C32"/>
    <w:rsid w:val="00505CC2"/>
    <w:rsid w:val="00505CE2"/>
    <w:rsid w:val="00505E81"/>
    <w:rsid w:val="005060C5"/>
    <w:rsid w:val="00506379"/>
    <w:rsid w:val="00506419"/>
    <w:rsid w:val="0050647E"/>
    <w:rsid w:val="00506659"/>
    <w:rsid w:val="0050668E"/>
    <w:rsid w:val="00506876"/>
    <w:rsid w:val="005068BB"/>
    <w:rsid w:val="005069F8"/>
    <w:rsid w:val="00506AD6"/>
    <w:rsid w:val="00506B58"/>
    <w:rsid w:val="00506B74"/>
    <w:rsid w:val="00506C26"/>
    <w:rsid w:val="00506CA1"/>
    <w:rsid w:val="00506DE7"/>
    <w:rsid w:val="00506F1C"/>
    <w:rsid w:val="00506F39"/>
    <w:rsid w:val="00506F6A"/>
    <w:rsid w:val="00507079"/>
    <w:rsid w:val="005070F6"/>
    <w:rsid w:val="005070FB"/>
    <w:rsid w:val="00507354"/>
    <w:rsid w:val="005075A9"/>
    <w:rsid w:val="00507653"/>
    <w:rsid w:val="00507697"/>
    <w:rsid w:val="005076FC"/>
    <w:rsid w:val="00507731"/>
    <w:rsid w:val="00507895"/>
    <w:rsid w:val="005079C6"/>
    <w:rsid w:val="00507A94"/>
    <w:rsid w:val="00507BCE"/>
    <w:rsid w:val="00507E0F"/>
    <w:rsid w:val="00507FF0"/>
    <w:rsid w:val="0051001C"/>
    <w:rsid w:val="0051040F"/>
    <w:rsid w:val="0051067A"/>
    <w:rsid w:val="005108A7"/>
    <w:rsid w:val="00510CED"/>
    <w:rsid w:val="00510D34"/>
    <w:rsid w:val="00510DD9"/>
    <w:rsid w:val="00510FCC"/>
    <w:rsid w:val="00511272"/>
    <w:rsid w:val="005112C1"/>
    <w:rsid w:val="0051132C"/>
    <w:rsid w:val="005116CF"/>
    <w:rsid w:val="00511804"/>
    <w:rsid w:val="005118C6"/>
    <w:rsid w:val="00511A88"/>
    <w:rsid w:val="00511B1C"/>
    <w:rsid w:val="00511C47"/>
    <w:rsid w:val="00511CB1"/>
    <w:rsid w:val="00511D0C"/>
    <w:rsid w:val="00511F63"/>
    <w:rsid w:val="00512350"/>
    <w:rsid w:val="00512632"/>
    <w:rsid w:val="00512735"/>
    <w:rsid w:val="0051297F"/>
    <w:rsid w:val="005129E7"/>
    <w:rsid w:val="00512A3A"/>
    <w:rsid w:val="00512BA7"/>
    <w:rsid w:val="00512CE7"/>
    <w:rsid w:val="00512E69"/>
    <w:rsid w:val="00512F8C"/>
    <w:rsid w:val="00512F91"/>
    <w:rsid w:val="005131C2"/>
    <w:rsid w:val="00513277"/>
    <w:rsid w:val="0051337B"/>
    <w:rsid w:val="00513507"/>
    <w:rsid w:val="00513549"/>
    <w:rsid w:val="0051366B"/>
    <w:rsid w:val="005136AA"/>
    <w:rsid w:val="005138B9"/>
    <w:rsid w:val="005138EC"/>
    <w:rsid w:val="00513A2D"/>
    <w:rsid w:val="00513B29"/>
    <w:rsid w:val="00513BAB"/>
    <w:rsid w:val="00513C13"/>
    <w:rsid w:val="00513C73"/>
    <w:rsid w:val="00513C95"/>
    <w:rsid w:val="00513CF4"/>
    <w:rsid w:val="00513DE2"/>
    <w:rsid w:val="00513E1C"/>
    <w:rsid w:val="00513E57"/>
    <w:rsid w:val="00513F11"/>
    <w:rsid w:val="00513F1D"/>
    <w:rsid w:val="00514043"/>
    <w:rsid w:val="00514191"/>
    <w:rsid w:val="005141B7"/>
    <w:rsid w:val="00514222"/>
    <w:rsid w:val="00514239"/>
    <w:rsid w:val="005142CB"/>
    <w:rsid w:val="005142CD"/>
    <w:rsid w:val="00514324"/>
    <w:rsid w:val="00514345"/>
    <w:rsid w:val="005143BB"/>
    <w:rsid w:val="005143E6"/>
    <w:rsid w:val="005145A6"/>
    <w:rsid w:val="00514663"/>
    <w:rsid w:val="005149B8"/>
    <w:rsid w:val="00514AC6"/>
    <w:rsid w:val="00514C42"/>
    <w:rsid w:val="00514E05"/>
    <w:rsid w:val="00514E47"/>
    <w:rsid w:val="00514E4D"/>
    <w:rsid w:val="00514FF5"/>
    <w:rsid w:val="00515197"/>
    <w:rsid w:val="00515310"/>
    <w:rsid w:val="00515478"/>
    <w:rsid w:val="00515540"/>
    <w:rsid w:val="00515585"/>
    <w:rsid w:val="005156EF"/>
    <w:rsid w:val="00515705"/>
    <w:rsid w:val="0051594C"/>
    <w:rsid w:val="00515ABB"/>
    <w:rsid w:val="00515B20"/>
    <w:rsid w:val="00515C25"/>
    <w:rsid w:val="00515CFC"/>
    <w:rsid w:val="00515D52"/>
    <w:rsid w:val="00516118"/>
    <w:rsid w:val="00516321"/>
    <w:rsid w:val="00516355"/>
    <w:rsid w:val="00516379"/>
    <w:rsid w:val="005166FC"/>
    <w:rsid w:val="00516A14"/>
    <w:rsid w:val="00516AA9"/>
    <w:rsid w:val="00516AE4"/>
    <w:rsid w:val="00516CD1"/>
    <w:rsid w:val="00516D1D"/>
    <w:rsid w:val="00516FEC"/>
    <w:rsid w:val="005170F5"/>
    <w:rsid w:val="00517189"/>
    <w:rsid w:val="00517311"/>
    <w:rsid w:val="00517760"/>
    <w:rsid w:val="0051785E"/>
    <w:rsid w:val="00517C0C"/>
    <w:rsid w:val="00517C39"/>
    <w:rsid w:val="00517D8C"/>
    <w:rsid w:val="00517EAD"/>
    <w:rsid w:val="00517EE7"/>
    <w:rsid w:val="00520054"/>
    <w:rsid w:val="005200A7"/>
    <w:rsid w:val="0052074C"/>
    <w:rsid w:val="00520892"/>
    <w:rsid w:val="005209A0"/>
    <w:rsid w:val="005209D8"/>
    <w:rsid w:val="00520B5E"/>
    <w:rsid w:val="00520C36"/>
    <w:rsid w:val="00520D33"/>
    <w:rsid w:val="00520E64"/>
    <w:rsid w:val="00520F1E"/>
    <w:rsid w:val="00520FFD"/>
    <w:rsid w:val="00521026"/>
    <w:rsid w:val="005210F8"/>
    <w:rsid w:val="00521467"/>
    <w:rsid w:val="005214F7"/>
    <w:rsid w:val="00521518"/>
    <w:rsid w:val="005217F8"/>
    <w:rsid w:val="00521B57"/>
    <w:rsid w:val="00521D18"/>
    <w:rsid w:val="00521E7E"/>
    <w:rsid w:val="00521F23"/>
    <w:rsid w:val="00521FB3"/>
    <w:rsid w:val="00521FBB"/>
    <w:rsid w:val="0052219D"/>
    <w:rsid w:val="0052225F"/>
    <w:rsid w:val="00522269"/>
    <w:rsid w:val="005222EA"/>
    <w:rsid w:val="005223DD"/>
    <w:rsid w:val="005225BE"/>
    <w:rsid w:val="00522607"/>
    <w:rsid w:val="00522653"/>
    <w:rsid w:val="00522699"/>
    <w:rsid w:val="005227BD"/>
    <w:rsid w:val="00522805"/>
    <w:rsid w:val="0052287B"/>
    <w:rsid w:val="00522926"/>
    <w:rsid w:val="00522A19"/>
    <w:rsid w:val="00522AE3"/>
    <w:rsid w:val="00522D3D"/>
    <w:rsid w:val="00522E11"/>
    <w:rsid w:val="00522F23"/>
    <w:rsid w:val="00522FA7"/>
    <w:rsid w:val="00523161"/>
    <w:rsid w:val="0052318F"/>
    <w:rsid w:val="0052328E"/>
    <w:rsid w:val="00523392"/>
    <w:rsid w:val="005233D8"/>
    <w:rsid w:val="00523462"/>
    <w:rsid w:val="005234B8"/>
    <w:rsid w:val="005234E5"/>
    <w:rsid w:val="00523522"/>
    <w:rsid w:val="0052378A"/>
    <w:rsid w:val="00523831"/>
    <w:rsid w:val="005239AB"/>
    <w:rsid w:val="00523C8C"/>
    <w:rsid w:val="00523CCE"/>
    <w:rsid w:val="00523EC3"/>
    <w:rsid w:val="00523F14"/>
    <w:rsid w:val="0052401F"/>
    <w:rsid w:val="005240D7"/>
    <w:rsid w:val="00524472"/>
    <w:rsid w:val="00524569"/>
    <w:rsid w:val="00524727"/>
    <w:rsid w:val="00524784"/>
    <w:rsid w:val="00524A37"/>
    <w:rsid w:val="00524AD6"/>
    <w:rsid w:val="00524BAC"/>
    <w:rsid w:val="00524CF4"/>
    <w:rsid w:val="00524DF5"/>
    <w:rsid w:val="00524E4E"/>
    <w:rsid w:val="00524E80"/>
    <w:rsid w:val="00524EB9"/>
    <w:rsid w:val="00524F2B"/>
    <w:rsid w:val="00524F39"/>
    <w:rsid w:val="005250BA"/>
    <w:rsid w:val="005250D2"/>
    <w:rsid w:val="0052521A"/>
    <w:rsid w:val="005253A4"/>
    <w:rsid w:val="00525459"/>
    <w:rsid w:val="005254B4"/>
    <w:rsid w:val="0052553E"/>
    <w:rsid w:val="005255FC"/>
    <w:rsid w:val="005257A8"/>
    <w:rsid w:val="00525831"/>
    <w:rsid w:val="0052592D"/>
    <w:rsid w:val="0052598A"/>
    <w:rsid w:val="00525BB2"/>
    <w:rsid w:val="00525F6C"/>
    <w:rsid w:val="005262D8"/>
    <w:rsid w:val="0052638C"/>
    <w:rsid w:val="00526495"/>
    <w:rsid w:val="0052649F"/>
    <w:rsid w:val="0052660E"/>
    <w:rsid w:val="005268AA"/>
    <w:rsid w:val="00526A37"/>
    <w:rsid w:val="00526FB5"/>
    <w:rsid w:val="0052702F"/>
    <w:rsid w:val="0052708D"/>
    <w:rsid w:val="00527273"/>
    <w:rsid w:val="005272AE"/>
    <w:rsid w:val="005272ED"/>
    <w:rsid w:val="005272F6"/>
    <w:rsid w:val="005274B0"/>
    <w:rsid w:val="0052753A"/>
    <w:rsid w:val="0052756F"/>
    <w:rsid w:val="005275FC"/>
    <w:rsid w:val="005276C0"/>
    <w:rsid w:val="005276C3"/>
    <w:rsid w:val="005276E0"/>
    <w:rsid w:val="00527737"/>
    <w:rsid w:val="00527966"/>
    <w:rsid w:val="00527B3B"/>
    <w:rsid w:val="00527B4E"/>
    <w:rsid w:val="00527C02"/>
    <w:rsid w:val="00530042"/>
    <w:rsid w:val="0053024F"/>
    <w:rsid w:val="005302A7"/>
    <w:rsid w:val="0053033F"/>
    <w:rsid w:val="005306E1"/>
    <w:rsid w:val="005307C3"/>
    <w:rsid w:val="00530927"/>
    <w:rsid w:val="00530A48"/>
    <w:rsid w:val="00530A7F"/>
    <w:rsid w:val="00530AB4"/>
    <w:rsid w:val="00530C16"/>
    <w:rsid w:val="00530C5B"/>
    <w:rsid w:val="00530D3D"/>
    <w:rsid w:val="00530D87"/>
    <w:rsid w:val="00530E21"/>
    <w:rsid w:val="00530F18"/>
    <w:rsid w:val="005310E7"/>
    <w:rsid w:val="005311FD"/>
    <w:rsid w:val="005312F6"/>
    <w:rsid w:val="005314DF"/>
    <w:rsid w:val="00531549"/>
    <w:rsid w:val="005315F6"/>
    <w:rsid w:val="00531842"/>
    <w:rsid w:val="00531952"/>
    <w:rsid w:val="00531A77"/>
    <w:rsid w:val="00531B1A"/>
    <w:rsid w:val="00531EAF"/>
    <w:rsid w:val="0053201B"/>
    <w:rsid w:val="00532043"/>
    <w:rsid w:val="0053218D"/>
    <w:rsid w:val="005322F5"/>
    <w:rsid w:val="00532396"/>
    <w:rsid w:val="0053253A"/>
    <w:rsid w:val="00532782"/>
    <w:rsid w:val="005327B8"/>
    <w:rsid w:val="005327DB"/>
    <w:rsid w:val="0053281E"/>
    <w:rsid w:val="00532863"/>
    <w:rsid w:val="00532947"/>
    <w:rsid w:val="0053296D"/>
    <w:rsid w:val="00532B95"/>
    <w:rsid w:val="00532BBD"/>
    <w:rsid w:val="00532BD5"/>
    <w:rsid w:val="00532BE9"/>
    <w:rsid w:val="00532C5E"/>
    <w:rsid w:val="00532CB1"/>
    <w:rsid w:val="00532D09"/>
    <w:rsid w:val="00532D61"/>
    <w:rsid w:val="00532E7C"/>
    <w:rsid w:val="00532EA3"/>
    <w:rsid w:val="00532F4E"/>
    <w:rsid w:val="00532F83"/>
    <w:rsid w:val="00533022"/>
    <w:rsid w:val="0053302E"/>
    <w:rsid w:val="00533061"/>
    <w:rsid w:val="00533180"/>
    <w:rsid w:val="0053331E"/>
    <w:rsid w:val="0053359A"/>
    <w:rsid w:val="005335A3"/>
    <w:rsid w:val="005336FC"/>
    <w:rsid w:val="00533957"/>
    <w:rsid w:val="00533966"/>
    <w:rsid w:val="00533AFB"/>
    <w:rsid w:val="00533B26"/>
    <w:rsid w:val="00533E14"/>
    <w:rsid w:val="00533EF0"/>
    <w:rsid w:val="005341CB"/>
    <w:rsid w:val="005342A6"/>
    <w:rsid w:val="0053435E"/>
    <w:rsid w:val="00534471"/>
    <w:rsid w:val="0053465C"/>
    <w:rsid w:val="00534707"/>
    <w:rsid w:val="00534738"/>
    <w:rsid w:val="0053478B"/>
    <w:rsid w:val="00534859"/>
    <w:rsid w:val="0053488C"/>
    <w:rsid w:val="005348EF"/>
    <w:rsid w:val="005349B9"/>
    <w:rsid w:val="005349C8"/>
    <w:rsid w:val="00534A44"/>
    <w:rsid w:val="00534B01"/>
    <w:rsid w:val="00534B0A"/>
    <w:rsid w:val="00534EEA"/>
    <w:rsid w:val="0053506D"/>
    <w:rsid w:val="005350BF"/>
    <w:rsid w:val="005352A6"/>
    <w:rsid w:val="0053537D"/>
    <w:rsid w:val="005354E7"/>
    <w:rsid w:val="00535563"/>
    <w:rsid w:val="0053558F"/>
    <w:rsid w:val="005359DA"/>
    <w:rsid w:val="00535A1B"/>
    <w:rsid w:val="00535D2B"/>
    <w:rsid w:val="00535DA9"/>
    <w:rsid w:val="00535EFD"/>
    <w:rsid w:val="00535F26"/>
    <w:rsid w:val="00536027"/>
    <w:rsid w:val="0053607D"/>
    <w:rsid w:val="00536095"/>
    <w:rsid w:val="00536099"/>
    <w:rsid w:val="005361ED"/>
    <w:rsid w:val="005361FC"/>
    <w:rsid w:val="005363AB"/>
    <w:rsid w:val="00536477"/>
    <w:rsid w:val="0053690D"/>
    <w:rsid w:val="00536A23"/>
    <w:rsid w:val="00536AF9"/>
    <w:rsid w:val="00536B08"/>
    <w:rsid w:val="00536C00"/>
    <w:rsid w:val="00536CA3"/>
    <w:rsid w:val="00536DA4"/>
    <w:rsid w:val="00536F7C"/>
    <w:rsid w:val="0053718B"/>
    <w:rsid w:val="00537211"/>
    <w:rsid w:val="00537370"/>
    <w:rsid w:val="00537479"/>
    <w:rsid w:val="0053748F"/>
    <w:rsid w:val="0053790C"/>
    <w:rsid w:val="005379A3"/>
    <w:rsid w:val="00537B62"/>
    <w:rsid w:val="00537C29"/>
    <w:rsid w:val="00537F4C"/>
    <w:rsid w:val="0054007B"/>
    <w:rsid w:val="0054021A"/>
    <w:rsid w:val="00540349"/>
    <w:rsid w:val="0054038C"/>
    <w:rsid w:val="005403F5"/>
    <w:rsid w:val="005404D4"/>
    <w:rsid w:val="00540521"/>
    <w:rsid w:val="00540602"/>
    <w:rsid w:val="005406D8"/>
    <w:rsid w:val="005406DF"/>
    <w:rsid w:val="00540730"/>
    <w:rsid w:val="00540786"/>
    <w:rsid w:val="0054078B"/>
    <w:rsid w:val="0054092E"/>
    <w:rsid w:val="00540972"/>
    <w:rsid w:val="005409FC"/>
    <w:rsid w:val="00540A3B"/>
    <w:rsid w:val="00540D3A"/>
    <w:rsid w:val="00540DB7"/>
    <w:rsid w:val="0054116C"/>
    <w:rsid w:val="00541221"/>
    <w:rsid w:val="005412D0"/>
    <w:rsid w:val="0054138B"/>
    <w:rsid w:val="00541737"/>
    <w:rsid w:val="00541914"/>
    <w:rsid w:val="00541B09"/>
    <w:rsid w:val="00541C15"/>
    <w:rsid w:val="00541CCA"/>
    <w:rsid w:val="00541D87"/>
    <w:rsid w:val="00541D8C"/>
    <w:rsid w:val="00541F8F"/>
    <w:rsid w:val="00542094"/>
    <w:rsid w:val="00542128"/>
    <w:rsid w:val="005423D1"/>
    <w:rsid w:val="005425F6"/>
    <w:rsid w:val="00542660"/>
    <w:rsid w:val="0054271F"/>
    <w:rsid w:val="0054289F"/>
    <w:rsid w:val="005428ED"/>
    <w:rsid w:val="00542964"/>
    <w:rsid w:val="00542C16"/>
    <w:rsid w:val="00542CA2"/>
    <w:rsid w:val="00542D7E"/>
    <w:rsid w:val="00542F0F"/>
    <w:rsid w:val="00542F46"/>
    <w:rsid w:val="00542F8C"/>
    <w:rsid w:val="005430A8"/>
    <w:rsid w:val="005430B1"/>
    <w:rsid w:val="0054316B"/>
    <w:rsid w:val="0054318D"/>
    <w:rsid w:val="0054328F"/>
    <w:rsid w:val="00543319"/>
    <w:rsid w:val="00543325"/>
    <w:rsid w:val="0054349D"/>
    <w:rsid w:val="00543576"/>
    <w:rsid w:val="0054358F"/>
    <w:rsid w:val="00543611"/>
    <w:rsid w:val="00543712"/>
    <w:rsid w:val="00543907"/>
    <w:rsid w:val="0054395E"/>
    <w:rsid w:val="00543D52"/>
    <w:rsid w:val="00543D84"/>
    <w:rsid w:val="00543E62"/>
    <w:rsid w:val="00543EC6"/>
    <w:rsid w:val="00543F10"/>
    <w:rsid w:val="00543FC5"/>
    <w:rsid w:val="005440B4"/>
    <w:rsid w:val="005441C6"/>
    <w:rsid w:val="00544484"/>
    <w:rsid w:val="0054451F"/>
    <w:rsid w:val="005445A6"/>
    <w:rsid w:val="0054463D"/>
    <w:rsid w:val="00544847"/>
    <w:rsid w:val="00544850"/>
    <w:rsid w:val="00544909"/>
    <w:rsid w:val="005449E3"/>
    <w:rsid w:val="00544A63"/>
    <w:rsid w:val="00544D2C"/>
    <w:rsid w:val="00544DB1"/>
    <w:rsid w:val="005450DB"/>
    <w:rsid w:val="005452B3"/>
    <w:rsid w:val="005452E5"/>
    <w:rsid w:val="00545375"/>
    <w:rsid w:val="00545470"/>
    <w:rsid w:val="00545486"/>
    <w:rsid w:val="00545731"/>
    <w:rsid w:val="0054575B"/>
    <w:rsid w:val="00545A32"/>
    <w:rsid w:val="00545B38"/>
    <w:rsid w:val="00545B67"/>
    <w:rsid w:val="00545BB5"/>
    <w:rsid w:val="00545BF6"/>
    <w:rsid w:val="00545C12"/>
    <w:rsid w:val="00545CA8"/>
    <w:rsid w:val="00545DF3"/>
    <w:rsid w:val="00546010"/>
    <w:rsid w:val="005460B5"/>
    <w:rsid w:val="005462B9"/>
    <w:rsid w:val="0054637D"/>
    <w:rsid w:val="005466E6"/>
    <w:rsid w:val="005466F6"/>
    <w:rsid w:val="00546954"/>
    <w:rsid w:val="00546968"/>
    <w:rsid w:val="00546A14"/>
    <w:rsid w:val="00546A80"/>
    <w:rsid w:val="00546B2E"/>
    <w:rsid w:val="00546C47"/>
    <w:rsid w:val="00546C5E"/>
    <w:rsid w:val="00546C66"/>
    <w:rsid w:val="00546DC3"/>
    <w:rsid w:val="00546F77"/>
    <w:rsid w:val="00546FBA"/>
    <w:rsid w:val="00546FE2"/>
    <w:rsid w:val="005470AB"/>
    <w:rsid w:val="00547188"/>
    <w:rsid w:val="005471BA"/>
    <w:rsid w:val="0054757F"/>
    <w:rsid w:val="00547631"/>
    <w:rsid w:val="0054765C"/>
    <w:rsid w:val="00547678"/>
    <w:rsid w:val="00547841"/>
    <w:rsid w:val="0054792D"/>
    <w:rsid w:val="0054795F"/>
    <w:rsid w:val="00547B14"/>
    <w:rsid w:val="00550050"/>
    <w:rsid w:val="0055027F"/>
    <w:rsid w:val="005502D3"/>
    <w:rsid w:val="005504A3"/>
    <w:rsid w:val="005505C6"/>
    <w:rsid w:val="005505CE"/>
    <w:rsid w:val="00550659"/>
    <w:rsid w:val="00550663"/>
    <w:rsid w:val="0055068D"/>
    <w:rsid w:val="005506D3"/>
    <w:rsid w:val="0055073F"/>
    <w:rsid w:val="00550850"/>
    <w:rsid w:val="0055088F"/>
    <w:rsid w:val="00550A24"/>
    <w:rsid w:val="00550B9D"/>
    <w:rsid w:val="00550C2D"/>
    <w:rsid w:val="00550C49"/>
    <w:rsid w:val="00550F75"/>
    <w:rsid w:val="005510BE"/>
    <w:rsid w:val="00551486"/>
    <w:rsid w:val="0055199C"/>
    <w:rsid w:val="00551A5C"/>
    <w:rsid w:val="00551BCB"/>
    <w:rsid w:val="00551BD5"/>
    <w:rsid w:val="00551D4E"/>
    <w:rsid w:val="00551E9C"/>
    <w:rsid w:val="00551FDA"/>
    <w:rsid w:val="00552062"/>
    <w:rsid w:val="0055218D"/>
    <w:rsid w:val="005522F2"/>
    <w:rsid w:val="00552325"/>
    <w:rsid w:val="0055237D"/>
    <w:rsid w:val="0055238B"/>
    <w:rsid w:val="0055252B"/>
    <w:rsid w:val="00552598"/>
    <w:rsid w:val="005526C9"/>
    <w:rsid w:val="00552908"/>
    <w:rsid w:val="00552CEA"/>
    <w:rsid w:val="00552D57"/>
    <w:rsid w:val="00552EC4"/>
    <w:rsid w:val="00552F2B"/>
    <w:rsid w:val="00552F65"/>
    <w:rsid w:val="0055303A"/>
    <w:rsid w:val="00553057"/>
    <w:rsid w:val="005533C6"/>
    <w:rsid w:val="005533D4"/>
    <w:rsid w:val="005535F4"/>
    <w:rsid w:val="00553692"/>
    <w:rsid w:val="005536B1"/>
    <w:rsid w:val="0055370D"/>
    <w:rsid w:val="005537EB"/>
    <w:rsid w:val="00553857"/>
    <w:rsid w:val="0055390F"/>
    <w:rsid w:val="005539D4"/>
    <w:rsid w:val="00553B41"/>
    <w:rsid w:val="00553CF3"/>
    <w:rsid w:val="00553D60"/>
    <w:rsid w:val="00553E75"/>
    <w:rsid w:val="00553E92"/>
    <w:rsid w:val="00553F80"/>
    <w:rsid w:val="0055401C"/>
    <w:rsid w:val="00554134"/>
    <w:rsid w:val="005541BD"/>
    <w:rsid w:val="00554241"/>
    <w:rsid w:val="00554314"/>
    <w:rsid w:val="005543B0"/>
    <w:rsid w:val="00554483"/>
    <w:rsid w:val="00554652"/>
    <w:rsid w:val="00554685"/>
    <w:rsid w:val="005546B6"/>
    <w:rsid w:val="005546D7"/>
    <w:rsid w:val="0055471F"/>
    <w:rsid w:val="00554725"/>
    <w:rsid w:val="0055478D"/>
    <w:rsid w:val="00554968"/>
    <w:rsid w:val="00554A3C"/>
    <w:rsid w:val="00554CAE"/>
    <w:rsid w:val="00554CE4"/>
    <w:rsid w:val="00554E75"/>
    <w:rsid w:val="00554EEC"/>
    <w:rsid w:val="00554F4D"/>
    <w:rsid w:val="00554F78"/>
    <w:rsid w:val="00554F96"/>
    <w:rsid w:val="0055522B"/>
    <w:rsid w:val="0055524F"/>
    <w:rsid w:val="00555470"/>
    <w:rsid w:val="0055548A"/>
    <w:rsid w:val="00555530"/>
    <w:rsid w:val="005555F2"/>
    <w:rsid w:val="00555679"/>
    <w:rsid w:val="00555712"/>
    <w:rsid w:val="00555765"/>
    <w:rsid w:val="00555A9E"/>
    <w:rsid w:val="00555B21"/>
    <w:rsid w:val="00555C11"/>
    <w:rsid w:val="00555C59"/>
    <w:rsid w:val="00555F9C"/>
    <w:rsid w:val="00555FF8"/>
    <w:rsid w:val="00556025"/>
    <w:rsid w:val="005560A7"/>
    <w:rsid w:val="0055634C"/>
    <w:rsid w:val="005563CC"/>
    <w:rsid w:val="005563F6"/>
    <w:rsid w:val="00556437"/>
    <w:rsid w:val="005565A8"/>
    <w:rsid w:val="00556652"/>
    <w:rsid w:val="0055668F"/>
    <w:rsid w:val="0055692A"/>
    <w:rsid w:val="0055699A"/>
    <w:rsid w:val="00556C98"/>
    <w:rsid w:val="00556DF7"/>
    <w:rsid w:val="00556F03"/>
    <w:rsid w:val="00556F16"/>
    <w:rsid w:val="00556F55"/>
    <w:rsid w:val="00557064"/>
    <w:rsid w:val="00557084"/>
    <w:rsid w:val="005570F6"/>
    <w:rsid w:val="00557182"/>
    <w:rsid w:val="005572EC"/>
    <w:rsid w:val="00557339"/>
    <w:rsid w:val="00557501"/>
    <w:rsid w:val="00557530"/>
    <w:rsid w:val="0055758A"/>
    <w:rsid w:val="005575B0"/>
    <w:rsid w:val="00557687"/>
    <w:rsid w:val="0055775A"/>
    <w:rsid w:val="00557794"/>
    <w:rsid w:val="005578BC"/>
    <w:rsid w:val="0055797C"/>
    <w:rsid w:val="00557A7B"/>
    <w:rsid w:val="00557B28"/>
    <w:rsid w:val="00557BD2"/>
    <w:rsid w:val="00557C75"/>
    <w:rsid w:val="00557CCA"/>
    <w:rsid w:val="00557D1D"/>
    <w:rsid w:val="0056009C"/>
    <w:rsid w:val="0056015C"/>
    <w:rsid w:val="00560226"/>
    <w:rsid w:val="00560369"/>
    <w:rsid w:val="0056041F"/>
    <w:rsid w:val="00560467"/>
    <w:rsid w:val="00560677"/>
    <w:rsid w:val="00560747"/>
    <w:rsid w:val="00560770"/>
    <w:rsid w:val="00560829"/>
    <w:rsid w:val="00560AEB"/>
    <w:rsid w:val="00560C1F"/>
    <w:rsid w:val="00560C4E"/>
    <w:rsid w:val="00560DB2"/>
    <w:rsid w:val="00560E03"/>
    <w:rsid w:val="00560F9A"/>
    <w:rsid w:val="00560FB8"/>
    <w:rsid w:val="005610BA"/>
    <w:rsid w:val="00561178"/>
    <w:rsid w:val="0056122E"/>
    <w:rsid w:val="00561570"/>
    <w:rsid w:val="005615B3"/>
    <w:rsid w:val="0056166F"/>
    <w:rsid w:val="0056184E"/>
    <w:rsid w:val="005618E8"/>
    <w:rsid w:val="005619F9"/>
    <w:rsid w:val="00561A8C"/>
    <w:rsid w:val="00561B69"/>
    <w:rsid w:val="00561CA6"/>
    <w:rsid w:val="00561CC5"/>
    <w:rsid w:val="00561D76"/>
    <w:rsid w:val="00561EAD"/>
    <w:rsid w:val="00561F0E"/>
    <w:rsid w:val="00561F67"/>
    <w:rsid w:val="00562195"/>
    <w:rsid w:val="0056229F"/>
    <w:rsid w:val="005623F1"/>
    <w:rsid w:val="00562437"/>
    <w:rsid w:val="005624C6"/>
    <w:rsid w:val="00562818"/>
    <w:rsid w:val="0056289F"/>
    <w:rsid w:val="00562939"/>
    <w:rsid w:val="00562994"/>
    <w:rsid w:val="00562B54"/>
    <w:rsid w:val="00562B60"/>
    <w:rsid w:val="00562CD2"/>
    <w:rsid w:val="00562D8F"/>
    <w:rsid w:val="00562EFB"/>
    <w:rsid w:val="00562F9F"/>
    <w:rsid w:val="00562FB0"/>
    <w:rsid w:val="0056339B"/>
    <w:rsid w:val="00563499"/>
    <w:rsid w:val="005635FB"/>
    <w:rsid w:val="00563708"/>
    <w:rsid w:val="00563946"/>
    <w:rsid w:val="00563ACC"/>
    <w:rsid w:val="00563AE2"/>
    <w:rsid w:val="00563BE5"/>
    <w:rsid w:val="00563E4E"/>
    <w:rsid w:val="00563FCE"/>
    <w:rsid w:val="00564025"/>
    <w:rsid w:val="00564119"/>
    <w:rsid w:val="00564131"/>
    <w:rsid w:val="005641A0"/>
    <w:rsid w:val="005641DF"/>
    <w:rsid w:val="005641F2"/>
    <w:rsid w:val="0056425A"/>
    <w:rsid w:val="0056443B"/>
    <w:rsid w:val="0056447A"/>
    <w:rsid w:val="00564665"/>
    <w:rsid w:val="0056484A"/>
    <w:rsid w:val="005648A2"/>
    <w:rsid w:val="00564B6D"/>
    <w:rsid w:val="00564CF1"/>
    <w:rsid w:val="00564E99"/>
    <w:rsid w:val="00564FCA"/>
    <w:rsid w:val="00565090"/>
    <w:rsid w:val="0056516B"/>
    <w:rsid w:val="0056517E"/>
    <w:rsid w:val="005653E8"/>
    <w:rsid w:val="00565588"/>
    <w:rsid w:val="005655F5"/>
    <w:rsid w:val="0056569D"/>
    <w:rsid w:val="0056575F"/>
    <w:rsid w:val="0056616E"/>
    <w:rsid w:val="00566552"/>
    <w:rsid w:val="00566608"/>
    <w:rsid w:val="00566906"/>
    <w:rsid w:val="00566AFC"/>
    <w:rsid w:val="00566B0D"/>
    <w:rsid w:val="00566B20"/>
    <w:rsid w:val="00566C60"/>
    <w:rsid w:val="00566E68"/>
    <w:rsid w:val="00567014"/>
    <w:rsid w:val="0056714C"/>
    <w:rsid w:val="0056736C"/>
    <w:rsid w:val="00567895"/>
    <w:rsid w:val="00567B96"/>
    <w:rsid w:val="00567E06"/>
    <w:rsid w:val="00567E2D"/>
    <w:rsid w:val="00567E50"/>
    <w:rsid w:val="00567F34"/>
    <w:rsid w:val="0057005C"/>
    <w:rsid w:val="0057011C"/>
    <w:rsid w:val="0057022A"/>
    <w:rsid w:val="005702DC"/>
    <w:rsid w:val="0057030C"/>
    <w:rsid w:val="00570379"/>
    <w:rsid w:val="00570610"/>
    <w:rsid w:val="005709F8"/>
    <w:rsid w:val="00570BE5"/>
    <w:rsid w:val="00570C7C"/>
    <w:rsid w:val="005710B1"/>
    <w:rsid w:val="00571171"/>
    <w:rsid w:val="00571174"/>
    <w:rsid w:val="005711B1"/>
    <w:rsid w:val="00571255"/>
    <w:rsid w:val="00571541"/>
    <w:rsid w:val="005715F6"/>
    <w:rsid w:val="005717B8"/>
    <w:rsid w:val="0057182C"/>
    <w:rsid w:val="00571B90"/>
    <w:rsid w:val="00571DF4"/>
    <w:rsid w:val="00571EA4"/>
    <w:rsid w:val="00571FB0"/>
    <w:rsid w:val="00571FD0"/>
    <w:rsid w:val="0057229A"/>
    <w:rsid w:val="00572448"/>
    <w:rsid w:val="00572603"/>
    <w:rsid w:val="00572608"/>
    <w:rsid w:val="005727F0"/>
    <w:rsid w:val="0057283C"/>
    <w:rsid w:val="00572844"/>
    <w:rsid w:val="00572AD6"/>
    <w:rsid w:val="00572B06"/>
    <w:rsid w:val="00572B11"/>
    <w:rsid w:val="00572B48"/>
    <w:rsid w:val="00572CF8"/>
    <w:rsid w:val="00572EDB"/>
    <w:rsid w:val="00573004"/>
    <w:rsid w:val="00573105"/>
    <w:rsid w:val="00573198"/>
    <w:rsid w:val="005731CD"/>
    <w:rsid w:val="00573317"/>
    <w:rsid w:val="00573428"/>
    <w:rsid w:val="00573570"/>
    <w:rsid w:val="005735F4"/>
    <w:rsid w:val="0057362F"/>
    <w:rsid w:val="00573664"/>
    <w:rsid w:val="00573724"/>
    <w:rsid w:val="00573846"/>
    <w:rsid w:val="00573A1D"/>
    <w:rsid w:val="00573A80"/>
    <w:rsid w:val="00573AAA"/>
    <w:rsid w:val="00573CAA"/>
    <w:rsid w:val="00573E6D"/>
    <w:rsid w:val="00574081"/>
    <w:rsid w:val="00574189"/>
    <w:rsid w:val="0057425A"/>
    <w:rsid w:val="005743C9"/>
    <w:rsid w:val="005746FA"/>
    <w:rsid w:val="00574784"/>
    <w:rsid w:val="00574839"/>
    <w:rsid w:val="00575150"/>
    <w:rsid w:val="0057521D"/>
    <w:rsid w:val="005752E0"/>
    <w:rsid w:val="0057532B"/>
    <w:rsid w:val="005753D8"/>
    <w:rsid w:val="0057556B"/>
    <w:rsid w:val="005755A6"/>
    <w:rsid w:val="0057564C"/>
    <w:rsid w:val="0057567E"/>
    <w:rsid w:val="00575695"/>
    <w:rsid w:val="0057574A"/>
    <w:rsid w:val="0057582A"/>
    <w:rsid w:val="005759C2"/>
    <w:rsid w:val="00575CEC"/>
    <w:rsid w:val="00575D9F"/>
    <w:rsid w:val="00575F52"/>
    <w:rsid w:val="0057617B"/>
    <w:rsid w:val="00576287"/>
    <w:rsid w:val="00576479"/>
    <w:rsid w:val="00576495"/>
    <w:rsid w:val="005766A7"/>
    <w:rsid w:val="00576A82"/>
    <w:rsid w:val="00576C5A"/>
    <w:rsid w:val="00576CC3"/>
    <w:rsid w:val="00576E69"/>
    <w:rsid w:val="00576F5A"/>
    <w:rsid w:val="00576FCA"/>
    <w:rsid w:val="00577030"/>
    <w:rsid w:val="005771CF"/>
    <w:rsid w:val="005772E4"/>
    <w:rsid w:val="00577381"/>
    <w:rsid w:val="00577507"/>
    <w:rsid w:val="00577709"/>
    <w:rsid w:val="005777F8"/>
    <w:rsid w:val="005779F8"/>
    <w:rsid w:val="00577B7D"/>
    <w:rsid w:val="00577B88"/>
    <w:rsid w:val="00577CFB"/>
    <w:rsid w:val="00577DB8"/>
    <w:rsid w:val="00577F33"/>
    <w:rsid w:val="00577FFA"/>
    <w:rsid w:val="00580023"/>
    <w:rsid w:val="005800F6"/>
    <w:rsid w:val="00580126"/>
    <w:rsid w:val="005801A7"/>
    <w:rsid w:val="0058039D"/>
    <w:rsid w:val="00580506"/>
    <w:rsid w:val="005805DE"/>
    <w:rsid w:val="005807B5"/>
    <w:rsid w:val="0058092C"/>
    <w:rsid w:val="00580B6D"/>
    <w:rsid w:val="00580B9D"/>
    <w:rsid w:val="00580C3E"/>
    <w:rsid w:val="00580D2F"/>
    <w:rsid w:val="00580DAF"/>
    <w:rsid w:val="00580FD4"/>
    <w:rsid w:val="00581129"/>
    <w:rsid w:val="005812BA"/>
    <w:rsid w:val="00581375"/>
    <w:rsid w:val="00581448"/>
    <w:rsid w:val="00581525"/>
    <w:rsid w:val="0058161D"/>
    <w:rsid w:val="005817DA"/>
    <w:rsid w:val="0058183E"/>
    <w:rsid w:val="005818FF"/>
    <w:rsid w:val="00581A81"/>
    <w:rsid w:val="00581D3F"/>
    <w:rsid w:val="00581D43"/>
    <w:rsid w:val="00581DAE"/>
    <w:rsid w:val="00581EEA"/>
    <w:rsid w:val="00581F5B"/>
    <w:rsid w:val="00582323"/>
    <w:rsid w:val="0058240C"/>
    <w:rsid w:val="005825D9"/>
    <w:rsid w:val="005828F4"/>
    <w:rsid w:val="00582935"/>
    <w:rsid w:val="00582A27"/>
    <w:rsid w:val="00582B01"/>
    <w:rsid w:val="00582D1B"/>
    <w:rsid w:val="0058335C"/>
    <w:rsid w:val="005833B0"/>
    <w:rsid w:val="0058356A"/>
    <w:rsid w:val="00583597"/>
    <w:rsid w:val="00583808"/>
    <w:rsid w:val="00583A98"/>
    <w:rsid w:val="00583BD7"/>
    <w:rsid w:val="00583C81"/>
    <w:rsid w:val="00583D16"/>
    <w:rsid w:val="00583DB2"/>
    <w:rsid w:val="00583E69"/>
    <w:rsid w:val="00583EE0"/>
    <w:rsid w:val="00584032"/>
    <w:rsid w:val="005840D7"/>
    <w:rsid w:val="005841B7"/>
    <w:rsid w:val="00584617"/>
    <w:rsid w:val="00584693"/>
    <w:rsid w:val="0058478B"/>
    <w:rsid w:val="00584930"/>
    <w:rsid w:val="00584933"/>
    <w:rsid w:val="0058493D"/>
    <w:rsid w:val="0058499F"/>
    <w:rsid w:val="00584B1F"/>
    <w:rsid w:val="00584C64"/>
    <w:rsid w:val="00584D65"/>
    <w:rsid w:val="00584E57"/>
    <w:rsid w:val="00584EAF"/>
    <w:rsid w:val="00584F9C"/>
    <w:rsid w:val="00584FE7"/>
    <w:rsid w:val="005850D7"/>
    <w:rsid w:val="00585180"/>
    <w:rsid w:val="00585252"/>
    <w:rsid w:val="0058531B"/>
    <w:rsid w:val="005853A2"/>
    <w:rsid w:val="0058563D"/>
    <w:rsid w:val="005859AD"/>
    <w:rsid w:val="00585B5E"/>
    <w:rsid w:val="00585CA1"/>
    <w:rsid w:val="00585D9A"/>
    <w:rsid w:val="005860C6"/>
    <w:rsid w:val="0058617D"/>
    <w:rsid w:val="005861E2"/>
    <w:rsid w:val="00586354"/>
    <w:rsid w:val="00586445"/>
    <w:rsid w:val="0058645A"/>
    <w:rsid w:val="005865DC"/>
    <w:rsid w:val="00586840"/>
    <w:rsid w:val="00586877"/>
    <w:rsid w:val="005868AB"/>
    <w:rsid w:val="00586911"/>
    <w:rsid w:val="00586913"/>
    <w:rsid w:val="00586AE9"/>
    <w:rsid w:val="00586C9C"/>
    <w:rsid w:val="00586CC4"/>
    <w:rsid w:val="00586CCF"/>
    <w:rsid w:val="00586D2A"/>
    <w:rsid w:val="00586DF3"/>
    <w:rsid w:val="00586E31"/>
    <w:rsid w:val="00586EB7"/>
    <w:rsid w:val="00586EBB"/>
    <w:rsid w:val="00586EC5"/>
    <w:rsid w:val="00586ED0"/>
    <w:rsid w:val="0058729A"/>
    <w:rsid w:val="005872E7"/>
    <w:rsid w:val="005874DC"/>
    <w:rsid w:val="005874E8"/>
    <w:rsid w:val="00587544"/>
    <w:rsid w:val="005877D8"/>
    <w:rsid w:val="00587826"/>
    <w:rsid w:val="00587879"/>
    <w:rsid w:val="00587A9B"/>
    <w:rsid w:val="00587A9F"/>
    <w:rsid w:val="00587B2E"/>
    <w:rsid w:val="00587F22"/>
    <w:rsid w:val="00587FE0"/>
    <w:rsid w:val="005900CB"/>
    <w:rsid w:val="0059021B"/>
    <w:rsid w:val="00590313"/>
    <w:rsid w:val="00590584"/>
    <w:rsid w:val="00590596"/>
    <w:rsid w:val="005906B8"/>
    <w:rsid w:val="0059080F"/>
    <w:rsid w:val="0059086B"/>
    <w:rsid w:val="005909B7"/>
    <w:rsid w:val="005909BA"/>
    <w:rsid w:val="00590B1E"/>
    <w:rsid w:val="00590B6A"/>
    <w:rsid w:val="00590C1E"/>
    <w:rsid w:val="00590C2F"/>
    <w:rsid w:val="00590C8C"/>
    <w:rsid w:val="00590DC4"/>
    <w:rsid w:val="00590E62"/>
    <w:rsid w:val="0059104B"/>
    <w:rsid w:val="005910B8"/>
    <w:rsid w:val="00591221"/>
    <w:rsid w:val="0059135C"/>
    <w:rsid w:val="0059138D"/>
    <w:rsid w:val="005914F5"/>
    <w:rsid w:val="005917D4"/>
    <w:rsid w:val="00591849"/>
    <w:rsid w:val="0059188F"/>
    <w:rsid w:val="00591AB5"/>
    <w:rsid w:val="00591B1D"/>
    <w:rsid w:val="00591C24"/>
    <w:rsid w:val="00591CC3"/>
    <w:rsid w:val="00591D35"/>
    <w:rsid w:val="00591E06"/>
    <w:rsid w:val="00591FD7"/>
    <w:rsid w:val="0059214C"/>
    <w:rsid w:val="005922DC"/>
    <w:rsid w:val="0059233B"/>
    <w:rsid w:val="005923DA"/>
    <w:rsid w:val="0059244F"/>
    <w:rsid w:val="00592663"/>
    <w:rsid w:val="005926DF"/>
    <w:rsid w:val="00592747"/>
    <w:rsid w:val="005927FD"/>
    <w:rsid w:val="00592B8B"/>
    <w:rsid w:val="00592D7A"/>
    <w:rsid w:val="00592E0B"/>
    <w:rsid w:val="00592E62"/>
    <w:rsid w:val="00593229"/>
    <w:rsid w:val="0059327D"/>
    <w:rsid w:val="00593326"/>
    <w:rsid w:val="005935AC"/>
    <w:rsid w:val="005935C9"/>
    <w:rsid w:val="00593665"/>
    <w:rsid w:val="005938A0"/>
    <w:rsid w:val="00593900"/>
    <w:rsid w:val="00593959"/>
    <w:rsid w:val="00593980"/>
    <w:rsid w:val="00593981"/>
    <w:rsid w:val="00593A23"/>
    <w:rsid w:val="00593C88"/>
    <w:rsid w:val="00593E6A"/>
    <w:rsid w:val="00593FE9"/>
    <w:rsid w:val="005941B1"/>
    <w:rsid w:val="00594443"/>
    <w:rsid w:val="00594486"/>
    <w:rsid w:val="005944B6"/>
    <w:rsid w:val="005945A1"/>
    <w:rsid w:val="00594627"/>
    <w:rsid w:val="0059471C"/>
    <w:rsid w:val="00594726"/>
    <w:rsid w:val="00594855"/>
    <w:rsid w:val="00594BA5"/>
    <w:rsid w:val="00594DC3"/>
    <w:rsid w:val="00594E86"/>
    <w:rsid w:val="00594F06"/>
    <w:rsid w:val="00594FC6"/>
    <w:rsid w:val="00595040"/>
    <w:rsid w:val="005950A0"/>
    <w:rsid w:val="005950ED"/>
    <w:rsid w:val="005952B5"/>
    <w:rsid w:val="005952B8"/>
    <w:rsid w:val="005953B5"/>
    <w:rsid w:val="005954C9"/>
    <w:rsid w:val="005954E5"/>
    <w:rsid w:val="00595691"/>
    <w:rsid w:val="005957BF"/>
    <w:rsid w:val="00595831"/>
    <w:rsid w:val="005958E5"/>
    <w:rsid w:val="005959EC"/>
    <w:rsid w:val="00595AEC"/>
    <w:rsid w:val="00595B42"/>
    <w:rsid w:val="00595BEB"/>
    <w:rsid w:val="00595BEC"/>
    <w:rsid w:val="00595CC0"/>
    <w:rsid w:val="00595DD4"/>
    <w:rsid w:val="00595E54"/>
    <w:rsid w:val="00595ED0"/>
    <w:rsid w:val="00595FE7"/>
    <w:rsid w:val="005960E3"/>
    <w:rsid w:val="00596145"/>
    <w:rsid w:val="00596236"/>
    <w:rsid w:val="005964B7"/>
    <w:rsid w:val="00596598"/>
    <w:rsid w:val="00596747"/>
    <w:rsid w:val="0059679C"/>
    <w:rsid w:val="005967BD"/>
    <w:rsid w:val="005968C5"/>
    <w:rsid w:val="005969F3"/>
    <w:rsid w:val="00596DB1"/>
    <w:rsid w:val="00596E7A"/>
    <w:rsid w:val="00597028"/>
    <w:rsid w:val="00597090"/>
    <w:rsid w:val="00597374"/>
    <w:rsid w:val="005973A5"/>
    <w:rsid w:val="00597404"/>
    <w:rsid w:val="0059746D"/>
    <w:rsid w:val="0059764D"/>
    <w:rsid w:val="0059779A"/>
    <w:rsid w:val="005977AC"/>
    <w:rsid w:val="00597943"/>
    <w:rsid w:val="0059795E"/>
    <w:rsid w:val="00597A58"/>
    <w:rsid w:val="00597A71"/>
    <w:rsid w:val="00597BCE"/>
    <w:rsid w:val="005A00F8"/>
    <w:rsid w:val="005A012F"/>
    <w:rsid w:val="005A04BB"/>
    <w:rsid w:val="005A0586"/>
    <w:rsid w:val="005A05EA"/>
    <w:rsid w:val="005A067C"/>
    <w:rsid w:val="005A068B"/>
    <w:rsid w:val="005A06D0"/>
    <w:rsid w:val="005A06FC"/>
    <w:rsid w:val="005A070E"/>
    <w:rsid w:val="005A08E4"/>
    <w:rsid w:val="005A093B"/>
    <w:rsid w:val="005A0A45"/>
    <w:rsid w:val="005A0B30"/>
    <w:rsid w:val="005A0C3C"/>
    <w:rsid w:val="005A0F02"/>
    <w:rsid w:val="005A119D"/>
    <w:rsid w:val="005A1256"/>
    <w:rsid w:val="005A13BF"/>
    <w:rsid w:val="005A13D2"/>
    <w:rsid w:val="005A1407"/>
    <w:rsid w:val="005A1457"/>
    <w:rsid w:val="005A1557"/>
    <w:rsid w:val="005A191E"/>
    <w:rsid w:val="005A1A82"/>
    <w:rsid w:val="005A1AE0"/>
    <w:rsid w:val="005A1DD1"/>
    <w:rsid w:val="005A1DF9"/>
    <w:rsid w:val="005A1E7D"/>
    <w:rsid w:val="005A1F66"/>
    <w:rsid w:val="005A227E"/>
    <w:rsid w:val="005A2519"/>
    <w:rsid w:val="005A255A"/>
    <w:rsid w:val="005A25B9"/>
    <w:rsid w:val="005A25FA"/>
    <w:rsid w:val="005A28AA"/>
    <w:rsid w:val="005A2946"/>
    <w:rsid w:val="005A2957"/>
    <w:rsid w:val="005A2961"/>
    <w:rsid w:val="005A2A29"/>
    <w:rsid w:val="005A2CB4"/>
    <w:rsid w:val="005A2F68"/>
    <w:rsid w:val="005A3076"/>
    <w:rsid w:val="005A3132"/>
    <w:rsid w:val="005A33AA"/>
    <w:rsid w:val="005A34D7"/>
    <w:rsid w:val="005A37F2"/>
    <w:rsid w:val="005A3802"/>
    <w:rsid w:val="005A3809"/>
    <w:rsid w:val="005A388B"/>
    <w:rsid w:val="005A38F5"/>
    <w:rsid w:val="005A3C0E"/>
    <w:rsid w:val="005A3ECD"/>
    <w:rsid w:val="005A3F3B"/>
    <w:rsid w:val="005A41CF"/>
    <w:rsid w:val="005A4200"/>
    <w:rsid w:val="005A4577"/>
    <w:rsid w:val="005A4624"/>
    <w:rsid w:val="005A466A"/>
    <w:rsid w:val="005A474E"/>
    <w:rsid w:val="005A4856"/>
    <w:rsid w:val="005A492C"/>
    <w:rsid w:val="005A4BC4"/>
    <w:rsid w:val="005A4D18"/>
    <w:rsid w:val="005A4E6F"/>
    <w:rsid w:val="005A4E9F"/>
    <w:rsid w:val="005A4EC6"/>
    <w:rsid w:val="005A513B"/>
    <w:rsid w:val="005A5263"/>
    <w:rsid w:val="005A5413"/>
    <w:rsid w:val="005A54BD"/>
    <w:rsid w:val="005A56D0"/>
    <w:rsid w:val="005A5773"/>
    <w:rsid w:val="005A58FB"/>
    <w:rsid w:val="005A5997"/>
    <w:rsid w:val="005A59A0"/>
    <w:rsid w:val="005A5B91"/>
    <w:rsid w:val="005A5D5D"/>
    <w:rsid w:val="005A5E05"/>
    <w:rsid w:val="005A5EDA"/>
    <w:rsid w:val="005A5EFC"/>
    <w:rsid w:val="005A5F0C"/>
    <w:rsid w:val="005A5F91"/>
    <w:rsid w:val="005A5FE2"/>
    <w:rsid w:val="005A609F"/>
    <w:rsid w:val="005A62B3"/>
    <w:rsid w:val="005A62CF"/>
    <w:rsid w:val="005A676F"/>
    <w:rsid w:val="005A68F3"/>
    <w:rsid w:val="005A6A0D"/>
    <w:rsid w:val="005A6B00"/>
    <w:rsid w:val="005A6CD1"/>
    <w:rsid w:val="005A6DFE"/>
    <w:rsid w:val="005A6FA9"/>
    <w:rsid w:val="005A70B1"/>
    <w:rsid w:val="005A7126"/>
    <w:rsid w:val="005A71BB"/>
    <w:rsid w:val="005A71FE"/>
    <w:rsid w:val="005A72FC"/>
    <w:rsid w:val="005A72FF"/>
    <w:rsid w:val="005A74FB"/>
    <w:rsid w:val="005A75F3"/>
    <w:rsid w:val="005A7636"/>
    <w:rsid w:val="005A77F3"/>
    <w:rsid w:val="005A7946"/>
    <w:rsid w:val="005A7CC2"/>
    <w:rsid w:val="005A7CDC"/>
    <w:rsid w:val="005A7CE7"/>
    <w:rsid w:val="005A7CEE"/>
    <w:rsid w:val="005A7E62"/>
    <w:rsid w:val="005A7E74"/>
    <w:rsid w:val="005A7EA7"/>
    <w:rsid w:val="005B00FC"/>
    <w:rsid w:val="005B01D0"/>
    <w:rsid w:val="005B032A"/>
    <w:rsid w:val="005B05F0"/>
    <w:rsid w:val="005B08BC"/>
    <w:rsid w:val="005B0A74"/>
    <w:rsid w:val="005B0A7D"/>
    <w:rsid w:val="005B0B1E"/>
    <w:rsid w:val="005B0B37"/>
    <w:rsid w:val="005B0B6D"/>
    <w:rsid w:val="005B0B81"/>
    <w:rsid w:val="005B0BBE"/>
    <w:rsid w:val="005B1058"/>
    <w:rsid w:val="005B109C"/>
    <w:rsid w:val="005B1187"/>
    <w:rsid w:val="005B1223"/>
    <w:rsid w:val="005B125C"/>
    <w:rsid w:val="005B12EC"/>
    <w:rsid w:val="005B1341"/>
    <w:rsid w:val="005B1554"/>
    <w:rsid w:val="005B15AA"/>
    <w:rsid w:val="005B15CD"/>
    <w:rsid w:val="005B1612"/>
    <w:rsid w:val="005B16B6"/>
    <w:rsid w:val="005B1812"/>
    <w:rsid w:val="005B18B6"/>
    <w:rsid w:val="005B18BA"/>
    <w:rsid w:val="005B1BEA"/>
    <w:rsid w:val="005B1C5C"/>
    <w:rsid w:val="005B1CDD"/>
    <w:rsid w:val="005B1DA4"/>
    <w:rsid w:val="005B1E98"/>
    <w:rsid w:val="005B1FD5"/>
    <w:rsid w:val="005B205F"/>
    <w:rsid w:val="005B24AF"/>
    <w:rsid w:val="005B25C6"/>
    <w:rsid w:val="005B25D3"/>
    <w:rsid w:val="005B261D"/>
    <w:rsid w:val="005B26F5"/>
    <w:rsid w:val="005B278E"/>
    <w:rsid w:val="005B282A"/>
    <w:rsid w:val="005B2852"/>
    <w:rsid w:val="005B2EDA"/>
    <w:rsid w:val="005B3025"/>
    <w:rsid w:val="005B34F3"/>
    <w:rsid w:val="005B35FB"/>
    <w:rsid w:val="005B3657"/>
    <w:rsid w:val="005B36DF"/>
    <w:rsid w:val="005B376C"/>
    <w:rsid w:val="005B37FE"/>
    <w:rsid w:val="005B389B"/>
    <w:rsid w:val="005B3A08"/>
    <w:rsid w:val="005B3B98"/>
    <w:rsid w:val="005B3F52"/>
    <w:rsid w:val="005B3F96"/>
    <w:rsid w:val="005B3FDF"/>
    <w:rsid w:val="005B4011"/>
    <w:rsid w:val="005B4190"/>
    <w:rsid w:val="005B41FD"/>
    <w:rsid w:val="005B43EC"/>
    <w:rsid w:val="005B474D"/>
    <w:rsid w:val="005B48B1"/>
    <w:rsid w:val="005B4BB7"/>
    <w:rsid w:val="005B51E0"/>
    <w:rsid w:val="005B54D2"/>
    <w:rsid w:val="005B5537"/>
    <w:rsid w:val="005B55B9"/>
    <w:rsid w:val="005B5631"/>
    <w:rsid w:val="005B5635"/>
    <w:rsid w:val="005B579A"/>
    <w:rsid w:val="005B58BB"/>
    <w:rsid w:val="005B58D7"/>
    <w:rsid w:val="005B597B"/>
    <w:rsid w:val="005B5ED2"/>
    <w:rsid w:val="005B5FC8"/>
    <w:rsid w:val="005B60EF"/>
    <w:rsid w:val="005B624D"/>
    <w:rsid w:val="005B6277"/>
    <w:rsid w:val="005B6321"/>
    <w:rsid w:val="005B63EE"/>
    <w:rsid w:val="005B64B3"/>
    <w:rsid w:val="005B6525"/>
    <w:rsid w:val="005B65CF"/>
    <w:rsid w:val="005B6619"/>
    <w:rsid w:val="005B667F"/>
    <w:rsid w:val="005B6A54"/>
    <w:rsid w:val="005B6AB0"/>
    <w:rsid w:val="005B6B81"/>
    <w:rsid w:val="005B6BC6"/>
    <w:rsid w:val="005B6C29"/>
    <w:rsid w:val="005B6D69"/>
    <w:rsid w:val="005B6EE3"/>
    <w:rsid w:val="005B6EED"/>
    <w:rsid w:val="005B6F2F"/>
    <w:rsid w:val="005B7076"/>
    <w:rsid w:val="005B76A5"/>
    <w:rsid w:val="005B76F5"/>
    <w:rsid w:val="005B77FC"/>
    <w:rsid w:val="005B7A8A"/>
    <w:rsid w:val="005B7AA0"/>
    <w:rsid w:val="005B7C98"/>
    <w:rsid w:val="005B7CB3"/>
    <w:rsid w:val="005B7E0C"/>
    <w:rsid w:val="005B7E49"/>
    <w:rsid w:val="005B7FA3"/>
    <w:rsid w:val="005B7FFD"/>
    <w:rsid w:val="005C0104"/>
    <w:rsid w:val="005C0215"/>
    <w:rsid w:val="005C02A7"/>
    <w:rsid w:val="005C05D5"/>
    <w:rsid w:val="005C05DD"/>
    <w:rsid w:val="005C05E2"/>
    <w:rsid w:val="005C05FF"/>
    <w:rsid w:val="005C06B9"/>
    <w:rsid w:val="005C0A3C"/>
    <w:rsid w:val="005C0D78"/>
    <w:rsid w:val="005C0EDF"/>
    <w:rsid w:val="005C0FB9"/>
    <w:rsid w:val="005C10E6"/>
    <w:rsid w:val="005C1580"/>
    <w:rsid w:val="005C15B9"/>
    <w:rsid w:val="005C1790"/>
    <w:rsid w:val="005C1818"/>
    <w:rsid w:val="005C18A3"/>
    <w:rsid w:val="005C1B50"/>
    <w:rsid w:val="005C1B8F"/>
    <w:rsid w:val="005C1C49"/>
    <w:rsid w:val="005C1C8A"/>
    <w:rsid w:val="005C1CBA"/>
    <w:rsid w:val="005C2035"/>
    <w:rsid w:val="005C20E7"/>
    <w:rsid w:val="005C225A"/>
    <w:rsid w:val="005C2283"/>
    <w:rsid w:val="005C229C"/>
    <w:rsid w:val="005C2379"/>
    <w:rsid w:val="005C237B"/>
    <w:rsid w:val="005C25DC"/>
    <w:rsid w:val="005C2729"/>
    <w:rsid w:val="005C27A5"/>
    <w:rsid w:val="005C283A"/>
    <w:rsid w:val="005C28B3"/>
    <w:rsid w:val="005C2C29"/>
    <w:rsid w:val="005C30FE"/>
    <w:rsid w:val="005C3272"/>
    <w:rsid w:val="005C349F"/>
    <w:rsid w:val="005C362C"/>
    <w:rsid w:val="005C36B6"/>
    <w:rsid w:val="005C36F2"/>
    <w:rsid w:val="005C37B3"/>
    <w:rsid w:val="005C389B"/>
    <w:rsid w:val="005C390E"/>
    <w:rsid w:val="005C39F7"/>
    <w:rsid w:val="005C3A94"/>
    <w:rsid w:val="005C3ADF"/>
    <w:rsid w:val="005C3B82"/>
    <w:rsid w:val="005C3BA2"/>
    <w:rsid w:val="005C3E08"/>
    <w:rsid w:val="005C3E99"/>
    <w:rsid w:val="005C3FB8"/>
    <w:rsid w:val="005C4001"/>
    <w:rsid w:val="005C4127"/>
    <w:rsid w:val="005C4160"/>
    <w:rsid w:val="005C4378"/>
    <w:rsid w:val="005C443B"/>
    <w:rsid w:val="005C44F0"/>
    <w:rsid w:val="005C46AF"/>
    <w:rsid w:val="005C46D1"/>
    <w:rsid w:val="005C4726"/>
    <w:rsid w:val="005C4CB0"/>
    <w:rsid w:val="005C4CBD"/>
    <w:rsid w:val="005C4F6C"/>
    <w:rsid w:val="005C4F83"/>
    <w:rsid w:val="005C51E5"/>
    <w:rsid w:val="005C520D"/>
    <w:rsid w:val="005C52F1"/>
    <w:rsid w:val="005C53D7"/>
    <w:rsid w:val="005C572E"/>
    <w:rsid w:val="005C574A"/>
    <w:rsid w:val="005C57B0"/>
    <w:rsid w:val="005C58DC"/>
    <w:rsid w:val="005C5917"/>
    <w:rsid w:val="005C5A38"/>
    <w:rsid w:val="005C5AB1"/>
    <w:rsid w:val="005C5B21"/>
    <w:rsid w:val="005C5C6C"/>
    <w:rsid w:val="005C5CE0"/>
    <w:rsid w:val="005C6087"/>
    <w:rsid w:val="005C61BD"/>
    <w:rsid w:val="005C62B2"/>
    <w:rsid w:val="005C6372"/>
    <w:rsid w:val="005C67DE"/>
    <w:rsid w:val="005C6892"/>
    <w:rsid w:val="005C69F5"/>
    <w:rsid w:val="005C6A75"/>
    <w:rsid w:val="005C6CBB"/>
    <w:rsid w:val="005C6D77"/>
    <w:rsid w:val="005C7092"/>
    <w:rsid w:val="005C7095"/>
    <w:rsid w:val="005C70D1"/>
    <w:rsid w:val="005C724D"/>
    <w:rsid w:val="005C7423"/>
    <w:rsid w:val="005C75D9"/>
    <w:rsid w:val="005C7670"/>
    <w:rsid w:val="005C7914"/>
    <w:rsid w:val="005C7A2C"/>
    <w:rsid w:val="005C7B78"/>
    <w:rsid w:val="005C7DC3"/>
    <w:rsid w:val="005C7E63"/>
    <w:rsid w:val="005D0171"/>
    <w:rsid w:val="005D01A8"/>
    <w:rsid w:val="005D0309"/>
    <w:rsid w:val="005D03E7"/>
    <w:rsid w:val="005D0461"/>
    <w:rsid w:val="005D04AF"/>
    <w:rsid w:val="005D05F5"/>
    <w:rsid w:val="005D07E7"/>
    <w:rsid w:val="005D08F5"/>
    <w:rsid w:val="005D0901"/>
    <w:rsid w:val="005D0A23"/>
    <w:rsid w:val="005D0AC2"/>
    <w:rsid w:val="005D0C2A"/>
    <w:rsid w:val="005D0DFA"/>
    <w:rsid w:val="005D0E15"/>
    <w:rsid w:val="005D116F"/>
    <w:rsid w:val="005D11DB"/>
    <w:rsid w:val="005D1440"/>
    <w:rsid w:val="005D14B4"/>
    <w:rsid w:val="005D14D2"/>
    <w:rsid w:val="005D1548"/>
    <w:rsid w:val="005D166E"/>
    <w:rsid w:val="005D16F0"/>
    <w:rsid w:val="005D1739"/>
    <w:rsid w:val="005D17B5"/>
    <w:rsid w:val="005D18B4"/>
    <w:rsid w:val="005D19ED"/>
    <w:rsid w:val="005D1B4F"/>
    <w:rsid w:val="005D1B5B"/>
    <w:rsid w:val="005D1C0B"/>
    <w:rsid w:val="005D1CE6"/>
    <w:rsid w:val="005D1D5F"/>
    <w:rsid w:val="005D237F"/>
    <w:rsid w:val="005D243B"/>
    <w:rsid w:val="005D24D6"/>
    <w:rsid w:val="005D2797"/>
    <w:rsid w:val="005D2B33"/>
    <w:rsid w:val="005D2FF9"/>
    <w:rsid w:val="005D3054"/>
    <w:rsid w:val="005D305C"/>
    <w:rsid w:val="005D310F"/>
    <w:rsid w:val="005D3170"/>
    <w:rsid w:val="005D331D"/>
    <w:rsid w:val="005D33CD"/>
    <w:rsid w:val="005D343F"/>
    <w:rsid w:val="005D3456"/>
    <w:rsid w:val="005D34A2"/>
    <w:rsid w:val="005D35DC"/>
    <w:rsid w:val="005D36CF"/>
    <w:rsid w:val="005D38B1"/>
    <w:rsid w:val="005D38CE"/>
    <w:rsid w:val="005D390F"/>
    <w:rsid w:val="005D39C9"/>
    <w:rsid w:val="005D3A41"/>
    <w:rsid w:val="005D3BB5"/>
    <w:rsid w:val="005D3BCB"/>
    <w:rsid w:val="005D3C0D"/>
    <w:rsid w:val="005D3C22"/>
    <w:rsid w:val="005D3C39"/>
    <w:rsid w:val="005D3DF7"/>
    <w:rsid w:val="005D4288"/>
    <w:rsid w:val="005D4474"/>
    <w:rsid w:val="005D44D7"/>
    <w:rsid w:val="005D463F"/>
    <w:rsid w:val="005D4680"/>
    <w:rsid w:val="005D4727"/>
    <w:rsid w:val="005D4830"/>
    <w:rsid w:val="005D48AF"/>
    <w:rsid w:val="005D48EF"/>
    <w:rsid w:val="005D4AED"/>
    <w:rsid w:val="005D4B15"/>
    <w:rsid w:val="005D4CCC"/>
    <w:rsid w:val="005D4E89"/>
    <w:rsid w:val="005D4E8C"/>
    <w:rsid w:val="005D4E90"/>
    <w:rsid w:val="005D4EBB"/>
    <w:rsid w:val="005D4F13"/>
    <w:rsid w:val="005D52AA"/>
    <w:rsid w:val="005D5472"/>
    <w:rsid w:val="005D54C0"/>
    <w:rsid w:val="005D571A"/>
    <w:rsid w:val="005D5765"/>
    <w:rsid w:val="005D5893"/>
    <w:rsid w:val="005D5B99"/>
    <w:rsid w:val="005D5BC9"/>
    <w:rsid w:val="005D5C3F"/>
    <w:rsid w:val="005D5C9C"/>
    <w:rsid w:val="005D5D3A"/>
    <w:rsid w:val="005D5D7A"/>
    <w:rsid w:val="005D5ED9"/>
    <w:rsid w:val="005D613A"/>
    <w:rsid w:val="005D61B6"/>
    <w:rsid w:val="005D6208"/>
    <w:rsid w:val="005D6224"/>
    <w:rsid w:val="005D6428"/>
    <w:rsid w:val="005D665E"/>
    <w:rsid w:val="005D6738"/>
    <w:rsid w:val="005D68B9"/>
    <w:rsid w:val="005D6A40"/>
    <w:rsid w:val="005D6C32"/>
    <w:rsid w:val="005D6CB1"/>
    <w:rsid w:val="005D6CE2"/>
    <w:rsid w:val="005D6DE8"/>
    <w:rsid w:val="005D6EC3"/>
    <w:rsid w:val="005D6FC0"/>
    <w:rsid w:val="005D6FFC"/>
    <w:rsid w:val="005D7027"/>
    <w:rsid w:val="005D72DF"/>
    <w:rsid w:val="005D72F6"/>
    <w:rsid w:val="005D733E"/>
    <w:rsid w:val="005D7541"/>
    <w:rsid w:val="005D7721"/>
    <w:rsid w:val="005D7966"/>
    <w:rsid w:val="005D79ED"/>
    <w:rsid w:val="005D7B19"/>
    <w:rsid w:val="005D7BA0"/>
    <w:rsid w:val="005E0024"/>
    <w:rsid w:val="005E0109"/>
    <w:rsid w:val="005E01CF"/>
    <w:rsid w:val="005E0266"/>
    <w:rsid w:val="005E029B"/>
    <w:rsid w:val="005E0527"/>
    <w:rsid w:val="005E05FC"/>
    <w:rsid w:val="005E06B4"/>
    <w:rsid w:val="005E0852"/>
    <w:rsid w:val="005E0A59"/>
    <w:rsid w:val="005E0B30"/>
    <w:rsid w:val="005E0D55"/>
    <w:rsid w:val="005E0EB6"/>
    <w:rsid w:val="005E111E"/>
    <w:rsid w:val="005E1178"/>
    <w:rsid w:val="005E11D5"/>
    <w:rsid w:val="005E1243"/>
    <w:rsid w:val="005E1314"/>
    <w:rsid w:val="005E14F7"/>
    <w:rsid w:val="005E165D"/>
    <w:rsid w:val="005E184C"/>
    <w:rsid w:val="005E18E7"/>
    <w:rsid w:val="005E19E5"/>
    <w:rsid w:val="005E1A26"/>
    <w:rsid w:val="005E1C45"/>
    <w:rsid w:val="005E1D3B"/>
    <w:rsid w:val="005E1E96"/>
    <w:rsid w:val="005E1EE2"/>
    <w:rsid w:val="005E1F55"/>
    <w:rsid w:val="005E22D1"/>
    <w:rsid w:val="005E232D"/>
    <w:rsid w:val="005E2469"/>
    <w:rsid w:val="005E247A"/>
    <w:rsid w:val="005E24D5"/>
    <w:rsid w:val="005E24DF"/>
    <w:rsid w:val="005E25E5"/>
    <w:rsid w:val="005E27E8"/>
    <w:rsid w:val="005E27F1"/>
    <w:rsid w:val="005E29F7"/>
    <w:rsid w:val="005E2D42"/>
    <w:rsid w:val="005E2D6A"/>
    <w:rsid w:val="005E2EB9"/>
    <w:rsid w:val="005E2EC0"/>
    <w:rsid w:val="005E2FFD"/>
    <w:rsid w:val="005E301E"/>
    <w:rsid w:val="005E3074"/>
    <w:rsid w:val="005E31AA"/>
    <w:rsid w:val="005E3312"/>
    <w:rsid w:val="005E3457"/>
    <w:rsid w:val="005E351E"/>
    <w:rsid w:val="005E3534"/>
    <w:rsid w:val="005E3572"/>
    <w:rsid w:val="005E364A"/>
    <w:rsid w:val="005E3734"/>
    <w:rsid w:val="005E375D"/>
    <w:rsid w:val="005E3840"/>
    <w:rsid w:val="005E388D"/>
    <w:rsid w:val="005E39CF"/>
    <w:rsid w:val="005E3BA0"/>
    <w:rsid w:val="005E3BE0"/>
    <w:rsid w:val="005E3C3D"/>
    <w:rsid w:val="005E3E0B"/>
    <w:rsid w:val="005E3FE2"/>
    <w:rsid w:val="005E416F"/>
    <w:rsid w:val="005E4174"/>
    <w:rsid w:val="005E42E4"/>
    <w:rsid w:val="005E44C9"/>
    <w:rsid w:val="005E458F"/>
    <w:rsid w:val="005E459F"/>
    <w:rsid w:val="005E45CF"/>
    <w:rsid w:val="005E46CD"/>
    <w:rsid w:val="005E48FE"/>
    <w:rsid w:val="005E496C"/>
    <w:rsid w:val="005E4A28"/>
    <w:rsid w:val="005E4A7A"/>
    <w:rsid w:val="005E4AC2"/>
    <w:rsid w:val="005E4BEA"/>
    <w:rsid w:val="005E4D05"/>
    <w:rsid w:val="005E4DF4"/>
    <w:rsid w:val="005E4E0B"/>
    <w:rsid w:val="005E5036"/>
    <w:rsid w:val="005E508B"/>
    <w:rsid w:val="005E51AF"/>
    <w:rsid w:val="005E521D"/>
    <w:rsid w:val="005E5605"/>
    <w:rsid w:val="005E567B"/>
    <w:rsid w:val="005E56A6"/>
    <w:rsid w:val="005E57E7"/>
    <w:rsid w:val="005E58DA"/>
    <w:rsid w:val="005E5950"/>
    <w:rsid w:val="005E5A5A"/>
    <w:rsid w:val="005E5B50"/>
    <w:rsid w:val="005E5BD8"/>
    <w:rsid w:val="005E5C0B"/>
    <w:rsid w:val="005E5DE7"/>
    <w:rsid w:val="005E5EFA"/>
    <w:rsid w:val="005E615C"/>
    <w:rsid w:val="005E6472"/>
    <w:rsid w:val="005E6592"/>
    <w:rsid w:val="005E667A"/>
    <w:rsid w:val="005E68D4"/>
    <w:rsid w:val="005E6CAA"/>
    <w:rsid w:val="005E6DCE"/>
    <w:rsid w:val="005E6DD7"/>
    <w:rsid w:val="005E6F1B"/>
    <w:rsid w:val="005E6F2D"/>
    <w:rsid w:val="005E6F7F"/>
    <w:rsid w:val="005E6F8F"/>
    <w:rsid w:val="005E7380"/>
    <w:rsid w:val="005E74AC"/>
    <w:rsid w:val="005E7605"/>
    <w:rsid w:val="005E76A2"/>
    <w:rsid w:val="005E76DE"/>
    <w:rsid w:val="005E77B4"/>
    <w:rsid w:val="005E79D8"/>
    <w:rsid w:val="005E7A8E"/>
    <w:rsid w:val="005E7B5C"/>
    <w:rsid w:val="005E7BB8"/>
    <w:rsid w:val="005E7D5C"/>
    <w:rsid w:val="005E7EE3"/>
    <w:rsid w:val="005F0133"/>
    <w:rsid w:val="005F041A"/>
    <w:rsid w:val="005F0457"/>
    <w:rsid w:val="005F094D"/>
    <w:rsid w:val="005F09C8"/>
    <w:rsid w:val="005F0A39"/>
    <w:rsid w:val="005F0A41"/>
    <w:rsid w:val="005F0D89"/>
    <w:rsid w:val="005F0E91"/>
    <w:rsid w:val="005F1106"/>
    <w:rsid w:val="005F1162"/>
    <w:rsid w:val="005F1322"/>
    <w:rsid w:val="005F13DC"/>
    <w:rsid w:val="005F14B0"/>
    <w:rsid w:val="005F1541"/>
    <w:rsid w:val="005F1548"/>
    <w:rsid w:val="005F16D0"/>
    <w:rsid w:val="005F1741"/>
    <w:rsid w:val="005F18D9"/>
    <w:rsid w:val="005F1ABC"/>
    <w:rsid w:val="005F1E55"/>
    <w:rsid w:val="005F1E88"/>
    <w:rsid w:val="005F1F62"/>
    <w:rsid w:val="005F20F3"/>
    <w:rsid w:val="005F2171"/>
    <w:rsid w:val="005F221B"/>
    <w:rsid w:val="005F2413"/>
    <w:rsid w:val="005F2682"/>
    <w:rsid w:val="005F29AE"/>
    <w:rsid w:val="005F2B54"/>
    <w:rsid w:val="005F2D79"/>
    <w:rsid w:val="005F2DB5"/>
    <w:rsid w:val="005F2EFF"/>
    <w:rsid w:val="005F3083"/>
    <w:rsid w:val="005F311B"/>
    <w:rsid w:val="005F3316"/>
    <w:rsid w:val="005F33A3"/>
    <w:rsid w:val="005F3420"/>
    <w:rsid w:val="005F3476"/>
    <w:rsid w:val="005F369D"/>
    <w:rsid w:val="005F372A"/>
    <w:rsid w:val="005F377B"/>
    <w:rsid w:val="005F37B0"/>
    <w:rsid w:val="005F3820"/>
    <w:rsid w:val="005F38E4"/>
    <w:rsid w:val="005F3963"/>
    <w:rsid w:val="005F3D47"/>
    <w:rsid w:val="005F3D4A"/>
    <w:rsid w:val="005F3DB3"/>
    <w:rsid w:val="005F3DD7"/>
    <w:rsid w:val="005F3E51"/>
    <w:rsid w:val="005F4192"/>
    <w:rsid w:val="005F41DB"/>
    <w:rsid w:val="005F42C0"/>
    <w:rsid w:val="005F45C7"/>
    <w:rsid w:val="005F4650"/>
    <w:rsid w:val="005F4882"/>
    <w:rsid w:val="005F4916"/>
    <w:rsid w:val="005F49CE"/>
    <w:rsid w:val="005F49D9"/>
    <w:rsid w:val="005F4A34"/>
    <w:rsid w:val="005F4B4A"/>
    <w:rsid w:val="005F4B55"/>
    <w:rsid w:val="005F4BFE"/>
    <w:rsid w:val="005F4C4E"/>
    <w:rsid w:val="005F4CD9"/>
    <w:rsid w:val="005F4E08"/>
    <w:rsid w:val="005F4F22"/>
    <w:rsid w:val="005F5090"/>
    <w:rsid w:val="005F5229"/>
    <w:rsid w:val="005F5531"/>
    <w:rsid w:val="005F556C"/>
    <w:rsid w:val="005F559C"/>
    <w:rsid w:val="005F5674"/>
    <w:rsid w:val="005F56E2"/>
    <w:rsid w:val="005F57A5"/>
    <w:rsid w:val="005F5906"/>
    <w:rsid w:val="005F5A9B"/>
    <w:rsid w:val="005F5B92"/>
    <w:rsid w:val="005F5DE0"/>
    <w:rsid w:val="005F6025"/>
    <w:rsid w:val="005F603C"/>
    <w:rsid w:val="005F60A9"/>
    <w:rsid w:val="005F6270"/>
    <w:rsid w:val="005F6290"/>
    <w:rsid w:val="005F63B8"/>
    <w:rsid w:val="005F6406"/>
    <w:rsid w:val="005F64A1"/>
    <w:rsid w:val="005F68D2"/>
    <w:rsid w:val="005F6D0C"/>
    <w:rsid w:val="005F6D24"/>
    <w:rsid w:val="005F6D26"/>
    <w:rsid w:val="005F6DD9"/>
    <w:rsid w:val="005F6F01"/>
    <w:rsid w:val="005F6F7F"/>
    <w:rsid w:val="005F7158"/>
    <w:rsid w:val="005F7230"/>
    <w:rsid w:val="005F7288"/>
    <w:rsid w:val="005F7308"/>
    <w:rsid w:val="005F73D2"/>
    <w:rsid w:val="005F76C8"/>
    <w:rsid w:val="005F792C"/>
    <w:rsid w:val="005F7BAB"/>
    <w:rsid w:val="005F7BAE"/>
    <w:rsid w:val="005F7DBE"/>
    <w:rsid w:val="005F7DFC"/>
    <w:rsid w:val="005F7E5D"/>
    <w:rsid w:val="005F7E76"/>
    <w:rsid w:val="005F7FD5"/>
    <w:rsid w:val="0060015E"/>
    <w:rsid w:val="006001EC"/>
    <w:rsid w:val="006001ED"/>
    <w:rsid w:val="00600299"/>
    <w:rsid w:val="00600628"/>
    <w:rsid w:val="006006E7"/>
    <w:rsid w:val="00600735"/>
    <w:rsid w:val="006007AF"/>
    <w:rsid w:val="0060081B"/>
    <w:rsid w:val="00600A77"/>
    <w:rsid w:val="00600B5B"/>
    <w:rsid w:val="00600D50"/>
    <w:rsid w:val="00600DBC"/>
    <w:rsid w:val="00600E1D"/>
    <w:rsid w:val="00600E62"/>
    <w:rsid w:val="00600EC2"/>
    <w:rsid w:val="0060120D"/>
    <w:rsid w:val="00601328"/>
    <w:rsid w:val="0060138C"/>
    <w:rsid w:val="006013FE"/>
    <w:rsid w:val="0060161C"/>
    <w:rsid w:val="0060172D"/>
    <w:rsid w:val="006017AE"/>
    <w:rsid w:val="006017DB"/>
    <w:rsid w:val="006017F9"/>
    <w:rsid w:val="00601866"/>
    <w:rsid w:val="0060189B"/>
    <w:rsid w:val="00601AA2"/>
    <w:rsid w:val="00601B1A"/>
    <w:rsid w:val="00601B7B"/>
    <w:rsid w:val="00601E04"/>
    <w:rsid w:val="00602245"/>
    <w:rsid w:val="00602306"/>
    <w:rsid w:val="00602385"/>
    <w:rsid w:val="00602814"/>
    <w:rsid w:val="006028F3"/>
    <w:rsid w:val="00602CC1"/>
    <w:rsid w:val="00602E05"/>
    <w:rsid w:val="00602E67"/>
    <w:rsid w:val="00602E81"/>
    <w:rsid w:val="00602E8B"/>
    <w:rsid w:val="00602F06"/>
    <w:rsid w:val="006030F8"/>
    <w:rsid w:val="0060310E"/>
    <w:rsid w:val="00603145"/>
    <w:rsid w:val="0060323C"/>
    <w:rsid w:val="0060335F"/>
    <w:rsid w:val="006035BD"/>
    <w:rsid w:val="00603629"/>
    <w:rsid w:val="006037F2"/>
    <w:rsid w:val="00603A68"/>
    <w:rsid w:val="00603DDE"/>
    <w:rsid w:val="00604017"/>
    <w:rsid w:val="00604052"/>
    <w:rsid w:val="006042CD"/>
    <w:rsid w:val="0060446F"/>
    <w:rsid w:val="006046DE"/>
    <w:rsid w:val="006047A7"/>
    <w:rsid w:val="00604BA5"/>
    <w:rsid w:val="00604CC6"/>
    <w:rsid w:val="00604CCD"/>
    <w:rsid w:val="00604D4B"/>
    <w:rsid w:val="00604F54"/>
    <w:rsid w:val="00605043"/>
    <w:rsid w:val="00605293"/>
    <w:rsid w:val="006052D5"/>
    <w:rsid w:val="0060544F"/>
    <w:rsid w:val="006054FC"/>
    <w:rsid w:val="006055AC"/>
    <w:rsid w:val="00605664"/>
    <w:rsid w:val="00605941"/>
    <w:rsid w:val="00605A18"/>
    <w:rsid w:val="00605A21"/>
    <w:rsid w:val="00605A74"/>
    <w:rsid w:val="00605B41"/>
    <w:rsid w:val="00605C65"/>
    <w:rsid w:val="00605DFD"/>
    <w:rsid w:val="00605E11"/>
    <w:rsid w:val="00605EBA"/>
    <w:rsid w:val="00605EF6"/>
    <w:rsid w:val="00605F3F"/>
    <w:rsid w:val="006060B5"/>
    <w:rsid w:val="00606136"/>
    <w:rsid w:val="006063FF"/>
    <w:rsid w:val="006064E6"/>
    <w:rsid w:val="00606611"/>
    <w:rsid w:val="00606636"/>
    <w:rsid w:val="006067A2"/>
    <w:rsid w:val="0060684A"/>
    <w:rsid w:val="00606893"/>
    <w:rsid w:val="00606BA5"/>
    <w:rsid w:val="00606CB3"/>
    <w:rsid w:val="00606E49"/>
    <w:rsid w:val="00606E64"/>
    <w:rsid w:val="00606FDF"/>
    <w:rsid w:val="006072DF"/>
    <w:rsid w:val="0060730E"/>
    <w:rsid w:val="00607310"/>
    <w:rsid w:val="00607340"/>
    <w:rsid w:val="00607341"/>
    <w:rsid w:val="0060768D"/>
    <w:rsid w:val="006076A7"/>
    <w:rsid w:val="0060778E"/>
    <w:rsid w:val="00607D6C"/>
    <w:rsid w:val="00607D97"/>
    <w:rsid w:val="00607F29"/>
    <w:rsid w:val="0061005E"/>
    <w:rsid w:val="006100AB"/>
    <w:rsid w:val="006102AE"/>
    <w:rsid w:val="006103BC"/>
    <w:rsid w:val="00610433"/>
    <w:rsid w:val="00610545"/>
    <w:rsid w:val="00610588"/>
    <w:rsid w:val="00610604"/>
    <w:rsid w:val="0061060E"/>
    <w:rsid w:val="0061068B"/>
    <w:rsid w:val="006109E7"/>
    <w:rsid w:val="00610A3B"/>
    <w:rsid w:val="00610A94"/>
    <w:rsid w:val="00610B79"/>
    <w:rsid w:val="00610CE3"/>
    <w:rsid w:val="00610E53"/>
    <w:rsid w:val="00610EE7"/>
    <w:rsid w:val="00610FA4"/>
    <w:rsid w:val="00611042"/>
    <w:rsid w:val="006110F3"/>
    <w:rsid w:val="006110F8"/>
    <w:rsid w:val="0061126E"/>
    <w:rsid w:val="00611364"/>
    <w:rsid w:val="006113BE"/>
    <w:rsid w:val="006114C9"/>
    <w:rsid w:val="0061152D"/>
    <w:rsid w:val="006115A4"/>
    <w:rsid w:val="006115E9"/>
    <w:rsid w:val="00611674"/>
    <w:rsid w:val="00611676"/>
    <w:rsid w:val="00611BC4"/>
    <w:rsid w:val="00611C21"/>
    <w:rsid w:val="00611D51"/>
    <w:rsid w:val="00611E46"/>
    <w:rsid w:val="0061216E"/>
    <w:rsid w:val="006121B2"/>
    <w:rsid w:val="00612361"/>
    <w:rsid w:val="006124B6"/>
    <w:rsid w:val="006124BE"/>
    <w:rsid w:val="0061251C"/>
    <w:rsid w:val="00612588"/>
    <w:rsid w:val="00612774"/>
    <w:rsid w:val="00612841"/>
    <w:rsid w:val="006128BE"/>
    <w:rsid w:val="00612955"/>
    <w:rsid w:val="00612B2E"/>
    <w:rsid w:val="00612B7E"/>
    <w:rsid w:val="00612CCB"/>
    <w:rsid w:val="00612D9C"/>
    <w:rsid w:val="00612E45"/>
    <w:rsid w:val="00612F48"/>
    <w:rsid w:val="00613006"/>
    <w:rsid w:val="006131FA"/>
    <w:rsid w:val="006132F6"/>
    <w:rsid w:val="00613328"/>
    <w:rsid w:val="0061356A"/>
    <w:rsid w:val="00613732"/>
    <w:rsid w:val="0061377D"/>
    <w:rsid w:val="00613793"/>
    <w:rsid w:val="0061380D"/>
    <w:rsid w:val="0061381E"/>
    <w:rsid w:val="006138DF"/>
    <w:rsid w:val="00613A20"/>
    <w:rsid w:val="00613B77"/>
    <w:rsid w:val="00613F40"/>
    <w:rsid w:val="0061416C"/>
    <w:rsid w:val="006141FC"/>
    <w:rsid w:val="00614220"/>
    <w:rsid w:val="00614265"/>
    <w:rsid w:val="00614349"/>
    <w:rsid w:val="0061444B"/>
    <w:rsid w:val="006145B2"/>
    <w:rsid w:val="00614623"/>
    <w:rsid w:val="00614771"/>
    <w:rsid w:val="0061478C"/>
    <w:rsid w:val="00614794"/>
    <w:rsid w:val="006147E0"/>
    <w:rsid w:val="006148D5"/>
    <w:rsid w:val="006149F6"/>
    <w:rsid w:val="00614AEB"/>
    <w:rsid w:val="00614DBF"/>
    <w:rsid w:val="00614E91"/>
    <w:rsid w:val="00614F97"/>
    <w:rsid w:val="0061510A"/>
    <w:rsid w:val="0061523A"/>
    <w:rsid w:val="0061526A"/>
    <w:rsid w:val="006152D4"/>
    <w:rsid w:val="00615322"/>
    <w:rsid w:val="00615557"/>
    <w:rsid w:val="006159CC"/>
    <w:rsid w:val="00615AB7"/>
    <w:rsid w:val="00615BF0"/>
    <w:rsid w:val="00615C6E"/>
    <w:rsid w:val="00615C8B"/>
    <w:rsid w:val="00615C9E"/>
    <w:rsid w:val="00615E15"/>
    <w:rsid w:val="00615E57"/>
    <w:rsid w:val="00615EEE"/>
    <w:rsid w:val="00615EFA"/>
    <w:rsid w:val="00616172"/>
    <w:rsid w:val="0061635C"/>
    <w:rsid w:val="006163F6"/>
    <w:rsid w:val="006167FB"/>
    <w:rsid w:val="00616868"/>
    <w:rsid w:val="006168F5"/>
    <w:rsid w:val="00616911"/>
    <w:rsid w:val="006169B2"/>
    <w:rsid w:val="00616A12"/>
    <w:rsid w:val="00616B65"/>
    <w:rsid w:val="00616BAC"/>
    <w:rsid w:val="00616BBB"/>
    <w:rsid w:val="00616BCD"/>
    <w:rsid w:val="00616D2F"/>
    <w:rsid w:val="00616E28"/>
    <w:rsid w:val="00616E43"/>
    <w:rsid w:val="00616FCB"/>
    <w:rsid w:val="006170C4"/>
    <w:rsid w:val="006170F7"/>
    <w:rsid w:val="0061719F"/>
    <w:rsid w:val="0061727F"/>
    <w:rsid w:val="006173BD"/>
    <w:rsid w:val="0061774F"/>
    <w:rsid w:val="0061777E"/>
    <w:rsid w:val="00617A1F"/>
    <w:rsid w:val="00617A5B"/>
    <w:rsid w:val="00617C3D"/>
    <w:rsid w:val="00617DB0"/>
    <w:rsid w:val="00617E5C"/>
    <w:rsid w:val="00617FF7"/>
    <w:rsid w:val="006200E2"/>
    <w:rsid w:val="00620136"/>
    <w:rsid w:val="00620245"/>
    <w:rsid w:val="00620645"/>
    <w:rsid w:val="0062074D"/>
    <w:rsid w:val="00620835"/>
    <w:rsid w:val="00620911"/>
    <w:rsid w:val="00620A18"/>
    <w:rsid w:val="00620B5C"/>
    <w:rsid w:val="00621280"/>
    <w:rsid w:val="00621309"/>
    <w:rsid w:val="00621560"/>
    <w:rsid w:val="00621620"/>
    <w:rsid w:val="00621746"/>
    <w:rsid w:val="0062188F"/>
    <w:rsid w:val="0062189F"/>
    <w:rsid w:val="006218FA"/>
    <w:rsid w:val="00621A20"/>
    <w:rsid w:val="00621B8A"/>
    <w:rsid w:val="00621BDE"/>
    <w:rsid w:val="00621BF3"/>
    <w:rsid w:val="00621C32"/>
    <w:rsid w:val="00621D5D"/>
    <w:rsid w:val="00621EDF"/>
    <w:rsid w:val="00621F21"/>
    <w:rsid w:val="00621FC9"/>
    <w:rsid w:val="00622034"/>
    <w:rsid w:val="006220A1"/>
    <w:rsid w:val="006220A5"/>
    <w:rsid w:val="006220E8"/>
    <w:rsid w:val="00622324"/>
    <w:rsid w:val="00622330"/>
    <w:rsid w:val="00622395"/>
    <w:rsid w:val="00622573"/>
    <w:rsid w:val="006225F0"/>
    <w:rsid w:val="0062260B"/>
    <w:rsid w:val="0062262B"/>
    <w:rsid w:val="00622710"/>
    <w:rsid w:val="006227E1"/>
    <w:rsid w:val="006228F8"/>
    <w:rsid w:val="00622A88"/>
    <w:rsid w:val="00622C03"/>
    <w:rsid w:val="00622E60"/>
    <w:rsid w:val="00622E7D"/>
    <w:rsid w:val="00622F81"/>
    <w:rsid w:val="006230B1"/>
    <w:rsid w:val="00623121"/>
    <w:rsid w:val="006232E6"/>
    <w:rsid w:val="00623304"/>
    <w:rsid w:val="006233D0"/>
    <w:rsid w:val="0062345E"/>
    <w:rsid w:val="006235F7"/>
    <w:rsid w:val="0062381F"/>
    <w:rsid w:val="0062389D"/>
    <w:rsid w:val="006238A0"/>
    <w:rsid w:val="00623B5A"/>
    <w:rsid w:val="00623C1F"/>
    <w:rsid w:val="00623C27"/>
    <w:rsid w:val="00623E8F"/>
    <w:rsid w:val="00623F0B"/>
    <w:rsid w:val="00624062"/>
    <w:rsid w:val="0062406B"/>
    <w:rsid w:val="00624099"/>
    <w:rsid w:val="00624136"/>
    <w:rsid w:val="006242AA"/>
    <w:rsid w:val="00624361"/>
    <w:rsid w:val="006243F1"/>
    <w:rsid w:val="0062471C"/>
    <w:rsid w:val="00624793"/>
    <w:rsid w:val="006247E0"/>
    <w:rsid w:val="00624949"/>
    <w:rsid w:val="0062494B"/>
    <w:rsid w:val="006249F4"/>
    <w:rsid w:val="00624A49"/>
    <w:rsid w:val="00624B07"/>
    <w:rsid w:val="00624E8E"/>
    <w:rsid w:val="00624EC7"/>
    <w:rsid w:val="0062503D"/>
    <w:rsid w:val="00625045"/>
    <w:rsid w:val="00625293"/>
    <w:rsid w:val="0062540C"/>
    <w:rsid w:val="0062567B"/>
    <w:rsid w:val="00625882"/>
    <w:rsid w:val="0062591D"/>
    <w:rsid w:val="00625A32"/>
    <w:rsid w:val="00625AB6"/>
    <w:rsid w:val="00625BC2"/>
    <w:rsid w:val="00625DFC"/>
    <w:rsid w:val="00625E16"/>
    <w:rsid w:val="00625E94"/>
    <w:rsid w:val="00625FF0"/>
    <w:rsid w:val="0062606C"/>
    <w:rsid w:val="006260F6"/>
    <w:rsid w:val="006261D1"/>
    <w:rsid w:val="00626381"/>
    <w:rsid w:val="006263E1"/>
    <w:rsid w:val="006264B3"/>
    <w:rsid w:val="006264C5"/>
    <w:rsid w:val="0062656E"/>
    <w:rsid w:val="00626834"/>
    <w:rsid w:val="00626965"/>
    <w:rsid w:val="006269E0"/>
    <w:rsid w:val="00626A34"/>
    <w:rsid w:val="00626B69"/>
    <w:rsid w:val="00626B92"/>
    <w:rsid w:val="00626F7B"/>
    <w:rsid w:val="00626FE6"/>
    <w:rsid w:val="00627016"/>
    <w:rsid w:val="0062753C"/>
    <w:rsid w:val="006275B2"/>
    <w:rsid w:val="00627622"/>
    <w:rsid w:val="006277E9"/>
    <w:rsid w:val="00627824"/>
    <w:rsid w:val="006278AD"/>
    <w:rsid w:val="006278FC"/>
    <w:rsid w:val="0062796B"/>
    <w:rsid w:val="00627C2D"/>
    <w:rsid w:val="00627C8E"/>
    <w:rsid w:val="00627CC2"/>
    <w:rsid w:val="00627E6D"/>
    <w:rsid w:val="00627E71"/>
    <w:rsid w:val="00630021"/>
    <w:rsid w:val="006302F9"/>
    <w:rsid w:val="006303C5"/>
    <w:rsid w:val="006305A7"/>
    <w:rsid w:val="006305F7"/>
    <w:rsid w:val="00630763"/>
    <w:rsid w:val="006307B1"/>
    <w:rsid w:val="00630B01"/>
    <w:rsid w:val="00630B02"/>
    <w:rsid w:val="00630BD1"/>
    <w:rsid w:val="00630C4E"/>
    <w:rsid w:val="00630ED2"/>
    <w:rsid w:val="00630F0E"/>
    <w:rsid w:val="00630F68"/>
    <w:rsid w:val="006311B1"/>
    <w:rsid w:val="00631489"/>
    <w:rsid w:val="006314CE"/>
    <w:rsid w:val="006315DF"/>
    <w:rsid w:val="00631639"/>
    <w:rsid w:val="0063173E"/>
    <w:rsid w:val="00631810"/>
    <w:rsid w:val="00631A75"/>
    <w:rsid w:val="00631BC8"/>
    <w:rsid w:val="006320D1"/>
    <w:rsid w:val="0063225E"/>
    <w:rsid w:val="00632613"/>
    <w:rsid w:val="00632928"/>
    <w:rsid w:val="00632A49"/>
    <w:rsid w:val="00632B01"/>
    <w:rsid w:val="00632BA8"/>
    <w:rsid w:val="00632C9B"/>
    <w:rsid w:val="00633171"/>
    <w:rsid w:val="006334B5"/>
    <w:rsid w:val="0063358B"/>
    <w:rsid w:val="006338FC"/>
    <w:rsid w:val="0063393F"/>
    <w:rsid w:val="006339B6"/>
    <w:rsid w:val="00633C6C"/>
    <w:rsid w:val="00633DC2"/>
    <w:rsid w:val="00633ECE"/>
    <w:rsid w:val="0063406B"/>
    <w:rsid w:val="00634199"/>
    <w:rsid w:val="006343D3"/>
    <w:rsid w:val="00634728"/>
    <w:rsid w:val="00634745"/>
    <w:rsid w:val="00634A80"/>
    <w:rsid w:val="00634BCC"/>
    <w:rsid w:val="00634E81"/>
    <w:rsid w:val="00634EB1"/>
    <w:rsid w:val="00634F80"/>
    <w:rsid w:val="006350B9"/>
    <w:rsid w:val="0063519A"/>
    <w:rsid w:val="006352D6"/>
    <w:rsid w:val="006353CD"/>
    <w:rsid w:val="006354E7"/>
    <w:rsid w:val="0063577E"/>
    <w:rsid w:val="0063579E"/>
    <w:rsid w:val="00635865"/>
    <w:rsid w:val="00635893"/>
    <w:rsid w:val="006359CE"/>
    <w:rsid w:val="00635C77"/>
    <w:rsid w:val="00635D2E"/>
    <w:rsid w:val="00635D8C"/>
    <w:rsid w:val="00635DB6"/>
    <w:rsid w:val="00635E5E"/>
    <w:rsid w:val="00635EE5"/>
    <w:rsid w:val="00635EF8"/>
    <w:rsid w:val="00636023"/>
    <w:rsid w:val="006363DB"/>
    <w:rsid w:val="006364A6"/>
    <w:rsid w:val="006366F7"/>
    <w:rsid w:val="006368BC"/>
    <w:rsid w:val="00636A30"/>
    <w:rsid w:val="00636B4D"/>
    <w:rsid w:val="00636C06"/>
    <w:rsid w:val="00636CE5"/>
    <w:rsid w:val="00636EAD"/>
    <w:rsid w:val="00636ECB"/>
    <w:rsid w:val="00636F63"/>
    <w:rsid w:val="00637034"/>
    <w:rsid w:val="00637140"/>
    <w:rsid w:val="00637619"/>
    <w:rsid w:val="00637829"/>
    <w:rsid w:val="006378E8"/>
    <w:rsid w:val="00637986"/>
    <w:rsid w:val="006379E8"/>
    <w:rsid w:val="00637A5C"/>
    <w:rsid w:val="00637B23"/>
    <w:rsid w:val="00637B48"/>
    <w:rsid w:val="00637BCD"/>
    <w:rsid w:val="00637F84"/>
    <w:rsid w:val="00640306"/>
    <w:rsid w:val="00640536"/>
    <w:rsid w:val="00640633"/>
    <w:rsid w:val="0064068C"/>
    <w:rsid w:val="006408BA"/>
    <w:rsid w:val="00640B27"/>
    <w:rsid w:val="00640D79"/>
    <w:rsid w:val="00640E2B"/>
    <w:rsid w:val="00640EE1"/>
    <w:rsid w:val="006410AD"/>
    <w:rsid w:val="006411F2"/>
    <w:rsid w:val="00641219"/>
    <w:rsid w:val="0064165E"/>
    <w:rsid w:val="006416DB"/>
    <w:rsid w:val="006417A7"/>
    <w:rsid w:val="00641992"/>
    <w:rsid w:val="00641C68"/>
    <w:rsid w:val="00641C81"/>
    <w:rsid w:val="00641D16"/>
    <w:rsid w:val="00641D27"/>
    <w:rsid w:val="00641EB1"/>
    <w:rsid w:val="00641EF3"/>
    <w:rsid w:val="00641FEA"/>
    <w:rsid w:val="00642293"/>
    <w:rsid w:val="006422CE"/>
    <w:rsid w:val="0064233A"/>
    <w:rsid w:val="0064233E"/>
    <w:rsid w:val="006423EB"/>
    <w:rsid w:val="0064248E"/>
    <w:rsid w:val="006424D2"/>
    <w:rsid w:val="00642547"/>
    <w:rsid w:val="00642635"/>
    <w:rsid w:val="006429B5"/>
    <w:rsid w:val="00642F9C"/>
    <w:rsid w:val="00643163"/>
    <w:rsid w:val="006431BE"/>
    <w:rsid w:val="00643210"/>
    <w:rsid w:val="00643417"/>
    <w:rsid w:val="006435A7"/>
    <w:rsid w:val="00643633"/>
    <w:rsid w:val="006436B9"/>
    <w:rsid w:val="006437C9"/>
    <w:rsid w:val="0064380A"/>
    <w:rsid w:val="006438A5"/>
    <w:rsid w:val="00643C12"/>
    <w:rsid w:val="00643CFB"/>
    <w:rsid w:val="00643D31"/>
    <w:rsid w:val="00643E2C"/>
    <w:rsid w:val="00643FFE"/>
    <w:rsid w:val="0064417C"/>
    <w:rsid w:val="00644366"/>
    <w:rsid w:val="006445EC"/>
    <w:rsid w:val="006446FD"/>
    <w:rsid w:val="006446FF"/>
    <w:rsid w:val="00644743"/>
    <w:rsid w:val="006447A9"/>
    <w:rsid w:val="006449C2"/>
    <w:rsid w:val="00644A9C"/>
    <w:rsid w:val="00644AD4"/>
    <w:rsid w:val="00644CEB"/>
    <w:rsid w:val="00644DBE"/>
    <w:rsid w:val="00644E37"/>
    <w:rsid w:val="00644F67"/>
    <w:rsid w:val="00645174"/>
    <w:rsid w:val="00645189"/>
    <w:rsid w:val="00645256"/>
    <w:rsid w:val="006454FA"/>
    <w:rsid w:val="00645574"/>
    <w:rsid w:val="006457DD"/>
    <w:rsid w:val="0064585F"/>
    <w:rsid w:val="0064586A"/>
    <w:rsid w:val="006459AA"/>
    <w:rsid w:val="00645A88"/>
    <w:rsid w:val="00645B0C"/>
    <w:rsid w:val="00645B9F"/>
    <w:rsid w:val="0064603C"/>
    <w:rsid w:val="006461EF"/>
    <w:rsid w:val="006463C4"/>
    <w:rsid w:val="00646429"/>
    <w:rsid w:val="0064643D"/>
    <w:rsid w:val="00646603"/>
    <w:rsid w:val="0064677A"/>
    <w:rsid w:val="00646927"/>
    <w:rsid w:val="006469C7"/>
    <w:rsid w:val="00646BBE"/>
    <w:rsid w:val="00646CD1"/>
    <w:rsid w:val="00646CDF"/>
    <w:rsid w:val="00646CF1"/>
    <w:rsid w:val="00646DD1"/>
    <w:rsid w:val="006470B7"/>
    <w:rsid w:val="006471B6"/>
    <w:rsid w:val="0064739E"/>
    <w:rsid w:val="00647533"/>
    <w:rsid w:val="006475D1"/>
    <w:rsid w:val="00647811"/>
    <w:rsid w:val="00647AAF"/>
    <w:rsid w:val="00647B3F"/>
    <w:rsid w:val="00647B8F"/>
    <w:rsid w:val="00647BE0"/>
    <w:rsid w:val="00647CD2"/>
    <w:rsid w:val="00647D07"/>
    <w:rsid w:val="00647E30"/>
    <w:rsid w:val="00647E74"/>
    <w:rsid w:val="00647EF6"/>
    <w:rsid w:val="00647F1D"/>
    <w:rsid w:val="00647F4C"/>
    <w:rsid w:val="00647F5D"/>
    <w:rsid w:val="00650091"/>
    <w:rsid w:val="00650097"/>
    <w:rsid w:val="00650308"/>
    <w:rsid w:val="0065045C"/>
    <w:rsid w:val="006504A9"/>
    <w:rsid w:val="006504B7"/>
    <w:rsid w:val="00650734"/>
    <w:rsid w:val="00650822"/>
    <w:rsid w:val="00650A6D"/>
    <w:rsid w:val="00650DBE"/>
    <w:rsid w:val="00650DED"/>
    <w:rsid w:val="00650E47"/>
    <w:rsid w:val="00650E89"/>
    <w:rsid w:val="00650E8B"/>
    <w:rsid w:val="00651143"/>
    <w:rsid w:val="00651223"/>
    <w:rsid w:val="0065122C"/>
    <w:rsid w:val="0065126F"/>
    <w:rsid w:val="0065139C"/>
    <w:rsid w:val="006513AC"/>
    <w:rsid w:val="00651423"/>
    <w:rsid w:val="006514C8"/>
    <w:rsid w:val="006515E1"/>
    <w:rsid w:val="006516B1"/>
    <w:rsid w:val="006516E4"/>
    <w:rsid w:val="006517AA"/>
    <w:rsid w:val="006519BE"/>
    <w:rsid w:val="00651A38"/>
    <w:rsid w:val="00651ED2"/>
    <w:rsid w:val="00651F17"/>
    <w:rsid w:val="006520BF"/>
    <w:rsid w:val="006521D6"/>
    <w:rsid w:val="006522A1"/>
    <w:rsid w:val="006525CD"/>
    <w:rsid w:val="00652607"/>
    <w:rsid w:val="006526A9"/>
    <w:rsid w:val="006526B5"/>
    <w:rsid w:val="006527BD"/>
    <w:rsid w:val="006527C7"/>
    <w:rsid w:val="006528F5"/>
    <w:rsid w:val="0065298F"/>
    <w:rsid w:val="00652A35"/>
    <w:rsid w:val="00652CD6"/>
    <w:rsid w:val="00653003"/>
    <w:rsid w:val="00653126"/>
    <w:rsid w:val="0065317C"/>
    <w:rsid w:val="00653486"/>
    <w:rsid w:val="00653983"/>
    <w:rsid w:val="006539DF"/>
    <w:rsid w:val="00653A54"/>
    <w:rsid w:val="00653A71"/>
    <w:rsid w:val="00653A99"/>
    <w:rsid w:val="00653B4B"/>
    <w:rsid w:val="00653EC4"/>
    <w:rsid w:val="006541D8"/>
    <w:rsid w:val="00654374"/>
    <w:rsid w:val="0065456D"/>
    <w:rsid w:val="006545E9"/>
    <w:rsid w:val="0065467F"/>
    <w:rsid w:val="006546D2"/>
    <w:rsid w:val="00654866"/>
    <w:rsid w:val="006549BA"/>
    <w:rsid w:val="00654A1D"/>
    <w:rsid w:val="00654A35"/>
    <w:rsid w:val="00654C90"/>
    <w:rsid w:val="00654CA0"/>
    <w:rsid w:val="006550C3"/>
    <w:rsid w:val="006552BE"/>
    <w:rsid w:val="00655507"/>
    <w:rsid w:val="006556B6"/>
    <w:rsid w:val="006557DC"/>
    <w:rsid w:val="006559F0"/>
    <w:rsid w:val="00655AF9"/>
    <w:rsid w:val="00655CAB"/>
    <w:rsid w:val="00655CB6"/>
    <w:rsid w:val="00655CE0"/>
    <w:rsid w:val="00655D25"/>
    <w:rsid w:val="00655D8E"/>
    <w:rsid w:val="00655F34"/>
    <w:rsid w:val="00656024"/>
    <w:rsid w:val="006560E1"/>
    <w:rsid w:val="006560F4"/>
    <w:rsid w:val="0065612B"/>
    <w:rsid w:val="006561F5"/>
    <w:rsid w:val="006564A9"/>
    <w:rsid w:val="0065672F"/>
    <w:rsid w:val="00656A0F"/>
    <w:rsid w:val="00656A68"/>
    <w:rsid w:val="00656A9E"/>
    <w:rsid w:val="00656D60"/>
    <w:rsid w:val="00656D70"/>
    <w:rsid w:val="00656E97"/>
    <w:rsid w:val="00656F55"/>
    <w:rsid w:val="006571F6"/>
    <w:rsid w:val="006572A2"/>
    <w:rsid w:val="00657389"/>
    <w:rsid w:val="00657651"/>
    <w:rsid w:val="0065786B"/>
    <w:rsid w:val="006578CE"/>
    <w:rsid w:val="00657964"/>
    <w:rsid w:val="00657A87"/>
    <w:rsid w:val="00657ED2"/>
    <w:rsid w:val="00657F06"/>
    <w:rsid w:val="00657FEB"/>
    <w:rsid w:val="00660042"/>
    <w:rsid w:val="006602C8"/>
    <w:rsid w:val="0066048B"/>
    <w:rsid w:val="00660797"/>
    <w:rsid w:val="0066080B"/>
    <w:rsid w:val="0066088B"/>
    <w:rsid w:val="00660DE0"/>
    <w:rsid w:val="00660EF1"/>
    <w:rsid w:val="00660F30"/>
    <w:rsid w:val="0066114F"/>
    <w:rsid w:val="0066116E"/>
    <w:rsid w:val="00661487"/>
    <w:rsid w:val="00661562"/>
    <w:rsid w:val="00661567"/>
    <w:rsid w:val="0066164B"/>
    <w:rsid w:val="006616A1"/>
    <w:rsid w:val="00661820"/>
    <w:rsid w:val="00661ABA"/>
    <w:rsid w:val="00661B83"/>
    <w:rsid w:val="00661BB3"/>
    <w:rsid w:val="00661D05"/>
    <w:rsid w:val="00661D08"/>
    <w:rsid w:val="00661D14"/>
    <w:rsid w:val="00661D95"/>
    <w:rsid w:val="00661E89"/>
    <w:rsid w:val="00662023"/>
    <w:rsid w:val="0066208B"/>
    <w:rsid w:val="00662206"/>
    <w:rsid w:val="0066233E"/>
    <w:rsid w:val="006623FF"/>
    <w:rsid w:val="00662433"/>
    <w:rsid w:val="00662442"/>
    <w:rsid w:val="006626CE"/>
    <w:rsid w:val="006626DB"/>
    <w:rsid w:val="00662B50"/>
    <w:rsid w:val="00662EB7"/>
    <w:rsid w:val="006631C7"/>
    <w:rsid w:val="006633E4"/>
    <w:rsid w:val="00663561"/>
    <w:rsid w:val="00663581"/>
    <w:rsid w:val="0066379E"/>
    <w:rsid w:val="006637D5"/>
    <w:rsid w:val="0066391C"/>
    <w:rsid w:val="0066393F"/>
    <w:rsid w:val="0066395B"/>
    <w:rsid w:val="00663CF6"/>
    <w:rsid w:val="00663D6D"/>
    <w:rsid w:val="006640D4"/>
    <w:rsid w:val="006640E2"/>
    <w:rsid w:val="00664373"/>
    <w:rsid w:val="006643AE"/>
    <w:rsid w:val="006643E0"/>
    <w:rsid w:val="006646C2"/>
    <w:rsid w:val="00664869"/>
    <w:rsid w:val="006649C1"/>
    <w:rsid w:val="006649FB"/>
    <w:rsid w:val="00664AE2"/>
    <w:rsid w:val="00664B2B"/>
    <w:rsid w:val="00664BE7"/>
    <w:rsid w:val="00664C69"/>
    <w:rsid w:val="0066508C"/>
    <w:rsid w:val="0066513C"/>
    <w:rsid w:val="00665222"/>
    <w:rsid w:val="0066528F"/>
    <w:rsid w:val="006652D0"/>
    <w:rsid w:val="006652E6"/>
    <w:rsid w:val="00665410"/>
    <w:rsid w:val="00665610"/>
    <w:rsid w:val="0066576B"/>
    <w:rsid w:val="0066590B"/>
    <w:rsid w:val="00665AB4"/>
    <w:rsid w:val="00665AD3"/>
    <w:rsid w:val="00665B43"/>
    <w:rsid w:val="00665C70"/>
    <w:rsid w:val="00665D5A"/>
    <w:rsid w:val="00665E57"/>
    <w:rsid w:val="00665EDB"/>
    <w:rsid w:val="00665F4C"/>
    <w:rsid w:val="0066624F"/>
    <w:rsid w:val="00666268"/>
    <w:rsid w:val="006663BA"/>
    <w:rsid w:val="00666506"/>
    <w:rsid w:val="0066663A"/>
    <w:rsid w:val="00666730"/>
    <w:rsid w:val="0066679E"/>
    <w:rsid w:val="006669CF"/>
    <w:rsid w:val="00666C67"/>
    <w:rsid w:val="00666FE2"/>
    <w:rsid w:val="006671C8"/>
    <w:rsid w:val="00667203"/>
    <w:rsid w:val="00667225"/>
    <w:rsid w:val="006672D1"/>
    <w:rsid w:val="006674D8"/>
    <w:rsid w:val="006675D2"/>
    <w:rsid w:val="00667789"/>
    <w:rsid w:val="0066788F"/>
    <w:rsid w:val="00667A2A"/>
    <w:rsid w:val="00667AFF"/>
    <w:rsid w:val="00667B8C"/>
    <w:rsid w:val="00667C2D"/>
    <w:rsid w:val="00667D95"/>
    <w:rsid w:val="00667E35"/>
    <w:rsid w:val="00667E59"/>
    <w:rsid w:val="00667FF2"/>
    <w:rsid w:val="006701B4"/>
    <w:rsid w:val="00670283"/>
    <w:rsid w:val="006703BE"/>
    <w:rsid w:val="00670525"/>
    <w:rsid w:val="00670601"/>
    <w:rsid w:val="0067077D"/>
    <w:rsid w:val="006708A4"/>
    <w:rsid w:val="00670956"/>
    <w:rsid w:val="006709AE"/>
    <w:rsid w:val="006709C4"/>
    <w:rsid w:val="00670AE8"/>
    <w:rsid w:val="00670B73"/>
    <w:rsid w:val="00670C48"/>
    <w:rsid w:val="00670D90"/>
    <w:rsid w:val="00670DDE"/>
    <w:rsid w:val="00670FE4"/>
    <w:rsid w:val="00670FE6"/>
    <w:rsid w:val="00671032"/>
    <w:rsid w:val="0067104F"/>
    <w:rsid w:val="0067114B"/>
    <w:rsid w:val="00671180"/>
    <w:rsid w:val="0067154F"/>
    <w:rsid w:val="006717C5"/>
    <w:rsid w:val="0067193C"/>
    <w:rsid w:val="00671A46"/>
    <w:rsid w:val="00671BF0"/>
    <w:rsid w:val="00671C16"/>
    <w:rsid w:val="00671C3C"/>
    <w:rsid w:val="00671D12"/>
    <w:rsid w:val="00671D7F"/>
    <w:rsid w:val="00671DE9"/>
    <w:rsid w:val="00671EE3"/>
    <w:rsid w:val="00672193"/>
    <w:rsid w:val="00672230"/>
    <w:rsid w:val="006722EA"/>
    <w:rsid w:val="006723B7"/>
    <w:rsid w:val="0067243C"/>
    <w:rsid w:val="006725AA"/>
    <w:rsid w:val="00672745"/>
    <w:rsid w:val="0067287A"/>
    <w:rsid w:val="0067287E"/>
    <w:rsid w:val="00672942"/>
    <w:rsid w:val="00672C4A"/>
    <w:rsid w:val="00672C91"/>
    <w:rsid w:val="00672D5A"/>
    <w:rsid w:val="00672DFD"/>
    <w:rsid w:val="00672E4B"/>
    <w:rsid w:val="006731CA"/>
    <w:rsid w:val="0067323F"/>
    <w:rsid w:val="006734FF"/>
    <w:rsid w:val="00673656"/>
    <w:rsid w:val="0067380A"/>
    <w:rsid w:val="0067397C"/>
    <w:rsid w:val="00673CDC"/>
    <w:rsid w:val="00673EC3"/>
    <w:rsid w:val="00673F0C"/>
    <w:rsid w:val="00674008"/>
    <w:rsid w:val="00674286"/>
    <w:rsid w:val="00674387"/>
    <w:rsid w:val="0067452E"/>
    <w:rsid w:val="00674547"/>
    <w:rsid w:val="006745AC"/>
    <w:rsid w:val="00674622"/>
    <w:rsid w:val="00674664"/>
    <w:rsid w:val="006746D5"/>
    <w:rsid w:val="00674770"/>
    <w:rsid w:val="00674A60"/>
    <w:rsid w:val="00674BD8"/>
    <w:rsid w:val="00674CB2"/>
    <w:rsid w:val="00674DAC"/>
    <w:rsid w:val="00674DCA"/>
    <w:rsid w:val="00674FD6"/>
    <w:rsid w:val="00674FF3"/>
    <w:rsid w:val="00675013"/>
    <w:rsid w:val="00675092"/>
    <w:rsid w:val="006750DA"/>
    <w:rsid w:val="00675141"/>
    <w:rsid w:val="006751AD"/>
    <w:rsid w:val="006752BA"/>
    <w:rsid w:val="00675370"/>
    <w:rsid w:val="006754D1"/>
    <w:rsid w:val="00675534"/>
    <w:rsid w:val="006755AA"/>
    <w:rsid w:val="006755B0"/>
    <w:rsid w:val="0067575A"/>
    <w:rsid w:val="0067575C"/>
    <w:rsid w:val="00675B0D"/>
    <w:rsid w:val="00675B79"/>
    <w:rsid w:val="00675B84"/>
    <w:rsid w:val="00675BCA"/>
    <w:rsid w:val="00675C3E"/>
    <w:rsid w:val="00675CD5"/>
    <w:rsid w:val="00675E1D"/>
    <w:rsid w:val="006760C6"/>
    <w:rsid w:val="0067616F"/>
    <w:rsid w:val="0067628E"/>
    <w:rsid w:val="00676543"/>
    <w:rsid w:val="00676674"/>
    <w:rsid w:val="006768ED"/>
    <w:rsid w:val="006769BA"/>
    <w:rsid w:val="006769EF"/>
    <w:rsid w:val="00676AE8"/>
    <w:rsid w:val="00676BC5"/>
    <w:rsid w:val="0067721B"/>
    <w:rsid w:val="0067755A"/>
    <w:rsid w:val="00677578"/>
    <w:rsid w:val="006775A3"/>
    <w:rsid w:val="006776A0"/>
    <w:rsid w:val="0067778A"/>
    <w:rsid w:val="0067798E"/>
    <w:rsid w:val="00677C28"/>
    <w:rsid w:val="00677D85"/>
    <w:rsid w:val="00677F1E"/>
    <w:rsid w:val="00677FB4"/>
    <w:rsid w:val="00677FC3"/>
    <w:rsid w:val="00680124"/>
    <w:rsid w:val="0068030D"/>
    <w:rsid w:val="0068035C"/>
    <w:rsid w:val="006804A6"/>
    <w:rsid w:val="006804E1"/>
    <w:rsid w:val="006804E9"/>
    <w:rsid w:val="00680544"/>
    <w:rsid w:val="00680698"/>
    <w:rsid w:val="006808B7"/>
    <w:rsid w:val="00680907"/>
    <w:rsid w:val="006809FC"/>
    <w:rsid w:val="00680AC7"/>
    <w:rsid w:val="00680B9B"/>
    <w:rsid w:val="00680C7A"/>
    <w:rsid w:val="00680E3D"/>
    <w:rsid w:val="00680E4D"/>
    <w:rsid w:val="00680F2D"/>
    <w:rsid w:val="00680F53"/>
    <w:rsid w:val="00680F65"/>
    <w:rsid w:val="00680F97"/>
    <w:rsid w:val="0068103F"/>
    <w:rsid w:val="006814EF"/>
    <w:rsid w:val="00681622"/>
    <w:rsid w:val="00681657"/>
    <w:rsid w:val="0068174C"/>
    <w:rsid w:val="00681909"/>
    <w:rsid w:val="006819C2"/>
    <w:rsid w:val="00681B6F"/>
    <w:rsid w:val="00681C7A"/>
    <w:rsid w:val="00681F19"/>
    <w:rsid w:val="00682214"/>
    <w:rsid w:val="006822DB"/>
    <w:rsid w:val="006823BD"/>
    <w:rsid w:val="0068251A"/>
    <w:rsid w:val="0068256D"/>
    <w:rsid w:val="00682663"/>
    <w:rsid w:val="00682707"/>
    <w:rsid w:val="00682782"/>
    <w:rsid w:val="00682AD5"/>
    <w:rsid w:val="00682B08"/>
    <w:rsid w:val="00682D1E"/>
    <w:rsid w:val="00682D86"/>
    <w:rsid w:val="00682FB0"/>
    <w:rsid w:val="00683161"/>
    <w:rsid w:val="00683476"/>
    <w:rsid w:val="00683588"/>
    <w:rsid w:val="00683596"/>
    <w:rsid w:val="00683B58"/>
    <w:rsid w:val="00683BA4"/>
    <w:rsid w:val="00683C6D"/>
    <w:rsid w:val="00683E68"/>
    <w:rsid w:val="00683F37"/>
    <w:rsid w:val="00684109"/>
    <w:rsid w:val="00684194"/>
    <w:rsid w:val="0068419B"/>
    <w:rsid w:val="00684378"/>
    <w:rsid w:val="0068439B"/>
    <w:rsid w:val="006843D8"/>
    <w:rsid w:val="0068444F"/>
    <w:rsid w:val="006845D1"/>
    <w:rsid w:val="0068465B"/>
    <w:rsid w:val="006846BA"/>
    <w:rsid w:val="006847B7"/>
    <w:rsid w:val="0068484A"/>
    <w:rsid w:val="00684A6D"/>
    <w:rsid w:val="00684AF0"/>
    <w:rsid w:val="00684C6C"/>
    <w:rsid w:val="00684D45"/>
    <w:rsid w:val="00684D63"/>
    <w:rsid w:val="00684D99"/>
    <w:rsid w:val="00684E51"/>
    <w:rsid w:val="00684F22"/>
    <w:rsid w:val="00684F54"/>
    <w:rsid w:val="00684FC7"/>
    <w:rsid w:val="00684FF8"/>
    <w:rsid w:val="00685011"/>
    <w:rsid w:val="006850A2"/>
    <w:rsid w:val="006852B3"/>
    <w:rsid w:val="006852D1"/>
    <w:rsid w:val="0068538E"/>
    <w:rsid w:val="00685480"/>
    <w:rsid w:val="0068562A"/>
    <w:rsid w:val="00685650"/>
    <w:rsid w:val="006856F3"/>
    <w:rsid w:val="0068578E"/>
    <w:rsid w:val="0068593D"/>
    <w:rsid w:val="006859BF"/>
    <w:rsid w:val="00685A13"/>
    <w:rsid w:val="00685A86"/>
    <w:rsid w:val="00685D8F"/>
    <w:rsid w:val="00685E82"/>
    <w:rsid w:val="00685F55"/>
    <w:rsid w:val="00686065"/>
    <w:rsid w:val="006862EA"/>
    <w:rsid w:val="00686329"/>
    <w:rsid w:val="006863E8"/>
    <w:rsid w:val="00686682"/>
    <w:rsid w:val="006868DF"/>
    <w:rsid w:val="00686980"/>
    <w:rsid w:val="00686C47"/>
    <w:rsid w:val="00686CB9"/>
    <w:rsid w:val="00686CBC"/>
    <w:rsid w:val="00686D32"/>
    <w:rsid w:val="00686D7F"/>
    <w:rsid w:val="00686E89"/>
    <w:rsid w:val="00686EDA"/>
    <w:rsid w:val="00686FE6"/>
    <w:rsid w:val="006870FC"/>
    <w:rsid w:val="0068721C"/>
    <w:rsid w:val="00687296"/>
    <w:rsid w:val="00687319"/>
    <w:rsid w:val="00687393"/>
    <w:rsid w:val="0068756D"/>
    <w:rsid w:val="006875FB"/>
    <w:rsid w:val="0068765F"/>
    <w:rsid w:val="006877C9"/>
    <w:rsid w:val="006877FB"/>
    <w:rsid w:val="006877FD"/>
    <w:rsid w:val="006878BF"/>
    <w:rsid w:val="00687BFB"/>
    <w:rsid w:val="00687EC8"/>
    <w:rsid w:val="00690342"/>
    <w:rsid w:val="0069035C"/>
    <w:rsid w:val="00690368"/>
    <w:rsid w:val="006903B4"/>
    <w:rsid w:val="006903BC"/>
    <w:rsid w:val="006905B9"/>
    <w:rsid w:val="006905EF"/>
    <w:rsid w:val="00690641"/>
    <w:rsid w:val="00690743"/>
    <w:rsid w:val="006907C8"/>
    <w:rsid w:val="006908AC"/>
    <w:rsid w:val="006908BE"/>
    <w:rsid w:val="0069090E"/>
    <w:rsid w:val="00690979"/>
    <w:rsid w:val="00690980"/>
    <w:rsid w:val="006909B7"/>
    <w:rsid w:val="00690A1B"/>
    <w:rsid w:val="00690C72"/>
    <w:rsid w:val="00690C83"/>
    <w:rsid w:val="00690D6E"/>
    <w:rsid w:val="00690ED3"/>
    <w:rsid w:val="00690FA7"/>
    <w:rsid w:val="00691153"/>
    <w:rsid w:val="0069119C"/>
    <w:rsid w:val="006911B1"/>
    <w:rsid w:val="00691413"/>
    <w:rsid w:val="00691785"/>
    <w:rsid w:val="006918B9"/>
    <w:rsid w:val="0069196F"/>
    <w:rsid w:val="006919AC"/>
    <w:rsid w:val="00691BDD"/>
    <w:rsid w:val="00691C03"/>
    <w:rsid w:val="00691EDF"/>
    <w:rsid w:val="00691F44"/>
    <w:rsid w:val="006921C7"/>
    <w:rsid w:val="006921ED"/>
    <w:rsid w:val="00692424"/>
    <w:rsid w:val="00692476"/>
    <w:rsid w:val="00692507"/>
    <w:rsid w:val="0069272E"/>
    <w:rsid w:val="00692859"/>
    <w:rsid w:val="00692928"/>
    <w:rsid w:val="006929FB"/>
    <w:rsid w:val="00692A27"/>
    <w:rsid w:val="00692A2F"/>
    <w:rsid w:val="00692BB1"/>
    <w:rsid w:val="00692C50"/>
    <w:rsid w:val="00692C56"/>
    <w:rsid w:val="00692C7D"/>
    <w:rsid w:val="00692E39"/>
    <w:rsid w:val="00692EF8"/>
    <w:rsid w:val="00692FBE"/>
    <w:rsid w:val="006930FA"/>
    <w:rsid w:val="006931AF"/>
    <w:rsid w:val="00693282"/>
    <w:rsid w:val="00693828"/>
    <w:rsid w:val="0069386C"/>
    <w:rsid w:val="00693876"/>
    <w:rsid w:val="0069388E"/>
    <w:rsid w:val="00693A58"/>
    <w:rsid w:val="00693AB7"/>
    <w:rsid w:val="00693CE3"/>
    <w:rsid w:val="00693D3E"/>
    <w:rsid w:val="00693E98"/>
    <w:rsid w:val="006940B4"/>
    <w:rsid w:val="0069425B"/>
    <w:rsid w:val="00694381"/>
    <w:rsid w:val="00694432"/>
    <w:rsid w:val="00694468"/>
    <w:rsid w:val="006944D0"/>
    <w:rsid w:val="006944F9"/>
    <w:rsid w:val="00694A31"/>
    <w:rsid w:val="00694AA7"/>
    <w:rsid w:val="00694BBC"/>
    <w:rsid w:val="00694BFC"/>
    <w:rsid w:val="00694C40"/>
    <w:rsid w:val="00694C41"/>
    <w:rsid w:val="00694C9A"/>
    <w:rsid w:val="00694D88"/>
    <w:rsid w:val="00695338"/>
    <w:rsid w:val="006955DC"/>
    <w:rsid w:val="006955DE"/>
    <w:rsid w:val="0069578E"/>
    <w:rsid w:val="00695806"/>
    <w:rsid w:val="00695877"/>
    <w:rsid w:val="0069597E"/>
    <w:rsid w:val="006959C1"/>
    <w:rsid w:val="006959DC"/>
    <w:rsid w:val="006959F6"/>
    <w:rsid w:val="00695A45"/>
    <w:rsid w:val="00695A68"/>
    <w:rsid w:val="00695B02"/>
    <w:rsid w:val="00695B1A"/>
    <w:rsid w:val="00695E3A"/>
    <w:rsid w:val="00695F6A"/>
    <w:rsid w:val="0069601F"/>
    <w:rsid w:val="006960C8"/>
    <w:rsid w:val="006960DC"/>
    <w:rsid w:val="006961A8"/>
    <w:rsid w:val="006963F9"/>
    <w:rsid w:val="00696498"/>
    <w:rsid w:val="0069674D"/>
    <w:rsid w:val="00696808"/>
    <w:rsid w:val="00696825"/>
    <w:rsid w:val="00696AE3"/>
    <w:rsid w:val="00696CBF"/>
    <w:rsid w:val="0069703F"/>
    <w:rsid w:val="006971F8"/>
    <w:rsid w:val="0069737B"/>
    <w:rsid w:val="006975DE"/>
    <w:rsid w:val="006977E3"/>
    <w:rsid w:val="006979D2"/>
    <w:rsid w:val="00697A0F"/>
    <w:rsid w:val="00697B79"/>
    <w:rsid w:val="00697C07"/>
    <w:rsid w:val="00697CDD"/>
    <w:rsid w:val="00697D51"/>
    <w:rsid w:val="00697E74"/>
    <w:rsid w:val="00697F76"/>
    <w:rsid w:val="006A0475"/>
    <w:rsid w:val="006A0598"/>
    <w:rsid w:val="006A0653"/>
    <w:rsid w:val="006A0877"/>
    <w:rsid w:val="006A0885"/>
    <w:rsid w:val="006A0910"/>
    <w:rsid w:val="006A0942"/>
    <w:rsid w:val="006A09D4"/>
    <w:rsid w:val="006A0BDE"/>
    <w:rsid w:val="006A0BFF"/>
    <w:rsid w:val="006A0C17"/>
    <w:rsid w:val="006A0F03"/>
    <w:rsid w:val="006A115B"/>
    <w:rsid w:val="006A123A"/>
    <w:rsid w:val="006A12E3"/>
    <w:rsid w:val="006A134F"/>
    <w:rsid w:val="006A1390"/>
    <w:rsid w:val="006A1420"/>
    <w:rsid w:val="006A149D"/>
    <w:rsid w:val="006A1636"/>
    <w:rsid w:val="006A165C"/>
    <w:rsid w:val="006A174A"/>
    <w:rsid w:val="006A17E1"/>
    <w:rsid w:val="006A1911"/>
    <w:rsid w:val="006A196A"/>
    <w:rsid w:val="006A197E"/>
    <w:rsid w:val="006A1A7A"/>
    <w:rsid w:val="006A1B43"/>
    <w:rsid w:val="006A1B67"/>
    <w:rsid w:val="006A1C55"/>
    <w:rsid w:val="006A1C93"/>
    <w:rsid w:val="006A1D51"/>
    <w:rsid w:val="006A1ED1"/>
    <w:rsid w:val="006A1F48"/>
    <w:rsid w:val="006A202F"/>
    <w:rsid w:val="006A2270"/>
    <w:rsid w:val="006A2319"/>
    <w:rsid w:val="006A24BD"/>
    <w:rsid w:val="006A27C9"/>
    <w:rsid w:val="006A2978"/>
    <w:rsid w:val="006A29FA"/>
    <w:rsid w:val="006A2A08"/>
    <w:rsid w:val="006A2AFC"/>
    <w:rsid w:val="006A2B65"/>
    <w:rsid w:val="006A2B66"/>
    <w:rsid w:val="006A2BA8"/>
    <w:rsid w:val="006A2C16"/>
    <w:rsid w:val="006A2D65"/>
    <w:rsid w:val="006A2DC9"/>
    <w:rsid w:val="006A2E73"/>
    <w:rsid w:val="006A2F1F"/>
    <w:rsid w:val="006A3048"/>
    <w:rsid w:val="006A3200"/>
    <w:rsid w:val="006A3335"/>
    <w:rsid w:val="006A33DC"/>
    <w:rsid w:val="006A3525"/>
    <w:rsid w:val="006A35CB"/>
    <w:rsid w:val="006A35E7"/>
    <w:rsid w:val="006A3A41"/>
    <w:rsid w:val="006A3B1D"/>
    <w:rsid w:val="006A3CD8"/>
    <w:rsid w:val="006A3DE4"/>
    <w:rsid w:val="006A3FD5"/>
    <w:rsid w:val="006A401C"/>
    <w:rsid w:val="006A410F"/>
    <w:rsid w:val="006A4219"/>
    <w:rsid w:val="006A4243"/>
    <w:rsid w:val="006A42A5"/>
    <w:rsid w:val="006A43A3"/>
    <w:rsid w:val="006A48ED"/>
    <w:rsid w:val="006A4922"/>
    <w:rsid w:val="006A49CC"/>
    <w:rsid w:val="006A4CC4"/>
    <w:rsid w:val="006A4DB7"/>
    <w:rsid w:val="006A4DC7"/>
    <w:rsid w:val="006A4DF3"/>
    <w:rsid w:val="006A5124"/>
    <w:rsid w:val="006A51CF"/>
    <w:rsid w:val="006A522F"/>
    <w:rsid w:val="006A528B"/>
    <w:rsid w:val="006A53A3"/>
    <w:rsid w:val="006A597D"/>
    <w:rsid w:val="006A59B5"/>
    <w:rsid w:val="006A5A90"/>
    <w:rsid w:val="006A5BE3"/>
    <w:rsid w:val="006A5CF3"/>
    <w:rsid w:val="006A5E32"/>
    <w:rsid w:val="006A5E58"/>
    <w:rsid w:val="006A5F3E"/>
    <w:rsid w:val="006A5F71"/>
    <w:rsid w:val="006A6110"/>
    <w:rsid w:val="006A615B"/>
    <w:rsid w:val="006A6188"/>
    <w:rsid w:val="006A61CF"/>
    <w:rsid w:val="006A6381"/>
    <w:rsid w:val="006A640A"/>
    <w:rsid w:val="006A6423"/>
    <w:rsid w:val="006A6489"/>
    <w:rsid w:val="006A6617"/>
    <w:rsid w:val="006A6686"/>
    <w:rsid w:val="006A66C8"/>
    <w:rsid w:val="006A67E5"/>
    <w:rsid w:val="006A68D6"/>
    <w:rsid w:val="006A69D4"/>
    <w:rsid w:val="006A6A3E"/>
    <w:rsid w:val="006A6D01"/>
    <w:rsid w:val="006A6E69"/>
    <w:rsid w:val="006A6E6B"/>
    <w:rsid w:val="006A701C"/>
    <w:rsid w:val="006A722E"/>
    <w:rsid w:val="006A72B6"/>
    <w:rsid w:val="006A7312"/>
    <w:rsid w:val="006A7369"/>
    <w:rsid w:val="006A73EE"/>
    <w:rsid w:val="006A7402"/>
    <w:rsid w:val="006A748D"/>
    <w:rsid w:val="006A7720"/>
    <w:rsid w:val="006A7B5A"/>
    <w:rsid w:val="006A7CE6"/>
    <w:rsid w:val="006A7CFA"/>
    <w:rsid w:val="006A7E76"/>
    <w:rsid w:val="006A7E98"/>
    <w:rsid w:val="006A7FC0"/>
    <w:rsid w:val="006B0104"/>
    <w:rsid w:val="006B0134"/>
    <w:rsid w:val="006B0319"/>
    <w:rsid w:val="006B0AEA"/>
    <w:rsid w:val="006B0DB3"/>
    <w:rsid w:val="006B0DC2"/>
    <w:rsid w:val="006B0E48"/>
    <w:rsid w:val="006B0F81"/>
    <w:rsid w:val="006B12E6"/>
    <w:rsid w:val="006B14F9"/>
    <w:rsid w:val="006B1541"/>
    <w:rsid w:val="006B194C"/>
    <w:rsid w:val="006B1A0F"/>
    <w:rsid w:val="006B1A3E"/>
    <w:rsid w:val="006B1ADF"/>
    <w:rsid w:val="006B1BCE"/>
    <w:rsid w:val="006B1CE1"/>
    <w:rsid w:val="006B1E11"/>
    <w:rsid w:val="006B2059"/>
    <w:rsid w:val="006B2101"/>
    <w:rsid w:val="006B213B"/>
    <w:rsid w:val="006B23C2"/>
    <w:rsid w:val="006B244A"/>
    <w:rsid w:val="006B2619"/>
    <w:rsid w:val="006B26A4"/>
    <w:rsid w:val="006B28E9"/>
    <w:rsid w:val="006B29BF"/>
    <w:rsid w:val="006B2A90"/>
    <w:rsid w:val="006B2B6F"/>
    <w:rsid w:val="006B2C2F"/>
    <w:rsid w:val="006B2C9B"/>
    <w:rsid w:val="006B2DFD"/>
    <w:rsid w:val="006B2F2A"/>
    <w:rsid w:val="006B2F3E"/>
    <w:rsid w:val="006B2FB3"/>
    <w:rsid w:val="006B303B"/>
    <w:rsid w:val="006B31D5"/>
    <w:rsid w:val="006B3228"/>
    <w:rsid w:val="006B345B"/>
    <w:rsid w:val="006B3477"/>
    <w:rsid w:val="006B3517"/>
    <w:rsid w:val="006B3919"/>
    <w:rsid w:val="006B3969"/>
    <w:rsid w:val="006B3A02"/>
    <w:rsid w:val="006B3CA4"/>
    <w:rsid w:val="006B3CA5"/>
    <w:rsid w:val="006B3F56"/>
    <w:rsid w:val="006B403D"/>
    <w:rsid w:val="006B415A"/>
    <w:rsid w:val="006B4336"/>
    <w:rsid w:val="006B43C1"/>
    <w:rsid w:val="006B440C"/>
    <w:rsid w:val="006B4535"/>
    <w:rsid w:val="006B4682"/>
    <w:rsid w:val="006B47FE"/>
    <w:rsid w:val="006B496B"/>
    <w:rsid w:val="006B4A50"/>
    <w:rsid w:val="006B4CA9"/>
    <w:rsid w:val="006B4D29"/>
    <w:rsid w:val="006B4D45"/>
    <w:rsid w:val="006B4DFB"/>
    <w:rsid w:val="006B4EB3"/>
    <w:rsid w:val="006B50E1"/>
    <w:rsid w:val="006B513E"/>
    <w:rsid w:val="006B53A9"/>
    <w:rsid w:val="006B53C9"/>
    <w:rsid w:val="006B560E"/>
    <w:rsid w:val="006B57A5"/>
    <w:rsid w:val="006B581A"/>
    <w:rsid w:val="006B5842"/>
    <w:rsid w:val="006B5847"/>
    <w:rsid w:val="006B5993"/>
    <w:rsid w:val="006B5A0F"/>
    <w:rsid w:val="006B5A97"/>
    <w:rsid w:val="006B5AB0"/>
    <w:rsid w:val="006B5C9E"/>
    <w:rsid w:val="006B5D2F"/>
    <w:rsid w:val="006B5E4D"/>
    <w:rsid w:val="006B60AC"/>
    <w:rsid w:val="006B62E4"/>
    <w:rsid w:val="006B63EB"/>
    <w:rsid w:val="006B6403"/>
    <w:rsid w:val="006B64A3"/>
    <w:rsid w:val="006B64CE"/>
    <w:rsid w:val="006B659A"/>
    <w:rsid w:val="006B6869"/>
    <w:rsid w:val="006B6873"/>
    <w:rsid w:val="006B68F4"/>
    <w:rsid w:val="006B6925"/>
    <w:rsid w:val="006B696F"/>
    <w:rsid w:val="006B69D1"/>
    <w:rsid w:val="006B6C80"/>
    <w:rsid w:val="006B6F52"/>
    <w:rsid w:val="006B73F8"/>
    <w:rsid w:val="006B75B8"/>
    <w:rsid w:val="006B76AE"/>
    <w:rsid w:val="006B76EF"/>
    <w:rsid w:val="006B7710"/>
    <w:rsid w:val="006B77F5"/>
    <w:rsid w:val="006B782A"/>
    <w:rsid w:val="006B787B"/>
    <w:rsid w:val="006B7900"/>
    <w:rsid w:val="006B7BF9"/>
    <w:rsid w:val="006B7EC5"/>
    <w:rsid w:val="006B7F7B"/>
    <w:rsid w:val="006C00A8"/>
    <w:rsid w:val="006C01ED"/>
    <w:rsid w:val="006C0381"/>
    <w:rsid w:val="006C0652"/>
    <w:rsid w:val="006C069F"/>
    <w:rsid w:val="006C08C0"/>
    <w:rsid w:val="006C08FF"/>
    <w:rsid w:val="006C0903"/>
    <w:rsid w:val="006C090A"/>
    <w:rsid w:val="006C09F2"/>
    <w:rsid w:val="006C0DC0"/>
    <w:rsid w:val="006C0F1B"/>
    <w:rsid w:val="006C1071"/>
    <w:rsid w:val="006C12BE"/>
    <w:rsid w:val="006C1351"/>
    <w:rsid w:val="006C13DC"/>
    <w:rsid w:val="006C1411"/>
    <w:rsid w:val="006C154B"/>
    <w:rsid w:val="006C15D2"/>
    <w:rsid w:val="006C1666"/>
    <w:rsid w:val="006C16AC"/>
    <w:rsid w:val="006C1836"/>
    <w:rsid w:val="006C18DA"/>
    <w:rsid w:val="006C1A03"/>
    <w:rsid w:val="006C1A23"/>
    <w:rsid w:val="006C1C07"/>
    <w:rsid w:val="006C1C59"/>
    <w:rsid w:val="006C1DEF"/>
    <w:rsid w:val="006C1E94"/>
    <w:rsid w:val="006C1F73"/>
    <w:rsid w:val="006C205F"/>
    <w:rsid w:val="006C2137"/>
    <w:rsid w:val="006C2179"/>
    <w:rsid w:val="006C21C2"/>
    <w:rsid w:val="006C23F6"/>
    <w:rsid w:val="006C2617"/>
    <w:rsid w:val="006C2B99"/>
    <w:rsid w:val="006C2BA3"/>
    <w:rsid w:val="006C2C1E"/>
    <w:rsid w:val="006C2C89"/>
    <w:rsid w:val="006C2ED6"/>
    <w:rsid w:val="006C3177"/>
    <w:rsid w:val="006C3239"/>
    <w:rsid w:val="006C3243"/>
    <w:rsid w:val="006C32C3"/>
    <w:rsid w:val="006C371D"/>
    <w:rsid w:val="006C3753"/>
    <w:rsid w:val="006C3770"/>
    <w:rsid w:val="006C37A1"/>
    <w:rsid w:val="006C37AD"/>
    <w:rsid w:val="006C386E"/>
    <w:rsid w:val="006C38B7"/>
    <w:rsid w:val="006C390C"/>
    <w:rsid w:val="006C3CE3"/>
    <w:rsid w:val="006C3DCA"/>
    <w:rsid w:val="006C3EB7"/>
    <w:rsid w:val="006C3EE8"/>
    <w:rsid w:val="006C3F23"/>
    <w:rsid w:val="006C403A"/>
    <w:rsid w:val="006C4271"/>
    <w:rsid w:val="006C42B2"/>
    <w:rsid w:val="006C45B5"/>
    <w:rsid w:val="006C4689"/>
    <w:rsid w:val="006C4746"/>
    <w:rsid w:val="006C48B9"/>
    <w:rsid w:val="006C4962"/>
    <w:rsid w:val="006C49A7"/>
    <w:rsid w:val="006C4A36"/>
    <w:rsid w:val="006C4B20"/>
    <w:rsid w:val="006C4BC1"/>
    <w:rsid w:val="006C4DA1"/>
    <w:rsid w:val="006C4DE1"/>
    <w:rsid w:val="006C4E70"/>
    <w:rsid w:val="006C4EAE"/>
    <w:rsid w:val="006C4F92"/>
    <w:rsid w:val="006C5190"/>
    <w:rsid w:val="006C524E"/>
    <w:rsid w:val="006C5324"/>
    <w:rsid w:val="006C535C"/>
    <w:rsid w:val="006C5406"/>
    <w:rsid w:val="006C54D9"/>
    <w:rsid w:val="006C559A"/>
    <w:rsid w:val="006C576D"/>
    <w:rsid w:val="006C5989"/>
    <w:rsid w:val="006C59CA"/>
    <w:rsid w:val="006C59CF"/>
    <w:rsid w:val="006C5AB6"/>
    <w:rsid w:val="006C5ACF"/>
    <w:rsid w:val="006C5E68"/>
    <w:rsid w:val="006C5FC4"/>
    <w:rsid w:val="006C617E"/>
    <w:rsid w:val="006C636B"/>
    <w:rsid w:val="006C63A0"/>
    <w:rsid w:val="006C6550"/>
    <w:rsid w:val="006C6573"/>
    <w:rsid w:val="006C6642"/>
    <w:rsid w:val="006C6706"/>
    <w:rsid w:val="006C67FC"/>
    <w:rsid w:val="006C6926"/>
    <w:rsid w:val="006C6979"/>
    <w:rsid w:val="006C6ADC"/>
    <w:rsid w:val="006C6C7C"/>
    <w:rsid w:val="006C6C95"/>
    <w:rsid w:val="006C6EBD"/>
    <w:rsid w:val="006C6F27"/>
    <w:rsid w:val="006C6FC0"/>
    <w:rsid w:val="006C7017"/>
    <w:rsid w:val="006C711A"/>
    <w:rsid w:val="006C72BB"/>
    <w:rsid w:val="006C73D6"/>
    <w:rsid w:val="006C7582"/>
    <w:rsid w:val="006C765E"/>
    <w:rsid w:val="006C766E"/>
    <w:rsid w:val="006C7737"/>
    <w:rsid w:val="006C773A"/>
    <w:rsid w:val="006C784D"/>
    <w:rsid w:val="006C78A0"/>
    <w:rsid w:val="006C7A31"/>
    <w:rsid w:val="006C7BAA"/>
    <w:rsid w:val="006C7C26"/>
    <w:rsid w:val="006C7CC8"/>
    <w:rsid w:val="006C7E47"/>
    <w:rsid w:val="006C7EF2"/>
    <w:rsid w:val="006C7FA2"/>
    <w:rsid w:val="006C7FF7"/>
    <w:rsid w:val="006D01B4"/>
    <w:rsid w:val="006D0324"/>
    <w:rsid w:val="006D0330"/>
    <w:rsid w:val="006D052A"/>
    <w:rsid w:val="006D05BF"/>
    <w:rsid w:val="006D05D7"/>
    <w:rsid w:val="006D08C5"/>
    <w:rsid w:val="006D0937"/>
    <w:rsid w:val="006D09B0"/>
    <w:rsid w:val="006D0ACB"/>
    <w:rsid w:val="006D0B16"/>
    <w:rsid w:val="006D0BDF"/>
    <w:rsid w:val="006D0E15"/>
    <w:rsid w:val="006D0F11"/>
    <w:rsid w:val="006D12BE"/>
    <w:rsid w:val="006D12F1"/>
    <w:rsid w:val="006D132E"/>
    <w:rsid w:val="006D135C"/>
    <w:rsid w:val="006D13B4"/>
    <w:rsid w:val="006D1518"/>
    <w:rsid w:val="006D1714"/>
    <w:rsid w:val="006D1BE2"/>
    <w:rsid w:val="006D1D6B"/>
    <w:rsid w:val="006D1ED3"/>
    <w:rsid w:val="006D2141"/>
    <w:rsid w:val="006D231A"/>
    <w:rsid w:val="006D261D"/>
    <w:rsid w:val="006D26BA"/>
    <w:rsid w:val="006D2859"/>
    <w:rsid w:val="006D2868"/>
    <w:rsid w:val="006D28C1"/>
    <w:rsid w:val="006D2908"/>
    <w:rsid w:val="006D290D"/>
    <w:rsid w:val="006D295E"/>
    <w:rsid w:val="006D2A5B"/>
    <w:rsid w:val="006D2A64"/>
    <w:rsid w:val="006D2B59"/>
    <w:rsid w:val="006D2D04"/>
    <w:rsid w:val="006D2D7C"/>
    <w:rsid w:val="006D2D7D"/>
    <w:rsid w:val="006D2E46"/>
    <w:rsid w:val="006D30F7"/>
    <w:rsid w:val="006D318D"/>
    <w:rsid w:val="006D3387"/>
    <w:rsid w:val="006D3393"/>
    <w:rsid w:val="006D33BC"/>
    <w:rsid w:val="006D3787"/>
    <w:rsid w:val="006D3812"/>
    <w:rsid w:val="006D39BE"/>
    <w:rsid w:val="006D3AEB"/>
    <w:rsid w:val="006D3B47"/>
    <w:rsid w:val="006D3CF9"/>
    <w:rsid w:val="006D3E1D"/>
    <w:rsid w:val="006D3ECA"/>
    <w:rsid w:val="006D3F32"/>
    <w:rsid w:val="006D402B"/>
    <w:rsid w:val="006D41EA"/>
    <w:rsid w:val="006D42B9"/>
    <w:rsid w:val="006D4519"/>
    <w:rsid w:val="006D455A"/>
    <w:rsid w:val="006D458A"/>
    <w:rsid w:val="006D496A"/>
    <w:rsid w:val="006D4A1C"/>
    <w:rsid w:val="006D4BD7"/>
    <w:rsid w:val="006D4EC5"/>
    <w:rsid w:val="006D4EED"/>
    <w:rsid w:val="006D4F7F"/>
    <w:rsid w:val="006D4FE1"/>
    <w:rsid w:val="006D5043"/>
    <w:rsid w:val="006D517E"/>
    <w:rsid w:val="006D5261"/>
    <w:rsid w:val="006D52B5"/>
    <w:rsid w:val="006D5317"/>
    <w:rsid w:val="006D538B"/>
    <w:rsid w:val="006D54A5"/>
    <w:rsid w:val="006D54EE"/>
    <w:rsid w:val="006D5611"/>
    <w:rsid w:val="006D56D6"/>
    <w:rsid w:val="006D5874"/>
    <w:rsid w:val="006D5879"/>
    <w:rsid w:val="006D59E5"/>
    <w:rsid w:val="006D5AA3"/>
    <w:rsid w:val="006D5C33"/>
    <w:rsid w:val="006D5CFC"/>
    <w:rsid w:val="006D5D0E"/>
    <w:rsid w:val="006D5DFF"/>
    <w:rsid w:val="006D5E16"/>
    <w:rsid w:val="006D5EAD"/>
    <w:rsid w:val="006D6064"/>
    <w:rsid w:val="006D623F"/>
    <w:rsid w:val="006D63EB"/>
    <w:rsid w:val="006D6664"/>
    <w:rsid w:val="006D666D"/>
    <w:rsid w:val="006D673F"/>
    <w:rsid w:val="006D67E6"/>
    <w:rsid w:val="006D6870"/>
    <w:rsid w:val="006D6992"/>
    <w:rsid w:val="006D6A71"/>
    <w:rsid w:val="006D6AF8"/>
    <w:rsid w:val="006D6C50"/>
    <w:rsid w:val="006D6DB5"/>
    <w:rsid w:val="006D6DD1"/>
    <w:rsid w:val="006D6F4E"/>
    <w:rsid w:val="006D6F5A"/>
    <w:rsid w:val="006D6F77"/>
    <w:rsid w:val="006D7209"/>
    <w:rsid w:val="006D724F"/>
    <w:rsid w:val="006D7263"/>
    <w:rsid w:val="006D72A7"/>
    <w:rsid w:val="006D743D"/>
    <w:rsid w:val="006D75E5"/>
    <w:rsid w:val="006D76AE"/>
    <w:rsid w:val="006D77C5"/>
    <w:rsid w:val="006D77CE"/>
    <w:rsid w:val="006D7839"/>
    <w:rsid w:val="006D7881"/>
    <w:rsid w:val="006D789E"/>
    <w:rsid w:val="006D7944"/>
    <w:rsid w:val="006D798B"/>
    <w:rsid w:val="006D7CD6"/>
    <w:rsid w:val="006D7CDD"/>
    <w:rsid w:val="006D7D7A"/>
    <w:rsid w:val="006D7F70"/>
    <w:rsid w:val="006E0445"/>
    <w:rsid w:val="006E047B"/>
    <w:rsid w:val="006E0508"/>
    <w:rsid w:val="006E057C"/>
    <w:rsid w:val="006E0665"/>
    <w:rsid w:val="006E06F3"/>
    <w:rsid w:val="006E070E"/>
    <w:rsid w:val="006E074B"/>
    <w:rsid w:val="006E0958"/>
    <w:rsid w:val="006E0BC6"/>
    <w:rsid w:val="006E0C5D"/>
    <w:rsid w:val="006E0D09"/>
    <w:rsid w:val="006E0DA8"/>
    <w:rsid w:val="006E0F30"/>
    <w:rsid w:val="006E0F3E"/>
    <w:rsid w:val="006E1012"/>
    <w:rsid w:val="006E132B"/>
    <w:rsid w:val="006E141A"/>
    <w:rsid w:val="006E1646"/>
    <w:rsid w:val="006E16B7"/>
    <w:rsid w:val="006E1998"/>
    <w:rsid w:val="006E19A8"/>
    <w:rsid w:val="006E1A46"/>
    <w:rsid w:val="006E1A6B"/>
    <w:rsid w:val="006E1B84"/>
    <w:rsid w:val="006E1C1C"/>
    <w:rsid w:val="006E1DB2"/>
    <w:rsid w:val="006E1E68"/>
    <w:rsid w:val="006E1F38"/>
    <w:rsid w:val="006E227C"/>
    <w:rsid w:val="006E22E3"/>
    <w:rsid w:val="006E23AF"/>
    <w:rsid w:val="006E2413"/>
    <w:rsid w:val="006E2496"/>
    <w:rsid w:val="006E2604"/>
    <w:rsid w:val="006E2626"/>
    <w:rsid w:val="006E26DE"/>
    <w:rsid w:val="006E2903"/>
    <w:rsid w:val="006E2925"/>
    <w:rsid w:val="006E2932"/>
    <w:rsid w:val="006E2B62"/>
    <w:rsid w:val="006E2C7F"/>
    <w:rsid w:val="006E2EE1"/>
    <w:rsid w:val="006E2F7E"/>
    <w:rsid w:val="006E3069"/>
    <w:rsid w:val="006E3091"/>
    <w:rsid w:val="006E3094"/>
    <w:rsid w:val="006E30B4"/>
    <w:rsid w:val="006E311F"/>
    <w:rsid w:val="006E32D4"/>
    <w:rsid w:val="006E349A"/>
    <w:rsid w:val="006E34C9"/>
    <w:rsid w:val="006E36D5"/>
    <w:rsid w:val="006E36D7"/>
    <w:rsid w:val="006E36DA"/>
    <w:rsid w:val="006E3843"/>
    <w:rsid w:val="006E38F7"/>
    <w:rsid w:val="006E3926"/>
    <w:rsid w:val="006E3A0A"/>
    <w:rsid w:val="006E3A28"/>
    <w:rsid w:val="006E3B7F"/>
    <w:rsid w:val="006E3B94"/>
    <w:rsid w:val="006E3D7C"/>
    <w:rsid w:val="006E3E05"/>
    <w:rsid w:val="006E3E1A"/>
    <w:rsid w:val="006E3E22"/>
    <w:rsid w:val="006E3FFB"/>
    <w:rsid w:val="006E402E"/>
    <w:rsid w:val="006E4096"/>
    <w:rsid w:val="006E414A"/>
    <w:rsid w:val="006E41C5"/>
    <w:rsid w:val="006E4434"/>
    <w:rsid w:val="006E4512"/>
    <w:rsid w:val="006E45FB"/>
    <w:rsid w:val="006E4667"/>
    <w:rsid w:val="006E46AB"/>
    <w:rsid w:val="006E4864"/>
    <w:rsid w:val="006E4A2C"/>
    <w:rsid w:val="006E4AD6"/>
    <w:rsid w:val="006E4AE4"/>
    <w:rsid w:val="006E4B38"/>
    <w:rsid w:val="006E4B47"/>
    <w:rsid w:val="006E4B6A"/>
    <w:rsid w:val="006E4C46"/>
    <w:rsid w:val="006E4D0D"/>
    <w:rsid w:val="006E4E61"/>
    <w:rsid w:val="006E4F20"/>
    <w:rsid w:val="006E5392"/>
    <w:rsid w:val="006E5491"/>
    <w:rsid w:val="006E5614"/>
    <w:rsid w:val="006E5988"/>
    <w:rsid w:val="006E5A40"/>
    <w:rsid w:val="006E5A52"/>
    <w:rsid w:val="006E5E38"/>
    <w:rsid w:val="006E6093"/>
    <w:rsid w:val="006E60E8"/>
    <w:rsid w:val="006E62F1"/>
    <w:rsid w:val="006E6440"/>
    <w:rsid w:val="006E6511"/>
    <w:rsid w:val="006E66EC"/>
    <w:rsid w:val="006E6728"/>
    <w:rsid w:val="006E678C"/>
    <w:rsid w:val="006E68A8"/>
    <w:rsid w:val="006E69A5"/>
    <w:rsid w:val="006E6A52"/>
    <w:rsid w:val="006E6BE1"/>
    <w:rsid w:val="006E6C60"/>
    <w:rsid w:val="006E6CE2"/>
    <w:rsid w:val="006E6DFE"/>
    <w:rsid w:val="006E6EEB"/>
    <w:rsid w:val="006E6F56"/>
    <w:rsid w:val="006E728E"/>
    <w:rsid w:val="006E7336"/>
    <w:rsid w:val="006E7645"/>
    <w:rsid w:val="006E7671"/>
    <w:rsid w:val="006E76F8"/>
    <w:rsid w:val="006E7836"/>
    <w:rsid w:val="006E78BE"/>
    <w:rsid w:val="006E79AC"/>
    <w:rsid w:val="006E79C7"/>
    <w:rsid w:val="006E7A28"/>
    <w:rsid w:val="006E7A80"/>
    <w:rsid w:val="006E7B90"/>
    <w:rsid w:val="006E7BA3"/>
    <w:rsid w:val="006E7BC7"/>
    <w:rsid w:val="006E7BE3"/>
    <w:rsid w:val="006E7D2A"/>
    <w:rsid w:val="006E7F14"/>
    <w:rsid w:val="006E7F26"/>
    <w:rsid w:val="006E7FED"/>
    <w:rsid w:val="006F0171"/>
    <w:rsid w:val="006F068E"/>
    <w:rsid w:val="006F0915"/>
    <w:rsid w:val="006F0BC2"/>
    <w:rsid w:val="006F0BCD"/>
    <w:rsid w:val="006F0E4E"/>
    <w:rsid w:val="006F0E75"/>
    <w:rsid w:val="006F0FBF"/>
    <w:rsid w:val="006F1256"/>
    <w:rsid w:val="006F1418"/>
    <w:rsid w:val="006F1491"/>
    <w:rsid w:val="006F1649"/>
    <w:rsid w:val="006F16C7"/>
    <w:rsid w:val="006F170B"/>
    <w:rsid w:val="006F192C"/>
    <w:rsid w:val="006F19F7"/>
    <w:rsid w:val="006F1AAE"/>
    <w:rsid w:val="006F1AD1"/>
    <w:rsid w:val="006F1B30"/>
    <w:rsid w:val="006F1E4C"/>
    <w:rsid w:val="006F1E5A"/>
    <w:rsid w:val="006F1EE5"/>
    <w:rsid w:val="006F20F9"/>
    <w:rsid w:val="006F2152"/>
    <w:rsid w:val="006F250C"/>
    <w:rsid w:val="006F254D"/>
    <w:rsid w:val="006F2844"/>
    <w:rsid w:val="006F286F"/>
    <w:rsid w:val="006F2900"/>
    <w:rsid w:val="006F291B"/>
    <w:rsid w:val="006F292D"/>
    <w:rsid w:val="006F29D9"/>
    <w:rsid w:val="006F2A2D"/>
    <w:rsid w:val="006F2A7D"/>
    <w:rsid w:val="006F2AEF"/>
    <w:rsid w:val="006F2BAD"/>
    <w:rsid w:val="006F2C7A"/>
    <w:rsid w:val="006F2E43"/>
    <w:rsid w:val="006F2E5B"/>
    <w:rsid w:val="006F3146"/>
    <w:rsid w:val="006F3809"/>
    <w:rsid w:val="006F3844"/>
    <w:rsid w:val="006F3846"/>
    <w:rsid w:val="006F38BF"/>
    <w:rsid w:val="006F39B2"/>
    <w:rsid w:val="006F3BDC"/>
    <w:rsid w:val="006F3CB1"/>
    <w:rsid w:val="006F3CD7"/>
    <w:rsid w:val="006F3CF9"/>
    <w:rsid w:val="006F3D25"/>
    <w:rsid w:val="006F3EB8"/>
    <w:rsid w:val="006F3F33"/>
    <w:rsid w:val="006F3F86"/>
    <w:rsid w:val="006F425B"/>
    <w:rsid w:val="006F42F6"/>
    <w:rsid w:val="006F42F9"/>
    <w:rsid w:val="006F42FB"/>
    <w:rsid w:val="006F44E2"/>
    <w:rsid w:val="006F4542"/>
    <w:rsid w:val="006F48F8"/>
    <w:rsid w:val="006F49DD"/>
    <w:rsid w:val="006F4ABC"/>
    <w:rsid w:val="006F4B08"/>
    <w:rsid w:val="006F4B52"/>
    <w:rsid w:val="006F4E2F"/>
    <w:rsid w:val="006F5160"/>
    <w:rsid w:val="006F5317"/>
    <w:rsid w:val="006F5365"/>
    <w:rsid w:val="006F53A8"/>
    <w:rsid w:val="006F53E2"/>
    <w:rsid w:val="006F5420"/>
    <w:rsid w:val="006F54B3"/>
    <w:rsid w:val="006F586A"/>
    <w:rsid w:val="006F5888"/>
    <w:rsid w:val="006F5982"/>
    <w:rsid w:val="006F5B7D"/>
    <w:rsid w:val="006F5CE3"/>
    <w:rsid w:val="006F5FF4"/>
    <w:rsid w:val="006F6031"/>
    <w:rsid w:val="006F6172"/>
    <w:rsid w:val="006F6397"/>
    <w:rsid w:val="006F6401"/>
    <w:rsid w:val="006F65CC"/>
    <w:rsid w:val="006F6797"/>
    <w:rsid w:val="006F679C"/>
    <w:rsid w:val="006F6877"/>
    <w:rsid w:val="006F6B25"/>
    <w:rsid w:val="006F6BE8"/>
    <w:rsid w:val="006F6C0F"/>
    <w:rsid w:val="006F6C51"/>
    <w:rsid w:val="006F6E81"/>
    <w:rsid w:val="006F6F6D"/>
    <w:rsid w:val="006F6FB8"/>
    <w:rsid w:val="006F7074"/>
    <w:rsid w:val="006F72C0"/>
    <w:rsid w:val="006F7479"/>
    <w:rsid w:val="006F74CC"/>
    <w:rsid w:val="006F7512"/>
    <w:rsid w:val="006F75E4"/>
    <w:rsid w:val="006F7873"/>
    <w:rsid w:val="006F788E"/>
    <w:rsid w:val="006F78DF"/>
    <w:rsid w:val="006F78EB"/>
    <w:rsid w:val="006F7940"/>
    <w:rsid w:val="006F795B"/>
    <w:rsid w:val="006F7AAB"/>
    <w:rsid w:val="006F7B11"/>
    <w:rsid w:val="006F7C9C"/>
    <w:rsid w:val="006F7D20"/>
    <w:rsid w:val="006F7EB7"/>
    <w:rsid w:val="006F7ECE"/>
    <w:rsid w:val="006F7F73"/>
    <w:rsid w:val="006F7FFE"/>
    <w:rsid w:val="0070010C"/>
    <w:rsid w:val="00700128"/>
    <w:rsid w:val="00700194"/>
    <w:rsid w:val="00700219"/>
    <w:rsid w:val="00700248"/>
    <w:rsid w:val="007002B6"/>
    <w:rsid w:val="00700497"/>
    <w:rsid w:val="007005A4"/>
    <w:rsid w:val="007008FA"/>
    <w:rsid w:val="00700E2F"/>
    <w:rsid w:val="007010D0"/>
    <w:rsid w:val="007010D2"/>
    <w:rsid w:val="00701303"/>
    <w:rsid w:val="00701329"/>
    <w:rsid w:val="00701418"/>
    <w:rsid w:val="007014A6"/>
    <w:rsid w:val="007015B5"/>
    <w:rsid w:val="0070165D"/>
    <w:rsid w:val="007016C0"/>
    <w:rsid w:val="007019B8"/>
    <w:rsid w:val="00701A82"/>
    <w:rsid w:val="00701B03"/>
    <w:rsid w:val="00702000"/>
    <w:rsid w:val="0070206D"/>
    <w:rsid w:val="007020E9"/>
    <w:rsid w:val="0070234D"/>
    <w:rsid w:val="0070245E"/>
    <w:rsid w:val="007024E7"/>
    <w:rsid w:val="007024ED"/>
    <w:rsid w:val="007025AA"/>
    <w:rsid w:val="007025DB"/>
    <w:rsid w:val="00702640"/>
    <w:rsid w:val="007026C8"/>
    <w:rsid w:val="00702789"/>
    <w:rsid w:val="0070292F"/>
    <w:rsid w:val="0070295E"/>
    <w:rsid w:val="007029B2"/>
    <w:rsid w:val="00702B51"/>
    <w:rsid w:val="00702D26"/>
    <w:rsid w:val="00702E01"/>
    <w:rsid w:val="00702E1A"/>
    <w:rsid w:val="00703042"/>
    <w:rsid w:val="00703366"/>
    <w:rsid w:val="0070342E"/>
    <w:rsid w:val="007037C8"/>
    <w:rsid w:val="007038E9"/>
    <w:rsid w:val="007039B4"/>
    <w:rsid w:val="00703BB7"/>
    <w:rsid w:val="00703C46"/>
    <w:rsid w:val="00703C91"/>
    <w:rsid w:val="00703CE1"/>
    <w:rsid w:val="00703CF8"/>
    <w:rsid w:val="00703D3C"/>
    <w:rsid w:val="00703E5B"/>
    <w:rsid w:val="00703E80"/>
    <w:rsid w:val="00703F3E"/>
    <w:rsid w:val="00703FAD"/>
    <w:rsid w:val="00703FFC"/>
    <w:rsid w:val="00704129"/>
    <w:rsid w:val="0070417E"/>
    <w:rsid w:val="007041DB"/>
    <w:rsid w:val="007043A9"/>
    <w:rsid w:val="0070448D"/>
    <w:rsid w:val="007044BC"/>
    <w:rsid w:val="00704507"/>
    <w:rsid w:val="0070461B"/>
    <w:rsid w:val="007047FE"/>
    <w:rsid w:val="0070480D"/>
    <w:rsid w:val="0070485B"/>
    <w:rsid w:val="00704BBE"/>
    <w:rsid w:val="00704EE7"/>
    <w:rsid w:val="00704FC3"/>
    <w:rsid w:val="007050C1"/>
    <w:rsid w:val="007051DF"/>
    <w:rsid w:val="00705259"/>
    <w:rsid w:val="007053EC"/>
    <w:rsid w:val="00705513"/>
    <w:rsid w:val="007057FC"/>
    <w:rsid w:val="0070589F"/>
    <w:rsid w:val="00705916"/>
    <w:rsid w:val="007059D8"/>
    <w:rsid w:val="00705BBB"/>
    <w:rsid w:val="00705CE6"/>
    <w:rsid w:val="00705EC0"/>
    <w:rsid w:val="00705FC6"/>
    <w:rsid w:val="00706043"/>
    <w:rsid w:val="0070629E"/>
    <w:rsid w:val="0070636D"/>
    <w:rsid w:val="0070637D"/>
    <w:rsid w:val="00706457"/>
    <w:rsid w:val="00706742"/>
    <w:rsid w:val="0070678B"/>
    <w:rsid w:val="007067FC"/>
    <w:rsid w:val="00706856"/>
    <w:rsid w:val="00706A2F"/>
    <w:rsid w:val="00706C67"/>
    <w:rsid w:val="00706C8B"/>
    <w:rsid w:val="00706D00"/>
    <w:rsid w:val="00706D16"/>
    <w:rsid w:val="00706DB3"/>
    <w:rsid w:val="00706EA4"/>
    <w:rsid w:val="00706FEE"/>
    <w:rsid w:val="00707097"/>
    <w:rsid w:val="007071EA"/>
    <w:rsid w:val="0070722C"/>
    <w:rsid w:val="00707402"/>
    <w:rsid w:val="00707628"/>
    <w:rsid w:val="00707665"/>
    <w:rsid w:val="007076A4"/>
    <w:rsid w:val="00707765"/>
    <w:rsid w:val="0070789E"/>
    <w:rsid w:val="00707990"/>
    <w:rsid w:val="00707B4D"/>
    <w:rsid w:val="00707CE0"/>
    <w:rsid w:val="00707D8C"/>
    <w:rsid w:val="00707E11"/>
    <w:rsid w:val="00707EC2"/>
    <w:rsid w:val="0071012D"/>
    <w:rsid w:val="0071057E"/>
    <w:rsid w:val="007105EA"/>
    <w:rsid w:val="00710747"/>
    <w:rsid w:val="007107AB"/>
    <w:rsid w:val="00710846"/>
    <w:rsid w:val="007109C1"/>
    <w:rsid w:val="007109C9"/>
    <w:rsid w:val="00710A94"/>
    <w:rsid w:val="00710ACC"/>
    <w:rsid w:val="00710B6B"/>
    <w:rsid w:val="00710BE1"/>
    <w:rsid w:val="00710E7D"/>
    <w:rsid w:val="007111DF"/>
    <w:rsid w:val="007111FC"/>
    <w:rsid w:val="007112EF"/>
    <w:rsid w:val="00711328"/>
    <w:rsid w:val="00711655"/>
    <w:rsid w:val="007116E1"/>
    <w:rsid w:val="007116EA"/>
    <w:rsid w:val="00711860"/>
    <w:rsid w:val="00711969"/>
    <w:rsid w:val="00711D0B"/>
    <w:rsid w:val="00711EF5"/>
    <w:rsid w:val="00711F4B"/>
    <w:rsid w:val="00711F6C"/>
    <w:rsid w:val="007121BF"/>
    <w:rsid w:val="00712205"/>
    <w:rsid w:val="0071223B"/>
    <w:rsid w:val="0071234B"/>
    <w:rsid w:val="00712371"/>
    <w:rsid w:val="007123D2"/>
    <w:rsid w:val="007124DC"/>
    <w:rsid w:val="00712502"/>
    <w:rsid w:val="0071259A"/>
    <w:rsid w:val="007125EE"/>
    <w:rsid w:val="00712700"/>
    <w:rsid w:val="007127C3"/>
    <w:rsid w:val="007128EE"/>
    <w:rsid w:val="0071290C"/>
    <w:rsid w:val="007129A9"/>
    <w:rsid w:val="007129FA"/>
    <w:rsid w:val="00712A92"/>
    <w:rsid w:val="00712C6C"/>
    <w:rsid w:val="00712D1D"/>
    <w:rsid w:val="00712DC8"/>
    <w:rsid w:val="00712E2E"/>
    <w:rsid w:val="007131E8"/>
    <w:rsid w:val="0071353F"/>
    <w:rsid w:val="00713580"/>
    <w:rsid w:val="00713744"/>
    <w:rsid w:val="00713BA8"/>
    <w:rsid w:val="00713E9F"/>
    <w:rsid w:val="0071404F"/>
    <w:rsid w:val="0071433C"/>
    <w:rsid w:val="0071438B"/>
    <w:rsid w:val="0071454D"/>
    <w:rsid w:val="00714563"/>
    <w:rsid w:val="0071499E"/>
    <w:rsid w:val="007149F5"/>
    <w:rsid w:val="00714A0E"/>
    <w:rsid w:val="00714A60"/>
    <w:rsid w:val="00714C76"/>
    <w:rsid w:val="00714D8D"/>
    <w:rsid w:val="00714D91"/>
    <w:rsid w:val="00714E30"/>
    <w:rsid w:val="00714E63"/>
    <w:rsid w:val="00714F6E"/>
    <w:rsid w:val="00714F95"/>
    <w:rsid w:val="00714FE9"/>
    <w:rsid w:val="00715142"/>
    <w:rsid w:val="00715498"/>
    <w:rsid w:val="007155FC"/>
    <w:rsid w:val="0071580D"/>
    <w:rsid w:val="00715837"/>
    <w:rsid w:val="0071599F"/>
    <w:rsid w:val="00715A5F"/>
    <w:rsid w:val="00715C19"/>
    <w:rsid w:val="00715D18"/>
    <w:rsid w:val="00715D44"/>
    <w:rsid w:val="00715FE4"/>
    <w:rsid w:val="00715FF2"/>
    <w:rsid w:val="00715FF5"/>
    <w:rsid w:val="0071603D"/>
    <w:rsid w:val="0071606F"/>
    <w:rsid w:val="00716132"/>
    <w:rsid w:val="00716427"/>
    <w:rsid w:val="0071649A"/>
    <w:rsid w:val="0071672E"/>
    <w:rsid w:val="0071673E"/>
    <w:rsid w:val="0071681A"/>
    <w:rsid w:val="0071686B"/>
    <w:rsid w:val="00716B2A"/>
    <w:rsid w:val="00716E31"/>
    <w:rsid w:val="00716ECB"/>
    <w:rsid w:val="00716F1A"/>
    <w:rsid w:val="00716F4F"/>
    <w:rsid w:val="00716F6F"/>
    <w:rsid w:val="00716F78"/>
    <w:rsid w:val="00717056"/>
    <w:rsid w:val="00717191"/>
    <w:rsid w:val="0071719A"/>
    <w:rsid w:val="007171B8"/>
    <w:rsid w:val="007172A2"/>
    <w:rsid w:val="0071737C"/>
    <w:rsid w:val="00717434"/>
    <w:rsid w:val="00717474"/>
    <w:rsid w:val="0071751A"/>
    <w:rsid w:val="007175ED"/>
    <w:rsid w:val="007176DF"/>
    <w:rsid w:val="00717780"/>
    <w:rsid w:val="00717827"/>
    <w:rsid w:val="00717834"/>
    <w:rsid w:val="0071799B"/>
    <w:rsid w:val="007179BB"/>
    <w:rsid w:val="00717A79"/>
    <w:rsid w:val="00717C57"/>
    <w:rsid w:val="00717E56"/>
    <w:rsid w:val="00717F33"/>
    <w:rsid w:val="00717F37"/>
    <w:rsid w:val="00717F8E"/>
    <w:rsid w:val="00718FD6"/>
    <w:rsid w:val="007200EA"/>
    <w:rsid w:val="0072016E"/>
    <w:rsid w:val="00720321"/>
    <w:rsid w:val="0072045E"/>
    <w:rsid w:val="0072052D"/>
    <w:rsid w:val="00720710"/>
    <w:rsid w:val="007207B3"/>
    <w:rsid w:val="007207F3"/>
    <w:rsid w:val="00720947"/>
    <w:rsid w:val="00720B6D"/>
    <w:rsid w:val="00720DDF"/>
    <w:rsid w:val="00720F3C"/>
    <w:rsid w:val="00721029"/>
    <w:rsid w:val="0072119F"/>
    <w:rsid w:val="00721319"/>
    <w:rsid w:val="0072144E"/>
    <w:rsid w:val="0072148E"/>
    <w:rsid w:val="007216B1"/>
    <w:rsid w:val="007216DF"/>
    <w:rsid w:val="00721881"/>
    <w:rsid w:val="007218E0"/>
    <w:rsid w:val="00721E33"/>
    <w:rsid w:val="00721F08"/>
    <w:rsid w:val="00721F21"/>
    <w:rsid w:val="00721F37"/>
    <w:rsid w:val="00721F94"/>
    <w:rsid w:val="00721FE4"/>
    <w:rsid w:val="00722134"/>
    <w:rsid w:val="0072223B"/>
    <w:rsid w:val="00722334"/>
    <w:rsid w:val="007223A8"/>
    <w:rsid w:val="007226AE"/>
    <w:rsid w:val="00722778"/>
    <w:rsid w:val="007227D4"/>
    <w:rsid w:val="0072288A"/>
    <w:rsid w:val="00722900"/>
    <w:rsid w:val="00722ACE"/>
    <w:rsid w:val="00722B2E"/>
    <w:rsid w:val="00722BEC"/>
    <w:rsid w:val="00722CBB"/>
    <w:rsid w:val="00722EE1"/>
    <w:rsid w:val="00722EE3"/>
    <w:rsid w:val="00722FCB"/>
    <w:rsid w:val="007230E1"/>
    <w:rsid w:val="0072310A"/>
    <w:rsid w:val="00723160"/>
    <w:rsid w:val="0072320F"/>
    <w:rsid w:val="007235E3"/>
    <w:rsid w:val="00723812"/>
    <w:rsid w:val="00723861"/>
    <w:rsid w:val="00723883"/>
    <w:rsid w:val="007238B8"/>
    <w:rsid w:val="007239A3"/>
    <w:rsid w:val="00723A96"/>
    <w:rsid w:val="00723BD2"/>
    <w:rsid w:val="00723C28"/>
    <w:rsid w:val="00723C9C"/>
    <w:rsid w:val="00723CFF"/>
    <w:rsid w:val="0072410E"/>
    <w:rsid w:val="00724226"/>
    <w:rsid w:val="0072428E"/>
    <w:rsid w:val="007242D2"/>
    <w:rsid w:val="007242DC"/>
    <w:rsid w:val="00724675"/>
    <w:rsid w:val="00724A1E"/>
    <w:rsid w:val="00724D75"/>
    <w:rsid w:val="00725022"/>
    <w:rsid w:val="00725292"/>
    <w:rsid w:val="00725443"/>
    <w:rsid w:val="007255CF"/>
    <w:rsid w:val="00725851"/>
    <w:rsid w:val="007258FA"/>
    <w:rsid w:val="00725B27"/>
    <w:rsid w:val="00725B67"/>
    <w:rsid w:val="007261CF"/>
    <w:rsid w:val="00726612"/>
    <w:rsid w:val="007266DD"/>
    <w:rsid w:val="007266F2"/>
    <w:rsid w:val="00726795"/>
    <w:rsid w:val="0072687E"/>
    <w:rsid w:val="007268F9"/>
    <w:rsid w:val="00726A6E"/>
    <w:rsid w:val="00726C7D"/>
    <w:rsid w:val="00726CB3"/>
    <w:rsid w:val="00726F86"/>
    <w:rsid w:val="00726FE7"/>
    <w:rsid w:val="007270EF"/>
    <w:rsid w:val="00727136"/>
    <w:rsid w:val="00727277"/>
    <w:rsid w:val="007272C0"/>
    <w:rsid w:val="00727318"/>
    <w:rsid w:val="00727351"/>
    <w:rsid w:val="00727371"/>
    <w:rsid w:val="00727391"/>
    <w:rsid w:val="00727415"/>
    <w:rsid w:val="00727551"/>
    <w:rsid w:val="00727559"/>
    <w:rsid w:val="007275E6"/>
    <w:rsid w:val="0072787F"/>
    <w:rsid w:val="00727959"/>
    <w:rsid w:val="00727ACE"/>
    <w:rsid w:val="00727BFE"/>
    <w:rsid w:val="00727D6F"/>
    <w:rsid w:val="00727D72"/>
    <w:rsid w:val="0073018F"/>
    <w:rsid w:val="00730450"/>
    <w:rsid w:val="0073065D"/>
    <w:rsid w:val="007309F0"/>
    <w:rsid w:val="00730B3F"/>
    <w:rsid w:val="00730BBD"/>
    <w:rsid w:val="00730C93"/>
    <w:rsid w:val="00730CFB"/>
    <w:rsid w:val="00730DE4"/>
    <w:rsid w:val="00730F80"/>
    <w:rsid w:val="00731095"/>
    <w:rsid w:val="007310BD"/>
    <w:rsid w:val="0073138A"/>
    <w:rsid w:val="00731445"/>
    <w:rsid w:val="0073146C"/>
    <w:rsid w:val="007316EB"/>
    <w:rsid w:val="007317AB"/>
    <w:rsid w:val="00731821"/>
    <w:rsid w:val="007319C5"/>
    <w:rsid w:val="007319E8"/>
    <w:rsid w:val="00731A57"/>
    <w:rsid w:val="00731C12"/>
    <w:rsid w:val="00731F2D"/>
    <w:rsid w:val="0073200C"/>
    <w:rsid w:val="00732178"/>
    <w:rsid w:val="007321E0"/>
    <w:rsid w:val="007321F0"/>
    <w:rsid w:val="0073225F"/>
    <w:rsid w:val="0073227E"/>
    <w:rsid w:val="007323E9"/>
    <w:rsid w:val="00732543"/>
    <w:rsid w:val="007325DA"/>
    <w:rsid w:val="0073261B"/>
    <w:rsid w:val="00732769"/>
    <w:rsid w:val="007328FA"/>
    <w:rsid w:val="00732923"/>
    <w:rsid w:val="00732C75"/>
    <w:rsid w:val="00732D3D"/>
    <w:rsid w:val="00732EAE"/>
    <w:rsid w:val="00732F94"/>
    <w:rsid w:val="0073300E"/>
    <w:rsid w:val="007332A0"/>
    <w:rsid w:val="007334E9"/>
    <w:rsid w:val="007338B3"/>
    <w:rsid w:val="007338E3"/>
    <w:rsid w:val="007339D7"/>
    <w:rsid w:val="00733E7C"/>
    <w:rsid w:val="00733FEE"/>
    <w:rsid w:val="00734296"/>
    <w:rsid w:val="007342C8"/>
    <w:rsid w:val="007343B1"/>
    <w:rsid w:val="007343EB"/>
    <w:rsid w:val="007345D8"/>
    <w:rsid w:val="007345F0"/>
    <w:rsid w:val="00734655"/>
    <w:rsid w:val="00734990"/>
    <w:rsid w:val="00734AEE"/>
    <w:rsid w:val="00734B60"/>
    <w:rsid w:val="00734BCE"/>
    <w:rsid w:val="00734BDA"/>
    <w:rsid w:val="00734C4C"/>
    <w:rsid w:val="00734F39"/>
    <w:rsid w:val="00734F4C"/>
    <w:rsid w:val="007351BE"/>
    <w:rsid w:val="007352BF"/>
    <w:rsid w:val="007352D1"/>
    <w:rsid w:val="0073537E"/>
    <w:rsid w:val="007353BD"/>
    <w:rsid w:val="007353EE"/>
    <w:rsid w:val="00735857"/>
    <w:rsid w:val="007358E9"/>
    <w:rsid w:val="00735A03"/>
    <w:rsid w:val="00735ABC"/>
    <w:rsid w:val="00735AE8"/>
    <w:rsid w:val="00735B26"/>
    <w:rsid w:val="00735DA0"/>
    <w:rsid w:val="00735F42"/>
    <w:rsid w:val="00736032"/>
    <w:rsid w:val="007360BB"/>
    <w:rsid w:val="007360CA"/>
    <w:rsid w:val="0073613B"/>
    <w:rsid w:val="0073643C"/>
    <w:rsid w:val="00736521"/>
    <w:rsid w:val="0073652E"/>
    <w:rsid w:val="0073659C"/>
    <w:rsid w:val="007365DB"/>
    <w:rsid w:val="0073661C"/>
    <w:rsid w:val="007366C1"/>
    <w:rsid w:val="0073671B"/>
    <w:rsid w:val="00736727"/>
    <w:rsid w:val="00736990"/>
    <w:rsid w:val="00736A2C"/>
    <w:rsid w:val="00736DCE"/>
    <w:rsid w:val="00736E98"/>
    <w:rsid w:val="00736FB5"/>
    <w:rsid w:val="007371D4"/>
    <w:rsid w:val="0073744F"/>
    <w:rsid w:val="0073760A"/>
    <w:rsid w:val="00737611"/>
    <w:rsid w:val="007378B9"/>
    <w:rsid w:val="00737920"/>
    <w:rsid w:val="00737942"/>
    <w:rsid w:val="00737B26"/>
    <w:rsid w:val="00737B67"/>
    <w:rsid w:val="00737C1E"/>
    <w:rsid w:val="00737C6F"/>
    <w:rsid w:val="00737D29"/>
    <w:rsid w:val="00737DB0"/>
    <w:rsid w:val="00737F65"/>
    <w:rsid w:val="00737F69"/>
    <w:rsid w:val="00740028"/>
    <w:rsid w:val="0074022E"/>
    <w:rsid w:val="00740256"/>
    <w:rsid w:val="00740343"/>
    <w:rsid w:val="00740359"/>
    <w:rsid w:val="0074045E"/>
    <w:rsid w:val="00740517"/>
    <w:rsid w:val="007405D0"/>
    <w:rsid w:val="00740871"/>
    <w:rsid w:val="0074089E"/>
    <w:rsid w:val="007408BB"/>
    <w:rsid w:val="00740A66"/>
    <w:rsid w:val="00740C2A"/>
    <w:rsid w:val="00740C3E"/>
    <w:rsid w:val="00740E58"/>
    <w:rsid w:val="00740EF6"/>
    <w:rsid w:val="00740F38"/>
    <w:rsid w:val="00741039"/>
    <w:rsid w:val="0074105E"/>
    <w:rsid w:val="0074113F"/>
    <w:rsid w:val="00741217"/>
    <w:rsid w:val="0074121B"/>
    <w:rsid w:val="0074125F"/>
    <w:rsid w:val="007413DA"/>
    <w:rsid w:val="0074149B"/>
    <w:rsid w:val="007414E3"/>
    <w:rsid w:val="00741688"/>
    <w:rsid w:val="007418E0"/>
    <w:rsid w:val="00741AA9"/>
    <w:rsid w:val="00741C51"/>
    <w:rsid w:val="00741E80"/>
    <w:rsid w:val="00742091"/>
    <w:rsid w:val="007420B1"/>
    <w:rsid w:val="0074216E"/>
    <w:rsid w:val="00742170"/>
    <w:rsid w:val="0074225B"/>
    <w:rsid w:val="007423D6"/>
    <w:rsid w:val="0074263A"/>
    <w:rsid w:val="0074278F"/>
    <w:rsid w:val="0074283C"/>
    <w:rsid w:val="007428B6"/>
    <w:rsid w:val="00742B38"/>
    <w:rsid w:val="00742C51"/>
    <w:rsid w:val="00742E56"/>
    <w:rsid w:val="00742E82"/>
    <w:rsid w:val="00742FE0"/>
    <w:rsid w:val="007430AE"/>
    <w:rsid w:val="007430FD"/>
    <w:rsid w:val="0074317D"/>
    <w:rsid w:val="007434D5"/>
    <w:rsid w:val="007436C2"/>
    <w:rsid w:val="007437A0"/>
    <w:rsid w:val="00743815"/>
    <w:rsid w:val="007439BA"/>
    <w:rsid w:val="00743B09"/>
    <w:rsid w:val="00743B82"/>
    <w:rsid w:val="00743D36"/>
    <w:rsid w:val="00743D3D"/>
    <w:rsid w:val="00743F5C"/>
    <w:rsid w:val="0074408B"/>
    <w:rsid w:val="00744238"/>
    <w:rsid w:val="00744290"/>
    <w:rsid w:val="007442EB"/>
    <w:rsid w:val="007443FA"/>
    <w:rsid w:val="00744415"/>
    <w:rsid w:val="007445C4"/>
    <w:rsid w:val="007445CF"/>
    <w:rsid w:val="0074464C"/>
    <w:rsid w:val="007447F1"/>
    <w:rsid w:val="0074491B"/>
    <w:rsid w:val="00744BDF"/>
    <w:rsid w:val="00744E27"/>
    <w:rsid w:val="00744E28"/>
    <w:rsid w:val="00744E6B"/>
    <w:rsid w:val="00744E7D"/>
    <w:rsid w:val="00744EF9"/>
    <w:rsid w:val="00745162"/>
    <w:rsid w:val="0074532F"/>
    <w:rsid w:val="0074553B"/>
    <w:rsid w:val="007455C0"/>
    <w:rsid w:val="007457D4"/>
    <w:rsid w:val="00745858"/>
    <w:rsid w:val="00745976"/>
    <w:rsid w:val="00745B32"/>
    <w:rsid w:val="00745B87"/>
    <w:rsid w:val="00745E3B"/>
    <w:rsid w:val="00745F6F"/>
    <w:rsid w:val="00745F78"/>
    <w:rsid w:val="00746318"/>
    <w:rsid w:val="00746363"/>
    <w:rsid w:val="00746639"/>
    <w:rsid w:val="00746725"/>
    <w:rsid w:val="00746774"/>
    <w:rsid w:val="00746804"/>
    <w:rsid w:val="007468F0"/>
    <w:rsid w:val="00746931"/>
    <w:rsid w:val="00746A58"/>
    <w:rsid w:val="00746B0A"/>
    <w:rsid w:val="00746BAB"/>
    <w:rsid w:val="00746E87"/>
    <w:rsid w:val="00746ED9"/>
    <w:rsid w:val="00746EEA"/>
    <w:rsid w:val="00746FA9"/>
    <w:rsid w:val="00746FF8"/>
    <w:rsid w:val="007470F6"/>
    <w:rsid w:val="007470F7"/>
    <w:rsid w:val="0074716A"/>
    <w:rsid w:val="007471C3"/>
    <w:rsid w:val="0074722A"/>
    <w:rsid w:val="007472AE"/>
    <w:rsid w:val="007472C3"/>
    <w:rsid w:val="00747380"/>
    <w:rsid w:val="007474B3"/>
    <w:rsid w:val="007474C1"/>
    <w:rsid w:val="007476C2"/>
    <w:rsid w:val="0074787D"/>
    <w:rsid w:val="00747A59"/>
    <w:rsid w:val="00747A97"/>
    <w:rsid w:val="00747AC8"/>
    <w:rsid w:val="00747B30"/>
    <w:rsid w:val="00750024"/>
    <w:rsid w:val="007500A8"/>
    <w:rsid w:val="0075024A"/>
    <w:rsid w:val="007502D6"/>
    <w:rsid w:val="0075030A"/>
    <w:rsid w:val="0075030C"/>
    <w:rsid w:val="007504A9"/>
    <w:rsid w:val="007505BC"/>
    <w:rsid w:val="00750785"/>
    <w:rsid w:val="00750790"/>
    <w:rsid w:val="00750860"/>
    <w:rsid w:val="007508C0"/>
    <w:rsid w:val="00750A12"/>
    <w:rsid w:val="00750AE3"/>
    <w:rsid w:val="00750B2B"/>
    <w:rsid w:val="00750C38"/>
    <w:rsid w:val="00750E85"/>
    <w:rsid w:val="00750E95"/>
    <w:rsid w:val="00750ED4"/>
    <w:rsid w:val="00750F49"/>
    <w:rsid w:val="007511FF"/>
    <w:rsid w:val="00751289"/>
    <w:rsid w:val="007512A7"/>
    <w:rsid w:val="007513E5"/>
    <w:rsid w:val="00751608"/>
    <w:rsid w:val="00751637"/>
    <w:rsid w:val="00751664"/>
    <w:rsid w:val="00751AB4"/>
    <w:rsid w:val="00751B67"/>
    <w:rsid w:val="00751B7A"/>
    <w:rsid w:val="00751C89"/>
    <w:rsid w:val="00751D01"/>
    <w:rsid w:val="00751D12"/>
    <w:rsid w:val="00751DA1"/>
    <w:rsid w:val="00751E7D"/>
    <w:rsid w:val="00751E9F"/>
    <w:rsid w:val="00751EC4"/>
    <w:rsid w:val="00751FE6"/>
    <w:rsid w:val="007520A1"/>
    <w:rsid w:val="00752299"/>
    <w:rsid w:val="0075238E"/>
    <w:rsid w:val="00752413"/>
    <w:rsid w:val="007529AE"/>
    <w:rsid w:val="007529F8"/>
    <w:rsid w:val="00752AD8"/>
    <w:rsid w:val="00752B21"/>
    <w:rsid w:val="00752C19"/>
    <w:rsid w:val="00752D58"/>
    <w:rsid w:val="00752EC4"/>
    <w:rsid w:val="00752F11"/>
    <w:rsid w:val="00753083"/>
    <w:rsid w:val="00753181"/>
    <w:rsid w:val="007531B9"/>
    <w:rsid w:val="00753239"/>
    <w:rsid w:val="0075324C"/>
    <w:rsid w:val="007533C5"/>
    <w:rsid w:val="007533CC"/>
    <w:rsid w:val="0075343B"/>
    <w:rsid w:val="00753733"/>
    <w:rsid w:val="0075382C"/>
    <w:rsid w:val="007538EF"/>
    <w:rsid w:val="00753900"/>
    <w:rsid w:val="00753965"/>
    <w:rsid w:val="00753A11"/>
    <w:rsid w:val="00753A1A"/>
    <w:rsid w:val="00753A9B"/>
    <w:rsid w:val="00753CEE"/>
    <w:rsid w:val="00753DC9"/>
    <w:rsid w:val="00753E1A"/>
    <w:rsid w:val="00753EBB"/>
    <w:rsid w:val="00753F4E"/>
    <w:rsid w:val="00754268"/>
    <w:rsid w:val="007542F4"/>
    <w:rsid w:val="00754414"/>
    <w:rsid w:val="0075450A"/>
    <w:rsid w:val="00754C85"/>
    <w:rsid w:val="00754DE2"/>
    <w:rsid w:val="00754E19"/>
    <w:rsid w:val="00755014"/>
    <w:rsid w:val="00755083"/>
    <w:rsid w:val="007557B7"/>
    <w:rsid w:val="0075590C"/>
    <w:rsid w:val="00755A64"/>
    <w:rsid w:val="00755AEB"/>
    <w:rsid w:val="00755BD8"/>
    <w:rsid w:val="00755C5C"/>
    <w:rsid w:val="00755CD8"/>
    <w:rsid w:val="00755DC6"/>
    <w:rsid w:val="007561E3"/>
    <w:rsid w:val="007561FC"/>
    <w:rsid w:val="007566E2"/>
    <w:rsid w:val="0075678F"/>
    <w:rsid w:val="00756929"/>
    <w:rsid w:val="00756A3F"/>
    <w:rsid w:val="00756A89"/>
    <w:rsid w:val="00756ACA"/>
    <w:rsid w:val="00756C36"/>
    <w:rsid w:val="00756C37"/>
    <w:rsid w:val="00756C3E"/>
    <w:rsid w:val="00756D3B"/>
    <w:rsid w:val="00756ED7"/>
    <w:rsid w:val="0075709F"/>
    <w:rsid w:val="00757217"/>
    <w:rsid w:val="007573E4"/>
    <w:rsid w:val="007576D9"/>
    <w:rsid w:val="0075780F"/>
    <w:rsid w:val="0075790A"/>
    <w:rsid w:val="00757ABF"/>
    <w:rsid w:val="00757B29"/>
    <w:rsid w:val="00757C06"/>
    <w:rsid w:val="00757C8B"/>
    <w:rsid w:val="00757CA7"/>
    <w:rsid w:val="00757FAC"/>
    <w:rsid w:val="0076011B"/>
    <w:rsid w:val="0076020F"/>
    <w:rsid w:val="00760223"/>
    <w:rsid w:val="00760382"/>
    <w:rsid w:val="007603AF"/>
    <w:rsid w:val="0076071E"/>
    <w:rsid w:val="00760775"/>
    <w:rsid w:val="00760879"/>
    <w:rsid w:val="00760983"/>
    <w:rsid w:val="007609AD"/>
    <w:rsid w:val="00760A5B"/>
    <w:rsid w:val="00760A67"/>
    <w:rsid w:val="00760AC6"/>
    <w:rsid w:val="00760B8B"/>
    <w:rsid w:val="00760BD7"/>
    <w:rsid w:val="00760CB7"/>
    <w:rsid w:val="00760CBB"/>
    <w:rsid w:val="00760EDC"/>
    <w:rsid w:val="007610B5"/>
    <w:rsid w:val="0076113C"/>
    <w:rsid w:val="0076120B"/>
    <w:rsid w:val="007612E7"/>
    <w:rsid w:val="007613A2"/>
    <w:rsid w:val="0076142C"/>
    <w:rsid w:val="007614D4"/>
    <w:rsid w:val="0076163F"/>
    <w:rsid w:val="00761774"/>
    <w:rsid w:val="007617A7"/>
    <w:rsid w:val="00761A21"/>
    <w:rsid w:val="00761BED"/>
    <w:rsid w:val="00761C5F"/>
    <w:rsid w:val="00761DE1"/>
    <w:rsid w:val="00761E49"/>
    <w:rsid w:val="00761EF3"/>
    <w:rsid w:val="007622DB"/>
    <w:rsid w:val="007622FC"/>
    <w:rsid w:val="0076251F"/>
    <w:rsid w:val="00762548"/>
    <w:rsid w:val="0076266F"/>
    <w:rsid w:val="0076280C"/>
    <w:rsid w:val="00762B27"/>
    <w:rsid w:val="00762B7C"/>
    <w:rsid w:val="00762C44"/>
    <w:rsid w:val="00762CE3"/>
    <w:rsid w:val="00762DA4"/>
    <w:rsid w:val="00762DA9"/>
    <w:rsid w:val="00762E14"/>
    <w:rsid w:val="007632E4"/>
    <w:rsid w:val="007635C6"/>
    <w:rsid w:val="0076364D"/>
    <w:rsid w:val="0076379A"/>
    <w:rsid w:val="00763855"/>
    <w:rsid w:val="0076386A"/>
    <w:rsid w:val="007638B7"/>
    <w:rsid w:val="0076391A"/>
    <w:rsid w:val="00763A8E"/>
    <w:rsid w:val="00763AC9"/>
    <w:rsid w:val="00763E98"/>
    <w:rsid w:val="00764100"/>
    <w:rsid w:val="007644E4"/>
    <w:rsid w:val="007645E0"/>
    <w:rsid w:val="0076486D"/>
    <w:rsid w:val="007648B4"/>
    <w:rsid w:val="00764900"/>
    <w:rsid w:val="00764926"/>
    <w:rsid w:val="00764957"/>
    <w:rsid w:val="00764960"/>
    <w:rsid w:val="0076499A"/>
    <w:rsid w:val="007649A2"/>
    <w:rsid w:val="00764AEE"/>
    <w:rsid w:val="00764C4D"/>
    <w:rsid w:val="00764C9B"/>
    <w:rsid w:val="00764D9C"/>
    <w:rsid w:val="00764DF6"/>
    <w:rsid w:val="00764E6C"/>
    <w:rsid w:val="00764EB0"/>
    <w:rsid w:val="00764F6C"/>
    <w:rsid w:val="00765207"/>
    <w:rsid w:val="0076523D"/>
    <w:rsid w:val="00765452"/>
    <w:rsid w:val="0076550E"/>
    <w:rsid w:val="0076552D"/>
    <w:rsid w:val="007655A5"/>
    <w:rsid w:val="0076561F"/>
    <w:rsid w:val="00765679"/>
    <w:rsid w:val="007656AE"/>
    <w:rsid w:val="007656DE"/>
    <w:rsid w:val="00765822"/>
    <w:rsid w:val="00765830"/>
    <w:rsid w:val="00765863"/>
    <w:rsid w:val="00765874"/>
    <w:rsid w:val="00765AE6"/>
    <w:rsid w:val="00765D6E"/>
    <w:rsid w:val="00765DC2"/>
    <w:rsid w:val="00765E65"/>
    <w:rsid w:val="00765EC4"/>
    <w:rsid w:val="00765F45"/>
    <w:rsid w:val="00765FFC"/>
    <w:rsid w:val="00766056"/>
    <w:rsid w:val="00766295"/>
    <w:rsid w:val="00766426"/>
    <w:rsid w:val="00766435"/>
    <w:rsid w:val="007664B8"/>
    <w:rsid w:val="007664E0"/>
    <w:rsid w:val="00766531"/>
    <w:rsid w:val="00766536"/>
    <w:rsid w:val="00766805"/>
    <w:rsid w:val="00766886"/>
    <w:rsid w:val="0076692D"/>
    <w:rsid w:val="0076694E"/>
    <w:rsid w:val="0076698E"/>
    <w:rsid w:val="00766C80"/>
    <w:rsid w:val="00766CB6"/>
    <w:rsid w:val="00766CF1"/>
    <w:rsid w:val="00766DC8"/>
    <w:rsid w:val="00766E6F"/>
    <w:rsid w:val="00766F79"/>
    <w:rsid w:val="00766FAD"/>
    <w:rsid w:val="00766FC9"/>
    <w:rsid w:val="00766FEE"/>
    <w:rsid w:val="00767056"/>
    <w:rsid w:val="007670C7"/>
    <w:rsid w:val="007671EC"/>
    <w:rsid w:val="0076730C"/>
    <w:rsid w:val="0076738C"/>
    <w:rsid w:val="007673CB"/>
    <w:rsid w:val="007674E6"/>
    <w:rsid w:val="00767597"/>
    <w:rsid w:val="007676BE"/>
    <w:rsid w:val="007676C1"/>
    <w:rsid w:val="007676F4"/>
    <w:rsid w:val="00767790"/>
    <w:rsid w:val="00767796"/>
    <w:rsid w:val="007678A7"/>
    <w:rsid w:val="007678CB"/>
    <w:rsid w:val="00767938"/>
    <w:rsid w:val="00767AA0"/>
    <w:rsid w:val="00767B18"/>
    <w:rsid w:val="00767BF8"/>
    <w:rsid w:val="00767DD7"/>
    <w:rsid w:val="00770161"/>
    <w:rsid w:val="00770189"/>
    <w:rsid w:val="007701B9"/>
    <w:rsid w:val="00770227"/>
    <w:rsid w:val="00770274"/>
    <w:rsid w:val="00770342"/>
    <w:rsid w:val="007705CC"/>
    <w:rsid w:val="007708BB"/>
    <w:rsid w:val="00770A08"/>
    <w:rsid w:val="00770A81"/>
    <w:rsid w:val="00770B30"/>
    <w:rsid w:val="00770D76"/>
    <w:rsid w:val="007711BD"/>
    <w:rsid w:val="007711EE"/>
    <w:rsid w:val="007713B1"/>
    <w:rsid w:val="0077141A"/>
    <w:rsid w:val="0077160B"/>
    <w:rsid w:val="00771617"/>
    <w:rsid w:val="007716D1"/>
    <w:rsid w:val="0077177F"/>
    <w:rsid w:val="007717BA"/>
    <w:rsid w:val="00771862"/>
    <w:rsid w:val="007719B1"/>
    <w:rsid w:val="00771A44"/>
    <w:rsid w:val="00771AB9"/>
    <w:rsid w:val="00771C24"/>
    <w:rsid w:val="00771C5C"/>
    <w:rsid w:val="00771E8D"/>
    <w:rsid w:val="007720C1"/>
    <w:rsid w:val="007722C1"/>
    <w:rsid w:val="007722C8"/>
    <w:rsid w:val="0077231A"/>
    <w:rsid w:val="00772677"/>
    <w:rsid w:val="0077270C"/>
    <w:rsid w:val="00772840"/>
    <w:rsid w:val="00772855"/>
    <w:rsid w:val="007729B0"/>
    <w:rsid w:val="00772AFC"/>
    <w:rsid w:val="00772B05"/>
    <w:rsid w:val="00772D50"/>
    <w:rsid w:val="00772E53"/>
    <w:rsid w:val="00773382"/>
    <w:rsid w:val="007735FB"/>
    <w:rsid w:val="00773731"/>
    <w:rsid w:val="0077375F"/>
    <w:rsid w:val="00773834"/>
    <w:rsid w:val="00773B7E"/>
    <w:rsid w:val="00773C05"/>
    <w:rsid w:val="0077402A"/>
    <w:rsid w:val="00774143"/>
    <w:rsid w:val="007741AE"/>
    <w:rsid w:val="007742B0"/>
    <w:rsid w:val="007742D4"/>
    <w:rsid w:val="0077446C"/>
    <w:rsid w:val="0077457A"/>
    <w:rsid w:val="00774583"/>
    <w:rsid w:val="007746CB"/>
    <w:rsid w:val="0077478A"/>
    <w:rsid w:val="007748CD"/>
    <w:rsid w:val="0077496E"/>
    <w:rsid w:val="00774BA3"/>
    <w:rsid w:val="00774BBD"/>
    <w:rsid w:val="00774BDC"/>
    <w:rsid w:val="00774C3F"/>
    <w:rsid w:val="00774D0C"/>
    <w:rsid w:val="00774D39"/>
    <w:rsid w:val="00774DD3"/>
    <w:rsid w:val="00774E2B"/>
    <w:rsid w:val="00774EB3"/>
    <w:rsid w:val="00774EED"/>
    <w:rsid w:val="0077500F"/>
    <w:rsid w:val="00775198"/>
    <w:rsid w:val="00775250"/>
    <w:rsid w:val="0077527A"/>
    <w:rsid w:val="00775367"/>
    <w:rsid w:val="00775369"/>
    <w:rsid w:val="007753BD"/>
    <w:rsid w:val="007753F3"/>
    <w:rsid w:val="007753FF"/>
    <w:rsid w:val="00775416"/>
    <w:rsid w:val="007754A0"/>
    <w:rsid w:val="007754F9"/>
    <w:rsid w:val="007755AB"/>
    <w:rsid w:val="00775630"/>
    <w:rsid w:val="007756E8"/>
    <w:rsid w:val="00775881"/>
    <w:rsid w:val="0077593E"/>
    <w:rsid w:val="0077594A"/>
    <w:rsid w:val="00775A17"/>
    <w:rsid w:val="00775A2F"/>
    <w:rsid w:val="00775ACC"/>
    <w:rsid w:val="00775BCF"/>
    <w:rsid w:val="00775BDF"/>
    <w:rsid w:val="00775BED"/>
    <w:rsid w:val="00775C89"/>
    <w:rsid w:val="00775DDB"/>
    <w:rsid w:val="00775F92"/>
    <w:rsid w:val="00776052"/>
    <w:rsid w:val="007762E2"/>
    <w:rsid w:val="0077648F"/>
    <w:rsid w:val="007766EF"/>
    <w:rsid w:val="00776763"/>
    <w:rsid w:val="00776958"/>
    <w:rsid w:val="00776B0D"/>
    <w:rsid w:val="00776B70"/>
    <w:rsid w:val="00776BE3"/>
    <w:rsid w:val="00776DC9"/>
    <w:rsid w:val="00776DE7"/>
    <w:rsid w:val="00776EDA"/>
    <w:rsid w:val="00776F45"/>
    <w:rsid w:val="00776F51"/>
    <w:rsid w:val="0077709F"/>
    <w:rsid w:val="00777135"/>
    <w:rsid w:val="00777180"/>
    <w:rsid w:val="00777266"/>
    <w:rsid w:val="00777299"/>
    <w:rsid w:val="007772C6"/>
    <w:rsid w:val="007772FD"/>
    <w:rsid w:val="00777384"/>
    <w:rsid w:val="00777432"/>
    <w:rsid w:val="0077743D"/>
    <w:rsid w:val="007775DE"/>
    <w:rsid w:val="00777655"/>
    <w:rsid w:val="00777684"/>
    <w:rsid w:val="007776BA"/>
    <w:rsid w:val="007776F9"/>
    <w:rsid w:val="0077771F"/>
    <w:rsid w:val="00777901"/>
    <w:rsid w:val="00777967"/>
    <w:rsid w:val="00777AAF"/>
    <w:rsid w:val="00777AB2"/>
    <w:rsid w:val="00777BD4"/>
    <w:rsid w:val="00777D52"/>
    <w:rsid w:val="00779018"/>
    <w:rsid w:val="0078014C"/>
    <w:rsid w:val="0078025E"/>
    <w:rsid w:val="00780288"/>
    <w:rsid w:val="007802A1"/>
    <w:rsid w:val="00780445"/>
    <w:rsid w:val="00780532"/>
    <w:rsid w:val="00780560"/>
    <w:rsid w:val="007805DB"/>
    <w:rsid w:val="007806FA"/>
    <w:rsid w:val="007809B6"/>
    <w:rsid w:val="00780A96"/>
    <w:rsid w:val="00780B91"/>
    <w:rsid w:val="00780FA3"/>
    <w:rsid w:val="0078128B"/>
    <w:rsid w:val="0078129D"/>
    <w:rsid w:val="007813DD"/>
    <w:rsid w:val="00781406"/>
    <w:rsid w:val="007816C4"/>
    <w:rsid w:val="00781718"/>
    <w:rsid w:val="0078179F"/>
    <w:rsid w:val="00781853"/>
    <w:rsid w:val="00781899"/>
    <w:rsid w:val="007818C7"/>
    <w:rsid w:val="00781CAF"/>
    <w:rsid w:val="00781DA3"/>
    <w:rsid w:val="00781E3C"/>
    <w:rsid w:val="0078205A"/>
    <w:rsid w:val="00782084"/>
    <w:rsid w:val="007821C0"/>
    <w:rsid w:val="007822EC"/>
    <w:rsid w:val="0078237C"/>
    <w:rsid w:val="00782697"/>
    <w:rsid w:val="007826DF"/>
    <w:rsid w:val="00782800"/>
    <w:rsid w:val="00782C81"/>
    <w:rsid w:val="00782DBE"/>
    <w:rsid w:val="00782E56"/>
    <w:rsid w:val="0078308C"/>
    <w:rsid w:val="00783149"/>
    <w:rsid w:val="0078332F"/>
    <w:rsid w:val="007833B0"/>
    <w:rsid w:val="007833F4"/>
    <w:rsid w:val="0078347F"/>
    <w:rsid w:val="007835DB"/>
    <w:rsid w:val="00783625"/>
    <w:rsid w:val="00783634"/>
    <w:rsid w:val="007838A2"/>
    <w:rsid w:val="007839E0"/>
    <w:rsid w:val="00783A0F"/>
    <w:rsid w:val="00783B87"/>
    <w:rsid w:val="00783E70"/>
    <w:rsid w:val="007842DA"/>
    <w:rsid w:val="00784449"/>
    <w:rsid w:val="0078446F"/>
    <w:rsid w:val="007845F9"/>
    <w:rsid w:val="007846E2"/>
    <w:rsid w:val="0078473B"/>
    <w:rsid w:val="007847AA"/>
    <w:rsid w:val="00784892"/>
    <w:rsid w:val="0078493B"/>
    <w:rsid w:val="00784980"/>
    <w:rsid w:val="00784AC0"/>
    <w:rsid w:val="00784AEC"/>
    <w:rsid w:val="00784BDD"/>
    <w:rsid w:val="00784C57"/>
    <w:rsid w:val="00784DB4"/>
    <w:rsid w:val="00784E25"/>
    <w:rsid w:val="007850F3"/>
    <w:rsid w:val="00785216"/>
    <w:rsid w:val="007853AD"/>
    <w:rsid w:val="00785492"/>
    <w:rsid w:val="0078554D"/>
    <w:rsid w:val="0078558D"/>
    <w:rsid w:val="007855A0"/>
    <w:rsid w:val="007855D8"/>
    <w:rsid w:val="007857C5"/>
    <w:rsid w:val="00785B00"/>
    <w:rsid w:val="00785D8A"/>
    <w:rsid w:val="00786114"/>
    <w:rsid w:val="00786449"/>
    <w:rsid w:val="0078657B"/>
    <w:rsid w:val="0078657F"/>
    <w:rsid w:val="007866A9"/>
    <w:rsid w:val="007868B4"/>
    <w:rsid w:val="00786A10"/>
    <w:rsid w:val="00786AC8"/>
    <w:rsid w:val="00786AEB"/>
    <w:rsid w:val="00786D7E"/>
    <w:rsid w:val="00786EF4"/>
    <w:rsid w:val="00786FBF"/>
    <w:rsid w:val="0078705B"/>
    <w:rsid w:val="007870F5"/>
    <w:rsid w:val="00787320"/>
    <w:rsid w:val="0078739C"/>
    <w:rsid w:val="00787537"/>
    <w:rsid w:val="00787625"/>
    <w:rsid w:val="00787733"/>
    <w:rsid w:val="00787875"/>
    <w:rsid w:val="007878F5"/>
    <w:rsid w:val="007879E2"/>
    <w:rsid w:val="00787A43"/>
    <w:rsid w:val="00787A6F"/>
    <w:rsid w:val="00787CA2"/>
    <w:rsid w:val="00787E25"/>
    <w:rsid w:val="00787EE0"/>
    <w:rsid w:val="00787EF2"/>
    <w:rsid w:val="00787F52"/>
    <w:rsid w:val="00787FA8"/>
    <w:rsid w:val="00790092"/>
    <w:rsid w:val="00790190"/>
    <w:rsid w:val="007901A7"/>
    <w:rsid w:val="00790275"/>
    <w:rsid w:val="0079048C"/>
    <w:rsid w:val="007904EB"/>
    <w:rsid w:val="00790578"/>
    <w:rsid w:val="007906BC"/>
    <w:rsid w:val="00790823"/>
    <w:rsid w:val="007909D7"/>
    <w:rsid w:val="00790AD1"/>
    <w:rsid w:val="00790B15"/>
    <w:rsid w:val="00790B2C"/>
    <w:rsid w:val="00790BBA"/>
    <w:rsid w:val="00790D8F"/>
    <w:rsid w:val="00790D9A"/>
    <w:rsid w:val="00790EEF"/>
    <w:rsid w:val="00791117"/>
    <w:rsid w:val="007914E5"/>
    <w:rsid w:val="00791689"/>
    <w:rsid w:val="007916F3"/>
    <w:rsid w:val="00791711"/>
    <w:rsid w:val="00791773"/>
    <w:rsid w:val="007917AD"/>
    <w:rsid w:val="00791831"/>
    <w:rsid w:val="00791905"/>
    <w:rsid w:val="00791991"/>
    <w:rsid w:val="00791A00"/>
    <w:rsid w:val="00791BC8"/>
    <w:rsid w:val="00791D97"/>
    <w:rsid w:val="00791E7F"/>
    <w:rsid w:val="00791EE8"/>
    <w:rsid w:val="00791F47"/>
    <w:rsid w:val="007921D6"/>
    <w:rsid w:val="007924DB"/>
    <w:rsid w:val="0079262D"/>
    <w:rsid w:val="00792671"/>
    <w:rsid w:val="0079277B"/>
    <w:rsid w:val="0079281D"/>
    <w:rsid w:val="007928F7"/>
    <w:rsid w:val="00792919"/>
    <w:rsid w:val="00792AE0"/>
    <w:rsid w:val="00792C43"/>
    <w:rsid w:val="00792D91"/>
    <w:rsid w:val="00792F6A"/>
    <w:rsid w:val="00792F6D"/>
    <w:rsid w:val="007930DD"/>
    <w:rsid w:val="0079312A"/>
    <w:rsid w:val="007931D5"/>
    <w:rsid w:val="00793667"/>
    <w:rsid w:val="0079370D"/>
    <w:rsid w:val="007937CD"/>
    <w:rsid w:val="007939A0"/>
    <w:rsid w:val="007939B3"/>
    <w:rsid w:val="007939F8"/>
    <w:rsid w:val="00793A03"/>
    <w:rsid w:val="00793AAA"/>
    <w:rsid w:val="00793ADF"/>
    <w:rsid w:val="00793B18"/>
    <w:rsid w:val="00793D88"/>
    <w:rsid w:val="00793E1D"/>
    <w:rsid w:val="00794242"/>
    <w:rsid w:val="00794289"/>
    <w:rsid w:val="007942CB"/>
    <w:rsid w:val="007945C3"/>
    <w:rsid w:val="00794652"/>
    <w:rsid w:val="007946FA"/>
    <w:rsid w:val="0079470A"/>
    <w:rsid w:val="00794865"/>
    <w:rsid w:val="0079498D"/>
    <w:rsid w:val="007949DB"/>
    <w:rsid w:val="00794A53"/>
    <w:rsid w:val="00794AB5"/>
    <w:rsid w:val="00794ADC"/>
    <w:rsid w:val="00794BF3"/>
    <w:rsid w:val="00794CB2"/>
    <w:rsid w:val="00794E09"/>
    <w:rsid w:val="00794F53"/>
    <w:rsid w:val="00794FF9"/>
    <w:rsid w:val="0079514F"/>
    <w:rsid w:val="00795245"/>
    <w:rsid w:val="00795386"/>
    <w:rsid w:val="0079542F"/>
    <w:rsid w:val="00795615"/>
    <w:rsid w:val="00795895"/>
    <w:rsid w:val="007959BA"/>
    <w:rsid w:val="00795B81"/>
    <w:rsid w:val="00795CA7"/>
    <w:rsid w:val="00795CDC"/>
    <w:rsid w:val="00795D10"/>
    <w:rsid w:val="00795DCE"/>
    <w:rsid w:val="00795F55"/>
    <w:rsid w:val="00795F81"/>
    <w:rsid w:val="00795FDD"/>
    <w:rsid w:val="00796525"/>
    <w:rsid w:val="007966BE"/>
    <w:rsid w:val="00796964"/>
    <w:rsid w:val="00796C52"/>
    <w:rsid w:val="007971A9"/>
    <w:rsid w:val="00797248"/>
    <w:rsid w:val="007974F6"/>
    <w:rsid w:val="00797624"/>
    <w:rsid w:val="007976A3"/>
    <w:rsid w:val="0079770C"/>
    <w:rsid w:val="0079779C"/>
    <w:rsid w:val="0079788E"/>
    <w:rsid w:val="007978AE"/>
    <w:rsid w:val="0079796A"/>
    <w:rsid w:val="00797F46"/>
    <w:rsid w:val="00797F9E"/>
    <w:rsid w:val="007A0045"/>
    <w:rsid w:val="007A01E1"/>
    <w:rsid w:val="007A023D"/>
    <w:rsid w:val="007A040C"/>
    <w:rsid w:val="007A05AB"/>
    <w:rsid w:val="007A05EF"/>
    <w:rsid w:val="007A081F"/>
    <w:rsid w:val="007A0899"/>
    <w:rsid w:val="007A08E2"/>
    <w:rsid w:val="007A09DE"/>
    <w:rsid w:val="007A0A3D"/>
    <w:rsid w:val="007A0A5C"/>
    <w:rsid w:val="007A0A8A"/>
    <w:rsid w:val="007A0BB7"/>
    <w:rsid w:val="007A0C3B"/>
    <w:rsid w:val="007A0C6B"/>
    <w:rsid w:val="007A0DD6"/>
    <w:rsid w:val="007A0DE4"/>
    <w:rsid w:val="007A0EB1"/>
    <w:rsid w:val="007A0F08"/>
    <w:rsid w:val="007A0F5B"/>
    <w:rsid w:val="007A100E"/>
    <w:rsid w:val="007A1017"/>
    <w:rsid w:val="007A1024"/>
    <w:rsid w:val="007A10DE"/>
    <w:rsid w:val="007A1111"/>
    <w:rsid w:val="007A1113"/>
    <w:rsid w:val="007A116D"/>
    <w:rsid w:val="007A117A"/>
    <w:rsid w:val="007A12D3"/>
    <w:rsid w:val="007A13AA"/>
    <w:rsid w:val="007A1525"/>
    <w:rsid w:val="007A1561"/>
    <w:rsid w:val="007A1597"/>
    <w:rsid w:val="007A1672"/>
    <w:rsid w:val="007A169C"/>
    <w:rsid w:val="007A19C8"/>
    <w:rsid w:val="007A19DA"/>
    <w:rsid w:val="007A1B82"/>
    <w:rsid w:val="007A1CD2"/>
    <w:rsid w:val="007A1D57"/>
    <w:rsid w:val="007A2014"/>
    <w:rsid w:val="007A20EE"/>
    <w:rsid w:val="007A2584"/>
    <w:rsid w:val="007A2664"/>
    <w:rsid w:val="007A26E6"/>
    <w:rsid w:val="007A271D"/>
    <w:rsid w:val="007A2A66"/>
    <w:rsid w:val="007A2B0B"/>
    <w:rsid w:val="007A2D43"/>
    <w:rsid w:val="007A2D71"/>
    <w:rsid w:val="007A313A"/>
    <w:rsid w:val="007A34DE"/>
    <w:rsid w:val="007A366C"/>
    <w:rsid w:val="007A3746"/>
    <w:rsid w:val="007A38A3"/>
    <w:rsid w:val="007A38FA"/>
    <w:rsid w:val="007A3956"/>
    <w:rsid w:val="007A3985"/>
    <w:rsid w:val="007A3AB6"/>
    <w:rsid w:val="007A3B74"/>
    <w:rsid w:val="007A3BFD"/>
    <w:rsid w:val="007A3C22"/>
    <w:rsid w:val="007A3D4D"/>
    <w:rsid w:val="007A3DCF"/>
    <w:rsid w:val="007A3F67"/>
    <w:rsid w:val="007A409C"/>
    <w:rsid w:val="007A4191"/>
    <w:rsid w:val="007A41B1"/>
    <w:rsid w:val="007A41F9"/>
    <w:rsid w:val="007A4282"/>
    <w:rsid w:val="007A44E7"/>
    <w:rsid w:val="007A4564"/>
    <w:rsid w:val="007A469C"/>
    <w:rsid w:val="007A46EE"/>
    <w:rsid w:val="007A4713"/>
    <w:rsid w:val="007A47A0"/>
    <w:rsid w:val="007A47D3"/>
    <w:rsid w:val="007A47E3"/>
    <w:rsid w:val="007A491F"/>
    <w:rsid w:val="007A4956"/>
    <w:rsid w:val="007A4CE9"/>
    <w:rsid w:val="007A4DD3"/>
    <w:rsid w:val="007A50F0"/>
    <w:rsid w:val="007A513C"/>
    <w:rsid w:val="007A51A3"/>
    <w:rsid w:val="007A520E"/>
    <w:rsid w:val="007A533A"/>
    <w:rsid w:val="007A555A"/>
    <w:rsid w:val="007A55B4"/>
    <w:rsid w:val="007A575E"/>
    <w:rsid w:val="007A594C"/>
    <w:rsid w:val="007A5ABF"/>
    <w:rsid w:val="007A5AE6"/>
    <w:rsid w:val="007A5B65"/>
    <w:rsid w:val="007A5D48"/>
    <w:rsid w:val="007A5D58"/>
    <w:rsid w:val="007A5D85"/>
    <w:rsid w:val="007A5F31"/>
    <w:rsid w:val="007A6167"/>
    <w:rsid w:val="007A6240"/>
    <w:rsid w:val="007A628E"/>
    <w:rsid w:val="007A62C5"/>
    <w:rsid w:val="007A6498"/>
    <w:rsid w:val="007A649E"/>
    <w:rsid w:val="007A64BC"/>
    <w:rsid w:val="007A64E8"/>
    <w:rsid w:val="007A651E"/>
    <w:rsid w:val="007A675F"/>
    <w:rsid w:val="007A67A6"/>
    <w:rsid w:val="007A67C5"/>
    <w:rsid w:val="007A682C"/>
    <w:rsid w:val="007A69F6"/>
    <w:rsid w:val="007A6C0B"/>
    <w:rsid w:val="007A6C27"/>
    <w:rsid w:val="007A6D0C"/>
    <w:rsid w:val="007A6D48"/>
    <w:rsid w:val="007A6E46"/>
    <w:rsid w:val="007A6EAA"/>
    <w:rsid w:val="007A6FF1"/>
    <w:rsid w:val="007A7060"/>
    <w:rsid w:val="007A7274"/>
    <w:rsid w:val="007A72F8"/>
    <w:rsid w:val="007A7580"/>
    <w:rsid w:val="007A7640"/>
    <w:rsid w:val="007A7725"/>
    <w:rsid w:val="007A7850"/>
    <w:rsid w:val="007A78DC"/>
    <w:rsid w:val="007A7A69"/>
    <w:rsid w:val="007A7ABD"/>
    <w:rsid w:val="007A7B58"/>
    <w:rsid w:val="007A7B7C"/>
    <w:rsid w:val="007A7BFD"/>
    <w:rsid w:val="007A7C12"/>
    <w:rsid w:val="007A7E86"/>
    <w:rsid w:val="007A7F2F"/>
    <w:rsid w:val="007A7FA7"/>
    <w:rsid w:val="007B01DB"/>
    <w:rsid w:val="007B0319"/>
    <w:rsid w:val="007B03B5"/>
    <w:rsid w:val="007B03F4"/>
    <w:rsid w:val="007B0619"/>
    <w:rsid w:val="007B069B"/>
    <w:rsid w:val="007B069D"/>
    <w:rsid w:val="007B072B"/>
    <w:rsid w:val="007B093A"/>
    <w:rsid w:val="007B09AD"/>
    <w:rsid w:val="007B0AA2"/>
    <w:rsid w:val="007B0B66"/>
    <w:rsid w:val="007B0CFC"/>
    <w:rsid w:val="007B0D05"/>
    <w:rsid w:val="007B0E47"/>
    <w:rsid w:val="007B0E99"/>
    <w:rsid w:val="007B0F64"/>
    <w:rsid w:val="007B1306"/>
    <w:rsid w:val="007B1341"/>
    <w:rsid w:val="007B1402"/>
    <w:rsid w:val="007B1466"/>
    <w:rsid w:val="007B1563"/>
    <w:rsid w:val="007B1706"/>
    <w:rsid w:val="007B1740"/>
    <w:rsid w:val="007B1863"/>
    <w:rsid w:val="007B19D9"/>
    <w:rsid w:val="007B1C43"/>
    <w:rsid w:val="007B1DAC"/>
    <w:rsid w:val="007B2026"/>
    <w:rsid w:val="007B20AD"/>
    <w:rsid w:val="007B2297"/>
    <w:rsid w:val="007B22C5"/>
    <w:rsid w:val="007B23D6"/>
    <w:rsid w:val="007B256B"/>
    <w:rsid w:val="007B25BC"/>
    <w:rsid w:val="007B26F1"/>
    <w:rsid w:val="007B2797"/>
    <w:rsid w:val="007B288B"/>
    <w:rsid w:val="007B289C"/>
    <w:rsid w:val="007B293C"/>
    <w:rsid w:val="007B2951"/>
    <w:rsid w:val="007B296A"/>
    <w:rsid w:val="007B2CFD"/>
    <w:rsid w:val="007B2DF6"/>
    <w:rsid w:val="007B2F41"/>
    <w:rsid w:val="007B32C9"/>
    <w:rsid w:val="007B3594"/>
    <w:rsid w:val="007B359A"/>
    <w:rsid w:val="007B361D"/>
    <w:rsid w:val="007B37BE"/>
    <w:rsid w:val="007B37EC"/>
    <w:rsid w:val="007B382F"/>
    <w:rsid w:val="007B3A3E"/>
    <w:rsid w:val="007B3A8D"/>
    <w:rsid w:val="007B3BF7"/>
    <w:rsid w:val="007B3D12"/>
    <w:rsid w:val="007B3D95"/>
    <w:rsid w:val="007B3DF2"/>
    <w:rsid w:val="007B3F37"/>
    <w:rsid w:val="007B4034"/>
    <w:rsid w:val="007B41BE"/>
    <w:rsid w:val="007B429B"/>
    <w:rsid w:val="007B42CA"/>
    <w:rsid w:val="007B42CF"/>
    <w:rsid w:val="007B42E5"/>
    <w:rsid w:val="007B43D2"/>
    <w:rsid w:val="007B44C9"/>
    <w:rsid w:val="007B4651"/>
    <w:rsid w:val="007B4687"/>
    <w:rsid w:val="007B484B"/>
    <w:rsid w:val="007B485E"/>
    <w:rsid w:val="007B490B"/>
    <w:rsid w:val="007B4FF3"/>
    <w:rsid w:val="007B5155"/>
    <w:rsid w:val="007B5300"/>
    <w:rsid w:val="007B53E4"/>
    <w:rsid w:val="007B580D"/>
    <w:rsid w:val="007B58F6"/>
    <w:rsid w:val="007B598D"/>
    <w:rsid w:val="007B5A95"/>
    <w:rsid w:val="007B5A9A"/>
    <w:rsid w:val="007B5D5E"/>
    <w:rsid w:val="007B5D73"/>
    <w:rsid w:val="007B5E2B"/>
    <w:rsid w:val="007B628A"/>
    <w:rsid w:val="007B6337"/>
    <w:rsid w:val="007B635E"/>
    <w:rsid w:val="007B6383"/>
    <w:rsid w:val="007B6555"/>
    <w:rsid w:val="007B65E3"/>
    <w:rsid w:val="007B67D3"/>
    <w:rsid w:val="007B6849"/>
    <w:rsid w:val="007B6A3E"/>
    <w:rsid w:val="007B6AC2"/>
    <w:rsid w:val="007B6B43"/>
    <w:rsid w:val="007B6DF8"/>
    <w:rsid w:val="007B7432"/>
    <w:rsid w:val="007B75A8"/>
    <w:rsid w:val="007B7699"/>
    <w:rsid w:val="007B796E"/>
    <w:rsid w:val="007B7D25"/>
    <w:rsid w:val="007B7E1C"/>
    <w:rsid w:val="007B7EE6"/>
    <w:rsid w:val="007C001B"/>
    <w:rsid w:val="007C00DA"/>
    <w:rsid w:val="007C01C0"/>
    <w:rsid w:val="007C0222"/>
    <w:rsid w:val="007C0228"/>
    <w:rsid w:val="007C0332"/>
    <w:rsid w:val="007C0336"/>
    <w:rsid w:val="007C033C"/>
    <w:rsid w:val="007C03C7"/>
    <w:rsid w:val="007C06CC"/>
    <w:rsid w:val="007C0747"/>
    <w:rsid w:val="007C0760"/>
    <w:rsid w:val="007C07E9"/>
    <w:rsid w:val="007C08BE"/>
    <w:rsid w:val="007C08F6"/>
    <w:rsid w:val="007C0923"/>
    <w:rsid w:val="007C0A0C"/>
    <w:rsid w:val="007C0AD1"/>
    <w:rsid w:val="007C0AF0"/>
    <w:rsid w:val="007C0FFF"/>
    <w:rsid w:val="007C10F9"/>
    <w:rsid w:val="007C1158"/>
    <w:rsid w:val="007C12E5"/>
    <w:rsid w:val="007C1344"/>
    <w:rsid w:val="007C1504"/>
    <w:rsid w:val="007C1541"/>
    <w:rsid w:val="007C15B2"/>
    <w:rsid w:val="007C16C6"/>
    <w:rsid w:val="007C17C2"/>
    <w:rsid w:val="007C1964"/>
    <w:rsid w:val="007C1BEE"/>
    <w:rsid w:val="007C1CA4"/>
    <w:rsid w:val="007C1CB2"/>
    <w:rsid w:val="007C20E2"/>
    <w:rsid w:val="007C218F"/>
    <w:rsid w:val="007C23E7"/>
    <w:rsid w:val="007C2443"/>
    <w:rsid w:val="007C2489"/>
    <w:rsid w:val="007C25F9"/>
    <w:rsid w:val="007C28B2"/>
    <w:rsid w:val="007C28B6"/>
    <w:rsid w:val="007C292C"/>
    <w:rsid w:val="007C296F"/>
    <w:rsid w:val="007C2B0D"/>
    <w:rsid w:val="007C2C0E"/>
    <w:rsid w:val="007C2C74"/>
    <w:rsid w:val="007C2E0C"/>
    <w:rsid w:val="007C2F48"/>
    <w:rsid w:val="007C3167"/>
    <w:rsid w:val="007C317A"/>
    <w:rsid w:val="007C3193"/>
    <w:rsid w:val="007C326A"/>
    <w:rsid w:val="007C332C"/>
    <w:rsid w:val="007C3342"/>
    <w:rsid w:val="007C337E"/>
    <w:rsid w:val="007C37D8"/>
    <w:rsid w:val="007C38A1"/>
    <w:rsid w:val="007C39F6"/>
    <w:rsid w:val="007C3A18"/>
    <w:rsid w:val="007C3A41"/>
    <w:rsid w:val="007C3B99"/>
    <w:rsid w:val="007C3C59"/>
    <w:rsid w:val="007C3CF1"/>
    <w:rsid w:val="007C3EC2"/>
    <w:rsid w:val="007C4128"/>
    <w:rsid w:val="007C42C0"/>
    <w:rsid w:val="007C4388"/>
    <w:rsid w:val="007C4515"/>
    <w:rsid w:val="007C458A"/>
    <w:rsid w:val="007C473B"/>
    <w:rsid w:val="007C48B7"/>
    <w:rsid w:val="007C49E1"/>
    <w:rsid w:val="007C4A1A"/>
    <w:rsid w:val="007C4BC8"/>
    <w:rsid w:val="007C4D05"/>
    <w:rsid w:val="007C4DB3"/>
    <w:rsid w:val="007C4E33"/>
    <w:rsid w:val="007C507C"/>
    <w:rsid w:val="007C513B"/>
    <w:rsid w:val="007C52A9"/>
    <w:rsid w:val="007C55B8"/>
    <w:rsid w:val="007C55EE"/>
    <w:rsid w:val="007C5695"/>
    <w:rsid w:val="007C586B"/>
    <w:rsid w:val="007C5B52"/>
    <w:rsid w:val="007C5D22"/>
    <w:rsid w:val="007C5DD2"/>
    <w:rsid w:val="007C5E85"/>
    <w:rsid w:val="007C5F8D"/>
    <w:rsid w:val="007C600B"/>
    <w:rsid w:val="007C615B"/>
    <w:rsid w:val="007C62CF"/>
    <w:rsid w:val="007C6415"/>
    <w:rsid w:val="007C64ED"/>
    <w:rsid w:val="007C656B"/>
    <w:rsid w:val="007C65A7"/>
    <w:rsid w:val="007C66E0"/>
    <w:rsid w:val="007C6794"/>
    <w:rsid w:val="007C683A"/>
    <w:rsid w:val="007C689D"/>
    <w:rsid w:val="007C6902"/>
    <w:rsid w:val="007C693F"/>
    <w:rsid w:val="007C69A7"/>
    <w:rsid w:val="007C6A5E"/>
    <w:rsid w:val="007C6AC6"/>
    <w:rsid w:val="007C6BB6"/>
    <w:rsid w:val="007C6C90"/>
    <w:rsid w:val="007C6E3B"/>
    <w:rsid w:val="007C70B7"/>
    <w:rsid w:val="007C715A"/>
    <w:rsid w:val="007C71A0"/>
    <w:rsid w:val="007C71A4"/>
    <w:rsid w:val="007C7268"/>
    <w:rsid w:val="007C735B"/>
    <w:rsid w:val="007C7564"/>
    <w:rsid w:val="007C7565"/>
    <w:rsid w:val="007C7683"/>
    <w:rsid w:val="007C76DB"/>
    <w:rsid w:val="007C7776"/>
    <w:rsid w:val="007C7887"/>
    <w:rsid w:val="007C7979"/>
    <w:rsid w:val="007C798A"/>
    <w:rsid w:val="007C79B1"/>
    <w:rsid w:val="007C7D52"/>
    <w:rsid w:val="007C7D61"/>
    <w:rsid w:val="007C7EAB"/>
    <w:rsid w:val="007C7F66"/>
    <w:rsid w:val="007C7FCA"/>
    <w:rsid w:val="007D035F"/>
    <w:rsid w:val="007D03C6"/>
    <w:rsid w:val="007D03CE"/>
    <w:rsid w:val="007D04F5"/>
    <w:rsid w:val="007D0564"/>
    <w:rsid w:val="007D05C9"/>
    <w:rsid w:val="007D06AA"/>
    <w:rsid w:val="007D07D2"/>
    <w:rsid w:val="007D08AD"/>
    <w:rsid w:val="007D09FF"/>
    <w:rsid w:val="007D0A0C"/>
    <w:rsid w:val="007D0C1B"/>
    <w:rsid w:val="007D0CDB"/>
    <w:rsid w:val="007D0DAD"/>
    <w:rsid w:val="007D0E25"/>
    <w:rsid w:val="007D0FC1"/>
    <w:rsid w:val="007D1066"/>
    <w:rsid w:val="007D10EE"/>
    <w:rsid w:val="007D11F3"/>
    <w:rsid w:val="007D1221"/>
    <w:rsid w:val="007D1272"/>
    <w:rsid w:val="007D172E"/>
    <w:rsid w:val="007D1851"/>
    <w:rsid w:val="007D1BD4"/>
    <w:rsid w:val="007D1FA3"/>
    <w:rsid w:val="007D2118"/>
    <w:rsid w:val="007D2131"/>
    <w:rsid w:val="007D220B"/>
    <w:rsid w:val="007D2355"/>
    <w:rsid w:val="007D237D"/>
    <w:rsid w:val="007D23F8"/>
    <w:rsid w:val="007D242D"/>
    <w:rsid w:val="007D2555"/>
    <w:rsid w:val="007D26E0"/>
    <w:rsid w:val="007D2704"/>
    <w:rsid w:val="007D286E"/>
    <w:rsid w:val="007D287F"/>
    <w:rsid w:val="007D2906"/>
    <w:rsid w:val="007D29D4"/>
    <w:rsid w:val="007D2B48"/>
    <w:rsid w:val="007D2B9C"/>
    <w:rsid w:val="007D2BA1"/>
    <w:rsid w:val="007D2CF7"/>
    <w:rsid w:val="007D2D63"/>
    <w:rsid w:val="007D2E91"/>
    <w:rsid w:val="007D31A0"/>
    <w:rsid w:val="007D34B8"/>
    <w:rsid w:val="007D353D"/>
    <w:rsid w:val="007D3665"/>
    <w:rsid w:val="007D3736"/>
    <w:rsid w:val="007D38C0"/>
    <w:rsid w:val="007D38DD"/>
    <w:rsid w:val="007D39C4"/>
    <w:rsid w:val="007D39CD"/>
    <w:rsid w:val="007D3A20"/>
    <w:rsid w:val="007D3D99"/>
    <w:rsid w:val="007D3E14"/>
    <w:rsid w:val="007D3EA4"/>
    <w:rsid w:val="007D3ECC"/>
    <w:rsid w:val="007D3FE5"/>
    <w:rsid w:val="007D4151"/>
    <w:rsid w:val="007D415D"/>
    <w:rsid w:val="007D4232"/>
    <w:rsid w:val="007D4268"/>
    <w:rsid w:val="007D42ED"/>
    <w:rsid w:val="007D4362"/>
    <w:rsid w:val="007D4412"/>
    <w:rsid w:val="007D4570"/>
    <w:rsid w:val="007D458E"/>
    <w:rsid w:val="007D45AA"/>
    <w:rsid w:val="007D4606"/>
    <w:rsid w:val="007D49BC"/>
    <w:rsid w:val="007D49DC"/>
    <w:rsid w:val="007D4A35"/>
    <w:rsid w:val="007D4BA6"/>
    <w:rsid w:val="007D4BAF"/>
    <w:rsid w:val="007D4BDB"/>
    <w:rsid w:val="007D4F27"/>
    <w:rsid w:val="007D4F4E"/>
    <w:rsid w:val="007D4FB8"/>
    <w:rsid w:val="007D518F"/>
    <w:rsid w:val="007D51D4"/>
    <w:rsid w:val="007D541D"/>
    <w:rsid w:val="007D5565"/>
    <w:rsid w:val="007D55D7"/>
    <w:rsid w:val="007D5775"/>
    <w:rsid w:val="007D5833"/>
    <w:rsid w:val="007D58CA"/>
    <w:rsid w:val="007D5D76"/>
    <w:rsid w:val="007D605B"/>
    <w:rsid w:val="007D608C"/>
    <w:rsid w:val="007D6415"/>
    <w:rsid w:val="007D652F"/>
    <w:rsid w:val="007D6743"/>
    <w:rsid w:val="007D675D"/>
    <w:rsid w:val="007D67F6"/>
    <w:rsid w:val="007D6D48"/>
    <w:rsid w:val="007D6D51"/>
    <w:rsid w:val="007D6E6D"/>
    <w:rsid w:val="007D6ECA"/>
    <w:rsid w:val="007D703C"/>
    <w:rsid w:val="007D71D5"/>
    <w:rsid w:val="007D74E6"/>
    <w:rsid w:val="007D755E"/>
    <w:rsid w:val="007D759F"/>
    <w:rsid w:val="007D7682"/>
    <w:rsid w:val="007D76C5"/>
    <w:rsid w:val="007D7755"/>
    <w:rsid w:val="007D7866"/>
    <w:rsid w:val="007D7BAE"/>
    <w:rsid w:val="007D7D69"/>
    <w:rsid w:val="007E0103"/>
    <w:rsid w:val="007E0214"/>
    <w:rsid w:val="007E0343"/>
    <w:rsid w:val="007E037D"/>
    <w:rsid w:val="007E03AF"/>
    <w:rsid w:val="007E0417"/>
    <w:rsid w:val="007E056B"/>
    <w:rsid w:val="007E063C"/>
    <w:rsid w:val="007E0775"/>
    <w:rsid w:val="007E0843"/>
    <w:rsid w:val="007E08A3"/>
    <w:rsid w:val="007E08EC"/>
    <w:rsid w:val="007E0AE1"/>
    <w:rsid w:val="007E0B0E"/>
    <w:rsid w:val="007E0B35"/>
    <w:rsid w:val="007E0B7D"/>
    <w:rsid w:val="007E0B99"/>
    <w:rsid w:val="007E0C16"/>
    <w:rsid w:val="007E0CFF"/>
    <w:rsid w:val="007E0EF8"/>
    <w:rsid w:val="007E0F92"/>
    <w:rsid w:val="007E0FD9"/>
    <w:rsid w:val="007E13AE"/>
    <w:rsid w:val="007E1447"/>
    <w:rsid w:val="007E1499"/>
    <w:rsid w:val="007E15A9"/>
    <w:rsid w:val="007E166D"/>
    <w:rsid w:val="007E1674"/>
    <w:rsid w:val="007E16E0"/>
    <w:rsid w:val="007E1963"/>
    <w:rsid w:val="007E19EF"/>
    <w:rsid w:val="007E1BF7"/>
    <w:rsid w:val="007E1C3A"/>
    <w:rsid w:val="007E1D57"/>
    <w:rsid w:val="007E23D8"/>
    <w:rsid w:val="007E24F6"/>
    <w:rsid w:val="007E250A"/>
    <w:rsid w:val="007E25BC"/>
    <w:rsid w:val="007E25EC"/>
    <w:rsid w:val="007E27E9"/>
    <w:rsid w:val="007E28D3"/>
    <w:rsid w:val="007E2A22"/>
    <w:rsid w:val="007E2AEC"/>
    <w:rsid w:val="007E2B24"/>
    <w:rsid w:val="007E2C22"/>
    <w:rsid w:val="007E2E4B"/>
    <w:rsid w:val="007E2EA0"/>
    <w:rsid w:val="007E2FEE"/>
    <w:rsid w:val="007E300A"/>
    <w:rsid w:val="007E30F6"/>
    <w:rsid w:val="007E322B"/>
    <w:rsid w:val="007E32C6"/>
    <w:rsid w:val="007E33D5"/>
    <w:rsid w:val="007E3489"/>
    <w:rsid w:val="007E3553"/>
    <w:rsid w:val="007E360B"/>
    <w:rsid w:val="007E3678"/>
    <w:rsid w:val="007E38C4"/>
    <w:rsid w:val="007E3A13"/>
    <w:rsid w:val="007E3BE2"/>
    <w:rsid w:val="007E3BFF"/>
    <w:rsid w:val="007E3D6B"/>
    <w:rsid w:val="007E3DEB"/>
    <w:rsid w:val="007E3E1A"/>
    <w:rsid w:val="007E404F"/>
    <w:rsid w:val="007E418F"/>
    <w:rsid w:val="007E42EB"/>
    <w:rsid w:val="007E43F0"/>
    <w:rsid w:val="007E4766"/>
    <w:rsid w:val="007E4850"/>
    <w:rsid w:val="007E498D"/>
    <w:rsid w:val="007E4BEE"/>
    <w:rsid w:val="007E4DAA"/>
    <w:rsid w:val="007E4E42"/>
    <w:rsid w:val="007E502F"/>
    <w:rsid w:val="007E52B4"/>
    <w:rsid w:val="007E53E8"/>
    <w:rsid w:val="007E5431"/>
    <w:rsid w:val="007E554C"/>
    <w:rsid w:val="007E55BA"/>
    <w:rsid w:val="007E563D"/>
    <w:rsid w:val="007E5653"/>
    <w:rsid w:val="007E5719"/>
    <w:rsid w:val="007E5874"/>
    <w:rsid w:val="007E5999"/>
    <w:rsid w:val="007E59A0"/>
    <w:rsid w:val="007E5D79"/>
    <w:rsid w:val="007E5D80"/>
    <w:rsid w:val="007E60E3"/>
    <w:rsid w:val="007E62BC"/>
    <w:rsid w:val="007E631C"/>
    <w:rsid w:val="007E6320"/>
    <w:rsid w:val="007E643E"/>
    <w:rsid w:val="007E6521"/>
    <w:rsid w:val="007E6544"/>
    <w:rsid w:val="007E68D6"/>
    <w:rsid w:val="007E6927"/>
    <w:rsid w:val="007E6BDF"/>
    <w:rsid w:val="007E706D"/>
    <w:rsid w:val="007E70BD"/>
    <w:rsid w:val="007E73B3"/>
    <w:rsid w:val="007E74D8"/>
    <w:rsid w:val="007E74E1"/>
    <w:rsid w:val="007E75E8"/>
    <w:rsid w:val="007E7636"/>
    <w:rsid w:val="007E769A"/>
    <w:rsid w:val="007E76AA"/>
    <w:rsid w:val="007E79F4"/>
    <w:rsid w:val="007E7CD0"/>
    <w:rsid w:val="007E7EB4"/>
    <w:rsid w:val="007F0086"/>
    <w:rsid w:val="007F0241"/>
    <w:rsid w:val="007F02B6"/>
    <w:rsid w:val="007F0414"/>
    <w:rsid w:val="007F0520"/>
    <w:rsid w:val="007F07C7"/>
    <w:rsid w:val="007F085F"/>
    <w:rsid w:val="007F08E7"/>
    <w:rsid w:val="007F09E6"/>
    <w:rsid w:val="007F0BAE"/>
    <w:rsid w:val="007F0BFA"/>
    <w:rsid w:val="007F0CD3"/>
    <w:rsid w:val="007F0DD6"/>
    <w:rsid w:val="007F10CA"/>
    <w:rsid w:val="007F110C"/>
    <w:rsid w:val="007F13EC"/>
    <w:rsid w:val="007F14EC"/>
    <w:rsid w:val="007F14FF"/>
    <w:rsid w:val="007F1523"/>
    <w:rsid w:val="007F1555"/>
    <w:rsid w:val="007F15C0"/>
    <w:rsid w:val="007F1623"/>
    <w:rsid w:val="007F166A"/>
    <w:rsid w:val="007F19F5"/>
    <w:rsid w:val="007F1AD7"/>
    <w:rsid w:val="007F1C11"/>
    <w:rsid w:val="007F21BC"/>
    <w:rsid w:val="007F235A"/>
    <w:rsid w:val="007F252C"/>
    <w:rsid w:val="007F2556"/>
    <w:rsid w:val="007F255B"/>
    <w:rsid w:val="007F259C"/>
    <w:rsid w:val="007F25FE"/>
    <w:rsid w:val="007F2798"/>
    <w:rsid w:val="007F2869"/>
    <w:rsid w:val="007F28A2"/>
    <w:rsid w:val="007F2997"/>
    <w:rsid w:val="007F29D0"/>
    <w:rsid w:val="007F2BE5"/>
    <w:rsid w:val="007F2BEC"/>
    <w:rsid w:val="007F2E14"/>
    <w:rsid w:val="007F30A7"/>
    <w:rsid w:val="007F3224"/>
    <w:rsid w:val="007F3567"/>
    <w:rsid w:val="007F361E"/>
    <w:rsid w:val="007F361F"/>
    <w:rsid w:val="007F373C"/>
    <w:rsid w:val="007F374F"/>
    <w:rsid w:val="007F3B87"/>
    <w:rsid w:val="007F3CF5"/>
    <w:rsid w:val="007F3F48"/>
    <w:rsid w:val="007F40B0"/>
    <w:rsid w:val="007F40D9"/>
    <w:rsid w:val="007F40FF"/>
    <w:rsid w:val="007F41BA"/>
    <w:rsid w:val="007F41BD"/>
    <w:rsid w:val="007F4429"/>
    <w:rsid w:val="007F44B4"/>
    <w:rsid w:val="007F45C9"/>
    <w:rsid w:val="007F480E"/>
    <w:rsid w:val="007F4820"/>
    <w:rsid w:val="007F48C4"/>
    <w:rsid w:val="007F48D3"/>
    <w:rsid w:val="007F4A24"/>
    <w:rsid w:val="007F4A96"/>
    <w:rsid w:val="007F4DD6"/>
    <w:rsid w:val="007F4DEB"/>
    <w:rsid w:val="007F4E2B"/>
    <w:rsid w:val="007F4EAC"/>
    <w:rsid w:val="007F4F86"/>
    <w:rsid w:val="007F5072"/>
    <w:rsid w:val="007F517B"/>
    <w:rsid w:val="007F535C"/>
    <w:rsid w:val="007F5372"/>
    <w:rsid w:val="007F53C3"/>
    <w:rsid w:val="007F5565"/>
    <w:rsid w:val="007F567F"/>
    <w:rsid w:val="007F5694"/>
    <w:rsid w:val="007F57E1"/>
    <w:rsid w:val="007F583C"/>
    <w:rsid w:val="007F59AD"/>
    <w:rsid w:val="007F5A03"/>
    <w:rsid w:val="007F5B1A"/>
    <w:rsid w:val="007F61D5"/>
    <w:rsid w:val="007F626E"/>
    <w:rsid w:val="007F63DA"/>
    <w:rsid w:val="007F648A"/>
    <w:rsid w:val="007F648D"/>
    <w:rsid w:val="007F6562"/>
    <w:rsid w:val="007F6595"/>
    <w:rsid w:val="007F6687"/>
    <w:rsid w:val="007F66CA"/>
    <w:rsid w:val="007F67B4"/>
    <w:rsid w:val="007F6862"/>
    <w:rsid w:val="007F6B4E"/>
    <w:rsid w:val="007F6C42"/>
    <w:rsid w:val="007F6CBC"/>
    <w:rsid w:val="007F6D0F"/>
    <w:rsid w:val="007F6E4B"/>
    <w:rsid w:val="007F6ECB"/>
    <w:rsid w:val="007F6F5F"/>
    <w:rsid w:val="007F7045"/>
    <w:rsid w:val="007F7184"/>
    <w:rsid w:val="007F7207"/>
    <w:rsid w:val="007F72BB"/>
    <w:rsid w:val="007F73CA"/>
    <w:rsid w:val="007F7415"/>
    <w:rsid w:val="007F7425"/>
    <w:rsid w:val="007F74E4"/>
    <w:rsid w:val="007F75C3"/>
    <w:rsid w:val="007F78EB"/>
    <w:rsid w:val="007F7B07"/>
    <w:rsid w:val="007F7B78"/>
    <w:rsid w:val="007F7FC5"/>
    <w:rsid w:val="0080010E"/>
    <w:rsid w:val="0080016B"/>
    <w:rsid w:val="008001DD"/>
    <w:rsid w:val="00800293"/>
    <w:rsid w:val="0080033B"/>
    <w:rsid w:val="008003F2"/>
    <w:rsid w:val="008004F4"/>
    <w:rsid w:val="0080052F"/>
    <w:rsid w:val="008005A2"/>
    <w:rsid w:val="008005CF"/>
    <w:rsid w:val="008005FA"/>
    <w:rsid w:val="008007F3"/>
    <w:rsid w:val="0080080E"/>
    <w:rsid w:val="00800C0E"/>
    <w:rsid w:val="00800C47"/>
    <w:rsid w:val="00800D5A"/>
    <w:rsid w:val="00800DEA"/>
    <w:rsid w:val="00800FD5"/>
    <w:rsid w:val="00800FE5"/>
    <w:rsid w:val="00801103"/>
    <w:rsid w:val="00801188"/>
    <w:rsid w:val="00801189"/>
    <w:rsid w:val="008011B6"/>
    <w:rsid w:val="00801288"/>
    <w:rsid w:val="00801398"/>
    <w:rsid w:val="00801537"/>
    <w:rsid w:val="0080153D"/>
    <w:rsid w:val="00801585"/>
    <w:rsid w:val="00801664"/>
    <w:rsid w:val="00801767"/>
    <w:rsid w:val="008017D9"/>
    <w:rsid w:val="00801A1F"/>
    <w:rsid w:val="00801C79"/>
    <w:rsid w:val="00801DD6"/>
    <w:rsid w:val="00801E65"/>
    <w:rsid w:val="00801EBE"/>
    <w:rsid w:val="00801EE9"/>
    <w:rsid w:val="00801EEA"/>
    <w:rsid w:val="00802089"/>
    <w:rsid w:val="008020D4"/>
    <w:rsid w:val="00802198"/>
    <w:rsid w:val="008021B3"/>
    <w:rsid w:val="0080245B"/>
    <w:rsid w:val="00802605"/>
    <w:rsid w:val="0080281F"/>
    <w:rsid w:val="00802895"/>
    <w:rsid w:val="00802C48"/>
    <w:rsid w:val="00802DB4"/>
    <w:rsid w:val="00803012"/>
    <w:rsid w:val="00803077"/>
    <w:rsid w:val="00803097"/>
    <w:rsid w:val="008030BF"/>
    <w:rsid w:val="00803149"/>
    <w:rsid w:val="00803269"/>
    <w:rsid w:val="00803365"/>
    <w:rsid w:val="0080341B"/>
    <w:rsid w:val="00803468"/>
    <w:rsid w:val="0080358B"/>
    <w:rsid w:val="0080360E"/>
    <w:rsid w:val="0080368C"/>
    <w:rsid w:val="008036FA"/>
    <w:rsid w:val="00803752"/>
    <w:rsid w:val="0080375D"/>
    <w:rsid w:val="008038A2"/>
    <w:rsid w:val="00803A1E"/>
    <w:rsid w:val="00803B8E"/>
    <w:rsid w:val="00803B95"/>
    <w:rsid w:val="00803BC2"/>
    <w:rsid w:val="00803F8A"/>
    <w:rsid w:val="00803F8F"/>
    <w:rsid w:val="00804040"/>
    <w:rsid w:val="00804043"/>
    <w:rsid w:val="008040D3"/>
    <w:rsid w:val="00804145"/>
    <w:rsid w:val="00804329"/>
    <w:rsid w:val="008043FB"/>
    <w:rsid w:val="008044AE"/>
    <w:rsid w:val="008048D6"/>
    <w:rsid w:val="00804933"/>
    <w:rsid w:val="00804AF7"/>
    <w:rsid w:val="00804B4E"/>
    <w:rsid w:val="008050EF"/>
    <w:rsid w:val="008051BC"/>
    <w:rsid w:val="0080539F"/>
    <w:rsid w:val="00805B31"/>
    <w:rsid w:val="00805BAA"/>
    <w:rsid w:val="00805CF7"/>
    <w:rsid w:val="00805E0C"/>
    <w:rsid w:val="00805E71"/>
    <w:rsid w:val="00805F9F"/>
    <w:rsid w:val="008060B1"/>
    <w:rsid w:val="008062C2"/>
    <w:rsid w:val="008063A5"/>
    <w:rsid w:val="008063B7"/>
    <w:rsid w:val="008065D7"/>
    <w:rsid w:val="0080679D"/>
    <w:rsid w:val="00806815"/>
    <w:rsid w:val="008068D2"/>
    <w:rsid w:val="008068E8"/>
    <w:rsid w:val="00806B2A"/>
    <w:rsid w:val="00806DA7"/>
    <w:rsid w:val="00806EBF"/>
    <w:rsid w:val="00806F07"/>
    <w:rsid w:val="008070AC"/>
    <w:rsid w:val="0080721F"/>
    <w:rsid w:val="00807266"/>
    <w:rsid w:val="008073E8"/>
    <w:rsid w:val="0080745A"/>
    <w:rsid w:val="0080763C"/>
    <w:rsid w:val="0080787B"/>
    <w:rsid w:val="008078B3"/>
    <w:rsid w:val="00807B72"/>
    <w:rsid w:val="00807E70"/>
    <w:rsid w:val="00807ECD"/>
    <w:rsid w:val="00807FAE"/>
    <w:rsid w:val="008101DB"/>
    <w:rsid w:val="0081046A"/>
    <w:rsid w:val="00810474"/>
    <w:rsid w:val="008105DE"/>
    <w:rsid w:val="008106E5"/>
    <w:rsid w:val="0081096B"/>
    <w:rsid w:val="00810AE0"/>
    <w:rsid w:val="00810D36"/>
    <w:rsid w:val="00810DF5"/>
    <w:rsid w:val="00810E3E"/>
    <w:rsid w:val="00810E84"/>
    <w:rsid w:val="00810E99"/>
    <w:rsid w:val="00810F98"/>
    <w:rsid w:val="0081101C"/>
    <w:rsid w:val="0081108F"/>
    <w:rsid w:val="00811154"/>
    <w:rsid w:val="0081119D"/>
    <w:rsid w:val="008111BA"/>
    <w:rsid w:val="00811249"/>
    <w:rsid w:val="0081128F"/>
    <w:rsid w:val="0081138D"/>
    <w:rsid w:val="008114A2"/>
    <w:rsid w:val="0081155C"/>
    <w:rsid w:val="0081167B"/>
    <w:rsid w:val="00811D85"/>
    <w:rsid w:val="00811DE9"/>
    <w:rsid w:val="00811DF1"/>
    <w:rsid w:val="00811E43"/>
    <w:rsid w:val="00811E49"/>
    <w:rsid w:val="00811E71"/>
    <w:rsid w:val="00812092"/>
    <w:rsid w:val="00812540"/>
    <w:rsid w:val="0081261C"/>
    <w:rsid w:val="00812659"/>
    <w:rsid w:val="00812776"/>
    <w:rsid w:val="00812A30"/>
    <w:rsid w:val="00812AF6"/>
    <w:rsid w:val="00812E13"/>
    <w:rsid w:val="00812E19"/>
    <w:rsid w:val="00812E40"/>
    <w:rsid w:val="00812E67"/>
    <w:rsid w:val="00812F0F"/>
    <w:rsid w:val="0081304B"/>
    <w:rsid w:val="0081320C"/>
    <w:rsid w:val="0081325C"/>
    <w:rsid w:val="008132D1"/>
    <w:rsid w:val="00813342"/>
    <w:rsid w:val="00813425"/>
    <w:rsid w:val="0081357D"/>
    <w:rsid w:val="008135AC"/>
    <w:rsid w:val="008135E6"/>
    <w:rsid w:val="008139B5"/>
    <w:rsid w:val="00813AA1"/>
    <w:rsid w:val="00813AD2"/>
    <w:rsid w:val="00813B74"/>
    <w:rsid w:val="00813BA6"/>
    <w:rsid w:val="00814023"/>
    <w:rsid w:val="008140E6"/>
    <w:rsid w:val="0081415A"/>
    <w:rsid w:val="008141F3"/>
    <w:rsid w:val="0081445D"/>
    <w:rsid w:val="008145F5"/>
    <w:rsid w:val="008146D5"/>
    <w:rsid w:val="00814718"/>
    <w:rsid w:val="0081479E"/>
    <w:rsid w:val="008147AA"/>
    <w:rsid w:val="0081480A"/>
    <w:rsid w:val="00814A6F"/>
    <w:rsid w:val="00814CDB"/>
    <w:rsid w:val="00814ECD"/>
    <w:rsid w:val="008150EE"/>
    <w:rsid w:val="00815136"/>
    <w:rsid w:val="00815302"/>
    <w:rsid w:val="00815369"/>
    <w:rsid w:val="0081556A"/>
    <w:rsid w:val="0081586C"/>
    <w:rsid w:val="0081598C"/>
    <w:rsid w:val="00815B49"/>
    <w:rsid w:val="00815B6D"/>
    <w:rsid w:val="00815CFC"/>
    <w:rsid w:val="00815D8B"/>
    <w:rsid w:val="00815DEB"/>
    <w:rsid w:val="00815F65"/>
    <w:rsid w:val="00815FC0"/>
    <w:rsid w:val="00815FE1"/>
    <w:rsid w:val="00816005"/>
    <w:rsid w:val="008160C9"/>
    <w:rsid w:val="008160D1"/>
    <w:rsid w:val="0081618B"/>
    <w:rsid w:val="00816213"/>
    <w:rsid w:val="008163A7"/>
    <w:rsid w:val="008164DF"/>
    <w:rsid w:val="00816527"/>
    <w:rsid w:val="00816708"/>
    <w:rsid w:val="00816806"/>
    <w:rsid w:val="00816853"/>
    <w:rsid w:val="008168A7"/>
    <w:rsid w:val="008168F6"/>
    <w:rsid w:val="00816AFF"/>
    <w:rsid w:val="00816C3C"/>
    <w:rsid w:val="00816E97"/>
    <w:rsid w:val="00816F40"/>
    <w:rsid w:val="0081702F"/>
    <w:rsid w:val="008170FF"/>
    <w:rsid w:val="008171E4"/>
    <w:rsid w:val="008171FB"/>
    <w:rsid w:val="0081749D"/>
    <w:rsid w:val="0081755A"/>
    <w:rsid w:val="008175B3"/>
    <w:rsid w:val="0081784D"/>
    <w:rsid w:val="00817864"/>
    <w:rsid w:val="00817905"/>
    <w:rsid w:val="00817B60"/>
    <w:rsid w:val="00817C6A"/>
    <w:rsid w:val="00817CAA"/>
    <w:rsid w:val="00817DD6"/>
    <w:rsid w:val="00817E06"/>
    <w:rsid w:val="00817E49"/>
    <w:rsid w:val="00817F7B"/>
    <w:rsid w:val="00820174"/>
    <w:rsid w:val="008202A1"/>
    <w:rsid w:val="008202CC"/>
    <w:rsid w:val="00820374"/>
    <w:rsid w:val="00820404"/>
    <w:rsid w:val="00820644"/>
    <w:rsid w:val="0082084B"/>
    <w:rsid w:val="008209FB"/>
    <w:rsid w:val="00820CA1"/>
    <w:rsid w:val="00820D38"/>
    <w:rsid w:val="00820D53"/>
    <w:rsid w:val="00820E97"/>
    <w:rsid w:val="00820EA8"/>
    <w:rsid w:val="00820F7B"/>
    <w:rsid w:val="0082110C"/>
    <w:rsid w:val="008211F9"/>
    <w:rsid w:val="00821252"/>
    <w:rsid w:val="0082139E"/>
    <w:rsid w:val="00821425"/>
    <w:rsid w:val="00821516"/>
    <w:rsid w:val="00821600"/>
    <w:rsid w:val="008216DD"/>
    <w:rsid w:val="00821749"/>
    <w:rsid w:val="008217A9"/>
    <w:rsid w:val="00821B1F"/>
    <w:rsid w:val="00821B28"/>
    <w:rsid w:val="00821BC0"/>
    <w:rsid w:val="00821C65"/>
    <w:rsid w:val="00821C97"/>
    <w:rsid w:val="00821D54"/>
    <w:rsid w:val="00821E76"/>
    <w:rsid w:val="00821FAF"/>
    <w:rsid w:val="0082201C"/>
    <w:rsid w:val="00822040"/>
    <w:rsid w:val="00822052"/>
    <w:rsid w:val="008221C7"/>
    <w:rsid w:val="00822243"/>
    <w:rsid w:val="00822261"/>
    <w:rsid w:val="008222B3"/>
    <w:rsid w:val="00822335"/>
    <w:rsid w:val="00822371"/>
    <w:rsid w:val="0082249C"/>
    <w:rsid w:val="008224B7"/>
    <w:rsid w:val="008224EF"/>
    <w:rsid w:val="008225FD"/>
    <w:rsid w:val="008226F6"/>
    <w:rsid w:val="00822742"/>
    <w:rsid w:val="00822913"/>
    <w:rsid w:val="008229B2"/>
    <w:rsid w:val="00822A4C"/>
    <w:rsid w:val="00822F56"/>
    <w:rsid w:val="00822FD0"/>
    <w:rsid w:val="00822FE1"/>
    <w:rsid w:val="008230ED"/>
    <w:rsid w:val="00823163"/>
    <w:rsid w:val="00823304"/>
    <w:rsid w:val="008235B5"/>
    <w:rsid w:val="008236A9"/>
    <w:rsid w:val="00823815"/>
    <w:rsid w:val="0082384E"/>
    <w:rsid w:val="008239AB"/>
    <w:rsid w:val="00823AD2"/>
    <w:rsid w:val="00823BD8"/>
    <w:rsid w:val="00823C58"/>
    <w:rsid w:val="00823C7F"/>
    <w:rsid w:val="00823E9E"/>
    <w:rsid w:val="00823FF0"/>
    <w:rsid w:val="0082412D"/>
    <w:rsid w:val="0082438C"/>
    <w:rsid w:val="00824559"/>
    <w:rsid w:val="008245AA"/>
    <w:rsid w:val="00824619"/>
    <w:rsid w:val="00824687"/>
    <w:rsid w:val="0082488C"/>
    <w:rsid w:val="00824976"/>
    <w:rsid w:val="00824D06"/>
    <w:rsid w:val="0082510F"/>
    <w:rsid w:val="0082515B"/>
    <w:rsid w:val="0082516A"/>
    <w:rsid w:val="0082519E"/>
    <w:rsid w:val="008251B3"/>
    <w:rsid w:val="0082526E"/>
    <w:rsid w:val="0082542F"/>
    <w:rsid w:val="00825469"/>
    <w:rsid w:val="00825A9D"/>
    <w:rsid w:val="00825B19"/>
    <w:rsid w:val="00825B62"/>
    <w:rsid w:val="00825CA5"/>
    <w:rsid w:val="00825DC6"/>
    <w:rsid w:val="00825E61"/>
    <w:rsid w:val="00825F39"/>
    <w:rsid w:val="00825F58"/>
    <w:rsid w:val="00825FC6"/>
    <w:rsid w:val="0082606B"/>
    <w:rsid w:val="008260A8"/>
    <w:rsid w:val="008260B4"/>
    <w:rsid w:val="0082613C"/>
    <w:rsid w:val="008261EF"/>
    <w:rsid w:val="008262AD"/>
    <w:rsid w:val="0082638F"/>
    <w:rsid w:val="00826537"/>
    <w:rsid w:val="008265B6"/>
    <w:rsid w:val="008268F5"/>
    <w:rsid w:val="0082693E"/>
    <w:rsid w:val="00826975"/>
    <w:rsid w:val="00826BEC"/>
    <w:rsid w:val="00826CEF"/>
    <w:rsid w:val="00826EC1"/>
    <w:rsid w:val="008271A2"/>
    <w:rsid w:val="00827237"/>
    <w:rsid w:val="00827296"/>
    <w:rsid w:val="00827454"/>
    <w:rsid w:val="008274C6"/>
    <w:rsid w:val="00827624"/>
    <w:rsid w:val="0082768B"/>
    <w:rsid w:val="0082768C"/>
    <w:rsid w:val="00827790"/>
    <w:rsid w:val="008277F3"/>
    <w:rsid w:val="00827BF9"/>
    <w:rsid w:val="00827D25"/>
    <w:rsid w:val="00827DE0"/>
    <w:rsid w:val="00827E19"/>
    <w:rsid w:val="00827E57"/>
    <w:rsid w:val="0083002D"/>
    <w:rsid w:val="008300BC"/>
    <w:rsid w:val="0083015C"/>
    <w:rsid w:val="00830188"/>
    <w:rsid w:val="008302D6"/>
    <w:rsid w:val="00830416"/>
    <w:rsid w:val="00830630"/>
    <w:rsid w:val="00830B08"/>
    <w:rsid w:val="00830BC0"/>
    <w:rsid w:val="00830C47"/>
    <w:rsid w:val="00830D72"/>
    <w:rsid w:val="00830E75"/>
    <w:rsid w:val="00830E9B"/>
    <w:rsid w:val="0083112B"/>
    <w:rsid w:val="00831242"/>
    <w:rsid w:val="008312D8"/>
    <w:rsid w:val="0083132D"/>
    <w:rsid w:val="00831342"/>
    <w:rsid w:val="0083134F"/>
    <w:rsid w:val="0083135A"/>
    <w:rsid w:val="00831375"/>
    <w:rsid w:val="008317D8"/>
    <w:rsid w:val="008317E2"/>
    <w:rsid w:val="00831ACF"/>
    <w:rsid w:val="00831C39"/>
    <w:rsid w:val="00831CF1"/>
    <w:rsid w:val="00831D59"/>
    <w:rsid w:val="00831F4B"/>
    <w:rsid w:val="00832112"/>
    <w:rsid w:val="008321A2"/>
    <w:rsid w:val="008321AE"/>
    <w:rsid w:val="008321DE"/>
    <w:rsid w:val="00832260"/>
    <w:rsid w:val="0083241E"/>
    <w:rsid w:val="0083262F"/>
    <w:rsid w:val="0083267B"/>
    <w:rsid w:val="00832723"/>
    <w:rsid w:val="0083290F"/>
    <w:rsid w:val="00832918"/>
    <w:rsid w:val="00832946"/>
    <w:rsid w:val="00832AFD"/>
    <w:rsid w:val="008332B6"/>
    <w:rsid w:val="008332EE"/>
    <w:rsid w:val="00833322"/>
    <w:rsid w:val="00833484"/>
    <w:rsid w:val="0083356D"/>
    <w:rsid w:val="00833590"/>
    <w:rsid w:val="0083367E"/>
    <w:rsid w:val="008338A6"/>
    <w:rsid w:val="0083391A"/>
    <w:rsid w:val="00833A25"/>
    <w:rsid w:val="00833B74"/>
    <w:rsid w:val="00833D6B"/>
    <w:rsid w:val="00833D8D"/>
    <w:rsid w:val="00833DDD"/>
    <w:rsid w:val="00833EC1"/>
    <w:rsid w:val="00833ED5"/>
    <w:rsid w:val="008341BF"/>
    <w:rsid w:val="008344D6"/>
    <w:rsid w:val="008344E6"/>
    <w:rsid w:val="008345B6"/>
    <w:rsid w:val="00834637"/>
    <w:rsid w:val="00834680"/>
    <w:rsid w:val="008346CE"/>
    <w:rsid w:val="00834772"/>
    <w:rsid w:val="00834810"/>
    <w:rsid w:val="00834812"/>
    <w:rsid w:val="00834A4D"/>
    <w:rsid w:val="00834B63"/>
    <w:rsid w:val="00834D41"/>
    <w:rsid w:val="00835043"/>
    <w:rsid w:val="0083520D"/>
    <w:rsid w:val="0083523B"/>
    <w:rsid w:val="0083545A"/>
    <w:rsid w:val="0083549C"/>
    <w:rsid w:val="0083582D"/>
    <w:rsid w:val="00835A1F"/>
    <w:rsid w:val="00835A4E"/>
    <w:rsid w:val="00835AD1"/>
    <w:rsid w:val="00835B3A"/>
    <w:rsid w:val="00835E58"/>
    <w:rsid w:val="00835F06"/>
    <w:rsid w:val="00836043"/>
    <w:rsid w:val="008360DD"/>
    <w:rsid w:val="00836112"/>
    <w:rsid w:val="00836131"/>
    <w:rsid w:val="0083626F"/>
    <w:rsid w:val="008362B1"/>
    <w:rsid w:val="008362B3"/>
    <w:rsid w:val="00836473"/>
    <w:rsid w:val="008364C5"/>
    <w:rsid w:val="00836506"/>
    <w:rsid w:val="0083651A"/>
    <w:rsid w:val="008366B3"/>
    <w:rsid w:val="00836837"/>
    <w:rsid w:val="00836977"/>
    <w:rsid w:val="00836C79"/>
    <w:rsid w:val="00836DCF"/>
    <w:rsid w:val="00836DDB"/>
    <w:rsid w:val="00836EE1"/>
    <w:rsid w:val="00836F88"/>
    <w:rsid w:val="0083708D"/>
    <w:rsid w:val="00837198"/>
    <w:rsid w:val="00837280"/>
    <w:rsid w:val="00837351"/>
    <w:rsid w:val="00837490"/>
    <w:rsid w:val="008374BA"/>
    <w:rsid w:val="008374C5"/>
    <w:rsid w:val="0083756D"/>
    <w:rsid w:val="00837607"/>
    <w:rsid w:val="00837639"/>
    <w:rsid w:val="008378A9"/>
    <w:rsid w:val="00837927"/>
    <w:rsid w:val="0083792B"/>
    <w:rsid w:val="0083795D"/>
    <w:rsid w:val="00837A95"/>
    <w:rsid w:val="00837DCC"/>
    <w:rsid w:val="00837DF9"/>
    <w:rsid w:val="00837E83"/>
    <w:rsid w:val="00837F66"/>
    <w:rsid w:val="00837FD0"/>
    <w:rsid w:val="00840112"/>
    <w:rsid w:val="0084018E"/>
    <w:rsid w:val="008401E6"/>
    <w:rsid w:val="00840333"/>
    <w:rsid w:val="00840501"/>
    <w:rsid w:val="0084072B"/>
    <w:rsid w:val="00840891"/>
    <w:rsid w:val="00840973"/>
    <w:rsid w:val="008409F7"/>
    <w:rsid w:val="00840A56"/>
    <w:rsid w:val="00840C33"/>
    <w:rsid w:val="00840CA2"/>
    <w:rsid w:val="00840CD5"/>
    <w:rsid w:val="00840FBF"/>
    <w:rsid w:val="008410F1"/>
    <w:rsid w:val="008413EF"/>
    <w:rsid w:val="008413FB"/>
    <w:rsid w:val="0084166D"/>
    <w:rsid w:val="008417DD"/>
    <w:rsid w:val="00841A1D"/>
    <w:rsid w:val="00841B1A"/>
    <w:rsid w:val="00841B53"/>
    <w:rsid w:val="00841C33"/>
    <w:rsid w:val="00841C86"/>
    <w:rsid w:val="00841EAD"/>
    <w:rsid w:val="00841F20"/>
    <w:rsid w:val="00842064"/>
    <w:rsid w:val="00842269"/>
    <w:rsid w:val="00842479"/>
    <w:rsid w:val="00842727"/>
    <w:rsid w:val="00842749"/>
    <w:rsid w:val="0084282B"/>
    <w:rsid w:val="00842B62"/>
    <w:rsid w:val="00842E0B"/>
    <w:rsid w:val="00842FB2"/>
    <w:rsid w:val="0084307F"/>
    <w:rsid w:val="00843227"/>
    <w:rsid w:val="00843432"/>
    <w:rsid w:val="00843582"/>
    <w:rsid w:val="008435C2"/>
    <w:rsid w:val="008437BA"/>
    <w:rsid w:val="0084380C"/>
    <w:rsid w:val="00843815"/>
    <w:rsid w:val="0084389C"/>
    <w:rsid w:val="00843919"/>
    <w:rsid w:val="0084392C"/>
    <w:rsid w:val="00843ACB"/>
    <w:rsid w:val="00843B18"/>
    <w:rsid w:val="00843B42"/>
    <w:rsid w:val="00843BB6"/>
    <w:rsid w:val="00843D2E"/>
    <w:rsid w:val="00843E4C"/>
    <w:rsid w:val="00844144"/>
    <w:rsid w:val="008442AB"/>
    <w:rsid w:val="008442C0"/>
    <w:rsid w:val="008442CA"/>
    <w:rsid w:val="00844379"/>
    <w:rsid w:val="008443E8"/>
    <w:rsid w:val="00844712"/>
    <w:rsid w:val="00844843"/>
    <w:rsid w:val="00844891"/>
    <w:rsid w:val="00844896"/>
    <w:rsid w:val="008449E1"/>
    <w:rsid w:val="00844DF8"/>
    <w:rsid w:val="00844E2F"/>
    <w:rsid w:val="00844E35"/>
    <w:rsid w:val="00844FF9"/>
    <w:rsid w:val="0084501C"/>
    <w:rsid w:val="008452C5"/>
    <w:rsid w:val="0084539F"/>
    <w:rsid w:val="008458B7"/>
    <w:rsid w:val="00845971"/>
    <w:rsid w:val="008459E2"/>
    <w:rsid w:val="00845A9D"/>
    <w:rsid w:val="00845AFD"/>
    <w:rsid w:val="00845CED"/>
    <w:rsid w:val="00845D61"/>
    <w:rsid w:val="00845DDA"/>
    <w:rsid w:val="00845E81"/>
    <w:rsid w:val="00845F18"/>
    <w:rsid w:val="00846080"/>
    <w:rsid w:val="008460C7"/>
    <w:rsid w:val="008460C9"/>
    <w:rsid w:val="00846135"/>
    <w:rsid w:val="0084620F"/>
    <w:rsid w:val="008463E2"/>
    <w:rsid w:val="00846A6F"/>
    <w:rsid w:val="00846AA7"/>
    <w:rsid w:val="00846B07"/>
    <w:rsid w:val="00846C2C"/>
    <w:rsid w:val="00846C71"/>
    <w:rsid w:val="008472C6"/>
    <w:rsid w:val="008473B1"/>
    <w:rsid w:val="0084747D"/>
    <w:rsid w:val="0084748A"/>
    <w:rsid w:val="0084760D"/>
    <w:rsid w:val="0084772C"/>
    <w:rsid w:val="00847753"/>
    <w:rsid w:val="008477A5"/>
    <w:rsid w:val="00847847"/>
    <w:rsid w:val="00847AA7"/>
    <w:rsid w:val="00847B5F"/>
    <w:rsid w:val="00847C65"/>
    <w:rsid w:val="00847CAC"/>
    <w:rsid w:val="00847E99"/>
    <w:rsid w:val="00847F9B"/>
    <w:rsid w:val="00847FDA"/>
    <w:rsid w:val="00850104"/>
    <w:rsid w:val="008502EE"/>
    <w:rsid w:val="008505E6"/>
    <w:rsid w:val="008507B6"/>
    <w:rsid w:val="00850AE0"/>
    <w:rsid w:val="00850B37"/>
    <w:rsid w:val="00850B5F"/>
    <w:rsid w:val="00850D72"/>
    <w:rsid w:val="00850E0F"/>
    <w:rsid w:val="00850E6F"/>
    <w:rsid w:val="00850E73"/>
    <w:rsid w:val="0085105B"/>
    <w:rsid w:val="00851097"/>
    <w:rsid w:val="00851105"/>
    <w:rsid w:val="00851166"/>
    <w:rsid w:val="00851222"/>
    <w:rsid w:val="008513B1"/>
    <w:rsid w:val="008514BC"/>
    <w:rsid w:val="00851760"/>
    <w:rsid w:val="00851A07"/>
    <w:rsid w:val="00851A0C"/>
    <w:rsid w:val="00851ACD"/>
    <w:rsid w:val="00851B25"/>
    <w:rsid w:val="00851B4B"/>
    <w:rsid w:val="00851BEB"/>
    <w:rsid w:val="00851C10"/>
    <w:rsid w:val="00851C2E"/>
    <w:rsid w:val="00851EEA"/>
    <w:rsid w:val="00851FE7"/>
    <w:rsid w:val="0085219B"/>
    <w:rsid w:val="008521D5"/>
    <w:rsid w:val="008521F3"/>
    <w:rsid w:val="00852244"/>
    <w:rsid w:val="008524C1"/>
    <w:rsid w:val="00852536"/>
    <w:rsid w:val="00852694"/>
    <w:rsid w:val="008527DB"/>
    <w:rsid w:val="008528C7"/>
    <w:rsid w:val="00852B98"/>
    <w:rsid w:val="00852BF3"/>
    <w:rsid w:val="00852D89"/>
    <w:rsid w:val="00852E9C"/>
    <w:rsid w:val="008530A6"/>
    <w:rsid w:val="008530B1"/>
    <w:rsid w:val="008533D7"/>
    <w:rsid w:val="00853528"/>
    <w:rsid w:val="0085353F"/>
    <w:rsid w:val="0085361E"/>
    <w:rsid w:val="0085366E"/>
    <w:rsid w:val="008536CF"/>
    <w:rsid w:val="00853739"/>
    <w:rsid w:val="008537B2"/>
    <w:rsid w:val="00853846"/>
    <w:rsid w:val="0085385E"/>
    <w:rsid w:val="00853A8C"/>
    <w:rsid w:val="00853C1A"/>
    <w:rsid w:val="00853DE7"/>
    <w:rsid w:val="0085415F"/>
    <w:rsid w:val="008545C6"/>
    <w:rsid w:val="008546B0"/>
    <w:rsid w:val="008546EB"/>
    <w:rsid w:val="008548FF"/>
    <w:rsid w:val="00854930"/>
    <w:rsid w:val="00854A12"/>
    <w:rsid w:val="00854B30"/>
    <w:rsid w:val="00854B99"/>
    <w:rsid w:val="00854E21"/>
    <w:rsid w:val="00854E71"/>
    <w:rsid w:val="00854F0A"/>
    <w:rsid w:val="00855064"/>
    <w:rsid w:val="008550AC"/>
    <w:rsid w:val="00855215"/>
    <w:rsid w:val="0085553C"/>
    <w:rsid w:val="00855686"/>
    <w:rsid w:val="008556BF"/>
    <w:rsid w:val="008558B1"/>
    <w:rsid w:val="008558EA"/>
    <w:rsid w:val="0085593E"/>
    <w:rsid w:val="008559E5"/>
    <w:rsid w:val="00855A67"/>
    <w:rsid w:val="00855C94"/>
    <w:rsid w:val="00855D3C"/>
    <w:rsid w:val="00855DBC"/>
    <w:rsid w:val="00855E89"/>
    <w:rsid w:val="00856027"/>
    <w:rsid w:val="00856117"/>
    <w:rsid w:val="00856154"/>
    <w:rsid w:val="008561EC"/>
    <w:rsid w:val="0085638D"/>
    <w:rsid w:val="008565A3"/>
    <w:rsid w:val="00856604"/>
    <w:rsid w:val="0085667A"/>
    <w:rsid w:val="00856784"/>
    <w:rsid w:val="008567AE"/>
    <w:rsid w:val="00856877"/>
    <w:rsid w:val="00856AD7"/>
    <w:rsid w:val="00856B62"/>
    <w:rsid w:val="00856F5E"/>
    <w:rsid w:val="00856F8F"/>
    <w:rsid w:val="00856FEC"/>
    <w:rsid w:val="00857188"/>
    <w:rsid w:val="00857291"/>
    <w:rsid w:val="0085750B"/>
    <w:rsid w:val="0085790D"/>
    <w:rsid w:val="00857A2A"/>
    <w:rsid w:val="00857AB1"/>
    <w:rsid w:val="00857BC7"/>
    <w:rsid w:val="00857E42"/>
    <w:rsid w:val="00860020"/>
    <w:rsid w:val="00860023"/>
    <w:rsid w:val="00860065"/>
    <w:rsid w:val="008604C8"/>
    <w:rsid w:val="008604D1"/>
    <w:rsid w:val="008605A5"/>
    <w:rsid w:val="008605B1"/>
    <w:rsid w:val="0086063A"/>
    <w:rsid w:val="0086063B"/>
    <w:rsid w:val="00860646"/>
    <w:rsid w:val="008608CE"/>
    <w:rsid w:val="00860997"/>
    <w:rsid w:val="008609A1"/>
    <w:rsid w:val="00860ABF"/>
    <w:rsid w:val="00860AE3"/>
    <w:rsid w:val="00860BE7"/>
    <w:rsid w:val="00860D2B"/>
    <w:rsid w:val="00860E7D"/>
    <w:rsid w:val="00860ED0"/>
    <w:rsid w:val="00860FCC"/>
    <w:rsid w:val="0086116D"/>
    <w:rsid w:val="00861457"/>
    <w:rsid w:val="00861577"/>
    <w:rsid w:val="00861592"/>
    <w:rsid w:val="008615F7"/>
    <w:rsid w:val="00861635"/>
    <w:rsid w:val="008616FA"/>
    <w:rsid w:val="008618FF"/>
    <w:rsid w:val="00861B40"/>
    <w:rsid w:val="00861D6E"/>
    <w:rsid w:val="00861E1E"/>
    <w:rsid w:val="00861F07"/>
    <w:rsid w:val="00862310"/>
    <w:rsid w:val="00862329"/>
    <w:rsid w:val="008624C2"/>
    <w:rsid w:val="00862507"/>
    <w:rsid w:val="00862590"/>
    <w:rsid w:val="008626B2"/>
    <w:rsid w:val="008626C5"/>
    <w:rsid w:val="00862944"/>
    <w:rsid w:val="00862A18"/>
    <w:rsid w:val="00862A54"/>
    <w:rsid w:val="00862D58"/>
    <w:rsid w:val="00862DDF"/>
    <w:rsid w:val="00862E20"/>
    <w:rsid w:val="00862F4A"/>
    <w:rsid w:val="008630C0"/>
    <w:rsid w:val="00863165"/>
    <w:rsid w:val="008631E1"/>
    <w:rsid w:val="008631E9"/>
    <w:rsid w:val="008633E5"/>
    <w:rsid w:val="00863596"/>
    <w:rsid w:val="0086394F"/>
    <w:rsid w:val="0086396C"/>
    <w:rsid w:val="00863972"/>
    <w:rsid w:val="008639E8"/>
    <w:rsid w:val="00863AC4"/>
    <w:rsid w:val="00863D41"/>
    <w:rsid w:val="00863D53"/>
    <w:rsid w:val="00863DB1"/>
    <w:rsid w:val="00863DBF"/>
    <w:rsid w:val="00863FA6"/>
    <w:rsid w:val="00863FC7"/>
    <w:rsid w:val="00864137"/>
    <w:rsid w:val="008641A2"/>
    <w:rsid w:val="008641BA"/>
    <w:rsid w:val="0086427D"/>
    <w:rsid w:val="0086434D"/>
    <w:rsid w:val="0086441A"/>
    <w:rsid w:val="00864489"/>
    <w:rsid w:val="008644BA"/>
    <w:rsid w:val="00864502"/>
    <w:rsid w:val="00864569"/>
    <w:rsid w:val="008645AC"/>
    <w:rsid w:val="00864655"/>
    <w:rsid w:val="00864692"/>
    <w:rsid w:val="00864760"/>
    <w:rsid w:val="008647AB"/>
    <w:rsid w:val="00864911"/>
    <w:rsid w:val="00864940"/>
    <w:rsid w:val="00864AAB"/>
    <w:rsid w:val="00864B19"/>
    <w:rsid w:val="00864B54"/>
    <w:rsid w:val="00864D4B"/>
    <w:rsid w:val="00864FB9"/>
    <w:rsid w:val="00864FBD"/>
    <w:rsid w:val="00864FE6"/>
    <w:rsid w:val="00864FF0"/>
    <w:rsid w:val="0086530B"/>
    <w:rsid w:val="008656A4"/>
    <w:rsid w:val="00865798"/>
    <w:rsid w:val="008657A4"/>
    <w:rsid w:val="00865A14"/>
    <w:rsid w:val="00865AF7"/>
    <w:rsid w:val="00865B16"/>
    <w:rsid w:val="00865B89"/>
    <w:rsid w:val="00865C37"/>
    <w:rsid w:val="00865C3F"/>
    <w:rsid w:val="00865E4E"/>
    <w:rsid w:val="00866014"/>
    <w:rsid w:val="008660F3"/>
    <w:rsid w:val="00866177"/>
    <w:rsid w:val="0086620A"/>
    <w:rsid w:val="008663AD"/>
    <w:rsid w:val="0086644B"/>
    <w:rsid w:val="008666E3"/>
    <w:rsid w:val="00866848"/>
    <w:rsid w:val="00866B4D"/>
    <w:rsid w:val="00866BE1"/>
    <w:rsid w:val="00866C28"/>
    <w:rsid w:val="00866F3A"/>
    <w:rsid w:val="00867197"/>
    <w:rsid w:val="0086728E"/>
    <w:rsid w:val="00867330"/>
    <w:rsid w:val="00867506"/>
    <w:rsid w:val="0086750C"/>
    <w:rsid w:val="008677B4"/>
    <w:rsid w:val="008677B8"/>
    <w:rsid w:val="00867C96"/>
    <w:rsid w:val="00867D5C"/>
    <w:rsid w:val="00867EAA"/>
    <w:rsid w:val="00870068"/>
    <w:rsid w:val="0087012F"/>
    <w:rsid w:val="00870375"/>
    <w:rsid w:val="008704AC"/>
    <w:rsid w:val="0087078F"/>
    <w:rsid w:val="008707C0"/>
    <w:rsid w:val="008708FE"/>
    <w:rsid w:val="00870916"/>
    <w:rsid w:val="00870A23"/>
    <w:rsid w:val="00870B63"/>
    <w:rsid w:val="008710A3"/>
    <w:rsid w:val="008710C9"/>
    <w:rsid w:val="008710E0"/>
    <w:rsid w:val="00871268"/>
    <w:rsid w:val="008712D1"/>
    <w:rsid w:val="008714EC"/>
    <w:rsid w:val="00871620"/>
    <w:rsid w:val="00871713"/>
    <w:rsid w:val="00871897"/>
    <w:rsid w:val="00871898"/>
    <w:rsid w:val="0087193B"/>
    <w:rsid w:val="00871B0A"/>
    <w:rsid w:val="00871CFC"/>
    <w:rsid w:val="00871D25"/>
    <w:rsid w:val="00871DED"/>
    <w:rsid w:val="00871F7F"/>
    <w:rsid w:val="00872191"/>
    <w:rsid w:val="00872293"/>
    <w:rsid w:val="008723C5"/>
    <w:rsid w:val="00872724"/>
    <w:rsid w:val="008727DC"/>
    <w:rsid w:val="008728A2"/>
    <w:rsid w:val="00872912"/>
    <w:rsid w:val="00872A59"/>
    <w:rsid w:val="00872C3E"/>
    <w:rsid w:val="00872F47"/>
    <w:rsid w:val="00872FC5"/>
    <w:rsid w:val="00873098"/>
    <w:rsid w:val="0087315F"/>
    <w:rsid w:val="008732DA"/>
    <w:rsid w:val="0087353C"/>
    <w:rsid w:val="008735DA"/>
    <w:rsid w:val="0087363B"/>
    <w:rsid w:val="00873653"/>
    <w:rsid w:val="0087370F"/>
    <w:rsid w:val="00873905"/>
    <w:rsid w:val="00873DE7"/>
    <w:rsid w:val="0087401C"/>
    <w:rsid w:val="00874251"/>
    <w:rsid w:val="00874303"/>
    <w:rsid w:val="0087430C"/>
    <w:rsid w:val="00874664"/>
    <w:rsid w:val="008746C4"/>
    <w:rsid w:val="008748A7"/>
    <w:rsid w:val="008748CE"/>
    <w:rsid w:val="00874911"/>
    <w:rsid w:val="00874934"/>
    <w:rsid w:val="008749AB"/>
    <w:rsid w:val="00874A03"/>
    <w:rsid w:val="00874A1C"/>
    <w:rsid w:val="00874A36"/>
    <w:rsid w:val="00874A7F"/>
    <w:rsid w:val="00874C16"/>
    <w:rsid w:val="00874F39"/>
    <w:rsid w:val="00874F62"/>
    <w:rsid w:val="00875338"/>
    <w:rsid w:val="0087542F"/>
    <w:rsid w:val="008755C3"/>
    <w:rsid w:val="0087568C"/>
    <w:rsid w:val="00875772"/>
    <w:rsid w:val="008757EF"/>
    <w:rsid w:val="008758AC"/>
    <w:rsid w:val="00875945"/>
    <w:rsid w:val="00875D28"/>
    <w:rsid w:val="00875D41"/>
    <w:rsid w:val="00875E15"/>
    <w:rsid w:val="00875EBA"/>
    <w:rsid w:val="00875F3B"/>
    <w:rsid w:val="008760B7"/>
    <w:rsid w:val="008761BF"/>
    <w:rsid w:val="0087620E"/>
    <w:rsid w:val="008766AC"/>
    <w:rsid w:val="008766CA"/>
    <w:rsid w:val="0087685E"/>
    <w:rsid w:val="00876BAE"/>
    <w:rsid w:val="00876C28"/>
    <w:rsid w:val="00876CDB"/>
    <w:rsid w:val="00876D27"/>
    <w:rsid w:val="00876EA1"/>
    <w:rsid w:val="00877020"/>
    <w:rsid w:val="00877069"/>
    <w:rsid w:val="008770A0"/>
    <w:rsid w:val="00877161"/>
    <w:rsid w:val="00877389"/>
    <w:rsid w:val="0087756B"/>
    <w:rsid w:val="00877618"/>
    <w:rsid w:val="00877A3A"/>
    <w:rsid w:val="00877C75"/>
    <w:rsid w:val="00877D1E"/>
    <w:rsid w:val="00877D62"/>
    <w:rsid w:val="00877F1D"/>
    <w:rsid w:val="00880174"/>
    <w:rsid w:val="008801CC"/>
    <w:rsid w:val="0088023F"/>
    <w:rsid w:val="008802C6"/>
    <w:rsid w:val="008802DD"/>
    <w:rsid w:val="00880460"/>
    <w:rsid w:val="00880518"/>
    <w:rsid w:val="008806B5"/>
    <w:rsid w:val="0088075A"/>
    <w:rsid w:val="00880908"/>
    <w:rsid w:val="00880909"/>
    <w:rsid w:val="00880937"/>
    <w:rsid w:val="00880CCA"/>
    <w:rsid w:val="0088111B"/>
    <w:rsid w:val="008811EF"/>
    <w:rsid w:val="00881263"/>
    <w:rsid w:val="00881308"/>
    <w:rsid w:val="0088136B"/>
    <w:rsid w:val="008814D5"/>
    <w:rsid w:val="0088156D"/>
    <w:rsid w:val="00881693"/>
    <w:rsid w:val="00881705"/>
    <w:rsid w:val="00881838"/>
    <w:rsid w:val="008819FC"/>
    <w:rsid w:val="00881A86"/>
    <w:rsid w:val="00881BDF"/>
    <w:rsid w:val="00881DB2"/>
    <w:rsid w:val="00882015"/>
    <w:rsid w:val="008820CF"/>
    <w:rsid w:val="008820FC"/>
    <w:rsid w:val="008821ED"/>
    <w:rsid w:val="008822E3"/>
    <w:rsid w:val="0088242E"/>
    <w:rsid w:val="00882706"/>
    <w:rsid w:val="00882732"/>
    <w:rsid w:val="0088285E"/>
    <w:rsid w:val="00882AC6"/>
    <w:rsid w:val="00882B24"/>
    <w:rsid w:val="00882CE9"/>
    <w:rsid w:val="00882DA7"/>
    <w:rsid w:val="00882F21"/>
    <w:rsid w:val="00882F5B"/>
    <w:rsid w:val="008830B5"/>
    <w:rsid w:val="008830BB"/>
    <w:rsid w:val="008832A3"/>
    <w:rsid w:val="00883571"/>
    <w:rsid w:val="008835D0"/>
    <w:rsid w:val="00883863"/>
    <w:rsid w:val="00883A3F"/>
    <w:rsid w:val="00883BDA"/>
    <w:rsid w:val="00884157"/>
    <w:rsid w:val="00884273"/>
    <w:rsid w:val="00884591"/>
    <w:rsid w:val="00884660"/>
    <w:rsid w:val="00884669"/>
    <w:rsid w:val="00884708"/>
    <w:rsid w:val="00884A8F"/>
    <w:rsid w:val="00884BB6"/>
    <w:rsid w:val="00884E83"/>
    <w:rsid w:val="00884F8B"/>
    <w:rsid w:val="00884FA5"/>
    <w:rsid w:val="00884FBB"/>
    <w:rsid w:val="00884FE1"/>
    <w:rsid w:val="0088512C"/>
    <w:rsid w:val="00885150"/>
    <w:rsid w:val="008851CA"/>
    <w:rsid w:val="0088528C"/>
    <w:rsid w:val="0088537C"/>
    <w:rsid w:val="008855EA"/>
    <w:rsid w:val="0088579A"/>
    <w:rsid w:val="0088579F"/>
    <w:rsid w:val="0088589C"/>
    <w:rsid w:val="008858DA"/>
    <w:rsid w:val="0088598A"/>
    <w:rsid w:val="00885A9D"/>
    <w:rsid w:val="00885AF2"/>
    <w:rsid w:val="00885C35"/>
    <w:rsid w:val="00885D2B"/>
    <w:rsid w:val="00885E99"/>
    <w:rsid w:val="00885F22"/>
    <w:rsid w:val="00885F8F"/>
    <w:rsid w:val="00885F9E"/>
    <w:rsid w:val="0088602D"/>
    <w:rsid w:val="00886044"/>
    <w:rsid w:val="0088605E"/>
    <w:rsid w:val="0088607F"/>
    <w:rsid w:val="00886460"/>
    <w:rsid w:val="008864AC"/>
    <w:rsid w:val="008865F6"/>
    <w:rsid w:val="00886601"/>
    <w:rsid w:val="00886855"/>
    <w:rsid w:val="0088688B"/>
    <w:rsid w:val="0088690C"/>
    <w:rsid w:val="00886965"/>
    <w:rsid w:val="00886A71"/>
    <w:rsid w:val="00886AC7"/>
    <w:rsid w:val="00886C14"/>
    <w:rsid w:val="00886C37"/>
    <w:rsid w:val="00886CD2"/>
    <w:rsid w:val="00886D94"/>
    <w:rsid w:val="00886DC3"/>
    <w:rsid w:val="00887004"/>
    <w:rsid w:val="00887025"/>
    <w:rsid w:val="008870C9"/>
    <w:rsid w:val="008871FB"/>
    <w:rsid w:val="0088724F"/>
    <w:rsid w:val="00887267"/>
    <w:rsid w:val="008872C2"/>
    <w:rsid w:val="0088741B"/>
    <w:rsid w:val="00887588"/>
    <w:rsid w:val="0088766E"/>
    <w:rsid w:val="0088787A"/>
    <w:rsid w:val="008878FA"/>
    <w:rsid w:val="00887A36"/>
    <w:rsid w:val="00887B70"/>
    <w:rsid w:val="00887BFF"/>
    <w:rsid w:val="00887C05"/>
    <w:rsid w:val="00887C4C"/>
    <w:rsid w:val="00887CF4"/>
    <w:rsid w:val="00890107"/>
    <w:rsid w:val="00890215"/>
    <w:rsid w:val="00890361"/>
    <w:rsid w:val="0089052F"/>
    <w:rsid w:val="0089061A"/>
    <w:rsid w:val="0089084B"/>
    <w:rsid w:val="0089099A"/>
    <w:rsid w:val="00890A31"/>
    <w:rsid w:val="00890A62"/>
    <w:rsid w:val="00890B53"/>
    <w:rsid w:val="00890BF4"/>
    <w:rsid w:val="00890EE7"/>
    <w:rsid w:val="00890F5B"/>
    <w:rsid w:val="00890F6C"/>
    <w:rsid w:val="00890FC4"/>
    <w:rsid w:val="0089119D"/>
    <w:rsid w:val="0089160E"/>
    <w:rsid w:val="008917FE"/>
    <w:rsid w:val="00891980"/>
    <w:rsid w:val="0089198A"/>
    <w:rsid w:val="008919CB"/>
    <w:rsid w:val="00891A4B"/>
    <w:rsid w:val="00891A53"/>
    <w:rsid w:val="00891DB9"/>
    <w:rsid w:val="00892154"/>
    <w:rsid w:val="0089258D"/>
    <w:rsid w:val="008925E4"/>
    <w:rsid w:val="00892920"/>
    <w:rsid w:val="00892B58"/>
    <w:rsid w:val="00892E04"/>
    <w:rsid w:val="00892EBD"/>
    <w:rsid w:val="00892EF8"/>
    <w:rsid w:val="0089305C"/>
    <w:rsid w:val="008930C8"/>
    <w:rsid w:val="008931B2"/>
    <w:rsid w:val="008932D8"/>
    <w:rsid w:val="008932F8"/>
    <w:rsid w:val="008933B2"/>
    <w:rsid w:val="0089342C"/>
    <w:rsid w:val="00893442"/>
    <w:rsid w:val="008934A1"/>
    <w:rsid w:val="008934AC"/>
    <w:rsid w:val="0089369E"/>
    <w:rsid w:val="00893879"/>
    <w:rsid w:val="008938BF"/>
    <w:rsid w:val="00893A6E"/>
    <w:rsid w:val="00893B54"/>
    <w:rsid w:val="00893C60"/>
    <w:rsid w:val="00893CC5"/>
    <w:rsid w:val="00894120"/>
    <w:rsid w:val="008941C7"/>
    <w:rsid w:val="008941EA"/>
    <w:rsid w:val="00894220"/>
    <w:rsid w:val="00894326"/>
    <w:rsid w:val="0089432A"/>
    <w:rsid w:val="00894392"/>
    <w:rsid w:val="008944CA"/>
    <w:rsid w:val="008944DC"/>
    <w:rsid w:val="00894500"/>
    <w:rsid w:val="0089453D"/>
    <w:rsid w:val="00894690"/>
    <w:rsid w:val="00894833"/>
    <w:rsid w:val="0089487C"/>
    <w:rsid w:val="00894AB9"/>
    <w:rsid w:val="00894B68"/>
    <w:rsid w:val="00894E5E"/>
    <w:rsid w:val="0089507D"/>
    <w:rsid w:val="0089507F"/>
    <w:rsid w:val="008950D4"/>
    <w:rsid w:val="00895268"/>
    <w:rsid w:val="008952BB"/>
    <w:rsid w:val="00895312"/>
    <w:rsid w:val="008953EB"/>
    <w:rsid w:val="008954A1"/>
    <w:rsid w:val="008954F3"/>
    <w:rsid w:val="00895A9F"/>
    <w:rsid w:val="00895AD0"/>
    <w:rsid w:val="00895DC2"/>
    <w:rsid w:val="0089607E"/>
    <w:rsid w:val="008960CE"/>
    <w:rsid w:val="00896239"/>
    <w:rsid w:val="008964CC"/>
    <w:rsid w:val="00896722"/>
    <w:rsid w:val="008968AC"/>
    <w:rsid w:val="0089696F"/>
    <w:rsid w:val="008969E4"/>
    <w:rsid w:val="00896E63"/>
    <w:rsid w:val="00896E6F"/>
    <w:rsid w:val="00897269"/>
    <w:rsid w:val="0089728C"/>
    <w:rsid w:val="008972AA"/>
    <w:rsid w:val="008974B7"/>
    <w:rsid w:val="00897AEE"/>
    <w:rsid w:val="00897B82"/>
    <w:rsid w:val="00897D9F"/>
    <w:rsid w:val="00897DBE"/>
    <w:rsid w:val="00897E2E"/>
    <w:rsid w:val="00897E3F"/>
    <w:rsid w:val="00897E63"/>
    <w:rsid w:val="00897F78"/>
    <w:rsid w:val="008A006B"/>
    <w:rsid w:val="008A00C6"/>
    <w:rsid w:val="008A0297"/>
    <w:rsid w:val="008A039A"/>
    <w:rsid w:val="008A0659"/>
    <w:rsid w:val="008A0677"/>
    <w:rsid w:val="008A06F4"/>
    <w:rsid w:val="008A06F6"/>
    <w:rsid w:val="008A0863"/>
    <w:rsid w:val="008A0CE5"/>
    <w:rsid w:val="008A0D8F"/>
    <w:rsid w:val="008A0FA0"/>
    <w:rsid w:val="008A10B5"/>
    <w:rsid w:val="008A1101"/>
    <w:rsid w:val="008A1175"/>
    <w:rsid w:val="008A12E7"/>
    <w:rsid w:val="008A1488"/>
    <w:rsid w:val="008A1645"/>
    <w:rsid w:val="008A1848"/>
    <w:rsid w:val="008A1880"/>
    <w:rsid w:val="008A19DD"/>
    <w:rsid w:val="008A1A4B"/>
    <w:rsid w:val="008A1A77"/>
    <w:rsid w:val="008A1B3B"/>
    <w:rsid w:val="008A1B5D"/>
    <w:rsid w:val="008A1C3A"/>
    <w:rsid w:val="008A1DD7"/>
    <w:rsid w:val="008A1F85"/>
    <w:rsid w:val="008A1FE6"/>
    <w:rsid w:val="008A2052"/>
    <w:rsid w:val="008A2053"/>
    <w:rsid w:val="008A2148"/>
    <w:rsid w:val="008A21DF"/>
    <w:rsid w:val="008A224A"/>
    <w:rsid w:val="008A230B"/>
    <w:rsid w:val="008A23D4"/>
    <w:rsid w:val="008A23F0"/>
    <w:rsid w:val="008A2420"/>
    <w:rsid w:val="008A2523"/>
    <w:rsid w:val="008A269B"/>
    <w:rsid w:val="008A2869"/>
    <w:rsid w:val="008A28D6"/>
    <w:rsid w:val="008A2930"/>
    <w:rsid w:val="008A293C"/>
    <w:rsid w:val="008A2A7A"/>
    <w:rsid w:val="008A2CC9"/>
    <w:rsid w:val="008A2CD7"/>
    <w:rsid w:val="008A2E0E"/>
    <w:rsid w:val="008A3042"/>
    <w:rsid w:val="008A30EE"/>
    <w:rsid w:val="008A31B6"/>
    <w:rsid w:val="008A320A"/>
    <w:rsid w:val="008A333C"/>
    <w:rsid w:val="008A33D3"/>
    <w:rsid w:val="008A3425"/>
    <w:rsid w:val="008A3686"/>
    <w:rsid w:val="008A3895"/>
    <w:rsid w:val="008A39CF"/>
    <w:rsid w:val="008A3B6F"/>
    <w:rsid w:val="008A3F72"/>
    <w:rsid w:val="008A3FAF"/>
    <w:rsid w:val="008A4002"/>
    <w:rsid w:val="008A404E"/>
    <w:rsid w:val="008A40AF"/>
    <w:rsid w:val="008A435B"/>
    <w:rsid w:val="008A43E1"/>
    <w:rsid w:val="008A44DB"/>
    <w:rsid w:val="008A44FE"/>
    <w:rsid w:val="008A4897"/>
    <w:rsid w:val="008A4A18"/>
    <w:rsid w:val="008A4B12"/>
    <w:rsid w:val="008A4B45"/>
    <w:rsid w:val="008A4D0C"/>
    <w:rsid w:val="008A5370"/>
    <w:rsid w:val="008A538E"/>
    <w:rsid w:val="008A55AA"/>
    <w:rsid w:val="008A55B8"/>
    <w:rsid w:val="008A56EF"/>
    <w:rsid w:val="008A572F"/>
    <w:rsid w:val="008A5800"/>
    <w:rsid w:val="008A587E"/>
    <w:rsid w:val="008A5A24"/>
    <w:rsid w:val="008A5AAC"/>
    <w:rsid w:val="008A5D0A"/>
    <w:rsid w:val="008A5E1E"/>
    <w:rsid w:val="008A5FC2"/>
    <w:rsid w:val="008A602A"/>
    <w:rsid w:val="008A60FA"/>
    <w:rsid w:val="008A6136"/>
    <w:rsid w:val="008A616C"/>
    <w:rsid w:val="008A6291"/>
    <w:rsid w:val="008A6412"/>
    <w:rsid w:val="008A684B"/>
    <w:rsid w:val="008A686E"/>
    <w:rsid w:val="008A6938"/>
    <w:rsid w:val="008A695B"/>
    <w:rsid w:val="008A69BF"/>
    <w:rsid w:val="008A6A6B"/>
    <w:rsid w:val="008A6B6D"/>
    <w:rsid w:val="008A6BC2"/>
    <w:rsid w:val="008A6D7A"/>
    <w:rsid w:val="008A6D8A"/>
    <w:rsid w:val="008A6EF5"/>
    <w:rsid w:val="008A6F4B"/>
    <w:rsid w:val="008A7002"/>
    <w:rsid w:val="008A731F"/>
    <w:rsid w:val="008A73AA"/>
    <w:rsid w:val="008A73C5"/>
    <w:rsid w:val="008A76E1"/>
    <w:rsid w:val="008A7719"/>
    <w:rsid w:val="008A782F"/>
    <w:rsid w:val="008A7886"/>
    <w:rsid w:val="008A795E"/>
    <w:rsid w:val="008A7A56"/>
    <w:rsid w:val="008A7B39"/>
    <w:rsid w:val="008A7CBA"/>
    <w:rsid w:val="008A7E97"/>
    <w:rsid w:val="008A7EB7"/>
    <w:rsid w:val="008A7F62"/>
    <w:rsid w:val="008A7F64"/>
    <w:rsid w:val="008A7FD4"/>
    <w:rsid w:val="008B0027"/>
    <w:rsid w:val="008B00E6"/>
    <w:rsid w:val="008B0329"/>
    <w:rsid w:val="008B03D8"/>
    <w:rsid w:val="008B04F8"/>
    <w:rsid w:val="008B050E"/>
    <w:rsid w:val="008B0548"/>
    <w:rsid w:val="008B061A"/>
    <w:rsid w:val="008B0628"/>
    <w:rsid w:val="008B06A9"/>
    <w:rsid w:val="008B07A0"/>
    <w:rsid w:val="008B085A"/>
    <w:rsid w:val="008B08FB"/>
    <w:rsid w:val="008B09A3"/>
    <w:rsid w:val="008B0CBD"/>
    <w:rsid w:val="008B0CCB"/>
    <w:rsid w:val="008B0CCC"/>
    <w:rsid w:val="008B0DB1"/>
    <w:rsid w:val="008B0E73"/>
    <w:rsid w:val="008B0F55"/>
    <w:rsid w:val="008B0FCD"/>
    <w:rsid w:val="008B0FEB"/>
    <w:rsid w:val="008B10A8"/>
    <w:rsid w:val="008B11B7"/>
    <w:rsid w:val="008B132E"/>
    <w:rsid w:val="008B1441"/>
    <w:rsid w:val="008B15E3"/>
    <w:rsid w:val="008B16CA"/>
    <w:rsid w:val="008B187A"/>
    <w:rsid w:val="008B19C6"/>
    <w:rsid w:val="008B19DD"/>
    <w:rsid w:val="008B1A66"/>
    <w:rsid w:val="008B1ECF"/>
    <w:rsid w:val="008B1FC6"/>
    <w:rsid w:val="008B2048"/>
    <w:rsid w:val="008B22CB"/>
    <w:rsid w:val="008B256E"/>
    <w:rsid w:val="008B2883"/>
    <w:rsid w:val="008B2A1E"/>
    <w:rsid w:val="008B2A77"/>
    <w:rsid w:val="008B2BD5"/>
    <w:rsid w:val="008B2C39"/>
    <w:rsid w:val="008B2C4C"/>
    <w:rsid w:val="008B2D00"/>
    <w:rsid w:val="008B2DCD"/>
    <w:rsid w:val="008B2E9B"/>
    <w:rsid w:val="008B2ECF"/>
    <w:rsid w:val="008B2F8D"/>
    <w:rsid w:val="008B2FEB"/>
    <w:rsid w:val="008B3247"/>
    <w:rsid w:val="008B33E4"/>
    <w:rsid w:val="008B35A3"/>
    <w:rsid w:val="008B3643"/>
    <w:rsid w:val="008B366D"/>
    <w:rsid w:val="008B3678"/>
    <w:rsid w:val="008B3687"/>
    <w:rsid w:val="008B37BF"/>
    <w:rsid w:val="008B389D"/>
    <w:rsid w:val="008B392C"/>
    <w:rsid w:val="008B39C6"/>
    <w:rsid w:val="008B39F0"/>
    <w:rsid w:val="008B3AFB"/>
    <w:rsid w:val="008B3BAD"/>
    <w:rsid w:val="008B3DE7"/>
    <w:rsid w:val="008B3E55"/>
    <w:rsid w:val="008B3EC5"/>
    <w:rsid w:val="008B4140"/>
    <w:rsid w:val="008B41E3"/>
    <w:rsid w:val="008B4575"/>
    <w:rsid w:val="008B45AF"/>
    <w:rsid w:val="008B45C2"/>
    <w:rsid w:val="008B478F"/>
    <w:rsid w:val="008B4914"/>
    <w:rsid w:val="008B4940"/>
    <w:rsid w:val="008B4A8E"/>
    <w:rsid w:val="008B4A9C"/>
    <w:rsid w:val="008B4DC6"/>
    <w:rsid w:val="008B4EA9"/>
    <w:rsid w:val="008B4EF0"/>
    <w:rsid w:val="008B4F98"/>
    <w:rsid w:val="008B50F9"/>
    <w:rsid w:val="008B513E"/>
    <w:rsid w:val="008B5238"/>
    <w:rsid w:val="008B528C"/>
    <w:rsid w:val="008B5317"/>
    <w:rsid w:val="008B533E"/>
    <w:rsid w:val="008B54AE"/>
    <w:rsid w:val="008B5575"/>
    <w:rsid w:val="008B55E0"/>
    <w:rsid w:val="008B55F4"/>
    <w:rsid w:val="008B5873"/>
    <w:rsid w:val="008B5A54"/>
    <w:rsid w:val="008B5AE3"/>
    <w:rsid w:val="008B5B34"/>
    <w:rsid w:val="008B5B7B"/>
    <w:rsid w:val="008B5C07"/>
    <w:rsid w:val="008B5CFB"/>
    <w:rsid w:val="008B5D08"/>
    <w:rsid w:val="008B5D95"/>
    <w:rsid w:val="008B5F6D"/>
    <w:rsid w:val="008B61C2"/>
    <w:rsid w:val="008B628D"/>
    <w:rsid w:val="008B6410"/>
    <w:rsid w:val="008B6412"/>
    <w:rsid w:val="008B6507"/>
    <w:rsid w:val="008B6591"/>
    <w:rsid w:val="008B6623"/>
    <w:rsid w:val="008B664B"/>
    <w:rsid w:val="008B6862"/>
    <w:rsid w:val="008B6942"/>
    <w:rsid w:val="008B696B"/>
    <w:rsid w:val="008B69B9"/>
    <w:rsid w:val="008B6A14"/>
    <w:rsid w:val="008B6A29"/>
    <w:rsid w:val="008B6B59"/>
    <w:rsid w:val="008B6B6B"/>
    <w:rsid w:val="008B6C2B"/>
    <w:rsid w:val="008B6F62"/>
    <w:rsid w:val="008B6FF7"/>
    <w:rsid w:val="008B7169"/>
    <w:rsid w:val="008B71E4"/>
    <w:rsid w:val="008B7557"/>
    <w:rsid w:val="008B761E"/>
    <w:rsid w:val="008B7658"/>
    <w:rsid w:val="008B7669"/>
    <w:rsid w:val="008B7A3C"/>
    <w:rsid w:val="008B7C07"/>
    <w:rsid w:val="008B7E4A"/>
    <w:rsid w:val="008B7E7C"/>
    <w:rsid w:val="008C0167"/>
    <w:rsid w:val="008C0274"/>
    <w:rsid w:val="008C0284"/>
    <w:rsid w:val="008C02F5"/>
    <w:rsid w:val="008C03F1"/>
    <w:rsid w:val="008C03F7"/>
    <w:rsid w:val="008C042D"/>
    <w:rsid w:val="008C0470"/>
    <w:rsid w:val="008C04E4"/>
    <w:rsid w:val="008C0701"/>
    <w:rsid w:val="008C079D"/>
    <w:rsid w:val="008C0923"/>
    <w:rsid w:val="008C0B59"/>
    <w:rsid w:val="008C0CB2"/>
    <w:rsid w:val="008C0D00"/>
    <w:rsid w:val="008C0D74"/>
    <w:rsid w:val="008C0F87"/>
    <w:rsid w:val="008C0FC3"/>
    <w:rsid w:val="008C0FDE"/>
    <w:rsid w:val="008C1166"/>
    <w:rsid w:val="008C136B"/>
    <w:rsid w:val="008C1379"/>
    <w:rsid w:val="008C14B2"/>
    <w:rsid w:val="008C152A"/>
    <w:rsid w:val="008C168C"/>
    <w:rsid w:val="008C1728"/>
    <w:rsid w:val="008C1799"/>
    <w:rsid w:val="008C17BE"/>
    <w:rsid w:val="008C18B4"/>
    <w:rsid w:val="008C19A2"/>
    <w:rsid w:val="008C19BD"/>
    <w:rsid w:val="008C1CAC"/>
    <w:rsid w:val="008C1D39"/>
    <w:rsid w:val="008C1DEC"/>
    <w:rsid w:val="008C1DF0"/>
    <w:rsid w:val="008C1DF7"/>
    <w:rsid w:val="008C1FF6"/>
    <w:rsid w:val="008C2006"/>
    <w:rsid w:val="008C2242"/>
    <w:rsid w:val="008C26A6"/>
    <w:rsid w:val="008C26C2"/>
    <w:rsid w:val="008C279A"/>
    <w:rsid w:val="008C29A5"/>
    <w:rsid w:val="008C2B51"/>
    <w:rsid w:val="008C2DCF"/>
    <w:rsid w:val="008C2F67"/>
    <w:rsid w:val="008C30AB"/>
    <w:rsid w:val="008C30FC"/>
    <w:rsid w:val="008C3266"/>
    <w:rsid w:val="008C3387"/>
    <w:rsid w:val="008C342F"/>
    <w:rsid w:val="008C34E7"/>
    <w:rsid w:val="008C34ED"/>
    <w:rsid w:val="008C3540"/>
    <w:rsid w:val="008C3652"/>
    <w:rsid w:val="008C36F5"/>
    <w:rsid w:val="008C37D8"/>
    <w:rsid w:val="008C3801"/>
    <w:rsid w:val="008C3861"/>
    <w:rsid w:val="008C38A8"/>
    <w:rsid w:val="008C38DF"/>
    <w:rsid w:val="008C3984"/>
    <w:rsid w:val="008C39EF"/>
    <w:rsid w:val="008C3A1F"/>
    <w:rsid w:val="008C3D63"/>
    <w:rsid w:val="008C3D9B"/>
    <w:rsid w:val="008C3E28"/>
    <w:rsid w:val="008C3E3A"/>
    <w:rsid w:val="008C41DE"/>
    <w:rsid w:val="008C43C0"/>
    <w:rsid w:val="008C46F0"/>
    <w:rsid w:val="008C46FC"/>
    <w:rsid w:val="008C48AD"/>
    <w:rsid w:val="008C4A88"/>
    <w:rsid w:val="008C4A98"/>
    <w:rsid w:val="008C4A9A"/>
    <w:rsid w:val="008C4AE7"/>
    <w:rsid w:val="008C4B28"/>
    <w:rsid w:val="008C4D16"/>
    <w:rsid w:val="008C4E06"/>
    <w:rsid w:val="008C4E55"/>
    <w:rsid w:val="008C4F55"/>
    <w:rsid w:val="008C50EF"/>
    <w:rsid w:val="008C5174"/>
    <w:rsid w:val="008C51B4"/>
    <w:rsid w:val="008C5279"/>
    <w:rsid w:val="008C5316"/>
    <w:rsid w:val="008C5398"/>
    <w:rsid w:val="008C53D9"/>
    <w:rsid w:val="008C5544"/>
    <w:rsid w:val="008C5861"/>
    <w:rsid w:val="008C5B34"/>
    <w:rsid w:val="008C5BC6"/>
    <w:rsid w:val="008C5BEC"/>
    <w:rsid w:val="008C5EBE"/>
    <w:rsid w:val="008C604E"/>
    <w:rsid w:val="008C60B2"/>
    <w:rsid w:val="008C6199"/>
    <w:rsid w:val="008C61F4"/>
    <w:rsid w:val="008C63B6"/>
    <w:rsid w:val="008C6443"/>
    <w:rsid w:val="008C6538"/>
    <w:rsid w:val="008C65E0"/>
    <w:rsid w:val="008C6743"/>
    <w:rsid w:val="008C6909"/>
    <w:rsid w:val="008C6B50"/>
    <w:rsid w:val="008C6C2A"/>
    <w:rsid w:val="008C6CBA"/>
    <w:rsid w:val="008C6CD2"/>
    <w:rsid w:val="008C6D9C"/>
    <w:rsid w:val="008C6DB7"/>
    <w:rsid w:val="008C6E3A"/>
    <w:rsid w:val="008C6ED5"/>
    <w:rsid w:val="008C6FF4"/>
    <w:rsid w:val="008C7077"/>
    <w:rsid w:val="008C7419"/>
    <w:rsid w:val="008C74D5"/>
    <w:rsid w:val="008C75C4"/>
    <w:rsid w:val="008C75E6"/>
    <w:rsid w:val="008C7682"/>
    <w:rsid w:val="008C7861"/>
    <w:rsid w:val="008C79A3"/>
    <w:rsid w:val="008C7A33"/>
    <w:rsid w:val="008C7A3E"/>
    <w:rsid w:val="008C7AE2"/>
    <w:rsid w:val="008C7B4C"/>
    <w:rsid w:val="008C7BB5"/>
    <w:rsid w:val="008C7C30"/>
    <w:rsid w:val="008C7D19"/>
    <w:rsid w:val="008C7E57"/>
    <w:rsid w:val="008C9438"/>
    <w:rsid w:val="008D0037"/>
    <w:rsid w:val="008D01D0"/>
    <w:rsid w:val="008D0218"/>
    <w:rsid w:val="008D032E"/>
    <w:rsid w:val="008D0491"/>
    <w:rsid w:val="008D05B2"/>
    <w:rsid w:val="008D065E"/>
    <w:rsid w:val="008D067D"/>
    <w:rsid w:val="008D06B6"/>
    <w:rsid w:val="008D089D"/>
    <w:rsid w:val="008D08A0"/>
    <w:rsid w:val="008D09EF"/>
    <w:rsid w:val="008D0AF2"/>
    <w:rsid w:val="008D0B37"/>
    <w:rsid w:val="008D0BA2"/>
    <w:rsid w:val="008D0D26"/>
    <w:rsid w:val="008D0F6A"/>
    <w:rsid w:val="008D1017"/>
    <w:rsid w:val="008D1158"/>
    <w:rsid w:val="008D117F"/>
    <w:rsid w:val="008D1314"/>
    <w:rsid w:val="008D1375"/>
    <w:rsid w:val="008D1648"/>
    <w:rsid w:val="008D17D8"/>
    <w:rsid w:val="008D1849"/>
    <w:rsid w:val="008D18AE"/>
    <w:rsid w:val="008D18DA"/>
    <w:rsid w:val="008D1923"/>
    <w:rsid w:val="008D1ADE"/>
    <w:rsid w:val="008D1C63"/>
    <w:rsid w:val="008D1C85"/>
    <w:rsid w:val="008D1F69"/>
    <w:rsid w:val="008D2100"/>
    <w:rsid w:val="008D237A"/>
    <w:rsid w:val="008D23EC"/>
    <w:rsid w:val="008D24BD"/>
    <w:rsid w:val="008D2537"/>
    <w:rsid w:val="008D257E"/>
    <w:rsid w:val="008D2679"/>
    <w:rsid w:val="008D289A"/>
    <w:rsid w:val="008D2B90"/>
    <w:rsid w:val="008D2C05"/>
    <w:rsid w:val="008D2D1F"/>
    <w:rsid w:val="008D2DC7"/>
    <w:rsid w:val="008D30F9"/>
    <w:rsid w:val="008D31A5"/>
    <w:rsid w:val="008D322A"/>
    <w:rsid w:val="008D3386"/>
    <w:rsid w:val="008D342C"/>
    <w:rsid w:val="008D378C"/>
    <w:rsid w:val="008D37BA"/>
    <w:rsid w:val="008D38C5"/>
    <w:rsid w:val="008D38E5"/>
    <w:rsid w:val="008D3A2B"/>
    <w:rsid w:val="008D3DC1"/>
    <w:rsid w:val="008D3DCA"/>
    <w:rsid w:val="008D3DEF"/>
    <w:rsid w:val="008D3E58"/>
    <w:rsid w:val="008D3F98"/>
    <w:rsid w:val="008D4033"/>
    <w:rsid w:val="008D4183"/>
    <w:rsid w:val="008D42AD"/>
    <w:rsid w:val="008D42E7"/>
    <w:rsid w:val="008D4399"/>
    <w:rsid w:val="008D479A"/>
    <w:rsid w:val="008D47E7"/>
    <w:rsid w:val="008D4889"/>
    <w:rsid w:val="008D488B"/>
    <w:rsid w:val="008D4A0E"/>
    <w:rsid w:val="008D4C5B"/>
    <w:rsid w:val="008D4FAB"/>
    <w:rsid w:val="008D4FCA"/>
    <w:rsid w:val="008D4FCF"/>
    <w:rsid w:val="008D51A1"/>
    <w:rsid w:val="008D52B0"/>
    <w:rsid w:val="008D537C"/>
    <w:rsid w:val="008D54E2"/>
    <w:rsid w:val="008D55E8"/>
    <w:rsid w:val="008D56D2"/>
    <w:rsid w:val="008D5702"/>
    <w:rsid w:val="008D581B"/>
    <w:rsid w:val="008D589F"/>
    <w:rsid w:val="008D58D3"/>
    <w:rsid w:val="008D58E1"/>
    <w:rsid w:val="008D5A6D"/>
    <w:rsid w:val="008D5B24"/>
    <w:rsid w:val="008D5D0D"/>
    <w:rsid w:val="008D6062"/>
    <w:rsid w:val="008D62A4"/>
    <w:rsid w:val="008D63B0"/>
    <w:rsid w:val="008D6430"/>
    <w:rsid w:val="008D64BF"/>
    <w:rsid w:val="008D654F"/>
    <w:rsid w:val="008D65E8"/>
    <w:rsid w:val="008D671C"/>
    <w:rsid w:val="008D684B"/>
    <w:rsid w:val="008D6866"/>
    <w:rsid w:val="008D69BE"/>
    <w:rsid w:val="008D69D6"/>
    <w:rsid w:val="008D6C65"/>
    <w:rsid w:val="008D6CD1"/>
    <w:rsid w:val="008D6CFF"/>
    <w:rsid w:val="008D6D38"/>
    <w:rsid w:val="008D6D3D"/>
    <w:rsid w:val="008D6F92"/>
    <w:rsid w:val="008D705A"/>
    <w:rsid w:val="008D71A6"/>
    <w:rsid w:val="008D7416"/>
    <w:rsid w:val="008D743D"/>
    <w:rsid w:val="008D781C"/>
    <w:rsid w:val="008D7868"/>
    <w:rsid w:val="008D7959"/>
    <w:rsid w:val="008D7ADD"/>
    <w:rsid w:val="008D7AF6"/>
    <w:rsid w:val="008D7C4E"/>
    <w:rsid w:val="008D7D55"/>
    <w:rsid w:val="008D7EFB"/>
    <w:rsid w:val="008D7FD2"/>
    <w:rsid w:val="008E00E2"/>
    <w:rsid w:val="008E00FC"/>
    <w:rsid w:val="008E03B0"/>
    <w:rsid w:val="008E0406"/>
    <w:rsid w:val="008E056D"/>
    <w:rsid w:val="008E064F"/>
    <w:rsid w:val="008E06E3"/>
    <w:rsid w:val="008E07CA"/>
    <w:rsid w:val="008E08B4"/>
    <w:rsid w:val="008E0A1E"/>
    <w:rsid w:val="008E0A31"/>
    <w:rsid w:val="008E0B32"/>
    <w:rsid w:val="008E0B97"/>
    <w:rsid w:val="008E0BE7"/>
    <w:rsid w:val="008E0CF2"/>
    <w:rsid w:val="008E1057"/>
    <w:rsid w:val="008E10B8"/>
    <w:rsid w:val="008E1102"/>
    <w:rsid w:val="008E120D"/>
    <w:rsid w:val="008E12AA"/>
    <w:rsid w:val="008E154D"/>
    <w:rsid w:val="008E170D"/>
    <w:rsid w:val="008E1797"/>
    <w:rsid w:val="008E1ADF"/>
    <w:rsid w:val="008E1CE8"/>
    <w:rsid w:val="008E1D00"/>
    <w:rsid w:val="008E1FB5"/>
    <w:rsid w:val="008E207F"/>
    <w:rsid w:val="008E258E"/>
    <w:rsid w:val="008E27F2"/>
    <w:rsid w:val="008E2821"/>
    <w:rsid w:val="008E2898"/>
    <w:rsid w:val="008E2BC5"/>
    <w:rsid w:val="008E2C5E"/>
    <w:rsid w:val="008E2D90"/>
    <w:rsid w:val="008E2E08"/>
    <w:rsid w:val="008E2F8F"/>
    <w:rsid w:val="008E304F"/>
    <w:rsid w:val="008E31F4"/>
    <w:rsid w:val="008E330C"/>
    <w:rsid w:val="008E3366"/>
    <w:rsid w:val="008E33D3"/>
    <w:rsid w:val="008E34C0"/>
    <w:rsid w:val="008E3698"/>
    <w:rsid w:val="008E373F"/>
    <w:rsid w:val="008E37D1"/>
    <w:rsid w:val="008E38B1"/>
    <w:rsid w:val="008E3919"/>
    <w:rsid w:val="008E39E7"/>
    <w:rsid w:val="008E3AA7"/>
    <w:rsid w:val="008E3B91"/>
    <w:rsid w:val="008E3CCF"/>
    <w:rsid w:val="008E3D5C"/>
    <w:rsid w:val="008E3D8C"/>
    <w:rsid w:val="008E3F28"/>
    <w:rsid w:val="008E4014"/>
    <w:rsid w:val="008E40A7"/>
    <w:rsid w:val="008E4119"/>
    <w:rsid w:val="008E41CC"/>
    <w:rsid w:val="008E429B"/>
    <w:rsid w:val="008E4385"/>
    <w:rsid w:val="008E43D6"/>
    <w:rsid w:val="008E453E"/>
    <w:rsid w:val="008E4557"/>
    <w:rsid w:val="008E4670"/>
    <w:rsid w:val="008E47CD"/>
    <w:rsid w:val="008E487D"/>
    <w:rsid w:val="008E4916"/>
    <w:rsid w:val="008E4AFE"/>
    <w:rsid w:val="008E4C3D"/>
    <w:rsid w:val="008E4C71"/>
    <w:rsid w:val="008E4E95"/>
    <w:rsid w:val="008E4F25"/>
    <w:rsid w:val="008E4F40"/>
    <w:rsid w:val="008E4FC6"/>
    <w:rsid w:val="008E50B4"/>
    <w:rsid w:val="008E50EC"/>
    <w:rsid w:val="008E51F1"/>
    <w:rsid w:val="008E521F"/>
    <w:rsid w:val="008E527B"/>
    <w:rsid w:val="008E5287"/>
    <w:rsid w:val="008E52B7"/>
    <w:rsid w:val="008E54BA"/>
    <w:rsid w:val="008E55AB"/>
    <w:rsid w:val="008E58BB"/>
    <w:rsid w:val="008E5A31"/>
    <w:rsid w:val="008E5BDB"/>
    <w:rsid w:val="008E5C01"/>
    <w:rsid w:val="008E5DAA"/>
    <w:rsid w:val="008E5E1D"/>
    <w:rsid w:val="008E6101"/>
    <w:rsid w:val="008E61D1"/>
    <w:rsid w:val="008E61DF"/>
    <w:rsid w:val="008E64FD"/>
    <w:rsid w:val="008E6713"/>
    <w:rsid w:val="008E683B"/>
    <w:rsid w:val="008E696E"/>
    <w:rsid w:val="008E698F"/>
    <w:rsid w:val="008E6C56"/>
    <w:rsid w:val="008E6C95"/>
    <w:rsid w:val="008E6D0E"/>
    <w:rsid w:val="008E6D37"/>
    <w:rsid w:val="008E6DF1"/>
    <w:rsid w:val="008E6E37"/>
    <w:rsid w:val="008E709A"/>
    <w:rsid w:val="008E7141"/>
    <w:rsid w:val="008E7325"/>
    <w:rsid w:val="008E755F"/>
    <w:rsid w:val="008E75BC"/>
    <w:rsid w:val="008E7617"/>
    <w:rsid w:val="008E76B5"/>
    <w:rsid w:val="008E771A"/>
    <w:rsid w:val="008E7875"/>
    <w:rsid w:val="008E78EB"/>
    <w:rsid w:val="008E7D09"/>
    <w:rsid w:val="008E7D5F"/>
    <w:rsid w:val="008E7DA9"/>
    <w:rsid w:val="008E7DC9"/>
    <w:rsid w:val="008E7FEE"/>
    <w:rsid w:val="008F0020"/>
    <w:rsid w:val="008F013B"/>
    <w:rsid w:val="008F036E"/>
    <w:rsid w:val="008F0392"/>
    <w:rsid w:val="008F058C"/>
    <w:rsid w:val="008F063D"/>
    <w:rsid w:val="008F0730"/>
    <w:rsid w:val="008F0A21"/>
    <w:rsid w:val="008F0A75"/>
    <w:rsid w:val="008F0DD1"/>
    <w:rsid w:val="008F0FC8"/>
    <w:rsid w:val="008F11BA"/>
    <w:rsid w:val="008F1378"/>
    <w:rsid w:val="008F13F1"/>
    <w:rsid w:val="008F143A"/>
    <w:rsid w:val="008F1447"/>
    <w:rsid w:val="008F1495"/>
    <w:rsid w:val="008F14FA"/>
    <w:rsid w:val="008F14FB"/>
    <w:rsid w:val="008F15EF"/>
    <w:rsid w:val="008F166D"/>
    <w:rsid w:val="008F1695"/>
    <w:rsid w:val="008F1745"/>
    <w:rsid w:val="008F1A05"/>
    <w:rsid w:val="008F1BE4"/>
    <w:rsid w:val="008F1D2C"/>
    <w:rsid w:val="008F1D60"/>
    <w:rsid w:val="008F1D9C"/>
    <w:rsid w:val="008F1F0E"/>
    <w:rsid w:val="008F1F39"/>
    <w:rsid w:val="008F1F76"/>
    <w:rsid w:val="008F2180"/>
    <w:rsid w:val="008F22FB"/>
    <w:rsid w:val="008F2303"/>
    <w:rsid w:val="008F2394"/>
    <w:rsid w:val="008F24BE"/>
    <w:rsid w:val="008F24D3"/>
    <w:rsid w:val="008F25EF"/>
    <w:rsid w:val="008F26E0"/>
    <w:rsid w:val="008F2711"/>
    <w:rsid w:val="008F2860"/>
    <w:rsid w:val="008F28C2"/>
    <w:rsid w:val="008F2ABE"/>
    <w:rsid w:val="008F2C42"/>
    <w:rsid w:val="008F2E1A"/>
    <w:rsid w:val="008F3045"/>
    <w:rsid w:val="008F314F"/>
    <w:rsid w:val="008F347C"/>
    <w:rsid w:val="008F34CC"/>
    <w:rsid w:val="008F388A"/>
    <w:rsid w:val="008F38A2"/>
    <w:rsid w:val="008F3941"/>
    <w:rsid w:val="008F3A65"/>
    <w:rsid w:val="008F3BFF"/>
    <w:rsid w:val="008F3D2F"/>
    <w:rsid w:val="008F3D49"/>
    <w:rsid w:val="008F3D4C"/>
    <w:rsid w:val="008F3E00"/>
    <w:rsid w:val="008F3E10"/>
    <w:rsid w:val="008F4117"/>
    <w:rsid w:val="008F4281"/>
    <w:rsid w:val="008F42D1"/>
    <w:rsid w:val="008F43B6"/>
    <w:rsid w:val="008F451D"/>
    <w:rsid w:val="008F4529"/>
    <w:rsid w:val="008F46F2"/>
    <w:rsid w:val="008F4812"/>
    <w:rsid w:val="008F48E9"/>
    <w:rsid w:val="008F4941"/>
    <w:rsid w:val="008F4945"/>
    <w:rsid w:val="008F4B8D"/>
    <w:rsid w:val="008F4C46"/>
    <w:rsid w:val="008F505C"/>
    <w:rsid w:val="008F546C"/>
    <w:rsid w:val="008F55DF"/>
    <w:rsid w:val="008F5810"/>
    <w:rsid w:val="008F58A1"/>
    <w:rsid w:val="008F58E1"/>
    <w:rsid w:val="008F5909"/>
    <w:rsid w:val="008F5988"/>
    <w:rsid w:val="008F5A53"/>
    <w:rsid w:val="008F5AD5"/>
    <w:rsid w:val="008F5B10"/>
    <w:rsid w:val="008F5B16"/>
    <w:rsid w:val="008F5D4B"/>
    <w:rsid w:val="008F5E80"/>
    <w:rsid w:val="008F5E90"/>
    <w:rsid w:val="008F5EB3"/>
    <w:rsid w:val="008F62AA"/>
    <w:rsid w:val="008F6303"/>
    <w:rsid w:val="008F666B"/>
    <w:rsid w:val="008F66C6"/>
    <w:rsid w:val="008F67C3"/>
    <w:rsid w:val="008F68CB"/>
    <w:rsid w:val="008F6A92"/>
    <w:rsid w:val="008F6BCF"/>
    <w:rsid w:val="008F6BD2"/>
    <w:rsid w:val="008F6D0F"/>
    <w:rsid w:val="008F6F5A"/>
    <w:rsid w:val="008F7030"/>
    <w:rsid w:val="008F710B"/>
    <w:rsid w:val="008F7325"/>
    <w:rsid w:val="008F73BB"/>
    <w:rsid w:val="008F747C"/>
    <w:rsid w:val="008F74E8"/>
    <w:rsid w:val="008F7694"/>
    <w:rsid w:val="008F772D"/>
    <w:rsid w:val="008F782A"/>
    <w:rsid w:val="008F7AB8"/>
    <w:rsid w:val="008F7B23"/>
    <w:rsid w:val="008F7E2B"/>
    <w:rsid w:val="008F7EA8"/>
    <w:rsid w:val="008F7EFC"/>
    <w:rsid w:val="0090011B"/>
    <w:rsid w:val="00900160"/>
    <w:rsid w:val="00900224"/>
    <w:rsid w:val="009003F0"/>
    <w:rsid w:val="009004A5"/>
    <w:rsid w:val="00900564"/>
    <w:rsid w:val="0090081A"/>
    <w:rsid w:val="00900872"/>
    <w:rsid w:val="009009D4"/>
    <w:rsid w:val="00900CD2"/>
    <w:rsid w:val="0090103F"/>
    <w:rsid w:val="009011AF"/>
    <w:rsid w:val="0090120D"/>
    <w:rsid w:val="00901225"/>
    <w:rsid w:val="00901244"/>
    <w:rsid w:val="0090132D"/>
    <w:rsid w:val="009015E4"/>
    <w:rsid w:val="00901724"/>
    <w:rsid w:val="00901873"/>
    <w:rsid w:val="00901930"/>
    <w:rsid w:val="00901A95"/>
    <w:rsid w:val="00901AEE"/>
    <w:rsid w:val="00901AFF"/>
    <w:rsid w:val="00901B07"/>
    <w:rsid w:val="00901BB8"/>
    <w:rsid w:val="00901C50"/>
    <w:rsid w:val="00901DBE"/>
    <w:rsid w:val="00901DFA"/>
    <w:rsid w:val="00901E1D"/>
    <w:rsid w:val="0090213B"/>
    <w:rsid w:val="00902163"/>
    <w:rsid w:val="0090226A"/>
    <w:rsid w:val="009022DB"/>
    <w:rsid w:val="009022EB"/>
    <w:rsid w:val="0090242D"/>
    <w:rsid w:val="0090245B"/>
    <w:rsid w:val="009024AA"/>
    <w:rsid w:val="0090269A"/>
    <w:rsid w:val="00902744"/>
    <w:rsid w:val="0090276A"/>
    <w:rsid w:val="009029B2"/>
    <w:rsid w:val="00902AE3"/>
    <w:rsid w:val="00902C85"/>
    <w:rsid w:val="00902CC5"/>
    <w:rsid w:val="00902E89"/>
    <w:rsid w:val="00902FF1"/>
    <w:rsid w:val="009030C8"/>
    <w:rsid w:val="00903152"/>
    <w:rsid w:val="00903210"/>
    <w:rsid w:val="0090331D"/>
    <w:rsid w:val="0090349F"/>
    <w:rsid w:val="00903718"/>
    <w:rsid w:val="00903818"/>
    <w:rsid w:val="00903C1B"/>
    <w:rsid w:val="00903E49"/>
    <w:rsid w:val="00904053"/>
    <w:rsid w:val="00904062"/>
    <w:rsid w:val="009040E7"/>
    <w:rsid w:val="00904194"/>
    <w:rsid w:val="009041E4"/>
    <w:rsid w:val="00904364"/>
    <w:rsid w:val="00904446"/>
    <w:rsid w:val="009044F9"/>
    <w:rsid w:val="009045AE"/>
    <w:rsid w:val="00904652"/>
    <w:rsid w:val="009046CA"/>
    <w:rsid w:val="0090470B"/>
    <w:rsid w:val="00904831"/>
    <w:rsid w:val="0090492A"/>
    <w:rsid w:val="00904AC1"/>
    <w:rsid w:val="00904AF4"/>
    <w:rsid w:val="00904B03"/>
    <w:rsid w:val="00904B33"/>
    <w:rsid w:val="00904C08"/>
    <w:rsid w:val="00904C5F"/>
    <w:rsid w:val="00904D7C"/>
    <w:rsid w:val="00904EB0"/>
    <w:rsid w:val="00904EDA"/>
    <w:rsid w:val="0090506D"/>
    <w:rsid w:val="0090514C"/>
    <w:rsid w:val="009052C1"/>
    <w:rsid w:val="009052E2"/>
    <w:rsid w:val="0090539C"/>
    <w:rsid w:val="009053BB"/>
    <w:rsid w:val="0090540E"/>
    <w:rsid w:val="00905427"/>
    <w:rsid w:val="009054CB"/>
    <w:rsid w:val="00905733"/>
    <w:rsid w:val="0090579D"/>
    <w:rsid w:val="00905847"/>
    <w:rsid w:val="00905958"/>
    <w:rsid w:val="00905A16"/>
    <w:rsid w:val="00905CE1"/>
    <w:rsid w:val="00905D61"/>
    <w:rsid w:val="00905F43"/>
    <w:rsid w:val="00905F7B"/>
    <w:rsid w:val="00905FA7"/>
    <w:rsid w:val="009061E6"/>
    <w:rsid w:val="009062CD"/>
    <w:rsid w:val="00906462"/>
    <w:rsid w:val="00906536"/>
    <w:rsid w:val="00906560"/>
    <w:rsid w:val="00906724"/>
    <w:rsid w:val="009068AC"/>
    <w:rsid w:val="00906A28"/>
    <w:rsid w:val="00906D3D"/>
    <w:rsid w:val="00906D67"/>
    <w:rsid w:val="00906D7A"/>
    <w:rsid w:val="00906DAB"/>
    <w:rsid w:val="00906F49"/>
    <w:rsid w:val="00906F55"/>
    <w:rsid w:val="0090713A"/>
    <w:rsid w:val="009072D7"/>
    <w:rsid w:val="0090746C"/>
    <w:rsid w:val="0090754F"/>
    <w:rsid w:val="00907661"/>
    <w:rsid w:val="00907690"/>
    <w:rsid w:val="0090790E"/>
    <w:rsid w:val="009079E2"/>
    <w:rsid w:val="00907BA9"/>
    <w:rsid w:val="00907BFC"/>
    <w:rsid w:val="00907C62"/>
    <w:rsid w:val="00907D4D"/>
    <w:rsid w:val="00907E6D"/>
    <w:rsid w:val="00907FFD"/>
    <w:rsid w:val="00910009"/>
    <w:rsid w:val="00910041"/>
    <w:rsid w:val="00910109"/>
    <w:rsid w:val="0091014D"/>
    <w:rsid w:val="0091022F"/>
    <w:rsid w:val="009102FD"/>
    <w:rsid w:val="009103F5"/>
    <w:rsid w:val="00910447"/>
    <w:rsid w:val="00910563"/>
    <w:rsid w:val="009106D9"/>
    <w:rsid w:val="00910705"/>
    <w:rsid w:val="00910731"/>
    <w:rsid w:val="009107E3"/>
    <w:rsid w:val="0091083E"/>
    <w:rsid w:val="00910996"/>
    <w:rsid w:val="009109B2"/>
    <w:rsid w:val="00910C35"/>
    <w:rsid w:val="00910D69"/>
    <w:rsid w:val="00910E04"/>
    <w:rsid w:val="00910F1E"/>
    <w:rsid w:val="00911175"/>
    <w:rsid w:val="0091119E"/>
    <w:rsid w:val="0091142A"/>
    <w:rsid w:val="00911489"/>
    <w:rsid w:val="00911635"/>
    <w:rsid w:val="00911737"/>
    <w:rsid w:val="0091174F"/>
    <w:rsid w:val="00911775"/>
    <w:rsid w:val="00911864"/>
    <w:rsid w:val="009119C2"/>
    <w:rsid w:val="00911A23"/>
    <w:rsid w:val="00911A25"/>
    <w:rsid w:val="00911CD0"/>
    <w:rsid w:val="00911CD1"/>
    <w:rsid w:val="00911CF2"/>
    <w:rsid w:val="00911D23"/>
    <w:rsid w:val="00911D8F"/>
    <w:rsid w:val="00911E8A"/>
    <w:rsid w:val="00911EDE"/>
    <w:rsid w:val="00912399"/>
    <w:rsid w:val="0091268A"/>
    <w:rsid w:val="009128BF"/>
    <w:rsid w:val="00912940"/>
    <w:rsid w:val="00912A18"/>
    <w:rsid w:val="00912B85"/>
    <w:rsid w:val="00912CC0"/>
    <w:rsid w:val="00912CDD"/>
    <w:rsid w:val="00912D98"/>
    <w:rsid w:val="00912EF8"/>
    <w:rsid w:val="009131E1"/>
    <w:rsid w:val="00913431"/>
    <w:rsid w:val="00913744"/>
    <w:rsid w:val="00913806"/>
    <w:rsid w:val="009139FE"/>
    <w:rsid w:val="00913A69"/>
    <w:rsid w:val="00913ABF"/>
    <w:rsid w:val="00913C8E"/>
    <w:rsid w:val="00913DA1"/>
    <w:rsid w:val="00913E1E"/>
    <w:rsid w:val="00913F1D"/>
    <w:rsid w:val="00913F22"/>
    <w:rsid w:val="00914054"/>
    <w:rsid w:val="009140E8"/>
    <w:rsid w:val="009140F5"/>
    <w:rsid w:val="009141E5"/>
    <w:rsid w:val="0091432D"/>
    <w:rsid w:val="0091435E"/>
    <w:rsid w:val="009143F9"/>
    <w:rsid w:val="0091456D"/>
    <w:rsid w:val="00914726"/>
    <w:rsid w:val="00914795"/>
    <w:rsid w:val="009148D0"/>
    <w:rsid w:val="009148F6"/>
    <w:rsid w:val="00914B5E"/>
    <w:rsid w:val="00914F64"/>
    <w:rsid w:val="00914F6A"/>
    <w:rsid w:val="0091501D"/>
    <w:rsid w:val="00915266"/>
    <w:rsid w:val="009153E8"/>
    <w:rsid w:val="009154BE"/>
    <w:rsid w:val="00915692"/>
    <w:rsid w:val="009156AB"/>
    <w:rsid w:val="009156D3"/>
    <w:rsid w:val="0091573F"/>
    <w:rsid w:val="00915785"/>
    <w:rsid w:val="009157F3"/>
    <w:rsid w:val="0091590F"/>
    <w:rsid w:val="00915947"/>
    <w:rsid w:val="00915A77"/>
    <w:rsid w:val="00915BBB"/>
    <w:rsid w:val="00915BF7"/>
    <w:rsid w:val="00915CCC"/>
    <w:rsid w:val="00915DB7"/>
    <w:rsid w:val="00915DDF"/>
    <w:rsid w:val="00915FC7"/>
    <w:rsid w:val="00916044"/>
    <w:rsid w:val="009161A6"/>
    <w:rsid w:val="009161DF"/>
    <w:rsid w:val="00916315"/>
    <w:rsid w:val="0091646A"/>
    <w:rsid w:val="00916518"/>
    <w:rsid w:val="0091653E"/>
    <w:rsid w:val="00916619"/>
    <w:rsid w:val="00916673"/>
    <w:rsid w:val="0091667E"/>
    <w:rsid w:val="0091685C"/>
    <w:rsid w:val="009168FA"/>
    <w:rsid w:val="00916B13"/>
    <w:rsid w:val="00916B16"/>
    <w:rsid w:val="00916D32"/>
    <w:rsid w:val="00916DD4"/>
    <w:rsid w:val="00916E63"/>
    <w:rsid w:val="00917202"/>
    <w:rsid w:val="009174C6"/>
    <w:rsid w:val="0091765F"/>
    <w:rsid w:val="009177E3"/>
    <w:rsid w:val="00917852"/>
    <w:rsid w:val="009178B7"/>
    <w:rsid w:val="00917906"/>
    <w:rsid w:val="00917A6A"/>
    <w:rsid w:val="00917B86"/>
    <w:rsid w:val="00917B9A"/>
    <w:rsid w:val="00917BE4"/>
    <w:rsid w:val="00917D73"/>
    <w:rsid w:val="00917E71"/>
    <w:rsid w:val="00917FA0"/>
    <w:rsid w:val="00917FC7"/>
    <w:rsid w:val="0092002F"/>
    <w:rsid w:val="009202D5"/>
    <w:rsid w:val="00920360"/>
    <w:rsid w:val="0092048E"/>
    <w:rsid w:val="009207B7"/>
    <w:rsid w:val="009208DF"/>
    <w:rsid w:val="009208E0"/>
    <w:rsid w:val="00920A60"/>
    <w:rsid w:val="00920A73"/>
    <w:rsid w:val="00920BD5"/>
    <w:rsid w:val="00920D10"/>
    <w:rsid w:val="00920F62"/>
    <w:rsid w:val="00920FAF"/>
    <w:rsid w:val="009211A6"/>
    <w:rsid w:val="00921264"/>
    <w:rsid w:val="00921569"/>
    <w:rsid w:val="00921596"/>
    <w:rsid w:val="009216A3"/>
    <w:rsid w:val="00921769"/>
    <w:rsid w:val="00921794"/>
    <w:rsid w:val="00921842"/>
    <w:rsid w:val="00921A8D"/>
    <w:rsid w:val="00921AC3"/>
    <w:rsid w:val="00921BDD"/>
    <w:rsid w:val="00921BE2"/>
    <w:rsid w:val="00921CBD"/>
    <w:rsid w:val="00921D0B"/>
    <w:rsid w:val="00921DC3"/>
    <w:rsid w:val="00921FA1"/>
    <w:rsid w:val="009220EC"/>
    <w:rsid w:val="00922150"/>
    <w:rsid w:val="009221FA"/>
    <w:rsid w:val="0092251F"/>
    <w:rsid w:val="00922647"/>
    <w:rsid w:val="0092268E"/>
    <w:rsid w:val="00922A63"/>
    <w:rsid w:val="00922B84"/>
    <w:rsid w:val="00922D9A"/>
    <w:rsid w:val="00922DB9"/>
    <w:rsid w:val="00922E5E"/>
    <w:rsid w:val="00922FFB"/>
    <w:rsid w:val="009230CD"/>
    <w:rsid w:val="009230ED"/>
    <w:rsid w:val="009231AE"/>
    <w:rsid w:val="009231D3"/>
    <w:rsid w:val="009232D1"/>
    <w:rsid w:val="009236D1"/>
    <w:rsid w:val="0092376D"/>
    <w:rsid w:val="009238A5"/>
    <w:rsid w:val="00923A03"/>
    <w:rsid w:val="00923C36"/>
    <w:rsid w:val="00923D30"/>
    <w:rsid w:val="00923D56"/>
    <w:rsid w:val="00923E78"/>
    <w:rsid w:val="00923F1F"/>
    <w:rsid w:val="00924061"/>
    <w:rsid w:val="0092413A"/>
    <w:rsid w:val="009241FD"/>
    <w:rsid w:val="0092428E"/>
    <w:rsid w:val="0092429D"/>
    <w:rsid w:val="0092441A"/>
    <w:rsid w:val="00924527"/>
    <w:rsid w:val="00924594"/>
    <w:rsid w:val="0092464A"/>
    <w:rsid w:val="00924684"/>
    <w:rsid w:val="009247C6"/>
    <w:rsid w:val="00924854"/>
    <w:rsid w:val="009248BD"/>
    <w:rsid w:val="009248F1"/>
    <w:rsid w:val="00924915"/>
    <w:rsid w:val="00924B8C"/>
    <w:rsid w:val="00924D45"/>
    <w:rsid w:val="00924E15"/>
    <w:rsid w:val="00924E2D"/>
    <w:rsid w:val="00924E88"/>
    <w:rsid w:val="009250A0"/>
    <w:rsid w:val="009251A1"/>
    <w:rsid w:val="0092526C"/>
    <w:rsid w:val="0092531E"/>
    <w:rsid w:val="00925340"/>
    <w:rsid w:val="00925372"/>
    <w:rsid w:val="009254B6"/>
    <w:rsid w:val="00925583"/>
    <w:rsid w:val="00925589"/>
    <w:rsid w:val="009258EC"/>
    <w:rsid w:val="00925AA5"/>
    <w:rsid w:val="00925BD0"/>
    <w:rsid w:val="00925CB8"/>
    <w:rsid w:val="00925E24"/>
    <w:rsid w:val="00925E59"/>
    <w:rsid w:val="00925EC4"/>
    <w:rsid w:val="00926039"/>
    <w:rsid w:val="009260AE"/>
    <w:rsid w:val="00926216"/>
    <w:rsid w:val="00926246"/>
    <w:rsid w:val="00926269"/>
    <w:rsid w:val="0092639E"/>
    <w:rsid w:val="0092654B"/>
    <w:rsid w:val="00926DBC"/>
    <w:rsid w:val="00926E65"/>
    <w:rsid w:val="00926E7A"/>
    <w:rsid w:val="00926F2F"/>
    <w:rsid w:val="0092707D"/>
    <w:rsid w:val="009277CF"/>
    <w:rsid w:val="0092792C"/>
    <w:rsid w:val="0092793B"/>
    <w:rsid w:val="00927A85"/>
    <w:rsid w:val="00927BBC"/>
    <w:rsid w:val="00927CBA"/>
    <w:rsid w:val="00927CC0"/>
    <w:rsid w:val="00927D5E"/>
    <w:rsid w:val="00927D62"/>
    <w:rsid w:val="00927D76"/>
    <w:rsid w:val="00927D84"/>
    <w:rsid w:val="00927F59"/>
    <w:rsid w:val="00927FF6"/>
    <w:rsid w:val="00930005"/>
    <w:rsid w:val="00930273"/>
    <w:rsid w:val="009302B0"/>
    <w:rsid w:val="00930305"/>
    <w:rsid w:val="00930771"/>
    <w:rsid w:val="009307FA"/>
    <w:rsid w:val="009309DB"/>
    <w:rsid w:val="00930B06"/>
    <w:rsid w:val="00930B89"/>
    <w:rsid w:val="00930C97"/>
    <w:rsid w:val="00930CD7"/>
    <w:rsid w:val="00930D99"/>
    <w:rsid w:val="00930DF5"/>
    <w:rsid w:val="00930E69"/>
    <w:rsid w:val="00930F2C"/>
    <w:rsid w:val="00931058"/>
    <w:rsid w:val="009310F6"/>
    <w:rsid w:val="00931140"/>
    <w:rsid w:val="009311D4"/>
    <w:rsid w:val="009312EB"/>
    <w:rsid w:val="00931313"/>
    <w:rsid w:val="0093138E"/>
    <w:rsid w:val="00931394"/>
    <w:rsid w:val="009317DD"/>
    <w:rsid w:val="009318F3"/>
    <w:rsid w:val="00931973"/>
    <w:rsid w:val="00931997"/>
    <w:rsid w:val="00931B82"/>
    <w:rsid w:val="0093222F"/>
    <w:rsid w:val="00932466"/>
    <w:rsid w:val="009324BC"/>
    <w:rsid w:val="009324C4"/>
    <w:rsid w:val="009324FE"/>
    <w:rsid w:val="0093254C"/>
    <w:rsid w:val="00932790"/>
    <w:rsid w:val="009328CA"/>
    <w:rsid w:val="0093293C"/>
    <w:rsid w:val="009329E2"/>
    <w:rsid w:val="00932A21"/>
    <w:rsid w:val="00932AAE"/>
    <w:rsid w:val="00932ABC"/>
    <w:rsid w:val="00932CCF"/>
    <w:rsid w:val="00932E95"/>
    <w:rsid w:val="00932ED6"/>
    <w:rsid w:val="009330C6"/>
    <w:rsid w:val="009331C1"/>
    <w:rsid w:val="00933287"/>
    <w:rsid w:val="009332BF"/>
    <w:rsid w:val="00933417"/>
    <w:rsid w:val="0093342D"/>
    <w:rsid w:val="009334B8"/>
    <w:rsid w:val="00933856"/>
    <w:rsid w:val="0093390C"/>
    <w:rsid w:val="00933994"/>
    <w:rsid w:val="00933A78"/>
    <w:rsid w:val="00933AA2"/>
    <w:rsid w:val="00933B0D"/>
    <w:rsid w:val="00933BEA"/>
    <w:rsid w:val="00933C5B"/>
    <w:rsid w:val="00933D8A"/>
    <w:rsid w:val="00933F15"/>
    <w:rsid w:val="00933F2E"/>
    <w:rsid w:val="00933FA9"/>
    <w:rsid w:val="00934033"/>
    <w:rsid w:val="009343B8"/>
    <w:rsid w:val="0093444B"/>
    <w:rsid w:val="00934591"/>
    <w:rsid w:val="009346FD"/>
    <w:rsid w:val="009347E5"/>
    <w:rsid w:val="00934860"/>
    <w:rsid w:val="009348E8"/>
    <w:rsid w:val="00934971"/>
    <w:rsid w:val="00934BA1"/>
    <w:rsid w:val="00934D56"/>
    <w:rsid w:val="00934DD0"/>
    <w:rsid w:val="00934DF8"/>
    <w:rsid w:val="00934E71"/>
    <w:rsid w:val="00934ED4"/>
    <w:rsid w:val="00934FF7"/>
    <w:rsid w:val="00935035"/>
    <w:rsid w:val="009352D8"/>
    <w:rsid w:val="00935355"/>
    <w:rsid w:val="00935484"/>
    <w:rsid w:val="0093554B"/>
    <w:rsid w:val="00935575"/>
    <w:rsid w:val="009355B1"/>
    <w:rsid w:val="00935777"/>
    <w:rsid w:val="0093584B"/>
    <w:rsid w:val="00935C81"/>
    <w:rsid w:val="00935CBB"/>
    <w:rsid w:val="00935D75"/>
    <w:rsid w:val="00935DF1"/>
    <w:rsid w:val="00935E28"/>
    <w:rsid w:val="00935E42"/>
    <w:rsid w:val="00935F2C"/>
    <w:rsid w:val="00935FC3"/>
    <w:rsid w:val="00935FFD"/>
    <w:rsid w:val="00936319"/>
    <w:rsid w:val="00936422"/>
    <w:rsid w:val="009365C3"/>
    <w:rsid w:val="009366A9"/>
    <w:rsid w:val="0093683C"/>
    <w:rsid w:val="0093685D"/>
    <w:rsid w:val="009368E9"/>
    <w:rsid w:val="00936AD6"/>
    <w:rsid w:val="00936AEC"/>
    <w:rsid w:val="00936D65"/>
    <w:rsid w:val="00936DC6"/>
    <w:rsid w:val="00936DD1"/>
    <w:rsid w:val="00936F75"/>
    <w:rsid w:val="009370DE"/>
    <w:rsid w:val="0093711A"/>
    <w:rsid w:val="00937212"/>
    <w:rsid w:val="00937215"/>
    <w:rsid w:val="00937522"/>
    <w:rsid w:val="00937680"/>
    <w:rsid w:val="009376EF"/>
    <w:rsid w:val="0093770E"/>
    <w:rsid w:val="0093771F"/>
    <w:rsid w:val="00937755"/>
    <w:rsid w:val="0093790F"/>
    <w:rsid w:val="0093791C"/>
    <w:rsid w:val="00937A88"/>
    <w:rsid w:val="00937B6F"/>
    <w:rsid w:val="00937C32"/>
    <w:rsid w:val="00937FD1"/>
    <w:rsid w:val="0094001B"/>
    <w:rsid w:val="0094011C"/>
    <w:rsid w:val="00940236"/>
    <w:rsid w:val="0094039B"/>
    <w:rsid w:val="00940417"/>
    <w:rsid w:val="009405AB"/>
    <w:rsid w:val="00940603"/>
    <w:rsid w:val="0094062F"/>
    <w:rsid w:val="00940646"/>
    <w:rsid w:val="009406F2"/>
    <w:rsid w:val="00940709"/>
    <w:rsid w:val="00940792"/>
    <w:rsid w:val="0094084B"/>
    <w:rsid w:val="0094086B"/>
    <w:rsid w:val="00940A49"/>
    <w:rsid w:val="00940A4B"/>
    <w:rsid w:val="00940B07"/>
    <w:rsid w:val="00940E35"/>
    <w:rsid w:val="00940F8C"/>
    <w:rsid w:val="00941087"/>
    <w:rsid w:val="009414BA"/>
    <w:rsid w:val="00941555"/>
    <w:rsid w:val="009416F7"/>
    <w:rsid w:val="00941AA7"/>
    <w:rsid w:val="00941AFD"/>
    <w:rsid w:val="00941BED"/>
    <w:rsid w:val="00941C83"/>
    <w:rsid w:val="00941E48"/>
    <w:rsid w:val="00942031"/>
    <w:rsid w:val="009420B4"/>
    <w:rsid w:val="00942311"/>
    <w:rsid w:val="0094258D"/>
    <w:rsid w:val="009425FE"/>
    <w:rsid w:val="0094268C"/>
    <w:rsid w:val="009427BA"/>
    <w:rsid w:val="00942804"/>
    <w:rsid w:val="00942808"/>
    <w:rsid w:val="009428E5"/>
    <w:rsid w:val="009429DD"/>
    <w:rsid w:val="009429F8"/>
    <w:rsid w:val="00942A74"/>
    <w:rsid w:val="00942AC2"/>
    <w:rsid w:val="00942CD7"/>
    <w:rsid w:val="00942DA1"/>
    <w:rsid w:val="00942ED3"/>
    <w:rsid w:val="00942F48"/>
    <w:rsid w:val="00942F4E"/>
    <w:rsid w:val="00942F92"/>
    <w:rsid w:val="00942FB8"/>
    <w:rsid w:val="00942FB9"/>
    <w:rsid w:val="00943008"/>
    <w:rsid w:val="00943279"/>
    <w:rsid w:val="009432FC"/>
    <w:rsid w:val="009434B3"/>
    <w:rsid w:val="009438F1"/>
    <w:rsid w:val="00943B95"/>
    <w:rsid w:val="00943BE6"/>
    <w:rsid w:val="00943C1D"/>
    <w:rsid w:val="00943DC8"/>
    <w:rsid w:val="00943DCC"/>
    <w:rsid w:val="00943E20"/>
    <w:rsid w:val="00943EB1"/>
    <w:rsid w:val="00943F5D"/>
    <w:rsid w:val="0094400D"/>
    <w:rsid w:val="0094415F"/>
    <w:rsid w:val="00944164"/>
    <w:rsid w:val="009442D3"/>
    <w:rsid w:val="009443F2"/>
    <w:rsid w:val="00944482"/>
    <w:rsid w:val="00944511"/>
    <w:rsid w:val="009445D0"/>
    <w:rsid w:val="0094467F"/>
    <w:rsid w:val="009447D3"/>
    <w:rsid w:val="00944905"/>
    <w:rsid w:val="0094498F"/>
    <w:rsid w:val="00944A7C"/>
    <w:rsid w:val="00944CDA"/>
    <w:rsid w:val="00944D5B"/>
    <w:rsid w:val="00944E2A"/>
    <w:rsid w:val="00944EE5"/>
    <w:rsid w:val="00944EE9"/>
    <w:rsid w:val="009451AD"/>
    <w:rsid w:val="00945234"/>
    <w:rsid w:val="009453A9"/>
    <w:rsid w:val="0094557F"/>
    <w:rsid w:val="0094586A"/>
    <w:rsid w:val="00945886"/>
    <w:rsid w:val="009458B0"/>
    <w:rsid w:val="00945931"/>
    <w:rsid w:val="00945D2C"/>
    <w:rsid w:val="00945E6A"/>
    <w:rsid w:val="0094605B"/>
    <w:rsid w:val="00946068"/>
    <w:rsid w:val="00946071"/>
    <w:rsid w:val="00946160"/>
    <w:rsid w:val="009461E5"/>
    <w:rsid w:val="00946229"/>
    <w:rsid w:val="009463C1"/>
    <w:rsid w:val="0094647E"/>
    <w:rsid w:val="0094652B"/>
    <w:rsid w:val="0094656E"/>
    <w:rsid w:val="00946656"/>
    <w:rsid w:val="0094668C"/>
    <w:rsid w:val="00946708"/>
    <w:rsid w:val="00946791"/>
    <w:rsid w:val="00946806"/>
    <w:rsid w:val="00946863"/>
    <w:rsid w:val="009469AE"/>
    <w:rsid w:val="00946B58"/>
    <w:rsid w:val="00946BFB"/>
    <w:rsid w:val="00946E64"/>
    <w:rsid w:val="0094710A"/>
    <w:rsid w:val="00947332"/>
    <w:rsid w:val="009474C4"/>
    <w:rsid w:val="00947581"/>
    <w:rsid w:val="00947A3E"/>
    <w:rsid w:val="00947A4E"/>
    <w:rsid w:val="00947E06"/>
    <w:rsid w:val="00947E2D"/>
    <w:rsid w:val="00947F81"/>
    <w:rsid w:val="00950032"/>
    <w:rsid w:val="00950134"/>
    <w:rsid w:val="00950501"/>
    <w:rsid w:val="00950620"/>
    <w:rsid w:val="00950812"/>
    <w:rsid w:val="009508FD"/>
    <w:rsid w:val="00950A8D"/>
    <w:rsid w:val="00950C00"/>
    <w:rsid w:val="00950C7F"/>
    <w:rsid w:val="00950D1D"/>
    <w:rsid w:val="00950E16"/>
    <w:rsid w:val="009510D9"/>
    <w:rsid w:val="00951101"/>
    <w:rsid w:val="0095117F"/>
    <w:rsid w:val="009513EA"/>
    <w:rsid w:val="00951477"/>
    <w:rsid w:val="0095154D"/>
    <w:rsid w:val="009516A9"/>
    <w:rsid w:val="00951994"/>
    <w:rsid w:val="00951A2E"/>
    <w:rsid w:val="00951B94"/>
    <w:rsid w:val="00951C58"/>
    <w:rsid w:val="00951DDB"/>
    <w:rsid w:val="00951E23"/>
    <w:rsid w:val="00951F58"/>
    <w:rsid w:val="00951FA2"/>
    <w:rsid w:val="00951FEE"/>
    <w:rsid w:val="0095200A"/>
    <w:rsid w:val="0095205C"/>
    <w:rsid w:val="009523EB"/>
    <w:rsid w:val="00952497"/>
    <w:rsid w:val="00952530"/>
    <w:rsid w:val="009525CA"/>
    <w:rsid w:val="00952657"/>
    <w:rsid w:val="009526EA"/>
    <w:rsid w:val="00952853"/>
    <w:rsid w:val="00952C1A"/>
    <w:rsid w:val="00952C25"/>
    <w:rsid w:val="00952DB5"/>
    <w:rsid w:val="00952E1F"/>
    <w:rsid w:val="00952E82"/>
    <w:rsid w:val="0095300A"/>
    <w:rsid w:val="0095304D"/>
    <w:rsid w:val="009530EF"/>
    <w:rsid w:val="00953149"/>
    <w:rsid w:val="00953182"/>
    <w:rsid w:val="00953394"/>
    <w:rsid w:val="00953715"/>
    <w:rsid w:val="009537BA"/>
    <w:rsid w:val="0095381B"/>
    <w:rsid w:val="009538BF"/>
    <w:rsid w:val="00953957"/>
    <w:rsid w:val="00953A25"/>
    <w:rsid w:val="00953BE3"/>
    <w:rsid w:val="00953E83"/>
    <w:rsid w:val="00953EDF"/>
    <w:rsid w:val="00954019"/>
    <w:rsid w:val="0095405C"/>
    <w:rsid w:val="00954195"/>
    <w:rsid w:val="009541D6"/>
    <w:rsid w:val="00954227"/>
    <w:rsid w:val="009543E4"/>
    <w:rsid w:val="00954425"/>
    <w:rsid w:val="00954544"/>
    <w:rsid w:val="00954556"/>
    <w:rsid w:val="00954731"/>
    <w:rsid w:val="009547AD"/>
    <w:rsid w:val="00954899"/>
    <w:rsid w:val="00954A0B"/>
    <w:rsid w:val="00954A36"/>
    <w:rsid w:val="00954DA4"/>
    <w:rsid w:val="00954F0D"/>
    <w:rsid w:val="00954FA6"/>
    <w:rsid w:val="00954FDD"/>
    <w:rsid w:val="009551E5"/>
    <w:rsid w:val="009553A6"/>
    <w:rsid w:val="00955420"/>
    <w:rsid w:val="0095542A"/>
    <w:rsid w:val="0095544A"/>
    <w:rsid w:val="00955460"/>
    <w:rsid w:val="00955482"/>
    <w:rsid w:val="0095571A"/>
    <w:rsid w:val="0095583E"/>
    <w:rsid w:val="00955A02"/>
    <w:rsid w:val="00955A29"/>
    <w:rsid w:val="00955A93"/>
    <w:rsid w:val="00955BA5"/>
    <w:rsid w:val="00955C4A"/>
    <w:rsid w:val="00955D5E"/>
    <w:rsid w:val="00955E0C"/>
    <w:rsid w:val="00955E87"/>
    <w:rsid w:val="00955EB5"/>
    <w:rsid w:val="00956013"/>
    <w:rsid w:val="009560F7"/>
    <w:rsid w:val="00956329"/>
    <w:rsid w:val="0095642A"/>
    <w:rsid w:val="00956516"/>
    <w:rsid w:val="009565AF"/>
    <w:rsid w:val="009565B5"/>
    <w:rsid w:val="009565CA"/>
    <w:rsid w:val="009565CF"/>
    <w:rsid w:val="00956794"/>
    <w:rsid w:val="009567C4"/>
    <w:rsid w:val="009568E9"/>
    <w:rsid w:val="009569F3"/>
    <w:rsid w:val="00956D0B"/>
    <w:rsid w:val="00956E37"/>
    <w:rsid w:val="00956EA6"/>
    <w:rsid w:val="00956F85"/>
    <w:rsid w:val="00956FBD"/>
    <w:rsid w:val="00956FD6"/>
    <w:rsid w:val="009570D0"/>
    <w:rsid w:val="009571D5"/>
    <w:rsid w:val="0095720D"/>
    <w:rsid w:val="00957292"/>
    <w:rsid w:val="009574CA"/>
    <w:rsid w:val="009574F9"/>
    <w:rsid w:val="00957529"/>
    <w:rsid w:val="0095782D"/>
    <w:rsid w:val="00957835"/>
    <w:rsid w:val="00957E14"/>
    <w:rsid w:val="00957F0B"/>
    <w:rsid w:val="0096017B"/>
    <w:rsid w:val="009606EF"/>
    <w:rsid w:val="0096085E"/>
    <w:rsid w:val="00960A0D"/>
    <w:rsid w:val="00960D1C"/>
    <w:rsid w:val="00960ED1"/>
    <w:rsid w:val="00960ED2"/>
    <w:rsid w:val="00961393"/>
    <w:rsid w:val="0096143D"/>
    <w:rsid w:val="009614CF"/>
    <w:rsid w:val="009614EC"/>
    <w:rsid w:val="009616BF"/>
    <w:rsid w:val="009617EF"/>
    <w:rsid w:val="00961829"/>
    <w:rsid w:val="009618EE"/>
    <w:rsid w:val="009619DA"/>
    <w:rsid w:val="00961A67"/>
    <w:rsid w:val="00961B41"/>
    <w:rsid w:val="00961CA0"/>
    <w:rsid w:val="00961CEF"/>
    <w:rsid w:val="00961DAA"/>
    <w:rsid w:val="00961E6C"/>
    <w:rsid w:val="009620ED"/>
    <w:rsid w:val="00962116"/>
    <w:rsid w:val="00962235"/>
    <w:rsid w:val="0096259D"/>
    <w:rsid w:val="009626B1"/>
    <w:rsid w:val="00962741"/>
    <w:rsid w:val="00962769"/>
    <w:rsid w:val="009627EE"/>
    <w:rsid w:val="0096296E"/>
    <w:rsid w:val="00962AF5"/>
    <w:rsid w:val="00962B01"/>
    <w:rsid w:val="00962B96"/>
    <w:rsid w:val="00962C77"/>
    <w:rsid w:val="00962FE1"/>
    <w:rsid w:val="00963111"/>
    <w:rsid w:val="009631EE"/>
    <w:rsid w:val="009632E0"/>
    <w:rsid w:val="009633FF"/>
    <w:rsid w:val="00963409"/>
    <w:rsid w:val="00963419"/>
    <w:rsid w:val="009634CF"/>
    <w:rsid w:val="00963758"/>
    <w:rsid w:val="009637CB"/>
    <w:rsid w:val="00963A02"/>
    <w:rsid w:val="00963AFD"/>
    <w:rsid w:val="00963C5A"/>
    <w:rsid w:val="00963CFC"/>
    <w:rsid w:val="00963EA8"/>
    <w:rsid w:val="00963ED2"/>
    <w:rsid w:val="00964007"/>
    <w:rsid w:val="00964060"/>
    <w:rsid w:val="009640AE"/>
    <w:rsid w:val="00964210"/>
    <w:rsid w:val="00964341"/>
    <w:rsid w:val="00964424"/>
    <w:rsid w:val="009644C4"/>
    <w:rsid w:val="009646BC"/>
    <w:rsid w:val="00964800"/>
    <w:rsid w:val="0096485E"/>
    <w:rsid w:val="009649A8"/>
    <w:rsid w:val="00964B4A"/>
    <w:rsid w:val="00964F0B"/>
    <w:rsid w:val="0096540E"/>
    <w:rsid w:val="009654F7"/>
    <w:rsid w:val="00965605"/>
    <w:rsid w:val="0096561D"/>
    <w:rsid w:val="00965776"/>
    <w:rsid w:val="0096577B"/>
    <w:rsid w:val="00965842"/>
    <w:rsid w:val="00965898"/>
    <w:rsid w:val="009659B8"/>
    <w:rsid w:val="00965BB9"/>
    <w:rsid w:val="00965DA9"/>
    <w:rsid w:val="00965E4B"/>
    <w:rsid w:val="00965F22"/>
    <w:rsid w:val="0096605C"/>
    <w:rsid w:val="00966176"/>
    <w:rsid w:val="009663F4"/>
    <w:rsid w:val="00966503"/>
    <w:rsid w:val="00966553"/>
    <w:rsid w:val="00966555"/>
    <w:rsid w:val="00966608"/>
    <w:rsid w:val="0096666F"/>
    <w:rsid w:val="00966A80"/>
    <w:rsid w:val="00966BA2"/>
    <w:rsid w:val="00966BE3"/>
    <w:rsid w:val="00966DC0"/>
    <w:rsid w:val="00966ED3"/>
    <w:rsid w:val="00966F07"/>
    <w:rsid w:val="00966F17"/>
    <w:rsid w:val="00966F42"/>
    <w:rsid w:val="00967189"/>
    <w:rsid w:val="0096719A"/>
    <w:rsid w:val="009671FE"/>
    <w:rsid w:val="0096723D"/>
    <w:rsid w:val="00967250"/>
    <w:rsid w:val="009672E6"/>
    <w:rsid w:val="009674B5"/>
    <w:rsid w:val="00967582"/>
    <w:rsid w:val="009677CB"/>
    <w:rsid w:val="00967939"/>
    <w:rsid w:val="00967B83"/>
    <w:rsid w:val="00967C64"/>
    <w:rsid w:val="009700D8"/>
    <w:rsid w:val="009701B8"/>
    <w:rsid w:val="0097034A"/>
    <w:rsid w:val="0097035E"/>
    <w:rsid w:val="00970515"/>
    <w:rsid w:val="0097051B"/>
    <w:rsid w:val="009705B0"/>
    <w:rsid w:val="0097066F"/>
    <w:rsid w:val="0097070E"/>
    <w:rsid w:val="00970723"/>
    <w:rsid w:val="009707E3"/>
    <w:rsid w:val="00970802"/>
    <w:rsid w:val="0097093F"/>
    <w:rsid w:val="0097096D"/>
    <w:rsid w:val="00970A01"/>
    <w:rsid w:val="00970A43"/>
    <w:rsid w:val="00970BB0"/>
    <w:rsid w:val="00970CDA"/>
    <w:rsid w:val="00970DBA"/>
    <w:rsid w:val="00970F56"/>
    <w:rsid w:val="00970F9B"/>
    <w:rsid w:val="009710F3"/>
    <w:rsid w:val="00971267"/>
    <w:rsid w:val="009712E4"/>
    <w:rsid w:val="009713FD"/>
    <w:rsid w:val="0097144C"/>
    <w:rsid w:val="009715A9"/>
    <w:rsid w:val="0097180A"/>
    <w:rsid w:val="0097185C"/>
    <w:rsid w:val="0097189D"/>
    <w:rsid w:val="0097194F"/>
    <w:rsid w:val="00971B3A"/>
    <w:rsid w:val="00971CA1"/>
    <w:rsid w:val="00971CB3"/>
    <w:rsid w:val="00971D13"/>
    <w:rsid w:val="00971D56"/>
    <w:rsid w:val="00971E1D"/>
    <w:rsid w:val="00971E56"/>
    <w:rsid w:val="00971EA8"/>
    <w:rsid w:val="009721A5"/>
    <w:rsid w:val="0097265A"/>
    <w:rsid w:val="009726D6"/>
    <w:rsid w:val="00972870"/>
    <w:rsid w:val="00972911"/>
    <w:rsid w:val="00972C6C"/>
    <w:rsid w:val="00972CCB"/>
    <w:rsid w:val="00972CE0"/>
    <w:rsid w:val="00972E1C"/>
    <w:rsid w:val="009731C6"/>
    <w:rsid w:val="009732BC"/>
    <w:rsid w:val="009733D8"/>
    <w:rsid w:val="00973454"/>
    <w:rsid w:val="00973531"/>
    <w:rsid w:val="009735E2"/>
    <w:rsid w:val="00973674"/>
    <w:rsid w:val="00973715"/>
    <w:rsid w:val="00973795"/>
    <w:rsid w:val="00973815"/>
    <w:rsid w:val="00973878"/>
    <w:rsid w:val="00973899"/>
    <w:rsid w:val="009738A4"/>
    <w:rsid w:val="009738C6"/>
    <w:rsid w:val="0097395D"/>
    <w:rsid w:val="00973971"/>
    <w:rsid w:val="00973A20"/>
    <w:rsid w:val="00973B91"/>
    <w:rsid w:val="00973C0F"/>
    <w:rsid w:val="00973C3F"/>
    <w:rsid w:val="0097408C"/>
    <w:rsid w:val="00974440"/>
    <w:rsid w:val="0097456E"/>
    <w:rsid w:val="0097475C"/>
    <w:rsid w:val="0097479D"/>
    <w:rsid w:val="009748E8"/>
    <w:rsid w:val="00974A79"/>
    <w:rsid w:val="00974B69"/>
    <w:rsid w:val="00974B85"/>
    <w:rsid w:val="00974B92"/>
    <w:rsid w:val="00974BD0"/>
    <w:rsid w:val="00974D4C"/>
    <w:rsid w:val="00974DF8"/>
    <w:rsid w:val="00974E1A"/>
    <w:rsid w:val="00974E68"/>
    <w:rsid w:val="00974EA3"/>
    <w:rsid w:val="0097518D"/>
    <w:rsid w:val="00975420"/>
    <w:rsid w:val="00975437"/>
    <w:rsid w:val="0097548A"/>
    <w:rsid w:val="009754DD"/>
    <w:rsid w:val="0097553B"/>
    <w:rsid w:val="00975550"/>
    <w:rsid w:val="009755C5"/>
    <w:rsid w:val="0097562E"/>
    <w:rsid w:val="00975724"/>
    <w:rsid w:val="0097586E"/>
    <w:rsid w:val="009758D2"/>
    <w:rsid w:val="00975B18"/>
    <w:rsid w:val="00975B96"/>
    <w:rsid w:val="00975DDA"/>
    <w:rsid w:val="0097624F"/>
    <w:rsid w:val="0097634D"/>
    <w:rsid w:val="0097656A"/>
    <w:rsid w:val="00976665"/>
    <w:rsid w:val="00976817"/>
    <w:rsid w:val="00976857"/>
    <w:rsid w:val="0097691F"/>
    <w:rsid w:val="009769CF"/>
    <w:rsid w:val="00976BB7"/>
    <w:rsid w:val="00976C83"/>
    <w:rsid w:val="009770F6"/>
    <w:rsid w:val="009771BD"/>
    <w:rsid w:val="00977370"/>
    <w:rsid w:val="00977397"/>
    <w:rsid w:val="00977514"/>
    <w:rsid w:val="00977588"/>
    <w:rsid w:val="009777C2"/>
    <w:rsid w:val="009777F2"/>
    <w:rsid w:val="009777FF"/>
    <w:rsid w:val="00977905"/>
    <w:rsid w:val="009779F6"/>
    <w:rsid w:val="00977A91"/>
    <w:rsid w:val="00977B25"/>
    <w:rsid w:val="00980208"/>
    <w:rsid w:val="00980225"/>
    <w:rsid w:val="00980227"/>
    <w:rsid w:val="00980291"/>
    <w:rsid w:val="009802B4"/>
    <w:rsid w:val="009802C3"/>
    <w:rsid w:val="009802CE"/>
    <w:rsid w:val="0098031F"/>
    <w:rsid w:val="009803FA"/>
    <w:rsid w:val="00980434"/>
    <w:rsid w:val="00980503"/>
    <w:rsid w:val="00980513"/>
    <w:rsid w:val="00980730"/>
    <w:rsid w:val="00980749"/>
    <w:rsid w:val="009807FB"/>
    <w:rsid w:val="00980878"/>
    <w:rsid w:val="009809E9"/>
    <w:rsid w:val="00980CFA"/>
    <w:rsid w:val="00981196"/>
    <w:rsid w:val="009812DF"/>
    <w:rsid w:val="00981301"/>
    <w:rsid w:val="009813C1"/>
    <w:rsid w:val="00981607"/>
    <w:rsid w:val="00981793"/>
    <w:rsid w:val="0098199F"/>
    <w:rsid w:val="00981AE1"/>
    <w:rsid w:val="00981EEC"/>
    <w:rsid w:val="00981F7F"/>
    <w:rsid w:val="00981F84"/>
    <w:rsid w:val="00981FFC"/>
    <w:rsid w:val="00982206"/>
    <w:rsid w:val="00982237"/>
    <w:rsid w:val="00982260"/>
    <w:rsid w:val="0098230B"/>
    <w:rsid w:val="00982318"/>
    <w:rsid w:val="00982376"/>
    <w:rsid w:val="009823FD"/>
    <w:rsid w:val="00982454"/>
    <w:rsid w:val="00982579"/>
    <w:rsid w:val="0098269F"/>
    <w:rsid w:val="0098296B"/>
    <w:rsid w:val="00982A60"/>
    <w:rsid w:val="00982AD7"/>
    <w:rsid w:val="00982B98"/>
    <w:rsid w:val="00982C11"/>
    <w:rsid w:val="00982C99"/>
    <w:rsid w:val="00982E68"/>
    <w:rsid w:val="00982FA3"/>
    <w:rsid w:val="009831C3"/>
    <w:rsid w:val="0098326F"/>
    <w:rsid w:val="009832D3"/>
    <w:rsid w:val="009834D4"/>
    <w:rsid w:val="0098356F"/>
    <w:rsid w:val="009836F2"/>
    <w:rsid w:val="009838FB"/>
    <w:rsid w:val="00983A35"/>
    <w:rsid w:val="00983BFD"/>
    <w:rsid w:val="00983D6C"/>
    <w:rsid w:val="00983DFD"/>
    <w:rsid w:val="009840E3"/>
    <w:rsid w:val="009841B5"/>
    <w:rsid w:val="00984206"/>
    <w:rsid w:val="0098420C"/>
    <w:rsid w:val="009842E6"/>
    <w:rsid w:val="009843D3"/>
    <w:rsid w:val="0098440B"/>
    <w:rsid w:val="00984456"/>
    <w:rsid w:val="009846A8"/>
    <w:rsid w:val="00984767"/>
    <w:rsid w:val="0098480C"/>
    <w:rsid w:val="00984B24"/>
    <w:rsid w:val="00984B99"/>
    <w:rsid w:val="00984E99"/>
    <w:rsid w:val="00984FC6"/>
    <w:rsid w:val="00985088"/>
    <w:rsid w:val="00985263"/>
    <w:rsid w:val="009855F4"/>
    <w:rsid w:val="00985789"/>
    <w:rsid w:val="0098590E"/>
    <w:rsid w:val="00985B47"/>
    <w:rsid w:val="00985E9C"/>
    <w:rsid w:val="00985EFB"/>
    <w:rsid w:val="00985F28"/>
    <w:rsid w:val="009861AE"/>
    <w:rsid w:val="009862CC"/>
    <w:rsid w:val="009863EF"/>
    <w:rsid w:val="009864C1"/>
    <w:rsid w:val="00986537"/>
    <w:rsid w:val="00986588"/>
    <w:rsid w:val="009866BE"/>
    <w:rsid w:val="00986898"/>
    <w:rsid w:val="00986A58"/>
    <w:rsid w:val="00986FA9"/>
    <w:rsid w:val="00986FE4"/>
    <w:rsid w:val="0098711F"/>
    <w:rsid w:val="00987368"/>
    <w:rsid w:val="00987508"/>
    <w:rsid w:val="00987750"/>
    <w:rsid w:val="00987756"/>
    <w:rsid w:val="009877BF"/>
    <w:rsid w:val="0098796D"/>
    <w:rsid w:val="00987A22"/>
    <w:rsid w:val="00987C1E"/>
    <w:rsid w:val="00987C52"/>
    <w:rsid w:val="00987CBD"/>
    <w:rsid w:val="00990182"/>
    <w:rsid w:val="009901C4"/>
    <w:rsid w:val="009902EE"/>
    <w:rsid w:val="0099030E"/>
    <w:rsid w:val="009903E9"/>
    <w:rsid w:val="0099050A"/>
    <w:rsid w:val="0099058F"/>
    <w:rsid w:val="00990688"/>
    <w:rsid w:val="009909C7"/>
    <w:rsid w:val="00990ADF"/>
    <w:rsid w:val="00990D35"/>
    <w:rsid w:val="00990D83"/>
    <w:rsid w:val="00990F31"/>
    <w:rsid w:val="0099106F"/>
    <w:rsid w:val="00991187"/>
    <w:rsid w:val="0099130E"/>
    <w:rsid w:val="00991409"/>
    <w:rsid w:val="0099145F"/>
    <w:rsid w:val="0099191E"/>
    <w:rsid w:val="00991B34"/>
    <w:rsid w:val="00991BA9"/>
    <w:rsid w:val="00991C5B"/>
    <w:rsid w:val="00991CA5"/>
    <w:rsid w:val="00991CBB"/>
    <w:rsid w:val="00991CCF"/>
    <w:rsid w:val="00991E74"/>
    <w:rsid w:val="00991F0B"/>
    <w:rsid w:val="00991F44"/>
    <w:rsid w:val="00991F4B"/>
    <w:rsid w:val="0099231F"/>
    <w:rsid w:val="00992581"/>
    <w:rsid w:val="009926A0"/>
    <w:rsid w:val="009926DF"/>
    <w:rsid w:val="00992773"/>
    <w:rsid w:val="009927A3"/>
    <w:rsid w:val="00992803"/>
    <w:rsid w:val="0099282B"/>
    <w:rsid w:val="0099291C"/>
    <w:rsid w:val="00992B0D"/>
    <w:rsid w:val="00992B4D"/>
    <w:rsid w:val="00992B78"/>
    <w:rsid w:val="00992C2D"/>
    <w:rsid w:val="00992CA1"/>
    <w:rsid w:val="00992D1B"/>
    <w:rsid w:val="00992F80"/>
    <w:rsid w:val="00992FC6"/>
    <w:rsid w:val="00992FD9"/>
    <w:rsid w:val="0099333F"/>
    <w:rsid w:val="00993467"/>
    <w:rsid w:val="0099352F"/>
    <w:rsid w:val="00993917"/>
    <w:rsid w:val="00993980"/>
    <w:rsid w:val="00993982"/>
    <w:rsid w:val="00993A34"/>
    <w:rsid w:val="00993ACF"/>
    <w:rsid w:val="00993D64"/>
    <w:rsid w:val="009942B6"/>
    <w:rsid w:val="00994428"/>
    <w:rsid w:val="009946D2"/>
    <w:rsid w:val="00994B4F"/>
    <w:rsid w:val="00994B65"/>
    <w:rsid w:val="00994FA9"/>
    <w:rsid w:val="00995140"/>
    <w:rsid w:val="00995155"/>
    <w:rsid w:val="009952C1"/>
    <w:rsid w:val="009952CB"/>
    <w:rsid w:val="00995367"/>
    <w:rsid w:val="0099539D"/>
    <w:rsid w:val="00995495"/>
    <w:rsid w:val="009954F9"/>
    <w:rsid w:val="00995557"/>
    <w:rsid w:val="009955AC"/>
    <w:rsid w:val="00995684"/>
    <w:rsid w:val="00995748"/>
    <w:rsid w:val="0099586F"/>
    <w:rsid w:val="00995939"/>
    <w:rsid w:val="00995AC9"/>
    <w:rsid w:val="00995D53"/>
    <w:rsid w:val="00995E93"/>
    <w:rsid w:val="00995EF6"/>
    <w:rsid w:val="00995FCF"/>
    <w:rsid w:val="00995FF4"/>
    <w:rsid w:val="00995FF7"/>
    <w:rsid w:val="0099600B"/>
    <w:rsid w:val="009962F8"/>
    <w:rsid w:val="00996410"/>
    <w:rsid w:val="0099659E"/>
    <w:rsid w:val="009966C1"/>
    <w:rsid w:val="009967CD"/>
    <w:rsid w:val="009967E2"/>
    <w:rsid w:val="0099690C"/>
    <w:rsid w:val="00996973"/>
    <w:rsid w:val="009969E4"/>
    <w:rsid w:val="00996A44"/>
    <w:rsid w:val="00996A73"/>
    <w:rsid w:val="00996AB0"/>
    <w:rsid w:val="00996E70"/>
    <w:rsid w:val="00996EED"/>
    <w:rsid w:val="00996F7F"/>
    <w:rsid w:val="00996FB2"/>
    <w:rsid w:val="00997059"/>
    <w:rsid w:val="0099711E"/>
    <w:rsid w:val="00997123"/>
    <w:rsid w:val="009973A6"/>
    <w:rsid w:val="0099753A"/>
    <w:rsid w:val="00997546"/>
    <w:rsid w:val="0099754E"/>
    <w:rsid w:val="009978AF"/>
    <w:rsid w:val="009979BA"/>
    <w:rsid w:val="00997A33"/>
    <w:rsid w:val="00997BDB"/>
    <w:rsid w:val="00997D27"/>
    <w:rsid w:val="009A004F"/>
    <w:rsid w:val="009A0062"/>
    <w:rsid w:val="009A0457"/>
    <w:rsid w:val="009A0619"/>
    <w:rsid w:val="009A073A"/>
    <w:rsid w:val="009A0765"/>
    <w:rsid w:val="009A0AD5"/>
    <w:rsid w:val="009A0C6F"/>
    <w:rsid w:val="009A0D4F"/>
    <w:rsid w:val="009A0D7E"/>
    <w:rsid w:val="009A0F0E"/>
    <w:rsid w:val="009A10C5"/>
    <w:rsid w:val="009A114A"/>
    <w:rsid w:val="009A1210"/>
    <w:rsid w:val="009A1214"/>
    <w:rsid w:val="009A1251"/>
    <w:rsid w:val="009A15C0"/>
    <w:rsid w:val="009A1673"/>
    <w:rsid w:val="009A1822"/>
    <w:rsid w:val="009A18B6"/>
    <w:rsid w:val="009A18EF"/>
    <w:rsid w:val="009A18F4"/>
    <w:rsid w:val="009A1A54"/>
    <w:rsid w:val="009A1AC0"/>
    <w:rsid w:val="009A1B43"/>
    <w:rsid w:val="009A1B57"/>
    <w:rsid w:val="009A1C6E"/>
    <w:rsid w:val="009A1D76"/>
    <w:rsid w:val="009A1DBE"/>
    <w:rsid w:val="009A1F2F"/>
    <w:rsid w:val="009A1F64"/>
    <w:rsid w:val="009A1FAE"/>
    <w:rsid w:val="009A1FF1"/>
    <w:rsid w:val="009A205D"/>
    <w:rsid w:val="009A2219"/>
    <w:rsid w:val="009A2248"/>
    <w:rsid w:val="009A23E8"/>
    <w:rsid w:val="009A2407"/>
    <w:rsid w:val="009A2458"/>
    <w:rsid w:val="009A2503"/>
    <w:rsid w:val="009A27F6"/>
    <w:rsid w:val="009A28E1"/>
    <w:rsid w:val="009A2960"/>
    <w:rsid w:val="009A2A01"/>
    <w:rsid w:val="009A2A4E"/>
    <w:rsid w:val="009A2B22"/>
    <w:rsid w:val="009A2BAC"/>
    <w:rsid w:val="009A2C00"/>
    <w:rsid w:val="009A2C1E"/>
    <w:rsid w:val="009A2C6D"/>
    <w:rsid w:val="009A2DD2"/>
    <w:rsid w:val="009A2EF6"/>
    <w:rsid w:val="009A2F9E"/>
    <w:rsid w:val="009A313C"/>
    <w:rsid w:val="009A321D"/>
    <w:rsid w:val="009A327F"/>
    <w:rsid w:val="009A336D"/>
    <w:rsid w:val="009A33AB"/>
    <w:rsid w:val="009A3570"/>
    <w:rsid w:val="009A3643"/>
    <w:rsid w:val="009A3750"/>
    <w:rsid w:val="009A3A2D"/>
    <w:rsid w:val="009A3A5B"/>
    <w:rsid w:val="009A3ADF"/>
    <w:rsid w:val="009A3DE3"/>
    <w:rsid w:val="009A3E44"/>
    <w:rsid w:val="009A3EA4"/>
    <w:rsid w:val="009A3F8D"/>
    <w:rsid w:val="009A3FAB"/>
    <w:rsid w:val="009A4098"/>
    <w:rsid w:val="009A41B6"/>
    <w:rsid w:val="009A41FA"/>
    <w:rsid w:val="009A4424"/>
    <w:rsid w:val="009A46EF"/>
    <w:rsid w:val="009A46F2"/>
    <w:rsid w:val="009A4733"/>
    <w:rsid w:val="009A4747"/>
    <w:rsid w:val="009A47AE"/>
    <w:rsid w:val="009A4915"/>
    <w:rsid w:val="009A49AF"/>
    <w:rsid w:val="009A49FB"/>
    <w:rsid w:val="009A4A32"/>
    <w:rsid w:val="009A4ADB"/>
    <w:rsid w:val="009A4B01"/>
    <w:rsid w:val="009A4B4A"/>
    <w:rsid w:val="009A4BFB"/>
    <w:rsid w:val="009A4CD8"/>
    <w:rsid w:val="009A4E31"/>
    <w:rsid w:val="009A4EE8"/>
    <w:rsid w:val="009A4FE2"/>
    <w:rsid w:val="009A5187"/>
    <w:rsid w:val="009A51FF"/>
    <w:rsid w:val="009A5376"/>
    <w:rsid w:val="009A53D0"/>
    <w:rsid w:val="009A54A0"/>
    <w:rsid w:val="009A5554"/>
    <w:rsid w:val="009A5576"/>
    <w:rsid w:val="009A55D2"/>
    <w:rsid w:val="009A5727"/>
    <w:rsid w:val="009A5872"/>
    <w:rsid w:val="009A596E"/>
    <w:rsid w:val="009A5A40"/>
    <w:rsid w:val="009A5A9D"/>
    <w:rsid w:val="009A5B02"/>
    <w:rsid w:val="009A5B3B"/>
    <w:rsid w:val="009A5B8D"/>
    <w:rsid w:val="009A5D50"/>
    <w:rsid w:val="009A5D5A"/>
    <w:rsid w:val="009A5D65"/>
    <w:rsid w:val="009A5F73"/>
    <w:rsid w:val="009A6348"/>
    <w:rsid w:val="009A63E4"/>
    <w:rsid w:val="009A65F7"/>
    <w:rsid w:val="009A6699"/>
    <w:rsid w:val="009A67B3"/>
    <w:rsid w:val="009A68A6"/>
    <w:rsid w:val="009A6D38"/>
    <w:rsid w:val="009A6D5D"/>
    <w:rsid w:val="009A7277"/>
    <w:rsid w:val="009A728D"/>
    <w:rsid w:val="009A741B"/>
    <w:rsid w:val="009A758D"/>
    <w:rsid w:val="009A75FB"/>
    <w:rsid w:val="009A77B9"/>
    <w:rsid w:val="009A784A"/>
    <w:rsid w:val="009A7AAB"/>
    <w:rsid w:val="009A7B55"/>
    <w:rsid w:val="009A7C59"/>
    <w:rsid w:val="009A7D0B"/>
    <w:rsid w:val="009A7FFE"/>
    <w:rsid w:val="009B0391"/>
    <w:rsid w:val="009B045C"/>
    <w:rsid w:val="009B0656"/>
    <w:rsid w:val="009B0680"/>
    <w:rsid w:val="009B07F7"/>
    <w:rsid w:val="009B0B38"/>
    <w:rsid w:val="009B0BD7"/>
    <w:rsid w:val="009B0D3D"/>
    <w:rsid w:val="009B0E41"/>
    <w:rsid w:val="009B0EAC"/>
    <w:rsid w:val="009B0FA4"/>
    <w:rsid w:val="009B102D"/>
    <w:rsid w:val="009B1082"/>
    <w:rsid w:val="009B10C1"/>
    <w:rsid w:val="009B1191"/>
    <w:rsid w:val="009B1415"/>
    <w:rsid w:val="009B1507"/>
    <w:rsid w:val="009B15B1"/>
    <w:rsid w:val="009B15D4"/>
    <w:rsid w:val="009B1685"/>
    <w:rsid w:val="009B188F"/>
    <w:rsid w:val="009B18AD"/>
    <w:rsid w:val="009B18D8"/>
    <w:rsid w:val="009B194C"/>
    <w:rsid w:val="009B1AD5"/>
    <w:rsid w:val="009B1B17"/>
    <w:rsid w:val="009B1BEF"/>
    <w:rsid w:val="009B1EC2"/>
    <w:rsid w:val="009B1F10"/>
    <w:rsid w:val="009B2137"/>
    <w:rsid w:val="009B225B"/>
    <w:rsid w:val="009B22BB"/>
    <w:rsid w:val="009B237A"/>
    <w:rsid w:val="009B2484"/>
    <w:rsid w:val="009B25F5"/>
    <w:rsid w:val="009B26A5"/>
    <w:rsid w:val="009B2775"/>
    <w:rsid w:val="009B28CA"/>
    <w:rsid w:val="009B28ED"/>
    <w:rsid w:val="009B2992"/>
    <w:rsid w:val="009B2AA1"/>
    <w:rsid w:val="009B2B02"/>
    <w:rsid w:val="009B2B6C"/>
    <w:rsid w:val="009B2DF0"/>
    <w:rsid w:val="009B303E"/>
    <w:rsid w:val="009B3083"/>
    <w:rsid w:val="009B321B"/>
    <w:rsid w:val="009B325E"/>
    <w:rsid w:val="009B3597"/>
    <w:rsid w:val="009B37C8"/>
    <w:rsid w:val="009B3A20"/>
    <w:rsid w:val="009B3A5B"/>
    <w:rsid w:val="009B3A88"/>
    <w:rsid w:val="009B3ACE"/>
    <w:rsid w:val="009B3B86"/>
    <w:rsid w:val="009B3DA0"/>
    <w:rsid w:val="009B3DAF"/>
    <w:rsid w:val="009B3DCC"/>
    <w:rsid w:val="009B3E06"/>
    <w:rsid w:val="009B3E17"/>
    <w:rsid w:val="009B3E69"/>
    <w:rsid w:val="009B4064"/>
    <w:rsid w:val="009B41C3"/>
    <w:rsid w:val="009B41C8"/>
    <w:rsid w:val="009B421C"/>
    <w:rsid w:val="009B435A"/>
    <w:rsid w:val="009B4468"/>
    <w:rsid w:val="009B446E"/>
    <w:rsid w:val="009B449C"/>
    <w:rsid w:val="009B4604"/>
    <w:rsid w:val="009B4958"/>
    <w:rsid w:val="009B4AF2"/>
    <w:rsid w:val="009B4C3B"/>
    <w:rsid w:val="009B4FEF"/>
    <w:rsid w:val="009B52A2"/>
    <w:rsid w:val="009B52F6"/>
    <w:rsid w:val="009B5558"/>
    <w:rsid w:val="009B5BE7"/>
    <w:rsid w:val="009B5DCE"/>
    <w:rsid w:val="009B5E5F"/>
    <w:rsid w:val="009B5F48"/>
    <w:rsid w:val="009B5FAA"/>
    <w:rsid w:val="009B5FDB"/>
    <w:rsid w:val="009B619F"/>
    <w:rsid w:val="009B628C"/>
    <w:rsid w:val="009B63FC"/>
    <w:rsid w:val="009B6473"/>
    <w:rsid w:val="009B65A8"/>
    <w:rsid w:val="009B665E"/>
    <w:rsid w:val="009B666C"/>
    <w:rsid w:val="009B66FB"/>
    <w:rsid w:val="009B683F"/>
    <w:rsid w:val="009B68B5"/>
    <w:rsid w:val="009B69AE"/>
    <w:rsid w:val="009B69E4"/>
    <w:rsid w:val="009B69FF"/>
    <w:rsid w:val="009B6ADD"/>
    <w:rsid w:val="009B6D33"/>
    <w:rsid w:val="009B6D9B"/>
    <w:rsid w:val="009B7152"/>
    <w:rsid w:val="009B71D4"/>
    <w:rsid w:val="009B731E"/>
    <w:rsid w:val="009B73DA"/>
    <w:rsid w:val="009B756A"/>
    <w:rsid w:val="009B75B7"/>
    <w:rsid w:val="009B75CF"/>
    <w:rsid w:val="009B75E7"/>
    <w:rsid w:val="009B76F0"/>
    <w:rsid w:val="009B7A25"/>
    <w:rsid w:val="009B7A8B"/>
    <w:rsid w:val="009B7B24"/>
    <w:rsid w:val="009B7B53"/>
    <w:rsid w:val="009B7CF9"/>
    <w:rsid w:val="009B7E52"/>
    <w:rsid w:val="009C00E9"/>
    <w:rsid w:val="009C027D"/>
    <w:rsid w:val="009C0346"/>
    <w:rsid w:val="009C0466"/>
    <w:rsid w:val="009C0633"/>
    <w:rsid w:val="009C078F"/>
    <w:rsid w:val="009C07E1"/>
    <w:rsid w:val="009C0862"/>
    <w:rsid w:val="009C0968"/>
    <w:rsid w:val="009C0998"/>
    <w:rsid w:val="009C0A90"/>
    <w:rsid w:val="009C0AFB"/>
    <w:rsid w:val="009C0AFF"/>
    <w:rsid w:val="009C0C9F"/>
    <w:rsid w:val="009C0E22"/>
    <w:rsid w:val="009C0FDB"/>
    <w:rsid w:val="009C0FF5"/>
    <w:rsid w:val="009C1036"/>
    <w:rsid w:val="009C1137"/>
    <w:rsid w:val="009C1157"/>
    <w:rsid w:val="009C11CC"/>
    <w:rsid w:val="009C1247"/>
    <w:rsid w:val="009C1256"/>
    <w:rsid w:val="009C1328"/>
    <w:rsid w:val="009C133B"/>
    <w:rsid w:val="009C159E"/>
    <w:rsid w:val="009C15F0"/>
    <w:rsid w:val="009C1723"/>
    <w:rsid w:val="009C1875"/>
    <w:rsid w:val="009C187A"/>
    <w:rsid w:val="009C197F"/>
    <w:rsid w:val="009C1999"/>
    <w:rsid w:val="009C1BB6"/>
    <w:rsid w:val="009C1CDB"/>
    <w:rsid w:val="009C1D9E"/>
    <w:rsid w:val="009C1E5A"/>
    <w:rsid w:val="009C1E69"/>
    <w:rsid w:val="009C1E89"/>
    <w:rsid w:val="009C1EA7"/>
    <w:rsid w:val="009C1F10"/>
    <w:rsid w:val="009C1F79"/>
    <w:rsid w:val="009C1F83"/>
    <w:rsid w:val="009C1FE7"/>
    <w:rsid w:val="009C20AC"/>
    <w:rsid w:val="009C2147"/>
    <w:rsid w:val="009C21A0"/>
    <w:rsid w:val="009C2257"/>
    <w:rsid w:val="009C251C"/>
    <w:rsid w:val="009C259B"/>
    <w:rsid w:val="009C2642"/>
    <w:rsid w:val="009C26F7"/>
    <w:rsid w:val="009C2817"/>
    <w:rsid w:val="009C2F4C"/>
    <w:rsid w:val="009C306A"/>
    <w:rsid w:val="009C30A4"/>
    <w:rsid w:val="009C322F"/>
    <w:rsid w:val="009C32C5"/>
    <w:rsid w:val="009C32C6"/>
    <w:rsid w:val="009C337D"/>
    <w:rsid w:val="009C340A"/>
    <w:rsid w:val="009C3437"/>
    <w:rsid w:val="009C377A"/>
    <w:rsid w:val="009C393F"/>
    <w:rsid w:val="009C399F"/>
    <w:rsid w:val="009C39D1"/>
    <w:rsid w:val="009C3B6D"/>
    <w:rsid w:val="009C3B7F"/>
    <w:rsid w:val="009C3C46"/>
    <w:rsid w:val="009C3D1F"/>
    <w:rsid w:val="009C3E50"/>
    <w:rsid w:val="009C3ED6"/>
    <w:rsid w:val="009C3F66"/>
    <w:rsid w:val="009C401D"/>
    <w:rsid w:val="009C4065"/>
    <w:rsid w:val="009C409E"/>
    <w:rsid w:val="009C4252"/>
    <w:rsid w:val="009C439B"/>
    <w:rsid w:val="009C447D"/>
    <w:rsid w:val="009C466E"/>
    <w:rsid w:val="009C470D"/>
    <w:rsid w:val="009C4735"/>
    <w:rsid w:val="009C47FC"/>
    <w:rsid w:val="009C480B"/>
    <w:rsid w:val="009C48F5"/>
    <w:rsid w:val="009C4ACE"/>
    <w:rsid w:val="009C4B3A"/>
    <w:rsid w:val="009C4BE6"/>
    <w:rsid w:val="009C4C8E"/>
    <w:rsid w:val="009C4CBD"/>
    <w:rsid w:val="009C4CC0"/>
    <w:rsid w:val="009C4FCA"/>
    <w:rsid w:val="009C5074"/>
    <w:rsid w:val="009C508E"/>
    <w:rsid w:val="009C50AF"/>
    <w:rsid w:val="009C50E6"/>
    <w:rsid w:val="009C5181"/>
    <w:rsid w:val="009C53C3"/>
    <w:rsid w:val="009C54A6"/>
    <w:rsid w:val="009C5517"/>
    <w:rsid w:val="009C555B"/>
    <w:rsid w:val="009C55DE"/>
    <w:rsid w:val="009C56A3"/>
    <w:rsid w:val="009C57B8"/>
    <w:rsid w:val="009C5845"/>
    <w:rsid w:val="009C587A"/>
    <w:rsid w:val="009C59BA"/>
    <w:rsid w:val="009C5C23"/>
    <w:rsid w:val="009C5D18"/>
    <w:rsid w:val="009C5D88"/>
    <w:rsid w:val="009C5E6B"/>
    <w:rsid w:val="009C5FAB"/>
    <w:rsid w:val="009C5FEA"/>
    <w:rsid w:val="009C6120"/>
    <w:rsid w:val="009C6160"/>
    <w:rsid w:val="009C6195"/>
    <w:rsid w:val="009C620C"/>
    <w:rsid w:val="009C6265"/>
    <w:rsid w:val="009C672A"/>
    <w:rsid w:val="009C6940"/>
    <w:rsid w:val="009C6ABF"/>
    <w:rsid w:val="009C6DAB"/>
    <w:rsid w:val="009C6DE3"/>
    <w:rsid w:val="009C7202"/>
    <w:rsid w:val="009C7222"/>
    <w:rsid w:val="009C726B"/>
    <w:rsid w:val="009C72E6"/>
    <w:rsid w:val="009C738D"/>
    <w:rsid w:val="009C74C3"/>
    <w:rsid w:val="009C752A"/>
    <w:rsid w:val="009C7629"/>
    <w:rsid w:val="009C76A0"/>
    <w:rsid w:val="009C7997"/>
    <w:rsid w:val="009C7A6C"/>
    <w:rsid w:val="009C7AE4"/>
    <w:rsid w:val="009C7C06"/>
    <w:rsid w:val="009C7C0D"/>
    <w:rsid w:val="009C7C47"/>
    <w:rsid w:val="009C7CF8"/>
    <w:rsid w:val="009C7D4C"/>
    <w:rsid w:val="009C7D65"/>
    <w:rsid w:val="009C7E91"/>
    <w:rsid w:val="009C7F7C"/>
    <w:rsid w:val="009D018C"/>
    <w:rsid w:val="009D0236"/>
    <w:rsid w:val="009D023D"/>
    <w:rsid w:val="009D0296"/>
    <w:rsid w:val="009D04E4"/>
    <w:rsid w:val="009D056E"/>
    <w:rsid w:val="009D0624"/>
    <w:rsid w:val="009D070E"/>
    <w:rsid w:val="009D075E"/>
    <w:rsid w:val="009D0AF3"/>
    <w:rsid w:val="009D0AF4"/>
    <w:rsid w:val="009D0C28"/>
    <w:rsid w:val="009D0D70"/>
    <w:rsid w:val="009D0F5F"/>
    <w:rsid w:val="009D125F"/>
    <w:rsid w:val="009D1344"/>
    <w:rsid w:val="009D1485"/>
    <w:rsid w:val="009D15EC"/>
    <w:rsid w:val="009D1621"/>
    <w:rsid w:val="009D162E"/>
    <w:rsid w:val="009D16C3"/>
    <w:rsid w:val="009D1754"/>
    <w:rsid w:val="009D17F2"/>
    <w:rsid w:val="009D180E"/>
    <w:rsid w:val="009D1861"/>
    <w:rsid w:val="009D18A8"/>
    <w:rsid w:val="009D19F0"/>
    <w:rsid w:val="009D1A9B"/>
    <w:rsid w:val="009D1AB8"/>
    <w:rsid w:val="009D1FAD"/>
    <w:rsid w:val="009D2039"/>
    <w:rsid w:val="009D209C"/>
    <w:rsid w:val="009D21D0"/>
    <w:rsid w:val="009D2242"/>
    <w:rsid w:val="009D2344"/>
    <w:rsid w:val="009D23BC"/>
    <w:rsid w:val="009D240E"/>
    <w:rsid w:val="009D254E"/>
    <w:rsid w:val="009D256E"/>
    <w:rsid w:val="009D282B"/>
    <w:rsid w:val="009D2842"/>
    <w:rsid w:val="009D2889"/>
    <w:rsid w:val="009D2A5A"/>
    <w:rsid w:val="009D2AD0"/>
    <w:rsid w:val="009D2BF3"/>
    <w:rsid w:val="009D2BFE"/>
    <w:rsid w:val="009D2D66"/>
    <w:rsid w:val="009D2E8E"/>
    <w:rsid w:val="009D2F58"/>
    <w:rsid w:val="009D30B8"/>
    <w:rsid w:val="009D30EC"/>
    <w:rsid w:val="009D3291"/>
    <w:rsid w:val="009D330E"/>
    <w:rsid w:val="009D336D"/>
    <w:rsid w:val="009D344C"/>
    <w:rsid w:val="009D349C"/>
    <w:rsid w:val="009D360B"/>
    <w:rsid w:val="009D363F"/>
    <w:rsid w:val="009D3649"/>
    <w:rsid w:val="009D3684"/>
    <w:rsid w:val="009D3711"/>
    <w:rsid w:val="009D3774"/>
    <w:rsid w:val="009D385E"/>
    <w:rsid w:val="009D3953"/>
    <w:rsid w:val="009D3984"/>
    <w:rsid w:val="009D39A4"/>
    <w:rsid w:val="009D3CB0"/>
    <w:rsid w:val="009D3D32"/>
    <w:rsid w:val="009D3DB7"/>
    <w:rsid w:val="009D3DC8"/>
    <w:rsid w:val="009D4256"/>
    <w:rsid w:val="009D4291"/>
    <w:rsid w:val="009D42A2"/>
    <w:rsid w:val="009D42CE"/>
    <w:rsid w:val="009D42E5"/>
    <w:rsid w:val="009D4300"/>
    <w:rsid w:val="009D492F"/>
    <w:rsid w:val="009D4A1F"/>
    <w:rsid w:val="009D4B78"/>
    <w:rsid w:val="009D4C0D"/>
    <w:rsid w:val="009D4D4D"/>
    <w:rsid w:val="009D4EFF"/>
    <w:rsid w:val="009D51E5"/>
    <w:rsid w:val="009D5382"/>
    <w:rsid w:val="009D5428"/>
    <w:rsid w:val="009D545A"/>
    <w:rsid w:val="009D56A9"/>
    <w:rsid w:val="009D571F"/>
    <w:rsid w:val="009D5C6D"/>
    <w:rsid w:val="009D5C9A"/>
    <w:rsid w:val="009D5D92"/>
    <w:rsid w:val="009D5ED7"/>
    <w:rsid w:val="009D5EE5"/>
    <w:rsid w:val="009D5F31"/>
    <w:rsid w:val="009D6017"/>
    <w:rsid w:val="009D6090"/>
    <w:rsid w:val="009D610C"/>
    <w:rsid w:val="009D61D6"/>
    <w:rsid w:val="009D61E7"/>
    <w:rsid w:val="009D6254"/>
    <w:rsid w:val="009D6429"/>
    <w:rsid w:val="009D6639"/>
    <w:rsid w:val="009D6826"/>
    <w:rsid w:val="009D6884"/>
    <w:rsid w:val="009D69B1"/>
    <w:rsid w:val="009D6A8A"/>
    <w:rsid w:val="009D6BD2"/>
    <w:rsid w:val="009D6D50"/>
    <w:rsid w:val="009D6D6A"/>
    <w:rsid w:val="009D6E4A"/>
    <w:rsid w:val="009D709C"/>
    <w:rsid w:val="009D7150"/>
    <w:rsid w:val="009D71E7"/>
    <w:rsid w:val="009D7848"/>
    <w:rsid w:val="009D7A75"/>
    <w:rsid w:val="009D7A8C"/>
    <w:rsid w:val="009D7CEB"/>
    <w:rsid w:val="009D7D76"/>
    <w:rsid w:val="009D7D97"/>
    <w:rsid w:val="009E021F"/>
    <w:rsid w:val="009E024F"/>
    <w:rsid w:val="009E0395"/>
    <w:rsid w:val="009E08FA"/>
    <w:rsid w:val="009E09B5"/>
    <w:rsid w:val="009E0AEF"/>
    <w:rsid w:val="009E0BBD"/>
    <w:rsid w:val="009E0D8A"/>
    <w:rsid w:val="009E0F8C"/>
    <w:rsid w:val="009E0FD8"/>
    <w:rsid w:val="009E11EC"/>
    <w:rsid w:val="009E1225"/>
    <w:rsid w:val="009E12DC"/>
    <w:rsid w:val="009E1342"/>
    <w:rsid w:val="009E14EC"/>
    <w:rsid w:val="009E1672"/>
    <w:rsid w:val="009E169B"/>
    <w:rsid w:val="009E17D3"/>
    <w:rsid w:val="009E1858"/>
    <w:rsid w:val="009E1D88"/>
    <w:rsid w:val="009E1E29"/>
    <w:rsid w:val="009E1FB6"/>
    <w:rsid w:val="009E2090"/>
    <w:rsid w:val="009E2319"/>
    <w:rsid w:val="009E235B"/>
    <w:rsid w:val="009E2389"/>
    <w:rsid w:val="009E2620"/>
    <w:rsid w:val="009E2756"/>
    <w:rsid w:val="009E279A"/>
    <w:rsid w:val="009E2926"/>
    <w:rsid w:val="009E294D"/>
    <w:rsid w:val="009E29E6"/>
    <w:rsid w:val="009E2A67"/>
    <w:rsid w:val="009E2AEE"/>
    <w:rsid w:val="009E2B82"/>
    <w:rsid w:val="009E2CA3"/>
    <w:rsid w:val="009E2CBA"/>
    <w:rsid w:val="009E2E10"/>
    <w:rsid w:val="009E2E59"/>
    <w:rsid w:val="009E2F96"/>
    <w:rsid w:val="009E2F99"/>
    <w:rsid w:val="009E32B9"/>
    <w:rsid w:val="009E331C"/>
    <w:rsid w:val="009E363F"/>
    <w:rsid w:val="009E3648"/>
    <w:rsid w:val="009E372C"/>
    <w:rsid w:val="009E3880"/>
    <w:rsid w:val="009E38EA"/>
    <w:rsid w:val="009E392B"/>
    <w:rsid w:val="009E39C4"/>
    <w:rsid w:val="009E3C08"/>
    <w:rsid w:val="009E3F31"/>
    <w:rsid w:val="009E3F72"/>
    <w:rsid w:val="009E4037"/>
    <w:rsid w:val="009E4211"/>
    <w:rsid w:val="009E449D"/>
    <w:rsid w:val="009E4553"/>
    <w:rsid w:val="009E45CD"/>
    <w:rsid w:val="009E4621"/>
    <w:rsid w:val="009E481F"/>
    <w:rsid w:val="009E4B36"/>
    <w:rsid w:val="009E4D77"/>
    <w:rsid w:val="009E4E8C"/>
    <w:rsid w:val="009E4EBB"/>
    <w:rsid w:val="009E4F21"/>
    <w:rsid w:val="009E5008"/>
    <w:rsid w:val="009E524F"/>
    <w:rsid w:val="009E535F"/>
    <w:rsid w:val="009E5447"/>
    <w:rsid w:val="009E56C8"/>
    <w:rsid w:val="009E5747"/>
    <w:rsid w:val="009E5891"/>
    <w:rsid w:val="009E5981"/>
    <w:rsid w:val="009E5BB7"/>
    <w:rsid w:val="009E5C17"/>
    <w:rsid w:val="009E5D5F"/>
    <w:rsid w:val="009E5EB1"/>
    <w:rsid w:val="009E61A2"/>
    <w:rsid w:val="009E61CE"/>
    <w:rsid w:val="009E624E"/>
    <w:rsid w:val="009E63AD"/>
    <w:rsid w:val="009E6555"/>
    <w:rsid w:val="009E65B9"/>
    <w:rsid w:val="009E66B2"/>
    <w:rsid w:val="009E6944"/>
    <w:rsid w:val="009E6A22"/>
    <w:rsid w:val="009E6A3F"/>
    <w:rsid w:val="009E6B01"/>
    <w:rsid w:val="009E6C1E"/>
    <w:rsid w:val="009E6DB6"/>
    <w:rsid w:val="009E6DD4"/>
    <w:rsid w:val="009E6ECF"/>
    <w:rsid w:val="009E6F20"/>
    <w:rsid w:val="009E7167"/>
    <w:rsid w:val="009E72A7"/>
    <w:rsid w:val="009E743F"/>
    <w:rsid w:val="009E74CE"/>
    <w:rsid w:val="009E75DE"/>
    <w:rsid w:val="009E7726"/>
    <w:rsid w:val="009E77E8"/>
    <w:rsid w:val="009E7876"/>
    <w:rsid w:val="009E7A81"/>
    <w:rsid w:val="009F00A4"/>
    <w:rsid w:val="009F0130"/>
    <w:rsid w:val="009F0161"/>
    <w:rsid w:val="009F02F3"/>
    <w:rsid w:val="009F04A1"/>
    <w:rsid w:val="009F052A"/>
    <w:rsid w:val="009F05FA"/>
    <w:rsid w:val="009F0694"/>
    <w:rsid w:val="009F06B3"/>
    <w:rsid w:val="009F09C4"/>
    <w:rsid w:val="009F0BCA"/>
    <w:rsid w:val="009F0C03"/>
    <w:rsid w:val="009F0EE4"/>
    <w:rsid w:val="009F0F69"/>
    <w:rsid w:val="009F105F"/>
    <w:rsid w:val="009F12C9"/>
    <w:rsid w:val="009F12FF"/>
    <w:rsid w:val="009F1336"/>
    <w:rsid w:val="009F145C"/>
    <w:rsid w:val="009F153F"/>
    <w:rsid w:val="009F184C"/>
    <w:rsid w:val="009F1A75"/>
    <w:rsid w:val="009F1BD8"/>
    <w:rsid w:val="009F1C36"/>
    <w:rsid w:val="009F1C77"/>
    <w:rsid w:val="009F1E71"/>
    <w:rsid w:val="009F2093"/>
    <w:rsid w:val="009F20DD"/>
    <w:rsid w:val="009F218A"/>
    <w:rsid w:val="009F235B"/>
    <w:rsid w:val="009F239D"/>
    <w:rsid w:val="009F247B"/>
    <w:rsid w:val="009F24A4"/>
    <w:rsid w:val="009F25F0"/>
    <w:rsid w:val="009F2902"/>
    <w:rsid w:val="009F2BC8"/>
    <w:rsid w:val="009F2E20"/>
    <w:rsid w:val="009F2E79"/>
    <w:rsid w:val="009F2F05"/>
    <w:rsid w:val="009F2F08"/>
    <w:rsid w:val="009F2F77"/>
    <w:rsid w:val="009F306C"/>
    <w:rsid w:val="009F3214"/>
    <w:rsid w:val="009F328F"/>
    <w:rsid w:val="009F32AD"/>
    <w:rsid w:val="009F3336"/>
    <w:rsid w:val="009F38DC"/>
    <w:rsid w:val="009F3969"/>
    <w:rsid w:val="009F3A2B"/>
    <w:rsid w:val="009F3D3C"/>
    <w:rsid w:val="009F3E38"/>
    <w:rsid w:val="009F3F44"/>
    <w:rsid w:val="009F403F"/>
    <w:rsid w:val="009F405C"/>
    <w:rsid w:val="009F41E8"/>
    <w:rsid w:val="009F4280"/>
    <w:rsid w:val="009F42A4"/>
    <w:rsid w:val="009F42E6"/>
    <w:rsid w:val="009F4474"/>
    <w:rsid w:val="009F45F9"/>
    <w:rsid w:val="009F4753"/>
    <w:rsid w:val="009F48EC"/>
    <w:rsid w:val="009F499E"/>
    <w:rsid w:val="009F4B7C"/>
    <w:rsid w:val="009F4B83"/>
    <w:rsid w:val="009F4CA4"/>
    <w:rsid w:val="009F4D4A"/>
    <w:rsid w:val="009F4D94"/>
    <w:rsid w:val="009F4DAC"/>
    <w:rsid w:val="009F4F50"/>
    <w:rsid w:val="009F5308"/>
    <w:rsid w:val="009F5518"/>
    <w:rsid w:val="009F552F"/>
    <w:rsid w:val="009F561C"/>
    <w:rsid w:val="009F57C6"/>
    <w:rsid w:val="009F5816"/>
    <w:rsid w:val="009F5827"/>
    <w:rsid w:val="009F595C"/>
    <w:rsid w:val="009F59E3"/>
    <w:rsid w:val="009F5DB2"/>
    <w:rsid w:val="009F5DB3"/>
    <w:rsid w:val="009F5E9F"/>
    <w:rsid w:val="009F5F0D"/>
    <w:rsid w:val="009F6029"/>
    <w:rsid w:val="009F61D9"/>
    <w:rsid w:val="009F6471"/>
    <w:rsid w:val="009F66CF"/>
    <w:rsid w:val="009F691D"/>
    <w:rsid w:val="009F6968"/>
    <w:rsid w:val="009F69E6"/>
    <w:rsid w:val="009F6A37"/>
    <w:rsid w:val="009F6BE6"/>
    <w:rsid w:val="009F6C34"/>
    <w:rsid w:val="009F6CA5"/>
    <w:rsid w:val="009F6CEA"/>
    <w:rsid w:val="009F6D67"/>
    <w:rsid w:val="009F6F75"/>
    <w:rsid w:val="009F70E0"/>
    <w:rsid w:val="009F70EB"/>
    <w:rsid w:val="009F7112"/>
    <w:rsid w:val="009F72C7"/>
    <w:rsid w:val="009F72E9"/>
    <w:rsid w:val="009F74CB"/>
    <w:rsid w:val="009F7569"/>
    <w:rsid w:val="009F75A4"/>
    <w:rsid w:val="009F77D6"/>
    <w:rsid w:val="009F77E2"/>
    <w:rsid w:val="009F7805"/>
    <w:rsid w:val="009F78B6"/>
    <w:rsid w:val="009F7967"/>
    <w:rsid w:val="009F79CA"/>
    <w:rsid w:val="009F79F2"/>
    <w:rsid w:val="009F7A03"/>
    <w:rsid w:val="009F7BD2"/>
    <w:rsid w:val="009F7E1E"/>
    <w:rsid w:val="009F7FA4"/>
    <w:rsid w:val="00A00055"/>
    <w:rsid w:val="00A001E4"/>
    <w:rsid w:val="00A0021F"/>
    <w:rsid w:val="00A002A1"/>
    <w:rsid w:val="00A0040B"/>
    <w:rsid w:val="00A006EE"/>
    <w:rsid w:val="00A00718"/>
    <w:rsid w:val="00A007C0"/>
    <w:rsid w:val="00A007EA"/>
    <w:rsid w:val="00A0093A"/>
    <w:rsid w:val="00A00AAD"/>
    <w:rsid w:val="00A00D8A"/>
    <w:rsid w:val="00A00ECF"/>
    <w:rsid w:val="00A00F0F"/>
    <w:rsid w:val="00A00FAE"/>
    <w:rsid w:val="00A01417"/>
    <w:rsid w:val="00A01432"/>
    <w:rsid w:val="00A0158F"/>
    <w:rsid w:val="00A01764"/>
    <w:rsid w:val="00A01825"/>
    <w:rsid w:val="00A01B8D"/>
    <w:rsid w:val="00A01BF0"/>
    <w:rsid w:val="00A01C04"/>
    <w:rsid w:val="00A01C92"/>
    <w:rsid w:val="00A01CA5"/>
    <w:rsid w:val="00A01CE6"/>
    <w:rsid w:val="00A01D7E"/>
    <w:rsid w:val="00A01DCF"/>
    <w:rsid w:val="00A01E2B"/>
    <w:rsid w:val="00A01F24"/>
    <w:rsid w:val="00A02016"/>
    <w:rsid w:val="00A0204E"/>
    <w:rsid w:val="00A021D6"/>
    <w:rsid w:val="00A021F8"/>
    <w:rsid w:val="00A02509"/>
    <w:rsid w:val="00A025E2"/>
    <w:rsid w:val="00A0262A"/>
    <w:rsid w:val="00A02676"/>
    <w:rsid w:val="00A029D1"/>
    <w:rsid w:val="00A029F4"/>
    <w:rsid w:val="00A029F6"/>
    <w:rsid w:val="00A02ADD"/>
    <w:rsid w:val="00A02AF8"/>
    <w:rsid w:val="00A02C22"/>
    <w:rsid w:val="00A02C3A"/>
    <w:rsid w:val="00A02DE1"/>
    <w:rsid w:val="00A02F88"/>
    <w:rsid w:val="00A030CD"/>
    <w:rsid w:val="00A0319B"/>
    <w:rsid w:val="00A0321C"/>
    <w:rsid w:val="00A0329B"/>
    <w:rsid w:val="00A033E7"/>
    <w:rsid w:val="00A03426"/>
    <w:rsid w:val="00A0343D"/>
    <w:rsid w:val="00A0346C"/>
    <w:rsid w:val="00A0355E"/>
    <w:rsid w:val="00A035DA"/>
    <w:rsid w:val="00A035FC"/>
    <w:rsid w:val="00A03617"/>
    <w:rsid w:val="00A038E4"/>
    <w:rsid w:val="00A03A10"/>
    <w:rsid w:val="00A03B2F"/>
    <w:rsid w:val="00A03BA6"/>
    <w:rsid w:val="00A03CC0"/>
    <w:rsid w:val="00A03E74"/>
    <w:rsid w:val="00A03E7C"/>
    <w:rsid w:val="00A03F30"/>
    <w:rsid w:val="00A03F97"/>
    <w:rsid w:val="00A03FAA"/>
    <w:rsid w:val="00A03FB9"/>
    <w:rsid w:val="00A0429D"/>
    <w:rsid w:val="00A04445"/>
    <w:rsid w:val="00A04571"/>
    <w:rsid w:val="00A04654"/>
    <w:rsid w:val="00A04679"/>
    <w:rsid w:val="00A046AC"/>
    <w:rsid w:val="00A04826"/>
    <w:rsid w:val="00A0482B"/>
    <w:rsid w:val="00A04A29"/>
    <w:rsid w:val="00A04B14"/>
    <w:rsid w:val="00A04B1E"/>
    <w:rsid w:val="00A04B9F"/>
    <w:rsid w:val="00A04F09"/>
    <w:rsid w:val="00A04FDE"/>
    <w:rsid w:val="00A0503E"/>
    <w:rsid w:val="00A050A3"/>
    <w:rsid w:val="00A0512B"/>
    <w:rsid w:val="00A05202"/>
    <w:rsid w:val="00A05378"/>
    <w:rsid w:val="00A0542C"/>
    <w:rsid w:val="00A05447"/>
    <w:rsid w:val="00A054BD"/>
    <w:rsid w:val="00A05660"/>
    <w:rsid w:val="00A057FA"/>
    <w:rsid w:val="00A058F1"/>
    <w:rsid w:val="00A0591D"/>
    <w:rsid w:val="00A05959"/>
    <w:rsid w:val="00A05A24"/>
    <w:rsid w:val="00A05A50"/>
    <w:rsid w:val="00A05ABD"/>
    <w:rsid w:val="00A05B5F"/>
    <w:rsid w:val="00A05BE4"/>
    <w:rsid w:val="00A05D8C"/>
    <w:rsid w:val="00A05E71"/>
    <w:rsid w:val="00A0612F"/>
    <w:rsid w:val="00A0613A"/>
    <w:rsid w:val="00A062E1"/>
    <w:rsid w:val="00A06376"/>
    <w:rsid w:val="00A067EA"/>
    <w:rsid w:val="00A06807"/>
    <w:rsid w:val="00A0684C"/>
    <w:rsid w:val="00A068B9"/>
    <w:rsid w:val="00A068E3"/>
    <w:rsid w:val="00A06979"/>
    <w:rsid w:val="00A06A35"/>
    <w:rsid w:val="00A06AC8"/>
    <w:rsid w:val="00A06AD0"/>
    <w:rsid w:val="00A06B03"/>
    <w:rsid w:val="00A06D13"/>
    <w:rsid w:val="00A06DA8"/>
    <w:rsid w:val="00A06E39"/>
    <w:rsid w:val="00A06E54"/>
    <w:rsid w:val="00A06F49"/>
    <w:rsid w:val="00A0760A"/>
    <w:rsid w:val="00A07827"/>
    <w:rsid w:val="00A078B4"/>
    <w:rsid w:val="00A07A59"/>
    <w:rsid w:val="00A07AAF"/>
    <w:rsid w:val="00A07B60"/>
    <w:rsid w:val="00A07CEE"/>
    <w:rsid w:val="00A07EEF"/>
    <w:rsid w:val="00A07FD8"/>
    <w:rsid w:val="00A07FDB"/>
    <w:rsid w:val="00A1012A"/>
    <w:rsid w:val="00A101F7"/>
    <w:rsid w:val="00A10246"/>
    <w:rsid w:val="00A102EE"/>
    <w:rsid w:val="00A10695"/>
    <w:rsid w:val="00A1073F"/>
    <w:rsid w:val="00A10854"/>
    <w:rsid w:val="00A108E5"/>
    <w:rsid w:val="00A10AEC"/>
    <w:rsid w:val="00A10B2D"/>
    <w:rsid w:val="00A10B73"/>
    <w:rsid w:val="00A10B75"/>
    <w:rsid w:val="00A110A5"/>
    <w:rsid w:val="00A11118"/>
    <w:rsid w:val="00A1112A"/>
    <w:rsid w:val="00A111CB"/>
    <w:rsid w:val="00A111F7"/>
    <w:rsid w:val="00A1123A"/>
    <w:rsid w:val="00A112A1"/>
    <w:rsid w:val="00A112ED"/>
    <w:rsid w:val="00A11302"/>
    <w:rsid w:val="00A1133F"/>
    <w:rsid w:val="00A11720"/>
    <w:rsid w:val="00A11790"/>
    <w:rsid w:val="00A1187B"/>
    <w:rsid w:val="00A11902"/>
    <w:rsid w:val="00A11A0A"/>
    <w:rsid w:val="00A11B40"/>
    <w:rsid w:val="00A11BB9"/>
    <w:rsid w:val="00A11C96"/>
    <w:rsid w:val="00A11D8B"/>
    <w:rsid w:val="00A11DEA"/>
    <w:rsid w:val="00A11E3D"/>
    <w:rsid w:val="00A1205F"/>
    <w:rsid w:val="00A12088"/>
    <w:rsid w:val="00A12181"/>
    <w:rsid w:val="00A12233"/>
    <w:rsid w:val="00A12289"/>
    <w:rsid w:val="00A1236B"/>
    <w:rsid w:val="00A1250E"/>
    <w:rsid w:val="00A12713"/>
    <w:rsid w:val="00A12B7B"/>
    <w:rsid w:val="00A13007"/>
    <w:rsid w:val="00A13038"/>
    <w:rsid w:val="00A130E5"/>
    <w:rsid w:val="00A13193"/>
    <w:rsid w:val="00A13272"/>
    <w:rsid w:val="00A13277"/>
    <w:rsid w:val="00A1369F"/>
    <w:rsid w:val="00A136C6"/>
    <w:rsid w:val="00A13760"/>
    <w:rsid w:val="00A138AB"/>
    <w:rsid w:val="00A139E3"/>
    <w:rsid w:val="00A13A8D"/>
    <w:rsid w:val="00A13A93"/>
    <w:rsid w:val="00A13C58"/>
    <w:rsid w:val="00A13CE8"/>
    <w:rsid w:val="00A13E2B"/>
    <w:rsid w:val="00A141C4"/>
    <w:rsid w:val="00A143DB"/>
    <w:rsid w:val="00A1442F"/>
    <w:rsid w:val="00A14552"/>
    <w:rsid w:val="00A14629"/>
    <w:rsid w:val="00A14636"/>
    <w:rsid w:val="00A14659"/>
    <w:rsid w:val="00A146DF"/>
    <w:rsid w:val="00A146F0"/>
    <w:rsid w:val="00A149F7"/>
    <w:rsid w:val="00A14A7C"/>
    <w:rsid w:val="00A14B33"/>
    <w:rsid w:val="00A14D99"/>
    <w:rsid w:val="00A152E0"/>
    <w:rsid w:val="00A1538D"/>
    <w:rsid w:val="00A1544F"/>
    <w:rsid w:val="00A15547"/>
    <w:rsid w:val="00A155FA"/>
    <w:rsid w:val="00A15772"/>
    <w:rsid w:val="00A157E5"/>
    <w:rsid w:val="00A15B7D"/>
    <w:rsid w:val="00A15D73"/>
    <w:rsid w:val="00A15EC6"/>
    <w:rsid w:val="00A15F37"/>
    <w:rsid w:val="00A1654F"/>
    <w:rsid w:val="00A1673E"/>
    <w:rsid w:val="00A16748"/>
    <w:rsid w:val="00A16777"/>
    <w:rsid w:val="00A16786"/>
    <w:rsid w:val="00A168BB"/>
    <w:rsid w:val="00A16E1F"/>
    <w:rsid w:val="00A16E2D"/>
    <w:rsid w:val="00A17111"/>
    <w:rsid w:val="00A171FB"/>
    <w:rsid w:val="00A172A5"/>
    <w:rsid w:val="00A17308"/>
    <w:rsid w:val="00A17397"/>
    <w:rsid w:val="00A17460"/>
    <w:rsid w:val="00A1755F"/>
    <w:rsid w:val="00A1775E"/>
    <w:rsid w:val="00A177A4"/>
    <w:rsid w:val="00A17842"/>
    <w:rsid w:val="00A17A0F"/>
    <w:rsid w:val="00A17A36"/>
    <w:rsid w:val="00A17A71"/>
    <w:rsid w:val="00A17C4B"/>
    <w:rsid w:val="00A17F9E"/>
    <w:rsid w:val="00A20071"/>
    <w:rsid w:val="00A20091"/>
    <w:rsid w:val="00A20155"/>
    <w:rsid w:val="00A2038B"/>
    <w:rsid w:val="00A2057B"/>
    <w:rsid w:val="00A2069A"/>
    <w:rsid w:val="00A207A4"/>
    <w:rsid w:val="00A207D9"/>
    <w:rsid w:val="00A208EA"/>
    <w:rsid w:val="00A209CF"/>
    <w:rsid w:val="00A20C04"/>
    <w:rsid w:val="00A20C97"/>
    <w:rsid w:val="00A20F4A"/>
    <w:rsid w:val="00A210F7"/>
    <w:rsid w:val="00A21230"/>
    <w:rsid w:val="00A21327"/>
    <w:rsid w:val="00A21482"/>
    <w:rsid w:val="00A21528"/>
    <w:rsid w:val="00A21654"/>
    <w:rsid w:val="00A216A5"/>
    <w:rsid w:val="00A217C6"/>
    <w:rsid w:val="00A219B2"/>
    <w:rsid w:val="00A219F4"/>
    <w:rsid w:val="00A219F8"/>
    <w:rsid w:val="00A21A83"/>
    <w:rsid w:val="00A21C11"/>
    <w:rsid w:val="00A21CFA"/>
    <w:rsid w:val="00A21E28"/>
    <w:rsid w:val="00A21E87"/>
    <w:rsid w:val="00A21F61"/>
    <w:rsid w:val="00A21FEA"/>
    <w:rsid w:val="00A220F3"/>
    <w:rsid w:val="00A221D2"/>
    <w:rsid w:val="00A222BF"/>
    <w:rsid w:val="00A222DC"/>
    <w:rsid w:val="00A22370"/>
    <w:rsid w:val="00A2240F"/>
    <w:rsid w:val="00A224B1"/>
    <w:rsid w:val="00A22546"/>
    <w:rsid w:val="00A22582"/>
    <w:rsid w:val="00A225B5"/>
    <w:rsid w:val="00A22653"/>
    <w:rsid w:val="00A22746"/>
    <w:rsid w:val="00A227A9"/>
    <w:rsid w:val="00A229AD"/>
    <w:rsid w:val="00A22D14"/>
    <w:rsid w:val="00A22D89"/>
    <w:rsid w:val="00A22F0F"/>
    <w:rsid w:val="00A22FAF"/>
    <w:rsid w:val="00A22FEA"/>
    <w:rsid w:val="00A23019"/>
    <w:rsid w:val="00A230E7"/>
    <w:rsid w:val="00A23288"/>
    <w:rsid w:val="00A233DB"/>
    <w:rsid w:val="00A235FF"/>
    <w:rsid w:val="00A236AA"/>
    <w:rsid w:val="00A237F9"/>
    <w:rsid w:val="00A239E9"/>
    <w:rsid w:val="00A23AF1"/>
    <w:rsid w:val="00A23B76"/>
    <w:rsid w:val="00A23BF9"/>
    <w:rsid w:val="00A23CC2"/>
    <w:rsid w:val="00A23D0A"/>
    <w:rsid w:val="00A23DB7"/>
    <w:rsid w:val="00A23E3B"/>
    <w:rsid w:val="00A23E4C"/>
    <w:rsid w:val="00A24055"/>
    <w:rsid w:val="00A243D9"/>
    <w:rsid w:val="00A24499"/>
    <w:rsid w:val="00A245A6"/>
    <w:rsid w:val="00A245E5"/>
    <w:rsid w:val="00A246BF"/>
    <w:rsid w:val="00A246D9"/>
    <w:rsid w:val="00A249FB"/>
    <w:rsid w:val="00A24A2A"/>
    <w:rsid w:val="00A24AA7"/>
    <w:rsid w:val="00A24B72"/>
    <w:rsid w:val="00A24CBE"/>
    <w:rsid w:val="00A24CEA"/>
    <w:rsid w:val="00A24E86"/>
    <w:rsid w:val="00A24ED7"/>
    <w:rsid w:val="00A24F5C"/>
    <w:rsid w:val="00A2547E"/>
    <w:rsid w:val="00A2550B"/>
    <w:rsid w:val="00A25523"/>
    <w:rsid w:val="00A2561B"/>
    <w:rsid w:val="00A25621"/>
    <w:rsid w:val="00A256E4"/>
    <w:rsid w:val="00A25800"/>
    <w:rsid w:val="00A258BB"/>
    <w:rsid w:val="00A25A2A"/>
    <w:rsid w:val="00A25C00"/>
    <w:rsid w:val="00A25C6C"/>
    <w:rsid w:val="00A25F23"/>
    <w:rsid w:val="00A261A4"/>
    <w:rsid w:val="00A26323"/>
    <w:rsid w:val="00A26508"/>
    <w:rsid w:val="00A2659D"/>
    <w:rsid w:val="00A2689D"/>
    <w:rsid w:val="00A26AC4"/>
    <w:rsid w:val="00A26B2E"/>
    <w:rsid w:val="00A26CC0"/>
    <w:rsid w:val="00A26CC8"/>
    <w:rsid w:val="00A26E9E"/>
    <w:rsid w:val="00A2727B"/>
    <w:rsid w:val="00A272D1"/>
    <w:rsid w:val="00A273F9"/>
    <w:rsid w:val="00A27516"/>
    <w:rsid w:val="00A275CF"/>
    <w:rsid w:val="00A275F5"/>
    <w:rsid w:val="00A27870"/>
    <w:rsid w:val="00A279F7"/>
    <w:rsid w:val="00A27AFB"/>
    <w:rsid w:val="00A27B94"/>
    <w:rsid w:val="00A27C4F"/>
    <w:rsid w:val="00A27CEB"/>
    <w:rsid w:val="00A27D0D"/>
    <w:rsid w:val="00A27E68"/>
    <w:rsid w:val="00A27F8A"/>
    <w:rsid w:val="00A30159"/>
    <w:rsid w:val="00A301B6"/>
    <w:rsid w:val="00A301F7"/>
    <w:rsid w:val="00A3020B"/>
    <w:rsid w:val="00A30412"/>
    <w:rsid w:val="00A30555"/>
    <w:rsid w:val="00A30653"/>
    <w:rsid w:val="00A3065E"/>
    <w:rsid w:val="00A3086A"/>
    <w:rsid w:val="00A308C2"/>
    <w:rsid w:val="00A30978"/>
    <w:rsid w:val="00A309C2"/>
    <w:rsid w:val="00A30A82"/>
    <w:rsid w:val="00A30A83"/>
    <w:rsid w:val="00A30B4B"/>
    <w:rsid w:val="00A30C04"/>
    <w:rsid w:val="00A30CBD"/>
    <w:rsid w:val="00A30E89"/>
    <w:rsid w:val="00A30EAE"/>
    <w:rsid w:val="00A31083"/>
    <w:rsid w:val="00A310D7"/>
    <w:rsid w:val="00A31230"/>
    <w:rsid w:val="00A3149D"/>
    <w:rsid w:val="00A315E0"/>
    <w:rsid w:val="00A3173B"/>
    <w:rsid w:val="00A31881"/>
    <w:rsid w:val="00A31902"/>
    <w:rsid w:val="00A31BF3"/>
    <w:rsid w:val="00A31C2D"/>
    <w:rsid w:val="00A31C66"/>
    <w:rsid w:val="00A31CB6"/>
    <w:rsid w:val="00A31D46"/>
    <w:rsid w:val="00A31DE1"/>
    <w:rsid w:val="00A32093"/>
    <w:rsid w:val="00A32483"/>
    <w:rsid w:val="00A325B0"/>
    <w:rsid w:val="00A327C0"/>
    <w:rsid w:val="00A32CD9"/>
    <w:rsid w:val="00A32CE5"/>
    <w:rsid w:val="00A32D1E"/>
    <w:rsid w:val="00A32E63"/>
    <w:rsid w:val="00A32F7D"/>
    <w:rsid w:val="00A32FAD"/>
    <w:rsid w:val="00A33019"/>
    <w:rsid w:val="00A33033"/>
    <w:rsid w:val="00A330A0"/>
    <w:rsid w:val="00A330E5"/>
    <w:rsid w:val="00A3316A"/>
    <w:rsid w:val="00A3329A"/>
    <w:rsid w:val="00A3339A"/>
    <w:rsid w:val="00A333C9"/>
    <w:rsid w:val="00A334B9"/>
    <w:rsid w:val="00A33619"/>
    <w:rsid w:val="00A33734"/>
    <w:rsid w:val="00A33785"/>
    <w:rsid w:val="00A3381D"/>
    <w:rsid w:val="00A339A2"/>
    <w:rsid w:val="00A33A08"/>
    <w:rsid w:val="00A33AD4"/>
    <w:rsid w:val="00A33E28"/>
    <w:rsid w:val="00A33E64"/>
    <w:rsid w:val="00A33ED8"/>
    <w:rsid w:val="00A33F20"/>
    <w:rsid w:val="00A33F57"/>
    <w:rsid w:val="00A3412C"/>
    <w:rsid w:val="00A344E6"/>
    <w:rsid w:val="00A347B6"/>
    <w:rsid w:val="00A34847"/>
    <w:rsid w:val="00A34998"/>
    <w:rsid w:val="00A34ABA"/>
    <w:rsid w:val="00A34C05"/>
    <w:rsid w:val="00A34C8D"/>
    <w:rsid w:val="00A34D69"/>
    <w:rsid w:val="00A3514E"/>
    <w:rsid w:val="00A352A5"/>
    <w:rsid w:val="00A353CC"/>
    <w:rsid w:val="00A3566D"/>
    <w:rsid w:val="00A356A8"/>
    <w:rsid w:val="00A35785"/>
    <w:rsid w:val="00A358C8"/>
    <w:rsid w:val="00A35936"/>
    <w:rsid w:val="00A35985"/>
    <w:rsid w:val="00A35A1F"/>
    <w:rsid w:val="00A35D47"/>
    <w:rsid w:val="00A35DF6"/>
    <w:rsid w:val="00A35E1B"/>
    <w:rsid w:val="00A35E2F"/>
    <w:rsid w:val="00A35EAE"/>
    <w:rsid w:val="00A35EC6"/>
    <w:rsid w:val="00A36002"/>
    <w:rsid w:val="00A363F8"/>
    <w:rsid w:val="00A364B3"/>
    <w:rsid w:val="00A36517"/>
    <w:rsid w:val="00A36640"/>
    <w:rsid w:val="00A366D2"/>
    <w:rsid w:val="00A3693F"/>
    <w:rsid w:val="00A36A63"/>
    <w:rsid w:val="00A36C6C"/>
    <w:rsid w:val="00A36CB0"/>
    <w:rsid w:val="00A36F74"/>
    <w:rsid w:val="00A36F82"/>
    <w:rsid w:val="00A37034"/>
    <w:rsid w:val="00A370AF"/>
    <w:rsid w:val="00A370FA"/>
    <w:rsid w:val="00A3730D"/>
    <w:rsid w:val="00A37320"/>
    <w:rsid w:val="00A3733F"/>
    <w:rsid w:val="00A37390"/>
    <w:rsid w:val="00A373F7"/>
    <w:rsid w:val="00A3741F"/>
    <w:rsid w:val="00A374C5"/>
    <w:rsid w:val="00A3757B"/>
    <w:rsid w:val="00A376A6"/>
    <w:rsid w:val="00A37979"/>
    <w:rsid w:val="00A379CA"/>
    <w:rsid w:val="00A37A75"/>
    <w:rsid w:val="00A37C2F"/>
    <w:rsid w:val="00A37DBA"/>
    <w:rsid w:val="00A37DD6"/>
    <w:rsid w:val="00A37E0A"/>
    <w:rsid w:val="00A400D6"/>
    <w:rsid w:val="00A40271"/>
    <w:rsid w:val="00A4033F"/>
    <w:rsid w:val="00A406C3"/>
    <w:rsid w:val="00A4079F"/>
    <w:rsid w:val="00A40828"/>
    <w:rsid w:val="00A40918"/>
    <w:rsid w:val="00A409D9"/>
    <w:rsid w:val="00A409E0"/>
    <w:rsid w:val="00A409FD"/>
    <w:rsid w:val="00A40A1C"/>
    <w:rsid w:val="00A40A7E"/>
    <w:rsid w:val="00A40AEE"/>
    <w:rsid w:val="00A40B7A"/>
    <w:rsid w:val="00A40C64"/>
    <w:rsid w:val="00A40E7C"/>
    <w:rsid w:val="00A40EB7"/>
    <w:rsid w:val="00A40F26"/>
    <w:rsid w:val="00A40F3C"/>
    <w:rsid w:val="00A40F3F"/>
    <w:rsid w:val="00A41092"/>
    <w:rsid w:val="00A410BE"/>
    <w:rsid w:val="00A41136"/>
    <w:rsid w:val="00A412A2"/>
    <w:rsid w:val="00A41679"/>
    <w:rsid w:val="00A41922"/>
    <w:rsid w:val="00A4193D"/>
    <w:rsid w:val="00A419B1"/>
    <w:rsid w:val="00A419D4"/>
    <w:rsid w:val="00A41A58"/>
    <w:rsid w:val="00A41A75"/>
    <w:rsid w:val="00A41B93"/>
    <w:rsid w:val="00A41D5E"/>
    <w:rsid w:val="00A41DB1"/>
    <w:rsid w:val="00A41DE1"/>
    <w:rsid w:val="00A41E13"/>
    <w:rsid w:val="00A41E4B"/>
    <w:rsid w:val="00A41E63"/>
    <w:rsid w:val="00A41FCB"/>
    <w:rsid w:val="00A42145"/>
    <w:rsid w:val="00A425A8"/>
    <w:rsid w:val="00A425B8"/>
    <w:rsid w:val="00A425F7"/>
    <w:rsid w:val="00A425FD"/>
    <w:rsid w:val="00A42656"/>
    <w:rsid w:val="00A42679"/>
    <w:rsid w:val="00A4269B"/>
    <w:rsid w:val="00A427EA"/>
    <w:rsid w:val="00A4289F"/>
    <w:rsid w:val="00A428F3"/>
    <w:rsid w:val="00A4295F"/>
    <w:rsid w:val="00A429CC"/>
    <w:rsid w:val="00A42A84"/>
    <w:rsid w:val="00A42D6A"/>
    <w:rsid w:val="00A4301A"/>
    <w:rsid w:val="00A43068"/>
    <w:rsid w:val="00A43081"/>
    <w:rsid w:val="00A43315"/>
    <w:rsid w:val="00A43414"/>
    <w:rsid w:val="00A4353E"/>
    <w:rsid w:val="00A435FE"/>
    <w:rsid w:val="00A43634"/>
    <w:rsid w:val="00A438CC"/>
    <w:rsid w:val="00A43A56"/>
    <w:rsid w:val="00A43ABB"/>
    <w:rsid w:val="00A43B2A"/>
    <w:rsid w:val="00A43ECF"/>
    <w:rsid w:val="00A43FBA"/>
    <w:rsid w:val="00A44034"/>
    <w:rsid w:val="00A4407E"/>
    <w:rsid w:val="00A44196"/>
    <w:rsid w:val="00A441FB"/>
    <w:rsid w:val="00A442D6"/>
    <w:rsid w:val="00A44456"/>
    <w:rsid w:val="00A44507"/>
    <w:rsid w:val="00A44757"/>
    <w:rsid w:val="00A447C0"/>
    <w:rsid w:val="00A448B7"/>
    <w:rsid w:val="00A44A35"/>
    <w:rsid w:val="00A44A64"/>
    <w:rsid w:val="00A44B05"/>
    <w:rsid w:val="00A44BFE"/>
    <w:rsid w:val="00A44CEE"/>
    <w:rsid w:val="00A44D3F"/>
    <w:rsid w:val="00A4503C"/>
    <w:rsid w:val="00A45307"/>
    <w:rsid w:val="00A4538E"/>
    <w:rsid w:val="00A454AB"/>
    <w:rsid w:val="00A4551C"/>
    <w:rsid w:val="00A4556B"/>
    <w:rsid w:val="00A4564A"/>
    <w:rsid w:val="00A45806"/>
    <w:rsid w:val="00A45A44"/>
    <w:rsid w:val="00A45AEB"/>
    <w:rsid w:val="00A45B7B"/>
    <w:rsid w:val="00A45F5B"/>
    <w:rsid w:val="00A4654B"/>
    <w:rsid w:val="00A4655A"/>
    <w:rsid w:val="00A46657"/>
    <w:rsid w:val="00A46661"/>
    <w:rsid w:val="00A466C7"/>
    <w:rsid w:val="00A46A32"/>
    <w:rsid w:val="00A46D4F"/>
    <w:rsid w:val="00A46FA0"/>
    <w:rsid w:val="00A470CD"/>
    <w:rsid w:val="00A47111"/>
    <w:rsid w:val="00A471AE"/>
    <w:rsid w:val="00A47251"/>
    <w:rsid w:val="00A47293"/>
    <w:rsid w:val="00A474A8"/>
    <w:rsid w:val="00A47533"/>
    <w:rsid w:val="00A4775D"/>
    <w:rsid w:val="00A47896"/>
    <w:rsid w:val="00A478F7"/>
    <w:rsid w:val="00A479FE"/>
    <w:rsid w:val="00A47A37"/>
    <w:rsid w:val="00A47ADD"/>
    <w:rsid w:val="00A47C99"/>
    <w:rsid w:val="00A47EB8"/>
    <w:rsid w:val="00A47FE6"/>
    <w:rsid w:val="00A50027"/>
    <w:rsid w:val="00A5004B"/>
    <w:rsid w:val="00A50116"/>
    <w:rsid w:val="00A5011F"/>
    <w:rsid w:val="00A5035E"/>
    <w:rsid w:val="00A5058D"/>
    <w:rsid w:val="00A5063E"/>
    <w:rsid w:val="00A5074D"/>
    <w:rsid w:val="00A507F4"/>
    <w:rsid w:val="00A50886"/>
    <w:rsid w:val="00A50983"/>
    <w:rsid w:val="00A50CB5"/>
    <w:rsid w:val="00A50E69"/>
    <w:rsid w:val="00A50F4C"/>
    <w:rsid w:val="00A50F8C"/>
    <w:rsid w:val="00A51070"/>
    <w:rsid w:val="00A51196"/>
    <w:rsid w:val="00A5138D"/>
    <w:rsid w:val="00A51895"/>
    <w:rsid w:val="00A518D4"/>
    <w:rsid w:val="00A51A27"/>
    <w:rsid w:val="00A51A34"/>
    <w:rsid w:val="00A51AAE"/>
    <w:rsid w:val="00A51B29"/>
    <w:rsid w:val="00A51B2C"/>
    <w:rsid w:val="00A51FB5"/>
    <w:rsid w:val="00A5200D"/>
    <w:rsid w:val="00A52019"/>
    <w:rsid w:val="00A521FE"/>
    <w:rsid w:val="00A522F6"/>
    <w:rsid w:val="00A5231C"/>
    <w:rsid w:val="00A52486"/>
    <w:rsid w:val="00A5280A"/>
    <w:rsid w:val="00A529A5"/>
    <w:rsid w:val="00A52AC4"/>
    <w:rsid w:val="00A52C54"/>
    <w:rsid w:val="00A52CC0"/>
    <w:rsid w:val="00A52CC6"/>
    <w:rsid w:val="00A52D32"/>
    <w:rsid w:val="00A52F5B"/>
    <w:rsid w:val="00A52F87"/>
    <w:rsid w:val="00A531DC"/>
    <w:rsid w:val="00A5327C"/>
    <w:rsid w:val="00A53284"/>
    <w:rsid w:val="00A53286"/>
    <w:rsid w:val="00A535A1"/>
    <w:rsid w:val="00A5382F"/>
    <w:rsid w:val="00A53987"/>
    <w:rsid w:val="00A53AB5"/>
    <w:rsid w:val="00A53ABA"/>
    <w:rsid w:val="00A53BB3"/>
    <w:rsid w:val="00A53BBC"/>
    <w:rsid w:val="00A53CCA"/>
    <w:rsid w:val="00A53F3E"/>
    <w:rsid w:val="00A54042"/>
    <w:rsid w:val="00A540DC"/>
    <w:rsid w:val="00A542B5"/>
    <w:rsid w:val="00A54362"/>
    <w:rsid w:val="00A54394"/>
    <w:rsid w:val="00A54444"/>
    <w:rsid w:val="00A5448E"/>
    <w:rsid w:val="00A548DD"/>
    <w:rsid w:val="00A548FC"/>
    <w:rsid w:val="00A5492D"/>
    <w:rsid w:val="00A54C1C"/>
    <w:rsid w:val="00A54D76"/>
    <w:rsid w:val="00A54E23"/>
    <w:rsid w:val="00A54E8C"/>
    <w:rsid w:val="00A5505C"/>
    <w:rsid w:val="00A552ED"/>
    <w:rsid w:val="00A555EC"/>
    <w:rsid w:val="00A5565D"/>
    <w:rsid w:val="00A556BD"/>
    <w:rsid w:val="00A5581D"/>
    <w:rsid w:val="00A55A40"/>
    <w:rsid w:val="00A55A6B"/>
    <w:rsid w:val="00A55A93"/>
    <w:rsid w:val="00A55AF5"/>
    <w:rsid w:val="00A55AFA"/>
    <w:rsid w:val="00A55CB8"/>
    <w:rsid w:val="00A55E51"/>
    <w:rsid w:val="00A55EDE"/>
    <w:rsid w:val="00A55F6B"/>
    <w:rsid w:val="00A55FC7"/>
    <w:rsid w:val="00A561E8"/>
    <w:rsid w:val="00A564B0"/>
    <w:rsid w:val="00A565C4"/>
    <w:rsid w:val="00A565FC"/>
    <w:rsid w:val="00A5667E"/>
    <w:rsid w:val="00A56768"/>
    <w:rsid w:val="00A567A1"/>
    <w:rsid w:val="00A567C6"/>
    <w:rsid w:val="00A56806"/>
    <w:rsid w:val="00A56841"/>
    <w:rsid w:val="00A56987"/>
    <w:rsid w:val="00A56A99"/>
    <w:rsid w:val="00A56BA9"/>
    <w:rsid w:val="00A56BD0"/>
    <w:rsid w:val="00A56BE5"/>
    <w:rsid w:val="00A56DBE"/>
    <w:rsid w:val="00A56DC6"/>
    <w:rsid w:val="00A57155"/>
    <w:rsid w:val="00A57483"/>
    <w:rsid w:val="00A5767B"/>
    <w:rsid w:val="00A576A0"/>
    <w:rsid w:val="00A5786B"/>
    <w:rsid w:val="00A57898"/>
    <w:rsid w:val="00A578B4"/>
    <w:rsid w:val="00A57D81"/>
    <w:rsid w:val="00A57DF4"/>
    <w:rsid w:val="00A57EFD"/>
    <w:rsid w:val="00A600C0"/>
    <w:rsid w:val="00A600DE"/>
    <w:rsid w:val="00A60133"/>
    <w:rsid w:val="00A602AC"/>
    <w:rsid w:val="00A6030D"/>
    <w:rsid w:val="00A6035F"/>
    <w:rsid w:val="00A606CD"/>
    <w:rsid w:val="00A6075F"/>
    <w:rsid w:val="00A6076B"/>
    <w:rsid w:val="00A607CB"/>
    <w:rsid w:val="00A60850"/>
    <w:rsid w:val="00A60946"/>
    <w:rsid w:val="00A60A58"/>
    <w:rsid w:val="00A60B58"/>
    <w:rsid w:val="00A60DA8"/>
    <w:rsid w:val="00A60FC7"/>
    <w:rsid w:val="00A612A0"/>
    <w:rsid w:val="00A612A8"/>
    <w:rsid w:val="00A613FC"/>
    <w:rsid w:val="00A61405"/>
    <w:rsid w:val="00A614C9"/>
    <w:rsid w:val="00A614D3"/>
    <w:rsid w:val="00A617D2"/>
    <w:rsid w:val="00A617F9"/>
    <w:rsid w:val="00A61A77"/>
    <w:rsid w:val="00A61B3C"/>
    <w:rsid w:val="00A61B48"/>
    <w:rsid w:val="00A61C80"/>
    <w:rsid w:val="00A61D13"/>
    <w:rsid w:val="00A61D7F"/>
    <w:rsid w:val="00A61EEC"/>
    <w:rsid w:val="00A61F0E"/>
    <w:rsid w:val="00A622A5"/>
    <w:rsid w:val="00A62702"/>
    <w:rsid w:val="00A62809"/>
    <w:rsid w:val="00A6283C"/>
    <w:rsid w:val="00A6283E"/>
    <w:rsid w:val="00A628B0"/>
    <w:rsid w:val="00A6296B"/>
    <w:rsid w:val="00A629DA"/>
    <w:rsid w:val="00A62B60"/>
    <w:rsid w:val="00A62B61"/>
    <w:rsid w:val="00A62BA3"/>
    <w:rsid w:val="00A62CDB"/>
    <w:rsid w:val="00A62E44"/>
    <w:rsid w:val="00A62E63"/>
    <w:rsid w:val="00A63478"/>
    <w:rsid w:val="00A634B3"/>
    <w:rsid w:val="00A6357C"/>
    <w:rsid w:val="00A63625"/>
    <w:rsid w:val="00A636D4"/>
    <w:rsid w:val="00A6384C"/>
    <w:rsid w:val="00A63993"/>
    <w:rsid w:val="00A63AB5"/>
    <w:rsid w:val="00A63AB6"/>
    <w:rsid w:val="00A63B5E"/>
    <w:rsid w:val="00A63E13"/>
    <w:rsid w:val="00A63E18"/>
    <w:rsid w:val="00A63E32"/>
    <w:rsid w:val="00A63F43"/>
    <w:rsid w:val="00A63FCB"/>
    <w:rsid w:val="00A63FE0"/>
    <w:rsid w:val="00A640F6"/>
    <w:rsid w:val="00A64109"/>
    <w:rsid w:val="00A64268"/>
    <w:rsid w:val="00A64340"/>
    <w:rsid w:val="00A64496"/>
    <w:rsid w:val="00A64882"/>
    <w:rsid w:val="00A649BD"/>
    <w:rsid w:val="00A64A20"/>
    <w:rsid w:val="00A64D10"/>
    <w:rsid w:val="00A64E21"/>
    <w:rsid w:val="00A64E2F"/>
    <w:rsid w:val="00A65127"/>
    <w:rsid w:val="00A651F3"/>
    <w:rsid w:val="00A654A4"/>
    <w:rsid w:val="00A65739"/>
    <w:rsid w:val="00A657E8"/>
    <w:rsid w:val="00A65873"/>
    <w:rsid w:val="00A65889"/>
    <w:rsid w:val="00A65892"/>
    <w:rsid w:val="00A6593F"/>
    <w:rsid w:val="00A65944"/>
    <w:rsid w:val="00A65B64"/>
    <w:rsid w:val="00A65B68"/>
    <w:rsid w:val="00A65B96"/>
    <w:rsid w:val="00A65BDD"/>
    <w:rsid w:val="00A65D33"/>
    <w:rsid w:val="00A65DFB"/>
    <w:rsid w:val="00A65F71"/>
    <w:rsid w:val="00A6613D"/>
    <w:rsid w:val="00A66175"/>
    <w:rsid w:val="00A66205"/>
    <w:rsid w:val="00A66278"/>
    <w:rsid w:val="00A6648B"/>
    <w:rsid w:val="00A664B1"/>
    <w:rsid w:val="00A66581"/>
    <w:rsid w:val="00A666E3"/>
    <w:rsid w:val="00A6683A"/>
    <w:rsid w:val="00A668EE"/>
    <w:rsid w:val="00A66AB9"/>
    <w:rsid w:val="00A66B1B"/>
    <w:rsid w:val="00A66C8A"/>
    <w:rsid w:val="00A66E16"/>
    <w:rsid w:val="00A670EB"/>
    <w:rsid w:val="00A6739A"/>
    <w:rsid w:val="00A6744C"/>
    <w:rsid w:val="00A6793F"/>
    <w:rsid w:val="00A67964"/>
    <w:rsid w:val="00A679F6"/>
    <w:rsid w:val="00A67C75"/>
    <w:rsid w:val="00A67CA0"/>
    <w:rsid w:val="00A67DE6"/>
    <w:rsid w:val="00A67EF1"/>
    <w:rsid w:val="00A67F31"/>
    <w:rsid w:val="00A67F95"/>
    <w:rsid w:val="00A70076"/>
    <w:rsid w:val="00A701C3"/>
    <w:rsid w:val="00A70257"/>
    <w:rsid w:val="00A70385"/>
    <w:rsid w:val="00A7038F"/>
    <w:rsid w:val="00A705D6"/>
    <w:rsid w:val="00A708C7"/>
    <w:rsid w:val="00A70944"/>
    <w:rsid w:val="00A7094A"/>
    <w:rsid w:val="00A70C27"/>
    <w:rsid w:val="00A70E77"/>
    <w:rsid w:val="00A71180"/>
    <w:rsid w:val="00A71199"/>
    <w:rsid w:val="00A714D4"/>
    <w:rsid w:val="00A715B4"/>
    <w:rsid w:val="00A715C0"/>
    <w:rsid w:val="00A71631"/>
    <w:rsid w:val="00A71751"/>
    <w:rsid w:val="00A7179F"/>
    <w:rsid w:val="00A71829"/>
    <w:rsid w:val="00A7187F"/>
    <w:rsid w:val="00A718BF"/>
    <w:rsid w:val="00A7191A"/>
    <w:rsid w:val="00A71944"/>
    <w:rsid w:val="00A71A25"/>
    <w:rsid w:val="00A71E6F"/>
    <w:rsid w:val="00A71E7C"/>
    <w:rsid w:val="00A71E92"/>
    <w:rsid w:val="00A71F3D"/>
    <w:rsid w:val="00A7210E"/>
    <w:rsid w:val="00A72127"/>
    <w:rsid w:val="00A721BA"/>
    <w:rsid w:val="00A722B8"/>
    <w:rsid w:val="00A72320"/>
    <w:rsid w:val="00A72473"/>
    <w:rsid w:val="00A7253E"/>
    <w:rsid w:val="00A72671"/>
    <w:rsid w:val="00A72703"/>
    <w:rsid w:val="00A7284D"/>
    <w:rsid w:val="00A7288E"/>
    <w:rsid w:val="00A7289F"/>
    <w:rsid w:val="00A72BB9"/>
    <w:rsid w:val="00A72C35"/>
    <w:rsid w:val="00A72CDD"/>
    <w:rsid w:val="00A72F7C"/>
    <w:rsid w:val="00A731EC"/>
    <w:rsid w:val="00A732D5"/>
    <w:rsid w:val="00A734C2"/>
    <w:rsid w:val="00A73506"/>
    <w:rsid w:val="00A736C5"/>
    <w:rsid w:val="00A7377E"/>
    <w:rsid w:val="00A73868"/>
    <w:rsid w:val="00A73A46"/>
    <w:rsid w:val="00A73B56"/>
    <w:rsid w:val="00A73B73"/>
    <w:rsid w:val="00A73BC6"/>
    <w:rsid w:val="00A73C18"/>
    <w:rsid w:val="00A73DBE"/>
    <w:rsid w:val="00A73F05"/>
    <w:rsid w:val="00A74116"/>
    <w:rsid w:val="00A7418A"/>
    <w:rsid w:val="00A7444C"/>
    <w:rsid w:val="00A744C3"/>
    <w:rsid w:val="00A744F4"/>
    <w:rsid w:val="00A7454F"/>
    <w:rsid w:val="00A74750"/>
    <w:rsid w:val="00A7496C"/>
    <w:rsid w:val="00A74C3F"/>
    <w:rsid w:val="00A74CFA"/>
    <w:rsid w:val="00A74E10"/>
    <w:rsid w:val="00A74E60"/>
    <w:rsid w:val="00A74F6A"/>
    <w:rsid w:val="00A74F75"/>
    <w:rsid w:val="00A74FE2"/>
    <w:rsid w:val="00A7500F"/>
    <w:rsid w:val="00A751F8"/>
    <w:rsid w:val="00A75314"/>
    <w:rsid w:val="00A7535C"/>
    <w:rsid w:val="00A75392"/>
    <w:rsid w:val="00A75496"/>
    <w:rsid w:val="00A7568A"/>
    <w:rsid w:val="00A756C2"/>
    <w:rsid w:val="00A75964"/>
    <w:rsid w:val="00A75974"/>
    <w:rsid w:val="00A75ABB"/>
    <w:rsid w:val="00A75C0E"/>
    <w:rsid w:val="00A75C34"/>
    <w:rsid w:val="00A75CAE"/>
    <w:rsid w:val="00A75D94"/>
    <w:rsid w:val="00A75DCC"/>
    <w:rsid w:val="00A75F25"/>
    <w:rsid w:val="00A75FA1"/>
    <w:rsid w:val="00A7609B"/>
    <w:rsid w:val="00A760D4"/>
    <w:rsid w:val="00A7619E"/>
    <w:rsid w:val="00A7626F"/>
    <w:rsid w:val="00A762FE"/>
    <w:rsid w:val="00A76333"/>
    <w:rsid w:val="00A7651C"/>
    <w:rsid w:val="00A7659D"/>
    <w:rsid w:val="00A766D0"/>
    <w:rsid w:val="00A767BB"/>
    <w:rsid w:val="00A76807"/>
    <w:rsid w:val="00A7680D"/>
    <w:rsid w:val="00A76829"/>
    <w:rsid w:val="00A76845"/>
    <w:rsid w:val="00A7699F"/>
    <w:rsid w:val="00A76ADD"/>
    <w:rsid w:val="00A76BA2"/>
    <w:rsid w:val="00A76D0B"/>
    <w:rsid w:val="00A770B2"/>
    <w:rsid w:val="00A77190"/>
    <w:rsid w:val="00A771BB"/>
    <w:rsid w:val="00A77210"/>
    <w:rsid w:val="00A77379"/>
    <w:rsid w:val="00A773C7"/>
    <w:rsid w:val="00A77573"/>
    <w:rsid w:val="00A77579"/>
    <w:rsid w:val="00A7766A"/>
    <w:rsid w:val="00A7768A"/>
    <w:rsid w:val="00A776DD"/>
    <w:rsid w:val="00A776FC"/>
    <w:rsid w:val="00A77785"/>
    <w:rsid w:val="00A7786D"/>
    <w:rsid w:val="00A77BB4"/>
    <w:rsid w:val="00A77BCF"/>
    <w:rsid w:val="00A77C08"/>
    <w:rsid w:val="00A77D6D"/>
    <w:rsid w:val="00A80010"/>
    <w:rsid w:val="00A8002A"/>
    <w:rsid w:val="00A80045"/>
    <w:rsid w:val="00A80389"/>
    <w:rsid w:val="00A803D9"/>
    <w:rsid w:val="00A803DC"/>
    <w:rsid w:val="00A8046C"/>
    <w:rsid w:val="00A8052B"/>
    <w:rsid w:val="00A80694"/>
    <w:rsid w:val="00A806BE"/>
    <w:rsid w:val="00A80849"/>
    <w:rsid w:val="00A80888"/>
    <w:rsid w:val="00A8089A"/>
    <w:rsid w:val="00A80A75"/>
    <w:rsid w:val="00A80AB8"/>
    <w:rsid w:val="00A80B18"/>
    <w:rsid w:val="00A80BA2"/>
    <w:rsid w:val="00A80E0A"/>
    <w:rsid w:val="00A80E79"/>
    <w:rsid w:val="00A8133B"/>
    <w:rsid w:val="00A813AE"/>
    <w:rsid w:val="00A813C4"/>
    <w:rsid w:val="00A81877"/>
    <w:rsid w:val="00A818A4"/>
    <w:rsid w:val="00A81947"/>
    <w:rsid w:val="00A81985"/>
    <w:rsid w:val="00A81A51"/>
    <w:rsid w:val="00A81ABD"/>
    <w:rsid w:val="00A81D3A"/>
    <w:rsid w:val="00A81F1B"/>
    <w:rsid w:val="00A820A2"/>
    <w:rsid w:val="00A820E1"/>
    <w:rsid w:val="00A821A1"/>
    <w:rsid w:val="00A821AF"/>
    <w:rsid w:val="00A821EA"/>
    <w:rsid w:val="00A822A3"/>
    <w:rsid w:val="00A82437"/>
    <w:rsid w:val="00A82534"/>
    <w:rsid w:val="00A8254A"/>
    <w:rsid w:val="00A82677"/>
    <w:rsid w:val="00A8282C"/>
    <w:rsid w:val="00A82874"/>
    <w:rsid w:val="00A82927"/>
    <w:rsid w:val="00A82AFA"/>
    <w:rsid w:val="00A82B41"/>
    <w:rsid w:val="00A82B64"/>
    <w:rsid w:val="00A82C99"/>
    <w:rsid w:val="00A82CB9"/>
    <w:rsid w:val="00A82CF8"/>
    <w:rsid w:val="00A82D22"/>
    <w:rsid w:val="00A82D55"/>
    <w:rsid w:val="00A82DD2"/>
    <w:rsid w:val="00A82E8E"/>
    <w:rsid w:val="00A82FC1"/>
    <w:rsid w:val="00A831B2"/>
    <w:rsid w:val="00A83434"/>
    <w:rsid w:val="00A8377C"/>
    <w:rsid w:val="00A83887"/>
    <w:rsid w:val="00A83960"/>
    <w:rsid w:val="00A83A5B"/>
    <w:rsid w:val="00A83BC2"/>
    <w:rsid w:val="00A83C78"/>
    <w:rsid w:val="00A83C7D"/>
    <w:rsid w:val="00A83DD6"/>
    <w:rsid w:val="00A83EE0"/>
    <w:rsid w:val="00A843FE"/>
    <w:rsid w:val="00A8455D"/>
    <w:rsid w:val="00A84597"/>
    <w:rsid w:val="00A8459A"/>
    <w:rsid w:val="00A847EB"/>
    <w:rsid w:val="00A84896"/>
    <w:rsid w:val="00A8497E"/>
    <w:rsid w:val="00A84AAD"/>
    <w:rsid w:val="00A84AE0"/>
    <w:rsid w:val="00A84D80"/>
    <w:rsid w:val="00A84DAD"/>
    <w:rsid w:val="00A84E92"/>
    <w:rsid w:val="00A84EAA"/>
    <w:rsid w:val="00A84F81"/>
    <w:rsid w:val="00A851E3"/>
    <w:rsid w:val="00A85500"/>
    <w:rsid w:val="00A85756"/>
    <w:rsid w:val="00A8588D"/>
    <w:rsid w:val="00A858F4"/>
    <w:rsid w:val="00A8590D"/>
    <w:rsid w:val="00A859C0"/>
    <w:rsid w:val="00A859DF"/>
    <w:rsid w:val="00A85CF5"/>
    <w:rsid w:val="00A85FEB"/>
    <w:rsid w:val="00A8610C"/>
    <w:rsid w:val="00A86200"/>
    <w:rsid w:val="00A86257"/>
    <w:rsid w:val="00A8636F"/>
    <w:rsid w:val="00A86418"/>
    <w:rsid w:val="00A86477"/>
    <w:rsid w:val="00A86485"/>
    <w:rsid w:val="00A8671F"/>
    <w:rsid w:val="00A867E5"/>
    <w:rsid w:val="00A86804"/>
    <w:rsid w:val="00A868FE"/>
    <w:rsid w:val="00A86A42"/>
    <w:rsid w:val="00A86AEF"/>
    <w:rsid w:val="00A86AF8"/>
    <w:rsid w:val="00A86D4F"/>
    <w:rsid w:val="00A86DAF"/>
    <w:rsid w:val="00A86EB8"/>
    <w:rsid w:val="00A8721D"/>
    <w:rsid w:val="00A87237"/>
    <w:rsid w:val="00A87359"/>
    <w:rsid w:val="00A87552"/>
    <w:rsid w:val="00A87589"/>
    <w:rsid w:val="00A8787F"/>
    <w:rsid w:val="00A87A50"/>
    <w:rsid w:val="00A87ADE"/>
    <w:rsid w:val="00A87C0F"/>
    <w:rsid w:val="00A87CEB"/>
    <w:rsid w:val="00A87EE0"/>
    <w:rsid w:val="00A87F80"/>
    <w:rsid w:val="00A900AC"/>
    <w:rsid w:val="00A901A8"/>
    <w:rsid w:val="00A901AB"/>
    <w:rsid w:val="00A901F5"/>
    <w:rsid w:val="00A9027B"/>
    <w:rsid w:val="00A9033C"/>
    <w:rsid w:val="00A90366"/>
    <w:rsid w:val="00A903BF"/>
    <w:rsid w:val="00A903F4"/>
    <w:rsid w:val="00A903F8"/>
    <w:rsid w:val="00A903F9"/>
    <w:rsid w:val="00A9055A"/>
    <w:rsid w:val="00A906E7"/>
    <w:rsid w:val="00A907B9"/>
    <w:rsid w:val="00A908B5"/>
    <w:rsid w:val="00A909F9"/>
    <w:rsid w:val="00A90A38"/>
    <w:rsid w:val="00A90B7A"/>
    <w:rsid w:val="00A90C81"/>
    <w:rsid w:val="00A90CDA"/>
    <w:rsid w:val="00A90DA2"/>
    <w:rsid w:val="00A90EEC"/>
    <w:rsid w:val="00A90FF1"/>
    <w:rsid w:val="00A91126"/>
    <w:rsid w:val="00A9119A"/>
    <w:rsid w:val="00A9119E"/>
    <w:rsid w:val="00A91513"/>
    <w:rsid w:val="00A916A5"/>
    <w:rsid w:val="00A9176C"/>
    <w:rsid w:val="00A91AB1"/>
    <w:rsid w:val="00A91AC7"/>
    <w:rsid w:val="00A91B6B"/>
    <w:rsid w:val="00A91EB4"/>
    <w:rsid w:val="00A92148"/>
    <w:rsid w:val="00A92173"/>
    <w:rsid w:val="00A9224E"/>
    <w:rsid w:val="00A923B3"/>
    <w:rsid w:val="00A923B8"/>
    <w:rsid w:val="00A923FA"/>
    <w:rsid w:val="00A925D3"/>
    <w:rsid w:val="00A92795"/>
    <w:rsid w:val="00A927A6"/>
    <w:rsid w:val="00A927B2"/>
    <w:rsid w:val="00A928C4"/>
    <w:rsid w:val="00A92B38"/>
    <w:rsid w:val="00A92B6E"/>
    <w:rsid w:val="00A92C08"/>
    <w:rsid w:val="00A92C54"/>
    <w:rsid w:val="00A92E17"/>
    <w:rsid w:val="00A930C5"/>
    <w:rsid w:val="00A9314C"/>
    <w:rsid w:val="00A9315A"/>
    <w:rsid w:val="00A93165"/>
    <w:rsid w:val="00A932CA"/>
    <w:rsid w:val="00A93346"/>
    <w:rsid w:val="00A9345B"/>
    <w:rsid w:val="00A93555"/>
    <w:rsid w:val="00A9371A"/>
    <w:rsid w:val="00A939E0"/>
    <w:rsid w:val="00A93B4A"/>
    <w:rsid w:val="00A93B70"/>
    <w:rsid w:val="00A93BB0"/>
    <w:rsid w:val="00A93E5F"/>
    <w:rsid w:val="00A93F17"/>
    <w:rsid w:val="00A9403A"/>
    <w:rsid w:val="00A94068"/>
    <w:rsid w:val="00A94072"/>
    <w:rsid w:val="00A94202"/>
    <w:rsid w:val="00A9451C"/>
    <w:rsid w:val="00A945F2"/>
    <w:rsid w:val="00A9460D"/>
    <w:rsid w:val="00A9488A"/>
    <w:rsid w:val="00A949B2"/>
    <w:rsid w:val="00A94AA3"/>
    <w:rsid w:val="00A94B50"/>
    <w:rsid w:val="00A94F7F"/>
    <w:rsid w:val="00A950FB"/>
    <w:rsid w:val="00A95195"/>
    <w:rsid w:val="00A9540B"/>
    <w:rsid w:val="00A95756"/>
    <w:rsid w:val="00A9586B"/>
    <w:rsid w:val="00A958AF"/>
    <w:rsid w:val="00A95926"/>
    <w:rsid w:val="00A95955"/>
    <w:rsid w:val="00A959E7"/>
    <w:rsid w:val="00A95A7B"/>
    <w:rsid w:val="00A95BE8"/>
    <w:rsid w:val="00A95C8D"/>
    <w:rsid w:val="00A95F04"/>
    <w:rsid w:val="00A95F53"/>
    <w:rsid w:val="00A95FC0"/>
    <w:rsid w:val="00A96117"/>
    <w:rsid w:val="00A961FE"/>
    <w:rsid w:val="00A967CC"/>
    <w:rsid w:val="00A96866"/>
    <w:rsid w:val="00A96B82"/>
    <w:rsid w:val="00A96E1F"/>
    <w:rsid w:val="00A96FAA"/>
    <w:rsid w:val="00A9700C"/>
    <w:rsid w:val="00A970C5"/>
    <w:rsid w:val="00A971CA"/>
    <w:rsid w:val="00A972CE"/>
    <w:rsid w:val="00A97326"/>
    <w:rsid w:val="00A973B0"/>
    <w:rsid w:val="00A97664"/>
    <w:rsid w:val="00A977AB"/>
    <w:rsid w:val="00A9793D"/>
    <w:rsid w:val="00A97A33"/>
    <w:rsid w:val="00A97BD0"/>
    <w:rsid w:val="00A97BF8"/>
    <w:rsid w:val="00A97BFA"/>
    <w:rsid w:val="00A97D14"/>
    <w:rsid w:val="00A97E2A"/>
    <w:rsid w:val="00A97E31"/>
    <w:rsid w:val="00A97E64"/>
    <w:rsid w:val="00A97E88"/>
    <w:rsid w:val="00A97EF0"/>
    <w:rsid w:val="00AA03BF"/>
    <w:rsid w:val="00AA05EB"/>
    <w:rsid w:val="00AA061A"/>
    <w:rsid w:val="00AA0794"/>
    <w:rsid w:val="00AA0803"/>
    <w:rsid w:val="00AA0811"/>
    <w:rsid w:val="00AA08F4"/>
    <w:rsid w:val="00AA09B1"/>
    <w:rsid w:val="00AA0A25"/>
    <w:rsid w:val="00AA0ADB"/>
    <w:rsid w:val="00AA0C10"/>
    <w:rsid w:val="00AA0E14"/>
    <w:rsid w:val="00AA0F72"/>
    <w:rsid w:val="00AA108E"/>
    <w:rsid w:val="00AA1182"/>
    <w:rsid w:val="00AA11D4"/>
    <w:rsid w:val="00AA1252"/>
    <w:rsid w:val="00AA130C"/>
    <w:rsid w:val="00AA13B1"/>
    <w:rsid w:val="00AA15E3"/>
    <w:rsid w:val="00AA15F9"/>
    <w:rsid w:val="00AA17C0"/>
    <w:rsid w:val="00AA19C3"/>
    <w:rsid w:val="00AA1A86"/>
    <w:rsid w:val="00AA1BF7"/>
    <w:rsid w:val="00AA1C10"/>
    <w:rsid w:val="00AA1DAE"/>
    <w:rsid w:val="00AA1ECC"/>
    <w:rsid w:val="00AA1F92"/>
    <w:rsid w:val="00AA2076"/>
    <w:rsid w:val="00AA2277"/>
    <w:rsid w:val="00AA22D8"/>
    <w:rsid w:val="00AA2549"/>
    <w:rsid w:val="00AA254E"/>
    <w:rsid w:val="00AA280D"/>
    <w:rsid w:val="00AA29E7"/>
    <w:rsid w:val="00AA2B08"/>
    <w:rsid w:val="00AA2B36"/>
    <w:rsid w:val="00AA2DB7"/>
    <w:rsid w:val="00AA2DD4"/>
    <w:rsid w:val="00AA2ECE"/>
    <w:rsid w:val="00AA2FDD"/>
    <w:rsid w:val="00AA2FE2"/>
    <w:rsid w:val="00AA34A7"/>
    <w:rsid w:val="00AA34D9"/>
    <w:rsid w:val="00AA35DE"/>
    <w:rsid w:val="00AA360D"/>
    <w:rsid w:val="00AA3617"/>
    <w:rsid w:val="00AA3948"/>
    <w:rsid w:val="00AA3A0E"/>
    <w:rsid w:val="00AA3C2F"/>
    <w:rsid w:val="00AA3D3A"/>
    <w:rsid w:val="00AA40D7"/>
    <w:rsid w:val="00AA42A5"/>
    <w:rsid w:val="00AA4387"/>
    <w:rsid w:val="00AA4475"/>
    <w:rsid w:val="00AA46C5"/>
    <w:rsid w:val="00AA4719"/>
    <w:rsid w:val="00AA4734"/>
    <w:rsid w:val="00AA476E"/>
    <w:rsid w:val="00AA48ED"/>
    <w:rsid w:val="00AA4AC1"/>
    <w:rsid w:val="00AA4B05"/>
    <w:rsid w:val="00AA4CEF"/>
    <w:rsid w:val="00AA4FD4"/>
    <w:rsid w:val="00AA5033"/>
    <w:rsid w:val="00AA5083"/>
    <w:rsid w:val="00AA53E0"/>
    <w:rsid w:val="00AA54F5"/>
    <w:rsid w:val="00AA54FA"/>
    <w:rsid w:val="00AA557E"/>
    <w:rsid w:val="00AA55A1"/>
    <w:rsid w:val="00AA56F5"/>
    <w:rsid w:val="00AA5865"/>
    <w:rsid w:val="00AA58E7"/>
    <w:rsid w:val="00AA5A8D"/>
    <w:rsid w:val="00AA5BF7"/>
    <w:rsid w:val="00AA5D7E"/>
    <w:rsid w:val="00AA5DCE"/>
    <w:rsid w:val="00AA5ECB"/>
    <w:rsid w:val="00AA5F75"/>
    <w:rsid w:val="00AA603E"/>
    <w:rsid w:val="00AA610D"/>
    <w:rsid w:val="00AA62D5"/>
    <w:rsid w:val="00AA64E3"/>
    <w:rsid w:val="00AA650E"/>
    <w:rsid w:val="00AA6534"/>
    <w:rsid w:val="00AA6577"/>
    <w:rsid w:val="00AA66E6"/>
    <w:rsid w:val="00AA6987"/>
    <w:rsid w:val="00AA6A02"/>
    <w:rsid w:val="00AA6ACD"/>
    <w:rsid w:val="00AA6C61"/>
    <w:rsid w:val="00AA6F3B"/>
    <w:rsid w:val="00AA6FBD"/>
    <w:rsid w:val="00AA7234"/>
    <w:rsid w:val="00AA7445"/>
    <w:rsid w:val="00AA744E"/>
    <w:rsid w:val="00AA74FD"/>
    <w:rsid w:val="00AA7530"/>
    <w:rsid w:val="00AA7562"/>
    <w:rsid w:val="00AA75DA"/>
    <w:rsid w:val="00AA77BA"/>
    <w:rsid w:val="00AA78AE"/>
    <w:rsid w:val="00AA78FF"/>
    <w:rsid w:val="00AA79BE"/>
    <w:rsid w:val="00AA79F2"/>
    <w:rsid w:val="00AA7AC8"/>
    <w:rsid w:val="00AA7DD1"/>
    <w:rsid w:val="00AA7DF3"/>
    <w:rsid w:val="00AA7E51"/>
    <w:rsid w:val="00AA7ED9"/>
    <w:rsid w:val="00AA7FF9"/>
    <w:rsid w:val="00AB009C"/>
    <w:rsid w:val="00AB00D4"/>
    <w:rsid w:val="00AB0243"/>
    <w:rsid w:val="00AB0372"/>
    <w:rsid w:val="00AB04B5"/>
    <w:rsid w:val="00AB054B"/>
    <w:rsid w:val="00AB07BD"/>
    <w:rsid w:val="00AB07C2"/>
    <w:rsid w:val="00AB08A4"/>
    <w:rsid w:val="00AB08D3"/>
    <w:rsid w:val="00AB09F8"/>
    <w:rsid w:val="00AB0B76"/>
    <w:rsid w:val="00AB0E25"/>
    <w:rsid w:val="00AB0E4C"/>
    <w:rsid w:val="00AB0E9A"/>
    <w:rsid w:val="00AB0F44"/>
    <w:rsid w:val="00AB0FB8"/>
    <w:rsid w:val="00AB11C5"/>
    <w:rsid w:val="00AB12F8"/>
    <w:rsid w:val="00AB132B"/>
    <w:rsid w:val="00AB132F"/>
    <w:rsid w:val="00AB148A"/>
    <w:rsid w:val="00AB1520"/>
    <w:rsid w:val="00AB16B8"/>
    <w:rsid w:val="00AB16C4"/>
    <w:rsid w:val="00AB1712"/>
    <w:rsid w:val="00AB19E6"/>
    <w:rsid w:val="00AB1AF2"/>
    <w:rsid w:val="00AB1B42"/>
    <w:rsid w:val="00AB1CC6"/>
    <w:rsid w:val="00AB1E2C"/>
    <w:rsid w:val="00AB1ED7"/>
    <w:rsid w:val="00AB2186"/>
    <w:rsid w:val="00AB2219"/>
    <w:rsid w:val="00AB22E3"/>
    <w:rsid w:val="00AB23DD"/>
    <w:rsid w:val="00AB2619"/>
    <w:rsid w:val="00AB28A1"/>
    <w:rsid w:val="00AB28AA"/>
    <w:rsid w:val="00AB2928"/>
    <w:rsid w:val="00AB2B33"/>
    <w:rsid w:val="00AB2BE3"/>
    <w:rsid w:val="00AB2C12"/>
    <w:rsid w:val="00AB2D2A"/>
    <w:rsid w:val="00AB2DF7"/>
    <w:rsid w:val="00AB2E5D"/>
    <w:rsid w:val="00AB2E81"/>
    <w:rsid w:val="00AB2EFD"/>
    <w:rsid w:val="00AB3328"/>
    <w:rsid w:val="00AB340F"/>
    <w:rsid w:val="00AB3424"/>
    <w:rsid w:val="00AB3534"/>
    <w:rsid w:val="00AB359D"/>
    <w:rsid w:val="00AB36FD"/>
    <w:rsid w:val="00AB3821"/>
    <w:rsid w:val="00AB3856"/>
    <w:rsid w:val="00AB3926"/>
    <w:rsid w:val="00AB3944"/>
    <w:rsid w:val="00AB39C7"/>
    <w:rsid w:val="00AB3A5A"/>
    <w:rsid w:val="00AB3B5F"/>
    <w:rsid w:val="00AB3BD5"/>
    <w:rsid w:val="00AB3C0B"/>
    <w:rsid w:val="00AB3C84"/>
    <w:rsid w:val="00AB3C8D"/>
    <w:rsid w:val="00AB3E2F"/>
    <w:rsid w:val="00AB40CA"/>
    <w:rsid w:val="00AB4110"/>
    <w:rsid w:val="00AB4125"/>
    <w:rsid w:val="00AB433C"/>
    <w:rsid w:val="00AB4345"/>
    <w:rsid w:val="00AB4433"/>
    <w:rsid w:val="00AB4659"/>
    <w:rsid w:val="00AB4772"/>
    <w:rsid w:val="00AB47E2"/>
    <w:rsid w:val="00AB47FB"/>
    <w:rsid w:val="00AB488F"/>
    <w:rsid w:val="00AB49C8"/>
    <w:rsid w:val="00AB4A91"/>
    <w:rsid w:val="00AB4CC8"/>
    <w:rsid w:val="00AB4D2D"/>
    <w:rsid w:val="00AB4E27"/>
    <w:rsid w:val="00AB4EA5"/>
    <w:rsid w:val="00AB500A"/>
    <w:rsid w:val="00AB503A"/>
    <w:rsid w:val="00AB5125"/>
    <w:rsid w:val="00AB518A"/>
    <w:rsid w:val="00AB533B"/>
    <w:rsid w:val="00AB5673"/>
    <w:rsid w:val="00AB5730"/>
    <w:rsid w:val="00AB5789"/>
    <w:rsid w:val="00AB59DE"/>
    <w:rsid w:val="00AB5B14"/>
    <w:rsid w:val="00AB5D19"/>
    <w:rsid w:val="00AB5E92"/>
    <w:rsid w:val="00AB60C8"/>
    <w:rsid w:val="00AB6373"/>
    <w:rsid w:val="00AB63D3"/>
    <w:rsid w:val="00AB6554"/>
    <w:rsid w:val="00AB65D3"/>
    <w:rsid w:val="00AB6CB6"/>
    <w:rsid w:val="00AB6CC1"/>
    <w:rsid w:val="00AB6DE5"/>
    <w:rsid w:val="00AB6E30"/>
    <w:rsid w:val="00AB6EB6"/>
    <w:rsid w:val="00AB6F67"/>
    <w:rsid w:val="00AB7101"/>
    <w:rsid w:val="00AB71AC"/>
    <w:rsid w:val="00AB71D9"/>
    <w:rsid w:val="00AB72C3"/>
    <w:rsid w:val="00AB7369"/>
    <w:rsid w:val="00AB7429"/>
    <w:rsid w:val="00AB760B"/>
    <w:rsid w:val="00AB762A"/>
    <w:rsid w:val="00AB798C"/>
    <w:rsid w:val="00AB7AF3"/>
    <w:rsid w:val="00AB7B5A"/>
    <w:rsid w:val="00AB7B96"/>
    <w:rsid w:val="00AB7BB8"/>
    <w:rsid w:val="00AB7CDB"/>
    <w:rsid w:val="00AB7F15"/>
    <w:rsid w:val="00AC00DB"/>
    <w:rsid w:val="00AC020C"/>
    <w:rsid w:val="00AC027E"/>
    <w:rsid w:val="00AC0378"/>
    <w:rsid w:val="00AC037A"/>
    <w:rsid w:val="00AC040B"/>
    <w:rsid w:val="00AC060A"/>
    <w:rsid w:val="00AC06D7"/>
    <w:rsid w:val="00AC072F"/>
    <w:rsid w:val="00AC076D"/>
    <w:rsid w:val="00AC08E2"/>
    <w:rsid w:val="00AC08E5"/>
    <w:rsid w:val="00AC0950"/>
    <w:rsid w:val="00AC0A64"/>
    <w:rsid w:val="00AC0A87"/>
    <w:rsid w:val="00AC0ABB"/>
    <w:rsid w:val="00AC0B8A"/>
    <w:rsid w:val="00AC0FC9"/>
    <w:rsid w:val="00AC11DD"/>
    <w:rsid w:val="00AC1504"/>
    <w:rsid w:val="00AC150C"/>
    <w:rsid w:val="00AC1589"/>
    <w:rsid w:val="00AC16DA"/>
    <w:rsid w:val="00AC1790"/>
    <w:rsid w:val="00AC17C9"/>
    <w:rsid w:val="00AC17E5"/>
    <w:rsid w:val="00AC1A47"/>
    <w:rsid w:val="00AC1E93"/>
    <w:rsid w:val="00AC214D"/>
    <w:rsid w:val="00AC23C8"/>
    <w:rsid w:val="00AC240C"/>
    <w:rsid w:val="00AC278B"/>
    <w:rsid w:val="00AC29A3"/>
    <w:rsid w:val="00AC29E6"/>
    <w:rsid w:val="00AC2A18"/>
    <w:rsid w:val="00AC2A5A"/>
    <w:rsid w:val="00AC2A7E"/>
    <w:rsid w:val="00AC2C84"/>
    <w:rsid w:val="00AC2CB7"/>
    <w:rsid w:val="00AC2D6C"/>
    <w:rsid w:val="00AC2DB9"/>
    <w:rsid w:val="00AC2F8F"/>
    <w:rsid w:val="00AC3A9D"/>
    <w:rsid w:val="00AC3B40"/>
    <w:rsid w:val="00AC3D3C"/>
    <w:rsid w:val="00AC3D6F"/>
    <w:rsid w:val="00AC3EF1"/>
    <w:rsid w:val="00AC3F64"/>
    <w:rsid w:val="00AC40A2"/>
    <w:rsid w:val="00AC422A"/>
    <w:rsid w:val="00AC4248"/>
    <w:rsid w:val="00AC424B"/>
    <w:rsid w:val="00AC425E"/>
    <w:rsid w:val="00AC4497"/>
    <w:rsid w:val="00AC44A7"/>
    <w:rsid w:val="00AC46FB"/>
    <w:rsid w:val="00AC481A"/>
    <w:rsid w:val="00AC4846"/>
    <w:rsid w:val="00AC4A30"/>
    <w:rsid w:val="00AC4ABC"/>
    <w:rsid w:val="00AC4AFE"/>
    <w:rsid w:val="00AC4BAA"/>
    <w:rsid w:val="00AC4BF1"/>
    <w:rsid w:val="00AC4DB2"/>
    <w:rsid w:val="00AC4ECD"/>
    <w:rsid w:val="00AC4FE5"/>
    <w:rsid w:val="00AC5063"/>
    <w:rsid w:val="00AC50A6"/>
    <w:rsid w:val="00AC5274"/>
    <w:rsid w:val="00AC5380"/>
    <w:rsid w:val="00AC5385"/>
    <w:rsid w:val="00AC53A4"/>
    <w:rsid w:val="00AC5521"/>
    <w:rsid w:val="00AC56E8"/>
    <w:rsid w:val="00AC5800"/>
    <w:rsid w:val="00AC5B02"/>
    <w:rsid w:val="00AC5B64"/>
    <w:rsid w:val="00AC5D5F"/>
    <w:rsid w:val="00AC5D90"/>
    <w:rsid w:val="00AC5DF7"/>
    <w:rsid w:val="00AC5EA9"/>
    <w:rsid w:val="00AC6074"/>
    <w:rsid w:val="00AC6171"/>
    <w:rsid w:val="00AC61E6"/>
    <w:rsid w:val="00AC6210"/>
    <w:rsid w:val="00AC6301"/>
    <w:rsid w:val="00AC632D"/>
    <w:rsid w:val="00AC637C"/>
    <w:rsid w:val="00AC6425"/>
    <w:rsid w:val="00AC6499"/>
    <w:rsid w:val="00AC6584"/>
    <w:rsid w:val="00AC6717"/>
    <w:rsid w:val="00AC6753"/>
    <w:rsid w:val="00AC6786"/>
    <w:rsid w:val="00AC6BD7"/>
    <w:rsid w:val="00AC6DC3"/>
    <w:rsid w:val="00AC6E43"/>
    <w:rsid w:val="00AC6FA7"/>
    <w:rsid w:val="00AC6FC1"/>
    <w:rsid w:val="00AC720E"/>
    <w:rsid w:val="00AC7216"/>
    <w:rsid w:val="00AC727C"/>
    <w:rsid w:val="00AC730C"/>
    <w:rsid w:val="00AC7682"/>
    <w:rsid w:val="00AC7830"/>
    <w:rsid w:val="00AC799E"/>
    <w:rsid w:val="00AC79A6"/>
    <w:rsid w:val="00AC7A6C"/>
    <w:rsid w:val="00AC7A99"/>
    <w:rsid w:val="00AC7AB0"/>
    <w:rsid w:val="00AC7CA8"/>
    <w:rsid w:val="00AD0270"/>
    <w:rsid w:val="00AD0353"/>
    <w:rsid w:val="00AD0390"/>
    <w:rsid w:val="00AD066A"/>
    <w:rsid w:val="00AD0876"/>
    <w:rsid w:val="00AD088D"/>
    <w:rsid w:val="00AD09C7"/>
    <w:rsid w:val="00AD0A31"/>
    <w:rsid w:val="00AD0BC6"/>
    <w:rsid w:val="00AD0F03"/>
    <w:rsid w:val="00AD1013"/>
    <w:rsid w:val="00AD1253"/>
    <w:rsid w:val="00AD13B2"/>
    <w:rsid w:val="00AD150B"/>
    <w:rsid w:val="00AD1660"/>
    <w:rsid w:val="00AD179A"/>
    <w:rsid w:val="00AD181D"/>
    <w:rsid w:val="00AD18C2"/>
    <w:rsid w:val="00AD1905"/>
    <w:rsid w:val="00AD1907"/>
    <w:rsid w:val="00AD1A26"/>
    <w:rsid w:val="00AD1A87"/>
    <w:rsid w:val="00AD1AA9"/>
    <w:rsid w:val="00AD1B01"/>
    <w:rsid w:val="00AD1C2C"/>
    <w:rsid w:val="00AD1D7D"/>
    <w:rsid w:val="00AD1DAB"/>
    <w:rsid w:val="00AD1E8A"/>
    <w:rsid w:val="00AD1E9D"/>
    <w:rsid w:val="00AD1EF0"/>
    <w:rsid w:val="00AD1F96"/>
    <w:rsid w:val="00AD20E6"/>
    <w:rsid w:val="00AD2152"/>
    <w:rsid w:val="00AD2308"/>
    <w:rsid w:val="00AD233B"/>
    <w:rsid w:val="00AD23F5"/>
    <w:rsid w:val="00AD2440"/>
    <w:rsid w:val="00AD2584"/>
    <w:rsid w:val="00AD2647"/>
    <w:rsid w:val="00AD27B0"/>
    <w:rsid w:val="00AD27B4"/>
    <w:rsid w:val="00AD2A27"/>
    <w:rsid w:val="00AD2A69"/>
    <w:rsid w:val="00AD2D55"/>
    <w:rsid w:val="00AD2D96"/>
    <w:rsid w:val="00AD2E0C"/>
    <w:rsid w:val="00AD2E51"/>
    <w:rsid w:val="00AD2FC8"/>
    <w:rsid w:val="00AD31B2"/>
    <w:rsid w:val="00AD323D"/>
    <w:rsid w:val="00AD32B4"/>
    <w:rsid w:val="00AD32D5"/>
    <w:rsid w:val="00AD34FF"/>
    <w:rsid w:val="00AD3522"/>
    <w:rsid w:val="00AD358D"/>
    <w:rsid w:val="00AD35CC"/>
    <w:rsid w:val="00AD36D8"/>
    <w:rsid w:val="00AD3779"/>
    <w:rsid w:val="00AD3AA5"/>
    <w:rsid w:val="00AD3CBA"/>
    <w:rsid w:val="00AD3CDB"/>
    <w:rsid w:val="00AD3CF7"/>
    <w:rsid w:val="00AD3D67"/>
    <w:rsid w:val="00AD3E94"/>
    <w:rsid w:val="00AD3E9D"/>
    <w:rsid w:val="00AD4196"/>
    <w:rsid w:val="00AD433E"/>
    <w:rsid w:val="00AD43DF"/>
    <w:rsid w:val="00AD43EE"/>
    <w:rsid w:val="00AD446A"/>
    <w:rsid w:val="00AD45CA"/>
    <w:rsid w:val="00AD46C4"/>
    <w:rsid w:val="00AD46D2"/>
    <w:rsid w:val="00AD46F2"/>
    <w:rsid w:val="00AD4706"/>
    <w:rsid w:val="00AD4900"/>
    <w:rsid w:val="00AD4D39"/>
    <w:rsid w:val="00AD509E"/>
    <w:rsid w:val="00AD51D7"/>
    <w:rsid w:val="00AD51E1"/>
    <w:rsid w:val="00AD51E5"/>
    <w:rsid w:val="00AD5226"/>
    <w:rsid w:val="00AD52F9"/>
    <w:rsid w:val="00AD5379"/>
    <w:rsid w:val="00AD53F0"/>
    <w:rsid w:val="00AD55D8"/>
    <w:rsid w:val="00AD56E3"/>
    <w:rsid w:val="00AD59FD"/>
    <w:rsid w:val="00AD5A1F"/>
    <w:rsid w:val="00AD5BE5"/>
    <w:rsid w:val="00AD5C04"/>
    <w:rsid w:val="00AD5F35"/>
    <w:rsid w:val="00AD60EF"/>
    <w:rsid w:val="00AD6175"/>
    <w:rsid w:val="00AD6221"/>
    <w:rsid w:val="00AD6411"/>
    <w:rsid w:val="00AD64CA"/>
    <w:rsid w:val="00AD6537"/>
    <w:rsid w:val="00AD6607"/>
    <w:rsid w:val="00AD660D"/>
    <w:rsid w:val="00AD677F"/>
    <w:rsid w:val="00AD6801"/>
    <w:rsid w:val="00AD6A51"/>
    <w:rsid w:val="00AD6B24"/>
    <w:rsid w:val="00AD6B70"/>
    <w:rsid w:val="00AD6B71"/>
    <w:rsid w:val="00AD6B9F"/>
    <w:rsid w:val="00AD6D63"/>
    <w:rsid w:val="00AD704A"/>
    <w:rsid w:val="00AD706B"/>
    <w:rsid w:val="00AD71EE"/>
    <w:rsid w:val="00AD730C"/>
    <w:rsid w:val="00AD763E"/>
    <w:rsid w:val="00AD76DE"/>
    <w:rsid w:val="00AD772B"/>
    <w:rsid w:val="00AD7741"/>
    <w:rsid w:val="00AD781F"/>
    <w:rsid w:val="00AD7A41"/>
    <w:rsid w:val="00AD7C4C"/>
    <w:rsid w:val="00AD7C60"/>
    <w:rsid w:val="00AE0029"/>
    <w:rsid w:val="00AE0050"/>
    <w:rsid w:val="00AE0084"/>
    <w:rsid w:val="00AE0199"/>
    <w:rsid w:val="00AE01C7"/>
    <w:rsid w:val="00AE0442"/>
    <w:rsid w:val="00AE0487"/>
    <w:rsid w:val="00AE054C"/>
    <w:rsid w:val="00AE05AC"/>
    <w:rsid w:val="00AE06AF"/>
    <w:rsid w:val="00AE06ED"/>
    <w:rsid w:val="00AE070A"/>
    <w:rsid w:val="00AE07F8"/>
    <w:rsid w:val="00AE0838"/>
    <w:rsid w:val="00AE0998"/>
    <w:rsid w:val="00AE0DB3"/>
    <w:rsid w:val="00AE0E0D"/>
    <w:rsid w:val="00AE0FAC"/>
    <w:rsid w:val="00AE0FB3"/>
    <w:rsid w:val="00AE11D0"/>
    <w:rsid w:val="00AE120B"/>
    <w:rsid w:val="00AE133A"/>
    <w:rsid w:val="00AE160B"/>
    <w:rsid w:val="00AE162E"/>
    <w:rsid w:val="00AE17C1"/>
    <w:rsid w:val="00AE1941"/>
    <w:rsid w:val="00AE1BE8"/>
    <w:rsid w:val="00AE1C0F"/>
    <w:rsid w:val="00AE1CBE"/>
    <w:rsid w:val="00AE1CDF"/>
    <w:rsid w:val="00AE1D1A"/>
    <w:rsid w:val="00AE1D78"/>
    <w:rsid w:val="00AE1DBE"/>
    <w:rsid w:val="00AE1EB3"/>
    <w:rsid w:val="00AE20FC"/>
    <w:rsid w:val="00AE2104"/>
    <w:rsid w:val="00AE21EC"/>
    <w:rsid w:val="00AE226B"/>
    <w:rsid w:val="00AE2278"/>
    <w:rsid w:val="00AE2295"/>
    <w:rsid w:val="00AE2329"/>
    <w:rsid w:val="00AE2346"/>
    <w:rsid w:val="00AE2582"/>
    <w:rsid w:val="00AE2606"/>
    <w:rsid w:val="00AE2618"/>
    <w:rsid w:val="00AE2918"/>
    <w:rsid w:val="00AE2A85"/>
    <w:rsid w:val="00AE2BB8"/>
    <w:rsid w:val="00AE2D30"/>
    <w:rsid w:val="00AE2F86"/>
    <w:rsid w:val="00AE310D"/>
    <w:rsid w:val="00AE3173"/>
    <w:rsid w:val="00AE3267"/>
    <w:rsid w:val="00AE3354"/>
    <w:rsid w:val="00AE3476"/>
    <w:rsid w:val="00AE3534"/>
    <w:rsid w:val="00AE3774"/>
    <w:rsid w:val="00AE37A6"/>
    <w:rsid w:val="00AE3CA0"/>
    <w:rsid w:val="00AE3E73"/>
    <w:rsid w:val="00AE3EC6"/>
    <w:rsid w:val="00AE3EF5"/>
    <w:rsid w:val="00AE40E1"/>
    <w:rsid w:val="00AE4283"/>
    <w:rsid w:val="00AE42EB"/>
    <w:rsid w:val="00AE4312"/>
    <w:rsid w:val="00AE4318"/>
    <w:rsid w:val="00AE4383"/>
    <w:rsid w:val="00AE460B"/>
    <w:rsid w:val="00AE4633"/>
    <w:rsid w:val="00AE480F"/>
    <w:rsid w:val="00AE4947"/>
    <w:rsid w:val="00AE4952"/>
    <w:rsid w:val="00AE4BAB"/>
    <w:rsid w:val="00AE4C37"/>
    <w:rsid w:val="00AE4CE5"/>
    <w:rsid w:val="00AE4E07"/>
    <w:rsid w:val="00AE4F18"/>
    <w:rsid w:val="00AE4F3C"/>
    <w:rsid w:val="00AE4F8E"/>
    <w:rsid w:val="00AE4F94"/>
    <w:rsid w:val="00AE4FB4"/>
    <w:rsid w:val="00AE509E"/>
    <w:rsid w:val="00AE5228"/>
    <w:rsid w:val="00AE5290"/>
    <w:rsid w:val="00AE535E"/>
    <w:rsid w:val="00AE557E"/>
    <w:rsid w:val="00AE55C8"/>
    <w:rsid w:val="00AE5673"/>
    <w:rsid w:val="00AE56B5"/>
    <w:rsid w:val="00AE56BC"/>
    <w:rsid w:val="00AE572C"/>
    <w:rsid w:val="00AE5906"/>
    <w:rsid w:val="00AE5B2A"/>
    <w:rsid w:val="00AE5B3E"/>
    <w:rsid w:val="00AE5BF2"/>
    <w:rsid w:val="00AE5CFF"/>
    <w:rsid w:val="00AE5D16"/>
    <w:rsid w:val="00AE5E66"/>
    <w:rsid w:val="00AE5E6A"/>
    <w:rsid w:val="00AE5E9A"/>
    <w:rsid w:val="00AE5FEA"/>
    <w:rsid w:val="00AE60B2"/>
    <w:rsid w:val="00AE6252"/>
    <w:rsid w:val="00AE6277"/>
    <w:rsid w:val="00AE6473"/>
    <w:rsid w:val="00AE664B"/>
    <w:rsid w:val="00AE676B"/>
    <w:rsid w:val="00AE6893"/>
    <w:rsid w:val="00AE6B9A"/>
    <w:rsid w:val="00AE6E3F"/>
    <w:rsid w:val="00AE6EA3"/>
    <w:rsid w:val="00AE6F1A"/>
    <w:rsid w:val="00AE6FAB"/>
    <w:rsid w:val="00AE7323"/>
    <w:rsid w:val="00AE7362"/>
    <w:rsid w:val="00AE73BE"/>
    <w:rsid w:val="00AE750F"/>
    <w:rsid w:val="00AE7658"/>
    <w:rsid w:val="00AE769D"/>
    <w:rsid w:val="00AE79B3"/>
    <w:rsid w:val="00AE7BB7"/>
    <w:rsid w:val="00AE7C4A"/>
    <w:rsid w:val="00AE7C65"/>
    <w:rsid w:val="00AE7C6E"/>
    <w:rsid w:val="00AE7CA1"/>
    <w:rsid w:val="00AE7D3E"/>
    <w:rsid w:val="00AE7D43"/>
    <w:rsid w:val="00AE7DCF"/>
    <w:rsid w:val="00AE7EB1"/>
    <w:rsid w:val="00AE7EFB"/>
    <w:rsid w:val="00AE7EFC"/>
    <w:rsid w:val="00AF0012"/>
    <w:rsid w:val="00AF022C"/>
    <w:rsid w:val="00AF023D"/>
    <w:rsid w:val="00AF0285"/>
    <w:rsid w:val="00AF07BD"/>
    <w:rsid w:val="00AF0C56"/>
    <w:rsid w:val="00AF0C7E"/>
    <w:rsid w:val="00AF0DD4"/>
    <w:rsid w:val="00AF0F77"/>
    <w:rsid w:val="00AF100F"/>
    <w:rsid w:val="00AF103F"/>
    <w:rsid w:val="00AF118B"/>
    <w:rsid w:val="00AF1297"/>
    <w:rsid w:val="00AF129D"/>
    <w:rsid w:val="00AF154F"/>
    <w:rsid w:val="00AF158E"/>
    <w:rsid w:val="00AF15E9"/>
    <w:rsid w:val="00AF16B9"/>
    <w:rsid w:val="00AF17AA"/>
    <w:rsid w:val="00AF184A"/>
    <w:rsid w:val="00AF18B9"/>
    <w:rsid w:val="00AF19DD"/>
    <w:rsid w:val="00AF1E1E"/>
    <w:rsid w:val="00AF1E78"/>
    <w:rsid w:val="00AF2065"/>
    <w:rsid w:val="00AF2185"/>
    <w:rsid w:val="00AF22F2"/>
    <w:rsid w:val="00AF22FF"/>
    <w:rsid w:val="00AF2333"/>
    <w:rsid w:val="00AF2459"/>
    <w:rsid w:val="00AF27D4"/>
    <w:rsid w:val="00AF2916"/>
    <w:rsid w:val="00AF293C"/>
    <w:rsid w:val="00AF29DD"/>
    <w:rsid w:val="00AF2A27"/>
    <w:rsid w:val="00AF2A5F"/>
    <w:rsid w:val="00AF2AC1"/>
    <w:rsid w:val="00AF2BA1"/>
    <w:rsid w:val="00AF2D1D"/>
    <w:rsid w:val="00AF2DF0"/>
    <w:rsid w:val="00AF2E2E"/>
    <w:rsid w:val="00AF302A"/>
    <w:rsid w:val="00AF31F0"/>
    <w:rsid w:val="00AF322F"/>
    <w:rsid w:val="00AF346A"/>
    <w:rsid w:val="00AF34BC"/>
    <w:rsid w:val="00AF3505"/>
    <w:rsid w:val="00AF375E"/>
    <w:rsid w:val="00AF3768"/>
    <w:rsid w:val="00AF3786"/>
    <w:rsid w:val="00AF3868"/>
    <w:rsid w:val="00AF3962"/>
    <w:rsid w:val="00AF3BC8"/>
    <w:rsid w:val="00AF3C70"/>
    <w:rsid w:val="00AF3CC6"/>
    <w:rsid w:val="00AF3E88"/>
    <w:rsid w:val="00AF3F2E"/>
    <w:rsid w:val="00AF3FD9"/>
    <w:rsid w:val="00AF414D"/>
    <w:rsid w:val="00AF435F"/>
    <w:rsid w:val="00AF4382"/>
    <w:rsid w:val="00AF45AB"/>
    <w:rsid w:val="00AF45DD"/>
    <w:rsid w:val="00AF47A1"/>
    <w:rsid w:val="00AF48A5"/>
    <w:rsid w:val="00AF492C"/>
    <w:rsid w:val="00AF4B4F"/>
    <w:rsid w:val="00AF4D95"/>
    <w:rsid w:val="00AF4E99"/>
    <w:rsid w:val="00AF4FC8"/>
    <w:rsid w:val="00AF5089"/>
    <w:rsid w:val="00AF5092"/>
    <w:rsid w:val="00AF517E"/>
    <w:rsid w:val="00AF5221"/>
    <w:rsid w:val="00AF523E"/>
    <w:rsid w:val="00AF5280"/>
    <w:rsid w:val="00AF54A0"/>
    <w:rsid w:val="00AF54D8"/>
    <w:rsid w:val="00AF55F2"/>
    <w:rsid w:val="00AF560D"/>
    <w:rsid w:val="00AF5838"/>
    <w:rsid w:val="00AF5A19"/>
    <w:rsid w:val="00AF5A8A"/>
    <w:rsid w:val="00AF5D12"/>
    <w:rsid w:val="00AF5D3D"/>
    <w:rsid w:val="00AF5D67"/>
    <w:rsid w:val="00AF5ED2"/>
    <w:rsid w:val="00AF633B"/>
    <w:rsid w:val="00AF642E"/>
    <w:rsid w:val="00AF6631"/>
    <w:rsid w:val="00AF69F6"/>
    <w:rsid w:val="00AF6A00"/>
    <w:rsid w:val="00AF6A2C"/>
    <w:rsid w:val="00AF6A46"/>
    <w:rsid w:val="00AF6B15"/>
    <w:rsid w:val="00AF6BBE"/>
    <w:rsid w:val="00AF6BDF"/>
    <w:rsid w:val="00AF6C3B"/>
    <w:rsid w:val="00AF6E27"/>
    <w:rsid w:val="00AF6E6C"/>
    <w:rsid w:val="00AF6EC4"/>
    <w:rsid w:val="00AF6F17"/>
    <w:rsid w:val="00AF707D"/>
    <w:rsid w:val="00AF709D"/>
    <w:rsid w:val="00AF7112"/>
    <w:rsid w:val="00AF7181"/>
    <w:rsid w:val="00AF71B5"/>
    <w:rsid w:val="00AF71D8"/>
    <w:rsid w:val="00AF725C"/>
    <w:rsid w:val="00AF72B7"/>
    <w:rsid w:val="00AF72D4"/>
    <w:rsid w:val="00AF7349"/>
    <w:rsid w:val="00AF74D5"/>
    <w:rsid w:val="00AF7542"/>
    <w:rsid w:val="00AF7652"/>
    <w:rsid w:val="00AF7664"/>
    <w:rsid w:val="00AF7706"/>
    <w:rsid w:val="00AF7B72"/>
    <w:rsid w:val="00AF7C20"/>
    <w:rsid w:val="00AF7CA6"/>
    <w:rsid w:val="00AF7DF6"/>
    <w:rsid w:val="00AF7E0B"/>
    <w:rsid w:val="00AF7E49"/>
    <w:rsid w:val="00AF7FE0"/>
    <w:rsid w:val="00B000A7"/>
    <w:rsid w:val="00B0010C"/>
    <w:rsid w:val="00B00122"/>
    <w:rsid w:val="00B001DA"/>
    <w:rsid w:val="00B002B6"/>
    <w:rsid w:val="00B002E8"/>
    <w:rsid w:val="00B00339"/>
    <w:rsid w:val="00B0053B"/>
    <w:rsid w:val="00B005F0"/>
    <w:rsid w:val="00B006C2"/>
    <w:rsid w:val="00B0075E"/>
    <w:rsid w:val="00B007B8"/>
    <w:rsid w:val="00B00895"/>
    <w:rsid w:val="00B0092D"/>
    <w:rsid w:val="00B00A10"/>
    <w:rsid w:val="00B00E12"/>
    <w:rsid w:val="00B00F0B"/>
    <w:rsid w:val="00B0102C"/>
    <w:rsid w:val="00B0119B"/>
    <w:rsid w:val="00B011A3"/>
    <w:rsid w:val="00B012F3"/>
    <w:rsid w:val="00B0132A"/>
    <w:rsid w:val="00B01467"/>
    <w:rsid w:val="00B01468"/>
    <w:rsid w:val="00B0155B"/>
    <w:rsid w:val="00B01754"/>
    <w:rsid w:val="00B0185F"/>
    <w:rsid w:val="00B01908"/>
    <w:rsid w:val="00B0191E"/>
    <w:rsid w:val="00B01C7E"/>
    <w:rsid w:val="00B01CD4"/>
    <w:rsid w:val="00B01E6F"/>
    <w:rsid w:val="00B01ED8"/>
    <w:rsid w:val="00B01EF3"/>
    <w:rsid w:val="00B01F07"/>
    <w:rsid w:val="00B01F14"/>
    <w:rsid w:val="00B01F68"/>
    <w:rsid w:val="00B020E6"/>
    <w:rsid w:val="00B02193"/>
    <w:rsid w:val="00B02204"/>
    <w:rsid w:val="00B0221E"/>
    <w:rsid w:val="00B023F0"/>
    <w:rsid w:val="00B0259B"/>
    <w:rsid w:val="00B025FC"/>
    <w:rsid w:val="00B02923"/>
    <w:rsid w:val="00B02C1A"/>
    <w:rsid w:val="00B02C6B"/>
    <w:rsid w:val="00B02E1B"/>
    <w:rsid w:val="00B02E8C"/>
    <w:rsid w:val="00B02F63"/>
    <w:rsid w:val="00B03081"/>
    <w:rsid w:val="00B03268"/>
    <w:rsid w:val="00B03286"/>
    <w:rsid w:val="00B032DD"/>
    <w:rsid w:val="00B032E9"/>
    <w:rsid w:val="00B03458"/>
    <w:rsid w:val="00B03AFF"/>
    <w:rsid w:val="00B03CA5"/>
    <w:rsid w:val="00B041A4"/>
    <w:rsid w:val="00B0454D"/>
    <w:rsid w:val="00B045E9"/>
    <w:rsid w:val="00B04612"/>
    <w:rsid w:val="00B04668"/>
    <w:rsid w:val="00B04D80"/>
    <w:rsid w:val="00B04DAF"/>
    <w:rsid w:val="00B04FC8"/>
    <w:rsid w:val="00B0505E"/>
    <w:rsid w:val="00B05079"/>
    <w:rsid w:val="00B05174"/>
    <w:rsid w:val="00B05346"/>
    <w:rsid w:val="00B05400"/>
    <w:rsid w:val="00B05416"/>
    <w:rsid w:val="00B0548F"/>
    <w:rsid w:val="00B0550C"/>
    <w:rsid w:val="00B05606"/>
    <w:rsid w:val="00B056A5"/>
    <w:rsid w:val="00B056EE"/>
    <w:rsid w:val="00B058C9"/>
    <w:rsid w:val="00B05953"/>
    <w:rsid w:val="00B05A73"/>
    <w:rsid w:val="00B05B29"/>
    <w:rsid w:val="00B05C12"/>
    <w:rsid w:val="00B05F24"/>
    <w:rsid w:val="00B05F26"/>
    <w:rsid w:val="00B05F40"/>
    <w:rsid w:val="00B05F60"/>
    <w:rsid w:val="00B06047"/>
    <w:rsid w:val="00B06060"/>
    <w:rsid w:val="00B061B3"/>
    <w:rsid w:val="00B062C3"/>
    <w:rsid w:val="00B06367"/>
    <w:rsid w:val="00B06371"/>
    <w:rsid w:val="00B063B1"/>
    <w:rsid w:val="00B06567"/>
    <w:rsid w:val="00B0674B"/>
    <w:rsid w:val="00B06781"/>
    <w:rsid w:val="00B0698A"/>
    <w:rsid w:val="00B06A96"/>
    <w:rsid w:val="00B06B55"/>
    <w:rsid w:val="00B06CB6"/>
    <w:rsid w:val="00B06DF1"/>
    <w:rsid w:val="00B06E81"/>
    <w:rsid w:val="00B070FE"/>
    <w:rsid w:val="00B07307"/>
    <w:rsid w:val="00B0730C"/>
    <w:rsid w:val="00B074E1"/>
    <w:rsid w:val="00B076C1"/>
    <w:rsid w:val="00B077F3"/>
    <w:rsid w:val="00B0786B"/>
    <w:rsid w:val="00B0788B"/>
    <w:rsid w:val="00B078A0"/>
    <w:rsid w:val="00B078CD"/>
    <w:rsid w:val="00B079A1"/>
    <w:rsid w:val="00B079B2"/>
    <w:rsid w:val="00B07A1B"/>
    <w:rsid w:val="00B07AC0"/>
    <w:rsid w:val="00B07C74"/>
    <w:rsid w:val="00B07E4D"/>
    <w:rsid w:val="00B07F59"/>
    <w:rsid w:val="00B07FB8"/>
    <w:rsid w:val="00B1016E"/>
    <w:rsid w:val="00B101D6"/>
    <w:rsid w:val="00B10229"/>
    <w:rsid w:val="00B1027C"/>
    <w:rsid w:val="00B10293"/>
    <w:rsid w:val="00B1034C"/>
    <w:rsid w:val="00B105F7"/>
    <w:rsid w:val="00B106B1"/>
    <w:rsid w:val="00B1097D"/>
    <w:rsid w:val="00B10A05"/>
    <w:rsid w:val="00B10B2A"/>
    <w:rsid w:val="00B10C0A"/>
    <w:rsid w:val="00B10C68"/>
    <w:rsid w:val="00B10CEF"/>
    <w:rsid w:val="00B10E8A"/>
    <w:rsid w:val="00B11154"/>
    <w:rsid w:val="00B11278"/>
    <w:rsid w:val="00B113E7"/>
    <w:rsid w:val="00B113EA"/>
    <w:rsid w:val="00B114AC"/>
    <w:rsid w:val="00B11537"/>
    <w:rsid w:val="00B115A3"/>
    <w:rsid w:val="00B115C5"/>
    <w:rsid w:val="00B11609"/>
    <w:rsid w:val="00B117A2"/>
    <w:rsid w:val="00B117E4"/>
    <w:rsid w:val="00B11A4D"/>
    <w:rsid w:val="00B11C1F"/>
    <w:rsid w:val="00B11C2D"/>
    <w:rsid w:val="00B11E85"/>
    <w:rsid w:val="00B122FA"/>
    <w:rsid w:val="00B1239C"/>
    <w:rsid w:val="00B125EC"/>
    <w:rsid w:val="00B126FA"/>
    <w:rsid w:val="00B127B9"/>
    <w:rsid w:val="00B127D1"/>
    <w:rsid w:val="00B1280D"/>
    <w:rsid w:val="00B12BD5"/>
    <w:rsid w:val="00B12C33"/>
    <w:rsid w:val="00B12C53"/>
    <w:rsid w:val="00B12C98"/>
    <w:rsid w:val="00B12D54"/>
    <w:rsid w:val="00B12D65"/>
    <w:rsid w:val="00B12D75"/>
    <w:rsid w:val="00B12E56"/>
    <w:rsid w:val="00B12F71"/>
    <w:rsid w:val="00B12FE8"/>
    <w:rsid w:val="00B1303D"/>
    <w:rsid w:val="00B131A7"/>
    <w:rsid w:val="00B131AF"/>
    <w:rsid w:val="00B13254"/>
    <w:rsid w:val="00B13696"/>
    <w:rsid w:val="00B139AA"/>
    <w:rsid w:val="00B13DE3"/>
    <w:rsid w:val="00B14025"/>
    <w:rsid w:val="00B14163"/>
    <w:rsid w:val="00B1421C"/>
    <w:rsid w:val="00B142B8"/>
    <w:rsid w:val="00B144BE"/>
    <w:rsid w:val="00B14515"/>
    <w:rsid w:val="00B1470B"/>
    <w:rsid w:val="00B1471D"/>
    <w:rsid w:val="00B147A1"/>
    <w:rsid w:val="00B14A9A"/>
    <w:rsid w:val="00B14AC8"/>
    <w:rsid w:val="00B14E43"/>
    <w:rsid w:val="00B14F18"/>
    <w:rsid w:val="00B14F59"/>
    <w:rsid w:val="00B14FFF"/>
    <w:rsid w:val="00B151CC"/>
    <w:rsid w:val="00B15307"/>
    <w:rsid w:val="00B1533E"/>
    <w:rsid w:val="00B15486"/>
    <w:rsid w:val="00B15538"/>
    <w:rsid w:val="00B155FA"/>
    <w:rsid w:val="00B156B7"/>
    <w:rsid w:val="00B156D9"/>
    <w:rsid w:val="00B157B9"/>
    <w:rsid w:val="00B157E0"/>
    <w:rsid w:val="00B15995"/>
    <w:rsid w:val="00B15A19"/>
    <w:rsid w:val="00B15A30"/>
    <w:rsid w:val="00B15BAD"/>
    <w:rsid w:val="00B15BE7"/>
    <w:rsid w:val="00B15C46"/>
    <w:rsid w:val="00B15CB1"/>
    <w:rsid w:val="00B15E14"/>
    <w:rsid w:val="00B15E5F"/>
    <w:rsid w:val="00B15E9F"/>
    <w:rsid w:val="00B15EBF"/>
    <w:rsid w:val="00B15F53"/>
    <w:rsid w:val="00B1600E"/>
    <w:rsid w:val="00B16076"/>
    <w:rsid w:val="00B163E6"/>
    <w:rsid w:val="00B164E5"/>
    <w:rsid w:val="00B16546"/>
    <w:rsid w:val="00B16874"/>
    <w:rsid w:val="00B168A2"/>
    <w:rsid w:val="00B16903"/>
    <w:rsid w:val="00B169E9"/>
    <w:rsid w:val="00B16A60"/>
    <w:rsid w:val="00B16B0A"/>
    <w:rsid w:val="00B16B34"/>
    <w:rsid w:val="00B16BAD"/>
    <w:rsid w:val="00B16DBB"/>
    <w:rsid w:val="00B16E80"/>
    <w:rsid w:val="00B170C4"/>
    <w:rsid w:val="00B1715D"/>
    <w:rsid w:val="00B1718C"/>
    <w:rsid w:val="00B17596"/>
    <w:rsid w:val="00B175CA"/>
    <w:rsid w:val="00B175DC"/>
    <w:rsid w:val="00B176CC"/>
    <w:rsid w:val="00B177B3"/>
    <w:rsid w:val="00B17878"/>
    <w:rsid w:val="00B178BC"/>
    <w:rsid w:val="00B1797C"/>
    <w:rsid w:val="00B17AA9"/>
    <w:rsid w:val="00B17BD1"/>
    <w:rsid w:val="00B17F5A"/>
    <w:rsid w:val="00B17F93"/>
    <w:rsid w:val="00B2001E"/>
    <w:rsid w:val="00B20045"/>
    <w:rsid w:val="00B20255"/>
    <w:rsid w:val="00B202C6"/>
    <w:rsid w:val="00B20312"/>
    <w:rsid w:val="00B203E9"/>
    <w:rsid w:val="00B204AC"/>
    <w:rsid w:val="00B204E1"/>
    <w:rsid w:val="00B20511"/>
    <w:rsid w:val="00B205E6"/>
    <w:rsid w:val="00B206D5"/>
    <w:rsid w:val="00B2076E"/>
    <w:rsid w:val="00B207F9"/>
    <w:rsid w:val="00B20BB3"/>
    <w:rsid w:val="00B20CB3"/>
    <w:rsid w:val="00B20DD0"/>
    <w:rsid w:val="00B20EF6"/>
    <w:rsid w:val="00B20FC3"/>
    <w:rsid w:val="00B20FC5"/>
    <w:rsid w:val="00B21034"/>
    <w:rsid w:val="00B21087"/>
    <w:rsid w:val="00B210BE"/>
    <w:rsid w:val="00B21103"/>
    <w:rsid w:val="00B2110C"/>
    <w:rsid w:val="00B21165"/>
    <w:rsid w:val="00B211E5"/>
    <w:rsid w:val="00B212A1"/>
    <w:rsid w:val="00B213D0"/>
    <w:rsid w:val="00B217C6"/>
    <w:rsid w:val="00B219F5"/>
    <w:rsid w:val="00B21A26"/>
    <w:rsid w:val="00B21A92"/>
    <w:rsid w:val="00B21B67"/>
    <w:rsid w:val="00B21BC3"/>
    <w:rsid w:val="00B21CEE"/>
    <w:rsid w:val="00B21DA1"/>
    <w:rsid w:val="00B21DDB"/>
    <w:rsid w:val="00B21E0F"/>
    <w:rsid w:val="00B21F37"/>
    <w:rsid w:val="00B22027"/>
    <w:rsid w:val="00B22039"/>
    <w:rsid w:val="00B22146"/>
    <w:rsid w:val="00B221DD"/>
    <w:rsid w:val="00B222CA"/>
    <w:rsid w:val="00B222CB"/>
    <w:rsid w:val="00B223B6"/>
    <w:rsid w:val="00B2241A"/>
    <w:rsid w:val="00B22587"/>
    <w:rsid w:val="00B226C0"/>
    <w:rsid w:val="00B2274E"/>
    <w:rsid w:val="00B227D8"/>
    <w:rsid w:val="00B2281F"/>
    <w:rsid w:val="00B22B63"/>
    <w:rsid w:val="00B22C75"/>
    <w:rsid w:val="00B22CFE"/>
    <w:rsid w:val="00B22E5D"/>
    <w:rsid w:val="00B23685"/>
    <w:rsid w:val="00B23840"/>
    <w:rsid w:val="00B23940"/>
    <w:rsid w:val="00B23DEA"/>
    <w:rsid w:val="00B241A4"/>
    <w:rsid w:val="00B2434F"/>
    <w:rsid w:val="00B243A7"/>
    <w:rsid w:val="00B2446D"/>
    <w:rsid w:val="00B2453D"/>
    <w:rsid w:val="00B24699"/>
    <w:rsid w:val="00B247B7"/>
    <w:rsid w:val="00B2489D"/>
    <w:rsid w:val="00B248C8"/>
    <w:rsid w:val="00B248DF"/>
    <w:rsid w:val="00B24BFB"/>
    <w:rsid w:val="00B24DB4"/>
    <w:rsid w:val="00B24DDF"/>
    <w:rsid w:val="00B24DF6"/>
    <w:rsid w:val="00B24E3F"/>
    <w:rsid w:val="00B24EFF"/>
    <w:rsid w:val="00B24F28"/>
    <w:rsid w:val="00B24FA2"/>
    <w:rsid w:val="00B2518E"/>
    <w:rsid w:val="00B251C7"/>
    <w:rsid w:val="00B251CC"/>
    <w:rsid w:val="00B251F5"/>
    <w:rsid w:val="00B25269"/>
    <w:rsid w:val="00B25310"/>
    <w:rsid w:val="00B25323"/>
    <w:rsid w:val="00B2559B"/>
    <w:rsid w:val="00B258BC"/>
    <w:rsid w:val="00B25B46"/>
    <w:rsid w:val="00B25C89"/>
    <w:rsid w:val="00B25DDA"/>
    <w:rsid w:val="00B25DEF"/>
    <w:rsid w:val="00B25FB4"/>
    <w:rsid w:val="00B26094"/>
    <w:rsid w:val="00B26126"/>
    <w:rsid w:val="00B261D4"/>
    <w:rsid w:val="00B2621B"/>
    <w:rsid w:val="00B262B7"/>
    <w:rsid w:val="00B26351"/>
    <w:rsid w:val="00B26356"/>
    <w:rsid w:val="00B26566"/>
    <w:rsid w:val="00B26588"/>
    <w:rsid w:val="00B26751"/>
    <w:rsid w:val="00B26861"/>
    <w:rsid w:val="00B26921"/>
    <w:rsid w:val="00B26978"/>
    <w:rsid w:val="00B26985"/>
    <w:rsid w:val="00B26A39"/>
    <w:rsid w:val="00B26B66"/>
    <w:rsid w:val="00B26B92"/>
    <w:rsid w:val="00B26BB1"/>
    <w:rsid w:val="00B26C59"/>
    <w:rsid w:val="00B26CFD"/>
    <w:rsid w:val="00B26D7B"/>
    <w:rsid w:val="00B26DC1"/>
    <w:rsid w:val="00B26EB2"/>
    <w:rsid w:val="00B26FDE"/>
    <w:rsid w:val="00B27043"/>
    <w:rsid w:val="00B2718E"/>
    <w:rsid w:val="00B272E2"/>
    <w:rsid w:val="00B272E5"/>
    <w:rsid w:val="00B27317"/>
    <w:rsid w:val="00B273FC"/>
    <w:rsid w:val="00B27748"/>
    <w:rsid w:val="00B277BF"/>
    <w:rsid w:val="00B27880"/>
    <w:rsid w:val="00B278B6"/>
    <w:rsid w:val="00B278F8"/>
    <w:rsid w:val="00B278FC"/>
    <w:rsid w:val="00B27A2A"/>
    <w:rsid w:val="00B27AC0"/>
    <w:rsid w:val="00B27AC9"/>
    <w:rsid w:val="00B27C63"/>
    <w:rsid w:val="00B27C74"/>
    <w:rsid w:val="00B27CFC"/>
    <w:rsid w:val="00B27D28"/>
    <w:rsid w:val="00B27E77"/>
    <w:rsid w:val="00B27ED2"/>
    <w:rsid w:val="00B27F34"/>
    <w:rsid w:val="00B3003B"/>
    <w:rsid w:val="00B301CB"/>
    <w:rsid w:val="00B3045C"/>
    <w:rsid w:val="00B304C4"/>
    <w:rsid w:val="00B305FD"/>
    <w:rsid w:val="00B30610"/>
    <w:rsid w:val="00B3062B"/>
    <w:rsid w:val="00B308AA"/>
    <w:rsid w:val="00B3090E"/>
    <w:rsid w:val="00B30AFB"/>
    <w:rsid w:val="00B30B3A"/>
    <w:rsid w:val="00B30B69"/>
    <w:rsid w:val="00B30CF0"/>
    <w:rsid w:val="00B30DE9"/>
    <w:rsid w:val="00B30F35"/>
    <w:rsid w:val="00B30F9D"/>
    <w:rsid w:val="00B31045"/>
    <w:rsid w:val="00B31080"/>
    <w:rsid w:val="00B310A6"/>
    <w:rsid w:val="00B310D3"/>
    <w:rsid w:val="00B31117"/>
    <w:rsid w:val="00B314B0"/>
    <w:rsid w:val="00B31509"/>
    <w:rsid w:val="00B31545"/>
    <w:rsid w:val="00B3154D"/>
    <w:rsid w:val="00B31573"/>
    <w:rsid w:val="00B31742"/>
    <w:rsid w:val="00B31836"/>
    <w:rsid w:val="00B31ADA"/>
    <w:rsid w:val="00B31AE6"/>
    <w:rsid w:val="00B31C3B"/>
    <w:rsid w:val="00B32365"/>
    <w:rsid w:val="00B325A0"/>
    <w:rsid w:val="00B32793"/>
    <w:rsid w:val="00B32896"/>
    <w:rsid w:val="00B32A62"/>
    <w:rsid w:val="00B32ADF"/>
    <w:rsid w:val="00B32B88"/>
    <w:rsid w:val="00B32C52"/>
    <w:rsid w:val="00B32C98"/>
    <w:rsid w:val="00B32CEB"/>
    <w:rsid w:val="00B32D75"/>
    <w:rsid w:val="00B32DC7"/>
    <w:rsid w:val="00B32F9A"/>
    <w:rsid w:val="00B32FD2"/>
    <w:rsid w:val="00B32FFD"/>
    <w:rsid w:val="00B3309C"/>
    <w:rsid w:val="00B332AE"/>
    <w:rsid w:val="00B33446"/>
    <w:rsid w:val="00B33568"/>
    <w:rsid w:val="00B337CC"/>
    <w:rsid w:val="00B33971"/>
    <w:rsid w:val="00B339BA"/>
    <w:rsid w:val="00B33A17"/>
    <w:rsid w:val="00B33BAA"/>
    <w:rsid w:val="00B33CB3"/>
    <w:rsid w:val="00B33D03"/>
    <w:rsid w:val="00B33D76"/>
    <w:rsid w:val="00B33EA3"/>
    <w:rsid w:val="00B33FE9"/>
    <w:rsid w:val="00B3402F"/>
    <w:rsid w:val="00B3403C"/>
    <w:rsid w:val="00B341D9"/>
    <w:rsid w:val="00B3422F"/>
    <w:rsid w:val="00B342E5"/>
    <w:rsid w:val="00B34347"/>
    <w:rsid w:val="00B345CB"/>
    <w:rsid w:val="00B34658"/>
    <w:rsid w:val="00B34785"/>
    <w:rsid w:val="00B347A1"/>
    <w:rsid w:val="00B34805"/>
    <w:rsid w:val="00B3481D"/>
    <w:rsid w:val="00B348DA"/>
    <w:rsid w:val="00B34A26"/>
    <w:rsid w:val="00B34C45"/>
    <w:rsid w:val="00B34C68"/>
    <w:rsid w:val="00B34C7B"/>
    <w:rsid w:val="00B34E01"/>
    <w:rsid w:val="00B34E82"/>
    <w:rsid w:val="00B34E97"/>
    <w:rsid w:val="00B35058"/>
    <w:rsid w:val="00B35175"/>
    <w:rsid w:val="00B351E4"/>
    <w:rsid w:val="00B352A9"/>
    <w:rsid w:val="00B35305"/>
    <w:rsid w:val="00B3553A"/>
    <w:rsid w:val="00B355E8"/>
    <w:rsid w:val="00B355EA"/>
    <w:rsid w:val="00B35607"/>
    <w:rsid w:val="00B3589B"/>
    <w:rsid w:val="00B35924"/>
    <w:rsid w:val="00B35A0B"/>
    <w:rsid w:val="00B35B4D"/>
    <w:rsid w:val="00B35C8D"/>
    <w:rsid w:val="00B35CBC"/>
    <w:rsid w:val="00B35DB9"/>
    <w:rsid w:val="00B35F9B"/>
    <w:rsid w:val="00B35FD6"/>
    <w:rsid w:val="00B360C5"/>
    <w:rsid w:val="00B36123"/>
    <w:rsid w:val="00B363C1"/>
    <w:rsid w:val="00B36448"/>
    <w:rsid w:val="00B364B5"/>
    <w:rsid w:val="00B365B1"/>
    <w:rsid w:val="00B366A4"/>
    <w:rsid w:val="00B366B6"/>
    <w:rsid w:val="00B36737"/>
    <w:rsid w:val="00B367E8"/>
    <w:rsid w:val="00B36AAF"/>
    <w:rsid w:val="00B36B59"/>
    <w:rsid w:val="00B36F0F"/>
    <w:rsid w:val="00B36F42"/>
    <w:rsid w:val="00B36FAA"/>
    <w:rsid w:val="00B36FAD"/>
    <w:rsid w:val="00B37165"/>
    <w:rsid w:val="00B3717B"/>
    <w:rsid w:val="00B371A2"/>
    <w:rsid w:val="00B3722A"/>
    <w:rsid w:val="00B372DB"/>
    <w:rsid w:val="00B372E9"/>
    <w:rsid w:val="00B37412"/>
    <w:rsid w:val="00B37414"/>
    <w:rsid w:val="00B374E6"/>
    <w:rsid w:val="00B37777"/>
    <w:rsid w:val="00B377D1"/>
    <w:rsid w:val="00B3790B"/>
    <w:rsid w:val="00B37949"/>
    <w:rsid w:val="00B379BC"/>
    <w:rsid w:val="00B37BB9"/>
    <w:rsid w:val="00B37ECE"/>
    <w:rsid w:val="00B400D3"/>
    <w:rsid w:val="00B40142"/>
    <w:rsid w:val="00B40350"/>
    <w:rsid w:val="00B404B4"/>
    <w:rsid w:val="00B406F1"/>
    <w:rsid w:val="00B40749"/>
    <w:rsid w:val="00B409CC"/>
    <w:rsid w:val="00B40A01"/>
    <w:rsid w:val="00B40A16"/>
    <w:rsid w:val="00B40A3F"/>
    <w:rsid w:val="00B40CA0"/>
    <w:rsid w:val="00B40D88"/>
    <w:rsid w:val="00B40F18"/>
    <w:rsid w:val="00B40F1B"/>
    <w:rsid w:val="00B41044"/>
    <w:rsid w:val="00B41118"/>
    <w:rsid w:val="00B41129"/>
    <w:rsid w:val="00B41133"/>
    <w:rsid w:val="00B41259"/>
    <w:rsid w:val="00B416F8"/>
    <w:rsid w:val="00B4173A"/>
    <w:rsid w:val="00B4190E"/>
    <w:rsid w:val="00B4192E"/>
    <w:rsid w:val="00B41955"/>
    <w:rsid w:val="00B41A1F"/>
    <w:rsid w:val="00B41C8D"/>
    <w:rsid w:val="00B41D35"/>
    <w:rsid w:val="00B41F63"/>
    <w:rsid w:val="00B41F6F"/>
    <w:rsid w:val="00B420C2"/>
    <w:rsid w:val="00B420F3"/>
    <w:rsid w:val="00B421A9"/>
    <w:rsid w:val="00B4225D"/>
    <w:rsid w:val="00B4229F"/>
    <w:rsid w:val="00B42313"/>
    <w:rsid w:val="00B4238D"/>
    <w:rsid w:val="00B424D0"/>
    <w:rsid w:val="00B424E2"/>
    <w:rsid w:val="00B4252F"/>
    <w:rsid w:val="00B4256A"/>
    <w:rsid w:val="00B4281B"/>
    <w:rsid w:val="00B428BD"/>
    <w:rsid w:val="00B42E0C"/>
    <w:rsid w:val="00B42E14"/>
    <w:rsid w:val="00B42EED"/>
    <w:rsid w:val="00B42F17"/>
    <w:rsid w:val="00B42F71"/>
    <w:rsid w:val="00B42F8C"/>
    <w:rsid w:val="00B43064"/>
    <w:rsid w:val="00B43136"/>
    <w:rsid w:val="00B4317E"/>
    <w:rsid w:val="00B43286"/>
    <w:rsid w:val="00B434A6"/>
    <w:rsid w:val="00B43522"/>
    <w:rsid w:val="00B43686"/>
    <w:rsid w:val="00B436DE"/>
    <w:rsid w:val="00B43728"/>
    <w:rsid w:val="00B43B68"/>
    <w:rsid w:val="00B44168"/>
    <w:rsid w:val="00B443BA"/>
    <w:rsid w:val="00B444DE"/>
    <w:rsid w:val="00B446AE"/>
    <w:rsid w:val="00B447A9"/>
    <w:rsid w:val="00B44A98"/>
    <w:rsid w:val="00B44AE1"/>
    <w:rsid w:val="00B44BCC"/>
    <w:rsid w:val="00B44E4E"/>
    <w:rsid w:val="00B44EC0"/>
    <w:rsid w:val="00B45066"/>
    <w:rsid w:val="00B450E8"/>
    <w:rsid w:val="00B4524A"/>
    <w:rsid w:val="00B45512"/>
    <w:rsid w:val="00B455B7"/>
    <w:rsid w:val="00B45795"/>
    <w:rsid w:val="00B457A3"/>
    <w:rsid w:val="00B45801"/>
    <w:rsid w:val="00B4598C"/>
    <w:rsid w:val="00B459E5"/>
    <w:rsid w:val="00B45B47"/>
    <w:rsid w:val="00B45C24"/>
    <w:rsid w:val="00B45CB4"/>
    <w:rsid w:val="00B45EA5"/>
    <w:rsid w:val="00B45F00"/>
    <w:rsid w:val="00B46044"/>
    <w:rsid w:val="00B46060"/>
    <w:rsid w:val="00B461DC"/>
    <w:rsid w:val="00B465A6"/>
    <w:rsid w:val="00B465EE"/>
    <w:rsid w:val="00B4669A"/>
    <w:rsid w:val="00B466B2"/>
    <w:rsid w:val="00B46896"/>
    <w:rsid w:val="00B468C6"/>
    <w:rsid w:val="00B46B64"/>
    <w:rsid w:val="00B46CE3"/>
    <w:rsid w:val="00B46D24"/>
    <w:rsid w:val="00B46F28"/>
    <w:rsid w:val="00B46FCB"/>
    <w:rsid w:val="00B4709C"/>
    <w:rsid w:val="00B47176"/>
    <w:rsid w:val="00B472E0"/>
    <w:rsid w:val="00B47680"/>
    <w:rsid w:val="00B4786D"/>
    <w:rsid w:val="00B47999"/>
    <w:rsid w:val="00B479A0"/>
    <w:rsid w:val="00B47B12"/>
    <w:rsid w:val="00B47DE0"/>
    <w:rsid w:val="00B47F5A"/>
    <w:rsid w:val="00B4F49D"/>
    <w:rsid w:val="00B500F7"/>
    <w:rsid w:val="00B5028D"/>
    <w:rsid w:val="00B5069D"/>
    <w:rsid w:val="00B5078E"/>
    <w:rsid w:val="00B507DB"/>
    <w:rsid w:val="00B50A35"/>
    <w:rsid w:val="00B50AA7"/>
    <w:rsid w:val="00B50B72"/>
    <w:rsid w:val="00B50BD2"/>
    <w:rsid w:val="00B50C5B"/>
    <w:rsid w:val="00B50D27"/>
    <w:rsid w:val="00B50D5A"/>
    <w:rsid w:val="00B50F01"/>
    <w:rsid w:val="00B50F61"/>
    <w:rsid w:val="00B511BA"/>
    <w:rsid w:val="00B51244"/>
    <w:rsid w:val="00B51278"/>
    <w:rsid w:val="00B512A4"/>
    <w:rsid w:val="00B515EE"/>
    <w:rsid w:val="00B5179E"/>
    <w:rsid w:val="00B517EC"/>
    <w:rsid w:val="00B518A9"/>
    <w:rsid w:val="00B518B2"/>
    <w:rsid w:val="00B519C2"/>
    <w:rsid w:val="00B519DA"/>
    <w:rsid w:val="00B51A82"/>
    <w:rsid w:val="00B51AC1"/>
    <w:rsid w:val="00B51D06"/>
    <w:rsid w:val="00B51D75"/>
    <w:rsid w:val="00B51DE6"/>
    <w:rsid w:val="00B51F63"/>
    <w:rsid w:val="00B52031"/>
    <w:rsid w:val="00B520A0"/>
    <w:rsid w:val="00B5216C"/>
    <w:rsid w:val="00B52381"/>
    <w:rsid w:val="00B52448"/>
    <w:rsid w:val="00B52685"/>
    <w:rsid w:val="00B526D3"/>
    <w:rsid w:val="00B52848"/>
    <w:rsid w:val="00B52861"/>
    <w:rsid w:val="00B52A7B"/>
    <w:rsid w:val="00B52B30"/>
    <w:rsid w:val="00B52C89"/>
    <w:rsid w:val="00B52D4A"/>
    <w:rsid w:val="00B52ECE"/>
    <w:rsid w:val="00B52F19"/>
    <w:rsid w:val="00B530D6"/>
    <w:rsid w:val="00B53209"/>
    <w:rsid w:val="00B533EF"/>
    <w:rsid w:val="00B53551"/>
    <w:rsid w:val="00B53623"/>
    <w:rsid w:val="00B53655"/>
    <w:rsid w:val="00B536F7"/>
    <w:rsid w:val="00B5398F"/>
    <w:rsid w:val="00B53A1A"/>
    <w:rsid w:val="00B53A90"/>
    <w:rsid w:val="00B53AAE"/>
    <w:rsid w:val="00B53B20"/>
    <w:rsid w:val="00B53BDF"/>
    <w:rsid w:val="00B53E07"/>
    <w:rsid w:val="00B53E4D"/>
    <w:rsid w:val="00B5403F"/>
    <w:rsid w:val="00B54057"/>
    <w:rsid w:val="00B54078"/>
    <w:rsid w:val="00B540D2"/>
    <w:rsid w:val="00B5421D"/>
    <w:rsid w:val="00B542CE"/>
    <w:rsid w:val="00B544DC"/>
    <w:rsid w:val="00B54756"/>
    <w:rsid w:val="00B54844"/>
    <w:rsid w:val="00B54A27"/>
    <w:rsid w:val="00B54AC2"/>
    <w:rsid w:val="00B54AFA"/>
    <w:rsid w:val="00B54BA8"/>
    <w:rsid w:val="00B54E8A"/>
    <w:rsid w:val="00B54E9A"/>
    <w:rsid w:val="00B55027"/>
    <w:rsid w:val="00B55112"/>
    <w:rsid w:val="00B55421"/>
    <w:rsid w:val="00B55477"/>
    <w:rsid w:val="00B554D4"/>
    <w:rsid w:val="00B554F5"/>
    <w:rsid w:val="00B55590"/>
    <w:rsid w:val="00B555D5"/>
    <w:rsid w:val="00B55793"/>
    <w:rsid w:val="00B557BE"/>
    <w:rsid w:val="00B55838"/>
    <w:rsid w:val="00B55C41"/>
    <w:rsid w:val="00B55D08"/>
    <w:rsid w:val="00B55D14"/>
    <w:rsid w:val="00B560D5"/>
    <w:rsid w:val="00B56246"/>
    <w:rsid w:val="00B5630B"/>
    <w:rsid w:val="00B564FA"/>
    <w:rsid w:val="00B5661D"/>
    <w:rsid w:val="00B567E6"/>
    <w:rsid w:val="00B5686A"/>
    <w:rsid w:val="00B56936"/>
    <w:rsid w:val="00B569E0"/>
    <w:rsid w:val="00B56A6E"/>
    <w:rsid w:val="00B56CBD"/>
    <w:rsid w:val="00B56D35"/>
    <w:rsid w:val="00B56E82"/>
    <w:rsid w:val="00B56FD0"/>
    <w:rsid w:val="00B57030"/>
    <w:rsid w:val="00B57421"/>
    <w:rsid w:val="00B57423"/>
    <w:rsid w:val="00B57688"/>
    <w:rsid w:val="00B57760"/>
    <w:rsid w:val="00B57913"/>
    <w:rsid w:val="00B57B11"/>
    <w:rsid w:val="00B57B27"/>
    <w:rsid w:val="00B57BBB"/>
    <w:rsid w:val="00B57C5B"/>
    <w:rsid w:val="00B57DAC"/>
    <w:rsid w:val="00B57EFC"/>
    <w:rsid w:val="00B600B1"/>
    <w:rsid w:val="00B601AF"/>
    <w:rsid w:val="00B604CD"/>
    <w:rsid w:val="00B60504"/>
    <w:rsid w:val="00B60656"/>
    <w:rsid w:val="00B6070A"/>
    <w:rsid w:val="00B6078E"/>
    <w:rsid w:val="00B609AE"/>
    <w:rsid w:val="00B60A76"/>
    <w:rsid w:val="00B60AA4"/>
    <w:rsid w:val="00B60AD6"/>
    <w:rsid w:val="00B60BAD"/>
    <w:rsid w:val="00B60BAE"/>
    <w:rsid w:val="00B60E1C"/>
    <w:rsid w:val="00B60E27"/>
    <w:rsid w:val="00B60E87"/>
    <w:rsid w:val="00B60F1C"/>
    <w:rsid w:val="00B61088"/>
    <w:rsid w:val="00B611C7"/>
    <w:rsid w:val="00B61286"/>
    <w:rsid w:val="00B614BC"/>
    <w:rsid w:val="00B615B2"/>
    <w:rsid w:val="00B615D7"/>
    <w:rsid w:val="00B61637"/>
    <w:rsid w:val="00B616C7"/>
    <w:rsid w:val="00B61896"/>
    <w:rsid w:val="00B61981"/>
    <w:rsid w:val="00B61B71"/>
    <w:rsid w:val="00B61D8E"/>
    <w:rsid w:val="00B61E11"/>
    <w:rsid w:val="00B61F41"/>
    <w:rsid w:val="00B620B6"/>
    <w:rsid w:val="00B621C2"/>
    <w:rsid w:val="00B623A9"/>
    <w:rsid w:val="00B6249B"/>
    <w:rsid w:val="00B62500"/>
    <w:rsid w:val="00B626BB"/>
    <w:rsid w:val="00B626F9"/>
    <w:rsid w:val="00B62711"/>
    <w:rsid w:val="00B6286A"/>
    <w:rsid w:val="00B62A13"/>
    <w:rsid w:val="00B62B4D"/>
    <w:rsid w:val="00B62C2B"/>
    <w:rsid w:val="00B62C71"/>
    <w:rsid w:val="00B62EE7"/>
    <w:rsid w:val="00B62EFF"/>
    <w:rsid w:val="00B62F60"/>
    <w:rsid w:val="00B630EF"/>
    <w:rsid w:val="00B63100"/>
    <w:rsid w:val="00B631D3"/>
    <w:rsid w:val="00B6352C"/>
    <w:rsid w:val="00B637B0"/>
    <w:rsid w:val="00B63897"/>
    <w:rsid w:val="00B63993"/>
    <w:rsid w:val="00B639D9"/>
    <w:rsid w:val="00B63CF1"/>
    <w:rsid w:val="00B63ECD"/>
    <w:rsid w:val="00B63FF4"/>
    <w:rsid w:val="00B64097"/>
    <w:rsid w:val="00B64101"/>
    <w:rsid w:val="00B64385"/>
    <w:rsid w:val="00B643F5"/>
    <w:rsid w:val="00B64543"/>
    <w:rsid w:val="00B6457A"/>
    <w:rsid w:val="00B64768"/>
    <w:rsid w:val="00B649E7"/>
    <w:rsid w:val="00B64B45"/>
    <w:rsid w:val="00B64BAF"/>
    <w:rsid w:val="00B64C89"/>
    <w:rsid w:val="00B64C99"/>
    <w:rsid w:val="00B64D07"/>
    <w:rsid w:val="00B64D77"/>
    <w:rsid w:val="00B64E11"/>
    <w:rsid w:val="00B64F88"/>
    <w:rsid w:val="00B65031"/>
    <w:rsid w:val="00B65058"/>
    <w:rsid w:val="00B6517F"/>
    <w:rsid w:val="00B65289"/>
    <w:rsid w:val="00B65468"/>
    <w:rsid w:val="00B65518"/>
    <w:rsid w:val="00B655B0"/>
    <w:rsid w:val="00B655CE"/>
    <w:rsid w:val="00B65700"/>
    <w:rsid w:val="00B658C6"/>
    <w:rsid w:val="00B65905"/>
    <w:rsid w:val="00B65974"/>
    <w:rsid w:val="00B659A4"/>
    <w:rsid w:val="00B65A6E"/>
    <w:rsid w:val="00B65D8D"/>
    <w:rsid w:val="00B65E00"/>
    <w:rsid w:val="00B65EB5"/>
    <w:rsid w:val="00B65F99"/>
    <w:rsid w:val="00B65FBF"/>
    <w:rsid w:val="00B660A4"/>
    <w:rsid w:val="00B66125"/>
    <w:rsid w:val="00B6626E"/>
    <w:rsid w:val="00B66424"/>
    <w:rsid w:val="00B66589"/>
    <w:rsid w:val="00B66701"/>
    <w:rsid w:val="00B669AF"/>
    <w:rsid w:val="00B66B14"/>
    <w:rsid w:val="00B66D77"/>
    <w:rsid w:val="00B66ED4"/>
    <w:rsid w:val="00B67061"/>
    <w:rsid w:val="00B670C6"/>
    <w:rsid w:val="00B67175"/>
    <w:rsid w:val="00B671BF"/>
    <w:rsid w:val="00B6748D"/>
    <w:rsid w:val="00B67625"/>
    <w:rsid w:val="00B67636"/>
    <w:rsid w:val="00B67651"/>
    <w:rsid w:val="00B67793"/>
    <w:rsid w:val="00B67868"/>
    <w:rsid w:val="00B679A6"/>
    <w:rsid w:val="00B679B7"/>
    <w:rsid w:val="00B67BAF"/>
    <w:rsid w:val="00B67C20"/>
    <w:rsid w:val="00B67E52"/>
    <w:rsid w:val="00B67F02"/>
    <w:rsid w:val="00B67FFB"/>
    <w:rsid w:val="00B7005A"/>
    <w:rsid w:val="00B700D2"/>
    <w:rsid w:val="00B7016F"/>
    <w:rsid w:val="00B70296"/>
    <w:rsid w:val="00B703B5"/>
    <w:rsid w:val="00B705EA"/>
    <w:rsid w:val="00B705FA"/>
    <w:rsid w:val="00B70801"/>
    <w:rsid w:val="00B70829"/>
    <w:rsid w:val="00B70987"/>
    <w:rsid w:val="00B70A4D"/>
    <w:rsid w:val="00B70BA6"/>
    <w:rsid w:val="00B70FA9"/>
    <w:rsid w:val="00B71009"/>
    <w:rsid w:val="00B7103B"/>
    <w:rsid w:val="00B71057"/>
    <w:rsid w:val="00B712F7"/>
    <w:rsid w:val="00B7156F"/>
    <w:rsid w:val="00B71715"/>
    <w:rsid w:val="00B71761"/>
    <w:rsid w:val="00B717FD"/>
    <w:rsid w:val="00B718C3"/>
    <w:rsid w:val="00B71905"/>
    <w:rsid w:val="00B7192C"/>
    <w:rsid w:val="00B71932"/>
    <w:rsid w:val="00B71A89"/>
    <w:rsid w:val="00B71A98"/>
    <w:rsid w:val="00B71B6B"/>
    <w:rsid w:val="00B71B7D"/>
    <w:rsid w:val="00B71C25"/>
    <w:rsid w:val="00B71D01"/>
    <w:rsid w:val="00B71E05"/>
    <w:rsid w:val="00B71E54"/>
    <w:rsid w:val="00B71F09"/>
    <w:rsid w:val="00B71FE9"/>
    <w:rsid w:val="00B72023"/>
    <w:rsid w:val="00B720BC"/>
    <w:rsid w:val="00B72204"/>
    <w:rsid w:val="00B72215"/>
    <w:rsid w:val="00B722F6"/>
    <w:rsid w:val="00B7247C"/>
    <w:rsid w:val="00B72523"/>
    <w:rsid w:val="00B725DC"/>
    <w:rsid w:val="00B725E1"/>
    <w:rsid w:val="00B72771"/>
    <w:rsid w:val="00B728BC"/>
    <w:rsid w:val="00B72A77"/>
    <w:rsid w:val="00B72B3F"/>
    <w:rsid w:val="00B72CDA"/>
    <w:rsid w:val="00B72FB0"/>
    <w:rsid w:val="00B730FB"/>
    <w:rsid w:val="00B7326F"/>
    <w:rsid w:val="00B73301"/>
    <w:rsid w:val="00B73304"/>
    <w:rsid w:val="00B7357D"/>
    <w:rsid w:val="00B735FE"/>
    <w:rsid w:val="00B737CD"/>
    <w:rsid w:val="00B737E5"/>
    <w:rsid w:val="00B738F8"/>
    <w:rsid w:val="00B73A7E"/>
    <w:rsid w:val="00B73BC9"/>
    <w:rsid w:val="00B73C17"/>
    <w:rsid w:val="00B73C64"/>
    <w:rsid w:val="00B73CB2"/>
    <w:rsid w:val="00B73CB7"/>
    <w:rsid w:val="00B746FE"/>
    <w:rsid w:val="00B7485D"/>
    <w:rsid w:val="00B748E5"/>
    <w:rsid w:val="00B7490E"/>
    <w:rsid w:val="00B74CDE"/>
    <w:rsid w:val="00B74DC4"/>
    <w:rsid w:val="00B74F8B"/>
    <w:rsid w:val="00B75053"/>
    <w:rsid w:val="00B7520A"/>
    <w:rsid w:val="00B752F4"/>
    <w:rsid w:val="00B7534E"/>
    <w:rsid w:val="00B753ED"/>
    <w:rsid w:val="00B754A1"/>
    <w:rsid w:val="00B754C8"/>
    <w:rsid w:val="00B75543"/>
    <w:rsid w:val="00B75603"/>
    <w:rsid w:val="00B75800"/>
    <w:rsid w:val="00B75BBD"/>
    <w:rsid w:val="00B75EEE"/>
    <w:rsid w:val="00B7609A"/>
    <w:rsid w:val="00B76248"/>
    <w:rsid w:val="00B7628D"/>
    <w:rsid w:val="00B76442"/>
    <w:rsid w:val="00B7645A"/>
    <w:rsid w:val="00B76721"/>
    <w:rsid w:val="00B76750"/>
    <w:rsid w:val="00B76789"/>
    <w:rsid w:val="00B76A8B"/>
    <w:rsid w:val="00B76AD6"/>
    <w:rsid w:val="00B76C59"/>
    <w:rsid w:val="00B76CBA"/>
    <w:rsid w:val="00B76FC4"/>
    <w:rsid w:val="00B771A8"/>
    <w:rsid w:val="00B771C6"/>
    <w:rsid w:val="00B771E3"/>
    <w:rsid w:val="00B77369"/>
    <w:rsid w:val="00B77637"/>
    <w:rsid w:val="00B776B6"/>
    <w:rsid w:val="00B77791"/>
    <w:rsid w:val="00B777C7"/>
    <w:rsid w:val="00B7784E"/>
    <w:rsid w:val="00B7799E"/>
    <w:rsid w:val="00B77C95"/>
    <w:rsid w:val="00B77D04"/>
    <w:rsid w:val="00B77D49"/>
    <w:rsid w:val="00B77D60"/>
    <w:rsid w:val="00B77DEF"/>
    <w:rsid w:val="00B77ECC"/>
    <w:rsid w:val="00B800C2"/>
    <w:rsid w:val="00B803CA"/>
    <w:rsid w:val="00B804E4"/>
    <w:rsid w:val="00B8056D"/>
    <w:rsid w:val="00B8057E"/>
    <w:rsid w:val="00B80858"/>
    <w:rsid w:val="00B80D0C"/>
    <w:rsid w:val="00B812E4"/>
    <w:rsid w:val="00B81491"/>
    <w:rsid w:val="00B814D3"/>
    <w:rsid w:val="00B8150D"/>
    <w:rsid w:val="00B815A7"/>
    <w:rsid w:val="00B8187E"/>
    <w:rsid w:val="00B81992"/>
    <w:rsid w:val="00B81ADF"/>
    <w:rsid w:val="00B81C01"/>
    <w:rsid w:val="00B81DA4"/>
    <w:rsid w:val="00B81DFD"/>
    <w:rsid w:val="00B81F5F"/>
    <w:rsid w:val="00B81F64"/>
    <w:rsid w:val="00B8204F"/>
    <w:rsid w:val="00B820D8"/>
    <w:rsid w:val="00B82110"/>
    <w:rsid w:val="00B8223C"/>
    <w:rsid w:val="00B8237E"/>
    <w:rsid w:val="00B82510"/>
    <w:rsid w:val="00B82582"/>
    <w:rsid w:val="00B827BE"/>
    <w:rsid w:val="00B827CF"/>
    <w:rsid w:val="00B82B54"/>
    <w:rsid w:val="00B82B89"/>
    <w:rsid w:val="00B82CAC"/>
    <w:rsid w:val="00B82CBF"/>
    <w:rsid w:val="00B82D34"/>
    <w:rsid w:val="00B82D40"/>
    <w:rsid w:val="00B82D46"/>
    <w:rsid w:val="00B82F20"/>
    <w:rsid w:val="00B8308D"/>
    <w:rsid w:val="00B83292"/>
    <w:rsid w:val="00B83392"/>
    <w:rsid w:val="00B83413"/>
    <w:rsid w:val="00B83548"/>
    <w:rsid w:val="00B835B2"/>
    <w:rsid w:val="00B83631"/>
    <w:rsid w:val="00B8370D"/>
    <w:rsid w:val="00B83971"/>
    <w:rsid w:val="00B839D6"/>
    <w:rsid w:val="00B83B34"/>
    <w:rsid w:val="00B83CD0"/>
    <w:rsid w:val="00B83CEE"/>
    <w:rsid w:val="00B83D47"/>
    <w:rsid w:val="00B83EDF"/>
    <w:rsid w:val="00B83F2D"/>
    <w:rsid w:val="00B8417A"/>
    <w:rsid w:val="00B842B6"/>
    <w:rsid w:val="00B8431D"/>
    <w:rsid w:val="00B843F7"/>
    <w:rsid w:val="00B8460A"/>
    <w:rsid w:val="00B84816"/>
    <w:rsid w:val="00B84AF3"/>
    <w:rsid w:val="00B84BF9"/>
    <w:rsid w:val="00B84CC9"/>
    <w:rsid w:val="00B84CCE"/>
    <w:rsid w:val="00B84D74"/>
    <w:rsid w:val="00B84D97"/>
    <w:rsid w:val="00B84DAB"/>
    <w:rsid w:val="00B84DED"/>
    <w:rsid w:val="00B8503E"/>
    <w:rsid w:val="00B852B9"/>
    <w:rsid w:val="00B854D0"/>
    <w:rsid w:val="00B854F2"/>
    <w:rsid w:val="00B8550A"/>
    <w:rsid w:val="00B85749"/>
    <w:rsid w:val="00B85931"/>
    <w:rsid w:val="00B85993"/>
    <w:rsid w:val="00B85B6D"/>
    <w:rsid w:val="00B85B87"/>
    <w:rsid w:val="00B85C0F"/>
    <w:rsid w:val="00B85CA4"/>
    <w:rsid w:val="00B85E3C"/>
    <w:rsid w:val="00B8605C"/>
    <w:rsid w:val="00B860AD"/>
    <w:rsid w:val="00B861C3"/>
    <w:rsid w:val="00B8647E"/>
    <w:rsid w:val="00B86642"/>
    <w:rsid w:val="00B868B5"/>
    <w:rsid w:val="00B86918"/>
    <w:rsid w:val="00B86A78"/>
    <w:rsid w:val="00B86B19"/>
    <w:rsid w:val="00B86C50"/>
    <w:rsid w:val="00B86D06"/>
    <w:rsid w:val="00B86D29"/>
    <w:rsid w:val="00B86DA1"/>
    <w:rsid w:val="00B86DE6"/>
    <w:rsid w:val="00B86E32"/>
    <w:rsid w:val="00B86E8D"/>
    <w:rsid w:val="00B86FF4"/>
    <w:rsid w:val="00B87052"/>
    <w:rsid w:val="00B87104"/>
    <w:rsid w:val="00B87272"/>
    <w:rsid w:val="00B87379"/>
    <w:rsid w:val="00B87667"/>
    <w:rsid w:val="00B876FA"/>
    <w:rsid w:val="00B87841"/>
    <w:rsid w:val="00B87BF0"/>
    <w:rsid w:val="00B87C85"/>
    <w:rsid w:val="00B87D1C"/>
    <w:rsid w:val="00B87D26"/>
    <w:rsid w:val="00B87DC6"/>
    <w:rsid w:val="00B87DCF"/>
    <w:rsid w:val="00B87F08"/>
    <w:rsid w:val="00B9028E"/>
    <w:rsid w:val="00B90432"/>
    <w:rsid w:val="00B9071A"/>
    <w:rsid w:val="00B90B24"/>
    <w:rsid w:val="00B90CDF"/>
    <w:rsid w:val="00B90EEF"/>
    <w:rsid w:val="00B90FBC"/>
    <w:rsid w:val="00B9107F"/>
    <w:rsid w:val="00B911A6"/>
    <w:rsid w:val="00B911C8"/>
    <w:rsid w:val="00B9128F"/>
    <w:rsid w:val="00B91303"/>
    <w:rsid w:val="00B91393"/>
    <w:rsid w:val="00B914CD"/>
    <w:rsid w:val="00B91530"/>
    <w:rsid w:val="00B915AE"/>
    <w:rsid w:val="00B91629"/>
    <w:rsid w:val="00B91AA5"/>
    <w:rsid w:val="00B91C25"/>
    <w:rsid w:val="00B91D25"/>
    <w:rsid w:val="00B91E84"/>
    <w:rsid w:val="00B91FFE"/>
    <w:rsid w:val="00B9220C"/>
    <w:rsid w:val="00B923FE"/>
    <w:rsid w:val="00B92502"/>
    <w:rsid w:val="00B9257A"/>
    <w:rsid w:val="00B9265F"/>
    <w:rsid w:val="00B926BA"/>
    <w:rsid w:val="00B9270F"/>
    <w:rsid w:val="00B9278E"/>
    <w:rsid w:val="00B928D2"/>
    <w:rsid w:val="00B928DB"/>
    <w:rsid w:val="00B928F2"/>
    <w:rsid w:val="00B92951"/>
    <w:rsid w:val="00B92B01"/>
    <w:rsid w:val="00B92C50"/>
    <w:rsid w:val="00B92DB8"/>
    <w:rsid w:val="00B92E3C"/>
    <w:rsid w:val="00B92E5C"/>
    <w:rsid w:val="00B92F61"/>
    <w:rsid w:val="00B92FA1"/>
    <w:rsid w:val="00B93076"/>
    <w:rsid w:val="00B93134"/>
    <w:rsid w:val="00B933BA"/>
    <w:rsid w:val="00B933F2"/>
    <w:rsid w:val="00B93414"/>
    <w:rsid w:val="00B93481"/>
    <w:rsid w:val="00B93531"/>
    <w:rsid w:val="00B93570"/>
    <w:rsid w:val="00B939E0"/>
    <w:rsid w:val="00B939FA"/>
    <w:rsid w:val="00B93A25"/>
    <w:rsid w:val="00B93B69"/>
    <w:rsid w:val="00B93BB1"/>
    <w:rsid w:val="00B93E35"/>
    <w:rsid w:val="00B93E44"/>
    <w:rsid w:val="00B93EFD"/>
    <w:rsid w:val="00B93F6A"/>
    <w:rsid w:val="00B9409D"/>
    <w:rsid w:val="00B9410F"/>
    <w:rsid w:val="00B94293"/>
    <w:rsid w:val="00B94427"/>
    <w:rsid w:val="00B9451C"/>
    <w:rsid w:val="00B9466E"/>
    <w:rsid w:val="00B947D9"/>
    <w:rsid w:val="00B9484A"/>
    <w:rsid w:val="00B948C5"/>
    <w:rsid w:val="00B948F3"/>
    <w:rsid w:val="00B949D5"/>
    <w:rsid w:val="00B94A41"/>
    <w:rsid w:val="00B94AB0"/>
    <w:rsid w:val="00B94BD7"/>
    <w:rsid w:val="00B94EB5"/>
    <w:rsid w:val="00B94F5D"/>
    <w:rsid w:val="00B94F62"/>
    <w:rsid w:val="00B952B3"/>
    <w:rsid w:val="00B952C4"/>
    <w:rsid w:val="00B95419"/>
    <w:rsid w:val="00B95680"/>
    <w:rsid w:val="00B957C2"/>
    <w:rsid w:val="00B957E9"/>
    <w:rsid w:val="00B95880"/>
    <w:rsid w:val="00B95936"/>
    <w:rsid w:val="00B95BF6"/>
    <w:rsid w:val="00B95C75"/>
    <w:rsid w:val="00B95D0F"/>
    <w:rsid w:val="00B95DFE"/>
    <w:rsid w:val="00B95F4F"/>
    <w:rsid w:val="00B95FB6"/>
    <w:rsid w:val="00B9629C"/>
    <w:rsid w:val="00B962C2"/>
    <w:rsid w:val="00B968DB"/>
    <w:rsid w:val="00B9694E"/>
    <w:rsid w:val="00B96965"/>
    <w:rsid w:val="00B969A4"/>
    <w:rsid w:val="00B96A41"/>
    <w:rsid w:val="00B96AA2"/>
    <w:rsid w:val="00B96ACF"/>
    <w:rsid w:val="00B96B5F"/>
    <w:rsid w:val="00B96D45"/>
    <w:rsid w:val="00B96E03"/>
    <w:rsid w:val="00B96F18"/>
    <w:rsid w:val="00B96F60"/>
    <w:rsid w:val="00B96FE6"/>
    <w:rsid w:val="00B971C3"/>
    <w:rsid w:val="00B97346"/>
    <w:rsid w:val="00B97402"/>
    <w:rsid w:val="00B9741A"/>
    <w:rsid w:val="00B975FD"/>
    <w:rsid w:val="00B97638"/>
    <w:rsid w:val="00B97676"/>
    <w:rsid w:val="00B97703"/>
    <w:rsid w:val="00B97745"/>
    <w:rsid w:val="00B97766"/>
    <w:rsid w:val="00B97785"/>
    <w:rsid w:val="00B9781B"/>
    <w:rsid w:val="00B97892"/>
    <w:rsid w:val="00B9797A"/>
    <w:rsid w:val="00B97F10"/>
    <w:rsid w:val="00B97FD8"/>
    <w:rsid w:val="00BA0118"/>
    <w:rsid w:val="00BA0191"/>
    <w:rsid w:val="00BA0342"/>
    <w:rsid w:val="00BA0531"/>
    <w:rsid w:val="00BA05C4"/>
    <w:rsid w:val="00BA06A0"/>
    <w:rsid w:val="00BA0728"/>
    <w:rsid w:val="00BA074E"/>
    <w:rsid w:val="00BA0C08"/>
    <w:rsid w:val="00BA0C76"/>
    <w:rsid w:val="00BA1002"/>
    <w:rsid w:val="00BA100B"/>
    <w:rsid w:val="00BA102F"/>
    <w:rsid w:val="00BA10C3"/>
    <w:rsid w:val="00BA120B"/>
    <w:rsid w:val="00BA13EF"/>
    <w:rsid w:val="00BA164D"/>
    <w:rsid w:val="00BA1754"/>
    <w:rsid w:val="00BA1861"/>
    <w:rsid w:val="00BA1883"/>
    <w:rsid w:val="00BA1990"/>
    <w:rsid w:val="00BA1A4A"/>
    <w:rsid w:val="00BA1C2A"/>
    <w:rsid w:val="00BA1DB6"/>
    <w:rsid w:val="00BA20FD"/>
    <w:rsid w:val="00BA22A3"/>
    <w:rsid w:val="00BA23D3"/>
    <w:rsid w:val="00BA2429"/>
    <w:rsid w:val="00BA2700"/>
    <w:rsid w:val="00BA291E"/>
    <w:rsid w:val="00BA293F"/>
    <w:rsid w:val="00BA2A8F"/>
    <w:rsid w:val="00BA2AA4"/>
    <w:rsid w:val="00BA2C4D"/>
    <w:rsid w:val="00BA2D85"/>
    <w:rsid w:val="00BA2D8C"/>
    <w:rsid w:val="00BA2DA7"/>
    <w:rsid w:val="00BA2EC2"/>
    <w:rsid w:val="00BA2F98"/>
    <w:rsid w:val="00BA2FBF"/>
    <w:rsid w:val="00BA2FFC"/>
    <w:rsid w:val="00BA3102"/>
    <w:rsid w:val="00BA335B"/>
    <w:rsid w:val="00BA3393"/>
    <w:rsid w:val="00BA34D9"/>
    <w:rsid w:val="00BA370D"/>
    <w:rsid w:val="00BA3768"/>
    <w:rsid w:val="00BA3929"/>
    <w:rsid w:val="00BA39B9"/>
    <w:rsid w:val="00BA3B22"/>
    <w:rsid w:val="00BA3C88"/>
    <w:rsid w:val="00BA3E08"/>
    <w:rsid w:val="00BA40F2"/>
    <w:rsid w:val="00BA44D2"/>
    <w:rsid w:val="00BA44F3"/>
    <w:rsid w:val="00BA4631"/>
    <w:rsid w:val="00BA4760"/>
    <w:rsid w:val="00BA478D"/>
    <w:rsid w:val="00BA4E29"/>
    <w:rsid w:val="00BA4E9B"/>
    <w:rsid w:val="00BA506F"/>
    <w:rsid w:val="00BA5089"/>
    <w:rsid w:val="00BA510E"/>
    <w:rsid w:val="00BA5295"/>
    <w:rsid w:val="00BA53A4"/>
    <w:rsid w:val="00BA5560"/>
    <w:rsid w:val="00BA57FC"/>
    <w:rsid w:val="00BA5A45"/>
    <w:rsid w:val="00BA5D67"/>
    <w:rsid w:val="00BA5E3B"/>
    <w:rsid w:val="00BA5ECE"/>
    <w:rsid w:val="00BA5FB8"/>
    <w:rsid w:val="00BA61C4"/>
    <w:rsid w:val="00BA62CB"/>
    <w:rsid w:val="00BA62E6"/>
    <w:rsid w:val="00BA65FC"/>
    <w:rsid w:val="00BA6756"/>
    <w:rsid w:val="00BA6A05"/>
    <w:rsid w:val="00BA6ACC"/>
    <w:rsid w:val="00BA6AD5"/>
    <w:rsid w:val="00BA6B27"/>
    <w:rsid w:val="00BA6E1D"/>
    <w:rsid w:val="00BA721F"/>
    <w:rsid w:val="00BA748F"/>
    <w:rsid w:val="00BA7568"/>
    <w:rsid w:val="00BA7677"/>
    <w:rsid w:val="00BA7698"/>
    <w:rsid w:val="00BA77C9"/>
    <w:rsid w:val="00BA78CC"/>
    <w:rsid w:val="00BA79EA"/>
    <w:rsid w:val="00BA7B98"/>
    <w:rsid w:val="00BA7BB7"/>
    <w:rsid w:val="00BA7D5F"/>
    <w:rsid w:val="00BA7D99"/>
    <w:rsid w:val="00BA7DB2"/>
    <w:rsid w:val="00BB00CC"/>
    <w:rsid w:val="00BB0193"/>
    <w:rsid w:val="00BB0275"/>
    <w:rsid w:val="00BB0358"/>
    <w:rsid w:val="00BB0599"/>
    <w:rsid w:val="00BB05FD"/>
    <w:rsid w:val="00BB0687"/>
    <w:rsid w:val="00BB0850"/>
    <w:rsid w:val="00BB0A48"/>
    <w:rsid w:val="00BB0A9F"/>
    <w:rsid w:val="00BB0BDB"/>
    <w:rsid w:val="00BB0CF1"/>
    <w:rsid w:val="00BB0DD6"/>
    <w:rsid w:val="00BB1103"/>
    <w:rsid w:val="00BB1263"/>
    <w:rsid w:val="00BB1463"/>
    <w:rsid w:val="00BB168A"/>
    <w:rsid w:val="00BB16EF"/>
    <w:rsid w:val="00BB17F6"/>
    <w:rsid w:val="00BB1890"/>
    <w:rsid w:val="00BB191D"/>
    <w:rsid w:val="00BB1A37"/>
    <w:rsid w:val="00BB1CE3"/>
    <w:rsid w:val="00BB1D29"/>
    <w:rsid w:val="00BB1EA2"/>
    <w:rsid w:val="00BB1ED3"/>
    <w:rsid w:val="00BB1FBD"/>
    <w:rsid w:val="00BB205F"/>
    <w:rsid w:val="00BB206E"/>
    <w:rsid w:val="00BB21BA"/>
    <w:rsid w:val="00BB228B"/>
    <w:rsid w:val="00BB22FF"/>
    <w:rsid w:val="00BB23EA"/>
    <w:rsid w:val="00BB2520"/>
    <w:rsid w:val="00BB25D5"/>
    <w:rsid w:val="00BB2668"/>
    <w:rsid w:val="00BB2674"/>
    <w:rsid w:val="00BB26EE"/>
    <w:rsid w:val="00BB26F3"/>
    <w:rsid w:val="00BB2732"/>
    <w:rsid w:val="00BB27BF"/>
    <w:rsid w:val="00BB283A"/>
    <w:rsid w:val="00BB2898"/>
    <w:rsid w:val="00BB2957"/>
    <w:rsid w:val="00BB2A07"/>
    <w:rsid w:val="00BB2AA2"/>
    <w:rsid w:val="00BB2CA6"/>
    <w:rsid w:val="00BB2E27"/>
    <w:rsid w:val="00BB3008"/>
    <w:rsid w:val="00BB3188"/>
    <w:rsid w:val="00BB31B7"/>
    <w:rsid w:val="00BB324C"/>
    <w:rsid w:val="00BB32B7"/>
    <w:rsid w:val="00BB32C1"/>
    <w:rsid w:val="00BB348C"/>
    <w:rsid w:val="00BB34F0"/>
    <w:rsid w:val="00BB3589"/>
    <w:rsid w:val="00BB3758"/>
    <w:rsid w:val="00BB379F"/>
    <w:rsid w:val="00BB385B"/>
    <w:rsid w:val="00BB3879"/>
    <w:rsid w:val="00BB38EC"/>
    <w:rsid w:val="00BB3939"/>
    <w:rsid w:val="00BB396C"/>
    <w:rsid w:val="00BB399B"/>
    <w:rsid w:val="00BB3B2F"/>
    <w:rsid w:val="00BB3BC7"/>
    <w:rsid w:val="00BB3D34"/>
    <w:rsid w:val="00BB3ED5"/>
    <w:rsid w:val="00BB3FAC"/>
    <w:rsid w:val="00BB3FC5"/>
    <w:rsid w:val="00BB41D8"/>
    <w:rsid w:val="00BB4468"/>
    <w:rsid w:val="00BB46AF"/>
    <w:rsid w:val="00BB480F"/>
    <w:rsid w:val="00BB4B3C"/>
    <w:rsid w:val="00BB4BDB"/>
    <w:rsid w:val="00BB4BF4"/>
    <w:rsid w:val="00BB4D83"/>
    <w:rsid w:val="00BB4EB3"/>
    <w:rsid w:val="00BB4F35"/>
    <w:rsid w:val="00BB517A"/>
    <w:rsid w:val="00BB5305"/>
    <w:rsid w:val="00BB55AD"/>
    <w:rsid w:val="00BB55F1"/>
    <w:rsid w:val="00BB5681"/>
    <w:rsid w:val="00BB57FB"/>
    <w:rsid w:val="00BB5969"/>
    <w:rsid w:val="00BB5A00"/>
    <w:rsid w:val="00BB5AF8"/>
    <w:rsid w:val="00BB5D5C"/>
    <w:rsid w:val="00BB6273"/>
    <w:rsid w:val="00BB62B5"/>
    <w:rsid w:val="00BB62F6"/>
    <w:rsid w:val="00BB6344"/>
    <w:rsid w:val="00BB63C9"/>
    <w:rsid w:val="00BB6416"/>
    <w:rsid w:val="00BB66AC"/>
    <w:rsid w:val="00BB66E9"/>
    <w:rsid w:val="00BB66F6"/>
    <w:rsid w:val="00BB674E"/>
    <w:rsid w:val="00BB6996"/>
    <w:rsid w:val="00BB69DF"/>
    <w:rsid w:val="00BB6BAC"/>
    <w:rsid w:val="00BB6BC8"/>
    <w:rsid w:val="00BB6C34"/>
    <w:rsid w:val="00BB6C9D"/>
    <w:rsid w:val="00BB6CEF"/>
    <w:rsid w:val="00BB6EDB"/>
    <w:rsid w:val="00BB6F0D"/>
    <w:rsid w:val="00BB6F1C"/>
    <w:rsid w:val="00BB7049"/>
    <w:rsid w:val="00BB711A"/>
    <w:rsid w:val="00BB712C"/>
    <w:rsid w:val="00BB7425"/>
    <w:rsid w:val="00BB7512"/>
    <w:rsid w:val="00BB75AA"/>
    <w:rsid w:val="00BB75B5"/>
    <w:rsid w:val="00BB7886"/>
    <w:rsid w:val="00BB7BD2"/>
    <w:rsid w:val="00BB7C79"/>
    <w:rsid w:val="00BB7E44"/>
    <w:rsid w:val="00BB7F02"/>
    <w:rsid w:val="00BB7F07"/>
    <w:rsid w:val="00BB7F6F"/>
    <w:rsid w:val="00BB7F86"/>
    <w:rsid w:val="00BB7F88"/>
    <w:rsid w:val="00BC0057"/>
    <w:rsid w:val="00BC0129"/>
    <w:rsid w:val="00BC027A"/>
    <w:rsid w:val="00BC0372"/>
    <w:rsid w:val="00BC050C"/>
    <w:rsid w:val="00BC07BA"/>
    <w:rsid w:val="00BC08E3"/>
    <w:rsid w:val="00BC09B4"/>
    <w:rsid w:val="00BC0AEA"/>
    <w:rsid w:val="00BC0AF8"/>
    <w:rsid w:val="00BC0C64"/>
    <w:rsid w:val="00BC0C6E"/>
    <w:rsid w:val="00BC0F7E"/>
    <w:rsid w:val="00BC1033"/>
    <w:rsid w:val="00BC1210"/>
    <w:rsid w:val="00BC134A"/>
    <w:rsid w:val="00BC1421"/>
    <w:rsid w:val="00BC148E"/>
    <w:rsid w:val="00BC14FF"/>
    <w:rsid w:val="00BC176A"/>
    <w:rsid w:val="00BC17CC"/>
    <w:rsid w:val="00BC1ADD"/>
    <w:rsid w:val="00BC1B96"/>
    <w:rsid w:val="00BC1CE0"/>
    <w:rsid w:val="00BC1CFF"/>
    <w:rsid w:val="00BC1D3B"/>
    <w:rsid w:val="00BC1E4A"/>
    <w:rsid w:val="00BC1EBA"/>
    <w:rsid w:val="00BC1F22"/>
    <w:rsid w:val="00BC1F29"/>
    <w:rsid w:val="00BC2017"/>
    <w:rsid w:val="00BC20DF"/>
    <w:rsid w:val="00BC22E3"/>
    <w:rsid w:val="00BC236B"/>
    <w:rsid w:val="00BC25F0"/>
    <w:rsid w:val="00BC25F8"/>
    <w:rsid w:val="00BC269E"/>
    <w:rsid w:val="00BC26B5"/>
    <w:rsid w:val="00BC26E4"/>
    <w:rsid w:val="00BC26F4"/>
    <w:rsid w:val="00BC2764"/>
    <w:rsid w:val="00BC27E6"/>
    <w:rsid w:val="00BC2940"/>
    <w:rsid w:val="00BC2978"/>
    <w:rsid w:val="00BC29AB"/>
    <w:rsid w:val="00BC29CB"/>
    <w:rsid w:val="00BC2AC8"/>
    <w:rsid w:val="00BC2B67"/>
    <w:rsid w:val="00BC2EB7"/>
    <w:rsid w:val="00BC2FAF"/>
    <w:rsid w:val="00BC302F"/>
    <w:rsid w:val="00BC3096"/>
    <w:rsid w:val="00BC311B"/>
    <w:rsid w:val="00BC31FA"/>
    <w:rsid w:val="00BC32E0"/>
    <w:rsid w:val="00BC3396"/>
    <w:rsid w:val="00BC3580"/>
    <w:rsid w:val="00BC3604"/>
    <w:rsid w:val="00BC3866"/>
    <w:rsid w:val="00BC3899"/>
    <w:rsid w:val="00BC38C1"/>
    <w:rsid w:val="00BC39FF"/>
    <w:rsid w:val="00BC3A3D"/>
    <w:rsid w:val="00BC3C6A"/>
    <w:rsid w:val="00BC3CAD"/>
    <w:rsid w:val="00BC3FE7"/>
    <w:rsid w:val="00BC4009"/>
    <w:rsid w:val="00BC4092"/>
    <w:rsid w:val="00BC4259"/>
    <w:rsid w:val="00BC4310"/>
    <w:rsid w:val="00BC43E2"/>
    <w:rsid w:val="00BC43EF"/>
    <w:rsid w:val="00BC443B"/>
    <w:rsid w:val="00BC4609"/>
    <w:rsid w:val="00BC46BC"/>
    <w:rsid w:val="00BC4765"/>
    <w:rsid w:val="00BC47AF"/>
    <w:rsid w:val="00BC47B2"/>
    <w:rsid w:val="00BC4802"/>
    <w:rsid w:val="00BC4935"/>
    <w:rsid w:val="00BC49AC"/>
    <w:rsid w:val="00BC4B07"/>
    <w:rsid w:val="00BC4E16"/>
    <w:rsid w:val="00BC4F41"/>
    <w:rsid w:val="00BC4F9B"/>
    <w:rsid w:val="00BC50F0"/>
    <w:rsid w:val="00BC51A3"/>
    <w:rsid w:val="00BC51F9"/>
    <w:rsid w:val="00BC5225"/>
    <w:rsid w:val="00BC529D"/>
    <w:rsid w:val="00BC5398"/>
    <w:rsid w:val="00BC5411"/>
    <w:rsid w:val="00BC5412"/>
    <w:rsid w:val="00BC57A8"/>
    <w:rsid w:val="00BC5965"/>
    <w:rsid w:val="00BC5A5E"/>
    <w:rsid w:val="00BC5BE2"/>
    <w:rsid w:val="00BC5E2E"/>
    <w:rsid w:val="00BC5E4E"/>
    <w:rsid w:val="00BC5E5A"/>
    <w:rsid w:val="00BC60E9"/>
    <w:rsid w:val="00BC6118"/>
    <w:rsid w:val="00BC6177"/>
    <w:rsid w:val="00BC622E"/>
    <w:rsid w:val="00BC6394"/>
    <w:rsid w:val="00BC63D2"/>
    <w:rsid w:val="00BC63DB"/>
    <w:rsid w:val="00BC63EA"/>
    <w:rsid w:val="00BC6546"/>
    <w:rsid w:val="00BC65C0"/>
    <w:rsid w:val="00BC6601"/>
    <w:rsid w:val="00BC66CB"/>
    <w:rsid w:val="00BC690D"/>
    <w:rsid w:val="00BC6A17"/>
    <w:rsid w:val="00BC6AB5"/>
    <w:rsid w:val="00BC6B7B"/>
    <w:rsid w:val="00BC6CAC"/>
    <w:rsid w:val="00BC6E20"/>
    <w:rsid w:val="00BC6E9F"/>
    <w:rsid w:val="00BC6EA5"/>
    <w:rsid w:val="00BC721B"/>
    <w:rsid w:val="00BC723A"/>
    <w:rsid w:val="00BC72A5"/>
    <w:rsid w:val="00BC76DF"/>
    <w:rsid w:val="00BC7833"/>
    <w:rsid w:val="00BC785E"/>
    <w:rsid w:val="00BC79E8"/>
    <w:rsid w:val="00BC7AC4"/>
    <w:rsid w:val="00BC7B48"/>
    <w:rsid w:val="00BC7B94"/>
    <w:rsid w:val="00BC7BFD"/>
    <w:rsid w:val="00BC7DE0"/>
    <w:rsid w:val="00BC7F89"/>
    <w:rsid w:val="00BD0084"/>
    <w:rsid w:val="00BD0265"/>
    <w:rsid w:val="00BD038A"/>
    <w:rsid w:val="00BD047E"/>
    <w:rsid w:val="00BD0509"/>
    <w:rsid w:val="00BD0563"/>
    <w:rsid w:val="00BD05B3"/>
    <w:rsid w:val="00BD0604"/>
    <w:rsid w:val="00BD068F"/>
    <w:rsid w:val="00BD0719"/>
    <w:rsid w:val="00BD07BA"/>
    <w:rsid w:val="00BD0839"/>
    <w:rsid w:val="00BD09C7"/>
    <w:rsid w:val="00BD0B35"/>
    <w:rsid w:val="00BD0B3D"/>
    <w:rsid w:val="00BD0C81"/>
    <w:rsid w:val="00BD0CED"/>
    <w:rsid w:val="00BD0D50"/>
    <w:rsid w:val="00BD0DBE"/>
    <w:rsid w:val="00BD0E7F"/>
    <w:rsid w:val="00BD0E98"/>
    <w:rsid w:val="00BD0ECE"/>
    <w:rsid w:val="00BD0F6D"/>
    <w:rsid w:val="00BD0FD5"/>
    <w:rsid w:val="00BD100A"/>
    <w:rsid w:val="00BD1108"/>
    <w:rsid w:val="00BD115A"/>
    <w:rsid w:val="00BD12F1"/>
    <w:rsid w:val="00BD13AB"/>
    <w:rsid w:val="00BD142A"/>
    <w:rsid w:val="00BD1507"/>
    <w:rsid w:val="00BD1A88"/>
    <w:rsid w:val="00BD1BC7"/>
    <w:rsid w:val="00BD1BC8"/>
    <w:rsid w:val="00BD1CD3"/>
    <w:rsid w:val="00BD1D46"/>
    <w:rsid w:val="00BD1EA1"/>
    <w:rsid w:val="00BD1F83"/>
    <w:rsid w:val="00BD1FAF"/>
    <w:rsid w:val="00BD2092"/>
    <w:rsid w:val="00BD2132"/>
    <w:rsid w:val="00BD2265"/>
    <w:rsid w:val="00BD264B"/>
    <w:rsid w:val="00BD2754"/>
    <w:rsid w:val="00BD29DF"/>
    <w:rsid w:val="00BD2AE3"/>
    <w:rsid w:val="00BD2BBA"/>
    <w:rsid w:val="00BD2DCB"/>
    <w:rsid w:val="00BD2E5A"/>
    <w:rsid w:val="00BD2E9B"/>
    <w:rsid w:val="00BD3165"/>
    <w:rsid w:val="00BD32AC"/>
    <w:rsid w:val="00BD33D8"/>
    <w:rsid w:val="00BD3477"/>
    <w:rsid w:val="00BD34FF"/>
    <w:rsid w:val="00BD3543"/>
    <w:rsid w:val="00BD358B"/>
    <w:rsid w:val="00BD35C9"/>
    <w:rsid w:val="00BD379A"/>
    <w:rsid w:val="00BD3890"/>
    <w:rsid w:val="00BD3A5C"/>
    <w:rsid w:val="00BD3BEF"/>
    <w:rsid w:val="00BD3C36"/>
    <w:rsid w:val="00BD3CAE"/>
    <w:rsid w:val="00BD3E3C"/>
    <w:rsid w:val="00BD3E9D"/>
    <w:rsid w:val="00BD4280"/>
    <w:rsid w:val="00BD4489"/>
    <w:rsid w:val="00BD45A5"/>
    <w:rsid w:val="00BD4CDC"/>
    <w:rsid w:val="00BD4CE9"/>
    <w:rsid w:val="00BD4D13"/>
    <w:rsid w:val="00BD4EC5"/>
    <w:rsid w:val="00BD4F8A"/>
    <w:rsid w:val="00BD54A1"/>
    <w:rsid w:val="00BD551F"/>
    <w:rsid w:val="00BD554A"/>
    <w:rsid w:val="00BD566D"/>
    <w:rsid w:val="00BD57A5"/>
    <w:rsid w:val="00BD5827"/>
    <w:rsid w:val="00BD5859"/>
    <w:rsid w:val="00BD59CF"/>
    <w:rsid w:val="00BD5A3A"/>
    <w:rsid w:val="00BD5A6D"/>
    <w:rsid w:val="00BD5A6E"/>
    <w:rsid w:val="00BD5CB9"/>
    <w:rsid w:val="00BD5D8A"/>
    <w:rsid w:val="00BD5E2D"/>
    <w:rsid w:val="00BD61C4"/>
    <w:rsid w:val="00BD6422"/>
    <w:rsid w:val="00BD642A"/>
    <w:rsid w:val="00BD6467"/>
    <w:rsid w:val="00BD65BB"/>
    <w:rsid w:val="00BD66B1"/>
    <w:rsid w:val="00BD67FD"/>
    <w:rsid w:val="00BD67FF"/>
    <w:rsid w:val="00BD681C"/>
    <w:rsid w:val="00BD6D51"/>
    <w:rsid w:val="00BD6E14"/>
    <w:rsid w:val="00BD6E9D"/>
    <w:rsid w:val="00BD6F28"/>
    <w:rsid w:val="00BD6FE9"/>
    <w:rsid w:val="00BD6FEC"/>
    <w:rsid w:val="00BD7107"/>
    <w:rsid w:val="00BD71E5"/>
    <w:rsid w:val="00BD7209"/>
    <w:rsid w:val="00BD7351"/>
    <w:rsid w:val="00BD7576"/>
    <w:rsid w:val="00BD7794"/>
    <w:rsid w:val="00BD77DC"/>
    <w:rsid w:val="00BD7823"/>
    <w:rsid w:val="00BD7BCF"/>
    <w:rsid w:val="00BD7C57"/>
    <w:rsid w:val="00BD7C6A"/>
    <w:rsid w:val="00BD7C8F"/>
    <w:rsid w:val="00BD7D50"/>
    <w:rsid w:val="00BD7D70"/>
    <w:rsid w:val="00BD7DCB"/>
    <w:rsid w:val="00BD7E09"/>
    <w:rsid w:val="00BD7E3D"/>
    <w:rsid w:val="00BD7E75"/>
    <w:rsid w:val="00BD7E83"/>
    <w:rsid w:val="00BD7F5B"/>
    <w:rsid w:val="00BD7FFB"/>
    <w:rsid w:val="00BD972F"/>
    <w:rsid w:val="00BE003A"/>
    <w:rsid w:val="00BE01B1"/>
    <w:rsid w:val="00BE022F"/>
    <w:rsid w:val="00BE030F"/>
    <w:rsid w:val="00BE0399"/>
    <w:rsid w:val="00BE039E"/>
    <w:rsid w:val="00BE0428"/>
    <w:rsid w:val="00BE04D0"/>
    <w:rsid w:val="00BE06C3"/>
    <w:rsid w:val="00BE074A"/>
    <w:rsid w:val="00BE0CC5"/>
    <w:rsid w:val="00BE10A9"/>
    <w:rsid w:val="00BE1191"/>
    <w:rsid w:val="00BE12B1"/>
    <w:rsid w:val="00BE13ED"/>
    <w:rsid w:val="00BE15D1"/>
    <w:rsid w:val="00BE15DC"/>
    <w:rsid w:val="00BE1643"/>
    <w:rsid w:val="00BE172E"/>
    <w:rsid w:val="00BE175E"/>
    <w:rsid w:val="00BE1A93"/>
    <w:rsid w:val="00BE1C69"/>
    <w:rsid w:val="00BE1E88"/>
    <w:rsid w:val="00BE214C"/>
    <w:rsid w:val="00BE2220"/>
    <w:rsid w:val="00BE229E"/>
    <w:rsid w:val="00BE2378"/>
    <w:rsid w:val="00BE244A"/>
    <w:rsid w:val="00BE2511"/>
    <w:rsid w:val="00BE273B"/>
    <w:rsid w:val="00BE28AF"/>
    <w:rsid w:val="00BE297E"/>
    <w:rsid w:val="00BE29A2"/>
    <w:rsid w:val="00BE2A8C"/>
    <w:rsid w:val="00BE2CD4"/>
    <w:rsid w:val="00BE2CDF"/>
    <w:rsid w:val="00BE3060"/>
    <w:rsid w:val="00BE3089"/>
    <w:rsid w:val="00BE3123"/>
    <w:rsid w:val="00BE3265"/>
    <w:rsid w:val="00BE32A4"/>
    <w:rsid w:val="00BE32D7"/>
    <w:rsid w:val="00BE32E1"/>
    <w:rsid w:val="00BE346D"/>
    <w:rsid w:val="00BE34B8"/>
    <w:rsid w:val="00BE3B2B"/>
    <w:rsid w:val="00BE3C1F"/>
    <w:rsid w:val="00BE4029"/>
    <w:rsid w:val="00BE410B"/>
    <w:rsid w:val="00BE445A"/>
    <w:rsid w:val="00BE458E"/>
    <w:rsid w:val="00BE46E1"/>
    <w:rsid w:val="00BE47CE"/>
    <w:rsid w:val="00BE47F4"/>
    <w:rsid w:val="00BE4942"/>
    <w:rsid w:val="00BE4A33"/>
    <w:rsid w:val="00BE4BB7"/>
    <w:rsid w:val="00BE4C6B"/>
    <w:rsid w:val="00BE4CA0"/>
    <w:rsid w:val="00BE522C"/>
    <w:rsid w:val="00BE5261"/>
    <w:rsid w:val="00BE5323"/>
    <w:rsid w:val="00BE56A0"/>
    <w:rsid w:val="00BE576E"/>
    <w:rsid w:val="00BE59D5"/>
    <w:rsid w:val="00BE5B92"/>
    <w:rsid w:val="00BE5C4F"/>
    <w:rsid w:val="00BE5D63"/>
    <w:rsid w:val="00BE5E09"/>
    <w:rsid w:val="00BE5E7D"/>
    <w:rsid w:val="00BE5ECF"/>
    <w:rsid w:val="00BE615E"/>
    <w:rsid w:val="00BE6333"/>
    <w:rsid w:val="00BE6376"/>
    <w:rsid w:val="00BE64E0"/>
    <w:rsid w:val="00BE661A"/>
    <w:rsid w:val="00BE68EB"/>
    <w:rsid w:val="00BE6934"/>
    <w:rsid w:val="00BE6963"/>
    <w:rsid w:val="00BE6D57"/>
    <w:rsid w:val="00BE6D80"/>
    <w:rsid w:val="00BE6E6A"/>
    <w:rsid w:val="00BE6EDD"/>
    <w:rsid w:val="00BE6F7C"/>
    <w:rsid w:val="00BE7166"/>
    <w:rsid w:val="00BE7261"/>
    <w:rsid w:val="00BE747E"/>
    <w:rsid w:val="00BE74AD"/>
    <w:rsid w:val="00BE74D0"/>
    <w:rsid w:val="00BE765D"/>
    <w:rsid w:val="00BE770C"/>
    <w:rsid w:val="00BE776B"/>
    <w:rsid w:val="00BE776E"/>
    <w:rsid w:val="00BE792B"/>
    <w:rsid w:val="00BE7A93"/>
    <w:rsid w:val="00BE7B25"/>
    <w:rsid w:val="00BE7D2F"/>
    <w:rsid w:val="00BE7D8B"/>
    <w:rsid w:val="00BE7DCB"/>
    <w:rsid w:val="00BE7F89"/>
    <w:rsid w:val="00BE7FAB"/>
    <w:rsid w:val="00BF010B"/>
    <w:rsid w:val="00BF0185"/>
    <w:rsid w:val="00BF044A"/>
    <w:rsid w:val="00BF04E0"/>
    <w:rsid w:val="00BF065F"/>
    <w:rsid w:val="00BF0858"/>
    <w:rsid w:val="00BF0B01"/>
    <w:rsid w:val="00BF0DD0"/>
    <w:rsid w:val="00BF106E"/>
    <w:rsid w:val="00BF10D8"/>
    <w:rsid w:val="00BF1273"/>
    <w:rsid w:val="00BF13E2"/>
    <w:rsid w:val="00BF16B4"/>
    <w:rsid w:val="00BF18BC"/>
    <w:rsid w:val="00BF194B"/>
    <w:rsid w:val="00BF19BA"/>
    <w:rsid w:val="00BF19BC"/>
    <w:rsid w:val="00BF19CF"/>
    <w:rsid w:val="00BF1AD2"/>
    <w:rsid w:val="00BF1B49"/>
    <w:rsid w:val="00BF1BD4"/>
    <w:rsid w:val="00BF1BE2"/>
    <w:rsid w:val="00BF1CE9"/>
    <w:rsid w:val="00BF1F92"/>
    <w:rsid w:val="00BF2018"/>
    <w:rsid w:val="00BF22B5"/>
    <w:rsid w:val="00BF2326"/>
    <w:rsid w:val="00BF25CF"/>
    <w:rsid w:val="00BF26BA"/>
    <w:rsid w:val="00BF26DD"/>
    <w:rsid w:val="00BF275B"/>
    <w:rsid w:val="00BF2776"/>
    <w:rsid w:val="00BF284F"/>
    <w:rsid w:val="00BF285D"/>
    <w:rsid w:val="00BF2909"/>
    <w:rsid w:val="00BF29A0"/>
    <w:rsid w:val="00BF2AC2"/>
    <w:rsid w:val="00BF2B63"/>
    <w:rsid w:val="00BF2D9E"/>
    <w:rsid w:val="00BF2DA0"/>
    <w:rsid w:val="00BF2DC3"/>
    <w:rsid w:val="00BF2E4F"/>
    <w:rsid w:val="00BF2EF5"/>
    <w:rsid w:val="00BF2F26"/>
    <w:rsid w:val="00BF317D"/>
    <w:rsid w:val="00BF3231"/>
    <w:rsid w:val="00BF32CB"/>
    <w:rsid w:val="00BF3310"/>
    <w:rsid w:val="00BF33D4"/>
    <w:rsid w:val="00BF3461"/>
    <w:rsid w:val="00BF351B"/>
    <w:rsid w:val="00BF3584"/>
    <w:rsid w:val="00BF358F"/>
    <w:rsid w:val="00BF35F3"/>
    <w:rsid w:val="00BF3676"/>
    <w:rsid w:val="00BF373F"/>
    <w:rsid w:val="00BF37CF"/>
    <w:rsid w:val="00BF3AFE"/>
    <w:rsid w:val="00BF3B3F"/>
    <w:rsid w:val="00BF3B67"/>
    <w:rsid w:val="00BF3B74"/>
    <w:rsid w:val="00BF3D8B"/>
    <w:rsid w:val="00BF3E19"/>
    <w:rsid w:val="00BF3E5D"/>
    <w:rsid w:val="00BF3EE5"/>
    <w:rsid w:val="00BF3F02"/>
    <w:rsid w:val="00BF3F48"/>
    <w:rsid w:val="00BF4253"/>
    <w:rsid w:val="00BF440D"/>
    <w:rsid w:val="00BF4655"/>
    <w:rsid w:val="00BF4657"/>
    <w:rsid w:val="00BF46B2"/>
    <w:rsid w:val="00BF476A"/>
    <w:rsid w:val="00BF4B8D"/>
    <w:rsid w:val="00BF4BB2"/>
    <w:rsid w:val="00BF4BE8"/>
    <w:rsid w:val="00BF4D1D"/>
    <w:rsid w:val="00BF4D5B"/>
    <w:rsid w:val="00BF4E06"/>
    <w:rsid w:val="00BF4E11"/>
    <w:rsid w:val="00BF4ECB"/>
    <w:rsid w:val="00BF5127"/>
    <w:rsid w:val="00BF53C0"/>
    <w:rsid w:val="00BF5499"/>
    <w:rsid w:val="00BF54E8"/>
    <w:rsid w:val="00BF565D"/>
    <w:rsid w:val="00BF56A1"/>
    <w:rsid w:val="00BF5B15"/>
    <w:rsid w:val="00BF5DBE"/>
    <w:rsid w:val="00BF5FEB"/>
    <w:rsid w:val="00BF6252"/>
    <w:rsid w:val="00BF6615"/>
    <w:rsid w:val="00BF6622"/>
    <w:rsid w:val="00BF684B"/>
    <w:rsid w:val="00BF6A62"/>
    <w:rsid w:val="00BF6A95"/>
    <w:rsid w:val="00BF6C02"/>
    <w:rsid w:val="00BF6C3F"/>
    <w:rsid w:val="00BF6F71"/>
    <w:rsid w:val="00BF7016"/>
    <w:rsid w:val="00BF7273"/>
    <w:rsid w:val="00BF73F2"/>
    <w:rsid w:val="00BF762F"/>
    <w:rsid w:val="00BF7748"/>
    <w:rsid w:val="00BF77F3"/>
    <w:rsid w:val="00BF7881"/>
    <w:rsid w:val="00BF78F9"/>
    <w:rsid w:val="00BF7B12"/>
    <w:rsid w:val="00BF7B32"/>
    <w:rsid w:val="00BF7C7F"/>
    <w:rsid w:val="00BF7CE5"/>
    <w:rsid w:val="00C0009B"/>
    <w:rsid w:val="00C000A4"/>
    <w:rsid w:val="00C0013F"/>
    <w:rsid w:val="00C002B7"/>
    <w:rsid w:val="00C002FD"/>
    <w:rsid w:val="00C00441"/>
    <w:rsid w:val="00C0087D"/>
    <w:rsid w:val="00C008D3"/>
    <w:rsid w:val="00C00916"/>
    <w:rsid w:val="00C00971"/>
    <w:rsid w:val="00C00A5A"/>
    <w:rsid w:val="00C00AD6"/>
    <w:rsid w:val="00C00BB6"/>
    <w:rsid w:val="00C00C66"/>
    <w:rsid w:val="00C00CDC"/>
    <w:rsid w:val="00C00CE7"/>
    <w:rsid w:val="00C00DA3"/>
    <w:rsid w:val="00C00EC5"/>
    <w:rsid w:val="00C00FE5"/>
    <w:rsid w:val="00C01076"/>
    <w:rsid w:val="00C0109B"/>
    <w:rsid w:val="00C01107"/>
    <w:rsid w:val="00C0112E"/>
    <w:rsid w:val="00C01185"/>
    <w:rsid w:val="00C011E7"/>
    <w:rsid w:val="00C0120F"/>
    <w:rsid w:val="00C012C0"/>
    <w:rsid w:val="00C0133F"/>
    <w:rsid w:val="00C0150E"/>
    <w:rsid w:val="00C0172F"/>
    <w:rsid w:val="00C01897"/>
    <w:rsid w:val="00C018F8"/>
    <w:rsid w:val="00C01BC6"/>
    <w:rsid w:val="00C01D06"/>
    <w:rsid w:val="00C01E44"/>
    <w:rsid w:val="00C02156"/>
    <w:rsid w:val="00C0219C"/>
    <w:rsid w:val="00C023A6"/>
    <w:rsid w:val="00C02510"/>
    <w:rsid w:val="00C025B6"/>
    <w:rsid w:val="00C026D8"/>
    <w:rsid w:val="00C02843"/>
    <w:rsid w:val="00C02903"/>
    <w:rsid w:val="00C029B3"/>
    <w:rsid w:val="00C02AA7"/>
    <w:rsid w:val="00C02CEE"/>
    <w:rsid w:val="00C02D41"/>
    <w:rsid w:val="00C02EAC"/>
    <w:rsid w:val="00C02F4F"/>
    <w:rsid w:val="00C03020"/>
    <w:rsid w:val="00C0306A"/>
    <w:rsid w:val="00C030A8"/>
    <w:rsid w:val="00C030B0"/>
    <w:rsid w:val="00C0314E"/>
    <w:rsid w:val="00C03233"/>
    <w:rsid w:val="00C03509"/>
    <w:rsid w:val="00C03767"/>
    <w:rsid w:val="00C03802"/>
    <w:rsid w:val="00C038C8"/>
    <w:rsid w:val="00C03A6A"/>
    <w:rsid w:val="00C03AD2"/>
    <w:rsid w:val="00C03BBC"/>
    <w:rsid w:val="00C03D06"/>
    <w:rsid w:val="00C03D37"/>
    <w:rsid w:val="00C03D57"/>
    <w:rsid w:val="00C03E2D"/>
    <w:rsid w:val="00C03E72"/>
    <w:rsid w:val="00C03FC2"/>
    <w:rsid w:val="00C04004"/>
    <w:rsid w:val="00C040C7"/>
    <w:rsid w:val="00C040E2"/>
    <w:rsid w:val="00C04212"/>
    <w:rsid w:val="00C04294"/>
    <w:rsid w:val="00C042AE"/>
    <w:rsid w:val="00C044EC"/>
    <w:rsid w:val="00C0453B"/>
    <w:rsid w:val="00C04552"/>
    <w:rsid w:val="00C045FC"/>
    <w:rsid w:val="00C049CE"/>
    <w:rsid w:val="00C04A6A"/>
    <w:rsid w:val="00C04D39"/>
    <w:rsid w:val="00C04DFE"/>
    <w:rsid w:val="00C04EA4"/>
    <w:rsid w:val="00C04FA9"/>
    <w:rsid w:val="00C0501A"/>
    <w:rsid w:val="00C0511B"/>
    <w:rsid w:val="00C05185"/>
    <w:rsid w:val="00C052EB"/>
    <w:rsid w:val="00C05325"/>
    <w:rsid w:val="00C05380"/>
    <w:rsid w:val="00C054A9"/>
    <w:rsid w:val="00C0552F"/>
    <w:rsid w:val="00C0563C"/>
    <w:rsid w:val="00C05653"/>
    <w:rsid w:val="00C058F5"/>
    <w:rsid w:val="00C05934"/>
    <w:rsid w:val="00C0595B"/>
    <w:rsid w:val="00C05991"/>
    <w:rsid w:val="00C05C47"/>
    <w:rsid w:val="00C05DE3"/>
    <w:rsid w:val="00C05F45"/>
    <w:rsid w:val="00C06003"/>
    <w:rsid w:val="00C064C5"/>
    <w:rsid w:val="00C064EA"/>
    <w:rsid w:val="00C06916"/>
    <w:rsid w:val="00C0695B"/>
    <w:rsid w:val="00C06988"/>
    <w:rsid w:val="00C069E2"/>
    <w:rsid w:val="00C069FC"/>
    <w:rsid w:val="00C06A1A"/>
    <w:rsid w:val="00C06CE4"/>
    <w:rsid w:val="00C06D09"/>
    <w:rsid w:val="00C06F1B"/>
    <w:rsid w:val="00C06F9C"/>
    <w:rsid w:val="00C07202"/>
    <w:rsid w:val="00C0730B"/>
    <w:rsid w:val="00C07434"/>
    <w:rsid w:val="00C0747D"/>
    <w:rsid w:val="00C07486"/>
    <w:rsid w:val="00C0763C"/>
    <w:rsid w:val="00C07853"/>
    <w:rsid w:val="00C078A6"/>
    <w:rsid w:val="00C0798B"/>
    <w:rsid w:val="00C07C2B"/>
    <w:rsid w:val="00C07C82"/>
    <w:rsid w:val="00C07F42"/>
    <w:rsid w:val="00C100DC"/>
    <w:rsid w:val="00C1012D"/>
    <w:rsid w:val="00C1016D"/>
    <w:rsid w:val="00C10266"/>
    <w:rsid w:val="00C10425"/>
    <w:rsid w:val="00C104CF"/>
    <w:rsid w:val="00C1050F"/>
    <w:rsid w:val="00C1063B"/>
    <w:rsid w:val="00C106C3"/>
    <w:rsid w:val="00C1079B"/>
    <w:rsid w:val="00C10800"/>
    <w:rsid w:val="00C10841"/>
    <w:rsid w:val="00C10979"/>
    <w:rsid w:val="00C10ACC"/>
    <w:rsid w:val="00C10B28"/>
    <w:rsid w:val="00C10BF0"/>
    <w:rsid w:val="00C10C8D"/>
    <w:rsid w:val="00C10D78"/>
    <w:rsid w:val="00C10FF8"/>
    <w:rsid w:val="00C11041"/>
    <w:rsid w:val="00C1104F"/>
    <w:rsid w:val="00C1110F"/>
    <w:rsid w:val="00C11122"/>
    <w:rsid w:val="00C1125A"/>
    <w:rsid w:val="00C11793"/>
    <w:rsid w:val="00C117D3"/>
    <w:rsid w:val="00C117E1"/>
    <w:rsid w:val="00C11A02"/>
    <w:rsid w:val="00C11EE9"/>
    <w:rsid w:val="00C123A8"/>
    <w:rsid w:val="00C12539"/>
    <w:rsid w:val="00C125C9"/>
    <w:rsid w:val="00C12658"/>
    <w:rsid w:val="00C1296B"/>
    <w:rsid w:val="00C12C3A"/>
    <w:rsid w:val="00C12CB3"/>
    <w:rsid w:val="00C12DAA"/>
    <w:rsid w:val="00C12E92"/>
    <w:rsid w:val="00C12F82"/>
    <w:rsid w:val="00C12FDB"/>
    <w:rsid w:val="00C133F5"/>
    <w:rsid w:val="00C136C9"/>
    <w:rsid w:val="00C136D3"/>
    <w:rsid w:val="00C137E6"/>
    <w:rsid w:val="00C1389B"/>
    <w:rsid w:val="00C13901"/>
    <w:rsid w:val="00C139F7"/>
    <w:rsid w:val="00C13A66"/>
    <w:rsid w:val="00C13BD3"/>
    <w:rsid w:val="00C13C15"/>
    <w:rsid w:val="00C13D69"/>
    <w:rsid w:val="00C13E57"/>
    <w:rsid w:val="00C13E94"/>
    <w:rsid w:val="00C13FD1"/>
    <w:rsid w:val="00C13FDB"/>
    <w:rsid w:val="00C13FF5"/>
    <w:rsid w:val="00C14177"/>
    <w:rsid w:val="00C14243"/>
    <w:rsid w:val="00C144CE"/>
    <w:rsid w:val="00C1451E"/>
    <w:rsid w:val="00C145BD"/>
    <w:rsid w:val="00C1464F"/>
    <w:rsid w:val="00C1475C"/>
    <w:rsid w:val="00C1479A"/>
    <w:rsid w:val="00C147EB"/>
    <w:rsid w:val="00C14814"/>
    <w:rsid w:val="00C14842"/>
    <w:rsid w:val="00C14863"/>
    <w:rsid w:val="00C14F6F"/>
    <w:rsid w:val="00C14F8B"/>
    <w:rsid w:val="00C15012"/>
    <w:rsid w:val="00C15310"/>
    <w:rsid w:val="00C1549B"/>
    <w:rsid w:val="00C1571B"/>
    <w:rsid w:val="00C158D6"/>
    <w:rsid w:val="00C158F7"/>
    <w:rsid w:val="00C15A42"/>
    <w:rsid w:val="00C15A79"/>
    <w:rsid w:val="00C15B31"/>
    <w:rsid w:val="00C15B62"/>
    <w:rsid w:val="00C15D9D"/>
    <w:rsid w:val="00C15DB7"/>
    <w:rsid w:val="00C15F35"/>
    <w:rsid w:val="00C160B9"/>
    <w:rsid w:val="00C16195"/>
    <w:rsid w:val="00C161AE"/>
    <w:rsid w:val="00C164E0"/>
    <w:rsid w:val="00C16578"/>
    <w:rsid w:val="00C16631"/>
    <w:rsid w:val="00C16735"/>
    <w:rsid w:val="00C16787"/>
    <w:rsid w:val="00C1680F"/>
    <w:rsid w:val="00C16810"/>
    <w:rsid w:val="00C16833"/>
    <w:rsid w:val="00C16862"/>
    <w:rsid w:val="00C168DA"/>
    <w:rsid w:val="00C16A4A"/>
    <w:rsid w:val="00C16A5A"/>
    <w:rsid w:val="00C16B07"/>
    <w:rsid w:val="00C16C74"/>
    <w:rsid w:val="00C16CCB"/>
    <w:rsid w:val="00C16D04"/>
    <w:rsid w:val="00C16DE4"/>
    <w:rsid w:val="00C16E50"/>
    <w:rsid w:val="00C172E8"/>
    <w:rsid w:val="00C17343"/>
    <w:rsid w:val="00C1735B"/>
    <w:rsid w:val="00C17374"/>
    <w:rsid w:val="00C17381"/>
    <w:rsid w:val="00C173E7"/>
    <w:rsid w:val="00C1740D"/>
    <w:rsid w:val="00C1741F"/>
    <w:rsid w:val="00C17432"/>
    <w:rsid w:val="00C17447"/>
    <w:rsid w:val="00C175AE"/>
    <w:rsid w:val="00C17716"/>
    <w:rsid w:val="00C17724"/>
    <w:rsid w:val="00C1785B"/>
    <w:rsid w:val="00C179D9"/>
    <w:rsid w:val="00C17A28"/>
    <w:rsid w:val="00C17B00"/>
    <w:rsid w:val="00C17B27"/>
    <w:rsid w:val="00C17B57"/>
    <w:rsid w:val="00C17D58"/>
    <w:rsid w:val="00C17D70"/>
    <w:rsid w:val="00C17E12"/>
    <w:rsid w:val="00C17F00"/>
    <w:rsid w:val="00C2018A"/>
    <w:rsid w:val="00C2018D"/>
    <w:rsid w:val="00C2029A"/>
    <w:rsid w:val="00C202EA"/>
    <w:rsid w:val="00C204E8"/>
    <w:rsid w:val="00C2076A"/>
    <w:rsid w:val="00C20974"/>
    <w:rsid w:val="00C20AAB"/>
    <w:rsid w:val="00C20B24"/>
    <w:rsid w:val="00C20B81"/>
    <w:rsid w:val="00C20C6C"/>
    <w:rsid w:val="00C20E75"/>
    <w:rsid w:val="00C20FE6"/>
    <w:rsid w:val="00C21252"/>
    <w:rsid w:val="00C212B9"/>
    <w:rsid w:val="00C214B0"/>
    <w:rsid w:val="00C2152E"/>
    <w:rsid w:val="00C21593"/>
    <w:rsid w:val="00C2160F"/>
    <w:rsid w:val="00C216D4"/>
    <w:rsid w:val="00C218C3"/>
    <w:rsid w:val="00C219D7"/>
    <w:rsid w:val="00C21AA4"/>
    <w:rsid w:val="00C21AAA"/>
    <w:rsid w:val="00C21C43"/>
    <w:rsid w:val="00C22265"/>
    <w:rsid w:val="00C22294"/>
    <w:rsid w:val="00C222DA"/>
    <w:rsid w:val="00C225DC"/>
    <w:rsid w:val="00C226BB"/>
    <w:rsid w:val="00C226E3"/>
    <w:rsid w:val="00C2280E"/>
    <w:rsid w:val="00C22962"/>
    <w:rsid w:val="00C22AA3"/>
    <w:rsid w:val="00C22C7A"/>
    <w:rsid w:val="00C22C96"/>
    <w:rsid w:val="00C22CB8"/>
    <w:rsid w:val="00C22CDB"/>
    <w:rsid w:val="00C22D75"/>
    <w:rsid w:val="00C22E9D"/>
    <w:rsid w:val="00C22F91"/>
    <w:rsid w:val="00C23052"/>
    <w:rsid w:val="00C23260"/>
    <w:rsid w:val="00C23265"/>
    <w:rsid w:val="00C23364"/>
    <w:rsid w:val="00C2338D"/>
    <w:rsid w:val="00C23579"/>
    <w:rsid w:val="00C23587"/>
    <w:rsid w:val="00C23785"/>
    <w:rsid w:val="00C23999"/>
    <w:rsid w:val="00C239B9"/>
    <w:rsid w:val="00C239BC"/>
    <w:rsid w:val="00C23AC6"/>
    <w:rsid w:val="00C23B5F"/>
    <w:rsid w:val="00C23CFF"/>
    <w:rsid w:val="00C23E7D"/>
    <w:rsid w:val="00C23F46"/>
    <w:rsid w:val="00C23F6F"/>
    <w:rsid w:val="00C23FD1"/>
    <w:rsid w:val="00C240F2"/>
    <w:rsid w:val="00C242E3"/>
    <w:rsid w:val="00C243B8"/>
    <w:rsid w:val="00C243DF"/>
    <w:rsid w:val="00C24470"/>
    <w:rsid w:val="00C244CE"/>
    <w:rsid w:val="00C245EE"/>
    <w:rsid w:val="00C24814"/>
    <w:rsid w:val="00C24BF1"/>
    <w:rsid w:val="00C24C5C"/>
    <w:rsid w:val="00C24CF7"/>
    <w:rsid w:val="00C24D68"/>
    <w:rsid w:val="00C24DFF"/>
    <w:rsid w:val="00C250E1"/>
    <w:rsid w:val="00C25139"/>
    <w:rsid w:val="00C251B8"/>
    <w:rsid w:val="00C25229"/>
    <w:rsid w:val="00C253BF"/>
    <w:rsid w:val="00C25554"/>
    <w:rsid w:val="00C25873"/>
    <w:rsid w:val="00C25876"/>
    <w:rsid w:val="00C258FD"/>
    <w:rsid w:val="00C25AA3"/>
    <w:rsid w:val="00C25BD9"/>
    <w:rsid w:val="00C26106"/>
    <w:rsid w:val="00C2617F"/>
    <w:rsid w:val="00C2632E"/>
    <w:rsid w:val="00C265A4"/>
    <w:rsid w:val="00C266D0"/>
    <w:rsid w:val="00C26833"/>
    <w:rsid w:val="00C26871"/>
    <w:rsid w:val="00C26A9F"/>
    <w:rsid w:val="00C26ABD"/>
    <w:rsid w:val="00C26AD4"/>
    <w:rsid w:val="00C26B3A"/>
    <w:rsid w:val="00C26B8C"/>
    <w:rsid w:val="00C26C7F"/>
    <w:rsid w:val="00C26CA9"/>
    <w:rsid w:val="00C26DD9"/>
    <w:rsid w:val="00C2725A"/>
    <w:rsid w:val="00C27323"/>
    <w:rsid w:val="00C273AB"/>
    <w:rsid w:val="00C2752C"/>
    <w:rsid w:val="00C2753B"/>
    <w:rsid w:val="00C275EA"/>
    <w:rsid w:val="00C276F1"/>
    <w:rsid w:val="00C27774"/>
    <w:rsid w:val="00C277A5"/>
    <w:rsid w:val="00C27825"/>
    <w:rsid w:val="00C279D7"/>
    <w:rsid w:val="00C27AF2"/>
    <w:rsid w:val="00C27C23"/>
    <w:rsid w:val="00C27EC0"/>
    <w:rsid w:val="00C27ED4"/>
    <w:rsid w:val="00C30072"/>
    <w:rsid w:val="00C3022E"/>
    <w:rsid w:val="00C30236"/>
    <w:rsid w:val="00C30281"/>
    <w:rsid w:val="00C302AC"/>
    <w:rsid w:val="00C303DE"/>
    <w:rsid w:val="00C304F2"/>
    <w:rsid w:val="00C3053A"/>
    <w:rsid w:val="00C30590"/>
    <w:rsid w:val="00C3072C"/>
    <w:rsid w:val="00C3087E"/>
    <w:rsid w:val="00C3096E"/>
    <w:rsid w:val="00C30AFA"/>
    <w:rsid w:val="00C30B91"/>
    <w:rsid w:val="00C30BAA"/>
    <w:rsid w:val="00C30CD2"/>
    <w:rsid w:val="00C30CE8"/>
    <w:rsid w:val="00C30D57"/>
    <w:rsid w:val="00C30F9C"/>
    <w:rsid w:val="00C310B7"/>
    <w:rsid w:val="00C31132"/>
    <w:rsid w:val="00C311B0"/>
    <w:rsid w:val="00C3123C"/>
    <w:rsid w:val="00C3130C"/>
    <w:rsid w:val="00C31408"/>
    <w:rsid w:val="00C3141D"/>
    <w:rsid w:val="00C31448"/>
    <w:rsid w:val="00C3146C"/>
    <w:rsid w:val="00C314A2"/>
    <w:rsid w:val="00C31677"/>
    <w:rsid w:val="00C316E3"/>
    <w:rsid w:val="00C31867"/>
    <w:rsid w:val="00C318D5"/>
    <w:rsid w:val="00C31B05"/>
    <w:rsid w:val="00C31C90"/>
    <w:rsid w:val="00C31E50"/>
    <w:rsid w:val="00C31E89"/>
    <w:rsid w:val="00C31F35"/>
    <w:rsid w:val="00C31FD6"/>
    <w:rsid w:val="00C3201A"/>
    <w:rsid w:val="00C322E0"/>
    <w:rsid w:val="00C324BA"/>
    <w:rsid w:val="00C32525"/>
    <w:rsid w:val="00C3252E"/>
    <w:rsid w:val="00C32538"/>
    <w:rsid w:val="00C32551"/>
    <w:rsid w:val="00C3259A"/>
    <w:rsid w:val="00C3260E"/>
    <w:rsid w:val="00C326BD"/>
    <w:rsid w:val="00C326CA"/>
    <w:rsid w:val="00C326FE"/>
    <w:rsid w:val="00C32764"/>
    <w:rsid w:val="00C328F4"/>
    <w:rsid w:val="00C329A2"/>
    <w:rsid w:val="00C32A32"/>
    <w:rsid w:val="00C32A8D"/>
    <w:rsid w:val="00C32AA4"/>
    <w:rsid w:val="00C32CAC"/>
    <w:rsid w:val="00C32D1D"/>
    <w:rsid w:val="00C32D4E"/>
    <w:rsid w:val="00C32E55"/>
    <w:rsid w:val="00C32F21"/>
    <w:rsid w:val="00C330A5"/>
    <w:rsid w:val="00C330EA"/>
    <w:rsid w:val="00C33374"/>
    <w:rsid w:val="00C333B9"/>
    <w:rsid w:val="00C333BD"/>
    <w:rsid w:val="00C334F0"/>
    <w:rsid w:val="00C33539"/>
    <w:rsid w:val="00C3356C"/>
    <w:rsid w:val="00C33581"/>
    <w:rsid w:val="00C335CC"/>
    <w:rsid w:val="00C33680"/>
    <w:rsid w:val="00C337C5"/>
    <w:rsid w:val="00C3381D"/>
    <w:rsid w:val="00C33836"/>
    <w:rsid w:val="00C33951"/>
    <w:rsid w:val="00C33D93"/>
    <w:rsid w:val="00C33F32"/>
    <w:rsid w:val="00C341F6"/>
    <w:rsid w:val="00C34254"/>
    <w:rsid w:val="00C342E3"/>
    <w:rsid w:val="00C343BD"/>
    <w:rsid w:val="00C34501"/>
    <w:rsid w:val="00C34552"/>
    <w:rsid w:val="00C34697"/>
    <w:rsid w:val="00C346FF"/>
    <w:rsid w:val="00C34716"/>
    <w:rsid w:val="00C3483C"/>
    <w:rsid w:val="00C34A8E"/>
    <w:rsid w:val="00C34B43"/>
    <w:rsid w:val="00C34E38"/>
    <w:rsid w:val="00C34F32"/>
    <w:rsid w:val="00C3502D"/>
    <w:rsid w:val="00C3509C"/>
    <w:rsid w:val="00C350A1"/>
    <w:rsid w:val="00C353E2"/>
    <w:rsid w:val="00C3540C"/>
    <w:rsid w:val="00C355DF"/>
    <w:rsid w:val="00C35672"/>
    <w:rsid w:val="00C35708"/>
    <w:rsid w:val="00C35744"/>
    <w:rsid w:val="00C35855"/>
    <w:rsid w:val="00C35884"/>
    <w:rsid w:val="00C35A22"/>
    <w:rsid w:val="00C35A8D"/>
    <w:rsid w:val="00C35AD6"/>
    <w:rsid w:val="00C35DF8"/>
    <w:rsid w:val="00C362AA"/>
    <w:rsid w:val="00C36343"/>
    <w:rsid w:val="00C36361"/>
    <w:rsid w:val="00C364E5"/>
    <w:rsid w:val="00C366E4"/>
    <w:rsid w:val="00C366E5"/>
    <w:rsid w:val="00C36820"/>
    <w:rsid w:val="00C36916"/>
    <w:rsid w:val="00C36AA9"/>
    <w:rsid w:val="00C36BAE"/>
    <w:rsid w:val="00C36F43"/>
    <w:rsid w:val="00C3702A"/>
    <w:rsid w:val="00C370F1"/>
    <w:rsid w:val="00C3727B"/>
    <w:rsid w:val="00C372AC"/>
    <w:rsid w:val="00C373F7"/>
    <w:rsid w:val="00C375EA"/>
    <w:rsid w:val="00C37649"/>
    <w:rsid w:val="00C378F7"/>
    <w:rsid w:val="00C3794D"/>
    <w:rsid w:val="00C37BDB"/>
    <w:rsid w:val="00C37E5A"/>
    <w:rsid w:val="00C37F7A"/>
    <w:rsid w:val="00C37FB6"/>
    <w:rsid w:val="00C37FBD"/>
    <w:rsid w:val="00C4063B"/>
    <w:rsid w:val="00C40844"/>
    <w:rsid w:val="00C40925"/>
    <w:rsid w:val="00C40ACF"/>
    <w:rsid w:val="00C40B41"/>
    <w:rsid w:val="00C40B96"/>
    <w:rsid w:val="00C40C9A"/>
    <w:rsid w:val="00C40CF7"/>
    <w:rsid w:val="00C40D1C"/>
    <w:rsid w:val="00C40D8B"/>
    <w:rsid w:val="00C40E92"/>
    <w:rsid w:val="00C40F6D"/>
    <w:rsid w:val="00C4125F"/>
    <w:rsid w:val="00C41398"/>
    <w:rsid w:val="00C4148D"/>
    <w:rsid w:val="00C41543"/>
    <w:rsid w:val="00C415C7"/>
    <w:rsid w:val="00C41671"/>
    <w:rsid w:val="00C41678"/>
    <w:rsid w:val="00C416E8"/>
    <w:rsid w:val="00C4174A"/>
    <w:rsid w:val="00C4182A"/>
    <w:rsid w:val="00C418B9"/>
    <w:rsid w:val="00C41A66"/>
    <w:rsid w:val="00C41DE1"/>
    <w:rsid w:val="00C41E38"/>
    <w:rsid w:val="00C41E46"/>
    <w:rsid w:val="00C41EEB"/>
    <w:rsid w:val="00C42169"/>
    <w:rsid w:val="00C42245"/>
    <w:rsid w:val="00C422D2"/>
    <w:rsid w:val="00C42717"/>
    <w:rsid w:val="00C42739"/>
    <w:rsid w:val="00C4275D"/>
    <w:rsid w:val="00C42878"/>
    <w:rsid w:val="00C428BC"/>
    <w:rsid w:val="00C42A39"/>
    <w:rsid w:val="00C42A51"/>
    <w:rsid w:val="00C42AB8"/>
    <w:rsid w:val="00C42B11"/>
    <w:rsid w:val="00C42CEB"/>
    <w:rsid w:val="00C42EF4"/>
    <w:rsid w:val="00C42FB6"/>
    <w:rsid w:val="00C42FF5"/>
    <w:rsid w:val="00C430A9"/>
    <w:rsid w:val="00C4311B"/>
    <w:rsid w:val="00C4322F"/>
    <w:rsid w:val="00C4335A"/>
    <w:rsid w:val="00C433BC"/>
    <w:rsid w:val="00C433F9"/>
    <w:rsid w:val="00C43456"/>
    <w:rsid w:val="00C43575"/>
    <w:rsid w:val="00C4359A"/>
    <w:rsid w:val="00C4395F"/>
    <w:rsid w:val="00C4396D"/>
    <w:rsid w:val="00C439F6"/>
    <w:rsid w:val="00C43AEF"/>
    <w:rsid w:val="00C43D49"/>
    <w:rsid w:val="00C43DA5"/>
    <w:rsid w:val="00C43DA6"/>
    <w:rsid w:val="00C43DFE"/>
    <w:rsid w:val="00C43E19"/>
    <w:rsid w:val="00C43F45"/>
    <w:rsid w:val="00C44060"/>
    <w:rsid w:val="00C44132"/>
    <w:rsid w:val="00C445BE"/>
    <w:rsid w:val="00C44607"/>
    <w:rsid w:val="00C44626"/>
    <w:rsid w:val="00C4471E"/>
    <w:rsid w:val="00C4480E"/>
    <w:rsid w:val="00C44888"/>
    <w:rsid w:val="00C44F2F"/>
    <w:rsid w:val="00C45054"/>
    <w:rsid w:val="00C45169"/>
    <w:rsid w:val="00C4546C"/>
    <w:rsid w:val="00C455B5"/>
    <w:rsid w:val="00C456B8"/>
    <w:rsid w:val="00C45892"/>
    <w:rsid w:val="00C4591E"/>
    <w:rsid w:val="00C459F3"/>
    <w:rsid w:val="00C45AC6"/>
    <w:rsid w:val="00C45C44"/>
    <w:rsid w:val="00C45CA6"/>
    <w:rsid w:val="00C45D92"/>
    <w:rsid w:val="00C45EA3"/>
    <w:rsid w:val="00C461FC"/>
    <w:rsid w:val="00C462D2"/>
    <w:rsid w:val="00C46356"/>
    <w:rsid w:val="00C4645F"/>
    <w:rsid w:val="00C465A6"/>
    <w:rsid w:val="00C46652"/>
    <w:rsid w:val="00C4666A"/>
    <w:rsid w:val="00C46802"/>
    <w:rsid w:val="00C46BF6"/>
    <w:rsid w:val="00C46D48"/>
    <w:rsid w:val="00C46DEA"/>
    <w:rsid w:val="00C46FD0"/>
    <w:rsid w:val="00C473E7"/>
    <w:rsid w:val="00C47437"/>
    <w:rsid w:val="00C47455"/>
    <w:rsid w:val="00C4747F"/>
    <w:rsid w:val="00C477C7"/>
    <w:rsid w:val="00C4781F"/>
    <w:rsid w:val="00C4799B"/>
    <w:rsid w:val="00C47AAB"/>
    <w:rsid w:val="00C47CC5"/>
    <w:rsid w:val="00C47D1E"/>
    <w:rsid w:val="00C47F1E"/>
    <w:rsid w:val="00C50029"/>
    <w:rsid w:val="00C50161"/>
    <w:rsid w:val="00C5027D"/>
    <w:rsid w:val="00C503D7"/>
    <w:rsid w:val="00C50529"/>
    <w:rsid w:val="00C50566"/>
    <w:rsid w:val="00C5058E"/>
    <w:rsid w:val="00C505E5"/>
    <w:rsid w:val="00C5061C"/>
    <w:rsid w:val="00C506CD"/>
    <w:rsid w:val="00C506E0"/>
    <w:rsid w:val="00C50763"/>
    <w:rsid w:val="00C507F7"/>
    <w:rsid w:val="00C509EE"/>
    <w:rsid w:val="00C50BCC"/>
    <w:rsid w:val="00C50DF0"/>
    <w:rsid w:val="00C50E97"/>
    <w:rsid w:val="00C50EB5"/>
    <w:rsid w:val="00C50ED9"/>
    <w:rsid w:val="00C50EFE"/>
    <w:rsid w:val="00C50FBB"/>
    <w:rsid w:val="00C512C7"/>
    <w:rsid w:val="00C51377"/>
    <w:rsid w:val="00C513DF"/>
    <w:rsid w:val="00C51497"/>
    <w:rsid w:val="00C514BB"/>
    <w:rsid w:val="00C514D3"/>
    <w:rsid w:val="00C516EA"/>
    <w:rsid w:val="00C51731"/>
    <w:rsid w:val="00C5184E"/>
    <w:rsid w:val="00C51A72"/>
    <w:rsid w:val="00C51B91"/>
    <w:rsid w:val="00C51B95"/>
    <w:rsid w:val="00C51C2C"/>
    <w:rsid w:val="00C51CA6"/>
    <w:rsid w:val="00C51CE0"/>
    <w:rsid w:val="00C51D2F"/>
    <w:rsid w:val="00C51DE7"/>
    <w:rsid w:val="00C52009"/>
    <w:rsid w:val="00C520AC"/>
    <w:rsid w:val="00C52281"/>
    <w:rsid w:val="00C5246E"/>
    <w:rsid w:val="00C524E9"/>
    <w:rsid w:val="00C52512"/>
    <w:rsid w:val="00C5255C"/>
    <w:rsid w:val="00C52586"/>
    <w:rsid w:val="00C527F0"/>
    <w:rsid w:val="00C52859"/>
    <w:rsid w:val="00C528DA"/>
    <w:rsid w:val="00C52E38"/>
    <w:rsid w:val="00C52FA3"/>
    <w:rsid w:val="00C53128"/>
    <w:rsid w:val="00C5325D"/>
    <w:rsid w:val="00C5338C"/>
    <w:rsid w:val="00C533AC"/>
    <w:rsid w:val="00C535EC"/>
    <w:rsid w:val="00C535FD"/>
    <w:rsid w:val="00C536A9"/>
    <w:rsid w:val="00C53984"/>
    <w:rsid w:val="00C53AC5"/>
    <w:rsid w:val="00C53C76"/>
    <w:rsid w:val="00C53E3D"/>
    <w:rsid w:val="00C53E8C"/>
    <w:rsid w:val="00C53F5D"/>
    <w:rsid w:val="00C5403E"/>
    <w:rsid w:val="00C542C2"/>
    <w:rsid w:val="00C542D7"/>
    <w:rsid w:val="00C5439B"/>
    <w:rsid w:val="00C54437"/>
    <w:rsid w:val="00C545CA"/>
    <w:rsid w:val="00C5461C"/>
    <w:rsid w:val="00C546B4"/>
    <w:rsid w:val="00C54757"/>
    <w:rsid w:val="00C5479D"/>
    <w:rsid w:val="00C54878"/>
    <w:rsid w:val="00C548A9"/>
    <w:rsid w:val="00C54A39"/>
    <w:rsid w:val="00C54C97"/>
    <w:rsid w:val="00C54CFE"/>
    <w:rsid w:val="00C54D0D"/>
    <w:rsid w:val="00C54D49"/>
    <w:rsid w:val="00C54F70"/>
    <w:rsid w:val="00C5507D"/>
    <w:rsid w:val="00C551F2"/>
    <w:rsid w:val="00C552F5"/>
    <w:rsid w:val="00C553D0"/>
    <w:rsid w:val="00C55490"/>
    <w:rsid w:val="00C55591"/>
    <w:rsid w:val="00C55618"/>
    <w:rsid w:val="00C55730"/>
    <w:rsid w:val="00C55848"/>
    <w:rsid w:val="00C55987"/>
    <w:rsid w:val="00C55C39"/>
    <w:rsid w:val="00C55C43"/>
    <w:rsid w:val="00C55E2B"/>
    <w:rsid w:val="00C55E7A"/>
    <w:rsid w:val="00C55FAE"/>
    <w:rsid w:val="00C55FFE"/>
    <w:rsid w:val="00C5603B"/>
    <w:rsid w:val="00C5617D"/>
    <w:rsid w:val="00C56420"/>
    <w:rsid w:val="00C56484"/>
    <w:rsid w:val="00C56557"/>
    <w:rsid w:val="00C566CD"/>
    <w:rsid w:val="00C56775"/>
    <w:rsid w:val="00C56941"/>
    <w:rsid w:val="00C56B75"/>
    <w:rsid w:val="00C56CFB"/>
    <w:rsid w:val="00C56DC5"/>
    <w:rsid w:val="00C56FEE"/>
    <w:rsid w:val="00C56FFF"/>
    <w:rsid w:val="00C57036"/>
    <w:rsid w:val="00C57102"/>
    <w:rsid w:val="00C5712F"/>
    <w:rsid w:val="00C57196"/>
    <w:rsid w:val="00C57426"/>
    <w:rsid w:val="00C57527"/>
    <w:rsid w:val="00C57572"/>
    <w:rsid w:val="00C57591"/>
    <w:rsid w:val="00C57606"/>
    <w:rsid w:val="00C57632"/>
    <w:rsid w:val="00C57873"/>
    <w:rsid w:val="00C57910"/>
    <w:rsid w:val="00C57C4F"/>
    <w:rsid w:val="00C57C75"/>
    <w:rsid w:val="00C57D8B"/>
    <w:rsid w:val="00C60103"/>
    <w:rsid w:val="00C60244"/>
    <w:rsid w:val="00C60391"/>
    <w:rsid w:val="00C6056B"/>
    <w:rsid w:val="00C60594"/>
    <w:rsid w:val="00C605CF"/>
    <w:rsid w:val="00C6060F"/>
    <w:rsid w:val="00C60643"/>
    <w:rsid w:val="00C6066C"/>
    <w:rsid w:val="00C6067E"/>
    <w:rsid w:val="00C6081A"/>
    <w:rsid w:val="00C60A7A"/>
    <w:rsid w:val="00C60AE0"/>
    <w:rsid w:val="00C60CAB"/>
    <w:rsid w:val="00C60CCA"/>
    <w:rsid w:val="00C60CF5"/>
    <w:rsid w:val="00C60D1F"/>
    <w:rsid w:val="00C60E26"/>
    <w:rsid w:val="00C60E36"/>
    <w:rsid w:val="00C60FE5"/>
    <w:rsid w:val="00C610BA"/>
    <w:rsid w:val="00C6120C"/>
    <w:rsid w:val="00C61268"/>
    <w:rsid w:val="00C61279"/>
    <w:rsid w:val="00C6135B"/>
    <w:rsid w:val="00C6147C"/>
    <w:rsid w:val="00C61501"/>
    <w:rsid w:val="00C6153A"/>
    <w:rsid w:val="00C61593"/>
    <w:rsid w:val="00C61647"/>
    <w:rsid w:val="00C61660"/>
    <w:rsid w:val="00C616E7"/>
    <w:rsid w:val="00C617EB"/>
    <w:rsid w:val="00C6188D"/>
    <w:rsid w:val="00C61B5A"/>
    <w:rsid w:val="00C61D49"/>
    <w:rsid w:val="00C61DA8"/>
    <w:rsid w:val="00C61E1B"/>
    <w:rsid w:val="00C61E49"/>
    <w:rsid w:val="00C61E7E"/>
    <w:rsid w:val="00C61F5D"/>
    <w:rsid w:val="00C61FD1"/>
    <w:rsid w:val="00C621C9"/>
    <w:rsid w:val="00C6228D"/>
    <w:rsid w:val="00C62421"/>
    <w:rsid w:val="00C626CA"/>
    <w:rsid w:val="00C62712"/>
    <w:rsid w:val="00C62867"/>
    <w:rsid w:val="00C62871"/>
    <w:rsid w:val="00C62884"/>
    <w:rsid w:val="00C628CE"/>
    <w:rsid w:val="00C62B22"/>
    <w:rsid w:val="00C62C30"/>
    <w:rsid w:val="00C62C8F"/>
    <w:rsid w:val="00C62CAC"/>
    <w:rsid w:val="00C62D80"/>
    <w:rsid w:val="00C62E1A"/>
    <w:rsid w:val="00C62EB3"/>
    <w:rsid w:val="00C62F05"/>
    <w:rsid w:val="00C62F3A"/>
    <w:rsid w:val="00C63094"/>
    <w:rsid w:val="00C6311C"/>
    <w:rsid w:val="00C631C6"/>
    <w:rsid w:val="00C632E9"/>
    <w:rsid w:val="00C6339A"/>
    <w:rsid w:val="00C63819"/>
    <w:rsid w:val="00C638C7"/>
    <w:rsid w:val="00C638E3"/>
    <w:rsid w:val="00C6390B"/>
    <w:rsid w:val="00C6391B"/>
    <w:rsid w:val="00C639A5"/>
    <w:rsid w:val="00C639F2"/>
    <w:rsid w:val="00C63C81"/>
    <w:rsid w:val="00C63CDF"/>
    <w:rsid w:val="00C63E02"/>
    <w:rsid w:val="00C63F14"/>
    <w:rsid w:val="00C63F42"/>
    <w:rsid w:val="00C63FCB"/>
    <w:rsid w:val="00C63FD7"/>
    <w:rsid w:val="00C63FEB"/>
    <w:rsid w:val="00C6407D"/>
    <w:rsid w:val="00C641C9"/>
    <w:rsid w:val="00C641EC"/>
    <w:rsid w:val="00C64226"/>
    <w:rsid w:val="00C642BF"/>
    <w:rsid w:val="00C64327"/>
    <w:rsid w:val="00C644D7"/>
    <w:rsid w:val="00C647AC"/>
    <w:rsid w:val="00C647CB"/>
    <w:rsid w:val="00C647DF"/>
    <w:rsid w:val="00C648CD"/>
    <w:rsid w:val="00C64914"/>
    <w:rsid w:val="00C64A39"/>
    <w:rsid w:val="00C64A75"/>
    <w:rsid w:val="00C64B00"/>
    <w:rsid w:val="00C64B79"/>
    <w:rsid w:val="00C64E48"/>
    <w:rsid w:val="00C65199"/>
    <w:rsid w:val="00C65236"/>
    <w:rsid w:val="00C652E4"/>
    <w:rsid w:val="00C653A2"/>
    <w:rsid w:val="00C654C0"/>
    <w:rsid w:val="00C656EF"/>
    <w:rsid w:val="00C65881"/>
    <w:rsid w:val="00C658D2"/>
    <w:rsid w:val="00C65C1B"/>
    <w:rsid w:val="00C65C2A"/>
    <w:rsid w:val="00C65C5C"/>
    <w:rsid w:val="00C65CCB"/>
    <w:rsid w:val="00C65D73"/>
    <w:rsid w:val="00C65D88"/>
    <w:rsid w:val="00C66077"/>
    <w:rsid w:val="00C660D7"/>
    <w:rsid w:val="00C661B6"/>
    <w:rsid w:val="00C662EE"/>
    <w:rsid w:val="00C663C8"/>
    <w:rsid w:val="00C66593"/>
    <w:rsid w:val="00C665F9"/>
    <w:rsid w:val="00C66667"/>
    <w:rsid w:val="00C666DC"/>
    <w:rsid w:val="00C66792"/>
    <w:rsid w:val="00C667CF"/>
    <w:rsid w:val="00C66823"/>
    <w:rsid w:val="00C66842"/>
    <w:rsid w:val="00C668EF"/>
    <w:rsid w:val="00C66928"/>
    <w:rsid w:val="00C66B6D"/>
    <w:rsid w:val="00C66D9E"/>
    <w:rsid w:val="00C66DBE"/>
    <w:rsid w:val="00C66F16"/>
    <w:rsid w:val="00C66F2C"/>
    <w:rsid w:val="00C66F8C"/>
    <w:rsid w:val="00C6713D"/>
    <w:rsid w:val="00C6721A"/>
    <w:rsid w:val="00C672AC"/>
    <w:rsid w:val="00C67586"/>
    <w:rsid w:val="00C6758A"/>
    <w:rsid w:val="00C6762B"/>
    <w:rsid w:val="00C67704"/>
    <w:rsid w:val="00C677DF"/>
    <w:rsid w:val="00C67806"/>
    <w:rsid w:val="00C67AE0"/>
    <w:rsid w:val="00C67D9A"/>
    <w:rsid w:val="00C67DF5"/>
    <w:rsid w:val="00C67E93"/>
    <w:rsid w:val="00C67F2F"/>
    <w:rsid w:val="00C70010"/>
    <w:rsid w:val="00C7013C"/>
    <w:rsid w:val="00C705A1"/>
    <w:rsid w:val="00C705CD"/>
    <w:rsid w:val="00C70625"/>
    <w:rsid w:val="00C706FB"/>
    <w:rsid w:val="00C70702"/>
    <w:rsid w:val="00C708F5"/>
    <w:rsid w:val="00C70ABF"/>
    <w:rsid w:val="00C70B58"/>
    <w:rsid w:val="00C70B78"/>
    <w:rsid w:val="00C70D08"/>
    <w:rsid w:val="00C70E1E"/>
    <w:rsid w:val="00C70FD1"/>
    <w:rsid w:val="00C71090"/>
    <w:rsid w:val="00C710B5"/>
    <w:rsid w:val="00C712F8"/>
    <w:rsid w:val="00C714CD"/>
    <w:rsid w:val="00C715C7"/>
    <w:rsid w:val="00C717CF"/>
    <w:rsid w:val="00C71977"/>
    <w:rsid w:val="00C719DA"/>
    <w:rsid w:val="00C71B11"/>
    <w:rsid w:val="00C71B85"/>
    <w:rsid w:val="00C71C15"/>
    <w:rsid w:val="00C71CC2"/>
    <w:rsid w:val="00C71D74"/>
    <w:rsid w:val="00C71D96"/>
    <w:rsid w:val="00C71DCB"/>
    <w:rsid w:val="00C71F52"/>
    <w:rsid w:val="00C71FB6"/>
    <w:rsid w:val="00C720A3"/>
    <w:rsid w:val="00C72134"/>
    <w:rsid w:val="00C7217B"/>
    <w:rsid w:val="00C7231E"/>
    <w:rsid w:val="00C72576"/>
    <w:rsid w:val="00C726EE"/>
    <w:rsid w:val="00C7274A"/>
    <w:rsid w:val="00C727C6"/>
    <w:rsid w:val="00C729B5"/>
    <w:rsid w:val="00C72D8B"/>
    <w:rsid w:val="00C72E72"/>
    <w:rsid w:val="00C73191"/>
    <w:rsid w:val="00C7328B"/>
    <w:rsid w:val="00C735C1"/>
    <w:rsid w:val="00C735C8"/>
    <w:rsid w:val="00C73701"/>
    <w:rsid w:val="00C73741"/>
    <w:rsid w:val="00C737B6"/>
    <w:rsid w:val="00C737CE"/>
    <w:rsid w:val="00C73806"/>
    <w:rsid w:val="00C73970"/>
    <w:rsid w:val="00C73988"/>
    <w:rsid w:val="00C739F8"/>
    <w:rsid w:val="00C73A6A"/>
    <w:rsid w:val="00C73B26"/>
    <w:rsid w:val="00C73D3F"/>
    <w:rsid w:val="00C73E92"/>
    <w:rsid w:val="00C74095"/>
    <w:rsid w:val="00C7434F"/>
    <w:rsid w:val="00C74398"/>
    <w:rsid w:val="00C743AA"/>
    <w:rsid w:val="00C74505"/>
    <w:rsid w:val="00C745D5"/>
    <w:rsid w:val="00C747DC"/>
    <w:rsid w:val="00C747FC"/>
    <w:rsid w:val="00C74A8A"/>
    <w:rsid w:val="00C74B19"/>
    <w:rsid w:val="00C74B3D"/>
    <w:rsid w:val="00C74C3D"/>
    <w:rsid w:val="00C74C97"/>
    <w:rsid w:val="00C74D4F"/>
    <w:rsid w:val="00C74DCA"/>
    <w:rsid w:val="00C74F11"/>
    <w:rsid w:val="00C74F50"/>
    <w:rsid w:val="00C74FFB"/>
    <w:rsid w:val="00C751B2"/>
    <w:rsid w:val="00C7553A"/>
    <w:rsid w:val="00C75690"/>
    <w:rsid w:val="00C757A0"/>
    <w:rsid w:val="00C75971"/>
    <w:rsid w:val="00C759C0"/>
    <w:rsid w:val="00C75A66"/>
    <w:rsid w:val="00C75F06"/>
    <w:rsid w:val="00C75FD1"/>
    <w:rsid w:val="00C760AA"/>
    <w:rsid w:val="00C763C7"/>
    <w:rsid w:val="00C764BA"/>
    <w:rsid w:val="00C765B8"/>
    <w:rsid w:val="00C76614"/>
    <w:rsid w:val="00C76687"/>
    <w:rsid w:val="00C76778"/>
    <w:rsid w:val="00C767E9"/>
    <w:rsid w:val="00C768C1"/>
    <w:rsid w:val="00C76993"/>
    <w:rsid w:val="00C769EB"/>
    <w:rsid w:val="00C76B65"/>
    <w:rsid w:val="00C76C32"/>
    <w:rsid w:val="00C76D50"/>
    <w:rsid w:val="00C76DC1"/>
    <w:rsid w:val="00C76F08"/>
    <w:rsid w:val="00C76FCF"/>
    <w:rsid w:val="00C77134"/>
    <w:rsid w:val="00C772E8"/>
    <w:rsid w:val="00C77362"/>
    <w:rsid w:val="00C77526"/>
    <w:rsid w:val="00C77592"/>
    <w:rsid w:val="00C777ED"/>
    <w:rsid w:val="00C77829"/>
    <w:rsid w:val="00C77BE9"/>
    <w:rsid w:val="00C8009A"/>
    <w:rsid w:val="00C800DF"/>
    <w:rsid w:val="00C801AE"/>
    <w:rsid w:val="00C802C8"/>
    <w:rsid w:val="00C802CD"/>
    <w:rsid w:val="00C80382"/>
    <w:rsid w:val="00C803C8"/>
    <w:rsid w:val="00C80414"/>
    <w:rsid w:val="00C8059C"/>
    <w:rsid w:val="00C8066A"/>
    <w:rsid w:val="00C80763"/>
    <w:rsid w:val="00C8077F"/>
    <w:rsid w:val="00C80A6C"/>
    <w:rsid w:val="00C80B68"/>
    <w:rsid w:val="00C80C42"/>
    <w:rsid w:val="00C80CDE"/>
    <w:rsid w:val="00C80CE2"/>
    <w:rsid w:val="00C80F79"/>
    <w:rsid w:val="00C81067"/>
    <w:rsid w:val="00C81091"/>
    <w:rsid w:val="00C810FE"/>
    <w:rsid w:val="00C81123"/>
    <w:rsid w:val="00C811E4"/>
    <w:rsid w:val="00C813FA"/>
    <w:rsid w:val="00C815DA"/>
    <w:rsid w:val="00C81710"/>
    <w:rsid w:val="00C817D3"/>
    <w:rsid w:val="00C818E8"/>
    <w:rsid w:val="00C81C35"/>
    <w:rsid w:val="00C81CB7"/>
    <w:rsid w:val="00C81FC1"/>
    <w:rsid w:val="00C82136"/>
    <w:rsid w:val="00C82380"/>
    <w:rsid w:val="00C823FD"/>
    <w:rsid w:val="00C824C3"/>
    <w:rsid w:val="00C8255C"/>
    <w:rsid w:val="00C825A7"/>
    <w:rsid w:val="00C825C0"/>
    <w:rsid w:val="00C825F3"/>
    <w:rsid w:val="00C826A9"/>
    <w:rsid w:val="00C82767"/>
    <w:rsid w:val="00C82942"/>
    <w:rsid w:val="00C829E5"/>
    <w:rsid w:val="00C82A60"/>
    <w:rsid w:val="00C82A8A"/>
    <w:rsid w:val="00C82B0B"/>
    <w:rsid w:val="00C82BE7"/>
    <w:rsid w:val="00C82CB7"/>
    <w:rsid w:val="00C82D0F"/>
    <w:rsid w:val="00C82EE0"/>
    <w:rsid w:val="00C82F7A"/>
    <w:rsid w:val="00C82F7B"/>
    <w:rsid w:val="00C83084"/>
    <w:rsid w:val="00C8316F"/>
    <w:rsid w:val="00C83335"/>
    <w:rsid w:val="00C8349B"/>
    <w:rsid w:val="00C83563"/>
    <w:rsid w:val="00C83983"/>
    <w:rsid w:val="00C83996"/>
    <w:rsid w:val="00C83999"/>
    <w:rsid w:val="00C83A29"/>
    <w:rsid w:val="00C83ADD"/>
    <w:rsid w:val="00C83AE5"/>
    <w:rsid w:val="00C83B77"/>
    <w:rsid w:val="00C83D48"/>
    <w:rsid w:val="00C83D93"/>
    <w:rsid w:val="00C83EE7"/>
    <w:rsid w:val="00C83F26"/>
    <w:rsid w:val="00C83F50"/>
    <w:rsid w:val="00C84163"/>
    <w:rsid w:val="00C84208"/>
    <w:rsid w:val="00C84253"/>
    <w:rsid w:val="00C84270"/>
    <w:rsid w:val="00C843A6"/>
    <w:rsid w:val="00C845A1"/>
    <w:rsid w:val="00C84739"/>
    <w:rsid w:val="00C8474F"/>
    <w:rsid w:val="00C84851"/>
    <w:rsid w:val="00C849AA"/>
    <w:rsid w:val="00C849AF"/>
    <w:rsid w:val="00C84B4A"/>
    <w:rsid w:val="00C84C08"/>
    <w:rsid w:val="00C84C27"/>
    <w:rsid w:val="00C84D32"/>
    <w:rsid w:val="00C8526A"/>
    <w:rsid w:val="00C8537A"/>
    <w:rsid w:val="00C8540A"/>
    <w:rsid w:val="00C85534"/>
    <w:rsid w:val="00C856A5"/>
    <w:rsid w:val="00C8572E"/>
    <w:rsid w:val="00C857AC"/>
    <w:rsid w:val="00C859BE"/>
    <w:rsid w:val="00C859EE"/>
    <w:rsid w:val="00C859FD"/>
    <w:rsid w:val="00C85A44"/>
    <w:rsid w:val="00C85C2E"/>
    <w:rsid w:val="00C86062"/>
    <w:rsid w:val="00C860A6"/>
    <w:rsid w:val="00C8620A"/>
    <w:rsid w:val="00C86379"/>
    <w:rsid w:val="00C8658F"/>
    <w:rsid w:val="00C865DB"/>
    <w:rsid w:val="00C8677F"/>
    <w:rsid w:val="00C867D8"/>
    <w:rsid w:val="00C86E80"/>
    <w:rsid w:val="00C86FD7"/>
    <w:rsid w:val="00C87056"/>
    <w:rsid w:val="00C871B7"/>
    <w:rsid w:val="00C871CC"/>
    <w:rsid w:val="00C874AD"/>
    <w:rsid w:val="00C874F2"/>
    <w:rsid w:val="00C87588"/>
    <w:rsid w:val="00C875C1"/>
    <w:rsid w:val="00C87600"/>
    <w:rsid w:val="00C876BB"/>
    <w:rsid w:val="00C8787E"/>
    <w:rsid w:val="00C87B19"/>
    <w:rsid w:val="00C87D29"/>
    <w:rsid w:val="00C87D2F"/>
    <w:rsid w:val="00C87E41"/>
    <w:rsid w:val="00C87F19"/>
    <w:rsid w:val="00C90079"/>
    <w:rsid w:val="00C901C5"/>
    <w:rsid w:val="00C904D0"/>
    <w:rsid w:val="00C90882"/>
    <w:rsid w:val="00C908FD"/>
    <w:rsid w:val="00C90A2F"/>
    <w:rsid w:val="00C90BAA"/>
    <w:rsid w:val="00C90CBA"/>
    <w:rsid w:val="00C90CC4"/>
    <w:rsid w:val="00C90CCB"/>
    <w:rsid w:val="00C90E44"/>
    <w:rsid w:val="00C90F72"/>
    <w:rsid w:val="00C910AB"/>
    <w:rsid w:val="00C910E2"/>
    <w:rsid w:val="00C910FE"/>
    <w:rsid w:val="00C91113"/>
    <w:rsid w:val="00C91161"/>
    <w:rsid w:val="00C9116C"/>
    <w:rsid w:val="00C913E8"/>
    <w:rsid w:val="00C9157F"/>
    <w:rsid w:val="00C91695"/>
    <w:rsid w:val="00C917F2"/>
    <w:rsid w:val="00C91A44"/>
    <w:rsid w:val="00C91A7E"/>
    <w:rsid w:val="00C91BE3"/>
    <w:rsid w:val="00C91C3B"/>
    <w:rsid w:val="00C91C9E"/>
    <w:rsid w:val="00C91D10"/>
    <w:rsid w:val="00C91F2C"/>
    <w:rsid w:val="00C91F64"/>
    <w:rsid w:val="00C91FC1"/>
    <w:rsid w:val="00C91FC5"/>
    <w:rsid w:val="00C9215C"/>
    <w:rsid w:val="00C921B9"/>
    <w:rsid w:val="00C922C4"/>
    <w:rsid w:val="00C92324"/>
    <w:rsid w:val="00C92351"/>
    <w:rsid w:val="00C9244B"/>
    <w:rsid w:val="00C92476"/>
    <w:rsid w:val="00C924EE"/>
    <w:rsid w:val="00C92587"/>
    <w:rsid w:val="00C92703"/>
    <w:rsid w:val="00C92715"/>
    <w:rsid w:val="00C927CE"/>
    <w:rsid w:val="00C92892"/>
    <w:rsid w:val="00C92A3B"/>
    <w:rsid w:val="00C92AA2"/>
    <w:rsid w:val="00C92C11"/>
    <w:rsid w:val="00C92DFA"/>
    <w:rsid w:val="00C92EF7"/>
    <w:rsid w:val="00C92F47"/>
    <w:rsid w:val="00C9310E"/>
    <w:rsid w:val="00C93111"/>
    <w:rsid w:val="00C931B4"/>
    <w:rsid w:val="00C9320B"/>
    <w:rsid w:val="00C93551"/>
    <w:rsid w:val="00C93566"/>
    <w:rsid w:val="00C9373B"/>
    <w:rsid w:val="00C9380F"/>
    <w:rsid w:val="00C93882"/>
    <w:rsid w:val="00C9388A"/>
    <w:rsid w:val="00C938FF"/>
    <w:rsid w:val="00C93942"/>
    <w:rsid w:val="00C93ABF"/>
    <w:rsid w:val="00C93B2F"/>
    <w:rsid w:val="00C93B90"/>
    <w:rsid w:val="00C93C37"/>
    <w:rsid w:val="00C93CEC"/>
    <w:rsid w:val="00C93EE6"/>
    <w:rsid w:val="00C93F4D"/>
    <w:rsid w:val="00C94091"/>
    <w:rsid w:val="00C94174"/>
    <w:rsid w:val="00C943C3"/>
    <w:rsid w:val="00C94412"/>
    <w:rsid w:val="00C94471"/>
    <w:rsid w:val="00C945B0"/>
    <w:rsid w:val="00C94642"/>
    <w:rsid w:val="00C946B2"/>
    <w:rsid w:val="00C948BE"/>
    <w:rsid w:val="00C94946"/>
    <w:rsid w:val="00C94D18"/>
    <w:rsid w:val="00C94DB4"/>
    <w:rsid w:val="00C94E8F"/>
    <w:rsid w:val="00C94EBC"/>
    <w:rsid w:val="00C94EF4"/>
    <w:rsid w:val="00C950D9"/>
    <w:rsid w:val="00C95174"/>
    <w:rsid w:val="00C9517D"/>
    <w:rsid w:val="00C95212"/>
    <w:rsid w:val="00C95253"/>
    <w:rsid w:val="00C952BC"/>
    <w:rsid w:val="00C95390"/>
    <w:rsid w:val="00C9569D"/>
    <w:rsid w:val="00C95965"/>
    <w:rsid w:val="00C9598D"/>
    <w:rsid w:val="00C959EB"/>
    <w:rsid w:val="00C95AF8"/>
    <w:rsid w:val="00C95C79"/>
    <w:rsid w:val="00C95D68"/>
    <w:rsid w:val="00C95E0F"/>
    <w:rsid w:val="00C960A8"/>
    <w:rsid w:val="00C960B0"/>
    <w:rsid w:val="00C960D9"/>
    <w:rsid w:val="00C962C7"/>
    <w:rsid w:val="00C965F2"/>
    <w:rsid w:val="00C96614"/>
    <w:rsid w:val="00C9676B"/>
    <w:rsid w:val="00C96801"/>
    <w:rsid w:val="00C96937"/>
    <w:rsid w:val="00C96DE9"/>
    <w:rsid w:val="00C96E5F"/>
    <w:rsid w:val="00C96EC9"/>
    <w:rsid w:val="00C9721C"/>
    <w:rsid w:val="00C9727F"/>
    <w:rsid w:val="00C9730A"/>
    <w:rsid w:val="00C9748C"/>
    <w:rsid w:val="00C97498"/>
    <w:rsid w:val="00C975CF"/>
    <w:rsid w:val="00C9772F"/>
    <w:rsid w:val="00C97780"/>
    <w:rsid w:val="00C979ED"/>
    <w:rsid w:val="00C97A82"/>
    <w:rsid w:val="00C97BCB"/>
    <w:rsid w:val="00C97CD9"/>
    <w:rsid w:val="00CA01BA"/>
    <w:rsid w:val="00CA0205"/>
    <w:rsid w:val="00CA0296"/>
    <w:rsid w:val="00CA02E3"/>
    <w:rsid w:val="00CA0387"/>
    <w:rsid w:val="00CA0479"/>
    <w:rsid w:val="00CA04B2"/>
    <w:rsid w:val="00CA0503"/>
    <w:rsid w:val="00CA0569"/>
    <w:rsid w:val="00CA06E9"/>
    <w:rsid w:val="00CA0751"/>
    <w:rsid w:val="00CA0968"/>
    <w:rsid w:val="00CA0A02"/>
    <w:rsid w:val="00CA0AF1"/>
    <w:rsid w:val="00CA0D10"/>
    <w:rsid w:val="00CA0DB3"/>
    <w:rsid w:val="00CA0F59"/>
    <w:rsid w:val="00CA0FDB"/>
    <w:rsid w:val="00CA0FEF"/>
    <w:rsid w:val="00CA114C"/>
    <w:rsid w:val="00CA14CC"/>
    <w:rsid w:val="00CA1736"/>
    <w:rsid w:val="00CA1D42"/>
    <w:rsid w:val="00CA1D4E"/>
    <w:rsid w:val="00CA1D5A"/>
    <w:rsid w:val="00CA1D83"/>
    <w:rsid w:val="00CA1EA2"/>
    <w:rsid w:val="00CA1F1B"/>
    <w:rsid w:val="00CA2353"/>
    <w:rsid w:val="00CA23B0"/>
    <w:rsid w:val="00CA243D"/>
    <w:rsid w:val="00CA2698"/>
    <w:rsid w:val="00CA26C5"/>
    <w:rsid w:val="00CA28E0"/>
    <w:rsid w:val="00CA29A0"/>
    <w:rsid w:val="00CA2B24"/>
    <w:rsid w:val="00CA2D6C"/>
    <w:rsid w:val="00CA2DDC"/>
    <w:rsid w:val="00CA2E4A"/>
    <w:rsid w:val="00CA3080"/>
    <w:rsid w:val="00CA311B"/>
    <w:rsid w:val="00CA31CF"/>
    <w:rsid w:val="00CA333B"/>
    <w:rsid w:val="00CA33D8"/>
    <w:rsid w:val="00CA345B"/>
    <w:rsid w:val="00CA35C6"/>
    <w:rsid w:val="00CA3772"/>
    <w:rsid w:val="00CA3A2C"/>
    <w:rsid w:val="00CA3A53"/>
    <w:rsid w:val="00CA3AE3"/>
    <w:rsid w:val="00CA3D02"/>
    <w:rsid w:val="00CA3E53"/>
    <w:rsid w:val="00CA3EB0"/>
    <w:rsid w:val="00CA3EC3"/>
    <w:rsid w:val="00CA3F98"/>
    <w:rsid w:val="00CA447E"/>
    <w:rsid w:val="00CA44CA"/>
    <w:rsid w:val="00CA463F"/>
    <w:rsid w:val="00CA47C2"/>
    <w:rsid w:val="00CA47E7"/>
    <w:rsid w:val="00CA485B"/>
    <w:rsid w:val="00CA4A38"/>
    <w:rsid w:val="00CA4B80"/>
    <w:rsid w:val="00CA4C12"/>
    <w:rsid w:val="00CA4D80"/>
    <w:rsid w:val="00CA4F45"/>
    <w:rsid w:val="00CA4F90"/>
    <w:rsid w:val="00CA5048"/>
    <w:rsid w:val="00CA5088"/>
    <w:rsid w:val="00CA50AA"/>
    <w:rsid w:val="00CA518B"/>
    <w:rsid w:val="00CA518E"/>
    <w:rsid w:val="00CA5366"/>
    <w:rsid w:val="00CA54AF"/>
    <w:rsid w:val="00CA55B4"/>
    <w:rsid w:val="00CA5663"/>
    <w:rsid w:val="00CA567E"/>
    <w:rsid w:val="00CA57D1"/>
    <w:rsid w:val="00CA57FE"/>
    <w:rsid w:val="00CA58C9"/>
    <w:rsid w:val="00CA5C49"/>
    <w:rsid w:val="00CA5D55"/>
    <w:rsid w:val="00CA5E7F"/>
    <w:rsid w:val="00CA5EAB"/>
    <w:rsid w:val="00CA5F42"/>
    <w:rsid w:val="00CA6040"/>
    <w:rsid w:val="00CA60DA"/>
    <w:rsid w:val="00CA616C"/>
    <w:rsid w:val="00CA61A7"/>
    <w:rsid w:val="00CA6212"/>
    <w:rsid w:val="00CA6228"/>
    <w:rsid w:val="00CA64F9"/>
    <w:rsid w:val="00CA6511"/>
    <w:rsid w:val="00CA660E"/>
    <w:rsid w:val="00CA6757"/>
    <w:rsid w:val="00CA67A7"/>
    <w:rsid w:val="00CA67C0"/>
    <w:rsid w:val="00CA6964"/>
    <w:rsid w:val="00CA6A1D"/>
    <w:rsid w:val="00CA6AEA"/>
    <w:rsid w:val="00CA6B83"/>
    <w:rsid w:val="00CA6BB8"/>
    <w:rsid w:val="00CA6C88"/>
    <w:rsid w:val="00CA6D1B"/>
    <w:rsid w:val="00CA6E36"/>
    <w:rsid w:val="00CA6EF9"/>
    <w:rsid w:val="00CA709E"/>
    <w:rsid w:val="00CA70C2"/>
    <w:rsid w:val="00CA70DB"/>
    <w:rsid w:val="00CA71B0"/>
    <w:rsid w:val="00CA7208"/>
    <w:rsid w:val="00CA7347"/>
    <w:rsid w:val="00CA740C"/>
    <w:rsid w:val="00CA7451"/>
    <w:rsid w:val="00CA7802"/>
    <w:rsid w:val="00CA7887"/>
    <w:rsid w:val="00CA7A93"/>
    <w:rsid w:val="00CA7AB4"/>
    <w:rsid w:val="00CA7ACD"/>
    <w:rsid w:val="00CA7B63"/>
    <w:rsid w:val="00CA7BB8"/>
    <w:rsid w:val="00CA7D41"/>
    <w:rsid w:val="00CA7D80"/>
    <w:rsid w:val="00CA7DD9"/>
    <w:rsid w:val="00CA7ECC"/>
    <w:rsid w:val="00CA7ECD"/>
    <w:rsid w:val="00CA7EED"/>
    <w:rsid w:val="00CA7FB1"/>
    <w:rsid w:val="00CA7FBA"/>
    <w:rsid w:val="00CB00F5"/>
    <w:rsid w:val="00CB011D"/>
    <w:rsid w:val="00CB04EC"/>
    <w:rsid w:val="00CB05F7"/>
    <w:rsid w:val="00CB065D"/>
    <w:rsid w:val="00CB06C4"/>
    <w:rsid w:val="00CB076B"/>
    <w:rsid w:val="00CB08D5"/>
    <w:rsid w:val="00CB0A26"/>
    <w:rsid w:val="00CB0B1B"/>
    <w:rsid w:val="00CB0B1E"/>
    <w:rsid w:val="00CB0B7A"/>
    <w:rsid w:val="00CB0BCE"/>
    <w:rsid w:val="00CB0E6B"/>
    <w:rsid w:val="00CB1369"/>
    <w:rsid w:val="00CB1561"/>
    <w:rsid w:val="00CB15D0"/>
    <w:rsid w:val="00CB174D"/>
    <w:rsid w:val="00CB17D3"/>
    <w:rsid w:val="00CB18B3"/>
    <w:rsid w:val="00CB198C"/>
    <w:rsid w:val="00CB1C16"/>
    <w:rsid w:val="00CB1C41"/>
    <w:rsid w:val="00CB1CE1"/>
    <w:rsid w:val="00CB1D9A"/>
    <w:rsid w:val="00CB1E5F"/>
    <w:rsid w:val="00CB1E64"/>
    <w:rsid w:val="00CB20C4"/>
    <w:rsid w:val="00CB2152"/>
    <w:rsid w:val="00CB22F0"/>
    <w:rsid w:val="00CB233E"/>
    <w:rsid w:val="00CB2348"/>
    <w:rsid w:val="00CB234A"/>
    <w:rsid w:val="00CB2380"/>
    <w:rsid w:val="00CB24A5"/>
    <w:rsid w:val="00CB2643"/>
    <w:rsid w:val="00CB2A82"/>
    <w:rsid w:val="00CB2BA3"/>
    <w:rsid w:val="00CB2D0B"/>
    <w:rsid w:val="00CB2EEF"/>
    <w:rsid w:val="00CB2F36"/>
    <w:rsid w:val="00CB2F71"/>
    <w:rsid w:val="00CB3168"/>
    <w:rsid w:val="00CB3184"/>
    <w:rsid w:val="00CB31B0"/>
    <w:rsid w:val="00CB31D4"/>
    <w:rsid w:val="00CB3285"/>
    <w:rsid w:val="00CB3404"/>
    <w:rsid w:val="00CB3406"/>
    <w:rsid w:val="00CB3506"/>
    <w:rsid w:val="00CB35A5"/>
    <w:rsid w:val="00CB3933"/>
    <w:rsid w:val="00CB3A8E"/>
    <w:rsid w:val="00CB3D98"/>
    <w:rsid w:val="00CB3F16"/>
    <w:rsid w:val="00CB3F80"/>
    <w:rsid w:val="00CB3F89"/>
    <w:rsid w:val="00CB3F8B"/>
    <w:rsid w:val="00CB3F9D"/>
    <w:rsid w:val="00CB40A3"/>
    <w:rsid w:val="00CB40B4"/>
    <w:rsid w:val="00CB4164"/>
    <w:rsid w:val="00CB41B0"/>
    <w:rsid w:val="00CB423B"/>
    <w:rsid w:val="00CB42AF"/>
    <w:rsid w:val="00CB430E"/>
    <w:rsid w:val="00CB4467"/>
    <w:rsid w:val="00CB44EB"/>
    <w:rsid w:val="00CB455A"/>
    <w:rsid w:val="00CB460E"/>
    <w:rsid w:val="00CB469D"/>
    <w:rsid w:val="00CB46B3"/>
    <w:rsid w:val="00CB49F2"/>
    <w:rsid w:val="00CB4BA3"/>
    <w:rsid w:val="00CB4BA6"/>
    <w:rsid w:val="00CB4BE7"/>
    <w:rsid w:val="00CB4E08"/>
    <w:rsid w:val="00CB4E3E"/>
    <w:rsid w:val="00CB4EEC"/>
    <w:rsid w:val="00CB5020"/>
    <w:rsid w:val="00CB5028"/>
    <w:rsid w:val="00CB51A3"/>
    <w:rsid w:val="00CB52EC"/>
    <w:rsid w:val="00CB5538"/>
    <w:rsid w:val="00CB554C"/>
    <w:rsid w:val="00CB567E"/>
    <w:rsid w:val="00CB574E"/>
    <w:rsid w:val="00CB5853"/>
    <w:rsid w:val="00CB5886"/>
    <w:rsid w:val="00CB5A97"/>
    <w:rsid w:val="00CB5AB5"/>
    <w:rsid w:val="00CB5AFC"/>
    <w:rsid w:val="00CB5BF6"/>
    <w:rsid w:val="00CB5C29"/>
    <w:rsid w:val="00CB5C4A"/>
    <w:rsid w:val="00CB5CAC"/>
    <w:rsid w:val="00CB5CB9"/>
    <w:rsid w:val="00CB5D15"/>
    <w:rsid w:val="00CB5D9E"/>
    <w:rsid w:val="00CB5F59"/>
    <w:rsid w:val="00CB627A"/>
    <w:rsid w:val="00CB631A"/>
    <w:rsid w:val="00CB655B"/>
    <w:rsid w:val="00CB659B"/>
    <w:rsid w:val="00CB659C"/>
    <w:rsid w:val="00CB66C3"/>
    <w:rsid w:val="00CB66F8"/>
    <w:rsid w:val="00CB6762"/>
    <w:rsid w:val="00CB67E9"/>
    <w:rsid w:val="00CB69A0"/>
    <w:rsid w:val="00CB6A9C"/>
    <w:rsid w:val="00CB6AA0"/>
    <w:rsid w:val="00CB6E1D"/>
    <w:rsid w:val="00CB704C"/>
    <w:rsid w:val="00CB71D7"/>
    <w:rsid w:val="00CB726B"/>
    <w:rsid w:val="00CB72EA"/>
    <w:rsid w:val="00CB72ED"/>
    <w:rsid w:val="00CB7302"/>
    <w:rsid w:val="00CB74BC"/>
    <w:rsid w:val="00CB74E4"/>
    <w:rsid w:val="00CB771D"/>
    <w:rsid w:val="00CB7730"/>
    <w:rsid w:val="00CB779C"/>
    <w:rsid w:val="00CB77AF"/>
    <w:rsid w:val="00CB7825"/>
    <w:rsid w:val="00CB7B0E"/>
    <w:rsid w:val="00CB7D14"/>
    <w:rsid w:val="00CB7E02"/>
    <w:rsid w:val="00CB7EAC"/>
    <w:rsid w:val="00CB7EF6"/>
    <w:rsid w:val="00CC03C7"/>
    <w:rsid w:val="00CC03CA"/>
    <w:rsid w:val="00CC0564"/>
    <w:rsid w:val="00CC0908"/>
    <w:rsid w:val="00CC0915"/>
    <w:rsid w:val="00CC0C20"/>
    <w:rsid w:val="00CC0C22"/>
    <w:rsid w:val="00CC0C3F"/>
    <w:rsid w:val="00CC0CBC"/>
    <w:rsid w:val="00CC0CFE"/>
    <w:rsid w:val="00CC0D33"/>
    <w:rsid w:val="00CC0D8D"/>
    <w:rsid w:val="00CC0DCC"/>
    <w:rsid w:val="00CC0DE1"/>
    <w:rsid w:val="00CC111B"/>
    <w:rsid w:val="00CC134C"/>
    <w:rsid w:val="00CC14A2"/>
    <w:rsid w:val="00CC14CC"/>
    <w:rsid w:val="00CC1870"/>
    <w:rsid w:val="00CC1939"/>
    <w:rsid w:val="00CC198B"/>
    <w:rsid w:val="00CC19E9"/>
    <w:rsid w:val="00CC1A06"/>
    <w:rsid w:val="00CC1A81"/>
    <w:rsid w:val="00CC1B63"/>
    <w:rsid w:val="00CC1CAE"/>
    <w:rsid w:val="00CC1CDB"/>
    <w:rsid w:val="00CC1E83"/>
    <w:rsid w:val="00CC206C"/>
    <w:rsid w:val="00CC2150"/>
    <w:rsid w:val="00CC21C5"/>
    <w:rsid w:val="00CC22E9"/>
    <w:rsid w:val="00CC25A4"/>
    <w:rsid w:val="00CC260A"/>
    <w:rsid w:val="00CC26A0"/>
    <w:rsid w:val="00CC295C"/>
    <w:rsid w:val="00CC2ABA"/>
    <w:rsid w:val="00CC2D18"/>
    <w:rsid w:val="00CC2D5C"/>
    <w:rsid w:val="00CC2E15"/>
    <w:rsid w:val="00CC2ECE"/>
    <w:rsid w:val="00CC2F23"/>
    <w:rsid w:val="00CC2F56"/>
    <w:rsid w:val="00CC2FDE"/>
    <w:rsid w:val="00CC3024"/>
    <w:rsid w:val="00CC3049"/>
    <w:rsid w:val="00CC309D"/>
    <w:rsid w:val="00CC33DD"/>
    <w:rsid w:val="00CC3524"/>
    <w:rsid w:val="00CC35E8"/>
    <w:rsid w:val="00CC39BD"/>
    <w:rsid w:val="00CC3A0C"/>
    <w:rsid w:val="00CC3BB5"/>
    <w:rsid w:val="00CC3C16"/>
    <w:rsid w:val="00CC3C1F"/>
    <w:rsid w:val="00CC3C25"/>
    <w:rsid w:val="00CC3EA6"/>
    <w:rsid w:val="00CC40A8"/>
    <w:rsid w:val="00CC4523"/>
    <w:rsid w:val="00CC467A"/>
    <w:rsid w:val="00CC489D"/>
    <w:rsid w:val="00CC4924"/>
    <w:rsid w:val="00CC49E7"/>
    <w:rsid w:val="00CC4A12"/>
    <w:rsid w:val="00CC4BA2"/>
    <w:rsid w:val="00CC4ED4"/>
    <w:rsid w:val="00CC5014"/>
    <w:rsid w:val="00CC51DB"/>
    <w:rsid w:val="00CC535A"/>
    <w:rsid w:val="00CC5495"/>
    <w:rsid w:val="00CC54CD"/>
    <w:rsid w:val="00CC5583"/>
    <w:rsid w:val="00CC5592"/>
    <w:rsid w:val="00CC55DA"/>
    <w:rsid w:val="00CC5612"/>
    <w:rsid w:val="00CC5667"/>
    <w:rsid w:val="00CC575B"/>
    <w:rsid w:val="00CC5C04"/>
    <w:rsid w:val="00CC5D99"/>
    <w:rsid w:val="00CC5EC0"/>
    <w:rsid w:val="00CC5EF5"/>
    <w:rsid w:val="00CC605A"/>
    <w:rsid w:val="00CC60DC"/>
    <w:rsid w:val="00CC60FD"/>
    <w:rsid w:val="00CC6113"/>
    <w:rsid w:val="00CC6418"/>
    <w:rsid w:val="00CC67F2"/>
    <w:rsid w:val="00CC688E"/>
    <w:rsid w:val="00CC6991"/>
    <w:rsid w:val="00CC6B37"/>
    <w:rsid w:val="00CC6D16"/>
    <w:rsid w:val="00CC6EAA"/>
    <w:rsid w:val="00CC6FA1"/>
    <w:rsid w:val="00CC7053"/>
    <w:rsid w:val="00CC715B"/>
    <w:rsid w:val="00CC719C"/>
    <w:rsid w:val="00CC72D6"/>
    <w:rsid w:val="00CC7310"/>
    <w:rsid w:val="00CC73FA"/>
    <w:rsid w:val="00CC75A5"/>
    <w:rsid w:val="00CC75D8"/>
    <w:rsid w:val="00CC75F2"/>
    <w:rsid w:val="00CC7683"/>
    <w:rsid w:val="00CC79D3"/>
    <w:rsid w:val="00CC7AFC"/>
    <w:rsid w:val="00CC7BA6"/>
    <w:rsid w:val="00CC7C09"/>
    <w:rsid w:val="00CC7CA8"/>
    <w:rsid w:val="00CC7D65"/>
    <w:rsid w:val="00CC7ED1"/>
    <w:rsid w:val="00CD046A"/>
    <w:rsid w:val="00CD04F2"/>
    <w:rsid w:val="00CD075B"/>
    <w:rsid w:val="00CD079A"/>
    <w:rsid w:val="00CD084C"/>
    <w:rsid w:val="00CD0A40"/>
    <w:rsid w:val="00CD0B2E"/>
    <w:rsid w:val="00CD0C38"/>
    <w:rsid w:val="00CD0CD3"/>
    <w:rsid w:val="00CD0D83"/>
    <w:rsid w:val="00CD0F56"/>
    <w:rsid w:val="00CD108F"/>
    <w:rsid w:val="00CD112D"/>
    <w:rsid w:val="00CD1140"/>
    <w:rsid w:val="00CD1186"/>
    <w:rsid w:val="00CD12C4"/>
    <w:rsid w:val="00CD1346"/>
    <w:rsid w:val="00CD1381"/>
    <w:rsid w:val="00CD1383"/>
    <w:rsid w:val="00CD1479"/>
    <w:rsid w:val="00CD1541"/>
    <w:rsid w:val="00CD1587"/>
    <w:rsid w:val="00CD17D0"/>
    <w:rsid w:val="00CD189D"/>
    <w:rsid w:val="00CD189E"/>
    <w:rsid w:val="00CD1A0A"/>
    <w:rsid w:val="00CD1A57"/>
    <w:rsid w:val="00CD1AA4"/>
    <w:rsid w:val="00CD1B04"/>
    <w:rsid w:val="00CD1DEE"/>
    <w:rsid w:val="00CD1FD9"/>
    <w:rsid w:val="00CD1FF0"/>
    <w:rsid w:val="00CD23C2"/>
    <w:rsid w:val="00CD24CB"/>
    <w:rsid w:val="00CD24FC"/>
    <w:rsid w:val="00CD25D3"/>
    <w:rsid w:val="00CD2627"/>
    <w:rsid w:val="00CD2899"/>
    <w:rsid w:val="00CD2A67"/>
    <w:rsid w:val="00CD2B30"/>
    <w:rsid w:val="00CD2B5A"/>
    <w:rsid w:val="00CD2BEA"/>
    <w:rsid w:val="00CD2C49"/>
    <w:rsid w:val="00CD2CC3"/>
    <w:rsid w:val="00CD2DC9"/>
    <w:rsid w:val="00CD2E28"/>
    <w:rsid w:val="00CD2E34"/>
    <w:rsid w:val="00CD2ED2"/>
    <w:rsid w:val="00CD2F31"/>
    <w:rsid w:val="00CD3107"/>
    <w:rsid w:val="00CD3149"/>
    <w:rsid w:val="00CD319C"/>
    <w:rsid w:val="00CD3266"/>
    <w:rsid w:val="00CD3627"/>
    <w:rsid w:val="00CD365F"/>
    <w:rsid w:val="00CD36AF"/>
    <w:rsid w:val="00CD3750"/>
    <w:rsid w:val="00CD38BB"/>
    <w:rsid w:val="00CD3A19"/>
    <w:rsid w:val="00CD3B4A"/>
    <w:rsid w:val="00CD3BF6"/>
    <w:rsid w:val="00CD3EA0"/>
    <w:rsid w:val="00CD3FA8"/>
    <w:rsid w:val="00CD410B"/>
    <w:rsid w:val="00CD41AB"/>
    <w:rsid w:val="00CD4529"/>
    <w:rsid w:val="00CD452F"/>
    <w:rsid w:val="00CD4717"/>
    <w:rsid w:val="00CD482C"/>
    <w:rsid w:val="00CD4999"/>
    <w:rsid w:val="00CD4ABB"/>
    <w:rsid w:val="00CD4D46"/>
    <w:rsid w:val="00CD4E58"/>
    <w:rsid w:val="00CD4E74"/>
    <w:rsid w:val="00CD5580"/>
    <w:rsid w:val="00CD58B8"/>
    <w:rsid w:val="00CD5A86"/>
    <w:rsid w:val="00CD5C15"/>
    <w:rsid w:val="00CD5E13"/>
    <w:rsid w:val="00CD5EDF"/>
    <w:rsid w:val="00CD6075"/>
    <w:rsid w:val="00CD60AB"/>
    <w:rsid w:val="00CD613B"/>
    <w:rsid w:val="00CD62B6"/>
    <w:rsid w:val="00CD6418"/>
    <w:rsid w:val="00CD6473"/>
    <w:rsid w:val="00CD64AE"/>
    <w:rsid w:val="00CD6638"/>
    <w:rsid w:val="00CD6812"/>
    <w:rsid w:val="00CD68B3"/>
    <w:rsid w:val="00CD695A"/>
    <w:rsid w:val="00CD698D"/>
    <w:rsid w:val="00CD69F1"/>
    <w:rsid w:val="00CD6A3C"/>
    <w:rsid w:val="00CD6AE3"/>
    <w:rsid w:val="00CD72B1"/>
    <w:rsid w:val="00CD73A7"/>
    <w:rsid w:val="00CD7466"/>
    <w:rsid w:val="00CD7649"/>
    <w:rsid w:val="00CD76A6"/>
    <w:rsid w:val="00CD76D6"/>
    <w:rsid w:val="00CD775F"/>
    <w:rsid w:val="00CD77C6"/>
    <w:rsid w:val="00CD7900"/>
    <w:rsid w:val="00CD7D7F"/>
    <w:rsid w:val="00CD7F42"/>
    <w:rsid w:val="00CE0295"/>
    <w:rsid w:val="00CE03D4"/>
    <w:rsid w:val="00CE05A1"/>
    <w:rsid w:val="00CE06E2"/>
    <w:rsid w:val="00CE070C"/>
    <w:rsid w:val="00CE0782"/>
    <w:rsid w:val="00CE0B0D"/>
    <w:rsid w:val="00CE0B36"/>
    <w:rsid w:val="00CE0B85"/>
    <w:rsid w:val="00CE0B8D"/>
    <w:rsid w:val="00CE0D5B"/>
    <w:rsid w:val="00CE0DB3"/>
    <w:rsid w:val="00CE0DC2"/>
    <w:rsid w:val="00CE0EC8"/>
    <w:rsid w:val="00CE0ECA"/>
    <w:rsid w:val="00CE116F"/>
    <w:rsid w:val="00CE11D1"/>
    <w:rsid w:val="00CE12AD"/>
    <w:rsid w:val="00CE1492"/>
    <w:rsid w:val="00CE168A"/>
    <w:rsid w:val="00CE174C"/>
    <w:rsid w:val="00CE178E"/>
    <w:rsid w:val="00CE18CA"/>
    <w:rsid w:val="00CE19C1"/>
    <w:rsid w:val="00CE1C2E"/>
    <w:rsid w:val="00CE1CF8"/>
    <w:rsid w:val="00CE1E16"/>
    <w:rsid w:val="00CE1E7A"/>
    <w:rsid w:val="00CE2186"/>
    <w:rsid w:val="00CE2280"/>
    <w:rsid w:val="00CE2688"/>
    <w:rsid w:val="00CE28D2"/>
    <w:rsid w:val="00CE2C9D"/>
    <w:rsid w:val="00CE2D44"/>
    <w:rsid w:val="00CE2DF6"/>
    <w:rsid w:val="00CE2F4A"/>
    <w:rsid w:val="00CE2F66"/>
    <w:rsid w:val="00CE30C5"/>
    <w:rsid w:val="00CE31D3"/>
    <w:rsid w:val="00CE327A"/>
    <w:rsid w:val="00CE331E"/>
    <w:rsid w:val="00CE3461"/>
    <w:rsid w:val="00CE3722"/>
    <w:rsid w:val="00CE38F8"/>
    <w:rsid w:val="00CE39D0"/>
    <w:rsid w:val="00CE3B04"/>
    <w:rsid w:val="00CE3B5C"/>
    <w:rsid w:val="00CE3B77"/>
    <w:rsid w:val="00CE4042"/>
    <w:rsid w:val="00CE4087"/>
    <w:rsid w:val="00CE40B2"/>
    <w:rsid w:val="00CE421F"/>
    <w:rsid w:val="00CE4240"/>
    <w:rsid w:val="00CE438B"/>
    <w:rsid w:val="00CE4474"/>
    <w:rsid w:val="00CE4585"/>
    <w:rsid w:val="00CE471C"/>
    <w:rsid w:val="00CE474C"/>
    <w:rsid w:val="00CE4751"/>
    <w:rsid w:val="00CE482B"/>
    <w:rsid w:val="00CE48A2"/>
    <w:rsid w:val="00CE49EC"/>
    <w:rsid w:val="00CE4A1D"/>
    <w:rsid w:val="00CE4A3E"/>
    <w:rsid w:val="00CE4CDC"/>
    <w:rsid w:val="00CE4D16"/>
    <w:rsid w:val="00CE4D8A"/>
    <w:rsid w:val="00CE4E97"/>
    <w:rsid w:val="00CE50B5"/>
    <w:rsid w:val="00CE55A3"/>
    <w:rsid w:val="00CE55A9"/>
    <w:rsid w:val="00CE560F"/>
    <w:rsid w:val="00CE56CB"/>
    <w:rsid w:val="00CE57E6"/>
    <w:rsid w:val="00CE5B5F"/>
    <w:rsid w:val="00CE5C4B"/>
    <w:rsid w:val="00CE5DFD"/>
    <w:rsid w:val="00CE5F29"/>
    <w:rsid w:val="00CE60C6"/>
    <w:rsid w:val="00CE6147"/>
    <w:rsid w:val="00CE624D"/>
    <w:rsid w:val="00CE64E8"/>
    <w:rsid w:val="00CE653C"/>
    <w:rsid w:val="00CE65AB"/>
    <w:rsid w:val="00CE65AE"/>
    <w:rsid w:val="00CE66B6"/>
    <w:rsid w:val="00CE68B6"/>
    <w:rsid w:val="00CE68D5"/>
    <w:rsid w:val="00CE6A0F"/>
    <w:rsid w:val="00CE6D89"/>
    <w:rsid w:val="00CE6E5F"/>
    <w:rsid w:val="00CE6E97"/>
    <w:rsid w:val="00CE6EA9"/>
    <w:rsid w:val="00CE6FC6"/>
    <w:rsid w:val="00CE728D"/>
    <w:rsid w:val="00CE7470"/>
    <w:rsid w:val="00CE761A"/>
    <w:rsid w:val="00CE780A"/>
    <w:rsid w:val="00CE7887"/>
    <w:rsid w:val="00CE789D"/>
    <w:rsid w:val="00CE791D"/>
    <w:rsid w:val="00CE79A9"/>
    <w:rsid w:val="00CE7A14"/>
    <w:rsid w:val="00CE7A8A"/>
    <w:rsid w:val="00CE7A8E"/>
    <w:rsid w:val="00CE7B3F"/>
    <w:rsid w:val="00CE7CB8"/>
    <w:rsid w:val="00CE7DBC"/>
    <w:rsid w:val="00CE7EAE"/>
    <w:rsid w:val="00CE7EB6"/>
    <w:rsid w:val="00CE7EF0"/>
    <w:rsid w:val="00CF0012"/>
    <w:rsid w:val="00CF00E3"/>
    <w:rsid w:val="00CF02A6"/>
    <w:rsid w:val="00CF030B"/>
    <w:rsid w:val="00CF03C8"/>
    <w:rsid w:val="00CF05DF"/>
    <w:rsid w:val="00CF06AF"/>
    <w:rsid w:val="00CF0A74"/>
    <w:rsid w:val="00CF0D58"/>
    <w:rsid w:val="00CF0FD0"/>
    <w:rsid w:val="00CF113E"/>
    <w:rsid w:val="00CF1286"/>
    <w:rsid w:val="00CF1292"/>
    <w:rsid w:val="00CF13C4"/>
    <w:rsid w:val="00CF14B1"/>
    <w:rsid w:val="00CF1833"/>
    <w:rsid w:val="00CF18D8"/>
    <w:rsid w:val="00CF194B"/>
    <w:rsid w:val="00CF19B0"/>
    <w:rsid w:val="00CF1A0C"/>
    <w:rsid w:val="00CF1BF8"/>
    <w:rsid w:val="00CF1D00"/>
    <w:rsid w:val="00CF1D1E"/>
    <w:rsid w:val="00CF1EB8"/>
    <w:rsid w:val="00CF1EC3"/>
    <w:rsid w:val="00CF1F00"/>
    <w:rsid w:val="00CF1F30"/>
    <w:rsid w:val="00CF213C"/>
    <w:rsid w:val="00CF2168"/>
    <w:rsid w:val="00CF2234"/>
    <w:rsid w:val="00CF2331"/>
    <w:rsid w:val="00CF2504"/>
    <w:rsid w:val="00CF2524"/>
    <w:rsid w:val="00CF254B"/>
    <w:rsid w:val="00CF26DE"/>
    <w:rsid w:val="00CF270A"/>
    <w:rsid w:val="00CF2AFB"/>
    <w:rsid w:val="00CF2B51"/>
    <w:rsid w:val="00CF2D5E"/>
    <w:rsid w:val="00CF2E11"/>
    <w:rsid w:val="00CF2E9D"/>
    <w:rsid w:val="00CF2FF1"/>
    <w:rsid w:val="00CF3379"/>
    <w:rsid w:val="00CF3558"/>
    <w:rsid w:val="00CF360E"/>
    <w:rsid w:val="00CF3657"/>
    <w:rsid w:val="00CF3717"/>
    <w:rsid w:val="00CF379F"/>
    <w:rsid w:val="00CF37DA"/>
    <w:rsid w:val="00CF3809"/>
    <w:rsid w:val="00CF385E"/>
    <w:rsid w:val="00CF394D"/>
    <w:rsid w:val="00CF3C91"/>
    <w:rsid w:val="00CF3D83"/>
    <w:rsid w:val="00CF3D8D"/>
    <w:rsid w:val="00CF3F0F"/>
    <w:rsid w:val="00CF40B9"/>
    <w:rsid w:val="00CF4377"/>
    <w:rsid w:val="00CF4418"/>
    <w:rsid w:val="00CF4791"/>
    <w:rsid w:val="00CF48B9"/>
    <w:rsid w:val="00CF49AC"/>
    <w:rsid w:val="00CF49BE"/>
    <w:rsid w:val="00CF49BF"/>
    <w:rsid w:val="00CF4A38"/>
    <w:rsid w:val="00CF4B33"/>
    <w:rsid w:val="00CF4D2D"/>
    <w:rsid w:val="00CF4DD8"/>
    <w:rsid w:val="00CF4DE5"/>
    <w:rsid w:val="00CF50B5"/>
    <w:rsid w:val="00CF50BD"/>
    <w:rsid w:val="00CF545D"/>
    <w:rsid w:val="00CF56C6"/>
    <w:rsid w:val="00CF56F4"/>
    <w:rsid w:val="00CF5803"/>
    <w:rsid w:val="00CF58F7"/>
    <w:rsid w:val="00CF5A18"/>
    <w:rsid w:val="00CF5B5A"/>
    <w:rsid w:val="00CF5B65"/>
    <w:rsid w:val="00CF5D30"/>
    <w:rsid w:val="00CF5E51"/>
    <w:rsid w:val="00CF6046"/>
    <w:rsid w:val="00CF625A"/>
    <w:rsid w:val="00CF62CA"/>
    <w:rsid w:val="00CF62D8"/>
    <w:rsid w:val="00CF6429"/>
    <w:rsid w:val="00CF6781"/>
    <w:rsid w:val="00CF67F0"/>
    <w:rsid w:val="00CF67F4"/>
    <w:rsid w:val="00CF6848"/>
    <w:rsid w:val="00CF68CA"/>
    <w:rsid w:val="00CF6C0A"/>
    <w:rsid w:val="00CF6C3B"/>
    <w:rsid w:val="00CF6C89"/>
    <w:rsid w:val="00CF6CE5"/>
    <w:rsid w:val="00CF6F82"/>
    <w:rsid w:val="00CF6FCD"/>
    <w:rsid w:val="00CF7058"/>
    <w:rsid w:val="00CF70E8"/>
    <w:rsid w:val="00CF7276"/>
    <w:rsid w:val="00CF771F"/>
    <w:rsid w:val="00CF7801"/>
    <w:rsid w:val="00CF78D5"/>
    <w:rsid w:val="00CF79D7"/>
    <w:rsid w:val="00CF7A42"/>
    <w:rsid w:val="00CF7C10"/>
    <w:rsid w:val="00CF7CBB"/>
    <w:rsid w:val="00CF7D2D"/>
    <w:rsid w:val="00CF7E60"/>
    <w:rsid w:val="00CF7FBE"/>
    <w:rsid w:val="00D0000D"/>
    <w:rsid w:val="00D0037F"/>
    <w:rsid w:val="00D003DE"/>
    <w:rsid w:val="00D0046A"/>
    <w:rsid w:val="00D004FC"/>
    <w:rsid w:val="00D007AD"/>
    <w:rsid w:val="00D007F0"/>
    <w:rsid w:val="00D008D3"/>
    <w:rsid w:val="00D008E0"/>
    <w:rsid w:val="00D00AE1"/>
    <w:rsid w:val="00D00B3E"/>
    <w:rsid w:val="00D00B51"/>
    <w:rsid w:val="00D00DA1"/>
    <w:rsid w:val="00D00E08"/>
    <w:rsid w:val="00D00EDF"/>
    <w:rsid w:val="00D00F24"/>
    <w:rsid w:val="00D00F6D"/>
    <w:rsid w:val="00D00F70"/>
    <w:rsid w:val="00D00FB7"/>
    <w:rsid w:val="00D01048"/>
    <w:rsid w:val="00D0114A"/>
    <w:rsid w:val="00D0117E"/>
    <w:rsid w:val="00D01252"/>
    <w:rsid w:val="00D0170D"/>
    <w:rsid w:val="00D018B3"/>
    <w:rsid w:val="00D01905"/>
    <w:rsid w:val="00D0192B"/>
    <w:rsid w:val="00D01AEA"/>
    <w:rsid w:val="00D01C09"/>
    <w:rsid w:val="00D01CCB"/>
    <w:rsid w:val="00D01E2A"/>
    <w:rsid w:val="00D01E7D"/>
    <w:rsid w:val="00D01F98"/>
    <w:rsid w:val="00D01FF4"/>
    <w:rsid w:val="00D02003"/>
    <w:rsid w:val="00D023FF"/>
    <w:rsid w:val="00D026C0"/>
    <w:rsid w:val="00D026D1"/>
    <w:rsid w:val="00D0282D"/>
    <w:rsid w:val="00D0298E"/>
    <w:rsid w:val="00D02A4F"/>
    <w:rsid w:val="00D02BAA"/>
    <w:rsid w:val="00D02BD6"/>
    <w:rsid w:val="00D02C11"/>
    <w:rsid w:val="00D02CA3"/>
    <w:rsid w:val="00D03147"/>
    <w:rsid w:val="00D031A8"/>
    <w:rsid w:val="00D031B0"/>
    <w:rsid w:val="00D032BB"/>
    <w:rsid w:val="00D03384"/>
    <w:rsid w:val="00D033C6"/>
    <w:rsid w:val="00D03513"/>
    <w:rsid w:val="00D0351E"/>
    <w:rsid w:val="00D03793"/>
    <w:rsid w:val="00D037E4"/>
    <w:rsid w:val="00D038CB"/>
    <w:rsid w:val="00D0392D"/>
    <w:rsid w:val="00D039C3"/>
    <w:rsid w:val="00D03A60"/>
    <w:rsid w:val="00D03D8E"/>
    <w:rsid w:val="00D03F75"/>
    <w:rsid w:val="00D0420E"/>
    <w:rsid w:val="00D043D7"/>
    <w:rsid w:val="00D0451D"/>
    <w:rsid w:val="00D046AD"/>
    <w:rsid w:val="00D04746"/>
    <w:rsid w:val="00D0474C"/>
    <w:rsid w:val="00D04853"/>
    <w:rsid w:val="00D048D0"/>
    <w:rsid w:val="00D04A53"/>
    <w:rsid w:val="00D04A68"/>
    <w:rsid w:val="00D04AA8"/>
    <w:rsid w:val="00D04AFA"/>
    <w:rsid w:val="00D04D71"/>
    <w:rsid w:val="00D04E7E"/>
    <w:rsid w:val="00D04F4C"/>
    <w:rsid w:val="00D05112"/>
    <w:rsid w:val="00D0526C"/>
    <w:rsid w:val="00D05280"/>
    <w:rsid w:val="00D05352"/>
    <w:rsid w:val="00D05379"/>
    <w:rsid w:val="00D0539C"/>
    <w:rsid w:val="00D05432"/>
    <w:rsid w:val="00D055B0"/>
    <w:rsid w:val="00D055D6"/>
    <w:rsid w:val="00D055DC"/>
    <w:rsid w:val="00D05690"/>
    <w:rsid w:val="00D056A9"/>
    <w:rsid w:val="00D05826"/>
    <w:rsid w:val="00D0584D"/>
    <w:rsid w:val="00D059E3"/>
    <w:rsid w:val="00D05A55"/>
    <w:rsid w:val="00D05AD0"/>
    <w:rsid w:val="00D05B7B"/>
    <w:rsid w:val="00D05E9E"/>
    <w:rsid w:val="00D06361"/>
    <w:rsid w:val="00D06381"/>
    <w:rsid w:val="00D065C0"/>
    <w:rsid w:val="00D066E0"/>
    <w:rsid w:val="00D067C7"/>
    <w:rsid w:val="00D067F6"/>
    <w:rsid w:val="00D0681F"/>
    <w:rsid w:val="00D068E5"/>
    <w:rsid w:val="00D0697F"/>
    <w:rsid w:val="00D06AB8"/>
    <w:rsid w:val="00D06B04"/>
    <w:rsid w:val="00D06BB9"/>
    <w:rsid w:val="00D06CA6"/>
    <w:rsid w:val="00D06D96"/>
    <w:rsid w:val="00D06E0F"/>
    <w:rsid w:val="00D06F05"/>
    <w:rsid w:val="00D06F45"/>
    <w:rsid w:val="00D0700F"/>
    <w:rsid w:val="00D07173"/>
    <w:rsid w:val="00D07175"/>
    <w:rsid w:val="00D073B9"/>
    <w:rsid w:val="00D073F5"/>
    <w:rsid w:val="00D0773E"/>
    <w:rsid w:val="00D0776C"/>
    <w:rsid w:val="00D07A03"/>
    <w:rsid w:val="00D07D6B"/>
    <w:rsid w:val="00D07EC2"/>
    <w:rsid w:val="00D07FEB"/>
    <w:rsid w:val="00D10031"/>
    <w:rsid w:val="00D10121"/>
    <w:rsid w:val="00D101C1"/>
    <w:rsid w:val="00D1021F"/>
    <w:rsid w:val="00D102E8"/>
    <w:rsid w:val="00D1039A"/>
    <w:rsid w:val="00D10404"/>
    <w:rsid w:val="00D104D5"/>
    <w:rsid w:val="00D105C3"/>
    <w:rsid w:val="00D105EB"/>
    <w:rsid w:val="00D1076C"/>
    <w:rsid w:val="00D107C7"/>
    <w:rsid w:val="00D10895"/>
    <w:rsid w:val="00D1089C"/>
    <w:rsid w:val="00D10A6F"/>
    <w:rsid w:val="00D10A76"/>
    <w:rsid w:val="00D10FA3"/>
    <w:rsid w:val="00D110FA"/>
    <w:rsid w:val="00D1116D"/>
    <w:rsid w:val="00D1117D"/>
    <w:rsid w:val="00D111D4"/>
    <w:rsid w:val="00D112B6"/>
    <w:rsid w:val="00D112EE"/>
    <w:rsid w:val="00D1132D"/>
    <w:rsid w:val="00D1142D"/>
    <w:rsid w:val="00D11443"/>
    <w:rsid w:val="00D114F2"/>
    <w:rsid w:val="00D11501"/>
    <w:rsid w:val="00D115C6"/>
    <w:rsid w:val="00D11718"/>
    <w:rsid w:val="00D11837"/>
    <w:rsid w:val="00D118EB"/>
    <w:rsid w:val="00D11B45"/>
    <w:rsid w:val="00D11B85"/>
    <w:rsid w:val="00D11BCD"/>
    <w:rsid w:val="00D11CF1"/>
    <w:rsid w:val="00D11DAB"/>
    <w:rsid w:val="00D11EBF"/>
    <w:rsid w:val="00D11FF8"/>
    <w:rsid w:val="00D1219D"/>
    <w:rsid w:val="00D122E9"/>
    <w:rsid w:val="00D1235D"/>
    <w:rsid w:val="00D123A2"/>
    <w:rsid w:val="00D124A9"/>
    <w:rsid w:val="00D124C2"/>
    <w:rsid w:val="00D1266F"/>
    <w:rsid w:val="00D1288E"/>
    <w:rsid w:val="00D1289B"/>
    <w:rsid w:val="00D128C8"/>
    <w:rsid w:val="00D129B3"/>
    <w:rsid w:val="00D129B6"/>
    <w:rsid w:val="00D12A27"/>
    <w:rsid w:val="00D12BF3"/>
    <w:rsid w:val="00D12D78"/>
    <w:rsid w:val="00D12DB7"/>
    <w:rsid w:val="00D12E61"/>
    <w:rsid w:val="00D12E8B"/>
    <w:rsid w:val="00D12F4F"/>
    <w:rsid w:val="00D13013"/>
    <w:rsid w:val="00D1309A"/>
    <w:rsid w:val="00D131DF"/>
    <w:rsid w:val="00D13221"/>
    <w:rsid w:val="00D13520"/>
    <w:rsid w:val="00D13854"/>
    <w:rsid w:val="00D13873"/>
    <w:rsid w:val="00D13971"/>
    <w:rsid w:val="00D13C7B"/>
    <w:rsid w:val="00D13CEC"/>
    <w:rsid w:val="00D13F5F"/>
    <w:rsid w:val="00D14011"/>
    <w:rsid w:val="00D140D4"/>
    <w:rsid w:val="00D1419B"/>
    <w:rsid w:val="00D1424B"/>
    <w:rsid w:val="00D142D3"/>
    <w:rsid w:val="00D1432D"/>
    <w:rsid w:val="00D14533"/>
    <w:rsid w:val="00D145E6"/>
    <w:rsid w:val="00D146E2"/>
    <w:rsid w:val="00D146E9"/>
    <w:rsid w:val="00D147A4"/>
    <w:rsid w:val="00D148C2"/>
    <w:rsid w:val="00D14A13"/>
    <w:rsid w:val="00D14A36"/>
    <w:rsid w:val="00D14BE3"/>
    <w:rsid w:val="00D14CCB"/>
    <w:rsid w:val="00D14D7A"/>
    <w:rsid w:val="00D14EF7"/>
    <w:rsid w:val="00D14FD0"/>
    <w:rsid w:val="00D14FF3"/>
    <w:rsid w:val="00D154F6"/>
    <w:rsid w:val="00D155AA"/>
    <w:rsid w:val="00D15657"/>
    <w:rsid w:val="00D15670"/>
    <w:rsid w:val="00D157C0"/>
    <w:rsid w:val="00D15871"/>
    <w:rsid w:val="00D159E9"/>
    <w:rsid w:val="00D15A7E"/>
    <w:rsid w:val="00D15AE0"/>
    <w:rsid w:val="00D15E19"/>
    <w:rsid w:val="00D15E42"/>
    <w:rsid w:val="00D15EB5"/>
    <w:rsid w:val="00D16029"/>
    <w:rsid w:val="00D1620E"/>
    <w:rsid w:val="00D162A1"/>
    <w:rsid w:val="00D164EC"/>
    <w:rsid w:val="00D16833"/>
    <w:rsid w:val="00D16B58"/>
    <w:rsid w:val="00D16C03"/>
    <w:rsid w:val="00D16E57"/>
    <w:rsid w:val="00D16E65"/>
    <w:rsid w:val="00D16ECC"/>
    <w:rsid w:val="00D16F9C"/>
    <w:rsid w:val="00D17050"/>
    <w:rsid w:val="00D170AE"/>
    <w:rsid w:val="00D171B6"/>
    <w:rsid w:val="00D17236"/>
    <w:rsid w:val="00D17298"/>
    <w:rsid w:val="00D1736D"/>
    <w:rsid w:val="00D17458"/>
    <w:rsid w:val="00D17488"/>
    <w:rsid w:val="00D17528"/>
    <w:rsid w:val="00D1759F"/>
    <w:rsid w:val="00D177A5"/>
    <w:rsid w:val="00D17AFB"/>
    <w:rsid w:val="00D17B46"/>
    <w:rsid w:val="00D17B97"/>
    <w:rsid w:val="00D17C61"/>
    <w:rsid w:val="00D17D0E"/>
    <w:rsid w:val="00D17EC3"/>
    <w:rsid w:val="00D17F31"/>
    <w:rsid w:val="00D17F52"/>
    <w:rsid w:val="00D19582"/>
    <w:rsid w:val="00D20078"/>
    <w:rsid w:val="00D200F8"/>
    <w:rsid w:val="00D2012F"/>
    <w:rsid w:val="00D20160"/>
    <w:rsid w:val="00D2025B"/>
    <w:rsid w:val="00D202F3"/>
    <w:rsid w:val="00D207A3"/>
    <w:rsid w:val="00D209C1"/>
    <w:rsid w:val="00D209CC"/>
    <w:rsid w:val="00D20CD1"/>
    <w:rsid w:val="00D20D3E"/>
    <w:rsid w:val="00D20DA5"/>
    <w:rsid w:val="00D21041"/>
    <w:rsid w:val="00D21269"/>
    <w:rsid w:val="00D213BD"/>
    <w:rsid w:val="00D213ED"/>
    <w:rsid w:val="00D2140D"/>
    <w:rsid w:val="00D21505"/>
    <w:rsid w:val="00D21853"/>
    <w:rsid w:val="00D21883"/>
    <w:rsid w:val="00D219DD"/>
    <w:rsid w:val="00D21ABC"/>
    <w:rsid w:val="00D21ABE"/>
    <w:rsid w:val="00D21B2B"/>
    <w:rsid w:val="00D21B5D"/>
    <w:rsid w:val="00D21C2D"/>
    <w:rsid w:val="00D21C97"/>
    <w:rsid w:val="00D21D23"/>
    <w:rsid w:val="00D21EEB"/>
    <w:rsid w:val="00D21F81"/>
    <w:rsid w:val="00D22099"/>
    <w:rsid w:val="00D2209F"/>
    <w:rsid w:val="00D220BD"/>
    <w:rsid w:val="00D22199"/>
    <w:rsid w:val="00D222FC"/>
    <w:rsid w:val="00D2236A"/>
    <w:rsid w:val="00D223AF"/>
    <w:rsid w:val="00D227FA"/>
    <w:rsid w:val="00D2281E"/>
    <w:rsid w:val="00D22875"/>
    <w:rsid w:val="00D2288D"/>
    <w:rsid w:val="00D2291A"/>
    <w:rsid w:val="00D2297C"/>
    <w:rsid w:val="00D22AC7"/>
    <w:rsid w:val="00D22AE9"/>
    <w:rsid w:val="00D22B91"/>
    <w:rsid w:val="00D22C3F"/>
    <w:rsid w:val="00D22E9A"/>
    <w:rsid w:val="00D23081"/>
    <w:rsid w:val="00D23269"/>
    <w:rsid w:val="00D2335C"/>
    <w:rsid w:val="00D233D9"/>
    <w:rsid w:val="00D23482"/>
    <w:rsid w:val="00D235CA"/>
    <w:rsid w:val="00D237D5"/>
    <w:rsid w:val="00D23843"/>
    <w:rsid w:val="00D238C4"/>
    <w:rsid w:val="00D239DA"/>
    <w:rsid w:val="00D23B0D"/>
    <w:rsid w:val="00D23CB1"/>
    <w:rsid w:val="00D23CB9"/>
    <w:rsid w:val="00D24081"/>
    <w:rsid w:val="00D24471"/>
    <w:rsid w:val="00D24664"/>
    <w:rsid w:val="00D24730"/>
    <w:rsid w:val="00D24ADC"/>
    <w:rsid w:val="00D24B76"/>
    <w:rsid w:val="00D24B8A"/>
    <w:rsid w:val="00D24CBD"/>
    <w:rsid w:val="00D24D76"/>
    <w:rsid w:val="00D25007"/>
    <w:rsid w:val="00D25067"/>
    <w:rsid w:val="00D250B2"/>
    <w:rsid w:val="00D251AD"/>
    <w:rsid w:val="00D25324"/>
    <w:rsid w:val="00D25329"/>
    <w:rsid w:val="00D25331"/>
    <w:rsid w:val="00D25589"/>
    <w:rsid w:val="00D25714"/>
    <w:rsid w:val="00D2572B"/>
    <w:rsid w:val="00D25799"/>
    <w:rsid w:val="00D257E2"/>
    <w:rsid w:val="00D257F8"/>
    <w:rsid w:val="00D2585E"/>
    <w:rsid w:val="00D258AB"/>
    <w:rsid w:val="00D258FF"/>
    <w:rsid w:val="00D259A8"/>
    <w:rsid w:val="00D25D53"/>
    <w:rsid w:val="00D25DD4"/>
    <w:rsid w:val="00D26154"/>
    <w:rsid w:val="00D2626A"/>
    <w:rsid w:val="00D26381"/>
    <w:rsid w:val="00D263A4"/>
    <w:rsid w:val="00D263CA"/>
    <w:rsid w:val="00D2642F"/>
    <w:rsid w:val="00D26543"/>
    <w:rsid w:val="00D26697"/>
    <w:rsid w:val="00D267F0"/>
    <w:rsid w:val="00D2681F"/>
    <w:rsid w:val="00D26866"/>
    <w:rsid w:val="00D26872"/>
    <w:rsid w:val="00D26BC9"/>
    <w:rsid w:val="00D26CB9"/>
    <w:rsid w:val="00D26CE6"/>
    <w:rsid w:val="00D26EED"/>
    <w:rsid w:val="00D2719D"/>
    <w:rsid w:val="00D272A2"/>
    <w:rsid w:val="00D27438"/>
    <w:rsid w:val="00D27523"/>
    <w:rsid w:val="00D2754D"/>
    <w:rsid w:val="00D275A8"/>
    <w:rsid w:val="00D2768C"/>
    <w:rsid w:val="00D276C0"/>
    <w:rsid w:val="00D27771"/>
    <w:rsid w:val="00D277E4"/>
    <w:rsid w:val="00D27A45"/>
    <w:rsid w:val="00D27C07"/>
    <w:rsid w:val="00D27CFE"/>
    <w:rsid w:val="00D301A3"/>
    <w:rsid w:val="00D30266"/>
    <w:rsid w:val="00D3028D"/>
    <w:rsid w:val="00D30485"/>
    <w:rsid w:val="00D3058C"/>
    <w:rsid w:val="00D30761"/>
    <w:rsid w:val="00D30A10"/>
    <w:rsid w:val="00D30A7D"/>
    <w:rsid w:val="00D30A97"/>
    <w:rsid w:val="00D30B3A"/>
    <w:rsid w:val="00D30C10"/>
    <w:rsid w:val="00D30C87"/>
    <w:rsid w:val="00D30CE7"/>
    <w:rsid w:val="00D30DF6"/>
    <w:rsid w:val="00D30EAB"/>
    <w:rsid w:val="00D31071"/>
    <w:rsid w:val="00D311C2"/>
    <w:rsid w:val="00D312B5"/>
    <w:rsid w:val="00D31357"/>
    <w:rsid w:val="00D3148D"/>
    <w:rsid w:val="00D31660"/>
    <w:rsid w:val="00D3169D"/>
    <w:rsid w:val="00D316F5"/>
    <w:rsid w:val="00D31826"/>
    <w:rsid w:val="00D31868"/>
    <w:rsid w:val="00D319DD"/>
    <w:rsid w:val="00D319DE"/>
    <w:rsid w:val="00D319E7"/>
    <w:rsid w:val="00D31BCC"/>
    <w:rsid w:val="00D31D06"/>
    <w:rsid w:val="00D31FCF"/>
    <w:rsid w:val="00D320F2"/>
    <w:rsid w:val="00D323B5"/>
    <w:rsid w:val="00D32407"/>
    <w:rsid w:val="00D3256D"/>
    <w:rsid w:val="00D326C4"/>
    <w:rsid w:val="00D3272F"/>
    <w:rsid w:val="00D3283C"/>
    <w:rsid w:val="00D3283D"/>
    <w:rsid w:val="00D32951"/>
    <w:rsid w:val="00D32A66"/>
    <w:rsid w:val="00D32DAF"/>
    <w:rsid w:val="00D32E51"/>
    <w:rsid w:val="00D33527"/>
    <w:rsid w:val="00D3363B"/>
    <w:rsid w:val="00D33707"/>
    <w:rsid w:val="00D33743"/>
    <w:rsid w:val="00D33972"/>
    <w:rsid w:val="00D33A2F"/>
    <w:rsid w:val="00D33DB8"/>
    <w:rsid w:val="00D33FE3"/>
    <w:rsid w:val="00D34213"/>
    <w:rsid w:val="00D34638"/>
    <w:rsid w:val="00D34669"/>
    <w:rsid w:val="00D346A2"/>
    <w:rsid w:val="00D3475F"/>
    <w:rsid w:val="00D34957"/>
    <w:rsid w:val="00D349C8"/>
    <w:rsid w:val="00D34BB6"/>
    <w:rsid w:val="00D34CDF"/>
    <w:rsid w:val="00D34CE5"/>
    <w:rsid w:val="00D34D53"/>
    <w:rsid w:val="00D34DC1"/>
    <w:rsid w:val="00D34E33"/>
    <w:rsid w:val="00D35030"/>
    <w:rsid w:val="00D35503"/>
    <w:rsid w:val="00D35561"/>
    <w:rsid w:val="00D3563E"/>
    <w:rsid w:val="00D35693"/>
    <w:rsid w:val="00D356A3"/>
    <w:rsid w:val="00D35745"/>
    <w:rsid w:val="00D359E8"/>
    <w:rsid w:val="00D35B12"/>
    <w:rsid w:val="00D35BD3"/>
    <w:rsid w:val="00D35D6F"/>
    <w:rsid w:val="00D35EE0"/>
    <w:rsid w:val="00D35F8B"/>
    <w:rsid w:val="00D35FF6"/>
    <w:rsid w:val="00D36611"/>
    <w:rsid w:val="00D36661"/>
    <w:rsid w:val="00D366C7"/>
    <w:rsid w:val="00D3670D"/>
    <w:rsid w:val="00D36747"/>
    <w:rsid w:val="00D36845"/>
    <w:rsid w:val="00D36A4A"/>
    <w:rsid w:val="00D36AC0"/>
    <w:rsid w:val="00D36B38"/>
    <w:rsid w:val="00D36BB1"/>
    <w:rsid w:val="00D36CD8"/>
    <w:rsid w:val="00D36CFD"/>
    <w:rsid w:val="00D36E47"/>
    <w:rsid w:val="00D36F33"/>
    <w:rsid w:val="00D36F7F"/>
    <w:rsid w:val="00D36FD4"/>
    <w:rsid w:val="00D36FF0"/>
    <w:rsid w:val="00D36FF5"/>
    <w:rsid w:val="00D37051"/>
    <w:rsid w:val="00D372C4"/>
    <w:rsid w:val="00D373A3"/>
    <w:rsid w:val="00D37450"/>
    <w:rsid w:val="00D374E8"/>
    <w:rsid w:val="00D37521"/>
    <w:rsid w:val="00D37559"/>
    <w:rsid w:val="00D3755D"/>
    <w:rsid w:val="00D379EF"/>
    <w:rsid w:val="00D37A82"/>
    <w:rsid w:val="00D37B2A"/>
    <w:rsid w:val="00D37BC6"/>
    <w:rsid w:val="00D37F75"/>
    <w:rsid w:val="00D400CA"/>
    <w:rsid w:val="00D40178"/>
    <w:rsid w:val="00D40223"/>
    <w:rsid w:val="00D4026B"/>
    <w:rsid w:val="00D405B2"/>
    <w:rsid w:val="00D40649"/>
    <w:rsid w:val="00D4079F"/>
    <w:rsid w:val="00D40991"/>
    <w:rsid w:val="00D409D8"/>
    <w:rsid w:val="00D40B8B"/>
    <w:rsid w:val="00D40CE2"/>
    <w:rsid w:val="00D40D29"/>
    <w:rsid w:val="00D40EE0"/>
    <w:rsid w:val="00D4106F"/>
    <w:rsid w:val="00D411AB"/>
    <w:rsid w:val="00D413E7"/>
    <w:rsid w:val="00D41521"/>
    <w:rsid w:val="00D41544"/>
    <w:rsid w:val="00D41591"/>
    <w:rsid w:val="00D418F0"/>
    <w:rsid w:val="00D41906"/>
    <w:rsid w:val="00D41C33"/>
    <w:rsid w:val="00D41D8E"/>
    <w:rsid w:val="00D41F64"/>
    <w:rsid w:val="00D42052"/>
    <w:rsid w:val="00D42422"/>
    <w:rsid w:val="00D42466"/>
    <w:rsid w:val="00D4263E"/>
    <w:rsid w:val="00D4282E"/>
    <w:rsid w:val="00D42834"/>
    <w:rsid w:val="00D42957"/>
    <w:rsid w:val="00D42961"/>
    <w:rsid w:val="00D42A46"/>
    <w:rsid w:val="00D42B39"/>
    <w:rsid w:val="00D42CF0"/>
    <w:rsid w:val="00D42D42"/>
    <w:rsid w:val="00D42DA6"/>
    <w:rsid w:val="00D4305F"/>
    <w:rsid w:val="00D43080"/>
    <w:rsid w:val="00D43204"/>
    <w:rsid w:val="00D432B7"/>
    <w:rsid w:val="00D432D6"/>
    <w:rsid w:val="00D43460"/>
    <w:rsid w:val="00D434BB"/>
    <w:rsid w:val="00D436D8"/>
    <w:rsid w:val="00D43851"/>
    <w:rsid w:val="00D438EA"/>
    <w:rsid w:val="00D4394C"/>
    <w:rsid w:val="00D43981"/>
    <w:rsid w:val="00D43CA9"/>
    <w:rsid w:val="00D43D4A"/>
    <w:rsid w:val="00D43DED"/>
    <w:rsid w:val="00D43ECF"/>
    <w:rsid w:val="00D43F30"/>
    <w:rsid w:val="00D441A8"/>
    <w:rsid w:val="00D443F1"/>
    <w:rsid w:val="00D4453B"/>
    <w:rsid w:val="00D44566"/>
    <w:rsid w:val="00D448BC"/>
    <w:rsid w:val="00D448F6"/>
    <w:rsid w:val="00D449D5"/>
    <w:rsid w:val="00D44CFC"/>
    <w:rsid w:val="00D44D9E"/>
    <w:rsid w:val="00D44EBD"/>
    <w:rsid w:val="00D44EFC"/>
    <w:rsid w:val="00D44F1A"/>
    <w:rsid w:val="00D44FDD"/>
    <w:rsid w:val="00D4505A"/>
    <w:rsid w:val="00D45062"/>
    <w:rsid w:val="00D45150"/>
    <w:rsid w:val="00D451D4"/>
    <w:rsid w:val="00D452D1"/>
    <w:rsid w:val="00D4531C"/>
    <w:rsid w:val="00D45338"/>
    <w:rsid w:val="00D45497"/>
    <w:rsid w:val="00D4549D"/>
    <w:rsid w:val="00D4570D"/>
    <w:rsid w:val="00D45788"/>
    <w:rsid w:val="00D457B4"/>
    <w:rsid w:val="00D457FD"/>
    <w:rsid w:val="00D458F7"/>
    <w:rsid w:val="00D45921"/>
    <w:rsid w:val="00D45BD4"/>
    <w:rsid w:val="00D45BE4"/>
    <w:rsid w:val="00D45C05"/>
    <w:rsid w:val="00D45D06"/>
    <w:rsid w:val="00D45D56"/>
    <w:rsid w:val="00D45EBD"/>
    <w:rsid w:val="00D462FB"/>
    <w:rsid w:val="00D46384"/>
    <w:rsid w:val="00D46728"/>
    <w:rsid w:val="00D468E1"/>
    <w:rsid w:val="00D46BC6"/>
    <w:rsid w:val="00D46C2E"/>
    <w:rsid w:val="00D46C45"/>
    <w:rsid w:val="00D46E3F"/>
    <w:rsid w:val="00D46E42"/>
    <w:rsid w:val="00D46E77"/>
    <w:rsid w:val="00D46F5C"/>
    <w:rsid w:val="00D4707B"/>
    <w:rsid w:val="00D4717D"/>
    <w:rsid w:val="00D47210"/>
    <w:rsid w:val="00D47268"/>
    <w:rsid w:val="00D473DF"/>
    <w:rsid w:val="00D47489"/>
    <w:rsid w:val="00D474EE"/>
    <w:rsid w:val="00D476D2"/>
    <w:rsid w:val="00D477B7"/>
    <w:rsid w:val="00D478ED"/>
    <w:rsid w:val="00D47A89"/>
    <w:rsid w:val="00D47ACA"/>
    <w:rsid w:val="00D47C0E"/>
    <w:rsid w:val="00D47C7F"/>
    <w:rsid w:val="00D47E48"/>
    <w:rsid w:val="00D47F05"/>
    <w:rsid w:val="00D47F28"/>
    <w:rsid w:val="00D5003A"/>
    <w:rsid w:val="00D5004C"/>
    <w:rsid w:val="00D50282"/>
    <w:rsid w:val="00D502DC"/>
    <w:rsid w:val="00D502E3"/>
    <w:rsid w:val="00D503D6"/>
    <w:rsid w:val="00D50463"/>
    <w:rsid w:val="00D5060B"/>
    <w:rsid w:val="00D50616"/>
    <w:rsid w:val="00D509B3"/>
    <w:rsid w:val="00D50C24"/>
    <w:rsid w:val="00D50F13"/>
    <w:rsid w:val="00D50F6C"/>
    <w:rsid w:val="00D51063"/>
    <w:rsid w:val="00D510E1"/>
    <w:rsid w:val="00D51216"/>
    <w:rsid w:val="00D5127E"/>
    <w:rsid w:val="00D518CE"/>
    <w:rsid w:val="00D518EE"/>
    <w:rsid w:val="00D518F9"/>
    <w:rsid w:val="00D51922"/>
    <w:rsid w:val="00D51E9C"/>
    <w:rsid w:val="00D51EB1"/>
    <w:rsid w:val="00D52332"/>
    <w:rsid w:val="00D523CE"/>
    <w:rsid w:val="00D524E2"/>
    <w:rsid w:val="00D525FC"/>
    <w:rsid w:val="00D528C8"/>
    <w:rsid w:val="00D52919"/>
    <w:rsid w:val="00D529BB"/>
    <w:rsid w:val="00D52A0B"/>
    <w:rsid w:val="00D52BC9"/>
    <w:rsid w:val="00D52BDF"/>
    <w:rsid w:val="00D52D3D"/>
    <w:rsid w:val="00D52F20"/>
    <w:rsid w:val="00D53137"/>
    <w:rsid w:val="00D5330D"/>
    <w:rsid w:val="00D533E6"/>
    <w:rsid w:val="00D534A3"/>
    <w:rsid w:val="00D53524"/>
    <w:rsid w:val="00D5374B"/>
    <w:rsid w:val="00D537F3"/>
    <w:rsid w:val="00D5380F"/>
    <w:rsid w:val="00D539A7"/>
    <w:rsid w:val="00D53A45"/>
    <w:rsid w:val="00D53A64"/>
    <w:rsid w:val="00D53A73"/>
    <w:rsid w:val="00D53A93"/>
    <w:rsid w:val="00D53BB8"/>
    <w:rsid w:val="00D53D28"/>
    <w:rsid w:val="00D53D5D"/>
    <w:rsid w:val="00D53F08"/>
    <w:rsid w:val="00D53F97"/>
    <w:rsid w:val="00D54237"/>
    <w:rsid w:val="00D542A0"/>
    <w:rsid w:val="00D542E9"/>
    <w:rsid w:val="00D5439D"/>
    <w:rsid w:val="00D543B7"/>
    <w:rsid w:val="00D544FF"/>
    <w:rsid w:val="00D54772"/>
    <w:rsid w:val="00D54E55"/>
    <w:rsid w:val="00D54E5B"/>
    <w:rsid w:val="00D54F6B"/>
    <w:rsid w:val="00D5519D"/>
    <w:rsid w:val="00D5536E"/>
    <w:rsid w:val="00D55414"/>
    <w:rsid w:val="00D55466"/>
    <w:rsid w:val="00D555E5"/>
    <w:rsid w:val="00D55623"/>
    <w:rsid w:val="00D5576E"/>
    <w:rsid w:val="00D557B2"/>
    <w:rsid w:val="00D55840"/>
    <w:rsid w:val="00D55937"/>
    <w:rsid w:val="00D55947"/>
    <w:rsid w:val="00D55B4C"/>
    <w:rsid w:val="00D55CEB"/>
    <w:rsid w:val="00D55CEF"/>
    <w:rsid w:val="00D55FD7"/>
    <w:rsid w:val="00D5602E"/>
    <w:rsid w:val="00D5603B"/>
    <w:rsid w:val="00D5606D"/>
    <w:rsid w:val="00D5619D"/>
    <w:rsid w:val="00D561C0"/>
    <w:rsid w:val="00D56203"/>
    <w:rsid w:val="00D56251"/>
    <w:rsid w:val="00D5648D"/>
    <w:rsid w:val="00D56524"/>
    <w:rsid w:val="00D56577"/>
    <w:rsid w:val="00D5658D"/>
    <w:rsid w:val="00D5661B"/>
    <w:rsid w:val="00D56727"/>
    <w:rsid w:val="00D567AB"/>
    <w:rsid w:val="00D5683E"/>
    <w:rsid w:val="00D56A39"/>
    <w:rsid w:val="00D56A4E"/>
    <w:rsid w:val="00D56B75"/>
    <w:rsid w:val="00D56CED"/>
    <w:rsid w:val="00D56CFF"/>
    <w:rsid w:val="00D56E93"/>
    <w:rsid w:val="00D5708F"/>
    <w:rsid w:val="00D570BF"/>
    <w:rsid w:val="00D57232"/>
    <w:rsid w:val="00D57306"/>
    <w:rsid w:val="00D57316"/>
    <w:rsid w:val="00D573A3"/>
    <w:rsid w:val="00D573E0"/>
    <w:rsid w:val="00D57487"/>
    <w:rsid w:val="00D57541"/>
    <w:rsid w:val="00D57588"/>
    <w:rsid w:val="00D575FD"/>
    <w:rsid w:val="00D57704"/>
    <w:rsid w:val="00D57710"/>
    <w:rsid w:val="00D5780B"/>
    <w:rsid w:val="00D579DF"/>
    <w:rsid w:val="00D57C34"/>
    <w:rsid w:val="00D57CE3"/>
    <w:rsid w:val="00D57D77"/>
    <w:rsid w:val="00D57F2F"/>
    <w:rsid w:val="00D60004"/>
    <w:rsid w:val="00D601C5"/>
    <w:rsid w:val="00D601E3"/>
    <w:rsid w:val="00D602A8"/>
    <w:rsid w:val="00D6033C"/>
    <w:rsid w:val="00D60370"/>
    <w:rsid w:val="00D604D2"/>
    <w:rsid w:val="00D6068D"/>
    <w:rsid w:val="00D6068E"/>
    <w:rsid w:val="00D606BE"/>
    <w:rsid w:val="00D607B1"/>
    <w:rsid w:val="00D60874"/>
    <w:rsid w:val="00D6091B"/>
    <w:rsid w:val="00D60A1D"/>
    <w:rsid w:val="00D60D76"/>
    <w:rsid w:val="00D60D87"/>
    <w:rsid w:val="00D60DCB"/>
    <w:rsid w:val="00D61021"/>
    <w:rsid w:val="00D610B6"/>
    <w:rsid w:val="00D6114C"/>
    <w:rsid w:val="00D6116D"/>
    <w:rsid w:val="00D61267"/>
    <w:rsid w:val="00D6131C"/>
    <w:rsid w:val="00D61345"/>
    <w:rsid w:val="00D61371"/>
    <w:rsid w:val="00D61405"/>
    <w:rsid w:val="00D614CC"/>
    <w:rsid w:val="00D6155F"/>
    <w:rsid w:val="00D61567"/>
    <w:rsid w:val="00D6172F"/>
    <w:rsid w:val="00D6179D"/>
    <w:rsid w:val="00D6185F"/>
    <w:rsid w:val="00D619E2"/>
    <w:rsid w:val="00D61A00"/>
    <w:rsid w:val="00D61CD5"/>
    <w:rsid w:val="00D61DCB"/>
    <w:rsid w:val="00D61FE7"/>
    <w:rsid w:val="00D620CE"/>
    <w:rsid w:val="00D620DA"/>
    <w:rsid w:val="00D621DD"/>
    <w:rsid w:val="00D622D3"/>
    <w:rsid w:val="00D6276B"/>
    <w:rsid w:val="00D6290F"/>
    <w:rsid w:val="00D62AD9"/>
    <w:rsid w:val="00D62C05"/>
    <w:rsid w:val="00D62D21"/>
    <w:rsid w:val="00D62D9A"/>
    <w:rsid w:val="00D62F87"/>
    <w:rsid w:val="00D62FFA"/>
    <w:rsid w:val="00D630B8"/>
    <w:rsid w:val="00D63133"/>
    <w:rsid w:val="00D633BD"/>
    <w:rsid w:val="00D63438"/>
    <w:rsid w:val="00D63450"/>
    <w:rsid w:val="00D6345E"/>
    <w:rsid w:val="00D63484"/>
    <w:rsid w:val="00D635D6"/>
    <w:rsid w:val="00D6370C"/>
    <w:rsid w:val="00D63925"/>
    <w:rsid w:val="00D63BA4"/>
    <w:rsid w:val="00D63C40"/>
    <w:rsid w:val="00D63C9C"/>
    <w:rsid w:val="00D63D00"/>
    <w:rsid w:val="00D63DF5"/>
    <w:rsid w:val="00D63F01"/>
    <w:rsid w:val="00D63F0F"/>
    <w:rsid w:val="00D64022"/>
    <w:rsid w:val="00D64070"/>
    <w:rsid w:val="00D64104"/>
    <w:rsid w:val="00D64535"/>
    <w:rsid w:val="00D645F8"/>
    <w:rsid w:val="00D6479E"/>
    <w:rsid w:val="00D648CE"/>
    <w:rsid w:val="00D64906"/>
    <w:rsid w:val="00D64927"/>
    <w:rsid w:val="00D6495E"/>
    <w:rsid w:val="00D6498B"/>
    <w:rsid w:val="00D64B3A"/>
    <w:rsid w:val="00D64C89"/>
    <w:rsid w:val="00D64D34"/>
    <w:rsid w:val="00D64DD9"/>
    <w:rsid w:val="00D64EF2"/>
    <w:rsid w:val="00D64EFB"/>
    <w:rsid w:val="00D65087"/>
    <w:rsid w:val="00D650F2"/>
    <w:rsid w:val="00D6515C"/>
    <w:rsid w:val="00D6518F"/>
    <w:rsid w:val="00D65481"/>
    <w:rsid w:val="00D6554D"/>
    <w:rsid w:val="00D655A4"/>
    <w:rsid w:val="00D6584B"/>
    <w:rsid w:val="00D658CD"/>
    <w:rsid w:val="00D658CF"/>
    <w:rsid w:val="00D659E5"/>
    <w:rsid w:val="00D659EA"/>
    <w:rsid w:val="00D65C5D"/>
    <w:rsid w:val="00D65D06"/>
    <w:rsid w:val="00D65D07"/>
    <w:rsid w:val="00D65DB1"/>
    <w:rsid w:val="00D65DD6"/>
    <w:rsid w:val="00D65E61"/>
    <w:rsid w:val="00D65EB5"/>
    <w:rsid w:val="00D65FAC"/>
    <w:rsid w:val="00D665B0"/>
    <w:rsid w:val="00D6663A"/>
    <w:rsid w:val="00D666BC"/>
    <w:rsid w:val="00D66773"/>
    <w:rsid w:val="00D667C2"/>
    <w:rsid w:val="00D668EF"/>
    <w:rsid w:val="00D6692F"/>
    <w:rsid w:val="00D66A44"/>
    <w:rsid w:val="00D66B02"/>
    <w:rsid w:val="00D66B0D"/>
    <w:rsid w:val="00D66B3E"/>
    <w:rsid w:val="00D66BA8"/>
    <w:rsid w:val="00D66BF6"/>
    <w:rsid w:val="00D66CE0"/>
    <w:rsid w:val="00D66D18"/>
    <w:rsid w:val="00D66DC8"/>
    <w:rsid w:val="00D66EB1"/>
    <w:rsid w:val="00D672F0"/>
    <w:rsid w:val="00D6744E"/>
    <w:rsid w:val="00D6757E"/>
    <w:rsid w:val="00D676C1"/>
    <w:rsid w:val="00D6788F"/>
    <w:rsid w:val="00D67B3F"/>
    <w:rsid w:val="00D67BAF"/>
    <w:rsid w:val="00D67BF3"/>
    <w:rsid w:val="00D67C48"/>
    <w:rsid w:val="00D67D87"/>
    <w:rsid w:val="00D67EEB"/>
    <w:rsid w:val="00D67F25"/>
    <w:rsid w:val="00D700D8"/>
    <w:rsid w:val="00D7013A"/>
    <w:rsid w:val="00D7039A"/>
    <w:rsid w:val="00D705E5"/>
    <w:rsid w:val="00D70636"/>
    <w:rsid w:val="00D70805"/>
    <w:rsid w:val="00D70852"/>
    <w:rsid w:val="00D70939"/>
    <w:rsid w:val="00D70BC2"/>
    <w:rsid w:val="00D70C54"/>
    <w:rsid w:val="00D70CD7"/>
    <w:rsid w:val="00D70E42"/>
    <w:rsid w:val="00D70F28"/>
    <w:rsid w:val="00D70F78"/>
    <w:rsid w:val="00D70F7B"/>
    <w:rsid w:val="00D71111"/>
    <w:rsid w:val="00D713F9"/>
    <w:rsid w:val="00D71537"/>
    <w:rsid w:val="00D716FC"/>
    <w:rsid w:val="00D7176F"/>
    <w:rsid w:val="00D71838"/>
    <w:rsid w:val="00D7185E"/>
    <w:rsid w:val="00D71B64"/>
    <w:rsid w:val="00D71BD6"/>
    <w:rsid w:val="00D71CFD"/>
    <w:rsid w:val="00D71EE2"/>
    <w:rsid w:val="00D71EF5"/>
    <w:rsid w:val="00D71F3A"/>
    <w:rsid w:val="00D71F8F"/>
    <w:rsid w:val="00D72074"/>
    <w:rsid w:val="00D72104"/>
    <w:rsid w:val="00D72224"/>
    <w:rsid w:val="00D72358"/>
    <w:rsid w:val="00D723A4"/>
    <w:rsid w:val="00D724B7"/>
    <w:rsid w:val="00D727AF"/>
    <w:rsid w:val="00D729BA"/>
    <w:rsid w:val="00D72B51"/>
    <w:rsid w:val="00D72B54"/>
    <w:rsid w:val="00D72B94"/>
    <w:rsid w:val="00D72C2B"/>
    <w:rsid w:val="00D72D0A"/>
    <w:rsid w:val="00D72E5A"/>
    <w:rsid w:val="00D72F27"/>
    <w:rsid w:val="00D730F4"/>
    <w:rsid w:val="00D7333C"/>
    <w:rsid w:val="00D7354C"/>
    <w:rsid w:val="00D735B7"/>
    <w:rsid w:val="00D736D9"/>
    <w:rsid w:val="00D738F7"/>
    <w:rsid w:val="00D739B0"/>
    <w:rsid w:val="00D73B18"/>
    <w:rsid w:val="00D73BE0"/>
    <w:rsid w:val="00D740B5"/>
    <w:rsid w:val="00D74182"/>
    <w:rsid w:val="00D741D5"/>
    <w:rsid w:val="00D74364"/>
    <w:rsid w:val="00D74392"/>
    <w:rsid w:val="00D7457E"/>
    <w:rsid w:val="00D74593"/>
    <w:rsid w:val="00D746EE"/>
    <w:rsid w:val="00D7477E"/>
    <w:rsid w:val="00D7483C"/>
    <w:rsid w:val="00D74A03"/>
    <w:rsid w:val="00D74A16"/>
    <w:rsid w:val="00D74A66"/>
    <w:rsid w:val="00D74A77"/>
    <w:rsid w:val="00D74AFC"/>
    <w:rsid w:val="00D74CE4"/>
    <w:rsid w:val="00D751B8"/>
    <w:rsid w:val="00D75379"/>
    <w:rsid w:val="00D754B6"/>
    <w:rsid w:val="00D755D2"/>
    <w:rsid w:val="00D758CF"/>
    <w:rsid w:val="00D75AA1"/>
    <w:rsid w:val="00D75B70"/>
    <w:rsid w:val="00D75B71"/>
    <w:rsid w:val="00D75D49"/>
    <w:rsid w:val="00D75D80"/>
    <w:rsid w:val="00D75D9F"/>
    <w:rsid w:val="00D75DB1"/>
    <w:rsid w:val="00D75E9D"/>
    <w:rsid w:val="00D760DB"/>
    <w:rsid w:val="00D76181"/>
    <w:rsid w:val="00D76186"/>
    <w:rsid w:val="00D761B1"/>
    <w:rsid w:val="00D7621A"/>
    <w:rsid w:val="00D762CB"/>
    <w:rsid w:val="00D762F3"/>
    <w:rsid w:val="00D76475"/>
    <w:rsid w:val="00D7663E"/>
    <w:rsid w:val="00D76711"/>
    <w:rsid w:val="00D769FC"/>
    <w:rsid w:val="00D76A46"/>
    <w:rsid w:val="00D76A53"/>
    <w:rsid w:val="00D76C9C"/>
    <w:rsid w:val="00D76CE7"/>
    <w:rsid w:val="00D76D13"/>
    <w:rsid w:val="00D76E2B"/>
    <w:rsid w:val="00D76F01"/>
    <w:rsid w:val="00D76F82"/>
    <w:rsid w:val="00D77015"/>
    <w:rsid w:val="00D7717B"/>
    <w:rsid w:val="00D772CC"/>
    <w:rsid w:val="00D774DB"/>
    <w:rsid w:val="00D77549"/>
    <w:rsid w:val="00D77632"/>
    <w:rsid w:val="00D7772E"/>
    <w:rsid w:val="00D77749"/>
    <w:rsid w:val="00D777EA"/>
    <w:rsid w:val="00D77984"/>
    <w:rsid w:val="00D77D57"/>
    <w:rsid w:val="00D8014E"/>
    <w:rsid w:val="00D802BD"/>
    <w:rsid w:val="00D802EE"/>
    <w:rsid w:val="00D80321"/>
    <w:rsid w:val="00D8032B"/>
    <w:rsid w:val="00D80479"/>
    <w:rsid w:val="00D8049E"/>
    <w:rsid w:val="00D80585"/>
    <w:rsid w:val="00D805CD"/>
    <w:rsid w:val="00D806FB"/>
    <w:rsid w:val="00D808A5"/>
    <w:rsid w:val="00D80928"/>
    <w:rsid w:val="00D809FD"/>
    <w:rsid w:val="00D80E55"/>
    <w:rsid w:val="00D80F65"/>
    <w:rsid w:val="00D81113"/>
    <w:rsid w:val="00D81222"/>
    <w:rsid w:val="00D81675"/>
    <w:rsid w:val="00D81881"/>
    <w:rsid w:val="00D81943"/>
    <w:rsid w:val="00D8195A"/>
    <w:rsid w:val="00D81D0B"/>
    <w:rsid w:val="00D81E04"/>
    <w:rsid w:val="00D82154"/>
    <w:rsid w:val="00D82248"/>
    <w:rsid w:val="00D8226C"/>
    <w:rsid w:val="00D822F2"/>
    <w:rsid w:val="00D82309"/>
    <w:rsid w:val="00D8230E"/>
    <w:rsid w:val="00D824AF"/>
    <w:rsid w:val="00D82659"/>
    <w:rsid w:val="00D8277C"/>
    <w:rsid w:val="00D82858"/>
    <w:rsid w:val="00D82AA0"/>
    <w:rsid w:val="00D82ABE"/>
    <w:rsid w:val="00D82E46"/>
    <w:rsid w:val="00D82EDA"/>
    <w:rsid w:val="00D830C7"/>
    <w:rsid w:val="00D834AF"/>
    <w:rsid w:val="00D834D6"/>
    <w:rsid w:val="00D834EE"/>
    <w:rsid w:val="00D83569"/>
    <w:rsid w:val="00D83654"/>
    <w:rsid w:val="00D8366E"/>
    <w:rsid w:val="00D83736"/>
    <w:rsid w:val="00D83B40"/>
    <w:rsid w:val="00D83B54"/>
    <w:rsid w:val="00D83B72"/>
    <w:rsid w:val="00D83D25"/>
    <w:rsid w:val="00D83DD1"/>
    <w:rsid w:val="00D83E02"/>
    <w:rsid w:val="00D84001"/>
    <w:rsid w:val="00D84075"/>
    <w:rsid w:val="00D8410C"/>
    <w:rsid w:val="00D841D8"/>
    <w:rsid w:val="00D841E5"/>
    <w:rsid w:val="00D84236"/>
    <w:rsid w:val="00D8425A"/>
    <w:rsid w:val="00D84342"/>
    <w:rsid w:val="00D845E3"/>
    <w:rsid w:val="00D84601"/>
    <w:rsid w:val="00D847C8"/>
    <w:rsid w:val="00D8485F"/>
    <w:rsid w:val="00D8487B"/>
    <w:rsid w:val="00D8489B"/>
    <w:rsid w:val="00D84C8D"/>
    <w:rsid w:val="00D84D29"/>
    <w:rsid w:val="00D84D2F"/>
    <w:rsid w:val="00D8532A"/>
    <w:rsid w:val="00D85468"/>
    <w:rsid w:val="00D856A0"/>
    <w:rsid w:val="00D85764"/>
    <w:rsid w:val="00D85898"/>
    <w:rsid w:val="00D858B9"/>
    <w:rsid w:val="00D85B29"/>
    <w:rsid w:val="00D85B4D"/>
    <w:rsid w:val="00D85EE7"/>
    <w:rsid w:val="00D85FAF"/>
    <w:rsid w:val="00D8615D"/>
    <w:rsid w:val="00D861BD"/>
    <w:rsid w:val="00D861FA"/>
    <w:rsid w:val="00D8633B"/>
    <w:rsid w:val="00D86616"/>
    <w:rsid w:val="00D866EE"/>
    <w:rsid w:val="00D8672C"/>
    <w:rsid w:val="00D8685A"/>
    <w:rsid w:val="00D8687C"/>
    <w:rsid w:val="00D868C5"/>
    <w:rsid w:val="00D86AA2"/>
    <w:rsid w:val="00D86AD8"/>
    <w:rsid w:val="00D86C7D"/>
    <w:rsid w:val="00D86D5B"/>
    <w:rsid w:val="00D86E95"/>
    <w:rsid w:val="00D87009"/>
    <w:rsid w:val="00D8716A"/>
    <w:rsid w:val="00D872A9"/>
    <w:rsid w:val="00D872CE"/>
    <w:rsid w:val="00D873E6"/>
    <w:rsid w:val="00D8755B"/>
    <w:rsid w:val="00D87948"/>
    <w:rsid w:val="00D87955"/>
    <w:rsid w:val="00D87BA7"/>
    <w:rsid w:val="00D87C33"/>
    <w:rsid w:val="00D87CCE"/>
    <w:rsid w:val="00D87DD3"/>
    <w:rsid w:val="00D87E04"/>
    <w:rsid w:val="00D87E1F"/>
    <w:rsid w:val="00D902CC"/>
    <w:rsid w:val="00D902E2"/>
    <w:rsid w:val="00D903AF"/>
    <w:rsid w:val="00D904A6"/>
    <w:rsid w:val="00D90515"/>
    <w:rsid w:val="00D905C7"/>
    <w:rsid w:val="00D9063F"/>
    <w:rsid w:val="00D906EF"/>
    <w:rsid w:val="00D90B97"/>
    <w:rsid w:val="00D90BE3"/>
    <w:rsid w:val="00D90BF7"/>
    <w:rsid w:val="00D90CC3"/>
    <w:rsid w:val="00D90D7C"/>
    <w:rsid w:val="00D90E62"/>
    <w:rsid w:val="00D91165"/>
    <w:rsid w:val="00D91249"/>
    <w:rsid w:val="00D9128B"/>
    <w:rsid w:val="00D9155E"/>
    <w:rsid w:val="00D9159D"/>
    <w:rsid w:val="00D915C2"/>
    <w:rsid w:val="00D91627"/>
    <w:rsid w:val="00D91690"/>
    <w:rsid w:val="00D91756"/>
    <w:rsid w:val="00D91841"/>
    <w:rsid w:val="00D91877"/>
    <w:rsid w:val="00D91A1D"/>
    <w:rsid w:val="00D91B11"/>
    <w:rsid w:val="00D91BA7"/>
    <w:rsid w:val="00D91C32"/>
    <w:rsid w:val="00D91C9D"/>
    <w:rsid w:val="00D91CAE"/>
    <w:rsid w:val="00D91CCA"/>
    <w:rsid w:val="00D91CE3"/>
    <w:rsid w:val="00D91E9D"/>
    <w:rsid w:val="00D91EA0"/>
    <w:rsid w:val="00D91EBB"/>
    <w:rsid w:val="00D91FED"/>
    <w:rsid w:val="00D91FF7"/>
    <w:rsid w:val="00D9221D"/>
    <w:rsid w:val="00D9224D"/>
    <w:rsid w:val="00D92250"/>
    <w:rsid w:val="00D9234C"/>
    <w:rsid w:val="00D92372"/>
    <w:rsid w:val="00D923FE"/>
    <w:rsid w:val="00D92436"/>
    <w:rsid w:val="00D925AD"/>
    <w:rsid w:val="00D9266B"/>
    <w:rsid w:val="00D92829"/>
    <w:rsid w:val="00D92A15"/>
    <w:rsid w:val="00D92AC9"/>
    <w:rsid w:val="00D92B9F"/>
    <w:rsid w:val="00D92CB3"/>
    <w:rsid w:val="00D92DD0"/>
    <w:rsid w:val="00D92E6B"/>
    <w:rsid w:val="00D92FEC"/>
    <w:rsid w:val="00D931BC"/>
    <w:rsid w:val="00D933F6"/>
    <w:rsid w:val="00D9354C"/>
    <w:rsid w:val="00D93627"/>
    <w:rsid w:val="00D936BD"/>
    <w:rsid w:val="00D937BA"/>
    <w:rsid w:val="00D938A3"/>
    <w:rsid w:val="00D93BB8"/>
    <w:rsid w:val="00D93C94"/>
    <w:rsid w:val="00D93D1A"/>
    <w:rsid w:val="00D93DF0"/>
    <w:rsid w:val="00D93FA2"/>
    <w:rsid w:val="00D94192"/>
    <w:rsid w:val="00D944C0"/>
    <w:rsid w:val="00D94656"/>
    <w:rsid w:val="00D946B9"/>
    <w:rsid w:val="00D947D2"/>
    <w:rsid w:val="00D94852"/>
    <w:rsid w:val="00D949DA"/>
    <w:rsid w:val="00D94B57"/>
    <w:rsid w:val="00D94B87"/>
    <w:rsid w:val="00D94C06"/>
    <w:rsid w:val="00D94C1B"/>
    <w:rsid w:val="00D94D02"/>
    <w:rsid w:val="00D94ED0"/>
    <w:rsid w:val="00D95221"/>
    <w:rsid w:val="00D952DE"/>
    <w:rsid w:val="00D9542B"/>
    <w:rsid w:val="00D957B3"/>
    <w:rsid w:val="00D957DA"/>
    <w:rsid w:val="00D958D1"/>
    <w:rsid w:val="00D95AB1"/>
    <w:rsid w:val="00D95C6C"/>
    <w:rsid w:val="00D95D29"/>
    <w:rsid w:val="00D95DD0"/>
    <w:rsid w:val="00D95E04"/>
    <w:rsid w:val="00D95EF1"/>
    <w:rsid w:val="00D9604E"/>
    <w:rsid w:val="00D960BB"/>
    <w:rsid w:val="00D960D1"/>
    <w:rsid w:val="00D96126"/>
    <w:rsid w:val="00D9627A"/>
    <w:rsid w:val="00D964AC"/>
    <w:rsid w:val="00D967E1"/>
    <w:rsid w:val="00D968E8"/>
    <w:rsid w:val="00D969BE"/>
    <w:rsid w:val="00D96B08"/>
    <w:rsid w:val="00D96B15"/>
    <w:rsid w:val="00D96B3E"/>
    <w:rsid w:val="00D96C28"/>
    <w:rsid w:val="00D96C2E"/>
    <w:rsid w:val="00D96DA4"/>
    <w:rsid w:val="00D96DAD"/>
    <w:rsid w:val="00D96EA7"/>
    <w:rsid w:val="00D96F71"/>
    <w:rsid w:val="00D971C8"/>
    <w:rsid w:val="00D971DF"/>
    <w:rsid w:val="00D9746B"/>
    <w:rsid w:val="00D974AB"/>
    <w:rsid w:val="00D974BE"/>
    <w:rsid w:val="00D9751F"/>
    <w:rsid w:val="00D978E8"/>
    <w:rsid w:val="00D979BA"/>
    <w:rsid w:val="00D97B40"/>
    <w:rsid w:val="00D97C06"/>
    <w:rsid w:val="00D97DC1"/>
    <w:rsid w:val="00D97E32"/>
    <w:rsid w:val="00D97F0F"/>
    <w:rsid w:val="00D97FB2"/>
    <w:rsid w:val="00D97FB7"/>
    <w:rsid w:val="00DA0054"/>
    <w:rsid w:val="00DA009F"/>
    <w:rsid w:val="00DA0176"/>
    <w:rsid w:val="00DA0475"/>
    <w:rsid w:val="00DA047C"/>
    <w:rsid w:val="00DA074A"/>
    <w:rsid w:val="00DA0761"/>
    <w:rsid w:val="00DA09CB"/>
    <w:rsid w:val="00DA0B6D"/>
    <w:rsid w:val="00DA0CCB"/>
    <w:rsid w:val="00DA0F11"/>
    <w:rsid w:val="00DA0F56"/>
    <w:rsid w:val="00DA0F81"/>
    <w:rsid w:val="00DA0FAC"/>
    <w:rsid w:val="00DA0FE1"/>
    <w:rsid w:val="00DA1007"/>
    <w:rsid w:val="00DA1120"/>
    <w:rsid w:val="00DA120C"/>
    <w:rsid w:val="00DA1219"/>
    <w:rsid w:val="00DA1221"/>
    <w:rsid w:val="00DA1257"/>
    <w:rsid w:val="00DA1321"/>
    <w:rsid w:val="00DA1634"/>
    <w:rsid w:val="00DA1663"/>
    <w:rsid w:val="00DA16AB"/>
    <w:rsid w:val="00DA171A"/>
    <w:rsid w:val="00DA173A"/>
    <w:rsid w:val="00DA1876"/>
    <w:rsid w:val="00DA198D"/>
    <w:rsid w:val="00DA1FC4"/>
    <w:rsid w:val="00DA1FFD"/>
    <w:rsid w:val="00DA207C"/>
    <w:rsid w:val="00DA20DF"/>
    <w:rsid w:val="00DA219F"/>
    <w:rsid w:val="00DA2386"/>
    <w:rsid w:val="00DA245F"/>
    <w:rsid w:val="00DA2486"/>
    <w:rsid w:val="00DA24F5"/>
    <w:rsid w:val="00DA2523"/>
    <w:rsid w:val="00DA259D"/>
    <w:rsid w:val="00DA25C0"/>
    <w:rsid w:val="00DA261F"/>
    <w:rsid w:val="00DA2634"/>
    <w:rsid w:val="00DA2693"/>
    <w:rsid w:val="00DA26B9"/>
    <w:rsid w:val="00DA275F"/>
    <w:rsid w:val="00DA2A5A"/>
    <w:rsid w:val="00DA2C61"/>
    <w:rsid w:val="00DA2C76"/>
    <w:rsid w:val="00DA2D94"/>
    <w:rsid w:val="00DA2F78"/>
    <w:rsid w:val="00DA2F91"/>
    <w:rsid w:val="00DA309A"/>
    <w:rsid w:val="00DA334B"/>
    <w:rsid w:val="00DA33C7"/>
    <w:rsid w:val="00DA3621"/>
    <w:rsid w:val="00DA36A9"/>
    <w:rsid w:val="00DA36DD"/>
    <w:rsid w:val="00DA3822"/>
    <w:rsid w:val="00DA3873"/>
    <w:rsid w:val="00DA394D"/>
    <w:rsid w:val="00DA3BCC"/>
    <w:rsid w:val="00DA3BF6"/>
    <w:rsid w:val="00DA3BF7"/>
    <w:rsid w:val="00DA3C43"/>
    <w:rsid w:val="00DA3C97"/>
    <w:rsid w:val="00DA3CD5"/>
    <w:rsid w:val="00DA3D25"/>
    <w:rsid w:val="00DA3F1A"/>
    <w:rsid w:val="00DA4014"/>
    <w:rsid w:val="00DA4242"/>
    <w:rsid w:val="00DA4266"/>
    <w:rsid w:val="00DA42C7"/>
    <w:rsid w:val="00DA45DF"/>
    <w:rsid w:val="00DA4885"/>
    <w:rsid w:val="00DA4973"/>
    <w:rsid w:val="00DA4B45"/>
    <w:rsid w:val="00DA4CD5"/>
    <w:rsid w:val="00DA4DAC"/>
    <w:rsid w:val="00DA502F"/>
    <w:rsid w:val="00DA5072"/>
    <w:rsid w:val="00DA50C1"/>
    <w:rsid w:val="00DA52FC"/>
    <w:rsid w:val="00DA5332"/>
    <w:rsid w:val="00DA54B5"/>
    <w:rsid w:val="00DA54ED"/>
    <w:rsid w:val="00DA55F2"/>
    <w:rsid w:val="00DA5681"/>
    <w:rsid w:val="00DA56D1"/>
    <w:rsid w:val="00DA5706"/>
    <w:rsid w:val="00DA57DB"/>
    <w:rsid w:val="00DA5861"/>
    <w:rsid w:val="00DA5862"/>
    <w:rsid w:val="00DA5888"/>
    <w:rsid w:val="00DA59F3"/>
    <w:rsid w:val="00DA5A43"/>
    <w:rsid w:val="00DA5C36"/>
    <w:rsid w:val="00DA5DD7"/>
    <w:rsid w:val="00DA5EBC"/>
    <w:rsid w:val="00DA60EA"/>
    <w:rsid w:val="00DA60F5"/>
    <w:rsid w:val="00DA6212"/>
    <w:rsid w:val="00DA621A"/>
    <w:rsid w:val="00DA64C0"/>
    <w:rsid w:val="00DA64D9"/>
    <w:rsid w:val="00DA64ED"/>
    <w:rsid w:val="00DA6530"/>
    <w:rsid w:val="00DA6945"/>
    <w:rsid w:val="00DA69CF"/>
    <w:rsid w:val="00DA6D3B"/>
    <w:rsid w:val="00DA6D9F"/>
    <w:rsid w:val="00DA6DCD"/>
    <w:rsid w:val="00DA6E38"/>
    <w:rsid w:val="00DA6F84"/>
    <w:rsid w:val="00DA70C3"/>
    <w:rsid w:val="00DA7141"/>
    <w:rsid w:val="00DA7225"/>
    <w:rsid w:val="00DA727C"/>
    <w:rsid w:val="00DA731A"/>
    <w:rsid w:val="00DA73A5"/>
    <w:rsid w:val="00DA745A"/>
    <w:rsid w:val="00DA74D5"/>
    <w:rsid w:val="00DA7930"/>
    <w:rsid w:val="00DA79BF"/>
    <w:rsid w:val="00DA7BB4"/>
    <w:rsid w:val="00DA7BD4"/>
    <w:rsid w:val="00DA7C27"/>
    <w:rsid w:val="00DA7D25"/>
    <w:rsid w:val="00DA7D7A"/>
    <w:rsid w:val="00DA7EF7"/>
    <w:rsid w:val="00DA7FCF"/>
    <w:rsid w:val="00DB00A5"/>
    <w:rsid w:val="00DB01B3"/>
    <w:rsid w:val="00DB0204"/>
    <w:rsid w:val="00DB0240"/>
    <w:rsid w:val="00DB046B"/>
    <w:rsid w:val="00DB04A9"/>
    <w:rsid w:val="00DB0593"/>
    <w:rsid w:val="00DB05D9"/>
    <w:rsid w:val="00DB09FC"/>
    <w:rsid w:val="00DB0A38"/>
    <w:rsid w:val="00DB0B44"/>
    <w:rsid w:val="00DB0B65"/>
    <w:rsid w:val="00DB0C8E"/>
    <w:rsid w:val="00DB0CFF"/>
    <w:rsid w:val="00DB0D83"/>
    <w:rsid w:val="00DB0DD7"/>
    <w:rsid w:val="00DB10F9"/>
    <w:rsid w:val="00DB11B0"/>
    <w:rsid w:val="00DB124F"/>
    <w:rsid w:val="00DB126E"/>
    <w:rsid w:val="00DB1562"/>
    <w:rsid w:val="00DB1581"/>
    <w:rsid w:val="00DB1594"/>
    <w:rsid w:val="00DB1601"/>
    <w:rsid w:val="00DB1689"/>
    <w:rsid w:val="00DB16B4"/>
    <w:rsid w:val="00DB1908"/>
    <w:rsid w:val="00DB1950"/>
    <w:rsid w:val="00DB1BBD"/>
    <w:rsid w:val="00DB1E4A"/>
    <w:rsid w:val="00DB25F7"/>
    <w:rsid w:val="00DB260F"/>
    <w:rsid w:val="00DB2862"/>
    <w:rsid w:val="00DB2BE2"/>
    <w:rsid w:val="00DB2CC6"/>
    <w:rsid w:val="00DB2D09"/>
    <w:rsid w:val="00DB2E89"/>
    <w:rsid w:val="00DB2F43"/>
    <w:rsid w:val="00DB2F76"/>
    <w:rsid w:val="00DB30B4"/>
    <w:rsid w:val="00DB3205"/>
    <w:rsid w:val="00DB3221"/>
    <w:rsid w:val="00DB33FF"/>
    <w:rsid w:val="00DB3421"/>
    <w:rsid w:val="00DB34E2"/>
    <w:rsid w:val="00DB3776"/>
    <w:rsid w:val="00DB3843"/>
    <w:rsid w:val="00DB389B"/>
    <w:rsid w:val="00DB38F0"/>
    <w:rsid w:val="00DB3974"/>
    <w:rsid w:val="00DB39E6"/>
    <w:rsid w:val="00DB3A6E"/>
    <w:rsid w:val="00DB3BEF"/>
    <w:rsid w:val="00DB3CF6"/>
    <w:rsid w:val="00DB3D17"/>
    <w:rsid w:val="00DB3D64"/>
    <w:rsid w:val="00DB3DA8"/>
    <w:rsid w:val="00DB3EAD"/>
    <w:rsid w:val="00DB3F58"/>
    <w:rsid w:val="00DB3F97"/>
    <w:rsid w:val="00DB41CD"/>
    <w:rsid w:val="00DB44A9"/>
    <w:rsid w:val="00DB45A9"/>
    <w:rsid w:val="00DB4665"/>
    <w:rsid w:val="00DB47BA"/>
    <w:rsid w:val="00DB48C1"/>
    <w:rsid w:val="00DB4A0D"/>
    <w:rsid w:val="00DB4AA1"/>
    <w:rsid w:val="00DB4C5D"/>
    <w:rsid w:val="00DB4C7B"/>
    <w:rsid w:val="00DB4CDE"/>
    <w:rsid w:val="00DB4D07"/>
    <w:rsid w:val="00DB4EA4"/>
    <w:rsid w:val="00DB5170"/>
    <w:rsid w:val="00DB5176"/>
    <w:rsid w:val="00DB5295"/>
    <w:rsid w:val="00DB52E2"/>
    <w:rsid w:val="00DB52EF"/>
    <w:rsid w:val="00DB543B"/>
    <w:rsid w:val="00DB549D"/>
    <w:rsid w:val="00DB54D7"/>
    <w:rsid w:val="00DB5524"/>
    <w:rsid w:val="00DB5532"/>
    <w:rsid w:val="00DB5588"/>
    <w:rsid w:val="00DB5697"/>
    <w:rsid w:val="00DB598A"/>
    <w:rsid w:val="00DB5B91"/>
    <w:rsid w:val="00DB5CFF"/>
    <w:rsid w:val="00DB5DA9"/>
    <w:rsid w:val="00DB5DD3"/>
    <w:rsid w:val="00DB61A0"/>
    <w:rsid w:val="00DB64D6"/>
    <w:rsid w:val="00DB651A"/>
    <w:rsid w:val="00DB65C5"/>
    <w:rsid w:val="00DB67B9"/>
    <w:rsid w:val="00DB6876"/>
    <w:rsid w:val="00DB6997"/>
    <w:rsid w:val="00DB69A2"/>
    <w:rsid w:val="00DB6B44"/>
    <w:rsid w:val="00DB6B54"/>
    <w:rsid w:val="00DB6C42"/>
    <w:rsid w:val="00DB6CA1"/>
    <w:rsid w:val="00DB6CB2"/>
    <w:rsid w:val="00DB6DB0"/>
    <w:rsid w:val="00DB6E11"/>
    <w:rsid w:val="00DB6EEF"/>
    <w:rsid w:val="00DB6F6C"/>
    <w:rsid w:val="00DB705C"/>
    <w:rsid w:val="00DB7637"/>
    <w:rsid w:val="00DB77B1"/>
    <w:rsid w:val="00DB7D00"/>
    <w:rsid w:val="00DB7EE1"/>
    <w:rsid w:val="00DC0102"/>
    <w:rsid w:val="00DC011D"/>
    <w:rsid w:val="00DC01C7"/>
    <w:rsid w:val="00DC01D7"/>
    <w:rsid w:val="00DC03A9"/>
    <w:rsid w:val="00DC048D"/>
    <w:rsid w:val="00DC05E5"/>
    <w:rsid w:val="00DC0604"/>
    <w:rsid w:val="00DC0624"/>
    <w:rsid w:val="00DC0659"/>
    <w:rsid w:val="00DC06EF"/>
    <w:rsid w:val="00DC08DC"/>
    <w:rsid w:val="00DC0CBB"/>
    <w:rsid w:val="00DC0CFE"/>
    <w:rsid w:val="00DC0D01"/>
    <w:rsid w:val="00DC0DD5"/>
    <w:rsid w:val="00DC0F98"/>
    <w:rsid w:val="00DC107E"/>
    <w:rsid w:val="00DC115E"/>
    <w:rsid w:val="00DC120E"/>
    <w:rsid w:val="00DC1230"/>
    <w:rsid w:val="00DC1270"/>
    <w:rsid w:val="00DC1499"/>
    <w:rsid w:val="00DC1726"/>
    <w:rsid w:val="00DC1814"/>
    <w:rsid w:val="00DC1920"/>
    <w:rsid w:val="00DC1D35"/>
    <w:rsid w:val="00DC1E05"/>
    <w:rsid w:val="00DC201E"/>
    <w:rsid w:val="00DC21D5"/>
    <w:rsid w:val="00DC2231"/>
    <w:rsid w:val="00DC2234"/>
    <w:rsid w:val="00DC236B"/>
    <w:rsid w:val="00DC236C"/>
    <w:rsid w:val="00DC2511"/>
    <w:rsid w:val="00DC2566"/>
    <w:rsid w:val="00DC2570"/>
    <w:rsid w:val="00DC25FC"/>
    <w:rsid w:val="00DC264D"/>
    <w:rsid w:val="00DC26DB"/>
    <w:rsid w:val="00DC2736"/>
    <w:rsid w:val="00DC275C"/>
    <w:rsid w:val="00DC281C"/>
    <w:rsid w:val="00DC2A34"/>
    <w:rsid w:val="00DC2B3C"/>
    <w:rsid w:val="00DC31FE"/>
    <w:rsid w:val="00DC3287"/>
    <w:rsid w:val="00DC3340"/>
    <w:rsid w:val="00DC3476"/>
    <w:rsid w:val="00DC354F"/>
    <w:rsid w:val="00DC35F7"/>
    <w:rsid w:val="00DC37B2"/>
    <w:rsid w:val="00DC37BF"/>
    <w:rsid w:val="00DC37EB"/>
    <w:rsid w:val="00DC3967"/>
    <w:rsid w:val="00DC3AF5"/>
    <w:rsid w:val="00DC3AFD"/>
    <w:rsid w:val="00DC3F16"/>
    <w:rsid w:val="00DC41C4"/>
    <w:rsid w:val="00DC4253"/>
    <w:rsid w:val="00DC42EC"/>
    <w:rsid w:val="00DC4330"/>
    <w:rsid w:val="00DC43EB"/>
    <w:rsid w:val="00DC4446"/>
    <w:rsid w:val="00DC49C9"/>
    <w:rsid w:val="00DC4A11"/>
    <w:rsid w:val="00DC4A54"/>
    <w:rsid w:val="00DC4CF4"/>
    <w:rsid w:val="00DC4FF5"/>
    <w:rsid w:val="00DC521C"/>
    <w:rsid w:val="00DC521D"/>
    <w:rsid w:val="00DC5310"/>
    <w:rsid w:val="00DC5319"/>
    <w:rsid w:val="00DC54CD"/>
    <w:rsid w:val="00DC57A8"/>
    <w:rsid w:val="00DC5AA8"/>
    <w:rsid w:val="00DC5B8F"/>
    <w:rsid w:val="00DC5E2C"/>
    <w:rsid w:val="00DC5EA7"/>
    <w:rsid w:val="00DC5FA5"/>
    <w:rsid w:val="00DC6020"/>
    <w:rsid w:val="00DC61A7"/>
    <w:rsid w:val="00DC61FC"/>
    <w:rsid w:val="00DC6202"/>
    <w:rsid w:val="00DC631E"/>
    <w:rsid w:val="00DC6342"/>
    <w:rsid w:val="00DC63D7"/>
    <w:rsid w:val="00DC6442"/>
    <w:rsid w:val="00DC6546"/>
    <w:rsid w:val="00DC655E"/>
    <w:rsid w:val="00DC6609"/>
    <w:rsid w:val="00DC6652"/>
    <w:rsid w:val="00DC6727"/>
    <w:rsid w:val="00DC6749"/>
    <w:rsid w:val="00DC6810"/>
    <w:rsid w:val="00DC6BBC"/>
    <w:rsid w:val="00DC741F"/>
    <w:rsid w:val="00DC7444"/>
    <w:rsid w:val="00DC7499"/>
    <w:rsid w:val="00DC753D"/>
    <w:rsid w:val="00DC7553"/>
    <w:rsid w:val="00DC7A15"/>
    <w:rsid w:val="00DC7AE3"/>
    <w:rsid w:val="00DC7AFD"/>
    <w:rsid w:val="00DC7CB8"/>
    <w:rsid w:val="00DC7D30"/>
    <w:rsid w:val="00DC7E6C"/>
    <w:rsid w:val="00DC7EB0"/>
    <w:rsid w:val="00DC7FA9"/>
    <w:rsid w:val="00DC7FD9"/>
    <w:rsid w:val="00DD0084"/>
    <w:rsid w:val="00DD011C"/>
    <w:rsid w:val="00DD01BC"/>
    <w:rsid w:val="00DD042A"/>
    <w:rsid w:val="00DD0573"/>
    <w:rsid w:val="00DD0670"/>
    <w:rsid w:val="00DD07B9"/>
    <w:rsid w:val="00DD0991"/>
    <w:rsid w:val="00DD0B5F"/>
    <w:rsid w:val="00DD0CD3"/>
    <w:rsid w:val="00DD0E03"/>
    <w:rsid w:val="00DD0EC0"/>
    <w:rsid w:val="00DD0F0E"/>
    <w:rsid w:val="00DD0F1C"/>
    <w:rsid w:val="00DD10E5"/>
    <w:rsid w:val="00DD1308"/>
    <w:rsid w:val="00DD13A4"/>
    <w:rsid w:val="00DD13B8"/>
    <w:rsid w:val="00DD149C"/>
    <w:rsid w:val="00DD14B5"/>
    <w:rsid w:val="00DD15B3"/>
    <w:rsid w:val="00DD16BF"/>
    <w:rsid w:val="00DD1718"/>
    <w:rsid w:val="00DD1764"/>
    <w:rsid w:val="00DD188E"/>
    <w:rsid w:val="00DD1971"/>
    <w:rsid w:val="00DD1A0B"/>
    <w:rsid w:val="00DD1B26"/>
    <w:rsid w:val="00DD1BE4"/>
    <w:rsid w:val="00DD1DAD"/>
    <w:rsid w:val="00DD1FF8"/>
    <w:rsid w:val="00DD210D"/>
    <w:rsid w:val="00DD2156"/>
    <w:rsid w:val="00DD2163"/>
    <w:rsid w:val="00DD2328"/>
    <w:rsid w:val="00DD23F6"/>
    <w:rsid w:val="00DD2425"/>
    <w:rsid w:val="00DD242A"/>
    <w:rsid w:val="00DD24C0"/>
    <w:rsid w:val="00DD259F"/>
    <w:rsid w:val="00DD25F4"/>
    <w:rsid w:val="00DD2795"/>
    <w:rsid w:val="00DD2A52"/>
    <w:rsid w:val="00DD2B94"/>
    <w:rsid w:val="00DD2D48"/>
    <w:rsid w:val="00DD2DF7"/>
    <w:rsid w:val="00DD2EA7"/>
    <w:rsid w:val="00DD2F48"/>
    <w:rsid w:val="00DD30B2"/>
    <w:rsid w:val="00DD3100"/>
    <w:rsid w:val="00DD3220"/>
    <w:rsid w:val="00DD323A"/>
    <w:rsid w:val="00DD32FB"/>
    <w:rsid w:val="00DD3741"/>
    <w:rsid w:val="00DD37BE"/>
    <w:rsid w:val="00DD388B"/>
    <w:rsid w:val="00DD3906"/>
    <w:rsid w:val="00DD39F3"/>
    <w:rsid w:val="00DD3BDC"/>
    <w:rsid w:val="00DD3D06"/>
    <w:rsid w:val="00DD40EA"/>
    <w:rsid w:val="00DD4115"/>
    <w:rsid w:val="00DD4118"/>
    <w:rsid w:val="00DD420A"/>
    <w:rsid w:val="00DD42EE"/>
    <w:rsid w:val="00DD4363"/>
    <w:rsid w:val="00DD436D"/>
    <w:rsid w:val="00DD4422"/>
    <w:rsid w:val="00DD445A"/>
    <w:rsid w:val="00DD4684"/>
    <w:rsid w:val="00DD47D4"/>
    <w:rsid w:val="00DD48F5"/>
    <w:rsid w:val="00DD4916"/>
    <w:rsid w:val="00DD4A8B"/>
    <w:rsid w:val="00DD4AF0"/>
    <w:rsid w:val="00DD4CE9"/>
    <w:rsid w:val="00DD4CFB"/>
    <w:rsid w:val="00DD4E4C"/>
    <w:rsid w:val="00DD4FC9"/>
    <w:rsid w:val="00DD50C3"/>
    <w:rsid w:val="00DD52D4"/>
    <w:rsid w:val="00DD536C"/>
    <w:rsid w:val="00DD54F8"/>
    <w:rsid w:val="00DD557F"/>
    <w:rsid w:val="00DD55A9"/>
    <w:rsid w:val="00DD5636"/>
    <w:rsid w:val="00DD56CA"/>
    <w:rsid w:val="00DD5761"/>
    <w:rsid w:val="00DD57DE"/>
    <w:rsid w:val="00DD58B1"/>
    <w:rsid w:val="00DD590A"/>
    <w:rsid w:val="00DD5A33"/>
    <w:rsid w:val="00DD5AA7"/>
    <w:rsid w:val="00DD5BDF"/>
    <w:rsid w:val="00DD5BE7"/>
    <w:rsid w:val="00DD5C72"/>
    <w:rsid w:val="00DD5EA8"/>
    <w:rsid w:val="00DD60E6"/>
    <w:rsid w:val="00DD620D"/>
    <w:rsid w:val="00DD6323"/>
    <w:rsid w:val="00DD6699"/>
    <w:rsid w:val="00DD680D"/>
    <w:rsid w:val="00DD6973"/>
    <w:rsid w:val="00DD6997"/>
    <w:rsid w:val="00DD6ABF"/>
    <w:rsid w:val="00DD6ACD"/>
    <w:rsid w:val="00DD6B76"/>
    <w:rsid w:val="00DD6C5D"/>
    <w:rsid w:val="00DD6F36"/>
    <w:rsid w:val="00DD6FA3"/>
    <w:rsid w:val="00DD7119"/>
    <w:rsid w:val="00DD72D7"/>
    <w:rsid w:val="00DD76B3"/>
    <w:rsid w:val="00DD771A"/>
    <w:rsid w:val="00DD7734"/>
    <w:rsid w:val="00DD77F9"/>
    <w:rsid w:val="00DD7872"/>
    <w:rsid w:val="00DD787D"/>
    <w:rsid w:val="00DD7969"/>
    <w:rsid w:val="00DD799D"/>
    <w:rsid w:val="00DD7AED"/>
    <w:rsid w:val="00DD7B1B"/>
    <w:rsid w:val="00DD7C62"/>
    <w:rsid w:val="00DD7C70"/>
    <w:rsid w:val="00DD7D05"/>
    <w:rsid w:val="00DD7E82"/>
    <w:rsid w:val="00DD7F6A"/>
    <w:rsid w:val="00DE002B"/>
    <w:rsid w:val="00DE0367"/>
    <w:rsid w:val="00DE0593"/>
    <w:rsid w:val="00DE05B1"/>
    <w:rsid w:val="00DE0648"/>
    <w:rsid w:val="00DE07FA"/>
    <w:rsid w:val="00DE0919"/>
    <w:rsid w:val="00DE0925"/>
    <w:rsid w:val="00DE0937"/>
    <w:rsid w:val="00DE0B09"/>
    <w:rsid w:val="00DE0C2D"/>
    <w:rsid w:val="00DE0DDE"/>
    <w:rsid w:val="00DE0E64"/>
    <w:rsid w:val="00DE0F71"/>
    <w:rsid w:val="00DE1008"/>
    <w:rsid w:val="00DE1100"/>
    <w:rsid w:val="00DE1103"/>
    <w:rsid w:val="00DE1133"/>
    <w:rsid w:val="00DE11C9"/>
    <w:rsid w:val="00DE139E"/>
    <w:rsid w:val="00DE14EF"/>
    <w:rsid w:val="00DE14FF"/>
    <w:rsid w:val="00DE16BE"/>
    <w:rsid w:val="00DE1831"/>
    <w:rsid w:val="00DE183D"/>
    <w:rsid w:val="00DE18BB"/>
    <w:rsid w:val="00DE1C73"/>
    <w:rsid w:val="00DE1CB3"/>
    <w:rsid w:val="00DE1E2F"/>
    <w:rsid w:val="00DE1E7E"/>
    <w:rsid w:val="00DE1F13"/>
    <w:rsid w:val="00DE2165"/>
    <w:rsid w:val="00DE21AF"/>
    <w:rsid w:val="00DE25B4"/>
    <w:rsid w:val="00DE2739"/>
    <w:rsid w:val="00DE285B"/>
    <w:rsid w:val="00DE2914"/>
    <w:rsid w:val="00DE29C5"/>
    <w:rsid w:val="00DE29D1"/>
    <w:rsid w:val="00DE2A6A"/>
    <w:rsid w:val="00DE2AC8"/>
    <w:rsid w:val="00DE2AEA"/>
    <w:rsid w:val="00DE2B13"/>
    <w:rsid w:val="00DE2BAE"/>
    <w:rsid w:val="00DE2D18"/>
    <w:rsid w:val="00DE2DB9"/>
    <w:rsid w:val="00DE302D"/>
    <w:rsid w:val="00DE303C"/>
    <w:rsid w:val="00DE30F2"/>
    <w:rsid w:val="00DE30F6"/>
    <w:rsid w:val="00DE3252"/>
    <w:rsid w:val="00DE33E7"/>
    <w:rsid w:val="00DE342D"/>
    <w:rsid w:val="00DE34C5"/>
    <w:rsid w:val="00DE3508"/>
    <w:rsid w:val="00DE354D"/>
    <w:rsid w:val="00DE3718"/>
    <w:rsid w:val="00DE3749"/>
    <w:rsid w:val="00DE39E4"/>
    <w:rsid w:val="00DE3A0C"/>
    <w:rsid w:val="00DE3A8E"/>
    <w:rsid w:val="00DE3B32"/>
    <w:rsid w:val="00DE3B36"/>
    <w:rsid w:val="00DE3C41"/>
    <w:rsid w:val="00DE4042"/>
    <w:rsid w:val="00DE4233"/>
    <w:rsid w:val="00DE4499"/>
    <w:rsid w:val="00DE44EA"/>
    <w:rsid w:val="00DE4531"/>
    <w:rsid w:val="00DE45E1"/>
    <w:rsid w:val="00DE4672"/>
    <w:rsid w:val="00DE4864"/>
    <w:rsid w:val="00DE489C"/>
    <w:rsid w:val="00DE491C"/>
    <w:rsid w:val="00DE4C7F"/>
    <w:rsid w:val="00DE4D74"/>
    <w:rsid w:val="00DE4E32"/>
    <w:rsid w:val="00DE4E86"/>
    <w:rsid w:val="00DE5050"/>
    <w:rsid w:val="00DE52B8"/>
    <w:rsid w:val="00DE5431"/>
    <w:rsid w:val="00DE577B"/>
    <w:rsid w:val="00DE5B53"/>
    <w:rsid w:val="00DE5BAC"/>
    <w:rsid w:val="00DE5C4B"/>
    <w:rsid w:val="00DE5D54"/>
    <w:rsid w:val="00DE5DA1"/>
    <w:rsid w:val="00DE5DB1"/>
    <w:rsid w:val="00DE5F89"/>
    <w:rsid w:val="00DE6154"/>
    <w:rsid w:val="00DE6565"/>
    <w:rsid w:val="00DE66FA"/>
    <w:rsid w:val="00DE67B2"/>
    <w:rsid w:val="00DE6818"/>
    <w:rsid w:val="00DE6847"/>
    <w:rsid w:val="00DE6A38"/>
    <w:rsid w:val="00DE6CD5"/>
    <w:rsid w:val="00DE6D55"/>
    <w:rsid w:val="00DE6D57"/>
    <w:rsid w:val="00DE6F91"/>
    <w:rsid w:val="00DE7006"/>
    <w:rsid w:val="00DE7123"/>
    <w:rsid w:val="00DE72B3"/>
    <w:rsid w:val="00DE73DE"/>
    <w:rsid w:val="00DE7667"/>
    <w:rsid w:val="00DE7753"/>
    <w:rsid w:val="00DE77FF"/>
    <w:rsid w:val="00DE7826"/>
    <w:rsid w:val="00DE7827"/>
    <w:rsid w:val="00DE7BEB"/>
    <w:rsid w:val="00DE7BED"/>
    <w:rsid w:val="00DE7CFE"/>
    <w:rsid w:val="00DE7D5B"/>
    <w:rsid w:val="00DE7F7C"/>
    <w:rsid w:val="00DE7FA5"/>
    <w:rsid w:val="00DE7FEA"/>
    <w:rsid w:val="00DF00EA"/>
    <w:rsid w:val="00DF00FB"/>
    <w:rsid w:val="00DF015B"/>
    <w:rsid w:val="00DF02F2"/>
    <w:rsid w:val="00DF0356"/>
    <w:rsid w:val="00DF0471"/>
    <w:rsid w:val="00DF047E"/>
    <w:rsid w:val="00DF04E5"/>
    <w:rsid w:val="00DF0B5E"/>
    <w:rsid w:val="00DF0D97"/>
    <w:rsid w:val="00DF11A2"/>
    <w:rsid w:val="00DF17C6"/>
    <w:rsid w:val="00DF1978"/>
    <w:rsid w:val="00DF19EC"/>
    <w:rsid w:val="00DF1A3C"/>
    <w:rsid w:val="00DF1D33"/>
    <w:rsid w:val="00DF1DC1"/>
    <w:rsid w:val="00DF1EFF"/>
    <w:rsid w:val="00DF20D5"/>
    <w:rsid w:val="00DF2346"/>
    <w:rsid w:val="00DF23D5"/>
    <w:rsid w:val="00DF23DD"/>
    <w:rsid w:val="00DF252B"/>
    <w:rsid w:val="00DF256D"/>
    <w:rsid w:val="00DF25D2"/>
    <w:rsid w:val="00DF2621"/>
    <w:rsid w:val="00DF2700"/>
    <w:rsid w:val="00DF2784"/>
    <w:rsid w:val="00DF2791"/>
    <w:rsid w:val="00DF27DC"/>
    <w:rsid w:val="00DF27F9"/>
    <w:rsid w:val="00DF282A"/>
    <w:rsid w:val="00DF2A31"/>
    <w:rsid w:val="00DF2ABF"/>
    <w:rsid w:val="00DF2E84"/>
    <w:rsid w:val="00DF304B"/>
    <w:rsid w:val="00DF3213"/>
    <w:rsid w:val="00DF35C1"/>
    <w:rsid w:val="00DF35D0"/>
    <w:rsid w:val="00DF367C"/>
    <w:rsid w:val="00DF37A9"/>
    <w:rsid w:val="00DF390E"/>
    <w:rsid w:val="00DF3A96"/>
    <w:rsid w:val="00DF3D04"/>
    <w:rsid w:val="00DF3D8F"/>
    <w:rsid w:val="00DF3EE0"/>
    <w:rsid w:val="00DF4012"/>
    <w:rsid w:val="00DF42F4"/>
    <w:rsid w:val="00DF4419"/>
    <w:rsid w:val="00DF4574"/>
    <w:rsid w:val="00DF46F7"/>
    <w:rsid w:val="00DF48EB"/>
    <w:rsid w:val="00DF499D"/>
    <w:rsid w:val="00DF4A21"/>
    <w:rsid w:val="00DF4C3D"/>
    <w:rsid w:val="00DF4E4C"/>
    <w:rsid w:val="00DF4EC0"/>
    <w:rsid w:val="00DF4FA0"/>
    <w:rsid w:val="00DF5361"/>
    <w:rsid w:val="00DF5425"/>
    <w:rsid w:val="00DF554A"/>
    <w:rsid w:val="00DF5574"/>
    <w:rsid w:val="00DF557F"/>
    <w:rsid w:val="00DF56E2"/>
    <w:rsid w:val="00DF57EE"/>
    <w:rsid w:val="00DF580B"/>
    <w:rsid w:val="00DF59EC"/>
    <w:rsid w:val="00DF59F6"/>
    <w:rsid w:val="00DF5AD0"/>
    <w:rsid w:val="00DF5BB1"/>
    <w:rsid w:val="00DF5EA6"/>
    <w:rsid w:val="00DF5F22"/>
    <w:rsid w:val="00DF5F50"/>
    <w:rsid w:val="00DF6059"/>
    <w:rsid w:val="00DF6385"/>
    <w:rsid w:val="00DF6432"/>
    <w:rsid w:val="00DF6436"/>
    <w:rsid w:val="00DF657B"/>
    <w:rsid w:val="00DF66CB"/>
    <w:rsid w:val="00DF66D1"/>
    <w:rsid w:val="00DF6722"/>
    <w:rsid w:val="00DF67AB"/>
    <w:rsid w:val="00DF67CD"/>
    <w:rsid w:val="00DF6849"/>
    <w:rsid w:val="00DF6860"/>
    <w:rsid w:val="00DF6926"/>
    <w:rsid w:val="00DF6947"/>
    <w:rsid w:val="00DF6993"/>
    <w:rsid w:val="00DF6A00"/>
    <w:rsid w:val="00DF6ADB"/>
    <w:rsid w:val="00DF6B37"/>
    <w:rsid w:val="00DF6BCC"/>
    <w:rsid w:val="00DF6C19"/>
    <w:rsid w:val="00DF6C6A"/>
    <w:rsid w:val="00DF6CBA"/>
    <w:rsid w:val="00DF6D33"/>
    <w:rsid w:val="00DF6D3D"/>
    <w:rsid w:val="00DF6D6B"/>
    <w:rsid w:val="00DF6D80"/>
    <w:rsid w:val="00DF70A3"/>
    <w:rsid w:val="00DF717B"/>
    <w:rsid w:val="00DF7309"/>
    <w:rsid w:val="00DF7978"/>
    <w:rsid w:val="00DF7C7E"/>
    <w:rsid w:val="00DF7CD1"/>
    <w:rsid w:val="00DF7D35"/>
    <w:rsid w:val="00DF7D8A"/>
    <w:rsid w:val="00DF7DB9"/>
    <w:rsid w:val="00DF7DBA"/>
    <w:rsid w:val="00DF7E03"/>
    <w:rsid w:val="00DF7F18"/>
    <w:rsid w:val="00DF7FCD"/>
    <w:rsid w:val="00E00342"/>
    <w:rsid w:val="00E0037E"/>
    <w:rsid w:val="00E003CF"/>
    <w:rsid w:val="00E003EA"/>
    <w:rsid w:val="00E0047A"/>
    <w:rsid w:val="00E00998"/>
    <w:rsid w:val="00E00B4C"/>
    <w:rsid w:val="00E00BA6"/>
    <w:rsid w:val="00E00D19"/>
    <w:rsid w:val="00E00EF6"/>
    <w:rsid w:val="00E00F71"/>
    <w:rsid w:val="00E00FC7"/>
    <w:rsid w:val="00E01035"/>
    <w:rsid w:val="00E010AE"/>
    <w:rsid w:val="00E010D5"/>
    <w:rsid w:val="00E01140"/>
    <w:rsid w:val="00E01186"/>
    <w:rsid w:val="00E01249"/>
    <w:rsid w:val="00E013F9"/>
    <w:rsid w:val="00E01426"/>
    <w:rsid w:val="00E01582"/>
    <w:rsid w:val="00E0192E"/>
    <w:rsid w:val="00E019C8"/>
    <w:rsid w:val="00E01A78"/>
    <w:rsid w:val="00E01DC6"/>
    <w:rsid w:val="00E01FF2"/>
    <w:rsid w:val="00E020E9"/>
    <w:rsid w:val="00E0211B"/>
    <w:rsid w:val="00E02162"/>
    <w:rsid w:val="00E022D6"/>
    <w:rsid w:val="00E02767"/>
    <w:rsid w:val="00E0279F"/>
    <w:rsid w:val="00E027B8"/>
    <w:rsid w:val="00E0287C"/>
    <w:rsid w:val="00E02B68"/>
    <w:rsid w:val="00E02DCE"/>
    <w:rsid w:val="00E02EA3"/>
    <w:rsid w:val="00E02FC0"/>
    <w:rsid w:val="00E0311B"/>
    <w:rsid w:val="00E03251"/>
    <w:rsid w:val="00E03260"/>
    <w:rsid w:val="00E032ED"/>
    <w:rsid w:val="00E034BE"/>
    <w:rsid w:val="00E036E7"/>
    <w:rsid w:val="00E0386D"/>
    <w:rsid w:val="00E0388B"/>
    <w:rsid w:val="00E038CE"/>
    <w:rsid w:val="00E03A71"/>
    <w:rsid w:val="00E03AA3"/>
    <w:rsid w:val="00E03BFD"/>
    <w:rsid w:val="00E03C75"/>
    <w:rsid w:val="00E03C7D"/>
    <w:rsid w:val="00E03C8E"/>
    <w:rsid w:val="00E03CE6"/>
    <w:rsid w:val="00E03D75"/>
    <w:rsid w:val="00E03E5C"/>
    <w:rsid w:val="00E03FA3"/>
    <w:rsid w:val="00E04176"/>
    <w:rsid w:val="00E04266"/>
    <w:rsid w:val="00E042CA"/>
    <w:rsid w:val="00E044BF"/>
    <w:rsid w:val="00E045EC"/>
    <w:rsid w:val="00E047E5"/>
    <w:rsid w:val="00E0486E"/>
    <w:rsid w:val="00E049FF"/>
    <w:rsid w:val="00E04A72"/>
    <w:rsid w:val="00E04BC2"/>
    <w:rsid w:val="00E04C68"/>
    <w:rsid w:val="00E04D05"/>
    <w:rsid w:val="00E04D60"/>
    <w:rsid w:val="00E04DBE"/>
    <w:rsid w:val="00E04DDB"/>
    <w:rsid w:val="00E04F1D"/>
    <w:rsid w:val="00E04F90"/>
    <w:rsid w:val="00E04FD4"/>
    <w:rsid w:val="00E04FD9"/>
    <w:rsid w:val="00E05116"/>
    <w:rsid w:val="00E05135"/>
    <w:rsid w:val="00E05277"/>
    <w:rsid w:val="00E053A6"/>
    <w:rsid w:val="00E053B0"/>
    <w:rsid w:val="00E0553D"/>
    <w:rsid w:val="00E05559"/>
    <w:rsid w:val="00E0565F"/>
    <w:rsid w:val="00E056AD"/>
    <w:rsid w:val="00E05828"/>
    <w:rsid w:val="00E0591D"/>
    <w:rsid w:val="00E059EF"/>
    <w:rsid w:val="00E05B2E"/>
    <w:rsid w:val="00E05C02"/>
    <w:rsid w:val="00E05C25"/>
    <w:rsid w:val="00E05E5B"/>
    <w:rsid w:val="00E060EF"/>
    <w:rsid w:val="00E0615D"/>
    <w:rsid w:val="00E062A7"/>
    <w:rsid w:val="00E064D4"/>
    <w:rsid w:val="00E06513"/>
    <w:rsid w:val="00E06691"/>
    <w:rsid w:val="00E066EA"/>
    <w:rsid w:val="00E0670C"/>
    <w:rsid w:val="00E0677D"/>
    <w:rsid w:val="00E06798"/>
    <w:rsid w:val="00E0699C"/>
    <w:rsid w:val="00E06CB7"/>
    <w:rsid w:val="00E06D6F"/>
    <w:rsid w:val="00E06F27"/>
    <w:rsid w:val="00E06F3A"/>
    <w:rsid w:val="00E06F3D"/>
    <w:rsid w:val="00E06F55"/>
    <w:rsid w:val="00E0714C"/>
    <w:rsid w:val="00E071C1"/>
    <w:rsid w:val="00E07394"/>
    <w:rsid w:val="00E074B9"/>
    <w:rsid w:val="00E075A8"/>
    <w:rsid w:val="00E077DA"/>
    <w:rsid w:val="00E0785A"/>
    <w:rsid w:val="00E07937"/>
    <w:rsid w:val="00E07947"/>
    <w:rsid w:val="00E079D4"/>
    <w:rsid w:val="00E079EC"/>
    <w:rsid w:val="00E07A72"/>
    <w:rsid w:val="00E07AA3"/>
    <w:rsid w:val="00E07AA7"/>
    <w:rsid w:val="00E07B7F"/>
    <w:rsid w:val="00E07BF8"/>
    <w:rsid w:val="00E07E39"/>
    <w:rsid w:val="00E07F3F"/>
    <w:rsid w:val="00E07F71"/>
    <w:rsid w:val="00E07F94"/>
    <w:rsid w:val="00E1000B"/>
    <w:rsid w:val="00E10010"/>
    <w:rsid w:val="00E101B4"/>
    <w:rsid w:val="00E103D9"/>
    <w:rsid w:val="00E103F5"/>
    <w:rsid w:val="00E10427"/>
    <w:rsid w:val="00E10700"/>
    <w:rsid w:val="00E1084A"/>
    <w:rsid w:val="00E1089D"/>
    <w:rsid w:val="00E10A88"/>
    <w:rsid w:val="00E10AFD"/>
    <w:rsid w:val="00E10B24"/>
    <w:rsid w:val="00E10F89"/>
    <w:rsid w:val="00E11575"/>
    <w:rsid w:val="00E1161D"/>
    <w:rsid w:val="00E116B9"/>
    <w:rsid w:val="00E1186B"/>
    <w:rsid w:val="00E118A2"/>
    <w:rsid w:val="00E11908"/>
    <w:rsid w:val="00E11A7B"/>
    <w:rsid w:val="00E11ABF"/>
    <w:rsid w:val="00E11BA9"/>
    <w:rsid w:val="00E11C7E"/>
    <w:rsid w:val="00E11CA8"/>
    <w:rsid w:val="00E11D24"/>
    <w:rsid w:val="00E11EE1"/>
    <w:rsid w:val="00E122CC"/>
    <w:rsid w:val="00E12425"/>
    <w:rsid w:val="00E1244A"/>
    <w:rsid w:val="00E1262F"/>
    <w:rsid w:val="00E12693"/>
    <w:rsid w:val="00E126DA"/>
    <w:rsid w:val="00E127AA"/>
    <w:rsid w:val="00E12961"/>
    <w:rsid w:val="00E129E7"/>
    <w:rsid w:val="00E12A4D"/>
    <w:rsid w:val="00E12BE1"/>
    <w:rsid w:val="00E12C14"/>
    <w:rsid w:val="00E12DAD"/>
    <w:rsid w:val="00E12F1A"/>
    <w:rsid w:val="00E1300A"/>
    <w:rsid w:val="00E1300F"/>
    <w:rsid w:val="00E13584"/>
    <w:rsid w:val="00E1367A"/>
    <w:rsid w:val="00E1368B"/>
    <w:rsid w:val="00E136D6"/>
    <w:rsid w:val="00E136DF"/>
    <w:rsid w:val="00E136F4"/>
    <w:rsid w:val="00E13747"/>
    <w:rsid w:val="00E137F6"/>
    <w:rsid w:val="00E1381B"/>
    <w:rsid w:val="00E138A5"/>
    <w:rsid w:val="00E1396A"/>
    <w:rsid w:val="00E13976"/>
    <w:rsid w:val="00E13B09"/>
    <w:rsid w:val="00E13B20"/>
    <w:rsid w:val="00E13B4F"/>
    <w:rsid w:val="00E13C97"/>
    <w:rsid w:val="00E13CB4"/>
    <w:rsid w:val="00E13D77"/>
    <w:rsid w:val="00E1403F"/>
    <w:rsid w:val="00E1453D"/>
    <w:rsid w:val="00E14673"/>
    <w:rsid w:val="00E1473B"/>
    <w:rsid w:val="00E14951"/>
    <w:rsid w:val="00E149A8"/>
    <w:rsid w:val="00E14A05"/>
    <w:rsid w:val="00E14A8D"/>
    <w:rsid w:val="00E14AC5"/>
    <w:rsid w:val="00E14B99"/>
    <w:rsid w:val="00E14CE7"/>
    <w:rsid w:val="00E14D8C"/>
    <w:rsid w:val="00E14F59"/>
    <w:rsid w:val="00E15026"/>
    <w:rsid w:val="00E15115"/>
    <w:rsid w:val="00E15230"/>
    <w:rsid w:val="00E1525D"/>
    <w:rsid w:val="00E1567C"/>
    <w:rsid w:val="00E158E1"/>
    <w:rsid w:val="00E1595A"/>
    <w:rsid w:val="00E1598B"/>
    <w:rsid w:val="00E15991"/>
    <w:rsid w:val="00E15B2D"/>
    <w:rsid w:val="00E15BC1"/>
    <w:rsid w:val="00E15FE3"/>
    <w:rsid w:val="00E16046"/>
    <w:rsid w:val="00E1627B"/>
    <w:rsid w:val="00E16543"/>
    <w:rsid w:val="00E16575"/>
    <w:rsid w:val="00E1658E"/>
    <w:rsid w:val="00E16871"/>
    <w:rsid w:val="00E168EA"/>
    <w:rsid w:val="00E16B25"/>
    <w:rsid w:val="00E16B9D"/>
    <w:rsid w:val="00E16C7C"/>
    <w:rsid w:val="00E16DE6"/>
    <w:rsid w:val="00E16E61"/>
    <w:rsid w:val="00E16E79"/>
    <w:rsid w:val="00E16E8D"/>
    <w:rsid w:val="00E1707E"/>
    <w:rsid w:val="00E17155"/>
    <w:rsid w:val="00E171C6"/>
    <w:rsid w:val="00E17259"/>
    <w:rsid w:val="00E172FE"/>
    <w:rsid w:val="00E17647"/>
    <w:rsid w:val="00E1775C"/>
    <w:rsid w:val="00E17ABE"/>
    <w:rsid w:val="00E17AC1"/>
    <w:rsid w:val="00E17C96"/>
    <w:rsid w:val="00E17D84"/>
    <w:rsid w:val="00E17E19"/>
    <w:rsid w:val="00E17EFA"/>
    <w:rsid w:val="00E17F4F"/>
    <w:rsid w:val="00E1EC78"/>
    <w:rsid w:val="00E20013"/>
    <w:rsid w:val="00E200EA"/>
    <w:rsid w:val="00E200F6"/>
    <w:rsid w:val="00E20107"/>
    <w:rsid w:val="00E2017B"/>
    <w:rsid w:val="00E202EB"/>
    <w:rsid w:val="00E20345"/>
    <w:rsid w:val="00E2049F"/>
    <w:rsid w:val="00E204B0"/>
    <w:rsid w:val="00E2072C"/>
    <w:rsid w:val="00E2076D"/>
    <w:rsid w:val="00E2078E"/>
    <w:rsid w:val="00E20868"/>
    <w:rsid w:val="00E20892"/>
    <w:rsid w:val="00E208F3"/>
    <w:rsid w:val="00E20B08"/>
    <w:rsid w:val="00E20C3F"/>
    <w:rsid w:val="00E20DF8"/>
    <w:rsid w:val="00E20E4E"/>
    <w:rsid w:val="00E20F52"/>
    <w:rsid w:val="00E20FCA"/>
    <w:rsid w:val="00E211A3"/>
    <w:rsid w:val="00E211C7"/>
    <w:rsid w:val="00E2125A"/>
    <w:rsid w:val="00E21323"/>
    <w:rsid w:val="00E21465"/>
    <w:rsid w:val="00E2146D"/>
    <w:rsid w:val="00E21525"/>
    <w:rsid w:val="00E215A8"/>
    <w:rsid w:val="00E215B1"/>
    <w:rsid w:val="00E2162F"/>
    <w:rsid w:val="00E2173C"/>
    <w:rsid w:val="00E21784"/>
    <w:rsid w:val="00E21872"/>
    <w:rsid w:val="00E2188C"/>
    <w:rsid w:val="00E21902"/>
    <w:rsid w:val="00E219C4"/>
    <w:rsid w:val="00E21ABD"/>
    <w:rsid w:val="00E21ADD"/>
    <w:rsid w:val="00E21B71"/>
    <w:rsid w:val="00E21BDF"/>
    <w:rsid w:val="00E21C24"/>
    <w:rsid w:val="00E21F56"/>
    <w:rsid w:val="00E22075"/>
    <w:rsid w:val="00E22110"/>
    <w:rsid w:val="00E222B6"/>
    <w:rsid w:val="00E222BB"/>
    <w:rsid w:val="00E222E0"/>
    <w:rsid w:val="00E22601"/>
    <w:rsid w:val="00E227AC"/>
    <w:rsid w:val="00E227F6"/>
    <w:rsid w:val="00E228C7"/>
    <w:rsid w:val="00E228FB"/>
    <w:rsid w:val="00E22BEC"/>
    <w:rsid w:val="00E22C7D"/>
    <w:rsid w:val="00E22D41"/>
    <w:rsid w:val="00E22DF6"/>
    <w:rsid w:val="00E22EE7"/>
    <w:rsid w:val="00E22F0B"/>
    <w:rsid w:val="00E2311A"/>
    <w:rsid w:val="00E23430"/>
    <w:rsid w:val="00E235E6"/>
    <w:rsid w:val="00E2363F"/>
    <w:rsid w:val="00E23848"/>
    <w:rsid w:val="00E23850"/>
    <w:rsid w:val="00E2386F"/>
    <w:rsid w:val="00E239EB"/>
    <w:rsid w:val="00E239FC"/>
    <w:rsid w:val="00E23A7F"/>
    <w:rsid w:val="00E23AAE"/>
    <w:rsid w:val="00E23B71"/>
    <w:rsid w:val="00E23CC2"/>
    <w:rsid w:val="00E23D41"/>
    <w:rsid w:val="00E23E01"/>
    <w:rsid w:val="00E23EA7"/>
    <w:rsid w:val="00E2413D"/>
    <w:rsid w:val="00E243FB"/>
    <w:rsid w:val="00E24573"/>
    <w:rsid w:val="00E245D1"/>
    <w:rsid w:val="00E246A9"/>
    <w:rsid w:val="00E246CC"/>
    <w:rsid w:val="00E246CD"/>
    <w:rsid w:val="00E2485C"/>
    <w:rsid w:val="00E2492D"/>
    <w:rsid w:val="00E24CDE"/>
    <w:rsid w:val="00E24D8D"/>
    <w:rsid w:val="00E24FF1"/>
    <w:rsid w:val="00E25169"/>
    <w:rsid w:val="00E25278"/>
    <w:rsid w:val="00E25297"/>
    <w:rsid w:val="00E2532B"/>
    <w:rsid w:val="00E25352"/>
    <w:rsid w:val="00E25353"/>
    <w:rsid w:val="00E255CA"/>
    <w:rsid w:val="00E25614"/>
    <w:rsid w:val="00E2581A"/>
    <w:rsid w:val="00E258E1"/>
    <w:rsid w:val="00E2595B"/>
    <w:rsid w:val="00E25AE6"/>
    <w:rsid w:val="00E25B5D"/>
    <w:rsid w:val="00E25BDB"/>
    <w:rsid w:val="00E25F39"/>
    <w:rsid w:val="00E25F76"/>
    <w:rsid w:val="00E261E9"/>
    <w:rsid w:val="00E2635D"/>
    <w:rsid w:val="00E2637C"/>
    <w:rsid w:val="00E26408"/>
    <w:rsid w:val="00E26472"/>
    <w:rsid w:val="00E266A4"/>
    <w:rsid w:val="00E2688D"/>
    <w:rsid w:val="00E26AD0"/>
    <w:rsid w:val="00E26AF0"/>
    <w:rsid w:val="00E26B54"/>
    <w:rsid w:val="00E26D6D"/>
    <w:rsid w:val="00E26DD4"/>
    <w:rsid w:val="00E26EF9"/>
    <w:rsid w:val="00E270F4"/>
    <w:rsid w:val="00E272FA"/>
    <w:rsid w:val="00E2738C"/>
    <w:rsid w:val="00E274F6"/>
    <w:rsid w:val="00E2750D"/>
    <w:rsid w:val="00E277A5"/>
    <w:rsid w:val="00E27801"/>
    <w:rsid w:val="00E27899"/>
    <w:rsid w:val="00E2789C"/>
    <w:rsid w:val="00E27BF8"/>
    <w:rsid w:val="00E27CC1"/>
    <w:rsid w:val="00E27D59"/>
    <w:rsid w:val="00E27EF8"/>
    <w:rsid w:val="00E27F44"/>
    <w:rsid w:val="00E27FFA"/>
    <w:rsid w:val="00E3009E"/>
    <w:rsid w:val="00E300DF"/>
    <w:rsid w:val="00E30117"/>
    <w:rsid w:val="00E3020F"/>
    <w:rsid w:val="00E30213"/>
    <w:rsid w:val="00E30226"/>
    <w:rsid w:val="00E302FE"/>
    <w:rsid w:val="00E30411"/>
    <w:rsid w:val="00E3044C"/>
    <w:rsid w:val="00E304B9"/>
    <w:rsid w:val="00E3050A"/>
    <w:rsid w:val="00E3063F"/>
    <w:rsid w:val="00E30842"/>
    <w:rsid w:val="00E308EE"/>
    <w:rsid w:val="00E30AD4"/>
    <w:rsid w:val="00E30B9F"/>
    <w:rsid w:val="00E30E18"/>
    <w:rsid w:val="00E30F97"/>
    <w:rsid w:val="00E3115A"/>
    <w:rsid w:val="00E31517"/>
    <w:rsid w:val="00E3151C"/>
    <w:rsid w:val="00E31571"/>
    <w:rsid w:val="00E315DF"/>
    <w:rsid w:val="00E31632"/>
    <w:rsid w:val="00E316E1"/>
    <w:rsid w:val="00E3177D"/>
    <w:rsid w:val="00E31B31"/>
    <w:rsid w:val="00E31D33"/>
    <w:rsid w:val="00E31DB9"/>
    <w:rsid w:val="00E31E1E"/>
    <w:rsid w:val="00E31EA1"/>
    <w:rsid w:val="00E32215"/>
    <w:rsid w:val="00E324EA"/>
    <w:rsid w:val="00E32A49"/>
    <w:rsid w:val="00E32B71"/>
    <w:rsid w:val="00E32DE0"/>
    <w:rsid w:val="00E32E39"/>
    <w:rsid w:val="00E32E5A"/>
    <w:rsid w:val="00E32E74"/>
    <w:rsid w:val="00E32ECC"/>
    <w:rsid w:val="00E33032"/>
    <w:rsid w:val="00E33160"/>
    <w:rsid w:val="00E33235"/>
    <w:rsid w:val="00E33292"/>
    <w:rsid w:val="00E332DB"/>
    <w:rsid w:val="00E33537"/>
    <w:rsid w:val="00E33638"/>
    <w:rsid w:val="00E338CD"/>
    <w:rsid w:val="00E338D3"/>
    <w:rsid w:val="00E339EB"/>
    <w:rsid w:val="00E33B0F"/>
    <w:rsid w:val="00E33BA2"/>
    <w:rsid w:val="00E33C29"/>
    <w:rsid w:val="00E33D6A"/>
    <w:rsid w:val="00E33D7D"/>
    <w:rsid w:val="00E33DE0"/>
    <w:rsid w:val="00E33FA2"/>
    <w:rsid w:val="00E340FC"/>
    <w:rsid w:val="00E34245"/>
    <w:rsid w:val="00E34609"/>
    <w:rsid w:val="00E346BF"/>
    <w:rsid w:val="00E346DE"/>
    <w:rsid w:val="00E348F7"/>
    <w:rsid w:val="00E34984"/>
    <w:rsid w:val="00E34C5B"/>
    <w:rsid w:val="00E34D50"/>
    <w:rsid w:val="00E34F0D"/>
    <w:rsid w:val="00E350FB"/>
    <w:rsid w:val="00E351C8"/>
    <w:rsid w:val="00E352CF"/>
    <w:rsid w:val="00E35436"/>
    <w:rsid w:val="00E35545"/>
    <w:rsid w:val="00E355FC"/>
    <w:rsid w:val="00E35648"/>
    <w:rsid w:val="00E3573C"/>
    <w:rsid w:val="00E3579A"/>
    <w:rsid w:val="00E35AAF"/>
    <w:rsid w:val="00E35BC1"/>
    <w:rsid w:val="00E35C50"/>
    <w:rsid w:val="00E35D06"/>
    <w:rsid w:val="00E35DCE"/>
    <w:rsid w:val="00E35DF7"/>
    <w:rsid w:val="00E35FD3"/>
    <w:rsid w:val="00E3619D"/>
    <w:rsid w:val="00E36833"/>
    <w:rsid w:val="00E36905"/>
    <w:rsid w:val="00E36A58"/>
    <w:rsid w:val="00E36ADF"/>
    <w:rsid w:val="00E36BC1"/>
    <w:rsid w:val="00E36C90"/>
    <w:rsid w:val="00E36D0C"/>
    <w:rsid w:val="00E36D75"/>
    <w:rsid w:val="00E36E02"/>
    <w:rsid w:val="00E36E3A"/>
    <w:rsid w:val="00E36F8E"/>
    <w:rsid w:val="00E370A5"/>
    <w:rsid w:val="00E3712C"/>
    <w:rsid w:val="00E3715E"/>
    <w:rsid w:val="00E372C0"/>
    <w:rsid w:val="00E37324"/>
    <w:rsid w:val="00E3737F"/>
    <w:rsid w:val="00E3744B"/>
    <w:rsid w:val="00E3756A"/>
    <w:rsid w:val="00E3756E"/>
    <w:rsid w:val="00E375EA"/>
    <w:rsid w:val="00E375EF"/>
    <w:rsid w:val="00E377D7"/>
    <w:rsid w:val="00E37A10"/>
    <w:rsid w:val="00E37CE9"/>
    <w:rsid w:val="00E37D67"/>
    <w:rsid w:val="00E37D98"/>
    <w:rsid w:val="00E37DAE"/>
    <w:rsid w:val="00E37E58"/>
    <w:rsid w:val="00E37FB0"/>
    <w:rsid w:val="00E37FC9"/>
    <w:rsid w:val="00E400D3"/>
    <w:rsid w:val="00E400E4"/>
    <w:rsid w:val="00E4026A"/>
    <w:rsid w:val="00E402C4"/>
    <w:rsid w:val="00E40441"/>
    <w:rsid w:val="00E40506"/>
    <w:rsid w:val="00E405A5"/>
    <w:rsid w:val="00E40649"/>
    <w:rsid w:val="00E40792"/>
    <w:rsid w:val="00E407F2"/>
    <w:rsid w:val="00E40B58"/>
    <w:rsid w:val="00E40D0E"/>
    <w:rsid w:val="00E40E1E"/>
    <w:rsid w:val="00E41292"/>
    <w:rsid w:val="00E41310"/>
    <w:rsid w:val="00E41363"/>
    <w:rsid w:val="00E4188A"/>
    <w:rsid w:val="00E418A5"/>
    <w:rsid w:val="00E419DF"/>
    <w:rsid w:val="00E41A19"/>
    <w:rsid w:val="00E41AB6"/>
    <w:rsid w:val="00E41B3A"/>
    <w:rsid w:val="00E41B7F"/>
    <w:rsid w:val="00E41BDB"/>
    <w:rsid w:val="00E41D46"/>
    <w:rsid w:val="00E41D7A"/>
    <w:rsid w:val="00E41DD0"/>
    <w:rsid w:val="00E41ECC"/>
    <w:rsid w:val="00E41F4B"/>
    <w:rsid w:val="00E4207B"/>
    <w:rsid w:val="00E42156"/>
    <w:rsid w:val="00E4215E"/>
    <w:rsid w:val="00E42208"/>
    <w:rsid w:val="00E422D1"/>
    <w:rsid w:val="00E424DD"/>
    <w:rsid w:val="00E42502"/>
    <w:rsid w:val="00E42632"/>
    <w:rsid w:val="00E426B2"/>
    <w:rsid w:val="00E42814"/>
    <w:rsid w:val="00E4281C"/>
    <w:rsid w:val="00E42862"/>
    <w:rsid w:val="00E42978"/>
    <w:rsid w:val="00E42A3E"/>
    <w:rsid w:val="00E42A6B"/>
    <w:rsid w:val="00E42EAF"/>
    <w:rsid w:val="00E42ECD"/>
    <w:rsid w:val="00E42EF2"/>
    <w:rsid w:val="00E430B0"/>
    <w:rsid w:val="00E4318F"/>
    <w:rsid w:val="00E4323B"/>
    <w:rsid w:val="00E4324E"/>
    <w:rsid w:val="00E432F8"/>
    <w:rsid w:val="00E43370"/>
    <w:rsid w:val="00E43372"/>
    <w:rsid w:val="00E4340D"/>
    <w:rsid w:val="00E43495"/>
    <w:rsid w:val="00E43908"/>
    <w:rsid w:val="00E43AD4"/>
    <w:rsid w:val="00E43B0D"/>
    <w:rsid w:val="00E43FA9"/>
    <w:rsid w:val="00E43FAE"/>
    <w:rsid w:val="00E44045"/>
    <w:rsid w:val="00E440C0"/>
    <w:rsid w:val="00E4410F"/>
    <w:rsid w:val="00E443BF"/>
    <w:rsid w:val="00E444EA"/>
    <w:rsid w:val="00E447D5"/>
    <w:rsid w:val="00E4491A"/>
    <w:rsid w:val="00E4494F"/>
    <w:rsid w:val="00E449A0"/>
    <w:rsid w:val="00E449E5"/>
    <w:rsid w:val="00E44A06"/>
    <w:rsid w:val="00E44B0F"/>
    <w:rsid w:val="00E44B5C"/>
    <w:rsid w:val="00E44BFA"/>
    <w:rsid w:val="00E44C71"/>
    <w:rsid w:val="00E44E65"/>
    <w:rsid w:val="00E44EA3"/>
    <w:rsid w:val="00E4503A"/>
    <w:rsid w:val="00E453A4"/>
    <w:rsid w:val="00E45410"/>
    <w:rsid w:val="00E455A5"/>
    <w:rsid w:val="00E45624"/>
    <w:rsid w:val="00E456A2"/>
    <w:rsid w:val="00E45A3D"/>
    <w:rsid w:val="00E45A5D"/>
    <w:rsid w:val="00E45C0A"/>
    <w:rsid w:val="00E45E13"/>
    <w:rsid w:val="00E45E18"/>
    <w:rsid w:val="00E46194"/>
    <w:rsid w:val="00E46291"/>
    <w:rsid w:val="00E46322"/>
    <w:rsid w:val="00E46336"/>
    <w:rsid w:val="00E4640B"/>
    <w:rsid w:val="00E4646B"/>
    <w:rsid w:val="00E4650B"/>
    <w:rsid w:val="00E4676B"/>
    <w:rsid w:val="00E46871"/>
    <w:rsid w:val="00E46ADD"/>
    <w:rsid w:val="00E46DE1"/>
    <w:rsid w:val="00E46E54"/>
    <w:rsid w:val="00E46F3B"/>
    <w:rsid w:val="00E46F91"/>
    <w:rsid w:val="00E46FA5"/>
    <w:rsid w:val="00E470FC"/>
    <w:rsid w:val="00E471A9"/>
    <w:rsid w:val="00E471E9"/>
    <w:rsid w:val="00E475DC"/>
    <w:rsid w:val="00E476C1"/>
    <w:rsid w:val="00E47719"/>
    <w:rsid w:val="00E477A9"/>
    <w:rsid w:val="00E4790C"/>
    <w:rsid w:val="00E47A44"/>
    <w:rsid w:val="00E47B2C"/>
    <w:rsid w:val="00E47C34"/>
    <w:rsid w:val="00E47DAA"/>
    <w:rsid w:val="00E47E86"/>
    <w:rsid w:val="00E47FE9"/>
    <w:rsid w:val="00E47FEE"/>
    <w:rsid w:val="00E5035B"/>
    <w:rsid w:val="00E505E5"/>
    <w:rsid w:val="00E50830"/>
    <w:rsid w:val="00E50B3B"/>
    <w:rsid w:val="00E50B8F"/>
    <w:rsid w:val="00E50CB4"/>
    <w:rsid w:val="00E50CC1"/>
    <w:rsid w:val="00E50DAE"/>
    <w:rsid w:val="00E50F3C"/>
    <w:rsid w:val="00E50F7B"/>
    <w:rsid w:val="00E51077"/>
    <w:rsid w:val="00E51080"/>
    <w:rsid w:val="00E510C5"/>
    <w:rsid w:val="00E51193"/>
    <w:rsid w:val="00E512D1"/>
    <w:rsid w:val="00E51408"/>
    <w:rsid w:val="00E51581"/>
    <w:rsid w:val="00E515C4"/>
    <w:rsid w:val="00E51601"/>
    <w:rsid w:val="00E517CF"/>
    <w:rsid w:val="00E519BC"/>
    <w:rsid w:val="00E519FA"/>
    <w:rsid w:val="00E519FB"/>
    <w:rsid w:val="00E51B74"/>
    <w:rsid w:val="00E51B89"/>
    <w:rsid w:val="00E51BC3"/>
    <w:rsid w:val="00E51C73"/>
    <w:rsid w:val="00E51DC9"/>
    <w:rsid w:val="00E51F34"/>
    <w:rsid w:val="00E51FF4"/>
    <w:rsid w:val="00E52186"/>
    <w:rsid w:val="00E521A2"/>
    <w:rsid w:val="00E521B9"/>
    <w:rsid w:val="00E5230F"/>
    <w:rsid w:val="00E52356"/>
    <w:rsid w:val="00E5235F"/>
    <w:rsid w:val="00E523AF"/>
    <w:rsid w:val="00E52549"/>
    <w:rsid w:val="00E529D4"/>
    <w:rsid w:val="00E52A8F"/>
    <w:rsid w:val="00E52ACF"/>
    <w:rsid w:val="00E52B13"/>
    <w:rsid w:val="00E52C8B"/>
    <w:rsid w:val="00E52F0B"/>
    <w:rsid w:val="00E52F3D"/>
    <w:rsid w:val="00E5306D"/>
    <w:rsid w:val="00E531A2"/>
    <w:rsid w:val="00E53331"/>
    <w:rsid w:val="00E534D9"/>
    <w:rsid w:val="00E5356B"/>
    <w:rsid w:val="00E53590"/>
    <w:rsid w:val="00E53625"/>
    <w:rsid w:val="00E536EE"/>
    <w:rsid w:val="00E536F4"/>
    <w:rsid w:val="00E5382C"/>
    <w:rsid w:val="00E53973"/>
    <w:rsid w:val="00E53A0C"/>
    <w:rsid w:val="00E53A84"/>
    <w:rsid w:val="00E53B3D"/>
    <w:rsid w:val="00E53BE8"/>
    <w:rsid w:val="00E53D0F"/>
    <w:rsid w:val="00E53FD7"/>
    <w:rsid w:val="00E540FB"/>
    <w:rsid w:val="00E543A3"/>
    <w:rsid w:val="00E54859"/>
    <w:rsid w:val="00E5487F"/>
    <w:rsid w:val="00E548C5"/>
    <w:rsid w:val="00E54AA5"/>
    <w:rsid w:val="00E54FAC"/>
    <w:rsid w:val="00E54FFE"/>
    <w:rsid w:val="00E550C8"/>
    <w:rsid w:val="00E55177"/>
    <w:rsid w:val="00E551B4"/>
    <w:rsid w:val="00E555A1"/>
    <w:rsid w:val="00E55A58"/>
    <w:rsid w:val="00E55B91"/>
    <w:rsid w:val="00E55C3C"/>
    <w:rsid w:val="00E55E7E"/>
    <w:rsid w:val="00E55EF7"/>
    <w:rsid w:val="00E560DE"/>
    <w:rsid w:val="00E5632A"/>
    <w:rsid w:val="00E56349"/>
    <w:rsid w:val="00E56586"/>
    <w:rsid w:val="00E56796"/>
    <w:rsid w:val="00E56A3E"/>
    <w:rsid w:val="00E56B40"/>
    <w:rsid w:val="00E56B7D"/>
    <w:rsid w:val="00E56F03"/>
    <w:rsid w:val="00E56FD6"/>
    <w:rsid w:val="00E570B5"/>
    <w:rsid w:val="00E5727C"/>
    <w:rsid w:val="00E573DA"/>
    <w:rsid w:val="00E574A7"/>
    <w:rsid w:val="00E574D7"/>
    <w:rsid w:val="00E574F4"/>
    <w:rsid w:val="00E57532"/>
    <w:rsid w:val="00E575CF"/>
    <w:rsid w:val="00E57620"/>
    <w:rsid w:val="00E57628"/>
    <w:rsid w:val="00E57670"/>
    <w:rsid w:val="00E576D0"/>
    <w:rsid w:val="00E577AE"/>
    <w:rsid w:val="00E57CE2"/>
    <w:rsid w:val="00E57DE8"/>
    <w:rsid w:val="00E57E99"/>
    <w:rsid w:val="00E57F7A"/>
    <w:rsid w:val="00E6010A"/>
    <w:rsid w:val="00E60123"/>
    <w:rsid w:val="00E601BA"/>
    <w:rsid w:val="00E60249"/>
    <w:rsid w:val="00E602E9"/>
    <w:rsid w:val="00E603F0"/>
    <w:rsid w:val="00E60419"/>
    <w:rsid w:val="00E6045C"/>
    <w:rsid w:val="00E604FA"/>
    <w:rsid w:val="00E60699"/>
    <w:rsid w:val="00E607E8"/>
    <w:rsid w:val="00E60802"/>
    <w:rsid w:val="00E609A8"/>
    <w:rsid w:val="00E609F2"/>
    <w:rsid w:val="00E60A4C"/>
    <w:rsid w:val="00E60DFA"/>
    <w:rsid w:val="00E60F34"/>
    <w:rsid w:val="00E61119"/>
    <w:rsid w:val="00E6130D"/>
    <w:rsid w:val="00E61318"/>
    <w:rsid w:val="00E613BF"/>
    <w:rsid w:val="00E61531"/>
    <w:rsid w:val="00E61556"/>
    <w:rsid w:val="00E616A3"/>
    <w:rsid w:val="00E616D1"/>
    <w:rsid w:val="00E616F5"/>
    <w:rsid w:val="00E61792"/>
    <w:rsid w:val="00E61884"/>
    <w:rsid w:val="00E61944"/>
    <w:rsid w:val="00E61A61"/>
    <w:rsid w:val="00E61B84"/>
    <w:rsid w:val="00E61E4C"/>
    <w:rsid w:val="00E61FB7"/>
    <w:rsid w:val="00E620C1"/>
    <w:rsid w:val="00E6214D"/>
    <w:rsid w:val="00E621EC"/>
    <w:rsid w:val="00E622FF"/>
    <w:rsid w:val="00E623DC"/>
    <w:rsid w:val="00E62732"/>
    <w:rsid w:val="00E62752"/>
    <w:rsid w:val="00E627CB"/>
    <w:rsid w:val="00E6288F"/>
    <w:rsid w:val="00E62B13"/>
    <w:rsid w:val="00E62D31"/>
    <w:rsid w:val="00E62DF3"/>
    <w:rsid w:val="00E62F26"/>
    <w:rsid w:val="00E62FF1"/>
    <w:rsid w:val="00E63095"/>
    <w:rsid w:val="00E63304"/>
    <w:rsid w:val="00E6330B"/>
    <w:rsid w:val="00E6331E"/>
    <w:rsid w:val="00E63554"/>
    <w:rsid w:val="00E6359C"/>
    <w:rsid w:val="00E63644"/>
    <w:rsid w:val="00E638D3"/>
    <w:rsid w:val="00E6392C"/>
    <w:rsid w:val="00E6395C"/>
    <w:rsid w:val="00E63991"/>
    <w:rsid w:val="00E63A13"/>
    <w:rsid w:val="00E63A2A"/>
    <w:rsid w:val="00E63AE4"/>
    <w:rsid w:val="00E63B8E"/>
    <w:rsid w:val="00E63E21"/>
    <w:rsid w:val="00E63E79"/>
    <w:rsid w:val="00E63F18"/>
    <w:rsid w:val="00E63F32"/>
    <w:rsid w:val="00E6401C"/>
    <w:rsid w:val="00E64055"/>
    <w:rsid w:val="00E64124"/>
    <w:rsid w:val="00E641BE"/>
    <w:rsid w:val="00E6424C"/>
    <w:rsid w:val="00E6428B"/>
    <w:rsid w:val="00E642D8"/>
    <w:rsid w:val="00E643AD"/>
    <w:rsid w:val="00E6480B"/>
    <w:rsid w:val="00E6496D"/>
    <w:rsid w:val="00E64ADF"/>
    <w:rsid w:val="00E64CB6"/>
    <w:rsid w:val="00E64D1F"/>
    <w:rsid w:val="00E65153"/>
    <w:rsid w:val="00E65291"/>
    <w:rsid w:val="00E654D0"/>
    <w:rsid w:val="00E655ED"/>
    <w:rsid w:val="00E65629"/>
    <w:rsid w:val="00E65698"/>
    <w:rsid w:val="00E657FE"/>
    <w:rsid w:val="00E6587A"/>
    <w:rsid w:val="00E6591D"/>
    <w:rsid w:val="00E65B69"/>
    <w:rsid w:val="00E65BAA"/>
    <w:rsid w:val="00E65C8C"/>
    <w:rsid w:val="00E65E66"/>
    <w:rsid w:val="00E66164"/>
    <w:rsid w:val="00E6625A"/>
    <w:rsid w:val="00E664CC"/>
    <w:rsid w:val="00E6670D"/>
    <w:rsid w:val="00E667F5"/>
    <w:rsid w:val="00E6680F"/>
    <w:rsid w:val="00E66AF3"/>
    <w:rsid w:val="00E66B57"/>
    <w:rsid w:val="00E66CD7"/>
    <w:rsid w:val="00E66CE0"/>
    <w:rsid w:val="00E66FE2"/>
    <w:rsid w:val="00E670A4"/>
    <w:rsid w:val="00E672B1"/>
    <w:rsid w:val="00E67335"/>
    <w:rsid w:val="00E67401"/>
    <w:rsid w:val="00E6753B"/>
    <w:rsid w:val="00E675F4"/>
    <w:rsid w:val="00E676A8"/>
    <w:rsid w:val="00E67747"/>
    <w:rsid w:val="00E67917"/>
    <w:rsid w:val="00E67B2F"/>
    <w:rsid w:val="00E67D4B"/>
    <w:rsid w:val="00E67D61"/>
    <w:rsid w:val="00E67D6E"/>
    <w:rsid w:val="00E67E10"/>
    <w:rsid w:val="00E67E3A"/>
    <w:rsid w:val="00E67E53"/>
    <w:rsid w:val="00E67F11"/>
    <w:rsid w:val="00E67FE0"/>
    <w:rsid w:val="00E70317"/>
    <w:rsid w:val="00E7040B"/>
    <w:rsid w:val="00E704C7"/>
    <w:rsid w:val="00E70536"/>
    <w:rsid w:val="00E709CC"/>
    <w:rsid w:val="00E70B01"/>
    <w:rsid w:val="00E70D33"/>
    <w:rsid w:val="00E70E2A"/>
    <w:rsid w:val="00E70FC1"/>
    <w:rsid w:val="00E710AE"/>
    <w:rsid w:val="00E710D1"/>
    <w:rsid w:val="00E711BD"/>
    <w:rsid w:val="00E711FF"/>
    <w:rsid w:val="00E71201"/>
    <w:rsid w:val="00E7127A"/>
    <w:rsid w:val="00E712EB"/>
    <w:rsid w:val="00E713C5"/>
    <w:rsid w:val="00E715C5"/>
    <w:rsid w:val="00E71650"/>
    <w:rsid w:val="00E71814"/>
    <w:rsid w:val="00E71826"/>
    <w:rsid w:val="00E71B9C"/>
    <w:rsid w:val="00E71DCC"/>
    <w:rsid w:val="00E71E6C"/>
    <w:rsid w:val="00E71F00"/>
    <w:rsid w:val="00E72084"/>
    <w:rsid w:val="00E720AB"/>
    <w:rsid w:val="00E724A4"/>
    <w:rsid w:val="00E724CB"/>
    <w:rsid w:val="00E7251F"/>
    <w:rsid w:val="00E7257D"/>
    <w:rsid w:val="00E7275F"/>
    <w:rsid w:val="00E729CE"/>
    <w:rsid w:val="00E72ADF"/>
    <w:rsid w:val="00E72E07"/>
    <w:rsid w:val="00E72E31"/>
    <w:rsid w:val="00E72EEA"/>
    <w:rsid w:val="00E7306A"/>
    <w:rsid w:val="00E730CC"/>
    <w:rsid w:val="00E73187"/>
    <w:rsid w:val="00E733E7"/>
    <w:rsid w:val="00E734D9"/>
    <w:rsid w:val="00E734EA"/>
    <w:rsid w:val="00E7365C"/>
    <w:rsid w:val="00E73668"/>
    <w:rsid w:val="00E738D1"/>
    <w:rsid w:val="00E73965"/>
    <w:rsid w:val="00E73B55"/>
    <w:rsid w:val="00E73B7F"/>
    <w:rsid w:val="00E73BBD"/>
    <w:rsid w:val="00E73C41"/>
    <w:rsid w:val="00E73D14"/>
    <w:rsid w:val="00E73DA8"/>
    <w:rsid w:val="00E73DAB"/>
    <w:rsid w:val="00E73E5F"/>
    <w:rsid w:val="00E73F9F"/>
    <w:rsid w:val="00E74226"/>
    <w:rsid w:val="00E7422B"/>
    <w:rsid w:val="00E7424C"/>
    <w:rsid w:val="00E74400"/>
    <w:rsid w:val="00E7441A"/>
    <w:rsid w:val="00E744B4"/>
    <w:rsid w:val="00E744B5"/>
    <w:rsid w:val="00E744E7"/>
    <w:rsid w:val="00E74513"/>
    <w:rsid w:val="00E74517"/>
    <w:rsid w:val="00E74564"/>
    <w:rsid w:val="00E7479F"/>
    <w:rsid w:val="00E747A6"/>
    <w:rsid w:val="00E7488D"/>
    <w:rsid w:val="00E7492C"/>
    <w:rsid w:val="00E7496E"/>
    <w:rsid w:val="00E74B26"/>
    <w:rsid w:val="00E74B94"/>
    <w:rsid w:val="00E74C50"/>
    <w:rsid w:val="00E74D65"/>
    <w:rsid w:val="00E74DDF"/>
    <w:rsid w:val="00E74E88"/>
    <w:rsid w:val="00E74F9B"/>
    <w:rsid w:val="00E75055"/>
    <w:rsid w:val="00E750E9"/>
    <w:rsid w:val="00E7535F"/>
    <w:rsid w:val="00E753D2"/>
    <w:rsid w:val="00E7556E"/>
    <w:rsid w:val="00E756B9"/>
    <w:rsid w:val="00E75887"/>
    <w:rsid w:val="00E75927"/>
    <w:rsid w:val="00E75952"/>
    <w:rsid w:val="00E75A67"/>
    <w:rsid w:val="00E75B95"/>
    <w:rsid w:val="00E75C75"/>
    <w:rsid w:val="00E75DE5"/>
    <w:rsid w:val="00E75E12"/>
    <w:rsid w:val="00E75F35"/>
    <w:rsid w:val="00E75FD8"/>
    <w:rsid w:val="00E7608E"/>
    <w:rsid w:val="00E76170"/>
    <w:rsid w:val="00E761BE"/>
    <w:rsid w:val="00E76392"/>
    <w:rsid w:val="00E765C3"/>
    <w:rsid w:val="00E76600"/>
    <w:rsid w:val="00E7684D"/>
    <w:rsid w:val="00E76B72"/>
    <w:rsid w:val="00E76D7B"/>
    <w:rsid w:val="00E76F4D"/>
    <w:rsid w:val="00E7714F"/>
    <w:rsid w:val="00E772EC"/>
    <w:rsid w:val="00E7737C"/>
    <w:rsid w:val="00E77804"/>
    <w:rsid w:val="00E7787C"/>
    <w:rsid w:val="00E77AAC"/>
    <w:rsid w:val="00E77BFA"/>
    <w:rsid w:val="00E77FAA"/>
    <w:rsid w:val="00E800B5"/>
    <w:rsid w:val="00E80515"/>
    <w:rsid w:val="00E806E0"/>
    <w:rsid w:val="00E80831"/>
    <w:rsid w:val="00E80852"/>
    <w:rsid w:val="00E80A29"/>
    <w:rsid w:val="00E80A9E"/>
    <w:rsid w:val="00E80C27"/>
    <w:rsid w:val="00E80C56"/>
    <w:rsid w:val="00E80D80"/>
    <w:rsid w:val="00E80DA1"/>
    <w:rsid w:val="00E80F15"/>
    <w:rsid w:val="00E81025"/>
    <w:rsid w:val="00E81238"/>
    <w:rsid w:val="00E812ED"/>
    <w:rsid w:val="00E81351"/>
    <w:rsid w:val="00E813BF"/>
    <w:rsid w:val="00E8153A"/>
    <w:rsid w:val="00E81613"/>
    <w:rsid w:val="00E81940"/>
    <w:rsid w:val="00E819D1"/>
    <w:rsid w:val="00E81AFC"/>
    <w:rsid w:val="00E81C2D"/>
    <w:rsid w:val="00E81F17"/>
    <w:rsid w:val="00E81FCA"/>
    <w:rsid w:val="00E822C8"/>
    <w:rsid w:val="00E823FE"/>
    <w:rsid w:val="00E82464"/>
    <w:rsid w:val="00E824C6"/>
    <w:rsid w:val="00E82580"/>
    <w:rsid w:val="00E82710"/>
    <w:rsid w:val="00E827F7"/>
    <w:rsid w:val="00E82923"/>
    <w:rsid w:val="00E82C2D"/>
    <w:rsid w:val="00E82D82"/>
    <w:rsid w:val="00E82E29"/>
    <w:rsid w:val="00E82E98"/>
    <w:rsid w:val="00E82F0D"/>
    <w:rsid w:val="00E83092"/>
    <w:rsid w:val="00E831CF"/>
    <w:rsid w:val="00E83283"/>
    <w:rsid w:val="00E83302"/>
    <w:rsid w:val="00E83351"/>
    <w:rsid w:val="00E8345E"/>
    <w:rsid w:val="00E835B6"/>
    <w:rsid w:val="00E836CD"/>
    <w:rsid w:val="00E83756"/>
    <w:rsid w:val="00E8387E"/>
    <w:rsid w:val="00E83899"/>
    <w:rsid w:val="00E838FC"/>
    <w:rsid w:val="00E8393F"/>
    <w:rsid w:val="00E839E9"/>
    <w:rsid w:val="00E83A3D"/>
    <w:rsid w:val="00E83CF1"/>
    <w:rsid w:val="00E83D13"/>
    <w:rsid w:val="00E83D35"/>
    <w:rsid w:val="00E841E0"/>
    <w:rsid w:val="00E84218"/>
    <w:rsid w:val="00E84250"/>
    <w:rsid w:val="00E8428C"/>
    <w:rsid w:val="00E84448"/>
    <w:rsid w:val="00E84456"/>
    <w:rsid w:val="00E84634"/>
    <w:rsid w:val="00E8479E"/>
    <w:rsid w:val="00E847FF"/>
    <w:rsid w:val="00E84825"/>
    <w:rsid w:val="00E84C37"/>
    <w:rsid w:val="00E84C5A"/>
    <w:rsid w:val="00E84C84"/>
    <w:rsid w:val="00E84DF3"/>
    <w:rsid w:val="00E84ED4"/>
    <w:rsid w:val="00E84F75"/>
    <w:rsid w:val="00E8511C"/>
    <w:rsid w:val="00E85520"/>
    <w:rsid w:val="00E8557A"/>
    <w:rsid w:val="00E8560C"/>
    <w:rsid w:val="00E85786"/>
    <w:rsid w:val="00E8586C"/>
    <w:rsid w:val="00E858F4"/>
    <w:rsid w:val="00E8597E"/>
    <w:rsid w:val="00E85BC6"/>
    <w:rsid w:val="00E85F2D"/>
    <w:rsid w:val="00E8600D"/>
    <w:rsid w:val="00E863AB"/>
    <w:rsid w:val="00E8645C"/>
    <w:rsid w:val="00E865CD"/>
    <w:rsid w:val="00E866FE"/>
    <w:rsid w:val="00E86726"/>
    <w:rsid w:val="00E86732"/>
    <w:rsid w:val="00E867F5"/>
    <w:rsid w:val="00E868EA"/>
    <w:rsid w:val="00E86A8C"/>
    <w:rsid w:val="00E86AFA"/>
    <w:rsid w:val="00E86B67"/>
    <w:rsid w:val="00E86CE1"/>
    <w:rsid w:val="00E86DD6"/>
    <w:rsid w:val="00E86E7E"/>
    <w:rsid w:val="00E86ECD"/>
    <w:rsid w:val="00E86F0D"/>
    <w:rsid w:val="00E87060"/>
    <w:rsid w:val="00E87112"/>
    <w:rsid w:val="00E87231"/>
    <w:rsid w:val="00E872ED"/>
    <w:rsid w:val="00E87327"/>
    <w:rsid w:val="00E87347"/>
    <w:rsid w:val="00E874B7"/>
    <w:rsid w:val="00E8771F"/>
    <w:rsid w:val="00E87878"/>
    <w:rsid w:val="00E8793C"/>
    <w:rsid w:val="00E87A01"/>
    <w:rsid w:val="00E87A42"/>
    <w:rsid w:val="00E87B62"/>
    <w:rsid w:val="00E87CBD"/>
    <w:rsid w:val="00E87EA3"/>
    <w:rsid w:val="00E87F48"/>
    <w:rsid w:val="00E87FBE"/>
    <w:rsid w:val="00E90004"/>
    <w:rsid w:val="00E901B7"/>
    <w:rsid w:val="00E9024A"/>
    <w:rsid w:val="00E90634"/>
    <w:rsid w:val="00E90649"/>
    <w:rsid w:val="00E906A3"/>
    <w:rsid w:val="00E90886"/>
    <w:rsid w:val="00E9099D"/>
    <w:rsid w:val="00E909B8"/>
    <w:rsid w:val="00E90BD4"/>
    <w:rsid w:val="00E90D55"/>
    <w:rsid w:val="00E90E47"/>
    <w:rsid w:val="00E90F2D"/>
    <w:rsid w:val="00E9100F"/>
    <w:rsid w:val="00E9104B"/>
    <w:rsid w:val="00E91575"/>
    <w:rsid w:val="00E916F2"/>
    <w:rsid w:val="00E9195F"/>
    <w:rsid w:val="00E91C94"/>
    <w:rsid w:val="00E91D1B"/>
    <w:rsid w:val="00E91E33"/>
    <w:rsid w:val="00E91ED6"/>
    <w:rsid w:val="00E91FA1"/>
    <w:rsid w:val="00E9202F"/>
    <w:rsid w:val="00E920BF"/>
    <w:rsid w:val="00E92383"/>
    <w:rsid w:val="00E925C0"/>
    <w:rsid w:val="00E925C5"/>
    <w:rsid w:val="00E925E5"/>
    <w:rsid w:val="00E92686"/>
    <w:rsid w:val="00E9272E"/>
    <w:rsid w:val="00E929AE"/>
    <w:rsid w:val="00E92B4F"/>
    <w:rsid w:val="00E92DD3"/>
    <w:rsid w:val="00E92DE7"/>
    <w:rsid w:val="00E92F2A"/>
    <w:rsid w:val="00E93038"/>
    <w:rsid w:val="00E93089"/>
    <w:rsid w:val="00E931D1"/>
    <w:rsid w:val="00E934FD"/>
    <w:rsid w:val="00E93615"/>
    <w:rsid w:val="00E936A2"/>
    <w:rsid w:val="00E938EA"/>
    <w:rsid w:val="00E93A35"/>
    <w:rsid w:val="00E93C72"/>
    <w:rsid w:val="00E93D2C"/>
    <w:rsid w:val="00E93D3A"/>
    <w:rsid w:val="00E93E0D"/>
    <w:rsid w:val="00E93E4F"/>
    <w:rsid w:val="00E93E79"/>
    <w:rsid w:val="00E9407C"/>
    <w:rsid w:val="00E940C1"/>
    <w:rsid w:val="00E941E2"/>
    <w:rsid w:val="00E9436D"/>
    <w:rsid w:val="00E94388"/>
    <w:rsid w:val="00E945C2"/>
    <w:rsid w:val="00E945D8"/>
    <w:rsid w:val="00E946F3"/>
    <w:rsid w:val="00E94707"/>
    <w:rsid w:val="00E9475A"/>
    <w:rsid w:val="00E94909"/>
    <w:rsid w:val="00E949A9"/>
    <w:rsid w:val="00E949CF"/>
    <w:rsid w:val="00E94A6B"/>
    <w:rsid w:val="00E94A81"/>
    <w:rsid w:val="00E9519C"/>
    <w:rsid w:val="00E951C4"/>
    <w:rsid w:val="00E951F3"/>
    <w:rsid w:val="00E9526D"/>
    <w:rsid w:val="00E9532F"/>
    <w:rsid w:val="00E954E5"/>
    <w:rsid w:val="00E954F5"/>
    <w:rsid w:val="00E9550B"/>
    <w:rsid w:val="00E9557C"/>
    <w:rsid w:val="00E95858"/>
    <w:rsid w:val="00E958DB"/>
    <w:rsid w:val="00E95A3A"/>
    <w:rsid w:val="00E95A6E"/>
    <w:rsid w:val="00E95B67"/>
    <w:rsid w:val="00E95E8B"/>
    <w:rsid w:val="00E95F51"/>
    <w:rsid w:val="00E9602E"/>
    <w:rsid w:val="00E9615A"/>
    <w:rsid w:val="00E9618B"/>
    <w:rsid w:val="00E96269"/>
    <w:rsid w:val="00E96327"/>
    <w:rsid w:val="00E963AD"/>
    <w:rsid w:val="00E963DF"/>
    <w:rsid w:val="00E964EC"/>
    <w:rsid w:val="00E96633"/>
    <w:rsid w:val="00E967C0"/>
    <w:rsid w:val="00E9681A"/>
    <w:rsid w:val="00E96851"/>
    <w:rsid w:val="00E9696C"/>
    <w:rsid w:val="00E969A0"/>
    <w:rsid w:val="00E96AC8"/>
    <w:rsid w:val="00E96ACA"/>
    <w:rsid w:val="00E96D9B"/>
    <w:rsid w:val="00E96DB0"/>
    <w:rsid w:val="00E96DB6"/>
    <w:rsid w:val="00E96E55"/>
    <w:rsid w:val="00E96EAD"/>
    <w:rsid w:val="00E96F34"/>
    <w:rsid w:val="00E9700E"/>
    <w:rsid w:val="00E97077"/>
    <w:rsid w:val="00E972FF"/>
    <w:rsid w:val="00E9733F"/>
    <w:rsid w:val="00E9737C"/>
    <w:rsid w:val="00E97401"/>
    <w:rsid w:val="00E974CB"/>
    <w:rsid w:val="00E9750A"/>
    <w:rsid w:val="00E975FA"/>
    <w:rsid w:val="00E97625"/>
    <w:rsid w:val="00E9772E"/>
    <w:rsid w:val="00E9777C"/>
    <w:rsid w:val="00E97819"/>
    <w:rsid w:val="00E97833"/>
    <w:rsid w:val="00E97836"/>
    <w:rsid w:val="00E97976"/>
    <w:rsid w:val="00E97995"/>
    <w:rsid w:val="00E97B39"/>
    <w:rsid w:val="00E97BAA"/>
    <w:rsid w:val="00E97BD0"/>
    <w:rsid w:val="00E97D37"/>
    <w:rsid w:val="00E97E1B"/>
    <w:rsid w:val="00E97EC5"/>
    <w:rsid w:val="00E97FA1"/>
    <w:rsid w:val="00EA0070"/>
    <w:rsid w:val="00EA027E"/>
    <w:rsid w:val="00EA0311"/>
    <w:rsid w:val="00EA03EE"/>
    <w:rsid w:val="00EA05E3"/>
    <w:rsid w:val="00EA063A"/>
    <w:rsid w:val="00EA06A7"/>
    <w:rsid w:val="00EA07BE"/>
    <w:rsid w:val="00EA0861"/>
    <w:rsid w:val="00EA0942"/>
    <w:rsid w:val="00EA0A5B"/>
    <w:rsid w:val="00EA0AC5"/>
    <w:rsid w:val="00EA0AEF"/>
    <w:rsid w:val="00EA0B06"/>
    <w:rsid w:val="00EA0B9D"/>
    <w:rsid w:val="00EA0BE2"/>
    <w:rsid w:val="00EA0BEF"/>
    <w:rsid w:val="00EA0D68"/>
    <w:rsid w:val="00EA0DD2"/>
    <w:rsid w:val="00EA1078"/>
    <w:rsid w:val="00EA10BB"/>
    <w:rsid w:val="00EA10FE"/>
    <w:rsid w:val="00EA12B1"/>
    <w:rsid w:val="00EA1336"/>
    <w:rsid w:val="00EA142D"/>
    <w:rsid w:val="00EA14E0"/>
    <w:rsid w:val="00EA14E5"/>
    <w:rsid w:val="00EA152B"/>
    <w:rsid w:val="00EA17EC"/>
    <w:rsid w:val="00EA1941"/>
    <w:rsid w:val="00EA1A65"/>
    <w:rsid w:val="00EA1B80"/>
    <w:rsid w:val="00EA1D4A"/>
    <w:rsid w:val="00EA1D87"/>
    <w:rsid w:val="00EA2087"/>
    <w:rsid w:val="00EA208A"/>
    <w:rsid w:val="00EA2231"/>
    <w:rsid w:val="00EA23F8"/>
    <w:rsid w:val="00EA249F"/>
    <w:rsid w:val="00EA26A7"/>
    <w:rsid w:val="00EA2967"/>
    <w:rsid w:val="00EA29ED"/>
    <w:rsid w:val="00EA2AEA"/>
    <w:rsid w:val="00EA2B5C"/>
    <w:rsid w:val="00EA2C01"/>
    <w:rsid w:val="00EA2CBD"/>
    <w:rsid w:val="00EA2E16"/>
    <w:rsid w:val="00EA2E65"/>
    <w:rsid w:val="00EA3049"/>
    <w:rsid w:val="00EA3176"/>
    <w:rsid w:val="00EA319D"/>
    <w:rsid w:val="00EA3842"/>
    <w:rsid w:val="00EA3855"/>
    <w:rsid w:val="00EA3A70"/>
    <w:rsid w:val="00EA3A81"/>
    <w:rsid w:val="00EA3B76"/>
    <w:rsid w:val="00EA3D56"/>
    <w:rsid w:val="00EA3DC4"/>
    <w:rsid w:val="00EA3E7E"/>
    <w:rsid w:val="00EA3F74"/>
    <w:rsid w:val="00EA3FCA"/>
    <w:rsid w:val="00EA41A7"/>
    <w:rsid w:val="00EA41EA"/>
    <w:rsid w:val="00EA4321"/>
    <w:rsid w:val="00EA432B"/>
    <w:rsid w:val="00EA4366"/>
    <w:rsid w:val="00EA453E"/>
    <w:rsid w:val="00EA484C"/>
    <w:rsid w:val="00EA48BD"/>
    <w:rsid w:val="00EA4951"/>
    <w:rsid w:val="00EA49E4"/>
    <w:rsid w:val="00EA4A4F"/>
    <w:rsid w:val="00EA4AD3"/>
    <w:rsid w:val="00EA4B8F"/>
    <w:rsid w:val="00EA4EAC"/>
    <w:rsid w:val="00EA4FB7"/>
    <w:rsid w:val="00EA50DF"/>
    <w:rsid w:val="00EA524A"/>
    <w:rsid w:val="00EA52D7"/>
    <w:rsid w:val="00EA53E3"/>
    <w:rsid w:val="00EA5440"/>
    <w:rsid w:val="00EA560A"/>
    <w:rsid w:val="00EA5639"/>
    <w:rsid w:val="00EA572A"/>
    <w:rsid w:val="00EA5A90"/>
    <w:rsid w:val="00EA5B06"/>
    <w:rsid w:val="00EA5D5A"/>
    <w:rsid w:val="00EA5DC6"/>
    <w:rsid w:val="00EA5DE9"/>
    <w:rsid w:val="00EA6008"/>
    <w:rsid w:val="00EA6019"/>
    <w:rsid w:val="00EA60EF"/>
    <w:rsid w:val="00EA613E"/>
    <w:rsid w:val="00EA616F"/>
    <w:rsid w:val="00EA618D"/>
    <w:rsid w:val="00EA6246"/>
    <w:rsid w:val="00EA6247"/>
    <w:rsid w:val="00EA64B1"/>
    <w:rsid w:val="00EA64DB"/>
    <w:rsid w:val="00EA653B"/>
    <w:rsid w:val="00EA6564"/>
    <w:rsid w:val="00EA6822"/>
    <w:rsid w:val="00EA6ACA"/>
    <w:rsid w:val="00EA6BFC"/>
    <w:rsid w:val="00EA6CB7"/>
    <w:rsid w:val="00EA6D93"/>
    <w:rsid w:val="00EA6DF7"/>
    <w:rsid w:val="00EA6E87"/>
    <w:rsid w:val="00EA700F"/>
    <w:rsid w:val="00EA707D"/>
    <w:rsid w:val="00EA719C"/>
    <w:rsid w:val="00EA7591"/>
    <w:rsid w:val="00EA77C1"/>
    <w:rsid w:val="00EA7A82"/>
    <w:rsid w:val="00EA7AE6"/>
    <w:rsid w:val="00EA7C54"/>
    <w:rsid w:val="00EA7C9A"/>
    <w:rsid w:val="00EA7E0A"/>
    <w:rsid w:val="00EA7E31"/>
    <w:rsid w:val="00EA7F18"/>
    <w:rsid w:val="00EA7F1E"/>
    <w:rsid w:val="00EB0236"/>
    <w:rsid w:val="00EB02A9"/>
    <w:rsid w:val="00EB0322"/>
    <w:rsid w:val="00EB0622"/>
    <w:rsid w:val="00EB07F5"/>
    <w:rsid w:val="00EB0A13"/>
    <w:rsid w:val="00EB0AE4"/>
    <w:rsid w:val="00EB0CB7"/>
    <w:rsid w:val="00EB0CCA"/>
    <w:rsid w:val="00EB0DDA"/>
    <w:rsid w:val="00EB0EA4"/>
    <w:rsid w:val="00EB1422"/>
    <w:rsid w:val="00EB1482"/>
    <w:rsid w:val="00EB1553"/>
    <w:rsid w:val="00EB1682"/>
    <w:rsid w:val="00EB1688"/>
    <w:rsid w:val="00EB16AD"/>
    <w:rsid w:val="00EB18FE"/>
    <w:rsid w:val="00EB1B3C"/>
    <w:rsid w:val="00EB1C13"/>
    <w:rsid w:val="00EB1C14"/>
    <w:rsid w:val="00EB1E99"/>
    <w:rsid w:val="00EB1F7C"/>
    <w:rsid w:val="00EB230E"/>
    <w:rsid w:val="00EB2330"/>
    <w:rsid w:val="00EB2485"/>
    <w:rsid w:val="00EB25EF"/>
    <w:rsid w:val="00EB277C"/>
    <w:rsid w:val="00EB2847"/>
    <w:rsid w:val="00EB293F"/>
    <w:rsid w:val="00EB2954"/>
    <w:rsid w:val="00EB2A0D"/>
    <w:rsid w:val="00EB2B68"/>
    <w:rsid w:val="00EB2C28"/>
    <w:rsid w:val="00EB2C7F"/>
    <w:rsid w:val="00EB2CF2"/>
    <w:rsid w:val="00EB2D3A"/>
    <w:rsid w:val="00EB3024"/>
    <w:rsid w:val="00EB30CC"/>
    <w:rsid w:val="00EB335F"/>
    <w:rsid w:val="00EB35F1"/>
    <w:rsid w:val="00EB3606"/>
    <w:rsid w:val="00EB366C"/>
    <w:rsid w:val="00EB36D3"/>
    <w:rsid w:val="00EB37CD"/>
    <w:rsid w:val="00EB3869"/>
    <w:rsid w:val="00EB3C65"/>
    <w:rsid w:val="00EB3E29"/>
    <w:rsid w:val="00EB3E6A"/>
    <w:rsid w:val="00EB3EA0"/>
    <w:rsid w:val="00EB3FB0"/>
    <w:rsid w:val="00EB4040"/>
    <w:rsid w:val="00EB419B"/>
    <w:rsid w:val="00EB41FE"/>
    <w:rsid w:val="00EB425D"/>
    <w:rsid w:val="00EB4322"/>
    <w:rsid w:val="00EB432A"/>
    <w:rsid w:val="00EB4366"/>
    <w:rsid w:val="00EB439A"/>
    <w:rsid w:val="00EB45CE"/>
    <w:rsid w:val="00EB4637"/>
    <w:rsid w:val="00EB47FF"/>
    <w:rsid w:val="00EB4805"/>
    <w:rsid w:val="00EB492E"/>
    <w:rsid w:val="00EB4988"/>
    <w:rsid w:val="00EB4B20"/>
    <w:rsid w:val="00EB4DA4"/>
    <w:rsid w:val="00EB4E78"/>
    <w:rsid w:val="00EB4EB5"/>
    <w:rsid w:val="00EB4F26"/>
    <w:rsid w:val="00EB4F5D"/>
    <w:rsid w:val="00EB4FDE"/>
    <w:rsid w:val="00EB504C"/>
    <w:rsid w:val="00EB52FB"/>
    <w:rsid w:val="00EB5323"/>
    <w:rsid w:val="00EB54B3"/>
    <w:rsid w:val="00EB561A"/>
    <w:rsid w:val="00EB568C"/>
    <w:rsid w:val="00EB5722"/>
    <w:rsid w:val="00EB57A4"/>
    <w:rsid w:val="00EB57CC"/>
    <w:rsid w:val="00EB589A"/>
    <w:rsid w:val="00EB59AE"/>
    <w:rsid w:val="00EB59FF"/>
    <w:rsid w:val="00EB5A11"/>
    <w:rsid w:val="00EB5A34"/>
    <w:rsid w:val="00EB5A56"/>
    <w:rsid w:val="00EB5C27"/>
    <w:rsid w:val="00EB6019"/>
    <w:rsid w:val="00EB604D"/>
    <w:rsid w:val="00EB6194"/>
    <w:rsid w:val="00EB6218"/>
    <w:rsid w:val="00EB634E"/>
    <w:rsid w:val="00EB6446"/>
    <w:rsid w:val="00EB64CE"/>
    <w:rsid w:val="00EB6670"/>
    <w:rsid w:val="00EB66C3"/>
    <w:rsid w:val="00EB6972"/>
    <w:rsid w:val="00EB6B23"/>
    <w:rsid w:val="00EB6CC8"/>
    <w:rsid w:val="00EB6CD0"/>
    <w:rsid w:val="00EB6D38"/>
    <w:rsid w:val="00EB6F3B"/>
    <w:rsid w:val="00EB6F68"/>
    <w:rsid w:val="00EB6F71"/>
    <w:rsid w:val="00EB7097"/>
    <w:rsid w:val="00EB7374"/>
    <w:rsid w:val="00EB74CC"/>
    <w:rsid w:val="00EB7660"/>
    <w:rsid w:val="00EB772A"/>
    <w:rsid w:val="00EB779A"/>
    <w:rsid w:val="00EB7B09"/>
    <w:rsid w:val="00EB7BBF"/>
    <w:rsid w:val="00EB7D0C"/>
    <w:rsid w:val="00EB7E26"/>
    <w:rsid w:val="00EB7E42"/>
    <w:rsid w:val="00EBBBCC"/>
    <w:rsid w:val="00EC00BF"/>
    <w:rsid w:val="00EC02CB"/>
    <w:rsid w:val="00EC0385"/>
    <w:rsid w:val="00EC03E6"/>
    <w:rsid w:val="00EC03F6"/>
    <w:rsid w:val="00EC0418"/>
    <w:rsid w:val="00EC069B"/>
    <w:rsid w:val="00EC06E0"/>
    <w:rsid w:val="00EC0982"/>
    <w:rsid w:val="00EC0BE7"/>
    <w:rsid w:val="00EC0CE7"/>
    <w:rsid w:val="00EC0D1F"/>
    <w:rsid w:val="00EC0E49"/>
    <w:rsid w:val="00EC0E5F"/>
    <w:rsid w:val="00EC0EAB"/>
    <w:rsid w:val="00EC0F03"/>
    <w:rsid w:val="00EC1163"/>
    <w:rsid w:val="00EC12D4"/>
    <w:rsid w:val="00EC1435"/>
    <w:rsid w:val="00EC147E"/>
    <w:rsid w:val="00EC194C"/>
    <w:rsid w:val="00EC1962"/>
    <w:rsid w:val="00EC1A4B"/>
    <w:rsid w:val="00EC1D25"/>
    <w:rsid w:val="00EC1D84"/>
    <w:rsid w:val="00EC1DDB"/>
    <w:rsid w:val="00EC1EE9"/>
    <w:rsid w:val="00EC1F0A"/>
    <w:rsid w:val="00EC1F17"/>
    <w:rsid w:val="00EC1FBB"/>
    <w:rsid w:val="00EC1FDB"/>
    <w:rsid w:val="00EC21CB"/>
    <w:rsid w:val="00EC21F5"/>
    <w:rsid w:val="00EC2243"/>
    <w:rsid w:val="00EC2333"/>
    <w:rsid w:val="00EC2388"/>
    <w:rsid w:val="00EC2511"/>
    <w:rsid w:val="00EC262F"/>
    <w:rsid w:val="00EC27B1"/>
    <w:rsid w:val="00EC27BA"/>
    <w:rsid w:val="00EC285B"/>
    <w:rsid w:val="00EC28B9"/>
    <w:rsid w:val="00EC28E3"/>
    <w:rsid w:val="00EC2AF8"/>
    <w:rsid w:val="00EC2BBD"/>
    <w:rsid w:val="00EC2DF5"/>
    <w:rsid w:val="00EC2E74"/>
    <w:rsid w:val="00EC3028"/>
    <w:rsid w:val="00EC3074"/>
    <w:rsid w:val="00EC30DA"/>
    <w:rsid w:val="00EC3251"/>
    <w:rsid w:val="00EC34E6"/>
    <w:rsid w:val="00EC34FE"/>
    <w:rsid w:val="00EC36DD"/>
    <w:rsid w:val="00EC38A8"/>
    <w:rsid w:val="00EC3910"/>
    <w:rsid w:val="00EC3B66"/>
    <w:rsid w:val="00EC3B97"/>
    <w:rsid w:val="00EC3C0C"/>
    <w:rsid w:val="00EC3D7C"/>
    <w:rsid w:val="00EC3E3C"/>
    <w:rsid w:val="00EC3F06"/>
    <w:rsid w:val="00EC3FFB"/>
    <w:rsid w:val="00EC411D"/>
    <w:rsid w:val="00EC415B"/>
    <w:rsid w:val="00EC4655"/>
    <w:rsid w:val="00EC489D"/>
    <w:rsid w:val="00EC48D5"/>
    <w:rsid w:val="00EC4910"/>
    <w:rsid w:val="00EC4994"/>
    <w:rsid w:val="00EC4B40"/>
    <w:rsid w:val="00EC4C5E"/>
    <w:rsid w:val="00EC4C75"/>
    <w:rsid w:val="00EC4C88"/>
    <w:rsid w:val="00EC4D6E"/>
    <w:rsid w:val="00EC4DBA"/>
    <w:rsid w:val="00EC4E67"/>
    <w:rsid w:val="00EC4F97"/>
    <w:rsid w:val="00EC5261"/>
    <w:rsid w:val="00EC534B"/>
    <w:rsid w:val="00EC5599"/>
    <w:rsid w:val="00EC56CC"/>
    <w:rsid w:val="00EC577C"/>
    <w:rsid w:val="00EC5966"/>
    <w:rsid w:val="00EC5985"/>
    <w:rsid w:val="00EC5989"/>
    <w:rsid w:val="00EC5A51"/>
    <w:rsid w:val="00EC5A7A"/>
    <w:rsid w:val="00EC5C16"/>
    <w:rsid w:val="00EC5C31"/>
    <w:rsid w:val="00EC5D06"/>
    <w:rsid w:val="00EC5D8A"/>
    <w:rsid w:val="00EC5FC1"/>
    <w:rsid w:val="00EC64A1"/>
    <w:rsid w:val="00EC64D6"/>
    <w:rsid w:val="00EC6661"/>
    <w:rsid w:val="00EC679D"/>
    <w:rsid w:val="00EC681C"/>
    <w:rsid w:val="00EC6898"/>
    <w:rsid w:val="00EC68E9"/>
    <w:rsid w:val="00EC6916"/>
    <w:rsid w:val="00EC69C3"/>
    <w:rsid w:val="00EC6AE2"/>
    <w:rsid w:val="00EC6B5D"/>
    <w:rsid w:val="00EC6CB8"/>
    <w:rsid w:val="00EC6D0B"/>
    <w:rsid w:val="00EC6D69"/>
    <w:rsid w:val="00EC6D6A"/>
    <w:rsid w:val="00EC6DC1"/>
    <w:rsid w:val="00EC6E79"/>
    <w:rsid w:val="00EC7080"/>
    <w:rsid w:val="00EC7304"/>
    <w:rsid w:val="00EC730E"/>
    <w:rsid w:val="00EC73CA"/>
    <w:rsid w:val="00EC75ED"/>
    <w:rsid w:val="00EC75FD"/>
    <w:rsid w:val="00EC7697"/>
    <w:rsid w:val="00EC78D9"/>
    <w:rsid w:val="00EC79B3"/>
    <w:rsid w:val="00EC7C2C"/>
    <w:rsid w:val="00EC7C4E"/>
    <w:rsid w:val="00EC7C50"/>
    <w:rsid w:val="00EC7EC3"/>
    <w:rsid w:val="00EC7F32"/>
    <w:rsid w:val="00ECA1E0"/>
    <w:rsid w:val="00ECDFB3"/>
    <w:rsid w:val="00ED0355"/>
    <w:rsid w:val="00ED0361"/>
    <w:rsid w:val="00ED0383"/>
    <w:rsid w:val="00ED03A8"/>
    <w:rsid w:val="00ED03E6"/>
    <w:rsid w:val="00ED04E4"/>
    <w:rsid w:val="00ED056E"/>
    <w:rsid w:val="00ED065C"/>
    <w:rsid w:val="00ED06A5"/>
    <w:rsid w:val="00ED0811"/>
    <w:rsid w:val="00ED0822"/>
    <w:rsid w:val="00ED0887"/>
    <w:rsid w:val="00ED0BB4"/>
    <w:rsid w:val="00ED0E5A"/>
    <w:rsid w:val="00ED1061"/>
    <w:rsid w:val="00ED10A4"/>
    <w:rsid w:val="00ED11A2"/>
    <w:rsid w:val="00ED11F2"/>
    <w:rsid w:val="00ED11F4"/>
    <w:rsid w:val="00ED1264"/>
    <w:rsid w:val="00ED12ED"/>
    <w:rsid w:val="00ED1452"/>
    <w:rsid w:val="00ED14C3"/>
    <w:rsid w:val="00ED15AC"/>
    <w:rsid w:val="00ED1845"/>
    <w:rsid w:val="00ED189D"/>
    <w:rsid w:val="00ED1977"/>
    <w:rsid w:val="00ED1A02"/>
    <w:rsid w:val="00ED1A09"/>
    <w:rsid w:val="00ED1C35"/>
    <w:rsid w:val="00ED1E33"/>
    <w:rsid w:val="00ED2037"/>
    <w:rsid w:val="00ED2055"/>
    <w:rsid w:val="00ED2074"/>
    <w:rsid w:val="00ED21BD"/>
    <w:rsid w:val="00ED21DB"/>
    <w:rsid w:val="00ED229A"/>
    <w:rsid w:val="00ED22EE"/>
    <w:rsid w:val="00ED23F8"/>
    <w:rsid w:val="00ED2647"/>
    <w:rsid w:val="00ED267F"/>
    <w:rsid w:val="00ED269C"/>
    <w:rsid w:val="00ED2814"/>
    <w:rsid w:val="00ED29B0"/>
    <w:rsid w:val="00ED2B29"/>
    <w:rsid w:val="00ED2BCD"/>
    <w:rsid w:val="00ED2C8B"/>
    <w:rsid w:val="00ED2E0E"/>
    <w:rsid w:val="00ED2E3C"/>
    <w:rsid w:val="00ED3028"/>
    <w:rsid w:val="00ED30B4"/>
    <w:rsid w:val="00ED311B"/>
    <w:rsid w:val="00ED3273"/>
    <w:rsid w:val="00ED32F9"/>
    <w:rsid w:val="00ED33AF"/>
    <w:rsid w:val="00ED384B"/>
    <w:rsid w:val="00ED39A8"/>
    <w:rsid w:val="00ED3C1A"/>
    <w:rsid w:val="00ED3CE5"/>
    <w:rsid w:val="00ED3D00"/>
    <w:rsid w:val="00ED3D43"/>
    <w:rsid w:val="00ED3EAF"/>
    <w:rsid w:val="00ED3ED0"/>
    <w:rsid w:val="00ED3F1A"/>
    <w:rsid w:val="00ED40C1"/>
    <w:rsid w:val="00ED4181"/>
    <w:rsid w:val="00ED4218"/>
    <w:rsid w:val="00ED441D"/>
    <w:rsid w:val="00ED4568"/>
    <w:rsid w:val="00ED4672"/>
    <w:rsid w:val="00ED4973"/>
    <w:rsid w:val="00ED4A8B"/>
    <w:rsid w:val="00ED4B6A"/>
    <w:rsid w:val="00ED4C2F"/>
    <w:rsid w:val="00ED4C45"/>
    <w:rsid w:val="00ED4E3B"/>
    <w:rsid w:val="00ED4EC0"/>
    <w:rsid w:val="00ED4FBB"/>
    <w:rsid w:val="00ED5015"/>
    <w:rsid w:val="00ED5047"/>
    <w:rsid w:val="00ED515E"/>
    <w:rsid w:val="00ED5197"/>
    <w:rsid w:val="00ED5462"/>
    <w:rsid w:val="00ED557F"/>
    <w:rsid w:val="00ED558E"/>
    <w:rsid w:val="00ED5675"/>
    <w:rsid w:val="00ED56C1"/>
    <w:rsid w:val="00ED5744"/>
    <w:rsid w:val="00ED57F1"/>
    <w:rsid w:val="00ED582E"/>
    <w:rsid w:val="00ED58D2"/>
    <w:rsid w:val="00ED59BD"/>
    <w:rsid w:val="00ED5AC2"/>
    <w:rsid w:val="00ED5BC2"/>
    <w:rsid w:val="00ED6000"/>
    <w:rsid w:val="00ED6010"/>
    <w:rsid w:val="00ED6057"/>
    <w:rsid w:val="00ED617B"/>
    <w:rsid w:val="00ED6686"/>
    <w:rsid w:val="00ED678A"/>
    <w:rsid w:val="00ED6972"/>
    <w:rsid w:val="00ED6AF9"/>
    <w:rsid w:val="00ED6B35"/>
    <w:rsid w:val="00ED6B5E"/>
    <w:rsid w:val="00ED6D8D"/>
    <w:rsid w:val="00ED6F0E"/>
    <w:rsid w:val="00ED6F96"/>
    <w:rsid w:val="00ED70F3"/>
    <w:rsid w:val="00ED720E"/>
    <w:rsid w:val="00ED73B8"/>
    <w:rsid w:val="00ED7781"/>
    <w:rsid w:val="00ED7858"/>
    <w:rsid w:val="00ED78FD"/>
    <w:rsid w:val="00ED7B4E"/>
    <w:rsid w:val="00ED7CE2"/>
    <w:rsid w:val="00ED7D5A"/>
    <w:rsid w:val="00EE0012"/>
    <w:rsid w:val="00EE0062"/>
    <w:rsid w:val="00EE0090"/>
    <w:rsid w:val="00EE0187"/>
    <w:rsid w:val="00EE0466"/>
    <w:rsid w:val="00EE0656"/>
    <w:rsid w:val="00EE0875"/>
    <w:rsid w:val="00EE08AC"/>
    <w:rsid w:val="00EE09FF"/>
    <w:rsid w:val="00EE0A33"/>
    <w:rsid w:val="00EE0BAD"/>
    <w:rsid w:val="00EE0BBA"/>
    <w:rsid w:val="00EE0C2E"/>
    <w:rsid w:val="00EE0D4C"/>
    <w:rsid w:val="00EE0ECD"/>
    <w:rsid w:val="00EE0F50"/>
    <w:rsid w:val="00EE10DA"/>
    <w:rsid w:val="00EE1136"/>
    <w:rsid w:val="00EE119A"/>
    <w:rsid w:val="00EE11B7"/>
    <w:rsid w:val="00EE12C5"/>
    <w:rsid w:val="00EE15BB"/>
    <w:rsid w:val="00EE16A4"/>
    <w:rsid w:val="00EE1A46"/>
    <w:rsid w:val="00EE1B50"/>
    <w:rsid w:val="00EE1E88"/>
    <w:rsid w:val="00EE21E8"/>
    <w:rsid w:val="00EE221E"/>
    <w:rsid w:val="00EE22C3"/>
    <w:rsid w:val="00EE2409"/>
    <w:rsid w:val="00EE245F"/>
    <w:rsid w:val="00EE2658"/>
    <w:rsid w:val="00EE267D"/>
    <w:rsid w:val="00EE2872"/>
    <w:rsid w:val="00EE2B1E"/>
    <w:rsid w:val="00EE2B6A"/>
    <w:rsid w:val="00EE2C34"/>
    <w:rsid w:val="00EE2DAC"/>
    <w:rsid w:val="00EE3105"/>
    <w:rsid w:val="00EE3200"/>
    <w:rsid w:val="00EE32A1"/>
    <w:rsid w:val="00EE3348"/>
    <w:rsid w:val="00EE33A1"/>
    <w:rsid w:val="00EE33DF"/>
    <w:rsid w:val="00EE358D"/>
    <w:rsid w:val="00EE35AB"/>
    <w:rsid w:val="00EE360F"/>
    <w:rsid w:val="00EE377F"/>
    <w:rsid w:val="00EE3787"/>
    <w:rsid w:val="00EE389F"/>
    <w:rsid w:val="00EE3948"/>
    <w:rsid w:val="00EE3C53"/>
    <w:rsid w:val="00EE3C5E"/>
    <w:rsid w:val="00EE3D0F"/>
    <w:rsid w:val="00EE3D2C"/>
    <w:rsid w:val="00EE402A"/>
    <w:rsid w:val="00EE4610"/>
    <w:rsid w:val="00EE4783"/>
    <w:rsid w:val="00EE47EF"/>
    <w:rsid w:val="00EE4A0E"/>
    <w:rsid w:val="00EE4A8C"/>
    <w:rsid w:val="00EE4AB7"/>
    <w:rsid w:val="00EE4C02"/>
    <w:rsid w:val="00EE4DDF"/>
    <w:rsid w:val="00EE4E89"/>
    <w:rsid w:val="00EE4EAB"/>
    <w:rsid w:val="00EE5008"/>
    <w:rsid w:val="00EE50BD"/>
    <w:rsid w:val="00EE5110"/>
    <w:rsid w:val="00EE5135"/>
    <w:rsid w:val="00EE51E3"/>
    <w:rsid w:val="00EE5261"/>
    <w:rsid w:val="00EE52AD"/>
    <w:rsid w:val="00EE53AF"/>
    <w:rsid w:val="00EE54DB"/>
    <w:rsid w:val="00EE5511"/>
    <w:rsid w:val="00EE5592"/>
    <w:rsid w:val="00EE5647"/>
    <w:rsid w:val="00EE565B"/>
    <w:rsid w:val="00EE5678"/>
    <w:rsid w:val="00EE56F8"/>
    <w:rsid w:val="00EE5819"/>
    <w:rsid w:val="00EE58B8"/>
    <w:rsid w:val="00EE5BB7"/>
    <w:rsid w:val="00EE5C97"/>
    <w:rsid w:val="00EE5D5F"/>
    <w:rsid w:val="00EE6050"/>
    <w:rsid w:val="00EE633A"/>
    <w:rsid w:val="00EE63B9"/>
    <w:rsid w:val="00EE66C4"/>
    <w:rsid w:val="00EE66D4"/>
    <w:rsid w:val="00EE687E"/>
    <w:rsid w:val="00EE6916"/>
    <w:rsid w:val="00EE694D"/>
    <w:rsid w:val="00EE6A38"/>
    <w:rsid w:val="00EE6AE7"/>
    <w:rsid w:val="00EE6AE8"/>
    <w:rsid w:val="00EE6BED"/>
    <w:rsid w:val="00EE6BF6"/>
    <w:rsid w:val="00EE6C9D"/>
    <w:rsid w:val="00EE6CD8"/>
    <w:rsid w:val="00EE6CDC"/>
    <w:rsid w:val="00EE6CE8"/>
    <w:rsid w:val="00EE6E76"/>
    <w:rsid w:val="00EE6F4D"/>
    <w:rsid w:val="00EE6FAC"/>
    <w:rsid w:val="00EE6FBE"/>
    <w:rsid w:val="00EE7009"/>
    <w:rsid w:val="00EE700E"/>
    <w:rsid w:val="00EE70BB"/>
    <w:rsid w:val="00EE7146"/>
    <w:rsid w:val="00EE7222"/>
    <w:rsid w:val="00EE7240"/>
    <w:rsid w:val="00EE737E"/>
    <w:rsid w:val="00EE73C7"/>
    <w:rsid w:val="00EE73E9"/>
    <w:rsid w:val="00EE745A"/>
    <w:rsid w:val="00EE74A0"/>
    <w:rsid w:val="00EE74D9"/>
    <w:rsid w:val="00EE75FB"/>
    <w:rsid w:val="00EE7760"/>
    <w:rsid w:val="00EE77AD"/>
    <w:rsid w:val="00EE7A13"/>
    <w:rsid w:val="00EE7A14"/>
    <w:rsid w:val="00EE7B2D"/>
    <w:rsid w:val="00EE7BC6"/>
    <w:rsid w:val="00EE7BDF"/>
    <w:rsid w:val="00EE7C0D"/>
    <w:rsid w:val="00EE7C9A"/>
    <w:rsid w:val="00EE7DBE"/>
    <w:rsid w:val="00EE7DDF"/>
    <w:rsid w:val="00EE7E2C"/>
    <w:rsid w:val="00EE7F79"/>
    <w:rsid w:val="00EE7FB8"/>
    <w:rsid w:val="00EE7FEF"/>
    <w:rsid w:val="00EF0112"/>
    <w:rsid w:val="00EF01B3"/>
    <w:rsid w:val="00EF01FF"/>
    <w:rsid w:val="00EF0216"/>
    <w:rsid w:val="00EF0747"/>
    <w:rsid w:val="00EF07E5"/>
    <w:rsid w:val="00EF0C56"/>
    <w:rsid w:val="00EF0E49"/>
    <w:rsid w:val="00EF0F4D"/>
    <w:rsid w:val="00EF105F"/>
    <w:rsid w:val="00EF113D"/>
    <w:rsid w:val="00EF12BB"/>
    <w:rsid w:val="00EF12E4"/>
    <w:rsid w:val="00EF14A7"/>
    <w:rsid w:val="00EF162C"/>
    <w:rsid w:val="00EF1723"/>
    <w:rsid w:val="00EF1971"/>
    <w:rsid w:val="00EF19C9"/>
    <w:rsid w:val="00EF19D1"/>
    <w:rsid w:val="00EF1A02"/>
    <w:rsid w:val="00EF1B9D"/>
    <w:rsid w:val="00EF1F95"/>
    <w:rsid w:val="00EF1FA9"/>
    <w:rsid w:val="00EF2066"/>
    <w:rsid w:val="00EF209A"/>
    <w:rsid w:val="00EF215B"/>
    <w:rsid w:val="00EF2173"/>
    <w:rsid w:val="00EF218F"/>
    <w:rsid w:val="00EF21B7"/>
    <w:rsid w:val="00EF232D"/>
    <w:rsid w:val="00EF23F6"/>
    <w:rsid w:val="00EF2403"/>
    <w:rsid w:val="00EF2553"/>
    <w:rsid w:val="00EF27D0"/>
    <w:rsid w:val="00EF2802"/>
    <w:rsid w:val="00EF29C5"/>
    <w:rsid w:val="00EF2C03"/>
    <w:rsid w:val="00EF2CE7"/>
    <w:rsid w:val="00EF2E39"/>
    <w:rsid w:val="00EF2FFB"/>
    <w:rsid w:val="00EF303D"/>
    <w:rsid w:val="00EF31B8"/>
    <w:rsid w:val="00EF3322"/>
    <w:rsid w:val="00EF33B3"/>
    <w:rsid w:val="00EF341B"/>
    <w:rsid w:val="00EF3428"/>
    <w:rsid w:val="00EF34B7"/>
    <w:rsid w:val="00EF34D4"/>
    <w:rsid w:val="00EF352A"/>
    <w:rsid w:val="00EF3609"/>
    <w:rsid w:val="00EF360C"/>
    <w:rsid w:val="00EF3808"/>
    <w:rsid w:val="00EF3810"/>
    <w:rsid w:val="00EF397C"/>
    <w:rsid w:val="00EF39D2"/>
    <w:rsid w:val="00EF3C47"/>
    <w:rsid w:val="00EF3D27"/>
    <w:rsid w:val="00EF3D58"/>
    <w:rsid w:val="00EF3D62"/>
    <w:rsid w:val="00EF3E18"/>
    <w:rsid w:val="00EF3EDB"/>
    <w:rsid w:val="00EF4022"/>
    <w:rsid w:val="00EF4023"/>
    <w:rsid w:val="00EF4149"/>
    <w:rsid w:val="00EF417B"/>
    <w:rsid w:val="00EF431A"/>
    <w:rsid w:val="00EF4616"/>
    <w:rsid w:val="00EF46B1"/>
    <w:rsid w:val="00EF4916"/>
    <w:rsid w:val="00EF492B"/>
    <w:rsid w:val="00EF49D5"/>
    <w:rsid w:val="00EF4D21"/>
    <w:rsid w:val="00EF4E54"/>
    <w:rsid w:val="00EF51B2"/>
    <w:rsid w:val="00EF544D"/>
    <w:rsid w:val="00EF5458"/>
    <w:rsid w:val="00EF5516"/>
    <w:rsid w:val="00EF55D0"/>
    <w:rsid w:val="00EF55E4"/>
    <w:rsid w:val="00EF5648"/>
    <w:rsid w:val="00EF58D9"/>
    <w:rsid w:val="00EF59F7"/>
    <w:rsid w:val="00EF5B03"/>
    <w:rsid w:val="00EF5D1A"/>
    <w:rsid w:val="00EF5D7D"/>
    <w:rsid w:val="00EF5DC5"/>
    <w:rsid w:val="00EF5E2F"/>
    <w:rsid w:val="00EF5F9B"/>
    <w:rsid w:val="00EF5FE2"/>
    <w:rsid w:val="00EF60B1"/>
    <w:rsid w:val="00EF61CA"/>
    <w:rsid w:val="00EF6223"/>
    <w:rsid w:val="00EF62AE"/>
    <w:rsid w:val="00EF6358"/>
    <w:rsid w:val="00EF65CB"/>
    <w:rsid w:val="00EF670F"/>
    <w:rsid w:val="00EF6890"/>
    <w:rsid w:val="00EF6A0D"/>
    <w:rsid w:val="00EF6EF7"/>
    <w:rsid w:val="00EF6F34"/>
    <w:rsid w:val="00EF6F3F"/>
    <w:rsid w:val="00EF7249"/>
    <w:rsid w:val="00EF727E"/>
    <w:rsid w:val="00EF73E6"/>
    <w:rsid w:val="00EF74BB"/>
    <w:rsid w:val="00EF75E5"/>
    <w:rsid w:val="00EF7838"/>
    <w:rsid w:val="00EF79F4"/>
    <w:rsid w:val="00EF7A3D"/>
    <w:rsid w:val="00EF7BAA"/>
    <w:rsid w:val="00EF7C65"/>
    <w:rsid w:val="00EF7D59"/>
    <w:rsid w:val="00EF7FD1"/>
    <w:rsid w:val="00F00059"/>
    <w:rsid w:val="00F000A1"/>
    <w:rsid w:val="00F002C4"/>
    <w:rsid w:val="00F003D0"/>
    <w:rsid w:val="00F004E4"/>
    <w:rsid w:val="00F005A8"/>
    <w:rsid w:val="00F005FA"/>
    <w:rsid w:val="00F0067D"/>
    <w:rsid w:val="00F0083A"/>
    <w:rsid w:val="00F0085E"/>
    <w:rsid w:val="00F00987"/>
    <w:rsid w:val="00F00A89"/>
    <w:rsid w:val="00F00AAD"/>
    <w:rsid w:val="00F00E6A"/>
    <w:rsid w:val="00F00F69"/>
    <w:rsid w:val="00F00F7A"/>
    <w:rsid w:val="00F01007"/>
    <w:rsid w:val="00F0109B"/>
    <w:rsid w:val="00F011E0"/>
    <w:rsid w:val="00F012B4"/>
    <w:rsid w:val="00F0132A"/>
    <w:rsid w:val="00F01374"/>
    <w:rsid w:val="00F0155E"/>
    <w:rsid w:val="00F015A1"/>
    <w:rsid w:val="00F015BD"/>
    <w:rsid w:val="00F0172B"/>
    <w:rsid w:val="00F0186B"/>
    <w:rsid w:val="00F01876"/>
    <w:rsid w:val="00F018D0"/>
    <w:rsid w:val="00F01AE4"/>
    <w:rsid w:val="00F01BD0"/>
    <w:rsid w:val="00F01D5E"/>
    <w:rsid w:val="00F01DC6"/>
    <w:rsid w:val="00F01E10"/>
    <w:rsid w:val="00F02066"/>
    <w:rsid w:val="00F021BE"/>
    <w:rsid w:val="00F02276"/>
    <w:rsid w:val="00F025BF"/>
    <w:rsid w:val="00F0268F"/>
    <w:rsid w:val="00F02884"/>
    <w:rsid w:val="00F0296A"/>
    <w:rsid w:val="00F02AD9"/>
    <w:rsid w:val="00F02ADD"/>
    <w:rsid w:val="00F02BD8"/>
    <w:rsid w:val="00F02CE2"/>
    <w:rsid w:val="00F02DDC"/>
    <w:rsid w:val="00F02F0B"/>
    <w:rsid w:val="00F02F4D"/>
    <w:rsid w:val="00F02FC7"/>
    <w:rsid w:val="00F02FE5"/>
    <w:rsid w:val="00F03210"/>
    <w:rsid w:val="00F034AA"/>
    <w:rsid w:val="00F034CF"/>
    <w:rsid w:val="00F03658"/>
    <w:rsid w:val="00F03793"/>
    <w:rsid w:val="00F0379F"/>
    <w:rsid w:val="00F0383C"/>
    <w:rsid w:val="00F03879"/>
    <w:rsid w:val="00F0399B"/>
    <w:rsid w:val="00F039DB"/>
    <w:rsid w:val="00F03ADE"/>
    <w:rsid w:val="00F03F1A"/>
    <w:rsid w:val="00F03F98"/>
    <w:rsid w:val="00F041D0"/>
    <w:rsid w:val="00F041DF"/>
    <w:rsid w:val="00F042D1"/>
    <w:rsid w:val="00F04322"/>
    <w:rsid w:val="00F043C6"/>
    <w:rsid w:val="00F045BB"/>
    <w:rsid w:val="00F0464E"/>
    <w:rsid w:val="00F0496C"/>
    <w:rsid w:val="00F04A73"/>
    <w:rsid w:val="00F04AD9"/>
    <w:rsid w:val="00F04C7A"/>
    <w:rsid w:val="00F04DE0"/>
    <w:rsid w:val="00F04EB1"/>
    <w:rsid w:val="00F04EBF"/>
    <w:rsid w:val="00F04F15"/>
    <w:rsid w:val="00F04FD6"/>
    <w:rsid w:val="00F05036"/>
    <w:rsid w:val="00F051B2"/>
    <w:rsid w:val="00F051BD"/>
    <w:rsid w:val="00F056EE"/>
    <w:rsid w:val="00F05A28"/>
    <w:rsid w:val="00F05BD2"/>
    <w:rsid w:val="00F05F96"/>
    <w:rsid w:val="00F05FEC"/>
    <w:rsid w:val="00F06024"/>
    <w:rsid w:val="00F06056"/>
    <w:rsid w:val="00F06092"/>
    <w:rsid w:val="00F0613B"/>
    <w:rsid w:val="00F06170"/>
    <w:rsid w:val="00F061E2"/>
    <w:rsid w:val="00F0620D"/>
    <w:rsid w:val="00F0625A"/>
    <w:rsid w:val="00F0633D"/>
    <w:rsid w:val="00F063D5"/>
    <w:rsid w:val="00F064D9"/>
    <w:rsid w:val="00F064DF"/>
    <w:rsid w:val="00F0678B"/>
    <w:rsid w:val="00F0679F"/>
    <w:rsid w:val="00F06AAB"/>
    <w:rsid w:val="00F06ADD"/>
    <w:rsid w:val="00F06CAA"/>
    <w:rsid w:val="00F06CEA"/>
    <w:rsid w:val="00F06F0C"/>
    <w:rsid w:val="00F07035"/>
    <w:rsid w:val="00F07164"/>
    <w:rsid w:val="00F0719E"/>
    <w:rsid w:val="00F072F5"/>
    <w:rsid w:val="00F073B5"/>
    <w:rsid w:val="00F0759B"/>
    <w:rsid w:val="00F077C6"/>
    <w:rsid w:val="00F07841"/>
    <w:rsid w:val="00F07A5E"/>
    <w:rsid w:val="00F07BE0"/>
    <w:rsid w:val="00F07C84"/>
    <w:rsid w:val="00F07D1D"/>
    <w:rsid w:val="00F07DCA"/>
    <w:rsid w:val="00F07F65"/>
    <w:rsid w:val="00F1024D"/>
    <w:rsid w:val="00F102AF"/>
    <w:rsid w:val="00F1042E"/>
    <w:rsid w:val="00F1045F"/>
    <w:rsid w:val="00F104A8"/>
    <w:rsid w:val="00F10AF3"/>
    <w:rsid w:val="00F10B50"/>
    <w:rsid w:val="00F10CDB"/>
    <w:rsid w:val="00F10DE1"/>
    <w:rsid w:val="00F10E58"/>
    <w:rsid w:val="00F11017"/>
    <w:rsid w:val="00F110BC"/>
    <w:rsid w:val="00F1113E"/>
    <w:rsid w:val="00F111E8"/>
    <w:rsid w:val="00F1126A"/>
    <w:rsid w:val="00F113FC"/>
    <w:rsid w:val="00F11475"/>
    <w:rsid w:val="00F116D3"/>
    <w:rsid w:val="00F1179F"/>
    <w:rsid w:val="00F11824"/>
    <w:rsid w:val="00F11897"/>
    <w:rsid w:val="00F1197D"/>
    <w:rsid w:val="00F11A40"/>
    <w:rsid w:val="00F11AE1"/>
    <w:rsid w:val="00F11AEF"/>
    <w:rsid w:val="00F11B37"/>
    <w:rsid w:val="00F11C0B"/>
    <w:rsid w:val="00F11C3C"/>
    <w:rsid w:val="00F11CAD"/>
    <w:rsid w:val="00F12002"/>
    <w:rsid w:val="00F1215C"/>
    <w:rsid w:val="00F12226"/>
    <w:rsid w:val="00F12242"/>
    <w:rsid w:val="00F123EF"/>
    <w:rsid w:val="00F124DD"/>
    <w:rsid w:val="00F12529"/>
    <w:rsid w:val="00F12582"/>
    <w:rsid w:val="00F12656"/>
    <w:rsid w:val="00F126C9"/>
    <w:rsid w:val="00F126EC"/>
    <w:rsid w:val="00F126F3"/>
    <w:rsid w:val="00F127B2"/>
    <w:rsid w:val="00F128D7"/>
    <w:rsid w:val="00F12C58"/>
    <w:rsid w:val="00F12CA1"/>
    <w:rsid w:val="00F12E23"/>
    <w:rsid w:val="00F12FBD"/>
    <w:rsid w:val="00F1320E"/>
    <w:rsid w:val="00F13259"/>
    <w:rsid w:val="00F132FA"/>
    <w:rsid w:val="00F133A7"/>
    <w:rsid w:val="00F133CC"/>
    <w:rsid w:val="00F134A3"/>
    <w:rsid w:val="00F135B5"/>
    <w:rsid w:val="00F13BB3"/>
    <w:rsid w:val="00F13EA7"/>
    <w:rsid w:val="00F14090"/>
    <w:rsid w:val="00F142AB"/>
    <w:rsid w:val="00F142BA"/>
    <w:rsid w:val="00F14406"/>
    <w:rsid w:val="00F1443C"/>
    <w:rsid w:val="00F144DD"/>
    <w:rsid w:val="00F145AF"/>
    <w:rsid w:val="00F146EE"/>
    <w:rsid w:val="00F14811"/>
    <w:rsid w:val="00F148A3"/>
    <w:rsid w:val="00F1490A"/>
    <w:rsid w:val="00F14A6B"/>
    <w:rsid w:val="00F14A6D"/>
    <w:rsid w:val="00F14A95"/>
    <w:rsid w:val="00F14AD3"/>
    <w:rsid w:val="00F14B31"/>
    <w:rsid w:val="00F14C23"/>
    <w:rsid w:val="00F14D0F"/>
    <w:rsid w:val="00F14D10"/>
    <w:rsid w:val="00F1505E"/>
    <w:rsid w:val="00F15088"/>
    <w:rsid w:val="00F15207"/>
    <w:rsid w:val="00F1528D"/>
    <w:rsid w:val="00F152A2"/>
    <w:rsid w:val="00F15662"/>
    <w:rsid w:val="00F1578B"/>
    <w:rsid w:val="00F15A01"/>
    <w:rsid w:val="00F15BAC"/>
    <w:rsid w:val="00F15C48"/>
    <w:rsid w:val="00F160CD"/>
    <w:rsid w:val="00F160ED"/>
    <w:rsid w:val="00F162B5"/>
    <w:rsid w:val="00F162C0"/>
    <w:rsid w:val="00F162C5"/>
    <w:rsid w:val="00F1632C"/>
    <w:rsid w:val="00F16433"/>
    <w:rsid w:val="00F16497"/>
    <w:rsid w:val="00F164E1"/>
    <w:rsid w:val="00F1650A"/>
    <w:rsid w:val="00F165D5"/>
    <w:rsid w:val="00F16721"/>
    <w:rsid w:val="00F16927"/>
    <w:rsid w:val="00F1694A"/>
    <w:rsid w:val="00F16B6C"/>
    <w:rsid w:val="00F16C28"/>
    <w:rsid w:val="00F16D26"/>
    <w:rsid w:val="00F16DB5"/>
    <w:rsid w:val="00F170A2"/>
    <w:rsid w:val="00F17248"/>
    <w:rsid w:val="00F17582"/>
    <w:rsid w:val="00F17667"/>
    <w:rsid w:val="00F1776E"/>
    <w:rsid w:val="00F177A9"/>
    <w:rsid w:val="00F17828"/>
    <w:rsid w:val="00F1786D"/>
    <w:rsid w:val="00F178BC"/>
    <w:rsid w:val="00F17938"/>
    <w:rsid w:val="00F17AF3"/>
    <w:rsid w:val="00F17AF7"/>
    <w:rsid w:val="00F17B18"/>
    <w:rsid w:val="00F17C99"/>
    <w:rsid w:val="00F17EEE"/>
    <w:rsid w:val="00F17F5D"/>
    <w:rsid w:val="00F200DA"/>
    <w:rsid w:val="00F20159"/>
    <w:rsid w:val="00F2016D"/>
    <w:rsid w:val="00F2035B"/>
    <w:rsid w:val="00F20408"/>
    <w:rsid w:val="00F2047E"/>
    <w:rsid w:val="00F2049A"/>
    <w:rsid w:val="00F20510"/>
    <w:rsid w:val="00F20576"/>
    <w:rsid w:val="00F20591"/>
    <w:rsid w:val="00F207D7"/>
    <w:rsid w:val="00F208EC"/>
    <w:rsid w:val="00F20A1B"/>
    <w:rsid w:val="00F20A2B"/>
    <w:rsid w:val="00F20A94"/>
    <w:rsid w:val="00F20AA3"/>
    <w:rsid w:val="00F20ABA"/>
    <w:rsid w:val="00F20DA1"/>
    <w:rsid w:val="00F20E42"/>
    <w:rsid w:val="00F20EA9"/>
    <w:rsid w:val="00F21069"/>
    <w:rsid w:val="00F21090"/>
    <w:rsid w:val="00F2118D"/>
    <w:rsid w:val="00F2120F"/>
    <w:rsid w:val="00F21344"/>
    <w:rsid w:val="00F2182A"/>
    <w:rsid w:val="00F2186B"/>
    <w:rsid w:val="00F218C0"/>
    <w:rsid w:val="00F218CA"/>
    <w:rsid w:val="00F219AC"/>
    <w:rsid w:val="00F21C95"/>
    <w:rsid w:val="00F21CB8"/>
    <w:rsid w:val="00F21ED0"/>
    <w:rsid w:val="00F21F0E"/>
    <w:rsid w:val="00F220A5"/>
    <w:rsid w:val="00F2221A"/>
    <w:rsid w:val="00F2228C"/>
    <w:rsid w:val="00F22355"/>
    <w:rsid w:val="00F2239B"/>
    <w:rsid w:val="00F223B5"/>
    <w:rsid w:val="00F224CC"/>
    <w:rsid w:val="00F2255D"/>
    <w:rsid w:val="00F2263A"/>
    <w:rsid w:val="00F2269A"/>
    <w:rsid w:val="00F2285F"/>
    <w:rsid w:val="00F228AB"/>
    <w:rsid w:val="00F229E0"/>
    <w:rsid w:val="00F22A35"/>
    <w:rsid w:val="00F22BB5"/>
    <w:rsid w:val="00F22C13"/>
    <w:rsid w:val="00F22CD9"/>
    <w:rsid w:val="00F22FEE"/>
    <w:rsid w:val="00F2306E"/>
    <w:rsid w:val="00F230F7"/>
    <w:rsid w:val="00F232F5"/>
    <w:rsid w:val="00F237D1"/>
    <w:rsid w:val="00F2385D"/>
    <w:rsid w:val="00F238E2"/>
    <w:rsid w:val="00F23921"/>
    <w:rsid w:val="00F239BB"/>
    <w:rsid w:val="00F23AEE"/>
    <w:rsid w:val="00F23B20"/>
    <w:rsid w:val="00F23BC9"/>
    <w:rsid w:val="00F23CBD"/>
    <w:rsid w:val="00F23D36"/>
    <w:rsid w:val="00F23FA3"/>
    <w:rsid w:val="00F23FDA"/>
    <w:rsid w:val="00F241D3"/>
    <w:rsid w:val="00F24292"/>
    <w:rsid w:val="00F243CC"/>
    <w:rsid w:val="00F244E5"/>
    <w:rsid w:val="00F2451D"/>
    <w:rsid w:val="00F245EA"/>
    <w:rsid w:val="00F2468C"/>
    <w:rsid w:val="00F24710"/>
    <w:rsid w:val="00F2493D"/>
    <w:rsid w:val="00F24A40"/>
    <w:rsid w:val="00F24B4C"/>
    <w:rsid w:val="00F24B63"/>
    <w:rsid w:val="00F24C16"/>
    <w:rsid w:val="00F24E0B"/>
    <w:rsid w:val="00F24F69"/>
    <w:rsid w:val="00F252AE"/>
    <w:rsid w:val="00F25333"/>
    <w:rsid w:val="00F25395"/>
    <w:rsid w:val="00F2548B"/>
    <w:rsid w:val="00F2548F"/>
    <w:rsid w:val="00F255C9"/>
    <w:rsid w:val="00F255F1"/>
    <w:rsid w:val="00F257CE"/>
    <w:rsid w:val="00F25C3C"/>
    <w:rsid w:val="00F25D65"/>
    <w:rsid w:val="00F25F3C"/>
    <w:rsid w:val="00F25F8D"/>
    <w:rsid w:val="00F26019"/>
    <w:rsid w:val="00F2605B"/>
    <w:rsid w:val="00F2620C"/>
    <w:rsid w:val="00F263A7"/>
    <w:rsid w:val="00F26529"/>
    <w:rsid w:val="00F265AF"/>
    <w:rsid w:val="00F2685C"/>
    <w:rsid w:val="00F26B35"/>
    <w:rsid w:val="00F26BDB"/>
    <w:rsid w:val="00F26CFA"/>
    <w:rsid w:val="00F2711A"/>
    <w:rsid w:val="00F2712A"/>
    <w:rsid w:val="00F2712F"/>
    <w:rsid w:val="00F271DE"/>
    <w:rsid w:val="00F2727F"/>
    <w:rsid w:val="00F27338"/>
    <w:rsid w:val="00F2742E"/>
    <w:rsid w:val="00F27461"/>
    <w:rsid w:val="00F275F2"/>
    <w:rsid w:val="00F2770F"/>
    <w:rsid w:val="00F27924"/>
    <w:rsid w:val="00F27A76"/>
    <w:rsid w:val="00F27D8B"/>
    <w:rsid w:val="00F27DE4"/>
    <w:rsid w:val="00F2CDC1"/>
    <w:rsid w:val="00F300EC"/>
    <w:rsid w:val="00F300FA"/>
    <w:rsid w:val="00F301C7"/>
    <w:rsid w:val="00F3057A"/>
    <w:rsid w:val="00F306CB"/>
    <w:rsid w:val="00F30969"/>
    <w:rsid w:val="00F30A64"/>
    <w:rsid w:val="00F30C4F"/>
    <w:rsid w:val="00F30D55"/>
    <w:rsid w:val="00F30EC8"/>
    <w:rsid w:val="00F31099"/>
    <w:rsid w:val="00F310D4"/>
    <w:rsid w:val="00F311B7"/>
    <w:rsid w:val="00F31211"/>
    <w:rsid w:val="00F314EB"/>
    <w:rsid w:val="00F315FD"/>
    <w:rsid w:val="00F316FC"/>
    <w:rsid w:val="00F31711"/>
    <w:rsid w:val="00F31771"/>
    <w:rsid w:val="00F3178A"/>
    <w:rsid w:val="00F318E6"/>
    <w:rsid w:val="00F31E91"/>
    <w:rsid w:val="00F31F13"/>
    <w:rsid w:val="00F3235E"/>
    <w:rsid w:val="00F32A0A"/>
    <w:rsid w:val="00F32A14"/>
    <w:rsid w:val="00F32A56"/>
    <w:rsid w:val="00F32C1A"/>
    <w:rsid w:val="00F32F1F"/>
    <w:rsid w:val="00F331A2"/>
    <w:rsid w:val="00F331B7"/>
    <w:rsid w:val="00F334A5"/>
    <w:rsid w:val="00F3359E"/>
    <w:rsid w:val="00F335DB"/>
    <w:rsid w:val="00F3364E"/>
    <w:rsid w:val="00F339EA"/>
    <w:rsid w:val="00F33A11"/>
    <w:rsid w:val="00F33D22"/>
    <w:rsid w:val="00F33D7B"/>
    <w:rsid w:val="00F33D7E"/>
    <w:rsid w:val="00F33DD3"/>
    <w:rsid w:val="00F33E5D"/>
    <w:rsid w:val="00F3401F"/>
    <w:rsid w:val="00F3402B"/>
    <w:rsid w:val="00F3404A"/>
    <w:rsid w:val="00F34148"/>
    <w:rsid w:val="00F342B9"/>
    <w:rsid w:val="00F342E4"/>
    <w:rsid w:val="00F3435F"/>
    <w:rsid w:val="00F34395"/>
    <w:rsid w:val="00F3443B"/>
    <w:rsid w:val="00F3443E"/>
    <w:rsid w:val="00F3447C"/>
    <w:rsid w:val="00F34484"/>
    <w:rsid w:val="00F344EF"/>
    <w:rsid w:val="00F345E6"/>
    <w:rsid w:val="00F345FF"/>
    <w:rsid w:val="00F347B8"/>
    <w:rsid w:val="00F34911"/>
    <w:rsid w:val="00F34946"/>
    <w:rsid w:val="00F34947"/>
    <w:rsid w:val="00F349D5"/>
    <w:rsid w:val="00F34A26"/>
    <w:rsid w:val="00F34AC7"/>
    <w:rsid w:val="00F34B68"/>
    <w:rsid w:val="00F34D0B"/>
    <w:rsid w:val="00F34DF7"/>
    <w:rsid w:val="00F34E59"/>
    <w:rsid w:val="00F34F09"/>
    <w:rsid w:val="00F3504B"/>
    <w:rsid w:val="00F35170"/>
    <w:rsid w:val="00F351C7"/>
    <w:rsid w:val="00F354F9"/>
    <w:rsid w:val="00F355EF"/>
    <w:rsid w:val="00F35813"/>
    <w:rsid w:val="00F3583A"/>
    <w:rsid w:val="00F358B6"/>
    <w:rsid w:val="00F358E4"/>
    <w:rsid w:val="00F35AD1"/>
    <w:rsid w:val="00F35D49"/>
    <w:rsid w:val="00F3609F"/>
    <w:rsid w:val="00F36257"/>
    <w:rsid w:val="00F3640B"/>
    <w:rsid w:val="00F36468"/>
    <w:rsid w:val="00F36672"/>
    <w:rsid w:val="00F366B2"/>
    <w:rsid w:val="00F36729"/>
    <w:rsid w:val="00F36732"/>
    <w:rsid w:val="00F36742"/>
    <w:rsid w:val="00F36B78"/>
    <w:rsid w:val="00F36D08"/>
    <w:rsid w:val="00F36EB7"/>
    <w:rsid w:val="00F36F63"/>
    <w:rsid w:val="00F37116"/>
    <w:rsid w:val="00F37320"/>
    <w:rsid w:val="00F3732B"/>
    <w:rsid w:val="00F373C1"/>
    <w:rsid w:val="00F37967"/>
    <w:rsid w:val="00F37C38"/>
    <w:rsid w:val="00F37E34"/>
    <w:rsid w:val="00F37E70"/>
    <w:rsid w:val="00F37E96"/>
    <w:rsid w:val="00F4006D"/>
    <w:rsid w:val="00F402AF"/>
    <w:rsid w:val="00F402F4"/>
    <w:rsid w:val="00F403BC"/>
    <w:rsid w:val="00F403D9"/>
    <w:rsid w:val="00F4041A"/>
    <w:rsid w:val="00F404F3"/>
    <w:rsid w:val="00F4070C"/>
    <w:rsid w:val="00F408FB"/>
    <w:rsid w:val="00F40A02"/>
    <w:rsid w:val="00F40D4A"/>
    <w:rsid w:val="00F40DF8"/>
    <w:rsid w:val="00F40EF2"/>
    <w:rsid w:val="00F40F0B"/>
    <w:rsid w:val="00F40FE1"/>
    <w:rsid w:val="00F4106D"/>
    <w:rsid w:val="00F410DB"/>
    <w:rsid w:val="00F41220"/>
    <w:rsid w:val="00F41462"/>
    <w:rsid w:val="00F41483"/>
    <w:rsid w:val="00F416AB"/>
    <w:rsid w:val="00F41756"/>
    <w:rsid w:val="00F4183E"/>
    <w:rsid w:val="00F41B1A"/>
    <w:rsid w:val="00F41DD4"/>
    <w:rsid w:val="00F42021"/>
    <w:rsid w:val="00F42097"/>
    <w:rsid w:val="00F4218A"/>
    <w:rsid w:val="00F4248A"/>
    <w:rsid w:val="00F42654"/>
    <w:rsid w:val="00F427A5"/>
    <w:rsid w:val="00F4283D"/>
    <w:rsid w:val="00F42878"/>
    <w:rsid w:val="00F4292E"/>
    <w:rsid w:val="00F42936"/>
    <w:rsid w:val="00F42D7D"/>
    <w:rsid w:val="00F42E7B"/>
    <w:rsid w:val="00F42F45"/>
    <w:rsid w:val="00F42FB9"/>
    <w:rsid w:val="00F42FCB"/>
    <w:rsid w:val="00F433A2"/>
    <w:rsid w:val="00F433A3"/>
    <w:rsid w:val="00F433E8"/>
    <w:rsid w:val="00F434F8"/>
    <w:rsid w:val="00F4356D"/>
    <w:rsid w:val="00F43729"/>
    <w:rsid w:val="00F43806"/>
    <w:rsid w:val="00F43965"/>
    <w:rsid w:val="00F43A29"/>
    <w:rsid w:val="00F43AB4"/>
    <w:rsid w:val="00F43C31"/>
    <w:rsid w:val="00F43E38"/>
    <w:rsid w:val="00F43E4F"/>
    <w:rsid w:val="00F43F69"/>
    <w:rsid w:val="00F44173"/>
    <w:rsid w:val="00F44174"/>
    <w:rsid w:val="00F44310"/>
    <w:rsid w:val="00F44399"/>
    <w:rsid w:val="00F446B7"/>
    <w:rsid w:val="00F446BB"/>
    <w:rsid w:val="00F446E1"/>
    <w:rsid w:val="00F448AF"/>
    <w:rsid w:val="00F44A2B"/>
    <w:rsid w:val="00F44A74"/>
    <w:rsid w:val="00F44AE3"/>
    <w:rsid w:val="00F44C29"/>
    <w:rsid w:val="00F44D3F"/>
    <w:rsid w:val="00F44DB2"/>
    <w:rsid w:val="00F44E0A"/>
    <w:rsid w:val="00F44E4F"/>
    <w:rsid w:val="00F44EFA"/>
    <w:rsid w:val="00F44F28"/>
    <w:rsid w:val="00F45088"/>
    <w:rsid w:val="00F451DA"/>
    <w:rsid w:val="00F452BB"/>
    <w:rsid w:val="00F4542F"/>
    <w:rsid w:val="00F45650"/>
    <w:rsid w:val="00F457B3"/>
    <w:rsid w:val="00F45865"/>
    <w:rsid w:val="00F45D04"/>
    <w:rsid w:val="00F45E97"/>
    <w:rsid w:val="00F460E9"/>
    <w:rsid w:val="00F46135"/>
    <w:rsid w:val="00F461C7"/>
    <w:rsid w:val="00F4636D"/>
    <w:rsid w:val="00F46470"/>
    <w:rsid w:val="00F464C2"/>
    <w:rsid w:val="00F46875"/>
    <w:rsid w:val="00F468F5"/>
    <w:rsid w:val="00F46A86"/>
    <w:rsid w:val="00F46F7F"/>
    <w:rsid w:val="00F47049"/>
    <w:rsid w:val="00F4707D"/>
    <w:rsid w:val="00F471AA"/>
    <w:rsid w:val="00F47222"/>
    <w:rsid w:val="00F473C0"/>
    <w:rsid w:val="00F473F0"/>
    <w:rsid w:val="00F4744C"/>
    <w:rsid w:val="00F47480"/>
    <w:rsid w:val="00F47630"/>
    <w:rsid w:val="00F4765A"/>
    <w:rsid w:val="00F477FD"/>
    <w:rsid w:val="00F4788D"/>
    <w:rsid w:val="00F478BC"/>
    <w:rsid w:val="00F478D8"/>
    <w:rsid w:val="00F479FE"/>
    <w:rsid w:val="00F47A7D"/>
    <w:rsid w:val="00F47D30"/>
    <w:rsid w:val="00F47D92"/>
    <w:rsid w:val="00F47E2A"/>
    <w:rsid w:val="00F47FE3"/>
    <w:rsid w:val="00F50191"/>
    <w:rsid w:val="00F50249"/>
    <w:rsid w:val="00F502E0"/>
    <w:rsid w:val="00F50534"/>
    <w:rsid w:val="00F50568"/>
    <w:rsid w:val="00F5058A"/>
    <w:rsid w:val="00F505B5"/>
    <w:rsid w:val="00F505D4"/>
    <w:rsid w:val="00F505DC"/>
    <w:rsid w:val="00F507B7"/>
    <w:rsid w:val="00F507F8"/>
    <w:rsid w:val="00F508AC"/>
    <w:rsid w:val="00F508E5"/>
    <w:rsid w:val="00F50919"/>
    <w:rsid w:val="00F50ACF"/>
    <w:rsid w:val="00F50B36"/>
    <w:rsid w:val="00F50CD1"/>
    <w:rsid w:val="00F50DF8"/>
    <w:rsid w:val="00F50E05"/>
    <w:rsid w:val="00F5137A"/>
    <w:rsid w:val="00F51419"/>
    <w:rsid w:val="00F51462"/>
    <w:rsid w:val="00F51681"/>
    <w:rsid w:val="00F5178B"/>
    <w:rsid w:val="00F5189C"/>
    <w:rsid w:val="00F51A0D"/>
    <w:rsid w:val="00F51A6A"/>
    <w:rsid w:val="00F51A6E"/>
    <w:rsid w:val="00F51D58"/>
    <w:rsid w:val="00F52412"/>
    <w:rsid w:val="00F52462"/>
    <w:rsid w:val="00F5253B"/>
    <w:rsid w:val="00F525A6"/>
    <w:rsid w:val="00F52626"/>
    <w:rsid w:val="00F5273A"/>
    <w:rsid w:val="00F52785"/>
    <w:rsid w:val="00F5280D"/>
    <w:rsid w:val="00F52836"/>
    <w:rsid w:val="00F5296D"/>
    <w:rsid w:val="00F52B94"/>
    <w:rsid w:val="00F52C76"/>
    <w:rsid w:val="00F52C85"/>
    <w:rsid w:val="00F52F2D"/>
    <w:rsid w:val="00F52F34"/>
    <w:rsid w:val="00F531EB"/>
    <w:rsid w:val="00F53291"/>
    <w:rsid w:val="00F53292"/>
    <w:rsid w:val="00F533C3"/>
    <w:rsid w:val="00F535B6"/>
    <w:rsid w:val="00F5366F"/>
    <w:rsid w:val="00F53683"/>
    <w:rsid w:val="00F53913"/>
    <w:rsid w:val="00F53AF6"/>
    <w:rsid w:val="00F53B1D"/>
    <w:rsid w:val="00F53C0C"/>
    <w:rsid w:val="00F53C6C"/>
    <w:rsid w:val="00F53E43"/>
    <w:rsid w:val="00F54053"/>
    <w:rsid w:val="00F5431C"/>
    <w:rsid w:val="00F543DC"/>
    <w:rsid w:val="00F5448A"/>
    <w:rsid w:val="00F54796"/>
    <w:rsid w:val="00F548B7"/>
    <w:rsid w:val="00F54B02"/>
    <w:rsid w:val="00F54B29"/>
    <w:rsid w:val="00F54B2D"/>
    <w:rsid w:val="00F54BE7"/>
    <w:rsid w:val="00F54C70"/>
    <w:rsid w:val="00F54E2E"/>
    <w:rsid w:val="00F54E65"/>
    <w:rsid w:val="00F55580"/>
    <w:rsid w:val="00F556ED"/>
    <w:rsid w:val="00F5574D"/>
    <w:rsid w:val="00F557C3"/>
    <w:rsid w:val="00F55897"/>
    <w:rsid w:val="00F55CA7"/>
    <w:rsid w:val="00F55CFF"/>
    <w:rsid w:val="00F55D3D"/>
    <w:rsid w:val="00F55E44"/>
    <w:rsid w:val="00F56576"/>
    <w:rsid w:val="00F56627"/>
    <w:rsid w:val="00F5665F"/>
    <w:rsid w:val="00F568BA"/>
    <w:rsid w:val="00F568E3"/>
    <w:rsid w:val="00F5693D"/>
    <w:rsid w:val="00F56A6F"/>
    <w:rsid w:val="00F56AD9"/>
    <w:rsid w:val="00F56B47"/>
    <w:rsid w:val="00F56DDF"/>
    <w:rsid w:val="00F56E7D"/>
    <w:rsid w:val="00F5708B"/>
    <w:rsid w:val="00F57133"/>
    <w:rsid w:val="00F571D7"/>
    <w:rsid w:val="00F5724C"/>
    <w:rsid w:val="00F572EE"/>
    <w:rsid w:val="00F574B5"/>
    <w:rsid w:val="00F57513"/>
    <w:rsid w:val="00F57550"/>
    <w:rsid w:val="00F576BF"/>
    <w:rsid w:val="00F57752"/>
    <w:rsid w:val="00F5778C"/>
    <w:rsid w:val="00F577ED"/>
    <w:rsid w:val="00F57AF0"/>
    <w:rsid w:val="00F57C1E"/>
    <w:rsid w:val="00F57E19"/>
    <w:rsid w:val="00F57EBB"/>
    <w:rsid w:val="00F60099"/>
    <w:rsid w:val="00F6015A"/>
    <w:rsid w:val="00F6016A"/>
    <w:rsid w:val="00F6028E"/>
    <w:rsid w:val="00F60310"/>
    <w:rsid w:val="00F60608"/>
    <w:rsid w:val="00F6085B"/>
    <w:rsid w:val="00F60929"/>
    <w:rsid w:val="00F60E5F"/>
    <w:rsid w:val="00F60ED9"/>
    <w:rsid w:val="00F60F02"/>
    <w:rsid w:val="00F60FC4"/>
    <w:rsid w:val="00F61117"/>
    <w:rsid w:val="00F6113F"/>
    <w:rsid w:val="00F612A1"/>
    <w:rsid w:val="00F612B6"/>
    <w:rsid w:val="00F61316"/>
    <w:rsid w:val="00F61615"/>
    <w:rsid w:val="00F61636"/>
    <w:rsid w:val="00F616E0"/>
    <w:rsid w:val="00F618AC"/>
    <w:rsid w:val="00F61925"/>
    <w:rsid w:val="00F6197C"/>
    <w:rsid w:val="00F61B8B"/>
    <w:rsid w:val="00F61BF3"/>
    <w:rsid w:val="00F61D86"/>
    <w:rsid w:val="00F61E06"/>
    <w:rsid w:val="00F620F3"/>
    <w:rsid w:val="00F62328"/>
    <w:rsid w:val="00F624D8"/>
    <w:rsid w:val="00F62580"/>
    <w:rsid w:val="00F62989"/>
    <w:rsid w:val="00F62A56"/>
    <w:rsid w:val="00F62B79"/>
    <w:rsid w:val="00F62B9B"/>
    <w:rsid w:val="00F62D26"/>
    <w:rsid w:val="00F62DE2"/>
    <w:rsid w:val="00F62E2F"/>
    <w:rsid w:val="00F62E59"/>
    <w:rsid w:val="00F6304C"/>
    <w:rsid w:val="00F63064"/>
    <w:rsid w:val="00F63152"/>
    <w:rsid w:val="00F6319E"/>
    <w:rsid w:val="00F632EB"/>
    <w:rsid w:val="00F633BE"/>
    <w:rsid w:val="00F6349A"/>
    <w:rsid w:val="00F63614"/>
    <w:rsid w:val="00F639C7"/>
    <w:rsid w:val="00F639D9"/>
    <w:rsid w:val="00F63B80"/>
    <w:rsid w:val="00F63CDB"/>
    <w:rsid w:val="00F63D07"/>
    <w:rsid w:val="00F63DB7"/>
    <w:rsid w:val="00F63EA7"/>
    <w:rsid w:val="00F64103"/>
    <w:rsid w:val="00F641D4"/>
    <w:rsid w:val="00F641F9"/>
    <w:rsid w:val="00F64262"/>
    <w:rsid w:val="00F64340"/>
    <w:rsid w:val="00F64348"/>
    <w:rsid w:val="00F645A1"/>
    <w:rsid w:val="00F6475B"/>
    <w:rsid w:val="00F647D1"/>
    <w:rsid w:val="00F64ACE"/>
    <w:rsid w:val="00F64BCD"/>
    <w:rsid w:val="00F64CA2"/>
    <w:rsid w:val="00F64CA3"/>
    <w:rsid w:val="00F64D43"/>
    <w:rsid w:val="00F64FA5"/>
    <w:rsid w:val="00F65014"/>
    <w:rsid w:val="00F65283"/>
    <w:rsid w:val="00F6538B"/>
    <w:rsid w:val="00F65559"/>
    <w:rsid w:val="00F6555D"/>
    <w:rsid w:val="00F656CE"/>
    <w:rsid w:val="00F6595C"/>
    <w:rsid w:val="00F65C57"/>
    <w:rsid w:val="00F65DB2"/>
    <w:rsid w:val="00F65F34"/>
    <w:rsid w:val="00F65FAF"/>
    <w:rsid w:val="00F66004"/>
    <w:rsid w:val="00F66276"/>
    <w:rsid w:val="00F662D6"/>
    <w:rsid w:val="00F662F0"/>
    <w:rsid w:val="00F6640C"/>
    <w:rsid w:val="00F66523"/>
    <w:rsid w:val="00F6656E"/>
    <w:rsid w:val="00F66683"/>
    <w:rsid w:val="00F667A8"/>
    <w:rsid w:val="00F667AD"/>
    <w:rsid w:val="00F66814"/>
    <w:rsid w:val="00F66849"/>
    <w:rsid w:val="00F66B6C"/>
    <w:rsid w:val="00F66BB5"/>
    <w:rsid w:val="00F66CA8"/>
    <w:rsid w:val="00F66E2B"/>
    <w:rsid w:val="00F66E46"/>
    <w:rsid w:val="00F6708B"/>
    <w:rsid w:val="00F67189"/>
    <w:rsid w:val="00F673A7"/>
    <w:rsid w:val="00F674F0"/>
    <w:rsid w:val="00F6773C"/>
    <w:rsid w:val="00F6774D"/>
    <w:rsid w:val="00F677CE"/>
    <w:rsid w:val="00F677D4"/>
    <w:rsid w:val="00F67994"/>
    <w:rsid w:val="00F67B56"/>
    <w:rsid w:val="00F67D63"/>
    <w:rsid w:val="00F67EA1"/>
    <w:rsid w:val="00F67EA5"/>
    <w:rsid w:val="00F67F88"/>
    <w:rsid w:val="00F67FC3"/>
    <w:rsid w:val="00F70166"/>
    <w:rsid w:val="00F701A5"/>
    <w:rsid w:val="00F701AF"/>
    <w:rsid w:val="00F702B4"/>
    <w:rsid w:val="00F7030A"/>
    <w:rsid w:val="00F7030E"/>
    <w:rsid w:val="00F7052A"/>
    <w:rsid w:val="00F707D5"/>
    <w:rsid w:val="00F70A65"/>
    <w:rsid w:val="00F70AE9"/>
    <w:rsid w:val="00F70BBC"/>
    <w:rsid w:val="00F70C98"/>
    <w:rsid w:val="00F70CA2"/>
    <w:rsid w:val="00F70D83"/>
    <w:rsid w:val="00F70F59"/>
    <w:rsid w:val="00F71008"/>
    <w:rsid w:val="00F71119"/>
    <w:rsid w:val="00F711D5"/>
    <w:rsid w:val="00F712C2"/>
    <w:rsid w:val="00F71332"/>
    <w:rsid w:val="00F71342"/>
    <w:rsid w:val="00F7142C"/>
    <w:rsid w:val="00F7149B"/>
    <w:rsid w:val="00F7150B"/>
    <w:rsid w:val="00F7163C"/>
    <w:rsid w:val="00F7167B"/>
    <w:rsid w:val="00F71797"/>
    <w:rsid w:val="00F717C1"/>
    <w:rsid w:val="00F71AAC"/>
    <w:rsid w:val="00F71B7C"/>
    <w:rsid w:val="00F71CE2"/>
    <w:rsid w:val="00F71DC6"/>
    <w:rsid w:val="00F71E48"/>
    <w:rsid w:val="00F71F32"/>
    <w:rsid w:val="00F71F66"/>
    <w:rsid w:val="00F720AF"/>
    <w:rsid w:val="00F72151"/>
    <w:rsid w:val="00F72290"/>
    <w:rsid w:val="00F7250D"/>
    <w:rsid w:val="00F7252C"/>
    <w:rsid w:val="00F72678"/>
    <w:rsid w:val="00F7270F"/>
    <w:rsid w:val="00F72C4D"/>
    <w:rsid w:val="00F72DC8"/>
    <w:rsid w:val="00F72EB0"/>
    <w:rsid w:val="00F72FBC"/>
    <w:rsid w:val="00F733B8"/>
    <w:rsid w:val="00F73400"/>
    <w:rsid w:val="00F73553"/>
    <w:rsid w:val="00F7376F"/>
    <w:rsid w:val="00F737CC"/>
    <w:rsid w:val="00F738C4"/>
    <w:rsid w:val="00F739C4"/>
    <w:rsid w:val="00F73D60"/>
    <w:rsid w:val="00F73F70"/>
    <w:rsid w:val="00F73FB5"/>
    <w:rsid w:val="00F7400D"/>
    <w:rsid w:val="00F7408C"/>
    <w:rsid w:val="00F74327"/>
    <w:rsid w:val="00F7444A"/>
    <w:rsid w:val="00F74456"/>
    <w:rsid w:val="00F74476"/>
    <w:rsid w:val="00F744CA"/>
    <w:rsid w:val="00F74593"/>
    <w:rsid w:val="00F745A6"/>
    <w:rsid w:val="00F746D7"/>
    <w:rsid w:val="00F74759"/>
    <w:rsid w:val="00F74794"/>
    <w:rsid w:val="00F7488A"/>
    <w:rsid w:val="00F748BA"/>
    <w:rsid w:val="00F74939"/>
    <w:rsid w:val="00F74956"/>
    <w:rsid w:val="00F74A0D"/>
    <w:rsid w:val="00F74ADB"/>
    <w:rsid w:val="00F74BCD"/>
    <w:rsid w:val="00F75111"/>
    <w:rsid w:val="00F75117"/>
    <w:rsid w:val="00F75151"/>
    <w:rsid w:val="00F7519E"/>
    <w:rsid w:val="00F751E3"/>
    <w:rsid w:val="00F75216"/>
    <w:rsid w:val="00F7529F"/>
    <w:rsid w:val="00F75396"/>
    <w:rsid w:val="00F75432"/>
    <w:rsid w:val="00F755C4"/>
    <w:rsid w:val="00F75621"/>
    <w:rsid w:val="00F758E6"/>
    <w:rsid w:val="00F759B9"/>
    <w:rsid w:val="00F75B29"/>
    <w:rsid w:val="00F75CAB"/>
    <w:rsid w:val="00F75D87"/>
    <w:rsid w:val="00F75DE5"/>
    <w:rsid w:val="00F75E30"/>
    <w:rsid w:val="00F75F08"/>
    <w:rsid w:val="00F75F63"/>
    <w:rsid w:val="00F7604B"/>
    <w:rsid w:val="00F7605E"/>
    <w:rsid w:val="00F76226"/>
    <w:rsid w:val="00F76347"/>
    <w:rsid w:val="00F76493"/>
    <w:rsid w:val="00F7668F"/>
    <w:rsid w:val="00F766F1"/>
    <w:rsid w:val="00F76809"/>
    <w:rsid w:val="00F7683C"/>
    <w:rsid w:val="00F76EC0"/>
    <w:rsid w:val="00F76EF3"/>
    <w:rsid w:val="00F77387"/>
    <w:rsid w:val="00F77585"/>
    <w:rsid w:val="00F77656"/>
    <w:rsid w:val="00F77894"/>
    <w:rsid w:val="00F77B15"/>
    <w:rsid w:val="00F77C21"/>
    <w:rsid w:val="00F77E7A"/>
    <w:rsid w:val="00F77EB7"/>
    <w:rsid w:val="00F800E7"/>
    <w:rsid w:val="00F8010A"/>
    <w:rsid w:val="00F80185"/>
    <w:rsid w:val="00F8020E"/>
    <w:rsid w:val="00F80303"/>
    <w:rsid w:val="00F804CF"/>
    <w:rsid w:val="00F807F1"/>
    <w:rsid w:val="00F80CC4"/>
    <w:rsid w:val="00F80CEE"/>
    <w:rsid w:val="00F80DB2"/>
    <w:rsid w:val="00F80E2E"/>
    <w:rsid w:val="00F80F84"/>
    <w:rsid w:val="00F81065"/>
    <w:rsid w:val="00F8128D"/>
    <w:rsid w:val="00F812A7"/>
    <w:rsid w:val="00F813E7"/>
    <w:rsid w:val="00F8148A"/>
    <w:rsid w:val="00F81617"/>
    <w:rsid w:val="00F819B2"/>
    <w:rsid w:val="00F819BA"/>
    <w:rsid w:val="00F81AB1"/>
    <w:rsid w:val="00F81B6D"/>
    <w:rsid w:val="00F81C0B"/>
    <w:rsid w:val="00F81C74"/>
    <w:rsid w:val="00F81F3D"/>
    <w:rsid w:val="00F82035"/>
    <w:rsid w:val="00F82174"/>
    <w:rsid w:val="00F821CD"/>
    <w:rsid w:val="00F822B3"/>
    <w:rsid w:val="00F824F8"/>
    <w:rsid w:val="00F8259A"/>
    <w:rsid w:val="00F82682"/>
    <w:rsid w:val="00F827FF"/>
    <w:rsid w:val="00F82924"/>
    <w:rsid w:val="00F829B2"/>
    <w:rsid w:val="00F82A12"/>
    <w:rsid w:val="00F82AD5"/>
    <w:rsid w:val="00F82C55"/>
    <w:rsid w:val="00F82D49"/>
    <w:rsid w:val="00F82F41"/>
    <w:rsid w:val="00F83261"/>
    <w:rsid w:val="00F8335C"/>
    <w:rsid w:val="00F8336B"/>
    <w:rsid w:val="00F83696"/>
    <w:rsid w:val="00F83883"/>
    <w:rsid w:val="00F83974"/>
    <w:rsid w:val="00F83AAC"/>
    <w:rsid w:val="00F83CA4"/>
    <w:rsid w:val="00F83D41"/>
    <w:rsid w:val="00F83EA2"/>
    <w:rsid w:val="00F83F70"/>
    <w:rsid w:val="00F83FB9"/>
    <w:rsid w:val="00F840BB"/>
    <w:rsid w:val="00F84277"/>
    <w:rsid w:val="00F84317"/>
    <w:rsid w:val="00F84354"/>
    <w:rsid w:val="00F8458E"/>
    <w:rsid w:val="00F8459B"/>
    <w:rsid w:val="00F8498F"/>
    <w:rsid w:val="00F849CC"/>
    <w:rsid w:val="00F84A5A"/>
    <w:rsid w:val="00F84C34"/>
    <w:rsid w:val="00F84C53"/>
    <w:rsid w:val="00F84D31"/>
    <w:rsid w:val="00F84D88"/>
    <w:rsid w:val="00F84F19"/>
    <w:rsid w:val="00F850AE"/>
    <w:rsid w:val="00F851DA"/>
    <w:rsid w:val="00F85209"/>
    <w:rsid w:val="00F85360"/>
    <w:rsid w:val="00F85587"/>
    <w:rsid w:val="00F855C0"/>
    <w:rsid w:val="00F8563A"/>
    <w:rsid w:val="00F85888"/>
    <w:rsid w:val="00F858FE"/>
    <w:rsid w:val="00F859CF"/>
    <w:rsid w:val="00F85C8F"/>
    <w:rsid w:val="00F85CCD"/>
    <w:rsid w:val="00F85EE8"/>
    <w:rsid w:val="00F86056"/>
    <w:rsid w:val="00F8643B"/>
    <w:rsid w:val="00F865BF"/>
    <w:rsid w:val="00F865C1"/>
    <w:rsid w:val="00F86839"/>
    <w:rsid w:val="00F868BE"/>
    <w:rsid w:val="00F869A0"/>
    <w:rsid w:val="00F86BD8"/>
    <w:rsid w:val="00F86F20"/>
    <w:rsid w:val="00F86F3D"/>
    <w:rsid w:val="00F8704B"/>
    <w:rsid w:val="00F87211"/>
    <w:rsid w:val="00F8728B"/>
    <w:rsid w:val="00F872CA"/>
    <w:rsid w:val="00F873A0"/>
    <w:rsid w:val="00F873D2"/>
    <w:rsid w:val="00F8742E"/>
    <w:rsid w:val="00F874FB"/>
    <w:rsid w:val="00F87550"/>
    <w:rsid w:val="00F875CF"/>
    <w:rsid w:val="00F876ED"/>
    <w:rsid w:val="00F8789A"/>
    <w:rsid w:val="00F87BC8"/>
    <w:rsid w:val="00F87CEB"/>
    <w:rsid w:val="00F87E29"/>
    <w:rsid w:val="00F87F47"/>
    <w:rsid w:val="00F87FD8"/>
    <w:rsid w:val="00F9008D"/>
    <w:rsid w:val="00F900AA"/>
    <w:rsid w:val="00F901F5"/>
    <w:rsid w:val="00F90249"/>
    <w:rsid w:val="00F902CD"/>
    <w:rsid w:val="00F90326"/>
    <w:rsid w:val="00F9038A"/>
    <w:rsid w:val="00F904E7"/>
    <w:rsid w:val="00F90720"/>
    <w:rsid w:val="00F909E8"/>
    <w:rsid w:val="00F90D67"/>
    <w:rsid w:val="00F90E2A"/>
    <w:rsid w:val="00F90E54"/>
    <w:rsid w:val="00F90F69"/>
    <w:rsid w:val="00F9107C"/>
    <w:rsid w:val="00F91136"/>
    <w:rsid w:val="00F91176"/>
    <w:rsid w:val="00F9122D"/>
    <w:rsid w:val="00F91372"/>
    <w:rsid w:val="00F91452"/>
    <w:rsid w:val="00F91854"/>
    <w:rsid w:val="00F918AB"/>
    <w:rsid w:val="00F91959"/>
    <w:rsid w:val="00F919F1"/>
    <w:rsid w:val="00F91D21"/>
    <w:rsid w:val="00F91E6D"/>
    <w:rsid w:val="00F91E7B"/>
    <w:rsid w:val="00F91EA5"/>
    <w:rsid w:val="00F91EB5"/>
    <w:rsid w:val="00F92068"/>
    <w:rsid w:val="00F92229"/>
    <w:rsid w:val="00F92413"/>
    <w:rsid w:val="00F92434"/>
    <w:rsid w:val="00F92574"/>
    <w:rsid w:val="00F925C2"/>
    <w:rsid w:val="00F92634"/>
    <w:rsid w:val="00F92742"/>
    <w:rsid w:val="00F92830"/>
    <w:rsid w:val="00F92A59"/>
    <w:rsid w:val="00F92BA5"/>
    <w:rsid w:val="00F92C13"/>
    <w:rsid w:val="00F92C24"/>
    <w:rsid w:val="00F92D1D"/>
    <w:rsid w:val="00F92E7C"/>
    <w:rsid w:val="00F92F35"/>
    <w:rsid w:val="00F93023"/>
    <w:rsid w:val="00F9328F"/>
    <w:rsid w:val="00F933C2"/>
    <w:rsid w:val="00F9345E"/>
    <w:rsid w:val="00F9347E"/>
    <w:rsid w:val="00F9352D"/>
    <w:rsid w:val="00F9361D"/>
    <w:rsid w:val="00F93645"/>
    <w:rsid w:val="00F936CF"/>
    <w:rsid w:val="00F9386A"/>
    <w:rsid w:val="00F93A64"/>
    <w:rsid w:val="00F93B0F"/>
    <w:rsid w:val="00F93E06"/>
    <w:rsid w:val="00F93F2B"/>
    <w:rsid w:val="00F93F8B"/>
    <w:rsid w:val="00F9411C"/>
    <w:rsid w:val="00F9422A"/>
    <w:rsid w:val="00F9447E"/>
    <w:rsid w:val="00F944E5"/>
    <w:rsid w:val="00F9459D"/>
    <w:rsid w:val="00F94695"/>
    <w:rsid w:val="00F94831"/>
    <w:rsid w:val="00F9497B"/>
    <w:rsid w:val="00F94A34"/>
    <w:rsid w:val="00F94B5D"/>
    <w:rsid w:val="00F94BA4"/>
    <w:rsid w:val="00F94EE4"/>
    <w:rsid w:val="00F94FE1"/>
    <w:rsid w:val="00F95060"/>
    <w:rsid w:val="00F9506B"/>
    <w:rsid w:val="00F9508D"/>
    <w:rsid w:val="00F950E5"/>
    <w:rsid w:val="00F954F5"/>
    <w:rsid w:val="00F95539"/>
    <w:rsid w:val="00F95690"/>
    <w:rsid w:val="00F95718"/>
    <w:rsid w:val="00F9590D"/>
    <w:rsid w:val="00F9591F"/>
    <w:rsid w:val="00F959BF"/>
    <w:rsid w:val="00F959DE"/>
    <w:rsid w:val="00F95C2F"/>
    <w:rsid w:val="00F95CA6"/>
    <w:rsid w:val="00F95CA9"/>
    <w:rsid w:val="00F95D0B"/>
    <w:rsid w:val="00F95D30"/>
    <w:rsid w:val="00F95EEE"/>
    <w:rsid w:val="00F96079"/>
    <w:rsid w:val="00F96087"/>
    <w:rsid w:val="00F960DB"/>
    <w:rsid w:val="00F960F4"/>
    <w:rsid w:val="00F96144"/>
    <w:rsid w:val="00F9618D"/>
    <w:rsid w:val="00F961DB"/>
    <w:rsid w:val="00F9622F"/>
    <w:rsid w:val="00F962C5"/>
    <w:rsid w:val="00F963A8"/>
    <w:rsid w:val="00F963D5"/>
    <w:rsid w:val="00F965AF"/>
    <w:rsid w:val="00F96651"/>
    <w:rsid w:val="00F967A7"/>
    <w:rsid w:val="00F967E2"/>
    <w:rsid w:val="00F96821"/>
    <w:rsid w:val="00F96A5B"/>
    <w:rsid w:val="00F96D32"/>
    <w:rsid w:val="00F970C4"/>
    <w:rsid w:val="00F970CB"/>
    <w:rsid w:val="00F97143"/>
    <w:rsid w:val="00F97228"/>
    <w:rsid w:val="00F972AA"/>
    <w:rsid w:val="00F974EC"/>
    <w:rsid w:val="00F97505"/>
    <w:rsid w:val="00F97726"/>
    <w:rsid w:val="00F9779E"/>
    <w:rsid w:val="00F978A7"/>
    <w:rsid w:val="00F978B4"/>
    <w:rsid w:val="00F97A11"/>
    <w:rsid w:val="00F97A28"/>
    <w:rsid w:val="00F97A93"/>
    <w:rsid w:val="00F97B4B"/>
    <w:rsid w:val="00F97C1D"/>
    <w:rsid w:val="00F97E76"/>
    <w:rsid w:val="00FA016A"/>
    <w:rsid w:val="00FA034C"/>
    <w:rsid w:val="00FA03EF"/>
    <w:rsid w:val="00FA068B"/>
    <w:rsid w:val="00FA081B"/>
    <w:rsid w:val="00FA08C9"/>
    <w:rsid w:val="00FA09B7"/>
    <w:rsid w:val="00FA09EE"/>
    <w:rsid w:val="00FA0AFB"/>
    <w:rsid w:val="00FA0C3C"/>
    <w:rsid w:val="00FA0E2C"/>
    <w:rsid w:val="00FA0E31"/>
    <w:rsid w:val="00FA102F"/>
    <w:rsid w:val="00FA10A1"/>
    <w:rsid w:val="00FA12D8"/>
    <w:rsid w:val="00FA12E7"/>
    <w:rsid w:val="00FA133B"/>
    <w:rsid w:val="00FA1573"/>
    <w:rsid w:val="00FA158E"/>
    <w:rsid w:val="00FA1A48"/>
    <w:rsid w:val="00FA1AB5"/>
    <w:rsid w:val="00FA1BD2"/>
    <w:rsid w:val="00FA1C18"/>
    <w:rsid w:val="00FA1D13"/>
    <w:rsid w:val="00FA1D4D"/>
    <w:rsid w:val="00FA1E42"/>
    <w:rsid w:val="00FA1F15"/>
    <w:rsid w:val="00FA2486"/>
    <w:rsid w:val="00FA2570"/>
    <w:rsid w:val="00FA25A3"/>
    <w:rsid w:val="00FA2867"/>
    <w:rsid w:val="00FA2AE0"/>
    <w:rsid w:val="00FA2AE8"/>
    <w:rsid w:val="00FA2BF9"/>
    <w:rsid w:val="00FA2CA1"/>
    <w:rsid w:val="00FA2D23"/>
    <w:rsid w:val="00FA30AA"/>
    <w:rsid w:val="00FA30D2"/>
    <w:rsid w:val="00FA3121"/>
    <w:rsid w:val="00FA3192"/>
    <w:rsid w:val="00FA3510"/>
    <w:rsid w:val="00FA37BB"/>
    <w:rsid w:val="00FA3854"/>
    <w:rsid w:val="00FA3B18"/>
    <w:rsid w:val="00FA3C22"/>
    <w:rsid w:val="00FA3D8D"/>
    <w:rsid w:val="00FA3DFB"/>
    <w:rsid w:val="00FA3F05"/>
    <w:rsid w:val="00FA3FB6"/>
    <w:rsid w:val="00FA4045"/>
    <w:rsid w:val="00FA407F"/>
    <w:rsid w:val="00FA4156"/>
    <w:rsid w:val="00FA43CC"/>
    <w:rsid w:val="00FA4679"/>
    <w:rsid w:val="00FA467F"/>
    <w:rsid w:val="00FA4738"/>
    <w:rsid w:val="00FA47CC"/>
    <w:rsid w:val="00FA48A3"/>
    <w:rsid w:val="00FA4AF8"/>
    <w:rsid w:val="00FA4B2C"/>
    <w:rsid w:val="00FA4B8B"/>
    <w:rsid w:val="00FA4BC5"/>
    <w:rsid w:val="00FA4BC7"/>
    <w:rsid w:val="00FA4BE2"/>
    <w:rsid w:val="00FA4D4B"/>
    <w:rsid w:val="00FA4E07"/>
    <w:rsid w:val="00FA4FAF"/>
    <w:rsid w:val="00FA500B"/>
    <w:rsid w:val="00FA504C"/>
    <w:rsid w:val="00FA51B0"/>
    <w:rsid w:val="00FA524D"/>
    <w:rsid w:val="00FA539E"/>
    <w:rsid w:val="00FA551A"/>
    <w:rsid w:val="00FA55C4"/>
    <w:rsid w:val="00FA597B"/>
    <w:rsid w:val="00FA5B09"/>
    <w:rsid w:val="00FA5DB6"/>
    <w:rsid w:val="00FA5DDE"/>
    <w:rsid w:val="00FA6184"/>
    <w:rsid w:val="00FA62BF"/>
    <w:rsid w:val="00FA63E7"/>
    <w:rsid w:val="00FA63F6"/>
    <w:rsid w:val="00FA66D3"/>
    <w:rsid w:val="00FA67C7"/>
    <w:rsid w:val="00FA682B"/>
    <w:rsid w:val="00FA68FF"/>
    <w:rsid w:val="00FA693E"/>
    <w:rsid w:val="00FA6973"/>
    <w:rsid w:val="00FA6B4C"/>
    <w:rsid w:val="00FA6C2C"/>
    <w:rsid w:val="00FA6C7E"/>
    <w:rsid w:val="00FA6C9C"/>
    <w:rsid w:val="00FA6EFD"/>
    <w:rsid w:val="00FA6FD7"/>
    <w:rsid w:val="00FA7096"/>
    <w:rsid w:val="00FA70F3"/>
    <w:rsid w:val="00FA7306"/>
    <w:rsid w:val="00FA7627"/>
    <w:rsid w:val="00FA78B3"/>
    <w:rsid w:val="00FA78FD"/>
    <w:rsid w:val="00FA7B63"/>
    <w:rsid w:val="00FA7B84"/>
    <w:rsid w:val="00FA7C89"/>
    <w:rsid w:val="00FA7D8B"/>
    <w:rsid w:val="00FA7E68"/>
    <w:rsid w:val="00FA7E88"/>
    <w:rsid w:val="00FB05AF"/>
    <w:rsid w:val="00FB0767"/>
    <w:rsid w:val="00FB07C0"/>
    <w:rsid w:val="00FB0AB9"/>
    <w:rsid w:val="00FB0AE5"/>
    <w:rsid w:val="00FB0B39"/>
    <w:rsid w:val="00FB0D62"/>
    <w:rsid w:val="00FB0E55"/>
    <w:rsid w:val="00FB0F55"/>
    <w:rsid w:val="00FB0F78"/>
    <w:rsid w:val="00FB11C2"/>
    <w:rsid w:val="00FB1286"/>
    <w:rsid w:val="00FB1416"/>
    <w:rsid w:val="00FB1466"/>
    <w:rsid w:val="00FB15A8"/>
    <w:rsid w:val="00FB1912"/>
    <w:rsid w:val="00FB1919"/>
    <w:rsid w:val="00FB199C"/>
    <w:rsid w:val="00FB1D29"/>
    <w:rsid w:val="00FB1E15"/>
    <w:rsid w:val="00FB1F35"/>
    <w:rsid w:val="00FB2007"/>
    <w:rsid w:val="00FB2104"/>
    <w:rsid w:val="00FB21D3"/>
    <w:rsid w:val="00FB22D6"/>
    <w:rsid w:val="00FB2378"/>
    <w:rsid w:val="00FB23A9"/>
    <w:rsid w:val="00FB2530"/>
    <w:rsid w:val="00FB255B"/>
    <w:rsid w:val="00FB25CD"/>
    <w:rsid w:val="00FB25CF"/>
    <w:rsid w:val="00FB2674"/>
    <w:rsid w:val="00FB2700"/>
    <w:rsid w:val="00FB271C"/>
    <w:rsid w:val="00FB27AC"/>
    <w:rsid w:val="00FB2A72"/>
    <w:rsid w:val="00FB2AC4"/>
    <w:rsid w:val="00FB2AF8"/>
    <w:rsid w:val="00FB2CC0"/>
    <w:rsid w:val="00FB2CFB"/>
    <w:rsid w:val="00FB2D3C"/>
    <w:rsid w:val="00FB2DA1"/>
    <w:rsid w:val="00FB2DC2"/>
    <w:rsid w:val="00FB3017"/>
    <w:rsid w:val="00FB3024"/>
    <w:rsid w:val="00FB30F5"/>
    <w:rsid w:val="00FB327D"/>
    <w:rsid w:val="00FB33B5"/>
    <w:rsid w:val="00FB368E"/>
    <w:rsid w:val="00FB3828"/>
    <w:rsid w:val="00FB3858"/>
    <w:rsid w:val="00FB3906"/>
    <w:rsid w:val="00FB3A5A"/>
    <w:rsid w:val="00FB3A69"/>
    <w:rsid w:val="00FB3AFE"/>
    <w:rsid w:val="00FB3B52"/>
    <w:rsid w:val="00FB3BB4"/>
    <w:rsid w:val="00FB3C4B"/>
    <w:rsid w:val="00FB3CA6"/>
    <w:rsid w:val="00FB3E9E"/>
    <w:rsid w:val="00FB40D9"/>
    <w:rsid w:val="00FB42C2"/>
    <w:rsid w:val="00FB438B"/>
    <w:rsid w:val="00FB4771"/>
    <w:rsid w:val="00FB477D"/>
    <w:rsid w:val="00FB485E"/>
    <w:rsid w:val="00FB48E3"/>
    <w:rsid w:val="00FB49B3"/>
    <w:rsid w:val="00FB49DF"/>
    <w:rsid w:val="00FB4A4B"/>
    <w:rsid w:val="00FB4BEB"/>
    <w:rsid w:val="00FB4CD4"/>
    <w:rsid w:val="00FB4CFC"/>
    <w:rsid w:val="00FB4EED"/>
    <w:rsid w:val="00FB5036"/>
    <w:rsid w:val="00FB53D9"/>
    <w:rsid w:val="00FB5444"/>
    <w:rsid w:val="00FB544B"/>
    <w:rsid w:val="00FB55E5"/>
    <w:rsid w:val="00FB569B"/>
    <w:rsid w:val="00FB5834"/>
    <w:rsid w:val="00FB596F"/>
    <w:rsid w:val="00FB59BA"/>
    <w:rsid w:val="00FB59C8"/>
    <w:rsid w:val="00FB5B6E"/>
    <w:rsid w:val="00FB5C19"/>
    <w:rsid w:val="00FB5DF2"/>
    <w:rsid w:val="00FB5E05"/>
    <w:rsid w:val="00FB5F97"/>
    <w:rsid w:val="00FB6151"/>
    <w:rsid w:val="00FB61C0"/>
    <w:rsid w:val="00FB62D5"/>
    <w:rsid w:val="00FB64FA"/>
    <w:rsid w:val="00FB6652"/>
    <w:rsid w:val="00FB693F"/>
    <w:rsid w:val="00FB6BAE"/>
    <w:rsid w:val="00FB6C1E"/>
    <w:rsid w:val="00FB6D34"/>
    <w:rsid w:val="00FB72A5"/>
    <w:rsid w:val="00FB73BB"/>
    <w:rsid w:val="00FB73BE"/>
    <w:rsid w:val="00FB74F3"/>
    <w:rsid w:val="00FB7523"/>
    <w:rsid w:val="00FB7910"/>
    <w:rsid w:val="00FB7944"/>
    <w:rsid w:val="00FB79BE"/>
    <w:rsid w:val="00FB7AFC"/>
    <w:rsid w:val="00FB7C41"/>
    <w:rsid w:val="00FB7DCA"/>
    <w:rsid w:val="00FB7EAD"/>
    <w:rsid w:val="00FB7F94"/>
    <w:rsid w:val="00FC0037"/>
    <w:rsid w:val="00FC00BC"/>
    <w:rsid w:val="00FC00C4"/>
    <w:rsid w:val="00FC018C"/>
    <w:rsid w:val="00FC02FE"/>
    <w:rsid w:val="00FC0303"/>
    <w:rsid w:val="00FC035B"/>
    <w:rsid w:val="00FC055A"/>
    <w:rsid w:val="00FC06AA"/>
    <w:rsid w:val="00FC078E"/>
    <w:rsid w:val="00FC07BA"/>
    <w:rsid w:val="00FC0848"/>
    <w:rsid w:val="00FC08DD"/>
    <w:rsid w:val="00FC09EB"/>
    <w:rsid w:val="00FC09FF"/>
    <w:rsid w:val="00FC0BC3"/>
    <w:rsid w:val="00FC0C65"/>
    <w:rsid w:val="00FC0EBF"/>
    <w:rsid w:val="00FC10DC"/>
    <w:rsid w:val="00FC11EB"/>
    <w:rsid w:val="00FC13B7"/>
    <w:rsid w:val="00FC1624"/>
    <w:rsid w:val="00FC16CB"/>
    <w:rsid w:val="00FC1A67"/>
    <w:rsid w:val="00FC1B18"/>
    <w:rsid w:val="00FC1D6D"/>
    <w:rsid w:val="00FC1D6E"/>
    <w:rsid w:val="00FC1DBC"/>
    <w:rsid w:val="00FC1E90"/>
    <w:rsid w:val="00FC1ED7"/>
    <w:rsid w:val="00FC1F09"/>
    <w:rsid w:val="00FC238C"/>
    <w:rsid w:val="00FC2441"/>
    <w:rsid w:val="00FC2772"/>
    <w:rsid w:val="00FC28AD"/>
    <w:rsid w:val="00FC2986"/>
    <w:rsid w:val="00FC2B07"/>
    <w:rsid w:val="00FC2EB1"/>
    <w:rsid w:val="00FC2EEF"/>
    <w:rsid w:val="00FC3000"/>
    <w:rsid w:val="00FC310E"/>
    <w:rsid w:val="00FC323C"/>
    <w:rsid w:val="00FC3393"/>
    <w:rsid w:val="00FC3432"/>
    <w:rsid w:val="00FC35BA"/>
    <w:rsid w:val="00FC36A4"/>
    <w:rsid w:val="00FC3813"/>
    <w:rsid w:val="00FC39D6"/>
    <w:rsid w:val="00FC3A7B"/>
    <w:rsid w:val="00FC3BD5"/>
    <w:rsid w:val="00FC3C0A"/>
    <w:rsid w:val="00FC3CB8"/>
    <w:rsid w:val="00FC3E75"/>
    <w:rsid w:val="00FC3EC8"/>
    <w:rsid w:val="00FC3F03"/>
    <w:rsid w:val="00FC3F7A"/>
    <w:rsid w:val="00FC4065"/>
    <w:rsid w:val="00FC414B"/>
    <w:rsid w:val="00FC41AA"/>
    <w:rsid w:val="00FC435F"/>
    <w:rsid w:val="00FC438A"/>
    <w:rsid w:val="00FC43A4"/>
    <w:rsid w:val="00FC4476"/>
    <w:rsid w:val="00FC47AA"/>
    <w:rsid w:val="00FC4999"/>
    <w:rsid w:val="00FC4B49"/>
    <w:rsid w:val="00FC4BC3"/>
    <w:rsid w:val="00FC4BE1"/>
    <w:rsid w:val="00FC4D0B"/>
    <w:rsid w:val="00FC4F03"/>
    <w:rsid w:val="00FC4F28"/>
    <w:rsid w:val="00FC5008"/>
    <w:rsid w:val="00FC5074"/>
    <w:rsid w:val="00FC50C7"/>
    <w:rsid w:val="00FC50DA"/>
    <w:rsid w:val="00FC5155"/>
    <w:rsid w:val="00FC5178"/>
    <w:rsid w:val="00FC5239"/>
    <w:rsid w:val="00FC52B9"/>
    <w:rsid w:val="00FC52E0"/>
    <w:rsid w:val="00FC531F"/>
    <w:rsid w:val="00FC5348"/>
    <w:rsid w:val="00FC54EA"/>
    <w:rsid w:val="00FC58D0"/>
    <w:rsid w:val="00FC5CC2"/>
    <w:rsid w:val="00FC5CE4"/>
    <w:rsid w:val="00FC5D20"/>
    <w:rsid w:val="00FC5F91"/>
    <w:rsid w:val="00FC6080"/>
    <w:rsid w:val="00FC6084"/>
    <w:rsid w:val="00FC616C"/>
    <w:rsid w:val="00FC63C8"/>
    <w:rsid w:val="00FC6569"/>
    <w:rsid w:val="00FC660B"/>
    <w:rsid w:val="00FC683A"/>
    <w:rsid w:val="00FC68C8"/>
    <w:rsid w:val="00FC693C"/>
    <w:rsid w:val="00FC6959"/>
    <w:rsid w:val="00FC699C"/>
    <w:rsid w:val="00FC699E"/>
    <w:rsid w:val="00FC6A7B"/>
    <w:rsid w:val="00FC6B45"/>
    <w:rsid w:val="00FC6BA1"/>
    <w:rsid w:val="00FC6CAC"/>
    <w:rsid w:val="00FC6D32"/>
    <w:rsid w:val="00FC6D7A"/>
    <w:rsid w:val="00FC6EF2"/>
    <w:rsid w:val="00FC7051"/>
    <w:rsid w:val="00FC72FE"/>
    <w:rsid w:val="00FC74D1"/>
    <w:rsid w:val="00FC7725"/>
    <w:rsid w:val="00FC7832"/>
    <w:rsid w:val="00FC799D"/>
    <w:rsid w:val="00FC7CF8"/>
    <w:rsid w:val="00FC7CFC"/>
    <w:rsid w:val="00FC7E0E"/>
    <w:rsid w:val="00FC7E6B"/>
    <w:rsid w:val="00FC7E80"/>
    <w:rsid w:val="00FD01BA"/>
    <w:rsid w:val="00FD02A8"/>
    <w:rsid w:val="00FD03E5"/>
    <w:rsid w:val="00FD061B"/>
    <w:rsid w:val="00FD0629"/>
    <w:rsid w:val="00FD0914"/>
    <w:rsid w:val="00FD09B2"/>
    <w:rsid w:val="00FD0A14"/>
    <w:rsid w:val="00FD0A2D"/>
    <w:rsid w:val="00FD0A4F"/>
    <w:rsid w:val="00FD0AA2"/>
    <w:rsid w:val="00FD0B9E"/>
    <w:rsid w:val="00FD0CD7"/>
    <w:rsid w:val="00FD1010"/>
    <w:rsid w:val="00FD1132"/>
    <w:rsid w:val="00FD1382"/>
    <w:rsid w:val="00FD13B4"/>
    <w:rsid w:val="00FD1569"/>
    <w:rsid w:val="00FD167B"/>
    <w:rsid w:val="00FD17BE"/>
    <w:rsid w:val="00FD17C7"/>
    <w:rsid w:val="00FD1829"/>
    <w:rsid w:val="00FD196A"/>
    <w:rsid w:val="00FD19DD"/>
    <w:rsid w:val="00FD1A6C"/>
    <w:rsid w:val="00FD1BF0"/>
    <w:rsid w:val="00FD1C1D"/>
    <w:rsid w:val="00FD1E4F"/>
    <w:rsid w:val="00FD1FC8"/>
    <w:rsid w:val="00FD201E"/>
    <w:rsid w:val="00FD204B"/>
    <w:rsid w:val="00FD2065"/>
    <w:rsid w:val="00FD213D"/>
    <w:rsid w:val="00FD215C"/>
    <w:rsid w:val="00FD23DE"/>
    <w:rsid w:val="00FD23E8"/>
    <w:rsid w:val="00FD2418"/>
    <w:rsid w:val="00FD246B"/>
    <w:rsid w:val="00FD2497"/>
    <w:rsid w:val="00FD25CE"/>
    <w:rsid w:val="00FD25CF"/>
    <w:rsid w:val="00FD263C"/>
    <w:rsid w:val="00FD26A9"/>
    <w:rsid w:val="00FD2736"/>
    <w:rsid w:val="00FD274C"/>
    <w:rsid w:val="00FD27A9"/>
    <w:rsid w:val="00FD27B4"/>
    <w:rsid w:val="00FD283F"/>
    <w:rsid w:val="00FD294A"/>
    <w:rsid w:val="00FD2C87"/>
    <w:rsid w:val="00FD2DB2"/>
    <w:rsid w:val="00FD320F"/>
    <w:rsid w:val="00FD3351"/>
    <w:rsid w:val="00FD35F9"/>
    <w:rsid w:val="00FD36C3"/>
    <w:rsid w:val="00FD3A1F"/>
    <w:rsid w:val="00FD3CA8"/>
    <w:rsid w:val="00FD3CCC"/>
    <w:rsid w:val="00FD3DB7"/>
    <w:rsid w:val="00FD3DE1"/>
    <w:rsid w:val="00FD4019"/>
    <w:rsid w:val="00FD40AA"/>
    <w:rsid w:val="00FD4136"/>
    <w:rsid w:val="00FD422C"/>
    <w:rsid w:val="00FD4468"/>
    <w:rsid w:val="00FD4663"/>
    <w:rsid w:val="00FD4714"/>
    <w:rsid w:val="00FD47F7"/>
    <w:rsid w:val="00FD497D"/>
    <w:rsid w:val="00FD4AAD"/>
    <w:rsid w:val="00FD4ACE"/>
    <w:rsid w:val="00FD4B68"/>
    <w:rsid w:val="00FD4C8B"/>
    <w:rsid w:val="00FD4DA3"/>
    <w:rsid w:val="00FD4DEA"/>
    <w:rsid w:val="00FD4EC7"/>
    <w:rsid w:val="00FD4F14"/>
    <w:rsid w:val="00FD4FA3"/>
    <w:rsid w:val="00FD50DD"/>
    <w:rsid w:val="00FD5543"/>
    <w:rsid w:val="00FD561F"/>
    <w:rsid w:val="00FD5637"/>
    <w:rsid w:val="00FD5752"/>
    <w:rsid w:val="00FD57C8"/>
    <w:rsid w:val="00FD5829"/>
    <w:rsid w:val="00FD585C"/>
    <w:rsid w:val="00FD5981"/>
    <w:rsid w:val="00FD5A45"/>
    <w:rsid w:val="00FD5A4B"/>
    <w:rsid w:val="00FD5B28"/>
    <w:rsid w:val="00FD5E8E"/>
    <w:rsid w:val="00FD5EA7"/>
    <w:rsid w:val="00FD6197"/>
    <w:rsid w:val="00FD61AD"/>
    <w:rsid w:val="00FD621B"/>
    <w:rsid w:val="00FD622D"/>
    <w:rsid w:val="00FD626D"/>
    <w:rsid w:val="00FD62BA"/>
    <w:rsid w:val="00FD6414"/>
    <w:rsid w:val="00FD64D2"/>
    <w:rsid w:val="00FD6661"/>
    <w:rsid w:val="00FD66EC"/>
    <w:rsid w:val="00FD672A"/>
    <w:rsid w:val="00FD6804"/>
    <w:rsid w:val="00FD6A62"/>
    <w:rsid w:val="00FD6B26"/>
    <w:rsid w:val="00FD6B96"/>
    <w:rsid w:val="00FD6BF9"/>
    <w:rsid w:val="00FD6CDC"/>
    <w:rsid w:val="00FD70DC"/>
    <w:rsid w:val="00FD7132"/>
    <w:rsid w:val="00FD72D5"/>
    <w:rsid w:val="00FD735E"/>
    <w:rsid w:val="00FD7445"/>
    <w:rsid w:val="00FD745A"/>
    <w:rsid w:val="00FD747B"/>
    <w:rsid w:val="00FD7542"/>
    <w:rsid w:val="00FD75EE"/>
    <w:rsid w:val="00FD77F1"/>
    <w:rsid w:val="00FD78C2"/>
    <w:rsid w:val="00FD7A3C"/>
    <w:rsid w:val="00FD7A78"/>
    <w:rsid w:val="00FD7C9C"/>
    <w:rsid w:val="00FD7E82"/>
    <w:rsid w:val="00FE004F"/>
    <w:rsid w:val="00FE00BE"/>
    <w:rsid w:val="00FE0368"/>
    <w:rsid w:val="00FE0389"/>
    <w:rsid w:val="00FE03D8"/>
    <w:rsid w:val="00FE0518"/>
    <w:rsid w:val="00FE05C7"/>
    <w:rsid w:val="00FE0866"/>
    <w:rsid w:val="00FE0895"/>
    <w:rsid w:val="00FE0B6C"/>
    <w:rsid w:val="00FE0CE6"/>
    <w:rsid w:val="00FE0FBD"/>
    <w:rsid w:val="00FE1192"/>
    <w:rsid w:val="00FE11B5"/>
    <w:rsid w:val="00FE15FA"/>
    <w:rsid w:val="00FE1634"/>
    <w:rsid w:val="00FE165F"/>
    <w:rsid w:val="00FE167B"/>
    <w:rsid w:val="00FE17AA"/>
    <w:rsid w:val="00FE1842"/>
    <w:rsid w:val="00FE1975"/>
    <w:rsid w:val="00FE1A65"/>
    <w:rsid w:val="00FE1ABE"/>
    <w:rsid w:val="00FE1AC7"/>
    <w:rsid w:val="00FE1AE5"/>
    <w:rsid w:val="00FE1B3D"/>
    <w:rsid w:val="00FE1BD1"/>
    <w:rsid w:val="00FE1D0D"/>
    <w:rsid w:val="00FE1F35"/>
    <w:rsid w:val="00FE203E"/>
    <w:rsid w:val="00FE2041"/>
    <w:rsid w:val="00FE2234"/>
    <w:rsid w:val="00FE227C"/>
    <w:rsid w:val="00FE2385"/>
    <w:rsid w:val="00FE23A1"/>
    <w:rsid w:val="00FE254C"/>
    <w:rsid w:val="00FE25BF"/>
    <w:rsid w:val="00FE25D1"/>
    <w:rsid w:val="00FE25FA"/>
    <w:rsid w:val="00FE262D"/>
    <w:rsid w:val="00FE272F"/>
    <w:rsid w:val="00FE2804"/>
    <w:rsid w:val="00FE2816"/>
    <w:rsid w:val="00FE2874"/>
    <w:rsid w:val="00FE2A79"/>
    <w:rsid w:val="00FE2AFC"/>
    <w:rsid w:val="00FE2B0B"/>
    <w:rsid w:val="00FE2E82"/>
    <w:rsid w:val="00FE3311"/>
    <w:rsid w:val="00FE365D"/>
    <w:rsid w:val="00FE3972"/>
    <w:rsid w:val="00FE398C"/>
    <w:rsid w:val="00FE3CD3"/>
    <w:rsid w:val="00FE3E8D"/>
    <w:rsid w:val="00FE40A2"/>
    <w:rsid w:val="00FE4141"/>
    <w:rsid w:val="00FE415B"/>
    <w:rsid w:val="00FE4199"/>
    <w:rsid w:val="00FE421D"/>
    <w:rsid w:val="00FE44C7"/>
    <w:rsid w:val="00FE4585"/>
    <w:rsid w:val="00FE45B0"/>
    <w:rsid w:val="00FE45CB"/>
    <w:rsid w:val="00FE4665"/>
    <w:rsid w:val="00FE4B3F"/>
    <w:rsid w:val="00FE4BD9"/>
    <w:rsid w:val="00FE4C12"/>
    <w:rsid w:val="00FE4E6C"/>
    <w:rsid w:val="00FE4F1F"/>
    <w:rsid w:val="00FE5018"/>
    <w:rsid w:val="00FE505F"/>
    <w:rsid w:val="00FE512C"/>
    <w:rsid w:val="00FE52D3"/>
    <w:rsid w:val="00FE53E6"/>
    <w:rsid w:val="00FE540A"/>
    <w:rsid w:val="00FE5445"/>
    <w:rsid w:val="00FE54BB"/>
    <w:rsid w:val="00FE5661"/>
    <w:rsid w:val="00FE5728"/>
    <w:rsid w:val="00FE572D"/>
    <w:rsid w:val="00FE5818"/>
    <w:rsid w:val="00FE5A9F"/>
    <w:rsid w:val="00FE5B52"/>
    <w:rsid w:val="00FE5F31"/>
    <w:rsid w:val="00FE6063"/>
    <w:rsid w:val="00FE652D"/>
    <w:rsid w:val="00FE6572"/>
    <w:rsid w:val="00FE676D"/>
    <w:rsid w:val="00FE6771"/>
    <w:rsid w:val="00FE6779"/>
    <w:rsid w:val="00FE68D3"/>
    <w:rsid w:val="00FE6981"/>
    <w:rsid w:val="00FE6A11"/>
    <w:rsid w:val="00FE6AEF"/>
    <w:rsid w:val="00FE6BEF"/>
    <w:rsid w:val="00FE6DF9"/>
    <w:rsid w:val="00FE6F31"/>
    <w:rsid w:val="00FE712E"/>
    <w:rsid w:val="00FE7192"/>
    <w:rsid w:val="00FE7210"/>
    <w:rsid w:val="00FE73A5"/>
    <w:rsid w:val="00FE7712"/>
    <w:rsid w:val="00FE78AD"/>
    <w:rsid w:val="00FE7A04"/>
    <w:rsid w:val="00FE7A59"/>
    <w:rsid w:val="00FE7A65"/>
    <w:rsid w:val="00FE7C87"/>
    <w:rsid w:val="00FE7E78"/>
    <w:rsid w:val="00FE7EAC"/>
    <w:rsid w:val="00FE7FF7"/>
    <w:rsid w:val="00FF010D"/>
    <w:rsid w:val="00FF0189"/>
    <w:rsid w:val="00FF030E"/>
    <w:rsid w:val="00FF03FC"/>
    <w:rsid w:val="00FF041C"/>
    <w:rsid w:val="00FF063B"/>
    <w:rsid w:val="00FF0724"/>
    <w:rsid w:val="00FF0771"/>
    <w:rsid w:val="00FF0798"/>
    <w:rsid w:val="00FF0820"/>
    <w:rsid w:val="00FF08DD"/>
    <w:rsid w:val="00FF0B37"/>
    <w:rsid w:val="00FF0F87"/>
    <w:rsid w:val="00FF10FA"/>
    <w:rsid w:val="00FF11E2"/>
    <w:rsid w:val="00FF12F7"/>
    <w:rsid w:val="00FF13C7"/>
    <w:rsid w:val="00FF13E3"/>
    <w:rsid w:val="00FF140C"/>
    <w:rsid w:val="00FF1500"/>
    <w:rsid w:val="00FF158A"/>
    <w:rsid w:val="00FF17AA"/>
    <w:rsid w:val="00FF1910"/>
    <w:rsid w:val="00FF1958"/>
    <w:rsid w:val="00FF1A8B"/>
    <w:rsid w:val="00FF1B2F"/>
    <w:rsid w:val="00FF1B49"/>
    <w:rsid w:val="00FF1F99"/>
    <w:rsid w:val="00FF1FA6"/>
    <w:rsid w:val="00FF2144"/>
    <w:rsid w:val="00FF25A0"/>
    <w:rsid w:val="00FF25C7"/>
    <w:rsid w:val="00FF2868"/>
    <w:rsid w:val="00FF299C"/>
    <w:rsid w:val="00FF2A3B"/>
    <w:rsid w:val="00FF2CEA"/>
    <w:rsid w:val="00FF3340"/>
    <w:rsid w:val="00FF335E"/>
    <w:rsid w:val="00FF34AD"/>
    <w:rsid w:val="00FF357B"/>
    <w:rsid w:val="00FF382F"/>
    <w:rsid w:val="00FF3852"/>
    <w:rsid w:val="00FF3928"/>
    <w:rsid w:val="00FF3CB9"/>
    <w:rsid w:val="00FF3D79"/>
    <w:rsid w:val="00FF3EC1"/>
    <w:rsid w:val="00FF4048"/>
    <w:rsid w:val="00FF40C4"/>
    <w:rsid w:val="00FF40D0"/>
    <w:rsid w:val="00FF4239"/>
    <w:rsid w:val="00FF429F"/>
    <w:rsid w:val="00FF45BA"/>
    <w:rsid w:val="00FF47BE"/>
    <w:rsid w:val="00FF47F7"/>
    <w:rsid w:val="00FF48EA"/>
    <w:rsid w:val="00FF496C"/>
    <w:rsid w:val="00FF4A0E"/>
    <w:rsid w:val="00FF4ADA"/>
    <w:rsid w:val="00FF4B03"/>
    <w:rsid w:val="00FF4B1A"/>
    <w:rsid w:val="00FF4C21"/>
    <w:rsid w:val="00FF4C2A"/>
    <w:rsid w:val="00FF4C70"/>
    <w:rsid w:val="00FF4C7B"/>
    <w:rsid w:val="00FF4CF1"/>
    <w:rsid w:val="00FF4CF7"/>
    <w:rsid w:val="00FF4ED2"/>
    <w:rsid w:val="00FF50D7"/>
    <w:rsid w:val="00FF51BB"/>
    <w:rsid w:val="00FF5358"/>
    <w:rsid w:val="00FF5520"/>
    <w:rsid w:val="00FF5522"/>
    <w:rsid w:val="00FF55AD"/>
    <w:rsid w:val="00FF57F2"/>
    <w:rsid w:val="00FF59FC"/>
    <w:rsid w:val="00FF5A8D"/>
    <w:rsid w:val="00FF5B38"/>
    <w:rsid w:val="00FF5B4C"/>
    <w:rsid w:val="00FF5B6D"/>
    <w:rsid w:val="00FF5CB0"/>
    <w:rsid w:val="00FF5E36"/>
    <w:rsid w:val="00FF5E9E"/>
    <w:rsid w:val="00FF5F01"/>
    <w:rsid w:val="00FF5F79"/>
    <w:rsid w:val="00FF605B"/>
    <w:rsid w:val="00FF6065"/>
    <w:rsid w:val="00FF612D"/>
    <w:rsid w:val="00FF62FD"/>
    <w:rsid w:val="00FF66B7"/>
    <w:rsid w:val="00FF66EA"/>
    <w:rsid w:val="00FF6A80"/>
    <w:rsid w:val="00FF6ACE"/>
    <w:rsid w:val="00FF6B0F"/>
    <w:rsid w:val="00FF6DAA"/>
    <w:rsid w:val="00FF6E47"/>
    <w:rsid w:val="00FF6E59"/>
    <w:rsid w:val="00FF70E0"/>
    <w:rsid w:val="00FF72AB"/>
    <w:rsid w:val="00FF72E3"/>
    <w:rsid w:val="00FF74FB"/>
    <w:rsid w:val="00FF7543"/>
    <w:rsid w:val="00FF7592"/>
    <w:rsid w:val="00FF76C5"/>
    <w:rsid w:val="00FF7741"/>
    <w:rsid w:val="00FF7AC0"/>
    <w:rsid w:val="00FF7C79"/>
    <w:rsid w:val="00FF7E06"/>
    <w:rsid w:val="00FF7F11"/>
    <w:rsid w:val="0102BA0E"/>
    <w:rsid w:val="01040F2A"/>
    <w:rsid w:val="0104CD13"/>
    <w:rsid w:val="0104D4D2"/>
    <w:rsid w:val="011510DF"/>
    <w:rsid w:val="011A4D3A"/>
    <w:rsid w:val="011C9235"/>
    <w:rsid w:val="011D9D6B"/>
    <w:rsid w:val="0132090E"/>
    <w:rsid w:val="013A81BF"/>
    <w:rsid w:val="0147FECA"/>
    <w:rsid w:val="014EE667"/>
    <w:rsid w:val="01513107"/>
    <w:rsid w:val="0154AECE"/>
    <w:rsid w:val="01583DED"/>
    <w:rsid w:val="015C1B06"/>
    <w:rsid w:val="015FF24F"/>
    <w:rsid w:val="01618DEB"/>
    <w:rsid w:val="01632766"/>
    <w:rsid w:val="01648030"/>
    <w:rsid w:val="0171A564"/>
    <w:rsid w:val="0171FD17"/>
    <w:rsid w:val="018DD6F2"/>
    <w:rsid w:val="01AACE78"/>
    <w:rsid w:val="01AB8368"/>
    <w:rsid w:val="01B59E9F"/>
    <w:rsid w:val="01BD184D"/>
    <w:rsid w:val="01BDB597"/>
    <w:rsid w:val="01C2F255"/>
    <w:rsid w:val="01C62071"/>
    <w:rsid w:val="01C991B0"/>
    <w:rsid w:val="01CA35EB"/>
    <w:rsid w:val="01CA6E0B"/>
    <w:rsid w:val="01D5FD3D"/>
    <w:rsid w:val="01DC6AC9"/>
    <w:rsid w:val="01E2F15D"/>
    <w:rsid w:val="01E9BDCB"/>
    <w:rsid w:val="01FDD757"/>
    <w:rsid w:val="01FE57D7"/>
    <w:rsid w:val="0207D63C"/>
    <w:rsid w:val="02111331"/>
    <w:rsid w:val="02121BCC"/>
    <w:rsid w:val="021557D4"/>
    <w:rsid w:val="021A54B7"/>
    <w:rsid w:val="021AFD54"/>
    <w:rsid w:val="021DBA66"/>
    <w:rsid w:val="022C3F42"/>
    <w:rsid w:val="0230810F"/>
    <w:rsid w:val="023DE301"/>
    <w:rsid w:val="024544E1"/>
    <w:rsid w:val="02546614"/>
    <w:rsid w:val="02584481"/>
    <w:rsid w:val="0258BE41"/>
    <w:rsid w:val="025B79D4"/>
    <w:rsid w:val="026591CC"/>
    <w:rsid w:val="0266F235"/>
    <w:rsid w:val="0269589B"/>
    <w:rsid w:val="026E137A"/>
    <w:rsid w:val="02731778"/>
    <w:rsid w:val="027EEC03"/>
    <w:rsid w:val="0282BB88"/>
    <w:rsid w:val="029A47B4"/>
    <w:rsid w:val="02A340DE"/>
    <w:rsid w:val="02A57A37"/>
    <w:rsid w:val="02A7F180"/>
    <w:rsid w:val="02A96563"/>
    <w:rsid w:val="02B4DAB9"/>
    <w:rsid w:val="02B565AA"/>
    <w:rsid w:val="02B6686D"/>
    <w:rsid w:val="02BDD4F6"/>
    <w:rsid w:val="02C858C1"/>
    <w:rsid w:val="02C9AED8"/>
    <w:rsid w:val="02D982F4"/>
    <w:rsid w:val="02DC5401"/>
    <w:rsid w:val="02DD05BF"/>
    <w:rsid w:val="02DF9FBA"/>
    <w:rsid w:val="02EC2499"/>
    <w:rsid w:val="02FC4D95"/>
    <w:rsid w:val="02FE80D0"/>
    <w:rsid w:val="0310241F"/>
    <w:rsid w:val="03114825"/>
    <w:rsid w:val="0313FEB8"/>
    <w:rsid w:val="031A1B74"/>
    <w:rsid w:val="03332789"/>
    <w:rsid w:val="033BB07C"/>
    <w:rsid w:val="0349198A"/>
    <w:rsid w:val="03498BA7"/>
    <w:rsid w:val="034F3F1D"/>
    <w:rsid w:val="035B8B0E"/>
    <w:rsid w:val="035D6CE6"/>
    <w:rsid w:val="0363C09D"/>
    <w:rsid w:val="0366BC68"/>
    <w:rsid w:val="036B6198"/>
    <w:rsid w:val="037236CE"/>
    <w:rsid w:val="03735B71"/>
    <w:rsid w:val="03924021"/>
    <w:rsid w:val="0394034F"/>
    <w:rsid w:val="039DBBE8"/>
    <w:rsid w:val="03A01190"/>
    <w:rsid w:val="03AB64C9"/>
    <w:rsid w:val="03AC40EA"/>
    <w:rsid w:val="03B4B8AE"/>
    <w:rsid w:val="03B89E93"/>
    <w:rsid w:val="03BAA429"/>
    <w:rsid w:val="03C3CF84"/>
    <w:rsid w:val="03C50E59"/>
    <w:rsid w:val="03C5F53B"/>
    <w:rsid w:val="03D79AEF"/>
    <w:rsid w:val="03D85E39"/>
    <w:rsid w:val="03E754A0"/>
    <w:rsid w:val="03EAC36C"/>
    <w:rsid w:val="03EAFDA6"/>
    <w:rsid w:val="03EFAD8F"/>
    <w:rsid w:val="03F49BB7"/>
    <w:rsid w:val="040E2F6E"/>
    <w:rsid w:val="0412D058"/>
    <w:rsid w:val="0414EBF6"/>
    <w:rsid w:val="0419F432"/>
    <w:rsid w:val="041A4223"/>
    <w:rsid w:val="04283CBF"/>
    <w:rsid w:val="04480CE6"/>
    <w:rsid w:val="044F6C8A"/>
    <w:rsid w:val="044F9F94"/>
    <w:rsid w:val="04513A50"/>
    <w:rsid w:val="046789ED"/>
    <w:rsid w:val="046AFF6A"/>
    <w:rsid w:val="0471E5EF"/>
    <w:rsid w:val="0473CE7D"/>
    <w:rsid w:val="0499F42B"/>
    <w:rsid w:val="04A7651F"/>
    <w:rsid w:val="04AD0BE2"/>
    <w:rsid w:val="04B2851B"/>
    <w:rsid w:val="04C3F146"/>
    <w:rsid w:val="04D0CA54"/>
    <w:rsid w:val="04D2393F"/>
    <w:rsid w:val="04D49188"/>
    <w:rsid w:val="04E2006B"/>
    <w:rsid w:val="04EA2DDB"/>
    <w:rsid w:val="04EDBF23"/>
    <w:rsid w:val="04EEF069"/>
    <w:rsid w:val="04FCC814"/>
    <w:rsid w:val="0506559A"/>
    <w:rsid w:val="050C2A6F"/>
    <w:rsid w:val="050D60F3"/>
    <w:rsid w:val="051FDE06"/>
    <w:rsid w:val="05270781"/>
    <w:rsid w:val="0533D0A5"/>
    <w:rsid w:val="0536D992"/>
    <w:rsid w:val="0545F021"/>
    <w:rsid w:val="05503CC5"/>
    <w:rsid w:val="057DD173"/>
    <w:rsid w:val="0583F326"/>
    <w:rsid w:val="058A246A"/>
    <w:rsid w:val="059073EB"/>
    <w:rsid w:val="0593C1C2"/>
    <w:rsid w:val="05A8281D"/>
    <w:rsid w:val="05B835B8"/>
    <w:rsid w:val="05BA3D07"/>
    <w:rsid w:val="05BF92E5"/>
    <w:rsid w:val="05C00920"/>
    <w:rsid w:val="05C01890"/>
    <w:rsid w:val="05C123FC"/>
    <w:rsid w:val="05CC3E32"/>
    <w:rsid w:val="05CC94AE"/>
    <w:rsid w:val="05D3CF56"/>
    <w:rsid w:val="05DBFE76"/>
    <w:rsid w:val="05DE5EF2"/>
    <w:rsid w:val="05E34C2E"/>
    <w:rsid w:val="05E3D09C"/>
    <w:rsid w:val="05E72896"/>
    <w:rsid w:val="0622996D"/>
    <w:rsid w:val="0628BBE9"/>
    <w:rsid w:val="062A584E"/>
    <w:rsid w:val="064359C2"/>
    <w:rsid w:val="0643BE8C"/>
    <w:rsid w:val="064A64E2"/>
    <w:rsid w:val="0656535A"/>
    <w:rsid w:val="065A1160"/>
    <w:rsid w:val="065A5B99"/>
    <w:rsid w:val="0664FD50"/>
    <w:rsid w:val="0669BC03"/>
    <w:rsid w:val="066C4386"/>
    <w:rsid w:val="06744937"/>
    <w:rsid w:val="06791AD4"/>
    <w:rsid w:val="067EB134"/>
    <w:rsid w:val="067F61DB"/>
    <w:rsid w:val="067F78F2"/>
    <w:rsid w:val="0682B76B"/>
    <w:rsid w:val="0684DE38"/>
    <w:rsid w:val="06863779"/>
    <w:rsid w:val="068B3908"/>
    <w:rsid w:val="0692CC18"/>
    <w:rsid w:val="069AF888"/>
    <w:rsid w:val="06A5584A"/>
    <w:rsid w:val="06AD86FA"/>
    <w:rsid w:val="06ADE250"/>
    <w:rsid w:val="06C8E17B"/>
    <w:rsid w:val="06CA09CF"/>
    <w:rsid w:val="06CBA4D9"/>
    <w:rsid w:val="06CC4C89"/>
    <w:rsid w:val="06D15E68"/>
    <w:rsid w:val="06DAAF93"/>
    <w:rsid w:val="06E955CA"/>
    <w:rsid w:val="06F07C39"/>
    <w:rsid w:val="06F3FF1B"/>
    <w:rsid w:val="070726AB"/>
    <w:rsid w:val="07078CA1"/>
    <w:rsid w:val="070A6C80"/>
    <w:rsid w:val="070EB1A1"/>
    <w:rsid w:val="070FE127"/>
    <w:rsid w:val="07153632"/>
    <w:rsid w:val="07247C01"/>
    <w:rsid w:val="072B60D1"/>
    <w:rsid w:val="0735F867"/>
    <w:rsid w:val="0738B262"/>
    <w:rsid w:val="07390CD7"/>
    <w:rsid w:val="073AF234"/>
    <w:rsid w:val="0742EF18"/>
    <w:rsid w:val="0744FED1"/>
    <w:rsid w:val="075E71BB"/>
    <w:rsid w:val="07608FF3"/>
    <w:rsid w:val="0762A4A3"/>
    <w:rsid w:val="0775022D"/>
    <w:rsid w:val="0779A964"/>
    <w:rsid w:val="077A1D3B"/>
    <w:rsid w:val="078E26BA"/>
    <w:rsid w:val="078FDAC5"/>
    <w:rsid w:val="07A6A2BF"/>
    <w:rsid w:val="07A916C5"/>
    <w:rsid w:val="07B7BAAE"/>
    <w:rsid w:val="07B9DE23"/>
    <w:rsid w:val="07B9FA56"/>
    <w:rsid w:val="07BA7CDF"/>
    <w:rsid w:val="07C366E5"/>
    <w:rsid w:val="07D5C893"/>
    <w:rsid w:val="07D9B8CA"/>
    <w:rsid w:val="07E738E9"/>
    <w:rsid w:val="07EA269F"/>
    <w:rsid w:val="0805CBE9"/>
    <w:rsid w:val="0811BF66"/>
    <w:rsid w:val="08177C18"/>
    <w:rsid w:val="0824D6C8"/>
    <w:rsid w:val="08269D7C"/>
    <w:rsid w:val="08293E9B"/>
    <w:rsid w:val="0829E4F8"/>
    <w:rsid w:val="0829ECBE"/>
    <w:rsid w:val="082F7B61"/>
    <w:rsid w:val="0838AFC9"/>
    <w:rsid w:val="08490ED1"/>
    <w:rsid w:val="084A6623"/>
    <w:rsid w:val="084AD71A"/>
    <w:rsid w:val="084E8253"/>
    <w:rsid w:val="0854D700"/>
    <w:rsid w:val="085C3052"/>
    <w:rsid w:val="085DB094"/>
    <w:rsid w:val="085DBF79"/>
    <w:rsid w:val="0867B7DE"/>
    <w:rsid w:val="0870D1F0"/>
    <w:rsid w:val="087ECBCA"/>
    <w:rsid w:val="0883A0D3"/>
    <w:rsid w:val="0886037A"/>
    <w:rsid w:val="08928057"/>
    <w:rsid w:val="08AB94E4"/>
    <w:rsid w:val="08CA7DCD"/>
    <w:rsid w:val="08D03698"/>
    <w:rsid w:val="08D193D2"/>
    <w:rsid w:val="08D72F99"/>
    <w:rsid w:val="08DB47E1"/>
    <w:rsid w:val="08E036CA"/>
    <w:rsid w:val="08E41F23"/>
    <w:rsid w:val="08E9505C"/>
    <w:rsid w:val="08F012E7"/>
    <w:rsid w:val="08F15C67"/>
    <w:rsid w:val="08F260F9"/>
    <w:rsid w:val="08F705EA"/>
    <w:rsid w:val="08F9CA48"/>
    <w:rsid w:val="08F9D16E"/>
    <w:rsid w:val="08FCD51E"/>
    <w:rsid w:val="0903778A"/>
    <w:rsid w:val="090496FD"/>
    <w:rsid w:val="0904C4D2"/>
    <w:rsid w:val="090957DA"/>
    <w:rsid w:val="090A54D7"/>
    <w:rsid w:val="091F801C"/>
    <w:rsid w:val="093C4E5E"/>
    <w:rsid w:val="094FACFB"/>
    <w:rsid w:val="0952FE01"/>
    <w:rsid w:val="09535208"/>
    <w:rsid w:val="09560030"/>
    <w:rsid w:val="095DC454"/>
    <w:rsid w:val="095FD8AA"/>
    <w:rsid w:val="0961A57E"/>
    <w:rsid w:val="096307BE"/>
    <w:rsid w:val="09697B62"/>
    <w:rsid w:val="096E2E29"/>
    <w:rsid w:val="096E4AB5"/>
    <w:rsid w:val="096F6BF1"/>
    <w:rsid w:val="097584C7"/>
    <w:rsid w:val="09835D1C"/>
    <w:rsid w:val="09877B7F"/>
    <w:rsid w:val="09A96288"/>
    <w:rsid w:val="09B8469E"/>
    <w:rsid w:val="09B9A8FB"/>
    <w:rsid w:val="09CB8071"/>
    <w:rsid w:val="09CEBC6C"/>
    <w:rsid w:val="09D22F72"/>
    <w:rsid w:val="09D6922F"/>
    <w:rsid w:val="09D879CA"/>
    <w:rsid w:val="09DA6A0C"/>
    <w:rsid w:val="09DD8E7B"/>
    <w:rsid w:val="09E1BA6E"/>
    <w:rsid w:val="09F28196"/>
    <w:rsid w:val="0A00B830"/>
    <w:rsid w:val="0A157FB3"/>
    <w:rsid w:val="0A1BDC42"/>
    <w:rsid w:val="0A221716"/>
    <w:rsid w:val="0A25C050"/>
    <w:rsid w:val="0A29CBD0"/>
    <w:rsid w:val="0A3FD422"/>
    <w:rsid w:val="0A4298F0"/>
    <w:rsid w:val="0A47E643"/>
    <w:rsid w:val="0A4D1ECA"/>
    <w:rsid w:val="0A4FA5DC"/>
    <w:rsid w:val="0A5590BD"/>
    <w:rsid w:val="0A6E437C"/>
    <w:rsid w:val="0A711796"/>
    <w:rsid w:val="0A82E3E3"/>
    <w:rsid w:val="0A86D75B"/>
    <w:rsid w:val="0A8805E2"/>
    <w:rsid w:val="0A89304A"/>
    <w:rsid w:val="0A8B5B45"/>
    <w:rsid w:val="0A8D58CE"/>
    <w:rsid w:val="0A8EB275"/>
    <w:rsid w:val="0A999ABF"/>
    <w:rsid w:val="0A9B15E5"/>
    <w:rsid w:val="0AA9F4FA"/>
    <w:rsid w:val="0AAEFCAA"/>
    <w:rsid w:val="0AB62204"/>
    <w:rsid w:val="0AB9A881"/>
    <w:rsid w:val="0ABF3B3A"/>
    <w:rsid w:val="0AC5B063"/>
    <w:rsid w:val="0AC9DB6B"/>
    <w:rsid w:val="0AC9FAB9"/>
    <w:rsid w:val="0AD6C5E6"/>
    <w:rsid w:val="0AE012C0"/>
    <w:rsid w:val="0AE5E384"/>
    <w:rsid w:val="0AEC92DE"/>
    <w:rsid w:val="0AF74B52"/>
    <w:rsid w:val="0B09E826"/>
    <w:rsid w:val="0B0A077F"/>
    <w:rsid w:val="0B0D0122"/>
    <w:rsid w:val="0B253892"/>
    <w:rsid w:val="0B254193"/>
    <w:rsid w:val="0B28EA1B"/>
    <w:rsid w:val="0B2CF811"/>
    <w:rsid w:val="0B3514CF"/>
    <w:rsid w:val="0B39D23D"/>
    <w:rsid w:val="0B428CB5"/>
    <w:rsid w:val="0B42ED99"/>
    <w:rsid w:val="0B430B88"/>
    <w:rsid w:val="0B460C22"/>
    <w:rsid w:val="0B46CEB6"/>
    <w:rsid w:val="0B4B8EC4"/>
    <w:rsid w:val="0B4DCE0E"/>
    <w:rsid w:val="0B5963E3"/>
    <w:rsid w:val="0B5D560D"/>
    <w:rsid w:val="0B5F3DBA"/>
    <w:rsid w:val="0B64262E"/>
    <w:rsid w:val="0B720010"/>
    <w:rsid w:val="0B8302D7"/>
    <w:rsid w:val="0B86B745"/>
    <w:rsid w:val="0B898B19"/>
    <w:rsid w:val="0B89E792"/>
    <w:rsid w:val="0B8D2EA4"/>
    <w:rsid w:val="0B8E482E"/>
    <w:rsid w:val="0B8FD2C1"/>
    <w:rsid w:val="0B97FB4F"/>
    <w:rsid w:val="0BA02564"/>
    <w:rsid w:val="0BA3D035"/>
    <w:rsid w:val="0BA85B9D"/>
    <w:rsid w:val="0BAF115C"/>
    <w:rsid w:val="0BB25066"/>
    <w:rsid w:val="0BC6B3FE"/>
    <w:rsid w:val="0BD4E139"/>
    <w:rsid w:val="0BE35A9C"/>
    <w:rsid w:val="0BE559AD"/>
    <w:rsid w:val="0C026747"/>
    <w:rsid w:val="0C161299"/>
    <w:rsid w:val="0C16EFC5"/>
    <w:rsid w:val="0C28613D"/>
    <w:rsid w:val="0C37F86E"/>
    <w:rsid w:val="0C3A703E"/>
    <w:rsid w:val="0C3AB60D"/>
    <w:rsid w:val="0C4188CB"/>
    <w:rsid w:val="0C445DD0"/>
    <w:rsid w:val="0C4CB54E"/>
    <w:rsid w:val="0C5747E5"/>
    <w:rsid w:val="0C575C90"/>
    <w:rsid w:val="0C59B23D"/>
    <w:rsid w:val="0C59CC6A"/>
    <w:rsid w:val="0C5F4CBF"/>
    <w:rsid w:val="0C5F508F"/>
    <w:rsid w:val="0C6399F1"/>
    <w:rsid w:val="0C64AA94"/>
    <w:rsid w:val="0C657B48"/>
    <w:rsid w:val="0C845B29"/>
    <w:rsid w:val="0C9DF25B"/>
    <w:rsid w:val="0CAA95B1"/>
    <w:rsid w:val="0CB30715"/>
    <w:rsid w:val="0CB4D5BB"/>
    <w:rsid w:val="0CC04A64"/>
    <w:rsid w:val="0CD3B127"/>
    <w:rsid w:val="0CDC9026"/>
    <w:rsid w:val="0CE176BB"/>
    <w:rsid w:val="0CE78629"/>
    <w:rsid w:val="0CEC588B"/>
    <w:rsid w:val="0CECDA7D"/>
    <w:rsid w:val="0CEE035F"/>
    <w:rsid w:val="0CF37B53"/>
    <w:rsid w:val="0CF867B3"/>
    <w:rsid w:val="0CFC4734"/>
    <w:rsid w:val="0D00B404"/>
    <w:rsid w:val="0D14BBBB"/>
    <w:rsid w:val="0D1AAEC0"/>
    <w:rsid w:val="0D25415E"/>
    <w:rsid w:val="0D2C1496"/>
    <w:rsid w:val="0D307722"/>
    <w:rsid w:val="0D31421F"/>
    <w:rsid w:val="0D361F66"/>
    <w:rsid w:val="0D3C3479"/>
    <w:rsid w:val="0D3DC764"/>
    <w:rsid w:val="0D3E355D"/>
    <w:rsid w:val="0D3E55CC"/>
    <w:rsid w:val="0D4A7A81"/>
    <w:rsid w:val="0D4C0C7F"/>
    <w:rsid w:val="0D5A2253"/>
    <w:rsid w:val="0D6AADEA"/>
    <w:rsid w:val="0D76FF0A"/>
    <w:rsid w:val="0D949A3C"/>
    <w:rsid w:val="0D9502FE"/>
    <w:rsid w:val="0DB7C477"/>
    <w:rsid w:val="0DB83EB4"/>
    <w:rsid w:val="0DBC2CE6"/>
    <w:rsid w:val="0DBDE3B1"/>
    <w:rsid w:val="0DBE8575"/>
    <w:rsid w:val="0DBEC4CA"/>
    <w:rsid w:val="0DC580E8"/>
    <w:rsid w:val="0DC87A4E"/>
    <w:rsid w:val="0DD60803"/>
    <w:rsid w:val="0DEC0BF3"/>
    <w:rsid w:val="0DF41068"/>
    <w:rsid w:val="0DF46DB4"/>
    <w:rsid w:val="0DF7C47E"/>
    <w:rsid w:val="0DF8A95A"/>
    <w:rsid w:val="0E03403B"/>
    <w:rsid w:val="0E03FE98"/>
    <w:rsid w:val="0E0A4204"/>
    <w:rsid w:val="0E0C1B4C"/>
    <w:rsid w:val="0E10995A"/>
    <w:rsid w:val="0E121DB0"/>
    <w:rsid w:val="0E1B4903"/>
    <w:rsid w:val="0E1E8150"/>
    <w:rsid w:val="0E2226A2"/>
    <w:rsid w:val="0E2426AE"/>
    <w:rsid w:val="0E265C37"/>
    <w:rsid w:val="0E3532EB"/>
    <w:rsid w:val="0E3EABFB"/>
    <w:rsid w:val="0E46F424"/>
    <w:rsid w:val="0E4F74A2"/>
    <w:rsid w:val="0E50147A"/>
    <w:rsid w:val="0E52828D"/>
    <w:rsid w:val="0E63930A"/>
    <w:rsid w:val="0E67733F"/>
    <w:rsid w:val="0E6C2907"/>
    <w:rsid w:val="0E712C73"/>
    <w:rsid w:val="0E7CE43F"/>
    <w:rsid w:val="0E8E92C9"/>
    <w:rsid w:val="0E98F389"/>
    <w:rsid w:val="0EA8D5C2"/>
    <w:rsid w:val="0EB35156"/>
    <w:rsid w:val="0ED26E1D"/>
    <w:rsid w:val="0EDE5DCF"/>
    <w:rsid w:val="0EDFD315"/>
    <w:rsid w:val="0EE8C017"/>
    <w:rsid w:val="0EE9A62D"/>
    <w:rsid w:val="0EF1D367"/>
    <w:rsid w:val="0EF8F664"/>
    <w:rsid w:val="0EFB08A8"/>
    <w:rsid w:val="0F035243"/>
    <w:rsid w:val="0F17A8B7"/>
    <w:rsid w:val="0F1915F1"/>
    <w:rsid w:val="0F1A7902"/>
    <w:rsid w:val="0F1BCC0F"/>
    <w:rsid w:val="0F1D29E1"/>
    <w:rsid w:val="0F1DA581"/>
    <w:rsid w:val="0F1F5007"/>
    <w:rsid w:val="0F22CF98"/>
    <w:rsid w:val="0F22ED13"/>
    <w:rsid w:val="0F3734AC"/>
    <w:rsid w:val="0F3F51A7"/>
    <w:rsid w:val="0F4A4A9C"/>
    <w:rsid w:val="0F52EFB3"/>
    <w:rsid w:val="0F5D46BD"/>
    <w:rsid w:val="0F640EFD"/>
    <w:rsid w:val="0F6C72D1"/>
    <w:rsid w:val="0F7E1754"/>
    <w:rsid w:val="0F7EB536"/>
    <w:rsid w:val="0F7EEA4C"/>
    <w:rsid w:val="0F8280DA"/>
    <w:rsid w:val="0F9FCFAE"/>
    <w:rsid w:val="0FA2E9FA"/>
    <w:rsid w:val="0FAA01F3"/>
    <w:rsid w:val="0FBC5A64"/>
    <w:rsid w:val="0FC726F2"/>
    <w:rsid w:val="0FCDA79E"/>
    <w:rsid w:val="0FCE33D5"/>
    <w:rsid w:val="0FD6D4A4"/>
    <w:rsid w:val="0FD70544"/>
    <w:rsid w:val="0FD97951"/>
    <w:rsid w:val="0FE0D557"/>
    <w:rsid w:val="0FE0E075"/>
    <w:rsid w:val="0FE28628"/>
    <w:rsid w:val="0FED35FD"/>
    <w:rsid w:val="0FF4D8CF"/>
    <w:rsid w:val="0FF807EB"/>
    <w:rsid w:val="0FFBDDC0"/>
    <w:rsid w:val="1007FA85"/>
    <w:rsid w:val="100C9482"/>
    <w:rsid w:val="1019A0CA"/>
    <w:rsid w:val="1019CFE3"/>
    <w:rsid w:val="101D82AA"/>
    <w:rsid w:val="10204385"/>
    <w:rsid w:val="10220E9C"/>
    <w:rsid w:val="1025E199"/>
    <w:rsid w:val="10443567"/>
    <w:rsid w:val="10535399"/>
    <w:rsid w:val="105D0D26"/>
    <w:rsid w:val="10608168"/>
    <w:rsid w:val="10621CCE"/>
    <w:rsid w:val="1067069D"/>
    <w:rsid w:val="106D1D93"/>
    <w:rsid w:val="107A2637"/>
    <w:rsid w:val="10801A07"/>
    <w:rsid w:val="109101CC"/>
    <w:rsid w:val="1091CD32"/>
    <w:rsid w:val="109EDB74"/>
    <w:rsid w:val="109F439D"/>
    <w:rsid w:val="109F956E"/>
    <w:rsid w:val="10A3CEB7"/>
    <w:rsid w:val="10B1BBCD"/>
    <w:rsid w:val="10B63F75"/>
    <w:rsid w:val="10B8CA58"/>
    <w:rsid w:val="10CD1E80"/>
    <w:rsid w:val="10D1C426"/>
    <w:rsid w:val="10D8FDE8"/>
    <w:rsid w:val="10DD3341"/>
    <w:rsid w:val="10E59C92"/>
    <w:rsid w:val="10EE0568"/>
    <w:rsid w:val="110AFFD3"/>
    <w:rsid w:val="11132912"/>
    <w:rsid w:val="1116D637"/>
    <w:rsid w:val="111750C4"/>
    <w:rsid w:val="111812EF"/>
    <w:rsid w:val="111AC4FC"/>
    <w:rsid w:val="111D56AE"/>
    <w:rsid w:val="1128B505"/>
    <w:rsid w:val="114AE076"/>
    <w:rsid w:val="114CB09B"/>
    <w:rsid w:val="1156493F"/>
    <w:rsid w:val="115F9805"/>
    <w:rsid w:val="115F9CA9"/>
    <w:rsid w:val="116232F7"/>
    <w:rsid w:val="11655D04"/>
    <w:rsid w:val="11661BD9"/>
    <w:rsid w:val="1174E754"/>
    <w:rsid w:val="11772AE4"/>
    <w:rsid w:val="1177D189"/>
    <w:rsid w:val="117C0659"/>
    <w:rsid w:val="117FA165"/>
    <w:rsid w:val="119BD99B"/>
    <w:rsid w:val="11ADCE23"/>
    <w:rsid w:val="11B17E4C"/>
    <w:rsid w:val="11B84414"/>
    <w:rsid w:val="11B9C1CF"/>
    <w:rsid w:val="11BBE769"/>
    <w:rsid w:val="11BD1586"/>
    <w:rsid w:val="11BF93BE"/>
    <w:rsid w:val="11C23713"/>
    <w:rsid w:val="11CEE901"/>
    <w:rsid w:val="11D8C439"/>
    <w:rsid w:val="11DE2FFA"/>
    <w:rsid w:val="11EE6E0A"/>
    <w:rsid w:val="11F2F454"/>
    <w:rsid w:val="1204751C"/>
    <w:rsid w:val="121C0105"/>
    <w:rsid w:val="121F5611"/>
    <w:rsid w:val="12295896"/>
    <w:rsid w:val="122D1E2C"/>
    <w:rsid w:val="12330D34"/>
    <w:rsid w:val="12331297"/>
    <w:rsid w:val="1236A9A0"/>
    <w:rsid w:val="1246EE09"/>
    <w:rsid w:val="1252F7AB"/>
    <w:rsid w:val="12539263"/>
    <w:rsid w:val="125A7CDB"/>
    <w:rsid w:val="125B55E9"/>
    <w:rsid w:val="125E5B3F"/>
    <w:rsid w:val="125EC30A"/>
    <w:rsid w:val="12615A31"/>
    <w:rsid w:val="12641670"/>
    <w:rsid w:val="127464B7"/>
    <w:rsid w:val="127DE774"/>
    <w:rsid w:val="12872451"/>
    <w:rsid w:val="12920A33"/>
    <w:rsid w:val="129905F6"/>
    <w:rsid w:val="12A30FB8"/>
    <w:rsid w:val="12B14AB9"/>
    <w:rsid w:val="12B38E59"/>
    <w:rsid w:val="12C3D3D7"/>
    <w:rsid w:val="12CD093A"/>
    <w:rsid w:val="12CE5947"/>
    <w:rsid w:val="12CFA1F6"/>
    <w:rsid w:val="12D2C23A"/>
    <w:rsid w:val="12DD4D51"/>
    <w:rsid w:val="12EFB91E"/>
    <w:rsid w:val="12F0E6E9"/>
    <w:rsid w:val="12F67A67"/>
    <w:rsid w:val="12F84CC0"/>
    <w:rsid w:val="13028920"/>
    <w:rsid w:val="130979E2"/>
    <w:rsid w:val="130F09E3"/>
    <w:rsid w:val="131E0010"/>
    <w:rsid w:val="131E8EEC"/>
    <w:rsid w:val="1320F73F"/>
    <w:rsid w:val="132143C7"/>
    <w:rsid w:val="1321A61F"/>
    <w:rsid w:val="13221091"/>
    <w:rsid w:val="132FCBCF"/>
    <w:rsid w:val="133231E4"/>
    <w:rsid w:val="1335CB46"/>
    <w:rsid w:val="13363C9F"/>
    <w:rsid w:val="13392A2C"/>
    <w:rsid w:val="133A303C"/>
    <w:rsid w:val="133FF4A8"/>
    <w:rsid w:val="13468FF0"/>
    <w:rsid w:val="1348A4C7"/>
    <w:rsid w:val="134DEE79"/>
    <w:rsid w:val="1353C163"/>
    <w:rsid w:val="135CCB44"/>
    <w:rsid w:val="1362F88D"/>
    <w:rsid w:val="138048D3"/>
    <w:rsid w:val="139018FC"/>
    <w:rsid w:val="13A32742"/>
    <w:rsid w:val="13B4EC3D"/>
    <w:rsid w:val="13B75232"/>
    <w:rsid w:val="13B7E427"/>
    <w:rsid w:val="13BD5B5A"/>
    <w:rsid w:val="13C54E5D"/>
    <w:rsid w:val="13C619ED"/>
    <w:rsid w:val="13CCF957"/>
    <w:rsid w:val="13D85733"/>
    <w:rsid w:val="13DB1F92"/>
    <w:rsid w:val="13DE4818"/>
    <w:rsid w:val="13E13B65"/>
    <w:rsid w:val="13F053A1"/>
    <w:rsid w:val="13F2B507"/>
    <w:rsid w:val="13F68662"/>
    <w:rsid w:val="13F7285E"/>
    <w:rsid w:val="13F93A35"/>
    <w:rsid w:val="13FB886D"/>
    <w:rsid w:val="1400005E"/>
    <w:rsid w:val="14119468"/>
    <w:rsid w:val="1418AAC3"/>
    <w:rsid w:val="14285B6B"/>
    <w:rsid w:val="142A59A1"/>
    <w:rsid w:val="142FEC3D"/>
    <w:rsid w:val="143021A8"/>
    <w:rsid w:val="1445733C"/>
    <w:rsid w:val="14459722"/>
    <w:rsid w:val="14480201"/>
    <w:rsid w:val="1455793A"/>
    <w:rsid w:val="145B7263"/>
    <w:rsid w:val="1475FA0B"/>
    <w:rsid w:val="1478AFFD"/>
    <w:rsid w:val="147E22AF"/>
    <w:rsid w:val="147EB2D4"/>
    <w:rsid w:val="148160EC"/>
    <w:rsid w:val="1489ECC8"/>
    <w:rsid w:val="148CA162"/>
    <w:rsid w:val="148CFF7A"/>
    <w:rsid w:val="148F5EE0"/>
    <w:rsid w:val="14917B4E"/>
    <w:rsid w:val="1498D7C0"/>
    <w:rsid w:val="149BD733"/>
    <w:rsid w:val="14A935E6"/>
    <w:rsid w:val="14A9A09C"/>
    <w:rsid w:val="14AB7E6A"/>
    <w:rsid w:val="14BCD621"/>
    <w:rsid w:val="14C71979"/>
    <w:rsid w:val="14CACC86"/>
    <w:rsid w:val="14CCD3ED"/>
    <w:rsid w:val="14D5701D"/>
    <w:rsid w:val="14DCC175"/>
    <w:rsid w:val="14E3000E"/>
    <w:rsid w:val="14E9EB6F"/>
    <w:rsid w:val="14ED4106"/>
    <w:rsid w:val="14EDE5B8"/>
    <w:rsid w:val="14EE11FD"/>
    <w:rsid w:val="14EEF035"/>
    <w:rsid w:val="14EF8B6A"/>
    <w:rsid w:val="14F7D8E4"/>
    <w:rsid w:val="14FCF1D2"/>
    <w:rsid w:val="1505F24A"/>
    <w:rsid w:val="1507DD7D"/>
    <w:rsid w:val="150A2DF1"/>
    <w:rsid w:val="15180620"/>
    <w:rsid w:val="152E313F"/>
    <w:rsid w:val="15375CA0"/>
    <w:rsid w:val="15383029"/>
    <w:rsid w:val="153A4EAB"/>
    <w:rsid w:val="1549E754"/>
    <w:rsid w:val="154FA85B"/>
    <w:rsid w:val="1551C201"/>
    <w:rsid w:val="1558134B"/>
    <w:rsid w:val="1558270C"/>
    <w:rsid w:val="155E1577"/>
    <w:rsid w:val="15666C8B"/>
    <w:rsid w:val="157CFCF8"/>
    <w:rsid w:val="157D383E"/>
    <w:rsid w:val="157F3C5E"/>
    <w:rsid w:val="158172CF"/>
    <w:rsid w:val="15838F9C"/>
    <w:rsid w:val="1586A936"/>
    <w:rsid w:val="15887F94"/>
    <w:rsid w:val="15935F0D"/>
    <w:rsid w:val="1598BFA0"/>
    <w:rsid w:val="15A70BDA"/>
    <w:rsid w:val="15AB6634"/>
    <w:rsid w:val="15C12827"/>
    <w:rsid w:val="15C1D01A"/>
    <w:rsid w:val="15CA1B78"/>
    <w:rsid w:val="15CBF02F"/>
    <w:rsid w:val="15DAD589"/>
    <w:rsid w:val="15E25455"/>
    <w:rsid w:val="15E6760B"/>
    <w:rsid w:val="15F802C0"/>
    <w:rsid w:val="15FBE530"/>
    <w:rsid w:val="1603CC68"/>
    <w:rsid w:val="161470E2"/>
    <w:rsid w:val="1615B0E1"/>
    <w:rsid w:val="16206999"/>
    <w:rsid w:val="16207560"/>
    <w:rsid w:val="16225FF7"/>
    <w:rsid w:val="1623182C"/>
    <w:rsid w:val="162985AA"/>
    <w:rsid w:val="1638C5A8"/>
    <w:rsid w:val="164344A4"/>
    <w:rsid w:val="1647F482"/>
    <w:rsid w:val="164D7E2E"/>
    <w:rsid w:val="165011FB"/>
    <w:rsid w:val="165C5871"/>
    <w:rsid w:val="165CF74C"/>
    <w:rsid w:val="16600F9A"/>
    <w:rsid w:val="167CE8AE"/>
    <w:rsid w:val="16857098"/>
    <w:rsid w:val="168EE82F"/>
    <w:rsid w:val="169B16E7"/>
    <w:rsid w:val="16A588AB"/>
    <w:rsid w:val="16AE1001"/>
    <w:rsid w:val="16AE4749"/>
    <w:rsid w:val="16BD8ED1"/>
    <w:rsid w:val="16BF01CF"/>
    <w:rsid w:val="16C34F3C"/>
    <w:rsid w:val="16CC90B9"/>
    <w:rsid w:val="16DEEBAC"/>
    <w:rsid w:val="16E4AC02"/>
    <w:rsid w:val="16E5034E"/>
    <w:rsid w:val="16E743BB"/>
    <w:rsid w:val="16F846E9"/>
    <w:rsid w:val="16FD5E7E"/>
    <w:rsid w:val="1708CA77"/>
    <w:rsid w:val="170DE136"/>
    <w:rsid w:val="170F654D"/>
    <w:rsid w:val="17110C54"/>
    <w:rsid w:val="171403D4"/>
    <w:rsid w:val="1717361E"/>
    <w:rsid w:val="171B7026"/>
    <w:rsid w:val="172DBF40"/>
    <w:rsid w:val="1731F012"/>
    <w:rsid w:val="17399DF8"/>
    <w:rsid w:val="174B897D"/>
    <w:rsid w:val="174D039C"/>
    <w:rsid w:val="175C25F7"/>
    <w:rsid w:val="175CF510"/>
    <w:rsid w:val="175F5674"/>
    <w:rsid w:val="176AA999"/>
    <w:rsid w:val="176BE29A"/>
    <w:rsid w:val="17753318"/>
    <w:rsid w:val="177AD770"/>
    <w:rsid w:val="1786B49B"/>
    <w:rsid w:val="178AB7C1"/>
    <w:rsid w:val="178FC9AD"/>
    <w:rsid w:val="179061E3"/>
    <w:rsid w:val="179A40DC"/>
    <w:rsid w:val="17A1C33C"/>
    <w:rsid w:val="17B0A450"/>
    <w:rsid w:val="17B9B427"/>
    <w:rsid w:val="17BB54A7"/>
    <w:rsid w:val="17BCFCAE"/>
    <w:rsid w:val="17C4DDC5"/>
    <w:rsid w:val="17CD5530"/>
    <w:rsid w:val="17D393EE"/>
    <w:rsid w:val="17D5E1B9"/>
    <w:rsid w:val="17D7857F"/>
    <w:rsid w:val="17D93373"/>
    <w:rsid w:val="17D94564"/>
    <w:rsid w:val="17E27EAA"/>
    <w:rsid w:val="17E3F150"/>
    <w:rsid w:val="17E7B01E"/>
    <w:rsid w:val="17EB3382"/>
    <w:rsid w:val="17F270ED"/>
    <w:rsid w:val="17F39140"/>
    <w:rsid w:val="17F3BB91"/>
    <w:rsid w:val="17F4745F"/>
    <w:rsid w:val="1805FE5F"/>
    <w:rsid w:val="18069926"/>
    <w:rsid w:val="180824CC"/>
    <w:rsid w:val="180C3060"/>
    <w:rsid w:val="180EA046"/>
    <w:rsid w:val="180F1D1C"/>
    <w:rsid w:val="1816B611"/>
    <w:rsid w:val="18278FB1"/>
    <w:rsid w:val="182C6E77"/>
    <w:rsid w:val="182F13B6"/>
    <w:rsid w:val="1836CC46"/>
    <w:rsid w:val="1842FD9A"/>
    <w:rsid w:val="184445ED"/>
    <w:rsid w:val="18489C06"/>
    <w:rsid w:val="184F4708"/>
    <w:rsid w:val="185BD0FF"/>
    <w:rsid w:val="185F2DE4"/>
    <w:rsid w:val="1861D9BC"/>
    <w:rsid w:val="186700E4"/>
    <w:rsid w:val="1868F418"/>
    <w:rsid w:val="1869E113"/>
    <w:rsid w:val="186B3951"/>
    <w:rsid w:val="18711400"/>
    <w:rsid w:val="187380FB"/>
    <w:rsid w:val="187677A9"/>
    <w:rsid w:val="1877051C"/>
    <w:rsid w:val="1878EB00"/>
    <w:rsid w:val="187D9F8C"/>
    <w:rsid w:val="1883B314"/>
    <w:rsid w:val="1883D387"/>
    <w:rsid w:val="188634B1"/>
    <w:rsid w:val="1886C462"/>
    <w:rsid w:val="188C1DF8"/>
    <w:rsid w:val="1890CFD3"/>
    <w:rsid w:val="1893635D"/>
    <w:rsid w:val="18980AFE"/>
    <w:rsid w:val="189D9917"/>
    <w:rsid w:val="189EC4BB"/>
    <w:rsid w:val="18A01ABE"/>
    <w:rsid w:val="18A7B5A1"/>
    <w:rsid w:val="18AB22E9"/>
    <w:rsid w:val="18B2C3B8"/>
    <w:rsid w:val="18B4C924"/>
    <w:rsid w:val="18C316C4"/>
    <w:rsid w:val="18C54384"/>
    <w:rsid w:val="18CD65A2"/>
    <w:rsid w:val="18D7CC6F"/>
    <w:rsid w:val="18DEE3FE"/>
    <w:rsid w:val="18E1DCC3"/>
    <w:rsid w:val="18E21BE3"/>
    <w:rsid w:val="18E919F7"/>
    <w:rsid w:val="18F4732A"/>
    <w:rsid w:val="1908C22E"/>
    <w:rsid w:val="1916FC60"/>
    <w:rsid w:val="191B15E9"/>
    <w:rsid w:val="191D9923"/>
    <w:rsid w:val="19281752"/>
    <w:rsid w:val="19352D2D"/>
    <w:rsid w:val="193B8451"/>
    <w:rsid w:val="193D5702"/>
    <w:rsid w:val="194951ED"/>
    <w:rsid w:val="194A42DC"/>
    <w:rsid w:val="196E9D2C"/>
    <w:rsid w:val="196EE81E"/>
    <w:rsid w:val="1973E8AF"/>
    <w:rsid w:val="1978FA57"/>
    <w:rsid w:val="197BFADC"/>
    <w:rsid w:val="197DB116"/>
    <w:rsid w:val="198A0922"/>
    <w:rsid w:val="198BE4E1"/>
    <w:rsid w:val="198F545E"/>
    <w:rsid w:val="1992B7D5"/>
    <w:rsid w:val="19936C5F"/>
    <w:rsid w:val="199429BC"/>
    <w:rsid w:val="19A2DD61"/>
    <w:rsid w:val="19ADC044"/>
    <w:rsid w:val="19B5D081"/>
    <w:rsid w:val="19BA5366"/>
    <w:rsid w:val="19C50D56"/>
    <w:rsid w:val="19CF30F2"/>
    <w:rsid w:val="19D0C786"/>
    <w:rsid w:val="19DBC0B3"/>
    <w:rsid w:val="19E27AAB"/>
    <w:rsid w:val="19E53BD3"/>
    <w:rsid w:val="19F0985B"/>
    <w:rsid w:val="19FD9B68"/>
    <w:rsid w:val="1A0075B9"/>
    <w:rsid w:val="1A020B68"/>
    <w:rsid w:val="1A038AC2"/>
    <w:rsid w:val="1A081C0F"/>
    <w:rsid w:val="1A0C5066"/>
    <w:rsid w:val="1A0D0660"/>
    <w:rsid w:val="1A16F278"/>
    <w:rsid w:val="1A204203"/>
    <w:rsid w:val="1A2A93D0"/>
    <w:rsid w:val="1A2D1008"/>
    <w:rsid w:val="1A2DF3BF"/>
    <w:rsid w:val="1A320341"/>
    <w:rsid w:val="1A3216AB"/>
    <w:rsid w:val="1A3333AC"/>
    <w:rsid w:val="1A3A05EE"/>
    <w:rsid w:val="1A4672BF"/>
    <w:rsid w:val="1A486237"/>
    <w:rsid w:val="1A556C77"/>
    <w:rsid w:val="1A5C20F9"/>
    <w:rsid w:val="1A661306"/>
    <w:rsid w:val="1A693311"/>
    <w:rsid w:val="1A6F911B"/>
    <w:rsid w:val="1A879276"/>
    <w:rsid w:val="1A87F7BA"/>
    <w:rsid w:val="1A8995C9"/>
    <w:rsid w:val="1A930536"/>
    <w:rsid w:val="1A9457E2"/>
    <w:rsid w:val="1A9D64CF"/>
    <w:rsid w:val="1AAA5A40"/>
    <w:rsid w:val="1ABC3BDC"/>
    <w:rsid w:val="1AC7090A"/>
    <w:rsid w:val="1AD07C0E"/>
    <w:rsid w:val="1AD9A05F"/>
    <w:rsid w:val="1AE01C67"/>
    <w:rsid w:val="1AEC6207"/>
    <w:rsid w:val="1AF10304"/>
    <w:rsid w:val="1AF3CEA1"/>
    <w:rsid w:val="1AF9287C"/>
    <w:rsid w:val="1AF987F8"/>
    <w:rsid w:val="1B011248"/>
    <w:rsid w:val="1B1364F5"/>
    <w:rsid w:val="1B2B76CC"/>
    <w:rsid w:val="1B2DE427"/>
    <w:rsid w:val="1B311DAD"/>
    <w:rsid w:val="1B3AE214"/>
    <w:rsid w:val="1B3D552F"/>
    <w:rsid w:val="1B40335F"/>
    <w:rsid w:val="1B4D9E03"/>
    <w:rsid w:val="1B4E4683"/>
    <w:rsid w:val="1B500BF0"/>
    <w:rsid w:val="1B61160B"/>
    <w:rsid w:val="1B67D005"/>
    <w:rsid w:val="1B6D5D26"/>
    <w:rsid w:val="1B71960B"/>
    <w:rsid w:val="1B8529CB"/>
    <w:rsid w:val="1B933767"/>
    <w:rsid w:val="1B976120"/>
    <w:rsid w:val="1B9BC6C6"/>
    <w:rsid w:val="1BA2B364"/>
    <w:rsid w:val="1BAF06F1"/>
    <w:rsid w:val="1BB10958"/>
    <w:rsid w:val="1BB33EA6"/>
    <w:rsid w:val="1BC152CB"/>
    <w:rsid w:val="1BC2C831"/>
    <w:rsid w:val="1BE65920"/>
    <w:rsid w:val="1BE7773E"/>
    <w:rsid w:val="1BFBBA69"/>
    <w:rsid w:val="1C06A4BB"/>
    <w:rsid w:val="1C083F0F"/>
    <w:rsid w:val="1C08A7E5"/>
    <w:rsid w:val="1C1736A2"/>
    <w:rsid w:val="1C1993A5"/>
    <w:rsid w:val="1C1DD7E5"/>
    <w:rsid w:val="1C2D17F3"/>
    <w:rsid w:val="1C38EDA4"/>
    <w:rsid w:val="1C396ECF"/>
    <w:rsid w:val="1C439825"/>
    <w:rsid w:val="1C490AA8"/>
    <w:rsid w:val="1C4BFE3E"/>
    <w:rsid w:val="1C508D3B"/>
    <w:rsid w:val="1C53DCFC"/>
    <w:rsid w:val="1C54EA79"/>
    <w:rsid w:val="1C5AC750"/>
    <w:rsid w:val="1C5EE6D6"/>
    <w:rsid w:val="1C60B7BB"/>
    <w:rsid w:val="1C884C57"/>
    <w:rsid w:val="1C89AE89"/>
    <w:rsid w:val="1C9EA793"/>
    <w:rsid w:val="1CA53173"/>
    <w:rsid w:val="1CA58C87"/>
    <w:rsid w:val="1CA748BF"/>
    <w:rsid w:val="1CAA274B"/>
    <w:rsid w:val="1CC94030"/>
    <w:rsid w:val="1CCB0412"/>
    <w:rsid w:val="1CDF254C"/>
    <w:rsid w:val="1CE41DF3"/>
    <w:rsid w:val="1CEA8713"/>
    <w:rsid w:val="1CF03DE8"/>
    <w:rsid w:val="1CF460D3"/>
    <w:rsid w:val="1CFF4913"/>
    <w:rsid w:val="1D02DDE6"/>
    <w:rsid w:val="1D05B407"/>
    <w:rsid w:val="1D157F19"/>
    <w:rsid w:val="1D19C847"/>
    <w:rsid w:val="1D22C3F4"/>
    <w:rsid w:val="1D49EB2C"/>
    <w:rsid w:val="1D58E142"/>
    <w:rsid w:val="1D5D3EF7"/>
    <w:rsid w:val="1D631064"/>
    <w:rsid w:val="1D65B383"/>
    <w:rsid w:val="1D676BB9"/>
    <w:rsid w:val="1D6884BA"/>
    <w:rsid w:val="1D6BA275"/>
    <w:rsid w:val="1D6EB102"/>
    <w:rsid w:val="1D6F6E5C"/>
    <w:rsid w:val="1D8C3CB2"/>
    <w:rsid w:val="1D922216"/>
    <w:rsid w:val="1D9494E0"/>
    <w:rsid w:val="1DA553F4"/>
    <w:rsid w:val="1DAA48B6"/>
    <w:rsid w:val="1DAB6FA5"/>
    <w:rsid w:val="1DB23687"/>
    <w:rsid w:val="1DB4DCEE"/>
    <w:rsid w:val="1DBBA322"/>
    <w:rsid w:val="1DC13FE0"/>
    <w:rsid w:val="1DC28180"/>
    <w:rsid w:val="1DCDF30F"/>
    <w:rsid w:val="1DE9DAC7"/>
    <w:rsid w:val="1DEED631"/>
    <w:rsid w:val="1DF098F3"/>
    <w:rsid w:val="1DFB4DDB"/>
    <w:rsid w:val="1DFB7446"/>
    <w:rsid w:val="1E00D706"/>
    <w:rsid w:val="1E03AF66"/>
    <w:rsid w:val="1E043158"/>
    <w:rsid w:val="1E04C461"/>
    <w:rsid w:val="1E0578C0"/>
    <w:rsid w:val="1E07C74B"/>
    <w:rsid w:val="1E0944EF"/>
    <w:rsid w:val="1E0F3086"/>
    <w:rsid w:val="1E1DB3FA"/>
    <w:rsid w:val="1E22516C"/>
    <w:rsid w:val="1E43ADD2"/>
    <w:rsid w:val="1E45E084"/>
    <w:rsid w:val="1E576578"/>
    <w:rsid w:val="1E57A923"/>
    <w:rsid w:val="1E5A28F6"/>
    <w:rsid w:val="1E6288AA"/>
    <w:rsid w:val="1E6C0CA8"/>
    <w:rsid w:val="1E75703A"/>
    <w:rsid w:val="1E7684C5"/>
    <w:rsid w:val="1E76AE90"/>
    <w:rsid w:val="1E7894A7"/>
    <w:rsid w:val="1E7B9827"/>
    <w:rsid w:val="1E874854"/>
    <w:rsid w:val="1E877F90"/>
    <w:rsid w:val="1E8EA1F2"/>
    <w:rsid w:val="1EAE9084"/>
    <w:rsid w:val="1EC0AFBE"/>
    <w:rsid w:val="1EC0C71A"/>
    <w:rsid w:val="1EC2325B"/>
    <w:rsid w:val="1EC5E7EC"/>
    <w:rsid w:val="1ECCEDB7"/>
    <w:rsid w:val="1ED9BD69"/>
    <w:rsid w:val="1EE9A5D5"/>
    <w:rsid w:val="1EEED884"/>
    <w:rsid w:val="1EF8ACAE"/>
    <w:rsid w:val="1F0AD5BC"/>
    <w:rsid w:val="1F1007D9"/>
    <w:rsid w:val="1F131E3B"/>
    <w:rsid w:val="1F1A8311"/>
    <w:rsid w:val="1F2E18C6"/>
    <w:rsid w:val="1F30816D"/>
    <w:rsid w:val="1F35543A"/>
    <w:rsid w:val="1F363708"/>
    <w:rsid w:val="1F39EB6D"/>
    <w:rsid w:val="1F3CA8E2"/>
    <w:rsid w:val="1F40C76F"/>
    <w:rsid w:val="1F4EE383"/>
    <w:rsid w:val="1F52FE94"/>
    <w:rsid w:val="1F5A9E1D"/>
    <w:rsid w:val="1F5DE4AB"/>
    <w:rsid w:val="1F5FA779"/>
    <w:rsid w:val="1F65439E"/>
    <w:rsid w:val="1F6679A1"/>
    <w:rsid w:val="1F7C1727"/>
    <w:rsid w:val="1F8141D9"/>
    <w:rsid w:val="1F864D88"/>
    <w:rsid w:val="1F87A0E5"/>
    <w:rsid w:val="1F8DE2B9"/>
    <w:rsid w:val="1F8DFBF6"/>
    <w:rsid w:val="1FAA1AFF"/>
    <w:rsid w:val="1FAADF15"/>
    <w:rsid w:val="1FABC05C"/>
    <w:rsid w:val="1FAE3CAC"/>
    <w:rsid w:val="1FB1F0B5"/>
    <w:rsid w:val="1FB4BC17"/>
    <w:rsid w:val="1FB8DC70"/>
    <w:rsid w:val="1FBC306C"/>
    <w:rsid w:val="1FBCC24D"/>
    <w:rsid w:val="1FC4776D"/>
    <w:rsid w:val="1FD8215A"/>
    <w:rsid w:val="1FE6E8FB"/>
    <w:rsid w:val="1FF387EB"/>
    <w:rsid w:val="1FF6B00F"/>
    <w:rsid w:val="20007EFE"/>
    <w:rsid w:val="20230FB9"/>
    <w:rsid w:val="202F50A6"/>
    <w:rsid w:val="204B62AB"/>
    <w:rsid w:val="204E4DF0"/>
    <w:rsid w:val="20527DD2"/>
    <w:rsid w:val="2053269F"/>
    <w:rsid w:val="2053F587"/>
    <w:rsid w:val="20687A3A"/>
    <w:rsid w:val="2081BEF2"/>
    <w:rsid w:val="20888305"/>
    <w:rsid w:val="208A2F06"/>
    <w:rsid w:val="20985B16"/>
    <w:rsid w:val="209A1EB6"/>
    <w:rsid w:val="20A083CF"/>
    <w:rsid w:val="20A4E47C"/>
    <w:rsid w:val="20A9F82B"/>
    <w:rsid w:val="20AD0C52"/>
    <w:rsid w:val="20B009F3"/>
    <w:rsid w:val="20B0FA1B"/>
    <w:rsid w:val="20BF0C91"/>
    <w:rsid w:val="20CAC4B6"/>
    <w:rsid w:val="20CF5088"/>
    <w:rsid w:val="20DF84EE"/>
    <w:rsid w:val="20E086CE"/>
    <w:rsid w:val="20EB101C"/>
    <w:rsid w:val="20EC5CB5"/>
    <w:rsid w:val="20EE72C6"/>
    <w:rsid w:val="20F4705F"/>
    <w:rsid w:val="210A1198"/>
    <w:rsid w:val="213A33E8"/>
    <w:rsid w:val="213CA395"/>
    <w:rsid w:val="213F1738"/>
    <w:rsid w:val="21509DC7"/>
    <w:rsid w:val="215BE0C0"/>
    <w:rsid w:val="215DC42A"/>
    <w:rsid w:val="215F70C8"/>
    <w:rsid w:val="21646554"/>
    <w:rsid w:val="216C0632"/>
    <w:rsid w:val="21782941"/>
    <w:rsid w:val="21807A6A"/>
    <w:rsid w:val="21823499"/>
    <w:rsid w:val="219BDA74"/>
    <w:rsid w:val="21A16B21"/>
    <w:rsid w:val="21A8C7B7"/>
    <w:rsid w:val="21ABA8DB"/>
    <w:rsid w:val="21B1AD2A"/>
    <w:rsid w:val="21B491DC"/>
    <w:rsid w:val="21B55113"/>
    <w:rsid w:val="21B6940B"/>
    <w:rsid w:val="21BA371E"/>
    <w:rsid w:val="21BB075A"/>
    <w:rsid w:val="21BFDF8C"/>
    <w:rsid w:val="21D19B87"/>
    <w:rsid w:val="21D8C047"/>
    <w:rsid w:val="21DCD681"/>
    <w:rsid w:val="21DCDAEA"/>
    <w:rsid w:val="21E15C9F"/>
    <w:rsid w:val="21E7A51E"/>
    <w:rsid w:val="21F3AE8A"/>
    <w:rsid w:val="21F3CABA"/>
    <w:rsid w:val="21F781DB"/>
    <w:rsid w:val="21FFD6D3"/>
    <w:rsid w:val="220B843A"/>
    <w:rsid w:val="220B92A9"/>
    <w:rsid w:val="220ECBED"/>
    <w:rsid w:val="221A7BCB"/>
    <w:rsid w:val="221B6D82"/>
    <w:rsid w:val="222B3703"/>
    <w:rsid w:val="223C2147"/>
    <w:rsid w:val="2248040C"/>
    <w:rsid w:val="224A3E74"/>
    <w:rsid w:val="226A0E81"/>
    <w:rsid w:val="226D8A8A"/>
    <w:rsid w:val="22737831"/>
    <w:rsid w:val="227A367E"/>
    <w:rsid w:val="227A9A73"/>
    <w:rsid w:val="227F1B8F"/>
    <w:rsid w:val="2281A7AF"/>
    <w:rsid w:val="2281C774"/>
    <w:rsid w:val="2283783F"/>
    <w:rsid w:val="2285DCAE"/>
    <w:rsid w:val="2288D01B"/>
    <w:rsid w:val="228D8653"/>
    <w:rsid w:val="2299FE9A"/>
    <w:rsid w:val="229DA702"/>
    <w:rsid w:val="22A54F81"/>
    <w:rsid w:val="22AD14E6"/>
    <w:rsid w:val="22AF66D0"/>
    <w:rsid w:val="22B8F1C8"/>
    <w:rsid w:val="22BA1455"/>
    <w:rsid w:val="22BA9E51"/>
    <w:rsid w:val="22BE33CE"/>
    <w:rsid w:val="22C51F5F"/>
    <w:rsid w:val="22D70F4A"/>
    <w:rsid w:val="22D9B505"/>
    <w:rsid w:val="22DFB2BC"/>
    <w:rsid w:val="22E098A8"/>
    <w:rsid w:val="22E5ECD3"/>
    <w:rsid w:val="22E68CCC"/>
    <w:rsid w:val="22F9383D"/>
    <w:rsid w:val="22FAE006"/>
    <w:rsid w:val="2302C925"/>
    <w:rsid w:val="23082617"/>
    <w:rsid w:val="230BF2C6"/>
    <w:rsid w:val="23165FC3"/>
    <w:rsid w:val="23214AA6"/>
    <w:rsid w:val="23224B08"/>
    <w:rsid w:val="23282021"/>
    <w:rsid w:val="2337FD2F"/>
    <w:rsid w:val="233FB664"/>
    <w:rsid w:val="2349D348"/>
    <w:rsid w:val="234EAEF7"/>
    <w:rsid w:val="2354B677"/>
    <w:rsid w:val="23555910"/>
    <w:rsid w:val="23567626"/>
    <w:rsid w:val="23626C78"/>
    <w:rsid w:val="2362A532"/>
    <w:rsid w:val="2367A2C7"/>
    <w:rsid w:val="2368A6DE"/>
    <w:rsid w:val="236D4E57"/>
    <w:rsid w:val="236D6C69"/>
    <w:rsid w:val="2371B290"/>
    <w:rsid w:val="237609AE"/>
    <w:rsid w:val="237FEC33"/>
    <w:rsid w:val="2383174B"/>
    <w:rsid w:val="2383E64D"/>
    <w:rsid w:val="23A49EFB"/>
    <w:rsid w:val="23A516FC"/>
    <w:rsid w:val="23ACEAF8"/>
    <w:rsid w:val="23AE3376"/>
    <w:rsid w:val="23BCE1A0"/>
    <w:rsid w:val="23C071FC"/>
    <w:rsid w:val="23CD95A0"/>
    <w:rsid w:val="23E3E82D"/>
    <w:rsid w:val="23E68C0E"/>
    <w:rsid w:val="23E8049E"/>
    <w:rsid w:val="23EB546D"/>
    <w:rsid w:val="23EDC45C"/>
    <w:rsid w:val="23F34377"/>
    <w:rsid w:val="23F580C5"/>
    <w:rsid w:val="23FA3A7A"/>
    <w:rsid w:val="23FC4290"/>
    <w:rsid w:val="23FF12F4"/>
    <w:rsid w:val="2400138F"/>
    <w:rsid w:val="240181D7"/>
    <w:rsid w:val="241B7605"/>
    <w:rsid w:val="2423A239"/>
    <w:rsid w:val="2427F2E0"/>
    <w:rsid w:val="242EF04E"/>
    <w:rsid w:val="2434350C"/>
    <w:rsid w:val="243A06B9"/>
    <w:rsid w:val="24472BD2"/>
    <w:rsid w:val="244CA98A"/>
    <w:rsid w:val="244E598D"/>
    <w:rsid w:val="244F7874"/>
    <w:rsid w:val="24512B62"/>
    <w:rsid w:val="24554BA6"/>
    <w:rsid w:val="24574045"/>
    <w:rsid w:val="2458A046"/>
    <w:rsid w:val="2458B098"/>
    <w:rsid w:val="2458D5DE"/>
    <w:rsid w:val="245CCC36"/>
    <w:rsid w:val="245FD864"/>
    <w:rsid w:val="246CD5A8"/>
    <w:rsid w:val="248293A2"/>
    <w:rsid w:val="24911EE4"/>
    <w:rsid w:val="249AF9C4"/>
    <w:rsid w:val="24A1F61C"/>
    <w:rsid w:val="24A43DA0"/>
    <w:rsid w:val="24A8D7A8"/>
    <w:rsid w:val="24AE9CF8"/>
    <w:rsid w:val="24B340E1"/>
    <w:rsid w:val="24BCFDAF"/>
    <w:rsid w:val="24C578DF"/>
    <w:rsid w:val="24C96D11"/>
    <w:rsid w:val="24CBA23E"/>
    <w:rsid w:val="24D19E97"/>
    <w:rsid w:val="24DD0B99"/>
    <w:rsid w:val="24EF782D"/>
    <w:rsid w:val="24F3CFBB"/>
    <w:rsid w:val="24FA2F3D"/>
    <w:rsid w:val="2501DD97"/>
    <w:rsid w:val="25043409"/>
    <w:rsid w:val="250B6A89"/>
    <w:rsid w:val="251160E0"/>
    <w:rsid w:val="2519B943"/>
    <w:rsid w:val="252EB19C"/>
    <w:rsid w:val="253ED347"/>
    <w:rsid w:val="25411995"/>
    <w:rsid w:val="254476CD"/>
    <w:rsid w:val="2547A79D"/>
    <w:rsid w:val="254C83A6"/>
    <w:rsid w:val="254F76D0"/>
    <w:rsid w:val="25666E20"/>
    <w:rsid w:val="256D6072"/>
    <w:rsid w:val="256E9F1C"/>
    <w:rsid w:val="25714A4F"/>
    <w:rsid w:val="25732EC4"/>
    <w:rsid w:val="257C7522"/>
    <w:rsid w:val="258C9C5C"/>
    <w:rsid w:val="258E1B94"/>
    <w:rsid w:val="258F97FB"/>
    <w:rsid w:val="259322B1"/>
    <w:rsid w:val="259AD172"/>
    <w:rsid w:val="259B4B39"/>
    <w:rsid w:val="259E8932"/>
    <w:rsid w:val="25AB0EBF"/>
    <w:rsid w:val="25AEB63F"/>
    <w:rsid w:val="25B56FE5"/>
    <w:rsid w:val="25B61FCE"/>
    <w:rsid w:val="25C3C5F0"/>
    <w:rsid w:val="25C6985D"/>
    <w:rsid w:val="25E84C65"/>
    <w:rsid w:val="25ED2171"/>
    <w:rsid w:val="25F08053"/>
    <w:rsid w:val="25F25EAD"/>
    <w:rsid w:val="25FC6EF9"/>
    <w:rsid w:val="25FD022A"/>
    <w:rsid w:val="260C2831"/>
    <w:rsid w:val="260F5A37"/>
    <w:rsid w:val="261FF093"/>
    <w:rsid w:val="2623321C"/>
    <w:rsid w:val="26401C53"/>
    <w:rsid w:val="264CB327"/>
    <w:rsid w:val="264FA1E5"/>
    <w:rsid w:val="2658F121"/>
    <w:rsid w:val="265927D5"/>
    <w:rsid w:val="265F5434"/>
    <w:rsid w:val="26675EDD"/>
    <w:rsid w:val="267309E1"/>
    <w:rsid w:val="26758102"/>
    <w:rsid w:val="267AEF06"/>
    <w:rsid w:val="26810A86"/>
    <w:rsid w:val="26846C8A"/>
    <w:rsid w:val="2686A13D"/>
    <w:rsid w:val="268CC653"/>
    <w:rsid w:val="268F2715"/>
    <w:rsid w:val="269082C3"/>
    <w:rsid w:val="26A5685C"/>
    <w:rsid w:val="26A795F9"/>
    <w:rsid w:val="26AF13FD"/>
    <w:rsid w:val="26B738AD"/>
    <w:rsid w:val="26BED6C3"/>
    <w:rsid w:val="26BF6A7A"/>
    <w:rsid w:val="26C8F7C1"/>
    <w:rsid w:val="26C9D901"/>
    <w:rsid w:val="26CD6274"/>
    <w:rsid w:val="26CE381A"/>
    <w:rsid w:val="26D19977"/>
    <w:rsid w:val="26D3B944"/>
    <w:rsid w:val="26D48A12"/>
    <w:rsid w:val="26DE6595"/>
    <w:rsid w:val="26DEF387"/>
    <w:rsid w:val="26E6E842"/>
    <w:rsid w:val="26E9E3BC"/>
    <w:rsid w:val="26EAE1A8"/>
    <w:rsid w:val="26EF1F3A"/>
    <w:rsid w:val="26FC526E"/>
    <w:rsid w:val="27015A7D"/>
    <w:rsid w:val="2702B7EC"/>
    <w:rsid w:val="2708C2D9"/>
    <w:rsid w:val="270AA816"/>
    <w:rsid w:val="2710A871"/>
    <w:rsid w:val="271825B7"/>
    <w:rsid w:val="272F2293"/>
    <w:rsid w:val="27353C1F"/>
    <w:rsid w:val="2739A551"/>
    <w:rsid w:val="273B9D66"/>
    <w:rsid w:val="273CDBBD"/>
    <w:rsid w:val="273D6A34"/>
    <w:rsid w:val="2747B9A1"/>
    <w:rsid w:val="2748656F"/>
    <w:rsid w:val="2751AEE9"/>
    <w:rsid w:val="2755FCF4"/>
    <w:rsid w:val="27636102"/>
    <w:rsid w:val="277A3540"/>
    <w:rsid w:val="27933415"/>
    <w:rsid w:val="27A7BA13"/>
    <w:rsid w:val="27B02D49"/>
    <w:rsid w:val="27B1C767"/>
    <w:rsid w:val="27B58F80"/>
    <w:rsid w:val="27D4EE10"/>
    <w:rsid w:val="27DF2BFE"/>
    <w:rsid w:val="27EB15F8"/>
    <w:rsid w:val="27EFFC21"/>
    <w:rsid w:val="27F0625F"/>
    <w:rsid w:val="27F13BD1"/>
    <w:rsid w:val="27FF2501"/>
    <w:rsid w:val="281A361D"/>
    <w:rsid w:val="281A7378"/>
    <w:rsid w:val="281C5B0B"/>
    <w:rsid w:val="281D9FD8"/>
    <w:rsid w:val="281EBC5B"/>
    <w:rsid w:val="281F87D4"/>
    <w:rsid w:val="2826B2FB"/>
    <w:rsid w:val="282847CE"/>
    <w:rsid w:val="282D1C59"/>
    <w:rsid w:val="282F53F8"/>
    <w:rsid w:val="28337A1E"/>
    <w:rsid w:val="2846B852"/>
    <w:rsid w:val="2846C9BD"/>
    <w:rsid w:val="2867C8D7"/>
    <w:rsid w:val="28684912"/>
    <w:rsid w:val="2869DF91"/>
    <w:rsid w:val="286F5CFF"/>
    <w:rsid w:val="2873299F"/>
    <w:rsid w:val="2876E03B"/>
    <w:rsid w:val="2878BBCF"/>
    <w:rsid w:val="287C4888"/>
    <w:rsid w:val="2881016C"/>
    <w:rsid w:val="2889BE15"/>
    <w:rsid w:val="2889D7FB"/>
    <w:rsid w:val="288BFD49"/>
    <w:rsid w:val="289A5850"/>
    <w:rsid w:val="28A4FE97"/>
    <w:rsid w:val="28B2C3CA"/>
    <w:rsid w:val="28B756CE"/>
    <w:rsid w:val="28C136B8"/>
    <w:rsid w:val="28C978CC"/>
    <w:rsid w:val="28CACFC3"/>
    <w:rsid w:val="28CECA23"/>
    <w:rsid w:val="28D4E32F"/>
    <w:rsid w:val="28D77543"/>
    <w:rsid w:val="28DC7DBE"/>
    <w:rsid w:val="28F32AE6"/>
    <w:rsid w:val="28F4713F"/>
    <w:rsid w:val="2904FE27"/>
    <w:rsid w:val="290C2FD6"/>
    <w:rsid w:val="291A1EC7"/>
    <w:rsid w:val="292ABEA3"/>
    <w:rsid w:val="292EA175"/>
    <w:rsid w:val="29362583"/>
    <w:rsid w:val="293DBB16"/>
    <w:rsid w:val="29449166"/>
    <w:rsid w:val="2947FD0D"/>
    <w:rsid w:val="294A991A"/>
    <w:rsid w:val="294D720F"/>
    <w:rsid w:val="29584A13"/>
    <w:rsid w:val="295ADE07"/>
    <w:rsid w:val="295CBFF9"/>
    <w:rsid w:val="296706F7"/>
    <w:rsid w:val="2969E334"/>
    <w:rsid w:val="29767E23"/>
    <w:rsid w:val="2997390A"/>
    <w:rsid w:val="2997F4E5"/>
    <w:rsid w:val="2999693D"/>
    <w:rsid w:val="299A65D1"/>
    <w:rsid w:val="299BEE5C"/>
    <w:rsid w:val="29A2BB1F"/>
    <w:rsid w:val="29AFF8E9"/>
    <w:rsid w:val="29B910AF"/>
    <w:rsid w:val="29C7C39B"/>
    <w:rsid w:val="29D4CB9A"/>
    <w:rsid w:val="29E3C75F"/>
    <w:rsid w:val="29E42814"/>
    <w:rsid w:val="29EDAD35"/>
    <w:rsid w:val="29EFFBBD"/>
    <w:rsid w:val="29F68B5E"/>
    <w:rsid w:val="2A0257F8"/>
    <w:rsid w:val="2A15027B"/>
    <w:rsid w:val="2A25C7D6"/>
    <w:rsid w:val="2A274658"/>
    <w:rsid w:val="2A2D47CD"/>
    <w:rsid w:val="2A3482FF"/>
    <w:rsid w:val="2A394039"/>
    <w:rsid w:val="2A3B0D50"/>
    <w:rsid w:val="2A443F7F"/>
    <w:rsid w:val="2A4CC825"/>
    <w:rsid w:val="2A611E36"/>
    <w:rsid w:val="2A620DEC"/>
    <w:rsid w:val="2A67BB5C"/>
    <w:rsid w:val="2A6B2168"/>
    <w:rsid w:val="2A6FAD76"/>
    <w:rsid w:val="2A7A926D"/>
    <w:rsid w:val="2A7F4A8F"/>
    <w:rsid w:val="2A857CC0"/>
    <w:rsid w:val="2A8634FE"/>
    <w:rsid w:val="2A956573"/>
    <w:rsid w:val="2A9958CA"/>
    <w:rsid w:val="2A9B99A4"/>
    <w:rsid w:val="2AA00C21"/>
    <w:rsid w:val="2AA5C684"/>
    <w:rsid w:val="2AA79A0C"/>
    <w:rsid w:val="2AB5150A"/>
    <w:rsid w:val="2AB6A185"/>
    <w:rsid w:val="2ABE3938"/>
    <w:rsid w:val="2ACF62F6"/>
    <w:rsid w:val="2AD5A42C"/>
    <w:rsid w:val="2AD9902F"/>
    <w:rsid w:val="2AE4B8E1"/>
    <w:rsid w:val="2AE853FD"/>
    <w:rsid w:val="2AFE2F3A"/>
    <w:rsid w:val="2AFFEA93"/>
    <w:rsid w:val="2B0BFD39"/>
    <w:rsid w:val="2B0C6513"/>
    <w:rsid w:val="2B163A9C"/>
    <w:rsid w:val="2B1B2F7E"/>
    <w:rsid w:val="2B223E41"/>
    <w:rsid w:val="2B2BBBB2"/>
    <w:rsid w:val="2B2D0FE9"/>
    <w:rsid w:val="2B2D7D2B"/>
    <w:rsid w:val="2B2FF070"/>
    <w:rsid w:val="2B31D71D"/>
    <w:rsid w:val="2B3C4B87"/>
    <w:rsid w:val="2B3D3917"/>
    <w:rsid w:val="2B43042A"/>
    <w:rsid w:val="2B4C2C2D"/>
    <w:rsid w:val="2B4F4D1F"/>
    <w:rsid w:val="2B538195"/>
    <w:rsid w:val="2B5A66ED"/>
    <w:rsid w:val="2B5BD31D"/>
    <w:rsid w:val="2B5C1207"/>
    <w:rsid w:val="2B65057A"/>
    <w:rsid w:val="2B744007"/>
    <w:rsid w:val="2B999E51"/>
    <w:rsid w:val="2BA37181"/>
    <w:rsid w:val="2BB1C75A"/>
    <w:rsid w:val="2BC25473"/>
    <w:rsid w:val="2BD09703"/>
    <w:rsid w:val="2BD6438F"/>
    <w:rsid w:val="2BD9C51B"/>
    <w:rsid w:val="2BDD0C60"/>
    <w:rsid w:val="2BF21D40"/>
    <w:rsid w:val="2BF9D618"/>
    <w:rsid w:val="2BFBE8AE"/>
    <w:rsid w:val="2C0352E0"/>
    <w:rsid w:val="2C042847"/>
    <w:rsid w:val="2C05C4CC"/>
    <w:rsid w:val="2C07116C"/>
    <w:rsid w:val="2C0EAB08"/>
    <w:rsid w:val="2C3316D2"/>
    <w:rsid w:val="2C365EBD"/>
    <w:rsid w:val="2C3AC494"/>
    <w:rsid w:val="2C3C399E"/>
    <w:rsid w:val="2C3D092A"/>
    <w:rsid w:val="2C423769"/>
    <w:rsid w:val="2C46E698"/>
    <w:rsid w:val="2C4B2A10"/>
    <w:rsid w:val="2C53FFD9"/>
    <w:rsid w:val="2C593386"/>
    <w:rsid w:val="2C660830"/>
    <w:rsid w:val="2C67C26C"/>
    <w:rsid w:val="2C68492E"/>
    <w:rsid w:val="2C707ACC"/>
    <w:rsid w:val="2C748677"/>
    <w:rsid w:val="2C755BB9"/>
    <w:rsid w:val="2C7C1E9E"/>
    <w:rsid w:val="2C864F01"/>
    <w:rsid w:val="2C89CCF1"/>
    <w:rsid w:val="2C8B5674"/>
    <w:rsid w:val="2C9A2869"/>
    <w:rsid w:val="2C9C3B88"/>
    <w:rsid w:val="2C9D55F3"/>
    <w:rsid w:val="2C9D8F53"/>
    <w:rsid w:val="2CAA87E5"/>
    <w:rsid w:val="2CB8FA70"/>
    <w:rsid w:val="2CBACA22"/>
    <w:rsid w:val="2CBB61CE"/>
    <w:rsid w:val="2CBDB0AE"/>
    <w:rsid w:val="2CD2BE69"/>
    <w:rsid w:val="2CD59A76"/>
    <w:rsid w:val="2CD83096"/>
    <w:rsid w:val="2CE7C989"/>
    <w:rsid w:val="2CF20010"/>
    <w:rsid w:val="2D05F896"/>
    <w:rsid w:val="2D096777"/>
    <w:rsid w:val="2D0D353E"/>
    <w:rsid w:val="2D0FF530"/>
    <w:rsid w:val="2D1597DC"/>
    <w:rsid w:val="2D18F468"/>
    <w:rsid w:val="2D1B9E02"/>
    <w:rsid w:val="2D1FD192"/>
    <w:rsid w:val="2D2A4030"/>
    <w:rsid w:val="2D2AB3BC"/>
    <w:rsid w:val="2D2C9A3C"/>
    <w:rsid w:val="2D2F21AC"/>
    <w:rsid w:val="2D30D08A"/>
    <w:rsid w:val="2D3321A7"/>
    <w:rsid w:val="2D42ACC6"/>
    <w:rsid w:val="2D44992D"/>
    <w:rsid w:val="2D45A5E7"/>
    <w:rsid w:val="2D475546"/>
    <w:rsid w:val="2D494996"/>
    <w:rsid w:val="2D55C8C3"/>
    <w:rsid w:val="2D5C4269"/>
    <w:rsid w:val="2D5D64DE"/>
    <w:rsid w:val="2D5F6AA7"/>
    <w:rsid w:val="2D6F5CBB"/>
    <w:rsid w:val="2D6FA27C"/>
    <w:rsid w:val="2D719676"/>
    <w:rsid w:val="2D72677D"/>
    <w:rsid w:val="2D7CB7B2"/>
    <w:rsid w:val="2D81C422"/>
    <w:rsid w:val="2D81EBA5"/>
    <w:rsid w:val="2D8934A2"/>
    <w:rsid w:val="2D8A84DF"/>
    <w:rsid w:val="2D8C6496"/>
    <w:rsid w:val="2D99A778"/>
    <w:rsid w:val="2DA8DC69"/>
    <w:rsid w:val="2DAEC47A"/>
    <w:rsid w:val="2DC04059"/>
    <w:rsid w:val="2DC5EACE"/>
    <w:rsid w:val="2DC8E527"/>
    <w:rsid w:val="2DCC59A2"/>
    <w:rsid w:val="2DD69212"/>
    <w:rsid w:val="2DE4A818"/>
    <w:rsid w:val="2DEE2490"/>
    <w:rsid w:val="2DEECFB9"/>
    <w:rsid w:val="2DF1CEFA"/>
    <w:rsid w:val="2DFDD5CB"/>
    <w:rsid w:val="2E075836"/>
    <w:rsid w:val="2E0DBDD6"/>
    <w:rsid w:val="2E0EEC6E"/>
    <w:rsid w:val="2E17A16E"/>
    <w:rsid w:val="2E2B4F57"/>
    <w:rsid w:val="2E4661F1"/>
    <w:rsid w:val="2E4870F9"/>
    <w:rsid w:val="2E4C0771"/>
    <w:rsid w:val="2E50FB4E"/>
    <w:rsid w:val="2E5E64D0"/>
    <w:rsid w:val="2E604CBF"/>
    <w:rsid w:val="2E6110F0"/>
    <w:rsid w:val="2E6A3FC0"/>
    <w:rsid w:val="2E6BB86E"/>
    <w:rsid w:val="2E703A3E"/>
    <w:rsid w:val="2E739AE0"/>
    <w:rsid w:val="2E79182A"/>
    <w:rsid w:val="2E82BFBD"/>
    <w:rsid w:val="2E89B29C"/>
    <w:rsid w:val="2E93BB3B"/>
    <w:rsid w:val="2E9C0B85"/>
    <w:rsid w:val="2EA30484"/>
    <w:rsid w:val="2EB5AB67"/>
    <w:rsid w:val="2EB6EFEC"/>
    <w:rsid w:val="2EB918C8"/>
    <w:rsid w:val="2EBB9F5D"/>
    <w:rsid w:val="2EBBA887"/>
    <w:rsid w:val="2EBD3BA4"/>
    <w:rsid w:val="2EC266B5"/>
    <w:rsid w:val="2ECAB6C3"/>
    <w:rsid w:val="2ECD2D99"/>
    <w:rsid w:val="2ECDB40A"/>
    <w:rsid w:val="2ECE7827"/>
    <w:rsid w:val="2ECF2666"/>
    <w:rsid w:val="2EE19CB8"/>
    <w:rsid w:val="2EEE55A4"/>
    <w:rsid w:val="2EF03BBB"/>
    <w:rsid w:val="2EF05DE3"/>
    <w:rsid w:val="2EFECB6C"/>
    <w:rsid w:val="2F0FB5E2"/>
    <w:rsid w:val="2F116AF5"/>
    <w:rsid w:val="2F20C765"/>
    <w:rsid w:val="2F2206FA"/>
    <w:rsid w:val="2F28BCF8"/>
    <w:rsid w:val="2F2A2042"/>
    <w:rsid w:val="2F2F51FF"/>
    <w:rsid w:val="2F2FCE29"/>
    <w:rsid w:val="2F39E434"/>
    <w:rsid w:val="2F579405"/>
    <w:rsid w:val="2F57D602"/>
    <w:rsid w:val="2F5B16C3"/>
    <w:rsid w:val="2F5BD485"/>
    <w:rsid w:val="2F628AEF"/>
    <w:rsid w:val="2F641359"/>
    <w:rsid w:val="2F6834C3"/>
    <w:rsid w:val="2F6A1FAF"/>
    <w:rsid w:val="2F706CF6"/>
    <w:rsid w:val="2F758510"/>
    <w:rsid w:val="2F7D354A"/>
    <w:rsid w:val="2F83D018"/>
    <w:rsid w:val="2F8417E9"/>
    <w:rsid w:val="2F86C210"/>
    <w:rsid w:val="2F8D9ECC"/>
    <w:rsid w:val="2F9A3DD1"/>
    <w:rsid w:val="2F9AE8C6"/>
    <w:rsid w:val="2F9E6324"/>
    <w:rsid w:val="2FA463C8"/>
    <w:rsid w:val="2FA95DBC"/>
    <w:rsid w:val="2FC19D8A"/>
    <w:rsid w:val="2FD8CA2E"/>
    <w:rsid w:val="2FD9CCBE"/>
    <w:rsid w:val="2FDA329E"/>
    <w:rsid w:val="2FE09BDF"/>
    <w:rsid w:val="2FE47DC3"/>
    <w:rsid w:val="2FE62019"/>
    <w:rsid w:val="2FEC8BBA"/>
    <w:rsid w:val="2FF53F1E"/>
    <w:rsid w:val="2FFC64C0"/>
    <w:rsid w:val="3011DAB5"/>
    <w:rsid w:val="301338B8"/>
    <w:rsid w:val="30185A5C"/>
    <w:rsid w:val="301B1C3D"/>
    <w:rsid w:val="301C9418"/>
    <w:rsid w:val="303138E6"/>
    <w:rsid w:val="30355460"/>
    <w:rsid w:val="3038EB7D"/>
    <w:rsid w:val="303DC0A1"/>
    <w:rsid w:val="304D26FF"/>
    <w:rsid w:val="304F120D"/>
    <w:rsid w:val="3053B406"/>
    <w:rsid w:val="30564A6C"/>
    <w:rsid w:val="3059AE05"/>
    <w:rsid w:val="305F6C0E"/>
    <w:rsid w:val="3060415C"/>
    <w:rsid w:val="30630B9E"/>
    <w:rsid w:val="306D1410"/>
    <w:rsid w:val="306E4990"/>
    <w:rsid w:val="3075D7D1"/>
    <w:rsid w:val="307DA3F7"/>
    <w:rsid w:val="30808EA7"/>
    <w:rsid w:val="30876793"/>
    <w:rsid w:val="309629AC"/>
    <w:rsid w:val="30968D35"/>
    <w:rsid w:val="309B49ED"/>
    <w:rsid w:val="309FF98A"/>
    <w:rsid w:val="30B0F422"/>
    <w:rsid w:val="30C2D7DA"/>
    <w:rsid w:val="30C4E784"/>
    <w:rsid w:val="30C6FF0E"/>
    <w:rsid w:val="30DDA64C"/>
    <w:rsid w:val="30EA65CF"/>
    <w:rsid w:val="30F22201"/>
    <w:rsid w:val="30F7F416"/>
    <w:rsid w:val="30F8AF60"/>
    <w:rsid w:val="30FB6F62"/>
    <w:rsid w:val="310898BB"/>
    <w:rsid w:val="310AB863"/>
    <w:rsid w:val="310EF8D9"/>
    <w:rsid w:val="3111F031"/>
    <w:rsid w:val="31135687"/>
    <w:rsid w:val="3122480F"/>
    <w:rsid w:val="315083F6"/>
    <w:rsid w:val="31692BB7"/>
    <w:rsid w:val="318D7598"/>
    <w:rsid w:val="3194D5C3"/>
    <w:rsid w:val="319F9D01"/>
    <w:rsid w:val="31A90F43"/>
    <w:rsid w:val="31AA9047"/>
    <w:rsid w:val="31AB32A6"/>
    <w:rsid w:val="31CC9175"/>
    <w:rsid w:val="31CDD705"/>
    <w:rsid w:val="31D2C129"/>
    <w:rsid w:val="31D39728"/>
    <w:rsid w:val="31D76BBD"/>
    <w:rsid w:val="31E69AD7"/>
    <w:rsid w:val="31F08F91"/>
    <w:rsid w:val="31F43A7F"/>
    <w:rsid w:val="31F75FFF"/>
    <w:rsid w:val="3205B9AD"/>
    <w:rsid w:val="321CDC67"/>
    <w:rsid w:val="322A558D"/>
    <w:rsid w:val="322E2B16"/>
    <w:rsid w:val="322F2E6E"/>
    <w:rsid w:val="3239358B"/>
    <w:rsid w:val="323B216B"/>
    <w:rsid w:val="323DDC25"/>
    <w:rsid w:val="323F2FC3"/>
    <w:rsid w:val="32413913"/>
    <w:rsid w:val="3241D4F4"/>
    <w:rsid w:val="324C6396"/>
    <w:rsid w:val="3250EDAB"/>
    <w:rsid w:val="325AE90A"/>
    <w:rsid w:val="3263B57D"/>
    <w:rsid w:val="326A609E"/>
    <w:rsid w:val="327A7FFA"/>
    <w:rsid w:val="327AC364"/>
    <w:rsid w:val="327C8ACB"/>
    <w:rsid w:val="32805AEA"/>
    <w:rsid w:val="3280D4C1"/>
    <w:rsid w:val="328AA971"/>
    <w:rsid w:val="3296747A"/>
    <w:rsid w:val="329D4E6A"/>
    <w:rsid w:val="329E4AD8"/>
    <w:rsid w:val="32A01366"/>
    <w:rsid w:val="32A4C59E"/>
    <w:rsid w:val="32AB3A37"/>
    <w:rsid w:val="32ABCEA3"/>
    <w:rsid w:val="32AD0266"/>
    <w:rsid w:val="32AFF195"/>
    <w:rsid w:val="32B81C72"/>
    <w:rsid w:val="32B8F2D6"/>
    <w:rsid w:val="32BA6227"/>
    <w:rsid w:val="32BEC6E9"/>
    <w:rsid w:val="32C93996"/>
    <w:rsid w:val="32E3110A"/>
    <w:rsid w:val="32E7A85D"/>
    <w:rsid w:val="32E8E104"/>
    <w:rsid w:val="32F456FF"/>
    <w:rsid w:val="32FF6AAD"/>
    <w:rsid w:val="330D2A75"/>
    <w:rsid w:val="330DA58B"/>
    <w:rsid w:val="33245BE8"/>
    <w:rsid w:val="332D5FC6"/>
    <w:rsid w:val="333C5E0F"/>
    <w:rsid w:val="3354EB3C"/>
    <w:rsid w:val="3355E68E"/>
    <w:rsid w:val="335665BD"/>
    <w:rsid w:val="336096AF"/>
    <w:rsid w:val="3365192F"/>
    <w:rsid w:val="337D3DB5"/>
    <w:rsid w:val="338157D8"/>
    <w:rsid w:val="338BBD5B"/>
    <w:rsid w:val="3398C157"/>
    <w:rsid w:val="339AFEC6"/>
    <w:rsid w:val="33A5E0A4"/>
    <w:rsid w:val="33ACECD8"/>
    <w:rsid w:val="33B41B93"/>
    <w:rsid w:val="33BB42A0"/>
    <w:rsid w:val="33BD6FC0"/>
    <w:rsid w:val="33BDFB48"/>
    <w:rsid w:val="33BEE639"/>
    <w:rsid w:val="33DB151A"/>
    <w:rsid w:val="33F0FA8B"/>
    <w:rsid w:val="33F81D95"/>
    <w:rsid w:val="33F9D5E8"/>
    <w:rsid w:val="3400A463"/>
    <w:rsid w:val="3405B402"/>
    <w:rsid w:val="3408C81A"/>
    <w:rsid w:val="3408F822"/>
    <w:rsid w:val="34107BFC"/>
    <w:rsid w:val="341B8756"/>
    <w:rsid w:val="34255FB7"/>
    <w:rsid w:val="342B22E3"/>
    <w:rsid w:val="342B7600"/>
    <w:rsid w:val="342F4542"/>
    <w:rsid w:val="342FD933"/>
    <w:rsid w:val="3441C6DF"/>
    <w:rsid w:val="34433C6F"/>
    <w:rsid w:val="344C7BBE"/>
    <w:rsid w:val="3455DAE5"/>
    <w:rsid w:val="3455EBF4"/>
    <w:rsid w:val="34593D9D"/>
    <w:rsid w:val="3459A8B0"/>
    <w:rsid w:val="345C34C8"/>
    <w:rsid w:val="345D8F91"/>
    <w:rsid w:val="34614847"/>
    <w:rsid w:val="346CD5C2"/>
    <w:rsid w:val="346E8615"/>
    <w:rsid w:val="3473AD84"/>
    <w:rsid w:val="3475AC81"/>
    <w:rsid w:val="347612B8"/>
    <w:rsid w:val="347CF357"/>
    <w:rsid w:val="34852B5E"/>
    <w:rsid w:val="34859A38"/>
    <w:rsid w:val="34883C7B"/>
    <w:rsid w:val="34891B2A"/>
    <w:rsid w:val="34941C34"/>
    <w:rsid w:val="34AB46A1"/>
    <w:rsid w:val="34AC547C"/>
    <w:rsid w:val="34B40BFD"/>
    <w:rsid w:val="34BCC0BA"/>
    <w:rsid w:val="34BD6B0B"/>
    <w:rsid w:val="34BE3261"/>
    <w:rsid w:val="34C461D7"/>
    <w:rsid w:val="34C4776E"/>
    <w:rsid w:val="34CB454C"/>
    <w:rsid w:val="34DA5921"/>
    <w:rsid w:val="34DCD999"/>
    <w:rsid w:val="34E3BE4A"/>
    <w:rsid w:val="34EEC2CF"/>
    <w:rsid w:val="34F1159E"/>
    <w:rsid w:val="34F1691C"/>
    <w:rsid w:val="35010AAD"/>
    <w:rsid w:val="350F47EF"/>
    <w:rsid w:val="3510D08A"/>
    <w:rsid w:val="35154A30"/>
    <w:rsid w:val="351D9BBC"/>
    <w:rsid w:val="351FAEF5"/>
    <w:rsid w:val="352023FD"/>
    <w:rsid w:val="35297B07"/>
    <w:rsid w:val="352AA27B"/>
    <w:rsid w:val="352B8BCF"/>
    <w:rsid w:val="35372A40"/>
    <w:rsid w:val="3539EDC3"/>
    <w:rsid w:val="353B2C88"/>
    <w:rsid w:val="353B6F60"/>
    <w:rsid w:val="35499326"/>
    <w:rsid w:val="3549B2AF"/>
    <w:rsid w:val="354D7788"/>
    <w:rsid w:val="354EF520"/>
    <w:rsid w:val="35586F8A"/>
    <w:rsid w:val="3558C312"/>
    <w:rsid w:val="355C97C0"/>
    <w:rsid w:val="35649357"/>
    <w:rsid w:val="3564B4AF"/>
    <w:rsid w:val="356B02BD"/>
    <w:rsid w:val="356F16DD"/>
    <w:rsid w:val="3572EA69"/>
    <w:rsid w:val="35786540"/>
    <w:rsid w:val="357C0AC1"/>
    <w:rsid w:val="3582B603"/>
    <w:rsid w:val="35854660"/>
    <w:rsid w:val="3586E394"/>
    <w:rsid w:val="358F3FC6"/>
    <w:rsid w:val="359AE94E"/>
    <w:rsid w:val="359E26CC"/>
    <w:rsid w:val="35A28C1E"/>
    <w:rsid w:val="35A9AF7E"/>
    <w:rsid w:val="35AC33F9"/>
    <w:rsid w:val="35B307B6"/>
    <w:rsid w:val="35BB0585"/>
    <w:rsid w:val="35BC391F"/>
    <w:rsid w:val="35C5BC39"/>
    <w:rsid w:val="35CE5649"/>
    <w:rsid w:val="35D24570"/>
    <w:rsid w:val="35DA8777"/>
    <w:rsid w:val="35E00746"/>
    <w:rsid w:val="35E97FBD"/>
    <w:rsid w:val="35F1CB0E"/>
    <w:rsid w:val="360F5856"/>
    <w:rsid w:val="3619D122"/>
    <w:rsid w:val="361E2BCD"/>
    <w:rsid w:val="36223F59"/>
    <w:rsid w:val="362550F9"/>
    <w:rsid w:val="3627B275"/>
    <w:rsid w:val="3639084E"/>
    <w:rsid w:val="36486641"/>
    <w:rsid w:val="3657124E"/>
    <w:rsid w:val="365A2122"/>
    <w:rsid w:val="365E3200"/>
    <w:rsid w:val="3666A361"/>
    <w:rsid w:val="367277FA"/>
    <w:rsid w:val="3677A204"/>
    <w:rsid w:val="367A0124"/>
    <w:rsid w:val="367FBD61"/>
    <w:rsid w:val="36867A10"/>
    <w:rsid w:val="368F57E7"/>
    <w:rsid w:val="369AE23D"/>
    <w:rsid w:val="369CA7DB"/>
    <w:rsid w:val="36B0ADF0"/>
    <w:rsid w:val="36B64E64"/>
    <w:rsid w:val="36B7BF51"/>
    <w:rsid w:val="36BA3317"/>
    <w:rsid w:val="36BB16E3"/>
    <w:rsid w:val="36BE0A8D"/>
    <w:rsid w:val="36D49ED2"/>
    <w:rsid w:val="36DEC239"/>
    <w:rsid w:val="36E0A436"/>
    <w:rsid w:val="3706AE7B"/>
    <w:rsid w:val="370CDBC8"/>
    <w:rsid w:val="371041F6"/>
    <w:rsid w:val="371C7986"/>
    <w:rsid w:val="37238E1C"/>
    <w:rsid w:val="372560A9"/>
    <w:rsid w:val="3734B081"/>
    <w:rsid w:val="3741F3E9"/>
    <w:rsid w:val="374305DD"/>
    <w:rsid w:val="374CA6D2"/>
    <w:rsid w:val="37545404"/>
    <w:rsid w:val="3760567A"/>
    <w:rsid w:val="3767BF6D"/>
    <w:rsid w:val="376D88E7"/>
    <w:rsid w:val="37724E6D"/>
    <w:rsid w:val="3775C652"/>
    <w:rsid w:val="377A640B"/>
    <w:rsid w:val="377E2465"/>
    <w:rsid w:val="37853B24"/>
    <w:rsid w:val="3790E8D1"/>
    <w:rsid w:val="37940844"/>
    <w:rsid w:val="3794F1A4"/>
    <w:rsid w:val="3795ED45"/>
    <w:rsid w:val="3797BA2C"/>
    <w:rsid w:val="379C6675"/>
    <w:rsid w:val="379E43FC"/>
    <w:rsid w:val="37B26EEE"/>
    <w:rsid w:val="37C4AD9E"/>
    <w:rsid w:val="37C7A835"/>
    <w:rsid w:val="37C7F794"/>
    <w:rsid w:val="37CEB28F"/>
    <w:rsid w:val="37D3CD84"/>
    <w:rsid w:val="37D4367D"/>
    <w:rsid w:val="37D61292"/>
    <w:rsid w:val="37F755C6"/>
    <w:rsid w:val="37F78A26"/>
    <w:rsid w:val="3801BAE7"/>
    <w:rsid w:val="38080E21"/>
    <w:rsid w:val="380908C2"/>
    <w:rsid w:val="381C1E8D"/>
    <w:rsid w:val="382A760F"/>
    <w:rsid w:val="38342AFF"/>
    <w:rsid w:val="383A523E"/>
    <w:rsid w:val="38416CBC"/>
    <w:rsid w:val="3843E60B"/>
    <w:rsid w:val="384F094A"/>
    <w:rsid w:val="385810C1"/>
    <w:rsid w:val="386E4F1D"/>
    <w:rsid w:val="387A286F"/>
    <w:rsid w:val="388C545E"/>
    <w:rsid w:val="38932A9A"/>
    <w:rsid w:val="3897C8AC"/>
    <w:rsid w:val="389FF26C"/>
    <w:rsid w:val="38A91547"/>
    <w:rsid w:val="38B22B39"/>
    <w:rsid w:val="38B3CABE"/>
    <w:rsid w:val="38B633E1"/>
    <w:rsid w:val="38B94714"/>
    <w:rsid w:val="38C02CC4"/>
    <w:rsid w:val="38C5D4C0"/>
    <w:rsid w:val="38D37F17"/>
    <w:rsid w:val="38D7B5AC"/>
    <w:rsid w:val="38E03AF2"/>
    <w:rsid w:val="38E5768B"/>
    <w:rsid w:val="38E584D6"/>
    <w:rsid w:val="38E6FA71"/>
    <w:rsid w:val="38E98E1D"/>
    <w:rsid w:val="38EC792C"/>
    <w:rsid w:val="38ECB7BF"/>
    <w:rsid w:val="38F4D44D"/>
    <w:rsid w:val="3904E10C"/>
    <w:rsid w:val="3907DCD7"/>
    <w:rsid w:val="391168B0"/>
    <w:rsid w:val="39156DB2"/>
    <w:rsid w:val="3915D0E0"/>
    <w:rsid w:val="3920B2DC"/>
    <w:rsid w:val="392BF414"/>
    <w:rsid w:val="392C35CC"/>
    <w:rsid w:val="393DCCCF"/>
    <w:rsid w:val="3950127E"/>
    <w:rsid w:val="3954B292"/>
    <w:rsid w:val="395BD1D8"/>
    <w:rsid w:val="39676F12"/>
    <w:rsid w:val="39689003"/>
    <w:rsid w:val="397662EA"/>
    <w:rsid w:val="397BE6E1"/>
    <w:rsid w:val="3982E260"/>
    <w:rsid w:val="399EF140"/>
    <w:rsid w:val="39A0C7F6"/>
    <w:rsid w:val="39A7563D"/>
    <w:rsid w:val="39AB90A7"/>
    <w:rsid w:val="39B244BF"/>
    <w:rsid w:val="39D84927"/>
    <w:rsid w:val="39DCA221"/>
    <w:rsid w:val="39DDB074"/>
    <w:rsid w:val="39E97D2A"/>
    <w:rsid w:val="39F38BA3"/>
    <w:rsid w:val="39F6A206"/>
    <w:rsid w:val="39FC6010"/>
    <w:rsid w:val="3A0DCF76"/>
    <w:rsid w:val="3A0EDA66"/>
    <w:rsid w:val="3A159A94"/>
    <w:rsid w:val="3A284C59"/>
    <w:rsid w:val="3A33AEB5"/>
    <w:rsid w:val="3A39AC28"/>
    <w:rsid w:val="3A3B7391"/>
    <w:rsid w:val="3A40C248"/>
    <w:rsid w:val="3A4424C1"/>
    <w:rsid w:val="3A48DB04"/>
    <w:rsid w:val="3A54F5D8"/>
    <w:rsid w:val="3A5745D7"/>
    <w:rsid w:val="3A58CD0C"/>
    <w:rsid w:val="3A65F64C"/>
    <w:rsid w:val="3A694E3A"/>
    <w:rsid w:val="3A728DB1"/>
    <w:rsid w:val="3A88FDC3"/>
    <w:rsid w:val="3A8DBA5C"/>
    <w:rsid w:val="3A8E770A"/>
    <w:rsid w:val="3A9655A6"/>
    <w:rsid w:val="3A9CE33E"/>
    <w:rsid w:val="3AA0F5E3"/>
    <w:rsid w:val="3AA15DC9"/>
    <w:rsid w:val="3AA5E0AA"/>
    <w:rsid w:val="3ABDE3E7"/>
    <w:rsid w:val="3AD55ADA"/>
    <w:rsid w:val="3AD898A4"/>
    <w:rsid w:val="3ADECCBD"/>
    <w:rsid w:val="3ADF60FF"/>
    <w:rsid w:val="3AFC4A2F"/>
    <w:rsid w:val="3B052C8E"/>
    <w:rsid w:val="3B0CF60F"/>
    <w:rsid w:val="3B248073"/>
    <w:rsid w:val="3B257163"/>
    <w:rsid w:val="3B263219"/>
    <w:rsid w:val="3B264D4F"/>
    <w:rsid w:val="3B2EB82F"/>
    <w:rsid w:val="3B34D4FB"/>
    <w:rsid w:val="3B3D5F0E"/>
    <w:rsid w:val="3B3FCAE6"/>
    <w:rsid w:val="3B42059E"/>
    <w:rsid w:val="3B436641"/>
    <w:rsid w:val="3B53DD16"/>
    <w:rsid w:val="3B664907"/>
    <w:rsid w:val="3B6F18AA"/>
    <w:rsid w:val="3B77A319"/>
    <w:rsid w:val="3B784B0A"/>
    <w:rsid w:val="3B792932"/>
    <w:rsid w:val="3B7EE3E3"/>
    <w:rsid w:val="3B80CBCB"/>
    <w:rsid w:val="3B843101"/>
    <w:rsid w:val="3B8C591F"/>
    <w:rsid w:val="3B8D0B52"/>
    <w:rsid w:val="3B95DEF4"/>
    <w:rsid w:val="3BA6ACC9"/>
    <w:rsid w:val="3BAA64BE"/>
    <w:rsid w:val="3BB537C2"/>
    <w:rsid w:val="3BBB6E27"/>
    <w:rsid w:val="3BCEC70C"/>
    <w:rsid w:val="3BCF6720"/>
    <w:rsid w:val="3BD41EB9"/>
    <w:rsid w:val="3BDB02F1"/>
    <w:rsid w:val="3BDED1EC"/>
    <w:rsid w:val="3BE27988"/>
    <w:rsid w:val="3BE72AE6"/>
    <w:rsid w:val="3BE87EED"/>
    <w:rsid w:val="3BEA42DD"/>
    <w:rsid w:val="3BED02CD"/>
    <w:rsid w:val="3BFF3FC7"/>
    <w:rsid w:val="3C01E9A7"/>
    <w:rsid w:val="3C03E3DC"/>
    <w:rsid w:val="3C0416DE"/>
    <w:rsid w:val="3C0765CA"/>
    <w:rsid w:val="3C0C02B9"/>
    <w:rsid w:val="3C1033B2"/>
    <w:rsid w:val="3C12B479"/>
    <w:rsid w:val="3C1BA1EF"/>
    <w:rsid w:val="3C22F680"/>
    <w:rsid w:val="3C29CF18"/>
    <w:rsid w:val="3C2A0E6C"/>
    <w:rsid w:val="3C2CEBDE"/>
    <w:rsid w:val="3C2FED63"/>
    <w:rsid w:val="3C30EB72"/>
    <w:rsid w:val="3C38291C"/>
    <w:rsid w:val="3C387E7D"/>
    <w:rsid w:val="3C3AA021"/>
    <w:rsid w:val="3C557974"/>
    <w:rsid w:val="3C5D215C"/>
    <w:rsid w:val="3C640762"/>
    <w:rsid w:val="3C674D25"/>
    <w:rsid w:val="3C6C5848"/>
    <w:rsid w:val="3C78A263"/>
    <w:rsid w:val="3C8ECFAC"/>
    <w:rsid w:val="3C92B421"/>
    <w:rsid w:val="3C97203F"/>
    <w:rsid w:val="3C9E3002"/>
    <w:rsid w:val="3CA11EF6"/>
    <w:rsid w:val="3CB14438"/>
    <w:rsid w:val="3CB4B846"/>
    <w:rsid w:val="3CBB4498"/>
    <w:rsid w:val="3CCD8369"/>
    <w:rsid w:val="3CCE3517"/>
    <w:rsid w:val="3CCFCDF2"/>
    <w:rsid w:val="3CD2B124"/>
    <w:rsid w:val="3CD80CA0"/>
    <w:rsid w:val="3CDB1538"/>
    <w:rsid w:val="3CDBB3E5"/>
    <w:rsid w:val="3CE180A4"/>
    <w:rsid w:val="3CE940E1"/>
    <w:rsid w:val="3CF00126"/>
    <w:rsid w:val="3CF99A65"/>
    <w:rsid w:val="3D06A5F5"/>
    <w:rsid w:val="3D1BEE5D"/>
    <w:rsid w:val="3D26D466"/>
    <w:rsid w:val="3D2DD110"/>
    <w:rsid w:val="3D2E4D64"/>
    <w:rsid w:val="3D31A830"/>
    <w:rsid w:val="3D334452"/>
    <w:rsid w:val="3D33E45F"/>
    <w:rsid w:val="3D39B31F"/>
    <w:rsid w:val="3D3C4165"/>
    <w:rsid w:val="3D3C5D14"/>
    <w:rsid w:val="3D416C25"/>
    <w:rsid w:val="3D5941A8"/>
    <w:rsid w:val="3D62D406"/>
    <w:rsid w:val="3D74ACE7"/>
    <w:rsid w:val="3D79E6E3"/>
    <w:rsid w:val="3D986A70"/>
    <w:rsid w:val="3D9A3909"/>
    <w:rsid w:val="3D9DFED5"/>
    <w:rsid w:val="3DB2C7AF"/>
    <w:rsid w:val="3DBC0750"/>
    <w:rsid w:val="3DBD798A"/>
    <w:rsid w:val="3DBF7984"/>
    <w:rsid w:val="3DC1A1F5"/>
    <w:rsid w:val="3DCA4FA1"/>
    <w:rsid w:val="3DCA8225"/>
    <w:rsid w:val="3DD6C93C"/>
    <w:rsid w:val="3DDCB6BE"/>
    <w:rsid w:val="3DE6A103"/>
    <w:rsid w:val="3DE735F9"/>
    <w:rsid w:val="3DF250E9"/>
    <w:rsid w:val="3DF6910B"/>
    <w:rsid w:val="3E070385"/>
    <w:rsid w:val="3E17CA87"/>
    <w:rsid w:val="3E3AC88F"/>
    <w:rsid w:val="3E4C3566"/>
    <w:rsid w:val="3E4EF17F"/>
    <w:rsid w:val="3E531A0E"/>
    <w:rsid w:val="3E550A3D"/>
    <w:rsid w:val="3E5BDF55"/>
    <w:rsid w:val="3E5C5BB3"/>
    <w:rsid w:val="3E5FBA69"/>
    <w:rsid w:val="3E64E338"/>
    <w:rsid w:val="3E670911"/>
    <w:rsid w:val="3E6DEEF5"/>
    <w:rsid w:val="3E71D3B2"/>
    <w:rsid w:val="3E78F873"/>
    <w:rsid w:val="3E825A65"/>
    <w:rsid w:val="3E8E9A21"/>
    <w:rsid w:val="3EA7DC89"/>
    <w:rsid w:val="3EB462AD"/>
    <w:rsid w:val="3EBD677B"/>
    <w:rsid w:val="3EC1B5B7"/>
    <w:rsid w:val="3EC54102"/>
    <w:rsid w:val="3EC7A80C"/>
    <w:rsid w:val="3ECFF7F6"/>
    <w:rsid w:val="3ED2BFF9"/>
    <w:rsid w:val="3EDC11EF"/>
    <w:rsid w:val="3EDEA579"/>
    <w:rsid w:val="3EDFE26B"/>
    <w:rsid w:val="3EE87A61"/>
    <w:rsid w:val="3EEAD541"/>
    <w:rsid w:val="3EF03A66"/>
    <w:rsid w:val="3EF1F4B6"/>
    <w:rsid w:val="3EFEB7EE"/>
    <w:rsid w:val="3F183538"/>
    <w:rsid w:val="3F185E48"/>
    <w:rsid w:val="3F28FE9F"/>
    <w:rsid w:val="3F2B2258"/>
    <w:rsid w:val="3F31A95F"/>
    <w:rsid w:val="3F3742EE"/>
    <w:rsid w:val="3F421870"/>
    <w:rsid w:val="3F442D7C"/>
    <w:rsid w:val="3F488AB5"/>
    <w:rsid w:val="3F4FCA12"/>
    <w:rsid w:val="3F5F748F"/>
    <w:rsid w:val="3F6E235B"/>
    <w:rsid w:val="3F752E7D"/>
    <w:rsid w:val="3F772218"/>
    <w:rsid w:val="3F942463"/>
    <w:rsid w:val="3F95E359"/>
    <w:rsid w:val="3F9B0541"/>
    <w:rsid w:val="3F9F2279"/>
    <w:rsid w:val="3FA0AD76"/>
    <w:rsid w:val="3FA80B0F"/>
    <w:rsid w:val="3FAB0801"/>
    <w:rsid w:val="3FBD6684"/>
    <w:rsid w:val="3FBFB27D"/>
    <w:rsid w:val="3FC47D67"/>
    <w:rsid w:val="3FC9C8CA"/>
    <w:rsid w:val="3FEA41F4"/>
    <w:rsid w:val="3FECA3F2"/>
    <w:rsid w:val="3FF33B77"/>
    <w:rsid w:val="3FF541D3"/>
    <w:rsid w:val="40004A78"/>
    <w:rsid w:val="400155DE"/>
    <w:rsid w:val="401707E5"/>
    <w:rsid w:val="401E6B27"/>
    <w:rsid w:val="40398D44"/>
    <w:rsid w:val="403FEE70"/>
    <w:rsid w:val="40499259"/>
    <w:rsid w:val="404E0721"/>
    <w:rsid w:val="405D10F9"/>
    <w:rsid w:val="40635895"/>
    <w:rsid w:val="4067090D"/>
    <w:rsid w:val="407091C5"/>
    <w:rsid w:val="407D3CD2"/>
    <w:rsid w:val="4082F8C4"/>
    <w:rsid w:val="40842AE8"/>
    <w:rsid w:val="4084B329"/>
    <w:rsid w:val="408AB5D1"/>
    <w:rsid w:val="409BD6E3"/>
    <w:rsid w:val="409BD7EE"/>
    <w:rsid w:val="40AF873D"/>
    <w:rsid w:val="40B23C7A"/>
    <w:rsid w:val="40B42FC7"/>
    <w:rsid w:val="40B5B9AE"/>
    <w:rsid w:val="40B7D5AF"/>
    <w:rsid w:val="40BF17F7"/>
    <w:rsid w:val="40C4F052"/>
    <w:rsid w:val="40CF870D"/>
    <w:rsid w:val="40CFA59A"/>
    <w:rsid w:val="40D04DC1"/>
    <w:rsid w:val="40DB2005"/>
    <w:rsid w:val="40DB64A9"/>
    <w:rsid w:val="40E8126A"/>
    <w:rsid w:val="40EF01EB"/>
    <w:rsid w:val="40F4250B"/>
    <w:rsid w:val="40F4E561"/>
    <w:rsid w:val="40F96733"/>
    <w:rsid w:val="410D8CAD"/>
    <w:rsid w:val="4120674C"/>
    <w:rsid w:val="4129B697"/>
    <w:rsid w:val="412C38EB"/>
    <w:rsid w:val="412D7E1D"/>
    <w:rsid w:val="4130396E"/>
    <w:rsid w:val="414A61CA"/>
    <w:rsid w:val="4152660A"/>
    <w:rsid w:val="4172816F"/>
    <w:rsid w:val="417480DB"/>
    <w:rsid w:val="4177F450"/>
    <w:rsid w:val="417B2A5C"/>
    <w:rsid w:val="418259B5"/>
    <w:rsid w:val="4182A7DC"/>
    <w:rsid w:val="418AA43B"/>
    <w:rsid w:val="41984015"/>
    <w:rsid w:val="419984C1"/>
    <w:rsid w:val="419ABB9A"/>
    <w:rsid w:val="419DF6DB"/>
    <w:rsid w:val="41AD8F19"/>
    <w:rsid w:val="41B0A5DF"/>
    <w:rsid w:val="41C9FED9"/>
    <w:rsid w:val="41CA4F3D"/>
    <w:rsid w:val="41CC204A"/>
    <w:rsid w:val="41D562F6"/>
    <w:rsid w:val="41DFECCD"/>
    <w:rsid w:val="41E4D7D5"/>
    <w:rsid w:val="41E8E0F0"/>
    <w:rsid w:val="42015416"/>
    <w:rsid w:val="4202BB45"/>
    <w:rsid w:val="4203E6ED"/>
    <w:rsid w:val="420706F2"/>
    <w:rsid w:val="42108C7E"/>
    <w:rsid w:val="421E1BC5"/>
    <w:rsid w:val="422796BD"/>
    <w:rsid w:val="422E6850"/>
    <w:rsid w:val="42349AF0"/>
    <w:rsid w:val="4238D2DD"/>
    <w:rsid w:val="424110ED"/>
    <w:rsid w:val="42418A19"/>
    <w:rsid w:val="42463C80"/>
    <w:rsid w:val="4248FA97"/>
    <w:rsid w:val="424E7316"/>
    <w:rsid w:val="4253DF15"/>
    <w:rsid w:val="4253FA0F"/>
    <w:rsid w:val="4256A3DF"/>
    <w:rsid w:val="4261441C"/>
    <w:rsid w:val="426766B2"/>
    <w:rsid w:val="42729B4C"/>
    <w:rsid w:val="427A1A1F"/>
    <w:rsid w:val="42817116"/>
    <w:rsid w:val="4281F0E0"/>
    <w:rsid w:val="4282B88E"/>
    <w:rsid w:val="42930FC5"/>
    <w:rsid w:val="42AA1AD1"/>
    <w:rsid w:val="42ADCA33"/>
    <w:rsid w:val="42B7D36F"/>
    <w:rsid w:val="42BA7CC4"/>
    <w:rsid w:val="42BAC94F"/>
    <w:rsid w:val="42BEF700"/>
    <w:rsid w:val="42C29EEB"/>
    <w:rsid w:val="42C53BFC"/>
    <w:rsid w:val="42CD905F"/>
    <w:rsid w:val="42D21658"/>
    <w:rsid w:val="42D47434"/>
    <w:rsid w:val="42DFBFDB"/>
    <w:rsid w:val="42E4C401"/>
    <w:rsid w:val="42E68649"/>
    <w:rsid w:val="42ECAFA5"/>
    <w:rsid w:val="42F1D4A2"/>
    <w:rsid w:val="42F1E950"/>
    <w:rsid w:val="42F4E446"/>
    <w:rsid w:val="42F545EF"/>
    <w:rsid w:val="42F95A6A"/>
    <w:rsid w:val="430135D5"/>
    <w:rsid w:val="4303A836"/>
    <w:rsid w:val="4304DD8C"/>
    <w:rsid w:val="430C84A0"/>
    <w:rsid w:val="4315D440"/>
    <w:rsid w:val="431F3CAC"/>
    <w:rsid w:val="43232E76"/>
    <w:rsid w:val="432DA0C7"/>
    <w:rsid w:val="433420AC"/>
    <w:rsid w:val="4334E430"/>
    <w:rsid w:val="4336E420"/>
    <w:rsid w:val="434272C2"/>
    <w:rsid w:val="4344AA07"/>
    <w:rsid w:val="43493EEE"/>
    <w:rsid w:val="434A68CB"/>
    <w:rsid w:val="434BA78C"/>
    <w:rsid w:val="434E20F1"/>
    <w:rsid w:val="435AE03D"/>
    <w:rsid w:val="4361BCDB"/>
    <w:rsid w:val="4365C33D"/>
    <w:rsid w:val="437A748A"/>
    <w:rsid w:val="4388B12A"/>
    <w:rsid w:val="4389D2AF"/>
    <w:rsid w:val="438A438F"/>
    <w:rsid w:val="4396A1A4"/>
    <w:rsid w:val="43AC6DDC"/>
    <w:rsid w:val="43B8063D"/>
    <w:rsid w:val="43BBB970"/>
    <w:rsid w:val="43BD572D"/>
    <w:rsid w:val="43C26E0F"/>
    <w:rsid w:val="43CB3667"/>
    <w:rsid w:val="43D4BE29"/>
    <w:rsid w:val="43D7C702"/>
    <w:rsid w:val="43E04941"/>
    <w:rsid w:val="43E50190"/>
    <w:rsid w:val="43EA4AF2"/>
    <w:rsid w:val="43F0FB43"/>
    <w:rsid w:val="43FAE2DF"/>
    <w:rsid w:val="43FF64AA"/>
    <w:rsid w:val="44058E93"/>
    <w:rsid w:val="44087D1A"/>
    <w:rsid w:val="44187CC5"/>
    <w:rsid w:val="441AAA73"/>
    <w:rsid w:val="44249C81"/>
    <w:rsid w:val="4430B926"/>
    <w:rsid w:val="443BCE64"/>
    <w:rsid w:val="4443A7DB"/>
    <w:rsid w:val="444B3563"/>
    <w:rsid w:val="4451388B"/>
    <w:rsid w:val="44565DF3"/>
    <w:rsid w:val="44573689"/>
    <w:rsid w:val="445A8D24"/>
    <w:rsid w:val="445AC110"/>
    <w:rsid w:val="445DF7A5"/>
    <w:rsid w:val="446CAFB3"/>
    <w:rsid w:val="446CB29D"/>
    <w:rsid w:val="44782902"/>
    <w:rsid w:val="44798D0A"/>
    <w:rsid w:val="448119A7"/>
    <w:rsid w:val="44849453"/>
    <w:rsid w:val="44878475"/>
    <w:rsid w:val="44889416"/>
    <w:rsid w:val="448B67C8"/>
    <w:rsid w:val="448C08CF"/>
    <w:rsid w:val="448CD884"/>
    <w:rsid w:val="448EFAC1"/>
    <w:rsid w:val="44905CB4"/>
    <w:rsid w:val="4490CFA0"/>
    <w:rsid w:val="44924D70"/>
    <w:rsid w:val="4499EF35"/>
    <w:rsid w:val="449BBF84"/>
    <w:rsid w:val="44A4E7EF"/>
    <w:rsid w:val="44A81A4E"/>
    <w:rsid w:val="44AFE5A5"/>
    <w:rsid w:val="44B55BE0"/>
    <w:rsid w:val="44C1DED4"/>
    <w:rsid w:val="44DB713E"/>
    <w:rsid w:val="44DD3AC3"/>
    <w:rsid w:val="44DF46F2"/>
    <w:rsid w:val="44DF8815"/>
    <w:rsid w:val="44EC4939"/>
    <w:rsid w:val="44F39FF6"/>
    <w:rsid w:val="44F70039"/>
    <w:rsid w:val="44FF6F5B"/>
    <w:rsid w:val="45109072"/>
    <w:rsid w:val="45245C5D"/>
    <w:rsid w:val="45291A34"/>
    <w:rsid w:val="4530B4AF"/>
    <w:rsid w:val="45310EAA"/>
    <w:rsid w:val="4533780D"/>
    <w:rsid w:val="4543DDDD"/>
    <w:rsid w:val="454CF83F"/>
    <w:rsid w:val="45513342"/>
    <w:rsid w:val="455AC296"/>
    <w:rsid w:val="455AF6FE"/>
    <w:rsid w:val="45653DC6"/>
    <w:rsid w:val="45695B1C"/>
    <w:rsid w:val="45844391"/>
    <w:rsid w:val="458603AD"/>
    <w:rsid w:val="4587E5FA"/>
    <w:rsid w:val="458B70F2"/>
    <w:rsid w:val="459112FC"/>
    <w:rsid w:val="4591D6B6"/>
    <w:rsid w:val="45A2A378"/>
    <w:rsid w:val="45A4F573"/>
    <w:rsid w:val="45AA0BD4"/>
    <w:rsid w:val="45B2AED8"/>
    <w:rsid w:val="45BA3498"/>
    <w:rsid w:val="45CC05AE"/>
    <w:rsid w:val="45D22F09"/>
    <w:rsid w:val="45ED6F74"/>
    <w:rsid w:val="45F1257A"/>
    <w:rsid w:val="46124C2F"/>
    <w:rsid w:val="4614A21F"/>
    <w:rsid w:val="46185BCB"/>
    <w:rsid w:val="4623ED32"/>
    <w:rsid w:val="4626C4BB"/>
    <w:rsid w:val="462D65A3"/>
    <w:rsid w:val="4637242B"/>
    <w:rsid w:val="4645491B"/>
    <w:rsid w:val="46462516"/>
    <w:rsid w:val="4653FABC"/>
    <w:rsid w:val="465BA064"/>
    <w:rsid w:val="4666B5F5"/>
    <w:rsid w:val="4668998F"/>
    <w:rsid w:val="46952D0A"/>
    <w:rsid w:val="469FAC79"/>
    <w:rsid w:val="46A193D6"/>
    <w:rsid w:val="46A714DD"/>
    <w:rsid w:val="46C51065"/>
    <w:rsid w:val="46CA1E4A"/>
    <w:rsid w:val="46CFFFA3"/>
    <w:rsid w:val="46D3C048"/>
    <w:rsid w:val="46DD3F5D"/>
    <w:rsid w:val="46F444CC"/>
    <w:rsid w:val="46FD0430"/>
    <w:rsid w:val="470C88EB"/>
    <w:rsid w:val="470D8535"/>
    <w:rsid w:val="47157194"/>
    <w:rsid w:val="4719F7BB"/>
    <w:rsid w:val="4720A293"/>
    <w:rsid w:val="4726015A"/>
    <w:rsid w:val="47269FD8"/>
    <w:rsid w:val="47391F4A"/>
    <w:rsid w:val="473C8288"/>
    <w:rsid w:val="473D15B2"/>
    <w:rsid w:val="473E696F"/>
    <w:rsid w:val="4742E8DC"/>
    <w:rsid w:val="47430D2F"/>
    <w:rsid w:val="47461672"/>
    <w:rsid w:val="47469364"/>
    <w:rsid w:val="474B0D6F"/>
    <w:rsid w:val="475C48C1"/>
    <w:rsid w:val="476BD889"/>
    <w:rsid w:val="476DA6B9"/>
    <w:rsid w:val="4770175E"/>
    <w:rsid w:val="4773CB44"/>
    <w:rsid w:val="477987A0"/>
    <w:rsid w:val="47824988"/>
    <w:rsid w:val="47850986"/>
    <w:rsid w:val="478A09EA"/>
    <w:rsid w:val="478B3007"/>
    <w:rsid w:val="47A59EEA"/>
    <w:rsid w:val="47B2F2EA"/>
    <w:rsid w:val="47B62F10"/>
    <w:rsid w:val="47B9845D"/>
    <w:rsid w:val="47C877A2"/>
    <w:rsid w:val="47CB6814"/>
    <w:rsid w:val="47D2FC8E"/>
    <w:rsid w:val="47D551D6"/>
    <w:rsid w:val="47DB0C50"/>
    <w:rsid w:val="47DE27E0"/>
    <w:rsid w:val="47DEA579"/>
    <w:rsid w:val="47E116B7"/>
    <w:rsid w:val="47E84283"/>
    <w:rsid w:val="47FD20C1"/>
    <w:rsid w:val="47FD9359"/>
    <w:rsid w:val="481A1AB7"/>
    <w:rsid w:val="4820EA29"/>
    <w:rsid w:val="48284D7B"/>
    <w:rsid w:val="483477C3"/>
    <w:rsid w:val="4843D9AC"/>
    <w:rsid w:val="484969A6"/>
    <w:rsid w:val="485213DD"/>
    <w:rsid w:val="486677AB"/>
    <w:rsid w:val="48691406"/>
    <w:rsid w:val="486B4ACB"/>
    <w:rsid w:val="486E69A2"/>
    <w:rsid w:val="4871569B"/>
    <w:rsid w:val="4878D6CD"/>
    <w:rsid w:val="487B07F0"/>
    <w:rsid w:val="488167FF"/>
    <w:rsid w:val="489D1136"/>
    <w:rsid w:val="48B659E8"/>
    <w:rsid w:val="48C1AC73"/>
    <w:rsid w:val="48CAABD1"/>
    <w:rsid w:val="48D7D502"/>
    <w:rsid w:val="48DF998E"/>
    <w:rsid w:val="48E67B9C"/>
    <w:rsid w:val="48E9BBF5"/>
    <w:rsid w:val="48F2279F"/>
    <w:rsid w:val="49067476"/>
    <w:rsid w:val="490B3CB7"/>
    <w:rsid w:val="490D77A7"/>
    <w:rsid w:val="4916CEF4"/>
    <w:rsid w:val="491A7421"/>
    <w:rsid w:val="491FD11E"/>
    <w:rsid w:val="4924166D"/>
    <w:rsid w:val="4929E4F8"/>
    <w:rsid w:val="492FF615"/>
    <w:rsid w:val="4930AA71"/>
    <w:rsid w:val="4933962B"/>
    <w:rsid w:val="493D2EEB"/>
    <w:rsid w:val="4946489A"/>
    <w:rsid w:val="494A31E4"/>
    <w:rsid w:val="494F6CF5"/>
    <w:rsid w:val="4953A42A"/>
    <w:rsid w:val="4954FA2E"/>
    <w:rsid w:val="495CD426"/>
    <w:rsid w:val="495DB884"/>
    <w:rsid w:val="4973171A"/>
    <w:rsid w:val="49740423"/>
    <w:rsid w:val="49771048"/>
    <w:rsid w:val="497C80F2"/>
    <w:rsid w:val="497D7D53"/>
    <w:rsid w:val="497EA20B"/>
    <w:rsid w:val="499238CA"/>
    <w:rsid w:val="4999D5B5"/>
    <w:rsid w:val="49A6C542"/>
    <w:rsid w:val="49A8A37C"/>
    <w:rsid w:val="49A9B250"/>
    <w:rsid w:val="49ACCC3A"/>
    <w:rsid w:val="49AF9208"/>
    <w:rsid w:val="49B953FF"/>
    <w:rsid w:val="49C1728E"/>
    <w:rsid w:val="49C82D71"/>
    <w:rsid w:val="49CB51E2"/>
    <w:rsid w:val="49DC0C1D"/>
    <w:rsid w:val="49E3583C"/>
    <w:rsid w:val="49E3CC77"/>
    <w:rsid w:val="49E7E964"/>
    <w:rsid w:val="49EFE311"/>
    <w:rsid w:val="49F7D9E7"/>
    <w:rsid w:val="49FC41B7"/>
    <w:rsid w:val="4A08A2D0"/>
    <w:rsid w:val="4A0A8956"/>
    <w:rsid w:val="4A25CB19"/>
    <w:rsid w:val="4A3DE59B"/>
    <w:rsid w:val="4A3F403C"/>
    <w:rsid w:val="4A45E6C1"/>
    <w:rsid w:val="4A48A6BE"/>
    <w:rsid w:val="4A54CA90"/>
    <w:rsid w:val="4A58A46D"/>
    <w:rsid w:val="4A58BBF3"/>
    <w:rsid w:val="4A5D96B9"/>
    <w:rsid w:val="4A5EEE10"/>
    <w:rsid w:val="4A646345"/>
    <w:rsid w:val="4A70F6D5"/>
    <w:rsid w:val="4A835AA5"/>
    <w:rsid w:val="4A852ADA"/>
    <w:rsid w:val="4A94E914"/>
    <w:rsid w:val="4A9B2BFE"/>
    <w:rsid w:val="4A9C2676"/>
    <w:rsid w:val="4AAB641C"/>
    <w:rsid w:val="4AB22527"/>
    <w:rsid w:val="4AC13020"/>
    <w:rsid w:val="4AD8B3F6"/>
    <w:rsid w:val="4AE17D1A"/>
    <w:rsid w:val="4AE9EA82"/>
    <w:rsid w:val="4AEE6644"/>
    <w:rsid w:val="4AF0AF98"/>
    <w:rsid w:val="4B014EFA"/>
    <w:rsid w:val="4B02EB4F"/>
    <w:rsid w:val="4B117B36"/>
    <w:rsid w:val="4B122832"/>
    <w:rsid w:val="4B14AC66"/>
    <w:rsid w:val="4B1E3181"/>
    <w:rsid w:val="4B2442DF"/>
    <w:rsid w:val="4B246DF8"/>
    <w:rsid w:val="4B2B970E"/>
    <w:rsid w:val="4B31C023"/>
    <w:rsid w:val="4B38BE72"/>
    <w:rsid w:val="4B49AA8E"/>
    <w:rsid w:val="4B4A03D5"/>
    <w:rsid w:val="4B590C6A"/>
    <w:rsid w:val="4B5ADCA5"/>
    <w:rsid w:val="4B5B0040"/>
    <w:rsid w:val="4B5C1213"/>
    <w:rsid w:val="4B623887"/>
    <w:rsid w:val="4B654F9E"/>
    <w:rsid w:val="4B6B9914"/>
    <w:rsid w:val="4B711B26"/>
    <w:rsid w:val="4B79B411"/>
    <w:rsid w:val="4B7C306B"/>
    <w:rsid w:val="4B7C8181"/>
    <w:rsid w:val="4B95BE9E"/>
    <w:rsid w:val="4B963AAE"/>
    <w:rsid w:val="4BA19889"/>
    <w:rsid w:val="4BA5336C"/>
    <w:rsid w:val="4BAB7823"/>
    <w:rsid w:val="4BB0EFF6"/>
    <w:rsid w:val="4BB90FE8"/>
    <w:rsid w:val="4BC0ED5B"/>
    <w:rsid w:val="4BC7344A"/>
    <w:rsid w:val="4BC7A2C6"/>
    <w:rsid w:val="4BC8128A"/>
    <w:rsid w:val="4BCA0B41"/>
    <w:rsid w:val="4BCF091E"/>
    <w:rsid w:val="4BD2B876"/>
    <w:rsid w:val="4BD6447A"/>
    <w:rsid w:val="4BE3F23E"/>
    <w:rsid w:val="4C0150A4"/>
    <w:rsid w:val="4C029F3F"/>
    <w:rsid w:val="4C08B148"/>
    <w:rsid w:val="4C196C02"/>
    <w:rsid w:val="4C1B6D11"/>
    <w:rsid w:val="4C2C7690"/>
    <w:rsid w:val="4C33D91C"/>
    <w:rsid w:val="4C33F847"/>
    <w:rsid w:val="4C3B4489"/>
    <w:rsid w:val="4C3B8B1D"/>
    <w:rsid w:val="4C3E87A1"/>
    <w:rsid w:val="4C449972"/>
    <w:rsid w:val="4C54DB74"/>
    <w:rsid w:val="4C59345F"/>
    <w:rsid w:val="4C5C3D47"/>
    <w:rsid w:val="4C7237A6"/>
    <w:rsid w:val="4C76A5AD"/>
    <w:rsid w:val="4C7EA332"/>
    <w:rsid w:val="4C86088E"/>
    <w:rsid w:val="4C86BCB2"/>
    <w:rsid w:val="4C8B2E11"/>
    <w:rsid w:val="4C8E7606"/>
    <w:rsid w:val="4C905BD9"/>
    <w:rsid w:val="4C92F018"/>
    <w:rsid w:val="4C935971"/>
    <w:rsid w:val="4C966A96"/>
    <w:rsid w:val="4CB474A1"/>
    <w:rsid w:val="4CC0DB99"/>
    <w:rsid w:val="4CD63C7E"/>
    <w:rsid w:val="4CDAD599"/>
    <w:rsid w:val="4CDFD571"/>
    <w:rsid w:val="4CE0C2A2"/>
    <w:rsid w:val="4CE202F9"/>
    <w:rsid w:val="4CE85C9F"/>
    <w:rsid w:val="4CF1DF64"/>
    <w:rsid w:val="4D04EA58"/>
    <w:rsid w:val="4D0CA222"/>
    <w:rsid w:val="4D14BB4C"/>
    <w:rsid w:val="4D1F53CE"/>
    <w:rsid w:val="4D20B454"/>
    <w:rsid w:val="4D2C2AD9"/>
    <w:rsid w:val="4D2C67D9"/>
    <w:rsid w:val="4D326872"/>
    <w:rsid w:val="4D327F38"/>
    <w:rsid w:val="4D3531B4"/>
    <w:rsid w:val="4D380F58"/>
    <w:rsid w:val="4D39CCCA"/>
    <w:rsid w:val="4D3B2DF5"/>
    <w:rsid w:val="4D4028F0"/>
    <w:rsid w:val="4D4A432C"/>
    <w:rsid w:val="4D4D1983"/>
    <w:rsid w:val="4D530297"/>
    <w:rsid w:val="4D55BE5A"/>
    <w:rsid w:val="4D56BA71"/>
    <w:rsid w:val="4D591CCB"/>
    <w:rsid w:val="4D6408E6"/>
    <w:rsid w:val="4D64BCDB"/>
    <w:rsid w:val="4D71B9AB"/>
    <w:rsid w:val="4D7243F3"/>
    <w:rsid w:val="4D780221"/>
    <w:rsid w:val="4D7D39C7"/>
    <w:rsid w:val="4D818BF5"/>
    <w:rsid w:val="4D82D1DF"/>
    <w:rsid w:val="4D8527DF"/>
    <w:rsid w:val="4D8AC79B"/>
    <w:rsid w:val="4D98CBE3"/>
    <w:rsid w:val="4D99E794"/>
    <w:rsid w:val="4D9D3B6D"/>
    <w:rsid w:val="4DA36641"/>
    <w:rsid w:val="4DB329EC"/>
    <w:rsid w:val="4DBB8DEB"/>
    <w:rsid w:val="4DCE3ADB"/>
    <w:rsid w:val="4DD18899"/>
    <w:rsid w:val="4DD48434"/>
    <w:rsid w:val="4DDBE04E"/>
    <w:rsid w:val="4DE3A648"/>
    <w:rsid w:val="4DEEF823"/>
    <w:rsid w:val="4DF254BB"/>
    <w:rsid w:val="4DF3E47C"/>
    <w:rsid w:val="4DF9A881"/>
    <w:rsid w:val="4DFFEC4A"/>
    <w:rsid w:val="4E082588"/>
    <w:rsid w:val="4E1280B9"/>
    <w:rsid w:val="4E147C0C"/>
    <w:rsid w:val="4E1913F3"/>
    <w:rsid w:val="4E1E3D7A"/>
    <w:rsid w:val="4E253B26"/>
    <w:rsid w:val="4E31911D"/>
    <w:rsid w:val="4E3FEF05"/>
    <w:rsid w:val="4E4125C6"/>
    <w:rsid w:val="4E41F3FA"/>
    <w:rsid w:val="4E4A5E3F"/>
    <w:rsid w:val="4E4B2DB9"/>
    <w:rsid w:val="4E4DB6B5"/>
    <w:rsid w:val="4E57E1E4"/>
    <w:rsid w:val="4E5CB0FE"/>
    <w:rsid w:val="4E5EBAB8"/>
    <w:rsid w:val="4E656E3D"/>
    <w:rsid w:val="4E69BBA5"/>
    <w:rsid w:val="4E6E3B0C"/>
    <w:rsid w:val="4E6FAF60"/>
    <w:rsid w:val="4E7D78C5"/>
    <w:rsid w:val="4E8A425E"/>
    <w:rsid w:val="4E90A9C2"/>
    <w:rsid w:val="4E94AA98"/>
    <w:rsid w:val="4EA83D2A"/>
    <w:rsid w:val="4EC51CE7"/>
    <w:rsid w:val="4ECCCE07"/>
    <w:rsid w:val="4ED3E05C"/>
    <w:rsid w:val="4ED9C6D2"/>
    <w:rsid w:val="4EDDCBF5"/>
    <w:rsid w:val="4EDF3F9E"/>
    <w:rsid w:val="4EE815F0"/>
    <w:rsid w:val="4EF22EA3"/>
    <w:rsid w:val="4F030D2E"/>
    <w:rsid w:val="4F1089B7"/>
    <w:rsid w:val="4F31051E"/>
    <w:rsid w:val="4F317143"/>
    <w:rsid w:val="4F4EFF1B"/>
    <w:rsid w:val="4F510809"/>
    <w:rsid w:val="4F55B940"/>
    <w:rsid w:val="4F685E17"/>
    <w:rsid w:val="4F7331A1"/>
    <w:rsid w:val="4F76A68F"/>
    <w:rsid w:val="4F9BC374"/>
    <w:rsid w:val="4F9DD680"/>
    <w:rsid w:val="4FA700D3"/>
    <w:rsid w:val="4FAA1171"/>
    <w:rsid w:val="4FAD148D"/>
    <w:rsid w:val="4FAE2754"/>
    <w:rsid w:val="4FB2CCB5"/>
    <w:rsid w:val="4FB3B23F"/>
    <w:rsid w:val="4FB6FCB4"/>
    <w:rsid w:val="4FB92A9C"/>
    <w:rsid w:val="4FC67F71"/>
    <w:rsid w:val="4FCC59A5"/>
    <w:rsid w:val="4FCFAF04"/>
    <w:rsid w:val="4FDF3062"/>
    <w:rsid w:val="4FEC5611"/>
    <w:rsid w:val="4FEF1FB3"/>
    <w:rsid w:val="4FF04DF0"/>
    <w:rsid w:val="500FA7C6"/>
    <w:rsid w:val="5012F8E5"/>
    <w:rsid w:val="5013B62A"/>
    <w:rsid w:val="5014D06F"/>
    <w:rsid w:val="502088DA"/>
    <w:rsid w:val="5037D4E9"/>
    <w:rsid w:val="504CB9F3"/>
    <w:rsid w:val="50509FDC"/>
    <w:rsid w:val="5055380E"/>
    <w:rsid w:val="506454BE"/>
    <w:rsid w:val="5070247A"/>
    <w:rsid w:val="50708D95"/>
    <w:rsid w:val="5070D565"/>
    <w:rsid w:val="507AF00B"/>
    <w:rsid w:val="50805C92"/>
    <w:rsid w:val="50815F32"/>
    <w:rsid w:val="508955D8"/>
    <w:rsid w:val="508E3027"/>
    <w:rsid w:val="50908A07"/>
    <w:rsid w:val="509F8002"/>
    <w:rsid w:val="50A40A52"/>
    <w:rsid w:val="50A84C2C"/>
    <w:rsid w:val="50AD2561"/>
    <w:rsid w:val="50B7693F"/>
    <w:rsid w:val="50B84161"/>
    <w:rsid w:val="50BB8CC7"/>
    <w:rsid w:val="50C01744"/>
    <w:rsid w:val="50C485B4"/>
    <w:rsid w:val="50CAEF51"/>
    <w:rsid w:val="50E423E2"/>
    <w:rsid w:val="50E66211"/>
    <w:rsid w:val="50F177DD"/>
    <w:rsid w:val="50F244FC"/>
    <w:rsid w:val="50FC4108"/>
    <w:rsid w:val="51060426"/>
    <w:rsid w:val="510AE096"/>
    <w:rsid w:val="510E63CC"/>
    <w:rsid w:val="5111F099"/>
    <w:rsid w:val="51188B74"/>
    <w:rsid w:val="5127181B"/>
    <w:rsid w:val="512866F2"/>
    <w:rsid w:val="513B1315"/>
    <w:rsid w:val="513D8073"/>
    <w:rsid w:val="513F98F5"/>
    <w:rsid w:val="515DFA7C"/>
    <w:rsid w:val="51608D11"/>
    <w:rsid w:val="5165F34E"/>
    <w:rsid w:val="51681EF0"/>
    <w:rsid w:val="517AAE65"/>
    <w:rsid w:val="517D289B"/>
    <w:rsid w:val="5186624B"/>
    <w:rsid w:val="518E1A24"/>
    <w:rsid w:val="5194B8E0"/>
    <w:rsid w:val="51B166D6"/>
    <w:rsid w:val="51BAF299"/>
    <w:rsid w:val="51D4B92F"/>
    <w:rsid w:val="51D61187"/>
    <w:rsid w:val="51D9711C"/>
    <w:rsid w:val="51DA210A"/>
    <w:rsid w:val="51E12615"/>
    <w:rsid w:val="51E1F766"/>
    <w:rsid w:val="51E43377"/>
    <w:rsid w:val="51E4EE9A"/>
    <w:rsid w:val="51F68646"/>
    <w:rsid w:val="51FEF3D4"/>
    <w:rsid w:val="51FFEFF2"/>
    <w:rsid w:val="52052D50"/>
    <w:rsid w:val="520F7FD1"/>
    <w:rsid w:val="5213B528"/>
    <w:rsid w:val="52143350"/>
    <w:rsid w:val="521C36EA"/>
    <w:rsid w:val="521CEA4B"/>
    <w:rsid w:val="521D1B63"/>
    <w:rsid w:val="5228C365"/>
    <w:rsid w:val="5232CBF7"/>
    <w:rsid w:val="5239F3C0"/>
    <w:rsid w:val="523A6416"/>
    <w:rsid w:val="523EA635"/>
    <w:rsid w:val="52439FC3"/>
    <w:rsid w:val="5246F62A"/>
    <w:rsid w:val="524814AC"/>
    <w:rsid w:val="5248A182"/>
    <w:rsid w:val="525CD381"/>
    <w:rsid w:val="52640E63"/>
    <w:rsid w:val="52779C1B"/>
    <w:rsid w:val="52826EFE"/>
    <w:rsid w:val="52845B1E"/>
    <w:rsid w:val="528577AA"/>
    <w:rsid w:val="528EF9F7"/>
    <w:rsid w:val="529AE3FD"/>
    <w:rsid w:val="529BCFAA"/>
    <w:rsid w:val="52A03721"/>
    <w:rsid w:val="52C0007D"/>
    <w:rsid w:val="52CDFBA2"/>
    <w:rsid w:val="52D43517"/>
    <w:rsid w:val="52D84E89"/>
    <w:rsid w:val="52D85308"/>
    <w:rsid w:val="52D8EADE"/>
    <w:rsid w:val="52E8DA7F"/>
    <w:rsid w:val="52EF2C2F"/>
    <w:rsid w:val="52F84E71"/>
    <w:rsid w:val="52FFA742"/>
    <w:rsid w:val="53087473"/>
    <w:rsid w:val="530B3A7A"/>
    <w:rsid w:val="53112679"/>
    <w:rsid w:val="53183F18"/>
    <w:rsid w:val="5331982E"/>
    <w:rsid w:val="53347795"/>
    <w:rsid w:val="5334FD60"/>
    <w:rsid w:val="53357F7F"/>
    <w:rsid w:val="5342391B"/>
    <w:rsid w:val="5342EFDB"/>
    <w:rsid w:val="5349E149"/>
    <w:rsid w:val="535C3FF0"/>
    <w:rsid w:val="536C9A3E"/>
    <w:rsid w:val="536E90FC"/>
    <w:rsid w:val="536ED730"/>
    <w:rsid w:val="53778DCA"/>
    <w:rsid w:val="537E65B7"/>
    <w:rsid w:val="53869E7C"/>
    <w:rsid w:val="5388A815"/>
    <w:rsid w:val="538968D8"/>
    <w:rsid w:val="5389B38F"/>
    <w:rsid w:val="5389E717"/>
    <w:rsid w:val="538B2D50"/>
    <w:rsid w:val="538BCDB2"/>
    <w:rsid w:val="538EF982"/>
    <w:rsid w:val="53B683A8"/>
    <w:rsid w:val="53C093B7"/>
    <w:rsid w:val="53C09500"/>
    <w:rsid w:val="53C74A16"/>
    <w:rsid w:val="53C98BA1"/>
    <w:rsid w:val="53EBB3BD"/>
    <w:rsid w:val="53F1702A"/>
    <w:rsid w:val="53FAF74D"/>
    <w:rsid w:val="5400B722"/>
    <w:rsid w:val="541080B9"/>
    <w:rsid w:val="5415382B"/>
    <w:rsid w:val="541B5C50"/>
    <w:rsid w:val="54321494"/>
    <w:rsid w:val="54334AFC"/>
    <w:rsid w:val="54392B0A"/>
    <w:rsid w:val="543D2C7E"/>
    <w:rsid w:val="5447BDC2"/>
    <w:rsid w:val="5449BB5D"/>
    <w:rsid w:val="544C0F85"/>
    <w:rsid w:val="545886C7"/>
    <w:rsid w:val="5460DE4D"/>
    <w:rsid w:val="54660FE3"/>
    <w:rsid w:val="546BFE6D"/>
    <w:rsid w:val="54712628"/>
    <w:rsid w:val="547CA33C"/>
    <w:rsid w:val="5480C6DF"/>
    <w:rsid w:val="54986B4E"/>
    <w:rsid w:val="549FE069"/>
    <w:rsid w:val="54A566D3"/>
    <w:rsid w:val="54A71A02"/>
    <w:rsid w:val="54B29DB5"/>
    <w:rsid w:val="54B76DA6"/>
    <w:rsid w:val="54C2CE66"/>
    <w:rsid w:val="54C65CDC"/>
    <w:rsid w:val="54C7DE64"/>
    <w:rsid w:val="54CB6413"/>
    <w:rsid w:val="54D4CDB0"/>
    <w:rsid w:val="54DFAB72"/>
    <w:rsid w:val="54E62C97"/>
    <w:rsid w:val="54E7380B"/>
    <w:rsid w:val="54F2841C"/>
    <w:rsid w:val="54F4F6E7"/>
    <w:rsid w:val="54F7B6D9"/>
    <w:rsid w:val="550A54A1"/>
    <w:rsid w:val="55113AAB"/>
    <w:rsid w:val="552490FA"/>
    <w:rsid w:val="552CA3A5"/>
    <w:rsid w:val="55305707"/>
    <w:rsid w:val="553778E1"/>
    <w:rsid w:val="553D710C"/>
    <w:rsid w:val="553D7A57"/>
    <w:rsid w:val="553F97CF"/>
    <w:rsid w:val="555126EF"/>
    <w:rsid w:val="5553D90E"/>
    <w:rsid w:val="555C6653"/>
    <w:rsid w:val="555DBF17"/>
    <w:rsid w:val="5567A650"/>
    <w:rsid w:val="55758C70"/>
    <w:rsid w:val="55890E29"/>
    <w:rsid w:val="55973259"/>
    <w:rsid w:val="559C3421"/>
    <w:rsid w:val="55AEB7F1"/>
    <w:rsid w:val="55B6821D"/>
    <w:rsid w:val="55BAE00F"/>
    <w:rsid w:val="55C2F62C"/>
    <w:rsid w:val="55C4C079"/>
    <w:rsid w:val="55C9BAF1"/>
    <w:rsid w:val="55D6A135"/>
    <w:rsid w:val="55E3EBF7"/>
    <w:rsid w:val="55E4ED95"/>
    <w:rsid w:val="55E4FD3C"/>
    <w:rsid w:val="55EB867D"/>
    <w:rsid w:val="55F00D41"/>
    <w:rsid w:val="55F09EE2"/>
    <w:rsid w:val="55F2F7AD"/>
    <w:rsid w:val="55F85522"/>
    <w:rsid w:val="55FF838C"/>
    <w:rsid w:val="5600A909"/>
    <w:rsid w:val="56016534"/>
    <w:rsid w:val="56055AE2"/>
    <w:rsid w:val="5620368E"/>
    <w:rsid w:val="562A618D"/>
    <w:rsid w:val="56370E9B"/>
    <w:rsid w:val="563E0EE5"/>
    <w:rsid w:val="564DFCC6"/>
    <w:rsid w:val="56511F53"/>
    <w:rsid w:val="5668944A"/>
    <w:rsid w:val="567D7E4E"/>
    <w:rsid w:val="56A3BE9A"/>
    <w:rsid w:val="56A9C867"/>
    <w:rsid w:val="56AC191D"/>
    <w:rsid w:val="56B0CC25"/>
    <w:rsid w:val="56B11A2E"/>
    <w:rsid w:val="56B4C9A8"/>
    <w:rsid w:val="56B5381B"/>
    <w:rsid w:val="56B5D132"/>
    <w:rsid w:val="56B7552C"/>
    <w:rsid w:val="56BD15A7"/>
    <w:rsid w:val="56D149EF"/>
    <w:rsid w:val="56D1B411"/>
    <w:rsid w:val="56D5AE62"/>
    <w:rsid w:val="56D63E77"/>
    <w:rsid w:val="56DD9D43"/>
    <w:rsid w:val="56DF15EE"/>
    <w:rsid w:val="56E9CE20"/>
    <w:rsid w:val="56EF21C9"/>
    <w:rsid w:val="56F8E8F2"/>
    <w:rsid w:val="57059C63"/>
    <w:rsid w:val="57135150"/>
    <w:rsid w:val="571561A4"/>
    <w:rsid w:val="573EDD1D"/>
    <w:rsid w:val="573F165B"/>
    <w:rsid w:val="5740C3EF"/>
    <w:rsid w:val="575AF5DC"/>
    <w:rsid w:val="575CAA17"/>
    <w:rsid w:val="57677C94"/>
    <w:rsid w:val="5768394F"/>
    <w:rsid w:val="5769841B"/>
    <w:rsid w:val="57784490"/>
    <w:rsid w:val="577D0AD5"/>
    <w:rsid w:val="5780E398"/>
    <w:rsid w:val="578165C2"/>
    <w:rsid w:val="5782463D"/>
    <w:rsid w:val="578D63A0"/>
    <w:rsid w:val="57931A85"/>
    <w:rsid w:val="5793E0C4"/>
    <w:rsid w:val="57945947"/>
    <w:rsid w:val="57AD8EA3"/>
    <w:rsid w:val="57AE264B"/>
    <w:rsid w:val="57AED1B0"/>
    <w:rsid w:val="57B326D7"/>
    <w:rsid w:val="57B8DC53"/>
    <w:rsid w:val="57CC472A"/>
    <w:rsid w:val="57D60235"/>
    <w:rsid w:val="57DBF687"/>
    <w:rsid w:val="57DE62A1"/>
    <w:rsid w:val="57E26E9C"/>
    <w:rsid w:val="57F4B3CB"/>
    <w:rsid w:val="57FCA9DD"/>
    <w:rsid w:val="580B5F04"/>
    <w:rsid w:val="580C9869"/>
    <w:rsid w:val="581C77F4"/>
    <w:rsid w:val="5827079D"/>
    <w:rsid w:val="5827A40B"/>
    <w:rsid w:val="582C3C0F"/>
    <w:rsid w:val="582F7DEB"/>
    <w:rsid w:val="5831583E"/>
    <w:rsid w:val="583A8239"/>
    <w:rsid w:val="58434D8B"/>
    <w:rsid w:val="5844BAB1"/>
    <w:rsid w:val="58473856"/>
    <w:rsid w:val="585024B9"/>
    <w:rsid w:val="5852EE83"/>
    <w:rsid w:val="5855B293"/>
    <w:rsid w:val="585DA983"/>
    <w:rsid w:val="585F4A14"/>
    <w:rsid w:val="58641444"/>
    <w:rsid w:val="5865F045"/>
    <w:rsid w:val="586C9681"/>
    <w:rsid w:val="58702534"/>
    <w:rsid w:val="5878EE47"/>
    <w:rsid w:val="587AB239"/>
    <w:rsid w:val="58853E01"/>
    <w:rsid w:val="58898BFF"/>
    <w:rsid w:val="588BDA9C"/>
    <w:rsid w:val="5890C660"/>
    <w:rsid w:val="589B1E13"/>
    <w:rsid w:val="589B640D"/>
    <w:rsid w:val="58A73C5E"/>
    <w:rsid w:val="58A797FB"/>
    <w:rsid w:val="58AA28EF"/>
    <w:rsid w:val="58ABA6CE"/>
    <w:rsid w:val="58ABE0A2"/>
    <w:rsid w:val="58BD29AF"/>
    <w:rsid w:val="58C17118"/>
    <w:rsid w:val="58CFE660"/>
    <w:rsid w:val="58D4BD47"/>
    <w:rsid w:val="58D916BA"/>
    <w:rsid w:val="58DB082C"/>
    <w:rsid w:val="58E2F9AA"/>
    <w:rsid w:val="58F943A2"/>
    <w:rsid w:val="58FA31C0"/>
    <w:rsid w:val="58FA9B92"/>
    <w:rsid w:val="59039F49"/>
    <w:rsid w:val="591569A0"/>
    <w:rsid w:val="591C220A"/>
    <w:rsid w:val="592278EF"/>
    <w:rsid w:val="593428D3"/>
    <w:rsid w:val="5950DA5C"/>
    <w:rsid w:val="595102FF"/>
    <w:rsid w:val="5954DCE1"/>
    <w:rsid w:val="59558E33"/>
    <w:rsid w:val="59596B80"/>
    <w:rsid w:val="595BD02F"/>
    <w:rsid w:val="595D6B50"/>
    <w:rsid w:val="5965B669"/>
    <w:rsid w:val="5966DA37"/>
    <w:rsid w:val="59710146"/>
    <w:rsid w:val="597B9B00"/>
    <w:rsid w:val="597D84C6"/>
    <w:rsid w:val="5983936B"/>
    <w:rsid w:val="598E8146"/>
    <w:rsid w:val="599AE358"/>
    <w:rsid w:val="599B783D"/>
    <w:rsid w:val="59A0BD55"/>
    <w:rsid w:val="59A357A2"/>
    <w:rsid w:val="59AB1C0A"/>
    <w:rsid w:val="59B27E2E"/>
    <w:rsid w:val="59B68CF3"/>
    <w:rsid w:val="59B69103"/>
    <w:rsid w:val="59B78F1F"/>
    <w:rsid w:val="59B9C609"/>
    <w:rsid w:val="59C56645"/>
    <w:rsid w:val="59C77F45"/>
    <w:rsid w:val="59D1A0F4"/>
    <w:rsid w:val="59D7D8C6"/>
    <w:rsid w:val="59D8401D"/>
    <w:rsid w:val="59DD0B0D"/>
    <w:rsid w:val="59DD223B"/>
    <w:rsid w:val="59DF1623"/>
    <w:rsid w:val="59E198E7"/>
    <w:rsid w:val="59E8AA66"/>
    <w:rsid w:val="59EA3416"/>
    <w:rsid w:val="59EB0F00"/>
    <w:rsid w:val="59EBFDAF"/>
    <w:rsid w:val="59FC1178"/>
    <w:rsid w:val="5A079FFD"/>
    <w:rsid w:val="5A0B4D89"/>
    <w:rsid w:val="5A12C123"/>
    <w:rsid w:val="5A162522"/>
    <w:rsid w:val="5A210A4D"/>
    <w:rsid w:val="5A2D20E3"/>
    <w:rsid w:val="5A2FDDC2"/>
    <w:rsid w:val="5A31513E"/>
    <w:rsid w:val="5A3F8BD5"/>
    <w:rsid w:val="5A46BE19"/>
    <w:rsid w:val="5A67B3C6"/>
    <w:rsid w:val="5A68AB4D"/>
    <w:rsid w:val="5A6ACC2F"/>
    <w:rsid w:val="5A71E32E"/>
    <w:rsid w:val="5A73DEED"/>
    <w:rsid w:val="5A7AE062"/>
    <w:rsid w:val="5A7D5CC3"/>
    <w:rsid w:val="5A808088"/>
    <w:rsid w:val="5A82E369"/>
    <w:rsid w:val="5A8315D4"/>
    <w:rsid w:val="5A8551E3"/>
    <w:rsid w:val="5A883224"/>
    <w:rsid w:val="5A8BBDEE"/>
    <w:rsid w:val="5A8DE8AE"/>
    <w:rsid w:val="5A98EAF0"/>
    <w:rsid w:val="5A9E2727"/>
    <w:rsid w:val="5AA93AB6"/>
    <w:rsid w:val="5AB3E0A3"/>
    <w:rsid w:val="5AB77C90"/>
    <w:rsid w:val="5ABC68C6"/>
    <w:rsid w:val="5AC0AB71"/>
    <w:rsid w:val="5AC1E882"/>
    <w:rsid w:val="5AC46733"/>
    <w:rsid w:val="5AD62BF3"/>
    <w:rsid w:val="5AE065BB"/>
    <w:rsid w:val="5AE2AA5F"/>
    <w:rsid w:val="5AE32146"/>
    <w:rsid w:val="5AE403E2"/>
    <w:rsid w:val="5AE5FF35"/>
    <w:rsid w:val="5AF36BC1"/>
    <w:rsid w:val="5AF6DC56"/>
    <w:rsid w:val="5AFA0178"/>
    <w:rsid w:val="5AFB4CC8"/>
    <w:rsid w:val="5B0133C0"/>
    <w:rsid w:val="5B01FB7F"/>
    <w:rsid w:val="5B174A04"/>
    <w:rsid w:val="5B2AFFDB"/>
    <w:rsid w:val="5B387F08"/>
    <w:rsid w:val="5B426969"/>
    <w:rsid w:val="5B4A756F"/>
    <w:rsid w:val="5B4CFB75"/>
    <w:rsid w:val="5B57BE70"/>
    <w:rsid w:val="5B5CF22B"/>
    <w:rsid w:val="5B6235F5"/>
    <w:rsid w:val="5B6A1E75"/>
    <w:rsid w:val="5B6E0AE9"/>
    <w:rsid w:val="5B705B85"/>
    <w:rsid w:val="5B71BDFB"/>
    <w:rsid w:val="5B79BB3D"/>
    <w:rsid w:val="5B869A33"/>
    <w:rsid w:val="5B88D1A5"/>
    <w:rsid w:val="5B94FDF6"/>
    <w:rsid w:val="5B9DD024"/>
    <w:rsid w:val="5BA1CDA0"/>
    <w:rsid w:val="5BAC2AD4"/>
    <w:rsid w:val="5BAE30F4"/>
    <w:rsid w:val="5BB1F74E"/>
    <w:rsid w:val="5BB6E139"/>
    <w:rsid w:val="5BBB3C7F"/>
    <w:rsid w:val="5BBC59BE"/>
    <w:rsid w:val="5BC05D6B"/>
    <w:rsid w:val="5BCE014A"/>
    <w:rsid w:val="5BCF4E29"/>
    <w:rsid w:val="5BDD80F4"/>
    <w:rsid w:val="5BEA9A7E"/>
    <w:rsid w:val="5BED9635"/>
    <w:rsid w:val="5BF545AE"/>
    <w:rsid w:val="5C08E080"/>
    <w:rsid w:val="5C13EBB7"/>
    <w:rsid w:val="5C1B9F2D"/>
    <w:rsid w:val="5C1CA2AA"/>
    <w:rsid w:val="5C2268D0"/>
    <w:rsid w:val="5C2750BD"/>
    <w:rsid w:val="5C2891F6"/>
    <w:rsid w:val="5C2A6DCA"/>
    <w:rsid w:val="5C38FD13"/>
    <w:rsid w:val="5C3D4E8F"/>
    <w:rsid w:val="5C452796"/>
    <w:rsid w:val="5C455480"/>
    <w:rsid w:val="5C47F96A"/>
    <w:rsid w:val="5C4F2D70"/>
    <w:rsid w:val="5C600EAE"/>
    <w:rsid w:val="5C739A58"/>
    <w:rsid w:val="5C745245"/>
    <w:rsid w:val="5C76091B"/>
    <w:rsid w:val="5C7D4A28"/>
    <w:rsid w:val="5C7DBBD0"/>
    <w:rsid w:val="5C9AF0EE"/>
    <w:rsid w:val="5C9FBAEF"/>
    <w:rsid w:val="5CA449AC"/>
    <w:rsid w:val="5CBB5295"/>
    <w:rsid w:val="5CD0249E"/>
    <w:rsid w:val="5CE073C9"/>
    <w:rsid w:val="5CF7A3DC"/>
    <w:rsid w:val="5CFE016F"/>
    <w:rsid w:val="5D007C54"/>
    <w:rsid w:val="5D05FF06"/>
    <w:rsid w:val="5D0613EC"/>
    <w:rsid w:val="5D09DF82"/>
    <w:rsid w:val="5D33C3C2"/>
    <w:rsid w:val="5D34C607"/>
    <w:rsid w:val="5D35D622"/>
    <w:rsid w:val="5D370DFD"/>
    <w:rsid w:val="5D457CF1"/>
    <w:rsid w:val="5D460255"/>
    <w:rsid w:val="5D551E7F"/>
    <w:rsid w:val="5D55A3AF"/>
    <w:rsid w:val="5D5BC6EB"/>
    <w:rsid w:val="5D5BD4F0"/>
    <w:rsid w:val="5D5D5400"/>
    <w:rsid w:val="5D605645"/>
    <w:rsid w:val="5D60834C"/>
    <w:rsid w:val="5D633D2F"/>
    <w:rsid w:val="5D65C908"/>
    <w:rsid w:val="5D68FCB7"/>
    <w:rsid w:val="5D6C7EBE"/>
    <w:rsid w:val="5D82FA6B"/>
    <w:rsid w:val="5D86B878"/>
    <w:rsid w:val="5D8FB3D7"/>
    <w:rsid w:val="5D94140B"/>
    <w:rsid w:val="5D9553F6"/>
    <w:rsid w:val="5D968575"/>
    <w:rsid w:val="5DA9587F"/>
    <w:rsid w:val="5DAAF4F7"/>
    <w:rsid w:val="5DAEA8C7"/>
    <w:rsid w:val="5DAF2A6D"/>
    <w:rsid w:val="5DB70CC8"/>
    <w:rsid w:val="5DC30D78"/>
    <w:rsid w:val="5DCCB0AA"/>
    <w:rsid w:val="5DD34D47"/>
    <w:rsid w:val="5DD7FEE1"/>
    <w:rsid w:val="5DD839FB"/>
    <w:rsid w:val="5DDDF339"/>
    <w:rsid w:val="5DE9630A"/>
    <w:rsid w:val="5DEA948B"/>
    <w:rsid w:val="5DED5C91"/>
    <w:rsid w:val="5DF3F1B5"/>
    <w:rsid w:val="5DFD54F9"/>
    <w:rsid w:val="5E042851"/>
    <w:rsid w:val="5E07323E"/>
    <w:rsid w:val="5E0DFE02"/>
    <w:rsid w:val="5E116A5C"/>
    <w:rsid w:val="5E218517"/>
    <w:rsid w:val="5E246EA4"/>
    <w:rsid w:val="5E2C6342"/>
    <w:rsid w:val="5E2E3E99"/>
    <w:rsid w:val="5E354160"/>
    <w:rsid w:val="5E385EB4"/>
    <w:rsid w:val="5E4045F1"/>
    <w:rsid w:val="5E4638C5"/>
    <w:rsid w:val="5E465047"/>
    <w:rsid w:val="5E4EB35A"/>
    <w:rsid w:val="5E50D464"/>
    <w:rsid w:val="5E59F091"/>
    <w:rsid w:val="5E5F93B7"/>
    <w:rsid w:val="5E608465"/>
    <w:rsid w:val="5E6DE99C"/>
    <w:rsid w:val="5E7405C8"/>
    <w:rsid w:val="5E7653E6"/>
    <w:rsid w:val="5E871D10"/>
    <w:rsid w:val="5E915F0C"/>
    <w:rsid w:val="5E98F974"/>
    <w:rsid w:val="5E9F425C"/>
    <w:rsid w:val="5EA39E99"/>
    <w:rsid w:val="5EA5DAC1"/>
    <w:rsid w:val="5EAF934D"/>
    <w:rsid w:val="5EB14A32"/>
    <w:rsid w:val="5EB54E0E"/>
    <w:rsid w:val="5EBDF158"/>
    <w:rsid w:val="5EC3640C"/>
    <w:rsid w:val="5EC6163A"/>
    <w:rsid w:val="5EDFE94D"/>
    <w:rsid w:val="5EDFF6FF"/>
    <w:rsid w:val="5EE699F6"/>
    <w:rsid w:val="5EE977F7"/>
    <w:rsid w:val="5EED3D07"/>
    <w:rsid w:val="5F013E86"/>
    <w:rsid w:val="5F0DA184"/>
    <w:rsid w:val="5F0F7EA0"/>
    <w:rsid w:val="5F17D35C"/>
    <w:rsid w:val="5F282DA0"/>
    <w:rsid w:val="5F28DA10"/>
    <w:rsid w:val="5F2E8C1A"/>
    <w:rsid w:val="5F3045FB"/>
    <w:rsid w:val="5F38E277"/>
    <w:rsid w:val="5F39697E"/>
    <w:rsid w:val="5F3B9429"/>
    <w:rsid w:val="5F425139"/>
    <w:rsid w:val="5F485B22"/>
    <w:rsid w:val="5F52B6D4"/>
    <w:rsid w:val="5F597F2F"/>
    <w:rsid w:val="5F5B82DA"/>
    <w:rsid w:val="5F5E20BE"/>
    <w:rsid w:val="5F6AC166"/>
    <w:rsid w:val="5F704319"/>
    <w:rsid w:val="5F8088E3"/>
    <w:rsid w:val="5F89F4BA"/>
    <w:rsid w:val="5F8B4266"/>
    <w:rsid w:val="5F8CD4FB"/>
    <w:rsid w:val="5F9406BE"/>
    <w:rsid w:val="5F95E26B"/>
    <w:rsid w:val="5FA9188A"/>
    <w:rsid w:val="5FAB277B"/>
    <w:rsid w:val="5FBB060F"/>
    <w:rsid w:val="5FC194DD"/>
    <w:rsid w:val="5FCA6796"/>
    <w:rsid w:val="5FD0C834"/>
    <w:rsid w:val="5FD11A95"/>
    <w:rsid w:val="5FD3966F"/>
    <w:rsid w:val="5FD39C33"/>
    <w:rsid w:val="5FDB5FC5"/>
    <w:rsid w:val="5FDB7881"/>
    <w:rsid w:val="5FF6DD67"/>
    <w:rsid w:val="6006E612"/>
    <w:rsid w:val="6008ECB7"/>
    <w:rsid w:val="601152C1"/>
    <w:rsid w:val="601A76C8"/>
    <w:rsid w:val="601E85A6"/>
    <w:rsid w:val="602232EC"/>
    <w:rsid w:val="602C172A"/>
    <w:rsid w:val="602E8BC2"/>
    <w:rsid w:val="602FB9F9"/>
    <w:rsid w:val="6030F466"/>
    <w:rsid w:val="6036D3B1"/>
    <w:rsid w:val="60456AF3"/>
    <w:rsid w:val="60519151"/>
    <w:rsid w:val="6059C6EE"/>
    <w:rsid w:val="606144FD"/>
    <w:rsid w:val="60776FD7"/>
    <w:rsid w:val="60797626"/>
    <w:rsid w:val="60807FD2"/>
    <w:rsid w:val="60848926"/>
    <w:rsid w:val="6095FBDF"/>
    <w:rsid w:val="609B5D0C"/>
    <w:rsid w:val="609C42F4"/>
    <w:rsid w:val="60A2F37B"/>
    <w:rsid w:val="60B4D62B"/>
    <w:rsid w:val="60B73C70"/>
    <w:rsid w:val="60BA282E"/>
    <w:rsid w:val="60BC6DCA"/>
    <w:rsid w:val="60C090C4"/>
    <w:rsid w:val="60C1779D"/>
    <w:rsid w:val="60C49D5D"/>
    <w:rsid w:val="60C9C0FF"/>
    <w:rsid w:val="60D36E1D"/>
    <w:rsid w:val="60DFAC0A"/>
    <w:rsid w:val="60E2EDA9"/>
    <w:rsid w:val="60E41969"/>
    <w:rsid w:val="60EB155B"/>
    <w:rsid w:val="60EF83E0"/>
    <w:rsid w:val="60F008C7"/>
    <w:rsid w:val="60F2EA4A"/>
    <w:rsid w:val="60F3E18C"/>
    <w:rsid w:val="60F4A42A"/>
    <w:rsid w:val="60F96400"/>
    <w:rsid w:val="6104E68F"/>
    <w:rsid w:val="6110A0EA"/>
    <w:rsid w:val="611C5338"/>
    <w:rsid w:val="61296A5E"/>
    <w:rsid w:val="612CA4AA"/>
    <w:rsid w:val="613BF563"/>
    <w:rsid w:val="613F93D9"/>
    <w:rsid w:val="614975E0"/>
    <w:rsid w:val="614B175C"/>
    <w:rsid w:val="61650DFA"/>
    <w:rsid w:val="6166A8E1"/>
    <w:rsid w:val="616745EF"/>
    <w:rsid w:val="6168D917"/>
    <w:rsid w:val="616C9CB9"/>
    <w:rsid w:val="616DACE0"/>
    <w:rsid w:val="61749992"/>
    <w:rsid w:val="61787D6E"/>
    <w:rsid w:val="617B3B3C"/>
    <w:rsid w:val="617C8CBF"/>
    <w:rsid w:val="61831E03"/>
    <w:rsid w:val="618327E2"/>
    <w:rsid w:val="618CA81D"/>
    <w:rsid w:val="619BD66F"/>
    <w:rsid w:val="619C0426"/>
    <w:rsid w:val="61A3DFFD"/>
    <w:rsid w:val="61AB5C80"/>
    <w:rsid w:val="61B075A8"/>
    <w:rsid w:val="61D0C247"/>
    <w:rsid w:val="61E457F4"/>
    <w:rsid w:val="61E8EBE9"/>
    <w:rsid w:val="61ED6C65"/>
    <w:rsid w:val="61EF0202"/>
    <w:rsid w:val="61EF241F"/>
    <w:rsid w:val="61FE011F"/>
    <w:rsid w:val="6201307A"/>
    <w:rsid w:val="6210AC07"/>
    <w:rsid w:val="6217AF60"/>
    <w:rsid w:val="6223EB71"/>
    <w:rsid w:val="622FA75C"/>
    <w:rsid w:val="6236F413"/>
    <w:rsid w:val="6239F581"/>
    <w:rsid w:val="623F0FBF"/>
    <w:rsid w:val="624B8C3E"/>
    <w:rsid w:val="624D5852"/>
    <w:rsid w:val="624E8F30"/>
    <w:rsid w:val="626027DF"/>
    <w:rsid w:val="6264CC72"/>
    <w:rsid w:val="626ACCE6"/>
    <w:rsid w:val="6273FA8D"/>
    <w:rsid w:val="627A297F"/>
    <w:rsid w:val="627AF035"/>
    <w:rsid w:val="628E2AA3"/>
    <w:rsid w:val="62945FEE"/>
    <w:rsid w:val="6294A73C"/>
    <w:rsid w:val="629833A9"/>
    <w:rsid w:val="62AB04CE"/>
    <w:rsid w:val="62AFC9B9"/>
    <w:rsid w:val="62B67B06"/>
    <w:rsid w:val="62BC38E8"/>
    <w:rsid w:val="62C2AD8D"/>
    <w:rsid w:val="62CA79AF"/>
    <w:rsid w:val="62CD16AB"/>
    <w:rsid w:val="62D7AEB9"/>
    <w:rsid w:val="62DE841D"/>
    <w:rsid w:val="62E4CFBE"/>
    <w:rsid w:val="6306D983"/>
    <w:rsid w:val="6308FDBA"/>
    <w:rsid w:val="630D12F7"/>
    <w:rsid w:val="631B4D9B"/>
    <w:rsid w:val="631FAEF4"/>
    <w:rsid w:val="6324E515"/>
    <w:rsid w:val="633AF0AA"/>
    <w:rsid w:val="63414FEC"/>
    <w:rsid w:val="63473F59"/>
    <w:rsid w:val="63516781"/>
    <w:rsid w:val="635214D0"/>
    <w:rsid w:val="635ACADB"/>
    <w:rsid w:val="63612CEE"/>
    <w:rsid w:val="636714B9"/>
    <w:rsid w:val="636811B8"/>
    <w:rsid w:val="636D6833"/>
    <w:rsid w:val="6383FD70"/>
    <w:rsid w:val="639594C7"/>
    <w:rsid w:val="6397B0D9"/>
    <w:rsid w:val="63A6E694"/>
    <w:rsid w:val="63AB11A5"/>
    <w:rsid w:val="63AE1374"/>
    <w:rsid w:val="63B1F38D"/>
    <w:rsid w:val="63B8654F"/>
    <w:rsid w:val="63BE1B40"/>
    <w:rsid w:val="63C04731"/>
    <w:rsid w:val="63C0CD63"/>
    <w:rsid w:val="63C176D8"/>
    <w:rsid w:val="63C744F1"/>
    <w:rsid w:val="63D2EF1A"/>
    <w:rsid w:val="63D8050A"/>
    <w:rsid w:val="63DE0173"/>
    <w:rsid w:val="63E2A8D3"/>
    <w:rsid w:val="63E4224C"/>
    <w:rsid w:val="63EDA4F2"/>
    <w:rsid w:val="6409EB4C"/>
    <w:rsid w:val="640E4576"/>
    <w:rsid w:val="6415BD3B"/>
    <w:rsid w:val="64182B9A"/>
    <w:rsid w:val="641DD636"/>
    <w:rsid w:val="642A573D"/>
    <w:rsid w:val="64302BD8"/>
    <w:rsid w:val="643376E2"/>
    <w:rsid w:val="6433EEE8"/>
    <w:rsid w:val="64362557"/>
    <w:rsid w:val="6436EB53"/>
    <w:rsid w:val="643EF6AB"/>
    <w:rsid w:val="643F9A06"/>
    <w:rsid w:val="64467A38"/>
    <w:rsid w:val="644DC0F8"/>
    <w:rsid w:val="64569649"/>
    <w:rsid w:val="645A280B"/>
    <w:rsid w:val="645CDD17"/>
    <w:rsid w:val="645E207F"/>
    <w:rsid w:val="646FD544"/>
    <w:rsid w:val="64747388"/>
    <w:rsid w:val="647765AD"/>
    <w:rsid w:val="6477C27D"/>
    <w:rsid w:val="64787E7C"/>
    <w:rsid w:val="647B83AB"/>
    <w:rsid w:val="647D50D5"/>
    <w:rsid w:val="647F9D6D"/>
    <w:rsid w:val="6485F931"/>
    <w:rsid w:val="648E7B6D"/>
    <w:rsid w:val="6492F8B1"/>
    <w:rsid w:val="6494E1A6"/>
    <w:rsid w:val="649DDE44"/>
    <w:rsid w:val="64AFD313"/>
    <w:rsid w:val="64B36435"/>
    <w:rsid w:val="64BD70EF"/>
    <w:rsid w:val="64BE5165"/>
    <w:rsid w:val="64C6688C"/>
    <w:rsid w:val="64CB5129"/>
    <w:rsid w:val="64CCF358"/>
    <w:rsid w:val="64D3A61E"/>
    <w:rsid w:val="64DD1A08"/>
    <w:rsid w:val="64E60C17"/>
    <w:rsid w:val="64F57A80"/>
    <w:rsid w:val="64F9CDC1"/>
    <w:rsid w:val="650EDEA2"/>
    <w:rsid w:val="6517A421"/>
    <w:rsid w:val="6522719C"/>
    <w:rsid w:val="652ABB72"/>
    <w:rsid w:val="652E64EC"/>
    <w:rsid w:val="652E6D01"/>
    <w:rsid w:val="6536216F"/>
    <w:rsid w:val="65364F74"/>
    <w:rsid w:val="6540447F"/>
    <w:rsid w:val="654ED86F"/>
    <w:rsid w:val="65518661"/>
    <w:rsid w:val="6553B607"/>
    <w:rsid w:val="6558D4C0"/>
    <w:rsid w:val="6565C17C"/>
    <w:rsid w:val="656DD3CB"/>
    <w:rsid w:val="6590F5EB"/>
    <w:rsid w:val="65995074"/>
    <w:rsid w:val="65ADAF5A"/>
    <w:rsid w:val="65BE42B4"/>
    <w:rsid w:val="65C6264A"/>
    <w:rsid w:val="65C9DE5F"/>
    <w:rsid w:val="65D53568"/>
    <w:rsid w:val="65DEAF5C"/>
    <w:rsid w:val="65E323A9"/>
    <w:rsid w:val="65E94004"/>
    <w:rsid w:val="65F56635"/>
    <w:rsid w:val="65F78A18"/>
    <w:rsid w:val="65FA19A2"/>
    <w:rsid w:val="65FFA241"/>
    <w:rsid w:val="66032F10"/>
    <w:rsid w:val="6604CFFE"/>
    <w:rsid w:val="66056CC0"/>
    <w:rsid w:val="661701F9"/>
    <w:rsid w:val="661F4E38"/>
    <w:rsid w:val="662373B9"/>
    <w:rsid w:val="662617E8"/>
    <w:rsid w:val="66281A9C"/>
    <w:rsid w:val="662849D6"/>
    <w:rsid w:val="662CCD31"/>
    <w:rsid w:val="663011C4"/>
    <w:rsid w:val="66389935"/>
    <w:rsid w:val="664B2D29"/>
    <w:rsid w:val="6658DDCC"/>
    <w:rsid w:val="66619B1D"/>
    <w:rsid w:val="6668B1C8"/>
    <w:rsid w:val="666F2762"/>
    <w:rsid w:val="6673D1FE"/>
    <w:rsid w:val="6676021D"/>
    <w:rsid w:val="66815ED2"/>
    <w:rsid w:val="6681A354"/>
    <w:rsid w:val="6681F981"/>
    <w:rsid w:val="668421BD"/>
    <w:rsid w:val="669B19BC"/>
    <w:rsid w:val="66A472CF"/>
    <w:rsid w:val="66B25944"/>
    <w:rsid w:val="66C87DBA"/>
    <w:rsid w:val="66D3AA0C"/>
    <w:rsid w:val="66D6DCCC"/>
    <w:rsid w:val="66D8DF1D"/>
    <w:rsid w:val="66DA2EE3"/>
    <w:rsid w:val="66DD9484"/>
    <w:rsid w:val="66E0635C"/>
    <w:rsid w:val="66E46FF0"/>
    <w:rsid w:val="66E860BA"/>
    <w:rsid w:val="66F76357"/>
    <w:rsid w:val="66F91F4F"/>
    <w:rsid w:val="66FA1B61"/>
    <w:rsid w:val="66FFCCC9"/>
    <w:rsid w:val="67063358"/>
    <w:rsid w:val="670B4882"/>
    <w:rsid w:val="67173033"/>
    <w:rsid w:val="672A7908"/>
    <w:rsid w:val="672D8A67"/>
    <w:rsid w:val="67335FEB"/>
    <w:rsid w:val="67447F7D"/>
    <w:rsid w:val="674D7054"/>
    <w:rsid w:val="6750048D"/>
    <w:rsid w:val="6761F345"/>
    <w:rsid w:val="6762ADEC"/>
    <w:rsid w:val="6764C93E"/>
    <w:rsid w:val="67704B9C"/>
    <w:rsid w:val="67755148"/>
    <w:rsid w:val="677FA6EB"/>
    <w:rsid w:val="6783C718"/>
    <w:rsid w:val="6794F134"/>
    <w:rsid w:val="67ABEF6A"/>
    <w:rsid w:val="67B37461"/>
    <w:rsid w:val="67B45BEF"/>
    <w:rsid w:val="67B4DAC3"/>
    <w:rsid w:val="67CBBF71"/>
    <w:rsid w:val="67D5A6BD"/>
    <w:rsid w:val="67D9885B"/>
    <w:rsid w:val="67E56F15"/>
    <w:rsid w:val="67EC3E3E"/>
    <w:rsid w:val="67F77C80"/>
    <w:rsid w:val="67F891C7"/>
    <w:rsid w:val="67FEE472"/>
    <w:rsid w:val="680BA815"/>
    <w:rsid w:val="6812D1AA"/>
    <w:rsid w:val="681C09BE"/>
    <w:rsid w:val="681EFC0B"/>
    <w:rsid w:val="682033A2"/>
    <w:rsid w:val="682099C7"/>
    <w:rsid w:val="6820D00B"/>
    <w:rsid w:val="68216928"/>
    <w:rsid w:val="6843C1A1"/>
    <w:rsid w:val="68482A29"/>
    <w:rsid w:val="684F088F"/>
    <w:rsid w:val="6850AE18"/>
    <w:rsid w:val="686930BE"/>
    <w:rsid w:val="6874BFC1"/>
    <w:rsid w:val="6876EF6D"/>
    <w:rsid w:val="687B18FB"/>
    <w:rsid w:val="6884DA74"/>
    <w:rsid w:val="689A707C"/>
    <w:rsid w:val="68BA8DD5"/>
    <w:rsid w:val="68BC615F"/>
    <w:rsid w:val="68C215C4"/>
    <w:rsid w:val="68CAC179"/>
    <w:rsid w:val="68D2BE13"/>
    <w:rsid w:val="68D45A99"/>
    <w:rsid w:val="68E47DC0"/>
    <w:rsid w:val="68F21846"/>
    <w:rsid w:val="68FDF053"/>
    <w:rsid w:val="6900032A"/>
    <w:rsid w:val="690F8174"/>
    <w:rsid w:val="691C0F8C"/>
    <w:rsid w:val="69312FA5"/>
    <w:rsid w:val="69333EC9"/>
    <w:rsid w:val="693575AE"/>
    <w:rsid w:val="693FD360"/>
    <w:rsid w:val="694314DF"/>
    <w:rsid w:val="6956E6D7"/>
    <w:rsid w:val="6966A62E"/>
    <w:rsid w:val="6973F16A"/>
    <w:rsid w:val="6975ECA0"/>
    <w:rsid w:val="69832B23"/>
    <w:rsid w:val="698EED65"/>
    <w:rsid w:val="6997029A"/>
    <w:rsid w:val="6999B8CA"/>
    <w:rsid w:val="69B63D31"/>
    <w:rsid w:val="69C97203"/>
    <w:rsid w:val="69DDD54C"/>
    <w:rsid w:val="69E2B191"/>
    <w:rsid w:val="69E3D712"/>
    <w:rsid w:val="69E46FC7"/>
    <w:rsid w:val="69E9025D"/>
    <w:rsid w:val="69E939C5"/>
    <w:rsid w:val="69EB3810"/>
    <w:rsid w:val="69EBBE45"/>
    <w:rsid w:val="69F0AF3C"/>
    <w:rsid w:val="69F28C25"/>
    <w:rsid w:val="69F37561"/>
    <w:rsid w:val="6A02BF91"/>
    <w:rsid w:val="6A0F404B"/>
    <w:rsid w:val="6A15796D"/>
    <w:rsid w:val="6A297232"/>
    <w:rsid w:val="6A2F3485"/>
    <w:rsid w:val="6A3190B1"/>
    <w:rsid w:val="6A3D3811"/>
    <w:rsid w:val="6A4009F4"/>
    <w:rsid w:val="6A48F1A4"/>
    <w:rsid w:val="6A49627D"/>
    <w:rsid w:val="6A4989C3"/>
    <w:rsid w:val="6A63F6EC"/>
    <w:rsid w:val="6A6EEF19"/>
    <w:rsid w:val="6A7464D7"/>
    <w:rsid w:val="6A7BD0BE"/>
    <w:rsid w:val="6A7CC049"/>
    <w:rsid w:val="6A86FCF0"/>
    <w:rsid w:val="6A892F35"/>
    <w:rsid w:val="6A904ED2"/>
    <w:rsid w:val="6A98748B"/>
    <w:rsid w:val="6A9B9A14"/>
    <w:rsid w:val="6A9CC432"/>
    <w:rsid w:val="6AA7CAD9"/>
    <w:rsid w:val="6AADC18F"/>
    <w:rsid w:val="6AB4CF38"/>
    <w:rsid w:val="6ABA8B6E"/>
    <w:rsid w:val="6ABC2A6C"/>
    <w:rsid w:val="6AC51F29"/>
    <w:rsid w:val="6AC52EBC"/>
    <w:rsid w:val="6ACB3B2E"/>
    <w:rsid w:val="6ACE1AFC"/>
    <w:rsid w:val="6AD30B7B"/>
    <w:rsid w:val="6AD6F15A"/>
    <w:rsid w:val="6AE27A6F"/>
    <w:rsid w:val="6AE65D78"/>
    <w:rsid w:val="6AE840BF"/>
    <w:rsid w:val="6AEFB1F0"/>
    <w:rsid w:val="6B062E7F"/>
    <w:rsid w:val="6B0B6CD9"/>
    <w:rsid w:val="6B158165"/>
    <w:rsid w:val="6B1ED1CC"/>
    <w:rsid w:val="6B241F2C"/>
    <w:rsid w:val="6B29C36F"/>
    <w:rsid w:val="6B2B981C"/>
    <w:rsid w:val="6B2C41E5"/>
    <w:rsid w:val="6B35D16B"/>
    <w:rsid w:val="6B38BC7C"/>
    <w:rsid w:val="6B3A003B"/>
    <w:rsid w:val="6B3F8229"/>
    <w:rsid w:val="6B45148C"/>
    <w:rsid w:val="6B485857"/>
    <w:rsid w:val="6B4B4A1E"/>
    <w:rsid w:val="6B5794B8"/>
    <w:rsid w:val="6B58CAD8"/>
    <w:rsid w:val="6B791DB9"/>
    <w:rsid w:val="6B7C53E6"/>
    <w:rsid w:val="6B80BF0F"/>
    <w:rsid w:val="6B88594E"/>
    <w:rsid w:val="6B8E8753"/>
    <w:rsid w:val="6B8F2FD0"/>
    <w:rsid w:val="6B96A85D"/>
    <w:rsid w:val="6B9AFCF9"/>
    <w:rsid w:val="6BA4613F"/>
    <w:rsid w:val="6BA4B30E"/>
    <w:rsid w:val="6BB07552"/>
    <w:rsid w:val="6BB6C7F2"/>
    <w:rsid w:val="6BBDA7C3"/>
    <w:rsid w:val="6BC32849"/>
    <w:rsid w:val="6BD3967F"/>
    <w:rsid w:val="6BD565F8"/>
    <w:rsid w:val="6BD58659"/>
    <w:rsid w:val="6BD6A5B2"/>
    <w:rsid w:val="6BD720D5"/>
    <w:rsid w:val="6BDFFA9E"/>
    <w:rsid w:val="6BE335EA"/>
    <w:rsid w:val="6BE6FD8E"/>
    <w:rsid w:val="6BF1413E"/>
    <w:rsid w:val="6BF616FF"/>
    <w:rsid w:val="6BFBCB6B"/>
    <w:rsid w:val="6C03F0BE"/>
    <w:rsid w:val="6C065E86"/>
    <w:rsid w:val="6C0E8DD3"/>
    <w:rsid w:val="6C1422D7"/>
    <w:rsid w:val="6C271EFB"/>
    <w:rsid w:val="6C2A1255"/>
    <w:rsid w:val="6C321CBE"/>
    <w:rsid w:val="6C363758"/>
    <w:rsid w:val="6C36E369"/>
    <w:rsid w:val="6C3C2A14"/>
    <w:rsid w:val="6C5860A8"/>
    <w:rsid w:val="6C61923B"/>
    <w:rsid w:val="6C7C4720"/>
    <w:rsid w:val="6C913AC7"/>
    <w:rsid w:val="6C93B589"/>
    <w:rsid w:val="6CB6F526"/>
    <w:rsid w:val="6CBBEA45"/>
    <w:rsid w:val="6CBC3FFC"/>
    <w:rsid w:val="6CC5CD84"/>
    <w:rsid w:val="6CCB4B54"/>
    <w:rsid w:val="6CCDD6F5"/>
    <w:rsid w:val="6CD2372B"/>
    <w:rsid w:val="6CDC132E"/>
    <w:rsid w:val="6CE6D15A"/>
    <w:rsid w:val="6CE6E782"/>
    <w:rsid w:val="6CF0EA31"/>
    <w:rsid w:val="6CF3BDBD"/>
    <w:rsid w:val="6CF96F35"/>
    <w:rsid w:val="6D02DA2C"/>
    <w:rsid w:val="6D0A0F5A"/>
    <w:rsid w:val="6D1E9E07"/>
    <w:rsid w:val="6D23EEED"/>
    <w:rsid w:val="6D25A4C2"/>
    <w:rsid w:val="6D27D90D"/>
    <w:rsid w:val="6D2DB017"/>
    <w:rsid w:val="6D34AE9D"/>
    <w:rsid w:val="6D4226D0"/>
    <w:rsid w:val="6D4834CC"/>
    <w:rsid w:val="6D49CEDA"/>
    <w:rsid w:val="6D550806"/>
    <w:rsid w:val="6D5FF3BD"/>
    <w:rsid w:val="6D60FE9E"/>
    <w:rsid w:val="6D646A5E"/>
    <w:rsid w:val="6D67DDF7"/>
    <w:rsid w:val="6D6F87FA"/>
    <w:rsid w:val="6D7AA84F"/>
    <w:rsid w:val="6D7BA209"/>
    <w:rsid w:val="6D7C0A4D"/>
    <w:rsid w:val="6D7C0BA9"/>
    <w:rsid w:val="6D850A78"/>
    <w:rsid w:val="6D896DE3"/>
    <w:rsid w:val="6D902825"/>
    <w:rsid w:val="6D95B2C2"/>
    <w:rsid w:val="6D985873"/>
    <w:rsid w:val="6D98FE0D"/>
    <w:rsid w:val="6DD2E9A3"/>
    <w:rsid w:val="6DE3E570"/>
    <w:rsid w:val="6DE7A8F4"/>
    <w:rsid w:val="6DEDDDAC"/>
    <w:rsid w:val="6DFA78C2"/>
    <w:rsid w:val="6DFEC39D"/>
    <w:rsid w:val="6E093B6D"/>
    <w:rsid w:val="6E0A3AE8"/>
    <w:rsid w:val="6E0D6675"/>
    <w:rsid w:val="6E1CCC65"/>
    <w:rsid w:val="6E2AF284"/>
    <w:rsid w:val="6E307A42"/>
    <w:rsid w:val="6E41B2F4"/>
    <w:rsid w:val="6E4A2643"/>
    <w:rsid w:val="6E4CAEC3"/>
    <w:rsid w:val="6E59D589"/>
    <w:rsid w:val="6E5E67AA"/>
    <w:rsid w:val="6E6EAAFA"/>
    <w:rsid w:val="6E7A1E02"/>
    <w:rsid w:val="6E871C1D"/>
    <w:rsid w:val="6E926ADB"/>
    <w:rsid w:val="6E9583A4"/>
    <w:rsid w:val="6EA2A5B2"/>
    <w:rsid w:val="6EA6580B"/>
    <w:rsid w:val="6EA6C6D9"/>
    <w:rsid w:val="6EB88D2B"/>
    <w:rsid w:val="6EBA3FD9"/>
    <w:rsid w:val="6EBA561D"/>
    <w:rsid w:val="6EC43D74"/>
    <w:rsid w:val="6ECF4584"/>
    <w:rsid w:val="6EE23786"/>
    <w:rsid w:val="6EFDF156"/>
    <w:rsid w:val="6F05934E"/>
    <w:rsid w:val="6F0AFB77"/>
    <w:rsid w:val="6F14D453"/>
    <w:rsid w:val="6F16585E"/>
    <w:rsid w:val="6F17FE54"/>
    <w:rsid w:val="6F18EFDD"/>
    <w:rsid w:val="6F1B0BDF"/>
    <w:rsid w:val="6F1BD395"/>
    <w:rsid w:val="6F2165DF"/>
    <w:rsid w:val="6F2B2CB4"/>
    <w:rsid w:val="6F2C3E42"/>
    <w:rsid w:val="6F2DE1BF"/>
    <w:rsid w:val="6F35B086"/>
    <w:rsid w:val="6F376ED5"/>
    <w:rsid w:val="6F37D6D5"/>
    <w:rsid w:val="6F3F74B3"/>
    <w:rsid w:val="6F4194B5"/>
    <w:rsid w:val="6F49C535"/>
    <w:rsid w:val="6F4FD5C3"/>
    <w:rsid w:val="6F58AF36"/>
    <w:rsid w:val="6F5AF5D5"/>
    <w:rsid w:val="6F693E24"/>
    <w:rsid w:val="6F699D55"/>
    <w:rsid w:val="6F6CC1B2"/>
    <w:rsid w:val="6F76859B"/>
    <w:rsid w:val="6F7A453F"/>
    <w:rsid w:val="6F7F0100"/>
    <w:rsid w:val="6F81D3CA"/>
    <w:rsid w:val="6F85374D"/>
    <w:rsid w:val="6F870B0E"/>
    <w:rsid w:val="6F8E94A2"/>
    <w:rsid w:val="6F9263BE"/>
    <w:rsid w:val="6F987D0B"/>
    <w:rsid w:val="6F9995CA"/>
    <w:rsid w:val="6F9A1611"/>
    <w:rsid w:val="6F9CF952"/>
    <w:rsid w:val="6FA568D6"/>
    <w:rsid w:val="6FA7906A"/>
    <w:rsid w:val="6FAF2741"/>
    <w:rsid w:val="6FC06E05"/>
    <w:rsid w:val="6FC29A2B"/>
    <w:rsid w:val="6FC8A332"/>
    <w:rsid w:val="6FCD78A5"/>
    <w:rsid w:val="6FD30A90"/>
    <w:rsid w:val="6FD8D91B"/>
    <w:rsid w:val="6FEB5181"/>
    <w:rsid w:val="6FED6F54"/>
    <w:rsid w:val="6FF88C14"/>
    <w:rsid w:val="6FFAABA6"/>
    <w:rsid w:val="6FFAB0E9"/>
    <w:rsid w:val="70029E2D"/>
    <w:rsid w:val="7011DF04"/>
    <w:rsid w:val="701771F4"/>
    <w:rsid w:val="701EFEBC"/>
    <w:rsid w:val="702A9D3C"/>
    <w:rsid w:val="702E5379"/>
    <w:rsid w:val="70309000"/>
    <w:rsid w:val="7031F734"/>
    <w:rsid w:val="7033E897"/>
    <w:rsid w:val="70358D4A"/>
    <w:rsid w:val="7037B4A3"/>
    <w:rsid w:val="70446A47"/>
    <w:rsid w:val="7045F686"/>
    <w:rsid w:val="70482608"/>
    <w:rsid w:val="7051BA33"/>
    <w:rsid w:val="705555B2"/>
    <w:rsid w:val="70569A8D"/>
    <w:rsid w:val="7069911E"/>
    <w:rsid w:val="706CA7BC"/>
    <w:rsid w:val="706F613F"/>
    <w:rsid w:val="7071EBF7"/>
    <w:rsid w:val="7073F61D"/>
    <w:rsid w:val="7085CDAE"/>
    <w:rsid w:val="708FCEC7"/>
    <w:rsid w:val="70911EA6"/>
    <w:rsid w:val="709C9523"/>
    <w:rsid w:val="70AD30C1"/>
    <w:rsid w:val="70ADCCCF"/>
    <w:rsid w:val="70B3D663"/>
    <w:rsid w:val="70C008CE"/>
    <w:rsid w:val="70C4AA40"/>
    <w:rsid w:val="70CE6203"/>
    <w:rsid w:val="70D17B2A"/>
    <w:rsid w:val="70DDBF73"/>
    <w:rsid w:val="70E229AF"/>
    <w:rsid w:val="70E8A7E5"/>
    <w:rsid w:val="70F2E334"/>
    <w:rsid w:val="70F2EC0B"/>
    <w:rsid w:val="70F62ECB"/>
    <w:rsid w:val="70FBECFB"/>
    <w:rsid w:val="70FEDB3A"/>
    <w:rsid w:val="71070F4C"/>
    <w:rsid w:val="71158C7B"/>
    <w:rsid w:val="71159F6D"/>
    <w:rsid w:val="7118AF9A"/>
    <w:rsid w:val="711958D2"/>
    <w:rsid w:val="711CBC70"/>
    <w:rsid w:val="711CD008"/>
    <w:rsid w:val="7120A026"/>
    <w:rsid w:val="71228391"/>
    <w:rsid w:val="7125475D"/>
    <w:rsid w:val="71384EF3"/>
    <w:rsid w:val="713B8BD3"/>
    <w:rsid w:val="713C7087"/>
    <w:rsid w:val="71417557"/>
    <w:rsid w:val="714D08B1"/>
    <w:rsid w:val="71519B97"/>
    <w:rsid w:val="715B3EB9"/>
    <w:rsid w:val="715DEDC7"/>
    <w:rsid w:val="71620744"/>
    <w:rsid w:val="716B20D4"/>
    <w:rsid w:val="716F7BA0"/>
    <w:rsid w:val="71808630"/>
    <w:rsid w:val="71821C80"/>
    <w:rsid w:val="7182D8EB"/>
    <w:rsid w:val="718BE3B0"/>
    <w:rsid w:val="71929E75"/>
    <w:rsid w:val="7194C477"/>
    <w:rsid w:val="719DBB15"/>
    <w:rsid w:val="71A195FC"/>
    <w:rsid w:val="71AAB988"/>
    <w:rsid w:val="71B01649"/>
    <w:rsid w:val="71B10D8E"/>
    <w:rsid w:val="71BC3D4A"/>
    <w:rsid w:val="71D06B15"/>
    <w:rsid w:val="71D84BA7"/>
    <w:rsid w:val="71EB9668"/>
    <w:rsid w:val="71ECDF68"/>
    <w:rsid w:val="71F5AE30"/>
    <w:rsid w:val="71FE0B61"/>
    <w:rsid w:val="72024690"/>
    <w:rsid w:val="720BAC9A"/>
    <w:rsid w:val="720DD17A"/>
    <w:rsid w:val="720E6F18"/>
    <w:rsid w:val="721DDE9F"/>
    <w:rsid w:val="721F531B"/>
    <w:rsid w:val="721F6894"/>
    <w:rsid w:val="72223D7A"/>
    <w:rsid w:val="72241A5E"/>
    <w:rsid w:val="722FF74B"/>
    <w:rsid w:val="7251E81A"/>
    <w:rsid w:val="72525927"/>
    <w:rsid w:val="72548514"/>
    <w:rsid w:val="72597CF4"/>
    <w:rsid w:val="725DB86B"/>
    <w:rsid w:val="7264F2C8"/>
    <w:rsid w:val="7271D839"/>
    <w:rsid w:val="72732E2A"/>
    <w:rsid w:val="727DE6CD"/>
    <w:rsid w:val="727F0D80"/>
    <w:rsid w:val="7280C925"/>
    <w:rsid w:val="7289F1D9"/>
    <w:rsid w:val="7292960F"/>
    <w:rsid w:val="72983DA0"/>
    <w:rsid w:val="729C3406"/>
    <w:rsid w:val="729CE21F"/>
    <w:rsid w:val="72A0D76E"/>
    <w:rsid w:val="72A94786"/>
    <w:rsid w:val="72A98C93"/>
    <w:rsid w:val="72B0A18C"/>
    <w:rsid w:val="72B0E31A"/>
    <w:rsid w:val="72B9E593"/>
    <w:rsid w:val="72D2E6D1"/>
    <w:rsid w:val="72D39C0B"/>
    <w:rsid w:val="72F30766"/>
    <w:rsid w:val="72F6A032"/>
    <w:rsid w:val="72FBBD01"/>
    <w:rsid w:val="72FCF914"/>
    <w:rsid w:val="730419E0"/>
    <w:rsid w:val="73042968"/>
    <w:rsid w:val="73070050"/>
    <w:rsid w:val="73186033"/>
    <w:rsid w:val="731CDE10"/>
    <w:rsid w:val="7327294A"/>
    <w:rsid w:val="732FF8C4"/>
    <w:rsid w:val="7330D015"/>
    <w:rsid w:val="73362443"/>
    <w:rsid w:val="7336CDEC"/>
    <w:rsid w:val="7345BC2F"/>
    <w:rsid w:val="734AD7B7"/>
    <w:rsid w:val="7355393E"/>
    <w:rsid w:val="7359E69C"/>
    <w:rsid w:val="73680BC2"/>
    <w:rsid w:val="736D51B0"/>
    <w:rsid w:val="73746AAB"/>
    <w:rsid w:val="73833575"/>
    <w:rsid w:val="7392AF5B"/>
    <w:rsid w:val="739B7A2B"/>
    <w:rsid w:val="739C4E1B"/>
    <w:rsid w:val="739DAC5C"/>
    <w:rsid w:val="73AC25CB"/>
    <w:rsid w:val="73ADD8D3"/>
    <w:rsid w:val="73B18D96"/>
    <w:rsid w:val="73B96831"/>
    <w:rsid w:val="73C48BD0"/>
    <w:rsid w:val="73CDC290"/>
    <w:rsid w:val="73CDEAC9"/>
    <w:rsid w:val="73D0686E"/>
    <w:rsid w:val="73D64062"/>
    <w:rsid w:val="73DADBE9"/>
    <w:rsid w:val="73DC30BB"/>
    <w:rsid w:val="73E3D2CC"/>
    <w:rsid w:val="73E53D2F"/>
    <w:rsid w:val="73E5C35B"/>
    <w:rsid w:val="73F589E3"/>
    <w:rsid w:val="73FBEF67"/>
    <w:rsid w:val="740A8D14"/>
    <w:rsid w:val="741065B8"/>
    <w:rsid w:val="741AE7BC"/>
    <w:rsid w:val="741DB3CB"/>
    <w:rsid w:val="741EDA1F"/>
    <w:rsid w:val="74212DEF"/>
    <w:rsid w:val="742F4BA1"/>
    <w:rsid w:val="7431DD4E"/>
    <w:rsid w:val="7433A0BF"/>
    <w:rsid w:val="7433E616"/>
    <w:rsid w:val="743517D4"/>
    <w:rsid w:val="7436F5BA"/>
    <w:rsid w:val="74370AF6"/>
    <w:rsid w:val="743E3F0E"/>
    <w:rsid w:val="743FCF21"/>
    <w:rsid w:val="744862CB"/>
    <w:rsid w:val="744FB33A"/>
    <w:rsid w:val="7460C687"/>
    <w:rsid w:val="7468FCD0"/>
    <w:rsid w:val="7469DDCE"/>
    <w:rsid w:val="746BAEA9"/>
    <w:rsid w:val="747372B3"/>
    <w:rsid w:val="74738275"/>
    <w:rsid w:val="74830BDD"/>
    <w:rsid w:val="74849CD0"/>
    <w:rsid w:val="748BF800"/>
    <w:rsid w:val="7498252E"/>
    <w:rsid w:val="749E9A15"/>
    <w:rsid w:val="74A7E04E"/>
    <w:rsid w:val="74B6BF34"/>
    <w:rsid w:val="74BDE292"/>
    <w:rsid w:val="74C07485"/>
    <w:rsid w:val="74C15A0D"/>
    <w:rsid w:val="74CC31D5"/>
    <w:rsid w:val="74CE91BE"/>
    <w:rsid w:val="74DE488F"/>
    <w:rsid w:val="74E21797"/>
    <w:rsid w:val="74F0594B"/>
    <w:rsid w:val="74F08DEB"/>
    <w:rsid w:val="74F8A5E5"/>
    <w:rsid w:val="7502089B"/>
    <w:rsid w:val="7507736D"/>
    <w:rsid w:val="750AFD3B"/>
    <w:rsid w:val="750EF543"/>
    <w:rsid w:val="7516E62E"/>
    <w:rsid w:val="75270D99"/>
    <w:rsid w:val="7533B6B6"/>
    <w:rsid w:val="7536E60B"/>
    <w:rsid w:val="753776D9"/>
    <w:rsid w:val="7538B858"/>
    <w:rsid w:val="753E7676"/>
    <w:rsid w:val="75403492"/>
    <w:rsid w:val="75457C66"/>
    <w:rsid w:val="75481DAE"/>
    <w:rsid w:val="754EA049"/>
    <w:rsid w:val="7552B679"/>
    <w:rsid w:val="75550DB8"/>
    <w:rsid w:val="75574440"/>
    <w:rsid w:val="7564BDF1"/>
    <w:rsid w:val="7569AB4E"/>
    <w:rsid w:val="75710A5A"/>
    <w:rsid w:val="757D4BE3"/>
    <w:rsid w:val="7583DCBB"/>
    <w:rsid w:val="75871A6E"/>
    <w:rsid w:val="75960A30"/>
    <w:rsid w:val="759B5827"/>
    <w:rsid w:val="75A3E0D7"/>
    <w:rsid w:val="75AE58A4"/>
    <w:rsid w:val="75CA8ADF"/>
    <w:rsid w:val="75D0523D"/>
    <w:rsid w:val="75D2790C"/>
    <w:rsid w:val="75D81CA0"/>
    <w:rsid w:val="75DC0474"/>
    <w:rsid w:val="75E0C8AA"/>
    <w:rsid w:val="75E7B333"/>
    <w:rsid w:val="75EAE84B"/>
    <w:rsid w:val="75ECD4C7"/>
    <w:rsid w:val="75EEED4E"/>
    <w:rsid w:val="75FCE876"/>
    <w:rsid w:val="76003C57"/>
    <w:rsid w:val="76118F57"/>
    <w:rsid w:val="7619F8D6"/>
    <w:rsid w:val="762446EF"/>
    <w:rsid w:val="7629394C"/>
    <w:rsid w:val="7633155B"/>
    <w:rsid w:val="76347050"/>
    <w:rsid w:val="763AA545"/>
    <w:rsid w:val="763D05B8"/>
    <w:rsid w:val="763D3A39"/>
    <w:rsid w:val="763DF38B"/>
    <w:rsid w:val="763EEADB"/>
    <w:rsid w:val="7645B0D0"/>
    <w:rsid w:val="7647219B"/>
    <w:rsid w:val="7647B09E"/>
    <w:rsid w:val="764C37ED"/>
    <w:rsid w:val="765DACEA"/>
    <w:rsid w:val="765F1697"/>
    <w:rsid w:val="7662B1B2"/>
    <w:rsid w:val="7668EF45"/>
    <w:rsid w:val="767763E4"/>
    <w:rsid w:val="7680817E"/>
    <w:rsid w:val="7683DAC8"/>
    <w:rsid w:val="769055BB"/>
    <w:rsid w:val="76905B1F"/>
    <w:rsid w:val="7699D4E1"/>
    <w:rsid w:val="76A6025F"/>
    <w:rsid w:val="76B8414F"/>
    <w:rsid w:val="76BCE702"/>
    <w:rsid w:val="76C64BB3"/>
    <w:rsid w:val="76CA21F0"/>
    <w:rsid w:val="76D10274"/>
    <w:rsid w:val="76DA6097"/>
    <w:rsid w:val="76DC6C57"/>
    <w:rsid w:val="76E0BACE"/>
    <w:rsid w:val="76E27DD4"/>
    <w:rsid w:val="76EB50EC"/>
    <w:rsid w:val="76F6D2DF"/>
    <w:rsid w:val="76F8BC36"/>
    <w:rsid w:val="76F8E3E0"/>
    <w:rsid w:val="77093722"/>
    <w:rsid w:val="770AF10E"/>
    <w:rsid w:val="77232E7C"/>
    <w:rsid w:val="77239F90"/>
    <w:rsid w:val="7725A348"/>
    <w:rsid w:val="772D480B"/>
    <w:rsid w:val="772D9E85"/>
    <w:rsid w:val="7733145E"/>
    <w:rsid w:val="77357EE4"/>
    <w:rsid w:val="773788BA"/>
    <w:rsid w:val="773F431D"/>
    <w:rsid w:val="77491224"/>
    <w:rsid w:val="774C41FE"/>
    <w:rsid w:val="7756828A"/>
    <w:rsid w:val="7757067F"/>
    <w:rsid w:val="775805F2"/>
    <w:rsid w:val="77632591"/>
    <w:rsid w:val="7767EADB"/>
    <w:rsid w:val="7770416A"/>
    <w:rsid w:val="77818C5C"/>
    <w:rsid w:val="7784A671"/>
    <w:rsid w:val="77973CBC"/>
    <w:rsid w:val="77CA4C15"/>
    <w:rsid w:val="77CC0075"/>
    <w:rsid w:val="77D7AED9"/>
    <w:rsid w:val="77DC842A"/>
    <w:rsid w:val="77E0AECA"/>
    <w:rsid w:val="77E452C3"/>
    <w:rsid w:val="77EF7021"/>
    <w:rsid w:val="77F74E0D"/>
    <w:rsid w:val="77FFE9CD"/>
    <w:rsid w:val="78002C48"/>
    <w:rsid w:val="7806FC00"/>
    <w:rsid w:val="781ABEF1"/>
    <w:rsid w:val="781DC379"/>
    <w:rsid w:val="78216B3E"/>
    <w:rsid w:val="7823012C"/>
    <w:rsid w:val="78268D88"/>
    <w:rsid w:val="782AE407"/>
    <w:rsid w:val="7858243D"/>
    <w:rsid w:val="78592E0D"/>
    <w:rsid w:val="785DB94E"/>
    <w:rsid w:val="7866F960"/>
    <w:rsid w:val="786813A7"/>
    <w:rsid w:val="786BD561"/>
    <w:rsid w:val="786F8029"/>
    <w:rsid w:val="7870CAB4"/>
    <w:rsid w:val="7871777B"/>
    <w:rsid w:val="78729871"/>
    <w:rsid w:val="7883FC30"/>
    <w:rsid w:val="788E0A0B"/>
    <w:rsid w:val="789CD634"/>
    <w:rsid w:val="78A9E8A2"/>
    <w:rsid w:val="78AAFE7F"/>
    <w:rsid w:val="78AF19FE"/>
    <w:rsid w:val="78B439BA"/>
    <w:rsid w:val="78B74145"/>
    <w:rsid w:val="78C667B5"/>
    <w:rsid w:val="78D4FC63"/>
    <w:rsid w:val="78D7EA1E"/>
    <w:rsid w:val="78DB3694"/>
    <w:rsid w:val="78DFDCB1"/>
    <w:rsid w:val="78DFFB4A"/>
    <w:rsid w:val="78E6FEEE"/>
    <w:rsid w:val="78E91F24"/>
    <w:rsid w:val="78F39D97"/>
    <w:rsid w:val="78F7544C"/>
    <w:rsid w:val="78F8EB0C"/>
    <w:rsid w:val="78FB490E"/>
    <w:rsid w:val="78FD43DE"/>
    <w:rsid w:val="78FE09FF"/>
    <w:rsid w:val="78FFCD6E"/>
    <w:rsid w:val="7905398B"/>
    <w:rsid w:val="7906879D"/>
    <w:rsid w:val="7906886E"/>
    <w:rsid w:val="790BD6F4"/>
    <w:rsid w:val="790C5BA4"/>
    <w:rsid w:val="790E101D"/>
    <w:rsid w:val="790FF4FE"/>
    <w:rsid w:val="79281BC5"/>
    <w:rsid w:val="792EDAB2"/>
    <w:rsid w:val="7933E818"/>
    <w:rsid w:val="793CF13A"/>
    <w:rsid w:val="7945A670"/>
    <w:rsid w:val="79492835"/>
    <w:rsid w:val="7955F2DC"/>
    <w:rsid w:val="795656BD"/>
    <w:rsid w:val="79592546"/>
    <w:rsid w:val="795C87FE"/>
    <w:rsid w:val="796AE39F"/>
    <w:rsid w:val="796BB9AC"/>
    <w:rsid w:val="798B5E21"/>
    <w:rsid w:val="79A14CED"/>
    <w:rsid w:val="79AC17F1"/>
    <w:rsid w:val="79AD67C4"/>
    <w:rsid w:val="79BA0A45"/>
    <w:rsid w:val="79C65447"/>
    <w:rsid w:val="79DDD712"/>
    <w:rsid w:val="79E79157"/>
    <w:rsid w:val="79F7C5F3"/>
    <w:rsid w:val="79FAA191"/>
    <w:rsid w:val="79FC2661"/>
    <w:rsid w:val="7A005342"/>
    <w:rsid w:val="7A04C6BC"/>
    <w:rsid w:val="7A05BD08"/>
    <w:rsid w:val="7A133787"/>
    <w:rsid w:val="7A164AFA"/>
    <w:rsid w:val="7A16B245"/>
    <w:rsid w:val="7A228EF8"/>
    <w:rsid w:val="7A247946"/>
    <w:rsid w:val="7A25BDF8"/>
    <w:rsid w:val="7A2924B2"/>
    <w:rsid w:val="7A31BF80"/>
    <w:rsid w:val="7A326303"/>
    <w:rsid w:val="7A3B7B68"/>
    <w:rsid w:val="7A4553FA"/>
    <w:rsid w:val="7A45DC3F"/>
    <w:rsid w:val="7A462372"/>
    <w:rsid w:val="7A4649EB"/>
    <w:rsid w:val="7A64360C"/>
    <w:rsid w:val="7A695A5F"/>
    <w:rsid w:val="7A7D6825"/>
    <w:rsid w:val="7A81DF58"/>
    <w:rsid w:val="7A89CB3F"/>
    <w:rsid w:val="7A8E6ACB"/>
    <w:rsid w:val="7A958738"/>
    <w:rsid w:val="7A9D13C9"/>
    <w:rsid w:val="7AA46C0F"/>
    <w:rsid w:val="7AA47A9B"/>
    <w:rsid w:val="7ACB4D40"/>
    <w:rsid w:val="7ADA1CF1"/>
    <w:rsid w:val="7AF0D83A"/>
    <w:rsid w:val="7AF86EF8"/>
    <w:rsid w:val="7B10395F"/>
    <w:rsid w:val="7B1D831B"/>
    <w:rsid w:val="7B249505"/>
    <w:rsid w:val="7B2F802A"/>
    <w:rsid w:val="7B3ADD29"/>
    <w:rsid w:val="7B48FAAF"/>
    <w:rsid w:val="7B4A58A4"/>
    <w:rsid w:val="7B5472B9"/>
    <w:rsid w:val="7B5A4D11"/>
    <w:rsid w:val="7B5AAAAB"/>
    <w:rsid w:val="7B5F9877"/>
    <w:rsid w:val="7B68AC4F"/>
    <w:rsid w:val="7B6958AD"/>
    <w:rsid w:val="7B72BDE2"/>
    <w:rsid w:val="7B765BB1"/>
    <w:rsid w:val="7B7A29E9"/>
    <w:rsid w:val="7B895408"/>
    <w:rsid w:val="7B8FB377"/>
    <w:rsid w:val="7B948AB6"/>
    <w:rsid w:val="7B9846D8"/>
    <w:rsid w:val="7B9FDE23"/>
    <w:rsid w:val="7BA0F04E"/>
    <w:rsid w:val="7BA1FBE8"/>
    <w:rsid w:val="7BADA98D"/>
    <w:rsid w:val="7BBA4A08"/>
    <w:rsid w:val="7BC57662"/>
    <w:rsid w:val="7BD14C68"/>
    <w:rsid w:val="7BD24738"/>
    <w:rsid w:val="7BD45BA7"/>
    <w:rsid w:val="7BD65617"/>
    <w:rsid w:val="7BE27019"/>
    <w:rsid w:val="7BE48160"/>
    <w:rsid w:val="7BF1004F"/>
    <w:rsid w:val="7BFB6CC9"/>
    <w:rsid w:val="7C0355A7"/>
    <w:rsid w:val="7C045E61"/>
    <w:rsid w:val="7C0AE11E"/>
    <w:rsid w:val="7C37422B"/>
    <w:rsid w:val="7C39EBD6"/>
    <w:rsid w:val="7C405D17"/>
    <w:rsid w:val="7C4B9CE5"/>
    <w:rsid w:val="7C4F9BA3"/>
    <w:rsid w:val="7C52A704"/>
    <w:rsid w:val="7C54ACC1"/>
    <w:rsid w:val="7C641AFE"/>
    <w:rsid w:val="7C71B502"/>
    <w:rsid w:val="7C7A8D06"/>
    <w:rsid w:val="7C7D489D"/>
    <w:rsid w:val="7C8DBFB5"/>
    <w:rsid w:val="7C96689D"/>
    <w:rsid w:val="7C9D1160"/>
    <w:rsid w:val="7C9D1406"/>
    <w:rsid w:val="7CA02780"/>
    <w:rsid w:val="7CA204C1"/>
    <w:rsid w:val="7CAC2B50"/>
    <w:rsid w:val="7CAFD6AF"/>
    <w:rsid w:val="7CB98120"/>
    <w:rsid w:val="7CBB2825"/>
    <w:rsid w:val="7CC06A92"/>
    <w:rsid w:val="7CC3C538"/>
    <w:rsid w:val="7CC484DC"/>
    <w:rsid w:val="7CC67B79"/>
    <w:rsid w:val="7CC7DF8D"/>
    <w:rsid w:val="7CDFA36E"/>
    <w:rsid w:val="7CE06D42"/>
    <w:rsid w:val="7CEB220B"/>
    <w:rsid w:val="7CF5EEF1"/>
    <w:rsid w:val="7CFD1851"/>
    <w:rsid w:val="7D06BAF4"/>
    <w:rsid w:val="7D070300"/>
    <w:rsid w:val="7D0AAD4D"/>
    <w:rsid w:val="7D0DD719"/>
    <w:rsid w:val="7D1B9239"/>
    <w:rsid w:val="7D1EEFFB"/>
    <w:rsid w:val="7D3A7A6D"/>
    <w:rsid w:val="7D4CA0AD"/>
    <w:rsid w:val="7D5B34EF"/>
    <w:rsid w:val="7D625C15"/>
    <w:rsid w:val="7D62B92A"/>
    <w:rsid w:val="7D6506DD"/>
    <w:rsid w:val="7D6933DE"/>
    <w:rsid w:val="7D6B9470"/>
    <w:rsid w:val="7D6C5D4A"/>
    <w:rsid w:val="7D6F484C"/>
    <w:rsid w:val="7D7EDC58"/>
    <w:rsid w:val="7D87B1ED"/>
    <w:rsid w:val="7D92BEED"/>
    <w:rsid w:val="7DA39560"/>
    <w:rsid w:val="7DA5DA38"/>
    <w:rsid w:val="7DB361B1"/>
    <w:rsid w:val="7DB4355F"/>
    <w:rsid w:val="7DC134F8"/>
    <w:rsid w:val="7DC279C2"/>
    <w:rsid w:val="7DD2A253"/>
    <w:rsid w:val="7DD6C5BB"/>
    <w:rsid w:val="7DE26D7B"/>
    <w:rsid w:val="7DE35F0A"/>
    <w:rsid w:val="7DEB53B0"/>
    <w:rsid w:val="7DEC3B68"/>
    <w:rsid w:val="7DF40382"/>
    <w:rsid w:val="7DF4A7AD"/>
    <w:rsid w:val="7DFC25C3"/>
    <w:rsid w:val="7E0C2C4B"/>
    <w:rsid w:val="7E0CA0B9"/>
    <w:rsid w:val="7E168C5E"/>
    <w:rsid w:val="7E213563"/>
    <w:rsid w:val="7E2BC56F"/>
    <w:rsid w:val="7E3899BD"/>
    <w:rsid w:val="7E3964CB"/>
    <w:rsid w:val="7E3E79F3"/>
    <w:rsid w:val="7E42A6B6"/>
    <w:rsid w:val="7E42CFB4"/>
    <w:rsid w:val="7E5C4F6A"/>
    <w:rsid w:val="7E66F2FC"/>
    <w:rsid w:val="7E7EE241"/>
    <w:rsid w:val="7E808D45"/>
    <w:rsid w:val="7E8731E5"/>
    <w:rsid w:val="7E87E8E6"/>
    <w:rsid w:val="7E89858C"/>
    <w:rsid w:val="7E9EA93B"/>
    <w:rsid w:val="7E9F3737"/>
    <w:rsid w:val="7EA1C37F"/>
    <w:rsid w:val="7EA53F31"/>
    <w:rsid w:val="7EA6AFB6"/>
    <w:rsid w:val="7EA8EAD5"/>
    <w:rsid w:val="7EB075BA"/>
    <w:rsid w:val="7EB0CC61"/>
    <w:rsid w:val="7EB0EFEA"/>
    <w:rsid w:val="7EC10A16"/>
    <w:rsid w:val="7ED4BB07"/>
    <w:rsid w:val="7EE8AF40"/>
    <w:rsid w:val="7EF6EAED"/>
    <w:rsid w:val="7EFC55A0"/>
    <w:rsid w:val="7EFCE69E"/>
    <w:rsid w:val="7F01BF43"/>
    <w:rsid w:val="7F07A701"/>
    <w:rsid w:val="7F08E4DA"/>
    <w:rsid w:val="7F0A1186"/>
    <w:rsid w:val="7F166987"/>
    <w:rsid w:val="7F1761BB"/>
    <w:rsid w:val="7F1C394D"/>
    <w:rsid w:val="7F213B70"/>
    <w:rsid w:val="7F25B921"/>
    <w:rsid w:val="7F30E1BA"/>
    <w:rsid w:val="7F370F8C"/>
    <w:rsid w:val="7F377D7F"/>
    <w:rsid w:val="7F37867E"/>
    <w:rsid w:val="7F44BA52"/>
    <w:rsid w:val="7F47A2C9"/>
    <w:rsid w:val="7F4C5F86"/>
    <w:rsid w:val="7F4C8F0E"/>
    <w:rsid w:val="7F4CE5CC"/>
    <w:rsid w:val="7F4FDD03"/>
    <w:rsid w:val="7F5F67E9"/>
    <w:rsid w:val="7F63A919"/>
    <w:rsid w:val="7F65E2A3"/>
    <w:rsid w:val="7F6A3952"/>
    <w:rsid w:val="7F6A5901"/>
    <w:rsid w:val="7F6E243A"/>
    <w:rsid w:val="7F7059F3"/>
    <w:rsid w:val="7F717DB0"/>
    <w:rsid w:val="7F7FA4AD"/>
    <w:rsid w:val="7F8BD38E"/>
    <w:rsid w:val="7F944603"/>
    <w:rsid w:val="7F99A5B0"/>
    <w:rsid w:val="7FAD54C0"/>
    <w:rsid w:val="7FB3FC2B"/>
    <w:rsid w:val="7FCF5E0E"/>
    <w:rsid w:val="7FDB3D1D"/>
    <w:rsid w:val="7FEAA17E"/>
    <w:rsid w:val="7FEC74F6"/>
    <w:rsid w:val="7FECA7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0407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qFormat="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qFormat="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567"/>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uiPriority w:val="99"/>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link w:val="FootnoteTextChar"/>
    <w:uiPriority w:val="99"/>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E63F32"/>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basedOn w:val="Normal"/>
    <w:uiPriority w:val="34"/>
    <w:qFormat/>
    <w:rsid w:val="00E63F32"/>
    <w:pPr>
      <w:ind w:left="720"/>
      <w:contextualSpacing/>
    </w:pPr>
  </w:style>
  <w:style w:type="character" w:styleId="Hyperlink">
    <w:name w:val="Hyperlink"/>
    <w:basedOn w:val="DefaultParagraphFont"/>
    <w:uiPriority w:val="99"/>
    <w:rsid w:val="00E46291"/>
    <w:rPr>
      <w:color w:val="467886" w:themeColor="hyperlink"/>
      <w:u w:val="single"/>
    </w:rPr>
  </w:style>
  <w:style w:type="character" w:customStyle="1" w:styleId="UnresolvedMention">
    <w:name w:val="Unresolved Mention"/>
    <w:basedOn w:val="DefaultParagraphFont"/>
    <w:uiPriority w:val="99"/>
    <w:semiHidden/>
    <w:unhideWhenUsed/>
    <w:rsid w:val="00E46291"/>
    <w:rPr>
      <w:color w:val="605E5C"/>
      <w:shd w:val="clear" w:color="auto" w:fill="E1DFDD"/>
    </w:rPr>
  </w:style>
  <w:style w:type="paragraph" w:styleId="NormalWeb">
    <w:name w:val="Normal (Web)"/>
    <w:basedOn w:val="Normal"/>
    <w:uiPriority w:val="99"/>
    <w:qFormat/>
    <w:rsid w:val="001843FF"/>
    <w:rPr>
      <w:szCs w:val="24"/>
    </w:rPr>
  </w:style>
  <w:style w:type="character" w:styleId="CommentReference">
    <w:name w:val="annotation reference"/>
    <w:basedOn w:val="DefaultParagraphFont"/>
    <w:uiPriority w:val="99"/>
    <w:semiHidden/>
    <w:qFormat/>
    <w:rsid w:val="006D2859"/>
    <w:rPr>
      <w:sz w:val="16"/>
      <w:szCs w:val="16"/>
    </w:rPr>
  </w:style>
  <w:style w:type="paragraph" w:styleId="CommentText">
    <w:name w:val="annotation text"/>
    <w:basedOn w:val="Normal"/>
    <w:link w:val="CommentTextChar"/>
    <w:uiPriority w:val="99"/>
    <w:qFormat/>
    <w:rsid w:val="006D2859"/>
    <w:rPr>
      <w:sz w:val="20"/>
    </w:rPr>
  </w:style>
  <w:style w:type="character" w:customStyle="1" w:styleId="CommentTextChar">
    <w:name w:val="Comment Text Char"/>
    <w:basedOn w:val="DefaultParagraphFont"/>
    <w:link w:val="CommentText"/>
    <w:uiPriority w:val="99"/>
    <w:qFormat/>
    <w:rsid w:val="006D2859"/>
    <w:rPr>
      <w:sz w:val="20"/>
    </w:rPr>
  </w:style>
  <w:style w:type="paragraph" w:styleId="CommentSubject">
    <w:name w:val="annotation subject"/>
    <w:basedOn w:val="CommentText"/>
    <w:next w:val="CommentText"/>
    <w:link w:val="CommentSubjectChar"/>
    <w:uiPriority w:val="99"/>
    <w:semiHidden/>
    <w:rsid w:val="006D2859"/>
    <w:rPr>
      <w:b/>
      <w:bCs/>
    </w:rPr>
  </w:style>
  <w:style w:type="character" w:customStyle="1" w:styleId="CommentSubjectChar">
    <w:name w:val="Comment Subject Char"/>
    <w:basedOn w:val="CommentTextChar"/>
    <w:link w:val="CommentSubject"/>
    <w:uiPriority w:val="99"/>
    <w:semiHidden/>
    <w:rsid w:val="006D2859"/>
    <w:rPr>
      <w:b/>
      <w:bCs/>
      <w:sz w:val="20"/>
    </w:rPr>
  </w:style>
  <w:style w:type="character" w:customStyle="1" w:styleId="Mention">
    <w:name w:val="Mention"/>
    <w:basedOn w:val="DefaultParagraphFont"/>
    <w:uiPriority w:val="99"/>
    <w:unhideWhenUsed/>
    <w:rsid w:val="006D2859"/>
    <w:rPr>
      <w:color w:val="2B579A"/>
      <w:shd w:val="clear" w:color="auto" w:fill="E1DFDD"/>
    </w:rPr>
  </w:style>
  <w:style w:type="character" w:customStyle="1" w:styleId="FootnoteTextChar">
    <w:name w:val="Footnote Text Char"/>
    <w:basedOn w:val="DefaultParagraphFont"/>
    <w:link w:val="FootnoteText"/>
    <w:uiPriority w:val="99"/>
    <w:rsid w:val="00381E4C"/>
    <w:rPr>
      <w:sz w:val="20"/>
    </w:rPr>
  </w:style>
  <w:style w:type="paragraph" w:customStyle="1" w:styleId="DashEqual4">
    <w:name w:val="Dash Equal 4"/>
    <w:basedOn w:val="Normal"/>
    <w:rsid w:val="0031071F"/>
    <w:pPr>
      <w:numPr>
        <w:numId w:val="29"/>
      </w:numPr>
      <w:spacing w:before="120" w:after="120" w:line="360" w:lineRule="auto"/>
      <w:jc w:val="left"/>
    </w:pPr>
    <w:rPr>
      <w:rFonts w:eastAsiaTheme="minorHAnsi"/>
      <w:szCs w:val="22"/>
      <w:lang w:eastAsia="en-US"/>
    </w:rPr>
  </w:style>
  <w:style w:type="paragraph" w:styleId="Revision">
    <w:name w:val="Revision"/>
    <w:hidden/>
    <w:uiPriority w:val="99"/>
    <w:semiHidden/>
    <w:rsid w:val="00554685"/>
  </w:style>
  <w:style w:type="character" w:styleId="FollowedHyperlink">
    <w:name w:val="FollowedHyperlink"/>
    <w:basedOn w:val="DefaultParagraphFont"/>
    <w:uiPriority w:val="99"/>
    <w:semiHidden/>
    <w:rsid w:val="00D13F5F"/>
    <w:rPr>
      <w:color w:val="96607D" w:themeColor="followedHyperlink"/>
      <w:u w:val="single"/>
    </w:rPr>
  </w:style>
  <w:style w:type="character" w:customStyle="1" w:styleId="Marker">
    <w:name w:val="Marker"/>
    <w:basedOn w:val="DefaultParagraphFont"/>
    <w:rsid w:val="009D5428"/>
    <w:rPr>
      <w:color w:val="0000FF"/>
      <w:shd w:val="clear" w:color="auto" w:fill="auto"/>
    </w:rPr>
  </w:style>
  <w:style w:type="paragraph" w:customStyle="1" w:styleId="Pagedecouverture">
    <w:name w:val="Page de couverture"/>
    <w:basedOn w:val="Normal"/>
    <w:next w:val="Normal"/>
    <w:link w:val="PagedecouvertureChar"/>
    <w:rsid w:val="00BD6E9D"/>
    <w:pPr>
      <w:spacing w:after="0"/>
    </w:pPr>
    <w:rPr>
      <w:rFonts w:eastAsiaTheme="minorHAnsi"/>
      <w:szCs w:val="22"/>
      <w:lang w:eastAsia="en-US"/>
    </w:rPr>
  </w:style>
  <w:style w:type="paragraph" w:customStyle="1" w:styleId="FooterCoverPage">
    <w:name w:val="Footer Cover Page"/>
    <w:basedOn w:val="Normal"/>
    <w:link w:val="FooterCoverPageChar"/>
    <w:rsid w:val="00337252"/>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337252"/>
    <w:rPr>
      <w:rFonts w:eastAsiaTheme="minorHAnsi"/>
      <w:szCs w:val="22"/>
      <w:lang w:eastAsia="en-US"/>
    </w:rPr>
  </w:style>
  <w:style w:type="character" w:customStyle="1" w:styleId="FooterCoverPageChar">
    <w:name w:val="Footer Cover Page Char"/>
    <w:basedOn w:val="PagedecouvertureChar"/>
    <w:link w:val="FooterCoverPage"/>
    <w:rsid w:val="00337252"/>
    <w:rPr>
      <w:rFonts w:eastAsiaTheme="minorHAnsi"/>
      <w:szCs w:val="22"/>
      <w:lang w:eastAsia="en-US"/>
    </w:rPr>
  </w:style>
  <w:style w:type="paragraph" w:customStyle="1" w:styleId="FooterSensitivity">
    <w:name w:val="Footer Sensitivity"/>
    <w:basedOn w:val="Normal"/>
    <w:link w:val="FooterSensitivityChar"/>
    <w:rsid w:val="0033725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337252"/>
    <w:rPr>
      <w:rFonts w:eastAsiaTheme="minorHAnsi"/>
      <w:b/>
      <w:sz w:val="32"/>
      <w:szCs w:val="22"/>
      <w:lang w:eastAsia="en-US"/>
    </w:rPr>
  </w:style>
  <w:style w:type="paragraph" w:customStyle="1" w:styleId="HeaderCoverPage">
    <w:name w:val="Header Cover Page"/>
    <w:basedOn w:val="Normal"/>
    <w:link w:val="HeaderCoverPageChar"/>
    <w:rsid w:val="00337252"/>
    <w:pPr>
      <w:tabs>
        <w:tab w:val="center" w:pos="4535"/>
        <w:tab w:val="right" w:pos="9071"/>
      </w:tabs>
      <w:spacing w:after="120"/>
    </w:pPr>
  </w:style>
  <w:style w:type="character" w:customStyle="1" w:styleId="HeaderCoverPageChar">
    <w:name w:val="Header Cover Page Char"/>
    <w:basedOn w:val="PagedecouvertureChar"/>
    <w:link w:val="HeaderCoverPage"/>
    <w:rsid w:val="00337252"/>
    <w:rPr>
      <w:rFonts w:eastAsiaTheme="minorHAnsi"/>
      <w:szCs w:val="22"/>
      <w:lang w:eastAsia="en-US"/>
    </w:rPr>
  </w:style>
  <w:style w:type="paragraph" w:customStyle="1" w:styleId="HeaderSensitivity">
    <w:name w:val="Header Sensitivity"/>
    <w:basedOn w:val="Normal"/>
    <w:link w:val="HeaderSensitivityChar"/>
    <w:rsid w:val="00337252"/>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337252"/>
    <w:rPr>
      <w:rFonts w:eastAsiaTheme="minorHAnsi"/>
      <w:b/>
      <w:sz w:val="32"/>
      <w:szCs w:val="22"/>
      <w:lang w:eastAsia="en-US"/>
    </w:rPr>
  </w:style>
  <w:style w:type="paragraph" w:customStyle="1" w:styleId="HeaderSensitivityRight">
    <w:name w:val="Header Sensitivity Right"/>
    <w:basedOn w:val="Normal"/>
    <w:link w:val="HeaderSensitivityRightChar"/>
    <w:rsid w:val="00337252"/>
    <w:pPr>
      <w:spacing w:after="120"/>
      <w:jc w:val="right"/>
    </w:pPr>
    <w:rPr>
      <w:sz w:val="28"/>
    </w:rPr>
  </w:style>
  <w:style w:type="character" w:customStyle="1" w:styleId="HeaderSensitivityRightChar">
    <w:name w:val="Header Sensitivity Right Char"/>
    <w:basedOn w:val="PagedecouvertureChar"/>
    <w:link w:val="HeaderSensitivityRight"/>
    <w:rsid w:val="00337252"/>
    <w:rPr>
      <w:rFonts w:eastAsiaTheme="minorHAnsi"/>
      <w:sz w:val="28"/>
      <w:szCs w:val="22"/>
      <w:lang w:eastAsia="en-US"/>
    </w:rPr>
  </w:style>
  <w:style w:type="paragraph" w:customStyle="1" w:styleId="Body">
    <w:name w:val="Body"/>
    <w:rsid w:val="0075030C"/>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eastAsia="de-DE"/>
      <w14:textOutline w14:w="0" w14:cap="flat" w14:cmpd="sng" w14:algn="ctr">
        <w14:noFill/>
        <w14:prstDash w14:val="solid"/>
        <w14:bevel/>
      </w14:textOutline>
    </w:rPr>
  </w:style>
  <w:style w:type="character" w:customStyle="1" w:styleId="FooterChar">
    <w:name w:val="Footer Char"/>
    <w:basedOn w:val="DefaultParagraphFont"/>
    <w:link w:val="Footer"/>
    <w:uiPriority w:val="99"/>
    <w:rsid w:val="002611E5"/>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9056">
      <w:bodyDiv w:val="1"/>
      <w:marLeft w:val="0"/>
      <w:marRight w:val="0"/>
      <w:marTop w:val="0"/>
      <w:marBottom w:val="0"/>
      <w:divBdr>
        <w:top w:val="none" w:sz="0" w:space="0" w:color="auto"/>
        <w:left w:val="none" w:sz="0" w:space="0" w:color="auto"/>
        <w:bottom w:val="none" w:sz="0" w:space="0" w:color="auto"/>
        <w:right w:val="none" w:sz="0" w:space="0" w:color="auto"/>
      </w:divBdr>
    </w:div>
    <w:div w:id="7173893">
      <w:bodyDiv w:val="1"/>
      <w:marLeft w:val="0"/>
      <w:marRight w:val="0"/>
      <w:marTop w:val="0"/>
      <w:marBottom w:val="0"/>
      <w:divBdr>
        <w:top w:val="none" w:sz="0" w:space="0" w:color="auto"/>
        <w:left w:val="none" w:sz="0" w:space="0" w:color="auto"/>
        <w:bottom w:val="none" w:sz="0" w:space="0" w:color="auto"/>
        <w:right w:val="none" w:sz="0" w:space="0" w:color="auto"/>
      </w:divBdr>
    </w:div>
    <w:div w:id="16783274">
      <w:bodyDiv w:val="1"/>
      <w:marLeft w:val="0"/>
      <w:marRight w:val="0"/>
      <w:marTop w:val="0"/>
      <w:marBottom w:val="0"/>
      <w:divBdr>
        <w:top w:val="none" w:sz="0" w:space="0" w:color="auto"/>
        <w:left w:val="none" w:sz="0" w:space="0" w:color="auto"/>
        <w:bottom w:val="none" w:sz="0" w:space="0" w:color="auto"/>
        <w:right w:val="none" w:sz="0" w:space="0" w:color="auto"/>
      </w:divBdr>
      <w:divsChild>
        <w:div w:id="11455138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90584">
      <w:bodyDiv w:val="1"/>
      <w:marLeft w:val="0"/>
      <w:marRight w:val="0"/>
      <w:marTop w:val="0"/>
      <w:marBottom w:val="0"/>
      <w:divBdr>
        <w:top w:val="none" w:sz="0" w:space="0" w:color="auto"/>
        <w:left w:val="none" w:sz="0" w:space="0" w:color="auto"/>
        <w:bottom w:val="none" w:sz="0" w:space="0" w:color="auto"/>
        <w:right w:val="none" w:sz="0" w:space="0" w:color="auto"/>
      </w:divBdr>
    </w:div>
    <w:div w:id="21247937">
      <w:bodyDiv w:val="1"/>
      <w:marLeft w:val="0"/>
      <w:marRight w:val="0"/>
      <w:marTop w:val="0"/>
      <w:marBottom w:val="0"/>
      <w:divBdr>
        <w:top w:val="none" w:sz="0" w:space="0" w:color="auto"/>
        <w:left w:val="none" w:sz="0" w:space="0" w:color="auto"/>
        <w:bottom w:val="none" w:sz="0" w:space="0" w:color="auto"/>
        <w:right w:val="none" w:sz="0" w:space="0" w:color="auto"/>
      </w:divBdr>
    </w:div>
    <w:div w:id="31465520">
      <w:bodyDiv w:val="1"/>
      <w:marLeft w:val="0"/>
      <w:marRight w:val="0"/>
      <w:marTop w:val="0"/>
      <w:marBottom w:val="0"/>
      <w:divBdr>
        <w:top w:val="none" w:sz="0" w:space="0" w:color="auto"/>
        <w:left w:val="none" w:sz="0" w:space="0" w:color="auto"/>
        <w:bottom w:val="none" w:sz="0" w:space="0" w:color="auto"/>
        <w:right w:val="none" w:sz="0" w:space="0" w:color="auto"/>
      </w:divBdr>
    </w:div>
    <w:div w:id="36467206">
      <w:bodyDiv w:val="1"/>
      <w:marLeft w:val="0"/>
      <w:marRight w:val="0"/>
      <w:marTop w:val="0"/>
      <w:marBottom w:val="0"/>
      <w:divBdr>
        <w:top w:val="none" w:sz="0" w:space="0" w:color="auto"/>
        <w:left w:val="none" w:sz="0" w:space="0" w:color="auto"/>
        <w:bottom w:val="none" w:sz="0" w:space="0" w:color="auto"/>
        <w:right w:val="none" w:sz="0" w:space="0" w:color="auto"/>
      </w:divBdr>
      <w:divsChild>
        <w:div w:id="514030087">
          <w:marLeft w:val="0"/>
          <w:marRight w:val="0"/>
          <w:marTop w:val="225"/>
          <w:marBottom w:val="300"/>
          <w:divBdr>
            <w:top w:val="none" w:sz="0" w:space="0" w:color="auto"/>
            <w:left w:val="none" w:sz="0" w:space="0" w:color="auto"/>
            <w:bottom w:val="none" w:sz="0" w:space="0" w:color="auto"/>
            <w:right w:val="none" w:sz="0" w:space="0" w:color="auto"/>
          </w:divBdr>
          <w:divsChild>
            <w:div w:id="7088455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0034249">
      <w:bodyDiv w:val="1"/>
      <w:marLeft w:val="0"/>
      <w:marRight w:val="0"/>
      <w:marTop w:val="0"/>
      <w:marBottom w:val="0"/>
      <w:divBdr>
        <w:top w:val="none" w:sz="0" w:space="0" w:color="auto"/>
        <w:left w:val="none" w:sz="0" w:space="0" w:color="auto"/>
        <w:bottom w:val="none" w:sz="0" w:space="0" w:color="auto"/>
        <w:right w:val="none" w:sz="0" w:space="0" w:color="auto"/>
      </w:divBdr>
    </w:div>
    <w:div w:id="58217139">
      <w:bodyDiv w:val="1"/>
      <w:marLeft w:val="0"/>
      <w:marRight w:val="0"/>
      <w:marTop w:val="0"/>
      <w:marBottom w:val="0"/>
      <w:divBdr>
        <w:top w:val="none" w:sz="0" w:space="0" w:color="auto"/>
        <w:left w:val="none" w:sz="0" w:space="0" w:color="auto"/>
        <w:bottom w:val="none" w:sz="0" w:space="0" w:color="auto"/>
        <w:right w:val="none" w:sz="0" w:space="0" w:color="auto"/>
      </w:divBdr>
    </w:div>
    <w:div w:id="58988768">
      <w:bodyDiv w:val="1"/>
      <w:marLeft w:val="0"/>
      <w:marRight w:val="0"/>
      <w:marTop w:val="0"/>
      <w:marBottom w:val="0"/>
      <w:divBdr>
        <w:top w:val="none" w:sz="0" w:space="0" w:color="auto"/>
        <w:left w:val="none" w:sz="0" w:space="0" w:color="auto"/>
        <w:bottom w:val="none" w:sz="0" w:space="0" w:color="auto"/>
        <w:right w:val="none" w:sz="0" w:space="0" w:color="auto"/>
      </w:divBdr>
    </w:div>
    <w:div w:id="101385372">
      <w:bodyDiv w:val="1"/>
      <w:marLeft w:val="0"/>
      <w:marRight w:val="0"/>
      <w:marTop w:val="0"/>
      <w:marBottom w:val="0"/>
      <w:divBdr>
        <w:top w:val="none" w:sz="0" w:space="0" w:color="auto"/>
        <w:left w:val="none" w:sz="0" w:space="0" w:color="auto"/>
        <w:bottom w:val="none" w:sz="0" w:space="0" w:color="auto"/>
        <w:right w:val="none" w:sz="0" w:space="0" w:color="auto"/>
      </w:divBdr>
      <w:divsChild>
        <w:div w:id="49889675">
          <w:marLeft w:val="0"/>
          <w:marRight w:val="0"/>
          <w:marTop w:val="0"/>
          <w:marBottom w:val="0"/>
          <w:divBdr>
            <w:top w:val="none" w:sz="0" w:space="0" w:color="auto"/>
            <w:left w:val="none" w:sz="0" w:space="0" w:color="auto"/>
            <w:bottom w:val="none" w:sz="0" w:space="0" w:color="auto"/>
            <w:right w:val="none" w:sz="0" w:space="0" w:color="auto"/>
          </w:divBdr>
          <w:divsChild>
            <w:div w:id="1739135738">
              <w:marLeft w:val="0"/>
              <w:marRight w:val="0"/>
              <w:marTop w:val="0"/>
              <w:marBottom w:val="0"/>
              <w:divBdr>
                <w:top w:val="none" w:sz="0" w:space="0" w:color="auto"/>
                <w:left w:val="none" w:sz="0" w:space="0" w:color="auto"/>
                <w:bottom w:val="none" w:sz="0" w:space="0" w:color="auto"/>
                <w:right w:val="none" w:sz="0" w:space="0" w:color="auto"/>
              </w:divBdr>
              <w:divsChild>
                <w:div w:id="264849549">
                  <w:marLeft w:val="0"/>
                  <w:marRight w:val="0"/>
                  <w:marTop w:val="0"/>
                  <w:marBottom w:val="0"/>
                  <w:divBdr>
                    <w:top w:val="none" w:sz="0" w:space="0" w:color="auto"/>
                    <w:left w:val="none" w:sz="0" w:space="0" w:color="auto"/>
                    <w:bottom w:val="none" w:sz="0" w:space="0" w:color="auto"/>
                    <w:right w:val="none" w:sz="0" w:space="0" w:color="auto"/>
                  </w:divBdr>
                  <w:divsChild>
                    <w:div w:id="1807115735">
                      <w:marLeft w:val="0"/>
                      <w:marRight w:val="0"/>
                      <w:marTop w:val="0"/>
                      <w:marBottom w:val="0"/>
                      <w:divBdr>
                        <w:top w:val="none" w:sz="0" w:space="0" w:color="auto"/>
                        <w:left w:val="none" w:sz="0" w:space="0" w:color="auto"/>
                        <w:bottom w:val="none" w:sz="0" w:space="0" w:color="auto"/>
                        <w:right w:val="none" w:sz="0" w:space="0" w:color="auto"/>
                      </w:divBdr>
                      <w:divsChild>
                        <w:div w:id="1335955967">
                          <w:marLeft w:val="0"/>
                          <w:marRight w:val="0"/>
                          <w:marTop w:val="0"/>
                          <w:marBottom w:val="0"/>
                          <w:divBdr>
                            <w:top w:val="none" w:sz="0" w:space="0" w:color="auto"/>
                            <w:left w:val="none" w:sz="0" w:space="0" w:color="auto"/>
                            <w:bottom w:val="none" w:sz="0" w:space="0" w:color="auto"/>
                            <w:right w:val="none" w:sz="0" w:space="0" w:color="auto"/>
                          </w:divBdr>
                          <w:divsChild>
                            <w:div w:id="534849998">
                              <w:marLeft w:val="0"/>
                              <w:marRight w:val="0"/>
                              <w:marTop w:val="0"/>
                              <w:marBottom w:val="0"/>
                              <w:divBdr>
                                <w:top w:val="none" w:sz="0" w:space="0" w:color="auto"/>
                                <w:left w:val="none" w:sz="0" w:space="0" w:color="auto"/>
                                <w:bottom w:val="none" w:sz="0" w:space="0" w:color="auto"/>
                                <w:right w:val="none" w:sz="0" w:space="0" w:color="auto"/>
                              </w:divBdr>
                              <w:divsChild>
                                <w:div w:id="1406296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17627">
      <w:bodyDiv w:val="1"/>
      <w:marLeft w:val="0"/>
      <w:marRight w:val="0"/>
      <w:marTop w:val="0"/>
      <w:marBottom w:val="0"/>
      <w:divBdr>
        <w:top w:val="none" w:sz="0" w:space="0" w:color="auto"/>
        <w:left w:val="none" w:sz="0" w:space="0" w:color="auto"/>
        <w:bottom w:val="none" w:sz="0" w:space="0" w:color="auto"/>
        <w:right w:val="none" w:sz="0" w:space="0" w:color="auto"/>
      </w:divBdr>
    </w:div>
    <w:div w:id="103693816">
      <w:bodyDiv w:val="1"/>
      <w:marLeft w:val="0"/>
      <w:marRight w:val="0"/>
      <w:marTop w:val="0"/>
      <w:marBottom w:val="0"/>
      <w:divBdr>
        <w:top w:val="none" w:sz="0" w:space="0" w:color="auto"/>
        <w:left w:val="none" w:sz="0" w:space="0" w:color="auto"/>
        <w:bottom w:val="none" w:sz="0" w:space="0" w:color="auto"/>
        <w:right w:val="none" w:sz="0" w:space="0" w:color="auto"/>
      </w:divBdr>
      <w:divsChild>
        <w:div w:id="244412527">
          <w:marLeft w:val="0"/>
          <w:marRight w:val="0"/>
          <w:marTop w:val="0"/>
          <w:marBottom w:val="0"/>
          <w:divBdr>
            <w:top w:val="none" w:sz="0" w:space="0" w:color="auto"/>
            <w:left w:val="none" w:sz="0" w:space="0" w:color="auto"/>
            <w:bottom w:val="none" w:sz="0" w:space="0" w:color="auto"/>
            <w:right w:val="none" w:sz="0" w:space="0" w:color="auto"/>
          </w:divBdr>
          <w:divsChild>
            <w:div w:id="1661546263">
              <w:marLeft w:val="0"/>
              <w:marRight w:val="0"/>
              <w:marTop w:val="0"/>
              <w:marBottom w:val="0"/>
              <w:divBdr>
                <w:top w:val="none" w:sz="0" w:space="0" w:color="auto"/>
                <w:left w:val="none" w:sz="0" w:space="0" w:color="auto"/>
                <w:bottom w:val="none" w:sz="0" w:space="0" w:color="auto"/>
                <w:right w:val="none" w:sz="0" w:space="0" w:color="auto"/>
              </w:divBdr>
              <w:divsChild>
                <w:div w:id="1246527469">
                  <w:marLeft w:val="0"/>
                  <w:marRight w:val="0"/>
                  <w:marTop w:val="0"/>
                  <w:marBottom w:val="0"/>
                  <w:divBdr>
                    <w:top w:val="none" w:sz="0" w:space="0" w:color="auto"/>
                    <w:left w:val="none" w:sz="0" w:space="0" w:color="auto"/>
                    <w:bottom w:val="none" w:sz="0" w:space="0" w:color="auto"/>
                    <w:right w:val="none" w:sz="0" w:space="0" w:color="auto"/>
                  </w:divBdr>
                  <w:divsChild>
                    <w:div w:id="1310747624">
                      <w:marLeft w:val="0"/>
                      <w:marRight w:val="0"/>
                      <w:marTop w:val="0"/>
                      <w:marBottom w:val="0"/>
                      <w:divBdr>
                        <w:top w:val="none" w:sz="0" w:space="0" w:color="auto"/>
                        <w:left w:val="none" w:sz="0" w:space="0" w:color="auto"/>
                        <w:bottom w:val="none" w:sz="0" w:space="0" w:color="auto"/>
                        <w:right w:val="none" w:sz="0" w:space="0" w:color="auto"/>
                      </w:divBdr>
                      <w:divsChild>
                        <w:div w:id="1228611301">
                          <w:marLeft w:val="0"/>
                          <w:marRight w:val="0"/>
                          <w:marTop w:val="0"/>
                          <w:marBottom w:val="0"/>
                          <w:divBdr>
                            <w:top w:val="none" w:sz="0" w:space="0" w:color="auto"/>
                            <w:left w:val="none" w:sz="0" w:space="0" w:color="auto"/>
                            <w:bottom w:val="none" w:sz="0" w:space="0" w:color="auto"/>
                            <w:right w:val="none" w:sz="0" w:space="0" w:color="auto"/>
                          </w:divBdr>
                          <w:divsChild>
                            <w:div w:id="830174008">
                              <w:marLeft w:val="0"/>
                              <w:marRight w:val="0"/>
                              <w:marTop w:val="0"/>
                              <w:marBottom w:val="0"/>
                              <w:divBdr>
                                <w:top w:val="none" w:sz="0" w:space="0" w:color="auto"/>
                                <w:left w:val="none" w:sz="0" w:space="0" w:color="auto"/>
                                <w:bottom w:val="none" w:sz="0" w:space="0" w:color="auto"/>
                                <w:right w:val="none" w:sz="0" w:space="0" w:color="auto"/>
                              </w:divBdr>
                              <w:divsChild>
                                <w:div w:id="20073981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566002">
      <w:bodyDiv w:val="1"/>
      <w:marLeft w:val="0"/>
      <w:marRight w:val="0"/>
      <w:marTop w:val="0"/>
      <w:marBottom w:val="0"/>
      <w:divBdr>
        <w:top w:val="none" w:sz="0" w:space="0" w:color="auto"/>
        <w:left w:val="none" w:sz="0" w:space="0" w:color="auto"/>
        <w:bottom w:val="none" w:sz="0" w:space="0" w:color="auto"/>
        <w:right w:val="none" w:sz="0" w:space="0" w:color="auto"/>
      </w:divBdr>
    </w:div>
    <w:div w:id="129057392">
      <w:bodyDiv w:val="1"/>
      <w:marLeft w:val="0"/>
      <w:marRight w:val="0"/>
      <w:marTop w:val="0"/>
      <w:marBottom w:val="0"/>
      <w:divBdr>
        <w:top w:val="none" w:sz="0" w:space="0" w:color="auto"/>
        <w:left w:val="none" w:sz="0" w:space="0" w:color="auto"/>
        <w:bottom w:val="none" w:sz="0" w:space="0" w:color="auto"/>
        <w:right w:val="none" w:sz="0" w:space="0" w:color="auto"/>
      </w:divBdr>
    </w:div>
    <w:div w:id="133497108">
      <w:bodyDiv w:val="1"/>
      <w:marLeft w:val="0"/>
      <w:marRight w:val="0"/>
      <w:marTop w:val="0"/>
      <w:marBottom w:val="0"/>
      <w:divBdr>
        <w:top w:val="none" w:sz="0" w:space="0" w:color="auto"/>
        <w:left w:val="none" w:sz="0" w:space="0" w:color="auto"/>
        <w:bottom w:val="none" w:sz="0" w:space="0" w:color="auto"/>
        <w:right w:val="none" w:sz="0" w:space="0" w:color="auto"/>
      </w:divBdr>
    </w:div>
    <w:div w:id="137187781">
      <w:bodyDiv w:val="1"/>
      <w:marLeft w:val="0"/>
      <w:marRight w:val="0"/>
      <w:marTop w:val="0"/>
      <w:marBottom w:val="0"/>
      <w:divBdr>
        <w:top w:val="none" w:sz="0" w:space="0" w:color="auto"/>
        <w:left w:val="none" w:sz="0" w:space="0" w:color="auto"/>
        <w:bottom w:val="none" w:sz="0" w:space="0" w:color="auto"/>
        <w:right w:val="none" w:sz="0" w:space="0" w:color="auto"/>
      </w:divBdr>
    </w:div>
    <w:div w:id="142164486">
      <w:bodyDiv w:val="1"/>
      <w:marLeft w:val="0"/>
      <w:marRight w:val="0"/>
      <w:marTop w:val="0"/>
      <w:marBottom w:val="0"/>
      <w:divBdr>
        <w:top w:val="none" w:sz="0" w:space="0" w:color="auto"/>
        <w:left w:val="none" w:sz="0" w:space="0" w:color="auto"/>
        <w:bottom w:val="none" w:sz="0" w:space="0" w:color="auto"/>
        <w:right w:val="none" w:sz="0" w:space="0" w:color="auto"/>
      </w:divBdr>
    </w:div>
    <w:div w:id="151994811">
      <w:bodyDiv w:val="1"/>
      <w:marLeft w:val="0"/>
      <w:marRight w:val="0"/>
      <w:marTop w:val="0"/>
      <w:marBottom w:val="0"/>
      <w:divBdr>
        <w:top w:val="none" w:sz="0" w:space="0" w:color="auto"/>
        <w:left w:val="none" w:sz="0" w:space="0" w:color="auto"/>
        <w:bottom w:val="none" w:sz="0" w:space="0" w:color="auto"/>
        <w:right w:val="none" w:sz="0" w:space="0" w:color="auto"/>
      </w:divBdr>
    </w:div>
    <w:div w:id="153112274">
      <w:bodyDiv w:val="1"/>
      <w:marLeft w:val="0"/>
      <w:marRight w:val="0"/>
      <w:marTop w:val="0"/>
      <w:marBottom w:val="0"/>
      <w:divBdr>
        <w:top w:val="none" w:sz="0" w:space="0" w:color="auto"/>
        <w:left w:val="none" w:sz="0" w:space="0" w:color="auto"/>
        <w:bottom w:val="none" w:sz="0" w:space="0" w:color="auto"/>
        <w:right w:val="none" w:sz="0" w:space="0" w:color="auto"/>
      </w:divBdr>
      <w:divsChild>
        <w:div w:id="1641307596">
          <w:marLeft w:val="0"/>
          <w:marRight w:val="0"/>
          <w:marTop w:val="0"/>
          <w:marBottom w:val="0"/>
          <w:divBdr>
            <w:top w:val="none" w:sz="0" w:space="0" w:color="auto"/>
            <w:left w:val="none" w:sz="0" w:space="0" w:color="auto"/>
            <w:bottom w:val="none" w:sz="0" w:space="0" w:color="auto"/>
            <w:right w:val="none" w:sz="0" w:space="0" w:color="auto"/>
          </w:divBdr>
          <w:divsChild>
            <w:div w:id="1060592045">
              <w:marLeft w:val="0"/>
              <w:marRight w:val="0"/>
              <w:marTop w:val="0"/>
              <w:marBottom w:val="0"/>
              <w:divBdr>
                <w:top w:val="none" w:sz="0" w:space="0" w:color="auto"/>
                <w:left w:val="none" w:sz="0" w:space="0" w:color="auto"/>
                <w:bottom w:val="none" w:sz="0" w:space="0" w:color="auto"/>
                <w:right w:val="none" w:sz="0" w:space="0" w:color="auto"/>
              </w:divBdr>
              <w:divsChild>
                <w:div w:id="202522220">
                  <w:marLeft w:val="0"/>
                  <w:marRight w:val="0"/>
                  <w:marTop w:val="0"/>
                  <w:marBottom w:val="0"/>
                  <w:divBdr>
                    <w:top w:val="none" w:sz="0" w:space="0" w:color="auto"/>
                    <w:left w:val="none" w:sz="0" w:space="0" w:color="auto"/>
                    <w:bottom w:val="none" w:sz="0" w:space="0" w:color="auto"/>
                    <w:right w:val="none" w:sz="0" w:space="0" w:color="auto"/>
                  </w:divBdr>
                  <w:divsChild>
                    <w:div w:id="2039887556">
                      <w:marLeft w:val="0"/>
                      <w:marRight w:val="0"/>
                      <w:marTop w:val="0"/>
                      <w:marBottom w:val="0"/>
                      <w:divBdr>
                        <w:top w:val="none" w:sz="0" w:space="0" w:color="auto"/>
                        <w:left w:val="none" w:sz="0" w:space="0" w:color="auto"/>
                        <w:bottom w:val="none" w:sz="0" w:space="0" w:color="auto"/>
                        <w:right w:val="none" w:sz="0" w:space="0" w:color="auto"/>
                      </w:divBdr>
                      <w:divsChild>
                        <w:div w:id="1895777678">
                          <w:marLeft w:val="0"/>
                          <w:marRight w:val="0"/>
                          <w:marTop w:val="0"/>
                          <w:marBottom w:val="0"/>
                          <w:divBdr>
                            <w:top w:val="none" w:sz="0" w:space="0" w:color="auto"/>
                            <w:left w:val="none" w:sz="0" w:space="0" w:color="auto"/>
                            <w:bottom w:val="none" w:sz="0" w:space="0" w:color="auto"/>
                            <w:right w:val="none" w:sz="0" w:space="0" w:color="auto"/>
                          </w:divBdr>
                          <w:divsChild>
                            <w:div w:id="20043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238577">
      <w:bodyDiv w:val="1"/>
      <w:marLeft w:val="0"/>
      <w:marRight w:val="0"/>
      <w:marTop w:val="0"/>
      <w:marBottom w:val="0"/>
      <w:divBdr>
        <w:top w:val="none" w:sz="0" w:space="0" w:color="auto"/>
        <w:left w:val="none" w:sz="0" w:space="0" w:color="auto"/>
        <w:bottom w:val="none" w:sz="0" w:space="0" w:color="auto"/>
        <w:right w:val="none" w:sz="0" w:space="0" w:color="auto"/>
      </w:divBdr>
    </w:div>
    <w:div w:id="157113154">
      <w:bodyDiv w:val="1"/>
      <w:marLeft w:val="0"/>
      <w:marRight w:val="0"/>
      <w:marTop w:val="0"/>
      <w:marBottom w:val="0"/>
      <w:divBdr>
        <w:top w:val="none" w:sz="0" w:space="0" w:color="auto"/>
        <w:left w:val="none" w:sz="0" w:space="0" w:color="auto"/>
        <w:bottom w:val="none" w:sz="0" w:space="0" w:color="auto"/>
        <w:right w:val="none" w:sz="0" w:space="0" w:color="auto"/>
      </w:divBdr>
    </w:div>
    <w:div w:id="168758807">
      <w:bodyDiv w:val="1"/>
      <w:marLeft w:val="0"/>
      <w:marRight w:val="0"/>
      <w:marTop w:val="0"/>
      <w:marBottom w:val="0"/>
      <w:divBdr>
        <w:top w:val="none" w:sz="0" w:space="0" w:color="auto"/>
        <w:left w:val="none" w:sz="0" w:space="0" w:color="auto"/>
        <w:bottom w:val="none" w:sz="0" w:space="0" w:color="auto"/>
        <w:right w:val="none" w:sz="0" w:space="0" w:color="auto"/>
      </w:divBdr>
    </w:div>
    <w:div w:id="169761405">
      <w:bodyDiv w:val="1"/>
      <w:marLeft w:val="0"/>
      <w:marRight w:val="0"/>
      <w:marTop w:val="0"/>
      <w:marBottom w:val="0"/>
      <w:divBdr>
        <w:top w:val="none" w:sz="0" w:space="0" w:color="auto"/>
        <w:left w:val="none" w:sz="0" w:space="0" w:color="auto"/>
        <w:bottom w:val="none" w:sz="0" w:space="0" w:color="auto"/>
        <w:right w:val="none" w:sz="0" w:space="0" w:color="auto"/>
      </w:divBdr>
    </w:div>
    <w:div w:id="171721592">
      <w:bodyDiv w:val="1"/>
      <w:marLeft w:val="0"/>
      <w:marRight w:val="0"/>
      <w:marTop w:val="0"/>
      <w:marBottom w:val="0"/>
      <w:divBdr>
        <w:top w:val="none" w:sz="0" w:space="0" w:color="auto"/>
        <w:left w:val="none" w:sz="0" w:space="0" w:color="auto"/>
        <w:bottom w:val="none" w:sz="0" w:space="0" w:color="auto"/>
        <w:right w:val="none" w:sz="0" w:space="0" w:color="auto"/>
      </w:divBdr>
    </w:div>
    <w:div w:id="172646250">
      <w:bodyDiv w:val="1"/>
      <w:marLeft w:val="0"/>
      <w:marRight w:val="0"/>
      <w:marTop w:val="0"/>
      <w:marBottom w:val="0"/>
      <w:divBdr>
        <w:top w:val="none" w:sz="0" w:space="0" w:color="auto"/>
        <w:left w:val="none" w:sz="0" w:space="0" w:color="auto"/>
        <w:bottom w:val="none" w:sz="0" w:space="0" w:color="auto"/>
        <w:right w:val="none" w:sz="0" w:space="0" w:color="auto"/>
      </w:divBdr>
    </w:div>
    <w:div w:id="173153937">
      <w:bodyDiv w:val="1"/>
      <w:marLeft w:val="0"/>
      <w:marRight w:val="0"/>
      <w:marTop w:val="0"/>
      <w:marBottom w:val="0"/>
      <w:divBdr>
        <w:top w:val="none" w:sz="0" w:space="0" w:color="auto"/>
        <w:left w:val="none" w:sz="0" w:space="0" w:color="auto"/>
        <w:bottom w:val="none" w:sz="0" w:space="0" w:color="auto"/>
        <w:right w:val="none" w:sz="0" w:space="0" w:color="auto"/>
      </w:divBdr>
    </w:div>
    <w:div w:id="198934288">
      <w:bodyDiv w:val="1"/>
      <w:marLeft w:val="0"/>
      <w:marRight w:val="0"/>
      <w:marTop w:val="0"/>
      <w:marBottom w:val="0"/>
      <w:divBdr>
        <w:top w:val="none" w:sz="0" w:space="0" w:color="auto"/>
        <w:left w:val="none" w:sz="0" w:space="0" w:color="auto"/>
        <w:bottom w:val="none" w:sz="0" w:space="0" w:color="auto"/>
        <w:right w:val="none" w:sz="0" w:space="0" w:color="auto"/>
      </w:divBdr>
    </w:div>
    <w:div w:id="214590537">
      <w:bodyDiv w:val="1"/>
      <w:marLeft w:val="0"/>
      <w:marRight w:val="0"/>
      <w:marTop w:val="0"/>
      <w:marBottom w:val="0"/>
      <w:divBdr>
        <w:top w:val="none" w:sz="0" w:space="0" w:color="auto"/>
        <w:left w:val="none" w:sz="0" w:space="0" w:color="auto"/>
        <w:bottom w:val="none" w:sz="0" w:space="0" w:color="auto"/>
        <w:right w:val="none" w:sz="0" w:space="0" w:color="auto"/>
      </w:divBdr>
    </w:div>
    <w:div w:id="216168081">
      <w:bodyDiv w:val="1"/>
      <w:marLeft w:val="0"/>
      <w:marRight w:val="0"/>
      <w:marTop w:val="0"/>
      <w:marBottom w:val="0"/>
      <w:divBdr>
        <w:top w:val="none" w:sz="0" w:space="0" w:color="auto"/>
        <w:left w:val="none" w:sz="0" w:space="0" w:color="auto"/>
        <w:bottom w:val="none" w:sz="0" w:space="0" w:color="auto"/>
        <w:right w:val="none" w:sz="0" w:space="0" w:color="auto"/>
      </w:divBdr>
    </w:div>
    <w:div w:id="233392955">
      <w:bodyDiv w:val="1"/>
      <w:marLeft w:val="0"/>
      <w:marRight w:val="0"/>
      <w:marTop w:val="0"/>
      <w:marBottom w:val="0"/>
      <w:divBdr>
        <w:top w:val="none" w:sz="0" w:space="0" w:color="auto"/>
        <w:left w:val="none" w:sz="0" w:space="0" w:color="auto"/>
        <w:bottom w:val="none" w:sz="0" w:space="0" w:color="auto"/>
        <w:right w:val="none" w:sz="0" w:space="0" w:color="auto"/>
      </w:divBdr>
    </w:div>
    <w:div w:id="235097762">
      <w:bodyDiv w:val="1"/>
      <w:marLeft w:val="0"/>
      <w:marRight w:val="0"/>
      <w:marTop w:val="0"/>
      <w:marBottom w:val="0"/>
      <w:divBdr>
        <w:top w:val="none" w:sz="0" w:space="0" w:color="auto"/>
        <w:left w:val="none" w:sz="0" w:space="0" w:color="auto"/>
        <w:bottom w:val="none" w:sz="0" w:space="0" w:color="auto"/>
        <w:right w:val="none" w:sz="0" w:space="0" w:color="auto"/>
      </w:divBdr>
    </w:div>
    <w:div w:id="242106986">
      <w:bodyDiv w:val="1"/>
      <w:marLeft w:val="0"/>
      <w:marRight w:val="0"/>
      <w:marTop w:val="0"/>
      <w:marBottom w:val="0"/>
      <w:divBdr>
        <w:top w:val="none" w:sz="0" w:space="0" w:color="auto"/>
        <w:left w:val="none" w:sz="0" w:space="0" w:color="auto"/>
        <w:bottom w:val="none" w:sz="0" w:space="0" w:color="auto"/>
        <w:right w:val="none" w:sz="0" w:space="0" w:color="auto"/>
      </w:divBdr>
    </w:div>
    <w:div w:id="248662895">
      <w:bodyDiv w:val="1"/>
      <w:marLeft w:val="0"/>
      <w:marRight w:val="0"/>
      <w:marTop w:val="0"/>
      <w:marBottom w:val="0"/>
      <w:divBdr>
        <w:top w:val="none" w:sz="0" w:space="0" w:color="auto"/>
        <w:left w:val="none" w:sz="0" w:space="0" w:color="auto"/>
        <w:bottom w:val="none" w:sz="0" w:space="0" w:color="auto"/>
        <w:right w:val="none" w:sz="0" w:space="0" w:color="auto"/>
      </w:divBdr>
    </w:div>
    <w:div w:id="251282174">
      <w:bodyDiv w:val="1"/>
      <w:marLeft w:val="0"/>
      <w:marRight w:val="0"/>
      <w:marTop w:val="0"/>
      <w:marBottom w:val="0"/>
      <w:divBdr>
        <w:top w:val="none" w:sz="0" w:space="0" w:color="auto"/>
        <w:left w:val="none" w:sz="0" w:space="0" w:color="auto"/>
        <w:bottom w:val="none" w:sz="0" w:space="0" w:color="auto"/>
        <w:right w:val="none" w:sz="0" w:space="0" w:color="auto"/>
      </w:divBdr>
      <w:divsChild>
        <w:div w:id="19470769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0358405">
      <w:bodyDiv w:val="1"/>
      <w:marLeft w:val="0"/>
      <w:marRight w:val="0"/>
      <w:marTop w:val="0"/>
      <w:marBottom w:val="0"/>
      <w:divBdr>
        <w:top w:val="none" w:sz="0" w:space="0" w:color="auto"/>
        <w:left w:val="none" w:sz="0" w:space="0" w:color="auto"/>
        <w:bottom w:val="none" w:sz="0" w:space="0" w:color="auto"/>
        <w:right w:val="none" w:sz="0" w:space="0" w:color="auto"/>
      </w:divBdr>
    </w:div>
    <w:div w:id="273679864">
      <w:bodyDiv w:val="1"/>
      <w:marLeft w:val="0"/>
      <w:marRight w:val="0"/>
      <w:marTop w:val="0"/>
      <w:marBottom w:val="0"/>
      <w:divBdr>
        <w:top w:val="none" w:sz="0" w:space="0" w:color="auto"/>
        <w:left w:val="none" w:sz="0" w:space="0" w:color="auto"/>
        <w:bottom w:val="none" w:sz="0" w:space="0" w:color="auto"/>
        <w:right w:val="none" w:sz="0" w:space="0" w:color="auto"/>
      </w:divBdr>
    </w:div>
    <w:div w:id="278994000">
      <w:bodyDiv w:val="1"/>
      <w:marLeft w:val="0"/>
      <w:marRight w:val="0"/>
      <w:marTop w:val="0"/>
      <w:marBottom w:val="0"/>
      <w:divBdr>
        <w:top w:val="none" w:sz="0" w:space="0" w:color="auto"/>
        <w:left w:val="none" w:sz="0" w:space="0" w:color="auto"/>
        <w:bottom w:val="none" w:sz="0" w:space="0" w:color="auto"/>
        <w:right w:val="none" w:sz="0" w:space="0" w:color="auto"/>
      </w:divBdr>
    </w:div>
    <w:div w:id="297031148">
      <w:bodyDiv w:val="1"/>
      <w:marLeft w:val="0"/>
      <w:marRight w:val="0"/>
      <w:marTop w:val="0"/>
      <w:marBottom w:val="0"/>
      <w:divBdr>
        <w:top w:val="none" w:sz="0" w:space="0" w:color="auto"/>
        <w:left w:val="none" w:sz="0" w:space="0" w:color="auto"/>
        <w:bottom w:val="none" w:sz="0" w:space="0" w:color="auto"/>
        <w:right w:val="none" w:sz="0" w:space="0" w:color="auto"/>
      </w:divBdr>
    </w:div>
    <w:div w:id="299653509">
      <w:bodyDiv w:val="1"/>
      <w:marLeft w:val="0"/>
      <w:marRight w:val="0"/>
      <w:marTop w:val="0"/>
      <w:marBottom w:val="0"/>
      <w:divBdr>
        <w:top w:val="none" w:sz="0" w:space="0" w:color="auto"/>
        <w:left w:val="none" w:sz="0" w:space="0" w:color="auto"/>
        <w:bottom w:val="none" w:sz="0" w:space="0" w:color="auto"/>
        <w:right w:val="none" w:sz="0" w:space="0" w:color="auto"/>
      </w:divBdr>
      <w:divsChild>
        <w:div w:id="1110322943">
          <w:marLeft w:val="0"/>
          <w:marRight w:val="0"/>
          <w:marTop w:val="0"/>
          <w:marBottom w:val="0"/>
          <w:divBdr>
            <w:top w:val="none" w:sz="0" w:space="0" w:color="auto"/>
            <w:left w:val="none" w:sz="0" w:space="0" w:color="auto"/>
            <w:bottom w:val="none" w:sz="0" w:space="0" w:color="auto"/>
            <w:right w:val="none" w:sz="0" w:space="0" w:color="auto"/>
          </w:divBdr>
          <w:divsChild>
            <w:div w:id="448935344">
              <w:marLeft w:val="0"/>
              <w:marRight w:val="0"/>
              <w:marTop w:val="0"/>
              <w:marBottom w:val="0"/>
              <w:divBdr>
                <w:top w:val="none" w:sz="0" w:space="0" w:color="auto"/>
                <w:left w:val="none" w:sz="0" w:space="0" w:color="auto"/>
                <w:bottom w:val="none" w:sz="0" w:space="0" w:color="auto"/>
                <w:right w:val="none" w:sz="0" w:space="0" w:color="auto"/>
              </w:divBdr>
              <w:divsChild>
                <w:div w:id="1233076179">
                  <w:marLeft w:val="0"/>
                  <w:marRight w:val="0"/>
                  <w:marTop w:val="0"/>
                  <w:marBottom w:val="0"/>
                  <w:divBdr>
                    <w:top w:val="none" w:sz="0" w:space="0" w:color="auto"/>
                    <w:left w:val="none" w:sz="0" w:space="0" w:color="auto"/>
                    <w:bottom w:val="none" w:sz="0" w:space="0" w:color="auto"/>
                    <w:right w:val="none" w:sz="0" w:space="0" w:color="auto"/>
                  </w:divBdr>
                  <w:divsChild>
                    <w:div w:id="607086755">
                      <w:marLeft w:val="0"/>
                      <w:marRight w:val="0"/>
                      <w:marTop w:val="0"/>
                      <w:marBottom w:val="0"/>
                      <w:divBdr>
                        <w:top w:val="none" w:sz="0" w:space="0" w:color="auto"/>
                        <w:left w:val="none" w:sz="0" w:space="0" w:color="auto"/>
                        <w:bottom w:val="none" w:sz="0" w:space="0" w:color="auto"/>
                        <w:right w:val="none" w:sz="0" w:space="0" w:color="auto"/>
                      </w:divBdr>
                      <w:divsChild>
                        <w:div w:id="67506635">
                          <w:marLeft w:val="0"/>
                          <w:marRight w:val="0"/>
                          <w:marTop w:val="0"/>
                          <w:marBottom w:val="0"/>
                          <w:divBdr>
                            <w:top w:val="none" w:sz="0" w:space="0" w:color="auto"/>
                            <w:left w:val="none" w:sz="0" w:space="0" w:color="auto"/>
                            <w:bottom w:val="none" w:sz="0" w:space="0" w:color="auto"/>
                            <w:right w:val="none" w:sz="0" w:space="0" w:color="auto"/>
                          </w:divBdr>
                          <w:divsChild>
                            <w:div w:id="496265437">
                              <w:marLeft w:val="0"/>
                              <w:marRight w:val="0"/>
                              <w:marTop w:val="0"/>
                              <w:marBottom w:val="0"/>
                              <w:divBdr>
                                <w:top w:val="none" w:sz="0" w:space="0" w:color="auto"/>
                                <w:left w:val="none" w:sz="0" w:space="0" w:color="auto"/>
                                <w:bottom w:val="none" w:sz="0" w:space="0" w:color="auto"/>
                                <w:right w:val="none" w:sz="0" w:space="0" w:color="auto"/>
                              </w:divBdr>
                              <w:divsChild>
                                <w:div w:id="5067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1720534">
      <w:bodyDiv w:val="1"/>
      <w:marLeft w:val="0"/>
      <w:marRight w:val="0"/>
      <w:marTop w:val="0"/>
      <w:marBottom w:val="0"/>
      <w:divBdr>
        <w:top w:val="none" w:sz="0" w:space="0" w:color="auto"/>
        <w:left w:val="none" w:sz="0" w:space="0" w:color="auto"/>
        <w:bottom w:val="none" w:sz="0" w:space="0" w:color="auto"/>
        <w:right w:val="none" w:sz="0" w:space="0" w:color="auto"/>
      </w:divBdr>
    </w:div>
    <w:div w:id="313874562">
      <w:bodyDiv w:val="1"/>
      <w:marLeft w:val="0"/>
      <w:marRight w:val="0"/>
      <w:marTop w:val="0"/>
      <w:marBottom w:val="0"/>
      <w:divBdr>
        <w:top w:val="none" w:sz="0" w:space="0" w:color="auto"/>
        <w:left w:val="none" w:sz="0" w:space="0" w:color="auto"/>
        <w:bottom w:val="none" w:sz="0" w:space="0" w:color="auto"/>
        <w:right w:val="none" w:sz="0" w:space="0" w:color="auto"/>
      </w:divBdr>
    </w:div>
    <w:div w:id="332298126">
      <w:bodyDiv w:val="1"/>
      <w:marLeft w:val="0"/>
      <w:marRight w:val="0"/>
      <w:marTop w:val="0"/>
      <w:marBottom w:val="0"/>
      <w:divBdr>
        <w:top w:val="none" w:sz="0" w:space="0" w:color="auto"/>
        <w:left w:val="none" w:sz="0" w:space="0" w:color="auto"/>
        <w:bottom w:val="none" w:sz="0" w:space="0" w:color="auto"/>
        <w:right w:val="none" w:sz="0" w:space="0" w:color="auto"/>
      </w:divBdr>
    </w:div>
    <w:div w:id="333261237">
      <w:bodyDiv w:val="1"/>
      <w:marLeft w:val="0"/>
      <w:marRight w:val="0"/>
      <w:marTop w:val="0"/>
      <w:marBottom w:val="0"/>
      <w:divBdr>
        <w:top w:val="none" w:sz="0" w:space="0" w:color="auto"/>
        <w:left w:val="none" w:sz="0" w:space="0" w:color="auto"/>
        <w:bottom w:val="none" w:sz="0" w:space="0" w:color="auto"/>
        <w:right w:val="none" w:sz="0" w:space="0" w:color="auto"/>
      </w:divBdr>
    </w:div>
    <w:div w:id="339433052">
      <w:bodyDiv w:val="1"/>
      <w:marLeft w:val="0"/>
      <w:marRight w:val="0"/>
      <w:marTop w:val="0"/>
      <w:marBottom w:val="0"/>
      <w:divBdr>
        <w:top w:val="none" w:sz="0" w:space="0" w:color="auto"/>
        <w:left w:val="none" w:sz="0" w:space="0" w:color="auto"/>
        <w:bottom w:val="none" w:sz="0" w:space="0" w:color="auto"/>
        <w:right w:val="none" w:sz="0" w:space="0" w:color="auto"/>
      </w:divBdr>
      <w:divsChild>
        <w:div w:id="5879252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9576437">
      <w:bodyDiv w:val="1"/>
      <w:marLeft w:val="0"/>
      <w:marRight w:val="0"/>
      <w:marTop w:val="0"/>
      <w:marBottom w:val="0"/>
      <w:divBdr>
        <w:top w:val="none" w:sz="0" w:space="0" w:color="auto"/>
        <w:left w:val="none" w:sz="0" w:space="0" w:color="auto"/>
        <w:bottom w:val="none" w:sz="0" w:space="0" w:color="auto"/>
        <w:right w:val="none" w:sz="0" w:space="0" w:color="auto"/>
      </w:divBdr>
      <w:divsChild>
        <w:div w:id="1476684708">
          <w:marLeft w:val="0"/>
          <w:marRight w:val="0"/>
          <w:marTop w:val="0"/>
          <w:marBottom w:val="0"/>
          <w:divBdr>
            <w:top w:val="none" w:sz="0" w:space="0" w:color="auto"/>
            <w:left w:val="none" w:sz="0" w:space="0" w:color="auto"/>
            <w:bottom w:val="none" w:sz="0" w:space="0" w:color="auto"/>
            <w:right w:val="none" w:sz="0" w:space="0" w:color="auto"/>
          </w:divBdr>
          <w:divsChild>
            <w:div w:id="2099592155">
              <w:marLeft w:val="0"/>
              <w:marRight w:val="0"/>
              <w:marTop w:val="0"/>
              <w:marBottom w:val="0"/>
              <w:divBdr>
                <w:top w:val="none" w:sz="0" w:space="0" w:color="auto"/>
                <w:left w:val="none" w:sz="0" w:space="0" w:color="auto"/>
                <w:bottom w:val="none" w:sz="0" w:space="0" w:color="auto"/>
                <w:right w:val="none" w:sz="0" w:space="0" w:color="auto"/>
              </w:divBdr>
              <w:divsChild>
                <w:div w:id="1600064980">
                  <w:marLeft w:val="0"/>
                  <w:marRight w:val="0"/>
                  <w:marTop w:val="0"/>
                  <w:marBottom w:val="0"/>
                  <w:divBdr>
                    <w:top w:val="none" w:sz="0" w:space="0" w:color="auto"/>
                    <w:left w:val="none" w:sz="0" w:space="0" w:color="auto"/>
                    <w:bottom w:val="none" w:sz="0" w:space="0" w:color="auto"/>
                    <w:right w:val="none" w:sz="0" w:space="0" w:color="auto"/>
                  </w:divBdr>
                  <w:divsChild>
                    <w:div w:id="43723835">
                      <w:marLeft w:val="0"/>
                      <w:marRight w:val="0"/>
                      <w:marTop w:val="0"/>
                      <w:marBottom w:val="0"/>
                      <w:divBdr>
                        <w:top w:val="none" w:sz="0" w:space="0" w:color="auto"/>
                        <w:left w:val="none" w:sz="0" w:space="0" w:color="auto"/>
                        <w:bottom w:val="none" w:sz="0" w:space="0" w:color="auto"/>
                        <w:right w:val="none" w:sz="0" w:space="0" w:color="auto"/>
                      </w:divBdr>
                      <w:divsChild>
                        <w:div w:id="39867074">
                          <w:marLeft w:val="0"/>
                          <w:marRight w:val="0"/>
                          <w:marTop w:val="0"/>
                          <w:marBottom w:val="0"/>
                          <w:divBdr>
                            <w:top w:val="none" w:sz="0" w:space="0" w:color="auto"/>
                            <w:left w:val="none" w:sz="0" w:space="0" w:color="auto"/>
                            <w:bottom w:val="none" w:sz="0" w:space="0" w:color="auto"/>
                            <w:right w:val="none" w:sz="0" w:space="0" w:color="auto"/>
                          </w:divBdr>
                          <w:divsChild>
                            <w:div w:id="1739861999">
                              <w:marLeft w:val="0"/>
                              <w:marRight w:val="0"/>
                              <w:marTop w:val="0"/>
                              <w:marBottom w:val="0"/>
                              <w:divBdr>
                                <w:top w:val="none" w:sz="0" w:space="0" w:color="auto"/>
                                <w:left w:val="none" w:sz="0" w:space="0" w:color="auto"/>
                                <w:bottom w:val="none" w:sz="0" w:space="0" w:color="auto"/>
                                <w:right w:val="none" w:sz="0" w:space="0" w:color="auto"/>
                              </w:divBdr>
                              <w:divsChild>
                                <w:div w:id="1227565425">
                                  <w:marLeft w:val="0"/>
                                  <w:marRight w:val="0"/>
                                  <w:marTop w:val="0"/>
                                  <w:marBottom w:val="0"/>
                                  <w:divBdr>
                                    <w:top w:val="none" w:sz="0" w:space="0" w:color="auto"/>
                                    <w:left w:val="none" w:sz="0" w:space="0" w:color="auto"/>
                                    <w:bottom w:val="none" w:sz="0" w:space="0" w:color="auto"/>
                                    <w:right w:val="none" w:sz="0" w:space="0" w:color="auto"/>
                                  </w:divBdr>
                                  <w:divsChild>
                                    <w:div w:id="19103390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1466539">
      <w:bodyDiv w:val="1"/>
      <w:marLeft w:val="0"/>
      <w:marRight w:val="0"/>
      <w:marTop w:val="0"/>
      <w:marBottom w:val="0"/>
      <w:divBdr>
        <w:top w:val="none" w:sz="0" w:space="0" w:color="auto"/>
        <w:left w:val="none" w:sz="0" w:space="0" w:color="auto"/>
        <w:bottom w:val="none" w:sz="0" w:space="0" w:color="auto"/>
        <w:right w:val="none" w:sz="0" w:space="0" w:color="auto"/>
      </w:divBdr>
    </w:div>
    <w:div w:id="375661291">
      <w:bodyDiv w:val="1"/>
      <w:marLeft w:val="0"/>
      <w:marRight w:val="0"/>
      <w:marTop w:val="0"/>
      <w:marBottom w:val="0"/>
      <w:divBdr>
        <w:top w:val="none" w:sz="0" w:space="0" w:color="auto"/>
        <w:left w:val="none" w:sz="0" w:space="0" w:color="auto"/>
        <w:bottom w:val="none" w:sz="0" w:space="0" w:color="auto"/>
        <w:right w:val="none" w:sz="0" w:space="0" w:color="auto"/>
      </w:divBdr>
    </w:div>
    <w:div w:id="379020264">
      <w:bodyDiv w:val="1"/>
      <w:marLeft w:val="0"/>
      <w:marRight w:val="0"/>
      <w:marTop w:val="0"/>
      <w:marBottom w:val="0"/>
      <w:divBdr>
        <w:top w:val="none" w:sz="0" w:space="0" w:color="auto"/>
        <w:left w:val="none" w:sz="0" w:space="0" w:color="auto"/>
        <w:bottom w:val="none" w:sz="0" w:space="0" w:color="auto"/>
        <w:right w:val="none" w:sz="0" w:space="0" w:color="auto"/>
      </w:divBdr>
    </w:div>
    <w:div w:id="389576496">
      <w:bodyDiv w:val="1"/>
      <w:marLeft w:val="0"/>
      <w:marRight w:val="0"/>
      <w:marTop w:val="0"/>
      <w:marBottom w:val="0"/>
      <w:divBdr>
        <w:top w:val="none" w:sz="0" w:space="0" w:color="auto"/>
        <w:left w:val="none" w:sz="0" w:space="0" w:color="auto"/>
        <w:bottom w:val="none" w:sz="0" w:space="0" w:color="auto"/>
        <w:right w:val="none" w:sz="0" w:space="0" w:color="auto"/>
      </w:divBdr>
    </w:div>
    <w:div w:id="391081129">
      <w:bodyDiv w:val="1"/>
      <w:marLeft w:val="0"/>
      <w:marRight w:val="0"/>
      <w:marTop w:val="0"/>
      <w:marBottom w:val="0"/>
      <w:divBdr>
        <w:top w:val="none" w:sz="0" w:space="0" w:color="auto"/>
        <w:left w:val="none" w:sz="0" w:space="0" w:color="auto"/>
        <w:bottom w:val="none" w:sz="0" w:space="0" w:color="auto"/>
        <w:right w:val="none" w:sz="0" w:space="0" w:color="auto"/>
      </w:divBdr>
    </w:div>
    <w:div w:id="398287159">
      <w:bodyDiv w:val="1"/>
      <w:marLeft w:val="0"/>
      <w:marRight w:val="0"/>
      <w:marTop w:val="0"/>
      <w:marBottom w:val="0"/>
      <w:divBdr>
        <w:top w:val="none" w:sz="0" w:space="0" w:color="auto"/>
        <w:left w:val="none" w:sz="0" w:space="0" w:color="auto"/>
        <w:bottom w:val="none" w:sz="0" w:space="0" w:color="auto"/>
        <w:right w:val="none" w:sz="0" w:space="0" w:color="auto"/>
      </w:divBdr>
    </w:div>
    <w:div w:id="400564621">
      <w:bodyDiv w:val="1"/>
      <w:marLeft w:val="0"/>
      <w:marRight w:val="0"/>
      <w:marTop w:val="0"/>
      <w:marBottom w:val="0"/>
      <w:divBdr>
        <w:top w:val="none" w:sz="0" w:space="0" w:color="auto"/>
        <w:left w:val="none" w:sz="0" w:space="0" w:color="auto"/>
        <w:bottom w:val="none" w:sz="0" w:space="0" w:color="auto"/>
        <w:right w:val="none" w:sz="0" w:space="0" w:color="auto"/>
      </w:divBdr>
      <w:divsChild>
        <w:div w:id="5444109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0615005">
      <w:bodyDiv w:val="1"/>
      <w:marLeft w:val="0"/>
      <w:marRight w:val="0"/>
      <w:marTop w:val="0"/>
      <w:marBottom w:val="0"/>
      <w:divBdr>
        <w:top w:val="none" w:sz="0" w:space="0" w:color="auto"/>
        <w:left w:val="none" w:sz="0" w:space="0" w:color="auto"/>
        <w:bottom w:val="none" w:sz="0" w:space="0" w:color="auto"/>
        <w:right w:val="none" w:sz="0" w:space="0" w:color="auto"/>
      </w:divBdr>
    </w:div>
    <w:div w:id="420564859">
      <w:bodyDiv w:val="1"/>
      <w:marLeft w:val="0"/>
      <w:marRight w:val="0"/>
      <w:marTop w:val="0"/>
      <w:marBottom w:val="0"/>
      <w:divBdr>
        <w:top w:val="none" w:sz="0" w:space="0" w:color="auto"/>
        <w:left w:val="none" w:sz="0" w:space="0" w:color="auto"/>
        <w:bottom w:val="none" w:sz="0" w:space="0" w:color="auto"/>
        <w:right w:val="none" w:sz="0" w:space="0" w:color="auto"/>
      </w:divBdr>
    </w:div>
    <w:div w:id="431098368">
      <w:bodyDiv w:val="1"/>
      <w:marLeft w:val="0"/>
      <w:marRight w:val="0"/>
      <w:marTop w:val="0"/>
      <w:marBottom w:val="0"/>
      <w:divBdr>
        <w:top w:val="none" w:sz="0" w:space="0" w:color="auto"/>
        <w:left w:val="none" w:sz="0" w:space="0" w:color="auto"/>
        <w:bottom w:val="none" w:sz="0" w:space="0" w:color="auto"/>
        <w:right w:val="none" w:sz="0" w:space="0" w:color="auto"/>
      </w:divBdr>
      <w:divsChild>
        <w:div w:id="2105110456">
          <w:marLeft w:val="0"/>
          <w:marRight w:val="0"/>
          <w:marTop w:val="0"/>
          <w:marBottom w:val="0"/>
          <w:divBdr>
            <w:top w:val="none" w:sz="0" w:space="0" w:color="auto"/>
            <w:left w:val="none" w:sz="0" w:space="0" w:color="auto"/>
            <w:bottom w:val="none" w:sz="0" w:space="0" w:color="auto"/>
            <w:right w:val="none" w:sz="0" w:space="0" w:color="auto"/>
          </w:divBdr>
          <w:divsChild>
            <w:div w:id="1639646008">
              <w:marLeft w:val="0"/>
              <w:marRight w:val="0"/>
              <w:marTop w:val="0"/>
              <w:marBottom w:val="0"/>
              <w:divBdr>
                <w:top w:val="none" w:sz="0" w:space="0" w:color="auto"/>
                <w:left w:val="none" w:sz="0" w:space="0" w:color="auto"/>
                <w:bottom w:val="none" w:sz="0" w:space="0" w:color="auto"/>
                <w:right w:val="none" w:sz="0" w:space="0" w:color="auto"/>
              </w:divBdr>
              <w:divsChild>
                <w:div w:id="181284476">
                  <w:marLeft w:val="0"/>
                  <w:marRight w:val="0"/>
                  <w:marTop w:val="0"/>
                  <w:marBottom w:val="0"/>
                  <w:divBdr>
                    <w:top w:val="none" w:sz="0" w:space="0" w:color="auto"/>
                    <w:left w:val="none" w:sz="0" w:space="0" w:color="auto"/>
                    <w:bottom w:val="none" w:sz="0" w:space="0" w:color="auto"/>
                    <w:right w:val="none" w:sz="0" w:space="0" w:color="auto"/>
                  </w:divBdr>
                  <w:divsChild>
                    <w:div w:id="2016030910">
                      <w:marLeft w:val="0"/>
                      <w:marRight w:val="0"/>
                      <w:marTop w:val="0"/>
                      <w:marBottom w:val="0"/>
                      <w:divBdr>
                        <w:top w:val="none" w:sz="0" w:space="0" w:color="auto"/>
                        <w:left w:val="none" w:sz="0" w:space="0" w:color="auto"/>
                        <w:bottom w:val="none" w:sz="0" w:space="0" w:color="auto"/>
                        <w:right w:val="none" w:sz="0" w:space="0" w:color="auto"/>
                      </w:divBdr>
                      <w:divsChild>
                        <w:div w:id="1711493506">
                          <w:marLeft w:val="0"/>
                          <w:marRight w:val="0"/>
                          <w:marTop w:val="0"/>
                          <w:marBottom w:val="0"/>
                          <w:divBdr>
                            <w:top w:val="none" w:sz="0" w:space="0" w:color="auto"/>
                            <w:left w:val="none" w:sz="0" w:space="0" w:color="auto"/>
                            <w:bottom w:val="none" w:sz="0" w:space="0" w:color="auto"/>
                            <w:right w:val="none" w:sz="0" w:space="0" w:color="auto"/>
                          </w:divBdr>
                          <w:divsChild>
                            <w:div w:id="856504710">
                              <w:marLeft w:val="0"/>
                              <w:marRight w:val="0"/>
                              <w:marTop w:val="0"/>
                              <w:marBottom w:val="0"/>
                              <w:divBdr>
                                <w:top w:val="none" w:sz="0" w:space="0" w:color="auto"/>
                                <w:left w:val="none" w:sz="0" w:space="0" w:color="auto"/>
                                <w:bottom w:val="none" w:sz="0" w:space="0" w:color="auto"/>
                                <w:right w:val="none" w:sz="0" w:space="0" w:color="auto"/>
                              </w:divBdr>
                              <w:divsChild>
                                <w:div w:id="104775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987188">
      <w:bodyDiv w:val="1"/>
      <w:marLeft w:val="0"/>
      <w:marRight w:val="0"/>
      <w:marTop w:val="0"/>
      <w:marBottom w:val="0"/>
      <w:divBdr>
        <w:top w:val="none" w:sz="0" w:space="0" w:color="auto"/>
        <w:left w:val="none" w:sz="0" w:space="0" w:color="auto"/>
        <w:bottom w:val="none" w:sz="0" w:space="0" w:color="auto"/>
        <w:right w:val="none" w:sz="0" w:space="0" w:color="auto"/>
      </w:divBdr>
    </w:div>
    <w:div w:id="438529885">
      <w:bodyDiv w:val="1"/>
      <w:marLeft w:val="0"/>
      <w:marRight w:val="0"/>
      <w:marTop w:val="0"/>
      <w:marBottom w:val="0"/>
      <w:divBdr>
        <w:top w:val="none" w:sz="0" w:space="0" w:color="auto"/>
        <w:left w:val="none" w:sz="0" w:space="0" w:color="auto"/>
        <w:bottom w:val="none" w:sz="0" w:space="0" w:color="auto"/>
        <w:right w:val="none" w:sz="0" w:space="0" w:color="auto"/>
      </w:divBdr>
    </w:div>
    <w:div w:id="443960596">
      <w:bodyDiv w:val="1"/>
      <w:marLeft w:val="0"/>
      <w:marRight w:val="0"/>
      <w:marTop w:val="0"/>
      <w:marBottom w:val="0"/>
      <w:divBdr>
        <w:top w:val="none" w:sz="0" w:space="0" w:color="auto"/>
        <w:left w:val="none" w:sz="0" w:space="0" w:color="auto"/>
        <w:bottom w:val="none" w:sz="0" w:space="0" w:color="auto"/>
        <w:right w:val="none" w:sz="0" w:space="0" w:color="auto"/>
      </w:divBdr>
    </w:div>
    <w:div w:id="447823878">
      <w:bodyDiv w:val="1"/>
      <w:marLeft w:val="0"/>
      <w:marRight w:val="0"/>
      <w:marTop w:val="0"/>
      <w:marBottom w:val="0"/>
      <w:divBdr>
        <w:top w:val="none" w:sz="0" w:space="0" w:color="auto"/>
        <w:left w:val="none" w:sz="0" w:space="0" w:color="auto"/>
        <w:bottom w:val="none" w:sz="0" w:space="0" w:color="auto"/>
        <w:right w:val="none" w:sz="0" w:space="0" w:color="auto"/>
      </w:divBdr>
    </w:div>
    <w:div w:id="452483894">
      <w:bodyDiv w:val="1"/>
      <w:marLeft w:val="0"/>
      <w:marRight w:val="0"/>
      <w:marTop w:val="0"/>
      <w:marBottom w:val="0"/>
      <w:divBdr>
        <w:top w:val="none" w:sz="0" w:space="0" w:color="auto"/>
        <w:left w:val="none" w:sz="0" w:space="0" w:color="auto"/>
        <w:bottom w:val="none" w:sz="0" w:space="0" w:color="auto"/>
        <w:right w:val="none" w:sz="0" w:space="0" w:color="auto"/>
      </w:divBdr>
    </w:div>
    <w:div w:id="469327973">
      <w:bodyDiv w:val="1"/>
      <w:marLeft w:val="0"/>
      <w:marRight w:val="0"/>
      <w:marTop w:val="0"/>
      <w:marBottom w:val="0"/>
      <w:divBdr>
        <w:top w:val="none" w:sz="0" w:space="0" w:color="auto"/>
        <w:left w:val="none" w:sz="0" w:space="0" w:color="auto"/>
        <w:bottom w:val="none" w:sz="0" w:space="0" w:color="auto"/>
        <w:right w:val="none" w:sz="0" w:space="0" w:color="auto"/>
      </w:divBdr>
      <w:divsChild>
        <w:div w:id="18893688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0639377">
      <w:bodyDiv w:val="1"/>
      <w:marLeft w:val="0"/>
      <w:marRight w:val="0"/>
      <w:marTop w:val="0"/>
      <w:marBottom w:val="0"/>
      <w:divBdr>
        <w:top w:val="none" w:sz="0" w:space="0" w:color="auto"/>
        <w:left w:val="none" w:sz="0" w:space="0" w:color="auto"/>
        <w:bottom w:val="none" w:sz="0" w:space="0" w:color="auto"/>
        <w:right w:val="none" w:sz="0" w:space="0" w:color="auto"/>
      </w:divBdr>
    </w:div>
    <w:div w:id="479345155">
      <w:bodyDiv w:val="1"/>
      <w:marLeft w:val="0"/>
      <w:marRight w:val="0"/>
      <w:marTop w:val="0"/>
      <w:marBottom w:val="0"/>
      <w:divBdr>
        <w:top w:val="none" w:sz="0" w:space="0" w:color="auto"/>
        <w:left w:val="none" w:sz="0" w:space="0" w:color="auto"/>
        <w:bottom w:val="none" w:sz="0" w:space="0" w:color="auto"/>
        <w:right w:val="none" w:sz="0" w:space="0" w:color="auto"/>
      </w:divBdr>
      <w:divsChild>
        <w:div w:id="1921713123">
          <w:marLeft w:val="0"/>
          <w:marRight w:val="0"/>
          <w:marTop w:val="0"/>
          <w:marBottom w:val="0"/>
          <w:divBdr>
            <w:top w:val="none" w:sz="0" w:space="0" w:color="auto"/>
            <w:left w:val="none" w:sz="0" w:space="0" w:color="auto"/>
            <w:bottom w:val="none" w:sz="0" w:space="0" w:color="auto"/>
            <w:right w:val="none" w:sz="0" w:space="0" w:color="auto"/>
          </w:divBdr>
          <w:divsChild>
            <w:div w:id="598878073">
              <w:marLeft w:val="0"/>
              <w:marRight w:val="0"/>
              <w:marTop w:val="0"/>
              <w:marBottom w:val="0"/>
              <w:divBdr>
                <w:top w:val="none" w:sz="0" w:space="0" w:color="auto"/>
                <w:left w:val="none" w:sz="0" w:space="0" w:color="auto"/>
                <w:bottom w:val="none" w:sz="0" w:space="0" w:color="auto"/>
                <w:right w:val="none" w:sz="0" w:space="0" w:color="auto"/>
              </w:divBdr>
              <w:divsChild>
                <w:div w:id="794718674">
                  <w:marLeft w:val="0"/>
                  <w:marRight w:val="0"/>
                  <w:marTop w:val="0"/>
                  <w:marBottom w:val="0"/>
                  <w:divBdr>
                    <w:top w:val="none" w:sz="0" w:space="0" w:color="auto"/>
                    <w:left w:val="none" w:sz="0" w:space="0" w:color="auto"/>
                    <w:bottom w:val="none" w:sz="0" w:space="0" w:color="auto"/>
                    <w:right w:val="none" w:sz="0" w:space="0" w:color="auto"/>
                  </w:divBdr>
                  <w:divsChild>
                    <w:div w:id="1718508648">
                      <w:marLeft w:val="0"/>
                      <w:marRight w:val="0"/>
                      <w:marTop w:val="0"/>
                      <w:marBottom w:val="0"/>
                      <w:divBdr>
                        <w:top w:val="none" w:sz="0" w:space="0" w:color="auto"/>
                        <w:left w:val="none" w:sz="0" w:space="0" w:color="auto"/>
                        <w:bottom w:val="none" w:sz="0" w:space="0" w:color="auto"/>
                        <w:right w:val="none" w:sz="0" w:space="0" w:color="auto"/>
                      </w:divBdr>
                      <w:divsChild>
                        <w:div w:id="665865738">
                          <w:marLeft w:val="0"/>
                          <w:marRight w:val="0"/>
                          <w:marTop w:val="0"/>
                          <w:marBottom w:val="0"/>
                          <w:divBdr>
                            <w:top w:val="none" w:sz="0" w:space="0" w:color="auto"/>
                            <w:left w:val="none" w:sz="0" w:space="0" w:color="auto"/>
                            <w:bottom w:val="none" w:sz="0" w:space="0" w:color="auto"/>
                            <w:right w:val="none" w:sz="0" w:space="0" w:color="auto"/>
                          </w:divBdr>
                          <w:divsChild>
                            <w:div w:id="116684736">
                              <w:marLeft w:val="0"/>
                              <w:marRight w:val="0"/>
                              <w:marTop w:val="0"/>
                              <w:marBottom w:val="0"/>
                              <w:divBdr>
                                <w:top w:val="none" w:sz="0" w:space="0" w:color="auto"/>
                                <w:left w:val="none" w:sz="0" w:space="0" w:color="auto"/>
                                <w:bottom w:val="none" w:sz="0" w:space="0" w:color="auto"/>
                                <w:right w:val="none" w:sz="0" w:space="0" w:color="auto"/>
                              </w:divBdr>
                              <w:divsChild>
                                <w:div w:id="129043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638">
      <w:bodyDiv w:val="1"/>
      <w:marLeft w:val="0"/>
      <w:marRight w:val="0"/>
      <w:marTop w:val="0"/>
      <w:marBottom w:val="0"/>
      <w:divBdr>
        <w:top w:val="none" w:sz="0" w:space="0" w:color="auto"/>
        <w:left w:val="none" w:sz="0" w:space="0" w:color="auto"/>
        <w:bottom w:val="none" w:sz="0" w:space="0" w:color="auto"/>
        <w:right w:val="none" w:sz="0" w:space="0" w:color="auto"/>
      </w:divBdr>
    </w:div>
    <w:div w:id="489758829">
      <w:bodyDiv w:val="1"/>
      <w:marLeft w:val="0"/>
      <w:marRight w:val="0"/>
      <w:marTop w:val="0"/>
      <w:marBottom w:val="0"/>
      <w:divBdr>
        <w:top w:val="none" w:sz="0" w:space="0" w:color="auto"/>
        <w:left w:val="none" w:sz="0" w:space="0" w:color="auto"/>
        <w:bottom w:val="none" w:sz="0" w:space="0" w:color="auto"/>
        <w:right w:val="none" w:sz="0" w:space="0" w:color="auto"/>
      </w:divBdr>
    </w:div>
    <w:div w:id="498237414">
      <w:bodyDiv w:val="1"/>
      <w:marLeft w:val="0"/>
      <w:marRight w:val="0"/>
      <w:marTop w:val="0"/>
      <w:marBottom w:val="0"/>
      <w:divBdr>
        <w:top w:val="none" w:sz="0" w:space="0" w:color="auto"/>
        <w:left w:val="none" w:sz="0" w:space="0" w:color="auto"/>
        <w:bottom w:val="none" w:sz="0" w:space="0" w:color="auto"/>
        <w:right w:val="none" w:sz="0" w:space="0" w:color="auto"/>
      </w:divBdr>
    </w:div>
    <w:div w:id="505096160">
      <w:bodyDiv w:val="1"/>
      <w:marLeft w:val="0"/>
      <w:marRight w:val="0"/>
      <w:marTop w:val="0"/>
      <w:marBottom w:val="0"/>
      <w:divBdr>
        <w:top w:val="none" w:sz="0" w:space="0" w:color="auto"/>
        <w:left w:val="none" w:sz="0" w:space="0" w:color="auto"/>
        <w:bottom w:val="none" w:sz="0" w:space="0" w:color="auto"/>
        <w:right w:val="none" w:sz="0" w:space="0" w:color="auto"/>
      </w:divBdr>
    </w:div>
    <w:div w:id="521824402">
      <w:bodyDiv w:val="1"/>
      <w:marLeft w:val="0"/>
      <w:marRight w:val="0"/>
      <w:marTop w:val="0"/>
      <w:marBottom w:val="0"/>
      <w:divBdr>
        <w:top w:val="none" w:sz="0" w:space="0" w:color="auto"/>
        <w:left w:val="none" w:sz="0" w:space="0" w:color="auto"/>
        <w:bottom w:val="none" w:sz="0" w:space="0" w:color="auto"/>
        <w:right w:val="none" w:sz="0" w:space="0" w:color="auto"/>
      </w:divBdr>
    </w:div>
    <w:div w:id="538320702">
      <w:bodyDiv w:val="1"/>
      <w:marLeft w:val="0"/>
      <w:marRight w:val="0"/>
      <w:marTop w:val="0"/>
      <w:marBottom w:val="0"/>
      <w:divBdr>
        <w:top w:val="none" w:sz="0" w:space="0" w:color="auto"/>
        <w:left w:val="none" w:sz="0" w:space="0" w:color="auto"/>
        <w:bottom w:val="none" w:sz="0" w:space="0" w:color="auto"/>
        <w:right w:val="none" w:sz="0" w:space="0" w:color="auto"/>
      </w:divBdr>
    </w:div>
    <w:div w:id="570966582">
      <w:bodyDiv w:val="1"/>
      <w:marLeft w:val="0"/>
      <w:marRight w:val="0"/>
      <w:marTop w:val="0"/>
      <w:marBottom w:val="0"/>
      <w:divBdr>
        <w:top w:val="none" w:sz="0" w:space="0" w:color="auto"/>
        <w:left w:val="none" w:sz="0" w:space="0" w:color="auto"/>
        <w:bottom w:val="none" w:sz="0" w:space="0" w:color="auto"/>
        <w:right w:val="none" w:sz="0" w:space="0" w:color="auto"/>
      </w:divBdr>
      <w:divsChild>
        <w:div w:id="44912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046663">
      <w:bodyDiv w:val="1"/>
      <w:marLeft w:val="0"/>
      <w:marRight w:val="0"/>
      <w:marTop w:val="0"/>
      <w:marBottom w:val="0"/>
      <w:divBdr>
        <w:top w:val="none" w:sz="0" w:space="0" w:color="auto"/>
        <w:left w:val="none" w:sz="0" w:space="0" w:color="auto"/>
        <w:bottom w:val="none" w:sz="0" w:space="0" w:color="auto"/>
        <w:right w:val="none" w:sz="0" w:space="0" w:color="auto"/>
      </w:divBdr>
    </w:div>
    <w:div w:id="595485663">
      <w:bodyDiv w:val="1"/>
      <w:marLeft w:val="0"/>
      <w:marRight w:val="0"/>
      <w:marTop w:val="0"/>
      <w:marBottom w:val="0"/>
      <w:divBdr>
        <w:top w:val="none" w:sz="0" w:space="0" w:color="auto"/>
        <w:left w:val="none" w:sz="0" w:space="0" w:color="auto"/>
        <w:bottom w:val="none" w:sz="0" w:space="0" w:color="auto"/>
        <w:right w:val="none" w:sz="0" w:space="0" w:color="auto"/>
      </w:divBdr>
    </w:div>
    <w:div w:id="603463557">
      <w:bodyDiv w:val="1"/>
      <w:marLeft w:val="0"/>
      <w:marRight w:val="0"/>
      <w:marTop w:val="0"/>
      <w:marBottom w:val="0"/>
      <w:divBdr>
        <w:top w:val="none" w:sz="0" w:space="0" w:color="auto"/>
        <w:left w:val="none" w:sz="0" w:space="0" w:color="auto"/>
        <w:bottom w:val="none" w:sz="0" w:space="0" w:color="auto"/>
        <w:right w:val="none" w:sz="0" w:space="0" w:color="auto"/>
      </w:divBdr>
    </w:div>
    <w:div w:id="618027382">
      <w:bodyDiv w:val="1"/>
      <w:marLeft w:val="0"/>
      <w:marRight w:val="0"/>
      <w:marTop w:val="0"/>
      <w:marBottom w:val="0"/>
      <w:divBdr>
        <w:top w:val="none" w:sz="0" w:space="0" w:color="auto"/>
        <w:left w:val="none" w:sz="0" w:space="0" w:color="auto"/>
        <w:bottom w:val="none" w:sz="0" w:space="0" w:color="auto"/>
        <w:right w:val="none" w:sz="0" w:space="0" w:color="auto"/>
      </w:divBdr>
    </w:div>
    <w:div w:id="633751969">
      <w:bodyDiv w:val="1"/>
      <w:marLeft w:val="0"/>
      <w:marRight w:val="0"/>
      <w:marTop w:val="0"/>
      <w:marBottom w:val="0"/>
      <w:divBdr>
        <w:top w:val="none" w:sz="0" w:space="0" w:color="auto"/>
        <w:left w:val="none" w:sz="0" w:space="0" w:color="auto"/>
        <w:bottom w:val="none" w:sz="0" w:space="0" w:color="auto"/>
        <w:right w:val="none" w:sz="0" w:space="0" w:color="auto"/>
      </w:divBdr>
    </w:div>
    <w:div w:id="641498957">
      <w:bodyDiv w:val="1"/>
      <w:marLeft w:val="0"/>
      <w:marRight w:val="0"/>
      <w:marTop w:val="0"/>
      <w:marBottom w:val="0"/>
      <w:divBdr>
        <w:top w:val="none" w:sz="0" w:space="0" w:color="auto"/>
        <w:left w:val="none" w:sz="0" w:space="0" w:color="auto"/>
        <w:bottom w:val="none" w:sz="0" w:space="0" w:color="auto"/>
        <w:right w:val="none" w:sz="0" w:space="0" w:color="auto"/>
      </w:divBdr>
    </w:div>
    <w:div w:id="647630844">
      <w:bodyDiv w:val="1"/>
      <w:marLeft w:val="0"/>
      <w:marRight w:val="0"/>
      <w:marTop w:val="0"/>
      <w:marBottom w:val="0"/>
      <w:divBdr>
        <w:top w:val="none" w:sz="0" w:space="0" w:color="auto"/>
        <w:left w:val="none" w:sz="0" w:space="0" w:color="auto"/>
        <w:bottom w:val="none" w:sz="0" w:space="0" w:color="auto"/>
        <w:right w:val="none" w:sz="0" w:space="0" w:color="auto"/>
      </w:divBdr>
    </w:div>
    <w:div w:id="671569380">
      <w:bodyDiv w:val="1"/>
      <w:marLeft w:val="0"/>
      <w:marRight w:val="0"/>
      <w:marTop w:val="0"/>
      <w:marBottom w:val="0"/>
      <w:divBdr>
        <w:top w:val="none" w:sz="0" w:space="0" w:color="auto"/>
        <w:left w:val="none" w:sz="0" w:space="0" w:color="auto"/>
        <w:bottom w:val="none" w:sz="0" w:space="0" w:color="auto"/>
        <w:right w:val="none" w:sz="0" w:space="0" w:color="auto"/>
      </w:divBdr>
    </w:div>
    <w:div w:id="677730546">
      <w:bodyDiv w:val="1"/>
      <w:marLeft w:val="0"/>
      <w:marRight w:val="0"/>
      <w:marTop w:val="0"/>
      <w:marBottom w:val="0"/>
      <w:divBdr>
        <w:top w:val="none" w:sz="0" w:space="0" w:color="auto"/>
        <w:left w:val="none" w:sz="0" w:space="0" w:color="auto"/>
        <w:bottom w:val="none" w:sz="0" w:space="0" w:color="auto"/>
        <w:right w:val="none" w:sz="0" w:space="0" w:color="auto"/>
      </w:divBdr>
    </w:div>
    <w:div w:id="685207230">
      <w:bodyDiv w:val="1"/>
      <w:marLeft w:val="0"/>
      <w:marRight w:val="0"/>
      <w:marTop w:val="0"/>
      <w:marBottom w:val="0"/>
      <w:divBdr>
        <w:top w:val="none" w:sz="0" w:space="0" w:color="auto"/>
        <w:left w:val="none" w:sz="0" w:space="0" w:color="auto"/>
        <w:bottom w:val="none" w:sz="0" w:space="0" w:color="auto"/>
        <w:right w:val="none" w:sz="0" w:space="0" w:color="auto"/>
      </w:divBdr>
    </w:div>
    <w:div w:id="686057310">
      <w:bodyDiv w:val="1"/>
      <w:marLeft w:val="0"/>
      <w:marRight w:val="0"/>
      <w:marTop w:val="0"/>
      <w:marBottom w:val="0"/>
      <w:divBdr>
        <w:top w:val="none" w:sz="0" w:space="0" w:color="auto"/>
        <w:left w:val="none" w:sz="0" w:space="0" w:color="auto"/>
        <w:bottom w:val="none" w:sz="0" w:space="0" w:color="auto"/>
        <w:right w:val="none" w:sz="0" w:space="0" w:color="auto"/>
      </w:divBdr>
    </w:div>
    <w:div w:id="686756333">
      <w:bodyDiv w:val="1"/>
      <w:marLeft w:val="0"/>
      <w:marRight w:val="0"/>
      <w:marTop w:val="0"/>
      <w:marBottom w:val="0"/>
      <w:divBdr>
        <w:top w:val="none" w:sz="0" w:space="0" w:color="auto"/>
        <w:left w:val="none" w:sz="0" w:space="0" w:color="auto"/>
        <w:bottom w:val="none" w:sz="0" w:space="0" w:color="auto"/>
        <w:right w:val="none" w:sz="0" w:space="0" w:color="auto"/>
      </w:divBdr>
    </w:div>
    <w:div w:id="697506545">
      <w:bodyDiv w:val="1"/>
      <w:marLeft w:val="0"/>
      <w:marRight w:val="0"/>
      <w:marTop w:val="0"/>
      <w:marBottom w:val="0"/>
      <w:divBdr>
        <w:top w:val="none" w:sz="0" w:space="0" w:color="auto"/>
        <w:left w:val="none" w:sz="0" w:space="0" w:color="auto"/>
        <w:bottom w:val="none" w:sz="0" w:space="0" w:color="auto"/>
        <w:right w:val="none" w:sz="0" w:space="0" w:color="auto"/>
      </w:divBdr>
    </w:div>
    <w:div w:id="706372288">
      <w:bodyDiv w:val="1"/>
      <w:marLeft w:val="0"/>
      <w:marRight w:val="0"/>
      <w:marTop w:val="0"/>
      <w:marBottom w:val="0"/>
      <w:divBdr>
        <w:top w:val="none" w:sz="0" w:space="0" w:color="auto"/>
        <w:left w:val="none" w:sz="0" w:space="0" w:color="auto"/>
        <w:bottom w:val="none" w:sz="0" w:space="0" w:color="auto"/>
        <w:right w:val="none" w:sz="0" w:space="0" w:color="auto"/>
      </w:divBdr>
      <w:divsChild>
        <w:div w:id="992611543">
          <w:marLeft w:val="0"/>
          <w:marRight w:val="0"/>
          <w:marTop w:val="0"/>
          <w:marBottom w:val="0"/>
          <w:divBdr>
            <w:top w:val="none" w:sz="0" w:space="0" w:color="auto"/>
            <w:left w:val="none" w:sz="0" w:space="0" w:color="auto"/>
            <w:bottom w:val="none" w:sz="0" w:space="0" w:color="auto"/>
            <w:right w:val="none" w:sz="0" w:space="0" w:color="auto"/>
          </w:divBdr>
          <w:divsChild>
            <w:div w:id="202982963">
              <w:marLeft w:val="0"/>
              <w:marRight w:val="0"/>
              <w:marTop w:val="0"/>
              <w:marBottom w:val="0"/>
              <w:divBdr>
                <w:top w:val="none" w:sz="0" w:space="0" w:color="auto"/>
                <w:left w:val="none" w:sz="0" w:space="0" w:color="auto"/>
                <w:bottom w:val="none" w:sz="0" w:space="0" w:color="auto"/>
                <w:right w:val="none" w:sz="0" w:space="0" w:color="auto"/>
              </w:divBdr>
              <w:divsChild>
                <w:div w:id="2027291175">
                  <w:marLeft w:val="0"/>
                  <w:marRight w:val="0"/>
                  <w:marTop w:val="0"/>
                  <w:marBottom w:val="0"/>
                  <w:divBdr>
                    <w:top w:val="none" w:sz="0" w:space="0" w:color="auto"/>
                    <w:left w:val="none" w:sz="0" w:space="0" w:color="auto"/>
                    <w:bottom w:val="none" w:sz="0" w:space="0" w:color="auto"/>
                    <w:right w:val="none" w:sz="0" w:space="0" w:color="auto"/>
                  </w:divBdr>
                  <w:divsChild>
                    <w:div w:id="1012801761">
                      <w:marLeft w:val="0"/>
                      <w:marRight w:val="0"/>
                      <w:marTop w:val="0"/>
                      <w:marBottom w:val="0"/>
                      <w:divBdr>
                        <w:top w:val="none" w:sz="0" w:space="0" w:color="auto"/>
                        <w:left w:val="none" w:sz="0" w:space="0" w:color="auto"/>
                        <w:bottom w:val="none" w:sz="0" w:space="0" w:color="auto"/>
                        <w:right w:val="none" w:sz="0" w:space="0" w:color="auto"/>
                      </w:divBdr>
                      <w:divsChild>
                        <w:div w:id="1615863708">
                          <w:marLeft w:val="0"/>
                          <w:marRight w:val="0"/>
                          <w:marTop w:val="0"/>
                          <w:marBottom w:val="0"/>
                          <w:divBdr>
                            <w:top w:val="none" w:sz="0" w:space="0" w:color="auto"/>
                            <w:left w:val="none" w:sz="0" w:space="0" w:color="auto"/>
                            <w:bottom w:val="none" w:sz="0" w:space="0" w:color="auto"/>
                            <w:right w:val="none" w:sz="0" w:space="0" w:color="auto"/>
                          </w:divBdr>
                          <w:divsChild>
                            <w:div w:id="1775202478">
                              <w:marLeft w:val="0"/>
                              <w:marRight w:val="0"/>
                              <w:marTop w:val="0"/>
                              <w:marBottom w:val="0"/>
                              <w:divBdr>
                                <w:top w:val="none" w:sz="0" w:space="0" w:color="auto"/>
                                <w:left w:val="none" w:sz="0" w:space="0" w:color="auto"/>
                                <w:bottom w:val="none" w:sz="0" w:space="0" w:color="auto"/>
                                <w:right w:val="none" w:sz="0" w:space="0" w:color="auto"/>
                              </w:divBdr>
                              <w:divsChild>
                                <w:div w:id="188325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1153682">
      <w:bodyDiv w:val="1"/>
      <w:marLeft w:val="0"/>
      <w:marRight w:val="0"/>
      <w:marTop w:val="0"/>
      <w:marBottom w:val="0"/>
      <w:divBdr>
        <w:top w:val="none" w:sz="0" w:space="0" w:color="auto"/>
        <w:left w:val="none" w:sz="0" w:space="0" w:color="auto"/>
        <w:bottom w:val="none" w:sz="0" w:space="0" w:color="auto"/>
        <w:right w:val="none" w:sz="0" w:space="0" w:color="auto"/>
      </w:divBdr>
    </w:div>
    <w:div w:id="713652847">
      <w:bodyDiv w:val="1"/>
      <w:marLeft w:val="0"/>
      <w:marRight w:val="0"/>
      <w:marTop w:val="0"/>
      <w:marBottom w:val="0"/>
      <w:divBdr>
        <w:top w:val="none" w:sz="0" w:space="0" w:color="auto"/>
        <w:left w:val="none" w:sz="0" w:space="0" w:color="auto"/>
        <w:bottom w:val="none" w:sz="0" w:space="0" w:color="auto"/>
        <w:right w:val="none" w:sz="0" w:space="0" w:color="auto"/>
      </w:divBdr>
    </w:div>
    <w:div w:id="721487190">
      <w:bodyDiv w:val="1"/>
      <w:marLeft w:val="0"/>
      <w:marRight w:val="0"/>
      <w:marTop w:val="0"/>
      <w:marBottom w:val="0"/>
      <w:divBdr>
        <w:top w:val="none" w:sz="0" w:space="0" w:color="auto"/>
        <w:left w:val="none" w:sz="0" w:space="0" w:color="auto"/>
        <w:bottom w:val="none" w:sz="0" w:space="0" w:color="auto"/>
        <w:right w:val="none" w:sz="0" w:space="0" w:color="auto"/>
      </w:divBdr>
    </w:div>
    <w:div w:id="724571493">
      <w:bodyDiv w:val="1"/>
      <w:marLeft w:val="0"/>
      <w:marRight w:val="0"/>
      <w:marTop w:val="0"/>
      <w:marBottom w:val="0"/>
      <w:divBdr>
        <w:top w:val="none" w:sz="0" w:space="0" w:color="auto"/>
        <w:left w:val="none" w:sz="0" w:space="0" w:color="auto"/>
        <w:bottom w:val="none" w:sz="0" w:space="0" w:color="auto"/>
        <w:right w:val="none" w:sz="0" w:space="0" w:color="auto"/>
      </w:divBdr>
    </w:div>
    <w:div w:id="724909285">
      <w:bodyDiv w:val="1"/>
      <w:marLeft w:val="0"/>
      <w:marRight w:val="0"/>
      <w:marTop w:val="0"/>
      <w:marBottom w:val="0"/>
      <w:divBdr>
        <w:top w:val="none" w:sz="0" w:space="0" w:color="auto"/>
        <w:left w:val="none" w:sz="0" w:space="0" w:color="auto"/>
        <w:bottom w:val="none" w:sz="0" w:space="0" w:color="auto"/>
        <w:right w:val="none" w:sz="0" w:space="0" w:color="auto"/>
      </w:divBdr>
      <w:divsChild>
        <w:div w:id="1706785475">
          <w:marLeft w:val="0"/>
          <w:marRight w:val="0"/>
          <w:marTop w:val="0"/>
          <w:marBottom w:val="0"/>
          <w:divBdr>
            <w:top w:val="none" w:sz="0" w:space="0" w:color="auto"/>
            <w:left w:val="none" w:sz="0" w:space="0" w:color="auto"/>
            <w:bottom w:val="none" w:sz="0" w:space="0" w:color="auto"/>
            <w:right w:val="none" w:sz="0" w:space="0" w:color="auto"/>
          </w:divBdr>
          <w:divsChild>
            <w:div w:id="281301077">
              <w:marLeft w:val="0"/>
              <w:marRight w:val="0"/>
              <w:marTop w:val="0"/>
              <w:marBottom w:val="0"/>
              <w:divBdr>
                <w:top w:val="none" w:sz="0" w:space="0" w:color="auto"/>
                <w:left w:val="none" w:sz="0" w:space="0" w:color="auto"/>
                <w:bottom w:val="none" w:sz="0" w:space="0" w:color="auto"/>
                <w:right w:val="none" w:sz="0" w:space="0" w:color="auto"/>
              </w:divBdr>
              <w:divsChild>
                <w:div w:id="168444252">
                  <w:marLeft w:val="0"/>
                  <w:marRight w:val="0"/>
                  <w:marTop w:val="0"/>
                  <w:marBottom w:val="0"/>
                  <w:divBdr>
                    <w:top w:val="none" w:sz="0" w:space="0" w:color="auto"/>
                    <w:left w:val="none" w:sz="0" w:space="0" w:color="auto"/>
                    <w:bottom w:val="none" w:sz="0" w:space="0" w:color="auto"/>
                    <w:right w:val="none" w:sz="0" w:space="0" w:color="auto"/>
                  </w:divBdr>
                  <w:divsChild>
                    <w:div w:id="480971286">
                      <w:marLeft w:val="0"/>
                      <w:marRight w:val="0"/>
                      <w:marTop w:val="0"/>
                      <w:marBottom w:val="0"/>
                      <w:divBdr>
                        <w:top w:val="none" w:sz="0" w:space="0" w:color="auto"/>
                        <w:left w:val="none" w:sz="0" w:space="0" w:color="auto"/>
                        <w:bottom w:val="none" w:sz="0" w:space="0" w:color="auto"/>
                        <w:right w:val="none" w:sz="0" w:space="0" w:color="auto"/>
                      </w:divBdr>
                      <w:divsChild>
                        <w:div w:id="2028830272">
                          <w:marLeft w:val="0"/>
                          <w:marRight w:val="0"/>
                          <w:marTop w:val="0"/>
                          <w:marBottom w:val="0"/>
                          <w:divBdr>
                            <w:top w:val="none" w:sz="0" w:space="0" w:color="auto"/>
                            <w:left w:val="none" w:sz="0" w:space="0" w:color="auto"/>
                            <w:bottom w:val="none" w:sz="0" w:space="0" w:color="auto"/>
                            <w:right w:val="none" w:sz="0" w:space="0" w:color="auto"/>
                          </w:divBdr>
                          <w:divsChild>
                            <w:div w:id="1237285793">
                              <w:marLeft w:val="0"/>
                              <w:marRight w:val="0"/>
                              <w:marTop w:val="0"/>
                              <w:marBottom w:val="0"/>
                              <w:divBdr>
                                <w:top w:val="none" w:sz="0" w:space="0" w:color="auto"/>
                                <w:left w:val="none" w:sz="0" w:space="0" w:color="auto"/>
                                <w:bottom w:val="none" w:sz="0" w:space="0" w:color="auto"/>
                                <w:right w:val="none" w:sz="0" w:space="0" w:color="auto"/>
                              </w:divBdr>
                              <w:divsChild>
                                <w:div w:id="8711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2004270">
      <w:bodyDiv w:val="1"/>
      <w:marLeft w:val="0"/>
      <w:marRight w:val="0"/>
      <w:marTop w:val="0"/>
      <w:marBottom w:val="0"/>
      <w:divBdr>
        <w:top w:val="none" w:sz="0" w:space="0" w:color="auto"/>
        <w:left w:val="none" w:sz="0" w:space="0" w:color="auto"/>
        <w:bottom w:val="none" w:sz="0" w:space="0" w:color="auto"/>
        <w:right w:val="none" w:sz="0" w:space="0" w:color="auto"/>
      </w:divBdr>
    </w:div>
    <w:div w:id="733284727">
      <w:bodyDiv w:val="1"/>
      <w:marLeft w:val="0"/>
      <w:marRight w:val="0"/>
      <w:marTop w:val="0"/>
      <w:marBottom w:val="0"/>
      <w:divBdr>
        <w:top w:val="none" w:sz="0" w:space="0" w:color="auto"/>
        <w:left w:val="none" w:sz="0" w:space="0" w:color="auto"/>
        <w:bottom w:val="none" w:sz="0" w:space="0" w:color="auto"/>
        <w:right w:val="none" w:sz="0" w:space="0" w:color="auto"/>
      </w:divBdr>
    </w:div>
    <w:div w:id="737049646">
      <w:bodyDiv w:val="1"/>
      <w:marLeft w:val="0"/>
      <w:marRight w:val="0"/>
      <w:marTop w:val="0"/>
      <w:marBottom w:val="0"/>
      <w:divBdr>
        <w:top w:val="none" w:sz="0" w:space="0" w:color="auto"/>
        <w:left w:val="none" w:sz="0" w:space="0" w:color="auto"/>
        <w:bottom w:val="none" w:sz="0" w:space="0" w:color="auto"/>
        <w:right w:val="none" w:sz="0" w:space="0" w:color="auto"/>
      </w:divBdr>
    </w:div>
    <w:div w:id="737367112">
      <w:bodyDiv w:val="1"/>
      <w:marLeft w:val="0"/>
      <w:marRight w:val="0"/>
      <w:marTop w:val="0"/>
      <w:marBottom w:val="0"/>
      <w:divBdr>
        <w:top w:val="none" w:sz="0" w:space="0" w:color="auto"/>
        <w:left w:val="none" w:sz="0" w:space="0" w:color="auto"/>
        <w:bottom w:val="none" w:sz="0" w:space="0" w:color="auto"/>
        <w:right w:val="none" w:sz="0" w:space="0" w:color="auto"/>
      </w:divBdr>
    </w:div>
    <w:div w:id="738984196">
      <w:bodyDiv w:val="1"/>
      <w:marLeft w:val="0"/>
      <w:marRight w:val="0"/>
      <w:marTop w:val="0"/>
      <w:marBottom w:val="0"/>
      <w:divBdr>
        <w:top w:val="none" w:sz="0" w:space="0" w:color="auto"/>
        <w:left w:val="none" w:sz="0" w:space="0" w:color="auto"/>
        <w:bottom w:val="none" w:sz="0" w:space="0" w:color="auto"/>
        <w:right w:val="none" w:sz="0" w:space="0" w:color="auto"/>
      </w:divBdr>
    </w:div>
    <w:div w:id="740952272">
      <w:bodyDiv w:val="1"/>
      <w:marLeft w:val="0"/>
      <w:marRight w:val="0"/>
      <w:marTop w:val="0"/>
      <w:marBottom w:val="0"/>
      <w:divBdr>
        <w:top w:val="none" w:sz="0" w:space="0" w:color="auto"/>
        <w:left w:val="none" w:sz="0" w:space="0" w:color="auto"/>
        <w:bottom w:val="none" w:sz="0" w:space="0" w:color="auto"/>
        <w:right w:val="none" w:sz="0" w:space="0" w:color="auto"/>
      </w:divBdr>
    </w:div>
    <w:div w:id="741680705">
      <w:bodyDiv w:val="1"/>
      <w:marLeft w:val="0"/>
      <w:marRight w:val="0"/>
      <w:marTop w:val="0"/>
      <w:marBottom w:val="0"/>
      <w:divBdr>
        <w:top w:val="none" w:sz="0" w:space="0" w:color="auto"/>
        <w:left w:val="none" w:sz="0" w:space="0" w:color="auto"/>
        <w:bottom w:val="none" w:sz="0" w:space="0" w:color="auto"/>
        <w:right w:val="none" w:sz="0" w:space="0" w:color="auto"/>
      </w:divBdr>
    </w:div>
    <w:div w:id="763301008">
      <w:bodyDiv w:val="1"/>
      <w:marLeft w:val="0"/>
      <w:marRight w:val="0"/>
      <w:marTop w:val="0"/>
      <w:marBottom w:val="0"/>
      <w:divBdr>
        <w:top w:val="none" w:sz="0" w:space="0" w:color="auto"/>
        <w:left w:val="none" w:sz="0" w:space="0" w:color="auto"/>
        <w:bottom w:val="none" w:sz="0" w:space="0" w:color="auto"/>
        <w:right w:val="none" w:sz="0" w:space="0" w:color="auto"/>
      </w:divBdr>
    </w:div>
    <w:div w:id="763575040">
      <w:bodyDiv w:val="1"/>
      <w:marLeft w:val="0"/>
      <w:marRight w:val="0"/>
      <w:marTop w:val="0"/>
      <w:marBottom w:val="0"/>
      <w:divBdr>
        <w:top w:val="none" w:sz="0" w:space="0" w:color="auto"/>
        <w:left w:val="none" w:sz="0" w:space="0" w:color="auto"/>
        <w:bottom w:val="none" w:sz="0" w:space="0" w:color="auto"/>
        <w:right w:val="none" w:sz="0" w:space="0" w:color="auto"/>
      </w:divBdr>
      <w:divsChild>
        <w:div w:id="474837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3722807">
      <w:bodyDiv w:val="1"/>
      <w:marLeft w:val="0"/>
      <w:marRight w:val="0"/>
      <w:marTop w:val="0"/>
      <w:marBottom w:val="0"/>
      <w:divBdr>
        <w:top w:val="none" w:sz="0" w:space="0" w:color="auto"/>
        <w:left w:val="none" w:sz="0" w:space="0" w:color="auto"/>
        <w:bottom w:val="none" w:sz="0" w:space="0" w:color="auto"/>
        <w:right w:val="none" w:sz="0" w:space="0" w:color="auto"/>
      </w:divBdr>
    </w:div>
    <w:div w:id="763765934">
      <w:bodyDiv w:val="1"/>
      <w:marLeft w:val="0"/>
      <w:marRight w:val="0"/>
      <w:marTop w:val="0"/>
      <w:marBottom w:val="0"/>
      <w:divBdr>
        <w:top w:val="none" w:sz="0" w:space="0" w:color="auto"/>
        <w:left w:val="none" w:sz="0" w:space="0" w:color="auto"/>
        <w:bottom w:val="none" w:sz="0" w:space="0" w:color="auto"/>
        <w:right w:val="none" w:sz="0" w:space="0" w:color="auto"/>
      </w:divBdr>
      <w:divsChild>
        <w:div w:id="1082488162">
          <w:marLeft w:val="0"/>
          <w:marRight w:val="0"/>
          <w:marTop w:val="600"/>
          <w:marBottom w:val="0"/>
          <w:divBdr>
            <w:top w:val="none" w:sz="0" w:space="0" w:color="auto"/>
            <w:left w:val="none" w:sz="0" w:space="0" w:color="auto"/>
            <w:bottom w:val="none" w:sz="0" w:space="0" w:color="auto"/>
            <w:right w:val="none" w:sz="0" w:space="0" w:color="auto"/>
          </w:divBdr>
          <w:divsChild>
            <w:div w:id="7517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885731">
      <w:bodyDiv w:val="1"/>
      <w:marLeft w:val="0"/>
      <w:marRight w:val="0"/>
      <w:marTop w:val="0"/>
      <w:marBottom w:val="0"/>
      <w:divBdr>
        <w:top w:val="none" w:sz="0" w:space="0" w:color="auto"/>
        <w:left w:val="none" w:sz="0" w:space="0" w:color="auto"/>
        <w:bottom w:val="none" w:sz="0" w:space="0" w:color="auto"/>
        <w:right w:val="none" w:sz="0" w:space="0" w:color="auto"/>
      </w:divBdr>
    </w:div>
    <w:div w:id="768237347">
      <w:bodyDiv w:val="1"/>
      <w:marLeft w:val="0"/>
      <w:marRight w:val="0"/>
      <w:marTop w:val="0"/>
      <w:marBottom w:val="0"/>
      <w:divBdr>
        <w:top w:val="none" w:sz="0" w:space="0" w:color="auto"/>
        <w:left w:val="none" w:sz="0" w:space="0" w:color="auto"/>
        <w:bottom w:val="none" w:sz="0" w:space="0" w:color="auto"/>
        <w:right w:val="none" w:sz="0" w:space="0" w:color="auto"/>
      </w:divBdr>
      <w:divsChild>
        <w:div w:id="829194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9351101">
      <w:bodyDiv w:val="1"/>
      <w:marLeft w:val="0"/>
      <w:marRight w:val="0"/>
      <w:marTop w:val="0"/>
      <w:marBottom w:val="0"/>
      <w:divBdr>
        <w:top w:val="none" w:sz="0" w:space="0" w:color="auto"/>
        <w:left w:val="none" w:sz="0" w:space="0" w:color="auto"/>
        <w:bottom w:val="none" w:sz="0" w:space="0" w:color="auto"/>
        <w:right w:val="none" w:sz="0" w:space="0" w:color="auto"/>
      </w:divBdr>
    </w:div>
    <w:div w:id="778910741">
      <w:bodyDiv w:val="1"/>
      <w:marLeft w:val="0"/>
      <w:marRight w:val="0"/>
      <w:marTop w:val="0"/>
      <w:marBottom w:val="0"/>
      <w:divBdr>
        <w:top w:val="none" w:sz="0" w:space="0" w:color="auto"/>
        <w:left w:val="none" w:sz="0" w:space="0" w:color="auto"/>
        <w:bottom w:val="none" w:sz="0" w:space="0" w:color="auto"/>
        <w:right w:val="none" w:sz="0" w:space="0" w:color="auto"/>
      </w:divBdr>
    </w:div>
    <w:div w:id="787360047">
      <w:bodyDiv w:val="1"/>
      <w:marLeft w:val="0"/>
      <w:marRight w:val="0"/>
      <w:marTop w:val="0"/>
      <w:marBottom w:val="0"/>
      <w:divBdr>
        <w:top w:val="none" w:sz="0" w:space="0" w:color="auto"/>
        <w:left w:val="none" w:sz="0" w:space="0" w:color="auto"/>
        <w:bottom w:val="none" w:sz="0" w:space="0" w:color="auto"/>
        <w:right w:val="none" w:sz="0" w:space="0" w:color="auto"/>
      </w:divBdr>
    </w:div>
    <w:div w:id="795804545">
      <w:bodyDiv w:val="1"/>
      <w:marLeft w:val="0"/>
      <w:marRight w:val="0"/>
      <w:marTop w:val="0"/>
      <w:marBottom w:val="0"/>
      <w:divBdr>
        <w:top w:val="none" w:sz="0" w:space="0" w:color="auto"/>
        <w:left w:val="none" w:sz="0" w:space="0" w:color="auto"/>
        <w:bottom w:val="none" w:sz="0" w:space="0" w:color="auto"/>
        <w:right w:val="none" w:sz="0" w:space="0" w:color="auto"/>
      </w:divBdr>
    </w:div>
    <w:div w:id="798106851">
      <w:bodyDiv w:val="1"/>
      <w:marLeft w:val="0"/>
      <w:marRight w:val="0"/>
      <w:marTop w:val="0"/>
      <w:marBottom w:val="0"/>
      <w:divBdr>
        <w:top w:val="none" w:sz="0" w:space="0" w:color="auto"/>
        <w:left w:val="none" w:sz="0" w:space="0" w:color="auto"/>
        <w:bottom w:val="none" w:sz="0" w:space="0" w:color="auto"/>
        <w:right w:val="none" w:sz="0" w:space="0" w:color="auto"/>
      </w:divBdr>
    </w:div>
    <w:div w:id="811287199">
      <w:bodyDiv w:val="1"/>
      <w:marLeft w:val="0"/>
      <w:marRight w:val="0"/>
      <w:marTop w:val="0"/>
      <w:marBottom w:val="0"/>
      <w:divBdr>
        <w:top w:val="none" w:sz="0" w:space="0" w:color="auto"/>
        <w:left w:val="none" w:sz="0" w:space="0" w:color="auto"/>
        <w:bottom w:val="none" w:sz="0" w:space="0" w:color="auto"/>
        <w:right w:val="none" w:sz="0" w:space="0" w:color="auto"/>
      </w:divBdr>
    </w:div>
    <w:div w:id="816610243">
      <w:bodyDiv w:val="1"/>
      <w:marLeft w:val="0"/>
      <w:marRight w:val="0"/>
      <w:marTop w:val="0"/>
      <w:marBottom w:val="0"/>
      <w:divBdr>
        <w:top w:val="none" w:sz="0" w:space="0" w:color="auto"/>
        <w:left w:val="none" w:sz="0" w:space="0" w:color="auto"/>
        <w:bottom w:val="none" w:sz="0" w:space="0" w:color="auto"/>
        <w:right w:val="none" w:sz="0" w:space="0" w:color="auto"/>
      </w:divBdr>
    </w:div>
    <w:div w:id="823201659">
      <w:bodyDiv w:val="1"/>
      <w:marLeft w:val="0"/>
      <w:marRight w:val="0"/>
      <w:marTop w:val="0"/>
      <w:marBottom w:val="0"/>
      <w:divBdr>
        <w:top w:val="none" w:sz="0" w:space="0" w:color="auto"/>
        <w:left w:val="none" w:sz="0" w:space="0" w:color="auto"/>
        <w:bottom w:val="none" w:sz="0" w:space="0" w:color="auto"/>
        <w:right w:val="none" w:sz="0" w:space="0" w:color="auto"/>
      </w:divBdr>
    </w:div>
    <w:div w:id="828638409">
      <w:bodyDiv w:val="1"/>
      <w:marLeft w:val="0"/>
      <w:marRight w:val="0"/>
      <w:marTop w:val="0"/>
      <w:marBottom w:val="0"/>
      <w:divBdr>
        <w:top w:val="none" w:sz="0" w:space="0" w:color="auto"/>
        <w:left w:val="none" w:sz="0" w:space="0" w:color="auto"/>
        <w:bottom w:val="none" w:sz="0" w:space="0" w:color="auto"/>
        <w:right w:val="none" w:sz="0" w:space="0" w:color="auto"/>
      </w:divBdr>
    </w:div>
    <w:div w:id="839006685">
      <w:bodyDiv w:val="1"/>
      <w:marLeft w:val="0"/>
      <w:marRight w:val="0"/>
      <w:marTop w:val="0"/>
      <w:marBottom w:val="0"/>
      <w:divBdr>
        <w:top w:val="none" w:sz="0" w:space="0" w:color="auto"/>
        <w:left w:val="none" w:sz="0" w:space="0" w:color="auto"/>
        <w:bottom w:val="none" w:sz="0" w:space="0" w:color="auto"/>
        <w:right w:val="none" w:sz="0" w:space="0" w:color="auto"/>
      </w:divBdr>
    </w:div>
    <w:div w:id="840704772">
      <w:bodyDiv w:val="1"/>
      <w:marLeft w:val="0"/>
      <w:marRight w:val="0"/>
      <w:marTop w:val="0"/>
      <w:marBottom w:val="0"/>
      <w:divBdr>
        <w:top w:val="none" w:sz="0" w:space="0" w:color="auto"/>
        <w:left w:val="none" w:sz="0" w:space="0" w:color="auto"/>
        <w:bottom w:val="none" w:sz="0" w:space="0" w:color="auto"/>
        <w:right w:val="none" w:sz="0" w:space="0" w:color="auto"/>
      </w:divBdr>
    </w:div>
    <w:div w:id="842091623">
      <w:bodyDiv w:val="1"/>
      <w:marLeft w:val="0"/>
      <w:marRight w:val="0"/>
      <w:marTop w:val="0"/>
      <w:marBottom w:val="0"/>
      <w:divBdr>
        <w:top w:val="none" w:sz="0" w:space="0" w:color="auto"/>
        <w:left w:val="none" w:sz="0" w:space="0" w:color="auto"/>
        <w:bottom w:val="none" w:sz="0" w:space="0" w:color="auto"/>
        <w:right w:val="none" w:sz="0" w:space="0" w:color="auto"/>
      </w:divBdr>
    </w:div>
    <w:div w:id="846016064">
      <w:bodyDiv w:val="1"/>
      <w:marLeft w:val="0"/>
      <w:marRight w:val="0"/>
      <w:marTop w:val="0"/>
      <w:marBottom w:val="0"/>
      <w:divBdr>
        <w:top w:val="none" w:sz="0" w:space="0" w:color="auto"/>
        <w:left w:val="none" w:sz="0" w:space="0" w:color="auto"/>
        <w:bottom w:val="none" w:sz="0" w:space="0" w:color="auto"/>
        <w:right w:val="none" w:sz="0" w:space="0" w:color="auto"/>
      </w:divBdr>
    </w:div>
    <w:div w:id="850602027">
      <w:bodyDiv w:val="1"/>
      <w:marLeft w:val="0"/>
      <w:marRight w:val="0"/>
      <w:marTop w:val="0"/>
      <w:marBottom w:val="0"/>
      <w:divBdr>
        <w:top w:val="none" w:sz="0" w:space="0" w:color="auto"/>
        <w:left w:val="none" w:sz="0" w:space="0" w:color="auto"/>
        <w:bottom w:val="none" w:sz="0" w:space="0" w:color="auto"/>
        <w:right w:val="none" w:sz="0" w:space="0" w:color="auto"/>
      </w:divBdr>
    </w:div>
    <w:div w:id="859054105">
      <w:bodyDiv w:val="1"/>
      <w:marLeft w:val="0"/>
      <w:marRight w:val="0"/>
      <w:marTop w:val="0"/>
      <w:marBottom w:val="0"/>
      <w:divBdr>
        <w:top w:val="none" w:sz="0" w:space="0" w:color="auto"/>
        <w:left w:val="none" w:sz="0" w:space="0" w:color="auto"/>
        <w:bottom w:val="none" w:sz="0" w:space="0" w:color="auto"/>
        <w:right w:val="none" w:sz="0" w:space="0" w:color="auto"/>
      </w:divBdr>
      <w:divsChild>
        <w:div w:id="1544175962">
          <w:marLeft w:val="0"/>
          <w:marRight w:val="0"/>
          <w:marTop w:val="0"/>
          <w:marBottom w:val="0"/>
          <w:divBdr>
            <w:top w:val="none" w:sz="0" w:space="0" w:color="auto"/>
            <w:left w:val="none" w:sz="0" w:space="0" w:color="auto"/>
            <w:bottom w:val="none" w:sz="0" w:space="0" w:color="auto"/>
            <w:right w:val="none" w:sz="0" w:space="0" w:color="auto"/>
          </w:divBdr>
          <w:divsChild>
            <w:div w:id="1925722965">
              <w:marLeft w:val="0"/>
              <w:marRight w:val="0"/>
              <w:marTop w:val="0"/>
              <w:marBottom w:val="0"/>
              <w:divBdr>
                <w:top w:val="none" w:sz="0" w:space="0" w:color="auto"/>
                <w:left w:val="none" w:sz="0" w:space="0" w:color="auto"/>
                <w:bottom w:val="none" w:sz="0" w:space="0" w:color="auto"/>
                <w:right w:val="none" w:sz="0" w:space="0" w:color="auto"/>
              </w:divBdr>
              <w:divsChild>
                <w:div w:id="1595434644">
                  <w:marLeft w:val="0"/>
                  <w:marRight w:val="0"/>
                  <w:marTop w:val="0"/>
                  <w:marBottom w:val="0"/>
                  <w:divBdr>
                    <w:top w:val="none" w:sz="0" w:space="0" w:color="auto"/>
                    <w:left w:val="none" w:sz="0" w:space="0" w:color="auto"/>
                    <w:bottom w:val="none" w:sz="0" w:space="0" w:color="auto"/>
                    <w:right w:val="none" w:sz="0" w:space="0" w:color="auto"/>
                  </w:divBdr>
                  <w:divsChild>
                    <w:div w:id="1804694435">
                      <w:marLeft w:val="0"/>
                      <w:marRight w:val="0"/>
                      <w:marTop w:val="0"/>
                      <w:marBottom w:val="0"/>
                      <w:divBdr>
                        <w:top w:val="none" w:sz="0" w:space="0" w:color="auto"/>
                        <w:left w:val="none" w:sz="0" w:space="0" w:color="auto"/>
                        <w:bottom w:val="none" w:sz="0" w:space="0" w:color="auto"/>
                        <w:right w:val="none" w:sz="0" w:space="0" w:color="auto"/>
                      </w:divBdr>
                      <w:divsChild>
                        <w:div w:id="113211323">
                          <w:marLeft w:val="0"/>
                          <w:marRight w:val="0"/>
                          <w:marTop w:val="0"/>
                          <w:marBottom w:val="0"/>
                          <w:divBdr>
                            <w:top w:val="none" w:sz="0" w:space="0" w:color="auto"/>
                            <w:left w:val="none" w:sz="0" w:space="0" w:color="auto"/>
                            <w:bottom w:val="none" w:sz="0" w:space="0" w:color="auto"/>
                            <w:right w:val="none" w:sz="0" w:space="0" w:color="auto"/>
                          </w:divBdr>
                          <w:divsChild>
                            <w:div w:id="444234297">
                              <w:marLeft w:val="0"/>
                              <w:marRight w:val="0"/>
                              <w:marTop w:val="0"/>
                              <w:marBottom w:val="0"/>
                              <w:divBdr>
                                <w:top w:val="none" w:sz="0" w:space="0" w:color="auto"/>
                                <w:left w:val="none" w:sz="0" w:space="0" w:color="auto"/>
                                <w:bottom w:val="none" w:sz="0" w:space="0" w:color="auto"/>
                                <w:right w:val="none" w:sz="0" w:space="0" w:color="auto"/>
                              </w:divBdr>
                              <w:divsChild>
                                <w:div w:id="161960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557449">
      <w:bodyDiv w:val="1"/>
      <w:marLeft w:val="0"/>
      <w:marRight w:val="0"/>
      <w:marTop w:val="0"/>
      <w:marBottom w:val="0"/>
      <w:divBdr>
        <w:top w:val="none" w:sz="0" w:space="0" w:color="auto"/>
        <w:left w:val="none" w:sz="0" w:space="0" w:color="auto"/>
        <w:bottom w:val="none" w:sz="0" w:space="0" w:color="auto"/>
        <w:right w:val="none" w:sz="0" w:space="0" w:color="auto"/>
      </w:divBdr>
    </w:div>
    <w:div w:id="871966335">
      <w:bodyDiv w:val="1"/>
      <w:marLeft w:val="0"/>
      <w:marRight w:val="0"/>
      <w:marTop w:val="0"/>
      <w:marBottom w:val="0"/>
      <w:divBdr>
        <w:top w:val="none" w:sz="0" w:space="0" w:color="auto"/>
        <w:left w:val="none" w:sz="0" w:space="0" w:color="auto"/>
        <w:bottom w:val="none" w:sz="0" w:space="0" w:color="auto"/>
        <w:right w:val="none" w:sz="0" w:space="0" w:color="auto"/>
      </w:divBdr>
    </w:div>
    <w:div w:id="876235764">
      <w:bodyDiv w:val="1"/>
      <w:marLeft w:val="0"/>
      <w:marRight w:val="0"/>
      <w:marTop w:val="0"/>
      <w:marBottom w:val="0"/>
      <w:divBdr>
        <w:top w:val="none" w:sz="0" w:space="0" w:color="auto"/>
        <w:left w:val="none" w:sz="0" w:space="0" w:color="auto"/>
        <w:bottom w:val="none" w:sz="0" w:space="0" w:color="auto"/>
        <w:right w:val="none" w:sz="0" w:space="0" w:color="auto"/>
      </w:divBdr>
    </w:div>
    <w:div w:id="876628121">
      <w:bodyDiv w:val="1"/>
      <w:marLeft w:val="0"/>
      <w:marRight w:val="0"/>
      <w:marTop w:val="0"/>
      <w:marBottom w:val="0"/>
      <w:divBdr>
        <w:top w:val="none" w:sz="0" w:space="0" w:color="auto"/>
        <w:left w:val="none" w:sz="0" w:space="0" w:color="auto"/>
        <w:bottom w:val="none" w:sz="0" w:space="0" w:color="auto"/>
        <w:right w:val="none" w:sz="0" w:space="0" w:color="auto"/>
      </w:divBdr>
    </w:div>
    <w:div w:id="896937244">
      <w:bodyDiv w:val="1"/>
      <w:marLeft w:val="0"/>
      <w:marRight w:val="0"/>
      <w:marTop w:val="0"/>
      <w:marBottom w:val="0"/>
      <w:divBdr>
        <w:top w:val="none" w:sz="0" w:space="0" w:color="auto"/>
        <w:left w:val="none" w:sz="0" w:space="0" w:color="auto"/>
        <w:bottom w:val="none" w:sz="0" w:space="0" w:color="auto"/>
        <w:right w:val="none" w:sz="0" w:space="0" w:color="auto"/>
      </w:divBdr>
    </w:div>
    <w:div w:id="900288890">
      <w:bodyDiv w:val="1"/>
      <w:marLeft w:val="0"/>
      <w:marRight w:val="0"/>
      <w:marTop w:val="0"/>
      <w:marBottom w:val="0"/>
      <w:divBdr>
        <w:top w:val="none" w:sz="0" w:space="0" w:color="auto"/>
        <w:left w:val="none" w:sz="0" w:space="0" w:color="auto"/>
        <w:bottom w:val="none" w:sz="0" w:space="0" w:color="auto"/>
        <w:right w:val="none" w:sz="0" w:space="0" w:color="auto"/>
      </w:divBdr>
    </w:div>
    <w:div w:id="906380015">
      <w:bodyDiv w:val="1"/>
      <w:marLeft w:val="0"/>
      <w:marRight w:val="0"/>
      <w:marTop w:val="0"/>
      <w:marBottom w:val="0"/>
      <w:divBdr>
        <w:top w:val="none" w:sz="0" w:space="0" w:color="auto"/>
        <w:left w:val="none" w:sz="0" w:space="0" w:color="auto"/>
        <w:bottom w:val="none" w:sz="0" w:space="0" w:color="auto"/>
        <w:right w:val="none" w:sz="0" w:space="0" w:color="auto"/>
      </w:divBdr>
    </w:div>
    <w:div w:id="908534676">
      <w:bodyDiv w:val="1"/>
      <w:marLeft w:val="0"/>
      <w:marRight w:val="0"/>
      <w:marTop w:val="0"/>
      <w:marBottom w:val="0"/>
      <w:divBdr>
        <w:top w:val="none" w:sz="0" w:space="0" w:color="auto"/>
        <w:left w:val="none" w:sz="0" w:space="0" w:color="auto"/>
        <w:bottom w:val="none" w:sz="0" w:space="0" w:color="auto"/>
        <w:right w:val="none" w:sz="0" w:space="0" w:color="auto"/>
      </w:divBdr>
    </w:div>
    <w:div w:id="934283120">
      <w:bodyDiv w:val="1"/>
      <w:marLeft w:val="0"/>
      <w:marRight w:val="0"/>
      <w:marTop w:val="0"/>
      <w:marBottom w:val="0"/>
      <w:divBdr>
        <w:top w:val="none" w:sz="0" w:space="0" w:color="auto"/>
        <w:left w:val="none" w:sz="0" w:space="0" w:color="auto"/>
        <w:bottom w:val="none" w:sz="0" w:space="0" w:color="auto"/>
        <w:right w:val="none" w:sz="0" w:space="0" w:color="auto"/>
      </w:divBdr>
    </w:div>
    <w:div w:id="944196859">
      <w:bodyDiv w:val="1"/>
      <w:marLeft w:val="0"/>
      <w:marRight w:val="0"/>
      <w:marTop w:val="0"/>
      <w:marBottom w:val="0"/>
      <w:divBdr>
        <w:top w:val="none" w:sz="0" w:space="0" w:color="auto"/>
        <w:left w:val="none" w:sz="0" w:space="0" w:color="auto"/>
        <w:bottom w:val="none" w:sz="0" w:space="0" w:color="auto"/>
        <w:right w:val="none" w:sz="0" w:space="0" w:color="auto"/>
      </w:divBdr>
    </w:div>
    <w:div w:id="948125585">
      <w:bodyDiv w:val="1"/>
      <w:marLeft w:val="0"/>
      <w:marRight w:val="0"/>
      <w:marTop w:val="0"/>
      <w:marBottom w:val="0"/>
      <w:divBdr>
        <w:top w:val="none" w:sz="0" w:space="0" w:color="auto"/>
        <w:left w:val="none" w:sz="0" w:space="0" w:color="auto"/>
        <w:bottom w:val="none" w:sz="0" w:space="0" w:color="auto"/>
        <w:right w:val="none" w:sz="0" w:space="0" w:color="auto"/>
      </w:divBdr>
    </w:div>
    <w:div w:id="949630480">
      <w:bodyDiv w:val="1"/>
      <w:marLeft w:val="0"/>
      <w:marRight w:val="0"/>
      <w:marTop w:val="0"/>
      <w:marBottom w:val="0"/>
      <w:divBdr>
        <w:top w:val="none" w:sz="0" w:space="0" w:color="auto"/>
        <w:left w:val="none" w:sz="0" w:space="0" w:color="auto"/>
        <w:bottom w:val="none" w:sz="0" w:space="0" w:color="auto"/>
        <w:right w:val="none" w:sz="0" w:space="0" w:color="auto"/>
      </w:divBdr>
    </w:div>
    <w:div w:id="952133525">
      <w:bodyDiv w:val="1"/>
      <w:marLeft w:val="0"/>
      <w:marRight w:val="0"/>
      <w:marTop w:val="0"/>
      <w:marBottom w:val="0"/>
      <w:divBdr>
        <w:top w:val="none" w:sz="0" w:space="0" w:color="auto"/>
        <w:left w:val="none" w:sz="0" w:space="0" w:color="auto"/>
        <w:bottom w:val="none" w:sz="0" w:space="0" w:color="auto"/>
        <w:right w:val="none" w:sz="0" w:space="0" w:color="auto"/>
      </w:divBdr>
    </w:div>
    <w:div w:id="952245835">
      <w:bodyDiv w:val="1"/>
      <w:marLeft w:val="0"/>
      <w:marRight w:val="0"/>
      <w:marTop w:val="0"/>
      <w:marBottom w:val="0"/>
      <w:divBdr>
        <w:top w:val="none" w:sz="0" w:space="0" w:color="auto"/>
        <w:left w:val="none" w:sz="0" w:space="0" w:color="auto"/>
        <w:bottom w:val="none" w:sz="0" w:space="0" w:color="auto"/>
        <w:right w:val="none" w:sz="0" w:space="0" w:color="auto"/>
      </w:divBdr>
    </w:div>
    <w:div w:id="964308303">
      <w:bodyDiv w:val="1"/>
      <w:marLeft w:val="0"/>
      <w:marRight w:val="0"/>
      <w:marTop w:val="0"/>
      <w:marBottom w:val="0"/>
      <w:divBdr>
        <w:top w:val="none" w:sz="0" w:space="0" w:color="auto"/>
        <w:left w:val="none" w:sz="0" w:space="0" w:color="auto"/>
        <w:bottom w:val="none" w:sz="0" w:space="0" w:color="auto"/>
        <w:right w:val="none" w:sz="0" w:space="0" w:color="auto"/>
      </w:divBdr>
      <w:divsChild>
        <w:div w:id="270479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0398865">
      <w:bodyDiv w:val="1"/>
      <w:marLeft w:val="0"/>
      <w:marRight w:val="0"/>
      <w:marTop w:val="0"/>
      <w:marBottom w:val="0"/>
      <w:divBdr>
        <w:top w:val="none" w:sz="0" w:space="0" w:color="auto"/>
        <w:left w:val="none" w:sz="0" w:space="0" w:color="auto"/>
        <w:bottom w:val="none" w:sz="0" w:space="0" w:color="auto"/>
        <w:right w:val="none" w:sz="0" w:space="0" w:color="auto"/>
      </w:divBdr>
    </w:div>
    <w:div w:id="991056640">
      <w:bodyDiv w:val="1"/>
      <w:marLeft w:val="0"/>
      <w:marRight w:val="0"/>
      <w:marTop w:val="0"/>
      <w:marBottom w:val="0"/>
      <w:divBdr>
        <w:top w:val="none" w:sz="0" w:space="0" w:color="auto"/>
        <w:left w:val="none" w:sz="0" w:space="0" w:color="auto"/>
        <w:bottom w:val="none" w:sz="0" w:space="0" w:color="auto"/>
        <w:right w:val="none" w:sz="0" w:space="0" w:color="auto"/>
      </w:divBdr>
    </w:div>
    <w:div w:id="993800248">
      <w:bodyDiv w:val="1"/>
      <w:marLeft w:val="0"/>
      <w:marRight w:val="0"/>
      <w:marTop w:val="0"/>
      <w:marBottom w:val="0"/>
      <w:divBdr>
        <w:top w:val="none" w:sz="0" w:space="0" w:color="auto"/>
        <w:left w:val="none" w:sz="0" w:space="0" w:color="auto"/>
        <w:bottom w:val="none" w:sz="0" w:space="0" w:color="auto"/>
        <w:right w:val="none" w:sz="0" w:space="0" w:color="auto"/>
      </w:divBdr>
      <w:divsChild>
        <w:div w:id="525480424">
          <w:marLeft w:val="0"/>
          <w:marRight w:val="0"/>
          <w:marTop w:val="0"/>
          <w:marBottom w:val="0"/>
          <w:divBdr>
            <w:top w:val="none" w:sz="0" w:space="0" w:color="auto"/>
            <w:left w:val="none" w:sz="0" w:space="0" w:color="auto"/>
            <w:bottom w:val="none" w:sz="0" w:space="0" w:color="auto"/>
            <w:right w:val="none" w:sz="0" w:space="0" w:color="auto"/>
          </w:divBdr>
          <w:divsChild>
            <w:div w:id="521936916">
              <w:marLeft w:val="0"/>
              <w:marRight w:val="0"/>
              <w:marTop w:val="0"/>
              <w:marBottom w:val="0"/>
              <w:divBdr>
                <w:top w:val="none" w:sz="0" w:space="0" w:color="auto"/>
                <w:left w:val="none" w:sz="0" w:space="0" w:color="auto"/>
                <w:bottom w:val="none" w:sz="0" w:space="0" w:color="auto"/>
                <w:right w:val="none" w:sz="0" w:space="0" w:color="auto"/>
              </w:divBdr>
              <w:divsChild>
                <w:div w:id="2026207268">
                  <w:marLeft w:val="0"/>
                  <w:marRight w:val="0"/>
                  <w:marTop w:val="0"/>
                  <w:marBottom w:val="0"/>
                  <w:divBdr>
                    <w:top w:val="none" w:sz="0" w:space="0" w:color="auto"/>
                    <w:left w:val="none" w:sz="0" w:space="0" w:color="auto"/>
                    <w:bottom w:val="none" w:sz="0" w:space="0" w:color="auto"/>
                    <w:right w:val="none" w:sz="0" w:space="0" w:color="auto"/>
                  </w:divBdr>
                  <w:divsChild>
                    <w:div w:id="918950533">
                      <w:marLeft w:val="0"/>
                      <w:marRight w:val="0"/>
                      <w:marTop w:val="0"/>
                      <w:marBottom w:val="0"/>
                      <w:divBdr>
                        <w:top w:val="none" w:sz="0" w:space="0" w:color="auto"/>
                        <w:left w:val="none" w:sz="0" w:space="0" w:color="auto"/>
                        <w:bottom w:val="none" w:sz="0" w:space="0" w:color="auto"/>
                        <w:right w:val="none" w:sz="0" w:space="0" w:color="auto"/>
                      </w:divBdr>
                      <w:divsChild>
                        <w:div w:id="1004866349">
                          <w:marLeft w:val="0"/>
                          <w:marRight w:val="0"/>
                          <w:marTop w:val="0"/>
                          <w:marBottom w:val="0"/>
                          <w:divBdr>
                            <w:top w:val="none" w:sz="0" w:space="0" w:color="auto"/>
                            <w:left w:val="none" w:sz="0" w:space="0" w:color="auto"/>
                            <w:bottom w:val="none" w:sz="0" w:space="0" w:color="auto"/>
                            <w:right w:val="none" w:sz="0" w:space="0" w:color="auto"/>
                          </w:divBdr>
                          <w:divsChild>
                            <w:div w:id="133156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768352">
      <w:bodyDiv w:val="1"/>
      <w:marLeft w:val="0"/>
      <w:marRight w:val="0"/>
      <w:marTop w:val="0"/>
      <w:marBottom w:val="0"/>
      <w:divBdr>
        <w:top w:val="none" w:sz="0" w:space="0" w:color="auto"/>
        <w:left w:val="none" w:sz="0" w:space="0" w:color="auto"/>
        <w:bottom w:val="none" w:sz="0" w:space="0" w:color="auto"/>
        <w:right w:val="none" w:sz="0" w:space="0" w:color="auto"/>
      </w:divBdr>
    </w:div>
    <w:div w:id="997927247">
      <w:bodyDiv w:val="1"/>
      <w:marLeft w:val="0"/>
      <w:marRight w:val="0"/>
      <w:marTop w:val="0"/>
      <w:marBottom w:val="0"/>
      <w:divBdr>
        <w:top w:val="none" w:sz="0" w:space="0" w:color="auto"/>
        <w:left w:val="none" w:sz="0" w:space="0" w:color="auto"/>
        <w:bottom w:val="none" w:sz="0" w:space="0" w:color="auto"/>
        <w:right w:val="none" w:sz="0" w:space="0" w:color="auto"/>
      </w:divBdr>
    </w:div>
    <w:div w:id="1005747849">
      <w:bodyDiv w:val="1"/>
      <w:marLeft w:val="0"/>
      <w:marRight w:val="0"/>
      <w:marTop w:val="0"/>
      <w:marBottom w:val="0"/>
      <w:divBdr>
        <w:top w:val="none" w:sz="0" w:space="0" w:color="auto"/>
        <w:left w:val="none" w:sz="0" w:space="0" w:color="auto"/>
        <w:bottom w:val="none" w:sz="0" w:space="0" w:color="auto"/>
        <w:right w:val="none" w:sz="0" w:space="0" w:color="auto"/>
      </w:divBdr>
    </w:div>
    <w:div w:id="1007707063">
      <w:bodyDiv w:val="1"/>
      <w:marLeft w:val="0"/>
      <w:marRight w:val="0"/>
      <w:marTop w:val="0"/>
      <w:marBottom w:val="0"/>
      <w:divBdr>
        <w:top w:val="none" w:sz="0" w:space="0" w:color="auto"/>
        <w:left w:val="none" w:sz="0" w:space="0" w:color="auto"/>
        <w:bottom w:val="none" w:sz="0" w:space="0" w:color="auto"/>
        <w:right w:val="none" w:sz="0" w:space="0" w:color="auto"/>
      </w:divBdr>
      <w:divsChild>
        <w:div w:id="453065130">
          <w:marLeft w:val="0"/>
          <w:marRight w:val="0"/>
          <w:marTop w:val="0"/>
          <w:marBottom w:val="0"/>
          <w:divBdr>
            <w:top w:val="none" w:sz="0" w:space="0" w:color="auto"/>
            <w:left w:val="none" w:sz="0" w:space="0" w:color="auto"/>
            <w:bottom w:val="none" w:sz="0" w:space="0" w:color="auto"/>
            <w:right w:val="none" w:sz="0" w:space="0" w:color="auto"/>
          </w:divBdr>
          <w:divsChild>
            <w:div w:id="401101570">
              <w:marLeft w:val="0"/>
              <w:marRight w:val="0"/>
              <w:marTop w:val="0"/>
              <w:marBottom w:val="0"/>
              <w:divBdr>
                <w:top w:val="none" w:sz="0" w:space="0" w:color="auto"/>
                <w:left w:val="none" w:sz="0" w:space="0" w:color="auto"/>
                <w:bottom w:val="none" w:sz="0" w:space="0" w:color="auto"/>
                <w:right w:val="none" w:sz="0" w:space="0" w:color="auto"/>
              </w:divBdr>
              <w:divsChild>
                <w:div w:id="2116435603">
                  <w:marLeft w:val="0"/>
                  <w:marRight w:val="0"/>
                  <w:marTop w:val="0"/>
                  <w:marBottom w:val="0"/>
                  <w:divBdr>
                    <w:top w:val="none" w:sz="0" w:space="0" w:color="auto"/>
                    <w:left w:val="none" w:sz="0" w:space="0" w:color="auto"/>
                    <w:bottom w:val="none" w:sz="0" w:space="0" w:color="auto"/>
                    <w:right w:val="none" w:sz="0" w:space="0" w:color="auto"/>
                  </w:divBdr>
                  <w:divsChild>
                    <w:div w:id="1925801444">
                      <w:marLeft w:val="0"/>
                      <w:marRight w:val="0"/>
                      <w:marTop w:val="0"/>
                      <w:marBottom w:val="0"/>
                      <w:divBdr>
                        <w:top w:val="none" w:sz="0" w:space="0" w:color="auto"/>
                        <w:left w:val="none" w:sz="0" w:space="0" w:color="auto"/>
                        <w:bottom w:val="none" w:sz="0" w:space="0" w:color="auto"/>
                        <w:right w:val="none" w:sz="0" w:space="0" w:color="auto"/>
                      </w:divBdr>
                      <w:divsChild>
                        <w:div w:id="818425579">
                          <w:marLeft w:val="0"/>
                          <w:marRight w:val="0"/>
                          <w:marTop w:val="0"/>
                          <w:marBottom w:val="0"/>
                          <w:divBdr>
                            <w:top w:val="none" w:sz="0" w:space="0" w:color="auto"/>
                            <w:left w:val="none" w:sz="0" w:space="0" w:color="auto"/>
                            <w:bottom w:val="none" w:sz="0" w:space="0" w:color="auto"/>
                            <w:right w:val="none" w:sz="0" w:space="0" w:color="auto"/>
                          </w:divBdr>
                          <w:divsChild>
                            <w:div w:id="2389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0837659">
      <w:bodyDiv w:val="1"/>
      <w:marLeft w:val="0"/>
      <w:marRight w:val="0"/>
      <w:marTop w:val="0"/>
      <w:marBottom w:val="0"/>
      <w:divBdr>
        <w:top w:val="none" w:sz="0" w:space="0" w:color="auto"/>
        <w:left w:val="none" w:sz="0" w:space="0" w:color="auto"/>
        <w:bottom w:val="none" w:sz="0" w:space="0" w:color="auto"/>
        <w:right w:val="none" w:sz="0" w:space="0" w:color="auto"/>
      </w:divBdr>
    </w:div>
    <w:div w:id="1011449023">
      <w:bodyDiv w:val="1"/>
      <w:marLeft w:val="0"/>
      <w:marRight w:val="0"/>
      <w:marTop w:val="0"/>
      <w:marBottom w:val="0"/>
      <w:divBdr>
        <w:top w:val="none" w:sz="0" w:space="0" w:color="auto"/>
        <w:left w:val="none" w:sz="0" w:space="0" w:color="auto"/>
        <w:bottom w:val="none" w:sz="0" w:space="0" w:color="auto"/>
        <w:right w:val="none" w:sz="0" w:space="0" w:color="auto"/>
      </w:divBdr>
    </w:div>
    <w:div w:id="1015569368">
      <w:bodyDiv w:val="1"/>
      <w:marLeft w:val="0"/>
      <w:marRight w:val="0"/>
      <w:marTop w:val="0"/>
      <w:marBottom w:val="0"/>
      <w:divBdr>
        <w:top w:val="none" w:sz="0" w:space="0" w:color="auto"/>
        <w:left w:val="none" w:sz="0" w:space="0" w:color="auto"/>
        <w:bottom w:val="none" w:sz="0" w:space="0" w:color="auto"/>
        <w:right w:val="none" w:sz="0" w:space="0" w:color="auto"/>
      </w:divBdr>
      <w:divsChild>
        <w:div w:id="1212689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469927">
      <w:bodyDiv w:val="1"/>
      <w:marLeft w:val="0"/>
      <w:marRight w:val="0"/>
      <w:marTop w:val="0"/>
      <w:marBottom w:val="0"/>
      <w:divBdr>
        <w:top w:val="none" w:sz="0" w:space="0" w:color="auto"/>
        <w:left w:val="none" w:sz="0" w:space="0" w:color="auto"/>
        <w:bottom w:val="none" w:sz="0" w:space="0" w:color="auto"/>
        <w:right w:val="none" w:sz="0" w:space="0" w:color="auto"/>
      </w:divBdr>
    </w:div>
    <w:div w:id="1017924077">
      <w:bodyDiv w:val="1"/>
      <w:marLeft w:val="0"/>
      <w:marRight w:val="0"/>
      <w:marTop w:val="0"/>
      <w:marBottom w:val="0"/>
      <w:divBdr>
        <w:top w:val="none" w:sz="0" w:space="0" w:color="auto"/>
        <w:left w:val="none" w:sz="0" w:space="0" w:color="auto"/>
        <w:bottom w:val="none" w:sz="0" w:space="0" w:color="auto"/>
        <w:right w:val="none" w:sz="0" w:space="0" w:color="auto"/>
      </w:divBdr>
    </w:div>
    <w:div w:id="1025180010">
      <w:bodyDiv w:val="1"/>
      <w:marLeft w:val="0"/>
      <w:marRight w:val="0"/>
      <w:marTop w:val="0"/>
      <w:marBottom w:val="0"/>
      <w:divBdr>
        <w:top w:val="none" w:sz="0" w:space="0" w:color="auto"/>
        <w:left w:val="none" w:sz="0" w:space="0" w:color="auto"/>
        <w:bottom w:val="none" w:sz="0" w:space="0" w:color="auto"/>
        <w:right w:val="none" w:sz="0" w:space="0" w:color="auto"/>
      </w:divBdr>
    </w:div>
    <w:div w:id="1026102777">
      <w:bodyDiv w:val="1"/>
      <w:marLeft w:val="0"/>
      <w:marRight w:val="0"/>
      <w:marTop w:val="0"/>
      <w:marBottom w:val="0"/>
      <w:divBdr>
        <w:top w:val="none" w:sz="0" w:space="0" w:color="auto"/>
        <w:left w:val="none" w:sz="0" w:space="0" w:color="auto"/>
        <w:bottom w:val="none" w:sz="0" w:space="0" w:color="auto"/>
        <w:right w:val="none" w:sz="0" w:space="0" w:color="auto"/>
      </w:divBdr>
    </w:div>
    <w:div w:id="1026833744">
      <w:bodyDiv w:val="1"/>
      <w:marLeft w:val="0"/>
      <w:marRight w:val="0"/>
      <w:marTop w:val="0"/>
      <w:marBottom w:val="0"/>
      <w:divBdr>
        <w:top w:val="none" w:sz="0" w:space="0" w:color="auto"/>
        <w:left w:val="none" w:sz="0" w:space="0" w:color="auto"/>
        <w:bottom w:val="none" w:sz="0" w:space="0" w:color="auto"/>
        <w:right w:val="none" w:sz="0" w:space="0" w:color="auto"/>
      </w:divBdr>
      <w:divsChild>
        <w:div w:id="1263493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7826991">
      <w:bodyDiv w:val="1"/>
      <w:marLeft w:val="0"/>
      <w:marRight w:val="0"/>
      <w:marTop w:val="0"/>
      <w:marBottom w:val="0"/>
      <w:divBdr>
        <w:top w:val="none" w:sz="0" w:space="0" w:color="auto"/>
        <w:left w:val="none" w:sz="0" w:space="0" w:color="auto"/>
        <w:bottom w:val="none" w:sz="0" w:space="0" w:color="auto"/>
        <w:right w:val="none" w:sz="0" w:space="0" w:color="auto"/>
      </w:divBdr>
    </w:div>
    <w:div w:id="1029451095">
      <w:bodyDiv w:val="1"/>
      <w:marLeft w:val="0"/>
      <w:marRight w:val="0"/>
      <w:marTop w:val="0"/>
      <w:marBottom w:val="0"/>
      <w:divBdr>
        <w:top w:val="none" w:sz="0" w:space="0" w:color="auto"/>
        <w:left w:val="none" w:sz="0" w:space="0" w:color="auto"/>
        <w:bottom w:val="none" w:sz="0" w:space="0" w:color="auto"/>
        <w:right w:val="none" w:sz="0" w:space="0" w:color="auto"/>
      </w:divBdr>
    </w:div>
    <w:div w:id="1038315916">
      <w:bodyDiv w:val="1"/>
      <w:marLeft w:val="0"/>
      <w:marRight w:val="0"/>
      <w:marTop w:val="0"/>
      <w:marBottom w:val="0"/>
      <w:divBdr>
        <w:top w:val="none" w:sz="0" w:space="0" w:color="auto"/>
        <w:left w:val="none" w:sz="0" w:space="0" w:color="auto"/>
        <w:bottom w:val="none" w:sz="0" w:space="0" w:color="auto"/>
        <w:right w:val="none" w:sz="0" w:space="0" w:color="auto"/>
      </w:divBdr>
      <w:divsChild>
        <w:div w:id="263925258">
          <w:marLeft w:val="0"/>
          <w:marRight w:val="0"/>
          <w:marTop w:val="0"/>
          <w:marBottom w:val="0"/>
          <w:divBdr>
            <w:top w:val="none" w:sz="0" w:space="0" w:color="auto"/>
            <w:left w:val="none" w:sz="0" w:space="0" w:color="auto"/>
            <w:bottom w:val="none" w:sz="0" w:space="0" w:color="auto"/>
            <w:right w:val="none" w:sz="0" w:space="0" w:color="auto"/>
          </w:divBdr>
          <w:divsChild>
            <w:div w:id="1645504713">
              <w:marLeft w:val="0"/>
              <w:marRight w:val="0"/>
              <w:marTop w:val="0"/>
              <w:marBottom w:val="0"/>
              <w:divBdr>
                <w:top w:val="none" w:sz="0" w:space="0" w:color="auto"/>
                <w:left w:val="none" w:sz="0" w:space="0" w:color="auto"/>
                <w:bottom w:val="none" w:sz="0" w:space="0" w:color="auto"/>
                <w:right w:val="none" w:sz="0" w:space="0" w:color="auto"/>
              </w:divBdr>
              <w:divsChild>
                <w:div w:id="170799513">
                  <w:marLeft w:val="0"/>
                  <w:marRight w:val="0"/>
                  <w:marTop w:val="0"/>
                  <w:marBottom w:val="0"/>
                  <w:divBdr>
                    <w:top w:val="none" w:sz="0" w:space="0" w:color="auto"/>
                    <w:left w:val="none" w:sz="0" w:space="0" w:color="auto"/>
                    <w:bottom w:val="none" w:sz="0" w:space="0" w:color="auto"/>
                    <w:right w:val="none" w:sz="0" w:space="0" w:color="auto"/>
                  </w:divBdr>
                  <w:divsChild>
                    <w:div w:id="449128531">
                      <w:marLeft w:val="0"/>
                      <w:marRight w:val="0"/>
                      <w:marTop w:val="0"/>
                      <w:marBottom w:val="0"/>
                      <w:divBdr>
                        <w:top w:val="none" w:sz="0" w:space="0" w:color="auto"/>
                        <w:left w:val="none" w:sz="0" w:space="0" w:color="auto"/>
                        <w:bottom w:val="none" w:sz="0" w:space="0" w:color="auto"/>
                        <w:right w:val="none" w:sz="0" w:space="0" w:color="auto"/>
                      </w:divBdr>
                      <w:divsChild>
                        <w:div w:id="1573807509">
                          <w:marLeft w:val="0"/>
                          <w:marRight w:val="0"/>
                          <w:marTop w:val="0"/>
                          <w:marBottom w:val="0"/>
                          <w:divBdr>
                            <w:top w:val="none" w:sz="0" w:space="0" w:color="auto"/>
                            <w:left w:val="none" w:sz="0" w:space="0" w:color="auto"/>
                            <w:bottom w:val="none" w:sz="0" w:space="0" w:color="auto"/>
                            <w:right w:val="none" w:sz="0" w:space="0" w:color="auto"/>
                          </w:divBdr>
                          <w:divsChild>
                            <w:div w:id="544803696">
                              <w:marLeft w:val="0"/>
                              <w:marRight w:val="0"/>
                              <w:marTop w:val="0"/>
                              <w:marBottom w:val="0"/>
                              <w:divBdr>
                                <w:top w:val="none" w:sz="0" w:space="0" w:color="auto"/>
                                <w:left w:val="none" w:sz="0" w:space="0" w:color="auto"/>
                                <w:bottom w:val="none" w:sz="0" w:space="0" w:color="auto"/>
                                <w:right w:val="none" w:sz="0" w:space="0" w:color="auto"/>
                              </w:divBdr>
                              <w:divsChild>
                                <w:div w:id="62443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8507125">
      <w:bodyDiv w:val="1"/>
      <w:marLeft w:val="0"/>
      <w:marRight w:val="0"/>
      <w:marTop w:val="0"/>
      <w:marBottom w:val="0"/>
      <w:divBdr>
        <w:top w:val="none" w:sz="0" w:space="0" w:color="auto"/>
        <w:left w:val="none" w:sz="0" w:space="0" w:color="auto"/>
        <w:bottom w:val="none" w:sz="0" w:space="0" w:color="auto"/>
        <w:right w:val="none" w:sz="0" w:space="0" w:color="auto"/>
      </w:divBdr>
    </w:div>
    <w:div w:id="1045447363">
      <w:bodyDiv w:val="1"/>
      <w:marLeft w:val="0"/>
      <w:marRight w:val="0"/>
      <w:marTop w:val="0"/>
      <w:marBottom w:val="0"/>
      <w:divBdr>
        <w:top w:val="none" w:sz="0" w:space="0" w:color="auto"/>
        <w:left w:val="none" w:sz="0" w:space="0" w:color="auto"/>
        <w:bottom w:val="none" w:sz="0" w:space="0" w:color="auto"/>
        <w:right w:val="none" w:sz="0" w:space="0" w:color="auto"/>
      </w:divBdr>
    </w:div>
    <w:div w:id="1051805878">
      <w:bodyDiv w:val="1"/>
      <w:marLeft w:val="0"/>
      <w:marRight w:val="0"/>
      <w:marTop w:val="0"/>
      <w:marBottom w:val="0"/>
      <w:divBdr>
        <w:top w:val="none" w:sz="0" w:space="0" w:color="auto"/>
        <w:left w:val="none" w:sz="0" w:space="0" w:color="auto"/>
        <w:bottom w:val="none" w:sz="0" w:space="0" w:color="auto"/>
        <w:right w:val="none" w:sz="0" w:space="0" w:color="auto"/>
      </w:divBdr>
    </w:div>
    <w:div w:id="1055853747">
      <w:bodyDiv w:val="1"/>
      <w:marLeft w:val="0"/>
      <w:marRight w:val="0"/>
      <w:marTop w:val="0"/>
      <w:marBottom w:val="0"/>
      <w:divBdr>
        <w:top w:val="none" w:sz="0" w:space="0" w:color="auto"/>
        <w:left w:val="none" w:sz="0" w:space="0" w:color="auto"/>
        <w:bottom w:val="none" w:sz="0" w:space="0" w:color="auto"/>
        <w:right w:val="none" w:sz="0" w:space="0" w:color="auto"/>
      </w:divBdr>
      <w:divsChild>
        <w:div w:id="466168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5856625">
      <w:bodyDiv w:val="1"/>
      <w:marLeft w:val="0"/>
      <w:marRight w:val="0"/>
      <w:marTop w:val="0"/>
      <w:marBottom w:val="0"/>
      <w:divBdr>
        <w:top w:val="none" w:sz="0" w:space="0" w:color="auto"/>
        <w:left w:val="none" w:sz="0" w:space="0" w:color="auto"/>
        <w:bottom w:val="none" w:sz="0" w:space="0" w:color="auto"/>
        <w:right w:val="none" w:sz="0" w:space="0" w:color="auto"/>
      </w:divBdr>
    </w:div>
    <w:div w:id="1060834141">
      <w:bodyDiv w:val="1"/>
      <w:marLeft w:val="0"/>
      <w:marRight w:val="0"/>
      <w:marTop w:val="0"/>
      <w:marBottom w:val="0"/>
      <w:divBdr>
        <w:top w:val="none" w:sz="0" w:space="0" w:color="auto"/>
        <w:left w:val="none" w:sz="0" w:space="0" w:color="auto"/>
        <w:bottom w:val="none" w:sz="0" w:space="0" w:color="auto"/>
        <w:right w:val="none" w:sz="0" w:space="0" w:color="auto"/>
      </w:divBdr>
      <w:divsChild>
        <w:div w:id="847215112">
          <w:marLeft w:val="0"/>
          <w:marRight w:val="0"/>
          <w:marTop w:val="0"/>
          <w:marBottom w:val="0"/>
          <w:divBdr>
            <w:top w:val="none" w:sz="0" w:space="0" w:color="auto"/>
            <w:left w:val="none" w:sz="0" w:space="0" w:color="auto"/>
            <w:bottom w:val="none" w:sz="0" w:space="0" w:color="auto"/>
            <w:right w:val="none" w:sz="0" w:space="0" w:color="auto"/>
          </w:divBdr>
          <w:divsChild>
            <w:div w:id="1827747328">
              <w:marLeft w:val="0"/>
              <w:marRight w:val="0"/>
              <w:marTop w:val="0"/>
              <w:marBottom w:val="0"/>
              <w:divBdr>
                <w:top w:val="none" w:sz="0" w:space="0" w:color="auto"/>
                <w:left w:val="none" w:sz="0" w:space="0" w:color="auto"/>
                <w:bottom w:val="none" w:sz="0" w:space="0" w:color="auto"/>
                <w:right w:val="none" w:sz="0" w:space="0" w:color="auto"/>
              </w:divBdr>
              <w:divsChild>
                <w:div w:id="357048432">
                  <w:marLeft w:val="0"/>
                  <w:marRight w:val="0"/>
                  <w:marTop w:val="0"/>
                  <w:marBottom w:val="0"/>
                  <w:divBdr>
                    <w:top w:val="none" w:sz="0" w:space="0" w:color="auto"/>
                    <w:left w:val="none" w:sz="0" w:space="0" w:color="auto"/>
                    <w:bottom w:val="none" w:sz="0" w:space="0" w:color="auto"/>
                    <w:right w:val="none" w:sz="0" w:space="0" w:color="auto"/>
                  </w:divBdr>
                  <w:divsChild>
                    <w:div w:id="1744832813">
                      <w:marLeft w:val="0"/>
                      <w:marRight w:val="0"/>
                      <w:marTop w:val="0"/>
                      <w:marBottom w:val="0"/>
                      <w:divBdr>
                        <w:top w:val="none" w:sz="0" w:space="0" w:color="auto"/>
                        <w:left w:val="none" w:sz="0" w:space="0" w:color="auto"/>
                        <w:bottom w:val="none" w:sz="0" w:space="0" w:color="auto"/>
                        <w:right w:val="none" w:sz="0" w:space="0" w:color="auto"/>
                      </w:divBdr>
                      <w:divsChild>
                        <w:div w:id="1378116908">
                          <w:marLeft w:val="0"/>
                          <w:marRight w:val="0"/>
                          <w:marTop w:val="0"/>
                          <w:marBottom w:val="0"/>
                          <w:divBdr>
                            <w:top w:val="none" w:sz="0" w:space="0" w:color="auto"/>
                            <w:left w:val="none" w:sz="0" w:space="0" w:color="auto"/>
                            <w:bottom w:val="none" w:sz="0" w:space="0" w:color="auto"/>
                            <w:right w:val="none" w:sz="0" w:space="0" w:color="auto"/>
                          </w:divBdr>
                          <w:divsChild>
                            <w:div w:id="1065183812">
                              <w:marLeft w:val="0"/>
                              <w:marRight w:val="0"/>
                              <w:marTop w:val="0"/>
                              <w:marBottom w:val="0"/>
                              <w:divBdr>
                                <w:top w:val="none" w:sz="0" w:space="0" w:color="auto"/>
                                <w:left w:val="none" w:sz="0" w:space="0" w:color="auto"/>
                                <w:bottom w:val="none" w:sz="0" w:space="0" w:color="auto"/>
                                <w:right w:val="none" w:sz="0" w:space="0" w:color="auto"/>
                              </w:divBdr>
                              <w:divsChild>
                                <w:div w:id="129086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6534823">
      <w:bodyDiv w:val="1"/>
      <w:marLeft w:val="0"/>
      <w:marRight w:val="0"/>
      <w:marTop w:val="0"/>
      <w:marBottom w:val="0"/>
      <w:divBdr>
        <w:top w:val="none" w:sz="0" w:space="0" w:color="auto"/>
        <w:left w:val="none" w:sz="0" w:space="0" w:color="auto"/>
        <w:bottom w:val="none" w:sz="0" w:space="0" w:color="auto"/>
        <w:right w:val="none" w:sz="0" w:space="0" w:color="auto"/>
      </w:divBdr>
      <w:divsChild>
        <w:div w:id="103044500">
          <w:marLeft w:val="0"/>
          <w:marRight w:val="0"/>
          <w:marTop w:val="0"/>
          <w:marBottom w:val="0"/>
          <w:divBdr>
            <w:top w:val="none" w:sz="0" w:space="0" w:color="auto"/>
            <w:left w:val="none" w:sz="0" w:space="0" w:color="auto"/>
            <w:bottom w:val="none" w:sz="0" w:space="0" w:color="auto"/>
            <w:right w:val="none" w:sz="0" w:space="0" w:color="auto"/>
          </w:divBdr>
          <w:divsChild>
            <w:div w:id="1448771416">
              <w:marLeft w:val="0"/>
              <w:marRight w:val="0"/>
              <w:marTop w:val="0"/>
              <w:marBottom w:val="0"/>
              <w:divBdr>
                <w:top w:val="none" w:sz="0" w:space="0" w:color="auto"/>
                <w:left w:val="none" w:sz="0" w:space="0" w:color="auto"/>
                <w:bottom w:val="none" w:sz="0" w:space="0" w:color="auto"/>
                <w:right w:val="none" w:sz="0" w:space="0" w:color="auto"/>
              </w:divBdr>
              <w:divsChild>
                <w:div w:id="692806789">
                  <w:marLeft w:val="0"/>
                  <w:marRight w:val="0"/>
                  <w:marTop w:val="0"/>
                  <w:marBottom w:val="0"/>
                  <w:divBdr>
                    <w:top w:val="none" w:sz="0" w:space="0" w:color="auto"/>
                    <w:left w:val="none" w:sz="0" w:space="0" w:color="auto"/>
                    <w:bottom w:val="none" w:sz="0" w:space="0" w:color="auto"/>
                    <w:right w:val="none" w:sz="0" w:space="0" w:color="auto"/>
                  </w:divBdr>
                  <w:divsChild>
                    <w:div w:id="516431241">
                      <w:marLeft w:val="0"/>
                      <w:marRight w:val="0"/>
                      <w:marTop w:val="0"/>
                      <w:marBottom w:val="0"/>
                      <w:divBdr>
                        <w:top w:val="none" w:sz="0" w:space="0" w:color="auto"/>
                        <w:left w:val="none" w:sz="0" w:space="0" w:color="auto"/>
                        <w:bottom w:val="none" w:sz="0" w:space="0" w:color="auto"/>
                        <w:right w:val="none" w:sz="0" w:space="0" w:color="auto"/>
                      </w:divBdr>
                      <w:divsChild>
                        <w:div w:id="1833913200">
                          <w:marLeft w:val="0"/>
                          <w:marRight w:val="0"/>
                          <w:marTop w:val="0"/>
                          <w:marBottom w:val="0"/>
                          <w:divBdr>
                            <w:top w:val="none" w:sz="0" w:space="0" w:color="auto"/>
                            <w:left w:val="none" w:sz="0" w:space="0" w:color="auto"/>
                            <w:bottom w:val="none" w:sz="0" w:space="0" w:color="auto"/>
                            <w:right w:val="none" w:sz="0" w:space="0" w:color="auto"/>
                          </w:divBdr>
                          <w:divsChild>
                            <w:div w:id="2085638576">
                              <w:marLeft w:val="0"/>
                              <w:marRight w:val="0"/>
                              <w:marTop w:val="0"/>
                              <w:marBottom w:val="0"/>
                              <w:divBdr>
                                <w:top w:val="none" w:sz="0" w:space="0" w:color="auto"/>
                                <w:left w:val="none" w:sz="0" w:space="0" w:color="auto"/>
                                <w:bottom w:val="none" w:sz="0" w:space="0" w:color="auto"/>
                                <w:right w:val="none" w:sz="0" w:space="0" w:color="auto"/>
                              </w:divBdr>
                              <w:divsChild>
                                <w:div w:id="42430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2029478">
      <w:bodyDiv w:val="1"/>
      <w:marLeft w:val="0"/>
      <w:marRight w:val="0"/>
      <w:marTop w:val="0"/>
      <w:marBottom w:val="0"/>
      <w:divBdr>
        <w:top w:val="none" w:sz="0" w:space="0" w:color="auto"/>
        <w:left w:val="none" w:sz="0" w:space="0" w:color="auto"/>
        <w:bottom w:val="none" w:sz="0" w:space="0" w:color="auto"/>
        <w:right w:val="none" w:sz="0" w:space="0" w:color="auto"/>
      </w:divBdr>
    </w:div>
    <w:div w:id="1085999876">
      <w:bodyDiv w:val="1"/>
      <w:marLeft w:val="0"/>
      <w:marRight w:val="0"/>
      <w:marTop w:val="0"/>
      <w:marBottom w:val="0"/>
      <w:divBdr>
        <w:top w:val="none" w:sz="0" w:space="0" w:color="auto"/>
        <w:left w:val="none" w:sz="0" w:space="0" w:color="auto"/>
        <w:bottom w:val="none" w:sz="0" w:space="0" w:color="auto"/>
        <w:right w:val="none" w:sz="0" w:space="0" w:color="auto"/>
      </w:divBdr>
      <w:divsChild>
        <w:div w:id="861548075">
          <w:marLeft w:val="0"/>
          <w:marRight w:val="0"/>
          <w:marTop w:val="0"/>
          <w:marBottom w:val="0"/>
          <w:divBdr>
            <w:top w:val="none" w:sz="0" w:space="0" w:color="auto"/>
            <w:left w:val="none" w:sz="0" w:space="0" w:color="auto"/>
            <w:bottom w:val="none" w:sz="0" w:space="0" w:color="auto"/>
            <w:right w:val="none" w:sz="0" w:space="0" w:color="auto"/>
          </w:divBdr>
          <w:divsChild>
            <w:div w:id="1922908403">
              <w:marLeft w:val="0"/>
              <w:marRight w:val="0"/>
              <w:marTop w:val="0"/>
              <w:marBottom w:val="0"/>
              <w:divBdr>
                <w:top w:val="none" w:sz="0" w:space="0" w:color="auto"/>
                <w:left w:val="none" w:sz="0" w:space="0" w:color="auto"/>
                <w:bottom w:val="none" w:sz="0" w:space="0" w:color="auto"/>
                <w:right w:val="none" w:sz="0" w:space="0" w:color="auto"/>
              </w:divBdr>
              <w:divsChild>
                <w:div w:id="1471089638">
                  <w:marLeft w:val="0"/>
                  <w:marRight w:val="0"/>
                  <w:marTop w:val="0"/>
                  <w:marBottom w:val="0"/>
                  <w:divBdr>
                    <w:top w:val="none" w:sz="0" w:space="0" w:color="auto"/>
                    <w:left w:val="none" w:sz="0" w:space="0" w:color="auto"/>
                    <w:bottom w:val="none" w:sz="0" w:space="0" w:color="auto"/>
                    <w:right w:val="none" w:sz="0" w:space="0" w:color="auto"/>
                  </w:divBdr>
                  <w:divsChild>
                    <w:div w:id="1084231343">
                      <w:marLeft w:val="0"/>
                      <w:marRight w:val="0"/>
                      <w:marTop w:val="0"/>
                      <w:marBottom w:val="0"/>
                      <w:divBdr>
                        <w:top w:val="none" w:sz="0" w:space="0" w:color="auto"/>
                        <w:left w:val="none" w:sz="0" w:space="0" w:color="auto"/>
                        <w:bottom w:val="none" w:sz="0" w:space="0" w:color="auto"/>
                        <w:right w:val="none" w:sz="0" w:space="0" w:color="auto"/>
                      </w:divBdr>
                      <w:divsChild>
                        <w:div w:id="1621297431">
                          <w:marLeft w:val="0"/>
                          <w:marRight w:val="0"/>
                          <w:marTop w:val="0"/>
                          <w:marBottom w:val="0"/>
                          <w:divBdr>
                            <w:top w:val="none" w:sz="0" w:space="0" w:color="auto"/>
                            <w:left w:val="none" w:sz="0" w:space="0" w:color="auto"/>
                            <w:bottom w:val="none" w:sz="0" w:space="0" w:color="auto"/>
                            <w:right w:val="none" w:sz="0" w:space="0" w:color="auto"/>
                          </w:divBdr>
                          <w:divsChild>
                            <w:div w:id="756561493">
                              <w:marLeft w:val="0"/>
                              <w:marRight w:val="0"/>
                              <w:marTop w:val="0"/>
                              <w:marBottom w:val="0"/>
                              <w:divBdr>
                                <w:top w:val="none" w:sz="0" w:space="0" w:color="auto"/>
                                <w:left w:val="none" w:sz="0" w:space="0" w:color="auto"/>
                                <w:bottom w:val="none" w:sz="0" w:space="0" w:color="auto"/>
                                <w:right w:val="none" w:sz="0" w:space="0" w:color="auto"/>
                              </w:divBdr>
                              <w:divsChild>
                                <w:div w:id="10912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071481">
      <w:bodyDiv w:val="1"/>
      <w:marLeft w:val="0"/>
      <w:marRight w:val="0"/>
      <w:marTop w:val="0"/>
      <w:marBottom w:val="0"/>
      <w:divBdr>
        <w:top w:val="none" w:sz="0" w:space="0" w:color="auto"/>
        <w:left w:val="none" w:sz="0" w:space="0" w:color="auto"/>
        <w:bottom w:val="none" w:sz="0" w:space="0" w:color="auto"/>
        <w:right w:val="none" w:sz="0" w:space="0" w:color="auto"/>
      </w:divBdr>
    </w:div>
    <w:div w:id="1087385560">
      <w:bodyDiv w:val="1"/>
      <w:marLeft w:val="0"/>
      <w:marRight w:val="0"/>
      <w:marTop w:val="0"/>
      <w:marBottom w:val="0"/>
      <w:divBdr>
        <w:top w:val="none" w:sz="0" w:space="0" w:color="auto"/>
        <w:left w:val="none" w:sz="0" w:space="0" w:color="auto"/>
        <w:bottom w:val="none" w:sz="0" w:space="0" w:color="auto"/>
        <w:right w:val="none" w:sz="0" w:space="0" w:color="auto"/>
      </w:divBdr>
      <w:divsChild>
        <w:div w:id="1034043933">
          <w:marLeft w:val="0"/>
          <w:marRight w:val="0"/>
          <w:marTop w:val="0"/>
          <w:marBottom w:val="0"/>
          <w:divBdr>
            <w:top w:val="none" w:sz="0" w:space="0" w:color="auto"/>
            <w:left w:val="none" w:sz="0" w:space="0" w:color="auto"/>
            <w:bottom w:val="none" w:sz="0" w:space="0" w:color="auto"/>
            <w:right w:val="none" w:sz="0" w:space="0" w:color="auto"/>
          </w:divBdr>
        </w:div>
        <w:div w:id="1766222860">
          <w:marLeft w:val="0"/>
          <w:marRight w:val="0"/>
          <w:marTop w:val="0"/>
          <w:marBottom w:val="0"/>
          <w:divBdr>
            <w:top w:val="none" w:sz="0" w:space="0" w:color="auto"/>
            <w:left w:val="none" w:sz="0" w:space="0" w:color="auto"/>
            <w:bottom w:val="none" w:sz="0" w:space="0" w:color="auto"/>
            <w:right w:val="none" w:sz="0" w:space="0" w:color="auto"/>
          </w:divBdr>
        </w:div>
      </w:divsChild>
    </w:div>
    <w:div w:id="1117484883">
      <w:bodyDiv w:val="1"/>
      <w:marLeft w:val="0"/>
      <w:marRight w:val="0"/>
      <w:marTop w:val="0"/>
      <w:marBottom w:val="0"/>
      <w:divBdr>
        <w:top w:val="none" w:sz="0" w:space="0" w:color="auto"/>
        <w:left w:val="none" w:sz="0" w:space="0" w:color="auto"/>
        <w:bottom w:val="none" w:sz="0" w:space="0" w:color="auto"/>
        <w:right w:val="none" w:sz="0" w:space="0" w:color="auto"/>
      </w:divBdr>
    </w:div>
    <w:div w:id="1129011593">
      <w:bodyDiv w:val="1"/>
      <w:marLeft w:val="0"/>
      <w:marRight w:val="0"/>
      <w:marTop w:val="0"/>
      <w:marBottom w:val="0"/>
      <w:divBdr>
        <w:top w:val="none" w:sz="0" w:space="0" w:color="auto"/>
        <w:left w:val="none" w:sz="0" w:space="0" w:color="auto"/>
        <w:bottom w:val="none" w:sz="0" w:space="0" w:color="auto"/>
        <w:right w:val="none" w:sz="0" w:space="0" w:color="auto"/>
      </w:divBdr>
    </w:div>
    <w:div w:id="1138910608">
      <w:bodyDiv w:val="1"/>
      <w:marLeft w:val="0"/>
      <w:marRight w:val="0"/>
      <w:marTop w:val="0"/>
      <w:marBottom w:val="0"/>
      <w:divBdr>
        <w:top w:val="none" w:sz="0" w:space="0" w:color="auto"/>
        <w:left w:val="none" w:sz="0" w:space="0" w:color="auto"/>
        <w:bottom w:val="none" w:sz="0" w:space="0" w:color="auto"/>
        <w:right w:val="none" w:sz="0" w:space="0" w:color="auto"/>
      </w:divBdr>
    </w:div>
    <w:div w:id="1154681626">
      <w:bodyDiv w:val="1"/>
      <w:marLeft w:val="0"/>
      <w:marRight w:val="0"/>
      <w:marTop w:val="0"/>
      <w:marBottom w:val="0"/>
      <w:divBdr>
        <w:top w:val="none" w:sz="0" w:space="0" w:color="auto"/>
        <w:left w:val="none" w:sz="0" w:space="0" w:color="auto"/>
        <w:bottom w:val="none" w:sz="0" w:space="0" w:color="auto"/>
        <w:right w:val="none" w:sz="0" w:space="0" w:color="auto"/>
      </w:divBdr>
      <w:divsChild>
        <w:div w:id="824466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0412833">
      <w:bodyDiv w:val="1"/>
      <w:marLeft w:val="0"/>
      <w:marRight w:val="0"/>
      <w:marTop w:val="0"/>
      <w:marBottom w:val="0"/>
      <w:divBdr>
        <w:top w:val="none" w:sz="0" w:space="0" w:color="auto"/>
        <w:left w:val="none" w:sz="0" w:space="0" w:color="auto"/>
        <w:bottom w:val="none" w:sz="0" w:space="0" w:color="auto"/>
        <w:right w:val="none" w:sz="0" w:space="0" w:color="auto"/>
      </w:divBdr>
    </w:div>
    <w:div w:id="1182663640">
      <w:bodyDiv w:val="1"/>
      <w:marLeft w:val="0"/>
      <w:marRight w:val="0"/>
      <w:marTop w:val="0"/>
      <w:marBottom w:val="0"/>
      <w:divBdr>
        <w:top w:val="none" w:sz="0" w:space="0" w:color="auto"/>
        <w:left w:val="none" w:sz="0" w:space="0" w:color="auto"/>
        <w:bottom w:val="none" w:sz="0" w:space="0" w:color="auto"/>
        <w:right w:val="none" w:sz="0" w:space="0" w:color="auto"/>
      </w:divBdr>
    </w:div>
    <w:div w:id="1186750189">
      <w:bodyDiv w:val="1"/>
      <w:marLeft w:val="0"/>
      <w:marRight w:val="0"/>
      <w:marTop w:val="0"/>
      <w:marBottom w:val="0"/>
      <w:divBdr>
        <w:top w:val="none" w:sz="0" w:space="0" w:color="auto"/>
        <w:left w:val="none" w:sz="0" w:space="0" w:color="auto"/>
        <w:bottom w:val="none" w:sz="0" w:space="0" w:color="auto"/>
        <w:right w:val="none" w:sz="0" w:space="0" w:color="auto"/>
      </w:divBdr>
    </w:div>
    <w:div w:id="1194029101">
      <w:bodyDiv w:val="1"/>
      <w:marLeft w:val="0"/>
      <w:marRight w:val="0"/>
      <w:marTop w:val="0"/>
      <w:marBottom w:val="0"/>
      <w:divBdr>
        <w:top w:val="none" w:sz="0" w:space="0" w:color="auto"/>
        <w:left w:val="none" w:sz="0" w:space="0" w:color="auto"/>
        <w:bottom w:val="none" w:sz="0" w:space="0" w:color="auto"/>
        <w:right w:val="none" w:sz="0" w:space="0" w:color="auto"/>
      </w:divBdr>
      <w:divsChild>
        <w:div w:id="99634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4343947">
      <w:bodyDiv w:val="1"/>
      <w:marLeft w:val="0"/>
      <w:marRight w:val="0"/>
      <w:marTop w:val="0"/>
      <w:marBottom w:val="0"/>
      <w:divBdr>
        <w:top w:val="none" w:sz="0" w:space="0" w:color="auto"/>
        <w:left w:val="none" w:sz="0" w:space="0" w:color="auto"/>
        <w:bottom w:val="none" w:sz="0" w:space="0" w:color="auto"/>
        <w:right w:val="none" w:sz="0" w:space="0" w:color="auto"/>
      </w:divBdr>
      <w:divsChild>
        <w:div w:id="6424630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7892022">
      <w:bodyDiv w:val="1"/>
      <w:marLeft w:val="0"/>
      <w:marRight w:val="0"/>
      <w:marTop w:val="0"/>
      <w:marBottom w:val="0"/>
      <w:divBdr>
        <w:top w:val="none" w:sz="0" w:space="0" w:color="auto"/>
        <w:left w:val="none" w:sz="0" w:space="0" w:color="auto"/>
        <w:bottom w:val="none" w:sz="0" w:space="0" w:color="auto"/>
        <w:right w:val="none" w:sz="0" w:space="0" w:color="auto"/>
      </w:divBdr>
    </w:div>
    <w:div w:id="1203706640">
      <w:bodyDiv w:val="1"/>
      <w:marLeft w:val="0"/>
      <w:marRight w:val="0"/>
      <w:marTop w:val="0"/>
      <w:marBottom w:val="0"/>
      <w:divBdr>
        <w:top w:val="none" w:sz="0" w:space="0" w:color="auto"/>
        <w:left w:val="none" w:sz="0" w:space="0" w:color="auto"/>
        <w:bottom w:val="none" w:sz="0" w:space="0" w:color="auto"/>
        <w:right w:val="none" w:sz="0" w:space="0" w:color="auto"/>
      </w:divBdr>
    </w:div>
    <w:div w:id="1238173102">
      <w:bodyDiv w:val="1"/>
      <w:marLeft w:val="0"/>
      <w:marRight w:val="0"/>
      <w:marTop w:val="0"/>
      <w:marBottom w:val="0"/>
      <w:divBdr>
        <w:top w:val="none" w:sz="0" w:space="0" w:color="auto"/>
        <w:left w:val="none" w:sz="0" w:space="0" w:color="auto"/>
        <w:bottom w:val="none" w:sz="0" w:space="0" w:color="auto"/>
        <w:right w:val="none" w:sz="0" w:space="0" w:color="auto"/>
      </w:divBdr>
      <w:divsChild>
        <w:div w:id="1291091004">
          <w:marLeft w:val="0"/>
          <w:marRight w:val="0"/>
          <w:marTop w:val="0"/>
          <w:marBottom w:val="0"/>
          <w:divBdr>
            <w:top w:val="none" w:sz="0" w:space="0" w:color="auto"/>
            <w:left w:val="none" w:sz="0" w:space="0" w:color="auto"/>
            <w:bottom w:val="none" w:sz="0" w:space="0" w:color="auto"/>
            <w:right w:val="none" w:sz="0" w:space="0" w:color="auto"/>
          </w:divBdr>
          <w:divsChild>
            <w:div w:id="552665887">
              <w:marLeft w:val="0"/>
              <w:marRight w:val="0"/>
              <w:marTop w:val="0"/>
              <w:marBottom w:val="0"/>
              <w:divBdr>
                <w:top w:val="none" w:sz="0" w:space="0" w:color="auto"/>
                <w:left w:val="none" w:sz="0" w:space="0" w:color="auto"/>
                <w:bottom w:val="none" w:sz="0" w:space="0" w:color="auto"/>
                <w:right w:val="none" w:sz="0" w:space="0" w:color="auto"/>
              </w:divBdr>
              <w:divsChild>
                <w:div w:id="449477098">
                  <w:marLeft w:val="0"/>
                  <w:marRight w:val="0"/>
                  <w:marTop w:val="0"/>
                  <w:marBottom w:val="0"/>
                  <w:divBdr>
                    <w:top w:val="none" w:sz="0" w:space="0" w:color="auto"/>
                    <w:left w:val="none" w:sz="0" w:space="0" w:color="auto"/>
                    <w:bottom w:val="none" w:sz="0" w:space="0" w:color="auto"/>
                    <w:right w:val="none" w:sz="0" w:space="0" w:color="auto"/>
                  </w:divBdr>
                  <w:divsChild>
                    <w:div w:id="2108689733">
                      <w:marLeft w:val="0"/>
                      <w:marRight w:val="0"/>
                      <w:marTop w:val="0"/>
                      <w:marBottom w:val="0"/>
                      <w:divBdr>
                        <w:top w:val="none" w:sz="0" w:space="0" w:color="auto"/>
                        <w:left w:val="none" w:sz="0" w:space="0" w:color="auto"/>
                        <w:bottom w:val="none" w:sz="0" w:space="0" w:color="auto"/>
                        <w:right w:val="none" w:sz="0" w:space="0" w:color="auto"/>
                      </w:divBdr>
                      <w:divsChild>
                        <w:div w:id="61008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840654">
      <w:bodyDiv w:val="1"/>
      <w:marLeft w:val="0"/>
      <w:marRight w:val="0"/>
      <w:marTop w:val="0"/>
      <w:marBottom w:val="0"/>
      <w:divBdr>
        <w:top w:val="none" w:sz="0" w:space="0" w:color="auto"/>
        <w:left w:val="none" w:sz="0" w:space="0" w:color="auto"/>
        <w:bottom w:val="none" w:sz="0" w:space="0" w:color="auto"/>
        <w:right w:val="none" w:sz="0" w:space="0" w:color="auto"/>
      </w:divBdr>
    </w:div>
    <w:div w:id="1250965063">
      <w:bodyDiv w:val="1"/>
      <w:marLeft w:val="0"/>
      <w:marRight w:val="0"/>
      <w:marTop w:val="0"/>
      <w:marBottom w:val="0"/>
      <w:divBdr>
        <w:top w:val="none" w:sz="0" w:space="0" w:color="auto"/>
        <w:left w:val="none" w:sz="0" w:space="0" w:color="auto"/>
        <w:bottom w:val="none" w:sz="0" w:space="0" w:color="auto"/>
        <w:right w:val="none" w:sz="0" w:space="0" w:color="auto"/>
      </w:divBdr>
    </w:div>
    <w:div w:id="1253860365">
      <w:bodyDiv w:val="1"/>
      <w:marLeft w:val="0"/>
      <w:marRight w:val="0"/>
      <w:marTop w:val="0"/>
      <w:marBottom w:val="0"/>
      <w:divBdr>
        <w:top w:val="none" w:sz="0" w:space="0" w:color="auto"/>
        <w:left w:val="none" w:sz="0" w:space="0" w:color="auto"/>
        <w:bottom w:val="none" w:sz="0" w:space="0" w:color="auto"/>
        <w:right w:val="none" w:sz="0" w:space="0" w:color="auto"/>
      </w:divBdr>
      <w:divsChild>
        <w:div w:id="730427529">
          <w:marLeft w:val="0"/>
          <w:marRight w:val="0"/>
          <w:marTop w:val="0"/>
          <w:marBottom w:val="0"/>
          <w:divBdr>
            <w:top w:val="none" w:sz="0" w:space="0" w:color="auto"/>
            <w:left w:val="none" w:sz="0" w:space="0" w:color="auto"/>
            <w:bottom w:val="none" w:sz="0" w:space="0" w:color="auto"/>
            <w:right w:val="none" w:sz="0" w:space="0" w:color="auto"/>
          </w:divBdr>
        </w:div>
        <w:div w:id="1384594223">
          <w:marLeft w:val="0"/>
          <w:marRight w:val="0"/>
          <w:marTop w:val="0"/>
          <w:marBottom w:val="0"/>
          <w:divBdr>
            <w:top w:val="none" w:sz="0" w:space="0" w:color="auto"/>
            <w:left w:val="none" w:sz="0" w:space="0" w:color="auto"/>
            <w:bottom w:val="none" w:sz="0" w:space="0" w:color="auto"/>
            <w:right w:val="none" w:sz="0" w:space="0" w:color="auto"/>
          </w:divBdr>
        </w:div>
        <w:div w:id="1497301825">
          <w:marLeft w:val="0"/>
          <w:marRight w:val="0"/>
          <w:marTop w:val="0"/>
          <w:marBottom w:val="0"/>
          <w:divBdr>
            <w:top w:val="none" w:sz="0" w:space="0" w:color="auto"/>
            <w:left w:val="none" w:sz="0" w:space="0" w:color="auto"/>
            <w:bottom w:val="none" w:sz="0" w:space="0" w:color="auto"/>
            <w:right w:val="none" w:sz="0" w:space="0" w:color="auto"/>
          </w:divBdr>
        </w:div>
      </w:divsChild>
    </w:div>
    <w:div w:id="1260522681">
      <w:bodyDiv w:val="1"/>
      <w:marLeft w:val="0"/>
      <w:marRight w:val="0"/>
      <w:marTop w:val="0"/>
      <w:marBottom w:val="0"/>
      <w:divBdr>
        <w:top w:val="none" w:sz="0" w:space="0" w:color="auto"/>
        <w:left w:val="none" w:sz="0" w:space="0" w:color="auto"/>
        <w:bottom w:val="none" w:sz="0" w:space="0" w:color="auto"/>
        <w:right w:val="none" w:sz="0" w:space="0" w:color="auto"/>
      </w:divBdr>
    </w:div>
    <w:div w:id="1272778870">
      <w:bodyDiv w:val="1"/>
      <w:marLeft w:val="0"/>
      <w:marRight w:val="0"/>
      <w:marTop w:val="0"/>
      <w:marBottom w:val="0"/>
      <w:divBdr>
        <w:top w:val="none" w:sz="0" w:space="0" w:color="auto"/>
        <w:left w:val="none" w:sz="0" w:space="0" w:color="auto"/>
        <w:bottom w:val="none" w:sz="0" w:space="0" w:color="auto"/>
        <w:right w:val="none" w:sz="0" w:space="0" w:color="auto"/>
      </w:divBdr>
    </w:div>
    <w:div w:id="1282147577">
      <w:bodyDiv w:val="1"/>
      <w:marLeft w:val="0"/>
      <w:marRight w:val="0"/>
      <w:marTop w:val="0"/>
      <w:marBottom w:val="0"/>
      <w:divBdr>
        <w:top w:val="none" w:sz="0" w:space="0" w:color="auto"/>
        <w:left w:val="none" w:sz="0" w:space="0" w:color="auto"/>
        <w:bottom w:val="none" w:sz="0" w:space="0" w:color="auto"/>
        <w:right w:val="none" w:sz="0" w:space="0" w:color="auto"/>
      </w:divBdr>
    </w:div>
    <w:div w:id="1289048614">
      <w:bodyDiv w:val="1"/>
      <w:marLeft w:val="0"/>
      <w:marRight w:val="0"/>
      <w:marTop w:val="0"/>
      <w:marBottom w:val="0"/>
      <w:divBdr>
        <w:top w:val="none" w:sz="0" w:space="0" w:color="auto"/>
        <w:left w:val="none" w:sz="0" w:space="0" w:color="auto"/>
        <w:bottom w:val="none" w:sz="0" w:space="0" w:color="auto"/>
        <w:right w:val="none" w:sz="0" w:space="0" w:color="auto"/>
      </w:divBdr>
    </w:div>
    <w:div w:id="1293753871">
      <w:bodyDiv w:val="1"/>
      <w:marLeft w:val="0"/>
      <w:marRight w:val="0"/>
      <w:marTop w:val="0"/>
      <w:marBottom w:val="0"/>
      <w:divBdr>
        <w:top w:val="none" w:sz="0" w:space="0" w:color="auto"/>
        <w:left w:val="none" w:sz="0" w:space="0" w:color="auto"/>
        <w:bottom w:val="none" w:sz="0" w:space="0" w:color="auto"/>
        <w:right w:val="none" w:sz="0" w:space="0" w:color="auto"/>
      </w:divBdr>
      <w:divsChild>
        <w:div w:id="343018688">
          <w:marLeft w:val="0"/>
          <w:marRight w:val="0"/>
          <w:marTop w:val="0"/>
          <w:marBottom w:val="0"/>
          <w:divBdr>
            <w:top w:val="none" w:sz="0" w:space="0" w:color="auto"/>
            <w:left w:val="none" w:sz="0" w:space="0" w:color="auto"/>
            <w:bottom w:val="none" w:sz="0" w:space="0" w:color="auto"/>
            <w:right w:val="none" w:sz="0" w:space="0" w:color="auto"/>
          </w:divBdr>
        </w:div>
        <w:div w:id="1349257849">
          <w:marLeft w:val="0"/>
          <w:marRight w:val="0"/>
          <w:marTop w:val="0"/>
          <w:marBottom w:val="0"/>
          <w:divBdr>
            <w:top w:val="none" w:sz="0" w:space="0" w:color="auto"/>
            <w:left w:val="none" w:sz="0" w:space="0" w:color="auto"/>
            <w:bottom w:val="none" w:sz="0" w:space="0" w:color="auto"/>
            <w:right w:val="none" w:sz="0" w:space="0" w:color="auto"/>
          </w:divBdr>
        </w:div>
        <w:div w:id="1903980349">
          <w:marLeft w:val="0"/>
          <w:marRight w:val="0"/>
          <w:marTop w:val="0"/>
          <w:marBottom w:val="0"/>
          <w:divBdr>
            <w:top w:val="none" w:sz="0" w:space="0" w:color="auto"/>
            <w:left w:val="none" w:sz="0" w:space="0" w:color="auto"/>
            <w:bottom w:val="none" w:sz="0" w:space="0" w:color="auto"/>
            <w:right w:val="none" w:sz="0" w:space="0" w:color="auto"/>
          </w:divBdr>
        </w:div>
      </w:divsChild>
    </w:div>
    <w:div w:id="1303189661">
      <w:bodyDiv w:val="1"/>
      <w:marLeft w:val="0"/>
      <w:marRight w:val="0"/>
      <w:marTop w:val="0"/>
      <w:marBottom w:val="0"/>
      <w:divBdr>
        <w:top w:val="none" w:sz="0" w:space="0" w:color="auto"/>
        <w:left w:val="none" w:sz="0" w:space="0" w:color="auto"/>
        <w:bottom w:val="none" w:sz="0" w:space="0" w:color="auto"/>
        <w:right w:val="none" w:sz="0" w:space="0" w:color="auto"/>
      </w:divBdr>
    </w:div>
    <w:div w:id="1340506042">
      <w:bodyDiv w:val="1"/>
      <w:marLeft w:val="0"/>
      <w:marRight w:val="0"/>
      <w:marTop w:val="0"/>
      <w:marBottom w:val="0"/>
      <w:divBdr>
        <w:top w:val="none" w:sz="0" w:space="0" w:color="auto"/>
        <w:left w:val="none" w:sz="0" w:space="0" w:color="auto"/>
        <w:bottom w:val="none" w:sz="0" w:space="0" w:color="auto"/>
        <w:right w:val="none" w:sz="0" w:space="0" w:color="auto"/>
      </w:divBdr>
    </w:div>
    <w:div w:id="1344818064">
      <w:bodyDiv w:val="1"/>
      <w:marLeft w:val="0"/>
      <w:marRight w:val="0"/>
      <w:marTop w:val="0"/>
      <w:marBottom w:val="0"/>
      <w:divBdr>
        <w:top w:val="none" w:sz="0" w:space="0" w:color="auto"/>
        <w:left w:val="none" w:sz="0" w:space="0" w:color="auto"/>
        <w:bottom w:val="none" w:sz="0" w:space="0" w:color="auto"/>
        <w:right w:val="none" w:sz="0" w:space="0" w:color="auto"/>
      </w:divBdr>
    </w:div>
    <w:div w:id="1358315524">
      <w:bodyDiv w:val="1"/>
      <w:marLeft w:val="0"/>
      <w:marRight w:val="0"/>
      <w:marTop w:val="0"/>
      <w:marBottom w:val="0"/>
      <w:divBdr>
        <w:top w:val="none" w:sz="0" w:space="0" w:color="auto"/>
        <w:left w:val="none" w:sz="0" w:space="0" w:color="auto"/>
        <w:bottom w:val="none" w:sz="0" w:space="0" w:color="auto"/>
        <w:right w:val="none" w:sz="0" w:space="0" w:color="auto"/>
      </w:divBdr>
    </w:div>
    <w:div w:id="1370227356">
      <w:bodyDiv w:val="1"/>
      <w:marLeft w:val="0"/>
      <w:marRight w:val="0"/>
      <w:marTop w:val="0"/>
      <w:marBottom w:val="0"/>
      <w:divBdr>
        <w:top w:val="none" w:sz="0" w:space="0" w:color="auto"/>
        <w:left w:val="none" w:sz="0" w:space="0" w:color="auto"/>
        <w:bottom w:val="none" w:sz="0" w:space="0" w:color="auto"/>
        <w:right w:val="none" w:sz="0" w:space="0" w:color="auto"/>
      </w:divBdr>
    </w:div>
    <w:div w:id="1370569779">
      <w:bodyDiv w:val="1"/>
      <w:marLeft w:val="0"/>
      <w:marRight w:val="0"/>
      <w:marTop w:val="0"/>
      <w:marBottom w:val="0"/>
      <w:divBdr>
        <w:top w:val="none" w:sz="0" w:space="0" w:color="auto"/>
        <w:left w:val="none" w:sz="0" w:space="0" w:color="auto"/>
        <w:bottom w:val="none" w:sz="0" w:space="0" w:color="auto"/>
        <w:right w:val="none" w:sz="0" w:space="0" w:color="auto"/>
      </w:divBdr>
    </w:div>
    <w:div w:id="1373070109">
      <w:bodyDiv w:val="1"/>
      <w:marLeft w:val="0"/>
      <w:marRight w:val="0"/>
      <w:marTop w:val="0"/>
      <w:marBottom w:val="0"/>
      <w:divBdr>
        <w:top w:val="none" w:sz="0" w:space="0" w:color="auto"/>
        <w:left w:val="none" w:sz="0" w:space="0" w:color="auto"/>
        <w:bottom w:val="none" w:sz="0" w:space="0" w:color="auto"/>
        <w:right w:val="none" w:sz="0" w:space="0" w:color="auto"/>
      </w:divBdr>
    </w:div>
    <w:div w:id="1379740898">
      <w:bodyDiv w:val="1"/>
      <w:marLeft w:val="0"/>
      <w:marRight w:val="0"/>
      <w:marTop w:val="0"/>
      <w:marBottom w:val="0"/>
      <w:divBdr>
        <w:top w:val="none" w:sz="0" w:space="0" w:color="auto"/>
        <w:left w:val="none" w:sz="0" w:space="0" w:color="auto"/>
        <w:bottom w:val="none" w:sz="0" w:space="0" w:color="auto"/>
        <w:right w:val="none" w:sz="0" w:space="0" w:color="auto"/>
      </w:divBdr>
    </w:div>
    <w:div w:id="1380325659">
      <w:bodyDiv w:val="1"/>
      <w:marLeft w:val="0"/>
      <w:marRight w:val="0"/>
      <w:marTop w:val="0"/>
      <w:marBottom w:val="0"/>
      <w:divBdr>
        <w:top w:val="none" w:sz="0" w:space="0" w:color="auto"/>
        <w:left w:val="none" w:sz="0" w:space="0" w:color="auto"/>
        <w:bottom w:val="none" w:sz="0" w:space="0" w:color="auto"/>
        <w:right w:val="none" w:sz="0" w:space="0" w:color="auto"/>
      </w:divBdr>
    </w:div>
    <w:div w:id="1384523568">
      <w:bodyDiv w:val="1"/>
      <w:marLeft w:val="0"/>
      <w:marRight w:val="0"/>
      <w:marTop w:val="0"/>
      <w:marBottom w:val="0"/>
      <w:divBdr>
        <w:top w:val="none" w:sz="0" w:space="0" w:color="auto"/>
        <w:left w:val="none" w:sz="0" w:space="0" w:color="auto"/>
        <w:bottom w:val="none" w:sz="0" w:space="0" w:color="auto"/>
        <w:right w:val="none" w:sz="0" w:space="0" w:color="auto"/>
      </w:divBdr>
    </w:div>
    <w:div w:id="1387337290">
      <w:bodyDiv w:val="1"/>
      <w:marLeft w:val="0"/>
      <w:marRight w:val="0"/>
      <w:marTop w:val="0"/>
      <w:marBottom w:val="0"/>
      <w:divBdr>
        <w:top w:val="none" w:sz="0" w:space="0" w:color="auto"/>
        <w:left w:val="none" w:sz="0" w:space="0" w:color="auto"/>
        <w:bottom w:val="none" w:sz="0" w:space="0" w:color="auto"/>
        <w:right w:val="none" w:sz="0" w:space="0" w:color="auto"/>
      </w:divBdr>
      <w:divsChild>
        <w:div w:id="1301764585">
          <w:marLeft w:val="0"/>
          <w:marRight w:val="0"/>
          <w:marTop w:val="225"/>
          <w:marBottom w:val="300"/>
          <w:divBdr>
            <w:top w:val="none" w:sz="0" w:space="0" w:color="auto"/>
            <w:left w:val="none" w:sz="0" w:space="0" w:color="auto"/>
            <w:bottom w:val="none" w:sz="0" w:space="0" w:color="auto"/>
            <w:right w:val="none" w:sz="0" w:space="0" w:color="auto"/>
          </w:divBdr>
          <w:divsChild>
            <w:div w:id="30101057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92383184">
      <w:bodyDiv w:val="1"/>
      <w:marLeft w:val="0"/>
      <w:marRight w:val="0"/>
      <w:marTop w:val="0"/>
      <w:marBottom w:val="0"/>
      <w:divBdr>
        <w:top w:val="none" w:sz="0" w:space="0" w:color="auto"/>
        <w:left w:val="none" w:sz="0" w:space="0" w:color="auto"/>
        <w:bottom w:val="none" w:sz="0" w:space="0" w:color="auto"/>
        <w:right w:val="none" w:sz="0" w:space="0" w:color="auto"/>
      </w:divBdr>
    </w:div>
    <w:div w:id="1393237927">
      <w:bodyDiv w:val="1"/>
      <w:marLeft w:val="0"/>
      <w:marRight w:val="0"/>
      <w:marTop w:val="0"/>
      <w:marBottom w:val="0"/>
      <w:divBdr>
        <w:top w:val="none" w:sz="0" w:space="0" w:color="auto"/>
        <w:left w:val="none" w:sz="0" w:space="0" w:color="auto"/>
        <w:bottom w:val="none" w:sz="0" w:space="0" w:color="auto"/>
        <w:right w:val="none" w:sz="0" w:space="0" w:color="auto"/>
      </w:divBdr>
    </w:div>
    <w:div w:id="1405495532">
      <w:bodyDiv w:val="1"/>
      <w:marLeft w:val="0"/>
      <w:marRight w:val="0"/>
      <w:marTop w:val="0"/>
      <w:marBottom w:val="0"/>
      <w:divBdr>
        <w:top w:val="none" w:sz="0" w:space="0" w:color="auto"/>
        <w:left w:val="none" w:sz="0" w:space="0" w:color="auto"/>
        <w:bottom w:val="none" w:sz="0" w:space="0" w:color="auto"/>
        <w:right w:val="none" w:sz="0" w:space="0" w:color="auto"/>
      </w:divBdr>
    </w:div>
    <w:div w:id="1405644264">
      <w:bodyDiv w:val="1"/>
      <w:marLeft w:val="0"/>
      <w:marRight w:val="0"/>
      <w:marTop w:val="0"/>
      <w:marBottom w:val="0"/>
      <w:divBdr>
        <w:top w:val="none" w:sz="0" w:space="0" w:color="auto"/>
        <w:left w:val="none" w:sz="0" w:space="0" w:color="auto"/>
        <w:bottom w:val="none" w:sz="0" w:space="0" w:color="auto"/>
        <w:right w:val="none" w:sz="0" w:space="0" w:color="auto"/>
      </w:divBdr>
    </w:div>
    <w:div w:id="1428425114">
      <w:bodyDiv w:val="1"/>
      <w:marLeft w:val="0"/>
      <w:marRight w:val="0"/>
      <w:marTop w:val="0"/>
      <w:marBottom w:val="0"/>
      <w:divBdr>
        <w:top w:val="none" w:sz="0" w:space="0" w:color="auto"/>
        <w:left w:val="none" w:sz="0" w:space="0" w:color="auto"/>
        <w:bottom w:val="none" w:sz="0" w:space="0" w:color="auto"/>
        <w:right w:val="none" w:sz="0" w:space="0" w:color="auto"/>
      </w:divBdr>
    </w:div>
    <w:div w:id="1433162112">
      <w:bodyDiv w:val="1"/>
      <w:marLeft w:val="0"/>
      <w:marRight w:val="0"/>
      <w:marTop w:val="0"/>
      <w:marBottom w:val="0"/>
      <w:divBdr>
        <w:top w:val="none" w:sz="0" w:space="0" w:color="auto"/>
        <w:left w:val="none" w:sz="0" w:space="0" w:color="auto"/>
        <w:bottom w:val="none" w:sz="0" w:space="0" w:color="auto"/>
        <w:right w:val="none" w:sz="0" w:space="0" w:color="auto"/>
      </w:divBdr>
    </w:div>
    <w:div w:id="1462842784">
      <w:bodyDiv w:val="1"/>
      <w:marLeft w:val="0"/>
      <w:marRight w:val="0"/>
      <w:marTop w:val="0"/>
      <w:marBottom w:val="0"/>
      <w:divBdr>
        <w:top w:val="none" w:sz="0" w:space="0" w:color="auto"/>
        <w:left w:val="none" w:sz="0" w:space="0" w:color="auto"/>
        <w:bottom w:val="none" w:sz="0" w:space="0" w:color="auto"/>
        <w:right w:val="none" w:sz="0" w:space="0" w:color="auto"/>
      </w:divBdr>
    </w:div>
    <w:div w:id="1470636643">
      <w:bodyDiv w:val="1"/>
      <w:marLeft w:val="0"/>
      <w:marRight w:val="0"/>
      <w:marTop w:val="0"/>
      <w:marBottom w:val="0"/>
      <w:divBdr>
        <w:top w:val="none" w:sz="0" w:space="0" w:color="auto"/>
        <w:left w:val="none" w:sz="0" w:space="0" w:color="auto"/>
        <w:bottom w:val="none" w:sz="0" w:space="0" w:color="auto"/>
        <w:right w:val="none" w:sz="0" w:space="0" w:color="auto"/>
      </w:divBdr>
    </w:div>
    <w:div w:id="1480001579">
      <w:bodyDiv w:val="1"/>
      <w:marLeft w:val="0"/>
      <w:marRight w:val="0"/>
      <w:marTop w:val="0"/>
      <w:marBottom w:val="0"/>
      <w:divBdr>
        <w:top w:val="none" w:sz="0" w:space="0" w:color="auto"/>
        <w:left w:val="none" w:sz="0" w:space="0" w:color="auto"/>
        <w:bottom w:val="none" w:sz="0" w:space="0" w:color="auto"/>
        <w:right w:val="none" w:sz="0" w:space="0" w:color="auto"/>
      </w:divBdr>
    </w:div>
    <w:div w:id="1481770361">
      <w:bodyDiv w:val="1"/>
      <w:marLeft w:val="0"/>
      <w:marRight w:val="0"/>
      <w:marTop w:val="0"/>
      <w:marBottom w:val="0"/>
      <w:divBdr>
        <w:top w:val="none" w:sz="0" w:space="0" w:color="auto"/>
        <w:left w:val="none" w:sz="0" w:space="0" w:color="auto"/>
        <w:bottom w:val="none" w:sz="0" w:space="0" w:color="auto"/>
        <w:right w:val="none" w:sz="0" w:space="0" w:color="auto"/>
      </w:divBdr>
    </w:div>
    <w:div w:id="1492912035">
      <w:bodyDiv w:val="1"/>
      <w:marLeft w:val="0"/>
      <w:marRight w:val="0"/>
      <w:marTop w:val="0"/>
      <w:marBottom w:val="0"/>
      <w:divBdr>
        <w:top w:val="none" w:sz="0" w:space="0" w:color="auto"/>
        <w:left w:val="none" w:sz="0" w:space="0" w:color="auto"/>
        <w:bottom w:val="none" w:sz="0" w:space="0" w:color="auto"/>
        <w:right w:val="none" w:sz="0" w:space="0" w:color="auto"/>
      </w:divBdr>
    </w:div>
    <w:div w:id="1505125347">
      <w:bodyDiv w:val="1"/>
      <w:marLeft w:val="0"/>
      <w:marRight w:val="0"/>
      <w:marTop w:val="0"/>
      <w:marBottom w:val="0"/>
      <w:divBdr>
        <w:top w:val="none" w:sz="0" w:space="0" w:color="auto"/>
        <w:left w:val="none" w:sz="0" w:space="0" w:color="auto"/>
        <w:bottom w:val="none" w:sz="0" w:space="0" w:color="auto"/>
        <w:right w:val="none" w:sz="0" w:space="0" w:color="auto"/>
      </w:divBdr>
    </w:div>
    <w:div w:id="1512916464">
      <w:bodyDiv w:val="1"/>
      <w:marLeft w:val="0"/>
      <w:marRight w:val="0"/>
      <w:marTop w:val="0"/>
      <w:marBottom w:val="0"/>
      <w:divBdr>
        <w:top w:val="none" w:sz="0" w:space="0" w:color="auto"/>
        <w:left w:val="none" w:sz="0" w:space="0" w:color="auto"/>
        <w:bottom w:val="none" w:sz="0" w:space="0" w:color="auto"/>
        <w:right w:val="none" w:sz="0" w:space="0" w:color="auto"/>
      </w:divBdr>
    </w:div>
    <w:div w:id="1516076518">
      <w:bodyDiv w:val="1"/>
      <w:marLeft w:val="0"/>
      <w:marRight w:val="0"/>
      <w:marTop w:val="0"/>
      <w:marBottom w:val="0"/>
      <w:divBdr>
        <w:top w:val="none" w:sz="0" w:space="0" w:color="auto"/>
        <w:left w:val="none" w:sz="0" w:space="0" w:color="auto"/>
        <w:bottom w:val="none" w:sz="0" w:space="0" w:color="auto"/>
        <w:right w:val="none" w:sz="0" w:space="0" w:color="auto"/>
      </w:divBdr>
    </w:div>
    <w:div w:id="1540359242">
      <w:bodyDiv w:val="1"/>
      <w:marLeft w:val="0"/>
      <w:marRight w:val="0"/>
      <w:marTop w:val="0"/>
      <w:marBottom w:val="0"/>
      <w:divBdr>
        <w:top w:val="none" w:sz="0" w:space="0" w:color="auto"/>
        <w:left w:val="none" w:sz="0" w:space="0" w:color="auto"/>
        <w:bottom w:val="none" w:sz="0" w:space="0" w:color="auto"/>
        <w:right w:val="none" w:sz="0" w:space="0" w:color="auto"/>
      </w:divBdr>
    </w:div>
    <w:div w:id="1548836998">
      <w:bodyDiv w:val="1"/>
      <w:marLeft w:val="0"/>
      <w:marRight w:val="0"/>
      <w:marTop w:val="0"/>
      <w:marBottom w:val="0"/>
      <w:divBdr>
        <w:top w:val="none" w:sz="0" w:space="0" w:color="auto"/>
        <w:left w:val="none" w:sz="0" w:space="0" w:color="auto"/>
        <w:bottom w:val="none" w:sz="0" w:space="0" w:color="auto"/>
        <w:right w:val="none" w:sz="0" w:space="0" w:color="auto"/>
      </w:divBdr>
    </w:div>
    <w:div w:id="1564682824">
      <w:bodyDiv w:val="1"/>
      <w:marLeft w:val="0"/>
      <w:marRight w:val="0"/>
      <w:marTop w:val="0"/>
      <w:marBottom w:val="0"/>
      <w:divBdr>
        <w:top w:val="none" w:sz="0" w:space="0" w:color="auto"/>
        <w:left w:val="none" w:sz="0" w:space="0" w:color="auto"/>
        <w:bottom w:val="none" w:sz="0" w:space="0" w:color="auto"/>
        <w:right w:val="none" w:sz="0" w:space="0" w:color="auto"/>
      </w:divBdr>
      <w:divsChild>
        <w:div w:id="2046444284">
          <w:marLeft w:val="0"/>
          <w:marRight w:val="0"/>
          <w:marTop w:val="0"/>
          <w:marBottom w:val="0"/>
          <w:divBdr>
            <w:top w:val="none" w:sz="0" w:space="0" w:color="auto"/>
            <w:left w:val="none" w:sz="0" w:space="0" w:color="auto"/>
            <w:bottom w:val="none" w:sz="0" w:space="0" w:color="auto"/>
            <w:right w:val="none" w:sz="0" w:space="0" w:color="auto"/>
          </w:divBdr>
          <w:divsChild>
            <w:div w:id="1200319819">
              <w:marLeft w:val="0"/>
              <w:marRight w:val="0"/>
              <w:marTop w:val="0"/>
              <w:marBottom w:val="0"/>
              <w:divBdr>
                <w:top w:val="none" w:sz="0" w:space="0" w:color="auto"/>
                <w:left w:val="none" w:sz="0" w:space="0" w:color="auto"/>
                <w:bottom w:val="none" w:sz="0" w:space="0" w:color="auto"/>
                <w:right w:val="none" w:sz="0" w:space="0" w:color="auto"/>
              </w:divBdr>
              <w:divsChild>
                <w:div w:id="496265442">
                  <w:marLeft w:val="0"/>
                  <w:marRight w:val="0"/>
                  <w:marTop w:val="0"/>
                  <w:marBottom w:val="0"/>
                  <w:divBdr>
                    <w:top w:val="none" w:sz="0" w:space="0" w:color="auto"/>
                    <w:left w:val="none" w:sz="0" w:space="0" w:color="auto"/>
                    <w:bottom w:val="none" w:sz="0" w:space="0" w:color="auto"/>
                    <w:right w:val="none" w:sz="0" w:space="0" w:color="auto"/>
                  </w:divBdr>
                  <w:divsChild>
                    <w:div w:id="1492285055">
                      <w:marLeft w:val="0"/>
                      <w:marRight w:val="0"/>
                      <w:marTop w:val="0"/>
                      <w:marBottom w:val="0"/>
                      <w:divBdr>
                        <w:top w:val="none" w:sz="0" w:space="0" w:color="auto"/>
                        <w:left w:val="none" w:sz="0" w:space="0" w:color="auto"/>
                        <w:bottom w:val="none" w:sz="0" w:space="0" w:color="auto"/>
                        <w:right w:val="none" w:sz="0" w:space="0" w:color="auto"/>
                      </w:divBdr>
                      <w:divsChild>
                        <w:div w:id="186787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210901">
      <w:bodyDiv w:val="1"/>
      <w:marLeft w:val="0"/>
      <w:marRight w:val="0"/>
      <w:marTop w:val="0"/>
      <w:marBottom w:val="0"/>
      <w:divBdr>
        <w:top w:val="none" w:sz="0" w:space="0" w:color="auto"/>
        <w:left w:val="none" w:sz="0" w:space="0" w:color="auto"/>
        <w:bottom w:val="none" w:sz="0" w:space="0" w:color="auto"/>
        <w:right w:val="none" w:sz="0" w:space="0" w:color="auto"/>
      </w:divBdr>
    </w:div>
    <w:div w:id="1600599539">
      <w:bodyDiv w:val="1"/>
      <w:marLeft w:val="0"/>
      <w:marRight w:val="0"/>
      <w:marTop w:val="0"/>
      <w:marBottom w:val="0"/>
      <w:divBdr>
        <w:top w:val="none" w:sz="0" w:space="0" w:color="auto"/>
        <w:left w:val="none" w:sz="0" w:space="0" w:color="auto"/>
        <w:bottom w:val="none" w:sz="0" w:space="0" w:color="auto"/>
        <w:right w:val="none" w:sz="0" w:space="0" w:color="auto"/>
      </w:divBdr>
      <w:divsChild>
        <w:div w:id="585847149">
          <w:marLeft w:val="0"/>
          <w:marRight w:val="0"/>
          <w:marTop w:val="0"/>
          <w:marBottom w:val="0"/>
          <w:divBdr>
            <w:top w:val="none" w:sz="0" w:space="0" w:color="auto"/>
            <w:left w:val="none" w:sz="0" w:space="0" w:color="auto"/>
            <w:bottom w:val="none" w:sz="0" w:space="0" w:color="auto"/>
            <w:right w:val="none" w:sz="0" w:space="0" w:color="auto"/>
          </w:divBdr>
          <w:divsChild>
            <w:div w:id="546642256">
              <w:marLeft w:val="0"/>
              <w:marRight w:val="0"/>
              <w:marTop w:val="0"/>
              <w:marBottom w:val="0"/>
              <w:divBdr>
                <w:top w:val="none" w:sz="0" w:space="0" w:color="auto"/>
                <w:left w:val="none" w:sz="0" w:space="0" w:color="auto"/>
                <w:bottom w:val="none" w:sz="0" w:space="0" w:color="auto"/>
                <w:right w:val="none" w:sz="0" w:space="0" w:color="auto"/>
              </w:divBdr>
              <w:divsChild>
                <w:div w:id="2036809410">
                  <w:marLeft w:val="0"/>
                  <w:marRight w:val="0"/>
                  <w:marTop w:val="0"/>
                  <w:marBottom w:val="0"/>
                  <w:divBdr>
                    <w:top w:val="none" w:sz="0" w:space="0" w:color="auto"/>
                    <w:left w:val="none" w:sz="0" w:space="0" w:color="auto"/>
                    <w:bottom w:val="none" w:sz="0" w:space="0" w:color="auto"/>
                    <w:right w:val="none" w:sz="0" w:space="0" w:color="auto"/>
                  </w:divBdr>
                  <w:divsChild>
                    <w:div w:id="2012832061">
                      <w:marLeft w:val="0"/>
                      <w:marRight w:val="0"/>
                      <w:marTop w:val="0"/>
                      <w:marBottom w:val="0"/>
                      <w:divBdr>
                        <w:top w:val="none" w:sz="0" w:space="0" w:color="auto"/>
                        <w:left w:val="none" w:sz="0" w:space="0" w:color="auto"/>
                        <w:bottom w:val="none" w:sz="0" w:space="0" w:color="auto"/>
                        <w:right w:val="none" w:sz="0" w:space="0" w:color="auto"/>
                      </w:divBdr>
                      <w:divsChild>
                        <w:div w:id="1005745013">
                          <w:marLeft w:val="0"/>
                          <w:marRight w:val="0"/>
                          <w:marTop w:val="0"/>
                          <w:marBottom w:val="0"/>
                          <w:divBdr>
                            <w:top w:val="none" w:sz="0" w:space="0" w:color="auto"/>
                            <w:left w:val="none" w:sz="0" w:space="0" w:color="auto"/>
                            <w:bottom w:val="none" w:sz="0" w:space="0" w:color="auto"/>
                            <w:right w:val="none" w:sz="0" w:space="0" w:color="auto"/>
                          </w:divBdr>
                          <w:divsChild>
                            <w:div w:id="182362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236545">
      <w:bodyDiv w:val="1"/>
      <w:marLeft w:val="0"/>
      <w:marRight w:val="0"/>
      <w:marTop w:val="0"/>
      <w:marBottom w:val="0"/>
      <w:divBdr>
        <w:top w:val="none" w:sz="0" w:space="0" w:color="auto"/>
        <w:left w:val="none" w:sz="0" w:space="0" w:color="auto"/>
        <w:bottom w:val="none" w:sz="0" w:space="0" w:color="auto"/>
        <w:right w:val="none" w:sz="0" w:space="0" w:color="auto"/>
      </w:divBdr>
      <w:divsChild>
        <w:div w:id="19597923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079573">
      <w:bodyDiv w:val="1"/>
      <w:marLeft w:val="0"/>
      <w:marRight w:val="0"/>
      <w:marTop w:val="0"/>
      <w:marBottom w:val="0"/>
      <w:divBdr>
        <w:top w:val="none" w:sz="0" w:space="0" w:color="auto"/>
        <w:left w:val="none" w:sz="0" w:space="0" w:color="auto"/>
        <w:bottom w:val="none" w:sz="0" w:space="0" w:color="auto"/>
        <w:right w:val="none" w:sz="0" w:space="0" w:color="auto"/>
      </w:divBdr>
      <w:divsChild>
        <w:div w:id="600381521">
          <w:marLeft w:val="0"/>
          <w:marRight w:val="0"/>
          <w:marTop w:val="0"/>
          <w:marBottom w:val="0"/>
          <w:divBdr>
            <w:top w:val="none" w:sz="0" w:space="0" w:color="auto"/>
            <w:left w:val="none" w:sz="0" w:space="0" w:color="auto"/>
            <w:bottom w:val="none" w:sz="0" w:space="0" w:color="auto"/>
            <w:right w:val="none" w:sz="0" w:space="0" w:color="auto"/>
          </w:divBdr>
          <w:divsChild>
            <w:div w:id="1252738904">
              <w:marLeft w:val="0"/>
              <w:marRight w:val="0"/>
              <w:marTop w:val="0"/>
              <w:marBottom w:val="0"/>
              <w:divBdr>
                <w:top w:val="none" w:sz="0" w:space="0" w:color="auto"/>
                <w:left w:val="none" w:sz="0" w:space="0" w:color="auto"/>
                <w:bottom w:val="none" w:sz="0" w:space="0" w:color="auto"/>
                <w:right w:val="none" w:sz="0" w:space="0" w:color="auto"/>
              </w:divBdr>
              <w:divsChild>
                <w:div w:id="1724057926">
                  <w:marLeft w:val="0"/>
                  <w:marRight w:val="0"/>
                  <w:marTop w:val="0"/>
                  <w:marBottom w:val="0"/>
                  <w:divBdr>
                    <w:top w:val="none" w:sz="0" w:space="0" w:color="auto"/>
                    <w:left w:val="none" w:sz="0" w:space="0" w:color="auto"/>
                    <w:bottom w:val="none" w:sz="0" w:space="0" w:color="auto"/>
                    <w:right w:val="none" w:sz="0" w:space="0" w:color="auto"/>
                  </w:divBdr>
                  <w:divsChild>
                    <w:div w:id="179424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897381">
      <w:bodyDiv w:val="1"/>
      <w:marLeft w:val="0"/>
      <w:marRight w:val="0"/>
      <w:marTop w:val="0"/>
      <w:marBottom w:val="0"/>
      <w:divBdr>
        <w:top w:val="none" w:sz="0" w:space="0" w:color="auto"/>
        <w:left w:val="none" w:sz="0" w:space="0" w:color="auto"/>
        <w:bottom w:val="none" w:sz="0" w:space="0" w:color="auto"/>
        <w:right w:val="none" w:sz="0" w:space="0" w:color="auto"/>
      </w:divBdr>
    </w:div>
    <w:div w:id="1633558069">
      <w:bodyDiv w:val="1"/>
      <w:marLeft w:val="0"/>
      <w:marRight w:val="0"/>
      <w:marTop w:val="0"/>
      <w:marBottom w:val="0"/>
      <w:divBdr>
        <w:top w:val="none" w:sz="0" w:space="0" w:color="auto"/>
        <w:left w:val="none" w:sz="0" w:space="0" w:color="auto"/>
        <w:bottom w:val="none" w:sz="0" w:space="0" w:color="auto"/>
        <w:right w:val="none" w:sz="0" w:space="0" w:color="auto"/>
      </w:divBdr>
      <w:divsChild>
        <w:div w:id="109783058">
          <w:marLeft w:val="0"/>
          <w:marRight w:val="0"/>
          <w:marTop w:val="0"/>
          <w:marBottom w:val="0"/>
          <w:divBdr>
            <w:top w:val="none" w:sz="0" w:space="0" w:color="auto"/>
            <w:left w:val="none" w:sz="0" w:space="0" w:color="auto"/>
            <w:bottom w:val="none" w:sz="0" w:space="0" w:color="auto"/>
            <w:right w:val="none" w:sz="0" w:space="0" w:color="auto"/>
          </w:divBdr>
          <w:divsChild>
            <w:div w:id="59210714">
              <w:marLeft w:val="0"/>
              <w:marRight w:val="0"/>
              <w:marTop w:val="0"/>
              <w:marBottom w:val="0"/>
              <w:divBdr>
                <w:top w:val="none" w:sz="0" w:space="0" w:color="auto"/>
                <w:left w:val="none" w:sz="0" w:space="0" w:color="auto"/>
                <w:bottom w:val="none" w:sz="0" w:space="0" w:color="auto"/>
                <w:right w:val="none" w:sz="0" w:space="0" w:color="auto"/>
              </w:divBdr>
              <w:divsChild>
                <w:div w:id="697051412">
                  <w:marLeft w:val="0"/>
                  <w:marRight w:val="0"/>
                  <w:marTop w:val="0"/>
                  <w:marBottom w:val="0"/>
                  <w:divBdr>
                    <w:top w:val="none" w:sz="0" w:space="0" w:color="auto"/>
                    <w:left w:val="none" w:sz="0" w:space="0" w:color="auto"/>
                    <w:bottom w:val="none" w:sz="0" w:space="0" w:color="auto"/>
                    <w:right w:val="none" w:sz="0" w:space="0" w:color="auto"/>
                  </w:divBdr>
                  <w:divsChild>
                    <w:div w:id="1158769139">
                      <w:marLeft w:val="0"/>
                      <w:marRight w:val="0"/>
                      <w:marTop w:val="0"/>
                      <w:marBottom w:val="0"/>
                      <w:divBdr>
                        <w:top w:val="none" w:sz="0" w:space="0" w:color="auto"/>
                        <w:left w:val="none" w:sz="0" w:space="0" w:color="auto"/>
                        <w:bottom w:val="none" w:sz="0" w:space="0" w:color="auto"/>
                        <w:right w:val="none" w:sz="0" w:space="0" w:color="auto"/>
                      </w:divBdr>
                      <w:divsChild>
                        <w:div w:id="721053548">
                          <w:marLeft w:val="0"/>
                          <w:marRight w:val="0"/>
                          <w:marTop w:val="0"/>
                          <w:marBottom w:val="0"/>
                          <w:divBdr>
                            <w:top w:val="none" w:sz="0" w:space="0" w:color="auto"/>
                            <w:left w:val="none" w:sz="0" w:space="0" w:color="auto"/>
                            <w:bottom w:val="none" w:sz="0" w:space="0" w:color="auto"/>
                            <w:right w:val="none" w:sz="0" w:space="0" w:color="auto"/>
                          </w:divBdr>
                          <w:divsChild>
                            <w:div w:id="1431469009">
                              <w:marLeft w:val="0"/>
                              <w:marRight w:val="0"/>
                              <w:marTop w:val="0"/>
                              <w:marBottom w:val="0"/>
                              <w:divBdr>
                                <w:top w:val="none" w:sz="0" w:space="0" w:color="auto"/>
                                <w:left w:val="none" w:sz="0" w:space="0" w:color="auto"/>
                                <w:bottom w:val="none" w:sz="0" w:space="0" w:color="auto"/>
                                <w:right w:val="none" w:sz="0" w:space="0" w:color="auto"/>
                              </w:divBdr>
                              <w:divsChild>
                                <w:div w:id="38988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8167848">
      <w:bodyDiv w:val="1"/>
      <w:marLeft w:val="0"/>
      <w:marRight w:val="0"/>
      <w:marTop w:val="0"/>
      <w:marBottom w:val="0"/>
      <w:divBdr>
        <w:top w:val="none" w:sz="0" w:space="0" w:color="auto"/>
        <w:left w:val="none" w:sz="0" w:space="0" w:color="auto"/>
        <w:bottom w:val="none" w:sz="0" w:space="0" w:color="auto"/>
        <w:right w:val="none" w:sz="0" w:space="0" w:color="auto"/>
      </w:divBdr>
      <w:divsChild>
        <w:div w:id="1714384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1158762">
      <w:bodyDiv w:val="1"/>
      <w:marLeft w:val="0"/>
      <w:marRight w:val="0"/>
      <w:marTop w:val="0"/>
      <w:marBottom w:val="0"/>
      <w:divBdr>
        <w:top w:val="none" w:sz="0" w:space="0" w:color="auto"/>
        <w:left w:val="none" w:sz="0" w:space="0" w:color="auto"/>
        <w:bottom w:val="none" w:sz="0" w:space="0" w:color="auto"/>
        <w:right w:val="none" w:sz="0" w:space="0" w:color="auto"/>
      </w:divBdr>
    </w:div>
    <w:div w:id="1670012589">
      <w:bodyDiv w:val="1"/>
      <w:marLeft w:val="0"/>
      <w:marRight w:val="0"/>
      <w:marTop w:val="0"/>
      <w:marBottom w:val="0"/>
      <w:divBdr>
        <w:top w:val="none" w:sz="0" w:space="0" w:color="auto"/>
        <w:left w:val="none" w:sz="0" w:space="0" w:color="auto"/>
        <w:bottom w:val="none" w:sz="0" w:space="0" w:color="auto"/>
        <w:right w:val="none" w:sz="0" w:space="0" w:color="auto"/>
      </w:divBdr>
    </w:div>
    <w:div w:id="1685203060">
      <w:bodyDiv w:val="1"/>
      <w:marLeft w:val="0"/>
      <w:marRight w:val="0"/>
      <w:marTop w:val="0"/>
      <w:marBottom w:val="0"/>
      <w:divBdr>
        <w:top w:val="none" w:sz="0" w:space="0" w:color="auto"/>
        <w:left w:val="none" w:sz="0" w:space="0" w:color="auto"/>
        <w:bottom w:val="none" w:sz="0" w:space="0" w:color="auto"/>
        <w:right w:val="none" w:sz="0" w:space="0" w:color="auto"/>
      </w:divBdr>
    </w:div>
    <w:div w:id="1695574195">
      <w:bodyDiv w:val="1"/>
      <w:marLeft w:val="0"/>
      <w:marRight w:val="0"/>
      <w:marTop w:val="0"/>
      <w:marBottom w:val="0"/>
      <w:divBdr>
        <w:top w:val="none" w:sz="0" w:space="0" w:color="auto"/>
        <w:left w:val="none" w:sz="0" w:space="0" w:color="auto"/>
        <w:bottom w:val="none" w:sz="0" w:space="0" w:color="auto"/>
        <w:right w:val="none" w:sz="0" w:space="0" w:color="auto"/>
      </w:divBdr>
      <w:divsChild>
        <w:div w:id="1337490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290692">
      <w:bodyDiv w:val="1"/>
      <w:marLeft w:val="0"/>
      <w:marRight w:val="0"/>
      <w:marTop w:val="0"/>
      <w:marBottom w:val="0"/>
      <w:divBdr>
        <w:top w:val="none" w:sz="0" w:space="0" w:color="auto"/>
        <w:left w:val="none" w:sz="0" w:space="0" w:color="auto"/>
        <w:bottom w:val="none" w:sz="0" w:space="0" w:color="auto"/>
        <w:right w:val="none" w:sz="0" w:space="0" w:color="auto"/>
      </w:divBdr>
    </w:div>
    <w:div w:id="1729760679">
      <w:bodyDiv w:val="1"/>
      <w:marLeft w:val="0"/>
      <w:marRight w:val="0"/>
      <w:marTop w:val="0"/>
      <w:marBottom w:val="0"/>
      <w:divBdr>
        <w:top w:val="none" w:sz="0" w:space="0" w:color="auto"/>
        <w:left w:val="none" w:sz="0" w:space="0" w:color="auto"/>
        <w:bottom w:val="none" w:sz="0" w:space="0" w:color="auto"/>
        <w:right w:val="none" w:sz="0" w:space="0" w:color="auto"/>
      </w:divBdr>
    </w:div>
    <w:div w:id="1759131813">
      <w:bodyDiv w:val="1"/>
      <w:marLeft w:val="0"/>
      <w:marRight w:val="0"/>
      <w:marTop w:val="0"/>
      <w:marBottom w:val="0"/>
      <w:divBdr>
        <w:top w:val="none" w:sz="0" w:space="0" w:color="auto"/>
        <w:left w:val="none" w:sz="0" w:space="0" w:color="auto"/>
        <w:bottom w:val="none" w:sz="0" w:space="0" w:color="auto"/>
        <w:right w:val="none" w:sz="0" w:space="0" w:color="auto"/>
      </w:divBdr>
    </w:div>
    <w:div w:id="1773276591">
      <w:bodyDiv w:val="1"/>
      <w:marLeft w:val="0"/>
      <w:marRight w:val="0"/>
      <w:marTop w:val="0"/>
      <w:marBottom w:val="0"/>
      <w:divBdr>
        <w:top w:val="none" w:sz="0" w:space="0" w:color="auto"/>
        <w:left w:val="none" w:sz="0" w:space="0" w:color="auto"/>
        <w:bottom w:val="none" w:sz="0" w:space="0" w:color="auto"/>
        <w:right w:val="none" w:sz="0" w:space="0" w:color="auto"/>
      </w:divBdr>
    </w:div>
    <w:div w:id="1783262283">
      <w:bodyDiv w:val="1"/>
      <w:marLeft w:val="0"/>
      <w:marRight w:val="0"/>
      <w:marTop w:val="0"/>
      <w:marBottom w:val="0"/>
      <w:divBdr>
        <w:top w:val="none" w:sz="0" w:space="0" w:color="auto"/>
        <w:left w:val="none" w:sz="0" w:space="0" w:color="auto"/>
        <w:bottom w:val="none" w:sz="0" w:space="0" w:color="auto"/>
        <w:right w:val="none" w:sz="0" w:space="0" w:color="auto"/>
      </w:divBdr>
    </w:div>
    <w:div w:id="1788041256">
      <w:bodyDiv w:val="1"/>
      <w:marLeft w:val="0"/>
      <w:marRight w:val="0"/>
      <w:marTop w:val="0"/>
      <w:marBottom w:val="0"/>
      <w:divBdr>
        <w:top w:val="none" w:sz="0" w:space="0" w:color="auto"/>
        <w:left w:val="none" w:sz="0" w:space="0" w:color="auto"/>
        <w:bottom w:val="none" w:sz="0" w:space="0" w:color="auto"/>
        <w:right w:val="none" w:sz="0" w:space="0" w:color="auto"/>
      </w:divBdr>
    </w:div>
    <w:div w:id="1806503236">
      <w:bodyDiv w:val="1"/>
      <w:marLeft w:val="0"/>
      <w:marRight w:val="0"/>
      <w:marTop w:val="0"/>
      <w:marBottom w:val="0"/>
      <w:divBdr>
        <w:top w:val="none" w:sz="0" w:space="0" w:color="auto"/>
        <w:left w:val="none" w:sz="0" w:space="0" w:color="auto"/>
        <w:bottom w:val="none" w:sz="0" w:space="0" w:color="auto"/>
        <w:right w:val="none" w:sz="0" w:space="0" w:color="auto"/>
      </w:divBdr>
    </w:div>
    <w:div w:id="1817919705">
      <w:bodyDiv w:val="1"/>
      <w:marLeft w:val="0"/>
      <w:marRight w:val="0"/>
      <w:marTop w:val="0"/>
      <w:marBottom w:val="0"/>
      <w:divBdr>
        <w:top w:val="none" w:sz="0" w:space="0" w:color="auto"/>
        <w:left w:val="none" w:sz="0" w:space="0" w:color="auto"/>
        <w:bottom w:val="none" w:sz="0" w:space="0" w:color="auto"/>
        <w:right w:val="none" w:sz="0" w:space="0" w:color="auto"/>
      </w:divBdr>
    </w:div>
    <w:div w:id="1821967287">
      <w:bodyDiv w:val="1"/>
      <w:marLeft w:val="0"/>
      <w:marRight w:val="0"/>
      <w:marTop w:val="0"/>
      <w:marBottom w:val="0"/>
      <w:divBdr>
        <w:top w:val="none" w:sz="0" w:space="0" w:color="auto"/>
        <w:left w:val="none" w:sz="0" w:space="0" w:color="auto"/>
        <w:bottom w:val="none" w:sz="0" w:space="0" w:color="auto"/>
        <w:right w:val="none" w:sz="0" w:space="0" w:color="auto"/>
      </w:divBdr>
    </w:div>
    <w:div w:id="1833449611">
      <w:bodyDiv w:val="1"/>
      <w:marLeft w:val="0"/>
      <w:marRight w:val="0"/>
      <w:marTop w:val="0"/>
      <w:marBottom w:val="0"/>
      <w:divBdr>
        <w:top w:val="none" w:sz="0" w:space="0" w:color="auto"/>
        <w:left w:val="none" w:sz="0" w:space="0" w:color="auto"/>
        <w:bottom w:val="none" w:sz="0" w:space="0" w:color="auto"/>
        <w:right w:val="none" w:sz="0" w:space="0" w:color="auto"/>
      </w:divBdr>
    </w:div>
    <w:div w:id="1837916229">
      <w:bodyDiv w:val="1"/>
      <w:marLeft w:val="0"/>
      <w:marRight w:val="0"/>
      <w:marTop w:val="0"/>
      <w:marBottom w:val="0"/>
      <w:divBdr>
        <w:top w:val="none" w:sz="0" w:space="0" w:color="auto"/>
        <w:left w:val="none" w:sz="0" w:space="0" w:color="auto"/>
        <w:bottom w:val="none" w:sz="0" w:space="0" w:color="auto"/>
        <w:right w:val="none" w:sz="0" w:space="0" w:color="auto"/>
      </w:divBdr>
      <w:divsChild>
        <w:div w:id="1093433612">
          <w:marLeft w:val="0"/>
          <w:marRight w:val="0"/>
          <w:marTop w:val="0"/>
          <w:marBottom w:val="0"/>
          <w:divBdr>
            <w:top w:val="none" w:sz="0" w:space="0" w:color="auto"/>
            <w:left w:val="none" w:sz="0" w:space="0" w:color="auto"/>
            <w:bottom w:val="none" w:sz="0" w:space="0" w:color="auto"/>
            <w:right w:val="none" w:sz="0" w:space="0" w:color="auto"/>
          </w:divBdr>
          <w:divsChild>
            <w:div w:id="217252102">
              <w:marLeft w:val="0"/>
              <w:marRight w:val="0"/>
              <w:marTop w:val="0"/>
              <w:marBottom w:val="0"/>
              <w:divBdr>
                <w:top w:val="none" w:sz="0" w:space="0" w:color="auto"/>
                <w:left w:val="none" w:sz="0" w:space="0" w:color="auto"/>
                <w:bottom w:val="none" w:sz="0" w:space="0" w:color="auto"/>
                <w:right w:val="none" w:sz="0" w:space="0" w:color="auto"/>
              </w:divBdr>
              <w:divsChild>
                <w:div w:id="1070730348">
                  <w:marLeft w:val="0"/>
                  <w:marRight w:val="0"/>
                  <w:marTop w:val="0"/>
                  <w:marBottom w:val="0"/>
                  <w:divBdr>
                    <w:top w:val="none" w:sz="0" w:space="0" w:color="auto"/>
                    <w:left w:val="none" w:sz="0" w:space="0" w:color="auto"/>
                    <w:bottom w:val="none" w:sz="0" w:space="0" w:color="auto"/>
                    <w:right w:val="none" w:sz="0" w:space="0" w:color="auto"/>
                  </w:divBdr>
                  <w:divsChild>
                    <w:div w:id="492066070">
                      <w:marLeft w:val="0"/>
                      <w:marRight w:val="0"/>
                      <w:marTop w:val="0"/>
                      <w:marBottom w:val="0"/>
                      <w:divBdr>
                        <w:top w:val="none" w:sz="0" w:space="0" w:color="auto"/>
                        <w:left w:val="none" w:sz="0" w:space="0" w:color="auto"/>
                        <w:bottom w:val="none" w:sz="0" w:space="0" w:color="auto"/>
                        <w:right w:val="none" w:sz="0" w:space="0" w:color="auto"/>
                      </w:divBdr>
                      <w:divsChild>
                        <w:div w:id="494994633">
                          <w:marLeft w:val="0"/>
                          <w:marRight w:val="0"/>
                          <w:marTop w:val="0"/>
                          <w:marBottom w:val="0"/>
                          <w:divBdr>
                            <w:top w:val="none" w:sz="0" w:space="0" w:color="auto"/>
                            <w:left w:val="none" w:sz="0" w:space="0" w:color="auto"/>
                            <w:bottom w:val="none" w:sz="0" w:space="0" w:color="auto"/>
                            <w:right w:val="none" w:sz="0" w:space="0" w:color="auto"/>
                          </w:divBdr>
                          <w:divsChild>
                            <w:div w:id="158055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3665844">
      <w:bodyDiv w:val="1"/>
      <w:marLeft w:val="0"/>
      <w:marRight w:val="0"/>
      <w:marTop w:val="0"/>
      <w:marBottom w:val="0"/>
      <w:divBdr>
        <w:top w:val="none" w:sz="0" w:space="0" w:color="auto"/>
        <w:left w:val="none" w:sz="0" w:space="0" w:color="auto"/>
        <w:bottom w:val="none" w:sz="0" w:space="0" w:color="auto"/>
        <w:right w:val="none" w:sz="0" w:space="0" w:color="auto"/>
      </w:divBdr>
    </w:div>
    <w:div w:id="1846020475">
      <w:bodyDiv w:val="1"/>
      <w:marLeft w:val="0"/>
      <w:marRight w:val="0"/>
      <w:marTop w:val="0"/>
      <w:marBottom w:val="0"/>
      <w:divBdr>
        <w:top w:val="none" w:sz="0" w:space="0" w:color="auto"/>
        <w:left w:val="none" w:sz="0" w:space="0" w:color="auto"/>
        <w:bottom w:val="none" w:sz="0" w:space="0" w:color="auto"/>
        <w:right w:val="none" w:sz="0" w:space="0" w:color="auto"/>
      </w:divBdr>
    </w:div>
    <w:div w:id="1852915155">
      <w:bodyDiv w:val="1"/>
      <w:marLeft w:val="0"/>
      <w:marRight w:val="0"/>
      <w:marTop w:val="0"/>
      <w:marBottom w:val="0"/>
      <w:divBdr>
        <w:top w:val="none" w:sz="0" w:space="0" w:color="auto"/>
        <w:left w:val="none" w:sz="0" w:space="0" w:color="auto"/>
        <w:bottom w:val="none" w:sz="0" w:space="0" w:color="auto"/>
        <w:right w:val="none" w:sz="0" w:space="0" w:color="auto"/>
      </w:divBdr>
    </w:div>
    <w:div w:id="1855267842">
      <w:bodyDiv w:val="1"/>
      <w:marLeft w:val="0"/>
      <w:marRight w:val="0"/>
      <w:marTop w:val="0"/>
      <w:marBottom w:val="0"/>
      <w:divBdr>
        <w:top w:val="none" w:sz="0" w:space="0" w:color="auto"/>
        <w:left w:val="none" w:sz="0" w:space="0" w:color="auto"/>
        <w:bottom w:val="none" w:sz="0" w:space="0" w:color="auto"/>
        <w:right w:val="none" w:sz="0" w:space="0" w:color="auto"/>
      </w:divBdr>
    </w:div>
    <w:div w:id="1870559382">
      <w:bodyDiv w:val="1"/>
      <w:marLeft w:val="0"/>
      <w:marRight w:val="0"/>
      <w:marTop w:val="0"/>
      <w:marBottom w:val="0"/>
      <w:divBdr>
        <w:top w:val="none" w:sz="0" w:space="0" w:color="auto"/>
        <w:left w:val="none" w:sz="0" w:space="0" w:color="auto"/>
        <w:bottom w:val="none" w:sz="0" w:space="0" w:color="auto"/>
        <w:right w:val="none" w:sz="0" w:space="0" w:color="auto"/>
      </w:divBdr>
    </w:div>
    <w:div w:id="1875845723">
      <w:bodyDiv w:val="1"/>
      <w:marLeft w:val="0"/>
      <w:marRight w:val="0"/>
      <w:marTop w:val="0"/>
      <w:marBottom w:val="0"/>
      <w:divBdr>
        <w:top w:val="none" w:sz="0" w:space="0" w:color="auto"/>
        <w:left w:val="none" w:sz="0" w:space="0" w:color="auto"/>
        <w:bottom w:val="none" w:sz="0" w:space="0" w:color="auto"/>
        <w:right w:val="none" w:sz="0" w:space="0" w:color="auto"/>
      </w:divBdr>
      <w:divsChild>
        <w:div w:id="1744133203">
          <w:marLeft w:val="0"/>
          <w:marRight w:val="0"/>
          <w:marTop w:val="0"/>
          <w:marBottom w:val="0"/>
          <w:divBdr>
            <w:top w:val="none" w:sz="0" w:space="0" w:color="auto"/>
            <w:left w:val="none" w:sz="0" w:space="0" w:color="auto"/>
            <w:bottom w:val="none" w:sz="0" w:space="0" w:color="auto"/>
            <w:right w:val="none" w:sz="0" w:space="0" w:color="auto"/>
          </w:divBdr>
          <w:divsChild>
            <w:div w:id="1417819809">
              <w:marLeft w:val="0"/>
              <w:marRight w:val="0"/>
              <w:marTop w:val="0"/>
              <w:marBottom w:val="0"/>
              <w:divBdr>
                <w:top w:val="none" w:sz="0" w:space="0" w:color="auto"/>
                <w:left w:val="none" w:sz="0" w:space="0" w:color="auto"/>
                <w:bottom w:val="none" w:sz="0" w:space="0" w:color="auto"/>
                <w:right w:val="none" w:sz="0" w:space="0" w:color="auto"/>
              </w:divBdr>
              <w:divsChild>
                <w:div w:id="1975330090">
                  <w:marLeft w:val="0"/>
                  <w:marRight w:val="0"/>
                  <w:marTop w:val="0"/>
                  <w:marBottom w:val="0"/>
                  <w:divBdr>
                    <w:top w:val="none" w:sz="0" w:space="0" w:color="auto"/>
                    <w:left w:val="none" w:sz="0" w:space="0" w:color="auto"/>
                    <w:bottom w:val="none" w:sz="0" w:space="0" w:color="auto"/>
                    <w:right w:val="none" w:sz="0" w:space="0" w:color="auto"/>
                  </w:divBdr>
                  <w:divsChild>
                    <w:div w:id="1879858542">
                      <w:marLeft w:val="0"/>
                      <w:marRight w:val="0"/>
                      <w:marTop w:val="0"/>
                      <w:marBottom w:val="0"/>
                      <w:divBdr>
                        <w:top w:val="none" w:sz="0" w:space="0" w:color="auto"/>
                        <w:left w:val="none" w:sz="0" w:space="0" w:color="auto"/>
                        <w:bottom w:val="none" w:sz="0" w:space="0" w:color="auto"/>
                        <w:right w:val="none" w:sz="0" w:space="0" w:color="auto"/>
                      </w:divBdr>
                      <w:divsChild>
                        <w:div w:id="17318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8859693">
      <w:bodyDiv w:val="1"/>
      <w:marLeft w:val="0"/>
      <w:marRight w:val="0"/>
      <w:marTop w:val="0"/>
      <w:marBottom w:val="0"/>
      <w:divBdr>
        <w:top w:val="none" w:sz="0" w:space="0" w:color="auto"/>
        <w:left w:val="none" w:sz="0" w:space="0" w:color="auto"/>
        <w:bottom w:val="none" w:sz="0" w:space="0" w:color="auto"/>
        <w:right w:val="none" w:sz="0" w:space="0" w:color="auto"/>
      </w:divBdr>
      <w:divsChild>
        <w:div w:id="1572620229">
          <w:marLeft w:val="0"/>
          <w:marRight w:val="0"/>
          <w:marTop w:val="0"/>
          <w:marBottom w:val="0"/>
          <w:divBdr>
            <w:top w:val="none" w:sz="0" w:space="0" w:color="auto"/>
            <w:left w:val="none" w:sz="0" w:space="0" w:color="auto"/>
            <w:bottom w:val="none" w:sz="0" w:space="0" w:color="auto"/>
            <w:right w:val="none" w:sz="0" w:space="0" w:color="auto"/>
          </w:divBdr>
          <w:divsChild>
            <w:div w:id="1167208017">
              <w:marLeft w:val="0"/>
              <w:marRight w:val="0"/>
              <w:marTop w:val="0"/>
              <w:marBottom w:val="0"/>
              <w:divBdr>
                <w:top w:val="none" w:sz="0" w:space="0" w:color="auto"/>
                <w:left w:val="none" w:sz="0" w:space="0" w:color="auto"/>
                <w:bottom w:val="none" w:sz="0" w:space="0" w:color="auto"/>
                <w:right w:val="none" w:sz="0" w:space="0" w:color="auto"/>
              </w:divBdr>
              <w:divsChild>
                <w:div w:id="1973900282">
                  <w:marLeft w:val="0"/>
                  <w:marRight w:val="0"/>
                  <w:marTop w:val="0"/>
                  <w:marBottom w:val="0"/>
                  <w:divBdr>
                    <w:top w:val="none" w:sz="0" w:space="0" w:color="auto"/>
                    <w:left w:val="none" w:sz="0" w:space="0" w:color="auto"/>
                    <w:bottom w:val="none" w:sz="0" w:space="0" w:color="auto"/>
                    <w:right w:val="none" w:sz="0" w:space="0" w:color="auto"/>
                  </w:divBdr>
                  <w:divsChild>
                    <w:div w:id="951982678">
                      <w:marLeft w:val="0"/>
                      <w:marRight w:val="0"/>
                      <w:marTop w:val="0"/>
                      <w:marBottom w:val="0"/>
                      <w:divBdr>
                        <w:top w:val="none" w:sz="0" w:space="0" w:color="auto"/>
                        <w:left w:val="none" w:sz="0" w:space="0" w:color="auto"/>
                        <w:bottom w:val="none" w:sz="0" w:space="0" w:color="auto"/>
                        <w:right w:val="none" w:sz="0" w:space="0" w:color="auto"/>
                      </w:divBdr>
                      <w:divsChild>
                        <w:div w:id="98844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475336">
      <w:bodyDiv w:val="1"/>
      <w:marLeft w:val="0"/>
      <w:marRight w:val="0"/>
      <w:marTop w:val="0"/>
      <w:marBottom w:val="0"/>
      <w:divBdr>
        <w:top w:val="none" w:sz="0" w:space="0" w:color="auto"/>
        <w:left w:val="none" w:sz="0" w:space="0" w:color="auto"/>
        <w:bottom w:val="none" w:sz="0" w:space="0" w:color="auto"/>
        <w:right w:val="none" w:sz="0" w:space="0" w:color="auto"/>
      </w:divBdr>
    </w:div>
    <w:div w:id="1890340940">
      <w:bodyDiv w:val="1"/>
      <w:marLeft w:val="0"/>
      <w:marRight w:val="0"/>
      <w:marTop w:val="0"/>
      <w:marBottom w:val="0"/>
      <w:divBdr>
        <w:top w:val="none" w:sz="0" w:space="0" w:color="auto"/>
        <w:left w:val="none" w:sz="0" w:space="0" w:color="auto"/>
        <w:bottom w:val="none" w:sz="0" w:space="0" w:color="auto"/>
        <w:right w:val="none" w:sz="0" w:space="0" w:color="auto"/>
      </w:divBdr>
    </w:div>
    <w:div w:id="1907259435">
      <w:bodyDiv w:val="1"/>
      <w:marLeft w:val="0"/>
      <w:marRight w:val="0"/>
      <w:marTop w:val="0"/>
      <w:marBottom w:val="0"/>
      <w:divBdr>
        <w:top w:val="none" w:sz="0" w:space="0" w:color="auto"/>
        <w:left w:val="none" w:sz="0" w:space="0" w:color="auto"/>
        <w:bottom w:val="none" w:sz="0" w:space="0" w:color="auto"/>
        <w:right w:val="none" w:sz="0" w:space="0" w:color="auto"/>
      </w:divBdr>
    </w:div>
    <w:div w:id="1907572488">
      <w:bodyDiv w:val="1"/>
      <w:marLeft w:val="0"/>
      <w:marRight w:val="0"/>
      <w:marTop w:val="0"/>
      <w:marBottom w:val="0"/>
      <w:divBdr>
        <w:top w:val="none" w:sz="0" w:space="0" w:color="auto"/>
        <w:left w:val="none" w:sz="0" w:space="0" w:color="auto"/>
        <w:bottom w:val="none" w:sz="0" w:space="0" w:color="auto"/>
        <w:right w:val="none" w:sz="0" w:space="0" w:color="auto"/>
      </w:divBdr>
    </w:div>
    <w:div w:id="1923442572">
      <w:bodyDiv w:val="1"/>
      <w:marLeft w:val="0"/>
      <w:marRight w:val="0"/>
      <w:marTop w:val="0"/>
      <w:marBottom w:val="0"/>
      <w:divBdr>
        <w:top w:val="none" w:sz="0" w:space="0" w:color="auto"/>
        <w:left w:val="none" w:sz="0" w:space="0" w:color="auto"/>
        <w:bottom w:val="none" w:sz="0" w:space="0" w:color="auto"/>
        <w:right w:val="none" w:sz="0" w:space="0" w:color="auto"/>
      </w:divBdr>
    </w:div>
    <w:div w:id="1923903685">
      <w:bodyDiv w:val="1"/>
      <w:marLeft w:val="0"/>
      <w:marRight w:val="0"/>
      <w:marTop w:val="0"/>
      <w:marBottom w:val="0"/>
      <w:divBdr>
        <w:top w:val="none" w:sz="0" w:space="0" w:color="auto"/>
        <w:left w:val="none" w:sz="0" w:space="0" w:color="auto"/>
        <w:bottom w:val="none" w:sz="0" w:space="0" w:color="auto"/>
        <w:right w:val="none" w:sz="0" w:space="0" w:color="auto"/>
      </w:divBdr>
      <w:divsChild>
        <w:div w:id="15043188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0386951">
      <w:bodyDiv w:val="1"/>
      <w:marLeft w:val="0"/>
      <w:marRight w:val="0"/>
      <w:marTop w:val="0"/>
      <w:marBottom w:val="0"/>
      <w:divBdr>
        <w:top w:val="none" w:sz="0" w:space="0" w:color="auto"/>
        <w:left w:val="none" w:sz="0" w:space="0" w:color="auto"/>
        <w:bottom w:val="none" w:sz="0" w:space="0" w:color="auto"/>
        <w:right w:val="none" w:sz="0" w:space="0" w:color="auto"/>
      </w:divBdr>
    </w:div>
    <w:div w:id="1932739912">
      <w:bodyDiv w:val="1"/>
      <w:marLeft w:val="0"/>
      <w:marRight w:val="0"/>
      <w:marTop w:val="0"/>
      <w:marBottom w:val="0"/>
      <w:divBdr>
        <w:top w:val="none" w:sz="0" w:space="0" w:color="auto"/>
        <w:left w:val="none" w:sz="0" w:space="0" w:color="auto"/>
        <w:bottom w:val="none" w:sz="0" w:space="0" w:color="auto"/>
        <w:right w:val="none" w:sz="0" w:space="0" w:color="auto"/>
      </w:divBdr>
    </w:div>
    <w:div w:id="1936326658">
      <w:bodyDiv w:val="1"/>
      <w:marLeft w:val="0"/>
      <w:marRight w:val="0"/>
      <w:marTop w:val="0"/>
      <w:marBottom w:val="0"/>
      <w:divBdr>
        <w:top w:val="none" w:sz="0" w:space="0" w:color="auto"/>
        <w:left w:val="none" w:sz="0" w:space="0" w:color="auto"/>
        <w:bottom w:val="none" w:sz="0" w:space="0" w:color="auto"/>
        <w:right w:val="none" w:sz="0" w:space="0" w:color="auto"/>
      </w:divBdr>
      <w:divsChild>
        <w:div w:id="157234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2182609">
      <w:bodyDiv w:val="1"/>
      <w:marLeft w:val="0"/>
      <w:marRight w:val="0"/>
      <w:marTop w:val="0"/>
      <w:marBottom w:val="0"/>
      <w:divBdr>
        <w:top w:val="none" w:sz="0" w:space="0" w:color="auto"/>
        <w:left w:val="none" w:sz="0" w:space="0" w:color="auto"/>
        <w:bottom w:val="none" w:sz="0" w:space="0" w:color="auto"/>
        <w:right w:val="none" w:sz="0" w:space="0" w:color="auto"/>
      </w:divBdr>
    </w:div>
    <w:div w:id="1955555479">
      <w:bodyDiv w:val="1"/>
      <w:marLeft w:val="0"/>
      <w:marRight w:val="0"/>
      <w:marTop w:val="0"/>
      <w:marBottom w:val="0"/>
      <w:divBdr>
        <w:top w:val="none" w:sz="0" w:space="0" w:color="auto"/>
        <w:left w:val="none" w:sz="0" w:space="0" w:color="auto"/>
        <w:bottom w:val="none" w:sz="0" w:space="0" w:color="auto"/>
        <w:right w:val="none" w:sz="0" w:space="0" w:color="auto"/>
      </w:divBdr>
      <w:divsChild>
        <w:div w:id="1495678563">
          <w:marLeft w:val="0"/>
          <w:marRight w:val="0"/>
          <w:marTop w:val="0"/>
          <w:marBottom w:val="0"/>
          <w:divBdr>
            <w:top w:val="none" w:sz="0" w:space="0" w:color="auto"/>
            <w:left w:val="none" w:sz="0" w:space="0" w:color="auto"/>
            <w:bottom w:val="none" w:sz="0" w:space="0" w:color="auto"/>
            <w:right w:val="none" w:sz="0" w:space="0" w:color="auto"/>
          </w:divBdr>
          <w:divsChild>
            <w:div w:id="71896951">
              <w:marLeft w:val="0"/>
              <w:marRight w:val="0"/>
              <w:marTop w:val="0"/>
              <w:marBottom w:val="0"/>
              <w:divBdr>
                <w:top w:val="none" w:sz="0" w:space="0" w:color="auto"/>
                <w:left w:val="none" w:sz="0" w:space="0" w:color="auto"/>
                <w:bottom w:val="none" w:sz="0" w:space="0" w:color="auto"/>
                <w:right w:val="none" w:sz="0" w:space="0" w:color="auto"/>
              </w:divBdr>
              <w:divsChild>
                <w:div w:id="286398452">
                  <w:marLeft w:val="0"/>
                  <w:marRight w:val="0"/>
                  <w:marTop w:val="0"/>
                  <w:marBottom w:val="0"/>
                  <w:divBdr>
                    <w:top w:val="none" w:sz="0" w:space="0" w:color="auto"/>
                    <w:left w:val="none" w:sz="0" w:space="0" w:color="auto"/>
                    <w:bottom w:val="none" w:sz="0" w:space="0" w:color="auto"/>
                    <w:right w:val="none" w:sz="0" w:space="0" w:color="auto"/>
                  </w:divBdr>
                  <w:divsChild>
                    <w:div w:id="476266461">
                      <w:marLeft w:val="0"/>
                      <w:marRight w:val="0"/>
                      <w:marTop w:val="0"/>
                      <w:marBottom w:val="0"/>
                      <w:divBdr>
                        <w:top w:val="none" w:sz="0" w:space="0" w:color="auto"/>
                        <w:left w:val="none" w:sz="0" w:space="0" w:color="auto"/>
                        <w:bottom w:val="none" w:sz="0" w:space="0" w:color="auto"/>
                        <w:right w:val="none" w:sz="0" w:space="0" w:color="auto"/>
                      </w:divBdr>
                      <w:divsChild>
                        <w:div w:id="1057432546">
                          <w:marLeft w:val="0"/>
                          <w:marRight w:val="0"/>
                          <w:marTop w:val="0"/>
                          <w:marBottom w:val="0"/>
                          <w:divBdr>
                            <w:top w:val="none" w:sz="0" w:space="0" w:color="auto"/>
                            <w:left w:val="none" w:sz="0" w:space="0" w:color="auto"/>
                            <w:bottom w:val="none" w:sz="0" w:space="0" w:color="auto"/>
                            <w:right w:val="none" w:sz="0" w:space="0" w:color="auto"/>
                          </w:divBdr>
                          <w:divsChild>
                            <w:div w:id="131413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6597242">
      <w:bodyDiv w:val="1"/>
      <w:marLeft w:val="0"/>
      <w:marRight w:val="0"/>
      <w:marTop w:val="0"/>
      <w:marBottom w:val="0"/>
      <w:divBdr>
        <w:top w:val="none" w:sz="0" w:space="0" w:color="auto"/>
        <w:left w:val="none" w:sz="0" w:space="0" w:color="auto"/>
        <w:bottom w:val="none" w:sz="0" w:space="0" w:color="auto"/>
        <w:right w:val="none" w:sz="0" w:space="0" w:color="auto"/>
      </w:divBdr>
      <w:divsChild>
        <w:div w:id="1495301131">
          <w:marLeft w:val="0"/>
          <w:marRight w:val="0"/>
          <w:marTop w:val="0"/>
          <w:marBottom w:val="0"/>
          <w:divBdr>
            <w:top w:val="none" w:sz="0" w:space="0" w:color="auto"/>
            <w:left w:val="none" w:sz="0" w:space="0" w:color="auto"/>
            <w:bottom w:val="none" w:sz="0" w:space="0" w:color="auto"/>
            <w:right w:val="none" w:sz="0" w:space="0" w:color="auto"/>
          </w:divBdr>
        </w:div>
        <w:div w:id="1583291040">
          <w:marLeft w:val="0"/>
          <w:marRight w:val="0"/>
          <w:marTop w:val="0"/>
          <w:marBottom w:val="0"/>
          <w:divBdr>
            <w:top w:val="none" w:sz="0" w:space="0" w:color="auto"/>
            <w:left w:val="none" w:sz="0" w:space="0" w:color="auto"/>
            <w:bottom w:val="none" w:sz="0" w:space="0" w:color="auto"/>
            <w:right w:val="none" w:sz="0" w:space="0" w:color="auto"/>
          </w:divBdr>
        </w:div>
      </w:divsChild>
    </w:div>
    <w:div w:id="1960867782">
      <w:bodyDiv w:val="1"/>
      <w:marLeft w:val="0"/>
      <w:marRight w:val="0"/>
      <w:marTop w:val="0"/>
      <w:marBottom w:val="0"/>
      <w:divBdr>
        <w:top w:val="none" w:sz="0" w:space="0" w:color="auto"/>
        <w:left w:val="none" w:sz="0" w:space="0" w:color="auto"/>
        <w:bottom w:val="none" w:sz="0" w:space="0" w:color="auto"/>
        <w:right w:val="none" w:sz="0" w:space="0" w:color="auto"/>
      </w:divBdr>
      <w:divsChild>
        <w:div w:id="1432160416">
          <w:marLeft w:val="0"/>
          <w:marRight w:val="0"/>
          <w:marTop w:val="0"/>
          <w:marBottom w:val="0"/>
          <w:divBdr>
            <w:top w:val="none" w:sz="0" w:space="0" w:color="auto"/>
            <w:left w:val="none" w:sz="0" w:space="0" w:color="auto"/>
            <w:bottom w:val="none" w:sz="0" w:space="0" w:color="auto"/>
            <w:right w:val="none" w:sz="0" w:space="0" w:color="auto"/>
          </w:divBdr>
          <w:divsChild>
            <w:div w:id="1925722711">
              <w:marLeft w:val="0"/>
              <w:marRight w:val="0"/>
              <w:marTop w:val="0"/>
              <w:marBottom w:val="0"/>
              <w:divBdr>
                <w:top w:val="none" w:sz="0" w:space="0" w:color="auto"/>
                <w:left w:val="none" w:sz="0" w:space="0" w:color="auto"/>
                <w:bottom w:val="none" w:sz="0" w:space="0" w:color="auto"/>
                <w:right w:val="none" w:sz="0" w:space="0" w:color="auto"/>
              </w:divBdr>
              <w:divsChild>
                <w:div w:id="960764913">
                  <w:marLeft w:val="0"/>
                  <w:marRight w:val="0"/>
                  <w:marTop w:val="0"/>
                  <w:marBottom w:val="0"/>
                  <w:divBdr>
                    <w:top w:val="none" w:sz="0" w:space="0" w:color="auto"/>
                    <w:left w:val="none" w:sz="0" w:space="0" w:color="auto"/>
                    <w:bottom w:val="none" w:sz="0" w:space="0" w:color="auto"/>
                    <w:right w:val="none" w:sz="0" w:space="0" w:color="auto"/>
                  </w:divBdr>
                  <w:divsChild>
                    <w:div w:id="31707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378834">
      <w:bodyDiv w:val="1"/>
      <w:marLeft w:val="0"/>
      <w:marRight w:val="0"/>
      <w:marTop w:val="0"/>
      <w:marBottom w:val="0"/>
      <w:divBdr>
        <w:top w:val="none" w:sz="0" w:space="0" w:color="auto"/>
        <w:left w:val="none" w:sz="0" w:space="0" w:color="auto"/>
        <w:bottom w:val="none" w:sz="0" w:space="0" w:color="auto"/>
        <w:right w:val="none" w:sz="0" w:space="0" w:color="auto"/>
      </w:divBdr>
    </w:div>
    <w:div w:id="1971201676">
      <w:bodyDiv w:val="1"/>
      <w:marLeft w:val="0"/>
      <w:marRight w:val="0"/>
      <w:marTop w:val="0"/>
      <w:marBottom w:val="0"/>
      <w:divBdr>
        <w:top w:val="none" w:sz="0" w:space="0" w:color="auto"/>
        <w:left w:val="none" w:sz="0" w:space="0" w:color="auto"/>
        <w:bottom w:val="none" w:sz="0" w:space="0" w:color="auto"/>
        <w:right w:val="none" w:sz="0" w:space="0" w:color="auto"/>
      </w:divBdr>
    </w:div>
    <w:div w:id="1974098856">
      <w:bodyDiv w:val="1"/>
      <w:marLeft w:val="0"/>
      <w:marRight w:val="0"/>
      <w:marTop w:val="0"/>
      <w:marBottom w:val="0"/>
      <w:divBdr>
        <w:top w:val="none" w:sz="0" w:space="0" w:color="auto"/>
        <w:left w:val="none" w:sz="0" w:space="0" w:color="auto"/>
        <w:bottom w:val="none" w:sz="0" w:space="0" w:color="auto"/>
        <w:right w:val="none" w:sz="0" w:space="0" w:color="auto"/>
      </w:divBdr>
    </w:div>
    <w:div w:id="1975522435">
      <w:bodyDiv w:val="1"/>
      <w:marLeft w:val="0"/>
      <w:marRight w:val="0"/>
      <w:marTop w:val="0"/>
      <w:marBottom w:val="0"/>
      <w:divBdr>
        <w:top w:val="none" w:sz="0" w:space="0" w:color="auto"/>
        <w:left w:val="none" w:sz="0" w:space="0" w:color="auto"/>
        <w:bottom w:val="none" w:sz="0" w:space="0" w:color="auto"/>
        <w:right w:val="none" w:sz="0" w:space="0" w:color="auto"/>
      </w:divBdr>
    </w:div>
    <w:div w:id="1977026111">
      <w:bodyDiv w:val="1"/>
      <w:marLeft w:val="0"/>
      <w:marRight w:val="0"/>
      <w:marTop w:val="0"/>
      <w:marBottom w:val="0"/>
      <w:divBdr>
        <w:top w:val="none" w:sz="0" w:space="0" w:color="auto"/>
        <w:left w:val="none" w:sz="0" w:space="0" w:color="auto"/>
        <w:bottom w:val="none" w:sz="0" w:space="0" w:color="auto"/>
        <w:right w:val="none" w:sz="0" w:space="0" w:color="auto"/>
      </w:divBdr>
      <w:divsChild>
        <w:div w:id="1796749112">
          <w:marLeft w:val="0"/>
          <w:marRight w:val="0"/>
          <w:marTop w:val="0"/>
          <w:marBottom w:val="0"/>
          <w:divBdr>
            <w:top w:val="none" w:sz="0" w:space="0" w:color="auto"/>
            <w:left w:val="none" w:sz="0" w:space="0" w:color="auto"/>
            <w:bottom w:val="none" w:sz="0" w:space="0" w:color="auto"/>
            <w:right w:val="none" w:sz="0" w:space="0" w:color="auto"/>
          </w:divBdr>
          <w:divsChild>
            <w:div w:id="1019430853">
              <w:marLeft w:val="0"/>
              <w:marRight w:val="0"/>
              <w:marTop w:val="0"/>
              <w:marBottom w:val="0"/>
              <w:divBdr>
                <w:top w:val="none" w:sz="0" w:space="0" w:color="auto"/>
                <w:left w:val="none" w:sz="0" w:space="0" w:color="auto"/>
                <w:bottom w:val="none" w:sz="0" w:space="0" w:color="auto"/>
                <w:right w:val="none" w:sz="0" w:space="0" w:color="auto"/>
              </w:divBdr>
              <w:divsChild>
                <w:div w:id="1311473157">
                  <w:marLeft w:val="0"/>
                  <w:marRight w:val="0"/>
                  <w:marTop w:val="0"/>
                  <w:marBottom w:val="0"/>
                  <w:divBdr>
                    <w:top w:val="none" w:sz="0" w:space="0" w:color="auto"/>
                    <w:left w:val="none" w:sz="0" w:space="0" w:color="auto"/>
                    <w:bottom w:val="none" w:sz="0" w:space="0" w:color="auto"/>
                    <w:right w:val="none" w:sz="0" w:space="0" w:color="auto"/>
                  </w:divBdr>
                  <w:divsChild>
                    <w:div w:id="291063721">
                      <w:marLeft w:val="0"/>
                      <w:marRight w:val="0"/>
                      <w:marTop w:val="0"/>
                      <w:marBottom w:val="0"/>
                      <w:divBdr>
                        <w:top w:val="none" w:sz="0" w:space="0" w:color="auto"/>
                        <w:left w:val="none" w:sz="0" w:space="0" w:color="auto"/>
                        <w:bottom w:val="none" w:sz="0" w:space="0" w:color="auto"/>
                        <w:right w:val="none" w:sz="0" w:space="0" w:color="auto"/>
                      </w:divBdr>
                      <w:divsChild>
                        <w:div w:id="1922257002">
                          <w:marLeft w:val="0"/>
                          <w:marRight w:val="0"/>
                          <w:marTop w:val="0"/>
                          <w:marBottom w:val="0"/>
                          <w:divBdr>
                            <w:top w:val="none" w:sz="0" w:space="0" w:color="auto"/>
                            <w:left w:val="none" w:sz="0" w:space="0" w:color="auto"/>
                            <w:bottom w:val="none" w:sz="0" w:space="0" w:color="auto"/>
                            <w:right w:val="none" w:sz="0" w:space="0" w:color="auto"/>
                          </w:divBdr>
                          <w:divsChild>
                            <w:div w:id="1331984275">
                              <w:marLeft w:val="0"/>
                              <w:marRight w:val="0"/>
                              <w:marTop w:val="0"/>
                              <w:marBottom w:val="0"/>
                              <w:divBdr>
                                <w:top w:val="none" w:sz="0" w:space="0" w:color="auto"/>
                                <w:left w:val="none" w:sz="0" w:space="0" w:color="auto"/>
                                <w:bottom w:val="none" w:sz="0" w:space="0" w:color="auto"/>
                                <w:right w:val="none" w:sz="0" w:space="0" w:color="auto"/>
                              </w:divBdr>
                              <w:divsChild>
                                <w:div w:id="99105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8335945">
      <w:bodyDiv w:val="1"/>
      <w:marLeft w:val="0"/>
      <w:marRight w:val="0"/>
      <w:marTop w:val="0"/>
      <w:marBottom w:val="0"/>
      <w:divBdr>
        <w:top w:val="none" w:sz="0" w:space="0" w:color="auto"/>
        <w:left w:val="none" w:sz="0" w:space="0" w:color="auto"/>
        <w:bottom w:val="none" w:sz="0" w:space="0" w:color="auto"/>
        <w:right w:val="none" w:sz="0" w:space="0" w:color="auto"/>
      </w:divBdr>
    </w:div>
    <w:div w:id="2007896179">
      <w:bodyDiv w:val="1"/>
      <w:marLeft w:val="0"/>
      <w:marRight w:val="0"/>
      <w:marTop w:val="0"/>
      <w:marBottom w:val="0"/>
      <w:divBdr>
        <w:top w:val="none" w:sz="0" w:space="0" w:color="auto"/>
        <w:left w:val="none" w:sz="0" w:space="0" w:color="auto"/>
        <w:bottom w:val="none" w:sz="0" w:space="0" w:color="auto"/>
        <w:right w:val="none" w:sz="0" w:space="0" w:color="auto"/>
      </w:divBdr>
    </w:div>
    <w:div w:id="2013216632">
      <w:bodyDiv w:val="1"/>
      <w:marLeft w:val="0"/>
      <w:marRight w:val="0"/>
      <w:marTop w:val="0"/>
      <w:marBottom w:val="0"/>
      <w:divBdr>
        <w:top w:val="none" w:sz="0" w:space="0" w:color="auto"/>
        <w:left w:val="none" w:sz="0" w:space="0" w:color="auto"/>
        <w:bottom w:val="none" w:sz="0" w:space="0" w:color="auto"/>
        <w:right w:val="none" w:sz="0" w:space="0" w:color="auto"/>
      </w:divBdr>
      <w:divsChild>
        <w:div w:id="1362049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1296032">
      <w:bodyDiv w:val="1"/>
      <w:marLeft w:val="0"/>
      <w:marRight w:val="0"/>
      <w:marTop w:val="0"/>
      <w:marBottom w:val="0"/>
      <w:divBdr>
        <w:top w:val="none" w:sz="0" w:space="0" w:color="auto"/>
        <w:left w:val="none" w:sz="0" w:space="0" w:color="auto"/>
        <w:bottom w:val="none" w:sz="0" w:space="0" w:color="auto"/>
        <w:right w:val="none" w:sz="0" w:space="0" w:color="auto"/>
      </w:divBdr>
      <w:divsChild>
        <w:div w:id="1521821178">
          <w:marLeft w:val="0"/>
          <w:marRight w:val="0"/>
          <w:marTop w:val="0"/>
          <w:marBottom w:val="0"/>
          <w:divBdr>
            <w:top w:val="none" w:sz="0" w:space="0" w:color="auto"/>
            <w:left w:val="none" w:sz="0" w:space="0" w:color="auto"/>
            <w:bottom w:val="none" w:sz="0" w:space="0" w:color="auto"/>
            <w:right w:val="none" w:sz="0" w:space="0" w:color="auto"/>
          </w:divBdr>
          <w:divsChild>
            <w:div w:id="1303344582">
              <w:marLeft w:val="0"/>
              <w:marRight w:val="0"/>
              <w:marTop w:val="0"/>
              <w:marBottom w:val="0"/>
              <w:divBdr>
                <w:top w:val="none" w:sz="0" w:space="0" w:color="auto"/>
                <w:left w:val="none" w:sz="0" w:space="0" w:color="auto"/>
                <w:bottom w:val="none" w:sz="0" w:space="0" w:color="auto"/>
                <w:right w:val="none" w:sz="0" w:space="0" w:color="auto"/>
              </w:divBdr>
              <w:divsChild>
                <w:div w:id="1545632872">
                  <w:marLeft w:val="0"/>
                  <w:marRight w:val="0"/>
                  <w:marTop w:val="0"/>
                  <w:marBottom w:val="0"/>
                  <w:divBdr>
                    <w:top w:val="none" w:sz="0" w:space="0" w:color="auto"/>
                    <w:left w:val="none" w:sz="0" w:space="0" w:color="auto"/>
                    <w:bottom w:val="none" w:sz="0" w:space="0" w:color="auto"/>
                    <w:right w:val="none" w:sz="0" w:space="0" w:color="auto"/>
                  </w:divBdr>
                  <w:divsChild>
                    <w:div w:id="91126348">
                      <w:marLeft w:val="0"/>
                      <w:marRight w:val="0"/>
                      <w:marTop w:val="0"/>
                      <w:marBottom w:val="0"/>
                      <w:divBdr>
                        <w:top w:val="none" w:sz="0" w:space="0" w:color="auto"/>
                        <w:left w:val="none" w:sz="0" w:space="0" w:color="auto"/>
                        <w:bottom w:val="none" w:sz="0" w:space="0" w:color="auto"/>
                        <w:right w:val="none" w:sz="0" w:space="0" w:color="auto"/>
                      </w:divBdr>
                      <w:divsChild>
                        <w:div w:id="842554581">
                          <w:marLeft w:val="0"/>
                          <w:marRight w:val="0"/>
                          <w:marTop w:val="0"/>
                          <w:marBottom w:val="0"/>
                          <w:divBdr>
                            <w:top w:val="none" w:sz="0" w:space="0" w:color="auto"/>
                            <w:left w:val="none" w:sz="0" w:space="0" w:color="auto"/>
                            <w:bottom w:val="none" w:sz="0" w:space="0" w:color="auto"/>
                            <w:right w:val="none" w:sz="0" w:space="0" w:color="auto"/>
                          </w:divBdr>
                          <w:divsChild>
                            <w:div w:id="944578256">
                              <w:marLeft w:val="0"/>
                              <w:marRight w:val="0"/>
                              <w:marTop w:val="0"/>
                              <w:marBottom w:val="0"/>
                              <w:divBdr>
                                <w:top w:val="none" w:sz="0" w:space="0" w:color="auto"/>
                                <w:left w:val="none" w:sz="0" w:space="0" w:color="auto"/>
                                <w:bottom w:val="none" w:sz="0" w:space="0" w:color="auto"/>
                                <w:right w:val="none" w:sz="0" w:space="0" w:color="auto"/>
                              </w:divBdr>
                              <w:divsChild>
                                <w:div w:id="1409614496">
                                  <w:marLeft w:val="0"/>
                                  <w:marRight w:val="0"/>
                                  <w:marTop w:val="0"/>
                                  <w:marBottom w:val="0"/>
                                  <w:divBdr>
                                    <w:top w:val="none" w:sz="0" w:space="0" w:color="auto"/>
                                    <w:left w:val="none" w:sz="0" w:space="0" w:color="auto"/>
                                    <w:bottom w:val="none" w:sz="0" w:space="0" w:color="auto"/>
                                    <w:right w:val="none" w:sz="0" w:space="0" w:color="auto"/>
                                  </w:divBdr>
                                  <w:divsChild>
                                    <w:div w:id="882827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7732896">
      <w:bodyDiv w:val="1"/>
      <w:marLeft w:val="0"/>
      <w:marRight w:val="0"/>
      <w:marTop w:val="0"/>
      <w:marBottom w:val="0"/>
      <w:divBdr>
        <w:top w:val="none" w:sz="0" w:space="0" w:color="auto"/>
        <w:left w:val="none" w:sz="0" w:space="0" w:color="auto"/>
        <w:bottom w:val="none" w:sz="0" w:space="0" w:color="auto"/>
        <w:right w:val="none" w:sz="0" w:space="0" w:color="auto"/>
      </w:divBdr>
    </w:div>
    <w:div w:id="2054188382">
      <w:bodyDiv w:val="1"/>
      <w:marLeft w:val="0"/>
      <w:marRight w:val="0"/>
      <w:marTop w:val="0"/>
      <w:marBottom w:val="0"/>
      <w:divBdr>
        <w:top w:val="none" w:sz="0" w:space="0" w:color="auto"/>
        <w:left w:val="none" w:sz="0" w:space="0" w:color="auto"/>
        <w:bottom w:val="none" w:sz="0" w:space="0" w:color="auto"/>
        <w:right w:val="none" w:sz="0" w:space="0" w:color="auto"/>
      </w:divBdr>
    </w:div>
    <w:div w:id="2058700453">
      <w:bodyDiv w:val="1"/>
      <w:marLeft w:val="0"/>
      <w:marRight w:val="0"/>
      <w:marTop w:val="0"/>
      <w:marBottom w:val="0"/>
      <w:divBdr>
        <w:top w:val="none" w:sz="0" w:space="0" w:color="auto"/>
        <w:left w:val="none" w:sz="0" w:space="0" w:color="auto"/>
        <w:bottom w:val="none" w:sz="0" w:space="0" w:color="auto"/>
        <w:right w:val="none" w:sz="0" w:space="0" w:color="auto"/>
      </w:divBdr>
    </w:div>
    <w:div w:id="2076657671">
      <w:bodyDiv w:val="1"/>
      <w:marLeft w:val="0"/>
      <w:marRight w:val="0"/>
      <w:marTop w:val="0"/>
      <w:marBottom w:val="0"/>
      <w:divBdr>
        <w:top w:val="none" w:sz="0" w:space="0" w:color="auto"/>
        <w:left w:val="none" w:sz="0" w:space="0" w:color="auto"/>
        <w:bottom w:val="none" w:sz="0" w:space="0" w:color="auto"/>
        <w:right w:val="none" w:sz="0" w:space="0" w:color="auto"/>
      </w:divBdr>
    </w:div>
    <w:div w:id="2078243419">
      <w:bodyDiv w:val="1"/>
      <w:marLeft w:val="0"/>
      <w:marRight w:val="0"/>
      <w:marTop w:val="0"/>
      <w:marBottom w:val="0"/>
      <w:divBdr>
        <w:top w:val="none" w:sz="0" w:space="0" w:color="auto"/>
        <w:left w:val="none" w:sz="0" w:space="0" w:color="auto"/>
        <w:bottom w:val="none" w:sz="0" w:space="0" w:color="auto"/>
        <w:right w:val="none" w:sz="0" w:space="0" w:color="auto"/>
      </w:divBdr>
    </w:div>
    <w:div w:id="2079086564">
      <w:bodyDiv w:val="1"/>
      <w:marLeft w:val="0"/>
      <w:marRight w:val="0"/>
      <w:marTop w:val="0"/>
      <w:marBottom w:val="0"/>
      <w:divBdr>
        <w:top w:val="none" w:sz="0" w:space="0" w:color="auto"/>
        <w:left w:val="none" w:sz="0" w:space="0" w:color="auto"/>
        <w:bottom w:val="none" w:sz="0" w:space="0" w:color="auto"/>
        <w:right w:val="none" w:sz="0" w:space="0" w:color="auto"/>
      </w:divBdr>
      <w:divsChild>
        <w:div w:id="714936448">
          <w:marLeft w:val="0"/>
          <w:marRight w:val="0"/>
          <w:marTop w:val="0"/>
          <w:marBottom w:val="0"/>
          <w:divBdr>
            <w:top w:val="none" w:sz="0" w:space="0" w:color="auto"/>
            <w:left w:val="none" w:sz="0" w:space="0" w:color="auto"/>
            <w:bottom w:val="none" w:sz="0" w:space="0" w:color="auto"/>
            <w:right w:val="none" w:sz="0" w:space="0" w:color="auto"/>
          </w:divBdr>
        </w:div>
        <w:div w:id="933434696">
          <w:marLeft w:val="0"/>
          <w:marRight w:val="0"/>
          <w:marTop w:val="0"/>
          <w:marBottom w:val="0"/>
          <w:divBdr>
            <w:top w:val="none" w:sz="0" w:space="0" w:color="auto"/>
            <w:left w:val="none" w:sz="0" w:space="0" w:color="auto"/>
            <w:bottom w:val="none" w:sz="0" w:space="0" w:color="auto"/>
            <w:right w:val="none" w:sz="0" w:space="0" w:color="auto"/>
          </w:divBdr>
        </w:div>
        <w:div w:id="1678343204">
          <w:marLeft w:val="0"/>
          <w:marRight w:val="0"/>
          <w:marTop w:val="0"/>
          <w:marBottom w:val="0"/>
          <w:divBdr>
            <w:top w:val="none" w:sz="0" w:space="0" w:color="auto"/>
            <w:left w:val="none" w:sz="0" w:space="0" w:color="auto"/>
            <w:bottom w:val="none" w:sz="0" w:space="0" w:color="auto"/>
            <w:right w:val="none" w:sz="0" w:space="0" w:color="auto"/>
          </w:divBdr>
        </w:div>
      </w:divsChild>
    </w:div>
    <w:div w:id="2082872438">
      <w:bodyDiv w:val="1"/>
      <w:marLeft w:val="0"/>
      <w:marRight w:val="0"/>
      <w:marTop w:val="0"/>
      <w:marBottom w:val="0"/>
      <w:divBdr>
        <w:top w:val="none" w:sz="0" w:space="0" w:color="auto"/>
        <w:left w:val="none" w:sz="0" w:space="0" w:color="auto"/>
        <w:bottom w:val="none" w:sz="0" w:space="0" w:color="auto"/>
        <w:right w:val="none" w:sz="0" w:space="0" w:color="auto"/>
      </w:divBdr>
    </w:div>
    <w:div w:id="2092919832">
      <w:bodyDiv w:val="1"/>
      <w:marLeft w:val="0"/>
      <w:marRight w:val="0"/>
      <w:marTop w:val="0"/>
      <w:marBottom w:val="0"/>
      <w:divBdr>
        <w:top w:val="none" w:sz="0" w:space="0" w:color="auto"/>
        <w:left w:val="none" w:sz="0" w:space="0" w:color="auto"/>
        <w:bottom w:val="none" w:sz="0" w:space="0" w:color="auto"/>
        <w:right w:val="none" w:sz="0" w:space="0" w:color="auto"/>
      </w:divBdr>
    </w:div>
    <w:div w:id="2094426515">
      <w:bodyDiv w:val="1"/>
      <w:marLeft w:val="0"/>
      <w:marRight w:val="0"/>
      <w:marTop w:val="0"/>
      <w:marBottom w:val="0"/>
      <w:divBdr>
        <w:top w:val="none" w:sz="0" w:space="0" w:color="auto"/>
        <w:left w:val="none" w:sz="0" w:space="0" w:color="auto"/>
        <w:bottom w:val="none" w:sz="0" w:space="0" w:color="auto"/>
        <w:right w:val="none" w:sz="0" w:space="0" w:color="auto"/>
      </w:divBdr>
      <w:divsChild>
        <w:div w:id="1156914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4815721">
      <w:bodyDiv w:val="1"/>
      <w:marLeft w:val="0"/>
      <w:marRight w:val="0"/>
      <w:marTop w:val="0"/>
      <w:marBottom w:val="0"/>
      <w:divBdr>
        <w:top w:val="none" w:sz="0" w:space="0" w:color="auto"/>
        <w:left w:val="none" w:sz="0" w:space="0" w:color="auto"/>
        <w:bottom w:val="none" w:sz="0" w:space="0" w:color="auto"/>
        <w:right w:val="none" w:sz="0" w:space="0" w:color="auto"/>
      </w:divBdr>
    </w:div>
    <w:div w:id="2096172010">
      <w:bodyDiv w:val="1"/>
      <w:marLeft w:val="0"/>
      <w:marRight w:val="0"/>
      <w:marTop w:val="0"/>
      <w:marBottom w:val="0"/>
      <w:divBdr>
        <w:top w:val="none" w:sz="0" w:space="0" w:color="auto"/>
        <w:left w:val="none" w:sz="0" w:space="0" w:color="auto"/>
        <w:bottom w:val="none" w:sz="0" w:space="0" w:color="auto"/>
        <w:right w:val="none" w:sz="0" w:space="0" w:color="auto"/>
      </w:divBdr>
      <w:divsChild>
        <w:div w:id="1185903681">
          <w:marLeft w:val="0"/>
          <w:marRight w:val="0"/>
          <w:marTop w:val="600"/>
          <w:marBottom w:val="0"/>
          <w:divBdr>
            <w:top w:val="none" w:sz="0" w:space="0" w:color="auto"/>
            <w:left w:val="none" w:sz="0" w:space="0" w:color="auto"/>
            <w:bottom w:val="none" w:sz="0" w:space="0" w:color="auto"/>
            <w:right w:val="none" w:sz="0" w:space="0" w:color="auto"/>
          </w:divBdr>
          <w:divsChild>
            <w:div w:id="132023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54032">
      <w:bodyDiv w:val="1"/>
      <w:marLeft w:val="0"/>
      <w:marRight w:val="0"/>
      <w:marTop w:val="0"/>
      <w:marBottom w:val="0"/>
      <w:divBdr>
        <w:top w:val="none" w:sz="0" w:space="0" w:color="auto"/>
        <w:left w:val="none" w:sz="0" w:space="0" w:color="auto"/>
        <w:bottom w:val="none" w:sz="0" w:space="0" w:color="auto"/>
        <w:right w:val="none" w:sz="0" w:space="0" w:color="auto"/>
      </w:divBdr>
    </w:div>
    <w:div w:id="2110197181">
      <w:bodyDiv w:val="1"/>
      <w:marLeft w:val="0"/>
      <w:marRight w:val="0"/>
      <w:marTop w:val="0"/>
      <w:marBottom w:val="0"/>
      <w:divBdr>
        <w:top w:val="none" w:sz="0" w:space="0" w:color="auto"/>
        <w:left w:val="none" w:sz="0" w:space="0" w:color="auto"/>
        <w:bottom w:val="none" w:sz="0" w:space="0" w:color="auto"/>
        <w:right w:val="none" w:sz="0" w:space="0" w:color="auto"/>
      </w:divBdr>
    </w:div>
    <w:div w:id="2111655399">
      <w:bodyDiv w:val="1"/>
      <w:marLeft w:val="0"/>
      <w:marRight w:val="0"/>
      <w:marTop w:val="0"/>
      <w:marBottom w:val="0"/>
      <w:divBdr>
        <w:top w:val="none" w:sz="0" w:space="0" w:color="auto"/>
        <w:left w:val="none" w:sz="0" w:space="0" w:color="auto"/>
        <w:bottom w:val="none" w:sz="0" w:space="0" w:color="auto"/>
        <w:right w:val="none" w:sz="0" w:space="0" w:color="auto"/>
      </w:divBdr>
    </w:div>
    <w:div w:id="2114551642">
      <w:bodyDiv w:val="1"/>
      <w:marLeft w:val="0"/>
      <w:marRight w:val="0"/>
      <w:marTop w:val="0"/>
      <w:marBottom w:val="0"/>
      <w:divBdr>
        <w:top w:val="none" w:sz="0" w:space="0" w:color="auto"/>
        <w:left w:val="none" w:sz="0" w:space="0" w:color="auto"/>
        <w:bottom w:val="none" w:sz="0" w:space="0" w:color="auto"/>
        <w:right w:val="none" w:sz="0" w:space="0" w:color="auto"/>
      </w:divBdr>
    </w:div>
    <w:div w:id="2118719084">
      <w:bodyDiv w:val="1"/>
      <w:marLeft w:val="0"/>
      <w:marRight w:val="0"/>
      <w:marTop w:val="0"/>
      <w:marBottom w:val="0"/>
      <w:divBdr>
        <w:top w:val="none" w:sz="0" w:space="0" w:color="auto"/>
        <w:left w:val="none" w:sz="0" w:space="0" w:color="auto"/>
        <w:bottom w:val="none" w:sz="0" w:space="0" w:color="auto"/>
        <w:right w:val="none" w:sz="0" w:space="0" w:color="auto"/>
      </w:divBdr>
    </w:div>
    <w:div w:id="2129278400">
      <w:bodyDiv w:val="1"/>
      <w:marLeft w:val="0"/>
      <w:marRight w:val="0"/>
      <w:marTop w:val="0"/>
      <w:marBottom w:val="0"/>
      <w:divBdr>
        <w:top w:val="none" w:sz="0" w:space="0" w:color="auto"/>
        <w:left w:val="none" w:sz="0" w:space="0" w:color="auto"/>
        <w:bottom w:val="none" w:sz="0" w:space="0" w:color="auto"/>
        <w:right w:val="none" w:sz="0" w:space="0" w:color="auto"/>
      </w:divBdr>
    </w:div>
    <w:div w:id="2130732513">
      <w:bodyDiv w:val="1"/>
      <w:marLeft w:val="0"/>
      <w:marRight w:val="0"/>
      <w:marTop w:val="0"/>
      <w:marBottom w:val="0"/>
      <w:divBdr>
        <w:top w:val="none" w:sz="0" w:space="0" w:color="auto"/>
        <w:left w:val="none" w:sz="0" w:space="0" w:color="auto"/>
        <w:bottom w:val="none" w:sz="0" w:space="0" w:color="auto"/>
        <w:right w:val="none" w:sz="0" w:space="0" w:color="auto"/>
      </w:divBdr>
      <w:divsChild>
        <w:div w:id="969046093">
          <w:marLeft w:val="0"/>
          <w:marRight w:val="0"/>
          <w:marTop w:val="0"/>
          <w:marBottom w:val="0"/>
          <w:divBdr>
            <w:top w:val="none" w:sz="0" w:space="0" w:color="auto"/>
            <w:left w:val="none" w:sz="0" w:space="0" w:color="auto"/>
            <w:bottom w:val="none" w:sz="0" w:space="0" w:color="auto"/>
            <w:right w:val="none" w:sz="0" w:space="0" w:color="auto"/>
          </w:divBdr>
        </w:div>
        <w:div w:id="1347563406">
          <w:marLeft w:val="0"/>
          <w:marRight w:val="0"/>
          <w:marTop w:val="0"/>
          <w:marBottom w:val="0"/>
          <w:divBdr>
            <w:top w:val="none" w:sz="0" w:space="0" w:color="auto"/>
            <w:left w:val="none" w:sz="0" w:space="0" w:color="auto"/>
            <w:bottom w:val="none" w:sz="0" w:space="0" w:color="auto"/>
            <w:right w:val="none" w:sz="0" w:space="0" w:color="auto"/>
          </w:divBdr>
        </w:div>
        <w:div w:id="1525093200">
          <w:marLeft w:val="0"/>
          <w:marRight w:val="0"/>
          <w:marTop w:val="0"/>
          <w:marBottom w:val="0"/>
          <w:divBdr>
            <w:top w:val="none" w:sz="0" w:space="0" w:color="auto"/>
            <w:left w:val="none" w:sz="0" w:space="0" w:color="auto"/>
            <w:bottom w:val="none" w:sz="0" w:space="0" w:color="auto"/>
            <w:right w:val="none" w:sz="0" w:space="0" w:color="auto"/>
          </w:divBdr>
        </w:div>
      </w:divsChild>
    </w:div>
    <w:div w:id="2132353965">
      <w:bodyDiv w:val="1"/>
      <w:marLeft w:val="0"/>
      <w:marRight w:val="0"/>
      <w:marTop w:val="0"/>
      <w:marBottom w:val="0"/>
      <w:divBdr>
        <w:top w:val="none" w:sz="0" w:space="0" w:color="auto"/>
        <w:left w:val="none" w:sz="0" w:space="0" w:color="auto"/>
        <w:bottom w:val="none" w:sz="0" w:space="0" w:color="auto"/>
        <w:right w:val="none" w:sz="0" w:space="0" w:color="auto"/>
      </w:divBdr>
    </w:div>
    <w:div w:id="21372885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eader" Target="header5.xml"/><Relationship Id="rId3" Type="http://schemas.openxmlformats.org/officeDocument/2006/relationships/customXml" Target="../customXml/item3.xml"/><Relationship Id="rId21" Type="http://schemas.microsoft.com/office/2014/relationships/chartEx" Target="charts/chartEx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chart" Target="charts/chart2.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chart" Target="charts/chart1.xml"/><Relationship Id="rId28"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image" Target="media/image2.png"/><Relationship Id="rId27" Type="http://schemas.openxmlformats.org/officeDocument/2006/relationships/footer" Target="footer4.xml"/><Relationship Id="rId30"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cop30.br/en/forests-roadmap" TargetMode="External"/><Relationship Id="rId13" Type="http://schemas.openxmlformats.org/officeDocument/2006/relationships/hyperlink" Target="https://www.forest-trends.org/publications/from-market-signal-to-national-forest-governance-reform/" TargetMode="External"/><Relationship Id="rId18" Type="http://schemas.openxmlformats.org/officeDocument/2006/relationships/hyperlink" Target="https://environment.ec.europa.eu/topics/forests/deforestation_en" TargetMode="External"/><Relationship Id="rId26" Type="http://schemas.openxmlformats.org/officeDocument/2006/relationships/hyperlink" Target="https://eur-lex.europa.eu/resource.html?uri=cellar:c34ecf63-4878-11ec-91ac-01aa75ed71a1.0001.02/DOC_1&amp;format=PDF" TargetMode="External"/><Relationship Id="rId3" Type="http://schemas.openxmlformats.org/officeDocument/2006/relationships/hyperlink" Target="https://ec.europa.eu/info/law/better-regulation/have-your-say/initiatives_en" TargetMode="External"/><Relationship Id="rId21" Type="http://schemas.openxmlformats.org/officeDocument/2006/relationships/hyperlink" Target="https://ec.europa.eu/info/law/better-regulation/have-your-say/initiatives/14655-EU-rules-to-minimise-deforestation-forest-degradation-amendment-of-Annex-I-to-the-Deforestation-Regulation_ro" TargetMode="External"/><Relationship Id="rId7" Type="http://schemas.openxmlformats.org/officeDocument/2006/relationships/hyperlink" Target="https://sdgs.un.org/2030agenda" TargetMode="External"/><Relationship Id="rId12" Type="http://schemas.openxmlformats.org/officeDocument/2006/relationships/hyperlink" Target="https://eur-lex.europa.eu/legal-content/RO/TXT/?uri=CELEX%3A32023R1115" TargetMode="External"/><Relationship Id="rId17" Type="http://schemas.openxmlformats.org/officeDocument/2006/relationships/hyperlink" Target="http://data.europa.eu/eli/reg_impl/2024/3084/oj" TargetMode="External"/><Relationship Id="rId25" Type="http://schemas.openxmlformats.org/officeDocument/2006/relationships/hyperlink" Target="https://op.europa.eu/en/publication-detail/-/publication/8ba0a8fd-4c83-11ea-b8b7-01aa75ed71a1/language-en" TargetMode="External"/><Relationship Id="rId2" Type="http://schemas.openxmlformats.org/officeDocument/2006/relationships/hyperlink" Target="https://ec.europa.eu/commission/presscorner/detail/en/ip_25_1063" TargetMode="External"/><Relationship Id="rId16" Type="http://schemas.openxmlformats.org/officeDocument/2006/relationships/hyperlink" Target="https://zerodeforestationhub.eu/wp-content/uploads/2026/01/Insights_EUDR-exercise_Coffee.pdf" TargetMode="External"/><Relationship Id="rId20" Type="http://schemas.openxmlformats.org/officeDocument/2006/relationships/hyperlink" Target="https://ec.europa.eu/transparency/expert-groups-register/screen/meetings/consult?lang=en&amp;meetingId=67585&amp;fromExpertGroups=3282" TargetMode="External"/><Relationship Id="rId1" Type="http://schemas.openxmlformats.org/officeDocument/2006/relationships/hyperlink" Target="https://ec.europa.eu/commission/presscorner/detail/en/ip_24_5009" TargetMode="External"/><Relationship Id="rId6" Type="http://schemas.openxmlformats.org/officeDocument/2006/relationships/hyperlink" Target="https://ukcop26.org/glasgow-leaders-declaration-on-forests-and-land-use/" TargetMode="External"/><Relationship Id="rId11" Type="http://schemas.openxmlformats.org/officeDocument/2006/relationships/hyperlink" Target="https://pure.iiasa.ac.at/id/eprint/14868/1/1.%20Report%20analysis%20of%20impact.pdf" TargetMode="External"/><Relationship Id="rId24" Type="http://schemas.openxmlformats.org/officeDocument/2006/relationships/hyperlink" Target="https://ec.europa.eu/info/law/better-regulation/have-your-say/initiatives_en" TargetMode="External"/><Relationship Id="rId5" Type="http://schemas.openxmlformats.org/officeDocument/2006/relationships/hyperlink" Target="https://www.cbd.int/convention/text/" TargetMode="External"/><Relationship Id="rId15" Type="http://schemas.openxmlformats.org/officeDocument/2006/relationships/hyperlink" Target="https://www.duh.de/fileadmin/user_upload/download/Projektinformation/Naturschutz/Policy_Brief__Dr._Metodi_Sotirov__-_The_EU_Deforestation_Regulation_Is_Already_Delivering_Results_-_Why_further_weakening_during_the_Simplification_Review_risks_undermining_progress_in_global_forest_governance.pdf" TargetMode="External"/><Relationship Id="rId23" Type="http://schemas.openxmlformats.org/officeDocument/2006/relationships/hyperlink" Target="https://environment.ec.europa.eu/publications/eudr-supply-chain-infographics-3rd-edition_en" TargetMode="External"/><Relationship Id="rId10" Type="http://schemas.openxmlformats.org/officeDocument/2006/relationships/hyperlink" Target="https://doi.org/10.4060/cb9360en" TargetMode="External"/><Relationship Id="rId19" Type="http://schemas.openxmlformats.org/officeDocument/2006/relationships/hyperlink" Target="http://data.europa.eu/eli/C/2024/6789/oj" TargetMode="External"/><Relationship Id="rId4" Type="http://schemas.openxmlformats.org/officeDocument/2006/relationships/hyperlink" Target="https://unfccc.int/sites/default/files/english_paris_agreement.pdf" TargetMode="External"/><Relationship Id="rId9" Type="http://schemas.openxmlformats.org/officeDocument/2006/relationships/hyperlink" Target="https://openknowledge.fao.org/items/090d2fbb-32a6-412b-a3b8-1ce5c5905df2" TargetMode="External"/><Relationship Id="rId14" Type="http://schemas.openxmlformats.org/officeDocument/2006/relationships/hyperlink" Target="https://www.forest-trends.org/publications/from-market-signal-to-national-forest-governance-reform/" TargetMode="External"/><Relationship Id="rId22" Type="http://schemas.openxmlformats.org/officeDocument/2006/relationships/hyperlink" Target="https://ec.europa.eu/info/law/better-regulation/have-your-say/initiatives/14794-Simplification-of-administrative-burden-in-environmental-legislation_ro"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0752937908753514"/>
          <c:y val="4.3763676148796497E-2"/>
          <c:w val="0.61715161272049168"/>
          <c:h val="0.83957307703754058"/>
        </c:manualLayout>
      </c:layout>
      <c:barChart>
        <c:barDir val="bar"/>
        <c:grouping val="stacked"/>
        <c:varyColors val="0"/>
        <c:ser>
          <c:idx val="0"/>
          <c:order val="0"/>
          <c:tx>
            <c:strRef>
              <c:f>Sheet1!$B$1</c:f>
              <c:strCache>
                <c:ptCount val="1"/>
                <c:pt idx="0">
                  <c:v>Series 1</c:v>
                </c:pt>
              </c:strCache>
            </c:strRef>
          </c:tx>
          <c:spPr>
            <a:solidFill>
              <a:schemeClr val="accent1"/>
            </a:solidFill>
            <a:ln>
              <a:noFill/>
            </a:ln>
            <a:effectLst/>
          </c:spPr>
          <c:invertIfNegative val="0"/>
          <c:cat>
            <c:strRef>
              <c:f>Sheet1!$A$2:$A$10</c:f>
              <c:strCache>
                <c:ptCount val="9"/>
                <c:pt idx="0">
                  <c:v>Iunie '23</c:v>
                </c:pt>
                <c:pt idx="1">
                  <c:v>Depuneri anuale de declarații privind diligența necesară</c:v>
                </c:pt>
                <c:pt idx="2">
                  <c:v>Analiză comparativă</c:v>
                </c:pt>
                <c:pt idx="3">
                  <c:v>Regim simplificat pentru MSPO</c:v>
                </c:pt>
                <c:pt idx="4">
                  <c:v>Obligații din aval</c:v>
                </c:pt>
                <c:pt idx="5">
                  <c:v>Exceptări orizontale anexa I</c:v>
                </c:pt>
                <c:pt idx="6">
                  <c:v>Domeniu de aplicare al produselor modificat</c:v>
                </c:pt>
                <c:pt idx="7">
                  <c:v>Altele</c:v>
                </c:pt>
                <c:pt idx="8">
                  <c:v>După aprilie '26</c:v>
                </c:pt>
              </c:strCache>
            </c:strRef>
          </c:cat>
          <c:val>
            <c:numRef>
              <c:f>Sheet1!$B$2:$B$10</c:f>
              <c:numCache>
                <c:formatCode>General</c:formatCode>
                <c:ptCount val="9"/>
                <c:pt idx="0">
                  <c:v>8072674000</c:v>
                </c:pt>
                <c:pt idx="8">
                  <c:v>2021215118.743547</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95A3-418A-805E-402DF5D9AF47}"/>
            </c:ext>
          </c:extLst>
        </c:ser>
        <c:ser>
          <c:idx val="1"/>
          <c:order val="1"/>
          <c:tx>
            <c:strRef>
              <c:f>Sheet1!$C$1</c:f>
              <c:strCache>
                <c:ptCount val="1"/>
                <c:pt idx="0">
                  <c:v>Series 2</c:v>
                </c:pt>
              </c:strCache>
            </c:strRef>
          </c:tx>
          <c:spPr>
            <a:noFill/>
            <a:ln>
              <a:noFill/>
            </a:ln>
            <a:effectLst/>
          </c:spPr>
          <c:invertIfNegative val="0"/>
          <c:cat>
            <c:strRef>
              <c:f>Sheet1!$A$2:$A$10</c:f>
              <c:strCache>
                <c:ptCount val="9"/>
                <c:pt idx="0">
                  <c:v>Iunie '23</c:v>
                </c:pt>
                <c:pt idx="1">
                  <c:v>Depuneri anuale de declarații privind diligența necesară</c:v>
                </c:pt>
                <c:pt idx="2">
                  <c:v>Analiză comparativă</c:v>
                </c:pt>
                <c:pt idx="3">
                  <c:v>Regim simplificat pentru MSPO</c:v>
                </c:pt>
                <c:pt idx="4">
                  <c:v>Obligații din aval</c:v>
                </c:pt>
                <c:pt idx="5">
                  <c:v>Exceptări orizontale anexa I</c:v>
                </c:pt>
                <c:pt idx="6">
                  <c:v>Domeniu de aplicare al produselor modificat</c:v>
                </c:pt>
                <c:pt idx="7">
                  <c:v>Altele</c:v>
                </c:pt>
                <c:pt idx="8">
                  <c:v>După aprilie '26</c:v>
                </c:pt>
              </c:strCache>
            </c:strRef>
          </c:cat>
          <c:val>
            <c:numRef>
              <c:f>Sheet1!$C$2:$C$10</c:f>
              <c:numCache>
                <c:formatCode>General</c:formatCode>
                <c:ptCount val="9"/>
                <c:pt idx="1">
                  <c:v>7732913472.1428585</c:v>
                </c:pt>
                <c:pt idx="2">
                  <c:v>7246505135.2738104</c:v>
                </c:pt>
                <c:pt idx="3">
                  <c:v>2674681681.5792189</c:v>
                </c:pt>
                <c:pt idx="4">
                  <c:v>2588478681.5792189</c:v>
                </c:pt>
                <c:pt idx="5">
                  <c:v>2466920994.3150454</c:v>
                </c:pt>
                <c:pt idx="6">
                  <c:v>2023483618.743547</c:v>
                </c:pt>
                <c:pt idx="7">
                  <c:v>2021215118.743547</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95A3-418A-805E-402DF5D9AF47}"/>
            </c:ext>
          </c:extLst>
        </c:ser>
        <c:ser>
          <c:idx val="2"/>
          <c:order val="2"/>
          <c:tx>
            <c:strRef>
              <c:f>Sheet1!$D$1</c:f>
              <c:strCache>
                <c:ptCount val="1"/>
                <c:pt idx="0">
                  <c:v>Series 3</c:v>
                </c:pt>
              </c:strCache>
            </c:strRef>
          </c:tx>
          <c:spPr>
            <a:solidFill>
              <a:schemeClr val="bg1">
                <a:lumMod val="75000"/>
              </a:schemeClr>
            </a:solidFill>
            <a:ln>
              <a:noFill/>
            </a:ln>
            <a:effectLst/>
          </c:spPr>
          <c:invertIfNegative val="0"/>
          <c:cat>
            <c:strRef>
              <c:f>Sheet1!$A$2:$A$10</c:f>
              <c:strCache>
                <c:ptCount val="9"/>
                <c:pt idx="0">
                  <c:v>Iunie '23</c:v>
                </c:pt>
                <c:pt idx="1">
                  <c:v>Depuneri anuale de declarații privind diligența necesară</c:v>
                </c:pt>
                <c:pt idx="2">
                  <c:v>Analiză comparativă</c:v>
                </c:pt>
                <c:pt idx="3">
                  <c:v>Regim simplificat pentru MSPO</c:v>
                </c:pt>
                <c:pt idx="4">
                  <c:v>Obligații din aval</c:v>
                </c:pt>
                <c:pt idx="5">
                  <c:v>Exceptări orizontale anexa I</c:v>
                </c:pt>
                <c:pt idx="6">
                  <c:v>Domeniu de aplicare al produselor modificat</c:v>
                </c:pt>
                <c:pt idx="7">
                  <c:v>Altele</c:v>
                </c:pt>
                <c:pt idx="8">
                  <c:v>După aprilie '26</c:v>
                </c:pt>
              </c:strCache>
            </c:strRef>
          </c:cat>
          <c:val>
            <c:numRef>
              <c:f>Sheet1!$D$2:$D$10</c:f>
              <c:numCache>
                <c:formatCode>General</c:formatCode>
                <c:ptCount val="9"/>
                <c:pt idx="1">
                  <c:v>339760527.85714149</c:v>
                </c:pt>
                <c:pt idx="2">
                  <c:v>486408336.86904812</c:v>
                </c:pt>
                <c:pt idx="3">
                  <c:v>4571823453.6945915</c:v>
                </c:pt>
                <c:pt idx="4">
                  <c:v>86203000</c:v>
                </c:pt>
                <c:pt idx="5">
                  <c:v>121557687.26417351</c:v>
                </c:pt>
                <c:pt idx="6">
                  <c:v>443437375.57149839</c:v>
                </c:pt>
                <c:pt idx="7">
                  <c:v>2268500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95A3-418A-805E-402DF5D9AF47}"/>
            </c:ext>
          </c:extLst>
        </c:ser>
        <c:dLbls>
          <c:showLegendKey val="0"/>
          <c:showVal val="0"/>
          <c:showCatName val="0"/>
          <c:showSerName val="0"/>
          <c:showPercent val="0"/>
          <c:showBubbleSize val="0"/>
        </c:dLbls>
        <c:gapWidth val="150"/>
        <c:overlap val="100"/>
        <c:axId val="2139943248"/>
        <c:axId val="2139944688"/>
      </c:barChart>
      <c:catAx>
        <c:axId val="213994324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9944688"/>
        <c:crosses val="autoZero"/>
        <c:auto val="1"/>
        <c:lblAlgn val="ctr"/>
        <c:lblOffset val="100"/>
        <c:noMultiLvlLbl val="0"/>
      </c:catAx>
      <c:valAx>
        <c:axId val="2139944688"/>
        <c:scaling>
          <c:orientation val="minMax"/>
          <c:max val="10000000000"/>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9943248"/>
        <c:crosses val="max"/>
        <c:crossBetween val="between"/>
        <c:majorUnit val="2000000000"/>
        <c:minorUnit val="200000000"/>
        <c:dispUnits>
          <c:builtInUnit val="billions"/>
          <c:dispUnitsLbl>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o-RO"/>
                    <a:t>Miliarde</a:t>
                  </a:r>
                  <a:endParaRPr lang="en-IE"/>
                </a:p>
              </c:rich>
            </c:tx>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71991784271339"/>
          <c:y val="5.6410256410256411E-2"/>
          <c:w val="0.78916404595399114"/>
          <c:h val="0.78295739955582477"/>
        </c:manualLayout>
      </c:layout>
      <c:barChart>
        <c:barDir val="bar"/>
        <c:grouping val="clustered"/>
        <c:varyColors val="0"/>
        <c:ser>
          <c:idx val="0"/>
          <c:order val="0"/>
          <c:tx>
            <c:strRef>
              <c:f>Sheet1!$B$1</c:f>
              <c:strCache>
                <c:ptCount val="1"/>
                <c:pt idx="0">
                  <c:v>Total</c:v>
                </c:pt>
              </c:strCache>
            </c:strRef>
          </c:tx>
          <c:spPr>
            <a:solidFill>
              <a:schemeClr val="accent1"/>
            </a:solidFill>
            <a:ln>
              <a:noFill/>
            </a:ln>
            <a:effectLst/>
          </c:spPr>
          <c:invertIfNegative val="0"/>
          <c:cat>
            <c:strRef>
              <c:f>Sheet1!$A$2:$A$8</c:f>
              <c:strCache>
                <c:ptCount val="7"/>
                <c:pt idx="0">
                  <c:v>Lemn</c:v>
                </c:pt>
                <c:pt idx="1">
                  <c:v>Cauciuc</c:v>
                </c:pt>
                <c:pt idx="2">
                  <c:v>Soia</c:v>
                </c:pt>
                <c:pt idx="3">
                  <c:v>Cafea</c:v>
                </c:pt>
                <c:pt idx="4">
                  <c:v>Bovine</c:v>
                </c:pt>
                <c:pt idx="5">
                  <c:v>Ulei de 
palmier</c:v>
                </c:pt>
                <c:pt idx="6">
                  <c:v>Cacao</c:v>
                </c:pt>
              </c:strCache>
            </c:strRef>
          </c:cat>
          <c:val>
            <c:numRef>
              <c:f>Sheet1!$B$2:$B$8</c:f>
              <c:numCache>
                <c:formatCode>_-"€"* #,##0_-;\-"€"* #,##0_-;_-"€"* "-"??_-;_-@_-</c:formatCode>
                <c:ptCount val="7"/>
                <c:pt idx="0">
                  <c:v>183307372.28596228</c:v>
                </c:pt>
                <c:pt idx="1">
                  <c:v>461984536.5075767</c:v>
                </c:pt>
                <c:pt idx="2">
                  <c:v>742999984.33432996</c:v>
                </c:pt>
                <c:pt idx="3">
                  <c:v>751875108.57634449</c:v>
                </c:pt>
                <c:pt idx="4">
                  <c:v>872720764.44214797</c:v>
                </c:pt>
                <c:pt idx="5">
                  <c:v>958616093.9635061</c:v>
                </c:pt>
                <c:pt idx="6">
                  <c:v>3038808223.2019625</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8320-4D21-B5F8-84BDDDA40404}"/>
            </c:ext>
          </c:extLst>
        </c:ser>
        <c:dLbls>
          <c:showLegendKey val="0"/>
          <c:showVal val="0"/>
          <c:showCatName val="0"/>
          <c:showSerName val="0"/>
          <c:showPercent val="0"/>
          <c:showBubbleSize val="0"/>
        </c:dLbls>
        <c:gapWidth val="182"/>
        <c:axId val="1765369600"/>
        <c:axId val="1765380640"/>
      </c:barChart>
      <c:catAx>
        <c:axId val="1765369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5380640"/>
        <c:crosses val="autoZero"/>
        <c:auto val="1"/>
        <c:lblAlgn val="ctr"/>
        <c:lblOffset val="100"/>
        <c:noMultiLvlLbl val="0"/>
      </c:catAx>
      <c:valAx>
        <c:axId val="1765380640"/>
        <c:scaling>
          <c:orientation val="minMax"/>
        </c:scaling>
        <c:delete val="0"/>
        <c:axPos val="b"/>
        <c:majorGridlines>
          <c:spPr>
            <a:ln w="9525" cap="flat" cmpd="sng" algn="ctr">
              <a:solidFill>
                <a:schemeClr val="tx1">
                  <a:lumMod val="15000"/>
                  <a:lumOff val="85000"/>
                </a:schemeClr>
              </a:solidFill>
              <a:round/>
            </a:ln>
            <a:effectLst/>
          </c:spPr>
        </c:majorGridlines>
        <c:numFmt formatCode="_-&quot;€&quot;* #,##0_-;\-&quot;€&quot;* #,##0_-;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5369600"/>
        <c:crosses val="autoZero"/>
        <c:crossBetween val="between"/>
        <c:dispUnits>
          <c:builtInUnit val="billions"/>
          <c:dispUnitsLbl>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o-RO"/>
                    <a:t>Miliarde</a:t>
                  </a:r>
                  <a:endParaRPr lang="en-IE"/>
                </a:p>
              </c:rich>
            </c:tx>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Sheet1!$A$2:$A$9</cx:f>
        <cx:lvl ptCount="8">
          <cx:pt idx="0">Bovine</cx:pt>
          <cx:pt idx="1">Lemn</cx:pt>
          <cx:pt idx="2">Ulei de palmier</cx:pt>
          <cx:pt idx="3">Soia</cx:pt>
          <cx:pt idx="4">Cacao  </cx:pt>
          <cx:pt idx="5">Cauciuc</cx:pt>
          <cx:pt idx="6">Cafea</cx:pt>
          <cx:pt idx="7">Total</cx:pt>
        </cx:lvl>
      </cx:strDim>
      <cx:numDim type="val">
        <cx:f>Sheet1!$B$2:$B$9</cx:f>
        <cx:lvl ptCount="8" formatCode="General">
          <cx:pt idx="0">2355</cx:pt>
          <cx:pt idx="1">675</cx:pt>
          <cx:pt idx="2">392</cx:pt>
          <cx:pt idx="3">224</cx:pt>
          <cx:pt idx="4">187</cx:pt>
          <cx:pt idx="5">111</cx:pt>
          <cx:pt idx="6">82</cx:pt>
          <cx:pt idx="7">4025</cx:pt>
        </cx:lvl>
      </cx:numDim>
    </cx:data>
  </cx:chartData>
  <cx:chart>
    <cx:plotArea>
      <cx:plotAreaRegion>
        <cx:series layoutId="waterfall" uniqueId="{98A00E82-02D0-496E-A1A1-BF19A958F8D9}">
          <cx:tx>
            <cx:txData>
              <cx:f>Sheet1!$B$1</cx:f>
              <cx:v>Series1</cx:v>
            </cx:txData>
          </cx:tx>
          <cx:spPr>
            <a:solidFill>
              <a:schemeClr val="tx2">
                <a:lumMod val="25000"/>
                <a:lumOff val="75000"/>
              </a:schemeClr>
            </a:solidFill>
          </cx:spPr>
          <cx:dataPt idx="7">
            <cx:spPr>
              <a:solidFill>
                <a:srgbClr val="156082"/>
              </a:solidFill>
            </cx:spPr>
          </cx:dataPt>
          <cx:dataLabels pos="outEnd">
            <cx:visibility seriesName="0" categoryName="0" value="1"/>
          </cx:dataLabels>
          <cx:dataId val="0"/>
          <cx:layoutPr>
            <cx:subtotals>
              <cx:idx val="0"/>
              <cx:idx val="7"/>
            </cx:subtotals>
          </cx:layoutPr>
        </cx:series>
      </cx:plotAreaRegion>
      <cx:axis id="0">
        <cx:catScaling gapWidth="0.800000012"/>
        <cx:tickLabels/>
      </cx:axis>
      <cx:axis id="1">
        <cx:valScaling/>
        <cx:title>
          <cx:tx>
            <cx:rich>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Aptos" panose="02110004020202020204"/>
                  </a:rPr>
                  <a:t>Defrișările la nivel mondial</a:t>
                </a:r>
                <a:r>
                  <a:rPr lang="ro-RO" sz="900" b="0" i="0" u="none" strike="noStrike" baseline="0">
                    <a:solidFill>
                      <a:sysClr val="windowText" lastClr="000000">
                        <a:lumMod val="65000"/>
                        <a:lumOff val="35000"/>
                      </a:sysClr>
                    </a:solidFill>
                    <a:latin typeface="Aptos" panose="02110004020202020204"/>
                  </a:rPr>
                  <a:t> (mii de hectare)</a:t>
                </a:r>
                <a:endParaRPr lang="en-US" sz="900" b="0" i="0" u="none" strike="noStrike" baseline="0">
                  <a:solidFill>
                    <a:sysClr val="windowText" lastClr="000000">
                      <a:lumMod val="65000"/>
                      <a:lumOff val="35000"/>
                    </a:sysClr>
                  </a:solidFill>
                  <a:latin typeface="Aptos" panose="02110004020202020204"/>
                </a:endParaRPr>
              </a:p>
            </cx:rich>
          </cx:tx>
        </cx:title>
        <cx:majorGridlines/>
        <cx:tickLabels/>
      </cx:axis>
    </cx:plotArea>
  </cx:chart>
  <cx:spPr>
    <a:ln>
      <a:noFill/>
    </a:ln>
  </cx:spPr>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95">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Author Role="Creator" AuthorRoleName="Writer" AuthorRoleDisplayName="Writer" AuthorRoleId="a4fbaff4-b07c-48b4-a21e-e7b9eedf3796">
  <Id>2bfa1560-3a36-43f9-9c36-5d3a118a0c5a</Id>
  <Names>
    <Latin>
      <FirstName>Jeroen</FirstName>
      <LastName>VERHAGEN</LastName>
    </Latin>
    <Greek>
      <FirstName/>
      <LastName/>
    </Greek>
    <Cyrillic>
      <FirstName/>
      <LastName/>
    </Cyrillic>
    <DocumentScript>
      <FirstName>Jeroen</FirstName>
      <LastName>VERHAGEN</LastName>
      <FullName>Jeroen VERHAGEN</FullName>
    </DocumentScript>
  </Names>
  <Initials>JV</Initials>
  <Gender>m</Gender>
  <Email>Jeroen.VERHAGEN@ec.europa.eu</Email>
  <Service>ENV.F.1</Service>
  <Function ADCode="" ShowInSignature="true" ShowInHeader="false" HeaderText=""/>
  <WebAddress/>
  <FunctionalMailbox/>
  <InheritedWebAddress>WebAddress</InheritedWebAddress>
  <OrgaEntity1>
    <Id>3582fddc-c2e6-4f76-9feb-24293efccb2e</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1>
  <OrgaEntity2>
    <Id>be42106e-9b51-4778-9113-d7e411658663</Id>
    <LogicalLevel>2</LogicalLevel>
    <Name>ENV.F</Name>
    <HeadLine1>Directorate F – Green Diplomacy &amp; Multilateralism</HeadLine1>
    <HeadLine2/>
    <PrimaryAddressId>f03b5801-04c9-4931-aa17-c6d6c70bc579</PrimaryAddressId>
    <SecondaryAddressId/>
    <WebAddress/>
    <InheritedWebAddress>WebAddress</InheritedWebAddress>
    <ShowInHeader>true</ShowInHeader>
  </OrgaEntity2>
  <OrgaEntity3>
    <Id>99c8d897-bc83-4cc2-a08e-6f858cdc8e7b</Id>
    <LogicalLevel>3</LogicalLevel>
    <Name>ENV.F.1</Name>
    <HeadLine1>ENV.F.1 – Planetary Common Goods, Universal Values &amp; Environmental Security</HeadLine1>
    <HeadLine2/>
    <PrimaryAddressId>f03b5801-04c9-4931-aa17-c6d6c70bc579</PrimaryAddressId>
    <SecondaryAddressId/>
    <WebAddress/>
    <InheritedWebAddress>WebAddress</InheritedWebAddress>
    <ShowInHeader>true</ShowInHeader>
  </OrgaEntity3>
  <Hierarchy>
    <OrgaEntity>
      <Id>3582fddc-c2e6-4f76-9feb-24293efccb2e</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
    <OrgaEntity>
      <Id>be42106e-9b51-4778-9113-d7e411658663</Id>
      <LogicalLevel>2</LogicalLevel>
      <Name>ENV.F</Name>
      <HeadLine1>Directorate F – Green Diplomacy &amp; Multilateralism</HeadLine1>
      <HeadLine2/>
      <PrimaryAddressId>f03b5801-04c9-4931-aa17-c6d6c70bc579</PrimaryAddressId>
      <SecondaryAddressId/>
      <WebAddress/>
      <InheritedWebAddress>WebAddress</InheritedWebAddress>
      <ShowInHeader>true</ShowInHeader>
    </OrgaEntity>
    <OrgaEntity>
      <Id>99c8d897-bc83-4cc2-a08e-6f858cdc8e7b</Id>
      <LogicalLevel>3</LogicalLevel>
      <Name>ENV.F.1</Name>
      <HeadLine1>ENV.F.1 – Planetary Common Goods, Universal Values &amp; Environmental Security</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+32 229-93949</Phone>
    <Office>BRE2 07/DCS</Office>
  </MainWorkplace>
  <Workplaces>
    <Workplace IsMain="true">
      <AddressId>f03b5801-04c9-4931-aa17-c6d6c70bc579</AddressId>
      <Fax/>
      <Phone>+32 229-93949</Phone>
      <Office>BRE2 07/DCS</Office>
    </Workplace>
  </Workplaces>
</Author>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9b29e8c-5da5-41b7-9b48-7fad7b873b67">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45173D67C871A429D9A58E9AC77F1F6" ma:contentTypeVersion="15" ma:contentTypeDescription="Create a new document." ma:contentTypeScope="" ma:versionID="308026350770500f930cdad5b3cf0ff8">
  <xsd:schema xmlns:xsd="http://www.w3.org/2001/XMLSchema" xmlns:xs="http://www.w3.org/2001/XMLSchema" xmlns:p="http://schemas.microsoft.com/office/2006/metadata/properties" xmlns:ns2="19b29e8c-5da5-41b7-9b48-7fad7b873b67" xmlns:ns3="a45643f3-7c99-4d24-b29f-08e86086f1a7" targetNamespace="http://schemas.microsoft.com/office/2006/metadata/properties" ma:root="true" ma:fieldsID="ed3079659433049ca75996bdc0ddbdac" ns2:_="" ns3:_="">
    <xsd:import namespace="19b29e8c-5da5-41b7-9b48-7fad7b873b67"/>
    <xsd:import namespace="a45643f3-7c99-4d24-b29f-08e86086f1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29e8c-5da5-41b7-9b48-7fad7b873b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5643f3-7c99-4d24-b29f-08e86086f1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EurolookProperties>
  <ProductCustomizationId>EC</ProductCustomizationId>
  <Created>
    <Version>10.0.47989.0</Version>
    <Date>2026-03-05T12:18:43</Date>
    <Language>EN</Language>
    <Note/>
  </Created>
  <DocumentModel>
    <Id>6cbda13a-4db2-46c6-876a-ef72275827ef</Id>
    <Name>Report</Name>
  </DocumentModel>
  <CustomTemplate>
    <Id/>
    <Name/>
  </CustomTemplate>
  <DocumentDate>2026-03-05T12:18:43</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A147D5A6-8CBB-4221-A466-39A3C79A968D}">
  <ds:schemaRefs>
    <ds:schemaRef ds:uri="http://schemas.microsoft.com/sharepoint/v3/contenttype/forms"/>
  </ds:schemaRefs>
</ds:datastoreItem>
</file>

<file path=customXml/itemProps3.xml><?xml version="1.0" encoding="utf-8"?>
<ds:datastoreItem xmlns:ds="http://schemas.openxmlformats.org/officeDocument/2006/customXml" ds:itemID="{6935553F-4636-41F1-B7CB-FA95229DEE77}">
  <ds:schemaRefs/>
</ds:datastoreItem>
</file>

<file path=customXml/itemProps4.xml><?xml version="1.0" encoding="utf-8"?>
<ds:datastoreItem xmlns:ds="http://schemas.openxmlformats.org/officeDocument/2006/customXml" ds:itemID="{90E1A4DB-67BA-449C-B663-2464B993ABEF}">
  <ds:schemaRefs>
    <ds:schemaRef ds:uri="http://schemas.microsoft.com/office/2006/metadata/properties"/>
    <ds:schemaRef ds:uri="http://schemas.microsoft.com/office/infopath/2007/PartnerControls"/>
    <ds:schemaRef ds:uri="19b29e8c-5da5-41b7-9b48-7fad7b873b67"/>
  </ds:schemaRefs>
</ds:datastoreItem>
</file>

<file path=customXml/itemProps5.xml><?xml version="1.0" encoding="utf-8"?>
<ds:datastoreItem xmlns:ds="http://schemas.openxmlformats.org/officeDocument/2006/customXml" ds:itemID="{16BAB7CD-3517-4634-ABA0-6B65952A70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b29e8c-5da5-41b7-9b48-7fad7b873b67"/>
    <ds:schemaRef ds:uri="a45643f3-7c99-4d24-b29f-08e86086f1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F485976B-940B-42E7-8703-774029FDA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13326</Words>
  <Characters>75964</Characters>
  <Application>Microsoft Office Word</Application>
  <DocSecurity>0</DocSecurity>
  <PresentationFormat>Microsoft Word 14.0</PresentationFormat>
  <Lines>633</Lines>
  <Paragraphs>178</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2026-04-30T08:39:00Z</dcterms:created>
  <dcterms:modified xsi:type="dcterms:W3CDTF">2026-07-14T07:09:00Z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2026-04-27T16:31:01Z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c86823c5-3ebc-4024-9838-c7410d420dad</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DocStatus">
    <vt:lpwstr>Green</vt:lpwstr>
  </property>
  <property fmtid="{D5CDD505-2E9C-101B-9397-08002B2CF9AE}" pid="11" name="Last edited using">
    <vt:lpwstr>LW 9.2, Build 20250828</vt:lpwstr>
  </property>
  <property fmtid="{D5CDD505-2E9C-101B-9397-08002B2CF9AE}" pid="12" name="ContentTypeId">
    <vt:lpwstr>0x010100145173D67C871A429D9A58E9AC77F1F6</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