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A1DE07" w14:textId="55DD699A" w:rsidR="00FA089C" w:rsidRPr="00FD396D" w:rsidRDefault="00A40B95" w:rsidP="00A40B95">
      <w:pPr>
        <w:pStyle w:val="Pagedecouverture"/>
        <w:rPr>
          <w:noProof/>
        </w:rPr>
      </w:pPr>
      <w:r>
        <w:rPr>
          <w:noProof/>
        </w:rPr>
        <w:pict w14:anchorId="741AEBE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alt="07C223FE-F6B1-4DC9-8603-872ADC4AD9CD" style="width:455.25pt;height:424.5pt">
            <v:imagedata r:id="rId8" o:title=""/>
          </v:shape>
        </w:pict>
      </w:r>
    </w:p>
    <w:p w14:paraId="56CF7E12" w14:textId="77777777" w:rsidR="00FA089C" w:rsidRPr="00FD396D" w:rsidRDefault="00FA089C" w:rsidP="00FA089C">
      <w:pPr>
        <w:rPr>
          <w:noProof/>
        </w:rPr>
        <w:sectPr w:rsidR="00FA089C" w:rsidRPr="00FD396D" w:rsidSect="00A40B9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39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 w14:paraId="71246170" w14:textId="77777777" w:rsidR="00FA089C" w:rsidRPr="00FD396D" w:rsidRDefault="00FA089C" w:rsidP="00FA089C">
      <w:pPr>
        <w:pStyle w:val="Annexetitre"/>
        <w:rPr>
          <w:noProof/>
        </w:rPr>
      </w:pPr>
      <w:bookmarkStart w:id="0" w:name="_GoBack"/>
      <w:bookmarkEnd w:id="0"/>
      <w:r w:rsidRPr="00FD396D">
        <w:rPr>
          <w:noProof/>
        </w:rPr>
        <w:lastRenderedPageBreak/>
        <w:t xml:space="preserve">ANNEXE </w:t>
      </w:r>
    </w:p>
    <w:p w14:paraId="1BBAEAEB" w14:textId="77777777" w:rsidR="00BB37E9" w:rsidRPr="00FD396D" w:rsidRDefault="004529A0" w:rsidP="00BB37E9">
      <w:pPr>
        <w:pStyle w:val="Body"/>
        <w:spacing w:before="360" w:after="0"/>
        <w:jc w:val="center"/>
        <w:rPr>
          <w:b/>
          <w:bCs/>
          <w:noProof/>
        </w:rPr>
      </w:pPr>
      <w:r w:rsidRPr="00FD396D">
        <w:rPr>
          <w:b/>
          <w:noProof/>
        </w:rPr>
        <w:t>PROJET DE DÉCISION DU COMITÉ MIXTE DE L’EEE</w:t>
      </w:r>
    </w:p>
    <w:p w14:paraId="45E08199" w14:textId="77777777" w:rsidR="006A4E0F" w:rsidRPr="00FD396D" w:rsidRDefault="006A4E0F" w:rsidP="006A4E0F">
      <w:pPr>
        <w:spacing w:after="0"/>
        <w:jc w:val="center"/>
        <w:rPr>
          <w:b/>
          <w:noProof/>
          <w:color w:val="0000FF"/>
          <w:szCs w:val="24"/>
        </w:rPr>
      </w:pPr>
      <w:r w:rsidRPr="00FD396D">
        <w:rPr>
          <w:b/>
          <w:noProof/>
        </w:rPr>
        <w:t>nº </w:t>
      </w:r>
      <w:r w:rsidRPr="00FD396D">
        <w:rPr>
          <w:b/>
          <w:noProof/>
          <w:color w:val="0000FF"/>
        </w:rPr>
        <w:t>[…]</w:t>
      </w:r>
    </w:p>
    <w:p w14:paraId="50D8A818" w14:textId="77777777" w:rsidR="006A4E0F" w:rsidRPr="00FD396D" w:rsidRDefault="006A4E0F" w:rsidP="006A4E0F">
      <w:pPr>
        <w:spacing w:before="360" w:after="0"/>
        <w:jc w:val="center"/>
        <w:rPr>
          <w:b/>
          <w:noProof/>
          <w:color w:val="0000FF"/>
          <w:szCs w:val="24"/>
        </w:rPr>
      </w:pPr>
      <w:r w:rsidRPr="00FD396D">
        <w:rPr>
          <w:b/>
          <w:noProof/>
          <w:color w:val="000000" w:themeColor="text1"/>
        </w:rPr>
        <w:t xml:space="preserve">du </w:t>
      </w:r>
      <w:r w:rsidRPr="00FD396D">
        <w:rPr>
          <w:b/>
          <w:noProof/>
          <w:color w:val="0000FF"/>
        </w:rPr>
        <w:t>[…]</w:t>
      </w:r>
    </w:p>
    <w:p w14:paraId="22B56E92" w14:textId="77777777" w:rsidR="006A4E0F" w:rsidRPr="00FD396D" w:rsidRDefault="006A4E0F" w:rsidP="006A4E0F">
      <w:pPr>
        <w:spacing w:before="360" w:after="360"/>
        <w:jc w:val="center"/>
        <w:rPr>
          <w:rFonts w:ascii="Times New Roman Bold" w:hAnsi="Times New Roman Bold"/>
          <w:b/>
          <w:noProof/>
          <w:color w:val="000000" w:themeColor="text1"/>
          <w:szCs w:val="24"/>
        </w:rPr>
      </w:pPr>
      <w:r w:rsidRPr="00FD396D">
        <w:rPr>
          <w:rFonts w:ascii="Times New Roman Bold" w:hAnsi="Times New Roman Bold"/>
          <w:b/>
          <w:noProof/>
          <w:color w:val="000000" w:themeColor="text1"/>
        </w:rPr>
        <w:t>modifiant le protocole 31 de l’accord EEE concernant la coopération dans des secteurs particuliers en dehors des quatre libertés</w:t>
      </w:r>
    </w:p>
    <w:p w14:paraId="255FA651" w14:textId="77777777" w:rsidR="006A4E0F" w:rsidRPr="00FD396D" w:rsidRDefault="006A4E0F" w:rsidP="006A4E0F">
      <w:pPr>
        <w:spacing w:before="600"/>
        <w:rPr>
          <w:noProof/>
          <w:color w:val="000000" w:themeColor="text1"/>
          <w:szCs w:val="24"/>
        </w:rPr>
      </w:pPr>
      <w:r w:rsidRPr="00FD396D">
        <w:rPr>
          <w:noProof/>
          <w:color w:val="000000" w:themeColor="text1"/>
        </w:rPr>
        <w:t>LE COMITÉ MIXTE DE L’EEE,</w:t>
      </w:r>
    </w:p>
    <w:p w14:paraId="617C2BA5" w14:textId="77777777" w:rsidR="006A4E0F" w:rsidRPr="00FD396D" w:rsidRDefault="006A4E0F" w:rsidP="006A4E0F">
      <w:pPr>
        <w:rPr>
          <w:noProof/>
          <w:color w:val="000000" w:themeColor="text1"/>
          <w:szCs w:val="24"/>
        </w:rPr>
      </w:pPr>
      <w:r w:rsidRPr="00FD396D">
        <w:rPr>
          <w:noProof/>
          <w:color w:val="000000" w:themeColor="text1"/>
        </w:rPr>
        <w:t>vu l’accord sur l’Espace économique européen (ci-après l’«accord EEE»), et notamment ses articles 86 et 98,</w:t>
      </w:r>
    </w:p>
    <w:p w14:paraId="73A337F3" w14:textId="77777777" w:rsidR="006A4E0F" w:rsidRPr="00FD396D" w:rsidRDefault="006A4E0F" w:rsidP="006A4E0F">
      <w:pPr>
        <w:rPr>
          <w:noProof/>
          <w:color w:val="000000" w:themeColor="text1"/>
          <w:szCs w:val="24"/>
        </w:rPr>
      </w:pPr>
      <w:r w:rsidRPr="00FD396D">
        <w:rPr>
          <w:noProof/>
          <w:color w:val="000000" w:themeColor="text1"/>
        </w:rPr>
        <w:t>considérant ce qui suit:</w:t>
      </w:r>
    </w:p>
    <w:p w14:paraId="57A64B67" w14:textId="40278B1E" w:rsidR="006A4E0F" w:rsidRPr="00FD396D" w:rsidRDefault="006A4E0F" w:rsidP="001C65F6">
      <w:pPr>
        <w:pStyle w:val="Point0number"/>
        <w:numPr>
          <w:ilvl w:val="0"/>
          <w:numId w:val="13"/>
        </w:numPr>
        <w:rPr>
          <w:noProof/>
          <w:szCs w:val="24"/>
        </w:rPr>
      </w:pPr>
      <w:r w:rsidRPr="00FD396D">
        <w:rPr>
          <w:noProof/>
        </w:rPr>
        <w:t>Il y a lieu de poursuivre la coopération des parties contractantes à l’accord EEE en ce qui concerne les actions de l’Union financées par le budget général de l’Union relatives à la libre circulation des travailleurs, à la coordination des régimes de sécurité sociale et aux actions en faveur des migrants, notamment des migrants provenant de pays tiers.</w:t>
      </w:r>
    </w:p>
    <w:p w14:paraId="21A79E70" w14:textId="27C2F3FB" w:rsidR="006A4E0F" w:rsidRPr="00FD396D" w:rsidRDefault="006A4E0F" w:rsidP="002064C4">
      <w:pPr>
        <w:pStyle w:val="Point0number"/>
        <w:rPr>
          <w:noProof/>
          <w:color w:val="000000" w:themeColor="text1"/>
          <w:szCs w:val="24"/>
        </w:rPr>
      </w:pPr>
      <w:r w:rsidRPr="00FD396D">
        <w:rPr>
          <w:noProof/>
        </w:rPr>
        <w:t>Il convient dès lors de modifier le protocole 31 de l’accord EEE afin que cette coopération étendue puisse commencer à partir du 1</w:t>
      </w:r>
      <w:r w:rsidRPr="00FD396D">
        <w:rPr>
          <w:noProof/>
          <w:vertAlign w:val="superscript"/>
        </w:rPr>
        <w:t>er</w:t>
      </w:r>
      <w:r w:rsidRPr="00FD396D">
        <w:rPr>
          <w:noProof/>
        </w:rPr>
        <w:t> janvier 2026,</w:t>
      </w:r>
    </w:p>
    <w:p w14:paraId="3675F75E" w14:textId="77777777" w:rsidR="006A4E0F" w:rsidRPr="00FD396D" w:rsidRDefault="006A4E0F" w:rsidP="006A4E0F">
      <w:pPr>
        <w:keepNext/>
        <w:tabs>
          <w:tab w:val="left" w:pos="709"/>
        </w:tabs>
        <w:rPr>
          <w:noProof/>
          <w:color w:val="000000" w:themeColor="text1"/>
          <w:szCs w:val="24"/>
        </w:rPr>
      </w:pPr>
      <w:r w:rsidRPr="00FD396D">
        <w:rPr>
          <w:noProof/>
          <w:color w:val="000000" w:themeColor="text1"/>
        </w:rPr>
        <w:t>A ADOPTÉ LA PRÉSENTE DÉCISION:</w:t>
      </w:r>
    </w:p>
    <w:p w14:paraId="669FB254" w14:textId="77777777" w:rsidR="006A4E0F" w:rsidRPr="00FD396D" w:rsidRDefault="006A4E0F" w:rsidP="006A4E0F">
      <w:pPr>
        <w:pStyle w:val="Articleheading"/>
        <w:rPr>
          <w:noProof/>
        </w:rPr>
      </w:pPr>
      <w:r w:rsidRPr="00FD396D">
        <w:rPr>
          <w:noProof/>
        </w:rPr>
        <w:t>Article premier</w:t>
      </w:r>
    </w:p>
    <w:p w14:paraId="178930E9" w14:textId="64EE60C9" w:rsidR="006A4E0F" w:rsidRPr="00FD396D" w:rsidRDefault="006A4E0F" w:rsidP="006A4E0F">
      <w:pPr>
        <w:tabs>
          <w:tab w:val="left" w:pos="709"/>
        </w:tabs>
        <w:rPr>
          <w:noProof/>
          <w:color w:val="000000" w:themeColor="text1"/>
          <w:szCs w:val="24"/>
        </w:rPr>
      </w:pPr>
      <w:r w:rsidRPr="00FD396D">
        <w:rPr>
          <w:noProof/>
          <w:color w:val="000000" w:themeColor="text1"/>
        </w:rPr>
        <w:t>À l’article 5, paragraphes 5 et 14, du protocole 31 de l’accord EEE, les mots «exercices 2021, 2022, 2023, 2024 et 2025» sont remplacés par les mots «exercices 2021, 2022, 2023, 2024, 2025, 2026 et 2027».</w:t>
      </w:r>
    </w:p>
    <w:p w14:paraId="05261FCF" w14:textId="77777777" w:rsidR="006A4E0F" w:rsidRPr="00FD396D" w:rsidRDefault="006A4E0F" w:rsidP="006A4E0F">
      <w:pPr>
        <w:pStyle w:val="Articleheading"/>
        <w:rPr>
          <w:noProof/>
        </w:rPr>
      </w:pPr>
      <w:r w:rsidRPr="00FD396D">
        <w:rPr>
          <w:noProof/>
        </w:rPr>
        <w:t>Article 2</w:t>
      </w:r>
    </w:p>
    <w:p w14:paraId="229EEE6A" w14:textId="704ED9BD" w:rsidR="006A4E0F" w:rsidRPr="00FD396D" w:rsidRDefault="006A4E0F" w:rsidP="004C60DE">
      <w:pPr>
        <w:tabs>
          <w:tab w:val="left" w:pos="709"/>
        </w:tabs>
        <w:rPr>
          <w:noProof/>
        </w:rPr>
      </w:pPr>
      <w:r w:rsidRPr="00FD396D">
        <w:rPr>
          <w:noProof/>
        </w:rPr>
        <w:t>La présente décision entre en vigueur le jour suivant la dernière notification prévue à l’article 103, paragraphe 1, de l’accord EEE</w:t>
      </w:r>
      <w:r w:rsidRPr="00FD396D">
        <w:rPr>
          <w:rStyle w:val="FootnoteReference"/>
          <w:b/>
          <w:noProof/>
        </w:rPr>
        <w:footnoteReference w:customMarkFollows="1" w:id="1"/>
        <w:sym w:font="Symbol" w:char="F02A"/>
      </w:r>
      <w:r w:rsidRPr="00FD396D">
        <w:rPr>
          <w:noProof/>
        </w:rPr>
        <w:t>.</w:t>
      </w:r>
    </w:p>
    <w:p w14:paraId="462D2469" w14:textId="3C23C239" w:rsidR="006A4E0F" w:rsidRPr="00FD396D" w:rsidRDefault="006A4E0F" w:rsidP="006A4E0F">
      <w:pPr>
        <w:pStyle w:val="Articletext"/>
        <w:rPr>
          <w:noProof/>
        </w:rPr>
      </w:pPr>
      <w:r w:rsidRPr="00FD396D">
        <w:rPr>
          <w:noProof/>
        </w:rPr>
        <w:t>Elle est applicable à partir du 1</w:t>
      </w:r>
      <w:r w:rsidRPr="00FD396D">
        <w:rPr>
          <w:noProof/>
          <w:vertAlign w:val="superscript"/>
        </w:rPr>
        <w:t>er</w:t>
      </w:r>
      <w:r w:rsidRPr="00FD396D">
        <w:rPr>
          <w:noProof/>
        </w:rPr>
        <w:t> janvier 2026.</w:t>
      </w:r>
    </w:p>
    <w:p w14:paraId="4CDAAA0F" w14:textId="77777777" w:rsidR="006A4E0F" w:rsidRPr="00FD396D" w:rsidRDefault="006A4E0F" w:rsidP="006A4E0F">
      <w:pPr>
        <w:pStyle w:val="Articleheading"/>
        <w:rPr>
          <w:noProof/>
        </w:rPr>
      </w:pPr>
      <w:r w:rsidRPr="00FD396D">
        <w:rPr>
          <w:noProof/>
        </w:rPr>
        <w:t>Article 3</w:t>
      </w:r>
    </w:p>
    <w:p w14:paraId="7BBADA16" w14:textId="77777777" w:rsidR="006A4E0F" w:rsidRPr="00FD396D" w:rsidRDefault="006A4E0F" w:rsidP="006A4E0F">
      <w:pPr>
        <w:pStyle w:val="Articletext"/>
        <w:rPr>
          <w:noProof/>
        </w:rPr>
      </w:pPr>
      <w:r w:rsidRPr="00FD396D">
        <w:rPr>
          <w:noProof/>
        </w:rPr>
        <w:t xml:space="preserve">La présente décision est publiée dans la partie EEE et dans le supplément EEE du </w:t>
      </w:r>
      <w:r w:rsidRPr="00FD396D">
        <w:rPr>
          <w:i/>
          <w:iCs/>
          <w:noProof/>
        </w:rPr>
        <w:t>Journal officiel de l’Union européenne</w:t>
      </w:r>
      <w:r w:rsidRPr="00FD396D">
        <w:rPr>
          <w:noProof/>
        </w:rPr>
        <w:t>.</w:t>
      </w:r>
    </w:p>
    <w:p w14:paraId="4A4D79A0" w14:textId="09A91961" w:rsidR="006A4E0F" w:rsidRPr="00FD396D" w:rsidRDefault="006A4E0F" w:rsidP="006A4E0F">
      <w:pPr>
        <w:rPr>
          <w:noProof/>
          <w:szCs w:val="24"/>
        </w:rPr>
      </w:pPr>
      <w:r w:rsidRPr="00FD396D">
        <w:rPr>
          <w:noProof/>
        </w:rPr>
        <w:t>Fait à Bruxelles, le</w:t>
      </w:r>
    </w:p>
    <w:p w14:paraId="193FBDE1" w14:textId="77777777" w:rsidR="006A4E0F" w:rsidRPr="00FD396D" w:rsidRDefault="006A4E0F" w:rsidP="006A4E0F">
      <w:pPr>
        <w:tabs>
          <w:tab w:val="left" w:pos="4253"/>
        </w:tabs>
        <w:spacing w:after="0"/>
        <w:rPr>
          <w:i/>
          <w:noProof/>
          <w:szCs w:val="24"/>
        </w:rPr>
      </w:pPr>
      <w:r w:rsidRPr="00FD396D">
        <w:rPr>
          <w:noProof/>
        </w:rPr>
        <w:tab/>
      </w:r>
      <w:r w:rsidRPr="00FD396D">
        <w:rPr>
          <w:i/>
          <w:noProof/>
        </w:rPr>
        <w:t>Par le Comité mixte de l’EEE</w:t>
      </w:r>
    </w:p>
    <w:p w14:paraId="3D64108B" w14:textId="77777777" w:rsidR="006A4E0F" w:rsidRPr="00FD396D" w:rsidRDefault="006A4E0F" w:rsidP="006A4E0F">
      <w:pPr>
        <w:tabs>
          <w:tab w:val="left" w:pos="4253"/>
        </w:tabs>
        <w:spacing w:after="0"/>
        <w:rPr>
          <w:i/>
          <w:noProof/>
          <w:szCs w:val="24"/>
        </w:rPr>
      </w:pPr>
      <w:r w:rsidRPr="00FD396D">
        <w:rPr>
          <w:noProof/>
        </w:rPr>
        <w:tab/>
      </w:r>
      <w:r w:rsidRPr="00FD396D">
        <w:rPr>
          <w:i/>
          <w:noProof/>
        </w:rPr>
        <w:t>Le président</w:t>
      </w:r>
    </w:p>
    <w:p w14:paraId="42DB79FD" w14:textId="373F65A6" w:rsidR="006A4E0F" w:rsidRPr="00FD396D" w:rsidRDefault="006A4E0F" w:rsidP="006A4E0F">
      <w:pPr>
        <w:tabs>
          <w:tab w:val="left" w:pos="4253"/>
        </w:tabs>
        <w:spacing w:after="0"/>
        <w:rPr>
          <w:i/>
          <w:noProof/>
        </w:rPr>
      </w:pPr>
      <w:r w:rsidRPr="00FD396D">
        <w:rPr>
          <w:noProof/>
        </w:rPr>
        <w:tab/>
      </w:r>
    </w:p>
    <w:p w14:paraId="78E3C269" w14:textId="77777777" w:rsidR="006A4E0F" w:rsidRPr="00FD396D" w:rsidRDefault="006A4E0F" w:rsidP="006A4E0F">
      <w:pPr>
        <w:tabs>
          <w:tab w:val="left" w:pos="4253"/>
        </w:tabs>
        <w:spacing w:after="0"/>
        <w:rPr>
          <w:i/>
          <w:noProof/>
        </w:rPr>
      </w:pPr>
    </w:p>
    <w:p w14:paraId="54A63EBD" w14:textId="77777777" w:rsidR="006A4E0F" w:rsidRPr="00FD396D" w:rsidRDefault="006A4E0F" w:rsidP="006A4E0F">
      <w:pPr>
        <w:tabs>
          <w:tab w:val="left" w:pos="4253"/>
        </w:tabs>
        <w:spacing w:after="0"/>
        <w:rPr>
          <w:i/>
          <w:noProof/>
        </w:rPr>
      </w:pPr>
    </w:p>
    <w:p w14:paraId="08C1B799" w14:textId="77777777" w:rsidR="006A4E0F" w:rsidRPr="00FD396D" w:rsidRDefault="006A4E0F" w:rsidP="006A4E0F">
      <w:pPr>
        <w:tabs>
          <w:tab w:val="left" w:pos="4253"/>
        </w:tabs>
        <w:spacing w:after="0"/>
        <w:rPr>
          <w:i/>
          <w:iCs/>
          <w:noProof/>
        </w:rPr>
      </w:pPr>
      <w:r w:rsidRPr="00FD396D">
        <w:rPr>
          <w:noProof/>
        </w:rPr>
        <w:tab/>
      </w:r>
      <w:r w:rsidRPr="00FD396D">
        <w:rPr>
          <w:i/>
          <w:noProof/>
        </w:rPr>
        <w:t>Les secrétaires</w:t>
      </w:r>
    </w:p>
    <w:p w14:paraId="0AAD2162" w14:textId="77777777" w:rsidR="006A4E0F" w:rsidRPr="00FD396D" w:rsidRDefault="006A4E0F" w:rsidP="006A4E0F">
      <w:pPr>
        <w:tabs>
          <w:tab w:val="left" w:pos="4253"/>
        </w:tabs>
        <w:spacing w:after="0"/>
        <w:rPr>
          <w:i/>
          <w:iCs/>
          <w:noProof/>
        </w:rPr>
      </w:pPr>
      <w:r w:rsidRPr="00FD396D">
        <w:rPr>
          <w:noProof/>
        </w:rPr>
        <w:tab/>
      </w:r>
      <w:r w:rsidRPr="00FD396D">
        <w:rPr>
          <w:i/>
          <w:noProof/>
        </w:rPr>
        <w:t>du Comité mixte de l’EEE</w:t>
      </w:r>
    </w:p>
    <w:p w14:paraId="2EE653F1" w14:textId="162B5FC0" w:rsidR="006A4E0F" w:rsidRPr="00FD396D" w:rsidRDefault="006A4E0F" w:rsidP="006A4E0F">
      <w:pPr>
        <w:tabs>
          <w:tab w:val="left" w:pos="4253"/>
        </w:tabs>
        <w:spacing w:after="0"/>
        <w:rPr>
          <w:i/>
          <w:noProof/>
        </w:rPr>
      </w:pPr>
      <w:r w:rsidRPr="00FD396D">
        <w:rPr>
          <w:noProof/>
        </w:rPr>
        <w:tab/>
      </w:r>
    </w:p>
    <w:p w14:paraId="72D63745" w14:textId="77777777" w:rsidR="006A4E0F" w:rsidRPr="00FD396D" w:rsidRDefault="006A4E0F" w:rsidP="00BB37E9">
      <w:pPr>
        <w:pStyle w:val="Body"/>
        <w:spacing w:before="360" w:after="0"/>
        <w:jc w:val="center"/>
        <w:rPr>
          <w:b/>
          <w:bCs/>
          <w:noProof/>
        </w:rPr>
      </w:pPr>
    </w:p>
    <w:p w14:paraId="40093843" w14:textId="77777777" w:rsidR="006A4E0F" w:rsidRPr="00FD396D" w:rsidRDefault="006A4E0F" w:rsidP="00BB37E9">
      <w:pPr>
        <w:pStyle w:val="Body"/>
        <w:spacing w:before="360" w:after="0"/>
        <w:jc w:val="center"/>
        <w:rPr>
          <w:b/>
          <w:bCs/>
          <w:noProof/>
        </w:rPr>
      </w:pPr>
    </w:p>
    <w:p w14:paraId="4AF2558C" w14:textId="77777777" w:rsidR="00572D10" w:rsidRPr="00FD396D" w:rsidRDefault="00572D10" w:rsidP="00572D10">
      <w:pPr>
        <w:rPr>
          <w:noProof/>
        </w:rPr>
      </w:pPr>
    </w:p>
    <w:p w14:paraId="4DC8A98F" w14:textId="77777777" w:rsidR="00572D10" w:rsidRPr="00FD396D" w:rsidRDefault="00572D10" w:rsidP="00572D10">
      <w:pPr>
        <w:pStyle w:val="Point4b"/>
        <w:rPr>
          <w:noProof/>
        </w:rPr>
      </w:pPr>
    </w:p>
    <w:p w14:paraId="261DBAA7" w14:textId="77777777" w:rsidR="00572D10" w:rsidRPr="00FD396D" w:rsidRDefault="00572D10" w:rsidP="00572D10">
      <w:pPr>
        <w:rPr>
          <w:noProof/>
        </w:rPr>
      </w:pPr>
    </w:p>
    <w:p w14:paraId="6064492C" w14:textId="77777777" w:rsidR="00572D10" w:rsidRPr="00FD396D" w:rsidRDefault="00572D10" w:rsidP="00BB37E9">
      <w:pPr>
        <w:pStyle w:val="Body"/>
        <w:spacing w:before="360" w:after="0"/>
        <w:jc w:val="center"/>
        <w:rPr>
          <w:b/>
          <w:bCs/>
          <w:noProof/>
        </w:rPr>
      </w:pPr>
      <w:bookmarkStart w:id="1" w:name="_InMacro_"/>
      <w:bookmarkEnd w:id="1"/>
    </w:p>
    <w:sectPr w:rsidR="00572D10" w:rsidRPr="00FD396D" w:rsidSect="00A40B95">
      <w:headerReference w:type="even" r:id="rId15"/>
      <w:footerReference w:type="even" r:id="rId16"/>
      <w:footerReference w:type="default" r:id="rId17"/>
      <w:headerReference w:type="first" r:id="rId18"/>
      <w:footerReference w:type="first" r:id="rId19"/>
      <w:pgSz w:w="11907" w:h="16839"/>
      <w:pgMar w:top="1134" w:right="1417" w:bottom="1134" w:left="141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EB8BF1" w14:textId="77777777" w:rsidR="00FA089C" w:rsidRDefault="00FA089C" w:rsidP="00FA089C">
      <w:pPr>
        <w:spacing w:before="0" w:after="0"/>
      </w:pPr>
      <w:r>
        <w:separator/>
      </w:r>
    </w:p>
  </w:endnote>
  <w:endnote w:type="continuationSeparator" w:id="0">
    <w:p w14:paraId="538CC0A2" w14:textId="77777777" w:rsidR="00FA089C" w:rsidRDefault="00FA089C" w:rsidP="00FA089C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51979F" w14:textId="3B697515" w:rsidR="00A40B95" w:rsidRPr="00A40B95" w:rsidRDefault="00A40B95" w:rsidP="00A40B95">
    <w:pPr>
      <w:pStyle w:val="Footer"/>
      <w:rPr>
        <w:rFonts w:ascii="Arial" w:hAnsi="Arial" w:cs="Arial"/>
        <w:b/>
        <w:sz w:val="48"/>
      </w:rPr>
    </w:pPr>
    <w:r w:rsidRPr="00A40B95">
      <w:rPr>
        <w:rFonts w:ascii="Arial" w:hAnsi="Arial" w:cs="Arial"/>
        <w:b/>
        <w:sz w:val="48"/>
      </w:rPr>
      <w:t>FR</w:t>
    </w:r>
    <w:r w:rsidRPr="00A40B95">
      <w:rPr>
        <w:rFonts w:ascii="Arial" w:hAnsi="Arial" w:cs="Arial"/>
        <w:b/>
        <w:sz w:val="48"/>
      </w:rPr>
      <w:tab/>
    </w:r>
    <w:r w:rsidRPr="00A40B95">
      <w:rPr>
        <w:rFonts w:ascii="Arial" w:hAnsi="Arial" w:cs="Arial"/>
        <w:b/>
        <w:sz w:val="48"/>
      </w:rPr>
      <w:tab/>
    </w:r>
    <w:r w:rsidRPr="00A40B95">
      <w:tab/>
    </w:r>
    <w:r w:rsidRPr="00A40B95">
      <w:rPr>
        <w:rFonts w:ascii="Arial" w:hAnsi="Arial" w:cs="Arial"/>
        <w:b/>
        <w:sz w:val="48"/>
      </w:rPr>
      <w:t>FR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DE7C1E" w14:textId="775EE8EB" w:rsidR="00A40B95" w:rsidRPr="00A40B95" w:rsidRDefault="00A40B95" w:rsidP="00A40B95">
    <w:pPr>
      <w:pStyle w:val="Footer"/>
      <w:rPr>
        <w:rFonts w:ascii="Arial" w:hAnsi="Arial" w:cs="Arial"/>
        <w:b/>
        <w:sz w:val="48"/>
      </w:rPr>
    </w:pPr>
    <w:r w:rsidRPr="00A40B95">
      <w:rPr>
        <w:rFonts w:ascii="Arial" w:hAnsi="Arial" w:cs="Arial"/>
        <w:b/>
        <w:sz w:val="48"/>
      </w:rPr>
      <w:t>FR</w:t>
    </w:r>
    <w:r w:rsidRPr="00A40B95">
      <w:rPr>
        <w:rFonts w:ascii="Arial" w:hAnsi="Arial" w:cs="Arial"/>
        <w:b/>
        <w:sz w:val="48"/>
      </w:rPr>
      <w:tab/>
    </w:r>
    <w:r w:rsidRPr="00A40B95">
      <w:rPr>
        <w:rFonts w:ascii="Arial" w:hAnsi="Arial" w:cs="Arial"/>
        <w:b/>
        <w:sz w:val="48"/>
      </w:rPr>
      <w:tab/>
    </w:r>
    <w:r w:rsidRPr="00A40B95">
      <w:tab/>
    </w:r>
    <w:r w:rsidRPr="00A40B95">
      <w:rPr>
        <w:rFonts w:ascii="Arial" w:hAnsi="Arial" w:cs="Arial"/>
        <w:b/>
        <w:sz w:val="48"/>
      </w:rPr>
      <w:t>FR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ABBF50" w14:textId="77777777" w:rsidR="00A40B95" w:rsidRPr="00A40B95" w:rsidRDefault="00A40B95" w:rsidP="00A40B9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761DBF" w14:textId="77777777" w:rsidR="00A40B95" w:rsidRDefault="00A40B95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61430D" w14:textId="7D79A472" w:rsidR="00A40B95" w:rsidRPr="00A40B95" w:rsidRDefault="00A40B95" w:rsidP="00A40B95">
    <w:pPr>
      <w:pStyle w:val="Footer"/>
      <w:rPr>
        <w:rFonts w:ascii="Arial" w:hAnsi="Arial" w:cs="Arial"/>
        <w:b/>
        <w:sz w:val="48"/>
      </w:rPr>
    </w:pPr>
    <w:r w:rsidRPr="00A40B95">
      <w:rPr>
        <w:rFonts w:ascii="Arial" w:hAnsi="Arial" w:cs="Arial"/>
        <w:b/>
        <w:sz w:val="48"/>
      </w:rPr>
      <w:t>FR</w:t>
    </w:r>
    <w:r w:rsidRPr="00A40B95">
      <w:rPr>
        <w:rFonts w:ascii="Arial" w:hAnsi="Arial" w:cs="Arial"/>
        <w:b/>
        <w:sz w:val="48"/>
      </w:rP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0</w:t>
    </w:r>
    <w:r>
      <w:fldChar w:fldCharType="end"/>
    </w:r>
    <w:r>
      <w:tab/>
    </w:r>
    <w:r w:rsidRPr="00A40B95">
      <w:tab/>
    </w:r>
    <w:r w:rsidRPr="00A40B95">
      <w:rPr>
        <w:rFonts w:ascii="Arial" w:hAnsi="Arial" w:cs="Arial"/>
        <w:b/>
        <w:sz w:val="48"/>
      </w:rPr>
      <w:t>FR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4CEE06" w14:textId="77777777" w:rsidR="00A40B95" w:rsidRDefault="00A40B95" w:rsidP="00A40B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9CE6AA" w14:textId="77777777" w:rsidR="00FA089C" w:rsidRDefault="00FA089C" w:rsidP="00FA089C">
      <w:pPr>
        <w:spacing w:before="0" w:after="0"/>
      </w:pPr>
      <w:r>
        <w:separator/>
      </w:r>
    </w:p>
  </w:footnote>
  <w:footnote w:type="continuationSeparator" w:id="0">
    <w:p w14:paraId="31BCFAA6" w14:textId="77777777" w:rsidR="00FA089C" w:rsidRDefault="00FA089C" w:rsidP="00FA089C">
      <w:pPr>
        <w:spacing w:before="0" w:after="0"/>
      </w:pPr>
      <w:r>
        <w:continuationSeparator/>
      </w:r>
    </w:p>
  </w:footnote>
  <w:footnote w:id="1">
    <w:p w14:paraId="552F05E3" w14:textId="77777777" w:rsidR="006A4E0F" w:rsidRPr="003608F0" w:rsidRDefault="006A4E0F" w:rsidP="006A4E0F">
      <w:pPr>
        <w:pStyle w:val="FootnoteText"/>
      </w:pPr>
      <w:r>
        <w:rPr>
          <w:rStyle w:val="FootnoteReference"/>
        </w:rPr>
        <w:sym w:font="Symbol" w:char="F02A"/>
      </w:r>
      <w:r w:rsidRPr="00FD396D">
        <w:rPr>
          <w:lang w:val="fr-BE"/>
        </w:rPr>
        <w:tab/>
        <w:t xml:space="preserve">[Pas de procédures constitutionnelles signalées.] </w:t>
      </w:r>
      <w:r>
        <w:t>[Procédures constitutionnelles signalées.]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606813" w14:textId="77777777" w:rsidR="00A40B95" w:rsidRPr="00A40B95" w:rsidRDefault="00A40B95" w:rsidP="00A40B9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3FBEBA" w14:textId="77777777" w:rsidR="00A40B95" w:rsidRPr="00A40B95" w:rsidRDefault="00A40B95" w:rsidP="00A40B9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DE0B87" w14:textId="77777777" w:rsidR="00A40B95" w:rsidRPr="00A40B95" w:rsidRDefault="00A40B95" w:rsidP="00A40B95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152B46" w14:textId="77777777" w:rsidR="00A40B95" w:rsidRDefault="00A40B95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1EDC64" w14:textId="77777777" w:rsidR="00A40B95" w:rsidRDefault="00A40B9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D"/>
    <w:multiLevelType w:val="singleLevel"/>
    <w:tmpl w:val="C048214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7E"/>
    <w:multiLevelType w:val="singleLevel"/>
    <w:tmpl w:val="3EE2F7B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 w15:restartNumberingAfterBreak="0">
    <w:nsid w:val="FFFFFF7F"/>
    <w:multiLevelType w:val="singleLevel"/>
    <w:tmpl w:val="321E28C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 w15:restartNumberingAfterBreak="0">
    <w:nsid w:val="FFFFFF81"/>
    <w:multiLevelType w:val="singleLevel"/>
    <w:tmpl w:val="D8AE4D9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14D6D6A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BB44C5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CA70C68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81A2A9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9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1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2" w15:restartNumberingAfterBreak="0">
    <w:nsid w:val="38317848"/>
    <w:multiLevelType w:val="hybridMultilevel"/>
    <w:tmpl w:val="4F1C422C"/>
    <w:styleLink w:val="ImportedStyle5"/>
    <w:lvl w:ilvl="0" w:tplc="EC5AFA20">
      <w:start w:val="1"/>
      <w:numFmt w:val="lowerRoman"/>
      <w:lvlText w:val="(%1)"/>
      <w:lvlJc w:val="left"/>
      <w:pPr>
        <w:tabs>
          <w:tab w:val="left" w:pos="4253"/>
        </w:tabs>
        <w:ind w:left="1429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C88343C">
      <w:start w:val="1"/>
      <w:numFmt w:val="lowerLetter"/>
      <w:lvlText w:val="%2."/>
      <w:lvlJc w:val="left"/>
      <w:pPr>
        <w:tabs>
          <w:tab w:val="left" w:pos="4253"/>
        </w:tabs>
        <w:ind w:left="178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6EC5040">
      <w:start w:val="1"/>
      <w:numFmt w:val="lowerRoman"/>
      <w:lvlText w:val="%3."/>
      <w:lvlJc w:val="left"/>
      <w:pPr>
        <w:tabs>
          <w:tab w:val="left" w:pos="4253"/>
        </w:tabs>
        <w:ind w:left="2509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A06782A">
      <w:start w:val="1"/>
      <w:numFmt w:val="decimal"/>
      <w:lvlText w:val="%4."/>
      <w:lvlJc w:val="left"/>
      <w:pPr>
        <w:tabs>
          <w:tab w:val="left" w:pos="4253"/>
        </w:tabs>
        <w:ind w:left="322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B64606E">
      <w:start w:val="1"/>
      <w:numFmt w:val="lowerLetter"/>
      <w:lvlText w:val="%5."/>
      <w:lvlJc w:val="left"/>
      <w:pPr>
        <w:tabs>
          <w:tab w:val="left" w:pos="4253"/>
        </w:tabs>
        <w:ind w:left="394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92C608E">
      <w:start w:val="1"/>
      <w:numFmt w:val="lowerRoman"/>
      <w:lvlText w:val="%6."/>
      <w:lvlJc w:val="left"/>
      <w:pPr>
        <w:tabs>
          <w:tab w:val="left" w:pos="4253"/>
        </w:tabs>
        <w:ind w:left="4669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8140508">
      <w:start w:val="1"/>
      <w:numFmt w:val="decimal"/>
      <w:lvlText w:val="%7."/>
      <w:lvlJc w:val="left"/>
      <w:pPr>
        <w:tabs>
          <w:tab w:val="left" w:pos="4253"/>
        </w:tabs>
        <w:ind w:left="538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5ECC0AC">
      <w:start w:val="1"/>
      <w:numFmt w:val="lowerLetter"/>
      <w:lvlText w:val="%8."/>
      <w:lvlJc w:val="left"/>
      <w:pPr>
        <w:tabs>
          <w:tab w:val="left" w:pos="4253"/>
        </w:tabs>
        <w:ind w:left="610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0708CAC">
      <w:start w:val="1"/>
      <w:numFmt w:val="lowerRoman"/>
      <w:lvlText w:val="%9."/>
      <w:lvlJc w:val="left"/>
      <w:pPr>
        <w:tabs>
          <w:tab w:val="left" w:pos="4253"/>
        </w:tabs>
        <w:ind w:left="6829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396A54C1"/>
    <w:multiLevelType w:val="hybridMultilevel"/>
    <w:tmpl w:val="92CE67CA"/>
    <w:styleLink w:val="ImportedStyle2"/>
    <w:lvl w:ilvl="0" w:tplc="250EEA4C">
      <w:start w:val="1"/>
      <w:numFmt w:val="decimal"/>
      <w:lvlText w:val="(%1)"/>
      <w:lvlJc w:val="left"/>
      <w:pPr>
        <w:ind w:left="709" w:hanging="7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BCCA95A">
      <w:start w:val="1"/>
      <w:numFmt w:val="lowerLetter"/>
      <w:lvlText w:val="%2."/>
      <w:lvlJc w:val="left"/>
      <w:pPr>
        <w:tabs>
          <w:tab w:val="left" w:pos="709"/>
        </w:tabs>
        <w:ind w:left="1429" w:hanging="7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EB44E02">
      <w:start w:val="1"/>
      <w:numFmt w:val="lowerRoman"/>
      <w:lvlText w:val="%3."/>
      <w:lvlJc w:val="left"/>
      <w:pPr>
        <w:tabs>
          <w:tab w:val="left" w:pos="709"/>
        </w:tabs>
        <w:ind w:left="2149" w:hanging="64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0CA95AE">
      <w:start w:val="1"/>
      <w:numFmt w:val="decimal"/>
      <w:lvlText w:val="%4."/>
      <w:lvlJc w:val="left"/>
      <w:pPr>
        <w:tabs>
          <w:tab w:val="left" w:pos="709"/>
        </w:tabs>
        <w:ind w:left="2869" w:hanging="7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4E2A348">
      <w:start w:val="1"/>
      <w:numFmt w:val="lowerLetter"/>
      <w:lvlText w:val="%5."/>
      <w:lvlJc w:val="left"/>
      <w:pPr>
        <w:tabs>
          <w:tab w:val="left" w:pos="709"/>
        </w:tabs>
        <w:ind w:left="3589" w:hanging="7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B94ADAA">
      <w:start w:val="1"/>
      <w:numFmt w:val="lowerRoman"/>
      <w:lvlText w:val="%6."/>
      <w:lvlJc w:val="left"/>
      <w:pPr>
        <w:tabs>
          <w:tab w:val="left" w:pos="709"/>
        </w:tabs>
        <w:ind w:left="4309" w:hanging="64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99A3974">
      <w:start w:val="1"/>
      <w:numFmt w:val="decimal"/>
      <w:lvlText w:val="%7."/>
      <w:lvlJc w:val="left"/>
      <w:pPr>
        <w:tabs>
          <w:tab w:val="left" w:pos="709"/>
        </w:tabs>
        <w:ind w:left="5029" w:hanging="7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B8CF956">
      <w:start w:val="1"/>
      <w:numFmt w:val="lowerLetter"/>
      <w:lvlText w:val="%8."/>
      <w:lvlJc w:val="left"/>
      <w:pPr>
        <w:tabs>
          <w:tab w:val="left" w:pos="709"/>
        </w:tabs>
        <w:ind w:left="5749" w:hanging="7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32A9D0A">
      <w:start w:val="1"/>
      <w:numFmt w:val="lowerRoman"/>
      <w:lvlText w:val="%9."/>
      <w:lvlJc w:val="left"/>
      <w:pPr>
        <w:tabs>
          <w:tab w:val="left" w:pos="709"/>
        </w:tabs>
        <w:ind w:left="6469" w:hanging="64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5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6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7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8" w15:restartNumberingAfterBreak="0">
    <w:nsid w:val="4D8772F7"/>
    <w:multiLevelType w:val="hybridMultilevel"/>
    <w:tmpl w:val="8F262F1E"/>
    <w:styleLink w:val="ImportedStyle3"/>
    <w:lvl w:ilvl="0" w:tplc="F5905822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52C7186">
      <w:start w:val="1"/>
      <w:numFmt w:val="lowerLetter"/>
      <w:lvlText w:val="%2."/>
      <w:lvlJc w:val="left"/>
      <w:pPr>
        <w:ind w:left="14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BAE3022">
      <w:start w:val="1"/>
      <w:numFmt w:val="lowerRoman"/>
      <w:lvlText w:val="%3."/>
      <w:lvlJc w:val="left"/>
      <w:pPr>
        <w:ind w:left="21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756AE04">
      <w:start w:val="1"/>
      <w:numFmt w:val="decimal"/>
      <w:lvlText w:val="%4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F103FAA">
      <w:start w:val="1"/>
      <w:numFmt w:val="lowerLetter"/>
      <w:lvlText w:val="%5."/>
      <w:lvlJc w:val="left"/>
      <w:pPr>
        <w:ind w:left="360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15E06E4">
      <w:start w:val="1"/>
      <w:numFmt w:val="lowerRoman"/>
      <w:lvlText w:val="%6."/>
      <w:lvlJc w:val="left"/>
      <w:pPr>
        <w:ind w:left="432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9421980">
      <w:start w:val="1"/>
      <w:numFmt w:val="decimal"/>
      <w:lvlText w:val="%7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92CE9B8">
      <w:start w:val="1"/>
      <w:numFmt w:val="lowerLetter"/>
      <w:lvlText w:val="%8."/>
      <w:lvlJc w:val="left"/>
      <w:pPr>
        <w:ind w:left="57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E3EA410">
      <w:start w:val="1"/>
      <w:numFmt w:val="lowerRoman"/>
      <w:lvlText w:val="%9."/>
      <w:lvlJc w:val="left"/>
      <w:pPr>
        <w:ind w:left="648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0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1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2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3" w15:restartNumberingAfterBreak="0">
    <w:nsid w:val="64A12FA4"/>
    <w:multiLevelType w:val="multilevel"/>
    <w:tmpl w:val="428ECF3E"/>
    <w:name w:val="Heading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Heading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Heading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67101E9E"/>
    <w:multiLevelType w:val="hybridMultilevel"/>
    <w:tmpl w:val="8B24477A"/>
    <w:styleLink w:val="ImportedStyle4"/>
    <w:lvl w:ilvl="0" w:tplc="6A3876E8">
      <w:start w:val="1"/>
      <w:numFmt w:val="bullet"/>
      <w:lvlText w:val="-"/>
      <w:lvlJc w:val="left"/>
      <w:pPr>
        <w:tabs>
          <w:tab w:val="left" w:pos="4253"/>
        </w:tabs>
        <w:ind w:left="10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660F91A">
      <w:start w:val="1"/>
      <w:numFmt w:val="bullet"/>
      <w:lvlText w:val="o"/>
      <w:lvlJc w:val="left"/>
      <w:pPr>
        <w:tabs>
          <w:tab w:val="left" w:pos="4253"/>
        </w:tabs>
        <w:ind w:left="18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12839A2">
      <w:start w:val="1"/>
      <w:numFmt w:val="bullet"/>
      <w:lvlText w:val="▪"/>
      <w:lvlJc w:val="left"/>
      <w:pPr>
        <w:tabs>
          <w:tab w:val="left" w:pos="4253"/>
        </w:tabs>
        <w:ind w:left="25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9569132">
      <w:start w:val="1"/>
      <w:numFmt w:val="bullet"/>
      <w:lvlText w:val="•"/>
      <w:lvlJc w:val="left"/>
      <w:pPr>
        <w:tabs>
          <w:tab w:val="left" w:pos="4253"/>
        </w:tabs>
        <w:ind w:left="32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49A3050">
      <w:start w:val="1"/>
      <w:numFmt w:val="bullet"/>
      <w:lvlText w:val="o"/>
      <w:lvlJc w:val="left"/>
      <w:pPr>
        <w:tabs>
          <w:tab w:val="left" w:pos="4253"/>
        </w:tabs>
        <w:ind w:left="39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59A70DC">
      <w:start w:val="1"/>
      <w:numFmt w:val="bullet"/>
      <w:lvlText w:val="▪"/>
      <w:lvlJc w:val="left"/>
      <w:pPr>
        <w:tabs>
          <w:tab w:val="left" w:pos="4253"/>
        </w:tabs>
        <w:ind w:left="46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25AA64E">
      <w:start w:val="1"/>
      <w:numFmt w:val="bullet"/>
      <w:lvlText w:val="•"/>
      <w:lvlJc w:val="left"/>
      <w:pPr>
        <w:tabs>
          <w:tab w:val="left" w:pos="4253"/>
        </w:tabs>
        <w:ind w:left="54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9708338">
      <w:start w:val="1"/>
      <w:numFmt w:val="bullet"/>
      <w:lvlText w:val="o"/>
      <w:lvlJc w:val="left"/>
      <w:pPr>
        <w:tabs>
          <w:tab w:val="left" w:pos="4253"/>
        </w:tabs>
        <w:ind w:left="61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9ACCA00">
      <w:start w:val="1"/>
      <w:numFmt w:val="bullet"/>
      <w:lvlText w:val="▪"/>
      <w:lvlJc w:val="left"/>
      <w:pPr>
        <w:tabs>
          <w:tab w:val="left" w:pos="4253"/>
        </w:tabs>
        <w:ind w:left="68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6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6"/>
  </w:num>
  <w:num w:numId="6">
    <w:abstractNumId w:val="2"/>
  </w:num>
  <w:num w:numId="7">
    <w:abstractNumId w:val="1"/>
  </w:num>
  <w:num w:numId="8">
    <w:abstractNumId w:val="0"/>
  </w:num>
  <w:num w:numId="9">
    <w:abstractNumId w:val="13"/>
  </w:num>
  <w:num w:numId="10">
    <w:abstractNumId w:val="18"/>
  </w:num>
  <w:num w:numId="11">
    <w:abstractNumId w:val="24"/>
  </w:num>
  <w:num w:numId="12">
    <w:abstractNumId w:val="12"/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2"/>
  </w:num>
  <w:num w:numId="15">
    <w:abstractNumId w:val="14"/>
  </w:num>
  <w:num w:numId="16">
    <w:abstractNumId w:val="25"/>
  </w:num>
  <w:num w:numId="17">
    <w:abstractNumId w:val="11"/>
  </w:num>
  <w:num w:numId="18">
    <w:abstractNumId w:val="15"/>
  </w:num>
  <w:num w:numId="19">
    <w:abstractNumId w:val="16"/>
  </w:num>
  <w:num w:numId="20">
    <w:abstractNumId w:val="9"/>
  </w:num>
  <w:num w:numId="21">
    <w:abstractNumId w:val="23"/>
  </w:num>
  <w:num w:numId="22">
    <w:abstractNumId w:val="8"/>
  </w:num>
  <w:num w:numId="23">
    <w:abstractNumId w:val="17"/>
  </w:num>
  <w:num w:numId="24">
    <w:abstractNumId w:val="20"/>
  </w:num>
  <w:num w:numId="25">
    <w:abstractNumId w:val="21"/>
  </w:num>
  <w:num w:numId="26">
    <w:abstractNumId w:val="10"/>
  </w:num>
  <w:num w:numId="27">
    <w:abstractNumId w:val="19"/>
  </w:num>
  <w:num w:numId="28">
    <w:abstractNumId w:val="26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activeWritingStyle w:appName="MSWord" w:lang="es-ES_tradnl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fr-BE" w:vendorID="64" w:dllVersion="0" w:nlCheck="1" w:checkStyle="0"/>
  <w:attachedTemplate r:id="rId1"/>
  <w:revisionView w:markup="0"/>
  <w:defaultTabStop w:val="720"/>
  <w:characterSpacingControl w:val="doNotCompress"/>
  <w:hdrShapeDefaults>
    <o:shapedefaults v:ext="edit" spidmax="1228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R_RefLast" w:val="0"/>
    <w:docVar w:name="DQCDateTime" w:val="2026-05-12 08:45:24"/>
    <w:docVar w:name="DQCResult_Distribution" w:val="0;0"/>
    <w:docVar w:name="DQCResult_DocumentContent" w:val="0;0"/>
    <w:docVar w:name="DQCResult_DocumentSize" w:val="0;0"/>
    <w:docVar w:name="DQCResult_InvalidFootnotes" w:val="0;0"/>
    <w:docVar w:name="DQCResult_ModifiedMarkers" w:val="0;0"/>
    <w:docVar w:name="DQCResult_ModifiedNumbering" w:val="0;0"/>
    <w:docVar w:name="DQCResult_Objects" w:val="0;0"/>
    <w:docVar w:name="DQCResult_StructureCheck" w:val="0;0"/>
    <w:docVar w:name="DQCStatus" w:val="Green"/>
    <w:docVar w:name="DQCVersion" w:val="3"/>
    <w:docVar w:name="DQCWithWarnings" w:val="0"/>
    <w:docVar w:name="LW_ACCOMPAGNANT" w:val="de la"/>
    <w:docVar w:name="LW_ACCOMPAGNANT.CP" w:val="de la"/>
    <w:docVar w:name="LW_ANNEX_NBR_FIRST" w:val="1"/>
    <w:docVar w:name="LW_ANNEX_NBR_LAST" w:val="1"/>
    <w:docVar w:name="LW_ANNEX_UNIQUE" w:val="1"/>
    <w:docVar w:name="LW_CORRIGENDUM" w:val="&lt;UNUSED&gt;"/>
    <w:docVar w:name="LW_COVERPAGE_EXISTS" w:val="True"/>
    <w:docVar w:name="LW_COVERPAGE_GUID" w:val="07C223FE-F6B1-4DC9-8603-872ADC4AD9CD"/>
    <w:docVar w:name="LW_COVERPAGE_TYPE" w:val="1"/>
    <w:docVar w:name="LW_CROSSREFERENCE" w:val="&lt;UNUSED&gt;"/>
    <w:docVar w:name="LW_DocType" w:val="ANNEX"/>
    <w:docVar w:name="LW_EMISSION" w:val="12.5.2026"/>
    <w:docVar w:name="LW_EMISSION_ISODATE" w:val="2026-05-12"/>
    <w:docVar w:name="LW_EMISSION_LOCATION" w:val="BRX"/>
    <w:docVar w:name="LW_EMISSION_PREFIX" w:val="Bruxelles, le "/>
    <w:docVar w:name="LW_EMISSION_SUFFIX" w:val=" "/>
    <w:docVar w:name="LW_ID_DOCSTRUCTURE" w:val="COM/ANNEX"/>
    <w:docVar w:name="LW_ID_DOCTYPE" w:val="SG-017"/>
    <w:docVar w:name="LW_LANGUE" w:val="FR"/>
    <w:docVar w:name="LW_LEVEL_OF_SENSITIVITY" w:val="Standard treatment"/>
    <w:docVar w:name="LW_NOM.INST" w:val="COMMISSION EUROPÉENNE"/>
    <w:docVar w:name="LW_NOM.INST_JOINTDOC" w:val="&lt;EMPTY&gt;"/>
    <w:docVar w:name="LW_OBJETACTEPRINCIPAL" w:val="relative à la position à prendre, au nom de l'Union européenne, au sein du Comité mixte de l'EEE, à l'égard d'une modification du protocole 31 de l'accord EEE concernant la coopération dans des secteurs particuliers en dehors des quatre libertés_x000d__x000d__x000d__x000d__x000d__x000d__x000b__x000d__x000d__x000d__x000d__x000d__x000d__x000b_(Ligne budgétaire 07 20 03 01 - Sécurité sociale)"/>
    <w:docVar w:name="LW_OBJETACTEPRINCIPAL.CP" w:val="relative à la position à prendre, au nom de l'Union européenne, au sein du Comité mixte de l'EEE, à l'égard d'une modification du protocole 31 de l'accord EEE concernant la coopération dans des secteurs particuliers en dehors des quatre libertés_x000d__x000d__x000d__x000d__x000d__x000d__x000b__x000d__x000d__x000d__x000d__x000d__x000d__x000b_(Ligne budgétaire 07 20 03 01 - Sécurité sociale)"/>
    <w:docVar w:name="LW_PART_NBR" w:val="1"/>
    <w:docVar w:name="LW_PART_NBR_TOTAL" w:val="1"/>
    <w:docVar w:name="LW_REF.INST.NEW" w:val="COM"/>
    <w:docVar w:name="LW_REF.INST.NEW_ADOPTED" w:val="final"/>
    <w:docVar w:name="LW_REF.INST.NEW_TEXT" w:val="(2026) 192"/>
    <w:docVar w:name="LW_REF.INTERNE" w:val="&lt;UNUSED&gt;"/>
    <w:docVar w:name="LW_SENSITIVITY" w:val="&lt;?xml version=&quot;1.0&quot; encoding=&quot;utf-8&quot;?&gt;_x000d__x000a_&lt;SensitivityLevel xmlns:xsd=&quot;http://www.w3.org/2001/XMLSchema&quot; xmlns:xsi=&quot;http://www.w3.org/2001/XMLSchema-instance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UPERTITRE" w:val="&lt;UNUSED&gt;"/>
    <w:docVar w:name="LW_TYPE.DOC" w:val="ANNEXE"/>
    <w:docVar w:name="LW_TYPE.DOC.CP" w:val="ANNEXE"/>
    <w:docVar w:name="LW_TYPEACTEPRINCIPAL" w:val="proposition de_x000b__x000b_DÉCISION DU CONSEIL"/>
    <w:docVar w:name="LW_TYPEACTEPRINCIPAL.CP" w:val="proposition de_x000b__x000b_DÉCISION DU CONSEIL"/>
    <w:docVar w:name="LwApiVersions" w:val="LW4CoDe 1.24.5.0; LW 9.2, Build 20251112"/>
  </w:docVars>
  <w:rsids>
    <w:rsidRoot w:val="00FA089C"/>
    <w:rsid w:val="00004945"/>
    <w:rsid w:val="00034722"/>
    <w:rsid w:val="000440A0"/>
    <w:rsid w:val="0005237D"/>
    <w:rsid w:val="00061106"/>
    <w:rsid w:val="00061BBD"/>
    <w:rsid w:val="00087DD6"/>
    <w:rsid w:val="000B39ED"/>
    <w:rsid w:val="000B4FF3"/>
    <w:rsid w:val="000E198E"/>
    <w:rsid w:val="000F3476"/>
    <w:rsid w:val="0012048A"/>
    <w:rsid w:val="001737B8"/>
    <w:rsid w:val="001770F8"/>
    <w:rsid w:val="00185721"/>
    <w:rsid w:val="00192B5B"/>
    <w:rsid w:val="001C2816"/>
    <w:rsid w:val="001C65F6"/>
    <w:rsid w:val="001D6F25"/>
    <w:rsid w:val="001F29EC"/>
    <w:rsid w:val="001F356C"/>
    <w:rsid w:val="002064C4"/>
    <w:rsid w:val="00210AB9"/>
    <w:rsid w:val="00225E52"/>
    <w:rsid w:val="00252351"/>
    <w:rsid w:val="002843F3"/>
    <w:rsid w:val="00285931"/>
    <w:rsid w:val="0029569E"/>
    <w:rsid w:val="002D3DFC"/>
    <w:rsid w:val="002F2559"/>
    <w:rsid w:val="002F61FE"/>
    <w:rsid w:val="00320A4E"/>
    <w:rsid w:val="00327C3C"/>
    <w:rsid w:val="00373143"/>
    <w:rsid w:val="00377440"/>
    <w:rsid w:val="003B7568"/>
    <w:rsid w:val="003E52B4"/>
    <w:rsid w:val="003F0E54"/>
    <w:rsid w:val="003F6540"/>
    <w:rsid w:val="00407DF3"/>
    <w:rsid w:val="00412935"/>
    <w:rsid w:val="00415CCF"/>
    <w:rsid w:val="00416E8D"/>
    <w:rsid w:val="00434A4B"/>
    <w:rsid w:val="004369FD"/>
    <w:rsid w:val="004476AE"/>
    <w:rsid w:val="004529A0"/>
    <w:rsid w:val="00455DDA"/>
    <w:rsid w:val="00484058"/>
    <w:rsid w:val="00490FB0"/>
    <w:rsid w:val="004C146F"/>
    <w:rsid w:val="004C60DE"/>
    <w:rsid w:val="004D4A0E"/>
    <w:rsid w:val="00500040"/>
    <w:rsid w:val="005210EF"/>
    <w:rsid w:val="00572D10"/>
    <w:rsid w:val="005845A6"/>
    <w:rsid w:val="005A13F2"/>
    <w:rsid w:val="005B6C13"/>
    <w:rsid w:val="005E5466"/>
    <w:rsid w:val="005E7F03"/>
    <w:rsid w:val="005F59E6"/>
    <w:rsid w:val="00612518"/>
    <w:rsid w:val="006531D7"/>
    <w:rsid w:val="00655FE8"/>
    <w:rsid w:val="006A4E0F"/>
    <w:rsid w:val="006B47BC"/>
    <w:rsid w:val="006C59B2"/>
    <w:rsid w:val="006E054A"/>
    <w:rsid w:val="006E255E"/>
    <w:rsid w:val="00725877"/>
    <w:rsid w:val="00731592"/>
    <w:rsid w:val="00761D40"/>
    <w:rsid w:val="0076759F"/>
    <w:rsid w:val="00780782"/>
    <w:rsid w:val="00784CDD"/>
    <w:rsid w:val="007921C7"/>
    <w:rsid w:val="007B1E1D"/>
    <w:rsid w:val="007B3E33"/>
    <w:rsid w:val="007C31CA"/>
    <w:rsid w:val="007D7772"/>
    <w:rsid w:val="007E131B"/>
    <w:rsid w:val="00810E27"/>
    <w:rsid w:val="00826EE6"/>
    <w:rsid w:val="00827826"/>
    <w:rsid w:val="0084121B"/>
    <w:rsid w:val="008554D7"/>
    <w:rsid w:val="008612AB"/>
    <w:rsid w:val="00871AFD"/>
    <w:rsid w:val="0087579E"/>
    <w:rsid w:val="008A1F01"/>
    <w:rsid w:val="008A7A8F"/>
    <w:rsid w:val="008C5DDF"/>
    <w:rsid w:val="00902380"/>
    <w:rsid w:val="00915AF2"/>
    <w:rsid w:val="00917ECC"/>
    <w:rsid w:val="00940809"/>
    <w:rsid w:val="00952325"/>
    <w:rsid w:val="00952E0F"/>
    <w:rsid w:val="00974C60"/>
    <w:rsid w:val="00977BA8"/>
    <w:rsid w:val="00986B33"/>
    <w:rsid w:val="00986F96"/>
    <w:rsid w:val="00987AD5"/>
    <w:rsid w:val="009A4460"/>
    <w:rsid w:val="009F0A00"/>
    <w:rsid w:val="009F200A"/>
    <w:rsid w:val="009F5467"/>
    <w:rsid w:val="00A145EF"/>
    <w:rsid w:val="00A164EF"/>
    <w:rsid w:val="00A255F3"/>
    <w:rsid w:val="00A27FB6"/>
    <w:rsid w:val="00A40B95"/>
    <w:rsid w:val="00A52F7E"/>
    <w:rsid w:val="00A71FC6"/>
    <w:rsid w:val="00A816C7"/>
    <w:rsid w:val="00A84213"/>
    <w:rsid w:val="00A93037"/>
    <w:rsid w:val="00A93C8A"/>
    <w:rsid w:val="00AA31D7"/>
    <w:rsid w:val="00B05913"/>
    <w:rsid w:val="00B0658F"/>
    <w:rsid w:val="00B14D97"/>
    <w:rsid w:val="00B42901"/>
    <w:rsid w:val="00B4445F"/>
    <w:rsid w:val="00B45548"/>
    <w:rsid w:val="00B704E9"/>
    <w:rsid w:val="00B711EC"/>
    <w:rsid w:val="00B856AB"/>
    <w:rsid w:val="00B858F9"/>
    <w:rsid w:val="00B90126"/>
    <w:rsid w:val="00B905F2"/>
    <w:rsid w:val="00BB0CF3"/>
    <w:rsid w:val="00BB3558"/>
    <w:rsid w:val="00BB37E9"/>
    <w:rsid w:val="00BC2EB6"/>
    <w:rsid w:val="00BC5454"/>
    <w:rsid w:val="00BF17AA"/>
    <w:rsid w:val="00BF5C8E"/>
    <w:rsid w:val="00C11B81"/>
    <w:rsid w:val="00C24294"/>
    <w:rsid w:val="00C24556"/>
    <w:rsid w:val="00C3259E"/>
    <w:rsid w:val="00C362A9"/>
    <w:rsid w:val="00C43D47"/>
    <w:rsid w:val="00C445CB"/>
    <w:rsid w:val="00C5255D"/>
    <w:rsid w:val="00C55C9C"/>
    <w:rsid w:val="00C61C6D"/>
    <w:rsid w:val="00C91E25"/>
    <w:rsid w:val="00CB40DB"/>
    <w:rsid w:val="00CB560C"/>
    <w:rsid w:val="00CC150F"/>
    <w:rsid w:val="00CC6178"/>
    <w:rsid w:val="00CF4F2E"/>
    <w:rsid w:val="00CF7406"/>
    <w:rsid w:val="00D05904"/>
    <w:rsid w:val="00D7412A"/>
    <w:rsid w:val="00D74E71"/>
    <w:rsid w:val="00D75E47"/>
    <w:rsid w:val="00D801B5"/>
    <w:rsid w:val="00D831A5"/>
    <w:rsid w:val="00D97FA1"/>
    <w:rsid w:val="00DA194D"/>
    <w:rsid w:val="00DD5B75"/>
    <w:rsid w:val="00DF0D83"/>
    <w:rsid w:val="00E10491"/>
    <w:rsid w:val="00E164A7"/>
    <w:rsid w:val="00E420DD"/>
    <w:rsid w:val="00E465F9"/>
    <w:rsid w:val="00E7115E"/>
    <w:rsid w:val="00E871BC"/>
    <w:rsid w:val="00EC161F"/>
    <w:rsid w:val="00EC53A0"/>
    <w:rsid w:val="00EE0A65"/>
    <w:rsid w:val="00EF3FF8"/>
    <w:rsid w:val="00EF6CA0"/>
    <w:rsid w:val="00F00B4D"/>
    <w:rsid w:val="00F00E4B"/>
    <w:rsid w:val="00F016EA"/>
    <w:rsid w:val="00F242E1"/>
    <w:rsid w:val="00F310E2"/>
    <w:rsid w:val="00F34A2B"/>
    <w:rsid w:val="00F44453"/>
    <w:rsid w:val="00F513E8"/>
    <w:rsid w:val="00F57F03"/>
    <w:rsid w:val="00F614F4"/>
    <w:rsid w:val="00F81EBC"/>
    <w:rsid w:val="00FA089C"/>
    <w:rsid w:val="00FD1983"/>
    <w:rsid w:val="00FD396D"/>
    <w:rsid w:val="00FE16A2"/>
    <w:rsid w:val="00FE66CD"/>
    <w:rsid w:val="00FF0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81"/>
    <o:shapelayout v:ext="edit">
      <o:idmap v:ext="edit" data="1"/>
    </o:shapelayout>
  </w:shapeDefaults>
  <w:decimalSymbol w:val=","/>
  <w:listSeparator w:val=";"/>
  <w14:docId w14:val="1D6A77B8"/>
  <w15:docId w15:val="{A60AE7C3-E0C1-400A-AE34-C2811ECB8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before="120" w:after="120" w:line="240" w:lineRule="auto"/>
      <w:jc w:val="both"/>
    </w:pPr>
    <w:rPr>
      <w:rFonts w:ascii="Times New Roman" w:hAnsi="Times New Roman" w:cs="Times New Roman"/>
      <w:sz w:val="24"/>
      <w:lang w:val="fr-FR"/>
    </w:rPr>
  </w:style>
  <w:style w:type="paragraph" w:styleId="Heading1">
    <w:name w:val="heading 1"/>
    <w:basedOn w:val="Normal"/>
    <w:next w:val="Text1"/>
    <w:link w:val="Heading1Char"/>
    <w:uiPriority w:val="9"/>
    <w:qFormat/>
    <w:pPr>
      <w:keepNext/>
      <w:numPr>
        <w:numId w:val="21"/>
      </w:numPr>
      <w:spacing w:before="360"/>
      <w:outlineLvl w:val="0"/>
    </w:pPr>
    <w:rPr>
      <w:rFonts w:eastAsiaTheme="majorEastAsia"/>
      <w:b/>
      <w:bCs/>
      <w:smallCaps/>
      <w:szCs w:val="28"/>
    </w:rPr>
  </w:style>
  <w:style w:type="paragraph" w:styleId="Heading2">
    <w:name w:val="heading 2"/>
    <w:basedOn w:val="Normal"/>
    <w:next w:val="Text1"/>
    <w:link w:val="Heading2Char"/>
    <w:uiPriority w:val="9"/>
    <w:semiHidden/>
    <w:unhideWhenUsed/>
    <w:qFormat/>
    <w:pPr>
      <w:keepNext/>
      <w:numPr>
        <w:ilvl w:val="1"/>
        <w:numId w:val="21"/>
      </w:numPr>
      <w:outlineLvl w:val="1"/>
    </w:pPr>
    <w:rPr>
      <w:rFonts w:eastAsiaTheme="majorEastAsia"/>
      <w:b/>
      <w:bCs/>
      <w:szCs w:val="26"/>
    </w:rPr>
  </w:style>
  <w:style w:type="paragraph" w:styleId="Heading3">
    <w:name w:val="heading 3"/>
    <w:basedOn w:val="Normal"/>
    <w:next w:val="Text1"/>
    <w:link w:val="Heading3Char"/>
    <w:uiPriority w:val="9"/>
    <w:semiHidden/>
    <w:unhideWhenUsed/>
    <w:qFormat/>
    <w:pPr>
      <w:keepNext/>
      <w:numPr>
        <w:ilvl w:val="2"/>
        <w:numId w:val="21"/>
      </w:numPr>
      <w:outlineLvl w:val="2"/>
    </w:pPr>
    <w:rPr>
      <w:rFonts w:eastAsiaTheme="majorEastAsia"/>
      <w:bCs/>
      <w:i/>
    </w:rPr>
  </w:style>
  <w:style w:type="paragraph" w:styleId="Heading4">
    <w:name w:val="heading 4"/>
    <w:basedOn w:val="Normal"/>
    <w:next w:val="Text1"/>
    <w:link w:val="Heading4Char"/>
    <w:uiPriority w:val="9"/>
    <w:semiHidden/>
    <w:unhideWhenUsed/>
    <w:qFormat/>
    <w:pPr>
      <w:keepNext/>
      <w:numPr>
        <w:ilvl w:val="3"/>
        <w:numId w:val="21"/>
      </w:numPr>
      <w:outlineLvl w:val="3"/>
    </w:pPr>
    <w:rPr>
      <w:rFonts w:eastAsiaTheme="majorEastAsia"/>
      <w:bCs/>
      <w:iCs/>
    </w:rPr>
  </w:style>
  <w:style w:type="paragraph" w:styleId="Heading5">
    <w:name w:val="heading 5"/>
    <w:basedOn w:val="Normal"/>
    <w:next w:val="Text2"/>
    <w:link w:val="Heading5Char"/>
    <w:uiPriority w:val="9"/>
    <w:semiHidden/>
    <w:unhideWhenUsed/>
    <w:qFormat/>
    <w:pPr>
      <w:keepNext/>
      <w:numPr>
        <w:ilvl w:val="4"/>
        <w:numId w:val="21"/>
      </w:numPr>
      <w:outlineLvl w:val="4"/>
    </w:pPr>
    <w:rPr>
      <w:rFonts w:eastAsiaTheme="majorEastAsia"/>
    </w:rPr>
  </w:style>
  <w:style w:type="paragraph" w:styleId="Heading6">
    <w:name w:val="heading 6"/>
    <w:basedOn w:val="Normal"/>
    <w:next w:val="Text2"/>
    <w:link w:val="Heading6Char"/>
    <w:uiPriority w:val="9"/>
    <w:semiHidden/>
    <w:unhideWhenUsed/>
    <w:qFormat/>
    <w:pPr>
      <w:keepNext/>
      <w:numPr>
        <w:ilvl w:val="5"/>
        <w:numId w:val="21"/>
      </w:numPr>
      <w:outlineLvl w:val="5"/>
    </w:pPr>
    <w:rPr>
      <w:rFonts w:eastAsiaTheme="majorEastAsia"/>
      <w:iCs/>
    </w:rPr>
  </w:style>
  <w:style w:type="paragraph" w:styleId="Heading7">
    <w:name w:val="heading 7"/>
    <w:basedOn w:val="Normal"/>
    <w:next w:val="Text2"/>
    <w:link w:val="Heading7Char"/>
    <w:uiPriority w:val="9"/>
    <w:semiHidden/>
    <w:unhideWhenUsed/>
    <w:qFormat/>
    <w:pPr>
      <w:keepNext/>
      <w:numPr>
        <w:ilvl w:val="6"/>
        <w:numId w:val="21"/>
      </w:numPr>
      <w:outlineLvl w:val="6"/>
    </w:pPr>
    <w:rPr>
      <w:rFonts w:eastAsiaTheme="majorEastAsia"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089C"/>
    <w:pPr>
      <w:spacing w:before="0" w:after="200" w:line="276" w:lineRule="auto"/>
      <w:ind w:left="720"/>
      <w:contextualSpacing/>
      <w:jc w:val="left"/>
    </w:pPr>
    <w:rPr>
      <w:rFonts w:cstheme="minorBidi"/>
      <w:sz w:val="20"/>
      <w:szCs w:val="20"/>
    </w:rPr>
  </w:style>
  <w:style w:type="paragraph" w:customStyle="1" w:styleId="Articleheading">
    <w:name w:val="Article heading"/>
    <w:basedOn w:val="Normal"/>
    <w:link w:val="ArticleheadingChar"/>
    <w:qFormat/>
    <w:rsid w:val="00FA089C"/>
    <w:pPr>
      <w:keepNext/>
      <w:tabs>
        <w:tab w:val="left" w:pos="709"/>
      </w:tabs>
      <w:spacing w:before="360"/>
      <w:jc w:val="center"/>
    </w:pPr>
    <w:rPr>
      <w:i/>
      <w:color w:val="000000" w:themeColor="text1"/>
      <w:szCs w:val="24"/>
    </w:rPr>
  </w:style>
  <w:style w:type="paragraph" w:customStyle="1" w:styleId="Articletext">
    <w:name w:val="Article text"/>
    <w:basedOn w:val="Articleheading"/>
    <w:link w:val="ArticletextChar"/>
    <w:qFormat/>
    <w:rsid w:val="00FA089C"/>
    <w:pPr>
      <w:keepNext w:val="0"/>
      <w:spacing w:before="120"/>
      <w:jc w:val="both"/>
    </w:pPr>
    <w:rPr>
      <w:i w:val="0"/>
    </w:rPr>
  </w:style>
  <w:style w:type="character" w:customStyle="1" w:styleId="ArticleheadingChar">
    <w:name w:val="Article heading Char"/>
    <w:basedOn w:val="DefaultParagraphFont"/>
    <w:link w:val="Articleheading"/>
    <w:rsid w:val="00FA089C"/>
    <w:rPr>
      <w:rFonts w:ascii="Times New Roman" w:hAnsi="Times New Roman" w:cs="Times New Roman"/>
      <w:i/>
      <w:color w:val="000000" w:themeColor="text1"/>
      <w:sz w:val="24"/>
      <w:szCs w:val="24"/>
    </w:rPr>
  </w:style>
  <w:style w:type="character" w:customStyle="1" w:styleId="ArticletextChar">
    <w:name w:val="Article text Char"/>
    <w:basedOn w:val="ArticleheadingChar"/>
    <w:link w:val="Articletext"/>
    <w:rsid w:val="00FA089C"/>
    <w:rPr>
      <w:rFonts w:ascii="Times New Roman" w:hAnsi="Times New Roman" w:cs="Times New Roman"/>
      <w:i w:val="0"/>
      <w:color w:val="000000" w:themeColor="text1"/>
      <w:sz w:val="24"/>
      <w:szCs w:val="24"/>
    </w:rPr>
  </w:style>
  <w:style w:type="character" w:customStyle="1" w:styleId="Point1Char">
    <w:name w:val="Point 1 Char"/>
    <w:basedOn w:val="ArticletextChar"/>
    <w:rsid w:val="00FA089C"/>
    <w:rPr>
      <w:rFonts w:ascii="Times New Roman" w:hAnsi="Times New Roman" w:cs="Times New Roman"/>
      <w:i w:val="0"/>
      <w:color w:val="000000" w:themeColor="text1"/>
      <w:sz w:val="24"/>
      <w:szCs w:val="24"/>
      <w:lang w:val="fr-FR"/>
    </w:rPr>
  </w:style>
  <w:style w:type="character" w:customStyle="1" w:styleId="Point0Char">
    <w:name w:val="Point 0 Char"/>
    <w:basedOn w:val="Point1Char"/>
    <w:rsid w:val="00FA089C"/>
    <w:rPr>
      <w:rFonts w:ascii="Times New Roman" w:hAnsi="Times New Roman" w:cs="Times New Roman"/>
      <w:i w:val="0"/>
      <w:color w:val="000000" w:themeColor="text1"/>
      <w:sz w:val="24"/>
      <w:szCs w:val="24"/>
      <w:lang w:val="fr-FR"/>
    </w:rPr>
  </w:style>
  <w:style w:type="paragraph" w:customStyle="1" w:styleId="Adaptation">
    <w:name w:val="Adaptation"/>
    <w:basedOn w:val="Point1"/>
    <w:link w:val="AdaptationChar"/>
    <w:qFormat/>
    <w:rsid w:val="00FA089C"/>
    <w:pPr>
      <w:ind w:left="851" w:firstLine="0"/>
    </w:pPr>
    <w:rPr>
      <w:color w:val="000000" w:themeColor="text1"/>
      <w:szCs w:val="24"/>
    </w:rPr>
  </w:style>
  <w:style w:type="character" w:customStyle="1" w:styleId="AdaptationChar">
    <w:name w:val="Adaptation Char"/>
    <w:basedOn w:val="Point1Char"/>
    <w:link w:val="Adaptation"/>
    <w:rsid w:val="00FA089C"/>
    <w:rPr>
      <w:rFonts w:ascii="Times New Roman" w:hAnsi="Times New Roman" w:cs="Times New Roman"/>
      <w:i w:val="0"/>
      <w:color w:val="000000" w:themeColor="text1"/>
      <w:sz w:val="24"/>
      <w:szCs w:val="24"/>
      <w:lang w:val="fr-FR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016EA"/>
    <w:pPr>
      <w:spacing w:before="0" w:after="200"/>
    </w:pPr>
    <w:rPr>
      <w:i/>
      <w:iCs/>
      <w:color w:val="1F497D" w:themeColor="text2"/>
      <w:sz w:val="18"/>
      <w:szCs w:val="18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F016EA"/>
    <w:pPr>
      <w:spacing w:after="0"/>
    </w:pPr>
  </w:style>
  <w:style w:type="paragraph" w:styleId="ListBullet">
    <w:name w:val="List Bullet"/>
    <w:basedOn w:val="Normal"/>
    <w:uiPriority w:val="99"/>
    <w:semiHidden/>
    <w:unhideWhenUsed/>
    <w:rsid w:val="00F016EA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F016EA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F016EA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F016EA"/>
    <w:pPr>
      <w:numPr>
        <w:numId w:val="4"/>
      </w:numPr>
      <w:contextualSpacing/>
    </w:pPr>
  </w:style>
  <w:style w:type="paragraph" w:styleId="ListNumber">
    <w:name w:val="List Number"/>
    <w:basedOn w:val="Normal"/>
    <w:uiPriority w:val="99"/>
    <w:semiHidden/>
    <w:unhideWhenUsed/>
    <w:rsid w:val="00F016EA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F016EA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F016EA"/>
    <w:pPr>
      <w:numPr>
        <w:numId w:val="7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F016EA"/>
    <w:pPr>
      <w:numPr>
        <w:numId w:val="8"/>
      </w:numPr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525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5255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5255D"/>
    <w:rPr>
      <w:rFonts w:ascii="Times New Roman" w:hAnsi="Times New Roman" w:cs="Times New Roman"/>
      <w:sz w:val="20"/>
      <w:szCs w:val="20"/>
      <w:lang w:val="fr-F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25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5255D"/>
    <w:rPr>
      <w:rFonts w:ascii="Times New Roman" w:hAnsi="Times New Roman" w:cs="Times New Roman"/>
      <w:b/>
      <w:bCs/>
      <w:sz w:val="20"/>
      <w:szCs w:val="20"/>
      <w:lang w:val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255D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255D"/>
    <w:rPr>
      <w:rFonts w:ascii="Segoe UI" w:hAnsi="Segoe UI" w:cs="Segoe UI"/>
      <w:sz w:val="18"/>
      <w:szCs w:val="18"/>
      <w:lang w:val="fr-FR"/>
    </w:rPr>
  </w:style>
  <w:style w:type="character" w:styleId="Hyperlink">
    <w:name w:val="Hyperlink"/>
    <w:basedOn w:val="DefaultParagraphFont"/>
    <w:uiPriority w:val="99"/>
    <w:unhideWhenUsed/>
    <w:rsid w:val="00C5255D"/>
    <w:rPr>
      <w:color w:val="0000FF" w:themeColor="hyperlink"/>
      <w:u w:val="single"/>
    </w:rPr>
  </w:style>
  <w:style w:type="paragraph" w:customStyle="1" w:styleId="Text0">
    <w:name w:val="Text 0"/>
    <w:basedOn w:val="Text1"/>
    <w:rsid w:val="00826EE6"/>
  </w:style>
  <w:style w:type="paragraph" w:customStyle="1" w:styleId="Body">
    <w:name w:val="Body"/>
    <w:rsid w:val="00BB37E9"/>
    <w:pPr>
      <w:pBdr>
        <w:top w:val="nil"/>
        <w:left w:val="nil"/>
        <w:bottom w:val="nil"/>
        <w:right w:val="nil"/>
        <w:between w:val="nil"/>
        <w:bar w:val="nil"/>
      </w:pBdr>
      <w:spacing w:before="120" w:after="12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</w:rPr>
  </w:style>
  <w:style w:type="numbering" w:customStyle="1" w:styleId="ImportedStyle2">
    <w:name w:val="Imported Style 2"/>
    <w:rsid w:val="00BB37E9"/>
    <w:pPr>
      <w:numPr>
        <w:numId w:val="9"/>
      </w:numPr>
    </w:pPr>
  </w:style>
  <w:style w:type="numbering" w:customStyle="1" w:styleId="ImportedStyle3">
    <w:name w:val="Imported Style 3"/>
    <w:rsid w:val="00BB37E9"/>
    <w:pPr>
      <w:numPr>
        <w:numId w:val="10"/>
      </w:numPr>
    </w:pPr>
  </w:style>
  <w:style w:type="numbering" w:customStyle="1" w:styleId="ImportedStyle4">
    <w:name w:val="Imported Style 4"/>
    <w:rsid w:val="00BB37E9"/>
    <w:pPr>
      <w:numPr>
        <w:numId w:val="11"/>
      </w:numPr>
    </w:pPr>
  </w:style>
  <w:style w:type="numbering" w:customStyle="1" w:styleId="ImportedStyle5">
    <w:name w:val="Imported Style 5"/>
    <w:rsid w:val="00BB37E9"/>
    <w:pPr>
      <w:numPr>
        <w:numId w:val="12"/>
      </w:numPr>
    </w:pPr>
  </w:style>
  <w:style w:type="paragraph" w:styleId="Revision">
    <w:name w:val="Revision"/>
    <w:hidden/>
    <w:uiPriority w:val="99"/>
    <w:semiHidden/>
    <w:rsid w:val="00B0658F"/>
    <w:pPr>
      <w:spacing w:after="0" w:line="240" w:lineRule="auto"/>
    </w:pPr>
    <w:rPr>
      <w:rFonts w:ascii="Times New Roman" w:hAnsi="Times New Roman" w:cs="Times New Roman"/>
      <w:sz w:val="24"/>
    </w:rPr>
  </w:style>
  <w:style w:type="paragraph" w:customStyle="1" w:styleId="Point4b">
    <w:name w:val="Point 4b"/>
    <w:basedOn w:val="Normal"/>
    <w:qFormat/>
    <w:rsid w:val="00572D10"/>
    <w:pPr>
      <w:tabs>
        <w:tab w:val="left" w:pos="1453"/>
      </w:tabs>
      <w:ind w:left="2552"/>
      <w:jc w:val="left"/>
    </w:pPr>
    <w:rPr>
      <w:rFonts w:cstheme="minorBidi"/>
      <w:szCs w:val="2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61106"/>
    <w:rPr>
      <w:color w:val="605E5C"/>
      <w:shd w:val="clear" w:color="auto" w:fill="E1DFDD"/>
    </w:rPr>
  </w:style>
  <w:style w:type="character" w:customStyle="1" w:styleId="HeaderChar">
    <w:name w:val="Header Char"/>
    <w:basedOn w:val="DefaultParagraphFont"/>
    <w:link w:val="Header"/>
    <w:uiPriority w:val="99"/>
    <w:rsid w:val="00A40B95"/>
    <w:rPr>
      <w:rFonts w:ascii="Times New Roman" w:hAnsi="Times New Roman" w:cs="Times New Roman"/>
      <w:sz w:val="24"/>
      <w:lang w:val="fr-FR"/>
    </w:rPr>
  </w:style>
  <w:style w:type="character" w:customStyle="1" w:styleId="FooterChar">
    <w:name w:val="Footer Char"/>
    <w:basedOn w:val="DefaultParagraphFont"/>
    <w:link w:val="Footer"/>
    <w:uiPriority w:val="99"/>
    <w:rsid w:val="00A40B95"/>
    <w:rPr>
      <w:rFonts w:ascii="Times New Roman" w:hAnsi="Times New Roman" w:cs="Times New Roman"/>
      <w:sz w:val="24"/>
      <w:lang w:val="fr-FR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before="0" w:after="0"/>
      <w:ind w:left="720" w:hanging="7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Theme="majorEastAsia" w:hAnsi="Times New Roman" w:cs="Times New Roman"/>
      <w:b/>
      <w:bCs/>
      <w:smallCaps/>
      <w:sz w:val="24"/>
      <w:szCs w:val="28"/>
      <w:lang w:val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="Times New Roman" w:eastAsiaTheme="majorEastAsia" w:hAnsi="Times New Roman" w:cs="Times New Roman"/>
      <w:b/>
      <w:bCs/>
      <w:sz w:val="24"/>
      <w:szCs w:val="26"/>
      <w:lang w:val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eastAsiaTheme="majorEastAsia" w:hAnsi="Times New Roman" w:cs="Times New Roman"/>
      <w:bCs/>
      <w:i/>
      <w:sz w:val="24"/>
      <w:lang w:val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="Times New Roman" w:eastAsiaTheme="majorEastAsia" w:hAnsi="Times New Roman" w:cs="Times New Roman"/>
      <w:bCs/>
      <w:iCs/>
      <w:sz w:val="24"/>
      <w:lang w:val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="Times New Roman" w:eastAsiaTheme="majorEastAsia" w:hAnsi="Times New Roman" w:cs="Times New Roman"/>
      <w:sz w:val="24"/>
      <w:lang w:val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="Times New Roman" w:eastAsiaTheme="majorEastAsia" w:hAnsi="Times New Roman" w:cs="Times New Roman"/>
      <w:iCs/>
      <w:sz w:val="24"/>
      <w:lang w:val="fr-FR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="Times New Roman" w:eastAsiaTheme="majorEastAsia" w:hAnsi="Times New Roman" w:cs="Times New Roman"/>
      <w:iCs/>
      <w:sz w:val="24"/>
      <w:lang w:val="fr-FR"/>
    </w:rPr>
  </w:style>
  <w:style w:type="paragraph" w:styleId="TOCHeading">
    <w:name w:val="TOC Heading"/>
    <w:basedOn w:val="Normal"/>
    <w:next w:val="Normal"/>
    <w:uiPriority w:val="39"/>
    <w:semiHidden/>
    <w:unhideWhenUsed/>
    <w:qFormat/>
    <w:pPr>
      <w:spacing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2">
    <w:name w:val="toc 2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3">
    <w:name w:val="toc 3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4">
    <w:name w:val="toc 4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5">
    <w:name w:val="toc 5"/>
    <w:basedOn w:val="Normal"/>
    <w:next w:val="Normal"/>
    <w:uiPriority w:val="39"/>
    <w:semiHidden/>
    <w:unhideWhenUsed/>
    <w:pPr>
      <w:tabs>
        <w:tab w:val="right" w:leader="dot" w:pos="9071"/>
      </w:tabs>
      <w:spacing w:before="300"/>
      <w:jc w:val="left"/>
    </w:pPr>
  </w:style>
  <w:style w:type="paragraph" w:styleId="TOC6">
    <w:name w:val="toc 6"/>
    <w:basedOn w:val="Normal"/>
    <w:next w:val="Normal"/>
    <w:uiPriority w:val="39"/>
    <w:semiHidden/>
    <w:unhideWhenUsed/>
    <w:pPr>
      <w:tabs>
        <w:tab w:val="right" w:leader="dot" w:pos="9071"/>
      </w:tabs>
      <w:spacing w:before="240"/>
      <w:jc w:val="left"/>
    </w:pPr>
  </w:style>
  <w:style w:type="paragraph" w:styleId="TOC7">
    <w:name w:val="toc 7"/>
    <w:basedOn w:val="Normal"/>
    <w:next w:val="Normal"/>
    <w:uiPriority w:val="39"/>
    <w:semiHidden/>
    <w:unhideWhenUsed/>
    <w:pPr>
      <w:tabs>
        <w:tab w:val="right" w:leader="dot" w:pos="9071"/>
      </w:tabs>
      <w:spacing w:before="180"/>
      <w:jc w:val="left"/>
    </w:pPr>
  </w:style>
  <w:style w:type="paragraph" w:styleId="TOC8">
    <w:name w:val="toc 8"/>
    <w:basedOn w:val="Normal"/>
    <w:next w:val="Normal"/>
    <w:uiPriority w:val="39"/>
    <w:semiHidden/>
    <w:unhideWhenUsed/>
    <w:pPr>
      <w:tabs>
        <w:tab w:val="right" w:leader="dot" w:pos="9071"/>
      </w:tabs>
      <w:jc w:val="left"/>
    </w:pPr>
  </w:style>
  <w:style w:type="paragraph" w:styleId="TOC9">
    <w:name w:val="toc 9"/>
    <w:basedOn w:val="Normal"/>
    <w:next w:val="Normal"/>
    <w:uiPriority w:val="39"/>
    <w:semiHidden/>
    <w:unhideWhenUsed/>
    <w:pPr>
      <w:tabs>
        <w:tab w:val="right" w:leader="dot" w:pos="9071"/>
      </w:tabs>
      <w:ind w:left="1417" w:hanging="1417"/>
      <w:jc w:val="left"/>
    </w:pPr>
  </w:style>
  <w:style w:type="character" w:styleId="FootnoteReference">
    <w:name w:val="footnote reference"/>
    <w:basedOn w:val="DefaultParagraphFont"/>
    <w:uiPriority w:val="99"/>
    <w:semiHidden/>
    <w:unhideWhenUsed/>
    <w:rPr>
      <w:shd w:val="clear" w:color="auto" w:fill="auto"/>
      <w:vertAlign w:val="superscript"/>
    </w:rPr>
  </w:style>
  <w:style w:type="paragraph" w:customStyle="1" w:styleId="HeaderSensitivity">
    <w:name w:val="Header Sensitivity"/>
    <w:basedOn w:val="Normal"/>
    <w:rsid w:val="00A40B9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/>
      <w:ind w:left="113" w:right="113"/>
      <w:jc w:val="center"/>
    </w:pPr>
    <w:rPr>
      <w:b/>
      <w:sz w:val="32"/>
    </w:rPr>
  </w:style>
  <w:style w:type="paragraph" w:customStyle="1" w:styleId="HeaderSensitivityRight">
    <w:name w:val="Header Sensitivity Right"/>
    <w:basedOn w:val="Normal"/>
    <w:rsid w:val="00A40B95"/>
    <w:pPr>
      <w:spacing w:before="0"/>
      <w:jc w:val="right"/>
    </w:pPr>
    <w:rPr>
      <w:sz w:val="28"/>
    </w:rPr>
  </w:style>
  <w:style w:type="paragraph" w:customStyle="1" w:styleId="FooterSensitivity">
    <w:name w:val="Footer Sensitivity"/>
    <w:basedOn w:val="Normal"/>
    <w:rsid w:val="00A40B9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/>
      <w:ind w:left="113" w:right="113"/>
      <w:jc w:val="center"/>
    </w:pPr>
    <w:rPr>
      <w:b/>
      <w:sz w:val="32"/>
    </w:rPr>
  </w:style>
  <w:style w:type="paragraph" w:customStyle="1" w:styleId="Text1">
    <w:name w:val="Text 1"/>
    <w:basedOn w:val="Normal"/>
    <w:pPr>
      <w:ind w:left="850"/>
    </w:pPr>
  </w:style>
  <w:style w:type="paragraph" w:customStyle="1" w:styleId="Text2">
    <w:name w:val="Text 2"/>
    <w:basedOn w:val="Normal"/>
    <w:pPr>
      <w:ind w:left="1417"/>
    </w:pPr>
  </w:style>
  <w:style w:type="paragraph" w:customStyle="1" w:styleId="Text3">
    <w:name w:val="Text 3"/>
    <w:basedOn w:val="Normal"/>
    <w:pPr>
      <w:ind w:left="1984"/>
    </w:pPr>
  </w:style>
  <w:style w:type="paragraph" w:customStyle="1" w:styleId="Text4">
    <w:name w:val="Text 4"/>
    <w:basedOn w:val="Normal"/>
    <w:pPr>
      <w:ind w:left="2551"/>
    </w:pPr>
  </w:style>
  <w:style w:type="paragraph" w:customStyle="1" w:styleId="Text5">
    <w:name w:val="Text 5"/>
    <w:basedOn w:val="Normal"/>
    <w:pPr>
      <w:ind w:left="3118"/>
    </w:pPr>
  </w:style>
  <w:style w:type="paragraph" w:customStyle="1" w:styleId="Text6">
    <w:name w:val="Text 6"/>
    <w:basedOn w:val="Normal"/>
    <w:pPr>
      <w:ind w:left="3685"/>
    </w:pPr>
  </w:style>
  <w:style w:type="paragraph" w:customStyle="1" w:styleId="NormalCentered">
    <w:name w:val="Normal Centered"/>
    <w:basedOn w:val="Normal"/>
    <w:pPr>
      <w:jc w:val="center"/>
    </w:pPr>
  </w:style>
  <w:style w:type="paragraph" w:customStyle="1" w:styleId="NormalLeft">
    <w:name w:val="Normal Left"/>
    <w:basedOn w:val="Normal"/>
    <w:pPr>
      <w:jc w:val="left"/>
    </w:pPr>
  </w:style>
  <w:style w:type="paragraph" w:customStyle="1" w:styleId="NormalRight">
    <w:name w:val="Normal Right"/>
    <w:basedOn w:val="Normal"/>
    <w:pPr>
      <w:jc w:val="right"/>
    </w:pPr>
  </w:style>
  <w:style w:type="paragraph" w:customStyle="1" w:styleId="QuotedText">
    <w:name w:val="Quoted Text"/>
    <w:basedOn w:val="Normal"/>
    <w:pPr>
      <w:ind w:left="1417"/>
    </w:pPr>
  </w:style>
  <w:style w:type="paragraph" w:customStyle="1" w:styleId="Point0">
    <w:name w:val="Point 0"/>
    <w:basedOn w:val="Normal"/>
    <w:pPr>
      <w:ind w:left="850" w:hanging="850"/>
    </w:pPr>
  </w:style>
  <w:style w:type="paragraph" w:customStyle="1" w:styleId="Point1">
    <w:name w:val="Point 1"/>
    <w:basedOn w:val="Normal"/>
    <w:pPr>
      <w:ind w:left="1417" w:hanging="567"/>
    </w:pPr>
  </w:style>
  <w:style w:type="paragraph" w:customStyle="1" w:styleId="Point2">
    <w:name w:val="Point 2"/>
    <w:basedOn w:val="Normal"/>
    <w:pPr>
      <w:ind w:left="1984" w:hanging="567"/>
    </w:pPr>
  </w:style>
  <w:style w:type="paragraph" w:customStyle="1" w:styleId="Point3">
    <w:name w:val="Point 3"/>
    <w:basedOn w:val="Normal"/>
    <w:pPr>
      <w:ind w:left="2551" w:hanging="567"/>
    </w:pPr>
  </w:style>
  <w:style w:type="paragraph" w:customStyle="1" w:styleId="Point4">
    <w:name w:val="Point 4"/>
    <w:basedOn w:val="Normal"/>
    <w:pPr>
      <w:ind w:left="3118" w:hanging="567"/>
    </w:pPr>
  </w:style>
  <w:style w:type="paragraph" w:customStyle="1" w:styleId="Point5">
    <w:name w:val="Point 5"/>
    <w:basedOn w:val="Normal"/>
    <w:pPr>
      <w:ind w:left="3685" w:hanging="567"/>
    </w:pPr>
  </w:style>
  <w:style w:type="paragraph" w:customStyle="1" w:styleId="Tiret0">
    <w:name w:val="Tiret 0"/>
    <w:basedOn w:val="Point0"/>
    <w:pPr>
      <w:numPr>
        <w:numId w:val="14"/>
      </w:numPr>
    </w:pPr>
  </w:style>
  <w:style w:type="paragraph" w:customStyle="1" w:styleId="Tiret1">
    <w:name w:val="Tiret 1"/>
    <w:basedOn w:val="Point1"/>
    <w:pPr>
      <w:numPr>
        <w:numId w:val="15"/>
      </w:numPr>
    </w:pPr>
  </w:style>
  <w:style w:type="paragraph" w:customStyle="1" w:styleId="Tiret2">
    <w:name w:val="Tiret 2"/>
    <w:basedOn w:val="Point2"/>
    <w:pPr>
      <w:numPr>
        <w:numId w:val="16"/>
      </w:numPr>
    </w:pPr>
  </w:style>
  <w:style w:type="paragraph" w:customStyle="1" w:styleId="Tiret3">
    <w:name w:val="Tiret 3"/>
    <w:basedOn w:val="Point3"/>
    <w:pPr>
      <w:numPr>
        <w:numId w:val="17"/>
      </w:numPr>
    </w:pPr>
  </w:style>
  <w:style w:type="paragraph" w:customStyle="1" w:styleId="Tiret4">
    <w:name w:val="Tiret 4"/>
    <w:basedOn w:val="Point4"/>
    <w:pPr>
      <w:numPr>
        <w:numId w:val="18"/>
      </w:numPr>
    </w:pPr>
  </w:style>
  <w:style w:type="paragraph" w:customStyle="1" w:styleId="Tiret5">
    <w:name w:val="Tiret 5"/>
    <w:basedOn w:val="Point5"/>
    <w:pPr>
      <w:numPr>
        <w:numId w:val="19"/>
      </w:numPr>
    </w:pPr>
  </w:style>
  <w:style w:type="paragraph" w:customStyle="1" w:styleId="PointDouble0">
    <w:name w:val="PointDouble 0"/>
    <w:basedOn w:val="Normal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Normal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Normal"/>
    <w:next w:val="Text1"/>
    <w:pPr>
      <w:numPr>
        <w:numId w:val="20"/>
      </w:numPr>
    </w:pPr>
  </w:style>
  <w:style w:type="paragraph" w:customStyle="1" w:styleId="NumPar2">
    <w:name w:val="NumPar 2"/>
    <w:basedOn w:val="Normal"/>
    <w:next w:val="Text1"/>
    <w:pPr>
      <w:numPr>
        <w:ilvl w:val="1"/>
        <w:numId w:val="20"/>
      </w:numPr>
    </w:pPr>
  </w:style>
  <w:style w:type="paragraph" w:customStyle="1" w:styleId="NumPar3">
    <w:name w:val="NumPar 3"/>
    <w:basedOn w:val="Normal"/>
    <w:next w:val="Text1"/>
    <w:pPr>
      <w:numPr>
        <w:ilvl w:val="2"/>
        <w:numId w:val="20"/>
      </w:numPr>
    </w:pPr>
  </w:style>
  <w:style w:type="paragraph" w:customStyle="1" w:styleId="NumPar4">
    <w:name w:val="NumPar 4"/>
    <w:basedOn w:val="Normal"/>
    <w:next w:val="Text1"/>
    <w:pPr>
      <w:numPr>
        <w:ilvl w:val="3"/>
        <w:numId w:val="20"/>
      </w:numPr>
    </w:pPr>
  </w:style>
  <w:style w:type="paragraph" w:customStyle="1" w:styleId="NumPar5">
    <w:name w:val="NumPar 5"/>
    <w:basedOn w:val="Normal"/>
    <w:next w:val="Text2"/>
    <w:pPr>
      <w:numPr>
        <w:ilvl w:val="4"/>
        <w:numId w:val="20"/>
      </w:numPr>
    </w:pPr>
  </w:style>
  <w:style w:type="paragraph" w:customStyle="1" w:styleId="NumPar6">
    <w:name w:val="NumPar 6"/>
    <w:basedOn w:val="Normal"/>
    <w:next w:val="Text2"/>
    <w:pPr>
      <w:numPr>
        <w:ilvl w:val="5"/>
        <w:numId w:val="20"/>
      </w:numPr>
    </w:pPr>
  </w:style>
  <w:style w:type="paragraph" w:customStyle="1" w:styleId="NumPar7">
    <w:name w:val="NumPar 7"/>
    <w:basedOn w:val="Normal"/>
    <w:next w:val="Text2"/>
    <w:pPr>
      <w:numPr>
        <w:ilvl w:val="6"/>
        <w:numId w:val="20"/>
      </w:numPr>
    </w:pPr>
  </w:style>
  <w:style w:type="paragraph" w:customStyle="1" w:styleId="ManualNumPar1">
    <w:name w:val="Manual NumPar 1"/>
    <w:basedOn w:val="Normal"/>
    <w:next w:val="Text1"/>
    <w:pPr>
      <w:ind w:left="850" w:hanging="850"/>
    </w:pPr>
  </w:style>
  <w:style w:type="paragraph" w:customStyle="1" w:styleId="ManualNumPar2">
    <w:name w:val="Manual NumPar 2"/>
    <w:basedOn w:val="Normal"/>
    <w:next w:val="Text1"/>
    <w:pPr>
      <w:ind w:left="850" w:hanging="850"/>
    </w:pPr>
  </w:style>
  <w:style w:type="paragraph" w:customStyle="1" w:styleId="ManualNumPar3">
    <w:name w:val="Manual NumPar 3"/>
    <w:basedOn w:val="Normal"/>
    <w:next w:val="Text1"/>
    <w:pPr>
      <w:ind w:left="850" w:hanging="850"/>
    </w:pPr>
  </w:style>
  <w:style w:type="paragraph" w:customStyle="1" w:styleId="ManualNumPar4">
    <w:name w:val="Manual NumPar 4"/>
    <w:basedOn w:val="Normal"/>
    <w:next w:val="Text1"/>
    <w:pPr>
      <w:ind w:left="850" w:hanging="850"/>
    </w:pPr>
  </w:style>
  <w:style w:type="paragraph" w:customStyle="1" w:styleId="ManualNumPar5">
    <w:name w:val="Manual NumPar 5"/>
    <w:basedOn w:val="Normal"/>
    <w:next w:val="Text2"/>
    <w:pPr>
      <w:ind w:left="1417" w:hanging="1417"/>
    </w:pPr>
  </w:style>
  <w:style w:type="paragraph" w:customStyle="1" w:styleId="ManualNumPar6">
    <w:name w:val="Manual NumPar 6"/>
    <w:basedOn w:val="Normal"/>
    <w:next w:val="Text2"/>
    <w:pPr>
      <w:ind w:left="1417" w:hanging="1417"/>
    </w:pPr>
  </w:style>
  <w:style w:type="paragraph" w:customStyle="1" w:styleId="ManualNumPar7">
    <w:name w:val="Manual NumPar 7"/>
    <w:basedOn w:val="Normal"/>
    <w:next w:val="Text2"/>
    <w:pPr>
      <w:ind w:left="1417" w:hanging="1417"/>
    </w:pPr>
  </w:style>
  <w:style w:type="paragraph" w:customStyle="1" w:styleId="QuotedNumPar">
    <w:name w:val="Quoted NumPar"/>
    <w:basedOn w:val="Normal"/>
    <w:pPr>
      <w:ind w:left="1417" w:hanging="567"/>
    </w:pPr>
  </w:style>
  <w:style w:type="paragraph" w:customStyle="1" w:styleId="ManualHeading1">
    <w:name w:val="Manual Heading 1"/>
    <w:basedOn w:val="Normal"/>
    <w:next w:val="Text1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pPr>
      <w:keepNext/>
      <w:tabs>
        <w:tab w:val="left" w:pos="850"/>
      </w:tabs>
      <w:ind w:left="850" w:hanging="850"/>
      <w:outlineLvl w:val="3"/>
    </w:pPr>
  </w:style>
  <w:style w:type="paragraph" w:customStyle="1" w:styleId="ManualHeading5">
    <w:name w:val="Manual Heading 5"/>
    <w:basedOn w:val="Normal"/>
    <w:next w:val="Text2"/>
    <w:pPr>
      <w:keepNext/>
      <w:tabs>
        <w:tab w:val="left" w:pos="1417"/>
      </w:tabs>
      <w:ind w:left="1417" w:hanging="1417"/>
      <w:outlineLvl w:val="4"/>
    </w:pPr>
  </w:style>
  <w:style w:type="paragraph" w:customStyle="1" w:styleId="ManualHeading6">
    <w:name w:val="Manual Heading 6"/>
    <w:basedOn w:val="Normal"/>
    <w:next w:val="Text2"/>
    <w:pPr>
      <w:keepNext/>
      <w:tabs>
        <w:tab w:val="left" w:pos="1417"/>
      </w:tabs>
      <w:ind w:left="1417" w:hanging="1417"/>
      <w:outlineLvl w:val="5"/>
    </w:pPr>
  </w:style>
  <w:style w:type="paragraph" w:customStyle="1" w:styleId="ManualHeading7">
    <w:name w:val="Manual Heading 7"/>
    <w:basedOn w:val="Normal"/>
    <w:next w:val="Text2"/>
    <w:pPr>
      <w:keepNext/>
      <w:tabs>
        <w:tab w:val="left" w:pos="1417"/>
      </w:tabs>
      <w:ind w:left="1417" w:hanging="1417"/>
      <w:outlineLvl w:val="6"/>
    </w:pPr>
  </w:style>
  <w:style w:type="paragraph" w:customStyle="1" w:styleId="ChapterTitle">
    <w:name w:val="ChapterTitle"/>
    <w:basedOn w:val="Normal"/>
    <w:next w:val="Normal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pPr>
      <w:jc w:val="center"/>
    </w:pPr>
    <w:rPr>
      <w:b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pPr>
      <w:numPr>
        <w:numId w:val="22"/>
      </w:numPr>
    </w:pPr>
  </w:style>
  <w:style w:type="paragraph" w:customStyle="1" w:styleId="Point1number">
    <w:name w:val="Point 1 (number)"/>
    <w:basedOn w:val="Normal"/>
    <w:pPr>
      <w:numPr>
        <w:ilvl w:val="2"/>
        <w:numId w:val="22"/>
      </w:numPr>
    </w:pPr>
  </w:style>
  <w:style w:type="paragraph" w:customStyle="1" w:styleId="Point2number">
    <w:name w:val="Point 2 (number)"/>
    <w:basedOn w:val="Normal"/>
    <w:pPr>
      <w:numPr>
        <w:ilvl w:val="4"/>
        <w:numId w:val="22"/>
      </w:numPr>
    </w:pPr>
  </w:style>
  <w:style w:type="paragraph" w:customStyle="1" w:styleId="Point3number">
    <w:name w:val="Point 3 (number)"/>
    <w:basedOn w:val="Normal"/>
    <w:pPr>
      <w:numPr>
        <w:ilvl w:val="6"/>
        <w:numId w:val="22"/>
      </w:numPr>
    </w:pPr>
  </w:style>
  <w:style w:type="paragraph" w:customStyle="1" w:styleId="Point0letter">
    <w:name w:val="Point 0 (letter)"/>
    <w:basedOn w:val="Normal"/>
    <w:pPr>
      <w:numPr>
        <w:ilvl w:val="1"/>
        <w:numId w:val="22"/>
      </w:numPr>
    </w:pPr>
  </w:style>
  <w:style w:type="paragraph" w:customStyle="1" w:styleId="Point1letter">
    <w:name w:val="Point 1 (letter)"/>
    <w:basedOn w:val="Normal"/>
    <w:pPr>
      <w:numPr>
        <w:ilvl w:val="3"/>
        <w:numId w:val="22"/>
      </w:numPr>
    </w:pPr>
  </w:style>
  <w:style w:type="paragraph" w:customStyle="1" w:styleId="Point2letter">
    <w:name w:val="Point 2 (letter)"/>
    <w:basedOn w:val="Normal"/>
    <w:pPr>
      <w:numPr>
        <w:ilvl w:val="5"/>
        <w:numId w:val="22"/>
      </w:numPr>
    </w:pPr>
  </w:style>
  <w:style w:type="paragraph" w:customStyle="1" w:styleId="Point3letter">
    <w:name w:val="Point 3 (letter)"/>
    <w:basedOn w:val="Normal"/>
    <w:pPr>
      <w:numPr>
        <w:ilvl w:val="7"/>
        <w:numId w:val="22"/>
      </w:numPr>
    </w:pPr>
  </w:style>
  <w:style w:type="paragraph" w:customStyle="1" w:styleId="Point4letter">
    <w:name w:val="Point 4 (letter)"/>
    <w:basedOn w:val="Normal"/>
    <w:pPr>
      <w:numPr>
        <w:ilvl w:val="8"/>
        <w:numId w:val="22"/>
      </w:numPr>
    </w:pPr>
  </w:style>
  <w:style w:type="paragraph" w:customStyle="1" w:styleId="Bullet0">
    <w:name w:val="Bullet 0"/>
    <w:basedOn w:val="Normal"/>
    <w:pPr>
      <w:numPr>
        <w:numId w:val="23"/>
      </w:numPr>
    </w:pPr>
  </w:style>
  <w:style w:type="paragraph" w:customStyle="1" w:styleId="Bullet1">
    <w:name w:val="Bullet 1"/>
    <w:basedOn w:val="Normal"/>
    <w:pPr>
      <w:numPr>
        <w:numId w:val="24"/>
      </w:numPr>
    </w:pPr>
  </w:style>
  <w:style w:type="paragraph" w:customStyle="1" w:styleId="Bullet2">
    <w:name w:val="Bullet 2"/>
    <w:basedOn w:val="Normal"/>
    <w:pPr>
      <w:numPr>
        <w:numId w:val="25"/>
      </w:numPr>
    </w:pPr>
  </w:style>
  <w:style w:type="paragraph" w:customStyle="1" w:styleId="Bullet3">
    <w:name w:val="Bullet 3"/>
    <w:basedOn w:val="Normal"/>
    <w:pPr>
      <w:numPr>
        <w:numId w:val="26"/>
      </w:numPr>
    </w:pPr>
  </w:style>
  <w:style w:type="paragraph" w:customStyle="1" w:styleId="Bullet4">
    <w:name w:val="Bullet 4"/>
    <w:basedOn w:val="Normal"/>
    <w:pPr>
      <w:numPr>
        <w:numId w:val="27"/>
      </w:numPr>
    </w:pPr>
  </w:style>
  <w:style w:type="paragraph" w:customStyle="1" w:styleId="Langue">
    <w:name w:val="Langue"/>
    <w:basedOn w:val="Normal"/>
    <w:next w:val="Rfrenceinterne"/>
    <w:pPr>
      <w:framePr w:wrap="around" w:vAnchor="page" w:hAnchor="text" w:xAlign="center" w:y="14741"/>
      <w:spacing w:before="0" w:after="600"/>
      <w:jc w:val="center"/>
    </w:pPr>
    <w:rPr>
      <w:b/>
      <w:caps/>
    </w:rPr>
  </w:style>
  <w:style w:type="paragraph" w:customStyle="1" w:styleId="Nomdelinstitution">
    <w:name w:val="Nom de l'institution"/>
    <w:basedOn w:val="Normal"/>
    <w:next w:val="Emission"/>
    <w:pPr>
      <w:spacing w:before="0" w:after="0"/>
      <w:jc w:val="left"/>
    </w:pPr>
    <w:rPr>
      <w:rFonts w:ascii="Arial" w:hAnsi="Arial" w:cs="Arial"/>
    </w:rPr>
  </w:style>
  <w:style w:type="paragraph" w:customStyle="1" w:styleId="Emission">
    <w:name w:val="Emission"/>
    <w:basedOn w:val="Normal"/>
    <w:next w:val="Rfrenceinstitutionnelle"/>
    <w:pPr>
      <w:spacing w:before="0" w:after="0"/>
      <w:ind w:left="5103"/>
      <w:jc w:val="left"/>
    </w:pPr>
  </w:style>
  <w:style w:type="paragraph" w:customStyle="1" w:styleId="Rfrenceinstitutionnelle">
    <w:name w:val="Référence institutionnelle"/>
    <w:basedOn w:val="Normal"/>
    <w:next w:val="Confidentialit"/>
    <w:pPr>
      <w:spacing w:before="0" w:after="240"/>
      <w:ind w:left="5103"/>
      <w:jc w:val="left"/>
    </w:pPr>
  </w:style>
  <w:style w:type="paragraph" w:customStyle="1" w:styleId="Pagedecouverture">
    <w:name w:val="Page de couverture"/>
    <w:basedOn w:val="Normal"/>
    <w:next w:val="Normal"/>
    <w:pPr>
      <w:spacing w:before="0" w:after="0"/>
    </w:pPr>
  </w:style>
  <w:style w:type="paragraph" w:customStyle="1" w:styleId="Declassification">
    <w:name w:val="Declassification"/>
    <w:basedOn w:val="Normal"/>
    <w:next w:val="Normal"/>
    <w:pPr>
      <w:spacing w:before="0" w:after="0"/>
    </w:pPr>
  </w:style>
  <w:style w:type="paragraph" w:customStyle="1" w:styleId="Disclaimer">
    <w:name w:val="Disclaimer"/>
    <w:basedOn w:val="Normal"/>
    <w:pPr>
      <w:framePr w:w="8220" w:wrap="notBeside" w:hAnchor="margin" w:xAlign="center" w:y="10401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</w:pPr>
  </w:style>
  <w:style w:type="paragraph" w:customStyle="1" w:styleId="SecurityMarking">
    <w:name w:val="SecurityMarking"/>
    <w:basedOn w:val="Normal"/>
    <w:pPr>
      <w:spacing w:before="0" w:after="0" w:line="276" w:lineRule="auto"/>
      <w:ind w:left="5103"/>
      <w:jc w:val="left"/>
    </w:pPr>
    <w:rPr>
      <w:sz w:val="28"/>
    </w:rPr>
  </w:style>
  <w:style w:type="paragraph" w:customStyle="1" w:styleId="DateMarking">
    <w:name w:val="DateMarking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ReleasableTo">
    <w:name w:val="ReleasableTo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Annexetitreexpos">
    <w:name w:val="Annexe titre (exposé)"/>
    <w:basedOn w:val="Normal"/>
    <w:next w:val="Normal"/>
    <w:pPr>
      <w:jc w:val="center"/>
    </w:pPr>
    <w:rPr>
      <w:b/>
      <w:u w:val="single"/>
    </w:rPr>
  </w:style>
  <w:style w:type="paragraph" w:customStyle="1" w:styleId="Annexetitre">
    <w:name w:val="Annexe titre"/>
    <w:basedOn w:val="Normal"/>
    <w:next w:val="Normal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Normal"/>
    <w:next w:val="Normal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pPr>
      <w:spacing w:before="480"/>
    </w:pPr>
  </w:style>
  <w:style w:type="paragraph" w:customStyle="1" w:styleId="Avertissementtitre">
    <w:name w:val="Avertissement titre"/>
    <w:basedOn w:val="Normal"/>
    <w:next w:val="Normal"/>
    <w:pPr>
      <w:keepNext/>
      <w:spacing w:before="480"/>
    </w:pPr>
    <w:rPr>
      <w:u w:val="single"/>
    </w:rPr>
  </w:style>
  <w:style w:type="paragraph" w:customStyle="1" w:styleId="Confidence">
    <w:name w:val="Confidence"/>
    <w:basedOn w:val="Normal"/>
    <w:next w:val="Normal"/>
    <w:pPr>
      <w:spacing w:before="360"/>
      <w:jc w:val="center"/>
    </w:pPr>
  </w:style>
  <w:style w:type="paragraph" w:customStyle="1" w:styleId="Confidentialit">
    <w:name w:val="Confidentialité"/>
    <w:basedOn w:val="Normal"/>
    <w:next w:val="TypedudocumentPagedecouverture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Normal"/>
    <w:pPr>
      <w:numPr>
        <w:numId w:val="28"/>
      </w:numPr>
    </w:pPr>
  </w:style>
  <w:style w:type="paragraph" w:customStyle="1" w:styleId="Corrigendum">
    <w:name w:val="Corrigendum"/>
    <w:basedOn w:val="Normal"/>
    <w:next w:val="Normal"/>
    <w:pPr>
      <w:spacing w:before="0" w:after="240"/>
      <w:jc w:val="left"/>
    </w:pPr>
  </w:style>
  <w:style w:type="paragraph" w:customStyle="1" w:styleId="Datedadoption">
    <w:name w:val="Date d'adoption"/>
    <w:basedOn w:val="Normal"/>
    <w:next w:val="IntrtEEE"/>
    <w:pPr>
      <w:spacing w:before="360" w:after="0"/>
      <w:jc w:val="center"/>
    </w:pPr>
    <w:rPr>
      <w:b/>
    </w:rPr>
  </w:style>
  <w:style w:type="paragraph" w:customStyle="1" w:styleId="Exposdesmotifstitre">
    <w:name w:val="Exposé des motifs titre"/>
    <w:basedOn w:val="Normal"/>
    <w:next w:val="Normal"/>
    <w:pPr>
      <w:jc w:val="center"/>
    </w:pPr>
    <w:rPr>
      <w:b/>
      <w:u w:val="single"/>
    </w:rPr>
  </w:style>
  <w:style w:type="paragraph" w:customStyle="1" w:styleId="Fait">
    <w:name w:val="Fait à"/>
    <w:basedOn w:val="Normal"/>
    <w:next w:val="Institutionquisigne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pPr>
      <w:keepNext/>
    </w:pPr>
  </w:style>
  <w:style w:type="paragraph" w:customStyle="1" w:styleId="Institutionquiagit">
    <w:name w:val="Institution qui agit"/>
    <w:basedOn w:val="Normal"/>
    <w:next w:val="Normal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pPr>
      <w:keepNext/>
      <w:tabs>
        <w:tab w:val="left" w:pos="4252"/>
      </w:tabs>
      <w:spacing w:before="720" w:after="0"/>
    </w:pPr>
    <w:rPr>
      <w:i/>
    </w:rPr>
  </w:style>
  <w:style w:type="paragraph" w:customStyle="1" w:styleId="ManualConsidrant">
    <w:name w:val="Manual Considérant"/>
    <w:basedOn w:val="Normal"/>
    <w:pPr>
      <w:ind w:left="709" w:hanging="709"/>
    </w:pPr>
  </w:style>
  <w:style w:type="paragraph" w:customStyle="1" w:styleId="Personnequisigne">
    <w:name w:val="Personne qui signe"/>
    <w:basedOn w:val="Normal"/>
    <w:next w:val="Institutionquisigne"/>
    <w:pPr>
      <w:tabs>
        <w:tab w:val="left" w:pos="4252"/>
      </w:tabs>
      <w:spacing w:before="0" w:after="0"/>
      <w:jc w:val="left"/>
    </w:pPr>
    <w:rPr>
      <w:i/>
    </w:rPr>
  </w:style>
  <w:style w:type="paragraph" w:customStyle="1" w:styleId="Rfrenceinterinstitutionnelle">
    <w:name w:val="Référence interinstitutionnelle"/>
    <w:basedOn w:val="Normal"/>
    <w:next w:val="Statut"/>
    <w:pPr>
      <w:spacing w:before="0" w:after="0"/>
      <w:ind w:left="5103"/>
      <w:jc w:val="left"/>
    </w:pPr>
  </w:style>
  <w:style w:type="paragraph" w:customStyle="1" w:styleId="Rfrenceinterne">
    <w:name w:val="Référence interne"/>
    <w:basedOn w:val="Normal"/>
    <w:next w:val="Rfrenceinterinstitutionnelle"/>
    <w:pPr>
      <w:spacing w:before="0" w:after="0"/>
      <w:ind w:left="5103"/>
      <w:jc w:val="left"/>
    </w:pPr>
  </w:style>
  <w:style w:type="paragraph" w:customStyle="1" w:styleId="Statut">
    <w:name w:val="Statut"/>
    <w:basedOn w:val="Normal"/>
    <w:next w:val="Typedudocument"/>
    <w:pPr>
      <w:spacing w:before="0" w:after="240"/>
      <w:jc w:val="center"/>
    </w:pPr>
  </w:style>
  <w:style w:type="paragraph" w:customStyle="1" w:styleId="Titrearticle">
    <w:name w:val="Titre article"/>
    <w:basedOn w:val="Normal"/>
    <w:next w:val="Normal"/>
    <w:pPr>
      <w:keepNext/>
      <w:spacing w:before="360"/>
      <w:jc w:val="center"/>
    </w:pPr>
    <w:rPr>
      <w:i/>
    </w:rPr>
  </w:style>
  <w:style w:type="paragraph" w:customStyle="1" w:styleId="Typedudocument">
    <w:name w:val="Type du document"/>
    <w:basedOn w:val="Normal"/>
    <w:next w:val="Accompagnant"/>
    <w:pPr>
      <w:spacing w:before="360" w:after="180"/>
      <w:jc w:val="center"/>
    </w:pPr>
    <w:rPr>
      <w:b/>
    </w:rPr>
  </w:style>
  <w:style w:type="character" w:customStyle="1" w:styleId="Added">
    <w:name w:val="Added"/>
    <w:basedOn w:val="DefaultParagraphFont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Normal"/>
    <w:next w:val="Normal"/>
    <w:rPr>
      <w:i/>
      <w:caps/>
    </w:rPr>
  </w:style>
  <w:style w:type="paragraph" w:customStyle="1" w:styleId="Supertitre">
    <w:name w:val="Supertitre"/>
    <w:basedOn w:val="Normal"/>
    <w:next w:val="Normal"/>
    <w:pPr>
      <w:spacing w:before="0" w:after="600"/>
      <w:jc w:val="center"/>
    </w:pPr>
    <w:rPr>
      <w:b/>
    </w:rPr>
  </w:style>
  <w:style w:type="paragraph" w:customStyle="1" w:styleId="Languesfaisantfoi">
    <w:name w:val="Langues faisant foi"/>
    <w:basedOn w:val="Normal"/>
    <w:next w:val="Normal"/>
    <w:rsid w:val="00A562E8"/>
    <w:pPr>
      <w:spacing w:before="360" w:after="240"/>
      <w:jc w:val="center"/>
    </w:pPr>
  </w:style>
  <w:style w:type="paragraph" w:customStyle="1" w:styleId="Rfrencecroise">
    <w:name w:val="Référence croisée"/>
    <w:basedOn w:val="Normal"/>
    <w:pPr>
      <w:spacing w:before="0" w:after="0"/>
      <w:jc w:val="center"/>
    </w:pPr>
  </w:style>
  <w:style w:type="paragraph" w:customStyle="1" w:styleId="Fichefinanciretitre">
    <w:name w:val="Fiche financière titre"/>
    <w:basedOn w:val="Normal"/>
    <w:next w:val="Normal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IntrtEEEPagedecouvertur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</w:style>
  <w:style w:type="paragraph" w:customStyle="1" w:styleId="StatutPagedecouverture">
    <w:name w:val="Statut (Page de couverture)"/>
    <w:basedOn w:val="Statut"/>
    <w:next w:val="TypedudocumentPagedecouverture"/>
  </w:style>
  <w:style w:type="paragraph" w:customStyle="1" w:styleId="TypedudocumentPagedecouverture">
    <w:name w:val="Type du document (Page de couverture)"/>
    <w:basedOn w:val="Typedudocument"/>
    <w:next w:val="AccompagnantPagedecouverture"/>
  </w:style>
  <w:style w:type="paragraph" w:customStyle="1" w:styleId="Volume">
    <w:name w:val="Volume"/>
    <w:basedOn w:val="Normal"/>
    <w:next w:val="Confidentialit"/>
    <w:pPr>
      <w:spacing w:before="0" w:after="240"/>
      <w:ind w:left="5103"/>
      <w:jc w:val="left"/>
    </w:pPr>
  </w:style>
  <w:style w:type="paragraph" w:customStyle="1" w:styleId="IntrtEEE">
    <w:name w:val="Intérêt EEE"/>
    <w:basedOn w:val="Languesfaisantfoi"/>
    <w:next w:val="Normal"/>
    <w:rsid w:val="00E411F8"/>
    <w:pPr>
      <w:spacing w:after="0"/>
    </w:pPr>
  </w:style>
  <w:style w:type="paragraph" w:customStyle="1" w:styleId="Accompagnant">
    <w:name w:val="Accompagnant"/>
    <w:basedOn w:val="Normal"/>
    <w:next w:val="Typeacteprincipal"/>
    <w:pPr>
      <w:spacing w:before="180" w:after="240"/>
      <w:jc w:val="center"/>
    </w:pPr>
    <w:rPr>
      <w:b/>
    </w:rPr>
  </w:style>
  <w:style w:type="paragraph" w:customStyle="1" w:styleId="Typeacteprincipal">
    <w:name w:val="Type acte principal"/>
    <w:basedOn w:val="Normal"/>
    <w:next w:val="Objetacteprincipal"/>
    <w:pPr>
      <w:spacing w:before="0" w:after="240"/>
      <w:jc w:val="center"/>
    </w:pPr>
    <w:rPr>
      <w:b/>
    </w:rPr>
  </w:style>
  <w:style w:type="paragraph" w:customStyle="1" w:styleId="Objetacteprincipal">
    <w:name w:val="Objet acte principal"/>
    <w:basedOn w:val="Normal"/>
    <w:next w:val="Titrearticle"/>
    <w:pPr>
      <w:spacing w:before="0"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Normal"/>
    <w:rsid w:val="00E411F8"/>
  </w:style>
  <w:style w:type="paragraph" w:customStyle="1" w:styleId="AccompagnantPagedecouverture">
    <w:name w:val="Accompagnant (Page de couverture)"/>
    <w:basedOn w:val="Accompagnant"/>
    <w:next w:val="TypeacteprincipalPagedecouverture"/>
  </w:style>
  <w:style w:type="paragraph" w:customStyle="1" w:styleId="TypeacteprincipalPagedecouverture">
    <w:name w:val="Type acte principal (Page de couverture)"/>
    <w:basedOn w:val="Typeacteprincipal"/>
    <w:next w:val="ObjetacteprincipalPagedecouverture"/>
  </w:style>
  <w:style w:type="paragraph" w:customStyle="1" w:styleId="ObjetacteprincipalPagedecouverture">
    <w:name w:val="Objet acte principal (Page de couverture)"/>
    <w:basedOn w:val="Objetacteprincipal"/>
    <w:next w:val="Rfrencecroise"/>
  </w:style>
  <w:style w:type="paragraph" w:customStyle="1" w:styleId="LanguesfaisantfoiPagedecouverture">
    <w:name w:val="Langues faisant foi (Page de couverture)"/>
    <w:basedOn w:val="Normal"/>
    <w:next w:val="Rfrencecroise"/>
    <w:rsid w:val="00E411F8"/>
    <w:pPr>
      <w:spacing w:before="360" w:after="240"/>
      <w:jc w:val="center"/>
    </w:pPr>
  </w:style>
  <w:style w:type="paragraph" w:styleId="Header">
    <w:name w:val="header"/>
    <w:basedOn w:val="Normal"/>
    <w:link w:val="HeaderChar"/>
    <w:uiPriority w:val="99"/>
    <w:unhideWhenUsed/>
    <w:rsid w:val="00A40B95"/>
    <w:pPr>
      <w:tabs>
        <w:tab w:val="center" w:pos="4535"/>
        <w:tab w:val="right" w:pos="9071"/>
      </w:tabs>
      <w:spacing w:before="0"/>
    </w:pPr>
  </w:style>
  <w:style w:type="paragraph" w:customStyle="1" w:styleId="HeaderLandscape">
    <w:name w:val="HeaderLandscape"/>
    <w:basedOn w:val="Normal"/>
    <w:rsid w:val="00A40B95"/>
    <w:pPr>
      <w:tabs>
        <w:tab w:val="center" w:pos="7285"/>
        <w:tab w:val="right" w:pos="14003"/>
      </w:tabs>
      <w:spacing w:before="0"/>
    </w:pPr>
  </w:style>
  <w:style w:type="paragraph" w:styleId="Footer">
    <w:name w:val="footer"/>
    <w:basedOn w:val="Normal"/>
    <w:link w:val="FooterChar"/>
    <w:uiPriority w:val="99"/>
    <w:unhideWhenUsed/>
    <w:rsid w:val="00A40B95"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paragraph" w:customStyle="1" w:styleId="FooterLandscape">
    <w:name w:val="FooterLandscape"/>
    <w:basedOn w:val="Normal"/>
    <w:rsid w:val="00A40B95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360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ANNEX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B875BC-3B7C-474A-A7DC-203BB7186A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ANNEX.dotm</Template>
  <TotalTime>22</TotalTime>
  <Pages>3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EC CoDe</cp:lastModifiedBy>
  <cp:revision>46</cp:revision>
  <dcterms:created xsi:type="dcterms:W3CDTF">2024-03-13T16:17:00Z</dcterms:created>
  <dcterms:modified xsi:type="dcterms:W3CDTF">2026-05-12T06:45:00Z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tegory">
    <vt:lpwstr>COM/ANNEX</vt:lpwstr>
  </property>
  <property fmtid="{D5CDD505-2E9C-101B-9397-08002B2CF9AE}" pid="3" name="Version">
    <vt:lpwstr>7.0.8.0</vt:lpwstr>
  </property>
  <property fmtid="{D5CDD505-2E9C-101B-9397-08002B2CF9AE}" pid="4" name="Last edited using">
    <vt:lpwstr>LW 9.2, Build 20250828</vt:lpwstr>
  </property>
  <property fmtid="{D5CDD505-2E9C-101B-9397-08002B2CF9AE}" pid="5" name="Created using">
    <vt:lpwstr>LW 7.0, Build 20190717</vt:lpwstr>
  </property>
  <property fmtid="{D5CDD505-2E9C-101B-9397-08002B2CF9AE}" pid="6" name="First annex">
    <vt:lpwstr>1</vt:lpwstr>
  </property>
  <property fmtid="{D5CDD505-2E9C-101B-9397-08002B2CF9AE}" pid="7" name="Last annex">
    <vt:lpwstr>1</vt:lpwstr>
  </property>
  <property fmtid="{D5CDD505-2E9C-101B-9397-08002B2CF9AE}" pid="8" name="Unique annex">
    <vt:lpwstr>1</vt:lpwstr>
  </property>
  <property fmtid="{D5CDD505-2E9C-101B-9397-08002B2CF9AE}" pid="9" name="Part">
    <vt:lpwstr>1</vt:lpwstr>
  </property>
  <property fmtid="{D5CDD505-2E9C-101B-9397-08002B2CF9AE}" pid="10" name="Total parts">
    <vt:lpwstr>1</vt:lpwstr>
  </property>
  <property fmtid="{D5CDD505-2E9C-101B-9397-08002B2CF9AE}" pid="11" name="Level of sensitivity">
    <vt:lpwstr>Standard treatment</vt:lpwstr>
  </property>
  <property fmtid="{D5CDD505-2E9C-101B-9397-08002B2CF9AE}" pid="12" name="LWTemplateID">
    <vt:lpwstr>SG-017</vt:lpwstr>
  </property>
  <property fmtid="{D5CDD505-2E9C-101B-9397-08002B2CF9AE}" pid="13" name="MSIP_Label_6bd9ddd1-4d20-43f6-abfa-fc3c07406f94_Enabled">
    <vt:lpwstr>true</vt:lpwstr>
  </property>
  <property fmtid="{D5CDD505-2E9C-101B-9397-08002B2CF9AE}" pid="14" name="MSIP_Label_6bd9ddd1-4d20-43f6-abfa-fc3c07406f94_SetDate">
    <vt:lpwstr>2024-03-13T15:34:49Z</vt:lpwstr>
  </property>
  <property fmtid="{D5CDD505-2E9C-101B-9397-08002B2CF9AE}" pid="15" name="MSIP_Label_6bd9ddd1-4d20-43f6-abfa-fc3c07406f94_Method">
    <vt:lpwstr>Standard</vt:lpwstr>
  </property>
  <property fmtid="{D5CDD505-2E9C-101B-9397-08002B2CF9AE}" pid="16" name="MSIP_Label_6bd9ddd1-4d20-43f6-abfa-fc3c07406f94_Name">
    <vt:lpwstr>Commission Use</vt:lpwstr>
  </property>
  <property fmtid="{D5CDD505-2E9C-101B-9397-08002B2CF9AE}" pid="17" name="MSIP_Label_6bd9ddd1-4d20-43f6-abfa-fc3c07406f94_SiteId">
    <vt:lpwstr>b24c8b06-522c-46fe-9080-70926f8dddb1</vt:lpwstr>
  </property>
  <property fmtid="{D5CDD505-2E9C-101B-9397-08002B2CF9AE}" pid="18" name="MSIP_Label_6bd9ddd1-4d20-43f6-abfa-fc3c07406f94_ActionId">
    <vt:lpwstr>32998302-2dbd-4848-92b7-72fe6a43b772</vt:lpwstr>
  </property>
  <property fmtid="{D5CDD505-2E9C-101B-9397-08002B2CF9AE}" pid="19" name="MSIP_Label_6bd9ddd1-4d20-43f6-abfa-fc3c07406f94_ContentBits">
    <vt:lpwstr>0</vt:lpwstr>
  </property>
  <property fmtid="{D5CDD505-2E9C-101B-9397-08002B2CF9AE}" pid="20" name="DQCStatus">
    <vt:lpwstr>Green (DQC version 03)</vt:lpwstr>
  </property>
</Properties>
</file>