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1DE07" w14:textId="2A009BF3" w:rsidR="00FA089C" w:rsidRPr="00491FCB" w:rsidRDefault="003445D4" w:rsidP="003445D4">
      <w:pPr>
        <w:pStyle w:val="Pagedecouverture"/>
        <w:rPr>
          <w:noProof/>
        </w:rPr>
      </w:pPr>
      <w:r>
        <w:rPr>
          <w:noProof/>
        </w:rPr>
        <w:pict w14:anchorId="6A71C7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B33B8459-0B67-4BC0-93C1-74B48E8EFFF4" style="width:455.25pt;height:409.5pt">
            <v:imagedata r:id="rId8" o:title=""/>
          </v:shape>
        </w:pict>
      </w:r>
    </w:p>
    <w:p w14:paraId="56CF7E12" w14:textId="77777777" w:rsidR="00FA089C" w:rsidRPr="00491FCB" w:rsidRDefault="00FA089C" w:rsidP="00FA089C">
      <w:pPr>
        <w:rPr>
          <w:noProof/>
        </w:rPr>
        <w:sectPr w:rsidR="00FA089C" w:rsidRPr="00491FCB" w:rsidSect="003445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1246170" w14:textId="77777777" w:rsidR="00FA089C" w:rsidRPr="00491FCB" w:rsidRDefault="00FA089C" w:rsidP="00FA089C">
      <w:pPr>
        <w:pStyle w:val="Annexetitre"/>
        <w:rPr>
          <w:noProof/>
        </w:rPr>
      </w:pPr>
      <w:bookmarkStart w:id="0" w:name="_GoBack"/>
      <w:bookmarkEnd w:id="0"/>
      <w:r w:rsidRPr="00491FCB">
        <w:rPr>
          <w:noProof/>
        </w:rPr>
        <w:lastRenderedPageBreak/>
        <w:t xml:space="preserve">ANEXĂ </w:t>
      </w:r>
    </w:p>
    <w:p w14:paraId="1BBAEAEB" w14:textId="77777777" w:rsidR="00BB37E9" w:rsidRPr="00491FCB" w:rsidRDefault="004529A0" w:rsidP="00BB37E9">
      <w:pPr>
        <w:pStyle w:val="Body"/>
        <w:spacing w:before="360" w:after="0"/>
        <w:jc w:val="center"/>
        <w:rPr>
          <w:b/>
          <w:bCs/>
          <w:noProof/>
        </w:rPr>
      </w:pPr>
      <w:r w:rsidRPr="00491FCB">
        <w:rPr>
          <w:b/>
          <w:noProof/>
        </w:rPr>
        <w:t>PROIECT DE DECIZIE A COMITETULUI MIXT AL SEE</w:t>
      </w:r>
    </w:p>
    <w:p w14:paraId="45E08199" w14:textId="77777777" w:rsidR="006A4E0F" w:rsidRPr="00491FCB" w:rsidRDefault="006A4E0F" w:rsidP="006A4E0F">
      <w:pPr>
        <w:spacing w:after="0"/>
        <w:jc w:val="center"/>
        <w:rPr>
          <w:b/>
          <w:noProof/>
          <w:color w:val="0000FF"/>
          <w:szCs w:val="24"/>
        </w:rPr>
      </w:pPr>
      <w:r w:rsidRPr="00491FCB">
        <w:rPr>
          <w:b/>
          <w:noProof/>
        </w:rPr>
        <w:t xml:space="preserve">NR. </w:t>
      </w:r>
      <w:r w:rsidRPr="00491FCB">
        <w:rPr>
          <w:b/>
          <w:noProof/>
          <w:color w:val="0000FF"/>
        </w:rPr>
        <w:t>[…]</w:t>
      </w:r>
    </w:p>
    <w:p w14:paraId="50D8A818" w14:textId="77777777" w:rsidR="006A4E0F" w:rsidRPr="00491FCB" w:rsidRDefault="006A4E0F" w:rsidP="006A4E0F">
      <w:pPr>
        <w:spacing w:before="360" w:after="0"/>
        <w:jc w:val="center"/>
        <w:rPr>
          <w:b/>
          <w:noProof/>
          <w:color w:val="0000FF"/>
          <w:szCs w:val="24"/>
        </w:rPr>
      </w:pPr>
      <w:r w:rsidRPr="00491FCB">
        <w:rPr>
          <w:b/>
          <w:noProof/>
          <w:color w:val="000000" w:themeColor="text1"/>
        </w:rPr>
        <w:t xml:space="preserve">din </w:t>
      </w:r>
      <w:r w:rsidRPr="00491FCB">
        <w:rPr>
          <w:b/>
          <w:noProof/>
          <w:color w:val="0000FF"/>
        </w:rPr>
        <w:t>[…]</w:t>
      </w:r>
    </w:p>
    <w:p w14:paraId="22B56E92" w14:textId="77777777" w:rsidR="006A4E0F" w:rsidRPr="00491FCB" w:rsidRDefault="006A4E0F" w:rsidP="006A4E0F">
      <w:pPr>
        <w:spacing w:before="360" w:after="360"/>
        <w:jc w:val="center"/>
        <w:rPr>
          <w:rFonts w:ascii="Times New Roman Bold" w:hAnsi="Times New Roman Bold"/>
          <w:b/>
          <w:noProof/>
          <w:color w:val="000000" w:themeColor="text1"/>
          <w:szCs w:val="24"/>
        </w:rPr>
      </w:pPr>
      <w:r w:rsidRPr="00491FCB">
        <w:rPr>
          <w:rFonts w:ascii="Times New Roman Bold" w:hAnsi="Times New Roman Bold"/>
          <w:b/>
          <w:noProof/>
          <w:color w:val="000000" w:themeColor="text1"/>
        </w:rPr>
        <w:t>de modificare a Protocolului 31 privind cooperarea în domenii specifice în afara celor patru libertăți, anexat la Acordul privind SEE</w:t>
      </w:r>
    </w:p>
    <w:p w14:paraId="255FA651" w14:textId="77777777" w:rsidR="006A4E0F" w:rsidRPr="00491FCB" w:rsidRDefault="006A4E0F" w:rsidP="006A4E0F">
      <w:pPr>
        <w:spacing w:before="600"/>
        <w:rPr>
          <w:noProof/>
          <w:color w:val="000000" w:themeColor="text1"/>
          <w:szCs w:val="24"/>
        </w:rPr>
      </w:pPr>
      <w:r w:rsidRPr="00491FCB">
        <w:rPr>
          <w:noProof/>
          <w:color w:val="000000" w:themeColor="text1"/>
        </w:rPr>
        <w:t>COMITETUL MIXT AL SEE,</w:t>
      </w:r>
    </w:p>
    <w:p w14:paraId="617C2BA5" w14:textId="77777777" w:rsidR="006A4E0F" w:rsidRPr="00491FCB" w:rsidRDefault="006A4E0F" w:rsidP="006A4E0F">
      <w:pPr>
        <w:rPr>
          <w:noProof/>
          <w:color w:val="000000" w:themeColor="text1"/>
          <w:szCs w:val="24"/>
        </w:rPr>
      </w:pPr>
      <w:r w:rsidRPr="00491FCB">
        <w:rPr>
          <w:noProof/>
          <w:color w:val="000000" w:themeColor="text1"/>
        </w:rPr>
        <w:t>având în vedere Acordul privind Spațiul Economic European („Acordul privind SEE”), în special articolele 86 și 98,</w:t>
      </w:r>
    </w:p>
    <w:p w14:paraId="73A337F3" w14:textId="77777777" w:rsidR="006A4E0F" w:rsidRPr="00491FCB" w:rsidRDefault="006A4E0F" w:rsidP="006A4E0F">
      <w:pPr>
        <w:rPr>
          <w:noProof/>
          <w:color w:val="000000" w:themeColor="text1"/>
          <w:szCs w:val="24"/>
        </w:rPr>
      </w:pPr>
      <w:r w:rsidRPr="00491FCB">
        <w:rPr>
          <w:noProof/>
          <w:color w:val="000000" w:themeColor="text1"/>
        </w:rPr>
        <w:t>întrucât:</w:t>
      </w:r>
    </w:p>
    <w:p w14:paraId="57A64B67" w14:textId="40278B1E" w:rsidR="006A4E0F" w:rsidRPr="00491FCB" w:rsidRDefault="006A4E0F" w:rsidP="001C65F6">
      <w:pPr>
        <w:pStyle w:val="Point0number"/>
        <w:numPr>
          <w:ilvl w:val="0"/>
          <w:numId w:val="13"/>
        </w:numPr>
        <w:rPr>
          <w:noProof/>
          <w:szCs w:val="24"/>
        </w:rPr>
      </w:pPr>
      <w:r w:rsidRPr="00491FCB">
        <w:rPr>
          <w:noProof/>
        </w:rPr>
        <w:t>Este oportun să se continue cooperarea dintre părțile contractante la Acordul privind SEE în cadrul acțiunilor Uniunii finanțate din bugetul general al Uniunii privind libera circulație a lucrătorilor, coordonarea sistemelor de securitate socială și măsurile în favoarea migranților, inclusiv a migranților din țări terțe.</w:t>
      </w:r>
    </w:p>
    <w:p w14:paraId="21A79E70" w14:textId="27C2F3FB" w:rsidR="006A4E0F" w:rsidRPr="00491FCB" w:rsidRDefault="006A4E0F" w:rsidP="002064C4">
      <w:pPr>
        <w:pStyle w:val="Point0number"/>
        <w:rPr>
          <w:noProof/>
          <w:color w:val="000000" w:themeColor="text1"/>
          <w:szCs w:val="24"/>
        </w:rPr>
      </w:pPr>
      <w:r w:rsidRPr="00491FCB">
        <w:rPr>
          <w:noProof/>
        </w:rPr>
        <w:t>Prin urmare, Protocolul 31 la Acordul privind SEE ar trebui modificat pentru ca această cooperare extinsă să poată avea loc începând cu 1 ianuarie 2026,</w:t>
      </w:r>
    </w:p>
    <w:p w14:paraId="3675F75E" w14:textId="77777777" w:rsidR="006A4E0F" w:rsidRPr="00491FCB" w:rsidRDefault="006A4E0F" w:rsidP="006A4E0F">
      <w:pPr>
        <w:keepNext/>
        <w:tabs>
          <w:tab w:val="left" w:pos="709"/>
        </w:tabs>
        <w:rPr>
          <w:noProof/>
          <w:color w:val="000000" w:themeColor="text1"/>
          <w:szCs w:val="24"/>
        </w:rPr>
      </w:pPr>
      <w:r w:rsidRPr="00491FCB">
        <w:rPr>
          <w:noProof/>
          <w:color w:val="000000" w:themeColor="text1"/>
        </w:rPr>
        <w:t>ADOPTĂ PREZENTA DECIZIE:</w:t>
      </w:r>
    </w:p>
    <w:p w14:paraId="669FB254" w14:textId="77777777" w:rsidR="006A4E0F" w:rsidRPr="00491FCB" w:rsidRDefault="006A4E0F" w:rsidP="006A4E0F">
      <w:pPr>
        <w:pStyle w:val="Articleheading"/>
        <w:rPr>
          <w:noProof/>
        </w:rPr>
      </w:pPr>
      <w:r w:rsidRPr="00491FCB">
        <w:rPr>
          <w:noProof/>
        </w:rPr>
        <w:t>Articolul 1</w:t>
      </w:r>
    </w:p>
    <w:p w14:paraId="178930E9" w14:textId="3850C4B7" w:rsidR="006A4E0F" w:rsidRPr="00491FCB" w:rsidRDefault="006A4E0F" w:rsidP="006A4E0F">
      <w:pPr>
        <w:tabs>
          <w:tab w:val="left" w:pos="709"/>
        </w:tabs>
        <w:rPr>
          <w:noProof/>
          <w:color w:val="000000" w:themeColor="text1"/>
          <w:szCs w:val="24"/>
        </w:rPr>
      </w:pPr>
      <w:r w:rsidRPr="00491FCB">
        <w:rPr>
          <w:noProof/>
          <w:color w:val="000000" w:themeColor="text1"/>
        </w:rPr>
        <w:t>La articolul 5 alineatele (5) și (14) din Protocolul 31 la Acordul privind SEE, cuvintele „exercițiile financiare 2021, 2022, 2023, 2024 și 2025” se înlocuiesc cu cuvintele „exercițiile financiare 2021, 2022, 2023, 2024</w:t>
      </w:r>
      <w:r w:rsidR="004A5A64">
        <w:rPr>
          <w:noProof/>
          <w:color w:val="000000" w:themeColor="text1"/>
        </w:rPr>
        <w:t>,</w:t>
      </w:r>
      <w:r w:rsidRPr="00491FCB">
        <w:rPr>
          <w:noProof/>
          <w:color w:val="000000" w:themeColor="text1"/>
        </w:rPr>
        <w:t xml:space="preserve"> 2025, 2026 și 2027”.</w:t>
      </w:r>
    </w:p>
    <w:p w14:paraId="05261FCF" w14:textId="77777777" w:rsidR="006A4E0F" w:rsidRPr="00491FCB" w:rsidRDefault="006A4E0F" w:rsidP="006A4E0F">
      <w:pPr>
        <w:pStyle w:val="Articleheading"/>
        <w:rPr>
          <w:noProof/>
        </w:rPr>
      </w:pPr>
      <w:r w:rsidRPr="00491FCB">
        <w:rPr>
          <w:noProof/>
        </w:rPr>
        <w:t>Articolul 2</w:t>
      </w:r>
    </w:p>
    <w:p w14:paraId="229EEE6A" w14:textId="704ED9BD" w:rsidR="006A4E0F" w:rsidRPr="00491FCB" w:rsidRDefault="006A4E0F" w:rsidP="004C60DE">
      <w:pPr>
        <w:tabs>
          <w:tab w:val="left" w:pos="709"/>
        </w:tabs>
        <w:rPr>
          <w:noProof/>
        </w:rPr>
      </w:pPr>
      <w:r w:rsidRPr="00491FCB">
        <w:rPr>
          <w:noProof/>
        </w:rPr>
        <w:t>Prezenta decizie intră în vigoare în ziua următoare datei la care s-a efectuat ultima notificare prevăzută la articolul 103 alineatul (1) din Acordul privind SEE</w:t>
      </w:r>
      <w:r w:rsidRPr="00491FCB">
        <w:rPr>
          <w:rStyle w:val="FootnoteReference"/>
          <w:b/>
          <w:noProof/>
        </w:rPr>
        <w:footnoteReference w:customMarkFollows="1" w:id="1"/>
        <w:sym w:font="Symbol" w:char="F02A"/>
      </w:r>
      <w:r w:rsidRPr="00491FCB">
        <w:rPr>
          <w:noProof/>
        </w:rPr>
        <w:t>.</w:t>
      </w:r>
    </w:p>
    <w:p w14:paraId="462D2469" w14:textId="3C23C239" w:rsidR="006A4E0F" w:rsidRPr="00491FCB" w:rsidRDefault="006A4E0F" w:rsidP="006A4E0F">
      <w:pPr>
        <w:pStyle w:val="Articletext"/>
        <w:rPr>
          <w:noProof/>
        </w:rPr>
      </w:pPr>
      <w:r w:rsidRPr="00491FCB">
        <w:rPr>
          <w:noProof/>
        </w:rPr>
        <w:t>Aceasta se aplică de la 1 ianuarie 2026.</w:t>
      </w:r>
    </w:p>
    <w:p w14:paraId="4CDAAA0F" w14:textId="77777777" w:rsidR="006A4E0F" w:rsidRPr="00491FCB" w:rsidRDefault="006A4E0F" w:rsidP="006A4E0F">
      <w:pPr>
        <w:pStyle w:val="Articleheading"/>
        <w:rPr>
          <w:noProof/>
        </w:rPr>
      </w:pPr>
      <w:r w:rsidRPr="00491FCB">
        <w:rPr>
          <w:noProof/>
        </w:rPr>
        <w:t>Articolul 3</w:t>
      </w:r>
    </w:p>
    <w:p w14:paraId="7BBADA16" w14:textId="77777777" w:rsidR="006A4E0F" w:rsidRPr="00491FCB" w:rsidRDefault="006A4E0F" w:rsidP="006A4E0F">
      <w:pPr>
        <w:pStyle w:val="Articletext"/>
        <w:rPr>
          <w:noProof/>
        </w:rPr>
      </w:pPr>
      <w:r w:rsidRPr="00491FCB">
        <w:rPr>
          <w:noProof/>
        </w:rPr>
        <w:t xml:space="preserve">Prezenta decizie se publică în secțiunea SEE și în suplimentul SEE ale </w:t>
      </w:r>
      <w:r w:rsidRPr="00491FCB">
        <w:rPr>
          <w:i/>
          <w:noProof/>
        </w:rPr>
        <w:t>Jurnalului Oficial al Uniunii Europene</w:t>
      </w:r>
      <w:r w:rsidRPr="00491FCB">
        <w:rPr>
          <w:noProof/>
        </w:rPr>
        <w:t>.</w:t>
      </w:r>
    </w:p>
    <w:p w14:paraId="4A4D79A0" w14:textId="09A91961" w:rsidR="006A4E0F" w:rsidRPr="00491FCB" w:rsidRDefault="006A4E0F" w:rsidP="004A5A64">
      <w:pPr>
        <w:pageBreakBefore/>
        <w:rPr>
          <w:noProof/>
          <w:szCs w:val="24"/>
        </w:rPr>
      </w:pPr>
      <w:r w:rsidRPr="00491FCB">
        <w:rPr>
          <w:noProof/>
        </w:rPr>
        <w:t>Adoptată la Bruxelles, .</w:t>
      </w:r>
    </w:p>
    <w:p w14:paraId="193FBDE1" w14:textId="77777777" w:rsidR="006A4E0F" w:rsidRPr="00491FCB" w:rsidRDefault="006A4E0F" w:rsidP="006A4E0F">
      <w:pPr>
        <w:tabs>
          <w:tab w:val="left" w:pos="4253"/>
        </w:tabs>
        <w:spacing w:after="0"/>
        <w:rPr>
          <w:i/>
          <w:noProof/>
          <w:szCs w:val="24"/>
        </w:rPr>
      </w:pPr>
      <w:r w:rsidRPr="00491FCB">
        <w:rPr>
          <w:noProof/>
        </w:rPr>
        <w:tab/>
      </w:r>
      <w:r w:rsidRPr="00491FCB">
        <w:rPr>
          <w:i/>
          <w:noProof/>
        </w:rPr>
        <w:t>Pentru Comitetul mixt al SEE</w:t>
      </w:r>
    </w:p>
    <w:p w14:paraId="3D64108B" w14:textId="77777777" w:rsidR="006A4E0F" w:rsidRPr="00491FCB" w:rsidRDefault="006A4E0F" w:rsidP="006A4E0F">
      <w:pPr>
        <w:tabs>
          <w:tab w:val="left" w:pos="4253"/>
        </w:tabs>
        <w:spacing w:after="0"/>
        <w:rPr>
          <w:i/>
          <w:noProof/>
          <w:szCs w:val="24"/>
        </w:rPr>
      </w:pPr>
      <w:r w:rsidRPr="00491FCB">
        <w:rPr>
          <w:noProof/>
        </w:rPr>
        <w:tab/>
      </w:r>
      <w:r w:rsidRPr="00491FCB">
        <w:rPr>
          <w:i/>
          <w:noProof/>
        </w:rPr>
        <w:t>Președintele</w:t>
      </w:r>
    </w:p>
    <w:p w14:paraId="42DB79FD" w14:textId="373F65A6" w:rsidR="006A4E0F" w:rsidRPr="00491FCB" w:rsidRDefault="006A4E0F" w:rsidP="006A4E0F">
      <w:pPr>
        <w:tabs>
          <w:tab w:val="left" w:pos="4253"/>
        </w:tabs>
        <w:spacing w:after="0"/>
        <w:rPr>
          <w:i/>
          <w:noProof/>
        </w:rPr>
      </w:pPr>
      <w:r w:rsidRPr="00491FCB">
        <w:rPr>
          <w:noProof/>
        </w:rPr>
        <w:tab/>
      </w:r>
    </w:p>
    <w:p w14:paraId="78E3C269" w14:textId="77777777" w:rsidR="006A4E0F" w:rsidRPr="00491FCB" w:rsidRDefault="006A4E0F" w:rsidP="006A4E0F">
      <w:pPr>
        <w:tabs>
          <w:tab w:val="left" w:pos="4253"/>
        </w:tabs>
        <w:spacing w:after="0"/>
        <w:rPr>
          <w:i/>
          <w:noProof/>
        </w:rPr>
      </w:pPr>
    </w:p>
    <w:p w14:paraId="54A63EBD" w14:textId="77777777" w:rsidR="006A4E0F" w:rsidRPr="00491FCB" w:rsidRDefault="006A4E0F" w:rsidP="006A4E0F">
      <w:pPr>
        <w:tabs>
          <w:tab w:val="left" w:pos="4253"/>
        </w:tabs>
        <w:spacing w:after="0"/>
        <w:rPr>
          <w:i/>
          <w:noProof/>
        </w:rPr>
      </w:pPr>
    </w:p>
    <w:p w14:paraId="08C1B799" w14:textId="77777777" w:rsidR="006A4E0F" w:rsidRPr="00491FCB" w:rsidRDefault="006A4E0F" w:rsidP="006A4E0F">
      <w:pPr>
        <w:tabs>
          <w:tab w:val="left" w:pos="4253"/>
        </w:tabs>
        <w:spacing w:after="0"/>
        <w:rPr>
          <w:i/>
          <w:iCs/>
          <w:noProof/>
        </w:rPr>
      </w:pPr>
      <w:r w:rsidRPr="00491FCB">
        <w:rPr>
          <w:noProof/>
        </w:rPr>
        <w:tab/>
      </w:r>
      <w:r w:rsidRPr="00491FCB">
        <w:rPr>
          <w:i/>
          <w:noProof/>
        </w:rPr>
        <w:t>Secretarii</w:t>
      </w:r>
    </w:p>
    <w:p w14:paraId="0AAD2162" w14:textId="77777777" w:rsidR="006A4E0F" w:rsidRPr="00491FCB" w:rsidRDefault="006A4E0F" w:rsidP="006A4E0F">
      <w:pPr>
        <w:tabs>
          <w:tab w:val="left" w:pos="4253"/>
        </w:tabs>
        <w:spacing w:after="0"/>
        <w:rPr>
          <w:i/>
          <w:iCs/>
          <w:noProof/>
        </w:rPr>
      </w:pPr>
      <w:r w:rsidRPr="00491FCB">
        <w:rPr>
          <w:noProof/>
        </w:rPr>
        <w:tab/>
      </w:r>
      <w:r w:rsidRPr="00491FCB">
        <w:rPr>
          <w:i/>
          <w:noProof/>
        </w:rPr>
        <w:t>Comitetului mixt al SEE</w:t>
      </w:r>
    </w:p>
    <w:p w14:paraId="2EE653F1" w14:textId="162B5FC0" w:rsidR="006A4E0F" w:rsidRPr="00491FCB" w:rsidRDefault="006A4E0F" w:rsidP="006A4E0F">
      <w:pPr>
        <w:tabs>
          <w:tab w:val="left" w:pos="4253"/>
        </w:tabs>
        <w:spacing w:after="0"/>
        <w:rPr>
          <w:i/>
          <w:noProof/>
        </w:rPr>
      </w:pPr>
      <w:r w:rsidRPr="00491FCB">
        <w:rPr>
          <w:noProof/>
        </w:rPr>
        <w:tab/>
      </w:r>
    </w:p>
    <w:p w14:paraId="72D63745" w14:textId="77777777" w:rsidR="006A4E0F" w:rsidRPr="00491FCB" w:rsidRDefault="006A4E0F" w:rsidP="00BB37E9">
      <w:pPr>
        <w:pStyle w:val="Body"/>
        <w:spacing w:before="360" w:after="0"/>
        <w:jc w:val="center"/>
        <w:rPr>
          <w:b/>
          <w:bCs/>
          <w:noProof/>
        </w:rPr>
      </w:pPr>
    </w:p>
    <w:p w14:paraId="40093843" w14:textId="77777777" w:rsidR="006A4E0F" w:rsidRPr="00491FCB" w:rsidRDefault="006A4E0F" w:rsidP="00BB37E9">
      <w:pPr>
        <w:pStyle w:val="Body"/>
        <w:spacing w:before="360" w:after="0"/>
        <w:jc w:val="center"/>
        <w:rPr>
          <w:b/>
          <w:bCs/>
          <w:noProof/>
        </w:rPr>
      </w:pPr>
    </w:p>
    <w:p w14:paraId="4AF2558C" w14:textId="77777777" w:rsidR="00572D10" w:rsidRPr="00491FCB" w:rsidRDefault="00572D10" w:rsidP="00572D10">
      <w:pPr>
        <w:rPr>
          <w:noProof/>
        </w:rPr>
      </w:pPr>
    </w:p>
    <w:p w14:paraId="4DC8A98F" w14:textId="77777777" w:rsidR="00572D10" w:rsidRPr="00491FCB" w:rsidRDefault="00572D10" w:rsidP="00572D10">
      <w:pPr>
        <w:pStyle w:val="Point4b"/>
        <w:rPr>
          <w:noProof/>
        </w:rPr>
      </w:pPr>
    </w:p>
    <w:p w14:paraId="261DBAA7" w14:textId="77777777" w:rsidR="00572D10" w:rsidRPr="00491FCB" w:rsidRDefault="00572D10" w:rsidP="00572D10">
      <w:pPr>
        <w:rPr>
          <w:noProof/>
        </w:rPr>
      </w:pPr>
    </w:p>
    <w:p w14:paraId="6064492C" w14:textId="77777777" w:rsidR="00572D10" w:rsidRPr="00491FCB" w:rsidRDefault="00572D10" w:rsidP="00BB37E9">
      <w:pPr>
        <w:pStyle w:val="Body"/>
        <w:spacing w:before="360" w:after="0"/>
        <w:jc w:val="center"/>
        <w:rPr>
          <w:b/>
          <w:bCs/>
          <w:noProof/>
        </w:rPr>
      </w:pPr>
      <w:bookmarkStart w:id="1" w:name="_InMacro_"/>
      <w:bookmarkEnd w:id="1"/>
    </w:p>
    <w:sectPr w:rsidR="00572D10" w:rsidRPr="00491FCB" w:rsidSect="003445D4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B8BF1" w14:textId="77777777" w:rsidR="00FA089C" w:rsidRDefault="00FA089C" w:rsidP="00FA089C">
      <w:pPr>
        <w:spacing w:before="0" w:after="0"/>
      </w:pPr>
      <w:r>
        <w:separator/>
      </w:r>
    </w:p>
  </w:endnote>
  <w:endnote w:type="continuationSeparator" w:id="0">
    <w:p w14:paraId="538CC0A2" w14:textId="77777777" w:rsidR="00FA089C" w:rsidRDefault="00FA089C" w:rsidP="00FA08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63984" w14:textId="1FD67E62" w:rsidR="003445D4" w:rsidRPr="003445D4" w:rsidRDefault="003445D4" w:rsidP="003445D4">
    <w:pPr>
      <w:pStyle w:val="Footer"/>
      <w:rPr>
        <w:rFonts w:ascii="Arial" w:hAnsi="Arial" w:cs="Arial"/>
        <w:b/>
        <w:sz w:val="48"/>
      </w:rPr>
    </w:pPr>
    <w:r w:rsidRPr="003445D4">
      <w:rPr>
        <w:rFonts w:ascii="Arial" w:hAnsi="Arial" w:cs="Arial"/>
        <w:b/>
        <w:sz w:val="48"/>
      </w:rPr>
      <w:t>RO</w:t>
    </w:r>
    <w:r w:rsidRPr="003445D4">
      <w:rPr>
        <w:rFonts w:ascii="Arial" w:hAnsi="Arial" w:cs="Arial"/>
        <w:b/>
        <w:sz w:val="48"/>
      </w:rPr>
      <w:tab/>
    </w:r>
    <w:r w:rsidRPr="003445D4">
      <w:rPr>
        <w:rFonts w:ascii="Arial" w:hAnsi="Arial" w:cs="Arial"/>
        <w:b/>
        <w:sz w:val="48"/>
      </w:rPr>
      <w:tab/>
    </w:r>
    <w:r w:rsidRPr="003445D4">
      <w:tab/>
    </w:r>
    <w:r w:rsidRPr="003445D4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00437" w14:textId="7CFC6D8F" w:rsidR="003445D4" w:rsidRPr="003445D4" w:rsidRDefault="003445D4" w:rsidP="003445D4">
    <w:pPr>
      <w:pStyle w:val="Footer"/>
      <w:rPr>
        <w:rFonts w:ascii="Arial" w:hAnsi="Arial" w:cs="Arial"/>
        <w:b/>
        <w:sz w:val="48"/>
      </w:rPr>
    </w:pPr>
    <w:r w:rsidRPr="003445D4">
      <w:rPr>
        <w:rFonts w:ascii="Arial" w:hAnsi="Arial" w:cs="Arial"/>
        <w:b/>
        <w:sz w:val="48"/>
      </w:rPr>
      <w:t>RO</w:t>
    </w:r>
    <w:r w:rsidRPr="003445D4">
      <w:rPr>
        <w:rFonts w:ascii="Arial" w:hAnsi="Arial" w:cs="Arial"/>
        <w:b/>
        <w:sz w:val="48"/>
      </w:rPr>
      <w:tab/>
    </w:r>
    <w:r w:rsidRPr="003445D4">
      <w:rPr>
        <w:rFonts w:ascii="Arial" w:hAnsi="Arial" w:cs="Arial"/>
        <w:b/>
        <w:sz w:val="48"/>
      </w:rPr>
      <w:tab/>
    </w:r>
    <w:r w:rsidRPr="003445D4">
      <w:tab/>
    </w:r>
    <w:r w:rsidRPr="003445D4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E9D4C" w14:textId="77777777" w:rsidR="003445D4" w:rsidRPr="003445D4" w:rsidRDefault="003445D4" w:rsidP="003445D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629F3" w14:textId="77777777" w:rsidR="003445D4" w:rsidRDefault="003445D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CE2F0" w14:textId="7002A36E" w:rsidR="003445D4" w:rsidRPr="003445D4" w:rsidRDefault="003445D4" w:rsidP="003445D4">
    <w:pPr>
      <w:pStyle w:val="Footer"/>
      <w:rPr>
        <w:rFonts w:ascii="Arial" w:hAnsi="Arial" w:cs="Arial"/>
        <w:b/>
        <w:sz w:val="48"/>
      </w:rPr>
    </w:pPr>
    <w:r w:rsidRPr="003445D4">
      <w:rPr>
        <w:rFonts w:ascii="Arial" w:hAnsi="Arial" w:cs="Arial"/>
        <w:b/>
        <w:sz w:val="48"/>
      </w:rPr>
      <w:t>RO</w:t>
    </w:r>
    <w:r w:rsidRPr="003445D4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B46CA4">
      <w:rPr>
        <w:noProof/>
      </w:rPr>
      <w:t>2</w:t>
    </w:r>
    <w:r>
      <w:fldChar w:fldCharType="end"/>
    </w:r>
    <w:r>
      <w:tab/>
    </w:r>
    <w:r w:rsidRPr="003445D4">
      <w:tab/>
    </w:r>
    <w:r w:rsidRPr="003445D4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3414B" w14:textId="77777777" w:rsidR="003445D4" w:rsidRDefault="003445D4" w:rsidP="00344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CE6AA" w14:textId="77777777" w:rsidR="00FA089C" w:rsidRDefault="00FA089C" w:rsidP="00FA089C">
      <w:pPr>
        <w:spacing w:before="0" w:after="0"/>
      </w:pPr>
      <w:r>
        <w:separator/>
      </w:r>
    </w:p>
  </w:footnote>
  <w:footnote w:type="continuationSeparator" w:id="0">
    <w:p w14:paraId="31BCFAA6" w14:textId="77777777" w:rsidR="00FA089C" w:rsidRDefault="00FA089C" w:rsidP="00FA089C">
      <w:pPr>
        <w:spacing w:before="0" w:after="0"/>
      </w:pPr>
      <w:r>
        <w:continuationSeparator/>
      </w:r>
    </w:p>
  </w:footnote>
  <w:footnote w:id="1">
    <w:p w14:paraId="552F05E3" w14:textId="77777777" w:rsidR="006A4E0F" w:rsidRPr="00491FCB" w:rsidRDefault="006A4E0F" w:rsidP="006A4E0F">
      <w:pPr>
        <w:pStyle w:val="FootnoteText"/>
        <w:rPr>
          <w:lang w:val="fr-BE"/>
        </w:rPr>
      </w:pPr>
      <w:r>
        <w:rPr>
          <w:rStyle w:val="FootnoteReference"/>
        </w:rPr>
        <w:sym w:font="Symbol" w:char="F02A"/>
      </w:r>
      <w:r w:rsidRPr="00491FCB">
        <w:rPr>
          <w:lang w:val="fr-BE"/>
        </w:rPr>
        <w:tab/>
        <w:t>[Nu au fost semnalate obligații constituționale.] [Au fost semnalate obligații constituționale.]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8550E" w14:textId="77777777" w:rsidR="003445D4" w:rsidRPr="003445D4" w:rsidRDefault="003445D4" w:rsidP="003445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EDCB2" w14:textId="77777777" w:rsidR="003445D4" w:rsidRPr="003445D4" w:rsidRDefault="003445D4" w:rsidP="003445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637C6" w14:textId="77777777" w:rsidR="003445D4" w:rsidRPr="003445D4" w:rsidRDefault="003445D4" w:rsidP="003445D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D01D9" w14:textId="77777777" w:rsidR="003445D4" w:rsidRDefault="003445D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EE597" w14:textId="77777777" w:rsidR="003445D4" w:rsidRDefault="003445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04821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3EE2F7B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321E28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D8AE4D9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4D6D6A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B44C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A70C6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81A2A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8317848"/>
    <w:multiLevelType w:val="hybridMultilevel"/>
    <w:tmpl w:val="4F1C422C"/>
    <w:styleLink w:val="ImportedStyle5"/>
    <w:lvl w:ilvl="0" w:tplc="EC5AFA20">
      <w:start w:val="1"/>
      <w:numFmt w:val="lowerRoman"/>
      <w:lvlText w:val="(%1)"/>
      <w:lvlJc w:val="left"/>
      <w:pPr>
        <w:tabs>
          <w:tab w:val="left" w:pos="4253"/>
        </w:tabs>
        <w:ind w:left="1429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8343C">
      <w:start w:val="1"/>
      <w:numFmt w:val="lowerLetter"/>
      <w:lvlText w:val="%2."/>
      <w:lvlJc w:val="left"/>
      <w:pPr>
        <w:tabs>
          <w:tab w:val="left" w:pos="4253"/>
        </w:tabs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EC5040">
      <w:start w:val="1"/>
      <w:numFmt w:val="lowerRoman"/>
      <w:lvlText w:val="%3."/>
      <w:lvlJc w:val="left"/>
      <w:pPr>
        <w:tabs>
          <w:tab w:val="left" w:pos="4253"/>
        </w:tabs>
        <w:ind w:left="250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06782A">
      <w:start w:val="1"/>
      <w:numFmt w:val="decimal"/>
      <w:lvlText w:val="%4."/>
      <w:lvlJc w:val="left"/>
      <w:pPr>
        <w:tabs>
          <w:tab w:val="left" w:pos="4253"/>
        </w:tabs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64606E">
      <w:start w:val="1"/>
      <w:numFmt w:val="lowerLetter"/>
      <w:lvlText w:val="%5."/>
      <w:lvlJc w:val="left"/>
      <w:pPr>
        <w:tabs>
          <w:tab w:val="left" w:pos="4253"/>
        </w:tabs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2C608E">
      <w:start w:val="1"/>
      <w:numFmt w:val="lowerRoman"/>
      <w:lvlText w:val="%6."/>
      <w:lvlJc w:val="left"/>
      <w:pPr>
        <w:tabs>
          <w:tab w:val="left" w:pos="4253"/>
        </w:tabs>
        <w:ind w:left="466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140508">
      <w:start w:val="1"/>
      <w:numFmt w:val="decimal"/>
      <w:lvlText w:val="%7."/>
      <w:lvlJc w:val="left"/>
      <w:pPr>
        <w:tabs>
          <w:tab w:val="left" w:pos="4253"/>
        </w:tabs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ECC0AC">
      <w:start w:val="1"/>
      <w:numFmt w:val="lowerLetter"/>
      <w:lvlText w:val="%8."/>
      <w:lvlJc w:val="left"/>
      <w:pPr>
        <w:tabs>
          <w:tab w:val="left" w:pos="4253"/>
        </w:tabs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708CAC">
      <w:start w:val="1"/>
      <w:numFmt w:val="lowerRoman"/>
      <w:lvlText w:val="%9."/>
      <w:lvlJc w:val="left"/>
      <w:pPr>
        <w:tabs>
          <w:tab w:val="left" w:pos="4253"/>
        </w:tabs>
        <w:ind w:left="682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96A54C1"/>
    <w:multiLevelType w:val="hybridMultilevel"/>
    <w:tmpl w:val="92CE67CA"/>
    <w:styleLink w:val="ImportedStyle2"/>
    <w:lvl w:ilvl="0" w:tplc="250EEA4C">
      <w:start w:val="1"/>
      <w:numFmt w:val="decimal"/>
      <w:lvlText w:val="(%1)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CCA95A">
      <w:start w:val="1"/>
      <w:numFmt w:val="lowerLetter"/>
      <w:lvlText w:val="%2."/>
      <w:lvlJc w:val="left"/>
      <w:pPr>
        <w:tabs>
          <w:tab w:val="left" w:pos="709"/>
        </w:tabs>
        <w:ind w:left="142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B44E02">
      <w:start w:val="1"/>
      <w:numFmt w:val="lowerRoman"/>
      <w:lvlText w:val="%3."/>
      <w:lvlJc w:val="left"/>
      <w:pPr>
        <w:tabs>
          <w:tab w:val="left" w:pos="709"/>
        </w:tabs>
        <w:ind w:left="2149" w:hanging="6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CA95AE">
      <w:start w:val="1"/>
      <w:numFmt w:val="decimal"/>
      <w:lvlText w:val="%4."/>
      <w:lvlJc w:val="left"/>
      <w:pPr>
        <w:tabs>
          <w:tab w:val="left" w:pos="709"/>
        </w:tabs>
        <w:ind w:left="286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E2A348">
      <w:start w:val="1"/>
      <w:numFmt w:val="lowerLetter"/>
      <w:lvlText w:val="%5."/>
      <w:lvlJc w:val="left"/>
      <w:pPr>
        <w:tabs>
          <w:tab w:val="left" w:pos="709"/>
        </w:tabs>
        <w:ind w:left="358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94ADAA">
      <w:start w:val="1"/>
      <w:numFmt w:val="lowerRoman"/>
      <w:lvlText w:val="%6."/>
      <w:lvlJc w:val="left"/>
      <w:pPr>
        <w:tabs>
          <w:tab w:val="left" w:pos="709"/>
        </w:tabs>
        <w:ind w:left="4309" w:hanging="6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A3974">
      <w:start w:val="1"/>
      <w:numFmt w:val="decimal"/>
      <w:lvlText w:val="%7."/>
      <w:lvlJc w:val="left"/>
      <w:pPr>
        <w:tabs>
          <w:tab w:val="left" w:pos="709"/>
        </w:tabs>
        <w:ind w:left="502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8CF956">
      <w:start w:val="1"/>
      <w:numFmt w:val="lowerLetter"/>
      <w:lvlText w:val="%8."/>
      <w:lvlJc w:val="left"/>
      <w:pPr>
        <w:tabs>
          <w:tab w:val="left" w:pos="709"/>
        </w:tabs>
        <w:ind w:left="574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2A9D0A">
      <w:start w:val="1"/>
      <w:numFmt w:val="lowerRoman"/>
      <w:lvlText w:val="%9."/>
      <w:lvlJc w:val="left"/>
      <w:pPr>
        <w:tabs>
          <w:tab w:val="left" w:pos="709"/>
        </w:tabs>
        <w:ind w:left="6469" w:hanging="6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D8772F7"/>
    <w:multiLevelType w:val="hybridMultilevel"/>
    <w:tmpl w:val="8F262F1E"/>
    <w:styleLink w:val="ImportedStyle3"/>
    <w:lvl w:ilvl="0" w:tplc="F590582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2C71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AE302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56AE0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103FA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5E06E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42198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2CE9B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3EA41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101E9E"/>
    <w:multiLevelType w:val="hybridMultilevel"/>
    <w:tmpl w:val="8B24477A"/>
    <w:styleLink w:val="ImportedStyle4"/>
    <w:lvl w:ilvl="0" w:tplc="6A3876E8">
      <w:start w:val="1"/>
      <w:numFmt w:val="bullet"/>
      <w:lvlText w:val="-"/>
      <w:lvlJc w:val="left"/>
      <w:pPr>
        <w:tabs>
          <w:tab w:val="left" w:pos="4253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60F91A">
      <w:start w:val="1"/>
      <w:numFmt w:val="bullet"/>
      <w:lvlText w:val="o"/>
      <w:lvlJc w:val="left"/>
      <w:pPr>
        <w:tabs>
          <w:tab w:val="left" w:pos="4253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2839A2">
      <w:start w:val="1"/>
      <w:numFmt w:val="bullet"/>
      <w:lvlText w:val="▪"/>
      <w:lvlJc w:val="left"/>
      <w:pPr>
        <w:tabs>
          <w:tab w:val="left" w:pos="4253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569132">
      <w:start w:val="1"/>
      <w:numFmt w:val="bullet"/>
      <w:lvlText w:val="•"/>
      <w:lvlJc w:val="left"/>
      <w:pPr>
        <w:tabs>
          <w:tab w:val="left" w:pos="4253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9A3050">
      <w:start w:val="1"/>
      <w:numFmt w:val="bullet"/>
      <w:lvlText w:val="o"/>
      <w:lvlJc w:val="left"/>
      <w:pPr>
        <w:tabs>
          <w:tab w:val="left" w:pos="4253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9A70DC">
      <w:start w:val="1"/>
      <w:numFmt w:val="bullet"/>
      <w:lvlText w:val="▪"/>
      <w:lvlJc w:val="left"/>
      <w:pPr>
        <w:tabs>
          <w:tab w:val="left" w:pos="4253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5AA64E">
      <w:start w:val="1"/>
      <w:numFmt w:val="bullet"/>
      <w:lvlText w:val="•"/>
      <w:lvlJc w:val="left"/>
      <w:pPr>
        <w:tabs>
          <w:tab w:val="left" w:pos="4253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708338">
      <w:start w:val="1"/>
      <w:numFmt w:val="bullet"/>
      <w:lvlText w:val="o"/>
      <w:lvlJc w:val="left"/>
      <w:pPr>
        <w:tabs>
          <w:tab w:val="left" w:pos="4253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ACCA00">
      <w:start w:val="1"/>
      <w:numFmt w:val="bullet"/>
      <w:lvlText w:val="▪"/>
      <w:lvlJc w:val="left"/>
      <w:pPr>
        <w:tabs>
          <w:tab w:val="left" w:pos="4253"/>
        </w:tabs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3"/>
  </w:num>
  <w:num w:numId="10">
    <w:abstractNumId w:val="18"/>
  </w:num>
  <w:num w:numId="11">
    <w:abstractNumId w:val="24"/>
  </w:num>
  <w:num w:numId="12">
    <w:abstractNumId w:val="1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4"/>
  </w:num>
  <w:num w:numId="16">
    <w:abstractNumId w:val="25"/>
  </w:num>
  <w:num w:numId="17">
    <w:abstractNumId w:val="11"/>
  </w:num>
  <w:num w:numId="18">
    <w:abstractNumId w:val="15"/>
  </w:num>
  <w:num w:numId="19">
    <w:abstractNumId w:val="16"/>
  </w:num>
  <w:num w:numId="20">
    <w:abstractNumId w:val="9"/>
  </w:num>
  <w:num w:numId="21">
    <w:abstractNumId w:val="23"/>
  </w:num>
  <w:num w:numId="22">
    <w:abstractNumId w:val="8"/>
  </w:num>
  <w:num w:numId="23">
    <w:abstractNumId w:val="17"/>
  </w:num>
  <w:num w:numId="24">
    <w:abstractNumId w:val="20"/>
  </w:num>
  <w:num w:numId="25">
    <w:abstractNumId w:val="21"/>
  </w:num>
  <w:num w:numId="26">
    <w:abstractNumId w:val="10"/>
  </w:num>
  <w:num w:numId="27">
    <w:abstractNumId w:val="19"/>
  </w:num>
  <w:num w:numId="28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BE" w:vendorID="64" w:dllVersion="0" w:nlCheck="1" w:checkStyle="0"/>
  <w:attachedTemplate r:id="rId1"/>
  <w:revisionView w:markup="0"/>
  <w:defaultTabStop w:val="720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_RefLast" w:val="0"/>
    <w:docVar w:name="DQCDateTime" w:val="2026-05-12 08:45:36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B33B8459-0B67-4BC0-93C1-74B48E8EFFF4"/>
    <w:docVar w:name="LW_COVERPAGE_TYPE" w:val="1"/>
    <w:docVar w:name="LW_CROSSREFERENCE" w:val="&lt;UNUSED&gt;"/>
    <w:docVar w:name="LW_DocType" w:val="ANNEX"/>
    <w:docVar w:name="LW_EMISSION" w:val="12.5.2026"/>
    <w:docVar w:name="LW_EMISSION_ISODATE" w:val="2026-05-12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pozi\u539?ia care urmeaz\u259? s\u259? fie luat\u259? în numele Uniunii Europene în cadrul Comitetului mixt al SEE cu privire la o modificare a Protocolului 31 privind cooperarea în domenii specifice în afara celor patru libert\u259?\u539?i anexat la Acordul privind SEE _x000b_ _x000b_(Linia bugetar\u259? 07 20 03 01 \u8211? Asigur\u259?ri sociale)"/>
    <w:docVar w:name="LW_OBJETACTEPRINCIPAL.CP" w:val="privind pozi\u539?ia care urmeaz\u259? s\u259? fie luat\u259? în numele Uniunii Europene în cadrul Comitetului mixt al SEE cu privire la o modificare a Protocolului 31 privind cooperarea în domenii specifice în afara celor patru libert\u259?\u539?i anexat la Acordul privind SEE _x000b_ _x000b_(Linia bugetar\u259? 07 20 03 01 \u8211? Asigur\u259?ri sociale)"/>
    <w:docVar w:name="LW_PART_NBR" w:val="1"/>
    <w:docVar w:name="LW_PART_NBR_TOTAL" w:val="1"/>
    <w:docVar w:name="LW_REF.INST.NEW" w:val="COM"/>
    <w:docVar w:name="LW_REF.INST.NEW_ADOPTED" w:val="final"/>
    <w:docVar w:name="LW_REF.INST.NEW_TEXT" w:val="(2026) 192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_x000b_DECIZIE A CONSILIULUI"/>
    <w:docVar w:name="LW_TYPEACTEPRINCIPAL.CP" w:val="Propunerea de_x000b_DECIZIE A CONSILIULUI"/>
    <w:docVar w:name="LwApiVersions" w:val="LW4CoDe 1.24.5.0; LW 9.2, Build 20251112"/>
  </w:docVars>
  <w:rsids>
    <w:rsidRoot w:val="00FA089C"/>
    <w:rsid w:val="00004945"/>
    <w:rsid w:val="00034722"/>
    <w:rsid w:val="000440A0"/>
    <w:rsid w:val="0005237D"/>
    <w:rsid w:val="00061106"/>
    <w:rsid w:val="00061BBD"/>
    <w:rsid w:val="000B39ED"/>
    <w:rsid w:val="000B4FF3"/>
    <w:rsid w:val="000E198E"/>
    <w:rsid w:val="000F3476"/>
    <w:rsid w:val="0012048A"/>
    <w:rsid w:val="001737B8"/>
    <w:rsid w:val="001770F8"/>
    <w:rsid w:val="00185721"/>
    <w:rsid w:val="00192B5B"/>
    <w:rsid w:val="001C2816"/>
    <w:rsid w:val="001C65F6"/>
    <w:rsid w:val="001D6F25"/>
    <w:rsid w:val="001F29EC"/>
    <w:rsid w:val="002064C4"/>
    <w:rsid w:val="00210AB9"/>
    <w:rsid w:val="00221987"/>
    <w:rsid w:val="00225E52"/>
    <w:rsid w:val="00252351"/>
    <w:rsid w:val="002843F3"/>
    <w:rsid w:val="00285931"/>
    <w:rsid w:val="002D3DFC"/>
    <w:rsid w:val="002F2559"/>
    <w:rsid w:val="002F61FE"/>
    <w:rsid w:val="00320A4E"/>
    <w:rsid w:val="00327C3C"/>
    <w:rsid w:val="003445D4"/>
    <w:rsid w:val="00373143"/>
    <w:rsid w:val="00377440"/>
    <w:rsid w:val="003B7568"/>
    <w:rsid w:val="003E52B4"/>
    <w:rsid w:val="003F0E54"/>
    <w:rsid w:val="003F6540"/>
    <w:rsid w:val="003F6CA2"/>
    <w:rsid w:val="00407DF3"/>
    <w:rsid w:val="00412935"/>
    <w:rsid w:val="00415CCF"/>
    <w:rsid w:val="00416E8D"/>
    <w:rsid w:val="00434A4B"/>
    <w:rsid w:val="004369FD"/>
    <w:rsid w:val="004416F0"/>
    <w:rsid w:val="004476AE"/>
    <w:rsid w:val="004529A0"/>
    <w:rsid w:val="00455DDA"/>
    <w:rsid w:val="004649BD"/>
    <w:rsid w:val="00484058"/>
    <w:rsid w:val="00490FB0"/>
    <w:rsid w:val="00491FCB"/>
    <w:rsid w:val="004A5A64"/>
    <w:rsid w:val="004C146F"/>
    <w:rsid w:val="004C60DE"/>
    <w:rsid w:val="004D4A0E"/>
    <w:rsid w:val="00500040"/>
    <w:rsid w:val="005210EF"/>
    <w:rsid w:val="00572D10"/>
    <w:rsid w:val="005845A6"/>
    <w:rsid w:val="005A13F2"/>
    <w:rsid w:val="005B6C13"/>
    <w:rsid w:val="005E5466"/>
    <w:rsid w:val="005E7F03"/>
    <w:rsid w:val="005F59E6"/>
    <w:rsid w:val="00612518"/>
    <w:rsid w:val="006531D7"/>
    <w:rsid w:val="00655FE8"/>
    <w:rsid w:val="006A4E0F"/>
    <w:rsid w:val="006B47BC"/>
    <w:rsid w:val="006C59B2"/>
    <w:rsid w:val="006E054A"/>
    <w:rsid w:val="006E255E"/>
    <w:rsid w:val="00725877"/>
    <w:rsid w:val="00731592"/>
    <w:rsid w:val="00761D40"/>
    <w:rsid w:val="0076759F"/>
    <w:rsid w:val="00780782"/>
    <w:rsid w:val="00784CDD"/>
    <w:rsid w:val="007921C7"/>
    <w:rsid w:val="007B1E1D"/>
    <w:rsid w:val="007B3E33"/>
    <w:rsid w:val="007D7772"/>
    <w:rsid w:val="007E131B"/>
    <w:rsid w:val="00810E27"/>
    <w:rsid w:val="00826EE6"/>
    <w:rsid w:val="00827826"/>
    <w:rsid w:val="0084121B"/>
    <w:rsid w:val="008554D7"/>
    <w:rsid w:val="008612AB"/>
    <w:rsid w:val="0087579E"/>
    <w:rsid w:val="008A1F01"/>
    <w:rsid w:val="008A7A8F"/>
    <w:rsid w:val="008C5DDF"/>
    <w:rsid w:val="00902380"/>
    <w:rsid w:val="00915AF2"/>
    <w:rsid w:val="00917ECC"/>
    <w:rsid w:val="00924E8A"/>
    <w:rsid w:val="00940809"/>
    <w:rsid w:val="00952325"/>
    <w:rsid w:val="00952E0F"/>
    <w:rsid w:val="00974C60"/>
    <w:rsid w:val="00977BA8"/>
    <w:rsid w:val="00986B33"/>
    <w:rsid w:val="00986F96"/>
    <w:rsid w:val="00987AD5"/>
    <w:rsid w:val="009A4460"/>
    <w:rsid w:val="009F0A00"/>
    <w:rsid w:val="009F5467"/>
    <w:rsid w:val="00A02A75"/>
    <w:rsid w:val="00A145EF"/>
    <w:rsid w:val="00A164EF"/>
    <w:rsid w:val="00A255F3"/>
    <w:rsid w:val="00A27FB6"/>
    <w:rsid w:val="00A52F7E"/>
    <w:rsid w:val="00A71FC6"/>
    <w:rsid w:val="00A816C7"/>
    <w:rsid w:val="00A84213"/>
    <w:rsid w:val="00A93037"/>
    <w:rsid w:val="00A93C8A"/>
    <w:rsid w:val="00AA31D7"/>
    <w:rsid w:val="00B05913"/>
    <w:rsid w:val="00B0658F"/>
    <w:rsid w:val="00B14D97"/>
    <w:rsid w:val="00B42901"/>
    <w:rsid w:val="00B4445F"/>
    <w:rsid w:val="00B45548"/>
    <w:rsid w:val="00B46CA4"/>
    <w:rsid w:val="00B67EC0"/>
    <w:rsid w:val="00B704E9"/>
    <w:rsid w:val="00B711EC"/>
    <w:rsid w:val="00B856AB"/>
    <w:rsid w:val="00B858F9"/>
    <w:rsid w:val="00B90126"/>
    <w:rsid w:val="00B905F2"/>
    <w:rsid w:val="00BB0CF3"/>
    <w:rsid w:val="00BB3558"/>
    <w:rsid w:val="00BB37E9"/>
    <w:rsid w:val="00BC2EB6"/>
    <w:rsid w:val="00BC5454"/>
    <w:rsid w:val="00BF17AA"/>
    <w:rsid w:val="00BF5C8E"/>
    <w:rsid w:val="00C11B81"/>
    <w:rsid w:val="00C24294"/>
    <w:rsid w:val="00C24556"/>
    <w:rsid w:val="00C3259E"/>
    <w:rsid w:val="00C362A9"/>
    <w:rsid w:val="00C43D47"/>
    <w:rsid w:val="00C445CB"/>
    <w:rsid w:val="00C5255D"/>
    <w:rsid w:val="00C55C9C"/>
    <w:rsid w:val="00C61C6D"/>
    <w:rsid w:val="00C91E25"/>
    <w:rsid w:val="00CB40DB"/>
    <w:rsid w:val="00CB560C"/>
    <w:rsid w:val="00CC150F"/>
    <w:rsid w:val="00CC6178"/>
    <w:rsid w:val="00CF4F2E"/>
    <w:rsid w:val="00CF7406"/>
    <w:rsid w:val="00D05904"/>
    <w:rsid w:val="00D12B37"/>
    <w:rsid w:val="00D7412A"/>
    <w:rsid w:val="00D74E71"/>
    <w:rsid w:val="00D801B5"/>
    <w:rsid w:val="00D831A5"/>
    <w:rsid w:val="00DA194D"/>
    <w:rsid w:val="00DA332C"/>
    <w:rsid w:val="00DF0D83"/>
    <w:rsid w:val="00E10491"/>
    <w:rsid w:val="00E164A7"/>
    <w:rsid w:val="00E420DD"/>
    <w:rsid w:val="00E465F9"/>
    <w:rsid w:val="00E7115E"/>
    <w:rsid w:val="00E871BC"/>
    <w:rsid w:val="00EC161F"/>
    <w:rsid w:val="00EC53A0"/>
    <w:rsid w:val="00EE0A65"/>
    <w:rsid w:val="00EF3FF8"/>
    <w:rsid w:val="00EF6CA0"/>
    <w:rsid w:val="00F00B4D"/>
    <w:rsid w:val="00F00E4B"/>
    <w:rsid w:val="00F016EA"/>
    <w:rsid w:val="00F310E2"/>
    <w:rsid w:val="00F34A2B"/>
    <w:rsid w:val="00F44453"/>
    <w:rsid w:val="00F513E8"/>
    <w:rsid w:val="00F57F03"/>
    <w:rsid w:val="00F614F4"/>
    <w:rsid w:val="00F81EBC"/>
    <w:rsid w:val="00FA089C"/>
    <w:rsid w:val="00FA45DF"/>
    <w:rsid w:val="00FD1983"/>
    <w:rsid w:val="00FE16A2"/>
    <w:rsid w:val="00FE66CD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D6A77B8"/>
  <w15:docId w15:val="{A60AE7C3-E0C1-400A-AE34-C2811ECB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89C"/>
    <w:pPr>
      <w:spacing w:before="0" w:after="200" w:line="276" w:lineRule="auto"/>
      <w:ind w:left="720"/>
      <w:contextualSpacing/>
      <w:jc w:val="left"/>
    </w:pPr>
    <w:rPr>
      <w:rFonts w:cstheme="minorBidi"/>
      <w:sz w:val="20"/>
      <w:szCs w:val="20"/>
    </w:rPr>
  </w:style>
  <w:style w:type="paragraph" w:customStyle="1" w:styleId="Articleheading">
    <w:name w:val="Article heading"/>
    <w:basedOn w:val="Normal"/>
    <w:link w:val="ArticleheadingChar"/>
    <w:qFormat/>
    <w:rsid w:val="00FA089C"/>
    <w:pPr>
      <w:keepNext/>
      <w:tabs>
        <w:tab w:val="left" w:pos="709"/>
      </w:tabs>
      <w:spacing w:before="360"/>
      <w:jc w:val="center"/>
    </w:pPr>
    <w:rPr>
      <w:i/>
      <w:color w:val="000000" w:themeColor="text1"/>
      <w:szCs w:val="24"/>
    </w:rPr>
  </w:style>
  <w:style w:type="paragraph" w:customStyle="1" w:styleId="Articletext">
    <w:name w:val="Article text"/>
    <w:basedOn w:val="Articleheading"/>
    <w:link w:val="ArticletextChar"/>
    <w:qFormat/>
    <w:rsid w:val="00FA089C"/>
    <w:pPr>
      <w:keepNext w:val="0"/>
      <w:spacing w:before="120"/>
      <w:jc w:val="both"/>
    </w:pPr>
    <w:rPr>
      <w:i w:val="0"/>
    </w:rPr>
  </w:style>
  <w:style w:type="character" w:customStyle="1" w:styleId="ArticleheadingChar">
    <w:name w:val="Article heading Char"/>
    <w:basedOn w:val="DefaultParagraphFont"/>
    <w:link w:val="Articleheading"/>
    <w:rsid w:val="00FA089C"/>
    <w:rPr>
      <w:rFonts w:ascii="Times New Roman" w:hAnsi="Times New Roman" w:cs="Times New Roman"/>
      <w:i/>
      <w:color w:val="000000" w:themeColor="text1"/>
      <w:sz w:val="24"/>
      <w:szCs w:val="24"/>
    </w:rPr>
  </w:style>
  <w:style w:type="character" w:customStyle="1" w:styleId="ArticletextChar">
    <w:name w:val="Article text Char"/>
    <w:basedOn w:val="ArticleheadingChar"/>
    <w:link w:val="Articletext"/>
    <w:rsid w:val="00FA089C"/>
    <w:rPr>
      <w:rFonts w:ascii="Times New Roman" w:hAnsi="Times New Roman" w:cs="Times New Roman"/>
      <w:i w:val="0"/>
      <w:color w:val="000000" w:themeColor="text1"/>
      <w:sz w:val="24"/>
      <w:szCs w:val="24"/>
    </w:rPr>
  </w:style>
  <w:style w:type="character" w:customStyle="1" w:styleId="Point1Char">
    <w:name w:val="Point 1 Char"/>
    <w:basedOn w:val="ArticletextChar"/>
    <w:rsid w:val="00FA089C"/>
    <w:rPr>
      <w:rFonts w:ascii="Times New Roman" w:hAnsi="Times New Roman" w:cs="Times New Roman"/>
      <w:i w:val="0"/>
      <w:color w:val="000000" w:themeColor="text1"/>
      <w:sz w:val="24"/>
      <w:szCs w:val="24"/>
      <w:lang w:val="ro-RO"/>
    </w:rPr>
  </w:style>
  <w:style w:type="character" w:customStyle="1" w:styleId="Point0Char">
    <w:name w:val="Point 0 Char"/>
    <w:basedOn w:val="Point1Char"/>
    <w:rsid w:val="00FA089C"/>
    <w:rPr>
      <w:rFonts w:ascii="Times New Roman" w:hAnsi="Times New Roman" w:cs="Times New Roman"/>
      <w:i w:val="0"/>
      <w:color w:val="000000" w:themeColor="text1"/>
      <w:sz w:val="24"/>
      <w:szCs w:val="24"/>
      <w:lang w:val="ro-RO"/>
    </w:rPr>
  </w:style>
  <w:style w:type="paragraph" w:customStyle="1" w:styleId="Adaptation">
    <w:name w:val="Adaptation"/>
    <w:basedOn w:val="Point1"/>
    <w:link w:val="AdaptationChar"/>
    <w:qFormat/>
    <w:rsid w:val="00FA089C"/>
    <w:pPr>
      <w:ind w:left="851" w:firstLine="0"/>
    </w:pPr>
    <w:rPr>
      <w:color w:val="000000" w:themeColor="text1"/>
      <w:szCs w:val="24"/>
    </w:rPr>
  </w:style>
  <w:style w:type="character" w:customStyle="1" w:styleId="AdaptationChar">
    <w:name w:val="Adaptation Char"/>
    <w:basedOn w:val="Point1Char"/>
    <w:link w:val="Adaptation"/>
    <w:rsid w:val="00FA089C"/>
    <w:rPr>
      <w:rFonts w:ascii="Times New Roman" w:hAnsi="Times New Roman" w:cs="Times New Roman"/>
      <w:i w:val="0"/>
      <w:color w:val="000000" w:themeColor="text1"/>
      <w:sz w:val="24"/>
      <w:szCs w:val="24"/>
      <w:lang w:val="ro-R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16EA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F016EA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F016E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016E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016E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016EA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F016EA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016EA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016EA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016EA"/>
    <w:pPr>
      <w:numPr>
        <w:numId w:val="8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25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5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55D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5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55D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55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55D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C5255D"/>
    <w:rPr>
      <w:color w:val="0000FF" w:themeColor="hyperlink"/>
      <w:u w:val="single"/>
    </w:rPr>
  </w:style>
  <w:style w:type="paragraph" w:customStyle="1" w:styleId="Text0">
    <w:name w:val="Text 0"/>
    <w:basedOn w:val="Text1"/>
    <w:rsid w:val="00826EE6"/>
  </w:style>
  <w:style w:type="paragraph" w:customStyle="1" w:styleId="Body">
    <w:name w:val="Body"/>
    <w:rsid w:val="00BB37E9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numbering" w:customStyle="1" w:styleId="ImportedStyle2">
    <w:name w:val="Imported Style 2"/>
    <w:rsid w:val="00BB37E9"/>
    <w:pPr>
      <w:numPr>
        <w:numId w:val="9"/>
      </w:numPr>
    </w:pPr>
  </w:style>
  <w:style w:type="numbering" w:customStyle="1" w:styleId="ImportedStyle3">
    <w:name w:val="Imported Style 3"/>
    <w:rsid w:val="00BB37E9"/>
    <w:pPr>
      <w:numPr>
        <w:numId w:val="10"/>
      </w:numPr>
    </w:pPr>
  </w:style>
  <w:style w:type="numbering" w:customStyle="1" w:styleId="ImportedStyle4">
    <w:name w:val="Imported Style 4"/>
    <w:rsid w:val="00BB37E9"/>
    <w:pPr>
      <w:numPr>
        <w:numId w:val="11"/>
      </w:numPr>
    </w:pPr>
  </w:style>
  <w:style w:type="numbering" w:customStyle="1" w:styleId="ImportedStyle5">
    <w:name w:val="Imported Style 5"/>
    <w:rsid w:val="00BB37E9"/>
    <w:pPr>
      <w:numPr>
        <w:numId w:val="12"/>
      </w:numPr>
    </w:pPr>
  </w:style>
  <w:style w:type="paragraph" w:styleId="Revision">
    <w:name w:val="Revision"/>
    <w:hidden/>
    <w:uiPriority w:val="99"/>
    <w:semiHidden/>
    <w:rsid w:val="00B0658F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Point4b">
    <w:name w:val="Point 4b"/>
    <w:basedOn w:val="Normal"/>
    <w:qFormat/>
    <w:rsid w:val="00572D10"/>
    <w:pPr>
      <w:tabs>
        <w:tab w:val="left" w:pos="1453"/>
      </w:tabs>
      <w:ind w:left="2552"/>
      <w:jc w:val="left"/>
    </w:pPr>
    <w:rPr>
      <w:rFonts w:cstheme="minorBidi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1106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3445D4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3445D4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3445D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3445D4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3445D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4"/>
      </w:numPr>
    </w:pPr>
  </w:style>
  <w:style w:type="paragraph" w:customStyle="1" w:styleId="Tiret1">
    <w:name w:val="Tiret 1"/>
    <w:basedOn w:val="Point1"/>
    <w:pPr>
      <w:numPr>
        <w:numId w:val="15"/>
      </w:numPr>
    </w:pPr>
  </w:style>
  <w:style w:type="paragraph" w:customStyle="1" w:styleId="Tiret2">
    <w:name w:val="Tiret 2"/>
    <w:basedOn w:val="Point2"/>
    <w:pPr>
      <w:numPr>
        <w:numId w:val="16"/>
      </w:numPr>
    </w:pPr>
  </w:style>
  <w:style w:type="paragraph" w:customStyle="1" w:styleId="Tiret3">
    <w:name w:val="Tiret 3"/>
    <w:basedOn w:val="Point3"/>
    <w:pPr>
      <w:numPr>
        <w:numId w:val="17"/>
      </w:numPr>
    </w:pPr>
  </w:style>
  <w:style w:type="paragraph" w:customStyle="1" w:styleId="Tiret4">
    <w:name w:val="Tiret 4"/>
    <w:basedOn w:val="Point4"/>
    <w:pPr>
      <w:numPr>
        <w:numId w:val="18"/>
      </w:numPr>
    </w:pPr>
  </w:style>
  <w:style w:type="paragraph" w:customStyle="1" w:styleId="Tiret5">
    <w:name w:val="Tiret 5"/>
    <w:basedOn w:val="Point5"/>
    <w:pPr>
      <w:numPr>
        <w:numId w:val="1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2"/>
      </w:numPr>
    </w:pPr>
  </w:style>
  <w:style w:type="paragraph" w:customStyle="1" w:styleId="Point1number">
    <w:name w:val="Point 1 (number)"/>
    <w:basedOn w:val="Normal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pPr>
      <w:numPr>
        <w:ilvl w:val="8"/>
        <w:numId w:val="22"/>
      </w:numPr>
    </w:pPr>
  </w:style>
  <w:style w:type="paragraph" w:customStyle="1" w:styleId="Bullet0">
    <w:name w:val="Bullet 0"/>
    <w:basedOn w:val="Normal"/>
    <w:pPr>
      <w:numPr>
        <w:numId w:val="23"/>
      </w:numPr>
    </w:pPr>
  </w:style>
  <w:style w:type="paragraph" w:customStyle="1" w:styleId="Bullet1">
    <w:name w:val="Bullet 1"/>
    <w:basedOn w:val="Normal"/>
    <w:pPr>
      <w:numPr>
        <w:numId w:val="24"/>
      </w:numPr>
    </w:pPr>
  </w:style>
  <w:style w:type="paragraph" w:customStyle="1" w:styleId="Bullet2">
    <w:name w:val="Bullet 2"/>
    <w:basedOn w:val="Normal"/>
    <w:pPr>
      <w:numPr>
        <w:numId w:val="25"/>
      </w:numPr>
    </w:pPr>
  </w:style>
  <w:style w:type="paragraph" w:customStyle="1" w:styleId="Bullet3">
    <w:name w:val="Bullet 3"/>
    <w:basedOn w:val="Normal"/>
    <w:pPr>
      <w:numPr>
        <w:numId w:val="26"/>
      </w:numPr>
    </w:pPr>
  </w:style>
  <w:style w:type="paragraph" w:customStyle="1" w:styleId="Bullet4">
    <w:name w:val="Bullet 4"/>
    <w:basedOn w:val="Normal"/>
    <w:pPr>
      <w:numPr>
        <w:numId w:val="2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445D4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3445D4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3445D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3445D4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6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CA06C-7DFB-42E7-B291-4250352E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23</TotalTime>
  <Pages>3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47</cp:revision>
  <dcterms:created xsi:type="dcterms:W3CDTF">2024-03-13T16:17:00Z</dcterms:created>
  <dcterms:modified xsi:type="dcterms:W3CDTF">2026-05-12T06:45:00Z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7.0.8.0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7.0, Build 20190717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2024-03-13T15:34:49Z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32998302-2dbd-4848-92b7-72fe6a43b772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DQCStatus">
    <vt:lpwstr>Green (DQC version 03)</vt:lpwstr>
  </property>
</Properties>
</file>