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1EB" w:rsidRPr="00800690" w:rsidRDefault="00EC3F4C" w:rsidP="00EC3F4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B89C57-9D20-4264-960D-502E1E00ED5E" style="width:455.25pt;height:371.25pt">
            <v:imagedata r:id="rId11" o:title=""/>
          </v:shape>
        </w:pict>
      </w:r>
    </w:p>
    <w:p w:rsidR="000531EB" w:rsidRPr="00800690" w:rsidRDefault="000531EB" w:rsidP="000531EB">
      <w:pPr>
        <w:rPr>
          <w:noProof/>
        </w:rPr>
        <w:sectPr w:rsidR="000531EB" w:rsidRPr="00800690" w:rsidSect="00EC3F4C">
          <w:footerReference w:type="even" r:id="rId12"/>
          <w:footerReference w:type="default" r:id="rId13"/>
          <w:pgSz w:w="11907" w:h="16839"/>
          <w:pgMar w:top="1134" w:right="1417" w:bottom="1134" w:left="1417" w:header="709" w:footer="709" w:gutter="0"/>
          <w:pgNumType w:start="0"/>
          <w:cols w:space="720"/>
          <w:docGrid w:linePitch="360"/>
        </w:sectPr>
      </w:pPr>
    </w:p>
    <w:p w:rsidR="000531EB" w:rsidRPr="00800690" w:rsidRDefault="000531EB" w:rsidP="00BB6B30">
      <w:pPr>
        <w:pStyle w:val="Exposdesmotifstitre"/>
        <w:rPr>
          <w:noProof/>
        </w:rPr>
      </w:pPr>
      <w:bookmarkStart w:id="0" w:name="_GoBack"/>
      <w:bookmarkEnd w:id="0"/>
      <w:r w:rsidRPr="00800690">
        <w:rPr>
          <w:noProof/>
        </w:rPr>
        <w:lastRenderedPageBreak/>
        <w:t>EXPOSÉ DES MOTIFS</w:t>
      </w:r>
    </w:p>
    <w:p w:rsidR="000531EB" w:rsidRPr="00800690" w:rsidRDefault="000531EB" w:rsidP="00BB6B30">
      <w:pPr>
        <w:pStyle w:val="ManualHeading1"/>
        <w:rPr>
          <w:noProof/>
        </w:rPr>
      </w:pPr>
      <w:r w:rsidRPr="00800690">
        <w:rPr>
          <w:noProof/>
        </w:rPr>
        <w:t>1.</w:t>
      </w:r>
      <w:r w:rsidRPr="00800690">
        <w:rPr>
          <w:noProof/>
        </w:rPr>
        <w:tab/>
        <w:t>CONTEXTE DE LA PROPOSITION</w:t>
      </w:r>
    </w:p>
    <w:p w:rsidR="000531EB" w:rsidRPr="00800690" w:rsidRDefault="000531EB" w:rsidP="00044058">
      <w:pPr>
        <w:pStyle w:val="ManualHeading2"/>
        <w:rPr>
          <w:rFonts w:eastAsia="Arial Unicode MS"/>
          <w:noProof/>
        </w:rPr>
      </w:pPr>
      <w:r w:rsidRPr="00800690">
        <w:rPr>
          <w:noProof/>
          <w:color w:val="000000"/>
          <w:u w:color="000000"/>
          <w:bdr w:val="nil"/>
        </w:rPr>
        <w:t>•</w:t>
      </w:r>
      <w:r w:rsidRPr="00800690">
        <w:rPr>
          <w:noProof/>
        </w:rPr>
        <w:tab/>
        <w:t>Justification et objectifs de la proposition</w:t>
      </w:r>
    </w:p>
    <w:p w:rsidR="00DF278F" w:rsidRPr="00800690" w:rsidRDefault="00DF278F" w:rsidP="00DF278F">
      <w:pPr>
        <w:pBdr>
          <w:top w:val="nil"/>
          <w:left w:val="nil"/>
          <w:bottom w:val="nil"/>
          <w:right w:val="nil"/>
          <w:between w:val="nil"/>
          <w:bar w:val="nil"/>
        </w:pBdr>
        <w:spacing w:before="0" w:after="240"/>
        <w:rPr>
          <w:rFonts w:eastAsia="Arial Unicode MS"/>
          <w:noProof/>
        </w:rPr>
      </w:pPr>
      <w:bookmarkStart w:id="1" w:name="_Hlk225783201"/>
      <w:bookmarkStart w:id="2" w:name="_Hlk168047815"/>
      <w:bookmarkStart w:id="3" w:name="_Hlk168047834"/>
      <w:r w:rsidRPr="00800690">
        <w:rPr>
          <w:noProof/>
        </w:rPr>
        <w:t>L’accord de partenariat dans le domaine de la pêche durable (APPD) entre l’Union européenne et les Seychelles</w:t>
      </w:r>
      <w:r w:rsidRPr="00800690">
        <w:rPr>
          <w:rStyle w:val="FootnoteReference"/>
          <w:rFonts w:eastAsia="Arial Unicode MS"/>
          <w:noProof/>
        </w:rPr>
        <w:footnoteReference w:id="1"/>
      </w:r>
      <w:r w:rsidRPr="00800690">
        <w:rPr>
          <w:noProof/>
        </w:rPr>
        <w:t xml:space="preserve"> est entré en vigueur le 24 février 2020 pour une durée de six ans et est tacitement reconductible pour des périodes supplémentaires de six ans.</w:t>
      </w:r>
    </w:p>
    <w:p w:rsidR="00DF278F" w:rsidRPr="00800690" w:rsidRDefault="00DF278F" w:rsidP="00DF278F">
      <w:pPr>
        <w:pBdr>
          <w:top w:val="nil"/>
          <w:left w:val="nil"/>
          <w:bottom w:val="nil"/>
          <w:right w:val="nil"/>
          <w:between w:val="nil"/>
          <w:bar w:val="nil"/>
        </w:pBdr>
        <w:spacing w:before="0" w:after="240"/>
        <w:rPr>
          <w:rFonts w:eastAsia="Arial Unicode MS"/>
          <w:noProof/>
        </w:rPr>
      </w:pPr>
      <w:r w:rsidRPr="00800690">
        <w:rPr>
          <w:noProof/>
        </w:rPr>
        <w:t>Sur la base de la décision du Conseil du 23 juin 2025</w:t>
      </w:r>
      <w:r w:rsidRPr="00800690">
        <w:rPr>
          <w:rStyle w:val="FootnoteReference"/>
          <w:rFonts w:eastAsia="Arial Unicode MS"/>
          <w:noProof/>
        </w:rPr>
        <w:footnoteReference w:id="2"/>
      </w:r>
      <w:r w:rsidRPr="00800690">
        <w:rPr>
          <w:noProof/>
        </w:rPr>
        <w:t xml:space="preserve"> autorisant l'ouverture de négociations au nom de l'Union européenne d'un nouveau protocole de mise en œuvre de l’accord de partenariat dans le domaine de la pêche durable avec la République des Seychelles, et des directives de négociation qu’elle contient, la Commission a mené des négociations avec la République des Seychelles (ci-après les «Seychelles»). À l’issue de celles-ci, un protocole a été paraphé par les négociateurs le 1</w:t>
      </w:r>
      <w:r w:rsidRPr="00800690">
        <w:rPr>
          <w:noProof/>
          <w:vertAlign w:val="superscript"/>
        </w:rPr>
        <w:t>er</w:t>
      </w:r>
      <w:r w:rsidRPr="00800690">
        <w:rPr>
          <w:noProof/>
        </w:rPr>
        <w:t xml:space="preserve"> avril 2026. Le nouveau protocole couvre une période de quatre ans à compter de la date d’application provisoire fixée à l’article 19 dudit protocole, à savoir la date de signature par les parties.</w:t>
      </w:r>
    </w:p>
    <w:p w:rsidR="00DF278F" w:rsidRPr="00800690" w:rsidRDefault="00DF278F" w:rsidP="00DF278F">
      <w:pPr>
        <w:pBdr>
          <w:top w:val="nil"/>
          <w:left w:val="nil"/>
          <w:bottom w:val="nil"/>
          <w:right w:val="nil"/>
          <w:between w:val="nil"/>
          <w:bar w:val="nil"/>
        </w:pBdr>
        <w:spacing w:before="0" w:after="240"/>
        <w:rPr>
          <w:rFonts w:eastAsia="Arial Unicode MS"/>
          <w:noProof/>
        </w:rPr>
      </w:pPr>
      <w:r w:rsidRPr="00800690">
        <w:rPr>
          <w:noProof/>
        </w:rPr>
        <w:t>Le nouveau protocole vise à octroyer des possibilités de pêche aux navires de l’Union dans les zones de pêche situées dans les eaux des Seychelles, dans le respect des avis scientifiques et des recommandations de l’organisation régionale de gestion des pêches compétente, à savoir la Commission des thons de l’océan Indien (CTOI). Le nouveau protocole prévoit les possibilités de pêche suivantes:</w:t>
      </w:r>
    </w:p>
    <w:p w:rsidR="0011085A" w:rsidRPr="00800690" w:rsidRDefault="0011085A" w:rsidP="0011085A">
      <w:pPr>
        <w:pBdr>
          <w:top w:val="nil"/>
          <w:left w:val="nil"/>
          <w:bottom w:val="nil"/>
          <w:right w:val="nil"/>
          <w:between w:val="nil"/>
          <w:bar w:val="nil"/>
        </w:pBdr>
        <w:spacing w:before="0" w:after="240"/>
        <w:ind w:firstLine="720"/>
        <w:rPr>
          <w:rFonts w:eastAsia="Arial Unicode MS"/>
          <w:noProof/>
        </w:rPr>
      </w:pPr>
      <w:r w:rsidRPr="00800690">
        <w:rPr>
          <w:noProof/>
        </w:rPr>
        <w:t>- 30 thoniers à senne coulissante;</w:t>
      </w:r>
    </w:p>
    <w:p w:rsidR="0011085A" w:rsidRPr="00800690" w:rsidRDefault="0011085A" w:rsidP="0011085A">
      <w:pPr>
        <w:pBdr>
          <w:top w:val="nil"/>
          <w:left w:val="nil"/>
          <w:bottom w:val="nil"/>
          <w:right w:val="nil"/>
          <w:between w:val="nil"/>
          <w:bar w:val="nil"/>
        </w:pBdr>
        <w:spacing w:before="0" w:after="240"/>
        <w:ind w:firstLine="720"/>
        <w:rPr>
          <w:rFonts w:eastAsia="Arial Unicode MS"/>
          <w:noProof/>
        </w:rPr>
      </w:pPr>
      <w:r w:rsidRPr="00800690">
        <w:rPr>
          <w:noProof/>
        </w:rPr>
        <w:t xml:space="preserve">- 8 </w:t>
      </w:r>
      <w:bookmarkStart w:id="4" w:name="_Hlk225515659"/>
      <w:r w:rsidRPr="00800690">
        <w:rPr>
          <w:noProof/>
        </w:rPr>
        <w:t>palangriers de surface</w:t>
      </w:r>
      <w:bookmarkEnd w:id="4"/>
      <w:r w:rsidRPr="00800690">
        <w:rPr>
          <w:noProof/>
        </w:rPr>
        <w:t>.</w:t>
      </w:r>
    </w:p>
    <w:bookmarkEnd w:id="1"/>
    <w:bookmarkEnd w:id="2"/>
    <w:bookmarkEnd w:id="3"/>
    <w:p w:rsidR="00DF278F" w:rsidRPr="00800690" w:rsidRDefault="00DF278F" w:rsidP="00DF278F">
      <w:pPr>
        <w:pBdr>
          <w:top w:val="nil"/>
          <w:left w:val="nil"/>
          <w:bottom w:val="nil"/>
          <w:right w:val="nil"/>
          <w:between w:val="nil"/>
          <w:bar w:val="nil"/>
        </w:pBdr>
        <w:spacing w:before="0" w:after="240"/>
        <w:rPr>
          <w:rFonts w:eastAsia="Arial Unicode MS"/>
          <w:noProof/>
        </w:rPr>
      </w:pPr>
      <w:r w:rsidRPr="00800690">
        <w:rPr>
          <w:noProof/>
        </w:rPr>
        <w:t>Un autre objectif est de renforcer la coopération entre l’Union et les Seychelles en mettant en œuvre le cadre de partenariat aux fins de l’accord en vue de promouvoir une politique de pêche durable et l’exploitation responsable des ressources halieutiques dans les eaux des Seychelles, dans l’intérêt des deux parties.</w:t>
      </w:r>
    </w:p>
    <w:p w:rsidR="00DF278F" w:rsidRPr="00800690" w:rsidRDefault="00DF278F" w:rsidP="00DF278F">
      <w:pPr>
        <w:pBdr>
          <w:top w:val="nil"/>
          <w:left w:val="nil"/>
          <w:bottom w:val="nil"/>
          <w:right w:val="nil"/>
          <w:between w:val="nil"/>
          <w:bar w:val="nil"/>
        </w:pBdr>
        <w:spacing w:before="0" w:after="240"/>
        <w:rPr>
          <w:rFonts w:eastAsia="Arial Unicode MS"/>
          <w:noProof/>
        </w:rPr>
      </w:pPr>
      <w:r w:rsidRPr="00800690">
        <w:rPr>
          <w:noProof/>
        </w:rPr>
        <w:t>La présente proposition vise à obtenir l’approbation de la conclusion du nouveau protocole, en vertu de l’article 218, paragraphe 6, du traité sur le fonctionnement de l’Union européenne (TFUE).</w:t>
      </w:r>
    </w:p>
    <w:p w:rsidR="000531EB" w:rsidRPr="00800690" w:rsidRDefault="000531EB" w:rsidP="00044058">
      <w:pPr>
        <w:pStyle w:val="ManualHeading2"/>
        <w:rPr>
          <w:rFonts w:eastAsia="Arial Unicode MS"/>
          <w:noProof/>
          <w:color w:val="000000"/>
          <w:u w:color="000000"/>
          <w:bdr w:val="nil"/>
        </w:rPr>
      </w:pPr>
      <w:r w:rsidRPr="00800690">
        <w:rPr>
          <w:noProof/>
          <w:color w:val="000000"/>
          <w:u w:color="000000"/>
          <w:bdr w:val="nil"/>
        </w:rPr>
        <w:t>•</w:t>
      </w:r>
      <w:r w:rsidRPr="00800690">
        <w:rPr>
          <w:noProof/>
        </w:rPr>
        <w:tab/>
        <w:t>Cohérence avec les dispositions existantes dans le domaine d’action</w:t>
      </w:r>
    </w:p>
    <w:p w:rsidR="0011085A" w:rsidRPr="00800690" w:rsidRDefault="0011085A" w:rsidP="0011085A">
      <w:pPr>
        <w:pBdr>
          <w:top w:val="nil"/>
          <w:left w:val="nil"/>
          <w:bottom w:val="nil"/>
          <w:right w:val="nil"/>
          <w:between w:val="nil"/>
          <w:bar w:val="nil"/>
        </w:pBdr>
        <w:spacing w:before="0" w:after="240"/>
        <w:rPr>
          <w:noProof/>
        </w:rPr>
      </w:pPr>
      <w:bookmarkStart w:id="5" w:name="_Hlk177838150"/>
      <w:r w:rsidRPr="00800690">
        <w:rPr>
          <w:noProof/>
        </w:rPr>
        <w:t>L’objectif principal du nouveau protocole à l’accord est de fournir un cadre actualisé qui prenne en compte les priorités de la politique commune de la pêche (PCP) et la dimension extérieure. Cela contribuera à la poursuite et au renforcement du partenariat stratégique entre l’Union européenne et les Seychelles.</w:t>
      </w:r>
    </w:p>
    <w:p w:rsidR="0011085A" w:rsidRPr="00800690" w:rsidRDefault="0011085A" w:rsidP="0011085A">
      <w:pPr>
        <w:pBdr>
          <w:top w:val="nil"/>
          <w:left w:val="nil"/>
          <w:bottom w:val="nil"/>
          <w:right w:val="nil"/>
          <w:between w:val="nil"/>
          <w:bar w:val="nil"/>
        </w:pBdr>
        <w:spacing w:before="0" w:after="240"/>
        <w:rPr>
          <w:noProof/>
        </w:rPr>
      </w:pPr>
      <w:r w:rsidRPr="00800690">
        <w:rPr>
          <w:noProof/>
        </w:rPr>
        <w:t xml:space="preserve">Le nouveau protocole prévoit des possibilités de pêche pour les navires de l’Union. Il repose sur les meilleurs avis scientifiques disponibles et sur les recommandations formulées par la CTOI. </w:t>
      </w:r>
    </w:p>
    <w:bookmarkEnd w:id="5"/>
    <w:p w:rsidR="000531EB" w:rsidRPr="00800690" w:rsidRDefault="000531EB" w:rsidP="00A4693B">
      <w:pPr>
        <w:pStyle w:val="ManualHeading2"/>
        <w:rPr>
          <w:rFonts w:eastAsia="Arial Unicode MS"/>
          <w:noProof/>
        </w:rPr>
      </w:pPr>
      <w:r w:rsidRPr="00800690">
        <w:rPr>
          <w:noProof/>
          <w:color w:val="000000"/>
          <w:u w:color="000000"/>
          <w:bdr w:val="nil"/>
        </w:rPr>
        <w:lastRenderedPageBreak/>
        <w:t>•</w:t>
      </w:r>
      <w:r w:rsidRPr="00800690">
        <w:rPr>
          <w:noProof/>
        </w:rPr>
        <w:tab/>
        <w:t>Cohérence avec les autres politiques de l’Union</w:t>
      </w:r>
    </w:p>
    <w:p w:rsidR="00DF278F" w:rsidRPr="00800690" w:rsidRDefault="00DF278F" w:rsidP="00DF278F">
      <w:pPr>
        <w:pBdr>
          <w:top w:val="nil"/>
          <w:left w:val="nil"/>
          <w:bottom w:val="nil"/>
          <w:right w:val="nil"/>
          <w:between w:val="nil"/>
          <w:bar w:val="nil"/>
        </w:pBdr>
        <w:spacing w:before="0" w:after="240"/>
        <w:rPr>
          <w:rFonts w:eastAsia="Arial Unicode MS"/>
          <w:noProof/>
        </w:rPr>
      </w:pPr>
      <w:bookmarkStart w:id="6" w:name="_Hlk225783453"/>
      <w:r w:rsidRPr="00800690">
        <w:rPr>
          <w:noProof/>
          <w:color w:val="000000" w:themeColor="text1"/>
        </w:rPr>
        <w:t>La négociation d’un nouveau protocole de mise en œuvre de l’accord de partenariat dans le domaine de la pêche durable avec les Seychelles s’inscrit dans le cadre de l’action extérieure de l’Union à l’égard des pays de l’Organisation des États d’Afrique, des Caraïbes et du Pacifique (OEACP), et notamment dans le cadre des objectifs de l’Union en matière de respect des principes démocratiques et des droits de l’homme.</w:t>
      </w:r>
      <w:bookmarkEnd w:id="6"/>
    </w:p>
    <w:p w:rsidR="000531EB" w:rsidRPr="00800690" w:rsidRDefault="000531EB" w:rsidP="00550536">
      <w:pPr>
        <w:pStyle w:val="ManualHeading1"/>
        <w:rPr>
          <w:noProof/>
        </w:rPr>
      </w:pPr>
      <w:r w:rsidRPr="00800690">
        <w:rPr>
          <w:noProof/>
        </w:rPr>
        <w:t>2.</w:t>
      </w:r>
      <w:r w:rsidRPr="00800690">
        <w:rPr>
          <w:noProof/>
        </w:rPr>
        <w:tab/>
        <w:t>BASE JURIDIQUE, SUBSIDIARITÉ ET PROPORTIONNALITÉ</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Base juridique matérielle</w:t>
      </w:r>
    </w:p>
    <w:p w:rsidR="008F6A33" w:rsidRPr="00800690" w:rsidRDefault="008F6A33" w:rsidP="008F6A33">
      <w:pPr>
        <w:rPr>
          <w:noProof/>
        </w:rPr>
      </w:pPr>
      <w:r w:rsidRPr="00800690">
        <w:rPr>
          <w:noProof/>
        </w:rPr>
        <w:t>Étant donné que la finalité et composante principale du protocole est la politique de la pêche, la base juridique matérielle est l’article 43, paragraphe 2, du TFUE. </w:t>
      </w:r>
    </w:p>
    <w:p w:rsidR="008F6A33" w:rsidRPr="00800690" w:rsidRDefault="008F6A33" w:rsidP="008F6A33">
      <w:pPr>
        <w:pStyle w:val="ManualHeading2"/>
        <w:rPr>
          <w:rFonts w:eastAsia="Arial Unicode MS"/>
          <w:noProof/>
          <w:u w:color="000000"/>
          <w:bdr w:val="nil"/>
        </w:rPr>
      </w:pPr>
      <w:r w:rsidRPr="00800690">
        <w:rPr>
          <w:noProof/>
        </w:rPr>
        <w:tab/>
      </w:r>
      <w:r w:rsidRPr="00800690">
        <w:rPr>
          <w:noProof/>
          <w:u w:color="000000"/>
          <w:bdr w:val="nil"/>
        </w:rPr>
        <w:t>Base juridique procédurale</w:t>
      </w:r>
    </w:p>
    <w:p w:rsidR="008F6A33" w:rsidRPr="00800690" w:rsidRDefault="008F6A33" w:rsidP="008F6A33">
      <w:pPr>
        <w:pBdr>
          <w:top w:val="nil"/>
          <w:left w:val="nil"/>
          <w:bottom w:val="nil"/>
          <w:right w:val="nil"/>
          <w:between w:val="nil"/>
          <w:bar w:val="nil"/>
        </w:pBdr>
        <w:spacing w:before="0" w:after="240"/>
        <w:rPr>
          <w:noProof/>
        </w:rPr>
      </w:pPr>
      <w:r w:rsidRPr="00800690">
        <w:rPr>
          <w:noProof/>
        </w:rPr>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rsidR="008F6A33" w:rsidRPr="00800690" w:rsidRDefault="008F6A33" w:rsidP="008F6A33">
      <w:pPr>
        <w:pBdr>
          <w:top w:val="nil"/>
          <w:left w:val="nil"/>
          <w:bottom w:val="nil"/>
          <w:right w:val="nil"/>
          <w:between w:val="nil"/>
          <w:bar w:val="nil"/>
        </w:pBdr>
        <w:spacing w:before="0" w:after="240"/>
        <w:rPr>
          <w:noProof/>
        </w:rPr>
      </w:pPr>
      <w:r w:rsidRPr="00800690">
        <w:rPr>
          <w:noProof/>
        </w:rPr>
        <w:t>Étant donné que l’article 43, paragraphe 2, du TFUE constitue la base juridique matérielle, le Conseil doit adopter la décision relative à la conclusion de l’accord après approbation du Parlement européen, conformément à l’article 218, paragraphe 6, point a), du TFUE.</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 xml:space="preserve">Subsidiarité (en cas de compétence non exclusive) </w:t>
      </w:r>
    </w:p>
    <w:p w:rsidR="008B6B1E" w:rsidRPr="00800690" w:rsidRDefault="008B6B1E" w:rsidP="008B6B1E">
      <w:pPr>
        <w:rPr>
          <w:noProof/>
        </w:rPr>
      </w:pPr>
      <w:bookmarkStart w:id="7" w:name="_Hlk177838240"/>
      <w:r w:rsidRPr="00800690">
        <w:rPr>
          <w:noProof/>
        </w:rPr>
        <w:t>La proposition relève de la compétence exclusive de l’Union européenne, en application de l’article 3, paragraphe 1, point d), du TFUE. Le principe de subsidiarité ne s’applique donc pas.</w:t>
      </w:r>
    </w:p>
    <w:bookmarkEnd w:id="7"/>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Proportionnalité</w:t>
      </w:r>
    </w:p>
    <w:p w:rsidR="008B6B1E" w:rsidRPr="00800690" w:rsidRDefault="008B6B1E" w:rsidP="008B6B1E">
      <w:pPr>
        <w:pBdr>
          <w:top w:val="nil"/>
          <w:left w:val="nil"/>
          <w:bottom w:val="nil"/>
          <w:right w:val="nil"/>
          <w:between w:val="nil"/>
          <w:bar w:val="nil"/>
        </w:pBdr>
        <w:spacing w:before="0" w:after="240"/>
        <w:rPr>
          <w:rFonts w:eastAsia="Arial Unicode MS"/>
          <w:noProof/>
        </w:rPr>
      </w:pPr>
      <w:r w:rsidRPr="00800690">
        <w:rPr>
          <w:noProof/>
        </w:rPr>
        <w:t>La proposition est proportionnée à l’objectif d’établir un cadre de gouvernance juridique, environnementale, économique et sociale pour les activités de pêche menées par les navires de l’Union dans les eaux de pays tiers, fixé par l’article 31 du règlement (UE) nº 1380/2013 établissant la politique commune de la pêche. Elle est conforme à ces dispositions ainsi qu’à celles relatives à l’aide financière aux pays tiers fixées à l’article 32 de ce même règlement.</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bookmarkStart w:id="8" w:name="_Hlk226991661"/>
      <w:r w:rsidRPr="00800690">
        <w:rPr>
          <w:noProof/>
          <w:u w:color="000000"/>
          <w:bdr w:val="nil"/>
        </w:rPr>
        <w:t>Choix de l’instrument</w:t>
      </w:r>
    </w:p>
    <w:p w:rsidR="000531EB" w:rsidRPr="00800690" w:rsidRDefault="008F6A33" w:rsidP="0011085A">
      <w:pPr>
        <w:rPr>
          <w:noProof/>
        </w:rPr>
      </w:pPr>
      <w:r w:rsidRPr="00800690">
        <w:rPr>
          <w:noProof/>
        </w:rPr>
        <w:t>La présente proposition de décision du Conseil est soumise conformément à l’article 218, paragraphe 6, du TFUE, qui prévoit l’adoption, par le Conseil, d’une décision portant conclusion de l’accord. Aucun autre instrument juridique ne permettrait d’atteindre l’objectif énoncé dans la proposition.</w:t>
      </w:r>
    </w:p>
    <w:bookmarkEnd w:id="8"/>
    <w:p w:rsidR="000531EB" w:rsidRPr="00800690" w:rsidRDefault="000531EB" w:rsidP="00550536">
      <w:pPr>
        <w:pStyle w:val="ManualHeading1"/>
        <w:rPr>
          <w:noProof/>
        </w:rPr>
      </w:pPr>
      <w:r w:rsidRPr="00800690">
        <w:rPr>
          <w:noProof/>
        </w:rPr>
        <w:t>3.</w:t>
      </w:r>
      <w:r w:rsidRPr="00800690">
        <w:rPr>
          <w:noProof/>
        </w:rPr>
        <w:tab/>
        <w:t>RÉSULTATS DES ÉVALUATIONS EX POST, DES CONSULTATIONS DES PARTIES INTÉRESSÉES ET DES ANALYSES D’IMPACT</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Évaluations ex post/bilans de qualité de la législation existante</w:t>
      </w:r>
    </w:p>
    <w:p w:rsidR="008B6B1E" w:rsidRPr="00800690" w:rsidRDefault="008B6B1E" w:rsidP="008B6B1E">
      <w:pPr>
        <w:pBdr>
          <w:top w:val="nil"/>
          <w:left w:val="nil"/>
          <w:bottom w:val="nil"/>
          <w:right w:val="nil"/>
          <w:between w:val="nil"/>
          <w:bar w:val="nil"/>
        </w:pBdr>
        <w:spacing w:before="0" w:after="240"/>
        <w:rPr>
          <w:rFonts w:eastAsia="Arial Unicode MS"/>
          <w:noProof/>
        </w:rPr>
      </w:pPr>
      <w:bookmarkStart w:id="9" w:name="_Hlk225783573"/>
      <w:r w:rsidRPr="00800690">
        <w:rPr>
          <w:noProof/>
        </w:rPr>
        <w:t xml:space="preserve">En 2025, la Commission a procédé à une évaluation ex post de l’actuel protocole de l’APPD avec les Seychelles et à une évaluation ex ante d’un renouvellement éventuel dudit protocole. </w:t>
      </w:r>
      <w:r w:rsidRPr="00800690">
        <w:rPr>
          <w:noProof/>
        </w:rPr>
        <w:lastRenderedPageBreak/>
        <w:t>Les conclusions de cette évaluation figurent dans un document de travail distinct des services de la Commission</w:t>
      </w:r>
      <w:r w:rsidRPr="00800690">
        <w:rPr>
          <w:rStyle w:val="FootnoteReference"/>
          <w:rFonts w:eastAsia="Arial Unicode MS"/>
          <w:noProof/>
        </w:rPr>
        <w:footnoteReference w:id="3"/>
      </w:r>
      <w:r w:rsidRPr="00800690">
        <w:rPr>
          <w:noProof/>
        </w:rPr>
        <w:t>.</w:t>
      </w:r>
    </w:p>
    <w:p w:rsidR="008B6B1E" w:rsidRPr="00800690" w:rsidRDefault="008B6B1E" w:rsidP="008B6B1E">
      <w:pPr>
        <w:pBdr>
          <w:top w:val="nil"/>
          <w:left w:val="nil"/>
          <w:bottom w:val="nil"/>
          <w:right w:val="nil"/>
          <w:between w:val="nil"/>
          <w:bar w:val="nil"/>
        </w:pBdr>
        <w:spacing w:before="0" w:after="240"/>
        <w:rPr>
          <w:rFonts w:eastAsia="Arial Unicode MS"/>
          <w:noProof/>
        </w:rPr>
      </w:pPr>
      <w:r w:rsidRPr="00800690">
        <w:rPr>
          <w:noProof/>
        </w:rPr>
        <w:t>En conclusion, il ressort de l’évaluation que le secteur de la pêche de l’Union est fortement intéressé par la possibilité d’exercer son activité aux Seychelles et qu’un renouvellement du protocole serait dans l’intérêt des deux parties. En outre, le renouvellement du protocole contribuerait à renforcer le suivi, le contrôle et la surveillance, ainsi qu’à améliorer la gouvernance des activités de pêche dans la région.</w:t>
      </w:r>
    </w:p>
    <w:bookmarkEnd w:id="9"/>
    <w:p w:rsidR="008B6B1E" w:rsidRPr="00800690" w:rsidRDefault="008B6B1E" w:rsidP="008B6B1E">
      <w:pPr>
        <w:pBdr>
          <w:top w:val="nil"/>
          <w:left w:val="nil"/>
          <w:bottom w:val="nil"/>
          <w:right w:val="nil"/>
          <w:between w:val="nil"/>
          <w:bar w:val="nil"/>
        </w:pBdr>
        <w:spacing w:before="0" w:after="240"/>
        <w:rPr>
          <w:rFonts w:eastAsia="Arial Unicode MS"/>
          <w:noProof/>
        </w:rPr>
      </w:pPr>
      <w:r w:rsidRPr="00800690">
        <w:rPr>
          <w:noProof/>
        </w:rPr>
        <w:t xml:space="preserve">Pour l’Union, il est important de maintenir un instrument permettant une coopération sectorielle approfondie avec les Seychelles, qui est un acteur stratégique au niveau sous-régional en raison de la zone de pêche relevant de sa juridiction ainsi qu’un allié important dans le cadre de la CTOI. Qui plus est, pour la flotte de l’Union, cela signifie le maintien de l’accès à une zone de pêche importante pour le déploiement de stratégies d’exploitation dans un cadre juridique international pluriannuel. L’importance des Seychelles en ce qui concerne la transformation du thon capturé dans l’océan Indien et les exportations ultérieures de produits à base de thon vers l’Union accroît la pertinence du nouveau protocole envisagé, tant pour l’industrie de la pêche de l’Union que pour le pays partenaire. Pour les autorités des Seychelles, le but est de poursuivre des relations avec l’Union </w:t>
      </w:r>
      <w:bookmarkStart w:id="10" w:name="_Hlk228003081"/>
      <w:r w:rsidRPr="00800690">
        <w:rPr>
          <w:noProof/>
        </w:rPr>
        <w:t>en vue notamment</w:t>
      </w:r>
      <w:bookmarkEnd w:id="10"/>
      <w:r w:rsidRPr="00800690">
        <w:rPr>
          <w:noProof/>
        </w:rPr>
        <w:t xml:space="preserve"> de renforcer la gouvernance des océans, ce qui permettra de bénéficier d’un appui sectoriel spécifique prévoyant des possibilités de financement pluriannuelles.</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Consultation des parties intéressées</w:t>
      </w:r>
    </w:p>
    <w:p w:rsidR="0011085A" w:rsidRPr="00800690" w:rsidRDefault="0011085A" w:rsidP="0011085A">
      <w:pPr>
        <w:pBdr>
          <w:top w:val="nil"/>
          <w:left w:val="nil"/>
          <w:bottom w:val="nil"/>
          <w:right w:val="nil"/>
          <w:between w:val="nil"/>
          <w:bar w:val="nil"/>
        </w:pBdr>
        <w:spacing w:before="0" w:after="240"/>
        <w:rPr>
          <w:rFonts w:eastAsia="Arial Unicode MS"/>
          <w:noProof/>
        </w:rPr>
      </w:pPr>
      <w:bookmarkStart w:id="11" w:name="_Hlk225783942"/>
      <w:r w:rsidRPr="00800690">
        <w:rPr>
          <w:noProof/>
        </w:rPr>
        <w:t xml:space="preserve">Les États membres, des représentants du secteur, des organisations internationales de la société civile, l'administration des pêches et des représentants de la société civile des Seychelles ont été consultés dans le cadre de cette évaluation. </w:t>
      </w:r>
    </w:p>
    <w:bookmarkEnd w:id="11"/>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Obtention et utilisation d’expertise</w:t>
      </w:r>
    </w:p>
    <w:p w:rsidR="008B6B1E" w:rsidRPr="00800690" w:rsidRDefault="008B6B1E" w:rsidP="008B6B1E">
      <w:pPr>
        <w:pBdr>
          <w:top w:val="nil"/>
          <w:left w:val="nil"/>
          <w:bottom w:val="nil"/>
          <w:right w:val="nil"/>
          <w:between w:val="nil"/>
          <w:bar w:val="nil"/>
        </w:pBdr>
        <w:spacing w:before="0" w:after="240"/>
        <w:rPr>
          <w:rFonts w:eastAsia="Arial Unicode MS"/>
          <w:noProof/>
        </w:rPr>
      </w:pPr>
      <w:bookmarkStart w:id="12" w:name="_Hlk225783990"/>
      <w:r w:rsidRPr="00800690">
        <w:rPr>
          <w:noProof/>
        </w:rPr>
        <w:t>La Commission a fait appel à un consultant indépendant pour les évaluations ex post et ex ante, en conformité avec les dispositions de l’article 31, paragraphe 10, du règlement (UE) nº 1380/2013 établissant la politique commune</w:t>
      </w:r>
      <w:bookmarkEnd w:id="12"/>
      <w:r w:rsidRPr="00800690">
        <w:rPr>
          <w:noProof/>
        </w:rPr>
        <w:t xml:space="preserve"> de la pêche.</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Analyse d’impact</w:t>
      </w:r>
    </w:p>
    <w:p w:rsidR="0011085A" w:rsidRPr="00800690" w:rsidRDefault="0011085A" w:rsidP="0011085A">
      <w:pPr>
        <w:pBdr>
          <w:top w:val="nil"/>
          <w:left w:val="nil"/>
          <w:bottom w:val="nil"/>
          <w:right w:val="nil"/>
          <w:between w:val="nil"/>
          <w:bar w:val="nil"/>
        </w:pBdr>
        <w:spacing w:before="0" w:after="240"/>
        <w:rPr>
          <w:noProof/>
        </w:rPr>
      </w:pPr>
      <w:r w:rsidRPr="00800690">
        <w:rPr>
          <w:noProof/>
        </w:rPr>
        <w:t>Sans objet.</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Réglementation affûtée et simplification</w:t>
      </w:r>
    </w:p>
    <w:p w:rsidR="0011085A" w:rsidRPr="00800690" w:rsidRDefault="0011085A" w:rsidP="0011085A">
      <w:pPr>
        <w:pBdr>
          <w:top w:val="nil"/>
          <w:left w:val="nil"/>
          <w:bottom w:val="nil"/>
          <w:right w:val="nil"/>
          <w:between w:val="nil"/>
          <w:bar w:val="nil"/>
        </w:pBdr>
        <w:spacing w:before="0" w:after="240"/>
        <w:rPr>
          <w:noProof/>
        </w:rPr>
      </w:pPr>
      <w:r w:rsidRPr="00800690">
        <w:rPr>
          <w:noProof/>
        </w:rPr>
        <w:t>Sans objet.</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Droits fondamentaux</w:t>
      </w:r>
    </w:p>
    <w:p w:rsidR="0011085A" w:rsidRPr="00800690" w:rsidRDefault="0011085A" w:rsidP="0011085A">
      <w:pPr>
        <w:pBdr>
          <w:top w:val="nil"/>
          <w:left w:val="nil"/>
          <w:bottom w:val="nil"/>
          <w:right w:val="nil"/>
          <w:between w:val="nil"/>
          <w:bar w:val="nil"/>
        </w:pBdr>
        <w:spacing w:before="0" w:after="240"/>
        <w:rPr>
          <w:rFonts w:eastAsia="Arial Unicode MS"/>
          <w:noProof/>
        </w:rPr>
      </w:pPr>
      <w:bookmarkStart w:id="13" w:name="_Hlk177838331"/>
      <w:r w:rsidRPr="00800690">
        <w:rPr>
          <w:noProof/>
        </w:rPr>
        <w:t>Une clause relative aux conséquences des violations des droits de l’homme et des principes démocratiques est insérée dans l’accord de partenariat dans le domaine de la pêche durable.</w:t>
      </w:r>
    </w:p>
    <w:bookmarkEnd w:id="13"/>
    <w:p w:rsidR="000531EB" w:rsidRPr="00800690" w:rsidRDefault="000531EB" w:rsidP="00550536">
      <w:pPr>
        <w:pStyle w:val="ManualHeading1"/>
        <w:rPr>
          <w:noProof/>
        </w:rPr>
      </w:pPr>
      <w:r w:rsidRPr="00800690">
        <w:rPr>
          <w:noProof/>
        </w:rPr>
        <w:t>4.</w:t>
      </w:r>
      <w:r w:rsidRPr="00800690">
        <w:rPr>
          <w:noProof/>
        </w:rPr>
        <w:tab/>
        <w:t>INCIDENCE BUDGÉTAIRE</w:t>
      </w:r>
    </w:p>
    <w:p w:rsidR="008B6B1E" w:rsidRPr="00800690" w:rsidRDefault="008B6B1E" w:rsidP="008B6B1E">
      <w:pPr>
        <w:rPr>
          <w:rFonts w:eastAsia="Arial Unicode MS"/>
          <w:noProof/>
        </w:rPr>
      </w:pPr>
      <w:r w:rsidRPr="00800690">
        <w:rPr>
          <w:noProof/>
        </w:rPr>
        <w:t>La contrepartie financière annuelle s’élève à 5 750 000 EUR, sur la base:</w:t>
      </w:r>
    </w:p>
    <w:p w:rsidR="008B6B1E" w:rsidRPr="00800690" w:rsidRDefault="008B6B1E" w:rsidP="00293B7C">
      <w:pPr>
        <w:pStyle w:val="Point0"/>
        <w:rPr>
          <w:noProof/>
        </w:rPr>
      </w:pPr>
      <w:r>
        <w:rPr>
          <w:noProof/>
        </w:rPr>
        <w:t>(a)</w:t>
      </w:r>
      <w:r>
        <w:rPr>
          <w:noProof/>
        </w:rPr>
        <w:tab/>
      </w:r>
      <w:r w:rsidRPr="00800690">
        <w:rPr>
          <w:noProof/>
        </w:rPr>
        <w:t>d’un montant annuel de 2 750 000 EUR, qui équivaut à un tonnage de référence de 55 000 tonnes par an; et</w:t>
      </w:r>
    </w:p>
    <w:p w:rsidR="008B6B1E" w:rsidRPr="00800690" w:rsidRDefault="008B6B1E" w:rsidP="00293B7C">
      <w:pPr>
        <w:pStyle w:val="Point0"/>
        <w:rPr>
          <w:noProof/>
        </w:rPr>
      </w:pPr>
      <w:r>
        <w:rPr>
          <w:noProof/>
        </w:rPr>
        <w:lastRenderedPageBreak/>
        <w:t>(b)</w:t>
      </w:r>
      <w:r>
        <w:rPr>
          <w:noProof/>
        </w:rPr>
        <w:tab/>
      </w:r>
      <w:r w:rsidRPr="00800690">
        <w:rPr>
          <w:noProof/>
        </w:rPr>
        <w:t>d’un montant annuel spécifique de 3 000 000 EUR au titre de l’appui sectoriel en vue de contribuer à la mise en œuvre de la politique sectorielle de la pêche des Seychelles.</w:t>
      </w:r>
    </w:p>
    <w:p w:rsidR="008B6B1E" w:rsidRPr="00800690" w:rsidRDefault="008B6B1E" w:rsidP="008B6B1E">
      <w:pPr>
        <w:pBdr>
          <w:top w:val="nil"/>
          <w:left w:val="nil"/>
          <w:bottom w:val="nil"/>
          <w:right w:val="nil"/>
          <w:between w:val="nil"/>
          <w:bar w:val="nil"/>
        </w:pBdr>
        <w:spacing w:before="0" w:after="240"/>
        <w:rPr>
          <w:rFonts w:eastAsia="Arial Unicode MS"/>
          <w:noProof/>
        </w:rPr>
      </w:pPr>
      <w:r w:rsidRPr="00800690">
        <w:rPr>
          <w:noProof/>
        </w:rPr>
        <w:t>Le montant annuel pour les crédits d’engagement et de paiement est fixé lors de la procédure budgétaire annuelle, y compris pour la ligne de la réserve pour les protocoles qui ne sont pas encore en vigueur au début de l’année.</w:t>
      </w:r>
    </w:p>
    <w:p w:rsidR="000531EB" w:rsidRPr="00800690" w:rsidRDefault="000531EB" w:rsidP="00550536">
      <w:pPr>
        <w:pStyle w:val="ManualHeading1"/>
        <w:rPr>
          <w:noProof/>
        </w:rPr>
      </w:pPr>
      <w:r w:rsidRPr="00800690">
        <w:rPr>
          <w:noProof/>
        </w:rPr>
        <w:t>5.</w:t>
      </w:r>
      <w:r w:rsidRPr="00800690">
        <w:rPr>
          <w:noProof/>
        </w:rPr>
        <w:tab/>
        <w:t>AUTRES ÉLÉMENTS</w:t>
      </w:r>
    </w:p>
    <w:p w:rsidR="000531EB" w:rsidRPr="00800690" w:rsidRDefault="000531EB" w:rsidP="00A4693B">
      <w:pPr>
        <w:pStyle w:val="ManualHeading2"/>
        <w:rPr>
          <w:rFonts w:eastAsia="Arial Unicode MS"/>
          <w:noProof/>
          <w:u w:color="000000"/>
          <w:bdr w:val="nil"/>
        </w:rPr>
      </w:pPr>
      <w:r w:rsidRPr="00800690">
        <w:rPr>
          <w:noProof/>
          <w:u w:color="000000"/>
          <w:bdr w:val="nil"/>
        </w:rPr>
        <w:t>•</w:t>
      </w:r>
      <w:r w:rsidRPr="00800690">
        <w:rPr>
          <w:noProof/>
        </w:rPr>
        <w:tab/>
      </w:r>
      <w:r w:rsidRPr="00800690">
        <w:rPr>
          <w:noProof/>
          <w:u w:color="000000"/>
          <w:bdr w:val="nil"/>
        </w:rPr>
        <w:t>Plans de mise en œuvre et modalités de suivi, d’évaluation et d’information</w:t>
      </w:r>
    </w:p>
    <w:p w:rsidR="0011085A" w:rsidRPr="00800690" w:rsidRDefault="0011085A" w:rsidP="0011085A">
      <w:pPr>
        <w:pBdr>
          <w:top w:val="nil"/>
          <w:left w:val="nil"/>
          <w:bottom w:val="nil"/>
          <w:right w:val="nil"/>
          <w:between w:val="nil"/>
          <w:bar w:val="nil"/>
        </w:pBdr>
        <w:spacing w:before="0" w:after="240"/>
        <w:rPr>
          <w:rFonts w:eastAsia="Arial Unicode MS"/>
          <w:noProof/>
        </w:rPr>
      </w:pPr>
      <w:bookmarkStart w:id="14" w:name="_Hlk177838401"/>
      <w:r w:rsidRPr="00800690">
        <w:rPr>
          <w:noProof/>
        </w:rPr>
        <w:t>Les modalités de suivi sont prévues dans l’APPD et le nouveau protocole.</w:t>
      </w:r>
    </w:p>
    <w:bookmarkEnd w:id="14"/>
    <w:p w:rsidR="008F6A33" w:rsidRPr="00800690" w:rsidRDefault="000531EB" w:rsidP="008F6A33">
      <w:pPr>
        <w:keepNext/>
        <w:tabs>
          <w:tab w:val="left" w:pos="850"/>
        </w:tabs>
        <w:ind w:left="850" w:hanging="850"/>
        <w:outlineLvl w:val="1"/>
        <w:rPr>
          <w:rFonts w:eastAsia="Arial Unicode MS"/>
          <w:b/>
          <w:noProof/>
          <w:szCs w:val="24"/>
          <w:u w:color="000000"/>
          <w:bdr w:val="nil"/>
        </w:rPr>
      </w:pPr>
      <w:r w:rsidRPr="00800690">
        <w:rPr>
          <w:noProof/>
          <w:u w:color="000000"/>
          <w:bdr w:val="nil"/>
        </w:rPr>
        <w:t>•</w:t>
      </w:r>
      <w:r w:rsidRPr="00800690">
        <w:rPr>
          <w:noProof/>
        </w:rPr>
        <w:tab/>
      </w:r>
      <w:r w:rsidRPr="00800690">
        <w:rPr>
          <w:b/>
          <w:noProof/>
          <w:u w:color="000000"/>
          <w:bdr w:val="nil"/>
        </w:rPr>
        <w:t>Texte de l’accord et notifications</w:t>
      </w:r>
    </w:p>
    <w:p w:rsidR="008F6A33" w:rsidRPr="00800690" w:rsidRDefault="008F6A33" w:rsidP="008F6A33">
      <w:pPr>
        <w:rPr>
          <w:rFonts w:eastAsia="Aptos"/>
          <w:noProof/>
          <w:kern w:val="2"/>
          <w:szCs w:val="24"/>
          <w14:ligatures w14:val="standardContextual"/>
        </w:rPr>
      </w:pPr>
      <w:r w:rsidRPr="00800690">
        <w:rPr>
          <w:noProof/>
        </w:rPr>
        <w:t>Le texte de l’accord est soumis au Conseil en même temps que la présente proposition.</w:t>
      </w:r>
    </w:p>
    <w:p w:rsidR="008F6A33" w:rsidRPr="00800690" w:rsidRDefault="008F6A33" w:rsidP="008F6A33">
      <w:pPr>
        <w:spacing w:before="0" w:after="160" w:line="259" w:lineRule="auto"/>
        <w:rPr>
          <w:rFonts w:eastAsia="Aptos"/>
          <w:noProof/>
          <w:kern w:val="2"/>
          <w:szCs w:val="24"/>
          <w14:ligatures w14:val="standardContextual"/>
        </w:rPr>
      </w:pPr>
      <w:r w:rsidRPr="00800690">
        <w:rPr>
          <w:noProof/>
        </w:rPr>
        <w:t xml:space="preserve">Conformément aux traités, il appartient à la Commission de procéder à la notification prévue à l’article 21 du protocole, à l’effet d’exprimer le consentement de l’Union à être liée par le protocole. </w:t>
      </w:r>
    </w:p>
    <w:p w:rsidR="008F6A33" w:rsidRPr="00800690" w:rsidRDefault="008F6A33" w:rsidP="008F6A33">
      <w:pPr>
        <w:pStyle w:val="ManualHeading2"/>
        <w:rPr>
          <w:noProof/>
        </w:rPr>
      </w:pPr>
    </w:p>
    <w:p w:rsidR="000531EB" w:rsidRPr="00800690" w:rsidRDefault="000531EB" w:rsidP="00653BBE">
      <w:pPr>
        <w:pBdr>
          <w:top w:val="nil"/>
          <w:left w:val="nil"/>
          <w:bottom w:val="nil"/>
          <w:right w:val="nil"/>
          <w:between w:val="nil"/>
          <w:bar w:val="nil"/>
        </w:pBdr>
        <w:spacing w:before="0" w:after="240"/>
        <w:rPr>
          <w:noProof/>
        </w:rPr>
        <w:sectPr w:rsidR="000531EB" w:rsidRPr="00800690" w:rsidSect="00EC3F4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290CAD" w:rsidRDefault="004D4459">
      <w:pPr>
        <w:pStyle w:val="Rfrenceinterinstitutionnelle"/>
        <w:rPr>
          <w:noProof/>
        </w:rPr>
      </w:pPr>
      <w:r>
        <w:rPr>
          <w:noProof/>
        </w:rPr>
        <w:lastRenderedPageBreak/>
        <w:t>2026/0107 (NLE)</w:t>
      </w:r>
    </w:p>
    <w:p w:rsidR="000531EB" w:rsidRPr="00800690" w:rsidRDefault="00800690" w:rsidP="00800690">
      <w:pPr>
        <w:pStyle w:val="Statut"/>
        <w:rPr>
          <w:noProof/>
        </w:rPr>
      </w:pPr>
      <w:r w:rsidRPr="00800690">
        <w:rPr>
          <w:noProof/>
        </w:rPr>
        <w:t>Proposition de</w:t>
      </w:r>
    </w:p>
    <w:p w:rsidR="000531EB" w:rsidRPr="00800690" w:rsidRDefault="00800690" w:rsidP="00800690">
      <w:pPr>
        <w:pStyle w:val="Typedudocument"/>
        <w:rPr>
          <w:noProof/>
        </w:rPr>
      </w:pPr>
      <w:r w:rsidRPr="00800690">
        <w:rPr>
          <w:noProof/>
        </w:rPr>
        <w:t>DÉCISION DU CONSEIL</w:t>
      </w:r>
    </w:p>
    <w:p w:rsidR="000531EB" w:rsidRPr="00800690" w:rsidRDefault="00800690" w:rsidP="00800690">
      <w:pPr>
        <w:pStyle w:val="Titreobjet"/>
        <w:rPr>
          <w:noProof/>
        </w:rPr>
      </w:pPr>
      <w:r w:rsidRPr="00800690">
        <w:rPr>
          <w:noProof/>
        </w:rPr>
        <w:t xml:space="preserve">relative à la conclusion, au nom de l’Union européenne, du protocole de mise en œuvre de l’accord de partenariat dans le domaine de la pêche durable entre l’Union européenne et la République des Seychelles (2026-2030) </w:t>
      </w:r>
      <w:r w:rsidRPr="00800690">
        <w:rPr>
          <w:noProof/>
        </w:rPr>
        <w:br/>
      </w:r>
    </w:p>
    <w:p w:rsidR="000531EB" w:rsidRPr="00800690" w:rsidRDefault="000531EB" w:rsidP="00197315">
      <w:pPr>
        <w:pStyle w:val="Institutionquiagit"/>
        <w:rPr>
          <w:noProof/>
        </w:rPr>
      </w:pPr>
      <w:r w:rsidRPr="00800690">
        <w:rPr>
          <w:noProof/>
        </w:rPr>
        <w:t>LE CONSEIL DE L’UNION EUROPÉENNE,</w:t>
      </w:r>
    </w:p>
    <w:p w:rsidR="000531EB" w:rsidRPr="00800690" w:rsidRDefault="000531EB" w:rsidP="00197315">
      <w:pPr>
        <w:rPr>
          <w:noProof/>
        </w:rPr>
      </w:pPr>
      <w:r w:rsidRPr="00800690">
        <w:rPr>
          <w:noProof/>
        </w:rPr>
        <w:t>vu le traité sur le fonctionnement de l'Union européenne, et notamment son article 43, paragraphe 2, en liaison avec l'article 218, paragraphe 6, deuxième alinéa, point a) v), et l'article 218, paragraphe 7,</w:t>
      </w:r>
    </w:p>
    <w:p w:rsidR="000531EB" w:rsidRPr="00800690" w:rsidRDefault="000531EB" w:rsidP="00197315">
      <w:pPr>
        <w:rPr>
          <w:noProof/>
        </w:rPr>
      </w:pPr>
      <w:r w:rsidRPr="00800690">
        <w:rPr>
          <w:noProof/>
        </w:rPr>
        <w:t>vu la proposition de la Commission européenne,</w:t>
      </w:r>
    </w:p>
    <w:p w:rsidR="000531EB" w:rsidRPr="00800690" w:rsidRDefault="000531EB" w:rsidP="00197315">
      <w:pPr>
        <w:rPr>
          <w:noProof/>
        </w:rPr>
      </w:pPr>
      <w:r w:rsidRPr="00800690">
        <w:rPr>
          <w:noProof/>
        </w:rPr>
        <w:t>vu l’approbation du Parlement européen,</w:t>
      </w:r>
    </w:p>
    <w:p w:rsidR="000531EB" w:rsidRPr="00800690" w:rsidRDefault="000531EB" w:rsidP="00197315">
      <w:pPr>
        <w:rPr>
          <w:noProof/>
        </w:rPr>
      </w:pPr>
      <w:r w:rsidRPr="00800690">
        <w:rPr>
          <w:noProof/>
        </w:rPr>
        <w:t>considérant ce qui suit:</w:t>
      </w:r>
    </w:p>
    <w:p w:rsidR="000531EB" w:rsidRPr="00800690" w:rsidRDefault="00D313B9" w:rsidP="00593C11">
      <w:pPr>
        <w:pStyle w:val="ManualConsidrant"/>
        <w:rPr>
          <w:noProof/>
        </w:rPr>
      </w:pPr>
      <w:r>
        <w:rPr>
          <w:noProof/>
        </w:rPr>
        <w:t>(1)</w:t>
      </w:r>
      <w:r>
        <w:rPr>
          <w:noProof/>
        </w:rPr>
        <w:tab/>
      </w:r>
      <w:r w:rsidRPr="00800690">
        <w:rPr>
          <w:noProof/>
        </w:rPr>
        <w:t>Conformément à la décision [XXX] du [...] du Conseil</w:t>
      </w:r>
      <w:r w:rsidRPr="00800690">
        <w:rPr>
          <w:rStyle w:val="FootnoteReference"/>
          <w:noProof/>
        </w:rPr>
        <w:footnoteReference w:id="4"/>
      </w:r>
      <w:r w:rsidRPr="00800690">
        <w:rPr>
          <w:noProof/>
        </w:rPr>
        <w:t>, le protocole de mise en œuvre  de l’accord de partenariat dans le domaine de la pêche durable entre l’Union européenne et la République des Seychelles (2026-2030) (ci-après dénommé «protocole») a été signé le [….], sous réserve de sa conclusion à une date ultérieure et est appliqué à titre provisoire depuis sa signature, dans l’attente de son entrée en vigueur.</w:t>
      </w:r>
    </w:p>
    <w:p w:rsidR="000531EB" w:rsidRPr="00800690" w:rsidRDefault="00D313B9" w:rsidP="006F4E5C">
      <w:pPr>
        <w:pStyle w:val="ManualConsidrant"/>
        <w:rPr>
          <w:noProof/>
        </w:rPr>
      </w:pPr>
      <w:r>
        <w:rPr>
          <w:noProof/>
        </w:rPr>
        <w:t>(2)</w:t>
      </w:r>
      <w:r>
        <w:rPr>
          <w:noProof/>
        </w:rPr>
        <w:tab/>
      </w:r>
      <w:r w:rsidRPr="00800690">
        <w:rPr>
          <w:noProof/>
        </w:rPr>
        <w:t>Le protocole a pour objectifs d’autoriser les navires de l’Union à pratiquer la pêche dans la zone de pêche des Seychelles et de permettre à l’Union et aux Seychelles de collaborer étroitement afin de continuer à promouvoir l’élaboration d’une politique de pêche durable et l’exploitation responsable des ressources halieutiques dans la zone de pêche des Seychelles et dans l’océan Indien. Cette coopération contribue également à l’instauration de conditions de travail décentes dans le secteur de la pêche.</w:t>
      </w:r>
    </w:p>
    <w:p w:rsidR="00D313B9" w:rsidRPr="00800690" w:rsidRDefault="00D313B9" w:rsidP="006F4E5C">
      <w:pPr>
        <w:pStyle w:val="ManualConsidrant"/>
        <w:rPr>
          <w:noProof/>
        </w:rPr>
      </w:pPr>
      <w:r>
        <w:rPr>
          <w:noProof/>
        </w:rPr>
        <w:t>(3)</w:t>
      </w:r>
      <w:r>
        <w:rPr>
          <w:noProof/>
        </w:rPr>
        <w:tab/>
      </w:r>
      <w:r w:rsidRPr="00800690">
        <w:rPr>
          <w:noProof/>
        </w:rPr>
        <w:t>Il convient d’approuver le protocole.</w:t>
      </w:r>
    </w:p>
    <w:p w:rsidR="00D313B9" w:rsidRPr="00800690" w:rsidRDefault="00D313B9" w:rsidP="006F4E5C">
      <w:pPr>
        <w:pStyle w:val="ManualConsidrant"/>
        <w:rPr>
          <w:noProof/>
        </w:rPr>
      </w:pPr>
      <w:r>
        <w:rPr>
          <w:noProof/>
        </w:rPr>
        <w:t>(4)</w:t>
      </w:r>
      <w:r>
        <w:rPr>
          <w:noProof/>
        </w:rPr>
        <w:tab/>
      </w:r>
      <w:r w:rsidRPr="00800690">
        <w:rPr>
          <w:noProof/>
        </w:rPr>
        <w:t>L’article 12 de l’accord de partenariat dans le domaine de la pêche durable entre l’Union européenne et la République des Seychelles (ci-après dénommé «accord») institue une commission mixte chargée de contrôler l’application de l’accord et du protocole. Cette commission a le pouvoir d’approuver certaines modifications du protocole. Afin de faciliter l’approbation de ces modifications, il convient d’habiliter la Commission, sous réserve de conditions de fond et de forme, à les approuver au nom de l’Union dans le cadre d’une procédure simplifiée.</w:t>
      </w:r>
    </w:p>
    <w:p w:rsidR="00D313B9" w:rsidRPr="00800690" w:rsidRDefault="00D313B9" w:rsidP="006F4E5C">
      <w:pPr>
        <w:pStyle w:val="ManualConsidrant"/>
        <w:rPr>
          <w:noProof/>
        </w:rPr>
      </w:pPr>
      <w:r>
        <w:rPr>
          <w:noProof/>
        </w:rPr>
        <w:t>(5)</w:t>
      </w:r>
      <w:r>
        <w:rPr>
          <w:noProof/>
        </w:rPr>
        <w:tab/>
      </w:r>
      <w:r w:rsidRPr="00800690">
        <w:rPr>
          <w:noProof/>
        </w:rPr>
        <w:t>Le Contrôleur européen de la protection des données a été consulté conformément à l'article 42 du règlement (UE) 2018/1725 du Parlement européen et du Conseil</w:t>
      </w:r>
      <w:r w:rsidRPr="00800690">
        <w:rPr>
          <w:rStyle w:val="FootnoteReference"/>
          <w:noProof/>
        </w:rPr>
        <w:footnoteReference w:id="5"/>
      </w:r>
      <w:r w:rsidRPr="00800690">
        <w:rPr>
          <w:noProof/>
        </w:rPr>
        <w:t xml:space="preserve"> et a rendu un avis le [date],</w:t>
      </w:r>
    </w:p>
    <w:p w:rsidR="000531EB" w:rsidRPr="00800690" w:rsidRDefault="000531EB" w:rsidP="00197315">
      <w:pPr>
        <w:pStyle w:val="Formuledadoption"/>
        <w:rPr>
          <w:noProof/>
        </w:rPr>
      </w:pPr>
      <w:r w:rsidRPr="00800690">
        <w:rPr>
          <w:noProof/>
        </w:rPr>
        <w:lastRenderedPageBreak/>
        <w:t>A ADOPTÉ LA PRÉSENTE DÉCISION:</w:t>
      </w:r>
    </w:p>
    <w:p w:rsidR="000531EB" w:rsidRPr="00800690" w:rsidRDefault="000531EB" w:rsidP="00197315">
      <w:pPr>
        <w:pStyle w:val="Titrearticle"/>
        <w:rPr>
          <w:noProof/>
        </w:rPr>
      </w:pPr>
      <w:r w:rsidRPr="00800690">
        <w:rPr>
          <w:noProof/>
        </w:rPr>
        <w:t>Article premier</w:t>
      </w:r>
    </w:p>
    <w:p w:rsidR="00D313B9" w:rsidRPr="00800690" w:rsidRDefault="00D313B9" w:rsidP="00D313B9">
      <w:pPr>
        <w:rPr>
          <w:noProof/>
        </w:rPr>
      </w:pPr>
      <w:r w:rsidRPr="00800690">
        <w:rPr>
          <w:noProof/>
        </w:rPr>
        <w:t>Le protocole de mise en œuvre de l’accord de partenariat dans le domaine de la pêche durable entre l’Union européenne et la République des Seychelles (ci-après dénommé «protocole») est approuvé.</w:t>
      </w:r>
    </w:p>
    <w:p w:rsidR="008073E7" w:rsidRPr="00800690" w:rsidRDefault="008073E7" w:rsidP="00D313B9">
      <w:pPr>
        <w:rPr>
          <w:noProof/>
        </w:rPr>
      </w:pPr>
      <w:r w:rsidRPr="00800690">
        <w:rPr>
          <w:noProof/>
        </w:rPr>
        <w:t>Le texte du protocole figure à l'annexe I.</w:t>
      </w:r>
    </w:p>
    <w:p w:rsidR="00D313B9" w:rsidRPr="00800690" w:rsidRDefault="00D313B9" w:rsidP="00D313B9">
      <w:pPr>
        <w:pStyle w:val="Titrearticle"/>
        <w:keepNext w:val="0"/>
        <w:rPr>
          <w:noProof/>
        </w:rPr>
      </w:pPr>
      <w:r w:rsidRPr="00800690">
        <w:rPr>
          <w:noProof/>
        </w:rPr>
        <w:t>Article 2</w:t>
      </w:r>
    </w:p>
    <w:p w:rsidR="00D313B9" w:rsidRPr="00800690" w:rsidRDefault="00D313B9" w:rsidP="00D313B9">
      <w:pPr>
        <w:rPr>
          <w:noProof/>
        </w:rPr>
      </w:pPr>
      <w:r w:rsidRPr="00800690">
        <w:rPr>
          <w:noProof/>
        </w:rPr>
        <w:t>Conformément à la procédure et aux conditions énoncées à l'annexe II de la présente décision, la Commission est habilitée à approuver les modifications du protocole adoptées par la commission mixte instituée conformément à l'article 12 de l'accord.</w:t>
      </w:r>
    </w:p>
    <w:p w:rsidR="000531EB" w:rsidRPr="00800690" w:rsidRDefault="00D313B9" w:rsidP="00751DDA">
      <w:pPr>
        <w:pStyle w:val="Titrearticle"/>
        <w:rPr>
          <w:noProof/>
        </w:rPr>
      </w:pPr>
      <w:r w:rsidRPr="00800690">
        <w:rPr>
          <w:noProof/>
        </w:rPr>
        <w:t>Article</w:t>
      </w:r>
      <w:bookmarkStart w:id="15" w:name="_Hlk126129799"/>
      <w:r w:rsidRPr="00800690">
        <w:rPr>
          <w:noProof/>
        </w:rPr>
        <w:t xml:space="preserve"> 3 </w:t>
      </w:r>
      <w:r w:rsidRPr="00800690">
        <w:rPr>
          <w:noProof/>
        </w:rPr>
        <w:br/>
      </w:r>
      <w:bookmarkEnd w:id="15"/>
    </w:p>
    <w:p w:rsidR="000531EB" w:rsidRPr="00800690" w:rsidRDefault="000531EB" w:rsidP="00197315">
      <w:pPr>
        <w:keepLines/>
        <w:rPr>
          <w:noProof/>
        </w:rPr>
      </w:pPr>
      <w:r w:rsidRPr="00800690">
        <w:rPr>
          <w:noProof/>
        </w:rPr>
        <w:t xml:space="preserve">La présente décision entre en vigueur le septième jour suivant celui de sa publication au </w:t>
      </w:r>
      <w:r w:rsidRPr="00800690">
        <w:rPr>
          <w:i/>
          <w:noProof/>
        </w:rPr>
        <w:t>Journal officiel de l’Union européenne</w:t>
      </w:r>
      <w:r w:rsidRPr="00800690">
        <w:rPr>
          <w:noProof/>
        </w:rPr>
        <w:t>.</w:t>
      </w:r>
    </w:p>
    <w:p w:rsidR="000531EB" w:rsidRPr="00800690" w:rsidRDefault="00800690" w:rsidP="00751DDA">
      <w:pPr>
        <w:pStyle w:val="Fait"/>
        <w:rPr>
          <w:noProof/>
        </w:rPr>
      </w:pPr>
      <w:r>
        <w:rPr>
          <w:noProof/>
        </w:rPr>
        <w:t>Fait à Bruxelles, le</w:t>
      </w:r>
    </w:p>
    <w:p w:rsidR="000531EB" w:rsidRPr="00800690" w:rsidRDefault="000531EB" w:rsidP="00751DDA">
      <w:pPr>
        <w:pStyle w:val="Institutionquisigne"/>
        <w:rPr>
          <w:noProof/>
        </w:rPr>
      </w:pPr>
      <w:r w:rsidRPr="00800690">
        <w:rPr>
          <w:noProof/>
        </w:rPr>
        <w:tab/>
        <w:t>Par le Conseil</w:t>
      </w:r>
    </w:p>
    <w:p w:rsidR="000531EB" w:rsidRPr="00800690" w:rsidRDefault="000531EB" w:rsidP="000531EB">
      <w:pPr>
        <w:pStyle w:val="Personnequisigne"/>
        <w:rPr>
          <w:noProof/>
        </w:rPr>
      </w:pPr>
      <w:r w:rsidRPr="00800690">
        <w:rPr>
          <w:noProof/>
        </w:rPr>
        <w:tab/>
        <w:t>Le président</w:t>
      </w:r>
    </w:p>
    <w:p w:rsidR="000531EB" w:rsidRPr="00800690" w:rsidRDefault="000531EB" w:rsidP="000531EB">
      <w:pPr>
        <w:rPr>
          <w:noProof/>
        </w:rPr>
        <w:sectPr w:rsidR="000531EB" w:rsidRPr="00800690" w:rsidSect="00EC3F4C">
          <w:pgSz w:w="11907" w:h="16839"/>
          <w:pgMar w:top="1134" w:right="1417" w:bottom="1134" w:left="1417" w:header="709" w:footer="709" w:gutter="0"/>
          <w:cols w:space="708"/>
          <w:docGrid w:linePitch="360"/>
        </w:sectPr>
      </w:pPr>
    </w:p>
    <w:p w:rsidR="000531EB" w:rsidRPr="00800690" w:rsidRDefault="000531EB" w:rsidP="00E923B5">
      <w:pPr>
        <w:pStyle w:val="Fichefinanciretitre"/>
        <w:keepNext/>
        <w:rPr>
          <w:noProof/>
        </w:rPr>
      </w:pPr>
      <w:r w:rsidRPr="00800690">
        <w:rPr>
          <w:noProof/>
        </w:rPr>
        <w:lastRenderedPageBreak/>
        <w:t>FICHE FINANCIÈRE ET NUMÉRIQUE LÉGISLATIVE</w:t>
      </w:r>
    </w:p>
    <w:p w:rsidR="000531EB" w:rsidRPr="00800690" w:rsidRDefault="000531EB" w:rsidP="00E923B5">
      <w:pPr>
        <w:pStyle w:val="TOC1"/>
        <w:rPr>
          <w:rFonts w:asciiTheme="minorHAnsi" w:eastAsiaTheme="minorEastAsia" w:hAnsiTheme="minorHAnsi" w:cstheme="minorBidi"/>
          <w:noProof/>
          <w:kern w:val="2"/>
          <w:sz w:val="22"/>
          <w14:ligatures w14:val="standardContextual"/>
        </w:rPr>
      </w:pPr>
      <w:r w:rsidRPr="00800690">
        <w:rPr>
          <w:noProof/>
        </w:rPr>
        <w:t>1.</w:t>
      </w:r>
      <w:r w:rsidRPr="00800690">
        <w:rPr>
          <w:noProof/>
        </w:rPr>
        <w:tab/>
        <w:t>CADRE DE LA PROPOSITION/DE L’INITIATIVE</w:t>
      </w:r>
      <w:r w:rsidRPr="00800690">
        <w:rPr>
          <w:noProof/>
        </w:rPr>
        <w:tab/>
      </w:r>
      <w:r w:rsidRPr="00800690">
        <w:rPr>
          <w:noProof/>
          <w:webHidden/>
        </w:rPr>
        <w:t>3.</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1.1.</w:t>
      </w:r>
      <w:r w:rsidRPr="00800690">
        <w:rPr>
          <w:noProof/>
        </w:rPr>
        <w:tab/>
        <w:t>Dénomination de la proposition/de l’initiative</w:t>
      </w:r>
      <w:r w:rsidRPr="00800690">
        <w:rPr>
          <w:noProof/>
        </w:rPr>
        <w:tab/>
      </w:r>
      <w:r w:rsidRPr="00800690">
        <w:rPr>
          <w:noProof/>
          <w:webHidden/>
        </w:rPr>
        <w:t>3.</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1.2.</w:t>
      </w:r>
      <w:r w:rsidRPr="00800690">
        <w:rPr>
          <w:noProof/>
        </w:rPr>
        <w:tab/>
        <w:t>Domaine(s) politique(s) concerné(s)</w:t>
      </w:r>
      <w:r w:rsidRPr="00800690">
        <w:rPr>
          <w:noProof/>
        </w:rPr>
        <w:tab/>
      </w:r>
      <w:r w:rsidRPr="00800690">
        <w:rPr>
          <w:noProof/>
          <w:webHidden/>
        </w:rPr>
        <w:t>3.</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1.3.</w:t>
      </w:r>
      <w:r w:rsidRPr="00800690">
        <w:rPr>
          <w:noProof/>
        </w:rPr>
        <w:tab/>
        <w:t>Objectif(s)</w:t>
      </w:r>
      <w:r w:rsidRPr="00800690">
        <w:rPr>
          <w:noProof/>
        </w:rPr>
        <w:tab/>
      </w:r>
      <w:r w:rsidRPr="00800690">
        <w:rPr>
          <w:noProof/>
          <w:webHidden/>
        </w:rPr>
        <w:t>3.</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1.3.1.</w:t>
      </w:r>
      <w:r w:rsidRPr="00800690">
        <w:rPr>
          <w:noProof/>
        </w:rPr>
        <w:tab/>
        <w:t>Objectif général/objectifs généraux</w:t>
      </w:r>
      <w:r w:rsidRPr="00800690">
        <w:rPr>
          <w:noProof/>
        </w:rPr>
        <w:tab/>
      </w:r>
      <w:r w:rsidRPr="00800690">
        <w:rPr>
          <w:noProof/>
          <w:webHidden/>
        </w:rPr>
        <w:t>3.</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1.3.2.</w:t>
      </w:r>
      <w:r w:rsidRPr="00800690">
        <w:rPr>
          <w:noProof/>
        </w:rPr>
        <w:tab/>
        <w:t>Objectif(s) spécifique(s)</w:t>
      </w:r>
      <w:r w:rsidRPr="00800690">
        <w:rPr>
          <w:noProof/>
        </w:rPr>
        <w:tab/>
      </w:r>
      <w:r w:rsidRPr="00800690">
        <w:rPr>
          <w:noProof/>
          <w:webHidden/>
        </w:rPr>
        <w:t>3.</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1.3.3.</w:t>
      </w:r>
      <w:r w:rsidRPr="00800690">
        <w:rPr>
          <w:noProof/>
        </w:rPr>
        <w:tab/>
        <w:t>Résultat(s) et incidence(s) attendus</w:t>
      </w:r>
      <w:r w:rsidRPr="00800690">
        <w:rPr>
          <w:noProof/>
        </w:rPr>
        <w:tab/>
      </w:r>
      <w:r w:rsidRPr="00800690">
        <w:rPr>
          <w:noProof/>
          <w:webHidden/>
        </w:rPr>
        <w:t>3.</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1.3.4.</w:t>
      </w:r>
      <w:r w:rsidRPr="00800690">
        <w:rPr>
          <w:noProof/>
        </w:rPr>
        <w:tab/>
        <w:t>Indicateurs de performance</w:t>
      </w:r>
      <w:r w:rsidRPr="00800690">
        <w:rPr>
          <w:noProof/>
        </w:rPr>
        <w:tab/>
      </w:r>
      <w:r w:rsidRPr="00800690">
        <w:rPr>
          <w:noProof/>
          <w:webHidden/>
        </w:rPr>
        <w:t>3.</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1.4.</w:t>
      </w:r>
      <w:r w:rsidRPr="00800690">
        <w:rPr>
          <w:noProof/>
        </w:rPr>
        <w:tab/>
        <w:t>La proposition/l’initiative porte sur:</w:t>
      </w:r>
      <w:r w:rsidRPr="00800690">
        <w:rPr>
          <w:noProof/>
        </w:rPr>
        <w:tab/>
      </w:r>
      <w:r w:rsidRPr="00800690">
        <w:rPr>
          <w:noProof/>
          <w:webHidden/>
        </w:rPr>
        <w:t>4.</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1.5.</w:t>
      </w:r>
      <w:r w:rsidRPr="00800690">
        <w:rPr>
          <w:noProof/>
        </w:rPr>
        <w:tab/>
        <w:t>Justification(s) de la proposition/de l’initiative</w:t>
      </w:r>
      <w:r w:rsidRPr="00800690">
        <w:rPr>
          <w:noProof/>
        </w:rPr>
        <w:tab/>
      </w:r>
      <w:r w:rsidRPr="00800690">
        <w:rPr>
          <w:noProof/>
          <w:webHidden/>
        </w:rPr>
        <w:t>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1.5.1.</w:t>
      </w:r>
      <w:r w:rsidRPr="00800690">
        <w:rPr>
          <w:noProof/>
        </w:rPr>
        <w:tab/>
        <w:t>Besoin(s) à satisfaire à court ou à long terme, assorti(s) d’un calendrier détaillé pour la mise en œuvre de l’initiative</w:t>
      </w:r>
      <w:r w:rsidRPr="00800690">
        <w:rPr>
          <w:noProof/>
        </w:rPr>
        <w:tab/>
      </w:r>
      <w:r w:rsidRPr="00800690">
        <w:rPr>
          <w:noProof/>
          <w:webHidden/>
        </w:rPr>
        <w:t>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1.5.2.</w:t>
      </w:r>
      <w:r w:rsidRPr="00800690">
        <w:rPr>
          <w:noProof/>
        </w:rPr>
        <w:tab/>
        <w:t>Valeur ajoutée de l’intervention de l’Union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800690">
        <w:rPr>
          <w:noProof/>
        </w:rPr>
        <w:tab/>
      </w:r>
      <w:r w:rsidRPr="00800690">
        <w:rPr>
          <w:noProof/>
          <w:webHidden/>
        </w:rPr>
        <w:t>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1.5.3.</w:t>
      </w:r>
      <w:r w:rsidRPr="00800690">
        <w:rPr>
          <w:noProof/>
        </w:rPr>
        <w:tab/>
        <w:t>Leçons tirées d’expériences similaires</w:t>
      </w:r>
      <w:r w:rsidRPr="00800690">
        <w:rPr>
          <w:noProof/>
        </w:rPr>
        <w:tab/>
      </w:r>
      <w:r w:rsidRPr="00800690">
        <w:rPr>
          <w:noProof/>
          <w:webHidden/>
        </w:rPr>
        <w:t>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1.5.4.</w:t>
      </w:r>
      <w:r w:rsidRPr="00800690">
        <w:rPr>
          <w:noProof/>
        </w:rPr>
        <w:tab/>
        <w:t>Compatibilité avec le cadre financier pluriannuel et synergies éventuelles avec d’autres instruments appropriés</w:t>
      </w:r>
      <w:r w:rsidRPr="00800690">
        <w:rPr>
          <w:noProof/>
        </w:rPr>
        <w:tab/>
      </w:r>
      <w:r w:rsidRPr="00800690">
        <w:rPr>
          <w:noProof/>
          <w:webHidden/>
        </w:rPr>
        <w:t>5.</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1.5.5.</w:t>
      </w:r>
      <w:r w:rsidRPr="00800690">
        <w:rPr>
          <w:noProof/>
        </w:rPr>
        <w:tab/>
        <w:t>Évaluation des différentes possibilités de financement disponibles, y compris des possibilités de redéploiement</w:t>
      </w:r>
      <w:r w:rsidRPr="00800690">
        <w:rPr>
          <w:noProof/>
        </w:rPr>
        <w:tab/>
      </w:r>
      <w:r w:rsidRPr="00800690">
        <w:rPr>
          <w:noProof/>
          <w:webHidden/>
        </w:rPr>
        <w:t>5.</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1.6.</w:t>
      </w:r>
      <w:r w:rsidRPr="00800690">
        <w:rPr>
          <w:noProof/>
        </w:rPr>
        <w:tab/>
        <w:t>Durée de la proposition/de l’initiative et de son incidence financière</w:t>
      </w:r>
      <w:r w:rsidRPr="00800690">
        <w:rPr>
          <w:noProof/>
        </w:rPr>
        <w:tab/>
      </w:r>
      <w:r w:rsidRPr="00800690">
        <w:rPr>
          <w:noProof/>
          <w:webHidden/>
        </w:rPr>
        <w:t>6.</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1.7.</w:t>
      </w:r>
      <w:r w:rsidRPr="00800690">
        <w:rPr>
          <w:noProof/>
        </w:rPr>
        <w:tab/>
        <w:t>Mode(s) d’exécution budgétaire prévu(s)</w:t>
      </w:r>
      <w:r w:rsidRPr="00800690">
        <w:rPr>
          <w:noProof/>
        </w:rPr>
        <w:tab/>
      </w:r>
      <w:r w:rsidRPr="00800690">
        <w:rPr>
          <w:noProof/>
          <w:webHidden/>
        </w:rPr>
        <w:t>6.</w:t>
      </w:r>
    </w:p>
    <w:p w:rsidR="000531EB" w:rsidRPr="00800690" w:rsidRDefault="000531EB" w:rsidP="00E923B5">
      <w:pPr>
        <w:pStyle w:val="TOC1"/>
        <w:rPr>
          <w:rFonts w:asciiTheme="minorHAnsi" w:eastAsiaTheme="minorEastAsia" w:hAnsiTheme="minorHAnsi" w:cstheme="minorBidi"/>
          <w:noProof/>
          <w:kern w:val="2"/>
          <w:sz w:val="22"/>
          <w14:ligatures w14:val="standardContextual"/>
        </w:rPr>
      </w:pPr>
      <w:r w:rsidRPr="00800690">
        <w:rPr>
          <w:noProof/>
        </w:rPr>
        <w:t>2.</w:t>
      </w:r>
      <w:r w:rsidRPr="00800690">
        <w:rPr>
          <w:noProof/>
        </w:rPr>
        <w:tab/>
        <w:t>MESURES DE GESTION</w:t>
      </w:r>
      <w:r w:rsidRPr="00800690">
        <w:rPr>
          <w:noProof/>
        </w:rPr>
        <w:tab/>
      </w:r>
      <w:r w:rsidRPr="00800690">
        <w:rPr>
          <w:noProof/>
          <w:webHidden/>
        </w:rPr>
        <w:t>8</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2.1.</w:t>
      </w:r>
      <w:r w:rsidRPr="00800690">
        <w:rPr>
          <w:noProof/>
        </w:rPr>
        <w:tab/>
        <w:t>Dispositions en matière de suivi et de compte rendu</w:t>
      </w:r>
      <w:r w:rsidRPr="00800690">
        <w:rPr>
          <w:noProof/>
        </w:rPr>
        <w:tab/>
      </w:r>
      <w:r w:rsidRPr="00800690">
        <w:rPr>
          <w:noProof/>
          <w:webHidden/>
        </w:rPr>
        <w:t>8</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2.2.</w:t>
      </w:r>
      <w:r w:rsidRPr="00800690">
        <w:rPr>
          <w:noProof/>
        </w:rPr>
        <w:tab/>
        <w:t>Système(s) de gestion et de contrôle</w:t>
      </w:r>
      <w:r w:rsidRPr="00800690">
        <w:rPr>
          <w:noProof/>
        </w:rPr>
        <w:tab/>
      </w:r>
      <w:r w:rsidRPr="00800690">
        <w:rPr>
          <w:noProof/>
          <w:webHidden/>
        </w:rPr>
        <w:t>8</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2.2.1.</w:t>
      </w:r>
      <w:r w:rsidRPr="00800690">
        <w:rPr>
          <w:noProof/>
        </w:rPr>
        <w:tab/>
        <w:t>Justification du (des) mode(s) d’exécution budgétaire, du (des) mécanisme(s) de mise en œuvre du financement, des modalités de paiement et de la stratégie de contrôle proposée</w:t>
      </w:r>
      <w:r w:rsidRPr="00800690">
        <w:rPr>
          <w:noProof/>
        </w:rPr>
        <w:tab/>
      </w:r>
      <w:r w:rsidRPr="00800690">
        <w:rPr>
          <w:noProof/>
          <w:webHidden/>
        </w:rPr>
        <w:t>8</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2.2.2.</w:t>
      </w:r>
      <w:r w:rsidRPr="00800690">
        <w:rPr>
          <w:noProof/>
        </w:rPr>
        <w:tab/>
        <w:t>Informations sur les risques recensés et sur le(s) système(s) de contrôle interne mis en place pour les atténuer</w:t>
      </w:r>
      <w:r w:rsidRPr="00800690">
        <w:rPr>
          <w:noProof/>
        </w:rPr>
        <w:tab/>
      </w:r>
      <w:r w:rsidRPr="00800690">
        <w:rPr>
          <w:noProof/>
          <w:webHidden/>
        </w:rPr>
        <w:t>8</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2.2.3.</w:t>
      </w:r>
      <w:r w:rsidRPr="00800690">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800690">
        <w:rPr>
          <w:noProof/>
        </w:rPr>
        <w:tab/>
      </w:r>
      <w:r w:rsidRPr="00800690">
        <w:rPr>
          <w:noProof/>
          <w:webHidden/>
        </w:rPr>
        <w:t>8</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2.3.</w:t>
      </w:r>
      <w:r w:rsidRPr="00800690">
        <w:rPr>
          <w:noProof/>
        </w:rPr>
        <w:tab/>
        <w:t>Mesures de prévention des fraudes et irrégularités</w:t>
      </w:r>
      <w:r w:rsidRPr="00800690">
        <w:rPr>
          <w:noProof/>
        </w:rPr>
        <w:tab/>
      </w:r>
      <w:r w:rsidRPr="00800690">
        <w:rPr>
          <w:noProof/>
          <w:webHidden/>
        </w:rPr>
        <w:t>9</w:t>
      </w:r>
    </w:p>
    <w:p w:rsidR="000531EB" w:rsidRPr="00800690" w:rsidRDefault="000531EB" w:rsidP="00E923B5">
      <w:pPr>
        <w:pStyle w:val="TOC1"/>
        <w:rPr>
          <w:rFonts w:asciiTheme="minorHAnsi" w:eastAsiaTheme="minorEastAsia" w:hAnsiTheme="minorHAnsi" w:cstheme="minorBidi"/>
          <w:noProof/>
          <w:kern w:val="2"/>
          <w:sz w:val="22"/>
          <w14:ligatures w14:val="standardContextual"/>
        </w:rPr>
      </w:pPr>
      <w:r w:rsidRPr="00800690">
        <w:rPr>
          <w:noProof/>
        </w:rPr>
        <w:t>3.</w:t>
      </w:r>
      <w:r w:rsidRPr="00800690">
        <w:rPr>
          <w:noProof/>
        </w:rPr>
        <w:tab/>
        <w:t>INCIDENCE FINANCIÈRE ESTIMÉE DE LA PROPOSITION/DE L’INITIATIVE</w:t>
      </w:r>
      <w:r w:rsidRPr="00800690">
        <w:rPr>
          <w:noProof/>
        </w:rPr>
        <w:tab/>
      </w:r>
      <w:r w:rsidRPr="00800690">
        <w:rPr>
          <w:noProof/>
          <w:webHidden/>
        </w:rPr>
        <w:t>10</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3.1.</w:t>
      </w:r>
      <w:r w:rsidRPr="00800690">
        <w:rPr>
          <w:noProof/>
        </w:rPr>
        <w:tab/>
        <w:t>Rubrique(s) du cadre financier pluriannuel et ligne(s) budgétaire(s) de dépenses concernée(s)</w:t>
      </w:r>
      <w:r w:rsidRPr="00800690">
        <w:rPr>
          <w:noProof/>
        </w:rPr>
        <w:tab/>
      </w:r>
      <w:r w:rsidRPr="00800690">
        <w:rPr>
          <w:noProof/>
          <w:webHidden/>
        </w:rPr>
        <w:t>10</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3.2.</w:t>
      </w:r>
      <w:r w:rsidRPr="00800690">
        <w:rPr>
          <w:noProof/>
        </w:rPr>
        <w:tab/>
        <w:t>Incidence financière estimée de la proposition sur les crédits</w:t>
      </w:r>
      <w:r w:rsidRPr="00800690">
        <w:rPr>
          <w:noProof/>
        </w:rPr>
        <w:tab/>
      </w:r>
      <w:r w:rsidRPr="00800690">
        <w:rPr>
          <w:noProof/>
          <w:webHidden/>
        </w:rPr>
        <w:t>12</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3.2.1.</w:t>
      </w:r>
      <w:r w:rsidRPr="00800690">
        <w:rPr>
          <w:noProof/>
        </w:rPr>
        <w:tab/>
        <w:t>Synthèse de l’incidence estimée sur les crédits opérationnels</w:t>
      </w:r>
      <w:r w:rsidRPr="00800690">
        <w:rPr>
          <w:noProof/>
        </w:rPr>
        <w:tab/>
      </w:r>
      <w:r w:rsidRPr="00800690">
        <w:rPr>
          <w:noProof/>
          <w:webHidden/>
        </w:rPr>
        <w:t>12</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3.2.1.1.</w:t>
      </w:r>
      <w:r w:rsidRPr="00800690">
        <w:rPr>
          <w:noProof/>
        </w:rPr>
        <w:tab/>
        <w:t>Crédits issus du budget voté</w:t>
      </w:r>
      <w:r w:rsidRPr="00800690">
        <w:rPr>
          <w:noProof/>
        </w:rPr>
        <w:tab/>
      </w:r>
      <w:r w:rsidRPr="00800690">
        <w:rPr>
          <w:noProof/>
          <w:webHidden/>
        </w:rPr>
        <w:t>12</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3.2.1.2.</w:t>
      </w:r>
      <w:r w:rsidRPr="00800690">
        <w:rPr>
          <w:noProof/>
        </w:rPr>
        <w:tab/>
        <w:t>Crédits issus de recettes affectées externes</w:t>
      </w:r>
      <w:r w:rsidRPr="00800690">
        <w:rPr>
          <w:noProof/>
        </w:rPr>
        <w:tab/>
      </w:r>
      <w:r w:rsidRPr="00800690">
        <w:rPr>
          <w:noProof/>
          <w:webHidden/>
        </w:rPr>
        <w:t>17</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3.2.2.</w:t>
      </w:r>
      <w:r w:rsidRPr="00800690">
        <w:rPr>
          <w:noProof/>
        </w:rPr>
        <w:tab/>
        <w:t>Estimation des réalisations financées à partir des crédits opérationnels</w:t>
      </w:r>
      <w:r w:rsidRPr="00800690">
        <w:rPr>
          <w:noProof/>
        </w:rPr>
        <w:tab/>
      </w:r>
      <w:r w:rsidRPr="00800690">
        <w:rPr>
          <w:noProof/>
          <w:webHidden/>
        </w:rPr>
        <w:t>22</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3.2.3.</w:t>
      </w:r>
      <w:r w:rsidRPr="00800690">
        <w:rPr>
          <w:noProof/>
        </w:rPr>
        <w:tab/>
        <w:t>Synthèse de l’incidence estimée sur les crédits administratifs</w:t>
      </w:r>
      <w:r w:rsidRPr="00800690">
        <w:rPr>
          <w:noProof/>
        </w:rPr>
        <w:tab/>
      </w:r>
      <w:r w:rsidRPr="00800690">
        <w:rPr>
          <w:noProof/>
          <w:webHidden/>
        </w:rPr>
        <w:t>24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3.2.3.1. Crédits issus du budget voté</w:t>
      </w:r>
      <w:r w:rsidRPr="00800690">
        <w:rPr>
          <w:noProof/>
        </w:rPr>
        <w:tab/>
      </w:r>
      <w:r w:rsidRPr="00800690">
        <w:rPr>
          <w:noProof/>
          <w:webHidden/>
        </w:rPr>
        <w:t>24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3.2.3.2.</w:t>
      </w:r>
      <w:r w:rsidRPr="00800690">
        <w:rPr>
          <w:noProof/>
        </w:rPr>
        <w:tab/>
        <w:t>Crédits issus de recettes affectées externes</w:t>
      </w:r>
      <w:r w:rsidRPr="00800690">
        <w:rPr>
          <w:noProof/>
        </w:rPr>
        <w:tab/>
      </w:r>
      <w:r w:rsidRPr="00800690">
        <w:rPr>
          <w:noProof/>
          <w:webHidden/>
        </w:rPr>
        <w:t>24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3.2.3.3.</w:t>
      </w:r>
      <w:r w:rsidRPr="00800690">
        <w:rPr>
          <w:noProof/>
        </w:rPr>
        <w:tab/>
        <w:t>Total des crédits</w:t>
      </w:r>
      <w:r w:rsidRPr="00800690">
        <w:rPr>
          <w:noProof/>
        </w:rPr>
        <w:tab/>
      </w:r>
      <w:r w:rsidRPr="00800690">
        <w:rPr>
          <w:noProof/>
          <w:webHidden/>
        </w:rPr>
        <w:t>24</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3.2.4.</w:t>
      </w:r>
      <w:r w:rsidRPr="00800690">
        <w:rPr>
          <w:noProof/>
        </w:rPr>
        <w:tab/>
        <w:t>Besoins estimés en ressources humaines</w:t>
      </w:r>
      <w:r w:rsidRPr="00800690">
        <w:rPr>
          <w:noProof/>
        </w:rPr>
        <w:tab/>
      </w:r>
      <w:r w:rsidRPr="00800690">
        <w:rPr>
          <w:noProof/>
          <w:webHidden/>
        </w:rPr>
        <w:t>25</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3.2.4.1.</w:t>
      </w:r>
      <w:r w:rsidRPr="00800690">
        <w:rPr>
          <w:noProof/>
        </w:rPr>
        <w:tab/>
        <w:t>Financement sur le budget voté</w:t>
      </w:r>
      <w:r w:rsidRPr="00800690">
        <w:rPr>
          <w:noProof/>
        </w:rPr>
        <w:tab/>
      </w:r>
      <w:r w:rsidRPr="00800690">
        <w:rPr>
          <w:noProof/>
          <w:webHidden/>
        </w:rPr>
        <w:t>25</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3.2.4.2.</w:t>
      </w:r>
      <w:r w:rsidRPr="00800690">
        <w:rPr>
          <w:noProof/>
        </w:rPr>
        <w:tab/>
        <w:t>Financement par des recettes affectées externes</w:t>
      </w:r>
      <w:r w:rsidRPr="00800690">
        <w:rPr>
          <w:noProof/>
        </w:rPr>
        <w:tab/>
      </w:r>
      <w:r w:rsidRPr="00800690">
        <w:rPr>
          <w:noProof/>
          <w:webHidden/>
        </w:rPr>
        <w:t>26</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3.2.4.3.</w:t>
      </w:r>
      <w:r w:rsidRPr="00800690">
        <w:rPr>
          <w:noProof/>
        </w:rPr>
        <w:tab/>
        <w:t>Total des besoins en ressources humaines</w:t>
      </w:r>
      <w:r w:rsidRPr="00800690">
        <w:rPr>
          <w:noProof/>
        </w:rPr>
        <w:tab/>
      </w:r>
      <w:r w:rsidRPr="00800690">
        <w:rPr>
          <w:noProof/>
          <w:webHidden/>
        </w:rPr>
        <w:t>26</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3.2.5.</w:t>
      </w:r>
      <w:r w:rsidRPr="00800690">
        <w:rPr>
          <w:noProof/>
        </w:rPr>
        <w:tab/>
        <w:t>Vue d’ensemble de l’incidence estimée sur les investissements liés aux technologies numériques</w:t>
      </w:r>
      <w:r w:rsidRPr="00800690">
        <w:rPr>
          <w:noProof/>
        </w:rPr>
        <w:tab/>
      </w:r>
      <w:r w:rsidRPr="00800690">
        <w:rPr>
          <w:noProof/>
          <w:webHidden/>
        </w:rPr>
        <w:t>28</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3.2.6.</w:t>
      </w:r>
      <w:r w:rsidRPr="00800690">
        <w:rPr>
          <w:noProof/>
        </w:rPr>
        <w:tab/>
        <w:t>Compatibilité avec le cadre financier pluriannuel actuel</w:t>
      </w:r>
      <w:r w:rsidRPr="00800690">
        <w:rPr>
          <w:noProof/>
        </w:rPr>
        <w:tab/>
      </w:r>
      <w:r w:rsidRPr="00800690">
        <w:rPr>
          <w:noProof/>
          <w:webHidden/>
        </w:rPr>
        <w:t>28</w:t>
      </w:r>
    </w:p>
    <w:p w:rsidR="000531EB" w:rsidRPr="00800690" w:rsidRDefault="000531EB" w:rsidP="00E923B5">
      <w:pPr>
        <w:pStyle w:val="TOC3"/>
        <w:rPr>
          <w:rFonts w:asciiTheme="minorHAnsi" w:eastAsiaTheme="minorEastAsia" w:hAnsiTheme="minorHAnsi" w:cstheme="minorBidi"/>
          <w:noProof/>
          <w:kern w:val="2"/>
          <w:sz w:val="22"/>
          <w14:ligatures w14:val="standardContextual"/>
        </w:rPr>
      </w:pPr>
      <w:r w:rsidRPr="00800690">
        <w:rPr>
          <w:noProof/>
        </w:rPr>
        <w:t>3.2.7.</w:t>
      </w:r>
      <w:r w:rsidRPr="00800690">
        <w:rPr>
          <w:noProof/>
        </w:rPr>
        <w:tab/>
        <w:t>Participation de tiers au financement</w:t>
      </w:r>
      <w:r w:rsidRPr="00800690">
        <w:rPr>
          <w:noProof/>
        </w:rPr>
        <w:tab/>
      </w:r>
      <w:r w:rsidRPr="00800690">
        <w:rPr>
          <w:noProof/>
          <w:webHidden/>
        </w:rPr>
        <w:t>28</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3.3.</w:t>
      </w:r>
      <w:r w:rsidRPr="00800690">
        <w:rPr>
          <w:noProof/>
        </w:rPr>
        <w:tab/>
        <w:t>Incidence estimée sur les recettes</w:t>
      </w:r>
      <w:r w:rsidRPr="00800690">
        <w:rPr>
          <w:noProof/>
        </w:rPr>
        <w:tab/>
      </w:r>
      <w:r w:rsidRPr="00800690">
        <w:rPr>
          <w:noProof/>
          <w:webHidden/>
        </w:rPr>
        <w:t>29</w:t>
      </w:r>
    </w:p>
    <w:p w:rsidR="000531EB" w:rsidRPr="00800690" w:rsidRDefault="000531EB" w:rsidP="00E923B5">
      <w:pPr>
        <w:pStyle w:val="TOC1"/>
        <w:rPr>
          <w:rFonts w:asciiTheme="minorHAnsi" w:eastAsiaTheme="minorEastAsia" w:hAnsiTheme="minorHAnsi" w:cstheme="minorBidi"/>
          <w:noProof/>
          <w:kern w:val="2"/>
          <w:sz w:val="22"/>
          <w14:ligatures w14:val="standardContextual"/>
        </w:rPr>
      </w:pPr>
      <w:r w:rsidRPr="00800690">
        <w:rPr>
          <w:noProof/>
        </w:rPr>
        <w:t>4.</w:t>
      </w:r>
      <w:r w:rsidRPr="00800690">
        <w:rPr>
          <w:noProof/>
        </w:rPr>
        <w:tab/>
      </w:r>
      <w:r w:rsidRPr="00800690">
        <w:rPr>
          <w:caps/>
          <w:noProof/>
        </w:rPr>
        <w:t>Dimensions numériques</w:t>
      </w:r>
      <w:r w:rsidRPr="00800690">
        <w:rPr>
          <w:noProof/>
        </w:rPr>
        <w:tab/>
      </w:r>
      <w:r w:rsidRPr="00800690">
        <w:rPr>
          <w:noProof/>
          <w:webHidden/>
        </w:rPr>
        <w:t>29</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4.1.</w:t>
      </w:r>
      <w:r w:rsidRPr="00800690">
        <w:rPr>
          <w:noProof/>
        </w:rPr>
        <w:tab/>
        <w:t>Exigences pertinentes en matière numérique</w:t>
      </w:r>
      <w:r w:rsidRPr="00800690">
        <w:rPr>
          <w:noProof/>
        </w:rPr>
        <w:tab/>
      </w:r>
      <w:r w:rsidRPr="00800690">
        <w:rPr>
          <w:noProof/>
          <w:webHidden/>
        </w:rPr>
        <w:t>30</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4.2.</w:t>
      </w:r>
      <w:r w:rsidRPr="00800690">
        <w:rPr>
          <w:noProof/>
        </w:rPr>
        <w:tab/>
        <w:t>Données</w:t>
      </w:r>
      <w:r w:rsidRPr="00800690">
        <w:rPr>
          <w:noProof/>
        </w:rPr>
        <w:tab/>
      </w:r>
      <w:r w:rsidRPr="00800690">
        <w:rPr>
          <w:noProof/>
          <w:webHidden/>
        </w:rPr>
        <w:t>30</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4.3.</w:t>
      </w:r>
      <w:r w:rsidRPr="00800690">
        <w:rPr>
          <w:noProof/>
        </w:rPr>
        <w:tab/>
        <w:t>Solutions numériques</w:t>
      </w:r>
      <w:r w:rsidRPr="00800690">
        <w:rPr>
          <w:noProof/>
        </w:rPr>
        <w:tab/>
      </w:r>
      <w:r w:rsidRPr="00800690">
        <w:rPr>
          <w:noProof/>
          <w:webHidden/>
        </w:rPr>
        <w:t>31</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4.4.</w:t>
      </w:r>
      <w:r w:rsidRPr="00800690">
        <w:rPr>
          <w:noProof/>
        </w:rPr>
        <w:tab/>
        <w:t>Évaluation de l’interopérabilité</w:t>
      </w:r>
      <w:r w:rsidRPr="00800690">
        <w:rPr>
          <w:noProof/>
        </w:rPr>
        <w:tab/>
      </w:r>
      <w:r w:rsidRPr="00800690">
        <w:rPr>
          <w:noProof/>
          <w:webHidden/>
        </w:rPr>
        <w:t>31</w:t>
      </w:r>
    </w:p>
    <w:p w:rsidR="000531EB" w:rsidRPr="00800690" w:rsidRDefault="000531EB" w:rsidP="00E923B5">
      <w:pPr>
        <w:pStyle w:val="TOC2"/>
        <w:rPr>
          <w:rFonts w:asciiTheme="minorHAnsi" w:eastAsiaTheme="minorEastAsia" w:hAnsiTheme="minorHAnsi" w:cstheme="minorBidi"/>
          <w:noProof/>
          <w:kern w:val="2"/>
          <w:sz w:val="22"/>
          <w14:ligatures w14:val="standardContextual"/>
        </w:rPr>
      </w:pPr>
      <w:r w:rsidRPr="00800690">
        <w:rPr>
          <w:noProof/>
        </w:rPr>
        <w:t>4.5.</w:t>
      </w:r>
      <w:r w:rsidRPr="00800690">
        <w:rPr>
          <w:noProof/>
        </w:rPr>
        <w:tab/>
        <w:t>Mesures de soutien de la mise en œuvre numérique</w:t>
      </w:r>
      <w:r w:rsidRPr="00800690">
        <w:rPr>
          <w:noProof/>
        </w:rPr>
        <w:tab/>
      </w:r>
      <w:r w:rsidRPr="00800690">
        <w:rPr>
          <w:noProof/>
          <w:webHidden/>
        </w:rPr>
        <w:t>32</w:t>
      </w:r>
    </w:p>
    <w:p w:rsidR="000531EB" w:rsidRPr="00800690" w:rsidRDefault="000531EB" w:rsidP="00E923B5">
      <w:pPr>
        <w:pStyle w:val="TOC1"/>
        <w:ind w:left="0" w:firstLine="0"/>
        <w:rPr>
          <w:noProof/>
        </w:rPr>
        <w:sectPr w:rsidR="000531EB" w:rsidRPr="00800690" w:rsidSect="00EC3F4C">
          <w:pgSz w:w="11907" w:h="16840" w:code="9"/>
          <w:pgMar w:top="1134" w:right="1418" w:bottom="1134" w:left="1418" w:header="709" w:footer="709" w:gutter="0"/>
          <w:pgNumType w:start="1"/>
          <w:cols w:space="720"/>
          <w:docGrid w:linePitch="360"/>
        </w:sectPr>
      </w:pPr>
    </w:p>
    <w:p w:rsidR="000531EB" w:rsidRPr="00800690" w:rsidRDefault="000531EB" w:rsidP="00E923B5">
      <w:pPr>
        <w:pStyle w:val="ManualHeading1"/>
        <w:rPr>
          <w:noProof/>
        </w:rPr>
      </w:pPr>
      <w:bookmarkStart w:id="16" w:name="_Toc514938007"/>
      <w:bookmarkStart w:id="17" w:name="_Toc520485025"/>
      <w:bookmarkStart w:id="18" w:name="_Toc160804567"/>
      <w:bookmarkStart w:id="19" w:name="_Toc167220259"/>
      <w:bookmarkStart w:id="20" w:name="_Toc177548992"/>
      <w:r w:rsidRPr="00800690">
        <w:rPr>
          <w:noProof/>
        </w:rPr>
        <w:t>1.</w:t>
      </w:r>
      <w:r w:rsidRPr="00800690">
        <w:rPr>
          <w:noProof/>
        </w:rPr>
        <w:tab/>
        <w:t>CADRE DE LA PROPOSITION/DE L’INITIATIVE</w:t>
      </w:r>
      <w:bookmarkEnd w:id="16"/>
      <w:bookmarkEnd w:id="17"/>
      <w:bookmarkEnd w:id="18"/>
      <w:bookmarkEnd w:id="19"/>
      <w:bookmarkEnd w:id="20"/>
    </w:p>
    <w:p w:rsidR="000531EB" w:rsidRPr="00800690" w:rsidRDefault="000531EB" w:rsidP="00E923B5">
      <w:pPr>
        <w:pStyle w:val="ManualHeading2"/>
        <w:rPr>
          <w:noProof/>
        </w:rPr>
      </w:pPr>
      <w:bookmarkStart w:id="21" w:name="_Toc514938008"/>
      <w:bookmarkStart w:id="22" w:name="_Toc520485026"/>
      <w:bookmarkStart w:id="23" w:name="_Toc160804568"/>
      <w:bookmarkStart w:id="24" w:name="_Toc167220260"/>
      <w:bookmarkStart w:id="25" w:name="_Toc177548993"/>
      <w:r w:rsidRPr="00800690">
        <w:rPr>
          <w:noProof/>
        </w:rPr>
        <w:t>1.1.</w:t>
      </w:r>
      <w:r w:rsidRPr="00800690">
        <w:rPr>
          <w:noProof/>
        </w:rPr>
        <w:tab/>
        <w:t>Dénomination de la proposition/de l’initiative</w:t>
      </w:r>
      <w:bookmarkEnd w:id="21"/>
      <w:bookmarkEnd w:id="22"/>
      <w:bookmarkEnd w:id="23"/>
      <w:bookmarkEnd w:id="24"/>
      <w:bookmarkEnd w:id="25"/>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Proposition de décision du Conseil relative à la conclusion du protocole de mise en œuvre de l’accord de partenariat dans le domaine de la pêche durable (APPD) entre l’Union européenne et la République des Seychelles (2026-2030).</w:t>
      </w:r>
    </w:p>
    <w:p w:rsidR="000531EB" w:rsidRPr="00800690" w:rsidRDefault="000531EB" w:rsidP="00E923B5">
      <w:pPr>
        <w:pStyle w:val="ManualHeading2"/>
        <w:rPr>
          <w:i/>
          <w:noProof/>
        </w:rPr>
      </w:pPr>
      <w:bookmarkStart w:id="26" w:name="_Toc514938011"/>
      <w:bookmarkStart w:id="27" w:name="_Toc520485027"/>
      <w:bookmarkStart w:id="28" w:name="_Toc160804569"/>
      <w:bookmarkStart w:id="29" w:name="_Toc167220261"/>
      <w:bookmarkStart w:id="30" w:name="_Toc177548994"/>
      <w:r w:rsidRPr="00800690">
        <w:rPr>
          <w:noProof/>
        </w:rPr>
        <w:t>1.2.</w:t>
      </w:r>
      <w:r w:rsidRPr="00800690">
        <w:rPr>
          <w:noProof/>
        </w:rPr>
        <w:tab/>
        <w:t>Domaine(s) politique(s) concerné(s)</w:t>
      </w:r>
      <w:bookmarkEnd w:id="26"/>
      <w:bookmarkEnd w:id="27"/>
      <w:bookmarkEnd w:id="28"/>
      <w:bookmarkEnd w:id="29"/>
      <w:bookmarkEnd w:id="30"/>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08 – Agriculture et politique maritime</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08.05 – Accords de partenariat dans le domaine de la pêche durable (APPD) et organisations régionales de gestion des pêches (ORGP)</w:t>
      </w:r>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08.05.01 – Établir un cadre de gouvernance pour les activités de pêche menées par les navires de pêche de l’Union dans les eaux des pays tiers</w:t>
      </w:r>
    </w:p>
    <w:p w:rsidR="000531EB" w:rsidRPr="00800690" w:rsidRDefault="000531EB" w:rsidP="00E923B5">
      <w:pPr>
        <w:pStyle w:val="ManualHeading2"/>
        <w:rPr>
          <w:noProof/>
        </w:rPr>
      </w:pPr>
      <w:bookmarkStart w:id="31" w:name="_Toc514938015"/>
      <w:bookmarkStart w:id="32" w:name="_Toc520485029"/>
      <w:bookmarkStart w:id="33" w:name="_Toc160804571"/>
      <w:bookmarkStart w:id="34" w:name="_Toc167220263"/>
      <w:bookmarkStart w:id="35" w:name="_Toc177548995"/>
      <w:r w:rsidRPr="00800690">
        <w:rPr>
          <w:noProof/>
        </w:rPr>
        <w:t>1.3.</w:t>
      </w:r>
      <w:r w:rsidRPr="00800690">
        <w:rPr>
          <w:noProof/>
        </w:rPr>
        <w:tab/>
        <w:t>Objectif(s)</w:t>
      </w:r>
      <w:bookmarkEnd w:id="31"/>
      <w:bookmarkEnd w:id="32"/>
      <w:bookmarkEnd w:id="33"/>
      <w:bookmarkEnd w:id="34"/>
      <w:bookmarkEnd w:id="35"/>
    </w:p>
    <w:p w:rsidR="000531EB" w:rsidRPr="00800690" w:rsidRDefault="000531EB" w:rsidP="00E923B5">
      <w:pPr>
        <w:pStyle w:val="ManualHeading3"/>
        <w:rPr>
          <w:noProof/>
        </w:rPr>
      </w:pPr>
      <w:bookmarkStart w:id="36" w:name="_Toc514938016"/>
      <w:bookmarkStart w:id="37" w:name="_Toc520485030"/>
      <w:bookmarkStart w:id="38" w:name="_Toc160804572"/>
      <w:bookmarkStart w:id="39" w:name="_Toc167220264"/>
      <w:bookmarkStart w:id="40" w:name="_Toc177548996"/>
      <w:r w:rsidRPr="00800690">
        <w:rPr>
          <w:noProof/>
        </w:rPr>
        <w:t>1.3.1.</w:t>
      </w:r>
      <w:r w:rsidRPr="00800690">
        <w:rPr>
          <w:noProof/>
        </w:rPr>
        <w:tab/>
        <w:t>Objectif général/objectifs généraux</w:t>
      </w:r>
      <w:bookmarkEnd w:id="36"/>
      <w:bookmarkEnd w:id="37"/>
      <w:bookmarkEnd w:id="38"/>
      <w:bookmarkEnd w:id="39"/>
      <w:bookmarkEnd w:id="40"/>
    </w:p>
    <w:p w:rsidR="005F7BA2" w:rsidRPr="00800690" w:rsidRDefault="005F7BA2" w:rsidP="005F7BA2">
      <w:pPr>
        <w:pBdr>
          <w:top w:val="single" w:sz="4" w:space="1" w:color="auto"/>
          <w:left w:val="single" w:sz="4" w:space="4" w:color="auto"/>
          <w:bottom w:val="single" w:sz="4" w:space="1" w:color="auto"/>
          <w:right w:val="single" w:sz="4" w:space="4" w:color="auto"/>
        </w:pBdr>
        <w:ind w:left="850"/>
        <w:rPr>
          <w:noProof/>
        </w:rPr>
      </w:pPr>
      <w:r w:rsidRPr="00800690">
        <w:rPr>
          <w:noProof/>
        </w:rPr>
        <w:t>La négociation et la conclusion d’accords de partenariat dans le domaine de la pêche durable (APPD) avec des pays tiers répondent à l’objectif général d’autoriser l’accès des navires de pêche de l’Union européenne aux lieux de pêche de pays tiers et de développer avec ces pays un partenariat en vue de renforcer l’exploitation durable des ressources halieutiques en dehors des eaux de l’Union.</w:t>
      </w:r>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Les APPD assurent également la cohérence entre les principes régissant la politique commune de la pêche et les engagements inscrits dans d’autres politiques européennes, telles que l’exploitation durable des ressources des pays tiers, la lutte contre la pêche illicite, non déclarée et non réglementée (INN), l’intégration des pays partenaires dans l’économie globale, la contribution au développement durable dans toutes ses dimensions, ainsi qu’une meilleure gouvernance des pêcheries au niveau politique et financier.</w:t>
      </w:r>
    </w:p>
    <w:p w:rsidR="000531EB" w:rsidRPr="00800690" w:rsidRDefault="000531EB" w:rsidP="00E923B5">
      <w:pPr>
        <w:pStyle w:val="ManualHeading3"/>
        <w:rPr>
          <w:noProof/>
        </w:rPr>
      </w:pPr>
      <w:bookmarkStart w:id="41" w:name="_Toc514938018"/>
      <w:bookmarkStart w:id="42" w:name="_Toc520485031"/>
      <w:bookmarkStart w:id="43" w:name="_Toc160804573"/>
      <w:bookmarkStart w:id="44" w:name="_Toc167220265"/>
      <w:bookmarkStart w:id="45" w:name="_Toc177548997"/>
      <w:r w:rsidRPr="00800690">
        <w:rPr>
          <w:noProof/>
        </w:rPr>
        <w:t>1.3.2.</w:t>
      </w:r>
      <w:r w:rsidRPr="00800690">
        <w:rPr>
          <w:noProof/>
        </w:rPr>
        <w:tab/>
        <w:t>Objectif(s) spécifique(s)</w:t>
      </w:r>
      <w:bookmarkEnd w:id="41"/>
      <w:bookmarkEnd w:id="42"/>
      <w:bookmarkEnd w:id="43"/>
      <w:bookmarkEnd w:id="44"/>
      <w:bookmarkEnd w:id="45"/>
    </w:p>
    <w:p w:rsidR="005F7BA2" w:rsidRPr="00800690" w:rsidRDefault="000531EB" w:rsidP="005F7BA2">
      <w:pPr>
        <w:pStyle w:val="Text1"/>
        <w:pBdr>
          <w:top w:val="single" w:sz="4" w:space="1" w:color="auto"/>
          <w:left w:val="single" w:sz="4" w:space="4" w:color="auto"/>
          <w:bottom w:val="single" w:sz="4" w:space="1" w:color="auto"/>
          <w:right w:val="single" w:sz="4" w:space="4" w:color="auto"/>
        </w:pBdr>
        <w:rPr>
          <w:noProof/>
        </w:rPr>
      </w:pPr>
      <w:r w:rsidRPr="00800690">
        <w:rPr>
          <w:noProof/>
          <w:u w:val="single"/>
        </w:rPr>
        <w:t>Objectif spécifique</w:t>
      </w:r>
      <w:bookmarkStart w:id="46" w:name="_Hlk168050359"/>
      <w:r w:rsidRPr="00800690">
        <w:rPr>
          <w:noProof/>
          <w:u w:val="single"/>
        </w:rPr>
        <w:t xml:space="preserve"> nº 1</w:t>
      </w:r>
      <w:r w:rsidRPr="00800690">
        <w:rPr>
          <w:noProof/>
        </w:rPr>
        <w:t xml:space="preserve"> </w:t>
      </w:r>
    </w:p>
    <w:bookmarkEnd w:id="46"/>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Contribuer à la pêche durable dans les eaux en dehors de l’Union, maintenir la présence européenne dans les pêcheries lointaines et protéger les intérêts du secteur européen de la pêche et des consommateurs, à travers la négociation et la conclusion d’APPD avec des États côtiers, en cohérence avec les autres politiques européennes.</w:t>
      </w:r>
    </w:p>
    <w:p w:rsidR="000531EB" w:rsidRPr="00800690" w:rsidRDefault="000531EB" w:rsidP="00E923B5">
      <w:pPr>
        <w:pStyle w:val="ManualHeading3"/>
        <w:rPr>
          <w:noProof/>
        </w:rPr>
      </w:pPr>
      <w:bookmarkStart w:id="47" w:name="_Toc514938019"/>
      <w:bookmarkStart w:id="48" w:name="_Toc520485032"/>
      <w:bookmarkStart w:id="49" w:name="_Toc160804574"/>
      <w:bookmarkStart w:id="50" w:name="_Toc167220266"/>
      <w:bookmarkStart w:id="51" w:name="_Toc177548998"/>
      <w:r w:rsidRPr="00800690">
        <w:rPr>
          <w:noProof/>
        </w:rPr>
        <w:t>1.3.3.</w:t>
      </w:r>
      <w:r w:rsidRPr="00800690">
        <w:rPr>
          <w:noProof/>
        </w:rPr>
        <w:tab/>
        <w:t>Résultat(s) et incidence(s) attendus</w:t>
      </w:r>
      <w:bookmarkEnd w:id="47"/>
      <w:bookmarkEnd w:id="48"/>
      <w:bookmarkEnd w:id="49"/>
      <w:bookmarkEnd w:id="50"/>
      <w:bookmarkEnd w:id="51"/>
    </w:p>
    <w:p w:rsidR="000531EB" w:rsidRPr="00800690" w:rsidRDefault="000531EB" w:rsidP="00E923B5">
      <w:pPr>
        <w:pStyle w:val="Text1"/>
        <w:rPr>
          <w:i/>
          <w:noProof/>
          <w:sz w:val="20"/>
        </w:rPr>
      </w:pPr>
      <w:r w:rsidRPr="00800690">
        <w:rPr>
          <w:i/>
          <w:noProof/>
          <w:sz w:val="20"/>
        </w:rPr>
        <w:t>Préciser les effets que la proposition/l’initiative devrait avoir sur les bénéficiaires/la population visée.</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color w:val="000000" w:themeColor="text1"/>
        </w:rPr>
      </w:pPr>
      <w:r w:rsidRPr="00800690">
        <w:rPr>
          <w:noProof/>
          <w:color w:val="000000" w:themeColor="text1"/>
        </w:rPr>
        <w:t>La conclusion du protocole de mise en œuvre permet de poursuivre et de renforcer le partenariat stratégique dans le domaine de la pêche entre l’Union européenne et les Seychelles. La conclusion du protocole créera des possibilités de pêche pour les navires de l'Union dans la zone de pêche des Seychelles.</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color w:val="000000" w:themeColor="text1"/>
        </w:rPr>
      </w:pPr>
      <w:r w:rsidRPr="00800690">
        <w:rPr>
          <w:noProof/>
          <w:color w:val="000000" w:themeColor="text1"/>
        </w:rPr>
        <w:t>Le protocole contribuera également à améliorer la gestion et la conservation des ressources halieutiques grâce au soutien financier (appui sectoriel) apporté à la mise en œuvre des programmes adoptés au niveau national par le pays partenaire, notamment le plan global pour la pêche, la surveillance de la pêche illicite et la lutte contre cette pratique, et l’appui au secteur de la pêche artisanale.</w:t>
      </w:r>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 xml:space="preserve">Enfin, le protocole contribuera à l’exploitation durable, par les Seychelles, de leurs ressources marines et à l’économie de la pêche du pays en favorisant la croissance associée aux activités économiques liées à la pêche </w:t>
      </w:r>
      <w:bookmarkStart w:id="52" w:name="_Hlk225774240"/>
      <w:r w:rsidRPr="00800690">
        <w:rPr>
          <w:noProof/>
        </w:rPr>
        <w:t>et l’instauration de conditions de travail décentes.</w:t>
      </w:r>
      <w:bookmarkEnd w:id="52"/>
    </w:p>
    <w:p w:rsidR="000531EB" w:rsidRPr="00800690" w:rsidRDefault="000531EB" w:rsidP="00E923B5">
      <w:pPr>
        <w:pStyle w:val="ManualHeading3"/>
        <w:rPr>
          <w:noProof/>
        </w:rPr>
      </w:pPr>
      <w:bookmarkStart w:id="53" w:name="_Toc514938023"/>
      <w:bookmarkStart w:id="54" w:name="_Toc520485033"/>
      <w:bookmarkStart w:id="55" w:name="_Toc160804575"/>
      <w:bookmarkStart w:id="56" w:name="_Toc167220267"/>
      <w:bookmarkStart w:id="57" w:name="_Toc177548999"/>
      <w:r w:rsidRPr="00800690">
        <w:rPr>
          <w:noProof/>
        </w:rPr>
        <w:t>1.3.4.</w:t>
      </w:r>
      <w:r w:rsidRPr="00800690">
        <w:rPr>
          <w:noProof/>
        </w:rPr>
        <w:tab/>
        <w:t>Indicateurs de performance</w:t>
      </w:r>
      <w:bookmarkEnd w:id="53"/>
      <w:bookmarkEnd w:id="54"/>
      <w:bookmarkEnd w:id="55"/>
      <w:bookmarkEnd w:id="56"/>
      <w:bookmarkEnd w:id="57"/>
    </w:p>
    <w:p w:rsidR="000531EB" w:rsidRPr="00800690" w:rsidRDefault="000531EB" w:rsidP="00E923B5">
      <w:pPr>
        <w:pStyle w:val="Text1"/>
        <w:rPr>
          <w:i/>
          <w:noProof/>
          <w:sz w:val="20"/>
        </w:rPr>
      </w:pPr>
      <w:r w:rsidRPr="00800690">
        <w:rPr>
          <w:i/>
          <w:noProof/>
          <w:sz w:val="20"/>
        </w:rPr>
        <w:t>Préciser les indicateurs permettant de suivre l’avancement et les réalisations.</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Taux d’utilisation des possibilités de pêche (pourcentage annuel des autorisations de pêche utilisées par rapport à celles mises à disposition par le protocole).</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Données relatives aux captures (collecte et analyse) et valeur commerciale de l’accord.</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Création de valeur ajoutée dans l’Union et stabilisation du marché de l’Union (par agrégation avec d’autres APPD).</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Contribution à l’amélioration de la recherche, du suivi et du contrôle des activités de pêche par le pays partenaire, ainsi qu'au développement de son secteur de la pêche, notamment artisanale.</w:t>
      </w:r>
    </w:p>
    <w:p w:rsidR="000531EB" w:rsidRPr="00800690" w:rsidRDefault="000531EB" w:rsidP="00E923B5">
      <w:pPr>
        <w:pStyle w:val="ManualHeading2"/>
        <w:rPr>
          <w:noProof/>
        </w:rPr>
      </w:pPr>
      <w:bookmarkStart w:id="58" w:name="_Toc177549000"/>
      <w:r w:rsidRPr="00800690">
        <w:rPr>
          <w:noProof/>
        </w:rPr>
        <w:t>1.4.</w:t>
      </w:r>
      <w:r w:rsidRPr="00800690">
        <w:rPr>
          <w:noProof/>
        </w:rPr>
        <w:tab/>
        <w:t>La proposition/l’initiative porte sur:</w:t>
      </w:r>
      <w:bookmarkEnd w:id="58"/>
    </w:p>
    <w:p w:rsidR="000531EB" w:rsidRPr="00800690" w:rsidRDefault="0088512F" w:rsidP="00E923B5">
      <w:pPr>
        <w:pStyle w:val="Text1"/>
        <w:rPr>
          <w:noProof/>
          <w:sz w:val="22"/>
        </w:rPr>
      </w:pPr>
      <w:r w:rsidRPr="00800690">
        <w:rPr>
          <w:noProof/>
          <w:sz w:val="22"/>
        </w:rPr>
        <w:t>x</w:t>
      </w:r>
      <w:r w:rsidRPr="00800690">
        <w:rPr>
          <w:noProof/>
        </w:rPr>
        <w:t xml:space="preserve"> une nouvelle action</w:t>
      </w:r>
    </w:p>
    <w:p w:rsidR="000531EB" w:rsidRPr="00800690" w:rsidRDefault="000531EB" w:rsidP="00E923B5">
      <w:pPr>
        <w:pStyle w:val="Text1"/>
        <w:rPr>
          <w:noProof/>
          <w:sz w:val="22"/>
        </w:rPr>
      </w:pPr>
      <w:r w:rsidRPr="00800690">
        <w:rPr>
          <w:rFonts w:ascii="Wingdings" w:hAnsi="Wingdings"/>
          <w:noProof/>
          <w:sz w:val="22"/>
        </w:rPr>
        <w:t></w:t>
      </w:r>
      <w:r w:rsidRPr="00800690">
        <w:rPr>
          <w:i/>
          <w:noProof/>
          <w:sz w:val="22"/>
        </w:rPr>
        <w:t xml:space="preserve"> </w:t>
      </w:r>
      <w:r w:rsidRPr="00800690">
        <w:rPr>
          <w:noProof/>
        </w:rPr>
        <w:t>une action nouvelle suite à un projet pilote/une action préparatoire</w:t>
      </w:r>
      <w:r w:rsidRPr="00800690">
        <w:rPr>
          <w:rStyle w:val="FootnoteReference"/>
          <w:noProof/>
        </w:rPr>
        <w:footnoteReference w:id="6"/>
      </w:r>
    </w:p>
    <w:p w:rsidR="000531EB" w:rsidRPr="00800690" w:rsidRDefault="000531EB" w:rsidP="00E923B5">
      <w:pPr>
        <w:pStyle w:val="Text1"/>
        <w:rPr>
          <w:noProof/>
          <w:sz w:val="22"/>
        </w:rPr>
      </w:pPr>
      <w:r w:rsidRPr="00800690">
        <w:rPr>
          <w:rFonts w:ascii="Wingdings" w:hAnsi="Wingdings"/>
          <w:noProof/>
          <w:sz w:val="22"/>
        </w:rPr>
        <w:t></w:t>
      </w:r>
      <w:r w:rsidRPr="00800690">
        <w:rPr>
          <w:i/>
          <w:noProof/>
          <w:sz w:val="22"/>
        </w:rPr>
        <w:t xml:space="preserve"> </w:t>
      </w:r>
      <w:r w:rsidRPr="00800690">
        <w:rPr>
          <w:noProof/>
        </w:rPr>
        <w:t>la prolongation d’une action existante</w:t>
      </w:r>
    </w:p>
    <w:p w:rsidR="000531EB" w:rsidRPr="00800690" w:rsidRDefault="000531EB" w:rsidP="00E923B5">
      <w:pPr>
        <w:pStyle w:val="Text1"/>
        <w:rPr>
          <w:noProof/>
        </w:rPr>
      </w:pPr>
      <w:r w:rsidRPr="00800690">
        <w:rPr>
          <w:rFonts w:ascii="Wingdings" w:hAnsi="Wingdings"/>
          <w:noProof/>
          <w:sz w:val="22"/>
        </w:rPr>
        <w:t></w:t>
      </w:r>
      <w:r w:rsidRPr="00800690">
        <w:rPr>
          <w:i/>
          <w:noProof/>
          <w:sz w:val="22"/>
        </w:rPr>
        <w:t xml:space="preserve"> </w:t>
      </w:r>
      <w:r w:rsidRPr="00800690">
        <w:rPr>
          <w:noProof/>
        </w:rPr>
        <w:t>une fusion ou une réorientation d’une ou de plusieurs actions vers une autre action/une action nouvelle</w:t>
      </w:r>
    </w:p>
    <w:p w:rsidR="000531EB" w:rsidRPr="00800690" w:rsidRDefault="000531EB" w:rsidP="00E923B5">
      <w:pPr>
        <w:pStyle w:val="ManualHeading2"/>
        <w:rPr>
          <w:bCs/>
          <w:noProof/>
          <w:szCs w:val="24"/>
        </w:rPr>
      </w:pPr>
      <w:bookmarkStart w:id="59" w:name="_Toc514938025"/>
      <w:bookmarkStart w:id="60" w:name="_Toc520485034"/>
      <w:bookmarkStart w:id="61" w:name="_Toc160804576"/>
      <w:bookmarkStart w:id="62" w:name="_Toc167220268"/>
      <w:bookmarkStart w:id="63" w:name="_Toc177549001"/>
      <w:r w:rsidRPr="00800690">
        <w:rPr>
          <w:noProof/>
        </w:rPr>
        <w:t>1.5.</w:t>
      </w:r>
      <w:r w:rsidRPr="00800690">
        <w:rPr>
          <w:noProof/>
        </w:rPr>
        <w:tab/>
        <w:t>Justification(s) de la proposition/de l’initiative</w:t>
      </w:r>
      <w:bookmarkEnd w:id="59"/>
      <w:bookmarkEnd w:id="60"/>
      <w:bookmarkEnd w:id="61"/>
      <w:bookmarkEnd w:id="62"/>
      <w:bookmarkEnd w:id="63"/>
    </w:p>
    <w:p w:rsidR="000531EB" w:rsidRPr="00800690" w:rsidRDefault="000531EB" w:rsidP="00E923B5">
      <w:pPr>
        <w:pStyle w:val="ManualHeading3"/>
        <w:rPr>
          <w:noProof/>
        </w:rPr>
      </w:pPr>
      <w:bookmarkStart w:id="64" w:name="_Toc514938026"/>
      <w:bookmarkStart w:id="65" w:name="_Toc520485035"/>
      <w:bookmarkStart w:id="66" w:name="_Toc160804577"/>
      <w:bookmarkStart w:id="67" w:name="_Toc167220269"/>
      <w:bookmarkStart w:id="68" w:name="_Toc177549002"/>
      <w:r w:rsidRPr="00800690">
        <w:rPr>
          <w:noProof/>
        </w:rPr>
        <w:t>1.5.1.</w:t>
      </w:r>
      <w:r w:rsidRPr="00800690">
        <w:rPr>
          <w:noProof/>
        </w:rPr>
        <w:tab/>
        <w:t>Besoin(s) à satisfaire à court ou à long terme, assorti(s) d’un calendrier détaillé pour la mise en œuvre de l’initiative</w:t>
      </w:r>
      <w:bookmarkEnd w:id="64"/>
      <w:bookmarkEnd w:id="65"/>
      <w:bookmarkEnd w:id="66"/>
      <w:bookmarkEnd w:id="67"/>
      <w:bookmarkEnd w:id="68"/>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bookmarkStart w:id="69" w:name="_Hlk177839484"/>
      <w:r w:rsidRPr="00800690">
        <w:rPr>
          <w:noProof/>
        </w:rPr>
        <w:t>Il est prévu que le nouveau protocole de mise en œuvre s’applique de manière provisoire à partir de la date de signature afin de réduire le délai durant lequel les opérations de pêche ne sont pas possibles.</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Le nouveau protocole réglementera les activités de pêche de la flotte de l’Union dans la zone de pêche des Seychelles et autorisera les propriétaires de navires de l’Union à demander des autorisations de pêche dans cette zone.</w:t>
      </w:r>
    </w:p>
    <w:p w:rsidR="005F7BA2"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En outre, le nouveau protocole renforcera la coopération entre l’Union et les Seychelles en vue de promouvoir l’élaboration d’une politique de pêche durable dans toutes ses dimensions. Il prévoit notamment le suivi des navires par VMS et la communication des données de captures par voie électronique.</w:t>
      </w:r>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rPr>
        <w:t>L’appui sectoriel disponible en vertu du protocole aidera les Seychelles dans le cadre de leur stratégie nationale en matière de pêche, y compris la lutte contre la pêche INN, tout en favorisant l’instauration de conditions de travail décentes lors des activités de pêche. La mise en œuvre débutera à la signature et pour une durée de quatre ans.</w:t>
      </w:r>
      <w:bookmarkEnd w:id="69"/>
    </w:p>
    <w:p w:rsidR="000531EB" w:rsidRPr="00800690" w:rsidRDefault="000531EB" w:rsidP="00E923B5">
      <w:pPr>
        <w:pStyle w:val="ManualHeading3"/>
        <w:rPr>
          <w:bCs/>
          <w:noProof/>
          <w:szCs w:val="24"/>
        </w:rPr>
      </w:pPr>
      <w:bookmarkStart w:id="70" w:name="_Toc514938029"/>
      <w:bookmarkStart w:id="71" w:name="_Toc520485036"/>
      <w:bookmarkStart w:id="72" w:name="_Toc160804578"/>
      <w:bookmarkStart w:id="73" w:name="_Toc167220270"/>
      <w:bookmarkStart w:id="74" w:name="_Toc177549003"/>
      <w:r w:rsidRPr="00800690">
        <w:rPr>
          <w:noProof/>
        </w:rPr>
        <w:t>1.5.2.</w:t>
      </w:r>
      <w:r w:rsidRPr="00800690">
        <w:rPr>
          <w:noProof/>
        </w:rPr>
        <w:tab/>
        <w:t>Valeur ajoutée de l’intervention de l’Union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70"/>
      <w:bookmarkEnd w:id="71"/>
      <w:bookmarkEnd w:id="72"/>
      <w:bookmarkEnd w:id="73"/>
      <w:bookmarkEnd w:id="74"/>
    </w:p>
    <w:p w:rsidR="000531EB" w:rsidRPr="00800690" w:rsidRDefault="009D71BC" w:rsidP="00E923B5">
      <w:pPr>
        <w:pStyle w:val="Text1"/>
        <w:pBdr>
          <w:top w:val="single" w:sz="4" w:space="1" w:color="auto"/>
          <w:left w:val="single" w:sz="4" w:space="4" w:color="auto"/>
          <w:bottom w:val="single" w:sz="4" w:space="1" w:color="auto"/>
          <w:right w:val="single" w:sz="4" w:space="4" w:color="auto"/>
        </w:pBdr>
        <w:rPr>
          <w:noProof/>
        </w:rPr>
      </w:pPr>
      <w:r w:rsidRPr="00800690">
        <w:rPr>
          <w:noProof/>
        </w:rPr>
        <w:t>Si l’Union ne concluait pas de nouveau protocole, les navires de l’Union ne pourraient pas mener leurs activités de pêche, étant donné que l’accord actuel comporte une clause excluant les activités de pêche qui n’ont pas lieu dans le cadre défini par un protocole à l’accord.</w:t>
      </w:r>
    </w:p>
    <w:p w:rsidR="000531EB" w:rsidRPr="00800690" w:rsidRDefault="009D71BC" w:rsidP="00E923B5">
      <w:pPr>
        <w:pStyle w:val="Text1"/>
        <w:pBdr>
          <w:top w:val="single" w:sz="4" w:space="1" w:color="auto"/>
          <w:left w:val="single" w:sz="4" w:space="4" w:color="auto"/>
          <w:bottom w:val="single" w:sz="4" w:space="1" w:color="auto"/>
          <w:right w:val="single" w:sz="4" w:space="4" w:color="auto"/>
        </w:pBdr>
        <w:rPr>
          <w:noProof/>
        </w:rPr>
      </w:pPr>
      <w:bookmarkStart w:id="75" w:name="_Hlk177839495"/>
      <w:r w:rsidRPr="00800690">
        <w:rPr>
          <w:noProof/>
        </w:rPr>
        <w:t>La valeur ajoutée est donc évidente pour la flotte de pêche lointaine de l’Union. Le protocole offre également un cadre pour une coopération renforcée entre l’Union et les Seychelles.</w:t>
      </w:r>
      <w:bookmarkEnd w:id="75"/>
    </w:p>
    <w:p w:rsidR="000531EB" w:rsidRPr="00800690" w:rsidRDefault="000531EB" w:rsidP="00E923B5">
      <w:pPr>
        <w:pStyle w:val="ManualHeading3"/>
        <w:rPr>
          <w:noProof/>
        </w:rPr>
      </w:pPr>
      <w:bookmarkStart w:id="76" w:name="_Toc514938030"/>
      <w:bookmarkStart w:id="77" w:name="_Toc520485037"/>
      <w:bookmarkStart w:id="78" w:name="_Toc160804579"/>
      <w:bookmarkStart w:id="79" w:name="_Toc167220271"/>
      <w:bookmarkStart w:id="80" w:name="_Toc177549004"/>
      <w:r w:rsidRPr="00800690">
        <w:rPr>
          <w:noProof/>
        </w:rPr>
        <w:t>1.5.3.</w:t>
      </w:r>
      <w:r w:rsidRPr="00800690">
        <w:rPr>
          <w:noProof/>
        </w:rPr>
        <w:tab/>
        <w:t>Leçons tirées d’expériences similaires</w:t>
      </w:r>
      <w:bookmarkEnd w:id="76"/>
      <w:bookmarkEnd w:id="77"/>
      <w:bookmarkEnd w:id="78"/>
      <w:bookmarkEnd w:id="79"/>
      <w:bookmarkEnd w:id="80"/>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color w:val="000000" w:themeColor="text1"/>
        </w:rPr>
        <w:t>L’analyse des captures historiques dans la zone de pêche des Seychelles ainsi que les évaluations et avis scientifiques disponibles ont conduit les parties à fixer des possibilités de pêche pour 30 thoniers à senne coulissante et 8 palangriers de surface. L’appui sectoriel est essentiel afin de tenir compte des priorités de la stratégie nationale en matière de pêche et de l’exploitation des ressources naturelles.</w:t>
      </w:r>
    </w:p>
    <w:p w:rsidR="000531EB" w:rsidRPr="00800690" w:rsidRDefault="000531EB" w:rsidP="00E923B5">
      <w:pPr>
        <w:pStyle w:val="ManualHeading3"/>
        <w:rPr>
          <w:noProof/>
        </w:rPr>
      </w:pPr>
      <w:bookmarkStart w:id="81" w:name="_Toc514938033"/>
      <w:bookmarkStart w:id="82" w:name="_Toc520485038"/>
      <w:bookmarkStart w:id="83" w:name="_Toc160804580"/>
      <w:bookmarkStart w:id="84" w:name="_Toc167220272"/>
      <w:bookmarkStart w:id="85" w:name="_Toc177549005"/>
      <w:r w:rsidRPr="00800690">
        <w:rPr>
          <w:noProof/>
        </w:rPr>
        <w:t>1.5.4.</w:t>
      </w:r>
      <w:r w:rsidRPr="00800690">
        <w:rPr>
          <w:noProof/>
        </w:rPr>
        <w:tab/>
        <w:t>Compatibilité avec le cadre financier pluriannuel et synergies éventuelles avec d’autres instruments appropriés</w:t>
      </w:r>
      <w:bookmarkEnd w:id="81"/>
      <w:bookmarkEnd w:id="82"/>
      <w:bookmarkEnd w:id="83"/>
      <w:bookmarkEnd w:id="84"/>
      <w:bookmarkEnd w:id="85"/>
    </w:p>
    <w:p w:rsidR="000531EB" w:rsidRPr="00800690" w:rsidRDefault="005F7BA2" w:rsidP="005F7BA2">
      <w:pPr>
        <w:pStyle w:val="Text1"/>
        <w:pBdr>
          <w:top w:val="single" w:sz="4" w:space="1" w:color="auto"/>
          <w:left w:val="single" w:sz="4" w:space="4" w:color="auto"/>
          <w:bottom w:val="single" w:sz="4" w:space="1" w:color="auto"/>
          <w:right w:val="single" w:sz="4" w:space="4" w:color="auto"/>
        </w:pBdr>
        <w:rPr>
          <w:noProof/>
        </w:rPr>
      </w:pPr>
      <w:r w:rsidRPr="00800690">
        <w:rPr>
          <w:noProof/>
          <w:color w:val="000000" w:themeColor="text1"/>
        </w:rPr>
        <w:t>Les fonds alloués au titre de la contrepartie financière pour l’accès prévue dans l’APPD constituent des recettes fongibles dans le budget national des Seychelles. Toutefois, les fonds dédiés à l’appui sectoriel sont affectés (généralement par inscription dans la loi annuelle de finances) au ministère compétent pour la pêche, cela étant une condition pour la conclusion et le suivi des APPD. Ces ressources financières sont compatibles avec d’autres sources de financement issues d’autres bailleurs de fonds internationaux pour la réalisation de projets et/ou de programmes à mettre en œuvre au niveau national dans le secteur de la pêche.</w:t>
      </w:r>
    </w:p>
    <w:p w:rsidR="000531EB" w:rsidRPr="00800690" w:rsidRDefault="000531EB" w:rsidP="00E923B5">
      <w:pPr>
        <w:pStyle w:val="ManualHeading3"/>
        <w:rPr>
          <w:noProof/>
        </w:rPr>
      </w:pPr>
      <w:bookmarkStart w:id="86" w:name="_Toc514938036"/>
      <w:bookmarkStart w:id="87" w:name="_Toc520485039"/>
      <w:bookmarkStart w:id="88" w:name="_Toc160804581"/>
      <w:bookmarkStart w:id="89" w:name="_Toc167220273"/>
      <w:bookmarkStart w:id="90" w:name="_Toc177549006"/>
      <w:r w:rsidRPr="00800690">
        <w:rPr>
          <w:noProof/>
        </w:rPr>
        <w:t>1.5.5.</w:t>
      </w:r>
      <w:r w:rsidRPr="00800690">
        <w:rPr>
          <w:noProof/>
        </w:rPr>
        <w:tab/>
        <w:t>Évaluation des différentes possibilités de financement disponibles, y compris des possibilités de redéploiement</w:t>
      </w:r>
      <w:bookmarkEnd w:id="86"/>
      <w:bookmarkEnd w:id="87"/>
      <w:bookmarkEnd w:id="88"/>
      <w:bookmarkEnd w:id="89"/>
      <w:bookmarkEnd w:id="90"/>
    </w:p>
    <w:p w:rsidR="000531EB" w:rsidRPr="00800690" w:rsidRDefault="0088512F" w:rsidP="0088512F">
      <w:pPr>
        <w:pStyle w:val="Text1"/>
        <w:pBdr>
          <w:top w:val="single" w:sz="4" w:space="1" w:color="auto"/>
          <w:left w:val="single" w:sz="4" w:space="4" w:color="auto"/>
          <w:bottom w:val="single" w:sz="4" w:space="1" w:color="auto"/>
          <w:right w:val="single" w:sz="4" w:space="4" w:color="auto"/>
        </w:pBdr>
        <w:rPr>
          <w:noProof/>
        </w:rPr>
      </w:pPr>
      <w:r w:rsidRPr="00800690">
        <w:rPr>
          <w:noProof/>
        </w:rPr>
        <w:t>Sans objet.</w:t>
      </w:r>
    </w:p>
    <w:p w:rsidR="000531EB" w:rsidRPr="00800690" w:rsidRDefault="000531EB" w:rsidP="00E923B5">
      <w:pPr>
        <w:pStyle w:val="ManualHeading2"/>
        <w:rPr>
          <w:bCs/>
          <w:noProof/>
          <w:szCs w:val="24"/>
        </w:rPr>
      </w:pPr>
      <w:r w:rsidRPr="00800690">
        <w:rPr>
          <w:noProof/>
        </w:rPr>
        <w:br w:type="page"/>
      </w:r>
      <w:bookmarkStart w:id="91" w:name="_Toc514938039"/>
      <w:bookmarkStart w:id="92" w:name="_Toc520485040"/>
      <w:bookmarkStart w:id="93" w:name="_Toc160804582"/>
      <w:bookmarkStart w:id="94" w:name="_Toc167220274"/>
      <w:bookmarkStart w:id="95" w:name="_Toc177549007"/>
      <w:r w:rsidRPr="00800690">
        <w:rPr>
          <w:noProof/>
        </w:rPr>
        <w:t>1.6.</w:t>
      </w:r>
      <w:r w:rsidRPr="00800690">
        <w:rPr>
          <w:noProof/>
        </w:rPr>
        <w:tab/>
        <w:t>Durée de la proposition/de l’initiative</w:t>
      </w:r>
      <w:bookmarkEnd w:id="91"/>
      <w:r w:rsidRPr="00800690">
        <w:rPr>
          <w:noProof/>
        </w:rPr>
        <w:t xml:space="preserve"> </w:t>
      </w:r>
      <w:bookmarkEnd w:id="92"/>
      <w:r w:rsidRPr="00800690">
        <w:rPr>
          <w:noProof/>
        </w:rPr>
        <w:t>et de son incidence financière</w:t>
      </w:r>
      <w:bookmarkEnd w:id="93"/>
      <w:bookmarkEnd w:id="94"/>
      <w:bookmarkEnd w:id="95"/>
    </w:p>
    <w:p w:rsidR="000531EB" w:rsidRPr="00800690" w:rsidRDefault="0088512F" w:rsidP="00E923B5">
      <w:pPr>
        <w:pStyle w:val="Text1"/>
        <w:rPr>
          <w:noProof/>
        </w:rPr>
      </w:pPr>
      <w:r w:rsidRPr="00800690">
        <w:rPr>
          <w:rFonts w:ascii="Wingdings" w:hAnsi="Wingdings"/>
          <w:noProof/>
        </w:rPr>
        <w:t></w:t>
      </w:r>
      <w:r w:rsidRPr="00800690">
        <w:rPr>
          <w:b/>
          <w:i/>
          <w:noProof/>
        </w:rPr>
        <w:t xml:space="preserve"> </w:t>
      </w:r>
      <w:r w:rsidRPr="00800690">
        <w:rPr>
          <w:b/>
          <w:noProof/>
        </w:rPr>
        <w:t>Durée limitée</w:t>
      </w:r>
    </w:p>
    <w:p w:rsidR="000531EB" w:rsidRPr="00800690" w:rsidRDefault="0088512F" w:rsidP="000531EB">
      <w:pPr>
        <w:pStyle w:val="ListDash2"/>
        <w:rPr>
          <w:noProof/>
        </w:rPr>
      </w:pPr>
      <w:r w:rsidRPr="00800690">
        <w:rPr>
          <w:rFonts w:ascii="Wingdings" w:hAnsi="Wingdings"/>
          <w:noProof/>
        </w:rPr>
        <w:t></w:t>
      </w:r>
      <w:r w:rsidRPr="00800690">
        <w:rPr>
          <w:noProof/>
        </w:rPr>
        <w:tab/>
      </w:r>
      <w:bookmarkStart w:id="96" w:name="_Hlk226990715"/>
      <w:r w:rsidRPr="00800690">
        <w:rPr>
          <w:noProof/>
        </w:rPr>
        <w:t>en vigueur pour une durée de quatre ans à compter de la date de la signature</w:t>
      </w:r>
      <w:bookmarkEnd w:id="96"/>
      <w:r w:rsidRPr="00800690">
        <w:rPr>
          <w:noProof/>
        </w:rPr>
        <w:t>.</w:t>
      </w:r>
    </w:p>
    <w:p w:rsidR="000531EB" w:rsidRPr="00800690" w:rsidRDefault="0088512F" w:rsidP="000531EB">
      <w:pPr>
        <w:pStyle w:val="ListDash2"/>
        <w:rPr>
          <w:noProof/>
        </w:rPr>
      </w:pPr>
      <w:r w:rsidRPr="00800690">
        <w:rPr>
          <w:rFonts w:ascii="Wingdings" w:hAnsi="Wingdings"/>
          <w:noProof/>
        </w:rPr>
        <w:t></w:t>
      </w:r>
      <w:r w:rsidRPr="00800690">
        <w:rPr>
          <w:noProof/>
        </w:rPr>
        <w:tab/>
      </w:r>
      <w:bookmarkStart w:id="97" w:name="_Hlk226990729"/>
      <w:r w:rsidRPr="00800690">
        <w:rPr>
          <w:noProof/>
        </w:rPr>
        <w:t>incidence financière de quatre ans à compter de la date de signature pour les crédits d’engagement, et de quatre ans et six mois à compter de la date de signature pour les crédits de paiement.</w:t>
      </w:r>
      <w:bookmarkEnd w:id="97"/>
    </w:p>
    <w:p w:rsidR="000531EB" w:rsidRPr="00800690" w:rsidRDefault="000531EB" w:rsidP="00E923B5">
      <w:pPr>
        <w:pStyle w:val="Text1"/>
        <w:rPr>
          <w:noProof/>
        </w:rPr>
      </w:pPr>
      <w:r w:rsidRPr="00800690">
        <w:rPr>
          <w:rFonts w:ascii="Wingdings" w:hAnsi="Wingdings"/>
          <w:noProof/>
        </w:rPr>
        <w:t></w:t>
      </w:r>
      <w:r w:rsidRPr="00800690">
        <w:rPr>
          <w:b/>
          <w:i/>
          <w:noProof/>
        </w:rPr>
        <w:t xml:space="preserve"> </w:t>
      </w:r>
      <w:r w:rsidRPr="00800690">
        <w:rPr>
          <w:b/>
          <w:noProof/>
        </w:rPr>
        <w:t>Durée illimitée</w:t>
      </w:r>
    </w:p>
    <w:p w:rsidR="000531EB" w:rsidRPr="00800690" w:rsidRDefault="000531EB" w:rsidP="000531EB">
      <w:pPr>
        <w:pStyle w:val="ListDash1"/>
        <w:rPr>
          <w:noProof/>
        </w:rPr>
      </w:pPr>
      <w:r w:rsidRPr="00800690">
        <w:rPr>
          <w:noProof/>
        </w:rPr>
        <w:t>Mise en œuvre avec une période de montée en puissance de AAAA jusqu'en AAAA,</w:t>
      </w:r>
    </w:p>
    <w:p w:rsidR="000531EB" w:rsidRPr="00800690" w:rsidRDefault="000531EB" w:rsidP="000531EB">
      <w:pPr>
        <w:pStyle w:val="ListDash1"/>
        <w:rPr>
          <w:noProof/>
        </w:rPr>
      </w:pPr>
      <w:r w:rsidRPr="00800690">
        <w:rPr>
          <w:noProof/>
        </w:rPr>
        <w:t>puis un fonctionnement en rythme de croisière au-delà.</w:t>
      </w:r>
    </w:p>
    <w:p w:rsidR="000531EB" w:rsidRPr="00800690" w:rsidRDefault="000531EB" w:rsidP="00E923B5">
      <w:pPr>
        <w:pStyle w:val="ManualHeading2"/>
        <w:rPr>
          <w:bCs/>
          <w:noProof/>
          <w:szCs w:val="24"/>
        </w:rPr>
      </w:pPr>
      <w:bookmarkStart w:id="98" w:name="_Toc514938040"/>
      <w:bookmarkStart w:id="99" w:name="_Toc520485041"/>
      <w:bookmarkStart w:id="100" w:name="_Toc160804583"/>
      <w:bookmarkStart w:id="101" w:name="_Toc167220275"/>
      <w:bookmarkStart w:id="102" w:name="_Toc177549008"/>
      <w:r w:rsidRPr="00800690">
        <w:rPr>
          <w:noProof/>
        </w:rPr>
        <w:t>1.7.</w:t>
      </w:r>
      <w:r w:rsidRPr="00800690">
        <w:rPr>
          <w:noProof/>
        </w:rPr>
        <w:tab/>
        <w:t>Mode(s) d’exécution budgétaire prévu(s)</w:t>
      </w:r>
      <w:bookmarkEnd w:id="98"/>
      <w:bookmarkEnd w:id="99"/>
      <w:bookmarkEnd w:id="100"/>
      <w:bookmarkEnd w:id="101"/>
      <w:bookmarkEnd w:id="102"/>
    </w:p>
    <w:p w:rsidR="000531EB" w:rsidRPr="00800690" w:rsidRDefault="0088512F" w:rsidP="00E923B5">
      <w:pPr>
        <w:pStyle w:val="Text1"/>
        <w:rPr>
          <w:noProof/>
        </w:rPr>
      </w:pPr>
      <w:r w:rsidRPr="00800690">
        <w:rPr>
          <w:rFonts w:ascii="Wingdings" w:hAnsi="Wingdings"/>
          <w:noProof/>
        </w:rPr>
        <w:t></w:t>
      </w:r>
      <w:r w:rsidRPr="00800690">
        <w:rPr>
          <w:i/>
          <w:noProof/>
        </w:rPr>
        <w:t xml:space="preserve"> </w:t>
      </w:r>
      <w:r w:rsidRPr="00800690">
        <w:rPr>
          <w:b/>
          <w:noProof/>
        </w:rPr>
        <w:t xml:space="preserve">Gestion directe </w:t>
      </w:r>
      <w:r w:rsidRPr="00800690">
        <w:rPr>
          <w:noProof/>
        </w:rPr>
        <w:t>par la Commission</w:t>
      </w:r>
    </w:p>
    <w:p w:rsidR="000531EB" w:rsidRPr="00800690" w:rsidRDefault="0088512F" w:rsidP="000531EB">
      <w:pPr>
        <w:pStyle w:val="ListDash2"/>
        <w:rPr>
          <w:rFonts w:cs="EUAlbertina"/>
          <w:noProof/>
        </w:rPr>
      </w:pPr>
      <w:r w:rsidRPr="00800690">
        <w:rPr>
          <w:rFonts w:ascii="Wingdings" w:hAnsi="Wingdings"/>
          <w:noProof/>
        </w:rPr>
        <w:t></w:t>
      </w:r>
      <w:r w:rsidRPr="00800690">
        <w:rPr>
          <w:noProof/>
        </w:rPr>
        <w:t xml:space="preserve"> par ses services, y compris par l’intermédiaire de son personnel dans les délégations de l’UE</w:t>
      </w:r>
    </w:p>
    <w:p w:rsidR="000531EB" w:rsidRPr="00800690" w:rsidRDefault="000531EB" w:rsidP="000531EB">
      <w:pPr>
        <w:pStyle w:val="ListDash2"/>
        <w:rPr>
          <w:noProof/>
        </w:rPr>
      </w:pPr>
      <w:r w:rsidRPr="00800690">
        <w:rPr>
          <w:rFonts w:ascii="Wingdings" w:hAnsi="Wingdings"/>
          <w:noProof/>
        </w:rPr>
        <w:t></w:t>
      </w:r>
      <w:r w:rsidRPr="00800690">
        <w:rPr>
          <w:noProof/>
        </w:rPr>
        <w:tab/>
        <w:t>par les agences exécutives</w:t>
      </w:r>
    </w:p>
    <w:p w:rsidR="000531EB" w:rsidRPr="00800690" w:rsidRDefault="000531EB" w:rsidP="00E923B5">
      <w:pPr>
        <w:pStyle w:val="Text1"/>
        <w:rPr>
          <w:noProof/>
        </w:rPr>
      </w:pPr>
      <w:r w:rsidRPr="00800690">
        <w:rPr>
          <w:rFonts w:ascii="Wingdings" w:hAnsi="Wingdings"/>
          <w:noProof/>
        </w:rPr>
        <w:t></w:t>
      </w:r>
      <w:r w:rsidRPr="00800690">
        <w:rPr>
          <w:b/>
          <w:i/>
          <w:noProof/>
        </w:rPr>
        <w:t xml:space="preserve"> </w:t>
      </w:r>
      <w:r w:rsidRPr="00800690">
        <w:rPr>
          <w:b/>
          <w:noProof/>
        </w:rPr>
        <w:t>Gestion partagée</w:t>
      </w:r>
      <w:r w:rsidRPr="00800690">
        <w:rPr>
          <w:noProof/>
        </w:rPr>
        <w:t xml:space="preserve"> avec les États membres</w:t>
      </w:r>
    </w:p>
    <w:p w:rsidR="000531EB" w:rsidRPr="00800690" w:rsidRDefault="000531EB" w:rsidP="00E923B5">
      <w:pPr>
        <w:pStyle w:val="Text1"/>
        <w:rPr>
          <w:noProof/>
        </w:rPr>
      </w:pPr>
      <w:r w:rsidRPr="00800690">
        <w:rPr>
          <w:rFonts w:ascii="Wingdings" w:hAnsi="Wingdings"/>
          <w:noProof/>
        </w:rPr>
        <w:t></w:t>
      </w:r>
      <w:r w:rsidRPr="00800690">
        <w:rPr>
          <w:i/>
          <w:noProof/>
        </w:rPr>
        <w:t xml:space="preserve"> </w:t>
      </w:r>
      <w:r w:rsidRPr="00800690">
        <w:rPr>
          <w:b/>
          <w:noProof/>
        </w:rPr>
        <w:t>Gestion indirecte</w:t>
      </w:r>
      <w:r w:rsidRPr="00800690">
        <w:rPr>
          <w:noProof/>
        </w:rPr>
        <w:t xml:space="preserve"> en confiant des tâches d’exécution budgétaire:</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des pays tiers ou des organismes qu’ils ont désignés</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des organisations internationales et à leurs agences (à préciser)</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la Banque européenne d’investissement et au Fonds européen d’investissement</w:t>
      </w:r>
    </w:p>
    <w:p w:rsidR="000531EB" w:rsidRPr="00800690" w:rsidRDefault="000531EB" w:rsidP="000531EB">
      <w:pPr>
        <w:pStyle w:val="ListDash2"/>
        <w:rPr>
          <w:noProof/>
        </w:rPr>
      </w:pPr>
      <w:r w:rsidRPr="00800690">
        <w:rPr>
          <w:rFonts w:ascii="Wingdings" w:hAnsi="Wingdings"/>
          <w:noProof/>
        </w:rPr>
        <w:t></w:t>
      </w:r>
      <w:r w:rsidRPr="00800690">
        <w:rPr>
          <w:noProof/>
        </w:rPr>
        <w:t xml:space="preserve"> aux organismes visés aux articles 70 et 71 du règlement financier</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des établissements de droit public</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des entités de droit privé investies d’une mission de service public, pour autant qu’elles soient dotées de garanties financières suffisantes</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des entités de droit privé d’un État membre qui sont chargées de la mise en œuvre d’un partenariat public-privé et dotées de garanties financières suffisantes</w:t>
      </w:r>
    </w:p>
    <w:p w:rsidR="000531EB" w:rsidRPr="00800690" w:rsidRDefault="000531EB" w:rsidP="000531EB">
      <w:pPr>
        <w:pStyle w:val="ListDash2"/>
        <w:rPr>
          <w:noProof/>
        </w:rPr>
      </w:pPr>
      <w:r w:rsidRPr="00800690">
        <w:rPr>
          <w:rFonts w:ascii="Wingdings" w:hAnsi="Wingdings"/>
          <w:noProof/>
        </w:rPr>
        <w:t></w:t>
      </w:r>
      <w:r w:rsidRPr="00800690">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rsidR="000531EB" w:rsidRPr="00800690" w:rsidRDefault="000531EB" w:rsidP="000531EB">
      <w:pPr>
        <w:pStyle w:val="ListDash2"/>
        <w:rPr>
          <w:noProof/>
        </w:rPr>
      </w:pPr>
      <w:r w:rsidRPr="00800690">
        <w:rPr>
          <w:rFonts w:ascii="Wingdings" w:hAnsi="Wingdings"/>
          <w:noProof/>
        </w:rPr>
        <w:t></w:t>
      </w:r>
      <w:r w:rsidRPr="00800690">
        <w:rPr>
          <w:rFonts w:ascii="Wingdings" w:hAnsi="Wingdings"/>
          <w:noProof/>
        </w:rPr>
        <w:t></w:t>
      </w:r>
      <w:r w:rsidRPr="00800690">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0531EB" w:rsidRPr="00800690" w:rsidRDefault="000531EB" w:rsidP="00E923B5">
      <w:pPr>
        <w:rPr>
          <w:noProof/>
        </w:rPr>
      </w:pPr>
      <w:r w:rsidRPr="00800690">
        <w:rPr>
          <w:noProof/>
        </w:rPr>
        <w:t>Remarques</w:t>
      </w:r>
    </w:p>
    <w:p w:rsidR="000531EB" w:rsidRPr="00800690" w:rsidRDefault="000531EB" w:rsidP="00E923B5">
      <w:pPr>
        <w:pBdr>
          <w:top w:val="single" w:sz="4" w:space="1" w:color="auto"/>
          <w:left w:val="single" w:sz="4" w:space="4" w:color="auto"/>
          <w:bottom w:val="single" w:sz="4" w:space="1" w:color="auto"/>
          <w:right w:val="single" w:sz="4" w:space="4" w:color="auto"/>
        </w:pBdr>
        <w:rPr>
          <w:noProof/>
        </w:rPr>
      </w:pPr>
    </w:p>
    <w:p w:rsidR="000531EB" w:rsidRPr="00800690" w:rsidRDefault="000531EB" w:rsidP="00E923B5">
      <w:pPr>
        <w:pBdr>
          <w:top w:val="single" w:sz="4" w:space="1" w:color="auto"/>
          <w:left w:val="single" w:sz="4" w:space="4" w:color="auto"/>
          <w:bottom w:val="single" w:sz="4" w:space="1" w:color="auto"/>
          <w:right w:val="single" w:sz="4" w:space="4" w:color="auto"/>
        </w:pBdr>
        <w:rPr>
          <w:noProof/>
        </w:rPr>
      </w:pPr>
    </w:p>
    <w:p w:rsidR="000531EB" w:rsidRPr="00800690" w:rsidRDefault="000531EB" w:rsidP="00E923B5">
      <w:pPr>
        <w:rPr>
          <w:noProof/>
        </w:rPr>
        <w:sectPr w:rsidR="000531EB" w:rsidRPr="00800690" w:rsidSect="00EC3F4C">
          <w:pgSz w:w="11907" w:h="16840" w:code="9"/>
          <w:pgMar w:top="1134" w:right="1418" w:bottom="1134" w:left="1418" w:header="709" w:footer="709" w:gutter="0"/>
          <w:cols w:space="708"/>
          <w:docGrid w:linePitch="360"/>
        </w:sectPr>
      </w:pPr>
    </w:p>
    <w:p w:rsidR="000531EB" w:rsidRPr="00800690" w:rsidRDefault="000531EB" w:rsidP="00E923B5">
      <w:pPr>
        <w:pStyle w:val="ManualHeading1"/>
        <w:rPr>
          <w:bCs/>
          <w:noProof/>
          <w:szCs w:val="24"/>
        </w:rPr>
      </w:pPr>
      <w:bookmarkStart w:id="103" w:name="_Toc514938041"/>
      <w:bookmarkStart w:id="104" w:name="_Toc520485042"/>
      <w:bookmarkStart w:id="105" w:name="_Toc160804584"/>
      <w:bookmarkStart w:id="106" w:name="_Toc167220276"/>
      <w:bookmarkStart w:id="107" w:name="_Toc177549009"/>
      <w:r w:rsidRPr="00800690">
        <w:rPr>
          <w:noProof/>
        </w:rPr>
        <w:t>2.</w:t>
      </w:r>
      <w:r w:rsidRPr="00800690">
        <w:rPr>
          <w:noProof/>
        </w:rPr>
        <w:tab/>
        <w:t>MESURES DE GESTION</w:t>
      </w:r>
      <w:bookmarkEnd w:id="103"/>
      <w:bookmarkEnd w:id="104"/>
      <w:bookmarkEnd w:id="105"/>
      <w:bookmarkEnd w:id="106"/>
      <w:bookmarkEnd w:id="107"/>
    </w:p>
    <w:p w:rsidR="000531EB" w:rsidRPr="00800690" w:rsidRDefault="000531EB" w:rsidP="00E923B5">
      <w:pPr>
        <w:pStyle w:val="ManualHeading2"/>
        <w:rPr>
          <w:noProof/>
        </w:rPr>
      </w:pPr>
      <w:bookmarkStart w:id="108" w:name="_Toc514938042"/>
      <w:bookmarkStart w:id="109" w:name="_Toc520485043"/>
      <w:bookmarkStart w:id="110" w:name="_Toc160804585"/>
      <w:bookmarkStart w:id="111" w:name="_Toc167220277"/>
      <w:bookmarkStart w:id="112" w:name="_Toc177549010"/>
      <w:r w:rsidRPr="00800690">
        <w:rPr>
          <w:noProof/>
        </w:rPr>
        <w:t>2.1.</w:t>
      </w:r>
      <w:r w:rsidRPr="00800690">
        <w:rPr>
          <w:noProof/>
        </w:rPr>
        <w:tab/>
        <w:t>Dispositions en matière de suivi et de compte rendu</w:t>
      </w:r>
      <w:bookmarkEnd w:id="108"/>
      <w:bookmarkEnd w:id="109"/>
      <w:bookmarkEnd w:id="110"/>
      <w:bookmarkEnd w:id="111"/>
      <w:bookmarkEnd w:id="112"/>
    </w:p>
    <w:p w:rsidR="0088512F" w:rsidRPr="00800690" w:rsidRDefault="0088512F" w:rsidP="0088512F">
      <w:pPr>
        <w:pBdr>
          <w:top w:val="single" w:sz="4" w:space="1" w:color="auto"/>
          <w:left w:val="single" w:sz="4" w:space="4" w:color="auto"/>
          <w:bottom w:val="single" w:sz="4" w:space="1" w:color="auto"/>
          <w:right w:val="single" w:sz="4" w:space="4" w:color="auto"/>
        </w:pBdr>
        <w:ind w:left="850"/>
        <w:rPr>
          <w:noProof/>
        </w:rPr>
      </w:pPr>
      <w:r w:rsidRPr="00800690">
        <w:rPr>
          <w:noProof/>
        </w:rPr>
        <w:t>La Commission (DG MARE, en collaboration avec son attaché pêche compétent pour les Seychelles, et en coordination avec les services concernés de la Commission), assurera un suivi régulier de la mise en œuvre du protocole en ce qui concerne l’utilisation par les exploitants des possibilités de pêche, les données relatives aux captures et le respect des conditions de l’appui sectoriel.</w:t>
      </w:r>
    </w:p>
    <w:p w:rsidR="000531EB" w:rsidRPr="00800690" w:rsidRDefault="0088512F" w:rsidP="0088512F">
      <w:pPr>
        <w:pStyle w:val="Text1"/>
        <w:pBdr>
          <w:top w:val="single" w:sz="4" w:space="1" w:color="auto"/>
          <w:left w:val="single" w:sz="4" w:space="4" w:color="auto"/>
          <w:bottom w:val="single" w:sz="4" w:space="1" w:color="auto"/>
          <w:right w:val="single" w:sz="4" w:space="4" w:color="auto"/>
        </w:pBdr>
        <w:rPr>
          <w:noProof/>
        </w:rPr>
      </w:pPr>
      <w:r w:rsidRPr="00800690">
        <w:rPr>
          <w:noProof/>
        </w:rPr>
        <w:t>En outre, l’APPD prévoit au moins une réunion annuelle de la commission mixte pendant laquelle la Commission et les Seychelles feront le point sur la mise en œuvre de l’accord et de son protocole et apporteront tout ajustement nécessaire à la programmation et, le cas échéant, à la contrepartie financière.</w:t>
      </w:r>
    </w:p>
    <w:p w:rsidR="000531EB" w:rsidRPr="00800690" w:rsidRDefault="000531EB" w:rsidP="00E923B5">
      <w:pPr>
        <w:pStyle w:val="ManualHeading2"/>
        <w:rPr>
          <w:bCs/>
          <w:noProof/>
          <w:szCs w:val="24"/>
        </w:rPr>
      </w:pPr>
      <w:bookmarkStart w:id="113" w:name="_Toc514938045"/>
      <w:bookmarkStart w:id="114" w:name="_Toc520485044"/>
      <w:bookmarkStart w:id="115" w:name="_Toc160804586"/>
      <w:bookmarkStart w:id="116" w:name="_Toc167220278"/>
      <w:bookmarkStart w:id="117" w:name="_Toc177549011"/>
      <w:r w:rsidRPr="00800690">
        <w:rPr>
          <w:noProof/>
        </w:rPr>
        <w:t>2.2.</w:t>
      </w:r>
      <w:r w:rsidRPr="00800690">
        <w:rPr>
          <w:noProof/>
        </w:rPr>
        <w:tab/>
        <w:t>Système(s) de gestion et de contrôle</w:t>
      </w:r>
      <w:bookmarkEnd w:id="113"/>
      <w:bookmarkEnd w:id="114"/>
      <w:bookmarkEnd w:id="115"/>
      <w:bookmarkEnd w:id="116"/>
      <w:bookmarkEnd w:id="117"/>
    </w:p>
    <w:p w:rsidR="000531EB" w:rsidRPr="00800690" w:rsidRDefault="000531EB" w:rsidP="00E923B5">
      <w:pPr>
        <w:pStyle w:val="ManualHeading3"/>
        <w:rPr>
          <w:noProof/>
        </w:rPr>
      </w:pPr>
      <w:bookmarkStart w:id="118" w:name="_Toc514938046"/>
      <w:bookmarkStart w:id="119" w:name="_Toc520485045"/>
      <w:bookmarkStart w:id="120" w:name="_Toc160804587"/>
      <w:bookmarkStart w:id="121" w:name="_Toc167220279"/>
      <w:bookmarkStart w:id="122" w:name="_Toc177549012"/>
      <w:r w:rsidRPr="00800690">
        <w:rPr>
          <w:noProof/>
        </w:rPr>
        <w:t>2.2.1.</w:t>
      </w:r>
      <w:r w:rsidRPr="00800690">
        <w:rPr>
          <w:noProof/>
        </w:rPr>
        <w:tab/>
        <w:t>Justification du (des) mode(s) d’exécution budgétaire, du (des) mécanisme(s) de mise en œuvre du financement, des modalités de paiement et de la stratégie de contrôle proposée</w:t>
      </w:r>
      <w:bookmarkEnd w:id="118"/>
      <w:bookmarkEnd w:id="119"/>
      <w:bookmarkEnd w:id="120"/>
      <w:bookmarkEnd w:id="121"/>
      <w:bookmarkEnd w:id="122"/>
    </w:p>
    <w:p w:rsidR="0088512F" w:rsidRPr="00800690" w:rsidRDefault="0088512F" w:rsidP="0088512F">
      <w:pPr>
        <w:pBdr>
          <w:top w:val="single" w:sz="4" w:space="1" w:color="auto"/>
          <w:left w:val="single" w:sz="4" w:space="4" w:color="auto"/>
          <w:bottom w:val="single" w:sz="4" w:space="1" w:color="auto"/>
          <w:right w:val="single" w:sz="4" w:space="4" w:color="auto"/>
        </w:pBdr>
        <w:ind w:left="850"/>
        <w:rPr>
          <w:noProof/>
        </w:rPr>
      </w:pPr>
      <w:r w:rsidRPr="00800690">
        <w:rPr>
          <w:noProof/>
        </w:rPr>
        <w:t>Les paiements sont exécutés de manière découplée pour la contrepartie liée à l’accès et celle liée à l’appui sectoriel</w:t>
      </w:r>
    </w:p>
    <w:p w:rsidR="0088512F" w:rsidRPr="00800690" w:rsidRDefault="0088512F" w:rsidP="0088512F">
      <w:pPr>
        <w:pBdr>
          <w:top w:val="single" w:sz="4" w:space="1" w:color="auto"/>
          <w:left w:val="single" w:sz="4" w:space="4" w:color="auto"/>
          <w:bottom w:val="single" w:sz="4" w:space="1" w:color="auto"/>
          <w:right w:val="single" w:sz="4" w:space="4" w:color="auto"/>
        </w:pBdr>
        <w:ind w:left="850"/>
        <w:rPr>
          <w:noProof/>
        </w:rPr>
      </w:pPr>
      <w:r w:rsidRPr="00800690">
        <w:rPr>
          <w:noProof/>
        </w:rPr>
        <w:t xml:space="preserve">Les paiements relatifs à l’accès sont effectués chaque année au plus tard à la date anniversaire du protocole, sauf la première année, où le paiement est effectué dans les trois mois suivant le début de l’application provisoire. L’accès des navires est contrôlé par la délivrance des autorisations de pêche. </w:t>
      </w:r>
    </w:p>
    <w:p w:rsidR="000531EB" w:rsidRPr="00800690" w:rsidRDefault="0088512F" w:rsidP="0088512F">
      <w:pPr>
        <w:pStyle w:val="Text1"/>
        <w:pBdr>
          <w:top w:val="single" w:sz="4" w:space="1" w:color="auto"/>
          <w:left w:val="single" w:sz="4" w:space="4" w:color="auto"/>
          <w:bottom w:val="single" w:sz="4" w:space="1" w:color="auto"/>
          <w:right w:val="single" w:sz="4" w:space="4" w:color="auto"/>
        </w:pBdr>
        <w:rPr>
          <w:noProof/>
        </w:rPr>
      </w:pPr>
      <w:r w:rsidRPr="00800690">
        <w:rPr>
          <w:noProof/>
        </w:rPr>
        <w:t>Le paiement de l’appui sectoriel est versé pour la première fois 30 jours après l’adoption du programme sectoriel pluriannuel par la commission mixte; pour les années suivantes, le paiement sera subordonné aux résultats obtenus. Les résultats obtenus et le taux d’exécution feront l’objet d’un suivi conformément aux règles de mise en œuvre spécifiées à l’appendice 6 de l’annexe du protocole et sur la base des rapports ou des preuves documentaires fournis par le pays partenaire et des évaluations et vérifications menées par l’attaché pêche.</w:t>
      </w:r>
    </w:p>
    <w:p w:rsidR="000531EB" w:rsidRPr="00800690" w:rsidRDefault="000531EB" w:rsidP="00E923B5">
      <w:pPr>
        <w:pStyle w:val="ManualHeading3"/>
        <w:rPr>
          <w:bCs/>
          <w:noProof/>
          <w:szCs w:val="24"/>
        </w:rPr>
      </w:pPr>
      <w:bookmarkStart w:id="123" w:name="_Toc514938047"/>
      <w:bookmarkStart w:id="124" w:name="_Toc520485046"/>
      <w:bookmarkStart w:id="125" w:name="_Toc160804588"/>
      <w:bookmarkStart w:id="126" w:name="_Toc167220280"/>
      <w:bookmarkStart w:id="127" w:name="_Toc177549013"/>
      <w:r w:rsidRPr="00800690">
        <w:rPr>
          <w:noProof/>
        </w:rPr>
        <w:t>2.2.2.</w:t>
      </w:r>
      <w:r w:rsidRPr="00800690">
        <w:rPr>
          <w:noProof/>
        </w:rPr>
        <w:tab/>
        <w:t>Informations sur les risques recensés et sur le(s) système(s) de contrôle interne mis en place pour les atténuer</w:t>
      </w:r>
      <w:bookmarkEnd w:id="123"/>
      <w:bookmarkEnd w:id="124"/>
      <w:bookmarkEnd w:id="125"/>
      <w:bookmarkEnd w:id="126"/>
      <w:bookmarkEnd w:id="127"/>
    </w:p>
    <w:p w:rsidR="000531EB" w:rsidRPr="00800690" w:rsidRDefault="0088512F" w:rsidP="0088512F">
      <w:pPr>
        <w:pStyle w:val="Text1"/>
        <w:pBdr>
          <w:top w:val="single" w:sz="4" w:space="1" w:color="auto"/>
          <w:left w:val="single" w:sz="4" w:space="4" w:color="auto"/>
          <w:bottom w:val="single" w:sz="4" w:space="1" w:color="auto"/>
          <w:right w:val="single" w:sz="4" w:space="4" w:color="auto"/>
        </w:pBdr>
        <w:rPr>
          <w:noProof/>
        </w:rPr>
      </w:pPr>
      <w:r w:rsidRPr="00800690">
        <w:rPr>
          <w:noProof/>
        </w:rPr>
        <w:t>Les risques recensés sont une sous-utilisation des possibilités de pêches par les armateurs de l’Union et une sous-utilisation ou une utilisation tardive des fonds destinés au financement de la politique sectorielle de la pêche par les Seychelles Il est prévu un dialogue soutenu sur la programmation et la mise en œuvre de la politique sectorielle prévue par l’accord et le protocole. Le suivi conjoint des résultats mentionné à l’appendice 6 de l’annexe du protocole constitue également l’un de ces moyens de contrôle. Par ailleurs l’accord et le protocole prévoient des clauses spécifiques pour leur suspension, à certaines conditions et dans des circonstances déterminées.</w:t>
      </w:r>
    </w:p>
    <w:p w:rsidR="000531EB" w:rsidRPr="00800690" w:rsidRDefault="000531EB" w:rsidP="00E923B5">
      <w:pPr>
        <w:pStyle w:val="ManualHeading3"/>
        <w:rPr>
          <w:noProof/>
        </w:rPr>
      </w:pPr>
      <w:bookmarkStart w:id="128" w:name="_Toc514938048"/>
      <w:bookmarkStart w:id="129" w:name="_Toc520485047"/>
      <w:bookmarkStart w:id="130" w:name="_Toc160804589"/>
      <w:bookmarkStart w:id="131" w:name="_Toc167220281"/>
      <w:bookmarkStart w:id="132" w:name="_Toc177549014"/>
      <w:r w:rsidRPr="00800690">
        <w:rPr>
          <w:noProof/>
        </w:rPr>
        <w:t>2.2.3.</w:t>
      </w:r>
      <w:r w:rsidRPr="00800690">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28"/>
      <w:bookmarkEnd w:id="129"/>
      <w:bookmarkEnd w:id="130"/>
      <w:bookmarkEnd w:id="131"/>
      <w:bookmarkEnd w:id="132"/>
      <w:r w:rsidRPr="00800690">
        <w:rPr>
          <w:noProof/>
        </w:rPr>
        <w:t xml:space="preserve"> </w:t>
      </w:r>
    </w:p>
    <w:p w:rsidR="000531EB" w:rsidRPr="00800690" w:rsidRDefault="0088512F" w:rsidP="0088512F">
      <w:pPr>
        <w:pStyle w:val="Text1"/>
        <w:pBdr>
          <w:top w:val="single" w:sz="4" w:space="1" w:color="auto"/>
          <w:left w:val="single" w:sz="4" w:space="4" w:color="auto"/>
          <w:bottom w:val="single" w:sz="4" w:space="1" w:color="auto"/>
          <w:right w:val="single" w:sz="4" w:space="4" w:color="auto"/>
        </w:pBdr>
        <w:rPr>
          <w:noProof/>
        </w:rPr>
      </w:pPr>
      <w:r w:rsidRPr="00800690">
        <w:rPr>
          <w:noProof/>
        </w:rPr>
        <w:t>Les paiements des coûts d’accès prévus par des accords de partenariat de pêche durable (APPD) font l’objet de contrôles en vue de garantir que ceux-ci respectent les dispositions des accords internationaux. Les contrôles relatifs à l’appui sectoriel visent à assurer un suivi de la mise en œuvre de ce soutien. Le suivi est effectué par le personnel de la Commission en poste dans la délégation de l’Union ainsi que lors des réunions de la commission mixte. Une matrice de programmation pluriannuelle sert à l’évaluation des progrès. Si ceux-ci sont insuffisants, le paiement de la tranche suivante est suspendu ou réduit. Selon les estimations, le coût global des contrôles portant sur l’intégralité des APPD avoisine 1,8 % (de l’ensemble des contreparties versées en 2018). Les procédures de contrôle des APPD reposent en grande partie sur les exigences réglementaires essentielles. Si aucune insuffisance susceptible d’avoir une incidence significative sur la légalité et la régularité des opérations financières n’est détectée, les contrôles sont jugés efficaces.</w:t>
      </w:r>
    </w:p>
    <w:p w:rsidR="000531EB" w:rsidRPr="00800690" w:rsidRDefault="000531EB" w:rsidP="00E923B5">
      <w:pPr>
        <w:pStyle w:val="ManualHeading2"/>
        <w:rPr>
          <w:bCs/>
          <w:noProof/>
          <w:szCs w:val="24"/>
        </w:rPr>
      </w:pPr>
      <w:bookmarkStart w:id="133" w:name="_Toc514938049"/>
      <w:bookmarkStart w:id="134" w:name="_Toc520485048"/>
      <w:bookmarkStart w:id="135" w:name="_Toc160804590"/>
      <w:bookmarkStart w:id="136" w:name="_Toc167220282"/>
      <w:bookmarkStart w:id="137" w:name="_Toc177549015"/>
      <w:r w:rsidRPr="00800690">
        <w:rPr>
          <w:noProof/>
        </w:rPr>
        <w:t>2.3.</w:t>
      </w:r>
      <w:r w:rsidRPr="00800690">
        <w:rPr>
          <w:noProof/>
        </w:rPr>
        <w:tab/>
        <w:t>Mesures de prévention des fraudes et irrégularités</w:t>
      </w:r>
      <w:bookmarkEnd w:id="133"/>
      <w:bookmarkEnd w:id="134"/>
      <w:bookmarkEnd w:id="135"/>
      <w:bookmarkEnd w:id="136"/>
      <w:bookmarkEnd w:id="137"/>
      <w:r w:rsidRPr="00800690">
        <w:rPr>
          <w:noProof/>
        </w:rPr>
        <w:t xml:space="preserve"> </w:t>
      </w:r>
    </w:p>
    <w:p w:rsidR="000531EB" w:rsidRPr="00800690" w:rsidRDefault="0088512F" w:rsidP="0088512F">
      <w:pPr>
        <w:pStyle w:val="Text1"/>
        <w:pBdr>
          <w:top w:val="single" w:sz="4" w:space="1" w:color="auto"/>
          <w:left w:val="single" w:sz="4" w:space="4" w:color="auto"/>
          <w:bottom w:val="single" w:sz="4" w:space="1" w:color="auto"/>
          <w:right w:val="single" w:sz="4" w:space="4" w:color="auto"/>
        </w:pBdr>
        <w:rPr>
          <w:noProof/>
        </w:rPr>
      </w:pPr>
      <w:r w:rsidRPr="00800690">
        <w:rPr>
          <w:noProof/>
        </w:rPr>
        <w:t xml:space="preserve">La Commission s’engage à établir un dialogue politique et des consultations régulières avec les Seychelles afin d’améliorer la gestion de l’accord et du protocole, tout en renforçant la contribution de l’Union à la gestion durable des ressources. Tout paiement effectué par la Commission dans le cadre d'un APPD est soumis aux règles et aux procédures budgétaires et financières normales de la Commission. En particulier, les comptes bancaires des pays tiers sur lesquels sont versés les montants des contreparties financières sont identifiés de façon complète. L’article 4 du protocole dispose que la contrepartie financière relative à l’accès et celle destinée au développement du secteur doivent être versées sur le compte consolidé du gouvernement des Seychelles après du Trésor public. Les dispositions sur le recouvrement des fonds pour l’appui sectoriel indûment versés figurent à l’appendice 6 </w:t>
      </w:r>
      <w:bookmarkStart w:id="138" w:name="_Hlk225779391"/>
      <w:r w:rsidRPr="00800690">
        <w:rPr>
          <w:noProof/>
        </w:rPr>
        <w:t>de l’annexe du protocole.</w:t>
      </w:r>
      <w:bookmarkEnd w:id="138"/>
    </w:p>
    <w:p w:rsidR="000531EB" w:rsidRPr="00800690" w:rsidRDefault="000531EB" w:rsidP="00E923B5">
      <w:pPr>
        <w:rPr>
          <w:noProof/>
        </w:rPr>
        <w:sectPr w:rsidR="000531EB" w:rsidRPr="00800690" w:rsidSect="00EC3F4C">
          <w:pgSz w:w="11907" w:h="16840" w:code="9"/>
          <w:pgMar w:top="1134" w:right="1418" w:bottom="1134" w:left="1418" w:header="709" w:footer="709" w:gutter="0"/>
          <w:cols w:space="708"/>
          <w:docGrid w:linePitch="360"/>
        </w:sectPr>
      </w:pPr>
    </w:p>
    <w:p w:rsidR="000531EB" w:rsidRPr="00800690" w:rsidRDefault="000531EB" w:rsidP="00E923B5">
      <w:pPr>
        <w:pStyle w:val="ManualHeading1"/>
        <w:rPr>
          <w:bCs/>
          <w:noProof/>
          <w:szCs w:val="24"/>
        </w:rPr>
      </w:pPr>
      <w:bookmarkStart w:id="139" w:name="_Toc514938050"/>
      <w:bookmarkStart w:id="140" w:name="_Toc520485049"/>
      <w:bookmarkStart w:id="141" w:name="_Toc160804591"/>
      <w:bookmarkStart w:id="142" w:name="_Toc167220283"/>
      <w:bookmarkStart w:id="143" w:name="_Toc177549016"/>
      <w:r w:rsidRPr="00800690">
        <w:rPr>
          <w:noProof/>
        </w:rPr>
        <w:t>3.</w:t>
      </w:r>
      <w:r w:rsidRPr="00800690">
        <w:rPr>
          <w:noProof/>
        </w:rPr>
        <w:tab/>
        <w:t>INCIDENCE FINANCIÈRE ESTIMÉE DE LA PROPOSITION/DE L’INITIATIVE</w:t>
      </w:r>
      <w:bookmarkEnd w:id="139"/>
      <w:bookmarkEnd w:id="140"/>
      <w:bookmarkEnd w:id="141"/>
      <w:bookmarkEnd w:id="142"/>
      <w:bookmarkEnd w:id="143"/>
      <w:r w:rsidRPr="00800690">
        <w:rPr>
          <w:noProof/>
        </w:rPr>
        <w:t xml:space="preserve"> </w:t>
      </w:r>
    </w:p>
    <w:p w:rsidR="000531EB" w:rsidRPr="00800690" w:rsidRDefault="000531EB" w:rsidP="00E923B5">
      <w:pPr>
        <w:pStyle w:val="ManualHeading2"/>
        <w:rPr>
          <w:noProof/>
        </w:rPr>
      </w:pPr>
      <w:bookmarkStart w:id="144" w:name="_Toc514938051"/>
      <w:bookmarkStart w:id="145" w:name="_Toc520485050"/>
      <w:bookmarkStart w:id="146" w:name="_Toc160804592"/>
      <w:bookmarkStart w:id="147" w:name="_Toc167220284"/>
      <w:bookmarkStart w:id="148" w:name="_Toc177549017"/>
      <w:r w:rsidRPr="00800690">
        <w:rPr>
          <w:noProof/>
        </w:rPr>
        <w:t>3.1.</w:t>
      </w:r>
      <w:r w:rsidRPr="00800690">
        <w:rPr>
          <w:noProof/>
        </w:rPr>
        <w:tab/>
        <w:t>Rubrique(s) du cadre financier pluriannuel et ligne(s) budgétaire(s) de dépenses concernée(s)</w:t>
      </w:r>
      <w:bookmarkEnd w:id="144"/>
      <w:bookmarkEnd w:id="145"/>
      <w:bookmarkEnd w:id="146"/>
      <w:bookmarkEnd w:id="147"/>
      <w:bookmarkEnd w:id="148"/>
      <w:r w:rsidRPr="00800690">
        <w:rPr>
          <w:noProof/>
        </w:rPr>
        <w:t xml:space="preserve"> </w:t>
      </w:r>
    </w:p>
    <w:p w:rsidR="000531EB" w:rsidRPr="00800690" w:rsidRDefault="000531EB" w:rsidP="000531EB">
      <w:pPr>
        <w:pStyle w:val="ListBullet1"/>
        <w:rPr>
          <w:noProof/>
        </w:rPr>
      </w:pPr>
      <w:r w:rsidRPr="00800690">
        <w:rPr>
          <w:noProof/>
        </w:rPr>
        <w:t xml:space="preserve">Lignes budgétaires existantes </w:t>
      </w:r>
    </w:p>
    <w:p w:rsidR="000531EB" w:rsidRPr="00800690" w:rsidRDefault="000531EB" w:rsidP="00E923B5">
      <w:pPr>
        <w:pStyle w:val="Text1"/>
        <w:rPr>
          <w:i/>
          <w:noProof/>
        </w:rPr>
      </w:pPr>
      <w:r w:rsidRPr="00800690">
        <w:rPr>
          <w:i/>
          <w:noProof/>
          <w:u w:val="single"/>
        </w:rPr>
        <w:t>Dans l’ordre</w:t>
      </w:r>
      <w:r w:rsidRPr="00800690">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9"/>
        <w:gridCol w:w="2875"/>
        <w:gridCol w:w="1092"/>
        <w:gridCol w:w="966"/>
        <w:gridCol w:w="1092"/>
        <w:gridCol w:w="966"/>
        <w:gridCol w:w="1463"/>
      </w:tblGrid>
      <w:tr w:rsidR="000531EB" w:rsidRPr="00800690" w:rsidTr="0003170F">
        <w:trPr>
          <w:jc w:val="center"/>
        </w:trPr>
        <w:tc>
          <w:tcPr>
            <w:tcW w:w="2219" w:type="dxa"/>
            <w:vMerge w:val="restart"/>
            <w:vAlign w:val="center"/>
          </w:tcPr>
          <w:p w:rsidR="000531EB" w:rsidRPr="00800690" w:rsidRDefault="000531EB" w:rsidP="00425340">
            <w:pPr>
              <w:spacing w:before="60" w:after="60"/>
              <w:jc w:val="center"/>
              <w:rPr>
                <w:noProof/>
              </w:rPr>
            </w:pPr>
            <w:r w:rsidRPr="00800690">
              <w:rPr>
                <w:noProof/>
                <w:sz w:val="18"/>
              </w:rPr>
              <w:t>Rubrique du cadre financier pluriannuel</w:t>
            </w:r>
          </w:p>
        </w:tc>
        <w:tc>
          <w:tcPr>
            <w:tcW w:w="2875" w:type="dxa"/>
            <w:vAlign w:val="center"/>
          </w:tcPr>
          <w:p w:rsidR="000531EB" w:rsidRPr="00800690" w:rsidRDefault="000531EB" w:rsidP="00425340">
            <w:pPr>
              <w:spacing w:before="60" w:after="60"/>
              <w:jc w:val="center"/>
              <w:rPr>
                <w:noProof/>
              </w:rPr>
            </w:pPr>
            <w:r w:rsidRPr="00800690">
              <w:rPr>
                <w:noProof/>
                <w:sz w:val="20"/>
              </w:rPr>
              <w:t>Ligne budgétaire</w:t>
            </w:r>
          </w:p>
        </w:tc>
        <w:tc>
          <w:tcPr>
            <w:tcW w:w="1092" w:type="dxa"/>
            <w:vAlign w:val="center"/>
          </w:tcPr>
          <w:p w:rsidR="000531EB" w:rsidRPr="00800690" w:rsidRDefault="000531EB" w:rsidP="00425340">
            <w:pPr>
              <w:spacing w:before="60" w:after="60"/>
              <w:jc w:val="center"/>
              <w:rPr>
                <w:noProof/>
              </w:rPr>
            </w:pPr>
            <w:r w:rsidRPr="00800690">
              <w:rPr>
                <w:noProof/>
                <w:sz w:val="18"/>
              </w:rPr>
              <w:t>Nature de la dépense</w:t>
            </w:r>
          </w:p>
        </w:tc>
        <w:tc>
          <w:tcPr>
            <w:tcW w:w="4487" w:type="dxa"/>
            <w:gridSpan w:val="4"/>
            <w:vAlign w:val="center"/>
          </w:tcPr>
          <w:p w:rsidR="000531EB" w:rsidRPr="00800690" w:rsidRDefault="000531EB" w:rsidP="00425340">
            <w:pPr>
              <w:spacing w:before="60" w:after="60"/>
              <w:jc w:val="center"/>
              <w:rPr>
                <w:noProof/>
              </w:rPr>
            </w:pPr>
            <w:r w:rsidRPr="00800690">
              <w:rPr>
                <w:noProof/>
                <w:sz w:val="20"/>
              </w:rPr>
              <w:t xml:space="preserve">Participation </w:t>
            </w:r>
          </w:p>
        </w:tc>
      </w:tr>
      <w:tr w:rsidR="000531EB" w:rsidRPr="00800690" w:rsidTr="0003170F">
        <w:trPr>
          <w:cantSplit/>
          <w:jc w:val="center"/>
        </w:trPr>
        <w:tc>
          <w:tcPr>
            <w:tcW w:w="2219" w:type="dxa"/>
            <w:vMerge/>
            <w:vAlign w:val="center"/>
          </w:tcPr>
          <w:p w:rsidR="000531EB" w:rsidRPr="00800690" w:rsidRDefault="000531EB" w:rsidP="00425340">
            <w:pPr>
              <w:jc w:val="center"/>
              <w:rPr>
                <w:noProof/>
              </w:rPr>
            </w:pPr>
          </w:p>
        </w:tc>
        <w:tc>
          <w:tcPr>
            <w:tcW w:w="2875" w:type="dxa"/>
            <w:vAlign w:val="center"/>
          </w:tcPr>
          <w:p w:rsidR="000531EB" w:rsidRPr="00800690" w:rsidRDefault="000531EB" w:rsidP="00425340">
            <w:pPr>
              <w:rPr>
                <w:noProof/>
              </w:rPr>
            </w:pPr>
            <w:r w:rsidRPr="00800690">
              <w:rPr>
                <w:noProof/>
                <w:sz w:val="20"/>
              </w:rPr>
              <w:t xml:space="preserve">Nbre </w:t>
            </w:r>
            <w:r w:rsidRPr="00800690">
              <w:rPr>
                <w:noProof/>
              </w:rPr>
              <w:t xml:space="preserve"> </w:t>
            </w:r>
            <w:r w:rsidRPr="00800690">
              <w:rPr>
                <w:noProof/>
              </w:rPr>
              <w:br/>
            </w:r>
          </w:p>
        </w:tc>
        <w:tc>
          <w:tcPr>
            <w:tcW w:w="1092" w:type="dxa"/>
            <w:vAlign w:val="center"/>
          </w:tcPr>
          <w:p w:rsidR="000531EB" w:rsidRPr="00800690" w:rsidRDefault="000531EB" w:rsidP="00425340">
            <w:pPr>
              <w:jc w:val="center"/>
              <w:rPr>
                <w:noProof/>
              </w:rPr>
            </w:pPr>
            <w:r w:rsidRPr="00800690">
              <w:rPr>
                <w:noProof/>
                <w:sz w:val="18"/>
              </w:rPr>
              <w:t>CD/CND</w:t>
            </w:r>
            <w:r w:rsidRPr="00800690">
              <w:rPr>
                <w:rStyle w:val="FootnoteReference"/>
                <w:noProof/>
                <w:sz w:val="18"/>
              </w:rPr>
              <w:footnoteReference w:id="7"/>
            </w:r>
            <w:r w:rsidRPr="00800690">
              <w:rPr>
                <w:noProof/>
                <w:sz w:val="18"/>
              </w:rPr>
              <w:t>.</w:t>
            </w:r>
          </w:p>
        </w:tc>
        <w:tc>
          <w:tcPr>
            <w:tcW w:w="966" w:type="dxa"/>
            <w:vAlign w:val="center"/>
          </w:tcPr>
          <w:p w:rsidR="000531EB" w:rsidRPr="00800690" w:rsidRDefault="000531EB" w:rsidP="00425340">
            <w:pPr>
              <w:jc w:val="center"/>
              <w:rPr>
                <w:b/>
                <w:noProof/>
                <w:sz w:val="18"/>
              </w:rPr>
            </w:pPr>
            <w:r w:rsidRPr="00800690">
              <w:rPr>
                <w:noProof/>
                <w:sz w:val="18"/>
              </w:rPr>
              <w:t>de pays AELE</w:t>
            </w:r>
            <w:r w:rsidRPr="00800690">
              <w:rPr>
                <w:rStyle w:val="FootnoteReference"/>
                <w:noProof/>
                <w:sz w:val="18"/>
              </w:rPr>
              <w:footnoteReference w:id="8"/>
            </w:r>
          </w:p>
        </w:tc>
        <w:tc>
          <w:tcPr>
            <w:tcW w:w="1092" w:type="dxa"/>
            <w:vAlign w:val="center"/>
          </w:tcPr>
          <w:p w:rsidR="000531EB" w:rsidRPr="00800690" w:rsidRDefault="000531EB" w:rsidP="00425340">
            <w:pPr>
              <w:jc w:val="center"/>
              <w:rPr>
                <w:noProof/>
                <w:sz w:val="18"/>
              </w:rPr>
            </w:pPr>
            <w:r w:rsidRPr="00800690">
              <w:rPr>
                <w:noProof/>
                <w:sz w:val="18"/>
              </w:rPr>
              <w:t>de pays candidats et pays candidats potentiels</w:t>
            </w:r>
            <w:r w:rsidRPr="00800690">
              <w:rPr>
                <w:rStyle w:val="FootnoteReference"/>
                <w:noProof/>
                <w:sz w:val="18"/>
              </w:rPr>
              <w:footnoteReference w:id="9"/>
            </w:r>
          </w:p>
        </w:tc>
        <w:tc>
          <w:tcPr>
            <w:tcW w:w="966" w:type="dxa"/>
            <w:vAlign w:val="center"/>
          </w:tcPr>
          <w:p w:rsidR="000531EB" w:rsidRPr="00800690" w:rsidRDefault="000531EB" w:rsidP="00425340">
            <w:pPr>
              <w:jc w:val="center"/>
              <w:rPr>
                <w:noProof/>
                <w:sz w:val="18"/>
              </w:rPr>
            </w:pPr>
            <w:r w:rsidRPr="00800690">
              <w:rPr>
                <w:noProof/>
                <w:sz w:val="18"/>
              </w:rPr>
              <w:t>d’autres pays tiers</w:t>
            </w:r>
          </w:p>
        </w:tc>
        <w:tc>
          <w:tcPr>
            <w:tcW w:w="1463" w:type="dxa"/>
            <w:vAlign w:val="center"/>
          </w:tcPr>
          <w:p w:rsidR="000531EB" w:rsidRPr="00800690" w:rsidRDefault="000531EB" w:rsidP="00425340">
            <w:pPr>
              <w:jc w:val="center"/>
              <w:rPr>
                <w:noProof/>
              </w:rPr>
            </w:pPr>
            <w:r w:rsidRPr="00800690">
              <w:rPr>
                <w:noProof/>
                <w:sz w:val="18"/>
              </w:rPr>
              <w:t>autres recettes affectées</w:t>
            </w:r>
          </w:p>
        </w:tc>
      </w:tr>
      <w:tr w:rsidR="000531EB" w:rsidRPr="00800690" w:rsidTr="0003170F">
        <w:trPr>
          <w:jc w:val="center"/>
        </w:trPr>
        <w:tc>
          <w:tcPr>
            <w:tcW w:w="2219" w:type="dxa"/>
            <w:vAlign w:val="center"/>
          </w:tcPr>
          <w:p w:rsidR="000531EB" w:rsidRPr="00800690" w:rsidRDefault="0003170F" w:rsidP="00425340">
            <w:pPr>
              <w:jc w:val="center"/>
              <w:rPr>
                <w:noProof/>
                <w:color w:val="0000FF"/>
              </w:rPr>
            </w:pPr>
            <w:r w:rsidRPr="00800690">
              <w:rPr>
                <w:noProof/>
              </w:rPr>
              <w:t>Établir un cadre de gouvernance pour les activités de pêche menées par les navires de pêche de l’Union dans les eaux des pays tiers</w:t>
            </w:r>
          </w:p>
        </w:tc>
        <w:tc>
          <w:tcPr>
            <w:tcW w:w="2875" w:type="dxa"/>
            <w:vAlign w:val="center"/>
          </w:tcPr>
          <w:p w:rsidR="000531EB" w:rsidRPr="00800690" w:rsidRDefault="0003170F" w:rsidP="00425340">
            <w:pPr>
              <w:spacing w:before="60"/>
              <w:rPr>
                <w:noProof/>
              </w:rPr>
            </w:pPr>
            <w:r w:rsidRPr="00800690">
              <w:rPr>
                <w:noProof/>
              </w:rPr>
              <w:t>08.05.01</w:t>
            </w:r>
          </w:p>
          <w:p w:rsidR="000531EB" w:rsidRPr="00800690" w:rsidRDefault="000531EB" w:rsidP="00425340">
            <w:pPr>
              <w:spacing w:after="60"/>
              <w:rPr>
                <w:noProof/>
              </w:rPr>
            </w:pPr>
          </w:p>
        </w:tc>
        <w:tc>
          <w:tcPr>
            <w:tcW w:w="1092" w:type="dxa"/>
            <w:vAlign w:val="center"/>
          </w:tcPr>
          <w:p w:rsidR="000531EB" w:rsidRPr="00800690" w:rsidRDefault="000531EB" w:rsidP="00425340">
            <w:pPr>
              <w:jc w:val="center"/>
              <w:rPr>
                <w:noProof/>
                <w:color w:val="0000FF"/>
              </w:rPr>
            </w:pPr>
            <w:r w:rsidRPr="00800690">
              <w:rPr>
                <w:noProof/>
                <w:sz w:val="22"/>
              </w:rPr>
              <w:t>CD</w:t>
            </w:r>
          </w:p>
        </w:tc>
        <w:tc>
          <w:tcPr>
            <w:tcW w:w="966" w:type="dxa"/>
            <w:vAlign w:val="center"/>
          </w:tcPr>
          <w:p w:rsidR="000531EB" w:rsidRPr="00800690" w:rsidRDefault="000531EB" w:rsidP="00425340">
            <w:pPr>
              <w:jc w:val="center"/>
              <w:rPr>
                <w:noProof/>
                <w:sz w:val="20"/>
                <w:szCs w:val="20"/>
              </w:rPr>
            </w:pPr>
            <w:r w:rsidRPr="00800690">
              <w:rPr>
                <w:noProof/>
                <w:sz w:val="20"/>
              </w:rPr>
              <w:t>NON</w:t>
            </w:r>
          </w:p>
        </w:tc>
        <w:tc>
          <w:tcPr>
            <w:tcW w:w="1092" w:type="dxa"/>
            <w:vAlign w:val="center"/>
          </w:tcPr>
          <w:p w:rsidR="000531EB" w:rsidRPr="00800690" w:rsidRDefault="000531EB" w:rsidP="00425340">
            <w:pPr>
              <w:jc w:val="center"/>
              <w:rPr>
                <w:noProof/>
                <w:sz w:val="20"/>
                <w:szCs w:val="20"/>
              </w:rPr>
            </w:pPr>
            <w:r w:rsidRPr="00800690">
              <w:rPr>
                <w:noProof/>
                <w:sz w:val="20"/>
              </w:rPr>
              <w:t>NON</w:t>
            </w:r>
          </w:p>
        </w:tc>
        <w:tc>
          <w:tcPr>
            <w:tcW w:w="966" w:type="dxa"/>
            <w:vAlign w:val="center"/>
          </w:tcPr>
          <w:p w:rsidR="000531EB" w:rsidRPr="00800690" w:rsidRDefault="000531EB" w:rsidP="00425340">
            <w:pPr>
              <w:jc w:val="center"/>
              <w:rPr>
                <w:noProof/>
                <w:sz w:val="20"/>
                <w:szCs w:val="20"/>
              </w:rPr>
            </w:pPr>
            <w:r w:rsidRPr="00800690">
              <w:rPr>
                <w:noProof/>
                <w:sz w:val="20"/>
              </w:rPr>
              <w:t>NON</w:t>
            </w:r>
          </w:p>
        </w:tc>
        <w:tc>
          <w:tcPr>
            <w:tcW w:w="1463" w:type="dxa"/>
            <w:vAlign w:val="center"/>
          </w:tcPr>
          <w:p w:rsidR="000531EB" w:rsidRPr="00800690" w:rsidRDefault="000531EB" w:rsidP="00425340">
            <w:pPr>
              <w:jc w:val="center"/>
              <w:rPr>
                <w:noProof/>
                <w:sz w:val="20"/>
                <w:szCs w:val="20"/>
              </w:rPr>
            </w:pPr>
            <w:r w:rsidRPr="00800690">
              <w:rPr>
                <w:noProof/>
                <w:sz w:val="20"/>
              </w:rPr>
              <w:t>NON</w:t>
            </w:r>
          </w:p>
        </w:tc>
      </w:tr>
    </w:tbl>
    <w:p w:rsidR="000531EB" w:rsidRPr="00800690" w:rsidRDefault="000531EB" w:rsidP="00E923B5">
      <w:pPr>
        <w:rPr>
          <w:noProof/>
        </w:rPr>
        <w:sectPr w:rsidR="000531EB" w:rsidRPr="00800690" w:rsidSect="00EC3F4C">
          <w:pgSz w:w="11907" w:h="16840" w:code="1"/>
          <w:pgMar w:top="1134" w:right="1418" w:bottom="1134" w:left="1418" w:header="709" w:footer="709" w:gutter="0"/>
          <w:cols w:space="708"/>
          <w:docGrid w:linePitch="360"/>
        </w:sectPr>
      </w:pPr>
    </w:p>
    <w:p w:rsidR="000531EB" w:rsidRPr="00800690" w:rsidRDefault="000531EB" w:rsidP="00E923B5">
      <w:pPr>
        <w:pStyle w:val="ManualHeading2"/>
        <w:rPr>
          <w:bCs/>
          <w:noProof/>
          <w:szCs w:val="24"/>
        </w:rPr>
      </w:pPr>
      <w:bookmarkStart w:id="149" w:name="_Toc514938052"/>
      <w:bookmarkStart w:id="150" w:name="_Toc520485051"/>
      <w:bookmarkStart w:id="151" w:name="_Toc160804593"/>
      <w:bookmarkStart w:id="152" w:name="_Toc167220285"/>
      <w:bookmarkStart w:id="153" w:name="_Toc177549018"/>
      <w:r w:rsidRPr="00800690">
        <w:rPr>
          <w:noProof/>
        </w:rPr>
        <w:t>3.2.</w:t>
      </w:r>
      <w:r w:rsidRPr="00800690">
        <w:rPr>
          <w:noProof/>
        </w:rPr>
        <w:tab/>
        <w:t>Incidence financière estimée de la proposition sur les crédits</w:t>
      </w:r>
      <w:bookmarkEnd w:id="149"/>
      <w:bookmarkEnd w:id="150"/>
      <w:bookmarkEnd w:id="151"/>
      <w:bookmarkEnd w:id="152"/>
      <w:bookmarkEnd w:id="153"/>
      <w:r w:rsidRPr="00800690">
        <w:rPr>
          <w:noProof/>
        </w:rPr>
        <w:t xml:space="preserve"> </w:t>
      </w:r>
    </w:p>
    <w:p w:rsidR="000531EB" w:rsidRPr="00800690" w:rsidRDefault="000531EB" w:rsidP="00E923B5">
      <w:pPr>
        <w:pStyle w:val="ManualHeading3"/>
        <w:rPr>
          <w:noProof/>
        </w:rPr>
      </w:pPr>
      <w:bookmarkStart w:id="154" w:name="_Toc514938053"/>
      <w:bookmarkStart w:id="155" w:name="_Toc520485052"/>
      <w:bookmarkStart w:id="156" w:name="_Toc160804594"/>
      <w:bookmarkStart w:id="157" w:name="_Toc167220286"/>
      <w:bookmarkStart w:id="158" w:name="_Toc177549019"/>
      <w:r w:rsidRPr="00800690">
        <w:rPr>
          <w:noProof/>
        </w:rPr>
        <w:t>3.2.1.</w:t>
      </w:r>
      <w:r w:rsidRPr="00800690">
        <w:rPr>
          <w:noProof/>
        </w:rPr>
        <w:tab/>
        <w:t>Synthèse de l’incidence estimée sur les crédits opérationnels</w:t>
      </w:r>
      <w:bookmarkEnd w:id="154"/>
      <w:bookmarkEnd w:id="155"/>
      <w:bookmarkEnd w:id="156"/>
      <w:bookmarkEnd w:id="157"/>
      <w:bookmarkEnd w:id="158"/>
      <w:r w:rsidRPr="00800690">
        <w:rPr>
          <w:noProof/>
        </w:rPr>
        <w:t xml:space="preserve"> </w:t>
      </w:r>
    </w:p>
    <w:p w:rsidR="000531EB" w:rsidRPr="00800690" w:rsidRDefault="000531EB" w:rsidP="000531EB">
      <w:pPr>
        <w:pStyle w:val="ListDash1"/>
        <w:rPr>
          <w:noProof/>
        </w:rPr>
      </w:pPr>
      <w:r w:rsidRPr="00800690">
        <w:rPr>
          <w:rFonts w:ascii="Wingdings" w:hAnsi="Wingdings"/>
          <w:noProof/>
        </w:rPr>
        <w:t></w:t>
      </w:r>
      <w:r w:rsidRPr="00800690">
        <w:rPr>
          <w:noProof/>
        </w:rPr>
        <w:tab/>
        <w:t xml:space="preserve">La proposition/l’initiative n’engendre pas l’utilisation de crédits opérationnels. </w:t>
      </w:r>
    </w:p>
    <w:p w:rsidR="000531EB" w:rsidRPr="00800690" w:rsidRDefault="000528F3" w:rsidP="000531EB">
      <w:pPr>
        <w:pStyle w:val="ListDash1"/>
        <w:rPr>
          <w:noProof/>
        </w:rPr>
      </w:pPr>
      <w:r w:rsidRPr="00800690">
        <w:rPr>
          <w:rFonts w:ascii="Wingdings" w:hAnsi="Wingdings"/>
          <w:noProof/>
        </w:rPr>
        <w:t></w:t>
      </w:r>
      <w:r w:rsidRPr="00800690">
        <w:rPr>
          <w:noProof/>
        </w:rPr>
        <w:tab/>
        <w:t>La proposition/l’initiative engendre l’utilisation de crédits opérationnels, comme expliqué ci-après:</w:t>
      </w:r>
    </w:p>
    <w:p w:rsidR="000531EB" w:rsidRPr="00800690" w:rsidRDefault="000531EB" w:rsidP="00E923B5">
      <w:pPr>
        <w:pStyle w:val="ManualHeading3"/>
        <w:rPr>
          <w:noProof/>
        </w:rPr>
      </w:pPr>
      <w:bookmarkStart w:id="159" w:name="_Toc160804595"/>
      <w:bookmarkStart w:id="160" w:name="_Toc167220287"/>
      <w:bookmarkStart w:id="161" w:name="_Toc177549020"/>
      <w:r w:rsidRPr="00800690">
        <w:rPr>
          <w:noProof/>
        </w:rPr>
        <w:t>3.2.1.1.</w:t>
      </w:r>
      <w:r w:rsidRPr="00800690">
        <w:rPr>
          <w:noProof/>
        </w:rPr>
        <w:tab/>
        <w:t>Crédits issus du budget voté</w:t>
      </w:r>
      <w:bookmarkEnd w:id="159"/>
      <w:bookmarkEnd w:id="160"/>
      <w:bookmarkEnd w:id="161"/>
    </w:p>
    <w:p w:rsidR="000531EB" w:rsidRPr="00800690" w:rsidRDefault="000531EB" w:rsidP="00E923B5">
      <w:pPr>
        <w:jc w:val="right"/>
        <w:rPr>
          <w:noProof/>
          <w:sz w:val="18"/>
          <w:szCs w:val="18"/>
        </w:rPr>
      </w:pPr>
      <w:r w:rsidRPr="00800690">
        <w:rPr>
          <w:noProof/>
          <w:sz w:val="18"/>
        </w:rPr>
        <w:t>En Mio EUR (à la 3</w:t>
      </w:r>
      <w:r w:rsidRPr="00800690">
        <w:rPr>
          <w:noProof/>
          <w:sz w:val="18"/>
          <w:vertAlign w:val="superscript"/>
        </w:rPr>
        <w:t>e</w:t>
      </w:r>
      <w:r w:rsidRPr="00800690">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531EB" w:rsidRPr="00800690" w:rsidTr="00425340">
        <w:tc>
          <w:tcPr>
            <w:tcW w:w="1739" w:type="pct"/>
            <w:shd w:val="thinDiagStripe" w:color="C0C0C0" w:fill="auto"/>
            <w:vAlign w:val="center"/>
          </w:tcPr>
          <w:p w:rsidR="000531EB" w:rsidRPr="00800690" w:rsidRDefault="000531EB" w:rsidP="00425340">
            <w:pPr>
              <w:spacing w:before="60" w:after="60"/>
              <w:jc w:val="center"/>
              <w:rPr>
                <w:b/>
                <w:noProof/>
              </w:rPr>
            </w:pPr>
            <w:r w:rsidRPr="00800690">
              <w:rPr>
                <w:b/>
                <w:noProof/>
                <w:sz w:val="22"/>
              </w:rPr>
              <w:t xml:space="preserve">Rubrique du cadre financier pluriannuel </w:t>
            </w:r>
          </w:p>
        </w:tc>
        <w:tc>
          <w:tcPr>
            <w:tcW w:w="396" w:type="pct"/>
            <w:vAlign w:val="center"/>
          </w:tcPr>
          <w:p w:rsidR="000531EB" w:rsidRPr="00800690" w:rsidRDefault="000531EB" w:rsidP="00425340">
            <w:pPr>
              <w:spacing w:before="60" w:after="60"/>
              <w:jc w:val="center"/>
              <w:rPr>
                <w:noProof/>
              </w:rPr>
            </w:pPr>
            <w:r w:rsidRPr="00800690">
              <w:rPr>
                <w:noProof/>
                <w:sz w:val="22"/>
              </w:rPr>
              <w:t>Numéro 3</w:t>
            </w:r>
          </w:p>
        </w:tc>
        <w:tc>
          <w:tcPr>
            <w:tcW w:w="2865" w:type="pct"/>
            <w:vAlign w:val="center"/>
          </w:tcPr>
          <w:p w:rsidR="000531EB" w:rsidRPr="00800690" w:rsidRDefault="00CA0844" w:rsidP="00425340">
            <w:pPr>
              <w:spacing w:before="60" w:after="60"/>
              <w:rPr>
                <w:noProof/>
              </w:rPr>
            </w:pPr>
            <w:r w:rsidRPr="00800690">
              <w:rPr>
                <w:noProof/>
              </w:rPr>
              <w:t>Ressources naturelles et environnement</w:t>
            </w:r>
          </w:p>
        </w:tc>
      </w:tr>
    </w:tbl>
    <w:p w:rsidR="000531EB" w:rsidRPr="00800690" w:rsidRDefault="000531EB" w:rsidP="00E923B5">
      <w:pPr>
        <w:rPr>
          <w:noProof/>
          <w:sz w:val="16"/>
        </w:rPr>
      </w:pPr>
    </w:p>
    <w:tbl>
      <w:tblPr>
        <w:tblW w:w="5000" w:type="pct"/>
        <w:tblLook w:val="04A0" w:firstRow="1" w:lastRow="0" w:firstColumn="1" w:lastColumn="0" w:noHBand="0" w:noVBand="1"/>
      </w:tblPr>
      <w:tblGrid>
        <w:gridCol w:w="3162"/>
        <w:gridCol w:w="852"/>
        <w:gridCol w:w="314"/>
        <w:gridCol w:w="446"/>
        <w:gridCol w:w="744"/>
        <w:gridCol w:w="149"/>
        <w:gridCol w:w="663"/>
        <w:gridCol w:w="375"/>
        <w:gridCol w:w="212"/>
        <w:gridCol w:w="829"/>
        <w:gridCol w:w="137"/>
        <w:gridCol w:w="436"/>
        <w:gridCol w:w="670"/>
        <w:gridCol w:w="447"/>
        <w:gridCol w:w="285"/>
        <w:gridCol w:w="511"/>
        <w:gridCol w:w="757"/>
        <w:gridCol w:w="134"/>
        <w:gridCol w:w="352"/>
        <w:gridCol w:w="1036"/>
        <w:gridCol w:w="14"/>
        <w:gridCol w:w="193"/>
        <w:gridCol w:w="1502"/>
      </w:tblGrid>
      <w:tr w:rsidR="000531EB" w:rsidRPr="00800690" w:rsidTr="000528F3">
        <w:trPr>
          <w:trHeight w:val="420"/>
        </w:trPr>
        <w:tc>
          <w:tcPr>
            <w:tcW w:w="2226" w:type="pct"/>
            <w:gridSpan w:val="7"/>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2"/>
              </w:rPr>
            </w:pPr>
            <w:r w:rsidRPr="00800690">
              <w:rPr>
                <w:noProof/>
                <w:color w:val="000000"/>
                <w:sz w:val="22"/>
              </w:rPr>
              <w:t>DG: MARE</w:t>
            </w:r>
          </w:p>
        </w:tc>
        <w:tc>
          <w:tcPr>
            <w:tcW w:w="546" w:type="pct"/>
            <w:gridSpan w:val="4"/>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546"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546"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535"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601"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TOTAL CFP 2026-2029</w:t>
            </w:r>
          </w:p>
        </w:tc>
      </w:tr>
      <w:tr w:rsidR="000531EB" w:rsidRPr="00800690" w:rsidTr="000528F3">
        <w:trPr>
          <w:trHeight w:val="288"/>
        </w:trPr>
        <w:tc>
          <w:tcPr>
            <w:tcW w:w="2226" w:type="pct"/>
            <w:gridSpan w:val="7"/>
            <w:vMerge/>
            <w:tcBorders>
              <w:top w:val="single" w:sz="8" w:space="0" w:color="auto"/>
              <w:left w:val="single" w:sz="8" w:space="0" w:color="auto"/>
              <w:bottom w:val="single" w:sz="8" w:space="0" w:color="auto"/>
              <w:right w:val="single" w:sz="8" w:space="0" w:color="auto"/>
            </w:tcBorders>
            <w:vAlign w:val="center"/>
            <w:hideMark/>
          </w:tcPr>
          <w:p w:rsidR="000531EB" w:rsidRPr="00800690" w:rsidRDefault="000531EB" w:rsidP="00425340">
            <w:pPr>
              <w:spacing w:before="0" w:after="0"/>
              <w:jc w:val="left"/>
              <w:rPr>
                <w:noProof/>
                <w:color w:val="000000"/>
                <w:sz w:val="22"/>
                <w:lang w:eastAsia="en-IE"/>
              </w:rPr>
            </w:pPr>
          </w:p>
        </w:tc>
        <w:tc>
          <w:tcPr>
            <w:tcW w:w="546" w:type="pct"/>
            <w:gridSpan w:val="4"/>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2026</w:t>
            </w:r>
          </w:p>
        </w:tc>
        <w:tc>
          <w:tcPr>
            <w:tcW w:w="546"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2027</w:t>
            </w:r>
          </w:p>
        </w:tc>
        <w:tc>
          <w:tcPr>
            <w:tcW w:w="546"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2028</w:t>
            </w:r>
          </w:p>
        </w:tc>
        <w:tc>
          <w:tcPr>
            <w:tcW w:w="535"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2029</w:t>
            </w:r>
          </w:p>
        </w:tc>
        <w:tc>
          <w:tcPr>
            <w:tcW w:w="601" w:type="pct"/>
            <w:gridSpan w:val="3"/>
            <w:vMerge/>
            <w:tcBorders>
              <w:top w:val="single" w:sz="8" w:space="0" w:color="auto"/>
              <w:left w:val="single" w:sz="8" w:space="0" w:color="auto"/>
              <w:bottom w:val="single" w:sz="8" w:space="0" w:color="auto"/>
              <w:right w:val="single" w:sz="8" w:space="0" w:color="auto"/>
            </w:tcBorders>
            <w:vAlign w:val="center"/>
            <w:hideMark/>
          </w:tcPr>
          <w:p w:rsidR="000531EB" w:rsidRPr="00800690" w:rsidRDefault="000531EB" w:rsidP="00425340">
            <w:pPr>
              <w:spacing w:before="0" w:after="0"/>
              <w:jc w:val="left"/>
              <w:rPr>
                <w:b/>
                <w:bCs/>
                <w:noProof/>
                <w:color w:val="000000"/>
                <w:sz w:val="20"/>
                <w:szCs w:val="20"/>
                <w:lang w:eastAsia="en-IE"/>
              </w:rPr>
            </w:pPr>
          </w:p>
        </w:tc>
      </w:tr>
      <w:tr w:rsidR="000531EB" w:rsidRPr="00800690" w:rsidTr="00425340">
        <w:trPr>
          <w:trHeight w:val="300"/>
        </w:trPr>
        <w:tc>
          <w:tcPr>
            <w:tcW w:w="5000" w:type="pct"/>
            <w:gridSpan w:val="23"/>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800690" w:rsidRDefault="000531EB" w:rsidP="00425340">
            <w:pPr>
              <w:spacing w:before="0" w:after="0"/>
              <w:jc w:val="left"/>
              <w:rPr>
                <w:noProof/>
                <w:color w:val="000000"/>
                <w:sz w:val="21"/>
                <w:szCs w:val="21"/>
              </w:rPr>
            </w:pPr>
            <w:r w:rsidRPr="00800690">
              <w:rPr>
                <w:noProof/>
                <w:color w:val="000000"/>
                <w:sz w:val="21"/>
              </w:rPr>
              <w:t xml:space="preserve">Crédits opérationnels </w:t>
            </w:r>
          </w:p>
        </w:tc>
      </w:tr>
      <w:tr w:rsidR="003471FA" w:rsidRPr="00800690" w:rsidTr="008A6798">
        <w:trPr>
          <w:trHeight w:val="288"/>
        </w:trPr>
        <w:tc>
          <w:tcPr>
            <w:tcW w:w="1112"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3471FA" w:rsidRPr="00800690" w:rsidRDefault="003471FA" w:rsidP="003471FA">
            <w:pPr>
              <w:spacing w:before="0" w:after="0"/>
              <w:jc w:val="left"/>
              <w:rPr>
                <w:noProof/>
                <w:color w:val="000000"/>
                <w:sz w:val="22"/>
              </w:rPr>
            </w:pPr>
            <w:r w:rsidRPr="00800690">
              <w:rPr>
                <w:noProof/>
                <w:color w:val="000000"/>
                <w:sz w:val="22"/>
              </w:rPr>
              <w:t>Ligne budgétaire 08.05.01</w:t>
            </w: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(1a)</w:t>
            </w:r>
          </w:p>
        </w:tc>
        <w:tc>
          <w:tcPr>
            <w:tcW w:w="546" w:type="pct"/>
            <w:gridSpan w:val="4"/>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35"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8A6798">
        <w:trPr>
          <w:trHeight w:val="315"/>
        </w:trPr>
        <w:tc>
          <w:tcPr>
            <w:tcW w:w="1112" w:type="pct"/>
            <w:vMerge/>
            <w:tcBorders>
              <w:top w:val="nil"/>
              <w:left w:val="single" w:sz="8" w:space="0" w:color="auto"/>
              <w:bottom w:val="single" w:sz="8" w:space="0" w:color="auto"/>
              <w:right w:val="single" w:sz="8" w:space="0" w:color="auto"/>
            </w:tcBorders>
            <w:vAlign w:val="center"/>
            <w:hideMark/>
          </w:tcPr>
          <w:p w:rsidR="003471FA" w:rsidRPr="00800690" w:rsidRDefault="003471FA" w:rsidP="003471FA">
            <w:pPr>
              <w:spacing w:before="0" w:after="0"/>
              <w:jc w:val="left"/>
              <w:rPr>
                <w:noProof/>
                <w:color w:val="000000"/>
                <w:sz w:val="22"/>
                <w:lang w:eastAsia="en-IE"/>
              </w:rPr>
            </w:pP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(2a)</w:t>
            </w:r>
          </w:p>
        </w:tc>
        <w:tc>
          <w:tcPr>
            <w:tcW w:w="546" w:type="pct"/>
            <w:gridSpan w:val="4"/>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35"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0528F3" w:rsidRPr="00800690" w:rsidTr="00425340">
        <w:trPr>
          <w:trHeight w:val="288"/>
        </w:trPr>
        <w:tc>
          <w:tcPr>
            <w:tcW w:w="5000" w:type="pct"/>
            <w:gridSpan w:val="2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28F3" w:rsidRPr="00800690" w:rsidRDefault="000528F3" w:rsidP="000528F3">
            <w:pPr>
              <w:spacing w:before="0" w:after="0"/>
              <w:jc w:val="left"/>
              <w:rPr>
                <w:noProof/>
                <w:color w:val="000000"/>
                <w:sz w:val="22"/>
              </w:rPr>
            </w:pPr>
            <w:r w:rsidRPr="00800690">
              <w:rPr>
                <w:noProof/>
                <w:color w:val="000000"/>
                <w:sz w:val="22"/>
              </w:rPr>
              <w:t>Crédits de nature administrative financés par l’enveloppe de certains programmes spécifiques</w:t>
            </w:r>
          </w:p>
        </w:tc>
      </w:tr>
      <w:tr w:rsidR="000528F3" w:rsidRPr="00800690" w:rsidTr="000528F3">
        <w:trPr>
          <w:trHeight w:val="288"/>
        </w:trPr>
        <w:tc>
          <w:tcPr>
            <w:tcW w:w="1112" w:type="pct"/>
            <w:tcBorders>
              <w:top w:val="nil"/>
              <w:left w:val="single" w:sz="8" w:space="0" w:color="auto"/>
              <w:bottom w:val="single" w:sz="8" w:space="0" w:color="auto"/>
              <w:right w:val="single" w:sz="8" w:space="0" w:color="auto"/>
            </w:tcBorders>
            <w:shd w:val="clear" w:color="auto" w:fill="auto"/>
            <w:vAlign w:val="center"/>
            <w:hideMark/>
          </w:tcPr>
          <w:p w:rsidR="000528F3" w:rsidRPr="00800690" w:rsidRDefault="000528F3" w:rsidP="000528F3">
            <w:pPr>
              <w:spacing w:before="0" w:after="0"/>
              <w:rPr>
                <w:noProof/>
                <w:color w:val="000000"/>
                <w:sz w:val="20"/>
                <w:szCs w:val="20"/>
              </w:rPr>
            </w:pPr>
            <w:r w:rsidRPr="00800690">
              <w:rPr>
                <w:noProof/>
                <w:color w:val="000000"/>
                <w:sz w:val="20"/>
              </w:rPr>
              <w:t>Ligne budgétaire</w:t>
            </w:r>
          </w:p>
        </w:tc>
        <w:tc>
          <w:tcPr>
            <w:tcW w:w="567" w:type="pct"/>
            <w:gridSpan w:val="3"/>
            <w:tcBorders>
              <w:top w:val="nil"/>
              <w:left w:val="nil"/>
              <w:bottom w:val="single" w:sz="8" w:space="0" w:color="auto"/>
              <w:right w:val="single" w:sz="8" w:space="0" w:color="auto"/>
            </w:tcBorders>
            <w:shd w:val="clear" w:color="auto" w:fill="auto"/>
            <w:vAlign w:val="center"/>
            <w:hideMark/>
          </w:tcPr>
          <w:p w:rsidR="000528F3" w:rsidRPr="00800690" w:rsidRDefault="000528F3" w:rsidP="000528F3">
            <w:pPr>
              <w:spacing w:before="0" w:after="0"/>
              <w:jc w:val="right"/>
              <w:rPr>
                <w:noProof/>
                <w:color w:val="000000"/>
                <w:sz w:val="18"/>
                <w:szCs w:val="18"/>
              </w:rPr>
            </w:pPr>
            <w:r w:rsidRPr="00800690">
              <w:rPr>
                <w:noProof/>
                <w:color w:val="000000"/>
                <w:sz w:val="18"/>
              </w:rPr>
              <w:t xml:space="preserve"> </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0528F3" w:rsidRPr="00800690" w:rsidRDefault="000528F3" w:rsidP="000528F3">
            <w:pPr>
              <w:spacing w:before="0" w:after="0"/>
              <w:jc w:val="center"/>
              <w:rPr>
                <w:noProof/>
                <w:color w:val="000000"/>
                <w:sz w:val="14"/>
                <w:szCs w:val="14"/>
              </w:rPr>
            </w:pPr>
            <w:r w:rsidRPr="00800690">
              <w:rPr>
                <w:noProof/>
                <w:color w:val="000000"/>
                <w:sz w:val="14"/>
              </w:rPr>
              <w:t>(3)</w:t>
            </w:r>
          </w:p>
        </w:tc>
        <w:tc>
          <w:tcPr>
            <w:tcW w:w="546" w:type="pct"/>
            <w:gridSpan w:val="4"/>
            <w:tcBorders>
              <w:top w:val="nil"/>
              <w:left w:val="nil"/>
              <w:bottom w:val="single" w:sz="8" w:space="0" w:color="auto"/>
              <w:right w:val="single" w:sz="8" w:space="0" w:color="auto"/>
            </w:tcBorders>
            <w:shd w:val="clear" w:color="auto" w:fill="auto"/>
            <w:vAlign w:val="center"/>
            <w:hideMark/>
          </w:tcPr>
          <w:p w:rsidR="000528F3" w:rsidRPr="00800690" w:rsidRDefault="000528F3" w:rsidP="000528F3">
            <w:pPr>
              <w:spacing w:before="0" w:after="0"/>
              <w:jc w:val="right"/>
              <w:rPr>
                <w:b/>
                <w:bCs/>
                <w:noProof/>
                <w:color w:val="000000"/>
                <w:sz w:val="20"/>
                <w:szCs w:val="20"/>
              </w:rPr>
            </w:pPr>
            <w:r w:rsidRPr="00800690">
              <w:rPr>
                <w:b/>
                <w:noProof/>
                <w:color w:val="000000"/>
                <w:sz w:val="20"/>
              </w:rPr>
              <w:t xml:space="preserve"> </w:t>
            </w:r>
          </w:p>
        </w:tc>
        <w:tc>
          <w:tcPr>
            <w:tcW w:w="546" w:type="pct"/>
            <w:gridSpan w:val="3"/>
            <w:tcBorders>
              <w:top w:val="nil"/>
              <w:left w:val="nil"/>
              <w:bottom w:val="single" w:sz="8" w:space="0" w:color="auto"/>
              <w:right w:val="single" w:sz="8" w:space="0" w:color="auto"/>
            </w:tcBorders>
            <w:shd w:val="clear" w:color="auto" w:fill="auto"/>
            <w:vAlign w:val="center"/>
            <w:hideMark/>
          </w:tcPr>
          <w:p w:rsidR="000528F3" w:rsidRPr="00800690" w:rsidRDefault="000528F3" w:rsidP="000528F3">
            <w:pPr>
              <w:spacing w:before="0" w:after="0"/>
              <w:jc w:val="right"/>
              <w:rPr>
                <w:b/>
                <w:bCs/>
                <w:noProof/>
                <w:color w:val="000000"/>
                <w:sz w:val="20"/>
                <w:szCs w:val="20"/>
              </w:rPr>
            </w:pPr>
            <w:r w:rsidRPr="00800690">
              <w:rPr>
                <w:b/>
                <w:noProof/>
                <w:color w:val="000000"/>
                <w:sz w:val="20"/>
              </w:rPr>
              <w:t xml:space="preserve"> </w:t>
            </w:r>
          </w:p>
        </w:tc>
        <w:tc>
          <w:tcPr>
            <w:tcW w:w="546" w:type="pct"/>
            <w:gridSpan w:val="3"/>
            <w:tcBorders>
              <w:top w:val="nil"/>
              <w:left w:val="nil"/>
              <w:bottom w:val="single" w:sz="8" w:space="0" w:color="auto"/>
              <w:right w:val="single" w:sz="8" w:space="0" w:color="auto"/>
            </w:tcBorders>
            <w:shd w:val="clear" w:color="auto" w:fill="auto"/>
            <w:vAlign w:val="center"/>
            <w:hideMark/>
          </w:tcPr>
          <w:p w:rsidR="000528F3" w:rsidRPr="00800690" w:rsidRDefault="000528F3" w:rsidP="000528F3">
            <w:pPr>
              <w:spacing w:before="0" w:after="0"/>
              <w:jc w:val="right"/>
              <w:rPr>
                <w:b/>
                <w:bCs/>
                <w:noProof/>
                <w:color w:val="000000"/>
                <w:sz w:val="20"/>
                <w:szCs w:val="20"/>
              </w:rPr>
            </w:pPr>
            <w:r w:rsidRPr="00800690">
              <w:rPr>
                <w:b/>
                <w:noProof/>
                <w:color w:val="000000"/>
                <w:sz w:val="20"/>
              </w:rPr>
              <w:t xml:space="preserve"> </w:t>
            </w:r>
          </w:p>
        </w:tc>
        <w:tc>
          <w:tcPr>
            <w:tcW w:w="535" w:type="pct"/>
            <w:gridSpan w:val="3"/>
            <w:tcBorders>
              <w:top w:val="nil"/>
              <w:left w:val="nil"/>
              <w:bottom w:val="single" w:sz="8" w:space="0" w:color="auto"/>
              <w:right w:val="single" w:sz="8" w:space="0" w:color="auto"/>
            </w:tcBorders>
            <w:shd w:val="clear" w:color="auto" w:fill="auto"/>
            <w:vAlign w:val="center"/>
            <w:hideMark/>
          </w:tcPr>
          <w:p w:rsidR="000528F3" w:rsidRPr="00800690" w:rsidRDefault="000528F3" w:rsidP="000528F3">
            <w:pPr>
              <w:spacing w:before="0" w:after="0"/>
              <w:jc w:val="right"/>
              <w:rPr>
                <w:b/>
                <w:bCs/>
                <w:noProof/>
                <w:color w:val="000000"/>
                <w:sz w:val="20"/>
                <w:szCs w:val="20"/>
              </w:rPr>
            </w:pPr>
            <w:r w:rsidRPr="00800690">
              <w:rPr>
                <w:b/>
                <w:noProof/>
                <w:color w:val="000000"/>
                <w:sz w:val="20"/>
              </w:rPr>
              <w:t xml:space="preserve"> </w:t>
            </w:r>
          </w:p>
        </w:tc>
        <w:tc>
          <w:tcPr>
            <w:tcW w:w="601" w:type="pct"/>
            <w:gridSpan w:val="3"/>
            <w:tcBorders>
              <w:top w:val="nil"/>
              <w:left w:val="nil"/>
              <w:bottom w:val="single" w:sz="8" w:space="0" w:color="auto"/>
              <w:right w:val="single" w:sz="8" w:space="0" w:color="auto"/>
            </w:tcBorders>
            <w:shd w:val="clear" w:color="000000" w:fill="D9D9D9"/>
          </w:tcPr>
          <w:p w:rsidR="000528F3" w:rsidRPr="00800690" w:rsidRDefault="000528F3" w:rsidP="000528F3">
            <w:pPr>
              <w:spacing w:before="0" w:after="0"/>
              <w:jc w:val="right"/>
              <w:rPr>
                <w:b/>
                <w:bCs/>
                <w:noProof/>
                <w:color w:val="000000"/>
                <w:sz w:val="20"/>
                <w:szCs w:val="20"/>
                <w:lang w:eastAsia="en-IE"/>
              </w:rPr>
            </w:pPr>
          </w:p>
        </w:tc>
      </w:tr>
      <w:tr w:rsidR="003471FA" w:rsidRPr="00800690" w:rsidTr="00324C3E">
        <w:trPr>
          <w:trHeight w:val="288"/>
        </w:trPr>
        <w:tc>
          <w:tcPr>
            <w:tcW w:w="1112" w:type="pct"/>
            <w:vMerge w:val="restart"/>
            <w:tcBorders>
              <w:top w:val="nil"/>
              <w:left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b/>
                <w:bCs/>
                <w:noProof/>
                <w:color w:val="000000"/>
                <w:sz w:val="22"/>
              </w:rPr>
            </w:pPr>
            <w:r w:rsidRPr="00800690">
              <w:rPr>
                <w:b/>
                <w:noProof/>
                <w:color w:val="000000"/>
                <w:sz w:val="22"/>
              </w:rPr>
              <w:t>TOTAL des crédits</w:t>
            </w:r>
          </w:p>
          <w:p w:rsidR="003471FA" w:rsidRPr="00800690" w:rsidRDefault="003471FA" w:rsidP="003471FA">
            <w:pPr>
              <w:spacing w:before="0" w:after="0"/>
              <w:jc w:val="center"/>
              <w:rPr>
                <w:b/>
                <w:bCs/>
                <w:noProof/>
                <w:color w:val="000000"/>
                <w:sz w:val="22"/>
              </w:rPr>
            </w:pPr>
            <w:r w:rsidRPr="00800690">
              <w:rPr>
                <w:b/>
                <w:noProof/>
                <w:color w:val="000000"/>
                <w:sz w:val="22"/>
              </w:rPr>
              <w:t>pour la DG MARE</w:t>
            </w: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=1 a+1b+3</w:t>
            </w:r>
          </w:p>
        </w:tc>
        <w:tc>
          <w:tcPr>
            <w:tcW w:w="546" w:type="pct"/>
            <w:gridSpan w:val="4"/>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35"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7A2272">
        <w:trPr>
          <w:trHeight w:val="288"/>
        </w:trPr>
        <w:tc>
          <w:tcPr>
            <w:tcW w:w="1112" w:type="pct"/>
            <w:vMerge/>
            <w:tcBorders>
              <w:left w:val="single" w:sz="8" w:space="0" w:color="auto"/>
              <w:bottom w:val="single" w:sz="4" w:space="0" w:color="auto"/>
              <w:right w:val="single" w:sz="8" w:space="0" w:color="auto"/>
            </w:tcBorders>
            <w:shd w:val="clear" w:color="auto" w:fill="auto"/>
            <w:vAlign w:val="center"/>
            <w:hideMark/>
          </w:tcPr>
          <w:p w:rsidR="003471FA" w:rsidRPr="00800690" w:rsidRDefault="003471FA" w:rsidP="003471FA">
            <w:pPr>
              <w:spacing w:before="0" w:after="0"/>
              <w:jc w:val="center"/>
              <w:rPr>
                <w:b/>
                <w:bCs/>
                <w:noProof/>
                <w:color w:val="000000"/>
                <w:sz w:val="22"/>
                <w:lang w:eastAsia="en-IE"/>
              </w:rPr>
            </w:pPr>
          </w:p>
        </w:tc>
        <w:tc>
          <w:tcPr>
            <w:tcW w:w="567" w:type="pct"/>
            <w:gridSpan w:val="3"/>
            <w:tcBorders>
              <w:top w:val="nil"/>
              <w:left w:val="single" w:sz="8" w:space="0" w:color="auto"/>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=2a+2b+3</w:t>
            </w:r>
          </w:p>
        </w:tc>
        <w:tc>
          <w:tcPr>
            <w:tcW w:w="546" w:type="pct"/>
            <w:gridSpan w:val="4"/>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35"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0531EB" w:rsidRPr="00800690" w:rsidTr="00425340">
        <w:trPr>
          <w:trHeight w:val="300"/>
        </w:trPr>
        <w:tc>
          <w:tcPr>
            <w:tcW w:w="2432" w:type="pct"/>
            <w:gridSpan w:val="9"/>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531EB" w:rsidRPr="00800690" w:rsidRDefault="000531EB" w:rsidP="00425340">
            <w:pPr>
              <w:spacing w:before="0" w:after="0"/>
              <w:jc w:val="center"/>
              <w:rPr>
                <w:b/>
                <w:bCs/>
                <w:noProof/>
                <w:color w:val="000000"/>
                <w:sz w:val="22"/>
              </w:rPr>
            </w:pPr>
            <w:r w:rsidRPr="00800690">
              <w:rPr>
                <w:b/>
                <w:noProof/>
                <w:color w:val="000000"/>
                <w:sz w:val="22"/>
              </w:rPr>
              <w:t xml:space="preserve"> </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TOTAL CFP 2026-2029</w:t>
            </w:r>
          </w:p>
        </w:tc>
      </w:tr>
      <w:tr w:rsidR="000531EB" w:rsidRPr="00800690" w:rsidTr="00425340">
        <w:trPr>
          <w:trHeight w:val="300"/>
        </w:trPr>
        <w:tc>
          <w:tcPr>
            <w:tcW w:w="2432" w:type="pct"/>
            <w:gridSpan w:val="9"/>
            <w:vMerge/>
            <w:tcBorders>
              <w:top w:val="single" w:sz="8" w:space="0" w:color="auto"/>
              <w:left w:val="single" w:sz="8" w:space="0" w:color="auto"/>
              <w:bottom w:val="single" w:sz="8" w:space="0" w:color="000000"/>
              <w:right w:val="single" w:sz="8" w:space="0" w:color="000000"/>
            </w:tcBorders>
            <w:vAlign w:val="center"/>
            <w:hideMark/>
          </w:tcPr>
          <w:p w:rsidR="000531EB" w:rsidRPr="00800690" w:rsidRDefault="000531EB" w:rsidP="00425340">
            <w:pPr>
              <w:spacing w:before="0" w:after="0"/>
              <w:jc w:val="left"/>
              <w:rPr>
                <w:b/>
                <w:bCs/>
                <w:noProof/>
                <w:color w:val="000000"/>
                <w:sz w:val="22"/>
                <w:lang w:eastAsia="en-IE"/>
              </w:rPr>
            </w:pP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2026</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2027</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2028</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2029</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0531EB" w:rsidRPr="00800690" w:rsidRDefault="000531EB" w:rsidP="00425340">
            <w:pPr>
              <w:spacing w:before="0" w:after="0"/>
              <w:jc w:val="left"/>
              <w:rPr>
                <w:b/>
                <w:bCs/>
                <w:noProof/>
                <w:color w:val="000000"/>
                <w:sz w:val="20"/>
                <w:szCs w:val="20"/>
                <w:lang w:eastAsia="en-IE"/>
              </w:rPr>
            </w:pPr>
          </w:p>
        </w:tc>
      </w:tr>
      <w:tr w:rsidR="003471FA" w:rsidRPr="00800690" w:rsidTr="000633B5">
        <w:trPr>
          <w:trHeight w:val="432"/>
        </w:trPr>
        <w:tc>
          <w:tcPr>
            <w:tcW w:w="1411" w:type="pct"/>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21"/>
                <w:szCs w:val="21"/>
              </w:rPr>
            </w:pPr>
            <w:r w:rsidRPr="00800690">
              <w:rPr>
                <w:noProof/>
                <w:color w:val="000000"/>
                <w:sz w:val="21"/>
              </w:rPr>
              <w:t xml:space="preserve">TOTAL des crédits opérationnels </w:t>
            </w:r>
            <w:r w:rsidRPr="00800690">
              <w:rPr>
                <w:noProof/>
              </w:rPr>
              <w:t xml:space="preserve"> </w:t>
            </w:r>
            <w:r w:rsidRPr="00800690">
              <w:rPr>
                <w:noProof/>
              </w:rPr>
              <w:br/>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0633B5">
        <w:trPr>
          <w:trHeight w:val="456"/>
        </w:trPr>
        <w:tc>
          <w:tcPr>
            <w:tcW w:w="1411" w:type="pct"/>
            <w:gridSpan w:val="2"/>
            <w:vMerge/>
            <w:tcBorders>
              <w:top w:val="nil"/>
              <w:left w:val="single" w:sz="8" w:space="0" w:color="auto"/>
              <w:bottom w:val="single" w:sz="8" w:space="0" w:color="auto"/>
              <w:right w:val="single" w:sz="8" w:space="0" w:color="auto"/>
            </w:tcBorders>
            <w:vAlign w:val="center"/>
            <w:hideMark/>
          </w:tcPr>
          <w:p w:rsidR="003471FA" w:rsidRPr="00800690" w:rsidRDefault="003471FA" w:rsidP="003471FA">
            <w:pPr>
              <w:spacing w:before="0" w:after="0"/>
              <w:jc w:val="left"/>
              <w:rPr>
                <w:noProof/>
                <w:color w:val="000000"/>
                <w:sz w:val="21"/>
                <w:szCs w:val="21"/>
                <w:lang w:eastAsia="en-IE"/>
              </w:rPr>
            </w:pP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A260E3">
        <w:trPr>
          <w:trHeight w:val="924"/>
        </w:trPr>
        <w:tc>
          <w:tcPr>
            <w:tcW w:w="194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21"/>
                <w:szCs w:val="21"/>
              </w:rPr>
            </w:pPr>
            <w:r w:rsidRPr="00800690">
              <w:rPr>
                <w:noProof/>
                <w:color w:val="000000"/>
                <w:sz w:val="21"/>
              </w:rPr>
              <w:t xml:space="preserve">TOTAL des crédits de nature administrative financés par l’enveloppe de certains programmes spécifiques </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(6)</w:t>
            </w:r>
          </w:p>
        </w:tc>
        <w:tc>
          <w:tcPr>
            <w:tcW w:w="493"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596" w:type="pct"/>
            <w:gridSpan w:val="2"/>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r>
      <w:tr w:rsidR="003471FA" w:rsidRPr="00800690" w:rsidTr="001611A1">
        <w:trPr>
          <w:trHeight w:val="564"/>
        </w:trPr>
        <w:tc>
          <w:tcPr>
            <w:tcW w:w="1411" w:type="pct"/>
            <w:gridSpan w:val="2"/>
            <w:tcBorders>
              <w:top w:val="nil"/>
              <w:left w:val="single" w:sz="8" w:space="0" w:color="auto"/>
              <w:bottom w:val="nil"/>
              <w:right w:val="single" w:sz="8" w:space="0" w:color="auto"/>
            </w:tcBorders>
            <w:shd w:val="thinDiagStripe" w:color="C0C0C0" w:fill="F1F1F1"/>
            <w:vAlign w:val="center"/>
            <w:hideMark/>
          </w:tcPr>
          <w:p w:rsidR="003471FA" w:rsidRPr="00800690" w:rsidRDefault="003471FA" w:rsidP="003471FA">
            <w:pPr>
              <w:spacing w:before="0" w:after="0"/>
              <w:jc w:val="center"/>
              <w:rPr>
                <w:b/>
                <w:bCs/>
                <w:noProof/>
                <w:color w:val="000000"/>
                <w:sz w:val="22"/>
              </w:rPr>
            </w:pPr>
            <w:r w:rsidRPr="00800690">
              <w:rPr>
                <w:b/>
                <w:noProof/>
                <w:color w:val="000000"/>
                <w:sz w:val="22"/>
              </w:rPr>
              <w:t>TOTAL des crédits pour la RUBRIQUE 3</w:t>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1611A1">
        <w:trPr>
          <w:trHeight w:val="528"/>
        </w:trPr>
        <w:tc>
          <w:tcPr>
            <w:tcW w:w="1411"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3471FA" w:rsidRPr="00800690" w:rsidRDefault="003471FA" w:rsidP="003471FA">
            <w:pPr>
              <w:spacing w:before="0" w:after="0"/>
              <w:jc w:val="center"/>
              <w:rPr>
                <w:noProof/>
                <w:color w:val="000000"/>
                <w:sz w:val="22"/>
              </w:rPr>
            </w:pPr>
            <w:r w:rsidRPr="00800690">
              <w:rPr>
                <w:noProof/>
                <w:color w:val="000000"/>
                <w:sz w:val="22"/>
              </w:rPr>
              <w:t>du cadre financier pluriannuel</w:t>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0531EB" w:rsidRPr="00800690" w:rsidTr="00944D50">
        <w:trPr>
          <w:trHeight w:val="288"/>
        </w:trPr>
        <w:tc>
          <w:tcPr>
            <w:tcW w:w="1522" w:type="pct"/>
            <w:gridSpan w:val="3"/>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4"/>
                <w:lang w:eastAsia="en-IE"/>
              </w:rPr>
            </w:pPr>
          </w:p>
        </w:tc>
        <w:tc>
          <w:tcPr>
            <w:tcW w:w="471" w:type="pct"/>
            <w:gridSpan w:val="3"/>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65" w:type="pct"/>
            <w:gridSpan w:val="2"/>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437" w:type="pct"/>
            <w:gridSpan w:val="3"/>
            <w:tcBorders>
              <w:top w:val="single" w:sz="8" w:space="0" w:color="auto"/>
              <w:left w:val="single" w:sz="4" w:space="0" w:color="auto"/>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TOTAL CFP 2026-2029</w:t>
            </w:r>
          </w:p>
        </w:tc>
      </w:tr>
      <w:tr w:rsidR="000531EB" w:rsidRPr="00800690" w:rsidTr="00944D50">
        <w:trPr>
          <w:trHeight w:val="300"/>
        </w:trPr>
        <w:tc>
          <w:tcPr>
            <w:tcW w:w="1522" w:type="pct"/>
            <w:gridSpan w:val="3"/>
            <w:tcBorders>
              <w:top w:val="nil"/>
              <w:left w:val="nil"/>
              <w:bottom w:val="nil"/>
              <w:right w:val="nil"/>
            </w:tcBorders>
            <w:shd w:val="clear" w:color="auto" w:fill="auto"/>
            <w:noWrap/>
            <w:vAlign w:val="bottom"/>
            <w:hideMark/>
          </w:tcPr>
          <w:p w:rsidR="000531EB" w:rsidRPr="00800690" w:rsidRDefault="000531EB" w:rsidP="00425340">
            <w:pPr>
              <w:spacing w:before="0" w:after="0"/>
              <w:jc w:val="center"/>
              <w:rPr>
                <w:b/>
                <w:bCs/>
                <w:noProof/>
                <w:color w:val="000000"/>
                <w:sz w:val="20"/>
                <w:szCs w:val="20"/>
                <w:lang w:eastAsia="en-IE"/>
              </w:rPr>
            </w:pPr>
          </w:p>
        </w:tc>
        <w:tc>
          <w:tcPr>
            <w:tcW w:w="471" w:type="pct"/>
            <w:gridSpan w:val="3"/>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65" w:type="pct"/>
            <w:gridSpan w:val="2"/>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437" w:type="pct"/>
            <w:gridSpan w:val="3"/>
            <w:tcBorders>
              <w:top w:val="nil"/>
              <w:left w:val="single" w:sz="4" w:space="0" w:color="auto"/>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2026</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2026</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2028</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2029</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0531EB" w:rsidRPr="00800690" w:rsidRDefault="000531EB" w:rsidP="00425340">
            <w:pPr>
              <w:spacing w:before="0" w:after="0"/>
              <w:jc w:val="left"/>
              <w:rPr>
                <w:b/>
                <w:bCs/>
                <w:noProof/>
                <w:color w:val="000000"/>
                <w:sz w:val="20"/>
                <w:szCs w:val="20"/>
                <w:lang w:eastAsia="en-IE"/>
              </w:rPr>
            </w:pPr>
          </w:p>
        </w:tc>
      </w:tr>
      <w:tr w:rsidR="003471FA" w:rsidRPr="00800690" w:rsidTr="00FC5330">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21"/>
                <w:szCs w:val="21"/>
              </w:rPr>
            </w:pPr>
            <w:r w:rsidRPr="00800690">
              <w:rPr>
                <w:rFonts w:ascii="Calibri" w:hAnsi="Calibri"/>
                <w:noProof/>
                <w:color w:val="000000"/>
                <w:sz w:val="21"/>
              </w:rPr>
              <w:t>•</w:t>
            </w:r>
            <w:r w:rsidRPr="00800690">
              <w:rPr>
                <w:noProof/>
                <w:color w:val="000000"/>
                <w:sz w:val="21"/>
              </w:rPr>
              <w:t xml:space="preserve"> TOTAL des crédits opérationnels (toutes les rubriques opérationnelles)</w:t>
            </w:r>
          </w:p>
        </w:tc>
        <w:tc>
          <w:tcPr>
            <w:tcW w:w="471"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FC5330">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rsidR="003471FA" w:rsidRPr="00800690" w:rsidRDefault="003471FA" w:rsidP="003471FA">
            <w:pPr>
              <w:spacing w:before="0" w:after="0"/>
              <w:jc w:val="left"/>
              <w:rPr>
                <w:noProof/>
                <w:color w:val="000000"/>
                <w:sz w:val="21"/>
                <w:szCs w:val="21"/>
                <w:lang w:eastAsia="en-IE"/>
              </w:rPr>
            </w:pPr>
          </w:p>
        </w:tc>
        <w:tc>
          <w:tcPr>
            <w:tcW w:w="471"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noProof/>
                <w:color w:val="000000"/>
                <w:sz w:val="20"/>
                <w:szCs w:val="20"/>
              </w:rPr>
            </w:pPr>
            <w:r w:rsidRPr="0080069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F5580E">
        <w:trPr>
          <w:trHeight w:val="990"/>
        </w:trPr>
        <w:tc>
          <w:tcPr>
            <w:tcW w:w="1993"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3471FA" w:rsidRPr="00800690" w:rsidRDefault="003471FA" w:rsidP="003471FA">
            <w:pPr>
              <w:spacing w:before="0" w:after="0"/>
              <w:rPr>
                <w:noProof/>
                <w:color w:val="000000"/>
                <w:sz w:val="21"/>
                <w:szCs w:val="21"/>
              </w:rPr>
            </w:pPr>
            <w:r w:rsidRPr="00800690">
              <w:rPr>
                <w:rFonts w:ascii="Calibri" w:hAnsi="Calibri"/>
                <w:noProof/>
                <w:color w:val="000000"/>
                <w:sz w:val="21"/>
              </w:rPr>
              <w:t xml:space="preserve">• </w:t>
            </w:r>
            <w:r w:rsidRPr="00800690">
              <w:rPr>
                <w:noProof/>
                <w:color w:val="000000"/>
                <w:sz w:val="21"/>
              </w:rPr>
              <w:t>TOTAL des crédits de nature administrative financés par l’enveloppe de certains programmes spécifiques (toutes les rubriques opérationnelles)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(6)</w:t>
            </w:r>
          </w:p>
        </w:tc>
        <w:tc>
          <w:tcPr>
            <w:tcW w:w="437"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noProof/>
                <w:color w:val="000000"/>
                <w:sz w:val="20"/>
                <w:szCs w:val="20"/>
              </w:rPr>
            </w:pPr>
            <w:r w:rsidRPr="00800690">
              <w:rPr>
                <w:noProof/>
                <w:color w:val="000000"/>
                <w:sz w:val="20"/>
              </w:rPr>
              <w:t>0 000</w:t>
            </w:r>
          </w:p>
        </w:tc>
        <w:tc>
          <w:tcPr>
            <w:tcW w:w="528"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r>
      <w:tr w:rsidR="003471FA" w:rsidRPr="00800690" w:rsidTr="001464C7">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rsidR="003471FA" w:rsidRPr="00800690" w:rsidRDefault="003471FA" w:rsidP="003471FA">
            <w:pPr>
              <w:spacing w:before="0" w:after="0"/>
              <w:jc w:val="center"/>
              <w:rPr>
                <w:b/>
                <w:bCs/>
                <w:noProof/>
                <w:color w:val="000000"/>
                <w:sz w:val="22"/>
              </w:rPr>
            </w:pPr>
            <w:r w:rsidRPr="00800690">
              <w:rPr>
                <w:b/>
                <w:noProof/>
                <w:color w:val="000000"/>
                <w:sz w:val="22"/>
              </w:rPr>
              <w:t>TOTAL des crédits pour les rubriques 3 à 7</w:t>
            </w:r>
          </w:p>
        </w:tc>
        <w:tc>
          <w:tcPr>
            <w:tcW w:w="471" w:type="pct"/>
            <w:gridSpan w:val="3"/>
            <w:tcBorders>
              <w:top w:val="nil"/>
              <w:left w:val="nil"/>
              <w:bottom w:val="nil"/>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731" w:type="pct"/>
            <w:gridSpan w:val="4"/>
            <w:tcBorders>
              <w:top w:val="single" w:sz="8" w:space="0" w:color="auto"/>
              <w:left w:val="nil"/>
              <w:bottom w:val="nil"/>
              <w:right w:val="single" w:sz="8" w:space="0" w:color="000000"/>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r w:rsidR="003471FA" w:rsidRPr="00800690" w:rsidTr="001464C7">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rsidR="003471FA" w:rsidRPr="00800690" w:rsidRDefault="003471FA" w:rsidP="003471FA">
            <w:pPr>
              <w:spacing w:before="0" w:after="0"/>
              <w:jc w:val="center"/>
              <w:rPr>
                <w:noProof/>
                <w:color w:val="000000"/>
                <w:sz w:val="20"/>
                <w:szCs w:val="20"/>
              </w:rPr>
            </w:pPr>
            <w:r w:rsidRPr="00800690">
              <w:rPr>
                <w:noProof/>
                <w:color w:val="000000"/>
                <w:sz w:val="20"/>
              </w:rPr>
              <w:t>du cadre financier pluriannuel</w:t>
            </w:r>
            <w:r w:rsidRPr="00800690">
              <w:rPr>
                <w:noProof/>
              </w:rPr>
              <w:t xml:space="preserve"> </w:t>
            </w:r>
            <w:r w:rsidRPr="00800690">
              <w:rPr>
                <w:noProof/>
              </w:rPr>
              <w:br/>
            </w:r>
            <w:r w:rsidRPr="00800690">
              <w:rPr>
                <w:noProof/>
                <w:color w:val="000000"/>
                <w:sz w:val="20"/>
              </w:rPr>
              <w:t>(Montant de référence)</w:t>
            </w:r>
          </w:p>
        </w:tc>
        <w:tc>
          <w:tcPr>
            <w:tcW w:w="471" w:type="pct"/>
            <w:gridSpan w:val="3"/>
            <w:tcBorders>
              <w:top w:val="nil"/>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800690" w:rsidRDefault="003471FA" w:rsidP="003471FA">
            <w:pPr>
              <w:spacing w:before="0" w:after="0"/>
              <w:jc w:val="center"/>
              <w:rPr>
                <w:noProof/>
                <w:color w:val="000000"/>
                <w:sz w:val="14"/>
                <w:szCs w:val="14"/>
              </w:rPr>
            </w:pPr>
            <w:r w:rsidRPr="00800690">
              <w:rPr>
                <w:noProof/>
                <w:color w:val="000000"/>
                <w:sz w:val="14"/>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 w:val="20"/>
                <w:szCs w:val="20"/>
              </w:rPr>
            </w:pPr>
            <w:r w:rsidRPr="0080069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b/>
                <w:noProof/>
                <w:color w:val="000000"/>
                <w:sz w:val="20"/>
              </w:rPr>
              <w:t>23 000</w:t>
            </w:r>
          </w:p>
        </w:tc>
      </w:tr>
    </w:tbl>
    <w:p w:rsidR="000531EB" w:rsidRPr="00800690" w:rsidRDefault="000531EB"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0531EB" w:rsidRPr="00800690" w:rsidTr="00425340">
        <w:trPr>
          <w:jc w:val="center"/>
        </w:trPr>
        <w:tc>
          <w:tcPr>
            <w:tcW w:w="1739" w:type="pct"/>
            <w:gridSpan w:val="2"/>
            <w:shd w:val="thinDiagStripe" w:color="C0C0C0" w:fill="auto"/>
            <w:vAlign w:val="center"/>
          </w:tcPr>
          <w:p w:rsidR="000531EB" w:rsidRPr="00800690" w:rsidRDefault="000531EB" w:rsidP="00425340">
            <w:pPr>
              <w:spacing w:before="60" w:after="60"/>
              <w:jc w:val="center"/>
              <w:rPr>
                <w:b/>
                <w:noProof/>
              </w:rPr>
            </w:pPr>
            <w:r w:rsidRPr="00800690">
              <w:rPr>
                <w:noProof/>
              </w:rPr>
              <w:br w:type="page"/>
            </w:r>
            <w:r w:rsidRPr="00800690">
              <w:rPr>
                <w:b/>
                <w:noProof/>
                <w:sz w:val="22"/>
              </w:rPr>
              <w:t xml:space="preserve">Rubrique du cadre financier pluriannuel </w:t>
            </w:r>
          </w:p>
        </w:tc>
        <w:tc>
          <w:tcPr>
            <w:tcW w:w="396" w:type="pct"/>
            <w:shd w:val="thinDiagStripe" w:color="C0C0C0" w:fill="auto"/>
            <w:vAlign w:val="center"/>
          </w:tcPr>
          <w:p w:rsidR="000531EB" w:rsidRPr="00800690" w:rsidRDefault="000531EB" w:rsidP="00425340">
            <w:pPr>
              <w:spacing w:before="60" w:after="60"/>
              <w:jc w:val="center"/>
              <w:rPr>
                <w:noProof/>
              </w:rPr>
            </w:pPr>
            <w:r w:rsidRPr="00800690">
              <w:rPr>
                <w:b/>
                <w:noProof/>
                <w:sz w:val="22"/>
              </w:rPr>
              <w:t>7.</w:t>
            </w:r>
          </w:p>
        </w:tc>
        <w:tc>
          <w:tcPr>
            <w:tcW w:w="2865" w:type="pct"/>
            <w:gridSpan w:val="8"/>
            <w:vAlign w:val="center"/>
          </w:tcPr>
          <w:p w:rsidR="000531EB" w:rsidRPr="00800690" w:rsidRDefault="000531EB" w:rsidP="00425340">
            <w:pPr>
              <w:spacing w:before="60" w:after="60"/>
              <w:rPr>
                <w:noProof/>
              </w:rPr>
            </w:pPr>
            <w:r w:rsidRPr="00800690">
              <w:rPr>
                <w:noProof/>
                <w:sz w:val="22"/>
              </w:rPr>
              <w:t>«Dépenses administratives»</w:t>
            </w:r>
            <w:r w:rsidRPr="00800690">
              <w:rPr>
                <w:noProof/>
              </w:rPr>
              <w:t xml:space="preserve"> </w:t>
            </w:r>
          </w:p>
        </w:tc>
      </w:tr>
      <w:tr w:rsidR="000531EB" w:rsidRPr="00800690" w:rsidTr="00FB1EF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shd w:val="clear" w:color="auto" w:fill="auto"/>
            <w:noWrap/>
            <w:vAlign w:val="bottom"/>
            <w:hideMark/>
          </w:tcPr>
          <w:p w:rsidR="000531EB" w:rsidRPr="00800690" w:rsidRDefault="000531EB" w:rsidP="00FB1EF7">
            <w:pPr>
              <w:spacing w:before="0" w:after="200" w:line="276" w:lineRule="auto"/>
              <w:jc w:val="left"/>
              <w:rPr>
                <w:b/>
                <w:bCs/>
                <w:noProof/>
                <w:color w:val="000000"/>
                <w:sz w:val="20"/>
                <w:szCs w:val="20"/>
                <w:lang w:eastAsia="en-IE"/>
              </w:rPr>
            </w:pPr>
          </w:p>
        </w:tc>
        <w:tc>
          <w:tcPr>
            <w:tcW w:w="930" w:type="pct"/>
            <w:gridSpan w:val="3"/>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224"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225"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c>
          <w:tcPr>
            <w:tcW w:w="464" w:type="pct"/>
            <w:tcBorders>
              <w:top w:val="nil"/>
              <w:left w:val="nil"/>
              <w:bottom w:val="nil"/>
              <w:right w:val="nil"/>
            </w:tcBorders>
            <w:shd w:val="clear" w:color="auto" w:fill="auto"/>
            <w:noWrap/>
            <w:vAlign w:val="bottom"/>
            <w:hideMark/>
          </w:tcPr>
          <w:p w:rsidR="000531EB" w:rsidRPr="00800690" w:rsidRDefault="000531EB" w:rsidP="00425340">
            <w:pPr>
              <w:spacing w:before="0" w:after="0"/>
              <w:jc w:val="left"/>
              <w:rPr>
                <w:noProof/>
                <w:sz w:val="20"/>
                <w:szCs w:val="20"/>
                <w:lang w:eastAsia="en-IE"/>
              </w:rPr>
            </w:pPr>
          </w:p>
        </w:tc>
      </w:tr>
      <w:tr w:rsidR="003471FA" w:rsidRPr="00800690" w:rsidTr="00184D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3471FA" w:rsidRPr="00800690" w:rsidRDefault="003471FA" w:rsidP="003471FA">
            <w:pPr>
              <w:spacing w:before="0" w:after="0"/>
              <w:jc w:val="center"/>
              <w:rPr>
                <w:b/>
                <w:bCs/>
                <w:noProof/>
                <w:color w:val="000000"/>
                <w:sz w:val="22"/>
              </w:rPr>
            </w:pPr>
            <w:r w:rsidRPr="00800690">
              <w:rPr>
                <w:b/>
                <w:noProof/>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jc w:val="center"/>
              <w:rPr>
                <w:noProof/>
                <w:color w:val="000000"/>
                <w:sz w:val="18"/>
                <w:szCs w:val="18"/>
              </w:rPr>
            </w:pPr>
            <w:r w:rsidRPr="00800690">
              <w:rPr>
                <w:noProof/>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c>
          <w:tcPr>
            <w:tcW w:w="464" w:type="pct"/>
            <w:tcBorders>
              <w:top w:val="single" w:sz="8" w:space="0" w:color="auto"/>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 w:val="20"/>
                <w:szCs w:val="20"/>
              </w:rPr>
            </w:pPr>
            <w:r w:rsidRPr="00800690">
              <w:rPr>
                <w:noProof/>
                <w:color w:val="000000"/>
                <w:sz w:val="20"/>
              </w:rPr>
              <w:t>0 000</w:t>
            </w:r>
          </w:p>
        </w:tc>
      </w:tr>
    </w:tbl>
    <w:p w:rsidR="000531EB" w:rsidRPr="00800690" w:rsidRDefault="000531EB" w:rsidP="00E923B5">
      <w:pPr>
        <w:jc w:val="right"/>
        <w:rPr>
          <w:noProof/>
          <w:sz w:val="20"/>
        </w:rPr>
      </w:pPr>
      <w:r w:rsidRPr="00800690">
        <w:rPr>
          <w:noProof/>
          <w:sz w:val="20"/>
        </w:rPr>
        <w:t>En Mio EUR (à la 3</w:t>
      </w:r>
      <w:r w:rsidRPr="00800690">
        <w:rPr>
          <w:noProof/>
          <w:sz w:val="20"/>
          <w:vertAlign w:val="superscript"/>
        </w:rPr>
        <w:t>e</w:t>
      </w:r>
      <w:r w:rsidRPr="00800690">
        <w:rPr>
          <w:noProof/>
          <w:sz w:val="20"/>
        </w:rPr>
        <w:t xml:space="preserve"> décimale)</w:t>
      </w:r>
    </w:p>
    <w:tbl>
      <w:tblPr>
        <w:tblW w:w="5000" w:type="pct"/>
        <w:tblLook w:val="04A0" w:firstRow="1" w:lastRow="0" w:firstColumn="1" w:lastColumn="0" w:noHBand="0" w:noVBand="1"/>
      </w:tblPr>
      <w:tblGrid>
        <w:gridCol w:w="5609"/>
        <w:gridCol w:w="2079"/>
        <w:gridCol w:w="1254"/>
        <w:gridCol w:w="1254"/>
        <w:gridCol w:w="1254"/>
        <w:gridCol w:w="1254"/>
        <w:gridCol w:w="1516"/>
      </w:tblGrid>
      <w:tr w:rsidR="000531EB" w:rsidRPr="00800690" w:rsidTr="00944D50">
        <w:trPr>
          <w:trHeight w:val="288"/>
        </w:trPr>
        <w:tc>
          <w:tcPr>
            <w:tcW w:w="2703"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noProof/>
                <w:color w:val="000000"/>
                <w:szCs w:val="24"/>
              </w:rPr>
            </w:pPr>
            <w:r w:rsidRPr="00800690">
              <w:rPr>
                <w:noProof/>
                <w:color w:val="000000"/>
              </w:rPr>
              <w:t xml:space="preserve"> </w:t>
            </w:r>
          </w:p>
        </w:tc>
        <w:tc>
          <w:tcPr>
            <w:tcW w:w="441" w:type="pct"/>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41" w:type="pct"/>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41" w:type="pct"/>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441" w:type="pct"/>
            <w:tcBorders>
              <w:top w:val="single" w:sz="8" w:space="0" w:color="auto"/>
              <w:left w:val="nil"/>
              <w:bottom w:val="nil"/>
              <w:right w:val="single" w:sz="8" w:space="0" w:color="auto"/>
            </w:tcBorders>
            <w:shd w:val="clear" w:color="auto" w:fill="auto"/>
            <w:vAlign w:val="center"/>
            <w:hideMark/>
          </w:tcPr>
          <w:p w:rsidR="000531EB" w:rsidRPr="00800690" w:rsidRDefault="000531EB" w:rsidP="00425340">
            <w:pPr>
              <w:spacing w:before="0" w:after="0"/>
              <w:jc w:val="center"/>
              <w:rPr>
                <w:noProof/>
                <w:color w:val="000000"/>
                <w:sz w:val="20"/>
                <w:szCs w:val="20"/>
              </w:rPr>
            </w:pPr>
            <w:r w:rsidRPr="00800690">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TOTAL CFP 2026-2029</w:t>
            </w:r>
          </w:p>
        </w:tc>
      </w:tr>
      <w:tr w:rsidR="000531EB" w:rsidRPr="00800690" w:rsidTr="00944D50">
        <w:trPr>
          <w:trHeight w:val="300"/>
        </w:trPr>
        <w:tc>
          <w:tcPr>
            <w:tcW w:w="2703" w:type="pct"/>
            <w:gridSpan w:val="2"/>
            <w:vMerge/>
            <w:tcBorders>
              <w:top w:val="single" w:sz="8" w:space="0" w:color="auto"/>
              <w:left w:val="single" w:sz="8" w:space="0" w:color="auto"/>
              <w:bottom w:val="single" w:sz="8" w:space="0" w:color="auto"/>
              <w:right w:val="single" w:sz="8" w:space="0" w:color="auto"/>
            </w:tcBorders>
            <w:vAlign w:val="center"/>
            <w:hideMark/>
          </w:tcPr>
          <w:p w:rsidR="000531EB" w:rsidRPr="00800690" w:rsidRDefault="000531EB" w:rsidP="00425340">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2026</w:t>
            </w:r>
          </w:p>
        </w:tc>
        <w:tc>
          <w:tcPr>
            <w:tcW w:w="441" w:type="pct"/>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2027</w:t>
            </w:r>
          </w:p>
        </w:tc>
        <w:tc>
          <w:tcPr>
            <w:tcW w:w="441" w:type="pct"/>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2028</w:t>
            </w:r>
          </w:p>
        </w:tc>
        <w:tc>
          <w:tcPr>
            <w:tcW w:w="441" w:type="pct"/>
            <w:tcBorders>
              <w:top w:val="nil"/>
              <w:left w:val="nil"/>
              <w:bottom w:val="single" w:sz="8" w:space="0" w:color="auto"/>
              <w:right w:val="single" w:sz="8" w:space="0" w:color="auto"/>
            </w:tcBorders>
            <w:shd w:val="clear" w:color="auto" w:fill="auto"/>
            <w:vAlign w:val="center"/>
            <w:hideMark/>
          </w:tcPr>
          <w:p w:rsidR="000531EB" w:rsidRPr="00800690" w:rsidRDefault="000531EB" w:rsidP="00425340">
            <w:pPr>
              <w:spacing w:before="0" w:after="0"/>
              <w:jc w:val="center"/>
              <w:rPr>
                <w:b/>
                <w:bCs/>
                <w:noProof/>
                <w:color w:val="000000"/>
                <w:sz w:val="20"/>
                <w:szCs w:val="20"/>
              </w:rPr>
            </w:pPr>
            <w:r w:rsidRPr="00800690">
              <w:rPr>
                <w:b/>
                <w:noProof/>
                <w:color w:val="000000"/>
                <w:sz w:val="20"/>
              </w:rPr>
              <w:t>2029</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rsidR="000531EB" w:rsidRPr="00800690" w:rsidRDefault="000531EB" w:rsidP="00425340">
            <w:pPr>
              <w:spacing w:before="0" w:after="0"/>
              <w:jc w:val="left"/>
              <w:rPr>
                <w:b/>
                <w:bCs/>
                <w:noProof/>
                <w:color w:val="000000"/>
                <w:sz w:val="20"/>
                <w:szCs w:val="20"/>
                <w:lang w:eastAsia="en-IE"/>
              </w:rPr>
            </w:pPr>
          </w:p>
        </w:tc>
      </w:tr>
      <w:tr w:rsidR="003471FA" w:rsidRPr="00800690" w:rsidTr="00527617">
        <w:trPr>
          <w:trHeight w:val="564"/>
        </w:trPr>
        <w:tc>
          <w:tcPr>
            <w:tcW w:w="197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3471FA" w:rsidRPr="00800690" w:rsidRDefault="003471FA" w:rsidP="003471FA">
            <w:pPr>
              <w:spacing w:before="0" w:after="0"/>
              <w:jc w:val="center"/>
              <w:rPr>
                <w:b/>
                <w:bCs/>
                <w:noProof/>
                <w:color w:val="000000"/>
                <w:sz w:val="22"/>
              </w:rPr>
            </w:pPr>
            <w:r w:rsidRPr="00800690">
              <w:rPr>
                <w:b/>
                <w:noProof/>
                <w:color w:val="000000"/>
                <w:sz w:val="22"/>
              </w:rPr>
              <w:t>TOTAL des crédits pour les RUBRIQUES 3 à 7</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Engagements</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533"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Cs w:val="24"/>
              </w:rPr>
            </w:pPr>
            <w:r w:rsidRPr="00800690">
              <w:rPr>
                <w:b/>
                <w:noProof/>
                <w:color w:val="000000"/>
                <w:sz w:val="20"/>
              </w:rPr>
              <w:t>23 000</w:t>
            </w:r>
          </w:p>
        </w:tc>
      </w:tr>
      <w:tr w:rsidR="003471FA" w:rsidRPr="00800690" w:rsidTr="00527617">
        <w:trPr>
          <w:trHeight w:val="540"/>
        </w:trPr>
        <w:tc>
          <w:tcPr>
            <w:tcW w:w="197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3471FA" w:rsidRPr="00800690" w:rsidRDefault="003471FA" w:rsidP="003471FA">
            <w:pPr>
              <w:spacing w:before="0" w:after="0"/>
              <w:jc w:val="center"/>
              <w:rPr>
                <w:noProof/>
                <w:color w:val="000000"/>
                <w:sz w:val="22"/>
              </w:rPr>
            </w:pPr>
            <w:r w:rsidRPr="00800690">
              <w:rPr>
                <w:noProof/>
                <w:color w:val="000000"/>
                <w:sz w:val="22"/>
              </w:rPr>
              <w:t>du cadre financier pluriannuel</w:t>
            </w:r>
            <w:r w:rsidRPr="00800690">
              <w:rPr>
                <w:b/>
                <w:noProof/>
                <w:color w:val="000000"/>
                <w:sz w:val="22"/>
              </w:rPr>
              <w:t xml:space="preserve"> </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3471FA" w:rsidRPr="00800690" w:rsidRDefault="003471FA" w:rsidP="003471FA">
            <w:pPr>
              <w:spacing w:before="0" w:after="0"/>
              <w:rPr>
                <w:noProof/>
                <w:color w:val="000000"/>
                <w:sz w:val="18"/>
                <w:szCs w:val="18"/>
              </w:rPr>
            </w:pPr>
            <w:r w:rsidRPr="00800690">
              <w:rPr>
                <w:noProof/>
                <w:color w:val="000000"/>
                <w:sz w:val="18"/>
              </w:rPr>
              <w:t>Paiements</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800690" w:rsidRDefault="003471FA" w:rsidP="003471FA">
            <w:pPr>
              <w:spacing w:before="0" w:after="0"/>
              <w:jc w:val="right"/>
              <w:rPr>
                <w:b/>
                <w:bCs/>
                <w:noProof/>
                <w:color w:val="000000"/>
                <w:szCs w:val="24"/>
              </w:rPr>
            </w:pPr>
            <w:r w:rsidRPr="00800690">
              <w:rPr>
                <w:noProof/>
                <w:color w:val="000000"/>
                <w:sz w:val="20"/>
              </w:rPr>
              <w:t>5 750</w:t>
            </w:r>
          </w:p>
        </w:tc>
        <w:tc>
          <w:tcPr>
            <w:tcW w:w="533" w:type="pct"/>
            <w:tcBorders>
              <w:top w:val="nil"/>
              <w:left w:val="nil"/>
              <w:bottom w:val="single" w:sz="8" w:space="0" w:color="auto"/>
              <w:right w:val="single" w:sz="8" w:space="0" w:color="auto"/>
            </w:tcBorders>
            <w:shd w:val="clear" w:color="000000" w:fill="D9D9D9"/>
            <w:hideMark/>
          </w:tcPr>
          <w:p w:rsidR="003471FA" w:rsidRPr="00800690" w:rsidRDefault="003471FA" w:rsidP="003471FA">
            <w:pPr>
              <w:spacing w:before="0" w:after="0"/>
              <w:jc w:val="right"/>
              <w:rPr>
                <w:b/>
                <w:bCs/>
                <w:noProof/>
                <w:color w:val="000000"/>
                <w:szCs w:val="24"/>
              </w:rPr>
            </w:pPr>
            <w:r w:rsidRPr="00800690">
              <w:rPr>
                <w:b/>
                <w:noProof/>
                <w:color w:val="000000"/>
                <w:sz w:val="20"/>
              </w:rPr>
              <w:t>23 000</w:t>
            </w:r>
          </w:p>
        </w:tc>
      </w:tr>
    </w:tbl>
    <w:p w:rsidR="000531EB" w:rsidRPr="00800690" w:rsidRDefault="000531EB" w:rsidP="00E923B5">
      <w:pPr>
        <w:pStyle w:val="ManualHeading3"/>
        <w:rPr>
          <w:bCs/>
          <w:noProof/>
          <w:szCs w:val="24"/>
        </w:rPr>
      </w:pPr>
      <w:bookmarkStart w:id="162" w:name="_Toc514938054"/>
      <w:bookmarkStart w:id="163" w:name="_Toc520485053"/>
      <w:bookmarkStart w:id="164" w:name="_Toc160804597"/>
      <w:bookmarkStart w:id="165" w:name="_Toc167220289"/>
      <w:bookmarkStart w:id="166" w:name="_Toc177549022"/>
      <w:r w:rsidRPr="00800690">
        <w:rPr>
          <w:noProof/>
        </w:rPr>
        <w:t>3.2.2.</w:t>
      </w:r>
      <w:r w:rsidRPr="00800690">
        <w:rPr>
          <w:noProof/>
        </w:rPr>
        <w:tab/>
        <w:t>Estimation des réalisations financées à partir des crédits opérationnels</w:t>
      </w:r>
      <w:bookmarkEnd w:id="162"/>
      <w:r w:rsidRPr="00800690">
        <w:rPr>
          <w:noProof/>
        </w:rPr>
        <w:t xml:space="preserve"> </w:t>
      </w:r>
      <w:bookmarkEnd w:id="163"/>
      <w:r w:rsidRPr="00800690">
        <w:rPr>
          <w:noProof/>
        </w:rPr>
        <w:t xml:space="preserve"> (cette section ne doit pas être complétée pour les organismes décentralisés)</w:t>
      </w:r>
      <w:bookmarkEnd w:id="164"/>
      <w:bookmarkEnd w:id="165"/>
      <w:bookmarkEnd w:id="166"/>
    </w:p>
    <w:p w:rsidR="000531EB" w:rsidRPr="00800690" w:rsidRDefault="000531EB" w:rsidP="00E923B5">
      <w:pPr>
        <w:jc w:val="right"/>
        <w:rPr>
          <w:noProof/>
          <w:sz w:val="20"/>
        </w:rPr>
      </w:pPr>
      <w:r w:rsidRPr="00800690">
        <w:rPr>
          <w:noProof/>
          <w:sz w:val="20"/>
        </w:rPr>
        <w:t>Crédits d’engagement en Mio EUR (à la 3</w:t>
      </w:r>
      <w:r w:rsidRPr="00800690">
        <w:rPr>
          <w:noProof/>
          <w:sz w:val="20"/>
          <w:vertAlign w:val="superscript"/>
        </w:rPr>
        <w:t>e</w:t>
      </w:r>
      <w:r w:rsidRPr="00800690">
        <w:rPr>
          <w:noProof/>
          <w:sz w:val="20"/>
        </w:rPr>
        <w:t xml:space="preserve"> décimale)</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738"/>
        <w:gridCol w:w="709"/>
        <w:gridCol w:w="709"/>
        <w:gridCol w:w="709"/>
        <w:gridCol w:w="735"/>
        <w:gridCol w:w="720"/>
        <w:gridCol w:w="720"/>
        <w:gridCol w:w="900"/>
      </w:tblGrid>
      <w:tr w:rsidR="00F21499" w:rsidRPr="00800690" w:rsidTr="003471FA">
        <w:trPr>
          <w:jc w:val="center"/>
        </w:trPr>
        <w:tc>
          <w:tcPr>
            <w:tcW w:w="1423" w:type="dxa"/>
            <w:vMerge w:val="restart"/>
            <w:vAlign w:val="center"/>
          </w:tcPr>
          <w:p w:rsidR="00F21499" w:rsidRPr="00800690" w:rsidRDefault="00F21499" w:rsidP="00425340">
            <w:pPr>
              <w:ind w:right="-29"/>
              <w:jc w:val="center"/>
              <w:rPr>
                <w:b/>
                <w:noProof/>
                <w:sz w:val="18"/>
                <w:szCs w:val="18"/>
              </w:rPr>
            </w:pPr>
            <w:r w:rsidRPr="00800690">
              <w:rPr>
                <w:b/>
                <w:noProof/>
                <w:sz w:val="18"/>
              </w:rPr>
              <w:t xml:space="preserve">Indiquer les objectifs et les réalisations </w:t>
            </w:r>
          </w:p>
          <w:p w:rsidR="00F21499" w:rsidRPr="00800690" w:rsidRDefault="00F21499" w:rsidP="00425340">
            <w:pPr>
              <w:ind w:right="-29"/>
              <w:jc w:val="center"/>
              <w:rPr>
                <w:b/>
                <w:noProof/>
                <w:sz w:val="18"/>
                <w:szCs w:val="18"/>
              </w:rPr>
            </w:pPr>
          </w:p>
          <w:p w:rsidR="00F21499" w:rsidRPr="00800690" w:rsidRDefault="00F21499" w:rsidP="00425340">
            <w:pPr>
              <w:ind w:right="-29"/>
              <w:jc w:val="center"/>
              <w:rPr>
                <w:noProof/>
                <w:sz w:val="18"/>
                <w:szCs w:val="18"/>
              </w:rPr>
            </w:pPr>
            <w:r w:rsidRPr="00800690">
              <w:rPr>
                <w:rFonts w:ascii="Wingdings" w:hAnsi="Wingdings"/>
                <w:noProof/>
                <w:sz w:val="18"/>
              </w:rPr>
              <w:t></w:t>
            </w:r>
          </w:p>
        </w:tc>
        <w:tc>
          <w:tcPr>
            <w:tcW w:w="720" w:type="dxa"/>
            <w:vAlign w:val="center"/>
          </w:tcPr>
          <w:p w:rsidR="00F21499" w:rsidRPr="00800690" w:rsidRDefault="00F21499" w:rsidP="00425340">
            <w:pPr>
              <w:ind w:right="-29"/>
              <w:jc w:val="center"/>
              <w:rPr>
                <w:noProof/>
                <w:sz w:val="18"/>
                <w:szCs w:val="18"/>
              </w:rPr>
            </w:pPr>
          </w:p>
        </w:tc>
        <w:tc>
          <w:tcPr>
            <w:tcW w:w="701" w:type="dxa"/>
            <w:vAlign w:val="center"/>
          </w:tcPr>
          <w:p w:rsidR="00F21499" w:rsidRPr="00800690" w:rsidRDefault="00F21499" w:rsidP="00425340">
            <w:pPr>
              <w:ind w:right="-29"/>
              <w:jc w:val="center"/>
              <w:rPr>
                <w:noProof/>
                <w:sz w:val="18"/>
                <w:szCs w:val="18"/>
              </w:rPr>
            </w:pPr>
          </w:p>
        </w:tc>
        <w:tc>
          <w:tcPr>
            <w:tcW w:w="1224" w:type="dxa"/>
            <w:gridSpan w:val="2"/>
            <w:tcBorders>
              <w:left w:val="nil"/>
            </w:tcBorders>
            <w:vAlign w:val="center"/>
          </w:tcPr>
          <w:p w:rsidR="00F21499" w:rsidRPr="00800690" w:rsidRDefault="00F21499" w:rsidP="00425340">
            <w:pPr>
              <w:ind w:right="-29"/>
              <w:jc w:val="center"/>
              <w:rPr>
                <w:noProof/>
                <w:sz w:val="18"/>
                <w:szCs w:val="18"/>
              </w:rPr>
            </w:pPr>
            <w:r w:rsidRPr="00800690">
              <w:rPr>
                <w:noProof/>
                <w:sz w:val="18"/>
              </w:rPr>
              <w:t xml:space="preserve">Année </w:t>
            </w:r>
            <w:r w:rsidRPr="00800690">
              <w:rPr>
                <w:noProof/>
              </w:rPr>
              <w:t xml:space="preserve"> </w:t>
            </w:r>
            <w:r w:rsidRPr="00800690">
              <w:rPr>
                <w:noProof/>
              </w:rPr>
              <w:br/>
            </w:r>
            <w:r w:rsidRPr="00800690">
              <w:rPr>
                <w:b/>
                <w:noProof/>
                <w:sz w:val="18"/>
              </w:rPr>
              <w:t>2026</w:t>
            </w:r>
          </w:p>
        </w:tc>
        <w:tc>
          <w:tcPr>
            <w:tcW w:w="1447" w:type="dxa"/>
            <w:gridSpan w:val="2"/>
            <w:vAlign w:val="center"/>
          </w:tcPr>
          <w:p w:rsidR="00F21499" w:rsidRPr="00800690" w:rsidRDefault="00F21499" w:rsidP="00425340">
            <w:pPr>
              <w:ind w:right="-29"/>
              <w:jc w:val="center"/>
              <w:rPr>
                <w:noProof/>
                <w:sz w:val="18"/>
                <w:szCs w:val="18"/>
              </w:rPr>
            </w:pPr>
            <w:r w:rsidRPr="00800690">
              <w:rPr>
                <w:noProof/>
                <w:sz w:val="18"/>
              </w:rPr>
              <w:t xml:space="preserve">Année </w:t>
            </w:r>
            <w:r w:rsidRPr="00800690">
              <w:rPr>
                <w:noProof/>
              </w:rPr>
              <w:t xml:space="preserve"> </w:t>
            </w:r>
            <w:r w:rsidRPr="00800690">
              <w:rPr>
                <w:noProof/>
              </w:rPr>
              <w:br/>
            </w:r>
            <w:r w:rsidRPr="00800690">
              <w:rPr>
                <w:b/>
                <w:noProof/>
                <w:sz w:val="18"/>
              </w:rPr>
              <w:t>2027</w:t>
            </w:r>
          </w:p>
        </w:tc>
        <w:tc>
          <w:tcPr>
            <w:tcW w:w="1418" w:type="dxa"/>
            <w:gridSpan w:val="2"/>
            <w:vAlign w:val="center"/>
          </w:tcPr>
          <w:p w:rsidR="00F21499" w:rsidRPr="00800690" w:rsidRDefault="00F21499" w:rsidP="00425340">
            <w:pPr>
              <w:ind w:right="-29"/>
              <w:jc w:val="center"/>
              <w:rPr>
                <w:noProof/>
                <w:sz w:val="18"/>
                <w:szCs w:val="18"/>
              </w:rPr>
            </w:pPr>
            <w:r w:rsidRPr="00800690">
              <w:rPr>
                <w:noProof/>
                <w:sz w:val="18"/>
              </w:rPr>
              <w:t xml:space="preserve">Année </w:t>
            </w:r>
            <w:r w:rsidRPr="00800690">
              <w:rPr>
                <w:noProof/>
              </w:rPr>
              <w:t xml:space="preserve"> </w:t>
            </w:r>
            <w:r w:rsidRPr="00800690">
              <w:rPr>
                <w:noProof/>
              </w:rPr>
              <w:br/>
            </w:r>
            <w:r w:rsidRPr="00800690">
              <w:rPr>
                <w:b/>
                <w:noProof/>
                <w:sz w:val="18"/>
              </w:rPr>
              <w:t>2028</w:t>
            </w:r>
          </w:p>
        </w:tc>
        <w:tc>
          <w:tcPr>
            <w:tcW w:w="1455" w:type="dxa"/>
            <w:gridSpan w:val="2"/>
            <w:vAlign w:val="center"/>
          </w:tcPr>
          <w:p w:rsidR="00F21499" w:rsidRPr="00800690" w:rsidRDefault="00F21499" w:rsidP="00425340">
            <w:pPr>
              <w:ind w:right="-29"/>
              <w:jc w:val="center"/>
              <w:rPr>
                <w:noProof/>
                <w:sz w:val="18"/>
                <w:szCs w:val="18"/>
              </w:rPr>
            </w:pPr>
            <w:r w:rsidRPr="00800690">
              <w:rPr>
                <w:noProof/>
                <w:sz w:val="18"/>
              </w:rPr>
              <w:t xml:space="preserve">Année </w:t>
            </w:r>
            <w:r w:rsidRPr="00800690">
              <w:rPr>
                <w:noProof/>
              </w:rPr>
              <w:t xml:space="preserve"> </w:t>
            </w:r>
            <w:r w:rsidRPr="00800690">
              <w:rPr>
                <w:noProof/>
              </w:rPr>
              <w:br/>
            </w:r>
            <w:r w:rsidRPr="00800690">
              <w:rPr>
                <w:b/>
                <w:noProof/>
                <w:sz w:val="18"/>
              </w:rPr>
              <w:t>2029</w:t>
            </w:r>
          </w:p>
        </w:tc>
        <w:tc>
          <w:tcPr>
            <w:tcW w:w="1620" w:type="dxa"/>
            <w:gridSpan w:val="2"/>
            <w:tcBorders>
              <w:left w:val="nil"/>
              <w:bottom w:val="nil"/>
            </w:tcBorders>
            <w:vAlign w:val="center"/>
          </w:tcPr>
          <w:p w:rsidR="00F21499" w:rsidRPr="00800690" w:rsidRDefault="00F21499" w:rsidP="00425340">
            <w:pPr>
              <w:ind w:right="-29"/>
              <w:jc w:val="center"/>
              <w:rPr>
                <w:noProof/>
                <w:sz w:val="18"/>
                <w:szCs w:val="18"/>
              </w:rPr>
            </w:pPr>
            <w:r w:rsidRPr="00800690">
              <w:rPr>
                <w:b/>
                <w:noProof/>
                <w:sz w:val="18"/>
              </w:rPr>
              <w:t>TOTAL</w:t>
            </w:r>
          </w:p>
        </w:tc>
      </w:tr>
      <w:tr w:rsidR="00F21499" w:rsidRPr="00800690" w:rsidTr="00F21499">
        <w:trPr>
          <w:gridAfter w:val="12"/>
          <w:wAfter w:w="8585" w:type="dxa"/>
          <w:trHeight w:val="447"/>
          <w:jc w:val="center"/>
        </w:trPr>
        <w:tc>
          <w:tcPr>
            <w:tcW w:w="1423" w:type="dxa"/>
            <w:vMerge/>
            <w:vAlign w:val="center"/>
          </w:tcPr>
          <w:p w:rsidR="00F21499" w:rsidRPr="00800690" w:rsidRDefault="00F21499" w:rsidP="00425340">
            <w:pPr>
              <w:ind w:right="-29"/>
              <w:jc w:val="center"/>
              <w:rPr>
                <w:noProof/>
                <w:sz w:val="18"/>
                <w:szCs w:val="18"/>
              </w:rPr>
            </w:pPr>
          </w:p>
        </w:tc>
      </w:tr>
      <w:tr w:rsidR="00F21499" w:rsidRPr="00800690" w:rsidTr="003471FA">
        <w:trPr>
          <w:cantSplit/>
          <w:trHeight w:val="1134"/>
          <w:jc w:val="center"/>
        </w:trPr>
        <w:tc>
          <w:tcPr>
            <w:tcW w:w="1423" w:type="dxa"/>
            <w:vMerge/>
            <w:vAlign w:val="center"/>
          </w:tcPr>
          <w:p w:rsidR="00F21499" w:rsidRPr="00800690" w:rsidRDefault="00F21499" w:rsidP="00425340">
            <w:pPr>
              <w:rPr>
                <w:noProof/>
                <w:sz w:val="18"/>
                <w:szCs w:val="18"/>
              </w:rPr>
            </w:pPr>
          </w:p>
        </w:tc>
        <w:tc>
          <w:tcPr>
            <w:tcW w:w="720" w:type="dxa"/>
            <w:vAlign w:val="center"/>
          </w:tcPr>
          <w:p w:rsidR="00F21499" w:rsidRPr="00800690" w:rsidRDefault="00F21499" w:rsidP="00425340">
            <w:pPr>
              <w:jc w:val="center"/>
              <w:rPr>
                <w:noProof/>
                <w:sz w:val="18"/>
                <w:szCs w:val="18"/>
              </w:rPr>
            </w:pPr>
            <w:r w:rsidRPr="00800690">
              <w:rPr>
                <w:noProof/>
                <w:sz w:val="18"/>
              </w:rPr>
              <w:t>Type</w:t>
            </w:r>
            <w:r w:rsidRPr="00800690">
              <w:rPr>
                <w:rStyle w:val="FootnoteReference"/>
                <w:noProof/>
                <w:sz w:val="18"/>
              </w:rPr>
              <w:footnoteReference w:id="10"/>
            </w:r>
          </w:p>
          <w:p w:rsidR="00F21499" w:rsidRPr="00800690" w:rsidRDefault="00F21499" w:rsidP="00425340">
            <w:pPr>
              <w:spacing w:before="0" w:after="0"/>
              <w:jc w:val="center"/>
              <w:rPr>
                <w:noProof/>
                <w:sz w:val="18"/>
                <w:szCs w:val="18"/>
              </w:rPr>
            </w:pPr>
          </w:p>
        </w:tc>
        <w:tc>
          <w:tcPr>
            <w:tcW w:w="701" w:type="dxa"/>
            <w:vAlign w:val="center"/>
          </w:tcPr>
          <w:p w:rsidR="00F21499" w:rsidRPr="00800690" w:rsidRDefault="00F21499" w:rsidP="00425340">
            <w:pPr>
              <w:jc w:val="center"/>
              <w:rPr>
                <w:noProof/>
                <w:sz w:val="18"/>
                <w:szCs w:val="18"/>
              </w:rPr>
            </w:pPr>
            <w:r w:rsidRPr="00800690">
              <w:rPr>
                <w:noProof/>
                <w:sz w:val="18"/>
              </w:rPr>
              <w:t>Coût moyen</w:t>
            </w:r>
          </w:p>
        </w:tc>
        <w:tc>
          <w:tcPr>
            <w:tcW w:w="504" w:type="dxa"/>
            <w:tcBorders>
              <w:left w:val="nil"/>
              <w:right w:val="dashSmallGap" w:sz="4" w:space="0" w:color="auto"/>
            </w:tcBorders>
            <w:shd w:val="pct10" w:color="auto" w:fill="auto"/>
            <w:textDirection w:val="btLr"/>
            <w:vAlign w:val="center"/>
          </w:tcPr>
          <w:p w:rsidR="00F21499" w:rsidRPr="00800690" w:rsidRDefault="00F21499" w:rsidP="00425340">
            <w:pPr>
              <w:ind w:left="113" w:right="113"/>
              <w:jc w:val="center"/>
              <w:rPr>
                <w:noProof/>
                <w:sz w:val="18"/>
                <w:szCs w:val="18"/>
              </w:rPr>
            </w:pPr>
            <w:r w:rsidRPr="00800690">
              <w:rPr>
                <w:noProof/>
                <w:sz w:val="18"/>
              </w:rPr>
              <w:t>Nbre</w:t>
            </w:r>
          </w:p>
        </w:tc>
        <w:tc>
          <w:tcPr>
            <w:tcW w:w="720" w:type="dxa"/>
            <w:tcBorders>
              <w:left w:val="dashSmallGap" w:sz="4" w:space="0" w:color="auto"/>
            </w:tcBorders>
            <w:shd w:val="pct10" w:color="auto" w:fill="auto"/>
            <w:vAlign w:val="center"/>
          </w:tcPr>
          <w:p w:rsidR="00F21499" w:rsidRPr="00800690" w:rsidRDefault="00F21499" w:rsidP="00425340">
            <w:pPr>
              <w:jc w:val="center"/>
              <w:rPr>
                <w:noProof/>
                <w:sz w:val="18"/>
                <w:szCs w:val="18"/>
              </w:rPr>
            </w:pPr>
            <w:r w:rsidRPr="00800690">
              <w:rPr>
                <w:noProof/>
                <w:sz w:val="18"/>
              </w:rPr>
              <w:t>Coût</w:t>
            </w:r>
          </w:p>
        </w:tc>
        <w:tc>
          <w:tcPr>
            <w:tcW w:w="738" w:type="dxa"/>
            <w:tcBorders>
              <w:right w:val="dashSmallGap" w:sz="4" w:space="0" w:color="auto"/>
            </w:tcBorders>
            <w:shd w:val="pct10" w:color="auto" w:fill="auto"/>
            <w:textDirection w:val="btLr"/>
            <w:vAlign w:val="center"/>
          </w:tcPr>
          <w:p w:rsidR="00F21499" w:rsidRPr="00800690" w:rsidRDefault="00F21499" w:rsidP="00425340">
            <w:pPr>
              <w:ind w:left="113" w:right="113"/>
              <w:jc w:val="center"/>
              <w:rPr>
                <w:noProof/>
                <w:sz w:val="18"/>
                <w:szCs w:val="18"/>
              </w:rPr>
            </w:pPr>
            <w:r w:rsidRPr="00800690">
              <w:rPr>
                <w:noProof/>
                <w:sz w:val="18"/>
              </w:rPr>
              <w:t>Nbre</w:t>
            </w:r>
          </w:p>
        </w:tc>
        <w:tc>
          <w:tcPr>
            <w:tcW w:w="709" w:type="dxa"/>
            <w:tcBorders>
              <w:left w:val="dashSmallGap" w:sz="4" w:space="0" w:color="auto"/>
            </w:tcBorders>
            <w:shd w:val="pct10" w:color="auto" w:fill="auto"/>
            <w:vAlign w:val="center"/>
          </w:tcPr>
          <w:p w:rsidR="00F21499" w:rsidRPr="00800690" w:rsidRDefault="00F21499" w:rsidP="00425340">
            <w:pPr>
              <w:jc w:val="center"/>
              <w:rPr>
                <w:noProof/>
                <w:sz w:val="18"/>
                <w:szCs w:val="18"/>
              </w:rPr>
            </w:pPr>
            <w:r w:rsidRPr="00800690">
              <w:rPr>
                <w:noProof/>
                <w:sz w:val="18"/>
              </w:rPr>
              <w:t>Coût</w:t>
            </w:r>
          </w:p>
        </w:tc>
        <w:tc>
          <w:tcPr>
            <w:tcW w:w="709" w:type="dxa"/>
            <w:tcBorders>
              <w:right w:val="dashSmallGap" w:sz="4" w:space="0" w:color="auto"/>
            </w:tcBorders>
            <w:shd w:val="pct10" w:color="auto" w:fill="auto"/>
            <w:textDirection w:val="btLr"/>
            <w:vAlign w:val="center"/>
          </w:tcPr>
          <w:p w:rsidR="00F21499" w:rsidRPr="00800690" w:rsidRDefault="00F21499" w:rsidP="00425340">
            <w:pPr>
              <w:ind w:left="113" w:right="113"/>
              <w:jc w:val="center"/>
              <w:rPr>
                <w:noProof/>
                <w:sz w:val="18"/>
                <w:szCs w:val="18"/>
              </w:rPr>
            </w:pPr>
            <w:r w:rsidRPr="00800690">
              <w:rPr>
                <w:noProof/>
                <w:sz w:val="18"/>
              </w:rPr>
              <w:t>Nbre</w:t>
            </w:r>
          </w:p>
        </w:tc>
        <w:tc>
          <w:tcPr>
            <w:tcW w:w="709" w:type="dxa"/>
            <w:tcBorders>
              <w:left w:val="dashSmallGap" w:sz="4" w:space="0" w:color="auto"/>
            </w:tcBorders>
            <w:shd w:val="pct10" w:color="auto" w:fill="auto"/>
            <w:vAlign w:val="center"/>
          </w:tcPr>
          <w:p w:rsidR="00F21499" w:rsidRPr="00800690" w:rsidRDefault="00F21499" w:rsidP="00425340">
            <w:pPr>
              <w:jc w:val="center"/>
              <w:rPr>
                <w:noProof/>
                <w:sz w:val="18"/>
                <w:szCs w:val="18"/>
              </w:rPr>
            </w:pPr>
            <w:r w:rsidRPr="00800690">
              <w:rPr>
                <w:noProof/>
                <w:sz w:val="18"/>
              </w:rPr>
              <w:t>Coût</w:t>
            </w:r>
          </w:p>
        </w:tc>
        <w:tc>
          <w:tcPr>
            <w:tcW w:w="735" w:type="dxa"/>
            <w:tcBorders>
              <w:right w:val="dashSmallGap" w:sz="4" w:space="0" w:color="auto"/>
            </w:tcBorders>
            <w:shd w:val="pct10" w:color="auto" w:fill="auto"/>
            <w:textDirection w:val="btLr"/>
            <w:vAlign w:val="center"/>
          </w:tcPr>
          <w:p w:rsidR="00F21499" w:rsidRPr="00800690" w:rsidRDefault="00F21499" w:rsidP="00425340">
            <w:pPr>
              <w:ind w:left="113" w:right="113"/>
              <w:jc w:val="center"/>
              <w:rPr>
                <w:noProof/>
                <w:sz w:val="18"/>
                <w:szCs w:val="18"/>
              </w:rPr>
            </w:pPr>
            <w:r w:rsidRPr="00800690">
              <w:rPr>
                <w:noProof/>
                <w:sz w:val="18"/>
              </w:rPr>
              <w:t>Nbre</w:t>
            </w:r>
          </w:p>
        </w:tc>
        <w:tc>
          <w:tcPr>
            <w:tcW w:w="720" w:type="dxa"/>
            <w:tcBorders>
              <w:left w:val="dashSmallGap" w:sz="4" w:space="0" w:color="auto"/>
            </w:tcBorders>
            <w:shd w:val="pct10" w:color="auto" w:fill="auto"/>
            <w:vAlign w:val="center"/>
          </w:tcPr>
          <w:p w:rsidR="00F21499" w:rsidRPr="00800690" w:rsidRDefault="00F21499" w:rsidP="00425340">
            <w:pPr>
              <w:jc w:val="center"/>
              <w:rPr>
                <w:noProof/>
                <w:sz w:val="18"/>
                <w:szCs w:val="18"/>
              </w:rPr>
            </w:pPr>
            <w:r w:rsidRPr="00800690">
              <w:rPr>
                <w:noProof/>
                <w:sz w:val="18"/>
              </w:rPr>
              <w:t>Coût</w:t>
            </w:r>
          </w:p>
        </w:tc>
        <w:tc>
          <w:tcPr>
            <w:tcW w:w="720" w:type="dxa"/>
            <w:tcBorders>
              <w:right w:val="dashSmallGap" w:sz="4" w:space="0" w:color="auto"/>
            </w:tcBorders>
            <w:shd w:val="pct10" w:color="auto" w:fill="auto"/>
            <w:vAlign w:val="center"/>
          </w:tcPr>
          <w:p w:rsidR="00F21499" w:rsidRPr="00800690" w:rsidRDefault="00F21499" w:rsidP="00425340">
            <w:pPr>
              <w:jc w:val="center"/>
              <w:rPr>
                <w:noProof/>
                <w:sz w:val="18"/>
                <w:szCs w:val="18"/>
              </w:rPr>
            </w:pPr>
            <w:r w:rsidRPr="00800690">
              <w:rPr>
                <w:noProof/>
                <w:sz w:val="18"/>
              </w:rPr>
              <w:t>Nbre total</w:t>
            </w:r>
          </w:p>
        </w:tc>
        <w:tc>
          <w:tcPr>
            <w:tcW w:w="900" w:type="dxa"/>
            <w:tcBorders>
              <w:left w:val="dashSmallGap" w:sz="4" w:space="0" w:color="auto"/>
            </w:tcBorders>
            <w:shd w:val="pct10" w:color="auto" w:fill="auto"/>
            <w:vAlign w:val="center"/>
          </w:tcPr>
          <w:p w:rsidR="00F21499" w:rsidRPr="00800690" w:rsidRDefault="00F21499" w:rsidP="00425340">
            <w:pPr>
              <w:jc w:val="center"/>
              <w:rPr>
                <w:noProof/>
                <w:sz w:val="18"/>
                <w:szCs w:val="18"/>
              </w:rPr>
            </w:pPr>
            <w:r w:rsidRPr="00800690">
              <w:rPr>
                <w:noProof/>
                <w:sz w:val="18"/>
              </w:rPr>
              <w:t>Coût total</w:t>
            </w:r>
          </w:p>
        </w:tc>
      </w:tr>
      <w:tr w:rsidR="00F21499" w:rsidRPr="00800690" w:rsidTr="003471FA">
        <w:trPr>
          <w:jc w:val="center"/>
        </w:trPr>
        <w:tc>
          <w:tcPr>
            <w:tcW w:w="2844" w:type="dxa"/>
            <w:gridSpan w:val="3"/>
            <w:vAlign w:val="center"/>
          </w:tcPr>
          <w:p w:rsidR="00F21499" w:rsidRPr="00800690" w:rsidRDefault="00F21499" w:rsidP="00425340">
            <w:pPr>
              <w:spacing w:before="60" w:after="60"/>
              <w:ind w:right="-29"/>
              <w:jc w:val="center"/>
              <w:rPr>
                <w:noProof/>
                <w:sz w:val="18"/>
                <w:szCs w:val="18"/>
              </w:rPr>
            </w:pPr>
            <w:r w:rsidRPr="00800690">
              <w:rPr>
                <w:noProof/>
                <w:sz w:val="18"/>
              </w:rPr>
              <w:t>OBJECTIF SPÉCIFIQUE nº 1</w:t>
            </w:r>
            <w:r w:rsidRPr="00800690">
              <w:rPr>
                <w:rStyle w:val="FootnoteReference"/>
                <w:noProof/>
                <w:sz w:val="18"/>
              </w:rPr>
              <w:footnoteReference w:id="11"/>
            </w:r>
            <w:r w:rsidRPr="00800690">
              <w:rPr>
                <w:noProof/>
                <w:sz w:val="18"/>
              </w:rPr>
              <w:t>...</w:t>
            </w:r>
          </w:p>
        </w:tc>
        <w:tc>
          <w:tcPr>
            <w:tcW w:w="504"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38"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35"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c>
          <w:tcPr>
            <w:tcW w:w="900" w:type="dxa"/>
            <w:tcBorders>
              <w:top w:val="nil"/>
              <w:left w:val="nil"/>
              <w:bottom w:val="nil"/>
              <w:right w:val="nil"/>
            </w:tcBorders>
          </w:tcPr>
          <w:p w:rsidR="00F21499" w:rsidRPr="00800690" w:rsidRDefault="00F21499" w:rsidP="00425340">
            <w:pPr>
              <w:spacing w:before="60" w:after="60"/>
              <w:ind w:right="-29"/>
              <w:jc w:val="center"/>
              <w:rPr>
                <w:noProof/>
                <w:sz w:val="18"/>
                <w:szCs w:val="18"/>
              </w:rPr>
            </w:pPr>
          </w:p>
        </w:tc>
      </w:tr>
      <w:tr w:rsidR="003471FA" w:rsidRPr="00800690" w:rsidTr="003471FA">
        <w:trPr>
          <w:trHeight w:hRule="exact" w:val="369"/>
          <w:jc w:val="center"/>
        </w:trPr>
        <w:tc>
          <w:tcPr>
            <w:tcW w:w="1423" w:type="dxa"/>
          </w:tcPr>
          <w:p w:rsidR="003471FA" w:rsidRPr="00800690" w:rsidRDefault="003471FA" w:rsidP="003471FA">
            <w:pPr>
              <w:ind w:right="-29"/>
              <w:jc w:val="center"/>
              <w:rPr>
                <w:noProof/>
                <w:sz w:val="18"/>
                <w:szCs w:val="18"/>
              </w:rPr>
            </w:pPr>
            <w:r w:rsidRPr="00800690">
              <w:rPr>
                <w:noProof/>
                <w:sz w:val="18"/>
              </w:rPr>
              <w:t>Accès</w:t>
            </w:r>
          </w:p>
        </w:tc>
        <w:tc>
          <w:tcPr>
            <w:tcW w:w="720" w:type="dxa"/>
          </w:tcPr>
          <w:p w:rsidR="003471FA" w:rsidRPr="00800690" w:rsidRDefault="003471FA" w:rsidP="003471FA">
            <w:pPr>
              <w:ind w:right="-29"/>
              <w:jc w:val="center"/>
              <w:rPr>
                <w:noProof/>
                <w:sz w:val="18"/>
                <w:szCs w:val="18"/>
              </w:rPr>
            </w:pPr>
          </w:p>
        </w:tc>
        <w:tc>
          <w:tcPr>
            <w:tcW w:w="701" w:type="dxa"/>
          </w:tcPr>
          <w:p w:rsidR="003471FA" w:rsidRPr="00800690" w:rsidRDefault="003471FA" w:rsidP="003471FA">
            <w:pPr>
              <w:ind w:right="-29"/>
              <w:jc w:val="center"/>
              <w:rPr>
                <w:noProof/>
                <w:sz w:val="18"/>
                <w:szCs w:val="18"/>
              </w:rPr>
            </w:pPr>
          </w:p>
        </w:tc>
        <w:tc>
          <w:tcPr>
            <w:tcW w:w="504" w:type="dxa"/>
            <w:tcBorders>
              <w:right w:val="dashSmallGap" w:sz="4" w:space="0" w:color="auto"/>
            </w:tcBorders>
          </w:tcPr>
          <w:p w:rsidR="003471FA" w:rsidRPr="00800690" w:rsidRDefault="003471FA" w:rsidP="003471FA">
            <w:pPr>
              <w:ind w:right="-29"/>
              <w:jc w:val="center"/>
              <w:rPr>
                <w:noProof/>
                <w:sz w:val="18"/>
                <w:szCs w:val="18"/>
              </w:rPr>
            </w:pPr>
          </w:p>
        </w:tc>
        <w:tc>
          <w:tcPr>
            <w:tcW w:w="720"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38" w:type="dxa"/>
            <w:tcBorders>
              <w:righ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09"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09" w:type="dxa"/>
            <w:tcBorders>
              <w:righ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09"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35" w:type="dxa"/>
            <w:tcBorders>
              <w:righ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20"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2 750</w:t>
            </w:r>
          </w:p>
        </w:tc>
        <w:tc>
          <w:tcPr>
            <w:tcW w:w="720" w:type="dxa"/>
          </w:tcPr>
          <w:p w:rsidR="003471FA" w:rsidRPr="00800690" w:rsidRDefault="003471FA" w:rsidP="003471FA">
            <w:pPr>
              <w:ind w:right="-29"/>
              <w:jc w:val="center"/>
              <w:rPr>
                <w:noProof/>
                <w:sz w:val="18"/>
                <w:szCs w:val="18"/>
              </w:rPr>
            </w:pPr>
          </w:p>
        </w:tc>
        <w:tc>
          <w:tcPr>
            <w:tcW w:w="900" w:type="dxa"/>
          </w:tcPr>
          <w:p w:rsidR="003471FA" w:rsidRPr="00800690" w:rsidRDefault="003471FA" w:rsidP="003471FA">
            <w:pPr>
              <w:ind w:right="-29"/>
              <w:jc w:val="center"/>
              <w:rPr>
                <w:noProof/>
                <w:sz w:val="18"/>
                <w:szCs w:val="18"/>
              </w:rPr>
            </w:pPr>
            <w:r w:rsidRPr="00800690">
              <w:rPr>
                <w:noProof/>
                <w:sz w:val="18"/>
              </w:rPr>
              <w:t>11 000</w:t>
            </w:r>
          </w:p>
        </w:tc>
      </w:tr>
      <w:tr w:rsidR="003471FA" w:rsidRPr="00800690" w:rsidTr="003471FA">
        <w:trPr>
          <w:trHeight w:hRule="exact" w:val="369"/>
          <w:jc w:val="center"/>
        </w:trPr>
        <w:tc>
          <w:tcPr>
            <w:tcW w:w="1423" w:type="dxa"/>
          </w:tcPr>
          <w:p w:rsidR="003471FA" w:rsidRPr="00800690" w:rsidRDefault="003471FA" w:rsidP="003471FA">
            <w:pPr>
              <w:ind w:right="-29"/>
              <w:rPr>
                <w:noProof/>
                <w:sz w:val="18"/>
                <w:szCs w:val="18"/>
              </w:rPr>
            </w:pPr>
            <w:r w:rsidRPr="00800690">
              <w:rPr>
                <w:noProof/>
                <w:sz w:val="18"/>
              </w:rPr>
              <w:t>Appui sectoriel</w:t>
            </w:r>
          </w:p>
        </w:tc>
        <w:tc>
          <w:tcPr>
            <w:tcW w:w="720" w:type="dxa"/>
          </w:tcPr>
          <w:p w:rsidR="003471FA" w:rsidRPr="00800690" w:rsidRDefault="003471FA" w:rsidP="003471FA">
            <w:pPr>
              <w:ind w:right="-29"/>
              <w:jc w:val="center"/>
              <w:rPr>
                <w:noProof/>
                <w:sz w:val="18"/>
                <w:szCs w:val="18"/>
              </w:rPr>
            </w:pPr>
          </w:p>
        </w:tc>
        <w:tc>
          <w:tcPr>
            <w:tcW w:w="701" w:type="dxa"/>
          </w:tcPr>
          <w:p w:rsidR="003471FA" w:rsidRPr="00800690" w:rsidRDefault="003471FA" w:rsidP="003471FA">
            <w:pPr>
              <w:ind w:right="-29"/>
              <w:jc w:val="center"/>
              <w:rPr>
                <w:noProof/>
                <w:sz w:val="18"/>
                <w:szCs w:val="18"/>
              </w:rPr>
            </w:pPr>
          </w:p>
        </w:tc>
        <w:tc>
          <w:tcPr>
            <w:tcW w:w="504" w:type="dxa"/>
            <w:tcBorders>
              <w:right w:val="dashSmallGap" w:sz="4" w:space="0" w:color="auto"/>
            </w:tcBorders>
          </w:tcPr>
          <w:p w:rsidR="003471FA" w:rsidRPr="00800690" w:rsidRDefault="003471FA" w:rsidP="003471FA">
            <w:pPr>
              <w:ind w:right="-29"/>
              <w:jc w:val="center"/>
              <w:rPr>
                <w:noProof/>
                <w:sz w:val="18"/>
                <w:szCs w:val="18"/>
              </w:rPr>
            </w:pPr>
          </w:p>
        </w:tc>
        <w:tc>
          <w:tcPr>
            <w:tcW w:w="720"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38" w:type="dxa"/>
            <w:tcBorders>
              <w:righ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09"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09" w:type="dxa"/>
            <w:tcBorders>
              <w:righ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09"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35" w:type="dxa"/>
            <w:tcBorders>
              <w:righ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20" w:type="dxa"/>
            <w:tcBorders>
              <w:left w:val="dashSmallGap" w:sz="4" w:space="0" w:color="auto"/>
            </w:tcBorders>
          </w:tcPr>
          <w:p w:rsidR="003471FA" w:rsidRPr="00800690" w:rsidRDefault="003471FA" w:rsidP="003471FA">
            <w:pPr>
              <w:ind w:right="-29"/>
              <w:jc w:val="center"/>
              <w:rPr>
                <w:noProof/>
                <w:sz w:val="18"/>
                <w:szCs w:val="18"/>
              </w:rPr>
            </w:pPr>
            <w:r w:rsidRPr="00800690">
              <w:rPr>
                <w:noProof/>
                <w:sz w:val="18"/>
              </w:rPr>
              <w:t>3 000</w:t>
            </w:r>
          </w:p>
        </w:tc>
        <w:tc>
          <w:tcPr>
            <w:tcW w:w="720" w:type="dxa"/>
          </w:tcPr>
          <w:p w:rsidR="003471FA" w:rsidRPr="00800690" w:rsidRDefault="003471FA" w:rsidP="003471FA">
            <w:pPr>
              <w:ind w:right="-29"/>
              <w:jc w:val="center"/>
              <w:rPr>
                <w:noProof/>
                <w:sz w:val="18"/>
                <w:szCs w:val="18"/>
              </w:rPr>
            </w:pPr>
          </w:p>
        </w:tc>
        <w:tc>
          <w:tcPr>
            <w:tcW w:w="900" w:type="dxa"/>
          </w:tcPr>
          <w:p w:rsidR="003471FA" w:rsidRPr="00800690" w:rsidRDefault="003471FA" w:rsidP="003471FA">
            <w:pPr>
              <w:ind w:right="-29"/>
              <w:jc w:val="center"/>
              <w:rPr>
                <w:noProof/>
                <w:sz w:val="18"/>
                <w:szCs w:val="18"/>
              </w:rPr>
            </w:pPr>
            <w:r w:rsidRPr="00800690">
              <w:rPr>
                <w:noProof/>
                <w:sz w:val="18"/>
              </w:rPr>
              <w:t>12 000</w:t>
            </w:r>
          </w:p>
        </w:tc>
      </w:tr>
      <w:tr w:rsidR="003471FA" w:rsidRPr="00800690" w:rsidTr="003471FA">
        <w:trPr>
          <w:trHeight w:val="77"/>
          <w:jc w:val="center"/>
        </w:trPr>
        <w:tc>
          <w:tcPr>
            <w:tcW w:w="2844" w:type="dxa"/>
            <w:gridSpan w:val="3"/>
            <w:tcBorders>
              <w:bottom w:val="single" w:sz="12" w:space="0" w:color="auto"/>
            </w:tcBorders>
            <w:vAlign w:val="center"/>
          </w:tcPr>
          <w:p w:rsidR="003471FA" w:rsidRPr="00800690" w:rsidRDefault="003471FA" w:rsidP="003471FA">
            <w:pPr>
              <w:ind w:right="-29"/>
              <w:jc w:val="center"/>
              <w:rPr>
                <w:noProof/>
                <w:sz w:val="18"/>
                <w:szCs w:val="18"/>
              </w:rPr>
            </w:pPr>
            <w:r w:rsidRPr="00800690">
              <w:rPr>
                <w:noProof/>
                <w:sz w:val="18"/>
              </w:rPr>
              <w:t>Sous-total objectif spécifique nº 1</w:t>
            </w:r>
          </w:p>
        </w:tc>
        <w:tc>
          <w:tcPr>
            <w:tcW w:w="504" w:type="dxa"/>
            <w:tcBorders>
              <w:bottom w:val="single" w:sz="12" w:space="0" w:color="auto"/>
            </w:tcBorders>
          </w:tcPr>
          <w:p w:rsidR="003471FA" w:rsidRPr="00800690" w:rsidRDefault="003471FA" w:rsidP="003471FA">
            <w:pPr>
              <w:ind w:right="-29"/>
              <w:jc w:val="center"/>
              <w:rPr>
                <w:noProof/>
                <w:sz w:val="18"/>
                <w:szCs w:val="18"/>
              </w:rPr>
            </w:pPr>
          </w:p>
        </w:tc>
        <w:tc>
          <w:tcPr>
            <w:tcW w:w="720"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38"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09"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09"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09"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35"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20" w:type="dxa"/>
            <w:tcBorders>
              <w:bottom w:val="single" w:sz="12" w:space="0" w:color="auto"/>
            </w:tcBorders>
          </w:tcPr>
          <w:p w:rsidR="003471FA" w:rsidRPr="00800690" w:rsidRDefault="003471FA" w:rsidP="003471FA">
            <w:pPr>
              <w:ind w:right="-29"/>
              <w:jc w:val="center"/>
              <w:rPr>
                <w:noProof/>
                <w:sz w:val="18"/>
                <w:szCs w:val="18"/>
              </w:rPr>
            </w:pPr>
            <w:r w:rsidRPr="00800690">
              <w:rPr>
                <w:noProof/>
                <w:color w:val="000000"/>
                <w:sz w:val="20"/>
              </w:rPr>
              <w:t>5 750</w:t>
            </w:r>
          </w:p>
        </w:tc>
        <w:tc>
          <w:tcPr>
            <w:tcW w:w="720" w:type="dxa"/>
            <w:tcBorders>
              <w:bottom w:val="single" w:sz="12" w:space="0" w:color="auto"/>
            </w:tcBorders>
          </w:tcPr>
          <w:p w:rsidR="003471FA" w:rsidRPr="00800690" w:rsidRDefault="003471FA" w:rsidP="003471FA">
            <w:pPr>
              <w:ind w:right="-29"/>
              <w:jc w:val="center"/>
              <w:rPr>
                <w:noProof/>
                <w:sz w:val="18"/>
                <w:szCs w:val="18"/>
              </w:rPr>
            </w:pPr>
          </w:p>
        </w:tc>
        <w:tc>
          <w:tcPr>
            <w:tcW w:w="900" w:type="dxa"/>
            <w:tcBorders>
              <w:bottom w:val="single" w:sz="12" w:space="0" w:color="auto"/>
            </w:tcBorders>
          </w:tcPr>
          <w:p w:rsidR="003471FA" w:rsidRPr="00800690" w:rsidRDefault="003471FA" w:rsidP="003471FA">
            <w:pPr>
              <w:ind w:right="-29"/>
              <w:jc w:val="center"/>
              <w:rPr>
                <w:noProof/>
                <w:sz w:val="18"/>
                <w:szCs w:val="18"/>
              </w:rPr>
            </w:pPr>
            <w:r w:rsidRPr="00800690">
              <w:rPr>
                <w:noProof/>
                <w:sz w:val="18"/>
              </w:rPr>
              <w:t>23 000</w:t>
            </w:r>
          </w:p>
        </w:tc>
      </w:tr>
      <w:tr w:rsidR="003471FA" w:rsidRPr="00800690" w:rsidTr="003471FA">
        <w:trPr>
          <w:jc w:val="center"/>
        </w:trPr>
        <w:tc>
          <w:tcPr>
            <w:tcW w:w="2844" w:type="dxa"/>
            <w:gridSpan w:val="3"/>
            <w:tcBorders>
              <w:top w:val="single" w:sz="12" w:space="0" w:color="auto"/>
              <w:left w:val="single" w:sz="12" w:space="0" w:color="auto"/>
              <w:bottom w:val="single" w:sz="12" w:space="0" w:color="auto"/>
            </w:tcBorders>
            <w:vAlign w:val="center"/>
          </w:tcPr>
          <w:p w:rsidR="003471FA" w:rsidRPr="00800690" w:rsidRDefault="003471FA" w:rsidP="003471FA">
            <w:pPr>
              <w:ind w:right="-29"/>
              <w:jc w:val="center"/>
              <w:rPr>
                <w:noProof/>
                <w:sz w:val="18"/>
                <w:szCs w:val="18"/>
              </w:rPr>
            </w:pPr>
            <w:r w:rsidRPr="00800690">
              <w:rPr>
                <w:b/>
                <w:noProof/>
                <w:sz w:val="18"/>
              </w:rPr>
              <w:t>TOTAUX</w:t>
            </w:r>
          </w:p>
        </w:tc>
        <w:tc>
          <w:tcPr>
            <w:tcW w:w="504"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p>
        </w:tc>
        <w:tc>
          <w:tcPr>
            <w:tcW w:w="720"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38"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09"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09"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09"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35"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20"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r w:rsidRPr="00800690">
              <w:rPr>
                <w:noProof/>
                <w:color w:val="000000"/>
                <w:sz w:val="20"/>
              </w:rPr>
              <w:t>5 750</w:t>
            </w:r>
          </w:p>
        </w:tc>
        <w:tc>
          <w:tcPr>
            <w:tcW w:w="720" w:type="dxa"/>
            <w:tcBorders>
              <w:top w:val="single" w:sz="12" w:space="0" w:color="auto"/>
              <w:bottom w:val="single" w:sz="12" w:space="0" w:color="auto"/>
            </w:tcBorders>
          </w:tcPr>
          <w:p w:rsidR="003471FA" w:rsidRPr="00800690" w:rsidRDefault="003471FA" w:rsidP="003471FA">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3471FA" w:rsidRPr="00800690" w:rsidRDefault="003471FA" w:rsidP="003471FA">
            <w:pPr>
              <w:spacing w:before="180" w:after="180"/>
              <w:ind w:right="-29"/>
              <w:jc w:val="center"/>
              <w:rPr>
                <w:noProof/>
                <w:sz w:val="18"/>
                <w:szCs w:val="18"/>
              </w:rPr>
            </w:pPr>
            <w:r w:rsidRPr="00800690">
              <w:rPr>
                <w:noProof/>
                <w:sz w:val="18"/>
              </w:rPr>
              <w:t>23 000</w:t>
            </w:r>
          </w:p>
        </w:tc>
      </w:tr>
    </w:tbl>
    <w:p w:rsidR="000531EB" w:rsidRPr="00800690" w:rsidRDefault="000531EB" w:rsidP="00E923B5">
      <w:pPr>
        <w:rPr>
          <w:noProof/>
        </w:rPr>
        <w:sectPr w:rsidR="000531EB" w:rsidRPr="00800690" w:rsidSect="00EC3F4C">
          <w:headerReference w:type="default" r:id="rId19"/>
          <w:footerReference w:type="default" r:id="rId20"/>
          <w:pgSz w:w="16840" w:h="11907" w:orient="landscape" w:code="9"/>
          <w:pgMar w:top="1134" w:right="1418" w:bottom="567" w:left="1418" w:header="709" w:footer="709" w:gutter="0"/>
          <w:cols w:space="708"/>
          <w:docGrid w:linePitch="360"/>
        </w:sectPr>
      </w:pPr>
    </w:p>
    <w:p w:rsidR="000531EB" w:rsidRPr="00800690" w:rsidRDefault="000531EB" w:rsidP="00E923B5">
      <w:pPr>
        <w:pStyle w:val="ManualHeading3"/>
        <w:rPr>
          <w:bCs/>
          <w:noProof/>
          <w:szCs w:val="24"/>
        </w:rPr>
      </w:pPr>
      <w:bookmarkStart w:id="167" w:name="_Toc514938055"/>
      <w:bookmarkStart w:id="168" w:name="_Toc520485054"/>
      <w:bookmarkStart w:id="169" w:name="_Toc160804598"/>
      <w:bookmarkStart w:id="170" w:name="_Toc167220290"/>
      <w:bookmarkStart w:id="171" w:name="_Toc177549023"/>
      <w:r w:rsidRPr="00800690">
        <w:rPr>
          <w:noProof/>
        </w:rPr>
        <w:t>3.2.3.</w:t>
      </w:r>
      <w:r w:rsidRPr="00800690">
        <w:rPr>
          <w:noProof/>
        </w:rPr>
        <w:tab/>
        <w:t>Synthèse de l’incidence estimée sur les crédits administratifs</w:t>
      </w:r>
      <w:bookmarkEnd w:id="167"/>
      <w:bookmarkEnd w:id="168"/>
      <w:bookmarkEnd w:id="169"/>
      <w:bookmarkEnd w:id="170"/>
      <w:bookmarkEnd w:id="171"/>
      <w:r w:rsidRPr="00800690">
        <w:rPr>
          <w:noProof/>
        </w:rPr>
        <w:t xml:space="preserve"> </w:t>
      </w:r>
    </w:p>
    <w:p w:rsidR="000531EB" w:rsidRPr="00800690" w:rsidRDefault="00F21499" w:rsidP="000531EB">
      <w:pPr>
        <w:pStyle w:val="ListDash1"/>
        <w:rPr>
          <w:noProof/>
        </w:rPr>
      </w:pPr>
      <w:r w:rsidRPr="00800690">
        <w:rPr>
          <w:rFonts w:ascii="Wingdings" w:hAnsi="Wingdings"/>
          <w:noProof/>
        </w:rPr>
        <w:t></w:t>
      </w:r>
      <w:r w:rsidRPr="00800690">
        <w:rPr>
          <w:noProof/>
        </w:rPr>
        <w:tab/>
        <w:t xml:space="preserve">La proposition/L’initiative n’engendre pas l’utilisation de crédits de nature administrative. </w:t>
      </w:r>
    </w:p>
    <w:p w:rsidR="000531EB" w:rsidRPr="00800690" w:rsidRDefault="000531EB" w:rsidP="000531EB">
      <w:pPr>
        <w:pStyle w:val="ListDash1"/>
        <w:rPr>
          <w:noProof/>
        </w:rPr>
      </w:pPr>
      <w:r w:rsidRPr="00800690">
        <w:rPr>
          <w:rFonts w:ascii="Wingdings" w:hAnsi="Wingdings"/>
          <w:noProof/>
        </w:rPr>
        <w:t></w:t>
      </w:r>
      <w:r w:rsidRPr="00800690">
        <w:rPr>
          <w:noProof/>
        </w:rPr>
        <w:tab/>
        <w:t>La proposition/l’initiative engendre l’utilisation de crédits de nature administrative, comme expliqué ci-après.</w:t>
      </w:r>
    </w:p>
    <w:p w:rsidR="000531EB" w:rsidRPr="00800690" w:rsidRDefault="000531EB" w:rsidP="00E923B5">
      <w:pPr>
        <w:rPr>
          <w:noProof/>
          <w:sz w:val="22"/>
          <w:szCs w:val="28"/>
        </w:rPr>
      </w:pPr>
      <w:r w:rsidRPr="00800690">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0531EB" w:rsidRPr="00800690" w:rsidRDefault="000531EB" w:rsidP="00E923B5">
      <w:pPr>
        <w:pStyle w:val="ManualHeading3"/>
        <w:rPr>
          <w:bCs/>
          <w:noProof/>
          <w:szCs w:val="24"/>
        </w:rPr>
      </w:pPr>
      <w:bookmarkStart w:id="172" w:name="_Toc167220294"/>
      <w:bookmarkStart w:id="173" w:name="_Toc177549027"/>
      <w:r w:rsidRPr="00800690">
        <w:rPr>
          <w:noProof/>
        </w:rPr>
        <w:t>3.2.4.</w:t>
      </w:r>
      <w:r w:rsidRPr="00800690">
        <w:rPr>
          <w:noProof/>
        </w:rPr>
        <w:tab/>
        <w:t>Besoins estimés en ressources humaines</w:t>
      </w:r>
      <w:bookmarkEnd w:id="172"/>
      <w:bookmarkEnd w:id="173"/>
      <w:r w:rsidRPr="00800690">
        <w:rPr>
          <w:noProof/>
        </w:rPr>
        <w:t xml:space="preserve"> </w:t>
      </w:r>
    </w:p>
    <w:p w:rsidR="000531EB" w:rsidRPr="00800690" w:rsidRDefault="00F21499" w:rsidP="000531EB">
      <w:pPr>
        <w:pStyle w:val="ListDash1"/>
        <w:rPr>
          <w:noProof/>
        </w:rPr>
      </w:pPr>
      <w:r w:rsidRPr="00800690">
        <w:rPr>
          <w:rFonts w:ascii="Wingdings" w:hAnsi="Wingdings"/>
          <w:noProof/>
        </w:rPr>
        <w:t></w:t>
      </w:r>
      <w:r w:rsidRPr="00800690">
        <w:rPr>
          <w:noProof/>
        </w:rPr>
        <w:tab/>
        <w:t xml:space="preserve">La proposition/l’initiative n’engendre pas l’utilisation de ressources humaines. </w:t>
      </w:r>
    </w:p>
    <w:p w:rsidR="000531EB" w:rsidRPr="00800690" w:rsidRDefault="000531EB" w:rsidP="000531EB">
      <w:pPr>
        <w:pStyle w:val="ListDash1"/>
        <w:rPr>
          <w:noProof/>
        </w:rPr>
      </w:pPr>
      <w:r w:rsidRPr="00800690">
        <w:rPr>
          <w:rFonts w:ascii="Wingdings" w:hAnsi="Wingdings"/>
          <w:noProof/>
        </w:rPr>
        <w:t></w:t>
      </w:r>
      <w:r w:rsidRPr="00800690">
        <w:rPr>
          <w:noProof/>
        </w:rPr>
        <w:tab/>
        <w:t>La proposition/l’initiative engendre l’utilisation de ressources humaines, comme expliqué ci-après.</w:t>
      </w:r>
    </w:p>
    <w:p w:rsidR="000531EB" w:rsidRPr="00800690" w:rsidRDefault="000531EB" w:rsidP="00E923B5">
      <w:pPr>
        <w:pStyle w:val="ManualHeading3"/>
        <w:rPr>
          <w:noProof/>
        </w:rPr>
      </w:pPr>
      <w:bookmarkStart w:id="174" w:name="_Toc177549031"/>
      <w:bookmarkStart w:id="175" w:name="_Hlk167692843"/>
      <w:r w:rsidRPr="00800690">
        <w:rPr>
          <w:noProof/>
        </w:rPr>
        <w:t>3.2.5.</w:t>
      </w:r>
      <w:r w:rsidRPr="00800690">
        <w:rPr>
          <w:noProof/>
        </w:rPr>
        <w:tab/>
        <w:t>Vue d’ensemble de l’incidence estimée sur les investissements liés aux technologies numériques</w:t>
      </w:r>
      <w:bookmarkEnd w:id="174"/>
    </w:p>
    <w:p w:rsidR="00F53549" w:rsidRPr="00800690" w:rsidRDefault="00F53549" w:rsidP="00E923B5">
      <w:pPr>
        <w:pStyle w:val="Text1"/>
        <w:spacing w:line="259" w:lineRule="auto"/>
        <w:rPr>
          <w:noProof/>
        </w:rPr>
      </w:pPr>
      <w:r w:rsidRPr="00800690">
        <w:rPr>
          <w:noProof/>
        </w:rPr>
        <w:t>Les solutions numériques utilisées pour la mise en œuvre du protocole existent déjà et sont déjà mises en œuvre pour le protocole précédent et d’autres accords de pêche, ainsi que la mise en œuvre des règlements (CE) nº 1224/2009 et (UE) 2017/2403. Les investissements pour la maintenance et l’amélioration des fonctionnalités de ces outils numériques ne sont pas propres à ce protocole.</w:t>
      </w:r>
    </w:p>
    <w:p w:rsidR="000531EB" w:rsidRPr="00800690" w:rsidRDefault="000531EB" w:rsidP="00E923B5">
      <w:pPr>
        <w:pStyle w:val="ManualHeading3"/>
        <w:rPr>
          <w:noProof/>
        </w:rPr>
      </w:pPr>
      <w:bookmarkStart w:id="176" w:name="_Toc514938056"/>
      <w:bookmarkStart w:id="177" w:name="_Toc520485055"/>
      <w:bookmarkStart w:id="178" w:name="_Toc160804599"/>
      <w:bookmarkStart w:id="179" w:name="_Toc167220298"/>
      <w:bookmarkStart w:id="180" w:name="_Toc177549032"/>
      <w:bookmarkEnd w:id="175"/>
      <w:r w:rsidRPr="00800690">
        <w:rPr>
          <w:noProof/>
        </w:rPr>
        <w:t>3.2.6.</w:t>
      </w:r>
      <w:r w:rsidRPr="00800690">
        <w:rPr>
          <w:noProof/>
        </w:rPr>
        <w:tab/>
        <w:t>Compatibilité avec le cadre financier pluriannuel actuel</w:t>
      </w:r>
      <w:bookmarkEnd w:id="176"/>
      <w:bookmarkEnd w:id="177"/>
      <w:bookmarkEnd w:id="178"/>
      <w:bookmarkEnd w:id="179"/>
      <w:bookmarkEnd w:id="180"/>
      <w:r w:rsidRPr="00800690">
        <w:rPr>
          <w:noProof/>
        </w:rPr>
        <w:t xml:space="preserve"> </w:t>
      </w:r>
    </w:p>
    <w:p w:rsidR="000531EB" w:rsidRPr="00800690" w:rsidRDefault="000531EB" w:rsidP="00E923B5">
      <w:pPr>
        <w:pStyle w:val="Text1"/>
        <w:rPr>
          <w:noProof/>
        </w:rPr>
      </w:pPr>
      <w:r w:rsidRPr="00800690">
        <w:rPr>
          <w:noProof/>
        </w:rPr>
        <w:t>La proposition/l’initiative:</w:t>
      </w:r>
    </w:p>
    <w:p w:rsidR="000531EB" w:rsidRPr="00800690" w:rsidRDefault="00F53549" w:rsidP="000531EB">
      <w:pPr>
        <w:pStyle w:val="ListDash1"/>
        <w:rPr>
          <w:noProof/>
        </w:rPr>
      </w:pPr>
      <w:r w:rsidRPr="00800690">
        <w:rPr>
          <w:rFonts w:ascii="Wingdings" w:hAnsi="Wingdings"/>
          <w:noProof/>
        </w:rPr>
        <w:t></w:t>
      </w:r>
      <w:r w:rsidRPr="00800690">
        <w:rPr>
          <w:noProof/>
        </w:rPr>
        <w:tab/>
        <w:t>peut être intégralement financée par voie de redéploiement au sein de la rubrique concernée du cadre financier pluriannuel (CFP)</w:t>
      </w:r>
    </w:p>
    <w:p w:rsidR="000531EB" w:rsidRPr="00800690" w:rsidRDefault="00F53549" w:rsidP="00E923B5">
      <w:pPr>
        <w:pStyle w:val="Text1"/>
        <w:pBdr>
          <w:top w:val="single" w:sz="4" w:space="1" w:color="auto"/>
          <w:left w:val="single" w:sz="4" w:space="4" w:color="auto"/>
          <w:bottom w:val="single" w:sz="4" w:space="1" w:color="auto"/>
          <w:right w:val="single" w:sz="4" w:space="4" w:color="auto"/>
        </w:pBdr>
        <w:rPr>
          <w:noProof/>
        </w:rPr>
      </w:pPr>
      <w:r w:rsidRPr="00800690">
        <w:rPr>
          <w:noProof/>
        </w:rPr>
        <w:t>La proposition/l’initiative est compatible avec le cadre financier pluriannuel actuel. L’utilisation de la ligne de réserve 30.02.02.00 est prévue pour les montants mentionnés au point 3.2.5.</w:t>
      </w:r>
    </w:p>
    <w:p w:rsidR="000531EB" w:rsidRPr="00800690" w:rsidRDefault="000531EB" w:rsidP="000531EB">
      <w:pPr>
        <w:pStyle w:val="ListDash1"/>
        <w:rPr>
          <w:noProof/>
        </w:rPr>
      </w:pPr>
      <w:r w:rsidRPr="00800690">
        <w:rPr>
          <w:rFonts w:ascii="Wingdings" w:hAnsi="Wingdings"/>
          <w:noProof/>
        </w:rPr>
        <w:t></w:t>
      </w:r>
      <w:r w:rsidRPr="00800690">
        <w:rPr>
          <w:noProof/>
        </w:rPr>
        <w:tab/>
        <w:t>nécessite l’utilisation de la marge non allouée sous la rubrique correspondante du CFP et/ou le recours aux instruments spéciaux comme le prévoit le règlement CFP</w:t>
      </w:r>
    </w:p>
    <w:p w:rsidR="000531EB" w:rsidRPr="00800690" w:rsidRDefault="000531EB" w:rsidP="000531EB">
      <w:pPr>
        <w:pStyle w:val="ListDash1"/>
        <w:rPr>
          <w:noProof/>
        </w:rPr>
      </w:pPr>
      <w:r w:rsidRPr="00800690">
        <w:rPr>
          <w:rFonts w:ascii="Wingdings" w:hAnsi="Wingdings"/>
          <w:noProof/>
        </w:rPr>
        <w:t></w:t>
      </w:r>
      <w:r w:rsidRPr="00800690">
        <w:rPr>
          <w:noProof/>
        </w:rPr>
        <w:tab/>
        <w:t>nécessite une révision du CFP</w:t>
      </w:r>
    </w:p>
    <w:p w:rsidR="000531EB" w:rsidRPr="00800690" w:rsidRDefault="000531EB" w:rsidP="00E923B5">
      <w:pPr>
        <w:pStyle w:val="ManualHeading3"/>
        <w:rPr>
          <w:noProof/>
        </w:rPr>
      </w:pPr>
      <w:bookmarkStart w:id="181" w:name="_Toc514938058"/>
      <w:bookmarkStart w:id="182" w:name="_Toc520485056"/>
      <w:bookmarkStart w:id="183" w:name="_Toc160804600"/>
      <w:bookmarkStart w:id="184" w:name="_Toc167220299"/>
      <w:bookmarkStart w:id="185" w:name="_Toc177549033"/>
      <w:r w:rsidRPr="00800690">
        <w:rPr>
          <w:noProof/>
        </w:rPr>
        <w:t>3.2.7.</w:t>
      </w:r>
      <w:r w:rsidRPr="00800690">
        <w:rPr>
          <w:noProof/>
        </w:rPr>
        <w:tab/>
        <w:t>Participation de tiers au financement</w:t>
      </w:r>
      <w:bookmarkEnd w:id="181"/>
      <w:bookmarkEnd w:id="182"/>
      <w:bookmarkEnd w:id="183"/>
      <w:bookmarkEnd w:id="184"/>
      <w:bookmarkEnd w:id="185"/>
      <w:r w:rsidRPr="00800690">
        <w:rPr>
          <w:noProof/>
        </w:rPr>
        <w:t xml:space="preserve"> </w:t>
      </w:r>
    </w:p>
    <w:p w:rsidR="000531EB" w:rsidRPr="00800690" w:rsidRDefault="000531EB" w:rsidP="00E923B5">
      <w:pPr>
        <w:pStyle w:val="Text1"/>
        <w:rPr>
          <w:noProof/>
        </w:rPr>
      </w:pPr>
      <w:r w:rsidRPr="00800690">
        <w:rPr>
          <w:noProof/>
        </w:rPr>
        <w:t>La proposition/l’initiative:</w:t>
      </w:r>
    </w:p>
    <w:p w:rsidR="000531EB" w:rsidRPr="00800690" w:rsidRDefault="00F53549" w:rsidP="000531EB">
      <w:pPr>
        <w:pStyle w:val="ListDash1"/>
        <w:rPr>
          <w:noProof/>
        </w:rPr>
      </w:pPr>
      <w:r w:rsidRPr="00800690">
        <w:rPr>
          <w:rFonts w:ascii="Wingdings" w:hAnsi="Wingdings"/>
          <w:noProof/>
        </w:rPr>
        <w:t></w:t>
      </w:r>
      <w:r w:rsidRPr="00800690">
        <w:rPr>
          <w:noProof/>
        </w:rPr>
        <w:tab/>
        <w:t>ne prévoit pas de cofinancement par des tierces parties</w:t>
      </w:r>
    </w:p>
    <w:p w:rsidR="000531EB" w:rsidRPr="00800690" w:rsidRDefault="000531EB" w:rsidP="000531EB">
      <w:pPr>
        <w:pStyle w:val="ListDash1"/>
        <w:rPr>
          <w:noProof/>
        </w:rPr>
      </w:pPr>
      <w:r w:rsidRPr="00800690">
        <w:rPr>
          <w:rFonts w:ascii="Wingdings" w:hAnsi="Wingdings"/>
          <w:noProof/>
        </w:rPr>
        <w:t></w:t>
      </w:r>
      <w:r w:rsidRPr="00800690">
        <w:rPr>
          <w:noProof/>
        </w:rPr>
        <w:tab/>
        <w:t>prévoit le cofinancement par des tierces parties estimé ci-après:</w:t>
      </w:r>
    </w:p>
    <w:p w:rsidR="000531EB" w:rsidRPr="00800690" w:rsidRDefault="000531EB" w:rsidP="00E923B5">
      <w:pPr>
        <w:jc w:val="right"/>
        <w:rPr>
          <w:noProof/>
          <w:sz w:val="20"/>
        </w:rPr>
      </w:pPr>
      <w:r w:rsidRPr="00800690">
        <w:rPr>
          <w:noProof/>
          <w:sz w:val="20"/>
        </w:rPr>
        <w:t>Crédits en Mio EUR (à la 3</w:t>
      </w:r>
      <w:r w:rsidRPr="00800690">
        <w:rPr>
          <w:noProof/>
          <w:sz w:val="20"/>
          <w:vertAlign w:val="superscript"/>
        </w:rPr>
        <w:t>e</w:t>
      </w:r>
      <w:r w:rsidRPr="00800690">
        <w:rPr>
          <w:noProof/>
          <w:sz w:val="20"/>
        </w:rPr>
        <w:t xml:space="preserve">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0531EB" w:rsidRPr="00800690" w:rsidTr="00425340">
        <w:trPr>
          <w:cantSplit/>
        </w:trPr>
        <w:tc>
          <w:tcPr>
            <w:tcW w:w="1591" w:type="pct"/>
          </w:tcPr>
          <w:p w:rsidR="000531EB" w:rsidRPr="00800690" w:rsidRDefault="000531EB" w:rsidP="00425340">
            <w:pPr>
              <w:spacing w:before="60" w:after="60"/>
              <w:rPr>
                <w:noProof/>
                <w:sz w:val="20"/>
              </w:rPr>
            </w:pPr>
          </w:p>
        </w:tc>
        <w:tc>
          <w:tcPr>
            <w:tcW w:w="655" w:type="pct"/>
            <w:vAlign w:val="center"/>
          </w:tcPr>
          <w:p w:rsidR="000531EB" w:rsidRPr="00800690" w:rsidRDefault="000531EB" w:rsidP="00425340">
            <w:pPr>
              <w:jc w:val="center"/>
              <w:rPr>
                <w:noProof/>
                <w:sz w:val="20"/>
              </w:rPr>
            </w:pPr>
            <w:r w:rsidRPr="00800690">
              <w:rPr>
                <w:noProof/>
                <w:sz w:val="20"/>
              </w:rPr>
              <w:t xml:space="preserve">Année </w:t>
            </w:r>
            <w:r w:rsidRPr="00800690">
              <w:rPr>
                <w:noProof/>
              </w:rPr>
              <w:t xml:space="preserve"> </w:t>
            </w:r>
            <w:r w:rsidRPr="00800690">
              <w:rPr>
                <w:noProof/>
              </w:rPr>
              <w:br/>
            </w:r>
            <w:r w:rsidRPr="00800690">
              <w:rPr>
                <w:b/>
                <w:noProof/>
                <w:sz w:val="20"/>
              </w:rPr>
              <w:t>2024</w:t>
            </w:r>
          </w:p>
        </w:tc>
        <w:tc>
          <w:tcPr>
            <w:tcW w:w="655" w:type="pct"/>
            <w:vAlign w:val="center"/>
          </w:tcPr>
          <w:p w:rsidR="000531EB" w:rsidRPr="00800690" w:rsidRDefault="000531EB" w:rsidP="00425340">
            <w:pPr>
              <w:jc w:val="center"/>
              <w:rPr>
                <w:noProof/>
                <w:sz w:val="20"/>
              </w:rPr>
            </w:pPr>
            <w:r w:rsidRPr="00800690">
              <w:rPr>
                <w:noProof/>
                <w:sz w:val="20"/>
              </w:rPr>
              <w:t xml:space="preserve">Année </w:t>
            </w:r>
            <w:r w:rsidRPr="00800690">
              <w:rPr>
                <w:noProof/>
              </w:rPr>
              <w:t xml:space="preserve"> </w:t>
            </w:r>
            <w:r w:rsidRPr="00800690">
              <w:rPr>
                <w:noProof/>
              </w:rPr>
              <w:br/>
            </w:r>
            <w:r w:rsidRPr="00800690">
              <w:rPr>
                <w:b/>
                <w:noProof/>
                <w:sz w:val="20"/>
              </w:rPr>
              <w:t>2025</w:t>
            </w:r>
          </w:p>
        </w:tc>
        <w:tc>
          <w:tcPr>
            <w:tcW w:w="655" w:type="pct"/>
            <w:vAlign w:val="center"/>
          </w:tcPr>
          <w:p w:rsidR="000531EB" w:rsidRPr="00800690" w:rsidRDefault="000531EB" w:rsidP="00425340">
            <w:pPr>
              <w:jc w:val="center"/>
              <w:rPr>
                <w:noProof/>
                <w:sz w:val="20"/>
              </w:rPr>
            </w:pPr>
            <w:r w:rsidRPr="00800690">
              <w:rPr>
                <w:noProof/>
                <w:sz w:val="20"/>
              </w:rPr>
              <w:t xml:space="preserve">Année </w:t>
            </w:r>
            <w:r w:rsidRPr="00800690">
              <w:rPr>
                <w:noProof/>
              </w:rPr>
              <w:t xml:space="preserve"> </w:t>
            </w:r>
            <w:r w:rsidRPr="00800690">
              <w:rPr>
                <w:noProof/>
              </w:rPr>
              <w:br/>
            </w:r>
            <w:r w:rsidRPr="00800690">
              <w:rPr>
                <w:b/>
                <w:noProof/>
                <w:sz w:val="20"/>
              </w:rPr>
              <w:t>2026</w:t>
            </w:r>
          </w:p>
        </w:tc>
        <w:tc>
          <w:tcPr>
            <w:tcW w:w="655" w:type="pct"/>
            <w:vAlign w:val="center"/>
          </w:tcPr>
          <w:p w:rsidR="000531EB" w:rsidRPr="00800690" w:rsidRDefault="000531EB" w:rsidP="00425340">
            <w:pPr>
              <w:jc w:val="center"/>
              <w:rPr>
                <w:noProof/>
                <w:sz w:val="20"/>
              </w:rPr>
            </w:pPr>
            <w:r w:rsidRPr="00800690">
              <w:rPr>
                <w:noProof/>
                <w:sz w:val="20"/>
              </w:rPr>
              <w:t xml:space="preserve">Année </w:t>
            </w:r>
            <w:r w:rsidRPr="00800690">
              <w:rPr>
                <w:noProof/>
              </w:rPr>
              <w:t xml:space="preserve"> </w:t>
            </w:r>
            <w:r w:rsidRPr="00800690">
              <w:rPr>
                <w:noProof/>
              </w:rPr>
              <w:br/>
            </w:r>
            <w:r w:rsidRPr="00800690">
              <w:rPr>
                <w:b/>
                <w:noProof/>
                <w:sz w:val="20"/>
              </w:rPr>
              <w:t>2027</w:t>
            </w:r>
          </w:p>
        </w:tc>
        <w:tc>
          <w:tcPr>
            <w:tcW w:w="787" w:type="pct"/>
            <w:vAlign w:val="center"/>
          </w:tcPr>
          <w:p w:rsidR="000531EB" w:rsidRPr="00800690" w:rsidRDefault="000531EB" w:rsidP="00425340">
            <w:pPr>
              <w:spacing w:before="60" w:after="60"/>
              <w:jc w:val="center"/>
              <w:rPr>
                <w:noProof/>
                <w:sz w:val="20"/>
              </w:rPr>
            </w:pPr>
            <w:r w:rsidRPr="00800690">
              <w:rPr>
                <w:noProof/>
                <w:sz w:val="20"/>
              </w:rPr>
              <w:t>Total</w:t>
            </w:r>
          </w:p>
        </w:tc>
      </w:tr>
      <w:tr w:rsidR="000531EB" w:rsidRPr="00800690" w:rsidTr="00425340">
        <w:trPr>
          <w:cantSplit/>
        </w:trPr>
        <w:tc>
          <w:tcPr>
            <w:tcW w:w="1591" w:type="pct"/>
          </w:tcPr>
          <w:p w:rsidR="000531EB" w:rsidRPr="00800690" w:rsidRDefault="000531EB" w:rsidP="00425340">
            <w:pPr>
              <w:rPr>
                <w:noProof/>
              </w:rPr>
            </w:pPr>
            <w:r w:rsidRPr="00800690">
              <w:rPr>
                <w:noProof/>
                <w:sz w:val="20"/>
              </w:rPr>
              <w:t>Préciser l’organisme de cofinancement</w:t>
            </w:r>
            <w:r w:rsidRPr="00800690">
              <w:rPr>
                <w:i/>
                <w:noProof/>
                <w:sz w:val="20"/>
              </w:rPr>
              <w:t xml:space="preserve"> </w:t>
            </w:r>
          </w:p>
        </w:tc>
        <w:tc>
          <w:tcPr>
            <w:tcW w:w="655" w:type="pct"/>
            <w:vAlign w:val="center"/>
          </w:tcPr>
          <w:p w:rsidR="000531EB" w:rsidRPr="00800690" w:rsidRDefault="000531EB" w:rsidP="00425340">
            <w:pPr>
              <w:spacing w:before="60" w:after="60"/>
              <w:jc w:val="center"/>
              <w:rPr>
                <w:noProof/>
                <w:sz w:val="20"/>
              </w:rPr>
            </w:pPr>
          </w:p>
        </w:tc>
        <w:tc>
          <w:tcPr>
            <w:tcW w:w="655" w:type="pct"/>
            <w:vAlign w:val="center"/>
          </w:tcPr>
          <w:p w:rsidR="000531EB" w:rsidRPr="00800690" w:rsidRDefault="000531EB" w:rsidP="00425340">
            <w:pPr>
              <w:spacing w:before="60" w:after="60"/>
              <w:jc w:val="center"/>
              <w:rPr>
                <w:noProof/>
                <w:sz w:val="20"/>
              </w:rPr>
            </w:pPr>
          </w:p>
        </w:tc>
        <w:tc>
          <w:tcPr>
            <w:tcW w:w="655" w:type="pct"/>
            <w:vAlign w:val="center"/>
          </w:tcPr>
          <w:p w:rsidR="000531EB" w:rsidRPr="00800690" w:rsidRDefault="000531EB" w:rsidP="00425340">
            <w:pPr>
              <w:spacing w:before="60" w:after="60"/>
              <w:jc w:val="center"/>
              <w:rPr>
                <w:noProof/>
                <w:sz w:val="20"/>
              </w:rPr>
            </w:pPr>
          </w:p>
        </w:tc>
        <w:tc>
          <w:tcPr>
            <w:tcW w:w="655" w:type="pct"/>
            <w:vAlign w:val="center"/>
          </w:tcPr>
          <w:p w:rsidR="000531EB" w:rsidRPr="00800690" w:rsidRDefault="000531EB" w:rsidP="00425340">
            <w:pPr>
              <w:spacing w:before="60" w:after="60"/>
              <w:jc w:val="center"/>
              <w:rPr>
                <w:noProof/>
                <w:sz w:val="20"/>
              </w:rPr>
            </w:pPr>
          </w:p>
        </w:tc>
        <w:tc>
          <w:tcPr>
            <w:tcW w:w="787" w:type="pct"/>
            <w:vAlign w:val="center"/>
          </w:tcPr>
          <w:p w:rsidR="000531EB" w:rsidRPr="00800690" w:rsidRDefault="000531EB" w:rsidP="00425340">
            <w:pPr>
              <w:spacing w:before="60" w:after="60"/>
              <w:jc w:val="center"/>
              <w:rPr>
                <w:noProof/>
                <w:sz w:val="20"/>
              </w:rPr>
            </w:pPr>
          </w:p>
        </w:tc>
      </w:tr>
      <w:tr w:rsidR="000531EB" w:rsidRPr="00800690" w:rsidTr="00425340">
        <w:trPr>
          <w:cantSplit/>
        </w:trPr>
        <w:tc>
          <w:tcPr>
            <w:tcW w:w="1591" w:type="pct"/>
          </w:tcPr>
          <w:p w:rsidR="000531EB" w:rsidRPr="00800690" w:rsidRDefault="000531EB" w:rsidP="00425340">
            <w:pPr>
              <w:spacing w:before="60" w:after="60"/>
              <w:jc w:val="left"/>
              <w:rPr>
                <w:noProof/>
                <w:sz w:val="20"/>
              </w:rPr>
            </w:pPr>
            <w:r w:rsidRPr="00800690">
              <w:rPr>
                <w:noProof/>
                <w:sz w:val="20"/>
              </w:rPr>
              <w:t xml:space="preserve">TOTAL crédits cofinancés </w:t>
            </w:r>
          </w:p>
        </w:tc>
        <w:tc>
          <w:tcPr>
            <w:tcW w:w="655" w:type="pct"/>
            <w:vAlign w:val="center"/>
          </w:tcPr>
          <w:p w:rsidR="000531EB" w:rsidRPr="00800690" w:rsidRDefault="000531EB" w:rsidP="00425340">
            <w:pPr>
              <w:spacing w:before="60" w:after="60"/>
              <w:jc w:val="center"/>
              <w:rPr>
                <w:noProof/>
                <w:sz w:val="20"/>
              </w:rPr>
            </w:pPr>
          </w:p>
        </w:tc>
        <w:tc>
          <w:tcPr>
            <w:tcW w:w="655" w:type="pct"/>
            <w:vAlign w:val="center"/>
          </w:tcPr>
          <w:p w:rsidR="000531EB" w:rsidRPr="00800690" w:rsidRDefault="000531EB" w:rsidP="00425340">
            <w:pPr>
              <w:spacing w:before="60" w:after="60"/>
              <w:jc w:val="center"/>
              <w:rPr>
                <w:noProof/>
                <w:sz w:val="20"/>
              </w:rPr>
            </w:pPr>
          </w:p>
        </w:tc>
        <w:tc>
          <w:tcPr>
            <w:tcW w:w="655" w:type="pct"/>
            <w:vAlign w:val="center"/>
          </w:tcPr>
          <w:p w:rsidR="000531EB" w:rsidRPr="00800690" w:rsidRDefault="000531EB" w:rsidP="00425340">
            <w:pPr>
              <w:spacing w:before="60" w:after="60"/>
              <w:jc w:val="center"/>
              <w:rPr>
                <w:noProof/>
                <w:sz w:val="20"/>
              </w:rPr>
            </w:pPr>
          </w:p>
        </w:tc>
        <w:tc>
          <w:tcPr>
            <w:tcW w:w="655" w:type="pct"/>
            <w:vAlign w:val="center"/>
          </w:tcPr>
          <w:p w:rsidR="000531EB" w:rsidRPr="00800690" w:rsidRDefault="000531EB" w:rsidP="00425340">
            <w:pPr>
              <w:spacing w:before="60" w:after="60"/>
              <w:jc w:val="center"/>
              <w:rPr>
                <w:noProof/>
                <w:sz w:val="20"/>
              </w:rPr>
            </w:pPr>
          </w:p>
        </w:tc>
        <w:tc>
          <w:tcPr>
            <w:tcW w:w="787" w:type="pct"/>
            <w:vAlign w:val="center"/>
          </w:tcPr>
          <w:p w:rsidR="000531EB" w:rsidRPr="00800690" w:rsidRDefault="000531EB" w:rsidP="00425340">
            <w:pPr>
              <w:spacing w:before="60" w:after="60"/>
              <w:jc w:val="center"/>
              <w:rPr>
                <w:noProof/>
                <w:sz w:val="20"/>
              </w:rPr>
            </w:pPr>
          </w:p>
        </w:tc>
      </w:tr>
    </w:tbl>
    <w:p w:rsidR="000531EB" w:rsidRPr="00800690" w:rsidRDefault="000531EB" w:rsidP="00E923B5">
      <w:pPr>
        <w:outlineLvl w:val="1"/>
        <w:rPr>
          <w:noProof/>
          <w:szCs w:val="24"/>
        </w:rPr>
      </w:pPr>
      <w:r w:rsidRPr="00800690">
        <w:rPr>
          <w:noProof/>
        </w:rPr>
        <w:t xml:space="preserve"> </w:t>
      </w:r>
      <w:r w:rsidRPr="00800690">
        <w:rPr>
          <w:noProof/>
        </w:rPr>
        <w:br/>
      </w:r>
      <w:bookmarkStart w:id="186" w:name="_Toc514938059"/>
      <w:bookmarkStart w:id="187" w:name="_Toc520485057"/>
      <w:bookmarkStart w:id="188" w:name="_Toc160804602"/>
      <w:bookmarkStart w:id="189" w:name="_Toc167220300"/>
      <w:bookmarkStart w:id="190" w:name="_Toc177549034"/>
      <w:bookmarkStart w:id="191" w:name="_Hlk166860179"/>
      <w:r w:rsidRPr="00800690">
        <w:rPr>
          <w:noProof/>
        </w:rPr>
        <w:t>3.3.</w:t>
      </w:r>
      <w:r w:rsidRPr="00800690">
        <w:rPr>
          <w:noProof/>
        </w:rPr>
        <w:tab/>
        <w:t>Incidence estimée sur les recettes</w:t>
      </w:r>
      <w:bookmarkEnd w:id="186"/>
      <w:bookmarkEnd w:id="187"/>
      <w:bookmarkEnd w:id="188"/>
      <w:bookmarkEnd w:id="189"/>
      <w:bookmarkEnd w:id="190"/>
      <w:r w:rsidRPr="00800690">
        <w:rPr>
          <w:noProof/>
        </w:rPr>
        <w:t xml:space="preserve"> </w:t>
      </w:r>
    </w:p>
    <w:bookmarkEnd w:id="191"/>
    <w:p w:rsidR="000531EB" w:rsidRPr="00800690" w:rsidRDefault="00F53549" w:rsidP="000531EB">
      <w:pPr>
        <w:pStyle w:val="ListDash1"/>
        <w:rPr>
          <w:noProof/>
        </w:rPr>
      </w:pPr>
      <w:r w:rsidRPr="00800690">
        <w:rPr>
          <w:rFonts w:ascii="Wingdings" w:hAnsi="Wingdings"/>
          <w:noProof/>
        </w:rPr>
        <w:t></w:t>
      </w:r>
      <w:r w:rsidRPr="00800690">
        <w:rPr>
          <w:noProof/>
        </w:rPr>
        <w:tab/>
        <w:t>La proposition/l’initiative est sans incidence financière sur les recettes</w:t>
      </w:r>
    </w:p>
    <w:p w:rsidR="000531EB" w:rsidRPr="00800690" w:rsidRDefault="000531EB" w:rsidP="000531EB">
      <w:pPr>
        <w:pStyle w:val="ListDash1"/>
        <w:rPr>
          <w:noProof/>
        </w:rPr>
      </w:pPr>
      <w:r w:rsidRPr="00800690">
        <w:rPr>
          <w:rFonts w:ascii="Wingdings" w:hAnsi="Wingdings"/>
          <w:noProof/>
        </w:rPr>
        <w:t></w:t>
      </w:r>
      <w:r w:rsidRPr="00800690">
        <w:rPr>
          <w:noProof/>
        </w:rPr>
        <w:tab/>
        <w:t>La proposition/l’initiative a l’incidence financière suivante:</w:t>
      </w:r>
    </w:p>
    <w:p w:rsidR="000531EB" w:rsidRPr="00800690" w:rsidRDefault="000531EB" w:rsidP="000531EB">
      <w:pPr>
        <w:pStyle w:val="ListNumberLevel3"/>
        <w:rPr>
          <w:noProof/>
        </w:rPr>
      </w:pPr>
      <w:r w:rsidRPr="00800690">
        <w:rPr>
          <w:rFonts w:ascii="Wingdings" w:hAnsi="Wingdings"/>
          <w:noProof/>
        </w:rPr>
        <w:t></w:t>
      </w:r>
      <w:r w:rsidRPr="00800690">
        <w:rPr>
          <w:noProof/>
        </w:rPr>
        <w:tab/>
        <w:t xml:space="preserve">sur les ressources propres </w:t>
      </w:r>
    </w:p>
    <w:p w:rsidR="000531EB" w:rsidRPr="00800690" w:rsidRDefault="000531EB" w:rsidP="000531EB">
      <w:pPr>
        <w:pStyle w:val="ListNumberLevel3"/>
        <w:rPr>
          <w:noProof/>
        </w:rPr>
      </w:pPr>
      <w:r w:rsidRPr="00800690">
        <w:rPr>
          <w:rFonts w:ascii="Wingdings" w:hAnsi="Wingdings"/>
          <w:noProof/>
        </w:rPr>
        <w:t></w:t>
      </w:r>
      <w:r w:rsidRPr="00800690">
        <w:rPr>
          <w:noProof/>
        </w:rPr>
        <w:tab/>
        <w:t>sur les autres recettes</w:t>
      </w:r>
    </w:p>
    <w:p w:rsidR="000531EB" w:rsidRPr="00800690" w:rsidRDefault="000531EB" w:rsidP="000531EB">
      <w:pPr>
        <w:pStyle w:val="ListNumberLevel3"/>
        <w:rPr>
          <w:noProof/>
        </w:rPr>
      </w:pPr>
      <w:r w:rsidRPr="00800690">
        <w:rPr>
          <w:rFonts w:ascii="Wingdings" w:hAnsi="Wingdings"/>
          <w:noProof/>
        </w:rPr>
        <w:t></w:t>
      </w:r>
      <w:r w:rsidRPr="00800690">
        <w:rPr>
          <w:noProof/>
        </w:rPr>
        <w:tab/>
        <w:t>veuillez indiquer si les recettes sont affectées à des lignes de dépenses</w:t>
      </w:r>
    </w:p>
    <w:p w:rsidR="000531EB" w:rsidRPr="00800690" w:rsidRDefault="000531EB" w:rsidP="00E923B5">
      <w:pPr>
        <w:jc w:val="right"/>
        <w:rPr>
          <w:noProof/>
          <w:sz w:val="20"/>
        </w:rPr>
      </w:pPr>
      <w:r w:rsidRPr="00800690">
        <w:rPr>
          <w:noProof/>
          <w:sz w:val="20"/>
        </w:rPr>
        <w:t xml:space="preserve">     En Mio EUR (à la 3</w:t>
      </w:r>
      <w:r w:rsidRPr="00800690">
        <w:rPr>
          <w:noProof/>
          <w:sz w:val="20"/>
          <w:vertAlign w:val="superscript"/>
        </w:rPr>
        <w:t>e</w:t>
      </w:r>
      <w:r w:rsidRPr="00800690">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0531EB" w:rsidRPr="00800690" w:rsidTr="00425340">
        <w:trPr>
          <w:trHeight w:val="388"/>
        </w:trPr>
        <w:tc>
          <w:tcPr>
            <w:tcW w:w="1423" w:type="pct"/>
            <w:vMerge w:val="restart"/>
            <w:vAlign w:val="center"/>
          </w:tcPr>
          <w:p w:rsidR="000531EB" w:rsidRPr="00800690" w:rsidRDefault="000531EB" w:rsidP="00425340">
            <w:pPr>
              <w:spacing w:before="40" w:after="40"/>
              <w:rPr>
                <w:noProof/>
                <w:sz w:val="18"/>
              </w:rPr>
            </w:pPr>
            <w:r w:rsidRPr="00800690">
              <w:rPr>
                <w:noProof/>
                <w:sz w:val="18"/>
              </w:rPr>
              <w:t>Ligne budgétaire de recettes:</w:t>
            </w:r>
          </w:p>
        </w:tc>
        <w:tc>
          <w:tcPr>
            <w:tcW w:w="869" w:type="pct"/>
            <w:vMerge w:val="restart"/>
            <w:vAlign w:val="center"/>
          </w:tcPr>
          <w:p w:rsidR="000531EB" w:rsidRPr="00800690" w:rsidRDefault="000531EB" w:rsidP="00425340">
            <w:pPr>
              <w:jc w:val="center"/>
              <w:rPr>
                <w:noProof/>
                <w:sz w:val="18"/>
              </w:rPr>
            </w:pPr>
            <w:r w:rsidRPr="00800690">
              <w:rPr>
                <w:noProof/>
                <w:sz w:val="18"/>
              </w:rPr>
              <w:t>Montants inscrits pour l’exercice en cours</w:t>
            </w:r>
          </w:p>
        </w:tc>
        <w:tc>
          <w:tcPr>
            <w:tcW w:w="2709" w:type="pct"/>
            <w:gridSpan w:val="4"/>
            <w:vAlign w:val="center"/>
          </w:tcPr>
          <w:p w:rsidR="000531EB" w:rsidRPr="00800690" w:rsidRDefault="000531EB" w:rsidP="00425340">
            <w:pPr>
              <w:jc w:val="center"/>
              <w:rPr>
                <w:noProof/>
                <w:sz w:val="18"/>
              </w:rPr>
            </w:pPr>
            <w:r w:rsidRPr="00800690">
              <w:rPr>
                <w:noProof/>
                <w:sz w:val="18"/>
              </w:rPr>
              <w:t>Incidence de la proposition/de l’initiative</w:t>
            </w:r>
            <w:r w:rsidRPr="00800690">
              <w:rPr>
                <w:rStyle w:val="FootnoteReference"/>
                <w:noProof/>
                <w:sz w:val="18"/>
                <w:szCs w:val="18"/>
              </w:rPr>
              <w:footnoteReference w:id="12"/>
            </w:r>
          </w:p>
        </w:tc>
      </w:tr>
      <w:tr w:rsidR="000531EB" w:rsidRPr="00800690" w:rsidTr="00425340">
        <w:trPr>
          <w:trHeight w:val="388"/>
        </w:trPr>
        <w:tc>
          <w:tcPr>
            <w:tcW w:w="1423" w:type="pct"/>
            <w:vMerge/>
          </w:tcPr>
          <w:p w:rsidR="000531EB" w:rsidRPr="00800690" w:rsidRDefault="000531EB" w:rsidP="00425340">
            <w:pPr>
              <w:spacing w:before="40" w:after="40"/>
              <w:rPr>
                <w:noProof/>
                <w:sz w:val="18"/>
              </w:rPr>
            </w:pPr>
          </w:p>
        </w:tc>
        <w:tc>
          <w:tcPr>
            <w:tcW w:w="869" w:type="pct"/>
            <w:vMerge/>
          </w:tcPr>
          <w:p w:rsidR="000531EB" w:rsidRPr="00800690" w:rsidRDefault="000531EB" w:rsidP="00425340">
            <w:pPr>
              <w:spacing w:beforeLines="40" w:before="96" w:afterLines="40" w:after="96"/>
              <w:rPr>
                <w:i/>
                <w:noProof/>
                <w:sz w:val="18"/>
              </w:rPr>
            </w:pPr>
          </w:p>
        </w:tc>
        <w:tc>
          <w:tcPr>
            <w:tcW w:w="911" w:type="pct"/>
            <w:vAlign w:val="center"/>
          </w:tcPr>
          <w:p w:rsidR="000531EB" w:rsidRPr="00800690" w:rsidRDefault="000531EB" w:rsidP="00425340">
            <w:pPr>
              <w:jc w:val="center"/>
              <w:rPr>
                <w:noProof/>
                <w:sz w:val="18"/>
              </w:rPr>
            </w:pPr>
            <w:r w:rsidRPr="00800690">
              <w:rPr>
                <w:noProof/>
                <w:sz w:val="18"/>
              </w:rPr>
              <w:t xml:space="preserve">Année </w:t>
            </w:r>
            <w:r w:rsidRPr="00800690">
              <w:rPr>
                <w:b/>
                <w:noProof/>
                <w:sz w:val="18"/>
              </w:rPr>
              <w:t>2024</w:t>
            </w:r>
          </w:p>
        </w:tc>
        <w:tc>
          <w:tcPr>
            <w:tcW w:w="562" w:type="pct"/>
            <w:vAlign w:val="center"/>
          </w:tcPr>
          <w:p w:rsidR="000531EB" w:rsidRPr="00800690" w:rsidRDefault="000531EB" w:rsidP="00425340">
            <w:pPr>
              <w:jc w:val="center"/>
              <w:rPr>
                <w:noProof/>
                <w:sz w:val="18"/>
              </w:rPr>
            </w:pPr>
            <w:r w:rsidRPr="00800690">
              <w:rPr>
                <w:noProof/>
                <w:sz w:val="18"/>
              </w:rPr>
              <w:t xml:space="preserve">Année </w:t>
            </w:r>
            <w:r w:rsidRPr="00800690">
              <w:rPr>
                <w:b/>
                <w:noProof/>
                <w:sz w:val="18"/>
              </w:rPr>
              <w:t>2025</w:t>
            </w:r>
          </w:p>
        </w:tc>
        <w:tc>
          <w:tcPr>
            <w:tcW w:w="557" w:type="pct"/>
            <w:vAlign w:val="center"/>
          </w:tcPr>
          <w:p w:rsidR="000531EB" w:rsidRPr="00800690" w:rsidRDefault="000531EB" w:rsidP="00425340">
            <w:pPr>
              <w:jc w:val="center"/>
              <w:rPr>
                <w:noProof/>
                <w:sz w:val="18"/>
              </w:rPr>
            </w:pPr>
            <w:r w:rsidRPr="00800690">
              <w:rPr>
                <w:noProof/>
                <w:sz w:val="18"/>
              </w:rPr>
              <w:t xml:space="preserve">Année </w:t>
            </w:r>
            <w:r w:rsidRPr="00800690">
              <w:rPr>
                <w:b/>
                <w:noProof/>
                <w:sz w:val="18"/>
              </w:rPr>
              <w:t>2026</w:t>
            </w:r>
          </w:p>
        </w:tc>
        <w:tc>
          <w:tcPr>
            <w:tcW w:w="679" w:type="pct"/>
            <w:vAlign w:val="center"/>
          </w:tcPr>
          <w:p w:rsidR="000531EB" w:rsidRPr="00800690" w:rsidRDefault="000531EB" w:rsidP="00425340">
            <w:pPr>
              <w:jc w:val="center"/>
              <w:rPr>
                <w:noProof/>
                <w:sz w:val="18"/>
              </w:rPr>
            </w:pPr>
            <w:r w:rsidRPr="00800690">
              <w:rPr>
                <w:noProof/>
                <w:sz w:val="18"/>
              </w:rPr>
              <w:t xml:space="preserve">Année </w:t>
            </w:r>
            <w:r w:rsidRPr="00800690">
              <w:rPr>
                <w:b/>
                <w:noProof/>
                <w:sz w:val="18"/>
              </w:rPr>
              <w:t>2027</w:t>
            </w:r>
          </w:p>
        </w:tc>
      </w:tr>
      <w:tr w:rsidR="000531EB" w:rsidRPr="00800690" w:rsidTr="00425340">
        <w:trPr>
          <w:trHeight w:val="388"/>
        </w:trPr>
        <w:tc>
          <w:tcPr>
            <w:tcW w:w="1423" w:type="pct"/>
            <w:vAlign w:val="center"/>
          </w:tcPr>
          <w:p w:rsidR="000531EB" w:rsidRPr="00800690" w:rsidRDefault="000531EB" w:rsidP="00425340">
            <w:pPr>
              <w:spacing w:before="40" w:after="40"/>
              <w:rPr>
                <w:noProof/>
                <w:sz w:val="18"/>
              </w:rPr>
            </w:pPr>
            <w:r w:rsidRPr="00800690">
              <w:rPr>
                <w:noProof/>
                <w:sz w:val="18"/>
              </w:rPr>
              <w:t>Article ………….</w:t>
            </w:r>
          </w:p>
        </w:tc>
        <w:tc>
          <w:tcPr>
            <w:tcW w:w="869" w:type="pct"/>
          </w:tcPr>
          <w:p w:rsidR="000531EB" w:rsidRPr="00800690" w:rsidRDefault="000531EB" w:rsidP="00425340">
            <w:pPr>
              <w:spacing w:beforeLines="40" w:before="96" w:afterLines="40" w:after="96"/>
              <w:jc w:val="center"/>
              <w:rPr>
                <w:i/>
                <w:noProof/>
                <w:sz w:val="18"/>
              </w:rPr>
            </w:pPr>
          </w:p>
        </w:tc>
        <w:tc>
          <w:tcPr>
            <w:tcW w:w="911" w:type="pct"/>
          </w:tcPr>
          <w:p w:rsidR="000531EB" w:rsidRPr="00800690" w:rsidRDefault="000531EB" w:rsidP="00425340">
            <w:pPr>
              <w:spacing w:beforeLines="40" w:before="96" w:afterLines="40" w:after="96"/>
              <w:jc w:val="center"/>
              <w:rPr>
                <w:noProof/>
                <w:sz w:val="18"/>
              </w:rPr>
            </w:pPr>
          </w:p>
        </w:tc>
        <w:tc>
          <w:tcPr>
            <w:tcW w:w="562" w:type="pct"/>
          </w:tcPr>
          <w:p w:rsidR="000531EB" w:rsidRPr="00800690" w:rsidRDefault="000531EB" w:rsidP="00425340">
            <w:pPr>
              <w:spacing w:beforeLines="40" w:before="96" w:afterLines="40" w:after="96"/>
              <w:jc w:val="center"/>
              <w:rPr>
                <w:noProof/>
                <w:sz w:val="18"/>
              </w:rPr>
            </w:pPr>
          </w:p>
        </w:tc>
        <w:tc>
          <w:tcPr>
            <w:tcW w:w="557" w:type="pct"/>
          </w:tcPr>
          <w:p w:rsidR="000531EB" w:rsidRPr="00800690" w:rsidRDefault="000531EB" w:rsidP="00425340">
            <w:pPr>
              <w:spacing w:beforeLines="40" w:before="96" w:afterLines="40" w:after="96"/>
              <w:jc w:val="center"/>
              <w:rPr>
                <w:noProof/>
                <w:sz w:val="18"/>
              </w:rPr>
            </w:pPr>
          </w:p>
        </w:tc>
        <w:tc>
          <w:tcPr>
            <w:tcW w:w="679" w:type="pct"/>
          </w:tcPr>
          <w:p w:rsidR="000531EB" w:rsidRPr="00800690" w:rsidRDefault="000531EB" w:rsidP="00425340">
            <w:pPr>
              <w:spacing w:beforeLines="40" w:before="96" w:afterLines="40" w:after="96"/>
              <w:jc w:val="center"/>
              <w:rPr>
                <w:noProof/>
                <w:sz w:val="18"/>
              </w:rPr>
            </w:pPr>
          </w:p>
        </w:tc>
      </w:tr>
    </w:tbl>
    <w:p w:rsidR="000531EB" w:rsidRPr="00800690" w:rsidRDefault="000531EB" w:rsidP="00E923B5">
      <w:pPr>
        <w:pStyle w:val="Text1"/>
        <w:rPr>
          <w:noProof/>
          <w:szCs w:val="24"/>
        </w:rPr>
      </w:pPr>
      <w:r w:rsidRPr="00800690">
        <w:rPr>
          <w:noProof/>
        </w:rPr>
        <w:t>Pour les recettes affectées, préciser la(les) ligne(s) budgétaire(s) de dépenses concernée(s).</w:t>
      </w:r>
    </w:p>
    <w:p w:rsidR="000531EB" w:rsidRPr="00800690" w:rsidRDefault="000531EB" w:rsidP="00E923B5">
      <w:pPr>
        <w:pStyle w:val="Text1"/>
        <w:pBdr>
          <w:top w:val="single" w:sz="4" w:space="1" w:color="auto"/>
          <w:left w:val="single" w:sz="4" w:space="4" w:color="auto"/>
          <w:bottom w:val="single" w:sz="4" w:space="1" w:color="auto"/>
          <w:right w:val="single" w:sz="4" w:space="4" w:color="auto"/>
        </w:pBdr>
        <w:rPr>
          <w:noProof/>
        </w:rPr>
      </w:pPr>
    </w:p>
    <w:p w:rsidR="000531EB" w:rsidRPr="00800690" w:rsidRDefault="000531EB" w:rsidP="00E923B5">
      <w:pPr>
        <w:pStyle w:val="Text1"/>
        <w:rPr>
          <w:noProof/>
          <w:szCs w:val="24"/>
        </w:rPr>
      </w:pPr>
      <w:r w:rsidRPr="00800690">
        <w:rPr>
          <w:noProof/>
        </w:rPr>
        <w:t>Autres remarques (relatives, par exemple, à la méthode/formule utilisée pour le calcul de l’incidence sur les recettes ou toute autre information).</w:t>
      </w:r>
    </w:p>
    <w:p w:rsidR="000531EB" w:rsidRPr="00800690" w:rsidRDefault="000531EB" w:rsidP="00E923B5">
      <w:pPr>
        <w:pStyle w:val="Text1"/>
        <w:pBdr>
          <w:top w:val="single" w:sz="4" w:space="1" w:color="auto"/>
          <w:left w:val="single" w:sz="4" w:space="4" w:color="auto"/>
          <w:bottom w:val="single" w:sz="4" w:space="1" w:color="auto"/>
          <w:right w:val="single" w:sz="4" w:space="4" w:color="auto"/>
        </w:pBdr>
        <w:rPr>
          <w:noProof/>
        </w:rPr>
      </w:pPr>
    </w:p>
    <w:p w:rsidR="000531EB" w:rsidRPr="00800690" w:rsidRDefault="000531EB" w:rsidP="00E923B5">
      <w:pPr>
        <w:pStyle w:val="ManualHeading1"/>
        <w:rPr>
          <w:caps/>
          <w:noProof/>
        </w:rPr>
      </w:pPr>
      <w:bookmarkStart w:id="192" w:name="_Toc167220301"/>
      <w:bookmarkStart w:id="193" w:name="_Toc177549035"/>
      <w:r w:rsidRPr="00800690">
        <w:rPr>
          <w:noProof/>
        </w:rPr>
        <w:t>4.</w:t>
      </w:r>
      <w:r w:rsidRPr="00800690">
        <w:rPr>
          <w:noProof/>
        </w:rPr>
        <w:tab/>
      </w:r>
      <w:bookmarkStart w:id="194" w:name="_Hlk167692977"/>
      <w:r w:rsidRPr="00800690">
        <w:rPr>
          <w:caps/>
          <w:noProof/>
        </w:rPr>
        <w:t>Dimensions numériques</w:t>
      </w:r>
      <w:bookmarkEnd w:id="192"/>
      <w:bookmarkEnd w:id="193"/>
    </w:p>
    <w:p w:rsidR="000531EB" w:rsidRPr="00800690" w:rsidRDefault="000531EB" w:rsidP="00E923B5">
      <w:pPr>
        <w:pStyle w:val="ManualHeading2"/>
        <w:rPr>
          <w:noProof/>
        </w:rPr>
      </w:pPr>
      <w:bookmarkStart w:id="195" w:name="_Toc167220302"/>
      <w:bookmarkStart w:id="196" w:name="_Toc177549037"/>
      <w:r w:rsidRPr="00800690">
        <w:rPr>
          <w:noProof/>
        </w:rPr>
        <w:t>4.1.</w:t>
      </w:r>
      <w:r w:rsidRPr="00800690">
        <w:rPr>
          <w:noProof/>
        </w:rPr>
        <w:tab/>
        <w:t>Exigences pertinentes en matière numérique</w:t>
      </w:r>
      <w:bookmarkEnd w:id="195"/>
      <w:bookmarkEnd w:id="196"/>
    </w:p>
    <w:tbl>
      <w:tblPr>
        <w:tblStyle w:val="TableGrid"/>
        <w:tblW w:w="9072" w:type="dxa"/>
        <w:tblInd w:w="-5" w:type="dxa"/>
        <w:tblLayout w:type="fixed"/>
        <w:tblLook w:val="06A0" w:firstRow="1" w:lastRow="0" w:firstColumn="1" w:lastColumn="0" w:noHBand="1" w:noVBand="1"/>
      </w:tblPr>
      <w:tblGrid>
        <w:gridCol w:w="9072"/>
      </w:tblGrid>
      <w:tr w:rsidR="000531EB" w:rsidRPr="00800690" w:rsidTr="00425340">
        <w:trPr>
          <w:trHeight w:val="300"/>
        </w:trPr>
        <w:tc>
          <w:tcPr>
            <w:tcW w:w="9072" w:type="dxa"/>
          </w:tcPr>
          <w:p w:rsidR="000531EB" w:rsidRPr="00800690" w:rsidRDefault="000531EB" w:rsidP="00F53549">
            <w:pPr>
              <w:rPr>
                <w:noProof/>
                <w:color w:val="0000FF"/>
              </w:rPr>
            </w:pPr>
          </w:p>
        </w:tc>
      </w:tr>
    </w:tbl>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3865"/>
        <w:gridCol w:w="1560"/>
      </w:tblGrid>
      <w:tr w:rsidR="00F53549" w:rsidRPr="00800690" w:rsidTr="00F53549">
        <w:trPr>
          <w:jc w:val="center"/>
        </w:trPr>
        <w:tc>
          <w:tcPr>
            <w:tcW w:w="3697" w:type="dxa"/>
            <w:vAlign w:val="center"/>
          </w:tcPr>
          <w:p w:rsidR="00F53549" w:rsidRPr="00800690" w:rsidRDefault="00F53549" w:rsidP="00DE5CBD">
            <w:pPr>
              <w:rPr>
                <w:noProof/>
              </w:rPr>
            </w:pPr>
            <w:bookmarkStart w:id="197" w:name="_Hlk226986789"/>
            <w:bookmarkStart w:id="198" w:name="_Toc167220303"/>
            <w:bookmarkStart w:id="199" w:name="_Toc177549038"/>
            <w:r w:rsidRPr="00800690">
              <w:rPr>
                <w:b/>
                <w:noProof/>
              </w:rPr>
              <w:t>Référence à l’exigence</w:t>
            </w:r>
          </w:p>
        </w:tc>
        <w:tc>
          <w:tcPr>
            <w:tcW w:w="3865" w:type="dxa"/>
            <w:vAlign w:val="center"/>
          </w:tcPr>
          <w:p w:rsidR="00F53549" w:rsidRPr="00800690" w:rsidRDefault="00F53549" w:rsidP="00DE5CBD">
            <w:pPr>
              <w:rPr>
                <w:noProof/>
              </w:rPr>
            </w:pPr>
            <w:r w:rsidRPr="00800690">
              <w:rPr>
                <w:b/>
                <w:noProof/>
              </w:rPr>
              <w:t>Description de l’exigence</w:t>
            </w:r>
          </w:p>
        </w:tc>
        <w:tc>
          <w:tcPr>
            <w:tcW w:w="1560" w:type="dxa"/>
            <w:vAlign w:val="center"/>
          </w:tcPr>
          <w:p w:rsidR="00F53549" w:rsidRPr="00800690" w:rsidRDefault="00F53549" w:rsidP="00DE5CBD">
            <w:pPr>
              <w:rPr>
                <w:noProof/>
              </w:rPr>
            </w:pPr>
            <w:r w:rsidRPr="00800690">
              <w:rPr>
                <w:b/>
                <w:noProof/>
              </w:rPr>
              <w:t>Utilisation de la technologie numérique</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Données de position des navires (article 12, chapitre IV et appendice 4 de l’annexe du protocole)</w:t>
            </w:r>
          </w:p>
        </w:tc>
        <w:tc>
          <w:tcPr>
            <w:tcW w:w="3865" w:type="dxa"/>
            <w:vAlign w:val="center"/>
          </w:tcPr>
          <w:p w:rsidR="00F53549" w:rsidRPr="00800690" w:rsidRDefault="00F53549" w:rsidP="00DE5CBD">
            <w:pPr>
              <w:rPr>
                <w:noProof/>
              </w:rPr>
            </w:pPr>
            <w:r w:rsidRPr="00800690">
              <w:rPr>
                <w:noProof/>
              </w:rPr>
              <w:t>Le navire doit être équipé d’un dispositif de surveillance du navire et fournir, à intervalle régulier, les informations identifiant le navire, sa position, son cap et sa vitesse (données VMS).</w:t>
            </w:r>
          </w:p>
        </w:tc>
        <w:tc>
          <w:tcPr>
            <w:tcW w:w="1560" w:type="dxa"/>
            <w:vAlign w:val="center"/>
          </w:tcPr>
          <w:p w:rsidR="00F53549" w:rsidRPr="00800690" w:rsidRDefault="00F53549" w:rsidP="00DE5CBD">
            <w:pPr>
              <w:rPr>
                <w:noProof/>
              </w:rPr>
            </w:pPr>
            <w:r w:rsidRPr="00800690">
              <w:rPr>
                <w:noProof/>
              </w:rPr>
              <w:t>VMS</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Journaux de pêche électroniques (chapitre IV et appendice 4 de l’annexe du protocole)</w:t>
            </w:r>
          </w:p>
        </w:tc>
        <w:tc>
          <w:tcPr>
            <w:tcW w:w="3865" w:type="dxa"/>
            <w:vAlign w:val="center"/>
          </w:tcPr>
          <w:p w:rsidR="00F53549" w:rsidRPr="00800690" w:rsidRDefault="00F53549" w:rsidP="00DE5CBD">
            <w:pPr>
              <w:rPr>
                <w:noProof/>
              </w:rPr>
            </w:pPr>
            <w:r w:rsidRPr="00800690">
              <w:rPr>
                <w:noProof/>
              </w:rPr>
              <w:t>Le capitaine doit enregistrer quotidiennement les données de capture dans un journal de pêche électronique intégré à un système d’enregistrement et de communication électronique (ERS).</w:t>
            </w:r>
          </w:p>
        </w:tc>
        <w:tc>
          <w:tcPr>
            <w:tcW w:w="1560" w:type="dxa"/>
            <w:vAlign w:val="center"/>
          </w:tcPr>
          <w:p w:rsidR="00F53549" w:rsidRPr="00800690" w:rsidRDefault="00F53549" w:rsidP="00DE5CBD">
            <w:pPr>
              <w:rPr>
                <w:noProof/>
              </w:rPr>
            </w:pPr>
            <w:r w:rsidRPr="00800690">
              <w:rPr>
                <w:noProof/>
              </w:rPr>
              <w:t>ERS</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Demandes d’autorisation des navires (chapitre I de l’annexe du protocole)</w:t>
            </w:r>
          </w:p>
        </w:tc>
        <w:tc>
          <w:tcPr>
            <w:tcW w:w="3865" w:type="dxa"/>
            <w:vAlign w:val="center"/>
          </w:tcPr>
          <w:p w:rsidR="00F53549" w:rsidRPr="00800690" w:rsidRDefault="00F53549" w:rsidP="00DE5CBD">
            <w:pPr>
              <w:rPr>
                <w:noProof/>
              </w:rPr>
            </w:pPr>
            <w:r w:rsidRPr="00800690">
              <w:rPr>
                <w:noProof/>
              </w:rPr>
              <w:t>Une base de données des autorisations est utilisée pour demander l’autorisation de pêche au pays partenaire.</w:t>
            </w:r>
          </w:p>
        </w:tc>
        <w:tc>
          <w:tcPr>
            <w:tcW w:w="1560" w:type="dxa"/>
            <w:vAlign w:val="center"/>
          </w:tcPr>
          <w:p w:rsidR="00F53549" w:rsidRPr="00800690" w:rsidRDefault="00F53549" w:rsidP="00DE5CBD">
            <w:pPr>
              <w:rPr>
                <w:noProof/>
              </w:rPr>
            </w:pPr>
            <w:r w:rsidRPr="00800690">
              <w:rPr>
                <w:noProof/>
              </w:rPr>
              <w:t>LICENSE</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Transmission quotidienne des données (chapitre IV et appendice 4 de l’annexe du protocole)</w:t>
            </w:r>
          </w:p>
        </w:tc>
        <w:tc>
          <w:tcPr>
            <w:tcW w:w="3865" w:type="dxa"/>
            <w:vAlign w:val="center"/>
          </w:tcPr>
          <w:p w:rsidR="00F53549" w:rsidRPr="00800690" w:rsidRDefault="00F53549" w:rsidP="00DE5CBD">
            <w:pPr>
              <w:rPr>
                <w:noProof/>
              </w:rPr>
            </w:pPr>
            <w:r w:rsidRPr="00800690">
              <w:rPr>
                <w:noProof/>
              </w:rPr>
              <w:t>Les données du journal de pêche électronique sont transmises automatiquement et quotidiennement au centre de surveillance des pêches (CSP) de l’État du pavillon.</w:t>
            </w:r>
          </w:p>
        </w:tc>
        <w:tc>
          <w:tcPr>
            <w:tcW w:w="1560" w:type="dxa"/>
            <w:vAlign w:val="center"/>
          </w:tcPr>
          <w:p w:rsidR="00F53549" w:rsidRPr="00800690" w:rsidRDefault="00F53549" w:rsidP="00DE5CBD">
            <w:pPr>
              <w:rPr>
                <w:noProof/>
              </w:rPr>
            </w:pPr>
            <w:r w:rsidRPr="00800690">
              <w:rPr>
                <w:noProof/>
              </w:rPr>
              <w:t>ERS</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Entrées et sorties de la zone de pêche, notifications préalables et déclarations de débarquement et transbordement (chapitre IV et appendice 4 de l’annexe du protocole)</w:t>
            </w:r>
          </w:p>
        </w:tc>
        <w:tc>
          <w:tcPr>
            <w:tcW w:w="3865" w:type="dxa"/>
            <w:vAlign w:val="center"/>
          </w:tcPr>
          <w:p w:rsidR="00F53549" w:rsidRPr="00800690" w:rsidRDefault="00F53549" w:rsidP="00DE5CBD">
            <w:pPr>
              <w:rPr>
                <w:noProof/>
              </w:rPr>
            </w:pPr>
            <w:r w:rsidRPr="00800690">
              <w:rPr>
                <w:noProof/>
              </w:rPr>
              <w:t>Enregistrement et transmission de chaque entrée et sortie de la zone de pêche via l'ERS ou d'autres moyens de communication électroniques.</w:t>
            </w:r>
          </w:p>
        </w:tc>
        <w:tc>
          <w:tcPr>
            <w:tcW w:w="1560" w:type="dxa"/>
            <w:vAlign w:val="center"/>
          </w:tcPr>
          <w:p w:rsidR="00F53549" w:rsidRPr="00800690" w:rsidRDefault="00F53549" w:rsidP="00DE5CBD">
            <w:pPr>
              <w:rPr>
                <w:noProof/>
              </w:rPr>
            </w:pPr>
            <w:r w:rsidRPr="00800690">
              <w:rPr>
                <w:noProof/>
              </w:rPr>
              <w:t>ERS</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Données agrégées trimestrielles (chapitre III de l’annexe du protocole)</w:t>
            </w:r>
          </w:p>
        </w:tc>
        <w:tc>
          <w:tcPr>
            <w:tcW w:w="3865" w:type="dxa"/>
            <w:vAlign w:val="center"/>
          </w:tcPr>
          <w:p w:rsidR="00F53549" w:rsidRPr="00800690" w:rsidRDefault="00F53549" w:rsidP="00DE5CBD">
            <w:pPr>
              <w:rPr>
                <w:noProof/>
              </w:rPr>
            </w:pPr>
            <w:r w:rsidRPr="00800690">
              <w:rPr>
                <w:noProof/>
              </w:rPr>
              <w:t>L'État du pavillon fournit trimestriellement les quantités agrégées des captures et rejets à la Commission européenne.</w:t>
            </w:r>
          </w:p>
        </w:tc>
        <w:tc>
          <w:tcPr>
            <w:tcW w:w="1560" w:type="dxa"/>
            <w:vAlign w:val="center"/>
          </w:tcPr>
          <w:p w:rsidR="00F53549" w:rsidRPr="00800690" w:rsidRDefault="00F53549" w:rsidP="00DE5CBD">
            <w:pPr>
              <w:rPr>
                <w:noProof/>
              </w:rPr>
            </w:pPr>
            <w:r w:rsidRPr="00800690">
              <w:rPr>
                <w:noProof/>
              </w:rPr>
              <w:t>ECR</w:t>
            </w:r>
          </w:p>
        </w:tc>
      </w:tr>
      <w:tr w:rsidR="00F53549" w:rsidRPr="00800690" w:rsidTr="00F53549">
        <w:trPr>
          <w:jc w:val="center"/>
        </w:trPr>
        <w:tc>
          <w:tcPr>
            <w:tcW w:w="3697" w:type="dxa"/>
            <w:vAlign w:val="center"/>
          </w:tcPr>
          <w:p w:rsidR="00F53549" w:rsidRPr="00800690" w:rsidRDefault="003471FA" w:rsidP="00DE5CBD">
            <w:pPr>
              <w:rPr>
                <w:noProof/>
              </w:rPr>
            </w:pPr>
            <w:r w:rsidRPr="00800690">
              <w:rPr>
                <w:noProof/>
              </w:rPr>
              <w:t>Protection des données (article 11 et appendice 7 de l’annexe du protocole)</w:t>
            </w:r>
          </w:p>
        </w:tc>
        <w:tc>
          <w:tcPr>
            <w:tcW w:w="3865" w:type="dxa"/>
            <w:vAlign w:val="center"/>
          </w:tcPr>
          <w:p w:rsidR="00F53549" w:rsidRPr="00800690" w:rsidRDefault="00F53549" w:rsidP="00DE5CBD">
            <w:pPr>
              <w:rPr>
                <w:noProof/>
              </w:rPr>
            </w:pPr>
            <w:r w:rsidRPr="00800690">
              <w:rPr>
                <w:noProof/>
              </w:rPr>
              <w:t>Les données relatives aux activités de pêche sont traitées de manière confidentielle et sécurisée.</w:t>
            </w:r>
          </w:p>
        </w:tc>
        <w:tc>
          <w:tcPr>
            <w:tcW w:w="1560" w:type="dxa"/>
            <w:vAlign w:val="center"/>
          </w:tcPr>
          <w:p w:rsidR="00F53549" w:rsidRPr="00800690" w:rsidRDefault="00F53549" w:rsidP="00DE5CBD">
            <w:pPr>
              <w:rPr>
                <w:noProof/>
              </w:rPr>
            </w:pPr>
            <w:r w:rsidRPr="00800690">
              <w:rPr>
                <w:noProof/>
              </w:rPr>
              <w:t xml:space="preserve"> </w:t>
            </w:r>
          </w:p>
        </w:tc>
      </w:tr>
    </w:tbl>
    <w:bookmarkEnd w:id="197"/>
    <w:p w:rsidR="000531EB" w:rsidRPr="00800690" w:rsidRDefault="000531EB" w:rsidP="00E923B5">
      <w:pPr>
        <w:pStyle w:val="ManualHeading2"/>
        <w:rPr>
          <w:noProof/>
        </w:rPr>
      </w:pPr>
      <w:r w:rsidRPr="00800690">
        <w:rPr>
          <w:noProof/>
        </w:rPr>
        <w:t>4.2.</w:t>
      </w:r>
      <w:r w:rsidRPr="00800690">
        <w:rPr>
          <w:noProof/>
        </w:rPr>
        <w:tab/>
        <w:t>Données</w:t>
      </w:r>
      <w:bookmarkEnd w:id="198"/>
      <w:bookmarkEnd w:id="199"/>
    </w:p>
    <w:tbl>
      <w:tblPr>
        <w:tblStyle w:val="TableGrid"/>
        <w:tblW w:w="0" w:type="auto"/>
        <w:tblLook w:val="04A0" w:firstRow="1" w:lastRow="0" w:firstColumn="1" w:lastColumn="0" w:noHBand="0" w:noVBand="1"/>
      </w:tblPr>
      <w:tblGrid>
        <w:gridCol w:w="9063"/>
      </w:tblGrid>
      <w:tr w:rsidR="000531EB" w:rsidRPr="00800690" w:rsidTr="00425340">
        <w:tc>
          <w:tcPr>
            <w:tcW w:w="9063" w:type="dxa"/>
          </w:tcPr>
          <w:p w:rsidR="00F53549" w:rsidRPr="00800690" w:rsidRDefault="00F53549" w:rsidP="00F53549">
            <w:pPr>
              <w:pStyle w:val="Text1"/>
              <w:ind w:left="142"/>
              <w:rPr>
                <w:noProof/>
              </w:rPr>
            </w:pPr>
            <w:r w:rsidRPr="00800690">
              <w:rPr>
                <w:b/>
                <w:noProof/>
              </w:rPr>
              <w:t>Alignement sur la stratégie européenne pour les données</w:t>
            </w:r>
          </w:p>
          <w:p w:rsidR="00F53549" w:rsidRPr="00800690" w:rsidRDefault="00F53549" w:rsidP="00F53549">
            <w:pPr>
              <w:pStyle w:val="Text1"/>
              <w:ind w:left="142"/>
              <w:rPr>
                <w:noProof/>
              </w:rPr>
            </w:pPr>
            <w:r w:rsidRPr="00800690">
              <w:rPr>
                <w:i/>
                <w:noProof/>
              </w:rPr>
              <w:t>Expliquer comment l’exigence ou les exigences sont alignées sur la stratégie européenne pour les données</w:t>
            </w:r>
          </w:p>
          <w:p w:rsidR="00F53549" w:rsidRPr="00800690" w:rsidRDefault="00F53549" w:rsidP="00F53549">
            <w:pPr>
              <w:pStyle w:val="Text1"/>
              <w:ind w:left="142"/>
              <w:rPr>
                <w:noProof/>
              </w:rPr>
            </w:pPr>
            <w:r w:rsidRPr="00800690">
              <w:rPr>
                <w:noProof/>
              </w:rPr>
              <w:t>Les principales exigences en matière de rapports reposent sur la technologie numérique, en particulier au moyen du système de surveillance des navires (VMS, qui transmet les positions d’un navire et son identification) et la transmission automatique quotidienne des journaux de pêche électroniques (l'ERS, qui transmet ses captures identifiées, localisées et quantifiées). Les rapports trimestriels et annuels de captures agrégées utilisent une base de données numérique implicite pour l'agrégation de données (base ECR) alimentée par les États membres du pavillon. Protection et confidentialité des données:</w:t>
            </w:r>
          </w:p>
          <w:p w:rsidR="00F53549" w:rsidRPr="00800690" w:rsidRDefault="00F53549" w:rsidP="00F53549">
            <w:pPr>
              <w:pStyle w:val="Text1"/>
              <w:ind w:left="142"/>
              <w:rPr>
                <w:noProof/>
              </w:rPr>
            </w:pPr>
            <w:r w:rsidRPr="00800690">
              <w:rPr>
                <w:noProof/>
              </w:rPr>
              <w:t>• L'accord souligne l'importance de protéger les données personnelles. Les mesures spécifiées garantissent que les données partagées pour les activités de pêche sont traitées en toute sécurité, en conformité avec les exigences du RGPD et dans le droit fil de l'objectif de la stratégie visant à créer une économie numérique sécurisée et compétitive.</w:t>
            </w:r>
          </w:p>
          <w:p w:rsidR="00F53549" w:rsidRPr="00800690" w:rsidRDefault="00F53549" w:rsidP="00F53549">
            <w:pPr>
              <w:pStyle w:val="Text1"/>
              <w:ind w:left="142"/>
              <w:rPr>
                <w:noProof/>
              </w:rPr>
            </w:pPr>
            <w:r w:rsidRPr="00800690">
              <w:rPr>
                <w:noProof/>
              </w:rPr>
              <w:t>Partage et transparence des données:</w:t>
            </w:r>
          </w:p>
          <w:p w:rsidR="00F53549" w:rsidRPr="00800690" w:rsidRDefault="00F53549" w:rsidP="00F53549">
            <w:pPr>
              <w:pStyle w:val="Text1"/>
              <w:ind w:left="142"/>
              <w:rPr>
                <w:noProof/>
              </w:rPr>
            </w:pPr>
            <w:r w:rsidRPr="00800690">
              <w:rPr>
                <w:noProof/>
              </w:rPr>
              <w:t>L’accord encourage le partage de données entre les Seychelles et l’Union, favorisant ainsi la transparence et la responsabilité des activités de pêche. Cela reflète l'objectif de la stratégie européenne pour les données, qui consiste à améliorer l'accès et l'utilisation des données, facilitant ainsi une prise de décision et une gestion des ressources plus optimales.</w:t>
            </w:r>
          </w:p>
          <w:p w:rsidR="00F53549" w:rsidRPr="00800690" w:rsidRDefault="00F53549" w:rsidP="00F53549">
            <w:pPr>
              <w:pStyle w:val="Text1"/>
              <w:ind w:left="142"/>
              <w:rPr>
                <w:noProof/>
              </w:rPr>
            </w:pPr>
            <w:r w:rsidRPr="00800690">
              <w:rPr>
                <w:b/>
                <w:noProof/>
              </w:rPr>
              <w:t>Alignement sur le principe «une fois pour toutes»</w:t>
            </w:r>
          </w:p>
          <w:p w:rsidR="00F53549" w:rsidRPr="00800690" w:rsidRDefault="00F53549" w:rsidP="00F53549">
            <w:pPr>
              <w:pStyle w:val="Text1"/>
              <w:ind w:left="142"/>
              <w:rPr>
                <w:noProof/>
              </w:rPr>
            </w:pPr>
            <w:r w:rsidRPr="00800690">
              <w:rPr>
                <w:i/>
                <w:noProof/>
              </w:rPr>
              <w:t>Expliquer comment le principe «une fois pour toutes» a été pris en considération et de quelle manière la possibilité de réutiliser des données existantes a été étudiée</w:t>
            </w:r>
          </w:p>
          <w:p w:rsidR="00F53549" w:rsidRPr="00800690" w:rsidRDefault="00F53549" w:rsidP="00F53549">
            <w:pPr>
              <w:pStyle w:val="Text1"/>
              <w:ind w:left="142"/>
              <w:rPr>
                <w:noProof/>
              </w:rPr>
            </w:pPr>
            <w:r w:rsidRPr="00800690">
              <w:rPr>
                <w:noProof/>
              </w:rPr>
              <w:t>Considération du principe «une fois pour toutes» (Only once)</w:t>
            </w:r>
          </w:p>
          <w:p w:rsidR="00F53549" w:rsidRPr="00800690" w:rsidRDefault="00F53549" w:rsidP="00F53549">
            <w:pPr>
              <w:pStyle w:val="Text1"/>
              <w:ind w:left="142"/>
              <w:rPr>
                <w:noProof/>
              </w:rPr>
            </w:pPr>
            <w:r w:rsidRPr="00800690">
              <w:rPr>
                <w:noProof/>
              </w:rPr>
              <w:t>• Le principe «une fois pour toutes» n’est pas mentionné, toutefois les informations fournies par les exploitants aux administrations publiques ne le sont qu’une fois, en application du principe de responsabilité de l’État du pavillon: celui-ci recueille les données provenant des navires et les conserve dans les bases de données VMS et ERS, exploitables pour diverses parties, réduit au minimum la redondance et les charges administratives, en rendant possible l’utilisation des mêmes données pour répondre à plusieurs exigences en matière de rapports auprès de différentes autorités.</w:t>
            </w:r>
          </w:p>
          <w:p w:rsidR="00F53549" w:rsidRPr="00800690" w:rsidRDefault="00F53549" w:rsidP="00F53549">
            <w:pPr>
              <w:pStyle w:val="Text1"/>
              <w:ind w:left="142"/>
              <w:rPr>
                <w:noProof/>
              </w:rPr>
            </w:pPr>
            <w:r w:rsidRPr="00800690">
              <w:rPr>
                <w:i/>
                <w:noProof/>
              </w:rPr>
              <w:t>Expliquer comment les données nouvellement créées sont faciles à trouver, accessibles, interopérables et réutilisables, et répondent à des normes de qualité élevée</w:t>
            </w:r>
          </w:p>
          <w:p w:rsidR="00F53549" w:rsidRPr="00800690" w:rsidRDefault="00F53549" w:rsidP="00F53549">
            <w:pPr>
              <w:pStyle w:val="Text1"/>
              <w:ind w:left="142"/>
              <w:rPr>
                <w:noProof/>
              </w:rPr>
            </w:pPr>
            <w:r w:rsidRPr="00800690">
              <w:rPr>
                <w:noProof/>
              </w:rPr>
              <w:t>Principes FAIR: Faciles à trouver, Accessibles, Interopérables et Réutilisables. Faciles à trouver:</w:t>
            </w:r>
          </w:p>
          <w:p w:rsidR="00F53549" w:rsidRPr="00800690" w:rsidRDefault="00F53549" w:rsidP="00F53549">
            <w:pPr>
              <w:pStyle w:val="Text1"/>
              <w:ind w:left="142"/>
              <w:rPr>
                <w:noProof/>
              </w:rPr>
            </w:pPr>
            <w:r w:rsidRPr="00800690">
              <w:rPr>
                <w:noProof/>
              </w:rPr>
              <w:t>• La mise en place de systèmes de rapports électroniques garantit que les données sont systématiquement cataloguées et consultables, ce qui contribue à rendre les données faciles à trouver. Des systèmes automatisés comme l'ERS permettent un archivage structuré des données, ce qui est conforme avec la facilité de recherche prévue par les principes FAIR. Accessibilité: • Les données doivent être accessibles aux entités autorisées via des plateformes numériques sécurisées, permettant un partage en temps réel et réduisant au minimum les obstacles inutiles. Cette accessibilité contrôlée garantit que les bons acteurs ont accès à l'information si nécessaire, conformément aux principes FAIR. Interopérabilité: • L'utilisation du format FLUX/ONU pour l'échange de données améliore l’interopérabilité. Cette normalisation permet à différents systèmes de partager et d'utiliser les données de manière fluide, répondant à l'un des objectifs centraux des principes FAIR. Réutilisabilité:</w:t>
            </w:r>
          </w:p>
          <w:p w:rsidR="00F53549" w:rsidRPr="00800690" w:rsidRDefault="00F53549" w:rsidP="00F53549">
            <w:pPr>
              <w:pStyle w:val="Text1"/>
              <w:ind w:left="142"/>
              <w:rPr>
                <w:noProof/>
              </w:rPr>
            </w:pPr>
            <w:r w:rsidRPr="00800690">
              <w:rPr>
                <w:noProof/>
              </w:rPr>
              <w:t>• Grâce à la spécification de normes de qualité et d’une gestion sécurisée des données dans le protocole, les données sont plus susceptibles d'être de haute qualité et donc réutilisables pour différents objectifs tels que la recherche scientifique, l'élaboration des politiques et la gestion des pêcheries. Assurer une haute qualité des données et une conformité avec les normes internationales favorise leur réutilisation dans divers contextes, respectant ainsi l'aspect de réutilisabilité des principes FAIR.</w:t>
            </w:r>
          </w:p>
          <w:p w:rsidR="000531EB" w:rsidRPr="00800690" w:rsidRDefault="00680099" w:rsidP="00680099">
            <w:pPr>
              <w:rPr>
                <w:noProof/>
                <w:color w:val="0000FF"/>
              </w:rPr>
            </w:pPr>
            <w:r w:rsidRPr="00800690">
              <w:rPr>
                <w:noProof/>
              </w:rPr>
              <w:t xml:space="preserve"> • En résumé, les exigences du protocole sont alignées sur la stratégie européenne pour les données grâce à une protection des données renforcée, un partage accru et la mise en œuvre de systèmes numériques. Elles prennent en considération le principe «une fois pour toutes» en réduisant les transmissions redondantes de données et s'alignent sur les principes FAIR pour garantir que les données soient bien gérées pour toute une série de fins diverses.</w:t>
            </w:r>
          </w:p>
        </w:tc>
      </w:tr>
    </w:tbl>
    <w:p w:rsidR="000531EB" w:rsidRPr="00800690" w:rsidRDefault="000531EB" w:rsidP="00E923B5">
      <w:pPr>
        <w:pStyle w:val="ManualHeading2"/>
        <w:rPr>
          <w:noProof/>
        </w:rPr>
      </w:pPr>
      <w:bookmarkStart w:id="200" w:name="_Toc167220305"/>
      <w:bookmarkStart w:id="201" w:name="_Toc177549039"/>
      <w:r w:rsidRPr="00800690">
        <w:rPr>
          <w:noProof/>
        </w:rPr>
        <w:t>4.3.</w:t>
      </w:r>
      <w:r w:rsidRPr="00800690">
        <w:rPr>
          <w:noProof/>
        </w:rPr>
        <w:tab/>
        <w:t>Solutions numériques</w:t>
      </w:r>
      <w:bookmarkEnd w:id="200"/>
      <w:bookmarkEnd w:id="201"/>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0531EB" w:rsidRPr="00800690" w:rsidTr="00425340">
        <w:tc>
          <w:tcPr>
            <w:tcW w:w="9067" w:type="dxa"/>
          </w:tcPr>
          <w:p w:rsidR="000531EB" w:rsidRPr="00800690" w:rsidRDefault="00680099" w:rsidP="00680099">
            <w:pPr>
              <w:rPr>
                <w:noProof/>
              </w:rPr>
            </w:pPr>
            <w:r w:rsidRPr="00800690">
              <w:rPr>
                <w:noProof/>
              </w:rPr>
              <w:t>Les principales solutions numériques utilisées sont les systèmes VMS, ERS, LICENCE et ECR, qui sont des solutions numériques existantes pour le contrôle des pêches mises en place par la Commission européenne et utilisées par les États membres du pavillon. • Les données identifiées au point 4.1 sont généralement échangées par l’intermédiaire de ces solutions numériques entre un navire (exploitant de l’Union) et son État du pavillon, puis entre l’Union et le pays partenaire (notamment entre les centres de surveillance des pêches, qui sont des organismes étatiques de contrôle). • Les données agrégées sont issues des déclarations des exploitants à l’État membre du pavillon, qui les retraite et alimente une base de données de la Commission européenne (Effort and Catch reporting, ECR). • Les demandes d’autorisations de pêche envoyées au pays partenaire mobilisent des données d’une base de données Fleet (registre de pêche de l’UE) et d’une base de données LICENCE, ces données étant ensuite transmises par la Commission européenne au pays partenaire. Quelles mesures sont en place pour protéger les données transmises numériquement? Le protocole précise la nécessité d’un traitement sécurisé et confidentiel des données (article 11 et appendice 7). Existe-t-il un plan pour faire face aux défaillances des systèmes numériques? Oui, des dispositions sont prévues en ce qui concerne les méthodes de communication de remplacement en cas de défaillance du système pour assurer la continuité de la communication d’informations (annexe, chapitre IV).</w:t>
            </w:r>
          </w:p>
        </w:tc>
      </w:tr>
    </w:tbl>
    <w:p w:rsidR="000531EB" w:rsidRPr="00800690" w:rsidRDefault="000531EB" w:rsidP="00E923B5">
      <w:pPr>
        <w:pStyle w:val="ManualHeading2"/>
        <w:rPr>
          <w:rStyle w:val="Emphasis"/>
          <w:b w:val="0"/>
          <w:bCs/>
          <w:i w:val="0"/>
          <w:iCs w:val="0"/>
          <w:noProof/>
        </w:rPr>
      </w:pPr>
      <w:bookmarkStart w:id="202" w:name="_Toc167220304"/>
      <w:bookmarkStart w:id="203" w:name="_Toc177549040"/>
      <w:r w:rsidRPr="00800690">
        <w:rPr>
          <w:rStyle w:val="Emphasis"/>
          <w:noProof/>
        </w:rPr>
        <w:t>4.4.</w:t>
      </w:r>
      <w:r w:rsidRPr="00800690">
        <w:rPr>
          <w:noProof/>
        </w:rPr>
        <w:tab/>
      </w:r>
      <w:r w:rsidRPr="00800690">
        <w:rPr>
          <w:rStyle w:val="Emphasis"/>
          <w:noProof/>
        </w:rPr>
        <w:t>Évaluation de l’interopérabilité</w:t>
      </w:r>
      <w:bookmarkEnd w:id="202"/>
      <w:bookmarkEnd w:id="203"/>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0531EB" w:rsidRPr="00800690" w:rsidTr="00425340">
        <w:trPr>
          <w:trHeight w:val="300"/>
        </w:trPr>
        <w:tc>
          <w:tcPr>
            <w:tcW w:w="9067" w:type="dxa"/>
          </w:tcPr>
          <w:p w:rsidR="000531EB" w:rsidRPr="00800690" w:rsidRDefault="00680099" w:rsidP="00680099">
            <w:pPr>
              <w:rPr>
                <w:i/>
                <w:iCs/>
                <w:noProof/>
                <w:color w:val="215868" w:themeColor="accent5" w:themeShade="80"/>
              </w:rPr>
            </w:pPr>
            <w:r w:rsidRPr="00800690">
              <w:rPr>
                <w:noProof/>
              </w:rPr>
              <w:t>L'utilisation du format FLUX/ONU pour l'échange de données améliore l’interopérabilité. Cette normalisation permet à différents systèmes de partager et d'utiliser les données de manière fluide.</w:t>
            </w:r>
          </w:p>
        </w:tc>
      </w:tr>
    </w:tbl>
    <w:p w:rsidR="000531EB" w:rsidRPr="00800690" w:rsidRDefault="000531EB" w:rsidP="00E923B5">
      <w:pPr>
        <w:pStyle w:val="ManualHeading2"/>
        <w:rPr>
          <w:noProof/>
        </w:rPr>
      </w:pPr>
      <w:bookmarkStart w:id="204" w:name="_Toc167220306"/>
      <w:bookmarkStart w:id="205" w:name="_Toc177549041"/>
      <w:r w:rsidRPr="00800690">
        <w:rPr>
          <w:noProof/>
        </w:rPr>
        <w:t>4.5.</w:t>
      </w:r>
      <w:r w:rsidRPr="00800690">
        <w:rPr>
          <w:noProof/>
        </w:rPr>
        <w:tab/>
        <w:t>Mesures de soutien de la mise en œuvre numérique</w:t>
      </w:r>
      <w:bookmarkEnd w:id="204"/>
      <w:bookmarkEnd w:id="205"/>
    </w:p>
    <w:p w:rsidR="00680099" w:rsidRPr="00800690" w:rsidRDefault="00680099" w:rsidP="00680099">
      <w:pPr>
        <w:rPr>
          <w:noProof/>
        </w:rPr>
      </w:pPr>
      <w:r w:rsidRPr="00800690">
        <w:rPr>
          <w:noProof/>
        </w:rPr>
        <w:t>Le soutien à la mise en œuvre est fourni par la Commission européenne.</w:t>
      </w:r>
    </w:p>
    <w:p w:rsidR="00680099" w:rsidRPr="00800690" w:rsidRDefault="00680099" w:rsidP="00680099">
      <w:pPr>
        <w:pStyle w:val="Text1"/>
        <w:rPr>
          <w:noProof/>
        </w:rPr>
      </w:pPr>
    </w:p>
    <w:bookmarkEnd w:id="194"/>
    <w:sectPr w:rsidR="00680099" w:rsidRPr="00800690" w:rsidSect="00EC3F4C">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1EB" w:rsidRDefault="000531EB" w:rsidP="000531EB">
      <w:pPr>
        <w:spacing w:before="0" w:after="0"/>
      </w:pPr>
      <w:r>
        <w:separator/>
      </w:r>
    </w:p>
  </w:endnote>
  <w:endnote w:type="continuationSeparator" w:id="0">
    <w:p w:rsidR="000531EB" w:rsidRDefault="000531EB" w:rsidP="000531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Footer"/>
      <w:rPr>
        <w:rFonts w:ascii="Arial" w:hAnsi="Arial" w:cs="Arial"/>
        <w:b/>
        <w:sz w:val="48"/>
      </w:rPr>
    </w:pPr>
    <w:r w:rsidRPr="00EC3F4C">
      <w:rPr>
        <w:rFonts w:ascii="Arial" w:hAnsi="Arial" w:cs="Arial"/>
        <w:b/>
        <w:sz w:val="48"/>
      </w:rPr>
      <w:t>FR</w:t>
    </w:r>
    <w:r w:rsidRPr="00EC3F4C">
      <w:rPr>
        <w:rFonts w:ascii="Arial" w:hAnsi="Arial" w:cs="Arial"/>
        <w:b/>
        <w:sz w:val="48"/>
      </w:rPr>
      <w:tab/>
    </w:r>
    <w:r w:rsidRPr="00EC3F4C">
      <w:rPr>
        <w:rFonts w:ascii="Arial" w:hAnsi="Arial" w:cs="Arial"/>
        <w:b/>
        <w:sz w:val="48"/>
      </w:rPr>
      <w:tab/>
    </w:r>
    <w:r w:rsidRPr="00EC3F4C">
      <w:tab/>
    </w:r>
    <w:r w:rsidRPr="00EC3F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Footer"/>
      <w:rPr>
        <w:rFonts w:ascii="Arial" w:hAnsi="Arial" w:cs="Arial"/>
        <w:b/>
        <w:sz w:val="48"/>
      </w:rPr>
    </w:pPr>
    <w:r w:rsidRPr="00EC3F4C">
      <w:rPr>
        <w:rFonts w:ascii="Arial" w:hAnsi="Arial" w:cs="Arial"/>
        <w:b/>
        <w:sz w:val="48"/>
      </w:rPr>
      <w:t>FR</w:t>
    </w:r>
    <w:r w:rsidRPr="00EC3F4C">
      <w:rPr>
        <w:rFonts w:ascii="Arial" w:hAnsi="Arial" w:cs="Arial"/>
        <w:b/>
        <w:sz w:val="48"/>
      </w:rPr>
      <w:tab/>
    </w:r>
    <w:r w:rsidRPr="00EC3F4C">
      <w:rPr>
        <w:rFonts w:ascii="Arial" w:hAnsi="Arial" w:cs="Arial"/>
        <w:b/>
        <w:sz w:val="48"/>
      </w:rPr>
      <w:tab/>
    </w:r>
    <w:r w:rsidRPr="00EC3F4C">
      <w:tab/>
    </w:r>
    <w:r w:rsidRPr="00EC3F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Default="00EC3F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Footer"/>
      <w:rPr>
        <w:rFonts w:ascii="Arial" w:hAnsi="Arial" w:cs="Arial"/>
        <w:b/>
        <w:sz w:val="48"/>
      </w:rPr>
    </w:pPr>
    <w:r w:rsidRPr="00EC3F4C">
      <w:rPr>
        <w:rFonts w:ascii="Arial" w:hAnsi="Arial" w:cs="Arial"/>
        <w:b/>
        <w:sz w:val="48"/>
      </w:rPr>
      <w:t>FR</w:t>
    </w:r>
    <w:r w:rsidRPr="00EC3F4C">
      <w:rPr>
        <w:rFonts w:ascii="Arial" w:hAnsi="Arial" w:cs="Arial"/>
        <w:b/>
        <w:sz w:val="48"/>
      </w:rPr>
      <w:tab/>
    </w:r>
    <w:r>
      <w:fldChar w:fldCharType="begin"/>
    </w:r>
    <w:r>
      <w:instrText xml:space="preserve"> PAGE  \* MERGEFORMAT </w:instrText>
    </w:r>
    <w:r>
      <w:fldChar w:fldCharType="separate"/>
    </w:r>
    <w:r w:rsidR="00751DDA">
      <w:rPr>
        <w:noProof/>
      </w:rPr>
      <w:t>6</w:t>
    </w:r>
    <w:r>
      <w:fldChar w:fldCharType="end"/>
    </w:r>
    <w:r>
      <w:tab/>
    </w:r>
    <w:r w:rsidRPr="00EC3F4C">
      <w:tab/>
    </w:r>
    <w:r w:rsidRPr="00EC3F4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Default="00EC3F4C" w:rsidP="00EC3F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FooterLandscape"/>
      <w:rPr>
        <w:rFonts w:ascii="Arial" w:hAnsi="Arial" w:cs="Arial"/>
        <w:b/>
        <w:sz w:val="48"/>
      </w:rPr>
    </w:pPr>
    <w:r w:rsidRPr="00EC3F4C">
      <w:rPr>
        <w:rFonts w:ascii="Arial" w:hAnsi="Arial" w:cs="Arial"/>
        <w:b/>
        <w:sz w:val="48"/>
      </w:rPr>
      <w:t>FR</w:t>
    </w:r>
    <w:r w:rsidRPr="00EC3F4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C3F4C">
      <w:tab/>
    </w:r>
    <w:r w:rsidRPr="00EC3F4C">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Footer"/>
      <w:rPr>
        <w:rFonts w:ascii="Arial" w:hAnsi="Arial" w:cs="Arial"/>
        <w:b/>
        <w:sz w:val="48"/>
      </w:rPr>
    </w:pPr>
    <w:r w:rsidRPr="00EC3F4C">
      <w:rPr>
        <w:rFonts w:ascii="Arial" w:hAnsi="Arial" w:cs="Arial"/>
        <w:b/>
        <w:sz w:val="48"/>
      </w:rPr>
      <w:t>FR</w:t>
    </w:r>
    <w:r w:rsidRPr="00EC3F4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C3F4C">
      <w:tab/>
    </w:r>
    <w:r w:rsidRPr="00EC3F4C">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1EB" w:rsidRDefault="000531EB" w:rsidP="000531EB">
      <w:pPr>
        <w:spacing w:before="0" w:after="0"/>
      </w:pPr>
      <w:r>
        <w:separator/>
      </w:r>
    </w:p>
  </w:footnote>
  <w:footnote w:type="continuationSeparator" w:id="0">
    <w:p w:rsidR="000531EB" w:rsidRDefault="000531EB" w:rsidP="000531EB">
      <w:pPr>
        <w:spacing w:before="0" w:after="0"/>
      </w:pPr>
      <w:r>
        <w:continuationSeparator/>
      </w:r>
    </w:p>
  </w:footnote>
  <w:footnote w:id="1">
    <w:p w:rsidR="00DF278F" w:rsidRPr="00DF278F" w:rsidRDefault="00DF278F" w:rsidP="00DF278F">
      <w:pPr>
        <w:pStyle w:val="FootnoteText"/>
      </w:pPr>
      <w:r>
        <w:rPr>
          <w:rStyle w:val="FootnoteReference"/>
        </w:rPr>
        <w:footnoteRef/>
      </w:r>
      <w:r>
        <w:tab/>
      </w:r>
      <w:hyperlink r:id="rId1" w:history="1">
        <w:r>
          <w:rPr>
            <w:rStyle w:val="Hyperlink"/>
          </w:rPr>
          <w:t>EUR-Lex - 22023A0322(01) - FR - EUR-Lex</w:t>
        </w:r>
      </w:hyperlink>
      <w:r>
        <w:t>.</w:t>
      </w:r>
    </w:p>
  </w:footnote>
  <w:footnote w:id="2">
    <w:p w:rsidR="00DF278F" w:rsidRPr="008B6B1E" w:rsidRDefault="00DF278F" w:rsidP="00DF278F">
      <w:pPr>
        <w:pStyle w:val="FootnoteText"/>
      </w:pPr>
      <w:r>
        <w:rPr>
          <w:rStyle w:val="FootnoteReference"/>
        </w:rPr>
        <w:footnoteRef/>
      </w:r>
      <w:r>
        <w:tab/>
      </w:r>
      <w:hyperlink r:id="rId2" w:history="1">
        <w:r>
          <w:rPr>
            <w:rStyle w:val="Hyperlink"/>
          </w:rPr>
          <w:t>Ares(2025)5139411</w:t>
        </w:r>
      </w:hyperlink>
      <w:r>
        <w:t>.</w:t>
      </w:r>
    </w:p>
  </w:footnote>
  <w:footnote w:id="3">
    <w:p w:rsidR="008B6B1E" w:rsidRPr="008B6B1E" w:rsidRDefault="008B6B1E" w:rsidP="008B6B1E">
      <w:pPr>
        <w:pStyle w:val="FootnoteText"/>
      </w:pPr>
      <w:r>
        <w:rPr>
          <w:rStyle w:val="FootnoteReference"/>
        </w:rPr>
        <w:footnoteRef/>
      </w:r>
      <w:r>
        <w:tab/>
      </w:r>
      <w:hyperlink r:id="rId3" w:history="1">
        <w:r>
          <w:rPr>
            <w:rStyle w:val="Hyperlink"/>
          </w:rPr>
          <w:t>eur-lex.europa.eu/legal-content/FR/TXT/PDF/?uri=CELEX:52025SC0136</w:t>
        </w:r>
      </w:hyperlink>
    </w:p>
  </w:footnote>
  <w:footnote w:id="4">
    <w:p w:rsidR="0017342B" w:rsidRPr="00655ED2" w:rsidRDefault="0017342B">
      <w:pPr>
        <w:pStyle w:val="FootnoteText"/>
      </w:pPr>
      <w:r>
        <w:rPr>
          <w:rStyle w:val="FootnoteReference"/>
        </w:rPr>
        <w:footnoteRef/>
      </w:r>
      <w:r>
        <w:tab/>
        <w:t>JO L [2026/…], [xx.xx.2026].</w:t>
      </w:r>
    </w:p>
  </w:footnote>
  <w:footnote w:id="5">
    <w:p w:rsidR="00D313B9" w:rsidRDefault="00D313B9" w:rsidP="00D313B9">
      <w:pPr>
        <w:pStyle w:val="FootnoteText"/>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w:t>
      </w:r>
      <w:r>
        <w:rPr>
          <w:rFonts w:ascii="Roboto" w:hAnsi="Roboto"/>
          <w:color w:val="333333"/>
        </w:rPr>
        <w:t xml:space="preserve"> </w:t>
      </w:r>
      <w:hyperlink r:id="rId4" w:history="1">
        <w:r>
          <w:rPr>
            <w:rStyle w:val="Hyperlink"/>
          </w:rPr>
          <w:t>http://data.europa.eu/eli/reg/2018/1725/o</w:t>
        </w:r>
        <w:r>
          <w:rPr>
            <w:rStyle w:val="Hyperlink"/>
            <w:rFonts w:ascii="Roboto" w:hAnsi="Roboto"/>
          </w:rPr>
          <w:t>j</w:t>
        </w:r>
      </w:hyperlink>
      <w:r>
        <w:t>).</w:t>
      </w:r>
    </w:p>
  </w:footnote>
  <w:footnote w:id="6">
    <w:p w:rsidR="000531EB" w:rsidRDefault="000531EB" w:rsidP="00E923B5">
      <w:pPr>
        <w:pStyle w:val="FootnoteText"/>
      </w:pPr>
      <w:r>
        <w:rPr>
          <w:rStyle w:val="FootnoteReference"/>
        </w:rPr>
        <w:footnoteRef/>
      </w:r>
      <w:r>
        <w:tab/>
        <w:t>Tel(le) que visé(e) à l’article 58, paragraphe 2, point a) ou b), du règlement financier.</w:t>
      </w:r>
    </w:p>
  </w:footnote>
  <w:footnote w:id="7">
    <w:p w:rsidR="000531EB" w:rsidRDefault="000531EB" w:rsidP="00E923B5">
      <w:pPr>
        <w:pStyle w:val="FootnoteText"/>
        <w:rPr>
          <w:szCs w:val="24"/>
        </w:rPr>
      </w:pPr>
      <w:r>
        <w:rPr>
          <w:rStyle w:val="FootnoteReference"/>
        </w:rPr>
        <w:footnoteRef/>
      </w:r>
      <w:r>
        <w:tab/>
        <w:t>CD = crédits dissociés/CND = crédits non dissociés.</w:t>
      </w:r>
    </w:p>
  </w:footnote>
  <w:footnote w:id="8">
    <w:p w:rsidR="000531EB" w:rsidRDefault="000531EB" w:rsidP="00E923B5">
      <w:pPr>
        <w:pStyle w:val="FootnoteText"/>
        <w:rPr>
          <w:szCs w:val="24"/>
        </w:rPr>
      </w:pPr>
      <w:r>
        <w:rPr>
          <w:rStyle w:val="FootnoteReference"/>
        </w:rPr>
        <w:footnoteRef/>
      </w:r>
      <w:r>
        <w:tab/>
        <w:t xml:space="preserve">AELE: Association européenne de libre-échange. </w:t>
      </w:r>
    </w:p>
  </w:footnote>
  <w:footnote w:id="9">
    <w:p w:rsidR="000531EB" w:rsidRDefault="000531EB" w:rsidP="00E923B5">
      <w:pPr>
        <w:pStyle w:val="FootnoteText"/>
        <w:rPr>
          <w:szCs w:val="24"/>
        </w:rPr>
      </w:pPr>
      <w:r>
        <w:rPr>
          <w:rStyle w:val="FootnoteReference"/>
        </w:rPr>
        <w:footnoteRef/>
      </w:r>
      <w:r>
        <w:tab/>
        <w:t>Pays candidats et, le cas échéant, pays candidats potentiels des Balkans occidentaux.</w:t>
      </w:r>
    </w:p>
  </w:footnote>
  <w:footnote w:id="10">
    <w:p w:rsidR="00F21499" w:rsidRDefault="00F21499" w:rsidP="00E923B5">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11">
    <w:p w:rsidR="00F21499" w:rsidRDefault="00F21499" w:rsidP="00E923B5">
      <w:pPr>
        <w:pStyle w:val="FootnoteText"/>
        <w:rPr>
          <w:szCs w:val="24"/>
        </w:rPr>
      </w:pPr>
      <w:r>
        <w:rPr>
          <w:rStyle w:val="FootnoteReference"/>
        </w:rPr>
        <w:footnoteRef/>
      </w:r>
      <w:r>
        <w:tab/>
        <w:t xml:space="preserve">Tel que décrit dans la section 1.3.2. «Objectif(s) spécifique(s)». </w:t>
      </w:r>
    </w:p>
  </w:footnote>
  <w:footnote w:id="12">
    <w:p w:rsidR="000531EB" w:rsidRDefault="000531EB" w:rsidP="00E923B5">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Default="00EC3F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Default="00EC3F4C" w:rsidP="00EC3F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4C" w:rsidRPr="00EC3F4C" w:rsidRDefault="00EC3F4C" w:rsidP="00EC3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9:03: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AB89C57-9D20-4264-960D-502E1E00ED5E"/>
    <w:docVar w:name="LW_COVERPAGE_TYPE" w:val="1"/>
    <w:docVar w:name="LW_CreatedUtc" w:val="2026-04-13T12:06:03.8597503Z"/>
    <w:docVar w:name="LW_CROSSREFERENCE" w:val="&lt;UNUSED&gt;"/>
    <w:docVar w:name="LW_DocType" w:val="COM"/>
    <w:docVar w:name="LW_EMISSION" w:val="12.5.2026"/>
    <w:docVar w:name="LW_EMISSION_ISODATE" w:val="2026-05-12"/>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7"/>
    <w:docVar w:name="LW_REF.II.NEW.CP_YEAR" w:val="2026"/>
    <w:docVar w:name="LW_REF.INST.NEW" w:val="COM"/>
    <w:docVar w:name="LW_REF.INST.NEW_ADOPTED" w:val="final"/>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au nom de l\u8217?Union européenne, du protocole de mise en \u339?uvre de l\u8217?accord de partenariat dans le domaine de la pêche durable entre l\u8217?Union européenne et la République des Seychelles (2026-2030) _x000b_"/>
    <w:docVar w:name="LW_TYPE.DOC.CP" w:val="DÉCISION DU CONSEIL"/>
    <w:docVar w:name="LwApiVersions" w:val="LW4CoDe 1.24.5.0; LW 9.2, Build 20251112"/>
  </w:docVars>
  <w:rsids>
    <w:rsidRoot w:val="000531EB"/>
    <w:rsid w:val="00011AEC"/>
    <w:rsid w:val="0003170F"/>
    <w:rsid w:val="000371DD"/>
    <w:rsid w:val="000528F3"/>
    <w:rsid w:val="000531EB"/>
    <w:rsid w:val="00095D9D"/>
    <w:rsid w:val="000B0042"/>
    <w:rsid w:val="000C3C66"/>
    <w:rsid w:val="000D1E90"/>
    <w:rsid w:val="000D3CB8"/>
    <w:rsid w:val="000E1156"/>
    <w:rsid w:val="000E171A"/>
    <w:rsid w:val="000F0141"/>
    <w:rsid w:val="00102902"/>
    <w:rsid w:val="001065F5"/>
    <w:rsid w:val="0011085A"/>
    <w:rsid w:val="001238EF"/>
    <w:rsid w:val="001254C5"/>
    <w:rsid w:val="001439AE"/>
    <w:rsid w:val="00151178"/>
    <w:rsid w:val="0015362A"/>
    <w:rsid w:val="001732F0"/>
    <w:rsid w:val="0017342B"/>
    <w:rsid w:val="00197613"/>
    <w:rsid w:val="001B4662"/>
    <w:rsid w:val="001C4EF7"/>
    <w:rsid w:val="001C56F9"/>
    <w:rsid w:val="001D612B"/>
    <w:rsid w:val="00213E5F"/>
    <w:rsid w:val="00233DC7"/>
    <w:rsid w:val="00247779"/>
    <w:rsid w:val="002478D1"/>
    <w:rsid w:val="00253D1F"/>
    <w:rsid w:val="002576BC"/>
    <w:rsid w:val="00261232"/>
    <w:rsid w:val="00282631"/>
    <w:rsid w:val="00282C5B"/>
    <w:rsid w:val="00285BEE"/>
    <w:rsid w:val="00286924"/>
    <w:rsid w:val="00290CAD"/>
    <w:rsid w:val="00293B7C"/>
    <w:rsid w:val="00294651"/>
    <w:rsid w:val="0029533F"/>
    <w:rsid w:val="002A0B65"/>
    <w:rsid w:val="002B30AF"/>
    <w:rsid w:val="002B4DE8"/>
    <w:rsid w:val="002C0911"/>
    <w:rsid w:val="002C1849"/>
    <w:rsid w:val="002E676C"/>
    <w:rsid w:val="002E7CEF"/>
    <w:rsid w:val="002F20EB"/>
    <w:rsid w:val="00331323"/>
    <w:rsid w:val="0033344A"/>
    <w:rsid w:val="003471FA"/>
    <w:rsid w:val="003724C5"/>
    <w:rsid w:val="00382649"/>
    <w:rsid w:val="003A7AEE"/>
    <w:rsid w:val="0042648E"/>
    <w:rsid w:val="004419E8"/>
    <w:rsid w:val="004936D2"/>
    <w:rsid w:val="0049497D"/>
    <w:rsid w:val="004B313B"/>
    <w:rsid w:val="004E5F3D"/>
    <w:rsid w:val="004E6FAC"/>
    <w:rsid w:val="004F7B1B"/>
    <w:rsid w:val="00516FAF"/>
    <w:rsid w:val="00517087"/>
    <w:rsid w:val="00564903"/>
    <w:rsid w:val="005756E8"/>
    <w:rsid w:val="00587F15"/>
    <w:rsid w:val="00593C11"/>
    <w:rsid w:val="005B1EB6"/>
    <w:rsid w:val="005B47E3"/>
    <w:rsid w:val="005C1427"/>
    <w:rsid w:val="005D1F90"/>
    <w:rsid w:val="005E45F9"/>
    <w:rsid w:val="005F7BA2"/>
    <w:rsid w:val="006125D3"/>
    <w:rsid w:val="00642844"/>
    <w:rsid w:val="006472D3"/>
    <w:rsid w:val="00653BBE"/>
    <w:rsid w:val="00655ED2"/>
    <w:rsid w:val="00680099"/>
    <w:rsid w:val="006B0F1D"/>
    <w:rsid w:val="006B69DA"/>
    <w:rsid w:val="006D0B6E"/>
    <w:rsid w:val="006F4234"/>
    <w:rsid w:val="00731154"/>
    <w:rsid w:val="00736B38"/>
    <w:rsid w:val="007413C4"/>
    <w:rsid w:val="00751DDA"/>
    <w:rsid w:val="007546A2"/>
    <w:rsid w:val="007575CA"/>
    <w:rsid w:val="007576DA"/>
    <w:rsid w:val="00773331"/>
    <w:rsid w:val="00777831"/>
    <w:rsid w:val="00777DB4"/>
    <w:rsid w:val="007932EF"/>
    <w:rsid w:val="007938D1"/>
    <w:rsid w:val="00797BC4"/>
    <w:rsid w:val="007A1D4C"/>
    <w:rsid w:val="007A6378"/>
    <w:rsid w:val="007B5DFF"/>
    <w:rsid w:val="007E05B0"/>
    <w:rsid w:val="007F5866"/>
    <w:rsid w:val="00800690"/>
    <w:rsid w:val="00804AA9"/>
    <w:rsid w:val="008073E7"/>
    <w:rsid w:val="0082640B"/>
    <w:rsid w:val="00874D22"/>
    <w:rsid w:val="00882B0A"/>
    <w:rsid w:val="0088512F"/>
    <w:rsid w:val="008A2914"/>
    <w:rsid w:val="008A4514"/>
    <w:rsid w:val="008B6B1E"/>
    <w:rsid w:val="008D646F"/>
    <w:rsid w:val="008E4D8E"/>
    <w:rsid w:val="008F179E"/>
    <w:rsid w:val="008F6A33"/>
    <w:rsid w:val="009179DC"/>
    <w:rsid w:val="00944D50"/>
    <w:rsid w:val="00975D45"/>
    <w:rsid w:val="00976030"/>
    <w:rsid w:val="009A085D"/>
    <w:rsid w:val="009B5C20"/>
    <w:rsid w:val="009D71BC"/>
    <w:rsid w:val="00A14EBA"/>
    <w:rsid w:val="00A1661C"/>
    <w:rsid w:val="00A655BD"/>
    <w:rsid w:val="00A837A9"/>
    <w:rsid w:val="00AE3AF8"/>
    <w:rsid w:val="00AE4EAF"/>
    <w:rsid w:val="00B07754"/>
    <w:rsid w:val="00B17B71"/>
    <w:rsid w:val="00B72DBB"/>
    <w:rsid w:val="00BA265C"/>
    <w:rsid w:val="00BB62AE"/>
    <w:rsid w:val="00BC341B"/>
    <w:rsid w:val="00BF0058"/>
    <w:rsid w:val="00C12301"/>
    <w:rsid w:val="00C1675D"/>
    <w:rsid w:val="00C37226"/>
    <w:rsid w:val="00C56CD4"/>
    <w:rsid w:val="00C7121A"/>
    <w:rsid w:val="00C80CDB"/>
    <w:rsid w:val="00C93966"/>
    <w:rsid w:val="00CA0844"/>
    <w:rsid w:val="00CA16A7"/>
    <w:rsid w:val="00CB7E8B"/>
    <w:rsid w:val="00CD1486"/>
    <w:rsid w:val="00D158CE"/>
    <w:rsid w:val="00D20381"/>
    <w:rsid w:val="00D22DB1"/>
    <w:rsid w:val="00D313B9"/>
    <w:rsid w:val="00D547B8"/>
    <w:rsid w:val="00D95181"/>
    <w:rsid w:val="00DF0BFC"/>
    <w:rsid w:val="00DF278F"/>
    <w:rsid w:val="00DF6880"/>
    <w:rsid w:val="00E02783"/>
    <w:rsid w:val="00E261A5"/>
    <w:rsid w:val="00E3784A"/>
    <w:rsid w:val="00E43AC3"/>
    <w:rsid w:val="00E649D3"/>
    <w:rsid w:val="00E664ED"/>
    <w:rsid w:val="00E81022"/>
    <w:rsid w:val="00E90304"/>
    <w:rsid w:val="00E92DB6"/>
    <w:rsid w:val="00EC3F4C"/>
    <w:rsid w:val="00EC686E"/>
    <w:rsid w:val="00EC6890"/>
    <w:rsid w:val="00F07471"/>
    <w:rsid w:val="00F13DD2"/>
    <w:rsid w:val="00F21499"/>
    <w:rsid w:val="00F25DCD"/>
    <w:rsid w:val="00F53549"/>
    <w:rsid w:val="00F5519C"/>
    <w:rsid w:val="00F73004"/>
    <w:rsid w:val="00F77188"/>
    <w:rsid w:val="00F876A0"/>
    <w:rsid w:val="00FB1EF7"/>
    <w:rsid w:val="00FB43BB"/>
    <w:rsid w:val="00FC38F8"/>
    <w:rsid w:val="00FC762C"/>
    <w:rsid w:val="00FD3A0B"/>
    <w:rsid w:val="00FD7146"/>
    <w:rsid w:val="00FF4C8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5:docId w15:val="{8F378672-2B68-456C-B2D5-50F269BB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0531EB"/>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0531EB"/>
    <w:pPr>
      <w:numPr>
        <w:numId w:val="6"/>
      </w:numPr>
      <w:tabs>
        <w:tab w:val="clear" w:pos="709"/>
      </w:tabs>
      <w:ind w:left="0" w:firstLine="0"/>
    </w:pPr>
    <w:rPr>
      <w:rFonts w:eastAsia="Times New Roman"/>
      <w:lang w:eastAsia="de-DE"/>
    </w:rPr>
  </w:style>
  <w:style w:type="paragraph" w:customStyle="1" w:styleId="ListBullet1">
    <w:name w:val="List Bullet 1"/>
    <w:basedOn w:val="Normal"/>
    <w:rsid w:val="000531EB"/>
    <w:pPr>
      <w:numPr>
        <w:numId w:val="1"/>
      </w:numPr>
      <w:tabs>
        <w:tab w:val="clear" w:pos="1134"/>
      </w:tabs>
      <w:ind w:left="0" w:firstLine="0"/>
    </w:pPr>
    <w:rPr>
      <w:rFonts w:eastAsia="Times New Roman"/>
      <w:lang w:eastAsia="de-DE"/>
    </w:rPr>
  </w:style>
  <w:style w:type="paragraph" w:customStyle="1" w:styleId="ListDash">
    <w:name w:val="List Dash"/>
    <w:basedOn w:val="Normal"/>
    <w:rsid w:val="000531EB"/>
    <w:pPr>
      <w:numPr>
        <w:numId w:val="3"/>
      </w:numPr>
      <w:tabs>
        <w:tab w:val="clear" w:pos="283"/>
      </w:tabs>
      <w:ind w:left="0" w:firstLine="0"/>
    </w:pPr>
    <w:rPr>
      <w:rFonts w:eastAsia="Times New Roman"/>
      <w:lang w:eastAsia="de-DE"/>
    </w:rPr>
  </w:style>
  <w:style w:type="paragraph" w:customStyle="1" w:styleId="ListDash1">
    <w:name w:val="List Dash 1"/>
    <w:basedOn w:val="Normal"/>
    <w:rsid w:val="000531EB"/>
    <w:pPr>
      <w:numPr>
        <w:numId w:val="4"/>
      </w:numPr>
      <w:tabs>
        <w:tab w:val="clear" w:pos="1134"/>
      </w:tabs>
      <w:ind w:left="0" w:firstLine="0"/>
    </w:pPr>
    <w:rPr>
      <w:rFonts w:eastAsia="Times New Roman"/>
      <w:lang w:eastAsia="de-DE"/>
    </w:rPr>
  </w:style>
  <w:style w:type="paragraph" w:customStyle="1" w:styleId="ListDash2">
    <w:name w:val="List Dash 2"/>
    <w:basedOn w:val="Normal"/>
    <w:rsid w:val="000531EB"/>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0531EB"/>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0531EB"/>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0531EB"/>
    <w:pPr>
      <w:numPr>
        <w:ilvl w:val="3"/>
        <w:numId w:val="6"/>
      </w:numPr>
      <w:tabs>
        <w:tab w:val="clear" w:pos="2835"/>
      </w:tabs>
      <w:ind w:left="0" w:firstLine="0"/>
    </w:pPr>
    <w:rPr>
      <w:rFonts w:eastAsia="Times New Roman"/>
      <w:lang w:eastAsia="de-DE"/>
    </w:rPr>
  </w:style>
  <w:style w:type="table" w:styleId="TableGrid">
    <w:name w:val="Table Grid"/>
    <w:basedOn w:val="TableNormal"/>
    <w:rsid w:val="000531E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531EB"/>
    <w:rPr>
      <w:color w:val="0000FF"/>
      <w:u w:val="single"/>
    </w:rPr>
  </w:style>
  <w:style w:type="paragraph" w:styleId="ListBullet">
    <w:name w:val="List Bullet"/>
    <w:basedOn w:val="Normal"/>
    <w:rsid w:val="000531EB"/>
    <w:pPr>
      <w:numPr>
        <w:numId w:val="7"/>
      </w:numPr>
      <w:tabs>
        <w:tab w:val="clear" w:pos="283"/>
      </w:tabs>
      <w:ind w:left="0" w:firstLine="0"/>
    </w:pPr>
    <w:rPr>
      <w:rFonts w:eastAsia="Times New Roman"/>
      <w:lang w:eastAsia="en-GB"/>
    </w:rPr>
  </w:style>
  <w:style w:type="paragraph" w:styleId="ListBullet2">
    <w:name w:val="List Bullet 2"/>
    <w:basedOn w:val="Normal"/>
    <w:rsid w:val="000531EB"/>
    <w:pPr>
      <w:numPr>
        <w:numId w:val="8"/>
      </w:numPr>
      <w:tabs>
        <w:tab w:val="clear" w:pos="1134"/>
      </w:tabs>
      <w:ind w:left="0" w:firstLine="0"/>
    </w:pPr>
    <w:rPr>
      <w:rFonts w:eastAsia="Times New Roman"/>
      <w:lang w:eastAsia="en-GB"/>
    </w:rPr>
  </w:style>
  <w:style w:type="paragraph" w:styleId="ListBullet3">
    <w:name w:val="List Bullet 3"/>
    <w:basedOn w:val="Normal"/>
    <w:rsid w:val="000531EB"/>
    <w:pPr>
      <w:numPr>
        <w:numId w:val="9"/>
      </w:numPr>
      <w:tabs>
        <w:tab w:val="clear" w:pos="1134"/>
      </w:tabs>
      <w:ind w:left="0" w:firstLine="0"/>
    </w:pPr>
    <w:rPr>
      <w:rFonts w:eastAsia="Times New Roman"/>
      <w:lang w:eastAsia="en-GB"/>
    </w:rPr>
  </w:style>
  <w:style w:type="paragraph" w:styleId="ListNumber2">
    <w:name w:val="List Number 2"/>
    <w:basedOn w:val="Normal"/>
    <w:rsid w:val="000531EB"/>
    <w:pPr>
      <w:numPr>
        <w:numId w:val="13"/>
      </w:numPr>
      <w:tabs>
        <w:tab w:val="clear" w:pos="1560"/>
      </w:tabs>
      <w:ind w:left="0" w:firstLine="0"/>
    </w:pPr>
    <w:rPr>
      <w:rFonts w:eastAsia="Times New Roman"/>
      <w:lang w:eastAsia="en-GB"/>
    </w:rPr>
  </w:style>
  <w:style w:type="paragraph" w:styleId="ListNumber3">
    <w:name w:val="List Number 3"/>
    <w:basedOn w:val="Normal"/>
    <w:rsid w:val="000531EB"/>
    <w:pPr>
      <w:numPr>
        <w:numId w:val="14"/>
      </w:numPr>
      <w:tabs>
        <w:tab w:val="clear" w:pos="1560"/>
      </w:tabs>
      <w:ind w:left="0" w:firstLine="0"/>
    </w:pPr>
    <w:rPr>
      <w:rFonts w:eastAsia="Times New Roman"/>
      <w:lang w:eastAsia="en-GB"/>
    </w:rPr>
  </w:style>
  <w:style w:type="paragraph" w:styleId="ListNumber4">
    <w:name w:val="List Number 4"/>
    <w:basedOn w:val="Normal"/>
    <w:rsid w:val="000531EB"/>
    <w:pPr>
      <w:numPr>
        <w:numId w:val="15"/>
      </w:numPr>
      <w:tabs>
        <w:tab w:val="clear" w:pos="1560"/>
      </w:tabs>
      <w:ind w:left="0" w:firstLine="0"/>
    </w:pPr>
    <w:rPr>
      <w:rFonts w:eastAsia="Times New Roman"/>
      <w:lang w:eastAsia="en-GB"/>
    </w:rPr>
  </w:style>
  <w:style w:type="paragraph" w:customStyle="1" w:styleId="ListDash3">
    <w:name w:val="List Dash 3"/>
    <w:basedOn w:val="Normal"/>
    <w:rsid w:val="000531EB"/>
    <w:pPr>
      <w:numPr>
        <w:numId w:val="10"/>
      </w:numPr>
      <w:tabs>
        <w:tab w:val="clear" w:pos="1134"/>
      </w:tabs>
      <w:ind w:left="0" w:firstLine="0"/>
    </w:pPr>
    <w:rPr>
      <w:rFonts w:eastAsia="Times New Roman"/>
      <w:lang w:eastAsia="en-GB"/>
    </w:rPr>
  </w:style>
  <w:style w:type="paragraph" w:customStyle="1" w:styleId="ListDash4">
    <w:name w:val="List Dash 4"/>
    <w:basedOn w:val="Normal"/>
    <w:rsid w:val="000531EB"/>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0531EB"/>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0531EB"/>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0531EB"/>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0531EB"/>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0531EB"/>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0531EB"/>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0531EB"/>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0531EB"/>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0531EB"/>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0531EB"/>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0531EB"/>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0531EB"/>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0531EB"/>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531EB"/>
    <w:pPr>
      <w:jc w:val="center"/>
    </w:pPr>
    <w:rPr>
      <w:rFonts w:eastAsia="Times New Roman"/>
      <w:b/>
      <w:u w:val="single"/>
      <w:lang w:eastAsia="en-GB"/>
    </w:rPr>
  </w:style>
  <w:style w:type="paragraph" w:customStyle="1" w:styleId="Annexetitreexposglobal">
    <w:name w:val="Annexe titre (exposé global)"/>
    <w:basedOn w:val="Normal"/>
    <w:next w:val="Normal"/>
    <w:rsid w:val="000531EB"/>
    <w:pPr>
      <w:jc w:val="center"/>
    </w:pPr>
    <w:rPr>
      <w:rFonts w:eastAsia="Times New Roman"/>
      <w:b/>
      <w:u w:val="single"/>
      <w:lang w:eastAsia="en-GB"/>
    </w:rPr>
  </w:style>
  <w:style w:type="paragraph" w:customStyle="1" w:styleId="Annexetitrefichefinacte">
    <w:name w:val="Annexe titre (fiche fin. acte)"/>
    <w:basedOn w:val="Normal"/>
    <w:next w:val="Normal"/>
    <w:rsid w:val="000531EB"/>
    <w:pPr>
      <w:jc w:val="center"/>
    </w:pPr>
    <w:rPr>
      <w:rFonts w:eastAsia="Times New Roman"/>
      <w:b/>
      <w:u w:val="single"/>
      <w:lang w:eastAsia="en-GB"/>
    </w:rPr>
  </w:style>
  <w:style w:type="paragraph" w:customStyle="1" w:styleId="Annexetitrefichefinglobale">
    <w:name w:val="Annexe titre (fiche fin. globale)"/>
    <w:basedOn w:val="Normal"/>
    <w:next w:val="Normal"/>
    <w:rsid w:val="000531EB"/>
    <w:pPr>
      <w:jc w:val="center"/>
    </w:pPr>
    <w:rPr>
      <w:rFonts w:eastAsia="Times New Roman"/>
      <w:b/>
      <w:u w:val="single"/>
      <w:lang w:eastAsia="en-GB"/>
    </w:rPr>
  </w:style>
  <w:style w:type="paragraph" w:customStyle="1" w:styleId="Annexetitreglobale">
    <w:name w:val="Annexe titre (globale)"/>
    <w:basedOn w:val="Normal"/>
    <w:next w:val="Normal"/>
    <w:rsid w:val="000531EB"/>
    <w:pPr>
      <w:jc w:val="center"/>
    </w:pPr>
    <w:rPr>
      <w:rFonts w:eastAsia="Times New Roman"/>
      <w:b/>
      <w:u w:val="single"/>
      <w:lang w:eastAsia="en-GB"/>
    </w:rPr>
  </w:style>
  <w:style w:type="paragraph" w:customStyle="1" w:styleId="Exposdesmotifstitreglobal">
    <w:name w:val="Exposé des motifs titre (global)"/>
    <w:basedOn w:val="Normal"/>
    <w:next w:val="Normal"/>
    <w:rsid w:val="000531EB"/>
    <w:pPr>
      <w:jc w:val="center"/>
    </w:pPr>
    <w:rPr>
      <w:rFonts w:eastAsia="Times New Roman"/>
      <w:b/>
      <w:u w:val="single"/>
      <w:lang w:eastAsia="en-GB"/>
    </w:rPr>
  </w:style>
  <w:style w:type="paragraph" w:customStyle="1" w:styleId="Langueoriginale">
    <w:name w:val="Langue originale"/>
    <w:basedOn w:val="Normal"/>
    <w:rsid w:val="000531EB"/>
    <w:pPr>
      <w:spacing w:before="360"/>
      <w:jc w:val="center"/>
    </w:pPr>
    <w:rPr>
      <w:rFonts w:eastAsia="Times New Roman"/>
      <w:caps/>
      <w:lang w:eastAsia="en-GB"/>
    </w:rPr>
  </w:style>
  <w:style w:type="paragraph" w:customStyle="1" w:styleId="Phrasefinale">
    <w:name w:val="Phrase finale"/>
    <w:basedOn w:val="Normal"/>
    <w:next w:val="Normal"/>
    <w:rsid w:val="000531EB"/>
    <w:pPr>
      <w:spacing w:before="360" w:after="0"/>
      <w:jc w:val="center"/>
    </w:pPr>
    <w:rPr>
      <w:rFonts w:eastAsia="Times New Roman"/>
      <w:lang w:eastAsia="en-GB"/>
    </w:rPr>
  </w:style>
  <w:style w:type="paragraph" w:customStyle="1" w:styleId="Prliminairetitre">
    <w:name w:val="Préliminaire titre"/>
    <w:basedOn w:val="Normal"/>
    <w:next w:val="Normal"/>
    <w:rsid w:val="000531EB"/>
    <w:pPr>
      <w:spacing w:before="360" w:after="360"/>
      <w:jc w:val="center"/>
    </w:pPr>
    <w:rPr>
      <w:rFonts w:eastAsia="Times New Roman"/>
      <w:b/>
      <w:lang w:eastAsia="en-GB"/>
    </w:rPr>
  </w:style>
  <w:style w:type="paragraph" w:customStyle="1" w:styleId="Prliminairetype">
    <w:name w:val="Préliminaire type"/>
    <w:basedOn w:val="Normal"/>
    <w:next w:val="Normal"/>
    <w:rsid w:val="000531E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531E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531E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531EB"/>
    <w:pPr>
      <w:spacing w:before="0" w:after="0"/>
      <w:ind w:left="5103"/>
      <w:jc w:val="left"/>
    </w:pPr>
    <w:rPr>
      <w:rFonts w:eastAsia="Times New Roman"/>
      <w:lang w:eastAsia="en-GB"/>
    </w:rPr>
  </w:style>
  <w:style w:type="paragraph" w:customStyle="1" w:styleId="Sous-titreobjetprliminaire">
    <w:name w:val="Sous-titre objet (préliminaire)"/>
    <w:basedOn w:val="Normal"/>
    <w:rsid w:val="000531EB"/>
    <w:pPr>
      <w:spacing w:before="0" w:after="0"/>
      <w:jc w:val="center"/>
    </w:pPr>
    <w:rPr>
      <w:rFonts w:eastAsia="Times New Roman"/>
      <w:b/>
      <w:lang w:eastAsia="en-GB"/>
    </w:rPr>
  </w:style>
  <w:style w:type="paragraph" w:customStyle="1" w:styleId="Statutprliminaire">
    <w:name w:val="Statut (préliminaire)"/>
    <w:basedOn w:val="Normal"/>
    <w:next w:val="Normal"/>
    <w:rsid w:val="000531EB"/>
    <w:pPr>
      <w:spacing w:before="360" w:after="0"/>
      <w:jc w:val="center"/>
    </w:pPr>
    <w:rPr>
      <w:rFonts w:eastAsia="Times New Roman"/>
      <w:lang w:eastAsia="en-GB"/>
    </w:rPr>
  </w:style>
  <w:style w:type="paragraph" w:customStyle="1" w:styleId="Titreobjetprliminaire">
    <w:name w:val="Titre objet (préliminaire)"/>
    <w:basedOn w:val="Normal"/>
    <w:next w:val="Normal"/>
    <w:rsid w:val="000531E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531E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531E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531EB"/>
    <w:pPr>
      <w:jc w:val="center"/>
    </w:pPr>
    <w:rPr>
      <w:rFonts w:eastAsia="Times New Roman"/>
      <w:b/>
      <w:u w:val="single"/>
      <w:lang w:eastAsia="en-GB"/>
    </w:rPr>
  </w:style>
  <w:style w:type="paragraph" w:customStyle="1" w:styleId="Fichefinanciretravailtitre">
    <w:name w:val="Fiche financière (travail) titre"/>
    <w:basedOn w:val="Normal"/>
    <w:next w:val="Normal"/>
    <w:rsid w:val="000531E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531E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531E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531EB"/>
    <w:pPr>
      <w:jc w:val="center"/>
    </w:pPr>
    <w:rPr>
      <w:rFonts w:eastAsia="Times New Roman"/>
      <w:b/>
      <w:u w:val="single"/>
      <w:lang w:eastAsia="en-GB"/>
    </w:rPr>
  </w:style>
  <w:style w:type="character" w:styleId="CommentReference">
    <w:name w:val="annotation reference"/>
    <w:rsid w:val="000531EB"/>
    <w:rPr>
      <w:rFonts w:cs="Times New Roman"/>
      <w:sz w:val="16"/>
      <w:szCs w:val="16"/>
    </w:rPr>
  </w:style>
  <w:style w:type="paragraph" w:styleId="CommentText">
    <w:name w:val="annotation text"/>
    <w:basedOn w:val="Normal"/>
    <w:link w:val="CommentTextChar"/>
    <w:rsid w:val="000531EB"/>
    <w:rPr>
      <w:rFonts w:eastAsia="Times New Roman"/>
      <w:sz w:val="20"/>
      <w:szCs w:val="20"/>
      <w:lang w:eastAsia="en-GB"/>
    </w:rPr>
  </w:style>
  <w:style w:type="character" w:customStyle="1" w:styleId="CommentTextChar">
    <w:name w:val="Comment Text Char"/>
    <w:basedOn w:val="DefaultParagraphFont"/>
    <w:link w:val="CommentText"/>
    <w:rsid w:val="000531E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0531EB"/>
    <w:rPr>
      <w:b/>
      <w:bCs/>
    </w:rPr>
  </w:style>
  <w:style w:type="character" w:customStyle="1" w:styleId="CommentSubjectChar">
    <w:name w:val="Comment Subject Char"/>
    <w:basedOn w:val="CommentTextChar"/>
    <w:link w:val="CommentSubject"/>
    <w:rsid w:val="000531E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0531E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531EB"/>
    <w:rPr>
      <w:rFonts w:ascii="Tahoma" w:eastAsia="Times New Roman" w:hAnsi="Tahoma" w:cs="Tahoma"/>
      <w:sz w:val="16"/>
      <w:szCs w:val="16"/>
      <w:lang w:val="fr-FR" w:eastAsia="en-GB"/>
    </w:rPr>
  </w:style>
  <w:style w:type="paragraph" w:styleId="Caption">
    <w:name w:val="caption"/>
    <w:basedOn w:val="Normal"/>
    <w:next w:val="Normal"/>
    <w:qFormat/>
    <w:rsid w:val="000531EB"/>
    <w:rPr>
      <w:rFonts w:eastAsia="Times New Roman"/>
      <w:b/>
      <w:bCs/>
      <w:sz w:val="20"/>
      <w:szCs w:val="20"/>
      <w:lang w:eastAsia="en-GB"/>
    </w:rPr>
  </w:style>
  <w:style w:type="paragraph" w:styleId="TableofFigures">
    <w:name w:val="table of figures"/>
    <w:basedOn w:val="Normal"/>
    <w:next w:val="Normal"/>
    <w:rsid w:val="000531EB"/>
    <w:rPr>
      <w:rFonts w:eastAsia="Times New Roman"/>
      <w:lang w:eastAsia="en-GB"/>
    </w:rPr>
  </w:style>
  <w:style w:type="character" w:styleId="PageNumber">
    <w:name w:val="page number"/>
    <w:rsid w:val="000531EB"/>
  </w:style>
  <w:style w:type="character" w:customStyle="1" w:styleId="tw4winMark">
    <w:name w:val="tw4winMark"/>
    <w:rsid w:val="000531EB"/>
    <w:rPr>
      <w:vanish/>
      <w:color w:val="800080"/>
      <w:vertAlign w:val="subscript"/>
    </w:rPr>
  </w:style>
  <w:style w:type="character" w:styleId="FollowedHyperlink">
    <w:name w:val="FollowedHyperlink"/>
    <w:rsid w:val="000531EB"/>
    <w:rPr>
      <w:color w:val="800080"/>
      <w:u w:val="single"/>
    </w:rPr>
  </w:style>
  <w:style w:type="paragraph" w:customStyle="1" w:styleId="Sous-titreobjet">
    <w:name w:val="Sous-titre objet"/>
    <w:basedOn w:val="Normal"/>
    <w:rsid w:val="000531E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531EB"/>
  </w:style>
  <w:style w:type="paragraph" w:styleId="Revision">
    <w:name w:val="Revision"/>
    <w:hidden/>
    <w:uiPriority w:val="99"/>
    <w:semiHidden/>
    <w:rsid w:val="000531EB"/>
    <w:rPr>
      <w:rFonts w:ascii="Calibri" w:eastAsia="Calibri" w:hAnsi="Calibri" w:cs="Times New Roman"/>
      <w:sz w:val="24"/>
      <w:lang w:eastAsia="en-GB"/>
    </w:rPr>
  </w:style>
  <w:style w:type="paragraph" w:customStyle="1" w:styleId="FooterCoverPage">
    <w:name w:val="Footer Cover Page"/>
    <w:basedOn w:val="Normal"/>
    <w:link w:val="FooterCoverPageChar"/>
    <w:rsid w:val="000531E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531EB"/>
    <w:rPr>
      <w:rFonts w:ascii="Times New Roman" w:hAnsi="Times New Roman" w:cs="Times New Roman"/>
      <w:b/>
      <w:sz w:val="28"/>
      <w:lang w:val="fr-FR"/>
    </w:rPr>
  </w:style>
  <w:style w:type="character" w:customStyle="1" w:styleId="FooterCoverPageChar">
    <w:name w:val="Footer Cover Page Char"/>
    <w:link w:val="FooterCoverPage"/>
    <w:rsid w:val="000531E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0531E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531EB"/>
    <w:rPr>
      <w:rFonts w:ascii="Times New Roman" w:eastAsia="Calibri" w:hAnsi="Times New Roman" w:cs="Times New Roman"/>
      <w:sz w:val="24"/>
      <w:lang w:val="fr-FR" w:eastAsia="en-GB"/>
    </w:rPr>
  </w:style>
  <w:style w:type="character" w:customStyle="1" w:styleId="FooterSensitivityChar">
    <w:name w:val="Footer Sensitivity Char"/>
    <w:rsid w:val="000531EB"/>
    <w:rPr>
      <w:rFonts w:ascii="Times New Roman" w:hAnsi="Times New Roman" w:cs="Times New Roman"/>
      <w:b/>
      <w:sz w:val="32"/>
      <w:lang w:val="fr-FR"/>
    </w:rPr>
  </w:style>
  <w:style w:type="character" w:customStyle="1" w:styleId="HeaderSensitivityChar">
    <w:name w:val="Header Sensitivity Char"/>
    <w:rsid w:val="000531EB"/>
    <w:rPr>
      <w:rFonts w:ascii="Times New Roman" w:hAnsi="Times New Roman" w:cs="Times New Roman"/>
      <w:b/>
      <w:sz w:val="32"/>
      <w:lang w:val="fr-FR"/>
    </w:rPr>
  </w:style>
  <w:style w:type="character" w:customStyle="1" w:styleId="HeaderSensitivityRightChar">
    <w:name w:val="Header Sensitivity Right Char"/>
    <w:rsid w:val="000531EB"/>
    <w:rPr>
      <w:rFonts w:ascii="Times New Roman" w:hAnsi="Times New Roman" w:cs="Times New Roman"/>
      <w:sz w:val="28"/>
      <w:lang w:val="fr-FR"/>
    </w:rPr>
  </w:style>
  <w:style w:type="paragraph" w:customStyle="1" w:styleId="LegalNumPar">
    <w:name w:val="LegalNumPar"/>
    <w:basedOn w:val="Normal"/>
    <w:rsid w:val="000531EB"/>
    <w:pPr>
      <w:numPr>
        <w:numId w:val="16"/>
      </w:numPr>
      <w:spacing w:line="360" w:lineRule="auto"/>
      <w:ind w:left="0" w:firstLine="0"/>
    </w:pPr>
    <w:rPr>
      <w:rFonts w:eastAsia="Times New Roman"/>
      <w:lang w:eastAsia="en-GB"/>
    </w:rPr>
  </w:style>
  <w:style w:type="paragraph" w:customStyle="1" w:styleId="LegalNumPar2">
    <w:name w:val="LegalNumPar2"/>
    <w:basedOn w:val="Normal"/>
    <w:rsid w:val="000531E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0531EB"/>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0531EB"/>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0531EB"/>
    <w:rPr>
      <w:color w:val="605E5C"/>
      <w:shd w:val="clear" w:color="auto" w:fill="E1DFDD"/>
    </w:rPr>
  </w:style>
  <w:style w:type="character" w:styleId="Strong">
    <w:name w:val="Strong"/>
    <w:basedOn w:val="DefaultParagraphFont"/>
    <w:qFormat/>
    <w:rsid w:val="000531EB"/>
    <w:rPr>
      <w:b/>
      <w:bCs/>
    </w:rPr>
  </w:style>
  <w:style w:type="character" w:styleId="Emphasis">
    <w:name w:val="Emphasis"/>
    <w:basedOn w:val="DefaultParagraphFont"/>
    <w:qFormat/>
    <w:rsid w:val="000531EB"/>
    <w:rPr>
      <w:i/>
      <w:iCs/>
    </w:rPr>
  </w:style>
  <w:style w:type="character" w:customStyle="1" w:styleId="Mention">
    <w:name w:val="Mention"/>
    <w:basedOn w:val="DefaultParagraphFont"/>
    <w:uiPriority w:val="99"/>
    <w:unhideWhenUsed/>
    <w:rsid w:val="000531EB"/>
    <w:rPr>
      <w:color w:val="2B579A"/>
      <w:shd w:val="clear" w:color="auto" w:fill="E1DFDD"/>
    </w:rPr>
  </w:style>
  <w:style w:type="character" w:customStyle="1" w:styleId="normaltextrun">
    <w:name w:val="normaltextrun"/>
    <w:basedOn w:val="DefaultParagraphFont"/>
    <w:rsid w:val="000531EB"/>
  </w:style>
  <w:style w:type="character" w:customStyle="1" w:styleId="eop">
    <w:name w:val="eop"/>
    <w:basedOn w:val="DefaultParagraphFont"/>
    <w:rsid w:val="000531EB"/>
  </w:style>
  <w:style w:type="character" w:customStyle="1" w:styleId="HeaderChar">
    <w:name w:val="Header Char"/>
    <w:basedOn w:val="DefaultParagraphFont"/>
    <w:link w:val="Header"/>
    <w:uiPriority w:val="99"/>
    <w:rsid w:val="00EC3F4C"/>
    <w:rPr>
      <w:rFonts w:ascii="Times New Roman" w:hAnsi="Times New Roman" w:cs="Times New Roman"/>
      <w:sz w:val="24"/>
      <w:lang w:val="fr-FR"/>
    </w:rPr>
  </w:style>
  <w:style w:type="character" w:customStyle="1" w:styleId="FooterChar">
    <w:name w:val="Footer Char"/>
    <w:basedOn w:val="DefaultParagraphFont"/>
    <w:link w:val="Footer"/>
    <w:uiPriority w:val="99"/>
    <w:rsid w:val="00EC3F4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3F4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3F4C"/>
    <w:pPr>
      <w:spacing w:before="0"/>
      <w:jc w:val="right"/>
    </w:pPr>
    <w:rPr>
      <w:sz w:val="28"/>
    </w:rPr>
  </w:style>
  <w:style w:type="paragraph" w:customStyle="1" w:styleId="FooterSensitivity">
    <w:name w:val="Footer Sensitivity"/>
    <w:basedOn w:val="Normal"/>
    <w:rsid w:val="00EC3F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C3F4C"/>
    <w:pPr>
      <w:tabs>
        <w:tab w:val="center" w:pos="4535"/>
        <w:tab w:val="right" w:pos="9071"/>
      </w:tabs>
      <w:spacing w:before="0"/>
    </w:pPr>
  </w:style>
  <w:style w:type="paragraph" w:customStyle="1" w:styleId="HeaderLandscape">
    <w:name w:val="HeaderLandscape"/>
    <w:basedOn w:val="Normal"/>
    <w:rsid w:val="00EC3F4C"/>
    <w:pPr>
      <w:tabs>
        <w:tab w:val="center" w:pos="7285"/>
        <w:tab w:val="right" w:pos="14003"/>
      </w:tabs>
      <w:spacing w:before="0"/>
    </w:pPr>
  </w:style>
  <w:style w:type="paragraph" w:styleId="Footer">
    <w:name w:val="footer"/>
    <w:basedOn w:val="Normal"/>
    <w:link w:val="FooterChar"/>
    <w:uiPriority w:val="99"/>
    <w:unhideWhenUsed/>
    <w:rsid w:val="00EC3F4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3F4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PDF/?uri=CELEX:52025SC0136" TargetMode="External"/><Relationship Id="rId2" Type="http://schemas.openxmlformats.org/officeDocument/2006/relationships/hyperlink" Target="https://webgate.ec.testa.eu/Ares/document/show.do?documentId=080166e51e98f32c&amp;timestamp=1774609177189" TargetMode="External"/><Relationship Id="rId1" Type="http://schemas.openxmlformats.org/officeDocument/2006/relationships/hyperlink" Target="https://eur-lex.europa.eu/legal-content/FR/TXT/?uri=CELEX%3A22023A0322%2801%29" TargetMode="External"/><Relationship Id="rId4"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f8b939e72f94876140d8945e859095c8">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64a95246048de1232275b817e46e46fc"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lcf76f155ced4ddcb4097134ff3c332f>
    <comment xmlns="9a215eb7-92ce-4f3a-bafb-9cdeffecda7b" xsi:nil="true"/>
    <TaxCatchAll xmlns="ffc590e1-b774-4e01-a2f2-e7363e2718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787B1-B60E-4184-9479-EEE42665A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5F9080-461A-48BB-8A76-6FF227041AAC}">
  <ds:schemaRefs>
    <ds:schemaRef ds:uri="http://schemas.microsoft.com/sharepoint/v3/contenttype/forms"/>
  </ds:schemaRefs>
</ds:datastoreItem>
</file>

<file path=customXml/itemProps3.xml><?xml version="1.0" encoding="utf-8"?>
<ds:datastoreItem xmlns:ds="http://schemas.openxmlformats.org/officeDocument/2006/customXml" ds:itemID="{065DA006-A1A4-4F3E-937A-DBE01000B35F}">
  <ds:schemaRefs>
    <ds:schemaRef ds:uri="http://www.w3.org/XML/1998/namespace"/>
    <ds:schemaRef ds:uri="http://purl.org/dc/terms/"/>
    <ds:schemaRef ds:uri="http://schemas.microsoft.com/office/2006/metadata/properties"/>
    <ds:schemaRef ds:uri="http://schemas.microsoft.com/office/2006/documentManagement/types"/>
    <ds:schemaRef ds:uri="ffc590e1-b774-4e01-a2f2-e7363e27188f"/>
    <ds:schemaRef ds:uri="http://purl.org/dc/dcmitype/"/>
    <ds:schemaRef ds:uri="http://purl.org/dc/elements/1.1/"/>
    <ds:schemaRef ds:uri="http://schemas.microsoft.com/office/infopath/2007/PartnerControls"/>
    <ds:schemaRef ds:uri="http://schemas.openxmlformats.org/package/2006/metadata/core-properties"/>
    <ds:schemaRef ds:uri="9a215eb7-92ce-4f3a-bafb-9cdeffecda7b"/>
  </ds:schemaRefs>
</ds:datastoreItem>
</file>

<file path=customXml/itemProps4.xml><?xml version="1.0" encoding="utf-8"?>
<ds:datastoreItem xmlns:ds="http://schemas.openxmlformats.org/officeDocument/2006/customXml" ds:itemID="{1C9E67B5-3500-40CA-A774-72CC410E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15</Pages>
  <Words>6908</Words>
  <Characters>39377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2026-05-06T09:30:00Z</dcterms:created>
  <dcterms:modified xsi:type="dcterms:W3CDTF">2026-06-17T07:03:00Z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2026-04-13T12:07:27Z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023cfecd-48c9-4715-aa33-1570c40ca09a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0x010100FC125BA01A0E634E9F173AB330F6F1A5</vt:lpwstr>
  </property>
  <property fmtid="{D5CDD505-2E9C-101B-9397-08002B2CF9AE}" pid="19" name="MediaServiceImageTags">
    <vt:lpwstr/>
  </property>
  <property fmtid="{D5CDD505-2E9C-101B-9397-08002B2CF9AE}" pid="20" name="DQCStatus">
    <vt:lpwstr>Green (DQC version 03)</vt:lpwstr>
  </property>
</Properties>
</file>