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073" w:rsidRDefault="00207590" w:rsidP="0020759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AE848C9-145C-46CC-B8DB-F4A41888717E" style="width:455.25pt;height:357.75pt">
            <v:imagedata r:id="rId8" o:title=""/>
          </v:shape>
        </w:pict>
      </w:r>
    </w:p>
    <w:p w:rsidR="004C2073" w:rsidRDefault="004C2073" w:rsidP="004C2073">
      <w:pPr>
        <w:rPr>
          <w:noProof/>
        </w:rPr>
        <w:sectPr w:rsidR="004C2073" w:rsidSect="00207590">
          <w:footerReference w:type="even" r:id="rId9"/>
          <w:footerReference w:type="default" r:id="rId10"/>
          <w:pgSz w:w="11907" w:h="16839"/>
          <w:pgMar w:top="1134" w:right="1417" w:bottom="1134" w:left="1417" w:header="709" w:footer="709" w:gutter="0"/>
          <w:pgNumType w:start="0"/>
          <w:cols w:space="720"/>
          <w:docGrid w:linePitch="360"/>
        </w:sectPr>
      </w:pPr>
    </w:p>
    <w:p w:rsidR="004C2073" w:rsidRDefault="004C2073" w:rsidP="00BB6B30">
      <w:pPr>
        <w:pStyle w:val="Exposdesmotifstitre"/>
        <w:rPr>
          <w:noProof/>
        </w:rPr>
      </w:pPr>
      <w:bookmarkStart w:id="0" w:name="_GoBack"/>
      <w:bookmarkEnd w:id="0"/>
      <w:r w:rsidRPr="006F770D">
        <w:rPr>
          <w:noProof/>
        </w:rPr>
        <w:lastRenderedPageBreak/>
        <w:t>EXPLANATORY MEMORANDUM</w:t>
      </w:r>
    </w:p>
    <w:p w:rsidR="004C2073" w:rsidRPr="006F770D" w:rsidRDefault="004C2073" w:rsidP="00BB6B30">
      <w:pPr>
        <w:pStyle w:val="ManualHeading1"/>
        <w:rPr>
          <w:noProof/>
        </w:rPr>
      </w:pPr>
      <w:r w:rsidRPr="00C567EE">
        <w:rPr>
          <w:noProof/>
        </w:rPr>
        <w:t>1.</w:t>
      </w:r>
      <w:r w:rsidRPr="00C567EE">
        <w:rPr>
          <w:noProof/>
        </w:rPr>
        <w:tab/>
      </w:r>
      <w:r w:rsidRPr="006F770D">
        <w:rPr>
          <w:noProof/>
        </w:rPr>
        <w:t>CONTEXT OF THE PROPOSAL</w:t>
      </w:r>
    </w:p>
    <w:p w:rsidR="004C2073" w:rsidRPr="00044058" w:rsidRDefault="004C2073"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The Sustainable Fisheries Partnership Agreement (SFPA) between the European Union and Seychelles</w:t>
      </w:r>
      <w:r w:rsidRPr="000B4CE7">
        <w:rPr>
          <w:rStyle w:val="FootnoteReference"/>
          <w:rFonts w:eastAsia="Arial Unicode MS"/>
          <w:noProof/>
        </w:rPr>
        <w:footnoteReference w:id="1"/>
      </w:r>
      <w:r w:rsidRPr="000B4CE7">
        <w:rPr>
          <w:rFonts w:eastAsia="Arial Unicode MS"/>
          <w:noProof/>
        </w:rPr>
        <w:t xml:space="preserve"> entered into force on 24</w:t>
      </w:r>
      <w:r>
        <w:rPr>
          <w:rFonts w:eastAsia="Arial Unicode MS"/>
          <w:noProof/>
        </w:rPr>
        <w:t> </w:t>
      </w:r>
      <w:r w:rsidRPr="000B4CE7">
        <w:rPr>
          <w:rFonts w:eastAsia="Arial Unicode MS"/>
          <w:noProof/>
        </w:rPr>
        <w:t>February 2020 for a duration of six years and is tacitly renewable for additional periods of six years.</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On the basis of the Council Decision of 23</w:t>
      </w:r>
      <w:r>
        <w:rPr>
          <w:rFonts w:eastAsia="Arial Unicode MS"/>
          <w:noProof/>
        </w:rPr>
        <w:t> </w:t>
      </w:r>
      <w:r w:rsidRPr="000B4CE7">
        <w:rPr>
          <w:rFonts w:eastAsia="Arial Unicode MS"/>
          <w:noProof/>
        </w:rPr>
        <w:t>June 2025</w:t>
      </w:r>
      <w:r w:rsidRPr="000B4CE7">
        <w:rPr>
          <w:rStyle w:val="FootnoteReference"/>
          <w:rFonts w:eastAsia="Arial Unicode MS"/>
          <w:noProof/>
        </w:rPr>
        <w:footnoteReference w:id="2"/>
      </w:r>
      <w:r w:rsidRPr="000B4CE7">
        <w:rPr>
          <w:rFonts w:eastAsia="Arial Unicode MS"/>
          <w:noProof/>
        </w:rPr>
        <w:t xml:space="preserve"> authorising the opening of negotiations on behalf of the European Union of a new Protocol on the implementation of the Sustainable Fisheries Partnership Agreement with the Republic of Seychelles, and the negotiating directives contained therein, the Commission conducted negotiations with the Republic of Seychelles (hereinafter ‘Seychelles’). Following those negotiations, a Protocol was initialled by the negotiators on 1</w:t>
      </w:r>
      <w:r>
        <w:rPr>
          <w:rFonts w:eastAsia="Arial Unicode MS"/>
          <w:noProof/>
        </w:rPr>
        <w:t> </w:t>
      </w:r>
      <w:r w:rsidRPr="000B4CE7">
        <w:rPr>
          <w:rFonts w:eastAsia="Arial Unicode MS"/>
          <w:noProof/>
        </w:rPr>
        <w:t>April 2026. The new protocol covers a period of four years from the date of provisional application set out in Article</w:t>
      </w:r>
      <w:r>
        <w:rPr>
          <w:rFonts w:eastAsia="Arial Unicode MS"/>
          <w:noProof/>
        </w:rPr>
        <w:t> </w:t>
      </w:r>
      <w:r w:rsidRPr="000B4CE7">
        <w:rPr>
          <w:rFonts w:eastAsia="Arial Unicode MS"/>
          <w:noProof/>
        </w:rPr>
        <w:t xml:space="preserve">19, i.e. the date of signature by the </w:t>
      </w:r>
      <w:r>
        <w:rPr>
          <w:rFonts w:eastAsia="Arial Unicode MS"/>
          <w:noProof/>
        </w:rPr>
        <w:t>p</w:t>
      </w:r>
      <w:r w:rsidRPr="000B4CE7">
        <w:rPr>
          <w:rFonts w:eastAsia="Arial Unicode MS"/>
          <w:noProof/>
        </w:rPr>
        <w:t>arties.</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The purpose of the new Protocol is to grant fishing opportunities to Union vessels in the fishing zones located in the waters of Seychelles, in accordance with scientific advice and the recommendations of the relevant regional fisheries management organisation</w:t>
      </w:r>
      <w:r>
        <w:rPr>
          <w:rFonts w:eastAsia="Arial Unicode MS"/>
          <w:noProof/>
        </w:rPr>
        <w:t>, the Indian Ocean Tuna Commission</w:t>
      </w:r>
      <w:r w:rsidRPr="000B4CE7">
        <w:rPr>
          <w:rFonts w:eastAsia="Arial Unicode MS"/>
          <w:noProof/>
        </w:rPr>
        <w:t xml:space="preserve"> (IOTC). The new Protocol provides for the following fishing opportunities:</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- 30 tuna purse seine vessels;</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 xml:space="preserve">- 8 </w:t>
      </w:r>
      <w:bookmarkStart w:id="1" w:name="_Hlk225515659"/>
      <w:r w:rsidRPr="000B4CE7">
        <w:rPr>
          <w:rFonts w:eastAsia="Arial Unicode MS"/>
          <w:noProof/>
        </w:rPr>
        <w:t>surface longliners</w:t>
      </w:r>
      <w:bookmarkEnd w:id="1"/>
      <w:r w:rsidRPr="000B4CE7">
        <w:rPr>
          <w:rFonts w:eastAsia="Arial Unicode MS"/>
          <w:noProof/>
        </w:rPr>
        <w:t>.</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The objective of the proposal is to allocate those fishing opportunities among the Member States.</w:t>
      </w:r>
    </w:p>
    <w:p w:rsidR="004C2073" w:rsidRPr="002D5EE2" w:rsidRDefault="004C2073"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A018BC" w:rsidRPr="0012011C" w:rsidRDefault="00A018BC" w:rsidP="00A018BC">
      <w:pPr>
        <w:pBdr>
          <w:top w:val="nil"/>
          <w:left w:val="nil"/>
          <w:bottom w:val="nil"/>
          <w:right w:val="nil"/>
          <w:between w:val="nil"/>
          <w:bar w:val="nil"/>
        </w:pBdr>
        <w:spacing w:before="0" w:after="240"/>
        <w:rPr>
          <w:noProof/>
        </w:rPr>
      </w:pPr>
      <w:bookmarkStart w:id="2" w:name="_Hlk177838150"/>
      <w:r w:rsidRPr="0012011C">
        <w:rPr>
          <w:noProof/>
        </w:rPr>
        <w:t xml:space="preserve">The main aim of the new Protocol to the Agreement is to provide an updated framework that takes into account the priorities of the common fisheries policy (CFP) and the external dimension. This will help maintain and strengthen the strategic partnership between the European Union and </w:t>
      </w:r>
      <w:r>
        <w:rPr>
          <w:noProof/>
        </w:rPr>
        <w:t>Seychelles</w:t>
      </w:r>
      <w:r w:rsidRPr="0012011C">
        <w:rPr>
          <w:noProof/>
        </w:rPr>
        <w:t>.</w:t>
      </w:r>
    </w:p>
    <w:p w:rsidR="00A018BC" w:rsidRPr="0012011C" w:rsidRDefault="00A018BC" w:rsidP="00A018BC">
      <w:pPr>
        <w:pBdr>
          <w:top w:val="nil"/>
          <w:left w:val="nil"/>
          <w:bottom w:val="nil"/>
          <w:right w:val="nil"/>
          <w:between w:val="nil"/>
          <w:bar w:val="nil"/>
        </w:pBdr>
        <w:spacing w:before="0" w:after="240"/>
        <w:rPr>
          <w:noProof/>
        </w:rPr>
      </w:pPr>
      <w:r w:rsidRPr="00613708">
        <w:rPr>
          <w:noProof/>
        </w:rPr>
        <w:t xml:space="preserve">The new Protocol provides for fishing opportunities for Union vessels. It is based on the best available scientific advice and on the recommendations made by </w:t>
      </w:r>
      <w:r w:rsidR="00DA4EC6">
        <w:rPr>
          <w:noProof/>
        </w:rPr>
        <w:t xml:space="preserve">the </w:t>
      </w:r>
      <w:r>
        <w:rPr>
          <w:rFonts w:eastAsia="Arial Unicode MS"/>
          <w:noProof/>
        </w:rPr>
        <w:t>IOTC</w:t>
      </w:r>
      <w:r w:rsidRPr="00613708">
        <w:rPr>
          <w:noProof/>
        </w:rPr>
        <w:t>.</w:t>
      </w:r>
      <w:r w:rsidRPr="0012011C">
        <w:rPr>
          <w:noProof/>
        </w:rPr>
        <w:t xml:space="preserve"> </w:t>
      </w:r>
    </w:p>
    <w:bookmarkEnd w:id="2"/>
    <w:p w:rsidR="004C2073" w:rsidRPr="002D5EE2" w:rsidRDefault="004C2073"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DA4EC6" w:rsidRPr="00025CCC" w:rsidRDefault="00DA4EC6" w:rsidP="00DA4EC6">
      <w:pPr>
        <w:pBdr>
          <w:top w:val="nil"/>
          <w:left w:val="nil"/>
          <w:bottom w:val="nil"/>
          <w:right w:val="nil"/>
          <w:between w:val="nil"/>
          <w:bar w:val="nil"/>
        </w:pBdr>
        <w:spacing w:before="0" w:after="240"/>
        <w:rPr>
          <w:rFonts w:eastAsia="Arial Unicode MS"/>
          <w:noProof/>
        </w:rPr>
      </w:pPr>
      <w:bookmarkStart w:id="3" w:name="_Hlk225783453"/>
      <w:r w:rsidRPr="00025CCC">
        <w:rPr>
          <w:rFonts w:eastAsia="Arial Unicode MS"/>
          <w:noProof/>
          <w:color w:val="000000" w:themeColor="text1"/>
        </w:rPr>
        <w:t>The negotiation of a new protocol to implement the Sustainable Fisheries Partnership Agreement with Seychelles is part of the EU</w:t>
      </w:r>
      <w:r>
        <w:rPr>
          <w:rFonts w:eastAsia="Arial Unicode MS"/>
          <w:noProof/>
          <w:color w:val="000000" w:themeColor="text1"/>
        </w:rPr>
        <w:t>’</w:t>
      </w:r>
      <w:r w:rsidRPr="00025CCC">
        <w:rPr>
          <w:rFonts w:eastAsia="Arial Unicode MS"/>
          <w:noProof/>
          <w:color w:val="000000" w:themeColor="text1"/>
        </w:rPr>
        <w:t xml:space="preserve">s external action towards the countries of the Organisation of African, Caribbean and Pacific </w:t>
      </w:r>
      <w:r>
        <w:rPr>
          <w:rFonts w:eastAsia="Arial Unicode MS"/>
          <w:noProof/>
          <w:color w:val="000000" w:themeColor="text1"/>
        </w:rPr>
        <w:t>States (OACPS)</w:t>
      </w:r>
      <w:r w:rsidRPr="00025CCC">
        <w:rPr>
          <w:rFonts w:eastAsia="Arial Unicode MS"/>
          <w:noProof/>
          <w:color w:val="000000" w:themeColor="text1"/>
        </w:rPr>
        <w:t xml:space="preserve">, and </w:t>
      </w:r>
      <w:r w:rsidR="005C4F2B">
        <w:rPr>
          <w:rFonts w:eastAsia="Arial Unicode MS"/>
          <w:noProof/>
          <w:color w:val="000000" w:themeColor="text1"/>
        </w:rPr>
        <w:t xml:space="preserve">takes into account </w:t>
      </w:r>
      <w:r w:rsidRPr="00025CCC">
        <w:rPr>
          <w:rFonts w:eastAsia="Arial Unicode MS"/>
          <w:noProof/>
          <w:color w:val="000000" w:themeColor="text1"/>
        </w:rPr>
        <w:t>Union objectives</w:t>
      </w:r>
      <w:r w:rsidR="005C4F2B">
        <w:rPr>
          <w:rFonts w:eastAsia="Arial Unicode MS"/>
          <w:noProof/>
          <w:color w:val="000000" w:themeColor="text1"/>
        </w:rPr>
        <w:t>, in particular</w:t>
      </w:r>
      <w:r w:rsidRPr="00025CCC">
        <w:rPr>
          <w:rFonts w:eastAsia="Arial Unicode MS"/>
          <w:noProof/>
          <w:color w:val="000000" w:themeColor="text1"/>
        </w:rPr>
        <w:t xml:space="preserve"> the respect of democratic principles</w:t>
      </w:r>
      <w:r>
        <w:rPr>
          <w:rFonts w:eastAsia="Arial Unicode MS"/>
          <w:noProof/>
          <w:color w:val="000000" w:themeColor="text1"/>
        </w:rPr>
        <w:t xml:space="preserve"> and</w:t>
      </w:r>
      <w:r w:rsidRPr="00025CCC">
        <w:rPr>
          <w:rFonts w:eastAsia="Arial Unicode MS"/>
          <w:noProof/>
          <w:color w:val="000000" w:themeColor="text1"/>
        </w:rPr>
        <w:t xml:space="preserve"> human rights.</w:t>
      </w:r>
      <w:bookmarkEnd w:id="3"/>
    </w:p>
    <w:p w:rsidR="004C2073" w:rsidRPr="002D5EE2" w:rsidRDefault="004C2073" w:rsidP="00550536">
      <w:pPr>
        <w:pStyle w:val="ManualHeading1"/>
        <w:rPr>
          <w:noProof/>
        </w:rPr>
      </w:pPr>
      <w:r w:rsidRPr="002D5EE2">
        <w:rPr>
          <w:noProof/>
        </w:rPr>
        <w:lastRenderedPageBreak/>
        <w:t>2.</w:t>
      </w:r>
      <w:r w:rsidRPr="002D5EE2">
        <w:rPr>
          <w:noProof/>
        </w:rPr>
        <w:tab/>
        <w:t>LEGAL BASIS, SUBSIDIARITY AND PROPORTIONALITY</w:t>
      </w:r>
    </w:p>
    <w:p w:rsidR="004C2073" w:rsidRPr="002D5EE2" w:rsidRDefault="004C2073"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noProof/>
        </w:rPr>
        <w:t>The legal basis is Article 43(3) of the Treaty on the Functioning of the European Union</w:t>
      </w:r>
      <w:r>
        <w:rPr>
          <w:noProof/>
        </w:rPr>
        <w:t xml:space="preserve"> (TFEU)</w:t>
      </w:r>
      <w:r w:rsidRPr="000B4CE7">
        <w:rPr>
          <w:noProof/>
        </w:rPr>
        <w:t xml:space="preserve">, which establishes that the Council, on a proposal from the Commission, </w:t>
      </w:r>
      <w:r>
        <w:rPr>
          <w:noProof/>
        </w:rPr>
        <w:t>is to</w:t>
      </w:r>
      <w:r w:rsidRPr="000B4CE7">
        <w:rPr>
          <w:noProof/>
        </w:rPr>
        <w:t xml:space="preserve"> adopt measures on the allocation of fishing opportunities.</w:t>
      </w:r>
    </w:p>
    <w:p w:rsidR="004C2073" w:rsidRPr="002D5EE2" w:rsidRDefault="004C2073"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Subsidiarity</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The proposal falls within the exclusive competence of the European Union pursuant to Article</w:t>
      </w:r>
      <w:r>
        <w:rPr>
          <w:rFonts w:eastAsia="Arial Unicode MS"/>
          <w:noProof/>
        </w:rPr>
        <w:t> </w:t>
      </w:r>
      <w:r w:rsidRPr="000B4CE7">
        <w:rPr>
          <w:rFonts w:eastAsia="Arial Unicode MS"/>
          <w:noProof/>
        </w:rPr>
        <w:t>3(1)</w:t>
      </w:r>
      <w:r>
        <w:rPr>
          <w:rFonts w:eastAsia="Arial Unicode MS"/>
          <w:noProof/>
        </w:rPr>
        <w:t xml:space="preserve">, point </w:t>
      </w:r>
      <w:r w:rsidRPr="000B4CE7">
        <w:rPr>
          <w:rFonts w:eastAsia="Arial Unicode MS"/>
          <w:noProof/>
        </w:rPr>
        <w:t>(d)</w:t>
      </w:r>
      <w:r>
        <w:rPr>
          <w:rFonts w:eastAsia="Arial Unicode MS"/>
          <w:noProof/>
        </w:rPr>
        <w:t>,</w:t>
      </w:r>
      <w:r w:rsidRPr="000B4CE7">
        <w:rPr>
          <w:rFonts w:eastAsia="Arial Unicode MS"/>
          <w:noProof/>
        </w:rPr>
        <w:t xml:space="preserve"> TFEU. The subsidiarity principle therefore does not apply.</w:t>
      </w:r>
    </w:p>
    <w:p w:rsidR="004C2073" w:rsidRDefault="004C207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noProof/>
        </w:rPr>
        <w:t>The proposal is proportionate to the objective of establishing a legal, environmental, economic and social governance framework for fishing activities carried out by Union vessels in third-country waters, as set out in Article</w:t>
      </w:r>
      <w:r>
        <w:rPr>
          <w:noProof/>
        </w:rPr>
        <w:t> </w:t>
      </w:r>
      <w:r w:rsidRPr="000B4CE7">
        <w:rPr>
          <w:noProof/>
        </w:rPr>
        <w:t>31 of Regulation (EU) No</w:t>
      </w:r>
      <w:r>
        <w:rPr>
          <w:noProof/>
        </w:rPr>
        <w:t> </w:t>
      </w:r>
      <w:r w:rsidRPr="000B4CE7">
        <w:rPr>
          <w:noProof/>
        </w:rPr>
        <w:t xml:space="preserve">1380/2013 establishing the </w:t>
      </w:r>
      <w:r>
        <w:rPr>
          <w:noProof/>
        </w:rPr>
        <w:t>c</w:t>
      </w:r>
      <w:r w:rsidRPr="000B4CE7">
        <w:rPr>
          <w:noProof/>
        </w:rPr>
        <w:t xml:space="preserve">ommon </w:t>
      </w:r>
      <w:r>
        <w:rPr>
          <w:noProof/>
        </w:rPr>
        <w:t>f</w:t>
      </w:r>
      <w:r w:rsidRPr="000B4CE7">
        <w:rPr>
          <w:noProof/>
        </w:rPr>
        <w:t xml:space="preserve">isheries </w:t>
      </w:r>
      <w:r>
        <w:rPr>
          <w:noProof/>
        </w:rPr>
        <w:t>p</w:t>
      </w:r>
      <w:r w:rsidRPr="000B4CE7">
        <w:rPr>
          <w:noProof/>
        </w:rPr>
        <w:t>olicy.</w:t>
      </w:r>
    </w:p>
    <w:p w:rsidR="004C2073" w:rsidRPr="00550536" w:rsidRDefault="004C2073" w:rsidP="00550536">
      <w:pPr>
        <w:pStyle w:val="ManualHeading1"/>
        <w:rPr>
          <w:noProof/>
        </w:rPr>
      </w:pPr>
      <w:r w:rsidRPr="00550536">
        <w:rPr>
          <w:noProof/>
        </w:rPr>
        <w:t>3.</w:t>
      </w:r>
      <w:r w:rsidRPr="00550536">
        <w:rPr>
          <w:noProof/>
        </w:rPr>
        <w:tab/>
        <w:t xml:space="preserve">RESULTS OF </w:t>
      </w:r>
      <w:r w:rsidR="00DA4EC6">
        <w:rPr>
          <w:i/>
          <w:noProof/>
        </w:rPr>
        <w:t>EX POST</w:t>
      </w:r>
      <w:r w:rsidR="00DA4EC6" w:rsidRPr="000B4CE7">
        <w:rPr>
          <w:noProof/>
        </w:rPr>
        <w:t xml:space="preserve"> </w:t>
      </w:r>
      <w:r w:rsidRPr="00550536">
        <w:rPr>
          <w:noProof/>
        </w:rPr>
        <w:t>EVALUATIONS, STAKEHOLDER CONSULTATIONS AND IMPACT ASSESSMENTS</w:t>
      </w:r>
    </w:p>
    <w:p w:rsidR="004C2073" w:rsidRDefault="004C207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sidR="00DA4EC6">
        <w:rPr>
          <w:rFonts w:eastAsia="Arial Unicode MS"/>
          <w:i/>
          <w:noProof/>
          <w:u w:color="000000"/>
          <w:bdr w:val="nil"/>
          <w:lang w:eastAsia="en-GB"/>
        </w:rPr>
        <w:t>Ex post</w:t>
      </w:r>
      <w:r w:rsidR="00DA4EC6" w:rsidRPr="000B4CE7">
        <w:rPr>
          <w:rFonts w:eastAsia="Arial Unicode MS"/>
          <w:noProof/>
          <w:u w:color="000000"/>
          <w:bdr w:val="nil"/>
          <w:lang w:eastAsia="en-GB"/>
        </w:rPr>
        <w:t xml:space="preserve"> </w:t>
      </w:r>
      <w:r w:rsidRPr="007718A8">
        <w:rPr>
          <w:rFonts w:eastAsia="Arial Unicode MS"/>
          <w:noProof/>
          <w:u w:color="000000"/>
          <w:bdr w:val="nil"/>
          <w:lang w:val="en-US" w:eastAsia="en-GB"/>
        </w:rPr>
        <w:t>evaluations/fitness checks</w:t>
      </w:r>
      <w:r>
        <w:rPr>
          <w:rFonts w:eastAsia="Arial Unicode MS"/>
          <w:noProof/>
          <w:u w:color="000000"/>
          <w:bdr w:val="nil"/>
          <w:lang w:val="en-US" w:eastAsia="en-GB"/>
        </w:rPr>
        <w:t xml:space="preserve"> of existing legislation</w:t>
      </w:r>
    </w:p>
    <w:p w:rsidR="00A018BC" w:rsidRDefault="00DA4EC6" w:rsidP="00A018BC">
      <w:pPr>
        <w:pBdr>
          <w:top w:val="nil"/>
          <w:left w:val="nil"/>
          <w:bottom w:val="nil"/>
          <w:right w:val="nil"/>
          <w:between w:val="nil"/>
          <w:bar w:val="nil"/>
        </w:pBdr>
        <w:spacing w:before="0" w:after="240"/>
        <w:rPr>
          <w:rFonts w:eastAsia="Arial Unicode MS"/>
          <w:noProof/>
        </w:rPr>
      </w:pPr>
      <w:r>
        <w:rPr>
          <w:noProof/>
        </w:rPr>
        <w:t>In 2025, t</w:t>
      </w:r>
      <w:r w:rsidRPr="000B4CE7">
        <w:rPr>
          <w:noProof/>
        </w:rPr>
        <w:t xml:space="preserve">he Commission carried out an </w:t>
      </w:r>
      <w:r w:rsidRPr="000B4CE7">
        <w:rPr>
          <w:rFonts w:eastAsia="Arial Unicode MS"/>
          <w:i/>
          <w:noProof/>
        </w:rPr>
        <w:t>ex</w:t>
      </w:r>
      <w:r>
        <w:rPr>
          <w:rFonts w:eastAsia="Arial Unicode MS"/>
          <w:i/>
          <w:noProof/>
        </w:rPr>
        <w:t xml:space="preserve"> </w:t>
      </w:r>
      <w:r w:rsidRPr="000B4CE7">
        <w:rPr>
          <w:rFonts w:eastAsia="Arial Unicode MS"/>
          <w:i/>
          <w:noProof/>
        </w:rPr>
        <w:t>post</w:t>
      </w:r>
      <w:r w:rsidRPr="000B4CE7">
        <w:rPr>
          <w:rFonts w:eastAsia="Arial Unicode MS"/>
          <w:noProof/>
        </w:rPr>
        <w:t xml:space="preserve"> evaluation of the current Protocol to the SFPA with </w:t>
      </w:r>
      <w:r w:rsidRPr="000B4CE7">
        <w:rPr>
          <w:noProof/>
          <w:szCs w:val="24"/>
        </w:rPr>
        <w:t>Seychelles</w:t>
      </w:r>
      <w:r w:rsidRPr="000B4CE7">
        <w:rPr>
          <w:b/>
          <w:noProof/>
          <w:szCs w:val="24"/>
        </w:rPr>
        <w:t xml:space="preserve"> </w:t>
      </w:r>
      <w:r>
        <w:rPr>
          <w:rFonts w:eastAsia="Arial Unicode MS"/>
          <w:noProof/>
        </w:rPr>
        <w:t>and</w:t>
      </w:r>
      <w:r w:rsidRPr="000B4CE7">
        <w:rPr>
          <w:rFonts w:eastAsia="Arial Unicode MS"/>
          <w:noProof/>
        </w:rPr>
        <w:t xml:space="preserve"> an </w:t>
      </w:r>
      <w:r w:rsidRPr="000B4CE7">
        <w:rPr>
          <w:rFonts w:eastAsia="Arial Unicode MS"/>
          <w:i/>
          <w:noProof/>
        </w:rPr>
        <w:t>ex</w:t>
      </w:r>
      <w:r>
        <w:rPr>
          <w:rFonts w:eastAsia="Arial Unicode MS"/>
          <w:i/>
          <w:noProof/>
        </w:rPr>
        <w:t xml:space="preserve"> </w:t>
      </w:r>
      <w:r w:rsidRPr="000B4CE7">
        <w:rPr>
          <w:rFonts w:eastAsia="Arial Unicode MS"/>
          <w:i/>
          <w:noProof/>
        </w:rPr>
        <w:t>ante</w:t>
      </w:r>
      <w:r w:rsidRPr="000B4CE7">
        <w:rPr>
          <w:rFonts w:eastAsia="Arial Unicode MS"/>
          <w:noProof/>
        </w:rPr>
        <w:t xml:space="preserve"> evaluation of a possible renewal of the Protocol. The conclusions of the evaluation are set out in a </w:t>
      </w:r>
      <w:r>
        <w:rPr>
          <w:rFonts w:eastAsia="Arial Unicode MS"/>
          <w:noProof/>
        </w:rPr>
        <w:t>s</w:t>
      </w:r>
      <w:r w:rsidRPr="000B4CE7">
        <w:rPr>
          <w:rFonts w:eastAsia="Arial Unicode MS"/>
          <w:noProof/>
        </w:rPr>
        <w:t xml:space="preserve">taff </w:t>
      </w:r>
      <w:r>
        <w:rPr>
          <w:rFonts w:eastAsia="Arial Unicode MS"/>
          <w:noProof/>
        </w:rPr>
        <w:t>w</w:t>
      </w:r>
      <w:r w:rsidRPr="000B4CE7">
        <w:rPr>
          <w:rFonts w:eastAsia="Arial Unicode MS"/>
          <w:noProof/>
        </w:rPr>
        <w:t xml:space="preserve">orking </w:t>
      </w:r>
      <w:r>
        <w:rPr>
          <w:rFonts w:eastAsia="Arial Unicode MS"/>
          <w:noProof/>
        </w:rPr>
        <w:t>d</w:t>
      </w:r>
      <w:r w:rsidRPr="000B4CE7">
        <w:rPr>
          <w:rFonts w:eastAsia="Arial Unicode MS"/>
          <w:noProof/>
        </w:rPr>
        <w:t>ocument</w:t>
      </w:r>
      <w:r w:rsidR="005C4F2B" w:rsidRPr="005C4F2B">
        <w:rPr>
          <w:rFonts w:eastAsia="Arial Unicode MS"/>
          <w:noProof/>
        </w:rPr>
        <w:t xml:space="preserve"> </w:t>
      </w:r>
      <w:r w:rsidR="005C4F2B">
        <w:rPr>
          <w:rFonts w:eastAsia="Arial Unicode MS"/>
          <w:noProof/>
        </w:rPr>
        <w:t>dated 25 June 2025</w:t>
      </w:r>
      <w:r w:rsidR="000F415F">
        <w:rPr>
          <w:rStyle w:val="FootnoteReference"/>
          <w:rFonts w:eastAsia="Arial Unicode MS"/>
          <w:noProof/>
        </w:rPr>
        <w:footnoteReference w:id="3"/>
      </w:r>
      <w:r w:rsidR="00A018BC" w:rsidRPr="000053AC">
        <w:rPr>
          <w:rFonts w:eastAsia="Arial Unicode MS"/>
          <w:noProof/>
        </w:rPr>
        <w:t>.</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 xml:space="preserve">The evaluation concluded that the Union fishing sectors are </w:t>
      </w:r>
      <w:r>
        <w:rPr>
          <w:rFonts w:eastAsia="Arial Unicode MS"/>
          <w:noProof/>
        </w:rPr>
        <w:t>strong</w:t>
      </w:r>
      <w:r w:rsidRPr="000B4CE7">
        <w:rPr>
          <w:rFonts w:eastAsia="Arial Unicode MS"/>
          <w:noProof/>
        </w:rPr>
        <w:t xml:space="preserve">ly interested in fishing in Seychelles and that the renewal of the Protocol is in the interest of both parties. Furthermore, the renewal of the Protocol would help strengthen monitoring, control and surveillance, and would contribute to improved governance of the fisheries </w:t>
      </w:r>
      <w:r>
        <w:rPr>
          <w:rFonts w:eastAsia="Arial Unicode MS"/>
          <w:noProof/>
        </w:rPr>
        <w:t xml:space="preserve">sector </w:t>
      </w:r>
      <w:r w:rsidRPr="000B4CE7">
        <w:rPr>
          <w:rFonts w:eastAsia="Arial Unicode MS"/>
          <w:noProof/>
        </w:rPr>
        <w:t>in the region.</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rFonts w:eastAsia="Arial Unicode MS"/>
          <w:noProof/>
        </w:rPr>
        <w:t xml:space="preserve">For the Union, it is important to maintain an instrument allowing deep sectoral cooperation with Seychelles, which is a strategic player at subregional level due to the fishing area under its jurisdiction and </w:t>
      </w:r>
      <w:r>
        <w:rPr>
          <w:rFonts w:eastAsia="Arial Unicode MS"/>
          <w:noProof/>
        </w:rPr>
        <w:t xml:space="preserve">is </w:t>
      </w:r>
      <w:r w:rsidRPr="000B4CE7">
        <w:rPr>
          <w:rFonts w:eastAsia="Arial Unicode MS"/>
          <w:noProof/>
        </w:rPr>
        <w:t>an important ally in the framework of the IOTC. Furthermore, for the Union fleet this means maintaining access to an important fishing area for the deployment of harvesting strategies under a multi</w:t>
      </w:r>
      <w:r>
        <w:rPr>
          <w:rFonts w:eastAsia="Arial Unicode MS"/>
          <w:noProof/>
        </w:rPr>
        <w:t>annual</w:t>
      </w:r>
      <w:r w:rsidRPr="000B4CE7">
        <w:rPr>
          <w:rFonts w:eastAsia="Arial Unicode MS"/>
          <w:noProof/>
        </w:rPr>
        <w:t xml:space="preserve"> international legal framework. Moreover, the importance of Seychelles in terms of processing tuna caught in the Indian Ocean and consequent exports of tuna products to the Union </w:t>
      </w:r>
      <w:bookmarkStart w:id="4" w:name="_Hlk228000124"/>
      <w:r>
        <w:rPr>
          <w:rFonts w:eastAsia="Arial Unicode MS"/>
          <w:noProof/>
        </w:rPr>
        <w:t>increases</w:t>
      </w:r>
      <w:bookmarkEnd w:id="4"/>
      <w:r w:rsidRPr="000B4CE7">
        <w:rPr>
          <w:rFonts w:eastAsia="Arial Unicode MS"/>
          <w:noProof/>
        </w:rPr>
        <w:t xml:space="preserve"> the relevance of the envisaged new Protocol, both for the Union fishing industry and for the partner country. For </w:t>
      </w:r>
      <w:r>
        <w:rPr>
          <w:rFonts w:eastAsia="Arial Unicode MS"/>
          <w:noProof/>
        </w:rPr>
        <w:t xml:space="preserve">the </w:t>
      </w:r>
      <w:r w:rsidRPr="000B4CE7">
        <w:rPr>
          <w:rFonts w:eastAsia="Arial Unicode MS"/>
          <w:noProof/>
        </w:rPr>
        <w:t xml:space="preserve">Seychelles authorities, the aim is to continue relations with the Union </w:t>
      </w:r>
      <w:bookmarkStart w:id="5" w:name="_Hlk228000158"/>
      <w:r>
        <w:rPr>
          <w:rFonts w:eastAsia="Arial Unicode MS"/>
          <w:noProof/>
        </w:rPr>
        <w:t>with a view, inter alia, to</w:t>
      </w:r>
      <w:bookmarkEnd w:id="5"/>
      <w:r w:rsidRPr="000B4CE7">
        <w:rPr>
          <w:rFonts w:eastAsia="Arial Unicode MS"/>
          <w:noProof/>
        </w:rPr>
        <w:t xml:space="preserve"> strengthening ocean governance, </w:t>
      </w:r>
      <w:r>
        <w:rPr>
          <w:rFonts w:eastAsia="Arial Unicode MS"/>
          <w:noProof/>
        </w:rPr>
        <w:t xml:space="preserve">thereby </w:t>
      </w:r>
      <w:r w:rsidRPr="000B4CE7">
        <w:rPr>
          <w:rFonts w:eastAsia="Arial Unicode MS"/>
          <w:noProof/>
        </w:rPr>
        <w:t>benefiting from dedicated sectoral support that provides multi</w:t>
      </w:r>
      <w:bookmarkStart w:id="6" w:name="_Hlk228000179"/>
      <w:r>
        <w:rPr>
          <w:rFonts w:eastAsia="Arial Unicode MS"/>
          <w:noProof/>
        </w:rPr>
        <w:t>annual</w:t>
      </w:r>
      <w:bookmarkEnd w:id="6"/>
      <w:r w:rsidRPr="000B4CE7">
        <w:rPr>
          <w:rFonts w:eastAsia="Arial Unicode MS"/>
          <w:noProof/>
        </w:rPr>
        <w:t xml:space="preserve"> funding opportunities</w:t>
      </w:r>
      <w:r w:rsidRPr="000B4CE7">
        <w:rPr>
          <w:noProof/>
        </w:rPr>
        <w:t>.</w:t>
      </w:r>
    </w:p>
    <w:p w:rsidR="004C2073" w:rsidRDefault="004C207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611861" w:rsidRPr="00611861" w:rsidRDefault="00611861" w:rsidP="00611861">
      <w:pPr>
        <w:pBdr>
          <w:top w:val="nil"/>
          <w:left w:val="nil"/>
          <w:bottom w:val="nil"/>
          <w:right w:val="nil"/>
          <w:between w:val="nil"/>
          <w:bar w:val="nil"/>
        </w:pBdr>
        <w:spacing w:before="0" w:after="240"/>
        <w:rPr>
          <w:noProof/>
        </w:rPr>
      </w:pPr>
      <w:r w:rsidRPr="00611861">
        <w:rPr>
          <w:noProof/>
        </w:rPr>
        <w:t xml:space="preserve">Member States, industry representatives, international civil society organisations, the fisheries administration and representatives of civil society in Seychelles were consulted as part of the assessment. </w:t>
      </w:r>
    </w:p>
    <w:p w:rsidR="004C2073" w:rsidRDefault="004C207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DA4EC6" w:rsidRPr="000B4CE7" w:rsidRDefault="00DA4EC6" w:rsidP="00DA4EC6">
      <w:pPr>
        <w:pBdr>
          <w:top w:val="nil"/>
          <w:left w:val="nil"/>
          <w:bottom w:val="nil"/>
          <w:right w:val="nil"/>
          <w:between w:val="nil"/>
          <w:bar w:val="nil"/>
        </w:pBdr>
        <w:spacing w:before="0" w:after="240"/>
        <w:rPr>
          <w:rFonts w:eastAsia="Arial Unicode MS"/>
          <w:noProof/>
        </w:rPr>
      </w:pPr>
      <w:r w:rsidRPr="000B4CE7">
        <w:rPr>
          <w:noProof/>
        </w:rPr>
        <w:t xml:space="preserve">The Commission used an independent consultant for the </w:t>
      </w:r>
      <w:r w:rsidRPr="000B4CE7">
        <w:rPr>
          <w:i/>
          <w:noProof/>
        </w:rPr>
        <w:t>ex post</w:t>
      </w:r>
      <w:r w:rsidRPr="000B4CE7">
        <w:rPr>
          <w:noProof/>
        </w:rPr>
        <w:t xml:space="preserve"> and </w:t>
      </w:r>
      <w:r w:rsidRPr="000B4CE7">
        <w:rPr>
          <w:i/>
          <w:noProof/>
        </w:rPr>
        <w:t>ex ante</w:t>
      </w:r>
      <w:r w:rsidRPr="000B4CE7">
        <w:rPr>
          <w:noProof/>
        </w:rPr>
        <w:t xml:space="preserve"> evaluations, in accordance with Article 31(10) of Regulation (EU) No 1380/2013 establishing the </w:t>
      </w:r>
      <w:r>
        <w:rPr>
          <w:noProof/>
        </w:rPr>
        <w:t>c</w:t>
      </w:r>
      <w:r w:rsidRPr="000B4CE7">
        <w:rPr>
          <w:noProof/>
        </w:rPr>
        <w:t xml:space="preserve">ommon </w:t>
      </w:r>
      <w:r>
        <w:rPr>
          <w:noProof/>
        </w:rPr>
        <w:t>f</w:t>
      </w:r>
      <w:r w:rsidRPr="000B4CE7">
        <w:rPr>
          <w:noProof/>
        </w:rPr>
        <w:t xml:space="preserve">isheries </w:t>
      </w:r>
      <w:r>
        <w:rPr>
          <w:noProof/>
        </w:rPr>
        <w:t>p</w:t>
      </w:r>
      <w:r w:rsidRPr="000B4CE7">
        <w:rPr>
          <w:noProof/>
        </w:rPr>
        <w:t>olicy.</w:t>
      </w:r>
    </w:p>
    <w:p w:rsidR="004C2073" w:rsidRDefault="004C207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4C2073" w:rsidRPr="005A4144" w:rsidRDefault="005A4144" w:rsidP="00550536">
      <w:pPr>
        <w:pBdr>
          <w:top w:val="nil"/>
          <w:left w:val="nil"/>
          <w:bottom w:val="nil"/>
          <w:right w:val="nil"/>
          <w:between w:val="nil"/>
          <w:bar w:val="nil"/>
        </w:pBdr>
        <w:spacing w:before="0" w:after="240"/>
        <w:rPr>
          <w:rFonts w:eastAsia="Arial Unicode MS"/>
          <w:noProof/>
        </w:rPr>
      </w:pPr>
      <w:r w:rsidRPr="00093AE4">
        <w:rPr>
          <w:noProof/>
        </w:rPr>
        <w:t>Not applicable.</w:t>
      </w:r>
    </w:p>
    <w:p w:rsidR="004C2073" w:rsidRDefault="004C207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4C2073" w:rsidRPr="00550536" w:rsidRDefault="005A4144" w:rsidP="00E837CC">
      <w:pPr>
        <w:pBdr>
          <w:top w:val="nil"/>
          <w:left w:val="nil"/>
          <w:bottom w:val="nil"/>
          <w:right w:val="nil"/>
          <w:between w:val="nil"/>
          <w:bar w:val="nil"/>
        </w:pBdr>
        <w:spacing w:before="0" w:after="240"/>
        <w:rPr>
          <w:rFonts w:eastAsia="Arial Unicode MS"/>
          <w:noProof/>
        </w:rPr>
      </w:pPr>
      <w:r w:rsidRPr="00093AE4">
        <w:rPr>
          <w:noProof/>
        </w:rPr>
        <w:t>Not applicable.</w:t>
      </w:r>
    </w:p>
    <w:p w:rsidR="004C2073" w:rsidRDefault="004C207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721FA2" w:rsidRDefault="00721FA2" w:rsidP="00721FA2">
      <w:pPr>
        <w:pBdr>
          <w:top w:val="nil"/>
          <w:left w:val="nil"/>
          <w:bottom w:val="nil"/>
          <w:right w:val="nil"/>
          <w:between w:val="nil"/>
          <w:bar w:val="nil"/>
        </w:pBdr>
        <w:spacing w:before="0" w:after="240"/>
        <w:rPr>
          <w:rFonts w:eastAsia="Arial Unicode MS"/>
          <w:noProof/>
        </w:rPr>
      </w:pPr>
      <w:bookmarkStart w:id="7" w:name="_Hlk177838331"/>
      <w:r w:rsidRPr="00D12DED">
        <w:rPr>
          <w:rFonts w:eastAsia="Arial Unicode MS"/>
          <w:noProof/>
        </w:rPr>
        <w:t>A clause on the consequences of violations of human rights and democratic principles is included in the Sustainable Fisheries Partnership Agreement.</w:t>
      </w:r>
    </w:p>
    <w:bookmarkEnd w:id="7"/>
    <w:p w:rsidR="004C2073" w:rsidRDefault="004C2073" w:rsidP="00550536">
      <w:pPr>
        <w:pStyle w:val="ManualHeading1"/>
        <w:rPr>
          <w:noProof/>
        </w:rPr>
      </w:pPr>
      <w:r w:rsidRPr="00550536">
        <w:rPr>
          <w:noProof/>
        </w:rPr>
        <w:t>4.</w:t>
      </w:r>
      <w:r w:rsidRPr="00550536">
        <w:rPr>
          <w:noProof/>
        </w:rPr>
        <w:tab/>
        <w:t>BUDGETARY IMPLICATIONS</w:t>
      </w:r>
    </w:p>
    <w:p w:rsidR="004C2073" w:rsidRPr="00721FA2" w:rsidRDefault="00721FA2" w:rsidP="00550536">
      <w:pPr>
        <w:pBdr>
          <w:top w:val="nil"/>
          <w:left w:val="nil"/>
          <w:bottom w:val="nil"/>
          <w:right w:val="nil"/>
          <w:between w:val="nil"/>
          <w:bar w:val="nil"/>
        </w:pBdr>
        <w:spacing w:before="0" w:after="240"/>
        <w:rPr>
          <w:rFonts w:eastAsia="Arial Unicode MS"/>
          <w:noProof/>
        </w:rPr>
      </w:pPr>
      <w:r w:rsidRPr="00093AE4">
        <w:rPr>
          <w:noProof/>
        </w:rPr>
        <w:t>The proposed Regulation does not affect the Union budget.</w:t>
      </w:r>
    </w:p>
    <w:p w:rsidR="004C2073" w:rsidRPr="00550536" w:rsidRDefault="004C2073" w:rsidP="00550536">
      <w:pPr>
        <w:pStyle w:val="ManualHeading1"/>
        <w:rPr>
          <w:noProof/>
        </w:rPr>
      </w:pPr>
      <w:r w:rsidRPr="00550536">
        <w:rPr>
          <w:noProof/>
        </w:rPr>
        <w:t>5.</w:t>
      </w:r>
      <w:r w:rsidRPr="00550536">
        <w:rPr>
          <w:noProof/>
        </w:rPr>
        <w:tab/>
        <w:t>OTHER ELEMENTS</w:t>
      </w:r>
    </w:p>
    <w:p w:rsidR="004C2073" w:rsidRDefault="004C2073"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4C2073" w:rsidRPr="00721FA2" w:rsidRDefault="00721FA2" w:rsidP="00550536">
      <w:pPr>
        <w:pBdr>
          <w:top w:val="nil"/>
          <w:left w:val="nil"/>
          <w:bottom w:val="nil"/>
          <w:right w:val="nil"/>
          <w:between w:val="nil"/>
          <w:bar w:val="nil"/>
        </w:pBdr>
        <w:spacing w:before="0" w:after="240"/>
        <w:rPr>
          <w:rFonts w:eastAsia="Arial Unicode MS"/>
          <w:noProof/>
        </w:rPr>
      </w:pPr>
      <w:r w:rsidRPr="00093AE4">
        <w:rPr>
          <w:noProof/>
        </w:rPr>
        <w:t xml:space="preserve">This procedure is initiated in parallel with the procedures related to the Council Decision on the signing, on behalf of the Union, and provisional application of </w:t>
      </w:r>
      <w:r w:rsidR="00611861">
        <w:rPr>
          <w:noProof/>
        </w:rPr>
        <w:t xml:space="preserve">the </w:t>
      </w:r>
      <w:r w:rsidR="00611861" w:rsidRPr="00611861">
        <w:rPr>
          <w:noProof/>
        </w:rPr>
        <w:t xml:space="preserve">Protocol on the implementation of the </w:t>
      </w:r>
      <w:r w:rsidR="00164143">
        <w:rPr>
          <w:noProof/>
        </w:rPr>
        <w:t xml:space="preserve">SFPA </w:t>
      </w:r>
      <w:r w:rsidR="00611861" w:rsidRPr="00611861">
        <w:rPr>
          <w:noProof/>
        </w:rPr>
        <w:t>between the European Union and the Republic of Seychelles (2026-2030)</w:t>
      </w:r>
      <w:r w:rsidR="00611861">
        <w:rPr>
          <w:noProof/>
        </w:rPr>
        <w:t xml:space="preserve"> </w:t>
      </w:r>
      <w:r w:rsidRPr="00093AE4">
        <w:rPr>
          <w:noProof/>
        </w:rPr>
        <w:t>and the Council Decision on its conclusion. Th</w:t>
      </w:r>
      <w:r w:rsidR="00DA4EC6">
        <w:rPr>
          <w:noProof/>
        </w:rPr>
        <w:t>e</w:t>
      </w:r>
      <w:r w:rsidRPr="00093AE4">
        <w:rPr>
          <w:noProof/>
        </w:rPr>
        <w:t xml:space="preserve"> Regulation shall apply on the date of provisional application of the Protocol.</w:t>
      </w:r>
    </w:p>
    <w:p w:rsidR="004C2073" w:rsidRPr="006F770D" w:rsidRDefault="004C2073" w:rsidP="006F770D">
      <w:pPr>
        <w:rPr>
          <w:noProof/>
        </w:rPr>
        <w:sectPr w:rsidR="004C2073" w:rsidRPr="006F770D" w:rsidSect="0020759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1C545C" w:rsidRDefault="00414345">
      <w:pPr>
        <w:pStyle w:val="Rfrenceinterinstitutionnelle"/>
        <w:rPr>
          <w:noProof/>
        </w:rPr>
      </w:pPr>
      <w:r>
        <w:rPr>
          <w:noProof/>
        </w:rPr>
        <w:lastRenderedPageBreak/>
        <w:t>2026/</w:t>
      </w:r>
      <w:r>
        <w:rPr>
          <w:noProof/>
        </w:rPr>
        <w:t>0108 (NLE)</w:t>
      </w:r>
    </w:p>
    <w:p w:rsidR="004C2073" w:rsidRPr="006F770D" w:rsidRDefault="001E7D92" w:rsidP="001E7D92">
      <w:pPr>
        <w:pStyle w:val="Statut"/>
        <w:rPr>
          <w:noProof/>
        </w:rPr>
      </w:pPr>
      <w:r w:rsidRPr="001E7D92">
        <w:rPr>
          <w:noProof/>
        </w:rPr>
        <w:t>Proposal for a</w:t>
      </w:r>
    </w:p>
    <w:p w:rsidR="004C2073" w:rsidRPr="006F770D" w:rsidRDefault="001E7D92" w:rsidP="001E7D92">
      <w:pPr>
        <w:pStyle w:val="Typedudocument"/>
        <w:rPr>
          <w:noProof/>
        </w:rPr>
      </w:pPr>
      <w:r w:rsidRPr="001E7D92">
        <w:rPr>
          <w:noProof/>
        </w:rPr>
        <w:t>COUNCIL REGULATION</w:t>
      </w:r>
    </w:p>
    <w:p w:rsidR="00477FF1" w:rsidRPr="00477FF1" w:rsidRDefault="001E7D92" w:rsidP="001E7D92">
      <w:pPr>
        <w:pStyle w:val="Titreobjet"/>
        <w:rPr>
          <w:noProof/>
        </w:rPr>
      </w:pPr>
      <w:r w:rsidRPr="001E7D92">
        <w:rPr>
          <w:noProof/>
        </w:rPr>
        <w:t>on the allocation of the fishing opportunities provided for in the Protocol on the implementation of the Sustainable Fisheries Partnership Agreement between the European Union and the Republic of Seychelles (2026-2030)</w:t>
      </w:r>
    </w:p>
    <w:p w:rsidR="004C2073" w:rsidRPr="006F770D" w:rsidRDefault="004C2073" w:rsidP="00750517">
      <w:pPr>
        <w:pStyle w:val="Institutionquiagit"/>
        <w:rPr>
          <w:noProof/>
        </w:rPr>
      </w:pPr>
      <w:r w:rsidRPr="006F770D">
        <w:rPr>
          <w:noProof/>
        </w:rPr>
        <w:t>THE COUNCIL OF THE EUROPEAN UNION,</w:t>
      </w:r>
    </w:p>
    <w:p w:rsidR="00DA4EC6" w:rsidRPr="000B4CE7" w:rsidRDefault="00DA4EC6" w:rsidP="00DA4EC6">
      <w:pPr>
        <w:rPr>
          <w:noProof/>
        </w:rPr>
      </w:pPr>
      <w:r w:rsidRPr="000B4CE7">
        <w:rPr>
          <w:noProof/>
        </w:rPr>
        <w:t>Having regard to the Treaty on the Functioning of the European Union, and in particular Article</w:t>
      </w:r>
      <w:r>
        <w:rPr>
          <w:noProof/>
        </w:rPr>
        <w:t> </w:t>
      </w:r>
      <w:r w:rsidRPr="000B4CE7">
        <w:rPr>
          <w:noProof/>
        </w:rPr>
        <w:t>43, paragraph 3 thereof,</w:t>
      </w:r>
    </w:p>
    <w:p w:rsidR="00DA4EC6" w:rsidRPr="000B4CE7" w:rsidRDefault="00DA4EC6" w:rsidP="00DA4EC6">
      <w:pPr>
        <w:rPr>
          <w:noProof/>
        </w:rPr>
      </w:pPr>
      <w:r w:rsidRPr="000B4CE7">
        <w:rPr>
          <w:noProof/>
        </w:rPr>
        <w:t>Having regard to the proposal from the European Commission,</w:t>
      </w:r>
    </w:p>
    <w:p w:rsidR="00DA4EC6" w:rsidRPr="000B4CE7" w:rsidRDefault="00DA4EC6" w:rsidP="00DA4EC6">
      <w:pPr>
        <w:rPr>
          <w:noProof/>
        </w:rPr>
      </w:pPr>
      <w:r w:rsidRPr="000B4CE7">
        <w:rPr>
          <w:noProof/>
        </w:rPr>
        <w:t>Whereas:</w:t>
      </w:r>
    </w:p>
    <w:p w:rsidR="00DA4EC6" w:rsidRPr="000B4CE7" w:rsidRDefault="005C4F2B" w:rsidP="00DA4EC6">
      <w:pPr>
        <w:pStyle w:val="ManualConsidrant"/>
        <w:rPr>
          <w:noProof/>
        </w:rPr>
      </w:pPr>
      <w:r>
        <w:rPr>
          <w:noProof/>
        </w:rPr>
        <w:t>(1)</w:t>
      </w:r>
      <w:r>
        <w:rPr>
          <w:noProof/>
        </w:rPr>
        <w:tab/>
        <w:t xml:space="preserve">The Commission has negotiated on behalf of the European Union, a new Protocol on the implementation of the </w:t>
      </w:r>
      <w:r w:rsidRPr="00345CCE">
        <w:rPr>
          <w:noProof/>
        </w:rPr>
        <w:t xml:space="preserve">Sustainable Fisheries Partnership Agreement </w:t>
      </w:r>
      <w:r>
        <w:rPr>
          <w:noProof/>
        </w:rPr>
        <w:t>between the European Union and the Republic of Seychelles for a duration of four years (</w:t>
      </w:r>
      <w:r w:rsidRPr="00DE2614">
        <w:rPr>
          <w:noProof/>
        </w:rPr>
        <w:t>‘</w:t>
      </w:r>
      <w:r>
        <w:rPr>
          <w:noProof/>
        </w:rPr>
        <w:t>the Protocol</w:t>
      </w:r>
      <w:r w:rsidRPr="00DE2614">
        <w:rPr>
          <w:noProof/>
        </w:rPr>
        <w:t>’</w:t>
      </w:r>
      <w:r>
        <w:rPr>
          <w:noProof/>
        </w:rPr>
        <w:t>).</w:t>
      </w:r>
    </w:p>
    <w:p w:rsidR="005C4F2B" w:rsidRDefault="005C4F2B" w:rsidP="00DA4EC6">
      <w:pPr>
        <w:pStyle w:val="ManualConsidrant"/>
        <w:rPr>
          <w:noProof/>
        </w:rPr>
      </w:pPr>
      <w:r>
        <w:rPr>
          <w:noProof/>
        </w:rPr>
        <w:t>(2)</w:t>
      </w:r>
      <w:r>
        <w:rPr>
          <w:noProof/>
        </w:rPr>
        <w:tab/>
        <w:t>This Protocol replaces t</w:t>
      </w:r>
      <w:r w:rsidRPr="008D4677">
        <w:rPr>
          <w:noProof/>
        </w:rPr>
        <w:t>he most recent protocol implementing the</w:t>
      </w:r>
      <w:r>
        <w:rPr>
          <w:noProof/>
        </w:rPr>
        <w:t xml:space="preserve"> Sustainable</w:t>
      </w:r>
      <w:r w:rsidRPr="008D4677">
        <w:rPr>
          <w:noProof/>
        </w:rPr>
        <w:t xml:space="preserve"> Fisheries Partnership Agreement between the European Community and the Republic of Seychelles</w:t>
      </w:r>
      <w:r w:rsidR="00DB3459">
        <w:rPr>
          <w:rStyle w:val="FootnoteReference"/>
          <w:noProof/>
        </w:rPr>
        <w:footnoteReference w:id="4"/>
      </w:r>
      <w:r w:rsidRPr="00DB5280">
        <w:rPr>
          <w:i/>
          <w:iCs/>
          <w:noProof/>
        </w:rPr>
        <w:t>,</w:t>
      </w:r>
      <w:r>
        <w:rPr>
          <w:noProof/>
        </w:rPr>
        <w:t xml:space="preserve"> which </w:t>
      </w:r>
      <w:r w:rsidRPr="008D4677">
        <w:rPr>
          <w:noProof/>
        </w:rPr>
        <w:t xml:space="preserve">was signed on </w:t>
      </w:r>
      <w:r>
        <w:rPr>
          <w:noProof/>
        </w:rPr>
        <w:t>24 February 2020</w:t>
      </w:r>
      <w:r w:rsidRPr="008D4677">
        <w:rPr>
          <w:noProof/>
        </w:rPr>
        <w:t xml:space="preserve"> </w:t>
      </w:r>
      <w:r>
        <w:rPr>
          <w:noProof/>
        </w:rPr>
        <w:t xml:space="preserve">for a  duration of six years, and </w:t>
      </w:r>
      <w:r w:rsidRPr="008D4677">
        <w:rPr>
          <w:noProof/>
        </w:rPr>
        <w:t>expired on</w:t>
      </w:r>
      <w:r>
        <w:rPr>
          <w:noProof/>
        </w:rPr>
        <w:t xml:space="preserve"> 23 February 2026.</w:t>
      </w:r>
    </w:p>
    <w:p w:rsidR="00DA4EC6" w:rsidRPr="000B4CE7" w:rsidRDefault="00DB3459" w:rsidP="00DA4EC6">
      <w:pPr>
        <w:pStyle w:val="ManualConsidrant"/>
        <w:rPr>
          <w:noProof/>
        </w:rPr>
      </w:pPr>
      <w:r>
        <w:rPr>
          <w:noProof/>
        </w:rPr>
        <w:t>(3)</w:t>
      </w:r>
      <w:r>
        <w:rPr>
          <w:noProof/>
        </w:rPr>
        <w:tab/>
        <w:t>Following these</w:t>
      </w:r>
      <w:r w:rsidRPr="00126620">
        <w:rPr>
          <w:noProof/>
        </w:rPr>
        <w:t xml:space="preserve"> negotiations the </w:t>
      </w:r>
      <w:r>
        <w:rPr>
          <w:noProof/>
        </w:rPr>
        <w:t xml:space="preserve">new </w:t>
      </w:r>
      <w:r w:rsidRPr="00126620">
        <w:rPr>
          <w:noProof/>
        </w:rPr>
        <w:t xml:space="preserve">Protocol </w:t>
      </w:r>
      <w:r>
        <w:rPr>
          <w:noProof/>
        </w:rPr>
        <w:t xml:space="preserve">was initialled </w:t>
      </w:r>
      <w:r w:rsidRPr="00126620">
        <w:rPr>
          <w:noProof/>
        </w:rPr>
        <w:t>on 1 April 2026</w:t>
      </w:r>
      <w:r w:rsidR="00DA4EC6" w:rsidRPr="000B4CE7">
        <w:rPr>
          <w:noProof/>
        </w:rPr>
        <w:t>.</w:t>
      </w:r>
    </w:p>
    <w:p w:rsidR="00DA4EC6" w:rsidRPr="000B4CE7" w:rsidRDefault="00DA4EC6" w:rsidP="00DA4EC6">
      <w:pPr>
        <w:pStyle w:val="ManualConsidrant"/>
        <w:rPr>
          <w:noProof/>
        </w:rPr>
      </w:pPr>
      <w:r>
        <w:rPr>
          <w:noProof/>
        </w:rPr>
        <w:t>(4)</w:t>
      </w:r>
      <w:r>
        <w:rPr>
          <w:noProof/>
        </w:rPr>
        <w:tab/>
      </w:r>
      <w:r w:rsidRPr="000B4CE7">
        <w:rPr>
          <w:noProof/>
        </w:rPr>
        <w:t>On [</w:t>
      </w:r>
      <w:r>
        <w:rPr>
          <w:noProof/>
        </w:rPr>
        <w:t>…</w:t>
      </w:r>
      <w:r w:rsidRPr="000B4CE7">
        <w:rPr>
          <w:noProof/>
        </w:rPr>
        <w:t>], the Council adopted Decision (EU) [</w:t>
      </w:r>
      <w:r>
        <w:rPr>
          <w:noProof/>
        </w:rPr>
        <w:t>…</w:t>
      </w:r>
      <w:r w:rsidRPr="000B4CE7">
        <w:rPr>
          <w:noProof/>
        </w:rPr>
        <w:t>]</w:t>
      </w:r>
      <w:r w:rsidR="00DB3459">
        <w:rPr>
          <w:noProof/>
        </w:rPr>
        <w:t xml:space="preserve"> </w:t>
      </w:r>
      <w:r w:rsidR="00DB3459" w:rsidRPr="00DB3459">
        <w:rPr>
          <w:i/>
          <w:iCs/>
          <w:noProof/>
        </w:rPr>
        <w:t>[</w:t>
      </w:r>
      <w:r w:rsidR="00DB3459" w:rsidRPr="00DB5280">
        <w:rPr>
          <w:i/>
          <w:iCs/>
          <w:noProof/>
        </w:rPr>
        <w:t>footnote reference]</w:t>
      </w:r>
      <w:r w:rsidR="00DB3459">
        <w:rPr>
          <w:noProof/>
        </w:rPr>
        <w:t xml:space="preserve"> </w:t>
      </w:r>
      <w:r w:rsidRPr="000B4CE7">
        <w:rPr>
          <w:noProof/>
        </w:rPr>
        <w:t>on the signing and provisional application of the new Protocol, subject to its conclusion at a later date.</w:t>
      </w:r>
    </w:p>
    <w:p w:rsidR="00DA4EC6" w:rsidRPr="000B4CE7" w:rsidRDefault="00DA4EC6" w:rsidP="00DA4EC6">
      <w:pPr>
        <w:pStyle w:val="ManualConsidrant"/>
        <w:rPr>
          <w:noProof/>
        </w:rPr>
      </w:pPr>
      <w:r>
        <w:rPr>
          <w:noProof/>
        </w:rPr>
        <w:t>(5)</w:t>
      </w:r>
      <w:r>
        <w:rPr>
          <w:noProof/>
        </w:rPr>
        <w:tab/>
      </w:r>
      <w:r w:rsidRPr="000B4CE7">
        <w:rPr>
          <w:noProof/>
        </w:rPr>
        <w:t>The fishing opportunities provided for in the Protocol should be allocated among the Member States for the entire period of application of the Protocol.</w:t>
      </w:r>
    </w:p>
    <w:p w:rsidR="00DA4EC6" w:rsidRPr="000B4CE7" w:rsidRDefault="00DB3459" w:rsidP="00DA4EC6">
      <w:pPr>
        <w:pStyle w:val="ManualConsidrant"/>
        <w:rPr>
          <w:noProof/>
        </w:rPr>
      </w:pPr>
      <w:r>
        <w:rPr>
          <w:noProof/>
        </w:rPr>
        <w:t>(6)</w:t>
      </w:r>
      <w:r>
        <w:rPr>
          <w:noProof/>
        </w:rPr>
        <w:tab/>
      </w:r>
      <w:r w:rsidRPr="00093AE4">
        <w:rPr>
          <w:noProof/>
        </w:rPr>
        <w:t xml:space="preserve">This Regulation should enter into force as soon as possible given the economic importance of Union fishing activities in </w:t>
      </w:r>
      <w:r>
        <w:rPr>
          <w:noProof/>
        </w:rPr>
        <w:t>Seychelles</w:t>
      </w:r>
      <w:r w:rsidRPr="00093AE4">
        <w:rPr>
          <w:noProof/>
        </w:rPr>
        <w:t xml:space="preserve">’ fishing zone and the need to </w:t>
      </w:r>
      <w:r>
        <w:rPr>
          <w:noProof/>
        </w:rPr>
        <w:t xml:space="preserve">. </w:t>
      </w:r>
      <w:r w:rsidRPr="00CF54BC">
        <w:rPr>
          <w:noProof/>
        </w:rPr>
        <w:t>reduce as much as possible the interruption of such activities</w:t>
      </w:r>
      <w:r w:rsidR="00DA4EC6" w:rsidRPr="000B4CE7">
        <w:rPr>
          <w:noProof/>
        </w:rPr>
        <w:t>.</w:t>
      </w:r>
    </w:p>
    <w:p w:rsidR="00DA4EC6" w:rsidRPr="000B4CE7" w:rsidRDefault="00DB3459" w:rsidP="00DA4EC6">
      <w:pPr>
        <w:pStyle w:val="ManualConsidrant"/>
        <w:spacing w:after="240"/>
        <w:rPr>
          <w:noProof/>
        </w:rPr>
      </w:pPr>
      <w:r>
        <w:rPr>
          <w:noProof/>
        </w:rPr>
        <w:t>(7)</w:t>
      </w:r>
      <w:r>
        <w:rPr>
          <w:noProof/>
        </w:rPr>
        <w:tab/>
      </w:r>
      <w:r w:rsidRPr="00144EA7">
        <w:rPr>
          <w:noProof/>
        </w:rPr>
        <w:t xml:space="preserve">Article </w:t>
      </w:r>
      <w:r>
        <w:rPr>
          <w:noProof/>
        </w:rPr>
        <w:t>19</w:t>
      </w:r>
      <w:r w:rsidRPr="00144EA7">
        <w:rPr>
          <w:noProof/>
        </w:rPr>
        <w:t xml:space="preserve"> of the Protocol provides </w:t>
      </w:r>
      <w:r>
        <w:rPr>
          <w:noProof/>
        </w:rPr>
        <w:t xml:space="preserve"> for </w:t>
      </w:r>
      <w:r w:rsidRPr="00093AE4">
        <w:rPr>
          <w:noProof/>
        </w:rPr>
        <w:t xml:space="preserve"> </w:t>
      </w:r>
      <w:r>
        <w:rPr>
          <w:noProof/>
        </w:rPr>
        <w:t xml:space="preserve">the Protocol’s </w:t>
      </w:r>
      <w:r w:rsidRPr="00093AE4">
        <w:rPr>
          <w:noProof/>
        </w:rPr>
        <w:t>provisional</w:t>
      </w:r>
      <w:r>
        <w:rPr>
          <w:noProof/>
        </w:rPr>
        <w:t xml:space="preserve"> application</w:t>
      </w:r>
      <w:r w:rsidRPr="00093AE4">
        <w:rPr>
          <w:noProof/>
        </w:rPr>
        <w:t xml:space="preserve"> from the date of its signature in order to allow the fishing activities of Union vessels. This Regulation should therefore apply from the same date</w:t>
      </w:r>
      <w:r>
        <w:rPr>
          <w:noProof/>
        </w:rPr>
        <w:t>,</w:t>
      </w:r>
    </w:p>
    <w:p w:rsidR="004C2073" w:rsidRPr="006F770D" w:rsidRDefault="004C2073" w:rsidP="00750517">
      <w:pPr>
        <w:pStyle w:val="Formuledadoption"/>
        <w:rPr>
          <w:noProof/>
        </w:rPr>
      </w:pPr>
      <w:r w:rsidRPr="006F770D">
        <w:rPr>
          <w:noProof/>
        </w:rPr>
        <w:lastRenderedPageBreak/>
        <w:t>HAS ADOPTED THIS REGULATION:</w:t>
      </w:r>
    </w:p>
    <w:p w:rsidR="004C2073" w:rsidRPr="006F770D" w:rsidRDefault="004C2073" w:rsidP="00750517">
      <w:pPr>
        <w:pStyle w:val="Titrearticle"/>
        <w:rPr>
          <w:noProof/>
        </w:rPr>
      </w:pPr>
      <w:r w:rsidRPr="006F770D">
        <w:rPr>
          <w:noProof/>
        </w:rPr>
        <w:t>Article 1</w:t>
      </w:r>
    </w:p>
    <w:p w:rsidR="004C2073" w:rsidRPr="004C2073" w:rsidRDefault="004C2073" w:rsidP="004C2073">
      <w:pPr>
        <w:rPr>
          <w:noProof/>
          <w:lang w:val="en-IE"/>
        </w:rPr>
      </w:pPr>
      <w:r w:rsidRPr="004C2073">
        <w:rPr>
          <w:noProof/>
          <w:lang w:val="en-IE"/>
        </w:rPr>
        <w:t>The fishing opportunities set out in the Protocol on the implementation of the Sustainable</w:t>
      </w:r>
      <w:r>
        <w:rPr>
          <w:noProof/>
          <w:lang w:val="en-IE"/>
        </w:rPr>
        <w:t xml:space="preserve"> </w:t>
      </w:r>
      <w:r w:rsidRPr="004C2073">
        <w:rPr>
          <w:noProof/>
          <w:lang w:val="en-IE"/>
        </w:rPr>
        <w:t xml:space="preserve">Fisheries Partnership Agreement between the European Union and the </w:t>
      </w:r>
      <w:r w:rsidR="007B48D5">
        <w:rPr>
          <w:noProof/>
          <w:lang w:val="en-IE"/>
        </w:rPr>
        <w:t xml:space="preserve">Republic of Seychelles </w:t>
      </w:r>
      <w:r w:rsidRPr="004C2073">
        <w:rPr>
          <w:noProof/>
          <w:lang w:val="en-IE"/>
        </w:rPr>
        <w:t>(‘the Protocol’) shall be allocated among the Member States as follows:</w:t>
      </w:r>
    </w:p>
    <w:p w:rsidR="00410C3C" w:rsidRDefault="00410C3C" w:rsidP="008218D7">
      <w:pPr>
        <w:pStyle w:val="Point0"/>
        <w:rPr>
          <w:i/>
          <w:noProof/>
          <w:lang w:val="fr-BE"/>
        </w:rPr>
      </w:pPr>
      <w:r>
        <w:rPr>
          <w:noProof/>
        </w:rPr>
        <w:t>(a)</w:t>
      </w:r>
      <w:r>
        <w:rPr>
          <w:noProof/>
        </w:rPr>
        <w:tab/>
      </w:r>
      <w:r w:rsidRPr="00410C3C">
        <w:rPr>
          <w:noProof/>
          <w:lang w:val="fr-BE"/>
        </w:rPr>
        <w:t xml:space="preserve">tuna purse seine vessels: </w:t>
      </w:r>
    </w:p>
    <w:p w:rsidR="00410C3C" w:rsidRDefault="00410C3C" w:rsidP="00410C3C">
      <w:pPr>
        <w:pStyle w:val="Titrearticle"/>
        <w:ind w:left="720"/>
        <w:jc w:val="both"/>
        <w:rPr>
          <w:i w:val="0"/>
          <w:noProof/>
          <w:lang w:val="fr-BE"/>
        </w:rPr>
      </w:pPr>
      <w:r w:rsidRPr="00410C3C">
        <w:rPr>
          <w:i w:val="0"/>
          <w:noProof/>
          <w:lang w:val="fr-BE"/>
        </w:rPr>
        <w:t xml:space="preserve">Spain: </w:t>
      </w:r>
      <w:r w:rsidR="00FC6460">
        <w:rPr>
          <w:i w:val="0"/>
          <w:noProof/>
          <w:lang w:val="fr-BE"/>
        </w:rPr>
        <w:t>17</w:t>
      </w:r>
      <w:r w:rsidRPr="00410C3C">
        <w:rPr>
          <w:i w:val="0"/>
          <w:noProof/>
          <w:lang w:val="fr-BE"/>
        </w:rPr>
        <w:t xml:space="preserve"> vessels </w:t>
      </w:r>
    </w:p>
    <w:p w:rsidR="00410C3C" w:rsidRDefault="00410C3C" w:rsidP="00410C3C">
      <w:pPr>
        <w:pStyle w:val="Titrearticle"/>
        <w:ind w:left="720"/>
        <w:jc w:val="both"/>
        <w:rPr>
          <w:i w:val="0"/>
          <w:noProof/>
          <w:lang w:val="fr-BE"/>
        </w:rPr>
      </w:pPr>
      <w:r w:rsidRPr="00410C3C">
        <w:rPr>
          <w:i w:val="0"/>
          <w:noProof/>
          <w:lang w:val="fr-BE"/>
        </w:rPr>
        <w:t xml:space="preserve">France: </w:t>
      </w:r>
      <w:r w:rsidR="00FC6460">
        <w:rPr>
          <w:i w:val="0"/>
          <w:noProof/>
          <w:lang w:val="fr-BE"/>
        </w:rPr>
        <w:t>12</w:t>
      </w:r>
      <w:r w:rsidR="00121E4D">
        <w:rPr>
          <w:i w:val="0"/>
          <w:noProof/>
          <w:lang w:val="fr-BE"/>
        </w:rPr>
        <w:t xml:space="preserve"> </w:t>
      </w:r>
      <w:r w:rsidRPr="00410C3C">
        <w:rPr>
          <w:i w:val="0"/>
          <w:noProof/>
          <w:lang w:val="fr-BE"/>
        </w:rPr>
        <w:t xml:space="preserve">vessels </w:t>
      </w:r>
    </w:p>
    <w:p w:rsidR="00410C3C" w:rsidRDefault="00410C3C" w:rsidP="00410C3C">
      <w:pPr>
        <w:pStyle w:val="Titrearticle"/>
        <w:ind w:left="720"/>
        <w:jc w:val="both"/>
        <w:rPr>
          <w:i w:val="0"/>
          <w:noProof/>
          <w:lang w:val="fr-BE"/>
        </w:rPr>
      </w:pPr>
      <w:r w:rsidRPr="00410C3C">
        <w:rPr>
          <w:i w:val="0"/>
          <w:noProof/>
          <w:lang w:val="fr-BE"/>
        </w:rPr>
        <w:t xml:space="preserve">Italy: </w:t>
      </w:r>
      <w:r w:rsidR="00FC6460">
        <w:rPr>
          <w:i w:val="0"/>
          <w:noProof/>
          <w:lang w:val="fr-BE"/>
        </w:rPr>
        <w:t>1</w:t>
      </w:r>
      <w:r w:rsidRPr="00410C3C">
        <w:rPr>
          <w:i w:val="0"/>
          <w:noProof/>
          <w:lang w:val="fr-BE"/>
        </w:rPr>
        <w:t xml:space="preserve"> vessels </w:t>
      </w:r>
    </w:p>
    <w:p w:rsidR="00410C3C" w:rsidRPr="00410C3C" w:rsidRDefault="00410C3C" w:rsidP="005212BF">
      <w:pPr>
        <w:pStyle w:val="Point0"/>
        <w:rPr>
          <w:noProof/>
          <w:lang w:val="fr-BE"/>
        </w:rPr>
      </w:pPr>
      <w:r>
        <w:rPr>
          <w:noProof/>
        </w:rPr>
        <w:t>(b)</w:t>
      </w:r>
      <w:r>
        <w:rPr>
          <w:noProof/>
        </w:rPr>
        <w:tab/>
      </w:r>
      <w:r w:rsidRPr="00410C3C">
        <w:rPr>
          <w:noProof/>
          <w:lang w:val="fr-BE"/>
        </w:rPr>
        <w:t xml:space="preserve"> surface longliners: </w:t>
      </w:r>
    </w:p>
    <w:p w:rsidR="00410C3C" w:rsidRDefault="00410C3C" w:rsidP="00410C3C">
      <w:pPr>
        <w:pStyle w:val="Titrearticle"/>
        <w:tabs>
          <w:tab w:val="left" w:pos="851"/>
        </w:tabs>
        <w:ind w:left="720"/>
        <w:jc w:val="both"/>
        <w:rPr>
          <w:i w:val="0"/>
          <w:noProof/>
          <w:lang w:val="fr-BE"/>
        </w:rPr>
      </w:pPr>
      <w:r w:rsidRPr="00410C3C">
        <w:rPr>
          <w:i w:val="0"/>
          <w:noProof/>
          <w:lang w:val="fr-BE"/>
        </w:rPr>
        <w:t xml:space="preserve">Spain: 2 vessels </w:t>
      </w:r>
    </w:p>
    <w:p w:rsidR="00410C3C" w:rsidRDefault="00410C3C" w:rsidP="00410C3C">
      <w:pPr>
        <w:pStyle w:val="Titrearticle"/>
        <w:tabs>
          <w:tab w:val="left" w:pos="851"/>
        </w:tabs>
        <w:ind w:left="720"/>
        <w:jc w:val="both"/>
        <w:rPr>
          <w:i w:val="0"/>
          <w:noProof/>
          <w:lang w:val="fr-BE"/>
        </w:rPr>
      </w:pPr>
      <w:r w:rsidRPr="00410C3C">
        <w:rPr>
          <w:i w:val="0"/>
          <w:noProof/>
          <w:lang w:val="fr-BE"/>
        </w:rPr>
        <w:t xml:space="preserve">France: 4 vessels </w:t>
      </w:r>
    </w:p>
    <w:p w:rsidR="00410C3C" w:rsidRDefault="00410C3C" w:rsidP="00410C3C">
      <w:pPr>
        <w:pStyle w:val="Titrearticle"/>
        <w:tabs>
          <w:tab w:val="left" w:pos="851"/>
        </w:tabs>
        <w:ind w:left="720"/>
        <w:jc w:val="both"/>
        <w:rPr>
          <w:i w:val="0"/>
          <w:noProof/>
          <w:lang w:val="fr-BE"/>
        </w:rPr>
      </w:pPr>
      <w:r w:rsidRPr="00410C3C">
        <w:rPr>
          <w:i w:val="0"/>
          <w:noProof/>
          <w:lang w:val="fr-BE"/>
        </w:rPr>
        <w:t>Portugal: 2 vessels</w:t>
      </w:r>
    </w:p>
    <w:p w:rsidR="00410C3C" w:rsidRDefault="00410C3C" w:rsidP="00410C3C">
      <w:pPr>
        <w:pStyle w:val="Titrearticle"/>
        <w:tabs>
          <w:tab w:val="left" w:pos="851"/>
        </w:tabs>
        <w:ind w:left="720"/>
        <w:rPr>
          <w:i w:val="0"/>
          <w:noProof/>
          <w:lang w:val="fr-BE"/>
        </w:rPr>
      </w:pPr>
    </w:p>
    <w:p w:rsidR="004C2073" w:rsidRPr="00410C3C" w:rsidRDefault="004C2073" w:rsidP="00410C3C">
      <w:pPr>
        <w:pStyle w:val="Titrearticle"/>
        <w:tabs>
          <w:tab w:val="left" w:pos="851"/>
        </w:tabs>
        <w:ind w:left="720"/>
        <w:rPr>
          <w:noProof/>
          <w:lang w:val="fr-BE"/>
        </w:rPr>
      </w:pPr>
      <w:r w:rsidRPr="00410C3C">
        <w:rPr>
          <w:noProof/>
          <w:lang w:val="fr-BE"/>
        </w:rPr>
        <w:t>Article</w:t>
      </w:r>
      <w:r w:rsidR="006457F7" w:rsidRPr="00410C3C">
        <w:rPr>
          <w:noProof/>
          <w:lang w:val="fr-BE"/>
        </w:rPr>
        <w:t xml:space="preserve"> 2</w:t>
      </w:r>
    </w:p>
    <w:p w:rsidR="004C2073" w:rsidRPr="00093AE4" w:rsidRDefault="004C2073" w:rsidP="009D0228">
      <w:pPr>
        <w:rPr>
          <w:noProof/>
        </w:rPr>
      </w:pPr>
      <w:r w:rsidRPr="006F770D">
        <w:rPr>
          <w:noProof/>
        </w:rPr>
        <w:t xml:space="preserve">This Regulation shall enter into force on the day following that of its publication in the </w:t>
      </w:r>
      <w:r w:rsidRPr="006F770D">
        <w:rPr>
          <w:i/>
          <w:noProof/>
        </w:rPr>
        <w:t>Official Journal of the European Union</w:t>
      </w:r>
      <w:r w:rsidRPr="006F770D">
        <w:rPr>
          <w:noProof/>
        </w:rPr>
        <w:t>.</w:t>
      </w:r>
    </w:p>
    <w:p w:rsidR="004C2073" w:rsidRDefault="004C2073" w:rsidP="00A12901">
      <w:pPr>
        <w:pStyle w:val="Applicationdirecte"/>
        <w:rPr>
          <w:noProof/>
        </w:rPr>
      </w:pPr>
      <w:r w:rsidRPr="006F770D">
        <w:rPr>
          <w:noProof/>
        </w:rPr>
        <w:t>This Regulation shall be binding in its entirety and directly applicable in all Member States.</w:t>
      </w:r>
      <w:r w:rsidR="001E7D92">
        <w:rPr>
          <w:noProof/>
        </w:rPr>
        <w:t xml:space="preserve"> It shall apply from the date of the signature of the Protocol. </w:t>
      </w:r>
    </w:p>
    <w:p w:rsidR="004C2073" w:rsidRPr="001E7D92" w:rsidRDefault="001E7D92" w:rsidP="00A5254D">
      <w:pPr>
        <w:pStyle w:val="Fait"/>
        <w:rPr>
          <w:i/>
          <w:iCs/>
          <w:noProof/>
        </w:rPr>
      </w:pPr>
      <w:r>
        <w:rPr>
          <w:noProof/>
        </w:rPr>
        <w:t>Done at Brussels,</w:t>
      </w:r>
    </w:p>
    <w:p w:rsidR="004C2073" w:rsidRDefault="004C2073" w:rsidP="00A5254D">
      <w:pPr>
        <w:pStyle w:val="Institutionquisigne"/>
        <w:rPr>
          <w:noProof/>
        </w:rPr>
      </w:pPr>
      <w:r w:rsidRPr="004C2073">
        <w:rPr>
          <w:noProof/>
        </w:rPr>
        <w:tab/>
        <w:t>For the Council</w:t>
      </w:r>
    </w:p>
    <w:p w:rsidR="004C2073" w:rsidRPr="00DB3459" w:rsidRDefault="004C2073" w:rsidP="005A096F">
      <w:pPr>
        <w:pStyle w:val="Personnequisigne"/>
        <w:rPr>
          <w:noProof/>
        </w:rPr>
      </w:pPr>
      <w:r w:rsidRPr="004C2073">
        <w:rPr>
          <w:noProof/>
        </w:rPr>
        <w:tab/>
        <w:t>The Presiden</w:t>
      </w:r>
      <w:r w:rsidR="00DF6077">
        <w:rPr>
          <w:noProof/>
        </w:rPr>
        <w:t>t</w:t>
      </w:r>
    </w:p>
    <w:sectPr w:rsidR="004C2073" w:rsidRPr="00DB3459" w:rsidSect="00207590">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73" w:rsidRDefault="004C2073" w:rsidP="004C2073">
      <w:pPr>
        <w:spacing w:before="0" w:after="0"/>
      </w:pPr>
      <w:r>
        <w:separator/>
      </w:r>
    </w:p>
  </w:endnote>
  <w:endnote w:type="continuationSeparator" w:id="0">
    <w:p w:rsidR="004C2073" w:rsidRDefault="004C2073" w:rsidP="004C20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90" w:rsidRPr="00207590" w:rsidRDefault="00207590" w:rsidP="00207590">
    <w:pPr>
      <w:pStyle w:val="Footer"/>
      <w:rPr>
        <w:rFonts w:ascii="Arial" w:hAnsi="Arial" w:cs="Arial"/>
        <w:b/>
        <w:sz w:val="48"/>
      </w:rPr>
    </w:pPr>
    <w:r w:rsidRPr="00207590">
      <w:rPr>
        <w:rFonts w:ascii="Arial" w:hAnsi="Arial" w:cs="Arial"/>
        <w:b/>
        <w:sz w:val="48"/>
      </w:rPr>
      <w:t>EN</w:t>
    </w:r>
    <w:r w:rsidRPr="00207590">
      <w:rPr>
        <w:rFonts w:ascii="Arial" w:hAnsi="Arial" w:cs="Arial"/>
        <w:b/>
        <w:sz w:val="48"/>
      </w:rPr>
      <w:tab/>
    </w:r>
    <w:r w:rsidRPr="00207590">
      <w:rPr>
        <w:rFonts w:ascii="Arial" w:hAnsi="Arial" w:cs="Arial"/>
        <w:b/>
        <w:sz w:val="48"/>
      </w:rPr>
      <w:tab/>
    </w:r>
    <w:r w:rsidRPr="00207590">
      <w:tab/>
    </w:r>
    <w:r w:rsidRPr="0020759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90" w:rsidRPr="00207590" w:rsidRDefault="00207590" w:rsidP="00207590">
    <w:pPr>
      <w:pStyle w:val="Footer"/>
      <w:rPr>
        <w:rFonts w:ascii="Arial" w:hAnsi="Arial" w:cs="Arial"/>
        <w:b/>
        <w:sz w:val="48"/>
      </w:rPr>
    </w:pPr>
    <w:r w:rsidRPr="00207590">
      <w:rPr>
        <w:rFonts w:ascii="Arial" w:hAnsi="Arial" w:cs="Arial"/>
        <w:b/>
        <w:sz w:val="48"/>
      </w:rPr>
      <w:t>EN</w:t>
    </w:r>
    <w:r w:rsidRPr="00207590">
      <w:rPr>
        <w:rFonts w:ascii="Arial" w:hAnsi="Arial" w:cs="Arial"/>
        <w:b/>
        <w:sz w:val="48"/>
      </w:rPr>
      <w:tab/>
    </w:r>
    <w:r w:rsidRPr="00207590">
      <w:rPr>
        <w:rFonts w:ascii="Arial" w:hAnsi="Arial" w:cs="Arial"/>
        <w:b/>
        <w:sz w:val="48"/>
      </w:rPr>
      <w:tab/>
    </w:r>
    <w:r w:rsidRPr="00207590">
      <w:tab/>
    </w:r>
    <w:r w:rsidRPr="0020759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90" w:rsidRDefault="002075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90" w:rsidRPr="00207590" w:rsidRDefault="00207590" w:rsidP="00207590">
    <w:pPr>
      <w:pStyle w:val="Footer"/>
      <w:rPr>
        <w:rFonts w:ascii="Arial" w:hAnsi="Arial" w:cs="Arial"/>
        <w:b/>
        <w:sz w:val="48"/>
      </w:rPr>
    </w:pPr>
    <w:r w:rsidRPr="00207590">
      <w:rPr>
        <w:rFonts w:ascii="Arial" w:hAnsi="Arial" w:cs="Arial"/>
        <w:b/>
        <w:sz w:val="48"/>
      </w:rPr>
      <w:t>EN</w:t>
    </w:r>
    <w:r w:rsidRPr="00207590">
      <w:rPr>
        <w:rFonts w:ascii="Arial" w:hAnsi="Arial" w:cs="Arial"/>
        <w:b/>
        <w:sz w:val="48"/>
      </w:rPr>
      <w:tab/>
    </w:r>
    <w:r>
      <w:fldChar w:fldCharType="begin"/>
    </w:r>
    <w:r>
      <w:instrText xml:space="preserve"> PAGE  \* MERGEFORMAT </w:instrText>
    </w:r>
    <w:r>
      <w:fldChar w:fldCharType="separate"/>
    </w:r>
    <w:r w:rsidR="00A5254D">
      <w:rPr>
        <w:noProof/>
      </w:rPr>
      <w:t>2</w:t>
    </w:r>
    <w:r>
      <w:fldChar w:fldCharType="end"/>
    </w:r>
    <w:r>
      <w:tab/>
    </w:r>
    <w:r w:rsidRPr="00207590">
      <w:tab/>
    </w:r>
    <w:r w:rsidRPr="0020759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90" w:rsidRDefault="00207590" w:rsidP="00207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73" w:rsidRDefault="004C2073" w:rsidP="004C2073">
      <w:pPr>
        <w:spacing w:before="0" w:after="0"/>
      </w:pPr>
      <w:r>
        <w:separator/>
      </w:r>
    </w:p>
  </w:footnote>
  <w:footnote w:type="continuationSeparator" w:id="0">
    <w:p w:rsidR="004C2073" w:rsidRDefault="004C2073" w:rsidP="004C2073">
      <w:pPr>
        <w:spacing w:before="0" w:after="0"/>
      </w:pPr>
      <w:r>
        <w:continuationSeparator/>
      </w:r>
    </w:p>
  </w:footnote>
  <w:footnote w:id="1">
    <w:p w:rsidR="00DA4EC6" w:rsidRPr="00DB5280" w:rsidRDefault="00DA4EC6" w:rsidP="00DA4EC6">
      <w:pPr>
        <w:pStyle w:val="FootnoteText"/>
        <w:rPr>
          <w:lang w:val="fr-BE"/>
        </w:rPr>
      </w:pPr>
      <w:r w:rsidRPr="000B4CE7">
        <w:rPr>
          <w:rStyle w:val="FootnoteReference"/>
        </w:rPr>
        <w:footnoteRef/>
      </w:r>
      <w:r w:rsidRPr="00DB5280">
        <w:rPr>
          <w:lang w:val="fr-BE"/>
        </w:rPr>
        <w:tab/>
      </w:r>
      <w:hyperlink r:id="rId1" w:history="1">
        <w:r w:rsidRPr="00DB5280">
          <w:rPr>
            <w:rStyle w:val="Hyperlink"/>
            <w:iCs/>
            <w:sz w:val="16"/>
            <w:szCs w:val="16"/>
            <w:lang w:val="fr-BE"/>
          </w:rPr>
          <w:t>EUR-Lex - 22023A0322(01) - EN - EUR-Lex</w:t>
        </w:r>
      </w:hyperlink>
      <w:r w:rsidRPr="00DB5280">
        <w:rPr>
          <w:lang w:val="fr-BE"/>
        </w:rPr>
        <w:t>.</w:t>
      </w:r>
    </w:p>
  </w:footnote>
  <w:footnote w:id="2">
    <w:p w:rsidR="00DA4EC6" w:rsidRPr="00DB5280" w:rsidRDefault="00DA4EC6" w:rsidP="00DA4EC6">
      <w:pPr>
        <w:pStyle w:val="FootnoteText"/>
        <w:rPr>
          <w:lang w:val="fr-BE"/>
        </w:rPr>
      </w:pPr>
      <w:r w:rsidRPr="000B4CE7">
        <w:rPr>
          <w:rStyle w:val="FootnoteReference"/>
        </w:rPr>
        <w:footnoteRef/>
      </w:r>
      <w:r w:rsidRPr="00DB5280">
        <w:rPr>
          <w:lang w:val="fr-BE"/>
        </w:rPr>
        <w:tab/>
      </w:r>
      <w:hyperlink r:id="rId2" w:history="1">
        <w:r w:rsidRPr="00DB5280">
          <w:rPr>
            <w:rStyle w:val="Hyperlink"/>
            <w:lang w:val="fr-BE"/>
          </w:rPr>
          <w:t>Ares(2025)5139411</w:t>
        </w:r>
      </w:hyperlink>
      <w:r w:rsidRPr="00DB5280">
        <w:rPr>
          <w:lang w:val="fr-BE"/>
        </w:rPr>
        <w:t>.</w:t>
      </w:r>
    </w:p>
  </w:footnote>
  <w:footnote w:id="3">
    <w:p w:rsidR="000F415F" w:rsidRPr="000F415F" w:rsidRDefault="000F415F">
      <w:pPr>
        <w:pStyle w:val="FootnoteText"/>
        <w:rPr>
          <w:lang w:val="fr-BE"/>
        </w:rPr>
      </w:pPr>
      <w:r w:rsidRPr="005212BF">
        <w:rPr>
          <w:rStyle w:val="FootnoteReference"/>
        </w:rPr>
        <w:footnoteRef/>
      </w:r>
      <w:r w:rsidR="005212BF">
        <w:rPr>
          <w:lang w:val="fr-BE"/>
        </w:rPr>
        <w:tab/>
      </w:r>
      <w:hyperlink r:id="rId3" w:history="1">
        <w:r w:rsidRPr="003A1B20">
          <w:rPr>
            <w:rStyle w:val="Hyperlink"/>
            <w:lang w:val="fr-BE"/>
          </w:rPr>
          <w:t>eur-lex.europa.eu/legal-content/EN/TXT/PDF/?uri=CELEX:52025SC0136</w:t>
        </w:r>
      </w:hyperlink>
    </w:p>
  </w:footnote>
  <w:footnote w:id="4">
    <w:p w:rsidR="00DB3459" w:rsidRPr="00DB3459" w:rsidRDefault="00DB3459" w:rsidP="00DB3459">
      <w:pPr>
        <w:pStyle w:val="FootnoteText"/>
        <w:rPr>
          <w:lang w:val="en-IE"/>
        </w:rPr>
      </w:pPr>
      <w:r w:rsidRPr="0009299D">
        <w:rPr>
          <w:rStyle w:val="FootnoteReference"/>
        </w:rPr>
        <w:footnoteRef/>
      </w:r>
      <w:r w:rsidR="0009299D">
        <w:tab/>
      </w:r>
      <w:r>
        <w:t>Sustainable Fisheries Partnership Agreement between the European Union and the Republic of Seychelles, OJ L 60, 28.2.2020, pp. 5–ELI: http://data.europa.eu/eli/agree_internation/2020/272/oj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90" w:rsidRDefault="002075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90" w:rsidRDefault="002075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7 10:28: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AE848C9-145C-46CC-B8DB-F4A41888717E"/>
    <w:docVar w:name="LW_COVERPAGE_TYPE" w:val="1"/>
    <w:docVar w:name="LW_CreatedUtc" w:val="2025-07-14T10:03:44.0791405Z"/>
    <w:docVar w:name="LW_CROSSREFERENCE" w:val="&lt;UNUSED&gt;"/>
    <w:docVar w:name="LW_DocType" w:val="COM"/>
    <w:docVar w:name="LW_EMISSION" w:val="12.5.2026"/>
    <w:docVar w:name="LW_EMISSION_ISODATE" w:val="2026-05-12"/>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8"/>
    <w:docVar w:name="LW_REF.II.NEW.CP_YEAR" w:val="2026"/>
    <w:docVar w:name="LW_REF.INST.NEW" w:val="COM"/>
    <w:docVar w:name="LW_REF.INST.NEW_ADOPTED" w:val="final"/>
    <w:docVar w:name="LW_REF.INST.NEW_TEXT" w:val="(2026) 19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allocation of the fishing opportunities provided for in the Protocol on the implementation of the Sustainable Fisheries Partnership Agreement between the European Union and the Republic of Seychelles (2026-2030)"/>
    <w:docVar w:name="LW_TYPE.DOC.CP" w:val="COUNCIL REGULATION"/>
    <w:docVar w:name="LwApiVersions" w:val="LW4CoDe 1.24.5.0; LW 9.2, Build 20251112"/>
  </w:docVars>
  <w:rsids>
    <w:rsidRoot w:val="004C2073"/>
    <w:rsid w:val="00033A25"/>
    <w:rsid w:val="000371DD"/>
    <w:rsid w:val="0009299D"/>
    <w:rsid w:val="00093AE4"/>
    <w:rsid w:val="000B60EC"/>
    <w:rsid w:val="000F415F"/>
    <w:rsid w:val="00102020"/>
    <w:rsid w:val="001065F5"/>
    <w:rsid w:val="00112A32"/>
    <w:rsid w:val="00121E4D"/>
    <w:rsid w:val="001238EF"/>
    <w:rsid w:val="0012637B"/>
    <w:rsid w:val="00126620"/>
    <w:rsid w:val="00164143"/>
    <w:rsid w:val="00197613"/>
    <w:rsid w:val="001A130C"/>
    <w:rsid w:val="001A5B92"/>
    <w:rsid w:val="001C545C"/>
    <w:rsid w:val="001E7D92"/>
    <w:rsid w:val="00207590"/>
    <w:rsid w:val="00214320"/>
    <w:rsid w:val="00231E6E"/>
    <w:rsid w:val="00233DC7"/>
    <w:rsid w:val="00247779"/>
    <w:rsid w:val="00275A2A"/>
    <w:rsid w:val="00283899"/>
    <w:rsid w:val="00285BEE"/>
    <w:rsid w:val="00291BB2"/>
    <w:rsid w:val="0029533F"/>
    <w:rsid w:val="002B30AF"/>
    <w:rsid w:val="002C54F0"/>
    <w:rsid w:val="002C71B7"/>
    <w:rsid w:val="003220F6"/>
    <w:rsid w:val="00325F66"/>
    <w:rsid w:val="0033344A"/>
    <w:rsid w:val="00337539"/>
    <w:rsid w:val="003768B3"/>
    <w:rsid w:val="003D0A76"/>
    <w:rsid w:val="003D6EAD"/>
    <w:rsid w:val="003E3BE5"/>
    <w:rsid w:val="00410C3C"/>
    <w:rsid w:val="0042648E"/>
    <w:rsid w:val="00456B70"/>
    <w:rsid w:val="0046499B"/>
    <w:rsid w:val="0046692D"/>
    <w:rsid w:val="004669C7"/>
    <w:rsid w:val="0047303B"/>
    <w:rsid w:val="00477FF1"/>
    <w:rsid w:val="004936D2"/>
    <w:rsid w:val="004C2073"/>
    <w:rsid w:val="005212BF"/>
    <w:rsid w:val="0057679C"/>
    <w:rsid w:val="0058212C"/>
    <w:rsid w:val="005A096F"/>
    <w:rsid w:val="005A4144"/>
    <w:rsid w:val="005B1EB6"/>
    <w:rsid w:val="005C4F2B"/>
    <w:rsid w:val="005C59AB"/>
    <w:rsid w:val="005E4440"/>
    <w:rsid w:val="0060240A"/>
    <w:rsid w:val="00610699"/>
    <w:rsid w:val="00611861"/>
    <w:rsid w:val="006346FE"/>
    <w:rsid w:val="006457F7"/>
    <w:rsid w:val="00651992"/>
    <w:rsid w:val="00692B6E"/>
    <w:rsid w:val="006A46FD"/>
    <w:rsid w:val="006D15C0"/>
    <w:rsid w:val="006F3DC9"/>
    <w:rsid w:val="00721FA2"/>
    <w:rsid w:val="00734505"/>
    <w:rsid w:val="00773331"/>
    <w:rsid w:val="00787F6A"/>
    <w:rsid w:val="007932EF"/>
    <w:rsid w:val="007B48D5"/>
    <w:rsid w:val="007B702D"/>
    <w:rsid w:val="007D476A"/>
    <w:rsid w:val="007D751E"/>
    <w:rsid w:val="007E05B0"/>
    <w:rsid w:val="008109AD"/>
    <w:rsid w:val="008218D7"/>
    <w:rsid w:val="00861690"/>
    <w:rsid w:val="00867A62"/>
    <w:rsid w:val="00872C5E"/>
    <w:rsid w:val="00874D22"/>
    <w:rsid w:val="008A2914"/>
    <w:rsid w:val="008B494C"/>
    <w:rsid w:val="008C4B10"/>
    <w:rsid w:val="008D2D69"/>
    <w:rsid w:val="008E4D8E"/>
    <w:rsid w:val="00900AB9"/>
    <w:rsid w:val="00903680"/>
    <w:rsid w:val="00913FCA"/>
    <w:rsid w:val="0092690F"/>
    <w:rsid w:val="009B2A58"/>
    <w:rsid w:val="009B72BC"/>
    <w:rsid w:val="009C7593"/>
    <w:rsid w:val="009D0228"/>
    <w:rsid w:val="009E2BA1"/>
    <w:rsid w:val="009E4A3B"/>
    <w:rsid w:val="00A018BC"/>
    <w:rsid w:val="00A17CBC"/>
    <w:rsid w:val="00A27E5A"/>
    <w:rsid w:val="00A368AD"/>
    <w:rsid w:val="00A4154B"/>
    <w:rsid w:val="00A43C26"/>
    <w:rsid w:val="00A5254D"/>
    <w:rsid w:val="00A5470F"/>
    <w:rsid w:val="00A94277"/>
    <w:rsid w:val="00AA718E"/>
    <w:rsid w:val="00AB3011"/>
    <w:rsid w:val="00AC3870"/>
    <w:rsid w:val="00AC61AD"/>
    <w:rsid w:val="00B14785"/>
    <w:rsid w:val="00B32D1D"/>
    <w:rsid w:val="00B6655F"/>
    <w:rsid w:val="00B71485"/>
    <w:rsid w:val="00B94C19"/>
    <w:rsid w:val="00BB6801"/>
    <w:rsid w:val="00BB6A09"/>
    <w:rsid w:val="00C12301"/>
    <w:rsid w:val="00C32376"/>
    <w:rsid w:val="00C6033D"/>
    <w:rsid w:val="00C95831"/>
    <w:rsid w:val="00C964B2"/>
    <w:rsid w:val="00CB651A"/>
    <w:rsid w:val="00D20381"/>
    <w:rsid w:val="00D26912"/>
    <w:rsid w:val="00D3125F"/>
    <w:rsid w:val="00D31428"/>
    <w:rsid w:val="00D60451"/>
    <w:rsid w:val="00D75CF4"/>
    <w:rsid w:val="00D82833"/>
    <w:rsid w:val="00DA4EC6"/>
    <w:rsid w:val="00DB3459"/>
    <w:rsid w:val="00DE2498"/>
    <w:rsid w:val="00DF6077"/>
    <w:rsid w:val="00E27B2F"/>
    <w:rsid w:val="00EA71CC"/>
    <w:rsid w:val="00F1247C"/>
    <w:rsid w:val="00F12F29"/>
    <w:rsid w:val="00F21539"/>
    <w:rsid w:val="00F569BE"/>
    <w:rsid w:val="00F621F2"/>
    <w:rsid w:val="00F64E25"/>
    <w:rsid w:val="00F7684E"/>
    <w:rsid w:val="00FB7AF0"/>
    <w:rsid w:val="00FC38F8"/>
    <w:rsid w:val="00FC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5:docId w15:val="{E02E63B6-5C53-4A3C-9F88-18D44FCD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C2073"/>
    <w:pPr>
      <w:numPr>
        <w:numId w:val="2"/>
      </w:numPr>
      <w:tabs>
        <w:tab w:val="num" w:pos="360"/>
      </w:tabs>
      <w:ind w:left="0" w:firstLine="0"/>
    </w:pPr>
    <w:rPr>
      <w:rFonts w:eastAsia="Times New Roman"/>
      <w:lang w:eastAsia="de-DE"/>
    </w:rPr>
  </w:style>
  <w:style w:type="paragraph" w:styleId="ListNumber">
    <w:name w:val="List Number"/>
    <w:basedOn w:val="Normal"/>
    <w:rsid w:val="004C2073"/>
    <w:pPr>
      <w:numPr>
        <w:numId w:val="6"/>
      </w:numPr>
    </w:pPr>
    <w:rPr>
      <w:rFonts w:eastAsia="Times New Roman"/>
      <w:lang w:eastAsia="de-DE"/>
    </w:rPr>
  </w:style>
  <w:style w:type="paragraph" w:customStyle="1" w:styleId="ListBullet1">
    <w:name w:val="List Bullet 1"/>
    <w:basedOn w:val="Normal"/>
    <w:rsid w:val="004C2073"/>
    <w:pPr>
      <w:numPr>
        <w:numId w:val="1"/>
      </w:numPr>
    </w:pPr>
    <w:rPr>
      <w:rFonts w:eastAsia="Times New Roman"/>
      <w:lang w:eastAsia="de-DE"/>
    </w:rPr>
  </w:style>
  <w:style w:type="paragraph" w:customStyle="1" w:styleId="ListDash">
    <w:name w:val="List Dash"/>
    <w:basedOn w:val="Normal"/>
    <w:rsid w:val="004C2073"/>
    <w:pPr>
      <w:numPr>
        <w:numId w:val="3"/>
      </w:numPr>
    </w:pPr>
    <w:rPr>
      <w:rFonts w:eastAsia="Times New Roman"/>
      <w:lang w:eastAsia="de-DE"/>
    </w:rPr>
  </w:style>
  <w:style w:type="paragraph" w:customStyle="1" w:styleId="ListDash1">
    <w:name w:val="List Dash 1"/>
    <w:basedOn w:val="Normal"/>
    <w:rsid w:val="004C2073"/>
    <w:pPr>
      <w:numPr>
        <w:numId w:val="4"/>
      </w:numPr>
    </w:pPr>
    <w:rPr>
      <w:rFonts w:eastAsia="Times New Roman"/>
      <w:lang w:eastAsia="de-DE"/>
    </w:rPr>
  </w:style>
  <w:style w:type="paragraph" w:customStyle="1" w:styleId="ListDash2">
    <w:name w:val="List Dash 2"/>
    <w:basedOn w:val="Normal"/>
    <w:rsid w:val="004C2073"/>
    <w:pPr>
      <w:numPr>
        <w:numId w:val="5"/>
      </w:numPr>
    </w:pPr>
    <w:rPr>
      <w:rFonts w:eastAsia="Times New Roman"/>
      <w:lang w:eastAsia="de-DE"/>
    </w:rPr>
  </w:style>
  <w:style w:type="paragraph" w:customStyle="1" w:styleId="ListNumberLevel2">
    <w:name w:val="List Number (Level 2)"/>
    <w:basedOn w:val="Normal"/>
    <w:rsid w:val="004C2073"/>
    <w:pPr>
      <w:numPr>
        <w:ilvl w:val="1"/>
        <w:numId w:val="6"/>
      </w:numPr>
    </w:pPr>
    <w:rPr>
      <w:rFonts w:eastAsia="Times New Roman"/>
      <w:lang w:eastAsia="de-DE"/>
    </w:rPr>
  </w:style>
  <w:style w:type="paragraph" w:customStyle="1" w:styleId="ListNumberLevel3">
    <w:name w:val="List Number (Level 3)"/>
    <w:basedOn w:val="Normal"/>
    <w:rsid w:val="004C2073"/>
    <w:pPr>
      <w:numPr>
        <w:ilvl w:val="2"/>
        <w:numId w:val="6"/>
      </w:numPr>
    </w:pPr>
    <w:rPr>
      <w:rFonts w:eastAsia="Times New Roman"/>
      <w:lang w:eastAsia="de-DE"/>
    </w:rPr>
  </w:style>
  <w:style w:type="paragraph" w:customStyle="1" w:styleId="ListNumberLevel4">
    <w:name w:val="List Number (Level 4)"/>
    <w:basedOn w:val="Normal"/>
    <w:rsid w:val="004C2073"/>
    <w:pPr>
      <w:numPr>
        <w:ilvl w:val="3"/>
        <w:numId w:val="6"/>
      </w:numPr>
    </w:pPr>
    <w:rPr>
      <w:rFonts w:eastAsia="Times New Roman"/>
      <w:lang w:eastAsia="de-DE"/>
    </w:rPr>
  </w:style>
  <w:style w:type="table" w:styleId="TableGrid">
    <w:name w:val="Table Grid"/>
    <w:basedOn w:val="TableNormal"/>
    <w:rsid w:val="004C2073"/>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C2073"/>
    <w:rPr>
      <w:color w:val="0000FF"/>
      <w:u w:val="single"/>
    </w:rPr>
  </w:style>
  <w:style w:type="paragraph" w:styleId="ListBullet">
    <w:name w:val="List Bullet"/>
    <w:basedOn w:val="Normal"/>
    <w:rsid w:val="004C2073"/>
    <w:pPr>
      <w:numPr>
        <w:numId w:val="7"/>
      </w:numPr>
    </w:pPr>
    <w:rPr>
      <w:rFonts w:eastAsia="Times New Roman"/>
      <w:lang w:val="fr-FR" w:eastAsia="en-GB"/>
    </w:rPr>
  </w:style>
  <w:style w:type="paragraph" w:styleId="ListBullet2">
    <w:name w:val="List Bullet 2"/>
    <w:basedOn w:val="Normal"/>
    <w:rsid w:val="004C2073"/>
    <w:pPr>
      <w:numPr>
        <w:numId w:val="8"/>
      </w:numPr>
    </w:pPr>
    <w:rPr>
      <w:rFonts w:eastAsia="Times New Roman"/>
      <w:lang w:val="fr-FR" w:eastAsia="en-GB"/>
    </w:rPr>
  </w:style>
  <w:style w:type="paragraph" w:styleId="ListBullet3">
    <w:name w:val="List Bullet 3"/>
    <w:basedOn w:val="Normal"/>
    <w:rsid w:val="004C2073"/>
    <w:pPr>
      <w:numPr>
        <w:numId w:val="9"/>
      </w:numPr>
    </w:pPr>
    <w:rPr>
      <w:rFonts w:eastAsia="Times New Roman"/>
      <w:lang w:val="fr-FR" w:eastAsia="en-GB"/>
    </w:rPr>
  </w:style>
  <w:style w:type="paragraph" w:styleId="ListNumber2">
    <w:name w:val="List Number 2"/>
    <w:basedOn w:val="Normal"/>
    <w:rsid w:val="004C2073"/>
    <w:pPr>
      <w:numPr>
        <w:numId w:val="13"/>
      </w:numPr>
    </w:pPr>
    <w:rPr>
      <w:rFonts w:eastAsia="Times New Roman"/>
      <w:lang w:val="fr-FR" w:eastAsia="en-GB"/>
    </w:rPr>
  </w:style>
  <w:style w:type="paragraph" w:styleId="ListNumber3">
    <w:name w:val="List Number 3"/>
    <w:basedOn w:val="Normal"/>
    <w:rsid w:val="004C2073"/>
    <w:pPr>
      <w:numPr>
        <w:numId w:val="14"/>
      </w:numPr>
    </w:pPr>
    <w:rPr>
      <w:rFonts w:eastAsia="Times New Roman"/>
      <w:lang w:val="fr-FR" w:eastAsia="en-GB"/>
    </w:rPr>
  </w:style>
  <w:style w:type="paragraph" w:styleId="ListNumber4">
    <w:name w:val="List Number 4"/>
    <w:basedOn w:val="Normal"/>
    <w:rsid w:val="004C2073"/>
    <w:pPr>
      <w:numPr>
        <w:numId w:val="15"/>
      </w:numPr>
    </w:pPr>
    <w:rPr>
      <w:rFonts w:eastAsia="Times New Roman"/>
      <w:lang w:val="fr-FR" w:eastAsia="en-GB"/>
    </w:rPr>
  </w:style>
  <w:style w:type="paragraph" w:customStyle="1" w:styleId="ListDash3">
    <w:name w:val="List Dash 3"/>
    <w:basedOn w:val="Normal"/>
    <w:rsid w:val="004C2073"/>
    <w:pPr>
      <w:numPr>
        <w:numId w:val="10"/>
      </w:numPr>
    </w:pPr>
    <w:rPr>
      <w:rFonts w:eastAsia="Times New Roman"/>
      <w:lang w:val="fr-FR" w:eastAsia="en-GB"/>
    </w:rPr>
  </w:style>
  <w:style w:type="paragraph" w:customStyle="1" w:styleId="ListDash4">
    <w:name w:val="List Dash 4"/>
    <w:basedOn w:val="Normal"/>
    <w:rsid w:val="004C2073"/>
    <w:pPr>
      <w:numPr>
        <w:numId w:val="11"/>
      </w:numPr>
    </w:pPr>
    <w:rPr>
      <w:rFonts w:eastAsia="Times New Roman"/>
      <w:lang w:val="fr-FR" w:eastAsia="en-GB"/>
    </w:rPr>
  </w:style>
  <w:style w:type="paragraph" w:customStyle="1" w:styleId="ListNumber1">
    <w:name w:val="List Number 1"/>
    <w:basedOn w:val="Text1"/>
    <w:rsid w:val="004C2073"/>
    <w:pPr>
      <w:numPr>
        <w:numId w:val="12"/>
      </w:numPr>
    </w:pPr>
    <w:rPr>
      <w:rFonts w:eastAsia="Times New Roman"/>
      <w:lang w:val="fr-FR" w:eastAsia="en-GB"/>
    </w:rPr>
  </w:style>
  <w:style w:type="paragraph" w:customStyle="1" w:styleId="ListNumber1Level2">
    <w:name w:val="List Number 1 (Level 2)"/>
    <w:basedOn w:val="Text1"/>
    <w:rsid w:val="004C2073"/>
    <w:pPr>
      <w:numPr>
        <w:ilvl w:val="1"/>
        <w:numId w:val="12"/>
      </w:numPr>
    </w:pPr>
    <w:rPr>
      <w:rFonts w:eastAsia="Times New Roman"/>
      <w:lang w:val="fr-FR" w:eastAsia="en-GB"/>
    </w:rPr>
  </w:style>
  <w:style w:type="paragraph" w:customStyle="1" w:styleId="ListNumber2Level2">
    <w:name w:val="List Number 2 (Level 2)"/>
    <w:basedOn w:val="Text2"/>
    <w:rsid w:val="004C2073"/>
    <w:pPr>
      <w:numPr>
        <w:ilvl w:val="1"/>
        <w:numId w:val="13"/>
      </w:numPr>
    </w:pPr>
    <w:rPr>
      <w:rFonts w:eastAsia="Times New Roman"/>
      <w:lang w:val="fr-FR" w:eastAsia="en-GB"/>
    </w:rPr>
  </w:style>
  <w:style w:type="paragraph" w:customStyle="1" w:styleId="ListNumber3Level2">
    <w:name w:val="List Number 3 (Level 2)"/>
    <w:basedOn w:val="Text3"/>
    <w:rsid w:val="004C2073"/>
    <w:pPr>
      <w:numPr>
        <w:ilvl w:val="1"/>
        <w:numId w:val="14"/>
      </w:numPr>
    </w:pPr>
    <w:rPr>
      <w:rFonts w:eastAsia="Times New Roman"/>
      <w:lang w:val="fr-FR" w:eastAsia="en-GB"/>
    </w:rPr>
  </w:style>
  <w:style w:type="paragraph" w:customStyle="1" w:styleId="ListNumber4Level2">
    <w:name w:val="List Number 4 (Level 2)"/>
    <w:basedOn w:val="Text4"/>
    <w:rsid w:val="004C2073"/>
    <w:pPr>
      <w:numPr>
        <w:ilvl w:val="1"/>
        <w:numId w:val="15"/>
      </w:numPr>
    </w:pPr>
    <w:rPr>
      <w:rFonts w:eastAsia="Times New Roman"/>
      <w:lang w:val="fr-FR" w:eastAsia="en-GB"/>
    </w:rPr>
  </w:style>
  <w:style w:type="paragraph" w:customStyle="1" w:styleId="ListNumber1Level3">
    <w:name w:val="List Number 1 (Level 3)"/>
    <w:basedOn w:val="Text1"/>
    <w:rsid w:val="004C2073"/>
    <w:pPr>
      <w:numPr>
        <w:ilvl w:val="2"/>
        <w:numId w:val="12"/>
      </w:numPr>
    </w:pPr>
    <w:rPr>
      <w:rFonts w:eastAsia="Times New Roman"/>
      <w:lang w:val="fr-FR" w:eastAsia="en-GB"/>
    </w:rPr>
  </w:style>
  <w:style w:type="paragraph" w:customStyle="1" w:styleId="ListNumber2Level3">
    <w:name w:val="List Number 2 (Level 3)"/>
    <w:basedOn w:val="Text2"/>
    <w:rsid w:val="004C2073"/>
    <w:pPr>
      <w:numPr>
        <w:ilvl w:val="2"/>
        <w:numId w:val="13"/>
      </w:numPr>
    </w:pPr>
    <w:rPr>
      <w:rFonts w:eastAsia="Times New Roman"/>
      <w:lang w:val="fr-FR" w:eastAsia="en-GB"/>
    </w:rPr>
  </w:style>
  <w:style w:type="paragraph" w:customStyle="1" w:styleId="ListNumber3Level3">
    <w:name w:val="List Number 3 (Level 3)"/>
    <w:basedOn w:val="Text3"/>
    <w:rsid w:val="004C2073"/>
    <w:pPr>
      <w:numPr>
        <w:ilvl w:val="2"/>
        <w:numId w:val="14"/>
      </w:numPr>
    </w:pPr>
    <w:rPr>
      <w:rFonts w:eastAsia="Times New Roman"/>
      <w:lang w:val="fr-FR" w:eastAsia="en-GB"/>
    </w:rPr>
  </w:style>
  <w:style w:type="paragraph" w:customStyle="1" w:styleId="ListNumber4Level3">
    <w:name w:val="List Number 4 (Level 3)"/>
    <w:basedOn w:val="Text4"/>
    <w:rsid w:val="004C2073"/>
    <w:pPr>
      <w:numPr>
        <w:ilvl w:val="2"/>
        <w:numId w:val="15"/>
      </w:numPr>
    </w:pPr>
    <w:rPr>
      <w:rFonts w:eastAsia="Times New Roman"/>
      <w:lang w:val="fr-FR" w:eastAsia="en-GB"/>
    </w:rPr>
  </w:style>
  <w:style w:type="paragraph" w:customStyle="1" w:styleId="ListNumber1Level4">
    <w:name w:val="List Number 1 (Level 4)"/>
    <w:basedOn w:val="Text1"/>
    <w:rsid w:val="004C2073"/>
    <w:pPr>
      <w:numPr>
        <w:ilvl w:val="3"/>
        <w:numId w:val="12"/>
      </w:numPr>
    </w:pPr>
    <w:rPr>
      <w:rFonts w:eastAsia="Times New Roman"/>
      <w:lang w:val="fr-FR" w:eastAsia="en-GB"/>
    </w:rPr>
  </w:style>
  <w:style w:type="paragraph" w:customStyle="1" w:styleId="ListNumber2Level4">
    <w:name w:val="List Number 2 (Level 4)"/>
    <w:basedOn w:val="Text2"/>
    <w:rsid w:val="004C2073"/>
    <w:pPr>
      <w:numPr>
        <w:ilvl w:val="3"/>
        <w:numId w:val="13"/>
      </w:numPr>
    </w:pPr>
    <w:rPr>
      <w:rFonts w:eastAsia="Times New Roman"/>
      <w:lang w:val="fr-FR" w:eastAsia="en-GB"/>
    </w:rPr>
  </w:style>
  <w:style w:type="paragraph" w:customStyle="1" w:styleId="ListNumber3Level4">
    <w:name w:val="List Number 3 (Level 4)"/>
    <w:basedOn w:val="Text3"/>
    <w:rsid w:val="004C2073"/>
    <w:pPr>
      <w:numPr>
        <w:ilvl w:val="3"/>
        <w:numId w:val="14"/>
      </w:numPr>
    </w:pPr>
    <w:rPr>
      <w:rFonts w:eastAsia="Times New Roman"/>
      <w:lang w:val="fr-FR" w:eastAsia="en-GB"/>
    </w:rPr>
  </w:style>
  <w:style w:type="paragraph" w:customStyle="1" w:styleId="ListNumber4Level4">
    <w:name w:val="List Number 4 (Level 4)"/>
    <w:basedOn w:val="Text4"/>
    <w:rsid w:val="004C2073"/>
    <w:pPr>
      <w:numPr>
        <w:ilvl w:val="3"/>
        <w:numId w:val="15"/>
      </w:numPr>
    </w:pPr>
    <w:rPr>
      <w:rFonts w:eastAsia="Times New Roman"/>
      <w:lang w:val="fr-FR" w:eastAsia="en-GB"/>
    </w:rPr>
  </w:style>
  <w:style w:type="paragraph" w:customStyle="1" w:styleId="Annexetitreacte">
    <w:name w:val="Annexe titre (acte)"/>
    <w:basedOn w:val="Normal"/>
    <w:next w:val="Normal"/>
    <w:rsid w:val="004C2073"/>
    <w:pPr>
      <w:jc w:val="center"/>
    </w:pPr>
    <w:rPr>
      <w:rFonts w:eastAsia="Times New Roman"/>
      <w:b/>
      <w:u w:val="single"/>
      <w:lang w:val="fr-FR" w:eastAsia="en-GB"/>
    </w:rPr>
  </w:style>
  <w:style w:type="paragraph" w:customStyle="1" w:styleId="Annexetitreexposglobal">
    <w:name w:val="Annexe titre (exposé global)"/>
    <w:basedOn w:val="Normal"/>
    <w:next w:val="Normal"/>
    <w:rsid w:val="004C2073"/>
    <w:pPr>
      <w:jc w:val="center"/>
    </w:pPr>
    <w:rPr>
      <w:rFonts w:eastAsia="Times New Roman"/>
      <w:b/>
      <w:u w:val="single"/>
      <w:lang w:val="fr-FR" w:eastAsia="en-GB"/>
    </w:rPr>
  </w:style>
  <w:style w:type="paragraph" w:customStyle="1" w:styleId="Annexetitrefichefinacte">
    <w:name w:val="Annexe titre (fiche fin. acte)"/>
    <w:basedOn w:val="Normal"/>
    <w:next w:val="Normal"/>
    <w:rsid w:val="004C2073"/>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4C2073"/>
    <w:pPr>
      <w:jc w:val="center"/>
    </w:pPr>
    <w:rPr>
      <w:rFonts w:eastAsia="Times New Roman"/>
      <w:b/>
      <w:u w:val="single"/>
      <w:lang w:val="fr-FR" w:eastAsia="en-GB"/>
    </w:rPr>
  </w:style>
  <w:style w:type="paragraph" w:customStyle="1" w:styleId="Annexetitreglobale">
    <w:name w:val="Annexe titre (globale)"/>
    <w:basedOn w:val="Normal"/>
    <w:next w:val="Normal"/>
    <w:rsid w:val="004C2073"/>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4C2073"/>
    <w:pPr>
      <w:jc w:val="center"/>
    </w:pPr>
    <w:rPr>
      <w:rFonts w:eastAsia="Times New Roman"/>
      <w:b/>
      <w:u w:val="single"/>
      <w:lang w:val="fr-FR" w:eastAsia="en-GB"/>
    </w:rPr>
  </w:style>
  <w:style w:type="paragraph" w:customStyle="1" w:styleId="Langueoriginale">
    <w:name w:val="Langue originale"/>
    <w:basedOn w:val="Normal"/>
    <w:rsid w:val="004C2073"/>
    <w:pPr>
      <w:spacing w:before="360"/>
      <w:jc w:val="center"/>
    </w:pPr>
    <w:rPr>
      <w:rFonts w:eastAsia="Times New Roman"/>
      <w:caps/>
      <w:lang w:val="fr-FR" w:eastAsia="en-GB"/>
    </w:rPr>
  </w:style>
  <w:style w:type="paragraph" w:customStyle="1" w:styleId="Phrasefinale">
    <w:name w:val="Phrase finale"/>
    <w:basedOn w:val="Normal"/>
    <w:next w:val="Normal"/>
    <w:rsid w:val="004C2073"/>
    <w:pPr>
      <w:spacing w:before="360" w:after="0"/>
      <w:jc w:val="center"/>
    </w:pPr>
    <w:rPr>
      <w:rFonts w:eastAsia="Times New Roman"/>
      <w:lang w:val="fr-FR" w:eastAsia="en-GB"/>
    </w:rPr>
  </w:style>
  <w:style w:type="paragraph" w:customStyle="1" w:styleId="Prliminairetitre">
    <w:name w:val="Préliminaire titre"/>
    <w:basedOn w:val="Normal"/>
    <w:next w:val="Normal"/>
    <w:rsid w:val="004C2073"/>
    <w:pPr>
      <w:spacing w:before="360" w:after="360"/>
      <w:jc w:val="center"/>
    </w:pPr>
    <w:rPr>
      <w:rFonts w:eastAsia="Times New Roman"/>
      <w:b/>
      <w:lang w:val="fr-FR" w:eastAsia="en-GB"/>
    </w:rPr>
  </w:style>
  <w:style w:type="paragraph" w:customStyle="1" w:styleId="Prliminairetype">
    <w:name w:val="Préliminaire type"/>
    <w:basedOn w:val="Normal"/>
    <w:next w:val="Normal"/>
    <w:rsid w:val="004C2073"/>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4C2073"/>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4C2073"/>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4C2073"/>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4C2073"/>
    <w:pPr>
      <w:spacing w:before="0" w:after="0"/>
      <w:jc w:val="center"/>
    </w:pPr>
    <w:rPr>
      <w:rFonts w:eastAsia="Times New Roman"/>
      <w:b/>
      <w:lang w:val="fr-FR" w:eastAsia="en-GB"/>
    </w:rPr>
  </w:style>
  <w:style w:type="paragraph" w:customStyle="1" w:styleId="Statutprliminaire">
    <w:name w:val="Statut (préliminaire)"/>
    <w:basedOn w:val="Normal"/>
    <w:next w:val="Normal"/>
    <w:rsid w:val="004C2073"/>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4C2073"/>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4C2073"/>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4C2073"/>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4C2073"/>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4C2073"/>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4C2073"/>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4C2073"/>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4C2073"/>
    <w:pPr>
      <w:jc w:val="center"/>
    </w:pPr>
    <w:rPr>
      <w:rFonts w:eastAsia="Times New Roman"/>
      <w:b/>
      <w:u w:val="single"/>
      <w:lang w:val="fr-FR" w:eastAsia="en-GB"/>
    </w:rPr>
  </w:style>
  <w:style w:type="character" w:styleId="CommentReference">
    <w:name w:val="annotation reference"/>
    <w:rsid w:val="004C2073"/>
    <w:rPr>
      <w:rFonts w:cs="Times New Roman"/>
      <w:sz w:val="16"/>
      <w:szCs w:val="16"/>
    </w:rPr>
  </w:style>
  <w:style w:type="paragraph" w:styleId="CommentText">
    <w:name w:val="annotation text"/>
    <w:basedOn w:val="Normal"/>
    <w:link w:val="CommentTextChar"/>
    <w:rsid w:val="004C2073"/>
    <w:rPr>
      <w:rFonts w:eastAsia="Times New Roman"/>
      <w:sz w:val="20"/>
      <w:szCs w:val="20"/>
      <w:lang w:val="fr-FR" w:eastAsia="en-GB"/>
    </w:rPr>
  </w:style>
  <w:style w:type="character" w:customStyle="1" w:styleId="CommentTextChar">
    <w:name w:val="Comment Text Char"/>
    <w:basedOn w:val="DefaultParagraphFont"/>
    <w:link w:val="CommentText"/>
    <w:rsid w:val="004C2073"/>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C2073"/>
    <w:rPr>
      <w:b/>
      <w:bCs/>
    </w:rPr>
  </w:style>
  <w:style w:type="character" w:customStyle="1" w:styleId="CommentSubjectChar">
    <w:name w:val="Comment Subject Char"/>
    <w:basedOn w:val="CommentTextChar"/>
    <w:link w:val="CommentSubject"/>
    <w:rsid w:val="004C2073"/>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C2073"/>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4C2073"/>
    <w:rPr>
      <w:rFonts w:ascii="Tahoma" w:eastAsia="Times New Roman" w:hAnsi="Tahoma" w:cs="Tahoma"/>
      <w:sz w:val="16"/>
      <w:szCs w:val="16"/>
      <w:lang w:val="fr-FR" w:eastAsia="en-GB"/>
    </w:rPr>
  </w:style>
  <w:style w:type="paragraph" w:styleId="Caption">
    <w:name w:val="caption"/>
    <w:basedOn w:val="Normal"/>
    <w:next w:val="Normal"/>
    <w:qFormat/>
    <w:rsid w:val="004C2073"/>
    <w:rPr>
      <w:rFonts w:eastAsia="Times New Roman"/>
      <w:b/>
      <w:bCs/>
      <w:sz w:val="20"/>
      <w:szCs w:val="20"/>
      <w:lang w:val="fr-FR" w:eastAsia="en-GB"/>
    </w:rPr>
  </w:style>
  <w:style w:type="paragraph" w:styleId="TableofFigures">
    <w:name w:val="table of figures"/>
    <w:basedOn w:val="Normal"/>
    <w:next w:val="Normal"/>
    <w:rsid w:val="004C2073"/>
    <w:rPr>
      <w:rFonts w:eastAsia="Times New Roman"/>
      <w:lang w:val="fr-FR" w:eastAsia="en-GB"/>
    </w:rPr>
  </w:style>
  <w:style w:type="character" w:styleId="PageNumber">
    <w:name w:val="page number"/>
    <w:rsid w:val="004C2073"/>
  </w:style>
  <w:style w:type="character" w:customStyle="1" w:styleId="tw4winMark">
    <w:name w:val="tw4winMark"/>
    <w:rsid w:val="004C2073"/>
    <w:rPr>
      <w:vanish/>
      <w:color w:val="800080"/>
      <w:vertAlign w:val="subscript"/>
    </w:rPr>
  </w:style>
  <w:style w:type="character" w:styleId="FollowedHyperlink">
    <w:name w:val="FollowedHyperlink"/>
    <w:rsid w:val="004C2073"/>
    <w:rPr>
      <w:color w:val="800080"/>
      <w:u w:val="single"/>
    </w:rPr>
  </w:style>
  <w:style w:type="paragraph" w:customStyle="1" w:styleId="Sous-titreobjet">
    <w:name w:val="Sous-titre objet"/>
    <w:basedOn w:val="Normal"/>
    <w:rsid w:val="004C207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C2073"/>
  </w:style>
  <w:style w:type="paragraph" w:styleId="Revision">
    <w:name w:val="Revision"/>
    <w:hidden/>
    <w:uiPriority w:val="99"/>
    <w:semiHidden/>
    <w:rsid w:val="004C2073"/>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C207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C2073"/>
    <w:rPr>
      <w:rFonts w:ascii="Times New Roman" w:hAnsi="Times New Roman" w:cs="Times New Roman"/>
      <w:b/>
      <w:sz w:val="28"/>
      <w:lang w:val="en-GB"/>
    </w:rPr>
  </w:style>
  <w:style w:type="character" w:customStyle="1" w:styleId="FooterCoverPageChar">
    <w:name w:val="Footer Cover Page Char"/>
    <w:link w:val="FooterCoverPage"/>
    <w:rsid w:val="004C2073"/>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C207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C2073"/>
    <w:rPr>
      <w:rFonts w:ascii="Times New Roman" w:eastAsia="Calibri" w:hAnsi="Times New Roman" w:cs="Times New Roman"/>
      <w:sz w:val="24"/>
      <w:lang w:val="en-GB" w:eastAsia="en-GB"/>
    </w:rPr>
  </w:style>
  <w:style w:type="character" w:customStyle="1" w:styleId="FooterSensitivityChar">
    <w:name w:val="Footer Sensitivity Char"/>
    <w:rsid w:val="004C2073"/>
    <w:rPr>
      <w:rFonts w:ascii="Times New Roman" w:hAnsi="Times New Roman" w:cs="Times New Roman"/>
      <w:b/>
      <w:sz w:val="32"/>
      <w:lang w:val="en-GB"/>
    </w:rPr>
  </w:style>
  <w:style w:type="character" w:customStyle="1" w:styleId="HeaderSensitivityChar">
    <w:name w:val="Header Sensitivity Char"/>
    <w:rsid w:val="004C2073"/>
    <w:rPr>
      <w:rFonts w:ascii="Times New Roman" w:hAnsi="Times New Roman" w:cs="Times New Roman"/>
      <w:b/>
      <w:sz w:val="32"/>
      <w:lang w:val="en-GB"/>
    </w:rPr>
  </w:style>
  <w:style w:type="character" w:customStyle="1" w:styleId="HeaderSensitivityRightChar">
    <w:name w:val="Header Sensitivity Right Char"/>
    <w:rsid w:val="004C2073"/>
    <w:rPr>
      <w:rFonts w:ascii="Times New Roman" w:hAnsi="Times New Roman" w:cs="Times New Roman"/>
      <w:sz w:val="28"/>
      <w:lang w:val="en-GB"/>
    </w:rPr>
  </w:style>
  <w:style w:type="paragraph" w:customStyle="1" w:styleId="LegalNumPar">
    <w:name w:val="LegalNumPar"/>
    <w:basedOn w:val="Normal"/>
    <w:rsid w:val="004C2073"/>
    <w:pPr>
      <w:numPr>
        <w:numId w:val="16"/>
      </w:numPr>
      <w:spacing w:line="360" w:lineRule="auto"/>
    </w:pPr>
    <w:rPr>
      <w:rFonts w:eastAsia="Times New Roman"/>
      <w:lang w:eastAsia="en-GB"/>
    </w:rPr>
  </w:style>
  <w:style w:type="paragraph" w:customStyle="1" w:styleId="LegalNumPar2">
    <w:name w:val="LegalNumPar2"/>
    <w:basedOn w:val="Normal"/>
    <w:rsid w:val="004C2073"/>
    <w:pPr>
      <w:numPr>
        <w:ilvl w:val="1"/>
        <w:numId w:val="16"/>
      </w:numPr>
      <w:spacing w:line="360" w:lineRule="auto"/>
    </w:pPr>
    <w:rPr>
      <w:rFonts w:eastAsia="Times New Roman"/>
      <w:lang w:eastAsia="en-GB"/>
    </w:rPr>
  </w:style>
  <w:style w:type="paragraph" w:customStyle="1" w:styleId="LegalNumPar3">
    <w:name w:val="LegalNumPar3"/>
    <w:basedOn w:val="Normal"/>
    <w:rsid w:val="004C207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C207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C2073"/>
    <w:rPr>
      <w:color w:val="605E5C"/>
      <w:shd w:val="clear" w:color="auto" w:fill="E1DFDD"/>
    </w:rPr>
  </w:style>
  <w:style w:type="character" w:styleId="Strong">
    <w:name w:val="Strong"/>
    <w:basedOn w:val="DefaultParagraphFont"/>
    <w:qFormat/>
    <w:rsid w:val="004C2073"/>
    <w:rPr>
      <w:b/>
      <w:bCs/>
    </w:rPr>
  </w:style>
  <w:style w:type="character" w:styleId="Emphasis">
    <w:name w:val="Emphasis"/>
    <w:basedOn w:val="DefaultParagraphFont"/>
    <w:qFormat/>
    <w:rsid w:val="004C2073"/>
    <w:rPr>
      <w:i/>
      <w:iCs/>
    </w:rPr>
  </w:style>
  <w:style w:type="character" w:customStyle="1" w:styleId="Mention">
    <w:name w:val="Mention"/>
    <w:basedOn w:val="DefaultParagraphFont"/>
    <w:uiPriority w:val="99"/>
    <w:unhideWhenUsed/>
    <w:rsid w:val="004C2073"/>
    <w:rPr>
      <w:color w:val="2B579A"/>
      <w:shd w:val="clear" w:color="auto" w:fill="E1DFDD"/>
    </w:rPr>
  </w:style>
  <w:style w:type="character" w:customStyle="1" w:styleId="normaltextrun">
    <w:name w:val="normaltextrun"/>
    <w:basedOn w:val="DefaultParagraphFont"/>
    <w:rsid w:val="004C2073"/>
  </w:style>
  <w:style w:type="character" w:customStyle="1" w:styleId="eop">
    <w:name w:val="eop"/>
    <w:basedOn w:val="DefaultParagraphFont"/>
    <w:rsid w:val="004C2073"/>
  </w:style>
  <w:style w:type="character" w:customStyle="1" w:styleId="HeaderChar">
    <w:name w:val="Header Char"/>
    <w:basedOn w:val="DefaultParagraphFont"/>
    <w:link w:val="Header"/>
    <w:uiPriority w:val="99"/>
    <w:rsid w:val="00207590"/>
    <w:rPr>
      <w:rFonts w:ascii="Times New Roman" w:hAnsi="Times New Roman" w:cs="Times New Roman"/>
      <w:sz w:val="24"/>
      <w:lang w:val="en-GB"/>
    </w:rPr>
  </w:style>
  <w:style w:type="character" w:customStyle="1" w:styleId="FooterChar">
    <w:name w:val="Footer Char"/>
    <w:basedOn w:val="DefaultParagraphFont"/>
    <w:link w:val="Footer"/>
    <w:uiPriority w:val="99"/>
    <w:rsid w:val="0020759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0759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07590"/>
    <w:pPr>
      <w:spacing w:before="0"/>
      <w:jc w:val="right"/>
    </w:pPr>
    <w:rPr>
      <w:sz w:val="28"/>
    </w:rPr>
  </w:style>
  <w:style w:type="paragraph" w:customStyle="1" w:styleId="FooterSensitivity">
    <w:name w:val="Footer Sensitivity"/>
    <w:basedOn w:val="Normal"/>
    <w:rsid w:val="0020759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07590"/>
    <w:pPr>
      <w:tabs>
        <w:tab w:val="center" w:pos="4535"/>
        <w:tab w:val="right" w:pos="9071"/>
      </w:tabs>
      <w:spacing w:before="0"/>
    </w:pPr>
  </w:style>
  <w:style w:type="paragraph" w:customStyle="1" w:styleId="HeaderLandscape">
    <w:name w:val="HeaderLandscape"/>
    <w:basedOn w:val="Normal"/>
    <w:rsid w:val="00207590"/>
    <w:pPr>
      <w:tabs>
        <w:tab w:val="center" w:pos="7285"/>
        <w:tab w:val="right" w:pos="14003"/>
      </w:tabs>
      <w:spacing w:before="0"/>
    </w:pPr>
  </w:style>
  <w:style w:type="paragraph" w:styleId="Footer">
    <w:name w:val="footer"/>
    <w:basedOn w:val="Normal"/>
    <w:link w:val="FooterChar"/>
    <w:uiPriority w:val="99"/>
    <w:unhideWhenUsed/>
    <w:rsid w:val="0020759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0759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331004">
      <w:bodyDiv w:val="1"/>
      <w:marLeft w:val="0"/>
      <w:marRight w:val="0"/>
      <w:marTop w:val="0"/>
      <w:marBottom w:val="0"/>
      <w:divBdr>
        <w:top w:val="none" w:sz="0" w:space="0" w:color="auto"/>
        <w:left w:val="none" w:sz="0" w:space="0" w:color="auto"/>
        <w:bottom w:val="none" w:sz="0" w:space="0" w:color="auto"/>
        <w:right w:val="none" w:sz="0" w:space="0" w:color="auto"/>
      </w:divBdr>
    </w:div>
    <w:div w:id="141593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52025SC0136" TargetMode="External"/><Relationship Id="rId2" Type="http://schemas.openxmlformats.org/officeDocument/2006/relationships/hyperlink" Target="https://webgate.ec.testa.eu/Ares/document/show.do?documentId=080166e51e98f32c&amp;timestamp=1774609177189" TargetMode="External"/><Relationship Id="rId1" Type="http://schemas.openxmlformats.org/officeDocument/2006/relationships/hyperlink" Target="https://eur-lex.europa.eu/legal-content/en/TXT/?uri=CELEX%3A22023A0322%2801%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F0F4B-C01E-4ED5-87EE-57BAF7DD3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6</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2026-04-28T14:32:00Z</dcterms:created>
  <dcterms:modified xsi:type="dcterms:W3CDTF">2026-05-07T08:28:00Z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2025-07-14T10:23:42Z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c38122f8-42d4-48b2-ace9-33eff780f317</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