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C46B71" w14:textId="09FA61DA" w:rsidR="0096429C" w:rsidRPr="00423470" w:rsidRDefault="001C474C" w:rsidP="001C474C">
      <w:pPr>
        <w:pStyle w:val="Pagedecouverture"/>
        <w:rPr>
          <w:noProof/>
        </w:rPr>
      </w:pPr>
      <w:bookmarkStart w:id="0" w:name="LW_BM_COVERPAGE"/>
      <w:r>
        <w:rPr>
          <w:noProof/>
        </w:rPr>
        <w:pict w14:anchorId="1BBBC2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FC2273F-CBA8-40A9-9811-DCE67FF29DC8" style="width:455.25pt;height:300pt">
            <v:imagedata r:id="rId11" o:title=""/>
          </v:shape>
        </w:pict>
      </w:r>
    </w:p>
    <w:bookmarkEnd w:id="0"/>
    <w:p w14:paraId="76405368" w14:textId="77777777" w:rsidR="0096429C" w:rsidRPr="00423470" w:rsidRDefault="0096429C" w:rsidP="001B0372">
      <w:pPr>
        <w:spacing w:line="276" w:lineRule="auto"/>
        <w:rPr>
          <w:rFonts w:ascii="Times New Roman" w:hAnsi="Times New Roman" w:cs="Times New Roman"/>
          <w:noProof/>
        </w:rPr>
        <w:sectPr w:rsidR="0096429C" w:rsidRPr="00423470" w:rsidSect="001C474C">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2EADC1B" w14:textId="25B72D6B" w:rsidR="008F6AA1" w:rsidRPr="00423470" w:rsidRDefault="008F6AA1" w:rsidP="001B0372">
      <w:pPr>
        <w:pStyle w:val="ListParagraph"/>
        <w:keepNext/>
        <w:numPr>
          <w:ilvl w:val="0"/>
          <w:numId w:val="14"/>
        </w:numPr>
        <w:tabs>
          <w:tab w:val="num" w:pos="850"/>
        </w:tabs>
        <w:spacing w:before="360" w:after="120" w:line="276" w:lineRule="auto"/>
        <w:jc w:val="both"/>
        <w:outlineLvl w:val="0"/>
        <w:rPr>
          <w:rFonts w:ascii="Times New Roman" w:eastAsia="Times New Roman" w:hAnsi="Times New Roman" w:cs="Times New Roman"/>
          <w:b/>
          <w:smallCaps/>
          <w:noProof/>
          <w:sz w:val="24"/>
          <w:szCs w:val="24"/>
        </w:rPr>
      </w:pPr>
      <w:bookmarkStart w:id="1" w:name="_GoBack"/>
      <w:bookmarkEnd w:id="1"/>
      <w:r>
        <w:rPr>
          <w:rFonts w:ascii="Times New Roman" w:hAnsi="Times New Roman"/>
          <w:b/>
          <w:smallCaps/>
          <w:noProof/>
          <w:sz w:val="24"/>
        </w:rPr>
        <w:lastRenderedPageBreak/>
        <w:t>Introduction</w:t>
      </w:r>
    </w:p>
    <w:p w14:paraId="7E61B178" w14:textId="2B135ECD" w:rsidR="00B23DE7" w:rsidRPr="00423470" w:rsidRDefault="6D5C5EF0" w:rsidP="001B0372">
      <w:pPr>
        <w:spacing w:before="120" w:after="120" w:line="276" w:lineRule="auto"/>
        <w:jc w:val="both"/>
        <w:rPr>
          <w:rFonts w:ascii="Times New Roman" w:eastAsia="Aptos" w:hAnsi="Times New Roman" w:cs="Times New Roman"/>
          <w:noProof/>
          <w:color w:val="000000" w:themeColor="text1"/>
          <w:sz w:val="24"/>
          <w:szCs w:val="24"/>
        </w:rPr>
      </w:pPr>
      <w:r>
        <w:rPr>
          <w:rFonts w:ascii="Times New Roman" w:hAnsi="Times New Roman"/>
          <w:noProof/>
          <w:sz w:val="24"/>
        </w:rPr>
        <w:t xml:space="preserve">Le </w:t>
      </w:r>
      <w:r>
        <w:rPr>
          <w:rFonts w:ascii="Times New Roman" w:hAnsi="Times New Roman"/>
          <w:b/>
          <w:noProof/>
          <w:sz w:val="24"/>
        </w:rPr>
        <w:t>pacte sur la migration et l’asile</w:t>
      </w:r>
      <w:r w:rsidR="0066635A" w:rsidRPr="00423470">
        <w:rPr>
          <w:rStyle w:val="FootnoteReference"/>
          <w:rFonts w:ascii="Times New Roman" w:eastAsia="Aptos" w:hAnsi="Times New Roman" w:cs="Times New Roman"/>
          <w:noProof/>
          <w:color w:val="000000" w:themeColor="text1"/>
          <w:sz w:val="24"/>
          <w:szCs w:val="24"/>
          <w:lang w:val="en-GB"/>
        </w:rPr>
        <w:footnoteReference w:id="2"/>
      </w:r>
      <w:r>
        <w:rPr>
          <w:rFonts w:ascii="Times New Roman" w:hAnsi="Times New Roman"/>
          <w:noProof/>
          <w:sz w:val="24"/>
        </w:rPr>
        <w:t xml:space="preserve"> marque une étape cruciale dans l’élaboration d’une approche globale en matière de migration, d’asile, de gestion des frontières et d’intégration. Il constitue une base solide pour une gestion équitable, ferme et plus efficace de la migration et de l’asile au sein de l’Union, en assurant un système de solidarité et de responsabilité équilibré.</w:t>
      </w:r>
      <w:r>
        <w:rPr>
          <w:rFonts w:ascii="Times New Roman" w:hAnsi="Times New Roman"/>
          <w:noProof/>
          <w:color w:val="000000" w:themeColor="text1"/>
          <w:sz w:val="24"/>
        </w:rPr>
        <w:t xml:space="preserve"> Au terme d’une période de transition de deux ans après son entrée en vigueur, le pacte entrera pleinement en application le 12 juin 2026, marquant ainsi le début d’une nouvelle phase dans la gestion européenne de la migration. Des travaux considérables ont été entrepris afin de préparer l’Union européenne (UE) et les systèmes nationaux à cette fin. S’appuyant sur le plan commun de mise en œuvre</w:t>
      </w:r>
      <w:r w:rsidR="00C11B68" w:rsidRPr="00423470">
        <w:rPr>
          <w:rStyle w:val="FootnoteReference"/>
          <w:rFonts w:ascii="Times New Roman" w:eastAsia="Aptos" w:hAnsi="Times New Roman" w:cs="Times New Roman"/>
          <w:noProof/>
          <w:color w:val="000000" w:themeColor="text1"/>
          <w:sz w:val="24"/>
          <w:szCs w:val="24"/>
          <w:lang w:val="en-GB"/>
        </w:rPr>
        <w:footnoteReference w:id="3"/>
      </w:r>
      <w:r>
        <w:rPr>
          <w:rFonts w:ascii="Times New Roman" w:hAnsi="Times New Roman"/>
          <w:noProof/>
          <w:color w:val="000000" w:themeColor="text1"/>
          <w:sz w:val="24"/>
        </w:rPr>
        <w:t xml:space="preserve">, les États membres, la Commission et les agences de l’UE collaborent étroitement afin que le nouveau cadre législatif se traduise en une réalité opérationnelle, de manière à permettre une gestion efficace de la migration au sein de l’Union, à assurer la préparation et la résilience de celle-ci dans un contexte géopolitique d’une complexité croissante, ainsi qu’à établir un équilibre entre la solidarité et le partage équitable des responsabilités. </w:t>
      </w:r>
    </w:p>
    <w:p w14:paraId="1B058049" w14:textId="39520D65" w:rsidR="00693FEA" w:rsidRPr="00423470" w:rsidRDefault="07BC40C0"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 xml:space="preserve">La présente communication, qui dresse un </w:t>
      </w:r>
      <w:r>
        <w:rPr>
          <w:rFonts w:ascii="Times New Roman" w:hAnsi="Times New Roman"/>
          <w:b/>
          <w:noProof/>
          <w:sz w:val="24"/>
        </w:rPr>
        <w:t>état des lieux de la mise en œuvre</w:t>
      </w:r>
      <w:r>
        <w:rPr>
          <w:rFonts w:ascii="Times New Roman" w:hAnsi="Times New Roman"/>
          <w:noProof/>
          <w:sz w:val="24"/>
        </w:rPr>
        <w:t xml:space="preserve"> du pacte, porte sur les progrès réalisés depuis novembre 2025</w:t>
      </w:r>
      <w:r w:rsidR="0066635A" w:rsidRPr="00423470">
        <w:rPr>
          <w:rFonts w:ascii="Times New Roman" w:eastAsia="Aptos" w:hAnsi="Times New Roman" w:cs="Times New Roman"/>
          <w:noProof/>
          <w:color w:val="000000"/>
          <w:sz w:val="24"/>
          <w:szCs w:val="24"/>
          <w:vertAlign w:val="superscript"/>
        </w:rPr>
        <w:footnoteReference w:id="4"/>
      </w:r>
      <w:r>
        <w:rPr>
          <w:rFonts w:ascii="Times New Roman" w:hAnsi="Times New Roman"/>
          <w:noProof/>
          <w:sz w:val="24"/>
        </w:rPr>
        <w:t xml:space="preserve"> et recense les domaines clés dans lesquels des mesures supplémentaires sont nécessaires avant l’entrée en application du pacte au mois de juin.</w:t>
      </w:r>
      <w:r>
        <w:rPr>
          <w:rFonts w:ascii="Times New Roman" w:hAnsi="Times New Roman"/>
          <w:noProof/>
          <w:color w:val="000000"/>
          <w:sz w:val="24"/>
        </w:rPr>
        <w:t xml:space="preserve"> Par cette troisième mise à jour, la Commission satisfait à l’obligation</w:t>
      </w:r>
      <w:r w:rsidR="00837B40" w:rsidRPr="00423470">
        <w:rPr>
          <w:rStyle w:val="FootnoteReference"/>
          <w:rFonts w:ascii="Times New Roman" w:eastAsia="Aptos" w:hAnsi="Times New Roman" w:cs="Times New Roman"/>
          <w:noProof/>
          <w:color w:val="000000"/>
          <w:sz w:val="24"/>
          <w:szCs w:val="24"/>
          <w:lang w:val="en-GB"/>
        </w:rPr>
        <w:footnoteReference w:id="5"/>
      </w:r>
      <w:r>
        <w:rPr>
          <w:rFonts w:ascii="Times New Roman" w:hAnsi="Times New Roman"/>
          <w:noProof/>
          <w:color w:val="000000"/>
          <w:sz w:val="24"/>
        </w:rPr>
        <w:t xml:space="preserve"> prévue par le règlement relatif à la gestion de l’asile et de la migration d’informer régulièrement le Parlement européen et le Conseil des progrès accomplis dans la mise en œuvre du pacte.</w:t>
      </w:r>
      <w:r>
        <w:rPr>
          <w:rFonts w:ascii="Times New Roman" w:hAnsi="Times New Roman"/>
          <w:noProof/>
          <w:sz w:val="24"/>
        </w:rPr>
        <w:t xml:space="preserve"> </w:t>
      </w:r>
    </w:p>
    <w:p w14:paraId="0C0352B4" w14:textId="44C5257D" w:rsidR="007F542D" w:rsidRPr="00423470" w:rsidRDefault="3637E981"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 xml:space="preserve">Le pacte </w:t>
      </w:r>
      <w:r>
        <w:rPr>
          <w:rFonts w:ascii="Times New Roman" w:hAnsi="Times New Roman"/>
          <w:b/>
          <w:noProof/>
          <w:sz w:val="24"/>
        </w:rPr>
        <w:t>réforme le cadre européen en matière de migration et d’asile</w:t>
      </w:r>
      <w:r>
        <w:rPr>
          <w:rFonts w:ascii="Times New Roman" w:hAnsi="Times New Roman"/>
          <w:noProof/>
          <w:sz w:val="24"/>
        </w:rPr>
        <w:t xml:space="preserve">. Il exige une transformation juridique et opérationnelle importante, ainsi qu’un engagement politique durable. La période de transition de deux ans traduit l’ampleur et la complexité de cet ensemble de réformes: un système fondé sur dix actes législatifs interdépendants, qui nécessitent chacun une mise en œuvre coordonnée et intégrée entre les autorités nationales, les institutions et agences de l’Union européenne, ainsi qu’une adaptation des législations nationales, des procédures administratives et des protocoles opérationnels. </w:t>
      </w:r>
    </w:p>
    <w:p w14:paraId="20B53F60" w14:textId="3130D0D6" w:rsidR="00452322" w:rsidRPr="00423470" w:rsidRDefault="007A2358"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Dans l’ensemble, </w:t>
      </w:r>
      <w:r>
        <w:rPr>
          <w:rFonts w:ascii="Times New Roman" w:hAnsi="Times New Roman"/>
          <w:b/>
          <w:noProof/>
          <w:sz w:val="24"/>
        </w:rPr>
        <w:t>des progrès considérables ont été accomplis</w:t>
      </w:r>
      <w:r>
        <w:rPr>
          <w:rFonts w:ascii="Times New Roman" w:hAnsi="Times New Roman"/>
          <w:noProof/>
          <w:sz w:val="24"/>
        </w:rPr>
        <w:t xml:space="preserve"> ces dernières années dans la mise en œuvre de ce cadre vaste et complexe. En mai 2026, de nombreux États membres sont ainsi en bonne voie pour adapter leur législation nationale, pour établir et organiser le filtrage obligatoire et les procédures à la frontière, y compris pour instaurer des mécanismes de contrôle indépendants, et pour se doter de capacités d’accueil suffisantes. Un certain nombre d’États membres ont également pris des mesures importantes pour réduire les arriérés et les retards dans les procédures d’asile, notamment en renforçant leurs capacités et en dispensant des formations adéquates, tout en menant à bien les efforts en vue de fournir des conseils juridiques et d’adapter l’organisation du travail des juridictions. Les États membres ont également continué à renforcer leurs capacités afin de pouvoir mener à bien les transferts de responsabilité vers l’État membre responsable de l’examen d’une demande d’asile et mettre en œuvre des engagements de solidarité.</w:t>
      </w:r>
    </w:p>
    <w:p w14:paraId="7D16DADB" w14:textId="23905654" w:rsidR="75830179" w:rsidRPr="00423470" w:rsidRDefault="007F1A1C"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 xml:space="preserve">En outre, des mesures importantes ont également été prises pour </w:t>
      </w:r>
      <w:r>
        <w:rPr>
          <w:rFonts w:ascii="Times New Roman" w:hAnsi="Times New Roman"/>
          <w:b/>
          <w:noProof/>
          <w:sz w:val="24"/>
        </w:rPr>
        <w:t>rendre le cadre du pacte plus opérationnel, ainsi que pour le renforcer et le compléter</w:t>
      </w:r>
      <w:r>
        <w:rPr>
          <w:rFonts w:ascii="Times New Roman" w:hAnsi="Times New Roman"/>
          <w:noProof/>
          <w:sz w:val="24"/>
        </w:rPr>
        <w:t>. Parmi ces mesures, on compte notamment l’adoption de la première réserve de solidarité dans le cadre du cycle annuel de gestion de la migration</w:t>
      </w:r>
      <w:r w:rsidR="00503A6D" w:rsidRPr="00423470">
        <w:rPr>
          <w:rStyle w:val="FootnoteReference"/>
          <w:rFonts w:ascii="Times New Roman" w:eastAsia="Aptos" w:hAnsi="Times New Roman" w:cs="Times New Roman"/>
          <w:noProof/>
          <w:sz w:val="24"/>
          <w:szCs w:val="24"/>
          <w:lang w:val="en-GB"/>
        </w:rPr>
        <w:footnoteReference w:id="6"/>
      </w:r>
      <w:r>
        <w:rPr>
          <w:rFonts w:ascii="Times New Roman" w:hAnsi="Times New Roman"/>
          <w:noProof/>
          <w:sz w:val="24"/>
        </w:rPr>
        <w:t>, actuellement mise en place avec le coordinateur de l’UE en matière de solidarité, qui facilite l’interaction et la coopération entre les États membres afin de parvenir à une mise en œuvre équilibrée et efficace; l’adoption du règlement d’exécution portant modalités d’application du règlement relatif à la gestion de l’asile et de la migration</w:t>
      </w:r>
      <w:r w:rsidR="00D9016F" w:rsidRPr="00423470">
        <w:rPr>
          <w:rStyle w:val="FootnoteReference"/>
          <w:rFonts w:ascii="Times New Roman" w:eastAsia="Aptos" w:hAnsi="Times New Roman" w:cs="Times New Roman"/>
          <w:noProof/>
          <w:sz w:val="24"/>
          <w:szCs w:val="24"/>
          <w:lang w:val="en-GB"/>
        </w:rPr>
        <w:footnoteReference w:id="7"/>
      </w:r>
      <w:r>
        <w:rPr>
          <w:rFonts w:ascii="Times New Roman" w:hAnsi="Times New Roman"/>
          <w:noProof/>
          <w:sz w:val="24"/>
        </w:rPr>
        <w:t xml:space="preserve"> pour progresser dans la réforme des règles de Dublin; ou encore l’achèvement de la programmation stratégique des 3 milliards d’EUR de fonds de l’Union alloués en soutien à la mise en œuvre du pacte et à l’accueil des personnes déplacées en provenance d’Ukraine</w:t>
      </w:r>
      <w:r w:rsidR="005F6297" w:rsidRPr="00423470">
        <w:rPr>
          <w:rStyle w:val="FootnoteReference"/>
          <w:rFonts w:ascii="Times New Roman" w:eastAsia="Calibri" w:hAnsi="Times New Roman" w:cs="Times New Roman"/>
          <w:noProof/>
          <w:sz w:val="24"/>
          <w:szCs w:val="24"/>
          <w:lang w:val="en-GB"/>
        </w:rPr>
        <w:footnoteReference w:id="8"/>
      </w:r>
      <w:r>
        <w:rPr>
          <w:rFonts w:ascii="Times New Roman" w:hAnsi="Times New Roman"/>
          <w:noProof/>
          <w:sz w:val="24"/>
        </w:rPr>
        <w:t>. De plus, les règles modifiées relatives aux pays tiers sûrs ainsi que la première liste de l’UE des pays d’origine sûrs sont entrées en vigueur, tandis que des négociations sont en cours concernant la proposition de règlement sur le retour</w:t>
      </w:r>
      <w:r w:rsidR="00D21403" w:rsidRPr="00423470">
        <w:rPr>
          <w:rStyle w:val="FootnoteReference"/>
          <w:rFonts w:ascii="Times New Roman" w:eastAsia="Aptos" w:hAnsi="Times New Roman" w:cs="Times New Roman"/>
          <w:noProof/>
          <w:sz w:val="24"/>
          <w:szCs w:val="24"/>
          <w:lang w:val="en-GB"/>
        </w:rPr>
        <w:footnoteReference w:id="9"/>
      </w:r>
      <w:r>
        <w:rPr>
          <w:rFonts w:ascii="Times New Roman" w:hAnsi="Times New Roman"/>
          <w:noProof/>
          <w:sz w:val="24"/>
        </w:rPr>
        <w:t xml:space="preserve"> afin de parvenir rapidement à un accord sur le dernier volet du pacte qui doit encore être adopté.</w:t>
      </w:r>
    </w:p>
    <w:p w14:paraId="34D72E74" w14:textId="5E58B101" w:rsidR="00F21EDE" w:rsidRPr="00423470" w:rsidRDefault="00EE0DC4"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 xml:space="preserve">Dans le même temps, </w:t>
      </w:r>
      <w:r>
        <w:rPr>
          <w:rFonts w:ascii="Times New Roman" w:hAnsi="Times New Roman"/>
          <w:b/>
          <w:noProof/>
          <w:color w:val="000000" w:themeColor="text1"/>
          <w:sz w:val="24"/>
        </w:rPr>
        <w:t>les États membres doivent redoubler d’efforts pour combler les lacunes qui subsistent</w:t>
      </w:r>
      <w:r>
        <w:rPr>
          <w:rFonts w:ascii="Times New Roman" w:hAnsi="Times New Roman"/>
          <w:noProof/>
          <w:color w:val="000000" w:themeColor="text1"/>
          <w:sz w:val="24"/>
        </w:rPr>
        <w:t>.</w:t>
      </w:r>
      <w:r>
        <w:rPr>
          <w:rFonts w:ascii="Times New Roman" w:hAnsi="Times New Roman"/>
          <w:b/>
          <w:noProof/>
          <w:color w:val="000000" w:themeColor="text1"/>
          <w:sz w:val="24"/>
        </w:rPr>
        <w:t xml:space="preserve"> </w:t>
      </w:r>
      <w:r>
        <w:rPr>
          <w:rFonts w:ascii="Times New Roman" w:hAnsi="Times New Roman"/>
          <w:noProof/>
          <w:color w:val="000000" w:themeColor="text1"/>
          <w:sz w:val="24"/>
        </w:rPr>
        <w:t xml:space="preserve">Ils ne sont pas tous au même niveau de préparation, car ils sont aux prises avec des défis différents. </w:t>
      </w:r>
      <w:r>
        <w:rPr>
          <w:rFonts w:ascii="Times New Roman" w:hAnsi="Times New Roman"/>
          <w:noProof/>
          <w:sz w:val="24"/>
        </w:rPr>
        <w:t>Il est urgent que les États membres prennent toutes les mesures nécessaires pour progresser dans la mise en œuvre de tous les éléments constitutifs, en se concentrant avant tout sur les plus importants. Les États membres doivent, en particulier, faire en sorte que l’adaptation de leur législation nationale soit achevée à temps; que les fonctionnalités essentielles d’Eurodac</w:t>
      </w:r>
      <w:r w:rsidR="00A714E8" w:rsidRPr="00423470">
        <w:rPr>
          <w:rStyle w:val="FootnoteReference"/>
          <w:rFonts w:ascii="Times New Roman" w:eastAsia="Times New Roman" w:hAnsi="Times New Roman" w:cs="Times New Roman"/>
          <w:noProof/>
          <w:sz w:val="24"/>
          <w:szCs w:val="24"/>
          <w:lang w:val="en-GB"/>
        </w:rPr>
        <w:footnoteReference w:id="10"/>
      </w:r>
      <w:r>
        <w:rPr>
          <w:rFonts w:ascii="Times New Roman" w:hAnsi="Times New Roman"/>
          <w:noProof/>
          <w:sz w:val="24"/>
        </w:rPr>
        <w:t>, la base de données biométriques centrale sur laquelle repose le pacte, soient testées et intégralement mises en place; et que soient accélérées les procédures de passation de marchés ainsi que la construction des installations aux endroits choisis pour le filtrage et les procédures à la frontière. À cet égard, les États membres doivent veiller à constituer, en temps utile, des capacités suffisantes pour le filtrage et les procédures à la frontière, y compris à prendre des mesures visant à prévenir de façon efficace la fuite et les mouvements secondaires, et intensifier la coopération avec les pays tiers en ce qui concerne la réadmission des personnes faisant l’objet de la procédure de retour à la frontière. En outre, il est nécessaire d’accélérer la mise en œuvre des mesures préparatoires pour l’application effective des règles en matière de responsabilité et pour les transferts, et d’instaurer en temps utile les mesures de protection et garanties nouvelles, dont le mécanisme de contrôle du respect des droits fondamentaux. Dans le même temps, les travaux visant à rendre le mécanisme de solidarité opérationnel se poursuivent.</w:t>
      </w:r>
    </w:p>
    <w:p w14:paraId="7FAB4790" w14:textId="1003E086" w:rsidR="00877CCD" w:rsidRPr="00423470" w:rsidRDefault="56FD6083"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Parallèlement à la mise en œuvre du pacte, l’approche globale de la gestion de l’asile et de la migration et nos efforts soutenus en matière de diplomatie migratoire auprès des pays tiers</w:t>
      </w:r>
      <w:r>
        <w:rPr>
          <w:rFonts w:ascii="Times New Roman" w:hAnsi="Times New Roman"/>
          <w:b/>
          <w:noProof/>
          <w:sz w:val="24"/>
        </w:rPr>
        <w:t xml:space="preserve"> permettent déjà d’obtenir des résultats probants.</w:t>
      </w:r>
      <w:r>
        <w:rPr>
          <w:rFonts w:ascii="Times New Roman" w:hAnsi="Times New Roman"/>
          <w:noProof/>
          <w:sz w:val="24"/>
        </w:rPr>
        <w:t xml:space="preserve"> Les franchissements illégaux des frontières extérieures de l’UE ont ainsi diminué de 26 % en 2025 par rapport à 2024. Le nombre de personnes détectées alors qu’elles tentaient de franchir illégalement la frontière est au niveau le plus bas depuis 2021. Tout cela est le fruit de changements de politique de la part de l’Union et des États membres, d’une convergence croissante entre les États membres, et d’une coopération renforcée avec les pays partenaires traversés par les principales routes migratoires.</w:t>
      </w:r>
    </w:p>
    <w:p w14:paraId="19C2A9B6" w14:textId="65A4773C" w:rsidR="00CC7A71" w:rsidRPr="00423470" w:rsidRDefault="626D0797"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Dans le prolongement de cette dynamique, la stratégie européenne de gestion de l’asile et de la migration</w:t>
      </w:r>
      <w:r w:rsidR="003B0C38" w:rsidRPr="00423470">
        <w:rPr>
          <w:rStyle w:val="FootnoteReference"/>
          <w:rFonts w:ascii="Times New Roman" w:eastAsia="Aptos" w:hAnsi="Times New Roman" w:cs="Times New Roman"/>
          <w:noProof/>
          <w:sz w:val="24"/>
          <w:szCs w:val="24"/>
          <w:lang w:val="en-GB"/>
        </w:rPr>
        <w:footnoteReference w:id="11"/>
      </w:r>
      <w:r>
        <w:rPr>
          <w:rFonts w:ascii="Times New Roman" w:hAnsi="Times New Roman"/>
          <w:noProof/>
          <w:sz w:val="24"/>
        </w:rPr>
        <w:t xml:space="preserve"> définit les </w:t>
      </w:r>
      <w:r>
        <w:rPr>
          <w:rFonts w:ascii="Times New Roman" w:hAnsi="Times New Roman"/>
          <w:b/>
          <w:noProof/>
          <w:sz w:val="24"/>
        </w:rPr>
        <w:t>objectifs de l’Union pour les années à venir:</w:t>
      </w:r>
      <w:r>
        <w:rPr>
          <w:rFonts w:ascii="Times New Roman" w:hAnsi="Times New Roman"/>
          <w:noProof/>
          <w:sz w:val="24"/>
        </w:rPr>
        <w:t xml:space="preserve"> prévenir la migration irrégulière et mettre un terme aux activités des réseaux criminels de passeurs, protéger les personnes qui fuient la guerre et les persécutions tout en prévenant l’utilisation abusive du régime d’asile et encourager les talents à venir sur son territoire afin de stimuler la compétitivité de son économie. La mise en place d’un système de gestion de l’asile et de la migration solide, équitable et efficace, fondé sur le pacte et capable de s’adapter et de réagir aux évolutions géopolitiques, demeurera une priorité. </w:t>
      </w:r>
    </w:p>
    <w:p w14:paraId="629A382D" w14:textId="61FD8367" w:rsidR="7E05102F" w:rsidRPr="00423470" w:rsidRDefault="7E05102F"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C’est pourquoi la Commission </w:t>
      </w:r>
      <w:r>
        <w:rPr>
          <w:rFonts w:ascii="Times New Roman" w:hAnsi="Times New Roman"/>
          <w:b/>
          <w:noProof/>
          <w:sz w:val="24"/>
        </w:rPr>
        <w:t>invite l’ensemble des États membres à redoubler d’efforts pour une mise en œuvre du pacte en temps voulu</w:t>
      </w:r>
      <w:r>
        <w:rPr>
          <w:rFonts w:ascii="Times New Roman" w:hAnsi="Times New Roman"/>
          <w:noProof/>
          <w:sz w:val="24"/>
        </w:rPr>
        <w:t>. Ce faisant, il importe que les États membres dialoguent avec les autorités locales et régionales, les partenaires sociaux, les organisations de la société civile et les autres parties prenantes, et qu’ils les associent à la réalisation de cet objectif, exploitant ainsi toutes les ressources disponibles tant au niveau national qu’à celui de l’UE. La Commission reste en contact avec les États membres afin de combler les lacunes qui subsistent et se tient prête à continuer de leur apporter le soutien nécessaire.</w:t>
      </w:r>
    </w:p>
    <w:p w14:paraId="23CF99A2" w14:textId="166726F1" w:rsidR="711C02BB" w:rsidRPr="00423470" w:rsidRDefault="00EE58D2"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L’entrée en application du pacte marque une étape importante, mais ce n’est pas pour autant la fin du processus. </w:t>
      </w:r>
      <w:r>
        <w:rPr>
          <w:rFonts w:ascii="Times New Roman" w:hAnsi="Times New Roman"/>
          <w:b/>
          <w:noProof/>
          <w:sz w:val="24"/>
        </w:rPr>
        <w:t>Il faudra continuer à fournir des efforts soutenus bien au-delà du mois de juin</w:t>
      </w:r>
      <w:r>
        <w:rPr>
          <w:rFonts w:ascii="Times New Roman" w:hAnsi="Times New Roman"/>
          <w:noProof/>
          <w:sz w:val="24"/>
        </w:rPr>
        <w:t xml:space="preserve"> afin de concrétiser le nouveau système européen de gestion de la migration. </w:t>
      </w:r>
    </w:p>
    <w:p w14:paraId="47F2A0AA" w14:textId="1B69613F" w:rsidR="5FF493F7" w:rsidRPr="00423470" w:rsidRDefault="008A20E1" w:rsidP="001B0372">
      <w:pPr>
        <w:spacing w:before="120" w:after="120" w:line="276" w:lineRule="auto"/>
        <w:jc w:val="center"/>
        <w:rPr>
          <w:rFonts w:ascii="Times New Roman" w:eastAsia="Times New Roman" w:hAnsi="Times New Roman" w:cs="Times New Roman"/>
          <w:i/>
          <w:iCs/>
          <w:noProof/>
          <w:sz w:val="24"/>
          <w:szCs w:val="24"/>
        </w:rPr>
      </w:pPr>
      <w:r w:rsidRPr="008A20E1">
        <w:rPr>
          <w:noProof/>
          <w:lang w:val="en-GB" w:eastAsia="en-GB"/>
        </w:rPr>
        <w:drawing>
          <wp:inline distT="0" distB="0" distL="0" distR="0" wp14:anchorId="001519CC" wp14:editId="1340EB50">
            <wp:extent cx="5731510" cy="3220085"/>
            <wp:effectExtent l="0" t="0" r="2540" b="0"/>
            <wp:docPr id="9051395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3220085"/>
                    </a:xfrm>
                    <a:prstGeom prst="rect">
                      <a:avLst/>
                    </a:prstGeom>
                    <a:noFill/>
                    <a:ln>
                      <a:noFill/>
                    </a:ln>
                  </pic:spPr>
                </pic:pic>
              </a:graphicData>
            </a:graphic>
          </wp:inline>
        </w:drawing>
      </w:r>
    </w:p>
    <w:p w14:paraId="776C5B74" w14:textId="37BE8B1D" w:rsidR="008F6AA1" w:rsidRPr="00423470" w:rsidRDefault="008F6AA1" w:rsidP="001B0372">
      <w:pPr>
        <w:pStyle w:val="ListParagraph"/>
        <w:keepNext/>
        <w:numPr>
          <w:ilvl w:val="0"/>
          <w:numId w:val="14"/>
        </w:numPr>
        <w:tabs>
          <w:tab w:val="num" w:pos="850"/>
        </w:tabs>
        <w:spacing w:before="360" w:after="120" w:line="276" w:lineRule="auto"/>
        <w:jc w:val="both"/>
        <w:outlineLvl w:val="0"/>
        <w:rPr>
          <w:rFonts w:ascii="Times New Roman" w:eastAsia="Times New Roman" w:hAnsi="Times New Roman" w:cs="Times New Roman"/>
          <w:b/>
          <w:smallCaps/>
          <w:noProof/>
          <w:sz w:val="24"/>
          <w:szCs w:val="24"/>
        </w:rPr>
      </w:pPr>
      <w:r>
        <w:rPr>
          <w:rFonts w:ascii="Times New Roman" w:hAnsi="Times New Roman"/>
          <w:b/>
          <w:smallCaps/>
          <w:noProof/>
          <w:sz w:val="24"/>
        </w:rPr>
        <w:t>Mise en œuvre au niveau de l’Union</w:t>
      </w:r>
    </w:p>
    <w:p w14:paraId="1DC61E07" w14:textId="11408A8C" w:rsidR="00F34F75" w:rsidRPr="00423470" w:rsidRDefault="3DB98CFA"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Outre la stratégie européenne de gestion de l’asile et de la migration, des </w:t>
      </w:r>
      <w:r>
        <w:rPr>
          <w:rFonts w:ascii="Times New Roman" w:hAnsi="Times New Roman"/>
          <w:b/>
          <w:noProof/>
          <w:sz w:val="24"/>
        </w:rPr>
        <w:t>initiatives législatives essentielles</w:t>
      </w:r>
      <w:r>
        <w:rPr>
          <w:rFonts w:ascii="Times New Roman" w:hAnsi="Times New Roman"/>
          <w:noProof/>
          <w:sz w:val="24"/>
        </w:rPr>
        <w:t xml:space="preserve"> qui s’inscrivent dans le cadre de l’approche globale et qui visent à parachever et compléter le pacte ont été adoptées et sont entrées en vigueur en février. </w:t>
      </w:r>
    </w:p>
    <w:p w14:paraId="1364E015" w14:textId="0FB689D1" w:rsidR="006B22EB" w:rsidRPr="00423470" w:rsidRDefault="18A83020"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Les </w:t>
      </w:r>
      <w:r>
        <w:rPr>
          <w:rFonts w:ascii="Times New Roman" w:hAnsi="Times New Roman"/>
          <w:b/>
          <w:noProof/>
          <w:sz w:val="24"/>
        </w:rPr>
        <w:t>règles révisées relatives aux pays tiers sûrs</w:t>
      </w:r>
      <w:r w:rsidR="00456EF0" w:rsidRPr="00423470">
        <w:rPr>
          <w:rStyle w:val="FootnoteReference"/>
          <w:rFonts w:ascii="Times New Roman" w:eastAsia="Times New Roman" w:hAnsi="Times New Roman" w:cs="Times New Roman"/>
          <w:noProof/>
          <w:sz w:val="24"/>
          <w:szCs w:val="24"/>
          <w:lang w:val="en-GB"/>
        </w:rPr>
        <w:footnoteReference w:id="12"/>
      </w:r>
      <w:r>
        <w:rPr>
          <w:rFonts w:ascii="Times New Roman" w:hAnsi="Times New Roman"/>
          <w:noProof/>
          <w:sz w:val="24"/>
        </w:rPr>
        <w:t xml:space="preserve"> permettent aux États membres de considérer plus facilement qu’une demande d’asile est irrecevable dès lors que le demandeur pourrait bénéficier d’une protection effective dans un pays tiers considéré comme sûr pour lui et où sa demande de protection serait examinée. Ces règles devraient ainsi contribuer à alléger davantage la pression qui pèse sur les régimes d’asile nationaux et à réduire l’attrait de la migration irrégulière, tout en préservant les garanties juridiques et en assurant le plein respect des droits fondamentaux. La </w:t>
      </w:r>
      <w:r>
        <w:rPr>
          <w:rFonts w:ascii="Times New Roman" w:hAnsi="Times New Roman"/>
          <w:b/>
          <w:noProof/>
          <w:sz w:val="24"/>
        </w:rPr>
        <w:t>nouvelle liste commune de pays d’origine sûrs au niveau de l’Union</w:t>
      </w:r>
      <w:r w:rsidR="00456EF0" w:rsidRPr="00423470">
        <w:rPr>
          <w:rStyle w:val="FootnoteReference"/>
          <w:rFonts w:ascii="Times New Roman" w:eastAsia="Times New Roman" w:hAnsi="Times New Roman" w:cs="Times New Roman"/>
          <w:noProof/>
          <w:sz w:val="24"/>
          <w:szCs w:val="24"/>
          <w:lang w:val="en-GB"/>
        </w:rPr>
        <w:footnoteReference w:id="13"/>
      </w:r>
      <w:r>
        <w:rPr>
          <w:rFonts w:ascii="Times New Roman" w:hAnsi="Times New Roman"/>
          <w:noProof/>
          <w:sz w:val="24"/>
        </w:rPr>
        <w:t xml:space="preserve"> promeut une approche plus uniforme entre les États membres lors de l’examen des demandes susceptibles d’être infondées, en en permettant le traitement plus rapide et efficace dans le cadre d’une procédure accélérée ou d’une procédure à la frontière. </w:t>
      </w:r>
    </w:p>
    <w:p w14:paraId="2A5AD093" w14:textId="6012BBA1" w:rsidR="00693FEA" w:rsidRPr="00423470" w:rsidRDefault="05EAD847" w:rsidP="001B0372">
      <w:pPr>
        <w:spacing w:before="120" w:after="120" w:line="276" w:lineRule="auto"/>
        <w:jc w:val="both"/>
        <w:rPr>
          <w:rFonts w:ascii="Times New Roman" w:eastAsia="Aptos" w:hAnsi="Times New Roman" w:cs="Times New Roman"/>
          <w:noProof/>
          <w:color w:val="000000" w:themeColor="text1"/>
          <w:sz w:val="24"/>
          <w:szCs w:val="24"/>
        </w:rPr>
      </w:pPr>
      <w:r>
        <w:rPr>
          <w:rFonts w:ascii="Times New Roman" w:hAnsi="Times New Roman"/>
          <w:noProof/>
          <w:sz w:val="24"/>
        </w:rPr>
        <w:t>Au cours des derniers mois,</w:t>
      </w:r>
      <w:r>
        <w:rPr>
          <w:rFonts w:ascii="Times New Roman" w:hAnsi="Times New Roman"/>
          <w:b/>
          <w:noProof/>
          <w:sz w:val="24"/>
        </w:rPr>
        <w:t xml:space="preserve"> la Commission a continué de soutenir les efforts accomplis par les États membres</w:t>
      </w:r>
      <w:r>
        <w:rPr>
          <w:rFonts w:ascii="Times New Roman" w:hAnsi="Times New Roman"/>
          <w:noProof/>
          <w:sz w:val="24"/>
        </w:rPr>
        <w:t xml:space="preserve"> pour adapter leurs cadres juridiques nationaux respectifs. Ces efforts ont été coordonnés notamment par l’intermédiaire du Comité stratégique sur l’immigration, les frontières et l’asile (CSIFA) et moyennant des dialogues bilatéraux avec la Commission. La plateforme de solidarité demeure la principale enceinte pour la mise en œuvre de la réserve de solidarité jusqu’à ce que le forum technique de l’UE sur la solidarité puisse commencer ses travaux en juin 2026.</w:t>
      </w:r>
      <w:r>
        <w:rPr>
          <w:rFonts w:ascii="Times New Roman" w:hAnsi="Times New Roman"/>
          <w:noProof/>
          <w:color w:val="000000" w:themeColor="text1"/>
          <w:sz w:val="24"/>
        </w:rPr>
        <w:t xml:space="preserve"> Les comités de contact et les groupes d’experts existants continuent, quant à eux, de discuter du cadre juridique et de fournir des orientations à ce sujet, souvent en organisant des réunions conjointes réunissant différents groupes afin de contribuer à la recherche de synergies entre les instruments législatifs et d’éviter les doubles emplois. </w:t>
      </w:r>
    </w:p>
    <w:p w14:paraId="606A52AB" w14:textId="62C68F71" w:rsidR="00F41E6E" w:rsidRPr="00423470" w:rsidRDefault="00F41E6E" w:rsidP="001B0372">
      <w:pPr>
        <w:spacing w:before="120" w:after="120" w:line="276" w:lineRule="auto"/>
        <w:jc w:val="both"/>
        <w:rPr>
          <w:rFonts w:ascii="Times New Roman" w:eastAsia="Aptos" w:hAnsi="Times New Roman" w:cs="Times New Roman"/>
          <w:noProof/>
          <w:color w:val="000000" w:themeColor="text1"/>
          <w:sz w:val="24"/>
          <w:szCs w:val="24"/>
        </w:rPr>
      </w:pPr>
      <w:r>
        <w:rPr>
          <w:rFonts w:ascii="Times New Roman" w:hAnsi="Times New Roman"/>
          <w:noProof/>
          <w:color w:val="000000" w:themeColor="text1"/>
          <w:sz w:val="24"/>
        </w:rPr>
        <w:t xml:space="preserve">De plus, la Commission échange régulièrement avec le </w:t>
      </w:r>
      <w:r>
        <w:rPr>
          <w:rFonts w:ascii="Times New Roman" w:hAnsi="Times New Roman"/>
          <w:b/>
          <w:noProof/>
          <w:color w:val="000000" w:themeColor="text1"/>
          <w:sz w:val="24"/>
        </w:rPr>
        <w:t>Parlement européen</w:t>
      </w:r>
      <w:r>
        <w:rPr>
          <w:rFonts w:ascii="Times New Roman" w:hAnsi="Times New Roman"/>
          <w:noProof/>
          <w:color w:val="000000" w:themeColor="text1"/>
          <w:sz w:val="24"/>
        </w:rPr>
        <w:t>, notamment avec la commission des libertés civiles, de la justice et des affaires intérieures (LIBE) et avec le groupe de travail sur l’asile et la mise en œuvre du pacte/régime d’asile européen commun.</w:t>
      </w:r>
    </w:p>
    <w:p w14:paraId="2ECF0236" w14:textId="27820F60" w:rsidR="007D4E62" w:rsidRPr="00423470" w:rsidRDefault="00B97608"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 xml:space="preserve">Le dialogue avec la </w:t>
      </w:r>
      <w:r>
        <w:rPr>
          <w:rFonts w:ascii="Times New Roman" w:hAnsi="Times New Roman"/>
          <w:b/>
          <w:noProof/>
          <w:sz w:val="24"/>
        </w:rPr>
        <w:t xml:space="preserve">société civile a lieu </w:t>
      </w:r>
      <w:r>
        <w:rPr>
          <w:rFonts w:ascii="Times New Roman" w:hAnsi="Times New Roman"/>
          <w:noProof/>
          <w:sz w:val="24"/>
        </w:rPr>
        <w:t xml:space="preserve">dans diverses enceintes, dont le Forum européen sur la migration (une réunion s’est tenue en novembre 2025), et moyennant des contacts bilatéraux. Le dialogue avec les </w:t>
      </w:r>
      <w:r>
        <w:rPr>
          <w:rFonts w:ascii="Times New Roman" w:hAnsi="Times New Roman"/>
          <w:b/>
          <w:noProof/>
          <w:sz w:val="24"/>
        </w:rPr>
        <w:t>réseaux judiciaires</w:t>
      </w:r>
      <w:r>
        <w:rPr>
          <w:rFonts w:ascii="Times New Roman" w:hAnsi="Times New Roman"/>
          <w:noProof/>
          <w:sz w:val="24"/>
        </w:rPr>
        <w:t xml:space="preserve"> a, quant à lui, notamment pris la forme de travaux avec le réseau européen des conseils de la justice (RECJ) sur la procédure à la frontière, afin de déterminer les moyens de soutenir les systèmes judiciaires nationaux à la suite des changements de procédures introduits par le pacte.</w:t>
      </w:r>
    </w:p>
    <w:p w14:paraId="4997106D" w14:textId="03C1C790" w:rsidR="00365FC1" w:rsidRPr="00423470" w:rsidRDefault="5A7F1415" w:rsidP="001B0372">
      <w:pPr>
        <w:spacing w:line="276" w:lineRule="auto"/>
        <w:jc w:val="both"/>
        <w:rPr>
          <w:rFonts w:ascii="Times New Roman" w:eastAsia="Aptos" w:hAnsi="Times New Roman" w:cs="Times New Roman"/>
          <w:noProof/>
          <w:sz w:val="24"/>
          <w:szCs w:val="24"/>
        </w:rPr>
      </w:pPr>
      <w:r>
        <w:rPr>
          <w:rFonts w:ascii="Times New Roman" w:hAnsi="Times New Roman"/>
          <w:noProof/>
          <w:sz w:val="24"/>
        </w:rPr>
        <w:t xml:space="preserve">Les </w:t>
      </w:r>
      <w:r>
        <w:rPr>
          <w:rFonts w:ascii="Times New Roman" w:hAnsi="Times New Roman"/>
          <w:b/>
          <w:noProof/>
          <w:sz w:val="24"/>
        </w:rPr>
        <w:t>agences de l’UE</w:t>
      </w:r>
      <w:r>
        <w:rPr>
          <w:rFonts w:ascii="Times New Roman" w:hAnsi="Times New Roman"/>
          <w:noProof/>
          <w:sz w:val="24"/>
        </w:rPr>
        <w:t>, en particulier l’Agence de l’Union européenne pour l’asile (AUEA), l’eu-LISA, Frontex, Europol et l’Agence des droits fondamentaux de l’Union européenne (FRA), continuent de coopérer étroitement avec la Commission et les États membres pour soutenir le processus de réforme. Elles progressent comme prévu dans l’élaboration des documents d’orientation, des modèles et du matériel de formation requis, conformément au plan commun de mise en œuvre. Les agences continuent également de fournir une assistance sur mesure et sur demande aux États membres afin de les aider face à l’émergence et à l’évolution des défis</w:t>
      </w:r>
      <w:r w:rsidR="008D481D" w:rsidRPr="00423470">
        <w:rPr>
          <w:rStyle w:val="FootnoteReference"/>
          <w:rFonts w:ascii="Times New Roman" w:eastAsia="Times New Roman" w:hAnsi="Times New Roman" w:cs="Times New Roman"/>
          <w:noProof/>
          <w:sz w:val="24"/>
          <w:szCs w:val="24"/>
          <w:lang w:val="en-GB"/>
        </w:rPr>
        <w:footnoteReference w:id="14"/>
      </w:r>
      <w:r>
        <w:rPr>
          <w:rFonts w:ascii="Times New Roman" w:hAnsi="Times New Roman"/>
          <w:noProof/>
          <w:sz w:val="24"/>
        </w:rPr>
        <w:t>. À la suite des exercices pilotes de surveillance menés par l’AUEA en Estonie et aux Pays-Bas visant à préparer la mise en œuvre du nouveau mécanisme de surveillance pour l’application opérationnelle et technique de l’acquis en matière d’asile dans tous les États membres, une révision de la méthode de surveillance sera achevée d’ici juin 2026 et les trois premiers États membres feront l’objet d’une surveillance au second semestre de 2026</w:t>
      </w:r>
      <w:r w:rsidR="0086514D" w:rsidRPr="00423470">
        <w:rPr>
          <w:rStyle w:val="FootnoteReference"/>
          <w:rFonts w:ascii="Times New Roman" w:eastAsia="Times New Roman" w:hAnsi="Times New Roman" w:cs="Times New Roman"/>
          <w:noProof/>
          <w:sz w:val="24"/>
          <w:szCs w:val="24"/>
          <w:lang w:val="en-GB"/>
        </w:rPr>
        <w:footnoteReference w:id="15"/>
      </w:r>
      <w:r>
        <w:rPr>
          <w:rFonts w:ascii="Times New Roman" w:hAnsi="Times New Roman"/>
          <w:noProof/>
          <w:sz w:val="24"/>
        </w:rPr>
        <w:t xml:space="preserve">. </w:t>
      </w:r>
    </w:p>
    <w:p w14:paraId="7C60B923" w14:textId="13FDB361" w:rsidR="0011407D" w:rsidRPr="00423470" w:rsidRDefault="0ED9CE72" w:rsidP="001B0372">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En outre, la Commission continue de prêter son concours aux États membres par l’intermédiaire de l’</w:t>
      </w:r>
      <w:r>
        <w:rPr>
          <w:rFonts w:ascii="Times New Roman" w:hAnsi="Times New Roman"/>
          <w:b/>
          <w:noProof/>
          <w:sz w:val="24"/>
        </w:rPr>
        <w:t>instrument d’appui technique</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Cet instrument aide huit États membres</w:t>
      </w:r>
      <w:r w:rsidR="005C585C" w:rsidRPr="00423470">
        <w:rPr>
          <w:rFonts w:ascii="Times New Roman" w:eastAsia="Calibri" w:hAnsi="Times New Roman" w:cs="Times New Roman"/>
          <w:noProof/>
          <w:vertAlign w:val="superscript"/>
        </w:rPr>
        <w:footnoteReference w:id="16"/>
      </w:r>
      <w:r>
        <w:rPr>
          <w:rFonts w:ascii="Times New Roman" w:hAnsi="Times New Roman"/>
          <w:noProof/>
          <w:sz w:val="24"/>
        </w:rPr>
        <w:t xml:space="preserve"> à mettre en œuvre des réformes particulières décrites dans leur plan national de mise en œuvre, en coopération avec le Centre international pour le développement des politiques migratoires (CIDPM) et l’Organisation internationale pour les migrations (OIM). Certains de ces États membres participent également à des exercices d’apprentissage entre pairs et par les pairs par l’intermédiaire d’une communauté de pratiques, qui comprend, par exemple, des ateliers thématiques et des échanges pratiques</w:t>
      </w:r>
      <w:r w:rsidR="00DF152D" w:rsidRPr="00423470">
        <w:rPr>
          <w:rStyle w:val="FootnoteReference"/>
          <w:rFonts w:ascii="Times New Roman" w:eastAsia="Calibri" w:hAnsi="Times New Roman" w:cs="Times New Roman"/>
          <w:noProof/>
          <w:sz w:val="24"/>
          <w:szCs w:val="24"/>
          <w:lang w:val="en-GB"/>
        </w:rPr>
        <w:footnoteReference w:id="17"/>
      </w:r>
      <w:r>
        <w:rPr>
          <w:rFonts w:ascii="Times New Roman" w:hAnsi="Times New Roman"/>
          <w:noProof/>
          <w:sz w:val="24"/>
        </w:rPr>
        <w:t xml:space="preserve"> et qui est créée avec le soutien du CIDPM et renforcée par la participation ponctuelle de certaines agences de l’UE. </w:t>
      </w:r>
    </w:p>
    <w:p w14:paraId="7F0D5193" w14:textId="29D4DFF4" w:rsidR="008F6AA1" w:rsidRPr="00423470" w:rsidRDefault="008F6AA1" w:rsidP="00081061">
      <w:pPr>
        <w:pStyle w:val="ListParagraph"/>
        <w:keepNext/>
        <w:numPr>
          <w:ilvl w:val="0"/>
          <w:numId w:val="14"/>
        </w:numPr>
        <w:tabs>
          <w:tab w:val="num" w:pos="850"/>
        </w:tabs>
        <w:spacing w:before="360" w:after="120" w:line="276" w:lineRule="auto"/>
        <w:jc w:val="both"/>
        <w:outlineLvl w:val="0"/>
        <w:rPr>
          <w:rFonts w:ascii="Times New Roman" w:hAnsi="Times New Roman" w:cs="Times New Roman"/>
          <w:b/>
          <w:smallCaps/>
          <w:noProof/>
        </w:rPr>
      </w:pPr>
      <w:r>
        <w:rPr>
          <w:rFonts w:ascii="Times New Roman" w:hAnsi="Times New Roman"/>
          <w:b/>
          <w:smallCaps/>
          <w:noProof/>
        </w:rPr>
        <w:t>Mise en œuvre opérationnelle des éléments constitutifs – état d’avancement</w:t>
      </w:r>
    </w:p>
    <w:p w14:paraId="76E7EDCE" w14:textId="75E8E793" w:rsidR="008F6AA1" w:rsidRPr="00423470" w:rsidRDefault="4407B8B0" w:rsidP="001B0372">
      <w:pPr>
        <w:spacing w:before="120" w:after="120" w:line="276" w:lineRule="auto"/>
        <w:jc w:val="both"/>
        <w:rPr>
          <w:rFonts w:ascii="Times New Roman" w:eastAsia="Calibri" w:hAnsi="Times New Roman" w:cs="Times New Roman"/>
          <w:noProof/>
          <w:color w:val="3A7C22" w:themeColor="accent6" w:themeShade="BF"/>
          <w:sz w:val="24"/>
          <w:szCs w:val="24"/>
        </w:rPr>
      </w:pPr>
      <w:r>
        <w:rPr>
          <w:rFonts w:ascii="Times New Roman" w:hAnsi="Times New Roman"/>
          <w:noProof/>
          <w:sz w:val="24"/>
        </w:rPr>
        <w:t xml:space="preserve">Grâce aux travaux des comités de contact de la Commission, qui continuent d’élaborer de nouvelles orientations et de contribuer à répondre à toutes demandes et questions émergentes, les </w:t>
      </w:r>
      <w:r>
        <w:rPr>
          <w:rFonts w:ascii="Times New Roman" w:hAnsi="Times New Roman"/>
          <w:b/>
          <w:noProof/>
          <w:sz w:val="24"/>
        </w:rPr>
        <w:t xml:space="preserve">États membres se dotent progressivement de la législation nationale </w:t>
      </w:r>
      <w:r>
        <w:rPr>
          <w:rFonts w:ascii="Times New Roman" w:hAnsi="Times New Roman"/>
          <w:noProof/>
          <w:sz w:val="24"/>
        </w:rPr>
        <w:t>nécessaire. Pour au moins onze États membres, le projet de législation a atteint le stade de la procédure parlementaire</w:t>
      </w:r>
      <w:r w:rsidR="00062AB6" w:rsidRPr="00423470">
        <w:rPr>
          <w:rStyle w:val="FootnoteReference"/>
          <w:rFonts w:ascii="Times New Roman" w:eastAsia="Calibri" w:hAnsi="Times New Roman" w:cs="Times New Roman"/>
          <w:noProof/>
          <w:sz w:val="24"/>
          <w:szCs w:val="24"/>
          <w:lang w:val="en-GB"/>
        </w:rPr>
        <w:footnoteReference w:id="18"/>
      </w:r>
      <w:r>
        <w:rPr>
          <w:rFonts w:ascii="Times New Roman" w:hAnsi="Times New Roman"/>
          <w:noProof/>
          <w:sz w:val="24"/>
        </w:rPr>
        <w:t>, tandis que la plupart des autres États membres en sont aux dernières étapes de l’élaboration des propositions nécessaires</w:t>
      </w:r>
      <w:r w:rsidR="008F6AA1" w:rsidRPr="00423470">
        <w:rPr>
          <w:rFonts w:ascii="Times New Roman" w:eastAsia="Calibri" w:hAnsi="Times New Roman" w:cs="Times New Roman"/>
          <w:noProof/>
          <w:sz w:val="24"/>
          <w:szCs w:val="24"/>
          <w:vertAlign w:val="superscript"/>
        </w:rPr>
        <w:footnoteReference w:id="19"/>
      </w:r>
      <w:r>
        <w:rPr>
          <w:rFonts w:ascii="Times New Roman" w:hAnsi="Times New Roman"/>
          <w:noProof/>
          <w:sz w:val="24"/>
        </w:rPr>
        <w:t>. Cinq États membres ont déjà adopté la plupart des législations nationales pertinentes</w:t>
      </w:r>
      <w:r w:rsidR="00B402ED" w:rsidRPr="00423470">
        <w:rPr>
          <w:rFonts w:ascii="Times New Roman" w:eastAsia="Calibri" w:hAnsi="Times New Roman" w:cs="Times New Roman"/>
          <w:noProof/>
          <w:sz w:val="24"/>
          <w:szCs w:val="24"/>
          <w:vertAlign w:val="superscript"/>
        </w:rPr>
        <w:footnoteReference w:id="20"/>
      </w:r>
      <w:r>
        <w:rPr>
          <w:rFonts w:ascii="Times New Roman" w:hAnsi="Times New Roman"/>
          <w:noProof/>
          <w:sz w:val="24"/>
        </w:rPr>
        <w:t>.</w:t>
      </w:r>
    </w:p>
    <w:p w14:paraId="7A5164AA" w14:textId="3CC82560" w:rsidR="47C4907C" w:rsidRPr="00423470" w:rsidRDefault="4766C348"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color w:val="000000" w:themeColor="text1"/>
          <w:sz w:val="24"/>
        </w:rPr>
        <w:t>Selon les besoins recensés dans les plans nationaux de mise en œuvre</w:t>
      </w:r>
      <w:r>
        <w:rPr>
          <w:rFonts w:ascii="Times New Roman" w:hAnsi="Times New Roman"/>
          <w:noProof/>
          <w:color w:val="000000"/>
          <w:sz w:val="24"/>
        </w:rPr>
        <w:t>, 26 États membres ont achevé</w:t>
      </w:r>
      <w:r>
        <w:rPr>
          <w:rStyle w:val="CommentReference"/>
          <w:rFonts w:ascii="Times New Roman" w:hAnsi="Times New Roman"/>
          <w:noProof/>
          <w:color w:val="000000"/>
          <w:sz w:val="24"/>
        </w:rPr>
        <w:t xml:space="preserve"> </w:t>
      </w:r>
      <w:r>
        <w:rPr>
          <w:rFonts w:ascii="Times New Roman" w:hAnsi="Times New Roman"/>
          <w:b/>
          <w:noProof/>
          <w:sz w:val="24"/>
        </w:rPr>
        <w:t xml:space="preserve">la programmation stratégique des trois milliards d’EUR </w:t>
      </w:r>
      <w:r>
        <w:rPr>
          <w:rFonts w:ascii="Times New Roman" w:hAnsi="Times New Roman"/>
          <w:noProof/>
          <w:sz w:val="24"/>
        </w:rPr>
        <w:t>alloués à la mise en œuvre du pacte</w:t>
      </w:r>
      <w:r w:rsidR="007169BC" w:rsidRPr="00423470">
        <w:rPr>
          <w:rStyle w:val="FootnoteReference"/>
          <w:rFonts w:ascii="Times New Roman" w:eastAsia="Times New Roman" w:hAnsi="Times New Roman" w:cs="Times New Roman"/>
          <w:noProof/>
          <w:sz w:val="24"/>
          <w:szCs w:val="24"/>
          <w:lang w:val="en-GB"/>
        </w:rPr>
        <w:footnoteReference w:id="21"/>
      </w:r>
      <w:r>
        <w:rPr>
          <w:rFonts w:ascii="Times New Roman" w:hAnsi="Times New Roman"/>
          <w:noProof/>
          <w:sz w:val="24"/>
        </w:rPr>
        <w:t>. Ce processus a permis d’évaluer les défis auxquels les États membres sont en proie, ce qui a contribué à maximiser la valeur ajoutée des fonds de l’UE et a complété les financements européens existants provenant des programmes nationaux et des budgets nationaux. En avril 2026, la plupart des modifications de programmes correspondantes avaient été adoptées</w:t>
      </w:r>
      <w:r w:rsidR="00264F1E" w:rsidRPr="00423470">
        <w:rPr>
          <w:rStyle w:val="FootnoteReference"/>
          <w:rFonts w:ascii="Times New Roman" w:eastAsia="Times New Roman" w:hAnsi="Times New Roman" w:cs="Times New Roman"/>
          <w:noProof/>
          <w:sz w:val="24"/>
          <w:szCs w:val="24"/>
          <w:lang w:val="en-GB"/>
        </w:rPr>
        <w:footnoteReference w:id="22"/>
      </w:r>
      <w:r>
        <w:rPr>
          <w:rFonts w:ascii="Times New Roman" w:hAnsi="Times New Roman"/>
          <w:noProof/>
          <w:sz w:val="24"/>
        </w:rPr>
        <w:t>, tandis que le processus se poursuivait pour les modifications restantes</w:t>
      </w:r>
      <w:r w:rsidR="007169BC" w:rsidRPr="00423470">
        <w:rPr>
          <w:rStyle w:val="FootnoteReference"/>
          <w:rFonts w:ascii="Times New Roman" w:eastAsia="Times New Roman" w:hAnsi="Times New Roman" w:cs="Times New Roman"/>
          <w:noProof/>
          <w:sz w:val="24"/>
          <w:szCs w:val="24"/>
          <w:lang w:val="en-GB"/>
        </w:rPr>
        <w:footnoteReference w:id="23"/>
      </w:r>
      <w:r>
        <w:rPr>
          <w:rFonts w:ascii="Times New Roman" w:hAnsi="Times New Roman"/>
          <w:noProof/>
          <w:sz w:val="24"/>
        </w:rPr>
        <w:t xml:space="preserve">. </w:t>
      </w:r>
    </w:p>
    <w:p w14:paraId="7499ABE2" w14:textId="654E9EF4" w:rsidR="008F6AA1" w:rsidRPr="00423470" w:rsidRDefault="00E52BA7" w:rsidP="001B0372">
      <w:pPr>
        <w:spacing w:before="120" w:after="120" w:line="276" w:lineRule="auto"/>
        <w:jc w:val="both"/>
        <w:rPr>
          <w:rFonts w:ascii="Times New Roman" w:eastAsia="Calibri" w:hAnsi="Times New Roman" w:cs="Times New Roman"/>
          <w:b/>
          <w:noProof/>
          <w:sz w:val="24"/>
          <w:szCs w:val="24"/>
        </w:rPr>
      </w:pPr>
      <w:r>
        <w:rPr>
          <w:rFonts w:ascii="Times New Roman" w:hAnsi="Times New Roman"/>
          <w:b/>
          <w:noProof/>
          <w:sz w:val="24"/>
        </w:rPr>
        <w:t>Principaux défis et prochaines étapes</w:t>
      </w:r>
    </w:p>
    <w:p w14:paraId="18C65ADF" w14:textId="09E3EA97" w:rsidR="00EA7056" w:rsidRPr="00423470" w:rsidRDefault="004120D5" w:rsidP="001B0372">
      <w:pPr>
        <w:spacing w:before="120" w:after="120" w:line="276" w:lineRule="auto"/>
        <w:jc w:val="both"/>
        <w:rPr>
          <w:rFonts w:ascii="Times New Roman" w:eastAsia="Aptos" w:hAnsi="Times New Roman" w:cs="Times New Roman"/>
          <w:noProof/>
          <w:sz w:val="24"/>
          <w:szCs w:val="24"/>
        </w:rPr>
      </w:pPr>
      <w:r>
        <w:rPr>
          <w:rFonts w:ascii="Times New Roman" w:hAnsi="Times New Roman"/>
          <w:noProof/>
          <w:sz w:val="24"/>
        </w:rPr>
        <w:t xml:space="preserve">Il est essentiel que les États membres </w:t>
      </w:r>
      <w:r>
        <w:rPr>
          <w:rFonts w:ascii="Times New Roman" w:hAnsi="Times New Roman"/>
          <w:b/>
          <w:noProof/>
          <w:sz w:val="24"/>
        </w:rPr>
        <w:t>mènent à bien les ajustements juridiques nécessaires</w:t>
      </w:r>
      <w:r>
        <w:rPr>
          <w:rFonts w:ascii="Times New Roman" w:hAnsi="Times New Roman"/>
          <w:noProof/>
          <w:sz w:val="24"/>
        </w:rPr>
        <w:t xml:space="preserve"> et que ceux qui travaillent encore à l’élaboration des cadres législatifs nécessaires progressent de toute urgence. </w:t>
      </w:r>
    </w:p>
    <w:p w14:paraId="1A5D0D87" w14:textId="5AC1DC30" w:rsidR="008F6AA1" w:rsidRPr="00423470" w:rsidRDefault="5D9B0B0F"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La Commission surveillera l’</w:t>
      </w:r>
      <w:r>
        <w:rPr>
          <w:rFonts w:ascii="Times New Roman" w:hAnsi="Times New Roman"/>
          <w:b/>
          <w:noProof/>
          <w:sz w:val="24"/>
        </w:rPr>
        <w:t>utilisation des ressources de l’UE</w:t>
      </w:r>
      <w:r>
        <w:rPr>
          <w:rFonts w:ascii="Times New Roman" w:hAnsi="Times New Roman"/>
          <w:noProof/>
          <w:sz w:val="24"/>
        </w:rPr>
        <w:t xml:space="preserve"> affectées au pacte, notamment en tenant des réunions d’examen des performances en ce qui concerne le Fonds «Asile, migration et intégration» (FAMI) et l’instrument relatif à la gestion des frontières et aux visas (IGFV). La Commission et les États membres examineront, au second semestre de 2026, la performance globale des programmes en prenant pour base les données financières relatives à l’absorption des fonds et les données opérationnelles sur les progrès accomplis dans la réalisation des objectifs convenus. Une partie du budget 2026-2027 du mécanisme thématique du FAMI peut être mobilisée pour faire bénéficier les États membres d’un soutien supplémentaire, en fonction des besoins recensés lors de l’échange continu d’informations sur la mise en œuvre du pacte, tout en tenant compte d’autres priorités. Les ressources de l’UE devraient être utilisées pour traiter les questions qui sont cruciales pour la mise en œuvre du pacte ou qui doivent être réglées en priorité dans un État membre donné en raison de leur incidence possible sur la préparation.</w:t>
      </w:r>
    </w:p>
    <w:p w14:paraId="405EA618" w14:textId="1140D5BD" w:rsidR="00633DE6" w:rsidRPr="00423470" w:rsidRDefault="10B09DCD" w:rsidP="00081061">
      <w:pPr>
        <w:pStyle w:val="ListParagraph"/>
        <w:keepNext/>
        <w:numPr>
          <w:ilvl w:val="1"/>
          <w:numId w:val="14"/>
        </w:numPr>
        <w:spacing w:before="360" w:after="120" w:line="276" w:lineRule="auto"/>
        <w:jc w:val="both"/>
        <w:outlineLvl w:val="0"/>
        <w:rPr>
          <w:rFonts w:ascii="Times New Roman" w:hAnsi="Times New Roman" w:cs="Times New Roman"/>
          <w:b/>
          <w:smallCaps/>
          <w:noProof/>
        </w:rPr>
      </w:pPr>
      <w:r>
        <w:rPr>
          <w:rFonts w:ascii="Times New Roman" w:hAnsi="Times New Roman"/>
          <w:b/>
          <w:smallCaps/>
          <w:noProof/>
        </w:rPr>
        <w:t>Élément constitutif 1 – Eurodac</w:t>
      </w:r>
    </w:p>
    <w:p w14:paraId="39C614AB" w14:textId="7E2E6067" w:rsidR="00381C94" w:rsidRPr="00423470" w:rsidRDefault="00381C94" w:rsidP="001B0372">
      <w:pPr>
        <w:spacing w:line="276" w:lineRule="auto"/>
        <w:jc w:val="both"/>
        <w:rPr>
          <w:rFonts w:ascii="Times New Roman" w:eastAsia="Calibri" w:hAnsi="Times New Roman" w:cs="Times New Roman"/>
          <w:noProof/>
          <w:color w:val="196B24" w:themeColor="accent3"/>
          <w:sz w:val="24"/>
          <w:szCs w:val="24"/>
        </w:rPr>
      </w:pPr>
      <w:r>
        <w:rPr>
          <w:rFonts w:ascii="Times New Roman" w:hAnsi="Times New Roman"/>
          <w:noProof/>
          <w:sz w:val="24"/>
        </w:rPr>
        <w:t xml:space="preserve">Le bon fonctionnement d’Eurodac est essentiel à la mise en œuvre du pacte. </w:t>
      </w:r>
      <w:r>
        <w:rPr>
          <w:rFonts w:ascii="Times New Roman" w:hAnsi="Times New Roman"/>
          <w:b/>
          <w:noProof/>
          <w:sz w:val="24"/>
        </w:rPr>
        <w:t>Les États membres doivent continuer à collaborer étroitement avec la Commission et l’eu-LISA</w:t>
      </w:r>
      <w:r>
        <w:rPr>
          <w:rFonts w:ascii="Times New Roman" w:hAnsi="Times New Roman"/>
          <w:noProof/>
          <w:sz w:val="24"/>
        </w:rPr>
        <w:t xml:space="preserve"> pour coordonner la mise en œuvre et, si nécessaire, demander et recevoir des orientations sans tarder.</w:t>
      </w:r>
      <w:r>
        <w:rPr>
          <w:rFonts w:ascii="Times New Roman" w:hAnsi="Times New Roman"/>
          <w:noProof/>
          <w:color w:val="196B24" w:themeColor="accent3"/>
          <w:sz w:val="24"/>
        </w:rPr>
        <w:t xml:space="preserve"> </w:t>
      </w:r>
    </w:p>
    <w:p w14:paraId="5034BD54" w14:textId="364FF90A" w:rsidR="00C52FC3" w:rsidRPr="00423470" w:rsidRDefault="00D36664"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À la mi-avril 2026, onze États membres avaient déclaré être en bonne voie pour commencer à travailler dans le nouveau système Eurodac d’ici au mois de juin</w:t>
      </w:r>
      <w:r w:rsidRPr="00423470">
        <w:rPr>
          <w:rFonts w:ascii="Times New Roman" w:eastAsia="Calibri" w:hAnsi="Times New Roman" w:cs="Times New Roman"/>
          <w:noProof/>
          <w:sz w:val="24"/>
          <w:szCs w:val="24"/>
          <w:vertAlign w:val="superscript"/>
        </w:rPr>
        <w:footnoteReference w:id="24"/>
      </w:r>
      <w:r>
        <w:rPr>
          <w:rFonts w:ascii="Times New Roman" w:hAnsi="Times New Roman"/>
          <w:noProof/>
          <w:sz w:val="24"/>
        </w:rPr>
        <w:t>. Seize États membres ont indiqué qu’ils étaient toujours en butte à divers problèmes, mais qu’ils pensaient être en mesure de les résoudre dans les délais</w:t>
      </w:r>
      <w:r w:rsidRPr="00423470">
        <w:rPr>
          <w:rFonts w:ascii="Times New Roman" w:eastAsia="Calibri" w:hAnsi="Times New Roman" w:cs="Times New Roman"/>
          <w:noProof/>
          <w:sz w:val="24"/>
          <w:szCs w:val="24"/>
          <w:vertAlign w:val="superscript"/>
        </w:rPr>
        <w:footnoteReference w:id="25"/>
      </w:r>
      <w:r>
        <w:rPr>
          <w:rFonts w:ascii="Times New Roman" w:hAnsi="Times New Roman"/>
          <w:noProof/>
          <w:sz w:val="24"/>
        </w:rPr>
        <w:t>. Les principaux défis qui se posent aux États membres sont les retards dans les procédures nationales de passation de marchés, onze États membres déclarant qu’ils recourront à la solution centralisée mise au point par l’eu-LISA</w:t>
      </w:r>
      <w:r w:rsidR="00AC5599" w:rsidRPr="00423470">
        <w:rPr>
          <w:rStyle w:val="FootnoteReference"/>
          <w:rFonts w:ascii="Times New Roman" w:eastAsia="Calibri" w:hAnsi="Times New Roman" w:cs="Times New Roman"/>
          <w:noProof/>
          <w:sz w:val="24"/>
          <w:szCs w:val="24"/>
          <w:lang w:val="en-GB"/>
        </w:rPr>
        <w:footnoteReference w:id="26"/>
      </w:r>
      <w:r>
        <w:rPr>
          <w:rFonts w:ascii="Times New Roman" w:hAnsi="Times New Roman"/>
          <w:noProof/>
          <w:sz w:val="24"/>
        </w:rPr>
        <w:t>.</w:t>
      </w:r>
    </w:p>
    <w:p w14:paraId="134CD3F2" w14:textId="5BA5C2F0" w:rsidR="00D36664" w:rsidRPr="00423470" w:rsidRDefault="00090286"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 xml:space="preserve">La campagne de tests du nouveau système, à laquelle les États membres et l’eu-LISA participent, progresse. Comme on pouvait s’y attendre, les résultats des tests indiquent qu’il est nécessaire de modifier les configurations techniques au niveau national. Pour combler ces lacunes, il faudra déployer des efforts concertés à l’échelle nationale avec l’aide de l’eu-LISA. Pour relever ces défis, l’eu-LISA apporte régulièrement des réponses aux questions écrites, et des réunions sont organisées avec la Commission et d’autres parties prenantes. </w:t>
      </w:r>
    </w:p>
    <w:p w14:paraId="11249B4E" w14:textId="2F1C54AE" w:rsidR="00AB4650" w:rsidRPr="00423470" w:rsidRDefault="00AB4650"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Les États membres se sont fixé des étapes à atteindre en ce qui concerne les tests de conformité technique de leur mise en œuvre et ceux de leurs processus opérationnels. Lors de sa 62</w:t>
      </w:r>
      <w:r>
        <w:rPr>
          <w:rFonts w:ascii="Times New Roman" w:hAnsi="Times New Roman"/>
          <w:noProof/>
          <w:sz w:val="24"/>
          <w:vertAlign w:val="superscript"/>
        </w:rPr>
        <w:t>e</w:t>
      </w:r>
      <w:r>
        <w:rPr>
          <w:rFonts w:ascii="Times New Roman" w:hAnsi="Times New Roman"/>
          <w:noProof/>
          <w:sz w:val="24"/>
        </w:rPr>
        <w:t xml:space="preserve"> réunion le 18 mars, le conseil d’administration de l’eu-LISA a reconnu que de nombreux États membres avaient accompli des progrès satisfaisants dans l’ensemble, et il a confirmé que le nouveau système Eurodac pourrait, comme prévu, être mis en service en juin 2026. Dans le même temps, </w:t>
      </w:r>
      <w:bookmarkStart w:id="2" w:name="_Hlk228275964"/>
      <w:r>
        <w:rPr>
          <w:rFonts w:ascii="Times New Roman" w:hAnsi="Times New Roman"/>
          <w:noProof/>
          <w:sz w:val="24"/>
        </w:rPr>
        <w:t>les États membres qui n’ont pas franchi l’étape de test convenue du 15 avril doivent encore intensifier leurs efforts</w:t>
      </w:r>
      <w:bookmarkEnd w:id="2"/>
      <w:r>
        <w:rPr>
          <w:rFonts w:ascii="Times New Roman" w:hAnsi="Times New Roman"/>
          <w:noProof/>
          <w:sz w:val="24"/>
        </w:rPr>
        <w:t>. Au 24 avril, dix-neuf États membres avaient achevé leurs tests de conformité</w:t>
      </w:r>
      <w:r w:rsidR="00914EE2" w:rsidRPr="00423470">
        <w:rPr>
          <w:rStyle w:val="FootnoteReference"/>
          <w:rFonts w:ascii="Times New Roman" w:eastAsia="Times New Roman" w:hAnsi="Times New Roman" w:cs="Times New Roman"/>
          <w:noProof/>
          <w:sz w:val="24"/>
          <w:szCs w:val="24"/>
          <w:lang w:val="en-GB"/>
        </w:rPr>
        <w:footnoteReference w:id="27"/>
      </w:r>
      <w:r>
        <w:rPr>
          <w:rFonts w:ascii="Times New Roman" w:hAnsi="Times New Roman"/>
          <w:noProof/>
          <w:sz w:val="24"/>
        </w:rPr>
        <w:t>. Les États membres restants devront rapidement faire de même. Ceux qui s’appuient sur une approche de mise en œuvre hybride</w:t>
      </w:r>
      <w:r w:rsidR="00F4277E" w:rsidRPr="00423470">
        <w:rPr>
          <w:rStyle w:val="FootnoteReference"/>
          <w:rFonts w:ascii="Times New Roman" w:eastAsia="Times New Roman" w:hAnsi="Times New Roman" w:cs="Times New Roman"/>
          <w:noProof/>
          <w:sz w:val="24"/>
          <w:szCs w:val="24"/>
          <w:lang w:val="en-GB"/>
        </w:rPr>
        <w:footnoteReference w:id="28"/>
      </w:r>
      <w:r>
        <w:rPr>
          <w:rFonts w:ascii="Times New Roman" w:hAnsi="Times New Roman"/>
          <w:noProof/>
          <w:sz w:val="24"/>
        </w:rPr>
        <w:t xml:space="preserve"> devraient recourir à l’option de repli au cas où des problèmes liés à leur mise en œuvre à l’échelle nationale persisteraient. En ce qui concerne les tests des processus opérationnels, les États membres sont tenus de démontrer dès que possible des résultats de tests suffisants pour tous les processus opérationnels critiques; les neuf États membres qui n’ont pas encore commencé à le faire doivent s’y employer de toute urgence</w:t>
      </w:r>
      <w:r w:rsidR="00914EE2" w:rsidRPr="00423470">
        <w:rPr>
          <w:rStyle w:val="FootnoteReference"/>
          <w:rFonts w:ascii="Times New Roman" w:eastAsia="Times New Roman" w:hAnsi="Times New Roman" w:cs="Times New Roman"/>
          <w:noProof/>
          <w:sz w:val="24"/>
          <w:szCs w:val="24"/>
          <w:lang w:val="en-GB"/>
        </w:rPr>
        <w:footnoteReference w:id="29"/>
      </w:r>
      <w:r>
        <w:rPr>
          <w:rFonts w:ascii="Times New Roman" w:hAnsi="Times New Roman"/>
          <w:noProof/>
          <w:sz w:val="24"/>
        </w:rPr>
        <w:t xml:space="preserve">. </w:t>
      </w:r>
    </w:p>
    <w:p w14:paraId="2ACE443A" w14:textId="6CE96BCD" w:rsidR="008F6AA1" w:rsidRPr="00423470" w:rsidRDefault="005C2646"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L’acte d’exécution de la Commission relatif aux statistiques intersystèmes</w:t>
      </w:r>
      <w:r w:rsidRPr="00423470">
        <w:rPr>
          <w:rStyle w:val="FootnoteReference"/>
          <w:rFonts w:ascii="Times New Roman" w:eastAsia="Calibri" w:hAnsi="Times New Roman" w:cs="Times New Roman"/>
          <w:noProof/>
          <w:sz w:val="24"/>
          <w:szCs w:val="24"/>
          <w:lang w:val="en-GB"/>
        </w:rPr>
        <w:footnoteReference w:id="30"/>
      </w:r>
      <w:r>
        <w:rPr>
          <w:rFonts w:ascii="Times New Roman" w:hAnsi="Times New Roman"/>
          <w:noProof/>
          <w:sz w:val="24"/>
        </w:rPr>
        <w:t xml:space="preserve"> et toutes les modifications qui devaient être apportées par cette dernière aux actes non législatifs afin de soutenir le cadre d’interopérabilité entre les systèmes d’information de l’UE, sauf une, ont été adoptés</w:t>
      </w:r>
      <w:r w:rsidRPr="00423470">
        <w:rPr>
          <w:rStyle w:val="FootnoteReference"/>
          <w:rFonts w:ascii="Times New Roman" w:eastAsia="Calibri" w:hAnsi="Times New Roman" w:cs="Times New Roman"/>
          <w:noProof/>
          <w:sz w:val="24"/>
          <w:szCs w:val="24"/>
          <w:lang w:val="en-GB"/>
        </w:rPr>
        <w:footnoteReference w:id="31"/>
      </w:r>
      <w:r>
        <w:rPr>
          <w:rFonts w:ascii="Times New Roman" w:hAnsi="Times New Roman"/>
          <w:noProof/>
          <w:sz w:val="24"/>
        </w:rPr>
        <w:t xml:space="preserve">. Ceux-ci permettent également l’utilisation d’Eurodac par le système européen d’information et d’autorisation concernant les voyages (ETIAS) une fois qu’il sera opérationnel, soit d’ici la fin de 2026. </w:t>
      </w:r>
    </w:p>
    <w:p w14:paraId="3AB90A3F" w14:textId="39E7AAA9" w:rsidR="009B77FD" w:rsidRPr="00423470" w:rsidRDefault="00513AD1"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L’eu-LISA continue de respecter un calendrier serré. Grâce aux travaux de cette dernière, le système central d’Eurodac est désormais doté de toutes les fonctionnalités requises</w:t>
      </w:r>
      <w:r w:rsidRPr="00423470">
        <w:rPr>
          <w:rStyle w:val="FootnoteReference"/>
          <w:rFonts w:ascii="Times New Roman" w:eastAsia="Calibri" w:hAnsi="Times New Roman" w:cs="Times New Roman"/>
          <w:noProof/>
          <w:sz w:val="24"/>
          <w:szCs w:val="24"/>
          <w:lang w:val="en-GB"/>
        </w:rPr>
        <w:footnoteReference w:id="32"/>
      </w:r>
      <w:r>
        <w:rPr>
          <w:rFonts w:ascii="Times New Roman" w:hAnsi="Times New Roman"/>
          <w:noProof/>
          <w:sz w:val="24"/>
        </w:rPr>
        <w:t xml:space="preserve">. L’eu-LISA a également intégré avec succès Eurodac dans le cadre d’interopérabilité, en connectant ce système au répertoire commun de données d’identité, au portail de recherche européen et au service partagé d’établissement de correspondances biométriques. </w:t>
      </w:r>
    </w:p>
    <w:p w14:paraId="72C1F5B2" w14:textId="078AF17C" w:rsidR="008F6AA1" w:rsidRPr="00423470" w:rsidRDefault="008F6AA1" w:rsidP="001B0372">
      <w:pPr>
        <w:spacing w:before="120" w:after="120" w:line="276" w:lineRule="auto"/>
        <w:jc w:val="both"/>
        <w:rPr>
          <w:rFonts w:ascii="Times New Roman" w:eastAsia="Calibri" w:hAnsi="Times New Roman" w:cs="Times New Roman"/>
          <w:b/>
          <w:noProof/>
          <w:sz w:val="24"/>
          <w:szCs w:val="24"/>
        </w:rPr>
      </w:pPr>
      <w:r>
        <w:rPr>
          <w:rFonts w:ascii="Times New Roman" w:hAnsi="Times New Roman"/>
          <w:b/>
          <w:noProof/>
          <w:sz w:val="24"/>
        </w:rPr>
        <w:t>Principaux défis et prochaines étapes</w:t>
      </w:r>
    </w:p>
    <w:p w14:paraId="26D67082" w14:textId="20DE9756" w:rsidR="005D075B" w:rsidRPr="00423470" w:rsidRDefault="007E7E15"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Les tests du système Eurodac et la formation du personnel à Eurodac doivent être la priorité pour les mois à venir. L’eu-LISA a organisé plusieurs ateliers consacrés aux tests et aux fonctionnalités de l’interface utilisateur web. Europol et les autorités des États membres qui ont le droit d’accéder à Eurodac devraient investir dans une formation adéquate et tester leurs procédures opérationnelles en conséquence. Pour que les opérations puissent être lancées avec succès, il est essentiel d’acquérir des solutions informatiques et du matériel connexe (par exemple, des machines Eurodac) en temps utile</w:t>
      </w:r>
      <w:r w:rsidR="00432D4A" w:rsidRPr="00423470">
        <w:rPr>
          <w:rStyle w:val="FootnoteReference"/>
          <w:rFonts w:ascii="Times New Roman" w:eastAsia="Times New Roman" w:hAnsi="Times New Roman" w:cs="Times New Roman"/>
          <w:noProof/>
          <w:sz w:val="24"/>
          <w:szCs w:val="24"/>
          <w:lang w:val="en-GB"/>
        </w:rPr>
        <w:footnoteReference w:id="33"/>
      </w:r>
      <w:r>
        <w:rPr>
          <w:rFonts w:ascii="Times New Roman" w:hAnsi="Times New Roman"/>
          <w:noProof/>
          <w:sz w:val="24"/>
        </w:rPr>
        <w:t>.</w:t>
      </w:r>
    </w:p>
    <w:p w14:paraId="050AA170" w14:textId="68302DEE" w:rsidR="00DF2DA5" w:rsidRPr="00423470" w:rsidRDefault="6D599596"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Les États membres qui ont opté pour une approche de mise en œuvre hybride mais qui risquent de connaître des retards doivent assurer une préparation opérationnelle fondée sur la solution centrale et entreprendre les tests appropriés. </w:t>
      </w:r>
    </w:p>
    <w:p w14:paraId="6ACA4373" w14:textId="3D91048B" w:rsidR="008F6AA1" w:rsidRPr="00423470" w:rsidRDefault="52A936D3" w:rsidP="00081061">
      <w:pPr>
        <w:pStyle w:val="ListParagraph"/>
        <w:keepNext/>
        <w:numPr>
          <w:ilvl w:val="1"/>
          <w:numId w:val="14"/>
        </w:numPr>
        <w:spacing w:before="360" w:after="120" w:line="276" w:lineRule="auto"/>
        <w:jc w:val="both"/>
        <w:outlineLvl w:val="0"/>
        <w:rPr>
          <w:rFonts w:ascii="Times New Roman" w:hAnsi="Times New Roman" w:cs="Times New Roman"/>
          <w:b/>
          <w:smallCaps/>
          <w:noProof/>
        </w:rPr>
      </w:pPr>
      <w:r>
        <w:rPr>
          <w:rFonts w:ascii="Times New Roman" w:hAnsi="Times New Roman"/>
          <w:b/>
          <w:smallCaps/>
          <w:noProof/>
        </w:rPr>
        <w:t xml:space="preserve">Élément constitutif 2 – Un nouveau système de gestion des flux migratoires aux frontières extérieures de l’Union </w:t>
      </w:r>
    </w:p>
    <w:p w14:paraId="56C58CC3" w14:textId="1C59C470" w:rsidR="000617CB" w:rsidRPr="00423470" w:rsidRDefault="67228872"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 xml:space="preserve">Depuis la dernière mise à jour, le nombre d’États membres qui disposent déjà ou sont sur le point de disposer tant des centres d’accueil que des ressources humaines nécessaires à la constitution d’une </w:t>
      </w:r>
      <w:r>
        <w:rPr>
          <w:rFonts w:ascii="Times New Roman" w:hAnsi="Times New Roman"/>
          <w:b/>
          <w:noProof/>
          <w:sz w:val="24"/>
        </w:rPr>
        <w:t>capacité suffisante aux fins des procédures à la frontière est passé</w:t>
      </w:r>
      <w:r>
        <w:rPr>
          <w:rFonts w:ascii="Times New Roman" w:hAnsi="Times New Roman"/>
          <w:noProof/>
          <w:sz w:val="24"/>
        </w:rPr>
        <w:t xml:space="preserve"> à 15</w:t>
      </w:r>
      <w:r w:rsidR="001471C0" w:rsidRPr="00423470">
        <w:rPr>
          <w:rFonts w:ascii="Times New Roman" w:eastAsia="Calibri" w:hAnsi="Times New Roman" w:cs="Times New Roman"/>
          <w:noProof/>
          <w:sz w:val="24"/>
          <w:szCs w:val="24"/>
          <w:vertAlign w:val="superscript"/>
        </w:rPr>
        <w:footnoteReference w:id="34"/>
      </w:r>
      <w:r>
        <w:rPr>
          <w:rFonts w:ascii="Times New Roman" w:hAnsi="Times New Roman"/>
          <w:noProof/>
          <w:sz w:val="24"/>
        </w:rPr>
        <w:t>; les 11 États membres restants</w:t>
      </w:r>
      <w:r w:rsidR="00947917" w:rsidRPr="00423470">
        <w:rPr>
          <w:rStyle w:val="FootnoteReference"/>
          <w:rFonts w:ascii="Times New Roman" w:eastAsia="Calibri" w:hAnsi="Times New Roman" w:cs="Times New Roman"/>
          <w:noProof/>
          <w:sz w:val="24"/>
          <w:szCs w:val="24"/>
          <w:lang w:val="en-GB"/>
        </w:rPr>
        <w:footnoteReference w:id="35"/>
      </w:r>
      <w:r>
        <w:rPr>
          <w:rFonts w:ascii="Times New Roman" w:hAnsi="Times New Roman"/>
          <w:noProof/>
          <w:sz w:val="24"/>
        </w:rPr>
        <w:t xml:space="preserve"> doivent de toute urgence intensifier leurs efforts pour se doter d’une capacité suffisante. Certains États membres ont dû mettre en place des solutions provisoires (temporaires) pendant la construction de nouvelles installations, telles que des centres polyvalents</w:t>
      </w:r>
      <w:r w:rsidR="00C111A4" w:rsidRPr="00423470">
        <w:rPr>
          <w:rStyle w:val="FootnoteReference"/>
          <w:rFonts w:ascii="Times New Roman" w:eastAsia="Calibri" w:hAnsi="Times New Roman" w:cs="Times New Roman"/>
          <w:noProof/>
          <w:sz w:val="24"/>
          <w:szCs w:val="24"/>
          <w:lang w:val="en-GB"/>
        </w:rPr>
        <w:footnoteReference w:id="36"/>
      </w:r>
      <w:r>
        <w:rPr>
          <w:rFonts w:ascii="Times New Roman" w:hAnsi="Times New Roman"/>
          <w:noProof/>
          <w:sz w:val="24"/>
        </w:rPr>
        <w:t>. Les établissements existants sont en cours de rénovation en vue de leur mise en conformité avec les normes imposées par le pacte, tandis que des dispositions sont prises dans certains États membres pour prévenir la fuite</w:t>
      </w:r>
      <w:r w:rsidRPr="00423470">
        <w:rPr>
          <w:rStyle w:val="FootnoteReference"/>
          <w:rFonts w:ascii="Times New Roman" w:eastAsia="Calibri" w:hAnsi="Times New Roman" w:cs="Times New Roman"/>
          <w:noProof/>
          <w:sz w:val="24"/>
          <w:szCs w:val="24"/>
          <w:lang w:val="en-GB"/>
        </w:rPr>
        <w:footnoteReference w:id="37"/>
      </w:r>
      <w:r>
        <w:rPr>
          <w:rFonts w:ascii="Times New Roman" w:hAnsi="Times New Roman"/>
          <w:noProof/>
          <w:sz w:val="24"/>
        </w:rPr>
        <w:t>. Les États membres devaient notifier à la Commission, avant la mi-avril 2026, les lieux où ils effectueront les procédures à la frontière: au 4 mai,</w:t>
      </w:r>
      <w:r>
        <w:rPr>
          <w:rStyle w:val="FootnoteReference"/>
          <w:rFonts w:ascii="Times New Roman" w:hAnsi="Times New Roman"/>
          <w:noProof/>
          <w:sz w:val="24"/>
        </w:rPr>
        <w:t xml:space="preserve"> </w:t>
      </w:r>
      <w:r>
        <w:rPr>
          <w:rFonts w:ascii="Times New Roman" w:hAnsi="Times New Roman"/>
          <w:noProof/>
          <w:sz w:val="24"/>
        </w:rPr>
        <w:t>17 États membres s’étaient exécutés</w:t>
      </w:r>
      <w:r w:rsidR="00933B16" w:rsidRPr="00423470">
        <w:rPr>
          <w:rStyle w:val="FootnoteReference"/>
          <w:rFonts w:ascii="Times New Roman" w:eastAsia="Calibri" w:hAnsi="Times New Roman" w:cs="Times New Roman"/>
          <w:noProof/>
          <w:sz w:val="24"/>
          <w:szCs w:val="24"/>
          <w:lang w:val="en-GB"/>
        </w:rPr>
        <w:footnoteReference w:id="38"/>
      </w:r>
      <w:r>
        <w:rPr>
          <w:rFonts w:ascii="Times New Roman" w:hAnsi="Times New Roman"/>
          <w:noProof/>
          <w:sz w:val="24"/>
        </w:rPr>
        <w:t>. Afin d’anticiper les nouveaux délais applicables à la procédure à la frontière, certains États membres ont fixé des délais aux juridictions et/ou ont cherché à renforcer les capacités de ces dernières afin d’éviter les goulets d’étranglement au stade du recours. Ces mesures comprennent notamment le renforcement des effectifs et de l’infrastructure technique, y compris l’installation de dispositifs permettant de mener des entretiens à distance</w:t>
      </w:r>
      <w:r w:rsidR="00073282" w:rsidRPr="00423470">
        <w:rPr>
          <w:rStyle w:val="FootnoteReference"/>
          <w:rFonts w:ascii="Times New Roman" w:eastAsia="Calibri" w:hAnsi="Times New Roman" w:cs="Times New Roman"/>
          <w:noProof/>
          <w:sz w:val="24"/>
          <w:szCs w:val="24"/>
          <w:lang w:val="en-GB"/>
        </w:rPr>
        <w:footnoteReference w:id="39"/>
      </w:r>
      <w:r>
        <w:rPr>
          <w:rFonts w:ascii="Times New Roman" w:hAnsi="Times New Roman"/>
          <w:noProof/>
          <w:sz w:val="24"/>
        </w:rPr>
        <w:t>. Parmi les autres mesures préparatoires figurent l’élaboration ou la mise à jour de procédures opérationnelles standard et de lignes directrices, la numérisation des procédures et la mise en place de systèmes communs de gestion des dossiers</w:t>
      </w:r>
      <w:r w:rsidR="00731162" w:rsidRPr="00423470">
        <w:rPr>
          <w:rStyle w:val="FootnoteReference"/>
          <w:rFonts w:ascii="Times New Roman" w:eastAsia="Calibri" w:hAnsi="Times New Roman" w:cs="Times New Roman"/>
          <w:noProof/>
          <w:sz w:val="24"/>
          <w:szCs w:val="24"/>
          <w:lang w:val="en-GB"/>
        </w:rPr>
        <w:footnoteReference w:id="40"/>
      </w:r>
      <w:r>
        <w:rPr>
          <w:rFonts w:ascii="Times New Roman" w:hAnsi="Times New Roman"/>
          <w:noProof/>
          <w:sz w:val="24"/>
        </w:rPr>
        <w:t xml:space="preserve">. </w:t>
      </w:r>
    </w:p>
    <w:p w14:paraId="28082B82" w14:textId="6D847A34" w:rsidR="00964727" w:rsidRPr="00423470" w:rsidRDefault="00964727"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La Commission procède actuellement à la mise à jour du projet de document d’orientation sur les procédures d’asile et de retour à la frontière, en se fondant sur les discussions menées avec des experts nationaux, des gardes-frontières, des agents chargés des questions d’asile et des agents chargés des dossiers de retour. Le nouveau guide pratique de l’AUEA sur la procédure d’asile à la frontière, adopté en mars 2026 par le conseil d’administration de l’AUEA</w:t>
      </w:r>
      <w:r w:rsidRPr="00423470">
        <w:rPr>
          <w:rStyle w:val="FootnoteReference"/>
          <w:rFonts w:ascii="Times New Roman" w:eastAsia="Times New Roman" w:hAnsi="Times New Roman" w:cs="Times New Roman"/>
          <w:noProof/>
          <w:sz w:val="24"/>
          <w:szCs w:val="24"/>
          <w:lang w:val="en-GB"/>
        </w:rPr>
        <w:footnoteReference w:id="41"/>
      </w:r>
      <w:r>
        <w:rPr>
          <w:rFonts w:ascii="Times New Roman" w:hAnsi="Times New Roman"/>
          <w:noProof/>
          <w:sz w:val="24"/>
        </w:rPr>
        <w:t xml:space="preserve">, présente les principaux éléments pratiques d’une procédure à la frontière efficace. </w:t>
      </w:r>
    </w:p>
    <w:p w14:paraId="0FC73523" w14:textId="417FCDB8" w:rsidR="00127FA8" w:rsidRPr="00423470" w:rsidRDefault="0043785E"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 xml:space="preserve">La plupart des États membres progressent dans l’instauration et l’organisation du </w:t>
      </w:r>
      <w:r>
        <w:rPr>
          <w:rFonts w:ascii="Times New Roman" w:hAnsi="Times New Roman"/>
          <w:b/>
          <w:noProof/>
          <w:sz w:val="24"/>
        </w:rPr>
        <w:t>filtrage</w:t>
      </w:r>
      <w:r w:rsidRPr="00423470">
        <w:rPr>
          <w:rFonts w:ascii="Times New Roman" w:eastAsia="Calibri" w:hAnsi="Times New Roman" w:cs="Times New Roman"/>
          <w:noProof/>
          <w:sz w:val="24"/>
          <w:szCs w:val="24"/>
          <w:vertAlign w:val="superscript"/>
        </w:rPr>
        <w:footnoteReference w:id="42"/>
      </w:r>
      <w:r>
        <w:rPr>
          <w:rFonts w:ascii="Times New Roman" w:hAnsi="Times New Roman"/>
          <w:noProof/>
          <w:sz w:val="24"/>
        </w:rPr>
        <w:t xml:space="preserve"> obligatoire. Environ deux tiers des États membres ont notifié les autorités de filtrage avant la date limite du 12 juin</w:t>
      </w:r>
      <w:r w:rsidR="009D0F1B" w:rsidRPr="00423470">
        <w:rPr>
          <w:rStyle w:val="FootnoteReference"/>
          <w:rFonts w:ascii="Times New Roman" w:eastAsia="Calibri" w:hAnsi="Times New Roman" w:cs="Times New Roman"/>
          <w:noProof/>
          <w:sz w:val="24"/>
          <w:szCs w:val="24"/>
          <w:lang w:val="en-GB"/>
        </w:rPr>
        <w:footnoteReference w:id="43"/>
      </w:r>
      <w:r>
        <w:rPr>
          <w:rFonts w:ascii="Times New Roman" w:hAnsi="Times New Roman"/>
          <w:noProof/>
          <w:sz w:val="24"/>
        </w:rPr>
        <w:t>. Beaucoup forment déjà leur personnel ou finalisent la planification de ces formations, souvent avec le soutien de l’AUEA et de Frontex ainsi que de l’OIM ou en s’appuyant sur les ressources fournies par ces dernières</w:t>
      </w:r>
      <w:r w:rsidR="007A29E5" w:rsidRPr="00423470">
        <w:rPr>
          <w:rStyle w:val="FootnoteReference"/>
          <w:rFonts w:ascii="Times New Roman" w:eastAsia="Calibri" w:hAnsi="Times New Roman" w:cs="Times New Roman"/>
          <w:noProof/>
          <w:sz w:val="24"/>
          <w:szCs w:val="24"/>
          <w:lang w:val="en-GB"/>
        </w:rPr>
        <w:footnoteReference w:id="44"/>
      </w:r>
      <w:r>
        <w:rPr>
          <w:rFonts w:ascii="Times New Roman" w:hAnsi="Times New Roman"/>
          <w:noProof/>
          <w:sz w:val="24"/>
        </w:rPr>
        <w:t xml:space="preserve">. Des opérations pilotes de filtrage, organisées avec le soutien de Frontex, de l’AUEA et d’Europol, ont eu lieu sur l’île de Lampedusa et en Sicile, ainsi qu’à l’aéroport de Lisbonne et aux frontières terrestres de la Roumanie. La Commission poursuit l’élaboration de ses orientations relatives à la mise en œuvre du règlement sur le filtrage en vue d’une future mise à jour du manuel pratique à l’intention des gardes-frontières. Les modules de formation sur le filtrage, élaborés par l’AUEA et Frontex, ont été mis à la disposition des utilisateurs fin septembre 2025. Les deux agences ont harmonisé le contenu de leurs formations respectives afin d’assurer une mise en œuvre cohérente. Frontex a mis au point un programme de formation destiné aux gardes-frontières qui s’adapte aux </w:t>
      </w:r>
      <w:r>
        <w:rPr>
          <w:rFonts w:ascii="Times New Roman" w:hAnsi="Times New Roman"/>
          <w:noProof/>
          <w:color w:val="000000" w:themeColor="text1"/>
          <w:sz w:val="24"/>
        </w:rPr>
        <w:t xml:space="preserve">contextes nationaux. L’AUEA a élaboré </w:t>
      </w:r>
      <w:r>
        <w:rPr>
          <w:rFonts w:ascii="Times New Roman" w:hAnsi="Times New Roman"/>
          <w:noProof/>
          <w:sz w:val="24"/>
        </w:rPr>
        <w:t>un</w:t>
      </w:r>
      <w:r>
        <w:rPr>
          <w:rFonts w:ascii="Times New Roman" w:hAnsi="Times New Roman"/>
          <w:noProof/>
          <w:color w:val="000000" w:themeColor="text1"/>
          <w:sz w:val="24"/>
        </w:rPr>
        <w:t xml:space="preserve"> module de formation intitulé «Introduction au filtrage dans le contexte de la protection internationale», disponible depuis mars 2026</w:t>
      </w:r>
      <w:r w:rsidR="00964727" w:rsidRPr="00423470">
        <w:rPr>
          <w:rStyle w:val="FootnoteReference"/>
          <w:rFonts w:ascii="Times New Roman" w:eastAsia="Times New Roman" w:hAnsi="Times New Roman" w:cs="Times New Roman"/>
          <w:noProof/>
          <w:color w:val="000000" w:themeColor="text1"/>
          <w:sz w:val="24"/>
          <w:szCs w:val="24"/>
          <w:lang w:val="en-GB"/>
        </w:rPr>
        <w:footnoteReference w:id="45"/>
      </w:r>
      <w:r>
        <w:rPr>
          <w:rFonts w:ascii="Times New Roman" w:hAnsi="Times New Roman"/>
          <w:noProof/>
          <w:color w:val="000000" w:themeColor="text1"/>
          <w:sz w:val="24"/>
        </w:rPr>
        <w:t xml:space="preserve">. La </w:t>
      </w:r>
      <w:r>
        <w:rPr>
          <w:rFonts w:ascii="Times New Roman" w:hAnsi="Times New Roman"/>
          <w:noProof/>
          <w:sz w:val="24"/>
        </w:rPr>
        <w:t>boîte à outils de filtrage</w:t>
      </w:r>
      <w:r w:rsidR="00127FA8" w:rsidRPr="00423470">
        <w:rPr>
          <w:rStyle w:val="FootnoteReference"/>
          <w:rFonts w:ascii="Times New Roman" w:eastAsia="Calibri" w:hAnsi="Times New Roman" w:cs="Times New Roman"/>
          <w:noProof/>
          <w:sz w:val="24"/>
          <w:szCs w:val="24"/>
          <w:lang w:val="en-GB"/>
        </w:rPr>
        <w:footnoteReference w:id="46"/>
      </w:r>
      <w:r>
        <w:rPr>
          <w:rFonts w:ascii="Times New Roman" w:hAnsi="Times New Roman"/>
          <w:noProof/>
          <w:sz w:val="24"/>
        </w:rPr>
        <w:t>, mise au point par Frontex et l’AUEA, complète les orientations de la Commission et comprend un ensemble de modèles, de documents d’orientation et de ressources pratiques.</w:t>
      </w:r>
      <w:r>
        <w:rPr>
          <w:rFonts w:ascii="Times New Roman" w:hAnsi="Times New Roman"/>
          <w:noProof/>
          <w:color w:val="196B24" w:themeColor="accent3"/>
          <w:sz w:val="24"/>
        </w:rPr>
        <w:t xml:space="preserve"> </w:t>
      </w:r>
      <w:r>
        <w:rPr>
          <w:rFonts w:ascii="Times New Roman" w:hAnsi="Times New Roman"/>
          <w:noProof/>
          <w:sz w:val="24"/>
        </w:rPr>
        <w:t xml:space="preserve">Intégrant les enseignements tirés des essais réalisés sur le terrain en Italie et en Roumanie, la version définitive des éléments livrables de la boîte à outils de filtrage, y compris une liste de contrôle opérationnelle destinée aux médecins, a été parachevée et distribuée aux États membres pour qu’ils puissent l’utiliser. </w:t>
      </w:r>
    </w:p>
    <w:p w14:paraId="68B8624F" w14:textId="798EF73B" w:rsidR="008F6AA1" w:rsidRPr="00423470" w:rsidRDefault="008F6AA1" w:rsidP="001B0372">
      <w:pPr>
        <w:spacing w:before="120" w:after="120" w:line="276" w:lineRule="auto"/>
        <w:jc w:val="both"/>
        <w:rPr>
          <w:rFonts w:ascii="Times New Roman" w:eastAsia="Calibri" w:hAnsi="Times New Roman" w:cs="Times New Roman"/>
          <w:b/>
          <w:bCs/>
          <w:noProof/>
          <w:sz w:val="24"/>
          <w:szCs w:val="24"/>
        </w:rPr>
      </w:pPr>
      <w:r>
        <w:rPr>
          <w:rFonts w:ascii="Times New Roman" w:hAnsi="Times New Roman"/>
          <w:b/>
          <w:noProof/>
          <w:sz w:val="24"/>
        </w:rPr>
        <w:t>Principaux défis et prochaines étapes</w:t>
      </w:r>
    </w:p>
    <w:p w14:paraId="7E598457" w14:textId="34E5299E" w:rsidR="00795AE3" w:rsidRPr="00423470" w:rsidRDefault="3128D7F9"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Les États membres doivent agir sans délai pour assurer la mise en œuvre effective du filtrage et des procédures à la frontière. C’est notamment le cas de certains États membres</w:t>
      </w:r>
      <w:r w:rsidR="00E05342" w:rsidRPr="00423470">
        <w:rPr>
          <w:rFonts w:ascii="Times New Roman" w:hAnsi="Times New Roman" w:cs="Times New Roman"/>
          <w:noProof/>
          <w:vertAlign w:val="superscript"/>
        </w:rPr>
        <w:footnoteReference w:id="47"/>
      </w:r>
      <w:r>
        <w:rPr>
          <w:rFonts w:ascii="Times New Roman" w:hAnsi="Times New Roman"/>
          <w:noProof/>
          <w:sz w:val="24"/>
        </w:rPr>
        <w:t xml:space="preserve"> qui doivent veiller à disposer d’une </w:t>
      </w:r>
      <w:r>
        <w:rPr>
          <w:rFonts w:ascii="Times New Roman" w:hAnsi="Times New Roman"/>
          <w:b/>
          <w:noProof/>
          <w:sz w:val="24"/>
        </w:rPr>
        <w:t>capacité suffisante</w:t>
      </w:r>
      <w:r>
        <w:rPr>
          <w:rFonts w:ascii="Times New Roman" w:hAnsi="Times New Roman"/>
          <w:noProof/>
          <w:sz w:val="24"/>
        </w:rPr>
        <w:t>. Si quelques États membres ont recours à des solutions temporaires en attendant que les nouvelles installations prévues soient prêtes, il est important que ces solutions respectent les normes fixées dans la nouvelle directive relative aux conditions d’accueil et que les structures concernées soient dotées d’effectifs suffisants. Les États membres qui n’ont pas encore notifié à la Commission les lieux où les procédures à la frontière seront mises en œuvre doivent le faire de toute urgence</w:t>
      </w:r>
      <w:r w:rsidR="006B29BA" w:rsidRPr="00423470">
        <w:rPr>
          <w:rStyle w:val="FootnoteReference"/>
          <w:rFonts w:ascii="Times New Roman" w:eastAsiaTheme="minorEastAsia" w:hAnsi="Times New Roman" w:cs="Times New Roman"/>
          <w:noProof/>
          <w:sz w:val="24"/>
          <w:szCs w:val="24"/>
          <w:lang w:val="en-GB"/>
        </w:rPr>
        <w:footnoteReference w:id="48"/>
      </w:r>
      <w:r>
        <w:rPr>
          <w:rFonts w:ascii="Times New Roman" w:hAnsi="Times New Roman"/>
          <w:noProof/>
          <w:sz w:val="24"/>
        </w:rPr>
        <w:t>.</w:t>
      </w:r>
    </w:p>
    <w:p w14:paraId="1D55983D" w14:textId="11A9FC29" w:rsidR="00C25993" w:rsidRPr="00423470" w:rsidRDefault="009C5A18"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Afin de gérer le processus aux frontières extérieures, les États membres doivent veiller à ce que les personnes soumises à la procédure à la frontière n’entrent pas sur le territoire des États membres, mais restent dans les zones qui leur sont réservées. Des exercices pilotes de filtrage ont mis en évidence des difficultés à empêcher la fuite, ce qui conduit à une situation où il n’est pas possible d’orienter efficacement les personnes concernées vers la procédure ultérieure appropriée. Forts de cette expérience, les États membres doivent avoir pour priorité d’</w:t>
      </w:r>
      <w:r>
        <w:rPr>
          <w:rFonts w:ascii="Times New Roman" w:hAnsi="Times New Roman"/>
          <w:b/>
          <w:noProof/>
          <w:sz w:val="24"/>
        </w:rPr>
        <w:t>instaurer des mesures efficaces pour prévenir la fuite et les mouvements secondaires</w:t>
      </w:r>
      <w:r>
        <w:rPr>
          <w:rFonts w:ascii="Times New Roman" w:hAnsi="Times New Roman"/>
          <w:noProof/>
          <w:sz w:val="24"/>
        </w:rPr>
        <w:t>. Les États membres doivent tirer parti de la période suivant l’arrestation initiale par les services répressifs pour procéder à des contrôles de filtrage, notamment à des contrôles d’identité et de sécurité ainsi qu’à l’enregistrement dans Eurodac. En outre, en vertu des instruments juridiques du pacte, les États membres peuvent recourir à une application différenciée des restrictions de déplacement, du placement en rétention et des mesures alternatives à la rétention afin de prévenir efficacement toute fuite, tout en veillant à la proportionnalité et au respect des droits fondamentaux, y compris à la possibilité d’un réexamen si nécessaire. Par ailleurs, pour que les procédures à la frontière puissent fonctionner, les pays tiers devront jouer leur rôle et respecter leurs obligations internationales en matière de réadmission de leurs propres ressortissants. Dans le cadre de ses actions de diplomatie migratoire, l’UE renforce son dialogue avec les pays tiers concernés. Les États membres doivent intensifier leur coopération en matière de réadmission afin que les migrants en situation irrégulière soient effectivement renvoyés avant l’expiration du délai de la procédure de retour à la frontière.</w:t>
      </w:r>
    </w:p>
    <w:p w14:paraId="3645A63F" w14:textId="03724554" w:rsidR="00C25993" w:rsidRPr="00423470" w:rsidRDefault="00D251C6"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Le filtrage et les procédures à la frontière reposent sur une coopération efficace entre les différentes parties prenantes. Les préparatifs doivent se poursuivre et se concentrer sur la création des conditions propices à cette coopération, notamment au moyen de formulaires électroniques et de systèmes nationaux de gestion des dossiers, afin d’éviter les goulets d’étranglement ou les vides procéduraux</w:t>
      </w:r>
      <w:r w:rsidRPr="00423470">
        <w:rPr>
          <w:rStyle w:val="FootnoteReference"/>
          <w:rFonts w:ascii="Times New Roman" w:eastAsia="Calibri" w:hAnsi="Times New Roman" w:cs="Times New Roman"/>
          <w:noProof/>
          <w:sz w:val="24"/>
          <w:szCs w:val="24"/>
          <w:lang w:val="en-GB"/>
        </w:rPr>
        <w:footnoteReference w:id="49"/>
      </w:r>
      <w:r>
        <w:rPr>
          <w:rFonts w:ascii="Times New Roman" w:hAnsi="Times New Roman"/>
          <w:noProof/>
          <w:sz w:val="24"/>
        </w:rPr>
        <w:t>. Les dispositions relatives aux contrôles sanitaires doivent encore être finalisées dans certains États membres</w:t>
      </w:r>
      <w:r w:rsidRPr="00423470">
        <w:rPr>
          <w:rStyle w:val="FootnoteReference"/>
          <w:rFonts w:ascii="Times New Roman" w:eastAsia="Calibri" w:hAnsi="Times New Roman" w:cs="Times New Roman"/>
          <w:noProof/>
          <w:sz w:val="24"/>
          <w:szCs w:val="24"/>
          <w:lang w:val="en-GB"/>
        </w:rPr>
        <w:footnoteReference w:id="50"/>
      </w:r>
      <w:r>
        <w:rPr>
          <w:rFonts w:ascii="Times New Roman" w:hAnsi="Times New Roman"/>
          <w:noProof/>
          <w:sz w:val="24"/>
        </w:rPr>
        <w:t xml:space="preserve">. Il est important que les informations soient fournies en temps utile pendant la phase de filtrage afin de permettre aux États membres d’appliquer les règles relatives au non-respect de certaines obligations lorsque cela s’avère nécessaire. Les arrivants, même lorsqu’ils sont nombreux, devraient tous faire l’objet d’un filtrage: à cette fin, les protocoles et les orientations doivent être concis et axés sur les aspects essentiels afin de permettre des procédures rapides, ce qui évite les situations dans lesquelles seuls certains arrivants seraient soumis au filtrage. Dans la mesure du possible, ces filtrages devraient être effectués lors de l’arrestation initiale par les services répressifs, de manière à prévenir efficacement toute fuite sans qu’il soit nécessaire de prendre des décisions individuelles de placement en rétention ou de restriction de la liberté de circulation. </w:t>
      </w:r>
    </w:p>
    <w:p w14:paraId="447B72A8" w14:textId="0D5EEEDF" w:rsidR="00C25993" w:rsidRPr="00423470" w:rsidRDefault="009D0F1B"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La Commission est en contact étroit avec tous les États membres afin de relever les défis qui subsistent. En outre, avec l’aide de l’AUEA et de Frontex, la Commission organise des ateliers axés sur la pratique avec les États membres les plus concernés</w:t>
      </w:r>
      <w:r w:rsidR="00A37819" w:rsidRPr="00423470">
        <w:rPr>
          <w:rStyle w:val="FootnoteReference"/>
          <w:rFonts w:ascii="Times New Roman" w:eastAsia="Calibri" w:hAnsi="Times New Roman" w:cs="Times New Roman"/>
          <w:noProof/>
          <w:sz w:val="24"/>
          <w:szCs w:val="24"/>
          <w:lang w:val="en-GB"/>
        </w:rPr>
        <w:footnoteReference w:id="51"/>
      </w:r>
      <w:r>
        <w:rPr>
          <w:rFonts w:ascii="Times New Roman" w:hAnsi="Times New Roman"/>
          <w:noProof/>
          <w:sz w:val="24"/>
        </w:rPr>
        <w:t>. Ces ateliers sont adaptés au contexte national propre à chaque État membre, en fonction de leur situation géographique et migratoire, de leurs systèmes d’accueil respectifs et de leur contexte institutionnel national plus large. En réunissant toutes les autorités nationales et les principales parties prenantes associées à la mise en œuvre du pacte, y compris le</w:t>
      </w:r>
      <w:r w:rsidR="005F65C2">
        <w:rPr>
          <w:rFonts w:ascii="Times New Roman" w:hAnsi="Times New Roman"/>
          <w:noProof/>
          <w:sz w:val="24"/>
        </w:rPr>
        <w:t>s</w:t>
      </w:r>
      <w:r>
        <w:rPr>
          <w:rFonts w:ascii="Times New Roman" w:hAnsi="Times New Roman"/>
          <w:noProof/>
          <w:sz w:val="24"/>
        </w:rPr>
        <w:t xml:space="preserve"> juridictions, ces ateliers visent à contribuer à l’instauration d’un processus fluide, depuis le filtrage jusqu’à la procédure d’asile à la frontière et à la procédure de retour à la frontière, et couvrent tous les aspects techniques et opérationnels nécessaires à mettre en place. Afin de simplifier la coordination, la Commission a demandé aux États membres de désigner, avant juin 2026, des points de contact nationaux pour le filtrage ainsi que leurs autorités nationales de filtrage.</w:t>
      </w:r>
    </w:p>
    <w:p w14:paraId="066CDD91" w14:textId="02366A7E" w:rsidR="007C128C" w:rsidRPr="00423470" w:rsidRDefault="6C430042"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 xml:space="preserve">À la fin du mois de mai, Eurostat publiera sur son site web la liste des pays présentant un faible taux d’acceptation des demandes de protection internationale (20 % ou moins), motif parmi d’autres justifiant l’application de la procédure obligatoire à la frontière. Les autorités compétentes des États membres devront régulièrement consulter cette liste afin d’assurer de la clarté aux autorités responsables de la détermination et aux demandeurs concernés, favorisant ainsi l’application commune de cette liste dans toute l’Union. Dans ce contexte, les délégations de l’UE dans les pays concernés fourniront également des informations en temps utile sur le terrain. </w:t>
      </w:r>
    </w:p>
    <w:p w14:paraId="01D55944" w14:textId="2001618D" w:rsidR="008F6AA1" w:rsidRPr="00423470" w:rsidRDefault="008F6AA1" w:rsidP="00081061">
      <w:pPr>
        <w:pStyle w:val="ListParagraph"/>
        <w:keepNext/>
        <w:numPr>
          <w:ilvl w:val="1"/>
          <w:numId w:val="14"/>
        </w:numPr>
        <w:spacing w:before="360" w:after="120" w:line="276" w:lineRule="auto"/>
        <w:jc w:val="both"/>
        <w:outlineLvl w:val="0"/>
        <w:rPr>
          <w:rFonts w:ascii="Times New Roman" w:hAnsi="Times New Roman" w:cs="Times New Roman"/>
          <w:b/>
          <w:smallCaps/>
          <w:noProof/>
        </w:rPr>
      </w:pPr>
      <w:r>
        <w:rPr>
          <w:rFonts w:ascii="Times New Roman" w:hAnsi="Times New Roman"/>
          <w:b/>
          <w:smallCaps/>
          <w:noProof/>
        </w:rPr>
        <w:t xml:space="preserve">Élément constitutif 3 – Repenser l’accueil </w:t>
      </w:r>
    </w:p>
    <w:p w14:paraId="36FF5751" w14:textId="0DFE97B6" w:rsidR="007C0602" w:rsidRPr="00423470" w:rsidRDefault="00232547" w:rsidP="001B0372">
      <w:pPr>
        <w:spacing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La plupart des États membres procèdent à des réformes partielles de leur système d’accueil afin de s’adapter aux nouvelles règles, tandis que</w:t>
      </w:r>
      <w:r w:rsidR="005F65C2">
        <w:rPr>
          <w:rFonts w:ascii="Times New Roman" w:hAnsi="Times New Roman"/>
          <w:noProof/>
          <w:color w:val="000000" w:themeColor="text1"/>
          <w:sz w:val="24"/>
        </w:rPr>
        <w:t>,</w:t>
      </w:r>
      <w:r>
        <w:rPr>
          <w:rFonts w:ascii="Times New Roman" w:hAnsi="Times New Roman"/>
          <w:noProof/>
          <w:color w:val="000000" w:themeColor="text1"/>
          <w:sz w:val="24"/>
        </w:rPr>
        <w:t xml:space="preserve"> pour quelques-uns d’entre eux, cette entreprise s’inscrit dans une réforme systémique de plus grande envergure</w:t>
      </w:r>
      <w:r w:rsidR="009C271A" w:rsidRPr="00423470">
        <w:rPr>
          <w:rStyle w:val="FootnoteReference"/>
          <w:rFonts w:ascii="Times New Roman" w:eastAsia="Calibri" w:hAnsi="Times New Roman" w:cs="Times New Roman"/>
          <w:noProof/>
          <w:color w:val="000000" w:themeColor="text1"/>
          <w:sz w:val="24"/>
          <w:szCs w:val="24"/>
          <w:lang w:val="en-GB"/>
        </w:rPr>
        <w:footnoteReference w:id="52"/>
      </w:r>
      <w:r>
        <w:rPr>
          <w:rFonts w:ascii="Times New Roman" w:hAnsi="Times New Roman"/>
          <w:noProof/>
          <w:color w:val="000000" w:themeColor="text1"/>
          <w:sz w:val="24"/>
        </w:rPr>
        <w:t>. Certains États membres indiquent disposer de capacités d’accueil suffisantes</w:t>
      </w:r>
      <w:r w:rsidR="00B87B1C" w:rsidRPr="00423470">
        <w:rPr>
          <w:rStyle w:val="FootnoteReference"/>
          <w:rFonts w:ascii="Times New Roman" w:eastAsia="Calibri" w:hAnsi="Times New Roman" w:cs="Times New Roman"/>
          <w:noProof/>
          <w:color w:val="000000" w:themeColor="text1"/>
          <w:sz w:val="24"/>
          <w:szCs w:val="24"/>
          <w:lang w:val="en-GB"/>
        </w:rPr>
        <w:footnoteReference w:id="53"/>
      </w:r>
      <w:r>
        <w:rPr>
          <w:rFonts w:ascii="Times New Roman" w:hAnsi="Times New Roman"/>
          <w:noProof/>
          <w:color w:val="000000" w:themeColor="text1"/>
          <w:sz w:val="24"/>
        </w:rPr>
        <w:t>, nombreux sont ceux qui construisent de nouvelles installations ou rénovent ou réaménagent celles qui existent déjà</w:t>
      </w:r>
      <w:r w:rsidR="007479AF" w:rsidRPr="00423470">
        <w:rPr>
          <w:rStyle w:val="FootnoteReference"/>
          <w:rFonts w:ascii="Times New Roman" w:eastAsia="Calibri" w:hAnsi="Times New Roman" w:cs="Times New Roman"/>
          <w:noProof/>
          <w:color w:val="000000" w:themeColor="text1"/>
          <w:sz w:val="24"/>
          <w:szCs w:val="24"/>
          <w:lang w:val="en-GB"/>
        </w:rPr>
        <w:footnoteReference w:id="54"/>
      </w:r>
      <w:r>
        <w:rPr>
          <w:rFonts w:ascii="Times New Roman" w:hAnsi="Times New Roman"/>
          <w:noProof/>
          <w:color w:val="000000" w:themeColor="text1"/>
          <w:sz w:val="24"/>
        </w:rPr>
        <w:t>. Les travaux d’édification de nouveaux centres polyvalents sont en cours dans plusieurs États membres</w:t>
      </w:r>
      <w:r w:rsidR="009C271A" w:rsidRPr="00423470">
        <w:rPr>
          <w:rFonts w:ascii="Times New Roman" w:eastAsia="Calibri" w:hAnsi="Times New Roman" w:cs="Times New Roman"/>
          <w:noProof/>
          <w:color w:val="000000" w:themeColor="text1"/>
          <w:sz w:val="24"/>
          <w:szCs w:val="24"/>
          <w:vertAlign w:val="superscript"/>
        </w:rPr>
        <w:footnoteReference w:id="55"/>
      </w:r>
      <w:r>
        <w:rPr>
          <w:rFonts w:ascii="Times New Roman" w:hAnsi="Times New Roman"/>
          <w:noProof/>
          <w:color w:val="000000" w:themeColor="text1"/>
          <w:sz w:val="24"/>
        </w:rPr>
        <w:t>; les modèles et les plans élaborés par l’AUEA et la Commission conservent toute leur utilité à cette fin</w:t>
      </w:r>
      <w:r w:rsidR="00F07B22" w:rsidRPr="00423470">
        <w:rPr>
          <w:rStyle w:val="FootnoteReference"/>
          <w:rFonts w:ascii="Times New Roman" w:eastAsia="Calibri" w:hAnsi="Times New Roman" w:cs="Times New Roman"/>
          <w:noProof/>
          <w:color w:val="000000" w:themeColor="text1"/>
          <w:sz w:val="24"/>
          <w:szCs w:val="24"/>
          <w:lang w:val="en-GB"/>
        </w:rPr>
        <w:footnoteReference w:id="56"/>
      </w:r>
      <w:r>
        <w:rPr>
          <w:rFonts w:ascii="Times New Roman" w:hAnsi="Times New Roman"/>
          <w:noProof/>
          <w:color w:val="000000" w:themeColor="text1"/>
          <w:sz w:val="24"/>
        </w:rPr>
        <w:t xml:space="preserve">. </w:t>
      </w:r>
    </w:p>
    <w:p w14:paraId="55503151" w14:textId="2BFC0EC1" w:rsidR="009F123C" w:rsidRPr="00423470" w:rsidRDefault="009F123C" w:rsidP="001B0372">
      <w:pPr>
        <w:spacing w:line="276" w:lineRule="auto"/>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rPr>
        <w:t>Plusieurs États membres poursuivent leurs efforts visant à mettre en place des modalités d’accueil adaptées aux différents groupes de demandeurs. Ces modalités peuvent s’avérer utiles pour répondre aux besoins des personnes vulnérables</w:t>
      </w:r>
      <w:r w:rsidR="00CC2F23" w:rsidRPr="00423470">
        <w:rPr>
          <w:rStyle w:val="FootnoteReference"/>
          <w:rFonts w:ascii="Times New Roman" w:eastAsia="Calibri" w:hAnsi="Times New Roman" w:cs="Times New Roman"/>
          <w:noProof/>
          <w:color w:val="000000" w:themeColor="text1"/>
          <w:sz w:val="24"/>
          <w:szCs w:val="24"/>
          <w:lang w:val="en-GB"/>
        </w:rPr>
        <w:footnoteReference w:id="57"/>
      </w:r>
      <w:r>
        <w:rPr>
          <w:rFonts w:ascii="Times New Roman" w:hAnsi="Times New Roman"/>
          <w:noProof/>
          <w:color w:val="000000" w:themeColor="text1"/>
          <w:sz w:val="24"/>
        </w:rPr>
        <w:t xml:space="preserve"> ou des familles, et pour offrir des structures spécialisées aux personnes faisant l’objet d’un transfert</w:t>
      </w:r>
      <w:r w:rsidRPr="00423470">
        <w:rPr>
          <w:rStyle w:val="FootnoteReference"/>
          <w:rFonts w:ascii="Times New Roman" w:eastAsia="Calibri" w:hAnsi="Times New Roman" w:cs="Times New Roman"/>
          <w:noProof/>
          <w:color w:val="000000" w:themeColor="text1"/>
          <w:sz w:val="24"/>
          <w:szCs w:val="24"/>
          <w:lang w:val="en-GB"/>
        </w:rPr>
        <w:footnoteReference w:id="58"/>
      </w:r>
      <w:r>
        <w:rPr>
          <w:rFonts w:ascii="Times New Roman" w:hAnsi="Times New Roman"/>
          <w:noProof/>
          <w:color w:val="000000" w:themeColor="text1"/>
          <w:sz w:val="24"/>
        </w:rPr>
        <w:t>.</w:t>
      </w:r>
    </w:p>
    <w:p w14:paraId="5A2F6E85" w14:textId="02846D0A" w:rsidR="007C0602" w:rsidRPr="00423470" w:rsidRDefault="0039474C" w:rsidP="001B0372">
      <w:pPr>
        <w:spacing w:line="276" w:lineRule="auto"/>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rPr>
        <w:t>La poursuite de l’intégration numérique et de la connectivité des systèmes de gestion des dossiers existants, l’amélioration du transfert des données et la facilitation de l’accès à l’information pour les autorités compétentes restent un axe de travail majeur pour la quasi-totalité des États membres, malgré la diversité des contextes et des situations de départ</w:t>
      </w:r>
      <w:r w:rsidR="007C0602" w:rsidRPr="00423470">
        <w:rPr>
          <w:rStyle w:val="FootnoteReference"/>
          <w:rFonts w:ascii="Times New Roman" w:eastAsia="Calibri" w:hAnsi="Times New Roman" w:cs="Times New Roman"/>
          <w:noProof/>
          <w:color w:val="000000" w:themeColor="text1"/>
          <w:sz w:val="24"/>
          <w:szCs w:val="24"/>
          <w:lang w:val="en-GB"/>
        </w:rPr>
        <w:footnoteReference w:id="59"/>
      </w:r>
      <w:r>
        <w:rPr>
          <w:rFonts w:ascii="Times New Roman" w:hAnsi="Times New Roman"/>
          <w:noProof/>
          <w:color w:val="000000" w:themeColor="text1"/>
          <w:sz w:val="24"/>
        </w:rPr>
        <w:t>.</w:t>
      </w:r>
      <w:r>
        <w:rPr>
          <w:rFonts w:ascii="Times New Roman" w:hAnsi="Times New Roman"/>
          <w:noProof/>
          <w:sz w:val="24"/>
        </w:rPr>
        <w:t xml:space="preserve"> Il est probable que de nombreux États membres poursuivent, au-delà de juin 2026, leurs projets d’intégration des systèmes de gestion des dossiers.</w:t>
      </w:r>
    </w:p>
    <w:p w14:paraId="24DE2D54" w14:textId="5E7BB4C6" w:rsidR="2D326743" w:rsidRPr="00423470" w:rsidRDefault="2535398E" w:rsidP="001B0372">
      <w:pPr>
        <w:spacing w:before="120" w:after="120" w:line="276" w:lineRule="auto"/>
        <w:jc w:val="both"/>
        <w:rPr>
          <w:rFonts w:ascii="Times New Roman" w:hAnsi="Times New Roman" w:cs="Times New Roman"/>
          <w:noProof/>
        </w:rPr>
      </w:pPr>
      <w:r>
        <w:rPr>
          <w:rFonts w:ascii="Times New Roman" w:hAnsi="Times New Roman"/>
          <w:noProof/>
          <w:sz w:val="24"/>
        </w:rPr>
        <w:t>Le comité de contact accueil poursuit ses travaux en mettant l’accent sur la transposition de la directive relative aux conditions d’accueil de 2024 et sur la transition de la directive actuellement en vigueur vers la directive de refonte. Cela inclut également les dispositions sur le recours aux restrictions à la liberté de circulation, au placement en rétention et aux mesures alternatives à la rétention, lesquelles seront détaillées dans un document d’orientation spécial. À l’approche de la date limite de transposition de la directive relative aux conditions d’accueil fixée en juin,</w:t>
      </w:r>
      <w:r>
        <w:rPr>
          <w:rFonts w:ascii="Times New Roman" w:hAnsi="Times New Roman"/>
          <w:b/>
          <w:noProof/>
          <w:sz w:val="24"/>
        </w:rPr>
        <w:t xml:space="preserve"> </w:t>
      </w:r>
      <w:r>
        <w:rPr>
          <w:rFonts w:ascii="Times New Roman" w:hAnsi="Times New Roman"/>
          <w:noProof/>
          <w:sz w:val="24"/>
        </w:rPr>
        <w:t>un État membre a déjà communiqué le texte complet de ses dispositions de transposition</w:t>
      </w:r>
      <w:r w:rsidR="00433870" w:rsidRPr="00423470">
        <w:rPr>
          <w:rStyle w:val="FootnoteReference"/>
          <w:rFonts w:ascii="Times New Roman" w:eastAsia="Calibri" w:hAnsi="Times New Roman" w:cs="Times New Roman"/>
          <w:noProof/>
          <w:sz w:val="24"/>
          <w:szCs w:val="24"/>
          <w:lang w:val="en-GB"/>
        </w:rPr>
        <w:footnoteReference w:id="60"/>
      </w:r>
      <w:r>
        <w:rPr>
          <w:rFonts w:ascii="Times New Roman" w:hAnsi="Times New Roman"/>
          <w:noProof/>
          <w:sz w:val="24"/>
        </w:rPr>
        <w:t>. S’appuyant sur</w:t>
      </w:r>
      <w:r>
        <w:rPr>
          <w:rFonts w:ascii="Times New Roman" w:hAnsi="Times New Roman"/>
          <w:noProof/>
          <w:color w:val="000000" w:themeColor="text1"/>
          <w:sz w:val="24"/>
        </w:rPr>
        <w:t xml:space="preserve"> les travaux du réseau d’accueil de l’AUEA, cette dernière a publié en décembre 2025 un guide pratique sur la gestion d’un centre d’accueil</w:t>
      </w:r>
      <w:r w:rsidR="6DBF1E71" w:rsidRPr="00423470">
        <w:rPr>
          <w:rStyle w:val="FootnoteReference"/>
          <w:rFonts w:ascii="Times New Roman" w:eastAsia="Times New Roman" w:hAnsi="Times New Roman" w:cs="Times New Roman"/>
          <w:noProof/>
          <w:color w:val="000000" w:themeColor="text1"/>
          <w:sz w:val="24"/>
          <w:szCs w:val="24"/>
          <w:lang w:val="en-GB"/>
        </w:rPr>
        <w:footnoteReference w:id="61"/>
      </w:r>
      <w:r>
        <w:rPr>
          <w:rFonts w:ascii="Times New Roman" w:hAnsi="Times New Roman"/>
          <w:noProof/>
          <w:color w:val="000000" w:themeColor="text1"/>
          <w:sz w:val="24"/>
        </w:rPr>
        <w:t xml:space="preserve">. Ce guide traite des éléments clés liés à la gestion et à l’organisation des centres d’accueil, en mettant particulièrement l’accent sur la phase initiale de l’accueil et sur le lien avec les aspects procéduraux. Il souligne également le rôle important de l’accès à des mesures d’intégration précoce pendant la phase d’accueil pour jeter les bases d’une inclusion ultérieure réussie dans la société d’accueil. Cela recouvre des éléments de la directive relative aux conditions d’accueil: l’accès à des cours de langue, d’éducation civique et de formation professionnelle, au marché du travail, ainsi que les procédures de reconnaissance des qualifications. En mars 2026, l’AUEA a adopté la version mise à jour des </w:t>
      </w:r>
      <w:r>
        <w:rPr>
          <w:rFonts w:ascii="Times New Roman" w:hAnsi="Times New Roman"/>
          <w:noProof/>
          <w:sz w:val="24"/>
        </w:rPr>
        <w:t>«Normes opérationnelles et indicateurs en matière d’accueil, y compris les aspects liés à la vulnérabilité»</w:t>
      </w:r>
      <w:r w:rsidR="00AB3166" w:rsidRPr="00423470">
        <w:rPr>
          <w:rStyle w:val="FootnoteReference"/>
          <w:rFonts w:ascii="Times New Roman" w:eastAsia="Times New Roman" w:hAnsi="Times New Roman" w:cs="Times New Roman"/>
          <w:noProof/>
          <w:color w:val="000000" w:themeColor="text1"/>
          <w:sz w:val="24"/>
          <w:szCs w:val="24"/>
          <w:lang w:val="en-GB"/>
        </w:rPr>
        <w:footnoteReference w:id="62"/>
      </w:r>
      <w:r>
        <w:rPr>
          <w:rFonts w:ascii="Times New Roman" w:hAnsi="Times New Roman"/>
          <w:noProof/>
          <w:sz w:val="24"/>
        </w:rPr>
        <w:t>.</w:t>
      </w:r>
      <w:r>
        <w:rPr>
          <w:rFonts w:ascii="Times New Roman" w:hAnsi="Times New Roman"/>
          <w:noProof/>
          <w:color w:val="000000" w:themeColor="text1"/>
          <w:sz w:val="24"/>
        </w:rPr>
        <w:t xml:space="preserve"> Ce document porte sur les enfants et la vulnérabilité.</w:t>
      </w:r>
    </w:p>
    <w:p w14:paraId="0F3751F3" w14:textId="4586BAA4" w:rsidR="008F6AA1" w:rsidRPr="00423470" w:rsidRDefault="008F6AA1" w:rsidP="001B0372">
      <w:pPr>
        <w:spacing w:before="120" w:after="120" w:line="276" w:lineRule="auto"/>
        <w:jc w:val="both"/>
        <w:rPr>
          <w:rFonts w:ascii="Times New Roman" w:eastAsia="Calibri" w:hAnsi="Times New Roman" w:cs="Times New Roman"/>
          <w:b/>
          <w:noProof/>
          <w:sz w:val="24"/>
          <w:szCs w:val="24"/>
        </w:rPr>
      </w:pPr>
      <w:r>
        <w:rPr>
          <w:rFonts w:ascii="Times New Roman" w:hAnsi="Times New Roman"/>
          <w:b/>
          <w:noProof/>
          <w:sz w:val="24"/>
        </w:rPr>
        <w:t>Principaux défis et prochaines étapes</w:t>
      </w:r>
    </w:p>
    <w:p w14:paraId="1E432778" w14:textId="5CB30D21" w:rsidR="00075BA1" w:rsidRPr="00423470" w:rsidRDefault="4436AA57" w:rsidP="001B0372">
      <w:pPr>
        <w:spacing w:line="276" w:lineRule="auto"/>
        <w:jc w:val="both"/>
        <w:rPr>
          <w:rFonts w:ascii="Times New Roman" w:eastAsia="Calibri" w:hAnsi="Times New Roman" w:cs="Times New Roman"/>
          <w:noProof/>
          <w:color w:val="196B24" w:themeColor="accent3"/>
          <w:sz w:val="24"/>
          <w:szCs w:val="24"/>
        </w:rPr>
      </w:pPr>
      <w:r>
        <w:rPr>
          <w:rFonts w:ascii="Times New Roman" w:hAnsi="Times New Roman"/>
          <w:noProof/>
          <w:color w:val="000000" w:themeColor="text1"/>
          <w:sz w:val="24"/>
        </w:rPr>
        <w:t xml:space="preserve">Les États membres doivent combler les lacunes susceptibles d’entraîner des retards dans les procédures, créer des capacités nouvelles là où elles sont nécessaires ou assurer des conditions d’accueil de qualité adéquate dans les centres, en tenant compte des besoins spécifiques et des vulnérabilités, notamment ceux des enfants, y compris les mineurs non accompagnés. S’il y a lieu, des mesures intermédiaires doivent être mises en place pour garantir une capacité suffisante. Des efforts sont particulièrement nécessaires lorsque les États membres </w:t>
      </w:r>
      <w:r>
        <w:rPr>
          <w:rFonts w:ascii="Times New Roman" w:hAnsi="Times New Roman"/>
          <w:noProof/>
          <w:sz w:val="24"/>
        </w:rPr>
        <w:t>n’ont pas de plans clairs pour constituer des capacités d’accueil adéquates ou lorsqu’ils ont récemment réduit leur capacité</w:t>
      </w:r>
      <w:r w:rsidR="005203FA" w:rsidRPr="00423470">
        <w:rPr>
          <w:rStyle w:val="FootnoteReference"/>
          <w:rFonts w:ascii="Times New Roman" w:eastAsia="Calibri" w:hAnsi="Times New Roman" w:cs="Times New Roman"/>
          <w:noProof/>
          <w:sz w:val="24"/>
          <w:szCs w:val="24"/>
          <w:lang w:val="en-GB"/>
        </w:rPr>
        <w:footnoteReference w:id="63"/>
      </w:r>
      <w:r>
        <w:rPr>
          <w:rFonts w:ascii="Times New Roman" w:hAnsi="Times New Roman"/>
          <w:noProof/>
          <w:sz w:val="24"/>
        </w:rPr>
        <w:t>. Dans ces cas précis, les États membres concernés doivent veiller à ce que de telles mesures soient compatibles avec la nécessité générale de disposer de systèmes d’asile et d’accueil bien préparés.</w:t>
      </w:r>
    </w:p>
    <w:p w14:paraId="5EE2493D" w14:textId="1078877D" w:rsidR="00B14D0F" w:rsidRPr="00423470" w:rsidRDefault="00B14D0F" w:rsidP="001B0372">
      <w:pPr>
        <w:spacing w:before="120" w:after="120" w:line="276" w:lineRule="auto"/>
        <w:jc w:val="both"/>
        <w:rPr>
          <w:rFonts w:ascii="Times New Roman" w:eastAsia="Calibri" w:hAnsi="Times New Roman" w:cs="Times New Roman"/>
          <w:noProof/>
          <w:color w:val="196B24" w:themeColor="accent3"/>
          <w:sz w:val="24"/>
          <w:szCs w:val="24"/>
        </w:rPr>
      </w:pPr>
      <w:r>
        <w:rPr>
          <w:rFonts w:ascii="Times New Roman" w:hAnsi="Times New Roman"/>
          <w:noProof/>
          <w:sz w:val="24"/>
        </w:rPr>
        <w:t xml:space="preserve">L’AUEA, qui organise des actions de sensibilisation visant à promouvoir des outils, des orientations et des formations, continuera à organiser des ateliers thématiques et des programmes d’échange à l’intention des États membres. À la demande de la Commission, </w:t>
      </w:r>
      <w:r>
        <w:rPr>
          <w:rFonts w:ascii="Times New Roman" w:hAnsi="Times New Roman"/>
          <w:noProof/>
          <w:color w:val="000000" w:themeColor="text1"/>
          <w:sz w:val="24"/>
        </w:rPr>
        <w:t xml:space="preserve">elle élaborera des orientations sur les modèles d’accueil. </w:t>
      </w:r>
    </w:p>
    <w:p w14:paraId="7DE2B655" w14:textId="5C0B85E0" w:rsidR="00591166" w:rsidRPr="00423470" w:rsidRDefault="492BF6EE"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La plupart des États membres doivent encore transposer la directive relative aux conditions d’accueil et communiquer à la Commission les textes correspondants, accompagnés d’un document explicatif, avant le 12 juin. La Commission encourage tous les États membres à désigner les autorités compétentes et à communiquer ces informations dès que possible afin de faciliter les échanges concernant la mise en œuvre.</w:t>
      </w:r>
      <w:r>
        <w:rPr>
          <w:rFonts w:ascii="Times New Roman" w:hAnsi="Times New Roman"/>
          <w:noProof/>
          <w:sz w:val="20"/>
        </w:rPr>
        <w:t xml:space="preserve"> </w:t>
      </w:r>
    </w:p>
    <w:p w14:paraId="1677B7A1" w14:textId="4E3349BB" w:rsidR="00DD7CD0" w:rsidRPr="00423470" w:rsidRDefault="00172DA1"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 xml:space="preserve">Des données exactes et exhaustives sur l’accueil sont essentielles pour étayer l’évaluation de la situation en matière d’accueil. Les États membres sont tenus de communiquer des informations sur les indicateurs clés relatifs à l’accueil pour les besoins du prochain rapport européen annuel sur l’asile et la migration. À partir de 2027, les États membres communiqueront alors des données à l’AUEA sur un ensemble complet d’indicateurs en matière d’accueil. Les États membres devront encore améliorer la qualité de leurs rapports et la granularité des données afin d’assurer le caractère comparable et exhaustif des statistiques. </w:t>
      </w:r>
    </w:p>
    <w:p w14:paraId="13DCC3F9" w14:textId="627921CA" w:rsidR="008F6AA1" w:rsidRPr="00423470" w:rsidRDefault="008F6AA1" w:rsidP="00081061">
      <w:pPr>
        <w:pStyle w:val="ListParagraph"/>
        <w:keepNext/>
        <w:numPr>
          <w:ilvl w:val="1"/>
          <w:numId w:val="14"/>
        </w:numPr>
        <w:spacing w:before="360" w:after="120" w:line="276" w:lineRule="auto"/>
        <w:jc w:val="both"/>
        <w:outlineLvl w:val="0"/>
        <w:rPr>
          <w:rFonts w:ascii="Times New Roman" w:hAnsi="Times New Roman" w:cs="Times New Roman"/>
          <w:b/>
          <w:smallCaps/>
          <w:noProof/>
        </w:rPr>
      </w:pPr>
      <w:r>
        <w:rPr>
          <w:rFonts w:ascii="Times New Roman" w:hAnsi="Times New Roman"/>
          <w:b/>
          <w:smallCaps/>
          <w:noProof/>
        </w:rPr>
        <w:t xml:space="preserve">Élément constitutif 4 – Des procédures d’asile équitables, efficaces et convergentes </w:t>
      </w:r>
    </w:p>
    <w:p w14:paraId="46DD8CE2" w14:textId="6EA0F411" w:rsidR="00894B5C" w:rsidRPr="00423470" w:rsidRDefault="6D118FAA"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color w:val="000000" w:themeColor="text1"/>
          <w:sz w:val="24"/>
        </w:rPr>
        <w:t>La liste de l’UE des pays d’origine sûrs récemment adoptée offre aux États membres la possibilité d’anticiper certains aspects du règlement, notamment l’application d’un taux de reconnaissance de 20 % (ou inférieur) comme motif justifiant une procédure accélérée, ainsi que la possibilité de désigner des pays d’origine sûrs et des pays tiers sûrs</w:t>
      </w:r>
      <w:r>
        <w:rPr>
          <w:rFonts w:ascii="Times New Roman" w:hAnsi="Times New Roman"/>
          <w:noProof/>
          <w:sz w:val="24"/>
        </w:rPr>
        <w:t xml:space="preserve">, avec des exceptions pour certaines parties du territoire d’un État membre ou pour des catégories de personnes clairement identifiables. </w:t>
      </w:r>
    </w:p>
    <w:p w14:paraId="4BD84169" w14:textId="562A027F" w:rsidR="00194C2A" w:rsidRPr="00423470" w:rsidRDefault="00384244" w:rsidP="001B0372">
      <w:pPr>
        <w:spacing w:before="120" w:after="120" w:line="276" w:lineRule="auto"/>
        <w:jc w:val="both"/>
        <w:rPr>
          <w:rFonts w:ascii="Times New Roman" w:eastAsia="Calibri" w:hAnsi="Times New Roman" w:cs="Times New Roman"/>
          <w:noProof/>
          <w:color w:val="196B24" w:themeColor="accent3"/>
          <w:sz w:val="24"/>
          <w:szCs w:val="24"/>
        </w:rPr>
      </w:pPr>
      <w:r>
        <w:rPr>
          <w:rFonts w:ascii="Times New Roman" w:hAnsi="Times New Roman"/>
          <w:noProof/>
          <w:color w:val="000000" w:themeColor="text1"/>
          <w:sz w:val="24"/>
        </w:rPr>
        <w:t xml:space="preserve">Plusieurs États membres prennent des mesures pour résorber l’arriéré existant et améliorer leur gestion des dossiers. Cela passe notamment par la constitution d’équipes spécialisées, le recrutement de personnel supplémentaire, la réforme des processus grâce à la numérisation et aux systèmes intégrés de gestion des dossiers, et par l’harmonisation des flux de travail et des procédures entre les différentes parties </w:t>
      </w:r>
      <w:r>
        <w:rPr>
          <w:rFonts w:ascii="Times New Roman" w:hAnsi="Times New Roman"/>
          <w:noProof/>
          <w:sz w:val="24"/>
        </w:rPr>
        <w:t>prenantes</w:t>
      </w:r>
      <w:r w:rsidR="00194C2A" w:rsidRPr="00423470">
        <w:rPr>
          <w:rFonts w:ascii="Times New Roman" w:eastAsia="Calibri" w:hAnsi="Times New Roman" w:cs="Times New Roman"/>
          <w:noProof/>
          <w:sz w:val="24"/>
          <w:szCs w:val="24"/>
          <w:vertAlign w:val="superscript"/>
        </w:rPr>
        <w:footnoteReference w:id="64"/>
      </w:r>
      <w:r>
        <w:rPr>
          <w:rFonts w:ascii="Times New Roman" w:hAnsi="Times New Roman"/>
          <w:noProof/>
          <w:sz w:val="24"/>
        </w:rPr>
        <w:t>. Ce</w:t>
      </w:r>
      <w:r>
        <w:rPr>
          <w:rFonts w:ascii="Times New Roman" w:hAnsi="Times New Roman"/>
          <w:noProof/>
          <w:color w:val="000000" w:themeColor="text1"/>
          <w:sz w:val="24"/>
        </w:rPr>
        <w:t>rtains États membres font également appel à l’AUEA, par exemple</w:t>
      </w:r>
      <w:r>
        <w:rPr>
          <w:rFonts w:ascii="Times New Roman" w:hAnsi="Times New Roman"/>
          <w:noProof/>
          <w:sz w:val="24"/>
        </w:rPr>
        <w:t xml:space="preserve"> pour élaborer conjointement des procédures, solliciter des déploiements ou des formations, ou encore obtenir un soutien opérationnel</w:t>
      </w:r>
      <w:r w:rsidR="00194C2A" w:rsidRPr="00423470">
        <w:rPr>
          <w:rFonts w:ascii="Times New Roman" w:eastAsia="Calibri" w:hAnsi="Times New Roman" w:cs="Times New Roman"/>
          <w:noProof/>
          <w:sz w:val="24"/>
          <w:szCs w:val="24"/>
          <w:vertAlign w:val="superscript"/>
        </w:rPr>
        <w:footnoteReference w:id="65"/>
      </w:r>
      <w:r>
        <w:rPr>
          <w:rFonts w:ascii="Times New Roman" w:hAnsi="Times New Roman"/>
          <w:noProof/>
          <w:sz w:val="24"/>
        </w:rPr>
        <w:t>. De nombreux États membres poursuivent leur collaboration avec le pouvoir judiciaire et prennent des mesures concrètes pour mettre en conformité les procédures judiciaires nationales avec les exigences du pacte, renforcer l’efficacité des systèmes juridictionnels et accroître la capacité de traitement des recours</w:t>
      </w:r>
      <w:r w:rsidR="00194C2A" w:rsidRPr="00423470">
        <w:rPr>
          <w:rFonts w:ascii="Times New Roman" w:eastAsia="Calibri" w:hAnsi="Times New Roman" w:cs="Times New Roman"/>
          <w:noProof/>
          <w:sz w:val="24"/>
          <w:szCs w:val="24"/>
          <w:vertAlign w:val="superscript"/>
        </w:rPr>
        <w:footnoteReference w:id="66"/>
      </w:r>
      <w:r>
        <w:rPr>
          <w:rFonts w:ascii="Times New Roman" w:hAnsi="Times New Roman"/>
          <w:noProof/>
          <w:sz w:val="24"/>
        </w:rPr>
        <w:t>.</w:t>
      </w:r>
    </w:p>
    <w:p w14:paraId="73DD513C" w14:textId="0BE84472" w:rsidR="583AEE30" w:rsidRPr="00423470" w:rsidRDefault="006817A3"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 xml:space="preserve">L’AUEA travaille actuellement sur plusieurs outils qui aideront les États membres à déployer les nouvelles procédures d’asile. </w:t>
      </w:r>
      <w:r>
        <w:rPr>
          <w:rFonts w:ascii="Times New Roman" w:hAnsi="Times New Roman"/>
          <w:noProof/>
          <w:sz w:val="24"/>
        </w:rPr>
        <w:t>Les normes opérationnelles et les indicateurs de l’AUEA relatifs à la procédure d’asile ont été publiés le 25 novembre 2025</w:t>
      </w:r>
      <w:r w:rsidR="583AEE30" w:rsidRPr="00423470">
        <w:rPr>
          <w:rStyle w:val="FootnoteReference"/>
          <w:rFonts w:ascii="Times New Roman" w:eastAsia="Times New Roman" w:hAnsi="Times New Roman" w:cs="Times New Roman"/>
          <w:noProof/>
          <w:sz w:val="24"/>
          <w:szCs w:val="24"/>
          <w:lang w:val="en-GB"/>
        </w:rPr>
        <w:footnoteReference w:id="67"/>
      </w:r>
      <w:r>
        <w:rPr>
          <w:rFonts w:ascii="Times New Roman" w:hAnsi="Times New Roman"/>
          <w:noProof/>
          <w:sz w:val="24"/>
        </w:rPr>
        <w:t>, afin d’aider les États membres à instituer des procédures d’asile équitables et efficaces et de renforcer le régime d’asile européen commun sur le plan opérationnel. L’AUEA poursuit également son dialogue actif avec les membres des juridictions sur divers sujets</w:t>
      </w:r>
      <w:r w:rsidR="000E3FB2" w:rsidRPr="00423470">
        <w:rPr>
          <w:rStyle w:val="FootnoteReference"/>
          <w:rFonts w:ascii="Times New Roman" w:eastAsia="Times New Roman" w:hAnsi="Times New Roman" w:cs="Times New Roman"/>
          <w:noProof/>
          <w:sz w:val="24"/>
          <w:szCs w:val="24"/>
          <w:lang w:val="en-GB"/>
        </w:rPr>
        <w:footnoteReference w:id="68"/>
      </w:r>
      <w:r>
        <w:rPr>
          <w:rFonts w:ascii="Times New Roman" w:hAnsi="Times New Roman"/>
          <w:noProof/>
          <w:sz w:val="24"/>
        </w:rPr>
        <w:t xml:space="preserve">. </w:t>
      </w:r>
    </w:p>
    <w:p w14:paraId="653B62BB" w14:textId="734AFB09" w:rsidR="008F6AA1" w:rsidRPr="00423470" w:rsidRDefault="008F6AA1" w:rsidP="001B0372">
      <w:pPr>
        <w:spacing w:before="120" w:after="120" w:line="276" w:lineRule="auto"/>
        <w:jc w:val="both"/>
        <w:rPr>
          <w:rFonts w:ascii="Times New Roman" w:eastAsia="Calibri" w:hAnsi="Times New Roman" w:cs="Times New Roman"/>
          <w:b/>
          <w:noProof/>
          <w:sz w:val="24"/>
          <w:szCs w:val="24"/>
        </w:rPr>
      </w:pPr>
      <w:r>
        <w:rPr>
          <w:rFonts w:ascii="Times New Roman" w:hAnsi="Times New Roman"/>
          <w:b/>
          <w:noProof/>
          <w:sz w:val="24"/>
        </w:rPr>
        <w:t>Principaux défis et prochaines étapes</w:t>
      </w:r>
    </w:p>
    <w:p w14:paraId="44DCC1B1" w14:textId="41754FD9" w:rsidR="008F6AA1" w:rsidRPr="00423470" w:rsidRDefault="0031750A"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Il convient de poursuivre, voire d’intensifier dans certains cas, les mesures concrètes visant à </w:t>
      </w:r>
      <w:r>
        <w:rPr>
          <w:rFonts w:ascii="Times New Roman" w:hAnsi="Times New Roman"/>
          <w:b/>
          <w:noProof/>
          <w:sz w:val="24"/>
        </w:rPr>
        <w:t>résorber les arriérés existants</w:t>
      </w:r>
      <w:r>
        <w:rPr>
          <w:rFonts w:ascii="Times New Roman" w:hAnsi="Times New Roman"/>
          <w:noProof/>
          <w:sz w:val="24"/>
        </w:rPr>
        <w:t xml:space="preserve"> et à éviter que de nouveaux arriérés ne se forment</w:t>
      </w:r>
      <w:r w:rsidR="008F6AA1" w:rsidRPr="00423470">
        <w:rPr>
          <w:rFonts w:ascii="Times New Roman" w:eastAsia="Calibri" w:hAnsi="Times New Roman" w:cs="Times New Roman"/>
          <w:noProof/>
          <w:sz w:val="24"/>
          <w:szCs w:val="24"/>
          <w:vertAlign w:val="superscript"/>
        </w:rPr>
        <w:footnoteReference w:id="69"/>
      </w:r>
      <w:r>
        <w:rPr>
          <w:rFonts w:ascii="Times New Roman" w:hAnsi="Times New Roman"/>
          <w:noProof/>
          <w:sz w:val="24"/>
        </w:rPr>
        <w:t>. Parmi les mesures que les États membres doivent prendre figurent le lancement ra</w:t>
      </w:r>
      <w:r>
        <w:rPr>
          <w:rFonts w:ascii="Times New Roman" w:hAnsi="Times New Roman"/>
          <w:noProof/>
          <w:color w:val="000000" w:themeColor="text1"/>
          <w:sz w:val="24"/>
        </w:rPr>
        <w:t>pide de procédures de recrutement, qu’il s’agisse de postes temporaires ou permanents, et l’organisation des formations nécessaires pour que le personnel maîtrise bien le nouveau cadre, éventuellement en collaboration avec l’AUEA</w:t>
      </w:r>
      <w:r w:rsidR="45DFAC67" w:rsidRPr="00423470">
        <w:rPr>
          <w:rStyle w:val="FootnoteReference"/>
          <w:rFonts w:ascii="Times New Roman" w:eastAsia="Times New Roman" w:hAnsi="Times New Roman" w:cs="Times New Roman"/>
          <w:noProof/>
          <w:color w:val="000000" w:themeColor="text1"/>
          <w:sz w:val="24"/>
          <w:szCs w:val="24"/>
          <w:lang w:val="en-GB"/>
        </w:rPr>
        <w:footnoteReference w:id="70"/>
      </w:r>
      <w:r>
        <w:rPr>
          <w:rFonts w:ascii="Times New Roman" w:hAnsi="Times New Roman"/>
          <w:noProof/>
          <w:color w:val="000000" w:themeColor="text1"/>
          <w:sz w:val="24"/>
        </w:rPr>
        <w:t>.</w:t>
      </w:r>
      <w:r>
        <w:rPr>
          <w:rFonts w:ascii="Times New Roman" w:hAnsi="Times New Roman"/>
          <w:noProof/>
          <w:sz w:val="24"/>
        </w:rPr>
        <w:t xml:space="preserve"> Parallèlement à la réduction des arriérés, les États membres devraient également renforcer leurs capacités judiciaires. Compte tenu du risque de surcharge des systèmes judiciaires et de pénurie de personnel pouvant résulter du raccourcissement des délais prévus par les nouvelles procédures, les administrations nationales doivent assurer une coordination efficiente entre les services concernés.</w:t>
      </w:r>
    </w:p>
    <w:p w14:paraId="25BCA8F8" w14:textId="693B141F" w:rsidR="008F6AA1" w:rsidRPr="00423470" w:rsidRDefault="008F6AA1"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 xml:space="preserve">Dans le cadre de leurs préparatifs, les États membres doivent également prendre les mesures nécessaires et, s’il y a lieu, adopter des modifications législatives afin de garantir un accès effectif aux procédures d’asile, tout en respectant en permanence le principe de non-refoulement. </w:t>
      </w:r>
    </w:p>
    <w:p w14:paraId="798E1A75" w14:textId="4469B591" w:rsidR="7FE8AB56" w:rsidRPr="00423470" w:rsidRDefault="43247BD9"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En vertu du règlement relatif aux procédures d’asile, les États membres sont tenus de notifier à la Commission, au plus tard le 12 juin 2026, les autres autorités nationales compétentes, outre l’autorité responsable de la détermination, responsables de la réception des demandes, ainsi que l’autorité compétente désignée pour l’enregistrement des demandes. Ils doivent également désigner un point de contact national aux fins tant dudit règlement que du règlement relatif aux conditions que doivent remplir les demandeurs d’asile et en communiquer les coordonnées à la Commission. La Commission transmettra ensuite ces informations aux autres États membres.</w:t>
      </w:r>
    </w:p>
    <w:p w14:paraId="51AAF72D" w14:textId="361265E1" w:rsidR="008F6AA1" w:rsidRPr="00423470" w:rsidRDefault="008F6AA1" w:rsidP="00081061">
      <w:pPr>
        <w:pStyle w:val="ListParagraph"/>
        <w:keepNext/>
        <w:numPr>
          <w:ilvl w:val="1"/>
          <w:numId w:val="14"/>
        </w:numPr>
        <w:spacing w:before="360" w:after="120" w:line="276" w:lineRule="auto"/>
        <w:jc w:val="both"/>
        <w:outlineLvl w:val="0"/>
        <w:rPr>
          <w:rFonts w:ascii="Times New Roman" w:hAnsi="Times New Roman" w:cs="Times New Roman"/>
          <w:b/>
          <w:smallCaps/>
          <w:noProof/>
        </w:rPr>
      </w:pPr>
      <w:r>
        <w:rPr>
          <w:rFonts w:ascii="Times New Roman" w:hAnsi="Times New Roman"/>
          <w:b/>
          <w:smallCaps/>
          <w:noProof/>
        </w:rPr>
        <w:t xml:space="preserve">Élément constitutif 5 – Des procédures de retour plus efficaces et plus équitables </w:t>
      </w:r>
    </w:p>
    <w:p w14:paraId="7D10CACF" w14:textId="2B95D706" w:rsidR="008F6AA1" w:rsidRPr="00423470" w:rsidRDefault="10FB8EC2" w:rsidP="001B0372">
      <w:pPr>
        <w:spacing w:before="120" w:after="120" w:line="276" w:lineRule="auto"/>
        <w:jc w:val="both"/>
        <w:rPr>
          <w:rFonts w:ascii="Times New Roman" w:eastAsia="Calibri" w:hAnsi="Times New Roman" w:cs="Times New Roman"/>
          <w:noProof/>
          <w:color w:val="196B24" w:themeColor="accent3"/>
          <w:sz w:val="24"/>
          <w:szCs w:val="24"/>
        </w:rPr>
      </w:pPr>
      <w:r>
        <w:rPr>
          <w:rFonts w:ascii="Times New Roman" w:hAnsi="Times New Roman"/>
          <w:noProof/>
          <w:sz w:val="24"/>
        </w:rPr>
        <w:t>Parallèlement aux négociations sur la proposition de règlement sur le retour, la Commission et les États membres définissent des mesures pratiques et opérationnelles visant à accroître l’efficacité du retour. Presque tous les États membres ont adapté leur cadre ou leurs pratiques pour que l’adoption des décisions de retour suive de près dans le temps celle des décisions négatives en matière d’asile, conformément au règlement relatif aux procédures d’asile. Les États membres introduisent de nouvelles mesures dans le cadre d’efforts conjoints plus larges visant à simplifier et à rationaliser les procédures administratives</w:t>
      </w:r>
      <w:r w:rsidR="008F6AA1" w:rsidRPr="00423470">
        <w:rPr>
          <w:rFonts w:ascii="Times New Roman" w:eastAsia="Calibri" w:hAnsi="Times New Roman" w:cs="Times New Roman"/>
          <w:noProof/>
          <w:sz w:val="24"/>
          <w:szCs w:val="24"/>
          <w:vertAlign w:val="superscript"/>
        </w:rPr>
        <w:footnoteReference w:id="71"/>
      </w:r>
      <w:r>
        <w:rPr>
          <w:rFonts w:ascii="Times New Roman" w:hAnsi="Times New Roman"/>
          <w:noProof/>
          <w:sz w:val="24"/>
        </w:rPr>
        <w:t>. Ils œuvrent à la modernisation de leur système national de gestion des dossiers de retour: à ce jour, avec l’appui de Frontex, 22 États membres</w:t>
      </w:r>
      <w:r w:rsidR="37637CF6" w:rsidRPr="00423470">
        <w:rPr>
          <w:rStyle w:val="FootnoteReference"/>
          <w:rFonts w:ascii="Times New Roman" w:eastAsia="Times New Roman" w:hAnsi="Times New Roman" w:cs="Times New Roman"/>
          <w:noProof/>
          <w:sz w:val="24"/>
          <w:szCs w:val="24"/>
          <w:lang w:val="en-GB"/>
        </w:rPr>
        <w:footnoteReference w:id="72"/>
      </w:r>
      <w:r>
        <w:rPr>
          <w:rFonts w:ascii="Times New Roman" w:hAnsi="Times New Roman"/>
          <w:noProof/>
          <w:sz w:val="24"/>
        </w:rPr>
        <w:t xml:space="preserve"> ont mis en place des solutions informatiques pour gérer les dossiers de retour en réalisant une analyse des lacunes au regard d’un système informatique modèle (modèle RECAMAS).</w:t>
      </w:r>
    </w:p>
    <w:p w14:paraId="7DD5FBE0" w14:textId="5C764B15" w:rsidR="008F6AA1" w:rsidRPr="00423470" w:rsidRDefault="69218A87"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Avec le soutien du coordinateur chargé des retours, les États membres et Frontex poursuivent leurs efforts en matière d’actions de retour ciblées et de coordination des mesures opérationnelles afin d’augmenter les retours vers les pays tiers prioritaires communs. En ce qui concerne la procédure de retour à la frontière, les États membres qui comptent le plus grand nombre de dossiers relevant de ladite procédure sont susceptibles de renvoyer les ressortissants de pays tiers vers un groupe de pays tiers présentant un intérêt particulier pour l’État membre concerné. Les mesures coordonnées devraient se concentrer notamment sur le déploiement d’officiers de liaison dans ces pays tiers, sur l’augmentation du recours aux retours volontaires, sur les opérations de retour conjointes et sur les outils d’identification.</w:t>
      </w:r>
    </w:p>
    <w:p w14:paraId="7345EF9E" w14:textId="238F5EF9" w:rsidR="13583DB0" w:rsidRPr="00423470" w:rsidRDefault="1E766CFD" w:rsidP="001B0372">
      <w:pPr>
        <w:spacing w:before="120" w:after="120" w:line="276" w:lineRule="auto"/>
        <w:jc w:val="both"/>
        <w:rPr>
          <w:rFonts w:ascii="Times New Roman" w:eastAsia="Times New Roman" w:hAnsi="Times New Roman" w:cs="Times New Roman"/>
          <w:noProof/>
          <w:sz w:val="24"/>
          <w:szCs w:val="24"/>
        </w:rPr>
      </w:pPr>
      <w:bookmarkStart w:id="3" w:name="_Hlk228283702"/>
      <w:r>
        <w:rPr>
          <w:rFonts w:ascii="Times New Roman" w:hAnsi="Times New Roman"/>
          <w:noProof/>
          <w:sz w:val="24"/>
        </w:rPr>
        <w:t>Frontex, en collaboration avec les États membres et les autres parties prenantes, a recueilli les bonnes pratiques concernant, d’une part, l’identification effective des ressortissants de pays tiers en vue de leur retour et, d’autre part, la délivrance, à ces personnes, des documents nécessaires à cette fin.</w:t>
      </w:r>
      <w:bookmarkEnd w:id="3"/>
      <w:r>
        <w:rPr>
          <w:rFonts w:ascii="Times New Roman" w:hAnsi="Times New Roman"/>
          <w:noProof/>
          <w:sz w:val="24"/>
        </w:rPr>
        <w:t xml:space="preserve"> Ces bonnes pratiques, qui tiennent explicitement compte de la brièveté des délais et des contraintes opérationnelles imposés par la procédure de retour à la frontière, seront mises à la disposition des États membres au deuxième trimestre de 2026.</w:t>
      </w:r>
    </w:p>
    <w:p w14:paraId="0EEA2401" w14:textId="062DAFD8" w:rsidR="002A2F7A" w:rsidRPr="00423470" w:rsidRDefault="75C191A9"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Les retours appuyés par Frontex continuent d’augmenter et représentent près de la moitié du total des retours en provenance de l’Union en 2025. Le travail des agents du contingent permanent déployés, tels que les spécialistes des questions de retour, les agents d’escorte et d’appui au retour de Frontex (FRESO) et les contrôleurs des droits fondamentaux, continue de soutenir les processus de retour des États membres. Outre les déploiements habituels, l’Agence prévoit des déploiements d’équipes composées à la fois de FRESO et de spécialistes des questions de retour dans les États membres. Cela permettrait d’adopter une approche plus coordonnée de l’appui à la procédure de retour à la frontière, avec une plus grande souplesse d’action. </w:t>
      </w:r>
    </w:p>
    <w:p w14:paraId="4EB23280" w14:textId="51529C23" w:rsidR="002A2F7A" w:rsidRPr="00423470" w:rsidRDefault="7FF1622D"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Au premier semestre de 2025, tous les États membres continuent de recourir activement au programme européen de réintégration conçu par Frontex, qui fournit actuellement une aide à la réintégration dans environ 40 pays d’origine. En réponse aux demandes des États membres, Frontex continue d’offrir à ces derniers un soutien ciblé au renforcement de leurs capacités afin d’harmoniser les conseils en matière de retour et de réintégration au moyen de formations classiques et de formations de formateurs.</w:t>
      </w:r>
    </w:p>
    <w:p w14:paraId="0B90372C" w14:textId="53F69C68" w:rsidR="008F6AA1" w:rsidRPr="00423470" w:rsidRDefault="00EB40B5"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Lors d’échanges avec les pays tiers, ainsi qu’à des occasions telles que les réunions des processus régionaux sur la migration, la Commission a fait part à ses partenaires des implications de la procédure de retour à la frontière et de la nécessité d’améliorer la coopération globale afin d’accroître l’efficacité des procédures et de respecter les délais. Les principaux éléments ont également été présentés à la conférence des ambassadeurs de l’UE de 2026.</w:t>
      </w:r>
    </w:p>
    <w:p w14:paraId="501D2CAE" w14:textId="36DB2A88" w:rsidR="008F6AA1" w:rsidRPr="00423470" w:rsidRDefault="30FB104F" w:rsidP="001B0372">
      <w:pPr>
        <w:spacing w:before="120" w:after="120" w:line="276" w:lineRule="auto"/>
        <w:jc w:val="both"/>
        <w:rPr>
          <w:rFonts w:ascii="Times New Roman" w:eastAsia="Calibri" w:hAnsi="Times New Roman" w:cs="Times New Roman"/>
          <w:b/>
          <w:noProof/>
          <w:sz w:val="24"/>
          <w:szCs w:val="24"/>
        </w:rPr>
      </w:pPr>
      <w:r>
        <w:rPr>
          <w:rFonts w:ascii="Times New Roman" w:hAnsi="Times New Roman"/>
          <w:b/>
          <w:noProof/>
          <w:sz w:val="24"/>
        </w:rPr>
        <w:t>Principaux défis et prochaines étapes</w:t>
      </w:r>
    </w:p>
    <w:p w14:paraId="0A48000E" w14:textId="7B0D4D95" w:rsidR="008F6AA1" w:rsidRPr="00423470" w:rsidRDefault="0910D062"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 xml:space="preserve">Le Parlement européen et le Conseil devraient rapidement parvenir à un accord sur la proposition de règlement sur le retour pour que les procédures gagnent en efficience et en efficacité. Par ailleurs, la Commission présentera cette année une proposition sur la numérisation de la gestion des dossiers dans le domaine du retour, de la réadmission et de la réintégration. </w:t>
      </w:r>
    </w:p>
    <w:p w14:paraId="0BF0B0DF" w14:textId="083DF664" w:rsidR="00437984" w:rsidRPr="00423470" w:rsidRDefault="5AD70141" w:rsidP="001B0372">
      <w:pPr>
        <w:spacing w:before="120" w:after="120" w:line="276" w:lineRule="auto"/>
        <w:jc w:val="both"/>
        <w:rPr>
          <w:rFonts w:ascii="Times New Roman" w:eastAsia="Calibri" w:hAnsi="Times New Roman" w:cs="Times New Roman"/>
          <w:noProof/>
          <w:sz w:val="24"/>
          <w:szCs w:val="24"/>
        </w:rPr>
      </w:pPr>
      <w:bookmarkStart w:id="4" w:name="_Hlk228283808"/>
      <w:r>
        <w:rPr>
          <w:rFonts w:ascii="Times New Roman" w:hAnsi="Times New Roman"/>
          <w:noProof/>
          <w:sz w:val="24"/>
        </w:rPr>
        <w:t>Les États membres devraient recourir davantage aux possibilités actuelles de soutien qu’offre Frontex en matière de retour</w:t>
      </w:r>
      <w:bookmarkEnd w:id="4"/>
      <w:r>
        <w:rPr>
          <w:rFonts w:ascii="Times New Roman" w:hAnsi="Times New Roman"/>
          <w:noProof/>
          <w:sz w:val="24"/>
        </w:rPr>
        <w:t xml:space="preserve">: à l’heure actuelle, seuls trois États membres recourent à ce type de soutien à plus de 60 %. La Commission et Frontex collaborent avec les États membres pour recenser les besoins opérationnels et trouver des solutions pratiques aux fins de la mise en œuvre de la procédure de retour à la frontière, notamment lors d’ateliers consacrés à ce sujet. Frontex continuera d’adapter son soutien aux États membres en fonction des résultats de son enquête annuelle. </w:t>
      </w:r>
    </w:p>
    <w:p w14:paraId="3113497D" w14:textId="4C85223B" w:rsidR="002C1373" w:rsidRPr="00423470" w:rsidRDefault="20A7AE1D" w:rsidP="001B0372">
      <w:pPr>
        <w:keepNext/>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Le retour et la réadmission demeurent des éléments essentiels de l’approche globale de la coopération en matière de migration avec les pays tiers. L’expérience montre que la mise en œuvre structurée de l’obligation de réadmettre ses propres ressortissants, selon des règles claires et convenues, favorise un dialogue régulier. L’accord de réadmission UE-Nigeria, qui a été récemment paraphé par les parties, va dans ce sens en établissant un cadre structuré de coopération. Il s’agit d’un élément crucial pour résoudre les problèmes concrets et trouver des solutions en s’appuyant sur une volonté politique de coopérer. Le bon fonctionnement de la coopération en matière de réadmission avec les pays tiers dont les ressortissants sont soumis à la procédure de retour à la frontière est une condition préalable indispensable au fonctionnement pratique des nouvelles procédures obligatoires à la frontière. Dans ce contexte, il est également essentiel d’assurer la coordination entre les délégations de l’UE et les ambassades des États membres afin qu’elles disposent d’informations adéquates et de capacités d’action suffisantes dans les pays tiers et que le retour et la réadmission soient intégrés dans l’ensemble plus large des intérêts de l’UE envers le pays tiers concerné.</w:t>
      </w:r>
    </w:p>
    <w:p w14:paraId="5F7D1D83" w14:textId="4863E5F9" w:rsidR="008F6AA1" w:rsidRPr="00423470" w:rsidRDefault="30FB104F" w:rsidP="00081061">
      <w:pPr>
        <w:pStyle w:val="ListParagraph"/>
        <w:keepNext/>
        <w:numPr>
          <w:ilvl w:val="1"/>
          <w:numId w:val="14"/>
        </w:numPr>
        <w:spacing w:before="360" w:after="120" w:line="276" w:lineRule="auto"/>
        <w:jc w:val="both"/>
        <w:outlineLvl w:val="0"/>
        <w:rPr>
          <w:rFonts w:ascii="Times New Roman" w:hAnsi="Times New Roman" w:cs="Times New Roman"/>
          <w:b/>
          <w:smallCaps/>
          <w:noProof/>
        </w:rPr>
      </w:pPr>
      <w:r>
        <w:rPr>
          <w:rFonts w:ascii="Times New Roman" w:hAnsi="Times New Roman"/>
          <w:b/>
          <w:smallCaps/>
          <w:noProof/>
        </w:rPr>
        <w:t xml:space="preserve">Élément constitutif 6 – Une responsabilité qui fonctionne </w:t>
      </w:r>
    </w:p>
    <w:p w14:paraId="708DACFA" w14:textId="673EBB86" w:rsidR="0078229A" w:rsidRPr="00423470" w:rsidRDefault="75683F18" w:rsidP="001B0372">
      <w:pPr>
        <w:spacing w:before="120" w:after="12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Le bon fonctionnement des règles de Dublin existantes et des nouvelles règles prévues par le règlement relatif à la gestion de l’asile et de la migration revêt une importance fondamentale pour le pacte. </w:t>
      </w:r>
      <w:r>
        <w:rPr>
          <w:rFonts w:ascii="Times New Roman" w:hAnsi="Times New Roman"/>
          <w:noProof/>
          <w:color w:val="000000" w:themeColor="text1"/>
          <w:sz w:val="24"/>
        </w:rPr>
        <w:t>Les règles de mise en œuvre du nouveau système de responsabilité ont été adoptées en octobre 2025</w:t>
      </w:r>
      <w:r w:rsidR="008A0FE7" w:rsidRPr="00423470">
        <w:rPr>
          <w:rStyle w:val="FootnoteReference"/>
          <w:rFonts w:ascii="Times New Roman" w:eastAsia="Times New Roman" w:hAnsi="Times New Roman" w:cs="Times New Roman"/>
          <w:noProof/>
          <w:color w:val="000000" w:themeColor="text1"/>
          <w:sz w:val="24"/>
          <w:szCs w:val="24"/>
          <w:lang w:val="en-GB"/>
        </w:rPr>
        <w:footnoteReference w:id="73"/>
      </w:r>
      <w:r>
        <w:rPr>
          <w:rFonts w:ascii="Times New Roman" w:hAnsi="Times New Roman"/>
          <w:noProof/>
          <w:color w:val="000000" w:themeColor="text1"/>
          <w:sz w:val="24"/>
        </w:rPr>
        <w:t xml:space="preserve">. </w:t>
      </w:r>
      <w:r>
        <w:rPr>
          <w:rFonts w:ascii="Times New Roman" w:hAnsi="Times New Roman"/>
          <w:noProof/>
          <w:sz w:val="24"/>
        </w:rPr>
        <w:t xml:space="preserve">Plusieurs États membres </w:t>
      </w:r>
      <w:r>
        <w:rPr>
          <w:rFonts w:ascii="Times New Roman" w:hAnsi="Times New Roman"/>
          <w:noProof/>
          <w:color w:val="000000" w:themeColor="text1"/>
          <w:sz w:val="24"/>
        </w:rPr>
        <w:t>renforcent</w:t>
      </w:r>
      <w:r>
        <w:rPr>
          <w:rFonts w:ascii="Times New Roman" w:hAnsi="Times New Roman"/>
          <w:noProof/>
          <w:sz w:val="24"/>
        </w:rPr>
        <w:t xml:space="preserve"> les capacités de leurs unités «Dublin» au moyen de nouveaux recrutements ou de transferts internes</w:t>
      </w:r>
      <w:r w:rsidR="0078229A" w:rsidRPr="00423470">
        <w:rPr>
          <w:rStyle w:val="FootnoteReference"/>
          <w:rFonts w:ascii="Times New Roman" w:eastAsia="Calibri" w:hAnsi="Times New Roman" w:cs="Times New Roman"/>
          <w:noProof/>
          <w:sz w:val="24"/>
          <w:szCs w:val="24"/>
          <w:lang w:val="en-GB"/>
        </w:rPr>
        <w:footnoteReference w:id="74"/>
      </w:r>
      <w:r>
        <w:rPr>
          <w:rFonts w:ascii="Times New Roman" w:hAnsi="Times New Roman"/>
          <w:noProof/>
          <w:sz w:val="24"/>
        </w:rPr>
        <w:t>. Les États membres prennent également d’autres mesures, parmi lesquelles la réorganisation interne, l’amélioration des systèmes informatiques et de gestion des dossiers, de nouvelles orientations et formations, l’amélioration des procédures pour les groupes vulnérables et les familles, la construction de nouvelles installations réservées aux personnes faisant l’objet d’un transfert et le renforcement des mesures d’accompagnement telles que les services de conseil</w:t>
      </w:r>
      <w:r w:rsidR="005B159A" w:rsidRPr="00423470">
        <w:rPr>
          <w:rStyle w:val="FootnoteReference"/>
          <w:rFonts w:ascii="Times New Roman" w:eastAsia="Calibri" w:hAnsi="Times New Roman" w:cs="Times New Roman"/>
          <w:noProof/>
          <w:sz w:val="24"/>
          <w:szCs w:val="24"/>
          <w:lang w:val="en-GB"/>
        </w:rPr>
        <w:footnoteReference w:id="75"/>
      </w:r>
      <w:r>
        <w:rPr>
          <w:rFonts w:ascii="Times New Roman" w:hAnsi="Times New Roman"/>
          <w:noProof/>
          <w:sz w:val="24"/>
        </w:rPr>
        <w:t>.</w:t>
      </w:r>
    </w:p>
    <w:p w14:paraId="4367F23A" w14:textId="17834EFB" w:rsidR="008A20E1" w:rsidRDefault="009613BA" w:rsidP="001B0372">
      <w:pPr>
        <w:spacing w:before="120" w:after="120" w:line="276" w:lineRule="auto"/>
        <w:jc w:val="both"/>
        <w:rPr>
          <w:rFonts w:ascii="Times New Roman" w:hAnsi="Times New Roman"/>
          <w:noProof/>
          <w:sz w:val="24"/>
        </w:rPr>
      </w:pPr>
      <w:r>
        <w:rPr>
          <w:rFonts w:ascii="Times New Roman" w:hAnsi="Times New Roman"/>
          <w:noProof/>
          <w:sz w:val="24"/>
        </w:rPr>
        <w:t>Le nouveau guide intitulé «Normes opérationnelles et indicateurs sur le règlement relatif à la gestion de l’asile et de la migration», adopté en mars 2026 par l’AUEA</w:t>
      </w:r>
      <w:r w:rsidR="00BD2956" w:rsidRPr="00423470">
        <w:rPr>
          <w:rStyle w:val="FootnoteReference"/>
          <w:rFonts w:ascii="Times New Roman" w:eastAsia="Times New Roman" w:hAnsi="Times New Roman" w:cs="Times New Roman"/>
          <w:noProof/>
          <w:sz w:val="24"/>
          <w:szCs w:val="24"/>
          <w:lang w:val="en-GB"/>
        </w:rPr>
        <w:footnoteReference w:id="76"/>
      </w:r>
      <w:r>
        <w:rPr>
          <w:rFonts w:ascii="Times New Roman" w:hAnsi="Times New Roman"/>
          <w:noProof/>
          <w:sz w:val="24"/>
        </w:rPr>
        <w:t xml:space="preserve"> et élaboré en collaboration avec les États membres, révise et met à jour intégralement les normes et indicateurs existants relatifs au règlement Dublin III</w:t>
      </w:r>
      <w:r w:rsidR="005C16DD" w:rsidRPr="00423470">
        <w:rPr>
          <w:rStyle w:val="FootnoteReference"/>
          <w:rFonts w:ascii="Times New Roman" w:eastAsia="Times New Roman" w:hAnsi="Times New Roman" w:cs="Times New Roman"/>
          <w:noProof/>
          <w:sz w:val="24"/>
          <w:szCs w:val="24"/>
          <w:lang w:val="en-GB"/>
        </w:rPr>
        <w:footnoteReference w:id="77"/>
      </w:r>
      <w:r>
        <w:rPr>
          <w:rFonts w:ascii="Times New Roman" w:hAnsi="Times New Roman"/>
          <w:noProof/>
          <w:sz w:val="24"/>
        </w:rPr>
        <w:t>. Ces normes opérationnelles et indicateurs fournissent aux États membres un soutien et des orientations dans la mise en œuvre du règlement relatif à la gestion de l’asile et de la migration, en mettant l’accent sur le mécanisme de détermination de l’État membre responsable de l’examen d’une demande de protection internationale, afin d’aider à l’instauration de procédures équitables et efficaces et de renforcer le régime d’asile européen commun. En complément de ces orientations, l’AUEA travaille à l’élaboration de nouvelles recommandations de solutions pratiques, notamment pour ce qui est d’organiser les transferts, d’assurer la coordination entre les parties prenantes concernées, de prévenir la fuite et de veiller à ce que les droits fondamentaux soient respectés tout au long de la procédure.</w:t>
      </w:r>
    </w:p>
    <w:p w14:paraId="2379BA25" w14:textId="77777777" w:rsidR="008A20E1" w:rsidRDefault="008A20E1">
      <w:pPr>
        <w:rPr>
          <w:rFonts w:ascii="Times New Roman" w:hAnsi="Times New Roman"/>
          <w:noProof/>
          <w:sz w:val="24"/>
        </w:rPr>
      </w:pPr>
      <w:r>
        <w:rPr>
          <w:rFonts w:ascii="Times New Roman" w:hAnsi="Times New Roman"/>
          <w:noProof/>
          <w:sz w:val="24"/>
        </w:rPr>
        <w:br w:type="page"/>
      </w:r>
    </w:p>
    <w:p w14:paraId="23D6C9EF" w14:textId="0DFBF651" w:rsidR="008F6AA1" w:rsidRPr="00423470" w:rsidRDefault="008F6AA1" w:rsidP="001B0372">
      <w:pPr>
        <w:spacing w:before="120" w:after="120" w:line="276" w:lineRule="auto"/>
        <w:jc w:val="both"/>
        <w:rPr>
          <w:rFonts w:ascii="Times New Roman" w:eastAsia="Calibri" w:hAnsi="Times New Roman" w:cs="Times New Roman"/>
          <w:b/>
          <w:noProof/>
          <w:sz w:val="24"/>
          <w:szCs w:val="24"/>
        </w:rPr>
      </w:pPr>
      <w:r>
        <w:rPr>
          <w:rFonts w:ascii="Times New Roman" w:hAnsi="Times New Roman"/>
          <w:b/>
          <w:noProof/>
          <w:sz w:val="24"/>
        </w:rPr>
        <w:t>Principaux défis et prochaines étapes</w:t>
      </w:r>
    </w:p>
    <w:p w14:paraId="0F0CC120" w14:textId="16252BFD" w:rsidR="002D747A" w:rsidRPr="00423470" w:rsidRDefault="7415F739" w:rsidP="001B0372">
      <w:pPr>
        <w:spacing w:before="120" w:after="120" w:line="276" w:lineRule="auto"/>
        <w:jc w:val="both"/>
        <w:rPr>
          <w:rFonts w:ascii="Times New Roman" w:eastAsia="Calibri" w:hAnsi="Times New Roman" w:cs="Times New Roman"/>
          <w:strike/>
          <w:noProof/>
          <w:color w:val="196B24" w:themeColor="accent3"/>
          <w:sz w:val="24"/>
          <w:szCs w:val="24"/>
        </w:rPr>
      </w:pPr>
      <w:r>
        <w:rPr>
          <w:rFonts w:ascii="Times New Roman" w:hAnsi="Times New Roman"/>
          <w:noProof/>
          <w:sz w:val="24"/>
        </w:rPr>
        <w:t>Afin d’assurer une transition durable du système de Dublin actuel aux nouvelles règles en matière de responsabilité, il convient d’accorder une attention particulière à la coopération opérationnelle entre les États membres. Ces derniers devraient participer activement à la facilitation des transferts et à la coopération sur les questions pratiques et logistiques.</w:t>
      </w:r>
      <w:r>
        <w:rPr>
          <w:rFonts w:ascii="Times New Roman" w:hAnsi="Times New Roman"/>
          <w:noProof/>
          <w:color w:val="196B24" w:themeColor="accent3"/>
          <w:sz w:val="24"/>
        </w:rPr>
        <w:t xml:space="preserve"> </w:t>
      </w:r>
      <w:r>
        <w:rPr>
          <w:rFonts w:ascii="Times New Roman" w:hAnsi="Times New Roman"/>
          <w:noProof/>
          <w:color w:val="000000" w:themeColor="text1"/>
          <w:sz w:val="24"/>
        </w:rPr>
        <w:t>Ils devaient notifier, au plus tard le 12 avril 2026, les lieux désignés où seront effectués les transferts de responsabilité</w:t>
      </w:r>
      <w:r w:rsidRPr="00423470">
        <w:rPr>
          <w:rStyle w:val="FootnoteReference"/>
          <w:rFonts w:ascii="Times New Roman" w:eastAsia="Times New Roman" w:hAnsi="Times New Roman" w:cs="Times New Roman"/>
          <w:noProof/>
          <w:color w:val="000000" w:themeColor="text1"/>
          <w:sz w:val="24"/>
          <w:szCs w:val="24"/>
          <w:lang w:val="en-GB"/>
        </w:rPr>
        <w:footnoteReference w:id="78"/>
      </w:r>
      <w:r>
        <w:rPr>
          <w:rFonts w:ascii="Times New Roman" w:hAnsi="Times New Roman"/>
          <w:noProof/>
          <w:color w:val="000000" w:themeColor="text1"/>
          <w:sz w:val="24"/>
        </w:rPr>
        <w:t xml:space="preserve">. Ces éléments sont </w:t>
      </w:r>
      <w:r>
        <w:rPr>
          <w:rFonts w:ascii="Times New Roman" w:hAnsi="Times New Roman"/>
          <w:noProof/>
          <w:sz w:val="24"/>
        </w:rPr>
        <w:t>essentiels</w:t>
      </w:r>
      <w:r>
        <w:rPr>
          <w:rFonts w:ascii="Times New Roman" w:hAnsi="Times New Roman"/>
          <w:noProof/>
          <w:color w:val="000000" w:themeColor="text1"/>
          <w:sz w:val="24"/>
        </w:rPr>
        <w:t xml:space="preserve"> pour assurer la transition vers le nouveau système de responsabilité. </w:t>
      </w:r>
      <w:r>
        <w:rPr>
          <w:rFonts w:ascii="Times New Roman" w:hAnsi="Times New Roman"/>
          <w:noProof/>
          <w:sz w:val="24"/>
        </w:rPr>
        <w:t>Si des réformes sont en cours, des pénuries de personnel subsistent dans certains États membres et doivent être résolues</w:t>
      </w:r>
      <w:r w:rsidR="002D747A" w:rsidRPr="00423470">
        <w:rPr>
          <w:rStyle w:val="FootnoteReference"/>
          <w:rFonts w:ascii="Times New Roman" w:eastAsia="Calibri" w:hAnsi="Times New Roman" w:cs="Times New Roman"/>
          <w:noProof/>
          <w:sz w:val="24"/>
          <w:szCs w:val="24"/>
          <w:lang w:val="en-GB"/>
        </w:rPr>
        <w:footnoteReference w:id="79"/>
      </w:r>
      <w:r>
        <w:rPr>
          <w:rFonts w:ascii="Times New Roman" w:hAnsi="Times New Roman"/>
          <w:noProof/>
          <w:sz w:val="24"/>
        </w:rPr>
        <w:t>.</w:t>
      </w:r>
    </w:p>
    <w:p w14:paraId="42761240" w14:textId="71CE308C" w:rsidR="002D747A" w:rsidRPr="00423470" w:rsidRDefault="7415F739" w:rsidP="001B0372">
      <w:pPr>
        <w:spacing w:before="120" w:after="12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La Commission</w:t>
      </w:r>
      <w:r>
        <w:rPr>
          <w:rFonts w:ascii="Times New Roman" w:hAnsi="Times New Roman"/>
          <w:noProof/>
          <w:sz w:val="24"/>
        </w:rPr>
        <w:t xml:space="preserve"> entretient un dialogue étroit avec les États membres afin de veiller à ce que les conditions soient réunies pour que les transferts puissent avoir lieu vers tous les États membres conformément aux nouvelles règles, dès que celles-ci commenceront à s’appliquer. La Commission </w:t>
      </w:r>
      <w:r>
        <w:rPr>
          <w:rFonts w:ascii="Times New Roman" w:hAnsi="Times New Roman"/>
          <w:noProof/>
          <w:color w:val="000000" w:themeColor="text1"/>
          <w:sz w:val="24"/>
        </w:rPr>
        <w:t>évaluera, au plus tard le 12 juillet, puis à nouveau avant le 15 octobre, si les pratiques actuelles eu égard aux règles de transfert applicables n’ont pas été corrigées et constituent dès lors des lacunes systémiques qui pourraient avoir de graves conséquences négatives sur le fonctionnement du règlement relatif à la gestion de l’asile et de la migration.</w:t>
      </w:r>
    </w:p>
    <w:p w14:paraId="71B7B8E3" w14:textId="1CD2B568" w:rsidR="00EF63C5" w:rsidRPr="00423470" w:rsidRDefault="009C43AB" w:rsidP="001B0372">
      <w:pPr>
        <w:spacing w:before="120" w:after="120" w:line="276" w:lineRule="auto"/>
        <w:jc w:val="both"/>
        <w:rPr>
          <w:rFonts w:ascii="Times New Roman" w:eastAsia="Aptos" w:hAnsi="Times New Roman" w:cs="Times New Roman"/>
          <w:noProof/>
          <w:sz w:val="24"/>
          <w:szCs w:val="24"/>
        </w:rPr>
      </w:pPr>
      <w:r>
        <w:rPr>
          <w:rFonts w:ascii="Times New Roman" w:hAnsi="Times New Roman"/>
          <w:noProof/>
          <w:sz w:val="24"/>
        </w:rPr>
        <w:t xml:space="preserve">La Commission parachèvera les actes délégués dont l’adoption est prévue par le </w:t>
      </w:r>
      <w:r>
        <w:rPr>
          <w:rFonts w:ascii="Times New Roman" w:hAnsi="Times New Roman"/>
          <w:noProof/>
          <w:color w:val="000000" w:themeColor="text1"/>
          <w:sz w:val="24"/>
        </w:rPr>
        <w:t>règlement relatif à la gestion de l’asile et de la migration</w:t>
      </w:r>
      <w:r>
        <w:rPr>
          <w:rFonts w:ascii="Times New Roman" w:hAnsi="Times New Roman"/>
          <w:noProof/>
          <w:sz w:val="24"/>
        </w:rPr>
        <w:t xml:space="preserve"> afin de faciliter l’application des règles concernant les mineurs non accompagnés et les personnes à charge et de déterminer notamment la responsabilité sur la base de ces critères. La mise à niveau de DubliNet se poursuit sur le fondement de la note conceptuelle élaborée par l’eu-LISA et la Commission et approuvée par les États membres en juin 2024. L’eu-LISA met également au point les modalités techniques et opérationnelles de la communication entre les États membres par l’intermédiaire de DubliNet. </w:t>
      </w:r>
    </w:p>
    <w:p w14:paraId="1114216B" w14:textId="207F358D" w:rsidR="008F6AA1" w:rsidRPr="00423470" w:rsidRDefault="008F6AA1" w:rsidP="00081061">
      <w:pPr>
        <w:pStyle w:val="ListParagraph"/>
        <w:keepNext/>
        <w:numPr>
          <w:ilvl w:val="1"/>
          <w:numId w:val="14"/>
        </w:numPr>
        <w:spacing w:before="360" w:after="120" w:line="276" w:lineRule="auto"/>
        <w:jc w:val="both"/>
        <w:outlineLvl w:val="0"/>
        <w:rPr>
          <w:rFonts w:ascii="Times New Roman" w:hAnsi="Times New Roman" w:cs="Times New Roman"/>
          <w:b/>
          <w:smallCaps/>
          <w:noProof/>
        </w:rPr>
      </w:pPr>
      <w:r>
        <w:rPr>
          <w:rFonts w:ascii="Times New Roman" w:hAnsi="Times New Roman"/>
          <w:b/>
          <w:smallCaps/>
          <w:noProof/>
        </w:rPr>
        <w:t xml:space="preserve">Élément constitutif 7 – Une solidarité qui fonctionne </w:t>
      </w:r>
    </w:p>
    <w:p w14:paraId="556F2411" w14:textId="4C88CDE1" w:rsidR="008F6AA1" w:rsidRPr="00423470" w:rsidRDefault="471DA467"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En novembre 2025, le premier cycle annuel de gestion de la migration a été lancé avec l’adoption du rapport européen annuel sur l’asile et la migration, qui évalue la situation migratoire dans l’Union et les États membres pour la période allant de juillet 2024 à juin 2025 et recense les tendances et évolutions potentielles pour l’année à venir</w:t>
      </w:r>
      <w:r w:rsidR="005744B7" w:rsidRPr="00423470">
        <w:rPr>
          <w:rStyle w:val="FootnoteReference"/>
          <w:rFonts w:ascii="Times New Roman" w:eastAsia="Times" w:hAnsi="Times New Roman" w:cs="Times New Roman"/>
          <w:noProof/>
          <w:sz w:val="24"/>
          <w:szCs w:val="24"/>
          <w:lang w:val="en-GB"/>
        </w:rPr>
        <w:footnoteReference w:id="80"/>
      </w:r>
      <w:r>
        <w:rPr>
          <w:rFonts w:ascii="Times New Roman" w:hAnsi="Times New Roman"/>
          <w:noProof/>
          <w:sz w:val="24"/>
        </w:rPr>
        <w:t>. S’appuyant sur les conclusions de ce rapport</w:t>
      </w:r>
      <w:r>
        <w:rPr>
          <w:rFonts w:ascii="Times New Roman" w:hAnsi="Times New Roman"/>
          <w:noProof/>
        </w:rPr>
        <w:t xml:space="preserve">, </w:t>
      </w:r>
      <w:r>
        <w:rPr>
          <w:rFonts w:ascii="Times New Roman" w:hAnsi="Times New Roman"/>
          <w:noProof/>
          <w:sz w:val="24"/>
        </w:rPr>
        <w:t>la Commission a adopté une décision d’exécution</w:t>
      </w:r>
      <w:r w:rsidR="00A07747" w:rsidRPr="00423470">
        <w:rPr>
          <w:rStyle w:val="FootnoteReference"/>
          <w:rFonts w:ascii="Times New Roman" w:eastAsia="Times" w:hAnsi="Times New Roman" w:cs="Times New Roman"/>
          <w:noProof/>
          <w:sz w:val="24"/>
          <w:szCs w:val="24"/>
          <w:lang w:val="en-GB"/>
        </w:rPr>
        <w:footnoteReference w:id="81"/>
      </w:r>
      <w:r>
        <w:rPr>
          <w:rFonts w:ascii="Times New Roman" w:hAnsi="Times New Roman"/>
          <w:noProof/>
          <w:sz w:val="24"/>
        </w:rPr>
        <w:t xml:space="preserve"> qui détermine les États membres soumis à une pression migratoire (Chypre, la Grèce, l’Italie et l’Espagne), ceux exposés à un risque de pression migratoire (la Belgique, la Bulgarie, l’Estonie, l’Allemagne, l’Irlande, la France, la Croatie, la Lettonie, la Lituanie, les Pays-Bas, la Pologne et la Finlande) et ceux confrontés à une situation migratoire importante (la Bulgarie, la Tchéquie, l’Estonie, la Croatie, l’Autriche et la Pologne). À la suite de la proposition d’acte d’exécution du Conseil présentée par la Commission établissant la réserve de solidarité, le Conseil a convoqué le forum de haut niveau de l’UE sur la solidarité, au sein duquel les États membres se sont engagés à apporter leurs contributions de solidarité</w:t>
      </w:r>
      <w:r w:rsidR="00A07747" w:rsidRPr="00423470">
        <w:rPr>
          <w:rStyle w:val="FootnoteReference"/>
          <w:rFonts w:ascii="Times New Roman" w:eastAsia="Calibri" w:hAnsi="Times New Roman" w:cs="Times New Roman"/>
          <w:noProof/>
          <w:sz w:val="24"/>
          <w:szCs w:val="24"/>
          <w:lang w:val="en-GB"/>
        </w:rPr>
        <w:footnoteReference w:id="82"/>
      </w:r>
      <w:r>
        <w:rPr>
          <w:rFonts w:ascii="Times New Roman" w:hAnsi="Times New Roman"/>
          <w:noProof/>
          <w:sz w:val="24"/>
        </w:rPr>
        <w:t>. Le Conseil a adopté sa décision d’exécution établissant la réserve annuelle de solidarité pour 2026 le 19 décembre 2025, avec un nombre de référence de 21 000 relocalisations ou autres formes de soutien au titre de la solidarité, ou 420 millions d’EUR de contributions financières</w:t>
      </w:r>
      <w:r w:rsidR="008F6AA1" w:rsidRPr="00423470">
        <w:rPr>
          <w:rFonts w:ascii="Times New Roman" w:eastAsia="Calibri" w:hAnsi="Times New Roman" w:cs="Times New Roman"/>
          <w:noProof/>
          <w:sz w:val="24"/>
          <w:szCs w:val="24"/>
          <w:vertAlign w:val="superscript"/>
        </w:rPr>
        <w:footnoteReference w:id="83"/>
      </w:r>
      <w:r>
        <w:rPr>
          <w:rFonts w:ascii="Times New Roman" w:hAnsi="Times New Roman"/>
          <w:noProof/>
          <w:sz w:val="24"/>
        </w:rPr>
        <w:t>. Le coordinateur de l’UE en matière de solidarité prépare actuellement la mise en œuvre opérationnelle de la réserve dans le cadre de la plateforme de solidarité</w:t>
      </w:r>
      <w:r w:rsidR="0050640F" w:rsidRPr="00423470">
        <w:rPr>
          <w:rStyle w:val="FootnoteReference"/>
          <w:rFonts w:ascii="Times New Roman" w:eastAsia="Calibri" w:hAnsi="Times New Roman" w:cs="Times New Roman"/>
          <w:noProof/>
          <w:sz w:val="24"/>
          <w:szCs w:val="24"/>
          <w:lang w:val="en-GB"/>
        </w:rPr>
        <w:footnoteReference w:id="84"/>
      </w:r>
      <w:r>
        <w:rPr>
          <w:rFonts w:ascii="Times New Roman" w:hAnsi="Times New Roman"/>
          <w:noProof/>
          <w:sz w:val="24"/>
        </w:rPr>
        <w:t xml:space="preserve">. </w:t>
      </w:r>
    </w:p>
    <w:p w14:paraId="0D0ECB9F" w14:textId="2C7B4468" w:rsidR="2D326743" w:rsidRPr="00423470" w:rsidRDefault="7F794873"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Le nouveau guide pratique de l’AUEA sur le mécanisme de solidarité, adopté en mars 2026</w:t>
      </w:r>
      <w:r w:rsidR="00925023" w:rsidRPr="00423470">
        <w:rPr>
          <w:rStyle w:val="FootnoteReference"/>
          <w:rFonts w:ascii="Times New Roman" w:eastAsia="Times New Roman" w:hAnsi="Times New Roman" w:cs="Times New Roman"/>
          <w:noProof/>
          <w:sz w:val="24"/>
          <w:szCs w:val="24"/>
          <w:lang w:val="en-GB"/>
        </w:rPr>
        <w:footnoteReference w:id="85"/>
      </w:r>
      <w:r>
        <w:rPr>
          <w:rFonts w:ascii="Times New Roman" w:hAnsi="Times New Roman"/>
          <w:noProof/>
          <w:sz w:val="24"/>
        </w:rPr>
        <w:t>, fournit des orientations sur la mise en œuvre pratique du mécanisme de solidarité par les autorités nationales, en particulier pour les relocalisations. Une deuxième partie sera consacrée aux compensations de responsabilité.</w:t>
      </w:r>
    </w:p>
    <w:p w14:paraId="652AC95B" w14:textId="60D67ADE" w:rsidR="008F6AA1" w:rsidRPr="00423470" w:rsidRDefault="008F6AA1" w:rsidP="001B0372">
      <w:pPr>
        <w:spacing w:before="120" w:after="120" w:line="276" w:lineRule="auto"/>
        <w:jc w:val="both"/>
        <w:rPr>
          <w:rFonts w:ascii="Times New Roman" w:eastAsia="Calibri" w:hAnsi="Times New Roman" w:cs="Times New Roman"/>
          <w:b/>
          <w:noProof/>
          <w:sz w:val="24"/>
          <w:szCs w:val="24"/>
        </w:rPr>
      </w:pPr>
      <w:r>
        <w:rPr>
          <w:rFonts w:ascii="Times New Roman" w:hAnsi="Times New Roman"/>
          <w:b/>
          <w:noProof/>
          <w:sz w:val="24"/>
        </w:rPr>
        <w:t>Principaux défis et prochaines étapes</w:t>
      </w:r>
    </w:p>
    <w:p w14:paraId="07578FCE" w14:textId="6678D2C1" w:rsidR="008E6B38" w:rsidRPr="00423470" w:rsidRDefault="00925023" w:rsidP="001B0372">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Les travaux sur la mise en œuvre de la première réserve de solidarité avancent bien, avec des échanges entre la Commission et tous les États membres. Le forum technique de l’UE sur la solidarité sera convoqué après la pleine entrée en application du pacte au mois de juin, afin de poursuivre la mise en œuvre opérationnelle du mécanisme de solidarité en s’appuyant sur la proposition du coordinateur en matière de solidarité relative à une répartition équilibrée et équitable de la réserve entre les États membres bénéficiaires. À cette fin, des échanges approfondis sont en cours avec tous les États membres au sein de la plateforme de solidarité, ainsi que dans un cadre bilatéral avec les États membres bénéficiaires et les États membres contributeurs. En outre, la Commission continuera d’œuvrer pour que tous les États membres contribuent à la réserve de solidarité. Pour mettre en œuvre cette dernière, il demeure essentiel qu’il n’y ait pas, au sein des États membres bénéficiaires, de lacunes systémiques eu égard aux règles en matière de responsabilité prévues par le règlement relatif à la gestion de l’asile et de la migration qui pourraient avoir de graves conséquences négatives pour le fonctionnement du système. Si de telles lacunes sont détectées, les États membres contributeurs ne seront pas tenus de mettre en œuvre leurs engagements.</w:t>
      </w:r>
    </w:p>
    <w:p w14:paraId="5C0B0D50" w14:textId="41E56885" w:rsidR="006E1A06" w:rsidRPr="00423470" w:rsidRDefault="5856C69A" w:rsidP="001B0372">
      <w:pPr>
        <w:spacing w:line="276" w:lineRule="auto"/>
        <w:jc w:val="both"/>
        <w:rPr>
          <w:rFonts w:ascii="Times New Roman" w:eastAsia="Times New Roman" w:hAnsi="Times New Roman" w:cs="Times New Roman"/>
          <w:noProof/>
          <w:color w:val="196B24" w:themeColor="accent3"/>
          <w:sz w:val="24"/>
          <w:szCs w:val="24"/>
        </w:rPr>
      </w:pPr>
      <w:r>
        <w:rPr>
          <w:rFonts w:ascii="Times New Roman" w:hAnsi="Times New Roman"/>
          <w:noProof/>
          <w:sz w:val="24"/>
        </w:rPr>
        <w:t>À la suite du lancement du premier cycle annuel de gestion de la migration, les données ont gagné en qualité et en exhaustivité. Toutefois, des efforts supplémentaires s’imposent pour le prochain cycle</w:t>
      </w:r>
      <w:r w:rsidR="008E6B38" w:rsidRPr="00423470">
        <w:rPr>
          <w:rStyle w:val="FootnoteReference"/>
          <w:rFonts w:ascii="Times New Roman" w:eastAsia="Times New Roman" w:hAnsi="Times New Roman" w:cs="Times New Roman"/>
          <w:noProof/>
          <w:sz w:val="24"/>
          <w:szCs w:val="24"/>
          <w:lang w:val="en-GB"/>
        </w:rPr>
        <w:footnoteReference w:id="86"/>
      </w:r>
      <w:r>
        <w:rPr>
          <w:rFonts w:ascii="Times New Roman" w:hAnsi="Times New Roman"/>
          <w:noProof/>
          <w:sz w:val="24"/>
        </w:rPr>
        <w:t>. Les États membres doivent veiller à ce que les données et informations quantitatives et qualitatives soient communiquées en temps utile aux organes et organismes compétents de l’UE, en particulier à l’AUEA, à Frontex et à Eurostat, comme le prévoit le règlement relatif à la gestion de l’asile et de la migration. Grâce aux travaux en cours visant à créer un nouveau modèle de flux de données, on devrait disposer d’un ensemble unique de statistiques européennes officielles sur la protection internationale</w:t>
      </w:r>
      <w:r w:rsidR="008E6B38" w:rsidRPr="00423470">
        <w:rPr>
          <w:rFonts w:ascii="Times New Roman" w:eastAsia="Times New Roman" w:hAnsi="Times New Roman" w:cs="Times New Roman"/>
          <w:noProof/>
          <w:sz w:val="24"/>
          <w:szCs w:val="24"/>
          <w:vertAlign w:val="superscript"/>
        </w:rPr>
        <w:footnoteReference w:id="87"/>
      </w:r>
      <w:r>
        <w:rPr>
          <w:rFonts w:ascii="Times New Roman" w:hAnsi="Times New Roman"/>
          <w:noProof/>
          <w:sz w:val="24"/>
        </w:rPr>
        <w:t>, ce qui permettrait à la Commission d’améliorer encore la qualité et l’exhaustivité de son évaluation chaque fois qu’elle détermine la situation migratoire dans les États membres.</w:t>
      </w:r>
    </w:p>
    <w:p w14:paraId="628B942D" w14:textId="1C5565DC" w:rsidR="008F6AA1" w:rsidRPr="00423470" w:rsidRDefault="008F6AA1" w:rsidP="001E58B3">
      <w:pPr>
        <w:pStyle w:val="ListParagraph"/>
        <w:keepNext/>
        <w:numPr>
          <w:ilvl w:val="1"/>
          <w:numId w:val="14"/>
        </w:numPr>
        <w:spacing w:before="360" w:after="120" w:line="276" w:lineRule="auto"/>
        <w:jc w:val="both"/>
        <w:outlineLvl w:val="0"/>
        <w:rPr>
          <w:rFonts w:ascii="Times New Roman" w:hAnsi="Times New Roman" w:cs="Times New Roman"/>
          <w:b/>
          <w:smallCaps/>
          <w:noProof/>
        </w:rPr>
      </w:pPr>
      <w:r>
        <w:rPr>
          <w:rFonts w:ascii="Times New Roman" w:hAnsi="Times New Roman"/>
          <w:b/>
          <w:smallCaps/>
          <w:noProof/>
        </w:rPr>
        <w:t xml:space="preserve">Élément constitutif 8 – Préparation et planification de mesures d’urgence </w:t>
      </w:r>
    </w:p>
    <w:p w14:paraId="08A5369F" w14:textId="06466A8B" w:rsidR="004E5586" w:rsidRPr="00423470" w:rsidRDefault="476DF7D0"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Les évolutions géopolitiques récentes, telles que celles concernant le Moyen-Orient, soulignent encore l’importance de la préparation et de la planification de mesures d’urgence. Comme l’ont indiqué les dirigeants européens dans les conclusions du Conseil européen de mars 2026</w:t>
      </w:r>
      <w:r w:rsidR="000C7E41" w:rsidRPr="00423470">
        <w:rPr>
          <w:rStyle w:val="FootnoteReference"/>
          <w:rFonts w:ascii="Times New Roman" w:eastAsia="Calibri" w:hAnsi="Times New Roman" w:cs="Times New Roman"/>
          <w:noProof/>
          <w:sz w:val="24"/>
          <w:szCs w:val="24"/>
          <w:lang w:val="en-GB"/>
        </w:rPr>
        <w:footnoteReference w:id="88"/>
      </w:r>
      <w:r>
        <w:rPr>
          <w:rFonts w:ascii="Times New Roman" w:hAnsi="Times New Roman"/>
          <w:noProof/>
          <w:sz w:val="24"/>
        </w:rPr>
        <w:t>, l’UE est prête à mobiliser pleinement ses outils diplomatiques, juridiques, opérationnels et financiers pour prévenir les mouvements migratoires incontrôlés vers l’UE et préserver la sécurité en Europe. La Commission et les agences compétentes de l’UE suivent de près l’évolution de la situation et ses éventuelles répercussions sur les flux migratoires, notamment au moyen d’alertes précoces, de prévisions et de la modélisation de scénarios, afin d’assurer la connaissance de la situation et de soutenir, s’il y a lieu, des réponses rapides et coordonnées. La Commission, conjointement avec l’AUEA et Frontex, collabore avec les États membres dans le cadre d’échanges à ce sujet afin d’examiner les scénarios possibles et la planification des mesures d’urgence aux frontières extérieures</w:t>
      </w:r>
      <w:r w:rsidR="000C7E41" w:rsidRPr="00423470">
        <w:rPr>
          <w:rStyle w:val="FootnoteReference"/>
          <w:rFonts w:ascii="Times New Roman" w:eastAsia="Calibri" w:hAnsi="Times New Roman" w:cs="Times New Roman"/>
          <w:noProof/>
          <w:sz w:val="24"/>
          <w:szCs w:val="24"/>
          <w:lang w:val="en-GB"/>
        </w:rPr>
        <w:footnoteReference w:id="89"/>
      </w:r>
      <w:r>
        <w:rPr>
          <w:rFonts w:ascii="Times New Roman" w:hAnsi="Times New Roman"/>
          <w:noProof/>
          <w:sz w:val="24"/>
        </w:rPr>
        <w:t xml:space="preserve"> et dans les domaines de l’asile et de l’accueil en cas d’augmentation des flux migratoires, et de recenser les domaines dans lesquels des mesures supplémentaires pourraient être nécessaires pour améliorer la préparation.</w:t>
      </w:r>
    </w:p>
    <w:p w14:paraId="4BB5FD22" w14:textId="62E9FF39" w:rsidR="00A40B13" w:rsidRDefault="1CE6F286" w:rsidP="001B0372">
      <w:pPr>
        <w:spacing w:before="120" w:after="120" w:line="276" w:lineRule="auto"/>
        <w:jc w:val="both"/>
        <w:rPr>
          <w:rFonts w:ascii="Times New Roman" w:hAnsi="Times New Roman"/>
          <w:noProof/>
          <w:sz w:val="24"/>
        </w:rPr>
      </w:pPr>
      <w:r>
        <w:rPr>
          <w:rFonts w:ascii="Times New Roman" w:hAnsi="Times New Roman"/>
          <w:noProof/>
          <w:sz w:val="24"/>
        </w:rPr>
        <w:t>À ce jour, tous les États membres, sauf un</w:t>
      </w:r>
      <w:r w:rsidR="00ED15D5" w:rsidRPr="00423470">
        <w:rPr>
          <w:rStyle w:val="FootnoteReference"/>
          <w:rFonts w:ascii="Times New Roman" w:eastAsia="Calibri" w:hAnsi="Times New Roman" w:cs="Times New Roman"/>
          <w:noProof/>
          <w:sz w:val="24"/>
          <w:szCs w:val="24"/>
          <w:lang w:val="en-GB"/>
        </w:rPr>
        <w:footnoteReference w:id="90"/>
      </w:r>
      <w:r>
        <w:rPr>
          <w:rFonts w:ascii="Times New Roman" w:hAnsi="Times New Roman"/>
          <w:noProof/>
          <w:sz w:val="24"/>
        </w:rPr>
        <w:t>, ont présenté leur plan d’urgence national à l’AUEA. Si la plupart des plans nationaux comportent les éléments essentiels du modèle élaboré par l’AUEA, certains sont plus complets que d’autres en ce qui concerne l’asile, l’accueil et les mineurs non accompagnés</w:t>
      </w:r>
      <w:r w:rsidR="000031EE" w:rsidRPr="00423470">
        <w:rPr>
          <w:rStyle w:val="FootnoteReference"/>
          <w:rFonts w:ascii="Times New Roman" w:eastAsia="Calibri" w:hAnsi="Times New Roman" w:cs="Times New Roman"/>
          <w:noProof/>
          <w:sz w:val="24"/>
          <w:szCs w:val="24"/>
          <w:lang w:val="en-GB"/>
        </w:rPr>
        <w:footnoteReference w:id="91"/>
      </w:r>
      <w:r>
        <w:rPr>
          <w:rFonts w:ascii="Times New Roman" w:hAnsi="Times New Roman"/>
          <w:noProof/>
          <w:sz w:val="24"/>
        </w:rPr>
        <w:t>. Pour donner suite au précédent état des lieux de la mise en œuvre du pacte, certains États membres sont déjà en train de réviser ou de compléter leur plan d’urgence</w:t>
      </w:r>
      <w:r w:rsidR="00027553" w:rsidRPr="00423470">
        <w:rPr>
          <w:rStyle w:val="FootnoteReference"/>
          <w:rFonts w:ascii="Times New Roman" w:hAnsi="Times New Roman" w:cs="Times New Roman"/>
          <w:noProof/>
          <w:sz w:val="24"/>
          <w:szCs w:val="24"/>
          <w:lang w:val="en-GB"/>
        </w:rPr>
        <w:footnoteReference w:id="92"/>
      </w:r>
      <w:r>
        <w:rPr>
          <w:rFonts w:ascii="Times New Roman" w:hAnsi="Times New Roman"/>
          <w:noProof/>
          <w:sz w:val="24"/>
        </w:rPr>
        <w:t>. Quelques États membres</w:t>
      </w:r>
      <w:r w:rsidR="00041E01" w:rsidRPr="00423470">
        <w:rPr>
          <w:rStyle w:val="FootnoteReference"/>
          <w:rFonts w:ascii="Times New Roman" w:eastAsia="Calibri" w:hAnsi="Times New Roman" w:cs="Times New Roman"/>
          <w:noProof/>
          <w:sz w:val="24"/>
          <w:szCs w:val="24"/>
          <w:lang w:val="en-GB"/>
        </w:rPr>
        <w:footnoteReference w:id="93"/>
      </w:r>
      <w:r>
        <w:rPr>
          <w:rFonts w:ascii="Times New Roman" w:hAnsi="Times New Roman"/>
          <w:noProof/>
          <w:sz w:val="24"/>
        </w:rPr>
        <w:t xml:space="preserve"> ont également fait état d’exercices d’essai et de simulation récents, ou prévus, de leur plan d’urgence. </w:t>
      </w:r>
    </w:p>
    <w:p w14:paraId="6EC4A046" w14:textId="77777777" w:rsidR="008A20E1" w:rsidRDefault="008A20E1">
      <w:pPr>
        <w:rPr>
          <w:rFonts w:ascii="Times New Roman" w:eastAsia="Calibri" w:hAnsi="Times New Roman" w:cs="Times New Roman"/>
          <w:b/>
          <w:noProof/>
          <w:sz w:val="24"/>
          <w:szCs w:val="24"/>
        </w:rPr>
      </w:pPr>
      <w:r>
        <w:rPr>
          <w:rFonts w:ascii="Times New Roman" w:eastAsia="Calibri" w:hAnsi="Times New Roman" w:cs="Times New Roman"/>
          <w:b/>
          <w:noProof/>
          <w:sz w:val="24"/>
          <w:szCs w:val="24"/>
        </w:rPr>
        <w:br w:type="page"/>
      </w:r>
    </w:p>
    <w:p w14:paraId="40527946" w14:textId="3CFDC6E9" w:rsidR="008F6AA1" w:rsidRPr="00423470" w:rsidRDefault="008F6AA1" w:rsidP="001B0372">
      <w:pPr>
        <w:spacing w:before="120" w:after="120" w:line="276" w:lineRule="auto"/>
        <w:jc w:val="both"/>
        <w:rPr>
          <w:rFonts w:ascii="Times New Roman" w:eastAsia="Calibri" w:hAnsi="Times New Roman" w:cs="Times New Roman"/>
          <w:b/>
          <w:noProof/>
          <w:sz w:val="24"/>
          <w:szCs w:val="24"/>
        </w:rPr>
      </w:pPr>
      <w:r>
        <w:rPr>
          <w:rFonts w:ascii="Times New Roman" w:hAnsi="Times New Roman"/>
          <w:b/>
          <w:noProof/>
          <w:sz w:val="24"/>
        </w:rPr>
        <w:t>Principaux défis et prochaines étapes</w:t>
      </w:r>
    </w:p>
    <w:p w14:paraId="2E562E89" w14:textId="638DA6FD" w:rsidR="00741A3F" w:rsidRPr="00423470" w:rsidRDefault="5EC15800"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Dans l’ensemble, le niveau de préparation dans l’Union et dans les États membres bénéficie des effets de la mise en œuvre des nouvelles dispositions du pacte. La Commission et l’AUEA continuent de collaborer avec les États membres pour recenser les bonnes pratiques et les domaines devant être renforcés dans les plans, y compris dans le cadre du plan de préparation et de gestion de crise en matière de migration. En particulier, des domaines tels que les procédures d’asile ainsi que la désignation et la charge de travail des représentants des mineurs non accompagnés gagneraient à être améliorés et clarifiés. En outre, dans certains cas, il est difficile de déterminer si des mesures de préparation (par exemple, la préparation de la logistique et de la passation de marchés, la constitution de stocks, la formation ou la capacité d’accueil tampon) sont déjà en place ou prévues. La définition de seuils et d’indicateurs mesurables pour différents scénarios et mesures de réaction améliorerait l’efficacité des plans d’urgence. Des procédures d’activation et de réexamen bien définies contribueraient également à les renforcer.</w:t>
      </w:r>
    </w:p>
    <w:p w14:paraId="09C8A56C" w14:textId="3F50F221" w:rsidR="370576DE" w:rsidRPr="00423470" w:rsidRDefault="370576DE"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La Commission invite les États membres à veiller à ce que leur plan soit, s’il y a lieu, complété, affiné ou mis à jour, adopté et notifié à l’AUEA une fois révisé. En outre, les États membres sont encouragés à prendre des mesures appropriées de renforcement des capacités et à planifier des activités pour tester leur plan d’urgence (par exemple, simulations, exercices sur table ou autres mécanismes de test de résistance). Les États membres seront également tenus de notifier, à partir du 12 juin 2026, l’activation du plan d’urgence à la Commission et à l’AUEA, ou plus tôt si l’État membre a transposé et commencé à appliquer la directive relative aux conditions d’accueil avant cette date</w:t>
      </w:r>
      <w:r w:rsidRPr="00423470">
        <w:rPr>
          <w:rStyle w:val="FootnoteReference"/>
          <w:rFonts w:ascii="Times New Roman" w:eastAsia="Calibri" w:hAnsi="Times New Roman" w:cs="Times New Roman"/>
          <w:noProof/>
          <w:sz w:val="24"/>
          <w:szCs w:val="24"/>
          <w:lang w:val="en-GB"/>
        </w:rPr>
        <w:footnoteReference w:id="94"/>
      </w:r>
      <w:r>
        <w:rPr>
          <w:rFonts w:ascii="Times New Roman" w:hAnsi="Times New Roman"/>
          <w:noProof/>
          <w:sz w:val="24"/>
        </w:rPr>
        <w:t>.</w:t>
      </w:r>
    </w:p>
    <w:p w14:paraId="3161CC43" w14:textId="3C066EEB" w:rsidR="00F11C48" w:rsidRPr="00423470" w:rsidRDefault="0E32B491" w:rsidP="001B0372">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L’AUEA apporte un soutien technique aux États membres sous la forme d’un retour d’information structuré et d’activités ciblées, sur demande. Jusqu’à présent, neuf États membres ont bénéficié d’un retour d’information sur leur plan d’urgence national</w:t>
      </w:r>
      <w:r w:rsidR="00F11C48" w:rsidRPr="00423470">
        <w:rPr>
          <w:rStyle w:val="FootnoteReference"/>
          <w:rFonts w:ascii="Times New Roman" w:eastAsia="Calibri" w:hAnsi="Times New Roman" w:cs="Times New Roman"/>
          <w:noProof/>
          <w:sz w:val="24"/>
          <w:szCs w:val="24"/>
          <w:lang w:val="en-GB"/>
        </w:rPr>
        <w:footnoteReference w:id="95"/>
      </w:r>
      <w:r>
        <w:rPr>
          <w:rFonts w:ascii="Times New Roman" w:hAnsi="Times New Roman"/>
          <w:noProof/>
          <w:sz w:val="24"/>
        </w:rPr>
        <w:t>. L’AUEA a commencé à élaborer, avec le concours de la Commission, des États membres et de Frontex, un guide pratique sur la méthode de planification des mesures d’urgence</w:t>
      </w:r>
      <w:bookmarkStart w:id="6" w:name="_Hlk228286192"/>
      <w:r>
        <w:rPr>
          <w:rFonts w:ascii="Times New Roman" w:hAnsi="Times New Roman"/>
          <w:noProof/>
          <w:sz w:val="24"/>
        </w:rPr>
        <w:t>, qui devrait être achevé en 2027</w:t>
      </w:r>
      <w:bookmarkEnd w:id="6"/>
      <w:r>
        <w:rPr>
          <w:rFonts w:ascii="Times New Roman" w:hAnsi="Times New Roman"/>
          <w:noProof/>
          <w:sz w:val="24"/>
        </w:rPr>
        <w:t>. Ce guide pratique vise à fournir aux États membres des orientations structurées, pratiques et opérationnelles afin de les soutenir dans la révision de leur plan d’urgence national. La planification de mesures d’urgence en matière d’accueil et d’asile sera évaluée dans le cadre du programme pluriannuel de surveillance de l’AUEA. La surveillance à grande échelle débutera en juin 2026 à la suite de l’adoption de la méthode de surveillance révisée, trois États membres, la Slovaquie, Malte et la Bulgarie faisant l’objet d’une surveillance la première année et cinq États membres en moyenne les années suivantes.</w:t>
      </w:r>
    </w:p>
    <w:p w14:paraId="1BDA3884" w14:textId="564139BA" w:rsidR="008F6AA1" w:rsidRPr="00423470" w:rsidRDefault="008F6AA1" w:rsidP="001E58B3">
      <w:pPr>
        <w:pStyle w:val="ListParagraph"/>
        <w:keepNext/>
        <w:numPr>
          <w:ilvl w:val="1"/>
          <w:numId w:val="14"/>
        </w:numPr>
        <w:spacing w:before="360" w:after="120" w:line="276" w:lineRule="auto"/>
        <w:jc w:val="both"/>
        <w:outlineLvl w:val="0"/>
        <w:rPr>
          <w:rFonts w:ascii="Times New Roman" w:hAnsi="Times New Roman" w:cs="Times New Roman"/>
          <w:b/>
          <w:smallCaps/>
          <w:noProof/>
        </w:rPr>
      </w:pPr>
      <w:r>
        <w:rPr>
          <w:rFonts w:ascii="Times New Roman" w:hAnsi="Times New Roman"/>
          <w:b/>
          <w:smallCaps/>
          <w:noProof/>
        </w:rPr>
        <w:t>Élément constitutif 9 – De nouvelles mesures de protection pour les demandeurs de protection internationale et les personnes vulnérables et un contrôle accru du respect des droits fondamentaux</w:t>
      </w:r>
    </w:p>
    <w:p w14:paraId="61E40FC5" w14:textId="53AA7AC6" w:rsidR="000D051D" w:rsidRPr="00423470" w:rsidRDefault="505C826A" w:rsidP="001B0372">
      <w:pPr>
        <w:spacing w:before="120" w:after="12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Les travaux progressent en ce qui concerne les arrangements relatifs aux avis juridiques et au contrôle du respect des droits fondamentaux. Presque tous les États membres sont sur le point de conclure des arrangements visant à garantir la fourniture d’avis juridiques gratuits au stade administratif de la procédure, bien qu’un tiers des États membres doive encore mener à bien les modifications législatives nécessaires</w:t>
      </w:r>
      <w:r w:rsidR="3B2C560E" w:rsidRPr="00423470">
        <w:rPr>
          <w:rStyle w:val="FootnoteReference"/>
          <w:rFonts w:ascii="Times New Roman" w:eastAsia="Aptos" w:hAnsi="Times New Roman" w:cs="Times New Roman"/>
          <w:noProof/>
          <w:sz w:val="24"/>
          <w:szCs w:val="24"/>
          <w:lang w:val="en-GB"/>
        </w:rPr>
        <w:footnoteReference w:id="96"/>
      </w:r>
      <w:r>
        <w:rPr>
          <w:rFonts w:ascii="Times New Roman" w:hAnsi="Times New Roman"/>
          <w:noProof/>
          <w:sz w:val="24"/>
        </w:rPr>
        <w:t>. Sur le plan opérationnel, une majorité d’États membres a choisi de travailler avec différents partenaires extérieurs, des agences indépendantes et/ou des avocats/des associations d’aide juridictionnelle ou des ONG</w:t>
      </w:r>
      <w:r w:rsidR="3B2C560E" w:rsidRPr="00423470">
        <w:rPr>
          <w:rStyle w:val="FootnoteReference"/>
          <w:rFonts w:ascii="Times New Roman" w:eastAsia="Aptos" w:hAnsi="Times New Roman" w:cs="Times New Roman"/>
          <w:noProof/>
          <w:sz w:val="24"/>
          <w:szCs w:val="24"/>
          <w:lang w:val="en-GB"/>
        </w:rPr>
        <w:footnoteReference w:id="97"/>
      </w:r>
      <w:r>
        <w:rPr>
          <w:rFonts w:ascii="Times New Roman" w:hAnsi="Times New Roman"/>
          <w:noProof/>
          <w:sz w:val="24"/>
        </w:rPr>
        <w:t xml:space="preserve">, soit en poursuivant les arrangements existants, soit en en introduisant de nouveaux. </w:t>
      </w:r>
      <w:bookmarkStart w:id="7" w:name="_Hlk228287246"/>
      <w:r>
        <w:rPr>
          <w:rFonts w:ascii="Times New Roman" w:hAnsi="Times New Roman"/>
          <w:noProof/>
          <w:sz w:val="24"/>
        </w:rPr>
        <w:t>Tous les États membres, à quelques rares exceptions près, concluent également leurs arrangements relatifs au mécanisme de contrôle du respect des droits fondamentaux dans le cadre des procédures à la frontière, souvent avec leurs médiateurs nationaux</w:t>
      </w:r>
      <w:r w:rsidR="3B2C560E" w:rsidRPr="00423470">
        <w:rPr>
          <w:rStyle w:val="FootnoteReference"/>
          <w:rFonts w:ascii="Times New Roman" w:eastAsia="Aptos" w:hAnsi="Times New Roman" w:cs="Times New Roman"/>
          <w:noProof/>
          <w:sz w:val="24"/>
          <w:szCs w:val="24"/>
          <w:lang w:val="en-GB"/>
        </w:rPr>
        <w:footnoteReference w:id="98"/>
      </w:r>
      <w:bookmarkEnd w:id="7"/>
      <w:r>
        <w:rPr>
          <w:rFonts w:ascii="Times New Roman" w:hAnsi="Times New Roman"/>
          <w:noProof/>
          <w:sz w:val="24"/>
        </w:rPr>
        <w:t xml:space="preserve">. </w:t>
      </w:r>
    </w:p>
    <w:p w14:paraId="7007DCD7" w14:textId="443A30C5" w:rsidR="000D051D" w:rsidRPr="00423470" w:rsidRDefault="1B1162D2" w:rsidP="001B0372">
      <w:pPr>
        <w:spacing w:before="120" w:after="12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Dans le prolongement de ses orientations antérieures</w:t>
      </w:r>
      <w:r w:rsidR="00CA235C" w:rsidRPr="00423470">
        <w:rPr>
          <w:rStyle w:val="FootnoteReference"/>
          <w:rFonts w:ascii="Times New Roman" w:eastAsiaTheme="minorEastAsia" w:hAnsi="Times New Roman" w:cs="Times New Roman"/>
          <w:noProof/>
          <w:sz w:val="24"/>
          <w:szCs w:val="24"/>
          <w:lang w:val="en-GB"/>
        </w:rPr>
        <w:footnoteReference w:id="99"/>
      </w:r>
      <w:r>
        <w:rPr>
          <w:rFonts w:ascii="Times New Roman" w:hAnsi="Times New Roman"/>
          <w:noProof/>
          <w:sz w:val="24"/>
        </w:rPr>
        <w:t>, la FRA a mis au point un outil de contrôle pratique définissant une méthodologie commune pour les mécanismes de contrôle. En avril 2026, elle a également organisé des ateliers de sensibilisation à l’intention du personnel de contrôle dans plusieurs États membres</w:t>
      </w:r>
      <w:r w:rsidR="00F76165" w:rsidRPr="00423470">
        <w:rPr>
          <w:rStyle w:val="FootnoteReference"/>
          <w:rFonts w:ascii="Times New Roman" w:eastAsiaTheme="minorEastAsia" w:hAnsi="Times New Roman" w:cs="Times New Roman"/>
          <w:noProof/>
          <w:sz w:val="24"/>
          <w:szCs w:val="24"/>
          <w:lang w:val="en-GB"/>
        </w:rPr>
        <w:footnoteReference w:id="100"/>
      </w:r>
      <w:r>
        <w:rPr>
          <w:rFonts w:ascii="Times New Roman" w:hAnsi="Times New Roman"/>
          <w:noProof/>
          <w:sz w:val="24"/>
        </w:rPr>
        <w:t xml:space="preserve"> et a publié un rapport</w:t>
      </w:r>
      <w:r w:rsidR="00CA235C" w:rsidRPr="00423470">
        <w:rPr>
          <w:rStyle w:val="FootnoteReference"/>
          <w:rFonts w:ascii="Times New Roman" w:eastAsiaTheme="minorEastAsia" w:hAnsi="Times New Roman" w:cs="Times New Roman"/>
          <w:noProof/>
          <w:sz w:val="24"/>
          <w:szCs w:val="24"/>
          <w:lang w:val="en-GB"/>
        </w:rPr>
        <w:footnoteReference w:id="101"/>
      </w:r>
      <w:r>
        <w:rPr>
          <w:rFonts w:ascii="Times New Roman" w:hAnsi="Times New Roman"/>
          <w:noProof/>
          <w:sz w:val="24"/>
        </w:rPr>
        <w:t xml:space="preserve"> présentant les enseignements tirés de son travail opérationnel en Grèce et en Italie pour guider la mise en œuvre du pacte dans le respect de la charte des droits fondamentaux de l’UE.</w:t>
      </w:r>
      <w:r>
        <w:rPr>
          <w:rFonts w:ascii="Times New Roman" w:hAnsi="Times New Roman"/>
          <w:noProof/>
          <w:color w:val="000000" w:themeColor="text1"/>
          <w:sz w:val="24"/>
        </w:rPr>
        <w:t xml:space="preserve"> L’AUEA, quant à elle, a publié un guide pratique sur les avis juridiques gratuits devant être dispensés au cours de la phase administrative de la procédure d’asile</w:t>
      </w:r>
      <w:r w:rsidR="000D051D" w:rsidRPr="00423470">
        <w:rPr>
          <w:rStyle w:val="FootnoteReference"/>
          <w:rFonts w:ascii="Times New Roman" w:eastAsia="Times New Roman" w:hAnsi="Times New Roman" w:cs="Times New Roman"/>
          <w:noProof/>
          <w:color w:val="000000" w:themeColor="text1"/>
          <w:sz w:val="24"/>
          <w:szCs w:val="24"/>
          <w:lang w:val="en-GB"/>
        </w:rPr>
        <w:footnoteReference w:id="102"/>
      </w:r>
      <w:r>
        <w:rPr>
          <w:rFonts w:ascii="Times New Roman" w:hAnsi="Times New Roman"/>
          <w:noProof/>
          <w:color w:val="000000" w:themeColor="text1"/>
          <w:sz w:val="24"/>
        </w:rPr>
        <w:t>.</w:t>
      </w:r>
    </w:p>
    <w:p w14:paraId="671EA035" w14:textId="126BE97F" w:rsidR="00225E9E" w:rsidRPr="00423470" w:rsidRDefault="505C826A" w:rsidP="001B0372">
      <w:pPr>
        <w:spacing w:before="120" w:after="12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En ce qui concerne les enfants, les États membres s’attachent principalement à assurer des conditions d’accueil appropriées et à réviser les procédures d’évaluation de l’âge afin de s’adapter aux nouvelles règles introduites par le règlement sur les procédures d’asile, en particulier à l’obligation d’appliquer une approche pluridisciplinaire associant des groupes de professionnels qualifiés</w:t>
      </w:r>
      <w:r w:rsidR="008911D9" w:rsidRPr="00423470">
        <w:rPr>
          <w:rStyle w:val="FootnoteReference"/>
          <w:rFonts w:ascii="Times New Roman" w:eastAsia="Times New Roman" w:hAnsi="Times New Roman" w:cs="Times New Roman"/>
          <w:noProof/>
          <w:sz w:val="24"/>
          <w:szCs w:val="24"/>
          <w:lang w:val="en-GB"/>
        </w:rPr>
        <w:footnoteReference w:id="103"/>
      </w:r>
      <w:r>
        <w:rPr>
          <w:rFonts w:ascii="Times New Roman" w:hAnsi="Times New Roman"/>
          <w:noProof/>
          <w:color w:val="000000" w:themeColor="text1"/>
          <w:sz w:val="24"/>
        </w:rPr>
        <w:t>.</w:t>
      </w:r>
      <w:r>
        <w:rPr>
          <w:rFonts w:ascii="Times New Roman" w:hAnsi="Times New Roman"/>
          <w:noProof/>
          <w:sz w:val="24"/>
        </w:rPr>
        <w:t xml:space="preserve"> </w:t>
      </w:r>
      <w:r>
        <w:rPr>
          <w:rFonts w:ascii="Times New Roman" w:hAnsi="Times New Roman"/>
          <w:noProof/>
          <w:color w:val="000000" w:themeColor="text1"/>
          <w:sz w:val="24"/>
        </w:rPr>
        <w:t xml:space="preserve">Les dispositions spécifiques et les garanties concrètes relatives aux enfants, y compris les mineurs non accompagnés, ont été examinées en dernier lieu lors de la réunion annuelle du groupe d’experts spécialisé en la matière en novembre 2025 et lors de la réunion du groupe «Asile» en mars 2026. Le module de formation de l’AUEA sur les enfants dans le cadre de la procédure d’asile a fait l’objet d’une révision en octobre 2025. </w:t>
      </w:r>
      <w:bookmarkStart w:id="8" w:name="_Hlk228288629"/>
      <w:r>
        <w:rPr>
          <w:rFonts w:ascii="Times New Roman" w:hAnsi="Times New Roman"/>
          <w:noProof/>
          <w:color w:val="000000" w:themeColor="text1"/>
          <w:sz w:val="24"/>
        </w:rPr>
        <w:t>Le guide pratique sur l’évaluation de l’âge</w:t>
      </w:r>
      <w:r w:rsidR="00225E9E" w:rsidRPr="00423470">
        <w:rPr>
          <w:rStyle w:val="FootnoteReference"/>
          <w:rFonts w:ascii="Times New Roman" w:eastAsia="Times New Roman" w:hAnsi="Times New Roman" w:cs="Times New Roman"/>
          <w:noProof/>
          <w:color w:val="000000" w:themeColor="text1"/>
          <w:sz w:val="24"/>
          <w:szCs w:val="24"/>
          <w:lang w:val="en-GB"/>
        </w:rPr>
        <w:footnoteReference w:id="104"/>
      </w:r>
      <w:bookmarkEnd w:id="8"/>
      <w:r>
        <w:rPr>
          <w:rFonts w:ascii="Times New Roman" w:hAnsi="Times New Roman"/>
          <w:noProof/>
          <w:color w:val="000000" w:themeColor="text1"/>
          <w:sz w:val="24"/>
        </w:rPr>
        <w:t xml:space="preserve"> fournit des orientations complètes pour aider les autorités et les professionnels intervenant dans l’évaluation de l’âge lorsqu’il existe une incertitude quant à l’âge revendiqué. L’AUEA a également publié en mars 2026 un </w:t>
      </w:r>
      <w:bookmarkStart w:id="9" w:name="_Hlk228288567"/>
      <w:r>
        <w:rPr>
          <w:rFonts w:ascii="Times New Roman" w:hAnsi="Times New Roman"/>
          <w:noProof/>
          <w:color w:val="000000" w:themeColor="text1"/>
          <w:sz w:val="24"/>
        </w:rPr>
        <w:t>rapport sur les pratiques en matière d’évaluation de l’âge</w:t>
      </w:r>
      <w:bookmarkEnd w:id="9"/>
      <w:r w:rsidR="00CA235C" w:rsidRPr="00423470">
        <w:rPr>
          <w:rStyle w:val="FootnoteReference"/>
          <w:rFonts w:ascii="Times New Roman" w:eastAsia="Times New Roman" w:hAnsi="Times New Roman" w:cs="Times New Roman"/>
          <w:noProof/>
          <w:color w:val="000000" w:themeColor="text1"/>
          <w:sz w:val="24"/>
          <w:szCs w:val="24"/>
          <w:lang w:val="en-GB"/>
        </w:rPr>
        <w:footnoteReference w:id="105"/>
      </w:r>
      <w:r>
        <w:rPr>
          <w:rFonts w:ascii="Times New Roman" w:hAnsi="Times New Roman"/>
          <w:noProof/>
          <w:color w:val="000000" w:themeColor="text1"/>
          <w:sz w:val="24"/>
        </w:rPr>
        <w:t>. Ce rapport recense les pratiques, méthodes, garanties et rôles en la matière dans l’UE+ en 2025, couvre également les ajustements prévus ou en cours en vue de la mise en œuvre du pacte et met en évidence des tendances et les pratiques prometteuses. Le guide pratique sur l’intérêt supérieur de l’enfant a été adopté par le conseil d’administration de l’AUEA en mars</w:t>
      </w:r>
      <w:r w:rsidR="00225E9E" w:rsidRPr="00423470">
        <w:rPr>
          <w:rStyle w:val="FootnoteReference"/>
          <w:rFonts w:ascii="Times New Roman" w:eastAsia="Times New Roman" w:hAnsi="Times New Roman" w:cs="Times New Roman"/>
          <w:noProof/>
          <w:color w:val="000000" w:themeColor="text1"/>
          <w:sz w:val="24"/>
          <w:szCs w:val="24"/>
          <w:lang w:val="en-GB"/>
        </w:rPr>
        <w:footnoteReference w:id="106"/>
      </w:r>
      <w:r>
        <w:rPr>
          <w:rFonts w:ascii="Times New Roman" w:hAnsi="Times New Roman"/>
          <w:noProof/>
          <w:color w:val="000000" w:themeColor="text1"/>
          <w:sz w:val="24"/>
        </w:rPr>
        <w:t>. La FRA met actuellement à jour le manuel de 2014 sur les enfants privés de soins parentaux</w:t>
      </w:r>
      <w:r w:rsidR="00225E9E" w:rsidRPr="00423470">
        <w:rPr>
          <w:rStyle w:val="FootnoteReference"/>
          <w:rFonts w:ascii="Times New Roman" w:eastAsia="Times New Roman" w:hAnsi="Times New Roman" w:cs="Times New Roman"/>
          <w:noProof/>
          <w:color w:val="000000" w:themeColor="text1"/>
          <w:sz w:val="24"/>
          <w:szCs w:val="24"/>
          <w:lang w:val="en-GB"/>
        </w:rPr>
        <w:footnoteReference w:id="107"/>
      </w:r>
      <w:r>
        <w:rPr>
          <w:rFonts w:ascii="Times New Roman" w:hAnsi="Times New Roman"/>
          <w:noProof/>
          <w:color w:val="000000" w:themeColor="text1"/>
          <w:sz w:val="24"/>
        </w:rPr>
        <w:t>.</w:t>
      </w:r>
    </w:p>
    <w:p w14:paraId="2D40C83A" w14:textId="64E8494C" w:rsidR="008F6AA1" w:rsidRPr="00423470" w:rsidRDefault="7D6BE689" w:rsidP="001B0372">
      <w:pPr>
        <w:spacing w:before="120" w:after="12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Afin de recenser les vulnérabilités, l’AUEA a révisé, respectivement en novembre 2025 et en février 2026, les modules de formation relatifs aux victimes de violence fondée sur le genre et aux demandeurs ayant des orientations sexuelles, des identités de genre, des expressions de genre et des caractéristiques sexuelles diverses. La nouvelle boîte à outils de filtrage comprend également une annexe sur la manière de réaliser les contrôles de vulnérabilité préliminaires, pour laquelle une formation sur mesure a été mise à disposition</w:t>
      </w:r>
      <w:r w:rsidR="2A2E36B0" w:rsidRPr="00423470">
        <w:rPr>
          <w:rStyle w:val="FootnoteReference"/>
          <w:rFonts w:ascii="Times New Roman" w:eastAsia="Times New Roman" w:hAnsi="Times New Roman" w:cs="Times New Roman"/>
          <w:noProof/>
          <w:color w:val="000000" w:themeColor="text1"/>
          <w:sz w:val="24"/>
          <w:szCs w:val="24"/>
          <w:lang w:val="en-GB"/>
        </w:rPr>
        <w:footnoteReference w:id="108"/>
      </w:r>
      <w:r>
        <w:rPr>
          <w:rFonts w:ascii="Times New Roman" w:hAnsi="Times New Roman"/>
          <w:noProof/>
          <w:color w:val="000000" w:themeColor="text1"/>
          <w:sz w:val="24"/>
        </w:rPr>
        <w:t>. En ce qui concerne les retours, Frontex, en collaboration avec d’autres parties prenantes, met actuellement au point une application mobile pour travailler avec les groupes vulnérables, comprenant également un contrôle de vulnérabilité.</w:t>
      </w:r>
    </w:p>
    <w:p w14:paraId="05B8F961" w14:textId="2A019C67" w:rsidR="008F6AA1" w:rsidRPr="00423470" w:rsidRDefault="008F6AA1" w:rsidP="001B0372">
      <w:pPr>
        <w:spacing w:before="120" w:after="120" w:line="276" w:lineRule="auto"/>
        <w:jc w:val="both"/>
        <w:rPr>
          <w:rFonts w:ascii="Times New Roman" w:eastAsia="Calibri" w:hAnsi="Times New Roman" w:cs="Times New Roman"/>
          <w:b/>
          <w:bCs/>
          <w:noProof/>
          <w:sz w:val="24"/>
          <w:szCs w:val="24"/>
        </w:rPr>
      </w:pPr>
      <w:r>
        <w:rPr>
          <w:rFonts w:ascii="Times New Roman" w:hAnsi="Times New Roman"/>
          <w:b/>
          <w:noProof/>
          <w:sz w:val="24"/>
        </w:rPr>
        <w:t>Principaux défis et prochaines étapes</w:t>
      </w:r>
    </w:p>
    <w:p w14:paraId="37330908" w14:textId="1AD9D3C4" w:rsidR="359609CA" w:rsidRPr="00423470" w:rsidRDefault="753BD175" w:rsidP="001B0372">
      <w:pPr>
        <w:spacing w:before="120" w:after="12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Les États membres qui n’ont pas encore défini d’arrangements pour la fourniture d’avis juridiques gratuits au stade administratif</w:t>
      </w:r>
      <w:r w:rsidR="359609CA" w:rsidRPr="00423470">
        <w:rPr>
          <w:rStyle w:val="FootnoteReference"/>
          <w:rFonts w:ascii="Times New Roman" w:eastAsia="Times New Roman" w:hAnsi="Times New Roman" w:cs="Times New Roman"/>
          <w:noProof/>
          <w:color w:val="000000" w:themeColor="text1"/>
          <w:sz w:val="24"/>
          <w:szCs w:val="24"/>
          <w:lang w:val="en-GB"/>
        </w:rPr>
        <w:footnoteReference w:id="109"/>
      </w:r>
      <w:r>
        <w:rPr>
          <w:rFonts w:ascii="Times New Roman" w:hAnsi="Times New Roman"/>
          <w:noProof/>
          <w:color w:val="000000" w:themeColor="text1"/>
          <w:sz w:val="24"/>
        </w:rPr>
        <w:t xml:space="preserve"> ou pour le mécanisme de contrôle du respect des droits fondamentaux dans le cadre de la procédure à la frontière</w:t>
      </w:r>
      <w:r w:rsidR="359609CA" w:rsidRPr="00423470">
        <w:rPr>
          <w:rStyle w:val="FootnoteReference"/>
          <w:rFonts w:ascii="Times New Roman" w:eastAsia="Times New Roman" w:hAnsi="Times New Roman" w:cs="Times New Roman"/>
          <w:noProof/>
          <w:color w:val="000000" w:themeColor="text1"/>
          <w:sz w:val="24"/>
          <w:szCs w:val="24"/>
          <w:lang w:val="en-GB"/>
        </w:rPr>
        <w:footnoteReference w:id="110"/>
      </w:r>
      <w:r>
        <w:rPr>
          <w:rFonts w:ascii="Times New Roman" w:hAnsi="Times New Roman"/>
          <w:noProof/>
          <w:color w:val="000000" w:themeColor="text1"/>
          <w:sz w:val="24"/>
        </w:rPr>
        <w:t xml:space="preserve"> devraient le faire dès que possible. Tous les États membres devraient régler toute question en suspens concernant la mise à disposition d’un financement, d’une dotation en personnel et d’une formation adéquats, et définir clairement les responsabilités à cet égard et l’obligation de rendre compte (lorsque ce rôle est réparti entre plusieurs acteurs, un acteur principal clair devrait être désigné). Dans le prolongement de ses orientations de décembre 2024 sur la mise en place du mécanisme de contrôle, la FRA élabore actuellement des orientations méthodologiques pour faciliter le travail des futurs contrôleurs. </w:t>
      </w:r>
    </w:p>
    <w:p w14:paraId="566C2D44" w14:textId="538DA7ED" w:rsidR="008F6AA1" w:rsidRPr="00423470" w:rsidRDefault="30FB104F" w:rsidP="001B0372">
      <w:pPr>
        <w:spacing w:before="120" w:after="12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Les États membres devraient redoubler d’efforts pour renforcer le système de tutelle afin d’assurer une désignation en temps utile et un nombre suffisant de représentants disponibles pour les mineurs non accompagnés, le respect des droits de l’enfant, y compris l’accès à l’éducation et aux soins de santé, ainsi que des garanties pour les enfants en ce qui concerne l’accueil, les procédures à la frontière et la rétention. Dans le système de nombreux États membres, cela nécessite de s’adresser à différents acteurs et autorités, tels que les services de protection de l’enfance. De même, les États membres doivent intensifier leurs préparatifs afin de pouvoir mettre en œuvre une approche pluridisciplinaire de l’évaluation de l’âge, y compris aux frontières.</w:t>
      </w:r>
    </w:p>
    <w:p w14:paraId="56809914" w14:textId="4DA0B127" w:rsidR="30FB104F" w:rsidRPr="00423470" w:rsidRDefault="30FB104F" w:rsidP="001E58B3">
      <w:pPr>
        <w:pStyle w:val="ListParagraph"/>
        <w:keepNext/>
        <w:numPr>
          <w:ilvl w:val="1"/>
          <w:numId w:val="14"/>
        </w:numPr>
        <w:spacing w:before="360" w:after="120" w:line="276" w:lineRule="auto"/>
        <w:jc w:val="both"/>
        <w:outlineLvl w:val="0"/>
        <w:rPr>
          <w:rFonts w:ascii="Times New Roman" w:eastAsia="Times New Roman" w:hAnsi="Times New Roman" w:cs="Times New Roman"/>
          <w:b/>
          <w:bCs/>
          <w:noProof/>
          <w:sz w:val="24"/>
          <w:szCs w:val="24"/>
        </w:rPr>
      </w:pPr>
      <w:r>
        <w:rPr>
          <w:rFonts w:ascii="Times New Roman" w:hAnsi="Times New Roman"/>
          <w:b/>
          <w:smallCaps/>
          <w:noProof/>
        </w:rPr>
        <w:t>Élément constitutif 10 - Réinstallation, inclusion et intégration</w:t>
      </w:r>
    </w:p>
    <w:p w14:paraId="2F9C0624" w14:textId="4D5F461E" w:rsidR="009D554E" w:rsidRPr="00423470" w:rsidRDefault="32D08D82"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Le plan biennal de l’Union pour la réinstallation et l’admission humanitaire pour la période 2026-2027, adopté le 18 décembre 2025 par le Conseil</w:t>
      </w:r>
      <w:r w:rsidR="4035DAE8" w:rsidRPr="00423470">
        <w:rPr>
          <w:rStyle w:val="FootnoteReference"/>
          <w:rFonts w:ascii="Times New Roman" w:eastAsia="Times New Roman" w:hAnsi="Times New Roman" w:cs="Times New Roman"/>
          <w:noProof/>
          <w:sz w:val="24"/>
          <w:szCs w:val="24"/>
          <w:lang w:val="en-GB"/>
        </w:rPr>
        <w:footnoteReference w:id="111"/>
      </w:r>
      <w:r>
        <w:rPr>
          <w:rFonts w:ascii="Times New Roman" w:hAnsi="Times New Roman"/>
          <w:noProof/>
          <w:sz w:val="24"/>
        </w:rPr>
        <w:t xml:space="preserve">, définit le premier cycle biennal d’efforts coordonnés de l’Union en matière de réinstallation et d’admission humanitaire. Sur la base des engagements volontaires pris par neuf États membres, ce plan prévoit 10 430 voies sûres et légales pour les personnes ayant besoin d’une protection internationale au cours de cette période de deux ans, renforçant ainsi la coopération avec les principaux pays tiers accueillant des populations déplacées. Ce plan, élaboré en concertation avec le haut-comité pour la réinstallation et l’admission humanitaire, en tenant compte des contributions des États membres et de l’évaluation des besoins mondiaux réalisée par le HCR, est entré en vigueur le 11 janvier 2026. À l’appui de la mise en œuvre du plan, l’AUEA a achevé la mise à jour de ses modules de formation sur les voies complémentaires et sur la phase de sélection dans le contexte de la réinstallation et de l’admission humanitaire. </w:t>
      </w:r>
    </w:p>
    <w:p w14:paraId="2DDC3835" w14:textId="2A00AD86" w:rsidR="385B4F18" w:rsidRPr="00423470" w:rsidRDefault="385B4F18"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Les voies légales d’accès avec les pays tiers contribuent également à une gestion efficace de la migration et à l’intégration des migrants. La stratégie en matière de visas</w:t>
      </w:r>
      <w:r w:rsidRPr="00423470">
        <w:rPr>
          <w:rStyle w:val="FootnoteReference"/>
          <w:rFonts w:ascii="Times New Roman" w:eastAsia="Times New Roman" w:hAnsi="Times New Roman" w:cs="Times New Roman"/>
          <w:noProof/>
          <w:sz w:val="24"/>
          <w:szCs w:val="24"/>
          <w:lang w:val="en-GB"/>
        </w:rPr>
        <w:footnoteReference w:id="112"/>
      </w:r>
      <w:r>
        <w:rPr>
          <w:rFonts w:ascii="Times New Roman" w:hAnsi="Times New Roman"/>
          <w:noProof/>
          <w:sz w:val="24"/>
        </w:rPr>
        <w:t xml:space="preserve"> et la recommandation visant à attirer les talents pour favoriser l’innovation</w:t>
      </w:r>
      <w:r w:rsidRPr="00423470">
        <w:rPr>
          <w:rStyle w:val="FootnoteReference"/>
          <w:rFonts w:ascii="Times New Roman" w:eastAsia="Times New Roman" w:hAnsi="Times New Roman" w:cs="Times New Roman"/>
          <w:noProof/>
          <w:sz w:val="24"/>
          <w:szCs w:val="24"/>
          <w:lang w:val="en-GB"/>
        </w:rPr>
        <w:footnoteReference w:id="113"/>
      </w:r>
      <w:r>
        <w:rPr>
          <w:rFonts w:ascii="Times New Roman" w:hAnsi="Times New Roman"/>
          <w:noProof/>
          <w:sz w:val="24"/>
        </w:rPr>
        <w:t>, de janvier 2026, définissent un nouveau cadre pour la politique des visas et formulent des recommandations visant à rendre l’Union plus attrayante pour les professionnels hautement qualifiés, les étudiants, les chercheurs et les entrepreneurs innovants afin de soutenir la compétitivité de l’Union à l’échelle mondiale. La Commission a également lancé la plateforme visant à attirer les talents pour favoriser l’innovation en organisant une première réunion en mars 2026 et une deuxième en juin 2026.</w:t>
      </w:r>
    </w:p>
    <w:p w14:paraId="74835698" w14:textId="076DDCAC" w:rsidR="6531DB3B" w:rsidRPr="00423470" w:rsidRDefault="324B6125" w:rsidP="001B0372">
      <w:pPr>
        <w:spacing w:before="120" w:after="120" w:line="276" w:lineRule="auto"/>
        <w:jc w:val="both"/>
        <w:rPr>
          <w:noProof/>
        </w:rPr>
      </w:pPr>
      <w:r>
        <w:rPr>
          <w:rFonts w:ascii="Times New Roman" w:hAnsi="Times New Roman"/>
          <w:noProof/>
          <w:color w:val="000000" w:themeColor="text1"/>
          <w:sz w:val="24"/>
        </w:rPr>
        <w:t>Dans leur plan national de mise en œuvre, plusieurs États membres ont souligné la nécessité d’investir davantage dans de nouvelles mesures d’intégration ou d’appuyer davantage ces mesures, y compris l’intégration linguistique et civique, et de soutenir l’intégration sur le marché du travail en facilitant la reconnaissance des qualifications et la validation des compétences. Ils s’y emploient actuellement, plusieurs d’entre eux recensant et évaluant de nouveaux besoins et déployant des réformes</w:t>
      </w:r>
      <w:r w:rsidR="00F83FC5" w:rsidRPr="00423470">
        <w:rPr>
          <w:rFonts w:ascii="Times New Roman" w:eastAsia="Calibri" w:hAnsi="Times New Roman" w:cs="Times New Roman"/>
          <w:noProof/>
          <w:color w:val="000000" w:themeColor="text1"/>
          <w:sz w:val="24"/>
          <w:szCs w:val="24"/>
          <w:vertAlign w:val="superscript"/>
        </w:rPr>
        <w:footnoteReference w:id="114"/>
      </w:r>
      <w:r>
        <w:rPr>
          <w:rFonts w:ascii="Times New Roman" w:hAnsi="Times New Roman"/>
          <w:noProof/>
          <w:color w:val="000000" w:themeColor="text1"/>
          <w:sz w:val="24"/>
        </w:rPr>
        <w:t>. Depuis novembre 2025, un autre État membre a adopté une stratégie d’intégration plus large</w:t>
      </w:r>
      <w:r w:rsidR="00F83FC5" w:rsidRPr="00423470">
        <w:rPr>
          <w:rFonts w:ascii="Times New Roman" w:eastAsia="Calibri" w:hAnsi="Times New Roman" w:cs="Times New Roman"/>
          <w:noProof/>
          <w:color w:val="000000" w:themeColor="text1"/>
          <w:sz w:val="24"/>
          <w:szCs w:val="24"/>
          <w:vertAlign w:val="superscript"/>
        </w:rPr>
        <w:footnoteReference w:id="115"/>
      </w:r>
      <w:r>
        <w:rPr>
          <w:rFonts w:ascii="Times New Roman" w:hAnsi="Times New Roman"/>
          <w:noProof/>
          <w:color w:val="000000" w:themeColor="text1"/>
          <w:sz w:val="24"/>
        </w:rPr>
        <w:t>. Certains États membres concentrent leurs efforts sur des aspects particuliers de l’intégration, tels que les cours de langue ou la formation civique, ou mettent au point des outils informatiques propres à l’intégration</w:t>
      </w:r>
      <w:r w:rsidR="00F83FC5" w:rsidRPr="00423470">
        <w:rPr>
          <w:rFonts w:ascii="Times New Roman" w:eastAsia="Calibri" w:hAnsi="Times New Roman" w:cs="Times New Roman"/>
          <w:noProof/>
          <w:color w:val="000000" w:themeColor="text1"/>
          <w:sz w:val="24"/>
          <w:szCs w:val="24"/>
          <w:vertAlign w:val="superscript"/>
        </w:rPr>
        <w:footnoteReference w:id="116"/>
      </w:r>
      <w:r>
        <w:rPr>
          <w:rFonts w:ascii="Times New Roman" w:hAnsi="Times New Roman"/>
          <w:noProof/>
          <w:color w:val="000000" w:themeColor="text1"/>
          <w:sz w:val="24"/>
        </w:rPr>
        <w:t xml:space="preserve">. La réunion du réseau européen pour l’intégration de décembre 2025 a principalement porté sur les difficultés rencontrées et les bonnes pratiques adoptées pour que les migrants confrontés à de multiples obstacles à l’intégration sur le marché du travail (par exemple, les demandeurs et les bénéficiaires de protection internationale, les femmes migrantes en situation de grande vulnérabilité) puissent accéder rapidement et durablement à l’emploi et à la formation professionnelle et professionnalisante. </w:t>
      </w:r>
    </w:p>
    <w:p w14:paraId="3CA6661D" w14:textId="7D7D9AC8" w:rsidR="008F6AA1" w:rsidRPr="00423470" w:rsidRDefault="008F6AA1" w:rsidP="001B0372">
      <w:pPr>
        <w:spacing w:before="120" w:after="120" w:line="276" w:lineRule="auto"/>
        <w:jc w:val="both"/>
        <w:rPr>
          <w:rFonts w:ascii="Times New Roman" w:eastAsia="Calibri" w:hAnsi="Times New Roman" w:cs="Times New Roman"/>
          <w:b/>
          <w:noProof/>
          <w:sz w:val="24"/>
          <w:szCs w:val="24"/>
        </w:rPr>
      </w:pPr>
      <w:r>
        <w:rPr>
          <w:rFonts w:ascii="Times New Roman" w:hAnsi="Times New Roman"/>
          <w:b/>
          <w:noProof/>
          <w:sz w:val="24"/>
        </w:rPr>
        <w:t>Principaux défis et prochaines étapes</w:t>
      </w:r>
    </w:p>
    <w:p w14:paraId="56A8374F" w14:textId="47C6DD6C" w:rsidR="008F6AA1" w:rsidRPr="00423470" w:rsidRDefault="00D30EBD"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 xml:space="preserve">L’accent est mis à présent sur la mise en œuvre du plan de l’Union pour la réinstallation et l’admission humanitaire 2026-2027. La Commission est disposée à aider les États membres à cette fin. Le haut-comité pour la réinstallation et l’admission humanitaire sera convoqué après l’été 2026 pour échanger avec les États membres et les parties prenantes concernées sur la mise en œuvre dudit plan. </w:t>
      </w:r>
    </w:p>
    <w:p w14:paraId="5FCDEB7A" w14:textId="33295177" w:rsidR="008F6AA1" w:rsidRPr="00423470" w:rsidRDefault="74D744E1" w:rsidP="001B0372">
      <w:pPr>
        <w:spacing w:before="120" w:after="120" w:line="276" w:lineRule="auto"/>
        <w:jc w:val="both"/>
        <w:rPr>
          <w:rFonts w:ascii="Times New Roman" w:eastAsia="Calibri" w:hAnsi="Times New Roman" w:cs="Times New Roman"/>
          <w:noProof/>
          <w:sz w:val="24"/>
          <w:szCs w:val="24"/>
        </w:rPr>
      </w:pPr>
      <w:r>
        <w:rPr>
          <w:rFonts w:ascii="Times New Roman" w:hAnsi="Times New Roman"/>
          <w:noProof/>
          <w:sz w:val="24"/>
        </w:rPr>
        <w:t>Les mesures de soutien à l’intégration varient encore considérablement d’un État membre à l’autre quant à leur portée et leur qualité. Plusieurs États membres doivent redoubler d’efforts pour combler les lacunes dans l’accès à l’offre de mesures d’intégration gratuites</w:t>
      </w:r>
      <w:r w:rsidR="00FF5321" w:rsidRPr="00423470">
        <w:rPr>
          <w:rStyle w:val="FootnoteReference"/>
          <w:rFonts w:ascii="Times New Roman" w:eastAsia="Calibri" w:hAnsi="Times New Roman" w:cs="Times New Roman"/>
          <w:noProof/>
          <w:sz w:val="24"/>
          <w:szCs w:val="24"/>
          <w:lang w:val="en-GB"/>
        </w:rPr>
        <w:footnoteReference w:id="117"/>
      </w:r>
      <w:r>
        <w:rPr>
          <w:rFonts w:ascii="Times New Roman" w:hAnsi="Times New Roman"/>
          <w:noProof/>
          <w:sz w:val="24"/>
        </w:rPr>
        <w:t>, notamment les cours de langue et d’éducation civique, qui ne sont pas encore disponibles dans tous les États membres; en matière de soutien à l’intégration sur le marché du travail, y compris la formation professionnelle et les services proposés par les agences pour l’emploi; et en matière d’accès aux procédures de reconnaissance des qualifications et de validation des compétences. Il importe de passer de mesures ponctuelles, fondées sur des projets, à un soutien à l’intégration qui soit structurel</w:t>
      </w:r>
      <w:r w:rsidR="008B6C35" w:rsidRPr="00423470">
        <w:rPr>
          <w:rStyle w:val="FootnoteReference"/>
          <w:rFonts w:ascii="Times New Roman" w:eastAsia="Calibri" w:hAnsi="Times New Roman" w:cs="Times New Roman"/>
          <w:noProof/>
          <w:sz w:val="24"/>
          <w:szCs w:val="24"/>
          <w:lang w:val="en-GB"/>
        </w:rPr>
        <w:footnoteReference w:id="118"/>
      </w:r>
      <w:r>
        <w:rPr>
          <w:rFonts w:ascii="Times New Roman" w:hAnsi="Times New Roman"/>
          <w:noProof/>
          <w:sz w:val="24"/>
        </w:rPr>
        <w:t xml:space="preserve"> et à un suivi des engagements sous la forme de mesures claires</w:t>
      </w:r>
      <w:r w:rsidR="00E60874" w:rsidRPr="00423470">
        <w:rPr>
          <w:rStyle w:val="FootnoteReference"/>
          <w:rFonts w:ascii="Times New Roman" w:eastAsia="Calibri" w:hAnsi="Times New Roman" w:cs="Times New Roman"/>
          <w:noProof/>
          <w:sz w:val="24"/>
          <w:szCs w:val="24"/>
          <w:lang w:val="en-GB"/>
        </w:rPr>
        <w:footnoteReference w:id="119"/>
      </w:r>
      <w:r>
        <w:rPr>
          <w:rFonts w:ascii="Times New Roman" w:hAnsi="Times New Roman"/>
          <w:noProof/>
          <w:sz w:val="24"/>
        </w:rPr>
        <w:t>. Afin d’accroître l’efficacité de leur soutien, les États membres devraient promouvoir une transition en douceur entre les mesures d’intégration précoce en faveur des demandeurs de protection internationale et les mesures en faveur des bénéficiaires d’une telle protection. Ils devraient également prendre des mesures adaptées aux besoins spécifiques et supprimer les obstacles pour les femmes et les enfants ou des groupes particuliers tels que les personnes ayant des besoins en matière de santé mentale</w:t>
      </w:r>
      <w:r w:rsidR="00D42DB7" w:rsidRPr="00423470">
        <w:rPr>
          <w:rStyle w:val="FootnoteReference"/>
          <w:rFonts w:ascii="Times New Roman" w:eastAsia="Calibri" w:hAnsi="Times New Roman" w:cs="Times New Roman"/>
          <w:noProof/>
          <w:sz w:val="24"/>
          <w:szCs w:val="24"/>
          <w:lang w:val="en-GB"/>
        </w:rPr>
        <w:footnoteReference w:id="120"/>
      </w:r>
      <w:r>
        <w:rPr>
          <w:rFonts w:ascii="Times New Roman" w:hAnsi="Times New Roman"/>
          <w:noProof/>
          <w:sz w:val="24"/>
        </w:rPr>
        <w:t>. La Commission est prête à continuer d’aider les États membres à utiliser au mieux les fonds d’intégration de l’UE tels que le FAMI, le Fonds social européen plus (FSE+) et le Fonds européen de développement régional, y compris par l’échange de bonnes pratiques</w:t>
      </w:r>
      <w:r w:rsidR="00E10CF8" w:rsidRPr="00423470">
        <w:rPr>
          <w:rStyle w:val="FootnoteReference"/>
          <w:rFonts w:ascii="Times New Roman" w:eastAsia="Calibri" w:hAnsi="Times New Roman" w:cs="Times New Roman"/>
          <w:noProof/>
          <w:sz w:val="24"/>
          <w:szCs w:val="24"/>
          <w:lang w:val="en-GB"/>
        </w:rPr>
        <w:footnoteReference w:id="121"/>
      </w:r>
      <w:r>
        <w:rPr>
          <w:rFonts w:ascii="Times New Roman" w:hAnsi="Times New Roman"/>
          <w:noProof/>
          <w:sz w:val="24"/>
        </w:rPr>
        <w:t>.</w:t>
      </w:r>
    </w:p>
    <w:p w14:paraId="167F85AE" w14:textId="78E6E49A" w:rsidR="006950CD" w:rsidRPr="00423470" w:rsidRDefault="008F6AA1" w:rsidP="001B0372">
      <w:pPr>
        <w:pStyle w:val="ListParagraph"/>
        <w:keepNext/>
        <w:numPr>
          <w:ilvl w:val="0"/>
          <w:numId w:val="14"/>
        </w:numPr>
        <w:spacing w:before="360" w:after="120" w:line="276" w:lineRule="auto"/>
        <w:jc w:val="both"/>
        <w:outlineLvl w:val="0"/>
        <w:rPr>
          <w:rFonts w:ascii="Times New Roman" w:eastAsia="Times New Roman" w:hAnsi="Times New Roman" w:cs="Times New Roman"/>
          <w:b/>
          <w:smallCaps/>
          <w:noProof/>
          <w:sz w:val="24"/>
          <w:szCs w:val="24"/>
        </w:rPr>
      </w:pPr>
      <w:r>
        <w:rPr>
          <w:rFonts w:ascii="Times New Roman" w:hAnsi="Times New Roman"/>
          <w:b/>
          <w:smallCaps/>
          <w:noProof/>
          <w:sz w:val="24"/>
        </w:rPr>
        <w:t>Conclusion</w:t>
      </w:r>
    </w:p>
    <w:p w14:paraId="74FCA636" w14:textId="6279EDC5" w:rsidR="003E79FC" w:rsidRPr="00423470" w:rsidRDefault="5E16565C"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Les progrès déjà accomplis par les États membres, les institutions et agences de l’UE et les autres parties prenantes au cours de la période de transition qui a conduit à la pleine application du pacte en juin sont considérables. Toutefois, pour une tâche d’une telle ampleur et d’une telle complexité impliquant de nombreux acteurs tant internes qu’externes, des défis demeurent inévitablement. Nous sommes à un stade où les États membres doivent faire progresser les réformes nationales et donner la priorité à la mise en place des nouvelles procédures et infrastructures nécessaires au fonctionnement du pacte. En particulier, le nouveau système Eurodac, le filtrage et les procédures obligatoires à la frontière, les mesures visant à appliquer les nouvelles règles en matière de responsabilité et les adaptations nécessaires des législations nationales doivent être en place en juin. Il est temps à présent de combler les lacunes qui subsistent. La Commission et les agences de l’UE restent déterminées à aider les États membres à mettre en œuvre le nouveau cadre avec succès et dans les délais.</w:t>
      </w:r>
    </w:p>
    <w:p w14:paraId="1019270A" w14:textId="7B0EEB85" w:rsidR="00ED11DF" w:rsidRPr="00423470" w:rsidRDefault="0310E9A2" w:rsidP="001B0372">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rPr>
        <w:t>En vue d’assurer l’équilibre entre solidarité et partage équitable des responsabilités énoncé dans le pacte, la Commission s’attache également à parvenir à une répartition équilibrée de la réserve de solidarité et à sa mise en œuvre opérationnelle dès que possible</w:t>
      </w:r>
      <w:r w:rsidR="005F65C2">
        <w:rPr>
          <w:rFonts w:ascii="Times New Roman" w:hAnsi="Times New Roman"/>
          <w:noProof/>
          <w:sz w:val="24"/>
        </w:rPr>
        <w:t>,</w:t>
      </w:r>
      <w:r>
        <w:rPr>
          <w:rFonts w:ascii="Times New Roman" w:hAnsi="Times New Roman"/>
          <w:noProof/>
          <w:sz w:val="24"/>
        </w:rPr>
        <w:t xml:space="preserve"> une fois que le pacte commencera à s’appliquer pleinement. Le bon fonctionnement du mécanisme de solidarité est en effet indispensable au fonctionnement du pacte. Tous les États membres doivent donc contribuer au mécanisme de solidarité en exécution des obligations fixées par le règlement relatif à la gestion de l’asile et de la migration, et la Commission prendra les mesures nécessaires pour veiller au respect de ces obligations par tous les États membres. En outre, la Commission évaluera, en juillet et à nouveau en octobre, si les pratiques actuelles eu égard aux règles de transfert applicables persistent et constituent dès lors des lacunes systémiques qui pourraient avoir de graves conséquences négatives pour le fonctionnement du règlement relatif à la gestion de l’asile et de la migration. </w:t>
      </w:r>
    </w:p>
    <w:p w14:paraId="32221E0F" w14:textId="5C3471F7" w:rsidR="00CC7BF5" w:rsidRPr="00F06FF3" w:rsidRDefault="0677C6C2" w:rsidP="001B0372">
      <w:pPr>
        <w:spacing w:line="276" w:lineRule="auto"/>
        <w:jc w:val="both"/>
        <w:rPr>
          <w:rFonts w:ascii="Times New Roman" w:hAnsi="Times New Roman" w:cs="Times New Roman"/>
          <w:noProof/>
        </w:rPr>
      </w:pPr>
      <w:r>
        <w:rPr>
          <w:rFonts w:ascii="Times New Roman" w:hAnsi="Times New Roman"/>
          <w:noProof/>
          <w:sz w:val="24"/>
        </w:rPr>
        <w:t>Après le mois de juin, il incombera aux États membres, à la Commission et aux agences de l’UE de veiller conjointement à ce que tous les éléments du nouveau système migratoire européen soient en place et produisent les effets escomptés. La Commission lancera son deuxième cycle annuel de gestion de la migration en octobre 2026, y compris le rapport annuel sur l’asile et la migration, qui fournira un aperçu complet de la situation en matière d’asile et de migration dans l’UE et évaluera la situation migratoire dans les États membres.</w:t>
      </w:r>
    </w:p>
    <w:sectPr w:rsidR="00CC7BF5" w:rsidRPr="00F06FF3" w:rsidSect="0096429C">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06390F" w14:textId="77777777" w:rsidR="0083778A" w:rsidRPr="00423470" w:rsidRDefault="0083778A" w:rsidP="008F6AA1">
      <w:pPr>
        <w:spacing w:after="0" w:line="240" w:lineRule="auto"/>
      </w:pPr>
      <w:r w:rsidRPr="00423470">
        <w:separator/>
      </w:r>
    </w:p>
  </w:endnote>
  <w:endnote w:type="continuationSeparator" w:id="0">
    <w:p w14:paraId="11F9083E" w14:textId="77777777" w:rsidR="0083778A" w:rsidRPr="00423470" w:rsidRDefault="0083778A" w:rsidP="008F6AA1">
      <w:pPr>
        <w:spacing w:after="0" w:line="240" w:lineRule="auto"/>
      </w:pPr>
      <w:r w:rsidRPr="00423470">
        <w:continuationSeparator/>
      </w:r>
    </w:p>
  </w:endnote>
  <w:endnote w:type="continuationNotice" w:id="1">
    <w:p w14:paraId="247567F3" w14:textId="77777777" w:rsidR="0083778A" w:rsidRPr="00423470" w:rsidRDefault="008377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03FD38" w14:textId="60C6A3DA" w:rsidR="001C474C" w:rsidRPr="001C474C" w:rsidRDefault="001C474C" w:rsidP="001C474C">
    <w:pPr>
      <w:pStyle w:val="FooterCoverPage"/>
      <w:rPr>
        <w:rFonts w:ascii="Arial" w:hAnsi="Arial" w:cs="Arial"/>
        <w:b/>
        <w:sz w:val="48"/>
      </w:rPr>
    </w:pPr>
    <w:r w:rsidRPr="001C474C">
      <w:rPr>
        <w:rFonts w:ascii="Arial" w:hAnsi="Arial" w:cs="Arial"/>
        <w:b/>
        <w:sz w:val="48"/>
      </w:rPr>
      <w:t>FR</w:t>
    </w:r>
    <w:r w:rsidRPr="001C474C">
      <w:rPr>
        <w:rFonts w:ascii="Arial" w:hAnsi="Arial" w:cs="Arial"/>
        <w:b/>
        <w:sz w:val="48"/>
      </w:rPr>
      <w:tab/>
    </w:r>
    <w:r w:rsidRPr="001C474C">
      <w:rPr>
        <w:rFonts w:ascii="Arial" w:hAnsi="Arial" w:cs="Arial"/>
        <w:b/>
        <w:sz w:val="48"/>
      </w:rPr>
      <w:tab/>
    </w:r>
    <w:r w:rsidRPr="001C474C">
      <w:tab/>
    </w:r>
    <w:r w:rsidRPr="001C474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C6AFC0" w14:textId="4CA9D91E" w:rsidR="001C474C" w:rsidRPr="001C474C" w:rsidRDefault="001C474C" w:rsidP="001C474C">
    <w:pPr>
      <w:pStyle w:val="FooterCoverPage"/>
      <w:rPr>
        <w:rFonts w:ascii="Arial" w:hAnsi="Arial" w:cs="Arial"/>
        <w:b/>
        <w:sz w:val="48"/>
      </w:rPr>
    </w:pPr>
    <w:r w:rsidRPr="001C474C">
      <w:rPr>
        <w:rFonts w:ascii="Arial" w:hAnsi="Arial" w:cs="Arial"/>
        <w:b/>
        <w:sz w:val="48"/>
      </w:rPr>
      <w:t>FR</w:t>
    </w:r>
    <w:r w:rsidRPr="001C474C">
      <w:rPr>
        <w:rFonts w:ascii="Arial" w:hAnsi="Arial" w:cs="Arial"/>
        <w:b/>
        <w:sz w:val="48"/>
      </w:rPr>
      <w:tab/>
    </w:r>
    <w:r w:rsidRPr="001C474C">
      <w:rPr>
        <w:rFonts w:ascii="Arial" w:hAnsi="Arial" w:cs="Arial"/>
        <w:b/>
        <w:sz w:val="48"/>
      </w:rPr>
      <w:tab/>
    </w:r>
    <w:r w:rsidRPr="001C474C">
      <w:tab/>
    </w:r>
    <w:r w:rsidRPr="001C474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DEA01" w14:textId="77777777" w:rsidR="001C474C" w:rsidRPr="001C474C" w:rsidRDefault="001C474C" w:rsidP="001C474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75ABB8" w14:textId="77777777" w:rsidR="0096429C" w:rsidRPr="00423470" w:rsidRDefault="0096429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791892812"/>
      <w:docPartObj>
        <w:docPartGallery w:val="Page Numbers (Bottom of Page)"/>
        <w:docPartUnique/>
      </w:docPartObj>
    </w:sdtPr>
    <w:sdtEndPr/>
    <w:sdtContent>
      <w:p w14:paraId="3AF4E6D6" w14:textId="69DC60F6" w:rsidR="0096429C" w:rsidRPr="00423470" w:rsidRDefault="0096429C">
        <w:pPr>
          <w:pStyle w:val="Footer"/>
          <w:jc w:val="center"/>
          <w:rPr>
            <w:rFonts w:ascii="Times New Roman" w:hAnsi="Times New Roman" w:cs="Times New Roman"/>
          </w:rPr>
        </w:pPr>
        <w:r w:rsidRPr="00423470">
          <w:rPr>
            <w:rFonts w:ascii="Times New Roman" w:hAnsi="Times New Roman" w:cs="Times New Roman"/>
          </w:rPr>
          <w:fldChar w:fldCharType="begin"/>
        </w:r>
        <w:r w:rsidRPr="00423470">
          <w:rPr>
            <w:rFonts w:ascii="Times New Roman" w:hAnsi="Times New Roman" w:cs="Times New Roman"/>
          </w:rPr>
          <w:instrText xml:space="preserve"> PAGE   \* MERGEFORMAT </w:instrText>
        </w:r>
        <w:r w:rsidRPr="00423470">
          <w:rPr>
            <w:rFonts w:ascii="Times New Roman" w:hAnsi="Times New Roman" w:cs="Times New Roman"/>
          </w:rPr>
          <w:fldChar w:fldCharType="separate"/>
        </w:r>
        <w:r w:rsidR="001C474C">
          <w:rPr>
            <w:rFonts w:ascii="Times New Roman" w:hAnsi="Times New Roman" w:cs="Times New Roman"/>
            <w:noProof/>
          </w:rPr>
          <w:t>1</w:t>
        </w:r>
        <w:r w:rsidRPr="00423470">
          <w:rPr>
            <w:rFonts w:ascii="Times New Roman" w:hAnsi="Times New Roman" w:cs="Times New Roman"/>
          </w:rPr>
          <w:fldChar w:fldCharType="end"/>
        </w:r>
      </w:p>
    </w:sdtContent>
  </w:sdt>
  <w:p w14:paraId="60486619" w14:textId="77777777" w:rsidR="0096429C" w:rsidRPr="00423470" w:rsidRDefault="0096429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D718A" w14:textId="77777777" w:rsidR="0096429C" w:rsidRPr="00423470" w:rsidRDefault="009642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1862CD" w14:textId="77777777" w:rsidR="0083778A" w:rsidRPr="00423470" w:rsidRDefault="0083778A" w:rsidP="008F6AA1">
      <w:pPr>
        <w:spacing w:after="0" w:line="240" w:lineRule="auto"/>
      </w:pPr>
      <w:r w:rsidRPr="00423470">
        <w:separator/>
      </w:r>
    </w:p>
  </w:footnote>
  <w:footnote w:type="continuationSeparator" w:id="0">
    <w:p w14:paraId="3EFB630C" w14:textId="77777777" w:rsidR="0083778A" w:rsidRPr="00423470" w:rsidRDefault="0083778A" w:rsidP="008F6AA1">
      <w:pPr>
        <w:spacing w:after="0" w:line="240" w:lineRule="auto"/>
      </w:pPr>
      <w:r w:rsidRPr="00423470">
        <w:continuationSeparator/>
      </w:r>
    </w:p>
  </w:footnote>
  <w:footnote w:type="continuationNotice" w:id="1">
    <w:p w14:paraId="059672CA" w14:textId="77777777" w:rsidR="0083778A" w:rsidRPr="00423470" w:rsidRDefault="0083778A">
      <w:pPr>
        <w:spacing w:after="0" w:line="240" w:lineRule="auto"/>
      </w:pPr>
    </w:p>
  </w:footnote>
  <w:footnote w:id="2">
    <w:p w14:paraId="4D82B501" w14:textId="6304ED91" w:rsidR="0066635A" w:rsidRPr="005349C2" w:rsidRDefault="0066635A"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hyperlink r:id="rId1" w:history="1">
        <w:r>
          <w:rPr>
            <w:rStyle w:val="Hyperlink"/>
            <w:rFonts w:ascii="Times New Roman" w:hAnsi="Times New Roman"/>
          </w:rPr>
          <w:t>https://home-affairs.ec.europa.eu/policies/migration-and-asylum/pact-migration-and-asylum/legislative-files-nutshell_fr</w:t>
        </w:r>
      </w:hyperlink>
      <w:r>
        <w:rPr>
          <w:rFonts w:ascii="Times New Roman" w:hAnsi="Times New Roman"/>
        </w:rPr>
        <w:t>.</w:t>
      </w:r>
    </w:p>
  </w:footnote>
  <w:footnote w:id="3">
    <w:p w14:paraId="681544D2" w14:textId="4FF157A0" w:rsidR="00C11B68" w:rsidRPr="005349C2" w:rsidRDefault="00C11B68"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hyperlink r:id="rId2" w:history="1">
        <w:r>
          <w:rPr>
            <w:rStyle w:val="Hyperlink"/>
            <w:rFonts w:ascii="Times New Roman" w:hAnsi="Times New Roman"/>
          </w:rPr>
          <w:t>https://eur-lex.europa.eu/legal-content/FR/TXT/?uri=CELEX%3A52024DC0251&amp;qid=1776165824453</w:t>
        </w:r>
      </w:hyperlink>
      <w:r>
        <w:rPr>
          <w:rFonts w:ascii="Times New Roman" w:hAnsi="Times New Roman"/>
        </w:rPr>
        <w:t>.</w:t>
      </w:r>
    </w:p>
  </w:footnote>
  <w:footnote w:id="4">
    <w:p w14:paraId="0854475F" w14:textId="63564207" w:rsidR="0066635A" w:rsidRPr="005349C2" w:rsidRDefault="0066635A" w:rsidP="005349C2">
      <w:pPr>
        <w:pStyle w:val="FootnoteText"/>
        <w:rPr>
          <w:rFonts w:ascii="Times New Roman" w:eastAsia="Aptos" w:hAnsi="Times New Roman" w:cs="Times New Roman"/>
          <w:vertAlign w:val="superscript"/>
        </w:rPr>
      </w:pPr>
      <w:r>
        <w:rPr>
          <w:rStyle w:val="FootnoteReference"/>
          <w:rFonts w:ascii="Times New Roman" w:hAnsi="Times New Roman" w:cs="Times New Roman"/>
          <w:lang w:val="en-GB"/>
        </w:rPr>
        <w:footnoteRef/>
      </w:r>
      <w:r>
        <w:rPr>
          <w:rFonts w:ascii="Times New Roman" w:hAnsi="Times New Roman"/>
        </w:rPr>
        <w:t xml:space="preserve"> Premier rapport sur l’état des lieux de la mise en œuvre du pacte,</w:t>
      </w:r>
      <w:r>
        <w:rPr>
          <w:rFonts w:ascii="Times New Roman" w:hAnsi="Times New Roman"/>
        </w:rPr>
        <w:tab/>
      </w:r>
      <w:r>
        <w:rPr>
          <w:rFonts w:ascii="Times New Roman" w:hAnsi="Times New Roman"/>
        </w:rPr>
        <w:br/>
        <w:t xml:space="preserve"> </w:t>
      </w:r>
      <w:hyperlink r:id="rId3" w:history="1">
        <w:r>
          <w:rPr>
            <w:rStyle w:val="Hyperlink"/>
            <w:rFonts w:ascii="Times New Roman" w:hAnsi="Times New Roman"/>
          </w:rPr>
          <w:t>https://eur-lex.europa.eu/legal-content/FR/TXT/?uri=CELEX%3A52025DC0319&amp;qid=1776165712928</w:t>
        </w:r>
      </w:hyperlink>
      <w:r>
        <w:rPr>
          <w:rFonts w:ascii="Times New Roman" w:hAnsi="Times New Roman"/>
        </w:rPr>
        <w:t>; deuxième rapport: annexe I de la communication </w:t>
      </w:r>
      <w:hyperlink r:id="rId4" w:history="1">
        <w:r>
          <w:rPr>
            <w:rStyle w:val="Hyperlink"/>
            <w:rFonts w:ascii="Times New Roman" w:hAnsi="Times New Roman"/>
          </w:rPr>
          <w:t>COM/2025/795 final</w:t>
        </w:r>
      </w:hyperlink>
      <w:r>
        <w:rPr>
          <w:rFonts w:ascii="Times New Roman" w:hAnsi="Times New Roman"/>
        </w:rPr>
        <w:t>.</w:t>
      </w:r>
    </w:p>
  </w:footnote>
  <w:footnote w:id="5">
    <w:p w14:paraId="30F8AAA8" w14:textId="5277D9C5" w:rsidR="00837B40" w:rsidRPr="005349C2" w:rsidRDefault="00837B40"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Article 84, paragraphe 3 du règlement (UE) 2024/1351 du Parlement européen et du Conseil du 14 mai 2024 relatif à la gestion de l’asile et de la migration, modifiant les règlements (UE) 2021/1147 et (UE) 2021/1060 et abrogeant le règlement (UE) nº 604/2013.</w:t>
      </w:r>
    </w:p>
  </w:footnote>
  <w:footnote w:id="6">
    <w:p w14:paraId="6080D5A5" w14:textId="6C524F2A" w:rsidR="00503A6D" w:rsidRPr="005349C2" w:rsidRDefault="00503A6D"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Décision d’exécution (UE) 2025/2642 du Conseil du 19 décembre 2025 établissant la réserve annuelle de solidarité pour 2026.</w:t>
      </w:r>
    </w:p>
  </w:footnote>
  <w:footnote w:id="7">
    <w:p w14:paraId="22B1FD44" w14:textId="77777777" w:rsidR="00D9016F" w:rsidRPr="005349C2" w:rsidRDefault="00D9016F"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Règlement d’exécution (UE) 2025/2055 de la Commission du 2 octobre 2025 portant modalités d’application du règlement (UE) 2024/1351 du Parlement européen et du Conseil en ce qui concerne la gestion de l’asile et de la migration, et abrogeant le règlement (CE) nº 1560/2003 de la Commission.</w:t>
      </w:r>
    </w:p>
  </w:footnote>
  <w:footnote w:id="8">
    <w:p w14:paraId="7E8FE335" w14:textId="76516AC6" w:rsidR="005F6297" w:rsidRPr="005349C2" w:rsidRDefault="005F6297"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hyperlink r:id="rId5" w:history="1">
        <w:r>
          <w:rPr>
            <w:rStyle w:val="Hyperlink"/>
            <w:rFonts w:ascii="Times New Roman" w:hAnsi="Times New Roman"/>
          </w:rPr>
          <w:t>https://home-affairs.ec.europa.eu/news/european-commission-provides-additional-eur-3-billion-support-migration-and-asylum-management-2025-05-12_fr</w:t>
        </w:r>
      </w:hyperlink>
      <w:r>
        <w:rPr>
          <w:rFonts w:ascii="Times New Roman" w:hAnsi="Times New Roman"/>
        </w:rPr>
        <w:t xml:space="preserve">. </w:t>
      </w:r>
    </w:p>
  </w:footnote>
  <w:footnote w:id="9">
    <w:p w14:paraId="027D4C3F" w14:textId="0FF0C9B9" w:rsidR="00D21403" w:rsidRPr="005349C2" w:rsidRDefault="00D21403"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hyperlink r:id="rId6" w:history="1">
        <w:r>
          <w:rPr>
            <w:rStyle w:val="Hyperlink"/>
            <w:rFonts w:ascii="Times New Roman" w:hAnsi="Times New Roman"/>
          </w:rPr>
          <w:t>https://eur-lex.europa.eu/legal-content/FR/TXT/?uri=CELEX%3A52025PC0101</w:t>
        </w:r>
      </w:hyperlink>
      <w:r>
        <w:rPr>
          <w:rFonts w:ascii="Times New Roman" w:hAnsi="Times New Roman"/>
        </w:rPr>
        <w:t>.</w:t>
      </w:r>
    </w:p>
  </w:footnote>
  <w:footnote w:id="10">
    <w:p w14:paraId="6BAEF0BF" w14:textId="3B5525D8" w:rsidR="711C02BB" w:rsidRPr="005349C2" w:rsidRDefault="711C02BB"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Règlement (UE) 2024/1358 du Parlement européen et du Conseil du 14 mai 2024 relatif à la création d’«Eurodac» pour la comparaison des données biométriques.</w:t>
      </w:r>
    </w:p>
  </w:footnote>
  <w:footnote w:id="11">
    <w:p w14:paraId="4847BB34" w14:textId="23776805" w:rsidR="003B0C38" w:rsidRPr="005349C2" w:rsidRDefault="003B0C38"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hyperlink r:id="rId7" w:history="1">
        <w:r>
          <w:rPr>
            <w:rStyle w:val="Hyperlink"/>
            <w:rFonts w:ascii="Times New Roman" w:hAnsi="Times New Roman"/>
          </w:rPr>
          <w:t>https://eur-lex.europa.eu/legal-content/FR/TXT/?uri=celex:52026DC0045</w:t>
        </w:r>
      </w:hyperlink>
      <w:r>
        <w:rPr>
          <w:rFonts w:ascii="Times New Roman" w:hAnsi="Times New Roman"/>
        </w:rPr>
        <w:t>.</w:t>
      </w:r>
    </w:p>
  </w:footnote>
  <w:footnote w:id="12">
    <w:p w14:paraId="5EE038AA" w14:textId="36DE48EE" w:rsidR="00456EF0" w:rsidRPr="005349C2" w:rsidRDefault="00456EF0"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Règlement (UE) 2026/463 du Parlement européen et du Conseil du 24 février 2026 modifiant le règlement (UE) 2024/1348 en ce qui concerne l’application du concept de pays tiers sûr.</w:t>
      </w:r>
    </w:p>
  </w:footnote>
  <w:footnote w:id="13">
    <w:p w14:paraId="5AEAC00D" w14:textId="6005ED16" w:rsidR="00456EF0" w:rsidRPr="005349C2" w:rsidRDefault="00456EF0"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Règlement (UE) 2026/464 du Parlement européen et du Conseil du 24 février 2026 modifiant le règlement (UE) 2024/1348 en ce qui concerne l’établissement d’une liste des pays d’origine sûrs au niveau de l’Union, </w:t>
      </w:r>
      <w:hyperlink r:id="rId8" w:history="1">
        <w:r>
          <w:rPr>
            <w:rStyle w:val="Hyperlink"/>
            <w:rFonts w:ascii="Times New Roman" w:hAnsi="Times New Roman"/>
          </w:rPr>
          <w:t>https://eur-lex.europa.eu/legal-content/FR/TXT/?uri=OJ:L_202600464</w:t>
        </w:r>
      </w:hyperlink>
      <w:r>
        <w:rPr>
          <w:rFonts w:ascii="Times New Roman" w:hAnsi="Times New Roman"/>
        </w:rPr>
        <w:t>.</w:t>
      </w:r>
    </w:p>
  </w:footnote>
  <w:footnote w:id="14">
    <w:p w14:paraId="1BA1E959" w14:textId="513F2C99" w:rsidR="008D481D" w:rsidRPr="005349C2" w:rsidRDefault="008D481D"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De plus amples informations sur le soutien des agences sont présentées dans les sections correspondantes. L’AUEA soutient également 12 États membres en s’appuyant sur des plans opérationnels conjoints, Frontex mène 36 opérations conjointes avec des États membres et des pays du voisinage, tandis que l’eu-LISA supervise la refonte d’Eurodac.</w:t>
      </w:r>
    </w:p>
  </w:footnote>
  <w:footnote w:id="15">
    <w:p w14:paraId="4A370E27" w14:textId="2E22629E" w:rsidR="0086514D" w:rsidRPr="005349C2" w:rsidRDefault="0086514D"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Slovaquie, Malte et Bulgarie.</w:t>
      </w:r>
    </w:p>
  </w:footnote>
  <w:footnote w:id="16">
    <w:p w14:paraId="31C2CA27" w14:textId="7311D3EF" w:rsidR="005C585C" w:rsidRPr="005349C2" w:rsidRDefault="005C585C"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t> </w:t>
      </w:r>
      <w:r>
        <w:rPr>
          <w:rFonts w:ascii="Times New Roman" w:hAnsi="Times New Roman"/>
        </w:rPr>
        <w:t>Belgique, Tchéquie, Estonie, Irlande, Grèce, Italie, Roumanie et Slovaquie.</w:t>
      </w:r>
    </w:p>
  </w:footnote>
  <w:footnote w:id="17">
    <w:p w14:paraId="5A351109" w14:textId="6040508A" w:rsidR="00DF152D" w:rsidRPr="005349C2" w:rsidRDefault="00DF152D"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Les États membres mutualisent des outils, des modèles, l’organisation des tâches et les expériences pour relever des défis communs et promouvoir la convergence des approches. Parmi les sujets abordés ont figuré le règlement sur le filtrage, la réalisation d’évaluations de la vulnérabilité et la fourniture d’avis juridiques.</w:t>
      </w:r>
    </w:p>
  </w:footnote>
  <w:footnote w:id="18">
    <w:p w14:paraId="5852890E" w14:textId="2A6B5EAF" w:rsidR="00062AB6" w:rsidRPr="005349C2" w:rsidRDefault="00062AB6"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Autriche, Croatie, Danemark, Estonie, France, Irlande, Italie, Luxembourg, Pays-Bas, Finlande et Roumanie.</w:t>
      </w:r>
    </w:p>
  </w:footnote>
  <w:footnote w:id="19">
    <w:p w14:paraId="3536F1F7" w14:textId="41B98989" w:rsidR="008F6AA1" w:rsidRPr="005349C2" w:rsidRDefault="008F6AA1" w:rsidP="005349C2">
      <w:pPr>
        <w:pStyle w:val="FootnoteText"/>
        <w:rPr>
          <w:rFonts w:ascii="Times New Roman" w:eastAsia="Calibri" w:hAnsi="Times New Roman" w:cs="Times New Roman"/>
          <w:color w:val="3A7C22" w:themeColor="accent6" w:themeShade="BF"/>
        </w:rPr>
      </w:pPr>
      <w:r>
        <w:rPr>
          <w:rStyle w:val="FootnoteReference"/>
          <w:rFonts w:ascii="Times New Roman" w:hAnsi="Times New Roman" w:cs="Times New Roman"/>
          <w:lang w:val="en-GB"/>
        </w:rPr>
        <w:footnoteRef/>
      </w:r>
      <w:r>
        <w:rPr>
          <w:rFonts w:ascii="Times New Roman" w:hAnsi="Times New Roman"/>
        </w:rPr>
        <w:t xml:space="preserve"> La Belgique, la Lettonie, la Lituanie, l’Espagne et la Suède en sont aux dernières étapes de l’élaboration des projets de mesures ou ont finalisé ces derniers. Bien que le Danemark ne soit pas lié par le règlement sur les procédures d’asile, son nouveau cadre juridique prévoira la possibilité d’activer la procédure d’asile à la frontière si nécessaire. </w:t>
      </w:r>
    </w:p>
  </w:footnote>
  <w:footnote w:id="20">
    <w:p w14:paraId="414A1E32" w14:textId="05DE165A" w:rsidR="00B402ED" w:rsidRPr="005349C2" w:rsidRDefault="00B402ED"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Tchéquie, Chypre, Allemagne, Irlande et Slovaquie.</w:t>
      </w:r>
    </w:p>
  </w:footnote>
  <w:footnote w:id="21">
    <w:p w14:paraId="78C7760F" w14:textId="1988CB26" w:rsidR="007169BC" w:rsidRPr="005349C2" w:rsidRDefault="007169BC" w:rsidP="005349C2">
      <w:pPr>
        <w:pStyle w:val="FootnoteText"/>
        <w:rPr>
          <w:rFonts w:ascii="Times New Roman" w:eastAsia="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La Hongrie n’a pas encore fait la demande des dotations financières, afférentes au pacte, qui lui sont réservées.</w:t>
      </w:r>
    </w:p>
  </w:footnote>
  <w:footnote w:id="22">
    <w:p w14:paraId="51DDAB78" w14:textId="50A1FB85" w:rsidR="7173403D" w:rsidRPr="005349C2" w:rsidRDefault="7173403D"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Autriche, Bulgarie, Croatie, Tchéquie, Estonie, Finlande, France (IGFV), Allemagne, Grèce, Italie, Lettonie (FAMI), Lituanie, Malte, Pays-Bas, Portugal, Roumanie, Slovaquie, Slovénie, </w:t>
      </w:r>
      <w:r>
        <w:rPr>
          <w:rStyle w:val="FootnoteTextChar"/>
          <w:rFonts w:ascii="Times New Roman" w:hAnsi="Times New Roman"/>
        </w:rPr>
        <w:t>Espagne</w:t>
      </w:r>
      <w:r>
        <w:rPr>
          <w:rFonts w:ascii="Times New Roman" w:hAnsi="Times New Roman"/>
        </w:rPr>
        <w:t xml:space="preserve"> et Suède.</w:t>
      </w:r>
    </w:p>
  </w:footnote>
  <w:footnote w:id="23">
    <w:p w14:paraId="17090D78" w14:textId="4273642D" w:rsidR="007169BC" w:rsidRPr="005349C2" w:rsidRDefault="007169BC" w:rsidP="005349C2">
      <w:pPr>
        <w:pStyle w:val="FootnoteText"/>
        <w:rPr>
          <w:rFonts w:ascii="Times New Roman" w:eastAsia="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Chypre, Belgique, Luxembourg, Lettonie (IGFV), Pologne, Danemark (IGFV) et France (FAMI). Les pays associés à l’espace Schengen participent à un dialogue stratégique consacré au pacte, en vue de présenter un programme modifié au plus tard le 12 juin 2026.</w:t>
      </w:r>
    </w:p>
  </w:footnote>
  <w:footnote w:id="24">
    <w:p w14:paraId="1B701BC1" w14:textId="4ADF328E" w:rsidR="00D36664" w:rsidRPr="00EA0E45" w:rsidRDefault="00D36664"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Belgique, Bulgarie, Croatie, Chypre, Tchéquie, Grèce, Malte, Roumanie, Slovénie, Espagne et Suède.</w:t>
      </w:r>
    </w:p>
  </w:footnote>
  <w:footnote w:id="25">
    <w:p w14:paraId="36E58B4A" w14:textId="5FD6FC85" w:rsidR="00D36664" w:rsidRPr="005349C2" w:rsidRDefault="00D36664"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Autriche, Danemark, Estonie, Finlande, France, Allemagne, Hongrie, Irlande, Italie, Lituanie, Lettonie, Luxembourg, Pays-Bas, Pologne, Portugal et Slovaquie. </w:t>
      </w:r>
    </w:p>
  </w:footnote>
  <w:footnote w:id="26">
    <w:p w14:paraId="57EF292E" w14:textId="471EE6A0" w:rsidR="00AC5599" w:rsidRPr="005349C2" w:rsidRDefault="00AC5599"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La solution centralisée, qui permet aux États membres d’effectuer des opérations au sein d’Eurodac au moyen d’une interface utilisateur web, est l’option de repli pour les États membres en proie à des difficultés de mise en œuvre à l’échelle nationale.</w:t>
      </w:r>
    </w:p>
  </w:footnote>
  <w:footnote w:id="27">
    <w:p w14:paraId="5973EA38" w14:textId="53C375AF" w:rsidR="00914EE2" w:rsidRPr="005349C2" w:rsidRDefault="00914EE2"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Autriche, Belgique, Bulgarie, Chypre, Croatie, Tchéquie, Estonie, Finlande, Irlande, Italie, Lituanie, Luxembourg, Lettonie, Pays-Bas, Pologne, Portugal, Slovénie, Espagne et Suède. </w:t>
      </w:r>
    </w:p>
  </w:footnote>
  <w:footnote w:id="28">
    <w:p w14:paraId="349653FF" w14:textId="0D8A2762" w:rsidR="00F4277E" w:rsidRPr="005349C2" w:rsidRDefault="00F4277E"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Les États membres peuvent mettre en œuvre le règlement Eurodac soit en adaptant leur système national sur la base du document de contrôle des interfaces d’Eurodac, ce qui permet une interaction automatisée (de système à système) entre les systèmes nationaux et le système central d’Eurodac, soit en utilisant l’interface utilisateur web, développée par l’eu-LISA, qui permet aux utilisateurs finaux d’effectuer des opérations par l’intermédiaire de l’interface elle-même et réduit la nécessité d’une mise en œuvre au niveau national. La mise en œuvre hybride désigne l’utilisation de l’interaction de système à système pour les opérations les plus exigeantes (par exemple, la transmission de nouveaux ensembles de données), tout en s’appuyant sur l’interface utilisateur web pour les opérations moins exigeantes.</w:t>
      </w:r>
    </w:p>
  </w:footnote>
  <w:footnote w:id="29">
    <w:p w14:paraId="4EED59F5" w14:textId="6BE5A2A9" w:rsidR="00914EE2" w:rsidRPr="005349C2" w:rsidRDefault="00914EE2"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t> </w:t>
      </w:r>
      <w:r>
        <w:rPr>
          <w:rFonts w:ascii="Times New Roman" w:hAnsi="Times New Roman"/>
        </w:rPr>
        <w:t>Croatie, Danemark, France, Hongrie, Lettonie, Malte, Pays-Bas, Portugal et Slovaquie.</w:t>
      </w:r>
    </w:p>
  </w:footnote>
  <w:footnote w:id="30">
    <w:p w14:paraId="254B1E9F" w14:textId="639E267A" w:rsidR="005C2646" w:rsidRPr="005349C2" w:rsidRDefault="005C2646"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Décision d’exécution (UE) 2026/533 de la Commission du 11 mars 2026 portant modalités d’application du règlement (UE) 2024/1358 du Parlement européen et du Conseil en ce qui concerne le contenu des statistiques intersystèmes mensuelles établies à partir des données d’Eurodac, du système d’information sur les visas, du système européen d’information et d’autorisation concernant les voyages et du système d’entrée/de sortie, conformément à l’article 12, paragraphe 3, dudit règlement.</w:t>
      </w:r>
    </w:p>
  </w:footnote>
  <w:footnote w:id="31">
    <w:p w14:paraId="037CC3B7" w14:textId="29D62729" w:rsidR="005C2646" w:rsidRPr="005349C2" w:rsidRDefault="005C2646"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En raison des discussions au sujet d’une nouvelle échéance pour le lancement du système d’information sur les visas (VIS) révisé, l’acte établissant la correspondance entre les données du VIS et celles d’Eurodac est reporté.</w:t>
      </w:r>
    </w:p>
  </w:footnote>
  <w:footnote w:id="32">
    <w:p w14:paraId="40D964DE" w14:textId="48FA2AAE" w:rsidR="27A0F63A" w:rsidRPr="005349C2" w:rsidRDefault="27A0F63A"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Compte tenu du calendrier serré, la Commission et l’eu-LISA se sont mises d’accord sur les fonctionnalités qui devront nécessairement être opérationnelles en juin. D’autres fonctionnalités seront ajoutées d’ici la fin de l’année. </w:t>
      </w:r>
    </w:p>
  </w:footnote>
  <w:footnote w:id="33">
    <w:p w14:paraId="1F36F9FA" w14:textId="5965F2F2" w:rsidR="00432D4A" w:rsidRPr="005349C2" w:rsidRDefault="00432D4A"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t> </w:t>
      </w:r>
      <w:r>
        <w:rPr>
          <w:rFonts w:ascii="Times New Roman" w:hAnsi="Times New Roman"/>
        </w:rPr>
        <w:t>Parmi les États membres dans lesquels la passation de marchés liés à Eurodac est en cours et généralement en bonne voie figurent l’Autriche, la Belgique, la Bulgarie, la Croatie, Chypre, le Danemark, l’Allemagne, l’Irlande, la Lituanie, la Lettonie, Malte, la Slovénie et l’Espagne. La France et la Slovaquie ont achevé ce processus.</w:t>
      </w:r>
    </w:p>
  </w:footnote>
  <w:footnote w:id="34">
    <w:p w14:paraId="604C10C3" w14:textId="55A262EA" w:rsidR="001471C0" w:rsidRPr="005349C2" w:rsidRDefault="001471C0"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L’Autriche, la Belgique, la Croatie</w:t>
      </w:r>
      <w:r>
        <w:rPr>
          <w:rFonts w:ascii="Times New Roman" w:hAnsi="Times New Roman"/>
          <w:i/>
        </w:rPr>
        <w:t xml:space="preserve">, </w:t>
      </w:r>
      <w:r>
        <w:rPr>
          <w:rFonts w:ascii="Times New Roman" w:hAnsi="Times New Roman"/>
        </w:rPr>
        <w:t xml:space="preserve">Chypre, la Tchéquie, la Finlande, la France, l’Irlande, la Lituanie, le Luxembourg, Malte, les Pays-Bas, le Portugal, la Slovaquie et la Suède. </w:t>
      </w:r>
    </w:p>
  </w:footnote>
  <w:footnote w:id="35">
    <w:p w14:paraId="0A2185F8" w14:textId="51B99ABA" w:rsidR="00947917" w:rsidRPr="005349C2" w:rsidRDefault="00947917"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La Bulgarie, l’Estonie, l’Allemagne, la Grèce, la Hongrie, l’Italie, la Lettonie, la Pologne, la Roumanie et la Slovénie.</w:t>
      </w:r>
    </w:p>
  </w:footnote>
  <w:footnote w:id="36">
    <w:p w14:paraId="506FD5FD" w14:textId="77B714D8" w:rsidR="00C111A4" w:rsidRPr="005349C2" w:rsidRDefault="00C111A4"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Par exemple, l’Estonie et la Lettonie, entre autres.</w:t>
      </w:r>
    </w:p>
  </w:footnote>
  <w:footnote w:id="37">
    <w:p w14:paraId="4CB9D2D3" w14:textId="5C38B047" w:rsidR="72B41300" w:rsidRPr="005349C2" w:rsidRDefault="72B41300"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Par exemple, l’Autriche, l’Estonie, la Lettonie, la Lituanie, l’Espagne et l’Italie. </w:t>
      </w:r>
    </w:p>
  </w:footnote>
  <w:footnote w:id="38">
    <w:p w14:paraId="20FC360D" w14:textId="31A7998A" w:rsidR="00933B16" w:rsidRPr="005349C2" w:rsidRDefault="00933B16"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La Belgique, la Bulgarie, la Croatie, Chypre, l’Estonie, la Finlande, la France, l’Allemagne, l’Italie, la Lettonie, la Lituanie, Malte, les Pays-Bas, la Roumanie, la Slovaquie, l’Espagne et la Suède.</w:t>
      </w:r>
    </w:p>
  </w:footnote>
  <w:footnote w:id="39">
    <w:p w14:paraId="096E8FA1" w14:textId="3003E330" w:rsidR="00073282" w:rsidRPr="005349C2" w:rsidRDefault="00073282"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La Croatie et les Pays-Bas ont légiféré pour fixer des délais aux juridictions. La Belgique et la Croatie ont investi dans le renforcement de leurs capacités, notamment en recrutant du personnel et/ou en développant leurs infrastructures techniques. L’Italie recrute du personnel supplémentaire affecté aux commissions du droit d’asile et aux juridictions. La France a renforcé les capacités de ses juridictions d’appel chargées de réexaminer les décisions de retour. Chypre est en train de renforcer le tribunal administratif de la protection internationale en y affectant quatre juges.</w:t>
      </w:r>
    </w:p>
  </w:footnote>
  <w:footnote w:id="40">
    <w:p w14:paraId="36B80D71" w14:textId="44997CCE" w:rsidR="00731162" w:rsidRPr="005349C2" w:rsidRDefault="00731162" w:rsidP="005349C2">
      <w:pPr>
        <w:pStyle w:val="FootnoteText"/>
        <w:rPr>
          <w:rFonts w:ascii="Times New Roman" w:eastAsia="Calibri"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Les États membres qui ont actualisé leurs lignes directrices et leurs procédures opérationnelles sont les suivants: l’Autriche, la Croatie, l’Estonie, la France, la Lituanie, Malte, la Grèce, l’Italie et l’Espagne. Les États membres qui ont pris des mesures pour numériser leurs procédures ou mettre en place des systèmes communs de gestion des dossiers sont les suivants: l’Autriche, la Belgique, la Croatie, la Tchéquie, l’Estonie, la France, l’Italie, la Lituanie, Malte, la Slovénie, l’Espagne et la Suède.</w:t>
      </w:r>
    </w:p>
  </w:footnote>
  <w:footnote w:id="41">
    <w:p w14:paraId="3033DE38" w14:textId="34E7C591" w:rsidR="03A204D8" w:rsidRPr="005349C2" w:rsidRDefault="03A204D8"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w:t>
      </w:r>
      <w:hyperlink r:id="rId9" w:history="1">
        <w:r>
          <w:rPr>
            <w:rStyle w:val="Hyperlink"/>
            <w:rFonts w:ascii="Times New Roman" w:hAnsi="Times New Roman"/>
          </w:rPr>
          <w:t>https://www.euaa.europa.eu/publications/practical-guide-asylum-border-procedure</w:t>
        </w:r>
      </w:hyperlink>
      <w:r>
        <w:rPr>
          <w:rFonts w:ascii="Times New Roman" w:hAnsi="Times New Roman"/>
        </w:rPr>
        <w:t xml:space="preserve">. </w:t>
      </w:r>
    </w:p>
  </w:footnote>
  <w:footnote w:id="42">
    <w:p w14:paraId="7942E87F" w14:textId="1AC9D854" w:rsidR="0043785E" w:rsidRPr="005349C2" w:rsidRDefault="0043785E"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L’Autriche, la Belgique, la Bulgarie, la Croatie, la Tchéquie, Chypre, l’Estonie, la Finlande, la France, la Grèce, l’Irlande, la Lituanie, Malte, les Pays-Bas, la Roumanie, la Slovaquie, la Slovénie, la Lettonie, l’Espagne et la Suède sont en bonne voie pour mettre en place le filtrage; l’Italie est prête à accueillir les arrivées par voie maritime. </w:t>
      </w:r>
    </w:p>
  </w:footnote>
  <w:footnote w:id="43">
    <w:p w14:paraId="39C950D1" w14:textId="4C7CD70C" w:rsidR="009D0F1B" w:rsidRPr="005349C2" w:rsidRDefault="009D0F1B"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L’Autriche, la Belgique, la Bulgarie, la Tchéquie, le Danemark, la Finlande, l’Islande, la France, la Croatie, la Lettonie, la Lituanie, le Luxembourg, Malte, les Pays-Bas, la Norvège, la Roumanie, la Slovaquie, la Slovénie, l’Espagne et la Suisse.</w:t>
      </w:r>
    </w:p>
  </w:footnote>
  <w:footnote w:id="44">
    <w:p w14:paraId="0E84359B" w14:textId="6C52BA9A" w:rsidR="007A29E5" w:rsidRPr="005349C2" w:rsidRDefault="007A29E5"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Il s’agit notamment de l’Autriche, de la Belgique, de la France, de l’Allemagne, de l’Espagne, de la Finlande, de l’Italie, de la Slovaquie et de la Tchéquie. Toutes les formations ont été menées à bien en Bulgarie. </w:t>
      </w:r>
    </w:p>
  </w:footnote>
  <w:footnote w:id="45">
    <w:p w14:paraId="4A144347" w14:textId="1E5685F4" w:rsidR="03A204D8" w:rsidRPr="005349C2" w:rsidRDefault="03A204D8"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On trouvera des informations supplémentaires sur ce module en cliquant sur le lien suivant: </w:t>
      </w:r>
      <w:hyperlink r:id="rId10" w:anchor="section14332-1" w:history="1">
        <w:r>
          <w:rPr>
            <w:rStyle w:val="Hyperlink"/>
            <w:rFonts w:ascii="Times New Roman" w:hAnsi="Times New Roman"/>
          </w:rPr>
          <w:t>https://www.euaa.europa.eu/training-catalogue/introduction-screening-context-international-protection#section14332-1</w:t>
        </w:r>
      </w:hyperlink>
      <w:r>
        <w:rPr>
          <w:rFonts w:ascii="Times New Roman" w:hAnsi="Times New Roman"/>
        </w:rPr>
        <w:t xml:space="preserve">. </w:t>
      </w:r>
    </w:p>
  </w:footnote>
  <w:footnote w:id="46">
    <w:p w14:paraId="684E36B6" w14:textId="785DB6C2" w:rsidR="00127FA8" w:rsidRPr="005349C2" w:rsidRDefault="00127FA8"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Élaboré par Frontex, l’AUEA et la Commission, avec le soutien d’Europol et d’experts des États membres.</w:t>
      </w:r>
    </w:p>
  </w:footnote>
  <w:footnote w:id="47">
    <w:p w14:paraId="4A1FD119" w14:textId="3CCD9E95" w:rsidR="00E05342" w:rsidRPr="005349C2" w:rsidRDefault="00E05342"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La Hongrie, la Bulgarie, l’Allemagne, la Grèce, la Lettonie, l’Italie, l’Espagne et la Pologne. </w:t>
      </w:r>
    </w:p>
  </w:footnote>
  <w:footnote w:id="48">
    <w:p w14:paraId="5E2C9F36" w14:textId="31B5A8B0" w:rsidR="006B29BA" w:rsidRPr="005349C2" w:rsidRDefault="006B29BA"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L’Autriche, la Tchéquie, la Grèce, la Hongrie, le Luxembourg, la Pologne, le Portugal et la Slovénie.</w:t>
      </w:r>
    </w:p>
  </w:footnote>
  <w:footnote w:id="49">
    <w:p w14:paraId="49FD2F68" w14:textId="72C345FF" w:rsidR="00D251C6" w:rsidRPr="005349C2" w:rsidRDefault="00D251C6"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Les défis connexes à relever concernent aussi bien la mise en place de l’infrastructure informatique et l’élaboration des formulaires que la prise en charge des mineurs non accompagnés et la désignation des sites. </w:t>
      </w:r>
    </w:p>
  </w:footnote>
  <w:footnote w:id="50">
    <w:p w14:paraId="111097AE" w14:textId="198E077F" w:rsidR="00D251C6" w:rsidRPr="005349C2" w:rsidRDefault="00D251C6"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Il s’agit notamment de l’Estonie, de l’Allemagne, de la Slovénie et de l’Espagne.</w:t>
      </w:r>
    </w:p>
  </w:footnote>
  <w:footnote w:id="51">
    <w:p w14:paraId="63E8CF22" w14:textId="340340E4" w:rsidR="00A37819" w:rsidRPr="005349C2" w:rsidRDefault="00A37819"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La Bulgarie, la Croatie, Chypre, la Grèce, l’Italie et l’Espagne.</w:t>
      </w:r>
    </w:p>
  </w:footnote>
  <w:footnote w:id="52">
    <w:p w14:paraId="77D248B2" w14:textId="0EFBAC9A" w:rsidR="009C271A" w:rsidRPr="005349C2" w:rsidRDefault="009C271A"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Le Portugal, l’Irlande et la Suède. La Suède passe de l’hébergement dans le parc privé aux centres collectifs. </w:t>
      </w:r>
    </w:p>
  </w:footnote>
  <w:footnote w:id="53">
    <w:p w14:paraId="3FB310DB" w14:textId="78C259A4" w:rsidR="00B87B1C" w:rsidRPr="005349C2" w:rsidRDefault="00B87B1C"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Par exemple, la Tchéquie, la Lituanie, la France, la Finlande, l’Espagne, Malte, la Slovaquie et la Grèce (continentale). </w:t>
      </w:r>
    </w:p>
  </w:footnote>
  <w:footnote w:id="54">
    <w:p w14:paraId="4D25CDD2" w14:textId="52F5E5DB" w:rsidR="007479AF" w:rsidRPr="005349C2" w:rsidRDefault="007479AF"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Par exemple, l’Autriche, la Croatie, la Tchéquie, l’Estonie, l’Italie et Malte. Des retards sont à prévoir en Bulgarie, à Chypre, en Lettonie, en Slovénie, en Slovaquie et au Portugal.</w:t>
      </w:r>
    </w:p>
  </w:footnote>
  <w:footnote w:id="55">
    <w:p w14:paraId="1AFBE5B0" w14:textId="3E7FF75F" w:rsidR="009C271A" w:rsidRPr="005349C2" w:rsidRDefault="009C271A" w:rsidP="005349C2">
      <w:pPr>
        <w:pStyle w:val="FootnoteText"/>
        <w:rPr>
          <w:rFonts w:ascii="Times New Roman" w:hAnsi="Times New Roman" w:cs="Times New Roman"/>
          <w:color w:val="196B24" w:themeColor="accent3"/>
        </w:rPr>
      </w:pPr>
      <w:r>
        <w:rPr>
          <w:rStyle w:val="FootnoteReference"/>
          <w:rFonts w:ascii="Times New Roman" w:hAnsi="Times New Roman" w:cs="Times New Roman"/>
          <w:color w:val="196B24" w:themeColor="accent3"/>
          <w:lang w:val="en-GB"/>
        </w:rPr>
        <w:footnoteRef/>
      </w:r>
      <w:r>
        <w:rPr>
          <w:rFonts w:ascii="Times New Roman" w:hAnsi="Times New Roman"/>
        </w:rPr>
        <w:t xml:space="preserve"> Par exemple, l’Autriche, la Croatie, Chypre, l’Estonie, la Lettonie, la Lituanie, le Luxembourg, le Portugal, la Roumanie et la Slovaquie. </w:t>
      </w:r>
    </w:p>
  </w:footnote>
  <w:footnote w:id="56">
    <w:p w14:paraId="3DC219F9" w14:textId="6BEFAB01" w:rsidR="00F07B22" w:rsidRPr="005349C2" w:rsidRDefault="00F07B22" w:rsidP="005349C2">
      <w:pPr>
        <w:pStyle w:val="FootnoteText"/>
        <w:rPr>
          <w:rFonts w:ascii="Times New Roman" w:eastAsia="Times New Roman" w:hAnsi="Times New Roman" w:cs="Times New Roman"/>
          <w:color w:val="000000" w:themeColor="text1"/>
        </w:rPr>
      </w:pPr>
      <w:r>
        <w:rPr>
          <w:rStyle w:val="FootnoteReference"/>
          <w:rFonts w:ascii="Times New Roman" w:hAnsi="Times New Roman" w:cs="Times New Roman"/>
          <w:lang w:val="en-GB"/>
        </w:rPr>
        <w:footnoteRef/>
      </w:r>
      <w:r>
        <w:rPr>
          <w:rFonts w:ascii="Times New Roman" w:hAnsi="Times New Roman"/>
        </w:rPr>
        <w:t xml:space="preserve"> L’AUEA met en œuvre ces plans dans le cadre de son soutien à la Roumanie.</w:t>
      </w:r>
      <w:r>
        <w:rPr>
          <w:rFonts w:ascii="Times New Roman" w:hAnsi="Times New Roman"/>
          <w:color w:val="000000" w:themeColor="text1"/>
        </w:rPr>
        <w:t xml:space="preserve"> </w:t>
      </w:r>
    </w:p>
  </w:footnote>
  <w:footnote w:id="57">
    <w:p w14:paraId="5AEF9794" w14:textId="4E41D82B" w:rsidR="00CC2F23" w:rsidRPr="005349C2" w:rsidRDefault="00CC2F23"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Par exemple, Chypre, l’Italie, Malte, la Slovénie et la Suède. </w:t>
      </w:r>
    </w:p>
  </w:footnote>
  <w:footnote w:id="58">
    <w:p w14:paraId="63703EA4" w14:textId="4F0ECF99" w:rsidR="009F123C" w:rsidRPr="005349C2" w:rsidRDefault="009F123C"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Par exemple, la Belgique, Chypre, l’Allemagne, les Pays-Bas, la Slovénie et la Suède. </w:t>
      </w:r>
    </w:p>
  </w:footnote>
  <w:footnote w:id="59">
    <w:p w14:paraId="5D8B7A21" w14:textId="6F926979" w:rsidR="007C0602" w:rsidRPr="005349C2" w:rsidRDefault="007C0602"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Les travaux relatifs aux systèmes informatiques liés à l’accueil se poursuivent en Belgique, en Bulgarie, en Croatie, en Lituanie, en Finlande, en France, en Italie, à Malte, en Slovaquie, en Slovénie, en Espagne et dans d’autres pays. Bien que la Finlande dispose d’un système avancé, elle doit hiérarchiser les tâches en raison d’un manque d’experts informatiques. La Slovénie ne parviendra pas à achever tous les travaux d’ici juin 2026. D’autres pays, comme l’Espagne, font état de progrès satisfaisants. L’Estonie procédera à l’intégration des systèmes informatiques après juin dans le cadre d’un autre projet et veillera à ce que toutes les interconnexions nécessaires soient en place d’ici juin. </w:t>
      </w:r>
    </w:p>
  </w:footnote>
  <w:footnote w:id="60">
    <w:p w14:paraId="39B94ADA" w14:textId="45952F2A" w:rsidR="00433870" w:rsidRPr="00D93A74" w:rsidRDefault="00433870"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La Tchéquie. </w:t>
      </w:r>
    </w:p>
  </w:footnote>
  <w:footnote w:id="61">
    <w:p w14:paraId="6256AAB1" w14:textId="073F2658" w:rsidR="2D326743" w:rsidRPr="00D93A74" w:rsidRDefault="2D326743"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hyperlink r:id="rId11" w:history="1">
        <w:r>
          <w:rPr>
            <w:rStyle w:val="Hyperlink"/>
            <w:rFonts w:ascii="Times New Roman" w:hAnsi="Times New Roman"/>
          </w:rPr>
          <w:t>https://www.euaa.europa.eu/publications/practical-guide-management-reception-centre-arrival</w:t>
        </w:r>
      </w:hyperlink>
      <w:r>
        <w:rPr>
          <w:rFonts w:ascii="Times New Roman" w:hAnsi="Times New Roman"/>
        </w:rPr>
        <w:t xml:space="preserve">. </w:t>
      </w:r>
    </w:p>
  </w:footnote>
  <w:footnote w:id="62">
    <w:p w14:paraId="2E027060" w14:textId="07B8B7F6" w:rsidR="00AB3166" w:rsidRPr="005349C2" w:rsidRDefault="00AB3166"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Ces orientations actualisent et regroupent les documents suivants: Orientations sur les conditions d’accueil: normes opérationnelles et indicateurs (2016); Orientations sur les conditions d’accueil des enfants non accompagnés: normes opérationnelles et indicateurs (2018); </w:t>
      </w:r>
      <w:hyperlink r:id="rId12" w:history="1">
        <w:r>
          <w:rPr>
            <w:rStyle w:val="Hyperlink"/>
            <w:rFonts w:ascii="Times New Roman" w:hAnsi="Times New Roman"/>
          </w:rPr>
          <w:t>https://www.euaa.europa.eu/publications/guidance-reception-operational-standards-and-indicators</w:t>
        </w:r>
      </w:hyperlink>
      <w:r>
        <w:rPr>
          <w:rFonts w:ascii="Times New Roman" w:hAnsi="Times New Roman"/>
        </w:rPr>
        <w:t xml:space="preserve">; </w:t>
      </w:r>
      <w:hyperlink r:id="rId13" w:history="1">
        <w:r>
          <w:rPr>
            <w:rStyle w:val="Hyperlink"/>
            <w:rFonts w:ascii="Times New Roman" w:hAnsi="Times New Roman"/>
          </w:rPr>
          <w:t>https://www.euaa.europa.eu/publications/guidance-vulnerability-operational-standards-and-indicators</w:t>
        </w:r>
      </w:hyperlink>
      <w:r>
        <w:rPr>
          <w:rFonts w:ascii="Times New Roman" w:hAnsi="Times New Roman"/>
        </w:rPr>
        <w:t>.</w:t>
      </w:r>
    </w:p>
  </w:footnote>
  <w:footnote w:id="63">
    <w:p w14:paraId="3CD2FA18" w14:textId="063F0298" w:rsidR="005203FA" w:rsidRPr="005349C2" w:rsidRDefault="005203FA"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Des préoccupations liées à l’accueil, notamment des mineurs non accompagnés, persistent à Chypre, en Belgique, aux Pays-Bas et en Grèce. L’Espagne réduit ses capacités compte tenu de la baisse du nombre d’arrivées. La France a réorganisé son système d’accueil en 2025 en réduisant les capacités en nature et en accordant une aide financière aux demandeurs qui ne se voient pas attribuer de logement en nature (les États membres peuvent octroyer des conditions matérielles d’accueil sous forme de prestations en nature ou au moyen d’argent liquide ou de bons).</w:t>
      </w:r>
    </w:p>
  </w:footnote>
  <w:footnote w:id="64">
    <w:p w14:paraId="651F05DE" w14:textId="3A5324CF" w:rsidR="00194C2A" w:rsidRPr="005349C2" w:rsidRDefault="00194C2A"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color w:val="000000" w:themeColor="text1"/>
        </w:rPr>
        <w:t>Parmi les États membres actuellement engagés dans ces différentes réformes figurent l’Autriche, la Belgique, la Croatie, Chypre, l’Estonie, la Finlande, l’Allemagne, l’Irlande, l’Italie, le Luxembourg, Malte, le Portugal et l’Espagne.</w:t>
      </w:r>
      <w:r>
        <w:rPr>
          <w:rFonts w:ascii="Times New Roman" w:hAnsi="Times New Roman"/>
        </w:rPr>
        <w:tab/>
      </w:r>
    </w:p>
  </w:footnote>
  <w:footnote w:id="65">
    <w:p w14:paraId="72310C42" w14:textId="22B7FDC1" w:rsidR="00194C2A" w:rsidRPr="005349C2" w:rsidRDefault="00194C2A"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color w:val="000000" w:themeColor="text1"/>
        </w:rPr>
        <w:t xml:space="preserve"> Par exemple, la Belgique, la Bulgarie, Chypre, l’Allemagne, la Grèce, l’Irlande, l’Italie, la Lituanie et le Portugal.</w:t>
      </w:r>
    </w:p>
  </w:footnote>
  <w:footnote w:id="66">
    <w:p w14:paraId="5EB02E6B" w14:textId="078EA5D1" w:rsidR="00194C2A" w:rsidRPr="005349C2" w:rsidRDefault="00194C2A"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color w:val="000000" w:themeColor="text1"/>
        </w:rPr>
        <w:t xml:space="preserve"> L’Autriche, la Belgique, la Croatie, Chypre, la Tchéquie, l’Irlande, l’Italie, la Lituanie, le Luxembourg, la Finlande, l’Estonie, le Portugal, la Slovénie, la Lettonie et l’Espagne.</w:t>
      </w:r>
    </w:p>
  </w:footnote>
  <w:footnote w:id="67">
    <w:p w14:paraId="102E9E69" w14:textId="70CCB899" w:rsidR="2D326743" w:rsidRPr="005349C2" w:rsidRDefault="2D326743"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hyperlink r:id="rId14" w:history="1">
        <w:r>
          <w:rPr>
            <w:rStyle w:val="Hyperlink"/>
            <w:rFonts w:ascii="Times New Roman" w:hAnsi="Times New Roman"/>
          </w:rPr>
          <w:t>https://www.euaa.europa.eu/publications/operational-standards-indicators-asylum-procedure</w:t>
        </w:r>
      </w:hyperlink>
      <w:r>
        <w:rPr>
          <w:rFonts w:ascii="Times New Roman" w:hAnsi="Times New Roman"/>
        </w:rPr>
        <w:t>.</w:t>
      </w:r>
    </w:p>
  </w:footnote>
  <w:footnote w:id="68">
    <w:p w14:paraId="30BC4000" w14:textId="78D2C482" w:rsidR="000E3FB2" w:rsidRPr="005349C2" w:rsidRDefault="000E3FB2"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hyperlink r:id="rId15" w:history="1">
        <w:r>
          <w:rPr>
            <w:rStyle w:val="Hyperlink"/>
            <w:rFonts w:ascii="Times New Roman" w:hAnsi="Times New Roman"/>
          </w:rPr>
          <w:t>https://www.euaa.europa.eu/sites/default/files/2025-11/2026_Courts_Tribunals_Schedule_Activities_EN.pdf</w:t>
        </w:r>
      </w:hyperlink>
      <w:r>
        <w:rPr>
          <w:rFonts w:ascii="Times New Roman" w:hAnsi="Times New Roman"/>
        </w:rPr>
        <w:t xml:space="preserve">. </w:t>
      </w:r>
    </w:p>
  </w:footnote>
  <w:footnote w:id="69">
    <w:p w14:paraId="2FDFFA0A" w14:textId="067BE818" w:rsidR="008F6AA1" w:rsidRPr="005349C2" w:rsidRDefault="008F6AA1"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Parmi les États membres qui continuent de faire face à des difficultés figurent la Belgique, la Croatie, Chypre, la Finlande, l’Allemagne, la Grèce, l’Irlande, l’Italie, le Luxembourg, Malte, les Pays-Bas, le Portugal et l’Espagne. </w:t>
      </w:r>
    </w:p>
  </w:footnote>
  <w:footnote w:id="70">
    <w:p w14:paraId="3326EBCE" w14:textId="64BDD946" w:rsidR="7E5249EB" w:rsidRPr="005349C2" w:rsidRDefault="7E5249EB"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r>
        <w:rPr>
          <w:rFonts w:ascii="Times New Roman" w:hAnsi="Times New Roman"/>
          <w:color w:val="000000" w:themeColor="text1"/>
        </w:rPr>
        <w:t>L’AUEA continue de mettre à jour ses modules de formation et d’en élaborer de nouveaux. À ce jour, 26 modules de formation ont été mis à jour ou élaborés, ce qui permet de mettre le programme européen de formation en matière d’asile en adéquation avec le pacte.</w:t>
      </w:r>
    </w:p>
  </w:footnote>
  <w:footnote w:id="71">
    <w:p w14:paraId="1D4C2585" w14:textId="4DE1AC62" w:rsidR="008F6AA1" w:rsidRPr="005349C2" w:rsidRDefault="008F6AA1"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Il s’agit notamment de l’Autriche, de l’Italie, de la Roumanie, de la Slovénie et de Chypre (nouveau centre d’aide au retour volontaire pour les personnes vulnérables); de la Bulgarie et de la Tchéquie (programmes d’aide au retour volontaire); et de la Bulgarie et de la Suède (bureaux de retour). La Pologne prévoit une nouvelle stratégie de retour et compte relancer les efforts pour intensifier les retours.</w:t>
      </w:r>
    </w:p>
  </w:footnote>
  <w:footnote w:id="72">
    <w:p w14:paraId="3D506937" w14:textId="440EACE2" w:rsidR="654784E5" w:rsidRPr="005349C2" w:rsidRDefault="654784E5"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Autriche, Belgique, Bulgarie, Croatie, Chypre, Tchéquie, Estonie, Finlande, Grèce, Hongrie, Italie, Lettonie, Lituanie, Luxembourg, Malte, Pays-Bas, Norvège, Pologne, Portugal, Roumanie, Slovénie et Suisse.</w:t>
      </w:r>
    </w:p>
  </w:footnote>
  <w:footnote w:id="73">
    <w:p w14:paraId="5AF9C264" w14:textId="1B7C6150" w:rsidR="00306553" w:rsidRPr="005349C2" w:rsidDel="00F80A62" w:rsidRDefault="005F7A3B"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Règlement d’exécution (UE) 2025/2055 de la Commission du 2 octobre 2025 portant modalités d’application du règlement (UE) 2024/1351 du Parlement européen et du Conseil en ce qui concerne la gestion de l’asile et de la migration, et abrogeant le règlement (CE) nº 1560/2003 de la Commission.</w:t>
      </w:r>
    </w:p>
  </w:footnote>
  <w:footnote w:id="74">
    <w:p w14:paraId="52797A3A" w14:textId="020B3A50" w:rsidR="0078229A" w:rsidRPr="005349C2" w:rsidRDefault="0078229A"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Autriche (transferts internes), Belgique, Croatie, Estonie, Grèce, Malte, Portugal et Slovénie. </w:t>
      </w:r>
    </w:p>
  </w:footnote>
  <w:footnote w:id="75">
    <w:p w14:paraId="5A3902F8" w14:textId="12D94C1B" w:rsidR="005B159A" w:rsidRPr="005349C2" w:rsidRDefault="005B159A"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Par exemple, réorganisations internes en Croatie et en Irlande; amélioration des systèmes informatiques et de gestion des dossiers en Belgique, en Bulgarie, à Chypre, en Tchéquie, au Danemark, en France, en Finlande, en Irlande et en Italie; nouvelles orientations, relatives notamment aux groupes vulnérables et aux familles, en Autriche, en Tchéquie, en France et en Irlande; formations supplémentaires dispensées en Autriche, en Tchéquie, en France, en Irlande, au Portugal et en Suède; construction d’installations spéciales pour accueillir les personnes faisant l’objet d’un transfert de responsabilité en Belgique, en Finlande, en Allemagne et en Slovénie, mais aussi services de conseil améliorés pour parer au risque de fuite, comme en Belgique notamment.</w:t>
      </w:r>
    </w:p>
  </w:footnote>
  <w:footnote w:id="76">
    <w:p w14:paraId="48DC55E2" w14:textId="0DADF808" w:rsidR="00BD2956" w:rsidRPr="005349C2" w:rsidRDefault="00BD2956"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hyperlink r:id="rId16" w:history="1">
        <w:r>
          <w:rPr>
            <w:rStyle w:val="Hyperlink"/>
            <w:rFonts w:ascii="Times New Roman" w:hAnsi="Times New Roman"/>
          </w:rPr>
          <w:t>https://www.euaa.europa.eu/publications/operational-standards-indicators-asylum-migration-management-regulation</w:t>
        </w:r>
      </w:hyperlink>
      <w:r>
        <w:rPr>
          <w:rFonts w:ascii="Times New Roman" w:hAnsi="Times New Roman"/>
        </w:rPr>
        <w:t xml:space="preserve">. </w:t>
      </w:r>
    </w:p>
  </w:footnote>
  <w:footnote w:id="77">
    <w:p w14:paraId="65AF9829" w14:textId="661106B2" w:rsidR="005C16DD" w:rsidRPr="005349C2" w:rsidRDefault="005C16DD" w:rsidP="005349C2">
      <w:pPr>
        <w:pStyle w:val="FootnoteText"/>
        <w:rPr>
          <w:rFonts w:ascii="Times New Roman" w:eastAsia="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Règlement (UE) nº 604/2013 du Parlement européen et du Conseil du 26 juin 2013 établissant les critères et mécanismes de détermination de l’État membre responsable de l’examen d’une demande de protection internationale présentée dans l’un des États membres par un ressortissant d’un pays tiers ou un apatride (refonte).</w:t>
      </w:r>
    </w:p>
  </w:footnote>
  <w:footnote w:id="78">
    <w:p w14:paraId="0A142C75" w14:textId="45F38074" w:rsidR="578C1387" w:rsidRPr="005349C2" w:rsidRDefault="578C1387" w:rsidP="005349C2">
      <w:pPr>
        <w:pStyle w:val="FootnoteText"/>
        <w:rPr>
          <w:rFonts w:ascii="Times New Roman" w:eastAsia="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À ce jour, tous les États membres à l’exception de la Hongrie ont notifié à l’AUEA les sites désignés.</w:t>
      </w:r>
    </w:p>
  </w:footnote>
  <w:footnote w:id="79">
    <w:p w14:paraId="0C71D042" w14:textId="4FCA10F6" w:rsidR="002D747A" w:rsidRPr="005349C2" w:rsidRDefault="002D747A"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Croatie, Grèce, Italie, Portugal et Roumanie.</w:t>
      </w:r>
    </w:p>
  </w:footnote>
  <w:footnote w:id="80">
    <w:p w14:paraId="1404E951" w14:textId="363AD8EB" w:rsidR="005744B7" w:rsidRPr="005349C2" w:rsidRDefault="005744B7"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hyperlink r:id="rId17" w:history="1">
        <w:r>
          <w:rPr>
            <w:rStyle w:val="Hyperlink"/>
            <w:rFonts w:ascii="Times New Roman" w:hAnsi="Times New Roman"/>
          </w:rPr>
          <w:t>https://eur-lex.europa.eu/legal-content/FR/TXT/?uri=celex:52025DC0795</w:t>
        </w:r>
      </w:hyperlink>
      <w:r>
        <w:rPr>
          <w:rFonts w:ascii="Times New Roman" w:hAnsi="Times New Roman"/>
        </w:rPr>
        <w:t>.</w:t>
      </w:r>
    </w:p>
  </w:footnote>
  <w:footnote w:id="81">
    <w:p w14:paraId="5363535B" w14:textId="0AA08BB0" w:rsidR="00A07747" w:rsidRPr="005349C2" w:rsidRDefault="00A07747"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Décision d’exécution (UE) 2025/2323 de la Commission du 11 novembre 2025 au titre de l’article 11 du règlement (UE) 2024/1351 du Parlement européen et du Conseil.</w:t>
      </w:r>
    </w:p>
  </w:footnote>
  <w:footnote w:id="82">
    <w:p w14:paraId="00FF60D5" w14:textId="451F30EE" w:rsidR="00A07747" w:rsidRPr="005349C2" w:rsidRDefault="00A07747"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Tous les États membres se sont engagés, à l’exception de la Hongrie et de la Slovaquie.</w:t>
      </w:r>
    </w:p>
  </w:footnote>
  <w:footnote w:id="83">
    <w:p w14:paraId="733879A6" w14:textId="578ACCAA" w:rsidR="008F6AA1" w:rsidRPr="005349C2" w:rsidRDefault="008F6AA1"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Décision d’exécution (UE) 2025/2642 du Conseil du 19 décembre 2025 établissant la réserve annuelle de solidarité pour 2026. </w:t>
      </w:r>
    </w:p>
  </w:footnote>
  <w:footnote w:id="84">
    <w:p w14:paraId="0A3E3C94" w14:textId="565CFA6B" w:rsidR="0050640F" w:rsidRPr="005349C2" w:rsidRDefault="0050640F"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Une réunion de la plateforme de solidarité s’est tenue le 23 mars 2026 pour préparer la mise en œuvre opérationnelle de la réserve de solidarité pour 2026, une fois que le pacte sera entré en application.</w:t>
      </w:r>
    </w:p>
  </w:footnote>
  <w:footnote w:id="85">
    <w:p w14:paraId="2B0BE330" w14:textId="1114D0F7" w:rsidR="00925023" w:rsidRPr="005349C2" w:rsidRDefault="00925023"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hyperlink r:id="rId18" w:history="1">
        <w:r>
          <w:rPr>
            <w:rStyle w:val="Hyperlink"/>
            <w:rFonts w:ascii="Times New Roman" w:hAnsi="Times New Roman"/>
          </w:rPr>
          <w:t>https://www.euaa.europa.eu/publications/practical-guide-solidarity-mechanism-part-i</w:t>
        </w:r>
      </w:hyperlink>
      <w:r>
        <w:rPr>
          <w:rFonts w:ascii="Times New Roman" w:hAnsi="Times New Roman"/>
        </w:rPr>
        <w:t>.</w:t>
      </w:r>
    </w:p>
  </w:footnote>
  <w:footnote w:id="86">
    <w:p w14:paraId="02B12B81" w14:textId="503F0B25" w:rsidR="008E6B38" w:rsidRPr="005349C2" w:rsidRDefault="008E6B38"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Selon le premier rapport annuel, les données dans plusieurs États membres, notamment au sujet du retour, des décisions de recours liées à l’asile, des régimes d’accueil, des mineurs non accompagnés et du séjour irrégulier, présentaient encore d’importantes lacunes. La Bulgarie, la Croatie, Chypre, la Tchéquie, l’Estonie, la Finlande, la France, l’Allemagne, la Hongrie, l’Irlande, l’Italie, la Lettonie, le Luxembourg, le Portugal, la Roumanie et l’Espagne ont soit communiqué des données incomplètes concernant un ou plusieurs indicateurs, soit n’en ont communiqué aucune.</w:t>
      </w:r>
    </w:p>
  </w:footnote>
  <w:footnote w:id="87">
    <w:p w14:paraId="166595FF" w14:textId="77777777" w:rsidR="008E6B38" w:rsidRPr="005349C2" w:rsidRDefault="008E6B38" w:rsidP="005349C2">
      <w:pPr>
        <w:pStyle w:val="FootnoteText"/>
        <w:rPr>
          <w:rStyle w:val="FootnoteReference"/>
          <w:rFonts w:ascii="Times New Roman" w:hAnsi="Times New Roman" w:cs="Times New Roman"/>
        </w:rPr>
      </w:pPr>
      <w:r>
        <w:rPr>
          <w:rStyle w:val="FootnoteReference"/>
          <w:rFonts w:ascii="Times New Roman" w:hAnsi="Times New Roman" w:cs="Times New Roman"/>
          <w:lang w:val="en-GB"/>
        </w:rPr>
        <w:footnoteRef/>
      </w:r>
      <w:r>
        <w:rPr>
          <w:rStyle w:val="normaltextrun"/>
          <w:rFonts w:ascii="Times New Roman" w:hAnsi="Times New Roman"/>
        </w:rPr>
        <w:t xml:space="preserve">Un projet conjoint AUEA-EUROSTAT est mis en place pour rationaliser les statistiques sur la protection internationale. </w:t>
      </w:r>
      <w:r>
        <w:rPr>
          <w:rFonts w:ascii="Times New Roman" w:hAnsi="Times New Roman"/>
        </w:rPr>
        <w:t>Un accord de travail doit être signé entre les deux entités d’ici à la mi-2026 et le nouveau flux de données sera applicable à partir du mois de référence de juillet 2025.</w:t>
      </w:r>
    </w:p>
  </w:footnote>
  <w:footnote w:id="88">
    <w:p w14:paraId="76B9C1BE" w14:textId="1D9B6170" w:rsidR="6531DB3B" w:rsidRPr="005349C2" w:rsidRDefault="6531DB3B"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hyperlink r:id="rId19" w:history="1">
        <w:r>
          <w:rPr>
            <w:rStyle w:val="Hyperlink"/>
            <w:rFonts w:ascii="Times New Roman" w:hAnsi="Times New Roman"/>
          </w:rPr>
          <w:t>https://www.consilium.europa.eu/media/y1vdyhkz/fr-20260319-european-council-conclusions.pdf</w:t>
        </w:r>
      </w:hyperlink>
      <w:r>
        <w:rPr>
          <w:rFonts w:ascii="Times New Roman" w:hAnsi="Times New Roman"/>
        </w:rPr>
        <w:t xml:space="preserve">. </w:t>
      </w:r>
    </w:p>
  </w:footnote>
  <w:footnote w:id="89">
    <w:p w14:paraId="5DA30169" w14:textId="45402591" w:rsidR="798CB0FA" w:rsidRPr="005349C2" w:rsidRDefault="798CB0FA"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Frontex a mis à jour le manuel sur la planification de mesures d’urgence pour la gestion des frontières et le retour, une référence pratique conçue pour contribuer à activer, tester et affiner les plans d’urgence nationaux en cas d’afflux migratoires importants et d’autres crises aux frontières extérieures de l’UE.</w:t>
      </w:r>
    </w:p>
  </w:footnote>
  <w:footnote w:id="90">
    <w:p w14:paraId="496A60C1" w14:textId="091A1D9D" w:rsidR="00ED15D5" w:rsidRPr="005349C2" w:rsidRDefault="00ED15D5"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La Hongrie.</w:t>
      </w:r>
    </w:p>
  </w:footnote>
  <w:footnote w:id="91">
    <w:p w14:paraId="41E3DB06" w14:textId="59F7F46C" w:rsidR="000031EE" w:rsidRPr="005349C2" w:rsidRDefault="000031EE"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Par exemple, l’Espagne, l’Estonie, la France, la Lettonie, les Pays-Bas et l’Autriche. Dans le cadre des dialogues menés par la Commission avec les États membres, certains de ces États membres, ainsi que la Pologne, </w:t>
      </w:r>
      <w:bookmarkStart w:id="5" w:name="_Hlk228285940"/>
      <w:r>
        <w:rPr>
          <w:rFonts w:ascii="Times New Roman" w:hAnsi="Times New Roman"/>
        </w:rPr>
        <w:t xml:space="preserve">ont indiqué qu’ils étaient en train, ou prévoyaient, de réviser et de compléter leur plan d’urgence. D’autres États membres ont indiqué qu’en raison des préparatifs législatifs et administratifs en cours en vue de l’entrée en application du pacte, la révision de leur plan d’urgence n’était pas encore planifiée ou n’était prévue qu’à un stade ultérieur, mais que des mesures pourraient néanmoins être déployées en cas de nécessité. </w:t>
      </w:r>
    </w:p>
    <w:bookmarkEnd w:id="5"/>
  </w:footnote>
  <w:footnote w:id="92">
    <w:p w14:paraId="210F7505" w14:textId="1868C6ED" w:rsidR="00027553" w:rsidRPr="005349C2" w:rsidRDefault="00027553"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Par exemple, les Pays-Bas et l’Estonie.</w:t>
      </w:r>
    </w:p>
  </w:footnote>
  <w:footnote w:id="93">
    <w:p w14:paraId="71F0F67B" w14:textId="7CCBF18D" w:rsidR="0A68B11B" w:rsidRPr="005349C2" w:rsidRDefault="0A68B11B"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Par exemple, Malte, le Portugal, l’Espagne, la France et l’Italie ont fait état d’activités récentes ou prévues en lien avec leurs plans d’urgence respectifs.</w:t>
      </w:r>
    </w:p>
  </w:footnote>
  <w:footnote w:id="94">
    <w:p w14:paraId="63A3E30E" w14:textId="5EB398F7" w:rsidR="2D326743" w:rsidRPr="005349C2" w:rsidRDefault="2D326743" w:rsidP="005349C2">
      <w:pPr>
        <w:pStyle w:val="FootnoteText"/>
        <w:rPr>
          <w:rFonts w:ascii="Times New Roman" w:eastAsia="Aptos"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Le 30 juillet 2025, des indications communes sur la manière de notifier à la Commission et à l’AUEA l’activation et la désactivation de leur plan dans les cas prévus par la directive relative aux conditions d’accueil ont été communiquées aux États membres.</w:t>
      </w:r>
    </w:p>
  </w:footnote>
  <w:footnote w:id="95">
    <w:p w14:paraId="6784AD03" w14:textId="7FD536AF" w:rsidR="03A204D8" w:rsidRPr="005349C2" w:rsidRDefault="03A204D8"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Au 27 mars, l’Autriche, Chypre, la Lituanie, l’Estonie, les Pays-Bas, Malte, le Luxembourg, la Pologne et la Suède avaient reçu un retour d’information.</w:t>
      </w:r>
    </w:p>
  </w:footnote>
  <w:footnote w:id="96">
    <w:p w14:paraId="206FCFE4" w14:textId="06A436F6" w:rsidR="62498C96" w:rsidRPr="005349C2" w:rsidRDefault="62498C96" w:rsidP="005349C2">
      <w:pPr>
        <w:pStyle w:val="FootnoteText"/>
        <w:rPr>
          <w:rFonts w:ascii="Times New Roman" w:eastAsia="Times New Roman" w:hAnsi="Times New Roman" w:cs="Times New Roman"/>
          <w:color w:val="000000" w:themeColor="text1"/>
        </w:rPr>
      </w:pPr>
      <w:r>
        <w:rPr>
          <w:rStyle w:val="FootnoteReference"/>
          <w:rFonts w:ascii="Times New Roman" w:hAnsi="Times New Roman" w:cs="Times New Roman"/>
          <w:lang w:val="en-GB"/>
        </w:rPr>
        <w:footnoteRef/>
      </w:r>
      <w:r>
        <w:rPr>
          <w:rFonts w:ascii="Times New Roman" w:hAnsi="Times New Roman"/>
        </w:rPr>
        <w:t xml:space="preserve"> </w:t>
      </w:r>
      <w:r>
        <w:rPr>
          <w:rFonts w:ascii="Times New Roman" w:hAnsi="Times New Roman"/>
          <w:color w:val="000000" w:themeColor="text1"/>
        </w:rPr>
        <w:t>Il s’agit notamment de l’Autriche, de la Bulgarie, de Chypre, de la Grèce, de l’Italie, de la Lettonie, de Malte, des Pays-Bas, de la Slovénie, de l’Espagne et de la Suède.</w:t>
      </w:r>
    </w:p>
  </w:footnote>
  <w:footnote w:id="97">
    <w:p w14:paraId="5C64DE54" w14:textId="13F08AEE" w:rsidR="7E6932E3" w:rsidRPr="005349C2" w:rsidRDefault="7E6932E3" w:rsidP="005349C2">
      <w:pPr>
        <w:pStyle w:val="FootnoteText"/>
        <w:rPr>
          <w:rFonts w:ascii="Times New Roman" w:eastAsia="Times New Roman" w:hAnsi="Times New Roman" w:cs="Times New Roman"/>
          <w:color w:val="000000" w:themeColor="text1"/>
        </w:rPr>
      </w:pPr>
      <w:r>
        <w:rPr>
          <w:rStyle w:val="FootnoteReference"/>
          <w:rFonts w:ascii="Times New Roman" w:hAnsi="Times New Roman" w:cs="Times New Roman"/>
          <w:lang w:val="en-GB"/>
        </w:rPr>
        <w:footnoteRef/>
      </w:r>
      <w:r>
        <w:rPr>
          <w:rFonts w:ascii="Times New Roman" w:hAnsi="Times New Roman"/>
        </w:rPr>
        <w:t xml:space="preserve"> </w:t>
      </w:r>
      <w:r>
        <w:rPr>
          <w:rFonts w:ascii="Times New Roman" w:hAnsi="Times New Roman"/>
          <w:color w:val="000000" w:themeColor="text1"/>
        </w:rPr>
        <w:t>La Belgique (ONG et Office des étrangers), la Bulgarie (Bureau national d’aide juridictionnelle), la Croatie (ONG), la Tchéquie (cabinet d’avocats), la France (ONG), l’Irlande (bureau d’aide juridictionnelle), l’Italie (HCR), la Lituanie (garantie de l’État), le Luxembourg, la Pologne (ONG), le Portugal (Association des avocats), la Roumanie (ONG), la Slovaquie (ONG), l’Autriche (BBU — organisme gouvernemental indépendant de l’agence pour l’asile), la Slovénie (appel d’offres public en préparation pour que du personnel externe fournisse l’assistance juridique), la Suède (ONG), l’Estonie (marchés publics en cours) et la Lettonie. L’Allemagne, la Finlande, Malte et les Pays-Bas s’appuient sur des arrangements internes au sein des organes gouvernementaux également responsables des procédures.</w:t>
      </w:r>
    </w:p>
  </w:footnote>
  <w:footnote w:id="98">
    <w:p w14:paraId="45A5DB8D" w14:textId="08815464" w:rsidR="79E04A38" w:rsidRPr="005349C2" w:rsidRDefault="723976E2" w:rsidP="005349C2">
      <w:pPr>
        <w:pStyle w:val="FootnoteText"/>
        <w:rPr>
          <w:rFonts w:ascii="Times New Roman" w:eastAsia="Times New Roman" w:hAnsi="Times New Roman" w:cs="Times New Roman"/>
          <w:color w:val="000000" w:themeColor="text1"/>
        </w:rPr>
      </w:pPr>
      <w:r>
        <w:rPr>
          <w:rStyle w:val="FootnoteReference"/>
          <w:rFonts w:ascii="Times New Roman" w:hAnsi="Times New Roman" w:cs="Times New Roman"/>
          <w:lang w:val="en-GB"/>
        </w:rPr>
        <w:footnoteRef/>
      </w:r>
      <w:r>
        <w:rPr>
          <w:rFonts w:ascii="Times New Roman" w:hAnsi="Times New Roman"/>
        </w:rPr>
        <w:t xml:space="preserve"> </w:t>
      </w:r>
      <w:r>
        <w:rPr>
          <w:rFonts w:ascii="Times New Roman" w:hAnsi="Times New Roman"/>
          <w:color w:val="000000" w:themeColor="text1"/>
        </w:rPr>
        <w:t>L’Autriche, la Bulgarie, Chypre, la Tchéquie, le Danemark, l’Estonie, la France (avec le Contrôleur général des lieux de privation de liberté), la Finlande, la Lettonie, la Lituanie, le Luxembourg, la Pologne, le Portugal, la Roumanie, la Slovaquie, la Slovénie et l’Espagne. D’autres États membres ont choisi des modalités différentes: l’Irlande (</w:t>
      </w:r>
      <w:r>
        <w:rPr>
          <w:rFonts w:ascii="Times New Roman" w:hAnsi="Times New Roman"/>
          <w:i/>
          <w:color w:val="000000" w:themeColor="text1"/>
        </w:rPr>
        <w:t>Chief Inspector for Asylum and Border Procedures</w:t>
      </w:r>
      <w:r>
        <w:rPr>
          <w:rFonts w:ascii="Times New Roman" w:hAnsi="Times New Roman"/>
          <w:color w:val="000000" w:themeColor="text1"/>
        </w:rPr>
        <w:t>), l’Allemagne (</w:t>
      </w:r>
      <w:r>
        <w:rPr>
          <w:rFonts w:ascii="Times New Roman" w:hAnsi="Times New Roman"/>
          <w:i/>
          <w:color w:val="000000" w:themeColor="text1"/>
        </w:rPr>
        <w:t>Nationale Stelle zur Verhütung von Folter</w:t>
      </w:r>
      <w:r>
        <w:rPr>
          <w:rFonts w:ascii="Times New Roman" w:hAnsi="Times New Roman"/>
          <w:color w:val="000000" w:themeColor="text1"/>
        </w:rPr>
        <w:t xml:space="preserve"> et </w:t>
      </w:r>
      <w:r>
        <w:rPr>
          <w:rFonts w:ascii="Times New Roman" w:hAnsi="Times New Roman"/>
          <w:i/>
          <w:color w:val="000000" w:themeColor="text1"/>
        </w:rPr>
        <w:t>Deutsches Institut fuer Menschenrechte</w:t>
      </w:r>
      <w:r>
        <w:rPr>
          <w:rFonts w:ascii="Times New Roman" w:hAnsi="Times New Roman"/>
          <w:color w:val="000000" w:themeColor="text1"/>
        </w:rPr>
        <w:t>),</w:t>
      </w:r>
      <w:r>
        <w:rPr>
          <w:rFonts w:ascii="Times New Roman" w:hAnsi="Times New Roman"/>
          <w:b/>
          <w:color w:val="767676"/>
        </w:rPr>
        <w:t xml:space="preserve"> </w:t>
      </w:r>
      <w:r>
        <w:rPr>
          <w:rFonts w:ascii="Times New Roman" w:hAnsi="Times New Roman"/>
          <w:color w:val="000000" w:themeColor="text1"/>
        </w:rPr>
        <w:t xml:space="preserve">les Pays-Bas (Institut des droits de l’homme et Inspection néerlandaise) et la Croatie (bureau gouvernemental chargé des droits de l’homme). La Belgique, la Grèce, la Hongrie, l’Italie, Malte et la Suède n’ont pas encore conclu d’arrangements. </w:t>
      </w:r>
    </w:p>
  </w:footnote>
  <w:footnote w:id="99">
    <w:p w14:paraId="1CB6C765" w14:textId="5D20DE6C" w:rsidR="711C02BB" w:rsidRPr="005349C2" w:rsidRDefault="711C02BB"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hyperlink r:id="rId20" w:history="1">
        <w:r>
          <w:rPr>
            <w:rStyle w:val="Hyperlink"/>
            <w:rFonts w:ascii="Times New Roman" w:hAnsi="Times New Roman"/>
          </w:rPr>
          <w:t>https://fra.europa.eu/fr/publication/2024/border-rights-monitoring</w:t>
        </w:r>
      </w:hyperlink>
      <w:r>
        <w:rPr>
          <w:rFonts w:ascii="Times New Roman" w:hAnsi="Times New Roman"/>
        </w:rPr>
        <w:t xml:space="preserve">. </w:t>
      </w:r>
    </w:p>
  </w:footnote>
  <w:footnote w:id="100">
    <w:p w14:paraId="17596B95" w14:textId="24923001" w:rsidR="00F76165" w:rsidRPr="005349C2" w:rsidRDefault="00F76165"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L’Estonie, la Finlande, la Lettonie, la Lituanie, la Pologne et la Roumanie. En Roumanie, l’outil pratique de contrôle a été testé lors d’un exercice de simulation de filtrage.</w:t>
      </w:r>
    </w:p>
  </w:footnote>
  <w:footnote w:id="101">
    <w:p w14:paraId="76B5E7D7" w14:textId="174866EA" w:rsidR="711C02BB" w:rsidRPr="005349C2" w:rsidRDefault="711C02BB"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hyperlink r:id="rId21" w:history="1">
        <w:r>
          <w:rPr>
            <w:rStyle w:val="Hyperlink"/>
            <w:rFonts w:ascii="Times New Roman" w:hAnsi="Times New Roman"/>
          </w:rPr>
          <w:t>https://fra.europa.eu/fr/publication/2026/operationalising-pact-migration-and-asylum-hotspot</w:t>
        </w:r>
      </w:hyperlink>
      <w:r>
        <w:rPr>
          <w:rFonts w:ascii="Times New Roman" w:hAnsi="Times New Roman"/>
        </w:rPr>
        <w:t xml:space="preserve">. </w:t>
      </w:r>
    </w:p>
  </w:footnote>
  <w:footnote w:id="102">
    <w:p w14:paraId="15B61BBF" w14:textId="718B4431" w:rsidR="000D051D" w:rsidRPr="005349C2" w:rsidRDefault="000D051D"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hyperlink r:id="rId22">
        <w:r>
          <w:rPr>
            <w:rStyle w:val="Hyperlink"/>
            <w:rFonts w:ascii="Times New Roman" w:hAnsi="Times New Roman"/>
          </w:rPr>
          <w:t>https://www.euaa.europa.eu/publications/practical-guide-free-legal-counselling</w:t>
        </w:r>
      </w:hyperlink>
      <w:r>
        <w:rPr>
          <w:rFonts w:ascii="Times New Roman" w:hAnsi="Times New Roman"/>
        </w:rPr>
        <w:t>.</w:t>
      </w:r>
    </w:p>
  </w:footnote>
  <w:footnote w:id="103">
    <w:p w14:paraId="63CE1AE2" w14:textId="648F476F" w:rsidR="008911D9" w:rsidRPr="005349C2" w:rsidRDefault="008911D9"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Peu d’</w:t>
      </w:r>
      <w:r>
        <w:rPr>
          <w:rFonts w:ascii="Times New Roman" w:hAnsi="Times New Roman"/>
          <w:color w:val="000000" w:themeColor="text1"/>
        </w:rPr>
        <w:t>États</w:t>
      </w:r>
      <w:r>
        <w:rPr>
          <w:rFonts w:ascii="Times New Roman" w:hAnsi="Times New Roman"/>
        </w:rPr>
        <w:t xml:space="preserve"> membres ont mis en place une procédure pluridisciplinaire: l’Autriche, la France, l’</w:t>
      </w:r>
      <w:r>
        <w:rPr>
          <w:rFonts w:ascii="Times New Roman" w:hAnsi="Times New Roman"/>
          <w:color w:val="000000" w:themeColor="text1"/>
        </w:rPr>
        <w:t xml:space="preserve">Allemagne, la </w:t>
      </w:r>
      <w:r>
        <w:rPr>
          <w:rFonts w:ascii="Times New Roman" w:hAnsi="Times New Roman"/>
          <w:color w:val="000000" w:themeColor="text1"/>
          <w:shd w:val="clear" w:color="auto" w:fill="FFFFFF" w:themeFill="background1"/>
        </w:rPr>
        <w:t>Croatie</w:t>
      </w:r>
      <w:r>
        <w:rPr>
          <w:rFonts w:ascii="Times New Roman" w:hAnsi="Times New Roman"/>
          <w:color w:val="000000" w:themeColor="text1"/>
        </w:rPr>
        <w:t>, la Lituanie, l’Italie, la Norvège, le Portugal et la Suède.</w:t>
      </w:r>
    </w:p>
  </w:footnote>
  <w:footnote w:id="104">
    <w:p w14:paraId="7F2498C3" w14:textId="06C3EF02" w:rsidR="00225E9E" w:rsidRPr="005349C2" w:rsidRDefault="00225E9E"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hyperlink r:id="rId23">
        <w:r>
          <w:rPr>
            <w:rStyle w:val="Hyperlink"/>
            <w:rFonts w:ascii="Times New Roman" w:hAnsi="Times New Roman"/>
          </w:rPr>
          <w:t>https://www.euaa.europa.eu/publications/practical-guide-age-assessment-0</w:t>
        </w:r>
      </w:hyperlink>
      <w:r>
        <w:rPr>
          <w:rFonts w:ascii="Times New Roman" w:hAnsi="Times New Roman"/>
        </w:rPr>
        <w:t>.</w:t>
      </w:r>
    </w:p>
  </w:footnote>
  <w:footnote w:id="105">
    <w:p w14:paraId="496DDA17" w14:textId="18870F40" w:rsidR="03A204D8" w:rsidRPr="005349C2" w:rsidRDefault="03A204D8"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AUEA: Pratiques en matière d’évaluation de l’âge dans les pays de l’UE+</w:t>
      </w:r>
      <w:r>
        <w:t xml:space="preserve">, </w:t>
      </w:r>
      <w:hyperlink r:id="rId24" w:history="1">
        <w:r>
          <w:rPr>
            <w:rStyle w:val="Hyperlink"/>
            <w:rFonts w:ascii="Times New Roman" w:hAnsi="Times New Roman"/>
          </w:rPr>
          <w:t>https://www.euaa.europa.eu/publications/age-assessment-practices-eu-countries-0</w:t>
        </w:r>
      </w:hyperlink>
      <w:r>
        <w:t>.</w:t>
      </w:r>
      <w:r>
        <w:rPr>
          <w:rFonts w:ascii="Times New Roman" w:hAnsi="Times New Roman"/>
          <w:color w:val="000000" w:themeColor="text1"/>
        </w:rPr>
        <w:t xml:space="preserve"> </w:t>
      </w:r>
    </w:p>
  </w:footnote>
  <w:footnote w:id="106">
    <w:p w14:paraId="3A05619C" w14:textId="1060C54C" w:rsidR="00225E9E" w:rsidRPr="005349C2" w:rsidRDefault="00225E9E"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hyperlink r:id="rId25" w:history="1">
        <w:r>
          <w:rPr>
            <w:rStyle w:val="Hyperlink"/>
            <w:rFonts w:ascii="Times New Roman" w:hAnsi="Times New Roman"/>
          </w:rPr>
          <w:t>https://www.euaa.europa.eu/publications/practical-guide-best-interests-child</w:t>
        </w:r>
      </w:hyperlink>
      <w:r>
        <w:rPr>
          <w:rFonts w:ascii="Times New Roman" w:hAnsi="Times New Roman"/>
        </w:rPr>
        <w:t>, AUEA: Guide pratique sur l’intérêt supérieur de l’enfant dans le cadre de la protection internationale.</w:t>
      </w:r>
    </w:p>
  </w:footnote>
  <w:footnote w:id="107">
    <w:p w14:paraId="7B7E5F61" w14:textId="6B7DAD2E" w:rsidR="00225E9E" w:rsidRPr="005349C2" w:rsidRDefault="00225E9E"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Agence des droits fondamentaux de l’Union européenne: la tutelle des enfants privés de soins parentaux. </w:t>
      </w:r>
      <w:r>
        <w:rPr>
          <w:rFonts w:ascii="Times New Roman" w:hAnsi="Times New Roman"/>
          <w:color w:val="000000" w:themeColor="text1"/>
        </w:rPr>
        <w:t>https://fra.europa.eu/fr/publication/2014/guardianship-children-deprived-parental-care</w:t>
      </w:r>
    </w:p>
  </w:footnote>
  <w:footnote w:id="108">
    <w:p w14:paraId="37B65F3E" w14:textId="5DDD0BA2" w:rsidR="2AADD955" w:rsidRPr="005349C2" w:rsidRDefault="2AADD955"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Formation de l’AUEA: la prise en compte de la vulnérabilité dans le pacte sur la migration et l’asile. </w:t>
      </w:r>
      <w:r>
        <w:rPr>
          <w:rFonts w:ascii="Times New Roman" w:hAnsi="Times New Roman"/>
          <w:color w:val="000000" w:themeColor="text1"/>
        </w:rPr>
        <w:t>https://www.euaa.europa.eu/training-catalogue/vulnerability-pact-migration-and-asylum</w:t>
      </w:r>
    </w:p>
  </w:footnote>
  <w:footnote w:id="109">
    <w:p w14:paraId="38BE2198" w14:textId="67B4559F" w:rsidR="37C2BBF4" w:rsidRPr="005349C2" w:rsidRDefault="37C2BBF4"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r>
        <w:rPr>
          <w:rFonts w:ascii="Times New Roman" w:hAnsi="Times New Roman"/>
          <w:color w:val="000000" w:themeColor="text1"/>
        </w:rPr>
        <w:t>Chypre, la Grèce, la Hongrie, l’Estonie, la Lettonie et l’Italie.</w:t>
      </w:r>
    </w:p>
  </w:footnote>
  <w:footnote w:id="110">
    <w:p w14:paraId="4524A052" w14:textId="0C45AEF9" w:rsidR="6973A039" w:rsidRPr="005349C2" w:rsidRDefault="6973A039"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r>
        <w:rPr>
          <w:rFonts w:ascii="Times New Roman" w:hAnsi="Times New Roman"/>
          <w:color w:val="000000" w:themeColor="text1"/>
        </w:rPr>
        <w:t xml:space="preserve">La Belgique, la Hongrie, l’Italie et Malte. </w:t>
      </w:r>
    </w:p>
  </w:footnote>
  <w:footnote w:id="111">
    <w:p w14:paraId="74273B5B" w14:textId="166094D3" w:rsidR="508715CA" w:rsidRPr="005349C2" w:rsidRDefault="508715CA"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Décision d’exécution (UE) 2025/2628 du Conseil du 18 décembre 2025 relative au plan de l’Union pour la réinstallation et l’admission humanitaire (2026-2027). </w:t>
      </w:r>
    </w:p>
  </w:footnote>
  <w:footnote w:id="112">
    <w:p w14:paraId="5824BAC5" w14:textId="43685E18" w:rsidR="39991C77" w:rsidRPr="005349C2" w:rsidRDefault="39991C77"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Communication de la Commission au Parlement européen et au Conseil relative à la stratégie de l’UE en matière de politique des visas, COM(2026) 43 final.</w:t>
      </w:r>
    </w:p>
  </w:footnote>
  <w:footnote w:id="113">
    <w:p w14:paraId="75B64F11" w14:textId="273CDE40" w:rsidR="22CE0694" w:rsidRPr="005349C2" w:rsidRDefault="22CE0694"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Recommandation (UE) 2026/311 de la Commission du 29 janvier 2026 intitulée «Attirer les talents pour favoriser l’innovation».</w:t>
      </w:r>
    </w:p>
  </w:footnote>
  <w:footnote w:id="114">
    <w:p w14:paraId="56DE4679" w14:textId="685643BF" w:rsidR="00F83FC5" w:rsidRPr="005349C2" w:rsidRDefault="00F83FC5"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L’Autriche, la Belgique, l’Estonie, la Tchéquie et la Lettonie travaillent à l’adaptation du système existant et à l’ajout de nouveaux éléments. Le Portugal entreprend une réforme systémique. </w:t>
      </w:r>
    </w:p>
  </w:footnote>
  <w:footnote w:id="115">
    <w:p w14:paraId="28428273" w14:textId="584161C5" w:rsidR="00F83FC5" w:rsidRPr="005349C2" w:rsidRDefault="00F83FC5"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Chypre. En mars 2026, tous les États membres, à l’exception de la Hongrie et de la Roumanie, avaient adopté une stratégie d’intégration des migrants au niveau national ou régional. L’Italie prépare actuellement une mise à jour de son plan national d’intégration.</w:t>
      </w:r>
    </w:p>
  </w:footnote>
  <w:footnote w:id="116">
    <w:p w14:paraId="7B528AA4" w14:textId="5071E68E" w:rsidR="00F83FC5" w:rsidRPr="00EA0E45" w:rsidRDefault="00F83FC5"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Par exemple, la Tchéquie et l’Estonie. </w:t>
      </w:r>
    </w:p>
  </w:footnote>
  <w:footnote w:id="117">
    <w:p w14:paraId="5960C8DD" w14:textId="3CA6AC34" w:rsidR="00FF5321" w:rsidRPr="00EA0E45" w:rsidRDefault="00FF5321"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Par exemple, la Bulgarie, la Croatie, la Roumanie, la Slovaquie et la Pologne.</w:t>
      </w:r>
    </w:p>
  </w:footnote>
  <w:footnote w:id="118">
    <w:p w14:paraId="32A4BE39" w14:textId="61291FD4" w:rsidR="008B6C35" w:rsidRPr="005349C2" w:rsidRDefault="008B6C35"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Par exemple, la Croatie, la Grèce, la Hongrie, la Slovaquie et la Roumanie.</w:t>
      </w:r>
    </w:p>
  </w:footnote>
  <w:footnote w:id="119">
    <w:p w14:paraId="7882A720" w14:textId="5337387B" w:rsidR="00E60874" w:rsidRPr="00EA0E45" w:rsidRDefault="00E60874"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Par exemple, la Bulgarie.</w:t>
      </w:r>
    </w:p>
  </w:footnote>
  <w:footnote w:id="120">
    <w:p w14:paraId="5709D4CE" w14:textId="5F509E21" w:rsidR="00D42DB7" w:rsidRPr="00EA0E45" w:rsidRDefault="00D42DB7"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Voir </w:t>
      </w:r>
      <w:hyperlink r:id="rId26" w:history="1">
        <w:r>
          <w:rPr>
            <w:rStyle w:val="Hyperlink"/>
            <w:rFonts w:ascii="Times New Roman" w:hAnsi="Times New Roman"/>
          </w:rPr>
          <w:t>https://eur-lex.europa.eu/legal-content/FR/TXT/PDF/?uri=CELEX:52025SC0162</w:t>
        </w:r>
      </w:hyperlink>
      <w:r>
        <w:rPr>
          <w:rFonts w:ascii="Times New Roman" w:hAnsi="Times New Roman"/>
        </w:rPr>
        <w:t>.</w:t>
      </w:r>
    </w:p>
  </w:footnote>
  <w:footnote w:id="121">
    <w:p w14:paraId="4F274B53" w14:textId="494037C7" w:rsidR="00E10CF8" w:rsidRPr="005349C2" w:rsidRDefault="00E10CF8" w:rsidP="005349C2">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Cet échange pourrait s’effectuer dans le cadre de la communauté de pratique du FSE+ en matière d’intégration des migrants. </w:t>
      </w:r>
      <w:hyperlink r:id="rId27" w:history="1">
        <w:r>
          <w:rPr>
            <w:rStyle w:val="Hyperlink"/>
            <w:rFonts w:ascii="Times New Roman" w:hAnsi="Times New Roman"/>
          </w:rPr>
          <w:t>https://socialinnovationplus.eu/cop/migrant-integration/</w:t>
        </w:r>
      </w:hyperlink>
      <w:r>
        <w:rPr>
          <w:rFonts w:ascii="Times New Roman" w:hAnsi="Times New Roman"/>
          <w:color w:val="000000" w:themeColor="text1"/>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07D75" w14:textId="77777777" w:rsidR="001C474C" w:rsidRPr="001C474C" w:rsidRDefault="001C474C" w:rsidP="001C474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6252A" w14:textId="77777777" w:rsidR="001C474C" w:rsidRPr="001C474C" w:rsidRDefault="001C474C" w:rsidP="001C474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095F52" w14:textId="77777777" w:rsidR="001C474C" w:rsidRPr="001C474C" w:rsidRDefault="001C474C" w:rsidP="001C474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75F0C" w14:textId="77777777" w:rsidR="0096429C" w:rsidRPr="00423470" w:rsidRDefault="0096429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D37E6" w14:textId="77777777" w:rsidR="0096429C" w:rsidRPr="00423470" w:rsidRDefault="0096429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0F931" w14:textId="77777777" w:rsidR="0096429C" w:rsidRPr="00423470" w:rsidRDefault="009642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36B6B"/>
    <w:multiLevelType w:val="hybridMultilevel"/>
    <w:tmpl w:val="7BCCAC66"/>
    <w:lvl w:ilvl="0" w:tplc="370065EE">
      <w:start w:val="1"/>
      <w:numFmt w:val="bullet"/>
      <w:lvlText w:val=""/>
      <w:lvlJc w:val="left"/>
      <w:pPr>
        <w:ind w:left="360" w:hanging="360"/>
      </w:pPr>
      <w:rPr>
        <w:rFonts w:ascii="Symbol" w:hAnsi="Symbol" w:hint="default"/>
      </w:rPr>
    </w:lvl>
    <w:lvl w:ilvl="1" w:tplc="E940CF2A">
      <w:start w:val="1"/>
      <w:numFmt w:val="bullet"/>
      <w:lvlText w:val="o"/>
      <w:lvlJc w:val="left"/>
      <w:pPr>
        <w:ind w:left="1080" w:hanging="360"/>
      </w:pPr>
      <w:rPr>
        <w:rFonts w:ascii="Courier New" w:hAnsi="Courier New" w:hint="default"/>
      </w:rPr>
    </w:lvl>
    <w:lvl w:ilvl="2" w:tplc="1A4671F2" w:tentative="1">
      <w:start w:val="1"/>
      <w:numFmt w:val="bullet"/>
      <w:lvlText w:val=""/>
      <w:lvlJc w:val="left"/>
      <w:pPr>
        <w:ind w:left="1800" w:hanging="360"/>
      </w:pPr>
      <w:rPr>
        <w:rFonts w:ascii="Wingdings" w:hAnsi="Wingdings" w:hint="default"/>
      </w:rPr>
    </w:lvl>
    <w:lvl w:ilvl="3" w:tplc="E996A6EC" w:tentative="1">
      <w:start w:val="1"/>
      <w:numFmt w:val="bullet"/>
      <w:lvlText w:val=""/>
      <w:lvlJc w:val="left"/>
      <w:pPr>
        <w:ind w:left="2520" w:hanging="360"/>
      </w:pPr>
      <w:rPr>
        <w:rFonts w:ascii="Symbol" w:hAnsi="Symbol" w:hint="default"/>
      </w:rPr>
    </w:lvl>
    <w:lvl w:ilvl="4" w:tplc="6072540E" w:tentative="1">
      <w:start w:val="1"/>
      <w:numFmt w:val="bullet"/>
      <w:lvlText w:val="o"/>
      <w:lvlJc w:val="left"/>
      <w:pPr>
        <w:ind w:left="3240" w:hanging="360"/>
      </w:pPr>
      <w:rPr>
        <w:rFonts w:ascii="Courier New" w:hAnsi="Courier New" w:hint="default"/>
      </w:rPr>
    </w:lvl>
    <w:lvl w:ilvl="5" w:tplc="0A7C847C" w:tentative="1">
      <w:start w:val="1"/>
      <w:numFmt w:val="bullet"/>
      <w:lvlText w:val=""/>
      <w:lvlJc w:val="left"/>
      <w:pPr>
        <w:ind w:left="3960" w:hanging="360"/>
      </w:pPr>
      <w:rPr>
        <w:rFonts w:ascii="Wingdings" w:hAnsi="Wingdings" w:hint="default"/>
      </w:rPr>
    </w:lvl>
    <w:lvl w:ilvl="6" w:tplc="F824325A" w:tentative="1">
      <w:start w:val="1"/>
      <w:numFmt w:val="bullet"/>
      <w:lvlText w:val=""/>
      <w:lvlJc w:val="left"/>
      <w:pPr>
        <w:ind w:left="4680" w:hanging="360"/>
      </w:pPr>
      <w:rPr>
        <w:rFonts w:ascii="Symbol" w:hAnsi="Symbol" w:hint="default"/>
      </w:rPr>
    </w:lvl>
    <w:lvl w:ilvl="7" w:tplc="0C12651A" w:tentative="1">
      <w:start w:val="1"/>
      <w:numFmt w:val="bullet"/>
      <w:lvlText w:val="o"/>
      <w:lvlJc w:val="left"/>
      <w:pPr>
        <w:ind w:left="5400" w:hanging="360"/>
      </w:pPr>
      <w:rPr>
        <w:rFonts w:ascii="Courier New" w:hAnsi="Courier New" w:hint="default"/>
      </w:rPr>
    </w:lvl>
    <w:lvl w:ilvl="8" w:tplc="36CA59B8" w:tentative="1">
      <w:start w:val="1"/>
      <w:numFmt w:val="bullet"/>
      <w:lvlText w:val=""/>
      <w:lvlJc w:val="left"/>
      <w:pPr>
        <w:ind w:left="6120" w:hanging="360"/>
      </w:pPr>
      <w:rPr>
        <w:rFonts w:ascii="Wingdings" w:hAnsi="Wingdings" w:hint="default"/>
      </w:rPr>
    </w:lvl>
  </w:abstractNum>
  <w:abstractNum w:abstractNumId="1" w15:restartNumberingAfterBreak="0">
    <w:nsid w:val="099543A6"/>
    <w:multiLevelType w:val="hybridMultilevel"/>
    <w:tmpl w:val="804C68E8"/>
    <w:lvl w:ilvl="0" w:tplc="F20A220C">
      <w:start w:val="1"/>
      <w:numFmt w:val="bullet"/>
      <w:lvlText w:val="-"/>
      <w:lvlJc w:val="left"/>
      <w:pPr>
        <w:ind w:left="720" w:hanging="360"/>
      </w:pPr>
      <w:rPr>
        <w:rFonts w:ascii="Times New Roman" w:hAnsi="Times New Roman" w:hint="default"/>
      </w:rPr>
    </w:lvl>
    <w:lvl w:ilvl="1" w:tplc="84321ABC" w:tentative="1">
      <w:start w:val="1"/>
      <w:numFmt w:val="bullet"/>
      <w:lvlText w:val="o"/>
      <w:lvlJc w:val="left"/>
      <w:pPr>
        <w:ind w:left="1440" w:hanging="360"/>
      </w:pPr>
      <w:rPr>
        <w:rFonts w:ascii="Courier New" w:hAnsi="Courier New" w:hint="default"/>
      </w:rPr>
    </w:lvl>
    <w:lvl w:ilvl="2" w:tplc="DE086DF6" w:tentative="1">
      <w:start w:val="1"/>
      <w:numFmt w:val="bullet"/>
      <w:lvlText w:val=""/>
      <w:lvlJc w:val="left"/>
      <w:pPr>
        <w:ind w:left="2160" w:hanging="360"/>
      </w:pPr>
      <w:rPr>
        <w:rFonts w:ascii="Wingdings" w:hAnsi="Wingdings" w:hint="default"/>
      </w:rPr>
    </w:lvl>
    <w:lvl w:ilvl="3" w:tplc="D88AE26E" w:tentative="1">
      <w:start w:val="1"/>
      <w:numFmt w:val="bullet"/>
      <w:lvlText w:val=""/>
      <w:lvlJc w:val="left"/>
      <w:pPr>
        <w:ind w:left="2880" w:hanging="360"/>
      </w:pPr>
      <w:rPr>
        <w:rFonts w:ascii="Symbol" w:hAnsi="Symbol" w:hint="default"/>
      </w:rPr>
    </w:lvl>
    <w:lvl w:ilvl="4" w:tplc="2C4CC7BA" w:tentative="1">
      <w:start w:val="1"/>
      <w:numFmt w:val="bullet"/>
      <w:lvlText w:val="o"/>
      <w:lvlJc w:val="left"/>
      <w:pPr>
        <w:ind w:left="3600" w:hanging="360"/>
      </w:pPr>
      <w:rPr>
        <w:rFonts w:ascii="Courier New" w:hAnsi="Courier New" w:hint="default"/>
      </w:rPr>
    </w:lvl>
    <w:lvl w:ilvl="5" w:tplc="BB04F8BC" w:tentative="1">
      <w:start w:val="1"/>
      <w:numFmt w:val="bullet"/>
      <w:lvlText w:val=""/>
      <w:lvlJc w:val="left"/>
      <w:pPr>
        <w:ind w:left="4320" w:hanging="360"/>
      </w:pPr>
      <w:rPr>
        <w:rFonts w:ascii="Wingdings" w:hAnsi="Wingdings" w:hint="default"/>
      </w:rPr>
    </w:lvl>
    <w:lvl w:ilvl="6" w:tplc="EEF00380" w:tentative="1">
      <w:start w:val="1"/>
      <w:numFmt w:val="bullet"/>
      <w:lvlText w:val=""/>
      <w:lvlJc w:val="left"/>
      <w:pPr>
        <w:ind w:left="5040" w:hanging="360"/>
      </w:pPr>
      <w:rPr>
        <w:rFonts w:ascii="Symbol" w:hAnsi="Symbol" w:hint="default"/>
      </w:rPr>
    </w:lvl>
    <w:lvl w:ilvl="7" w:tplc="8736B646" w:tentative="1">
      <w:start w:val="1"/>
      <w:numFmt w:val="bullet"/>
      <w:lvlText w:val="o"/>
      <w:lvlJc w:val="left"/>
      <w:pPr>
        <w:ind w:left="5760" w:hanging="360"/>
      </w:pPr>
      <w:rPr>
        <w:rFonts w:ascii="Courier New" w:hAnsi="Courier New" w:hint="default"/>
      </w:rPr>
    </w:lvl>
    <w:lvl w:ilvl="8" w:tplc="525AAD94" w:tentative="1">
      <w:start w:val="1"/>
      <w:numFmt w:val="bullet"/>
      <w:lvlText w:val=""/>
      <w:lvlJc w:val="left"/>
      <w:pPr>
        <w:ind w:left="6480" w:hanging="360"/>
      </w:pPr>
      <w:rPr>
        <w:rFonts w:ascii="Wingdings" w:hAnsi="Wingdings" w:hint="default"/>
      </w:rPr>
    </w:lvl>
  </w:abstractNum>
  <w:abstractNum w:abstractNumId="2" w15:restartNumberingAfterBreak="0">
    <w:nsid w:val="132F178C"/>
    <w:multiLevelType w:val="hybridMultilevel"/>
    <w:tmpl w:val="00785596"/>
    <w:lvl w:ilvl="0" w:tplc="D2DCD1F0">
      <w:start w:val="1"/>
      <w:numFmt w:val="bullet"/>
      <w:lvlText w:val=""/>
      <w:lvlJc w:val="left"/>
      <w:pPr>
        <w:ind w:left="720" w:hanging="360"/>
      </w:pPr>
      <w:rPr>
        <w:rFonts w:ascii="Symbol" w:hAnsi="Symbol"/>
      </w:rPr>
    </w:lvl>
    <w:lvl w:ilvl="1" w:tplc="91B0B206">
      <w:start w:val="1"/>
      <w:numFmt w:val="bullet"/>
      <w:lvlText w:val=""/>
      <w:lvlJc w:val="left"/>
      <w:pPr>
        <w:ind w:left="720" w:hanging="360"/>
      </w:pPr>
      <w:rPr>
        <w:rFonts w:ascii="Symbol" w:hAnsi="Symbol"/>
      </w:rPr>
    </w:lvl>
    <w:lvl w:ilvl="2" w:tplc="2E362CCA">
      <w:start w:val="1"/>
      <w:numFmt w:val="bullet"/>
      <w:lvlText w:val=""/>
      <w:lvlJc w:val="left"/>
      <w:pPr>
        <w:ind w:left="720" w:hanging="360"/>
      </w:pPr>
      <w:rPr>
        <w:rFonts w:ascii="Symbol" w:hAnsi="Symbol"/>
      </w:rPr>
    </w:lvl>
    <w:lvl w:ilvl="3" w:tplc="CF90762A">
      <w:start w:val="1"/>
      <w:numFmt w:val="bullet"/>
      <w:lvlText w:val=""/>
      <w:lvlJc w:val="left"/>
      <w:pPr>
        <w:ind w:left="720" w:hanging="360"/>
      </w:pPr>
      <w:rPr>
        <w:rFonts w:ascii="Symbol" w:hAnsi="Symbol"/>
      </w:rPr>
    </w:lvl>
    <w:lvl w:ilvl="4" w:tplc="B79A09A4">
      <w:start w:val="1"/>
      <w:numFmt w:val="bullet"/>
      <w:lvlText w:val=""/>
      <w:lvlJc w:val="left"/>
      <w:pPr>
        <w:ind w:left="720" w:hanging="360"/>
      </w:pPr>
      <w:rPr>
        <w:rFonts w:ascii="Symbol" w:hAnsi="Symbol"/>
      </w:rPr>
    </w:lvl>
    <w:lvl w:ilvl="5" w:tplc="4E2C6CA2">
      <w:start w:val="1"/>
      <w:numFmt w:val="bullet"/>
      <w:lvlText w:val=""/>
      <w:lvlJc w:val="left"/>
      <w:pPr>
        <w:ind w:left="720" w:hanging="360"/>
      </w:pPr>
      <w:rPr>
        <w:rFonts w:ascii="Symbol" w:hAnsi="Symbol"/>
      </w:rPr>
    </w:lvl>
    <w:lvl w:ilvl="6" w:tplc="DADA609A">
      <w:start w:val="1"/>
      <w:numFmt w:val="bullet"/>
      <w:lvlText w:val=""/>
      <w:lvlJc w:val="left"/>
      <w:pPr>
        <w:ind w:left="720" w:hanging="360"/>
      </w:pPr>
      <w:rPr>
        <w:rFonts w:ascii="Symbol" w:hAnsi="Symbol"/>
      </w:rPr>
    </w:lvl>
    <w:lvl w:ilvl="7" w:tplc="82A8083C">
      <w:start w:val="1"/>
      <w:numFmt w:val="bullet"/>
      <w:lvlText w:val=""/>
      <w:lvlJc w:val="left"/>
      <w:pPr>
        <w:ind w:left="720" w:hanging="360"/>
      </w:pPr>
      <w:rPr>
        <w:rFonts w:ascii="Symbol" w:hAnsi="Symbol"/>
      </w:rPr>
    </w:lvl>
    <w:lvl w:ilvl="8" w:tplc="65E6A3F4">
      <w:start w:val="1"/>
      <w:numFmt w:val="bullet"/>
      <w:lvlText w:val=""/>
      <w:lvlJc w:val="left"/>
      <w:pPr>
        <w:ind w:left="720" w:hanging="360"/>
      </w:pPr>
      <w:rPr>
        <w:rFonts w:ascii="Symbol" w:hAnsi="Symbol"/>
      </w:rPr>
    </w:lvl>
  </w:abstractNum>
  <w:abstractNum w:abstractNumId="3" w15:restartNumberingAfterBreak="0">
    <w:nsid w:val="204B2702"/>
    <w:multiLevelType w:val="multilevel"/>
    <w:tmpl w:val="78501614"/>
    <w:lvl w:ilvl="0">
      <w:start w:val="1"/>
      <w:numFmt w:val="bullet"/>
      <w:lvlText w:val=""/>
      <w:lvlJc w:val="left"/>
      <w:pPr>
        <w:tabs>
          <w:tab w:val="num" w:pos="283"/>
        </w:tabs>
        <w:ind w:left="283" w:hanging="283"/>
      </w:pPr>
      <w:rPr>
        <w:rFonts w:ascii="Symbol" w:hAnsi="Symbol" w:hint="default"/>
      </w:rPr>
    </w:lvl>
    <w:lvl w:ilvl="1">
      <w:start w:val="1"/>
      <w:numFmt w:val="bullet"/>
      <w:lvlText w:val="–"/>
      <w:lvlJc w:val="left"/>
      <w:pPr>
        <w:tabs>
          <w:tab w:val="num" w:pos="567"/>
        </w:tabs>
        <w:ind w:left="567" w:hanging="284"/>
      </w:pPr>
      <w:rPr>
        <w:rFonts w:ascii="Times New Roman" w:hAnsi="Times New Roman" w:hint="default"/>
      </w:rPr>
    </w:lvl>
    <w:lvl w:ilvl="2">
      <w:start w:val="1"/>
      <w:numFmt w:val="bullet"/>
      <w:lvlText w:val="–"/>
      <w:lvlJc w:val="left"/>
      <w:pPr>
        <w:tabs>
          <w:tab w:val="num" w:pos="850"/>
        </w:tabs>
        <w:ind w:left="850" w:hanging="283"/>
      </w:pPr>
      <w:rPr>
        <w:rFonts w:ascii="Times New Roman" w:hAnsi="Times New Roman" w:hint="default"/>
      </w:rPr>
    </w:lvl>
    <w:lvl w:ilvl="3">
      <w:start w:val="1"/>
      <w:numFmt w:val="bullet"/>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43252B8"/>
    <w:multiLevelType w:val="hybridMultilevel"/>
    <w:tmpl w:val="2B9A2B1E"/>
    <w:lvl w:ilvl="0" w:tplc="998873F2">
      <w:start w:val="1"/>
      <w:numFmt w:val="bullet"/>
      <w:lvlText w:val=""/>
      <w:lvlJc w:val="left"/>
      <w:pPr>
        <w:ind w:left="720" w:hanging="360"/>
      </w:pPr>
      <w:rPr>
        <w:rFonts w:ascii="Symbol" w:hAnsi="Symbol"/>
      </w:rPr>
    </w:lvl>
    <w:lvl w:ilvl="1" w:tplc="AC3868EA">
      <w:start w:val="1"/>
      <w:numFmt w:val="bullet"/>
      <w:lvlText w:val=""/>
      <w:lvlJc w:val="left"/>
      <w:pPr>
        <w:ind w:left="720" w:hanging="360"/>
      </w:pPr>
      <w:rPr>
        <w:rFonts w:ascii="Symbol" w:hAnsi="Symbol"/>
      </w:rPr>
    </w:lvl>
    <w:lvl w:ilvl="2" w:tplc="675242E0">
      <w:start w:val="1"/>
      <w:numFmt w:val="bullet"/>
      <w:lvlText w:val=""/>
      <w:lvlJc w:val="left"/>
      <w:pPr>
        <w:ind w:left="720" w:hanging="360"/>
      </w:pPr>
      <w:rPr>
        <w:rFonts w:ascii="Symbol" w:hAnsi="Symbol"/>
      </w:rPr>
    </w:lvl>
    <w:lvl w:ilvl="3" w:tplc="F4E8F842">
      <w:start w:val="1"/>
      <w:numFmt w:val="bullet"/>
      <w:lvlText w:val=""/>
      <w:lvlJc w:val="left"/>
      <w:pPr>
        <w:ind w:left="720" w:hanging="360"/>
      </w:pPr>
      <w:rPr>
        <w:rFonts w:ascii="Symbol" w:hAnsi="Symbol"/>
      </w:rPr>
    </w:lvl>
    <w:lvl w:ilvl="4" w:tplc="9AB470DE">
      <w:start w:val="1"/>
      <w:numFmt w:val="bullet"/>
      <w:lvlText w:val=""/>
      <w:lvlJc w:val="left"/>
      <w:pPr>
        <w:ind w:left="720" w:hanging="360"/>
      </w:pPr>
      <w:rPr>
        <w:rFonts w:ascii="Symbol" w:hAnsi="Symbol"/>
      </w:rPr>
    </w:lvl>
    <w:lvl w:ilvl="5" w:tplc="67FCBACA">
      <w:start w:val="1"/>
      <w:numFmt w:val="bullet"/>
      <w:lvlText w:val=""/>
      <w:lvlJc w:val="left"/>
      <w:pPr>
        <w:ind w:left="720" w:hanging="360"/>
      </w:pPr>
      <w:rPr>
        <w:rFonts w:ascii="Symbol" w:hAnsi="Symbol"/>
      </w:rPr>
    </w:lvl>
    <w:lvl w:ilvl="6" w:tplc="5644E9F0">
      <w:start w:val="1"/>
      <w:numFmt w:val="bullet"/>
      <w:lvlText w:val=""/>
      <w:lvlJc w:val="left"/>
      <w:pPr>
        <w:ind w:left="720" w:hanging="360"/>
      </w:pPr>
      <w:rPr>
        <w:rFonts w:ascii="Symbol" w:hAnsi="Symbol"/>
      </w:rPr>
    </w:lvl>
    <w:lvl w:ilvl="7" w:tplc="23A03026">
      <w:start w:val="1"/>
      <w:numFmt w:val="bullet"/>
      <w:lvlText w:val=""/>
      <w:lvlJc w:val="left"/>
      <w:pPr>
        <w:ind w:left="720" w:hanging="360"/>
      </w:pPr>
      <w:rPr>
        <w:rFonts w:ascii="Symbol" w:hAnsi="Symbol"/>
      </w:rPr>
    </w:lvl>
    <w:lvl w:ilvl="8" w:tplc="9244B2C0">
      <w:start w:val="1"/>
      <w:numFmt w:val="bullet"/>
      <w:lvlText w:val=""/>
      <w:lvlJc w:val="left"/>
      <w:pPr>
        <w:ind w:left="720" w:hanging="360"/>
      </w:pPr>
      <w:rPr>
        <w:rFonts w:ascii="Symbol" w:hAnsi="Symbol"/>
      </w:rPr>
    </w:lvl>
  </w:abstractNum>
  <w:abstractNum w:abstractNumId="5" w15:restartNumberingAfterBreak="0">
    <w:nsid w:val="262289E2"/>
    <w:multiLevelType w:val="hybridMultilevel"/>
    <w:tmpl w:val="FFFFFFFF"/>
    <w:lvl w:ilvl="0" w:tplc="A55090E2">
      <w:start w:val="1"/>
      <w:numFmt w:val="bullet"/>
      <w:lvlText w:val=""/>
      <w:lvlJc w:val="left"/>
      <w:pPr>
        <w:ind w:left="720" w:hanging="360"/>
      </w:pPr>
      <w:rPr>
        <w:rFonts w:ascii="Symbol" w:hAnsi="Symbol" w:hint="default"/>
      </w:rPr>
    </w:lvl>
    <w:lvl w:ilvl="1" w:tplc="B13A8EA4">
      <w:start w:val="1"/>
      <w:numFmt w:val="bullet"/>
      <w:lvlText w:val="o"/>
      <w:lvlJc w:val="left"/>
      <w:pPr>
        <w:ind w:left="1440" w:hanging="360"/>
      </w:pPr>
      <w:rPr>
        <w:rFonts w:ascii="Courier New" w:hAnsi="Courier New" w:hint="default"/>
      </w:rPr>
    </w:lvl>
    <w:lvl w:ilvl="2" w:tplc="A2064A40">
      <w:start w:val="1"/>
      <w:numFmt w:val="bullet"/>
      <w:lvlText w:val=""/>
      <w:lvlJc w:val="left"/>
      <w:pPr>
        <w:ind w:left="2160" w:hanging="360"/>
      </w:pPr>
      <w:rPr>
        <w:rFonts w:ascii="Wingdings" w:hAnsi="Wingdings" w:hint="default"/>
      </w:rPr>
    </w:lvl>
    <w:lvl w:ilvl="3" w:tplc="0B284AA6">
      <w:start w:val="1"/>
      <w:numFmt w:val="bullet"/>
      <w:lvlText w:val=""/>
      <w:lvlJc w:val="left"/>
      <w:pPr>
        <w:ind w:left="2880" w:hanging="360"/>
      </w:pPr>
      <w:rPr>
        <w:rFonts w:ascii="Symbol" w:hAnsi="Symbol" w:hint="default"/>
      </w:rPr>
    </w:lvl>
    <w:lvl w:ilvl="4" w:tplc="0F5A6446">
      <w:start w:val="1"/>
      <w:numFmt w:val="bullet"/>
      <w:lvlText w:val="o"/>
      <w:lvlJc w:val="left"/>
      <w:pPr>
        <w:ind w:left="3600" w:hanging="360"/>
      </w:pPr>
      <w:rPr>
        <w:rFonts w:ascii="Courier New" w:hAnsi="Courier New" w:hint="default"/>
      </w:rPr>
    </w:lvl>
    <w:lvl w:ilvl="5" w:tplc="5AB2F164">
      <w:start w:val="1"/>
      <w:numFmt w:val="bullet"/>
      <w:lvlText w:val=""/>
      <w:lvlJc w:val="left"/>
      <w:pPr>
        <w:ind w:left="4320" w:hanging="360"/>
      </w:pPr>
      <w:rPr>
        <w:rFonts w:ascii="Wingdings" w:hAnsi="Wingdings" w:hint="default"/>
      </w:rPr>
    </w:lvl>
    <w:lvl w:ilvl="6" w:tplc="1A44E5C2">
      <w:start w:val="1"/>
      <w:numFmt w:val="bullet"/>
      <w:lvlText w:val=""/>
      <w:lvlJc w:val="left"/>
      <w:pPr>
        <w:ind w:left="5040" w:hanging="360"/>
      </w:pPr>
      <w:rPr>
        <w:rFonts w:ascii="Symbol" w:hAnsi="Symbol" w:hint="default"/>
      </w:rPr>
    </w:lvl>
    <w:lvl w:ilvl="7" w:tplc="03A05ECA">
      <w:start w:val="1"/>
      <w:numFmt w:val="bullet"/>
      <w:lvlText w:val="o"/>
      <w:lvlJc w:val="left"/>
      <w:pPr>
        <w:ind w:left="5760" w:hanging="360"/>
      </w:pPr>
      <w:rPr>
        <w:rFonts w:ascii="Courier New" w:hAnsi="Courier New" w:hint="default"/>
      </w:rPr>
    </w:lvl>
    <w:lvl w:ilvl="8" w:tplc="E44E2E1C">
      <w:start w:val="1"/>
      <w:numFmt w:val="bullet"/>
      <w:lvlText w:val=""/>
      <w:lvlJc w:val="left"/>
      <w:pPr>
        <w:ind w:left="6480" w:hanging="360"/>
      </w:pPr>
      <w:rPr>
        <w:rFonts w:ascii="Wingdings" w:hAnsi="Wingdings" w:hint="default"/>
      </w:rPr>
    </w:lvl>
  </w:abstractNum>
  <w:abstractNum w:abstractNumId="6" w15:restartNumberingAfterBreak="0">
    <w:nsid w:val="295AD422"/>
    <w:multiLevelType w:val="hybridMultilevel"/>
    <w:tmpl w:val="FFFFFFFF"/>
    <w:lvl w:ilvl="0" w:tplc="F93070BE">
      <w:start w:val="1"/>
      <w:numFmt w:val="bullet"/>
      <w:lvlText w:val="-"/>
      <w:lvlJc w:val="left"/>
      <w:pPr>
        <w:ind w:left="720" w:hanging="360"/>
      </w:pPr>
      <w:rPr>
        <w:rFonts w:ascii="Aptos" w:hAnsi="Aptos" w:hint="default"/>
      </w:rPr>
    </w:lvl>
    <w:lvl w:ilvl="1" w:tplc="9E06B764">
      <w:start w:val="1"/>
      <w:numFmt w:val="bullet"/>
      <w:lvlText w:val="o"/>
      <w:lvlJc w:val="left"/>
      <w:pPr>
        <w:ind w:left="1440" w:hanging="360"/>
      </w:pPr>
      <w:rPr>
        <w:rFonts w:ascii="Courier New" w:hAnsi="Courier New" w:hint="default"/>
      </w:rPr>
    </w:lvl>
    <w:lvl w:ilvl="2" w:tplc="F4C02B42">
      <w:start w:val="1"/>
      <w:numFmt w:val="bullet"/>
      <w:lvlText w:val=""/>
      <w:lvlJc w:val="left"/>
      <w:pPr>
        <w:ind w:left="2160" w:hanging="360"/>
      </w:pPr>
      <w:rPr>
        <w:rFonts w:ascii="Wingdings" w:hAnsi="Wingdings" w:hint="default"/>
      </w:rPr>
    </w:lvl>
    <w:lvl w:ilvl="3" w:tplc="0EA8BE58">
      <w:start w:val="1"/>
      <w:numFmt w:val="bullet"/>
      <w:lvlText w:val=""/>
      <w:lvlJc w:val="left"/>
      <w:pPr>
        <w:ind w:left="2880" w:hanging="360"/>
      </w:pPr>
      <w:rPr>
        <w:rFonts w:ascii="Symbol" w:hAnsi="Symbol" w:hint="default"/>
      </w:rPr>
    </w:lvl>
    <w:lvl w:ilvl="4" w:tplc="DF62395A">
      <w:start w:val="1"/>
      <w:numFmt w:val="bullet"/>
      <w:lvlText w:val="o"/>
      <w:lvlJc w:val="left"/>
      <w:pPr>
        <w:ind w:left="3600" w:hanging="360"/>
      </w:pPr>
      <w:rPr>
        <w:rFonts w:ascii="Courier New" w:hAnsi="Courier New" w:hint="default"/>
      </w:rPr>
    </w:lvl>
    <w:lvl w:ilvl="5" w:tplc="A998B37C">
      <w:start w:val="1"/>
      <w:numFmt w:val="bullet"/>
      <w:lvlText w:val=""/>
      <w:lvlJc w:val="left"/>
      <w:pPr>
        <w:ind w:left="4320" w:hanging="360"/>
      </w:pPr>
      <w:rPr>
        <w:rFonts w:ascii="Wingdings" w:hAnsi="Wingdings" w:hint="default"/>
      </w:rPr>
    </w:lvl>
    <w:lvl w:ilvl="6" w:tplc="1B5E52E6">
      <w:start w:val="1"/>
      <w:numFmt w:val="bullet"/>
      <w:lvlText w:val=""/>
      <w:lvlJc w:val="left"/>
      <w:pPr>
        <w:ind w:left="5040" w:hanging="360"/>
      </w:pPr>
      <w:rPr>
        <w:rFonts w:ascii="Symbol" w:hAnsi="Symbol" w:hint="default"/>
      </w:rPr>
    </w:lvl>
    <w:lvl w:ilvl="7" w:tplc="A45E3DA4">
      <w:start w:val="1"/>
      <w:numFmt w:val="bullet"/>
      <w:lvlText w:val="o"/>
      <w:lvlJc w:val="left"/>
      <w:pPr>
        <w:ind w:left="5760" w:hanging="360"/>
      </w:pPr>
      <w:rPr>
        <w:rFonts w:ascii="Courier New" w:hAnsi="Courier New" w:hint="default"/>
      </w:rPr>
    </w:lvl>
    <w:lvl w:ilvl="8" w:tplc="23D62BA6">
      <w:start w:val="1"/>
      <w:numFmt w:val="bullet"/>
      <w:lvlText w:val=""/>
      <w:lvlJc w:val="left"/>
      <w:pPr>
        <w:ind w:left="6480" w:hanging="360"/>
      </w:pPr>
      <w:rPr>
        <w:rFonts w:ascii="Wingdings" w:hAnsi="Wingdings" w:hint="default"/>
      </w:rPr>
    </w:lvl>
  </w:abstractNum>
  <w:abstractNum w:abstractNumId="7" w15:restartNumberingAfterBreak="0">
    <w:nsid w:val="37CB1E1C"/>
    <w:multiLevelType w:val="multilevel"/>
    <w:tmpl w:val="DFE4EDA0"/>
    <w:name w:val="ListDash1Numbering"/>
    <w:lvl w:ilvl="0">
      <w:start w:val="1"/>
      <w:numFmt w:val="bullet"/>
      <w:pStyle w:val="ListDash1"/>
      <w:lvlText w:val=""/>
      <w:lvlJc w:val="left"/>
      <w:pPr>
        <w:tabs>
          <w:tab w:val="num" w:pos="283"/>
        </w:tabs>
        <w:ind w:left="283" w:hanging="283"/>
      </w:pPr>
      <w:rPr>
        <w:rFonts w:ascii="Symbol" w:hAnsi="Symbol" w:hint="default"/>
      </w:rPr>
    </w:lvl>
    <w:lvl w:ilvl="1">
      <w:start w:val="1"/>
      <w:numFmt w:val="bullet"/>
      <w:pStyle w:val="ListDash1Level2"/>
      <w:lvlText w:val="–"/>
      <w:lvlJc w:val="left"/>
      <w:pPr>
        <w:tabs>
          <w:tab w:val="num" w:pos="567"/>
        </w:tabs>
        <w:ind w:left="567" w:hanging="284"/>
      </w:pPr>
      <w:rPr>
        <w:rFonts w:ascii="Times New Roman" w:hAnsi="Times New Roman" w:hint="default"/>
      </w:rPr>
    </w:lvl>
    <w:lvl w:ilvl="2">
      <w:start w:val="1"/>
      <w:numFmt w:val="bullet"/>
      <w:pStyle w:val="ListDash1Level3"/>
      <w:lvlText w:val="–"/>
      <w:lvlJc w:val="left"/>
      <w:pPr>
        <w:tabs>
          <w:tab w:val="num" w:pos="850"/>
        </w:tabs>
        <w:ind w:left="850" w:hanging="283"/>
      </w:pPr>
      <w:rPr>
        <w:rFonts w:ascii="Times New Roman" w:hAnsi="Times New Roman" w:hint="default"/>
      </w:rPr>
    </w:lvl>
    <w:lvl w:ilvl="3">
      <w:start w:val="1"/>
      <w:numFmt w:val="bullet"/>
      <w:pStyle w:val="ListDash1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8B6FA98"/>
    <w:multiLevelType w:val="hybridMultilevel"/>
    <w:tmpl w:val="FFFFFFFF"/>
    <w:lvl w:ilvl="0" w:tplc="1902A6E4">
      <w:start w:val="1"/>
      <w:numFmt w:val="bullet"/>
      <w:lvlText w:val=""/>
      <w:lvlJc w:val="left"/>
      <w:pPr>
        <w:ind w:left="720" w:hanging="360"/>
      </w:pPr>
      <w:rPr>
        <w:rFonts w:ascii="Symbol" w:hAnsi="Symbol" w:hint="default"/>
      </w:rPr>
    </w:lvl>
    <w:lvl w:ilvl="1" w:tplc="EF04085E">
      <w:start w:val="1"/>
      <w:numFmt w:val="bullet"/>
      <w:lvlText w:val="o"/>
      <w:lvlJc w:val="left"/>
      <w:pPr>
        <w:ind w:left="1440" w:hanging="360"/>
      </w:pPr>
      <w:rPr>
        <w:rFonts w:ascii="Courier New" w:hAnsi="Courier New" w:hint="default"/>
      </w:rPr>
    </w:lvl>
    <w:lvl w:ilvl="2" w:tplc="7FA6A29A">
      <w:start w:val="1"/>
      <w:numFmt w:val="bullet"/>
      <w:lvlText w:val=""/>
      <w:lvlJc w:val="left"/>
      <w:pPr>
        <w:ind w:left="2160" w:hanging="360"/>
      </w:pPr>
      <w:rPr>
        <w:rFonts w:ascii="Wingdings" w:hAnsi="Wingdings" w:hint="default"/>
      </w:rPr>
    </w:lvl>
    <w:lvl w:ilvl="3" w:tplc="7D76A9FC">
      <w:start w:val="1"/>
      <w:numFmt w:val="bullet"/>
      <w:lvlText w:val=""/>
      <w:lvlJc w:val="left"/>
      <w:pPr>
        <w:ind w:left="2880" w:hanging="360"/>
      </w:pPr>
      <w:rPr>
        <w:rFonts w:ascii="Symbol" w:hAnsi="Symbol" w:hint="default"/>
      </w:rPr>
    </w:lvl>
    <w:lvl w:ilvl="4" w:tplc="9A36A934">
      <w:start w:val="1"/>
      <w:numFmt w:val="bullet"/>
      <w:lvlText w:val="o"/>
      <w:lvlJc w:val="left"/>
      <w:pPr>
        <w:ind w:left="3600" w:hanging="360"/>
      </w:pPr>
      <w:rPr>
        <w:rFonts w:ascii="Courier New" w:hAnsi="Courier New" w:hint="default"/>
      </w:rPr>
    </w:lvl>
    <w:lvl w:ilvl="5" w:tplc="C600A5B2">
      <w:start w:val="1"/>
      <w:numFmt w:val="bullet"/>
      <w:lvlText w:val=""/>
      <w:lvlJc w:val="left"/>
      <w:pPr>
        <w:ind w:left="4320" w:hanging="360"/>
      </w:pPr>
      <w:rPr>
        <w:rFonts w:ascii="Wingdings" w:hAnsi="Wingdings" w:hint="default"/>
      </w:rPr>
    </w:lvl>
    <w:lvl w:ilvl="6" w:tplc="08C86250">
      <w:start w:val="1"/>
      <w:numFmt w:val="bullet"/>
      <w:lvlText w:val=""/>
      <w:lvlJc w:val="left"/>
      <w:pPr>
        <w:ind w:left="5040" w:hanging="360"/>
      </w:pPr>
      <w:rPr>
        <w:rFonts w:ascii="Symbol" w:hAnsi="Symbol" w:hint="default"/>
      </w:rPr>
    </w:lvl>
    <w:lvl w:ilvl="7" w:tplc="0B3AF8A8">
      <w:start w:val="1"/>
      <w:numFmt w:val="bullet"/>
      <w:lvlText w:val="o"/>
      <w:lvlJc w:val="left"/>
      <w:pPr>
        <w:ind w:left="5760" w:hanging="360"/>
      </w:pPr>
      <w:rPr>
        <w:rFonts w:ascii="Courier New" w:hAnsi="Courier New" w:hint="default"/>
      </w:rPr>
    </w:lvl>
    <w:lvl w:ilvl="8" w:tplc="D298D296">
      <w:start w:val="1"/>
      <w:numFmt w:val="bullet"/>
      <w:lvlText w:val=""/>
      <w:lvlJc w:val="left"/>
      <w:pPr>
        <w:ind w:left="6480" w:hanging="360"/>
      </w:pPr>
      <w:rPr>
        <w:rFonts w:ascii="Wingdings" w:hAnsi="Wingdings" w:hint="default"/>
      </w:rPr>
    </w:lvl>
  </w:abstractNum>
  <w:abstractNum w:abstractNumId="9" w15:restartNumberingAfterBreak="0">
    <w:nsid w:val="3B5F7320"/>
    <w:multiLevelType w:val="hybridMultilevel"/>
    <w:tmpl w:val="0D000038"/>
    <w:lvl w:ilvl="0" w:tplc="4796CA34">
      <w:start w:val="2"/>
      <w:numFmt w:val="bullet"/>
      <w:lvlText w:val=""/>
      <w:lvlJc w:val="left"/>
      <w:pPr>
        <w:ind w:left="720" w:hanging="360"/>
      </w:pPr>
      <w:rPr>
        <w:rFonts w:ascii="Symbol" w:hAnsi="Symbol" w:hint="default"/>
      </w:rPr>
    </w:lvl>
    <w:lvl w:ilvl="1" w:tplc="B21AFE90" w:tentative="1">
      <w:start w:val="1"/>
      <w:numFmt w:val="bullet"/>
      <w:lvlText w:val="o"/>
      <w:lvlJc w:val="left"/>
      <w:pPr>
        <w:ind w:left="1440" w:hanging="360"/>
      </w:pPr>
      <w:rPr>
        <w:rFonts w:ascii="Courier New" w:hAnsi="Courier New" w:hint="default"/>
      </w:rPr>
    </w:lvl>
    <w:lvl w:ilvl="2" w:tplc="A24CA4FC" w:tentative="1">
      <w:start w:val="1"/>
      <w:numFmt w:val="bullet"/>
      <w:lvlText w:val=""/>
      <w:lvlJc w:val="left"/>
      <w:pPr>
        <w:ind w:left="2160" w:hanging="360"/>
      </w:pPr>
      <w:rPr>
        <w:rFonts w:ascii="Wingdings" w:hAnsi="Wingdings" w:hint="default"/>
      </w:rPr>
    </w:lvl>
    <w:lvl w:ilvl="3" w:tplc="C6BA881A" w:tentative="1">
      <w:start w:val="1"/>
      <w:numFmt w:val="bullet"/>
      <w:lvlText w:val=""/>
      <w:lvlJc w:val="left"/>
      <w:pPr>
        <w:ind w:left="2880" w:hanging="360"/>
      </w:pPr>
      <w:rPr>
        <w:rFonts w:ascii="Symbol" w:hAnsi="Symbol" w:hint="default"/>
      </w:rPr>
    </w:lvl>
    <w:lvl w:ilvl="4" w:tplc="EDF0D5F6" w:tentative="1">
      <w:start w:val="1"/>
      <w:numFmt w:val="bullet"/>
      <w:lvlText w:val="o"/>
      <w:lvlJc w:val="left"/>
      <w:pPr>
        <w:ind w:left="3600" w:hanging="360"/>
      </w:pPr>
      <w:rPr>
        <w:rFonts w:ascii="Courier New" w:hAnsi="Courier New" w:hint="default"/>
      </w:rPr>
    </w:lvl>
    <w:lvl w:ilvl="5" w:tplc="DFFE8DAE" w:tentative="1">
      <w:start w:val="1"/>
      <w:numFmt w:val="bullet"/>
      <w:lvlText w:val=""/>
      <w:lvlJc w:val="left"/>
      <w:pPr>
        <w:ind w:left="4320" w:hanging="360"/>
      </w:pPr>
      <w:rPr>
        <w:rFonts w:ascii="Wingdings" w:hAnsi="Wingdings" w:hint="default"/>
      </w:rPr>
    </w:lvl>
    <w:lvl w:ilvl="6" w:tplc="F1C6E076" w:tentative="1">
      <w:start w:val="1"/>
      <w:numFmt w:val="bullet"/>
      <w:lvlText w:val=""/>
      <w:lvlJc w:val="left"/>
      <w:pPr>
        <w:ind w:left="5040" w:hanging="360"/>
      </w:pPr>
      <w:rPr>
        <w:rFonts w:ascii="Symbol" w:hAnsi="Symbol" w:hint="default"/>
      </w:rPr>
    </w:lvl>
    <w:lvl w:ilvl="7" w:tplc="BACCAF74" w:tentative="1">
      <w:start w:val="1"/>
      <w:numFmt w:val="bullet"/>
      <w:lvlText w:val="o"/>
      <w:lvlJc w:val="left"/>
      <w:pPr>
        <w:ind w:left="5760" w:hanging="360"/>
      </w:pPr>
      <w:rPr>
        <w:rFonts w:ascii="Courier New" w:hAnsi="Courier New" w:hint="default"/>
      </w:rPr>
    </w:lvl>
    <w:lvl w:ilvl="8" w:tplc="89EC8A8C" w:tentative="1">
      <w:start w:val="1"/>
      <w:numFmt w:val="bullet"/>
      <w:lvlText w:val=""/>
      <w:lvlJc w:val="left"/>
      <w:pPr>
        <w:ind w:left="6480" w:hanging="360"/>
      </w:pPr>
      <w:rPr>
        <w:rFonts w:ascii="Wingdings" w:hAnsi="Wingdings" w:hint="default"/>
      </w:rPr>
    </w:lvl>
  </w:abstractNum>
  <w:abstractNum w:abstractNumId="10" w15:restartNumberingAfterBreak="0">
    <w:nsid w:val="4E05684F"/>
    <w:multiLevelType w:val="hybridMultilevel"/>
    <w:tmpl w:val="FDB81FA6"/>
    <w:lvl w:ilvl="0" w:tplc="FFFFFFFF">
      <w:start w:val="1"/>
      <w:numFmt w:val="bullet"/>
      <w:lvlText w:val="·"/>
      <w:lvlJc w:val="left"/>
      <w:pPr>
        <w:ind w:left="720" w:hanging="360"/>
      </w:pPr>
      <w:rPr>
        <w:rFonts w:ascii="Symbol" w:hAnsi="Symbol" w:hint="default"/>
      </w:rPr>
    </w:lvl>
    <w:lvl w:ilvl="1" w:tplc="1EDAFE4A">
      <w:start w:val="1"/>
      <w:numFmt w:val="bullet"/>
      <w:lvlText w:val="o"/>
      <w:lvlJc w:val="left"/>
      <w:pPr>
        <w:ind w:left="1440" w:hanging="360"/>
      </w:pPr>
      <w:rPr>
        <w:rFonts w:ascii="Courier New" w:hAnsi="Courier New" w:hint="default"/>
      </w:rPr>
    </w:lvl>
    <w:lvl w:ilvl="2" w:tplc="23328EC2">
      <w:start w:val="1"/>
      <w:numFmt w:val="bullet"/>
      <w:lvlText w:val=""/>
      <w:lvlJc w:val="left"/>
      <w:pPr>
        <w:ind w:left="2160" w:hanging="360"/>
      </w:pPr>
      <w:rPr>
        <w:rFonts w:ascii="Wingdings" w:hAnsi="Wingdings" w:hint="default"/>
      </w:rPr>
    </w:lvl>
    <w:lvl w:ilvl="3" w:tplc="381E2BD4">
      <w:start w:val="1"/>
      <w:numFmt w:val="bullet"/>
      <w:lvlText w:val=""/>
      <w:lvlJc w:val="left"/>
      <w:pPr>
        <w:ind w:left="2880" w:hanging="360"/>
      </w:pPr>
      <w:rPr>
        <w:rFonts w:ascii="Symbol" w:hAnsi="Symbol" w:hint="default"/>
      </w:rPr>
    </w:lvl>
    <w:lvl w:ilvl="4" w:tplc="E014E2F6">
      <w:start w:val="1"/>
      <w:numFmt w:val="bullet"/>
      <w:lvlText w:val="o"/>
      <w:lvlJc w:val="left"/>
      <w:pPr>
        <w:ind w:left="3600" w:hanging="360"/>
      </w:pPr>
      <w:rPr>
        <w:rFonts w:ascii="Courier New" w:hAnsi="Courier New" w:hint="default"/>
      </w:rPr>
    </w:lvl>
    <w:lvl w:ilvl="5" w:tplc="76AC1E2A">
      <w:start w:val="1"/>
      <w:numFmt w:val="bullet"/>
      <w:lvlText w:val=""/>
      <w:lvlJc w:val="left"/>
      <w:pPr>
        <w:ind w:left="4320" w:hanging="360"/>
      </w:pPr>
      <w:rPr>
        <w:rFonts w:ascii="Wingdings" w:hAnsi="Wingdings" w:hint="default"/>
      </w:rPr>
    </w:lvl>
    <w:lvl w:ilvl="6" w:tplc="8F00918E">
      <w:start w:val="1"/>
      <w:numFmt w:val="bullet"/>
      <w:lvlText w:val=""/>
      <w:lvlJc w:val="left"/>
      <w:pPr>
        <w:ind w:left="5040" w:hanging="360"/>
      </w:pPr>
      <w:rPr>
        <w:rFonts w:ascii="Symbol" w:hAnsi="Symbol" w:hint="default"/>
      </w:rPr>
    </w:lvl>
    <w:lvl w:ilvl="7" w:tplc="5F74710A">
      <w:start w:val="1"/>
      <w:numFmt w:val="bullet"/>
      <w:lvlText w:val="o"/>
      <w:lvlJc w:val="left"/>
      <w:pPr>
        <w:ind w:left="5760" w:hanging="360"/>
      </w:pPr>
      <w:rPr>
        <w:rFonts w:ascii="Courier New" w:hAnsi="Courier New" w:hint="default"/>
      </w:rPr>
    </w:lvl>
    <w:lvl w:ilvl="8" w:tplc="1DACBA40">
      <w:start w:val="1"/>
      <w:numFmt w:val="bullet"/>
      <w:lvlText w:val=""/>
      <w:lvlJc w:val="left"/>
      <w:pPr>
        <w:ind w:left="6480" w:hanging="360"/>
      </w:pPr>
      <w:rPr>
        <w:rFonts w:ascii="Wingdings" w:hAnsi="Wingdings" w:hint="default"/>
      </w:rPr>
    </w:lvl>
  </w:abstractNum>
  <w:abstractNum w:abstractNumId="11" w15:restartNumberingAfterBreak="0">
    <w:nsid w:val="54840271"/>
    <w:multiLevelType w:val="hybridMultilevel"/>
    <w:tmpl w:val="9176F1F2"/>
    <w:lvl w:ilvl="0" w:tplc="EC96FB02">
      <w:numFmt w:val="bullet"/>
      <w:lvlText w:val=""/>
      <w:lvlJc w:val="left"/>
      <w:pPr>
        <w:ind w:left="720" w:hanging="360"/>
      </w:pPr>
      <w:rPr>
        <w:rFonts w:ascii="Symbol" w:hAnsi="Symbol" w:hint="default"/>
      </w:rPr>
    </w:lvl>
    <w:lvl w:ilvl="1" w:tplc="25F22AE0" w:tentative="1">
      <w:start w:val="1"/>
      <w:numFmt w:val="bullet"/>
      <w:lvlText w:val="o"/>
      <w:lvlJc w:val="left"/>
      <w:pPr>
        <w:ind w:left="1440" w:hanging="360"/>
      </w:pPr>
      <w:rPr>
        <w:rFonts w:ascii="Courier New" w:hAnsi="Courier New" w:hint="default"/>
      </w:rPr>
    </w:lvl>
    <w:lvl w:ilvl="2" w:tplc="1972AAC2" w:tentative="1">
      <w:start w:val="1"/>
      <w:numFmt w:val="bullet"/>
      <w:lvlText w:val=""/>
      <w:lvlJc w:val="left"/>
      <w:pPr>
        <w:ind w:left="2160" w:hanging="360"/>
      </w:pPr>
      <w:rPr>
        <w:rFonts w:ascii="Wingdings" w:hAnsi="Wingdings" w:hint="default"/>
      </w:rPr>
    </w:lvl>
    <w:lvl w:ilvl="3" w:tplc="87DEF1FA" w:tentative="1">
      <w:start w:val="1"/>
      <w:numFmt w:val="bullet"/>
      <w:lvlText w:val=""/>
      <w:lvlJc w:val="left"/>
      <w:pPr>
        <w:ind w:left="2880" w:hanging="360"/>
      </w:pPr>
      <w:rPr>
        <w:rFonts w:ascii="Symbol" w:hAnsi="Symbol" w:hint="default"/>
      </w:rPr>
    </w:lvl>
    <w:lvl w:ilvl="4" w:tplc="C16CC3A8" w:tentative="1">
      <w:start w:val="1"/>
      <w:numFmt w:val="bullet"/>
      <w:lvlText w:val="o"/>
      <w:lvlJc w:val="left"/>
      <w:pPr>
        <w:ind w:left="3600" w:hanging="360"/>
      </w:pPr>
      <w:rPr>
        <w:rFonts w:ascii="Courier New" w:hAnsi="Courier New" w:hint="default"/>
      </w:rPr>
    </w:lvl>
    <w:lvl w:ilvl="5" w:tplc="B55AB0B6" w:tentative="1">
      <w:start w:val="1"/>
      <w:numFmt w:val="bullet"/>
      <w:lvlText w:val=""/>
      <w:lvlJc w:val="left"/>
      <w:pPr>
        <w:ind w:left="4320" w:hanging="360"/>
      </w:pPr>
      <w:rPr>
        <w:rFonts w:ascii="Wingdings" w:hAnsi="Wingdings" w:hint="default"/>
      </w:rPr>
    </w:lvl>
    <w:lvl w:ilvl="6" w:tplc="DCF0788A" w:tentative="1">
      <w:start w:val="1"/>
      <w:numFmt w:val="bullet"/>
      <w:lvlText w:val=""/>
      <w:lvlJc w:val="left"/>
      <w:pPr>
        <w:ind w:left="5040" w:hanging="360"/>
      </w:pPr>
      <w:rPr>
        <w:rFonts w:ascii="Symbol" w:hAnsi="Symbol" w:hint="default"/>
      </w:rPr>
    </w:lvl>
    <w:lvl w:ilvl="7" w:tplc="D71C084A" w:tentative="1">
      <w:start w:val="1"/>
      <w:numFmt w:val="bullet"/>
      <w:lvlText w:val="o"/>
      <w:lvlJc w:val="left"/>
      <w:pPr>
        <w:ind w:left="5760" w:hanging="360"/>
      </w:pPr>
      <w:rPr>
        <w:rFonts w:ascii="Courier New" w:hAnsi="Courier New" w:hint="default"/>
      </w:rPr>
    </w:lvl>
    <w:lvl w:ilvl="8" w:tplc="75A82FE0" w:tentative="1">
      <w:start w:val="1"/>
      <w:numFmt w:val="bullet"/>
      <w:lvlText w:val=""/>
      <w:lvlJc w:val="left"/>
      <w:pPr>
        <w:ind w:left="6480" w:hanging="360"/>
      </w:pPr>
      <w:rPr>
        <w:rFonts w:ascii="Wingdings" w:hAnsi="Wingdings" w:hint="default"/>
      </w:rPr>
    </w:lvl>
  </w:abstractNum>
  <w:abstractNum w:abstractNumId="12" w15:restartNumberingAfterBreak="0">
    <w:nsid w:val="579D76DC"/>
    <w:multiLevelType w:val="hybridMultilevel"/>
    <w:tmpl w:val="FFFFFFFF"/>
    <w:lvl w:ilvl="0" w:tplc="B5AE5632">
      <w:start w:val="1"/>
      <w:numFmt w:val="bullet"/>
      <w:lvlText w:val=""/>
      <w:lvlJc w:val="left"/>
      <w:pPr>
        <w:ind w:left="720" w:hanging="360"/>
      </w:pPr>
      <w:rPr>
        <w:rFonts w:ascii="Symbol" w:hAnsi="Symbol" w:hint="default"/>
      </w:rPr>
    </w:lvl>
    <w:lvl w:ilvl="1" w:tplc="35D80F1E">
      <w:start w:val="1"/>
      <w:numFmt w:val="bullet"/>
      <w:lvlText w:val="o"/>
      <w:lvlJc w:val="left"/>
      <w:pPr>
        <w:ind w:left="1440" w:hanging="360"/>
      </w:pPr>
      <w:rPr>
        <w:rFonts w:ascii="Courier New" w:hAnsi="Courier New" w:hint="default"/>
      </w:rPr>
    </w:lvl>
    <w:lvl w:ilvl="2" w:tplc="419C4F06">
      <w:start w:val="1"/>
      <w:numFmt w:val="bullet"/>
      <w:lvlText w:val=""/>
      <w:lvlJc w:val="left"/>
      <w:pPr>
        <w:ind w:left="2160" w:hanging="360"/>
      </w:pPr>
      <w:rPr>
        <w:rFonts w:ascii="Wingdings" w:hAnsi="Wingdings" w:hint="default"/>
      </w:rPr>
    </w:lvl>
    <w:lvl w:ilvl="3" w:tplc="0D969E7E">
      <w:start w:val="1"/>
      <w:numFmt w:val="bullet"/>
      <w:lvlText w:val=""/>
      <w:lvlJc w:val="left"/>
      <w:pPr>
        <w:ind w:left="2880" w:hanging="360"/>
      </w:pPr>
      <w:rPr>
        <w:rFonts w:ascii="Symbol" w:hAnsi="Symbol" w:hint="default"/>
      </w:rPr>
    </w:lvl>
    <w:lvl w:ilvl="4" w:tplc="C972D2D0">
      <w:start w:val="1"/>
      <w:numFmt w:val="bullet"/>
      <w:lvlText w:val="o"/>
      <w:lvlJc w:val="left"/>
      <w:pPr>
        <w:ind w:left="3600" w:hanging="360"/>
      </w:pPr>
      <w:rPr>
        <w:rFonts w:ascii="Courier New" w:hAnsi="Courier New" w:hint="default"/>
      </w:rPr>
    </w:lvl>
    <w:lvl w:ilvl="5" w:tplc="0BDEA3D8">
      <w:start w:val="1"/>
      <w:numFmt w:val="bullet"/>
      <w:lvlText w:val=""/>
      <w:lvlJc w:val="left"/>
      <w:pPr>
        <w:ind w:left="4320" w:hanging="360"/>
      </w:pPr>
      <w:rPr>
        <w:rFonts w:ascii="Wingdings" w:hAnsi="Wingdings" w:hint="default"/>
      </w:rPr>
    </w:lvl>
    <w:lvl w:ilvl="6" w:tplc="48F6921A">
      <w:start w:val="1"/>
      <w:numFmt w:val="bullet"/>
      <w:lvlText w:val=""/>
      <w:lvlJc w:val="left"/>
      <w:pPr>
        <w:ind w:left="5040" w:hanging="360"/>
      </w:pPr>
      <w:rPr>
        <w:rFonts w:ascii="Symbol" w:hAnsi="Symbol" w:hint="default"/>
      </w:rPr>
    </w:lvl>
    <w:lvl w:ilvl="7" w:tplc="772E9FCA">
      <w:start w:val="1"/>
      <w:numFmt w:val="bullet"/>
      <w:lvlText w:val="o"/>
      <w:lvlJc w:val="left"/>
      <w:pPr>
        <w:ind w:left="5760" w:hanging="360"/>
      </w:pPr>
      <w:rPr>
        <w:rFonts w:ascii="Courier New" w:hAnsi="Courier New" w:hint="default"/>
      </w:rPr>
    </w:lvl>
    <w:lvl w:ilvl="8" w:tplc="A9C6A6E4">
      <w:start w:val="1"/>
      <w:numFmt w:val="bullet"/>
      <w:lvlText w:val=""/>
      <w:lvlJc w:val="left"/>
      <w:pPr>
        <w:ind w:left="6480" w:hanging="360"/>
      </w:pPr>
      <w:rPr>
        <w:rFonts w:ascii="Wingdings" w:hAnsi="Wingdings" w:hint="default"/>
      </w:rPr>
    </w:lvl>
  </w:abstractNum>
  <w:abstractNum w:abstractNumId="13" w15:restartNumberingAfterBreak="0">
    <w:nsid w:val="61B349E7"/>
    <w:multiLevelType w:val="hybridMultilevel"/>
    <w:tmpl w:val="BE50939A"/>
    <w:lvl w:ilvl="0" w:tplc="FB56CEA6">
      <w:start w:val="2"/>
      <w:numFmt w:val="bullet"/>
      <w:lvlText w:val="-"/>
      <w:lvlJc w:val="left"/>
      <w:pPr>
        <w:ind w:left="720" w:hanging="360"/>
      </w:pPr>
      <w:rPr>
        <w:rFonts w:ascii="Times New Roman" w:hAnsi="Times New Roman" w:hint="default"/>
      </w:rPr>
    </w:lvl>
    <w:lvl w:ilvl="1" w:tplc="47C82796" w:tentative="1">
      <w:start w:val="1"/>
      <w:numFmt w:val="bullet"/>
      <w:lvlText w:val="o"/>
      <w:lvlJc w:val="left"/>
      <w:pPr>
        <w:ind w:left="1440" w:hanging="360"/>
      </w:pPr>
      <w:rPr>
        <w:rFonts w:ascii="Courier New" w:hAnsi="Courier New" w:hint="default"/>
      </w:rPr>
    </w:lvl>
    <w:lvl w:ilvl="2" w:tplc="1C16DC00" w:tentative="1">
      <w:start w:val="1"/>
      <w:numFmt w:val="bullet"/>
      <w:lvlText w:val=""/>
      <w:lvlJc w:val="left"/>
      <w:pPr>
        <w:ind w:left="2160" w:hanging="360"/>
      </w:pPr>
      <w:rPr>
        <w:rFonts w:ascii="Wingdings" w:hAnsi="Wingdings" w:hint="default"/>
      </w:rPr>
    </w:lvl>
    <w:lvl w:ilvl="3" w:tplc="A77CEC32" w:tentative="1">
      <w:start w:val="1"/>
      <w:numFmt w:val="bullet"/>
      <w:lvlText w:val=""/>
      <w:lvlJc w:val="left"/>
      <w:pPr>
        <w:ind w:left="2880" w:hanging="360"/>
      </w:pPr>
      <w:rPr>
        <w:rFonts w:ascii="Symbol" w:hAnsi="Symbol" w:hint="default"/>
      </w:rPr>
    </w:lvl>
    <w:lvl w:ilvl="4" w:tplc="C002B82E" w:tentative="1">
      <w:start w:val="1"/>
      <w:numFmt w:val="bullet"/>
      <w:lvlText w:val="o"/>
      <w:lvlJc w:val="left"/>
      <w:pPr>
        <w:ind w:left="3600" w:hanging="360"/>
      </w:pPr>
      <w:rPr>
        <w:rFonts w:ascii="Courier New" w:hAnsi="Courier New" w:hint="default"/>
      </w:rPr>
    </w:lvl>
    <w:lvl w:ilvl="5" w:tplc="351E3E8A" w:tentative="1">
      <w:start w:val="1"/>
      <w:numFmt w:val="bullet"/>
      <w:lvlText w:val=""/>
      <w:lvlJc w:val="left"/>
      <w:pPr>
        <w:ind w:left="4320" w:hanging="360"/>
      </w:pPr>
      <w:rPr>
        <w:rFonts w:ascii="Wingdings" w:hAnsi="Wingdings" w:hint="default"/>
      </w:rPr>
    </w:lvl>
    <w:lvl w:ilvl="6" w:tplc="BD5E7200" w:tentative="1">
      <w:start w:val="1"/>
      <w:numFmt w:val="bullet"/>
      <w:lvlText w:val=""/>
      <w:lvlJc w:val="left"/>
      <w:pPr>
        <w:ind w:left="5040" w:hanging="360"/>
      </w:pPr>
      <w:rPr>
        <w:rFonts w:ascii="Symbol" w:hAnsi="Symbol" w:hint="default"/>
      </w:rPr>
    </w:lvl>
    <w:lvl w:ilvl="7" w:tplc="E27C2C36" w:tentative="1">
      <w:start w:val="1"/>
      <w:numFmt w:val="bullet"/>
      <w:lvlText w:val="o"/>
      <w:lvlJc w:val="left"/>
      <w:pPr>
        <w:ind w:left="5760" w:hanging="360"/>
      </w:pPr>
      <w:rPr>
        <w:rFonts w:ascii="Courier New" w:hAnsi="Courier New" w:hint="default"/>
      </w:rPr>
    </w:lvl>
    <w:lvl w:ilvl="8" w:tplc="651C46CE" w:tentative="1">
      <w:start w:val="1"/>
      <w:numFmt w:val="bullet"/>
      <w:lvlText w:val=""/>
      <w:lvlJc w:val="left"/>
      <w:pPr>
        <w:ind w:left="6480" w:hanging="360"/>
      </w:pPr>
      <w:rPr>
        <w:rFonts w:ascii="Wingdings" w:hAnsi="Wingdings" w:hint="default"/>
      </w:rPr>
    </w:lvl>
  </w:abstractNum>
  <w:abstractNum w:abstractNumId="14" w15:restartNumberingAfterBreak="0">
    <w:nsid w:val="61D0251B"/>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600F653"/>
    <w:multiLevelType w:val="hybridMultilevel"/>
    <w:tmpl w:val="FFFFFFFF"/>
    <w:lvl w:ilvl="0" w:tplc="88A6D4B6">
      <w:start w:val="1"/>
      <w:numFmt w:val="bullet"/>
      <w:lvlText w:val=""/>
      <w:lvlJc w:val="left"/>
      <w:pPr>
        <w:ind w:left="360" w:hanging="360"/>
      </w:pPr>
      <w:rPr>
        <w:rFonts w:ascii="Symbol" w:hAnsi="Symbol" w:hint="default"/>
      </w:rPr>
    </w:lvl>
    <w:lvl w:ilvl="1" w:tplc="C62E498A">
      <w:start w:val="1"/>
      <w:numFmt w:val="bullet"/>
      <w:lvlText w:val="o"/>
      <w:lvlJc w:val="left"/>
      <w:pPr>
        <w:ind w:left="1080" w:hanging="360"/>
      </w:pPr>
      <w:rPr>
        <w:rFonts w:ascii="Courier New" w:hAnsi="Courier New" w:hint="default"/>
      </w:rPr>
    </w:lvl>
    <w:lvl w:ilvl="2" w:tplc="ABE02906">
      <w:start w:val="1"/>
      <w:numFmt w:val="bullet"/>
      <w:lvlText w:val=""/>
      <w:lvlJc w:val="left"/>
      <w:pPr>
        <w:ind w:left="1800" w:hanging="360"/>
      </w:pPr>
      <w:rPr>
        <w:rFonts w:ascii="Wingdings" w:hAnsi="Wingdings" w:hint="default"/>
      </w:rPr>
    </w:lvl>
    <w:lvl w:ilvl="3" w:tplc="57A4B2B2">
      <w:start w:val="1"/>
      <w:numFmt w:val="bullet"/>
      <w:lvlText w:val=""/>
      <w:lvlJc w:val="left"/>
      <w:pPr>
        <w:ind w:left="2520" w:hanging="360"/>
      </w:pPr>
      <w:rPr>
        <w:rFonts w:ascii="Symbol" w:hAnsi="Symbol" w:hint="default"/>
      </w:rPr>
    </w:lvl>
    <w:lvl w:ilvl="4" w:tplc="E93EB4F2">
      <w:start w:val="1"/>
      <w:numFmt w:val="bullet"/>
      <w:lvlText w:val="o"/>
      <w:lvlJc w:val="left"/>
      <w:pPr>
        <w:ind w:left="3240" w:hanging="360"/>
      </w:pPr>
      <w:rPr>
        <w:rFonts w:ascii="Courier New" w:hAnsi="Courier New" w:hint="default"/>
      </w:rPr>
    </w:lvl>
    <w:lvl w:ilvl="5" w:tplc="2D3472B8">
      <w:start w:val="1"/>
      <w:numFmt w:val="bullet"/>
      <w:lvlText w:val=""/>
      <w:lvlJc w:val="left"/>
      <w:pPr>
        <w:ind w:left="3960" w:hanging="360"/>
      </w:pPr>
      <w:rPr>
        <w:rFonts w:ascii="Wingdings" w:hAnsi="Wingdings" w:hint="default"/>
      </w:rPr>
    </w:lvl>
    <w:lvl w:ilvl="6" w:tplc="9BE40476">
      <w:start w:val="1"/>
      <w:numFmt w:val="bullet"/>
      <w:lvlText w:val=""/>
      <w:lvlJc w:val="left"/>
      <w:pPr>
        <w:ind w:left="4680" w:hanging="360"/>
      </w:pPr>
      <w:rPr>
        <w:rFonts w:ascii="Symbol" w:hAnsi="Symbol" w:hint="default"/>
      </w:rPr>
    </w:lvl>
    <w:lvl w:ilvl="7" w:tplc="65B89B0E">
      <w:start w:val="1"/>
      <w:numFmt w:val="bullet"/>
      <w:lvlText w:val="o"/>
      <w:lvlJc w:val="left"/>
      <w:pPr>
        <w:ind w:left="5400" w:hanging="360"/>
      </w:pPr>
      <w:rPr>
        <w:rFonts w:ascii="Courier New" w:hAnsi="Courier New" w:hint="default"/>
      </w:rPr>
    </w:lvl>
    <w:lvl w:ilvl="8" w:tplc="149CF91E">
      <w:start w:val="1"/>
      <w:numFmt w:val="bullet"/>
      <w:lvlText w:val=""/>
      <w:lvlJc w:val="left"/>
      <w:pPr>
        <w:ind w:left="6120" w:hanging="360"/>
      </w:pPr>
      <w:rPr>
        <w:rFonts w:ascii="Wingdings" w:hAnsi="Wingdings" w:hint="default"/>
      </w:rPr>
    </w:lvl>
  </w:abstractNum>
  <w:abstractNum w:abstractNumId="16" w15:restartNumberingAfterBreak="0">
    <w:nsid w:val="766C877F"/>
    <w:multiLevelType w:val="hybridMultilevel"/>
    <w:tmpl w:val="FFFFFFFF"/>
    <w:lvl w:ilvl="0" w:tplc="CFF68FA8">
      <w:start w:val="1"/>
      <w:numFmt w:val="bullet"/>
      <w:lvlText w:val=""/>
      <w:lvlJc w:val="left"/>
      <w:pPr>
        <w:ind w:left="720" w:hanging="360"/>
      </w:pPr>
      <w:rPr>
        <w:rFonts w:ascii="Symbol" w:hAnsi="Symbol" w:hint="default"/>
      </w:rPr>
    </w:lvl>
    <w:lvl w:ilvl="1" w:tplc="9B20ABC2">
      <w:start w:val="1"/>
      <w:numFmt w:val="bullet"/>
      <w:lvlText w:val="o"/>
      <w:lvlJc w:val="left"/>
      <w:pPr>
        <w:ind w:left="1440" w:hanging="360"/>
      </w:pPr>
      <w:rPr>
        <w:rFonts w:ascii="Courier New" w:hAnsi="Courier New" w:hint="default"/>
      </w:rPr>
    </w:lvl>
    <w:lvl w:ilvl="2" w:tplc="C1BE2EDE">
      <w:start w:val="1"/>
      <w:numFmt w:val="bullet"/>
      <w:lvlText w:val=""/>
      <w:lvlJc w:val="left"/>
      <w:pPr>
        <w:ind w:left="2160" w:hanging="360"/>
      </w:pPr>
      <w:rPr>
        <w:rFonts w:ascii="Wingdings" w:hAnsi="Wingdings" w:hint="default"/>
      </w:rPr>
    </w:lvl>
    <w:lvl w:ilvl="3" w:tplc="481E285C">
      <w:start w:val="1"/>
      <w:numFmt w:val="bullet"/>
      <w:lvlText w:val=""/>
      <w:lvlJc w:val="left"/>
      <w:pPr>
        <w:ind w:left="2880" w:hanging="360"/>
      </w:pPr>
      <w:rPr>
        <w:rFonts w:ascii="Symbol" w:hAnsi="Symbol" w:hint="default"/>
      </w:rPr>
    </w:lvl>
    <w:lvl w:ilvl="4" w:tplc="C8006166">
      <w:start w:val="1"/>
      <w:numFmt w:val="bullet"/>
      <w:lvlText w:val="o"/>
      <w:lvlJc w:val="left"/>
      <w:pPr>
        <w:ind w:left="3600" w:hanging="360"/>
      </w:pPr>
      <w:rPr>
        <w:rFonts w:ascii="Courier New" w:hAnsi="Courier New" w:hint="default"/>
      </w:rPr>
    </w:lvl>
    <w:lvl w:ilvl="5" w:tplc="13FC1EC6">
      <w:start w:val="1"/>
      <w:numFmt w:val="bullet"/>
      <w:lvlText w:val=""/>
      <w:lvlJc w:val="left"/>
      <w:pPr>
        <w:ind w:left="4320" w:hanging="360"/>
      </w:pPr>
      <w:rPr>
        <w:rFonts w:ascii="Wingdings" w:hAnsi="Wingdings" w:hint="default"/>
      </w:rPr>
    </w:lvl>
    <w:lvl w:ilvl="6" w:tplc="EA9E6972">
      <w:start w:val="1"/>
      <w:numFmt w:val="bullet"/>
      <w:lvlText w:val=""/>
      <w:lvlJc w:val="left"/>
      <w:pPr>
        <w:ind w:left="5040" w:hanging="360"/>
      </w:pPr>
      <w:rPr>
        <w:rFonts w:ascii="Symbol" w:hAnsi="Symbol" w:hint="default"/>
      </w:rPr>
    </w:lvl>
    <w:lvl w:ilvl="7" w:tplc="D358978A">
      <w:start w:val="1"/>
      <w:numFmt w:val="bullet"/>
      <w:lvlText w:val="o"/>
      <w:lvlJc w:val="left"/>
      <w:pPr>
        <w:ind w:left="5760" w:hanging="360"/>
      </w:pPr>
      <w:rPr>
        <w:rFonts w:ascii="Courier New" w:hAnsi="Courier New" w:hint="default"/>
      </w:rPr>
    </w:lvl>
    <w:lvl w:ilvl="8" w:tplc="04D48C5E">
      <w:start w:val="1"/>
      <w:numFmt w:val="bullet"/>
      <w:lvlText w:val=""/>
      <w:lvlJc w:val="left"/>
      <w:pPr>
        <w:ind w:left="6480" w:hanging="360"/>
      </w:pPr>
      <w:rPr>
        <w:rFonts w:ascii="Wingdings" w:hAnsi="Wingdings" w:hint="default"/>
      </w:rPr>
    </w:lvl>
  </w:abstractNum>
  <w:abstractNum w:abstractNumId="17" w15:restartNumberingAfterBreak="0">
    <w:nsid w:val="7D230937"/>
    <w:multiLevelType w:val="hybridMultilevel"/>
    <w:tmpl w:val="C47446EC"/>
    <w:lvl w:ilvl="0" w:tplc="04EE7554">
      <w:numFmt w:val="bullet"/>
      <w:lvlText w:val="-"/>
      <w:lvlJc w:val="left"/>
      <w:pPr>
        <w:ind w:left="720" w:hanging="360"/>
      </w:pPr>
      <w:rPr>
        <w:rFonts w:ascii="Aptos" w:hAnsi="Aptos" w:hint="default"/>
      </w:rPr>
    </w:lvl>
    <w:lvl w:ilvl="1" w:tplc="A072D8D8">
      <w:start w:val="1"/>
      <w:numFmt w:val="bullet"/>
      <w:lvlText w:val="o"/>
      <w:lvlJc w:val="left"/>
      <w:pPr>
        <w:ind w:left="1440" w:hanging="360"/>
      </w:pPr>
      <w:rPr>
        <w:rFonts w:ascii="Courier New" w:hAnsi="Courier New" w:hint="default"/>
      </w:rPr>
    </w:lvl>
    <w:lvl w:ilvl="2" w:tplc="755CAAE0">
      <w:start w:val="1"/>
      <w:numFmt w:val="bullet"/>
      <w:lvlText w:val=""/>
      <w:lvlJc w:val="left"/>
      <w:pPr>
        <w:ind w:left="2160" w:hanging="360"/>
      </w:pPr>
      <w:rPr>
        <w:rFonts w:ascii="Wingdings" w:hAnsi="Wingdings" w:hint="default"/>
      </w:rPr>
    </w:lvl>
    <w:lvl w:ilvl="3" w:tplc="CD62A8B4">
      <w:start w:val="1"/>
      <w:numFmt w:val="bullet"/>
      <w:lvlText w:val=""/>
      <w:lvlJc w:val="left"/>
      <w:pPr>
        <w:ind w:left="2880" w:hanging="360"/>
      </w:pPr>
      <w:rPr>
        <w:rFonts w:ascii="Symbol" w:hAnsi="Symbol" w:hint="default"/>
      </w:rPr>
    </w:lvl>
    <w:lvl w:ilvl="4" w:tplc="6EDEBCA8">
      <w:start w:val="1"/>
      <w:numFmt w:val="bullet"/>
      <w:lvlText w:val="o"/>
      <w:lvlJc w:val="left"/>
      <w:pPr>
        <w:ind w:left="3600" w:hanging="360"/>
      </w:pPr>
      <w:rPr>
        <w:rFonts w:ascii="Courier New" w:hAnsi="Courier New" w:hint="default"/>
      </w:rPr>
    </w:lvl>
    <w:lvl w:ilvl="5" w:tplc="F620BF42">
      <w:start w:val="1"/>
      <w:numFmt w:val="bullet"/>
      <w:lvlText w:val=""/>
      <w:lvlJc w:val="left"/>
      <w:pPr>
        <w:ind w:left="4320" w:hanging="360"/>
      </w:pPr>
      <w:rPr>
        <w:rFonts w:ascii="Wingdings" w:hAnsi="Wingdings" w:hint="default"/>
      </w:rPr>
    </w:lvl>
    <w:lvl w:ilvl="6" w:tplc="C770A75A">
      <w:start w:val="1"/>
      <w:numFmt w:val="bullet"/>
      <w:lvlText w:val=""/>
      <w:lvlJc w:val="left"/>
      <w:pPr>
        <w:ind w:left="5040" w:hanging="360"/>
      </w:pPr>
      <w:rPr>
        <w:rFonts w:ascii="Symbol" w:hAnsi="Symbol" w:hint="default"/>
      </w:rPr>
    </w:lvl>
    <w:lvl w:ilvl="7" w:tplc="9628E856">
      <w:start w:val="1"/>
      <w:numFmt w:val="bullet"/>
      <w:lvlText w:val="o"/>
      <w:lvlJc w:val="left"/>
      <w:pPr>
        <w:ind w:left="5760" w:hanging="360"/>
      </w:pPr>
      <w:rPr>
        <w:rFonts w:ascii="Courier New" w:hAnsi="Courier New" w:hint="default"/>
      </w:rPr>
    </w:lvl>
    <w:lvl w:ilvl="8" w:tplc="B3C62D70">
      <w:start w:val="1"/>
      <w:numFmt w:val="bullet"/>
      <w:lvlText w:val=""/>
      <w:lvlJc w:val="left"/>
      <w:pPr>
        <w:ind w:left="6480" w:hanging="360"/>
      </w:pPr>
      <w:rPr>
        <w:rFonts w:ascii="Wingdings" w:hAnsi="Wingdings" w:hint="default"/>
      </w:rPr>
    </w:lvl>
  </w:abstractNum>
  <w:num w:numId="1">
    <w:abstractNumId w:val="1"/>
  </w:num>
  <w:num w:numId="2">
    <w:abstractNumId w:val="11"/>
  </w:num>
  <w:num w:numId="3">
    <w:abstractNumId w:val="10"/>
  </w:num>
  <w:num w:numId="4">
    <w:abstractNumId w:val="7"/>
  </w:num>
  <w:num w:numId="5">
    <w:abstractNumId w:val="3"/>
  </w:num>
  <w:num w:numId="6">
    <w:abstractNumId w:val="4"/>
  </w:num>
  <w:num w:numId="7">
    <w:abstractNumId w:val="17"/>
  </w:num>
  <w:num w:numId="8">
    <w:abstractNumId w:val="6"/>
  </w:num>
  <w:num w:numId="9">
    <w:abstractNumId w:val="8"/>
  </w:num>
  <w:num w:numId="10">
    <w:abstractNumId w:val="9"/>
  </w:num>
  <w:num w:numId="11">
    <w:abstractNumId w:val="13"/>
  </w:num>
  <w:num w:numId="12">
    <w:abstractNumId w:val="15"/>
  </w:num>
  <w:num w:numId="13">
    <w:abstractNumId w:val="5"/>
  </w:num>
  <w:num w:numId="14">
    <w:abstractNumId w:val="14"/>
  </w:num>
  <w:num w:numId="15">
    <w:abstractNumId w:val="0"/>
  </w:num>
  <w:num w:numId="16">
    <w:abstractNumId w:val="16"/>
  </w:num>
  <w:num w:numId="17">
    <w:abstractNumId w:val="2"/>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0FC2273F-CBA8-40A9-9811-DCE67FF29DC8"/>
    <w:docVar w:name="LW_COVERPAGE_TYPE" w:val="1"/>
    <w:docVar w:name="LW_CROSSREFERENCE" w:val="&lt;UNUSED&gt;"/>
    <w:docVar w:name="LW_DocType" w:val="NORMAL"/>
    <w:docVar w:name="LW_EMISSION" w:val="8.5.2026"/>
    <w:docVar w:name="LW_EMISSION_ISODATE" w:val="2026-05-08"/>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19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État des lieux de la mise en \u339?uvre du pacte sur la migration et l'asile"/>
    <w:docVar w:name="LW_TYPE.DOC.CP" w:val="COMMUNICATION DE LA COMMISSION AU PARLEMENT EUROPÉEN, AU CONSEIL, AU COMITÉ ÉCONOMIQUE ET SOCIAL EUROPÉEN ET AU COMITÉ DES RÉGIONS"/>
    <w:docVar w:name="LW_TYPE.DOC.CP.USERTEXT" w:val="&lt;EMPTY&gt;"/>
    <w:docVar w:name="LwApiVersions" w:val="LW4CoDe 1.24.5.0; LW 9.2, Build 20251112"/>
  </w:docVars>
  <w:rsids>
    <w:rsidRoot w:val="008F6AA1"/>
    <w:rsid w:val="00000146"/>
    <w:rsid w:val="000006E9"/>
    <w:rsid w:val="00000792"/>
    <w:rsid w:val="000007C9"/>
    <w:rsid w:val="00000850"/>
    <w:rsid w:val="0000095B"/>
    <w:rsid w:val="00000980"/>
    <w:rsid w:val="00000FBF"/>
    <w:rsid w:val="000010EC"/>
    <w:rsid w:val="000012FB"/>
    <w:rsid w:val="00001364"/>
    <w:rsid w:val="0000139D"/>
    <w:rsid w:val="00001538"/>
    <w:rsid w:val="000015F8"/>
    <w:rsid w:val="00001985"/>
    <w:rsid w:val="000019C7"/>
    <w:rsid w:val="000019F8"/>
    <w:rsid w:val="00001B4B"/>
    <w:rsid w:val="00001C85"/>
    <w:rsid w:val="00001E90"/>
    <w:rsid w:val="00001FDD"/>
    <w:rsid w:val="00002216"/>
    <w:rsid w:val="00002274"/>
    <w:rsid w:val="000022CF"/>
    <w:rsid w:val="00002669"/>
    <w:rsid w:val="00002753"/>
    <w:rsid w:val="0000280B"/>
    <w:rsid w:val="00002A40"/>
    <w:rsid w:val="00002A5B"/>
    <w:rsid w:val="00002C5A"/>
    <w:rsid w:val="00002E0C"/>
    <w:rsid w:val="00002ECD"/>
    <w:rsid w:val="0000306F"/>
    <w:rsid w:val="000031EE"/>
    <w:rsid w:val="000033BE"/>
    <w:rsid w:val="000034F4"/>
    <w:rsid w:val="0000364E"/>
    <w:rsid w:val="0000397A"/>
    <w:rsid w:val="0000398B"/>
    <w:rsid w:val="00003A4F"/>
    <w:rsid w:val="00003B01"/>
    <w:rsid w:val="00003B19"/>
    <w:rsid w:val="00003D9B"/>
    <w:rsid w:val="00003F42"/>
    <w:rsid w:val="00003F80"/>
    <w:rsid w:val="0000416F"/>
    <w:rsid w:val="000042C7"/>
    <w:rsid w:val="00004355"/>
    <w:rsid w:val="000043A2"/>
    <w:rsid w:val="00004531"/>
    <w:rsid w:val="0000492E"/>
    <w:rsid w:val="00004AE1"/>
    <w:rsid w:val="00004BE2"/>
    <w:rsid w:val="00004C14"/>
    <w:rsid w:val="00004CBB"/>
    <w:rsid w:val="00004F0A"/>
    <w:rsid w:val="000054B1"/>
    <w:rsid w:val="00005792"/>
    <w:rsid w:val="00005944"/>
    <w:rsid w:val="00005975"/>
    <w:rsid w:val="00005B2F"/>
    <w:rsid w:val="00005CE2"/>
    <w:rsid w:val="00005D6F"/>
    <w:rsid w:val="00005E2E"/>
    <w:rsid w:val="00005EE7"/>
    <w:rsid w:val="00005F53"/>
    <w:rsid w:val="0000609A"/>
    <w:rsid w:val="000061E4"/>
    <w:rsid w:val="000062C9"/>
    <w:rsid w:val="0000649E"/>
    <w:rsid w:val="000067EE"/>
    <w:rsid w:val="00006813"/>
    <w:rsid w:val="00006A75"/>
    <w:rsid w:val="00006C53"/>
    <w:rsid w:val="00006C9C"/>
    <w:rsid w:val="00006CE6"/>
    <w:rsid w:val="00006E61"/>
    <w:rsid w:val="00006FBA"/>
    <w:rsid w:val="00007000"/>
    <w:rsid w:val="00007079"/>
    <w:rsid w:val="000070D2"/>
    <w:rsid w:val="00007185"/>
    <w:rsid w:val="00007518"/>
    <w:rsid w:val="0000757B"/>
    <w:rsid w:val="00007691"/>
    <w:rsid w:val="0000797C"/>
    <w:rsid w:val="000079FB"/>
    <w:rsid w:val="00007B22"/>
    <w:rsid w:val="00007B34"/>
    <w:rsid w:val="00007BC1"/>
    <w:rsid w:val="0000D11B"/>
    <w:rsid w:val="000100D1"/>
    <w:rsid w:val="000101C6"/>
    <w:rsid w:val="000102BD"/>
    <w:rsid w:val="0001072A"/>
    <w:rsid w:val="00010AC1"/>
    <w:rsid w:val="00010C03"/>
    <w:rsid w:val="00010CDA"/>
    <w:rsid w:val="00010D43"/>
    <w:rsid w:val="00010E45"/>
    <w:rsid w:val="00011114"/>
    <w:rsid w:val="000111BF"/>
    <w:rsid w:val="000113E6"/>
    <w:rsid w:val="000119DE"/>
    <w:rsid w:val="00011AB0"/>
    <w:rsid w:val="00011E10"/>
    <w:rsid w:val="0001204F"/>
    <w:rsid w:val="00012146"/>
    <w:rsid w:val="0001219E"/>
    <w:rsid w:val="000121F1"/>
    <w:rsid w:val="000121F8"/>
    <w:rsid w:val="00012240"/>
    <w:rsid w:val="000123FA"/>
    <w:rsid w:val="000124C2"/>
    <w:rsid w:val="0001250E"/>
    <w:rsid w:val="00012697"/>
    <w:rsid w:val="000128DD"/>
    <w:rsid w:val="00012984"/>
    <w:rsid w:val="00012A15"/>
    <w:rsid w:val="000131BE"/>
    <w:rsid w:val="000131E3"/>
    <w:rsid w:val="00013669"/>
    <w:rsid w:val="000136FB"/>
    <w:rsid w:val="00013EDF"/>
    <w:rsid w:val="000144C7"/>
    <w:rsid w:val="00014650"/>
    <w:rsid w:val="00014668"/>
    <w:rsid w:val="00014732"/>
    <w:rsid w:val="00014893"/>
    <w:rsid w:val="00014C01"/>
    <w:rsid w:val="00014C2F"/>
    <w:rsid w:val="00014FBE"/>
    <w:rsid w:val="00014FCF"/>
    <w:rsid w:val="00015125"/>
    <w:rsid w:val="0001539A"/>
    <w:rsid w:val="0001569E"/>
    <w:rsid w:val="000157DC"/>
    <w:rsid w:val="00015A4A"/>
    <w:rsid w:val="00015B7F"/>
    <w:rsid w:val="00015BD6"/>
    <w:rsid w:val="00015D6B"/>
    <w:rsid w:val="00015D94"/>
    <w:rsid w:val="00015FBE"/>
    <w:rsid w:val="000161A1"/>
    <w:rsid w:val="000161E8"/>
    <w:rsid w:val="00016532"/>
    <w:rsid w:val="00016789"/>
    <w:rsid w:val="00016959"/>
    <w:rsid w:val="000169B6"/>
    <w:rsid w:val="000169C1"/>
    <w:rsid w:val="00016B1D"/>
    <w:rsid w:val="00016D9B"/>
    <w:rsid w:val="00016DA7"/>
    <w:rsid w:val="00016FF6"/>
    <w:rsid w:val="000170DF"/>
    <w:rsid w:val="00017136"/>
    <w:rsid w:val="00017146"/>
    <w:rsid w:val="000174C3"/>
    <w:rsid w:val="000177DB"/>
    <w:rsid w:val="000177FF"/>
    <w:rsid w:val="00017815"/>
    <w:rsid w:val="00017824"/>
    <w:rsid w:val="00017905"/>
    <w:rsid w:val="00017A62"/>
    <w:rsid w:val="00017B3B"/>
    <w:rsid w:val="00017B42"/>
    <w:rsid w:val="00017B7C"/>
    <w:rsid w:val="00017BA0"/>
    <w:rsid w:val="00017D17"/>
    <w:rsid w:val="00017F5C"/>
    <w:rsid w:val="00017F9C"/>
    <w:rsid w:val="00020013"/>
    <w:rsid w:val="000200A2"/>
    <w:rsid w:val="00020196"/>
    <w:rsid w:val="00020223"/>
    <w:rsid w:val="0002028D"/>
    <w:rsid w:val="000202F6"/>
    <w:rsid w:val="000204D7"/>
    <w:rsid w:val="000207AC"/>
    <w:rsid w:val="0002083C"/>
    <w:rsid w:val="00020851"/>
    <w:rsid w:val="00020C2E"/>
    <w:rsid w:val="00021156"/>
    <w:rsid w:val="00021162"/>
    <w:rsid w:val="00021288"/>
    <w:rsid w:val="00021313"/>
    <w:rsid w:val="00021521"/>
    <w:rsid w:val="00021633"/>
    <w:rsid w:val="00021A58"/>
    <w:rsid w:val="00021ADC"/>
    <w:rsid w:val="00021B55"/>
    <w:rsid w:val="00021CBC"/>
    <w:rsid w:val="00021E1B"/>
    <w:rsid w:val="000222CB"/>
    <w:rsid w:val="000223E7"/>
    <w:rsid w:val="000227D0"/>
    <w:rsid w:val="00022B68"/>
    <w:rsid w:val="00022FA1"/>
    <w:rsid w:val="00022FAA"/>
    <w:rsid w:val="00023028"/>
    <w:rsid w:val="00023292"/>
    <w:rsid w:val="000233E2"/>
    <w:rsid w:val="00023876"/>
    <w:rsid w:val="000239B6"/>
    <w:rsid w:val="00023C50"/>
    <w:rsid w:val="0002417D"/>
    <w:rsid w:val="00024250"/>
    <w:rsid w:val="000243AE"/>
    <w:rsid w:val="000244D8"/>
    <w:rsid w:val="00024744"/>
    <w:rsid w:val="00024814"/>
    <w:rsid w:val="000248CF"/>
    <w:rsid w:val="000249BB"/>
    <w:rsid w:val="00024A42"/>
    <w:rsid w:val="00024CA1"/>
    <w:rsid w:val="00024EA2"/>
    <w:rsid w:val="00024FA8"/>
    <w:rsid w:val="000250B1"/>
    <w:rsid w:val="0002527D"/>
    <w:rsid w:val="000252DC"/>
    <w:rsid w:val="00025418"/>
    <w:rsid w:val="000259C1"/>
    <w:rsid w:val="00025BDB"/>
    <w:rsid w:val="00025FEF"/>
    <w:rsid w:val="00026311"/>
    <w:rsid w:val="00026497"/>
    <w:rsid w:val="000264F3"/>
    <w:rsid w:val="00026931"/>
    <w:rsid w:val="00026C60"/>
    <w:rsid w:val="00026D7F"/>
    <w:rsid w:val="00026E0E"/>
    <w:rsid w:val="00027006"/>
    <w:rsid w:val="000270EB"/>
    <w:rsid w:val="000270ED"/>
    <w:rsid w:val="0002713C"/>
    <w:rsid w:val="000271ED"/>
    <w:rsid w:val="00027329"/>
    <w:rsid w:val="00027553"/>
    <w:rsid w:val="00027619"/>
    <w:rsid w:val="0002766C"/>
    <w:rsid w:val="0002767A"/>
    <w:rsid w:val="00027709"/>
    <w:rsid w:val="0002792A"/>
    <w:rsid w:val="00027A51"/>
    <w:rsid w:val="00027BC1"/>
    <w:rsid w:val="00027BC6"/>
    <w:rsid w:val="00027CD4"/>
    <w:rsid w:val="00027CE1"/>
    <w:rsid w:val="00027F7E"/>
    <w:rsid w:val="0002B056"/>
    <w:rsid w:val="000301A2"/>
    <w:rsid w:val="0003029B"/>
    <w:rsid w:val="00030493"/>
    <w:rsid w:val="00030588"/>
    <w:rsid w:val="000305AA"/>
    <w:rsid w:val="00030987"/>
    <w:rsid w:val="00030AC7"/>
    <w:rsid w:val="00030B30"/>
    <w:rsid w:val="00030FFE"/>
    <w:rsid w:val="00031049"/>
    <w:rsid w:val="00031598"/>
    <w:rsid w:val="0003171D"/>
    <w:rsid w:val="0003183E"/>
    <w:rsid w:val="000318F6"/>
    <w:rsid w:val="00031A5E"/>
    <w:rsid w:val="00031FC0"/>
    <w:rsid w:val="000320C9"/>
    <w:rsid w:val="00032167"/>
    <w:rsid w:val="0003240A"/>
    <w:rsid w:val="000326A5"/>
    <w:rsid w:val="000326F2"/>
    <w:rsid w:val="000327DB"/>
    <w:rsid w:val="000329BC"/>
    <w:rsid w:val="00032A7A"/>
    <w:rsid w:val="00032D58"/>
    <w:rsid w:val="00032DA9"/>
    <w:rsid w:val="000330C3"/>
    <w:rsid w:val="000339DF"/>
    <w:rsid w:val="00033AA2"/>
    <w:rsid w:val="00033AB0"/>
    <w:rsid w:val="00033B58"/>
    <w:rsid w:val="00033EA2"/>
    <w:rsid w:val="00033F1C"/>
    <w:rsid w:val="00033FB8"/>
    <w:rsid w:val="000340B3"/>
    <w:rsid w:val="0003422A"/>
    <w:rsid w:val="00034375"/>
    <w:rsid w:val="00034423"/>
    <w:rsid w:val="000348C7"/>
    <w:rsid w:val="00034A6C"/>
    <w:rsid w:val="00034C03"/>
    <w:rsid w:val="000353CA"/>
    <w:rsid w:val="00035689"/>
    <w:rsid w:val="000356C5"/>
    <w:rsid w:val="00035785"/>
    <w:rsid w:val="00035986"/>
    <w:rsid w:val="00035B22"/>
    <w:rsid w:val="00035DE9"/>
    <w:rsid w:val="00035EB2"/>
    <w:rsid w:val="00035FBB"/>
    <w:rsid w:val="0003665A"/>
    <w:rsid w:val="000366B7"/>
    <w:rsid w:val="00036916"/>
    <w:rsid w:val="00036BB6"/>
    <w:rsid w:val="00036C47"/>
    <w:rsid w:val="00037077"/>
    <w:rsid w:val="000371CD"/>
    <w:rsid w:val="000372D2"/>
    <w:rsid w:val="00037332"/>
    <w:rsid w:val="000373C0"/>
    <w:rsid w:val="0003754E"/>
    <w:rsid w:val="000376A4"/>
    <w:rsid w:val="00037720"/>
    <w:rsid w:val="0003777A"/>
    <w:rsid w:val="000378E3"/>
    <w:rsid w:val="000379ED"/>
    <w:rsid w:val="00037AB9"/>
    <w:rsid w:val="00037CA3"/>
    <w:rsid w:val="000400DF"/>
    <w:rsid w:val="000400F6"/>
    <w:rsid w:val="000403E9"/>
    <w:rsid w:val="000409C5"/>
    <w:rsid w:val="00040A3D"/>
    <w:rsid w:val="00040C07"/>
    <w:rsid w:val="00040C88"/>
    <w:rsid w:val="00040D22"/>
    <w:rsid w:val="00040E0E"/>
    <w:rsid w:val="00040EB1"/>
    <w:rsid w:val="00040EC9"/>
    <w:rsid w:val="00040FFD"/>
    <w:rsid w:val="00041036"/>
    <w:rsid w:val="00041152"/>
    <w:rsid w:val="00041552"/>
    <w:rsid w:val="0004167E"/>
    <w:rsid w:val="000417BB"/>
    <w:rsid w:val="00041A0C"/>
    <w:rsid w:val="00041C0C"/>
    <w:rsid w:val="00041C96"/>
    <w:rsid w:val="00041CFD"/>
    <w:rsid w:val="00041DE7"/>
    <w:rsid w:val="00041DED"/>
    <w:rsid w:val="00041E01"/>
    <w:rsid w:val="00041E0C"/>
    <w:rsid w:val="00041E7A"/>
    <w:rsid w:val="000424B0"/>
    <w:rsid w:val="00042717"/>
    <w:rsid w:val="0004279F"/>
    <w:rsid w:val="000429F7"/>
    <w:rsid w:val="000429FF"/>
    <w:rsid w:val="00042B02"/>
    <w:rsid w:val="00042C57"/>
    <w:rsid w:val="00042C65"/>
    <w:rsid w:val="00043104"/>
    <w:rsid w:val="00043189"/>
    <w:rsid w:val="00043B07"/>
    <w:rsid w:val="00043B2F"/>
    <w:rsid w:val="00043B8A"/>
    <w:rsid w:val="00043D35"/>
    <w:rsid w:val="0004425B"/>
    <w:rsid w:val="000442C1"/>
    <w:rsid w:val="0004436F"/>
    <w:rsid w:val="0004443C"/>
    <w:rsid w:val="000445BA"/>
    <w:rsid w:val="000448A7"/>
    <w:rsid w:val="00044E59"/>
    <w:rsid w:val="00044FCB"/>
    <w:rsid w:val="00044FE1"/>
    <w:rsid w:val="00045126"/>
    <w:rsid w:val="00045434"/>
    <w:rsid w:val="00045676"/>
    <w:rsid w:val="00045747"/>
    <w:rsid w:val="00045877"/>
    <w:rsid w:val="00045A80"/>
    <w:rsid w:val="00045BB7"/>
    <w:rsid w:val="00045C60"/>
    <w:rsid w:val="00045E02"/>
    <w:rsid w:val="00045FDF"/>
    <w:rsid w:val="00046076"/>
    <w:rsid w:val="00046225"/>
    <w:rsid w:val="000462EE"/>
    <w:rsid w:val="0004635F"/>
    <w:rsid w:val="000465C6"/>
    <w:rsid w:val="000465C9"/>
    <w:rsid w:val="00046627"/>
    <w:rsid w:val="0004695A"/>
    <w:rsid w:val="00046EE0"/>
    <w:rsid w:val="00046F94"/>
    <w:rsid w:val="0004736F"/>
    <w:rsid w:val="000475F5"/>
    <w:rsid w:val="000476E2"/>
    <w:rsid w:val="00047DC2"/>
    <w:rsid w:val="00050125"/>
    <w:rsid w:val="0005062D"/>
    <w:rsid w:val="00050694"/>
    <w:rsid w:val="000507DA"/>
    <w:rsid w:val="0005085C"/>
    <w:rsid w:val="00050932"/>
    <w:rsid w:val="00050BD1"/>
    <w:rsid w:val="00050CB9"/>
    <w:rsid w:val="00050E18"/>
    <w:rsid w:val="00050E77"/>
    <w:rsid w:val="00050E79"/>
    <w:rsid w:val="00050EC3"/>
    <w:rsid w:val="00050EC9"/>
    <w:rsid w:val="00050ED8"/>
    <w:rsid w:val="0005132E"/>
    <w:rsid w:val="0005137E"/>
    <w:rsid w:val="000515B9"/>
    <w:rsid w:val="0005163D"/>
    <w:rsid w:val="0005177E"/>
    <w:rsid w:val="00051797"/>
    <w:rsid w:val="00051861"/>
    <w:rsid w:val="000518B9"/>
    <w:rsid w:val="000518E8"/>
    <w:rsid w:val="00051AA1"/>
    <w:rsid w:val="00052002"/>
    <w:rsid w:val="0005228F"/>
    <w:rsid w:val="000522B6"/>
    <w:rsid w:val="00052395"/>
    <w:rsid w:val="00052526"/>
    <w:rsid w:val="00052740"/>
    <w:rsid w:val="00052820"/>
    <w:rsid w:val="00052A66"/>
    <w:rsid w:val="00052C69"/>
    <w:rsid w:val="00052D82"/>
    <w:rsid w:val="00052ECD"/>
    <w:rsid w:val="00053116"/>
    <w:rsid w:val="000531D9"/>
    <w:rsid w:val="00053352"/>
    <w:rsid w:val="000533D5"/>
    <w:rsid w:val="000536A9"/>
    <w:rsid w:val="00053BC3"/>
    <w:rsid w:val="000540F8"/>
    <w:rsid w:val="000544E2"/>
    <w:rsid w:val="00054526"/>
    <w:rsid w:val="00054556"/>
    <w:rsid w:val="00054754"/>
    <w:rsid w:val="000547BC"/>
    <w:rsid w:val="00054959"/>
    <w:rsid w:val="00054999"/>
    <w:rsid w:val="000549AC"/>
    <w:rsid w:val="000549B0"/>
    <w:rsid w:val="00054BA2"/>
    <w:rsid w:val="00054C41"/>
    <w:rsid w:val="00054EAD"/>
    <w:rsid w:val="00054EBD"/>
    <w:rsid w:val="00054FBC"/>
    <w:rsid w:val="0005500C"/>
    <w:rsid w:val="000550E1"/>
    <w:rsid w:val="00055102"/>
    <w:rsid w:val="000553D6"/>
    <w:rsid w:val="00055546"/>
    <w:rsid w:val="00055591"/>
    <w:rsid w:val="00055A14"/>
    <w:rsid w:val="00055BC8"/>
    <w:rsid w:val="00055DC0"/>
    <w:rsid w:val="00055E00"/>
    <w:rsid w:val="00055EC8"/>
    <w:rsid w:val="0005617B"/>
    <w:rsid w:val="000564E7"/>
    <w:rsid w:val="00056549"/>
    <w:rsid w:val="00056671"/>
    <w:rsid w:val="00056745"/>
    <w:rsid w:val="000567F6"/>
    <w:rsid w:val="00056904"/>
    <w:rsid w:val="00056A82"/>
    <w:rsid w:val="00056ACC"/>
    <w:rsid w:val="00056B06"/>
    <w:rsid w:val="00056B42"/>
    <w:rsid w:val="00056B6F"/>
    <w:rsid w:val="00056D27"/>
    <w:rsid w:val="0005721F"/>
    <w:rsid w:val="0005797B"/>
    <w:rsid w:val="00057A48"/>
    <w:rsid w:val="00057C88"/>
    <w:rsid w:val="00057E16"/>
    <w:rsid w:val="00057E54"/>
    <w:rsid w:val="00060067"/>
    <w:rsid w:val="000601DA"/>
    <w:rsid w:val="00060403"/>
    <w:rsid w:val="00060571"/>
    <w:rsid w:val="00060596"/>
    <w:rsid w:val="000605D1"/>
    <w:rsid w:val="0006061B"/>
    <w:rsid w:val="000606DC"/>
    <w:rsid w:val="000609DD"/>
    <w:rsid w:val="00060ACB"/>
    <w:rsid w:val="00060EFD"/>
    <w:rsid w:val="00060FCF"/>
    <w:rsid w:val="0006162D"/>
    <w:rsid w:val="000617CB"/>
    <w:rsid w:val="00061830"/>
    <w:rsid w:val="0006189E"/>
    <w:rsid w:val="00061908"/>
    <w:rsid w:val="00061CC5"/>
    <w:rsid w:val="0006203C"/>
    <w:rsid w:val="0006209E"/>
    <w:rsid w:val="000623DD"/>
    <w:rsid w:val="00062417"/>
    <w:rsid w:val="000624D8"/>
    <w:rsid w:val="00062AB6"/>
    <w:rsid w:val="00062B33"/>
    <w:rsid w:val="00062CB2"/>
    <w:rsid w:val="00062D1F"/>
    <w:rsid w:val="00062FE2"/>
    <w:rsid w:val="000630ED"/>
    <w:rsid w:val="00063163"/>
    <w:rsid w:val="00063347"/>
    <w:rsid w:val="000633FA"/>
    <w:rsid w:val="000634E0"/>
    <w:rsid w:val="0006368B"/>
    <w:rsid w:val="0006397B"/>
    <w:rsid w:val="00063F9A"/>
    <w:rsid w:val="000640FB"/>
    <w:rsid w:val="0006410A"/>
    <w:rsid w:val="00064203"/>
    <w:rsid w:val="00064299"/>
    <w:rsid w:val="00064370"/>
    <w:rsid w:val="0006447F"/>
    <w:rsid w:val="00064903"/>
    <w:rsid w:val="0006494D"/>
    <w:rsid w:val="00064983"/>
    <w:rsid w:val="00064BE5"/>
    <w:rsid w:val="00064CD0"/>
    <w:rsid w:val="00064E90"/>
    <w:rsid w:val="00064F9D"/>
    <w:rsid w:val="00065191"/>
    <w:rsid w:val="000652A9"/>
    <w:rsid w:val="00065356"/>
    <w:rsid w:val="0006541B"/>
    <w:rsid w:val="0006544B"/>
    <w:rsid w:val="00065537"/>
    <w:rsid w:val="000655BC"/>
    <w:rsid w:val="00065633"/>
    <w:rsid w:val="000656C7"/>
    <w:rsid w:val="000657E1"/>
    <w:rsid w:val="00065910"/>
    <w:rsid w:val="0006597E"/>
    <w:rsid w:val="00065AA4"/>
    <w:rsid w:val="00065B14"/>
    <w:rsid w:val="00065C88"/>
    <w:rsid w:val="000661BB"/>
    <w:rsid w:val="000662A5"/>
    <w:rsid w:val="000663EE"/>
    <w:rsid w:val="000663F6"/>
    <w:rsid w:val="0006653C"/>
    <w:rsid w:val="00066739"/>
    <w:rsid w:val="00066747"/>
    <w:rsid w:val="00066A94"/>
    <w:rsid w:val="00066DD0"/>
    <w:rsid w:val="00066E79"/>
    <w:rsid w:val="00066FEB"/>
    <w:rsid w:val="000671FB"/>
    <w:rsid w:val="000673CA"/>
    <w:rsid w:val="0006751F"/>
    <w:rsid w:val="000675D8"/>
    <w:rsid w:val="000676AE"/>
    <w:rsid w:val="00067867"/>
    <w:rsid w:val="00067918"/>
    <w:rsid w:val="00067A5E"/>
    <w:rsid w:val="00067B5C"/>
    <w:rsid w:val="00067CAF"/>
    <w:rsid w:val="00067DDA"/>
    <w:rsid w:val="00067F38"/>
    <w:rsid w:val="0007005C"/>
    <w:rsid w:val="00070129"/>
    <w:rsid w:val="00070224"/>
    <w:rsid w:val="00070326"/>
    <w:rsid w:val="00070550"/>
    <w:rsid w:val="000706B7"/>
    <w:rsid w:val="000706C8"/>
    <w:rsid w:val="00070965"/>
    <w:rsid w:val="000709B1"/>
    <w:rsid w:val="00070AA5"/>
    <w:rsid w:val="00070C39"/>
    <w:rsid w:val="00070DD2"/>
    <w:rsid w:val="00070DFB"/>
    <w:rsid w:val="00070EFF"/>
    <w:rsid w:val="00071147"/>
    <w:rsid w:val="00071400"/>
    <w:rsid w:val="0007141C"/>
    <w:rsid w:val="0007189A"/>
    <w:rsid w:val="000719B6"/>
    <w:rsid w:val="00071AFA"/>
    <w:rsid w:val="00071B98"/>
    <w:rsid w:val="00071F4B"/>
    <w:rsid w:val="00072285"/>
    <w:rsid w:val="0007236C"/>
    <w:rsid w:val="00072370"/>
    <w:rsid w:val="0007244F"/>
    <w:rsid w:val="00072639"/>
    <w:rsid w:val="000726F6"/>
    <w:rsid w:val="00072859"/>
    <w:rsid w:val="00072BFA"/>
    <w:rsid w:val="00072F94"/>
    <w:rsid w:val="00073282"/>
    <w:rsid w:val="00073330"/>
    <w:rsid w:val="00073340"/>
    <w:rsid w:val="00073579"/>
    <w:rsid w:val="00073619"/>
    <w:rsid w:val="0007366F"/>
    <w:rsid w:val="0007383D"/>
    <w:rsid w:val="000738D4"/>
    <w:rsid w:val="00073983"/>
    <w:rsid w:val="00073A70"/>
    <w:rsid w:val="00073CF6"/>
    <w:rsid w:val="00073D84"/>
    <w:rsid w:val="00073F3F"/>
    <w:rsid w:val="00073FB9"/>
    <w:rsid w:val="00074101"/>
    <w:rsid w:val="000741B4"/>
    <w:rsid w:val="00074239"/>
    <w:rsid w:val="00074565"/>
    <w:rsid w:val="000745ED"/>
    <w:rsid w:val="000746EE"/>
    <w:rsid w:val="00074865"/>
    <w:rsid w:val="00074953"/>
    <w:rsid w:val="00074963"/>
    <w:rsid w:val="00074B64"/>
    <w:rsid w:val="00074F70"/>
    <w:rsid w:val="0007510C"/>
    <w:rsid w:val="000752E0"/>
    <w:rsid w:val="000755A9"/>
    <w:rsid w:val="000756E4"/>
    <w:rsid w:val="0007572D"/>
    <w:rsid w:val="000758A2"/>
    <w:rsid w:val="000759A0"/>
    <w:rsid w:val="00075B46"/>
    <w:rsid w:val="00075BA1"/>
    <w:rsid w:val="00075BE2"/>
    <w:rsid w:val="00075C6C"/>
    <w:rsid w:val="00075CAF"/>
    <w:rsid w:val="0007619C"/>
    <w:rsid w:val="000761DE"/>
    <w:rsid w:val="0007630D"/>
    <w:rsid w:val="0007658A"/>
    <w:rsid w:val="000765E1"/>
    <w:rsid w:val="000767F6"/>
    <w:rsid w:val="000769CF"/>
    <w:rsid w:val="00076AB3"/>
    <w:rsid w:val="00076B8B"/>
    <w:rsid w:val="00076B8C"/>
    <w:rsid w:val="00077694"/>
    <w:rsid w:val="00077796"/>
    <w:rsid w:val="00077846"/>
    <w:rsid w:val="00077909"/>
    <w:rsid w:val="00077C88"/>
    <w:rsid w:val="00077D40"/>
    <w:rsid w:val="00077E1F"/>
    <w:rsid w:val="00077E41"/>
    <w:rsid w:val="0007E967"/>
    <w:rsid w:val="00080177"/>
    <w:rsid w:val="00080365"/>
    <w:rsid w:val="00080480"/>
    <w:rsid w:val="00080704"/>
    <w:rsid w:val="00080C45"/>
    <w:rsid w:val="00080DFF"/>
    <w:rsid w:val="00080E96"/>
    <w:rsid w:val="00080F0C"/>
    <w:rsid w:val="00080FBC"/>
    <w:rsid w:val="00081061"/>
    <w:rsid w:val="00081074"/>
    <w:rsid w:val="00081133"/>
    <w:rsid w:val="000814D4"/>
    <w:rsid w:val="000815E5"/>
    <w:rsid w:val="000816D9"/>
    <w:rsid w:val="000817BA"/>
    <w:rsid w:val="00081864"/>
    <w:rsid w:val="00081C9F"/>
    <w:rsid w:val="00081FC9"/>
    <w:rsid w:val="0008208D"/>
    <w:rsid w:val="000820E9"/>
    <w:rsid w:val="0008221E"/>
    <w:rsid w:val="0008238A"/>
    <w:rsid w:val="000825DF"/>
    <w:rsid w:val="0008261D"/>
    <w:rsid w:val="000826D5"/>
    <w:rsid w:val="00082773"/>
    <w:rsid w:val="00082C86"/>
    <w:rsid w:val="00082E97"/>
    <w:rsid w:val="000834BD"/>
    <w:rsid w:val="000834EC"/>
    <w:rsid w:val="00083565"/>
    <w:rsid w:val="00083567"/>
    <w:rsid w:val="000838D8"/>
    <w:rsid w:val="000839E2"/>
    <w:rsid w:val="00083A8A"/>
    <w:rsid w:val="00083E30"/>
    <w:rsid w:val="00083E38"/>
    <w:rsid w:val="00084121"/>
    <w:rsid w:val="000843CC"/>
    <w:rsid w:val="000844B2"/>
    <w:rsid w:val="00084ABD"/>
    <w:rsid w:val="00084FE8"/>
    <w:rsid w:val="000851A8"/>
    <w:rsid w:val="000851F5"/>
    <w:rsid w:val="000852E2"/>
    <w:rsid w:val="0008536B"/>
    <w:rsid w:val="00085545"/>
    <w:rsid w:val="0008554B"/>
    <w:rsid w:val="000858CF"/>
    <w:rsid w:val="00085901"/>
    <w:rsid w:val="00085A2C"/>
    <w:rsid w:val="00085C04"/>
    <w:rsid w:val="00085D22"/>
    <w:rsid w:val="00085D2F"/>
    <w:rsid w:val="00085D32"/>
    <w:rsid w:val="00085E09"/>
    <w:rsid w:val="000862F9"/>
    <w:rsid w:val="00086404"/>
    <w:rsid w:val="0008664D"/>
    <w:rsid w:val="0008668C"/>
    <w:rsid w:val="000866A5"/>
    <w:rsid w:val="0008672D"/>
    <w:rsid w:val="000868F1"/>
    <w:rsid w:val="00086A49"/>
    <w:rsid w:val="00086ACA"/>
    <w:rsid w:val="00086B59"/>
    <w:rsid w:val="00086BFE"/>
    <w:rsid w:val="00086D85"/>
    <w:rsid w:val="00086EB4"/>
    <w:rsid w:val="00086F7F"/>
    <w:rsid w:val="00086FE5"/>
    <w:rsid w:val="00086FFC"/>
    <w:rsid w:val="00087059"/>
    <w:rsid w:val="000870E1"/>
    <w:rsid w:val="000871ED"/>
    <w:rsid w:val="0008731A"/>
    <w:rsid w:val="00087344"/>
    <w:rsid w:val="00087B59"/>
    <w:rsid w:val="00087C41"/>
    <w:rsid w:val="00087D57"/>
    <w:rsid w:val="000900E1"/>
    <w:rsid w:val="00090286"/>
    <w:rsid w:val="000903EC"/>
    <w:rsid w:val="0009043C"/>
    <w:rsid w:val="0009047D"/>
    <w:rsid w:val="000904ED"/>
    <w:rsid w:val="00090541"/>
    <w:rsid w:val="0009085F"/>
    <w:rsid w:val="0009087B"/>
    <w:rsid w:val="00090BA6"/>
    <w:rsid w:val="00090D03"/>
    <w:rsid w:val="00090D8A"/>
    <w:rsid w:val="00090F2D"/>
    <w:rsid w:val="00090F3C"/>
    <w:rsid w:val="00090FDD"/>
    <w:rsid w:val="000910E6"/>
    <w:rsid w:val="00091270"/>
    <w:rsid w:val="000912B7"/>
    <w:rsid w:val="000912EA"/>
    <w:rsid w:val="0009148B"/>
    <w:rsid w:val="00091739"/>
    <w:rsid w:val="00091785"/>
    <w:rsid w:val="000917BC"/>
    <w:rsid w:val="00091BF8"/>
    <w:rsid w:val="00091ED5"/>
    <w:rsid w:val="00091F0C"/>
    <w:rsid w:val="0009219D"/>
    <w:rsid w:val="0009225D"/>
    <w:rsid w:val="000922CB"/>
    <w:rsid w:val="000923DF"/>
    <w:rsid w:val="000924B7"/>
    <w:rsid w:val="000926B7"/>
    <w:rsid w:val="000927BC"/>
    <w:rsid w:val="00092B6D"/>
    <w:rsid w:val="00092E6D"/>
    <w:rsid w:val="0009351A"/>
    <w:rsid w:val="0009357B"/>
    <w:rsid w:val="00093593"/>
    <w:rsid w:val="0009364F"/>
    <w:rsid w:val="00093795"/>
    <w:rsid w:val="00093983"/>
    <w:rsid w:val="000939C3"/>
    <w:rsid w:val="000940C0"/>
    <w:rsid w:val="0009429D"/>
    <w:rsid w:val="00094307"/>
    <w:rsid w:val="0009451B"/>
    <w:rsid w:val="000945A1"/>
    <w:rsid w:val="000947A0"/>
    <w:rsid w:val="0009486D"/>
    <w:rsid w:val="000948DC"/>
    <w:rsid w:val="000949A7"/>
    <w:rsid w:val="00094BE0"/>
    <w:rsid w:val="000950B1"/>
    <w:rsid w:val="00095200"/>
    <w:rsid w:val="0009527D"/>
    <w:rsid w:val="00095312"/>
    <w:rsid w:val="00095489"/>
    <w:rsid w:val="00095589"/>
    <w:rsid w:val="000955B5"/>
    <w:rsid w:val="00095635"/>
    <w:rsid w:val="00095778"/>
    <w:rsid w:val="00095A15"/>
    <w:rsid w:val="00095A34"/>
    <w:rsid w:val="00095B1C"/>
    <w:rsid w:val="00095D13"/>
    <w:rsid w:val="00095D70"/>
    <w:rsid w:val="00095E35"/>
    <w:rsid w:val="00095F6C"/>
    <w:rsid w:val="0009605D"/>
    <w:rsid w:val="00096130"/>
    <w:rsid w:val="0009617B"/>
    <w:rsid w:val="0009622E"/>
    <w:rsid w:val="000966FD"/>
    <w:rsid w:val="00096760"/>
    <w:rsid w:val="00096779"/>
    <w:rsid w:val="000967CA"/>
    <w:rsid w:val="00096931"/>
    <w:rsid w:val="00096A03"/>
    <w:rsid w:val="00096E84"/>
    <w:rsid w:val="00096FBA"/>
    <w:rsid w:val="00097521"/>
    <w:rsid w:val="0009765A"/>
    <w:rsid w:val="000978FA"/>
    <w:rsid w:val="00097AD8"/>
    <w:rsid w:val="00097C12"/>
    <w:rsid w:val="00097DAB"/>
    <w:rsid w:val="00097E2E"/>
    <w:rsid w:val="00097E31"/>
    <w:rsid w:val="00097F49"/>
    <w:rsid w:val="000A0207"/>
    <w:rsid w:val="000A023B"/>
    <w:rsid w:val="000A02C1"/>
    <w:rsid w:val="000A04AF"/>
    <w:rsid w:val="000A05F2"/>
    <w:rsid w:val="000A0632"/>
    <w:rsid w:val="000A07C2"/>
    <w:rsid w:val="000A0957"/>
    <w:rsid w:val="000A09BE"/>
    <w:rsid w:val="000A0DDE"/>
    <w:rsid w:val="000A105E"/>
    <w:rsid w:val="000A1211"/>
    <w:rsid w:val="000A1242"/>
    <w:rsid w:val="000A19D7"/>
    <w:rsid w:val="000A1C1B"/>
    <w:rsid w:val="000A1C6A"/>
    <w:rsid w:val="000A1E52"/>
    <w:rsid w:val="000A2216"/>
    <w:rsid w:val="000A2334"/>
    <w:rsid w:val="000A2693"/>
    <w:rsid w:val="000A2B9D"/>
    <w:rsid w:val="000A2BA2"/>
    <w:rsid w:val="000A2D4C"/>
    <w:rsid w:val="000A3119"/>
    <w:rsid w:val="000A3249"/>
    <w:rsid w:val="000A3561"/>
    <w:rsid w:val="000A3572"/>
    <w:rsid w:val="000A37CF"/>
    <w:rsid w:val="000A38D0"/>
    <w:rsid w:val="000A3AC5"/>
    <w:rsid w:val="000A3BA4"/>
    <w:rsid w:val="000A3C70"/>
    <w:rsid w:val="000A4704"/>
    <w:rsid w:val="000A48DE"/>
    <w:rsid w:val="000A4A7B"/>
    <w:rsid w:val="000A4B29"/>
    <w:rsid w:val="000A4BE9"/>
    <w:rsid w:val="000A4D1F"/>
    <w:rsid w:val="000A51F1"/>
    <w:rsid w:val="000A533A"/>
    <w:rsid w:val="000A5368"/>
    <w:rsid w:val="000A5513"/>
    <w:rsid w:val="000A5A24"/>
    <w:rsid w:val="000A5B1A"/>
    <w:rsid w:val="000A5B7B"/>
    <w:rsid w:val="000A5DE7"/>
    <w:rsid w:val="000A5F73"/>
    <w:rsid w:val="000A6069"/>
    <w:rsid w:val="000A646F"/>
    <w:rsid w:val="000A6772"/>
    <w:rsid w:val="000A68AE"/>
    <w:rsid w:val="000A6972"/>
    <w:rsid w:val="000A6B48"/>
    <w:rsid w:val="000A6F65"/>
    <w:rsid w:val="000A7469"/>
    <w:rsid w:val="000A7680"/>
    <w:rsid w:val="000A7C65"/>
    <w:rsid w:val="000A7D10"/>
    <w:rsid w:val="000A7E57"/>
    <w:rsid w:val="000A7EC2"/>
    <w:rsid w:val="000B008B"/>
    <w:rsid w:val="000B0259"/>
    <w:rsid w:val="000B03A4"/>
    <w:rsid w:val="000B055C"/>
    <w:rsid w:val="000B06C8"/>
    <w:rsid w:val="000B082B"/>
    <w:rsid w:val="000B08D9"/>
    <w:rsid w:val="000B0956"/>
    <w:rsid w:val="000B0B07"/>
    <w:rsid w:val="000B0FDC"/>
    <w:rsid w:val="000B0FE1"/>
    <w:rsid w:val="000B103E"/>
    <w:rsid w:val="000B106C"/>
    <w:rsid w:val="000B13B7"/>
    <w:rsid w:val="000B1454"/>
    <w:rsid w:val="000B146B"/>
    <w:rsid w:val="000B165B"/>
    <w:rsid w:val="000B1746"/>
    <w:rsid w:val="000B1AC9"/>
    <w:rsid w:val="000B1AFA"/>
    <w:rsid w:val="000B1CB3"/>
    <w:rsid w:val="000B1E31"/>
    <w:rsid w:val="000B2372"/>
    <w:rsid w:val="000B248A"/>
    <w:rsid w:val="000B252D"/>
    <w:rsid w:val="000B25C7"/>
    <w:rsid w:val="000B26D0"/>
    <w:rsid w:val="000B2902"/>
    <w:rsid w:val="000B2988"/>
    <w:rsid w:val="000B29C5"/>
    <w:rsid w:val="000B2E94"/>
    <w:rsid w:val="000B2FD2"/>
    <w:rsid w:val="000B3227"/>
    <w:rsid w:val="000B335F"/>
    <w:rsid w:val="000B3415"/>
    <w:rsid w:val="000B3711"/>
    <w:rsid w:val="000B3732"/>
    <w:rsid w:val="000B3ACA"/>
    <w:rsid w:val="000B3B10"/>
    <w:rsid w:val="000B3CE8"/>
    <w:rsid w:val="000B3DB3"/>
    <w:rsid w:val="000B40BC"/>
    <w:rsid w:val="000B40DE"/>
    <w:rsid w:val="000B416D"/>
    <w:rsid w:val="000B4255"/>
    <w:rsid w:val="000B42C1"/>
    <w:rsid w:val="000B443E"/>
    <w:rsid w:val="000B45C4"/>
    <w:rsid w:val="000B4A1D"/>
    <w:rsid w:val="000B4B85"/>
    <w:rsid w:val="000B4E91"/>
    <w:rsid w:val="000B4E9E"/>
    <w:rsid w:val="000B4F8D"/>
    <w:rsid w:val="000B4FA2"/>
    <w:rsid w:val="000B50CB"/>
    <w:rsid w:val="000B5294"/>
    <w:rsid w:val="000B53E8"/>
    <w:rsid w:val="000B5551"/>
    <w:rsid w:val="000B5673"/>
    <w:rsid w:val="000B57F0"/>
    <w:rsid w:val="000B58C2"/>
    <w:rsid w:val="000B58FA"/>
    <w:rsid w:val="000B60F6"/>
    <w:rsid w:val="000B6270"/>
    <w:rsid w:val="000B6340"/>
    <w:rsid w:val="000B6956"/>
    <w:rsid w:val="000B6A29"/>
    <w:rsid w:val="000B6F73"/>
    <w:rsid w:val="000B7004"/>
    <w:rsid w:val="000B70C1"/>
    <w:rsid w:val="000B7181"/>
    <w:rsid w:val="000B720F"/>
    <w:rsid w:val="000B7A55"/>
    <w:rsid w:val="000B7B26"/>
    <w:rsid w:val="000B7BA8"/>
    <w:rsid w:val="000B7BD1"/>
    <w:rsid w:val="000B7D54"/>
    <w:rsid w:val="000B7F85"/>
    <w:rsid w:val="000C00DF"/>
    <w:rsid w:val="000C0132"/>
    <w:rsid w:val="000C039F"/>
    <w:rsid w:val="000C0710"/>
    <w:rsid w:val="000C07B0"/>
    <w:rsid w:val="000C0856"/>
    <w:rsid w:val="000C089B"/>
    <w:rsid w:val="000C08BF"/>
    <w:rsid w:val="000C08C5"/>
    <w:rsid w:val="000C096C"/>
    <w:rsid w:val="000C0A68"/>
    <w:rsid w:val="000C0ADE"/>
    <w:rsid w:val="000C0CFA"/>
    <w:rsid w:val="000C10C9"/>
    <w:rsid w:val="000C119A"/>
    <w:rsid w:val="000C140E"/>
    <w:rsid w:val="000C156F"/>
    <w:rsid w:val="000C191C"/>
    <w:rsid w:val="000C1AD6"/>
    <w:rsid w:val="000C1E9A"/>
    <w:rsid w:val="000C1E9F"/>
    <w:rsid w:val="000C20BD"/>
    <w:rsid w:val="000C2139"/>
    <w:rsid w:val="000C246E"/>
    <w:rsid w:val="000C25B2"/>
    <w:rsid w:val="000C25BA"/>
    <w:rsid w:val="000C2811"/>
    <w:rsid w:val="000C2939"/>
    <w:rsid w:val="000C29A9"/>
    <w:rsid w:val="000C2AAC"/>
    <w:rsid w:val="000C2AAE"/>
    <w:rsid w:val="000C2BE4"/>
    <w:rsid w:val="000C2C5F"/>
    <w:rsid w:val="000C30C5"/>
    <w:rsid w:val="000C30FC"/>
    <w:rsid w:val="000C31CB"/>
    <w:rsid w:val="000C3212"/>
    <w:rsid w:val="000C33A5"/>
    <w:rsid w:val="000C33CD"/>
    <w:rsid w:val="000C33FA"/>
    <w:rsid w:val="000C362B"/>
    <w:rsid w:val="000C3633"/>
    <w:rsid w:val="000C3AAB"/>
    <w:rsid w:val="000C3AF2"/>
    <w:rsid w:val="000C3BBF"/>
    <w:rsid w:val="000C3DE5"/>
    <w:rsid w:val="000C3F09"/>
    <w:rsid w:val="000C3F0A"/>
    <w:rsid w:val="000C4167"/>
    <w:rsid w:val="000C438F"/>
    <w:rsid w:val="000C4536"/>
    <w:rsid w:val="000C45A5"/>
    <w:rsid w:val="000C46BA"/>
    <w:rsid w:val="000C486C"/>
    <w:rsid w:val="000C4993"/>
    <w:rsid w:val="000C4A94"/>
    <w:rsid w:val="000C4CF5"/>
    <w:rsid w:val="000C4E54"/>
    <w:rsid w:val="000C4EBB"/>
    <w:rsid w:val="000C4F08"/>
    <w:rsid w:val="000C4FEC"/>
    <w:rsid w:val="000C505D"/>
    <w:rsid w:val="000C510F"/>
    <w:rsid w:val="000C5131"/>
    <w:rsid w:val="000C520E"/>
    <w:rsid w:val="000C536C"/>
    <w:rsid w:val="000C5BB0"/>
    <w:rsid w:val="000C5C9C"/>
    <w:rsid w:val="000C5CD0"/>
    <w:rsid w:val="000C5DE2"/>
    <w:rsid w:val="000C6170"/>
    <w:rsid w:val="000C6204"/>
    <w:rsid w:val="000C6227"/>
    <w:rsid w:val="000C62FD"/>
    <w:rsid w:val="000C645B"/>
    <w:rsid w:val="000C64A8"/>
    <w:rsid w:val="000C6968"/>
    <w:rsid w:val="000C6AA3"/>
    <w:rsid w:val="000C6B1D"/>
    <w:rsid w:val="000C6BC7"/>
    <w:rsid w:val="000C73C4"/>
    <w:rsid w:val="000C7789"/>
    <w:rsid w:val="000C784A"/>
    <w:rsid w:val="000C78DC"/>
    <w:rsid w:val="000C7B4E"/>
    <w:rsid w:val="000C7E41"/>
    <w:rsid w:val="000C7E85"/>
    <w:rsid w:val="000D0165"/>
    <w:rsid w:val="000D016B"/>
    <w:rsid w:val="000D026A"/>
    <w:rsid w:val="000D03A2"/>
    <w:rsid w:val="000D042F"/>
    <w:rsid w:val="000D051D"/>
    <w:rsid w:val="000D092F"/>
    <w:rsid w:val="000D0CF4"/>
    <w:rsid w:val="000D0DDF"/>
    <w:rsid w:val="000D0E95"/>
    <w:rsid w:val="000D0F7E"/>
    <w:rsid w:val="000D0FA6"/>
    <w:rsid w:val="000D1274"/>
    <w:rsid w:val="000D139A"/>
    <w:rsid w:val="000D1611"/>
    <w:rsid w:val="000D1667"/>
    <w:rsid w:val="000D1709"/>
    <w:rsid w:val="000D1717"/>
    <w:rsid w:val="000D1784"/>
    <w:rsid w:val="000D1A10"/>
    <w:rsid w:val="000D1BCA"/>
    <w:rsid w:val="000D213A"/>
    <w:rsid w:val="000D23B4"/>
    <w:rsid w:val="000D2478"/>
    <w:rsid w:val="000D24A1"/>
    <w:rsid w:val="000D26AE"/>
    <w:rsid w:val="000D283F"/>
    <w:rsid w:val="000D2919"/>
    <w:rsid w:val="000D2BDD"/>
    <w:rsid w:val="000D2E89"/>
    <w:rsid w:val="000D3178"/>
    <w:rsid w:val="000D3293"/>
    <w:rsid w:val="000D32B2"/>
    <w:rsid w:val="000D3499"/>
    <w:rsid w:val="000D35A2"/>
    <w:rsid w:val="000D3816"/>
    <w:rsid w:val="000D39B6"/>
    <w:rsid w:val="000D3A76"/>
    <w:rsid w:val="000D3B15"/>
    <w:rsid w:val="000D3D2F"/>
    <w:rsid w:val="000D3D89"/>
    <w:rsid w:val="000D4081"/>
    <w:rsid w:val="000D429D"/>
    <w:rsid w:val="000D4497"/>
    <w:rsid w:val="000D4804"/>
    <w:rsid w:val="000D49D0"/>
    <w:rsid w:val="000D4BEF"/>
    <w:rsid w:val="000D4CFE"/>
    <w:rsid w:val="000D5181"/>
    <w:rsid w:val="000D5182"/>
    <w:rsid w:val="000D52D6"/>
    <w:rsid w:val="000D56B7"/>
    <w:rsid w:val="000D581D"/>
    <w:rsid w:val="000D59B1"/>
    <w:rsid w:val="000D5A8B"/>
    <w:rsid w:val="000D5AA2"/>
    <w:rsid w:val="000D5D82"/>
    <w:rsid w:val="000D5E82"/>
    <w:rsid w:val="000D6125"/>
    <w:rsid w:val="000D6356"/>
    <w:rsid w:val="000D6380"/>
    <w:rsid w:val="000D6442"/>
    <w:rsid w:val="000D6554"/>
    <w:rsid w:val="000D6555"/>
    <w:rsid w:val="000D6689"/>
    <w:rsid w:val="000D6813"/>
    <w:rsid w:val="000D6B56"/>
    <w:rsid w:val="000D6C06"/>
    <w:rsid w:val="000D6C89"/>
    <w:rsid w:val="000D6F48"/>
    <w:rsid w:val="000D6F8E"/>
    <w:rsid w:val="000D712C"/>
    <w:rsid w:val="000D71C8"/>
    <w:rsid w:val="000D72FC"/>
    <w:rsid w:val="000D74B8"/>
    <w:rsid w:val="000D7633"/>
    <w:rsid w:val="000D772F"/>
    <w:rsid w:val="000D77D4"/>
    <w:rsid w:val="000D7801"/>
    <w:rsid w:val="000D7904"/>
    <w:rsid w:val="000D79C4"/>
    <w:rsid w:val="000D7D0F"/>
    <w:rsid w:val="000D7D58"/>
    <w:rsid w:val="000D7DA3"/>
    <w:rsid w:val="000D7F33"/>
    <w:rsid w:val="000D7FD0"/>
    <w:rsid w:val="000E0496"/>
    <w:rsid w:val="000E04D0"/>
    <w:rsid w:val="000E0720"/>
    <w:rsid w:val="000E0791"/>
    <w:rsid w:val="000E0826"/>
    <w:rsid w:val="000E089C"/>
    <w:rsid w:val="000E0985"/>
    <w:rsid w:val="000E0A2F"/>
    <w:rsid w:val="000E0B4B"/>
    <w:rsid w:val="000E0D0E"/>
    <w:rsid w:val="000E0E39"/>
    <w:rsid w:val="000E0EB9"/>
    <w:rsid w:val="000E0F4E"/>
    <w:rsid w:val="000E13B2"/>
    <w:rsid w:val="000E1580"/>
    <w:rsid w:val="000E16A2"/>
    <w:rsid w:val="000E17EC"/>
    <w:rsid w:val="000E1848"/>
    <w:rsid w:val="000E19B3"/>
    <w:rsid w:val="000E1D2D"/>
    <w:rsid w:val="000E1DE7"/>
    <w:rsid w:val="000E1FBF"/>
    <w:rsid w:val="000E2178"/>
    <w:rsid w:val="000E2299"/>
    <w:rsid w:val="000E22D4"/>
    <w:rsid w:val="000E239E"/>
    <w:rsid w:val="000E23AD"/>
    <w:rsid w:val="000E243C"/>
    <w:rsid w:val="000E26CD"/>
    <w:rsid w:val="000E26FC"/>
    <w:rsid w:val="000E270E"/>
    <w:rsid w:val="000E2B90"/>
    <w:rsid w:val="000E2BEC"/>
    <w:rsid w:val="000E2E68"/>
    <w:rsid w:val="000E2ECD"/>
    <w:rsid w:val="000E34BF"/>
    <w:rsid w:val="000E3620"/>
    <w:rsid w:val="000E373D"/>
    <w:rsid w:val="000E382D"/>
    <w:rsid w:val="000E38CF"/>
    <w:rsid w:val="000E3A5E"/>
    <w:rsid w:val="000E3CDC"/>
    <w:rsid w:val="000E3D57"/>
    <w:rsid w:val="000E3DF1"/>
    <w:rsid w:val="000E3FB2"/>
    <w:rsid w:val="000E3FC4"/>
    <w:rsid w:val="000E41EE"/>
    <w:rsid w:val="000E4281"/>
    <w:rsid w:val="000E4294"/>
    <w:rsid w:val="000E448E"/>
    <w:rsid w:val="000E463B"/>
    <w:rsid w:val="000E47B5"/>
    <w:rsid w:val="000E4B62"/>
    <w:rsid w:val="000E515C"/>
    <w:rsid w:val="000E5182"/>
    <w:rsid w:val="000E5207"/>
    <w:rsid w:val="000E531A"/>
    <w:rsid w:val="000E533F"/>
    <w:rsid w:val="000E5340"/>
    <w:rsid w:val="000E54BF"/>
    <w:rsid w:val="000E57EF"/>
    <w:rsid w:val="000E58D7"/>
    <w:rsid w:val="000E5908"/>
    <w:rsid w:val="000E5A69"/>
    <w:rsid w:val="000E5D48"/>
    <w:rsid w:val="000E5EF4"/>
    <w:rsid w:val="000E5FAA"/>
    <w:rsid w:val="000E639B"/>
    <w:rsid w:val="000E642B"/>
    <w:rsid w:val="000E6661"/>
    <w:rsid w:val="000E66E9"/>
    <w:rsid w:val="000E67C8"/>
    <w:rsid w:val="000E69AF"/>
    <w:rsid w:val="000E6D1D"/>
    <w:rsid w:val="000E6D8E"/>
    <w:rsid w:val="000E72C5"/>
    <w:rsid w:val="000E742E"/>
    <w:rsid w:val="000E7487"/>
    <w:rsid w:val="000E7560"/>
    <w:rsid w:val="000E7569"/>
    <w:rsid w:val="000E7589"/>
    <w:rsid w:val="000E75CD"/>
    <w:rsid w:val="000E7681"/>
    <w:rsid w:val="000E76D3"/>
    <w:rsid w:val="000E7D23"/>
    <w:rsid w:val="000F03E3"/>
    <w:rsid w:val="000F075F"/>
    <w:rsid w:val="000F09B8"/>
    <w:rsid w:val="000F0BDA"/>
    <w:rsid w:val="000F0DA8"/>
    <w:rsid w:val="000F0DB9"/>
    <w:rsid w:val="000F0F06"/>
    <w:rsid w:val="000F1489"/>
    <w:rsid w:val="000F162B"/>
    <w:rsid w:val="000F1AA6"/>
    <w:rsid w:val="000F1B2F"/>
    <w:rsid w:val="000F1CAD"/>
    <w:rsid w:val="000F1D20"/>
    <w:rsid w:val="000F1E84"/>
    <w:rsid w:val="000F2035"/>
    <w:rsid w:val="000F23A1"/>
    <w:rsid w:val="000F249E"/>
    <w:rsid w:val="000F28A3"/>
    <w:rsid w:val="000F29B3"/>
    <w:rsid w:val="000F2A5E"/>
    <w:rsid w:val="000F2C4C"/>
    <w:rsid w:val="000F2E3B"/>
    <w:rsid w:val="000F2ECC"/>
    <w:rsid w:val="000F30C0"/>
    <w:rsid w:val="000F31A3"/>
    <w:rsid w:val="000F31C3"/>
    <w:rsid w:val="000F31E7"/>
    <w:rsid w:val="000F38E3"/>
    <w:rsid w:val="000F38E4"/>
    <w:rsid w:val="000F3C1E"/>
    <w:rsid w:val="000F40D7"/>
    <w:rsid w:val="000F4147"/>
    <w:rsid w:val="000F41DC"/>
    <w:rsid w:val="000F4202"/>
    <w:rsid w:val="000F4363"/>
    <w:rsid w:val="000F437F"/>
    <w:rsid w:val="000F4630"/>
    <w:rsid w:val="000F49C6"/>
    <w:rsid w:val="000F4B80"/>
    <w:rsid w:val="000F4E0C"/>
    <w:rsid w:val="000F5015"/>
    <w:rsid w:val="000F5062"/>
    <w:rsid w:val="000F52AC"/>
    <w:rsid w:val="000F558A"/>
    <w:rsid w:val="000F5992"/>
    <w:rsid w:val="000F5C4D"/>
    <w:rsid w:val="000F5D54"/>
    <w:rsid w:val="000F5D8E"/>
    <w:rsid w:val="000F5D96"/>
    <w:rsid w:val="000F5F0A"/>
    <w:rsid w:val="000F6080"/>
    <w:rsid w:val="000F6149"/>
    <w:rsid w:val="000F6439"/>
    <w:rsid w:val="000F68C2"/>
    <w:rsid w:val="000F6AED"/>
    <w:rsid w:val="000F6C78"/>
    <w:rsid w:val="000F6D24"/>
    <w:rsid w:val="000F6F8A"/>
    <w:rsid w:val="000F6FD8"/>
    <w:rsid w:val="000F7458"/>
    <w:rsid w:val="000F7571"/>
    <w:rsid w:val="000F765A"/>
    <w:rsid w:val="000F7BD5"/>
    <w:rsid w:val="001002B8"/>
    <w:rsid w:val="00100363"/>
    <w:rsid w:val="0010055D"/>
    <w:rsid w:val="001005B2"/>
    <w:rsid w:val="00100B5F"/>
    <w:rsid w:val="00100CDA"/>
    <w:rsid w:val="00100D93"/>
    <w:rsid w:val="00101184"/>
    <w:rsid w:val="001011E6"/>
    <w:rsid w:val="001014B6"/>
    <w:rsid w:val="00101709"/>
    <w:rsid w:val="001017F1"/>
    <w:rsid w:val="00101A05"/>
    <w:rsid w:val="0010209D"/>
    <w:rsid w:val="001020C1"/>
    <w:rsid w:val="001022A9"/>
    <w:rsid w:val="001022BA"/>
    <w:rsid w:val="00102373"/>
    <w:rsid w:val="001023A8"/>
    <w:rsid w:val="00102560"/>
    <w:rsid w:val="00102618"/>
    <w:rsid w:val="0010282B"/>
    <w:rsid w:val="0010297B"/>
    <w:rsid w:val="00102B28"/>
    <w:rsid w:val="00102BD8"/>
    <w:rsid w:val="00102ED3"/>
    <w:rsid w:val="00103280"/>
    <w:rsid w:val="00103285"/>
    <w:rsid w:val="001032DF"/>
    <w:rsid w:val="00103352"/>
    <w:rsid w:val="00103679"/>
    <w:rsid w:val="0010376A"/>
    <w:rsid w:val="00103A0C"/>
    <w:rsid w:val="00103A2E"/>
    <w:rsid w:val="00103AAF"/>
    <w:rsid w:val="00103E22"/>
    <w:rsid w:val="00103E6E"/>
    <w:rsid w:val="00103F90"/>
    <w:rsid w:val="00103FB1"/>
    <w:rsid w:val="001040C3"/>
    <w:rsid w:val="0010411A"/>
    <w:rsid w:val="0010423E"/>
    <w:rsid w:val="00104318"/>
    <w:rsid w:val="001043F0"/>
    <w:rsid w:val="001044A3"/>
    <w:rsid w:val="00104854"/>
    <w:rsid w:val="00104927"/>
    <w:rsid w:val="001049E9"/>
    <w:rsid w:val="00104DE8"/>
    <w:rsid w:val="00104E9C"/>
    <w:rsid w:val="00104F9B"/>
    <w:rsid w:val="00105375"/>
    <w:rsid w:val="001053E6"/>
    <w:rsid w:val="0010547C"/>
    <w:rsid w:val="001054CF"/>
    <w:rsid w:val="001054EF"/>
    <w:rsid w:val="0010557D"/>
    <w:rsid w:val="0010573F"/>
    <w:rsid w:val="001058B5"/>
    <w:rsid w:val="001059AD"/>
    <w:rsid w:val="00105ABD"/>
    <w:rsid w:val="00105E3E"/>
    <w:rsid w:val="00106051"/>
    <w:rsid w:val="001060BB"/>
    <w:rsid w:val="001060E7"/>
    <w:rsid w:val="00106181"/>
    <w:rsid w:val="0010650D"/>
    <w:rsid w:val="0010654B"/>
    <w:rsid w:val="0010669F"/>
    <w:rsid w:val="001066BA"/>
    <w:rsid w:val="001071F6"/>
    <w:rsid w:val="0010731C"/>
    <w:rsid w:val="00107408"/>
    <w:rsid w:val="001075CE"/>
    <w:rsid w:val="001077F5"/>
    <w:rsid w:val="001078A2"/>
    <w:rsid w:val="00107D52"/>
    <w:rsid w:val="00107F92"/>
    <w:rsid w:val="0011020F"/>
    <w:rsid w:val="00110480"/>
    <w:rsid w:val="0011060F"/>
    <w:rsid w:val="00110868"/>
    <w:rsid w:val="00110D89"/>
    <w:rsid w:val="00110EE1"/>
    <w:rsid w:val="001110B0"/>
    <w:rsid w:val="00111296"/>
    <w:rsid w:val="0011133F"/>
    <w:rsid w:val="00111441"/>
    <w:rsid w:val="001115F8"/>
    <w:rsid w:val="001115FE"/>
    <w:rsid w:val="00111738"/>
    <w:rsid w:val="001117DD"/>
    <w:rsid w:val="001118F5"/>
    <w:rsid w:val="0011190B"/>
    <w:rsid w:val="00111B6E"/>
    <w:rsid w:val="00111F12"/>
    <w:rsid w:val="00111F73"/>
    <w:rsid w:val="00111FE1"/>
    <w:rsid w:val="00112054"/>
    <w:rsid w:val="00112131"/>
    <w:rsid w:val="00112153"/>
    <w:rsid w:val="00112355"/>
    <w:rsid w:val="00112588"/>
    <w:rsid w:val="001125B6"/>
    <w:rsid w:val="00112601"/>
    <w:rsid w:val="00112775"/>
    <w:rsid w:val="00112AC6"/>
    <w:rsid w:val="00112BCB"/>
    <w:rsid w:val="00112ED3"/>
    <w:rsid w:val="00113178"/>
    <w:rsid w:val="0011326E"/>
    <w:rsid w:val="001132CD"/>
    <w:rsid w:val="00113633"/>
    <w:rsid w:val="001136E2"/>
    <w:rsid w:val="001137B8"/>
    <w:rsid w:val="0011381A"/>
    <w:rsid w:val="00113837"/>
    <w:rsid w:val="00113F44"/>
    <w:rsid w:val="0011407D"/>
    <w:rsid w:val="00114193"/>
    <w:rsid w:val="001147E7"/>
    <w:rsid w:val="0011493E"/>
    <w:rsid w:val="00114ADD"/>
    <w:rsid w:val="00114B0F"/>
    <w:rsid w:val="00114DCA"/>
    <w:rsid w:val="00114F13"/>
    <w:rsid w:val="00114F17"/>
    <w:rsid w:val="001150D6"/>
    <w:rsid w:val="0011527F"/>
    <w:rsid w:val="001152A3"/>
    <w:rsid w:val="0011556D"/>
    <w:rsid w:val="001155A2"/>
    <w:rsid w:val="001155D6"/>
    <w:rsid w:val="00115691"/>
    <w:rsid w:val="001157D9"/>
    <w:rsid w:val="00115826"/>
    <w:rsid w:val="00115AC3"/>
    <w:rsid w:val="00115B4C"/>
    <w:rsid w:val="00115E18"/>
    <w:rsid w:val="00116137"/>
    <w:rsid w:val="00116158"/>
    <w:rsid w:val="001161B3"/>
    <w:rsid w:val="00116274"/>
    <w:rsid w:val="00116275"/>
    <w:rsid w:val="00116300"/>
    <w:rsid w:val="001167DD"/>
    <w:rsid w:val="00116A7D"/>
    <w:rsid w:val="00116C81"/>
    <w:rsid w:val="00116D00"/>
    <w:rsid w:val="00116DB3"/>
    <w:rsid w:val="00116ECB"/>
    <w:rsid w:val="00116F3D"/>
    <w:rsid w:val="0011708D"/>
    <w:rsid w:val="00117184"/>
    <w:rsid w:val="0011721D"/>
    <w:rsid w:val="001174BE"/>
    <w:rsid w:val="001175D4"/>
    <w:rsid w:val="0011765D"/>
    <w:rsid w:val="001176C6"/>
    <w:rsid w:val="001176D8"/>
    <w:rsid w:val="00117AFE"/>
    <w:rsid w:val="00117B12"/>
    <w:rsid w:val="00117DA5"/>
    <w:rsid w:val="00120006"/>
    <w:rsid w:val="0012023C"/>
    <w:rsid w:val="001202E9"/>
    <w:rsid w:val="0012038B"/>
    <w:rsid w:val="001203D7"/>
    <w:rsid w:val="001203F2"/>
    <w:rsid w:val="001205C0"/>
    <w:rsid w:val="0012085E"/>
    <w:rsid w:val="001208C2"/>
    <w:rsid w:val="00120ADF"/>
    <w:rsid w:val="00120BE8"/>
    <w:rsid w:val="00120BFD"/>
    <w:rsid w:val="00120D2E"/>
    <w:rsid w:val="00120E10"/>
    <w:rsid w:val="00121008"/>
    <w:rsid w:val="001210AB"/>
    <w:rsid w:val="001213FA"/>
    <w:rsid w:val="0012167A"/>
    <w:rsid w:val="001217DB"/>
    <w:rsid w:val="00121857"/>
    <w:rsid w:val="001218E1"/>
    <w:rsid w:val="00121951"/>
    <w:rsid w:val="00121BF2"/>
    <w:rsid w:val="00121D7F"/>
    <w:rsid w:val="0012253E"/>
    <w:rsid w:val="001229EF"/>
    <w:rsid w:val="00122BBE"/>
    <w:rsid w:val="00122C93"/>
    <w:rsid w:val="00122F76"/>
    <w:rsid w:val="00122FED"/>
    <w:rsid w:val="00123030"/>
    <w:rsid w:val="00123157"/>
    <w:rsid w:val="001234BB"/>
    <w:rsid w:val="00123515"/>
    <w:rsid w:val="0012369A"/>
    <w:rsid w:val="0012383A"/>
    <w:rsid w:val="0012393C"/>
    <w:rsid w:val="00123A8E"/>
    <w:rsid w:val="00123B67"/>
    <w:rsid w:val="00123C38"/>
    <w:rsid w:val="00123CAD"/>
    <w:rsid w:val="00123E01"/>
    <w:rsid w:val="00123F9F"/>
    <w:rsid w:val="00124293"/>
    <w:rsid w:val="001242B9"/>
    <w:rsid w:val="00124496"/>
    <w:rsid w:val="0012458E"/>
    <w:rsid w:val="001247DD"/>
    <w:rsid w:val="0012494C"/>
    <w:rsid w:val="00124B58"/>
    <w:rsid w:val="00124D13"/>
    <w:rsid w:val="00124D4A"/>
    <w:rsid w:val="00124DB0"/>
    <w:rsid w:val="00124F18"/>
    <w:rsid w:val="00125064"/>
    <w:rsid w:val="00125254"/>
    <w:rsid w:val="001253C6"/>
    <w:rsid w:val="00125405"/>
    <w:rsid w:val="00125414"/>
    <w:rsid w:val="0012545D"/>
    <w:rsid w:val="001254AB"/>
    <w:rsid w:val="001254C2"/>
    <w:rsid w:val="0012574D"/>
    <w:rsid w:val="0012595A"/>
    <w:rsid w:val="0012597F"/>
    <w:rsid w:val="00125A52"/>
    <w:rsid w:val="00125BAF"/>
    <w:rsid w:val="00125C0F"/>
    <w:rsid w:val="00125C90"/>
    <w:rsid w:val="00125CB7"/>
    <w:rsid w:val="00125DF1"/>
    <w:rsid w:val="00126083"/>
    <w:rsid w:val="001260C5"/>
    <w:rsid w:val="00126351"/>
    <w:rsid w:val="0012674A"/>
    <w:rsid w:val="00126822"/>
    <w:rsid w:val="00126866"/>
    <w:rsid w:val="0012689D"/>
    <w:rsid w:val="00126BF8"/>
    <w:rsid w:val="00126D8E"/>
    <w:rsid w:val="00126DAA"/>
    <w:rsid w:val="00126ECD"/>
    <w:rsid w:val="00126F37"/>
    <w:rsid w:val="00126F4A"/>
    <w:rsid w:val="00126F58"/>
    <w:rsid w:val="00127214"/>
    <w:rsid w:val="00127520"/>
    <w:rsid w:val="001276E3"/>
    <w:rsid w:val="00127894"/>
    <w:rsid w:val="001278C8"/>
    <w:rsid w:val="00127955"/>
    <w:rsid w:val="00127D72"/>
    <w:rsid w:val="00127F46"/>
    <w:rsid w:val="00127FA8"/>
    <w:rsid w:val="00130081"/>
    <w:rsid w:val="0013035E"/>
    <w:rsid w:val="001303A1"/>
    <w:rsid w:val="00130421"/>
    <w:rsid w:val="001306C2"/>
    <w:rsid w:val="00130891"/>
    <w:rsid w:val="001308B2"/>
    <w:rsid w:val="001308EB"/>
    <w:rsid w:val="0013094B"/>
    <w:rsid w:val="00130A02"/>
    <w:rsid w:val="00130AAE"/>
    <w:rsid w:val="00130C16"/>
    <w:rsid w:val="00130C5E"/>
    <w:rsid w:val="00130E65"/>
    <w:rsid w:val="00130E8F"/>
    <w:rsid w:val="0013108B"/>
    <w:rsid w:val="00131255"/>
    <w:rsid w:val="00131333"/>
    <w:rsid w:val="00131404"/>
    <w:rsid w:val="00131828"/>
    <w:rsid w:val="001318E4"/>
    <w:rsid w:val="00131936"/>
    <w:rsid w:val="00131A3D"/>
    <w:rsid w:val="00131D88"/>
    <w:rsid w:val="00131EF7"/>
    <w:rsid w:val="0013211B"/>
    <w:rsid w:val="0013245A"/>
    <w:rsid w:val="001325E1"/>
    <w:rsid w:val="00132B66"/>
    <w:rsid w:val="00133043"/>
    <w:rsid w:val="00133109"/>
    <w:rsid w:val="00133489"/>
    <w:rsid w:val="001334D0"/>
    <w:rsid w:val="001337D3"/>
    <w:rsid w:val="001338BC"/>
    <w:rsid w:val="0013390B"/>
    <w:rsid w:val="0013391A"/>
    <w:rsid w:val="00133BE1"/>
    <w:rsid w:val="00133E09"/>
    <w:rsid w:val="00134361"/>
    <w:rsid w:val="0013438A"/>
    <w:rsid w:val="00134487"/>
    <w:rsid w:val="001344E2"/>
    <w:rsid w:val="0013467C"/>
    <w:rsid w:val="00134865"/>
    <w:rsid w:val="001348C3"/>
    <w:rsid w:val="001348FA"/>
    <w:rsid w:val="001349DD"/>
    <w:rsid w:val="00134B66"/>
    <w:rsid w:val="00134C69"/>
    <w:rsid w:val="00134D83"/>
    <w:rsid w:val="00134E80"/>
    <w:rsid w:val="0013506C"/>
    <w:rsid w:val="00135651"/>
    <w:rsid w:val="0013565F"/>
    <w:rsid w:val="0013590A"/>
    <w:rsid w:val="0013598B"/>
    <w:rsid w:val="00135AC1"/>
    <w:rsid w:val="00135AFE"/>
    <w:rsid w:val="00135C82"/>
    <w:rsid w:val="00135CC4"/>
    <w:rsid w:val="00135E3D"/>
    <w:rsid w:val="001361ED"/>
    <w:rsid w:val="00136282"/>
    <w:rsid w:val="001363A9"/>
    <w:rsid w:val="00136578"/>
    <w:rsid w:val="001369AF"/>
    <w:rsid w:val="001369B3"/>
    <w:rsid w:val="00136A94"/>
    <w:rsid w:val="00136AB4"/>
    <w:rsid w:val="00136CA1"/>
    <w:rsid w:val="00136DE5"/>
    <w:rsid w:val="00136F1B"/>
    <w:rsid w:val="0013728A"/>
    <w:rsid w:val="0013746B"/>
    <w:rsid w:val="0013777C"/>
    <w:rsid w:val="001377F8"/>
    <w:rsid w:val="001379A0"/>
    <w:rsid w:val="00137A24"/>
    <w:rsid w:val="00137BE3"/>
    <w:rsid w:val="00137E40"/>
    <w:rsid w:val="001401FE"/>
    <w:rsid w:val="00140289"/>
    <w:rsid w:val="00140363"/>
    <w:rsid w:val="001404EB"/>
    <w:rsid w:val="00140770"/>
    <w:rsid w:val="00140AB8"/>
    <w:rsid w:val="00140B05"/>
    <w:rsid w:val="00140EB4"/>
    <w:rsid w:val="001410CA"/>
    <w:rsid w:val="0014116B"/>
    <w:rsid w:val="00141232"/>
    <w:rsid w:val="00141242"/>
    <w:rsid w:val="00141322"/>
    <w:rsid w:val="00141599"/>
    <w:rsid w:val="0014168E"/>
    <w:rsid w:val="001416DC"/>
    <w:rsid w:val="00141781"/>
    <w:rsid w:val="001417DB"/>
    <w:rsid w:val="001419AB"/>
    <w:rsid w:val="00141B96"/>
    <w:rsid w:val="00141D4A"/>
    <w:rsid w:val="00141DD5"/>
    <w:rsid w:val="00142044"/>
    <w:rsid w:val="001422B6"/>
    <w:rsid w:val="001424E1"/>
    <w:rsid w:val="001426C5"/>
    <w:rsid w:val="00142741"/>
    <w:rsid w:val="00142756"/>
    <w:rsid w:val="00142B53"/>
    <w:rsid w:val="00142E56"/>
    <w:rsid w:val="00142F09"/>
    <w:rsid w:val="00142F6A"/>
    <w:rsid w:val="001431A0"/>
    <w:rsid w:val="00143222"/>
    <w:rsid w:val="001432FC"/>
    <w:rsid w:val="001435BA"/>
    <w:rsid w:val="0014360A"/>
    <w:rsid w:val="001437F1"/>
    <w:rsid w:val="001439A3"/>
    <w:rsid w:val="00143C60"/>
    <w:rsid w:val="00143DA0"/>
    <w:rsid w:val="001440F5"/>
    <w:rsid w:val="00144239"/>
    <w:rsid w:val="001444E7"/>
    <w:rsid w:val="001445F2"/>
    <w:rsid w:val="001446E1"/>
    <w:rsid w:val="001447AE"/>
    <w:rsid w:val="00144824"/>
    <w:rsid w:val="00144849"/>
    <w:rsid w:val="00144899"/>
    <w:rsid w:val="0014491D"/>
    <w:rsid w:val="001449A0"/>
    <w:rsid w:val="00144B48"/>
    <w:rsid w:val="00144BC4"/>
    <w:rsid w:val="00144C44"/>
    <w:rsid w:val="001450ED"/>
    <w:rsid w:val="00145325"/>
    <w:rsid w:val="00145385"/>
    <w:rsid w:val="0014539B"/>
    <w:rsid w:val="00145631"/>
    <w:rsid w:val="0014566A"/>
    <w:rsid w:val="00145690"/>
    <w:rsid w:val="00145874"/>
    <w:rsid w:val="00145A90"/>
    <w:rsid w:val="00145AFF"/>
    <w:rsid w:val="00145B09"/>
    <w:rsid w:val="00145E33"/>
    <w:rsid w:val="00145E70"/>
    <w:rsid w:val="00145E99"/>
    <w:rsid w:val="00145F6D"/>
    <w:rsid w:val="0014626B"/>
    <w:rsid w:val="00146653"/>
    <w:rsid w:val="00146682"/>
    <w:rsid w:val="0014672D"/>
    <w:rsid w:val="0014696D"/>
    <w:rsid w:val="001469AB"/>
    <w:rsid w:val="00146C0B"/>
    <w:rsid w:val="00146C3D"/>
    <w:rsid w:val="00146CD6"/>
    <w:rsid w:val="00146EFF"/>
    <w:rsid w:val="00146F06"/>
    <w:rsid w:val="00146FC9"/>
    <w:rsid w:val="00147025"/>
    <w:rsid w:val="001471C0"/>
    <w:rsid w:val="001471DC"/>
    <w:rsid w:val="00147256"/>
    <w:rsid w:val="001472ED"/>
    <w:rsid w:val="001473CF"/>
    <w:rsid w:val="001473F4"/>
    <w:rsid w:val="00147494"/>
    <w:rsid w:val="001474EB"/>
    <w:rsid w:val="00147A1E"/>
    <w:rsid w:val="00147ADB"/>
    <w:rsid w:val="00147C52"/>
    <w:rsid w:val="00147E34"/>
    <w:rsid w:val="001501EE"/>
    <w:rsid w:val="0015046A"/>
    <w:rsid w:val="001504FF"/>
    <w:rsid w:val="0015088B"/>
    <w:rsid w:val="001509FB"/>
    <w:rsid w:val="00150D1B"/>
    <w:rsid w:val="00151339"/>
    <w:rsid w:val="001513E3"/>
    <w:rsid w:val="00151423"/>
    <w:rsid w:val="00151445"/>
    <w:rsid w:val="001515E2"/>
    <w:rsid w:val="00151639"/>
    <w:rsid w:val="00151A5F"/>
    <w:rsid w:val="00151C43"/>
    <w:rsid w:val="00151C5F"/>
    <w:rsid w:val="00151DE8"/>
    <w:rsid w:val="00151F51"/>
    <w:rsid w:val="00152130"/>
    <w:rsid w:val="0015245D"/>
    <w:rsid w:val="001524E0"/>
    <w:rsid w:val="001524FE"/>
    <w:rsid w:val="0015283C"/>
    <w:rsid w:val="00152D26"/>
    <w:rsid w:val="00152D67"/>
    <w:rsid w:val="00152D94"/>
    <w:rsid w:val="00152D9D"/>
    <w:rsid w:val="001531FA"/>
    <w:rsid w:val="00153695"/>
    <w:rsid w:val="001537CB"/>
    <w:rsid w:val="00153ADD"/>
    <w:rsid w:val="00153B3D"/>
    <w:rsid w:val="00153C06"/>
    <w:rsid w:val="00153E02"/>
    <w:rsid w:val="00153E63"/>
    <w:rsid w:val="00153F66"/>
    <w:rsid w:val="001542B2"/>
    <w:rsid w:val="00154348"/>
    <w:rsid w:val="00154469"/>
    <w:rsid w:val="00154A4B"/>
    <w:rsid w:val="00154B26"/>
    <w:rsid w:val="00154CF3"/>
    <w:rsid w:val="00154D5B"/>
    <w:rsid w:val="00154D78"/>
    <w:rsid w:val="00154F53"/>
    <w:rsid w:val="00154FD2"/>
    <w:rsid w:val="0015539E"/>
    <w:rsid w:val="0015551C"/>
    <w:rsid w:val="001555D4"/>
    <w:rsid w:val="001556D5"/>
    <w:rsid w:val="001556F6"/>
    <w:rsid w:val="001557AD"/>
    <w:rsid w:val="001557D3"/>
    <w:rsid w:val="00155A27"/>
    <w:rsid w:val="00155A8A"/>
    <w:rsid w:val="00155AFE"/>
    <w:rsid w:val="00155DA5"/>
    <w:rsid w:val="00155F18"/>
    <w:rsid w:val="001561A9"/>
    <w:rsid w:val="001562ED"/>
    <w:rsid w:val="0015682D"/>
    <w:rsid w:val="00156A9A"/>
    <w:rsid w:val="00156AA5"/>
    <w:rsid w:val="00156B43"/>
    <w:rsid w:val="00156DEA"/>
    <w:rsid w:val="00156DFC"/>
    <w:rsid w:val="00156E9B"/>
    <w:rsid w:val="001572BE"/>
    <w:rsid w:val="001573E6"/>
    <w:rsid w:val="00157561"/>
    <w:rsid w:val="0015762A"/>
    <w:rsid w:val="001576F0"/>
    <w:rsid w:val="00157911"/>
    <w:rsid w:val="001579EC"/>
    <w:rsid w:val="00157D25"/>
    <w:rsid w:val="00157D77"/>
    <w:rsid w:val="00157EB5"/>
    <w:rsid w:val="00157F6B"/>
    <w:rsid w:val="00160000"/>
    <w:rsid w:val="0016021E"/>
    <w:rsid w:val="00160229"/>
    <w:rsid w:val="001603D1"/>
    <w:rsid w:val="00160765"/>
    <w:rsid w:val="00160A26"/>
    <w:rsid w:val="00160B19"/>
    <w:rsid w:val="00160BEA"/>
    <w:rsid w:val="00160D29"/>
    <w:rsid w:val="00160E13"/>
    <w:rsid w:val="00160E66"/>
    <w:rsid w:val="00160EDE"/>
    <w:rsid w:val="00161023"/>
    <w:rsid w:val="001613C9"/>
    <w:rsid w:val="0016141E"/>
    <w:rsid w:val="001614E3"/>
    <w:rsid w:val="00161874"/>
    <w:rsid w:val="0016194A"/>
    <w:rsid w:val="00161A8D"/>
    <w:rsid w:val="00161B22"/>
    <w:rsid w:val="00161D0D"/>
    <w:rsid w:val="00161F84"/>
    <w:rsid w:val="00162384"/>
    <w:rsid w:val="0016244C"/>
    <w:rsid w:val="00162619"/>
    <w:rsid w:val="00162667"/>
    <w:rsid w:val="0016287C"/>
    <w:rsid w:val="00162930"/>
    <w:rsid w:val="00162B57"/>
    <w:rsid w:val="00162BB9"/>
    <w:rsid w:val="00162C7A"/>
    <w:rsid w:val="00162CA7"/>
    <w:rsid w:val="00162DE3"/>
    <w:rsid w:val="00162E6B"/>
    <w:rsid w:val="00162F68"/>
    <w:rsid w:val="00162FB8"/>
    <w:rsid w:val="0016336C"/>
    <w:rsid w:val="0016338A"/>
    <w:rsid w:val="0016339D"/>
    <w:rsid w:val="0016354E"/>
    <w:rsid w:val="001637A9"/>
    <w:rsid w:val="00163895"/>
    <w:rsid w:val="00163D78"/>
    <w:rsid w:val="00163E08"/>
    <w:rsid w:val="00163E7E"/>
    <w:rsid w:val="00163EE1"/>
    <w:rsid w:val="00164011"/>
    <w:rsid w:val="001640B4"/>
    <w:rsid w:val="001640C5"/>
    <w:rsid w:val="001641F9"/>
    <w:rsid w:val="001643EF"/>
    <w:rsid w:val="0016490D"/>
    <w:rsid w:val="00164ADB"/>
    <w:rsid w:val="00164B38"/>
    <w:rsid w:val="00164F1B"/>
    <w:rsid w:val="00165052"/>
    <w:rsid w:val="001650B1"/>
    <w:rsid w:val="0016522C"/>
    <w:rsid w:val="00165439"/>
    <w:rsid w:val="00165714"/>
    <w:rsid w:val="0016585C"/>
    <w:rsid w:val="001658C8"/>
    <w:rsid w:val="00165B00"/>
    <w:rsid w:val="00165C34"/>
    <w:rsid w:val="00166217"/>
    <w:rsid w:val="00166235"/>
    <w:rsid w:val="001662A4"/>
    <w:rsid w:val="001664F1"/>
    <w:rsid w:val="001666D2"/>
    <w:rsid w:val="001666E6"/>
    <w:rsid w:val="0016695B"/>
    <w:rsid w:val="00166C01"/>
    <w:rsid w:val="00166DD9"/>
    <w:rsid w:val="00166E0C"/>
    <w:rsid w:val="001675DD"/>
    <w:rsid w:val="001676BB"/>
    <w:rsid w:val="00167B80"/>
    <w:rsid w:val="00167BD8"/>
    <w:rsid w:val="00167C78"/>
    <w:rsid w:val="00167CBB"/>
    <w:rsid w:val="00167CDC"/>
    <w:rsid w:val="00167EF2"/>
    <w:rsid w:val="00170244"/>
    <w:rsid w:val="001702D7"/>
    <w:rsid w:val="0017044E"/>
    <w:rsid w:val="00170515"/>
    <w:rsid w:val="00170776"/>
    <w:rsid w:val="0017078B"/>
    <w:rsid w:val="00170947"/>
    <w:rsid w:val="00170A9E"/>
    <w:rsid w:val="00170E66"/>
    <w:rsid w:val="00170ED4"/>
    <w:rsid w:val="0017119F"/>
    <w:rsid w:val="00171A2A"/>
    <w:rsid w:val="00171A2D"/>
    <w:rsid w:val="00171B9E"/>
    <w:rsid w:val="00171BFB"/>
    <w:rsid w:val="00172068"/>
    <w:rsid w:val="00172103"/>
    <w:rsid w:val="001724DF"/>
    <w:rsid w:val="001726F3"/>
    <w:rsid w:val="001727E4"/>
    <w:rsid w:val="00172880"/>
    <w:rsid w:val="0017299A"/>
    <w:rsid w:val="00172A01"/>
    <w:rsid w:val="00172A1C"/>
    <w:rsid w:val="00172C00"/>
    <w:rsid w:val="00172CB1"/>
    <w:rsid w:val="00172DA1"/>
    <w:rsid w:val="00172F3F"/>
    <w:rsid w:val="001730B3"/>
    <w:rsid w:val="0017377C"/>
    <w:rsid w:val="001737EA"/>
    <w:rsid w:val="0017390A"/>
    <w:rsid w:val="00173E95"/>
    <w:rsid w:val="00173F33"/>
    <w:rsid w:val="00173F7B"/>
    <w:rsid w:val="00173FB5"/>
    <w:rsid w:val="001746C6"/>
    <w:rsid w:val="0017476D"/>
    <w:rsid w:val="00174B3F"/>
    <w:rsid w:val="00174BE8"/>
    <w:rsid w:val="00174C11"/>
    <w:rsid w:val="00174D10"/>
    <w:rsid w:val="00174D84"/>
    <w:rsid w:val="00174F16"/>
    <w:rsid w:val="00175172"/>
    <w:rsid w:val="001751D1"/>
    <w:rsid w:val="0017525C"/>
    <w:rsid w:val="00175610"/>
    <w:rsid w:val="0017579F"/>
    <w:rsid w:val="001757AF"/>
    <w:rsid w:val="001757C6"/>
    <w:rsid w:val="00175E70"/>
    <w:rsid w:val="0017611E"/>
    <w:rsid w:val="0017621E"/>
    <w:rsid w:val="0017628B"/>
    <w:rsid w:val="00176303"/>
    <w:rsid w:val="00176344"/>
    <w:rsid w:val="001763A2"/>
    <w:rsid w:val="0017641D"/>
    <w:rsid w:val="00176528"/>
    <w:rsid w:val="00176770"/>
    <w:rsid w:val="0017685E"/>
    <w:rsid w:val="001768CC"/>
    <w:rsid w:val="00176933"/>
    <w:rsid w:val="00176A95"/>
    <w:rsid w:val="00176AA6"/>
    <w:rsid w:val="00176B05"/>
    <w:rsid w:val="00176B2E"/>
    <w:rsid w:val="00176CA1"/>
    <w:rsid w:val="00176CDF"/>
    <w:rsid w:val="00176D2C"/>
    <w:rsid w:val="00176D3F"/>
    <w:rsid w:val="00176E50"/>
    <w:rsid w:val="00176EE8"/>
    <w:rsid w:val="00177004"/>
    <w:rsid w:val="001772B0"/>
    <w:rsid w:val="0017735F"/>
    <w:rsid w:val="001773C9"/>
    <w:rsid w:val="0017773D"/>
    <w:rsid w:val="00177741"/>
    <w:rsid w:val="00177AF2"/>
    <w:rsid w:val="00177B13"/>
    <w:rsid w:val="00177B41"/>
    <w:rsid w:val="00177C8C"/>
    <w:rsid w:val="00177D8E"/>
    <w:rsid w:val="00177DAD"/>
    <w:rsid w:val="00177E47"/>
    <w:rsid w:val="00180041"/>
    <w:rsid w:val="001801EB"/>
    <w:rsid w:val="00180AAC"/>
    <w:rsid w:val="00180BCB"/>
    <w:rsid w:val="00180CA1"/>
    <w:rsid w:val="00180EF0"/>
    <w:rsid w:val="001812E0"/>
    <w:rsid w:val="0018133E"/>
    <w:rsid w:val="00181392"/>
    <w:rsid w:val="001814E7"/>
    <w:rsid w:val="0018173E"/>
    <w:rsid w:val="001819F8"/>
    <w:rsid w:val="00181A45"/>
    <w:rsid w:val="00181AA6"/>
    <w:rsid w:val="00181B32"/>
    <w:rsid w:val="00181ED0"/>
    <w:rsid w:val="00181FE2"/>
    <w:rsid w:val="001820C0"/>
    <w:rsid w:val="0018255F"/>
    <w:rsid w:val="00182683"/>
    <w:rsid w:val="00182813"/>
    <w:rsid w:val="0018297B"/>
    <w:rsid w:val="0018298B"/>
    <w:rsid w:val="00182CCF"/>
    <w:rsid w:val="0018319B"/>
    <w:rsid w:val="00183291"/>
    <w:rsid w:val="00183329"/>
    <w:rsid w:val="0018337B"/>
    <w:rsid w:val="001833ED"/>
    <w:rsid w:val="0018364C"/>
    <w:rsid w:val="001837DD"/>
    <w:rsid w:val="00183C35"/>
    <w:rsid w:val="001840EC"/>
    <w:rsid w:val="0018412D"/>
    <w:rsid w:val="0018418B"/>
    <w:rsid w:val="001844AD"/>
    <w:rsid w:val="00184556"/>
    <w:rsid w:val="00184925"/>
    <w:rsid w:val="00184ED5"/>
    <w:rsid w:val="0018542D"/>
    <w:rsid w:val="00185430"/>
    <w:rsid w:val="00185451"/>
    <w:rsid w:val="00185AFC"/>
    <w:rsid w:val="00185D46"/>
    <w:rsid w:val="00185EF7"/>
    <w:rsid w:val="00186052"/>
    <w:rsid w:val="001861A3"/>
    <w:rsid w:val="001861D2"/>
    <w:rsid w:val="00186696"/>
    <w:rsid w:val="001866D6"/>
    <w:rsid w:val="00186773"/>
    <w:rsid w:val="00186A1D"/>
    <w:rsid w:val="00186A5E"/>
    <w:rsid w:val="00186AD2"/>
    <w:rsid w:val="00186C0D"/>
    <w:rsid w:val="00186E0B"/>
    <w:rsid w:val="00186F16"/>
    <w:rsid w:val="00186F2C"/>
    <w:rsid w:val="00187306"/>
    <w:rsid w:val="001873F3"/>
    <w:rsid w:val="001879A7"/>
    <w:rsid w:val="00187A94"/>
    <w:rsid w:val="00187D0E"/>
    <w:rsid w:val="00187D76"/>
    <w:rsid w:val="00190075"/>
    <w:rsid w:val="001900B1"/>
    <w:rsid w:val="0019016A"/>
    <w:rsid w:val="0019016D"/>
    <w:rsid w:val="00190452"/>
    <w:rsid w:val="00190457"/>
    <w:rsid w:val="00190484"/>
    <w:rsid w:val="00190490"/>
    <w:rsid w:val="0019064B"/>
    <w:rsid w:val="00190656"/>
    <w:rsid w:val="001906DB"/>
    <w:rsid w:val="0019079E"/>
    <w:rsid w:val="00190869"/>
    <w:rsid w:val="00190893"/>
    <w:rsid w:val="001908D0"/>
    <w:rsid w:val="00190AF6"/>
    <w:rsid w:val="00190B18"/>
    <w:rsid w:val="00190ED4"/>
    <w:rsid w:val="00190F11"/>
    <w:rsid w:val="00190F1B"/>
    <w:rsid w:val="00191074"/>
    <w:rsid w:val="001911E1"/>
    <w:rsid w:val="0019144E"/>
    <w:rsid w:val="00191551"/>
    <w:rsid w:val="00191623"/>
    <w:rsid w:val="001916A8"/>
    <w:rsid w:val="001916B8"/>
    <w:rsid w:val="001918A7"/>
    <w:rsid w:val="00191E05"/>
    <w:rsid w:val="00191E27"/>
    <w:rsid w:val="0019225E"/>
    <w:rsid w:val="00192378"/>
    <w:rsid w:val="0019243F"/>
    <w:rsid w:val="001925C0"/>
    <w:rsid w:val="00192A30"/>
    <w:rsid w:val="00192B63"/>
    <w:rsid w:val="00192E76"/>
    <w:rsid w:val="00193139"/>
    <w:rsid w:val="001934B4"/>
    <w:rsid w:val="00193533"/>
    <w:rsid w:val="001935FB"/>
    <w:rsid w:val="00193632"/>
    <w:rsid w:val="00193748"/>
    <w:rsid w:val="0019382F"/>
    <w:rsid w:val="00193878"/>
    <w:rsid w:val="0019387D"/>
    <w:rsid w:val="00193986"/>
    <w:rsid w:val="001939F3"/>
    <w:rsid w:val="00193BC0"/>
    <w:rsid w:val="00193D8E"/>
    <w:rsid w:val="001942A0"/>
    <w:rsid w:val="00194491"/>
    <w:rsid w:val="001945E7"/>
    <w:rsid w:val="001947B7"/>
    <w:rsid w:val="00194941"/>
    <w:rsid w:val="001949DF"/>
    <w:rsid w:val="00194BA2"/>
    <w:rsid w:val="00194C2A"/>
    <w:rsid w:val="00194CC8"/>
    <w:rsid w:val="00194D7F"/>
    <w:rsid w:val="00194F7D"/>
    <w:rsid w:val="00195099"/>
    <w:rsid w:val="0019514C"/>
    <w:rsid w:val="00195285"/>
    <w:rsid w:val="0019533D"/>
    <w:rsid w:val="001954EE"/>
    <w:rsid w:val="00195587"/>
    <w:rsid w:val="001955E3"/>
    <w:rsid w:val="00195622"/>
    <w:rsid w:val="001957CE"/>
    <w:rsid w:val="00195ACD"/>
    <w:rsid w:val="00195C06"/>
    <w:rsid w:val="00195C63"/>
    <w:rsid w:val="00195D6E"/>
    <w:rsid w:val="00195FDA"/>
    <w:rsid w:val="001961D9"/>
    <w:rsid w:val="00196830"/>
    <w:rsid w:val="001968A8"/>
    <w:rsid w:val="001968E2"/>
    <w:rsid w:val="0019694F"/>
    <w:rsid w:val="001969FC"/>
    <w:rsid w:val="00196A6E"/>
    <w:rsid w:val="00196AF3"/>
    <w:rsid w:val="00196C93"/>
    <w:rsid w:val="00197029"/>
    <w:rsid w:val="001971BE"/>
    <w:rsid w:val="0019730E"/>
    <w:rsid w:val="001976F9"/>
    <w:rsid w:val="001978CD"/>
    <w:rsid w:val="0019794D"/>
    <w:rsid w:val="00197A1E"/>
    <w:rsid w:val="00197A2D"/>
    <w:rsid w:val="00197A75"/>
    <w:rsid w:val="00197D21"/>
    <w:rsid w:val="00197E5E"/>
    <w:rsid w:val="001A00BE"/>
    <w:rsid w:val="001A03AC"/>
    <w:rsid w:val="001A067A"/>
    <w:rsid w:val="001A073C"/>
    <w:rsid w:val="001A07A6"/>
    <w:rsid w:val="001A0803"/>
    <w:rsid w:val="001A0A2F"/>
    <w:rsid w:val="001A0A50"/>
    <w:rsid w:val="001A0D6E"/>
    <w:rsid w:val="001A0F8E"/>
    <w:rsid w:val="001A0FAC"/>
    <w:rsid w:val="001A126F"/>
    <w:rsid w:val="001A1404"/>
    <w:rsid w:val="001A14F2"/>
    <w:rsid w:val="001A15B1"/>
    <w:rsid w:val="001A176C"/>
    <w:rsid w:val="001A179F"/>
    <w:rsid w:val="001A1923"/>
    <w:rsid w:val="001A193B"/>
    <w:rsid w:val="001A19DC"/>
    <w:rsid w:val="001A1B0F"/>
    <w:rsid w:val="001A1C56"/>
    <w:rsid w:val="001A1C86"/>
    <w:rsid w:val="001A1F18"/>
    <w:rsid w:val="001A1F99"/>
    <w:rsid w:val="001A1FFA"/>
    <w:rsid w:val="001A201A"/>
    <w:rsid w:val="001A2197"/>
    <w:rsid w:val="001A2247"/>
    <w:rsid w:val="001A2299"/>
    <w:rsid w:val="001A22AC"/>
    <w:rsid w:val="001A2798"/>
    <w:rsid w:val="001A281C"/>
    <w:rsid w:val="001A28DF"/>
    <w:rsid w:val="001A2969"/>
    <w:rsid w:val="001A2A3C"/>
    <w:rsid w:val="001A2AF1"/>
    <w:rsid w:val="001A2B96"/>
    <w:rsid w:val="001A2BB9"/>
    <w:rsid w:val="001A2EF4"/>
    <w:rsid w:val="001A2F75"/>
    <w:rsid w:val="001A2F95"/>
    <w:rsid w:val="001A3081"/>
    <w:rsid w:val="001A311B"/>
    <w:rsid w:val="001A31C8"/>
    <w:rsid w:val="001A3333"/>
    <w:rsid w:val="001A3370"/>
    <w:rsid w:val="001A33E7"/>
    <w:rsid w:val="001A357B"/>
    <w:rsid w:val="001A3740"/>
    <w:rsid w:val="001A37A9"/>
    <w:rsid w:val="001A37F4"/>
    <w:rsid w:val="001A37F5"/>
    <w:rsid w:val="001A392F"/>
    <w:rsid w:val="001A3AD4"/>
    <w:rsid w:val="001A3BD1"/>
    <w:rsid w:val="001A3C53"/>
    <w:rsid w:val="001A3D07"/>
    <w:rsid w:val="001A3E9A"/>
    <w:rsid w:val="001A3EBD"/>
    <w:rsid w:val="001A3F70"/>
    <w:rsid w:val="001A4173"/>
    <w:rsid w:val="001A43E8"/>
    <w:rsid w:val="001A44BD"/>
    <w:rsid w:val="001A466B"/>
    <w:rsid w:val="001A482A"/>
    <w:rsid w:val="001A486C"/>
    <w:rsid w:val="001A49A7"/>
    <w:rsid w:val="001A49DC"/>
    <w:rsid w:val="001A4B07"/>
    <w:rsid w:val="001A4C43"/>
    <w:rsid w:val="001A4C90"/>
    <w:rsid w:val="001A4F52"/>
    <w:rsid w:val="001A4FC3"/>
    <w:rsid w:val="001A5837"/>
    <w:rsid w:val="001A58FD"/>
    <w:rsid w:val="001A5906"/>
    <w:rsid w:val="001A5AA7"/>
    <w:rsid w:val="001A5B76"/>
    <w:rsid w:val="001A5BAE"/>
    <w:rsid w:val="001A5FAA"/>
    <w:rsid w:val="001A5FB3"/>
    <w:rsid w:val="001A60C9"/>
    <w:rsid w:val="001A6127"/>
    <w:rsid w:val="001A63C5"/>
    <w:rsid w:val="001A6901"/>
    <w:rsid w:val="001A6AA6"/>
    <w:rsid w:val="001A6C36"/>
    <w:rsid w:val="001A6F57"/>
    <w:rsid w:val="001A7007"/>
    <w:rsid w:val="001A7124"/>
    <w:rsid w:val="001A7224"/>
    <w:rsid w:val="001A72ED"/>
    <w:rsid w:val="001A74B7"/>
    <w:rsid w:val="001A75A5"/>
    <w:rsid w:val="001A7897"/>
    <w:rsid w:val="001A79D9"/>
    <w:rsid w:val="001A7AB5"/>
    <w:rsid w:val="001A7C46"/>
    <w:rsid w:val="001A7CD3"/>
    <w:rsid w:val="001A7D47"/>
    <w:rsid w:val="001A7EA7"/>
    <w:rsid w:val="001A7F4B"/>
    <w:rsid w:val="001B02A2"/>
    <w:rsid w:val="001B031F"/>
    <w:rsid w:val="001B0356"/>
    <w:rsid w:val="001B0372"/>
    <w:rsid w:val="001B03EE"/>
    <w:rsid w:val="001B040C"/>
    <w:rsid w:val="001B07BC"/>
    <w:rsid w:val="001B07E3"/>
    <w:rsid w:val="001B0942"/>
    <w:rsid w:val="001B0B19"/>
    <w:rsid w:val="001B10B2"/>
    <w:rsid w:val="001B1496"/>
    <w:rsid w:val="001B1C4A"/>
    <w:rsid w:val="001B1DD3"/>
    <w:rsid w:val="001B1E11"/>
    <w:rsid w:val="001B2065"/>
    <w:rsid w:val="001B20DA"/>
    <w:rsid w:val="001B20ED"/>
    <w:rsid w:val="001B2530"/>
    <w:rsid w:val="001B2636"/>
    <w:rsid w:val="001B2AF3"/>
    <w:rsid w:val="001B2C1E"/>
    <w:rsid w:val="001B2C3E"/>
    <w:rsid w:val="001B2D2E"/>
    <w:rsid w:val="001B305D"/>
    <w:rsid w:val="001B36B9"/>
    <w:rsid w:val="001B36CE"/>
    <w:rsid w:val="001B3794"/>
    <w:rsid w:val="001B37AF"/>
    <w:rsid w:val="001B37C3"/>
    <w:rsid w:val="001B3851"/>
    <w:rsid w:val="001B3962"/>
    <w:rsid w:val="001B3B8D"/>
    <w:rsid w:val="001B3BB7"/>
    <w:rsid w:val="001B3BC6"/>
    <w:rsid w:val="001B3D96"/>
    <w:rsid w:val="001B4141"/>
    <w:rsid w:val="001B421C"/>
    <w:rsid w:val="001B444E"/>
    <w:rsid w:val="001B459F"/>
    <w:rsid w:val="001B49BA"/>
    <w:rsid w:val="001B49D9"/>
    <w:rsid w:val="001B4A9A"/>
    <w:rsid w:val="001B4F81"/>
    <w:rsid w:val="001B5036"/>
    <w:rsid w:val="001B50A5"/>
    <w:rsid w:val="001B5125"/>
    <w:rsid w:val="001B5150"/>
    <w:rsid w:val="001B5233"/>
    <w:rsid w:val="001B53A7"/>
    <w:rsid w:val="001B5592"/>
    <w:rsid w:val="001B55A0"/>
    <w:rsid w:val="001B5758"/>
    <w:rsid w:val="001B58B1"/>
    <w:rsid w:val="001B596A"/>
    <w:rsid w:val="001B5E2E"/>
    <w:rsid w:val="001B605A"/>
    <w:rsid w:val="001B60DF"/>
    <w:rsid w:val="001B60EC"/>
    <w:rsid w:val="001B61E9"/>
    <w:rsid w:val="001B6379"/>
    <w:rsid w:val="001B63C2"/>
    <w:rsid w:val="001B657F"/>
    <w:rsid w:val="001B66BA"/>
    <w:rsid w:val="001B6EC2"/>
    <w:rsid w:val="001B6F19"/>
    <w:rsid w:val="001B6F25"/>
    <w:rsid w:val="001B7023"/>
    <w:rsid w:val="001B7151"/>
    <w:rsid w:val="001B7333"/>
    <w:rsid w:val="001B75AC"/>
    <w:rsid w:val="001B7689"/>
    <w:rsid w:val="001B7762"/>
    <w:rsid w:val="001B786E"/>
    <w:rsid w:val="001B78E8"/>
    <w:rsid w:val="001B7CA0"/>
    <w:rsid w:val="001B7EA6"/>
    <w:rsid w:val="001C0011"/>
    <w:rsid w:val="001C00B8"/>
    <w:rsid w:val="001C03E7"/>
    <w:rsid w:val="001C0472"/>
    <w:rsid w:val="001C0512"/>
    <w:rsid w:val="001C0A19"/>
    <w:rsid w:val="001C0A31"/>
    <w:rsid w:val="001C0A43"/>
    <w:rsid w:val="001C0F7C"/>
    <w:rsid w:val="001C0FAB"/>
    <w:rsid w:val="001C1072"/>
    <w:rsid w:val="001C1221"/>
    <w:rsid w:val="001C12F8"/>
    <w:rsid w:val="001C1319"/>
    <w:rsid w:val="001C138B"/>
    <w:rsid w:val="001C15F9"/>
    <w:rsid w:val="001C1689"/>
    <w:rsid w:val="001C16E9"/>
    <w:rsid w:val="001C16EA"/>
    <w:rsid w:val="001C1762"/>
    <w:rsid w:val="001C1763"/>
    <w:rsid w:val="001C17F5"/>
    <w:rsid w:val="001C1BCF"/>
    <w:rsid w:val="001C22CE"/>
    <w:rsid w:val="001C2421"/>
    <w:rsid w:val="001C24A1"/>
    <w:rsid w:val="001C24F2"/>
    <w:rsid w:val="001C2959"/>
    <w:rsid w:val="001C2A76"/>
    <w:rsid w:val="001C2B03"/>
    <w:rsid w:val="001C2B21"/>
    <w:rsid w:val="001C3100"/>
    <w:rsid w:val="001C33E2"/>
    <w:rsid w:val="001C3479"/>
    <w:rsid w:val="001C348D"/>
    <w:rsid w:val="001C34F4"/>
    <w:rsid w:val="001C353E"/>
    <w:rsid w:val="001C3605"/>
    <w:rsid w:val="001C37ED"/>
    <w:rsid w:val="001C3C6D"/>
    <w:rsid w:val="001C3D87"/>
    <w:rsid w:val="001C3E23"/>
    <w:rsid w:val="001C40ED"/>
    <w:rsid w:val="001C41D9"/>
    <w:rsid w:val="001C4201"/>
    <w:rsid w:val="001C45F7"/>
    <w:rsid w:val="001C46EC"/>
    <w:rsid w:val="001C474C"/>
    <w:rsid w:val="001C485D"/>
    <w:rsid w:val="001C4990"/>
    <w:rsid w:val="001C4A31"/>
    <w:rsid w:val="001C4A80"/>
    <w:rsid w:val="001C4CB6"/>
    <w:rsid w:val="001C4CFB"/>
    <w:rsid w:val="001C4FBA"/>
    <w:rsid w:val="001C5319"/>
    <w:rsid w:val="001C5383"/>
    <w:rsid w:val="001C54EA"/>
    <w:rsid w:val="001C5739"/>
    <w:rsid w:val="001C58A3"/>
    <w:rsid w:val="001C5A12"/>
    <w:rsid w:val="001C5ABE"/>
    <w:rsid w:val="001C5AC0"/>
    <w:rsid w:val="001C5C3A"/>
    <w:rsid w:val="001C5D51"/>
    <w:rsid w:val="001C5D53"/>
    <w:rsid w:val="001C6059"/>
    <w:rsid w:val="001C605D"/>
    <w:rsid w:val="001C622F"/>
    <w:rsid w:val="001C6383"/>
    <w:rsid w:val="001C6427"/>
    <w:rsid w:val="001C64C3"/>
    <w:rsid w:val="001C6802"/>
    <w:rsid w:val="001C68E9"/>
    <w:rsid w:val="001C6F44"/>
    <w:rsid w:val="001C6F97"/>
    <w:rsid w:val="001C70D8"/>
    <w:rsid w:val="001C715E"/>
    <w:rsid w:val="001C7272"/>
    <w:rsid w:val="001C72B3"/>
    <w:rsid w:val="001C76A1"/>
    <w:rsid w:val="001C783A"/>
    <w:rsid w:val="001C7B1D"/>
    <w:rsid w:val="001C7C87"/>
    <w:rsid w:val="001C7CA8"/>
    <w:rsid w:val="001C7D5B"/>
    <w:rsid w:val="001CF02D"/>
    <w:rsid w:val="001D00A1"/>
    <w:rsid w:val="001D01CA"/>
    <w:rsid w:val="001D01D7"/>
    <w:rsid w:val="001D01E6"/>
    <w:rsid w:val="001D03C7"/>
    <w:rsid w:val="001D074C"/>
    <w:rsid w:val="001D095E"/>
    <w:rsid w:val="001D09D8"/>
    <w:rsid w:val="001D0AF4"/>
    <w:rsid w:val="001D0B0D"/>
    <w:rsid w:val="001D0B74"/>
    <w:rsid w:val="001D0C1C"/>
    <w:rsid w:val="001D0D35"/>
    <w:rsid w:val="001D0F07"/>
    <w:rsid w:val="001D0F57"/>
    <w:rsid w:val="001D0FC5"/>
    <w:rsid w:val="001D1006"/>
    <w:rsid w:val="001D1360"/>
    <w:rsid w:val="001D14AA"/>
    <w:rsid w:val="001D1585"/>
    <w:rsid w:val="001D17EA"/>
    <w:rsid w:val="001D181F"/>
    <w:rsid w:val="001D19B4"/>
    <w:rsid w:val="001D19EE"/>
    <w:rsid w:val="001D1E4C"/>
    <w:rsid w:val="001D2035"/>
    <w:rsid w:val="001D217D"/>
    <w:rsid w:val="001D21E0"/>
    <w:rsid w:val="001D24AA"/>
    <w:rsid w:val="001D2520"/>
    <w:rsid w:val="001D26CC"/>
    <w:rsid w:val="001D26D2"/>
    <w:rsid w:val="001D27F4"/>
    <w:rsid w:val="001D2914"/>
    <w:rsid w:val="001D2AA3"/>
    <w:rsid w:val="001D2F29"/>
    <w:rsid w:val="001D2F8E"/>
    <w:rsid w:val="001D309D"/>
    <w:rsid w:val="001D31D9"/>
    <w:rsid w:val="001D3967"/>
    <w:rsid w:val="001D3BF9"/>
    <w:rsid w:val="001D3CAB"/>
    <w:rsid w:val="001D3E00"/>
    <w:rsid w:val="001D3E4C"/>
    <w:rsid w:val="001D3F25"/>
    <w:rsid w:val="001D3FFB"/>
    <w:rsid w:val="001D421B"/>
    <w:rsid w:val="001D42D5"/>
    <w:rsid w:val="001D42EC"/>
    <w:rsid w:val="001D452C"/>
    <w:rsid w:val="001D4638"/>
    <w:rsid w:val="001D4890"/>
    <w:rsid w:val="001D48FF"/>
    <w:rsid w:val="001D49C4"/>
    <w:rsid w:val="001D4A4B"/>
    <w:rsid w:val="001D4C4F"/>
    <w:rsid w:val="001D4CDA"/>
    <w:rsid w:val="001D4EA7"/>
    <w:rsid w:val="001D5027"/>
    <w:rsid w:val="001D53D7"/>
    <w:rsid w:val="001D546A"/>
    <w:rsid w:val="001D5496"/>
    <w:rsid w:val="001D55AA"/>
    <w:rsid w:val="001D5677"/>
    <w:rsid w:val="001D582C"/>
    <w:rsid w:val="001D5D77"/>
    <w:rsid w:val="001D5DD9"/>
    <w:rsid w:val="001D5E3A"/>
    <w:rsid w:val="001D5EC6"/>
    <w:rsid w:val="001D609C"/>
    <w:rsid w:val="001D612E"/>
    <w:rsid w:val="001D642B"/>
    <w:rsid w:val="001D656C"/>
    <w:rsid w:val="001D6741"/>
    <w:rsid w:val="001D680E"/>
    <w:rsid w:val="001D6878"/>
    <w:rsid w:val="001D6913"/>
    <w:rsid w:val="001D6A54"/>
    <w:rsid w:val="001D6BA6"/>
    <w:rsid w:val="001D6D13"/>
    <w:rsid w:val="001D6D48"/>
    <w:rsid w:val="001D6E89"/>
    <w:rsid w:val="001D6F24"/>
    <w:rsid w:val="001D71FF"/>
    <w:rsid w:val="001D7223"/>
    <w:rsid w:val="001D727F"/>
    <w:rsid w:val="001D72C1"/>
    <w:rsid w:val="001D76B3"/>
    <w:rsid w:val="001D76C9"/>
    <w:rsid w:val="001D7797"/>
    <w:rsid w:val="001D788A"/>
    <w:rsid w:val="001D788E"/>
    <w:rsid w:val="001D79F6"/>
    <w:rsid w:val="001D7AA6"/>
    <w:rsid w:val="001D7B28"/>
    <w:rsid w:val="001D7BD0"/>
    <w:rsid w:val="001D7C72"/>
    <w:rsid w:val="001D7CDE"/>
    <w:rsid w:val="001D7D61"/>
    <w:rsid w:val="001E0010"/>
    <w:rsid w:val="001E0022"/>
    <w:rsid w:val="001E0179"/>
    <w:rsid w:val="001E0360"/>
    <w:rsid w:val="001E03C5"/>
    <w:rsid w:val="001E046D"/>
    <w:rsid w:val="001E06F6"/>
    <w:rsid w:val="001E0796"/>
    <w:rsid w:val="001E0B67"/>
    <w:rsid w:val="001E0E61"/>
    <w:rsid w:val="001E0FAA"/>
    <w:rsid w:val="001E1145"/>
    <w:rsid w:val="001E116A"/>
    <w:rsid w:val="001E134D"/>
    <w:rsid w:val="001E13CE"/>
    <w:rsid w:val="001E13F3"/>
    <w:rsid w:val="001E14EC"/>
    <w:rsid w:val="001E1570"/>
    <w:rsid w:val="001E1625"/>
    <w:rsid w:val="001E18DD"/>
    <w:rsid w:val="001E1A74"/>
    <w:rsid w:val="001E1A88"/>
    <w:rsid w:val="001E1BF2"/>
    <w:rsid w:val="001E1D61"/>
    <w:rsid w:val="001E1E7F"/>
    <w:rsid w:val="001E1F38"/>
    <w:rsid w:val="001E20F6"/>
    <w:rsid w:val="001E2314"/>
    <w:rsid w:val="001E242A"/>
    <w:rsid w:val="001E2649"/>
    <w:rsid w:val="001E2957"/>
    <w:rsid w:val="001E2C16"/>
    <w:rsid w:val="001E2C7A"/>
    <w:rsid w:val="001E2E7F"/>
    <w:rsid w:val="001E2F92"/>
    <w:rsid w:val="001E31DC"/>
    <w:rsid w:val="001E3551"/>
    <w:rsid w:val="001E35DB"/>
    <w:rsid w:val="001E3731"/>
    <w:rsid w:val="001E3BA2"/>
    <w:rsid w:val="001E3C2D"/>
    <w:rsid w:val="001E3E6F"/>
    <w:rsid w:val="001E3F70"/>
    <w:rsid w:val="001E46D1"/>
    <w:rsid w:val="001E48B1"/>
    <w:rsid w:val="001E4A11"/>
    <w:rsid w:val="001E4C50"/>
    <w:rsid w:val="001E4D98"/>
    <w:rsid w:val="001E518D"/>
    <w:rsid w:val="001E5192"/>
    <w:rsid w:val="001E5466"/>
    <w:rsid w:val="001E5470"/>
    <w:rsid w:val="001E554A"/>
    <w:rsid w:val="001E5688"/>
    <w:rsid w:val="001E5799"/>
    <w:rsid w:val="001E57D5"/>
    <w:rsid w:val="001E58B3"/>
    <w:rsid w:val="001E5904"/>
    <w:rsid w:val="001E5BCD"/>
    <w:rsid w:val="001E5C78"/>
    <w:rsid w:val="001E5D03"/>
    <w:rsid w:val="001E5EDB"/>
    <w:rsid w:val="001E62C3"/>
    <w:rsid w:val="001E62F8"/>
    <w:rsid w:val="001E6401"/>
    <w:rsid w:val="001E67C7"/>
    <w:rsid w:val="001E6DA4"/>
    <w:rsid w:val="001E6F28"/>
    <w:rsid w:val="001E7070"/>
    <w:rsid w:val="001E70F4"/>
    <w:rsid w:val="001E7272"/>
    <w:rsid w:val="001E7406"/>
    <w:rsid w:val="001E74EC"/>
    <w:rsid w:val="001E75E2"/>
    <w:rsid w:val="001E76CE"/>
    <w:rsid w:val="001E784D"/>
    <w:rsid w:val="001E789E"/>
    <w:rsid w:val="001E7904"/>
    <w:rsid w:val="001E7AB8"/>
    <w:rsid w:val="001E7BD3"/>
    <w:rsid w:val="001E7C6C"/>
    <w:rsid w:val="001E7FC2"/>
    <w:rsid w:val="001F0174"/>
    <w:rsid w:val="001F01AE"/>
    <w:rsid w:val="001F01D2"/>
    <w:rsid w:val="001F0292"/>
    <w:rsid w:val="001F03FF"/>
    <w:rsid w:val="001F0408"/>
    <w:rsid w:val="001F040D"/>
    <w:rsid w:val="001F0818"/>
    <w:rsid w:val="001F0BDA"/>
    <w:rsid w:val="001F0CC8"/>
    <w:rsid w:val="001F1137"/>
    <w:rsid w:val="001F13AC"/>
    <w:rsid w:val="001F1821"/>
    <w:rsid w:val="001F191C"/>
    <w:rsid w:val="001F1C10"/>
    <w:rsid w:val="001F1EE4"/>
    <w:rsid w:val="001F1F29"/>
    <w:rsid w:val="001F1F5B"/>
    <w:rsid w:val="001F233C"/>
    <w:rsid w:val="001F2427"/>
    <w:rsid w:val="001F255A"/>
    <w:rsid w:val="001F264A"/>
    <w:rsid w:val="001F2742"/>
    <w:rsid w:val="001F2A20"/>
    <w:rsid w:val="001F30C4"/>
    <w:rsid w:val="001F34F0"/>
    <w:rsid w:val="001F3582"/>
    <w:rsid w:val="001F36A4"/>
    <w:rsid w:val="001F38DA"/>
    <w:rsid w:val="001F39CA"/>
    <w:rsid w:val="001F3A96"/>
    <w:rsid w:val="001F4160"/>
    <w:rsid w:val="001F41FC"/>
    <w:rsid w:val="001F4226"/>
    <w:rsid w:val="001F4416"/>
    <w:rsid w:val="001F44E1"/>
    <w:rsid w:val="001F44EF"/>
    <w:rsid w:val="001F45D1"/>
    <w:rsid w:val="001F4655"/>
    <w:rsid w:val="001F46B3"/>
    <w:rsid w:val="001F472C"/>
    <w:rsid w:val="001F4A63"/>
    <w:rsid w:val="001F4B96"/>
    <w:rsid w:val="001F4E8C"/>
    <w:rsid w:val="001F5298"/>
    <w:rsid w:val="001F53E1"/>
    <w:rsid w:val="001F5464"/>
    <w:rsid w:val="001F555A"/>
    <w:rsid w:val="001F5594"/>
    <w:rsid w:val="001F56E5"/>
    <w:rsid w:val="001F5A7C"/>
    <w:rsid w:val="001F5BCD"/>
    <w:rsid w:val="001F5E58"/>
    <w:rsid w:val="001F6154"/>
    <w:rsid w:val="001F65E9"/>
    <w:rsid w:val="001F695D"/>
    <w:rsid w:val="001F69B1"/>
    <w:rsid w:val="001F6B7F"/>
    <w:rsid w:val="001F6C87"/>
    <w:rsid w:val="001F6CF9"/>
    <w:rsid w:val="001F6E2D"/>
    <w:rsid w:val="001F727F"/>
    <w:rsid w:val="001F74EA"/>
    <w:rsid w:val="001F76B0"/>
    <w:rsid w:val="001F7A2A"/>
    <w:rsid w:val="001F7B61"/>
    <w:rsid w:val="001F7D1C"/>
    <w:rsid w:val="001F7E6A"/>
    <w:rsid w:val="001F7E89"/>
    <w:rsid w:val="001F7E94"/>
    <w:rsid w:val="00200341"/>
    <w:rsid w:val="00200741"/>
    <w:rsid w:val="002007D5"/>
    <w:rsid w:val="00200A52"/>
    <w:rsid w:val="00200CC4"/>
    <w:rsid w:val="00200D0C"/>
    <w:rsid w:val="00200FB6"/>
    <w:rsid w:val="00200FE3"/>
    <w:rsid w:val="002012FB"/>
    <w:rsid w:val="00201519"/>
    <w:rsid w:val="002018B2"/>
    <w:rsid w:val="00201B5A"/>
    <w:rsid w:val="00201DCF"/>
    <w:rsid w:val="00202184"/>
    <w:rsid w:val="002024AD"/>
    <w:rsid w:val="002028DC"/>
    <w:rsid w:val="00202A20"/>
    <w:rsid w:val="00202C48"/>
    <w:rsid w:val="00202C4F"/>
    <w:rsid w:val="00202C5F"/>
    <w:rsid w:val="00202C6D"/>
    <w:rsid w:val="00202E21"/>
    <w:rsid w:val="0020321E"/>
    <w:rsid w:val="002039A0"/>
    <w:rsid w:val="00203AFA"/>
    <w:rsid w:val="00203B31"/>
    <w:rsid w:val="00203B61"/>
    <w:rsid w:val="00203B63"/>
    <w:rsid w:val="00203C19"/>
    <w:rsid w:val="00203CB7"/>
    <w:rsid w:val="00203CCA"/>
    <w:rsid w:val="00203CE2"/>
    <w:rsid w:val="0020418C"/>
    <w:rsid w:val="0020434A"/>
    <w:rsid w:val="002045F0"/>
    <w:rsid w:val="002048D8"/>
    <w:rsid w:val="002048DF"/>
    <w:rsid w:val="0020497E"/>
    <w:rsid w:val="00204A10"/>
    <w:rsid w:val="00204AB4"/>
    <w:rsid w:val="00204AD2"/>
    <w:rsid w:val="00204B9D"/>
    <w:rsid w:val="00204CFA"/>
    <w:rsid w:val="00205016"/>
    <w:rsid w:val="002050FF"/>
    <w:rsid w:val="00205258"/>
    <w:rsid w:val="00205ACC"/>
    <w:rsid w:val="00205BA6"/>
    <w:rsid w:val="00205BCA"/>
    <w:rsid w:val="00205ED0"/>
    <w:rsid w:val="002062AF"/>
    <w:rsid w:val="00206400"/>
    <w:rsid w:val="002066DE"/>
    <w:rsid w:val="002069DA"/>
    <w:rsid w:val="00206AEB"/>
    <w:rsid w:val="00206B97"/>
    <w:rsid w:val="00206B9D"/>
    <w:rsid w:val="00206BA2"/>
    <w:rsid w:val="00206E99"/>
    <w:rsid w:val="00206ED7"/>
    <w:rsid w:val="0020738F"/>
    <w:rsid w:val="00207672"/>
    <w:rsid w:val="00207732"/>
    <w:rsid w:val="00207755"/>
    <w:rsid w:val="0020775A"/>
    <w:rsid w:val="002079B5"/>
    <w:rsid w:val="00207B7C"/>
    <w:rsid w:val="00207BEA"/>
    <w:rsid w:val="00207D3C"/>
    <w:rsid w:val="00207EC1"/>
    <w:rsid w:val="00207F98"/>
    <w:rsid w:val="002101FE"/>
    <w:rsid w:val="00210514"/>
    <w:rsid w:val="002106E2"/>
    <w:rsid w:val="0021074C"/>
    <w:rsid w:val="002108C9"/>
    <w:rsid w:val="00210964"/>
    <w:rsid w:val="00210C4B"/>
    <w:rsid w:val="00210CC9"/>
    <w:rsid w:val="00210EFE"/>
    <w:rsid w:val="00210F26"/>
    <w:rsid w:val="0021107A"/>
    <w:rsid w:val="002114A0"/>
    <w:rsid w:val="002114D3"/>
    <w:rsid w:val="002117C3"/>
    <w:rsid w:val="00211846"/>
    <w:rsid w:val="00211D4E"/>
    <w:rsid w:val="0021210E"/>
    <w:rsid w:val="00212171"/>
    <w:rsid w:val="002123F8"/>
    <w:rsid w:val="00212408"/>
    <w:rsid w:val="002124E9"/>
    <w:rsid w:val="0021258E"/>
    <w:rsid w:val="002126E5"/>
    <w:rsid w:val="00212B14"/>
    <w:rsid w:val="00212C37"/>
    <w:rsid w:val="00212D11"/>
    <w:rsid w:val="00212F5B"/>
    <w:rsid w:val="002133B6"/>
    <w:rsid w:val="002138D1"/>
    <w:rsid w:val="0021395F"/>
    <w:rsid w:val="00213B8D"/>
    <w:rsid w:val="00213E56"/>
    <w:rsid w:val="002140F0"/>
    <w:rsid w:val="002141DA"/>
    <w:rsid w:val="002143B9"/>
    <w:rsid w:val="002144F1"/>
    <w:rsid w:val="00214946"/>
    <w:rsid w:val="002149AA"/>
    <w:rsid w:val="00214A4A"/>
    <w:rsid w:val="00214B6B"/>
    <w:rsid w:val="002150B2"/>
    <w:rsid w:val="00215183"/>
    <w:rsid w:val="002151EE"/>
    <w:rsid w:val="00215353"/>
    <w:rsid w:val="002154BA"/>
    <w:rsid w:val="00215537"/>
    <w:rsid w:val="0021573D"/>
    <w:rsid w:val="00215932"/>
    <w:rsid w:val="002159F1"/>
    <w:rsid w:val="00215AFA"/>
    <w:rsid w:val="00215CA4"/>
    <w:rsid w:val="00215CC6"/>
    <w:rsid w:val="00215E14"/>
    <w:rsid w:val="00215E62"/>
    <w:rsid w:val="00215FAF"/>
    <w:rsid w:val="00215FEE"/>
    <w:rsid w:val="002160C8"/>
    <w:rsid w:val="002160D0"/>
    <w:rsid w:val="00216466"/>
    <w:rsid w:val="002164A7"/>
    <w:rsid w:val="00216582"/>
    <w:rsid w:val="00216637"/>
    <w:rsid w:val="00216C36"/>
    <w:rsid w:val="00216CE5"/>
    <w:rsid w:val="00216F65"/>
    <w:rsid w:val="00217521"/>
    <w:rsid w:val="0021754F"/>
    <w:rsid w:val="00217552"/>
    <w:rsid w:val="00217579"/>
    <w:rsid w:val="002175E3"/>
    <w:rsid w:val="00217A8C"/>
    <w:rsid w:val="00217BBC"/>
    <w:rsid w:val="00217C54"/>
    <w:rsid w:val="00217E02"/>
    <w:rsid w:val="00217FD7"/>
    <w:rsid w:val="002203A0"/>
    <w:rsid w:val="00220662"/>
    <w:rsid w:val="00220724"/>
    <w:rsid w:val="00220794"/>
    <w:rsid w:val="00220909"/>
    <w:rsid w:val="00220949"/>
    <w:rsid w:val="00220A48"/>
    <w:rsid w:val="00220B1D"/>
    <w:rsid w:val="00220C29"/>
    <w:rsid w:val="00220E2A"/>
    <w:rsid w:val="00220EED"/>
    <w:rsid w:val="00220F7E"/>
    <w:rsid w:val="00220F7F"/>
    <w:rsid w:val="00220F9D"/>
    <w:rsid w:val="00221131"/>
    <w:rsid w:val="0022117C"/>
    <w:rsid w:val="002213E1"/>
    <w:rsid w:val="002215C2"/>
    <w:rsid w:val="002216D6"/>
    <w:rsid w:val="002218F0"/>
    <w:rsid w:val="00221D84"/>
    <w:rsid w:val="00221D91"/>
    <w:rsid w:val="00221DD1"/>
    <w:rsid w:val="00221E65"/>
    <w:rsid w:val="00221EA9"/>
    <w:rsid w:val="00221F9C"/>
    <w:rsid w:val="00221FB2"/>
    <w:rsid w:val="002222F3"/>
    <w:rsid w:val="0022232E"/>
    <w:rsid w:val="00222790"/>
    <w:rsid w:val="00222937"/>
    <w:rsid w:val="00222AD8"/>
    <w:rsid w:val="00222B76"/>
    <w:rsid w:val="00222BA6"/>
    <w:rsid w:val="00222BBD"/>
    <w:rsid w:val="00222BED"/>
    <w:rsid w:val="00222C85"/>
    <w:rsid w:val="00222D17"/>
    <w:rsid w:val="00222F07"/>
    <w:rsid w:val="00222F2D"/>
    <w:rsid w:val="00223131"/>
    <w:rsid w:val="0022358F"/>
    <w:rsid w:val="0022366C"/>
    <w:rsid w:val="002236D4"/>
    <w:rsid w:val="00223994"/>
    <w:rsid w:val="00223A11"/>
    <w:rsid w:val="00223A59"/>
    <w:rsid w:val="00223B4D"/>
    <w:rsid w:val="00223BBA"/>
    <w:rsid w:val="00223C01"/>
    <w:rsid w:val="00223C41"/>
    <w:rsid w:val="00223F56"/>
    <w:rsid w:val="00223F5C"/>
    <w:rsid w:val="002240F5"/>
    <w:rsid w:val="002242A5"/>
    <w:rsid w:val="00224319"/>
    <w:rsid w:val="002243CC"/>
    <w:rsid w:val="002244C3"/>
    <w:rsid w:val="00224570"/>
    <w:rsid w:val="00224C15"/>
    <w:rsid w:val="00224D5E"/>
    <w:rsid w:val="00224D65"/>
    <w:rsid w:val="00224DD5"/>
    <w:rsid w:val="00224E9B"/>
    <w:rsid w:val="00224F56"/>
    <w:rsid w:val="00224FE9"/>
    <w:rsid w:val="00225168"/>
    <w:rsid w:val="0022546F"/>
    <w:rsid w:val="002257AD"/>
    <w:rsid w:val="00225853"/>
    <w:rsid w:val="002258E9"/>
    <w:rsid w:val="002258F7"/>
    <w:rsid w:val="00225ACA"/>
    <w:rsid w:val="00225BA8"/>
    <w:rsid w:val="00225DE7"/>
    <w:rsid w:val="00225E9E"/>
    <w:rsid w:val="00225FB3"/>
    <w:rsid w:val="002265AE"/>
    <w:rsid w:val="002267E2"/>
    <w:rsid w:val="00226A72"/>
    <w:rsid w:val="00226D39"/>
    <w:rsid w:val="00226E90"/>
    <w:rsid w:val="00227021"/>
    <w:rsid w:val="0022704F"/>
    <w:rsid w:val="0022736B"/>
    <w:rsid w:val="002274D4"/>
    <w:rsid w:val="00227557"/>
    <w:rsid w:val="0022762D"/>
    <w:rsid w:val="00227747"/>
    <w:rsid w:val="00227AB0"/>
    <w:rsid w:val="00227AE9"/>
    <w:rsid w:val="00227B02"/>
    <w:rsid w:val="00227BCD"/>
    <w:rsid w:val="00227C04"/>
    <w:rsid w:val="00227D3B"/>
    <w:rsid w:val="00227DC5"/>
    <w:rsid w:val="00227ED7"/>
    <w:rsid w:val="00230001"/>
    <w:rsid w:val="002300C1"/>
    <w:rsid w:val="002300EB"/>
    <w:rsid w:val="002300ED"/>
    <w:rsid w:val="002301B3"/>
    <w:rsid w:val="00230648"/>
    <w:rsid w:val="0023093B"/>
    <w:rsid w:val="00230A97"/>
    <w:rsid w:val="00230B13"/>
    <w:rsid w:val="00230DD7"/>
    <w:rsid w:val="00230E6A"/>
    <w:rsid w:val="00231050"/>
    <w:rsid w:val="0023123B"/>
    <w:rsid w:val="00231575"/>
    <w:rsid w:val="00231985"/>
    <w:rsid w:val="00231A6D"/>
    <w:rsid w:val="00231A80"/>
    <w:rsid w:val="00231BF2"/>
    <w:rsid w:val="00231CB4"/>
    <w:rsid w:val="00231D79"/>
    <w:rsid w:val="00231FC4"/>
    <w:rsid w:val="00232196"/>
    <w:rsid w:val="002324CB"/>
    <w:rsid w:val="00232547"/>
    <w:rsid w:val="0023256F"/>
    <w:rsid w:val="0023289B"/>
    <w:rsid w:val="00232951"/>
    <w:rsid w:val="00232FBC"/>
    <w:rsid w:val="00233108"/>
    <w:rsid w:val="0023323D"/>
    <w:rsid w:val="0023347A"/>
    <w:rsid w:val="002334A6"/>
    <w:rsid w:val="002337D5"/>
    <w:rsid w:val="00233939"/>
    <w:rsid w:val="002339EB"/>
    <w:rsid w:val="00233B07"/>
    <w:rsid w:val="00233C2D"/>
    <w:rsid w:val="00233D3F"/>
    <w:rsid w:val="00233D9B"/>
    <w:rsid w:val="00233E22"/>
    <w:rsid w:val="00233FF7"/>
    <w:rsid w:val="00234223"/>
    <w:rsid w:val="002342D1"/>
    <w:rsid w:val="002342EA"/>
    <w:rsid w:val="00234447"/>
    <w:rsid w:val="002344D0"/>
    <w:rsid w:val="00234557"/>
    <w:rsid w:val="00234A27"/>
    <w:rsid w:val="00234B5C"/>
    <w:rsid w:val="00234EB0"/>
    <w:rsid w:val="0023511D"/>
    <w:rsid w:val="002351EF"/>
    <w:rsid w:val="0023521C"/>
    <w:rsid w:val="0023522D"/>
    <w:rsid w:val="00235385"/>
    <w:rsid w:val="0023538C"/>
    <w:rsid w:val="002354DB"/>
    <w:rsid w:val="00235762"/>
    <w:rsid w:val="002359C6"/>
    <w:rsid w:val="00235BE4"/>
    <w:rsid w:val="002360E8"/>
    <w:rsid w:val="002362D2"/>
    <w:rsid w:val="002363BA"/>
    <w:rsid w:val="0023643D"/>
    <w:rsid w:val="002367A0"/>
    <w:rsid w:val="00236835"/>
    <w:rsid w:val="00236865"/>
    <w:rsid w:val="00236B8D"/>
    <w:rsid w:val="00236DCB"/>
    <w:rsid w:val="00236E36"/>
    <w:rsid w:val="00236F83"/>
    <w:rsid w:val="00236F93"/>
    <w:rsid w:val="0023714A"/>
    <w:rsid w:val="002372B3"/>
    <w:rsid w:val="002375B5"/>
    <w:rsid w:val="002375C2"/>
    <w:rsid w:val="0023765E"/>
    <w:rsid w:val="00237ADA"/>
    <w:rsid w:val="00237C0C"/>
    <w:rsid w:val="00237C58"/>
    <w:rsid w:val="00237D19"/>
    <w:rsid w:val="00237F17"/>
    <w:rsid w:val="0024001E"/>
    <w:rsid w:val="00240060"/>
    <w:rsid w:val="00240120"/>
    <w:rsid w:val="00240128"/>
    <w:rsid w:val="0024016D"/>
    <w:rsid w:val="002402F3"/>
    <w:rsid w:val="002403F5"/>
    <w:rsid w:val="002404A4"/>
    <w:rsid w:val="00240686"/>
    <w:rsid w:val="002407A9"/>
    <w:rsid w:val="00240963"/>
    <w:rsid w:val="00240C02"/>
    <w:rsid w:val="00240E3C"/>
    <w:rsid w:val="002411E1"/>
    <w:rsid w:val="00241480"/>
    <w:rsid w:val="00241610"/>
    <w:rsid w:val="002416B2"/>
    <w:rsid w:val="002419A2"/>
    <w:rsid w:val="002419DF"/>
    <w:rsid w:val="00241BA9"/>
    <w:rsid w:val="00241D11"/>
    <w:rsid w:val="00241DC4"/>
    <w:rsid w:val="00241F86"/>
    <w:rsid w:val="00241FDF"/>
    <w:rsid w:val="00241FFF"/>
    <w:rsid w:val="002420E6"/>
    <w:rsid w:val="0024219A"/>
    <w:rsid w:val="002425F3"/>
    <w:rsid w:val="00242657"/>
    <w:rsid w:val="00242675"/>
    <w:rsid w:val="0024267B"/>
    <w:rsid w:val="002426CD"/>
    <w:rsid w:val="00242A2A"/>
    <w:rsid w:val="00242BC1"/>
    <w:rsid w:val="00242C55"/>
    <w:rsid w:val="00242EE7"/>
    <w:rsid w:val="00242F9C"/>
    <w:rsid w:val="00243039"/>
    <w:rsid w:val="002430A2"/>
    <w:rsid w:val="002432EE"/>
    <w:rsid w:val="002435F7"/>
    <w:rsid w:val="002438EC"/>
    <w:rsid w:val="002438FB"/>
    <w:rsid w:val="00243C46"/>
    <w:rsid w:val="00243D04"/>
    <w:rsid w:val="00243FAA"/>
    <w:rsid w:val="0024403D"/>
    <w:rsid w:val="00244158"/>
    <w:rsid w:val="0024437A"/>
    <w:rsid w:val="002444A1"/>
    <w:rsid w:val="002444A5"/>
    <w:rsid w:val="002444DF"/>
    <w:rsid w:val="00244695"/>
    <w:rsid w:val="002447EF"/>
    <w:rsid w:val="002447F0"/>
    <w:rsid w:val="0024499B"/>
    <w:rsid w:val="00244A1A"/>
    <w:rsid w:val="00244B1C"/>
    <w:rsid w:val="00244BF8"/>
    <w:rsid w:val="00244D61"/>
    <w:rsid w:val="00244F2E"/>
    <w:rsid w:val="00244F3A"/>
    <w:rsid w:val="00244F5F"/>
    <w:rsid w:val="00244FA9"/>
    <w:rsid w:val="00245027"/>
    <w:rsid w:val="002450D1"/>
    <w:rsid w:val="002452B7"/>
    <w:rsid w:val="00245349"/>
    <w:rsid w:val="00245426"/>
    <w:rsid w:val="002454ED"/>
    <w:rsid w:val="00245622"/>
    <w:rsid w:val="002456FA"/>
    <w:rsid w:val="002457C6"/>
    <w:rsid w:val="0024590F"/>
    <w:rsid w:val="00245B48"/>
    <w:rsid w:val="00245BC5"/>
    <w:rsid w:val="00245CAE"/>
    <w:rsid w:val="00245D33"/>
    <w:rsid w:val="002460CB"/>
    <w:rsid w:val="00246107"/>
    <w:rsid w:val="00246220"/>
    <w:rsid w:val="0024636C"/>
    <w:rsid w:val="00246600"/>
    <w:rsid w:val="002466B9"/>
    <w:rsid w:val="002466BB"/>
    <w:rsid w:val="0024673A"/>
    <w:rsid w:val="002467A1"/>
    <w:rsid w:val="00246891"/>
    <w:rsid w:val="00246A76"/>
    <w:rsid w:val="00246AD4"/>
    <w:rsid w:val="00246B60"/>
    <w:rsid w:val="00246BB7"/>
    <w:rsid w:val="00246BEF"/>
    <w:rsid w:val="00246CB8"/>
    <w:rsid w:val="00246D9B"/>
    <w:rsid w:val="00246DE2"/>
    <w:rsid w:val="00247077"/>
    <w:rsid w:val="00247356"/>
    <w:rsid w:val="002473B6"/>
    <w:rsid w:val="0024743F"/>
    <w:rsid w:val="002476D3"/>
    <w:rsid w:val="00247ADD"/>
    <w:rsid w:val="00247CD0"/>
    <w:rsid w:val="00247D9B"/>
    <w:rsid w:val="00247DBF"/>
    <w:rsid w:val="00247EE8"/>
    <w:rsid w:val="0025002A"/>
    <w:rsid w:val="00250258"/>
    <w:rsid w:val="0025036A"/>
    <w:rsid w:val="00250397"/>
    <w:rsid w:val="002506CA"/>
    <w:rsid w:val="00250A4E"/>
    <w:rsid w:val="00250AA2"/>
    <w:rsid w:val="00250C66"/>
    <w:rsid w:val="00250F46"/>
    <w:rsid w:val="00251011"/>
    <w:rsid w:val="002511B2"/>
    <w:rsid w:val="002512A6"/>
    <w:rsid w:val="00251726"/>
    <w:rsid w:val="00251791"/>
    <w:rsid w:val="0025186E"/>
    <w:rsid w:val="00251874"/>
    <w:rsid w:val="00251905"/>
    <w:rsid w:val="00251C1B"/>
    <w:rsid w:val="00251E2E"/>
    <w:rsid w:val="00251E33"/>
    <w:rsid w:val="00252321"/>
    <w:rsid w:val="002524DD"/>
    <w:rsid w:val="00252662"/>
    <w:rsid w:val="002526EC"/>
    <w:rsid w:val="00252704"/>
    <w:rsid w:val="00252772"/>
    <w:rsid w:val="002527C8"/>
    <w:rsid w:val="00252848"/>
    <w:rsid w:val="00252A78"/>
    <w:rsid w:val="00252ADC"/>
    <w:rsid w:val="00252E77"/>
    <w:rsid w:val="00252EFC"/>
    <w:rsid w:val="00252F36"/>
    <w:rsid w:val="00253043"/>
    <w:rsid w:val="00253079"/>
    <w:rsid w:val="002532E5"/>
    <w:rsid w:val="00253529"/>
    <w:rsid w:val="002537DE"/>
    <w:rsid w:val="0025380A"/>
    <w:rsid w:val="00253886"/>
    <w:rsid w:val="0025390F"/>
    <w:rsid w:val="0025408D"/>
    <w:rsid w:val="00254137"/>
    <w:rsid w:val="00254240"/>
    <w:rsid w:val="0025426B"/>
    <w:rsid w:val="0025465D"/>
    <w:rsid w:val="00254720"/>
    <w:rsid w:val="00254756"/>
    <w:rsid w:val="00254844"/>
    <w:rsid w:val="00254D5C"/>
    <w:rsid w:val="00254EBA"/>
    <w:rsid w:val="00254EC7"/>
    <w:rsid w:val="002551A3"/>
    <w:rsid w:val="002553F3"/>
    <w:rsid w:val="00255517"/>
    <w:rsid w:val="002556A2"/>
    <w:rsid w:val="002556D3"/>
    <w:rsid w:val="0025582B"/>
    <w:rsid w:val="002559A2"/>
    <w:rsid w:val="002559C7"/>
    <w:rsid w:val="00255B4F"/>
    <w:rsid w:val="00255EEA"/>
    <w:rsid w:val="00255F3B"/>
    <w:rsid w:val="0025620C"/>
    <w:rsid w:val="002563A3"/>
    <w:rsid w:val="002563F5"/>
    <w:rsid w:val="00256625"/>
    <w:rsid w:val="0025673D"/>
    <w:rsid w:val="00256794"/>
    <w:rsid w:val="0025682B"/>
    <w:rsid w:val="00256B29"/>
    <w:rsid w:val="00256DD9"/>
    <w:rsid w:val="00256EE6"/>
    <w:rsid w:val="0025730A"/>
    <w:rsid w:val="00257414"/>
    <w:rsid w:val="0025751B"/>
    <w:rsid w:val="0025753D"/>
    <w:rsid w:val="002576BE"/>
    <w:rsid w:val="00257793"/>
    <w:rsid w:val="00257809"/>
    <w:rsid w:val="00257870"/>
    <w:rsid w:val="00257A20"/>
    <w:rsid w:val="00257A55"/>
    <w:rsid w:val="00257CF2"/>
    <w:rsid w:val="00257DC4"/>
    <w:rsid w:val="00257E2F"/>
    <w:rsid w:val="00257F4C"/>
    <w:rsid w:val="00257FAC"/>
    <w:rsid w:val="00260107"/>
    <w:rsid w:val="00260295"/>
    <w:rsid w:val="00260A84"/>
    <w:rsid w:val="00260B41"/>
    <w:rsid w:val="00260C7D"/>
    <w:rsid w:val="00260D01"/>
    <w:rsid w:val="002610C6"/>
    <w:rsid w:val="00261202"/>
    <w:rsid w:val="0026120C"/>
    <w:rsid w:val="002612B6"/>
    <w:rsid w:val="00261300"/>
    <w:rsid w:val="002613BC"/>
    <w:rsid w:val="00261789"/>
    <w:rsid w:val="002617C7"/>
    <w:rsid w:val="002617FA"/>
    <w:rsid w:val="002617FD"/>
    <w:rsid w:val="002619B4"/>
    <w:rsid w:val="00261B76"/>
    <w:rsid w:val="00261EA9"/>
    <w:rsid w:val="002620B9"/>
    <w:rsid w:val="00262206"/>
    <w:rsid w:val="0026228F"/>
    <w:rsid w:val="002622F3"/>
    <w:rsid w:val="002623CB"/>
    <w:rsid w:val="00262464"/>
    <w:rsid w:val="0026249C"/>
    <w:rsid w:val="002624A6"/>
    <w:rsid w:val="0026253C"/>
    <w:rsid w:val="0026268D"/>
    <w:rsid w:val="002628DF"/>
    <w:rsid w:val="00262901"/>
    <w:rsid w:val="00262981"/>
    <w:rsid w:val="002629D5"/>
    <w:rsid w:val="0026315F"/>
    <w:rsid w:val="00263821"/>
    <w:rsid w:val="00263B16"/>
    <w:rsid w:val="00263BF0"/>
    <w:rsid w:val="00263D30"/>
    <w:rsid w:val="00263D41"/>
    <w:rsid w:val="00263E4D"/>
    <w:rsid w:val="00263E60"/>
    <w:rsid w:val="0026408F"/>
    <w:rsid w:val="00264362"/>
    <w:rsid w:val="002644CA"/>
    <w:rsid w:val="00264641"/>
    <w:rsid w:val="002648BC"/>
    <w:rsid w:val="002649CD"/>
    <w:rsid w:val="002649EC"/>
    <w:rsid w:val="00264B10"/>
    <w:rsid w:val="00264C2E"/>
    <w:rsid w:val="00264D86"/>
    <w:rsid w:val="00264E8D"/>
    <w:rsid w:val="00264F1E"/>
    <w:rsid w:val="00265379"/>
    <w:rsid w:val="00265478"/>
    <w:rsid w:val="002655DC"/>
    <w:rsid w:val="002656AE"/>
    <w:rsid w:val="00265B3C"/>
    <w:rsid w:val="00265BB1"/>
    <w:rsid w:val="00265F9D"/>
    <w:rsid w:val="00266075"/>
    <w:rsid w:val="00266168"/>
    <w:rsid w:val="002661A4"/>
    <w:rsid w:val="002661CF"/>
    <w:rsid w:val="00266247"/>
    <w:rsid w:val="002664DA"/>
    <w:rsid w:val="002666A6"/>
    <w:rsid w:val="00266863"/>
    <w:rsid w:val="00266A82"/>
    <w:rsid w:val="00266CC1"/>
    <w:rsid w:val="00266DD7"/>
    <w:rsid w:val="00266E4F"/>
    <w:rsid w:val="00267016"/>
    <w:rsid w:val="00267267"/>
    <w:rsid w:val="002675D8"/>
    <w:rsid w:val="0026778C"/>
    <w:rsid w:val="00267946"/>
    <w:rsid w:val="0026794F"/>
    <w:rsid w:val="00267A19"/>
    <w:rsid w:val="00267B07"/>
    <w:rsid w:val="00267B15"/>
    <w:rsid w:val="00267B61"/>
    <w:rsid w:val="00267BC2"/>
    <w:rsid w:val="00267D11"/>
    <w:rsid w:val="00267E01"/>
    <w:rsid w:val="002700A2"/>
    <w:rsid w:val="002701C4"/>
    <w:rsid w:val="00270433"/>
    <w:rsid w:val="00270681"/>
    <w:rsid w:val="0027068C"/>
    <w:rsid w:val="002706B4"/>
    <w:rsid w:val="00270804"/>
    <w:rsid w:val="00270881"/>
    <w:rsid w:val="00270952"/>
    <w:rsid w:val="00270967"/>
    <w:rsid w:val="00270A7F"/>
    <w:rsid w:val="00270BEA"/>
    <w:rsid w:val="00270C8D"/>
    <w:rsid w:val="00270CF9"/>
    <w:rsid w:val="00270D95"/>
    <w:rsid w:val="00271025"/>
    <w:rsid w:val="00271037"/>
    <w:rsid w:val="00271075"/>
    <w:rsid w:val="00271234"/>
    <w:rsid w:val="00271324"/>
    <w:rsid w:val="002714F7"/>
    <w:rsid w:val="002715C1"/>
    <w:rsid w:val="00271639"/>
    <w:rsid w:val="002718AC"/>
    <w:rsid w:val="00271AC9"/>
    <w:rsid w:val="00271B33"/>
    <w:rsid w:val="00271B8B"/>
    <w:rsid w:val="00271E99"/>
    <w:rsid w:val="00271ED0"/>
    <w:rsid w:val="00271EE7"/>
    <w:rsid w:val="0027228D"/>
    <w:rsid w:val="002722D6"/>
    <w:rsid w:val="0027243A"/>
    <w:rsid w:val="00272652"/>
    <w:rsid w:val="002726DA"/>
    <w:rsid w:val="002727E9"/>
    <w:rsid w:val="00272831"/>
    <w:rsid w:val="002728A2"/>
    <w:rsid w:val="0027299A"/>
    <w:rsid w:val="00272CCA"/>
    <w:rsid w:val="00272E4D"/>
    <w:rsid w:val="00273078"/>
    <w:rsid w:val="002730F0"/>
    <w:rsid w:val="002731C5"/>
    <w:rsid w:val="002733BF"/>
    <w:rsid w:val="0027344C"/>
    <w:rsid w:val="002734B5"/>
    <w:rsid w:val="0027366D"/>
    <w:rsid w:val="0027379A"/>
    <w:rsid w:val="0027396C"/>
    <w:rsid w:val="002739EE"/>
    <w:rsid w:val="00273B0B"/>
    <w:rsid w:val="00273BBD"/>
    <w:rsid w:val="00273D2B"/>
    <w:rsid w:val="00273F04"/>
    <w:rsid w:val="002745C9"/>
    <w:rsid w:val="00274971"/>
    <w:rsid w:val="0027499B"/>
    <w:rsid w:val="00274A8F"/>
    <w:rsid w:val="00274B1E"/>
    <w:rsid w:val="00274BA5"/>
    <w:rsid w:val="00274F96"/>
    <w:rsid w:val="00275127"/>
    <w:rsid w:val="00275164"/>
    <w:rsid w:val="00275527"/>
    <w:rsid w:val="002755FB"/>
    <w:rsid w:val="002758B1"/>
    <w:rsid w:val="00275EE3"/>
    <w:rsid w:val="002761CA"/>
    <w:rsid w:val="002761F1"/>
    <w:rsid w:val="002762A9"/>
    <w:rsid w:val="00276537"/>
    <w:rsid w:val="00276574"/>
    <w:rsid w:val="002769ED"/>
    <w:rsid w:val="00276B84"/>
    <w:rsid w:val="00276C4B"/>
    <w:rsid w:val="00276CB8"/>
    <w:rsid w:val="00277097"/>
    <w:rsid w:val="00277240"/>
    <w:rsid w:val="00277461"/>
    <w:rsid w:val="00277526"/>
    <w:rsid w:val="0027760B"/>
    <w:rsid w:val="0027766D"/>
    <w:rsid w:val="0027782B"/>
    <w:rsid w:val="00277A8C"/>
    <w:rsid w:val="00277D43"/>
    <w:rsid w:val="00277D95"/>
    <w:rsid w:val="00277E73"/>
    <w:rsid w:val="002801AA"/>
    <w:rsid w:val="002805AA"/>
    <w:rsid w:val="00280C95"/>
    <w:rsid w:val="00280CF3"/>
    <w:rsid w:val="00280CF9"/>
    <w:rsid w:val="00280E5D"/>
    <w:rsid w:val="0028121A"/>
    <w:rsid w:val="0028129D"/>
    <w:rsid w:val="002812FC"/>
    <w:rsid w:val="0028137D"/>
    <w:rsid w:val="00281603"/>
    <w:rsid w:val="00281680"/>
    <w:rsid w:val="00281927"/>
    <w:rsid w:val="00281B0E"/>
    <w:rsid w:val="00281FF6"/>
    <w:rsid w:val="00282117"/>
    <w:rsid w:val="002821A1"/>
    <w:rsid w:val="002821B1"/>
    <w:rsid w:val="00282371"/>
    <w:rsid w:val="002823DD"/>
    <w:rsid w:val="00282444"/>
    <w:rsid w:val="00282625"/>
    <w:rsid w:val="00282685"/>
    <w:rsid w:val="002828D5"/>
    <w:rsid w:val="0028291F"/>
    <w:rsid w:val="00282A22"/>
    <w:rsid w:val="00282A60"/>
    <w:rsid w:val="00282AC9"/>
    <w:rsid w:val="00282F96"/>
    <w:rsid w:val="002833DE"/>
    <w:rsid w:val="00283432"/>
    <w:rsid w:val="002834E2"/>
    <w:rsid w:val="00283746"/>
    <w:rsid w:val="0028389E"/>
    <w:rsid w:val="002839AB"/>
    <w:rsid w:val="00283B24"/>
    <w:rsid w:val="00283B3E"/>
    <w:rsid w:val="00283B5B"/>
    <w:rsid w:val="00283C71"/>
    <w:rsid w:val="00283C9E"/>
    <w:rsid w:val="00284004"/>
    <w:rsid w:val="00284020"/>
    <w:rsid w:val="00284047"/>
    <w:rsid w:val="0028411A"/>
    <w:rsid w:val="00284124"/>
    <w:rsid w:val="00284371"/>
    <w:rsid w:val="00284573"/>
    <w:rsid w:val="00284671"/>
    <w:rsid w:val="00284702"/>
    <w:rsid w:val="00284935"/>
    <w:rsid w:val="00284968"/>
    <w:rsid w:val="00284AED"/>
    <w:rsid w:val="00284BE5"/>
    <w:rsid w:val="002854BA"/>
    <w:rsid w:val="002857DE"/>
    <w:rsid w:val="0028585E"/>
    <w:rsid w:val="002860D0"/>
    <w:rsid w:val="002861F7"/>
    <w:rsid w:val="00286492"/>
    <w:rsid w:val="002867A4"/>
    <w:rsid w:val="002868A4"/>
    <w:rsid w:val="00286910"/>
    <w:rsid w:val="00286AB4"/>
    <w:rsid w:val="00286AC6"/>
    <w:rsid w:val="00286B05"/>
    <w:rsid w:val="002871A3"/>
    <w:rsid w:val="0028736B"/>
    <w:rsid w:val="0028756D"/>
    <w:rsid w:val="00287A4D"/>
    <w:rsid w:val="00287BAE"/>
    <w:rsid w:val="00287D86"/>
    <w:rsid w:val="00287DC0"/>
    <w:rsid w:val="00287FFA"/>
    <w:rsid w:val="002900C4"/>
    <w:rsid w:val="00290280"/>
    <w:rsid w:val="002902AA"/>
    <w:rsid w:val="002903D2"/>
    <w:rsid w:val="00290520"/>
    <w:rsid w:val="00290681"/>
    <w:rsid w:val="002906A3"/>
    <w:rsid w:val="002906E8"/>
    <w:rsid w:val="0029075E"/>
    <w:rsid w:val="002907B1"/>
    <w:rsid w:val="002907E0"/>
    <w:rsid w:val="00290B1D"/>
    <w:rsid w:val="00290D2F"/>
    <w:rsid w:val="00290D8E"/>
    <w:rsid w:val="00290EBF"/>
    <w:rsid w:val="0029139E"/>
    <w:rsid w:val="002915C0"/>
    <w:rsid w:val="00291806"/>
    <w:rsid w:val="002918FB"/>
    <w:rsid w:val="00291956"/>
    <w:rsid w:val="00291D6E"/>
    <w:rsid w:val="00291D98"/>
    <w:rsid w:val="00291E58"/>
    <w:rsid w:val="00291E92"/>
    <w:rsid w:val="00291EF9"/>
    <w:rsid w:val="00292210"/>
    <w:rsid w:val="00292290"/>
    <w:rsid w:val="002922B9"/>
    <w:rsid w:val="002924B6"/>
    <w:rsid w:val="0029254E"/>
    <w:rsid w:val="002925C2"/>
    <w:rsid w:val="002928AD"/>
    <w:rsid w:val="00292934"/>
    <w:rsid w:val="00292BBA"/>
    <w:rsid w:val="00292CA4"/>
    <w:rsid w:val="0029328D"/>
    <w:rsid w:val="0029328E"/>
    <w:rsid w:val="002933D8"/>
    <w:rsid w:val="00293403"/>
    <w:rsid w:val="002934B7"/>
    <w:rsid w:val="002934C5"/>
    <w:rsid w:val="00293573"/>
    <w:rsid w:val="002935E9"/>
    <w:rsid w:val="00293606"/>
    <w:rsid w:val="002938CA"/>
    <w:rsid w:val="002939EE"/>
    <w:rsid w:val="002939F1"/>
    <w:rsid w:val="00293AE1"/>
    <w:rsid w:val="00293FF2"/>
    <w:rsid w:val="00294047"/>
    <w:rsid w:val="002941D8"/>
    <w:rsid w:val="0029448E"/>
    <w:rsid w:val="002947C4"/>
    <w:rsid w:val="002947DD"/>
    <w:rsid w:val="00294C4E"/>
    <w:rsid w:val="00294F04"/>
    <w:rsid w:val="00295250"/>
    <w:rsid w:val="0029544A"/>
    <w:rsid w:val="00295BF2"/>
    <w:rsid w:val="0029615F"/>
    <w:rsid w:val="0029626C"/>
    <w:rsid w:val="0029636D"/>
    <w:rsid w:val="00296420"/>
    <w:rsid w:val="002968B1"/>
    <w:rsid w:val="00296FCA"/>
    <w:rsid w:val="002970A0"/>
    <w:rsid w:val="00297180"/>
    <w:rsid w:val="00297346"/>
    <w:rsid w:val="002976CE"/>
    <w:rsid w:val="00297794"/>
    <w:rsid w:val="002979EF"/>
    <w:rsid w:val="00297AA7"/>
    <w:rsid w:val="00297B0A"/>
    <w:rsid w:val="00297D4E"/>
    <w:rsid w:val="00297D57"/>
    <w:rsid w:val="00297E0F"/>
    <w:rsid w:val="002A0A18"/>
    <w:rsid w:val="002A0B96"/>
    <w:rsid w:val="002A0BAC"/>
    <w:rsid w:val="002A0C65"/>
    <w:rsid w:val="002A0DA3"/>
    <w:rsid w:val="002A0DB8"/>
    <w:rsid w:val="002A0E91"/>
    <w:rsid w:val="002A0FEE"/>
    <w:rsid w:val="002A150B"/>
    <w:rsid w:val="002A1749"/>
    <w:rsid w:val="002A1BAB"/>
    <w:rsid w:val="002A1CA1"/>
    <w:rsid w:val="002A1DF7"/>
    <w:rsid w:val="002A1E5C"/>
    <w:rsid w:val="002A1F8D"/>
    <w:rsid w:val="002A223F"/>
    <w:rsid w:val="002A2A2B"/>
    <w:rsid w:val="002A2A8F"/>
    <w:rsid w:val="002A2BAB"/>
    <w:rsid w:val="002A2C62"/>
    <w:rsid w:val="002A2CA3"/>
    <w:rsid w:val="002A2DAB"/>
    <w:rsid w:val="002A2DE7"/>
    <w:rsid w:val="002A2F0F"/>
    <w:rsid w:val="002A2F7A"/>
    <w:rsid w:val="002A2F93"/>
    <w:rsid w:val="002A31E8"/>
    <w:rsid w:val="002A32E4"/>
    <w:rsid w:val="002A33E3"/>
    <w:rsid w:val="002A3568"/>
    <w:rsid w:val="002A36A4"/>
    <w:rsid w:val="002A3750"/>
    <w:rsid w:val="002A37A9"/>
    <w:rsid w:val="002A3956"/>
    <w:rsid w:val="002A3B6C"/>
    <w:rsid w:val="002A3B8D"/>
    <w:rsid w:val="002A3D1F"/>
    <w:rsid w:val="002A3D35"/>
    <w:rsid w:val="002A3D75"/>
    <w:rsid w:val="002A3DDD"/>
    <w:rsid w:val="002A4107"/>
    <w:rsid w:val="002A4233"/>
    <w:rsid w:val="002A4344"/>
    <w:rsid w:val="002A45EC"/>
    <w:rsid w:val="002A4C8F"/>
    <w:rsid w:val="002A4E09"/>
    <w:rsid w:val="002A4E68"/>
    <w:rsid w:val="002A50F6"/>
    <w:rsid w:val="002A5207"/>
    <w:rsid w:val="002A5950"/>
    <w:rsid w:val="002A5970"/>
    <w:rsid w:val="002A5E33"/>
    <w:rsid w:val="002A5F3D"/>
    <w:rsid w:val="002A6005"/>
    <w:rsid w:val="002A607B"/>
    <w:rsid w:val="002A6093"/>
    <w:rsid w:val="002A65A8"/>
    <w:rsid w:val="002A65F8"/>
    <w:rsid w:val="002A6750"/>
    <w:rsid w:val="002A6A58"/>
    <w:rsid w:val="002A6BA4"/>
    <w:rsid w:val="002A6DA2"/>
    <w:rsid w:val="002A7104"/>
    <w:rsid w:val="002A72C6"/>
    <w:rsid w:val="002A72FF"/>
    <w:rsid w:val="002A7374"/>
    <w:rsid w:val="002A74CE"/>
    <w:rsid w:val="002A756E"/>
    <w:rsid w:val="002A76F6"/>
    <w:rsid w:val="002A77D8"/>
    <w:rsid w:val="002A7802"/>
    <w:rsid w:val="002A78C3"/>
    <w:rsid w:val="002A79DD"/>
    <w:rsid w:val="002A7B5D"/>
    <w:rsid w:val="002A7C50"/>
    <w:rsid w:val="002A7FC0"/>
    <w:rsid w:val="002B004E"/>
    <w:rsid w:val="002B00F0"/>
    <w:rsid w:val="002B0115"/>
    <w:rsid w:val="002B0143"/>
    <w:rsid w:val="002B03F0"/>
    <w:rsid w:val="002B0461"/>
    <w:rsid w:val="002B04DA"/>
    <w:rsid w:val="002B052E"/>
    <w:rsid w:val="002B0661"/>
    <w:rsid w:val="002B0A14"/>
    <w:rsid w:val="002B0A48"/>
    <w:rsid w:val="002B0AC6"/>
    <w:rsid w:val="002B0B70"/>
    <w:rsid w:val="002B0C0D"/>
    <w:rsid w:val="002B0EE6"/>
    <w:rsid w:val="002B0FD4"/>
    <w:rsid w:val="002B110F"/>
    <w:rsid w:val="002B1175"/>
    <w:rsid w:val="002B13BB"/>
    <w:rsid w:val="002B1613"/>
    <w:rsid w:val="002B180E"/>
    <w:rsid w:val="002B1D0C"/>
    <w:rsid w:val="002B1F07"/>
    <w:rsid w:val="002B1FE5"/>
    <w:rsid w:val="002B201A"/>
    <w:rsid w:val="002B2025"/>
    <w:rsid w:val="002B23E5"/>
    <w:rsid w:val="002B24F4"/>
    <w:rsid w:val="002B26D7"/>
    <w:rsid w:val="002B27A7"/>
    <w:rsid w:val="002B27CB"/>
    <w:rsid w:val="002B31ED"/>
    <w:rsid w:val="002B341E"/>
    <w:rsid w:val="002B369E"/>
    <w:rsid w:val="002B36A7"/>
    <w:rsid w:val="002B36B6"/>
    <w:rsid w:val="002B37D1"/>
    <w:rsid w:val="002B3A19"/>
    <w:rsid w:val="002B3C61"/>
    <w:rsid w:val="002B3CA0"/>
    <w:rsid w:val="002B4540"/>
    <w:rsid w:val="002B4675"/>
    <w:rsid w:val="002B4D6B"/>
    <w:rsid w:val="002B5026"/>
    <w:rsid w:val="002B5420"/>
    <w:rsid w:val="002B5550"/>
    <w:rsid w:val="002B5639"/>
    <w:rsid w:val="002B569A"/>
    <w:rsid w:val="002B58BA"/>
    <w:rsid w:val="002B58D6"/>
    <w:rsid w:val="002B59E5"/>
    <w:rsid w:val="002B5A42"/>
    <w:rsid w:val="002B5B51"/>
    <w:rsid w:val="002B5BE8"/>
    <w:rsid w:val="002B5C85"/>
    <w:rsid w:val="002B5FD2"/>
    <w:rsid w:val="002B6298"/>
    <w:rsid w:val="002B6392"/>
    <w:rsid w:val="002B6485"/>
    <w:rsid w:val="002B6A9C"/>
    <w:rsid w:val="002B6B24"/>
    <w:rsid w:val="002B6BBC"/>
    <w:rsid w:val="002B6DB5"/>
    <w:rsid w:val="002B6DF0"/>
    <w:rsid w:val="002B6FDB"/>
    <w:rsid w:val="002B711E"/>
    <w:rsid w:val="002B71CB"/>
    <w:rsid w:val="002B721C"/>
    <w:rsid w:val="002B72C0"/>
    <w:rsid w:val="002B7314"/>
    <w:rsid w:val="002B73BB"/>
    <w:rsid w:val="002B73F4"/>
    <w:rsid w:val="002B74FD"/>
    <w:rsid w:val="002B78EF"/>
    <w:rsid w:val="002B7CC6"/>
    <w:rsid w:val="002B7EBB"/>
    <w:rsid w:val="002B7F2A"/>
    <w:rsid w:val="002C0187"/>
    <w:rsid w:val="002C0284"/>
    <w:rsid w:val="002C0462"/>
    <w:rsid w:val="002C058E"/>
    <w:rsid w:val="002C086D"/>
    <w:rsid w:val="002C0898"/>
    <w:rsid w:val="002C08D3"/>
    <w:rsid w:val="002C091D"/>
    <w:rsid w:val="002C0984"/>
    <w:rsid w:val="002C0A8E"/>
    <w:rsid w:val="002C0B23"/>
    <w:rsid w:val="002C0CCD"/>
    <w:rsid w:val="002C0E69"/>
    <w:rsid w:val="002C0EC3"/>
    <w:rsid w:val="002C0F83"/>
    <w:rsid w:val="002C0F8E"/>
    <w:rsid w:val="002C1174"/>
    <w:rsid w:val="002C129D"/>
    <w:rsid w:val="002C12FA"/>
    <w:rsid w:val="002C1373"/>
    <w:rsid w:val="002C137E"/>
    <w:rsid w:val="002C14E2"/>
    <w:rsid w:val="002C16D0"/>
    <w:rsid w:val="002C1BB8"/>
    <w:rsid w:val="002C1C7B"/>
    <w:rsid w:val="002C1D9F"/>
    <w:rsid w:val="002C274D"/>
    <w:rsid w:val="002C287B"/>
    <w:rsid w:val="002C308C"/>
    <w:rsid w:val="002C325A"/>
    <w:rsid w:val="002C364F"/>
    <w:rsid w:val="002C36C1"/>
    <w:rsid w:val="002C3757"/>
    <w:rsid w:val="002C39CA"/>
    <w:rsid w:val="002C3AE6"/>
    <w:rsid w:val="002C3C38"/>
    <w:rsid w:val="002C3D94"/>
    <w:rsid w:val="002C3DA5"/>
    <w:rsid w:val="002C3ED6"/>
    <w:rsid w:val="002C411B"/>
    <w:rsid w:val="002C4470"/>
    <w:rsid w:val="002C4574"/>
    <w:rsid w:val="002C45CF"/>
    <w:rsid w:val="002C473E"/>
    <w:rsid w:val="002C494D"/>
    <w:rsid w:val="002C4AEB"/>
    <w:rsid w:val="002C4BFE"/>
    <w:rsid w:val="002C4C74"/>
    <w:rsid w:val="002C4C9E"/>
    <w:rsid w:val="002C4CB8"/>
    <w:rsid w:val="002C4DED"/>
    <w:rsid w:val="002C4E3E"/>
    <w:rsid w:val="002C4E78"/>
    <w:rsid w:val="002C512A"/>
    <w:rsid w:val="002C512F"/>
    <w:rsid w:val="002C5484"/>
    <w:rsid w:val="002C54F4"/>
    <w:rsid w:val="002C574B"/>
    <w:rsid w:val="002C58B7"/>
    <w:rsid w:val="002C5EF9"/>
    <w:rsid w:val="002C5FA8"/>
    <w:rsid w:val="002C6159"/>
    <w:rsid w:val="002C628F"/>
    <w:rsid w:val="002C6355"/>
    <w:rsid w:val="002C64BD"/>
    <w:rsid w:val="002C699B"/>
    <w:rsid w:val="002C69A3"/>
    <w:rsid w:val="002C6A16"/>
    <w:rsid w:val="002C6ACF"/>
    <w:rsid w:val="002C6E59"/>
    <w:rsid w:val="002C72A2"/>
    <w:rsid w:val="002C74BC"/>
    <w:rsid w:val="002C7639"/>
    <w:rsid w:val="002C7648"/>
    <w:rsid w:val="002C79F7"/>
    <w:rsid w:val="002C7A04"/>
    <w:rsid w:val="002C7AD2"/>
    <w:rsid w:val="002C7BEC"/>
    <w:rsid w:val="002C7EA3"/>
    <w:rsid w:val="002D034C"/>
    <w:rsid w:val="002D0788"/>
    <w:rsid w:val="002D0871"/>
    <w:rsid w:val="002D08F7"/>
    <w:rsid w:val="002D0936"/>
    <w:rsid w:val="002D0AAF"/>
    <w:rsid w:val="002D0BB4"/>
    <w:rsid w:val="002D0C15"/>
    <w:rsid w:val="002D0D1F"/>
    <w:rsid w:val="002D0DAA"/>
    <w:rsid w:val="002D1086"/>
    <w:rsid w:val="002D108F"/>
    <w:rsid w:val="002D1478"/>
    <w:rsid w:val="002D147E"/>
    <w:rsid w:val="002D149D"/>
    <w:rsid w:val="002D14DA"/>
    <w:rsid w:val="002D156C"/>
    <w:rsid w:val="002D15B4"/>
    <w:rsid w:val="002D16E7"/>
    <w:rsid w:val="002D1789"/>
    <w:rsid w:val="002D1ABC"/>
    <w:rsid w:val="002D1AC6"/>
    <w:rsid w:val="002D1D39"/>
    <w:rsid w:val="002D1D67"/>
    <w:rsid w:val="002D1E15"/>
    <w:rsid w:val="002D1F31"/>
    <w:rsid w:val="002D1F87"/>
    <w:rsid w:val="002D21DB"/>
    <w:rsid w:val="002D22AE"/>
    <w:rsid w:val="002D2441"/>
    <w:rsid w:val="002D27D5"/>
    <w:rsid w:val="002D293F"/>
    <w:rsid w:val="002D294B"/>
    <w:rsid w:val="002D2AEB"/>
    <w:rsid w:val="002D2C63"/>
    <w:rsid w:val="002D2DAA"/>
    <w:rsid w:val="002D2DC5"/>
    <w:rsid w:val="002D2E80"/>
    <w:rsid w:val="002D2F63"/>
    <w:rsid w:val="002D2F8C"/>
    <w:rsid w:val="002D2FF7"/>
    <w:rsid w:val="002D31C5"/>
    <w:rsid w:val="002D3224"/>
    <w:rsid w:val="002D3321"/>
    <w:rsid w:val="002D3435"/>
    <w:rsid w:val="002D36CE"/>
    <w:rsid w:val="002D3798"/>
    <w:rsid w:val="002D386C"/>
    <w:rsid w:val="002D3D5C"/>
    <w:rsid w:val="002D3F11"/>
    <w:rsid w:val="002D401B"/>
    <w:rsid w:val="002D4443"/>
    <w:rsid w:val="002D4B61"/>
    <w:rsid w:val="002D4FB7"/>
    <w:rsid w:val="002D5480"/>
    <w:rsid w:val="002D5510"/>
    <w:rsid w:val="002D5668"/>
    <w:rsid w:val="002D56A6"/>
    <w:rsid w:val="002D58CD"/>
    <w:rsid w:val="002D5B90"/>
    <w:rsid w:val="002D5DE3"/>
    <w:rsid w:val="002D61A0"/>
    <w:rsid w:val="002D66F9"/>
    <w:rsid w:val="002D6934"/>
    <w:rsid w:val="002D6BCB"/>
    <w:rsid w:val="002D73E6"/>
    <w:rsid w:val="002D7467"/>
    <w:rsid w:val="002D747A"/>
    <w:rsid w:val="002D7607"/>
    <w:rsid w:val="002D7757"/>
    <w:rsid w:val="002D7775"/>
    <w:rsid w:val="002D7EC5"/>
    <w:rsid w:val="002E02D7"/>
    <w:rsid w:val="002E0320"/>
    <w:rsid w:val="002E0344"/>
    <w:rsid w:val="002E09DC"/>
    <w:rsid w:val="002E0E3A"/>
    <w:rsid w:val="002E0ECF"/>
    <w:rsid w:val="002E11CB"/>
    <w:rsid w:val="002E12BA"/>
    <w:rsid w:val="002E1535"/>
    <w:rsid w:val="002E1599"/>
    <w:rsid w:val="002E15C8"/>
    <w:rsid w:val="002E15E9"/>
    <w:rsid w:val="002E2004"/>
    <w:rsid w:val="002E21E7"/>
    <w:rsid w:val="002E227A"/>
    <w:rsid w:val="002E25AD"/>
    <w:rsid w:val="002E25ED"/>
    <w:rsid w:val="002E29A2"/>
    <w:rsid w:val="002E2AE7"/>
    <w:rsid w:val="002E2BD1"/>
    <w:rsid w:val="002E2CE6"/>
    <w:rsid w:val="002E2EC7"/>
    <w:rsid w:val="002E30C8"/>
    <w:rsid w:val="002E3126"/>
    <w:rsid w:val="002E3377"/>
    <w:rsid w:val="002E3433"/>
    <w:rsid w:val="002E3756"/>
    <w:rsid w:val="002E3801"/>
    <w:rsid w:val="002E3880"/>
    <w:rsid w:val="002E39F0"/>
    <w:rsid w:val="002E3A45"/>
    <w:rsid w:val="002E3B7D"/>
    <w:rsid w:val="002E3E16"/>
    <w:rsid w:val="002E3E23"/>
    <w:rsid w:val="002E4065"/>
    <w:rsid w:val="002E41AC"/>
    <w:rsid w:val="002E428E"/>
    <w:rsid w:val="002E43E7"/>
    <w:rsid w:val="002E4404"/>
    <w:rsid w:val="002E45C4"/>
    <w:rsid w:val="002E4A86"/>
    <w:rsid w:val="002E4ACB"/>
    <w:rsid w:val="002E4BB1"/>
    <w:rsid w:val="002E4CCB"/>
    <w:rsid w:val="002E4DE1"/>
    <w:rsid w:val="002E4E7C"/>
    <w:rsid w:val="002E4FCD"/>
    <w:rsid w:val="002E4FD9"/>
    <w:rsid w:val="002E4FED"/>
    <w:rsid w:val="002E5041"/>
    <w:rsid w:val="002E5095"/>
    <w:rsid w:val="002E52C4"/>
    <w:rsid w:val="002E52D0"/>
    <w:rsid w:val="002E53C9"/>
    <w:rsid w:val="002E55E6"/>
    <w:rsid w:val="002E572C"/>
    <w:rsid w:val="002E5741"/>
    <w:rsid w:val="002E5754"/>
    <w:rsid w:val="002E57F9"/>
    <w:rsid w:val="002E580C"/>
    <w:rsid w:val="002E5B25"/>
    <w:rsid w:val="002E5C23"/>
    <w:rsid w:val="002E5C78"/>
    <w:rsid w:val="002E5E46"/>
    <w:rsid w:val="002E602E"/>
    <w:rsid w:val="002E645B"/>
    <w:rsid w:val="002E6517"/>
    <w:rsid w:val="002E65EE"/>
    <w:rsid w:val="002E66FF"/>
    <w:rsid w:val="002E6FED"/>
    <w:rsid w:val="002E729E"/>
    <w:rsid w:val="002E72D4"/>
    <w:rsid w:val="002E7350"/>
    <w:rsid w:val="002E7470"/>
    <w:rsid w:val="002E7481"/>
    <w:rsid w:val="002E75A7"/>
    <w:rsid w:val="002E75BB"/>
    <w:rsid w:val="002E761B"/>
    <w:rsid w:val="002E78AD"/>
    <w:rsid w:val="002E793F"/>
    <w:rsid w:val="002E7A75"/>
    <w:rsid w:val="002E7F67"/>
    <w:rsid w:val="002E7FB6"/>
    <w:rsid w:val="002F0009"/>
    <w:rsid w:val="002F011C"/>
    <w:rsid w:val="002F017C"/>
    <w:rsid w:val="002F0675"/>
    <w:rsid w:val="002F0726"/>
    <w:rsid w:val="002F09D8"/>
    <w:rsid w:val="002F0A5C"/>
    <w:rsid w:val="002F0D38"/>
    <w:rsid w:val="002F0D94"/>
    <w:rsid w:val="002F111F"/>
    <w:rsid w:val="002F14AF"/>
    <w:rsid w:val="002F172A"/>
    <w:rsid w:val="002F18D5"/>
    <w:rsid w:val="002F19DE"/>
    <w:rsid w:val="002F1A04"/>
    <w:rsid w:val="002F1FB3"/>
    <w:rsid w:val="002F1FB9"/>
    <w:rsid w:val="002F2078"/>
    <w:rsid w:val="002F2262"/>
    <w:rsid w:val="002F2351"/>
    <w:rsid w:val="002F2543"/>
    <w:rsid w:val="002F255A"/>
    <w:rsid w:val="002F2AED"/>
    <w:rsid w:val="002F2DA5"/>
    <w:rsid w:val="002F2E2B"/>
    <w:rsid w:val="002F2EC4"/>
    <w:rsid w:val="002F2FED"/>
    <w:rsid w:val="002F32A5"/>
    <w:rsid w:val="002F3501"/>
    <w:rsid w:val="002F3507"/>
    <w:rsid w:val="002F38A7"/>
    <w:rsid w:val="002F3EDB"/>
    <w:rsid w:val="002F416F"/>
    <w:rsid w:val="002F4222"/>
    <w:rsid w:val="002F42DD"/>
    <w:rsid w:val="002F4346"/>
    <w:rsid w:val="002F4347"/>
    <w:rsid w:val="002F4454"/>
    <w:rsid w:val="002F4493"/>
    <w:rsid w:val="002F45BB"/>
    <w:rsid w:val="002F46C0"/>
    <w:rsid w:val="002F473E"/>
    <w:rsid w:val="002F49CA"/>
    <w:rsid w:val="002F4A5A"/>
    <w:rsid w:val="002F4B1D"/>
    <w:rsid w:val="002F4F18"/>
    <w:rsid w:val="002F4F44"/>
    <w:rsid w:val="002F4F5E"/>
    <w:rsid w:val="002F5494"/>
    <w:rsid w:val="002F54BA"/>
    <w:rsid w:val="002F564B"/>
    <w:rsid w:val="002F5779"/>
    <w:rsid w:val="002F5834"/>
    <w:rsid w:val="002F583F"/>
    <w:rsid w:val="002F58B0"/>
    <w:rsid w:val="002F6060"/>
    <w:rsid w:val="002F60D2"/>
    <w:rsid w:val="002F622C"/>
    <w:rsid w:val="002F62B3"/>
    <w:rsid w:val="002F6355"/>
    <w:rsid w:val="002F63D5"/>
    <w:rsid w:val="002F63DD"/>
    <w:rsid w:val="002F644C"/>
    <w:rsid w:val="002F64AE"/>
    <w:rsid w:val="002F671A"/>
    <w:rsid w:val="002F67A9"/>
    <w:rsid w:val="002F6997"/>
    <w:rsid w:val="002F6A8E"/>
    <w:rsid w:val="002F6ACB"/>
    <w:rsid w:val="002F6D87"/>
    <w:rsid w:val="002F6F73"/>
    <w:rsid w:val="002F6F92"/>
    <w:rsid w:val="002F6FC0"/>
    <w:rsid w:val="002F728D"/>
    <w:rsid w:val="002F72D6"/>
    <w:rsid w:val="002F7386"/>
    <w:rsid w:val="002F73B5"/>
    <w:rsid w:val="002F7469"/>
    <w:rsid w:val="002F7573"/>
    <w:rsid w:val="002F7777"/>
    <w:rsid w:val="002F7960"/>
    <w:rsid w:val="002F7ACA"/>
    <w:rsid w:val="002F7B96"/>
    <w:rsid w:val="002F7C13"/>
    <w:rsid w:val="002F7D10"/>
    <w:rsid w:val="002F7DD5"/>
    <w:rsid w:val="002F7F54"/>
    <w:rsid w:val="0030039E"/>
    <w:rsid w:val="00300401"/>
    <w:rsid w:val="00300404"/>
    <w:rsid w:val="0030054D"/>
    <w:rsid w:val="003005DE"/>
    <w:rsid w:val="0030066A"/>
    <w:rsid w:val="003007A8"/>
    <w:rsid w:val="0030099E"/>
    <w:rsid w:val="00300B2A"/>
    <w:rsid w:val="00300DB4"/>
    <w:rsid w:val="00300F79"/>
    <w:rsid w:val="00300FB3"/>
    <w:rsid w:val="003010C7"/>
    <w:rsid w:val="00301187"/>
    <w:rsid w:val="003013C9"/>
    <w:rsid w:val="00301451"/>
    <w:rsid w:val="003014E1"/>
    <w:rsid w:val="0030155C"/>
    <w:rsid w:val="0030167D"/>
    <w:rsid w:val="0030172F"/>
    <w:rsid w:val="00301828"/>
    <w:rsid w:val="00301A13"/>
    <w:rsid w:val="00301F3F"/>
    <w:rsid w:val="0030200B"/>
    <w:rsid w:val="003022A5"/>
    <w:rsid w:val="00302309"/>
    <w:rsid w:val="00302363"/>
    <w:rsid w:val="00302423"/>
    <w:rsid w:val="0030247F"/>
    <w:rsid w:val="003025BD"/>
    <w:rsid w:val="0030266A"/>
    <w:rsid w:val="00302836"/>
    <w:rsid w:val="0030283B"/>
    <w:rsid w:val="00302B1C"/>
    <w:rsid w:val="00302C35"/>
    <w:rsid w:val="00302FBE"/>
    <w:rsid w:val="003032FE"/>
    <w:rsid w:val="0030354C"/>
    <w:rsid w:val="0030359D"/>
    <w:rsid w:val="00303A58"/>
    <w:rsid w:val="00303DA5"/>
    <w:rsid w:val="00303EF8"/>
    <w:rsid w:val="00303F37"/>
    <w:rsid w:val="00303FC1"/>
    <w:rsid w:val="00303FC6"/>
    <w:rsid w:val="00304038"/>
    <w:rsid w:val="00304241"/>
    <w:rsid w:val="0030439A"/>
    <w:rsid w:val="003044C7"/>
    <w:rsid w:val="003045A8"/>
    <w:rsid w:val="00304871"/>
    <w:rsid w:val="003049B1"/>
    <w:rsid w:val="00304AF0"/>
    <w:rsid w:val="00304BFF"/>
    <w:rsid w:val="00305057"/>
    <w:rsid w:val="003050A2"/>
    <w:rsid w:val="00305178"/>
    <w:rsid w:val="0030547E"/>
    <w:rsid w:val="00305708"/>
    <w:rsid w:val="003057AB"/>
    <w:rsid w:val="00305A1A"/>
    <w:rsid w:val="00305CB6"/>
    <w:rsid w:val="00305ED9"/>
    <w:rsid w:val="00306443"/>
    <w:rsid w:val="00306553"/>
    <w:rsid w:val="0030663A"/>
    <w:rsid w:val="00306769"/>
    <w:rsid w:val="00306776"/>
    <w:rsid w:val="003067CF"/>
    <w:rsid w:val="00306875"/>
    <w:rsid w:val="003068B1"/>
    <w:rsid w:val="003068D2"/>
    <w:rsid w:val="00306901"/>
    <w:rsid w:val="00306902"/>
    <w:rsid w:val="00306B50"/>
    <w:rsid w:val="00306C2F"/>
    <w:rsid w:val="00306FDE"/>
    <w:rsid w:val="00307173"/>
    <w:rsid w:val="0030721A"/>
    <w:rsid w:val="00307433"/>
    <w:rsid w:val="00307666"/>
    <w:rsid w:val="00307815"/>
    <w:rsid w:val="00307BC3"/>
    <w:rsid w:val="003100EA"/>
    <w:rsid w:val="00310131"/>
    <w:rsid w:val="0031042B"/>
    <w:rsid w:val="00310879"/>
    <w:rsid w:val="003108D7"/>
    <w:rsid w:val="00310970"/>
    <w:rsid w:val="0031099E"/>
    <w:rsid w:val="00310A02"/>
    <w:rsid w:val="00310C3D"/>
    <w:rsid w:val="00310E19"/>
    <w:rsid w:val="00311179"/>
    <w:rsid w:val="003112E5"/>
    <w:rsid w:val="00311323"/>
    <w:rsid w:val="00311580"/>
    <w:rsid w:val="0031159E"/>
    <w:rsid w:val="003118B2"/>
    <w:rsid w:val="003118CD"/>
    <w:rsid w:val="003119E4"/>
    <w:rsid w:val="00311A86"/>
    <w:rsid w:val="00311B2A"/>
    <w:rsid w:val="00311DA2"/>
    <w:rsid w:val="00311DB8"/>
    <w:rsid w:val="00311F52"/>
    <w:rsid w:val="00312039"/>
    <w:rsid w:val="003121CC"/>
    <w:rsid w:val="003121F2"/>
    <w:rsid w:val="0031221C"/>
    <w:rsid w:val="00312592"/>
    <w:rsid w:val="00312641"/>
    <w:rsid w:val="003127BD"/>
    <w:rsid w:val="0031290D"/>
    <w:rsid w:val="00312ACF"/>
    <w:rsid w:val="00312B74"/>
    <w:rsid w:val="003130F0"/>
    <w:rsid w:val="00313105"/>
    <w:rsid w:val="003139A0"/>
    <w:rsid w:val="00313B95"/>
    <w:rsid w:val="00314211"/>
    <w:rsid w:val="0031428A"/>
    <w:rsid w:val="003144C2"/>
    <w:rsid w:val="003146A1"/>
    <w:rsid w:val="00314B4D"/>
    <w:rsid w:val="00314E5C"/>
    <w:rsid w:val="00315188"/>
    <w:rsid w:val="003152C6"/>
    <w:rsid w:val="00315329"/>
    <w:rsid w:val="00315419"/>
    <w:rsid w:val="003157A2"/>
    <w:rsid w:val="003157B9"/>
    <w:rsid w:val="00315921"/>
    <w:rsid w:val="00315A0B"/>
    <w:rsid w:val="00315C1E"/>
    <w:rsid w:val="00315C3A"/>
    <w:rsid w:val="00315EA4"/>
    <w:rsid w:val="003161D2"/>
    <w:rsid w:val="003161DA"/>
    <w:rsid w:val="0031645B"/>
    <w:rsid w:val="0031645E"/>
    <w:rsid w:val="003164D6"/>
    <w:rsid w:val="003166F9"/>
    <w:rsid w:val="00316A48"/>
    <w:rsid w:val="00316AA8"/>
    <w:rsid w:val="00316CFB"/>
    <w:rsid w:val="00316DAD"/>
    <w:rsid w:val="00316E0D"/>
    <w:rsid w:val="00316F29"/>
    <w:rsid w:val="00316F34"/>
    <w:rsid w:val="00317063"/>
    <w:rsid w:val="003170B4"/>
    <w:rsid w:val="003170D3"/>
    <w:rsid w:val="0031741A"/>
    <w:rsid w:val="0031750A"/>
    <w:rsid w:val="003176C7"/>
    <w:rsid w:val="00317935"/>
    <w:rsid w:val="00317943"/>
    <w:rsid w:val="0031797B"/>
    <w:rsid w:val="00317AAA"/>
    <w:rsid w:val="00317B89"/>
    <w:rsid w:val="00317B97"/>
    <w:rsid w:val="00317BBE"/>
    <w:rsid w:val="00317CF9"/>
    <w:rsid w:val="00317DB8"/>
    <w:rsid w:val="00317DEE"/>
    <w:rsid w:val="00317F17"/>
    <w:rsid w:val="003200D6"/>
    <w:rsid w:val="00320236"/>
    <w:rsid w:val="00320282"/>
    <w:rsid w:val="0032068C"/>
    <w:rsid w:val="00320723"/>
    <w:rsid w:val="00320A00"/>
    <w:rsid w:val="00320B14"/>
    <w:rsid w:val="00320BF3"/>
    <w:rsid w:val="00320D0D"/>
    <w:rsid w:val="00320D2D"/>
    <w:rsid w:val="00320E4E"/>
    <w:rsid w:val="00320E87"/>
    <w:rsid w:val="0032137A"/>
    <w:rsid w:val="0032181D"/>
    <w:rsid w:val="003218A2"/>
    <w:rsid w:val="00321A83"/>
    <w:rsid w:val="00321C62"/>
    <w:rsid w:val="00321DEF"/>
    <w:rsid w:val="00321EBA"/>
    <w:rsid w:val="00321F69"/>
    <w:rsid w:val="0032237F"/>
    <w:rsid w:val="003223ED"/>
    <w:rsid w:val="00322495"/>
    <w:rsid w:val="003225A1"/>
    <w:rsid w:val="00322662"/>
    <w:rsid w:val="00322685"/>
    <w:rsid w:val="0032276D"/>
    <w:rsid w:val="0032295B"/>
    <w:rsid w:val="00322B26"/>
    <w:rsid w:val="00322B47"/>
    <w:rsid w:val="00322CBE"/>
    <w:rsid w:val="0032301D"/>
    <w:rsid w:val="003230B8"/>
    <w:rsid w:val="00323138"/>
    <w:rsid w:val="003232C7"/>
    <w:rsid w:val="0032345D"/>
    <w:rsid w:val="00323635"/>
    <w:rsid w:val="0032379A"/>
    <w:rsid w:val="003237C8"/>
    <w:rsid w:val="003237FC"/>
    <w:rsid w:val="00323BEF"/>
    <w:rsid w:val="00323C7F"/>
    <w:rsid w:val="003240B2"/>
    <w:rsid w:val="0032443F"/>
    <w:rsid w:val="003244B9"/>
    <w:rsid w:val="00324936"/>
    <w:rsid w:val="0032494B"/>
    <w:rsid w:val="00324AA2"/>
    <w:rsid w:val="00324D0D"/>
    <w:rsid w:val="00324E06"/>
    <w:rsid w:val="003250D0"/>
    <w:rsid w:val="00325162"/>
    <w:rsid w:val="00325866"/>
    <w:rsid w:val="00325913"/>
    <w:rsid w:val="00325A58"/>
    <w:rsid w:val="00325ED3"/>
    <w:rsid w:val="00326476"/>
    <w:rsid w:val="003265D4"/>
    <w:rsid w:val="003266C5"/>
    <w:rsid w:val="00326A5B"/>
    <w:rsid w:val="00326B73"/>
    <w:rsid w:val="00326DF2"/>
    <w:rsid w:val="00326EAB"/>
    <w:rsid w:val="00326F81"/>
    <w:rsid w:val="003271E0"/>
    <w:rsid w:val="00327210"/>
    <w:rsid w:val="0032736C"/>
    <w:rsid w:val="003274E6"/>
    <w:rsid w:val="00327597"/>
    <w:rsid w:val="00327B4E"/>
    <w:rsid w:val="00327BAA"/>
    <w:rsid w:val="00327E2A"/>
    <w:rsid w:val="003301E6"/>
    <w:rsid w:val="003305BE"/>
    <w:rsid w:val="00330624"/>
    <w:rsid w:val="003307B8"/>
    <w:rsid w:val="00330C04"/>
    <w:rsid w:val="00330CDE"/>
    <w:rsid w:val="003311B6"/>
    <w:rsid w:val="003312B0"/>
    <w:rsid w:val="00331369"/>
    <w:rsid w:val="003315DF"/>
    <w:rsid w:val="00331644"/>
    <w:rsid w:val="00331732"/>
    <w:rsid w:val="00331B30"/>
    <w:rsid w:val="00331B6E"/>
    <w:rsid w:val="00331BDC"/>
    <w:rsid w:val="00331CFC"/>
    <w:rsid w:val="00331D7E"/>
    <w:rsid w:val="00331DC5"/>
    <w:rsid w:val="0033233C"/>
    <w:rsid w:val="00332543"/>
    <w:rsid w:val="0033275D"/>
    <w:rsid w:val="0033295B"/>
    <w:rsid w:val="00332C79"/>
    <w:rsid w:val="00332E05"/>
    <w:rsid w:val="00332E2F"/>
    <w:rsid w:val="0033300E"/>
    <w:rsid w:val="003331C3"/>
    <w:rsid w:val="00333294"/>
    <w:rsid w:val="00333336"/>
    <w:rsid w:val="00333476"/>
    <w:rsid w:val="003334F8"/>
    <w:rsid w:val="003336DE"/>
    <w:rsid w:val="00333779"/>
    <w:rsid w:val="00333858"/>
    <w:rsid w:val="003338CE"/>
    <w:rsid w:val="0033398A"/>
    <w:rsid w:val="00333B31"/>
    <w:rsid w:val="00333B62"/>
    <w:rsid w:val="00333DE4"/>
    <w:rsid w:val="00333E55"/>
    <w:rsid w:val="00333EE7"/>
    <w:rsid w:val="003341B2"/>
    <w:rsid w:val="00334267"/>
    <w:rsid w:val="003343CE"/>
    <w:rsid w:val="0033457B"/>
    <w:rsid w:val="003346C8"/>
    <w:rsid w:val="00334783"/>
    <w:rsid w:val="00334B3B"/>
    <w:rsid w:val="00334C2D"/>
    <w:rsid w:val="00334D00"/>
    <w:rsid w:val="00334D07"/>
    <w:rsid w:val="00334DFC"/>
    <w:rsid w:val="00334F83"/>
    <w:rsid w:val="003350E3"/>
    <w:rsid w:val="0033535E"/>
    <w:rsid w:val="00335666"/>
    <w:rsid w:val="003357CA"/>
    <w:rsid w:val="00335B52"/>
    <w:rsid w:val="00335BB5"/>
    <w:rsid w:val="00335C41"/>
    <w:rsid w:val="00335E48"/>
    <w:rsid w:val="00335EBF"/>
    <w:rsid w:val="00335F88"/>
    <w:rsid w:val="00336311"/>
    <w:rsid w:val="00336334"/>
    <w:rsid w:val="00336347"/>
    <w:rsid w:val="003367D3"/>
    <w:rsid w:val="00336CBF"/>
    <w:rsid w:val="003370D9"/>
    <w:rsid w:val="003370DC"/>
    <w:rsid w:val="00337277"/>
    <w:rsid w:val="003374A0"/>
    <w:rsid w:val="003374D5"/>
    <w:rsid w:val="0033753D"/>
    <w:rsid w:val="00337776"/>
    <w:rsid w:val="003378FA"/>
    <w:rsid w:val="003379B9"/>
    <w:rsid w:val="00337C20"/>
    <w:rsid w:val="00337D03"/>
    <w:rsid w:val="00337D3C"/>
    <w:rsid w:val="0034005D"/>
    <w:rsid w:val="003400AE"/>
    <w:rsid w:val="003400D7"/>
    <w:rsid w:val="003400E4"/>
    <w:rsid w:val="00340386"/>
    <w:rsid w:val="00340A15"/>
    <w:rsid w:val="00340BBF"/>
    <w:rsid w:val="00340F64"/>
    <w:rsid w:val="00340FE7"/>
    <w:rsid w:val="00341092"/>
    <w:rsid w:val="00341238"/>
    <w:rsid w:val="00341450"/>
    <w:rsid w:val="0034173E"/>
    <w:rsid w:val="003419B6"/>
    <w:rsid w:val="00341A2B"/>
    <w:rsid w:val="00341C20"/>
    <w:rsid w:val="00341DCC"/>
    <w:rsid w:val="00342045"/>
    <w:rsid w:val="00342239"/>
    <w:rsid w:val="003422DB"/>
    <w:rsid w:val="00342318"/>
    <w:rsid w:val="00342366"/>
    <w:rsid w:val="003423A8"/>
    <w:rsid w:val="00342507"/>
    <w:rsid w:val="0034290E"/>
    <w:rsid w:val="0034293B"/>
    <w:rsid w:val="00342CC3"/>
    <w:rsid w:val="00342EC1"/>
    <w:rsid w:val="00342FF4"/>
    <w:rsid w:val="00343183"/>
    <w:rsid w:val="00343213"/>
    <w:rsid w:val="0034332F"/>
    <w:rsid w:val="0034335C"/>
    <w:rsid w:val="0034348C"/>
    <w:rsid w:val="00343623"/>
    <w:rsid w:val="00343899"/>
    <w:rsid w:val="003438C3"/>
    <w:rsid w:val="003439A5"/>
    <w:rsid w:val="00343DCB"/>
    <w:rsid w:val="00343E8F"/>
    <w:rsid w:val="00343FBE"/>
    <w:rsid w:val="003440A9"/>
    <w:rsid w:val="003440D5"/>
    <w:rsid w:val="003440FA"/>
    <w:rsid w:val="0034440B"/>
    <w:rsid w:val="00344451"/>
    <w:rsid w:val="00344596"/>
    <w:rsid w:val="003449C7"/>
    <w:rsid w:val="00344A8E"/>
    <w:rsid w:val="00344BE0"/>
    <w:rsid w:val="00344C0A"/>
    <w:rsid w:val="00344D3B"/>
    <w:rsid w:val="00345083"/>
    <w:rsid w:val="0034520B"/>
    <w:rsid w:val="0034559F"/>
    <w:rsid w:val="00345695"/>
    <w:rsid w:val="003456B0"/>
    <w:rsid w:val="0034579F"/>
    <w:rsid w:val="00345A41"/>
    <w:rsid w:val="00345A94"/>
    <w:rsid w:val="003462D0"/>
    <w:rsid w:val="0034633E"/>
    <w:rsid w:val="00346452"/>
    <w:rsid w:val="003464BB"/>
    <w:rsid w:val="00346AC8"/>
    <w:rsid w:val="00346B7F"/>
    <w:rsid w:val="003470E6"/>
    <w:rsid w:val="00347178"/>
    <w:rsid w:val="0034734B"/>
    <w:rsid w:val="003474F4"/>
    <w:rsid w:val="00347530"/>
    <w:rsid w:val="00347B32"/>
    <w:rsid w:val="00347C37"/>
    <w:rsid w:val="00347C4E"/>
    <w:rsid w:val="00347C5D"/>
    <w:rsid w:val="00347D20"/>
    <w:rsid w:val="00347D3F"/>
    <w:rsid w:val="00347D50"/>
    <w:rsid w:val="00347DF4"/>
    <w:rsid w:val="0035038C"/>
    <w:rsid w:val="003503AB"/>
    <w:rsid w:val="003505F6"/>
    <w:rsid w:val="0035089B"/>
    <w:rsid w:val="00350BBA"/>
    <w:rsid w:val="00350C37"/>
    <w:rsid w:val="00350C95"/>
    <w:rsid w:val="00350DEB"/>
    <w:rsid w:val="00350EBE"/>
    <w:rsid w:val="0035125A"/>
    <w:rsid w:val="0035151D"/>
    <w:rsid w:val="003516D4"/>
    <w:rsid w:val="0035197C"/>
    <w:rsid w:val="00351A9D"/>
    <w:rsid w:val="00351B53"/>
    <w:rsid w:val="00351C2E"/>
    <w:rsid w:val="00351F30"/>
    <w:rsid w:val="003521A2"/>
    <w:rsid w:val="003522B0"/>
    <w:rsid w:val="003522DF"/>
    <w:rsid w:val="003524D9"/>
    <w:rsid w:val="00352546"/>
    <w:rsid w:val="003525EB"/>
    <w:rsid w:val="003526FD"/>
    <w:rsid w:val="0035275D"/>
    <w:rsid w:val="00352863"/>
    <w:rsid w:val="00352B7B"/>
    <w:rsid w:val="00352C15"/>
    <w:rsid w:val="00352C5C"/>
    <w:rsid w:val="00352C73"/>
    <w:rsid w:val="00352C8E"/>
    <w:rsid w:val="00352D4C"/>
    <w:rsid w:val="00352D8F"/>
    <w:rsid w:val="00353179"/>
    <w:rsid w:val="003532A7"/>
    <w:rsid w:val="003533A7"/>
    <w:rsid w:val="0035372F"/>
    <w:rsid w:val="00353AAE"/>
    <w:rsid w:val="00353D18"/>
    <w:rsid w:val="003540D8"/>
    <w:rsid w:val="00354167"/>
    <w:rsid w:val="003541DC"/>
    <w:rsid w:val="003544C6"/>
    <w:rsid w:val="0035472A"/>
    <w:rsid w:val="003549D5"/>
    <w:rsid w:val="00354A52"/>
    <w:rsid w:val="00354B32"/>
    <w:rsid w:val="00354BC7"/>
    <w:rsid w:val="00354D36"/>
    <w:rsid w:val="00354FD8"/>
    <w:rsid w:val="003550EC"/>
    <w:rsid w:val="003551FC"/>
    <w:rsid w:val="00355736"/>
    <w:rsid w:val="00355797"/>
    <w:rsid w:val="00355A69"/>
    <w:rsid w:val="00355BC2"/>
    <w:rsid w:val="00355C57"/>
    <w:rsid w:val="00355D91"/>
    <w:rsid w:val="00355E10"/>
    <w:rsid w:val="00355F86"/>
    <w:rsid w:val="003560AA"/>
    <w:rsid w:val="00356280"/>
    <w:rsid w:val="003563A1"/>
    <w:rsid w:val="0035640A"/>
    <w:rsid w:val="00356458"/>
    <w:rsid w:val="003567B7"/>
    <w:rsid w:val="00356893"/>
    <w:rsid w:val="00356E2A"/>
    <w:rsid w:val="00356F1E"/>
    <w:rsid w:val="0035717D"/>
    <w:rsid w:val="003572FC"/>
    <w:rsid w:val="003575C9"/>
    <w:rsid w:val="003577C4"/>
    <w:rsid w:val="0035783F"/>
    <w:rsid w:val="003578B8"/>
    <w:rsid w:val="00357AD7"/>
    <w:rsid w:val="00357D4D"/>
    <w:rsid w:val="00357DBA"/>
    <w:rsid w:val="00357F3A"/>
    <w:rsid w:val="00360020"/>
    <w:rsid w:val="00360041"/>
    <w:rsid w:val="00360043"/>
    <w:rsid w:val="003601E1"/>
    <w:rsid w:val="003602C0"/>
    <w:rsid w:val="003603A3"/>
    <w:rsid w:val="00360575"/>
    <w:rsid w:val="0036076D"/>
    <w:rsid w:val="00360E90"/>
    <w:rsid w:val="0036118A"/>
    <w:rsid w:val="0036125E"/>
    <w:rsid w:val="003614D7"/>
    <w:rsid w:val="0036152A"/>
    <w:rsid w:val="0036155E"/>
    <w:rsid w:val="00361722"/>
    <w:rsid w:val="003617BB"/>
    <w:rsid w:val="00361971"/>
    <w:rsid w:val="00361A95"/>
    <w:rsid w:val="00361B42"/>
    <w:rsid w:val="00361C25"/>
    <w:rsid w:val="0036204B"/>
    <w:rsid w:val="0036260F"/>
    <w:rsid w:val="00362723"/>
    <w:rsid w:val="00362A1F"/>
    <w:rsid w:val="00362F26"/>
    <w:rsid w:val="00363123"/>
    <w:rsid w:val="00363274"/>
    <w:rsid w:val="00363551"/>
    <w:rsid w:val="00363577"/>
    <w:rsid w:val="00363630"/>
    <w:rsid w:val="0036365A"/>
    <w:rsid w:val="00363858"/>
    <w:rsid w:val="00363973"/>
    <w:rsid w:val="00363B42"/>
    <w:rsid w:val="00363CFF"/>
    <w:rsid w:val="00363D61"/>
    <w:rsid w:val="003640AC"/>
    <w:rsid w:val="003640B8"/>
    <w:rsid w:val="0036419F"/>
    <w:rsid w:val="003643FB"/>
    <w:rsid w:val="00364771"/>
    <w:rsid w:val="003647AE"/>
    <w:rsid w:val="0036490A"/>
    <w:rsid w:val="00364ACE"/>
    <w:rsid w:val="00364D1B"/>
    <w:rsid w:val="00364DF4"/>
    <w:rsid w:val="003650FA"/>
    <w:rsid w:val="0036510E"/>
    <w:rsid w:val="00365173"/>
    <w:rsid w:val="003652AF"/>
    <w:rsid w:val="003652F4"/>
    <w:rsid w:val="003653E0"/>
    <w:rsid w:val="0036546E"/>
    <w:rsid w:val="003654DC"/>
    <w:rsid w:val="00365682"/>
    <w:rsid w:val="00365726"/>
    <w:rsid w:val="0036577A"/>
    <w:rsid w:val="00365B05"/>
    <w:rsid w:val="00365B09"/>
    <w:rsid w:val="00365FC1"/>
    <w:rsid w:val="00366073"/>
    <w:rsid w:val="003660CB"/>
    <w:rsid w:val="00366284"/>
    <w:rsid w:val="003663C1"/>
    <w:rsid w:val="00366466"/>
    <w:rsid w:val="0036670D"/>
    <w:rsid w:val="0036671B"/>
    <w:rsid w:val="0036694C"/>
    <w:rsid w:val="00366B96"/>
    <w:rsid w:val="00366D93"/>
    <w:rsid w:val="00366E58"/>
    <w:rsid w:val="003671A2"/>
    <w:rsid w:val="003674ED"/>
    <w:rsid w:val="003675A3"/>
    <w:rsid w:val="00367680"/>
    <w:rsid w:val="00367BB1"/>
    <w:rsid w:val="00367E51"/>
    <w:rsid w:val="00367E79"/>
    <w:rsid w:val="003703C3"/>
    <w:rsid w:val="003704DE"/>
    <w:rsid w:val="003704EE"/>
    <w:rsid w:val="00370869"/>
    <w:rsid w:val="00370C35"/>
    <w:rsid w:val="00370CFD"/>
    <w:rsid w:val="00370FC4"/>
    <w:rsid w:val="00370FDF"/>
    <w:rsid w:val="00371178"/>
    <w:rsid w:val="00371659"/>
    <w:rsid w:val="003719FA"/>
    <w:rsid w:val="00371B9F"/>
    <w:rsid w:val="00371BF4"/>
    <w:rsid w:val="00371CDA"/>
    <w:rsid w:val="00371EED"/>
    <w:rsid w:val="00371F7D"/>
    <w:rsid w:val="00371F85"/>
    <w:rsid w:val="003720C4"/>
    <w:rsid w:val="0037232B"/>
    <w:rsid w:val="003723C3"/>
    <w:rsid w:val="00372994"/>
    <w:rsid w:val="00372C2F"/>
    <w:rsid w:val="00372D4A"/>
    <w:rsid w:val="00372D4C"/>
    <w:rsid w:val="0037309D"/>
    <w:rsid w:val="00373134"/>
    <w:rsid w:val="0037315A"/>
    <w:rsid w:val="00373194"/>
    <w:rsid w:val="00373531"/>
    <w:rsid w:val="00373624"/>
    <w:rsid w:val="0037368F"/>
    <w:rsid w:val="00373735"/>
    <w:rsid w:val="00373747"/>
    <w:rsid w:val="003738EC"/>
    <w:rsid w:val="003739DE"/>
    <w:rsid w:val="00373C29"/>
    <w:rsid w:val="00373CB2"/>
    <w:rsid w:val="00373FA6"/>
    <w:rsid w:val="00374062"/>
    <w:rsid w:val="003745E3"/>
    <w:rsid w:val="0037485A"/>
    <w:rsid w:val="0037485D"/>
    <w:rsid w:val="0037486B"/>
    <w:rsid w:val="00374AE4"/>
    <w:rsid w:val="00375253"/>
    <w:rsid w:val="00375312"/>
    <w:rsid w:val="00375406"/>
    <w:rsid w:val="00375448"/>
    <w:rsid w:val="003755A2"/>
    <w:rsid w:val="003756AD"/>
    <w:rsid w:val="00375770"/>
    <w:rsid w:val="00375804"/>
    <w:rsid w:val="00375954"/>
    <w:rsid w:val="00375A9B"/>
    <w:rsid w:val="00375ABE"/>
    <w:rsid w:val="00375B60"/>
    <w:rsid w:val="00375B8F"/>
    <w:rsid w:val="00375CDC"/>
    <w:rsid w:val="00375D49"/>
    <w:rsid w:val="00375E04"/>
    <w:rsid w:val="00375F62"/>
    <w:rsid w:val="0037626F"/>
    <w:rsid w:val="003762CB"/>
    <w:rsid w:val="0037644A"/>
    <w:rsid w:val="0037645C"/>
    <w:rsid w:val="0037649D"/>
    <w:rsid w:val="003766E8"/>
    <w:rsid w:val="003768AC"/>
    <w:rsid w:val="00376BCB"/>
    <w:rsid w:val="00376F0C"/>
    <w:rsid w:val="00377020"/>
    <w:rsid w:val="00377080"/>
    <w:rsid w:val="00377366"/>
    <w:rsid w:val="00377442"/>
    <w:rsid w:val="00377672"/>
    <w:rsid w:val="003777E7"/>
    <w:rsid w:val="00377B09"/>
    <w:rsid w:val="00377BE3"/>
    <w:rsid w:val="00377DCE"/>
    <w:rsid w:val="00377E8B"/>
    <w:rsid w:val="00377F5A"/>
    <w:rsid w:val="00377FC9"/>
    <w:rsid w:val="0038003F"/>
    <w:rsid w:val="003800B0"/>
    <w:rsid w:val="0038036F"/>
    <w:rsid w:val="003804B8"/>
    <w:rsid w:val="003806E7"/>
    <w:rsid w:val="00380807"/>
    <w:rsid w:val="00380923"/>
    <w:rsid w:val="00380A1F"/>
    <w:rsid w:val="00380A7A"/>
    <w:rsid w:val="00380CDC"/>
    <w:rsid w:val="00380E7E"/>
    <w:rsid w:val="003819ED"/>
    <w:rsid w:val="00381A72"/>
    <w:rsid w:val="00381B7F"/>
    <w:rsid w:val="00381C94"/>
    <w:rsid w:val="00381E36"/>
    <w:rsid w:val="00382046"/>
    <w:rsid w:val="00382309"/>
    <w:rsid w:val="003823D9"/>
    <w:rsid w:val="00382A61"/>
    <w:rsid w:val="00382AEF"/>
    <w:rsid w:val="00382D76"/>
    <w:rsid w:val="00382D7E"/>
    <w:rsid w:val="00382EDE"/>
    <w:rsid w:val="00382F26"/>
    <w:rsid w:val="00382F44"/>
    <w:rsid w:val="0038300B"/>
    <w:rsid w:val="003831D4"/>
    <w:rsid w:val="0038321F"/>
    <w:rsid w:val="00383281"/>
    <w:rsid w:val="0038339F"/>
    <w:rsid w:val="003835DB"/>
    <w:rsid w:val="00383A0D"/>
    <w:rsid w:val="00383ADB"/>
    <w:rsid w:val="00383BFA"/>
    <w:rsid w:val="00383CEB"/>
    <w:rsid w:val="00383F4F"/>
    <w:rsid w:val="0038421C"/>
    <w:rsid w:val="00384244"/>
    <w:rsid w:val="00384432"/>
    <w:rsid w:val="003846AB"/>
    <w:rsid w:val="00384913"/>
    <w:rsid w:val="00384B4C"/>
    <w:rsid w:val="00384EF7"/>
    <w:rsid w:val="003856F7"/>
    <w:rsid w:val="0038572E"/>
    <w:rsid w:val="0038576B"/>
    <w:rsid w:val="00385956"/>
    <w:rsid w:val="0038599A"/>
    <w:rsid w:val="00385A08"/>
    <w:rsid w:val="00385A4D"/>
    <w:rsid w:val="00385BDA"/>
    <w:rsid w:val="00385E66"/>
    <w:rsid w:val="00385ED6"/>
    <w:rsid w:val="00386135"/>
    <w:rsid w:val="0038653F"/>
    <w:rsid w:val="00386E10"/>
    <w:rsid w:val="0038726E"/>
    <w:rsid w:val="003872FE"/>
    <w:rsid w:val="0038763A"/>
    <w:rsid w:val="00387685"/>
    <w:rsid w:val="0038792F"/>
    <w:rsid w:val="00387C9B"/>
    <w:rsid w:val="00387E9A"/>
    <w:rsid w:val="00387F6B"/>
    <w:rsid w:val="00388202"/>
    <w:rsid w:val="0039032A"/>
    <w:rsid w:val="0039040F"/>
    <w:rsid w:val="003904E7"/>
    <w:rsid w:val="0039067E"/>
    <w:rsid w:val="00390CA9"/>
    <w:rsid w:val="00390D1D"/>
    <w:rsid w:val="00390F21"/>
    <w:rsid w:val="003912A8"/>
    <w:rsid w:val="003914E9"/>
    <w:rsid w:val="0039152D"/>
    <w:rsid w:val="0039159C"/>
    <w:rsid w:val="003917FF"/>
    <w:rsid w:val="00391843"/>
    <w:rsid w:val="0039190A"/>
    <w:rsid w:val="00391E60"/>
    <w:rsid w:val="0039223F"/>
    <w:rsid w:val="00392281"/>
    <w:rsid w:val="003922CA"/>
    <w:rsid w:val="0039238C"/>
    <w:rsid w:val="00392572"/>
    <w:rsid w:val="003926D4"/>
    <w:rsid w:val="003926D5"/>
    <w:rsid w:val="00392AE4"/>
    <w:rsid w:val="00392BA6"/>
    <w:rsid w:val="00392E3F"/>
    <w:rsid w:val="00392E6D"/>
    <w:rsid w:val="00392EBE"/>
    <w:rsid w:val="00393097"/>
    <w:rsid w:val="0039316A"/>
    <w:rsid w:val="0039317B"/>
    <w:rsid w:val="003932A7"/>
    <w:rsid w:val="00393315"/>
    <w:rsid w:val="003934EA"/>
    <w:rsid w:val="00393597"/>
    <w:rsid w:val="0039387D"/>
    <w:rsid w:val="003938D1"/>
    <w:rsid w:val="0039393A"/>
    <w:rsid w:val="00393B4B"/>
    <w:rsid w:val="00393E60"/>
    <w:rsid w:val="00393EC7"/>
    <w:rsid w:val="003943A1"/>
    <w:rsid w:val="003945CA"/>
    <w:rsid w:val="0039474C"/>
    <w:rsid w:val="003949EA"/>
    <w:rsid w:val="00394A34"/>
    <w:rsid w:val="00394D93"/>
    <w:rsid w:val="00394EA1"/>
    <w:rsid w:val="00395038"/>
    <w:rsid w:val="003951B7"/>
    <w:rsid w:val="00395239"/>
    <w:rsid w:val="003955CF"/>
    <w:rsid w:val="003958E9"/>
    <w:rsid w:val="00395975"/>
    <w:rsid w:val="003959D8"/>
    <w:rsid w:val="00395B17"/>
    <w:rsid w:val="00395C1C"/>
    <w:rsid w:val="00395FFD"/>
    <w:rsid w:val="00396426"/>
    <w:rsid w:val="00396516"/>
    <w:rsid w:val="0039680C"/>
    <w:rsid w:val="00396A93"/>
    <w:rsid w:val="00396AF5"/>
    <w:rsid w:val="00396E55"/>
    <w:rsid w:val="003970AD"/>
    <w:rsid w:val="003971AC"/>
    <w:rsid w:val="00397545"/>
    <w:rsid w:val="0039755E"/>
    <w:rsid w:val="003975FC"/>
    <w:rsid w:val="0039766C"/>
    <w:rsid w:val="00397999"/>
    <w:rsid w:val="00397A77"/>
    <w:rsid w:val="00397A93"/>
    <w:rsid w:val="00397DD6"/>
    <w:rsid w:val="00397F4B"/>
    <w:rsid w:val="003A0061"/>
    <w:rsid w:val="003A0163"/>
    <w:rsid w:val="003A0358"/>
    <w:rsid w:val="003A05AE"/>
    <w:rsid w:val="003A0A41"/>
    <w:rsid w:val="003A0A7A"/>
    <w:rsid w:val="003A0D50"/>
    <w:rsid w:val="003A0E43"/>
    <w:rsid w:val="003A10A7"/>
    <w:rsid w:val="003A118C"/>
    <w:rsid w:val="003A11A9"/>
    <w:rsid w:val="003A1503"/>
    <w:rsid w:val="003A15A9"/>
    <w:rsid w:val="003A190C"/>
    <w:rsid w:val="003A1ACE"/>
    <w:rsid w:val="003A1D98"/>
    <w:rsid w:val="003A1F48"/>
    <w:rsid w:val="003A1F6E"/>
    <w:rsid w:val="003A200E"/>
    <w:rsid w:val="003A2058"/>
    <w:rsid w:val="003A20AF"/>
    <w:rsid w:val="003A220D"/>
    <w:rsid w:val="003A23CE"/>
    <w:rsid w:val="003A2467"/>
    <w:rsid w:val="003A25C4"/>
    <w:rsid w:val="003A28AD"/>
    <w:rsid w:val="003A29AE"/>
    <w:rsid w:val="003A2AA5"/>
    <w:rsid w:val="003A2B34"/>
    <w:rsid w:val="003A2C2D"/>
    <w:rsid w:val="003A2E9F"/>
    <w:rsid w:val="003A2FA5"/>
    <w:rsid w:val="003A3009"/>
    <w:rsid w:val="003A3052"/>
    <w:rsid w:val="003A3384"/>
    <w:rsid w:val="003A35B3"/>
    <w:rsid w:val="003A3604"/>
    <w:rsid w:val="003A3605"/>
    <w:rsid w:val="003A360A"/>
    <w:rsid w:val="003A37E3"/>
    <w:rsid w:val="003A39F6"/>
    <w:rsid w:val="003A3B55"/>
    <w:rsid w:val="003A3E73"/>
    <w:rsid w:val="003A3EDE"/>
    <w:rsid w:val="003A421E"/>
    <w:rsid w:val="003A4400"/>
    <w:rsid w:val="003A442D"/>
    <w:rsid w:val="003A45A1"/>
    <w:rsid w:val="003A4790"/>
    <w:rsid w:val="003A4AE1"/>
    <w:rsid w:val="003A4C5B"/>
    <w:rsid w:val="003A4FE8"/>
    <w:rsid w:val="003A508F"/>
    <w:rsid w:val="003A5253"/>
    <w:rsid w:val="003A546D"/>
    <w:rsid w:val="003A573E"/>
    <w:rsid w:val="003A57B0"/>
    <w:rsid w:val="003A57CB"/>
    <w:rsid w:val="003A5925"/>
    <w:rsid w:val="003A5B17"/>
    <w:rsid w:val="003A5D70"/>
    <w:rsid w:val="003A5EF4"/>
    <w:rsid w:val="003A5F44"/>
    <w:rsid w:val="003A63BA"/>
    <w:rsid w:val="003A6582"/>
    <w:rsid w:val="003A67E3"/>
    <w:rsid w:val="003A6826"/>
    <w:rsid w:val="003A6B17"/>
    <w:rsid w:val="003A6EC6"/>
    <w:rsid w:val="003A7042"/>
    <w:rsid w:val="003A710A"/>
    <w:rsid w:val="003A7210"/>
    <w:rsid w:val="003A726A"/>
    <w:rsid w:val="003A7327"/>
    <w:rsid w:val="003A7393"/>
    <w:rsid w:val="003A7421"/>
    <w:rsid w:val="003A745D"/>
    <w:rsid w:val="003A762C"/>
    <w:rsid w:val="003A7C04"/>
    <w:rsid w:val="003A7D8D"/>
    <w:rsid w:val="003B00D0"/>
    <w:rsid w:val="003B02EC"/>
    <w:rsid w:val="003B0322"/>
    <w:rsid w:val="003B0516"/>
    <w:rsid w:val="003B06D3"/>
    <w:rsid w:val="003B0815"/>
    <w:rsid w:val="003B0A59"/>
    <w:rsid w:val="003B0BF8"/>
    <w:rsid w:val="003B0C2B"/>
    <w:rsid w:val="003B0C38"/>
    <w:rsid w:val="003B0D01"/>
    <w:rsid w:val="003B0DF2"/>
    <w:rsid w:val="003B0EFA"/>
    <w:rsid w:val="003B0FC9"/>
    <w:rsid w:val="003B125D"/>
    <w:rsid w:val="003B1396"/>
    <w:rsid w:val="003B161A"/>
    <w:rsid w:val="003B1692"/>
    <w:rsid w:val="003B197B"/>
    <w:rsid w:val="003B1A16"/>
    <w:rsid w:val="003B1AF3"/>
    <w:rsid w:val="003B1B81"/>
    <w:rsid w:val="003B1D7D"/>
    <w:rsid w:val="003B1EE3"/>
    <w:rsid w:val="003B1F2E"/>
    <w:rsid w:val="003B1F4A"/>
    <w:rsid w:val="003B2238"/>
    <w:rsid w:val="003B266D"/>
    <w:rsid w:val="003B26FB"/>
    <w:rsid w:val="003B271F"/>
    <w:rsid w:val="003B2728"/>
    <w:rsid w:val="003B2731"/>
    <w:rsid w:val="003B2743"/>
    <w:rsid w:val="003B2753"/>
    <w:rsid w:val="003B2910"/>
    <w:rsid w:val="003B292E"/>
    <w:rsid w:val="003B2B9F"/>
    <w:rsid w:val="003B2C32"/>
    <w:rsid w:val="003B2CBA"/>
    <w:rsid w:val="003B2D6F"/>
    <w:rsid w:val="003B2DDE"/>
    <w:rsid w:val="003B2FCB"/>
    <w:rsid w:val="003B2FD5"/>
    <w:rsid w:val="003B31DB"/>
    <w:rsid w:val="003B32BB"/>
    <w:rsid w:val="003B3A81"/>
    <w:rsid w:val="003B3B87"/>
    <w:rsid w:val="003B3C78"/>
    <w:rsid w:val="003B401C"/>
    <w:rsid w:val="003B4215"/>
    <w:rsid w:val="003B4309"/>
    <w:rsid w:val="003B4580"/>
    <w:rsid w:val="003B45BC"/>
    <w:rsid w:val="003B490C"/>
    <w:rsid w:val="003B4966"/>
    <w:rsid w:val="003B49BE"/>
    <w:rsid w:val="003B4AE0"/>
    <w:rsid w:val="003B4CE2"/>
    <w:rsid w:val="003B4DF8"/>
    <w:rsid w:val="003B4EA7"/>
    <w:rsid w:val="003B52C4"/>
    <w:rsid w:val="003B546E"/>
    <w:rsid w:val="003B551E"/>
    <w:rsid w:val="003B56A8"/>
    <w:rsid w:val="003B57CB"/>
    <w:rsid w:val="003B5A96"/>
    <w:rsid w:val="003B5B63"/>
    <w:rsid w:val="003B5C1B"/>
    <w:rsid w:val="003B5E66"/>
    <w:rsid w:val="003B5F08"/>
    <w:rsid w:val="003B5F31"/>
    <w:rsid w:val="003B5F88"/>
    <w:rsid w:val="003B6083"/>
    <w:rsid w:val="003B6172"/>
    <w:rsid w:val="003B6303"/>
    <w:rsid w:val="003B66AF"/>
    <w:rsid w:val="003B6708"/>
    <w:rsid w:val="003B6775"/>
    <w:rsid w:val="003B69DB"/>
    <w:rsid w:val="003B69EB"/>
    <w:rsid w:val="003B6EEF"/>
    <w:rsid w:val="003B6FDF"/>
    <w:rsid w:val="003B7001"/>
    <w:rsid w:val="003B71FD"/>
    <w:rsid w:val="003B75A7"/>
    <w:rsid w:val="003B75DA"/>
    <w:rsid w:val="003B7E9A"/>
    <w:rsid w:val="003BAFC7"/>
    <w:rsid w:val="003C03B4"/>
    <w:rsid w:val="003C044A"/>
    <w:rsid w:val="003C047B"/>
    <w:rsid w:val="003C054D"/>
    <w:rsid w:val="003C05BA"/>
    <w:rsid w:val="003C06F9"/>
    <w:rsid w:val="003C07BF"/>
    <w:rsid w:val="003C09A1"/>
    <w:rsid w:val="003C0AF9"/>
    <w:rsid w:val="003C0B1D"/>
    <w:rsid w:val="003C0BA6"/>
    <w:rsid w:val="003C0D45"/>
    <w:rsid w:val="003C0E7C"/>
    <w:rsid w:val="003C0F41"/>
    <w:rsid w:val="003C105A"/>
    <w:rsid w:val="003C10A4"/>
    <w:rsid w:val="003C10E3"/>
    <w:rsid w:val="003C11F6"/>
    <w:rsid w:val="003C12FB"/>
    <w:rsid w:val="003C14C1"/>
    <w:rsid w:val="003C1B22"/>
    <w:rsid w:val="003C1B4E"/>
    <w:rsid w:val="003C1B93"/>
    <w:rsid w:val="003C1C20"/>
    <w:rsid w:val="003C1E6E"/>
    <w:rsid w:val="003C20CF"/>
    <w:rsid w:val="003C21DB"/>
    <w:rsid w:val="003C2341"/>
    <w:rsid w:val="003C246D"/>
    <w:rsid w:val="003C2512"/>
    <w:rsid w:val="003C27CA"/>
    <w:rsid w:val="003C295A"/>
    <w:rsid w:val="003C2EAE"/>
    <w:rsid w:val="003C2F21"/>
    <w:rsid w:val="003C2FBA"/>
    <w:rsid w:val="003C2FF5"/>
    <w:rsid w:val="003C307A"/>
    <w:rsid w:val="003C3129"/>
    <w:rsid w:val="003C31A4"/>
    <w:rsid w:val="003C321A"/>
    <w:rsid w:val="003C32B7"/>
    <w:rsid w:val="003C332A"/>
    <w:rsid w:val="003C339D"/>
    <w:rsid w:val="003C33F4"/>
    <w:rsid w:val="003C341E"/>
    <w:rsid w:val="003C3470"/>
    <w:rsid w:val="003C3496"/>
    <w:rsid w:val="003C34DC"/>
    <w:rsid w:val="003C3561"/>
    <w:rsid w:val="003C3741"/>
    <w:rsid w:val="003C3A6B"/>
    <w:rsid w:val="003C3AAE"/>
    <w:rsid w:val="003C3B32"/>
    <w:rsid w:val="003C405F"/>
    <w:rsid w:val="003C4141"/>
    <w:rsid w:val="003C4670"/>
    <w:rsid w:val="003C4681"/>
    <w:rsid w:val="003C476E"/>
    <w:rsid w:val="003C486A"/>
    <w:rsid w:val="003C4A3E"/>
    <w:rsid w:val="003C4B43"/>
    <w:rsid w:val="003C4B79"/>
    <w:rsid w:val="003C4C81"/>
    <w:rsid w:val="003C4E60"/>
    <w:rsid w:val="003C4EF7"/>
    <w:rsid w:val="003C4FAF"/>
    <w:rsid w:val="003C538F"/>
    <w:rsid w:val="003C5648"/>
    <w:rsid w:val="003C5755"/>
    <w:rsid w:val="003C57E5"/>
    <w:rsid w:val="003C58E3"/>
    <w:rsid w:val="003C5C14"/>
    <w:rsid w:val="003C5CC1"/>
    <w:rsid w:val="003C5CCB"/>
    <w:rsid w:val="003C5DCE"/>
    <w:rsid w:val="003C5EBC"/>
    <w:rsid w:val="003C61FE"/>
    <w:rsid w:val="003C6413"/>
    <w:rsid w:val="003C64B2"/>
    <w:rsid w:val="003C65D5"/>
    <w:rsid w:val="003C67C9"/>
    <w:rsid w:val="003C6867"/>
    <w:rsid w:val="003C6961"/>
    <w:rsid w:val="003C6CDC"/>
    <w:rsid w:val="003C6DE4"/>
    <w:rsid w:val="003C6E21"/>
    <w:rsid w:val="003C7256"/>
    <w:rsid w:val="003C749F"/>
    <w:rsid w:val="003C7564"/>
    <w:rsid w:val="003C75D3"/>
    <w:rsid w:val="003C763F"/>
    <w:rsid w:val="003C76A4"/>
    <w:rsid w:val="003C78D9"/>
    <w:rsid w:val="003C7A01"/>
    <w:rsid w:val="003C7C7C"/>
    <w:rsid w:val="003C7F1B"/>
    <w:rsid w:val="003C7F56"/>
    <w:rsid w:val="003C7F8D"/>
    <w:rsid w:val="003C7FFB"/>
    <w:rsid w:val="003D0192"/>
    <w:rsid w:val="003D03A7"/>
    <w:rsid w:val="003D0449"/>
    <w:rsid w:val="003D0B5F"/>
    <w:rsid w:val="003D0BF3"/>
    <w:rsid w:val="003D0D36"/>
    <w:rsid w:val="003D0D4A"/>
    <w:rsid w:val="003D0E44"/>
    <w:rsid w:val="003D1053"/>
    <w:rsid w:val="003D1100"/>
    <w:rsid w:val="003D1183"/>
    <w:rsid w:val="003D12FB"/>
    <w:rsid w:val="003D141C"/>
    <w:rsid w:val="003D1473"/>
    <w:rsid w:val="003D14C1"/>
    <w:rsid w:val="003D199D"/>
    <w:rsid w:val="003D1B16"/>
    <w:rsid w:val="003D1C43"/>
    <w:rsid w:val="003D1D7D"/>
    <w:rsid w:val="003D1FAC"/>
    <w:rsid w:val="003D2024"/>
    <w:rsid w:val="003D2036"/>
    <w:rsid w:val="003D219A"/>
    <w:rsid w:val="003D2205"/>
    <w:rsid w:val="003D2372"/>
    <w:rsid w:val="003D23E2"/>
    <w:rsid w:val="003D2489"/>
    <w:rsid w:val="003D2535"/>
    <w:rsid w:val="003D2570"/>
    <w:rsid w:val="003D26E3"/>
    <w:rsid w:val="003D2C2B"/>
    <w:rsid w:val="003D2CE3"/>
    <w:rsid w:val="003D2E2D"/>
    <w:rsid w:val="003D2E7B"/>
    <w:rsid w:val="003D2E92"/>
    <w:rsid w:val="003D3006"/>
    <w:rsid w:val="003D318E"/>
    <w:rsid w:val="003D31CE"/>
    <w:rsid w:val="003D3666"/>
    <w:rsid w:val="003D39B9"/>
    <w:rsid w:val="003D3A62"/>
    <w:rsid w:val="003D3C5B"/>
    <w:rsid w:val="003D3C72"/>
    <w:rsid w:val="003D3D55"/>
    <w:rsid w:val="003D3D9C"/>
    <w:rsid w:val="003D3ED6"/>
    <w:rsid w:val="003D3F6C"/>
    <w:rsid w:val="003D40A5"/>
    <w:rsid w:val="003D41D8"/>
    <w:rsid w:val="003D4287"/>
    <w:rsid w:val="003D4347"/>
    <w:rsid w:val="003D4760"/>
    <w:rsid w:val="003D4806"/>
    <w:rsid w:val="003D4895"/>
    <w:rsid w:val="003D492F"/>
    <w:rsid w:val="003D4A96"/>
    <w:rsid w:val="003D4AEF"/>
    <w:rsid w:val="003D537B"/>
    <w:rsid w:val="003D564C"/>
    <w:rsid w:val="003D57CE"/>
    <w:rsid w:val="003D5C21"/>
    <w:rsid w:val="003D5E10"/>
    <w:rsid w:val="003D5F42"/>
    <w:rsid w:val="003D6053"/>
    <w:rsid w:val="003D638E"/>
    <w:rsid w:val="003D63BA"/>
    <w:rsid w:val="003D6414"/>
    <w:rsid w:val="003D6849"/>
    <w:rsid w:val="003D6FDD"/>
    <w:rsid w:val="003D70C8"/>
    <w:rsid w:val="003D713A"/>
    <w:rsid w:val="003D75B8"/>
    <w:rsid w:val="003D75D2"/>
    <w:rsid w:val="003D777E"/>
    <w:rsid w:val="003D7C58"/>
    <w:rsid w:val="003E00C2"/>
    <w:rsid w:val="003E0261"/>
    <w:rsid w:val="003E0344"/>
    <w:rsid w:val="003E045F"/>
    <w:rsid w:val="003E05E4"/>
    <w:rsid w:val="003E09F3"/>
    <w:rsid w:val="003E0DAB"/>
    <w:rsid w:val="003E1151"/>
    <w:rsid w:val="003E1171"/>
    <w:rsid w:val="003E1230"/>
    <w:rsid w:val="003E16CE"/>
    <w:rsid w:val="003E16FD"/>
    <w:rsid w:val="003E1775"/>
    <w:rsid w:val="003E1B2C"/>
    <w:rsid w:val="003E1EA0"/>
    <w:rsid w:val="003E1F32"/>
    <w:rsid w:val="003E1F53"/>
    <w:rsid w:val="003E2497"/>
    <w:rsid w:val="003E251B"/>
    <w:rsid w:val="003E26FA"/>
    <w:rsid w:val="003E2735"/>
    <w:rsid w:val="003E29BD"/>
    <w:rsid w:val="003E2A0D"/>
    <w:rsid w:val="003E2B7D"/>
    <w:rsid w:val="003E2D37"/>
    <w:rsid w:val="003E2DC2"/>
    <w:rsid w:val="003E3219"/>
    <w:rsid w:val="003E324B"/>
    <w:rsid w:val="003E327D"/>
    <w:rsid w:val="003E32D7"/>
    <w:rsid w:val="003E33D8"/>
    <w:rsid w:val="003E3A01"/>
    <w:rsid w:val="003E3AA6"/>
    <w:rsid w:val="003E3C5C"/>
    <w:rsid w:val="003E3D72"/>
    <w:rsid w:val="003E3ED4"/>
    <w:rsid w:val="003E3FC5"/>
    <w:rsid w:val="003E4296"/>
    <w:rsid w:val="003E4524"/>
    <w:rsid w:val="003E45DE"/>
    <w:rsid w:val="003E46C6"/>
    <w:rsid w:val="003E492D"/>
    <w:rsid w:val="003E4B05"/>
    <w:rsid w:val="003E4BAC"/>
    <w:rsid w:val="003E4EFB"/>
    <w:rsid w:val="003E50DB"/>
    <w:rsid w:val="003E5222"/>
    <w:rsid w:val="003E562B"/>
    <w:rsid w:val="003E63E8"/>
    <w:rsid w:val="003E6437"/>
    <w:rsid w:val="003E6484"/>
    <w:rsid w:val="003E66E9"/>
    <w:rsid w:val="003E670A"/>
    <w:rsid w:val="003E67F7"/>
    <w:rsid w:val="003E69AC"/>
    <w:rsid w:val="003E69D7"/>
    <w:rsid w:val="003E6CCD"/>
    <w:rsid w:val="003E6D57"/>
    <w:rsid w:val="003E6D8C"/>
    <w:rsid w:val="003E7067"/>
    <w:rsid w:val="003E7157"/>
    <w:rsid w:val="003E73E1"/>
    <w:rsid w:val="003E7743"/>
    <w:rsid w:val="003E782E"/>
    <w:rsid w:val="003E79FC"/>
    <w:rsid w:val="003E7A40"/>
    <w:rsid w:val="003E7A58"/>
    <w:rsid w:val="003E7B45"/>
    <w:rsid w:val="003E7BFF"/>
    <w:rsid w:val="003E7C83"/>
    <w:rsid w:val="003E7D01"/>
    <w:rsid w:val="003E7F2F"/>
    <w:rsid w:val="003F00CC"/>
    <w:rsid w:val="003F032A"/>
    <w:rsid w:val="003F03EE"/>
    <w:rsid w:val="003F041D"/>
    <w:rsid w:val="003F04E1"/>
    <w:rsid w:val="003F051B"/>
    <w:rsid w:val="003F0570"/>
    <w:rsid w:val="003F0733"/>
    <w:rsid w:val="003F0818"/>
    <w:rsid w:val="003F0979"/>
    <w:rsid w:val="003F099C"/>
    <w:rsid w:val="003F0C09"/>
    <w:rsid w:val="003F0C8A"/>
    <w:rsid w:val="003F1349"/>
    <w:rsid w:val="003F15D0"/>
    <w:rsid w:val="003F17BD"/>
    <w:rsid w:val="003F17D3"/>
    <w:rsid w:val="003F17E3"/>
    <w:rsid w:val="003F1C29"/>
    <w:rsid w:val="003F1C4B"/>
    <w:rsid w:val="003F1C51"/>
    <w:rsid w:val="003F1DB6"/>
    <w:rsid w:val="003F21AC"/>
    <w:rsid w:val="003F264E"/>
    <w:rsid w:val="003F285F"/>
    <w:rsid w:val="003F2889"/>
    <w:rsid w:val="003F2E01"/>
    <w:rsid w:val="003F2E2C"/>
    <w:rsid w:val="003F2E46"/>
    <w:rsid w:val="003F2F1D"/>
    <w:rsid w:val="003F2F5A"/>
    <w:rsid w:val="003F3469"/>
    <w:rsid w:val="003F3475"/>
    <w:rsid w:val="003F38C1"/>
    <w:rsid w:val="003F3AEB"/>
    <w:rsid w:val="003F4319"/>
    <w:rsid w:val="003F432C"/>
    <w:rsid w:val="003F437C"/>
    <w:rsid w:val="003F43BF"/>
    <w:rsid w:val="003F4578"/>
    <w:rsid w:val="003F45A4"/>
    <w:rsid w:val="003F45C5"/>
    <w:rsid w:val="003F47BF"/>
    <w:rsid w:val="003F49E1"/>
    <w:rsid w:val="003F4C61"/>
    <w:rsid w:val="003F4E33"/>
    <w:rsid w:val="003F4FAE"/>
    <w:rsid w:val="003F4FE8"/>
    <w:rsid w:val="003F500B"/>
    <w:rsid w:val="003F5188"/>
    <w:rsid w:val="003F5498"/>
    <w:rsid w:val="003F552C"/>
    <w:rsid w:val="003F56A2"/>
    <w:rsid w:val="003F56FA"/>
    <w:rsid w:val="003F572C"/>
    <w:rsid w:val="003F5B87"/>
    <w:rsid w:val="003F5C5B"/>
    <w:rsid w:val="003F5CB4"/>
    <w:rsid w:val="003F5D20"/>
    <w:rsid w:val="003F5D82"/>
    <w:rsid w:val="003F5EFA"/>
    <w:rsid w:val="003F6578"/>
    <w:rsid w:val="003F667A"/>
    <w:rsid w:val="003F66E5"/>
    <w:rsid w:val="003F6A8E"/>
    <w:rsid w:val="003F6B46"/>
    <w:rsid w:val="003F6DA6"/>
    <w:rsid w:val="003F6E7D"/>
    <w:rsid w:val="003F6F76"/>
    <w:rsid w:val="003F70E7"/>
    <w:rsid w:val="003F79EF"/>
    <w:rsid w:val="003F7A39"/>
    <w:rsid w:val="003F7A90"/>
    <w:rsid w:val="003F7AC2"/>
    <w:rsid w:val="003F7BF4"/>
    <w:rsid w:val="003F7E17"/>
    <w:rsid w:val="003F7E36"/>
    <w:rsid w:val="0040005E"/>
    <w:rsid w:val="004000E2"/>
    <w:rsid w:val="004002DF"/>
    <w:rsid w:val="004003C3"/>
    <w:rsid w:val="00400471"/>
    <w:rsid w:val="004005A2"/>
    <w:rsid w:val="00400770"/>
    <w:rsid w:val="00400D6E"/>
    <w:rsid w:val="00400F50"/>
    <w:rsid w:val="004010A3"/>
    <w:rsid w:val="004010AA"/>
    <w:rsid w:val="0040118A"/>
    <w:rsid w:val="00401300"/>
    <w:rsid w:val="00401671"/>
    <w:rsid w:val="00401709"/>
    <w:rsid w:val="00401741"/>
    <w:rsid w:val="00401846"/>
    <w:rsid w:val="00401949"/>
    <w:rsid w:val="004019AB"/>
    <w:rsid w:val="004019DE"/>
    <w:rsid w:val="00401B7E"/>
    <w:rsid w:val="00401C7E"/>
    <w:rsid w:val="00401FCE"/>
    <w:rsid w:val="004020FA"/>
    <w:rsid w:val="00402244"/>
    <w:rsid w:val="00402320"/>
    <w:rsid w:val="004025CD"/>
    <w:rsid w:val="00402848"/>
    <w:rsid w:val="00402897"/>
    <w:rsid w:val="0040299F"/>
    <w:rsid w:val="004029EB"/>
    <w:rsid w:val="00402AC2"/>
    <w:rsid w:val="00402DA7"/>
    <w:rsid w:val="00402ED7"/>
    <w:rsid w:val="00403196"/>
    <w:rsid w:val="004032D6"/>
    <w:rsid w:val="0040334A"/>
    <w:rsid w:val="004033D3"/>
    <w:rsid w:val="00403410"/>
    <w:rsid w:val="0040356F"/>
    <w:rsid w:val="0040364F"/>
    <w:rsid w:val="004036D5"/>
    <w:rsid w:val="00403894"/>
    <w:rsid w:val="00403A71"/>
    <w:rsid w:val="00403AFF"/>
    <w:rsid w:val="00403B00"/>
    <w:rsid w:val="00403CD4"/>
    <w:rsid w:val="00403CF8"/>
    <w:rsid w:val="00403E35"/>
    <w:rsid w:val="00403E5C"/>
    <w:rsid w:val="00403E95"/>
    <w:rsid w:val="004040DF"/>
    <w:rsid w:val="004048A3"/>
    <w:rsid w:val="00404A13"/>
    <w:rsid w:val="00404A43"/>
    <w:rsid w:val="00404CA6"/>
    <w:rsid w:val="00404D96"/>
    <w:rsid w:val="00404E41"/>
    <w:rsid w:val="00404ECE"/>
    <w:rsid w:val="0040549E"/>
    <w:rsid w:val="004055E4"/>
    <w:rsid w:val="0040560E"/>
    <w:rsid w:val="00405645"/>
    <w:rsid w:val="004057EA"/>
    <w:rsid w:val="00405BCA"/>
    <w:rsid w:val="00405D0D"/>
    <w:rsid w:val="00405FAA"/>
    <w:rsid w:val="00405FAB"/>
    <w:rsid w:val="0040675D"/>
    <w:rsid w:val="00406876"/>
    <w:rsid w:val="00406AB4"/>
    <w:rsid w:val="00406BE7"/>
    <w:rsid w:val="00406E1F"/>
    <w:rsid w:val="00406FF6"/>
    <w:rsid w:val="004070F5"/>
    <w:rsid w:val="0040719F"/>
    <w:rsid w:val="00407346"/>
    <w:rsid w:val="004074F1"/>
    <w:rsid w:val="004076B0"/>
    <w:rsid w:val="004077A5"/>
    <w:rsid w:val="00407893"/>
    <w:rsid w:val="004079CF"/>
    <w:rsid w:val="00407BD5"/>
    <w:rsid w:val="004100DC"/>
    <w:rsid w:val="0041019E"/>
    <w:rsid w:val="00410315"/>
    <w:rsid w:val="00410350"/>
    <w:rsid w:val="00410390"/>
    <w:rsid w:val="00410494"/>
    <w:rsid w:val="00410577"/>
    <w:rsid w:val="0041057C"/>
    <w:rsid w:val="004105A0"/>
    <w:rsid w:val="00410642"/>
    <w:rsid w:val="00410664"/>
    <w:rsid w:val="00410699"/>
    <w:rsid w:val="00410803"/>
    <w:rsid w:val="00410987"/>
    <w:rsid w:val="004109A3"/>
    <w:rsid w:val="00410A5A"/>
    <w:rsid w:val="00410B22"/>
    <w:rsid w:val="00410C6F"/>
    <w:rsid w:val="00410CD6"/>
    <w:rsid w:val="00410D50"/>
    <w:rsid w:val="00410D9C"/>
    <w:rsid w:val="00410EA6"/>
    <w:rsid w:val="00411004"/>
    <w:rsid w:val="00411051"/>
    <w:rsid w:val="0041107F"/>
    <w:rsid w:val="00411342"/>
    <w:rsid w:val="0041134A"/>
    <w:rsid w:val="00411565"/>
    <w:rsid w:val="00411671"/>
    <w:rsid w:val="00411861"/>
    <w:rsid w:val="00411880"/>
    <w:rsid w:val="004119DD"/>
    <w:rsid w:val="00411B0A"/>
    <w:rsid w:val="00411B72"/>
    <w:rsid w:val="00411E63"/>
    <w:rsid w:val="00411F09"/>
    <w:rsid w:val="004120A7"/>
    <w:rsid w:val="004120D5"/>
    <w:rsid w:val="00412302"/>
    <w:rsid w:val="00412703"/>
    <w:rsid w:val="004127E3"/>
    <w:rsid w:val="00412C3B"/>
    <w:rsid w:val="00412DAC"/>
    <w:rsid w:val="00412DC9"/>
    <w:rsid w:val="00412E74"/>
    <w:rsid w:val="004132C8"/>
    <w:rsid w:val="00413350"/>
    <w:rsid w:val="004133FE"/>
    <w:rsid w:val="00413517"/>
    <w:rsid w:val="00413523"/>
    <w:rsid w:val="00413602"/>
    <w:rsid w:val="00413614"/>
    <w:rsid w:val="004136F5"/>
    <w:rsid w:val="00413864"/>
    <w:rsid w:val="00413AB6"/>
    <w:rsid w:val="00413B3F"/>
    <w:rsid w:val="00413C4C"/>
    <w:rsid w:val="00413CB8"/>
    <w:rsid w:val="00414055"/>
    <w:rsid w:val="004142AD"/>
    <w:rsid w:val="00414470"/>
    <w:rsid w:val="00414A59"/>
    <w:rsid w:val="00414D73"/>
    <w:rsid w:val="00414F0F"/>
    <w:rsid w:val="00414F43"/>
    <w:rsid w:val="00414F4D"/>
    <w:rsid w:val="00414FEA"/>
    <w:rsid w:val="00415183"/>
    <w:rsid w:val="004151D2"/>
    <w:rsid w:val="004153F7"/>
    <w:rsid w:val="00415897"/>
    <w:rsid w:val="00415A60"/>
    <w:rsid w:val="0041610A"/>
    <w:rsid w:val="004161E7"/>
    <w:rsid w:val="004161EF"/>
    <w:rsid w:val="0041621F"/>
    <w:rsid w:val="00416276"/>
    <w:rsid w:val="004163AE"/>
    <w:rsid w:val="0041643F"/>
    <w:rsid w:val="004167E2"/>
    <w:rsid w:val="004168A3"/>
    <w:rsid w:val="00416B5C"/>
    <w:rsid w:val="00416BD1"/>
    <w:rsid w:val="00416C28"/>
    <w:rsid w:val="00416DEF"/>
    <w:rsid w:val="00416E2E"/>
    <w:rsid w:val="00416E94"/>
    <w:rsid w:val="004170E5"/>
    <w:rsid w:val="0041748D"/>
    <w:rsid w:val="004175E3"/>
    <w:rsid w:val="0041762D"/>
    <w:rsid w:val="0041770E"/>
    <w:rsid w:val="004179CE"/>
    <w:rsid w:val="00420002"/>
    <w:rsid w:val="0042003C"/>
    <w:rsid w:val="00420094"/>
    <w:rsid w:val="00420188"/>
    <w:rsid w:val="00420307"/>
    <w:rsid w:val="004203AA"/>
    <w:rsid w:val="00420511"/>
    <w:rsid w:val="00420553"/>
    <w:rsid w:val="0042066B"/>
    <w:rsid w:val="00420846"/>
    <w:rsid w:val="0042088B"/>
    <w:rsid w:val="0042098B"/>
    <w:rsid w:val="004209BC"/>
    <w:rsid w:val="00420AEF"/>
    <w:rsid w:val="00420BB6"/>
    <w:rsid w:val="00420C91"/>
    <w:rsid w:val="00420CFB"/>
    <w:rsid w:val="00420DD4"/>
    <w:rsid w:val="00420EC7"/>
    <w:rsid w:val="00420EF0"/>
    <w:rsid w:val="00420F3E"/>
    <w:rsid w:val="00421082"/>
    <w:rsid w:val="0042124B"/>
    <w:rsid w:val="0042151F"/>
    <w:rsid w:val="00421584"/>
    <w:rsid w:val="00421879"/>
    <w:rsid w:val="00421903"/>
    <w:rsid w:val="004219FB"/>
    <w:rsid w:val="00421B1E"/>
    <w:rsid w:val="00421B2C"/>
    <w:rsid w:val="00421D17"/>
    <w:rsid w:val="00421EC2"/>
    <w:rsid w:val="00422138"/>
    <w:rsid w:val="00422611"/>
    <w:rsid w:val="00422648"/>
    <w:rsid w:val="0042270A"/>
    <w:rsid w:val="00422C09"/>
    <w:rsid w:val="00422DDE"/>
    <w:rsid w:val="00422F86"/>
    <w:rsid w:val="0042322E"/>
    <w:rsid w:val="004233BA"/>
    <w:rsid w:val="00423470"/>
    <w:rsid w:val="00423776"/>
    <w:rsid w:val="004238E2"/>
    <w:rsid w:val="004239F6"/>
    <w:rsid w:val="00423A65"/>
    <w:rsid w:val="00423E45"/>
    <w:rsid w:val="00424254"/>
    <w:rsid w:val="0042438C"/>
    <w:rsid w:val="004243A4"/>
    <w:rsid w:val="00424579"/>
    <w:rsid w:val="00424695"/>
    <w:rsid w:val="004248BE"/>
    <w:rsid w:val="004248D3"/>
    <w:rsid w:val="00424BE9"/>
    <w:rsid w:val="00424CDC"/>
    <w:rsid w:val="00424E28"/>
    <w:rsid w:val="00424E82"/>
    <w:rsid w:val="00425019"/>
    <w:rsid w:val="004250A5"/>
    <w:rsid w:val="004251B3"/>
    <w:rsid w:val="00425328"/>
    <w:rsid w:val="00425386"/>
    <w:rsid w:val="0042538D"/>
    <w:rsid w:val="00425BCA"/>
    <w:rsid w:val="00425ECC"/>
    <w:rsid w:val="00425F73"/>
    <w:rsid w:val="00425F90"/>
    <w:rsid w:val="00426183"/>
    <w:rsid w:val="00426423"/>
    <w:rsid w:val="00426A8B"/>
    <w:rsid w:val="00426E05"/>
    <w:rsid w:val="00426E81"/>
    <w:rsid w:val="00426F4B"/>
    <w:rsid w:val="004270F9"/>
    <w:rsid w:val="004273BE"/>
    <w:rsid w:val="0042785B"/>
    <w:rsid w:val="004278F6"/>
    <w:rsid w:val="004279D4"/>
    <w:rsid w:val="00427D50"/>
    <w:rsid w:val="00427F0B"/>
    <w:rsid w:val="0043000E"/>
    <w:rsid w:val="00430064"/>
    <w:rsid w:val="004300B6"/>
    <w:rsid w:val="00430301"/>
    <w:rsid w:val="004303F3"/>
    <w:rsid w:val="0043055F"/>
    <w:rsid w:val="0043061B"/>
    <w:rsid w:val="00430632"/>
    <w:rsid w:val="00430942"/>
    <w:rsid w:val="00430967"/>
    <w:rsid w:val="00430A99"/>
    <w:rsid w:val="00430C4B"/>
    <w:rsid w:val="00430D51"/>
    <w:rsid w:val="00430E4A"/>
    <w:rsid w:val="004310C8"/>
    <w:rsid w:val="004310EF"/>
    <w:rsid w:val="00431244"/>
    <w:rsid w:val="0043126E"/>
    <w:rsid w:val="00431298"/>
    <w:rsid w:val="004317BE"/>
    <w:rsid w:val="004319A1"/>
    <w:rsid w:val="00431B31"/>
    <w:rsid w:val="00431C92"/>
    <w:rsid w:val="00431DBD"/>
    <w:rsid w:val="00431F13"/>
    <w:rsid w:val="00432086"/>
    <w:rsid w:val="0043227F"/>
    <w:rsid w:val="004322A1"/>
    <w:rsid w:val="004323B0"/>
    <w:rsid w:val="0043259C"/>
    <w:rsid w:val="004325E5"/>
    <w:rsid w:val="00432684"/>
    <w:rsid w:val="004327A4"/>
    <w:rsid w:val="004327C4"/>
    <w:rsid w:val="004327F3"/>
    <w:rsid w:val="00432879"/>
    <w:rsid w:val="0043288C"/>
    <w:rsid w:val="00432A98"/>
    <w:rsid w:val="00432B4F"/>
    <w:rsid w:val="00432B62"/>
    <w:rsid w:val="00432BB4"/>
    <w:rsid w:val="00432D4A"/>
    <w:rsid w:val="00432DA5"/>
    <w:rsid w:val="00432EFD"/>
    <w:rsid w:val="00433338"/>
    <w:rsid w:val="0043333A"/>
    <w:rsid w:val="00433464"/>
    <w:rsid w:val="004335CF"/>
    <w:rsid w:val="00433610"/>
    <w:rsid w:val="00433628"/>
    <w:rsid w:val="00433728"/>
    <w:rsid w:val="00433870"/>
    <w:rsid w:val="00433879"/>
    <w:rsid w:val="0043398D"/>
    <w:rsid w:val="00433B50"/>
    <w:rsid w:val="00433B89"/>
    <w:rsid w:val="00433C2A"/>
    <w:rsid w:val="00433C98"/>
    <w:rsid w:val="00433EDE"/>
    <w:rsid w:val="004340CB"/>
    <w:rsid w:val="004342A8"/>
    <w:rsid w:val="00434330"/>
    <w:rsid w:val="004347F5"/>
    <w:rsid w:val="00434912"/>
    <w:rsid w:val="00434A31"/>
    <w:rsid w:val="00434CE3"/>
    <w:rsid w:val="00434F92"/>
    <w:rsid w:val="0043513E"/>
    <w:rsid w:val="004352C9"/>
    <w:rsid w:val="004352D3"/>
    <w:rsid w:val="004353D3"/>
    <w:rsid w:val="00435448"/>
    <w:rsid w:val="004355B7"/>
    <w:rsid w:val="00435A38"/>
    <w:rsid w:val="00435B82"/>
    <w:rsid w:val="00435C8A"/>
    <w:rsid w:val="00435DD2"/>
    <w:rsid w:val="00435E8F"/>
    <w:rsid w:val="0043609E"/>
    <w:rsid w:val="004361BA"/>
    <w:rsid w:val="004361D6"/>
    <w:rsid w:val="0043624F"/>
    <w:rsid w:val="004362B6"/>
    <w:rsid w:val="00436434"/>
    <w:rsid w:val="00436529"/>
    <w:rsid w:val="0043685D"/>
    <w:rsid w:val="00436867"/>
    <w:rsid w:val="00436875"/>
    <w:rsid w:val="00436A78"/>
    <w:rsid w:val="00436DC2"/>
    <w:rsid w:val="00436E39"/>
    <w:rsid w:val="00436F76"/>
    <w:rsid w:val="004373C5"/>
    <w:rsid w:val="00437689"/>
    <w:rsid w:val="0043785E"/>
    <w:rsid w:val="0043788E"/>
    <w:rsid w:val="00437959"/>
    <w:rsid w:val="0043795E"/>
    <w:rsid w:val="00437984"/>
    <w:rsid w:val="004379C0"/>
    <w:rsid w:val="00437B0B"/>
    <w:rsid w:val="00437B30"/>
    <w:rsid w:val="00437EB6"/>
    <w:rsid w:val="00437F4B"/>
    <w:rsid w:val="004382B4"/>
    <w:rsid w:val="004401FB"/>
    <w:rsid w:val="004407F5"/>
    <w:rsid w:val="004408A0"/>
    <w:rsid w:val="00440987"/>
    <w:rsid w:val="00440D3F"/>
    <w:rsid w:val="00440E10"/>
    <w:rsid w:val="00440E5A"/>
    <w:rsid w:val="00440FB8"/>
    <w:rsid w:val="00441121"/>
    <w:rsid w:val="004415C4"/>
    <w:rsid w:val="0044176E"/>
    <w:rsid w:val="004418AD"/>
    <w:rsid w:val="004418F7"/>
    <w:rsid w:val="0044190F"/>
    <w:rsid w:val="00441981"/>
    <w:rsid w:val="004419B8"/>
    <w:rsid w:val="00441DEB"/>
    <w:rsid w:val="00442009"/>
    <w:rsid w:val="00442017"/>
    <w:rsid w:val="0044201C"/>
    <w:rsid w:val="0044211A"/>
    <w:rsid w:val="004422BD"/>
    <w:rsid w:val="00442323"/>
    <w:rsid w:val="004423D0"/>
    <w:rsid w:val="00442423"/>
    <w:rsid w:val="00442548"/>
    <w:rsid w:val="004426FA"/>
    <w:rsid w:val="00442862"/>
    <w:rsid w:val="0044287F"/>
    <w:rsid w:val="004428B3"/>
    <w:rsid w:val="00442A8D"/>
    <w:rsid w:val="00442B62"/>
    <w:rsid w:val="00442BB4"/>
    <w:rsid w:val="00442CAC"/>
    <w:rsid w:val="00442DBD"/>
    <w:rsid w:val="00442E54"/>
    <w:rsid w:val="00442EF8"/>
    <w:rsid w:val="00442F08"/>
    <w:rsid w:val="00442FF3"/>
    <w:rsid w:val="00443006"/>
    <w:rsid w:val="004433EB"/>
    <w:rsid w:val="0044341C"/>
    <w:rsid w:val="00443587"/>
    <w:rsid w:val="004436CC"/>
    <w:rsid w:val="004437FB"/>
    <w:rsid w:val="0044389A"/>
    <w:rsid w:val="004438E2"/>
    <w:rsid w:val="00443C18"/>
    <w:rsid w:val="00443D3E"/>
    <w:rsid w:val="00443D6B"/>
    <w:rsid w:val="00443E99"/>
    <w:rsid w:val="00443FF1"/>
    <w:rsid w:val="0044413C"/>
    <w:rsid w:val="004442A7"/>
    <w:rsid w:val="004446C2"/>
    <w:rsid w:val="00444733"/>
    <w:rsid w:val="004447E4"/>
    <w:rsid w:val="00444835"/>
    <w:rsid w:val="00444982"/>
    <w:rsid w:val="00444B17"/>
    <w:rsid w:val="00444B22"/>
    <w:rsid w:val="00444DF3"/>
    <w:rsid w:val="00444EB6"/>
    <w:rsid w:val="00444F85"/>
    <w:rsid w:val="0044514C"/>
    <w:rsid w:val="00445B52"/>
    <w:rsid w:val="00445D02"/>
    <w:rsid w:val="00445F55"/>
    <w:rsid w:val="004460E5"/>
    <w:rsid w:val="0044624C"/>
    <w:rsid w:val="0044661A"/>
    <w:rsid w:val="00446693"/>
    <w:rsid w:val="004466A0"/>
    <w:rsid w:val="004468D9"/>
    <w:rsid w:val="004468FB"/>
    <w:rsid w:val="00446BEC"/>
    <w:rsid w:val="00446BFF"/>
    <w:rsid w:val="00446E38"/>
    <w:rsid w:val="00446EC6"/>
    <w:rsid w:val="00446FCE"/>
    <w:rsid w:val="004470AD"/>
    <w:rsid w:val="004470DA"/>
    <w:rsid w:val="0044736D"/>
    <w:rsid w:val="0044739D"/>
    <w:rsid w:val="0044743A"/>
    <w:rsid w:val="004475CF"/>
    <w:rsid w:val="004475D3"/>
    <w:rsid w:val="00447798"/>
    <w:rsid w:val="0044779A"/>
    <w:rsid w:val="00447837"/>
    <w:rsid w:val="004478AE"/>
    <w:rsid w:val="00447938"/>
    <w:rsid w:val="00447A36"/>
    <w:rsid w:val="00447CAE"/>
    <w:rsid w:val="00450004"/>
    <w:rsid w:val="004505FB"/>
    <w:rsid w:val="00450A36"/>
    <w:rsid w:val="00451084"/>
    <w:rsid w:val="0045126C"/>
    <w:rsid w:val="004513AD"/>
    <w:rsid w:val="00451400"/>
    <w:rsid w:val="004515F1"/>
    <w:rsid w:val="0045161E"/>
    <w:rsid w:val="00451710"/>
    <w:rsid w:val="0045185B"/>
    <w:rsid w:val="00451A77"/>
    <w:rsid w:val="00451F5A"/>
    <w:rsid w:val="0045208E"/>
    <w:rsid w:val="004521AE"/>
    <w:rsid w:val="004521E0"/>
    <w:rsid w:val="00452322"/>
    <w:rsid w:val="004526E6"/>
    <w:rsid w:val="004529BA"/>
    <w:rsid w:val="00452F9D"/>
    <w:rsid w:val="00453071"/>
    <w:rsid w:val="00453193"/>
    <w:rsid w:val="004532DB"/>
    <w:rsid w:val="00453556"/>
    <w:rsid w:val="00453658"/>
    <w:rsid w:val="00453704"/>
    <w:rsid w:val="0045375A"/>
    <w:rsid w:val="0045388C"/>
    <w:rsid w:val="0045396F"/>
    <w:rsid w:val="00453A97"/>
    <w:rsid w:val="00453C0D"/>
    <w:rsid w:val="00453C45"/>
    <w:rsid w:val="0045401F"/>
    <w:rsid w:val="00454077"/>
    <w:rsid w:val="00454121"/>
    <w:rsid w:val="00454153"/>
    <w:rsid w:val="0045470A"/>
    <w:rsid w:val="004548AE"/>
    <w:rsid w:val="00454920"/>
    <w:rsid w:val="00454A9C"/>
    <w:rsid w:val="00454BBE"/>
    <w:rsid w:val="00454D6B"/>
    <w:rsid w:val="00454D92"/>
    <w:rsid w:val="00454E89"/>
    <w:rsid w:val="00454F2F"/>
    <w:rsid w:val="00455043"/>
    <w:rsid w:val="004550B0"/>
    <w:rsid w:val="004553CD"/>
    <w:rsid w:val="0045555F"/>
    <w:rsid w:val="00455705"/>
    <w:rsid w:val="00455A39"/>
    <w:rsid w:val="00455AE9"/>
    <w:rsid w:val="00455D29"/>
    <w:rsid w:val="004560F4"/>
    <w:rsid w:val="0045651B"/>
    <w:rsid w:val="0045651D"/>
    <w:rsid w:val="0045652B"/>
    <w:rsid w:val="00456757"/>
    <w:rsid w:val="004567BC"/>
    <w:rsid w:val="0045682A"/>
    <w:rsid w:val="00456A3E"/>
    <w:rsid w:val="00456D1C"/>
    <w:rsid w:val="00456DB0"/>
    <w:rsid w:val="00456E6C"/>
    <w:rsid w:val="00456E72"/>
    <w:rsid w:val="00456EF0"/>
    <w:rsid w:val="00456EF8"/>
    <w:rsid w:val="00456F8D"/>
    <w:rsid w:val="00456FCA"/>
    <w:rsid w:val="004574C2"/>
    <w:rsid w:val="00457535"/>
    <w:rsid w:val="004575F5"/>
    <w:rsid w:val="00457899"/>
    <w:rsid w:val="00457DAD"/>
    <w:rsid w:val="00457F64"/>
    <w:rsid w:val="00457FE5"/>
    <w:rsid w:val="00460016"/>
    <w:rsid w:val="004600D3"/>
    <w:rsid w:val="00460434"/>
    <w:rsid w:val="00460527"/>
    <w:rsid w:val="00460616"/>
    <w:rsid w:val="00460629"/>
    <w:rsid w:val="004606B2"/>
    <w:rsid w:val="0046074D"/>
    <w:rsid w:val="0046082D"/>
    <w:rsid w:val="00460B8B"/>
    <w:rsid w:val="00460CF4"/>
    <w:rsid w:val="00460FCD"/>
    <w:rsid w:val="004610E4"/>
    <w:rsid w:val="00461592"/>
    <w:rsid w:val="00461707"/>
    <w:rsid w:val="0046174F"/>
    <w:rsid w:val="00461778"/>
    <w:rsid w:val="004618B4"/>
    <w:rsid w:val="00461A15"/>
    <w:rsid w:val="00461A49"/>
    <w:rsid w:val="00461D8F"/>
    <w:rsid w:val="00461E28"/>
    <w:rsid w:val="0046235A"/>
    <w:rsid w:val="004625EF"/>
    <w:rsid w:val="004627F3"/>
    <w:rsid w:val="0046284B"/>
    <w:rsid w:val="004629AA"/>
    <w:rsid w:val="00462BF7"/>
    <w:rsid w:val="00462CA6"/>
    <w:rsid w:val="00462D19"/>
    <w:rsid w:val="00462D35"/>
    <w:rsid w:val="00462E44"/>
    <w:rsid w:val="0046303E"/>
    <w:rsid w:val="004630FA"/>
    <w:rsid w:val="00463187"/>
    <w:rsid w:val="004631B3"/>
    <w:rsid w:val="00463269"/>
    <w:rsid w:val="004633BB"/>
    <w:rsid w:val="004634DF"/>
    <w:rsid w:val="00463608"/>
    <w:rsid w:val="0046363E"/>
    <w:rsid w:val="00463987"/>
    <w:rsid w:val="004639E6"/>
    <w:rsid w:val="00463A1D"/>
    <w:rsid w:val="00463CEE"/>
    <w:rsid w:val="00463E15"/>
    <w:rsid w:val="00463F61"/>
    <w:rsid w:val="00463FDA"/>
    <w:rsid w:val="00464064"/>
    <w:rsid w:val="00464234"/>
    <w:rsid w:val="00464295"/>
    <w:rsid w:val="0046439D"/>
    <w:rsid w:val="004643B3"/>
    <w:rsid w:val="004647EC"/>
    <w:rsid w:val="00464914"/>
    <w:rsid w:val="00464957"/>
    <w:rsid w:val="00464C29"/>
    <w:rsid w:val="00464D42"/>
    <w:rsid w:val="00464DD5"/>
    <w:rsid w:val="00464E9C"/>
    <w:rsid w:val="0046518A"/>
    <w:rsid w:val="004653FA"/>
    <w:rsid w:val="004655BE"/>
    <w:rsid w:val="004655C9"/>
    <w:rsid w:val="0046568C"/>
    <w:rsid w:val="00465797"/>
    <w:rsid w:val="00465BC2"/>
    <w:rsid w:val="00465C67"/>
    <w:rsid w:val="00465FA7"/>
    <w:rsid w:val="00465FB7"/>
    <w:rsid w:val="00465FE4"/>
    <w:rsid w:val="004667FD"/>
    <w:rsid w:val="0046689B"/>
    <w:rsid w:val="00466945"/>
    <w:rsid w:val="004669C7"/>
    <w:rsid w:val="00466A3E"/>
    <w:rsid w:val="00466C65"/>
    <w:rsid w:val="00466E74"/>
    <w:rsid w:val="00466F5E"/>
    <w:rsid w:val="00467075"/>
    <w:rsid w:val="00467A39"/>
    <w:rsid w:val="00467B7F"/>
    <w:rsid w:val="00467DC1"/>
    <w:rsid w:val="00467F84"/>
    <w:rsid w:val="00467FB1"/>
    <w:rsid w:val="00470247"/>
    <w:rsid w:val="00470257"/>
    <w:rsid w:val="00470642"/>
    <w:rsid w:val="00470AB2"/>
    <w:rsid w:val="00470B16"/>
    <w:rsid w:val="00470CEB"/>
    <w:rsid w:val="00470D28"/>
    <w:rsid w:val="00470F5B"/>
    <w:rsid w:val="00471116"/>
    <w:rsid w:val="00471441"/>
    <w:rsid w:val="0047147E"/>
    <w:rsid w:val="004718B9"/>
    <w:rsid w:val="00471CDD"/>
    <w:rsid w:val="00471E03"/>
    <w:rsid w:val="0047279B"/>
    <w:rsid w:val="004728EC"/>
    <w:rsid w:val="00472AE8"/>
    <w:rsid w:val="00472B96"/>
    <w:rsid w:val="00472D76"/>
    <w:rsid w:val="00473145"/>
    <w:rsid w:val="00473296"/>
    <w:rsid w:val="00473392"/>
    <w:rsid w:val="0047352E"/>
    <w:rsid w:val="004735E0"/>
    <w:rsid w:val="00473CA8"/>
    <w:rsid w:val="00473D5F"/>
    <w:rsid w:val="00473EB3"/>
    <w:rsid w:val="00474020"/>
    <w:rsid w:val="004741BA"/>
    <w:rsid w:val="00474357"/>
    <w:rsid w:val="004745CC"/>
    <w:rsid w:val="00474781"/>
    <w:rsid w:val="00474A13"/>
    <w:rsid w:val="00474A55"/>
    <w:rsid w:val="00474AD3"/>
    <w:rsid w:val="00474B9E"/>
    <w:rsid w:val="00474D14"/>
    <w:rsid w:val="00474D2B"/>
    <w:rsid w:val="00474DAC"/>
    <w:rsid w:val="00474DD6"/>
    <w:rsid w:val="00474F06"/>
    <w:rsid w:val="00474F7E"/>
    <w:rsid w:val="00475015"/>
    <w:rsid w:val="004751A5"/>
    <w:rsid w:val="00475353"/>
    <w:rsid w:val="004755CE"/>
    <w:rsid w:val="004755ED"/>
    <w:rsid w:val="0047562A"/>
    <w:rsid w:val="00475651"/>
    <w:rsid w:val="0047567A"/>
    <w:rsid w:val="0047591F"/>
    <w:rsid w:val="00475A57"/>
    <w:rsid w:val="00475A7C"/>
    <w:rsid w:val="00475F34"/>
    <w:rsid w:val="00476073"/>
    <w:rsid w:val="004760AB"/>
    <w:rsid w:val="00476115"/>
    <w:rsid w:val="00476271"/>
    <w:rsid w:val="004763B0"/>
    <w:rsid w:val="004764FE"/>
    <w:rsid w:val="00476655"/>
    <w:rsid w:val="0047696E"/>
    <w:rsid w:val="00476A2C"/>
    <w:rsid w:val="00476BB2"/>
    <w:rsid w:val="00476CB3"/>
    <w:rsid w:val="00476D5A"/>
    <w:rsid w:val="00476D9D"/>
    <w:rsid w:val="00476E16"/>
    <w:rsid w:val="0047729C"/>
    <w:rsid w:val="00477318"/>
    <w:rsid w:val="004775DB"/>
    <w:rsid w:val="00477626"/>
    <w:rsid w:val="00477835"/>
    <w:rsid w:val="0047792E"/>
    <w:rsid w:val="00477F6C"/>
    <w:rsid w:val="00477F7B"/>
    <w:rsid w:val="00480169"/>
    <w:rsid w:val="00480235"/>
    <w:rsid w:val="00480262"/>
    <w:rsid w:val="00480504"/>
    <w:rsid w:val="0048079E"/>
    <w:rsid w:val="00480B23"/>
    <w:rsid w:val="00480F84"/>
    <w:rsid w:val="00480FB5"/>
    <w:rsid w:val="00480FDB"/>
    <w:rsid w:val="00481570"/>
    <w:rsid w:val="004815E9"/>
    <w:rsid w:val="004816DE"/>
    <w:rsid w:val="004816F2"/>
    <w:rsid w:val="00481780"/>
    <w:rsid w:val="00481857"/>
    <w:rsid w:val="004818DF"/>
    <w:rsid w:val="00481A6F"/>
    <w:rsid w:val="00481A74"/>
    <w:rsid w:val="00481B33"/>
    <w:rsid w:val="00481BDF"/>
    <w:rsid w:val="00481CDB"/>
    <w:rsid w:val="00481D1B"/>
    <w:rsid w:val="00481E37"/>
    <w:rsid w:val="00481ECB"/>
    <w:rsid w:val="004821D0"/>
    <w:rsid w:val="00482266"/>
    <w:rsid w:val="004822DE"/>
    <w:rsid w:val="0048237A"/>
    <w:rsid w:val="00482461"/>
    <w:rsid w:val="00482570"/>
    <w:rsid w:val="00482CBA"/>
    <w:rsid w:val="00482E54"/>
    <w:rsid w:val="00482E92"/>
    <w:rsid w:val="00482EDB"/>
    <w:rsid w:val="00482F64"/>
    <w:rsid w:val="00483240"/>
    <w:rsid w:val="00483450"/>
    <w:rsid w:val="004834DB"/>
    <w:rsid w:val="0048352C"/>
    <w:rsid w:val="00483754"/>
    <w:rsid w:val="00483A51"/>
    <w:rsid w:val="00483A9D"/>
    <w:rsid w:val="00483B04"/>
    <w:rsid w:val="00483F7B"/>
    <w:rsid w:val="00483FEA"/>
    <w:rsid w:val="00484104"/>
    <w:rsid w:val="00484116"/>
    <w:rsid w:val="0048450E"/>
    <w:rsid w:val="00484572"/>
    <w:rsid w:val="004847E4"/>
    <w:rsid w:val="00484A84"/>
    <w:rsid w:val="00484CEF"/>
    <w:rsid w:val="00485159"/>
    <w:rsid w:val="00485170"/>
    <w:rsid w:val="00485199"/>
    <w:rsid w:val="00485896"/>
    <w:rsid w:val="00486170"/>
    <w:rsid w:val="00486483"/>
    <w:rsid w:val="0048648B"/>
    <w:rsid w:val="004865FA"/>
    <w:rsid w:val="0048662D"/>
    <w:rsid w:val="004867A0"/>
    <w:rsid w:val="00486857"/>
    <w:rsid w:val="00486A4A"/>
    <w:rsid w:val="00486B2C"/>
    <w:rsid w:val="00486C69"/>
    <w:rsid w:val="00486E47"/>
    <w:rsid w:val="00487048"/>
    <w:rsid w:val="00487586"/>
    <w:rsid w:val="0048765A"/>
    <w:rsid w:val="00487679"/>
    <w:rsid w:val="004876DA"/>
    <w:rsid w:val="00487744"/>
    <w:rsid w:val="0048774A"/>
    <w:rsid w:val="00487764"/>
    <w:rsid w:val="00487799"/>
    <w:rsid w:val="004877B2"/>
    <w:rsid w:val="00487C7A"/>
    <w:rsid w:val="00487D5F"/>
    <w:rsid w:val="00490274"/>
    <w:rsid w:val="004903B1"/>
    <w:rsid w:val="004903BC"/>
    <w:rsid w:val="00490503"/>
    <w:rsid w:val="00490513"/>
    <w:rsid w:val="00490641"/>
    <w:rsid w:val="004907B3"/>
    <w:rsid w:val="004908EB"/>
    <w:rsid w:val="00490934"/>
    <w:rsid w:val="00490AC7"/>
    <w:rsid w:val="00490CDA"/>
    <w:rsid w:val="00490D32"/>
    <w:rsid w:val="00490E64"/>
    <w:rsid w:val="00490FF1"/>
    <w:rsid w:val="0049100B"/>
    <w:rsid w:val="0049100E"/>
    <w:rsid w:val="0049119D"/>
    <w:rsid w:val="00491327"/>
    <w:rsid w:val="0049150B"/>
    <w:rsid w:val="004915AA"/>
    <w:rsid w:val="0049168B"/>
    <w:rsid w:val="004918D4"/>
    <w:rsid w:val="004919AA"/>
    <w:rsid w:val="00491C53"/>
    <w:rsid w:val="00491D09"/>
    <w:rsid w:val="00491F68"/>
    <w:rsid w:val="00492197"/>
    <w:rsid w:val="00492268"/>
    <w:rsid w:val="00492454"/>
    <w:rsid w:val="00492476"/>
    <w:rsid w:val="004924EC"/>
    <w:rsid w:val="004926EE"/>
    <w:rsid w:val="00492811"/>
    <w:rsid w:val="004928ED"/>
    <w:rsid w:val="00492DC5"/>
    <w:rsid w:val="004930A8"/>
    <w:rsid w:val="0049342C"/>
    <w:rsid w:val="004936C0"/>
    <w:rsid w:val="00493772"/>
    <w:rsid w:val="00493786"/>
    <w:rsid w:val="004939BC"/>
    <w:rsid w:val="00493C94"/>
    <w:rsid w:val="00493EBB"/>
    <w:rsid w:val="00494054"/>
    <w:rsid w:val="004940D3"/>
    <w:rsid w:val="004943FB"/>
    <w:rsid w:val="004944DD"/>
    <w:rsid w:val="004947FA"/>
    <w:rsid w:val="00494890"/>
    <w:rsid w:val="0049497E"/>
    <w:rsid w:val="004949D6"/>
    <w:rsid w:val="00494A61"/>
    <w:rsid w:val="00494DB3"/>
    <w:rsid w:val="00494E0D"/>
    <w:rsid w:val="00494E64"/>
    <w:rsid w:val="00494F03"/>
    <w:rsid w:val="00495180"/>
    <w:rsid w:val="0049555C"/>
    <w:rsid w:val="0049558B"/>
    <w:rsid w:val="00495703"/>
    <w:rsid w:val="004957F9"/>
    <w:rsid w:val="004958CB"/>
    <w:rsid w:val="004959D9"/>
    <w:rsid w:val="00495A64"/>
    <w:rsid w:val="00495DF3"/>
    <w:rsid w:val="004961E5"/>
    <w:rsid w:val="0049628D"/>
    <w:rsid w:val="00496451"/>
    <w:rsid w:val="0049651C"/>
    <w:rsid w:val="00496593"/>
    <w:rsid w:val="004965E2"/>
    <w:rsid w:val="004966AD"/>
    <w:rsid w:val="004966B9"/>
    <w:rsid w:val="00496AAE"/>
    <w:rsid w:val="00496DE0"/>
    <w:rsid w:val="00497047"/>
    <w:rsid w:val="004970EE"/>
    <w:rsid w:val="00497123"/>
    <w:rsid w:val="00497219"/>
    <w:rsid w:val="0049730A"/>
    <w:rsid w:val="00497353"/>
    <w:rsid w:val="0049744A"/>
    <w:rsid w:val="00497474"/>
    <w:rsid w:val="004974F7"/>
    <w:rsid w:val="0049756F"/>
    <w:rsid w:val="0049757C"/>
    <w:rsid w:val="004975B7"/>
    <w:rsid w:val="00497629"/>
    <w:rsid w:val="004977C4"/>
    <w:rsid w:val="00497947"/>
    <w:rsid w:val="00497A08"/>
    <w:rsid w:val="00497A6C"/>
    <w:rsid w:val="00497A73"/>
    <w:rsid w:val="00497A7F"/>
    <w:rsid w:val="00497C36"/>
    <w:rsid w:val="00497C9E"/>
    <w:rsid w:val="00497E6D"/>
    <w:rsid w:val="0049A8B2"/>
    <w:rsid w:val="0049E148"/>
    <w:rsid w:val="004A03BF"/>
    <w:rsid w:val="004A06F7"/>
    <w:rsid w:val="004A0890"/>
    <w:rsid w:val="004A090B"/>
    <w:rsid w:val="004A0927"/>
    <w:rsid w:val="004A09E1"/>
    <w:rsid w:val="004A0C15"/>
    <w:rsid w:val="004A0CE5"/>
    <w:rsid w:val="004A0D1B"/>
    <w:rsid w:val="004A0E22"/>
    <w:rsid w:val="004A0F2A"/>
    <w:rsid w:val="004A10DB"/>
    <w:rsid w:val="004A1273"/>
    <w:rsid w:val="004A133D"/>
    <w:rsid w:val="004A14C3"/>
    <w:rsid w:val="004A171E"/>
    <w:rsid w:val="004A17A0"/>
    <w:rsid w:val="004A18C3"/>
    <w:rsid w:val="004A18DF"/>
    <w:rsid w:val="004A1E3E"/>
    <w:rsid w:val="004A1E67"/>
    <w:rsid w:val="004A1FE3"/>
    <w:rsid w:val="004A210C"/>
    <w:rsid w:val="004A2535"/>
    <w:rsid w:val="004A254E"/>
    <w:rsid w:val="004A254F"/>
    <w:rsid w:val="004A269E"/>
    <w:rsid w:val="004A2791"/>
    <w:rsid w:val="004A281F"/>
    <w:rsid w:val="004A2AF7"/>
    <w:rsid w:val="004A2C56"/>
    <w:rsid w:val="004A3161"/>
    <w:rsid w:val="004A32E7"/>
    <w:rsid w:val="004A3318"/>
    <w:rsid w:val="004A3429"/>
    <w:rsid w:val="004A3466"/>
    <w:rsid w:val="004A349A"/>
    <w:rsid w:val="004A35E7"/>
    <w:rsid w:val="004A3648"/>
    <w:rsid w:val="004A3BCC"/>
    <w:rsid w:val="004A3C68"/>
    <w:rsid w:val="004A3DC1"/>
    <w:rsid w:val="004A3FF4"/>
    <w:rsid w:val="004A4B19"/>
    <w:rsid w:val="004A4E42"/>
    <w:rsid w:val="004A4EC0"/>
    <w:rsid w:val="004A4F01"/>
    <w:rsid w:val="004A5037"/>
    <w:rsid w:val="004A537E"/>
    <w:rsid w:val="004A53E4"/>
    <w:rsid w:val="004A5425"/>
    <w:rsid w:val="004A54DA"/>
    <w:rsid w:val="004A54EF"/>
    <w:rsid w:val="004A5526"/>
    <w:rsid w:val="004A5D71"/>
    <w:rsid w:val="004A5EF7"/>
    <w:rsid w:val="004A5FE5"/>
    <w:rsid w:val="004A633E"/>
    <w:rsid w:val="004A638D"/>
    <w:rsid w:val="004A6423"/>
    <w:rsid w:val="004A6591"/>
    <w:rsid w:val="004A65AC"/>
    <w:rsid w:val="004A69D9"/>
    <w:rsid w:val="004A6AEC"/>
    <w:rsid w:val="004A6CFA"/>
    <w:rsid w:val="004A6DA9"/>
    <w:rsid w:val="004A7021"/>
    <w:rsid w:val="004A70B8"/>
    <w:rsid w:val="004A7734"/>
    <w:rsid w:val="004A7914"/>
    <w:rsid w:val="004A79D8"/>
    <w:rsid w:val="004A7B0C"/>
    <w:rsid w:val="004A7B71"/>
    <w:rsid w:val="004A7C71"/>
    <w:rsid w:val="004A7CB7"/>
    <w:rsid w:val="004A7D52"/>
    <w:rsid w:val="004A7FC9"/>
    <w:rsid w:val="004B0375"/>
    <w:rsid w:val="004B04CF"/>
    <w:rsid w:val="004B06EA"/>
    <w:rsid w:val="004B075B"/>
    <w:rsid w:val="004B0D92"/>
    <w:rsid w:val="004B0E45"/>
    <w:rsid w:val="004B0E4A"/>
    <w:rsid w:val="004B0F8C"/>
    <w:rsid w:val="004B102C"/>
    <w:rsid w:val="004B10DD"/>
    <w:rsid w:val="004B11F7"/>
    <w:rsid w:val="004B15F4"/>
    <w:rsid w:val="004B1736"/>
    <w:rsid w:val="004B1841"/>
    <w:rsid w:val="004B1860"/>
    <w:rsid w:val="004B1958"/>
    <w:rsid w:val="004B196D"/>
    <w:rsid w:val="004B19B5"/>
    <w:rsid w:val="004B1E7C"/>
    <w:rsid w:val="004B1F5B"/>
    <w:rsid w:val="004B1FAE"/>
    <w:rsid w:val="004B204D"/>
    <w:rsid w:val="004B2226"/>
    <w:rsid w:val="004B23F2"/>
    <w:rsid w:val="004B2567"/>
    <w:rsid w:val="004B268F"/>
    <w:rsid w:val="004B2710"/>
    <w:rsid w:val="004B274C"/>
    <w:rsid w:val="004B27BF"/>
    <w:rsid w:val="004B2909"/>
    <w:rsid w:val="004B295F"/>
    <w:rsid w:val="004B29CB"/>
    <w:rsid w:val="004B2E6D"/>
    <w:rsid w:val="004B2EEE"/>
    <w:rsid w:val="004B2EF6"/>
    <w:rsid w:val="004B314C"/>
    <w:rsid w:val="004B3489"/>
    <w:rsid w:val="004B348C"/>
    <w:rsid w:val="004B34D1"/>
    <w:rsid w:val="004B35B5"/>
    <w:rsid w:val="004B3875"/>
    <w:rsid w:val="004B38D5"/>
    <w:rsid w:val="004B3CB0"/>
    <w:rsid w:val="004B424C"/>
    <w:rsid w:val="004B4490"/>
    <w:rsid w:val="004B4513"/>
    <w:rsid w:val="004B46D8"/>
    <w:rsid w:val="004B46EE"/>
    <w:rsid w:val="004B48F8"/>
    <w:rsid w:val="004B49FE"/>
    <w:rsid w:val="004B4A90"/>
    <w:rsid w:val="004B4BB5"/>
    <w:rsid w:val="004B4BE6"/>
    <w:rsid w:val="004B4C7A"/>
    <w:rsid w:val="004B4D6C"/>
    <w:rsid w:val="004B4E82"/>
    <w:rsid w:val="004B5099"/>
    <w:rsid w:val="004B541E"/>
    <w:rsid w:val="004B550A"/>
    <w:rsid w:val="004B55E2"/>
    <w:rsid w:val="004B59B9"/>
    <w:rsid w:val="004B5AD0"/>
    <w:rsid w:val="004B5ED6"/>
    <w:rsid w:val="004B5FC5"/>
    <w:rsid w:val="004B6027"/>
    <w:rsid w:val="004B614C"/>
    <w:rsid w:val="004B62EB"/>
    <w:rsid w:val="004B64E0"/>
    <w:rsid w:val="004B65C9"/>
    <w:rsid w:val="004B6793"/>
    <w:rsid w:val="004B697B"/>
    <w:rsid w:val="004B6A17"/>
    <w:rsid w:val="004B6A68"/>
    <w:rsid w:val="004B6ACC"/>
    <w:rsid w:val="004B6BE5"/>
    <w:rsid w:val="004B6C02"/>
    <w:rsid w:val="004B6F40"/>
    <w:rsid w:val="004B6F6F"/>
    <w:rsid w:val="004B717C"/>
    <w:rsid w:val="004B723D"/>
    <w:rsid w:val="004B73DD"/>
    <w:rsid w:val="004B741D"/>
    <w:rsid w:val="004B7695"/>
    <w:rsid w:val="004B770B"/>
    <w:rsid w:val="004B77C7"/>
    <w:rsid w:val="004B793E"/>
    <w:rsid w:val="004B7D7B"/>
    <w:rsid w:val="004B7F7B"/>
    <w:rsid w:val="004C0056"/>
    <w:rsid w:val="004C01AF"/>
    <w:rsid w:val="004C029D"/>
    <w:rsid w:val="004C0336"/>
    <w:rsid w:val="004C04D5"/>
    <w:rsid w:val="004C07B8"/>
    <w:rsid w:val="004C07D2"/>
    <w:rsid w:val="004C096A"/>
    <w:rsid w:val="004C0D6D"/>
    <w:rsid w:val="004C1002"/>
    <w:rsid w:val="004C152A"/>
    <w:rsid w:val="004C1736"/>
    <w:rsid w:val="004C177B"/>
    <w:rsid w:val="004C18B5"/>
    <w:rsid w:val="004C19CE"/>
    <w:rsid w:val="004C1D35"/>
    <w:rsid w:val="004C1DF6"/>
    <w:rsid w:val="004C212E"/>
    <w:rsid w:val="004C224A"/>
    <w:rsid w:val="004C22A2"/>
    <w:rsid w:val="004C284A"/>
    <w:rsid w:val="004C29A4"/>
    <w:rsid w:val="004C2A03"/>
    <w:rsid w:val="004C2A4D"/>
    <w:rsid w:val="004C2A55"/>
    <w:rsid w:val="004C2AEA"/>
    <w:rsid w:val="004C2B37"/>
    <w:rsid w:val="004C2B5D"/>
    <w:rsid w:val="004C2BC4"/>
    <w:rsid w:val="004C2BE6"/>
    <w:rsid w:val="004C2C89"/>
    <w:rsid w:val="004C2D24"/>
    <w:rsid w:val="004C2E4F"/>
    <w:rsid w:val="004C2E5A"/>
    <w:rsid w:val="004C33DD"/>
    <w:rsid w:val="004C3754"/>
    <w:rsid w:val="004C39C8"/>
    <w:rsid w:val="004C3A23"/>
    <w:rsid w:val="004C3CBF"/>
    <w:rsid w:val="004C3D48"/>
    <w:rsid w:val="004C3D66"/>
    <w:rsid w:val="004C3F27"/>
    <w:rsid w:val="004C4113"/>
    <w:rsid w:val="004C45FB"/>
    <w:rsid w:val="004C466E"/>
    <w:rsid w:val="004C477B"/>
    <w:rsid w:val="004C48C1"/>
    <w:rsid w:val="004C48E7"/>
    <w:rsid w:val="004C4CAA"/>
    <w:rsid w:val="004C4FB0"/>
    <w:rsid w:val="004C528C"/>
    <w:rsid w:val="004C52EC"/>
    <w:rsid w:val="004C53B3"/>
    <w:rsid w:val="004C567B"/>
    <w:rsid w:val="004C56ED"/>
    <w:rsid w:val="004C5727"/>
    <w:rsid w:val="004C5D5D"/>
    <w:rsid w:val="004C5E3C"/>
    <w:rsid w:val="004C5E5C"/>
    <w:rsid w:val="004C6039"/>
    <w:rsid w:val="004C6212"/>
    <w:rsid w:val="004C63CE"/>
    <w:rsid w:val="004C64E5"/>
    <w:rsid w:val="004C65D8"/>
    <w:rsid w:val="004C6978"/>
    <w:rsid w:val="004C6B8D"/>
    <w:rsid w:val="004C6BB5"/>
    <w:rsid w:val="004C7391"/>
    <w:rsid w:val="004C7402"/>
    <w:rsid w:val="004C74B3"/>
    <w:rsid w:val="004C75DD"/>
    <w:rsid w:val="004C7671"/>
    <w:rsid w:val="004C7C1A"/>
    <w:rsid w:val="004C7C49"/>
    <w:rsid w:val="004C7D7C"/>
    <w:rsid w:val="004D0325"/>
    <w:rsid w:val="004D05A5"/>
    <w:rsid w:val="004D0648"/>
    <w:rsid w:val="004D0B2A"/>
    <w:rsid w:val="004D0F9F"/>
    <w:rsid w:val="004D11B6"/>
    <w:rsid w:val="004D13E0"/>
    <w:rsid w:val="004D158C"/>
    <w:rsid w:val="004D160D"/>
    <w:rsid w:val="004D1783"/>
    <w:rsid w:val="004D185C"/>
    <w:rsid w:val="004D1EAA"/>
    <w:rsid w:val="004D1F53"/>
    <w:rsid w:val="004D1FD3"/>
    <w:rsid w:val="004D2530"/>
    <w:rsid w:val="004D2AB5"/>
    <w:rsid w:val="004D2B1F"/>
    <w:rsid w:val="004D2D93"/>
    <w:rsid w:val="004D2E3C"/>
    <w:rsid w:val="004D2EE0"/>
    <w:rsid w:val="004D307C"/>
    <w:rsid w:val="004D39EA"/>
    <w:rsid w:val="004D39F1"/>
    <w:rsid w:val="004D39FC"/>
    <w:rsid w:val="004D3A0B"/>
    <w:rsid w:val="004D3B61"/>
    <w:rsid w:val="004D3DC0"/>
    <w:rsid w:val="004D3E68"/>
    <w:rsid w:val="004D3F20"/>
    <w:rsid w:val="004D3F52"/>
    <w:rsid w:val="004D4306"/>
    <w:rsid w:val="004D4365"/>
    <w:rsid w:val="004D440D"/>
    <w:rsid w:val="004D4414"/>
    <w:rsid w:val="004D450E"/>
    <w:rsid w:val="004D47CC"/>
    <w:rsid w:val="004D4913"/>
    <w:rsid w:val="004D4964"/>
    <w:rsid w:val="004D496F"/>
    <w:rsid w:val="004D4B7A"/>
    <w:rsid w:val="004D4D3E"/>
    <w:rsid w:val="004D4EF1"/>
    <w:rsid w:val="004D50B4"/>
    <w:rsid w:val="004D5171"/>
    <w:rsid w:val="004D51E8"/>
    <w:rsid w:val="004D536F"/>
    <w:rsid w:val="004D5948"/>
    <w:rsid w:val="004D59C1"/>
    <w:rsid w:val="004D5A5A"/>
    <w:rsid w:val="004D5D4F"/>
    <w:rsid w:val="004D5FBF"/>
    <w:rsid w:val="004D5FDB"/>
    <w:rsid w:val="004D61F5"/>
    <w:rsid w:val="004D6376"/>
    <w:rsid w:val="004D6646"/>
    <w:rsid w:val="004D69B1"/>
    <w:rsid w:val="004D6A89"/>
    <w:rsid w:val="004D6B71"/>
    <w:rsid w:val="004D6C0F"/>
    <w:rsid w:val="004D6CD0"/>
    <w:rsid w:val="004D6E0F"/>
    <w:rsid w:val="004D6E2B"/>
    <w:rsid w:val="004D6ECC"/>
    <w:rsid w:val="004D7324"/>
    <w:rsid w:val="004D75DC"/>
    <w:rsid w:val="004D78E8"/>
    <w:rsid w:val="004D7D75"/>
    <w:rsid w:val="004D7DDC"/>
    <w:rsid w:val="004D9848"/>
    <w:rsid w:val="004E054D"/>
    <w:rsid w:val="004E0F4E"/>
    <w:rsid w:val="004E1001"/>
    <w:rsid w:val="004E1081"/>
    <w:rsid w:val="004E1114"/>
    <w:rsid w:val="004E112D"/>
    <w:rsid w:val="004E1385"/>
    <w:rsid w:val="004E1434"/>
    <w:rsid w:val="004E1613"/>
    <w:rsid w:val="004E197A"/>
    <w:rsid w:val="004E19EB"/>
    <w:rsid w:val="004E1B93"/>
    <w:rsid w:val="004E1D0F"/>
    <w:rsid w:val="004E1D3D"/>
    <w:rsid w:val="004E1E7E"/>
    <w:rsid w:val="004E244E"/>
    <w:rsid w:val="004E24AC"/>
    <w:rsid w:val="004E2508"/>
    <w:rsid w:val="004E257B"/>
    <w:rsid w:val="004E2595"/>
    <w:rsid w:val="004E25A5"/>
    <w:rsid w:val="004E25B7"/>
    <w:rsid w:val="004E25F0"/>
    <w:rsid w:val="004E2649"/>
    <w:rsid w:val="004E267A"/>
    <w:rsid w:val="004E26DF"/>
    <w:rsid w:val="004E2710"/>
    <w:rsid w:val="004E295D"/>
    <w:rsid w:val="004E2A48"/>
    <w:rsid w:val="004E2A9D"/>
    <w:rsid w:val="004E2AA6"/>
    <w:rsid w:val="004E2C7D"/>
    <w:rsid w:val="004E2CF1"/>
    <w:rsid w:val="004E2DA5"/>
    <w:rsid w:val="004E2F5A"/>
    <w:rsid w:val="004E2F6D"/>
    <w:rsid w:val="004E322B"/>
    <w:rsid w:val="004E3256"/>
    <w:rsid w:val="004E3282"/>
    <w:rsid w:val="004E3486"/>
    <w:rsid w:val="004E3688"/>
    <w:rsid w:val="004E3716"/>
    <w:rsid w:val="004E3A7E"/>
    <w:rsid w:val="004E4215"/>
    <w:rsid w:val="004E44B9"/>
    <w:rsid w:val="004E49AD"/>
    <w:rsid w:val="004E49C4"/>
    <w:rsid w:val="004E4CFB"/>
    <w:rsid w:val="004E4CFD"/>
    <w:rsid w:val="004E4E39"/>
    <w:rsid w:val="004E4E7C"/>
    <w:rsid w:val="004E523E"/>
    <w:rsid w:val="004E54D9"/>
    <w:rsid w:val="004E5586"/>
    <w:rsid w:val="004E5836"/>
    <w:rsid w:val="004E5937"/>
    <w:rsid w:val="004E5964"/>
    <w:rsid w:val="004E5A92"/>
    <w:rsid w:val="004E5DD4"/>
    <w:rsid w:val="004E5F99"/>
    <w:rsid w:val="004E6148"/>
    <w:rsid w:val="004E63E6"/>
    <w:rsid w:val="004E667D"/>
    <w:rsid w:val="004E69B3"/>
    <w:rsid w:val="004E6B11"/>
    <w:rsid w:val="004E6C48"/>
    <w:rsid w:val="004E6C68"/>
    <w:rsid w:val="004E6D87"/>
    <w:rsid w:val="004E6DD8"/>
    <w:rsid w:val="004E6FAE"/>
    <w:rsid w:val="004E708B"/>
    <w:rsid w:val="004E70A2"/>
    <w:rsid w:val="004E7117"/>
    <w:rsid w:val="004E711C"/>
    <w:rsid w:val="004E7268"/>
    <w:rsid w:val="004E7372"/>
    <w:rsid w:val="004E74AD"/>
    <w:rsid w:val="004E750A"/>
    <w:rsid w:val="004E777D"/>
    <w:rsid w:val="004E7787"/>
    <w:rsid w:val="004E797E"/>
    <w:rsid w:val="004E7A5C"/>
    <w:rsid w:val="004E7B74"/>
    <w:rsid w:val="004E7C94"/>
    <w:rsid w:val="004E7FA2"/>
    <w:rsid w:val="004EF64C"/>
    <w:rsid w:val="004F02B6"/>
    <w:rsid w:val="004F03E9"/>
    <w:rsid w:val="004F04A3"/>
    <w:rsid w:val="004F05C9"/>
    <w:rsid w:val="004F06B4"/>
    <w:rsid w:val="004F0725"/>
    <w:rsid w:val="004F08A0"/>
    <w:rsid w:val="004F0990"/>
    <w:rsid w:val="004F0AA5"/>
    <w:rsid w:val="004F0AF2"/>
    <w:rsid w:val="004F0B76"/>
    <w:rsid w:val="004F0BE8"/>
    <w:rsid w:val="004F0C81"/>
    <w:rsid w:val="004F0D5C"/>
    <w:rsid w:val="004F0DBD"/>
    <w:rsid w:val="004F0E42"/>
    <w:rsid w:val="004F100B"/>
    <w:rsid w:val="004F1031"/>
    <w:rsid w:val="004F106C"/>
    <w:rsid w:val="004F1640"/>
    <w:rsid w:val="004F16BD"/>
    <w:rsid w:val="004F17BF"/>
    <w:rsid w:val="004F1900"/>
    <w:rsid w:val="004F1A80"/>
    <w:rsid w:val="004F1BF4"/>
    <w:rsid w:val="004F1C48"/>
    <w:rsid w:val="004F1F4C"/>
    <w:rsid w:val="004F2049"/>
    <w:rsid w:val="004F26CE"/>
    <w:rsid w:val="004F2777"/>
    <w:rsid w:val="004F29FD"/>
    <w:rsid w:val="004F2A30"/>
    <w:rsid w:val="004F2B51"/>
    <w:rsid w:val="004F2C0B"/>
    <w:rsid w:val="004F2C60"/>
    <w:rsid w:val="004F2F6D"/>
    <w:rsid w:val="004F3176"/>
    <w:rsid w:val="004F3193"/>
    <w:rsid w:val="004F320B"/>
    <w:rsid w:val="004F3441"/>
    <w:rsid w:val="004F3516"/>
    <w:rsid w:val="004F35B1"/>
    <w:rsid w:val="004F35F6"/>
    <w:rsid w:val="004F3993"/>
    <w:rsid w:val="004F3A2F"/>
    <w:rsid w:val="004F3B53"/>
    <w:rsid w:val="004F3C9B"/>
    <w:rsid w:val="004F407D"/>
    <w:rsid w:val="004F40FB"/>
    <w:rsid w:val="004F4273"/>
    <w:rsid w:val="004F43F5"/>
    <w:rsid w:val="004F4477"/>
    <w:rsid w:val="004F44F9"/>
    <w:rsid w:val="004F45A7"/>
    <w:rsid w:val="004F47B3"/>
    <w:rsid w:val="004F4E12"/>
    <w:rsid w:val="004F4E73"/>
    <w:rsid w:val="004F4F49"/>
    <w:rsid w:val="004F5105"/>
    <w:rsid w:val="004F52E7"/>
    <w:rsid w:val="004F5627"/>
    <w:rsid w:val="004F56A7"/>
    <w:rsid w:val="004F56E0"/>
    <w:rsid w:val="004F5781"/>
    <w:rsid w:val="004F594D"/>
    <w:rsid w:val="004F5C7C"/>
    <w:rsid w:val="004F5D61"/>
    <w:rsid w:val="004F611F"/>
    <w:rsid w:val="004F627F"/>
    <w:rsid w:val="004F64FD"/>
    <w:rsid w:val="004F6500"/>
    <w:rsid w:val="004F6569"/>
    <w:rsid w:val="004F65EB"/>
    <w:rsid w:val="004F6917"/>
    <w:rsid w:val="004F6990"/>
    <w:rsid w:val="004F6ACA"/>
    <w:rsid w:val="004F6C50"/>
    <w:rsid w:val="004F72A6"/>
    <w:rsid w:val="004F73C0"/>
    <w:rsid w:val="004F73FB"/>
    <w:rsid w:val="004F743B"/>
    <w:rsid w:val="004F750D"/>
    <w:rsid w:val="004F775C"/>
    <w:rsid w:val="004F781B"/>
    <w:rsid w:val="004F787A"/>
    <w:rsid w:val="004F7A65"/>
    <w:rsid w:val="004F7CB3"/>
    <w:rsid w:val="004F7D84"/>
    <w:rsid w:val="004F7F00"/>
    <w:rsid w:val="004F7F28"/>
    <w:rsid w:val="0050003C"/>
    <w:rsid w:val="005001ED"/>
    <w:rsid w:val="005003E5"/>
    <w:rsid w:val="00500609"/>
    <w:rsid w:val="00500618"/>
    <w:rsid w:val="00500652"/>
    <w:rsid w:val="0050069F"/>
    <w:rsid w:val="005008D0"/>
    <w:rsid w:val="00500947"/>
    <w:rsid w:val="0050095E"/>
    <w:rsid w:val="00500C7D"/>
    <w:rsid w:val="00500D0D"/>
    <w:rsid w:val="00500F96"/>
    <w:rsid w:val="0050101C"/>
    <w:rsid w:val="0050125A"/>
    <w:rsid w:val="005013C6"/>
    <w:rsid w:val="005015B1"/>
    <w:rsid w:val="0050183C"/>
    <w:rsid w:val="00501952"/>
    <w:rsid w:val="0050199D"/>
    <w:rsid w:val="00501DFB"/>
    <w:rsid w:val="005020C4"/>
    <w:rsid w:val="005020E5"/>
    <w:rsid w:val="005021BB"/>
    <w:rsid w:val="0050228A"/>
    <w:rsid w:val="005022D5"/>
    <w:rsid w:val="00502453"/>
    <w:rsid w:val="0050262B"/>
    <w:rsid w:val="00502B7F"/>
    <w:rsid w:val="00502CCF"/>
    <w:rsid w:val="00502D9B"/>
    <w:rsid w:val="00502DF7"/>
    <w:rsid w:val="00502F6F"/>
    <w:rsid w:val="00502F96"/>
    <w:rsid w:val="00502FA2"/>
    <w:rsid w:val="00502FC8"/>
    <w:rsid w:val="00503187"/>
    <w:rsid w:val="005031BC"/>
    <w:rsid w:val="005031D6"/>
    <w:rsid w:val="00503205"/>
    <w:rsid w:val="00503223"/>
    <w:rsid w:val="005033F3"/>
    <w:rsid w:val="0050362F"/>
    <w:rsid w:val="00503928"/>
    <w:rsid w:val="0050396E"/>
    <w:rsid w:val="00503A6D"/>
    <w:rsid w:val="00503D61"/>
    <w:rsid w:val="00503FC3"/>
    <w:rsid w:val="00503FCD"/>
    <w:rsid w:val="00504103"/>
    <w:rsid w:val="00504705"/>
    <w:rsid w:val="00504903"/>
    <w:rsid w:val="00504960"/>
    <w:rsid w:val="00504B1C"/>
    <w:rsid w:val="00504B5D"/>
    <w:rsid w:val="005053BC"/>
    <w:rsid w:val="00505484"/>
    <w:rsid w:val="00505A15"/>
    <w:rsid w:val="00505AD8"/>
    <w:rsid w:val="00505D1E"/>
    <w:rsid w:val="00505DDF"/>
    <w:rsid w:val="00505EB2"/>
    <w:rsid w:val="00505F63"/>
    <w:rsid w:val="00505FC5"/>
    <w:rsid w:val="00506104"/>
    <w:rsid w:val="0050640F"/>
    <w:rsid w:val="005065A1"/>
    <w:rsid w:val="00506628"/>
    <w:rsid w:val="00506A1F"/>
    <w:rsid w:val="00506AC9"/>
    <w:rsid w:val="00506BB8"/>
    <w:rsid w:val="00506C3A"/>
    <w:rsid w:val="00506DE0"/>
    <w:rsid w:val="00506DE2"/>
    <w:rsid w:val="00506E2D"/>
    <w:rsid w:val="00506E55"/>
    <w:rsid w:val="00506FBE"/>
    <w:rsid w:val="00507101"/>
    <w:rsid w:val="0050720B"/>
    <w:rsid w:val="0050721C"/>
    <w:rsid w:val="0050728A"/>
    <w:rsid w:val="0050743B"/>
    <w:rsid w:val="0050753F"/>
    <w:rsid w:val="005075F8"/>
    <w:rsid w:val="00507692"/>
    <w:rsid w:val="00507839"/>
    <w:rsid w:val="00507AA2"/>
    <w:rsid w:val="00507ADA"/>
    <w:rsid w:val="00507BF5"/>
    <w:rsid w:val="00507DDD"/>
    <w:rsid w:val="00507F87"/>
    <w:rsid w:val="00510074"/>
    <w:rsid w:val="00510262"/>
    <w:rsid w:val="00510476"/>
    <w:rsid w:val="005104B8"/>
    <w:rsid w:val="0051081C"/>
    <w:rsid w:val="00510889"/>
    <w:rsid w:val="0051095E"/>
    <w:rsid w:val="00510AED"/>
    <w:rsid w:val="00510E36"/>
    <w:rsid w:val="00510F2F"/>
    <w:rsid w:val="005110AD"/>
    <w:rsid w:val="005110DD"/>
    <w:rsid w:val="00511357"/>
    <w:rsid w:val="00511429"/>
    <w:rsid w:val="00511613"/>
    <w:rsid w:val="005118D3"/>
    <w:rsid w:val="00511ABB"/>
    <w:rsid w:val="00511BE7"/>
    <w:rsid w:val="00511BF1"/>
    <w:rsid w:val="00511EB1"/>
    <w:rsid w:val="0051207E"/>
    <w:rsid w:val="00512152"/>
    <w:rsid w:val="005125FE"/>
    <w:rsid w:val="005127F4"/>
    <w:rsid w:val="00512901"/>
    <w:rsid w:val="005129CF"/>
    <w:rsid w:val="00512E26"/>
    <w:rsid w:val="00512EB4"/>
    <w:rsid w:val="00512FFF"/>
    <w:rsid w:val="005130B7"/>
    <w:rsid w:val="005133C8"/>
    <w:rsid w:val="00513425"/>
    <w:rsid w:val="00513451"/>
    <w:rsid w:val="00513481"/>
    <w:rsid w:val="00513729"/>
    <w:rsid w:val="005137FA"/>
    <w:rsid w:val="00513AD1"/>
    <w:rsid w:val="00513BAF"/>
    <w:rsid w:val="00514256"/>
    <w:rsid w:val="00514402"/>
    <w:rsid w:val="0051449F"/>
    <w:rsid w:val="005144BB"/>
    <w:rsid w:val="00514555"/>
    <w:rsid w:val="0051470C"/>
    <w:rsid w:val="005149E9"/>
    <w:rsid w:val="00514D4F"/>
    <w:rsid w:val="0051503B"/>
    <w:rsid w:val="00515114"/>
    <w:rsid w:val="00515253"/>
    <w:rsid w:val="0051525F"/>
    <w:rsid w:val="00515284"/>
    <w:rsid w:val="00515361"/>
    <w:rsid w:val="00515441"/>
    <w:rsid w:val="00515592"/>
    <w:rsid w:val="005157B1"/>
    <w:rsid w:val="00515D6A"/>
    <w:rsid w:val="00515E08"/>
    <w:rsid w:val="0051605F"/>
    <w:rsid w:val="0051607B"/>
    <w:rsid w:val="005161AF"/>
    <w:rsid w:val="0051630A"/>
    <w:rsid w:val="005163F3"/>
    <w:rsid w:val="005165D0"/>
    <w:rsid w:val="00516705"/>
    <w:rsid w:val="00516976"/>
    <w:rsid w:val="005169A5"/>
    <w:rsid w:val="00516A93"/>
    <w:rsid w:val="00516ADA"/>
    <w:rsid w:val="00516C52"/>
    <w:rsid w:val="00516C70"/>
    <w:rsid w:val="00516C81"/>
    <w:rsid w:val="00516CDF"/>
    <w:rsid w:val="00516D32"/>
    <w:rsid w:val="00516EA5"/>
    <w:rsid w:val="00516EDB"/>
    <w:rsid w:val="00516FAA"/>
    <w:rsid w:val="0051706D"/>
    <w:rsid w:val="005173FA"/>
    <w:rsid w:val="00517421"/>
    <w:rsid w:val="005176C9"/>
    <w:rsid w:val="0051790C"/>
    <w:rsid w:val="00517BE4"/>
    <w:rsid w:val="00517CD8"/>
    <w:rsid w:val="00517D55"/>
    <w:rsid w:val="00517FDD"/>
    <w:rsid w:val="0052000D"/>
    <w:rsid w:val="005200D0"/>
    <w:rsid w:val="0052012C"/>
    <w:rsid w:val="00520209"/>
    <w:rsid w:val="0052020F"/>
    <w:rsid w:val="0052032D"/>
    <w:rsid w:val="00520335"/>
    <w:rsid w:val="005203FA"/>
    <w:rsid w:val="005203FF"/>
    <w:rsid w:val="0052062C"/>
    <w:rsid w:val="00520A39"/>
    <w:rsid w:val="00520AE1"/>
    <w:rsid w:val="00520F68"/>
    <w:rsid w:val="00520FB5"/>
    <w:rsid w:val="0052113A"/>
    <w:rsid w:val="005211AA"/>
    <w:rsid w:val="0052120E"/>
    <w:rsid w:val="005212DA"/>
    <w:rsid w:val="00521305"/>
    <w:rsid w:val="0052138E"/>
    <w:rsid w:val="005213F5"/>
    <w:rsid w:val="00521731"/>
    <w:rsid w:val="00521AE6"/>
    <w:rsid w:val="00521B95"/>
    <w:rsid w:val="00521BBA"/>
    <w:rsid w:val="00521BC2"/>
    <w:rsid w:val="00521C44"/>
    <w:rsid w:val="00521E23"/>
    <w:rsid w:val="00521F3B"/>
    <w:rsid w:val="00521FD8"/>
    <w:rsid w:val="00522062"/>
    <w:rsid w:val="005223BC"/>
    <w:rsid w:val="00522679"/>
    <w:rsid w:val="005228DA"/>
    <w:rsid w:val="00522AD6"/>
    <w:rsid w:val="00522C07"/>
    <w:rsid w:val="00522C58"/>
    <w:rsid w:val="00522C81"/>
    <w:rsid w:val="00523015"/>
    <w:rsid w:val="005231DA"/>
    <w:rsid w:val="005234D8"/>
    <w:rsid w:val="0052379C"/>
    <w:rsid w:val="0052387A"/>
    <w:rsid w:val="005238A4"/>
    <w:rsid w:val="00523AD4"/>
    <w:rsid w:val="00523F06"/>
    <w:rsid w:val="00523F0C"/>
    <w:rsid w:val="00524095"/>
    <w:rsid w:val="005240AB"/>
    <w:rsid w:val="005242C0"/>
    <w:rsid w:val="00524628"/>
    <w:rsid w:val="005246E4"/>
    <w:rsid w:val="0052477D"/>
    <w:rsid w:val="00524815"/>
    <w:rsid w:val="005249CB"/>
    <w:rsid w:val="00524AF4"/>
    <w:rsid w:val="00524C63"/>
    <w:rsid w:val="00524DCA"/>
    <w:rsid w:val="00524E8F"/>
    <w:rsid w:val="00524FAB"/>
    <w:rsid w:val="00525055"/>
    <w:rsid w:val="00525451"/>
    <w:rsid w:val="00525B6E"/>
    <w:rsid w:val="00525BB7"/>
    <w:rsid w:val="00525BBF"/>
    <w:rsid w:val="00525C6E"/>
    <w:rsid w:val="00525D04"/>
    <w:rsid w:val="00525EAE"/>
    <w:rsid w:val="00526345"/>
    <w:rsid w:val="00526361"/>
    <w:rsid w:val="0052649C"/>
    <w:rsid w:val="005265CA"/>
    <w:rsid w:val="00526B7D"/>
    <w:rsid w:val="00526CEB"/>
    <w:rsid w:val="00526D1A"/>
    <w:rsid w:val="00526DD0"/>
    <w:rsid w:val="00526E84"/>
    <w:rsid w:val="00526F0E"/>
    <w:rsid w:val="00527092"/>
    <w:rsid w:val="005272D7"/>
    <w:rsid w:val="005273C0"/>
    <w:rsid w:val="005274B3"/>
    <w:rsid w:val="00527974"/>
    <w:rsid w:val="00527CF1"/>
    <w:rsid w:val="00527EBA"/>
    <w:rsid w:val="00527EF0"/>
    <w:rsid w:val="005302DD"/>
    <w:rsid w:val="00530659"/>
    <w:rsid w:val="005306B3"/>
    <w:rsid w:val="005309DA"/>
    <w:rsid w:val="00530AE9"/>
    <w:rsid w:val="00530B61"/>
    <w:rsid w:val="00530EEC"/>
    <w:rsid w:val="0053104F"/>
    <w:rsid w:val="00531154"/>
    <w:rsid w:val="00531379"/>
    <w:rsid w:val="0053141B"/>
    <w:rsid w:val="005316C8"/>
    <w:rsid w:val="005318A3"/>
    <w:rsid w:val="00531E28"/>
    <w:rsid w:val="00531FCB"/>
    <w:rsid w:val="00532310"/>
    <w:rsid w:val="005325BB"/>
    <w:rsid w:val="00532BFD"/>
    <w:rsid w:val="00532F54"/>
    <w:rsid w:val="0053302A"/>
    <w:rsid w:val="0053316E"/>
    <w:rsid w:val="005331CD"/>
    <w:rsid w:val="00533431"/>
    <w:rsid w:val="005334A5"/>
    <w:rsid w:val="00533777"/>
    <w:rsid w:val="005337BB"/>
    <w:rsid w:val="005338A0"/>
    <w:rsid w:val="005338FA"/>
    <w:rsid w:val="00533979"/>
    <w:rsid w:val="00533AB5"/>
    <w:rsid w:val="00533D06"/>
    <w:rsid w:val="00533E85"/>
    <w:rsid w:val="00533ED4"/>
    <w:rsid w:val="005341CD"/>
    <w:rsid w:val="005347E6"/>
    <w:rsid w:val="0053492F"/>
    <w:rsid w:val="005349C2"/>
    <w:rsid w:val="00534A21"/>
    <w:rsid w:val="00534B4B"/>
    <w:rsid w:val="00534E1D"/>
    <w:rsid w:val="00534E4F"/>
    <w:rsid w:val="005352AD"/>
    <w:rsid w:val="005355CC"/>
    <w:rsid w:val="005355DE"/>
    <w:rsid w:val="00535677"/>
    <w:rsid w:val="005356BA"/>
    <w:rsid w:val="00535839"/>
    <w:rsid w:val="00535A6F"/>
    <w:rsid w:val="00535B81"/>
    <w:rsid w:val="00535B9D"/>
    <w:rsid w:val="00535C23"/>
    <w:rsid w:val="00535CAA"/>
    <w:rsid w:val="00535D0B"/>
    <w:rsid w:val="00535D65"/>
    <w:rsid w:val="00535EC2"/>
    <w:rsid w:val="00535F89"/>
    <w:rsid w:val="00535FAE"/>
    <w:rsid w:val="0053601A"/>
    <w:rsid w:val="0053662A"/>
    <w:rsid w:val="005366EB"/>
    <w:rsid w:val="005367B1"/>
    <w:rsid w:val="005367CA"/>
    <w:rsid w:val="005368B6"/>
    <w:rsid w:val="00536917"/>
    <w:rsid w:val="00536991"/>
    <w:rsid w:val="00536A41"/>
    <w:rsid w:val="00536AB3"/>
    <w:rsid w:val="00536BFC"/>
    <w:rsid w:val="00536D1C"/>
    <w:rsid w:val="00536EBC"/>
    <w:rsid w:val="00536FA2"/>
    <w:rsid w:val="00537157"/>
    <w:rsid w:val="0053730B"/>
    <w:rsid w:val="0053769D"/>
    <w:rsid w:val="005378CE"/>
    <w:rsid w:val="005378FE"/>
    <w:rsid w:val="00537BF7"/>
    <w:rsid w:val="00537C61"/>
    <w:rsid w:val="00537C62"/>
    <w:rsid w:val="00537CE9"/>
    <w:rsid w:val="00537E2A"/>
    <w:rsid w:val="00540016"/>
    <w:rsid w:val="00540159"/>
    <w:rsid w:val="0054073D"/>
    <w:rsid w:val="00540762"/>
    <w:rsid w:val="00540B74"/>
    <w:rsid w:val="00540D40"/>
    <w:rsid w:val="005411A6"/>
    <w:rsid w:val="00541377"/>
    <w:rsid w:val="005413C4"/>
    <w:rsid w:val="005413D2"/>
    <w:rsid w:val="00541813"/>
    <w:rsid w:val="00541B49"/>
    <w:rsid w:val="00541B70"/>
    <w:rsid w:val="00541BFC"/>
    <w:rsid w:val="00541C84"/>
    <w:rsid w:val="00541CE3"/>
    <w:rsid w:val="005421A5"/>
    <w:rsid w:val="005424B3"/>
    <w:rsid w:val="00542648"/>
    <w:rsid w:val="005426F4"/>
    <w:rsid w:val="005427AA"/>
    <w:rsid w:val="00542846"/>
    <w:rsid w:val="0054289B"/>
    <w:rsid w:val="00542916"/>
    <w:rsid w:val="005429A3"/>
    <w:rsid w:val="005429F3"/>
    <w:rsid w:val="00542A25"/>
    <w:rsid w:val="00542ACE"/>
    <w:rsid w:val="00542B8A"/>
    <w:rsid w:val="00543111"/>
    <w:rsid w:val="0054329C"/>
    <w:rsid w:val="005437D7"/>
    <w:rsid w:val="0054398F"/>
    <w:rsid w:val="00543C8A"/>
    <w:rsid w:val="00543FCA"/>
    <w:rsid w:val="00544062"/>
    <w:rsid w:val="00544143"/>
    <w:rsid w:val="005443E4"/>
    <w:rsid w:val="0054443E"/>
    <w:rsid w:val="00544518"/>
    <w:rsid w:val="0054463E"/>
    <w:rsid w:val="005446A0"/>
    <w:rsid w:val="00544A07"/>
    <w:rsid w:val="00544A79"/>
    <w:rsid w:val="00544B13"/>
    <w:rsid w:val="00544B19"/>
    <w:rsid w:val="00544B23"/>
    <w:rsid w:val="00544BF9"/>
    <w:rsid w:val="00544CD6"/>
    <w:rsid w:val="00544F6B"/>
    <w:rsid w:val="00544F8A"/>
    <w:rsid w:val="005450E5"/>
    <w:rsid w:val="00545241"/>
    <w:rsid w:val="005453CC"/>
    <w:rsid w:val="00545695"/>
    <w:rsid w:val="00545A25"/>
    <w:rsid w:val="00545B58"/>
    <w:rsid w:val="005460F8"/>
    <w:rsid w:val="005461A4"/>
    <w:rsid w:val="005464C2"/>
    <w:rsid w:val="005465C4"/>
    <w:rsid w:val="0054668E"/>
    <w:rsid w:val="00546AE0"/>
    <w:rsid w:val="00546C6E"/>
    <w:rsid w:val="00546CCB"/>
    <w:rsid w:val="005475BE"/>
    <w:rsid w:val="00547693"/>
    <w:rsid w:val="0054782B"/>
    <w:rsid w:val="0054794C"/>
    <w:rsid w:val="00547AE8"/>
    <w:rsid w:val="00547EB2"/>
    <w:rsid w:val="00550094"/>
    <w:rsid w:val="0055014F"/>
    <w:rsid w:val="00550382"/>
    <w:rsid w:val="0055051D"/>
    <w:rsid w:val="00550700"/>
    <w:rsid w:val="0055076E"/>
    <w:rsid w:val="00550861"/>
    <w:rsid w:val="00550BED"/>
    <w:rsid w:val="00550C1A"/>
    <w:rsid w:val="00550CDD"/>
    <w:rsid w:val="00550CE9"/>
    <w:rsid w:val="00550D7C"/>
    <w:rsid w:val="00550F2A"/>
    <w:rsid w:val="0055131F"/>
    <w:rsid w:val="00551344"/>
    <w:rsid w:val="0055156E"/>
    <w:rsid w:val="00551942"/>
    <w:rsid w:val="00551F35"/>
    <w:rsid w:val="0055224F"/>
    <w:rsid w:val="005522E9"/>
    <w:rsid w:val="00552615"/>
    <w:rsid w:val="0055281C"/>
    <w:rsid w:val="00552836"/>
    <w:rsid w:val="0055290E"/>
    <w:rsid w:val="0055291E"/>
    <w:rsid w:val="00552D37"/>
    <w:rsid w:val="00552D90"/>
    <w:rsid w:val="00553062"/>
    <w:rsid w:val="0055319E"/>
    <w:rsid w:val="0055330E"/>
    <w:rsid w:val="005533D4"/>
    <w:rsid w:val="005534B4"/>
    <w:rsid w:val="005535E3"/>
    <w:rsid w:val="00553AC1"/>
    <w:rsid w:val="00553C93"/>
    <w:rsid w:val="00553D5F"/>
    <w:rsid w:val="00553E96"/>
    <w:rsid w:val="00553EC5"/>
    <w:rsid w:val="00553F38"/>
    <w:rsid w:val="00553FA9"/>
    <w:rsid w:val="00554149"/>
    <w:rsid w:val="005541F0"/>
    <w:rsid w:val="005543A7"/>
    <w:rsid w:val="005544CF"/>
    <w:rsid w:val="00554ACC"/>
    <w:rsid w:val="00554C32"/>
    <w:rsid w:val="00554C68"/>
    <w:rsid w:val="0055523F"/>
    <w:rsid w:val="005553EA"/>
    <w:rsid w:val="005553F0"/>
    <w:rsid w:val="005554B3"/>
    <w:rsid w:val="00555782"/>
    <w:rsid w:val="005559F3"/>
    <w:rsid w:val="00555A71"/>
    <w:rsid w:val="00555A8C"/>
    <w:rsid w:val="00555B75"/>
    <w:rsid w:val="00555D19"/>
    <w:rsid w:val="00555D2A"/>
    <w:rsid w:val="00555E90"/>
    <w:rsid w:val="00555F0A"/>
    <w:rsid w:val="005560FC"/>
    <w:rsid w:val="00556210"/>
    <w:rsid w:val="00556247"/>
    <w:rsid w:val="00556257"/>
    <w:rsid w:val="005562C0"/>
    <w:rsid w:val="0055663A"/>
    <w:rsid w:val="005568E9"/>
    <w:rsid w:val="005569E5"/>
    <w:rsid w:val="00556DCD"/>
    <w:rsid w:val="00556DF9"/>
    <w:rsid w:val="00557013"/>
    <w:rsid w:val="005571E6"/>
    <w:rsid w:val="005574FC"/>
    <w:rsid w:val="005575E5"/>
    <w:rsid w:val="0055771F"/>
    <w:rsid w:val="0055792F"/>
    <w:rsid w:val="00557965"/>
    <w:rsid w:val="00557B36"/>
    <w:rsid w:val="00557D5A"/>
    <w:rsid w:val="00557E38"/>
    <w:rsid w:val="00557F71"/>
    <w:rsid w:val="00560047"/>
    <w:rsid w:val="00560121"/>
    <w:rsid w:val="00560249"/>
    <w:rsid w:val="005603C1"/>
    <w:rsid w:val="005603F7"/>
    <w:rsid w:val="00560585"/>
    <w:rsid w:val="00560844"/>
    <w:rsid w:val="0056096E"/>
    <w:rsid w:val="00560B28"/>
    <w:rsid w:val="00560DB8"/>
    <w:rsid w:val="0056135A"/>
    <w:rsid w:val="00561418"/>
    <w:rsid w:val="0056144D"/>
    <w:rsid w:val="00561693"/>
    <w:rsid w:val="00561E94"/>
    <w:rsid w:val="00562172"/>
    <w:rsid w:val="00562210"/>
    <w:rsid w:val="00562247"/>
    <w:rsid w:val="00562381"/>
    <w:rsid w:val="00562675"/>
    <w:rsid w:val="00562A45"/>
    <w:rsid w:val="00562CA1"/>
    <w:rsid w:val="00562CFA"/>
    <w:rsid w:val="00562D41"/>
    <w:rsid w:val="00562E13"/>
    <w:rsid w:val="00562F6C"/>
    <w:rsid w:val="00562FAF"/>
    <w:rsid w:val="005630D9"/>
    <w:rsid w:val="005632E4"/>
    <w:rsid w:val="0056331D"/>
    <w:rsid w:val="00563515"/>
    <w:rsid w:val="0056362A"/>
    <w:rsid w:val="0056363E"/>
    <w:rsid w:val="0056374D"/>
    <w:rsid w:val="005637ED"/>
    <w:rsid w:val="005638BB"/>
    <w:rsid w:val="00563955"/>
    <w:rsid w:val="00563A02"/>
    <w:rsid w:val="00563A2A"/>
    <w:rsid w:val="00563BF0"/>
    <w:rsid w:val="00563BF2"/>
    <w:rsid w:val="00563C8E"/>
    <w:rsid w:val="00563D19"/>
    <w:rsid w:val="00563D8C"/>
    <w:rsid w:val="0056428A"/>
    <w:rsid w:val="0056444B"/>
    <w:rsid w:val="005644E7"/>
    <w:rsid w:val="0056483D"/>
    <w:rsid w:val="005648A9"/>
    <w:rsid w:val="005649EF"/>
    <w:rsid w:val="00564A3A"/>
    <w:rsid w:val="00564A82"/>
    <w:rsid w:val="00564AE4"/>
    <w:rsid w:val="00564E2B"/>
    <w:rsid w:val="00564E7A"/>
    <w:rsid w:val="00564F60"/>
    <w:rsid w:val="00564FA4"/>
    <w:rsid w:val="00564FD1"/>
    <w:rsid w:val="005650A1"/>
    <w:rsid w:val="00565484"/>
    <w:rsid w:val="005654F4"/>
    <w:rsid w:val="0056587D"/>
    <w:rsid w:val="0056587E"/>
    <w:rsid w:val="005658A1"/>
    <w:rsid w:val="00565915"/>
    <w:rsid w:val="005659CA"/>
    <w:rsid w:val="00565B8A"/>
    <w:rsid w:val="00565C6B"/>
    <w:rsid w:val="00565D85"/>
    <w:rsid w:val="00565F54"/>
    <w:rsid w:val="005663FD"/>
    <w:rsid w:val="005664FE"/>
    <w:rsid w:val="0056655F"/>
    <w:rsid w:val="0056675C"/>
    <w:rsid w:val="00566C73"/>
    <w:rsid w:val="00566F0E"/>
    <w:rsid w:val="00567034"/>
    <w:rsid w:val="0056750F"/>
    <w:rsid w:val="00567593"/>
    <w:rsid w:val="0056773C"/>
    <w:rsid w:val="00567CD0"/>
    <w:rsid w:val="00567E03"/>
    <w:rsid w:val="00567FC7"/>
    <w:rsid w:val="005700D1"/>
    <w:rsid w:val="00570182"/>
    <w:rsid w:val="00570343"/>
    <w:rsid w:val="005703F0"/>
    <w:rsid w:val="005703F8"/>
    <w:rsid w:val="0057067F"/>
    <w:rsid w:val="005707BC"/>
    <w:rsid w:val="00570867"/>
    <w:rsid w:val="00570BEA"/>
    <w:rsid w:val="00570F29"/>
    <w:rsid w:val="00571268"/>
    <w:rsid w:val="0057134E"/>
    <w:rsid w:val="005716BC"/>
    <w:rsid w:val="005717A4"/>
    <w:rsid w:val="00571835"/>
    <w:rsid w:val="0057195A"/>
    <w:rsid w:val="00571A00"/>
    <w:rsid w:val="00571B28"/>
    <w:rsid w:val="00572361"/>
    <w:rsid w:val="00572531"/>
    <w:rsid w:val="005726BF"/>
    <w:rsid w:val="00572896"/>
    <w:rsid w:val="00572901"/>
    <w:rsid w:val="00572914"/>
    <w:rsid w:val="005729D8"/>
    <w:rsid w:val="00572BD2"/>
    <w:rsid w:val="00572BDF"/>
    <w:rsid w:val="00572E20"/>
    <w:rsid w:val="00572EEF"/>
    <w:rsid w:val="00572F18"/>
    <w:rsid w:val="00573080"/>
    <w:rsid w:val="00573096"/>
    <w:rsid w:val="005731D7"/>
    <w:rsid w:val="005731EE"/>
    <w:rsid w:val="00573503"/>
    <w:rsid w:val="00573640"/>
    <w:rsid w:val="0057365C"/>
    <w:rsid w:val="00573796"/>
    <w:rsid w:val="005737AA"/>
    <w:rsid w:val="00573B5F"/>
    <w:rsid w:val="00573C30"/>
    <w:rsid w:val="00573C48"/>
    <w:rsid w:val="00573DF7"/>
    <w:rsid w:val="00573E1F"/>
    <w:rsid w:val="00573EF7"/>
    <w:rsid w:val="00574032"/>
    <w:rsid w:val="005741B4"/>
    <w:rsid w:val="005741E0"/>
    <w:rsid w:val="005743AF"/>
    <w:rsid w:val="005744B7"/>
    <w:rsid w:val="005746B0"/>
    <w:rsid w:val="0057472D"/>
    <w:rsid w:val="005747ED"/>
    <w:rsid w:val="0057480F"/>
    <w:rsid w:val="00574954"/>
    <w:rsid w:val="00574BAE"/>
    <w:rsid w:val="00574BFC"/>
    <w:rsid w:val="00574DA4"/>
    <w:rsid w:val="00574E73"/>
    <w:rsid w:val="00575188"/>
    <w:rsid w:val="00575195"/>
    <w:rsid w:val="00575545"/>
    <w:rsid w:val="00575548"/>
    <w:rsid w:val="005756CB"/>
    <w:rsid w:val="00575945"/>
    <w:rsid w:val="00575A63"/>
    <w:rsid w:val="00575AEE"/>
    <w:rsid w:val="00575BDA"/>
    <w:rsid w:val="00575C1B"/>
    <w:rsid w:val="00575ECB"/>
    <w:rsid w:val="0057604A"/>
    <w:rsid w:val="00576057"/>
    <w:rsid w:val="005760BB"/>
    <w:rsid w:val="0057626C"/>
    <w:rsid w:val="0057641A"/>
    <w:rsid w:val="005767C1"/>
    <w:rsid w:val="00576851"/>
    <w:rsid w:val="00576AC1"/>
    <w:rsid w:val="00576C12"/>
    <w:rsid w:val="00576C8E"/>
    <w:rsid w:val="00576CBB"/>
    <w:rsid w:val="00576EFB"/>
    <w:rsid w:val="0057706A"/>
    <w:rsid w:val="0057711E"/>
    <w:rsid w:val="00577132"/>
    <w:rsid w:val="0057727A"/>
    <w:rsid w:val="0057729A"/>
    <w:rsid w:val="00577544"/>
    <w:rsid w:val="00577740"/>
    <w:rsid w:val="00577890"/>
    <w:rsid w:val="005779CF"/>
    <w:rsid w:val="00577EB6"/>
    <w:rsid w:val="005800FD"/>
    <w:rsid w:val="00580102"/>
    <w:rsid w:val="00580217"/>
    <w:rsid w:val="00580330"/>
    <w:rsid w:val="005805A8"/>
    <w:rsid w:val="0058073D"/>
    <w:rsid w:val="00580773"/>
    <w:rsid w:val="00580A5E"/>
    <w:rsid w:val="00580A95"/>
    <w:rsid w:val="00580D25"/>
    <w:rsid w:val="00580DEB"/>
    <w:rsid w:val="00580DF6"/>
    <w:rsid w:val="00580EFE"/>
    <w:rsid w:val="0058135B"/>
    <w:rsid w:val="00581373"/>
    <w:rsid w:val="0058154B"/>
    <w:rsid w:val="005816F1"/>
    <w:rsid w:val="005817C3"/>
    <w:rsid w:val="00581818"/>
    <w:rsid w:val="00581832"/>
    <w:rsid w:val="00581911"/>
    <w:rsid w:val="00581922"/>
    <w:rsid w:val="00581A52"/>
    <w:rsid w:val="00581C0D"/>
    <w:rsid w:val="00581CB7"/>
    <w:rsid w:val="00581CDC"/>
    <w:rsid w:val="00581E26"/>
    <w:rsid w:val="00581E6A"/>
    <w:rsid w:val="0058207A"/>
    <w:rsid w:val="00582188"/>
    <w:rsid w:val="00582547"/>
    <w:rsid w:val="005826B6"/>
    <w:rsid w:val="005826F1"/>
    <w:rsid w:val="00582765"/>
    <w:rsid w:val="00582782"/>
    <w:rsid w:val="00582856"/>
    <w:rsid w:val="00582AF9"/>
    <w:rsid w:val="00582BEC"/>
    <w:rsid w:val="00582C36"/>
    <w:rsid w:val="00582CE9"/>
    <w:rsid w:val="00582D90"/>
    <w:rsid w:val="00582DE6"/>
    <w:rsid w:val="00582EA8"/>
    <w:rsid w:val="00582EF5"/>
    <w:rsid w:val="00583027"/>
    <w:rsid w:val="005832C7"/>
    <w:rsid w:val="00583579"/>
    <w:rsid w:val="00583660"/>
    <w:rsid w:val="0058379D"/>
    <w:rsid w:val="00583846"/>
    <w:rsid w:val="00583B95"/>
    <w:rsid w:val="00583C17"/>
    <w:rsid w:val="00583C20"/>
    <w:rsid w:val="00583E48"/>
    <w:rsid w:val="00583FA9"/>
    <w:rsid w:val="00583FBE"/>
    <w:rsid w:val="00584000"/>
    <w:rsid w:val="0058404A"/>
    <w:rsid w:val="0058405B"/>
    <w:rsid w:val="005842BA"/>
    <w:rsid w:val="005844A4"/>
    <w:rsid w:val="005844A8"/>
    <w:rsid w:val="00584525"/>
    <w:rsid w:val="0058457E"/>
    <w:rsid w:val="0058483E"/>
    <w:rsid w:val="00584919"/>
    <w:rsid w:val="005849FA"/>
    <w:rsid w:val="00584AE8"/>
    <w:rsid w:val="00584B1D"/>
    <w:rsid w:val="00584C95"/>
    <w:rsid w:val="00584F2D"/>
    <w:rsid w:val="00585147"/>
    <w:rsid w:val="005854A5"/>
    <w:rsid w:val="0058558D"/>
    <w:rsid w:val="0058562A"/>
    <w:rsid w:val="00585934"/>
    <w:rsid w:val="00585B26"/>
    <w:rsid w:val="00586425"/>
    <w:rsid w:val="00586B9F"/>
    <w:rsid w:val="00586BFA"/>
    <w:rsid w:val="00586D2C"/>
    <w:rsid w:val="00586D31"/>
    <w:rsid w:val="00586D44"/>
    <w:rsid w:val="00586F46"/>
    <w:rsid w:val="0058718F"/>
    <w:rsid w:val="00587363"/>
    <w:rsid w:val="005873C9"/>
    <w:rsid w:val="00587408"/>
    <w:rsid w:val="00587449"/>
    <w:rsid w:val="0058746C"/>
    <w:rsid w:val="00587985"/>
    <w:rsid w:val="00587A91"/>
    <w:rsid w:val="00587DBC"/>
    <w:rsid w:val="00587E41"/>
    <w:rsid w:val="00587EFB"/>
    <w:rsid w:val="00590177"/>
    <w:rsid w:val="005905CE"/>
    <w:rsid w:val="005905E4"/>
    <w:rsid w:val="005906F1"/>
    <w:rsid w:val="00590EF3"/>
    <w:rsid w:val="005910D5"/>
    <w:rsid w:val="00591141"/>
    <w:rsid w:val="00591166"/>
    <w:rsid w:val="00591229"/>
    <w:rsid w:val="00591246"/>
    <w:rsid w:val="00591292"/>
    <w:rsid w:val="0059132D"/>
    <w:rsid w:val="00591472"/>
    <w:rsid w:val="005914C9"/>
    <w:rsid w:val="00591866"/>
    <w:rsid w:val="00591874"/>
    <w:rsid w:val="00591887"/>
    <w:rsid w:val="005919E6"/>
    <w:rsid w:val="00591B42"/>
    <w:rsid w:val="00591B91"/>
    <w:rsid w:val="00591CD2"/>
    <w:rsid w:val="00591FF5"/>
    <w:rsid w:val="0059207F"/>
    <w:rsid w:val="005920E1"/>
    <w:rsid w:val="0059250F"/>
    <w:rsid w:val="005925EE"/>
    <w:rsid w:val="0059272F"/>
    <w:rsid w:val="005928EF"/>
    <w:rsid w:val="0059295C"/>
    <w:rsid w:val="00592994"/>
    <w:rsid w:val="00592C4C"/>
    <w:rsid w:val="00592F18"/>
    <w:rsid w:val="00592FA0"/>
    <w:rsid w:val="00593125"/>
    <w:rsid w:val="0059318E"/>
    <w:rsid w:val="00593297"/>
    <w:rsid w:val="00593327"/>
    <w:rsid w:val="005935EE"/>
    <w:rsid w:val="00593905"/>
    <w:rsid w:val="00593974"/>
    <w:rsid w:val="005939AF"/>
    <w:rsid w:val="005939E1"/>
    <w:rsid w:val="00593C18"/>
    <w:rsid w:val="00593D5F"/>
    <w:rsid w:val="00593D60"/>
    <w:rsid w:val="00594345"/>
    <w:rsid w:val="0059437C"/>
    <w:rsid w:val="00594589"/>
    <w:rsid w:val="00594590"/>
    <w:rsid w:val="0059475B"/>
    <w:rsid w:val="005948CB"/>
    <w:rsid w:val="00594A52"/>
    <w:rsid w:val="00594ABB"/>
    <w:rsid w:val="00594C95"/>
    <w:rsid w:val="00594D6F"/>
    <w:rsid w:val="00594E9B"/>
    <w:rsid w:val="0059528B"/>
    <w:rsid w:val="00595573"/>
    <w:rsid w:val="0059570D"/>
    <w:rsid w:val="00595953"/>
    <w:rsid w:val="00595C84"/>
    <w:rsid w:val="00595EA3"/>
    <w:rsid w:val="00595F11"/>
    <w:rsid w:val="005961CA"/>
    <w:rsid w:val="005962AA"/>
    <w:rsid w:val="00596354"/>
    <w:rsid w:val="005964A8"/>
    <w:rsid w:val="005964B2"/>
    <w:rsid w:val="00596B85"/>
    <w:rsid w:val="00596D52"/>
    <w:rsid w:val="00596F11"/>
    <w:rsid w:val="00596F79"/>
    <w:rsid w:val="00597163"/>
    <w:rsid w:val="00597871"/>
    <w:rsid w:val="00597974"/>
    <w:rsid w:val="00597A4F"/>
    <w:rsid w:val="00597BF6"/>
    <w:rsid w:val="005A0153"/>
    <w:rsid w:val="005A029C"/>
    <w:rsid w:val="005A067D"/>
    <w:rsid w:val="005A06F2"/>
    <w:rsid w:val="005A0A6E"/>
    <w:rsid w:val="005A0BD8"/>
    <w:rsid w:val="005A0F76"/>
    <w:rsid w:val="005A0FDB"/>
    <w:rsid w:val="005A1013"/>
    <w:rsid w:val="005A1085"/>
    <w:rsid w:val="005A1200"/>
    <w:rsid w:val="005A12C0"/>
    <w:rsid w:val="005A156F"/>
    <w:rsid w:val="005A1611"/>
    <w:rsid w:val="005A16D8"/>
    <w:rsid w:val="005A16E3"/>
    <w:rsid w:val="005A1797"/>
    <w:rsid w:val="005A1803"/>
    <w:rsid w:val="005A1872"/>
    <w:rsid w:val="005A18DC"/>
    <w:rsid w:val="005A1D79"/>
    <w:rsid w:val="005A1E28"/>
    <w:rsid w:val="005A1E4B"/>
    <w:rsid w:val="005A1F73"/>
    <w:rsid w:val="005A228F"/>
    <w:rsid w:val="005A22FB"/>
    <w:rsid w:val="005A23A0"/>
    <w:rsid w:val="005A2460"/>
    <w:rsid w:val="005A2618"/>
    <w:rsid w:val="005A2670"/>
    <w:rsid w:val="005A27F8"/>
    <w:rsid w:val="005A292C"/>
    <w:rsid w:val="005A2B54"/>
    <w:rsid w:val="005A2D97"/>
    <w:rsid w:val="005A315D"/>
    <w:rsid w:val="005A3366"/>
    <w:rsid w:val="005A33D7"/>
    <w:rsid w:val="005A34C1"/>
    <w:rsid w:val="005A3726"/>
    <w:rsid w:val="005A381E"/>
    <w:rsid w:val="005A389A"/>
    <w:rsid w:val="005A38F7"/>
    <w:rsid w:val="005A3A6E"/>
    <w:rsid w:val="005A3B35"/>
    <w:rsid w:val="005A3D5C"/>
    <w:rsid w:val="005A40BB"/>
    <w:rsid w:val="005A40DD"/>
    <w:rsid w:val="005A414F"/>
    <w:rsid w:val="005A437C"/>
    <w:rsid w:val="005A4577"/>
    <w:rsid w:val="005A4661"/>
    <w:rsid w:val="005A5155"/>
    <w:rsid w:val="005A51C1"/>
    <w:rsid w:val="005A524F"/>
    <w:rsid w:val="005A54A0"/>
    <w:rsid w:val="005A55AE"/>
    <w:rsid w:val="005A56A2"/>
    <w:rsid w:val="005A5842"/>
    <w:rsid w:val="005A5A1C"/>
    <w:rsid w:val="005A5A6D"/>
    <w:rsid w:val="005A5C12"/>
    <w:rsid w:val="005A5E32"/>
    <w:rsid w:val="005A5F71"/>
    <w:rsid w:val="005A62C0"/>
    <w:rsid w:val="005A6314"/>
    <w:rsid w:val="005A63ED"/>
    <w:rsid w:val="005A63F2"/>
    <w:rsid w:val="005A63FD"/>
    <w:rsid w:val="005A65B7"/>
    <w:rsid w:val="005A673E"/>
    <w:rsid w:val="005A6A73"/>
    <w:rsid w:val="005A6AA8"/>
    <w:rsid w:val="005A6C0B"/>
    <w:rsid w:val="005A73C1"/>
    <w:rsid w:val="005A73F3"/>
    <w:rsid w:val="005A74DC"/>
    <w:rsid w:val="005A7601"/>
    <w:rsid w:val="005A7845"/>
    <w:rsid w:val="005A792A"/>
    <w:rsid w:val="005A7A04"/>
    <w:rsid w:val="005A7DB5"/>
    <w:rsid w:val="005A7E85"/>
    <w:rsid w:val="005A7ED2"/>
    <w:rsid w:val="005B00FE"/>
    <w:rsid w:val="005B0467"/>
    <w:rsid w:val="005B0562"/>
    <w:rsid w:val="005B05F4"/>
    <w:rsid w:val="005B0AFB"/>
    <w:rsid w:val="005B0DDD"/>
    <w:rsid w:val="005B11A0"/>
    <w:rsid w:val="005B1343"/>
    <w:rsid w:val="005B14AE"/>
    <w:rsid w:val="005B1565"/>
    <w:rsid w:val="005B159A"/>
    <w:rsid w:val="005B1A3A"/>
    <w:rsid w:val="005B1A7F"/>
    <w:rsid w:val="005B1E70"/>
    <w:rsid w:val="005B21F3"/>
    <w:rsid w:val="005B2321"/>
    <w:rsid w:val="005B23DF"/>
    <w:rsid w:val="005B25A3"/>
    <w:rsid w:val="005B2A3A"/>
    <w:rsid w:val="005B2B64"/>
    <w:rsid w:val="005B2C79"/>
    <w:rsid w:val="005B2F25"/>
    <w:rsid w:val="005B317B"/>
    <w:rsid w:val="005B329E"/>
    <w:rsid w:val="005B3402"/>
    <w:rsid w:val="005B3661"/>
    <w:rsid w:val="005B3738"/>
    <w:rsid w:val="005B37A1"/>
    <w:rsid w:val="005B387B"/>
    <w:rsid w:val="005B395F"/>
    <w:rsid w:val="005B39DF"/>
    <w:rsid w:val="005B3A25"/>
    <w:rsid w:val="005B3BA6"/>
    <w:rsid w:val="005B3C71"/>
    <w:rsid w:val="005B3DBD"/>
    <w:rsid w:val="005B3E4B"/>
    <w:rsid w:val="005B40FE"/>
    <w:rsid w:val="005B4252"/>
    <w:rsid w:val="005B4355"/>
    <w:rsid w:val="005B43C6"/>
    <w:rsid w:val="005B4510"/>
    <w:rsid w:val="005B45E4"/>
    <w:rsid w:val="005B46B1"/>
    <w:rsid w:val="005B4956"/>
    <w:rsid w:val="005B4C11"/>
    <w:rsid w:val="005B4C65"/>
    <w:rsid w:val="005B4D84"/>
    <w:rsid w:val="005B4DDA"/>
    <w:rsid w:val="005B5043"/>
    <w:rsid w:val="005B5065"/>
    <w:rsid w:val="005B509C"/>
    <w:rsid w:val="005B516B"/>
    <w:rsid w:val="005B52F7"/>
    <w:rsid w:val="005B5644"/>
    <w:rsid w:val="005B578A"/>
    <w:rsid w:val="005B58CB"/>
    <w:rsid w:val="005B58E6"/>
    <w:rsid w:val="005B594E"/>
    <w:rsid w:val="005B5AD1"/>
    <w:rsid w:val="005B5C55"/>
    <w:rsid w:val="005B5D17"/>
    <w:rsid w:val="005B5DC9"/>
    <w:rsid w:val="005B5F34"/>
    <w:rsid w:val="005B6099"/>
    <w:rsid w:val="005B60AA"/>
    <w:rsid w:val="005B6168"/>
    <w:rsid w:val="005B6514"/>
    <w:rsid w:val="005B6528"/>
    <w:rsid w:val="005B6637"/>
    <w:rsid w:val="005B6727"/>
    <w:rsid w:val="005B6780"/>
    <w:rsid w:val="005B67B3"/>
    <w:rsid w:val="005B6C6F"/>
    <w:rsid w:val="005B6FAF"/>
    <w:rsid w:val="005B70DE"/>
    <w:rsid w:val="005B72E5"/>
    <w:rsid w:val="005B7336"/>
    <w:rsid w:val="005B79EF"/>
    <w:rsid w:val="005B7AC1"/>
    <w:rsid w:val="005B7ADC"/>
    <w:rsid w:val="005B7BAA"/>
    <w:rsid w:val="005B7CC8"/>
    <w:rsid w:val="005B7DDC"/>
    <w:rsid w:val="005C0176"/>
    <w:rsid w:val="005C01EC"/>
    <w:rsid w:val="005C024B"/>
    <w:rsid w:val="005C02F0"/>
    <w:rsid w:val="005C07BD"/>
    <w:rsid w:val="005C0881"/>
    <w:rsid w:val="005C09DE"/>
    <w:rsid w:val="005C0DF9"/>
    <w:rsid w:val="005C0E80"/>
    <w:rsid w:val="005C0EEC"/>
    <w:rsid w:val="005C0F2B"/>
    <w:rsid w:val="005C0F4C"/>
    <w:rsid w:val="005C10B7"/>
    <w:rsid w:val="005C11B4"/>
    <w:rsid w:val="005C1440"/>
    <w:rsid w:val="005C145F"/>
    <w:rsid w:val="005C15F4"/>
    <w:rsid w:val="005C16A6"/>
    <w:rsid w:val="005C16DD"/>
    <w:rsid w:val="005C17F9"/>
    <w:rsid w:val="005C18C1"/>
    <w:rsid w:val="005C1BB7"/>
    <w:rsid w:val="005C1C39"/>
    <w:rsid w:val="005C1D63"/>
    <w:rsid w:val="005C1E9D"/>
    <w:rsid w:val="005C1F08"/>
    <w:rsid w:val="005C2000"/>
    <w:rsid w:val="005C20E8"/>
    <w:rsid w:val="005C21C5"/>
    <w:rsid w:val="005C2437"/>
    <w:rsid w:val="005C252A"/>
    <w:rsid w:val="005C2646"/>
    <w:rsid w:val="005C294A"/>
    <w:rsid w:val="005C299F"/>
    <w:rsid w:val="005C2A0D"/>
    <w:rsid w:val="005C2E0E"/>
    <w:rsid w:val="005C3028"/>
    <w:rsid w:val="005C3092"/>
    <w:rsid w:val="005C367F"/>
    <w:rsid w:val="005C3710"/>
    <w:rsid w:val="005C37BD"/>
    <w:rsid w:val="005C3B33"/>
    <w:rsid w:val="005C3B3A"/>
    <w:rsid w:val="005C3B95"/>
    <w:rsid w:val="005C3C24"/>
    <w:rsid w:val="005C3CB7"/>
    <w:rsid w:val="005C3CEA"/>
    <w:rsid w:val="005C3D23"/>
    <w:rsid w:val="005C4032"/>
    <w:rsid w:val="005C418A"/>
    <w:rsid w:val="005C44E5"/>
    <w:rsid w:val="005C4691"/>
    <w:rsid w:val="005C46AC"/>
    <w:rsid w:val="005C46DA"/>
    <w:rsid w:val="005C4747"/>
    <w:rsid w:val="005C4797"/>
    <w:rsid w:val="005C48CE"/>
    <w:rsid w:val="005C4917"/>
    <w:rsid w:val="005C4959"/>
    <w:rsid w:val="005C496C"/>
    <w:rsid w:val="005C4A9D"/>
    <w:rsid w:val="005C4EA3"/>
    <w:rsid w:val="005C4F62"/>
    <w:rsid w:val="005C5386"/>
    <w:rsid w:val="005C564D"/>
    <w:rsid w:val="005C56E4"/>
    <w:rsid w:val="005C585C"/>
    <w:rsid w:val="005C5880"/>
    <w:rsid w:val="005C58BC"/>
    <w:rsid w:val="005C58D3"/>
    <w:rsid w:val="005C58E4"/>
    <w:rsid w:val="005C59C0"/>
    <w:rsid w:val="005C5A57"/>
    <w:rsid w:val="005C5D1D"/>
    <w:rsid w:val="005C5DA2"/>
    <w:rsid w:val="005C5E98"/>
    <w:rsid w:val="005C5FB1"/>
    <w:rsid w:val="005C5FF4"/>
    <w:rsid w:val="005C60DA"/>
    <w:rsid w:val="005C6476"/>
    <w:rsid w:val="005C64A0"/>
    <w:rsid w:val="005C662E"/>
    <w:rsid w:val="005C66DF"/>
    <w:rsid w:val="005C6910"/>
    <w:rsid w:val="005C6D32"/>
    <w:rsid w:val="005C6D9C"/>
    <w:rsid w:val="005C6E2D"/>
    <w:rsid w:val="005C6E74"/>
    <w:rsid w:val="005C6F1E"/>
    <w:rsid w:val="005C6F22"/>
    <w:rsid w:val="005C710A"/>
    <w:rsid w:val="005C72F0"/>
    <w:rsid w:val="005C72FD"/>
    <w:rsid w:val="005C75C2"/>
    <w:rsid w:val="005C77B1"/>
    <w:rsid w:val="005C790A"/>
    <w:rsid w:val="005C7958"/>
    <w:rsid w:val="005C7971"/>
    <w:rsid w:val="005C79CE"/>
    <w:rsid w:val="005C7E1A"/>
    <w:rsid w:val="005C7EA9"/>
    <w:rsid w:val="005D0440"/>
    <w:rsid w:val="005D075B"/>
    <w:rsid w:val="005D088A"/>
    <w:rsid w:val="005D0A80"/>
    <w:rsid w:val="005D0A99"/>
    <w:rsid w:val="005D0B51"/>
    <w:rsid w:val="005D0C3B"/>
    <w:rsid w:val="005D0D7D"/>
    <w:rsid w:val="005D0E06"/>
    <w:rsid w:val="005D0ED1"/>
    <w:rsid w:val="005D1032"/>
    <w:rsid w:val="005D128F"/>
    <w:rsid w:val="005D1464"/>
    <w:rsid w:val="005D1782"/>
    <w:rsid w:val="005D191B"/>
    <w:rsid w:val="005D1AE0"/>
    <w:rsid w:val="005D1B2B"/>
    <w:rsid w:val="005D1D15"/>
    <w:rsid w:val="005D1FB3"/>
    <w:rsid w:val="005D2182"/>
    <w:rsid w:val="005D21E1"/>
    <w:rsid w:val="005D21F2"/>
    <w:rsid w:val="005D2293"/>
    <w:rsid w:val="005D23EB"/>
    <w:rsid w:val="005D248A"/>
    <w:rsid w:val="005D2754"/>
    <w:rsid w:val="005D280B"/>
    <w:rsid w:val="005D298A"/>
    <w:rsid w:val="005D29A4"/>
    <w:rsid w:val="005D2C65"/>
    <w:rsid w:val="005D2C9B"/>
    <w:rsid w:val="005D2CA7"/>
    <w:rsid w:val="005D33BD"/>
    <w:rsid w:val="005D3750"/>
    <w:rsid w:val="005D3771"/>
    <w:rsid w:val="005D3CA7"/>
    <w:rsid w:val="005D3FBE"/>
    <w:rsid w:val="005D40F9"/>
    <w:rsid w:val="005D445F"/>
    <w:rsid w:val="005D44D3"/>
    <w:rsid w:val="005D455F"/>
    <w:rsid w:val="005D4580"/>
    <w:rsid w:val="005D45BE"/>
    <w:rsid w:val="005D45CD"/>
    <w:rsid w:val="005D4899"/>
    <w:rsid w:val="005D4909"/>
    <w:rsid w:val="005D4A46"/>
    <w:rsid w:val="005D4A6C"/>
    <w:rsid w:val="005D4B92"/>
    <w:rsid w:val="005D4BD4"/>
    <w:rsid w:val="005D4D85"/>
    <w:rsid w:val="005D4F04"/>
    <w:rsid w:val="005D4FAA"/>
    <w:rsid w:val="005D50FF"/>
    <w:rsid w:val="005D54A8"/>
    <w:rsid w:val="005D569B"/>
    <w:rsid w:val="005D56A5"/>
    <w:rsid w:val="005D5992"/>
    <w:rsid w:val="005D5B48"/>
    <w:rsid w:val="005D5D64"/>
    <w:rsid w:val="005D5FA3"/>
    <w:rsid w:val="005D60F2"/>
    <w:rsid w:val="005D646F"/>
    <w:rsid w:val="005D6473"/>
    <w:rsid w:val="005D648A"/>
    <w:rsid w:val="005D64EA"/>
    <w:rsid w:val="005D6531"/>
    <w:rsid w:val="005D6686"/>
    <w:rsid w:val="005D6703"/>
    <w:rsid w:val="005D6720"/>
    <w:rsid w:val="005D6980"/>
    <w:rsid w:val="005D6B12"/>
    <w:rsid w:val="005D6D35"/>
    <w:rsid w:val="005D6E53"/>
    <w:rsid w:val="005D6E8D"/>
    <w:rsid w:val="005D6EAF"/>
    <w:rsid w:val="005D6FF3"/>
    <w:rsid w:val="005D73A9"/>
    <w:rsid w:val="005D73DC"/>
    <w:rsid w:val="005D746A"/>
    <w:rsid w:val="005D7692"/>
    <w:rsid w:val="005D76E9"/>
    <w:rsid w:val="005D7884"/>
    <w:rsid w:val="005D78C9"/>
    <w:rsid w:val="005D7A53"/>
    <w:rsid w:val="005D7A83"/>
    <w:rsid w:val="005D7BFF"/>
    <w:rsid w:val="005D7C0D"/>
    <w:rsid w:val="005D7DDB"/>
    <w:rsid w:val="005E0171"/>
    <w:rsid w:val="005E051B"/>
    <w:rsid w:val="005E059F"/>
    <w:rsid w:val="005E05E2"/>
    <w:rsid w:val="005E06C2"/>
    <w:rsid w:val="005E06EA"/>
    <w:rsid w:val="005E06F5"/>
    <w:rsid w:val="005E0B53"/>
    <w:rsid w:val="005E0DA8"/>
    <w:rsid w:val="005E0DC6"/>
    <w:rsid w:val="005E0FCA"/>
    <w:rsid w:val="005E10E1"/>
    <w:rsid w:val="005E11DC"/>
    <w:rsid w:val="005E1278"/>
    <w:rsid w:val="005E12D5"/>
    <w:rsid w:val="005E1556"/>
    <w:rsid w:val="005E16B2"/>
    <w:rsid w:val="005E1A56"/>
    <w:rsid w:val="005E1AFE"/>
    <w:rsid w:val="005E1C40"/>
    <w:rsid w:val="005E1C75"/>
    <w:rsid w:val="005E1D75"/>
    <w:rsid w:val="005E1F13"/>
    <w:rsid w:val="005E202A"/>
    <w:rsid w:val="005E2177"/>
    <w:rsid w:val="005E2307"/>
    <w:rsid w:val="005E25C3"/>
    <w:rsid w:val="005E260D"/>
    <w:rsid w:val="005E26D6"/>
    <w:rsid w:val="005E28C1"/>
    <w:rsid w:val="005E2AC1"/>
    <w:rsid w:val="005E2BD4"/>
    <w:rsid w:val="005E2E8C"/>
    <w:rsid w:val="005E2EBE"/>
    <w:rsid w:val="005E2FB3"/>
    <w:rsid w:val="005E2FC8"/>
    <w:rsid w:val="005E3271"/>
    <w:rsid w:val="005E32B4"/>
    <w:rsid w:val="005E3474"/>
    <w:rsid w:val="005E3480"/>
    <w:rsid w:val="005E3697"/>
    <w:rsid w:val="005E37EB"/>
    <w:rsid w:val="005E3A9B"/>
    <w:rsid w:val="005E3C95"/>
    <w:rsid w:val="005E3E64"/>
    <w:rsid w:val="005E3EE9"/>
    <w:rsid w:val="005E3F36"/>
    <w:rsid w:val="005E43BE"/>
    <w:rsid w:val="005E4403"/>
    <w:rsid w:val="005E4746"/>
    <w:rsid w:val="005E4848"/>
    <w:rsid w:val="005E4A34"/>
    <w:rsid w:val="005E4A81"/>
    <w:rsid w:val="005E4B77"/>
    <w:rsid w:val="005E4D99"/>
    <w:rsid w:val="005E4E39"/>
    <w:rsid w:val="005E4FCA"/>
    <w:rsid w:val="005E506C"/>
    <w:rsid w:val="005E51E7"/>
    <w:rsid w:val="005E53B3"/>
    <w:rsid w:val="005E54A4"/>
    <w:rsid w:val="005E55BE"/>
    <w:rsid w:val="005E55F0"/>
    <w:rsid w:val="005E56E7"/>
    <w:rsid w:val="005E5A4B"/>
    <w:rsid w:val="005E5B60"/>
    <w:rsid w:val="005E5B66"/>
    <w:rsid w:val="005E5C7E"/>
    <w:rsid w:val="005E5D1A"/>
    <w:rsid w:val="005E5DF3"/>
    <w:rsid w:val="005E5EE2"/>
    <w:rsid w:val="005E601A"/>
    <w:rsid w:val="005E601C"/>
    <w:rsid w:val="005E61DA"/>
    <w:rsid w:val="005E6235"/>
    <w:rsid w:val="005E6362"/>
    <w:rsid w:val="005E6500"/>
    <w:rsid w:val="005E6691"/>
    <w:rsid w:val="005E66E8"/>
    <w:rsid w:val="005E67D4"/>
    <w:rsid w:val="005E67E3"/>
    <w:rsid w:val="005E7044"/>
    <w:rsid w:val="005E70D3"/>
    <w:rsid w:val="005E731E"/>
    <w:rsid w:val="005E7381"/>
    <w:rsid w:val="005E744A"/>
    <w:rsid w:val="005E748A"/>
    <w:rsid w:val="005E74E7"/>
    <w:rsid w:val="005E74EE"/>
    <w:rsid w:val="005E7563"/>
    <w:rsid w:val="005E76B3"/>
    <w:rsid w:val="005E77CA"/>
    <w:rsid w:val="005E7866"/>
    <w:rsid w:val="005E7928"/>
    <w:rsid w:val="005E79B8"/>
    <w:rsid w:val="005E7A3D"/>
    <w:rsid w:val="005E7AC5"/>
    <w:rsid w:val="005E7C9B"/>
    <w:rsid w:val="005E7CAE"/>
    <w:rsid w:val="005E7CF1"/>
    <w:rsid w:val="005E7E8F"/>
    <w:rsid w:val="005E7F9D"/>
    <w:rsid w:val="005E7FA2"/>
    <w:rsid w:val="005F012D"/>
    <w:rsid w:val="005F013B"/>
    <w:rsid w:val="005F0373"/>
    <w:rsid w:val="005F0399"/>
    <w:rsid w:val="005F0664"/>
    <w:rsid w:val="005F07D9"/>
    <w:rsid w:val="005F0804"/>
    <w:rsid w:val="005F0840"/>
    <w:rsid w:val="005F087A"/>
    <w:rsid w:val="005F088D"/>
    <w:rsid w:val="005F093F"/>
    <w:rsid w:val="005F0B71"/>
    <w:rsid w:val="005F0CBC"/>
    <w:rsid w:val="005F0DE1"/>
    <w:rsid w:val="005F0F5D"/>
    <w:rsid w:val="005F0F71"/>
    <w:rsid w:val="005F115B"/>
    <w:rsid w:val="005F1407"/>
    <w:rsid w:val="005F193F"/>
    <w:rsid w:val="005F1AC1"/>
    <w:rsid w:val="005F1B27"/>
    <w:rsid w:val="005F1B77"/>
    <w:rsid w:val="005F1BDF"/>
    <w:rsid w:val="005F1E34"/>
    <w:rsid w:val="005F1E9F"/>
    <w:rsid w:val="005F20D7"/>
    <w:rsid w:val="005F217B"/>
    <w:rsid w:val="005F21B2"/>
    <w:rsid w:val="005F2570"/>
    <w:rsid w:val="005F25DB"/>
    <w:rsid w:val="005F2709"/>
    <w:rsid w:val="005F28EF"/>
    <w:rsid w:val="005F29D3"/>
    <w:rsid w:val="005F2B6A"/>
    <w:rsid w:val="005F2BE7"/>
    <w:rsid w:val="005F2C47"/>
    <w:rsid w:val="005F2DDD"/>
    <w:rsid w:val="005F3136"/>
    <w:rsid w:val="005F3265"/>
    <w:rsid w:val="005F32B6"/>
    <w:rsid w:val="005F33BE"/>
    <w:rsid w:val="005F33DB"/>
    <w:rsid w:val="005F3507"/>
    <w:rsid w:val="005F350F"/>
    <w:rsid w:val="005F36B1"/>
    <w:rsid w:val="005F3743"/>
    <w:rsid w:val="005F387B"/>
    <w:rsid w:val="005F38F7"/>
    <w:rsid w:val="005F3A39"/>
    <w:rsid w:val="005F3AEA"/>
    <w:rsid w:val="005F41C9"/>
    <w:rsid w:val="005F4388"/>
    <w:rsid w:val="005F44CC"/>
    <w:rsid w:val="005F469A"/>
    <w:rsid w:val="005F48A0"/>
    <w:rsid w:val="005F496A"/>
    <w:rsid w:val="005F49F9"/>
    <w:rsid w:val="005F4A23"/>
    <w:rsid w:val="005F4A3E"/>
    <w:rsid w:val="005F4A65"/>
    <w:rsid w:val="005F4A9C"/>
    <w:rsid w:val="005F4E29"/>
    <w:rsid w:val="005F5289"/>
    <w:rsid w:val="005F537F"/>
    <w:rsid w:val="005F5505"/>
    <w:rsid w:val="005F5631"/>
    <w:rsid w:val="005F5871"/>
    <w:rsid w:val="005F5E75"/>
    <w:rsid w:val="005F5FA6"/>
    <w:rsid w:val="005F6297"/>
    <w:rsid w:val="005F62B1"/>
    <w:rsid w:val="005F62DB"/>
    <w:rsid w:val="005F65C2"/>
    <w:rsid w:val="005F66A9"/>
    <w:rsid w:val="005F6943"/>
    <w:rsid w:val="005F6A52"/>
    <w:rsid w:val="005F6C67"/>
    <w:rsid w:val="005F7166"/>
    <w:rsid w:val="005F74F8"/>
    <w:rsid w:val="005F756F"/>
    <w:rsid w:val="005F7A3B"/>
    <w:rsid w:val="005F7BE7"/>
    <w:rsid w:val="005F7F0D"/>
    <w:rsid w:val="005F7F9E"/>
    <w:rsid w:val="005F7FE6"/>
    <w:rsid w:val="0060010A"/>
    <w:rsid w:val="00600184"/>
    <w:rsid w:val="006001B8"/>
    <w:rsid w:val="006001E2"/>
    <w:rsid w:val="0060081F"/>
    <w:rsid w:val="00600B38"/>
    <w:rsid w:val="00600C64"/>
    <w:rsid w:val="00600CBA"/>
    <w:rsid w:val="00601003"/>
    <w:rsid w:val="0060114C"/>
    <w:rsid w:val="006011D8"/>
    <w:rsid w:val="0060141E"/>
    <w:rsid w:val="00601484"/>
    <w:rsid w:val="00601755"/>
    <w:rsid w:val="00601878"/>
    <w:rsid w:val="0060190D"/>
    <w:rsid w:val="00601B4A"/>
    <w:rsid w:val="00601D3C"/>
    <w:rsid w:val="00601E43"/>
    <w:rsid w:val="00601E8D"/>
    <w:rsid w:val="0060227B"/>
    <w:rsid w:val="006022F6"/>
    <w:rsid w:val="00602331"/>
    <w:rsid w:val="00602537"/>
    <w:rsid w:val="00602624"/>
    <w:rsid w:val="006026AD"/>
    <w:rsid w:val="0060281D"/>
    <w:rsid w:val="006029AD"/>
    <w:rsid w:val="00602A3F"/>
    <w:rsid w:val="00602B26"/>
    <w:rsid w:val="00602E31"/>
    <w:rsid w:val="00602EBE"/>
    <w:rsid w:val="0060327A"/>
    <w:rsid w:val="006033A6"/>
    <w:rsid w:val="006033E2"/>
    <w:rsid w:val="006034D3"/>
    <w:rsid w:val="0060361F"/>
    <w:rsid w:val="006036BA"/>
    <w:rsid w:val="0060372C"/>
    <w:rsid w:val="00603B32"/>
    <w:rsid w:val="00603C6B"/>
    <w:rsid w:val="00604136"/>
    <w:rsid w:val="006041AC"/>
    <w:rsid w:val="006043C8"/>
    <w:rsid w:val="006043C9"/>
    <w:rsid w:val="006043F0"/>
    <w:rsid w:val="006044C8"/>
    <w:rsid w:val="00604552"/>
    <w:rsid w:val="006047D4"/>
    <w:rsid w:val="006049B0"/>
    <w:rsid w:val="00604A50"/>
    <w:rsid w:val="00604A95"/>
    <w:rsid w:val="00604AE5"/>
    <w:rsid w:val="00604BA7"/>
    <w:rsid w:val="00604C5F"/>
    <w:rsid w:val="00604C61"/>
    <w:rsid w:val="00604C95"/>
    <w:rsid w:val="00604CEA"/>
    <w:rsid w:val="00604E46"/>
    <w:rsid w:val="00604F53"/>
    <w:rsid w:val="00604F86"/>
    <w:rsid w:val="006051C1"/>
    <w:rsid w:val="00605211"/>
    <w:rsid w:val="0060535C"/>
    <w:rsid w:val="006054B1"/>
    <w:rsid w:val="006054EF"/>
    <w:rsid w:val="00605868"/>
    <w:rsid w:val="00605B14"/>
    <w:rsid w:val="00605E06"/>
    <w:rsid w:val="00605E51"/>
    <w:rsid w:val="00605E6E"/>
    <w:rsid w:val="00605F24"/>
    <w:rsid w:val="00605F6A"/>
    <w:rsid w:val="00606120"/>
    <w:rsid w:val="0060612E"/>
    <w:rsid w:val="006062B9"/>
    <w:rsid w:val="0060633E"/>
    <w:rsid w:val="00606482"/>
    <w:rsid w:val="006064BA"/>
    <w:rsid w:val="00606600"/>
    <w:rsid w:val="0060697E"/>
    <w:rsid w:val="00606A21"/>
    <w:rsid w:val="00606DD1"/>
    <w:rsid w:val="00607591"/>
    <w:rsid w:val="00607602"/>
    <w:rsid w:val="00607697"/>
    <w:rsid w:val="00607722"/>
    <w:rsid w:val="0060779F"/>
    <w:rsid w:val="00607845"/>
    <w:rsid w:val="00607A93"/>
    <w:rsid w:val="00607B2D"/>
    <w:rsid w:val="00607B6F"/>
    <w:rsid w:val="00607D35"/>
    <w:rsid w:val="00607DD4"/>
    <w:rsid w:val="00607EFB"/>
    <w:rsid w:val="00610018"/>
    <w:rsid w:val="00610246"/>
    <w:rsid w:val="0061031E"/>
    <w:rsid w:val="00610365"/>
    <w:rsid w:val="00610583"/>
    <w:rsid w:val="0061067E"/>
    <w:rsid w:val="0061084B"/>
    <w:rsid w:val="00610A9E"/>
    <w:rsid w:val="00610E72"/>
    <w:rsid w:val="00610F7B"/>
    <w:rsid w:val="006111F1"/>
    <w:rsid w:val="0061125B"/>
    <w:rsid w:val="0061135D"/>
    <w:rsid w:val="006113AC"/>
    <w:rsid w:val="006114CB"/>
    <w:rsid w:val="006115A0"/>
    <w:rsid w:val="006117B0"/>
    <w:rsid w:val="00611CD0"/>
    <w:rsid w:val="00611F99"/>
    <w:rsid w:val="006120BA"/>
    <w:rsid w:val="00612301"/>
    <w:rsid w:val="006126B4"/>
    <w:rsid w:val="00612949"/>
    <w:rsid w:val="00612EC5"/>
    <w:rsid w:val="00612FF6"/>
    <w:rsid w:val="00613084"/>
    <w:rsid w:val="0061333D"/>
    <w:rsid w:val="006133B9"/>
    <w:rsid w:val="006133F6"/>
    <w:rsid w:val="0061346E"/>
    <w:rsid w:val="006134EA"/>
    <w:rsid w:val="006134FC"/>
    <w:rsid w:val="00613565"/>
    <w:rsid w:val="0061395F"/>
    <w:rsid w:val="006139AF"/>
    <w:rsid w:val="00613CC2"/>
    <w:rsid w:val="00613CD6"/>
    <w:rsid w:val="00613D1B"/>
    <w:rsid w:val="00613EBA"/>
    <w:rsid w:val="00613F16"/>
    <w:rsid w:val="00613F97"/>
    <w:rsid w:val="0061402B"/>
    <w:rsid w:val="00614085"/>
    <w:rsid w:val="00614114"/>
    <w:rsid w:val="00614129"/>
    <w:rsid w:val="00614409"/>
    <w:rsid w:val="006145EA"/>
    <w:rsid w:val="00614785"/>
    <w:rsid w:val="006147FF"/>
    <w:rsid w:val="006148ED"/>
    <w:rsid w:val="0061499C"/>
    <w:rsid w:val="00614A16"/>
    <w:rsid w:val="00614C28"/>
    <w:rsid w:val="00614D68"/>
    <w:rsid w:val="00614DCC"/>
    <w:rsid w:val="00614F44"/>
    <w:rsid w:val="0061517A"/>
    <w:rsid w:val="006151C0"/>
    <w:rsid w:val="006153AF"/>
    <w:rsid w:val="006154E4"/>
    <w:rsid w:val="00615537"/>
    <w:rsid w:val="006158D6"/>
    <w:rsid w:val="00615B5C"/>
    <w:rsid w:val="00615C41"/>
    <w:rsid w:val="00615C85"/>
    <w:rsid w:val="00615CCD"/>
    <w:rsid w:val="00615DAA"/>
    <w:rsid w:val="00615FFB"/>
    <w:rsid w:val="006160B1"/>
    <w:rsid w:val="00616119"/>
    <w:rsid w:val="00616277"/>
    <w:rsid w:val="0061633D"/>
    <w:rsid w:val="006168AC"/>
    <w:rsid w:val="00616989"/>
    <w:rsid w:val="00616D93"/>
    <w:rsid w:val="00616E06"/>
    <w:rsid w:val="00616F9F"/>
    <w:rsid w:val="0061750E"/>
    <w:rsid w:val="006175A8"/>
    <w:rsid w:val="00617638"/>
    <w:rsid w:val="006177E0"/>
    <w:rsid w:val="006178E5"/>
    <w:rsid w:val="00617A64"/>
    <w:rsid w:val="00617AEB"/>
    <w:rsid w:val="00617D34"/>
    <w:rsid w:val="00617EB2"/>
    <w:rsid w:val="00620016"/>
    <w:rsid w:val="0062023A"/>
    <w:rsid w:val="0062035D"/>
    <w:rsid w:val="006207DA"/>
    <w:rsid w:val="00620D0E"/>
    <w:rsid w:val="00620DC3"/>
    <w:rsid w:val="00621092"/>
    <w:rsid w:val="0062117D"/>
    <w:rsid w:val="006212C0"/>
    <w:rsid w:val="0062140A"/>
    <w:rsid w:val="0062147A"/>
    <w:rsid w:val="006214E5"/>
    <w:rsid w:val="006217E8"/>
    <w:rsid w:val="00621B7E"/>
    <w:rsid w:val="00621BD9"/>
    <w:rsid w:val="00622136"/>
    <w:rsid w:val="0062216B"/>
    <w:rsid w:val="006221AF"/>
    <w:rsid w:val="006222C7"/>
    <w:rsid w:val="00622523"/>
    <w:rsid w:val="00622578"/>
    <w:rsid w:val="006225CA"/>
    <w:rsid w:val="00622965"/>
    <w:rsid w:val="006229BC"/>
    <w:rsid w:val="00622B49"/>
    <w:rsid w:val="00622F60"/>
    <w:rsid w:val="00623199"/>
    <w:rsid w:val="006232D8"/>
    <w:rsid w:val="006237EE"/>
    <w:rsid w:val="006238C6"/>
    <w:rsid w:val="00623BCC"/>
    <w:rsid w:val="00623EE2"/>
    <w:rsid w:val="00623F48"/>
    <w:rsid w:val="0062425A"/>
    <w:rsid w:val="00624310"/>
    <w:rsid w:val="00624348"/>
    <w:rsid w:val="00624377"/>
    <w:rsid w:val="00624558"/>
    <w:rsid w:val="006246DD"/>
    <w:rsid w:val="006248CF"/>
    <w:rsid w:val="00624908"/>
    <w:rsid w:val="00624A36"/>
    <w:rsid w:val="00624A59"/>
    <w:rsid w:val="00624A69"/>
    <w:rsid w:val="00624CF1"/>
    <w:rsid w:val="00624D7D"/>
    <w:rsid w:val="00624ED3"/>
    <w:rsid w:val="006253DF"/>
    <w:rsid w:val="006254C2"/>
    <w:rsid w:val="00625FB8"/>
    <w:rsid w:val="0062602A"/>
    <w:rsid w:val="00626061"/>
    <w:rsid w:val="00626102"/>
    <w:rsid w:val="0062649C"/>
    <w:rsid w:val="006265DE"/>
    <w:rsid w:val="00626619"/>
    <w:rsid w:val="00626723"/>
    <w:rsid w:val="006268FF"/>
    <w:rsid w:val="00626904"/>
    <w:rsid w:val="00626960"/>
    <w:rsid w:val="006269F6"/>
    <w:rsid w:val="00626A47"/>
    <w:rsid w:val="00626ACE"/>
    <w:rsid w:val="00626B24"/>
    <w:rsid w:val="00626C6C"/>
    <w:rsid w:val="00626CD5"/>
    <w:rsid w:val="00626E85"/>
    <w:rsid w:val="0062702B"/>
    <w:rsid w:val="00627163"/>
    <w:rsid w:val="00627571"/>
    <w:rsid w:val="00627A02"/>
    <w:rsid w:val="00627A73"/>
    <w:rsid w:val="00627CA3"/>
    <w:rsid w:val="00627CBC"/>
    <w:rsid w:val="00627EB3"/>
    <w:rsid w:val="00630254"/>
    <w:rsid w:val="0063038B"/>
    <w:rsid w:val="006305B9"/>
    <w:rsid w:val="00630937"/>
    <w:rsid w:val="00630B81"/>
    <w:rsid w:val="00630C34"/>
    <w:rsid w:val="00630ECE"/>
    <w:rsid w:val="00630FE5"/>
    <w:rsid w:val="00631202"/>
    <w:rsid w:val="00631438"/>
    <w:rsid w:val="006315BF"/>
    <w:rsid w:val="006316A5"/>
    <w:rsid w:val="0063179A"/>
    <w:rsid w:val="00631EF5"/>
    <w:rsid w:val="0063201F"/>
    <w:rsid w:val="006322FC"/>
    <w:rsid w:val="00632411"/>
    <w:rsid w:val="0063250E"/>
    <w:rsid w:val="00632518"/>
    <w:rsid w:val="00632561"/>
    <w:rsid w:val="00632579"/>
    <w:rsid w:val="0063263C"/>
    <w:rsid w:val="00632763"/>
    <w:rsid w:val="006327DF"/>
    <w:rsid w:val="006328CF"/>
    <w:rsid w:val="00632C3D"/>
    <w:rsid w:val="00633052"/>
    <w:rsid w:val="006330CF"/>
    <w:rsid w:val="00633160"/>
    <w:rsid w:val="00633843"/>
    <w:rsid w:val="00633851"/>
    <w:rsid w:val="00633A38"/>
    <w:rsid w:val="00633B86"/>
    <w:rsid w:val="00633D28"/>
    <w:rsid w:val="00633DE6"/>
    <w:rsid w:val="00633E1D"/>
    <w:rsid w:val="00633E68"/>
    <w:rsid w:val="00633E6D"/>
    <w:rsid w:val="00634096"/>
    <w:rsid w:val="006342DF"/>
    <w:rsid w:val="00634373"/>
    <w:rsid w:val="00634438"/>
    <w:rsid w:val="0063443B"/>
    <w:rsid w:val="006346DA"/>
    <w:rsid w:val="006347F4"/>
    <w:rsid w:val="006348F4"/>
    <w:rsid w:val="0063492D"/>
    <w:rsid w:val="00634C73"/>
    <w:rsid w:val="00634D55"/>
    <w:rsid w:val="00634D98"/>
    <w:rsid w:val="006351B2"/>
    <w:rsid w:val="00635207"/>
    <w:rsid w:val="0063521F"/>
    <w:rsid w:val="0063525C"/>
    <w:rsid w:val="0063526A"/>
    <w:rsid w:val="006352CB"/>
    <w:rsid w:val="00635361"/>
    <w:rsid w:val="00635475"/>
    <w:rsid w:val="006354BE"/>
    <w:rsid w:val="00635597"/>
    <w:rsid w:val="00635613"/>
    <w:rsid w:val="006359CB"/>
    <w:rsid w:val="00635BF2"/>
    <w:rsid w:val="00635CDC"/>
    <w:rsid w:val="00635E7E"/>
    <w:rsid w:val="00635F48"/>
    <w:rsid w:val="006360B4"/>
    <w:rsid w:val="00636162"/>
    <w:rsid w:val="0063626F"/>
    <w:rsid w:val="0063664B"/>
    <w:rsid w:val="00636654"/>
    <w:rsid w:val="006369DE"/>
    <w:rsid w:val="0063707A"/>
    <w:rsid w:val="0063713E"/>
    <w:rsid w:val="00637272"/>
    <w:rsid w:val="00637379"/>
    <w:rsid w:val="006374C3"/>
    <w:rsid w:val="00637525"/>
    <w:rsid w:val="006378A8"/>
    <w:rsid w:val="00637AE7"/>
    <w:rsid w:val="00637C66"/>
    <w:rsid w:val="00637F78"/>
    <w:rsid w:val="00640184"/>
    <w:rsid w:val="006401AB"/>
    <w:rsid w:val="0064070C"/>
    <w:rsid w:val="006408A7"/>
    <w:rsid w:val="00640A6B"/>
    <w:rsid w:val="00640D0C"/>
    <w:rsid w:val="00640DD6"/>
    <w:rsid w:val="00640F3B"/>
    <w:rsid w:val="00640F94"/>
    <w:rsid w:val="00640FDE"/>
    <w:rsid w:val="00641059"/>
    <w:rsid w:val="00641199"/>
    <w:rsid w:val="006412FF"/>
    <w:rsid w:val="0064136D"/>
    <w:rsid w:val="006413C5"/>
    <w:rsid w:val="00641752"/>
    <w:rsid w:val="00641847"/>
    <w:rsid w:val="00641963"/>
    <w:rsid w:val="006419F5"/>
    <w:rsid w:val="00641A6A"/>
    <w:rsid w:val="00641BD3"/>
    <w:rsid w:val="00641E03"/>
    <w:rsid w:val="00641EFF"/>
    <w:rsid w:val="006421A1"/>
    <w:rsid w:val="006427B3"/>
    <w:rsid w:val="00642B73"/>
    <w:rsid w:val="00642B7C"/>
    <w:rsid w:val="00642CF4"/>
    <w:rsid w:val="00642E74"/>
    <w:rsid w:val="00642F09"/>
    <w:rsid w:val="00642FA5"/>
    <w:rsid w:val="006434CC"/>
    <w:rsid w:val="006437C4"/>
    <w:rsid w:val="00643B5B"/>
    <w:rsid w:val="00643DEA"/>
    <w:rsid w:val="006440BA"/>
    <w:rsid w:val="00644122"/>
    <w:rsid w:val="00644380"/>
    <w:rsid w:val="006443B1"/>
    <w:rsid w:val="006444A5"/>
    <w:rsid w:val="0064467F"/>
    <w:rsid w:val="00644838"/>
    <w:rsid w:val="00644DF6"/>
    <w:rsid w:val="00644FF9"/>
    <w:rsid w:val="00645078"/>
    <w:rsid w:val="006451D5"/>
    <w:rsid w:val="00645362"/>
    <w:rsid w:val="00645782"/>
    <w:rsid w:val="006457CF"/>
    <w:rsid w:val="006457D6"/>
    <w:rsid w:val="00645997"/>
    <w:rsid w:val="00645D7D"/>
    <w:rsid w:val="00645E07"/>
    <w:rsid w:val="00645E55"/>
    <w:rsid w:val="00645FAF"/>
    <w:rsid w:val="00646222"/>
    <w:rsid w:val="0064671E"/>
    <w:rsid w:val="0064672E"/>
    <w:rsid w:val="00646D30"/>
    <w:rsid w:val="00646F01"/>
    <w:rsid w:val="00646FB6"/>
    <w:rsid w:val="006470C9"/>
    <w:rsid w:val="00647316"/>
    <w:rsid w:val="00647518"/>
    <w:rsid w:val="006477A6"/>
    <w:rsid w:val="00647B49"/>
    <w:rsid w:val="00647C54"/>
    <w:rsid w:val="00647E15"/>
    <w:rsid w:val="00647E5F"/>
    <w:rsid w:val="00647F6F"/>
    <w:rsid w:val="006501DE"/>
    <w:rsid w:val="00650275"/>
    <w:rsid w:val="00650291"/>
    <w:rsid w:val="0065037E"/>
    <w:rsid w:val="00650933"/>
    <w:rsid w:val="00650A4C"/>
    <w:rsid w:val="00650B00"/>
    <w:rsid w:val="00650BE8"/>
    <w:rsid w:val="00650CC0"/>
    <w:rsid w:val="00650EF2"/>
    <w:rsid w:val="00650FEB"/>
    <w:rsid w:val="00651499"/>
    <w:rsid w:val="006514FF"/>
    <w:rsid w:val="00651695"/>
    <w:rsid w:val="006517D1"/>
    <w:rsid w:val="006518AF"/>
    <w:rsid w:val="0065194E"/>
    <w:rsid w:val="00651952"/>
    <w:rsid w:val="00651B42"/>
    <w:rsid w:val="00651CB6"/>
    <w:rsid w:val="00651E97"/>
    <w:rsid w:val="00652157"/>
    <w:rsid w:val="0065251D"/>
    <w:rsid w:val="006528AF"/>
    <w:rsid w:val="00652940"/>
    <w:rsid w:val="00652994"/>
    <w:rsid w:val="00652A46"/>
    <w:rsid w:val="00652B01"/>
    <w:rsid w:val="00652E60"/>
    <w:rsid w:val="0065334F"/>
    <w:rsid w:val="00653379"/>
    <w:rsid w:val="00653457"/>
    <w:rsid w:val="006536BD"/>
    <w:rsid w:val="00653778"/>
    <w:rsid w:val="00653A7B"/>
    <w:rsid w:val="00653D97"/>
    <w:rsid w:val="00653F5C"/>
    <w:rsid w:val="00653FAF"/>
    <w:rsid w:val="0065409D"/>
    <w:rsid w:val="006540D5"/>
    <w:rsid w:val="006543FB"/>
    <w:rsid w:val="00654573"/>
    <w:rsid w:val="0065463E"/>
    <w:rsid w:val="0065476D"/>
    <w:rsid w:val="006547EC"/>
    <w:rsid w:val="00654879"/>
    <w:rsid w:val="00654D9E"/>
    <w:rsid w:val="00654EE8"/>
    <w:rsid w:val="00654FDD"/>
    <w:rsid w:val="00655242"/>
    <w:rsid w:val="006552CF"/>
    <w:rsid w:val="006553F2"/>
    <w:rsid w:val="00655576"/>
    <w:rsid w:val="00655872"/>
    <w:rsid w:val="00655A53"/>
    <w:rsid w:val="00655F5F"/>
    <w:rsid w:val="00656307"/>
    <w:rsid w:val="00656435"/>
    <w:rsid w:val="00656636"/>
    <w:rsid w:val="00656793"/>
    <w:rsid w:val="006569F5"/>
    <w:rsid w:val="00656A32"/>
    <w:rsid w:val="00656ADC"/>
    <w:rsid w:val="00657161"/>
    <w:rsid w:val="0065717D"/>
    <w:rsid w:val="006575B3"/>
    <w:rsid w:val="00657658"/>
    <w:rsid w:val="006576CC"/>
    <w:rsid w:val="00657A21"/>
    <w:rsid w:val="00657A76"/>
    <w:rsid w:val="00657C5D"/>
    <w:rsid w:val="00657D3D"/>
    <w:rsid w:val="00657D6D"/>
    <w:rsid w:val="00657DC0"/>
    <w:rsid w:val="00657DD6"/>
    <w:rsid w:val="00657E55"/>
    <w:rsid w:val="00657EC9"/>
    <w:rsid w:val="00657F65"/>
    <w:rsid w:val="00657FBA"/>
    <w:rsid w:val="00660042"/>
    <w:rsid w:val="0066016D"/>
    <w:rsid w:val="00660190"/>
    <w:rsid w:val="006604C4"/>
    <w:rsid w:val="00660526"/>
    <w:rsid w:val="0066056C"/>
    <w:rsid w:val="00660649"/>
    <w:rsid w:val="006607C4"/>
    <w:rsid w:val="0066095B"/>
    <w:rsid w:val="00661033"/>
    <w:rsid w:val="006610B2"/>
    <w:rsid w:val="006612A2"/>
    <w:rsid w:val="006612F5"/>
    <w:rsid w:val="00661476"/>
    <w:rsid w:val="006614B2"/>
    <w:rsid w:val="0066168D"/>
    <w:rsid w:val="006617A6"/>
    <w:rsid w:val="006617E3"/>
    <w:rsid w:val="00661821"/>
    <w:rsid w:val="006618BA"/>
    <w:rsid w:val="00661A01"/>
    <w:rsid w:val="00661BE6"/>
    <w:rsid w:val="00661C22"/>
    <w:rsid w:val="00661EFF"/>
    <w:rsid w:val="0066201E"/>
    <w:rsid w:val="006621BE"/>
    <w:rsid w:val="0066222F"/>
    <w:rsid w:val="006629B7"/>
    <w:rsid w:val="00662ABF"/>
    <w:rsid w:val="00662F23"/>
    <w:rsid w:val="00662FBF"/>
    <w:rsid w:val="00663481"/>
    <w:rsid w:val="00663640"/>
    <w:rsid w:val="00663702"/>
    <w:rsid w:val="0066376D"/>
    <w:rsid w:val="00663A16"/>
    <w:rsid w:val="00663E1C"/>
    <w:rsid w:val="00663E26"/>
    <w:rsid w:val="00663F1B"/>
    <w:rsid w:val="00664209"/>
    <w:rsid w:val="00664244"/>
    <w:rsid w:val="00664599"/>
    <w:rsid w:val="006645B2"/>
    <w:rsid w:val="006646C1"/>
    <w:rsid w:val="006646FC"/>
    <w:rsid w:val="006649D6"/>
    <w:rsid w:val="00664DB7"/>
    <w:rsid w:val="00664F06"/>
    <w:rsid w:val="00664F20"/>
    <w:rsid w:val="00665385"/>
    <w:rsid w:val="006653B5"/>
    <w:rsid w:val="006653C5"/>
    <w:rsid w:val="006653CA"/>
    <w:rsid w:val="006655C7"/>
    <w:rsid w:val="0066561B"/>
    <w:rsid w:val="006656E7"/>
    <w:rsid w:val="00665784"/>
    <w:rsid w:val="0066588E"/>
    <w:rsid w:val="00665940"/>
    <w:rsid w:val="00665A7A"/>
    <w:rsid w:val="00665EB9"/>
    <w:rsid w:val="00665F92"/>
    <w:rsid w:val="0066604B"/>
    <w:rsid w:val="00666297"/>
    <w:rsid w:val="0066631A"/>
    <w:rsid w:val="0066635A"/>
    <w:rsid w:val="006663D9"/>
    <w:rsid w:val="00666403"/>
    <w:rsid w:val="0066647D"/>
    <w:rsid w:val="00666842"/>
    <w:rsid w:val="00666A9B"/>
    <w:rsid w:val="00666B34"/>
    <w:rsid w:val="00666D3A"/>
    <w:rsid w:val="00666D68"/>
    <w:rsid w:val="00666D99"/>
    <w:rsid w:val="00666DF7"/>
    <w:rsid w:val="0066707B"/>
    <w:rsid w:val="00667213"/>
    <w:rsid w:val="00667351"/>
    <w:rsid w:val="0066736B"/>
    <w:rsid w:val="006674EE"/>
    <w:rsid w:val="0066756A"/>
    <w:rsid w:val="00667A1C"/>
    <w:rsid w:val="00667B03"/>
    <w:rsid w:val="00667C9A"/>
    <w:rsid w:val="00667CDD"/>
    <w:rsid w:val="00667F16"/>
    <w:rsid w:val="00667F89"/>
    <w:rsid w:val="0067014D"/>
    <w:rsid w:val="00670192"/>
    <w:rsid w:val="00670355"/>
    <w:rsid w:val="00670435"/>
    <w:rsid w:val="00670459"/>
    <w:rsid w:val="006704DB"/>
    <w:rsid w:val="0067051F"/>
    <w:rsid w:val="0067086B"/>
    <w:rsid w:val="00670A5F"/>
    <w:rsid w:val="00670AE3"/>
    <w:rsid w:val="00670EC7"/>
    <w:rsid w:val="00671222"/>
    <w:rsid w:val="0067189D"/>
    <w:rsid w:val="00671940"/>
    <w:rsid w:val="00671B0C"/>
    <w:rsid w:val="00671BD6"/>
    <w:rsid w:val="00671F78"/>
    <w:rsid w:val="006720E9"/>
    <w:rsid w:val="00672558"/>
    <w:rsid w:val="00672702"/>
    <w:rsid w:val="006727F8"/>
    <w:rsid w:val="00672BB9"/>
    <w:rsid w:val="00672F98"/>
    <w:rsid w:val="00673268"/>
    <w:rsid w:val="006732A3"/>
    <w:rsid w:val="0067333B"/>
    <w:rsid w:val="006733CF"/>
    <w:rsid w:val="006734C9"/>
    <w:rsid w:val="00673732"/>
    <w:rsid w:val="0067380F"/>
    <w:rsid w:val="006738B7"/>
    <w:rsid w:val="00673BD1"/>
    <w:rsid w:val="00673C9E"/>
    <w:rsid w:val="00673EE9"/>
    <w:rsid w:val="0067441A"/>
    <w:rsid w:val="00674704"/>
    <w:rsid w:val="00674860"/>
    <w:rsid w:val="00674934"/>
    <w:rsid w:val="00674B6A"/>
    <w:rsid w:val="00674D59"/>
    <w:rsid w:val="00675012"/>
    <w:rsid w:val="00675094"/>
    <w:rsid w:val="0067520A"/>
    <w:rsid w:val="006753AD"/>
    <w:rsid w:val="006753E1"/>
    <w:rsid w:val="00675529"/>
    <w:rsid w:val="00675565"/>
    <w:rsid w:val="0067565E"/>
    <w:rsid w:val="00675877"/>
    <w:rsid w:val="00675899"/>
    <w:rsid w:val="0067589F"/>
    <w:rsid w:val="00675E43"/>
    <w:rsid w:val="00675EA2"/>
    <w:rsid w:val="00675FC8"/>
    <w:rsid w:val="006762FF"/>
    <w:rsid w:val="00676420"/>
    <w:rsid w:val="0067655F"/>
    <w:rsid w:val="006766E6"/>
    <w:rsid w:val="00676806"/>
    <w:rsid w:val="0067680D"/>
    <w:rsid w:val="00676810"/>
    <w:rsid w:val="0067687B"/>
    <w:rsid w:val="0067687F"/>
    <w:rsid w:val="00676ABF"/>
    <w:rsid w:val="00676C56"/>
    <w:rsid w:val="00676DFD"/>
    <w:rsid w:val="00676E9F"/>
    <w:rsid w:val="00676F20"/>
    <w:rsid w:val="00676F51"/>
    <w:rsid w:val="006770A8"/>
    <w:rsid w:val="00677118"/>
    <w:rsid w:val="00677183"/>
    <w:rsid w:val="0067723A"/>
    <w:rsid w:val="00677336"/>
    <w:rsid w:val="0067768A"/>
    <w:rsid w:val="00677836"/>
    <w:rsid w:val="0067796C"/>
    <w:rsid w:val="00677BDE"/>
    <w:rsid w:val="00677C0C"/>
    <w:rsid w:val="00677D25"/>
    <w:rsid w:val="00677E2C"/>
    <w:rsid w:val="00677E45"/>
    <w:rsid w:val="00677FA0"/>
    <w:rsid w:val="00680038"/>
    <w:rsid w:val="0068003C"/>
    <w:rsid w:val="00680058"/>
    <w:rsid w:val="00680083"/>
    <w:rsid w:val="006800B4"/>
    <w:rsid w:val="006800CA"/>
    <w:rsid w:val="006802EB"/>
    <w:rsid w:val="006803B4"/>
    <w:rsid w:val="006809DA"/>
    <w:rsid w:val="00680CDA"/>
    <w:rsid w:val="00680F30"/>
    <w:rsid w:val="00681055"/>
    <w:rsid w:val="0068122B"/>
    <w:rsid w:val="00681249"/>
    <w:rsid w:val="006812B2"/>
    <w:rsid w:val="0068165D"/>
    <w:rsid w:val="006817A3"/>
    <w:rsid w:val="00681869"/>
    <w:rsid w:val="006818A8"/>
    <w:rsid w:val="00681F5D"/>
    <w:rsid w:val="0068281C"/>
    <w:rsid w:val="00682BB3"/>
    <w:rsid w:val="00682D02"/>
    <w:rsid w:val="00682F26"/>
    <w:rsid w:val="00682F8D"/>
    <w:rsid w:val="0068342D"/>
    <w:rsid w:val="0068343E"/>
    <w:rsid w:val="006834E9"/>
    <w:rsid w:val="00683716"/>
    <w:rsid w:val="0068394D"/>
    <w:rsid w:val="00683A2D"/>
    <w:rsid w:val="00683BFB"/>
    <w:rsid w:val="00683CF0"/>
    <w:rsid w:val="00683D22"/>
    <w:rsid w:val="00683E45"/>
    <w:rsid w:val="00683E53"/>
    <w:rsid w:val="00683FAB"/>
    <w:rsid w:val="00684014"/>
    <w:rsid w:val="0068434F"/>
    <w:rsid w:val="006843C9"/>
    <w:rsid w:val="0068454B"/>
    <w:rsid w:val="006845F5"/>
    <w:rsid w:val="006846E7"/>
    <w:rsid w:val="00684799"/>
    <w:rsid w:val="00684ADB"/>
    <w:rsid w:val="00684AF0"/>
    <w:rsid w:val="00684D04"/>
    <w:rsid w:val="0068537C"/>
    <w:rsid w:val="0068542B"/>
    <w:rsid w:val="00685A4E"/>
    <w:rsid w:val="00685B51"/>
    <w:rsid w:val="00685C44"/>
    <w:rsid w:val="00685CB6"/>
    <w:rsid w:val="00685E13"/>
    <w:rsid w:val="00685E59"/>
    <w:rsid w:val="00685F79"/>
    <w:rsid w:val="0068604C"/>
    <w:rsid w:val="0068637E"/>
    <w:rsid w:val="0068656F"/>
    <w:rsid w:val="00686689"/>
    <w:rsid w:val="006867F8"/>
    <w:rsid w:val="0068687F"/>
    <w:rsid w:val="00686BFF"/>
    <w:rsid w:val="00686E66"/>
    <w:rsid w:val="006871DB"/>
    <w:rsid w:val="00687AC2"/>
    <w:rsid w:val="00687B4C"/>
    <w:rsid w:val="00687CF6"/>
    <w:rsid w:val="00687E40"/>
    <w:rsid w:val="00690069"/>
    <w:rsid w:val="0069006B"/>
    <w:rsid w:val="00690093"/>
    <w:rsid w:val="0069020C"/>
    <w:rsid w:val="006908E0"/>
    <w:rsid w:val="00690A66"/>
    <w:rsid w:val="00690BD0"/>
    <w:rsid w:val="00690EFD"/>
    <w:rsid w:val="00690FE4"/>
    <w:rsid w:val="006918C4"/>
    <w:rsid w:val="00691951"/>
    <w:rsid w:val="00691968"/>
    <w:rsid w:val="00691BD1"/>
    <w:rsid w:val="00691D85"/>
    <w:rsid w:val="0069266C"/>
    <w:rsid w:val="00692822"/>
    <w:rsid w:val="006928AC"/>
    <w:rsid w:val="00692905"/>
    <w:rsid w:val="00692A55"/>
    <w:rsid w:val="00692DD2"/>
    <w:rsid w:val="00692E39"/>
    <w:rsid w:val="00692ED4"/>
    <w:rsid w:val="0069324D"/>
    <w:rsid w:val="006932BC"/>
    <w:rsid w:val="006932CA"/>
    <w:rsid w:val="00693424"/>
    <w:rsid w:val="0069346B"/>
    <w:rsid w:val="006934D1"/>
    <w:rsid w:val="006934D6"/>
    <w:rsid w:val="006935A1"/>
    <w:rsid w:val="00693673"/>
    <w:rsid w:val="006936D7"/>
    <w:rsid w:val="00693765"/>
    <w:rsid w:val="0069393F"/>
    <w:rsid w:val="00693A65"/>
    <w:rsid w:val="00693D0E"/>
    <w:rsid w:val="00693E29"/>
    <w:rsid w:val="00693FEA"/>
    <w:rsid w:val="00694275"/>
    <w:rsid w:val="00694419"/>
    <w:rsid w:val="00694452"/>
    <w:rsid w:val="00694874"/>
    <w:rsid w:val="00694D38"/>
    <w:rsid w:val="00694D4C"/>
    <w:rsid w:val="00694D99"/>
    <w:rsid w:val="006950CD"/>
    <w:rsid w:val="0069512C"/>
    <w:rsid w:val="00695378"/>
    <w:rsid w:val="0069542D"/>
    <w:rsid w:val="0069549D"/>
    <w:rsid w:val="00695780"/>
    <w:rsid w:val="006958CE"/>
    <w:rsid w:val="006958F4"/>
    <w:rsid w:val="00695914"/>
    <w:rsid w:val="00695C52"/>
    <w:rsid w:val="00695C9B"/>
    <w:rsid w:val="006962F5"/>
    <w:rsid w:val="00696318"/>
    <w:rsid w:val="00696363"/>
    <w:rsid w:val="00696497"/>
    <w:rsid w:val="0069667C"/>
    <w:rsid w:val="00696705"/>
    <w:rsid w:val="00696742"/>
    <w:rsid w:val="006968A4"/>
    <w:rsid w:val="006969B1"/>
    <w:rsid w:val="00696A80"/>
    <w:rsid w:val="00696D23"/>
    <w:rsid w:val="00696E5E"/>
    <w:rsid w:val="00696F3E"/>
    <w:rsid w:val="006970B2"/>
    <w:rsid w:val="006970E8"/>
    <w:rsid w:val="0069726C"/>
    <w:rsid w:val="006973A0"/>
    <w:rsid w:val="00697718"/>
    <w:rsid w:val="00697809"/>
    <w:rsid w:val="006978EC"/>
    <w:rsid w:val="006979F9"/>
    <w:rsid w:val="00697DBF"/>
    <w:rsid w:val="00697E23"/>
    <w:rsid w:val="0069FA29"/>
    <w:rsid w:val="006A0152"/>
    <w:rsid w:val="006A01F6"/>
    <w:rsid w:val="006A03A3"/>
    <w:rsid w:val="006A0412"/>
    <w:rsid w:val="006A043D"/>
    <w:rsid w:val="006A0475"/>
    <w:rsid w:val="006A04EC"/>
    <w:rsid w:val="006A050E"/>
    <w:rsid w:val="006A062C"/>
    <w:rsid w:val="006A0690"/>
    <w:rsid w:val="006A0744"/>
    <w:rsid w:val="006A0767"/>
    <w:rsid w:val="006A0932"/>
    <w:rsid w:val="006A09B8"/>
    <w:rsid w:val="006A0A6A"/>
    <w:rsid w:val="006A0B66"/>
    <w:rsid w:val="006A0B7C"/>
    <w:rsid w:val="006A0BC4"/>
    <w:rsid w:val="006A0CC1"/>
    <w:rsid w:val="006A0D47"/>
    <w:rsid w:val="006A0D8B"/>
    <w:rsid w:val="006A0E1E"/>
    <w:rsid w:val="006A0E66"/>
    <w:rsid w:val="006A0FB8"/>
    <w:rsid w:val="006A1169"/>
    <w:rsid w:val="006A1298"/>
    <w:rsid w:val="006A13B7"/>
    <w:rsid w:val="006A1915"/>
    <w:rsid w:val="006A1B28"/>
    <w:rsid w:val="006A1BCA"/>
    <w:rsid w:val="006A1BE0"/>
    <w:rsid w:val="006A1C91"/>
    <w:rsid w:val="006A1F15"/>
    <w:rsid w:val="006A2346"/>
    <w:rsid w:val="006A261F"/>
    <w:rsid w:val="006A26C3"/>
    <w:rsid w:val="006A27EA"/>
    <w:rsid w:val="006A27F0"/>
    <w:rsid w:val="006A2BB7"/>
    <w:rsid w:val="006A2BEA"/>
    <w:rsid w:val="006A2DD7"/>
    <w:rsid w:val="006A2E09"/>
    <w:rsid w:val="006A2EAB"/>
    <w:rsid w:val="006A2F3E"/>
    <w:rsid w:val="006A3001"/>
    <w:rsid w:val="006A3252"/>
    <w:rsid w:val="006A345E"/>
    <w:rsid w:val="006A34C5"/>
    <w:rsid w:val="006A361C"/>
    <w:rsid w:val="006A362A"/>
    <w:rsid w:val="006A39B0"/>
    <w:rsid w:val="006A39E7"/>
    <w:rsid w:val="006A409D"/>
    <w:rsid w:val="006A40DF"/>
    <w:rsid w:val="006A416E"/>
    <w:rsid w:val="006A41A0"/>
    <w:rsid w:val="006A42B6"/>
    <w:rsid w:val="006A43CE"/>
    <w:rsid w:val="006A4756"/>
    <w:rsid w:val="006A48B4"/>
    <w:rsid w:val="006A48E7"/>
    <w:rsid w:val="006A490D"/>
    <w:rsid w:val="006A49CF"/>
    <w:rsid w:val="006A4B07"/>
    <w:rsid w:val="006A4C5D"/>
    <w:rsid w:val="006A4E10"/>
    <w:rsid w:val="006A4FB7"/>
    <w:rsid w:val="006A52DB"/>
    <w:rsid w:val="006A5314"/>
    <w:rsid w:val="006A5889"/>
    <w:rsid w:val="006A5898"/>
    <w:rsid w:val="006A5931"/>
    <w:rsid w:val="006A5BF0"/>
    <w:rsid w:val="006A5D19"/>
    <w:rsid w:val="006A5DAC"/>
    <w:rsid w:val="006A5DDD"/>
    <w:rsid w:val="006A5E3E"/>
    <w:rsid w:val="006A5E74"/>
    <w:rsid w:val="006A60F9"/>
    <w:rsid w:val="006A6122"/>
    <w:rsid w:val="006A621C"/>
    <w:rsid w:val="006A641E"/>
    <w:rsid w:val="006A64A2"/>
    <w:rsid w:val="006A677A"/>
    <w:rsid w:val="006A6899"/>
    <w:rsid w:val="006A695A"/>
    <w:rsid w:val="006A6C00"/>
    <w:rsid w:val="006A6FE6"/>
    <w:rsid w:val="006A709A"/>
    <w:rsid w:val="006A71F3"/>
    <w:rsid w:val="006A725D"/>
    <w:rsid w:val="006A729A"/>
    <w:rsid w:val="006A73AF"/>
    <w:rsid w:val="006A740A"/>
    <w:rsid w:val="006A74F2"/>
    <w:rsid w:val="006A7523"/>
    <w:rsid w:val="006A7650"/>
    <w:rsid w:val="006A7884"/>
    <w:rsid w:val="006A79EE"/>
    <w:rsid w:val="006A7EA5"/>
    <w:rsid w:val="006A7FDC"/>
    <w:rsid w:val="006AE134"/>
    <w:rsid w:val="006B015D"/>
    <w:rsid w:val="006B0893"/>
    <w:rsid w:val="006B08B1"/>
    <w:rsid w:val="006B08C1"/>
    <w:rsid w:val="006B0DAE"/>
    <w:rsid w:val="006B0E4D"/>
    <w:rsid w:val="006B0F30"/>
    <w:rsid w:val="006B10B0"/>
    <w:rsid w:val="006B1678"/>
    <w:rsid w:val="006B17CC"/>
    <w:rsid w:val="006B1D93"/>
    <w:rsid w:val="006B204C"/>
    <w:rsid w:val="006B22EB"/>
    <w:rsid w:val="006B2300"/>
    <w:rsid w:val="006B2329"/>
    <w:rsid w:val="006B247F"/>
    <w:rsid w:val="006B2677"/>
    <w:rsid w:val="006B27F5"/>
    <w:rsid w:val="006B2893"/>
    <w:rsid w:val="006B289F"/>
    <w:rsid w:val="006B29BA"/>
    <w:rsid w:val="006B2A51"/>
    <w:rsid w:val="006B2B6F"/>
    <w:rsid w:val="006B2CAA"/>
    <w:rsid w:val="006B2DF7"/>
    <w:rsid w:val="006B2E20"/>
    <w:rsid w:val="006B2F53"/>
    <w:rsid w:val="006B30B9"/>
    <w:rsid w:val="006B31A6"/>
    <w:rsid w:val="006B3248"/>
    <w:rsid w:val="006B347D"/>
    <w:rsid w:val="006B35E7"/>
    <w:rsid w:val="006B3699"/>
    <w:rsid w:val="006B36F2"/>
    <w:rsid w:val="006B3745"/>
    <w:rsid w:val="006B395F"/>
    <w:rsid w:val="006B3E4E"/>
    <w:rsid w:val="006B3FE3"/>
    <w:rsid w:val="006B436E"/>
    <w:rsid w:val="006B457C"/>
    <w:rsid w:val="006B474B"/>
    <w:rsid w:val="006B4805"/>
    <w:rsid w:val="006B4864"/>
    <w:rsid w:val="006B4A67"/>
    <w:rsid w:val="006B4B32"/>
    <w:rsid w:val="006B4B38"/>
    <w:rsid w:val="006B4BF3"/>
    <w:rsid w:val="006B4D40"/>
    <w:rsid w:val="006B4E1E"/>
    <w:rsid w:val="006B4F7D"/>
    <w:rsid w:val="006B4FF6"/>
    <w:rsid w:val="006B5229"/>
    <w:rsid w:val="006B53D9"/>
    <w:rsid w:val="006B545A"/>
    <w:rsid w:val="006B55D0"/>
    <w:rsid w:val="006B5716"/>
    <w:rsid w:val="006B5851"/>
    <w:rsid w:val="006B5994"/>
    <w:rsid w:val="006B59A9"/>
    <w:rsid w:val="006B59BB"/>
    <w:rsid w:val="006B59FC"/>
    <w:rsid w:val="006B5A97"/>
    <w:rsid w:val="006B60C1"/>
    <w:rsid w:val="006B64C5"/>
    <w:rsid w:val="006B6537"/>
    <w:rsid w:val="006B657C"/>
    <w:rsid w:val="006B65C9"/>
    <w:rsid w:val="006B6780"/>
    <w:rsid w:val="006B685E"/>
    <w:rsid w:val="006B68AA"/>
    <w:rsid w:val="006B6A33"/>
    <w:rsid w:val="006B6B15"/>
    <w:rsid w:val="006B6C7E"/>
    <w:rsid w:val="006B6FF8"/>
    <w:rsid w:val="006B717C"/>
    <w:rsid w:val="006B717D"/>
    <w:rsid w:val="006B71EC"/>
    <w:rsid w:val="006B7553"/>
    <w:rsid w:val="006B75CE"/>
    <w:rsid w:val="006B769B"/>
    <w:rsid w:val="006B77DA"/>
    <w:rsid w:val="006B79B7"/>
    <w:rsid w:val="006B79CF"/>
    <w:rsid w:val="006B7A66"/>
    <w:rsid w:val="006B7E3D"/>
    <w:rsid w:val="006B7F91"/>
    <w:rsid w:val="006B7FD0"/>
    <w:rsid w:val="006C00AF"/>
    <w:rsid w:val="006C0185"/>
    <w:rsid w:val="006C053C"/>
    <w:rsid w:val="006C09F1"/>
    <w:rsid w:val="006C0A48"/>
    <w:rsid w:val="006C0CE8"/>
    <w:rsid w:val="006C0D25"/>
    <w:rsid w:val="006C0E66"/>
    <w:rsid w:val="006C0F4F"/>
    <w:rsid w:val="006C1200"/>
    <w:rsid w:val="006C129A"/>
    <w:rsid w:val="006C13BD"/>
    <w:rsid w:val="006C17AB"/>
    <w:rsid w:val="006C1938"/>
    <w:rsid w:val="006C1A38"/>
    <w:rsid w:val="006C1ACD"/>
    <w:rsid w:val="006C1D14"/>
    <w:rsid w:val="006C1DCC"/>
    <w:rsid w:val="006C1DEF"/>
    <w:rsid w:val="006C1E48"/>
    <w:rsid w:val="006C1EA5"/>
    <w:rsid w:val="006C21C5"/>
    <w:rsid w:val="006C22EA"/>
    <w:rsid w:val="006C297F"/>
    <w:rsid w:val="006C2D81"/>
    <w:rsid w:val="006C2DAF"/>
    <w:rsid w:val="006C32CD"/>
    <w:rsid w:val="006C338F"/>
    <w:rsid w:val="006C34A4"/>
    <w:rsid w:val="006C3614"/>
    <w:rsid w:val="006C370B"/>
    <w:rsid w:val="006C387A"/>
    <w:rsid w:val="006C391D"/>
    <w:rsid w:val="006C3937"/>
    <w:rsid w:val="006C3951"/>
    <w:rsid w:val="006C3BFA"/>
    <w:rsid w:val="006C3C0F"/>
    <w:rsid w:val="006C3C5E"/>
    <w:rsid w:val="006C3EEB"/>
    <w:rsid w:val="006C3FC6"/>
    <w:rsid w:val="006C4291"/>
    <w:rsid w:val="006C4507"/>
    <w:rsid w:val="006C452C"/>
    <w:rsid w:val="006C46E6"/>
    <w:rsid w:val="006C47CA"/>
    <w:rsid w:val="006C4930"/>
    <w:rsid w:val="006C49AD"/>
    <w:rsid w:val="006C4B35"/>
    <w:rsid w:val="006C4BDD"/>
    <w:rsid w:val="006C4CE2"/>
    <w:rsid w:val="006C4E6C"/>
    <w:rsid w:val="006C4EDB"/>
    <w:rsid w:val="006C5080"/>
    <w:rsid w:val="006C52A1"/>
    <w:rsid w:val="006C530C"/>
    <w:rsid w:val="006C53E4"/>
    <w:rsid w:val="006C5584"/>
    <w:rsid w:val="006C55E9"/>
    <w:rsid w:val="006C5697"/>
    <w:rsid w:val="006C5805"/>
    <w:rsid w:val="006C5AA3"/>
    <w:rsid w:val="006C5CE5"/>
    <w:rsid w:val="006C600C"/>
    <w:rsid w:val="006C60A2"/>
    <w:rsid w:val="006C6444"/>
    <w:rsid w:val="006C6571"/>
    <w:rsid w:val="006C68D9"/>
    <w:rsid w:val="006C69D8"/>
    <w:rsid w:val="006C6DD0"/>
    <w:rsid w:val="006C6FA8"/>
    <w:rsid w:val="006C70CB"/>
    <w:rsid w:val="006C72B5"/>
    <w:rsid w:val="006C746D"/>
    <w:rsid w:val="006C7804"/>
    <w:rsid w:val="006C78E7"/>
    <w:rsid w:val="006C7927"/>
    <w:rsid w:val="006C7A3D"/>
    <w:rsid w:val="006C7E9F"/>
    <w:rsid w:val="006D00C7"/>
    <w:rsid w:val="006D036E"/>
    <w:rsid w:val="006D0398"/>
    <w:rsid w:val="006D0431"/>
    <w:rsid w:val="006D0690"/>
    <w:rsid w:val="006D083B"/>
    <w:rsid w:val="006D08C4"/>
    <w:rsid w:val="006D0A93"/>
    <w:rsid w:val="006D0B8B"/>
    <w:rsid w:val="006D0C09"/>
    <w:rsid w:val="006D0C3A"/>
    <w:rsid w:val="006D0C3F"/>
    <w:rsid w:val="006D0D95"/>
    <w:rsid w:val="006D0DD8"/>
    <w:rsid w:val="006D0E9B"/>
    <w:rsid w:val="006D10FA"/>
    <w:rsid w:val="006D13E8"/>
    <w:rsid w:val="006D142D"/>
    <w:rsid w:val="006D160D"/>
    <w:rsid w:val="006D176A"/>
    <w:rsid w:val="006D18BC"/>
    <w:rsid w:val="006D1B14"/>
    <w:rsid w:val="006D1B17"/>
    <w:rsid w:val="006D1BC7"/>
    <w:rsid w:val="006D1BEB"/>
    <w:rsid w:val="006D1C9A"/>
    <w:rsid w:val="006D1D45"/>
    <w:rsid w:val="006D1D72"/>
    <w:rsid w:val="006D1E20"/>
    <w:rsid w:val="006D1EC5"/>
    <w:rsid w:val="006D1FEC"/>
    <w:rsid w:val="006D2487"/>
    <w:rsid w:val="006D24CD"/>
    <w:rsid w:val="006D26F2"/>
    <w:rsid w:val="006D2782"/>
    <w:rsid w:val="006D28F5"/>
    <w:rsid w:val="006D2990"/>
    <w:rsid w:val="006D2AEC"/>
    <w:rsid w:val="006D2BB8"/>
    <w:rsid w:val="006D2E04"/>
    <w:rsid w:val="006D2E4C"/>
    <w:rsid w:val="006D2F92"/>
    <w:rsid w:val="006D329C"/>
    <w:rsid w:val="006D34B2"/>
    <w:rsid w:val="006D3596"/>
    <w:rsid w:val="006D36B2"/>
    <w:rsid w:val="006D3DE8"/>
    <w:rsid w:val="006D402D"/>
    <w:rsid w:val="006D4183"/>
    <w:rsid w:val="006D424E"/>
    <w:rsid w:val="006D4517"/>
    <w:rsid w:val="006D451E"/>
    <w:rsid w:val="006D4740"/>
    <w:rsid w:val="006D4791"/>
    <w:rsid w:val="006D4799"/>
    <w:rsid w:val="006D4985"/>
    <w:rsid w:val="006D4B7F"/>
    <w:rsid w:val="006D4D65"/>
    <w:rsid w:val="006D504A"/>
    <w:rsid w:val="006D50DF"/>
    <w:rsid w:val="006D52A4"/>
    <w:rsid w:val="006D52B8"/>
    <w:rsid w:val="006D55C0"/>
    <w:rsid w:val="006D5671"/>
    <w:rsid w:val="006D58E1"/>
    <w:rsid w:val="006D5BD1"/>
    <w:rsid w:val="006D5CE4"/>
    <w:rsid w:val="006D5D09"/>
    <w:rsid w:val="006D5EC0"/>
    <w:rsid w:val="006D6244"/>
    <w:rsid w:val="006D646C"/>
    <w:rsid w:val="006D6698"/>
    <w:rsid w:val="006D67C4"/>
    <w:rsid w:val="006D691A"/>
    <w:rsid w:val="006D6952"/>
    <w:rsid w:val="006D6AC6"/>
    <w:rsid w:val="006D6DA6"/>
    <w:rsid w:val="006D6E2E"/>
    <w:rsid w:val="006D6F36"/>
    <w:rsid w:val="006D7126"/>
    <w:rsid w:val="006D736C"/>
    <w:rsid w:val="006D7387"/>
    <w:rsid w:val="006D740E"/>
    <w:rsid w:val="006D754D"/>
    <w:rsid w:val="006D762A"/>
    <w:rsid w:val="006D7655"/>
    <w:rsid w:val="006D785B"/>
    <w:rsid w:val="006D7E21"/>
    <w:rsid w:val="006D7FD8"/>
    <w:rsid w:val="006E0051"/>
    <w:rsid w:val="006E0058"/>
    <w:rsid w:val="006E00BC"/>
    <w:rsid w:val="006E00D6"/>
    <w:rsid w:val="006E0269"/>
    <w:rsid w:val="006E029D"/>
    <w:rsid w:val="006E02B6"/>
    <w:rsid w:val="006E0550"/>
    <w:rsid w:val="006E0626"/>
    <w:rsid w:val="006E0656"/>
    <w:rsid w:val="006E07FB"/>
    <w:rsid w:val="006E087E"/>
    <w:rsid w:val="006E0927"/>
    <w:rsid w:val="006E0A79"/>
    <w:rsid w:val="006E0CEA"/>
    <w:rsid w:val="006E0EFA"/>
    <w:rsid w:val="006E0F6D"/>
    <w:rsid w:val="006E122D"/>
    <w:rsid w:val="006E127B"/>
    <w:rsid w:val="006E12E3"/>
    <w:rsid w:val="006E18D5"/>
    <w:rsid w:val="006E1987"/>
    <w:rsid w:val="006E19F3"/>
    <w:rsid w:val="006E1A06"/>
    <w:rsid w:val="006E1BC3"/>
    <w:rsid w:val="006E1CD1"/>
    <w:rsid w:val="006E1F97"/>
    <w:rsid w:val="006E21B9"/>
    <w:rsid w:val="006E222B"/>
    <w:rsid w:val="006E239C"/>
    <w:rsid w:val="006E23E3"/>
    <w:rsid w:val="006E2413"/>
    <w:rsid w:val="006E242D"/>
    <w:rsid w:val="006E274E"/>
    <w:rsid w:val="006E2A06"/>
    <w:rsid w:val="006E2A8F"/>
    <w:rsid w:val="006E2BE2"/>
    <w:rsid w:val="006E2C80"/>
    <w:rsid w:val="006E3597"/>
    <w:rsid w:val="006E3661"/>
    <w:rsid w:val="006E3679"/>
    <w:rsid w:val="006E3731"/>
    <w:rsid w:val="006E3A5F"/>
    <w:rsid w:val="006E3B77"/>
    <w:rsid w:val="006E3D29"/>
    <w:rsid w:val="006E3D8D"/>
    <w:rsid w:val="006E3E45"/>
    <w:rsid w:val="006E4156"/>
    <w:rsid w:val="006E41C2"/>
    <w:rsid w:val="006E4415"/>
    <w:rsid w:val="006E44C7"/>
    <w:rsid w:val="006E456E"/>
    <w:rsid w:val="006E477B"/>
    <w:rsid w:val="006E4914"/>
    <w:rsid w:val="006E49D5"/>
    <w:rsid w:val="006E4F1D"/>
    <w:rsid w:val="006E523D"/>
    <w:rsid w:val="006E5305"/>
    <w:rsid w:val="006E536E"/>
    <w:rsid w:val="006E53C8"/>
    <w:rsid w:val="006E542A"/>
    <w:rsid w:val="006E59C4"/>
    <w:rsid w:val="006E60F2"/>
    <w:rsid w:val="006E6145"/>
    <w:rsid w:val="006E620F"/>
    <w:rsid w:val="006E629E"/>
    <w:rsid w:val="006E6442"/>
    <w:rsid w:val="006E645C"/>
    <w:rsid w:val="006E6603"/>
    <w:rsid w:val="006E685C"/>
    <w:rsid w:val="006E6934"/>
    <w:rsid w:val="006E6B83"/>
    <w:rsid w:val="006E6BCA"/>
    <w:rsid w:val="006E6C29"/>
    <w:rsid w:val="006E7079"/>
    <w:rsid w:val="006E71B4"/>
    <w:rsid w:val="006E7313"/>
    <w:rsid w:val="006E73C7"/>
    <w:rsid w:val="006E7659"/>
    <w:rsid w:val="006E7665"/>
    <w:rsid w:val="006E76EF"/>
    <w:rsid w:val="006E7809"/>
    <w:rsid w:val="006E7958"/>
    <w:rsid w:val="006E7AB2"/>
    <w:rsid w:val="006E7B1A"/>
    <w:rsid w:val="006E7BD2"/>
    <w:rsid w:val="006E7C0B"/>
    <w:rsid w:val="006E7C51"/>
    <w:rsid w:val="006E7CCC"/>
    <w:rsid w:val="006E7E4F"/>
    <w:rsid w:val="006F0057"/>
    <w:rsid w:val="006F008D"/>
    <w:rsid w:val="006F05AB"/>
    <w:rsid w:val="006F073A"/>
    <w:rsid w:val="006F07C3"/>
    <w:rsid w:val="006F0922"/>
    <w:rsid w:val="006F0B00"/>
    <w:rsid w:val="006F0BA3"/>
    <w:rsid w:val="006F0BEB"/>
    <w:rsid w:val="006F0CD5"/>
    <w:rsid w:val="006F0CDC"/>
    <w:rsid w:val="006F0D02"/>
    <w:rsid w:val="006F0D5E"/>
    <w:rsid w:val="006F1161"/>
    <w:rsid w:val="006F14D8"/>
    <w:rsid w:val="006F14DA"/>
    <w:rsid w:val="006F1A54"/>
    <w:rsid w:val="006F1DEC"/>
    <w:rsid w:val="006F1E52"/>
    <w:rsid w:val="006F2256"/>
    <w:rsid w:val="006F225E"/>
    <w:rsid w:val="006F22CB"/>
    <w:rsid w:val="006F26A0"/>
    <w:rsid w:val="006F26B7"/>
    <w:rsid w:val="006F270F"/>
    <w:rsid w:val="006F2836"/>
    <w:rsid w:val="006F2A48"/>
    <w:rsid w:val="006F2BFF"/>
    <w:rsid w:val="006F2C8E"/>
    <w:rsid w:val="006F2FCC"/>
    <w:rsid w:val="006F325A"/>
    <w:rsid w:val="006F373B"/>
    <w:rsid w:val="006F3782"/>
    <w:rsid w:val="006F378D"/>
    <w:rsid w:val="006F38B8"/>
    <w:rsid w:val="006F39FB"/>
    <w:rsid w:val="006F3C22"/>
    <w:rsid w:val="006F3C8F"/>
    <w:rsid w:val="006F3D1C"/>
    <w:rsid w:val="006F3D59"/>
    <w:rsid w:val="006F40B5"/>
    <w:rsid w:val="006F4845"/>
    <w:rsid w:val="006F48EA"/>
    <w:rsid w:val="006F4928"/>
    <w:rsid w:val="006F4D16"/>
    <w:rsid w:val="006F4F14"/>
    <w:rsid w:val="006F52B5"/>
    <w:rsid w:val="006F52BA"/>
    <w:rsid w:val="006F534C"/>
    <w:rsid w:val="006F5451"/>
    <w:rsid w:val="006F5467"/>
    <w:rsid w:val="006F5527"/>
    <w:rsid w:val="006F557E"/>
    <w:rsid w:val="006F55C2"/>
    <w:rsid w:val="006F5725"/>
    <w:rsid w:val="006F598D"/>
    <w:rsid w:val="006F5A3E"/>
    <w:rsid w:val="006F5B5D"/>
    <w:rsid w:val="006F5CD2"/>
    <w:rsid w:val="006F5FD0"/>
    <w:rsid w:val="006F5FDB"/>
    <w:rsid w:val="006F6278"/>
    <w:rsid w:val="006F63ED"/>
    <w:rsid w:val="006F6586"/>
    <w:rsid w:val="006F6760"/>
    <w:rsid w:val="006F67A5"/>
    <w:rsid w:val="006F6A0B"/>
    <w:rsid w:val="006F6AE8"/>
    <w:rsid w:val="006F6AF9"/>
    <w:rsid w:val="006F6E9B"/>
    <w:rsid w:val="006F6EE6"/>
    <w:rsid w:val="006F73BF"/>
    <w:rsid w:val="006F7573"/>
    <w:rsid w:val="006F787E"/>
    <w:rsid w:val="006F788A"/>
    <w:rsid w:val="006F7AA0"/>
    <w:rsid w:val="006F7B68"/>
    <w:rsid w:val="006F7E95"/>
    <w:rsid w:val="007000AE"/>
    <w:rsid w:val="0070015A"/>
    <w:rsid w:val="0070035C"/>
    <w:rsid w:val="007003CF"/>
    <w:rsid w:val="00700400"/>
    <w:rsid w:val="007005EA"/>
    <w:rsid w:val="00700757"/>
    <w:rsid w:val="00700CAB"/>
    <w:rsid w:val="00700F1C"/>
    <w:rsid w:val="00701810"/>
    <w:rsid w:val="007018B8"/>
    <w:rsid w:val="00701990"/>
    <w:rsid w:val="007019F1"/>
    <w:rsid w:val="00701A70"/>
    <w:rsid w:val="00701C5C"/>
    <w:rsid w:val="00701CBD"/>
    <w:rsid w:val="00702538"/>
    <w:rsid w:val="00702920"/>
    <w:rsid w:val="00702A11"/>
    <w:rsid w:val="00702A53"/>
    <w:rsid w:val="00702FCE"/>
    <w:rsid w:val="00702FF0"/>
    <w:rsid w:val="007030AA"/>
    <w:rsid w:val="00703261"/>
    <w:rsid w:val="007032F7"/>
    <w:rsid w:val="007035C6"/>
    <w:rsid w:val="0070360D"/>
    <w:rsid w:val="00703752"/>
    <w:rsid w:val="00703859"/>
    <w:rsid w:val="00703AC5"/>
    <w:rsid w:val="00703E65"/>
    <w:rsid w:val="00703F9C"/>
    <w:rsid w:val="00703FE2"/>
    <w:rsid w:val="007042A3"/>
    <w:rsid w:val="00704734"/>
    <w:rsid w:val="007047AF"/>
    <w:rsid w:val="00704AC4"/>
    <w:rsid w:val="00704ADE"/>
    <w:rsid w:val="00704D27"/>
    <w:rsid w:val="00704EBB"/>
    <w:rsid w:val="00704F4E"/>
    <w:rsid w:val="00704FC3"/>
    <w:rsid w:val="007050A0"/>
    <w:rsid w:val="00705134"/>
    <w:rsid w:val="00705301"/>
    <w:rsid w:val="0070532E"/>
    <w:rsid w:val="00705507"/>
    <w:rsid w:val="0070553E"/>
    <w:rsid w:val="00705586"/>
    <w:rsid w:val="0070565E"/>
    <w:rsid w:val="0070567C"/>
    <w:rsid w:val="00705798"/>
    <w:rsid w:val="00705803"/>
    <w:rsid w:val="007058B9"/>
    <w:rsid w:val="007058E9"/>
    <w:rsid w:val="0070591C"/>
    <w:rsid w:val="0070599B"/>
    <w:rsid w:val="007059DF"/>
    <w:rsid w:val="00705A24"/>
    <w:rsid w:val="00705AA3"/>
    <w:rsid w:val="00705B47"/>
    <w:rsid w:val="00705BAE"/>
    <w:rsid w:val="00705CBD"/>
    <w:rsid w:val="00705CFB"/>
    <w:rsid w:val="00705D5E"/>
    <w:rsid w:val="00705E68"/>
    <w:rsid w:val="00705F51"/>
    <w:rsid w:val="00705FC4"/>
    <w:rsid w:val="0070626D"/>
    <w:rsid w:val="007063CF"/>
    <w:rsid w:val="007067F9"/>
    <w:rsid w:val="00706A08"/>
    <w:rsid w:val="00706A57"/>
    <w:rsid w:val="00706BF9"/>
    <w:rsid w:val="00706C02"/>
    <w:rsid w:val="00706D5A"/>
    <w:rsid w:val="00706F1B"/>
    <w:rsid w:val="00707089"/>
    <w:rsid w:val="0070715E"/>
    <w:rsid w:val="0070720F"/>
    <w:rsid w:val="0070746A"/>
    <w:rsid w:val="0070750B"/>
    <w:rsid w:val="007075EA"/>
    <w:rsid w:val="00707653"/>
    <w:rsid w:val="00707670"/>
    <w:rsid w:val="007077E2"/>
    <w:rsid w:val="0070780B"/>
    <w:rsid w:val="0070796D"/>
    <w:rsid w:val="00707999"/>
    <w:rsid w:val="00707A4A"/>
    <w:rsid w:val="00707C45"/>
    <w:rsid w:val="00707D69"/>
    <w:rsid w:val="00707E25"/>
    <w:rsid w:val="0070DDB7"/>
    <w:rsid w:val="0071043D"/>
    <w:rsid w:val="00710B59"/>
    <w:rsid w:val="00710C98"/>
    <w:rsid w:val="00710CC6"/>
    <w:rsid w:val="00710D6F"/>
    <w:rsid w:val="00710DDE"/>
    <w:rsid w:val="00710F68"/>
    <w:rsid w:val="00710FE6"/>
    <w:rsid w:val="0071116C"/>
    <w:rsid w:val="00711519"/>
    <w:rsid w:val="007118C6"/>
    <w:rsid w:val="00711910"/>
    <w:rsid w:val="0071191A"/>
    <w:rsid w:val="0071197F"/>
    <w:rsid w:val="00711A35"/>
    <w:rsid w:val="00711B48"/>
    <w:rsid w:val="00711CE6"/>
    <w:rsid w:val="007120AC"/>
    <w:rsid w:val="00712127"/>
    <w:rsid w:val="00712177"/>
    <w:rsid w:val="00712230"/>
    <w:rsid w:val="00712599"/>
    <w:rsid w:val="007126CB"/>
    <w:rsid w:val="00712891"/>
    <w:rsid w:val="00712962"/>
    <w:rsid w:val="00712D49"/>
    <w:rsid w:val="00712DE1"/>
    <w:rsid w:val="00712EA0"/>
    <w:rsid w:val="0071322B"/>
    <w:rsid w:val="0071353C"/>
    <w:rsid w:val="00713925"/>
    <w:rsid w:val="007139C1"/>
    <w:rsid w:val="00713CA2"/>
    <w:rsid w:val="00713D3B"/>
    <w:rsid w:val="007140F9"/>
    <w:rsid w:val="007141C2"/>
    <w:rsid w:val="007141F1"/>
    <w:rsid w:val="007144D0"/>
    <w:rsid w:val="007146F9"/>
    <w:rsid w:val="00714732"/>
    <w:rsid w:val="00714813"/>
    <w:rsid w:val="00714814"/>
    <w:rsid w:val="007148DC"/>
    <w:rsid w:val="00714B9F"/>
    <w:rsid w:val="00714C81"/>
    <w:rsid w:val="00714D5A"/>
    <w:rsid w:val="00714E8A"/>
    <w:rsid w:val="00714EED"/>
    <w:rsid w:val="00714F55"/>
    <w:rsid w:val="00715479"/>
    <w:rsid w:val="0071548E"/>
    <w:rsid w:val="00715494"/>
    <w:rsid w:val="007156BA"/>
    <w:rsid w:val="007156E4"/>
    <w:rsid w:val="0071581D"/>
    <w:rsid w:val="007159DA"/>
    <w:rsid w:val="00715A8E"/>
    <w:rsid w:val="00715B2D"/>
    <w:rsid w:val="00715C36"/>
    <w:rsid w:val="00715F04"/>
    <w:rsid w:val="00716210"/>
    <w:rsid w:val="0071644E"/>
    <w:rsid w:val="00716508"/>
    <w:rsid w:val="0071664C"/>
    <w:rsid w:val="0071665E"/>
    <w:rsid w:val="00716694"/>
    <w:rsid w:val="007167A6"/>
    <w:rsid w:val="00716800"/>
    <w:rsid w:val="007169BC"/>
    <w:rsid w:val="00716BAC"/>
    <w:rsid w:val="00716BC1"/>
    <w:rsid w:val="00716BEA"/>
    <w:rsid w:val="00716BFE"/>
    <w:rsid w:val="00716ECE"/>
    <w:rsid w:val="00716ED9"/>
    <w:rsid w:val="00717A8B"/>
    <w:rsid w:val="00717C05"/>
    <w:rsid w:val="00717CCB"/>
    <w:rsid w:val="00717EE6"/>
    <w:rsid w:val="00717EEE"/>
    <w:rsid w:val="00717FAD"/>
    <w:rsid w:val="00717FDF"/>
    <w:rsid w:val="007200D9"/>
    <w:rsid w:val="0072024C"/>
    <w:rsid w:val="00720326"/>
    <w:rsid w:val="007207AE"/>
    <w:rsid w:val="007208FF"/>
    <w:rsid w:val="007209E5"/>
    <w:rsid w:val="00720B9C"/>
    <w:rsid w:val="00720CE8"/>
    <w:rsid w:val="00720EC7"/>
    <w:rsid w:val="00720F7B"/>
    <w:rsid w:val="00721117"/>
    <w:rsid w:val="0072121C"/>
    <w:rsid w:val="00721586"/>
    <w:rsid w:val="007215D1"/>
    <w:rsid w:val="00721700"/>
    <w:rsid w:val="0072198E"/>
    <w:rsid w:val="00721D44"/>
    <w:rsid w:val="00721F43"/>
    <w:rsid w:val="00722081"/>
    <w:rsid w:val="007221AA"/>
    <w:rsid w:val="007222BB"/>
    <w:rsid w:val="007222C2"/>
    <w:rsid w:val="00722406"/>
    <w:rsid w:val="00722839"/>
    <w:rsid w:val="00722882"/>
    <w:rsid w:val="00722992"/>
    <w:rsid w:val="007229C0"/>
    <w:rsid w:val="007229F0"/>
    <w:rsid w:val="00722C5B"/>
    <w:rsid w:val="00722E97"/>
    <w:rsid w:val="00722EF2"/>
    <w:rsid w:val="00722F8A"/>
    <w:rsid w:val="00722FF2"/>
    <w:rsid w:val="00723031"/>
    <w:rsid w:val="0072310D"/>
    <w:rsid w:val="007231BB"/>
    <w:rsid w:val="007231BC"/>
    <w:rsid w:val="0072333E"/>
    <w:rsid w:val="007234AF"/>
    <w:rsid w:val="007234C5"/>
    <w:rsid w:val="007234FC"/>
    <w:rsid w:val="00723508"/>
    <w:rsid w:val="00723716"/>
    <w:rsid w:val="00723887"/>
    <w:rsid w:val="007238DA"/>
    <w:rsid w:val="00723A5D"/>
    <w:rsid w:val="00723BD8"/>
    <w:rsid w:val="00723D5D"/>
    <w:rsid w:val="00723E94"/>
    <w:rsid w:val="00723FEC"/>
    <w:rsid w:val="00724031"/>
    <w:rsid w:val="007240FD"/>
    <w:rsid w:val="007241DB"/>
    <w:rsid w:val="007241E1"/>
    <w:rsid w:val="00724210"/>
    <w:rsid w:val="007245EF"/>
    <w:rsid w:val="0072467F"/>
    <w:rsid w:val="00724748"/>
    <w:rsid w:val="00724754"/>
    <w:rsid w:val="007247A1"/>
    <w:rsid w:val="00724829"/>
    <w:rsid w:val="00724B1A"/>
    <w:rsid w:val="00724C86"/>
    <w:rsid w:val="00724DB7"/>
    <w:rsid w:val="00725132"/>
    <w:rsid w:val="0072526B"/>
    <w:rsid w:val="00725389"/>
    <w:rsid w:val="007253B2"/>
    <w:rsid w:val="0072549F"/>
    <w:rsid w:val="00725509"/>
    <w:rsid w:val="00725623"/>
    <w:rsid w:val="00725634"/>
    <w:rsid w:val="0072566D"/>
    <w:rsid w:val="00725BC6"/>
    <w:rsid w:val="00725CFF"/>
    <w:rsid w:val="00725D4E"/>
    <w:rsid w:val="00725DAD"/>
    <w:rsid w:val="00725F90"/>
    <w:rsid w:val="00725F9E"/>
    <w:rsid w:val="007260CE"/>
    <w:rsid w:val="0072614A"/>
    <w:rsid w:val="0072628A"/>
    <w:rsid w:val="00726380"/>
    <w:rsid w:val="007263EE"/>
    <w:rsid w:val="00726661"/>
    <w:rsid w:val="007268AB"/>
    <w:rsid w:val="0072697A"/>
    <w:rsid w:val="00726B09"/>
    <w:rsid w:val="00726B56"/>
    <w:rsid w:val="00726D46"/>
    <w:rsid w:val="00726D49"/>
    <w:rsid w:val="00726FD7"/>
    <w:rsid w:val="0072710C"/>
    <w:rsid w:val="00727125"/>
    <w:rsid w:val="0072725A"/>
    <w:rsid w:val="007272B0"/>
    <w:rsid w:val="00727387"/>
    <w:rsid w:val="00727395"/>
    <w:rsid w:val="00727768"/>
    <w:rsid w:val="00727931"/>
    <w:rsid w:val="00727AFC"/>
    <w:rsid w:val="00727BBD"/>
    <w:rsid w:val="00727D20"/>
    <w:rsid w:val="00727E46"/>
    <w:rsid w:val="00727E5E"/>
    <w:rsid w:val="00727F09"/>
    <w:rsid w:val="00727F70"/>
    <w:rsid w:val="00727FEE"/>
    <w:rsid w:val="00730080"/>
    <w:rsid w:val="007302ED"/>
    <w:rsid w:val="0073042F"/>
    <w:rsid w:val="00730591"/>
    <w:rsid w:val="007306AE"/>
    <w:rsid w:val="00730709"/>
    <w:rsid w:val="00730718"/>
    <w:rsid w:val="007307CB"/>
    <w:rsid w:val="00730814"/>
    <w:rsid w:val="00730C63"/>
    <w:rsid w:val="00730CC3"/>
    <w:rsid w:val="00730EF0"/>
    <w:rsid w:val="00730F2D"/>
    <w:rsid w:val="0073105D"/>
    <w:rsid w:val="00731162"/>
    <w:rsid w:val="0073135E"/>
    <w:rsid w:val="0073161B"/>
    <w:rsid w:val="00731735"/>
    <w:rsid w:val="00731951"/>
    <w:rsid w:val="00731A7D"/>
    <w:rsid w:val="00731AC4"/>
    <w:rsid w:val="00731B05"/>
    <w:rsid w:val="00731C25"/>
    <w:rsid w:val="00731EF1"/>
    <w:rsid w:val="0073213C"/>
    <w:rsid w:val="0073271D"/>
    <w:rsid w:val="00732848"/>
    <w:rsid w:val="007328D0"/>
    <w:rsid w:val="00732A7E"/>
    <w:rsid w:val="00732A82"/>
    <w:rsid w:val="00732F7C"/>
    <w:rsid w:val="0073303C"/>
    <w:rsid w:val="0073307A"/>
    <w:rsid w:val="007332BA"/>
    <w:rsid w:val="007334F4"/>
    <w:rsid w:val="007336E8"/>
    <w:rsid w:val="007336FD"/>
    <w:rsid w:val="00733858"/>
    <w:rsid w:val="00733930"/>
    <w:rsid w:val="007339DC"/>
    <w:rsid w:val="00733BEB"/>
    <w:rsid w:val="00733FA5"/>
    <w:rsid w:val="00733FC4"/>
    <w:rsid w:val="00734026"/>
    <w:rsid w:val="0073410A"/>
    <w:rsid w:val="00734121"/>
    <w:rsid w:val="00734377"/>
    <w:rsid w:val="00734759"/>
    <w:rsid w:val="007349D2"/>
    <w:rsid w:val="00734A36"/>
    <w:rsid w:val="00734A89"/>
    <w:rsid w:val="00734ACE"/>
    <w:rsid w:val="00734D7B"/>
    <w:rsid w:val="00734E01"/>
    <w:rsid w:val="00734E48"/>
    <w:rsid w:val="0073506F"/>
    <w:rsid w:val="00735468"/>
    <w:rsid w:val="00735768"/>
    <w:rsid w:val="007358E7"/>
    <w:rsid w:val="00735963"/>
    <w:rsid w:val="00735AFF"/>
    <w:rsid w:val="00736200"/>
    <w:rsid w:val="007363CF"/>
    <w:rsid w:val="007364E9"/>
    <w:rsid w:val="007368F4"/>
    <w:rsid w:val="00736E7F"/>
    <w:rsid w:val="0073702C"/>
    <w:rsid w:val="00737092"/>
    <w:rsid w:val="007372CF"/>
    <w:rsid w:val="007372FA"/>
    <w:rsid w:val="00737442"/>
    <w:rsid w:val="00737455"/>
    <w:rsid w:val="007375AE"/>
    <w:rsid w:val="007379BC"/>
    <w:rsid w:val="00737B29"/>
    <w:rsid w:val="00737B67"/>
    <w:rsid w:val="00737C2C"/>
    <w:rsid w:val="00737EAF"/>
    <w:rsid w:val="00737F09"/>
    <w:rsid w:val="00737F36"/>
    <w:rsid w:val="00737FCE"/>
    <w:rsid w:val="0074034D"/>
    <w:rsid w:val="00740359"/>
    <w:rsid w:val="0074095A"/>
    <w:rsid w:val="0074097B"/>
    <w:rsid w:val="00740A2B"/>
    <w:rsid w:val="00740A63"/>
    <w:rsid w:val="00740DBB"/>
    <w:rsid w:val="00740EF5"/>
    <w:rsid w:val="0074106D"/>
    <w:rsid w:val="007410D8"/>
    <w:rsid w:val="00741213"/>
    <w:rsid w:val="00741330"/>
    <w:rsid w:val="0074137D"/>
    <w:rsid w:val="007413DD"/>
    <w:rsid w:val="0074142A"/>
    <w:rsid w:val="007416BA"/>
    <w:rsid w:val="00741886"/>
    <w:rsid w:val="00741A3F"/>
    <w:rsid w:val="00741C52"/>
    <w:rsid w:val="00741CB0"/>
    <w:rsid w:val="00741CF7"/>
    <w:rsid w:val="007422E6"/>
    <w:rsid w:val="00742375"/>
    <w:rsid w:val="00742461"/>
    <w:rsid w:val="00742C86"/>
    <w:rsid w:val="00742CCD"/>
    <w:rsid w:val="00742D30"/>
    <w:rsid w:val="00742E12"/>
    <w:rsid w:val="0074300D"/>
    <w:rsid w:val="0074301F"/>
    <w:rsid w:val="0074325D"/>
    <w:rsid w:val="007432B7"/>
    <w:rsid w:val="00743680"/>
    <w:rsid w:val="00743A03"/>
    <w:rsid w:val="00743A1B"/>
    <w:rsid w:val="00743ADF"/>
    <w:rsid w:val="00743CDD"/>
    <w:rsid w:val="00743D98"/>
    <w:rsid w:val="007440CF"/>
    <w:rsid w:val="00744366"/>
    <w:rsid w:val="007444BF"/>
    <w:rsid w:val="0074484D"/>
    <w:rsid w:val="00744922"/>
    <w:rsid w:val="00744924"/>
    <w:rsid w:val="0074496C"/>
    <w:rsid w:val="007449B9"/>
    <w:rsid w:val="00744A37"/>
    <w:rsid w:val="00744AA5"/>
    <w:rsid w:val="00744BD1"/>
    <w:rsid w:val="00744BE2"/>
    <w:rsid w:val="00744E95"/>
    <w:rsid w:val="00744F33"/>
    <w:rsid w:val="00745028"/>
    <w:rsid w:val="0074518B"/>
    <w:rsid w:val="00745238"/>
    <w:rsid w:val="007452C1"/>
    <w:rsid w:val="007454B9"/>
    <w:rsid w:val="007455D1"/>
    <w:rsid w:val="00745817"/>
    <w:rsid w:val="0074599E"/>
    <w:rsid w:val="00745A0C"/>
    <w:rsid w:val="00745B14"/>
    <w:rsid w:val="00745BD9"/>
    <w:rsid w:val="00745FF9"/>
    <w:rsid w:val="00746010"/>
    <w:rsid w:val="0074609C"/>
    <w:rsid w:val="0074615F"/>
    <w:rsid w:val="00746269"/>
    <w:rsid w:val="00746280"/>
    <w:rsid w:val="007463B8"/>
    <w:rsid w:val="00746567"/>
    <w:rsid w:val="0074678C"/>
    <w:rsid w:val="00746797"/>
    <w:rsid w:val="007468F4"/>
    <w:rsid w:val="00746A1D"/>
    <w:rsid w:val="00746A75"/>
    <w:rsid w:val="00746A85"/>
    <w:rsid w:val="00746B30"/>
    <w:rsid w:val="00746EF8"/>
    <w:rsid w:val="00746FB8"/>
    <w:rsid w:val="0074703B"/>
    <w:rsid w:val="00747050"/>
    <w:rsid w:val="00747078"/>
    <w:rsid w:val="0074720D"/>
    <w:rsid w:val="00747272"/>
    <w:rsid w:val="0074728F"/>
    <w:rsid w:val="007472E8"/>
    <w:rsid w:val="00747663"/>
    <w:rsid w:val="007476DD"/>
    <w:rsid w:val="00747752"/>
    <w:rsid w:val="007478B7"/>
    <w:rsid w:val="007478FB"/>
    <w:rsid w:val="00747993"/>
    <w:rsid w:val="007479AF"/>
    <w:rsid w:val="007479BD"/>
    <w:rsid w:val="00747AB2"/>
    <w:rsid w:val="00747ADD"/>
    <w:rsid w:val="00747DC9"/>
    <w:rsid w:val="00747EBE"/>
    <w:rsid w:val="00747F05"/>
    <w:rsid w:val="00747F53"/>
    <w:rsid w:val="0075050B"/>
    <w:rsid w:val="007505F3"/>
    <w:rsid w:val="0075071E"/>
    <w:rsid w:val="007507F1"/>
    <w:rsid w:val="0075087B"/>
    <w:rsid w:val="007508EF"/>
    <w:rsid w:val="00750A6A"/>
    <w:rsid w:val="00750BC8"/>
    <w:rsid w:val="00750D61"/>
    <w:rsid w:val="00751054"/>
    <w:rsid w:val="00751105"/>
    <w:rsid w:val="007512F2"/>
    <w:rsid w:val="00751460"/>
    <w:rsid w:val="00751AD9"/>
    <w:rsid w:val="0075222D"/>
    <w:rsid w:val="0075245C"/>
    <w:rsid w:val="007526B9"/>
    <w:rsid w:val="007526EB"/>
    <w:rsid w:val="00752A7C"/>
    <w:rsid w:val="00752A91"/>
    <w:rsid w:val="00752B9E"/>
    <w:rsid w:val="00752C14"/>
    <w:rsid w:val="00752E07"/>
    <w:rsid w:val="00752E6A"/>
    <w:rsid w:val="00753158"/>
    <w:rsid w:val="007533E7"/>
    <w:rsid w:val="007534AA"/>
    <w:rsid w:val="007535D7"/>
    <w:rsid w:val="00753823"/>
    <w:rsid w:val="0075386F"/>
    <w:rsid w:val="00753A91"/>
    <w:rsid w:val="00753B38"/>
    <w:rsid w:val="00753D66"/>
    <w:rsid w:val="00753F88"/>
    <w:rsid w:val="007542C1"/>
    <w:rsid w:val="007543C3"/>
    <w:rsid w:val="0075448E"/>
    <w:rsid w:val="00754681"/>
    <w:rsid w:val="00754743"/>
    <w:rsid w:val="007548B9"/>
    <w:rsid w:val="007548E7"/>
    <w:rsid w:val="00754B2E"/>
    <w:rsid w:val="00754E7B"/>
    <w:rsid w:val="00754E90"/>
    <w:rsid w:val="0075514F"/>
    <w:rsid w:val="00755492"/>
    <w:rsid w:val="00755796"/>
    <w:rsid w:val="007558F9"/>
    <w:rsid w:val="00755CA6"/>
    <w:rsid w:val="00755CAC"/>
    <w:rsid w:val="00755CE8"/>
    <w:rsid w:val="00755E35"/>
    <w:rsid w:val="00755E4C"/>
    <w:rsid w:val="00755E72"/>
    <w:rsid w:val="0075604A"/>
    <w:rsid w:val="00756120"/>
    <w:rsid w:val="007561E5"/>
    <w:rsid w:val="0075671E"/>
    <w:rsid w:val="00756922"/>
    <w:rsid w:val="007569C0"/>
    <w:rsid w:val="007571E4"/>
    <w:rsid w:val="0075724B"/>
    <w:rsid w:val="0075734C"/>
    <w:rsid w:val="0075766E"/>
    <w:rsid w:val="00757C0B"/>
    <w:rsid w:val="00757FDF"/>
    <w:rsid w:val="0075A39F"/>
    <w:rsid w:val="007603E9"/>
    <w:rsid w:val="00760493"/>
    <w:rsid w:val="007605BA"/>
    <w:rsid w:val="0076074D"/>
    <w:rsid w:val="007607A4"/>
    <w:rsid w:val="007609EF"/>
    <w:rsid w:val="00760CFF"/>
    <w:rsid w:val="00760EC4"/>
    <w:rsid w:val="007610BB"/>
    <w:rsid w:val="00761108"/>
    <w:rsid w:val="00761240"/>
    <w:rsid w:val="007612DF"/>
    <w:rsid w:val="007614F7"/>
    <w:rsid w:val="0076155C"/>
    <w:rsid w:val="00761926"/>
    <w:rsid w:val="00761AA5"/>
    <w:rsid w:val="00761ED3"/>
    <w:rsid w:val="007623B7"/>
    <w:rsid w:val="007624F5"/>
    <w:rsid w:val="00762652"/>
    <w:rsid w:val="0076267C"/>
    <w:rsid w:val="007627BD"/>
    <w:rsid w:val="00762837"/>
    <w:rsid w:val="007629A9"/>
    <w:rsid w:val="00762E4A"/>
    <w:rsid w:val="00762F18"/>
    <w:rsid w:val="00763025"/>
    <w:rsid w:val="00763189"/>
    <w:rsid w:val="00763377"/>
    <w:rsid w:val="007633B8"/>
    <w:rsid w:val="00763931"/>
    <w:rsid w:val="00763D35"/>
    <w:rsid w:val="00763E17"/>
    <w:rsid w:val="00763E4E"/>
    <w:rsid w:val="007643E6"/>
    <w:rsid w:val="00764840"/>
    <w:rsid w:val="00764862"/>
    <w:rsid w:val="00764947"/>
    <w:rsid w:val="00764AEE"/>
    <w:rsid w:val="00764CCC"/>
    <w:rsid w:val="00764D02"/>
    <w:rsid w:val="00764D92"/>
    <w:rsid w:val="00764E2B"/>
    <w:rsid w:val="00764F76"/>
    <w:rsid w:val="00765192"/>
    <w:rsid w:val="00765222"/>
    <w:rsid w:val="007652F7"/>
    <w:rsid w:val="0076596A"/>
    <w:rsid w:val="0076599E"/>
    <w:rsid w:val="00765E46"/>
    <w:rsid w:val="00765EBD"/>
    <w:rsid w:val="00765F0F"/>
    <w:rsid w:val="0076628D"/>
    <w:rsid w:val="00766547"/>
    <w:rsid w:val="00766647"/>
    <w:rsid w:val="007669EB"/>
    <w:rsid w:val="00766A01"/>
    <w:rsid w:val="00766A1E"/>
    <w:rsid w:val="00766ACE"/>
    <w:rsid w:val="00766B98"/>
    <w:rsid w:val="00766CC5"/>
    <w:rsid w:val="00767060"/>
    <w:rsid w:val="00767145"/>
    <w:rsid w:val="007676C5"/>
    <w:rsid w:val="007677D3"/>
    <w:rsid w:val="00767835"/>
    <w:rsid w:val="00767AA5"/>
    <w:rsid w:val="00767B03"/>
    <w:rsid w:val="00770097"/>
    <w:rsid w:val="0077026E"/>
    <w:rsid w:val="007702D6"/>
    <w:rsid w:val="007706B7"/>
    <w:rsid w:val="00770907"/>
    <w:rsid w:val="007709AA"/>
    <w:rsid w:val="00770A2A"/>
    <w:rsid w:val="00770A3C"/>
    <w:rsid w:val="00770CA6"/>
    <w:rsid w:val="00770D4D"/>
    <w:rsid w:val="00770F76"/>
    <w:rsid w:val="007712CE"/>
    <w:rsid w:val="00771405"/>
    <w:rsid w:val="00771624"/>
    <w:rsid w:val="0077186C"/>
    <w:rsid w:val="00771B54"/>
    <w:rsid w:val="00771BBC"/>
    <w:rsid w:val="00771C53"/>
    <w:rsid w:val="00771D15"/>
    <w:rsid w:val="00771DA3"/>
    <w:rsid w:val="00772408"/>
    <w:rsid w:val="007726C9"/>
    <w:rsid w:val="007727DE"/>
    <w:rsid w:val="00772920"/>
    <w:rsid w:val="00772CA8"/>
    <w:rsid w:val="00772FDD"/>
    <w:rsid w:val="007730CC"/>
    <w:rsid w:val="00773104"/>
    <w:rsid w:val="00773208"/>
    <w:rsid w:val="007733A1"/>
    <w:rsid w:val="007734BB"/>
    <w:rsid w:val="00773551"/>
    <w:rsid w:val="00773712"/>
    <w:rsid w:val="00773D8F"/>
    <w:rsid w:val="00774156"/>
    <w:rsid w:val="00774770"/>
    <w:rsid w:val="00774870"/>
    <w:rsid w:val="00774B29"/>
    <w:rsid w:val="00774B92"/>
    <w:rsid w:val="0077508F"/>
    <w:rsid w:val="007751AD"/>
    <w:rsid w:val="0077571D"/>
    <w:rsid w:val="0077578C"/>
    <w:rsid w:val="00775B01"/>
    <w:rsid w:val="00775BBB"/>
    <w:rsid w:val="00775BE4"/>
    <w:rsid w:val="00775DB7"/>
    <w:rsid w:val="00775DE7"/>
    <w:rsid w:val="00775EB7"/>
    <w:rsid w:val="00776027"/>
    <w:rsid w:val="007764FF"/>
    <w:rsid w:val="007765B0"/>
    <w:rsid w:val="00776690"/>
    <w:rsid w:val="00776856"/>
    <w:rsid w:val="007769DF"/>
    <w:rsid w:val="00776B0B"/>
    <w:rsid w:val="00776BAF"/>
    <w:rsid w:val="00776E85"/>
    <w:rsid w:val="00776ED6"/>
    <w:rsid w:val="0077709B"/>
    <w:rsid w:val="007770E3"/>
    <w:rsid w:val="00777110"/>
    <w:rsid w:val="007772D6"/>
    <w:rsid w:val="0077736C"/>
    <w:rsid w:val="00777612"/>
    <w:rsid w:val="007777F3"/>
    <w:rsid w:val="00777D91"/>
    <w:rsid w:val="00777EC4"/>
    <w:rsid w:val="00777EDD"/>
    <w:rsid w:val="00777FC6"/>
    <w:rsid w:val="00777FDF"/>
    <w:rsid w:val="0078002A"/>
    <w:rsid w:val="00780237"/>
    <w:rsid w:val="007804EA"/>
    <w:rsid w:val="007805B3"/>
    <w:rsid w:val="00780604"/>
    <w:rsid w:val="00780862"/>
    <w:rsid w:val="00780B26"/>
    <w:rsid w:val="00780B60"/>
    <w:rsid w:val="00780D4E"/>
    <w:rsid w:val="00780E36"/>
    <w:rsid w:val="00780FE1"/>
    <w:rsid w:val="00781092"/>
    <w:rsid w:val="007810CB"/>
    <w:rsid w:val="0078116E"/>
    <w:rsid w:val="007811FF"/>
    <w:rsid w:val="007812D9"/>
    <w:rsid w:val="007816D5"/>
    <w:rsid w:val="007817A9"/>
    <w:rsid w:val="00781935"/>
    <w:rsid w:val="0078197B"/>
    <w:rsid w:val="00781A8D"/>
    <w:rsid w:val="00781B4B"/>
    <w:rsid w:val="00781B6E"/>
    <w:rsid w:val="00781BF0"/>
    <w:rsid w:val="00781CE8"/>
    <w:rsid w:val="00781DF5"/>
    <w:rsid w:val="00781EFC"/>
    <w:rsid w:val="00781F25"/>
    <w:rsid w:val="00781FE7"/>
    <w:rsid w:val="0078201F"/>
    <w:rsid w:val="0078208D"/>
    <w:rsid w:val="0078229A"/>
    <w:rsid w:val="00782522"/>
    <w:rsid w:val="007827CE"/>
    <w:rsid w:val="00782B01"/>
    <w:rsid w:val="00782CFD"/>
    <w:rsid w:val="00782FD0"/>
    <w:rsid w:val="007830B1"/>
    <w:rsid w:val="00783306"/>
    <w:rsid w:val="007833D2"/>
    <w:rsid w:val="007837B8"/>
    <w:rsid w:val="00783ABD"/>
    <w:rsid w:val="00783DB3"/>
    <w:rsid w:val="00783F58"/>
    <w:rsid w:val="00784134"/>
    <w:rsid w:val="007841A3"/>
    <w:rsid w:val="007841E9"/>
    <w:rsid w:val="00784223"/>
    <w:rsid w:val="00784306"/>
    <w:rsid w:val="00784534"/>
    <w:rsid w:val="007846A3"/>
    <w:rsid w:val="0078484B"/>
    <w:rsid w:val="00784970"/>
    <w:rsid w:val="00784B0A"/>
    <w:rsid w:val="00784B86"/>
    <w:rsid w:val="00784BC7"/>
    <w:rsid w:val="00784D37"/>
    <w:rsid w:val="00784DD4"/>
    <w:rsid w:val="00785102"/>
    <w:rsid w:val="007851FB"/>
    <w:rsid w:val="00785267"/>
    <w:rsid w:val="00785279"/>
    <w:rsid w:val="007852E6"/>
    <w:rsid w:val="00785484"/>
    <w:rsid w:val="007855C1"/>
    <w:rsid w:val="007857FD"/>
    <w:rsid w:val="0078595E"/>
    <w:rsid w:val="007859F7"/>
    <w:rsid w:val="00785BD8"/>
    <w:rsid w:val="00785C4C"/>
    <w:rsid w:val="00785F30"/>
    <w:rsid w:val="007860A5"/>
    <w:rsid w:val="00786107"/>
    <w:rsid w:val="0078628C"/>
    <w:rsid w:val="00786397"/>
    <w:rsid w:val="00786512"/>
    <w:rsid w:val="007869F4"/>
    <w:rsid w:val="00786A4B"/>
    <w:rsid w:val="00786B93"/>
    <w:rsid w:val="00786BAA"/>
    <w:rsid w:val="00786C51"/>
    <w:rsid w:val="00786C81"/>
    <w:rsid w:val="00786F1D"/>
    <w:rsid w:val="007873C0"/>
    <w:rsid w:val="007874E1"/>
    <w:rsid w:val="00787520"/>
    <w:rsid w:val="00787677"/>
    <w:rsid w:val="0078782A"/>
    <w:rsid w:val="00787964"/>
    <w:rsid w:val="00787ABB"/>
    <w:rsid w:val="00787C47"/>
    <w:rsid w:val="00787DA4"/>
    <w:rsid w:val="00787F5B"/>
    <w:rsid w:val="00787FFE"/>
    <w:rsid w:val="00790145"/>
    <w:rsid w:val="007904BF"/>
    <w:rsid w:val="00790552"/>
    <w:rsid w:val="0079076A"/>
    <w:rsid w:val="00790865"/>
    <w:rsid w:val="0079091F"/>
    <w:rsid w:val="00790A20"/>
    <w:rsid w:val="00790F7A"/>
    <w:rsid w:val="00791131"/>
    <w:rsid w:val="00791577"/>
    <w:rsid w:val="007915C0"/>
    <w:rsid w:val="00791744"/>
    <w:rsid w:val="0079195E"/>
    <w:rsid w:val="00791995"/>
    <w:rsid w:val="00791AC6"/>
    <w:rsid w:val="00791CB4"/>
    <w:rsid w:val="00791D30"/>
    <w:rsid w:val="00791DA3"/>
    <w:rsid w:val="00791F75"/>
    <w:rsid w:val="00791FE5"/>
    <w:rsid w:val="00792011"/>
    <w:rsid w:val="00792175"/>
    <w:rsid w:val="00792194"/>
    <w:rsid w:val="0079226F"/>
    <w:rsid w:val="007922BD"/>
    <w:rsid w:val="007923CF"/>
    <w:rsid w:val="00792429"/>
    <w:rsid w:val="007924F4"/>
    <w:rsid w:val="0079272A"/>
    <w:rsid w:val="007927FE"/>
    <w:rsid w:val="007929C5"/>
    <w:rsid w:val="00792B2A"/>
    <w:rsid w:val="00792C55"/>
    <w:rsid w:val="00792F6B"/>
    <w:rsid w:val="0079306D"/>
    <w:rsid w:val="0079309F"/>
    <w:rsid w:val="00793248"/>
    <w:rsid w:val="0079346D"/>
    <w:rsid w:val="00793494"/>
    <w:rsid w:val="007934A0"/>
    <w:rsid w:val="007936C0"/>
    <w:rsid w:val="007938E5"/>
    <w:rsid w:val="007938E7"/>
    <w:rsid w:val="00793979"/>
    <w:rsid w:val="007939FE"/>
    <w:rsid w:val="00793B2C"/>
    <w:rsid w:val="00793B44"/>
    <w:rsid w:val="00794338"/>
    <w:rsid w:val="0079439C"/>
    <w:rsid w:val="00794491"/>
    <w:rsid w:val="007944DF"/>
    <w:rsid w:val="0079454A"/>
    <w:rsid w:val="007945CB"/>
    <w:rsid w:val="00794631"/>
    <w:rsid w:val="00794784"/>
    <w:rsid w:val="00794790"/>
    <w:rsid w:val="0079496B"/>
    <w:rsid w:val="00794A98"/>
    <w:rsid w:val="00794E01"/>
    <w:rsid w:val="00794EC3"/>
    <w:rsid w:val="007950F2"/>
    <w:rsid w:val="00795137"/>
    <w:rsid w:val="00795315"/>
    <w:rsid w:val="007953D5"/>
    <w:rsid w:val="007955D7"/>
    <w:rsid w:val="00795AE3"/>
    <w:rsid w:val="00795BD3"/>
    <w:rsid w:val="00795FB7"/>
    <w:rsid w:val="00795FE5"/>
    <w:rsid w:val="0079618D"/>
    <w:rsid w:val="00796586"/>
    <w:rsid w:val="0079684D"/>
    <w:rsid w:val="00796882"/>
    <w:rsid w:val="007968EA"/>
    <w:rsid w:val="00796A2B"/>
    <w:rsid w:val="00796AFD"/>
    <w:rsid w:val="00796B8F"/>
    <w:rsid w:val="00796C88"/>
    <w:rsid w:val="00796E48"/>
    <w:rsid w:val="007970BE"/>
    <w:rsid w:val="007970DE"/>
    <w:rsid w:val="007973FC"/>
    <w:rsid w:val="0079769A"/>
    <w:rsid w:val="007976AA"/>
    <w:rsid w:val="00797A2F"/>
    <w:rsid w:val="00797C24"/>
    <w:rsid w:val="00797C4E"/>
    <w:rsid w:val="00797CAC"/>
    <w:rsid w:val="00797CFA"/>
    <w:rsid w:val="00797DAD"/>
    <w:rsid w:val="00797F5D"/>
    <w:rsid w:val="007A00C5"/>
    <w:rsid w:val="007A00CB"/>
    <w:rsid w:val="007A011B"/>
    <w:rsid w:val="007A0346"/>
    <w:rsid w:val="007A03F7"/>
    <w:rsid w:val="007A0485"/>
    <w:rsid w:val="007A04D6"/>
    <w:rsid w:val="007A0781"/>
    <w:rsid w:val="007A08F2"/>
    <w:rsid w:val="007A0932"/>
    <w:rsid w:val="007A09C9"/>
    <w:rsid w:val="007A0AE7"/>
    <w:rsid w:val="007A0B77"/>
    <w:rsid w:val="007A0D6A"/>
    <w:rsid w:val="007A10A5"/>
    <w:rsid w:val="007A13A1"/>
    <w:rsid w:val="007A1585"/>
    <w:rsid w:val="007A18B8"/>
    <w:rsid w:val="007A1B2B"/>
    <w:rsid w:val="007A1B43"/>
    <w:rsid w:val="007A1C57"/>
    <w:rsid w:val="007A1D27"/>
    <w:rsid w:val="007A1D55"/>
    <w:rsid w:val="007A1F06"/>
    <w:rsid w:val="007A221F"/>
    <w:rsid w:val="007A2358"/>
    <w:rsid w:val="007A2389"/>
    <w:rsid w:val="007A2399"/>
    <w:rsid w:val="007A2462"/>
    <w:rsid w:val="007A29E5"/>
    <w:rsid w:val="007A2B8A"/>
    <w:rsid w:val="007A2C52"/>
    <w:rsid w:val="007A2D55"/>
    <w:rsid w:val="007A2E20"/>
    <w:rsid w:val="007A33A3"/>
    <w:rsid w:val="007A3435"/>
    <w:rsid w:val="007A35C1"/>
    <w:rsid w:val="007A3707"/>
    <w:rsid w:val="007A3750"/>
    <w:rsid w:val="007A37AA"/>
    <w:rsid w:val="007A3852"/>
    <w:rsid w:val="007A38E1"/>
    <w:rsid w:val="007A397A"/>
    <w:rsid w:val="007A3993"/>
    <w:rsid w:val="007A3A03"/>
    <w:rsid w:val="007A3AAE"/>
    <w:rsid w:val="007A3C07"/>
    <w:rsid w:val="007A3C92"/>
    <w:rsid w:val="007A3CB1"/>
    <w:rsid w:val="007A3E23"/>
    <w:rsid w:val="007A42FB"/>
    <w:rsid w:val="007A4468"/>
    <w:rsid w:val="007A44CE"/>
    <w:rsid w:val="007A44F7"/>
    <w:rsid w:val="007A45FF"/>
    <w:rsid w:val="007A4645"/>
    <w:rsid w:val="007A49FE"/>
    <w:rsid w:val="007A4EDA"/>
    <w:rsid w:val="007A51B4"/>
    <w:rsid w:val="007A5458"/>
    <w:rsid w:val="007A569E"/>
    <w:rsid w:val="007A5972"/>
    <w:rsid w:val="007A59CF"/>
    <w:rsid w:val="007A59D2"/>
    <w:rsid w:val="007A5B8F"/>
    <w:rsid w:val="007A5C05"/>
    <w:rsid w:val="007A5E63"/>
    <w:rsid w:val="007A618E"/>
    <w:rsid w:val="007A649E"/>
    <w:rsid w:val="007A6585"/>
    <w:rsid w:val="007A684E"/>
    <w:rsid w:val="007A6A9F"/>
    <w:rsid w:val="007A6AEE"/>
    <w:rsid w:val="007A6BEE"/>
    <w:rsid w:val="007A6FD8"/>
    <w:rsid w:val="007A7063"/>
    <w:rsid w:val="007A710B"/>
    <w:rsid w:val="007A7142"/>
    <w:rsid w:val="007A726C"/>
    <w:rsid w:val="007A7526"/>
    <w:rsid w:val="007A753F"/>
    <w:rsid w:val="007A793C"/>
    <w:rsid w:val="007A7AC1"/>
    <w:rsid w:val="007A7CE9"/>
    <w:rsid w:val="007A7D5D"/>
    <w:rsid w:val="007A7FA1"/>
    <w:rsid w:val="007B026F"/>
    <w:rsid w:val="007B0513"/>
    <w:rsid w:val="007B0812"/>
    <w:rsid w:val="007B0AE7"/>
    <w:rsid w:val="007B0C11"/>
    <w:rsid w:val="007B0D8B"/>
    <w:rsid w:val="007B0DA3"/>
    <w:rsid w:val="007B0DB4"/>
    <w:rsid w:val="007B0F3B"/>
    <w:rsid w:val="007B1416"/>
    <w:rsid w:val="007B144D"/>
    <w:rsid w:val="007B16F9"/>
    <w:rsid w:val="007B1830"/>
    <w:rsid w:val="007B183C"/>
    <w:rsid w:val="007B1C35"/>
    <w:rsid w:val="007B1C43"/>
    <w:rsid w:val="007B1C90"/>
    <w:rsid w:val="007B1D18"/>
    <w:rsid w:val="007B1EFE"/>
    <w:rsid w:val="007B2083"/>
    <w:rsid w:val="007B210A"/>
    <w:rsid w:val="007B212D"/>
    <w:rsid w:val="007B2226"/>
    <w:rsid w:val="007B248B"/>
    <w:rsid w:val="007B25CE"/>
    <w:rsid w:val="007B264B"/>
    <w:rsid w:val="007B2814"/>
    <w:rsid w:val="007B2C37"/>
    <w:rsid w:val="007B2C71"/>
    <w:rsid w:val="007B2E5E"/>
    <w:rsid w:val="007B2F37"/>
    <w:rsid w:val="007B3093"/>
    <w:rsid w:val="007B30DD"/>
    <w:rsid w:val="007B31FB"/>
    <w:rsid w:val="007B3318"/>
    <w:rsid w:val="007B365B"/>
    <w:rsid w:val="007B39E1"/>
    <w:rsid w:val="007B3A1D"/>
    <w:rsid w:val="007B3C55"/>
    <w:rsid w:val="007B400D"/>
    <w:rsid w:val="007B41F7"/>
    <w:rsid w:val="007B424E"/>
    <w:rsid w:val="007B44FA"/>
    <w:rsid w:val="007B4624"/>
    <w:rsid w:val="007B46C3"/>
    <w:rsid w:val="007B46EB"/>
    <w:rsid w:val="007B4AF5"/>
    <w:rsid w:val="007B4B61"/>
    <w:rsid w:val="007B4DA4"/>
    <w:rsid w:val="007B4E1B"/>
    <w:rsid w:val="007B4FEA"/>
    <w:rsid w:val="007B538E"/>
    <w:rsid w:val="007B54FA"/>
    <w:rsid w:val="007B55E4"/>
    <w:rsid w:val="007B580C"/>
    <w:rsid w:val="007B598A"/>
    <w:rsid w:val="007B6078"/>
    <w:rsid w:val="007B60F1"/>
    <w:rsid w:val="007B6210"/>
    <w:rsid w:val="007B62F4"/>
    <w:rsid w:val="007B6426"/>
    <w:rsid w:val="007B6648"/>
    <w:rsid w:val="007B6733"/>
    <w:rsid w:val="007B673E"/>
    <w:rsid w:val="007B6B6E"/>
    <w:rsid w:val="007B6C89"/>
    <w:rsid w:val="007B6E4F"/>
    <w:rsid w:val="007B6F05"/>
    <w:rsid w:val="007B6F37"/>
    <w:rsid w:val="007B70FF"/>
    <w:rsid w:val="007B7114"/>
    <w:rsid w:val="007B73A8"/>
    <w:rsid w:val="007B745C"/>
    <w:rsid w:val="007B75F3"/>
    <w:rsid w:val="007B7629"/>
    <w:rsid w:val="007B7974"/>
    <w:rsid w:val="007B7C76"/>
    <w:rsid w:val="007C0070"/>
    <w:rsid w:val="007C0311"/>
    <w:rsid w:val="007C0473"/>
    <w:rsid w:val="007C05F5"/>
    <w:rsid w:val="007C0602"/>
    <w:rsid w:val="007C0657"/>
    <w:rsid w:val="007C083D"/>
    <w:rsid w:val="007C0884"/>
    <w:rsid w:val="007C08BC"/>
    <w:rsid w:val="007C0932"/>
    <w:rsid w:val="007C0935"/>
    <w:rsid w:val="007C09EB"/>
    <w:rsid w:val="007C0A3B"/>
    <w:rsid w:val="007C0C53"/>
    <w:rsid w:val="007C0D42"/>
    <w:rsid w:val="007C0DF5"/>
    <w:rsid w:val="007C1018"/>
    <w:rsid w:val="007C101F"/>
    <w:rsid w:val="007C109C"/>
    <w:rsid w:val="007C11DD"/>
    <w:rsid w:val="007C128C"/>
    <w:rsid w:val="007C15B6"/>
    <w:rsid w:val="007C176D"/>
    <w:rsid w:val="007C182C"/>
    <w:rsid w:val="007C1899"/>
    <w:rsid w:val="007C1936"/>
    <w:rsid w:val="007C1BDE"/>
    <w:rsid w:val="007C20D2"/>
    <w:rsid w:val="007C234C"/>
    <w:rsid w:val="007C2396"/>
    <w:rsid w:val="007C248C"/>
    <w:rsid w:val="007C2600"/>
    <w:rsid w:val="007C274B"/>
    <w:rsid w:val="007C287D"/>
    <w:rsid w:val="007C29B3"/>
    <w:rsid w:val="007C2AB1"/>
    <w:rsid w:val="007C2BE3"/>
    <w:rsid w:val="007C2CA3"/>
    <w:rsid w:val="007C3136"/>
    <w:rsid w:val="007C35B9"/>
    <w:rsid w:val="007C364B"/>
    <w:rsid w:val="007C3745"/>
    <w:rsid w:val="007C3896"/>
    <w:rsid w:val="007C3A8E"/>
    <w:rsid w:val="007C3CFF"/>
    <w:rsid w:val="007C4217"/>
    <w:rsid w:val="007C442E"/>
    <w:rsid w:val="007C4495"/>
    <w:rsid w:val="007C4612"/>
    <w:rsid w:val="007C4673"/>
    <w:rsid w:val="007C46D5"/>
    <w:rsid w:val="007C4874"/>
    <w:rsid w:val="007C4A31"/>
    <w:rsid w:val="007C4A75"/>
    <w:rsid w:val="007C4F30"/>
    <w:rsid w:val="007C510A"/>
    <w:rsid w:val="007C52F6"/>
    <w:rsid w:val="007C53BB"/>
    <w:rsid w:val="007C551C"/>
    <w:rsid w:val="007C562C"/>
    <w:rsid w:val="007C5684"/>
    <w:rsid w:val="007C5790"/>
    <w:rsid w:val="007C5877"/>
    <w:rsid w:val="007C5D55"/>
    <w:rsid w:val="007C5DDD"/>
    <w:rsid w:val="007C5E91"/>
    <w:rsid w:val="007C5F7B"/>
    <w:rsid w:val="007C602A"/>
    <w:rsid w:val="007C630E"/>
    <w:rsid w:val="007C63CA"/>
    <w:rsid w:val="007C6560"/>
    <w:rsid w:val="007C68AB"/>
    <w:rsid w:val="007C6C63"/>
    <w:rsid w:val="007C6CFB"/>
    <w:rsid w:val="007C722F"/>
    <w:rsid w:val="007C72BC"/>
    <w:rsid w:val="007C74E5"/>
    <w:rsid w:val="007C773D"/>
    <w:rsid w:val="007C7833"/>
    <w:rsid w:val="007C783A"/>
    <w:rsid w:val="007C796E"/>
    <w:rsid w:val="007C7CA0"/>
    <w:rsid w:val="007C7D22"/>
    <w:rsid w:val="007C7D98"/>
    <w:rsid w:val="007C7E75"/>
    <w:rsid w:val="007C7F9D"/>
    <w:rsid w:val="007CD7E5"/>
    <w:rsid w:val="007D036E"/>
    <w:rsid w:val="007D04BB"/>
    <w:rsid w:val="007D05B8"/>
    <w:rsid w:val="007D0699"/>
    <w:rsid w:val="007D0755"/>
    <w:rsid w:val="007D0861"/>
    <w:rsid w:val="007D0A20"/>
    <w:rsid w:val="007D0A6A"/>
    <w:rsid w:val="007D0AAC"/>
    <w:rsid w:val="007D0C23"/>
    <w:rsid w:val="007D0D3B"/>
    <w:rsid w:val="007D0DD2"/>
    <w:rsid w:val="007D0E9C"/>
    <w:rsid w:val="007D0FDE"/>
    <w:rsid w:val="007D1279"/>
    <w:rsid w:val="007D149F"/>
    <w:rsid w:val="007D16B8"/>
    <w:rsid w:val="007D1855"/>
    <w:rsid w:val="007D18CC"/>
    <w:rsid w:val="007D1AAA"/>
    <w:rsid w:val="007D1D72"/>
    <w:rsid w:val="007D1DB4"/>
    <w:rsid w:val="007D224D"/>
    <w:rsid w:val="007D23C6"/>
    <w:rsid w:val="007D23E9"/>
    <w:rsid w:val="007D2412"/>
    <w:rsid w:val="007D2599"/>
    <w:rsid w:val="007D275A"/>
    <w:rsid w:val="007D28AC"/>
    <w:rsid w:val="007D28AD"/>
    <w:rsid w:val="007D29F1"/>
    <w:rsid w:val="007D2A63"/>
    <w:rsid w:val="007D3012"/>
    <w:rsid w:val="007D3080"/>
    <w:rsid w:val="007D30E4"/>
    <w:rsid w:val="007D3262"/>
    <w:rsid w:val="007D33B7"/>
    <w:rsid w:val="007D3404"/>
    <w:rsid w:val="007D3729"/>
    <w:rsid w:val="007D3D97"/>
    <w:rsid w:val="007D3DD2"/>
    <w:rsid w:val="007D413B"/>
    <w:rsid w:val="007D4336"/>
    <w:rsid w:val="007D4773"/>
    <w:rsid w:val="007D4890"/>
    <w:rsid w:val="007D48EE"/>
    <w:rsid w:val="007D4E62"/>
    <w:rsid w:val="007D5046"/>
    <w:rsid w:val="007D506C"/>
    <w:rsid w:val="007D530C"/>
    <w:rsid w:val="007D5507"/>
    <w:rsid w:val="007D558F"/>
    <w:rsid w:val="007D580B"/>
    <w:rsid w:val="007D58BF"/>
    <w:rsid w:val="007D5955"/>
    <w:rsid w:val="007D5980"/>
    <w:rsid w:val="007D5A98"/>
    <w:rsid w:val="007D5B69"/>
    <w:rsid w:val="007D5BCE"/>
    <w:rsid w:val="007D60E2"/>
    <w:rsid w:val="007D6352"/>
    <w:rsid w:val="007D639D"/>
    <w:rsid w:val="007D6496"/>
    <w:rsid w:val="007D65F7"/>
    <w:rsid w:val="007D672E"/>
    <w:rsid w:val="007D6B15"/>
    <w:rsid w:val="007D6BC9"/>
    <w:rsid w:val="007D6C74"/>
    <w:rsid w:val="007D6D0F"/>
    <w:rsid w:val="007D705C"/>
    <w:rsid w:val="007D7196"/>
    <w:rsid w:val="007D72A7"/>
    <w:rsid w:val="007D7A06"/>
    <w:rsid w:val="007D7A89"/>
    <w:rsid w:val="007D7AAD"/>
    <w:rsid w:val="007D7B5B"/>
    <w:rsid w:val="007D7B70"/>
    <w:rsid w:val="007D7CC4"/>
    <w:rsid w:val="007D7D22"/>
    <w:rsid w:val="007D7FE4"/>
    <w:rsid w:val="007E000D"/>
    <w:rsid w:val="007E027E"/>
    <w:rsid w:val="007E02B3"/>
    <w:rsid w:val="007E0391"/>
    <w:rsid w:val="007E03EB"/>
    <w:rsid w:val="007E04B7"/>
    <w:rsid w:val="007E0535"/>
    <w:rsid w:val="007E0537"/>
    <w:rsid w:val="007E06A2"/>
    <w:rsid w:val="007E077D"/>
    <w:rsid w:val="007E0887"/>
    <w:rsid w:val="007E08D9"/>
    <w:rsid w:val="007E092B"/>
    <w:rsid w:val="007E0A8A"/>
    <w:rsid w:val="007E1193"/>
    <w:rsid w:val="007E12EF"/>
    <w:rsid w:val="007E14DE"/>
    <w:rsid w:val="007E154D"/>
    <w:rsid w:val="007E1778"/>
    <w:rsid w:val="007E182A"/>
    <w:rsid w:val="007E18E7"/>
    <w:rsid w:val="007E1998"/>
    <w:rsid w:val="007E1BFB"/>
    <w:rsid w:val="007E1C56"/>
    <w:rsid w:val="007E1D13"/>
    <w:rsid w:val="007E1DA0"/>
    <w:rsid w:val="007E2484"/>
    <w:rsid w:val="007E24EA"/>
    <w:rsid w:val="007E26FD"/>
    <w:rsid w:val="007E2750"/>
    <w:rsid w:val="007E2AB5"/>
    <w:rsid w:val="007E2D80"/>
    <w:rsid w:val="007E3164"/>
    <w:rsid w:val="007E34DA"/>
    <w:rsid w:val="007E3651"/>
    <w:rsid w:val="007E3860"/>
    <w:rsid w:val="007E3DBB"/>
    <w:rsid w:val="007E403B"/>
    <w:rsid w:val="007E4145"/>
    <w:rsid w:val="007E4413"/>
    <w:rsid w:val="007E46AC"/>
    <w:rsid w:val="007E494D"/>
    <w:rsid w:val="007E4954"/>
    <w:rsid w:val="007E4979"/>
    <w:rsid w:val="007E4AC5"/>
    <w:rsid w:val="007E4C0D"/>
    <w:rsid w:val="007E4C66"/>
    <w:rsid w:val="007E4CF5"/>
    <w:rsid w:val="007E4D01"/>
    <w:rsid w:val="007E4D7A"/>
    <w:rsid w:val="007E4E76"/>
    <w:rsid w:val="007E4FA1"/>
    <w:rsid w:val="007E50CC"/>
    <w:rsid w:val="007E517C"/>
    <w:rsid w:val="007E5433"/>
    <w:rsid w:val="007E5583"/>
    <w:rsid w:val="007E5678"/>
    <w:rsid w:val="007E56B6"/>
    <w:rsid w:val="007E58F4"/>
    <w:rsid w:val="007E594C"/>
    <w:rsid w:val="007E5B94"/>
    <w:rsid w:val="007E5E3D"/>
    <w:rsid w:val="007E5F96"/>
    <w:rsid w:val="007E6047"/>
    <w:rsid w:val="007E6071"/>
    <w:rsid w:val="007E61D6"/>
    <w:rsid w:val="007E6515"/>
    <w:rsid w:val="007E658B"/>
    <w:rsid w:val="007E658F"/>
    <w:rsid w:val="007E65AD"/>
    <w:rsid w:val="007E65B8"/>
    <w:rsid w:val="007E6729"/>
    <w:rsid w:val="007E6731"/>
    <w:rsid w:val="007E6794"/>
    <w:rsid w:val="007E6AB4"/>
    <w:rsid w:val="007E6AD8"/>
    <w:rsid w:val="007E6C73"/>
    <w:rsid w:val="007E6CB9"/>
    <w:rsid w:val="007E6DD7"/>
    <w:rsid w:val="007E7078"/>
    <w:rsid w:val="007E711B"/>
    <w:rsid w:val="007E7451"/>
    <w:rsid w:val="007E75F2"/>
    <w:rsid w:val="007E77CE"/>
    <w:rsid w:val="007E7B59"/>
    <w:rsid w:val="007E7CCA"/>
    <w:rsid w:val="007E7D85"/>
    <w:rsid w:val="007E7E15"/>
    <w:rsid w:val="007F037E"/>
    <w:rsid w:val="007F03E9"/>
    <w:rsid w:val="007F0403"/>
    <w:rsid w:val="007F0537"/>
    <w:rsid w:val="007F05EF"/>
    <w:rsid w:val="007F0642"/>
    <w:rsid w:val="007F06FC"/>
    <w:rsid w:val="007F0936"/>
    <w:rsid w:val="007F0B98"/>
    <w:rsid w:val="007F0D87"/>
    <w:rsid w:val="007F0EF6"/>
    <w:rsid w:val="007F115C"/>
    <w:rsid w:val="007F116C"/>
    <w:rsid w:val="007F121C"/>
    <w:rsid w:val="007F12B8"/>
    <w:rsid w:val="007F16E1"/>
    <w:rsid w:val="007F1734"/>
    <w:rsid w:val="007F1845"/>
    <w:rsid w:val="007F1A1C"/>
    <w:rsid w:val="007F1A3F"/>
    <w:rsid w:val="007F1ABD"/>
    <w:rsid w:val="007F1C57"/>
    <w:rsid w:val="007F1E34"/>
    <w:rsid w:val="007F1F68"/>
    <w:rsid w:val="007F1FEF"/>
    <w:rsid w:val="007F1FF6"/>
    <w:rsid w:val="007F2070"/>
    <w:rsid w:val="007F20B6"/>
    <w:rsid w:val="007F215A"/>
    <w:rsid w:val="007F21D2"/>
    <w:rsid w:val="007F222E"/>
    <w:rsid w:val="007F2455"/>
    <w:rsid w:val="007F250F"/>
    <w:rsid w:val="007F265D"/>
    <w:rsid w:val="007F2BDB"/>
    <w:rsid w:val="007F2D99"/>
    <w:rsid w:val="007F3179"/>
    <w:rsid w:val="007F31FA"/>
    <w:rsid w:val="007F3733"/>
    <w:rsid w:val="007F377A"/>
    <w:rsid w:val="007F391E"/>
    <w:rsid w:val="007F3965"/>
    <w:rsid w:val="007F3ADC"/>
    <w:rsid w:val="007F3BEA"/>
    <w:rsid w:val="007F3C06"/>
    <w:rsid w:val="007F3EB4"/>
    <w:rsid w:val="007F40BF"/>
    <w:rsid w:val="007F432F"/>
    <w:rsid w:val="007F487E"/>
    <w:rsid w:val="007F48CE"/>
    <w:rsid w:val="007F48D2"/>
    <w:rsid w:val="007F4FC9"/>
    <w:rsid w:val="007F5179"/>
    <w:rsid w:val="007F5231"/>
    <w:rsid w:val="007F52E3"/>
    <w:rsid w:val="007F5324"/>
    <w:rsid w:val="007F542D"/>
    <w:rsid w:val="007F58F5"/>
    <w:rsid w:val="007F5C79"/>
    <w:rsid w:val="007F5DFF"/>
    <w:rsid w:val="007F5F8F"/>
    <w:rsid w:val="007F5F9A"/>
    <w:rsid w:val="007F609F"/>
    <w:rsid w:val="007F61C7"/>
    <w:rsid w:val="007F63B3"/>
    <w:rsid w:val="007F6507"/>
    <w:rsid w:val="007F65EC"/>
    <w:rsid w:val="007F667D"/>
    <w:rsid w:val="007F6798"/>
    <w:rsid w:val="007F67BC"/>
    <w:rsid w:val="007F68F0"/>
    <w:rsid w:val="007F6AAD"/>
    <w:rsid w:val="007F6C5D"/>
    <w:rsid w:val="007F6DEE"/>
    <w:rsid w:val="007F6DEF"/>
    <w:rsid w:val="007F6EF3"/>
    <w:rsid w:val="007F7116"/>
    <w:rsid w:val="007F7121"/>
    <w:rsid w:val="007F7178"/>
    <w:rsid w:val="007F718D"/>
    <w:rsid w:val="007F73B5"/>
    <w:rsid w:val="007F7476"/>
    <w:rsid w:val="007F7521"/>
    <w:rsid w:val="007F760B"/>
    <w:rsid w:val="007F765E"/>
    <w:rsid w:val="007F7AFE"/>
    <w:rsid w:val="007F7BD1"/>
    <w:rsid w:val="007F7D36"/>
    <w:rsid w:val="007F7D82"/>
    <w:rsid w:val="007F7EAD"/>
    <w:rsid w:val="007F7EAE"/>
    <w:rsid w:val="00800107"/>
    <w:rsid w:val="00800108"/>
    <w:rsid w:val="00800212"/>
    <w:rsid w:val="008002C5"/>
    <w:rsid w:val="0080040C"/>
    <w:rsid w:val="00800709"/>
    <w:rsid w:val="00800762"/>
    <w:rsid w:val="008008C9"/>
    <w:rsid w:val="00800920"/>
    <w:rsid w:val="00800D6E"/>
    <w:rsid w:val="00800F78"/>
    <w:rsid w:val="008010EC"/>
    <w:rsid w:val="00801152"/>
    <w:rsid w:val="0080136D"/>
    <w:rsid w:val="00801380"/>
    <w:rsid w:val="008013AE"/>
    <w:rsid w:val="008013F0"/>
    <w:rsid w:val="00801458"/>
    <w:rsid w:val="00801576"/>
    <w:rsid w:val="0080168F"/>
    <w:rsid w:val="0080184C"/>
    <w:rsid w:val="0080189E"/>
    <w:rsid w:val="00801B04"/>
    <w:rsid w:val="00801E6E"/>
    <w:rsid w:val="00801EF8"/>
    <w:rsid w:val="008020C6"/>
    <w:rsid w:val="00802162"/>
    <w:rsid w:val="008022A0"/>
    <w:rsid w:val="0080238D"/>
    <w:rsid w:val="00802516"/>
    <w:rsid w:val="00802802"/>
    <w:rsid w:val="008029F7"/>
    <w:rsid w:val="00802A19"/>
    <w:rsid w:val="00802ACA"/>
    <w:rsid w:val="00802B11"/>
    <w:rsid w:val="00802C24"/>
    <w:rsid w:val="00802CF4"/>
    <w:rsid w:val="00802EFD"/>
    <w:rsid w:val="008030C2"/>
    <w:rsid w:val="00803184"/>
    <w:rsid w:val="00803251"/>
    <w:rsid w:val="0080334A"/>
    <w:rsid w:val="00803450"/>
    <w:rsid w:val="0080350B"/>
    <w:rsid w:val="008036CA"/>
    <w:rsid w:val="0080385B"/>
    <w:rsid w:val="00803863"/>
    <w:rsid w:val="00803874"/>
    <w:rsid w:val="00803A55"/>
    <w:rsid w:val="00803D01"/>
    <w:rsid w:val="00803D24"/>
    <w:rsid w:val="00803ED1"/>
    <w:rsid w:val="00803ED3"/>
    <w:rsid w:val="0080405A"/>
    <w:rsid w:val="00804202"/>
    <w:rsid w:val="00804424"/>
    <w:rsid w:val="00804635"/>
    <w:rsid w:val="008046C7"/>
    <w:rsid w:val="0080488C"/>
    <w:rsid w:val="008048BC"/>
    <w:rsid w:val="00804E0D"/>
    <w:rsid w:val="00804E95"/>
    <w:rsid w:val="00804EA6"/>
    <w:rsid w:val="00804EEC"/>
    <w:rsid w:val="00804F36"/>
    <w:rsid w:val="00805041"/>
    <w:rsid w:val="008052B9"/>
    <w:rsid w:val="0080538F"/>
    <w:rsid w:val="0080550B"/>
    <w:rsid w:val="00805910"/>
    <w:rsid w:val="00805B3D"/>
    <w:rsid w:val="00805DD5"/>
    <w:rsid w:val="00805DE6"/>
    <w:rsid w:val="00805E93"/>
    <w:rsid w:val="00805EB0"/>
    <w:rsid w:val="008060FF"/>
    <w:rsid w:val="0080610C"/>
    <w:rsid w:val="008062CD"/>
    <w:rsid w:val="00806614"/>
    <w:rsid w:val="00806825"/>
    <w:rsid w:val="00806CD2"/>
    <w:rsid w:val="00807074"/>
    <w:rsid w:val="0080710C"/>
    <w:rsid w:val="0080747D"/>
    <w:rsid w:val="008074C6"/>
    <w:rsid w:val="008076D5"/>
    <w:rsid w:val="008077AB"/>
    <w:rsid w:val="00807845"/>
    <w:rsid w:val="008079F0"/>
    <w:rsid w:val="00807BDB"/>
    <w:rsid w:val="00807CE9"/>
    <w:rsid w:val="00807D42"/>
    <w:rsid w:val="00807E48"/>
    <w:rsid w:val="00807F5F"/>
    <w:rsid w:val="008101B1"/>
    <w:rsid w:val="008102EA"/>
    <w:rsid w:val="008103BB"/>
    <w:rsid w:val="008104E4"/>
    <w:rsid w:val="0081056B"/>
    <w:rsid w:val="0081058D"/>
    <w:rsid w:val="008107AD"/>
    <w:rsid w:val="008107CF"/>
    <w:rsid w:val="00810ABF"/>
    <w:rsid w:val="00810CC5"/>
    <w:rsid w:val="00810D16"/>
    <w:rsid w:val="00810DF6"/>
    <w:rsid w:val="00810EB9"/>
    <w:rsid w:val="00810F2C"/>
    <w:rsid w:val="0081100C"/>
    <w:rsid w:val="008115BD"/>
    <w:rsid w:val="00811AFF"/>
    <w:rsid w:val="00811BEF"/>
    <w:rsid w:val="00811C6A"/>
    <w:rsid w:val="00811F6F"/>
    <w:rsid w:val="008121D0"/>
    <w:rsid w:val="0081274E"/>
    <w:rsid w:val="00812765"/>
    <w:rsid w:val="008127F1"/>
    <w:rsid w:val="0081280F"/>
    <w:rsid w:val="008128A1"/>
    <w:rsid w:val="00812CF0"/>
    <w:rsid w:val="0081302C"/>
    <w:rsid w:val="008130B5"/>
    <w:rsid w:val="008131DD"/>
    <w:rsid w:val="008132D6"/>
    <w:rsid w:val="008133DD"/>
    <w:rsid w:val="00814058"/>
    <w:rsid w:val="008141E6"/>
    <w:rsid w:val="008148F3"/>
    <w:rsid w:val="00814BBF"/>
    <w:rsid w:val="00814C34"/>
    <w:rsid w:val="00814E08"/>
    <w:rsid w:val="008151CB"/>
    <w:rsid w:val="00815223"/>
    <w:rsid w:val="008153F8"/>
    <w:rsid w:val="0081543B"/>
    <w:rsid w:val="008156EA"/>
    <w:rsid w:val="00815A82"/>
    <w:rsid w:val="00815B1A"/>
    <w:rsid w:val="00815C56"/>
    <w:rsid w:val="00815F79"/>
    <w:rsid w:val="008160D1"/>
    <w:rsid w:val="00816859"/>
    <w:rsid w:val="00816869"/>
    <w:rsid w:val="008169AF"/>
    <w:rsid w:val="008169F2"/>
    <w:rsid w:val="00816C01"/>
    <w:rsid w:val="00816CB9"/>
    <w:rsid w:val="00816E36"/>
    <w:rsid w:val="00816ED5"/>
    <w:rsid w:val="00817045"/>
    <w:rsid w:val="008170E2"/>
    <w:rsid w:val="008170F0"/>
    <w:rsid w:val="0081710C"/>
    <w:rsid w:val="00817257"/>
    <w:rsid w:val="00817325"/>
    <w:rsid w:val="008173CC"/>
    <w:rsid w:val="0081764B"/>
    <w:rsid w:val="0081768E"/>
    <w:rsid w:val="008176F4"/>
    <w:rsid w:val="008178C7"/>
    <w:rsid w:val="00817990"/>
    <w:rsid w:val="008179DF"/>
    <w:rsid w:val="00817C86"/>
    <w:rsid w:val="00817CE1"/>
    <w:rsid w:val="00817D2E"/>
    <w:rsid w:val="00817D94"/>
    <w:rsid w:val="00820082"/>
    <w:rsid w:val="008200C5"/>
    <w:rsid w:val="00820594"/>
    <w:rsid w:val="008205F4"/>
    <w:rsid w:val="0082068E"/>
    <w:rsid w:val="00820793"/>
    <w:rsid w:val="008208C5"/>
    <w:rsid w:val="00820953"/>
    <w:rsid w:val="008209C5"/>
    <w:rsid w:val="00820A0A"/>
    <w:rsid w:val="00820A4F"/>
    <w:rsid w:val="00820C6D"/>
    <w:rsid w:val="00820DE3"/>
    <w:rsid w:val="008211A3"/>
    <w:rsid w:val="008211A6"/>
    <w:rsid w:val="008212F6"/>
    <w:rsid w:val="00821631"/>
    <w:rsid w:val="0082177E"/>
    <w:rsid w:val="0082185C"/>
    <w:rsid w:val="00821A95"/>
    <w:rsid w:val="00821DEA"/>
    <w:rsid w:val="00822587"/>
    <w:rsid w:val="0082264D"/>
    <w:rsid w:val="00822715"/>
    <w:rsid w:val="008228FB"/>
    <w:rsid w:val="008229DD"/>
    <w:rsid w:val="00822C2E"/>
    <w:rsid w:val="00822C72"/>
    <w:rsid w:val="00822C98"/>
    <w:rsid w:val="00822CF5"/>
    <w:rsid w:val="00822ED7"/>
    <w:rsid w:val="00822F69"/>
    <w:rsid w:val="0082313B"/>
    <w:rsid w:val="0082327F"/>
    <w:rsid w:val="0082328B"/>
    <w:rsid w:val="008233C9"/>
    <w:rsid w:val="0082383F"/>
    <w:rsid w:val="00823970"/>
    <w:rsid w:val="00824062"/>
    <w:rsid w:val="00824155"/>
    <w:rsid w:val="0082428B"/>
    <w:rsid w:val="008245DE"/>
    <w:rsid w:val="00824748"/>
    <w:rsid w:val="0082476D"/>
    <w:rsid w:val="0082479F"/>
    <w:rsid w:val="00824913"/>
    <w:rsid w:val="00824A83"/>
    <w:rsid w:val="00824AC3"/>
    <w:rsid w:val="00824B17"/>
    <w:rsid w:val="00824D0C"/>
    <w:rsid w:val="00824D3C"/>
    <w:rsid w:val="00824DD3"/>
    <w:rsid w:val="00824DE3"/>
    <w:rsid w:val="00824EE0"/>
    <w:rsid w:val="00825109"/>
    <w:rsid w:val="00825210"/>
    <w:rsid w:val="00825323"/>
    <w:rsid w:val="00825330"/>
    <w:rsid w:val="00825348"/>
    <w:rsid w:val="008255AF"/>
    <w:rsid w:val="008257EA"/>
    <w:rsid w:val="008258D1"/>
    <w:rsid w:val="00825AC8"/>
    <w:rsid w:val="00825D84"/>
    <w:rsid w:val="00825DE4"/>
    <w:rsid w:val="00825E6C"/>
    <w:rsid w:val="0082613B"/>
    <w:rsid w:val="00826393"/>
    <w:rsid w:val="00826495"/>
    <w:rsid w:val="008265BE"/>
    <w:rsid w:val="0082660E"/>
    <w:rsid w:val="00826704"/>
    <w:rsid w:val="00826721"/>
    <w:rsid w:val="00826807"/>
    <w:rsid w:val="00826936"/>
    <w:rsid w:val="00826AB8"/>
    <w:rsid w:val="00826B30"/>
    <w:rsid w:val="00826BD1"/>
    <w:rsid w:val="00826D8F"/>
    <w:rsid w:val="00826E62"/>
    <w:rsid w:val="00827010"/>
    <w:rsid w:val="0082715F"/>
    <w:rsid w:val="00827415"/>
    <w:rsid w:val="008274F0"/>
    <w:rsid w:val="00827A85"/>
    <w:rsid w:val="00827E11"/>
    <w:rsid w:val="00830270"/>
    <w:rsid w:val="008304B4"/>
    <w:rsid w:val="008304CE"/>
    <w:rsid w:val="0083051E"/>
    <w:rsid w:val="00830638"/>
    <w:rsid w:val="0083064D"/>
    <w:rsid w:val="008307DB"/>
    <w:rsid w:val="008308B4"/>
    <w:rsid w:val="0083090B"/>
    <w:rsid w:val="008309B5"/>
    <w:rsid w:val="00830A06"/>
    <w:rsid w:val="00830C37"/>
    <w:rsid w:val="00830E26"/>
    <w:rsid w:val="00830F6C"/>
    <w:rsid w:val="00830FD2"/>
    <w:rsid w:val="00831271"/>
    <w:rsid w:val="00831308"/>
    <w:rsid w:val="00831367"/>
    <w:rsid w:val="008314A4"/>
    <w:rsid w:val="00831852"/>
    <w:rsid w:val="008318FA"/>
    <w:rsid w:val="00831B2F"/>
    <w:rsid w:val="00831BB6"/>
    <w:rsid w:val="00831BE5"/>
    <w:rsid w:val="00831CD2"/>
    <w:rsid w:val="00831CE5"/>
    <w:rsid w:val="00831F7B"/>
    <w:rsid w:val="00831F85"/>
    <w:rsid w:val="00831FAB"/>
    <w:rsid w:val="0083210B"/>
    <w:rsid w:val="0083215F"/>
    <w:rsid w:val="008322A3"/>
    <w:rsid w:val="0083231F"/>
    <w:rsid w:val="008327FC"/>
    <w:rsid w:val="00832812"/>
    <w:rsid w:val="0083282E"/>
    <w:rsid w:val="00832920"/>
    <w:rsid w:val="00832A73"/>
    <w:rsid w:val="00832B9F"/>
    <w:rsid w:val="00832E35"/>
    <w:rsid w:val="00832F6F"/>
    <w:rsid w:val="00833003"/>
    <w:rsid w:val="00833119"/>
    <w:rsid w:val="008334A3"/>
    <w:rsid w:val="00833779"/>
    <w:rsid w:val="008338FE"/>
    <w:rsid w:val="00833A06"/>
    <w:rsid w:val="00833A37"/>
    <w:rsid w:val="00833CB9"/>
    <w:rsid w:val="00833D45"/>
    <w:rsid w:val="00833DA6"/>
    <w:rsid w:val="00833FC1"/>
    <w:rsid w:val="00834229"/>
    <w:rsid w:val="008342F0"/>
    <w:rsid w:val="008344C9"/>
    <w:rsid w:val="0083473D"/>
    <w:rsid w:val="0083474B"/>
    <w:rsid w:val="008347D9"/>
    <w:rsid w:val="0083482A"/>
    <w:rsid w:val="008350A5"/>
    <w:rsid w:val="008351FF"/>
    <w:rsid w:val="00835336"/>
    <w:rsid w:val="008354E3"/>
    <w:rsid w:val="00835656"/>
    <w:rsid w:val="0083572D"/>
    <w:rsid w:val="0083592B"/>
    <w:rsid w:val="00835942"/>
    <w:rsid w:val="00835A0A"/>
    <w:rsid w:val="00835F40"/>
    <w:rsid w:val="00835F79"/>
    <w:rsid w:val="00835FF1"/>
    <w:rsid w:val="00836086"/>
    <w:rsid w:val="008361DB"/>
    <w:rsid w:val="0083651A"/>
    <w:rsid w:val="00836540"/>
    <w:rsid w:val="00836577"/>
    <w:rsid w:val="008365DE"/>
    <w:rsid w:val="00836A7D"/>
    <w:rsid w:val="00836E43"/>
    <w:rsid w:val="00836F19"/>
    <w:rsid w:val="00836F94"/>
    <w:rsid w:val="00836FA7"/>
    <w:rsid w:val="0083704F"/>
    <w:rsid w:val="00837284"/>
    <w:rsid w:val="008372B4"/>
    <w:rsid w:val="0083767C"/>
    <w:rsid w:val="00837697"/>
    <w:rsid w:val="00837769"/>
    <w:rsid w:val="0083778A"/>
    <w:rsid w:val="008377F0"/>
    <w:rsid w:val="008378E8"/>
    <w:rsid w:val="00837960"/>
    <w:rsid w:val="00837B40"/>
    <w:rsid w:val="00837B93"/>
    <w:rsid w:val="00837C2B"/>
    <w:rsid w:val="00837CFB"/>
    <w:rsid w:val="00837E99"/>
    <w:rsid w:val="0084060C"/>
    <w:rsid w:val="00840652"/>
    <w:rsid w:val="008406FD"/>
    <w:rsid w:val="00840A34"/>
    <w:rsid w:val="00840AFE"/>
    <w:rsid w:val="00840B61"/>
    <w:rsid w:val="00840F71"/>
    <w:rsid w:val="00840F73"/>
    <w:rsid w:val="00841473"/>
    <w:rsid w:val="008415D4"/>
    <w:rsid w:val="008415F9"/>
    <w:rsid w:val="00841B82"/>
    <w:rsid w:val="00841BE0"/>
    <w:rsid w:val="00841D01"/>
    <w:rsid w:val="00841DAC"/>
    <w:rsid w:val="00841F86"/>
    <w:rsid w:val="008428EF"/>
    <w:rsid w:val="00842EA3"/>
    <w:rsid w:val="0084331F"/>
    <w:rsid w:val="0084335A"/>
    <w:rsid w:val="00843362"/>
    <w:rsid w:val="008434BC"/>
    <w:rsid w:val="00843751"/>
    <w:rsid w:val="008437CD"/>
    <w:rsid w:val="0084399E"/>
    <w:rsid w:val="00843C43"/>
    <w:rsid w:val="00843C4A"/>
    <w:rsid w:val="00843D03"/>
    <w:rsid w:val="00843E51"/>
    <w:rsid w:val="00843F6A"/>
    <w:rsid w:val="0084406B"/>
    <w:rsid w:val="00844159"/>
    <w:rsid w:val="008441F2"/>
    <w:rsid w:val="00844678"/>
    <w:rsid w:val="008446EB"/>
    <w:rsid w:val="0084484E"/>
    <w:rsid w:val="00844C6C"/>
    <w:rsid w:val="00844D59"/>
    <w:rsid w:val="00844E79"/>
    <w:rsid w:val="00845321"/>
    <w:rsid w:val="0084534E"/>
    <w:rsid w:val="0084562F"/>
    <w:rsid w:val="0084592D"/>
    <w:rsid w:val="00845AD2"/>
    <w:rsid w:val="00845BAB"/>
    <w:rsid w:val="00845BCD"/>
    <w:rsid w:val="00845ECE"/>
    <w:rsid w:val="00845EE0"/>
    <w:rsid w:val="00846516"/>
    <w:rsid w:val="00846551"/>
    <w:rsid w:val="00846640"/>
    <w:rsid w:val="00846710"/>
    <w:rsid w:val="00846B3E"/>
    <w:rsid w:val="00846F08"/>
    <w:rsid w:val="00846F46"/>
    <w:rsid w:val="00846FC0"/>
    <w:rsid w:val="00846FEE"/>
    <w:rsid w:val="00847020"/>
    <w:rsid w:val="00847318"/>
    <w:rsid w:val="00847537"/>
    <w:rsid w:val="008478D5"/>
    <w:rsid w:val="00847A9C"/>
    <w:rsid w:val="00850573"/>
    <w:rsid w:val="008505EE"/>
    <w:rsid w:val="0085085C"/>
    <w:rsid w:val="008509DE"/>
    <w:rsid w:val="00850A39"/>
    <w:rsid w:val="00850B1A"/>
    <w:rsid w:val="00850B1C"/>
    <w:rsid w:val="00850B86"/>
    <w:rsid w:val="00850BCF"/>
    <w:rsid w:val="00850D36"/>
    <w:rsid w:val="00850D6D"/>
    <w:rsid w:val="00850E75"/>
    <w:rsid w:val="008511CD"/>
    <w:rsid w:val="00851316"/>
    <w:rsid w:val="008514FD"/>
    <w:rsid w:val="0085155A"/>
    <w:rsid w:val="00851AD7"/>
    <w:rsid w:val="00851B72"/>
    <w:rsid w:val="00851C1C"/>
    <w:rsid w:val="00851F34"/>
    <w:rsid w:val="0085201F"/>
    <w:rsid w:val="00852127"/>
    <w:rsid w:val="00852316"/>
    <w:rsid w:val="008524BA"/>
    <w:rsid w:val="00852689"/>
    <w:rsid w:val="008528B1"/>
    <w:rsid w:val="008528E5"/>
    <w:rsid w:val="00852C15"/>
    <w:rsid w:val="00852C4F"/>
    <w:rsid w:val="00852FF5"/>
    <w:rsid w:val="0085303F"/>
    <w:rsid w:val="008530A2"/>
    <w:rsid w:val="00853163"/>
    <w:rsid w:val="0085334F"/>
    <w:rsid w:val="008533EF"/>
    <w:rsid w:val="00853507"/>
    <w:rsid w:val="00853823"/>
    <w:rsid w:val="00853872"/>
    <w:rsid w:val="0085396D"/>
    <w:rsid w:val="00853982"/>
    <w:rsid w:val="00853A38"/>
    <w:rsid w:val="00853C20"/>
    <w:rsid w:val="00853C2E"/>
    <w:rsid w:val="00853CEB"/>
    <w:rsid w:val="00853D3A"/>
    <w:rsid w:val="00853D47"/>
    <w:rsid w:val="00853D71"/>
    <w:rsid w:val="00853D79"/>
    <w:rsid w:val="00853D86"/>
    <w:rsid w:val="00853F22"/>
    <w:rsid w:val="0085400A"/>
    <w:rsid w:val="00854025"/>
    <w:rsid w:val="0085429A"/>
    <w:rsid w:val="0085437D"/>
    <w:rsid w:val="008544B5"/>
    <w:rsid w:val="008544BB"/>
    <w:rsid w:val="00854923"/>
    <w:rsid w:val="00854A91"/>
    <w:rsid w:val="00854AFF"/>
    <w:rsid w:val="00854C03"/>
    <w:rsid w:val="00854E7E"/>
    <w:rsid w:val="00854F5B"/>
    <w:rsid w:val="008551B3"/>
    <w:rsid w:val="008555C1"/>
    <w:rsid w:val="00855655"/>
    <w:rsid w:val="008558F2"/>
    <w:rsid w:val="008559B1"/>
    <w:rsid w:val="00855AE1"/>
    <w:rsid w:val="00855B2A"/>
    <w:rsid w:val="00855EB1"/>
    <w:rsid w:val="008561C1"/>
    <w:rsid w:val="008561D2"/>
    <w:rsid w:val="00856299"/>
    <w:rsid w:val="00856498"/>
    <w:rsid w:val="00856A54"/>
    <w:rsid w:val="00856A75"/>
    <w:rsid w:val="00856D0A"/>
    <w:rsid w:val="00856DF3"/>
    <w:rsid w:val="00856EEA"/>
    <w:rsid w:val="00856F4E"/>
    <w:rsid w:val="00857292"/>
    <w:rsid w:val="008573E2"/>
    <w:rsid w:val="00857487"/>
    <w:rsid w:val="008576E8"/>
    <w:rsid w:val="00857D62"/>
    <w:rsid w:val="00857F52"/>
    <w:rsid w:val="00860414"/>
    <w:rsid w:val="00860690"/>
    <w:rsid w:val="008606CB"/>
    <w:rsid w:val="008606E6"/>
    <w:rsid w:val="00860B51"/>
    <w:rsid w:val="00860F63"/>
    <w:rsid w:val="00860FC7"/>
    <w:rsid w:val="00860FEF"/>
    <w:rsid w:val="008610ED"/>
    <w:rsid w:val="00861356"/>
    <w:rsid w:val="00861561"/>
    <w:rsid w:val="008617CF"/>
    <w:rsid w:val="00861C1D"/>
    <w:rsid w:val="00861CC5"/>
    <w:rsid w:val="00861CE5"/>
    <w:rsid w:val="00862193"/>
    <w:rsid w:val="0086222D"/>
    <w:rsid w:val="0086225E"/>
    <w:rsid w:val="00862648"/>
    <w:rsid w:val="0086269A"/>
    <w:rsid w:val="0086276F"/>
    <w:rsid w:val="00862986"/>
    <w:rsid w:val="00862D6E"/>
    <w:rsid w:val="008630F6"/>
    <w:rsid w:val="00863121"/>
    <w:rsid w:val="008637CF"/>
    <w:rsid w:val="00863D22"/>
    <w:rsid w:val="00863DFD"/>
    <w:rsid w:val="00863FBA"/>
    <w:rsid w:val="00864049"/>
    <w:rsid w:val="00864446"/>
    <w:rsid w:val="0086472C"/>
    <w:rsid w:val="0086495B"/>
    <w:rsid w:val="00864BB9"/>
    <w:rsid w:val="00864BC2"/>
    <w:rsid w:val="00864EF8"/>
    <w:rsid w:val="008650EA"/>
    <w:rsid w:val="0086511F"/>
    <w:rsid w:val="0086514D"/>
    <w:rsid w:val="00865181"/>
    <w:rsid w:val="008656E8"/>
    <w:rsid w:val="008659DF"/>
    <w:rsid w:val="00865EC4"/>
    <w:rsid w:val="00866004"/>
    <w:rsid w:val="00866144"/>
    <w:rsid w:val="00866352"/>
    <w:rsid w:val="0086635D"/>
    <w:rsid w:val="00866424"/>
    <w:rsid w:val="008664DB"/>
    <w:rsid w:val="008667E6"/>
    <w:rsid w:val="008668B4"/>
    <w:rsid w:val="00866A08"/>
    <w:rsid w:val="00866A12"/>
    <w:rsid w:val="00866A98"/>
    <w:rsid w:val="00866BB8"/>
    <w:rsid w:val="00866E8F"/>
    <w:rsid w:val="00866FB9"/>
    <w:rsid w:val="00867062"/>
    <w:rsid w:val="0086766B"/>
    <w:rsid w:val="00867888"/>
    <w:rsid w:val="0086795A"/>
    <w:rsid w:val="00867D07"/>
    <w:rsid w:val="00867D16"/>
    <w:rsid w:val="00867F46"/>
    <w:rsid w:val="00870425"/>
    <w:rsid w:val="00870571"/>
    <w:rsid w:val="008706EC"/>
    <w:rsid w:val="00870A30"/>
    <w:rsid w:val="00870A47"/>
    <w:rsid w:val="00870B49"/>
    <w:rsid w:val="00870F69"/>
    <w:rsid w:val="00870FA7"/>
    <w:rsid w:val="00871258"/>
    <w:rsid w:val="00871325"/>
    <w:rsid w:val="00871351"/>
    <w:rsid w:val="0087159D"/>
    <w:rsid w:val="008715F4"/>
    <w:rsid w:val="00871652"/>
    <w:rsid w:val="00871987"/>
    <w:rsid w:val="008719D0"/>
    <w:rsid w:val="00871A73"/>
    <w:rsid w:val="00871B60"/>
    <w:rsid w:val="00871C03"/>
    <w:rsid w:val="00871C10"/>
    <w:rsid w:val="00871CA4"/>
    <w:rsid w:val="00871ECC"/>
    <w:rsid w:val="008724D5"/>
    <w:rsid w:val="008725C2"/>
    <w:rsid w:val="00872873"/>
    <w:rsid w:val="00872A4F"/>
    <w:rsid w:val="00872E8F"/>
    <w:rsid w:val="00872F24"/>
    <w:rsid w:val="00872F8B"/>
    <w:rsid w:val="00872F99"/>
    <w:rsid w:val="008731A9"/>
    <w:rsid w:val="00873226"/>
    <w:rsid w:val="0087341D"/>
    <w:rsid w:val="0087360B"/>
    <w:rsid w:val="00873A3C"/>
    <w:rsid w:val="00873B24"/>
    <w:rsid w:val="00873B9F"/>
    <w:rsid w:val="00873C36"/>
    <w:rsid w:val="00873C3A"/>
    <w:rsid w:val="00873D0F"/>
    <w:rsid w:val="00873D6E"/>
    <w:rsid w:val="00874187"/>
    <w:rsid w:val="00874251"/>
    <w:rsid w:val="008743FD"/>
    <w:rsid w:val="008745F5"/>
    <w:rsid w:val="008749EA"/>
    <w:rsid w:val="00874A96"/>
    <w:rsid w:val="00874B06"/>
    <w:rsid w:val="00874C25"/>
    <w:rsid w:val="00874E16"/>
    <w:rsid w:val="00875462"/>
    <w:rsid w:val="008754B5"/>
    <w:rsid w:val="008756FF"/>
    <w:rsid w:val="00875E39"/>
    <w:rsid w:val="00875E60"/>
    <w:rsid w:val="008761F2"/>
    <w:rsid w:val="008764DE"/>
    <w:rsid w:val="00876787"/>
    <w:rsid w:val="00876792"/>
    <w:rsid w:val="008767CE"/>
    <w:rsid w:val="008769A7"/>
    <w:rsid w:val="00876AA4"/>
    <w:rsid w:val="00876ACA"/>
    <w:rsid w:val="00876ADF"/>
    <w:rsid w:val="00876E94"/>
    <w:rsid w:val="00876ED9"/>
    <w:rsid w:val="00876F28"/>
    <w:rsid w:val="00876F69"/>
    <w:rsid w:val="00876FB5"/>
    <w:rsid w:val="00876FB9"/>
    <w:rsid w:val="00877088"/>
    <w:rsid w:val="0087715A"/>
    <w:rsid w:val="00877298"/>
    <w:rsid w:val="008772D4"/>
    <w:rsid w:val="00877523"/>
    <w:rsid w:val="00877575"/>
    <w:rsid w:val="00877685"/>
    <w:rsid w:val="00877803"/>
    <w:rsid w:val="00877941"/>
    <w:rsid w:val="008779BC"/>
    <w:rsid w:val="00877A26"/>
    <w:rsid w:val="00877A6D"/>
    <w:rsid w:val="00877BE2"/>
    <w:rsid w:val="00877BF6"/>
    <w:rsid w:val="00877CCD"/>
    <w:rsid w:val="00877D3D"/>
    <w:rsid w:val="00877DD2"/>
    <w:rsid w:val="00880028"/>
    <w:rsid w:val="008801B3"/>
    <w:rsid w:val="00880227"/>
    <w:rsid w:val="0088052E"/>
    <w:rsid w:val="0088088B"/>
    <w:rsid w:val="00880C3F"/>
    <w:rsid w:val="00880C92"/>
    <w:rsid w:val="008813A9"/>
    <w:rsid w:val="00881834"/>
    <w:rsid w:val="00881977"/>
    <w:rsid w:val="00881A8F"/>
    <w:rsid w:val="00881BBA"/>
    <w:rsid w:val="00881E62"/>
    <w:rsid w:val="00881F3E"/>
    <w:rsid w:val="008820F2"/>
    <w:rsid w:val="0088211A"/>
    <w:rsid w:val="008822D6"/>
    <w:rsid w:val="0088241B"/>
    <w:rsid w:val="008826C9"/>
    <w:rsid w:val="00882785"/>
    <w:rsid w:val="00882A0E"/>
    <w:rsid w:val="008831E3"/>
    <w:rsid w:val="0088322E"/>
    <w:rsid w:val="00883299"/>
    <w:rsid w:val="008833A8"/>
    <w:rsid w:val="008833F1"/>
    <w:rsid w:val="00883424"/>
    <w:rsid w:val="008836FA"/>
    <w:rsid w:val="0088390E"/>
    <w:rsid w:val="00883914"/>
    <w:rsid w:val="00883AFB"/>
    <w:rsid w:val="00883D6C"/>
    <w:rsid w:val="008842E9"/>
    <w:rsid w:val="00884510"/>
    <w:rsid w:val="00884615"/>
    <w:rsid w:val="00884C10"/>
    <w:rsid w:val="00884EE5"/>
    <w:rsid w:val="00884FB7"/>
    <w:rsid w:val="00885171"/>
    <w:rsid w:val="0088520B"/>
    <w:rsid w:val="00885219"/>
    <w:rsid w:val="00885304"/>
    <w:rsid w:val="00885BD8"/>
    <w:rsid w:val="00885CFF"/>
    <w:rsid w:val="00885DA7"/>
    <w:rsid w:val="00885E55"/>
    <w:rsid w:val="00885E72"/>
    <w:rsid w:val="00885E98"/>
    <w:rsid w:val="00885ED6"/>
    <w:rsid w:val="008860E5"/>
    <w:rsid w:val="00886124"/>
    <w:rsid w:val="00886166"/>
    <w:rsid w:val="008865EC"/>
    <w:rsid w:val="008866D5"/>
    <w:rsid w:val="0088694E"/>
    <w:rsid w:val="008870B9"/>
    <w:rsid w:val="008871B3"/>
    <w:rsid w:val="00887228"/>
    <w:rsid w:val="008873C2"/>
    <w:rsid w:val="00887470"/>
    <w:rsid w:val="008875AC"/>
    <w:rsid w:val="008875CF"/>
    <w:rsid w:val="00887854"/>
    <w:rsid w:val="00887BEC"/>
    <w:rsid w:val="00887C0D"/>
    <w:rsid w:val="00887D0A"/>
    <w:rsid w:val="008903DC"/>
    <w:rsid w:val="008907BB"/>
    <w:rsid w:val="00890874"/>
    <w:rsid w:val="00890B2A"/>
    <w:rsid w:val="00890B52"/>
    <w:rsid w:val="00890BE4"/>
    <w:rsid w:val="00890FD8"/>
    <w:rsid w:val="008911D9"/>
    <w:rsid w:val="00891256"/>
    <w:rsid w:val="0089145D"/>
    <w:rsid w:val="00891751"/>
    <w:rsid w:val="00891A52"/>
    <w:rsid w:val="00891B64"/>
    <w:rsid w:val="00891CA7"/>
    <w:rsid w:val="008920FF"/>
    <w:rsid w:val="00892100"/>
    <w:rsid w:val="00892250"/>
    <w:rsid w:val="008924DD"/>
    <w:rsid w:val="0089268E"/>
    <w:rsid w:val="008926B5"/>
    <w:rsid w:val="008927E6"/>
    <w:rsid w:val="008928DC"/>
    <w:rsid w:val="008929D6"/>
    <w:rsid w:val="00892A10"/>
    <w:rsid w:val="00892B24"/>
    <w:rsid w:val="00892DA5"/>
    <w:rsid w:val="00892F8B"/>
    <w:rsid w:val="008930F4"/>
    <w:rsid w:val="008931DE"/>
    <w:rsid w:val="00893449"/>
    <w:rsid w:val="00893470"/>
    <w:rsid w:val="00893480"/>
    <w:rsid w:val="00893515"/>
    <w:rsid w:val="00893733"/>
    <w:rsid w:val="00893806"/>
    <w:rsid w:val="00893CE2"/>
    <w:rsid w:val="00893D63"/>
    <w:rsid w:val="00893DB7"/>
    <w:rsid w:val="00893F25"/>
    <w:rsid w:val="00893F84"/>
    <w:rsid w:val="00894281"/>
    <w:rsid w:val="0089443D"/>
    <w:rsid w:val="00894627"/>
    <w:rsid w:val="0089472C"/>
    <w:rsid w:val="008948F9"/>
    <w:rsid w:val="00894903"/>
    <w:rsid w:val="00894B45"/>
    <w:rsid w:val="00894B5C"/>
    <w:rsid w:val="00894C2A"/>
    <w:rsid w:val="00894D46"/>
    <w:rsid w:val="00894DEB"/>
    <w:rsid w:val="00894F52"/>
    <w:rsid w:val="00894FE4"/>
    <w:rsid w:val="008950E7"/>
    <w:rsid w:val="0089522F"/>
    <w:rsid w:val="008952D1"/>
    <w:rsid w:val="00895432"/>
    <w:rsid w:val="00895ACD"/>
    <w:rsid w:val="00895BA2"/>
    <w:rsid w:val="00895CCD"/>
    <w:rsid w:val="00895CD9"/>
    <w:rsid w:val="00895EFB"/>
    <w:rsid w:val="008960C3"/>
    <w:rsid w:val="0089648F"/>
    <w:rsid w:val="00896926"/>
    <w:rsid w:val="0089695D"/>
    <w:rsid w:val="00896A77"/>
    <w:rsid w:val="00896CBE"/>
    <w:rsid w:val="00896DE3"/>
    <w:rsid w:val="008970A1"/>
    <w:rsid w:val="00897324"/>
    <w:rsid w:val="0089733F"/>
    <w:rsid w:val="0089747C"/>
    <w:rsid w:val="0089773C"/>
    <w:rsid w:val="00897781"/>
    <w:rsid w:val="00897ADB"/>
    <w:rsid w:val="00897B18"/>
    <w:rsid w:val="0089B9B9"/>
    <w:rsid w:val="008A0027"/>
    <w:rsid w:val="008A0856"/>
    <w:rsid w:val="008A0A94"/>
    <w:rsid w:val="008A0D14"/>
    <w:rsid w:val="008A0D6C"/>
    <w:rsid w:val="008A0FE7"/>
    <w:rsid w:val="008A100D"/>
    <w:rsid w:val="008A140B"/>
    <w:rsid w:val="008A150A"/>
    <w:rsid w:val="008A1559"/>
    <w:rsid w:val="008A173F"/>
    <w:rsid w:val="008A1753"/>
    <w:rsid w:val="008A1835"/>
    <w:rsid w:val="008A18E1"/>
    <w:rsid w:val="008A1929"/>
    <w:rsid w:val="008A1BB2"/>
    <w:rsid w:val="008A1C48"/>
    <w:rsid w:val="008A1D47"/>
    <w:rsid w:val="008A1DB4"/>
    <w:rsid w:val="008A1E53"/>
    <w:rsid w:val="008A1FA9"/>
    <w:rsid w:val="008A20E1"/>
    <w:rsid w:val="008A2303"/>
    <w:rsid w:val="008A230A"/>
    <w:rsid w:val="008A2697"/>
    <w:rsid w:val="008A28AF"/>
    <w:rsid w:val="008A2A50"/>
    <w:rsid w:val="008A2A82"/>
    <w:rsid w:val="008A2A96"/>
    <w:rsid w:val="008A2CBD"/>
    <w:rsid w:val="008A2E7A"/>
    <w:rsid w:val="008A2FC4"/>
    <w:rsid w:val="008A3015"/>
    <w:rsid w:val="008A3146"/>
    <w:rsid w:val="008A3158"/>
    <w:rsid w:val="008A3166"/>
    <w:rsid w:val="008A318E"/>
    <w:rsid w:val="008A3221"/>
    <w:rsid w:val="008A34B2"/>
    <w:rsid w:val="008A3556"/>
    <w:rsid w:val="008A3669"/>
    <w:rsid w:val="008A37B5"/>
    <w:rsid w:val="008A397B"/>
    <w:rsid w:val="008A39ED"/>
    <w:rsid w:val="008A3D0A"/>
    <w:rsid w:val="008A4009"/>
    <w:rsid w:val="008A4022"/>
    <w:rsid w:val="008A411D"/>
    <w:rsid w:val="008A425F"/>
    <w:rsid w:val="008A440C"/>
    <w:rsid w:val="008A470E"/>
    <w:rsid w:val="008A4738"/>
    <w:rsid w:val="008A474C"/>
    <w:rsid w:val="008A47C4"/>
    <w:rsid w:val="008A4913"/>
    <w:rsid w:val="008A4927"/>
    <w:rsid w:val="008A4936"/>
    <w:rsid w:val="008A4B0D"/>
    <w:rsid w:val="008A4B9B"/>
    <w:rsid w:val="008A4C17"/>
    <w:rsid w:val="008A4D1E"/>
    <w:rsid w:val="008A4E02"/>
    <w:rsid w:val="008A4E67"/>
    <w:rsid w:val="008A4FDF"/>
    <w:rsid w:val="008A5244"/>
    <w:rsid w:val="008A5378"/>
    <w:rsid w:val="008A53B9"/>
    <w:rsid w:val="008A5448"/>
    <w:rsid w:val="008A564F"/>
    <w:rsid w:val="008A569D"/>
    <w:rsid w:val="008A56B4"/>
    <w:rsid w:val="008A57C0"/>
    <w:rsid w:val="008A58ED"/>
    <w:rsid w:val="008A591E"/>
    <w:rsid w:val="008A5A70"/>
    <w:rsid w:val="008A5B8C"/>
    <w:rsid w:val="008A5D44"/>
    <w:rsid w:val="008A5ED1"/>
    <w:rsid w:val="008A5FD1"/>
    <w:rsid w:val="008A616C"/>
    <w:rsid w:val="008A62AD"/>
    <w:rsid w:val="008A6307"/>
    <w:rsid w:val="008A686D"/>
    <w:rsid w:val="008A6B04"/>
    <w:rsid w:val="008A6CCE"/>
    <w:rsid w:val="008A6CEE"/>
    <w:rsid w:val="008A6F44"/>
    <w:rsid w:val="008A6F60"/>
    <w:rsid w:val="008A6F8A"/>
    <w:rsid w:val="008A7112"/>
    <w:rsid w:val="008A723E"/>
    <w:rsid w:val="008A7451"/>
    <w:rsid w:val="008A7458"/>
    <w:rsid w:val="008A74C8"/>
    <w:rsid w:val="008A75DF"/>
    <w:rsid w:val="008A76C0"/>
    <w:rsid w:val="008A7855"/>
    <w:rsid w:val="008A78E4"/>
    <w:rsid w:val="008A7B26"/>
    <w:rsid w:val="008A7B79"/>
    <w:rsid w:val="008A7F2F"/>
    <w:rsid w:val="008A7F82"/>
    <w:rsid w:val="008AB43D"/>
    <w:rsid w:val="008B0005"/>
    <w:rsid w:val="008B01C1"/>
    <w:rsid w:val="008B0271"/>
    <w:rsid w:val="008B0371"/>
    <w:rsid w:val="008B0376"/>
    <w:rsid w:val="008B0553"/>
    <w:rsid w:val="008B0898"/>
    <w:rsid w:val="008B08B8"/>
    <w:rsid w:val="008B0B4E"/>
    <w:rsid w:val="008B0C5F"/>
    <w:rsid w:val="008B0D72"/>
    <w:rsid w:val="008B0E29"/>
    <w:rsid w:val="008B10E5"/>
    <w:rsid w:val="008B1285"/>
    <w:rsid w:val="008B15B8"/>
    <w:rsid w:val="008B166E"/>
    <w:rsid w:val="008B16EC"/>
    <w:rsid w:val="008B17DA"/>
    <w:rsid w:val="008B182B"/>
    <w:rsid w:val="008B1AC1"/>
    <w:rsid w:val="008B1C37"/>
    <w:rsid w:val="008B1D54"/>
    <w:rsid w:val="008B219E"/>
    <w:rsid w:val="008B2476"/>
    <w:rsid w:val="008B2975"/>
    <w:rsid w:val="008B29A9"/>
    <w:rsid w:val="008B2B14"/>
    <w:rsid w:val="008B2B49"/>
    <w:rsid w:val="008B2DDE"/>
    <w:rsid w:val="008B2F4E"/>
    <w:rsid w:val="008B2FBD"/>
    <w:rsid w:val="008B31E1"/>
    <w:rsid w:val="008B3317"/>
    <w:rsid w:val="008B35CA"/>
    <w:rsid w:val="008B3FB7"/>
    <w:rsid w:val="008B40C3"/>
    <w:rsid w:val="008B43A6"/>
    <w:rsid w:val="008B43B5"/>
    <w:rsid w:val="008B468E"/>
    <w:rsid w:val="008B4709"/>
    <w:rsid w:val="008B48C8"/>
    <w:rsid w:val="008B490B"/>
    <w:rsid w:val="008B4DE5"/>
    <w:rsid w:val="008B554C"/>
    <w:rsid w:val="008B55D1"/>
    <w:rsid w:val="008B55E2"/>
    <w:rsid w:val="008B563F"/>
    <w:rsid w:val="008B57E0"/>
    <w:rsid w:val="008B5C0C"/>
    <w:rsid w:val="008B5CA3"/>
    <w:rsid w:val="008B5D96"/>
    <w:rsid w:val="008B6106"/>
    <w:rsid w:val="008B613B"/>
    <w:rsid w:val="008B6208"/>
    <w:rsid w:val="008B6283"/>
    <w:rsid w:val="008B6358"/>
    <w:rsid w:val="008B6718"/>
    <w:rsid w:val="008B681C"/>
    <w:rsid w:val="008B682F"/>
    <w:rsid w:val="008B689A"/>
    <w:rsid w:val="008B6949"/>
    <w:rsid w:val="008B6B4D"/>
    <w:rsid w:val="008B6C35"/>
    <w:rsid w:val="008B6C7E"/>
    <w:rsid w:val="008B6D49"/>
    <w:rsid w:val="008B6FA9"/>
    <w:rsid w:val="008B7010"/>
    <w:rsid w:val="008B71D4"/>
    <w:rsid w:val="008B7288"/>
    <w:rsid w:val="008B763C"/>
    <w:rsid w:val="008B7876"/>
    <w:rsid w:val="008B7B06"/>
    <w:rsid w:val="008B7C2E"/>
    <w:rsid w:val="008B7D06"/>
    <w:rsid w:val="008B7FD8"/>
    <w:rsid w:val="008C0253"/>
    <w:rsid w:val="008C0450"/>
    <w:rsid w:val="008C04B4"/>
    <w:rsid w:val="008C088C"/>
    <w:rsid w:val="008C0970"/>
    <w:rsid w:val="008C0B54"/>
    <w:rsid w:val="008C0B87"/>
    <w:rsid w:val="008C0EC5"/>
    <w:rsid w:val="008C0FB4"/>
    <w:rsid w:val="008C0FCB"/>
    <w:rsid w:val="008C1178"/>
    <w:rsid w:val="008C1241"/>
    <w:rsid w:val="008C12B9"/>
    <w:rsid w:val="008C1787"/>
    <w:rsid w:val="008C17B6"/>
    <w:rsid w:val="008C18A0"/>
    <w:rsid w:val="008C18D2"/>
    <w:rsid w:val="008C1AFB"/>
    <w:rsid w:val="008C1BDB"/>
    <w:rsid w:val="008C1EFD"/>
    <w:rsid w:val="008C1FD2"/>
    <w:rsid w:val="008C211C"/>
    <w:rsid w:val="008C2148"/>
    <w:rsid w:val="008C232A"/>
    <w:rsid w:val="008C24CA"/>
    <w:rsid w:val="008C250D"/>
    <w:rsid w:val="008C2537"/>
    <w:rsid w:val="008C25B9"/>
    <w:rsid w:val="008C267E"/>
    <w:rsid w:val="008C27D7"/>
    <w:rsid w:val="008C2881"/>
    <w:rsid w:val="008C2C7C"/>
    <w:rsid w:val="008C2E03"/>
    <w:rsid w:val="008C2EA8"/>
    <w:rsid w:val="008C2F1E"/>
    <w:rsid w:val="008C2FCA"/>
    <w:rsid w:val="008C2FCE"/>
    <w:rsid w:val="008C305D"/>
    <w:rsid w:val="008C39EE"/>
    <w:rsid w:val="008C3A5A"/>
    <w:rsid w:val="008C3AAE"/>
    <w:rsid w:val="008C3ADD"/>
    <w:rsid w:val="008C3B50"/>
    <w:rsid w:val="008C3B6B"/>
    <w:rsid w:val="008C3B8C"/>
    <w:rsid w:val="008C3BDA"/>
    <w:rsid w:val="008C3E0D"/>
    <w:rsid w:val="008C3E7C"/>
    <w:rsid w:val="008C3EAE"/>
    <w:rsid w:val="008C4012"/>
    <w:rsid w:val="008C4147"/>
    <w:rsid w:val="008C4156"/>
    <w:rsid w:val="008C4450"/>
    <w:rsid w:val="008C448D"/>
    <w:rsid w:val="008C457C"/>
    <w:rsid w:val="008C4791"/>
    <w:rsid w:val="008C4A91"/>
    <w:rsid w:val="008C4ABD"/>
    <w:rsid w:val="008C5119"/>
    <w:rsid w:val="008C54D0"/>
    <w:rsid w:val="008C57E4"/>
    <w:rsid w:val="008C5B3D"/>
    <w:rsid w:val="008C5B99"/>
    <w:rsid w:val="008C5C66"/>
    <w:rsid w:val="008C5D29"/>
    <w:rsid w:val="008C5EC9"/>
    <w:rsid w:val="008C5EFE"/>
    <w:rsid w:val="008C61FB"/>
    <w:rsid w:val="008C61FF"/>
    <w:rsid w:val="008C646D"/>
    <w:rsid w:val="008C665F"/>
    <w:rsid w:val="008C6890"/>
    <w:rsid w:val="008C68DF"/>
    <w:rsid w:val="008C6D0F"/>
    <w:rsid w:val="008C6E1D"/>
    <w:rsid w:val="008C6F36"/>
    <w:rsid w:val="008C6FCB"/>
    <w:rsid w:val="008C742D"/>
    <w:rsid w:val="008C756C"/>
    <w:rsid w:val="008C765D"/>
    <w:rsid w:val="008C79B7"/>
    <w:rsid w:val="008C79BA"/>
    <w:rsid w:val="008C7B36"/>
    <w:rsid w:val="008C7B4A"/>
    <w:rsid w:val="008C7D4C"/>
    <w:rsid w:val="008C7E2D"/>
    <w:rsid w:val="008C7E3E"/>
    <w:rsid w:val="008C7EF6"/>
    <w:rsid w:val="008D0015"/>
    <w:rsid w:val="008D013E"/>
    <w:rsid w:val="008D0210"/>
    <w:rsid w:val="008D02BD"/>
    <w:rsid w:val="008D0938"/>
    <w:rsid w:val="008D09BA"/>
    <w:rsid w:val="008D0B67"/>
    <w:rsid w:val="008D0CC8"/>
    <w:rsid w:val="008D0E24"/>
    <w:rsid w:val="008D0E85"/>
    <w:rsid w:val="008D10A4"/>
    <w:rsid w:val="008D10A9"/>
    <w:rsid w:val="008D14A3"/>
    <w:rsid w:val="008D16B5"/>
    <w:rsid w:val="008D1860"/>
    <w:rsid w:val="008D1C32"/>
    <w:rsid w:val="008D1D57"/>
    <w:rsid w:val="008D1D7D"/>
    <w:rsid w:val="008D1E85"/>
    <w:rsid w:val="008D1F4C"/>
    <w:rsid w:val="008D21AE"/>
    <w:rsid w:val="008D21BE"/>
    <w:rsid w:val="008D22A4"/>
    <w:rsid w:val="008D2352"/>
    <w:rsid w:val="008D265D"/>
    <w:rsid w:val="008D2712"/>
    <w:rsid w:val="008D27DD"/>
    <w:rsid w:val="008D2A2B"/>
    <w:rsid w:val="008D2B3D"/>
    <w:rsid w:val="008D2B6F"/>
    <w:rsid w:val="008D2E67"/>
    <w:rsid w:val="008D2F89"/>
    <w:rsid w:val="008D32CA"/>
    <w:rsid w:val="008D33FA"/>
    <w:rsid w:val="008D34A9"/>
    <w:rsid w:val="008D3596"/>
    <w:rsid w:val="008D3702"/>
    <w:rsid w:val="008D38D2"/>
    <w:rsid w:val="008D3A67"/>
    <w:rsid w:val="008D3B3F"/>
    <w:rsid w:val="008D3E68"/>
    <w:rsid w:val="008D416C"/>
    <w:rsid w:val="008D442F"/>
    <w:rsid w:val="008D4506"/>
    <w:rsid w:val="008D4519"/>
    <w:rsid w:val="008D454D"/>
    <w:rsid w:val="008D46C1"/>
    <w:rsid w:val="008D471B"/>
    <w:rsid w:val="008D4786"/>
    <w:rsid w:val="008D481D"/>
    <w:rsid w:val="008D4839"/>
    <w:rsid w:val="008D4A17"/>
    <w:rsid w:val="008D4A8E"/>
    <w:rsid w:val="008D4D50"/>
    <w:rsid w:val="008D4E6F"/>
    <w:rsid w:val="008D5062"/>
    <w:rsid w:val="008D507F"/>
    <w:rsid w:val="008D50BE"/>
    <w:rsid w:val="008D52AA"/>
    <w:rsid w:val="008D5513"/>
    <w:rsid w:val="008D569F"/>
    <w:rsid w:val="008D57E5"/>
    <w:rsid w:val="008D59F6"/>
    <w:rsid w:val="008D5A93"/>
    <w:rsid w:val="008D5C32"/>
    <w:rsid w:val="008D5DDD"/>
    <w:rsid w:val="008D5F8A"/>
    <w:rsid w:val="008D5FAF"/>
    <w:rsid w:val="008D5FF3"/>
    <w:rsid w:val="008D606E"/>
    <w:rsid w:val="008D61B8"/>
    <w:rsid w:val="008D649A"/>
    <w:rsid w:val="008D64CA"/>
    <w:rsid w:val="008D64F4"/>
    <w:rsid w:val="008D6546"/>
    <w:rsid w:val="008D68C5"/>
    <w:rsid w:val="008D6A09"/>
    <w:rsid w:val="008D6F0F"/>
    <w:rsid w:val="008D6F5C"/>
    <w:rsid w:val="008D6F6C"/>
    <w:rsid w:val="008D716C"/>
    <w:rsid w:val="008D7401"/>
    <w:rsid w:val="008D7760"/>
    <w:rsid w:val="008D79CF"/>
    <w:rsid w:val="008D7CA2"/>
    <w:rsid w:val="008E017F"/>
    <w:rsid w:val="008E0721"/>
    <w:rsid w:val="008E08AF"/>
    <w:rsid w:val="008E09F9"/>
    <w:rsid w:val="008E0A5D"/>
    <w:rsid w:val="008E0A6D"/>
    <w:rsid w:val="008E0BD7"/>
    <w:rsid w:val="008E1156"/>
    <w:rsid w:val="008E12B7"/>
    <w:rsid w:val="008E12CF"/>
    <w:rsid w:val="008E1483"/>
    <w:rsid w:val="008E14F2"/>
    <w:rsid w:val="008E151D"/>
    <w:rsid w:val="008E159E"/>
    <w:rsid w:val="008E1890"/>
    <w:rsid w:val="008E1A7A"/>
    <w:rsid w:val="008E1A7B"/>
    <w:rsid w:val="008E1BF5"/>
    <w:rsid w:val="008E1CA0"/>
    <w:rsid w:val="008E1D03"/>
    <w:rsid w:val="008E1F04"/>
    <w:rsid w:val="008E1FB6"/>
    <w:rsid w:val="008E22FE"/>
    <w:rsid w:val="008E23D9"/>
    <w:rsid w:val="008E24D8"/>
    <w:rsid w:val="008E292B"/>
    <w:rsid w:val="008E293F"/>
    <w:rsid w:val="008E29C5"/>
    <w:rsid w:val="008E2A59"/>
    <w:rsid w:val="008E2D24"/>
    <w:rsid w:val="008E2DDD"/>
    <w:rsid w:val="008E2F6E"/>
    <w:rsid w:val="008E31D6"/>
    <w:rsid w:val="008E3247"/>
    <w:rsid w:val="008E33FC"/>
    <w:rsid w:val="008E37FB"/>
    <w:rsid w:val="008E393C"/>
    <w:rsid w:val="008E3BFF"/>
    <w:rsid w:val="008E3CBD"/>
    <w:rsid w:val="008E4174"/>
    <w:rsid w:val="008E4314"/>
    <w:rsid w:val="008E4424"/>
    <w:rsid w:val="008E4604"/>
    <w:rsid w:val="008E46AF"/>
    <w:rsid w:val="008E4BCC"/>
    <w:rsid w:val="008E4DCE"/>
    <w:rsid w:val="008E5174"/>
    <w:rsid w:val="008E527A"/>
    <w:rsid w:val="008E534D"/>
    <w:rsid w:val="008E55DA"/>
    <w:rsid w:val="008E5726"/>
    <w:rsid w:val="008E58E9"/>
    <w:rsid w:val="008E5CA8"/>
    <w:rsid w:val="008E5D22"/>
    <w:rsid w:val="008E5E91"/>
    <w:rsid w:val="008E60F5"/>
    <w:rsid w:val="008E62F5"/>
    <w:rsid w:val="008E66E3"/>
    <w:rsid w:val="008E6A26"/>
    <w:rsid w:val="008E6A39"/>
    <w:rsid w:val="008E6A4A"/>
    <w:rsid w:val="008E6A4F"/>
    <w:rsid w:val="008E6B38"/>
    <w:rsid w:val="008E6EA1"/>
    <w:rsid w:val="008E6F05"/>
    <w:rsid w:val="008E6F1C"/>
    <w:rsid w:val="008E6F4A"/>
    <w:rsid w:val="008E74A7"/>
    <w:rsid w:val="008E75C1"/>
    <w:rsid w:val="008E75F4"/>
    <w:rsid w:val="008E75FE"/>
    <w:rsid w:val="008E7716"/>
    <w:rsid w:val="008E798B"/>
    <w:rsid w:val="008E79C0"/>
    <w:rsid w:val="008E7CEB"/>
    <w:rsid w:val="008E7D0F"/>
    <w:rsid w:val="008E7E08"/>
    <w:rsid w:val="008E7E5F"/>
    <w:rsid w:val="008E7FAF"/>
    <w:rsid w:val="008F0108"/>
    <w:rsid w:val="008F0189"/>
    <w:rsid w:val="008F0333"/>
    <w:rsid w:val="008F04A3"/>
    <w:rsid w:val="008F04A4"/>
    <w:rsid w:val="008F09BF"/>
    <w:rsid w:val="008F0AB2"/>
    <w:rsid w:val="008F0C53"/>
    <w:rsid w:val="008F0D53"/>
    <w:rsid w:val="008F122F"/>
    <w:rsid w:val="008F1231"/>
    <w:rsid w:val="008F14B7"/>
    <w:rsid w:val="008F157B"/>
    <w:rsid w:val="008F159E"/>
    <w:rsid w:val="008F1666"/>
    <w:rsid w:val="008F185D"/>
    <w:rsid w:val="008F18F2"/>
    <w:rsid w:val="008F19DA"/>
    <w:rsid w:val="008F1AC7"/>
    <w:rsid w:val="008F1C67"/>
    <w:rsid w:val="008F1D25"/>
    <w:rsid w:val="008F1E4B"/>
    <w:rsid w:val="008F21B5"/>
    <w:rsid w:val="008F2232"/>
    <w:rsid w:val="008F257E"/>
    <w:rsid w:val="008F2756"/>
    <w:rsid w:val="008F29F6"/>
    <w:rsid w:val="008F2BBB"/>
    <w:rsid w:val="008F2D7D"/>
    <w:rsid w:val="008F2E4F"/>
    <w:rsid w:val="008F3184"/>
    <w:rsid w:val="008F31A6"/>
    <w:rsid w:val="008F33A2"/>
    <w:rsid w:val="008F346D"/>
    <w:rsid w:val="008F35FF"/>
    <w:rsid w:val="008F361E"/>
    <w:rsid w:val="008F3680"/>
    <w:rsid w:val="008F38E8"/>
    <w:rsid w:val="008F38EC"/>
    <w:rsid w:val="008F3A79"/>
    <w:rsid w:val="008F3B59"/>
    <w:rsid w:val="008F3D8D"/>
    <w:rsid w:val="008F430F"/>
    <w:rsid w:val="008F4445"/>
    <w:rsid w:val="008F4537"/>
    <w:rsid w:val="008F46FF"/>
    <w:rsid w:val="008F481F"/>
    <w:rsid w:val="008F493F"/>
    <w:rsid w:val="008F4B59"/>
    <w:rsid w:val="008F4F61"/>
    <w:rsid w:val="008F5351"/>
    <w:rsid w:val="008F5366"/>
    <w:rsid w:val="008F5632"/>
    <w:rsid w:val="008F56AD"/>
    <w:rsid w:val="008F58B2"/>
    <w:rsid w:val="008F59C1"/>
    <w:rsid w:val="008F5A96"/>
    <w:rsid w:val="008F5AE4"/>
    <w:rsid w:val="008F5CD1"/>
    <w:rsid w:val="008F5E6D"/>
    <w:rsid w:val="008F5E99"/>
    <w:rsid w:val="008F6022"/>
    <w:rsid w:val="008F61EE"/>
    <w:rsid w:val="008F6318"/>
    <w:rsid w:val="008F647D"/>
    <w:rsid w:val="008F67B1"/>
    <w:rsid w:val="008F6A78"/>
    <w:rsid w:val="008F6AA1"/>
    <w:rsid w:val="008F6B68"/>
    <w:rsid w:val="008F6D65"/>
    <w:rsid w:val="008F6E19"/>
    <w:rsid w:val="008F6F0F"/>
    <w:rsid w:val="008F6FC9"/>
    <w:rsid w:val="008F72B0"/>
    <w:rsid w:val="008F7429"/>
    <w:rsid w:val="008F77FD"/>
    <w:rsid w:val="008F77FE"/>
    <w:rsid w:val="008F782E"/>
    <w:rsid w:val="008F7969"/>
    <w:rsid w:val="008F79F7"/>
    <w:rsid w:val="008F7AA7"/>
    <w:rsid w:val="008F7B38"/>
    <w:rsid w:val="008F7C8A"/>
    <w:rsid w:val="008F7D28"/>
    <w:rsid w:val="008F7DFA"/>
    <w:rsid w:val="008F7EA5"/>
    <w:rsid w:val="008F7FD4"/>
    <w:rsid w:val="00900220"/>
    <w:rsid w:val="00900330"/>
    <w:rsid w:val="0090036A"/>
    <w:rsid w:val="009006D3"/>
    <w:rsid w:val="00900C30"/>
    <w:rsid w:val="00900E1E"/>
    <w:rsid w:val="00900E2E"/>
    <w:rsid w:val="00900F4E"/>
    <w:rsid w:val="00901078"/>
    <w:rsid w:val="00901149"/>
    <w:rsid w:val="00901242"/>
    <w:rsid w:val="0090132D"/>
    <w:rsid w:val="0090132F"/>
    <w:rsid w:val="0090138A"/>
    <w:rsid w:val="009018C4"/>
    <w:rsid w:val="00901C6D"/>
    <w:rsid w:val="0090283B"/>
    <w:rsid w:val="00902AB0"/>
    <w:rsid w:val="00902B5C"/>
    <w:rsid w:val="00902B87"/>
    <w:rsid w:val="00902E0E"/>
    <w:rsid w:val="00902EBE"/>
    <w:rsid w:val="00902EC7"/>
    <w:rsid w:val="0090331D"/>
    <w:rsid w:val="00903382"/>
    <w:rsid w:val="00903470"/>
    <w:rsid w:val="00903492"/>
    <w:rsid w:val="0090349F"/>
    <w:rsid w:val="00903784"/>
    <w:rsid w:val="009037F2"/>
    <w:rsid w:val="0090382C"/>
    <w:rsid w:val="00903AC3"/>
    <w:rsid w:val="00903B55"/>
    <w:rsid w:val="00903BE4"/>
    <w:rsid w:val="009047F8"/>
    <w:rsid w:val="00904AB0"/>
    <w:rsid w:val="00904B84"/>
    <w:rsid w:val="00904B9F"/>
    <w:rsid w:val="00904DF2"/>
    <w:rsid w:val="00904E1A"/>
    <w:rsid w:val="00905140"/>
    <w:rsid w:val="009051F7"/>
    <w:rsid w:val="00905236"/>
    <w:rsid w:val="0090534D"/>
    <w:rsid w:val="009053B8"/>
    <w:rsid w:val="009053DF"/>
    <w:rsid w:val="00905440"/>
    <w:rsid w:val="00905515"/>
    <w:rsid w:val="0090568C"/>
    <w:rsid w:val="009056B0"/>
    <w:rsid w:val="00905755"/>
    <w:rsid w:val="00905A4C"/>
    <w:rsid w:val="00905AFB"/>
    <w:rsid w:val="00905C86"/>
    <w:rsid w:val="00905C97"/>
    <w:rsid w:val="0090611F"/>
    <w:rsid w:val="00906341"/>
    <w:rsid w:val="00906735"/>
    <w:rsid w:val="009068F1"/>
    <w:rsid w:val="009068F3"/>
    <w:rsid w:val="00906C42"/>
    <w:rsid w:val="00906CBD"/>
    <w:rsid w:val="00906F42"/>
    <w:rsid w:val="00907158"/>
    <w:rsid w:val="00907193"/>
    <w:rsid w:val="009075DC"/>
    <w:rsid w:val="0090760F"/>
    <w:rsid w:val="00907676"/>
    <w:rsid w:val="0090768F"/>
    <w:rsid w:val="00907A39"/>
    <w:rsid w:val="00907CD1"/>
    <w:rsid w:val="00907E55"/>
    <w:rsid w:val="00907EA7"/>
    <w:rsid w:val="0091002C"/>
    <w:rsid w:val="00910146"/>
    <w:rsid w:val="00910333"/>
    <w:rsid w:val="009104F8"/>
    <w:rsid w:val="009106B6"/>
    <w:rsid w:val="0091095D"/>
    <w:rsid w:val="00910963"/>
    <w:rsid w:val="0091099F"/>
    <w:rsid w:val="00910A62"/>
    <w:rsid w:val="00910AD0"/>
    <w:rsid w:val="00910B6A"/>
    <w:rsid w:val="00910EC1"/>
    <w:rsid w:val="00911341"/>
    <w:rsid w:val="009114ED"/>
    <w:rsid w:val="00911574"/>
    <w:rsid w:val="009116B1"/>
    <w:rsid w:val="00911716"/>
    <w:rsid w:val="00911A7E"/>
    <w:rsid w:val="00911E74"/>
    <w:rsid w:val="00912061"/>
    <w:rsid w:val="009120AF"/>
    <w:rsid w:val="009120FC"/>
    <w:rsid w:val="009125C2"/>
    <w:rsid w:val="0091267B"/>
    <w:rsid w:val="00912C83"/>
    <w:rsid w:val="00912E19"/>
    <w:rsid w:val="00912E21"/>
    <w:rsid w:val="00913221"/>
    <w:rsid w:val="009135B1"/>
    <w:rsid w:val="009139D2"/>
    <w:rsid w:val="00913A0F"/>
    <w:rsid w:val="00913ACF"/>
    <w:rsid w:val="00913B95"/>
    <w:rsid w:val="00913D4D"/>
    <w:rsid w:val="00913E44"/>
    <w:rsid w:val="00913E6F"/>
    <w:rsid w:val="00914041"/>
    <w:rsid w:val="00914198"/>
    <w:rsid w:val="009141DD"/>
    <w:rsid w:val="009141F6"/>
    <w:rsid w:val="009142B6"/>
    <w:rsid w:val="009142BA"/>
    <w:rsid w:val="0091447E"/>
    <w:rsid w:val="00914787"/>
    <w:rsid w:val="00914A2B"/>
    <w:rsid w:val="00914AD9"/>
    <w:rsid w:val="00914EE2"/>
    <w:rsid w:val="00915023"/>
    <w:rsid w:val="009153AA"/>
    <w:rsid w:val="009153CE"/>
    <w:rsid w:val="009153E3"/>
    <w:rsid w:val="00915635"/>
    <w:rsid w:val="00915638"/>
    <w:rsid w:val="0091585F"/>
    <w:rsid w:val="009158C0"/>
    <w:rsid w:val="00915A27"/>
    <w:rsid w:val="00915B26"/>
    <w:rsid w:val="00915DE8"/>
    <w:rsid w:val="00915F4D"/>
    <w:rsid w:val="009164CA"/>
    <w:rsid w:val="00916537"/>
    <w:rsid w:val="00916823"/>
    <w:rsid w:val="00916832"/>
    <w:rsid w:val="0091696C"/>
    <w:rsid w:val="00916D3C"/>
    <w:rsid w:val="00917043"/>
    <w:rsid w:val="00917100"/>
    <w:rsid w:val="0091762F"/>
    <w:rsid w:val="00917636"/>
    <w:rsid w:val="0091769D"/>
    <w:rsid w:val="00917972"/>
    <w:rsid w:val="00917CBA"/>
    <w:rsid w:val="00917F7D"/>
    <w:rsid w:val="00917FCF"/>
    <w:rsid w:val="0092029D"/>
    <w:rsid w:val="0092041D"/>
    <w:rsid w:val="00920453"/>
    <w:rsid w:val="00920535"/>
    <w:rsid w:val="00920AD6"/>
    <w:rsid w:val="00920E38"/>
    <w:rsid w:val="00920F35"/>
    <w:rsid w:val="00921252"/>
    <w:rsid w:val="00921318"/>
    <w:rsid w:val="00921524"/>
    <w:rsid w:val="009215AB"/>
    <w:rsid w:val="0092181F"/>
    <w:rsid w:val="00921A56"/>
    <w:rsid w:val="00921AAB"/>
    <w:rsid w:val="00921B15"/>
    <w:rsid w:val="00921B77"/>
    <w:rsid w:val="00921B87"/>
    <w:rsid w:val="00921C4A"/>
    <w:rsid w:val="00921CFA"/>
    <w:rsid w:val="00921FA6"/>
    <w:rsid w:val="0092234D"/>
    <w:rsid w:val="009223A9"/>
    <w:rsid w:val="0092240E"/>
    <w:rsid w:val="0092247B"/>
    <w:rsid w:val="0092269F"/>
    <w:rsid w:val="009226E6"/>
    <w:rsid w:val="009227FC"/>
    <w:rsid w:val="0092280A"/>
    <w:rsid w:val="00922ED7"/>
    <w:rsid w:val="009230CA"/>
    <w:rsid w:val="00923105"/>
    <w:rsid w:val="00923213"/>
    <w:rsid w:val="00923433"/>
    <w:rsid w:val="009236A2"/>
    <w:rsid w:val="00923C0D"/>
    <w:rsid w:val="00923C3C"/>
    <w:rsid w:val="00923F32"/>
    <w:rsid w:val="00923F7B"/>
    <w:rsid w:val="0092419B"/>
    <w:rsid w:val="00924577"/>
    <w:rsid w:val="0092492A"/>
    <w:rsid w:val="00924A74"/>
    <w:rsid w:val="00924ABA"/>
    <w:rsid w:val="00924BFD"/>
    <w:rsid w:val="00924C14"/>
    <w:rsid w:val="00924D43"/>
    <w:rsid w:val="00924D99"/>
    <w:rsid w:val="00924F75"/>
    <w:rsid w:val="00924FBA"/>
    <w:rsid w:val="00925023"/>
    <w:rsid w:val="00925131"/>
    <w:rsid w:val="0092528A"/>
    <w:rsid w:val="00925341"/>
    <w:rsid w:val="0092534E"/>
    <w:rsid w:val="0092558C"/>
    <w:rsid w:val="0092587D"/>
    <w:rsid w:val="00925A15"/>
    <w:rsid w:val="00925A38"/>
    <w:rsid w:val="00925B2C"/>
    <w:rsid w:val="00925D3B"/>
    <w:rsid w:val="00925DFA"/>
    <w:rsid w:val="00925E52"/>
    <w:rsid w:val="00925F34"/>
    <w:rsid w:val="00926012"/>
    <w:rsid w:val="00926468"/>
    <w:rsid w:val="00926504"/>
    <w:rsid w:val="009265F4"/>
    <w:rsid w:val="0092676A"/>
    <w:rsid w:val="00926FCA"/>
    <w:rsid w:val="0092790F"/>
    <w:rsid w:val="009279F2"/>
    <w:rsid w:val="00927A88"/>
    <w:rsid w:val="00927AE0"/>
    <w:rsid w:val="00927EC6"/>
    <w:rsid w:val="00927F6C"/>
    <w:rsid w:val="00930192"/>
    <w:rsid w:val="00930340"/>
    <w:rsid w:val="009303F3"/>
    <w:rsid w:val="0093045F"/>
    <w:rsid w:val="00930476"/>
    <w:rsid w:val="0093052F"/>
    <w:rsid w:val="009307C7"/>
    <w:rsid w:val="009307E1"/>
    <w:rsid w:val="009308C5"/>
    <w:rsid w:val="009308F5"/>
    <w:rsid w:val="00930A67"/>
    <w:rsid w:val="00930D8A"/>
    <w:rsid w:val="00930DE2"/>
    <w:rsid w:val="00930EEF"/>
    <w:rsid w:val="0093110F"/>
    <w:rsid w:val="00931146"/>
    <w:rsid w:val="009311BC"/>
    <w:rsid w:val="00931480"/>
    <w:rsid w:val="00931688"/>
    <w:rsid w:val="009317AE"/>
    <w:rsid w:val="009318D0"/>
    <w:rsid w:val="00931A3B"/>
    <w:rsid w:val="00931A43"/>
    <w:rsid w:val="00931A7F"/>
    <w:rsid w:val="00931CE6"/>
    <w:rsid w:val="00931D0D"/>
    <w:rsid w:val="00931F81"/>
    <w:rsid w:val="009320DD"/>
    <w:rsid w:val="0093220F"/>
    <w:rsid w:val="00932352"/>
    <w:rsid w:val="009323D5"/>
    <w:rsid w:val="00932923"/>
    <w:rsid w:val="009329EB"/>
    <w:rsid w:val="00932A2D"/>
    <w:rsid w:val="00932CB2"/>
    <w:rsid w:val="00932F07"/>
    <w:rsid w:val="0093301F"/>
    <w:rsid w:val="00933067"/>
    <w:rsid w:val="009332FA"/>
    <w:rsid w:val="00933470"/>
    <w:rsid w:val="00933571"/>
    <w:rsid w:val="009335EC"/>
    <w:rsid w:val="00933809"/>
    <w:rsid w:val="00933822"/>
    <w:rsid w:val="009338A1"/>
    <w:rsid w:val="009339E0"/>
    <w:rsid w:val="00933B16"/>
    <w:rsid w:val="00933DDD"/>
    <w:rsid w:val="00933F32"/>
    <w:rsid w:val="00934088"/>
    <w:rsid w:val="00934216"/>
    <w:rsid w:val="009342A9"/>
    <w:rsid w:val="009343AF"/>
    <w:rsid w:val="00934480"/>
    <w:rsid w:val="009349C7"/>
    <w:rsid w:val="00934A75"/>
    <w:rsid w:val="00934A8C"/>
    <w:rsid w:val="00934EAE"/>
    <w:rsid w:val="00934EB7"/>
    <w:rsid w:val="00935009"/>
    <w:rsid w:val="00935023"/>
    <w:rsid w:val="009352FD"/>
    <w:rsid w:val="009355F4"/>
    <w:rsid w:val="00935CDB"/>
    <w:rsid w:val="00935E68"/>
    <w:rsid w:val="00935E7A"/>
    <w:rsid w:val="00936047"/>
    <w:rsid w:val="009360C1"/>
    <w:rsid w:val="009369BF"/>
    <w:rsid w:val="00936A11"/>
    <w:rsid w:val="00936B56"/>
    <w:rsid w:val="00936E90"/>
    <w:rsid w:val="00936EB5"/>
    <w:rsid w:val="009370A6"/>
    <w:rsid w:val="00937118"/>
    <w:rsid w:val="009371F7"/>
    <w:rsid w:val="00937299"/>
    <w:rsid w:val="00937745"/>
    <w:rsid w:val="00937B61"/>
    <w:rsid w:val="00937C42"/>
    <w:rsid w:val="00937C71"/>
    <w:rsid w:val="00937D62"/>
    <w:rsid w:val="00937DA6"/>
    <w:rsid w:val="00937DF5"/>
    <w:rsid w:val="0094019D"/>
    <w:rsid w:val="00940225"/>
    <w:rsid w:val="00940349"/>
    <w:rsid w:val="00940409"/>
    <w:rsid w:val="009409EA"/>
    <w:rsid w:val="00940A71"/>
    <w:rsid w:val="00940ACC"/>
    <w:rsid w:val="00940BC7"/>
    <w:rsid w:val="00940BD3"/>
    <w:rsid w:val="009410D9"/>
    <w:rsid w:val="0094135D"/>
    <w:rsid w:val="009414A5"/>
    <w:rsid w:val="009414CE"/>
    <w:rsid w:val="0094189A"/>
    <w:rsid w:val="009419CE"/>
    <w:rsid w:val="009419EE"/>
    <w:rsid w:val="00941E77"/>
    <w:rsid w:val="00942295"/>
    <w:rsid w:val="00942380"/>
    <w:rsid w:val="00942838"/>
    <w:rsid w:val="00942A98"/>
    <w:rsid w:val="00942CC2"/>
    <w:rsid w:val="00942D4B"/>
    <w:rsid w:val="00942DAB"/>
    <w:rsid w:val="00942DAC"/>
    <w:rsid w:val="00942DDF"/>
    <w:rsid w:val="00942E1B"/>
    <w:rsid w:val="0094300B"/>
    <w:rsid w:val="0094335B"/>
    <w:rsid w:val="009438FC"/>
    <w:rsid w:val="00943992"/>
    <w:rsid w:val="00943D61"/>
    <w:rsid w:val="00943D93"/>
    <w:rsid w:val="00943E4E"/>
    <w:rsid w:val="00943F66"/>
    <w:rsid w:val="00943FA7"/>
    <w:rsid w:val="009440C9"/>
    <w:rsid w:val="009443AA"/>
    <w:rsid w:val="0094454A"/>
    <w:rsid w:val="00944550"/>
    <w:rsid w:val="009447F1"/>
    <w:rsid w:val="0094488D"/>
    <w:rsid w:val="00944899"/>
    <w:rsid w:val="00944A32"/>
    <w:rsid w:val="00944B6D"/>
    <w:rsid w:val="0094510C"/>
    <w:rsid w:val="009452D9"/>
    <w:rsid w:val="0094544A"/>
    <w:rsid w:val="00945469"/>
    <w:rsid w:val="00945633"/>
    <w:rsid w:val="009456E3"/>
    <w:rsid w:val="00945817"/>
    <w:rsid w:val="0094599A"/>
    <w:rsid w:val="009459B6"/>
    <w:rsid w:val="00945E3D"/>
    <w:rsid w:val="00945F2C"/>
    <w:rsid w:val="00945F84"/>
    <w:rsid w:val="00946024"/>
    <w:rsid w:val="009460A9"/>
    <w:rsid w:val="009460F8"/>
    <w:rsid w:val="0094630A"/>
    <w:rsid w:val="00946521"/>
    <w:rsid w:val="009465DB"/>
    <w:rsid w:val="00946698"/>
    <w:rsid w:val="00946E5E"/>
    <w:rsid w:val="00946FD2"/>
    <w:rsid w:val="009474C4"/>
    <w:rsid w:val="00947917"/>
    <w:rsid w:val="00947AD2"/>
    <w:rsid w:val="00947B84"/>
    <w:rsid w:val="00947C43"/>
    <w:rsid w:val="00947D33"/>
    <w:rsid w:val="00947D4C"/>
    <w:rsid w:val="00947EEF"/>
    <w:rsid w:val="0095053B"/>
    <w:rsid w:val="009505C5"/>
    <w:rsid w:val="00950672"/>
    <w:rsid w:val="00950994"/>
    <w:rsid w:val="00950CF3"/>
    <w:rsid w:val="00951019"/>
    <w:rsid w:val="00951169"/>
    <w:rsid w:val="0095133E"/>
    <w:rsid w:val="0095135B"/>
    <w:rsid w:val="00951375"/>
    <w:rsid w:val="00951D95"/>
    <w:rsid w:val="00951E09"/>
    <w:rsid w:val="00951F01"/>
    <w:rsid w:val="00951FD0"/>
    <w:rsid w:val="00952024"/>
    <w:rsid w:val="00952925"/>
    <w:rsid w:val="009529FD"/>
    <w:rsid w:val="00952A49"/>
    <w:rsid w:val="00952CA6"/>
    <w:rsid w:val="00952F84"/>
    <w:rsid w:val="00953027"/>
    <w:rsid w:val="009530CB"/>
    <w:rsid w:val="009531DD"/>
    <w:rsid w:val="009531FF"/>
    <w:rsid w:val="00953325"/>
    <w:rsid w:val="009535AD"/>
    <w:rsid w:val="00953766"/>
    <w:rsid w:val="009537D8"/>
    <w:rsid w:val="00953C16"/>
    <w:rsid w:val="00953C80"/>
    <w:rsid w:val="00953CC3"/>
    <w:rsid w:val="00953D2C"/>
    <w:rsid w:val="00953DF9"/>
    <w:rsid w:val="00953E9D"/>
    <w:rsid w:val="00953EA1"/>
    <w:rsid w:val="00953FBF"/>
    <w:rsid w:val="00953FDF"/>
    <w:rsid w:val="0095419A"/>
    <w:rsid w:val="009542AF"/>
    <w:rsid w:val="0095474B"/>
    <w:rsid w:val="00954898"/>
    <w:rsid w:val="00954956"/>
    <w:rsid w:val="00954A03"/>
    <w:rsid w:val="00954A08"/>
    <w:rsid w:val="00954C05"/>
    <w:rsid w:val="00954E46"/>
    <w:rsid w:val="00954F0E"/>
    <w:rsid w:val="00954FB6"/>
    <w:rsid w:val="00954FFC"/>
    <w:rsid w:val="0095501F"/>
    <w:rsid w:val="00955476"/>
    <w:rsid w:val="009554F8"/>
    <w:rsid w:val="00955520"/>
    <w:rsid w:val="00955607"/>
    <w:rsid w:val="009559C0"/>
    <w:rsid w:val="00955C7C"/>
    <w:rsid w:val="00955C84"/>
    <w:rsid w:val="00955DF2"/>
    <w:rsid w:val="00955E18"/>
    <w:rsid w:val="0095600C"/>
    <w:rsid w:val="009560F7"/>
    <w:rsid w:val="00956382"/>
    <w:rsid w:val="0095652A"/>
    <w:rsid w:val="009565F1"/>
    <w:rsid w:val="0095664B"/>
    <w:rsid w:val="00956653"/>
    <w:rsid w:val="00956774"/>
    <w:rsid w:val="00956A75"/>
    <w:rsid w:val="00956C09"/>
    <w:rsid w:val="00956DA9"/>
    <w:rsid w:val="00956ED7"/>
    <w:rsid w:val="009570DC"/>
    <w:rsid w:val="00957163"/>
    <w:rsid w:val="009572C3"/>
    <w:rsid w:val="00957345"/>
    <w:rsid w:val="009574B8"/>
    <w:rsid w:val="009574F0"/>
    <w:rsid w:val="009575BD"/>
    <w:rsid w:val="00957683"/>
    <w:rsid w:val="009577DF"/>
    <w:rsid w:val="0095783C"/>
    <w:rsid w:val="0095793D"/>
    <w:rsid w:val="00957B4D"/>
    <w:rsid w:val="00957D76"/>
    <w:rsid w:val="00957E66"/>
    <w:rsid w:val="00960002"/>
    <w:rsid w:val="009600BD"/>
    <w:rsid w:val="00960255"/>
    <w:rsid w:val="009606F1"/>
    <w:rsid w:val="00960748"/>
    <w:rsid w:val="00960908"/>
    <w:rsid w:val="0096114D"/>
    <w:rsid w:val="009611D7"/>
    <w:rsid w:val="0096138B"/>
    <w:rsid w:val="009613BA"/>
    <w:rsid w:val="009613FB"/>
    <w:rsid w:val="0096152D"/>
    <w:rsid w:val="0096157C"/>
    <w:rsid w:val="00961664"/>
    <w:rsid w:val="00961681"/>
    <w:rsid w:val="009616B8"/>
    <w:rsid w:val="0096178A"/>
    <w:rsid w:val="00961A1E"/>
    <w:rsid w:val="00961A25"/>
    <w:rsid w:val="00961BBF"/>
    <w:rsid w:val="00961C2A"/>
    <w:rsid w:val="00961E01"/>
    <w:rsid w:val="0096204A"/>
    <w:rsid w:val="00962348"/>
    <w:rsid w:val="0096258C"/>
    <w:rsid w:val="009625D8"/>
    <w:rsid w:val="009626AC"/>
    <w:rsid w:val="00962A7F"/>
    <w:rsid w:val="00962B35"/>
    <w:rsid w:val="00962BC8"/>
    <w:rsid w:val="00962EA8"/>
    <w:rsid w:val="00962F48"/>
    <w:rsid w:val="00963360"/>
    <w:rsid w:val="009634DE"/>
    <w:rsid w:val="009634E7"/>
    <w:rsid w:val="009636E3"/>
    <w:rsid w:val="009637EB"/>
    <w:rsid w:val="0096393B"/>
    <w:rsid w:val="00963999"/>
    <w:rsid w:val="009639DE"/>
    <w:rsid w:val="00963B85"/>
    <w:rsid w:val="00963E26"/>
    <w:rsid w:val="00963F2C"/>
    <w:rsid w:val="00964059"/>
    <w:rsid w:val="0096408E"/>
    <w:rsid w:val="009640BA"/>
    <w:rsid w:val="0096428A"/>
    <w:rsid w:val="0096429C"/>
    <w:rsid w:val="009644FA"/>
    <w:rsid w:val="009646C7"/>
    <w:rsid w:val="00964727"/>
    <w:rsid w:val="009647A9"/>
    <w:rsid w:val="00964873"/>
    <w:rsid w:val="00964985"/>
    <w:rsid w:val="00964FE0"/>
    <w:rsid w:val="009651C1"/>
    <w:rsid w:val="009651FB"/>
    <w:rsid w:val="009652B6"/>
    <w:rsid w:val="00965589"/>
    <w:rsid w:val="0096571D"/>
    <w:rsid w:val="009657E4"/>
    <w:rsid w:val="0096588A"/>
    <w:rsid w:val="0096597C"/>
    <w:rsid w:val="009659B0"/>
    <w:rsid w:val="00965A77"/>
    <w:rsid w:val="00965BBC"/>
    <w:rsid w:val="00965E55"/>
    <w:rsid w:val="00966273"/>
    <w:rsid w:val="009662A5"/>
    <w:rsid w:val="009663DC"/>
    <w:rsid w:val="009665DA"/>
    <w:rsid w:val="009666E5"/>
    <w:rsid w:val="00966B38"/>
    <w:rsid w:val="00966E32"/>
    <w:rsid w:val="00967368"/>
    <w:rsid w:val="009673E4"/>
    <w:rsid w:val="0096788D"/>
    <w:rsid w:val="00967A04"/>
    <w:rsid w:val="00967B2F"/>
    <w:rsid w:val="00967BA9"/>
    <w:rsid w:val="00967C09"/>
    <w:rsid w:val="00967C0A"/>
    <w:rsid w:val="00967D1E"/>
    <w:rsid w:val="00967EE1"/>
    <w:rsid w:val="0097013B"/>
    <w:rsid w:val="009701E1"/>
    <w:rsid w:val="0097044A"/>
    <w:rsid w:val="009706DD"/>
    <w:rsid w:val="009707AE"/>
    <w:rsid w:val="00970ADA"/>
    <w:rsid w:val="00970D34"/>
    <w:rsid w:val="00970E5E"/>
    <w:rsid w:val="00971080"/>
    <w:rsid w:val="00971139"/>
    <w:rsid w:val="009712AF"/>
    <w:rsid w:val="00971318"/>
    <w:rsid w:val="00971839"/>
    <w:rsid w:val="00971D9E"/>
    <w:rsid w:val="00971DA7"/>
    <w:rsid w:val="00971E47"/>
    <w:rsid w:val="00971EFD"/>
    <w:rsid w:val="00972031"/>
    <w:rsid w:val="00972222"/>
    <w:rsid w:val="00972448"/>
    <w:rsid w:val="0097247B"/>
    <w:rsid w:val="009726C3"/>
    <w:rsid w:val="009726FF"/>
    <w:rsid w:val="00972829"/>
    <w:rsid w:val="0097285C"/>
    <w:rsid w:val="0097290C"/>
    <w:rsid w:val="00972910"/>
    <w:rsid w:val="0097294F"/>
    <w:rsid w:val="00972B17"/>
    <w:rsid w:val="00972CB9"/>
    <w:rsid w:val="00972E5F"/>
    <w:rsid w:val="00972F01"/>
    <w:rsid w:val="00972F0B"/>
    <w:rsid w:val="00973056"/>
    <w:rsid w:val="0097315C"/>
    <w:rsid w:val="0097332B"/>
    <w:rsid w:val="00973333"/>
    <w:rsid w:val="009733FF"/>
    <w:rsid w:val="009734D7"/>
    <w:rsid w:val="0097378E"/>
    <w:rsid w:val="00973C53"/>
    <w:rsid w:val="00973E6E"/>
    <w:rsid w:val="009740C3"/>
    <w:rsid w:val="00974378"/>
    <w:rsid w:val="00974465"/>
    <w:rsid w:val="0097472E"/>
    <w:rsid w:val="009747CA"/>
    <w:rsid w:val="00974B2D"/>
    <w:rsid w:val="00974C41"/>
    <w:rsid w:val="00974D41"/>
    <w:rsid w:val="00974EA3"/>
    <w:rsid w:val="009750C5"/>
    <w:rsid w:val="009751D3"/>
    <w:rsid w:val="009751DE"/>
    <w:rsid w:val="0097528C"/>
    <w:rsid w:val="009752D2"/>
    <w:rsid w:val="00975406"/>
    <w:rsid w:val="009754D4"/>
    <w:rsid w:val="00975840"/>
    <w:rsid w:val="00975897"/>
    <w:rsid w:val="00975A2F"/>
    <w:rsid w:val="00975AE5"/>
    <w:rsid w:val="00975B99"/>
    <w:rsid w:val="00975CC2"/>
    <w:rsid w:val="00975DB5"/>
    <w:rsid w:val="00975DC1"/>
    <w:rsid w:val="00975F1D"/>
    <w:rsid w:val="00975FE5"/>
    <w:rsid w:val="009760A0"/>
    <w:rsid w:val="009761D1"/>
    <w:rsid w:val="009762B9"/>
    <w:rsid w:val="00976491"/>
    <w:rsid w:val="009766B2"/>
    <w:rsid w:val="009766BF"/>
    <w:rsid w:val="0097671F"/>
    <w:rsid w:val="00976A85"/>
    <w:rsid w:val="00976C56"/>
    <w:rsid w:val="00976D8D"/>
    <w:rsid w:val="00976E24"/>
    <w:rsid w:val="00976E46"/>
    <w:rsid w:val="00976E8F"/>
    <w:rsid w:val="00976F81"/>
    <w:rsid w:val="00976FCA"/>
    <w:rsid w:val="00977276"/>
    <w:rsid w:val="00977A4A"/>
    <w:rsid w:val="00977A98"/>
    <w:rsid w:val="00977B61"/>
    <w:rsid w:val="00977D61"/>
    <w:rsid w:val="00977FD3"/>
    <w:rsid w:val="0097E5A4"/>
    <w:rsid w:val="00980035"/>
    <w:rsid w:val="00980048"/>
    <w:rsid w:val="009800E9"/>
    <w:rsid w:val="009801BA"/>
    <w:rsid w:val="00980629"/>
    <w:rsid w:val="0098075E"/>
    <w:rsid w:val="00980923"/>
    <w:rsid w:val="00980C49"/>
    <w:rsid w:val="00980C89"/>
    <w:rsid w:val="00980DBD"/>
    <w:rsid w:val="00980EF6"/>
    <w:rsid w:val="00980F39"/>
    <w:rsid w:val="00981070"/>
    <w:rsid w:val="00981148"/>
    <w:rsid w:val="00981234"/>
    <w:rsid w:val="0098137B"/>
    <w:rsid w:val="00981393"/>
    <w:rsid w:val="0098145C"/>
    <w:rsid w:val="009814E5"/>
    <w:rsid w:val="009815D5"/>
    <w:rsid w:val="00981AA8"/>
    <w:rsid w:val="00981B09"/>
    <w:rsid w:val="00981C1A"/>
    <w:rsid w:val="00981CB2"/>
    <w:rsid w:val="00982332"/>
    <w:rsid w:val="0098241A"/>
    <w:rsid w:val="009827F8"/>
    <w:rsid w:val="009828D8"/>
    <w:rsid w:val="00982939"/>
    <w:rsid w:val="00982956"/>
    <w:rsid w:val="00982D79"/>
    <w:rsid w:val="009830DD"/>
    <w:rsid w:val="00983228"/>
    <w:rsid w:val="00983456"/>
    <w:rsid w:val="00983536"/>
    <w:rsid w:val="009839AD"/>
    <w:rsid w:val="00983A06"/>
    <w:rsid w:val="00983A85"/>
    <w:rsid w:val="00983DD0"/>
    <w:rsid w:val="00983EAA"/>
    <w:rsid w:val="00983EEA"/>
    <w:rsid w:val="00984210"/>
    <w:rsid w:val="0098458E"/>
    <w:rsid w:val="009845DB"/>
    <w:rsid w:val="00984B14"/>
    <w:rsid w:val="00984B97"/>
    <w:rsid w:val="00984BF8"/>
    <w:rsid w:val="00984F6A"/>
    <w:rsid w:val="00984F87"/>
    <w:rsid w:val="009851CC"/>
    <w:rsid w:val="0098538D"/>
    <w:rsid w:val="0098591B"/>
    <w:rsid w:val="00985A97"/>
    <w:rsid w:val="00985B92"/>
    <w:rsid w:val="00985C5F"/>
    <w:rsid w:val="00985E0B"/>
    <w:rsid w:val="009861DF"/>
    <w:rsid w:val="00986282"/>
    <w:rsid w:val="009862EC"/>
    <w:rsid w:val="0098652E"/>
    <w:rsid w:val="009865C5"/>
    <w:rsid w:val="00986739"/>
    <w:rsid w:val="009868F0"/>
    <w:rsid w:val="00986A89"/>
    <w:rsid w:val="00986BC3"/>
    <w:rsid w:val="00986C57"/>
    <w:rsid w:val="00986DCD"/>
    <w:rsid w:val="00986E21"/>
    <w:rsid w:val="00986E67"/>
    <w:rsid w:val="00986F77"/>
    <w:rsid w:val="00987060"/>
    <w:rsid w:val="009872FE"/>
    <w:rsid w:val="00987473"/>
    <w:rsid w:val="009875E5"/>
    <w:rsid w:val="009877DA"/>
    <w:rsid w:val="00987B20"/>
    <w:rsid w:val="00987D54"/>
    <w:rsid w:val="00987F94"/>
    <w:rsid w:val="0099016F"/>
    <w:rsid w:val="009901A7"/>
    <w:rsid w:val="00990274"/>
    <w:rsid w:val="009902F9"/>
    <w:rsid w:val="009903B5"/>
    <w:rsid w:val="0099076B"/>
    <w:rsid w:val="0099089C"/>
    <w:rsid w:val="0099092B"/>
    <w:rsid w:val="009909AE"/>
    <w:rsid w:val="00990A1E"/>
    <w:rsid w:val="00990BDB"/>
    <w:rsid w:val="00991002"/>
    <w:rsid w:val="009912CC"/>
    <w:rsid w:val="009914AA"/>
    <w:rsid w:val="00991783"/>
    <w:rsid w:val="00991802"/>
    <w:rsid w:val="00991A9C"/>
    <w:rsid w:val="00991C0A"/>
    <w:rsid w:val="00991C7E"/>
    <w:rsid w:val="0099205D"/>
    <w:rsid w:val="009920D0"/>
    <w:rsid w:val="009921C5"/>
    <w:rsid w:val="0099244B"/>
    <w:rsid w:val="009924A3"/>
    <w:rsid w:val="009925E8"/>
    <w:rsid w:val="009926CC"/>
    <w:rsid w:val="00992B0F"/>
    <w:rsid w:val="00992C3D"/>
    <w:rsid w:val="00992D14"/>
    <w:rsid w:val="00993340"/>
    <w:rsid w:val="0099351E"/>
    <w:rsid w:val="00993675"/>
    <w:rsid w:val="00993765"/>
    <w:rsid w:val="009937FE"/>
    <w:rsid w:val="00993A43"/>
    <w:rsid w:val="00994264"/>
    <w:rsid w:val="009942D7"/>
    <w:rsid w:val="00994335"/>
    <w:rsid w:val="00994425"/>
    <w:rsid w:val="0099453B"/>
    <w:rsid w:val="0099470F"/>
    <w:rsid w:val="009948D3"/>
    <w:rsid w:val="00994B11"/>
    <w:rsid w:val="00994B50"/>
    <w:rsid w:val="00994C5F"/>
    <w:rsid w:val="00994C9A"/>
    <w:rsid w:val="00994D31"/>
    <w:rsid w:val="00994D6C"/>
    <w:rsid w:val="00994E79"/>
    <w:rsid w:val="00994F09"/>
    <w:rsid w:val="009951B4"/>
    <w:rsid w:val="00995240"/>
    <w:rsid w:val="0099526A"/>
    <w:rsid w:val="0099533D"/>
    <w:rsid w:val="00995379"/>
    <w:rsid w:val="009953BE"/>
    <w:rsid w:val="00995511"/>
    <w:rsid w:val="00995986"/>
    <w:rsid w:val="00995C35"/>
    <w:rsid w:val="00995C4E"/>
    <w:rsid w:val="00995D30"/>
    <w:rsid w:val="00995F6C"/>
    <w:rsid w:val="0099604B"/>
    <w:rsid w:val="00996097"/>
    <w:rsid w:val="00996190"/>
    <w:rsid w:val="0099656E"/>
    <w:rsid w:val="009965AC"/>
    <w:rsid w:val="00996799"/>
    <w:rsid w:val="00996930"/>
    <w:rsid w:val="00996CD0"/>
    <w:rsid w:val="00996E9C"/>
    <w:rsid w:val="00997311"/>
    <w:rsid w:val="009974D5"/>
    <w:rsid w:val="00997512"/>
    <w:rsid w:val="00997565"/>
    <w:rsid w:val="00997677"/>
    <w:rsid w:val="009976E5"/>
    <w:rsid w:val="00997729"/>
    <w:rsid w:val="00997A61"/>
    <w:rsid w:val="00997BA1"/>
    <w:rsid w:val="00997D0B"/>
    <w:rsid w:val="00997E5D"/>
    <w:rsid w:val="00997FA4"/>
    <w:rsid w:val="009A0053"/>
    <w:rsid w:val="009A00D3"/>
    <w:rsid w:val="009A021D"/>
    <w:rsid w:val="009A0403"/>
    <w:rsid w:val="009A0482"/>
    <w:rsid w:val="009A05DB"/>
    <w:rsid w:val="009A0697"/>
    <w:rsid w:val="009A08B1"/>
    <w:rsid w:val="009A08E3"/>
    <w:rsid w:val="009A09CC"/>
    <w:rsid w:val="009A0A4E"/>
    <w:rsid w:val="009A0CAF"/>
    <w:rsid w:val="009A0D27"/>
    <w:rsid w:val="009A105F"/>
    <w:rsid w:val="009A10CC"/>
    <w:rsid w:val="009A112A"/>
    <w:rsid w:val="009A12B0"/>
    <w:rsid w:val="009A1396"/>
    <w:rsid w:val="009A1668"/>
    <w:rsid w:val="009A16A0"/>
    <w:rsid w:val="009A1803"/>
    <w:rsid w:val="009A1AF4"/>
    <w:rsid w:val="009A1D69"/>
    <w:rsid w:val="009A1E48"/>
    <w:rsid w:val="009A1E98"/>
    <w:rsid w:val="009A1F69"/>
    <w:rsid w:val="009A2164"/>
    <w:rsid w:val="009A21D3"/>
    <w:rsid w:val="009A2244"/>
    <w:rsid w:val="009A239D"/>
    <w:rsid w:val="009A27D4"/>
    <w:rsid w:val="009A2862"/>
    <w:rsid w:val="009A2C49"/>
    <w:rsid w:val="009A2D07"/>
    <w:rsid w:val="009A2DDB"/>
    <w:rsid w:val="009A2DE9"/>
    <w:rsid w:val="009A30DD"/>
    <w:rsid w:val="009A315A"/>
    <w:rsid w:val="009A31D0"/>
    <w:rsid w:val="009A31E6"/>
    <w:rsid w:val="009A3500"/>
    <w:rsid w:val="009A350C"/>
    <w:rsid w:val="009A3972"/>
    <w:rsid w:val="009A3995"/>
    <w:rsid w:val="009A3BE2"/>
    <w:rsid w:val="009A3DD4"/>
    <w:rsid w:val="009A3E96"/>
    <w:rsid w:val="009A4016"/>
    <w:rsid w:val="009A417C"/>
    <w:rsid w:val="009A41B2"/>
    <w:rsid w:val="009A4215"/>
    <w:rsid w:val="009A42E0"/>
    <w:rsid w:val="009A433E"/>
    <w:rsid w:val="009A4341"/>
    <w:rsid w:val="009A4398"/>
    <w:rsid w:val="009A457E"/>
    <w:rsid w:val="009A46F9"/>
    <w:rsid w:val="009A4B8E"/>
    <w:rsid w:val="009A4BEA"/>
    <w:rsid w:val="009A4CEE"/>
    <w:rsid w:val="009A5148"/>
    <w:rsid w:val="009A53D5"/>
    <w:rsid w:val="009A5448"/>
    <w:rsid w:val="009A5779"/>
    <w:rsid w:val="009A58DA"/>
    <w:rsid w:val="009A5CA6"/>
    <w:rsid w:val="009A5D4A"/>
    <w:rsid w:val="009A5E0C"/>
    <w:rsid w:val="009A5E45"/>
    <w:rsid w:val="009A6186"/>
    <w:rsid w:val="009A6552"/>
    <w:rsid w:val="009A6595"/>
    <w:rsid w:val="009A66DC"/>
    <w:rsid w:val="009A66EE"/>
    <w:rsid w:val="009A6939"/>
    <w:rsid w:val="009A69DB"/>
    <w:rsid w:val="009A6A2B"/>
    <w:rsid w:val="009A6DA6"/>
    <w:rsid w:val="009A7302"/>
    <w:rsid w:val="009A748C"/>
    <w:rsid w:val="009A753E"/>
    <w:rsid w:val="009A7693"/>
    <w:rsid w:val="009A7896"/>
    <w:rsid w:val="009A7C50"/>
    <w:rsid w:val="009A7DAC"/>
    <w:rsid w:val="009A7DF8"/>
    <w:rsid w:val="009A7F77"/>
    <w:rsid w:val="009A7FBD"/>
    <w:rsid w:val="009A9341"/>
    <w:rsid w:val="009B0042"/>
    <w:rsid w:val="009B028D"/>
    <w:rsid w:val="009B02FE"/>
    <w:rsid w:val="009B0808"/>
    <w:rsid w:val="009B0D50"/>
    <w:rsid w:val="009B0E50"/>
    <w:rsid w:val="009B12C5"/>
    <w:rsid w:val="009B17DC"/>
    <w:rsid w:val="009B1CBF"/>
    <w:rsid w:val="009B1ED1"/>
    <w:rsid w:val="009B1F21"/>
    <w:rsid w:val="009B1F2B"/>
    <w:rsid w:val="009B1F9D"/>
    <w:rsid w:val="009B219E"/>
    <w:rsid w:val="009B21B4"/>
    <w:rsid w:val="009B21C9"/>
    <w:rsid w:val="009B2467"/>
    <w:rsid w:val="009B2760"/>
    <w:rsid w:val="009B288D"/>
    <w:rsid w:val="009B2A1E"/>
    <w:rsid w:val="009B2CD4"/>
    <w:rsid w:val="009B2CEA"/>
    <w:rsid w:val="009B2D43"/>
    <w:rsid w:val="009B312F"/>
    <w:rsid w:val="009B313E"/>
    <w:rsid w:val="009B3588"/>
    <w:rsid w:val="009B359F"/>
    <w:rsid w:val="009B36F8"/>
    <w:rsid w:val="009B3779"/>
    <w:rsid w:val="009B3FDE"/>
    <w:rsid w:val="009B409B"/>
    <w:rsid w:val="009B40E8"/>
    <w:rsid w:val="009B4859"/>
    <w:rsid w:val="009B486B"/>
    <w:rsid w:val="009B4A68"/>
    <w:rsid w:val="009B4A73"/>
    <w:rsid w:val="009B4B47"/>
    <w:rsid w:val="009B4DB8"/>
    <w:rsid w:val="009B4F45"/>
    <w:rsid w:val="009B50BE"/>
    <w:rsid w:val="009B5303"/>
    <w:rsid w:val="009B5345"/>
    <w:rsid w:val="009B54DD"/>
    <w:rsid w:val="009B586E"/>
    <w:rsid w:val="009B59F5"/>
    <w:rsid w:val="009B5D55"/>
    <w:rsid w:val="009B5DCA"/>
    <w:rsid w:val="009B5DF7"/>
    <w:rsid w:val="009B5E50"/>
    <w:rsid w:val="009B5EC8"/>
    <w:rsid w:val="009B5F2A"/>
    <w:rsid w:val="009B5F39"/>
    <w:rsid w:val="009B6238"/>
    <w:rsid w:val="009B652D"/>
    <w:rsid w:val="009B668C"/>
    <w:rsid w:val="009B6D8D"/>
    <w:rsid w:val="009B6F0E"/>
    <w:rsid w:val="009B724B"/>
    <w:rsid w:val="009B72B7"/>
    <w:rsid w:val="009B749C"/>
    <w:rsid w:val="009B75EB"/>
    <w:rsid w:val="009B7712"/>
    <w:rsid w:val="009B7798"/>
    <w:rsid w:val="009B77FD"/>
    <w:rsid w:val="009B791F"/>
    <w:rsid w:val="009B7AF6"/>
    <w:rsid w:val="009B7BD9"/>
    <w:rsid w:val="009B7C90"/>
    <w:rsid w:val="009B7CE6"/>
    <w:rsid w:val="009B7E2B"/>
    <w:rsid w:val="009B7F5D"/>
    <w:rsid w:val="009BD26C"/>
    <w:rsid w:val="009C0061"/>
    <w:rsid w:val="009C0137"/>
    <w:rsid w:val="009C015E"/>
    <w:rsid w:val="009C0400"/>
    <w:rsid w:val="009C05C0"/>
    <w:rsid w:val="009C05C5"/>
    <w:rsid w:val="009C064D"/>
    <w:rsid w:val="009C0766"/>
    <w:rsid w:val="009C07AF"/>
    <w:rsid w:val="009C08D1"/>
    <w:rsid w:val="009C0913"/>
    <w:rsid w:val="009C096A"/>
    <w:rsid w:val="009C0A84"/>
    <w:rsid w:val="009C0B68"/>
    <w:rsid w:val="009C0C54"/>
    <w:rsid w:val="009C0F98"/>
    <w:rsid w:val="009C1160"/>
    <w:rsid w:val="009C11DA"/>
    <w:rsid w:val="009C12A4"/>
    <w:rsid w:val="009C1372"/>
    <w:rsid w:val="009C14E2"/>
    <w:rsid w:val="009C161B"/>
    <w:rsid w:val="009C1677"/>
    <w:rsid w:val="009C169C"/>
    <w:rsid w:val="009C1730"/>
    <w:rsid w:val="009C178B"/>
    <w:rsid w:val="009C19A9"/>
    <w:rsid w:val="009C1DB7"/>
    <w:rsid w:val="009C1E5D"/>
    <w:rsid w:val="009C1EC8"/>
    <w:rsid w:val="009C1F1D"/>
    <w:rsid w:val="009C1F39"/>
    <w:rsid w:val="009C1F57"/>
    <w:rsid w:val="009C1FD9"/>
    <w:rsid w:val="009C21BE"/>
    <w:rsid w:val="009C271A"/>
    <w:rsid w:val="009C2916"/>
    <w:rsid w:val="009C2EDC"/>
    <w:rsid w:val="009C2F10"/>
    <w:rsid w:val="009C307F"/>
    <w:rsid w:val="009C30C9"/>
    <w:rsid w:val="009C3380"/>
    <w:rsid w:val="009C340C"/>
    <w:rsid w:val="009C3470"/>
    <w:rsid w:val="009C349A"/>
    <w:rsid w:val="009C354A"/>
    <w:rsid w:val="009C36AA"/>
    <w:rsid w:val="009C3786"/>
    <w:rsid w:val="009C383D"/>
    <w:rsid w:val="009C389C"/>
    <w:rsid w:val="009C38C0"/>
    <w:rsid w:val="009C3909"/>
    <w:rsid w:val="009C3935"/>
    <w:rsid w:val="009C3A1D"/>
    <w:rsid w:val="009C3AF0"/>
    <w:rsid w:val="009C3D7C"/>
    <w:rsid w:val="009C3E5B"/>
    <w:rsid w:val="009C4209"/>
    <w:rsid w:val="009C43AB"/>
    <w:rsid w:val="009C445D"/>
    <w:rsid w:val="009C4577"/>
    <w:rsid w:val="009C4770"/>
    <w:rsid w:val="009C4A40"/>
    <w:rsid w:val="009C4B78"/>
    <w:rsid w:val="009C4D06"/>
    <w:rsid w:val="009C4D8F"/>
    <w:rsid w:val="009C4E71"/>
    <w:rsid w:val="009C50C4"/>
    <w:rsid w:val="009C5219"/>
    <w:rsid w:val="009C53FB"/>
    <w:rsid w:val="009C5491"/>
    <w:rsid w:val="009C5542"/>
    <w:rsid w:val="009C5704"/>
    <w:rsid w:val="009C5721"/>
    <w:rsid w:val="009C59B7"/>
    <w:rsid w:val="009C5A18"/>
    <w:rsid w:val="009C5B79"/>
    <w:rsid w:val="009C5B8B"/>
    <w:rsid w:val="009C5D28"/>
    <w:rsid w:val="009C5F16"/>
    <w:rsid w:val="009C6007"/>
    <w:rsid w:val="009C6219"/>
    <w:rsid w:val="009C62AC"/>
    <w:rsid w:val="009C6885"/>
    <w:rsid w:val="009C6B17"/>
    <w:rsid w:val="009C6B73"/>
    <w:rsid w:val="009C6C2D"/>
    <w:rsid w:val="009C6CA5"/>
    <w:rsid w:val="009C6E9F"/>
    <w:rsid w:val="009C7003"/>
    <w:rsid w:val="009C7086"/>
    <w:rsid w:val="009C7326"/>
    <w:rsid w:val="009C7823"/>
    <w:rsid w:val="009C78D2"/>
    <w:rsid w:val="009C7900"/>
    <w:rsid w:val="009C7CC2"/>
    <w:rsid w:val="009D02A8"/>
    <w:rsid w:val="009D02F0"/>
    <w:rsid w:val="009D0430"/>
    <w:rsid w:val="009D07BE"/>
    <w:rsid w:val="009D0815"/>
    <w:rsid w:val="009D0A64"/>
    <w:rsid w:val="009D0A9F"/>
    <w:rsid w:val="009D0F1B"/>
    <w:rsid w:val="009D0F22"/>
    <w:rsid w:val="009D10C9"/>
    <w:rsid w:val="009D10F8"/>
    <w:rsid w:val="009D1162"/>
    <w:rsid w:val="009D116D"/>
    <w:rsid w:val="009D122C"/>
    <w:rsid w:val="009D1318"/>
    <w:rsid w:val="009D15E9"/>
    <w:rsid w:val="009D15F3"/>
    <w:rsid w:val="009D17D5"/>
    <w:rsid w:val="009D1861"/>
    <w:rsid w:val="009D1AE3"/>
    <w:rsid w:val="009D1B9C"/>
    <w:rsid w:val="009D1BC8"/>
    <w:rsid w:val="009D1D04"/>
    <w:rsid w:val="009D1EC1"/>
    <w:rsid w:val="009D1F87"/>
    <w:rsid w:val="009D1F95"/>
    <w:rsid w:val="009D2032"/>
    <w:rsid w:val="009D213D"/>
    <w:rsid w:val="009D2190"/>
    <w:rsid w:val="009D21C2"/>
    <w:rsid w:val="009D22E5"/>
    <w:rsid w:val="009D2712"/>
    <w:rsid w:val="009D27B2"/>
    <w:rsid w:val="009D289F"/>
    <w:rsid w:val="009D2981"/>
    <w:rsid w:val="009D2AB7"/>
    <w:rsid w:val="009D2B42"/>
    <w:rsid w:val="009D2D1C"/>
    <w:rsid w:val="009D2DB5"/>
    <w:rsid w:val="009D2DD2"/>
    <w:rsid w:val="009D2EDC"/>
    <w:rsid w:val="009D3007"/>
    <w:rsid w:val="009D32D8"/>
    <w:rsid w:val="009D335D"/>
    <w:rsid w:val="009D339F"/>
    <w:rsid w:val="009D3502"/>
    <w:rsid w:val="009D3723"/>
    <w:rsid w:val="009D3A17"/>
    <w:rsid w:val="009D3A30"/>
    <w:rsid w:val="009D3CDF"/>
    <w:rsid w:val="009D3D63"/>
    <w:rsid w:val="009D4425"/>
    <w:rsid w:val="009D44E6"/>
    <w:rsid w:val="009D44EB"/>
    <w:rsid w:val="009D45A1"/>
    <w:rsid w:val="009D4A4F"/>
    <w:rsid w:val="009D4A50"/>
    <w:rsid w:val="009D4A97"/>
    <w:rsid w:val="009D4ACA"/>
    <w:rsid w:val="009D4AEF"/>
    <w:rsid w:val="009D4BC9"/>
    <w:rsid w:val="009D4D28"/>
    <w:rsid w:val="009D4F86"/>
    <w:rsid w:val="009D5137"/>
    <w:rsid w:val="009D5293"/>
    <w:rsid w:val="009D554E"/>
    <w:rsid w:val="009D5582"/>
    <w:rsid w:val="009D568A"/>
    <w:rsid w:val="009D5728"/>
    <w:rsid w:val="009D59D2"/>
    <w:rsid w:val="009D5B8E"/>
    <w:rsid w:val="009D5E02"/>
    <w:rsid w:val="009D5F1F"/>
    <w:rsid w:val="009D6156"/>
    <w:rsid w:val="009D6261"/>
    <w:rsid w:val="009D667D"/>
    <w:rsid w:val="009D67C8"/>
    <w:rsid w:val="009D6AED"/>
    <w:rsid w:val="009D6E34"/>
    <w:rsid w:val="009D6FC7"/>
    <w:rsid w:val="009D7366"/>
    <w:rsid w:val="009D7660"/>
    <w:rsid w:val="009D77F5"/>
    <w:rsid w:val="009D7848"/>
    <w:rsid w:val="009D788E"/>
    <w:rsid w:val="009D7895"/>
    <w:rsid w:val="009D79B8"/>
    <w:rsid w:val="009D7A3F"/>
    <w:rsid w:val="009D7F22"/>
    <w:rsid w:val="009DAEB0"/>
    <w:rsid w:val="009E01E0"/>
    <w:rsid w:val="009E046F"/>
    <w:rsid w:val="009E049F"/>
    <w:rsid w:val="009E05C5"/>
    <w:rsid w:val="009E083C"/>
    <w:rsid w:val="009E0BEF"/>
    <w:rsid w:val="009E0C9C"/>
    <w:rsid w:val="009E10F4"/>
    <w:rsid w:val="009E1142"/>
    <w:rsid w:val="009E1232"/>
    <w:rsid w:val="009E129E"/>
    <w:rsid w:val="009E13D6"/>
    <w:rsid w:val="009E14A3"/>
    <w:rsid w:val="009E1548"/>
    <w:rsid w:val="009E163A"/>
    <w:rsid w:val="009E1D53"/>
    <w:rsid w:val="009E215A"/>
    <w:rsid w:val="009E22B2"/>
    <w:rsid w:val="009E276F"/>
    <w:rsid w:val="009E27EC"/>
    <w:rsid w:val="009E28E7"/>
    <w:rsid w:val="009E29DC"/>
    <w:rsid w:val="009E2B4B"/>
    <w:rsid w:val="009E2C93"/>
    <w:rsid w:val="009E3046"/>
    <w:rsid w:val="009E3068"/>
    <w:rsid w:val="009E32DA"/>
    <w:rsid w:val="009E32FD"/>
    <w:rsid w:val="009E349F"/>
    <w:rsid w:val="009E34D6"/>
    <w:rsid w:val="009E356A"/>
    <w:rsid w:val="009E35B1"/>
    <w:rsid w:val="009E35BA"/>
    <w:rsid w:val="009E35D3"/>
    <w:rsid w:val="009E369C"/>
    <w:rsid w:val="009E3724"/>
    <w:rsid w:val="009E3AE2"/>
    <w:rsid w:val="009E3DB2"/>
    <w:rsid w:val="009E3E82"/>
    <w:rsid w:val="009E41E5"/>
    <w:rsid w:val="009E42EA"/>
    <w:rsid w:val="009E44B9"/>
    <w:rsid w:val="009E462F"/>
    <w:rsid w:val="009E46E0"/>
    <w:rsid w:val="009E477B"/>
    <w:rsid w:val="009E4BE6"/>
    <w:rsid w:val="009E4CCB"/>
    <w:rsid w:val="009E4D95"/>
    <w:rsid w:val="009E4E01"/>
    <w:rsid w:val="009E4E43"/>
    <w:rsid w:val="009E4FBC"/>
    <w:rsid w:val="009E50BD"/>
    <w:rsid w:val="009E511C"/>
    <w:rsid w:val="009E544B"/>
    <w:rsid w:val="009E57D7"/>
    <w:rsid w:val="009E5DB0"/>
    <w:rsid w:val="009E5E8A"/>
    <w:rsid w:val="009E60A3"/>
    <w:rsid w:val="009E60F4"/>
    <w:rsid w:val="009E6172"/>
    <w:rsid w:val="009E61F4"/>
    <w:rsid w:val="009E623F"/>
    <w:rsid w:val="009E650A"/>
    <w:rsid w:val="009E6843"/>
    <w:rsid w:val="009E68A1"/>
    <w:rsid w:val="009E6DAC"/>
    <w:rsid w:val="009E6FAE"/>
    <w:rsid w:val="009E6FB0"/>
    <w:rsid w:val="009E6FE6"/>
    <w:rsid w:val="009E71CE"/>
    <w:rsid w:val="009E71FA"/>
    <w:rsid w:val="009E73A6"/>
    <w:rsid w:val="009E765D"/>
    <w:rsid w:val="009E777B"/>
    <w:rsid w:val="009E78F9"/>
    <w:rsid w:val="009E7AA7"/>
    <w:rsid w:val="009E7CD2"/>
    <w:rsid w:val="009E7FC5"/>
    <w:rsid w:val="009F0063"/>
    <w:rsid w:val="009F00D2"/>
    <w:rsid w:val="009F02AD"/>
    <w:rsid w:val="009F02E3"/>
    <w:rsid w:val="009F031F"/>
    <w:rsid w:val="009F0322"/>
    <w:rsid w:val="009F054F"/>
    <w:rsid w:val="009F05E0"/>
    <w:rsid w:val="009F086D"/>
    <w:rsid w:val="009F0D4D"/>
    <w:rsid w:val="009F123C"/>
    <w:rsid w:val="009F1274"/>
    <w:rsid w:val="009F133D"/>
    <w:rsid w:val="009F1364"/>
    <w:rsid w:val="009F143F"/>
    <w:rsid w:val="009F146D"/>
    <w:rsid w:val="009F14BF"/>
    <w:rsid w:val="009F157F"/>
    <w:rsid w:val="009F15B1"/>
    <w:rsid w:val="009F169B"/>
    <w:rsid w:val="009F195D"/>
    <w:rsid w:val="009F1A63"/>
    <w:rsid w:val="009F1C4E"/>
    <w:rsid w:val="009F1CFD"/>
    <w:rsid w:val="009F2356"/>
    <w:rsid w:val="009F2554"/>
    <w:rsid w:val="009F25CC"/>
    <w:rsid w:val="009F2903"/>
    <w:rsid w:val="009F295F"/>
    <w:rsid w:val="009F29BE"/>
    <w:rsid w:val="009F29EB"/>
    <w:rsid w:val="009F2B5C"/>
    <w:rsid w:val="009F2D23"/>
    <w:rsid w:val="009F3114"/>
    <w:rsid w:val="009F332C"/>
    <w:rsid w:val="009F34C4"/>
    <w:rsid w:val="009F358F"/>
    <w:rsid w:val="009F35D4"/>
    <w:rsid w:val="009F35DB"/>
    <w:rsid w:val="009F3723"/>
    <w:rsid w:val="009F3826"/>
    <w:rsid w:val="009F3A55"/>
    <w:rsid w:val="009F3AA2"/>
    <w:rsid w:val="009F3B48"/>
    <w:rsid w:val="009F3BDE"/>
    <w:rsid w:val="009F3F50"/>
    <w:rsid w:val="009F3F87"/>
    <w:rsid w:val="009F404F"/>
    <w:rsid w:val="009F40AE"/>
    <w:rsid w:val="009F40BE"/>
    <w:rsid w:val="009F4133"/>
    <w:rsid w:val="009F42CD"/>
    <w:rsid w:val="009F44BD"/>
    <w:rsid w:val="009F4676"/>
    <w:rsid w:val="009F47B6"/>
    <w:rsid w:val="009F485C"/>
    <w:rsid w:val="009F4DF7"/>
    <w:rsid w:val="009F4EF2"/>
    <w:rsid w:val="009F4F35"/>
    <w:rsid w:val="009F51C1"/>
    <w:rsid w:val="009F5461"/>
    <w:rsid w:val="009F5463"/>
    <w:rsid w:val="009F56D8"/>
    <w:rsid w:val="009F5B1E"/>
    <w:rsid w:val="009F5BBE"/>
    <w:rsid w:val="009F5C8D"/>
    <w:rsid w:val="009F5D99"/>
    <w:rsid w:val="009F5ECD"/>
    <w:rsid w:val="009F623F"/>
    <w:rsid w:val="009F6669"/>
    <w:rsid w:val="009F68E6"/>
    <w:rsid w:val="009F6C3F"/>
    <w:rsid w:val="009F6FBE"/>
    <w:rsid w:val="009F70AF"/>
    <w:rsid w:val="009F7278"/>
    <w:rsid w:val="009F7580"/>
    <w:rsid w:val="009F75DA"/>
    <w:rsid w:val="009F767A"/>
    <w:rsid w:val="009F76A7"/>
    <w:rsid w:val="009F772B"/>
    <w:rsid w:val="009F7990"/>
    <w:rsid w:val="009F7A85"/>
    <w:rsid w:val="009F7AB8"/>
    <w:rsid w:val="009F7AD8"/>
    <w:rsid w:val="009F7CCE"/>
    <w:rsid w:val="009F7F84"/>
    <w:rsid w:val="00A000BB"/>
    <w:rsid w:val="00A000D1"/>
    <w:rsid w:val="00A00171"/>
    <w:rsid w:val="00A00232"/>
    <w:rsid w:val="00A002C6"/>
    <w:rsid w:val="00A003D5"/>
    <w:rsid w:val="00A00644"/>
    <w:rsid w:val="00A00724"/>
    <w:rsid w:val="00A00AA5"/>
    <w:rsid w:val="00A00CA6"/>
    <w:rsid w:val="00A01093"/>
    <w:rsid w:val="00A015DB"/>
    <w:rsid w:val="00A015E8"/>
    <w:rsid w:val="00A018CD"/>
    <w:rsid w:val="00A019D4"/>
    <w:rsid w:val="00A01A57"/>
    <w:rsid w:val="00A01A5F"/>
    <w:rsid w:val="00A01D2D"/>
    <w:rsid w:val="00A01D86"/>
    <w:rsid w:val="00A01EBA"/>
    <w:rsid w:val="00A01F1E"/>
    <w:rsid w:val="00A0211D"/>
    <w:rsid w:val="00A023D9"/>
    <w:rsid w:val="00A0253F"/>
    <w:rsid w:val="00A02568"/>
    <w:rsid w:val="00A02718"/>
    <w:rsid w:val="00A02865"/>
    <w:rsid w:val="00A02884"/>
    <w:rsid w:val="00A02AD7"/>
    <w:rsid w:val="00A02FB5"/>
    <w:rsid w:val="00A0334A"/>
    <w:rsid w:val="00A035A0"/>
    <w:rsid w:val="00A036B8"/>
    <w:rsid w:val="00A0394E"/>
    <w:rsid w:val="00A03953"/>
    <w:rsid w:val="00A03AB2"/>
    <w:rsid w:val="00A03B12"/>
    <w:rsid w:val="00A03BF2"/>
    <w:rsid w:val="00A03CF2"/>
    <w:rsid w:val="00A03D1C"/>
    <w:rsid w:val="00A03E4B"/>
    <w:rsid w:val="00A03F68"/>
    <w:rsid w:val="00A043B4"/>
    <w:rsid w:val="00A0446D"/>
    <w:rsid w:val="00A0458F"/>
    <w:rsid w:val="00A04882"/>
    <w:rsid w:val="00A04928"/>
    <w:rsid w:val="00A04BF6"/>
    <w:rsid w:val="00A052E5"/>
    <w:rsid w:val="00A053A6"/>
    <w:rsid w:val="00A05410"/>
    <w:rsid w:val="00A05766"/>
    <w:rsid w:val="00A058FA"/>
    <w:rsid w:val="00A05A02"/>
    <w:rsid w:val="00A05A10"/>
    <w:rsid w:val="00A05A41"/>
    <w:rsid w:val="00A05B58"/>
    <w:rsid w:val="00A05C16"/>
    <w:rsid w:val="00A05CFD"/>
    <w:rsid w:val="00A064A2"/>
    <w:rsid w:val="00A06592"/>
    <w:rsid w:val="00A06803"/>
    <w:rsid w:val="00A06806"/>
    <w:rsid w:val="00A06A59"/>
    <w:rsid w:val="00A06D94"/>
    <w:rsid w:val="00A06DC3"/>
    <w:rsid w:val="00A06E10"/>
    <w:rsid w:val="00A06EF9"/>
    <w:rsid w:val="00A07052"/>
    <w:rsid w:val="00A07109"/>
    <w:rsid w:val="00A0759E"/>
    <w:rsid w:val="00A07747"/>
    <w:rsid w:val="00A07767"/>
    <w:rsid w:val="00A07A48"/>
    <w:rsid w:val="00A07B1A"/>
    <w:rsid w:val="00A07BFB"/>
    <w:rsid w:val="00A07C70"/>
    <w:rsid w:val="00A07CA7"/>
    <w:rsid w:val="00A07D4A"/>
    <w:rsid w:val="00A102FE"/>
    <w:rsid w:val="00A1061A"/>
    <w:rsid w:val="00A10858"/>
    <w:rsid w:val="00A10B78"/>
    <w:rsid w:val="00A10CD6"/>
    <w:rsid w:val="00A10DAB"/>
    <w:rsid w:val="00A10F0E"/>
    <w:rsid w:val="00A10FC3"/>
    <w:rsid w:val="00A10FFD"/>
    <w:rsid w:val="00A11238"/>
    <w:rsid w:val="00A11355"/>
    <w:rsid w:val="00A114F5"/>
    <w:rsid w:val="00A116AB"/>
    <w:rsid w:val="00A11861"/>
    <w:rsid w:val="00A118B9"/>
    <w:rsid w:val="00A11FD3"/>
    <w:rsid w:val="00A120B5"/>
    <w:rsid w:val="00A120BB"/>
    <w:rsid w:val="00A12170"/>
    <w:rsid w:val="00A123E7"/>
    <w:rsid w:val="00A12558"/>
    <w:rsid w:val="00A12564"/>
    <w:rsid w:val="00A125B0"/>
    <w:rsid w:val="00A1266C"/>
    <w:rsid w:val="00A127B7"/>
    <w:rsid w:val="00A127ED"/>
    <w:rsid w:val="00A129DE"/>
    <w:rsid w:val="00A12A11"/>
    <w:rsid w:val="00A12AEC"/>
    <w:rsid w:val="00A12BDD"/>
    <w:rsid w:val="00A12D08"/>
    <w:rsid w:val="00A12FA8"/>
    <w:rsid w:val="00A13015"/>
    <w:rsid w:val="00A1307F"/>
    <w:rsid w:val="00A1315F"/>
    <w:rsid w:val="00A1325A"/>
    <w:rsid w:val="00A137A1"/>
    <w:rsid w:val="00A138D3"/>
    <w:rsid w:val="00A13B26"/>
    <w:rsid w:val="00A13B68"/>
    <w:rsid w:val="00A13BBF"/>
    <w:rsid w:val="00A13CC4"/>
    <w:rsid w:val="00A13DE1"/>
    <w:rsid w:val="00A14026"/>
    <w:rsid w:val="00A14036"/>
    <w:rsid w:val="00A14140"/>
    <w:rsid w:val="00A14164"/>
    <w:rsid w:val="00A14291"/>
    <w:rsid w:val="00A14376"/>
    <w:rsid w:val="00A146C8"/>
    <w:rsid w:val="00A14A1F"/>
    <w:rsid w:val="00A14A52"/>
    <w:rsid w:val="00A14DC3"/>
    <w:rsid w:val="00A14E03"/>
    <w:rsid w:val="00A14E05"/>
    <w:rsid w:val="00A14E35"/>
    <w:rsid w:val="00A14FE2"/>
    <w:rsid w:val="00A150CF"/>
    <w:rsid w:val="00A151CE"/>
    <w:rsid w:val="00A15331"/>
    <w:rsid w:val="00A15747"/>
    <w:rsid w:val="00A1585D"/>
    <w:rsid w:val="00A158AE"/>
    <w:rsid w:val="00A15B2D"/>
    <w:rsid w:val="00A15BCE"/>
    <w:rsid w:val="00A15C48"/>
    <w:rsid w:val="00A15C86"/>
    <w:rsid w:val="00A15CF8"/>
    <w:rsid w:val="00A15D5F"/>
    <w:rsid w:val="00A16063"/>
    <w:rsid w:val="00A16215"/>
    <w:rsid w:val="00A163BF"/>
    <w:rsid w:val="00A1641D"/>
    <w:rsid w:val="00A165E3"/>
    <w:rsid w:val="00A1693C"/>
    <w:rsid w:val="00A16C8D"/>
    <w:rsid w:val="00A16E30"/>
    <w:rsid w:val="00A171E7"/>
    <w:rsid w:val="00A17577"/>
    <w:rsid w:val="00A17578"/>
    <w:rsid w:val="00A1764C"/>
    <w:rsid w:val="00A17717"/>
    <w:rsid w:val="00A1774A"/>
    <w:rsid w:val="00A17850"/>
    <w:rsid w:val="00A17A1F"/>
    <w:rsid w:val="00A17C72"/>
    <w:rsid w:val="00A17CA6"/>
    <w:rsid w:val="00A17CC7"/>
    <w:rsid w:val="00A17E1E"/>
    <w:rsid w:val="00A17E51"/>
    <w:rsid w:val="00A201E7"/>
    <w:rsid w:val="00A203BF"/>
    <w:rsid w:val="00A20687"/>
    <w:rsid w:val="00A20714"/>
    <w:rsid w:val="00A20825"/>
    <w:rsid w:val="00A20845"/>
    <w:rsid w:val="00A208E9"/>
    <w:rsid w:val="00A20D90"/>
    <w:rsid w:val="00A20E0F"/>
    <w:rsid w:val="00A21199"/>
    <w:rsid w:val="00A211D2"/>
    <w:rsid w:val="00A2137E"/>
    <w:rsid w:val="00A213A3"/>
    <w:rsid w:val="00A216FA"/>
    <w:rsid w:val="00A2188B"/>
    <w:rsid w:val="00A21891"/>
    <w:rsid w:val="00A2194B"/>
    <w:rsid w:val="00A2196F"/>
    <w:rsid w:val="00A21AA7"/>
    <w:rsid w:val="00A21DEC"/>
    <w:rsid w:val="00A21F24"/>
    <w:rsid w:val="00A220D7"/>
    <w:rsid w:val="00A2216C"/>
    <w:rsid w:val="00A221B9"/>
    <w:rsid w:val="00A22322"/>
    <w:rsid w:val="00A223EE"/>
    <w:rsid w:val="00A22664"/>
    <w:rsid w:val="00A22714"/>
    <w:rsid w:val="00A228B3"/>
    <w:rsid w:val="00A2297C"/>
    <w:rsid w:val="00A22BA5"/>
    <w:rsid w:val="00A22EE8"/>
    <w:rsid w:val="00A230F9"/>
    <w:rsid w:val="00A23321"/>
    <w:rsid w:val="00A233EE"/>
    <w:rsid w:val="00A2344E"/>
    <w:rsid w:val="00A234E7"/>
    <w:rsid w:val="00A23553"/>
    <w:rsid w:val="00A2384B"/>
    <w:rsid w:val="00A238BF"/>
    <w:rsid w:val="00A23A02"/>
    <w:rsid w:val="00A23A41"/>
    <w:rsid w:val="00A23C40"/>
    <w:rsid w:val="00A23C6F"/>
    <w:rsid w:val="00A23CD0"/>
    <w:rsid w:val="00A23F6F"/>
    <w:rsid w:val="00A241D1"/>
    <w:rsid w:val="00A242D5"/>
    <w:rsid w:val="00A242F0"/>
    <w:rsid w:val="00A24464"/>
    <w:rsid w:val="00A2449F"/>
    <w:rsid w:val="00A246EC"/>
    <w:rsid w:val="00A24784"/>
    <w:rsid w:val="00A248CC"/>
    <w:rsid w:val="00A24AC6"/>
    <w:rsid w:val="00A24B85"/>
    <w:rsid w:val="00A24BD4"/>
    <w:rsid w:val="00A24C2A"/>
    <w:rsid w:val="00A24C84"/>
    <w:rsid w:val="00A24CEC"/>
    <w:rsid w:val="00A24DFF"/>
    <w:rsid w:val="00A24FC0"/>
    <w:rsid w:val="00A25003"/>
    <w:rsid w:val="00A25027"/>
    <w:rsid w:val="00A25168"/>
    <w:rsid w:val="00A2548F"/>
    <w:rsid w:val="00A25568"/>
    <w:rsid w:val="00A25BDC"/>
    <w:rsid w:val="00A25ED0"/>
    <w:rsid w:val="00A26143"/>
    <w:rsid w:val="00A263CB"/>
    <w:rsid w:val="00A26712"/>
    <w:rsid w:val="00A26A40"/>
    <w:rsid w:val="00A26AC2"/>
    <w:rsid w:val="00A26BD6"/>
    <w:rsid w:val="00A26C26"/>
    <w:rsid w:val="00A26CB0"/>
    <w:rsid w:val="00A26E2F"/>
    <w:rsid w:val="00A2701B"/>
    <w:rsid w:val="00A27071"/>
    <w:rsid w:val="00A2718B"/>
    <w:rsid w:val="00A272DF"/>
    <w:rsid w:val="00A275D5"/>
    <w:rsid w:val="00A276A7"/>
    <w:rsid w:val="00A2781F"/>
    <w:rsid w:val="00A27847"/>
    <w:rsid w:val="00A27ACE"/>
    <w:rsid w:val="00A27AEE"/>
    <w:rsid w:val="00A27BC7"/>
    <w:rsid w:val="00A27C4B"/>
    <w:rsid w:val="00A27FD3"/>
    <w:rsid w:val="00A3020B"/>
    <w:rsid w:val="00A3025C"/>
    <w:rsid w:val="00A302AE"/>
    <w:rsid w:val="00A302D4"/>
    <w:rsid w:val="00A306CC"/>
    <w:rsid w:val="00A30713"/>
    <w:rsid w:val="00A30B0C"/>
    <w:rsid w:val="00A30BA7"/>
    <w:rsid w:val="00A30BB9"/>
    <w:rsid w:val="00A30BF3"/>
    <w:rsid w:val="00A31012"/>
    <w:rsid w:val="00A31017"/>
    <w:rsid w:val="00A31039"/>
    <w:rsid w:val="00A3113F"/>
    <w:rsid w:val="00A311E6"/>
    <w:rsid w:val="00A31354"/>
    <w:rsid w:val="00A31384"/>
    <w:rsid w:val="00A31393"/>
    <w:rsid w:val="00A313B5"/>
    <w:rsid w:val="00A3141C"/>
    <w:rsid w:val="00A31904"/>
    <w:rsid w:val="00A31FFE"/>
    <w:rsid w:val="00A32010"/>
    <w:rsid w:val="00A32077"/>
    <w:rsid w:val="00A323AF"/>
    <w:rsid w:val="00A32AF7"/>
    <w:rsid w:val="00A32D81"/>
    <w:rsid w:val="00A32D92"/>
    <w:rsid w:val="00A32DFC"/>
    <w:rsid w:val="00A32F72"/>
    <w:rsid w:val="00A33319"/>
    <w:rsid w:val="00A3349A"/>
    <w:rsid w:val="00A3349B"/>
    <w:rsid w:val="00A33533"/>
    <w:rsid w:val="00A3358B"/>
    <w:rsid w:val="00A335BA"/>
    <w:rsid w:val="00A3361C"/>
    <w:rsid w:val="00A33836"/>
    <w:rsid w:val="00A338F6"/>
    <w:rsid w:val="00A3393A"/>
    <w:rsid w:val="00A3393F"/>
    <w:rsid w:val="00A3395A"/>
    <w:rsid w:val="00A33ACF"/>
    <w:rsid w:val="00A3454A"/>
    <w:rsid w:val="00A3464C"/>
    <w:rsid w:val="00A34ABB"/>
    <w:rsid w:val="00A34B1C"/>
    <w:rsid w:val="00A34C56"/>
    <w:rsid w:val="00A34F22"/>
    <w:rsid w:val="00A34F45"/>
    <w:rsid w:val="00A3515E"/>
    <w:rsid w:val="00A35264"/>
    <w:rsid w:val="00A354B5"/>
    <w:rsid w:val="00A354BD"/>
    <w:rsid w:val="00A35583"/>
    <w:rsid w:val="00A35928"/>
    <w:rsid w:val="00A35929"/>
    <w:rsid w:val="00A35930"/>
    <w:rsid w:val="00A360CC"/>
    <w:rsid w:val="00A360D6"/>
    <w:rsid w:val="00A36224"/>
    <w:rsid w:val="00A36266"/>
    <w:rsid w:val="00A362CE"/>
    <w:rsid w:val="00A364BD"/>
    <w:rsid w:val="00A3653F"/>
    <w:rsid w:val="00A36686"/>
    <w:rsid w:val="00A367AF"/>
    <w:rsid w:val="00A3682E"/>
    <w:rsid w:val="00A36979"/>
    <w:rsid w:val="00A36FD0"/>
    <w:rsid w:val="00A370B3"/>
    <w:rsid w:val="00A37324"/>
    <w:rsid w:val="00A37441"/>
    <w:rsid w:val="00A375BF"/>
    <w:rsid w:val="00A375C1"/>
    <w:rsid w:val="00A375E3"/>
    <w:rsid w:val="00A376B2"/>
    <w:rsid w:val="00A376F4"/>
    <w:rsid w:val="00A3775C"/>
    <w:rsid w:val="00A377A0"/>
    <w:rsid w:val="00A37819"/>
    <w:rsid w:val="00A37849"/>
    <w:rsid w:val="00A3791E"/>
    <w:rsid w:val="00A37D14"/>
    <w:rsid w:val="00A37EFD"/>
    <w:rsid w:val="00A40010"/>
    <w:rsid w:val="00A400B6"/>
    <w:rsid w:val="00A40348"/>
    <w:rsid w:val="00A403BC"/>
    <w:rsid w:val="00A40419"/>
    <w:rsid w:val="00A40588"/>
    <w:rsid w:val="00A406C0"/>
    <w:rsid w:val="00A40730"/>
    <w:rsid w:val="00A408A2"/>
    <w:rsid w:val="00A40B13"/>
    <w:rsid w:val="00A40B38"/>
    <w:rsid w:val="00A40E41"/>
    <w:rsid w:val="00A41110"/>
    <w:rsid w:val="00A41367"/>
    <w:rsid w:val="00A4143C"/>
    <w:rsid w:val="00A41520"/>
    <w:rsid w:val="00A41977"/>
    <w:rsid w:val="00A41A55"/>
    <w:rsid w:val="00A41A68"/>
    <w:rsid w:val="00A41C49"/>
    <w:rsid w:val="00A41E22"/>
    <w:rsid w:val="00A420B6"/>
    <w:rsid w:val="00A4227E"/>
    <w:rsid w:val="00A422C8"/>
    <w:rsid w:val="00A42474"/>
    <w:rsid w:val="00A426DD"/>
    <w:rsid w:val="00A42711"/>
    <w:rsid w:val="00A42861"/>
    <w:rsid w:val="00A42926"/>
    <w:rsid w:val="00A42B35"/>
    <w:rsid w:val="00A42B98"/>
    <w:rsid w:val="00A42F07"/>
    <w:rsid w:val="00A432DB"/>
    <w:rsid w:val="00A435DA"/>
    <w:rsid w:val="00A43ABD"/>
    <w:rsid w:val="00A43DA2"/>
    <w:rsid w:val="00A44080"/>
    <w:rsid w:val="00A4416F"/>
    <w:rsid w:val="00A4424E"/>
    <w:rsid w:val="00A442BB"/>
    <w:rsid w:val="00A442D1"/>
    <w:rsid w:val="00A446CC"/>
    <w:rsid w:val="00A447A0"/>
    <w:rsid w:val="00A447E5"/>
    <w:rsid w:val="00A448D7"/>
    <w:rsid w:val="00A44AAC"/>
    <w:rsid w:val="00A44CA5"/>
    <w:rsid w:val="00A4529E"/>
    <w:rsid w:val="00A45379"/>
    <w:rsid w:val="00A453C3"/>
    <w:rsid w:val="00A453CC"/>
    <w:rsid w:val="00A45427"/>
    <w:rsid w:val="00A454F8"/>
    <w:rsid w:val="00A45606"/>
    <w:rsid w:val="00A4572E"/>
    <w:rsid w:val="00A459A0"/>
    <w:rsid w:val="00A459C1"/>
    <w:rsid w:val="00A45C40"/>
    <w:rsid w:val="00A462D4"/>
    <w:rsid w:val="00A46789"/>
    <w:rsid w:val="00A4687F"/>
    <w:rsid w:val="00A469ED"/>
    <w:rsid w:val="00A46A43"/>
    <w:rsid w:val="00A4715A"/>
    <w:rsid w:val="00A472B9"/>
    <w:rsid w:val="00A47324"/>
    <w:rsid w:val="00A473B8"/>
    <w:rsid w:val="00A4743B"/>
    <w:rsid w:val="00A477BB"/>
    <w:rsid w:val="00A47A35"/>
    <w:rsid w:val="00A47B2E"/>
    <w:rsid w:val="00A47CB5"/>
    <w:rsid w:val="00A5061F"/>
    <w:rsid w:val="00A50907"/>
    <w:rsid w:val="00A50B72"/>
    <w:rsid w:val="00A50D1E"/>
    <w:rsid w:val="00A50DB0"/>
    <w:rsid w:val="00A50DF9"/>
    <w:rsid w:val="00A51039"/>
    <w:rsid w:val="00A5113F"/>
    <w:rsid w:val="00A511C1"/>
    <w:rsid w:val="00A511E3"/>
    <w:rsid w:val="00A51213"/>
    <w:rsid w:val="00A512B5"/>
    <w:rsid w:val="00A512ED"/>
    <w:rsid w:val="00A51477"/>
    <w:rsid w:val="00A51586"/>
    <w:rsid w:val="00A5197B"/>
    <w:rsid w:val="00A51B76"/>
    <w:rsid w:val="00A51C01"/>
    <w:rsid w:val="00A51D2F"/>
    <w:rsid w:val="00A51E2A"/>
    <w:rsid w:val="00A51E34"/>
    <w:rsid w:val="00A51F48"/>
    <w:rsid w:val="00A52244"/>
    <w:rsid w:val="00A522BC"/>
    <w:rsid w:val="00A5232C"/>
    <w:rsid w:val="00A527C0"/>
    <w:rsid w:val="00A52941"/>
    <w:rsid w:val="00A52C57"/>
    <w:rsid w:val="00A52D5E"/>
    <w:rsid w:val="00A52DA1"/>
    <w:rsid w:val="00A52E5A"/>
    <w:rsid w:val="00A530A5"/>
    <w:rsid w:val="00A5311B"/>
    <w:rsid w:val="00A53235"/>
    <w:rsid w:val="00A53452"/>
    <w:rsid w:val="00A5348E"/>
    <w:rsid w:val="00A535A6"/>
    <w:rsid w:val="00A53707"/>
    <w:rsid w:val="00A53819"/>
    <w:rsid w:val="00A53A2B"/>
    <w:rsid w:val="00A53B20"/>
    <w:rsid w:val="00A53B8F"/>
    <w:rsid w:val="00A53BA6"/>
    <w:rsid w:val="00A53D2F"/>
    <w:rsid w:val="00A53DD4"/>
    <w:rsid w:val="00A53DE9"/>
    <w:rsid w:val="00A5410D"/>
    <w:rsid w:val="00A54280"/>
    <w:rsid w:val="00A54297"/>
    <w:rsid w:val="00A543DA"/>
    <w:rsid w:val="00A544FF"/>
    <w:rsid w:val="00A545BC"/>
    <w:rsid w:val="00A5478E"/>
    <w:rsid w:val="00A547F3"/>
    <w:rsid w:val="00A549C1"/>
    <w:rsid w:val="00A549F7"/>
    <w:rsid w:val="00A54C7A"/>
    <w:rsid w:val="00A54DE3"/>
    <w:rsid w:val="00A54F67"/>
    <w:rsid w:val="00A55336"/>
    <w:rsid w:val="00A554A3"/>
    <w:rsid w:val="00A5568D"/>
    <w:rsid w:val="00A5572D"/>
    <w:rsid w:val="00A55A5C"/>
    <w:rsid w:val="00A55AD4"/>
    <w:rsid w:val="00A55B5E"/>
    <w:rsid w:val="00A55CA3"/>
    <w:rsid w:val="00A55EB0"/>
    <w:rsid w:val="00A55EC4"/>
    <w:rsid w:val="00A55F60"/>
    <w:rsid w:val="00A56A3C"/>
    <w:rsid w:val="00A56AC0"/>
    <w:rsid w:val="00A56CB3"/>
    <w:rsid w:val="00A56EBB"/>
    <w:rsid w:val="00A571BA"/>
    <w:rsid w:val="00A573E4"/>
    <w:rsid w:val="00A5782D"/>
    <w:rsid w:val="00A5783E"/>
    <w:rsid w:val="00A578A5"/>
    <w:rsid w:val="00A578B6"/>
    <w:rsid w:val="00A57AD2"/>
    <w:rsid w:val="00A57C4C"/>
    <w:rsid w:val="00A57C77"/>
    <w:rsid w:val="00A57E9B"/>
    <w:rsid w:val="00A60140"/>
    <w:rsid w:val="00A60373"/>
    <w:rsid w:val="00A603B6"/>
    <w:rsid w:val="00A6083E"/>
    <w:rsid w:val="00A608DB"/>
    <w:rsid w:val="00A609EB"/>
    <w:rsid w:val="00A60A31"/>
    <w:rsid w:val="00A60BA9"/>
    <w:rsid w:val="00A60D0F"/>
    <w:rsid w:val="00A60D43"/>
    <w:rsid w:val="00A60E66"/>
    <w:rsid w:val="00A60EE9"/>
    <w:rsid w:val="00A61541"/>
    <w:rsid w:val="00A61749"/>
    <w:rsid w:val="00A61CF7"/>
    <w:rsid w:val="00A61DA0"/>
    <w:rsid w:val="00A61E48"/>
    <w:rsid w:val="00A61E4A"/>
    <w:rsid w:val="00A62475"/>
    <w:rsid w:val="00A62977"/>
    <w:rsid w:val="00A62A89"/>
    <w:rsid w:val="00A62B32"/>
    <w:rsid w:val="00A62C8A"/>
    <w:rsid w:val="00A63180"/>
    <w:rsid w:val="00A63367"/>
    <w:rsid w:val="00A63474"/>
    <w:rsid w:val="00A6348C"/>
    <w:rsid w:val="00A634D9"/>
    <w:rsid w:val="00A63500"/>
    <w:rsid w:val="00A635CC"/>
    <w:rsid w:val="00A63A2C"/>
    <w:rsid w:val="00A63B73"/>
    <w:rsid w:val="00A63B8C"/>
    <w:rsid w:val="00A63F87"/>
    <w:rsid w:val="00A642E3"/>
    <w:rsid w:val="00A64338"/>
    <w:rsid w:val="00A643AB"/>
    <w:rsid w:val="00A643DC"/>
    <w:rsid w:val="00A6454D"/>
    <w:rsid w:val="00A64618"/>
    <w:rsid w:val="00A6482E"/>
    <w:rsid w:val="00A64833"/>
    <w:rsid w:val="00A649B7"/>
    <w:rsid w:val="00A64B5D"/>
    <w:rsid w:val="00A64CDD"/>
    <w:rsid w:val="00A64DC1"/>
    <w:rsid w:val="00A64E65"/>
    <w:rsid w:val="00A6533B"/>
    <w:rsid w:val="00A6553D"/>
    <w:rsid w:val="00A655FB"/>
    <w:rsid w:val="00A657FE"/>
    <w:rsid w:val="00A65806"/>
    <w:rsid w:val="00A65951"/>
    <w:rsid w:val="00A65A22"/>
    <w:rsid w:val="00A65BEC"/>
    <w:rsid w:val="00A65EDA"/>
    <w:rsid w:val="00A65F36"/>
    <w:rsid w:val="00A66038"/>
    <w:rsid w:val="00A66234"/>
    <w:rsid w:val="00A66320"/>
    <w:rsid w:val="00A664E4"/>
    <w:rsid w:val="00A66573"/>
    <w:rsid w:val="00A66839"/>
    <w:rsid w:val="00A66CDD"/>
    <w:rsid w:val="00A66EF9"/>
    <w:rsid w:val="00A66F56"/>
    <w:rsid w:val="00A66FF0"/>
    <w:rsid w:val="00A672D3"/>
    <w:rsid w:val="00A673C2"/>
    <w:rsid w:val="00A67452"/>
    <w:rsid w:val="00A674D1"/>
    <w:rsid w:val="00A67680"/>
    <w:rsid w:val="00A677BA"/>
    <w:rsid w:val="00A677F9"/>
    <w:rsid w:val="00A67B38"/>
    <w:rsid w:val="00A67B67"/>
    <w:rsid w:val="00A67BDC"/>
    <w:rsid w:val="00A67DAD"/>
    <w:rsid w:val="00A67F6D"/>
    <w:rsid w:val="00A67F8E"/>
    <w:rsid w:val="00A701E5"/>
    <w:rsid w:val="00A703EE"/>
    <w:rsid w:val="00A705D8"/>
    <w:rsid w:val="00A70614"/>
    <w:rsid w:val="00A70972"/>
    <w:rsid w:val="00A70AE9"/>
    <w:rsid w:val="00A70B5C"/>
    <w:rsid w:val="00A70B6E"/>
    <w:rsid w:val="00A70C7A"/>
    <w:rsid w:val="00A70D2C"/>
    <w:rsid w:val="00A70DFA"/>
    <w:rsid w:val="00A70E71"/>
    <w:rsid w:val="00A70EB0"/>
    <w:rsid w:val="00A71004"/>
    <w:rsid w:val="00A71078"/>
    <w:rsid w:val="00A71110"/>
    <w:rsid w:val="00A71262"/>
    <w:rsid w:val="00A714E8"/>
    <w:rsid w:val="00A715E9"/>
    <w:rsid w:val="00A71637"/>
    <w:rsid w:val="00A718AF"/>
    <w:rsid w:val="00A71992"/>
    <w:rsid w:val="00A71E44"/>
    <w:rsid w:val="00A723C6"/>
    <w:rsid w:val="00A724CF"/>
    <w:rsid w:val="00A72505"/>
    <w:rsid w:val="00A72526"/>
    <w:rsid w:val="00A725C3"/>
    <w:rsid w:val="00A726CF"/>
    <w:rsid w:val="00A72BDF"/>
    <w:rsid w:val="00A72CFA"/>
    <w:rsid w:val="00A730B1"/>
    <w:rsid w:val="00A730B5"/>
    <w:rsid w:val="00A736A5"/>
    <w:rsid w:val="00A73840"/>
    <w:rsid w:val="00A73999"/>
    <w:rsid w:val="00A73B7E"/>
    <w:rsid w:val="00A73D25"/>
    <w:rsid w:val="00A742DE"/>
    <w:rsid w:val="00A7430C"/>
    <w:rsid w:val="00A7438E"/>
    <w:rsid w:val="00A743BA"/>
    <w:rsid w:val="00A74735"/>
    <w:rsid w:val="00A7498B"/>
    <w:rsid w:val="00A74B97"/>
    <w:rsid w:val="00A74C63"/>
    <w:rsid w:val="00A74CC4"/>
    <w:rsid w:val="00A74E19"/>
    <w:rsid w:val="00A74EF6"/>
    <w:rsid w:val="00A74FC6"/>
    <w:rsid w:val="00A750C5"/>
    <w:rsid w:val="00A75202"/>
    <w:rsid w:val="00A7535D"/>
    <w:rsid w:val="00A753C6"/>
    <w:rsid w:val="00A755E4"/>
    <w:rsid w:val="00A759AF"/>
    <w:rsid w:val="00A75C53"/>
    <w:rsid w:val="00A75D4C"/>
    <w:rsid w:val="00A75DEA"/>
    <w:rsid w:val="00A7603B"/>
    <w:rsid w:val="00A76138"/>
    <w:rsid w:val="00A76155"/>
    <w:rsid w:val="00A76298"/>
    <w:rsid w:val="00A762FF"/>
    <w:rsid w:val="00A7639A"/>
    <w:rsid w:val="00A7671A"/>
    <w:rsid w:val="00A767A4"/>
    <w:rsid w:val="00A7687E"/>
    <w:rsid w:val="00A76893"/>
    <w:rsid w:val="00A768EE"/>
    <w:rsid w:val="00A768F2"/>
    <w:rsid w:val="00A7697E"/>
    <w:rsid w:val="00A76A23"/>
    <w:rsid w:val="00A76BAB"/>
    <w:rsid w:val="00A76CEA"/>
    <w:rsid w:val="00A77634"/>
    <w:rsid w:val="00A776D6"/>
    <w:rsid w:val="00A7770B"/>
    <w:rsid w:val="00A778CA"/>
    <w:rsid w:val="00A77AAC"/>
    <w:rsid w:val="00A77ACA"/>
    <w:rsid w:val="00A77B6B"/>
    <w:rsid w:val="00A77D5A"/>
    <w:rsid w:val="00A77DA0"/>
    <w:rsid w:val="00A80030"/>
    <w:rsid w:val="00A802B8"/>
    <w:rsid w:val="00A8066A"/>
    <w:rsid w:val="00A808B0"/>
    <w:rsid w:val="00A80A0C"/>
    <w:rsid w:val="00A80EB8"/>
    <w:rsid w:val="00A80FB1"/>
    <w:rsid w:val="00A80FB5"/>
    <w:rsid w:val="00A810F1"/>
    <w:rsid w:val="00A81596"/>
    <w:rsid w:val="00A815AE"/>
    <w:rsid w:val="00A816F7"/>
    <w:rsid w:val="00A817B0"/>
    <w:rsid w:val="00A8190C"/>
    <w:rsid w:val="00A81D17"/>
    <w:rsid w:val="00A81E41"/>
    <w:rsid w:val="00A81F78"/>
    <w:rsid w:val="00A81FBF"/>
    <w:rsid w:val="00A8205D"/>
    <w:rsid w:val="00A82360"/>
    <w:rsid w:val="00A824FA"/>
    <w:rsid w:val="00A82527"/>
    <w:rsid w:val="00A8266C"/>
    <w:rsid w:val="00A82A1B"/>
    <w:rsid w:val="00A82B51"/>
    <w:rsid w:val="00A82B6D"/>
    <w:rsid w:val="00A82B99"/>
    <w:rsid w:val="00A82BDB"/>
    <w:rsid w:val="00A82F58"/>
    <w:rsid w:val="00A830B2"/>
    <w:rsid w:val="00A83102"/>
    <w:rsid w:val="00A83195"/>
    <w:rsid w:val="00A831C7"/>
    <w:rsid w:val="00A83B12"/>
    <w:rsid w:val="00A83B7F"/>
    <w:rsid w:val="00A83DBE"/>
    <w:rsid w:val="00A83F5E"/>
    <w:rsid w:val="00A8416C"/>
    <w:rsid w:val="00A84172"/>
    <w:rsid w:val="00A8418F"/>
    <w:rsid w:val="00A841B8"/>
    <w:rsid w:val="00A84367"/>
    <w:rsid w:val="00A844ED"/>
    <w:rsid w:val="00A8455F"/>
    <w:rsid w:val="00A84722"/>
    <w:rsid w:val="00A848DA"/>
    <w:rsid w:val="00A8492A"/>
    <w:rsid w:val="00A84BC1"/>
    <w:rsid w:val="00A84BF6"/>
    <w:rsid w:val="00A84DF0"/>
    <w:rsid w:val="00A84F7F"/>
    <w:rsid w:val="00A85130"/>
    <w:rsid w:val="00A856C8"/>
    <w:rsid w:val="00A85817"/>
    <w:rsid w:val="00A85AF8"/>
    <w:rsid w:val="00A85B12"/>
    <w:rsid w:val="00A85D97"/>
    <w:rsid w:val="00A85DA2"/>
    <w:rsid w:val="00A85F15"/>
    <w:rsid w:val="00A860FB"/>
    <w:rsid w:val="00A86298"/>
    <w:rsid w:val="00A8638F"/>
    <w:rsid w:val="00A8645B"/>
    <w:rsid w:val="00A8645F"/>
    <w:rsid w:val="00A867D7"/>
    <w:rsid w:val="00A86B1D"/>
    <w:rsid w:val="00A86B65"/>
    <w:rsid w:val="00A86C8E"/>
    <w:rsid w:val="00A86DF2"/>
    <w:rsid w:val="00A86E33"/>
    <w:rsid w:val="00A86EA1"/>
    <w:rsid w:val="00A86EF5"/>
    <w:rsid w:val="00A86F96"/>
    <w:rsid w:val="00A871CF"/>
    <w:rsid w:val="00A87209"/>
    <w:rsid w:val="00A87258"/>
    <w:rsid w:val="00A872DD"/>
    <w:rsid w:val="00A8755F"/>
    <w:rsid w:val="00A876B8"/>
    <w:rsid w:val="00A877B7"/>
    <w:rsid w:val="00A878A0"/>
    <w:rsid w:val="00A87A69"/>
    <w:rsid w:val="00A87F95"/>
    <w:rsid w:val="00A9020A"/>
    <w:rsid w:val="00A903DB"/>
    <w:rsid w:val="00A905F5"/>
    <w:rsid w:val="00A908A3"/>
    <w:rsid w:val="00A908C9"/>
    <w:rsid w:val="00A90C07"/>
    <w:rsid w:val="00A90D33"/>
    <w:rsid w:val="00A90F4D"/>
    <w:rsid w:val="00A91065"/>
    <w:rsid w:val="00A9125C"/>
    <w:rsid w:val="00A91486"/>
    <w:rsid w:val="00A91553"/>
    <w:rsid w:val="00A9157F"/>
    <w:rsid w:val="00A915E2"/>
    <w:rsid w:val="00A91674"/>
    <w:rsid w:val="00A917DF"/>
    <w:rsid w:val="00A918B6"/>
    <w:rsid w:val="00A91A40"/>
    <w:rsid w:val="00A91A6C"/>
    <w:rsid w:val="00A91F72"/>
    <w:rsid w:val="00A91FB2"/>
    <w:rsid w:val="00A91FFC"/>
    <w:rsid w:val="00A92167"/>
    <w:rsid w:val="00A92442"/>
    <w:rsid w:val="00A9252C"/>
    <w:rsid w:val="00A926AD"/>
    <w:rsid w:val="00A92958"/>
    <w:rsid w:val="00A92A5B"/>
    <w:rsid w:val="00A92B0C"/>
    <w:rsid w:val="00A92BEE"/>
    <w:rsid w:val="00A92D8D"/>
    <w:rsid w:val="00A92E9A"/>
    <w:rsid w:val="00A930D3"/>
    <w:rsid w:val="00A93366"/>
    <w:rsid w:val="00A93778"/>
    <w:rsid w:val="00A93A49"/>
    <w:rsid w:val="00A93B0D"/>
    <w:rsid w:val="00A93C7B"/>
    <w:rsid w:val="00A93CAC"/>
    <w:rsid w:val="00A93CF3"/>
    <w:rsid w:val="00A93E2C"/>
    <w:rsid w:val="00A94053"/>
    <w:rsid w:val="00A94470"/>
    <w:rsid w:val="00A947F9"/>
    <w:rsid w:val="00A94948"/>
    <w:rsid w:val="00A9496E"/>
    <w:rsid w:val="00A94D3C"/>
    <w:rsid w:val="00A94E01"/>
    <w:rsid w:val="00A95074"/>
    <w:rsid w:val="00A951AF"/>
    <w:rsid w:val="00A954BC"/>
    <w:rsid w:val="00A95686"/>
    <w:rsid w:val="00A958BE"/>
    <w:rsid w:val="00A95AF8"/>
    <w:rsid w:val="00A95C3A"/>
    <w:rsid w:val="00A95C63"/>
    <w:rsid w:val="00A95CC3"/>
    <w:rsid w:val="00A95CF9"/>
    <w:rsid w:val="00A95D21"/>
    <w:rsid w:val="00A95EB1"/>
    <w:rsid w:val="00A9608D"/>
    <w:rsid w:val="00A96191"/>
    <w:rsid w:val="00A96343"/>
    <w:rsid w:val="00A96408"/>
    <w:rsid w:val="00A96412"/>
    <w:rsid w:val="00A96486"/>
    <w:rsid w:val="00A96838"/>
    <w:rsid w:val="00A9685C"/>
    <w:rsid w:val="00A969D3"/>
    <w:rsid w:val="00A96B82"/>
    <w:rsid w:val="00A96BFB"/>
    <w:rsid w:val="00A96EC1"/>
    <w:rsid w:val="00A972CA"/>
    <w:rsid w:val="00A976A8"/>
    <w:rsid w:val="00A97A21"/>
    <w:rsid w:val="00A97C5B"/>
    <w:rsid w:val="00A97C97"/>
    <w:rsid w:val="00A97DF7"/>
    <w:rsid w:val="00A97E64"/>
    <w:rsid w:val="00A97F7F"/>
    <w:rsid w:val="00AA0018"/>
    <w:rsid w:val="00AA0027"/>
    <w:rsid w:val="00AA00DB"/>
    <w:rsid w:val="00AA02C7"/>
    <w:rsid w:val="00AA05B6"/>
    <w:rsid w:val="00AA0616"/>
    <w:rsid w:val="00AA06D1"/>
    <w:rsid w:val="00AA081C"/>
    <w:rsid w:val="00AA08C5"/>
    <w:rsid w:val="00AA0920"/>
    <w:rsid w:val="00AA0940"/>
    <w:rsid w:val="00AA09C9"/>
    <w:rsid w:val="00AA0A3E"/>
    <w:rsid w:val="00AA0B6A"/>
    <w:rsid w:val="00AA0E0A"/>
    <w:rsid w:val="00AA0F36"/>
    <w:rsid w:val="00AA1470"/>
    <w:rsid w:val="00AA169B"/>
    <w:rsid w:val="00AA173B"/>
    <w:rsid w:val="00AA1972"/>
    <w:rsid w:val="00AA198E"/>
    <w:rsid w:val="00AA1A05"/>
    <w:rsid w:val="00AA1A25"/>
    <w:rsid w:val="00AA1C56"/>
    <w:rsid w:val="00AA22AB"/>
    <w:rsid w:val="00AA240E"/>
    <w:rsid w:val="00AA245D"/>
    <w:rsid w:val="00AA28CC"/>
    <w:rsid w:val="00AA2C4E"/>
    <w:rsid w:val="00AA2F30"/>
    <w:rsid w:val="00AA315E"/>
    <w:rsid w:val="00AA3177"/>
    <w:rsid w:val="00AA327E"/>
    <w:rsid w:val="00AA33FE"/>
    <w:rsid w:val="00AA3422"/>
    <w:rsid w:val="00AA34F2"/>
    <w:rsid w:val="00AA3547"/>
    <w:rsid w:val="00AA375B"/>
    <w:rsid w:val="00AA3C25"/>
    <w:rsid w:val="00AA3C5A"/>
    <w:rsid w:val="00AA3E87"/>
    <w:rsid w:val="00AA3F2C"/>
    <w:rsid w:val="00AA4286"/>
    <w:rsid w:val="00AA4326"/>
    <w:rsid w:val="00AA4487"/>
    <w:rsid w:val="00AA4D38"/>
    <w:rsid w:val="00AA4D60"/>
    <w:rsid w:val="00AA4E77"/>
    <w:rsid w:val="00AA4ED0"/>
    <w:rsid w:val="00AA4F6F"/>
    <w:rsid w:val="00AA5013"/>
    <w:rsid w:val="00AA5286"/>
    <w:rsid w:val="00AA5314"/>
    <w:rsid w:val="00AA539B"/>
    <w:rsid w:val="00AA543B"/>
    <w:rsid w:val="00AA547E"/>
    <w:rsid w:val="00AA5520"/>
    <w:rsid w:val="00AA5787"/>
    <w:rsid w:val="00AA57C5"/>
    <w:rsid w:val="00AA5B48"/>
    <w:rsid w:val="00AA5BFD"/>
    <w:rsid w:val="00AA5D11"/>
    <w:rsid w:val="00AA5D80"/>
    <w:rsid w:val="00AA5E36"/>
    <w:rsid w:val="00AA62BB"/>
    <w:rsid w:val="00AA6369"/>
    <w:rsid w:val="00AA664D"/>
    <w:rsid w:val="00AA67B1"/>
    <w:rsid w:val="00AA690A"/>
    <w:rsid w:val="00AA6ADE"/>
    <w:rsid w:val="00AA7088"/>
    <w:rsid w:val="00AA71A0"/>
    <w:rsid w:val="00AA7283"/>
    <w:rsid w:val="00AA74B7"/>
    <w:rsid w:val="00AA750F"/>
    <w:rsid w:val="00AA76AE"/>
    <w:rsid w:val="00AA790E"/>
    <w:rsid w:val="00AA79AE"/>
    <w:rsid w:val="00AA7EAF"/>
    <w:rsid w:val="00AB01D5"/>
    <w:rsid w:val="00AB01FC"/>
    <w:rsid w:val="00AB0267"/>
    <w:rsid w:val="00AB032E"/>
    <w:rsid w:val="00AB03B2"/>
    <w:rsid w:val="00AB03C8"/>
    <w:rsid w:val="00AB07C0"/>
    <w:rsid w:val="00AB0838"/>
    <w:rsid w:val="00AB0E0B"/>
    <w:rsid w:val="00AB0F90"/>
    <w:rsid w:val="00AB10AF"/>
    <w:rsid w:val="00AB10D3"/>
    <w:rsid w:val="00AB117C"/>
    <w:rsid w:val="00AB1183"/>
    <w:rsid w:val="00AB1507"/>
    <w:rsid w:val="00AB1569"/>
    <w:rsid w:val="00AB1A24"/>
    <w:rsid w:val="00AB1CEC"/>
    <w:rsid w:val="00AB1D6D"/>
    <w:rsid w:val="00AB217A"/>
    <w:rsid w:val="00AB2249"/>
    <w:rsid w:val="00AB2508"/>
    <w:rsid w:val="00AB250C"/>
    <w:rsid w:val="00AB269E"/>
    <w:rsid w:val="00AB2870"/>
    <w:rsid w:val="00AB28B3"/>
    <w:rsid w:val="00AB2A34"/>
    <w:rsid w:val="00AB2ABB"/>
    <w:rsid w:val="00AB2EF4"/>
    <w:rsid w:val="00AB2F36"/>
    <w:rsid w:val="00AB2FF0"/>
    <w:rsid w:val="00AB301B"/>
    <w:rsid w:val="00AB30AF"/>
    <w:rsid w:val="00AB3107"/>
    <w:rsid w:val="00AB3166"/>
    <w:rsid w:val="00AB3689"/>
    <w:rsid w:val="00AB36B2"/>
    <w:rsid w:val="00AB36B5"/>
    <w:rsid w:val="00AB3727"/>
    <w:rsid w:val="00AB38A1"/>
    <w:rsid w:val="00AB394A"/>
    <w:rsid w:val="00AB395D"/>
    <w:rsid w:val="00AB3A6B"/>
    <w:rsid w:val="00AB3B2D"/>
    <w:rsid w:val="00AB3BD3"/>
    <w:rsid w:val="00AB3C4D"/>
    <w:rsid w:val="00AB3D71"/>
    <w:rsid w:val="00AB3F4F"/>
    <w:rsid w:val="00AB3F52"/>
    <w:rsid w:val="00AB3FC5"/>
    <w:rsid w:val="00AB40B7"/>
    <w:rsid w:val="00AB442B"/>
    <w:rsid w:val="00AB4650"/>
    <w:rsid w:val="00AB4891"/>
    <w:rsid w:val="00AB4896"/>
    <w:rsid w:val="00AB4A14"/>
    <w:rsid w:val="00AB4ABC"/>
    <w:rsid w:val="00AB4C57"/>
    <w:rsid w:val="00AB4FA3"/>
    <w:rsid w:val="00AB4FC7"/>
    <w:rsid w:val="00AB522B"/>
    <w:rsid w:val="00AB55E2"/>
    <w:rsid w:val="00AB55EF"/>
    <w:rsid w:val="00AB56E4"/>
    <w:rsid w:val="00AB57CC"/>
    <w:rsid w:val="00AB5A66"/>
    <w:rsid w:val="00AB5BF4"/>
    <w:rsid w:val="00AB5C4E"/>
    <w:rsid w:val="00AB5DF0"/>
    <w:rsid w:val="00AB5FD0"/>
    <w:rsid w:val="00AB631C"/>
    <w:rsid w:val="00AB6568"/>
    <w:rsid w:val="00AB65D9"/>
    <w:rsid w:val="00AB6622"/>
    <w:rsid w:val="00AB6BE8"/>
    <w:rsid w:val="00AB6EAD"/>
    <w:rsid w:val="00AB705E"/>
    <w:rsid w:val="00AB7061"/>
    <w:rsid w:val="00AB74C2"/>
    <w:rsid w:val="00AB75AC"/>
    <w:rsid w:val="00AB769E"/>
    <w:rsid w:val="00AB7732"/>
    <w:rsid w:val="00AB7998"/>
    <w:rsid w:val="00AB79BE"/>
    <w:rsid w:val="00AB7AE7"/>
    <w:rsid w:val="00AB7F32"/>
    <w:rsid w:val="00AB7FAC"/>
    <w:rsid w:val="00AC0083"/>
    <w:rsid w:val="00AC00A7"/>
    <w:rsid w:val="00AC0253"/>
    <w:rsid w:val="00AC0306"/>
    <w:rsid w:val="00AC03EC"/>
    <w:rsid w:val="00AC0744"/>
    <w:rsid w:val="00AC076C"/>
    <w:rsid w:val="00AC08B7"/>
    <w:rsid w:val="00AC095E"/>
    <w:rsid w:val="00AC0A57"/>
    <w:rsid w:val="00AC0A71"/>
    <w:rsid w:val="00AC0BFC"/>
    <w:rsid w:val="00AC0D90"/>
    <w:rsid w:val="00AC0E24"/>
    <w:rsid w:val="00AC0E40"/>
    <w:rsid w:val="00AC0E41"/>
    <w:rsid w:val="00AC146C"/>
    <w:rsid w:val="00AC1540"/>
    <w:rsid w:val="00AC15A3"/>
    <w:rsid w:val="00AC15B2"/>
    <w:rsid w:val="00AC1732"/>
    <w:rsid w:val="00AC180B"/>
    <w:rsid w:val="00AC1A40"/>
    <w:rsid w:val="00AC1A63"/>
    <w:rsid w:val="00AC1C13"/>
    <w:rsid w:val="00AC1DA3"/>
    <w:rsid w:val="00AC1E07"/>
    <w:rsid w:val="00AC1E50"/>
    <w:rsid w:val="00AC1EA3"/>
    <w:rsid w:val="00AC1EAA"/>
    <w:rsid w:val="00AC2148"/>
    <w:rsid w:val="00AC2408"/>
    <w:rsid w:val="00AC2670"/>
    <w:rsid w:val="00AC26FA"/>
    <w:rsid w:val="00AC2706"/>
    <w:rsid w:val="00AC28B9"/>
    <w:rsid w:val="00AC2911"/>
    <w:rsid w:val="00AC2970"/>
    <w:rsid w:val="00AC2B85"/>
    <w:rsid w:val="00AC2B8E"/>
    <w:rsid w:val="00AC2BBC"/>
    <w:rsid w:val="00AC30CA"/>
    <w:rsid w:val="00AC313A"/>
    <w:rsid w:val="00AC33FD"/>
    <w:rsid w:val="00AC34FA"/>
    <w:rsid w:val="00AC38C1"/>
    <w:rsid w:val="00AC38F2"/>
    <w:rsid w:val="00AC3978"/>
    <w:rsid w:val="00AC3B96"/>
    <w:rsid w:val="00AC3D54"/>
    <w:rsid w:val="00AC3DF7"/>
    <w:rsid w:val="00AC3E9F"/>
    <w:rsid w:val="00AC3F19"/>
    <w:rsid w:val="00AC3FEE"/>
    <w:rsid w:val="00AC4083"/>
    <w:rsid w:val="00AC4122"/>
    <w:rsid w:val="00AC425A"/>
    <w:rsid w:val="00AC4379"/>
    <w:rsid w:val="00AC4625"/>
    <w:rsid w:val="00AC472A"/>
    <w:rsid w:val="00AC4A43"/>
    <w:rsid w:val="00AC4C70"/>
    <w:rsid w:val="00AC4EEB"/>
    <w:rsid w:val="00AC4F4B"/>
    <w:rsid w:val="00AC50BD"/>
    <w:rsid w:val="00AC52CA"/>
    <w:rsid w:val="00AC5599"/>
    <w:rsid w:val="00AC55FB"/>
    <w:rsid w:val="00AC5606"/>
    <w:rsid w:val="00AC5AA5"/>
    <w:rsid w:val="00AC5AEB"/>
    <w:rsid w:val="00AC5CE2"/>
    <w:rsid w:val="00AC5E3E"/>
    <w:rsid w:val="00AC5EA3"/>
    <w:rsid w:val="00AC5EAB"/>
    <w:rsid w:val="00AC5EBD"/>
    <w:rsid w:val="00AC5FFB"/>
    <w:rsid w:val="00AC6144"/>
    <w:rsid w:val="00AC61DC"/>
    <w:rsid w:val="00AC62E4"/>
    <w:rsid w:val="00AC65F2"/>
    <w:rsid w:val="00AC672F"/>
    <w:rsid w:val="00AC6F66"/>
    <w:rsid w:val="00AC7200"/>
    <w:rsid w:val="00AC7665"/>
    <w:rsid w:val="00AC7747"/>
    <w:rsid w:val="00AC7ECA"/>
    <w:rsid w:val="00AC7F9A"/>
    <w:rsid w:val="00AC7FEE"/>
    <w:rsid w:val="00AD01E7"/>
    <w:rsid w:val="00AD032E"/>
    <w:rsid w:val="00AD038E"/>
    <w:rsid w:val="00AD0814"/>
    <w:rsid w:val="00AD08F0"/>
    <w:rsid w:val="00AD0A2E"/>
    <w:rsid w:val="00AD0C4B"/>
    <w:rsid w:val="00AD0CEF"/>
    <w:rsid w:val="00AD0E21"/>
    <w:rsid w:val="00AD0EE5"/>
    <w:rsid w:val="00AD0F8E"/>
    <w:rsid w:val="00AD1055"/>
    <w:rsid w:val="00AD1303"/>
    <w:rsid w:val="00AD1361"/>
    <w:rsid w:val="00AD144F"/>
    <w:rsid w:val="00AD152C"/>
    <w:rsid w:val="00AD1565"/>
    <w:rsid w:val="00AD15D9"/>
    <w:rsid w:val="00AD19A6"/>
    <w:rsid w:val="00AD1A33"/>
    <w:rsid w:val="00AD1D6E"/>
    <w:rsid w:val="00AD1EE4"/>
    <w:rsid w:val="00AD1EE8"/>
    <w:rsid w:val="00AD1FD5"/>
    <w:rsid w:val="00AD201D"/>
    <w:rsid w:val="00AD20D2"/>
    <w:rsid w:val="00AD224F"/>
    <w:rsid w:val="00AD2546"/>
    <w:rsid w:val="00AD2805"/>
    <w:rsid w:val="00AD28F5"/>
    <w:rsid w:val="00AD2CD0"/>
    <w:rsid w:val="00AD2F5A"/>
    <w:rsid w:val="00AD2FC0"/>
    <w:rsid w:val="00AD35F9"/>
    <w:rsid w:val="00AD3606"/>
    <w:rsid w:val="00AD3741"/>
    <w:rsid w:val="00AD38E0"/>
    <w:rsid w:val="00AD3B20"/>
    <w:rsid w:val="00AD3B7E"/>
    <w:rsid w:val="00AD3C53"/>
    <w:rsid w:val="00AD4203"/>
    <w:rsid w:val="00AD43CB"/>
    <w:rsid w:val="00AD4537"/>
    <w:rsid w:val="00AD45BA"/>
    <w:rsid w:val="00AD4693"/>
    <w:rsid w:val="00AD4B92"/>
    <w:rsid w:val="00AD4CCD"/>
    <w:rsid w:val="00AD4E31"/>
    <w:rsid w:val="00AD4EBB"/>
    <w:rsid w:val="00AD4F2C"/>
    <w:rsid w:val="00AD4F75"/>
    <w:rsid w:val="00AD4FF1"/>
    <w:rsid w:val="00AD50CC"/>
    <w:rsid w:val="00AD5479"/>
    <w:rsid w:val="00AD55C0"/>
    <w:rsid w:val="00AD561B"/>
    <w:rsid w:val="00AD580A"/>
    <w:rsid w:val="00AD5843"/>
    <w:rsid w:val="00AD5918"/>
    <w:rsid w:val="00AD5A0B"/>
    <w:rsid w:val="00AD5A87"/>
    <w:rsid w:val="00AD5C11"/>
    <w:rsid w:val="00AD5C52"/>
    <w:rsid w:val="00AD5CC8"/>
    <w:rsid w:val="00AD6087"/>
    <w:rsid w:val="00AD62CD"/>
    <w:rsid w:val="00AD6302"/>
    <w:rsid w:val="00AD6371"/>
    <w:rsid w:val="00AD641C"/>
    <w:rsid w:val="00AD692E"/>
    <w:rsid w:val="00AD73BE"/>
    <w:rsid w:val="00AD76B8"/>
    <w:rsid w:val="00AD76D9"/>
    <w:rsid w:val="00AD77A7"/>
    <w:rsid w:val="00AD7892"/>
    <w:rsid w:val="00AD79A6"/>
    <w:rsid w:val="00AD7A82"/>
    <w:rsid w:val="00AD7C2D"/>
    <w:rsid w:val="00AD7E2C"/>
    <w:rsid w:val="00AD7E4B"/>
    <w:rsid w:val="00AD7F27"/>
    <w:rsid w:val="00AD7FA8"/>
    <w:rsid w:val="00ADF288"/>
    <w:rsid w:val="00AE0020"/>
    <w:rsid w:val="00AE01D6"/>
    <w:rsid w:val="00AE0961"/>
    <w:rsid w:val="00AE09AD"/>
    <w:rsid w:val="00AE0C5B"/>
    <w:rsid w:val="00AE0C5C"/>
    <w:rsid w:val="00AE0CF2"/>
    <w:rsid w:val="00AE0DF7"/>
    <w:rsid w:val="00AE0F79"/>
    <w:rsid w:val="00AE108D"/>
    <w:rsid w:val="00AE1255"/>
    <w:rsid w:val="00AE12FD"/>
    <w:rsid w:val="00AE144C"/>
    <w:rsid w:val="00AE1CEA"/>
    <w:rsid w:val="00AE1E85"/>
    <w:rsid w:val="00AE1FB4"/>
    <w:rsid w:val="00AE20D6"/>
    <w:rsid w:val="00AE2126"/>
    <w:rsid w:val="00AE2175"/>
    <w:rsid w:val="00AE21AD"/>
    <w:rsid w:val="00AE21C0"/>
    <w:rsid w:val="00AE2398"/>
    <w:rsid w:val="00AE24CE"/>
    <w:rsid w:val="00AE2512"/>
    <w:rsid w:val="00AE2697"/>
    <w:rsid w:val="00AE2847"/>
    <w:rsid w:val="00AE288B"/>
    <w:rsid w:val="00AE28F6"/>
    <w:rsid w:val="00AE29B1"/>
    <w:rsid w:val="00AE2A0C"/>
    <w:rsid w:val="00AE2ADA"/>
    <w:rsid w:val="00AE2CF3"/>
    <w:rsid w:val="00AE2CFD"/>
    <w:rsid w:val="00AE2F44"/>
    <w:rsid w:val="00AE2FAE"/>
    <w:rsid w:val="00AE2FDB"/>
    <w:rsid w:val="00AE30D1"/>
    <w:rsid w:val="00AE30DA"/>
    <w:rsid w:val="00AE363E"/>
    <w:rsid w:val="00AE3731"/>
    <w:rsid w:val="00AE3779"/>
    <w:rsid w:val="00AE3F43"/>
    <w:rsid w:val="00AE4219"/>
    <w:rsid w:val="00AE4515"/>
    <w:rsid w:val="00AE46F1"/>
    <w:rsid w:val="00AE46FD"/>
    <w:rsid w:val="00AE47D1"/>
    <w:rsid w:val="00AE481F"/>
    <w:rsid w:val="00AE4874"/>
    <w:rsid w:val="00AE48B6"/>
    <w:rsid w:val="00AE48D3"/>
    <w:rsid w:val="00AE4917"/>
    <w:rsid w:val="00AE4A03"/>
    <w:rsid w:val="00AE4ACC"/>
    <w:rsid w:val="00AE4E00"/>
    <w:rsid w:val="00AE4F63"/>
    <w:rsid w:val="00AE5014"/>
    <w:rsid w:val="00AE51A2"/>
    <w:rsid w:val="00AE51DF"/>
    <w:rsid w:val="00AE52CC"/>
    <w:rsid w:val="00AE54F6"/>
    <w:rsid w:val="00AE5A11"/>
    <w:rsid w:val="00AE5B97"/>
    <w:rsid w:val="00AE5BEB"/>
    <w:rsid w:val="00AE5C3B"/>
    <w:rsid w:val="00AE5D2E"/>
    <w:rsid w:val="00AE5D47"/>
    <w:rsid w:val="00AE5E54"/>
    <w:rsid w:val="00AE5FB8"/>
    <w:rsid w:val="00AE6085"/>
    <w:rsid w:val="00AE623A"/>
    <w:rsid w:val="00AE64CE"/>
    <w:rsid w:val="00AE6723"/>
    <w:rsid w:val="00AE68DB"/>
    <w:rsid w:val="00AE6C5C"/>
    <w:rsid w:val="00AE6D01"/>
    <w:rsid w:val="00AE6F0F"/>
    <w:rsid w:val="00AE7324"/>
    <w:rsid w:val="00AE74DB"/>
    <w:rsid w:val="00AE753F"/>
    <w:rsid w:val="00AE759F"/>
    <w:rsid w:val="00AE7A90"/>
    <w:rsid w:val="00AE7AA5"/>
    <w:rsid w:val="00AE7B73"/>
    <w:rsid w:val="00AE7C8B"/>
    <w:rsid w:val="00AE7F4C"/>
    <w:rsid w:val="00AF00AA"/>
    <w:rsid w:val="00AF02FA"/>
    <w:rsid w:val="00AF0335"/>
    <w:rsid w:val="00AF054F"/>
    <w:rsid w:val="00AF05CE"/>
    <w:rsid w:val="00AF0898"/>
    <w:rsid w:val="00AF0DCC"/>
    <w:rsid w:val="00AF116F"/>
    <w:rsid w:val="00AF120D"/>
    <w:rsid w:val="00AF1593"/>
    <w:rsid w:val="00AF1611"/>
    <w:rsid w:val="00AF1626"/>
    <w:rsid w:val="00AF1A19"/>
    <w:rsid w:val="00AF1DE5"/>
    <w:rsid w:val="00AF1E1C"/>
    <w:rsid w:val="00AF2312"/>
    <w:rsid w:val="00AF25B8"/>
    <w:rsid w:val="00AF2600"/>
    <w:rsid w:val="00AF261D"/>
    <w:rsid w:val="00AF26C4"/>
    <w:rsid w:val="00AF277B"/>
    <w:rsid w:val="00AF287F"/>
    <w:rsid w:val="00AF2BC9"/>
    <w:rsid w:val="00AF2C01"/>
    <w:rsid w:val="00AF2D44"/>
    <w:rsid w:val="00AF2EC5"/>
    <w:rsid w:val="00AF2F6B"/>
    <w:rsid w:val="00AF2F87"/>
    <w:rsid w:val="00AF3048"/>
    <w:rsid w:val="00AF3103"/>
    <w:rsid w:val="00AF31D9"/>
    <w:rsid w:val="00AF324E"/>
    <w:rsid w:val="00AF33F0"/>
    <w:rsid w:val="00AF343C"/>
    <w:rsid w:val="00AF3540"/>
    <w:rsid w:val="00AF3902"/>
    <w:rsid w:val="00AF3A60"/>
    <w:rsid w:val="00AF3DC5"/>
    <w:rsid w:val="00AF400E"/>
    <w:rsid w:val="00AF41AE"/>
    <w:rsid w:val="00AF4263"/>
    <w:rsid w:val="00AF438A"/>
    <w:rsid w:val="00AF44C7"/>
    <w:rsid w:val="00AF459B"/>
    <w:rsid w:val="00AF4898"/>
    <w:rsid w:val="00AF4A5A"/>
    <w:rsid w:val="00AF4B07"/>
    <w:rsid w:val="00AF4C77"/>
    <w:rsid w:val="00AF4D99"/>
    <w:rsid w:val="00AF4E4F"/>
    <w:rsid w:val="00AF5053"/>
    <w:rsid w:val="00AF50A9"/>
    <w:rsid w:val="00AF52D1"/>
    <w:rsid w:val="00AF531E"/>
    <w:rsid w:val="00AF53DD"/>
    <w:rsid w:val="00AF55DC"/>
    <w:rsid w:val="00AF58EC"/>
    <w:rsid w:val="00AF59A7"/>
    <w:rsid w:val="00AF5C5E"/>
    <w:rsid w:val="00AF61AF"/>
    <w:rsid w:val="00AF61DE"/>
    <w:rsid w:val="00AF6254"/>
    <w:rsid w:val="00AF6256"/>
    <w:rsid w:val="00AF6476"/>
    <w:rsid w:val="00AF66B8"/>
    <w:rsid w:val="00AF707D"/>
    <w:rsid w:val="00AF719A"/>
    <w:rsid w:val="00AF7355"/>
    <w:rsid w:val="00AF765D"/>
    <w:rsid w:val="00AF772C"/>
    <w:rsid w:val="00AF7736"/>
    <w:rsid w:val="00AF77E7"/>
    <w:rsid w:val="00AF7839"/>
    <w:rsid w:val="00AF78F2"/>
    <w:rsid w:val="00AF7A6F"/>
    <w:rsid w:val="00AF7B3C"/>
    <w:rsid w:val="00AF7F0E"/>
    <w:rsid w:val="00AF7F24"/>
    <w:rsid w:val="00B00326"/>
    <w:rsid w:val="00B0034A"/>
    <w:rsid w:val="00B0044A"/>
    <w:rsid w:val="00B00486"/>
    <w:rsid w:val="00B0069F"/>
    <w:rsid w:val="00B007AB"/>
    <w:rsid w:val="00B0083F"/>
    <w:rsid w:val="00B00B25"/>
    <w:rsid w:val="00B01158"/>
    <w:rsid w:val="00B011AF"/>
    <w:rsid w:val="00B01582"/>
    <w:rsid w:val="00B0177C"/>
    <w:rsid w:val="00B01A3A"/>
    <w:rsid w:val="00B01AA7"/>
    <w:rsid w:val="00B01B1F"/>
    <w:rsid w:val="00B01E12"/>
    <w:rsid w:val="00B02290"/>
    <w:rsid w:val="00B022A7"/>
    <w:rsid w:val="00B022B5"/>
    <w:rsid w:val="00B023BC"/>
    <w:rsid w:val="00B02476"/>
    <w:rsid w:val="00B024B0"/>
    <w:rsid w:val="00B0266C"/>
    <w:rsid w:val="00B026B0"/>
    <w:rsid w:val="00B02700"/>
    <w:rsid w:val="00B028E1"/>
    <w:rsid w:val="00B028F0"/>
    <w:rsid w:val="00B0294B"/>
    <w:rsid w:val="00B029B9"/>
    <w:rsid w:val="00B02B1A"/>
    <w:rsid w:val="00B02D8C"/>
    <w:rsid w:val="00B02E2E"/>
    <w:rsid w:val="00B02E92"/>
    <w:rsid w:val="00B03178"/>
    <w:rsid w:val="00B03185"/>
    <w:rsid w:val="00B0328E"/>
    <w:rsid w:val="00B0354A"/>
    <w:rsid w:val="00B03568"/>
    <w:rsid w:val="00B03B49"/>
    <w:rsid w:val="00B03B61"/>
    <w:rsid w:val="00B03E15"/>
    <w:rsid w:val="00B03F9F"/>
    <w:rsid w:val="00B0402E"/>
    <w:rsid w:val="00B04053"/>
    <w:rsid w:val="00B042C9"/>
    <w:rsid w:val="00B045D4"/>
    <w:rsid w:val="00B048A6"/>
    <w:rsid w:val="00B048DB"/>
    <w:rsid w:val="00B04AC8"/>
    <w:rsid w:val="00B04E4D"/>
    <w:rsid w:val="00B04F26"/>
    <w:rsid w:val="00B050BA"/>
    <w:rsid w:val="00B051C8"/>
    <w:rsid w:val="00B05308"/>
    <w:rsid w:val="00B0532F"/>
    <w:rsid w:val="00B05341"/>
    <w:rsid w:val="00B056C6"/>
    <w:rsid w:val="00B058E1"/>
    <w:rsid w:val="00B058E7"/>
    <w:rsid w:val="00B05B0D"/>
    <w:rsid w:val="00B05C74"/>
    <w:rsid w:val="00B05F6B"/>
    <w:rsid w:val="00B06125"/>
    <w:rsid w:val="00B0622A"/>
    <w:rsid w:val="00B06485"/>
    <w:rsid w:val="00B0662F"/>
    <w:rsid w:val="00B06784"/>
    <w:rsid w:val="00B069BD"/>
    <w:rsid w:val="00B06A7D"/>
    <w:rsid w:val="00B06AA3"/>
    <w:rsid w:val="00B06D84"/>
    <w:rsid w:val="00B06FB5"/>
    <w:rsid w:val="00B0717A"/>
    <w:rsid w:val="00B07A49"/>
    <w:rsid w:val="00B07E09"/>
    <w:rsid w:val="00B1000E"/>
    <w:rsid w:val="00B1002F"/>
    <w:rsid w:val="00B1003F"/>
    <w:rsid w:val="00B10102"/>
    <w:rsid w:val="00B10130"/>
    <w:rsid w:val="00B10384"/>
    <w:rsid w:val="00B10387"/>
    <w:rsid w:val="00B1055E"/>
    <w:rsid w:val="00B10A7B"/>
    <w:rsid w:val="00B10B1E"/>
    <w:rsid w:val="00B10B9D"/>
    <w:rsid w:val="00B10F95"/>
    <w:rsid w:val="00B113D4"/>
    <w:rsid w:val="00B114A8"/>
    <w:rsid w:val="00B11C2F"/>
    <w:rsid w:val="00B1201A"/>
    <w:rsid w:val="00B12098"/>
    <w:rsid w:val="00B12339"/>
    <w:rsid w:val="00B123EE"/>
    <w:rsid w:val="00B12442"/>
    <w:rsid w:val="00B124CE"/>
    <w:rsid w:val="00B125CF"/>
    <w:rsid w:val="00B12679"/>
    <w:rsid w:val="00B12AE8"/>
    <w:rsid w:val="00B12CE0"/>
    <w:rsid w:val="00B12EFE"/>
    <w:rsid w:val="00B1306E"/>
    <w:rsid w:val="00B132F3"/>
    <w:rsid w:val="00B13317"/>
    <w:rsid w:val="00B13465"/>
    <w:rsid w:val="00B134A2"/>
    <w:rsid w:val="00B136D9"/>
    <w:rsid w:val="00B13A9E"/>
    <w:rsid w:val="00B13D10"/>
    <w:rsid w:val="00B13E88"/>
    <w:rsid w:val="00B13F0F"/>
    <w:rsid w:val="00B13F34"/>
    <w:rsid w:val="00B13F95"/>
    <w:rsid w:val="00B14083"/>
    <w:rsid w:val="00B140B4"/>
    <w:rsid w:val="00B140C4"/>
    <w:rsid w:val="00B1410A"/>
    <w:rsid w:val="00B142A3"/>
    <w:rsid w:val="00B14319"/>
    <w:rsid w:val="00B1433E"/>
    <w:rsid w:val="00B14887"/>
    <w:rsid w:val="00B1490F"/>
    <w:rsid w:val="00B14998"/>
    <w:rsid w:val="00B14C5A"/>
    <w:rsid w:val="00B14D0F"/>
    <w:rsid w:val="00B14D5D"/>
    <w:rsid w:val="00B150C0"/>
    <w:rsid w:val="00B152B5"/>
    <w:rsid w:val="00B15395"/>
    <w:rsid w:val="00B153B7"/>
    <w:rsid w:val="00B15504"/>
    <w:rsid w:val="00B155C8"/>
    <w:rsid w:val="00B155CE"/>
    <w:rsid w:val="00B15634"/>
    <w:rsid w:val="00B1580E"/>
    <w:rsid w:val="00B158CF"/>
    <w:rsid w:val="00B15BC4"/>
    <w:rsid w:val="00B15C45"/>
    <w:rsid w:val="00B15C97"/>
    <w:rsid w:val="00B15CE8"/>
    <w:rsid w:val="00B15D77"/>
    <w:rsid w:val="00B15E15"/>
    <w:rsid w:val="00B15E61"/>
    <w:rsid w:val="00B16306"/>
    <w:rsid w:val="00B1649C"/>
    <w:rsid w:val="00B164EB"/>
    <w:rsid w:val="00B165D2"/>
    <w:rsid w:val="00B16609"/>
    <w:rsid w:val="00B16965"/>
    <w:rsid w:val="00B16A9E"/>
    <w:rsid w:val="00B16B04"/>
    <w:rsid w:val="00B16C19"/>
    <w:rsid w:val="00B16F21"/>
    <w:rsid w:val="00B16F9E"/>
    <w:rsid w:val="00B16FCD"/>
    <w:rsid w:val="00B17306"/>
    <w:rsid w:val="00B1734D"/>
    <w:rsid w:val="00B1738A"/>
    <w:rsid w:val="00B174DB"/>
    <w:rsid w:val="00B17870"/>
    <w:rsid w:val="00B17A26"/>
    <w:rsid w:val="00B17A43"/>
    <w:rsid w:val="00B17B70"/>
    <w:rsid w:val="00B17B71"/>
    <w:rsid w:val="00B17D74"/>
    <w:rsid w:val="00B17DC0"/>
    <w:rsid w:val="00B1EA57"/>
    <w:rsid w:val="00B2045A"/>
    <w:rsid w:val="00B205DE"/>
    <w:rsid w:val="00B208D0"/>
    <w:rsid w:val="00B209BF"/>
    <w:rsid w:val="00B20A67"/>
    <w:rsid w:val="00B20D12"/>
    <w:rsid w:val="00B20D7F"/>
    <w:rsid w:val="00B21074"/>
    <w:rsid w:val="00B210FC"/>
    <w:rsid w:val="00B2130B"/>
    <w:rsid w:val="00B21554"/>
    <w:rsid w:val="00B218F4"/>
    <w:rsid w:val="00B21B1F"/>
    <w:rsid w:val="00B21B85"/>
    <w:rsid w:val="00B21D2E"/>
    <w:rsid w:val="00B21F2C"/>
    <w:rsid w:val="00B22032"/>
    <w:rsid w:val="00B2207D"/>
    <w:rsid w:val="00B2217F"/>
    <w:rsid w:val="00B2231B"/>
    <w:rsid w:val="00B2246B"/>
    <w:rsid w:val="00B2247B"/>
    <w:rsid w:val="00B22495"/>
    <w:rsid w:val="00B2268E"/>
    <w:rsid w:val="00B22999"/>
    <w:rsid w:val="00B22CAC"/>
    <w:rsid w:val="00B22FD1"/>
    <w:rsid w:val="00B22FFE"/>
    <w:rsid w:val="00B2317A"/>
    <w:rsid w:val="00B23226"/>
    <w:rsid w:val="00B233E9"/>
    <w:rsid w:val="00B2343E"/>
    <w:rsid w:val="00B2382C"/>
    <w:rsid w:val="00B238D9"/>
    <w:rsid w:val="00B23AAF"/>
    <w:rsid w:val="00B23BEC"/>
    <w:rsid w:val="00B23C7A"/>
    <w:rsid w:val="00B23C8A"/>
    <w:rsid w:val="00B23D38"/>
    <w:rsid w:val="00B23DE7"/>
    <w:rsid w:val="00B23EB0"/>
    <w:rsid w:val="00B24033"/>
    <w:rsid w:val="00B247F0"/>
    <w:rsid w:val="00B248E1"/>
    <w:rsid w:val="00B2499A"/>
    <w:rsid w:val="00B24D26"/>
    <w:rsid w:val="00B24DBF"/>
    <w:rsid w:val="00B2524C"/>
    <w:rsid w:val="00B2534F"/>
    <w:rsid w:val="00B25385"/>
    <w:rsid w:val="00B253A4"/>
    <w:rsid w:val="00B2542E"/>
    <w:rsid w:val="00B2564E"/>
    <w:rsid w:val="00B25686"/>
    <w:rsid w:val="00B2597B"/>
    <w:rsid w:val="00B25C5F"/>
    <w:rsid w:val="00B25D20"/>
    <w:rsid w:val="00B25DEE"/>
    <w:rsid w:val="00B26220"/>
    <w:rsid w:val="00B263CA"/>
    <w:rsid w:val="00B263F5"/>
    <w:rsid w:val="00B26502"/>
    <w:rsid w:val="00B26551"/>
    <w:rsid w:val="00B2671D"/>
    <w:rsid w:val="00B268BF"/>
    <w:rsid w:val="00B2697E"/>
    <w:rsid w:val="00B26A15"/>
    <w:rsid w:val="00B27215"/>
    <w:rsid w:val="00B274C5"/>
    <w:rsid w:val="00B27539"/>
    <w:rsid w:val="00B279A3"/>
    <w:rsid w:val="00B27A3E"/>
    <w:rsid w:val="00B27B5A"/>
    <w:rsid w:val="00B27B9E"/>
    <w:rsid w:val="00B27CE8"/>
    <w:rsid w:val="00B2BC1E"/>
    <w:rsid w:val="00B30285"/>
    <w:rsid w:val="00B302CC"/>
    <w:rsid w:val="00B302E2"/>
    <w:rsid w:val="00B307A5"/>
    <w:rsid w:val="00B30880"/>
    <w:rsid w:val="00B30886"/>
    <w:rsid w:val="00B309DA"/>
    <w:rsid w:val="00B30CDB"/>
    <w:rsid w:val="00B30D2B"/>
    <w:rsid w:val="00B3130E"/>
    <w:rsid w:val="00B314AD"/>
    <w:rsid w:val="00B315C7"/>
    <w:rsid w:val="00B31767"/>
    <w:rsid w:val="00B318C8"/>
    <w:rsid w:val="00B3195A"/>
    <w:rsid w:val="00B31994"/>
    <w:rsid w:val="00B31C21"/>
    <w:rsid w:val="00B31D5E"/>
    <w:rsid w:val="00B31D97"/>
    <w:rsid w:val="00B32212"/>
    <w:rsid w:val="00B32618"/>
    <w:rsid w:val="00B32790"/>
    <w:rsid w:val="00B327A2"/>
    <w:rsid w:val="00B327B8"/>
    <w:rsid w:val="00B32A86"/>
    <w:rsid w:val="00B32AF4"/>
    <w:rsid w:val="00B32AF5"/>
    <w:rsid w:val="00B32B2C"/>
    <w:rsid w:val="00B32D7C"/>
    <w:rsid w:val="00B32F22"/>
    <w:rsid w:val="00B32F7C"/>
    <w:rsid w:val="00B330F4"/>
    <w:rsid w:val="00B335CB"/>
    <w:rsid w:val="00B33A16"/>
    <w:rsid w:val="00B33ADC"/>
    <w:rsid w:val="00B33E82"/>
    <w:rsid w:val="00B34256"/>
    <w:rsid w:val="00B34362"/>
    <w:rsid w:val="00B34415"/>
    <w:rsid w:val="00B34446"/>
    <w:rsid w:val="00B344CB"/>
    <w:rsid w:val="00B3464B"/>
    <w:rsid w:val="00B3494E"/>
    <w:rsid w:val="00B34BF2"/>
    <w:rsid w:val="00B34C6F"/>
    <w:rsid w:val="00B34C8B"/>
    <w:rsid w:val="00B34E3B"/>
    <w:rsid w:val="00B34FBE"/>
    <w:rsid w:val="00B34FFD"/>
    <w:rsid w:val="00B3521B"/>
    <w:rsid w:val="00B35373"/>
    <w:rsid w:val="00B353F4"/>
    <w:rsid w:val="00B35563"/>
    <w:rsid w:val="00B357A8"/>
    <w:rsid w:val="00B3586C"/>
    <w:rsid w:val="00B35934"/>
    <w:rsid w:val="00B35BA6"/>
    <w:rsid w:val="00B35C7A"/>
    <w:rsid w:val="00B35D5E"/>
    <w:rsid w:val="00B360E6"/>
    <w:rsid w:val="00B362B0"/>
    <w:rsid w:val="00B364EF"/>
    <w:rsid w:val="00B3669F"/>
    <w:rsid w:val="00B3683D"/>
    <w:rsid w:val="00B36970"/>
    <w:rsid w:val="00B36A68"/>
    <w:rsid w:val="00B36C98"/>
    <w:rsid w:val="00B36EAB"/>
    <w:rsid w:val="00B3704D"/>
    <w:rsid w:val="00B37371"/>
    <w:rsid w:val="00B37484"/>
    <w:rsid w:val="00B3783F"/>
    <w:rsid w:val="00B37C78"/>
    <w:rsid w:val="00B37E1B"/>
    <w:rsid w:val="00B37EA1"/>
    <w:rsid w:val="00B400C5"/>
    <w:rsid w:val="00B40160"/>
    <w:rsid w:val="00B402ED"/>
    <w:rsid w:val="00B4085B"/>
    <w:rsid w:val="00B408F2"/>
    <w:rsid w:val="00B4093A"/>
    <w:rsid w:val="00B40AA1"/>
    <w:rsid w:val="00B40F35"/>
    <w:rsid w:val="00B41648"/>
    <w:rsid w:val="00B4190C"/>
    <w:rsid w:val="00B41990"/>
    <w:rsid w:val="00B41AC9"/>
    <w:rsid w:val="00B42021"/>
    <w:rsid w:val="00B42203"/>
    <w:rsid w:val="00B42681"/>
    <w:rsid w:val="00B42891"/>
    <w:rsid w:val="00B42AAA"/>
    <w:rsid w:val="00B42CBC"/>
    <w:rsid w:val="00B42DA6"/>
    <w:rsid w:val="00B42EC3"/>
    <w:rsid w:val="00B4306D"/>
    <w:rsid w:val="00B4325B"/>
    <w:rsid w:val="00B4325F"/>
    <w:rsid w:val="00B433A5"/>
    <w:rsid w:val="00B437B3"/>
    <w:rsid w:val="00B439C5"/>
    <w:rsid w:val="00B43C6A"/>
    <w:rsid w:val="00B43DDF"/>
    <w:rsid w:val="00B43FB5"/>
    <w:rsid w:val="00B445A3"/>
    <w:rsid w:val="00B4467A"/>
    <w:rsid w:val="00B44786"/>
    <w:rsid w:val="00B44A1A"/>
    <w:rsid w:val="00B44C10"/>
    <w:rsid w:val="00B44D81"/>
    <w:rsid w:val="00B44D8B"/>
    <w:rsid w:val="00B45019"/>
    <w:rsid w:val="00B45117"/>
    <w:rsid w:val="00B452E5"/>
    <w:rsid w:val="00B453A5"/>
    <w:rsid w:val="00B455C3"/>
    <w:rsid w:val="00B45721"/>
    <w:rsid w:val="00B4576A"/>
    <w:rsid w:val="00B457C7"/>
    <w:rsid w:val="00B45988"/>
    <w:rsid w:val="00B45A7A"/>
    <w:rsid w:val="00B45BEB"/>
    <w:rsid w:val="00B45C39"/>
    <w:rsid w:val="00B45FA0"/>
    <w:rsid w:val="00B46306"/>
    <w:rsid w:val="00B46397"/>
    <w:rsid w:val="00B466E6"/>
    <w:rsid w:val="00B46AC5"/>
    <w:rsid w:val="00B46BAB"/>
    <w:rsid w:val="00B46C55"/>
    <w:rsid w:val="00B46E73"/>
    <w:rsid w:val="00B4734D"/>
    <w:rsid w:val="00B47412"/>
    <w:rsid w:val="00B47443"/>
    <w:rsid w:val="00B47445"/>
    <w:rsid w:val="00B47999"/>
    <w:rsid w:val="00B479E6"/>
    <w:rsid w:val="00B479FE"/>
    <w:rsid w:val="00B47BE1"/>
    <w:rsid w:val="00B47C9F"/>
    <w:rsid w:val="00B47F21"/>
    <w:rsid w:val="00B501DE"/>
    <w:rsid w:val="00B50272"/>
    <w:rsid w:val="00B503C5"/>
    <w:rsid w:val="00B504FF"/>
    <w:rsid w:val="00B505DF"/>
    <w:rsid w:val="00B50655"/>
    <w:rsid w:val="00B50704"/>
    <w:rsid w:val="00B50864"/>
    <w:rsid w:val="00B50B5B"/>
    <w:rsid w:val="00B50BF2"/>
    <w:rsid w:val="00B50C13"/>
    <w:rsid w:val="00B50EB0"/>
    <w:rsid w:val="00B50ED6"/>
    <w:rsid w:val="00B51093"/>
    <w:rsid w:val="00B51108"/>
    <w:rsid w:val="00B512E8"/>
    <w:rsid w:val="00B513D3"/>
    <w:rsid w:val="00B51414"/>
    <w:rsid w:val="00B5144C"/>
    <w:rsid w:val="00B51495"/>
    <w:rsid w:val="00B514BB"/>
    <w:rsid w:val="00B515A5"/>
    <w:rsid w:val="00B515FE"/>
    <w:rsid w:val="00B51640"/>
    <w:rsid w:val="00B517A9"/>
    <w:rsid w:val="00B5191F"/>
    <w:rsid w:val="00B51EE4"/>
    <w:rsid w:val="00B521DC"/>
    <w:rsid w:val="00B52270"/>
    <w:rsid w:val="00B52402"/>
    <w:rsid w:val="00B5246B"/>
    <w:rsid w:val="00B52561"/>
    <w:rsid w:val="00B527DC"/>
    <w:rsid w:val="00B527E0"/>
    <w:rsid w:val="00B52839"/>
    <w:rsid w:val="00B528CA"/>
    <w:rsid w:val="00B52C4F"/>
    <w:rsid w:val="00B52D0A"/>
    <w:rsid w:val="00B52D5D"/>
    <w:rsid w:val="00B52EFE"/>
    <w:rsid w:val="00B53208"/>
    <w:rsid w:val="00B53306"/>
    <w:rsid w:val="00B53335"/>
    <w:rsid w:val="00B5367F"/>
    <w:rsid w:val="00B53789"/>
    <w:rsid w:val="00B53800"/>
    <w:rsid w:val="00B53898"/>
    <w:rsid w:val="00B538C2"/>
    <w:rsid w:val="00B53C04"/>
    <w:rsid w:val="00B53E31"/>
    <w:rsid w:val="00B53FF7"/>
    <w:rsid w:val="00B5403C"/>
    <w:rsid w:val="00B54111"/>
    <w:rsid w:val="00B542C4"/>
    <w:rsid w:val="00B542D9"/>
    <w:rsid w:val="00B54399"/>
    <w:rsid w:val="00B5460E"/>
    <w:rsid w:val="00B54D71"/>
    <w:rsid w:val="00B55278"/>
    <w:rsid w:val="00B55459"/>
    <w:rsid w:val="00B55B19"/>
    <w:rsid w:val="00B55BF0"/>
    <w:rsid w:val="00B55F27"/>
    <w:rsid w:val="00B56024"/>
    <w:rsid w:val="00B566E8"/>
    <w:rsid w:val="00B568B6"/>
    <w:rsid w:val="00B568CC"/>
    <w:rsid w:val="00B568F4"/>
    <w:rsid w:val="00B56C3A"/>
    <w:rsid w:val="00B56D10"/>
    <w:rsid w:val="00B56E0B"/>
    <w:rsid w:val="00B57098"/>
    <w:rsid w:val="00B57138"/>
    <w:rsid w:val="00B5715F"/>
    <w:rsid w:val="00B571B9"/>
    <w:rsid w:val="00B572E0"/>
    <w:rsid w:val="00B57313"/>
    <w:rsid w:val="00B574E7"/>
    <w:rsid w:val="00B575E4"/>
    <w:rsid w:val="00B57720"/>
    <w:rsid w:val="00B57B1B"/>
    <w:rsid w:val="00B57B4A"/>
    <w:rsid w:val="00B57F2F"/>
    <w:rsid w:val="00B57FF0"/>
    <w:rsid w:val="00B60118"/>
    <w:rsid w:val="00B6012A"/>
    <w:rsid w:val="00B60297"/>
    <w:rsid w:val="00B604CE"/>
    <w:rsid w:val="00B60795"/>
    <w:rsid w:val="00B607B4"/>
    <w:rsid w:val="00B60866"/>
    <w:rsid w:val="00B60C77"/>
    <w:rsid w:val="00B60E4D"/>
    <w:rsid w:val="00B6113B"/>
    <w:rsid w:val="00B61301"/>
    <w:rsid w:val="00B61499"/>
    <w:rsid w:val="00B6152D"/>
    <w:rsid w:val="00B6155E"/>
    <w:rsid w:val="00B616BB"/>
    <w:rsid w:val="00B617B3"/>
    <w:rsid w:val="00B61842"/>
    <w:rsid w:val="00B619EE"/>
    <w:rsid w:val="00B61AF9"/>
    <w:rsid w:val="00B61B9D"/>
    <w:rsid w:val="00B61BA5"/>
    <w:rsid w:val="00B61DA5"/>
    <w:rsid w:val="00B61DDD"/>
    <w:rsid w:val="00B61F9D"/>
    <w:rsid w:val="00B6221F"/>
    <w:rsid w:val="00B62285"/>
    <w:rsid w:val="00B62294"/>
    <w:rsid w:val="00B622D9"/>
    <w:rsid w:val="00B62337"/>
    <w:rsid w:val="00B6234E"/>
    <w:rsid w:val="00B6287B"/>
    <w:rsid w:val="00B629AB"/>
    <w:rsid w:val="00B62B05"/>
    <w:rsid w:val="00B62B1A"/>
    <w:rsid w:val="00B62BB8"/>
    <w:rsid w:val="00B62C12"/>
    <w:rsid w:val="00B62DD5"/>
    <w:rsid w:val="00B62E1E"/>
    <w:rsid w:val="00B62E79"/>
    <w:rsid w:val="00B62FBA"/>
    <w:rsid w:val="00B633CA"/>
    <w:rsid w:val="00B63416"/>
    <w:rsid w:val="00B63564"/>
    <w:rsid w:val="00B63672"/>
    <w:rsid w:val="00B636CC"/>
    <w:rsid w:val="00B6397C"/>
    <w:rsid w:val="00B63B0C"/>
    <w:rsid w:val="00B63B63"/>
    <w:rsid w:val="00B63C41"/>
    <w:rsid w:val="00B63F78"/>
    <w:rsid w:val="00B64155"/>
    <w:rsid w:val="00B64296"/>
    <w:rsid w:val="00B64307"/>
    <w:rsid w:val="00B644DB"/>
    <w:rsid w:val="00B64538"/>
    <w:rsid w:val="00B649AF"/>
    <w:rsid w:val="00B64D6D"/>
    <w:rsid w:val="00B64E69"/>
    <w:rsid w:val="00B654F7"/>
    <w:rsid w:val="00B656D0"/>
    <w:rsid w:val="00B65758"/>
    <w:rsid w:val="00B65A9C"/>
    <w:rsid w:val="00B65A9E"/>
    <w:rsid w:val="00B65B47"/>
    <w:rsid w:val="00B65BB6"/>
    <w:rsid w:val="00B65E34"/>
    <w:rsid w:val="00B66131"/>
    <w:rsid w:val="00B6627C"/>
    <w:rsid w:val="00B664FC"/>
    <w:rsid w:val="00B66564"/>
    <w:rsid w:val="00B6685F"/>
    <w:rsid w:val="00B668AE"/>
    <w:rsid w:val="00B67253"/>
    <w:rsid w:val="00B67474"/>
    <w:rsid w:val="00B67874"/>
    <w:rsid w:val="00B679FC"/>
    <w:rsid w:val="00B67A3C"/>
    <w:rsid w:val="00B67C87"/>
    <w:rsid w:val="00B67D58"/>
    <w:rsid w:val="00B67EED"/>
    <w:rsid w:val="00B67F29"/>
    <w:rsid w:val="00B70115"/>
    <w:rsid w:val="00B702DB"/>
    <w:rsid w:val="00B702EA"/>
    <w:rsid w:val="00B7036B"/>
    <w:rsid w:val="00B70488"/>
    <w:rsid w:val="00B70AB2"/>
    <w:rsid w:val="00B70ABD"/>
    <w:rsid w:val="00B70BA0"/>
    <w:rsid w:val="00B70C3D"/>
    <w:rsid w:val="00B70CFD"/>
    <w:rsid w:val="00B70E1C"/>
    <w:rsid w:val="00B710D0"/>
    <w:rsid w:val="00B7141A"/>
    <w:rsid w:val="00B71873"/>
    <w:rsid w:val="00B71B5D"/>
    <w:rsid w:val="00B72065"/>
    <w:rsid w:val="00B72613"/>
    <w:rsid w:val="00B72624"/>
    <w:rsid w:val="00B7263A"/>
    <w:rsid w:val="00B726E7"/>
    <w:rsid w:val="00B72862"/>
    <w:rsid w:val="00B72916"/>
    <w:rsid w:val="00B72935"/>
    <w:rsid w:val="00B72D7E"/>
    <w:rsid w:val="00B72D82"/>
    <w:rsid w:val="00B72EB9"/>
    <w:rsid w:val="00B72F7D"/>
    <w:rsid w:val="00B73156"/>
    <w:rsid w:val="00B731CA"/>
    <w:rsid w:val="00B73443"/>
    <w:rsid w:val="00B73AD6"/>
    <w:rsid w:val="00B73B59"/>
    <w:rsid w:val="00B74011"/>
    <w:rsid w:val="00B741DC"/>
    <w:rsid w:val="00B741FE"/>
    <w:rsid w:val="00B7427D"/>
    <w:rsid w:val="00B743AD"/>
    <w:rsid w:val="00B743BF"/>
    <w:rsid w:val="00B74447"/>
    <w:rsid w:val="00B7474A"/>
    <w:rsid w:val="00B747C7"/>
    <w:rsid w:val="00B747F5"/>
    <w:rsid w:val="00B749D4"/>
    <w:rsid w:val="00B74A4E"/>
    <w:rsid w:val="00B74BA8"/>
    <w:rsid w:val="00B74EC4"/>
    <w:rsid w:val="00B74F79"/>
    <w:rsid w:val="00B750C4"/>
    <w:rsid w:val="00B7511D"/>
    <w:rsid w:val="00B75128"/>
    <w:rsid w:val="00B751B0"/>
    <w:rsid w:val="00B75238"/>
    <w:rsid w:val="00B7534A"/>
    <w:rsid w:val="00B75477"/>
    <w:rsid w:val="00B75537"/>
    <w:rsid w:val="00B75659"/>
    <w:rsid w:val="00B75749"/>
    <w:rsid w:val="00B757BB"/>
    <w:rsid w:val="00B75926"/>
    <w:rsid w:val="00B75A59"/>
    <w:rsid w:val="00B75B66"/>
    <w:rsid w:val="00B75E37"/>
    <w:rsid w:val="00B75F5C"/>
    <w:rsid w:val="00B75F79"/>
    <w:rsid w:val="00B75FEE"/>
    <w:rsid w:val="00B76305"/>
    <w:rsid w:val="00B766E2"/>
    <w:rsid w:val="00B767FA"/>
    <w:rsid w:val="00B76A49"/>
    <w:rsid w:val="00B76A8C"/>
    <w:rsid w:val="00B76B7D"/>
    <w:rsid w:val="00B76D0F"/>
    <w:rsid w:val="00B76E88"/>
    <w:rsid w:val="00B77030"/>
    <w:rsid w:val="00B7716C"/>
    <w:rsid w:val="00B7718C"/>
    <w:rsid w:val="00B771B3"/>
    <w:rsid w:val="00B774F9"/>
    <w:rsid w:val="00B77605"/>
    <w:rsid w:val="00B776ED"/>
    <w:rsid w:val="00B77F0D"/>
    <w:rsid w:val="00B77F27"/>
    <w:rsid w:val="00B77FF6"/>
    <w:rsid w:val="00B80083"/>
    <w:rsid w:val="00B80164"/>
    <w:rsid w:val="00B80540"/>
    <w:rsid w:val="00B805B9"/>
    <w:rsid w:val="00B805D1"/>
    <w:rsid w:val="00B806B8"/>
    <w:rsid w:val="00B80761"/>
    <w:rsid w:val="00B80785"/>
    <w:rsid w:val="00B80B58"/>
    <w:rsid w:val="00B80BC8"/>
    <w:rsid w:val="00B80CB0"/>
    <w:rsid w:val="00B80D27"/>
    <w:rsid w:val="00B80D71"/>
    <w:rsid w:val="00B80DF1"/>
    <w:rsid w:val="00B80F37"/>
    <w:rsid w:val="00B8101B"/>
    <w:rsid w:val="00B8118C"/>
    <w:rsid w:val="00B8146A"/>
    <w:rsid w:val="00B8168B"/>
    <w:rsid w:val="00B81740"/>
    <w:rsid w:val="00B81B28"/>
    <w:rsid w:val="00B81C86"/>
    <w:rsid w:val="00B8201B"/>
    <w:rsid w:val="00B820B3"/>
    <w:rsid w:val="00B821A8"/>
    <w:rsid w:val="00B82324"/>
    <w:rsid w:val="00B8249F"/>
    <w:rsid w:val="00B8296F"/>
    <w:rsid w:val="00B82A4D"/>
    <w:rsid w:val="00B82C2C"/>
    <w:rsid w:val="00B82CC6"/>
    <w:rsid w:val="00B83185"/>
    <w:rsid w:val="00B833B2"/>
    <w:rsid w:val="00B83524"/>
    <w:rsid w:val="00B835C3"/>
    <w:rsid w:val="00B835E4"/>
    <w:rsid w:val="00B8368F"/>
    <w:rsid w:val="00B83944"/>
    <w:rsid w:val="00B83A02"/>
    <w:rsid w:val="00B83AB3"/>
    <w:rsid w:val="00B83BB2"/>
    <w:rsid w:val="00B83E16"/>
    <w:rsid w:val="00B83F32"/>
    <w:rsid w:val="00B8413C"/>
    <w:rsid w:val="00B84605"/>
    <w:rsid w:val="00B8472F"/>
    <w:rsid w:val="00B847B6"/>
    <w:rsid w:val="00B8494E"/>
    <w:rsid w:val="00B84AF0"/>
    <w:rsid w:val="00B84DAD"/>
    <w:rsid w:val="00B85035"/>
    <w:rsid w:val="00B8503C"/>
    <w:rsid w:val="00B85681"/>
    <w:rsid w:val="00B85778"/>
    <w:rsid w:val="00B8595E"/>
    <w:rsid w:val="00B85EEF"/>
    <w:rsid w:val="00B85FD3"/>
    <w:rsid w:val="00B86067"/>
    <w:rsid w:val="00B8622D"/>
    <w:rsid w:val="00B8649E"/>
    <w:rsid w:val="00B86525"/>
    <w:rsid w:val="00B867A3"/>
    <w:rsid w:val="00B86D18"/>
    <w:rsid w:val="00B86D88"/>
    <w:rsid w:val="00B87419"/>
    <w:rsid w:val="00B87731"/>
    <w:rsid w:val="00B878EA"/>
    <w:rsid w:val="00B878F8"/>
    <w:rsid w:val="00B87B1C"/>
    <w:rsid w:val="00B87BA4"/>
    <w:rsid w:val="00B87BF0"/>
    <w:rsid w:val="00B87C53"/>
    <w:rsid w:val="00B87CDB"/>
    <w:rsid w:val="00B87DBA"/>
    <w:rsid w:val="00B87FCF"/>
    <w:rsid w:val="00B87FD7"/>
    <w:rsid w:val="00B90062"/>
    <w:rsid w:val="00B9014F"/>
    <w:rsid w:val="00B90252"/>
    <w:rsid w:val="00B90592"/>
    <w:rsid w:val="00B90798"/>
    <w:rsid w:val="00B9087E"/>
    <w:rsid w:val="00B9089D"/>
    <w:rsid w:val="00B90908"/>
    <w:rsid w:val="00B90BDD"/>
    <w:rsid w:val="00B90E73"/>
    <w:rsid w:val="00B910E4"/>
    <w:rsid w:val="00B912CF"/>
    <w:rsid w:val="00B9146C"/>
    <w:rsid w:val="00B91CC5"/>
    <w:rsid w:val="00B91D5F"/>
    <w:rsid w:val="00B91FAC"/>
    <w:rsid w:val="00B91FB0"/>
    <w:rsid w:val="00B92147"/>
    <w:rsid w:val="00B9238D"/>
    <w:rsid w:val="00B924A1"/>
    <w:rsid w:val="00B92730"/>
    <w:rsid w:val="00B927DB"/>
    <w:rsid w:val="00B929FC"/>
    <w:rsid w:val="00B92D7B"/>
    <w:rsid w:val="00B93068"/>
    <w:rsid w:val="00B9312F"/>
    <w:rsid w:val="00B9366C"/>
    <w:rsid w:val="00B937DF"/>
    <w:rsid w:val="00B937FA"/>
    <w:rsid w:val="00B938DE"/>
    <w:rsid w:val="00B93AF0"/>
    <w:rsid w:val="00B94141"/>
    <w:rsid w:val="00B941F2"/>
    <w:rsid w:val="00B942B8"/>
    <w:rsid w:val="00B9431F"/>
    <w:rsid w:val="00B94332"/>
    <w:rsid w:val="00B9449B"/>
    <w:rsid w:val="00B9450F"/>
    <w:rsid w:val="00B945B6"/>
    <w:rsid w:val="00B94724"/>
    <w:rsid w:val="00B94D27"/>
    <w:rsid w:val="00B94EDC"/>
    <w:rsid w:val="00B94F7D"/>
    <w:rsid w:val="00B95023"/>
    <w:rsid w:val="00B952CE"/>
    <w:rsid w:val="00B952EC"/>
    <w:rsid w:val="00B954D1"/>
    <w:rsid w:val="00B955D1"/>
    <w:rsid w:val="00B95688"/>
    <w:rsid w:val="00B9575E"/>
    <w:rsid w:val="00B9629B"/>
    <w:rsid w:val="00B963A0"/>
    <w:rsid w:val="00B967CB"/>
    <w:rsid w:val="00B96899"/>
    <w:rsid w:val="00B968FB"/>
    <w:rsid w:val="00B96C30"/>
    <w:rsid w:val="00B96CE5"/>
    <w:rsid w:val="00B9701B"/>
    <w:rsid w:val="00B97608"/>
    <w:rsid w:val="00B9779A"/>
    <w:rsid w:val="00B97DAA"/>
    <w:rsid w:val="00B97ECE"/>
    <w:rsid w:val="00BA0212"/>
    <w:rsid w:val="00BA0407"/>
    <w:rsid w:val="00BA05C9"/>
    <w:rsid w:val="00BA09BF"/>
    <w:rsid w:val="00BA0E22"/>
    <w:rsid w:val="00BA0E2E"/>
    <w:rsid w:val="00BA1049"/>
    <w:rsid w:val="00BA10E1"/>
    <w:rsid w:val="00BA1156"/>
    <w:rsid w:val="00BA154E"/>
    <w:rsid w:val="00BA1589"/>
    <w:rsid w:val="00BA187C"/>
    <w:rsid w:val="00BA1912"/>
    <w:rsid w:val="00BA1973"/>
    <w:rsid w:val="00BA1B08"/>
    <w:rsid w:val="00BA1B7C"/>
    <w:rsid w:val="00BA1C09"/>
    <w:rsid w:val="00BA1CB8"/>
    <w:rsid w:val="00BA1E02"/>
    <w:rsid w:val="00BA1E1B"/>
    <w:rsid w:val="00BA1E4B"/>
    <w:rsid w:val="00BA2112"/>
    <w:rsid w:val="00BA2144"/>
    <w:rsid w:val="00BA225E"/>
    <w:rsid w:val="00BA26A4"/>
    <w:rsid w:val="00BA26FF"/>
    <w:rsid w:val="00BA279B"/>
    <w:rsid w:val="00BA28CB"/>
    <w:rsid w:val="00BA2A5E"/>
    <w:rsid w:val="00BA2A9E"/>
    <w:rsid w:val="00BA326E"/>
    <w:rsid w:val="00BA33B4"/>
    <w:rsid w:val="00BA3472"/>
    <w:rsid w:val="00BA350D"/>
    <w:rsid w:val="00BA3604"/>
    <w:rsid w:val="00BA378A"/>
    <w:rsid w:val="00BA3959"/>
    <w:rsid w:val="00BA396C"/>
    <w:rsid w:val="00BA3A1E"/>
    <w:rsid w:val="00BA3C72"/>
    <w:rsid w:val="00BA3DAB"/>
    <w:rsid w:val="00BA3E8C"/>
    <w:rsid w:val="00BA4044"/>
    <w:rsid w:val="00BA4075"/>
    <w:rsid w:val="00BA41E8"/>
    <w:rsid w:val="00BA4337"/>
    <w:rsid w:val="00BA4345"/>
    <w:rsid w:val="00BA44CA"/>
    <w:rsid w:val="00BA4557"/>
    <w:rsid w:val="00BA45CE"/>
    <w:rsid w:val="00BA4891"/>
    <w:rsid w:val="00BA48B7"/>
    <w:rsid w:val="00BA49A6"/>
    <w:rsid w:val="00BA4EAB"/>
    <w:rsid w:val="00BA512D"/>
    <w:rsid w:val="00BA51DA"/>
    <w:rsid w:val="00BA543D"/>
    <w:rsid w:val="00BA5489"/>
    <w:rsid w:val="00BA54F5"/>
    <w:rsid w:val="00BA5586"/>
    <w:rsid w:val="00BA5639"/>
    <w:rsid w:val="00BA567C"/>
    <w:rsid w:val="00BA5868"/>
    <w:rsid w:val="00BA58A1"/>
    <w:rsid w:val="00BA5946"/>
    <w:rsid w:val="00BA5973"/>
    <w:rsid w:val="00BA5A0A"/>
    <w:rsid w:val="00BA5A41"/>
    <w:rsid w:val="00BA5AB2"/>
    <w:rsid w:val="00BA5B22"/>
    <w:rsid w:val="00BA5C4C"/>
    <w:rsid w:val="00BA5D80"/>
    <w:rsid w:val="00BA5EC9"/>
    <w:rsid w:val="00BA62DC"/>
    <w:rsid w:val="00BA62F2"/>
    <w:rsid w:val="00BA64E9"/>
    <w:rsid w:val="00BA650E"/>
    <w:rsid w:val="00BA65CB"/>
    <w:rsid w:val="00BA6621"/>
    <w:rsid w:val="00BA683D"/>
    <w:rsid w:val="00BA684D"/>
    <w:rsid w:val="00BA687C"/>
    <w:rsid w:val="00BA692F"/>
    <w:rsid w:val="00BA6C08"/>
    <w:rsid w:val="00BA6CED"/>
    <w:rsid w:val="00BA6DF3"/>
    <w:rsid w:val="00BA6F37"/>
    <w:rsid w:val="00BA6F46"/>
    <w:rsid w:val="00BA704F"/>
    <w:rsid w:val="00BA70DF"/>
    <w:rsid w:val="00BA7317"/>
    <w:rsid w:val="00BA769B"/>
    <w:rsid w:val="00BA7AE4"/>
    <w:rsid w:val="00BA7C17"/>
    <w:rsid w:val="00BA7C94"/>
    <w:rsid w:val="00BA7E5C"/>
    <w:rsid w:val="00BA7EE7"/>
    <w:rsid w:val="00BA7F2E"/>
    <w:rsid w:val="00BB02DA"/>
    <w:rsid w:val="00BB05A0"/>
    <w:rsid w:val="00BB05F9"/>
    <w:rsid w:val="00BB0987"/>
    <w:rsid w:val="00BB0AC6"/>
    <w:rsid w:val="00BB0B85"/>
    <w:rsid w:val="00BB0B93"/>
    <w:rsid w:val="00BB0C5B"/>
    <w:rsid w:val="00BB0D9E"/>
    <w:rsid w:val="00BB0FFA"/>
    <w:rsid w:val="00BB106C"/>
    <w:rsid w:val="00BB12CB"/>
    <w:rsid w:val="00BB153A"/>
    <w:rsid w:val="00BB1603"/>
    <w:rsid w:val="00BB160C"/>
    <w:rsid w:val="00BB1D0D"/>
    <w:rsid w:val="00BB1E60"/>
    <w:rsid w:val="00BB2458"/>
    <w:rsid w:val="00BB2509"/>
    <w:rsid w:val="00BB2CDC"/>
    <w:rsid w:val="00BB2DB0"/>
    <w:rsid w:val="00BB3055"/>
    <w:rsid w:val="00BB3069"/>
    <w:rsid w:val="00BB31B7"/>
    <w:rsid w:val="00BB33A0"/>
    <w:rsid w:val="00BB356C"/>
    <w:rsid w:val="00BB3798"/>
    <w:rsid w:val="00BB3BEC"/>
    <w:rsid w:val="00BB3D8D"/>
    <w:rsid w:val="00BB3DA8"/>
    <w:rsid w:val="00BB3E54"/>
    <w:rsid w:val="00BB3FAE"/>
    <w:rsid w:val="00BB40CA"/>
    <w:rsid w:val="00BB412E"/>
    <w:rsid w:val="00BB434C"/>
    <w:rsid w:val="00BB4397"/>
    <w:rsid w:val="00BB4592"/>
    <w:rsid w:val="00BB470C"/>
    <w:rsid w:val="00BB4911"/>
    <w:rsid w:val="00BB4B9A"/>
    <w:rsid w:val="00BB4E7D"/>
    <w:rsid w:val="00BB5009"/>
    <w:rsid w:val="00BB50E4"/>
    <w:rsid w:val="00BB5318"/>
    <w:rsid w:val="00BB5376"/>
    <w:rsid w:val="00BB5722"/>
    <w:rsid w:val="00BB5987"/>
    <w:rsid w:val="00BB59E0"/>
    <w:rsid w:val="00BB5B06"/>
    <w:rsid w:val="00BB5B6D"/>
    <w:rsid w:val="00BB5B9E"/>
    <w:rsid w:val="00BB5E23"/>
    <w:rsid w:val="00BB5E3D"/>
    <w:rsid w:val="00BB5F90"/>
    <w:rsid w:val="00BB605A"/>
    <w:rsid w:val="00BB6185"/>
    <w:rsid w:val="00BB649A"/>
    <w:rsid w:val="00BB64A7"/>
    <w:rsid w:val="00BB66D0"/>
    <w:rsid w:val="00BB6714"/>
    <w:rsid w:val="00BB6788"/>
    <w:rsid w:val="00BB69A8"/>
    <w:rsid w:val="00BB6B7A"/>
    <w:rsid w:val="00BB6C2C"/>
    <w:rsid w:val="00BB6CAC"/>
    <w:rsid w:val="00BB6EA4"/>
    <w:rsid w:val="00BB701D"/>
    <w:rsid w:val="00BB7428"/>
    <w:rsid w:val="00BB751E"/>
    <w:rsid w:val="00BB75E1"/>
    <w:rsid w:val="00BB7BC2"/>
    <w:rsid w:val="00BB7BCC"/>
    <w:rsid w:val="00BB7C8F"/>
    <w:rsid w:val="00BC0CEB"/>
    <w:rsid w:val="00BC0E6D"/>
    <w:rsid w:val="00BC116F"/>
    <w:rsid w:val="00BC117B"/>
    <w:rsid w:val="00BC12EF"/>
    <w:rsid w:val="00BC14A7"/>
    <w:rsid w:val="00BC1574"/>
    <w:rsid w:val="00BC1673"/>
    <w:rsid w:val="00BC1782"/>
    <w:rsid w:val="00BC180F"/>
    <w:rsid w:val="00BC1852"/>
    <w:rsid w:val="00BC1872"/>
    <w:rsid w:val="00BC18DB"/>
    <w:rsid w:val="00BC1906"/>
    <w:rsid w:val="00BC1B0B"/>
    <w:rsid w:val="00BC1E54"/>
    <w:rsid w:val="00BC249D"/>
    <w:rsid w:val="00BC25FB"/>
    <w:rsid w:val="00BC28C8"/>
    <w:rsid w:val="00BC31B8"/>
    <w:rsid w:val="00BC31BA"/>
    <w:rsid w:val="00BC3555"/>
    <w:rsid w:val="00BC35A7"/>
    <w:rsid w:val="00BC36DD"/>
    <w:rsid w:val="00BC376B"/>
    <w:rsid w:val="00BC37A0"/>
    <w:rsid w:val="00BC3A27"/>
    <w:rsid w:val="00BC3F88"/>
    <w:rsid w:val="00BC444E"/>
    <w:rsid w:val="00BC4602"/>
    <w:rsid w:val="00BC489C"/>
    <w:rsid w:val="00BC4A0B"/>
    <w:rsid w:val="00BC4C75"/>
    <w:rsid w:val="00BC4DF0"/>
    <w:rsid w:val="00BC4E2A"/>
    <w:rsid w:val="00BC4E87"/>
    <w:rsid w:val="00BC5130"/>
    <w:rsid w:val="00BC5816"/>
    <w:rsid w:val="00BC5933"/>
    <w:rsid w:val="00BC5C55"/>
    <w:rsid w:val="00BC5C68"/>
    <w:rsid w:val="00BC5C6A"/>
    <w:rsid w:val="00BC5F0C"/>
    <w:rsid w:val="00BC6137"/>
    <w:rsid w:val="00BC621A"/>
    <w:rsid w:val="00BC6430"/>
    <w:rsid w:val="00BC650C"/>
    <w:rsid w:val="00BC655F"/>
    <w:rsid w:val="00BC664F"/>
    <w:rsid w:val="00BC6728"/>
    <w:rsid w:val="00BC674E"/>
    <w:rsid w:val="00BC69F5"/>
    <w:rsid w:val="00BC6BA2"/>
    <w:rsid w:val="00BC6C65"/>
    <w:rsid w:val="00BC6F12"/>
    <w:rsid w:val="00BC706A"/>
    <w:rsid w:val="00BC7434"/>
    <w:rsid w:val="00BC758A"/>
    <w:rsid w:val="00BC75A0"/>
    <w:rsid w:val="00BC778A"/>
    <w:rsid w:val="00BC7C12"/>
    <w:rsid w:val="00BC7C3A"/>
    <w:rsid w:val="00BC7DDB"/>
    <w:rsid w:val="00BC7EC7"/>
    <w:rsid w:val="00BC7F14"/>
    <w:rsid w:val="00BC7FCE"/>
    <w:rsid w:val="00BD0339"/>
    <w:rsid w:val="00BD04BB"/>
    <w:rsid w:val="00BD06C9"/>
    <w:rsid w:val="00BD097B"/>
    <w:rsid w:val="00BD09C6"/>
    <w:rsid w:val="00BD0AE1"/>
    <w:rsid w:val="00BD0B9A"/>
    <w:rsid w:val="00BD0E5D"/>
    <w:rsid w:val="00BD0EB7"/>
    <w:rsid w:val="00BD18A4"/>
    <w:rsid w:val="00BD18AC"/>
    <w:rsid w:val="00BD1DB9"/>
    <w:rsid w:val="00BD1F6A"/>
    <w:rsid w:val="00BD20AE"/>
    <w:rsid w:val="00BD219C"/>
    <w:rsid w:val="00BD23BF"/>
    <w:rsid w:val="00BD2765"/>
    <w:rsid w:val="00BD2956"/>
    <w:rsid w:val="00BD2DAC"/>
    <w:rsid w:val="00BD2F5A"/>
    <w:rsid w:val="00BD2FB2"/>
    <w:rsid w:val="00BD302B"/>
    <w:rsid w:val="00BD317B"/>
    <w:rsid w:val="00BD3239"/>
    <w:rsid w:val="00BD32B6"/>
    <w:rsid w:val="00BD3326"/>
    <w:rsid w:val="00BD349D"/>
    <w:rsid w:val="00BD350D"/>
    <w:rsid w:val="00BD3801"/>
    <w:rsid w:val="00BD3A61"/>
    <w:rsid w:val="00BD3AA6"/>
    <w:rsid w:val="00BD3C54"/>
    <w:rsid w:val="00BD3D69"/>
    <w:rsid w:val="00BD403A"/>
    <w:rsid w:val="00BD4145"/>
    <w:rsid w:val="00BD43AB"/>
    <w:rsid w:val="00BD4411"/>
    <w:rsid w:val="00BD4491"/>
    <w:rsid w:val="00BD44AE"/>
    <w:rsid w:val="00BD44F5"/>
    <w:rsid w:val="00BD45CD"/>
    <w:rsid w:val="00BD4769"/>
    <w:rsid w:val="00BD4940"/>
    <w:rsid w:val="00BD499A"/>
    <w:rsid w:val="00BD4A6B"/>
    <w:rsid w:val="00BD4D6B"/>
    <w:rsid w:val="00BD4D81"/>
    <w:rsid w:val="00BD51AD"/>
    <w:rsid w:val="00BD542F"/>
    <w:rsid w:val="00BD57AB"/>
    <w:rsid w:val="00BD5B0F"/>
    <w:rsid w:val="00BD5C47"/>
    <w:rsid w:val="00BD5D97"/>
    <w:rsid w:val="00BD5F82"/>
    <w:rsid w:val="00BD61DA"/>
    <w:rsid w:val="00BD6395"/>
    <w:rsid w:val="00BD6499"/>
    <w:rsid w:val="00BD67EF"/>
    <w:rsid w:val="00BD68CB"/>
    <w:rsid w:val="00BD6911"/>
    <w:rsid w:val="00BD6ADA"/>
    <w:rsid w:val="00BD71D9"/>
    <w:rsid w:val="00BD73A5"/>
    <w:rsid w:val="00BD7595"/>
    <w:rsid w:val="00BD7879"/>
    <w:rsid w:val="00BD78B1"/>
    <w:rsid w:val="00BD78CD"/>
    <w:rsid w:val="00BD78E1"/>
    <w:rsid w:val="00BD79BE"/>
    <w:rsid w:val="00BD7D62"/>
    <w:rsid w:val="00BD7DA1"/>
    <w:rsid w:val="00BE03EE"/>
    <w:rsid w:val="00BE0A09"/>
    <w:rsid w:val="00BE0A7E"/>
    <w:rsid w:val="00BE0BB3"/>
    <w:rsid w:val="00BE0F51"/>
    <w:rsid w:val="00BE1006"/>
    <w:rsid w:val="00BE1152"/>
    <w:rsid w:val="00BE11CC"/>
    <w:rsid w:val="00BE1328"/>
    <w:rsid w:val="00BE139D"/>
    <w:rsid w:val="00BE15F3"/>
    <w:rsid w:val="00BE199C"/>
    <w:rsid w:val="00BE19A3"/>
    <w:rsid w:val="00BE19B2"/>
    <w:rsid w:val="00BE1AD6"/>
    <w:rsid w:val="00BE1C68"/>
    <w:rsid w:val="00BE1CBF"/>
    <w:rsid w:val="00BE1EBF"/>
    <w:rsid w:val="00BE20A9"/>
    <w:rsid w:val="00BE20CC"/>
    <w:rsid w:val="00BE20E0"/>
    <w:rsid w:val="00BE22BB"/>
    <w:rsid w:val="00BE2314"/>
    <w:rsid w:val="00BE2366"/>
    <w:rsid w:val="00BE2566"/>
    <w:rsid w:val="00BE2598"/>
    <w:rsid w:val="00BE25C4"/>
    <w:rsid w:val="00BE260A"/>
    <w:rsid w:val="00BE2718"/>
    <w:rsid w:val="00BE27F1"/>
    <w:rsid w:val="00BE2886"/>
    <w:rsid w:val="00BE28E7"/>
    <w:rsid w:val="00BE2F91"/>
    <w:rsid w:val="00BE31F2"/>
    <w:rsid w:val="00BE320D"/>
    <w:rsid w:val="00BE3870"/>
    <w:rsid w:val="00BE38BF"/>
    <w:rsid w:val="00BE3A4F"/>
    <w:rsid w:val="00BE3C4F"/>
    <w:rsid w:val="00BE3EBA"/>
    <w:rsid w:val="00BE3F89"/>
    <w:rsid w:val="00BE40AA"/>
    <w:rsid w:val="00BE4162"/>
    <w:rsid w:val="00BE41F2"/>
    <w:rsid w:val="00BE4391"/>
    <w:rsid w:val="00BE4522"/>
    <w:rsid w:val="00BE468D"/>
    <w:rsid w:val="00BE46E3"/>
    <w:rsid w:val="00BE493A"/>
    <w:rsid w:val="00BE4AD4"/>
    <w:rsid w:val="00BE4C81"/>
    <w:rsid w:val="00BE4CA4"/>
    <w:rsid w:val="00BE4E2D"/>
    <w:rsid w:val="00BE5942"/>
    <w:rsid w:val="00BE5AB0"/>
    <w:rsid w:val="00BE5AC3"/>
    <w:rsid w:val="00BE5B26"/>
    <w:rsid w:val="00BE6175"/>
    <w:rsid w:val="00BE64EE"/>
    <w:rsid w:val="00BE6518"/>
    <w:rsid w:val="00BE6699"/>
    <w:rsid w:val="00BE6706"/>
    <w:rsid w:val="00BE6709"/>
    <w:rsid w:val="00BE6858"/>
    <w:rsid w:val="00BE693F"/>
    <w:rsid w:val="00BE6B89"/>
    <w:rsid w:val="00BE6D5E"/>
    <w:rsid w:val="00BE7084"/>
    <w:rsid w:val="00BE7102"/>
    <w:rsid w:val="00BE7280"/>
    <w:rsid w:val="00BE72CC"/>
    <w:rsid w:val="00BE7389"/>
    <w:rsid w:val="00BE7831"/>
    <w:rsid w:val="00BE7AAA"/>
    <w:rsid w:val="00BF0183"/>
    <w:rsid w:val="00BF0268"/>
    <w:rsid w:val="00BF07C9"/>
    <w:rsid w:val="00BF07E7"/>
    <w:rsid w:val="00BF0871"/>
    <w:rsid w:val="00BF0989"/>
    <w:rsid w:val="00BF0D57"/>
    <w:rsid w:val="00BF0E21"/>
    <w:rsid w:val="00BF1175"/>
    <w:rsid w:val="00BF1223"/>
    <w:rsid w:val="00BF1276"/>
    <w:rsid w:val="00BF1602"/>
    <w:rsid w:val="00BF189F"/>
    <w:rsid w:val="00BF1954"/>
    <w:rsid w:val="00BF1CAA"/>
    <w:rsid w:val="00BF1EDD"/>
    <w:rsid w:val="00BF21AB"/>
    <w:rsid w:val="00BF2209"/>
    <w:rsid w:val="00BF222D"/>
    <w:rsid w:val="00BF2570"/>
    <w:rsid w:val="00BF2975"/>
    <w:rsid w:val="00BF29A5"/>
    <w:rsid w:val="00BF2A64"/>
    <w:rsid w:val="00BF2A7E"/>
    <w:rsid w:val="00BF2AFF"/>
    <w:rsid w:val="00BF2B04"/>
    <w:rsid w:val="00BF2B56"/>
    <w:rsid w:val="00BF2B65"/>
    <w:rsid w:val="00BF2E6C"/>
    <w:rsid w:val="00BF2EE0"/>
    <w:rsid w:val="00BF30D3"/>
    <w:rsid w:val="00BF3378"/>
    <w:rsid w:val="00BF33D8"/>
    <w:rsid w:val="00BF347E"/>
    <w:rsid w:val="00BF350A"/>
    <w:rsid w:val="00BF36EC"/>
    <w:rsid w:val="00BF37D7"/>
    <w:rsid w:val="00BF381B"/>
    <w:rsid w:val="00BF3912"/>
    <w:rsid w:val="00BF39EC"/>
    <w:rsid w:val="00BF3B25"/>
    <w:rsid w:val="00BF3E13"/>
    <w:rsid w:val="00BF3E55"/>
    <w:rsid w:val="00BF3F8D"/>
    <w:rsid w:val="00BF3FBA"/>
    <w:rsid w:val="00BF4027"/>
    <w:rsid w:val="00BF450A"/>
    <w:rsid w:val="00BF467C"/>
    <w:rsid w:val="00BF48D2"/>
    <w:rsid w:val="00BF4926"/>
    <w:rsid w:val="00BF4AD0"/>
    <w:rsid w:val="00BF4C4C"/>
    <w:rsid w:val="00BF4CF6"/>
    <w:rsid w:val="00BF4F31"/>
    <w:rsid w:val="00BF4FE4"/>
    <w:rsid w:val="00BF5227"/>
    <w:rsid w:val="00BF5307"/>
    <w:rsid w:val="00BF5316"/>
    <w:rsid w:val="00BF5320"/>
    <w:rsid w:val="00BF5359"/>
    <w:rsid w:val="00BF583C"/>
    <w:rsid w:val="00BF5999"/>
    <w:rsid w:val="00BF5AFD"/>
    <w:rsid w:val="00BF5DF3"/>
    <w:rsid w:val="00BF5F83"/>
    <w:rsid w:val="00BF62D7"/>
    <w:rsid w:val="00BF63D8"/>
    <w:rsid w:val="00BF63F3"/>
    <w:rsid w:val="00BF65E4"/>
    <w:rsid w:val="00BF674B"/>
    <w:rsid w:val="00BF676B"/>
    <w:rsid w:val="00BF682C"/>
    <w:rsid w:val="00BF6ACF"/>
    <w:rsid w:val="00BF6B4F"/>
    <w:rsid w:val="00BF6CEE"/>
    <w:rsid w:val="00BF6D71"/>
    <w:rsid w:val="00BF6DB8"/>
    <w:rsid w:val="00BF6E8C"/>
    <w:rsid w:val="00BF6EE1"/>
    <w:rsid w:val="00BF6F83"/>
    <w:rsid w:val="00BF7244"/>
    <w:rsid w:val="00BF725F"/>
    <w:rsid w:val="00BF7776"/>
    <w:rsid w:val="00BF77B4"/>
    <w:rsid w:val="00BF7849"/>
    <w:rsid w:val="00BF7A00"/>
    <w:rsid w:val="00BF7A49"/>
    <w:rsid w:val="00BF7BB7"/>
    <w:rsid w:val="00BF7C08"/>
    <w:rsid w:val="00BF7F47"/>
    <w:rsid w:val="00C00109"/>
    <w:rsid w:val="00C002E3"/>
    <w:rsid w:val="00C0044F"/>
    <w:rsid w:val="00C004CC"/>
    <w:rsid w:val="00C00B26"/>
    <w:rsid w:val="00C00BA7"/>
    <w:rsid w:val="00C00D43"/>
    <w:rsid w:val="00C00D8C"/>
    <w:rsid w:val="00C00EBA"/>
    <w:rsid w:val="00C00F82"/>
    <w:rsid w:val="00C010AD"/>
    <w:rsid w:val="00C0113F"/>
    <w:rsid w:val="00C01303"/>
    <w:rsid w:val="00C0132A"/>
    <w:rsid w:val="00C013B6"/>
    <w:rsid w:val="00C014DA"/>
    <w:rsid w:val="00C01AAD"/>
    <w:rsid w:val="00C01B8B"/>
    <w:rsid w:val="00C01C11"/>
    <w:rsid w:val="00C01D5E"/>
    <w:rsid w:val="00C02512"/>
    <w:rsid w:val="00C02531"/>
    <w:rsid w:val="00C027A4"/>
    <w:rsid w:val="00C0298E"/>
    <w:rsid w:val="00C02AFD"/>
    <w:rsid w:val="00C02C63"/>
    <w:rsid w:val="00C02EC8"/>
    <w:rsid w:val="00C02F8A"/>
    <w:rsid w:val="00C03150"/>
    <w:rsid w:val="00C032AA"/>
    <w:rsid w:val="00C0336F"/>
    <w:rsid w:val="00C035C2"/>
    <w:rsid w:val="00C0378C"/>
    <w:rsid w:val="00C039A7"/>
    <w:rsid w:val="00C03CA1"/>
    <w:rsid w:val="00C03D26"/>
    <w:rsid w:val="00C03F42"/>
    <w:rsid w:val="00C04A9C"/>
    <w:rsid w:val="00C04B24"/>
    <w:rsid w:val="00C04C28"/>
    <w:rsid w:val="00C04CE4"/>
    <w:rsid w:val="00C04F24"/>
    <w:rsid w:val="00C04F41"/>
    <w:rsid w:val="00C0500F"/>
    <w:rsid w:val="00C0519E"/>
    <w:rsid w:val="00C051E6"/>
    <w:rsid w:val="00C05388"/>
    <w:rsid w:val="00C05442"/>
    <w:rsid w:val="00C0545B"/>
    <w:rsid w:val="00C0555F"/>
    <w:rsid w:val="00C0585C"/>
    <w:rsid w:val="00C0594C"/>
    <w:rsid w:val="00C05FAF"/>
    <w:rsid w:val="00C0619A"/>
    <w:rsid w:val="00C063D2"/>
    <w:rsid w:val="00C06507"/>
    <w:rsid w:val="00C066D5"/>
    <w:rsid w:val="00C068DB"/>
    <w:rsid w:val="00C06E48"/>
    <w:rsid w:val="00C06E5C"/>
    <w:rsid w:val="00C06F9E"/>
    <w:rsid w:val="00C0701C"/>
    <w:rsid w:val="00C0704D"/>
    <w:rsid w:val="00C07173"/>
    <w:rsid w:val="00C0738E"/>
    <w:rsid w:val="00C074AF"/>
    <w:rsid w:val="00C074B6"/>
    <w:rsid w:val="00C07833"/>
    <w:rsid w:val="00C07926"/>
    <w:rsid w:val="00C07932"/>
    <w:rsid w:val="00C0799A"/>
    <w:rsid w:val="00C07EE3"/>
    <w:rsid w:val="00C1020D"/>
    <w:rsid w:val="00C10229"/>
    <w:rsid w:val="00C1035B"/>
    <w:rsid w:val="00C1069B"/>
    <w:rsid w:val="00C1097E"/>
    <w:rsid w:val="00C10A93"/>
    <w:rsid w:val="00C10AF6"/>
    <w:rsid w:val="00C10EEC"/>
    <w:rsid w:val="00C1101A"/>
    <w:rsid w:val="00C110ED"/>
    <w:rsid w:val="00C111A4"/>
    <w:rsid w:val="00C115D8"/>
    <w:rsid w:val="00C115F0"/>
    <w:rsid w:val="00C1182C"/>
    <w:rsid w:val="00C11B14"/>
    <w:rsid w:val="00C11B26"/>
    <w:rsid w:val="00C11B68"/>
    <w:rsid w:val="00C11C23"/>
    <w:rsid w:val="00C11DC0"/>
    <w:rsid w:val="00C12343"/>
    <w:rsid w:val="00C1235C"/>
    <w:rsid w:val="00C12564"/>
    <w:rsid w:val="00C127E6"/>
    <w:rsid w:val="00C12994"/>
    <w:rsid w:val="00C12E75"/>
    <w:rsid w:val="00C12E9A"/>
    <w:rsid w:val="00C136AC"/>
    <w:rsid w:val="00C13712"/>
    <w:rsid w:val="00C13944"/>
    <w:rsid w:val="00C13B63"/>
    <w:rsid w:val="00C13B95"/>
    <w:rsid w:val="00C13BEE"/>
    <w:rsid w:val="00C13C50"/>
    <w:rsid w:val="00C13D80"/>
    <w:rsid w:val="00C13DFB"/>
    <w:rsid w:val="00C13E99"/>
    <w:rsid w:val="00C14160"/>
    <w:rsid w:val="00C1422C"/>
    <w:rsid w:val="00C14356"/>
    <w:rsid w:val="00C144C3"/>
    <w:rsid w:val="00C1467A"/>
    <w:rsid w:val="00C14A87"/>
    <w:rsid w:val="00C14E58"/>
    <w:rsid w:val="00C14F71"/>
    <w:rsid w:val="00C15788"/>
    <w:rsid w:val="00C15842"/>
    <w:rsid w:val="00C15950"/>
    <w:rsid w:val="00C15ABC"/>
    <w:rsid w:val="00C15AE3"/>
    <w:rsid w:val="00C15C61"/>
    <w:rsid w:val="00C15C68"/>
    <w:rsid w:val="00C15DA6"/>
    <w:rsid w:val="00C15E58"/>
    <w:rsid w:val="00C160EA"/>
    <w:rsid w:val="00C161F9"/>
    <w:rsid w:val="00C16341"/>
    <w:rsid w:val="00C163A9"/>
    <w:rsid w:val="00C1658B"/>
    <w:rsid w:val="00C1686F"/>
    <w:rsid w:val="00C16903"/>
    <w:rsid w:val="00C16959"/>
    <w:rsid w:val="00C16A13"/>
    <w:rsid w:val="00C16B19"/>
    <w:rsid w:val="00C16D63"/>
    <w:rsid w:val="00C16E0C"/>
    <w:rsid w:val="00C17222"/>
    <w:rsid w:val="00C17353"/>
    <w:rsid w:val="00C17490"/>
    <w:rsid w:val="00C174C7"/>
    <w:rsid w:val="00C17604"/>
    <w:rsid w:val="00C177B8"/>
    <w:rsid w:val="00C179ED"/>
    <w:rsid w:val="00C17C2D"/>
    <w:rsid w:val="00C17C7A"/>
    <w:rsid w:val="00C17D5F"/>
    <w:rsid w:val="00C17F11"/>
    <w:rsid w:val="00C17FBA"/>
    <w:rsid w:val="00C17FBF"/>
    <w:rsid w:val="00C2025B"/>
    <w:rsid w:val="00C202FE"/>
    <w:rsid w:val="00C20496"/>
    <w:rsid w:val="00C205B4"/>
    <w:rsid w:val="00C20634"/>
    <w:rsid w:val="00C20BAD"/>
    <w:rsid w:val="00C20D62"/>
    <w:rsid w:val="00C20DD8"/>
    <w:rsid w:val="00C20EC8"/>
    <w:rsid w:val="00C20ECB"/>
    <w:rsid w:val="00C211B3"/>
    <w:rsid w:val="00C21A2C"/>
    <w:rsid w:val="00C21A36"/>
    <w:rsid w:val="00C2207C"/>
    <w:rsid w:val="00C221F3"/>
    <w:rsid w:val="00C226CA"/>
    <w:rsid w:val="00C2299E"/>
    <w:rsid w:val="00C22BCF"/>
    <w:rsid w:val="00C22BF0"/>
    <w:rsid w:val="00C22C43"/>
    <w:rsid w:val="00C22FE5"/>
    <w:rsid w:val="00C233A7"/>
    <w:rsid w:val="00C2368D"/>
    <w:rsid w:val="00C239AE"/>
    <w:rsid w:val="00C23A50"/>
    <w:rsid w:val="00C23AAE"/>
    <w:rsid w:val="00C23C73"/>
    <w:rsid w:val="00C23C75"/>
    <w:rsid w:val="00C23F56"/>
    <w:rsid w:val="00C23F69"/>
    <w:rsid w:val="00C23FE7"/>
    <w:rsid w:val="00C2413E"/>
    <w:rsid w:val="00C24162"/>
    <w:rsid w:val="00C24301"/>
    <w:rsid w:val="00C243BF"/>
    <w:rsid w:val="00C2442C"/>
    <w:rsid w:val="00C244EE"/>
    <w:rsid w:val="00C2461F"/>
    <w:rsid w:val="00C24748"/>
    <w:rsid w:val="00C248BB"/>
    <w:rsid w:val="00C24955"/>
    <w:rsid w:val="00C24CB7"/>
    <w:rsid w:val="00C24D55"/>
    <w:rsid w:val="00C24D76"/>
    <w:rsid w:val="00C24E94"/>
    <w:rsid w:val="00C25065"/>
    <w:rsid w:val="00C251E9"/>
    <w:rsid w:val="00C25555"/>
    <w:rsid w:val="00C2576B"/>
    <w:rsid w:val="00C25993"/>
    <w:rsid w:val="00C25A4A"/>
    <w:rsid w:val="00C25B1A"/>
    <w:rsid w:val="00C25B70"/>
    <w:rsid w:val="00C25B93"/>
    <w:rsid w:val="00C25C61"/>
    <w:rsid w:val="00C25D30"/>
    <w:rsid w:val="00C25DA4"/>
    <w:rsid w:val="00C25E76"/>
    <w:rsid w:val="00C2606C"/>
    <w:rsid w:val="00C26266"/>
    <w:rsid w:val="00C2664B"/>
    <w:rsid w:val="00C26764"/>
    <w:rsid w:val="00C2686B"/>
    <w:rsid w:val="00C26A52"/>
    <w:rsid w:val="00C26DB2"/>
    <w:rsid w:val="00C26FBB"/>
    <w:rsid w:val="00C2722C"/>
    <w:rsid w:val="00C27803"/>
    <w:rsid w:val="00C27964"/>
    <w:rsid w:val="00C279D1"/>
    <w:rsid w:val="00C27A21"/>
    <w:rsid w:val="00C27B38"/>
    <w:rsid w:val="00C27B4A"/>
    <w:rsid w:val="00C27BA8"/>
    <w:rsid w:val="00C27CFD"/>
    <w:rsid w:val="00C27E02"/>
    <w:rsid w:val="00C27E22"/>
    <w:rsid w:val="00C27F05"/>
    <w:rsid w:val="00C27F75"/>
    <w:rsid w:val="00C303EA"/>
    <w:rsid w:val="00C3076C"/>
    <w:rsid w:val="00C307D6"/>
    <w:rsid w:val="00C30A5E"/>
    <w:rsid w:val="00C30E6B"/>
    <w:rsid w:val="00C313A2"/>
    <w:rsid w:val="00C31597"/>
    <w:rsid w:val="00C31789"/>
    <w:rsid w:val="00C31884"/>
    <w:rsid w:val="00C319AF"/>
    <w:rsid w:val="00C319B5"/>
    <w:rsid w:val="00C31B80"/>
    <w:rsid w:val="00C31B95"/>
    <w:rsid w:val="00C31BC6"/>
    <w:rsid w:val="00C31D24"/>
    <w:rsid w:val="00C31D87"/>
    <w:rsid w:val="00C31E70"/>
    <w:rsid w:val="00C31F77"/>
    <w:rsid w:val="00C3215C"/>
    <w:rsid w:val="00C323AA"/>
    <w:rsid w:val="00C326FA"/>
    <w:rsid w:val="00C32795"/>
    <w:rsid w:val="00C32940"/>
    <w:rsid w:val="00C329B6"/>
    <w:rsid w:val="00C32A90"/>
    <w:rsid w:val="00C32F04"/>
    <w:rsid w:val="00C32FE3"/>
    <w:rsid w:val="00C33135"/>
    <w:rsid w:val="00C33166"/>
    <w:rsid w:val="00C3372C"/>
    <w:rsid w:val="00C3383E"/>
    <w:rsid w:val="00C338E7"/>
    <w:rsid w:val="00C338F0"/>
    <w:rsid w:val="00C33BE2"/>
    <w:rsid w:val="00C33FA6"/>
    <w:rsid w:val="00C33FD2"/>
    <w:rsid w:val="00C3405B"/>
    <w:rsid w:val="00C34135"/>
    <w:rsid w:val="00C34232"/>
    <w:rsid w:val="00C34264"/>
    <w:rsid w:val="00C34635"/>
    <w:rsid w:val="00C34652"/>
    <w:rsid w:val="00C3485F"/>
    <w:rsid w:val="00C349A2"/>
    <w:rsid w:val="00C34D29"/>
    <w:rsid w:val="00C34D87"/>
    <w:rsid w:val="00C34E79"/>
    <w:rsid w:val="00C34F7D"/>
    <w:rsid w:val="00C3509B"/>
    <w:rsid w:val="00C3510E"/>
    <w:rsid w:val="00C3520C"/>
    <w:rsid w:val="00C3525D"/>
    <w:rsid w:val="00C353B6"/>
    <w:rsid w:val="00C353F0"/>
    <w:rsid w:val="00C35463"/>
    <w:rsid w:val="00C35648"/>
    <w:rsid w:val="00C35711"/>
    <w:rsid w:val="00C35868"/>
    <w:rsid w:val="00C35BE9"/>
    <w:rsid w:val="00C35D97"/>
    <w:rsid w:val="00C35DA0"/>
    <w:rsid w:val="00C362DB"/>
    <w:rsid w:val="00C36308"/>
    <w:rsid w:val="00C365E4"/>
    <w:rsid w:val="00C365F0"/>
    <w:rsid w:val="00C36666"/>
    <w:rsid w:val="00C36711"/>
    <w:rsid w:val="00C36761"/>
    <w:rsid w:val="00C36FF2"/>
    <w:rsid w:val="00C373F5"/>
    <w:rsid w:val="00C37544"/>
    <w:rsid w:val="00C375FD"/>
    <w:rsid w:val="00C376DA"/>
    <w:rsid w:val="00C37A34"/>
    <w:rsid w:val="00C37AED"/>
    <w:rsid w:val="00C37E7C"/>
    <w:rsid w:val="00C37E87"/>
    <w:rsid w:val="00C37E98"/>
    <w:rsid w:val="00C37EAE"/>
    <w:rsid w:val="00C37FBC"/>
    <w:rsid w:val="00C37FE3"/>
    <w:rsid w:val="00C3EB3E"/>
    <w:rsid w:val="00C40064"/>
    <w:rsid w:val="00C40647"/>
    <w:rsid w:val="00C408AC"/>
    <w:rsid w:val="00C40962"/>
    <w:rsid w:val="00C40AA5"/>
    <w:rsid w:val="00C40BA4"/>
    <w:rsid w:val="00C410A1"/>
    <w:rsid w:val="00C410A2"/>
    <w:rsid w:val="00C411DC"/>
    <w:rsid w:val="00C414C4"/>
    <w:rsid w:val="00C414F3"/>
    <w:rsid w:val="00C417CA"/>
    <w:rsid w:val="00C418B4"/>
    <w:rsid w:val="00C418FB"/>
    <w:rsid w:val="00C420CE"/>
    <w:rsid w:val="00C42352"/>
    <w:rsid w:val="00C423A2"/>
    <w:rsid w:val="00C425E3"/>
    <w:rsid w:val="00C42964"/>
    <w:rsid w:val="00C42A93"/>
    <w:rsid w:val="00C42BA1"/>
    <w:rsid w:val="00C42E0B"/>
    <w:rsid w:val="00C42F36"/>
    <w:rsid w:val="00C4312B"/>
    <w:rsid w:val="00C43927"/>
    <w:rsid w:val="00C4396E"/>
    <w:rsid w:val="00C43FF6"/>
    <w:rsid w:val="00C4421C"/>
    <w:rsid w:val="00C44245"/>
    <w:rsid w:val="00C443E9"/>
    <w:rsid w:val="00C4454A"/>
    <w:rsid w:val="00C447AF"/>
    <w:rsid w:val="00C447E5"/>
    <w:rsid w:val="00C4495E"/>
    <w:rsid w:val="00C44A48"/>
    <w:rsid w:val="00C44AD1"/>
    <w:rsid w:val="00C44CDC"/>
    <w:rsid w:val="00C44EA4"/>
    <w:rsid w:val="00C44EBD"/>
    <w:rsid w:val="00C45446"/>
    <w:rsid w:val="00C45580"/>
    <w:rsid w:val="00C4569E"/>
    <w:rsid w:val="00C45AAE"/>
    <w:rsid w:val="00C45D4A"/>
    <w:rsid w:val="00C45E9A"/>
    <w:rsid w:val="00C46128"/>
    <w:rsid w:val="00C46341"/>
    <w:rsid w:val="00C463EE"/>
    <w:rsid w:val="00C46491"/>
    <w:rsid w:val="00C464C3"/>
    <w:rsid w:val="00C46517"/>
    <w:rsid w:val="00C46835"/>
    <w:rsid w:val="00C468F0"/>
    <w:rsid w:val="00C46A9A"/>
    <w:rsid w:val="00C46BBB"/>
    <w:rsid w:val="00C46C7A"/>
    <w:rsid w:val="00C471CF"/>
    <w:rsid w:val="00C473D4"/>
    <w:rsid w:val="00C4746B"/>
    <w:rsid w:val="00C475C8"/>
    <w:rsid w:val="00C47A32"/>
    <w:rsid w:val="00C47B2D"/>
    <w:rsid w:val="00C47C3B"/>
    <w:rsid w:val="00C47C4F"/>
    <w:rsid w:val="00C47CCA"/>
    <w:rsid w:val="00C47D84"/>
    <w:rsid w:val="00C47DBE"/>
    <w:rsid w:val="00C47DEA"/>
    <w:rsid w:val="00C47F5B"/>
    <w:rsid w:val="00C47FBC"/>
    <w:rsid w:val="00C500A6"/>
    <w:rsid w:val="00C5020C"/>
    <w:rsid w:val="00C50453"/>
    <w:rsid w:val="00C504BB"/>
    <w:rsid w:val="00C50768"/>
    <w:rsid w:val="00C507BA"/>
    <w:rsid w:val="00C509AF"/>
    <w:rsid w:val="00C50AFF"/>
    <w:rsid w:val="00C50DD0"/>
    <w:rsid w:val="00C50FC1"/>
    <w:rsid w:val="00C51279"/>
    <w:rsid w:val="00C512BB"/>
    <w:rsid w:val="00C51328"/>
    <w:rsid w:val="00C51523"/>
    <w:rsid w:val="00C515F4"/>
    <w:rsid w:val="00C51960"/>
    <w:rsid w:val="00C519DD"/>
    <w:rsid w:val="00C51DAC"/>
    <w:rsid w:val="00C51E3F"/>
    <w:rsid w:val="00C520AF"/>
    <w:rsid w:val="00C520C5"/>
    <w:rsid w:val="00C5237A"/>
    <w:rsid w:val="00C52453"/>
    <w:rsid w:val="00C52466"/>
    <w:rsid w:val="00C52551"/>
    <w:rsid w:val="00C52560"/>
    <w:rsid w:val="00C5266B"/>
    <w:rsid w:val="00C52787"/>
    <w:rsid w:val="00C527D1"/>
    <w:rsid w:val="00C52881"/>
    <w:rsid w:val="00C528BD"/>
    <w:rsid w:val="00C52A19"/>
    <w:rsid w:val="00C52C01"/>
    <w:rsid w:val="00C52C2D"/>
    <w:rsid w:val="00C52D84"/>
    <w:rsid w:val="00C52F4D"/>
    <w:rsid w:val="00C52FC3"/>
    <w:rsid w:val="00C53529"/>
    <w:rsid w:val="00C53752"/>
    <w:rsid w:val="00C5384D"/>
    <w:rsid w:val="00C53903"/>
    <w:rsid w:val="00C5393E"/>
    <w:rsid w:val="00C53DA4"/>
    <w:rsid w:val="00C53E51"/>
    <w:rsid w:val="00C53FED"/>
    <w:rsid w:val="00C54286"/>
    <w:rsid w:val="00C54294"/>
    <w:rsid w:val="00C54587"/>
    <w:rsid w:val="00C5462B"/>
    <w:rsid w:val="00C54809"/>
    <w:rsid w:val="00C54A43"/>
    <w:rsid w:val="00C54B41"/>
    <w:rsid w:val="00C54B45"/>
    <w:rsid w:val="00C54CC8"/>
    <w:rsid w:val="00C54F44"/>
    <w:rsid w:val="00C54F52"/>
    <w:rsid w:val="00C5500B"/>
    <w:rsid w:val="00C552AC"/>
    <w:rsid w:val="00C55314"/>
    <w:rsid w:val="00C5549A"/>
    <w:rsid w:val="00C5556D"/>
    <w:rsid w:val="00C559D3"/>
    <w:rsid w:val="00C55A4F"/>
    <w:rsid w:val="00C55AEA"/>
    <w:rsid w:val="00C55B43"/>
    <w:rsid w:val="00C55BC9"/>
    <w:rsid w:val="00C55C75"/>
    <w:rsid w:val="00C55D48"/>
    <w:rsid w:val="00C55E71"/>
    <w:rsid w:val="00C56001"/>
    <w:rsid w:val="00C56175"/>
    <w:rsid w:val="00C565FF"/>
    <w:rsid w:val="00C56841"/>
    <w:rsid w:val="00C56A76"/>
    <w:rsid w:val="00C56D56"/>
    <w:rsid w:val="00C5703B"/>
    <w:rsid w:val="00C573AB"/>
    <w:rsid w:val="00C573E9"/>
    <w:rsid w:val="00C574AB"/>
    <w:rsid w:val="00C57539"/>
    <w:rsid w:val="00C57A84"/>
    <w:rsid w:val="00C57AF1"/>
    <w:rsid w:val="00C57B2B"/>
    <w:rsid w:val="00C57C67"/>
    <w:rsid w:val="00C600D5"/>
    <w:rsid w:val="00C6017E"/>
    <w:rsid w:val="00C602F3"/>
    <w:rsid w:val="00C60310"/>
    <w:rsid w:val="00C60459"/>
    <w:rsid w:val="00C6053C"/>
    <w:rsid w:val="00C60556"/>
    <w:rsid w:val="00C60705"/>
    <w:rsid w:val="00C6070B"/>
    <w:rsid w:val="00C60758"/>
    <w:rsid w:val="00C607EA"/>
    <w:rsid w:val="00C60821"/>
    <w:rsid w:val="00C6084E"/>
    <w:rsid w:val="00C608E6"/>
    <w:rsid w:val="00C60960"/>
    <w:rsid w:val="00C60A9A"/>
    <w:rsid w:val="00C60B0B"/>
    <w:rsid w:val="00C60B96"/>
    <w:rsid w:val="00C60DED"/>
    <w:rsid w:val="00C60F7F"/>
    <w:rsid w:val="00C6133E"/>
    <w:rsid w:val="00C61423"/>
    <w:rsid w:val="00C6143D"/>
    <w:rsid w:val="00C616AF"/>
    <w:rsid w:val="00C61769"/>
    <w:rsid w:val="00C61AC5"/>
    <w:rsid w:val="00C61C59"/>
    <w:rsid w:val="00C61CC5"/>
    <w:rsid w:val="00C62129"/>
    <w:rsid w:val="00C6216A"/>
    <w:rsid w:val="00C62345"/>
    <w:rsid w:val="00C62532"/>
    <w:rsid w:val="00C62751"/>
    <w:rsid w:val="00C62990"/>
    <w:rsid w:val="00C62A64"/>
    <w:rsid w:val="00C62B3B"/>
    <w:rsid w:val="00C62B60"/>
    <w:rsid w:val="00C62BAB"/>
    <w:rsid w:val="00C62EC1"/>
    <w:rsid w:val="00C6307A"/>
    <w:rsid w:val="00C6312D"/>
    <w:rsid w:val="00C63147"/>
    <w:rsid w:val="00C6314F"/>
    <w:rsid w:val="00C63175"/>
    <w:rsid w:val="00C6320E"/>
    <w:rsid w:val="00C63253"/>
    <w:rsid w:val="00C63372"/>
    <w:rsid w:val="00C636A9"/>
    <w:rsid w:val="00C63772"/>
    <w:rsid w:val="00C638FD"/>
    <w:rsid w:val="00C63971"/>
    <w:rsid w:val="00C63DB1"/>
    <w:rsid w:val="00C63FCE"/>
    <w:rsid w:val="00C6401F"/>
    <w:rsid w:val="00C64192"/>
    <w:rsid w:val="00C6424A"/>
    <w:rsid w:val="00C643BE"/>
    <w:rsid w:val="00C64494"/>
    <w:rsid w:val="00C645E7"/>
    <w:rsid w:val="00C648C7"/>
    <w:rsid w:val="00C64CED"/>
    <w:rsid w:val="00C6507D"/>
    <w:rsid w:val="00C6510F"/>
    <w:rsid w:val="00C654EC"/>
    <w:rsid w:val="00C65598"/>
    <w:rsid w:val="00C656A7"/>
    <w:rsid w:val="00C656AF"/>
    <w:rsid w:val="00C65A83"/>
    <w:rsid w:val="00C65B88"/>
    <w:rsid w:val="00C65BE2"/>
    <w:rsid w:val="00C65DCD"/>
    <w:rsid w:val="00C65E5A"/>
    <w:rsid w:val="00C65E72"/>
    <w:rsid w:val="00C65F86"/>
    <w:rsid w:val="00C66128"/>
    <w:rsid w:val="00C661E3"/>
    <w:rsid w:val="00C6625D"/>
    <w:rsid w:val="00C662BF"/>
    <w:rsid w:val="00C66558"/>
    <w:rsid w:val="00C66650"/>
    <w:rsid w:val="00C66678"/>
    <w:rsid w:val="00C666D4"/>
    <w:rsid w:val="00C66812"/>
    <w:rsid w:val="00C66846"/>
    <w:rsid w:val="00C669E2"/>
    <w:rsid w:val="00C66BAF"/>
    <w:rsid w:val="00C67139"/>
    <w:rsid w:val="00C673F4"/>
    <w:rsid w:val="00C6787D"/>
    <w:rsid w:val="00C67B16"/>
    <w:rsid w:val="00C67BF5"/>
    <w:rsid w:val="00C70764"/>
    <w:rsid w:val="00C707AC"/>
    <w:rsid w:val="00C70974"/>
    <w:rsid w:val="00C70C5B"/>
    <w:rsid w:val="00C70D3E"/>
    <w:rsid w:val="00C70D8E"/>
    <w:rsid w:val="00C70FA8"/>
    <w:rsid w:val="00C71363"/>
    <w:rsid w:val="00C714B3"/>
    <w:rsid w:val="00C7157E"/>
    <w:rsid w:val="00C7159F"/>
    <w:rsid w:val="00C7180C"/>
    <w:rsid w:val="00C71827"/>
    <w:rsid w:val="00C71936"/>
    <w:rsid w:val="00C719BB"/>
    <w:rsid w:val="00C71B33"/>
    <w:rsid w:val="00C71FA2"/>
    <w:rsid w:val="00C7208F"/>
    <w:rsid w:val="00C7229E"/>
    <w:rsid w:val="00C723BE"/>
    <w:rsid w:val="00C725BD"/>
    <w:rsid w:val="00C727AE"/>
    <w:rsid w:val="00C72835"/>
    <w:rsid w:val="00C7298B"/>
    <w:rsid w:val="00C72B17"/>
    <w:rsid w:val="00C72C29"/>
    <w:rsid w:val="00C72D6A"/>
    <w:rsid w:val="00C72E72"/>
    <w:rsid w:val="00C73156"/>
    <w:rsid w:val="00C732D1"/>
    <w:rsid w:val="00C732DF"/>
    <w:rsid w:val="00C73343"/>
    <w:rsid w:val="00C7368B"/>
    <w:rsid w:val="00C736C3"/>
    <w:rsid w:val="00C739B1"/>
    <w:rsid w:val="00C73A66"/>
    <w:rsid w:val="00C73A95"/>
    <w:rsid w:val="00C73B72"/>
    <w:rsid w:val="00C73BD4"/>
    <w:rsid w:val="00C73C63"/>
    <w:rsid w:val="00C73CA6"/>
    <w:rsid w:val="00C73CF9"/>
    <w:rsid w:val="00C73E57"/>
    <w:rsid w:val="00C73F5C"/>
    <w:rsid w:val="00C7448E"/>
    <w:rsid w:val="00C74497"/>
    <w:rsid w:val="00C744B5"/>
    <w:rsid w:val="00C74951"/>
    <w:rsid w:val="00C74A1C"/>
    <w:rsid w:val="00C74A94"/>
    <w:rsid w:val="00C74CC4"/>
    <w:rsid w:val="00C74DD3"/>
    <w:rsid w:val="00C75091"/>
    <w:rsid w:val="00C7528C"/>
    <w:rsid w:val="00C75300"/>
    <w:rsid w:val="00C75311"/>
    <w:rsid w:val="00C75949"/>
    <w:rsid w:val="00C75E22"/>
    <w:rsid w:val="00C75E6A"/>
    <w:rsid w:val="00C7623F"/>
    <w:rsid w:val="00C76257"/>
    <w:rsid w:val="00C7632F"/>
    <w:rsid w:val="00C764DC"/>
    <w:rsid w:val="00C768CB"/>
    <w:rsid w:val="00C76A59"/>
    <w:rsid w:val="00C76A5E"/>
    <w:rsid w:val="00C76B82"/>
    <w:rsid w:val="00C76B8B"/>
    <w:rsid w:val="00C76D50"/>
    <w:rsid w:val="00C76E3F"/>
    <w:rsid w:val="00C76FBD"/>
    <w:rsid w:val="00C76FDA"/>
    <w:rsid w:val="00C7708A"/>
    <w:rsid w:val="00C77211"/>
    <w:rsid w:val="00C773F6"/>
    <w:rsid w:val="00C77561"/>
    <w:rsid w:val="00C775E4"/>
    <w:rsid w:val="00C7772C"/>
    <w:rsid w:val="00C77812"/>
    <w:rsid w:val="00C778B0"/>
    <w:rsid w:val="00C778CD"/>
    <w:rsid w:val="00C77BA4"/>
    <w:rsid w:val="00C77DC5"/>
    <w:rsid w:val="00C801BF"/>
    <w:rsid w:val="00C80267"/>
    <w:rsid w:val="00C804CC"/>
    <w:rsid w:val="00C805A9"/>
    <w:rsid w:val="00C806D5"/>
    <w:rsid w:val="00C8073C"/>
    <w:rsid w:val="00C808DF"/>
    <w:rsid w:val="00C8090A"/>
    <w:rsid w:val="00C80AF1"/>
    <w:rsid w:val="00C80B5F"/>
    <w:rsid w:val="00C80C9A"/>
    <w:rsid w:val="00C80DA2"/>
    <w:rsid w:val="00C81107"/>
    <w:rsid w:val="00C812DD"/>
    <w:rsid w:val="00C817D7"/>
    <w:rsid w:val="00C81818"/>
    <w:rsid w:val="00C81876"/>
    <w:rsid w:val="00C819C0"/>
    <w:rsid w:val="00C81A70"/>
    <w:rsid w:val="00C81CD6"/>
    <w:rsid w:val="00C81DA3"/>
    <w:rsid w:val="00C81EA9"/>
    <w:rsid w:val="00C81F93"/>
    <w:rsid w:val="00C81FB1"/>
    <w:rsid w:val="00C821FC"/>
    <w:rsid w:val="00C8221D"/>
    <w:rsid w:val="00C8228C"/>
    <w:rsid w:val="00C822FA"/>
    <w:rsid w:val="00C825FA"/>
    <w:rsid w:val="00C82627"/>
    <w:rsid w:val="00C827AF"/>
    <w:rsid w:val="00C8298F"/>
    <w:rsid w:val="00C82A6B"/>
    <w:rsid w:val="00C82B7A"/>
    <w:rsid w:val="00C82E69"/>
    <w:rsid w:val="00C82F12"/>
    <w:rsid w:val="00C83139"/>
    <w:rsid w:val="00C83410"/>
    <w:rsid w:val="00C83864"/>
    <w:rsid w:val="00C839D5"/>
    <w:rsid w:val="00C83A2C"/>
    <w:rsid w:val="00C83CF7"/>
    <w:rsid w:val="00C83D48"/>
    <w:rsid w:val="00C840F9"/>
    <w:rsid w:val="00C84405"/>
    <w:rsid w:val="00C845CA"/>
    <w:rsid w:val="00C846EC"/>
    <w:rsid w:val="00C84734"/>
    <w:rsid w:val="00C84BCD"/>
    <w:rsid w:val="00C84BE7"/>
    <w:rsid w:val="00C84D2E"/>
    <w:rsid w:val="00C84D78"/>
    <w:rsid w:val="00C84D9A"/>
    <w:rsid w:val="00C84E31"/>
    <w:rsid w:val="00C84FB3"/>
    <w:rsid w:val="00C84FF9"/>
    <w:rsid w:val="00C8526C"/>
    <w:rsid w:val="00C8530B"/>
    <w:rsid w:val="00C85456"/>
    <w:rsid w:val="00C85494"/>
    <w:rsid w:val="00C854BD"/>
    <w:rsid w:val="00C8573C"/>
    <w:rsid w:val="00C857A7"/>
    <w:rsid w:val="00C85809"/>
    <w:rsid w:val="00C8597D"/>
    <w:rsid w:val="00C85AEF"/>
    <w:rsid w:val="00C85E89"/>
    <w:rsid w:val="00C85F19"/>
    <w:rsid w:val="00C85FA8"/>
    <w:rsid w:val="00C85FEB"/>
    <w:rsid w:val="00C86390"/>
    <w:rsid w:val="00C86551"/>
    <w:rsid w:val="00C8688C"/>
    <w:rsid w:val="00C86958"/>
    <w:rsid w:val="00C86BB3"/>
    <w:rsid w:val="00C86BBA"/>
    <w:rsid w:val="00C86C50"/>
    <w:rsid w:val="00C86DE0"/>
    <w:rsid w:val="00C86EC1"/>
    <w:rsid w:val="00C87047"/>
    <w:rsid w:val="00C87074"/>
    <w:rsid w:val="00C872DC"/>
    <w:rsid w:val="00C87370"/>
    <w:rsid w:val="00C87604"/>
    <w:rsid w:val="00C876B8"/>
    <w:rsid w:val="00C87755"/>
    <w:rsid w:val="00C878DF"/>
    <w:rsid w:val="00C8791A"/>
    <w:rsid w:val="00C87BE0"/>
    <w:rsid w:val="00C900FA"/>
    <w:rsid w:val="00C9036B"/>
    <w:rsid w:val="00C903AE"/>
    <w:rsid w:val="00C903FB"/>
    <w:rsid w:val="00C90441"/>
    <w:rsid w:val="00C905EA"/>
    <w:rsid w:val="00C907CD"/>
    <w:rsid w:val="00C90839"/>
    <w:rsid w:val="00C9086D"/>
    <w:rsid w:val="00C908F8"/>
    <w:rsid w:val="00C9095E"/>
    <w:rsid w:val="00C9098C"/>
    <w:rsid w:val="00C909ED"/>
    <w:rsid w:val="00C90D6A"/>
    <w:rsid w:val="00C90E09"/>
    <w:rsid w:val="00C90F81"/>
    <w:rsid w:val="00C90FE7"/>
    <w:rsid w:val="00C911B9"/>
    <w:rsid w:val="00C9123B"/>
    <w:rsid w:val="00C9128D"/>
    <w:rsid w:val="00C914EA"/>
    <w:rsid w:val="00C915AD"/>
    <w:rsid w:val="00C91682"/>
    <w:rsid w:val="00C918CF"/>
    <w:rsid w:val="00C91975"/>
    <w:rsid w:val="00C91992"/>
    <w:rsid w:val="00C91B05"/>
    <w:rsid w:val="00C91C10"/>
    <w:rsid w:val="00C91D98"/>
    <w:rsid w:val="00C91E85"/>
    <w:rsid w:val="00C91F15"/>
    <w:rsid w:val="00C9204D"/>
    <w:rsid w:val="00C922B5"/>
    <w:rsid w:val="00C923E4"/>
    <w:rsid w:val="00C92534"/>
    <w:rsid w:val="00C9263D"/>
    <w:rsid w:val="00C9268D"/>
    <w:rsid w:val="00C92704"/>
    <w:rsid w:val="00C929C1"/>
    <w:rsid w:val="00C92C6B"/>
    <w:rsid w:val="00C92F13"/>
    <w:rsid w:val="00C92F41"/>
    <w:rsid w:val="00C934EC"/>
    <w:rsid w:val="00C9363B"/>
    <w:rsid w:val="00C937D3"/>
    <w:rsid w:val="00C937DD"/>
    <w:rsid w:val="00C938EA"/>
    <w:rsid w:val="00C93A98"/>
    <w:rsid w:val="00C93CF5"/>
    <w:rsid w:val="00C94499"/>
    <w:rsid w:val="00C944BB"/>
    <w:rsid w:val="00C94769"/>
    <w:rsid w:val="00C9490E"/>
    <w:rsid w:val="00C94928"/>
    <w:rsid w:val="00C94A69"/>
    <w:rsid w:val="00C94E1E"/>
    <w:rsid w:val="00C950D2"/>
    <w:rsid w:val="00C9516E"/>
    <w:rsid w:val="00C95319"/>
    <w:rsid w:val="00C95385"/>
    <w:rsid w:val="00C95699"/>
    <w:rsid w:val="00C95791"/>
    <w:rsid w:val="00C95793"/>
    <w:rsid w:val="00C95915"/>
    <w:rsid w:val="00C95983"/>
    <w:rsid w:val="00C95A22"/>
    <w:rsid w:val="00C95AA7"/>
    <w:rsid w:val="00C95F95"/>
    <w:rsid w:val="00C961D7"/>
    <w:rsid w:val="00C9622D"/>
    <w:rsid w:val="00C962D1"/>
    <w:rsid w:val="00C9632B"/>
    <w:rsid w:val="00C9633B"/>
    <w:rsid w:val="00C96362"/>
    <w:rsid w:val="00C9643B"/>
    <w:rsid w:val="00C96460"/>
    <w:rsid w:val="00C9653F"/>
    <w:rsid w:val="00C9663C"/>
    <w:rsid w:val="00C9668C"/>
    <w:rsid w:val="00C967B3"/>
    <w:rsid w:val="00C96830"/>
    <w:rsid w:val="00C96A88"/>
    <w:rsid w:val="00C96ABC"/>
    <w:rsid w:val="00C96B66"/>
    <w:rsid w:val="00C96B74"/>
    <w:rsid w:val="00C96E09"/>
    <w:rsid w:val="00C96F26"/>
    <w:rsid w:val="00C9708F"/>
    <w:rsid w:val="00C97248"/>
    <w:rsid w:val="00C972D3"/>
    <w:rsid w:val="00C9741D"/>
    <w:rsid w:val="00C97563"/>
    <w:rsid w:val="00C9756A"/>
    <w:rsid w:val="00C97812"/>
    <w:rsid w:val="00C97951"/>
    <w:rsid w:val="00C97AAB"/>
    <w:rsid w:val="00C97C2A"/>
    <w:rsid w:val="00C97D59"/>
    <w:rsid w:val="00C97FA0"/>
    <w:rsid w:val="00CA007A"/>
    <w:rsid w:val="00CA0486"/>
    <w:rsid w:val="00CA050B"/>
    <w:rsid w:val="00CA06B8"/>
    <w:rsid w:val="00CA09B0"/>
    <w:rsid w:val="00CA0A63"/>
    <w:rsid w:val="00CA0C19"/>
    <w:rsid w:val="00CA0CA9"/>
    <w:rsid w:val="00CA0F8A"/>
    <w:rsid w:val="00CA0FE4"/>
    <w:rsid w:val="00CA1218"/>
    <w:rsid w:val="00CA1248"/>
    <w:rsid w:val="00CA133C"/>
    <w:rsid w:val="00CA136F"/>
    <w:rsid w:val="00CA155D"/>
    <w:rsid w:val="00CA1588"/>
    <w:rsid w:val="00CA18A6"/>
    <w:rsid w:val="00CA18D9"/>
    <w:rsid w:val="00CA1900"/>
    <w:rsid w:val="00CA1AEA"/>
    <w:rsid w:val="00CA1B7B"/>
    <w:rsid w:val="00CA1CCA"/>
    <w:rsid w:val="00CA1E0A"/>
    <w:rsid w:val="00CA1F66"/>
    <w:rsid w:val="00CA1FDA"/>
    <w:rsid w:val="00CA2170"/>
    <w:rsid w:val="00CA22DA"/>
    <w:rsid w:val="00CA235C"/>
    <w:rsid w:val="00CA2668"/>
    <w:rsid w:val="00CA273B"/>
    <w:rsid w:val="00CA2770"/>
    <w:rsid w:val="00CA2A00"/>
    <w:rsid w:val="00CA2E02"/>
    <w:rsid w:val="00CA315B"/>
    <w:rsid w:val="00CA317F"/>
    <w:rsid w:val="00CA3220"/>
    <w:rsid w:val="00CA3244"/>
    <w:rsid w:val="00CA348D"/>
    <w:rsid w:val="00CA367C"/>
    <w:rsid w:val="00CA37A8"/>
    <w:rsid w:val="00CA38C8"/>
    <w:rsid w:val="00CA38D5"/>
    <w:rsid w:val="00CA3990"/>
    <w:rsid w:val="00CA3C2F"/>
    <w:rsid w:val="00CA3D8F"/>
    <w:rsid w:val="00CA3E03"/>
    <w:rsid w:val="00CA400A"/>
    <w:rsid w:val="00CA4189"/>
    <w:rsid w:val="00CA41E9"/>
    <w:rsid w:val="00CA429F"/>
    <w:rsid w:val="00CA4480"/>
    <w:rsid w:val="00CA44E8"/>
    <w:rsid w:val="00CA45E7"/>
    <w:rsid w:val="00CA45ED"/>
    <w:rsid w:val="00CA4763"/>
    <w:rsid w:val="00CA478A"/>
    <w:rsid w:val="00CA4AF3"/>
    <w:rsid w:val="00CA4AF7"/>
    <w:rsid w:val="00CA4CDA"/>
    <w:rsid w:val="00CA4D8C"/>
    <w:rsid w:val="00CA4DCF"/>
    <w:rsid w:val="00CA4E01"/>
    <w:rsid w:val="00CA4E80"/>
    <w:rsid w:val="00CA4EA4"/>
    <w:rsid w:val="00CA506B"/>
    <w:rsid w:val="00CA5208"/>
    <w:rsid w:val="00CA538F"/>
    <w:rsid w:val="00CA54A5"/>
    <w:rsid w:val="00CA5788"/>
    <w:rsid w:val="00CA5A17"/>
    <w:rsid w:val="00CA5ADA"/>
    <w:rsid w:val="00CA5B55"/>
    <w:rsid w:val="00CA630A"/>
    <w:rsid w:val="00CA63C4"/>
    <w:rsid w:val="00CA654F"/>
    <w:rsid w:val="00CA662D"/>
    <w:rsid w:val="00CA6838"/>
    <w:rsid w:val="00CA6FA5"/>
    <w:rsid w:val="00CA7165"/>
    <w:rsid w:val="00CA73B7"/>
    <w:rsid w:val="00CA73B8"/>
    <w:rsid w:val="00CA7447"/>
    <w:rsid w:val="00CA7564"/>
    <w:rsid w:val="00CA7606"/>
    <w:rsid w:val="00CA77E6"/>
    <w:rsid w:val="00CA7808"/>
    <w:rsid w:val="00CB0079"/>
    <w:rsid w:val="00CB0430"/>
    <w:rsid w:val="00CB05CF"/>
    <w:rsid w:val="00CB0642"/>
    <w:rsid w:val="00CB06DA"/>
    <w:rsid w:val="00CB078B"/>
    <w:rsid w:val="00CB07F5"/>
    <w:rsid w:val="00CB0C3C"/>
    <w:rsid w:val="00CB0DA8"/>
    <w:rsid w:val="00CB0E47"/>
    <w:rsid w:val="00CB0FF0"/>
    <w:rsid w:val="00CB10A2"/>
    <w:rsid w:val="00CB1314"/>
    <w:rsid w:val="00CB14DF"/>
    <w:rsid w:val="00CB157D"/>
    <w:rsid w:val="00CB15E3"/>
    <w:rsid w:val="00CB16A3"/>
    <w:rsid w:val="00CB1CBB"/>
    <w:rsid w:val="00CB1E96"/>
    <w:rsid w:val="00CB1F47"/>
    <w:rsid w:val="00CB1FDA"/>
    <w:rsid w:val="00CB1FF2"/>
    <w:rsid w:val="00CB2077"/>
    <w:rsid w:val="00CB21A2"/>
    <w:rsid w:val="00CB22A0"/>
    <w:rsid w:val="00CB240D"/>
    <w:rsid w:val="00CB25DF"/>
    <w:rsid w:val="00CB2680"/>
    <w:rsid w:val="00CB27C9"/>
    <w:rsid w:val="00CB2A01"/>
    <w:rsid w:val="00CB2B7E"/>
    <w:rsid w:val="00CB2DEE"/>
    <w:rsid w:val="00CB2E84"/>
    <w:rsid w:val="00CB2FD9"/>
    <w:rsid w:val="00CB3131"/>
    <w:rsid w:val="00CB3206"/>
    <w:rsid w:val="00CB332E"/>
    <w:rsid w:val="00CB33CC"/>
    <w:rsid w:val="00CB3431"/>
    <w:rsid w:val="00CB3551"/>
    <w:rsid w:val="00CB36DE"/>
    <w:rsid w:val="00CB37FD"/>
    <w:rsid w:val="00CB3878"/>
    <w:rsid w:val="00CB397A"/>
    <w:rsid w:val="00CB3A7A"/>
    <w:rsid w:val="00CB3ACF"/>
    <w:rsid w:val="00CB3CEF"/>
    <w:rsid w:val="00CB3DF9"/>
    <w:rsid w:val="00CB3FF7"/>
    <w:rsid w:val="00CB40AF"/>
    <w:rsid w:val="00CB414E"/>
    <w:rsid w:val="00CB4250"/>
    <w:rsid w:val="00CB4255"/>
    <w:rsid w:val="00CB4374"/>
    <w:rsid w:val="00CB490C"/>
    <w:rsid w:val="00CB4921"/>
    <w:rsid w:val="00CB4AE8"/>
    <w:rsid w:val="00CB4CCF"/>
    <w:rsid w:val="00CB4D52"/>
    <w:rsid w:val="00CB4E8F"/>
    <w:rsid w:val="00CB50C6"/>
    <w:rsid w:val="00CB50D0"/>
    <w:rsid w:val="00CB5376"/>
    <w:rsid w:val="00CB55AC"/>
    <w:rsid w:val="00CB55DE"/>
    <w:rsid w:val="00CB563A"/>
    <w:rsid w:val="00CB5752"/>
    <w:rsid w:val="00CB5893"/>
    <w:rsid w:val="00CB5ABC"/>
    <w:rsid w:val="00CB5B6A"/>
    <w:rsid w:val="00CB5BB6"/>
    <w:rsid w:val="00CB5CF2"/>
    <w:rsid w:val="00CB6261"/>
    <w:rsid w:val="00CB66C7"/>
    <w:rsid w:val="00CB694A"/>
    <w:rsid w:val="00CB69ED"/>
    <w:rsid w:val="00CB6A93"/>
    <w:rsid w:val="00CB6F36"/>
    <w:rsid w:val="00CB7042"/>
    <w:rsid w:val="00CB718D"/>
    <w:rsid w:val="00CB7241"/>
    <w:rsid w:val="00CB7260"/>
    <w:rsid w:val="00CB72AC"/>
    <w:rsid w:val="00CB7387"/>
    <w:rsid w:val="00CB7612"/>
    <w:rsid w:val="00CB76C0"/>
    <w:rsid w:val="00CB7776"/>
    <w:rsid w:val="00CB778D"/>
    <w:rsid w:val="00CB779D"/>
    <w:rsid w:val="00CB787F"/>
    <w:rsid w:val="00CB7CD2"/>
    <w:rsid w:val="00CB7DF0"/>
    <w:rsid w:val="00CB7FEE"/>
    <w:rsid w:val="00CC0102"/>
    <w:rsid w:val="00CC02AB"/>
    <w:rsid w:val="00CC02EA"/>
    <w:rsid w:val="00CC03FD"/>
    <w:rsid w:val="00CC04CA"/>
    <w:rsid w:val="00CC050B"/>
    <w:rsid w:val="00CC066D"/>
    <w:rsid w:val="00CC0C32"/>
    <w:rsid w:val="00CC0CE1"/>
    <w:rsid w:val="00CC0F20"/>
    <w:rsid w:val="00CC1357"/>
    <w:rsid w:val="00CC13E2"/>
    <w:rsid w:val="00CC173A"/>
    <w:rsid w:val="00CC1779"/>
    <w:rsid w:val="00CC18D3"/>
    <w:rsid w:val="00CC1956"/>
    <w:rsid w:val="00CC1C78"/>
    <w:rsid w:val="00CC1C7C"/>
    <w:rsid w:val="00CC1C8C"/>
    <w:rsid w:val="00CC1D96"/>
    <w:rsid w:val="00CC1EB4"/>
    <w:rsid w:val="00CC235C"/>
    <w:rsid w:val="00CC25E3"/>
    <w:rsid w:val="00CC26B4"/>
    <w:rsid w:val="00CC26F4"/>
    <w:rsid w:val="00CC28C9"/>
    <w:rsid w:val="00CC2A56"/>
    <w:rsid w:val="00CC2F23"/>
    <w:rsid w:val="00CC321F"/>
    <w:rsid w:val="00CC3289"/>
    <w:rsid w:val="00CC346E"/>
    <w:rsid w:val="00CC3784"/>
    <w:rsid w:val="00CC3881"/>
    <w:rsid w:val="00CC38BE"/>
    <w:rsid w:val="00CC38C5"/>
    <w:rsid w:val="00CC38D9"/>
    <w:rsid w:val="00CC3C19"/>
    <w:rsid w:val="00CC3E16"/>
    <w:rsid w:val="00CC42A5"/>
    <w:rsid w:val="00CC42B4"/>
    <w:rsid w:val="00CC4515"/>
    <w:rsid w:val="00CC45C1"/>
    <w:rsid w:val="00CC471B"/>
    <w:rsid w:val="00CC4A9E"/>
    <w:rsid w:val="00CC4AD1"/>
    <w:rsid w:val="00CC4B4F"/>
    <w:rsid w:val="00CC4CBB"/>
    <w:rsid w:val="00CC4D33"/>
    <w:rsid w:val="00CC4DF2"/>
    <w:rsid w:val="00CC4F80"/>
    <w:rsid w:val="00CC5060"/>
    <w:rsid w:val="00CC50B2"/>
    <w:rsid w:val="00CC5144"/>
    <w:rsid w:val="00CC514E"/>
    <w:rsid w:val="00CC5209"/>
    <w:rsid w:val="00CC5375"/>
    <w:rsid w:val="00CC5406"/>
    <w:rsid w:val="00CC57F3"/>
    <w:rsid w:val="00CC58CB"/>
    <w:rsid w:val="00CC593D"/>
    <w:rsid w:val="00CC5E2E"/>
    <w:rsid w:val="00CC5E46"/>
    <w:rsid w:val="00CC61A9"/>
    <w:rsid w:val="00CC61AA"/>
    <w:rsid w:val="00CC638D"/>
    <w:rsid w:val="00CC6535"/>
    <w:rsid w:val="00CC66AA"/>
    <w:rsid w:val="00CC6782"/>
    <w:rsid w:val="00CC698E"/>
    <w:rsid w:val="00CC6AE6"/>
    <w:rsid w:val="00CC6BD5"/>
    <w:rsid w:val="00CC6BFE"/>
    <w:rsid w:val="00CC6CB1"/>
    <w:rsid w:val="00CC703D"/>
    <w:rsid w:val="00CC709E"/>
    <w:rsid w:val="00CC71DC"/>
    <w:rsid w:val="00CC73F5"/>
    <w:rsid w:val="00CC75F1"/>
    <w:rsid w:val="00CC7664"/>
    <w:rsid w:val="00CC7715"/>
    <w:rsid w:val="00CC77D8"/>
    <w:rsid w:val="00CC7A71"/>
    <w:rsid w:val="00CC7BF5"/>
    <w:rsid w:val="00CC7D15"/>
    <w:rsid w:val="00CC7DFA"/>
    <w:rsid w:val="00CC7F16"/>
    <w:rsid w:val="00CD03A8"/>
    <w:rsid w:val="00CD03D2"/>
    <w:rsid w:val="00CD057F"/>
    <w:rsid w:val="00CD082E"/>
    <w:rsid w:val="00CD0D2D"/>
    <w:rsid w:val="00CD0D40"/>
    <w:rsid w:val="00CD0D6E"/>
    <w:rsid w:val="00CD0EC8"/>
    <w:rsid w:val="00CD1139"/>
    <w:rsid w:val="00CD117A"/>
    <w:rsid w:val="00CD1269"/>
    <w:rsid w:val="00CD1341"/>
    <w:rsid w:val="00CD16E9"/>
    <w:rsid w:val="00CD17F8"/>
    <w:rsid w:val="00CD188C"/>
    <w:rsid w:val="00CD1B39"/>
    <w:rsid w:val="00CD1B50"/>
    <w:rsid w:val="00CD1BF7"/>
    <w:rsid w:val="00CD1D2E"/>
    <w:rsid w:val="00CD1D32"/>
    <w:rsid w:val="00CD1D45"/>
    <w:rsid w:val="00CD2072"/>
    <w:rsid w:val="00CD21C2"/>
    <w:rsid w:val="00CD2375"/>
    <w:rsid w:val="00CD270D"/>
    <w:rsid w:val="00CD27E2"/>
    <w:rsid w:val="00CD284C"/>
    <w:rsid w:val="00CD2A83"/>
    <w:rsid w:val="00CD2BCC"/>
    <w:rsid w:val="00CD2F6C"/>
    <w:rsid w:val="00CD3082"/>
    <w:rsid w:val="00CD3226"/>
    <w:rsid w:val="00CD32FC"/>
    <w:rsid w:val="00CD3304"/>
    <w:rsid w:val="00CD3396"/>
    <w:rsid w:val="00CD3436"/>
    <w:rsid w:val="00CD35D0"/>
    <w:rsid w:val="00CD363A"/>
    <w:rsid w:val="00CD367D"/>
    <w:rsid w:val="00CD3AA1"/>
    <w:rsid w:val="00CD3AB6"/>
    <w:rsid w:val="00CD3B04"/>
    <w:rsid w:val="00CD3B6B"/>
    <w:rsid w:val="00CD3BEE"/>
    <w:rsid w:val="00CD3D68"/>
    <w:rsid w:val="00CD3E5C"/>
    <w:rsid w:val="00CD3E6A"/>
    <w:rsid w:val="00CD3F40"/>
    <w:rsid w:val="00CD3FE8"/>
    <w:rsid w:val="00CD426E"/>
    <w:rsid w:val="00CD442A"/>
    <w:rsid w:val="00CD4DE0"/>
    <w:rsid w:val="00CD5212"/>
    <w:rsid w:val="00CD5455"/>
    <w:rsid w:val="00CD56FC"/>
    <w:rsid w:val="00CD57BB"/>
    <w:rsid w:val="00CD5A01"/>
    <w:rsid w:val="00CD5D09"/>
    <w:rsid w:val="00CD5E79"/>
    <w:rsid w:val="00CD6134"/>
    <w:rsid w:val="00CD628D"/>
    <w:rsid w:val="00CD63E6"/>
    <w:rsid w:val="00CD66E4"/>
    <w:rsid w:val="00CD6B55"/>
    <w:rsid w:val="00CD6B78"/>
    <w:rsid w:val="00CD6BCF"/>
    <w:rsid w:val="00CD6D90"/>
    <w:rsid w:val="00CD6DA8"/>
    <w:rsid w:val="00CD6DAC"/>
    <w:rsid w:val="00CD6FC9"/>
    <w:rsid w:val="00CD6FD0"/>
    <w:rsid w:val="00CD7365"/>
    <w:rsid w:val="00CD76A2"/>
    <w:rsid w:val="00CD77C0"/>
    <w:rsid w:val="00CD77D8"/>
    <w:rsid w:val="00CD79BA"/>
    <w:rsid w:val="00CD7A91"/>
    <w:rsid w:val="00CD7AA1"/>
    <w:rsid w:val="00CD7B21"/>
    <w:rsid w:val="00CD7D98"/>
    <w:rsid w:val="00CD7E51"/>
    <w:rsid w:val="00CD7EDB"/>
    <w:rsid w:val="00CDF0A4"/>
    <w:rsid w:val="00CE0186"/>
    <w:rsid w:val="00CE04CC"/>
    <w:rsid w:val="00CE060F"/>
    <w:rsid w:val="00CE08B3"/>
    <w:rsid w:val="00CE0DE3"/>
    <w:rsid w:val="00CE0DF4"/>
    <w:rsid w:val="00CE0EE2"/>
    <w:rsid w:val="00CE1021"/>
    <w:rsid w:val="00CE1263"/>
    <w:rsid w:val="00CE17D1"/>
    <w:rsid w:val="00CE1850"/>
    <w:rsid w:val="00CE1C99"/>
    <w:rsid w:val="00CE1CD8"/>
    <w:rsid w:val="00CE1F3A"/>
    <w:rsid w:val="00CE20C7"/>
    <w:rsid w:val="00CE2121"/>
    <w:rsid w:val="00CE21C9"/>
    <w:rsid w:val="00CE26A9"/>
    <w:rsid w:val="00CE28E2"/>
    <w:rsid w:val="00CE30DD"/>
    <w:rsid w:val="00CE3314"/>
    <w:rsid w:val="00CE395E"/>
    <w:rsid w:val="00CE3AB6"/>
    <w:rsid w:val="00CE3AF7"/>
    <w:rsid w:val="00CE3CC0"/>
    <w:rsid w:val="00CE3EEF"/>
    <w:rsid w:val="00CE4490"/>
    <w:rsid w:val="00CE4537"/>
    <w:rsid w:val="00CE463F"/>
    <w:rsid w:val="00CE4855"/>
    <w:rsid w:val="00CE488C"/>
    <w:rsid w:val="00CE48CC"/>
    <w:rsid w:val="00CE4AC2"/>
    <w:rsid w:val="00CE4C2A"/>
    <w:rsid w:val="00CE4E32"/>
    <w:rsid w:val="00CE5015"/>
    <w:rsid w:val="00CE5067"/>
    <w:rsid w:val="00CE517B"/>
    <w:rsid w:val="00CE5262"/>
    <w:rsid w:val="00CE5374"/>
    <w:rsid w:val="00CE5408"/>
    <w:rsid w:val="00CE563C"/>
    <w:rsid w:val="00CE56CE"/>
    <w:rsid w:val="00CE5710"/>
    <w:rsid w:val="00CE5972"/>
    <w:rsid w:val="00CE5BEF"/>
    <w:rsid w:val="00CE61A4"/>
    <w:rsid w:val="00CE61A9"/>
    <w:rsid w:val="00CE62C2"/>
    <w:rsid w:val="00CE6674"/>
    <w:rsid w:val="00CE67A5"/>
    <w:rsid w:val="00CE6AAA"/>
    <w:rsid w:val="00CE6AB6"/>
    <w:rsid w:val="00CE6C4C"/>
    <w:rsid w:val="00CE6FAC"/>
    <w:rsid w:val="00CE7023"/>
    <w:rsid w:val="00CE703A"/>
    <w:rsid w:val="00CE70F5"/>
    <w:rsid w:val="00CE723D"/>
    <w:rsid w:val="00CE755E"/>
    <w:rsid w:val="00CE756C"/>
    <w:rsid w:val="00CE769A"/>
    <w:rsid w:val="00CE7A65"/>
    <w:rsid w:val="00CE7D84"/>
    <w:rsid w:val="00CF0393"/>
    <w:rsid w:val="00CF042A"/>
    <w:rsid w:val="00CF0522"/>
    <w:rsid w:val="00CF065E"/>
    <w:rsid w:val="00CF0728"/>
    <w:rsid w:val="00CF07D1"/>
    <w:rsid w:val="00CF0929"/>
    <w:rsid w:val="00CF096B"/>
    <w:rsid w:val="00CF0A35"/>
    <w:rsid w:val="00CF0A92"/>
    <w:rsid w:val="00CF0D4A"/>
    <w:rsid w:val="00CF0D5F"/>
    <w:rsid w:val="00CF1003"/>
    <w:rsid w:val="00CF117C"/>
    <w:rsid w:val="00CF11CD"/>
    <w:rsid w:val="00CF11D0"/>
    <w:rsid w:val="00CF1368"/>
    <w:rsid w:val="00CF1683"/>
    <w:rsid w:val="00CF18BB"/>
    <w:rsid w:val="00CF1B52"/>
    <w:rsid w:val="00CF1CE4"/>
    <w:rsid w:val="00CF1D64"/>
    <w:rsid w:val="00CF20F8"/>
    <w:rsid w:val="00CF213F"/>
    <w:rsid w:val="00CF2326"/>
    <w:rsid w:val="00CF24D2"/>
    <w:rsid w:val="00CF257B"/>
    <w:rsid w:val="00CF2646"/>
    <w:rsid w:val="00CF2804"/>
    <w:rsid w:val="00CF2998"/>
    <w:rsid w:val="00CF2B79"/>
    <w:rsid w:val="00CF2E6D"/>
    <w:rsid w:val="00CF2E74"/>
    <w:rsid w:val="00CF2F9C"/>
    <w:rsid w:val="00CF30BE"/>
    <w:rsid w:val="00CF3433"/>
    <w:rsid w:val="00CF3534"/>
    <w:rsid w:val="00CF3693"/>
    <w:rsid w:val="00CF36F0"/>
    <w:rsid w:val="00CF36FF"/>
    <w:rsid w:val="00CF3906"/>
    <w:rsid w:val="00CF3919"/>
    <w:rsid w:val="00CF39AC"/>
    <w:rsid w:val="00CF3BEE"/>
    <w:rsid w:val="00CF3EEF"/>
    <w:rsid w:val="00CF4018"/>
    <w:rsid w:val="00CF40CE"/>
    <w:rsid w:val="00CF41D3"/>
    <w:rsid w:val="00CF42C0"/>
    <w:rsid w:val="00CF4349"/>
    <w:rsid w:val="00CF449F"/>
    <w:rsid w:val="00CF47BA"/>
    <w:rsid w:val="00CF4870"/>
    <w:rsid w:val="00CF4907"/>
    <w:rsid w:val="00CF49FC"/>
    <w:rsid w:val="00CF4A45"/>
    <w:rsid w:val="00CF4D5C"/>
    <w:rsid w:val="00CF4E5F"/>
    <w:rsid w:val="00CF50D3"/>
    <w:rsid w:val="00CF52D1"/>
    <w:rsid w:val="00CF5359"/>
    <w:rsid w:val="00CF5365"/>
    <w:rsid w:val="00CF53D1"/>
    <w:rsid w:val="00CF55BF"/>
    <w:rsid w:val="00CF582F"/>
    <w:rsid w:val="00CF585A"/>
    <w:rsid w:val="00CF5951"/>
    <w:rsid w:val="00CF5A0A"/>
    <w:rsid w:val="00CF5B29"/>
    <w:rsid w:val="00CF5D5B"/>
    <w:rsid w:val="00CF5F65"/>
    <w:rsid w:val="00CF5FB3"/>
    <w:rsid w:val="00CF6087"/>
    <w:rsid w:val="00CF6172"/>
    <w:rsid w:val="00CF61D2"/>
    <w:rsid w:val="00CF61FF"/>
    <w:rsid w:val="00CF67AF"/>
    <w:rsid w:val="00CF6BA7"/>
    <w:rsid w:val="00CF6C14"/>
    <w:rsid w:val="00CF6C35"/>
    <w:rsid w:val="00CF6C37"/>
    <w:rsid w:val="00CF6FCB"/>
    <w:rsid w:val="00CF7306"/>
    <w:rsid w:val="00CF7748"/>
    <w:rsid w:val="00CF779E"/>
    <w:rsid w:val="00CF7963"/>
    <w:rsid w:val="00CF7A00"/>
    <w:rsid w:val="00CF7A7D"/>
    <w:rsid w:val="00CF7B28"/>
    <w:rsid w:val="00CF7C83"/>
    <w:rsid w:val="00D001AC"/>
    <w:rsid w:val="00D001E8"/>
    <w:rsid w:val="00D00249"/>
    <w:rsid w:val="00D00596"/>
    <w:rsid w:val="00D00827"/>
    <w:rsid w:val="00D008F1"/>
    <w:rsid w:val="00D00A0B"/>
    <w:rsid w:val="00D00B9E"/>
    <w:rsid w:val="00D00F95"/>
    <w:rsid w:val="00D010D6"/>
    <w:rsid w:val="00D014A7"/>
    <w:rsid w:val="00D0166E"/>
    <w:rsid w:val="00D016BF"/>
    <w:rsid w:val="00D017EE"/>
    <w:rsid w:val="00D018D4"/>
    <w:rsid w:val="00D01BA6"/>
    <w:rsid w:val="00D01BD4"/>
    <w:rsid w:val="00D01BF1"/>
    <w:rsid w:val="00D01CCE"/>
    <w:rsid w:val="00D01D29"/>
    <w:rsid w:val="00D021A7"/>
    <w:rsid w:val="00D02227"/>
    <w:rsid w:val="00D02574"/>
    <w:rsid w:val="00D026DB"/>
    <w:rsid w:val="00D026FE"/>
    <w:rsid w:val="00D0280B"/>
    <w:rsid w:val="00D02858"/>
    <w:rsid w:val="00D028AF"/>
    <w:rsid w:val="00D02B00"/>
    <w:rsid w:val="00D02BCA"/>
    <w:rsid w:val="00D02D2A"/>
    <w:rsid w:val="00D02D36"/>
    <w:rsid w:val="00D03106"/>
    <w:rsid w:val="00D03249"/>
    <w:rsid w:val="00D03473"/>
    <w:rsid w:val="00D03619"/>
    <w:rsid w:val="00D0378F"/>
    <w:rsid w:val="00D03798"/>
    <w:rsid w:val="00D03826"/>
    <w:rsid w:val="00D03A3F"/>
    <w:rsid w:val="00D03A4B"/>
    <w:rsid w:val="00D03B97"/>
    <w:rsid w:val="00D03BF2"/>
    <w:rsid w:val="00D03C35"/>
    <w:rsid w:val="00D03C8C"/>
    <w:rsid w:val="00D040A6"/>
    <w:rsid w:val="00D0415E"/>
    <w:rsid w:val="00D043C7"/>
    <w:rsid w:val="00D04455"/>
    <w:rsid w:val="00D0446C"/>
    <w:rsid w:val="00D04491"/>
    <w:rsid w:val="00D04653"/>
    <w:rsid w:val="00D04A28"/>
    <w:rsid w:val="00D04B86"/>
    <w:rsid w:val="00D04C58"/>
    <w:rsid w:val="00D052E1"/>
    <w:rsid w:val="00D05343"/>
    <w:rsid w:val="00D0563F"/>
    <w:rsid w:val="00D05793"/>
    <w:rsid w:val="00D059CF"/>
    <w:rsid w:val="00D05A1F"/>
    <w:rsid w:val="00D05A7B"/>
    <w:rsid w:val="00D05B5A"/>
    <w:rsid w:val="00D05D76"/>
    <w:rsid w:val="00D05DEA"/>
    <w:rsid w:val="00D05F3F"/>
    <w:rsid w:val="00D06114"/>
    <w:rsid w:val="00D061B0"/>
    <w:rsid w:val="00D062BF"/>
    <w:rsid w:val="00D062C2"/>
    <w:rsid w:val="00D06368"/>
    <w:rsid w:val="00D06771"/>
    <w:rsid w:val="00D0697A"/>
    <w:rsid w:val="00D06991"/>
    <w:rsid w:val="00D06C74"/>
    <w:rsid w:val="00D06D0A"/>
    <w:rsid w:val="00D06D9C"/>
    <w:rsid w:val="00D0706B"/>
    <w:rsid w:val="00D07317"/>
    <w:rsid w:val="00D07460"/>
    <w:rsid w:val="00D074C5"/>
    <w:rsid w:val="00D0751A"/>
    <w:rsid w:val="00D077EE"/>
    <w:rsid w:val="00D077F8"/>
    <w:rsid w:val="00D078E6"/>
    <w:rsid w:val="00D0796C"/>
    <w:rsid w:val="00D07A62"/>
    <w:rsid w:val="00D07A9F"/>
    <w:rsid w:val="00D07D5E"/>
    <w:rsid w:val="00D07E02"/>
    <w:rsid w:val="00D07E4F"/>
    <w:rsid w:val="00D10040"/>
    <w:rsid w:val="00D101A7"/>
    <w:rsid w:val="00D103AF"/>
    <w:rsid w:val="00D1081C"/>
    <w:rsid w:val="00D1083A"/>
    <w:rsid w:val="00D108D5"/>
    <w:rsid w:val="00D10953"/>
    <w:rsid w:val="00D10B13"/>
    <w:rsid w:val="00D10D0D"/>
    <w:rsid w:val="00D10EB9"/>
    <w:rsid w:val="00D1102C"/>
    <w:rsid w:val="00D113F9"/>
    <w:rsid w:val="00D11523"/>
    <w:rsid w:val="00D11682"/>
    <w:rsid w:val="00D11925"/>
    <w:rsid w:val="00D11982"/>
    <w:rsid w:val="00D11C9E"/>
    <w:rsid w:val="00D11D08"/>
    <w:rsid w:val="00D11D89"/>
    <w:rsid w:val="00D12340"/>
    <w:rsid w:val="00D126E0"/>
    <w:rsid w:val="00D127AA"/>
    <w:rsid w:val="00D127CE"/>
    <w:rsid w:val="00D129A0"/>
    <w:rsid w:val="00D12D08"/>
    <w:rsid w:val="00D12FF6"/>
    <w:rsid w:val="00D131A5"/>
    <w:rsid w:val="00D13321"/>
    <w:rsid w:val="00D13350"/>
    <w:rsid w:val="00D133D4"/>
    <w:rsid w:val="00D134E1"/>
    <w:rsid w:val="00D137B1"/>
    <w:rsid w:val="00D137DC"/>
    <w:rsid w:val="00D13A42"/>
    <w:rsid w:val="00D13A5D"/>
    <w:rsid w:val="00D13ECC"/>
    <w:rsid w:val="00D13F88"/>
    <w:rsid w:val="00D141F1"/>
    <w:rsid w:val="00D142E9"/>
    <w:rsid w:val="00D14579"/>
    <w:rsid w:val="00D1497A"/>
    <w:rsid w:val="00D1498B"/>
    <w:rsid w:val="00D14A0A"/>
    <w:rsid w:val="00D14D66"/>
    <w:rsid w:val="00D14E41"/>
    <w:rsid w:val="00D14E77"/>
    <w:rsid w:val="00D14ECE"/>
    <w:rsid w:val="00D15169"/>
    <w:rsid w:val="00D152F1"/>
    <w:rsid w:val="00D154E0"/>
    <w:rsid w:val="00D155F8"/>
    <w:rsid w:val="00D1589E"/>
    <w:rsid w:val="00D15909"/>
    <w:rsid w:val="00D15C98"/>
    <w:rsid w:val="00D15CAD"/>
    <w:rsid w:val="00D15E68"/>
    <w:rsid w:val="00D1604E"/>
    <w:rsid w:val="00D160ED"/>
    <w:rsid w:val="00D161A5"/>
    <w:rsid w:val="00D162E3"/>
    <w:rsid w:val="00D16478"/>
    <w:rsid w:val="00D164ED"/>
    <w:rsid w:val="00D16662"/>
    <w:rsid w:val="00D16663"/>
    <w:rsid w:val="00D1673B"/>
    <w:rsid w:val="00D1695E"/>
    <w:rsid w:val="00D16B68"/>
    <w:rsid w:val="00D16BAC"/>
    <w:rsid w:val="00D16E75"/>
    <w:rsid w:val="00D16FD3"/>
    <w:rsid w:val="00D1715E"/>
    <w:rsid w:val="00D17237"/>
    <w:rsid w:val="00D17241"/>
    <w:rsid w:val="00D174D8"/>
    <w:rsid w:val="00D17620"/>
    <w:rsid w:val="00D1766F"/>
    <w:rsid w:val="00D17A8F"/>
    <w:rsid w:val="00D17AED"/>
    <w:rsid w:val="00D17BCF"/>
    <w:rsid w:val="00D17CAD"/>
    <w:rsid w:val="00D17D33"/>
    <w:rsid w:val="00D17F46"/>
    <w:rsid w:val="00D20200"/>
    <w:rsid w:val="00D20207"/>
    <w:rsid w:val="00D203D5"/>
    <w:rsid w:val="00D203E9"/>
    <w:rsid w:val="00D20436"/>
    <w:rsid w:val="00D20438"/>
    <w:rsid w:val="00D20441"/>
    <w:rsid w:val="00D20449"/>
    <w:rsid w:val="00D2048C"/>
    <w:rsid w:val="00D204FA"/>
    <w:rsid w:val="00D20618"/>
    <w:rsid w:val="00D206E2"/>
    <w:rsid w:val="00D208D6"/>
    <w:rsid w:val="00D20975"/>
    <w:rsid w:val="00D20A2A"/>
    <w:rsid w:val="00D20CE5"/>
    <w:rsid w:val="00D20EEF"/>
    <w:rsid w:val="00D2119C"/>
    <w:rsid w:val="00D21303"/>
    <w:rsid w:val="00D21403"/>
    <w:rsid w:val="00D2186C"/>
    <w:rsid w:val="00D21881"/>
    <w:rsid w:val="00D21A68"/>
    <w:rsid w:val="00D21C5F"/>
    <w:rsid w:val="00D21C81"/>
    <w:rsid w:val="00D21DD2"/>
    <w:rsid w:val="00D21E0D"/>
    <w:rsid w:val="00D21E34"/>
    <w:rsid w:val="00D22294"/>
    <w:rsid w:val="00D22311"/>
    <w:rsid w:val="00D22446"/>
    <w:rsid w:val="00D22499"/>
    <w:rsid w:val="00D224A7"/>
    <w:rsid w:val="00D2261F"/>
    <w:rsid w:val="00D2262F"/>
    <w:rsid w:val="00D226CE"/>
    <w:rsid w:val="00D22C3C"/>
    <w:rsid w:val="00D22C7C"/>
    <w:rsid w:val="00D22F5C"/>
    <w:rsid w:val="00D230D3"/>
    <w:rsid w:val="00D2316D"/>
    <w:rsid w:val="00D23274"/>
    <w:rsid w:val="00D23311"/>
    <w:rsid w:val="00D235C0"/>
    <w:rsid w:val="00D235F1"/>
    <w:rsid w:val="00D23628"/>
    <w:rsid w:val="00D236A3"/>
    <w:rsid w:val="00D23937"/>
    <w:rsid w:val="00D239E2"/>
    <w:rsid w:val="00D23A32"/>
    <w:rsid w:val="00D23BFE"/>
    <w:rsid w:val="00D23D3C"/>
    <w:rsid w:val="00D2403E"/>
    <w:rsid w:val="00D240A1"/>
    <w:rsid w:val="00D243D7"/>
    <w:rsid w:val="00D245B0"/>
    <w:rsid w:val="00D24610"/>
    <w:rsid w:val="00D24874"/>
    <w:rsid w:val="00D24A02"/>
    <w:rsid w:val="00D24C0C"/>
    <w:rsid w:val="00D24D9D"/>
    <w:rsid w:val="00D24F31"/>
    <w:rsid w:val="00D24FC3"/>
    <w:rsid w:val="00D25052"/>
    <w:rsid w:val="00D25058"/>
    <w:rsid w:val="00D251C6"/>
    <w:rsid w:val="00D25322"/>
    <w:rsid w:val="00D25339"/>
    <w:rsid w:val="00D2535D"/>
    <w:rsid w:val="00D25A61"/>
    <w:rsid w:val="00D25B9D"/>
    <w:rsid w:val="00D25BF5"/>
    <w:rsid w:val="00D25C9A"/>
    <w:rsid w:val="00D25D3A"/>
    <w:rsid w:val="00D25DA6"/>
    <w:rsid w:val="00D25DF5"/>
    <w:rsid w:val="00D25E4F"/>
    <w:rsid w:val="00D25F35"/>
    <w:rsid w:val="00D26033"/>
    <w:rsid w:val="00D263FF"/>
    <w:rsid w:val="00D26489"/>
    <w:rsid w:val="00D26571"/>
    <w:rsid w:val="00D265A5"/>
    <w:rsid w:val="00D26780"/>
    <w:rsid w:val="00D26837"/>
    <w:rsid w:val="00D26984"/>
    <w:rsid w:val="00D26A67"/>
    <w:rsid w:val="00D26F47"/>
    <w:rsid w:val="00D271DD"/>
    <w:rsid w:val="00D272A0"/>
    <w:rsid w:val="00D27408"/>
    <w:rsid w:val="00D279C3"/>
    <w:rsid w:val="00D27A9F"/>
    <w:rsid w:val="00D27C1C"/>
    <w:rsid w:val="00D27C5B"/>
    <w:rsid w:val="00D27CF2"/>
    <w:rsid w:val="00D3014D"/>
    <w:rsid w:val="00D30159"/>
    <w:rsid w:val="00D303CA"/>
    <w:rsid w:val="00D304CC"/>
    <w:rsid w:val="00D306C3"/>
    <w:rsid w:val="00D30786"/>
    <w:rsid w:val="00D307A7"/>
    <w:rsid w:val="00D307F4"/>
    <w:rsid w:val="00D30B4E"/>
    <w:rsid w:val="00D30C28"/>
    <w:rsid w:val="00D30CA3"/>
    <w:rsid w:val="00D30D21"/>
    <w:rsid w:val="00D30EA1"/>
    <w:rsid w:val="00D30EBD"/>
    <w:rsid w:val="00D30F38"/>
    <w:rsid w:val="00D310AF"/>
    <w:rsid w:val="00D310C4"/>
    <w:rsid w:val="00D31101"/>
    <w:rsid w:val="00D311CF"/>
    <w:rsid w:val="00D31203"/>
    <w:rsid w:val="00D315BB"/>
    <w:rsid w:val="00D31630"/>
    <w:rsid w:val="00D31662"/>
    <w:rsid w:val="00D316BD"/>
    <w:rsid w:val="00D3188F"/>
    <w:rsid w:val="00D3190A"/>
    <w:rsid w:val="00D31A2F"/>
    <w:rsid w:val="00D31F90"/>
    <w:rsid w:val="00D31FE0"/>
    <w:rsid w:val="00D32161"/>
    <w:rsid w:val="00D32199"/>
    <w:rsid w:val="00D32353"/>
    <w:rsid w:val="00D323AC"/>
    <w:rsid w:val="00D326A7"/>
    <w:rsid w:val="00D327C8"/>
    <w:rsid w:val="00D329BA"/>
    <w:rsid w:val="00D33302"/>
    <w:rsid w:val="00D3346C"/>
    <w:rsid w:val="00D3352A"/>
    <w:rsid w:val="00D3356C"/>
    <w:rsid w:val="00D3394B"/>
    <w:rsid w:val="00D33A98"/>
    <w:rsid w:val="00D33B23"/>
    <w:rsid w:val="00D341CC"/>
    <w:rsid w:val="00D34283"/>
    <w:rsid w:val="00D34330"/>
    <w:rsid w:val="00D34408"/>
    <w:rsid w:val="00D345E3"/>
    <w:rsid w:val="00D345F0"/>
    <w:rsid w:val="00D345FC"/>
    <w:rsid w:val="00D34DA3"/>
    <w:rsid w:val="00D34DCB"/>
    <w:rsid w:val="00D35470"/>
    <w:rsid w:val="00D3547E"/>
    <w:rsid w:val="00D354D1"/>
    <w:rsid w:val="00D355F5"/>
    <w:rsid w:val="00D3580F"/>
    <w:rsid w:val="00D359F4"/>
    <w:rsid w:val="00D35B64"/>
    <w:rsid w:val="00D35F74"/>
    <w:rsid w:val="00D360EF"/>
    <w:rsid w:val="00D3630D"/>
    <w:rsid w:val="00D363C5"/>
    <w:rsid w:val="00D36652"/>
    <w:rsid w:val="00D36664"/>
    <w:rsid w:val="00D366C7"/>
    <w:rsid w:val="00D36818"/>
    <w:rsid w:val="00D368D3"/>
    <w:rsid w:val="00D36B68"/>
    <w:rsid w:val="00D36BF4"/>
    <w:rsid w:val="00D36C49"/>
    <w:rsid w:val="00D37035"/>
    <w:rsid w:val="00D370AC"/>
    <w:rsid w:val="00D370DE"/>
    <w:rsid w:val="00D371FC"/>
    <w:rsid w:val="00D37276"/>
    <w:rsid w:val="00D37411"/>
    <w:rsid w:val="00D37524"/>
    <w:rsid w:val="00D3763D"/>
    <w:rsid w:val="00D37649"/>
    <w:rsid w:val="00D37660"/>
    <w:rsid w:val="00D377CC"/>
    <w:rsid w:val="00D37A01"/>
    <w:rsid w:val="00D37C6E"/>
    <w:rsid w:val="00D37D4C"/>
    <w:rsid w:val="00D4029D"/>
    <w:rsid w:val="00D402BB"/>
    <w:rsid w:val="00D403AD"/>
    <w:rsid w:val="00D405B7"/>
    <w:rsid w:val="00D409D5"/>
    <w:rsid w:val="00D40A28"/>
    <w:rsid w:val="00D40AC5"/>
    <w:rsid w:val="00D40ADC"/>
    <w:rsid w:val="00D40BFF"/>
    <w:rsid w:val="00D40E6C"/>
    <w:rsid w:val="00D40F75"/>
    <w:rsid w:val="00D410DB"/>
    <w:rsid w:val="00D41382"/>
    <w:rsid w:val="00D413D6"/>
    <w:rsid w:val="00D41410"/>
    <w:rsid w:val="00D416C5"/>
    <w:rsid w:val="00D4170D"/>
    <w:rsid w:val="00D4176F"/>
    <w:rsid w:val="00D41794"/>
    <w:rsid w:val="00D4179B"/>
    <w:rsid w:val="00D41925"/>
    <w:rsid w:val="00D41950"/>
    <w:rsid w:val="00D41A00"/>
    <w:rsid w:val="00D41AF4"/>
    <w:rsid w:val="00D41CFC"/>
    <w:rsid w:val="00D41E1A"/>
    <w:rsid w:val="00D41F20"/>
    <w:rsid w:val="00D42040"/>
    <w:rsid w:val="00D42212"/>
    <w:rsid w:val="00D42767"/>
    <w:rsid w:val="00D42D8C"/>
    <w:rsid w:val="00D42DB7"/>
    <w:rsid w:val="00D4304A"/>
    <w:rsid w:val="00D43646"/>
    <w:rsid w:val="00D4377C"/>
    <w:rsid w:val="00D438CA"/>
    <w:rsid w:val="00D438DA"/>
    <w:rsid w:val="00D43C09"/>
    <w:rsid w:val="00D4411D"/>
    <w:rsid w:val="00D4421A"/>
    <w:rsid w:val="00D442D6"/>
    <w:rsid w:val="00D44471"/>
    <w:rsid w:val="00D44A4F"/>
    <w:rsid w:val="00D44B01"/>
    <w:rsid w:val="00D44E3A"/>
    <w:rsid w:val="00D45126"/>
    <w:rsid w:val="00D451E9"/>
    <w:rsid w:val="00D459A4"/>
    <w:rsid w:val="00D45AC6"/>
    <w:rsid w:val="00D45AC9"/>
    <w:rsid w:val="00D45BDE"/>
    <w:rsid w:val="00D45D54"/>
    <w:rsid w:val="00D45D5F"/>
    <w:rsid w:val="00D45FFE"/>
    <w:rsid w:val="00D46185"/>
    <w:rsid w:val="00D463C2"/>
    <w:rsid w:val="00D46498"/>
    <w:rsid w:val="00D46578"/>
    <w:rsid w:val="00D465FD"/>
    <w:rsid w:val="00D4676E"/>
    <w:rsid w:val="00D467AA"/>
    <w:rsid w:val="00D46982"/>
    <w:rsid w:val="00D46AF0"/>
    <w:rsid w:val="00D46B02"/>
    <w:rsid w:val="00D46C78"/>
    <w:rsid w:val="00D46F13"/>
    <w:rsid w:val="00D46F78"/>
    <w:rsid w:val="00D46FC8"/>
    <w:rsid w:val="00D4700E"/>
    <w:rsid w:val="00D47035"/>
    <w:rsid w:val="00D470A7"/>
    <w:rsid w:val="00D47193"/>
    <w:rsid w:val="00D472E7"/>
    <w:rsid w:val="00D47369"/>
    <w:rsid w:val="00D47379"/>
    <w:rsid w:val="00D4737D"/>
    <w:rsid w:val="00D47398"/>
    <w:rsid w:val="00D476BA"/>
    <w:rsid w:val="00D4778A"/>
    <w:rsid w:val="00D477E3"/>
    <w:rsid w:val="00D4783D"/>
    <w:rsid w:val="00D47C7E"/>
    <w:rsid w:val="00D47CC6"/>
    <w:rsid w:val="00D47EF8"/>
    <w:rsid w:val="00D50074"/>
    <w:rsid w:val="00D50207"/>
    <w:rsid w:val="00D506DF"/>
    <w:rsid w:val="00D5077D"/>
    <w:rsid w:val="00D50BF2"/>
    <w:rsid w:val="00D50CA3"/>
    <w:rsid w:val="00D51495"/>
    <w:rsid w:val="00D51619"/>
    <w:rsid w:val="00D51634"/>
    <w:rsid w:val="00D517E8"/>
    <w:rsid w:val="00D517EC"/>
    <w:rsid w:val="00D51839"/>
    <w:rsid w:val="00D5186D"/>
    <w:rsid w:val="00D5186F"/>
    <w:rsid w:val="00D518E9"/>
    <w:rsid w:val="00D519DD"/>
    <w:rsid w:val="00D51A8B"/>
    <w:rsid w:val="00D51D46"/>
    <w:rsid w:val="00D51D70"/>
    <w:rsid w:val="00D52158"/>
    <w:rsid w:val="00D52205"/>
    <w:rsid w:val="00D52234"/>
    <w:rsid w:val="00D52255"/>
    <w:rsid w:val="00D5237E"/>
    <w:rsid w:val="00D52658"/>
    <w:rsid w:val="00D526B3"/>
    <w:rsid w:val="00D5290D"/>
    <w:rsid w:val="00D52C88"/>
    <w:rsid w:val="00D52CAA"/>
    <w:rsid w:val="00D52D74"/>
    <w:rsid w:val="00D52E0D"/>
    <w:rsid w:val="00D52E32"/>
    <w:rsid w:val="00D52F6B"/>
    <w:rsid w:val="00D531AE"/>
    <w:rsid w:val="00D53265"/>
    <w:rsid w:val="00D53303"/>
    <w:rsid w:val="00D534A7"/>
    <w:rsid w:val="00D535AA"/>
    <w:rsid w:val="00D536A3"/>
    <w:rsid w:val="00D53728"/>
    <w:rsid w:val="00D5378D"/>
    <w:rsid w:val="00D53FFB"/>
    <w:rsid w:val="00D54488"/>
    <w:rsid w:val="00D544A0"/>
    <w:rsid w:val="00D544B6"/>
    <w:rsid w:val="00D546DA"/>
    <w:rsid w:val="00D54794"/>
    <w:rsid w:val="00D54857"/>
    <w:rsid w:val="00D548BF"/>
    <w:rsid w:val="00D54A2D"/>
    <w:rsid w:val="00D54C6C"/>
    <w:rsid w:val="00D54C9B"/>
    <w:rsid w:val="00D54EAE"/>
    <w:rsid w:val="00D5514E"/>
    <w:rsid w:val="00D55238"/>
    <w:rsid w:val="00D55287"/>
    <w:rsid w:val="00D55602"/>
    <w:rsid w:val="00D55885"/>
    <w:rsid w:val="00D55AF2"/>
    <w:rsid w:val="00D55C07"/>
    <w:rsid w:val="00D55DC6"/>
    <w:rsid w:val="00D55E52"/>
    <w:rsid w:val="00D55EA8"/>
    <w:rsid w:val="00D5607A"/>
    <w:rsid w:val="00D56110"/>
    <w:rsid w:val="00D5611D"/>
    <w:rsid w:val="00D56141"/>
    <w:rsid w:val="00D56169"/>
    <w:rsid w:val="00D5627C"/>
    <w:rsid w:val="00D562BD"/>
    <w:rsid w:val="00D564CA"/>
    <w:rsid w:val="00D5651C"/>
    <w:rsid w:val="00D56525"/>
    <w:rsid w:val="00D565FD"/>
    <w:rsid w:val="00D5665C"/>
    <w:rsid w:val="00D56756"/>
    <w:rsid w:val="00D5677D"/>
    <w:rsid w:val="00D5698D"/>
    <w:rsid w:val="00D56CE2"/>
    <w:rsid w:val="00D56DEB"/>
    <w:rsid w:val="00D56F8A"/>
    <w:rsid w:val="00D570A0"/>
    <w:rsid w:val="00D57167"/>
    <w:rsid w:val="00D57232"/>
    <w:rsid w:val="00D5732C"/>
    <w:rsid w:val="00D57438"/>
    <w:rsid w:val="00D57518"/>
    <w:rsid w:val="00D57609"/>
    <w:rsid w:val="00D5775D"/>
    <w:rsid w:val="00D577D9"/>
    <w:rsid w:val="00D577E8"/>
    <w:rsid w:val="00D5795C"/>
    <w:rsid w:val="00D579B1"/>
    <w:rsid w:val="00D579FA"/>
    <w:rsid w:val="00D57B83"/>
    <w:rsid w:val="00D57E86"/>
    <w:rsid w:val="00D5A956"/>
    <w:rsid w:val="00D6028F"/>
    <w:rsid w:val="00D6051C"/>
    <w:rsid w:val="00D60576"/>
    <w:rsid w:val="00D60758"/>
    <w:rsid w:val="00D607E9"/>
    <w:rsid w:val="00D60886"/>
    <w:rsid w:val="00D60A04"/>
    <w:rsid w:val="00D60A19"/>
    <w:rsid w:val="00D60E2B"/>
    <w:rsid w:val="00D60F90"/>
    <w:rsid w:val="00D61003"/>
    <w:rsid w:val="00D610AE"/>
    <w:rsid w:val="00D611D4"/>
    <w:rsid w:val="00D612AC"/>
    <w:rsid w:val="00D614C0"/>
    <w:rsid w:val="00D61628"/>
    <w:rsid w:val="00D61CDA"/>
    <w:rsid w:val="00D61FCB"/>
    <w:rsid w:val="00D62088"/>
    <w:rsid w:val="00D62339"/>
    <w:rsid w:val="00D627FA"/>
    <w:rsid w:val="00D62C7B"/>
    <w:rsid w:val="00D62DE5"/>
    <w:rsid w:val="00D62FC5"/>
    <w:rsid w:val="00D630E6"/>
    <w:rsid w:val="00D631D3"/>
    <w:rsid w:val="00D6335F"/>
    <w:rsid w:val="00D63412"/>
    <w:rsid w:val="00D63AEC"/>
    <w:rsid w:val="00D63BBB"/>
    <w:rsid w:val="00D63DF3"/>
    <w:rsid w:val="00D63E50"/>
    <w:rsid w:val="00D63E95"/>
    <w:rsid w:val="00D63EBE"/>
    <w:rsid w:val="00D63F94"/>
    <w:rsid w:val="00D64586"/>
    <w:rsid w:val="00D645A5"/>
    <w:rsid w:val="00D6460F"/>
    <w:rsid w:val="00D64756"/>
    <w:rsid w:val="00D649AF"/>
    <w:rsid w:val="00D64D06"/>
    <w:rsid w:val="00D64E1C"/>
    <w:rsid w:val="00D64EF5"/>
    <w:rsid w:val="00D64F81"/>
    <w:rsid w:val="00D65091"/>
    <w:rsid w:val="00D65197"/>
    <w:rsid w:val="00D651C6"/>
    <w:rsid w:val="00D651D5"/>
    <w:rsid w:val="00D651DB"/>
    <w:rsid w:val="00D65380"/>
    <w:rsid w:val="00D6543A"/>
    <w:rsid w:val="00D655AF"/>
    <w:rsid w:val="00D655FD"/>
    <w:rsid w:val="00D656CB"/>
    <w:rsid w:val="00D65C93"/>
    <w:rsid w:val="00D65D84"/>
    <w:rsid w:val="00D65DA8"/>
    <w:rsid w:val="00D65EEE"/>
    <w:rsid w:val="00D660A7"/>
    <w:rsid w:val="00D660F6"/>
    <w:rsid w:val="00D66199"/>
    <w:rsid w:val="00D662CA"/>
    <w:rsid w:val="00D66336"/>
    <w:rsid w:val="00D66454"/>
    <w:rsid w:val="00D66485"/>
    <w:rsid w:val="00D665C9"/>
    <w:rsid w:val="00D66795"/>
    <w:rsid w:val="00D667E7"/>
    <w:rsid w:val="00D667FA"/>
    <w:rsid w:val="00D66981"/>
    <w:rsid w:val="00D66CDE"/>
    <w:rsid w:val="00D66E8D"/>
    <w:rsid w:val="00D67034"/>
    <w:rsid w:val="00D6706E"/>
    <w:rsid w:val="00D670A3"/>
    <w:rsid w:val="00D67243"/>
    <w:rsid w:val="00D67652"/>
    <w:rsid w:val="00D67677"/>
    <w:rsid w:val="00D67753"/>
    <w:rsid w:val="00D67781"/>
    <w:rsid w:val="00D677F6"/>
    <w:rsid w:val="00D67A4D"/>
    <w:rsid w:val="00D67D9E"/>
    <w:rsid w:val="00D67FED"/>
    <w:rsid w:val="00D7012E"/>
    <w:rsid w:val="00D70751"/>
    <w:rsid w:val="00D70790"/>
    <w:rsid w:val="00D70B29"/>
    <w:rsid w:val="00D70DC5"/>
    <w:rsid w:val="00D70EBF"/>
    <w:rsid w:val="00D70EF0"/>
    <w:rsid w:val="00D71056"/>
    <w:rsid w:val="00D710B6"/>
    <w:rsid w:val="00D710F2"/>
    <w:rsid w:val="00D7115C"/>
    <w:rsid w:val="00D7132B"/>
    <w:rsid w:val="00D714AC"/>
    <w:rsid w:val="00D7152F"/>
    <w:rsid w:val="00D71587"/>
    <w:rsid w:val="00D715FA"/>
    <w:rsid w:val="00D71691"/>
    <w:rsid w:val="00D71861"/>
    <w:rsid w:val="00D7193B"/>
    <w:rsid w:val="00D71983"/>
    <w:rsid w:val="00D71A07"/>
    <w:rsid w:val="00D71AE8"/>
    <w:rsid w:val="00D71BF5"/>
    <w:rsid w:val="00D71E56"/>
    <w:rsid w:val="00D726B1"/>
    <w:rsid w:val="00D728DE"/>
    <w:rsid w:val="00D72A52"/>
    <w:rsid w:val="00D72AB6"/>
    <w:rsid w:val="00D72BF9"/>
    <w:rsid w:val="00D72F26"/>
    <w:rsid w:val="00D7301A"/>
    <w:rsid w:val="00D7301E"/>
    <w:rsid w:val="00D73115"/>
    <w:rsid w:val="00D7316D"/>
    <w:rsid w:val="00D733E8"/>
    <w:rsid w:val="00D73580"/>
    <w:rsid w:val="00D738A0"/>
    <w:rsid w:val="00D739C8"/>
    <w:rsid w:val="00D739EF"/>
    <w:rsid w:val="00D739F7"/>
    <w:rsid w:val="00D7431C"/>
    <w:rsid w:val="00D7443A"/>
    <w:rsid w:val="00D74608"/>
    <w:rsid w:val="00D7479B"/>
    <w:rsid w:val="00D74A8C"/>
    <w:rsid w:val="00D74AAD"/>
    <w:rsid w:val="00D74C35"/>
    <w:rsid w:val="00D74DB4"/>
    <w:rsid w:val="00D74DB5"/>
    <w:rsid w:val="00D74E3B"/>
    <w:rsid w:val="00D74FE5"/>
    <w:rsid w:val="00D75471"/>
    <w:rsid w:val="00D7566B"/>
    <w:rsid w:val="00D75789"/>
    <w:rsid w:val="00D75844"/>
    <w:rsid w:val="00D759B4"/>
    <w:rsid w:val="00D75D89"/>
    <w:rsid w:val="00D76042"/>
    <w:rsid w:val="00D7621D"/>
    <w:rsid w:val="00D7647C"/>
    <w:rsid w:val="00D7651C"/>
    <w:rsid w:val="00D76647"/>
    <w:rsid w:val="00D7664F"/>
    <w:rsid w:val="00D7674A"/>
    <w:rsid w:val="00D76753"/>
    <w:rsid w:val="00D76889"/>
    <w:rsid w:val="00D76952"/>
    <w:rsid w:val="00D76B72"/>
    <w:rsid w:val="00D76DD7"/>
    <w:rsid w:val="00D76E60"/>
    <w:rsid w:val="00D76FF4"/>
    <w:rsid w:val="00D773C1"/>
    <w:rsid w:val="00D77678"/>
    <w:rsid w:val="00D77701"/>
    <w:rsid w:val="00D77886"/>
    <w:rsid w:val="00D778CC"/>
    <w:rsid w:val="00D77904"/>
    <w:rsid w:val="00D77976"/>
    <w:rsid w:val="00D77AD9"/>
    <w:rsid w:val="00D77CC4"/>
    <w:rsid w:val="00D77E65"/>
    <w:rsid w:val="00D80024"/>
    <w:rsid w:val="00D80162"/>
    <w:rsid w:val="00D801E4"/>
    <w:rsid w:val="00D8049C"/>
    <w:rsid w:val="00D804D3"/>
    <w:rsid w:val="00D806E8"/>
    <w:rsid w:val="00D80873"/>
    <w:rsid w:val="00D80F7B"/>
    <w:rsid w:val="00D81144"/>
    <w:rsid w:val="00D8146F"/>
    <w:rsid w:val="00D8157C"/>
    <w:rsid w:val="00D81654"/>
    <w:rsid w:val="00D817E2"/>
    <w:rsid w:val="00D818E4"/>
    <w:rsid w:val="00D81983"/>
    <w:rsid w:val="00D819F9"/>
    <w:rsid w:val="00D81B94"/>
    <w:rsid w:val="00D81BB0"/>
    <w:rsid w:val="00D81C3E"/>
    <w:rsid w:val="00D81F0D"/>
    <w:rsid w:val="00D81FA9"/>
    <w:rsid w:val="00D8243A"/>
    <w:rsid w:val="00D826F3"/>
    <w:rsid w:val="00D829FE"/>
    <w:rsid w:val="00D82DAB"/>
    <w:rsid w:val="00D82DE6"/>
    <w:rsid w:val="00D82FD4"/>
    <w:rsid w:val="00D8303C"/>
    <w:rsid w:val="00D830C1"/>
    <w:rsid w:val="00D8335F"/>
    <w:rsid w:val="00D834CD"/>
    <w:rsid w:val="00D83590"/>
    <w:rsid w:val="00D837B7"/>
    <w:rsid w:val="00D839CC"/>
    <w:rsid w:val="00D839D4"/>
    <w:rsid w:val="00D83B3C"/>
    <w:rsid w:val="00D83CF9"/>
    <w:rsid w:val="00D83D8D"/>
    <w:rsid w:val="00D83ECF"/>
    <w:rsid w:val="00D83EF1"/>
    <w:rsid w:val="00D83FE9"/>
    <w:rsid w:val="00D84287"/>
    <w:rsid w:val="00D844B5"/>
    <w:rsid w:val="00D84626"/>
    <w:rsid w:val="00D84808"/>
    <w:rsid w:val="00D84823"/>
    <w:rsid w:val="00D84944"/>
    <w:rsid w:val="00D849F2"/>
    <w:rsid w:val="00D84C72"/>
    <w:rsid w:val="00D84CB0"/>
    <w:rsid w:val="00D84EE1"/>
    <w:rsid w:val="00D84F90"/>
    <w:rsid w:val="00D851E5"/>
    <w:rsid w:val="00D853AF"/>
    <w:rsid w:val="00D853E9"/>
    <w:rsid w:val="00D8544A"/>
    <w:rsid w:val="00D85474"/>
    <w:rsid w:val="00D854C3"/>
    <w:rsid w:val="00D85636"/>
    <w:rsid w:val="00D856B0"/>
    <w:rsid w:val="00D8582F"/>
    <w:rsid w:val="00D859BE"/>
    <w:rsid w:val="00D85BE1"/>
    <w:rsid w:val="00D85CC7"/>
    <w:rsid w:val="00D85F1B"/>
    <w:rsid w:val="00D85FA6"/>
    <w:rsid w:val="00D8650E"/>
    <w:rsid w:val="00D867A9"/>
    <w:rsid w:val="00D867D4"/>
    <w:rsid w:val="00D86823"/>
    <w:rsid w:val="00D86B8C"/>
    <w:rsid w:val="00D86D3C"/>
    <w:rsid w:val="00D86F8C"/>
    <w:rsid w:val="00D87064"/>
    <w:rsid w:val="00D8706F"/>
    <w:rsid w:val="00D87379"/>
    <w:rsid w:val="00D87389"/>
    <w:rsid w:val="00D87528"/>
    <w:rsid w:val="00D875AF"/>
    <w:rsid w:val="00D878EB"/>
    <w:rsid w:val="00D87AD5"/>
    <w:rsid w:val="00D87C87"/>
    <w:rsid w:val="00D87C91"/>
    <w:rsid w:val="00D87CED"/>
    <w:rsid w:val="00D87D5E"/>
    <w:rsid w:val="00D88F88"/>
    <w:rsid w:val="00D9016F"/>
    <w:rsid w:val="00D9044F"/>
    <w:rsid w:val="00D9064F"/>
    <w:rsid w:val="00D90711"/>
    <w:rsid w:val="00D907DD"/>
    <w:rsid w:val="00D90E36"/>
    <w:rsid w:val="00D90FFD"/>
    <w:rsid w:val="00D91056"/>
    <w:rsid w:val="00D910B3"/>
    <w:rsid w:val="00D910EC"/>
    <w:rsid w:val="00D91486"/>
    <w:rsid w:val="00D91614"/>
    <w:rsid w:val="00D91860"/>
    <w:rsid w:val="00D91873"/>
    <w:rsid w:val="00D918B9"/>
    <w:rsid w:val="00D9190F"/>
    <w:rsid w:val="00D91C9B"/>
    <w:rsid w:val="00D91CEF"/>
    <w:rsid w:val="00D91D34"/>
    <w:rsid w:val="00D91DCD"/>
    <w:rsid w:val="00D91E89"/>
    <w:rsid w:val="00D920E2"/>
    <w:rsid w:val="00D921CC"/>
    <w:rsid w:val="00D9229A"/>
    <w:rsid w:val="00D92329"/>
    <w:rsid w:val="00D928EB"/>
    <w:rsid w:val="00D92B15"/>
    <w:rsid w:val="00D92B46"/>
    <w:rsid w:val="00D92BC0"/>
    <w:rsid w:val="00D92CD6"/>
    <w:rsid w:val="00D9315C"/>
    <w:rsid w:val="00D935A3"/>
    <w:rsid w:val="00D93A74"/>
    <w:rsid w:val="00D93AAB"/>
    <w:rsid w:val="00D93D76"/>
    <w:rsid w:val="00D93D79"/>
    <w:rsid w:val="00D93F62"/>
    <w:rsid w:val="00D940B5"/>
    <w:rsid w:val="00D94178"/>
    <w:rsid w:val="00D9439C"/>
    <w:rsid w:val="00D94432"/>
    <w:rsid w:val="00D94485"/>
    <w:rsid w:val="00D94570"/>
    <w:rsid w:val="00D946E5"/>
    <w:rsid w:val="00D948B7"/>
    <w:rsid w:val="00D94983"/>
    <w:rsid w:val="00D94C3D"/>
    <w:rsid w:val="00D94D4C"/>
    <w:rsid w:val="00D94EB4"/>
    <w:rsid w:val="00D94F92"/>
    <w:rsid w:val="00D9515C"/>
    <w:rsid w:val="00D95619"/>
    <w:rsid w:val="00D95664"/>
    <w:rsid w:val="00D95774"/>
    <w:rsid w:val="00D9582E"/>
    <w:rsid w:val="00D959CD"/>
    <w:rsid w:val="00D959FE"/>
    <w:rsid w:val="00D95A07"/>
    <w:rsid w:val="00D95BDD"/>
    <w:rsid w:val="00D95D52"/>
    <w:rsid w:val="00D95E85"/>
    <w:rsid w:val="00D9601F"/>
    <w:rsid w:val="00D96161"/>
    <w:rsid w:val="00D962C7"/>
    <w:rsid w:val="00D9630E"/>
    <w:rsid w:val="00D963EC"/>
    <w:rsid w:val="00D96586"/>
    <w:rsid w:val="00D96886"/>
    <w:rsid w:val="00D96B4A"/>
    <w:rsid w:val="00D96C6E"/>
    <w:rsid w:val="00D96D96"/>
    <w:rsid w:val="00D96EE0"/>
    <w:rsid w:val="00D96F3C"/>
    <w:rsid w:val="00D97039"/>
    <w:rsid w:val="00D9729F"/>
    <w:rsid w:val="00D9761B"/>
    <w:rsid w:val="00D9763F"/>
    <w:rsid w:val="00D97676"/>
    <w:rsid w:val="00D9777B"/>
    <w:rsid w:val="00D9779A"/>
    <w:rsid w:val="00D977CE"/>
    <w:rsid w:val="00D978A5"/>
    <w:rsid w:val="00D978A7"/>
    <w:rsid w:val="00D97973"/>
    <w:rsid w:val="00D979B9"/>
    <w:rsid w:val="00D97AD4"/>
    <w:rsid w:val="00D97D88"/>
    <w:rsid w:val="00D97FD3"/>
    <w:rsid w:val="00DA0031"/>
    <w:rsid w:val="00DA0412"/>
    <w:rsid w:val="00DA046E"/>
    <w:rsid w:val="00DA0476"/>
    <w:rsid w:val="00DA0639"/>
    <w:rsid w:val="00DA0A12"/>
    <w:rsid w:val="00DA0DE9"/>
    <w:rsid w:val="00DA0E59"/>
    <w:rsid w:val="00DA11F8"/>
    <w:rsid w:val="00DA1241"/>
    <w:rsid w:val="00DA1406"/>
    <w:rsid w:val="00DA157E"/>
    <w:rsid w:val="00DA1671"/>
    <w:rsid w:val="00DA1B36"/>
    <w:rsid w:val="00DA1E25"/>
    <w:rsid w:val="00DA1E96"/>
    <w:rsid w:val="00DA2013"/>
    <w:rsid w:val="00DA21E7"/>
    <w:rsid w:val="00DA22CB"/>
    <w:rsid w:val="00DA22F2"/>
    <w:rsid w:val="00DA2323"/>
    <w:rsid w:val="00DA25E8"/>
    <w:rsid w:val="00DA2623"/>
    <w:rsid w:val="00DA267E"/>
    <w:rsid w:val="00DA2778"/>
    <w:rsid w:val="00DA2808"/>
    <w:rsid w:val="00DA29AE"/>
    <w:rsid w:val="00DA2C5D"/>
    <w:rsid w:val="00DA2F1E"/>
    <w:rsid w:val="00DA2F43"/>
    <w:rsid w:val="00DA303E"/>
    <w:rsid w:val="00DA3211"/>
    <w:rsid w:val="00DA32AB"/>
    <w:rsid w:val="00DA33D2"/>
    <w:rsid w:val="00DA35E0"/>
    <w:rsid w:val="00DA3AE1"/>
    <w:rsid w:val="00DA3B47"/>
    <w:rsid w:val="00DA3B8C"/>
    <w:rsid w:val="00DA3C1C"/>
    <w:rsid w:val="00DA3C59"/>
    <w:rsid w:val="00DA3CF9"/>
    <w:rsid w:val="00DA3D0B"/>
    <w:rsid w:val="00DA4274"/>
    <w:rsid w:val="00DA42BC"/>
    <w:rsid w:val="00DA4679"/>
    <w:rsid w:val="00DA4AB2"/>
    <w:rsid w:val="00DA4AB3"/>
    <w:rsid w:val="00DA4CF3"/>
    <w:rsid w:val="00DA510F"/>
    <w:rsid w:val="00DA5211"/>
    <w:rsid w:val="00DA52B9"/>
    <w:rsid w:val="00DA52C5"/>
    <w:rsid w:val="00DA5302"/>
    <w:rsid w:val="00DA5365"/>
    <w:rsid w:val="00DA538B"/>
    <w:rsid w:val="00DA53BB"/>
    <w:rsid w:val="00DA54DD"/>
    <w:rsid w:val="00DA550F"/>
    <w:rsid w:val="00DA566E"/>
    <w:rsid w:val="00DA569C"/>
    <w:rsid w:val="00DA5797"/>
    <w:rsid w:val="00DA57DE"/>
    <w:rsid w:val="00DA5CEB"/>
    <w:rsid w:val="00DA5E12"/>
    <w:rsid w:val="00DA5FA7"/>
    <w:rsid w:val="00DA605F"/>
    <w:rsid w:val="00DA6503"/>
    <w:rsid w:val="00DA6558"/>
    <w:rsid w:val="00DA65AE"/>
    <w:rsid w:val="00DA6693"/>
    <w:rsid w:val="00DA6864"/>
    <w:rsid w:val="00DA6AEC"/>
    <w:rsid w:val="00DA6D6E"/>
    <w:rsid w:val="00DA6ED1"/>
    <w:rsid w:val="00DA71FA"/>
    <w:rsid w:val="00DA744D"/>
    <w:rsid w:val="00DA74E4"/>
    <w:rsid w:val="00DA769D"/>
    <w:rsid w:val="00DA77BC"/>
    <w:rsid w:val="00DA7A2E"/>
    <w:rsid w:val="00DA7A54"/>
    <w:rsid w:val="00DA7BD7"/>
    <w:rsid w:val="00DA7C3F"/>
    <w:rsid w:val="00DA7D6C"/>
    <w:rsid w:val="00DA7DCF"/>
    <w:rsid w:val="00DA7E5D"/>
    <w:rsid w:val="00DA7EF1"/>
    <w:rsid w:val="00DB04B2"/>
    <w:rsid w:val="00DB0CC4"/>
    <w:rsid w:val="00DB0CCF"/>
    <w:rsid w:val="00DB0FAD"/>
    <w:rsid w:val="00DB105F"/>
    <w:rsid w:val="00DB11B1"/>
    <w:rsid w:val="00DB139D"/>
    <w:rsid w:val="00DB167C"/>
    <w:rsid w:val="00DB1880"/>
    <w:rsid w:val="00DB1E0E"/>
    <w:rsid w:val="00DB1E68"/>
    <w:rsid w:val="00DB1F6E"/>
    <w:rsid w:val="00DB2113"/>
    <w:rsid w:val="00DB227D"/>
    <w:rsid w:val="00DB22B7"/>
    <w:rsid w:val="00DB249F"/>
    <w:rsid w:val="00DB25F6"/>
    <w:rsid w:val="00DB27A2"/>
    <w:rsid w:val="00DB2976"/>
    <w:rsid w:val="00DB2EF6"/>
    <w:rsid w:val="00DB2F4A"/>
    <w:rsid w:val="00DB328F"/>
    <w:rsid w:val="00DB33E7"/>
    <w:rsid w:val="00DB356B"/>
    <w:rsid w:val="00DB3717"/>
    <w:rsid w:val="00DB37DC"/>
    <w:rsid w:val="00DB38F5"/>
    <w:rsid w:val="00DB391A"/>
    <w:rsid w:val="00DB3CD6"/>
    <w:rsid w:val="00DB3EF8"/>
    <w:rsid w:val="00DB3F0E"/>
    <w:rsid w:val="00DB3F46"/>
    <w:rsid w:val="00DB43B2"/>
    <w:rsid w:val="00DB46D6"/>
    <w:rsid w:val="00DB4754"/>
    <w:rsid w:val="00DB4A6C"/>
    <w:rsid w:val="00DB4CD7"/>
    <w:rsid w:val="00DB4DB0"/>
    <w:rsid w:val="00DB4E06"/>
    <w:rsid w:val="00DB4E0F"/>
    <w:rsid w:val="00DB4E50"/>
    <w:rsid w:val="00DB4E98"/>
    <w:rsid w:val="00DB4ECE"/>
    <w:rsid w:val="00DB51EB"/>
    <w:rsid w:val="00DB5242"/>
    <w:rsid w:val="00DB545D"/>
    <w:rsid w:val="00DB5478"/>
    <w:rsid w:val="00DB5485"/>
    <w:rsid w:val="00DB560E"/>
    <w:rsid w:val="00DB56F8"/>
    <w:rsid w:val="00DB5711"/>
    <w:rsid w:val="00DB58B9"/>
    <w:rsid w:val="00DB5ADC"/>
    <w:rsid w:val="00DB5B56"/>
    <w:rsid w:val="00DB5DF1"/>
    <w:rsid w:val="00DB5E3D"/>
    <w:rsid w:val="00DB5F81"/>
    <w:rsid w:val="00DB5FA6"/>
    <w:rsid w:val="00DB6080"/>
    <w:rsid w:val="00DB6258"/>
    <w:rsid w:val="00DB6415"/>
    <w:rsid w:val="00DB6644"/>
    <w:rsid w:val="00DB6718"/>
    <w:rsid w:val="00DB680B"/>
    <w:rsid w:val="00DB693F"/>
    <w:rsid w:val="00DB697E"/>
    <w:rsid w:val="00DB6E3F"/>
    <w:rsid w:val="00DB7001"/>
    <w:rsid w:val="00DB70B6"/>
    <w:rsid w:val="00DB714A"/>
    <w:rsid w:val="00DB726D"/>
    <w:rsid w:val="00DB72DB"/>
    <w:rsid w:val="00DB735C"/>
    <w:rsid w:val="00DB752A"/>
    <w:rsid w:val="00DB75FB"/>
    <w:rsid w:val="00DB7C5E"/>
    <w:rsid w:val="00DB7C68"/>
    <w:rsid w:val="00DB7D60"/>
    <w:rsid w:val="00DB7EB6"/>
    <w:rsid w:val="00DB7ECD"/>
    <w:rsid w:val="00DB7F40"/>
    <w:rsid w:val="00DC01EC"/>
    <w:rsid w:val="00DC03E6"/>
    <w:rsid w:val="00DC061B"/>
    <w:rsid w:val="00DC069A"/>
    <w:rsid w:val="00DC0796"/>
    <w:rsid w:val="00DC07CD"/>
    <w:rsid w:val="00DC0C9F"/>
    <w:rsid w:val="00DC0D97"/>
    <w:rsid w:val="00DC0DC6"/>
    <w:rsid w:val="00DC0F34"/>
    <w:rsid w:val="00DC107E"/>
    <w:rsid w:val="00DC1117"/>
    <w:rsid w:val="00DC1152"/>
    <w:rsid w:val="00DC12BE"/>
    <w:rsid w:val="00DC145F"/>
    <w:rsid w:val="00DC14B2"/>
    <w:rsid w:val="00DC150D"/>
    <w:rsid w:val="00DC1648"/>
    <w:rsid w:val="00DC1649"/>
    <w:rsid w:val="00DC168A"/>
    <w:rsid w:val="00DC16E3"/>
    <w:rsid w:val="00DC2194"/>
    <w:rsid w:val="00DC222C"/>
    <w:rsid w:val="00DC2292"/>
    <w:rsid w:val="00DC22AC"/>
    <w:rsid w:val="00DC249A"/>
    <w:rsid w:val="00DC269D"/>
    <w:rsid w:val="00DC28F4"/>
    <w:rsid w:val="00DC2B81"/>
    <w:rsid w:val="00DC2BE5"/>
    <w:rsid w:val="00DC2C8F"/>
    <w:rsid w:val="00DC2DA3"/>
    <w:rsid w:val="00DC2E24"/>
    <w:rsid w:val="00DC31A7"/>
    <w:rsid w:val="00DC33D7"/>
    <w:rsid w:val="00DC33F0"/>
    <w:rsid w:val="00DC347A"/>
    <w:rsid w:val="00DC34F0"/>
    <w:rsid w:val="00DC39E4"/>
    <w:rsid w:val="00DC3AEB"/>
    <w:rsid w:val="00DC3E0E"/>
    <w:rsid w:val="00DC3F19"/>
    <w:rsid w:val="00DC408B"/>
    <w:rsid w:val="00DC4158"/>
    <w:rsid w:val="00DC4206"/>
    <w:rsid w:val="00DC4350"/>
    <w:rsid w:val="00DC4575"/>
    <w:rsid w:val="00DC4598"/>
    <w:rsid w:val="00DC47B0"/>
    <w:rsid w:val="00DC4831"/>
    <w:rsid w:val="00DC483C"/>
    <w:rsid w:val="00DC4853"/>
    <w:rsid w:val="00DC49C1"/>
    <w:rsid w:val="00DC4AD6"/>
    <w:rsid w:val="00DC4E7B"/>
    <w:rsid w:val="00DC507B"/>
    <w:rsid w:val="00DC51EC"/>
    <w:rsid w:val="00DC53F7"/>
    <w:rsid w:val="00DC5698"/>
    <w:rsid w:val="00DC5837"/>
    <w:rsid w:val="00DC5985"/>
    <w:rsid w:val="00DC5A37"/>
    <w:rsid w:val="00DC5B2B"/>
    <w:rsid w:val="00DC5BDD"/>
    <w:rsid w:val="00DC5C3B"/>
    <w:rsid w:val="00DC5CCA"/>
    <w:rsid w:val="00DC63C1"/>
    <w:rsid w:val="00DC64D1"/>
    <w:rsid w:val="00DC67BB"/>
    <w:rsid w:val="00DC684A"/>
    <w:rsid w:val="00DC6AAE"/>
    <w:rsid w:val="00DC6AC9"/>
    <w:rsid w:val="00DC6B74"/>
    <w:rsid w:val="00DC6C10"/>
    <w:rsid w:val="00DC6CE5"/>
    <w:rsid w:val="00DC6D13"/>
    <w:rsid w:val="00DC6F6E"/>
    <w:rsid w:val="00DC7141"/>
    <w:rsid w:val="00DC75D2"/>
    <w:rsid w:val="00DC797D"/>
    <w:rsid w:val="00DC7A3C"/>
    <w:rsid w:val="00DC7B70"/>
    <w:rsid w:val="00DC7E2E"/>
    <w:rsid w:val="00DC7F5D"/>
    <w:rsid w:val="00DC982E"/>
    <w:rsid w:val="00DD0510"/>
    <w:rsid w:val="00DD0D37"/>
    <w:rsid w:val="00DD0DD5"/>
    <w:rsid w:val="00DD1139"/>
    <w:rsid w:val="00DD1193"/>
    <w:rsid w:val="00DD12CA"/>
    <w:rsid w:val="00DD1443"/>
    <w:rsid w:val="00DD155F"/>
    <w:rsid w:val="00DD163E"/>
    <w:rsid w:val="00DD17A8"/>
    <w:rsid w:val="00DD19FB"/>
    <w:rsid w:val="00DD1A32"/>
    <w:rsid w:val="00DD1AA8"/>
    <w:rsid w:val="00DD1BA5"/>
    <w:rsid w:val="00DD1D8E"/>
    <w:rsid w:val="00DD1DD3"/>
    <w:rsid w:val="00DD1F26"/>
    <w:rsid w:val="00DD2024"/>
    <w:rsid w:val="00DD21EB"/>
    <w:rsid w:val="00DD2561"/>
    <w:rsid w:val="00DD2D72"/>
    <w:rsid w:val="00DD2E4A"/>
    <w:rsid w:val="00DD31D2"/>
    <w:rsid w:val="00DD32E1"/>
    <w:rsid w:val="00DD32E4"/>
    <w:rsid w:val="00DD332D"/>
    <w:rsid w:val="00DD34A0"/>
    <w:rsid w:val="00DD3847"/>
    <w:rsid w:val="00DD3A22"/>
    <w:rsid w:val="00DD3B4D"/>
    <w:rsid w:val="00DD3B4F"/>
    <w:rsid w:val="00DD3BD1"/>
    <w:rsid w:val="00DD3CBC"/>
    <w:rsid w:val="00DD3E38"/>
    <w:rsid w:val="00DD3ED1"/>
    <w:rsid w:val="00DD3F2D"/>
    <w:rsid w:val="00DD4385"/>
    <w:rsid w:val="00DD4542"/>
    <w:rsid w:val="00DD46FC"/>
    <w:rsid w:val="00DD4794"/>
    <w:rsid w:val="00DD47C8"/>
    <w:rsid w:val="00DD4829"/>
    <w:rsid w:val="00DD4870"/>
    <w:rsid w:val="00DD48D0"/>
    <w:rsid w:val="00DD4A32"/>
    <w:rsid w:val="00DD4E01"/>
    <w:rsid w:val="00DD5202"/>
    <w:rsid w:val="00DD528D"/>
    <w:rsid w:val="00DD55CB"/>
    <w:rsid w:val="00DD58E7"/>
    <w:rsid w:val="00DD5B0F"/>
    <w:rsid w:val="00DD5B2A"/>
    <w:rsid w:val="00DD5CB3"/>
    <w:rsid w:val="00DD5DA1"/>
    <w:rsid w:val="00DD5E47"/>
    <w:rsid w:val="00DD5E86"/>
    <w:rsid w:val="00DD5EFB"/>
    <w:rsid w:val="00DD5F04"/>
    <w:rsid w:val="00DD6062"/>
    <w:rsid w:val="00DD69DC"/>
    <w:rsid w:val="00DD6E4B"/>
    <w:rsid w:val="00DD6F59"/>
    <w:rsid w:val="00DD7062"/>
    <w:rsid w:val="00DD742D"/>
    <w:rsid w:val="00DD7467"/>
    <w:rsid w:val="00DD752B"/>
    <w:rsid w:val="00DD755C"/>
    <w:rsid w:val="00DD7568"/>
    <w:rsid w:val="00DD757C"/>
    <w:rsid w:val="00DD7910"/>
    <w:rsid w:val="00DD7B97"/>
    <w:rsid w:val="00DD7CD0"/>
    <w:rsid w:val="00DD7EC9"/>
    <w:rsid w:val="00DE0102"/>
    <w:rsid w:val="00DE04AA"/>
    <w:rsid w:val="00DE08F5"/>
    <w:rsid w:val="00DE09E8"/>
    <w:rsid w:val="00DE0A33"/>
    <w:rsid w:val="00DE0B5D"/>
    <w:rsid w:val="00DE0C1F"/>
    <w:rsid w:val="00DE0C38"/>
    <w:rsid w:val="00DE0C54"/>
    <w:rsid w:val="00DE0C76"/>
    <w:rsid w:val="00DE0EF8"/>
    <w:rsid w:val="00DE0FB0"/>
    <w:rsid w:val="00DE104D"/>
    <w:rsid w:val="00DE108B"/>
    <w:rsid w:val="00DE1327"/>
    <w:rsid w:val="00DE137A"/>
    <w:rsid w:val="00DE13F9"/>
    <w:rsid w:val="00DE1409"/>
    <w:rsid w:val="00DE141C"/>
    <w:rsid w:val="00DE14FD"/>
    <w:rsid w:val="00DE15E9"/>
    <w:rsid w:val="00DE1624"/>
    <w:rsid w:val="00DE16B1"/>
    <w:rsid w:val="00DE16CF"/>
    <w:rsid w:val="00DE1996"/>
    <w:rsid w:val="00DE1ACC"/>
    <w:rsid w:val="00DE1B33"/>
    <w:rsid w:val="00DE1DFA"/>
    <w:rsid w:val="00DE2105"/>
    <w:rsid w:val="00DE2125"/>
    <w:rsid w:val="00DE236B"/>
    <w:rsid w:val="00DE2574"/>
    <w:rsid w:val="00DE25B0"/>
    <w:rsid w:val="00DE2697"/>
    <w:rsid w:val="00DE28A3"/>
    <w:rsid w:val="00DE29AA"/>
    <w:rsid w:val="00DE2AC5"/>
    <w:rsid w:val="00DE2B16"/>
    <w:rsid w:val="00DE2CAF"/>
    <w:rsid w:val="00DE2DBF"/>
    <w:rsid w:val="00DE2E2A"/>
    <w:rsid w:val="00DE342A"/>
    <w:rsid w:val="00DE3A14"/>
    <w:rsid w:val="00DE3ECA"/>
    <w:rsid w:val="00DE3F0D"/>
    <w:rsid w:val="00DE4002"/>
    <w:rsid w:val="00DE40F4"/>
    <w:rsid w:val="00DE4256"/>
    <w:rsid w:val="00DE4384"/>
    <w:rsid w:val="00DE47C1"/>
    <w:rsid w:val="00DE4835"/>
    <w:rsid w:val="00DE49CD"/>
    <w:rsid w:val="00DE4AA7"/>
    <w:rsid w:val="00DE4B60"/>
    <w:rsid w:val="00DE4BD1"/>
    <w:rsid w:val="00DE4CA5"/>
    <w:rsid w:val="00DE4D21"/>
    <w:rsid w:val="00DE4E4C"/>
    <w:rsid w:val="00DE52C6"/>
    <w:rsid w:val="00DE5682"/>
    <w:rsid w:val="00DE571F"/>
    <w:rsid w:val="00DE59BB"/>
    <w:rsid w:val="00DE5A44"/>
    <w:rsid w:val="00DE5CC0"/>
    <w:rsid w:val="00DE5EBB"/>
    <w:rsid w:val="00DE5EBF"/>
    <w:rsid w:val="00DE608C"/>
    <w:rsid w:val="00DE60C5"/>
    <w:rsid w:val="00DE65B9"/>
    <w:rsid w:val="00DE65E9"/>
    <w:rsid w:val="00DE66A2"/>
    <w:rsid w:val="00DE671E"/>
    <w:rsid w:val="00DE6771"/>
    <w:rsid w:val="00DE6981"/>
    <w:rsid w:val="00DE6BA6"/>
    <w:rsid w:val="00DE6C49"/>
    <w:rsid w:val="00DE6E32"/>
    <w:rsid w:val="00DE6E65"/>
    <w:rsid w:val="00DE7068"/>
    <w:rsid w:val="00DE74D9"/>
    <w:rsid w:val="00DE7731"/>
    <w:rsid w:val="00DE787B"/>
    <w:rsid w:val="00DE7A0B"/>
    <w:rsid w:val="00DE7B3E"/>
    <w:rsid w:val="00DE7BD6"/>
    <w:rsid w:val="00DE7BFC"/>
    <w:rsid w:val="00DE8B4D"/>
    <w:rsid w:val="00DF000D"/>
    <w:rsid w:val="00DF0086"/>
    <w:rsid w:val="00DF0256"/>
    <w:rsid w:val="00DF0263"/>
    <w:rsid w:val="00DF04AD"/>
    <w:rsid w:val="00DF04EE"/>
    <w:rsid w:val="00DF066B"/>
    <w:rsid w:val="00DF06E8"/>
    <w:rsid w:val="00DF07FB"/>
    <w:rsid w:val="00DF082D"/>
    <w:rsid w:val="00DF082E"/>
    <w:rsid w:val="00DF08F4"/>
    <w:rsid w:val="00DF0B1B"/>
    <w:rsid w:val="00DF0D17"/>
    <w:rsid w:val="00DF0DE4"/>
    <w:rsid w:val="00DF0F59"/>
    <w:rsid w:val="00DF1080"/>
    <w:rsid w:val="00DF139D"/>
    <w:rsid w:val="00DF1457"/>
    <w:rsid w:val="00DF152D"/>
    <w:rsid w:val="00DF15FD"/>
    <w:rsid w:val="00DF16FE"/>
    <w:rsid w:val="00DF1A2D"/>
    <w:rsid w:val="00DF1AF1"/>
    <w:rsid w:val="00DF1B31"/>
    <w:rsid w:val="00DF1B6B"/>
    <w:rsid w:val="00DF1C4F"/>
    <w:rsid w:val="00DF1CBF"/>
    <w:rsid w:val="00DF1CE5"/>
    <w:rsid w:val="00DF1D40"/>
    <w:rsid w:val="00DF1D77"/>
    <w:rsid w:val="00DF1DEF"/>
    <w:rsid w:val="00DF1EB9"/>
    <w:rsid w:val="00DF1F6E"/>
    <w:rsid w:val="00DF209D"/>
    <w:rsid w:val="00DF21A3"/>
    <w:rsid w:val="00DF2296"/>
    <w:rsid w:val="00DF2388"/>
    <w:rsid w:val="00DF23D3"/>
    <w:rsid w:val="00DF23D5"/>
    <w:rsid w:val="00DF2834"/>
    <w:rsid w:val="00DF284A"/>
    <w:rsid w:val="00DF29FA"/>
    <w:rsid w:val="00DF2BFF"/>
    <w:rsid w:val="00DF2C58"/>
    <w:rsid w:val="00DF2DA3"/>
    <w:rsid w:val="00DF2DA5"/>
    <w:rsid w:val="00DF32DB"/>
    <w:rsid w:val="00DF3430"/>
    <w:rsid w:val="00DF344F"/>
    <w:rsid w:val="00DF3452"/>
    <w:rsid w:val="00DF3456"/>
    <w:rsid w:val="00DF34A2"/>
    <w:rsid w:val="00DF350A"/>
    <w:rsid w:val="00DF350F"/>
    <w:rsid w:val="00DF3619"/>
    <w:rsid w:val="00DF3B61"/>
    <w:rsid w:val="00DF3CEE"/>
    <w:rsid w:val="00DF3D36"/>
    <w:rsid w:val="00DF3DA9"/>
    <w:rsid w:val="00DF3ED5"/>
    <w:rsid w:val="00DF418F"/>
    <w:rsid w:val="00DF425A"/>
    <w:rsid w:val="00DF435B"/>
    <w:rsid w:val="00DF44B6"/>
    <w:rsid w:val="00DF44F6"/>
    <w:rsid w:val="00DF4561"/>
    <w:rsid w:val="00DF4656"/>
    <w:rsid w:val="00DF4714"/>
    <w:rsid w:val="00DF47A4"/>
    <w:rsid w:val="00DF47E1"/>
    <w:rsid w:val="00DF4D3D"/>
    <w:rsid w:val="00DF4FCE"/>
    <w:rsid w:val="00DF5005"/>
    <w:rsid w:val="00DF5253"/>
    <w:rsid w:val="00DF554A"/>
    <w:rsid w:val="00DF5781"/>
    <w:rsid w:val="00DF5EB5"/>
    <w:rsid w:val="00DF621C"/>
    <w:rsid w:val="00DF6244"/>
    <w:rsid w:val="00DF64BC"/>
    <w:rsid w:val="00DF66FF"/>
    <w:rsid w:val="00DF68E7"/>
    <w:rsid w:val="00DF6A81"/>
    <w:rsid w:val="00DF6C74"/>
    <w:rsid w:val="00DF6CD7"/>
    <w:rsid w:val="00DF6DA5"/>
    <w:rsid w:val="00DF6F72"/>
    <w:rsid w:val="00DF741E"/>
    <w:rsid w:val="00DF7513"/>
    <w:rsid w:val="00DF76B2"/>
    <w:rsid w:val="00DF78A1"/>
    <w:rsid w:val="00DF7979"/>
    <w:rsid w:val="00DF797C"/>
    <w:rsid w:val="00DF79EC"/>
    <w:rsid w:val="00DF7B2B"/>
    <w:rsid w:val="00DF7BB8"/>
    <w:rsid w:val="00DF7BD6"/>
    <w:rsid w:val="00DF7D49"/>
    <w:rsid w:val="00DF7F78"/>
    <w:rsid w:val="00E00124"/>
    <w:rsid w:val="00E00143"/>
    <w:rsid w:val="00E00206"/>
    <w:rsid w:val="00E00216"/>
    <w:rsid w:val="00E0028A"/>
    <w:rsid w:val="00E00481"/>
    <w:rsid w:val="00E00855"/>
    <w:rsid w:val="00E0097B"/>
    <w:rsid w:val="00E00C00"/>
    <w:rsid w:val="00E00E08"/>
    <w:rsid w:val="00E00F47"/>
    <w:rsid w:val="00E01103"/>
    <w:rsid w:val="00E0116E"/>
    <w:rsid w:val="00E0138A"/>
    <w:rsid w:val="00E014C6"/>
    <w:rsid w:val="00E017E7"/>
    <w:rsid w:val="00E0182E"/>
    <w:rsid w:val="00E018AE"/>
    <w:rsid w:val="00E019D4"/>
    <w:rsid w:val="00E01AAF"/>
    <w:rsid w:val="00E01B07"/>
    <w:rsid w:val="00E01B84"/>
    <w:rsid w:val="00E01C4B"/>
    <w:rsid w:val="00E02191"/>
    <w:rsid w:val="00E02196"/>
    <w:rsid w:val="00E0258F"/>
    <w:rsid w:val="00E026CF"/>
    <w:rsid w:val="00E02A47"/>
    <w:rsid w:val="00E02AB8"/>
    <w:rsid w:val="00E02BE2"/>
    <w:rsid w:val="00E02F73"/>
    <w:rsid w:val="00E03016"/>
    <w:rsid w:val="00E030DC"/>
    <w:rsid w:val="00E03319"/>
    <w:rsid w:val="00E03520"/>
    <w:rsid w:val="00E035BC"/>
    <w:rsid w:val="00E03637"/>
    <w:rsid w:val="00E039C4"/>
    <w:rsid w:val="00E039F5"/>
    <w:rsid w:val="00E03C00"/>
    <w:rsid w:val="00E03C70"/>
    <w:rsid w:val="00E03C9D"/>
    <w:rsid w:val="00E03F2D"/>
    <w:rsid w:val="00E03F70"/>
    <w:rsid w:val="00E04123"/>
    <w:rsid w:val="00E0413A"/>
    <w:rsid w:val="00E04191"/>
    <w:rsid w:val="00E0449A"/>
    <w:rsid w:val="00E044A3"/>
    <w:rsid w:val="00E0481C"/>
    <w:rsid w:val="00E04E83"/>
    <w:rsid w:val="00E04F3A"/>
    <w:rsid w:val="00E05090"/>
    <w:rsid w:val="00E05193"/>
    <w:rsid w:val="00E05342"/>
    <w:rsid w:val="00E05522"/>
    <w:rsid w:val="00E055BF"/>
    <w:rsid w:val="00E055ED"/>
    <w:rsid w:val="00E0567C"/>
    <w:rsid w:val="00E05744"/>
    <w:rsid w:val="00E05869"/>
    <w:rsid w:val="00E058AE"/>
    <w:rsid w:val="00E059D6"/>
    <w:rsid w:val="00E05A99"/>
    <w:rsid w:val="00E05E17"/>
    <w:rsid w:val="00E05E79"/>
    <w:rsid w:val="00E05F6E"/>
    <w:rsid w:val="00E05F83"/>
    <w:rsid w:val="00E062A3"/>
    <w:rsid w:val="00E064C5"/>
    <w:rsid w:val="00E065B8"/>
    <w:rsid w:val="00E06764"/>
    <w:rsid w:val="00E06B2D"/>
    <w:rsid w:val="00E06B85"/>
    <w:rsid w:val="00E06BDB"/>
    <w:rsid w:val="00E06C3E"/>
    <w:rsid w:val="00E06CB5"/>
    <w:rsid w:val="00E06D25"/>
    <w:rsid w:val="00E06E3B"/>
    <w:rsid w:val="00E074B4"/>
    <w:rsid w:val="00E0757F"/>
    <w:rsid w:val="00E076E5"/>
    <w:rsid w:val="00E078A6"/>
    <w:rsid w:val="00E07963"/>
    <w:rsid w:val="00E07A9F"/>
    <w:rsid w:val="00E07ADD"/>
    <w:rsid w:val="00E07D44"/>
    <w:rsid w:val="00E07E8A"/>
    <w:rsid w:val="00E07FE7"/>
    <w:rsid w:val="00E100F6"/>
    <w:rsid w:val="00E10440"/>
    <w:rsid w:val="00E10462"/>
    <w:rsid w:val="00E104C1"/>
    <w:rsid w:val="00E105EE"/>
    <w:rsid w:val="00E10614"/>
    <w:rsid w:val="00E10621"/>
    <w:rsid w:val="00E1064D"/>
    <w:rsid w:val="00E10946"/>
    <w:rsid w:val="00E109AF"/>
    <w:rsid w:val="00E10B38"/>
    <w:rsid w:val="00E10CF8"/>
    <w:rsid w:val="00E10F0F"/>
    <w:rsid w:val="00E10F1D"/>
    <w:rsid w:val="00E11071"/>
    <w:rsid w:val="00E11084"/>
    <w:rsid w:val="00E110F9"/>
    <w:rsid w:val="00E1139C"/>
    <w:rsid w:val="00E1147D"/>
    <w:rsid w:val="00E114BC"/>
    <w:rsid w:val="00E119C7"/>
    <w:rsid w:val="00E11CF8"/>
    <w:rsid w:val="00E11D2A"/>
    <w:rsid w:val="00E11E0F"/>
    <w:rsid w:val="00E11E1C"/>
    <w:rsid w:val="00E11E99"/>
    <w:rsid w:val="00E12007"/>
    <w:rsid w:val="00E121F1"/>
    <w:rsid w:val="00E12258"/>
    <w:rsid w:val="00E12451"/>
    <w:rsid w:val="00E124D3"/>
    <w:rsid w:val="00E126B2"/>
    <w:rsid w:val="00E12856"/>
    <w:rsid w:val="00E12B58"/>
    <w:rsid w:val="00E12B6E"/>
    <w:rsid w:val="00E12BB7"/>
    <w:rsid w:val="00E12BDC"/>
    <w:rsid w:val="00E12CDF"/>
    <w:rsid w:val="00E12EA9"/>
    <w:rsid w:val="00E12F4F"/>
    <w:rsid w:val="00E13236"/>
    <w:rsid w:val="00E1326B"/>
    <w:rsid w:val="00E1357E"/>
    <w:rsid w:val="00E1369A"/>
    <w:rsid w:val="00E137F7"/>
    <w:rsid w:val="00E13AB3"/>
    <w:rsid w:val="00E1425A"/>
    <w:rsid w:val="00E143F2"/>
    <w:rsid w:val="00E14508"/>
    <w:rsid w:val="00E145AC"/>
    <w:rsid w:val="00E146D7"/>
    <w:rsid w:val="00E14713"/>
    <w:rsid w:val="00E149ED"/>
    <w:rsid w:val="00E14A90"/>
    <w:rsid w:val="00E14AA4"/>
    <w:rsid w:val="00E14AA6"/>
    <w:rsid w:val="00E14DF1"/>
    <w:rsid w:val="00E14F1C"/>
    <w:rsid w:val="00E1507B"/>
    <w:rsid w:val="00E152BC"/>
    <w:rsid w:val="00E156F1"/>
    <w:rsid w:val="00E15762"/>
    <w:rsid w:val="00E1578D"/>
    <w:rsid w:val="00E157D1"/>
    <w:rsid w:val="00E157DE"/>
    <w:rsid w:val="00E15A66"/>
    <w:rsid w:val="00E15C0A"/>
    <w:rsid w:val="00E15CB9"/>
    <w:rsid w:val="00E161B6"/>
    <w:rsid w:val="00E164C3"/>
    <w:rsid w:val="00E16858"/>
    <w:rsid w:val="00E16C22"/>
    <w:rsid w:val="00E16DFB"/>
    <w:rsid w:val="00E16E53"/>
    <w:rsid w:val="00E16EC4"/>
    <w:rsid w:val="00E16FA9"/>
    <w:rsid w:val="00E17108"/>
    <w:rsid w:val="00E1717B"/>
    <w:rsid w:val="00E1721A"/>
    <w:rsid w:val="00E17244"/>
    <w:rsid w:val="00E17398"/>
    <w:rsid w:val="00E17A7E"/>
    <w:rsid w:val="00E17C9F"/>
    <w:rsid w:val="00E20167"/>
    <w:rsid w:val="00E203F6"/>
    <w:rsid w:val="00E204FB"/>
    <w:rsid w:val="00E20638"/>
    <w:rsid w:val="00E2067D"/>
    <w:rsid w:val="00E2079E"/>
    <w:rsid w:val="00E20B0A"/>
    <w:rsid w:val="00E20D30"/>
    <w:rsid w:val="00E20DAF"/>
    <w:rsid w:val="00E20FD7"/>
    <w:rsid w:val="00E21043"/>
    <w:rsid w:val="00E21064"/>
    <w:rsid w:val="00E2132B"/>
    <w:rsid w:val="00E213EF"/>
    <w:rsid w:val="00E216A7"/>
    <w:rsid w:val="00E217EE"/>
    <w:rsid w:val="00E2218B"/>
    <w:rsid w:val="00E22465"/>
    <w:rsid w:val="00E2250F"/>
    <w:rsid w:val="00E22530"/>
    <w:rsid w:val="00E22737"/>
    <w:rsid w:val="00E22748"/>
    <w:rsid w:val="00E22973"/>
    <w:rsid w:val="00E22A41"/>
    <w:rsid w:val="00E22B17"/>
    <w:rsid w:val="00E22B20"/>
    <w:rsid w:val="00E22E0D"/>
    <w:rsid w:val="00E22E95"/>
    <w:rsid w:val="00E22F36"/>
    <w:rsid w:val="00E2304F"/>
    <w:rsid w:val="00E2311E"/>
    <w:rsid w:val="00E23319"/>
    <w:rsid w:val="00E2340F"/>
    <w:rsid w:val="00E2368E"/>
    <w:rsid w:val="00E23BE2"/>
    <w:rsid w:val="00E23CCD"/>
    <w:rsid w:val="00E23F3D"/>
    <w:rsid w:val="00E23F41"/>
    <w:rsid w:val="00E23F4C"/>
    <w:rsid w:val="00E23F4F"/>
    <w:rsid w:val="00E23F84"/>
    <w:rsid w:val="00E24031"/>
    <w:rsid w:val="00E245E5"/>
    <w:rsid w:val="00E2467C"/>
    <w:rsid w:val="00E24735"/>
    <w:rsid w:val="00E2493F"/>
    <w:rsid w:val="00E24A4D"/>
    <w:rsid w:val="00E24C10"/>
    <w:rsid w:val="00E24D95"/>
    <w:rsid w:val="00E24E20"/>
    <w:rsid w:val="00E24EDB"/>
    <w:rsid w:val="00E251BF"/>
    <w:rsid w:val="00E25637"/>
    <w:rsid w:val="00E25725"/>
    <w:rsid w:val="00E25980"/>
    <w:rsid w:val="00E25A09"/>
    <w:rsid w:val="00E25B58"/>
    <w:rsid w:val="00E25D40"/>
    <w:rsid w:val="00E25FAD"/>
    <w:rsid w:val="00E26071"/>
    <w:rsid w:val="00E262FE"/>
    <w:rsid w:val="00E26374"/>
    <w:rsid w:val="00E263D2"/>
    <w:rsid w:val="00E2646E"/>
    <w:rsid w:val="00E264A5"/>
    <w:rsid w:val="00E26508"/>
    <w:rsid w:val="00E2655B"/>
    <w:rsid w:val="00E26736"/>
    <w:rsid w:val="00E26B30"/>
    <w:rsid w:val="00E26C50"/>
    <w:rsid w:val="00E26DDE"/>
    <w:rsid w:val="00E26F79"/>
    <w:rsid w:val="00E26FC7"/>
    <w:rsid w:val="00E270F1"/>
    <w:rsid w:val="00E27175"/>
    <w:rsid w:val="00E2717E"/>
    <w:rsid w:val="00E27261"/>
    <w:rsid w:val="00E273FB"/>
    <w:rsid w:val="00E27452"/>
    <w:rsid w:val="00E27460"/>
    <w:rsid w:val="00E27749"/>
    <w:rsid w:val="00E27950"/>
    <w:rsid w:val="00E279E7"/>
    <w:rsid w:val="00E27E19"/>
    <w:rsid w:val="00E27E88"/>
    <w:rsid w:val="00E27F1E"/>
    <w:rsid w:val="00E2C9ED"/>
    <w:rsid w:val="00E30257"/>
    <w:rsid w:val="00E302CB"/>
    <w:rsid w:val="00E302DD"/>
    <w:rsid w:val="00E30581"/>
    <w:rsid w:val="00E307BE"/>
    <w:rsid w:val="00E307CE"/>
    <w:rsid w:val="00E3080F"/>
    <w:rsid w:val="00E30BC4"/>
    <w:rsid w:val="00E30C6E"/>
    <w:rsid w:val="00E30D95"/>
    <w:rsid w:val="00E30F93"/>
    <w:rsid w:val="00E30FC5"/>
    <w:rsid w:val="00E3117D"/>
    <w:rsid w:val="00E3155C"/>
    <w:rsid w:val="00E31597"/>
    <w:rsid w:val="00E31674"/>
    <w:rsid w:val="00E3173C"/>
    <w:rsid w:val="00E318A2"/>
    <w:rsid w:val="00E319ED"/>
    <w:rsid w:val="00E31B0D"/>
    <w:rsid w:val="00E31B55"/>
    <w:rsid w:val="00E31C1B"/>
    <w:rsid w:val="00E31E62"/>
    <w:rsid w:val="00E31E87"/>
    <w:rsid w:val="00E3239C"/>
    <w:rsid w:val="00E323E2"/>
    <w:rsid w:val="00E3249E"/>
    <w:rsid w:val="00E32586"/>
    <w:rsid w:val="00E325F8"/>
    <w:rsid w:val="00E32647"/>
    <w:rsid w:val="00E32813"/>
    <w:rsid w:val="00E32F0C"/>
    <w:rsid w:val="00E33164"/>
    <w:rsid w:val="00E33166"/>
    <w:rsid w:val="00E33265"/>
    <w:rsid w:val="00E33319"/>
    <w:rsid w:val="00E3345B"/>
    <w:rsid w:val="00E33558"/>
    <w:rsid w:val="00E335DB"/>
    <w:rsid w:val="00E3362B"/>
    <w:rsid w:val="00E33646"/>
    <w:rsid w:val="00E336A7"/>
    <w:rsid w:val="00E3385F"/>
    <w:rsid w:val="00E33894"/>
    <w:rsid w:val="00E3394B"/>
    <w:rsid w:val="00E3397A"/>
    <w:rsid w:val="00E33A4D"/>
    <w:rsid w:val="00E33AC0"/>
    <w:rsid w:val="00E33B34"/>
    <w:rsid w:val="00E33D3A"/>
    <w:rsid w:val="00E33E66"/>
    <w:rsid w:val="00E33EA8"/>
    <w:rsid w:val="00E34011"/>
    <w:rsid w:val="00E34043"/>
    <w:rsid w:val="00E340A4"/>
    <w:rsid w:val="00E34682"/>
    <w:rsid w:val="00E34A0A"/>
    <w:rsid w:val="00E34C65"/>
    <w:rsid w:val="00E34DA6"/>
    <w:rsid w:val="00E34DD2"/>
    <w:rsid w:val="00E34EB8"/>
    <w:rsid w:val="00E35387"/>
    <w:rsid w:val="00E354A7"/>
    <w:rsid w:val="00E35807"/>
    <w:rsid w:val="00E35842"/>
    <w:rsid w:val="00E35AE4"/>
    <w:rsid w:val="00E35C75"/>
    <w:rsid w:val="00E36217"/>
    <w:rsid w:val="00E36236"/>
    <w:rsid w:val="00E362A4"/>
    <w:rsid w:val="00E362FA"/>
    <w:rsid w:val="00E3674C"/>
    <w:rsid w:val="00E367A8"/>
    <w:rsid w:val="00E36964"/>
    <w:rsid w:val="00E36C14"/>
    <w:rsid w:val="00E36C46"/>
    <w:rsid w:val="00E36DDD"/>
    <w:rsid w:val="00E36F43"/>
    <w:rsid w:val="00E36F62"/>
    <w:rsid w:val="00E3735E"/>
    <w:rsid w:val="00E373C3"/>
    <w:rsid w:val="00E37586"/>
    <w:rsid w:val="00E37634"/>
    <w:rsid w:val="00E3774C"/>
    <w:rsid w:val="00E379CE"/>
    <w:rsid w:val="00E37C0F"/>
    <w:rsid w:val="00E37C20"/>
    <w:rsid w:val="00E37DEF"/>
    <w:rsid w:val="00E4007F"/>
    <w:rsid w:val="00E401A1"/>
    <w:rsid w:val="00E4069F"/>
    <w:rsid w:val="00E40704"/>
    <w:rsid w:val="00E4076E"/>
    <w:rsid w:val="00E40A93"/>
    <w:rsid w:val="00E40AF5"/>
    <w:rsid w:val="00E40B79"/>
    <w:rsid w:val="00E40B8E"/>
    <w:rsid w:val="00E40D59"/>
    <w:rsid w:val="00E40DA3"/>
    <w:rsid w:val="00E40EAC"/>
    <w:rsid w:val="00E40FBC"/>
    <w:rsid w:val="00E4106F"/>
    <w:rsid w:val="00E41074"/>
    <w:rsid w:val="00E41331"/>
    <w:rsid w:val="00E4152C"/>
    <w:rsid w:val="00E41584"/>
    <w:rsid w:val="00E418FC"/>
    <w:rsid w:val="00E41A08"/>
    <w:rsid w:val="00E41C34"/>
    <w:rsid w:val="00E41C61"/>
    <w:rsid w:val="00E41CC3"/>
    <w:rsid w:val="00E41DA3"/>
    <w:rsid w:val="00E41EF2"/>
    <w:rsid w:val="00E42047"/>
    <w:rsid w:val="00E424FA"/>
    <w:rsid w:val="00E4253C"/>
    <w:rsid w:val="00E4275A"/>
    <w:rsid w:val="00E427FB"/>
    <w:rsid w:val="00E428F5"/>
    <w:rsid w:val="00E429A8"/>
    <w:rsid w:val="00E429EB"/>
    <w:rsid w:val="00E42A30"/>
    <w:rsid w:val="00E42AF5"/>
    <w:rsid w:val="00E42B7D"/>
    <w:rsid w:val="00E42BC3"/>
    <w:rsid w:val="00E42BCC"/>
    <w:rsid w:val="00E42E7D"/>
    <w:rsid w:val="00E42EB9"/>
    <w:rsid w:val="00E431CC"/>
    <w:rsid w:val="00E433C7"/>
    <w:rsid w:val="00E43470"/>
    <w:rsid w:val="00E435D0"/>
    <w:rsid w:val="00E43652"/>
    <w:rsid w:val="00E43930"/>
    <w:rsid w:val="00E43A3B"/>
    <w:rsid w:val="00E43B07"/>
    <w:rsid w:val="00E43B30"/>
    <w:rsid w:val="00E43BF2"/>
    <w:rsid w:val="00E43E6D"/>
    <w:rsid w:val="00E43FB4"/>
    <w:rsid w:val="00E44108"/>
    <w:rsid w:val="00E44267"/>
    <w:rsid w:val="00E44399"/>
    <w:rsid w:val="00E4471D"/>
    <w:rsid w:val="00E447EC"/>
    <w:rsid w:val="00E44CA0"/>
    <w:rsid w:val="00E44CD3"/>
    <w:rsid w:val="00E44E0C"/>
    <w:rsid w:val="00E44E2D"/>
    <w:rsid w:val="00E451BA"/>
    <w:rsid w:val="00E451C1"/>
    <w:rsid w:val="00E45332"/>
    <w:rsid w:val="00E4533B"/>
    <w:rsid w:val="00E456A8"/>
    <w:rsid w:val="00E456C5"/>
    <w:rsid w:val="00E45902"/>
    <w:rsid w:val="00E45919"/>
    <w:rsid w:val="00E45B85"/>
    <w:rsid w:val="00E45BAE"/>
    <w:rsid w:val="00E45D5F"/>
    <w:rsid w:val="00E45FBC"/>
    <w:rsid w:val="00E460A2"/>
    <w:rsid w:val="00E46434"/>
    <w:rsid w:val="00E4668F"/>
    <w:rsid w:val="00E46A6B"/>
    <w:rsid w:val="00E46A9F"/>
    <w:rsid w:val="00E46D2C"/>
    <w:rsid w:val="00E4720A"/>
    <w:rsid w:val="00E475D6"/>
    <w:rsid w:val="00E477E1"/>
    <w:rsid w:val="00E47817"/>
    <w:rsid w:val="00E47B8B"/>
    <w:rsid w:val="00E47CE3"/>
    <w:rsid w:val="00E47F61"/>
    <w:rsid w:val="00E47FFD"/>
    <w:rsid w:val="00E50006"/>
    <w:rsid w:val="00E500A6"/>
    <w:rsid w:val="00E502C6"/>
    <w:rsid w:val="00E50637"/>
    <w:rsid w:val="00E506A5"/>
    <w:rsid w:val="00E507D7"/>
    <w:rsid w:val="00E509B2"/>
    <w:rsid w:val="00E50A0A"/>
    <w:rsid w:val="00E50A7C"/>
    <w:rsid w:val="00E50AD0"/>
    <w:rsid w:val="00E50B47"/>
    <w:rsid w:val="00E50DB6"/>
    <w:rsid w:val="00E5115C"/>
    <w:rsid w:val="00E511E8"/>
    <w:rsid w:val="00E511EE"/>
    <w:rsid w:val="00E513AC"/>
    <w:rsid w:val="00E514D5"/>
    <w:rsid w:val="00E51803"/>
    <w:rsid w:val="00E5182A"/>
    <w:rsid w:val="00E51987"/>
    <w:rsid w:val="00E51AE5"/>
    <w:rsid w:val="00E51E99"/>
    <w:rsid w:val="00E522C6"/>
    <w:rsid w:val="00E5232D"/>
    <w:rsid w:val="00E5251B"/>
    <w:rsid w:val="00E52657"/>
    <w:rsid w:val="00E52833"/>
    <w:rsid w:val="00E52A19"/>
    <w:rsid w:val="00E52B59"/>
    <w:rsid w:val="00E52BA7"/>
    <w:rsid w:val="00E52C20"/>
    <w:rsid w:val="00E52D1E"/>
    <w:rsid w:val="00E52F49"/>
    <w:rsid w:val="00E52FE1"/>
    <w:rsid w:val="00E53039"/>
    <w:rsid w:val="00E53177"/>
    <w:rsid w:val="00E531C1"/>
    <w:rsid w:val="00E5320B"/>
    <w:rsid w:val="00E53297"/>
    <w:rsid w:val="00E536DB"/>
    <w:rsid w:val="00E53831"/>
    <w:rsid w:val="00E53922"/>
    <w:rsid w:val="00E53AB3"/>
    <w:rsid w:val="00E53D7B"/>
    <w:rsid w:val="00E53D8F"/>
    <w:rsid w:val="00E53FC9"/>
    <w:rsid w:val="00E53FDB"/>
    <w:rsid w:val="00E54053"/>
    <w:rsid w:val="00E54105"/>
    <w:rsid w:val="00E54233"/>
    <w:rsid w:val="00E542B6"/>
    <w:rsid w:val="00E54559"/>
    <w:rsid w:val="00E54657"/>
    <w:rsid w:val="00E5484D"/>
    <w:rsid w:val="00E5491B"/>
    <w:rsid w:val="00E54A9B"/>
    <w:rsid w:val="00E54AFE"/>
    <w:rsid w:val="00E54C42"/>
    <w:rsid w:val="00E54C63"/>
    <w:rsid w:val="00E54CC7"/>
    <w:rsid w:val="00E5517E"/>
    <w:rsid w:val="00E554EF"/>
    <w:rsid w:val="00E55AC8"/>
    <w:rsid w:val="00E55C56"/>
    <w:rsid w:val="00E55C9F"/>
    <w:rsid w:val="00E55CB6"/>
    <w:rsid w:val="00E55CF7"/>
    <w:rsid w:val="00E5645E"/>
    <w:rsid w:val="00E564E1"/>
    <w:rsid w:val="00E56604"/>
    <w:rsid w:val="00E569C9"/>
    <w:rsid w:val="00E56B17"/>
    <w:rsid w:val="00E56D92"/>
    <w:rsid w:val="00E56E45"/>
    <w:rsid w:val="00E56F3B"/>
    <w:rsid w:val="00E57093"/>
    <w:rsid w:val="00E570C2"/>
    <w:rsid w:val="00E572B6"/>
    <w:rsid w:val="00E574E9"/>
    <w:rsid w:val="00E5783A"/>
    <w:rsid w:val="00E578CE"/>
    <w:rsid w:val="00E57DB2"/>
    <w:rsid w:val="00E57E65"/>
    <w:rsid w:val="00E57E6E"/>
    <w:rsid w:val="00E57E87"/>
    <w:rsid w:val="00E60062"/>
    <w:rsid w:val="00E604AD"/>
    <w:rsid w:val="00E604B0"/>
    <w:rsid w:val="00E606B3"/>
    <w:rsid w:val="00E60874"/>
    <w:rsid w:val="00E60C74"/>
    <w:rsid w:val="00E611A1"/>
    <w:rsid w:val="00E6130C"/>
    <w:rsid w:val="00E614F7"/>
    <w:rsid w:val="00E61512"/>
    <w:rsid w:val="00E61542"/>
    <w:rsid w:val="00E61613"/>
    <w:rsid w:val="00E6177F"/>
    <w:rsid w:val="00E618FC"/>
    <w:rsid w:val="00E619AC"/>
    <w:rsid w:val="00E61A1A"/>
    <w:rsid w:val="00E61F31"/>
    <w:rsid w:val="00E61F9A"/>
    <w:rsid w:val="00E62082"/>
    <w:rsid w:val="00E620E3"/>
    <w:rsid w:val="00E620F1"/>
    <w:rsid w:val="00E6248B"/>
    <w:rsid w:val="00E6264F"/>
    <w:rsid w:val="00E62672"/>
    <w:rsid w:val="00E628CE"/>
    <w:rsid w:val="00E629D9"/>
    <w:rsid w:val="00E62CF0"/>
    <w:rsid w:val="00E62E57"/>
    <w:rsid w:val="00E63038"/>
    <w:rsid w:val="00E63100"/>
    <w:rsid w:val="00E63374"/>
    <w:rsid w:val="00E6357F"/>
    <w:rsid w:val="00E635C8"/>
    <w:rsid w:val="00E635E6"/>
    <w:rsid w:val="00E63732"/>
    <w:rsid w:val="00E63844"/>
    <w:rsid w:val="00E638E1"/>
    <w:rsid w:val="00E63A4A"/>
    <w:rsid w:val="00E63A75"/>
    <w:rsid w:val="00E63B4C"/>
    <w:rsid w:val="00E63BC7"/>
    <w:rsid w:val="00E63D64"/>
    <w:rsid w:val="00E63D69"/>
    <w:rsid w:val="00E63F37"/>
    <w:rsid w:val="00E64107"/>
    <w:rsid w:val="00E64366"/>
    <w:rsid w:val="00E64531"/>
    <w:rsid w:val="00E64684"/>
    <w:rsid w:val="00E64A43"/>
    <w:rsid w:val="00E64D67"/>
    <w:rsid w:val="00E64E38"/>
    <w:rsid w:val="00E64F38"/>
    <w:rsid w:val="00E64FB8"/>
    <w:rsid w:val="00E64FFC"/>
    <w:rsid w:val="00E65142"/>
    <w:rsid w:val="00E65617"/>
    <w:rsid w:val="00E65793"/>
    <w:rsid w:val="00E657A7"/>
    <w:rsid w:val="00E65960"/>
    <w:rsid w:val="00E65A2E"/>
    <w:rsid w:val="00E65A54"/>
    <w:rsid w:val="00E65C93"/>
    <w:rsid w:val="00E65DF7"/>
    <w:rsid w:val="00E65F67"/>
    <w:rsid w:val="00E66171"/>
    <w:rsid w:val="00E66518"/>
    <w:rsid w:val="00E665EB"/>
    <w:rsid w:val="00E6666C"/>
    <w:rsid w:val="00E666BA"/>
    <w:rsid w:val="00E6677D"/>
    <w:rsid w:val="00E66876"/>
    <w:rsid w:val="00E66E92"/>
    <w:rsid w:val="00E670A1"/>
    <w:rsid w:val="00E67348"/>
    <w:rsid w:val="00E67456"/>
    <w:rsid w:val="00E675DA"/>
    <w:rsid w:val="00E677A9"/>
    <w:rsid w:val="00E6790E"/>
    <w:rsid w:val="00E67CB5"/>
    <w:rsid w:val="00E67D9B"/>
    <w:rsid w:val="00E7016A"/>
    <w:rsid w:val="00E702CA"/>
    <w:rsid w:val="00E702F8"/>
    <w:rsid w:val="00E70338"/>
    <w:rsid w:val="00E705EF"/>
    <w:rsid w:val="00E707E3"/>
    <w:rsid w:val="00E7090F"/>
    <w:rsid w:val="00E70B1D"/>
    <w:rsid w:val="00E70B22"/>
    <w:rsid w:val="00E70B77"/>
    <w:rsid w:val="00E70B87"/>
    <w:rsid w:val="00E70EA4"/>
    <w:rsid w:val="00E70FEE"/>
    <w:rsid w:val="00E710C3"/>
    <w:rsid w:val="00E71347"/>
    <w:rsid w:val="00E714AD"/>
    <w:rsid w:val="00E71593"/>
    <w:rsid w:val="00E71760"/>
    <w:rsid w:val="00E71A01"/>
    <w:rsid w:val="00E71A9D"/>
    <w:rsid w:val="00E71AE6"/>
    <w:rsid w:val="00E71B97"/>
    <w:rsid w:val="00E71BA7"/>
    <w:rsid w:val="00E71CB3"/>
    <w:rsid w:val="00E71DD7"/>
    <w:rsid w:val="00E71E95"/>
    <w:rsid w:val="00E71FDF"/>
    <w:rsid w:val="00E7208B"/>
    <w:rsid w:val="00E720C6"/>
    <w:rsid w:val="00E722BE"/>
    <w:rsid w:val="00E722D4"/>
    <w:rsid w:val="00E722F8"/>
    <w:rsid w:val="00E725BD"/>
    <w:rsid w:val="00E725F3"/>
    <w:rsid w:val="00E72647"/>
    <w:rsid w:val="00E726A6"/>
    <w:rsid w:val="00E726AA"/>
    <w:rsid w:val="00E72932"/>
    <w:rsid w:val="00E729F0"/>
    <w:rsid w:val="00E72A76"/>
    <w:rsid w:val="00E72BE3"/>
    <w:rsid w:val="00E72CC1"/>
    <w:rsid w:val="00E72EF4"/>
    <w:rsid w:val="00E731F1"/>
    <w:rsid w:val="00E736D5"/>
    <w:rsid w:val="00E73D25"/>
    <w:rsid w:val="00E74061"/>
    <w:rsid w:val="00E74104"/>
    <w:rsid w:val="00E7410D"/>
    <w:rsid w:val="00E745AE"/>
    <w:rsid w:val="00E7471A"/>
    <w:rsid w:val="00E74A08"/>
    <w:rsid w:val="00E74A43"/>
    <w:rsid w:val="00E74B54"/>
    <w:rsid w:val="00E74BDE"/>
    <w:rsid w:val="00E74C7B"/>
    <w:rsid w:val="00E74F7A"/>
    <w:rsid w:val="00E751A9"/>
    <w:rsid w:val="00E75365"/>
    <w:rsid w:val="00E753D7"/>
    <w:rsid w:val="00E7557E"/>
    <w:rsid w:val="00E7562A"/>
    <w:rsid w:val="00E75708"/>
    <w:rsid w:val="00E7579C"/>
    <w:rsid w:val="00E75A94"/>
    <w:rsid w:val="00E75ABD"/>
    <w:rsid w:val="00E75BBC"/>
    <w:rsid w:val="00E75D48"/>
    <w:rsid w:val="00E75DB7"/>
    <w:rsid w:val="00E75FC5"/>
    <w:rsid w:val="00E760C1"/>
    <w:rsid w:val="00E76212"/>
    <w:rsid w:val="00E763AA"/>
    <w:rsid w:val="00E7652C"/>
    <w:rsid w:val="00E7654A"/>
    <w:rsid w:val="00E765C9"/>
    <w:rsid w:val="00E76611"/>
    <w:rsid w:val="00E76655"/>
    <w:rsid w:val="00E7672B"/>
    <w:rsid w:val="00E76A71"/>
    <w:rsid w:val="00E76A94"/>
    <w:rsid w:val="00E76AE5"/>
    <w:rsid w:val="00E76C44"/>
    <w:rsid w:val="00E76C51"/>
    <w:rsid w:val="00E76CD4"/>
    <w:rsid w:val="00E76F8D"/>
    <w:rsid w:val="00E77365"/>
    <w:rsid w:val="00E77602"/>
    <w:rsid w:val="00E77DCF"/>
    <w:rsid w:val="00E77E0A"/>
    <w:rsid w:val="00E77E7F"/>
    <w:rsid w:val="00E801CF"/>
    <w:rsid w:val="00E80268"/>
    <w:rsid w:val="00E802FC"/>
    <w:rsid w:val="00E803BB"/>
    <w:rsid w:val="00E80807"/>
    <w:rsid w:val="00E80B0B"/>
    <w:rsid w:val="00E80E72"/>
    <w:rsid w:val="00E81088"/>
    <w:rsid w:val="00E810D5"/>
    <w:rsid w:val="00E812C4"/>
    <w:rsid w:val="00E81632"/>
    <w:rsid w:val="00E81744"/>
    <w:rsid w:val="00E81AF3"/>
    <w:rsid w:val="00E81D77"/>
    <w:rsid w:val="00E81DB5"/>
    <w:rsid w:val="00E81F30"/>
    <w:rsid w:val="00E820F9"/>
    <w:rsid w:val="00E82291"/>
    <w:rsid w:val="00E8266B"/>
    <w:rsid w:val="00E827D9"/>
    <w:rsid w:val="00E8294E"/>
    <w:rsid w:val="00E829F6"/>
    <w:rsid w:val="00E82A2F"/>
    <w:rsid w:val="00E82C82"/>
    <w:rsid w:val="00E82DB0"/>
    <w:rsid w:val="00E82E24"/>
    <w:rsid w:val="00E82FE1"/>
    <w:rsid w:val="00E82FF9"/>
    <w:rsid w:val="00E83040"/>
    <w:rsid w:val="00E831D6"/>
    <w:rsid w:val="00E831FC"/>
    <w:rsid w:val="00E83388"/>
    <w:rsid w:val="00E83542"/>
    <w:rsid w:val="00E836DB"/>
    <w:rsid w:val="00E837EF"/>
    <w:rsid w:val="00E83C2A"/>
    <w:rsid w:val="00E83C87"/>
    <w:rsid w:val="00E83DEA"/>
    <w:rsid w:val="00E83FB9"/>
    <w:rsid w:val="00E84050"/>
    <w:rsid w:val="00E84164"/>
    <w:rsid w:val="00E8429B"/>
    <w:rsid w:val="00E84875"/>
    <w:rsid w:val="00E849D3"/>
    <w:rsid w:val="00E84A25"/>
    <w:rsid w:val="00E84B4B"/>
    <w:rsid w:val="00E84BFB"/>
    <w:rsid w:val="00E84CAA"/>
    <w:rsid w:val="00E84D1B"/>
    <w:rsid w:val="00E84DBB"/>
    <w:rsid w:val="00E84EE7"/>
    <w:rsid w:val="00E84F51"/>
    <w:rsid w:val="00E85017"/>
    <w:rsid w:val="00E85211"/>
    <w:rsid w:val="00E856FF"/>
    <w:rsid w:val="00E8579A"/>
    <w:rsid w:val="00E85A46"/>
    <w:rsid w:val="00E85D32"/>
    <w:rsid w:val="00E85E7F"/>
    <w:rsid w:val="00E85EA7"/>
    <w:rsid w:val="00E86330"/>
    <w:rsid w:val="00E86687"/>
    <w:rsid w:val="00E86942"/>
    <w:rsid w:val="00E8697B"/>
    <w:rsid w:val="00E869D2"/>
    <w:rsid w:val="00E86B50"/>
    <w:rsid w:val="00E86B5E"/>
    <w:rsid w:val="00E86DF7"/>
    <w:rsid w:val="00E86EEB"/>
    <w:rsid w:val="00E86EEE"/>
    <w:rsid w:val="00E87301"/>
    <w:rsid w:val="00E876CD"/>
    <w:rsid w:val="00E87991"/>
    <w:rsid w:val="00E879FF"/>
    <w:rsid w:val="00E87BE8"/>
    <w:rsid w:val="00E87C1B"/>
    <w:rsid w:val="00E87EAD"/>
    <w:rsid w:val="00E87FD5"/>
    <w:rsid w:val="00E87FDF"/>
    <w:rsid w:val="00E90081"/>
    <w:rsid w:val="00E90157"/>
    <w:rsid w:val="00E90225"/>
    <w:rsid w:val="00E90419"/>
    <w:rsid w:val="00E90486"/>
    <w:rsid w:val="00E90963"/>
    <w:rsid w:val="00E909F8"/>
    <w:rsid w:val="00E90DB5"/>
    <w:rsid w:val="00E91076"/>
    <w:rsid w:val="00E914FC"/>
    <w:rsid w:val="00E91C6E"/>
    <w:rsid w:val="00E91E96"/>
    <w:rsid w:val="00E91F56"/>
    <w:rsid w:val="00E92050"/>
    <w:rsid w:val="00E920FC"/>
    <w:rsid w:val="00E9210C"/>
    <w:rsid w:val="00E92245"/>
    <w:rsid w:val="00E923EA"/>
    <w:rsid w:val="00E9270C"/>
    <w:rsid w:val="00E927C8"/>
    <w:rsid w:val="00E92802"/>
    <w:rsid w:val="00E9288E"/>
    <w:rsid w:val="00E92895"/>
    <w:rsid w:val="00E92B5D"/>
    <w:rsid w:val="00E92B92"/>
    <w:rsid w:val="00E92C23"/>
    <w:rsid w:val="00E92D96"/>
    <w:rsid w:val="00E92DA9"/>
    <w:rsid w:val="00E92EA5"/>
    <w:rsid w:val="00E92F26"/>
    <w:rsid w:val="00E92F58"/>
    <w:rsid w:val="00E932FF"/>
    <w:rsid w:val="00E93D2A"/>
    <w:rsid w:val="00E93EBD"/>
    <w:rsid w:val="00E942C0"/>
    <w:rsid w:val="00E94358"/>
    <w:rsid w:val="00E943A2"/>
    <w:rsid w:val="00E944AB"/>
    <w:rsid w:val="00E9477A"/>
    <w:rsid w:val="00E9480E"/>
    <w:rsid w:val="00E9493C"/>
    <w:rsid w:val="00E9499F"/>
    <w:rsid w:val="00E94A88"/>
    <w:rsid w:val="00E94C17"/>
    <w:rsid w:val="00E94CAC"/>
    <w:rsid w:val="00E95236"/>
    <w:rsid w:val="00E95249"/>
    <w:rsid w:val="00E953F2"/>
    <w:rsid w:val="00E95718"/>
    <w:rsid w:val="00E9594B"/>
    <w:rsid w:val="00E95992"/>
    <w:rsid w:val="00E959D2"/>
    <w:rsid w:val="00E95BB6"/>
    <w:rsid w:val="00E95C0C"/>
    <w:rsid w:val="00E95CA9"/>
    <w:rsid w:val="00E95F25"/>
    <w:rsid w:val="00E95F37"/>
    <w:rsid w:val="00E964BC"/>
    <w:rsid w:val="00E96A53"/>
    <w:rsid w:val="00E96B46"/>
    <w:rsid w:val="00E96E05"/>
    <w:rsid w:val="00E96E18"/>
    <w:rsid w:val="00E96FEB"/>
    <w:rsid w:val="00E9724A"/>
    <w:rsid w:val="00E97374"/>
    <w:rsid w:val="00E97517"/>
    <w:rsid w:val="00E975C6"/>
    <w:rsid w:val="00E97795"/>
    <w:rsid w:val="00E97831"/>
    <w:rsid w:val="00E97A81"/>
    <w:rsid w:val="00E97AB4"/>
    <w:rsid w:val="00E97ABD"/>
    <w:rsid w:val="00E97B66"/>
    <w:rsid w:val="00E97BD1"/>
    <w:rsid w:val="00E97CE3"/>
    <w:rsid w:val="00E97D62"/>
    <w:rsid w:val="00E97EDC"/>
    <w:rsid w:val="00E97F55"/>
    <w:rsid w:val="00E9ADB3"/>
    <w:rsid w:val="00EA000D"/>
    <w:rsid w:val="00EA027A"/>
    <w:rsid w:val="00EA048B"/>
    <w:rsid w:val="00EA04F8"/>
    <w:rsid w:val="00EA06E2"/>
    <w:rsid w:val="00EA0744"/>
    <w:rsid w:val="00EA074F"/>
    <w:rsid w:val="00EA07EE"/>
    <w:rsid w:val="00EA09D7"/>
    <w:rsid w:val="00EA0AD2"/>
    <w:rsid w:val="00EA0B1E"/>
    <w:rsid w:val="00EA0CDF"/>
    <w:rsid w:val="00EA0E45"/>
    <w:rsid w:val="00EA0F46"/>
    <w:rsid w:val="00EA114F"/>
    <w:rsid w:val="00EA1179"/>
    <w:rsid w:val="00EA11E2"/>
    <w:rsid w:val="00EA1272"/>
    <w:rsid w:val="00EA1329"/>
    <w:rsid w:val="00EA1615"/>
    <w:rsid w:val="00EA1A1D"/>
    <w:rsid w:val="00EA1B82"/>
    <w:rsid w:val="00EA1D31"/>
    <w:rsid w:val="00EA1DFE"/>
    <w:rsid w:val="00EA1EA8"/>
    <w:rsid w:val="00EA2309"/>
    <w:rsid w:val="00EA2333"/>
    <w:rsid w:val="00EA268D"/>
    <w:rsid w:val="00EA2DC0"/>
    <w:rsid w:val="00EA3144"/>
    <w:rsid w:val="00EA3263"/>
    <w:rsid w:val="00EA32D9"/>
    <w:rsid w:val="00EA3632"/>
    <w:rsid w:val="00EA36F3"/>
    <w:rsid w:val="00EA3754"/>
    <w:rsid w:val="00EA39C3"/>
    <w:rsid w:val="00EA3A32"/>
    <w:rsid w:val="00EA3C6B"/>
    <w:rsid w:val="00EA3D71"/>
    <w:rsid w:val="00EA3D87"/>
    <w:rsid w:val="00EA3E49"/>
    <w:rsid w:val="00EA3EFF"/>
    <w:rsid w:val="00EA3F58"/>
    <w:rsid w:val="00EA3F85"/>
    <w:rsid w:val="00EA3FA0"/>
    <w:rsid w:val="00EA3FE3"/>
    <w:rsid w:val="00EA41A6"/>
    <w:rsid w:val="00EA4201"/>
    <w:rsid w:val="00EA4257"/>
    <w:rsid w:val="00EA4368"/>
    <w:rsid w:val="00EA44DC"/>
    <w:rsid w:val="00EA45F9"/>
    <w:rsid w:val="00EA4782"/>
    <w:rsid w:val="00EA47C4"/>
    <w:rsid w:val="00EA4A65"/>
    <w:rsid w:val="00EA4D25"/>
    <w:rsid w:val="00EA4FF9"/>
    <w:rsid w:val="00EA5042"/>
    <w:rsid w:val="00EA5050"/>
    <w:rsid w:val="00EA5093"/>
    <w:rsid w:val="00EA50A2"/>
    <w:rsid w:val="00EA50D7"/>
    <w:rsid w:val="00EA510D"/>
    <w:rsid w:val="00EA5122"/>
    <w:rsid w:val="00EA57F1"/>
    <w:rsid w:val="00EA58D6"/>
    <w:rsid w:val="00EA5A47"/>
    <w:rsid w:val="00EA5F33"/>
    <w:rsid w:val="00EA60A4"/>
    <w:rsid w:val="00EA60F6"/>
    <w:rsid w:val="00EA640D"/>
    <w:rsid w:val="00EA6481"/>
    <w:rsid w:val="00EA66FA"/>
    <w:rsid w:val="00EA6817"/>
    <w:rsid w:val="00EA6AB2"/>
    <w:rsid w:val="00EA6AE6"/>
    <w:rsid w:val="00EA6D0A"/>
    <w:rsid w:val="00EA6D68"/>
    <w:rsid w:val="00EA7056"/>
    <w:rsid w:val="00EA7206"/>
    <w:rsid w:val="00EA7271"/>
    <w:rsid w:val="00EA7347"/>
    <w:rsid w:val="00EA7724"/>
    <w:rsid w:val="00EA7952"/>
    <w:rsid w:val="00EA795C"/>
    <w:rsid w:val="00EA7A0B"/>
    <w:rsid w:val="00EA7A96"/>
    <w:rsid w:val="00EA7B82"/>
    <w:rsid w:val="00EA7C94"/>
    <w:rsid w:val="00EA7D9F"/>
    <w:rsid w:val="00EA7E16"/>
    <w:rsid w:val="00EA7E32"/>
    <w:rsid w:val="00EA7F74"/>
    <w:rsid w:val="00EB00F9"/>
    <w:rsid w:val="00EB0169"/>
    <w:rsid w:val="00EB02E5"/>
    <w:rsid w:val="00EB035C"/>
    <w:rsid w:val="00EB044F"/>
    <w:rsid w:val="00EB05A2"/>
    <w:rsid w:val="00EB05A6"/>
    <w:rsid w:val="00EB076A"/>
    <w:rsid w:val="00EB0924"/>
    <w:rsid w:val="00EB0D4F"/>
    <w:rsid w:val="00EB11C1"/>
    <w:rsid w:val="00EB152F"/>
    <w:rsid w:val="00EB1890"/>
    <w:rsid w:val="00EB189A"/>
    <w:rsid w:val="00EB1A2D"/>
    <w:rsid w:val="00EB1C9D"/>
    <w:rsid w:val="00EB1D5D"/>
    <w:rsid w:val="00EB202F"/>
    <w:rsid w:val="00EB2246"/>
    <w:rsid w:val="00EB235C"/>
    <w:rsid w:val="00EB2527"/>
    <w:rsid w:val="00EB260D"/>
    <w:rsid w:val="00EB2646"/>
    <w:rsid w:val="00EB271D"/>
    <w:rsid w:val="00EB2815"/>
    <w:rsid w:val="00EB2849"/>
    <w:rsid w:val="00EB2AB4"/>
    <w:rsid w:val="00EB2BCA"/>
    <w:rsid w:val="00EB2E0D"/>
    <w:rsid w:val="00EB327E"/>
    <w:rsid w:val="00EB3866"/>
    <w:rsid w:val="00EB39BA"/>
    <w:rsid w:val="00EB3B0A"/>
    <w:rsid w:val="00EB3D03"/>
    <w:rsid w:val="00EB3D51"/>
    <w:rsid w:val="00EB3D83"/>
    <w:rsid w:val="00EB40B5"/>
    <w:rsid w:val="00EB4100"/>
    <w:rsid w:val="00EB41F4"/>
    <w:rsid w:val="00EB429D"/>
    <w:rsid w:val="00EB466B"/>
    <w:rsid w:val="00EB47E4"/>
    <w:rsid w:val="00EB4969"/>
    <w:rsid w:val="00EB4A65"/>
    <w:rsid w:val="00EB4AA6"/>
    <w:rsid w:val="00EB4B74"/>
    <w:rsid w:val="00EB4C0F"/>
    <w:rsid w:val="00EB4CAC"/>
    <w:rsid w:val="00EB4CD3"/>
    <w:rsid w:val="00EB4F7E"/>
    <w:rsid w:val="00EB5142"/>
    <w:rsid w:val="00EB5245"/>
    <w:rsid w:val="00EB53AF"/>
    <w:rsid w:val="00EB554E"/>
    <w:rsid w:val="00EB569E"/>
    <w:rsid w:val="00EB5969"/>
    <w:rsid w:val="00EB5CEF"/>
    <w:rsid w:val="00EB5E82"/>
    <w:rsid w:val="00EB6004"/>
    <w:rsid w:val="00EB60DC"/>
    <w:rsid w:val="00EB6231"/>
    <w:rsid w:val="00EB6289"/>
    <w:rsid w:val="00EB6434"/>
    <w:rsid w:val="00EB647F"/>
    <w:rsid w:val="00EB67C1"/>
    <w:rsid w:val="00EB684F"/>
    <w:rsid w:val="00EB68BB"/>
    <w:rsid w:val="00EB6B02"/>
    <w:rsid w:val="00EB6BD8"/>
    <w:rsid w:val="00EB6CFA"/>
    <w:rsid w:val="00EB6D6A"/>
    <w:rsid w:val="00EB6E90"/>
    <w:rsid w:val="00EB7389"/>
    <w:rsid w:val="00EB7458"/>
    <w:rsid w:val="00EB78DC"/>
    <w:rsid w:val="00EB7AA8"/>
    <w:rsid w:val="00EB7CDE"/>
    <w:rsid w:val="00EB7E25"/>
    <w:rsid w:val="00EB7F27"/>
    <w:rsid w:val="00EBDC02"/>
    <w:rsid w:val="00EC000C"/>
    <w:rsid w:val="00EC0045"/>
    <w:rsid w:val="00EC0103"/>
    <w:rsid w:val="00EC0115"/>
    <w:rsid w:val="00EC0137"/>
    <w:rsid w:val="00EC01CC"/>
    <w:rsid w:val="00EC0423"/>
    <w:rsid w:val="00EC0437"/>
    <w:rsid w:val="00EC0520"/>
    <w:rsid w:val="00EC0572"/>
    <w:rsid w:val="00EC13D8"/>
    <w:rsid w:val="00EC151E"/>
    <w:rsid w:val="00EC15A8"/>
    <w:rsid w:val="00EC1636"/>
    <w:rsid w:val="00EC17F7"/>
    <w:rsid w:val="00EC18FA"/>
    <w:rsid w:val="00EC195F"/>
    <w:rsid w:val="00EC1B70"/>
    <w:rsid w:val="00EC1C40"/>
    <w:rsid w:val="00EC1E38"/>
    <w:rsid w:val="00EC1E71"/>
    <w:rsid w:val="00EC1F57"/>
    <w:rsid w:val="00EC2139"/>
    <w:rsid w:val="00EC2146"/>
    <w:rsid w:val="00EC22BB"/>
    <w:rsid w:val="00EC23CF"/>
    <w:rsid w:val="00EC269F"/>
    <w:rsid w:val="00EC2726"/>
    <w:rsid w:val="00EC2953"/>
    <w:rsid w:val="00EC29F1"/>
    <w:rsid w:val="00EC2DAA"/>
    <w:rsid w:val="00EC310A"/>
    <w:rsid w:val="00EC33A4"/>
    <w:rsid w:val="00EC34FD"/>
    <w:rsid w:val="00EC3513"/>
    <w:rsid w:val="00EC3530"/>
    <w:rsid w:val="00EC3828"/>
    <w:rsid w:val="00EC38F6"/>
    <w:rsid w:val="00EC3922"/>
    <w:rsid w:val="00EC3AEE"/>
    <w:rsid w:val="00EC3D43"/>
    <w:rsid w:val="00EC3DA9"/>
    <w:rsid w:val="00EC3DAB"/>
    <w:rsid w:val="00EC3F6A"/>
    <w:rsid w:val="00EC41FA"/>
    <w:rsid w:val="00EC42A4"/>
    <w:rsid w:val="00EC4580"/>
    <w:rsid w:val="00EC45AF"/>
    <w:rsid w:val="00EC4715"/>
    <w:rsid w:val="00EC4773"/>
    <w:rsid w:val="00EC48BD"/>
    <w:rsid w:val="00EC48EC"/>
    <w:rsid w:val="00EC4A03"/>
    <w:rsid w:val="00EC4B95"/>
    <w:rsid w:val="00EC4BB7"/>
    <w:rsid w:val="00EC4DEE"/>
    <w:rsid w:val="00EC4EEE"/>
    <w:rsid w:val="00EC50FB"/>
    <w:rsid w:val="00EC5233"/>
    <w:rsid w:val="00EC52ED"/>
    <w:rsid w:val="00EC5317"/>
    <w:rsid w:val="00EC53FD"/>
    <w:rsid w:val="00EC56EE"/>
    <w:rsid w:val="00EC573D"/>
    <w:rsid w:val="00EC5740"/>
    <w:rsid w:val="00EC5978"/>
    <w:rsid w:val="00EC5A3F"/>
    <w:rsid w:val="00EC5A6F"/>
    <w:rsid w:val="00EC5BA7"/>
    <w:rsid w:val="00EC5CD3"/>
    <w:rsid w:val="00EC5D03"/>
    <w:rsid w:val="00EC5D56"/>
    <w:rsid w:val="00EC5D9A"/>
    <w:rsid w:val="00EC5DC8"/>
    <w:rsid w:val="00EC5E4C"/>
    <w:rsid w:val="00EC5E93"/>
    <w:rsid w:val="00EC5EE0"/>
    <w:rsid w:val="00EC5EF8"/>
    <w:rsid w:val="00EC5F36"/>
    <w:rsid w:val="00EC60E5"/>
    <w:rsid w:val="00EC6139"/>
    <w:rsid w:val="00EC626C"/>
    <w:rsid w:val="00EC6476"/>
    <w:rsid w:val="00EC64D0"/>
    <w:rsid w:val="00EC6928"/>
    <w:rsid w:val="00EC6A53"/>
    <w:rsid w:val="00EC6BE5"/>
    <w:rsid w:val="00EC6E61"/>
    <w:rsid w:val="00EC6E95"/>
    <w:rsid w:val="00EC6F92"/>
    <w:rsid w:val="00EC70DF"/>
    <w:rsid w:val="00EC7149"/>
    <w:rsid w:val="00EC7151"/>
    <w:rsid w:val="00EC73E8"/>
    <w:rsid w:val="00EC7457"/>
    <w:rsid w:val="00EC7711"/>
    <w:rsid w:val="00EC77ED"/>
    <w:rsid w:val="00EC789E"/>
    <w:rsid w:val="00EC7BDC"/>
    <w:rsid w:val="00EC7F92"/>
    <w:rsid w:val="00ED019C"/>
    <w:rsid w:val="00ED01F7"/>
    <w:rsid w:val="00ED0320"/>
    <w:rsid w:val="00ED0416"/>
    <w:rsid w:val="00ED0550"/>
    <w:rsid w:val="00ED058A"/>
    <w:rsid w:val="00ED0876"/>
    <w:rsid w:val="00ED0C05"/>
    <w:rsid w:val="00ED0CA5"/>
    <w:rsid w:val="00ED0CCB"/>
    <w:rsid w:val="00ED0CCD"/>
    <w:rsid w:val="00ED0EFB"/>
    <w:rsid w:val="00ED0F1B"/>
    <w:rsid w:val="00ED1071"/>
    <w:rsid w:val="00ED11DE"/>
    <w:rsid w:val="00ED11DF"/>
    <w:rsid w:val="00ED15D5"/>
    <w:rsid w:val="00ED17D4"/>
    <w:rsid w:val="00ED1930"/>
    <w:rsid w:val="00ED19A0"/>
    <w:rsid w:val="00ED1A5A"/>
    <w:rsid w:val="00ED1A8C"/>
    <w:rsid w:val="00ED1B81"/>
    <w:rsid w:val="00ED1B96"/>
    <w:rsid w:val="00ED1C3D"/>
    <w:rsid w:val="00ED1E85"/>
    <w:rsid w:val="00ED1F35"/>
    <w:rsid w:val="00ED20FE"/>
    <w:rsid w:val="00ED216F"/>
    <w:rsid w:val="00ED235D"/>
    <w:rsid w:val="00ED243B"/>
    <w:rsid w:val="00ED261A"/>
    <w:rsid w:val="00ED269A"/>
    <w:rsid w:val="00ED26D2"/>
    <w:rsid w:val="00ED288E"/>
    <w:rsid w:val="00ED29D6"/>
    <w:rsid w:val="00ED2A84"/>
    <w:rsid w:val="00ED2A95"/>
    <w:rsid w:val="00ED2BFA"/>
    <w:rsid w:val="00ED2E33"/>
    <w:rsid w:val="00ED30E8"/>
    <w:rsid w:val="00ED312E"/>
    <w:rsid w:val="00ED3300"/>
    <w:rsid w:val="00ED373B"/>
    <w:rsid w:val="00ED380A"/>
    <w:rsid w:val="00ED3A6B"/>
    <w:rsid w:val="00ED3B92"/>
    <w:rsid w:val="00ED3F32"/>
    <w:rsid w:val="00ED3FCE"/>
    <w:rsid w:val="00ED41B6"/>
    <w:rsid w:val="00ED4388"/>
    <w:rsid w:val="00ED43CD"/>
    <w:rsid w:val="00ED4573"/>
    <w:rsid w:val="00ED46BE"/>
    <w:rsid w:val="00ED4930"/>
    <w:rsid w:val="00ED4A6F"/>
    <w:rsid w:val="00ED4EF8"/>
    <w:rsid w:val="00ED4F9E"/>
    <w:rsid w:val="00ED5163"/>
    <w:rsid w:val="00ED538B"/>
    <w:rsid w:val="00ED53F7"/>
    <w:rsid w:val="00ED5436"/>
    <w:rsid w:val="00ED5580"/>
    <w:rsid w:val="00ED558E"/>
    <w:rsid w:val="00ED58B0"/>
    <w:rsid w:val="00ED5AF8"/>
    <w:rsid w:val="00ED5B5A"/>
    <w:rsid w:val="00ED5C62"/>
    <w:rsid w:val="00ED5D06"/>
    <w:rsid w:val="00ED611B"/>
    <w:rsid w:val="00ED62E5"/>
    <w:rsid w:val="00ED63DE"/>
    <w:rsid w:val="00ED64EB"/>
    <w:rsid w:val="00ED6559"/>
    <w:rsid w:val="00ED6591"/>
    <w:rsid w:val="00ED6653"/>
    <w:rsid w:val="00ED67F3"/>
    <w:rsid w:val="00ED69E8"/>
    <w:rsid w:val="00ED69FC"/>
    <w:rsid w:val="00ED6A84"/>
    <w:rsid w:val="00ED6B03"/>
    <w:rsid w:val="00ED6C46"/>
    <w:rsid w:val="00ED6D14"/>
    <w:rsid w:val="00ED7219"/>
    <w:rsid w:val="00ED74D7"/>
    <w:rsid w:val="00ED75DF"/>
    <w:rsid w:val="00ED76CD"/>
    <w:rsid w:val="00ED7812"/>
    <w:rsid w:val="00ED78DC"/>
    <w:rsid w:val="00ED7918"/>
    <w:rsid w:val="00ED7A0E"/>
    <w:rsid w:val="00ED7AE2"/>
    <w:rsid w:val="00ED7B8B"/>
    <w:rsid w:val="00ED7C38"/>
    <w:rsid w:val="00ED7C7D"/>
    <w:rsid w:val="00ED7C81"/>
    <w:rsid w:val="00ED7C94"/>
    <w:rsid w:val="00ED7CE6"/>
    <w:rsid w:val="00ED7D88"/>
    <w:rsid w:val="00ED7F11"/>
    <w:rsid w:val="00EE0014"/>
    <w:rsid w:val="00EE00AF"/>
    <w:rsid w:val="00EE010D"/>
    <w:rsid w:val="00EE0151"/>
    <w:rsid w:val="00EE01A2"/>
    <w:rsid w:val="00EE041B"/>
    <w:rsid w:val="00EE049C"/>
    <w:rsid w:val="00EE055A"/>
    <w:rsid w:val="00EE060F"/>
    <w:rsid w:val="00EE0610"/>
    <w:rsid w:val="00EE0623"/>
    <w:rsid w:val="00EE0645"/>
    <w:rsid w:val="00EE0653"/>
    <w:rsid w:val="00EE0673"/>
    <w:rsid w:val="00EE0715"/>
    <w:rsid w:val="00EE084A"/>
    <w:rsid w:val="00EE0945"/>
    <w:rsid w:val="00EE0ACD"/>
    <w:rsid w:val="00EE0B11"/>
    <w:rsid w:val="00EE0B16"/>
    <w:rsid w:val="00EE0C63"/>
    <w:rsid w:val="00EE0DC4"/>
    <w:rsid w:val="00EE0FB6"/>
    <w:rsid w:val="00EE1192"/>
    <w:rsid w:val="00EE12BB"/>
    <w:rsid w:val="00EE13B6"/>
    <w:rsid w:val="00EE13F8"/>
    <w:rsid w:val="00EE14AE"/>
    <w:rsid w:val="00EE1553"/>
    <w:rsid w:val="00EE1717"/>
    <w:rsid w:val="00EE1879"/>
    <w:rsid w:val="00EE1932"/>
    <w:rsid w:val="00EE19A9"/>
    <w:rsid w:val="00EE1B84"/>
    <w:rsid w:val="00EE1EBF"/>
    <w:rsid w:val="00EE2183"/>
    <w:rsid w:val="00EE2326"/>
    <w:rsid w:val="00EE239A"/>
    <w:rsid w:val="00EE26F9"/>
    <w:rsid w:val="00EE2ADD"/>
    <w:rsid w:val="00EE2D0F"/>
    <w:rsid w:val="00EE2D36"/>
    <w:rsid w:val="00EE2DCB"/>
    <w:rsid w:val="00EE2E26"/>
    <w:rsid w:val="00EE313F"/>
    <w:rsid w:val="00EE326E"/>
    <w:rsid w:val="00EE3450"/>
    <w:rsid w:val="00EE352C"/>
    <w:rsid w:val="00EE3617"/>
    <w:rsid w:val="00EE39F0"/>
    <w:rsid w:val="00EE3A0C"/>
    <w:rsid w:val="00EE3D29"/>
    <w:rsid w:val="00EE3D69"/>
    <w:rsid w:val="00EE3D70"/>
    <w:rsid w:val="00EE41C4"/>
    <w:rsid w:val="00EE41F7"/>
    <w:rsid w:val="00EE4210"/>
    <w:rsid w:val="00EE4472"/>
    <w:rsid w:val="00EE4538"/>
    <w:rsid w:val="00EE456B"/>
    <w:rsid w:val="00EE46CB"/>
    <w:rsid w:val="00EE47F8"/>
    <w:rsid w:val="00EE48E6"/>
    <w:rsid w:val="00EE49E0"/>
    <w:rsid w:val="00EE4AD6"/>
    <w:rsid w:val="00EE4BC0"/>
    <w:rsid w:val="00EE4C80"/>
    <w:rsid w:val="00EE4D96"/>
    <w:rsid w:val="00EE4E9A"/>
    <w:rsid w:val="00EE4EAD"/>
    <w:rsid w:val="00EE5424"/>
    <w:rsid w:val="00EE5441"/>
    <w:rsid w:val="00EE57DD"/>
    <w:rsid w:val="00EE58D2"/>
    <w:rsid w:val="00EE5996"/>
    <w:rsid w:val="00EE5D7A"/>
    <w:rsid w:val="00EE5EC7"/>
    <w:rsid w:val="00EE607B"/>
    <w:rsid w:val="00EE60DC"/>
    <w:rsid w:val="00EE6104"/>
    <w:rsid w:val="00EE61B6"/>
    <w:rsid w:val="00EE61FD"/>
    <w:rsid w:val="00EE622B"/>
    <w:rsid w:val="00EE625D"/>
    <w:rsid w:val="00EE64E7"/>
    <w:rsid w:val="00EE65E1"/>
    <w:rsid w:val="00EE6980"/>
    <w:rsid w:val="00EE6A88"/>
    <w:rsid w:val="00EE6AE9"/>
    <w:rsid w:val="00EE6F3B"/>
    <w:rsid w:val="00EE70BF"/>
    <w:rsid w:val="00EE72D8"/>
    <w:rsid w:val="00EE75EF"/>
    <w:rsid w:val="00EE7602"/>
    <w:rsid w:val="00EE7756"/>
    <w:rsid w:val="00EE77BD"/>
    <w:rsid w:val="00EE7D1B"/>
    <w:rsid w:val="00EE7F87"/>
    <w:rsid w:val="00EF007E"/>
    <w:rsid w:val="00EF0101"/>
    <w:rsid w:val="00EF01BD"/>
    <w:rsid w:val="00EF01D8"/>
    <w:rsid w:val="00EF02E5"/>
    <w:rsid w:val="00EF0D3F"/>
    <w:rsid w:val="00EF0D63"/>
    <w:rsid w:val="00EF0E56"/>
    <w:rsid w:val="00EF1065"/>
    <w:rsid w:val="00EF107E"/>
    <w:rsid w:val="00EF122B"/>
    <w:rsid w:val="00EF12FD"/>
    <w:rsid w:val="00EF15E3"/>
    <w:rsid w:val="00EF1699"/>
    <w:rsid w:val="00EF1751"/>
    <w:rsid w:val="00EF18DA"/>
    <w:rsid w:val="00EF1D41"/>
    <w:rsid w:val="00EF21BB"/>
    <w:rsid w:val="00EF24C0"/>
    <w:rsid w:val="00EF263D"/>
    <w:rsid w:val="00EF26F2"/>
    <w:rsid w:val="00EF2742"/>
    <w:rsid w:val="00EF2E80"/>
    <w:rsid w:val="00EF2F38"/>
    <w:rsid w:val="00EF3084"/>
    <w:rsid w:val="00EF3323"/>
    <w:rsid w:val="00EF3417"/>
    <w:rsid w:val="00EF34DF"/>
    <w:rsid w:val="00EF37DE"/>
    <w:rsid w:val="00EF3D09"/>
    <w:rsid w:val="00EF3F1E"/>
    <w:rsid w:val="00EF42CB"/>
    <w:rsid w:val="00EF4562"/>
    <w:rsid w:val="00EF4584"/>
    <w:rsid w:val="00EF4631"/>
    <w:rsid w:val="00EF476E"/>
    <w:rsid w:val="00EF48C7"/>
    <w:rsid w:val="00EF49A6"/>
    <w:rsid w:val="00EF4AF7"/>
    <w:rsid w:val="00EF4CAC"/>
    <w:rsid w:val="00EF4CB6"/>
    <w:rsid w:val="00EF4F7C"/>
    <w:rsid w:val="00EF50CC"/>
    <w:rsid w:val="00EF51CB"/>
    <w:rsid w:val="00EF5237"/>
    <w:rsid w:val="00EF52CE"/>
    <w:rsid w:val="00EF5313"/>
    <w:rsid w:val="00EF53A4"/>
    <w:rsid w:val="00EF5458"/>
    <w:rsid w:val="00EF56B7"/>
    <w:rsid w:val="00EF59E1"/>
    <w:rsid w:val="00EF5DFB"/>
    <w:rsid w:val="00EF60FF"/>
    <w:rsid w:val="00EF61BD"/>
    <w:rsid w:val="00EF6355"/>
    <w:rsid w:val="00EF63C5"/>
    <w:rsid w:val="00EF63D9"/>
    <w:rsid w:val="00EF64AD"/>
    <w:rsid w:val="00EF664B"/>
    <w:rsid w:val="00EF68B2"/>
    <w:rsid w:val="00EF6A3B"/>
    <w:rsid w:val="00EF6E7C"/>
    <w:rsid w:val="00EF6E99"/>
    <w:rsid w:val="00EF6F70"/>
    <w:rsid w:val="00EF7008"/>
    <w:rsid w:val="00EF70DB"/>
    <w:rsid w:val="00EF7326"/>
    <w:rsid w:val="00EF735F"/>
    <w:rsid w:val="00EF7452"/>
    <w:rsid w:val="00EF757B"/>
    <w:rsid w:val="00EF75CA"/>
    <w:rsid w:val="00EF763B"/>
    <w:rsid w:val="00EF7780"/>
    <w:rsid w:val="00EF7815"/>
    <w:rsid w:val="00EF7E18"/>
    <w:rsid w:val="00EF7E1F"/>
    <w:rsid w:val="00F001A3"/>
    <w:rsid w:val="00F002CA"/>
    <w:rsid w:val="00F0040D"/>
    <w:rsid w:val="00F0056C"/>
    <w:rsid w:val="00F0063F"/>
    <w:rsid w:val="00F00664"/>
    <w:rsid w:val="00F0070C"/>
    <w:rsid w:val="00F007AB"/>
    <w:rsid w:val="00F00CBA"/>
    <w:rsid w:val="00F00CF9"/>
    <w:rsid w:val="00F00DC1"/>
    <w:rsid w:val="00F00DD6"/>
    <w:rsid w:val="00F00EF1"/>
    <w:rsid w:val="00F00FCE"/>
    <w:rsid w:val="00F01052"/>
    <w:rsid w:val="00F01150"/>
    <w:rsid w:val="00F0181A"/>
    <w:rsid w:val="00F018C7"/>
    <w:rsid w:val="00F0198B"/>
    <w:rsid w:val="00F01C16"/>
    <w:rsid w:val="00F020C7"/>
    <w:rsid w:val="00F021B6"/>
    <w:rsid w:val="00F0221F"/>
    <w:rsid w:val="00F02BC7"/>
    <w:rsid w:val="00F02DF5"/>
    <w:rsid w:val="00F02F5E"/>
    <w:rsid w:val="00F02F67"/>
    <w:rsid w:val="00F030DC"/>
    <w:rsid w:val="00F032D5"/>
    <w:rsid w:val="00F033AC"/>
    <w:rsid w:val="00F0341C"/>
    <w:rsid w:val="00F0383B"/>
    <w:rsid w:val="00F03918"/>
    <w:rsid w:val="00F039A4"/>
    <w:rsid w:val="00F03B83"/>
    <w:rsid w:val="00F03B8C"/>
    <w:rsid w:val="00F03BE0"/>
    <w:rsid w:val="00F03C88"/>
    <w:rsid w:val="00F03DB6"/>
    <w:rsid w:val="00F03DD3"/>
    <w:rsid w:val="00F03F29"/>
    <w:rsid w:val="00F03F5F"/>
    <w:rsid w:val="00F042F4"/>
    <w:rsid w:val="00F044E1"/>
    <w:rsid w:val="00F046CA"/>
    <w:rsid w:val="00F04816"/>
    <w:rsid w:val="00F04838"/>
    <w:rsid w:val="00F04957"/>
    <w:rsid w:val="00F04989"/>
    <w:rsid w:val="00F049AC"/>
    <w:rsid w:val="00F04E8F"/>
    <w:rsid w:val="00F0557F"/>
    <w:rsid w:val="00F055F2"/>
    <w:rsid w:val="00F0567C"/>
    <w:rsid w:val="00F0577A"/>
    <w:rsid w:val="00F05A4C"/>
    <w:rsid w:val="00F05BEF"/>
    <w:rsid w:val="00F05C4F"/>
    <w:rsid w:val="00F05D27"/>
    <w:rsid w:val="00F05E49"/>
    <w:rsid w:val="00F05FB2"/>
    <w:rsid w:val="00F0601C"/>
    <w:rsid w:val="00F064EC"/>
    <w:rsid w:val="00F0676E"/>
    <w:rsid w:val="00F0687B"/>
    <w:rsid w:val="00F0696C"/>
    <w:rsid w:val="00F069E6"/>
    <w:rsid w:val="00F069ED"/>
    <w:rsid w:val="00F06BCE"/>
    <w:rsid w:val="00F06C98"/>
    <w:rsid w:val="00F06DA4"/>
    <w:rsid w:val="00F06FF3"/>
    <w:rsid w:val="00F07034"/>
    <w:rsid w:val="00F070A8"/>
    <w:rsid w:val="00F070F1"/>
    <w:rsid w:val="00F071D3"/>
    <w:rsid w:val="00F0727E"/>
    <w:rsid w:val="00F07544"/>
    <w:rsid w:val="00F07807"/>
    <w:rsid w:val="00F07846"/>
    <w:rsid w:val="00F0786D"/>
    <w:rsid w:val="00F07B22"/>
    <w:rsid w:val="00F07F0D"/>
    <w:rsid w:val="00F10546"/>
    <w:rsid w:val="00F10666"/>
    <w:rsid w:val="00F1071A"/>
    <w:rsid w:val="00F107B7"/>
    <w:rsid w:val="00F10CAB"/>
    <w:rsid w:val="00F10EB7"/>
    <w:rsid w:val="00F10EF3"/>
    <w:rsid w:val="00F10F57"/>
    <w:rsid w:val="00F11333"/>
    <w:rsid w:val="00F114EC"/>
    <w:rsid w:val="00F11711"/>
    <w:rsid w:val="00F1171C"/>
    <w:rsid w:val="00F11A20"/>
    <w:rsid w:val="00F11A85"/>
    <w:rsid w:val="00F11C48"/>
    <w:rsid w:val="00F11C7A"/>
    <w:rsid w:val="00F11D4E"/>
    <w:rsid w:val="00F11E43"/>
    <w:rsid w:val="00F12010"/>
    <w:rsid w:val="00F121B3"/>
    <w:rsid w:val="00F12279"/>
    <w:rsid w:val="00F124DA"/>
    <w:rsid w:val="00F1250F"/>
    <w:rsid w:val="00F12962"/>
    <w:rsid w:val="00F12AF5"/>
    <w:rsid w:val="00F12B92"/>
    <w:rsid w:val="00F12D46"/>
    <w:rsid w:val="00F12DCB"/>
    <w:rsid w:val="00F12E22"/>
    <w:rsid w:val="00F12FB6"/>
    <w:rsid w:val="00F13112"/>
    <w:rsid w:val="00F13178"/>
    <w:rsid w:val="00F131DE"/>
    <w:rsid w:val="00F13218"/>
    <w:rsid w:val="00F13240"/>
    <w:rsid w:val="00F1327F"/>
    <w:rsid w:val="00F13289"/>
    <w:rsid w:val="00F132AE"/>
    <w:rsid w:val="00F139E8"/>
    <w:rsid w:val="00F13E97"/>
    <w:rsid w:val="00F14175"/>
    <w:rsid w:val="00F144B4"/>
    <w:rsid w:val="00F14803"/>
    <w:rsid w:val="00F14D8C"/>
    <w:rsid w:val="00F14DD8"/>
    <w:rsid w:val="00F15254"/>
    <w:rsid w:val="00F1527A"/>
    <w:rsid w:val="00F1532A"/>
    <w:rsid w:val="00F15338"/>
    <w:rsid w:val="00F15358"/>
    <w:rsid w:val="00F15728"/>
    <w:rsid w:val="00F157B0"/>
    <w:rsid w:val="00F157CF"/>
    <w:rsid w:val="00F15D5A"/>
    <w:rsid w:val="00F15E4A"/>
    <w:rsid w:val="00F15FB5"/>
    <w:rsid w:val="00F16182"/>
    <w:rsid w:val="00F1623B"/>
    <w:rsid w:val="00F1628D"/>
    <w:rsid w:val="00F163B4"/>
    <w:rsid w:val="00F16A28"/>
    <w:rsid w:val="00F16F8A"/>
    <w:rsid w:val="00F16FA5"/>
    <w:rsid w:val="00F1713C"/>
    <w:rsid w:val="00F171DE"/>
    <w:rsid w:val="00F172C9"/>
    <w:rsid w:val="00F173C3"/>
    <w:rsid w:val="00F174D8"/>
    <w:rsid w:val="00F1777B"/>
    <w:rsid w:val="00F179A8"/>
    <w:rsid w:val="00F17C46"/>
    <w:rsid w:val="00F17C9B"/>
    <w:rsid w:val="00F17D34"/>
    <w:rsid w:val="00F17ED8"/>
    <w:rsid w:val="00F1DA14"/>
    <w:rsid w:val="00F1DB55"/>
    <w:rsid w:val="00F20133"/>
    <w:rsid w:val="00F20237"/>
    <w:rsid w:val="00F20489"/>
    <w:rsid w:val="00F20671"/>
    <w:rsid w:val="00F2098E"/>
    <w:rsid w:val="00F20E0A"/>
    <w:rsid w:val="00F213B7"/>
    <w:rsid w:val="00F21473"/>
    <w:rsid w:val="00F214A7"/>
    <w:rsid w:val="00F214F5"/>
    <w:rsid w:val="00F21598"/>
    <w:rsid w:val="00F215AE"/>
    <w:rsid w:val="00F216AB"/>
    <w:rsid w:val="00F21899"/>
    <w:rsid w:val="00F21CBD"/>
    <w:rsid w:val="00F21E5A"/>
    <w:rsid w:val="00F21ED3"/>
    <w:rsid w:val="00F21EDE"/>
    <w:rsid w:val="00F21EF3"/>
    <w:rsid w:val="00F21FD6"/>
    <w:rsid w:val="00F21FDE"/>
    <w:rsid w:val="00F22028"/>
    <w:rsid w:val="00F22329"/>
    <w:rsid w:val="00F2234C"/>
    <w:rsid w:val="00F22684"/>
    <w:rsid w:val="00F228AA"/>
    <w:rsid w:val="00F229CD"/>
    <w:rsid w:val="00F22A4D"/>
    <w:rsid w:val="00F22CDF"/>
    <w:rsid w:val="00F22E93"/>
    <w:rsid w:val="00F232B5"/>
    <w:rsid w:val="00F232BD"/>
    <w:rsid w:val="00F2335F"/>
    <w:rsid w:val="00F2336F"/>
    <w:rsid w:val="00F23518"/>
    <w:rsid w:val="00F2370D"/>
    <w:rsid w:val="00F23919"/>
    <w:rsid w:val="00F23961"/>
    <w:rsid w:val="00F23C30"/>
    <w:rsid w:val="00F23D4F"/>
    <w:rsid w:val="00F23E25"/>
    <w:rsid w:val="00F244DA"/>
    <w:rsid w:val="00F245BC"/>
    <w:rsid w:val="00F249FD"/>
    <w:rsid w:val="00F24A76"/>
    <w:rsid w:val="00F24A7E"/>
    <w:rsid w:val="00F24B70"/>
    <w:rsid w:val="00F24D9D"/>
    <w:rsid w:val="00F24DB3"/>
    <w:rsid w:val="00F24EB3"/>
    <w:rsid w:val="00F2503B"/>
    <w:rsid w:val="00F25229"/>
    <w:rsid w:val="00F2536F"/>
    <w:rsid w:val="00F25722"/>
    <w:rsid w:val="00F25777"/>
    <w:rsid w:val="00F2592F"/>
    <w:rsid w:val="00F259FC"/>
    <w:rsid w:val="00F25AC9"/>
    <w:rsid w:val="00F25BD8"/>
    <w:rsid w:val="00F25CB7"/>
    <w:rsid w:val="00F25DA8"/>
    <w:rsid w:val="00F25DCB"/>
    <w:rsid w:val="00F25DDE"/>
    <w:rsid w:val="00F25EC5"/>
    <w:rsid w:val="00F25F58"/>
    <w:rsid w:val="00F25FDC"/>
    <w:rsid w:val="00F26031"/>
    <w:rsid w:val="00F26376"/>
    <w:rsid w:val="00F265AB"/>
    <w:rsid w:val="00F26911"/>
    <w:rsid w:val="00F26B40"/>
    <w:rsid w:val="00F26D38"/>
    <w:rsid w:val="00F271B5"/>
    <w:rsid w:val="00F27524"/>
    <w:rsid w:val="00F27549"/>
    <w:rsid w:val="00F275A3"/>
    <w:rsid w:val="00F275CD"/>
    <w:rsid w:val="00F27644"/>
    <w:rsid w:val="00F2766C"/>
    <w:rsid w:val="00F27882"/>
    <w:rsid w:val="00F27BA0"/>
    <w:rsid w:val="00F27E02"/>
    <w:rsid w:val="00F27E34"/>
    <w:rsid w:val="00F27EA1"/>
    <w:rsid w:val="00F27EE2"/>
    <w:rsid w:val="00F27FF2"/>
    <w:rsid w:val="00F301CF"/>
    <w:rsid w:val="00F30371"/>
    <w:rsid w:val="00F303A4"/>
    <w:rsid w:val="00F306C8"/>
    <w:rsid w:val="00F30E3D"/>
    <w:rsid w:val="00F30F3A"/>
    <w:rsid w:val="00F31642"/>
    <w:rsid w:val="00F316CC"/>
    <w:rsid w:val="00F316F2"/>
    <w:rsid w:val="00F31947"/>
    <w:rsid w:val="00F31A82"/>
    <w:rsid w:val="00F31AC5"/>
    <w:rsid w:val="00F31C8E"/>
    <w:rsid w:val="00F31DE6"/>
    <w:rsid w:val="00F31DFC"/>
    <w:rsid w:val="00F3210C"/>
    <w:rsid w:val="00F3227B"/>
    <w:rsid w:val="00F32438"/>
    <w:rsid w:val="00F3268F"/>
    <w:rsid w:val="00F32730"/>
    <w:rsid w:val="00F329DF"/>
    <w:rsid w:val="00F32CAB"/>
    <w:rsid w:val="00F32F2D"/>
    <w:rsid w:val="00F3338B"/>
    <w:rsid w:val="00F3349E"/>
    <w:rsid w:val="00F3366A"/>
    <w:rsid w:val="00F33B60"/>
    <w:rsid w:val="00F33C12"/>
    <w:rsid w:val="00F33D53"/>
    <w:rsid w:val="00F3402F"/>
    <w:rsid w:val="00F3417D"/>
    <w:rsid w:val="00F342E1"/>
    <w:rsid w:val="00F34552"/>
    <w:rsid w:val="00F345C7"/>
    <w:rsid w:val="00F34690"/>
    <w:rsid w:val="00F34878"/>
    <w:rsid w:val="00F34B70"/>
    <w:rsid w:val="00F34BFA"/>
    <w:rsid w:val="00F34BFD"/>
    <w:rsid w:val="00F34F75"/>
    <w:rsid w:val="00F35095"/>
    <w:rsid w:val="00F350B2"/>
    <w:rsid w:val="00F3557A"/>
    <w:rsid w:val="00F35629"/>
    <w:rsid w:val="00F356D6"/>
    <w:rsid w:val="00F357B6"/>
    <w:rsid w:val="00F357B9"/>
    <w:rsid w:val="00F35934"/>
    <w:rsid w:val="00F35948"/>
    <w:rsid w:val="00F35A4D"/>
    <w:rsid w:val="00F35A95"/>
    <w:rsid w:val="00F35B95"/>
    <w:rsid w:val="00F35CC7"/>
    <w:rsid w:val="00F36101"/>
    <w:rsid w:val="00F36282"/>
    <w:rsid w:val="00F36347"/>
    <w:rsid w:val="00F36374"/>
    <w:rsid w:val="00F367D8"/>
    <w:rsid w:val="00F368C5"/>
    <w:rsid w:val="00F36DD9"/>
    <w:rsid w:val="00F37103"/>
    <w:rsid w:val="00F37184"/>
    <w:rsid w:val="00F37185"/>
    <w:rsid w:val="00F3734A"/>
    <w:rsid w:val="00F37463"/>
    <w:rsid w:val="00F374AA"/>
    <w:rsid w:val="00F376F8"/>
    <w:rsid w:val="00F37C86"/>
    <w:rsid w:val="00F37DD7"/>
    <w:rsid w:val="00F4019D"/>
    <w:rsid w:val="00F401A7"/>
    <w:rsid w:val="00F404F9"/>
    <w:rsid w:val="00F40546"/>
    <w:rsid w:val="00F40646"/>
    <w:rsid w:val="00F40688"/>
    <w:rsid w:val="00F40788"/>
    <w:rsid w:val="00F40AA1"/>
    <w:rsid w:val="00F40C26"/>
    <w:rsid w:val="00F40FC0"/>
    <w:rsid w:val="00F410F0"/>
    <w:rsid w:val="00F411F7"/>
    <w:rsid w:val="00F412F0"/>
    <w:rsid w:val="00F41372"/>
    <w:rsid w:val="00F413C3"/>
    <w:rsid w:val="00F414D6"/>
    <w:rsid w:val="00F415C4"/>
    <w:rsid w:val="00F416F5"/>
    <w:rsid w:val="00F41868"/>
    <w:rsid w:val="00F41881"/>
    <w:rsid w:val="00F419EB"/>
    <w:rsid w:val="00F41A36"/>
    <w:rsid w:val="00F41B95"/>
    <w:rsid w:val="00F41BC6"/>
    <w:rsid w:val="00F41CCD"/>
    <w:rsid w:val="00F41CDE"/>
    <w:rsid w:val="00F41E6E"/>
    <w:rsid w:val="00F4207F"/>
    <w:rsid w:val="00F42172"/>
    <w:rsid w:val="00F421F2"/>
    <w:rsid w:val="00F42243"/>
    <w:rsid w:val="00F4228F"/>
    <w:rsid w:val="00F423F0"/>
    <w:rsid w:val="00F42712"/>
    <w:rsid w:val="00F4277E"/>
    <w:rsid w:val="00F42B3E"/>
    <w:rsid w:val="00F42C0A"/>
    <w:rsid w:val="00F42CFB"/>
    <w:rsid w:val="00F42E20"/>
    <w:rsid w:val="00F42F81"/>
    <w:rsid w:val="00F42F8B"/>
    <w:rsid w:val="00F4311D"/>
    <w:rsid w:val="00F4328F"/>
    <w:rsid w:val="00F434EA"/>
    <w:rsid w:val="00F43589"/>
    <w:rsid w:val="00F437D3"/>
    <w:rsid w:val="00F438F9"/>
    <w:rsid w:val="00F4395D"/>
    <w:rsid w:val="00F43991"/>
    <w:rsid w:val="00F43B7D"/>
    <w:rsid w:val="00F43DC6"/>
    <w:rsid w:val="00F43DE8"/>
    <w:rsid w:val="00F44044"/>
    <w:rsid w:val="00F44160"/>
    <w:rsid w:val="00F441CA"/>
    <w:rsid w:val="00F44557"/>
    <w:rsid w:val="00F44728"/>
    <w:rsid w:val="00F447B5"/>
    <w:rsid w:val="00F4490E"/>
    <w:rsid w:val="00F4497D"/>
    <w:rsid w:val="00F4497F"/>
    <w:rsid w:val="00F44A70"/>
    <w:rsid w:val="00F44AB0"/>
    <w:rsid w:val="00F44EE7"/>
    <w:rsid w:val="00F44F8B"/>
    <w:rsid w:val="00F44F8F"/>
    <w:rsid w:val="00F4505C"/>
    <w:rsid w:val="00F450EC"/>
    <w:rsid w:val="00F4543F"/>
    <w:rsid w:val="00F45479"/>
    <w:rsid w:val="00F456A7"/>
    <w:rsid w:val="00F456F0"/>
    <w:rsid w:val="00F45730"/>
    <w:rsid w:val="00F458E9"/>
    <w:rsid w:val="00F45BCF"/>
    <w:rsid w:val="00F45C6A"/>
    <w:rsid w:val="00F45F20"/>
    <w:rsid w:val="00F46018"/>
    <w:rsid w:val="00F4654A"/>
    <w:rsid w:val="00F46571"/>
    <w:rsid w:val="00F46622"/>
    <w:rsid w:val="00F4674D"/>
    <w:rsid w:val="00F46964"/>
    <w:rsid w:val="00F46A7F"/>
    <w:rsid w:val="00F46AB8"/>
    <w:rsid w:val="00F46CB7"/>
    <w:rsid w:val="00F46DED"/>
    <w:rsid w:val="00F46E56"/>
    <w:rsid w:val="00F46FD5"/>
    <w:rsid w:val="00F4708D"/>
    <w:rsid w:val="00F4710B"/>
    <w:rsid w:val="00F47124"/>
    <w:rsid w:val="00F471A2"/>
    <w:rsid w:val="00F4730C"/>
    <w:rsid w:val="00F4731D"/>
    <w:rsid w:val="00F478BB"/>
    <w:rsid w:val="00F47F1B"/>
    <w:rsid w:val="00F47F49"/>
    <w:rsid w:val="00F47FF3"/>
    <w:rsid w:val="00F500DF"/>
    <w:rsid w:val="00F50388"/>
    <w:rsid w:val="00F504F7"/>
    <w:rsid w:val="00F50595"/>
    <w:rsid w:val="00F50D10"/>
    <w:rsid w:val="00F510DD"/>
    <w:rsid w:val="00F512B2"/>
    <w:rsid w:val="00F5154A"/>
    <w:rsid w:val="00F518E8"/>
    <w:rsid w:val="00F5193D"/>
    <w:rsid w:val="00F51DE8"/>
    <w:rsid w:val="00F5209C"/>
    <w:rsid w:val="00F520D1"/>
    <w:rsid w:val="00F5214B"/>
    <w:rsid w:val="00F5238D"/>
    <w:rsid w:val="00F5240A"/>
    <w:rsid w:val="00F524EF"/>
    <w:rsid w:val="00F52534"/>
    <w:rsid w:val="00F5267F"/>
    <w:rsid w:val="00F52871"/>
    <w:rsid w:val="00F528F5"/>
    <w:rsid w:val="00F528FB"/>
    <w:rsid w:val="00F52935"/>
    <w:rsid w:val="00F52D7B"/>
    <w:rsid w:val="00F53533"/>
    <w:rsid w:val="00F535CC"/>
    <w:rsid w:val="00F536B5"/>
    <w:rsid w:val="00F53C08"/>
    <w:rsid w:val="00F53D70"/>
    <w:rsid w:val="00F53EAA"/>
    <w:rsid w:val="00F54130"/>
    <w:rsid w:val="00F5466F"/>
    <w:rsid w:val="00F54696"/>
    <w:rsid w:val="00F547F5"/>
    <w:rsid w:val="00F54894"/>
    <w:rsid w:val="00F54935"/>
    <w:rsid w:val="00F54A40"/>
    <w:rsid w:val="00F54B78"/>
    <w:rsid w:val="00F54E96"/>
    <w:rsid w:val="00F54E9D"/>
    <w:rsid w:val="00F54FC9"/>
    <w:rsid w:val="00F5519A"/>
    <w:rsid w:val="00F55938"/>
    <w:rsid w:val="00F55B1E"/>
    <w:rsid w:val="00F55D02"/>
    <w:rsid w:val="00F55F86"/>
    <w:rsid w:val="00F56023"/>
    <w:rsid w:val="00F561BC"/>
    <w:rsid w:val="00F561EC"/>
    <w:rsid w:val="00F5623C"/>
    <w:rsid w:val="00F564AC"/>
    <w:rsid w:val="00F56976"/>
    <w:rsid w:val="00F56C4F"/>
    <w:rsid w:val="00F56CFD"/>
    <w:rsid w:val="00F56E6E"/>
    <w:rsid w:val="00F57023"/>
    <w:rsid w:val="00F575A7"/>
    <w:rsid w:val="00F57806"/>
    <w:rsid w:val="00F57B30"/>
    <w:rsid w:val="00F57D24"/>
    <w:rsid w:val="00F57E6E"/>
    <w:rsid w:val="00F602DA"/>
    <w:rsid w:val="00F60387"/>
    <w:rsid w:val="00F60485"/>
    <w:rsid w:val="00F60500"/>
    <w:rsid w:val="00F6084B"/>
    <w:rsid w:val="00F6105D"/>
    <w:rsid w:val="00F61237"/>
    <w:rsid w:val="00F6146D"/>
    <w:rsid w:val="00F61584"/>
    <w:rsid w:val="00F617C6"/>
    <w:rsid w:val="00F617F0"/>
    <w:rsid w:val="00F618A8"/>
    <w:rsid w:val="00F61900"/>
    <w:rsid w:val="00F61B2F"/>
    <w:rsid w:val="00F61B75"/>
    <w:rsid w:val="00F62341"/>
    <w:rsid w:val="00F62777"/>
    <w:rsid w:val="00F6281E"/>
    <w:rsid w:val="00F62C2F"/>
    <w:rsid w:val="00F62D1A"/>
    <w:rsid w:val="00F62DA1"/>
    <w:rsid w:val="00F62DAE"/>
    <w:rsid w:val="00F62F53"/>
    <w:rsid w:val="00F62F6E"/>
    <w:rsid w:val="00F63163"/>
    <w:rsid w:val="00F63186"/>
    <w:rsid w:val="00F63587"/>
    <w:rsid w:val="00F636D6"/>
    <w:rsid w:val="00F6399A"/>
    <w:rsid w:val="00F63CD4"/>
    <w:rsid w:val="00F63EDE"/>
    <w:rsid w:val="00F64155"/>
    <w:rsid w:val="00F64189"/>
    <w:rsid w:val="00F64283"/>
    <w:rsid w:val="00F643C3"/>
    <w:rsid w:val="00F647D0"/>
    <w:rsid w:val="00F64858"/>
    <w:rsid w:val="00F648AB"/>
    <w:rsid w:val="00F648FB"/>
    <w:rsid w:val="00F64E62"/>
    <w:rsid w:val="00F64F74"/>
    <w:rsid w:val="00F65039"/>
    <w:rsid w:val="00F65835"/>
    <w:rsid w:val="00F65839"/>
    <w:rsid w:val="00F6593C"/>
    <w:rsid w:val="00F65AC9"/>
    <w:rsid w:val="00F65C49"/>
    <w:rsid w:val="00F65DEF"/>
    <w:rsid w:val="00F65EA8"/>
    <w:rsid w:val="00F6617A"/>
    <w:rsid w:val="00F66A98"/>
    <w:rsid w:val="00F66B5B"/>
    <w:rsid w:val="00F66F6B"/>
    <w:rsid w:val="00F67061"/>
    <w:rsid w:val="00F673A0"/>
    <w:rsid w:val="00F6744B"/>
    <w:rsid w:val="00F674E9"/>
    <w:rsid w:val="00F67517"/>
    <w:rsid w:val="00F675C1"/>
    <w:rsid w:val="00F67AED"/>
    <w:rsid w:val="00F67B59"/>
    <w:rsid w:val="00F67B9E"/>
    <w:rsid w:val="00F67C35"/>
    <w:rsid w:val="00F67E69"/>
    <w:rsid w:val="00F7000D"/>
    <w:rsid w:val="00F70477"/>
    <w:rsid w:val="00F70548"/>
    <w:rsid w:val="00F707FF"/>
    <w:rsid w:val="00F70955"/>
    <w:rsid w:val="00F70B85"/>
    <w:rsid w:val="00F70BCC"/>
    <w:rsid w:val="00F713CF"/>
    <w:rsid w:val="00F71BB6"/>
    <w:rsid w:val="00F71EEE"/>
    <w:rsid w:val="00F71F83"/>
    <w:rsid w:val="00F72582"/>
    <w:rsid w:val="00F725C2"/>
    <w:rsid w:val="00F728F1"/>
    <w:rsid w:val="00F72A1D"/>
    <w:rsid w:val="00F72BA7"/>
    <w:rsid w:val="00F72BAE"/>
    <w:rsid w:val="00F72C24"/>
    <w:rsid w:val="00F72E29"/>
    <w:rsid w:val="00F72E3F"/>
    <w:rsid w:val="00F73211"/>
    <w:rsid w:val="00F7387B"/>
    <w:rsid w:val="00F738B4"/>
    <w:rsid w:val="00F73970"/>
    <w:rsid w:val="00F739C7"/>
    <w:rsid w:val="00F73AFD"/>
    <w:rsid w:val="00F73B39"/>
    <w:rsid w:val="00F73D07"/>
    <w:rsid w:val="00F73F9F"/>
    <w:rsid w:val="00F73FE7"/>
    <w:rsid w:val="00F74160"/>
    <w:rsid w:val="00F7441F"/>
    <w:rsid w:val="00F7472E"/>
    <w:rsid w:val="00F749B9"/>
    <w:rsid w:val="00F74D58"/>
    <w:rsid w:val="00F7514C"/>
    <w:rsid w:val="00F7534A"/>
    <w:rsid w:val="00F7563E"/>
    <w:rsid w:val="00F757DF"/>
    <w:rsid w:val="00F758E1"/>
    <w:rsid w:val="00F75C26"/>
    <w:rsid w:val="00F75D17"/>
    <w:rsid w:val="00F75D8D"/>
    <w:rsid w:val="00F7601B"/>
    <w:rsid w:val="00F76165"/>
    <w:rsid w:val="00F762EF"/>
    <w:rsid w:val="00F76376"/>
    <w:rsid w:val="00F763FC"/>
    <w:rsid w:val="00F764BE"/>
    <w:rsid w:val="00F7661D"/>
    <w:rsid w:val="00F766D3"/>
    <w:rsid w:val="00F76784"/>
    <w:rsid w:val="00F768E1"/>
    <w:rsid w:val="00F76B92"/>
    <w:rsid w:val="00F76D04"/>
    <w:rsid w:val="00F76D0F"/>
    <w:rsid w:val="00F76D7B"/>
    <w:rsid w:val="00F76ED3"/>
    <w:rsid w:val="00F772DD"/>
    <w:rsid w:val="00F77400"/>
    <w:rsid w:val="00F77498"/>
    <w:rsid w:val="00F77682"/>
    <w:rsid w:val="00F776F9"/>
    <w:rsid w:val="00F7788F"/>
    <w:rsid w:val="00F77B3A"/>
    <w:rsid w:val="00F77B5C"/>
    <w:rsid w:val="00F77BE2"/>
    <w:rsid w:val="00F77C0C"/>
    <w:rsid w:val="00F77C73"/>
    <w:rsid w:val="00F77D1A"/>
    <w:rsid w:val="00F77D23"/>
    <w:rsid w:val="00F77DAA"/>
    <w:rsid w:val="00F77EA3"/>
    <w:rsid w:val="00F77EDE"/>
    <w:rsid w:val="00F77F39"/>
    <w:rsid w:val="00F77F86"/>
    <w:rsid w:val="00F7C191"/>
    <w:rsid w:val="00F7CFD9"/>
    <w:rsid w:val="00F801F5"/>
    <w:rsid w:val="00F80339"/>
    <w:rsid w:val="00F8035C"/>
    <w:rsid w:val="00F804FB"/>
    <w:rsid w:val="00F80816"/>
    <w:rsid w:val="00F80A62"/>
    <w:rsid w:val="00F80A98"/>
    <w:rsid w:val="00F80C85"/>
    <w:rsid w:val="00F80D2E"/>
    <w:rsid w:val="00F80D6E"/>
    <w:rsid w:val="00F80E85"/>
    <w:rsid w:val="00F80E90"/>
    <w:rsid w:val="00F80EB6"/>
    <w:rsid w:val="00F80EE6"/>
    <w:rsid w:val="00F8121A"/>
    <w:rsid w:val="00F8133D"/>
    <w:rsid w:val="00F8152C"/>
    <w:rsid w:val="00F816BE"/>
    <w:rsid w:val="00F8181C"/>
    <w:rsid w:val="00F8182B"/>
    <w:rsid w:val="00F81914"/>
    <w:rsid w:val="00F81A44"/>
    <w:rsid w:val="00F81D29"/>
    <w:rsid w:val="00F81D81"/>
    <w:rsid w:val="00F81DA5"/>
    <w:rsid w:val="00F81E56"/>
    <w:rsid w:val="00F826DD"/>
    <w:rsid w:val="00F826FF"/>
    <w:rsid w:val="00F8270E"/>
    <w:rsid w:val="00F82791"/>
    <w:rsid w:val="00F8291D"/>
    <w:rsid w:val="00F82BA9"/>
    <w:rsid w:val="00F82C7C"/>
    <w:rsid w:val="00F82D97"/>
    <w:rsid w:val="00F82DBF"/>
    <w:rsid w:val="00F82DC1"/>
    <w:rsid w:val="00F82F1D"/>
    <w:rsid w:val="00F82FE8"/>
    <w:rsid w:val="00F83445"/>
    <w:rsid w:val="00F835AD"/>
    <w:rsid w:val="00F835C7"/>
    <w:rsid w:val="00F836AE"/>
    <w:rsid w:val="00F8378D"/>
    <w:rsid w:val="00F838E2"/>
    <w:rsid w:val="00F838E7"/>
    <w:rsid w:val="00F83BA0"/>
    <w:rsid w:val="00F83BCD"/>
    <w:rsid w:val="00F83CAF"/>
    <w:rsid w:val="00F83D11"/>
    <w:rsid w:val="00F83E26"/>
    <w:rsid w:val="00F83FC5"/>
    <w:rsid w:val="00F8417E"/>
    <w:rsid w:val="00F842D5"/>
    <w:rsid w:val="00F84410"/>
    <w:rsid w:val="00F844A2"/>
    <w:rsid w:val="00F846B2"/>
    <w:rsid w:val="00F84743"/>
    <w:rsid w:val="00F8489F"/>
    <w:rsid w:val="00F848E1"/>
    <w:rsid w:val="00F84988"/>
    <w:rsid w:val="00F849CC"/>
    <w:rsid w:val="00F84CB1"/>
    <w:rsid w:val="00F85107"/>
    <w:rsid w:val="00F8514F"/>
    <w:rsid w:val="00F852AA"/>
    <w:rsid w:val="00F854A4"/>
    <w:rsid w:val="00F854B0"/>
    <w:rsid w:val="00F854F1"/>
    <w:rsid w:val="00F85693"/>
    <w:rsid w:val="00F857C0"/>
    <w:rsid w:val="00F85A28"/>
    <w:rsid w:val="00F85C0E"/>
    <w:rsid w:val="00F85C31"/>
    <w:rsid w:val="00F85D99"/>
    <w:rsid w:val="00F85DA4"/>
    <w:rsid w:val="00F85F1C"/>
    <w:rsid w:val="00F85F1F"/>
    <w:rsid w:val="00F86162"/>
    <w:rsid w:val="00F8625D"/>
    <w:rsid w:val="00F86325"/>
    <w:rsid w:val="00F86447"/>
    <w:rsid w:val="00F8645A"/>
    <w:rsid w:val="00F8655C"/>
    <w:rsid w:val="00F86699"/>
    <w:rsid w:val="00F86831"/>
    <w:rsid w:val="00F86897"/>
    <w:rsid w:val="00F86A6C"/>
    <w:rsid w:val="00F86B0A"/>
    <w:rsid w:val="00F86B33"/>
    <w:rsid w:val="00F86C10"/>
    <w:rsid w:val="00F86CAA"/>
    <w:rsid w:val="00F86FAD"/>
    <w:rsid w:val="00F87009"/>
    <w:rsid w:val="00F870AA"/>
    <w:rsid w:val="00F871D6"/>
    <w:rsid w:val="00F8757C"/>
    <w:rsid w:val="00F876F5"/>
    <w:rsid w:val="00F879FF"/>
    <w:rsid w:val="00F87A1F"/>
    <w:rsid w:val="00F87E0F"/>
    <w:rsid w:val="00F87E4B"/>
    <w:rsid w:val="00F87E99"/>
    <w:rsid w:val="00F87F14"/>
    <w:rsid w:val="00F901C5"/>
    <w:rsid w:val="00F904B4"/>
    <w:rsid w:val="00F9061D"/>
    <w:rsid w:val="00F907A7"/>
    <w:rsid w:val="00F90A73"/>
    <w:rsid w:val="00F90B40"/>
    <w:rsid w:val="00F90B81"/>
    <w:rsid w:val="00F90B91"/>
    <w:rsid w:val="00F90C0C"/>
    <w:rsid w:val="00F90D97"/>
    <w:rsid w:val="00F90E4F"/>
    <w:rsid w:val="00F90EE7"/>
    <w:rsid w:val="00F91060"/>
    <w:rsid w:val="00F910E3"/>
    <w:rsid w:val="00F912EF"/>
    <w:rsid w:val="00F913CB"/>
    <w:rsid w:val="00F913E1"/>
    <w:rsid w:val="00F91461"/>
    <w:rsid w:val="00F91528"/>
    <w:rsid w:val="00F91665"/>
    <w:rsid w:val="00F91709"/>
    <w:rsid w:val="00F918DC"/>
    <w:rsid w:val="00F9198C"/>
    <w:rsid w:val="00F91B76"/>
    <w:rsid w:val="00F91D53"/>
    <w:rsid w:val="00F91FC3"/>
    <w:rsid w:val="00F92417"/>
    <w:rsid w:val="00F92BB0"/>
    <w:rsid w:val="00F92BEA"/>
    <w:rsid w:val="00F92C01"/>
    <w:rsid w:val="00F92C8B"/>
    <w:rsid w:val="00F92CA8"/>
    <w:rsid w:val="00F92EA3"/>
    <w:rsid w:val="00F92F30"/>
    <w:rsid w:val="00F92F6B"/>
    <w:rsid w:val="00F93180"/>
    <w:rsid w:val="00F931D2"/>
    <w:rsid w:val="00F93431"/>
    <w:rsid w:val="00F934D5"/>
    <w:rsid w:val="00F934DE"/>
    <w:rsid w:val="00F9352A"/>
    <w:rsid w:val="00F93767"/>
    <w:rsid w:val="00F93B90"/>
    <w:rsid w:val="00F93C31"/>
    <w:rsid w:val="00F94207"/>
    <w:rsid w:val="00F942EE"/>
    <w:rsid w:val="00F94347"/>
    <w:rsid w:val="00F94398"/>
    <w:rsid w:val="00F9444C"/>
    <w:rsid w:val="00F94457"/>
    <w:rsid w:val="00F944C6"/>
    <w:rsid w:val="00F94535"/>
    <w:rsid w:val="00F9455E"/>
    <w:rsid w:val="00F9471E"/>
    <w:rsid w:val="00F94895"/>
    <w:rsid w:val="00F949B8"/>
    <w:rsid w:val="00F94AB3"/>
    <w:rsid w:val="00F94AF6"/>
    <w:rsid w:val="00F94BD9"/>
    <w:rsid w:val="00F94BEF"/>
    <w:rsid w:val="00F94C48"/>
    <w:rsid w:val="00F94EE1"/>
    <w:rsid w:val="00F9503A"/>
    <w:rsid w:val="00F954B8"/>
    <w:rsid w:val="00F9575E"/>
    <w:rsid w:val="00F957C3"/>
    <w:rsid w:val="00F959F9"/>
    <w:rsid w:val="00F95B3C"/>
    <w:rsid w:val="00F95B71"/>
    <w:rsid w:val="00F95D65"/>
    <w:rsid w:val="00F95D6F"/>
    <w:rsid w:val="00F95D9E"/>
    <w:rsid w:val="00F95DE3"/>
    <w:rsid w:val="00F95E21"/>
    <w:rsid w:val="00F95E92"/>
    <w:rsid w:val="00F96118"/>
    <w:rsid w:val="00F96484"/>
    <w:rsid w:val="00F96669"/>
    <w:rsid w:val="00F966FB"/>
    <w:rsid w:val="00F96834"/>
    <w:rsid w:val="00F96D41"/>
    <w:rsid w:val="00F97497"/>
    <w:rsid w:val="00F975C3"/>
    <w:rsid w:val="00F976DC"/>
    <w:rsid w:val="00F97842"/>
    <w:rsid w:val="00F97B3F"/>
    <w:rsid w:val="00F97D31"/>
    <w:rsid w:val="00F97D80"/>
    <w:rsid w:val="00F97EA0"/>
    <w:rsid w:val="00FA00B5"/>
    <w:rsid w:val="00FA0719"/>
    <w:rsid w:val="00FA0C40"/>
    <w:rsid w:val="00FA0D8C"/>
    <w:rsid w:val="00FA0E5A"/>
    <w:rsid w:val="00FA0F40"/>
    <w:rsid w:val="00FA1535"/>
    <w:rsid w:val="00FA1580"/>
    <w:rsid w:val="00FA192D"/>
    <w:rsid w:val="00FA1AA4"/>
    <w:rsid w:val="00FA1D3B"/>
    <w:rsid w:val="00FA1FA3"/>
    <w:rsid w:val="00FA1FDD"/>
    <w:rsid w:val="00FA2448"/>
    <w:rsid w:val="00FA25DC"/>
    <w:rsid w:val="00FA26A4"/>
    <w:rsid w:val="00FA26DB"/>
    <w:rsid w:val="00FA2706"/>
    <w:rsid w:val="00FA2768"/>
    <w:rsid w:val="00FA280B"/>
    <w:rsid w:val="00FA28C7"/>
    <w:rsid w:val="00FA2ABF"/>
    <w:rsid w:val="00FA2B26"/>
    <w:rsid w:val="00FA2B3D"/>
    <w:rsid w:val="00FA2C20"/>
    <w:rsid w:val="00FA3018"/>
    <w:rsid w:val="00FA3075"/>
    <w:rsid w:val="00FA310A"/>
    <w:rsid w:val="00FA3476"/>
    <w:rsid w:val="00FA34B4"/>
    <w:rsid w:val="00FA34CA"/>
    <w:rsid w:val="00FA375B"/>
    <w:rsid w:val="00FA37EC"/>
    <w:rsid w:val="00FA388E"/>
    <w:rsid w:val="00FA391A"/>
    <w:rsid w:val="00FA3AF5"/>
    <w:rsid w:val="00FA3CFD"/>
    <w:rsid w:val="00FA4252"/>
    <w:rsid w:val="00FA43CB"/>
    <w:rsid w:val="00FA454F"/>
    <w:rsid w:val="00FA45E6"/>
    <w:rsid w:val="00FA47FD"/>
    <w:rsid w:val="00FA4A21"/>
    <w:rsid w:val="00FA4AF7"/>
    <w:rsid w:val="00FA4B8D"/>
    <w:rsid w:val="00FA4BC2"/>
    <w:rsid w:val="00FA4BF7"/>
    <w:rsid w:val="00FA4C0A"/>
    <w:rsid w:val="00FA4CA2"/>
    <w:rsid w:val="00FA508C"/>
    <w:rsid w:val="00FA50A6"/>
    <w:rsid w:val="00FA51EA"/>
    <w:rsid w:val="00FA5239"/>
    <w:rsid w:val="00FA569B"/>
    <w:rsid w:val="00FA5753"/>
    <w:rsid w:val="00FA591F"/>
    <w:rsid w:val="00FA5BF4"/>
    <w:rsid w:val="00FA5CBE"/>
    <w:rsid w:val="00FA6070"/>
    <w:rsid w:val="00FA62C6"/>
    <w:rsid w:val="00FA6368"/>
    <w:rsid w:val="00FA666D"/>
    <w:rsid w:val="00FA66CD"/>
    <w:rsid w:val="00FA66FF"/>
    <w:rsid w:val="00FA67D8"/>
    <w:rsid w:val="00FA6891"/>
    <w:rsid w:val="00FA690E"/>
    <w:rsid w:val="00FA69FD"/>
    <w:rsid w:val="00FA6ABF"/>
    <w:rsid w:val="00FA6B59"/>
    <w:rsid w:val="00FA6CBF"/>
    <w:rsid w:val="00FA6D0E"/>
    <w:rsid w:val="00FA6F7E"/>
    <w:rsid w:val="00FA70A9"/>
    <w:rsid w:val="00FA7288"/>
    <w:rsid w:val="00FA729A"/>
    <w:rsid w:val="00FA7485"/>
    <w:rsid w:val="00FA75AC"/>
    <w:rsid w:val="00FA75D1"/>
    <w:rsid w:val="00FA77F7"/>
    <w:rsid w:val="00FA785D"/>
    <w:rsid w:val="00FA7929"/>
    <w:rsid w:val="00FA7A2C"/>
    <w:rsid w:val="00FA7B17"/>
    <w:rsid w:val="00FA7C4C"/>
    <w:rsid w:val="00FB0256"/>
    <w:rsid w:val="00FB02E5"/>
    <w:rsid w:val="00FB03C4"/>
    <w:rsid w:val="00FB03F5"/>
    <w:rsid w:val="00FB053F"/>
    <w:rsid w:val="00FB0608"/>
    <w:rsid w:val="00FB0633"/>
    <w:rsid w:val="00FB076B"/>
    <w:rsid w:val="00FB07F2"/>
    <w:rsid w:val="00FB109B"/>
    <w:rsid w:val="00FB1232"/>
    <w:rsid w:val="00FB1752"/>
    <w:rsid w:val="00FB191C"/>
    <w:rsid w:val="00FB1CF1"/>
    <w:rsid w:val="00FB1E68"/>
    <w:rsid w:val="00FB1EB7"/>
    <w:rsid w:val="00FB20F0"/>
    <w:rsid w:val="00FB2185"/>
    <w:rsid w:val="00FB250D"/>
    <w:rsid w:val="00FB2681"/>
    <w:rsid w:val="00FB2726"/>
    <w:rsid w:val="00FB278D"/>
    <w:rsid w:val="00FB2C68"/>
    <w:rsid w:val="00FB2F7E"/>
    <w:rsid w:val="00FB306A"/>
    <w:rsid w:val="00FB3114"/>
    <w:rsid w:val="00FB333D"/>
    <w:rsid w:val="00FB3438"/>
    <w:rsid w:val="00FB3702"/>
    <w:rsid w:val="00FB3826"/>
    <w:rsid w:val="00FB3896"/>
    <w:rsid w:val="00FB38F9"/>
    <w:rsid w:val="00FB3CA6"/>
    <w:rsid w:val="00FB3CB4"/>
    <w:rsid w:val="00FB3D29"/>
    <w:rsid w:val="00FB3D83"/>
    <w:rsid w:val="00FB3DE0"/>
    <w:rsid w:val="00FB3DE4"/>
    <w:rsid w:val="00FB3E0D"/>
    <w:rsid w:val="00FB3FA1"/>
    <w:rsid w:val="00FB4258"/>
    <w:rsid w:val="00FB42CC"/>
    <w:rsid w:val="00FB4538"/>
    <w:rsid w:val="00FB4B14"/>
    <w:rsid w:val="00FB4B17"/>
    <w:rsid w:val="00FB4B6F"/>
    <w:rsid w:val="00FB4F60"/>
    <w:rsid w:val="00FB4FCF"/>
    <w:rsid w:val="00FB5122"/>
    <w:rsid w:val="00FB5154"/>
    <w:rsid w:val="00FB520C"/>
    <w:rsid w:val="00FB5280"/>
    <w:rsid w:val="00FB528E"/>
    <w:rsid w:val="00FB5B17"/>
    <w:rsid w:val="00FB5C20"/>
    <w:rsid w:val="00FB60BC"/>
    <w:rsid w:val="00FB6118"/>
    <w:rsid w:val="00FB65C3"/>
    <w:rsid w:val="00FB6974"/>
    <w:rsid w:val="00FB6B14"/>
    <w:rsid w:val="00FB6B52"/>
    <w:rsid w:val="00FB6FD8"/>
    <w:rsid w:val="00FB74BF"/>
    <w:rsid w:val="00FB79F5"/>
    <w:rsid w:val="00FB7D94"/>
    <w:rsid w:val="00FB7F40"/>
    <w:rsid w:val="00FB7FA5"/>
    <w:rsid w:val="00FC0243"/>
    <w:rsid w:val="00FC032D"/>
    <w:rsid w:val="00FC0532"/>
    <w:rsid w:val="00FC0684"/>
    <w:rsid w:val="00FC0798"/>
    <w:rsid w:val="00FC0AF4"/>
    <w:rsid w:val="00FC0BBB"/>
    <w:rsid w:val="00FC0BE8"/>
    <w:rsid w:val="00FC12F7"/>
    <w:rsid w:val="00FC1688"/>
    <w:rsid w:val="00FC1704"/>
    <w:rsid w:val="00FC19B6"/>
    <w:rsid w:val="00FC1AE3"/>
    <w:rsid w:val="00FC1B5F"/>
    <w:rsid w:val="00FC1C11"/>
    <w:rsid w:val="00FC1C24"/>
    <w:rsid w:val="00FC1C64"/>
    <w:rsid w:val="00FC1C88"/>
    <w:rsid w:val="00FC1E27"/>
    <w:rsid w:val="00FC1FFA"/>
    <w:rsid w:val="00FC2491"/>
    <w:rsid w:val="00FC2841"/>
    <w:rsid w:val="00FC2A69"/>
    <w:rsid w:val="00FC2BE7"/>
    <w:rsid w:val="00FC2C92"/>
    <w:rsid w:val="00FC2E2B"/>
    <w:rsid w:val="00FC2F50"/>
    <w:rsid w:val="00FC2FCE"/>
    <w:rsid w:val="00FC3007"/>
    <w:rsid w:val="00FC3072"/>
    <w:rsid w:val="00FC30A0"/>
    <w:rsid w:val="00FC3473"/>
    <w:rsid w:val="00FC3812"/>
    <w:rsid w:val="00FC38AD"/>
    <w:rsid w:val="00FC38CA"/>
    <w:rsid w:val="00FC39C5"/>
    <w:rsid w:val="00FC3B26"/>
    <w:rsid w:val="00FC3B80"/>
    <w:rsid w:val="00FC3B96"/>
    <w:rsid w:val="00FC3E0B"/>
    <w:rsid w:val="00FC4185"/>
    <w:rsid w:val="00FC422B"/>
    <w:rsid w:val="00FC4273"/>
    <w:rsid w:val="00FC432A"/>
    <w:rsid w:val="00FC43BD"/>
    <w:rsid w:val="00FC4544"/>
    <w:rsid w:val="00FC462B"/>
    <w:rsid w:val="00FC47F8"/>
    <w:rsid w:val="00FC480D"/>
    <w:rsid w:val="00FC4A0A"/>
    <w:rsid w:val="00FC4C07"/>
    <w:rsid w:val="00FC4C50"/>
    <w:rsid w:val="00FC4DE9"/>
    <w:rsid w:val="00FC4EA9"/>
    <w:rsid w:val="00FC4FBF"/>
    <w:rsid w:val="00FC4FCD"/>
    <w:rsid w:val="00FC5291"/>
    <w:rsid w:val="00FC5567"/>
    <w:rsid w:val="00FC557E"/>
    <w:rsid w:val="00FC55AE"/>
    <w:rsid w:val="00FC565B"/>
    <w:rsid w:val="00FC56D0"/>
    <w:rsid w:val="00FC59B1"/>
    <w:rsid w:val="00FC5B71"/>
    <w:rsid w:val="00FC6053"/>
    <w:rsid w:val="00FC60FA"/>
    <w:rsid w:val="00FC6141"/>
    <w:rsid w:val="00FC6338"/>
    <w:rsid w:val="00FC647A"/>
    <w:rsid w:val="00FC65C0"/>
    <w:rsid w:val="00FC65DB"/>
    <w:rsid w:val="00FC6610"/>
    <w:rsid w:val="00FC6A7B"/>
    <w:rsid w:val="00FC6D12"/>
    <w:rsid w:val="00FC6EA9"/>
    <w:rsid w:val="00FC6EAD"/>
    <w:rsid w:val="00FC6EF8"/>
    <w:rsid w:val="00FC6F00"/>
    <w:rsid w:val="00FC6F91"/>
    <w:rsid w:val="00FC6FCB"/>
    <w:rsid w:val="00FC7224"/>
    <w:rsid w:val="00FC773D"/>
    <w:rsid w:val="00FC78EA"/>
    <w:rsid w:val="00FC7C37"/>
    <w:rsid w:val="00FC7DE4"/>
    <w:rsid w:val="00FC7ED5"/>
    <w:rsid w:val="00FD02EF"/>
    <w:rsid w:val="00FD0401"/>
    <w:rsid w:val="00FD04C4"/>
    <w:rsid w:val="00FD067D"/>
    <w:rsid w:val="00FD0990"/>
    <w:rsid w:val="00FD0C75"/>
    <w:rsid w:val="00FD0D32"/>
    <w:rsid w:val="00FD0D8C"/>
    <w:rsid w:val="00FD0E15"/>
    <w:rsid w:val="00FD106B"/>
    <w:rsid w:val="00FD112A"/>
    <w:rsid w:val="00FD113B"/>
    <w:rsid w:val="00FD124E"/>
    <w:rsid w:val="00FD14BF"/>
    <w:rsid w:val="00FD16AA"/>
    <w:rsid w:val="00FD175D"/>
    <w:rsid w:val="00FD179A"/>
    <w:rsid w:val="00FD1C1A"/>
    <w:rsid w:val="00FD21B6"/>
    <w:rsid w:val="00FD22F3"/>
    <w:rsid w:val="00FD2550"/>
    <w:rsid w:val="00FD28A5"/>
    <w:rsid w:val="00FD297C"/>
    <w:rsid w:val="00FD2A28"/>
    <w:rsid w:val="00FD2C1C"/>
    <w:rsid w:val="00FD2DA5"/>
    <w:rsid w:val="00FD2F04"/>
    <w:rsid w:val="00FD31BE"/>
    <w:rsid w:val="00FD31F3"/>
    <w:rsid w:val="00FD33BE"/>
    <w:rsid w:val="00FD3759"/>
    <w:rsid w:val="00FD3D20"/>
    <w:rsid w:val="00FD3FCC"/>
    <w:rsid w:val="00FD4433"/>
    <w:rsid w:val="00FD47FE"/>
    <w:rsid w:val="00FD485A"/>
    <w:rsid w:val="00FD4ADC"/>
    <w:rsid w:val="00FD4EDD"/>
    <w:rsid w:val="00FD52FF"/>
    <w:rsid w:val="00FD54F8"/>
    <w:rsid w:val="00FD5802"/>
    <w:rsid w:val="00FD5D6B"/>
    <w:rsid w:val="00FD6036"/>
    <w:rsid w:val="00FD61B6"/>
    <w:rsid w:val="00FD61FD"/>
    <w:rsid w:val="00FD6202"/>
    <w:rsid w:val="00FD657C"/>
    <w:rsid w:val="00FD66E9"/>
    <w:rsid w:val="00FD6740"/>
    <w:rsid w:val="00FD69BF"/>
    <w:rsid w:val="00FD6DA7"/>
    <w:rsid w:val="00FD6EDE"/>
    <w:rsid w:val="00FD6F9C"/>
    <w:rsid w:val="00FD7029"/>
    <w:rsid w:val="00FD7041"/>
    <w:rsid w:val="00FD7110"/>
    <w:rsid w:val="00FD721C"/>
    <w:rsid w:val="00FD7289"/>
    <w:rsid w:val="00FD729F"/>
    <w:rsid w:val="00FD72E1"/>
    <w:rsid w:val="00FD751B"/>
    <w:rsid w:val="00FD759A"/>
    <w:rsid w:val="00FD764A"/>
    <w:rsid w:val="00FD7806"/>
    <w:rsid w:val="00FD7AC4"/>
    <w:rsid w:val="00FD7E23"/>
    <w:rsid w:val="00FD7E3F"/>
    <w:rsid w:val="00FD7F73"/>
    <w:rsid w:val="00FD7FF5"/>
    <w:rsid w:val="00FDF53B"/>
    <w:rsid w:val="00FE00DB"/>
    <w:rsid w:val="00FE0328"/>
    <w:rsid w:val="00FE0566"/>
    <w:rsid w:val="00FE059C"/>
    <w:rsid w:val="00FE064A"/>
    <w:rsid w:val="00FE0D11"/>
    <w:rsid w:val="00FE0D65"/>
    <w:rsid w:val="00FE0D7B"/>
    <w:rsid w:val="00FE0DC4"/>
    <w:rsid w:val="00FE0F12"/>
    <w:rsid w:val="00FE11F1"/>
    <w:rsid w:val="00FE15E7"/>
    <w:rsid w:val="00FE15F7"/>
    <w:rsid w:val="00FE19A6"/>
    <w:rsid w:val="00FE1C3A"/>
    <w:rsid w:val="00FE1CBD"/>
    <w:rsid w:val="00FE1CD5"/>
    <w:rsid w:val="00FE1D40"/>
    <w:rsid w:val="00FE1DC8"/>
    <w:rsid w:val="00FE1FA0"/>
    <w:rsid w:val="00FE2106"/>
    <w:rsid w:val="00FE243C"/>
    <w:rsid w:val="00FE24ED"/>
    <w:rsid w:val="00FE26A4"/>
    <w:rsid w:val="00FE27E1"/>
    <w:rsid w:val="00FE2D90"/>
    <w:rsid w:val="00FE2E55"/>
    <w:rsid w:val="00FE2E72"/>
    <w:rsid w:val="00FE2ED7"/>
    <w:rsid w:val="00FE2FEA"/>
    <w:rsid w:val="00FE324A"/>
    <w:rsid w:val="00FE334F"/>
    <w:rsid w:val="00FE348D"/>
    <w:rsid w:val="00FE3521"/>
    <w:rsid w:val="00FE3A04"/>
    <w:rsid w:val="00FE3B5A"/>
    <w:rsid w:val="00FE3D61"/>
    <w:rsid w:val="00FE405C"/>
    <w:rsid w:val="00FE40B7"/>
    <w:rsid w:val="00FE4217"/>
    <w:rsid w:val="00FE45A4"/>
    <w:rsid w:val="00FE4614"/>
    <w:rsid w:val="00FE46AE"/>
    <w:rsid w:val="00FE46E6"/>
    <w:rsid w:val="00FE4B83"/>
    <w:rsid w:val="00FE4C2A"/>
    <w:rsid w:val="00FE4EA5"/>
    <w:rsid w:val="00FE5117"/>
    <w:rsid w:val="00FE55CD"/>
    <w:rsid w:val="00FE569F"/>
    <w:rsid w:val="00FE58D7"/>
    <w:rsid w:val="00FE5B7F"/>
    <w:rsid w:val="00FE5C65"/>
    <w:rsid w:val="00FE5FC1"/>
    <w:rsid w:val="00FE64BB"/>
    <w:rsid w:val="00FE64D4"/>
    <w:rsid w:val="00FE683C"/>
    <w:rsid w:val="00FE6AA5"/>
    <w:rsid w:val="00FE6B67"/>
    <w:rsid w:val="00FE6BD5"/>
    <w:rsid w:val="00FE6C77"/>
    <w:rsid w:val="00FE6E7C"/>
    <w:rsid w:val="00FE72A1"/>
    <w:rsid w:val="00FE7385"/>
    <w:rsid w:val="00FE73F8"/>
    <w:rsid w:val="00FE744D"/>
    <w:rsid w:val="00FE7766"/>
    <w:rsid w:val="00FE77B7"/>
    <w:rsid w:val="00FE77CC"/>
    <w:rsid w:val="00FE7BC0"/>
    <w:rsid w:val="00FE7C7C"/>
    <w:rsid w:val="00FE7DFB"/>
    <w:rsid w:val="00FE7F5A"/>
    <w:rsid w:val="00FE7FF0"/>
    <w:rsid w:val="00FF01F9"/>
    <w:rsid w:val="00FF0393"/>
    <w:rsid w:val="00FF0411"/>
    <w:rsid w:val="00FF05E2"/>
    <w:rsid w:val="00FF066E"/>
    <w:rsid w:val="00FF078F"/>
    <w:rsid w:val="00FF08A6"/>
    <w:rsid w:val="00FF08D0"/>
    <w:rsid w:val="00FF092F"/>
    <w:rsid w:val="00FF0B41"/>
    <w:rsid w:val="00FF0CDA"/>
    <w:rsid w:val="00FF1769"/>
    <w:rsid w:val="00FF197D"/>
    <w:rsid w:val="00FF19EC"/>
    <w:rsid w:val="00FF1C80"/>
    <w:rsid w:val="00FF1CB0"/>
    <w:rsid w:val="00FF1D39"/>
    <w:rsid w:val="00FF1FA6"/>
    <w:rsid w:val="00FF20D0"/>
    <w:rsid w:val="00FF24B5"/>
    <w:rsid w:val="00FF2640"/>
    <w:rsid w:val="00FF2792"/>
    <w:rsid w:val="00FF2901"/>
    <w:rsid w:val="00FF29F2"/>
    <w:rsid w:val="00FF2B65"/>
    <w:rsid w:val="00FF2DED"/>
    <w:rsid w:val="00FF2EE0"/>
    <w:rsid w:val="00FF2FAB"/>
    <w:rsid w:val="00FF3176"/>
    <w:rsid w:val="00FF3565"/>
    <w:rsid w:val="00FF35B8"/>
    <w:rsid w:val="00FF394A"/>
    <w:rsid w:val="00FF39A6"/>
    <w:rsid w:val="00FF3A5F"/>
    <w:rsid w:val="00FF3AFA"/>
    <w:rsid w:val="00FF42B1"/>
    <w:rsid w:val="00FF4489"/>
    <w:rsid w:val="00FF4539"/>
    <w:rsid w:val="00FF4592"/>
    <w:rsid w:val="00FF485D"/>
    <w:rsid w:val="00FF4939"/>
    <w:rsid w:val="00FF4BD8"/>
    <w:rsid w:val="00FF4CF0"/>
    <w:rsid w:val="00FF4CF5"/>
    <w:rsid w:val="00FF4DAC"/>
    <w:rsid w:val="00FF509B"/>
    <w:rsid w:val="00FF52B6"/>
    <w:rsid w:val="00FF5321"/>
    <w:rsid w:val="00FF54E1"/>
    <w:rsid w:val="00FF5563"/>
    <w:rsid w:val="00FF566A"/>
    <w:rsid w:val="00FF56F4"/>
    <w:rsid w:val="00FF5781"/>
    <w:rsid w:val="00FF581E"/>
    <w:rsid w:val="00FF5895"/>
    <w:rsid w:val="00FF59DA"/>
    <w:rsid w:val="00FF5AC9"/>
    <w:rsid w:val="00FF5BCD"/>
    <w:rsid w:val="00FF5F01"/>
    <w:rsid w:val="00FF5F11"/>
    <w:rsid w:val="00FF60A2"/>
    <w:rsid w:val="00FF6203"/>
    <w:rsid w:val="00FF6499"/>
    <w:rsid w:val="00FF6511"/>
    <w:rsid w:val="00FF6697"/>
    <w:rsid w:val="00FF6AF8"/>
    <w:rsid w:val="00FF6C3C"/>
    <w:rsid w:val="00FF6DC2"/>
    <w:rsid w:val="00FF6E20"/>
    <w:rsid w:val="00FF70B0"/>
    <w:rsid w:val="00FF7184"/>
    <w:rsid w:val="00FF7258"/>
    <w:rsid w:val="00FF72E4"/>
    <w:rsid w:val="00FF73FD"/>
    <w:rsid w:val="00FF74E0"/>
    <w:rsid w:val="00FF7D62"/>
    <w:rsid w:val="00FF7E28"/>
    <w:rsid w:val="01008BD2"/>
    <w:rsid w:val="01028D64"/>
    <w:rsid w:val="0103E994"/>
    <w:rsid w:val="01043B24"/>
    <w:rsid w:val="0105264E"/>
    <w:rsid w:val="01071113"/>
    <w:rsid w:val="010811C8"/>
    <w:rsid w:val="010E98B5"/>
    <w:rsid w:val="010EF7C4"/>
    <w:rsid w:val="010FCBB0"/>
    <w:rsid w:val="01114434"/>
    <w:rsid w:val="0117A155"/>
    <w:rsid w:val="011B8B72"/>
    <w:rsid w:val="0122FAD7"/>
    <w:rsid w:val="0122FEC2"/>
    <w:rsid w:val="012854DC"/>
    <w:rsid w:val="012B6726"/>
    <w:rsid w:val="012BA908"/>
    <w:rsid w:val="012D07E2"/>
    <w:rsid w:val="012E5FCD"/>
    <w:rsid w:val="012F94D2"/>
    <w:rsid w:val="01362FFA"/>
    <w:rsid w:val="013782A3"/>
    <w:rsid w:val="014599CE"/>
    <w:rsid w:val="014D4124"/>
    <w:rsid w:val="014E1C90"/>
    <w:rsid w:val="0153D85C"/>
    <w:rsid w:val="0159AC04"/>
    <w:rsid w:val="015B74BA"/>
    <w:rsid w:val="015E7D99"/>
    <w:rsid w:val="01602B08"/>
    <w:rsid w:val="0162D77F"/>
    <w:rsid w:val="0166F6B3"/>
    <w:rsid w:val="01678AB2"/>
    <w:rsid w:val="017567E5"/>
    <w:rsid w:val="0178FBD1"/>
    <w:rsid w:val="017E8882"/>
    <w:rsid w:val="01815072"/>
    <w:rsid w:val="0181C0AF"/>
    <w:rsid w:val="018313B9"/>
    <w:rsid w:val="018E1227"/>
    <w:rsid w:val="01973BCD"/>
    <w:rsid w:val="019C0550"/>
    <w:rsid w:val="019F8B64"/>
    <w:rsid w:val="01A3046D"/>
    <w:rsid w:val="01A3FBC6"/>
    <w:rsid w:val="01A46A07"/>
    <w:rsid w:val="01A54C87"/>
    <w:rsid w:val="01A7419D"/>
    <w:rsid w:val="01A87788"/>
    <w:rsid w:val="01A8D67C"/>
    <w:rsid w:val="01B46FC9"/>
    <w:rsid w:val="01B52949"/>
    <w:rsid w:val="01B774E7"/>
    <w:rsid w:val="01BA68C2"/>
    <w:rsid w:val="01C032C1"/>
    <w:rsid w:val="01C1EE87"/>
    <w:rsid w:val="01C5BCCD"/>
    <w:rsid w:val="01C8F829"/>
    <w:rsid w:val="01D1AFE2"/>
    <w:rsid w:val="01D7F00E"/>
    <w:rsid w:val="01E02A23"/>
    <w:rsid w:val="01E2B280"/>
    <w:rsid w:val="01E3D5AE"/>
    <w:rsid w:val="01EDF45F"/>
    <w:rsid w:val="01EE6820"/>
    <w:rsid w:val="01F168F7"/>
    <w:rsid w:val="01FF704A"/>
    <w:rsid w:val="02002E32"/>
    <w:rsid w:val="0203F837"/>
    <w:rsid w:val="02065A99"/>
    <w:rsid w:val="020E9D31"/>
    <w:rsid w:val="021061F2"/>
    <w:rsid w:val="02143FE5"/>
    <w:rsid w:val="02155A96"/>
    <w:rsid w:val="021A20FC"/>
    <w:rsid w:val="021A7040"/>
    <w:rsid w:val="021CB605"/>
    <w:rsid w:val="02265C12"/>
    <w:rsid w:val="0228F001"/>
    <w:rsid w:val="022DDFF3"/>
    <w:rsid w:val="0230BAD8"/>
    <w:rsid w:val="023C1A31"/>
    <w:rsid w:val="023C5741"/>
    <w:rsid w:val="0242EEF8"/>
    <w:rsid w:val="02472C7D"/>
    <w:rsid w:val="024757F1"/>
    <w:rsid w:val="024AF9ED"/>
    <w:rsid w:val="024CE9EC"/>
    <w:rsid w:val="024F728B"/>
    <w:rsid w:val="024FB947"/>
    <w:rsid w:val="0252D5B1"/>
    <w:rsid w:val="0254E458"/>
    <w:rsid w:val="025C3F1E"/>
    <w:rsid w:val="0262A9EB"/>
    <w:rsid w:val="02659CC3"/>
    <w:rsid w:val="02775C38"/>
    <w:rsid w:val="028A5F1D"/>
    <w:rsid w:val="028EB325"/>
    <w:rsid w:val="029243A4"/>
    <w:rsid w:val="0293A0C9"/>
    <w:rsid w:val="0295815A"/>
    <w:rsid w:val="02960D18"/>
    <w:rsid w:val="0296A6E0"/>
    <w:rsid w:val="029ED478"/>
    <w:rsid w:val="02AA2CE1"/>
    <w:rsid w:val="02AA47A6"/>
    <w:rsid w:val="02ADDD4F"/>
    <w:rsid w:val="02B74F38"/>
    <w:rsid w:val="02BBCE91"/>
    <w:rsid w:val="02C08C81"/>
    <w:rsid w:val="02C9E8F8"/>
    <w:rsid w:val="02CC1A17"/>
    <w:rsid w:val="02D9BF4C"/>
    <w:rsid w:val="02DBBC1C"/>
    <w:rsid w:val="02E17A68"/>
    <w:rsid w:val="02E2DF0D"/>
    <w:rsid w:val="02E39C09"/>
    <w:rsid w:val="02EBBD33"/>
    <w:rsid w:val="02EC66A0"/>
    <w:rsid w:val="02F44734"/>
    <w:rsid w:val="02F92382"/>
    <w:rsid w:val="02FC1B62"/>
    <w:rsid w:val="02FCC601"/>
    <w:rsid w:val="02FCDD7E"/>
    <w:rsid w:val="02FCF184"/>
    <w:rsid w:val="0304F2CA"/>
    <w:rsid w:val="0308E55E"/>
    <w:rsid w:val="030C749C"/>
    <w:rsid w:val="030E7F23"/>
    <w:rsid w:val="030EB089"/>
    <w:rsid w:val="0310E9A2"/>
    <w:rsid w:val="031315F3"/>
    <w:rsid w:val="03157B18"/>
    <w:rsid w:val="0315FD6C"/>
    <w:rsid w:val="031889B5"/>
    <w:rsid w:val="031949A1"/>
    <w:rsid w:val="03212EBB"/>
    <w:rsid w:val="0322EE03"/>
    <w:rsid w:val="0323A2FE"/>
    <w:rsid w:val="032462CE"/>
    <w:rsid w:val="032891DC"/>
    <w:rsid w:val="033172ED"/>
    <w:rsid w:val="0337099D"/>
    <w:rsid w:val="033F424A"/>
    <w:rsid w:val="0345910C"/>
    <w:rsid w:val="03478F50"/>
    <w:rsid w:val="034913A9"/>
    <w:rsid w:val="03497DC5"/>
    <w:rsid w:val="03512B91"/>
    <w:rsid w:val="0351DEAD"/>
    <w:rsid w:val="0353001F"/>
    <w:rsid w:val="0355BF8F"/>
    <w:rsid w:val="035AA06C"/>
    <w:rsid w:val="0365FE92"/>
    <w:rsid w:val="036618AB"/>
    <w:rsid w:val="036B823A"/>
    <w:rsid w:val="036CA649"/>
    <w:rsid w:val="036E6DD5"/>
    <w:rsid w:val="036EE7E3"/>
    <w:rsid w:val="0371DB7B"/>
    <w:rsid w:val="03734901"/>
    <w:rsid w:val="037CADE3"/>
    <w:rsid w:val="03837014"/>
    <w:rsid w:val="0384347B"/>
    <w:rsid w:val="038B5873"/>
    <w:rsid w:val="0392F27E"/>
    <w:rsid w:val="039507F7"/>
    <w:rsid w:val="0395FD3C"/>
    <w:rsid w:val="03A14094"/>
    <w:rsid w:val="03A204D8"/>
    <w:rsid w:val="03A20D25"/>
    <w:rsid w:val="03A71BDC"/>
    <w:rsid w:val="03A757BD"/>
    <w:rsid w:val="03AB1C10"/>
    <w:rsid w:val="03AE4D49"/>
    <w:rsid w:val="03B4DDD4"/>
    <w:rsid w:val="03B99D8E"/>
    <w:rsid w:val="03BBB946"/>
    <w:rsid w:val="03CBF60E"/>
    <w:rsid w:val="03D1C522"/>
    <w:rsid w:val="03D2E72F"/>
    <w:rsid w:val="03D3475C"/>
    <w:rsid w:val="03D597A1"/>
    <w:rsid w:val="03DEA4EE"/>
    <w:rsid w:val="03E15716"/>
    <w:rsid w:val="03E1817D"/>
    <w:rsid w:val="03E1E9D2"/>
    <w:rsid w:val="03E34D22"/>
    <w:rsid w:val="03E4673D"/>
    <w:rsid w:val="03E6C5DA"/>
    <w:rsid w:val="03E85495"/>
    <w:rsid w:val="03E91934"/>
    <w:rsid w:val="03EB01E3"/>
    <w:rsid w:val="03EC6A80"/>
    <w:rsid w:val="03EE4F2C"/>
    <w:rsid w:val="03FA8298"/>
    <w:rsid w:val="03FD8703"/>
    <w:rsid w:val="040614FD"/>
    <w:rsid w:val="040DA16F"/>
    <w:rsid w:val="040F6E7C"/>
    <w:rsid w:val="041351B7"/>
    <w:rsid w:val="0415B0AD"/>
    <w:rsid w:val="041876B7"/>
    <w:rsid w:val="0418ABA9"/>
    <w:rsid w:val="0418BA0A"/>
    <w:rsid w:val="0419BF18"/>
    <w:rsid w:val="041A715A"/>
    <w:rsid w:val="041C15AC"/>
    <w:rsid w:val="041CDCA8"/>
    <w:rsid w:val="041EA01C"/>
    <w:rsid w:val="04256A53"/>
    <w:rsid w:val="042B7CCB"/>
    <w:rsid w:val="042EA90C"/>
    <w:rsid w:val="04350E35"/>
    <w:rsid w:val="04436B5D"/>
    <w:rsid w:val="0448B901"/>
    <w:rsid w:val="044B43ED"/>
    <w:rsid w:val="044D85D8"/>
    <w:rsid w:val="044EB2F6"/>
    <w:rsid w:val="044F1872"/>
    <w:rsid w:val="0450A5AC"/>
    <w:rsid w:val="0451A4BF"/>
    <w:rsid w:val="0453E14E"/>
    <w:rsid w:val="0454B39E"/>
    <w:rsid w:val="0458222B"/>
    <w:rsid w:val="045C8DD9"/>
    <w:rsid w:val="045D1066"/>
    <w:rsid w:val="046E167B"/>
    <w:rsid w:val="047244D1"/>
    <w:rsid w:val="04739657"/>
    <w:rsid w:val="047838A1"/>
    <w:rsid w:val="047B6030"/>
    <w:rsid w:val="047E0139"/>
    <w:rsid w:val="048054E5"/>
    <w:rsid w:val="04810179"/>
    <w:rsid w:val="04811F67"/>
    <w:rsid w:val="048A665E"/>
    <w:rsid w:val="048C0B5F"/>
    <w:rsid w:val="048DDFEA"/>
    <w:rsid w:val="04901AC5"/>
    <w:rsid w:val="04948486"/>
    <w:rsid w:val="0495FAD1"/>
    <w:rsid w:val="04992723"/>
    <w:rsid w:val="049B364E"/>
    <w:rsid w:val="049BF471"/>
    <w:rsid w:val="049F0770"/>
    <w:rsid w:val="04A02E06"/>
    <w:rsid w:val="04A0A7CA"/>
    <w:rsid w:val="04A4D4C0"/>
    <w:rsid w:val="04A525A4"/>
    <w:rsid w:val="04A85B26"/>
    <w:rsid w:val="04AC609F"/>
    <w:rsid w:val="04ADE87F"/>
    <w:rsid w:val="04BACC73"/>
    <w:rsid w:val="04BBD357"/>
    <w:rsid w:val="04BF4A0F"/>
    <w:rsid w:val="04C15916"/>
    <w:rsid w:val="04C3884E"/>
    <w:rsid w:val="04C3F0A4"/>
    <w:rsid w:val="04C5BE97"/>
    <w:rsid w:val="04C976B0"/>
    <w:rsid w:val="04CB5CC7"/>
    <w:rsid w:val="04CC614B"/>
    <w:rsid w:val="04CD1E21"/>
    <w:rsid w:val="04CE5C5C"/>
    <w:rsid w:val="04D77431"/>
    <w:rsid w:val="04DBCD5A"/>
    <w:rsid w:val="04DD9991"/>
    <w:rsid w:val="04DEB6F7"/>
    <w:rsid w:val="04E0BC1B"/>
    <w:rsid w:val="04E4A9A8"/>
    <w:rsid w:val="04EB266C"/>
    <w:rsid w:val="04ED9494"/>
    <w:rsid w:val="04F2EB69"/>
    <w:rsid w:val="04F51132"/>
    <w:rsid w:val="04F540C1"/>
    <w:rsid w:val="04F70BAD"/>
    <w:rsid w:val="04FC9259"/>
    <w:rsid w:val="050744BC"/>
    <w:rsid w:val="050DA2D5"/>
    <w:rsid w:val="051A3854"/>
    <w:rsid w:val="051CCB1C"/>
    <w:rsid w:val="051DA555"/>
    <w:rsid w:val="052416B8"/>
    <w:rsid w:val="0524E637"/>
    <w:rsid w:val="0526FC35"/>
    <w:rsid w:val="052F5F35"/>
    <w:rsid w:val="053014CD"/>
    <w:rsid w:val="0533574A"/>
    <w:rsid w:val="05382CFD"/>
    <w:rsid w:val="0539529E"/>
    <w:rsid w:val="053F0AAC"/>
    <w:rsid w:val="053F1C43"/>
    <w:rsid w:val="053FE17B"/>
    <w:rsid w:val="054A02B3"/>
    <w:rsid w:val="054F65CE"/>
    <w:rsid w:val="05534B36"/>
    <w:rsid w:val="05535AAA"/>
    <w:rsid w:val="055B302C"/>
    <w:rsid w:val="05642554"/>
    <w:rsid w:val="0564CB7C"/>
    <w:rsid w:val="05653EF7"/>
    <w:rsid w:val="056799E1"/>
    <w:rsid w:val="0568E91C"/>
    <w:rsid w:val="0569594F"/>
    <w:rsid w:val="056C82D2"/>
    <w:rsid w:val="056D0BE3"/>
    <w:rsid w:val="056D25D9"/>
    <w:rsid w:val="056EA844"/>
    <w:rsid w:val="0570CE19"/>
    <w:rsid w:val="05794C4C"/>
    <w:rsid w:val="057A69DE"/>
    <w:rsid w:val="057A7932"/>
    <w:rsid w:val="057AEB2B"/>
    <w:rsid w:val="057C0853"/>
    <w:rsid w:val="057E95A6"/>
    <w:rsid w:val="058021C8"/>
    <w:rsid w:val="058029AF"/>
    <w:rsid w:val="0581B5B9"/>
    <w:rsid w:val="058463D1"/>
    <w:rsid w:val="05880F69"/>
    <w:rsid w:val="0588501E"/>
    <w:rsid w:val="0588F10D"/>
    <w:rsid w:val="0589C83E"/>
    <w:rsid w:val="058F9BBF"/>
    <w:rsid w:val="05904A0E"/>
    <w:rsid w:val="0591442C"/>
    <w:rsid w:val="05982506"/>
    <w:rsid w:val="059ABF8A"/>
    <w:rsid w:val="059CF9FE"/>
    <w:rsid w:val="05A1A9B4"/>
    <w:rsid w:val="05AB55C1"/>
    <w:rsid w:val="05AD26F9"/>
    <w:rsid w:val="05ADBC2A"/>
    <w:rsid w:val="05B0B2F1"/>
    <w:rsid w:val="05BE93D4"/>
    <w:rsid w:val="05BF6229"/>
    <w:rsid w:val="05BFC455"/>
    <w:rsid w:val="05C20DE2"/>
    <w:rsid w:val="05C241ED"/>
    <w:rsid w:val="05C7B8F8"/>
    <w:rsid w:val="05D178DC"/>
    <w:rsid w:val="05D30CA4"/>
    <w:rsid w:val="05DA8A11"/>
    <w:rsid w:val="05E33CA9"/>
    <w:rsid w:val="05E3FC24"/>
    <w:rsid w:val="05E9091E"/>
    <w:rsid w:val="05E9A3F1"/>
    <w:rsid w:val="05E9BCBF"/>
    <w:rsid w:val="05EAD847"/>
    <w:rsid w:val="05EBD79B"/>
    <w:rsid w:val="05F0017D"/>
    <w:rsid w:val="05F08284"/>
    <w:rsid w:val="05F13B67"/>
    <w:rsid w:val="05F158F7"/>
    <w:rsid w:val="05F15EB5"/>
    <w:rsid w:val="05F26184"/>
    <w:rsid w:val="05F27E1C"/>
    <w:rsid w:val="05F2FA68"/>
    <w:rsid w:val="05F62344"/>
    <w:rsid w:val="05F8392F"/>
    <w:rsid w:val="0602037D"/>
    <w:rsid w:val="0605E0DC"/>
    <w:rsid w:val="06091948"/>
    <w:rsid w:val="060971C3"/>
    <w:rsid w:val="0610C851"/>
    <w:rsid w:val="06170CF1"/>
    <w:rsid w:val="061742D2"/>
    <w:rsid w:val="062FFC5F"/>
    <w:rsid w:val="0633295A"/>
    <w:rsid w:val="063429A2"/>
    <w:rsid w:val="06345E24"/>
    <w:rsid w:val="0634D7B6"/>
    <w:rsid w:val="063616CC"/>
    <w:rsid w:val="06368D5D"/>
    <w:rsid w:val="0636DFC3"/>
    <w:rsid w:val="063AA722"/>
    <w:rsid w:val="06431C05"/>
    <w:rsid w:val="0647A1CD"/>
    <w:rsid w:val="064C13D8"/>
    <w:rsid w:val="064EA2B9"/>
    <w:rsid w:val="064FB787"/>
    <w:rsid w:val="0651ECD2"/>
    <w:rsid w:val="0651F3B6"/>
    <w:rsid w:val="06565E36"/>
    <w:rsid w:val="06569DB2"/>
    <w:rsid w:val="06576A36"/>
    <w:rsid w:val="0657D3DC"/>
    <w:rsid w:val="06598483"/>
    <w:rsid w:val="065DEF0A"/>
    <w:rsid w:val="065E3605"/>
    <w:rsid w:val="065EE20E"/>
    <w:rsid w:val="06617692"/>
    <w:rsid w:val="06620D00"/>
    <w:rsid w:val="0662202E"/>
    <w:rsid w:val="0663EF6A"/>
    <w:rsid w:val="066583DA"/>
    <w:rsid w:val="066E88B2"/>
    <w:rsid w:val="06700F35"/>
    <w:rsid w:val="06721401"/>
    <w:rsid w:val="067285B1"/>
    <w:rsid w:val="0672DB55"/>
    <w:rsid w:val="0677C6C2"/>
    <w:rsid w:val="067E9D73"/>
    <w:rsid w:val="06855013"/>
    <w:rsid w:val="0685D692"/>
    <w:rsid w:val="068E0246"/>
    <w:rsid w:val="068F04A9"/>
    <w:rsid w:val="0690E40B"/>
    <w:rsid w:val="0693EB6B"/>
    <w:rsid w:val="06953D03"/>
    <w:rsid w:val="06977648"/>
    <w:rsid w:val="069A2078"/>
    <w:rsid w:val="069B2A6A"/>
    <w:rsid w:val="069CCF23"/>
    <w:rsid w:val="06A0F570"/>
    <w:rsid w:val="06A398A1"/>
    <w:rsid w:val="06A4A66A"/>
    <w:rsid w:val="06A8FBA8"/>
    <w:rsid w:val="06AD9E0E"/>
    <w:rsid w:val="06ADC0CA"/>
    <w:rsid w:val="06B0ECEF"/>
    <w:rsid w:val="06B2FA1D"/>
    <w:rsid w:val="06B6FC99"/>
    <w:rsid w:val="06B7A2A8"/>
    <w:rsid w:val="06B94B2C"/>
    <w:rsid w:val="06BBF64A"/>
    <w:rsid w:val="06BFBCFF"/>
    <w:rsid w:val="06C4F71F"/>
    <w:rsid w:val="06CB076F"/>
    <w:rsid w:val="06CC175F"/>
    <w:rsid w:val="06CE76E6"/>
    <w:rsid w:val="06CE7F62"/>
    <w:rsid w:val="06D01FC5"/>
    <w:rsid w:val="06D7CA33"/>
    <w:rsid w:val="06DD6E2E"/>
    <w:rsid w:val="06E0B48B"/>
    <w:rsid w:val="06E700D5"/>
    <w:rsid w:val="06E73D29"/>
    <w:rsid w:val="06E9154C"/>
    <w:rsid w:val="06EA58D7"/>
    <w:rsid w:val="06F03D29"/>
    <w:rsid w:val="06FC3687"/>
    <w:rsid w:val="070309DE"/>
    <w:rsid w:val="07069922"/>
    <w:rsid w:val="0707B191"/>
    <w:rsid w:val="070ABCCC"/>
    <w:rsid w:val="070D02FD"/>
    <w:rsid w:val="070F80C8"/>
    <w:rsid w:val="0710C3CB"/>
    <w:rsid w:val="0710DD7C"/>
    <w:rsid w:val="071316A7"/>
    <w:rsid w:val="07165B59"/>
    <w:rsid w:val="0716DE0D"/>
    <w:rsid w:val="071B2E95"/>
    <w:rsid w:val="0720E8A7"/>
    <w:rsid w:val="07215FE0"/>
    <w:rsid w:val="07223413"/>
    <w:rsid w:val="072EF154"/>
    <w:rsid w:val="0736508B"/>
    <w:rsid w:val="07385BE5"/>
    <w:rsid w:val="0739FBB0"/>
    <w:rsid w:val="073DBB6D"/>
    <w:rsid w:val="0741984E"/>
    <w:rsid w:val="07439F17"/>
    <w:rsid w:val="07461DD0"/>
    <w:rsid w:val="0746747F"/>
    <w:rsid w:val="074AFF75"/>
    <w:rsid w:val="075868EB"/>
    <w:rsid w:val="075ABF1C"/>
    <w:rsid w:val="075CE2C3"/>
    <w:rsid w:val="076BCA86"/>
    <w:rsid w:val="076E6C35"/>
    <w:rsid w:val="077398F1"/>
    <w:rsid w:val="07762336"/>
    <w:rsid w:val="07778A5F"/>
    <w:rsid w:val="077B01BD"/>
    <w:rsid w:val="077BA669"/>
    <w:rsid w:val="077DA343"/>
    <w:rsid w:val="077FE03E"/>
    <w:rsid w:val="0780A8C5"/>
    <w:rsid w:val="078E5C02"/>
    <w:rsid w:val="0792CA9B"/>
    <w:rsid w:val="07944828"/>
    <w:rsid w:val="0795BEAF"/>
    <w:rsid w:val="07968300"/>
    <w:rsid w:val="0797A559"/>
    <w:rsid w:val="0798B744"/>
    <w:rsid w:val="079D57EC"/>
    <w:rsid w:val="07A4AAFC"/>
    <w:rsid w:val="07AA9F5C"/>
    <w:rsid w:val="07AB6D46"/>
    <w:rsid w:val="07B1BA99"/>
    <w:rsid w:val="07B2064B"/>
    <w:rsid w:val="07B6BB41"/>
    <w:rsid w:val="07B8763F"/>
    <w:rsid w:val="07B9C303"/>
    <w:rsid w:val="07BC40C0"/>
    <w:rsid w:val="07BC7E4F"/>
    <w:rsid w:val="07BD8190"/>
    <w:rsid w:val="07C035D3"/>
    <w:rsid w:val="07C71B24"/>
    <w:rsid w:val="07CBDC57"/>
    <w:rsid w:val="07D7EFD4"/>
    <w:rsid w:val="07D8922F"/>
    <w:rsid w:val="07DD62E2"/>
    <w:rsid w:val="07DDC7EC"/>
    <w:rsid w:val="07E21D78"/>
    <w:rsid w:val="07E396D5"/>
    <w:rsid w:val="07E8FDB2"/>
    <w:rsid w:val="07EDF5DD"/>
    <w:rsid w:val="07F029B5"/>
    <w:rsid w:val="07F2929F"/>
    <w:rsid w:val="07F80697"/>
    <w:rsid w:val="07F8C3E1"/>
    <w:rsid w:val="07FE809B"/>
    <w:rsid w:val="0800339F"/>
    <w:rsid w:val="08039332"/>
    <w:rsid w:val="080A17B7"/>
    <w:rsid w:val="080C23FB"/>
    <w:rsid w:val="080CD735"/>
    <w:rsid w:val="080D1B08"/>
    <w:rsid w:val="080E0D92"/>
    <w:rsid w:val="080FBE48"/>
    <w:rsid w:val="08111ED7"/>
    <w:rsid w:val="0811C6F7"/>
    <w:rsid w:val="0811E666"/>
    <w:rsid w:val="081C587D"/>
    <w:rsid w:val="081F6F4D"/>
    <w:rsid w:val="0822A08F"/>
    <w:rsid w:val="082DD796"/>
    <w:rsid w:val="082DFE5E"/>
    <w:rsid w:val="0830E58A"/>
    <w:rsid w:val="0836AAA6"/>
    <w:rsid w:val="08387FE5"/>
    <w:rsid w:val="083B2688"/>
    <w:rsid w:val="083DC4B7"/>
    <w:rsid w:val="08412D4C"/>
    <w:rsid w:val="08445D1D"/>
    <w:rsid w:val="0844FDF9"/>
    <w:rsid w:val="0846546A"/>
    <w:rsid w:val="0849179A"/>
    <w:rsid w:val="084AD811"/>
    <w:rsid w:val="084B7CF9"/>
    <w:rsid w:val="084E8576"/>
    <w:rsid w:val="0853687B"/>
    <w:rsid w:val="08551C2C"/>
    <w:rsid w:val="08592B18"/>
    <w:rsid w:val="085CEF63"/>
    <w:rsid w:val="085E62EB"/>
    <w:rsid w:val="0868F92A"/>
    <w:rsid w:val="08720A2D"/>
    <w:rsid w:val="0874D89F"/>
    <w:rsid w:val="087679C7"/>
    <w:rsid w:val="087AA6FC"/>
    <w:rsid w:val="087EA5B6"/>
    <w:rsid w:val="087F7465"/>
    <w:rsid w:val="087FAF3F"/>
    <w:rsid w:val="08827666"/>
    <w:rsid w:val="08882051"/>
    <w:rsid w:val="088B1ADA"/>
    <w:rsid w:val="088B84F3"/>
    <w:rsid w:val="08901381"/>
    <w:rsid w:val="0892C1D0"/>
    <w:rsid w:val="0898FE88"/>
    <w:rsid w:val="089E83D4"/>
    <w:rsid w:val="08A375F8"/>
    <w:rsid w:val="08A881D7"/>
    <w:rsid w:val="08AA05FC"/>
    <w:rsid w:val="08AE53D4"/>
    <w:rsid w:val="08B04A44"/>
    <w:rsid w:val="08B08029"/>
    <w:rsid w:val="08B10B74"/>
    <w:rsid w:val="08B6EDDA"/>
    <w:rsid w:val="08B9D1C3"/>
    <w:rsid w:val="08BA4921"/>
    <w:rsid w:val="08C3723A"/>
    <w:rsid w:val="08C3BCB0"/>
    <w:rsid w:val="08CB4E6D"/>
    <w:rsid w:val="08D191D1"/>
    <w:rsid w:val="08D853C6"/>
    <w:rsid w:val="08D9AD8C"/>
    <w:rsid w:val="08DD0A8E"/>
    <w:rsid w:val="08DF338F"/>
    <w:rsid w:val="08E8762B"/>
    <w:rsid w:val="08ED8F77"/>
    <w:rsid w:val="08F0E621"/>
    <w:rsid w:val="08F14767"/>
    <w:rsid w:val="08F4E49B"/>
    <w:rsid w:val="08F5A2DB"/>
    <w:rsid w:val="08F7FB0D"/>
    <w:rsid w:val="08FDB869"/>
    <w:rsid w:val="08FFFC20"/>
    <w:rsid w:val="09010CFE"/>
    <w:rsid w:val="0903EA46"/>
    <w:rsid w:val="09071F65"/>
    <w:rsid w:val="09098F5A"/>
    <w:rsid w:val="090C734F"/>
    <w:rsid w:val="090D5E9E"/>
    <w:rsid w:val="0910D062"/>
    <w:rsid w:val="0911ACAA"/>
    <w:rsid w:val="0911BCBF"/>
    <w:rsid w:val="091D597D"/>
    <w:rsid w:val="091F39AF"/>
    <w:rsid w:val="092829C4"/>
    <w:rsid w:val="0928613C"/>
    <w:rsid w:val="09299C5B"/>
    <w:rsid w:val="092F18C6"/>
    <w:rsid w:val="09300008"/>
    <w:rsid w:val="09314252"/>
    <w:rsid w:val="09314DA3"/>
    <w:rsid w:val="09316EDE"/>
    <w:rsid w:val="0933199C"/>
    <w:rsid w:val="09348EF3"/>
    <w:rsid w:val="0934E606"/>
    <w:rsid w:val="093BE2B5"/>
    <w:rsid w:val="0943C72B"/>
    <w:rsid w:val="09445874"/>
    <w:rsid w:val="0946403E"/>
    <w:rsid w:val="094C2E30"/>
    <w:rsid w:val="09517B0E"/>
    <w:rsid w:val="095356B8"/>
    <w:rsid w:val="0959AC20"/>
    <w:rsid w:val="095AA8B2"/>
    <w:rsid w:val="095C9E4E"/>
    <w:rsid w:val="095D4E8E"/>
    <w:rsid w:val="0960409E"/>
    <w:rsid w:val="097B7A86"/>
    <w:rsid w:val="097CFB5B"/>
    <w:rsid w:val="097F5D7F"/>
    <w:rsid w:val="098C6786"/>
    <w:rsid w:val="0995AD46"/>
    <w:rsid w:val="099A341C"/>
    <w:rsid w:val="099D963A"/>
    <w:rsid w:val="09A01107"/>
    <w:rsid w:val="09A579C1"/>
    <w:rsid w:val="09A5FC37"/>
    <w:rsid w:val="09AB37C7"/>
    <w:rsid w:val="09ACAC75"/>
    <w:rsid w:val="09ACF278"/>
    <w:rsid w:val="09AD4397"/>
    <w:rsid w:val="09AEB412"/>
    <w:rsid w:val="09B11330"/>
    <w:rsid w:val="09B576F5"/>
    <w:rsid w:val="09B68B75"/>
    <w:rsid w:val="09C0384F"/>
    <w:rsid w:val="09C3ADAE"/>
    <w:rsid w:val="09C4CF09"/>
    <w:rsid w:val="09C53DDC"/>
    <w:rsid w:val="09CBD576"/>
    <w:rsid w:val="09CD51E8"/>
    <w:rsid w:val="09D04D20"/>
    <w:rsid w:val="09D35CAF"/>
    <w:rsid w:val="09D8E045"/>
    <w:rsid w:val="09DBE84D"/>
    <w:rsid w:val="09E299DA"/>
    <w:rsid w:val="09E5336E"/>
    <w:rsid w:val="09F0B198"/>
    <w:rsid w:val="09F2A503"/>
    <w:rsid w:val="09FA1577"/>
    <w:rsid w:val="09FABEA3"/>
    <w:rsid w:val="09FDE2E8"/>
    <w:rsid w:val="09FE81FC"/>
    <w:rsid w:val="0A0AC6F6"/>
    <w:rsid w:val="0A0D48C6"/>
    <w:rsid w:val="0A13F5E2"/>
    <w:rsid w:val="0A19BBD2"/>
    <w:rsid w:val="0A1D119E"/>
    <w:rsid w:val="0A1E96A8"/>
    <w:rsid w:val="0A1FF9D6"/>
    <w:rsid w:val="0A215FD5"/>
    <w:rsid w:val="0A21A32E"/>
    <w:rsid w:val="0A26B3C8"/>
    <w:rsid w:val="0A2896C6"/>
    <w:rsid w:val="0A2D331F"/>
    <w:rsid w:val="0A2E8123"/>
    <w:rsid w:val="0A30B43E"/>
    <w:rsid w:val="0A37B35C"/>
    <w:rsid w:val="0A4835D2"/>
    <w:rsid w:val="0A48FA3D"/>
    <w:rsid w:val="0A4ACFBA"/>
    <w:rsid w:val="0A4DA6D6"/>
    <w:rsid w:val="0A4DC9EA"/>
    <w:rsid w:val="0A54FD81"/>
    <w:rsid w:val="0A5BCE22"/>
    <w:rsid w:val="0A62C905"/>
    <w:rsid w:val="0A635705"/>
    <w:rsid w:val="0A68B11B"/>
    <w:rsid w:val="0A6D8D63"/>
    <w:rsid w:val="0A7404C3"/>
    <w:rsid w:val="0A7DD548"/>
    <w:rsid w:val="0A7F0F14"/>
    <w:rsid w:val="0A818B9D"/>
    <w:rsid w:val="0A819C28"/>
    <w:rsid w:val="0A826373"/>
    <w:rsid w:val="0A837BE8"/>
    <w:rsid w:val="0A87784A"/>
    <w:rsid w:val="0A899445"/>
    <w:rsid w:val="0A8A5DAF"/>
    <w:rsid w:val="0A8ABD09"/>
    <w:rsid w:val="0A8B7F54"/>
    <w:rsid w:val="0A8C6BB8"/>
    <w:rsid w:val="0A8FA4EF"/>
    <w:rsid w:val="0A914E9A"/>
    <w:rsid w:val="0A9185BC"/>
    <w:rsid w:val="0A944D8C"/>
    <w:rsid w:val="0A973453"/>
    <w:rsid w:val="0A9DA2A6"/>
    <w:rsid w:val="0AA73AE4"/>
    <w:rsid w:val="0AA9834B"/>
    <w:rsid w:val="0AAC4D88"/>
    <w:rsid w:val="0AAD7F84"/>
    <w:rsid w:val="0AB8666D"/>
    <w:rsid w:val="0AB8DB25"/>
    <w:rsid w:val="0ABF31DC"/>
    <w:rsid w:val="0AC85EFA"/>
    <w:rsid w:val="0AD25F97"/>
    <w:rsid w:val="0ADC729B"/>
    <w:rsid w:val="0AE12A78"/>
    <w:rsid w:val="0AE27168"/>
    <w:rsid w:val="0AE2D097"/>
    <w:rsid w:val="0AE621AA"/>
    <w:rsid w:val="0AE9A7CC"/>
    <w:rsid w:val="0AECEC97"/>
    <w:rsid w:val="0AF08BEB"/>
    <w:rsid w:val="0AF2FBAF"/>
    <w:rsid w:val="0AF4E79E"/>
    <w:rsid w:val="0AFEF7C4"/>
    <w:rsid w:val="0B001F8B"/>
    <w:rsid w:val="0B056713"/>
    <w:rsid w:val="0B143317"/>
    <w:rsid w:val="0B163831"/>
    <w:rsid w:val="0B16ED8B"/>
    <w:rsid w:val="0B1744D9"/>
    <w:rsid w:val="0B1E9F27"/>
    <w:rsid w:val="0B21D3DE"/>
    <w:rsid w:val="0B28A846"/>
    <w:rsid w:val="0B3232E7"/>
    <w:rsid w:val="0B3284F0"/>
    <w:rsid w:val="0B32CF2A"/>
    <w:rsid w:val="0B3861C0"/>
    <w:rsid w:val="0B39F554"/>
    <w:rsid w:val="0B3D1322"/>
    <w:rsid w:val="0B3E3690"/>
    <w:rsid w:val="0B3FB376"/>
    <w:rsid w:val="0B44D2EE"/>
    <w:rsid w:val="0B44E670"/>
    <w:rsid w:val="0B45362D"/>
    <w:rsid w:val="0B51F199"/>
    <w:rsid w:val="0B54692E"/>
    <w:rsid w:val="0B6D63E9"/>
    <w:rsid w:val="0B6E2E55"/>
    <w:rsid w:val="0B72172B"/>
    <w:rsid w:val="0B723C64"/>
    <w:rsid w:val="0B76A77F"/>
    <w:rsid w:val="0B777857"/>
    <w:rsid w:val="0B795BD5"/>
    <w:rsid w:val="0B799FB1"/>
    <w:rsid w:val="0B812676"/>
    <w:rsid w:val="0B815246"/>
    <w:rsid w:val="0B8216C7"/>
    <w:rsid w:val="0B86DA89"/>
    <w:rsid w:val="0B8A701D"/>
    <w:rsid w:val="0B8C0912"/>
    <w:rsid w:val="0B9108C1"/>
    <w:rsid w:val="0B97DD8D"/>
    <w:rsid w:val="0B9CF6FD"/>
    <w:rsid w:val="0B9FD853"/>
    <w:rsid w:val="0BA11B23"/>
    <w:rsid w:val="0BA1E76B"/>
    <w:rsid w:val="0BA4DBFA"/>
    <w:rsid w:val="0BAD65E1"/>
    <w:rsid w:val="0BAD78F8"/>
    <w:rsid w:val="0BB8B5F8"/>
    <w:rsid w:val="0BC0A667"/>
    <w:rsid w:val="0BC224EF"/>
    <w:rsid w:val="0BC24096"/>
    <w:rsid w:val="0BC37E9C"/>
    <w:rsid w:val="0BC51863"/>
    <w:rsid w:val="0BC63653"/>
    <w:rsid w:val="0BCCB134"/>
    <w:rsid w:val="0BCD5C32"/>
    <w:rsid w:val="0BD23154"/>
    <w:rsid w:val="0BD2B7CC"/>
    <w:rsid w:val="0BD368A9"/>
    <w:rsid w:val="0BD6FCE2"/>
    <w:rsid w:val="0BD91308"/>
    <w:rsid w:val="0BD937B6"/>
    <w:rsid w:val="0BDDE80D"/>
    <w:rsid w:val="0BE6BD5B"/>
    <w:rsid w:val="0BE934EB"/>
    <w:rsid w:val="0BEA4E70"/>
    <w:rsid w:val="0BF10F83"/>
    <w:rsid w:val="0BF17A08"/>
    <w:rsid w:val="0BF52AC0"/>
    <w:rsid w:val="0BF71011"/>
    <w:rsid w:val="0BF96411"/>
    <w:rsid w:val="0BFB24A0"/>
    <w:rsid w:val="0C020AC6"/>
    <w:rsid w:val="0C029937"/>
    <w:rsid w:val="0C032EE4"/>
    <w:rsid w:val="0C056469"/>
    <w:rsid w:val="0C0A6826"/>
    <w:rsid w:val="0C0C9F66"/>
    <w:rsid w:val="0C0CF912"/>
    <w:rsid w:val="0C0FB84F"/>
    <w:rsid w:val="0C165552"/>
    <w:rsid w:val="0C1C3C6C"/>
    <w:rsid w:val="0C1E3BB5"/>
    <w:rsid w:val="0C227F49"/>
    <w:rsid w:val="0C25168D"/>
    <w:rsid w:val="0C29C5AF"/>
    <w:rsid w:val="0C2EF252"/>
    <w:rsid w:val="0C3C5DB1"/>
    <w:rsid w:val="0C4475E9"/>
    <w:rsid w:val="0C49FEDF"/>
    <w:rsid w:val="0C4C1B21"/>
    <w:rsid w:val="0C4F81D6"/>
    <w:rsid w:val="0C52EA43"/>
    <w:rsid w:val="0C562D79"/>
    <w:rsid w:val="0C5CDDB4"/>
    <w:rsid w:val="0C5E04E6"/>
    <w:rsid w:val="0C5EA539"/>
    <w:rsid w:val="0C636DF0"/>
    <w:rsid w:val="0C68A8AC"/>
    <w:rsid w:val="0C6C71C1"/>
    <w:rsid w:val="0C6F6007"/>
    <w:rsid w:val="0C7EFDA4"/>
    <w:rsid w:val="0C81F13B"/>
    <w:rsid w:val="0C8315F2"/>
    <w:rsid w:val="0C83287E"/>
    <w:rsid w:val="0C86EC74"/>
    <w:rsid w:val="0C89FD6F"/>
    <w:rsid w:val="0C8BAA41"/>
    <w:rsid w:val="0C8E3992"/>
    <w:rsid w:val="0C8E4790"/>
    <w:rsid w:val="0C907F6E"/>
    <w:rsid w:val="0C93C7FF"/>
    <w:rsid w:val="0C953C7F"/>
    <w:rsid w:val="0C9C9E3E"/>
    <w:rsid w:val="0C9D41F5"/>
    <w:rsid w:val="0C9E3DCA"/>
    <w:rsid w:val="0C9E6BD2"/>
    <w:rsid w:val="0CA111D8"/>
    <w:rsid w:val="0CA11989"/>
    <w:rsid w:val="0CA91E89"/>
    <w:rsid w:val="0CAC1F69"/>
    <w:rsid w:val="0CB18E1F"/>
    <w:rsid w:val="0CB469FE"/>
    <w:rsid w:val="0CB5489E"/>
    <w:rsid w:val="0CB6D6CF"/>
    <w:rsid w:val="0CB8960A"/>
    <w:rsid w:val="0CBA5B69"/>
    <w:rsid w:val="0CBD3751"/>
    <w:rsid w:val="0CBD9950"/>
    <w:rsid w:val="0CBDAD56"/>
    <w:rsid w:val="0CC2355E"/>
    <w:rsid w:val="0CC83107"/>
    <w:rsid w:val="0CC9AB14"/>
    <w:rsid w:val="0CD147E7"/>
    <w:rsid w:val="0CD19F15"/>
    <w:rsid w:val="0CD68989"/>
    <w:rsid w:val="0CD75457"/>
    <w:rsid w:val="0CD754C3"/>
    <w:rsid w:val="0CD8D471"/>
    <w:rsid w:val="0CD93BFD"/>
    <w:rsid w:val="0CDE5964"/>
    <w:rsid w:val="0CE2ECB0"/>
    <w:rsid w:val="0CE4FC5D"/>
    <w:rsid w:val="0CE5D7FA"/>
    <w:rsid w:val="0CE6FDF1"/>
    <w:rsid w:val="0CED66D3"/>
    <w:rsid w:val="0CF0B7A2"/>
    <w:rsid w:val="0CF477DE"/>
    <w:rsid w:val="0CF72826"/>
    <w:rsid w:val="0D008089"/>
    <w:rsid w:val="0D018992"/>
    <w:rsid w:val="0D01E168"/>
    <w:rsid w:val="0D0627FE"/>
    <w:rsid w:val="0D07612E"/>
    <w:rsid w:val="0D09ECBC"/>
    <w:rsid w:val="0D0AA5A1"/>
    <w:rsid w:val="0D0E7CDF"/>
    <w:rsid w:val="0D1790D0"/>
    <w:rsid w:val="0D1CC433"/>
    <w:rsid w:val="0D1F314C"/>
    <w:rsid w:val="0D2015F0"/>
    <w:rsid w:val="0D213EBE"/>
    <w:rsid w:val="0D23D236"/>
    <w:rsid w:val="0D24B931"/>
    <w:rsid w:val="0D27091F"/>
    <w:rsid w:val="0D2D58D8"/>
    <w:rsid w:val="0D34F609"/>
    <w:rsid w:val="0D36444B"/>
    <w:rsid w:val="0D3988D0"/>
    <w:rsid w:val="0D39C66E"/>
    <w:rsid w:val="0D3BF0A3"/>
    <w:rsid w:val="0D45D940"/>
    <w:rsid w:val="0D4CE30D"/>
    <w:rsid w:val="0D4EB885"/>
    <w:rsid w:val="0D4F7900"/>
    <w:rsid w:val="0D51269E"/>
    <w:rsid w:val="0D5778F2"/>
    <w:rsid w:val="0D589715"/>
    <w:rsid w:val="0D5E1649"/>
    <w:rsid w:val="0D6102F8"/>
    <w:rsid w:val="0D66F539"/>
    <w:rsid w:val="0D6BB0D6"/>
    <w:rsid w:val="0D6BB6DE"/>
    <w:rsid w:val="0D7324A5"/>
    <w:rsid w:val="0D766582"/>
    <w:rsid w:val="0D770E96"/>
    <w:rsid w:val="0D773609"/>
    <w:rsid w:val="0D780C8B"/>
    <w:rsid w:val="0D789A4F"/>
    <w:rsid w:val="0D7AB90F"/>
    <w:rsid w:val="0D7DDE3C"/>
    <w:rsid w:val="0D82D305"/>
    <w:rsid w:val="0D85CBF3"/>
    <w:rsid w:val="0D8B8BA3"/>
    <w:rsid w:val="0D8B9C92"/>
    <w:rsid w:val="0D8F7AC8"/>
    <w:rsid w:val="0D907967"/>
    <w:rsid w:val="0D90D82A"/>
    <w:rsid w:val="0D91F48D"/>
    <w:rsid w:val="0D9312D5"/>
    <w:rsid w:val="0D9567AB"/>
    <w:rsid w:val="0D972387"/>
    <w:rsid w:val="0D9DE8E9"/>
    <w:rsid w:val="0DA48AC6"/>
    <w:rsid w:val="0DAF8C9E"/>
    <w:rsid w:val="0DB05049"/>
    <w:rsid w:val="0DB5936C"/>
    <w:rsid w:val="0DB66B2D"/>
    <w:rsid w:val="0DB956BC"/>
    <w:rsid w:val="0DC8A4B3"/>
    <w:rsid w:val="0DC9DBE6"/>
    <w:rsid w:val="0DCCB81A"/>
    <w:rsid w:val="0DD1DB96"/>
    <w:rsid w:val="0DD5F43A"/>
    <w:rsid w:val="0DD67552"/>
    <w:rsid w:val="0DD7E3A7"/>
    <w:rsid w:val="0DD84734"/>
    <w:rsid w:val="0DDD9452"/>
    <w:rsid w:val="0DDF16BF"/>
    <w:rsid w:val="0DDF74DC"/>
    <w:rsid w:val="0DE2369E"/>
    <w:rsid w:val="0DE8E99E"/>
    <w:rsid w:val="0DEAB75C"/>
    <w:rsid w:val="0DEB0EB1"/>
    <w:rsid w:val="0DECF60D"/>
    <w:rsid w:val="0E00FBA8"/>
    <w:rsid w:val="0E013BEF"/>
    <w:rsid w:val="0E03C046"/>
    <w:rsid w:val="0E06E4BD"/>
    <w:rsid w:val="0E0E3581"/>
    <w:rsid w:val="0E116A2F"/>
    <w:rsid w:val="0E147CD4"/>
    <w:rsid w:val="0E160BCB"/>
    <w:rsid w:val="0E176DDD"/>
    <w:rsid w:val="0E185D67"/>
    <w:rsid w:val="0E1CA1D6"/>
    <w:rsid w:val="0E1EECEB"/>
    <w:rsid w:val="0E1F33CC"/>
    <w:rsid w:val="0E236461"/>
    <w:rsid w:val="0E23B969"/>
    <w:rsid w:val="0E2A778E"/>
    <w:rsid w:val="0E2BFB06"/>
    <w:rsid w:val="0E2F4DA4"/>
    <w:rsid w:val="0E31E2B5"/>
    <w:rsid w:val="0E32B491"/>
    <w:rsid w:val="0E3344C4"/>
    <w:rsid w:val="0E36A7B8"/>
    <w:rsid w:val="0E393058"/>
    <w:rsid w:val="0E3A511A"/>
    <w:rsid w:val="0E3DB216"/>
    <w:rsid w:val="0E409653"/>
    <w:rsid w:val="0E41E5EF"/>
    <w:rsid w:val="0E42A493"/>
    <w:rsid w:val="0E4333B3"/>
    <w:rsid w:val="0E47BF69"/>
    <w:rsid w:val="0E47DD66"/>
    <w:rsid w:val="0E5D8167"/>
    <w:rsid w:val="0E5E7A8A"/>
    <w:rsid w:val="0E6317C4"/>
    <w:rsid w:val="0E637062"/>
    <w:rsid w:val="0E67D364"/>
    <w:rsid w:val="0E69023F"/>
    <w:rsid w:val="0E6B0FD9"/>
    <w:rsid w:val="0E709D50"/>
    <w:rsid w:val="0E716829"/>
    <w:rsid w:val="0E754F8B"/>
    <w:rsid w:val="0E7AFF62"/>
    <w:rsid w:val="0E7E49A0"/>
    <w:rsid w:val="0E7FEDE5"/>
    <w:rsid w:val="0E93BA62"/>
    <w:rsid w:val="0E95CB4F"/>
    <w:rsid w:val="0E978370"/>
    <w:rsid w:val="0E9DF5C3"/>
    <w:rsid w:val="0E9F2629"/>
    <w:rsid w:val="0EA27B45"/>
    <w:rsid w:val="0EA3FC83"/>
    <w:rsid w:val="0EA41194"/>
    <w:rsid w:val="0EAC4073"/>
    <w:rsid w:val="0EAD1FB5"/>
    <w:rsid w:val="0EAE0781"/>
    <w:rsid w:val="0EB0A838"/>
    <w:rsid w:val="0EB23B7E"/>
    <w:rsid w:val="0EB253EB"/>
    <w:rsid w:val="0EBFEB68"/>
    <w:rsid w:val="0EC1AFB9"/>
    <w:rsid w:val="0EC2E0C6"/>
    <w:rsid w:val="0EC3C5B5"/>
    <w:rsid w:val="0EC4F0B4"/>
    <w:rsid w:val="0EC87DED"/>
    <w:rsid w:val="0EC96AA9"/>
    <w:rsid w:val="0ECC1A35"/>
    <w:rsid w:val="0ECF11CD"/>
    <w:rsid w:val="0ED32501"/>
    <w:rsid w:val="0ED5E41D"/>
    <w:rsid w:val="0ED8F465"/>
    <w:rsid w:val="0ED9CE72"/>
    <w:rsid w:val="0EDA127D"/>
    <w:rsid w:val="0EDE2AD4"/>
    <w:rsid w:val="0EE058A8"/>
    <w:rsid w:val="0EE918A1"/>
    <w:rsid w:val="0EE9E88A"/>
    <w:rsid w:val="0EEC3DCD"/>
    <w:rsid w:val="0EF2724F"/>
    <w:rsid w:val="0EF36DB3"/>
    <w:rsid w:val="0EFAFE54"/>
    <w:rsid w:val="0EFDC3E3"/>
    <w:rsid w:val="0EFF9F73"/>
    <w:rsid w:val="0EFFCAD7"/>
    <w:rsid w:val="0F057324"/>
    <w:rsid w:val="0F0C843F"/>
    <w:rsid w:val="0F0CF74E"/>
    <w:rsid w:val="0F15CF1B"/>
    <w:rsid w:val="0F17CE82"/>
    <w:rsid w:val="0F20EB0E"/>
    <w:rsid w:val="0F24459A"/>
    <w:rsid w:val="0F29298A"/>
    <w:rsid w:val="0F2A9B5C"/>
    <w:rsid w:val="0F2B14D1"/>
    <w:rsid w:val="0F2B9645"/>
    <w:rsid w:val="0F357A1F"/>
    <w:rsid w:val="0F3D2E91"/>
    <w:rsid w:val="0F441BCC"/>
    <w:rsid w:val="0F482123"/>
    <w:rsid w:val="0F53ED58"/>
    <w:rsid w:val="0F641BBC"/>
    <w:rsid w:val="0F64C64A"/>
    <w:rsid w:val="0F684DBF"/>
    <w:rsid w:val="0F70969B"/>
    <w:rsid w:val="0F728CA9"/>
    <w:rsid w:val="0F738D0E"/>
    <w:rsid w:val="0F794EB6"/>
    <w:rsid w:val="0F865AB2"/>
    <w:rsid w:val="0F86A272"/>
    <w:rsid w:val="0F88F95B"/>
    <w:rsid w:val="0F8F26B0"/>
    <w:rsid w:val="0F96A92B"/>
    <w:rsid w:val="0F988B02"/>
    <w:rsid w:val="0F9A1934"/>
    <w:rsid w:val="0F9AB467"/>
    <w:rsid w:val="0FA1E274"/>
    <w:rsid w:val="0FA4B894"/>
    <w:rsid w:val="0FAC50B1"/>
    <w:rsid w:val="0FACBA4C"/>
    <w:rsid w:val="0FACCB74"/>
    <w:rsid w:val="0FAF3F4D"/>
    <w:rsid w:val="0FAF4C0E"/>
    <w:rsid w:val="0FB0AEE7"/>
    <w:rsid w:val="0FB6EDCD"/>
    <w:rsid w:val="0FB86700"/>
    <w:rsid w:val="0FBB8550"/>
    <w:rsid w:val="0FBCC202"/>
    <w:rsid w:val="0FBEC30F"/>
    <w:rsid w:val="0FBF16F7"/>
    <w:rsid w:val="0FC5C0D2"/>
    <w:rsid w:val="0FC70292"/>
    <w:rsid w:val="0FC76679"/>
    <w:rsid w:val="0FC8490F"/>
    <w:rsid w:val="0FCB47D1"/>
    <w:rsid w:val="0FCC6ACF"/>
    <w:rsid w:val="0FCE155C"/>
    <w:rsid w:val="0FD938BD"/>
    <w:rsid w:val="0FDBB8EA"/>
    <w:rsid w:val="0FDEC41A"/>
    <w:rsid w:val="0FDFB135"/>
    <w:rsid w:val="0FDFD6B0"/>
    <w:rsid w:val="0FE10076"/>
    <w:rsid w:val="0FE28189"/>
    <w:rsid w:val="0FE360D8"/>
    <w:rsid w:val="0FEDDEFD"/>
    <w:rsid w:val="0FEF268C"/>
    <w:rsid w:val="0FEF9B15"/>
    <w:rsid w:val="0FF0D5C0"/>
    <w:rsid w:val="0FF14421"/>
    <w:rsid w:val="0FF43430"/>
    <w:rsid w:val="0FF90418"/>
    <w:rsid w:val="1001EFF4"/>
    <w:rsid w:val="1007372E"/>
    <w:rsid w:val="1008401B"/>
    <w:rsid w:val="100A46E2"/>
    <w:rsid w:val="100B02F1"/>
    <w:rsid w:val="10100B2A"/>
    <w:rsid w:val="10116499"/>
    <w:rsid w:val="10133718"/>
    <w:rsid w:val="10163991"/>
    <w:rsid w:val="1018B5A7"/>
    <w:rsid w:val="101AA663"/>
    <w:rsid w:val="101C38FD"/>
    <w:rsid w:val="1020709D"/>
    <w:rsid w:val="10245599"/>
    <w:rsid w:val="10256A58"/>
    <w:rsid w:val="10268D2E"/>
    <w:rsid w:val="10285994"/>
    <w:rsid w:val="102D015E"/>
    <w:rsid w:val="1032FDDF"/>
    <w:rsid w:val="103586B9"/>
    <w:rsid w:val="103704F7"/>
    <w:rsid w:val="1046CDA0"/>
    <w:rsid w:val="104888C4"/>
    <w:rsid w:val="1048C677"/>
    <w:rsid w:val="104A21A6"/>
    <w:rsid w:val="1055DBD2"/>
    <w:rsid w:val="1055EE84"/>
    <w:rsid w:val="10567862"/>
    <w:rsid w:val="1056D6DB"/>
    <w:rsid w:val="1056E605"/>
    <w:rsid w:val="1059B4F9"/>
    <w:rsid w:val="105ADC4F"/>
    <w:rsid w:val="105BEE56"/>
    <w:rsid w:val="1062670E"/>
    <w:rsid w:val="106818CF"/>
    <w:rsid w:val="10697E12"/>
    <w:rsid w:val="106AE9C1"/>
    <w:rsid w:val="10718F0E"/>
    <w:rsid w:val="1071E280"/>
    <w:rsid w:val="107223EB"/>
    <w:rsid w:val="1077394A"/>
    <w:rsid w:val="1079E45D"/>
    <w:rsid w:val="108839F0"/>
    <w:rsid w:val="108A06A4"/>
    <w:rsid w:val="108B195E"/>
    <w:rsid w:val="108CF27F"/>
    <w:rsid w:val="108F958F"/>
    <w:rsid w:val="109062BB"/>
    <w:rsid w:val="1094910F"/>
    <w:rsid w:val="109899F0"/>
    <w:rsid w:val="10A3DA4D"/>
    <w:rsid w:val="10B09DCD"/>
    <w:rsid w:val="10B92C62"/>
    <w:rsid w:val="10BDD907"/>
    <w:rsid w:val="10C07FC8"/>
    <w:rsid w:val="10C12ECD"/>
    <w:rsid w:val="10C5A875"/>
    <w:rsid w:val="10D172C4"/>
    <w:rsid w:val="10D18969"/>
    <w:rsid w:val="10D29AE5"/>
    <w:rsid w:val="10D41411"/>
    <w:rsid w:val="10D84B64"/>
    <w:rsid w:val="10D91623"/>
    <w:rsid w:val="10DDF641"/>
    <w:rsid w:val="10E3E744"/>
    <w:rsid w:val="10E9B6B3"/>
    <w:rsid w:val="10ED38DE"/>
    <w:rsid w:val="10ED4F68"/>
    <w:rsid w:val="10F03267"/>
    <w:rsid w:val="10F5CC77"/>
    <w:rsid w:val="10F908A2"/>
    <w:rsid w:val="10FB8EC2"/>
    <w:rsid w:val="10FC14C7"/>
    <w:rsid w:val="11029355"/>
    <w:rsid w:val="11040256"/>
    <w:rsid w:val="11068BC7"/>
    <w:rsid w:val="1106C518"/>
    <w:rsid w:val="110C9A84"/>
    <w:rsid w:val="110D967D"/>
    <w:rsid w:val="1112F3C0"/>
    <w:rsid w:val="11133AC9"/>
    <w:rsid w:val="111BEFA4"/>
    <w:rsid w:val="111CE7A8"/>
    <w:rsid w:val="11242E08"/>
    <w:rsid w:val="11290FD9"/>
    <w:rsid w:val="11295F90"/>
    <w:rsid w:val="112C3EBC"/>
    <w:rsid w:val="112D8D77"/>
    <w:rsid w:val="112E9C56"/>
    <w:rsid w:val="112F2302"/>
    <w:rsid w:val="11302976"/>
    <w:rsid w:val="11313C60"/>
    <w:rsid w:val="11365EE5"/>
    <w:rsid w:val="113B9447"/>
    <w:rsid w:val="114728B2"/>
    <w:rsid w:val="1149A689"/>
    <w:rsid w:val="1150CFFE"/>
    <w:rsid w:val="11513E97"/>
    <w:rsid w:val="1151A229"/>
    <w:rsid w:val="115759A1"/>
    <w:rsid w:val="115BED6E"/>
    <w:rsid w:val="116444B6"/>
    <w:rsid w:val="116598D8"/>
    <w:rsid w:val="11740F33"/>
    <w:rsid w:val="1174F624"/>
    <w:rsid w:val="1177B47F"/>
    <w:rsid w:val="1178DBC6"/>
    <w:rsid w:val="117AB090"/>
    <w:rsid w:val="117BFDC4"/>
    <w:rsid w:val="11837B8F"/>
    <w:rsid w:val="1183F580"/>
    <w:rsid w:val="11874A2B"/>
    <w:rsid w:val="1187FF6A"/>
    <w:rsid w:val="11886CBA"/>
    <w:rsid w:val="118A34F5"/>
    <w:rsid w:val="118EC402"/>
    <w:rsid w:val="11948E5E"/>
    <w:rsid w:val="1195D838"/>
    <w:rsid w:val="11987E5B"/>
    <w:rsid w:val="11994A9C"/>
    <w:rsid w:val="1199ACE0"/>
    <w:rsid w:val="11A18EBB"/>
    <w:rsid w:val="11A9D8EF"/>
    <w:rsid w:val="11AA44A8"/>
    <w:rsid w:val="11AF13F0"/>
    <w:rsid w:val="11AF47EB"/>
    <w:rsid w:val="11B15135"/>
    <w:rsid w:val="11B2DF60"/>
    <w:rsid w:val="11BD4A52"/>
    <w:rsid w:val="11C04B36"/>
    <w:rsid w:val="11CDEB2B"/>
    <w:rsid w:val="11CDFDAB"/>
    <w:rsid w:val="11D5DD73"/>
    <w:rsid w:val="11D8523F"/>
    <w:rsid w:val="11DBCD08"/>
    <w:rsid w:val="11DD0FD5"/>
    <w:rsid w:val="11E44090"/>
    <w:rsid w:val="11E4F0CE"/>
    <w:rsid w:val="11E5DA19"/>
    <w:rsid w:val="11F2692A"/>
    <w:rsid w:val="11F76283"/>
    <w:rsid w:val="11F85CF4"/>
    <w:rsid w:val="11FC4000"/>
    <w:rsid w:val="11FD669B"/>
    <w:rsid w:val="12010E3D"/>
    <w:rsid w:val="120547A8"/>
    <w:rsid w:val="1208E2C7"/>
    <w:rsid w:val="120D14CB"/>
    <w:rsid w:val="12137837"/>
    <w:rsid w:val="12157193"/>
    <w:rsid w:val="1215A3D2"/>
    <w:rsid w:val="122569C7"/>
    <w:rsid w:val="1225952C"/>
    <w:rsid w:val="1225F6BA"/>
    <w:rsid w:val="12271102"/>
    <w:rsid w:val="122EA22D"/>
    <w:rsid w:val="122EC8B2"/>
    <w:rsid w:val="1230E8A6"/>
    <w:rsid w:val="123CBD13"/>
    <w:rsid w:val="124091B6"/>
    <w:rsid w:val="124409FE"/>
    <w:rsid w:val="1245E60E"/>
    <w:rsid w:val="1247000E"/>
    <w:rsid w:val="124A5A3F"/>
    <w:rsid w:val="124A6B28"/>
    <w:rsid w:val="1251501F"/>
    <w:rsid w:val="1251B2C2"/>
    <w:rsid w:val="125B2223"/>
    <w:rsid w:val="125CB6CF"/>
    <w:rsid w:val="125DE6BC"/>
    <w:rsid w:val="125F7999"/>
    <w:rsid w:val="1261EB4B"/>
    <w:rsid w:val="1263ECFE"/>
    <w:rsid w:val="126C3D31"/>
    <w:rsid w:val="127ED209"/>
    <w:rsid w:val="1286E8A6"/>
    <w:rsid w:val="12888902"/>
    <w:rsid w:val="128AA494"/>
    <w:rsid w:val="1292B7C1"/>
    <w:rsid w:val="1293AF65"/>
    <w:rsid w:val="129BE714"/>
    <w:rsid w:val="12A0AA30"/>
    <w:rsid w:val="12A7A414"/>
    <w:rsid w:val="12AB04EC"/>
    <w:rsid w:val="12ACAF15"/>
    <w:rsid w:val="12B0D9B3"/>
    <w:rsid w:val="12B1761E"/>
    <w:rsid w:val="12B1E18C"/>
    <w:rsid w:val="12B35659"/>
    <w:rsid w:val="12B682F6"/>
    <w:rsid w:val="12B74735"/>
    <w:rsid w:val="12BA53EF"/>
    <w:rsid w:val="12C0F177"/>
    <w:rsid w:val="12C633AD"/>
    <w:rsid w:val="12C75A9E"/>
    <w:rsid w:val="12CC46C5"/>
    <w:rsid w:val="12CC4FCF"/>
    <w:rsid w:val="12CCBFB3"/>
    <w:rsid w:val="12D0B582"/>
    <w:rsid w:val="12D12249"/>
    <w:rsid w:val="12D320CB"/>
    <w:rsid w:val="12DC4471"/>
    <w:rsid w:val="12DC5DC8"/>
    <w:rsid w:val="12E185E0"/>
    <w:rsid w:val="12E2511F"/>
    <w:rsid w:val="12E6ED0C"/>
    <w:rsid w:val="12E852C9"/>
    <w:rsid w:val="12E90274"/>
    <w:rsid w:val="12F46BF7"/>
    <w:rsid w:val="12F92ED0"/>
    <w:rsid w:val="130C4D48"/>
    <w:rsid w:val="13103712"/>
    <w:rsid w:val="1315269C"/>
    <w:rsid w:val="1317A0AC"/>
    <w:rsid w:val="131AF0B9"/>
    <w:rsid w:val="131CC7CE"/>
    <w:rsid w:val="131E7972"/>
    <w:rsid w:val="131E85BE"/>
    <w:rsid w:val="131FBCEB"/>
    <w:rsid w:val="1320B50C"/>
    <w:rsid w:val="1321BF82"/>
    <w:rsid w:val="1325BB34"/>
    <w:rsid w:val="1335D895"/>
    <w:rsid w:val="133AE242"/>
    <w:rsid w:val="133FF7B4"/>
    <w:rsid w:val="1340187A"/>
    <w:rsid w:val="1343D865"/>
    <w:rsid w:val="13456E35"/>
    <w:rsid w:val="134887B1"/>
    <w:rsid w:val="13583DB0"/>
    <w:rsid w:val="13585CA2"/>
    <w:rsid w:val="1359DD54"/>
    <w:rsid w:val="135B2B8F"/>
    <w:rsid w:val="135D0EE9"/>
    <w:rsid w:val="135D5D50"/>
    <w:rsid w:val="135F98AA"/>
    <w:rsid w:val="13621F95"/>
    <w:rsid w:val="137026DF"/>
    <w:rsid w:val="1370D469"/>
    <w:rsid w:val="13714EEB"/>
    <w:rsid w:val="1371A41F"/>
    <w:rsid w:val="137D1854"/>
    <w:rsid w:val="137F6E1E"/>
    <w:rsid w:val="13845FA7"/>
    <w:rsid w:val="13860DD4"/>
    <w:rsid w:val="138C1985"/>
    <w:rsid w:val="13931664"/>
    <w:rsid w:val="1393AA07"/>
    <w:rsid w:val="1393FB4A"/>
    <w:rsid w:val="13953AF2"/>
    <w:rsid w:val="1399C64F"/>
    <w:rsid w:val="139BC32C"/>
    <w:rsid w:val="13A50A2C"/>
    <w:rsid w:val="13A5F90F"/>
    <w:rsid w:val="13A747FF"/>
    <w:rsid w:val="13AB3135"/>
    <w:rsid w:val="13ABEBA1"/>
    <w:rsid w:val="13AEF12C"/>
    <w:rsid w:val="13B00454"/>
    <w:rsid w:val="13B8163B"/>
    <w:rsid w:val="13BA00CA"/>
    <w:rsid w:val="13BC07B3"/>
    <w:rsid w:val="13BD3CA2"/>
    <w:rsid w:val="13BFD2C7"/>
    <w:rsid w:val="13C3EA08"/>
    <w:rsid w:val="13C52C26"/>
    <w:rsid w:val="13C5FD93"/>
    <w:rsid w:val="13CBCB12"/>
    <w:rsid w:val="13CC3CF5"/>
    <w:rsid w:val="13D0073E"/>
    <w:rsid w:val="13D4EF53"/>
    <w:rsid w:val="13D5B557"/>
    <w:rsid w:val="13D72990"/>
    <w:rsid w:val="13D8BBE5"/>
    <w:rsid w:val="13D9AA97"/>
    <w:rsid w:val="13DBEB1C"/>
    <w:rsid w:val="13DD9023"/>
    <w:rsid w:val="13E5D38B"/>
    <w:rsid w:val="13E63107"/>
    <w:rsid w:val="13E92CE2"/>
    <w:rsid w:val="13EBF055"/>
    <w:rsid w:val="13EFCAF0"/>
    <w:rsid w:val="13F4629B"/>
    <w:rsid w:val="13F62A38"/>
    <w:rsid w:val="13F63236"/>
    <w:rsid w:val="13F65F20"/>
    <w:rsid w:val="13F79D2C"/>
    <w:rsid w:val="13FA7B0B"/>
    <w:rsid w:val="13FBD944"/>
    <w:rsid w:val="13FC1565"/>
    <w:rsid w:val="13FD80B8"/>
    <w:rsid w:val="1401D037"/>
    <w:rsid w:val="1404824B"/>
    <w:rsid w:val="140908DA"/>
    <w:rsid w:val="140A2ACE"/>
    <w:rsid w:val="140D863A"/>
    <w:rsid w:val="14112576"/>
    <w:rsid w:val="14166724"/>
    <w:rsid w:val="14210F91"/>
    <w:rsid w:val="1421235E"/>
    <w:rsid w:val="14261F54"/>
    <w:rsid w:val="14261F79"/>
    <w:rsid w:val="142B738E"/>
    <w:rsid w:val="142DB387"/>
    <w:rsid w:val="142E5840"/>
    <w:rsid w:val="14329FEF"/>
    <w:rsid w:val="1433DBEA"/>
    <w:rsid w:val="143F3D37"/>
    <w:rsid w:val="14409705"/>
    <w:rsid w:val="1440F90D"/>
    <w:rsid w:val="1441070A"/>
    <w:rsid w:val="14453E82"/>
    <w:rsid w:val="145312E4"/>
    <w:rsid w:val="1453A639"/>
    <w:rsid w:val="1454F8EC"/>
    <w:rsid w:val="14557216"/>
    <w:rsid w:val="1456400F"/>
    <w:rsid w:val="145AC7C8"/>
    <w:rsid w:val="145D9F88"/>
    <w:rsid w:val="1463295E"/>
    <w:rsid w:val="146D9A92"/>
    <w:rsid w:val="1477E618"/>
    <w:rsid w:val="147AE58E"/>
    <w:rsid w:val="147CC9DB"/>
    <w:rsid w:val="14815675"/>
    <w:rsid w:val="148261A5"/>
    <w:rsid w:val="1482710F"/>
    <w:rsid w:val="1483C587"/>
    <w:rsid w:val="14849DF1"/>
    <w:rsid w:val="1486ECB6"/>
    <w:rsid w:val="149C308A"/>
    <w:rsid w:val="14A4C0DF"/>
    <w:rsid w:val="14A7FB58"/>
    <w:rsid w:val="14A8D4D7"/>
    <w:rsid w:val="14AB0F11"/>
    <w:rsid w:val="14AE06B2"/>
    <w:rsid w:val="14B7DA84"/>
    <w:rsid w:val="14BE3EFF"/>
    <w:rsid w:val="14BEE5BC"/>
    <w:rsid w:val="14C7BA5C"/>
    <w:rsid w:val="14CC181D"/>
    <w:rsid w:val="14CCCC7A"/>
    <w:rsid w:val="14D148C1"/>
    <w:rsid w:val="14D6A276"/>
    <w:rsid w:val="14D7F675"/>
    <w:rsid w:val="14D89CD4"/>
    <w:rsid w:val="14DACD8E"/>
    <w:rsid w:val="14DB737F"/>
    <w:rsid w:val="14DCE3C3"/>
    <w:rsid w:val="14E645E1"/>
    <w:rsid w:val="14E7F8B9"/>
    <w:rsid w:val="14EA5165"/>
    <w:rsid w:val="14EA7B04"/>
    <w:rsid w:val="14ED567A"/>
    <w:rsid w:val="14EDF866"/>
    <w:rsid w:val="14F30C0E"/>
    <w:rsid w:val="14F346D4"/>
    <w:rsid w:val="14F790CD"/>
    <w:rsid w:val="14F7ADC1"/>
    <w:rsid w:val="14FA7869"/>
    <w:rsid w:val="14FD5283"/>
    <w:rsid w:val="14FE30A6"/>
    <w:rsid w:val="14FEAA0B"/>
    <w:rsid w:val="15002636"/>
    <w:rsid w:val="15080F5A"/>
    <w:rsid w:val="150D2737"/>
    <w:rsid w:val="151575FB"/>
    <w:rsid w:val="15181666"/>
    <w:rsid w:val="1520BF40"/>
    <w:rsid w:val="152482EE"/>
    <w:rsid w:val="1525B780"/>
    <w:rsid w:val="1526DBF2"/>
    <w:rsid w:val="1527C7ED"/>
    <w:rsid w:val="152838E3"/>
    <w:rsid w:val="15286A42"/>
    <w:rsid w:val="152A6FA0"/>
    <w:rsid w:val="1532B07E"/>
    <w:rsid w:val="1535B1B2"/>
    <w:rsid w:val="15374C0D"/>
    <w:rsid w:val="15377919"/>
    <w:rsid w:val="15398802"/>
    <w:rsid w:val="153AE1B5"/>
    <w:rsid w:val="153DF24C"/>
    <w:rsid w:val="153ECCE1"/>
    <w:rsid w:val="15444203"/>
    <w:rsid w:val="1548F270"/>
    <w:rsid w:val="154B3BAC"/>
    <w:rsid w:val="15510A76"/>
    <w:rsid w:val="15514CCE"/>
    <w:rsid w:val="1552D276"/>
    <w:rsid w:val="1553110A"/>
    <w:rsid w:val="1555D932"/>
    <w:rsid w:val="155C9AD9"/>
    <w:rsid w:val="155E0659"/>
    <w:rsid w:val="155FBF79"/>
    <w:rsid w:val="1560C027"/>
    <w:rsid w:val="1565230F"/>
    <w:rsid w:val="157098A3"/>
    <w:rsid w:val="15716412"/>
    <w:rsid w:val="15748D47"/>
    <w:rsid w:val="1576B958"/>
    <w:rsid w:val="1581A3F4"/>
    <w:rsid w:val="1587FA58"/>
    <w:rsid w:val="158C87DC"/>
    <w:rsid w:val="158D1E7E"/>
    <w:rsid w:val="1590F87C"/>
    <w:rsid w:val="15924AF3"/>
    <w:rsid w:val="159C4EAC"/>
    <w:rsid w:val="159C81EE"/>
    <w:rsid w:val="159D4CFC"/>
    <w:rsid w:val="159EF960"/>
    <w:rsid w:val="15A208BD"/>
    <w:rsid w:val="15A688BD"/>
    <w:rsid w:val="15A725BC"/>
    <w:rsid w:val="15AA3AE9"/>
    <w:rsid w:val="15AD2AC8"/>
    <w:rsid w:val="15AD5198"/>
    <w:rsid w:val="15AD7636"/>
    <w:rsid w:val="15B37F66"/>
    <w:rsid w:val="15B3E3B9"/>
    <w:rsid w:val="15B5DEFB"/>
    <w:rsid w:val="15B85AC7"/>
    <w:rsid w:val="15B86AF5"/>
    <w:rsid w:val="15BF3A31"/>
    <w:rsid w:val="15CDF5C8"/>
    <w:rsid w:val="15D4D33E"/>
    <w:rsid w:val="15D56781"/>
    <w:rsid w:val="15D776AA"/>
    <w:rsid w:val="15DB64A1"/>
    <w:rsid w:val="15DB96FB"/>
    <w:rsid w:val="15DDE7FF"/>
    <w:rsid w:val="15E1025A"/>
    <w:rsid w:val="15E44E0C"/>
    <w:rsid w:val="15ED19B9"/>
    <w:rsid w:val="15EE1765"/>
    <w:rsid w:val="15EF59F8"/>
    <w:rsid w:val="15EFF289"/>
    <w:rsid w:val="15F0CCE8"/>
    <w:rsid w:val="15F23FD6"/>
    <w:rsid w:val="15F495BD"/>
    <w:rsid w:val="15F6C53C"/>
    <w:rsid w:val="15F8009A"/>
    <w:rsid w:val="15F9B45B"/>
    <w:rsid w:val="15FB9A8D"/>
    <w:rsid w:val="15FBC26F"/>
    <w:rsid w:val="15FCF323"/>
    <w:rsid w:val="16008785"/>
    <w:rsid w:val="1602A945"/>
    <w:rsid w:val="16063A16"/>
    <w:rsid w:val="1612924F"/>
    <w:rsid w:val="1616DCE1"/>
    <w:rsid w:val="16191247"/>
    <w:rsid w:val="161C8561"/>
    <w:rsid w:val="161C9A38"/>
    <w:rsid w:val="1620CCBF"/>
    <w:rsid w:val="162B816C"/>
    <w:rsid w:val="162ECF63"/>
    <w:rsid w:val="162FE5E5"/>
    <w:rsid w:val="16306887"/>
    <w:rsid w:val="1635A5F0"/>
    <w:rsid w:val="1638F77B"/>
    <w:rsid w:val="163F3024"/>
    <w:rsid w:val="164385CA"/>
    <w:rsid w:val="1646162D"/>
    <w:rsid w:val="164917CC"/>
    <w:rsid w:val="164C1381"/>
    <w:rsid w:val="164C5582"/>
    <w:rsid w:val="164DF322"/>
    <w:rsid w:val="16504A22"/>
    <w:rsid w:val="16567883"/>
    <w:rsid w:val="165CAD34"/>
    <w:rsid w:val="1664D885"/>
    <w:rsid w:val="1667E073"/>
    <w:rsid w:val="16691F31"/>
    <w:rsid w:val="16697CA2"/>
    <w:rsid w:val="16707768"/>
    <w:rsid w:val="1670BE2D"/>
    <w:rsid w:val="16713CC2"/>
    <w:rsid w:val="1673DFC0"/>
    <w:rsid w:val="1674FC22"/>
    <w:rsid w:val="16758A38"/>
    <w:rsid w:val="168331EF"/>
    <w:rsid w:val="168A6F45"/>
    <w:rsid w:val="16902A50"/>
    <w:rsid w:val="1690DE85"/>
    <w:rsid w:val="1697C9EA"/>
    <w:rsid w:val="169A28AD"/>
    <w:rsid w:val="169AB689"/>
    <w:rsid w:val="169C3D55"/>
    <w:rsid w:val="169D4E0D"/>
    <w:rsid w:val="16A52750"/>
    <w:rsid w:val="16AF3022"/>
    <w:rsid w:val="16BA1FFE"/>
    <w:rsid w:val="16BB774C"/>
    <w:rsid w:val="16C1571C"/>
    <w:rsid w:val="16C485CF"/>
    <w:rsid w:val="16C4868C"/>
    <w:rsid w:val="16C5454A"/>
    <w:rsid w:val="16C7F96B"/>
    <w:rsid w:val="16CB1E54"/>
    <w:rsid w:val="16CEB77D"/>
    <w:rsid w:val="16CF24DB"/>
    <w:rsid w:val="16D4D8DC"/>
    <w:rsid w:val="16D76999"/>
    <w:rsid w:val="16E133DA"/>
    <w:rsid w:val="16E24C59"/>
    <w:rsid w:val="16E46AC4"/>
    <w:rsid w:val="16E73D61"/>
    <w:rsid w:val="16E7A2AB"/>
    <w:rsid w:val="16E8C734"/>
    <w:rsid w:val="16EBC125"/>
    <w:rsid w:val="16EF72EF"/>
    <w:rsid w:val="16EFADEF"/>
    <w:rsid w:val="16F084B9"/>
    <w:rsid w:val="16F11C91"/>
    <w:rsid w:val="16F7B386"/>
    <w:rsid w:val="16FCC162"/>
    <w:rsid w:val="16FD8A50"/>
    <w:rsid w:val="16FDA41A"/>
    <w:rsid w:val="17004BF2"/>
    <w:rsid w:val="17031722"/>
    <w:rsid w:val="170402BB"/>
    <w:rsid w:val="17069A7D"/>
    <w:rsid w:val="17089A48"/>
    <w:rsid w:val="170A0C1F"/>
    <w:rsid w:val="170C5725"/>
    <w:rsid w:val="171100B3"/>
    <w:rsid w:val="17169880"/>
    <w:rsid w:val="171B10AF"/>
    <w:rsid w:val="171C5F57"/>
    <w:rsid w:val="171D071C"/>
    <w:rsid w:val="171D7F81"/>
    <w:rsid w:val="17211437"/>
    <w:rsid w:val="1721BB47"/>
    <w:rsid w:val="1722F693"/>
    <w:rsid w:val="1725B614"/>
    <w:rsid w:val="172A4558"/>
    <w:rsid w:val="172C53A8"/>
    <w:rsid w:val="172CE3FE"/>
    <w:rsid w:val="172D587A"/>
    <w:rsid w:val="172DBF6C"/>
    <w:rsid w:val="17310B8D"/>
    <w:rsid w:val="1731519C"/>
    <w:rsid w:val="1739B2C5"/>
    <w:rsid w:val="173F6FD9"/>
    <w:rsid w:val="17403E44"/>
    <w:rsid w:val="1747224F"/>
    <w:rsid w:val="1749B87D"/>
    <w:rsid w:val="174FAA62"/>
    <w:rsid w:val="17507473"/>
    <w:rsid w:val="1753338C"/>
    <w:rsid w:val="17565A17"/>
    <w:rsid w:val="17579B12"/>
    <w:rsid w:val="175955F6"/>
    <w:rsid w:val="175A17EE"/>
    <w:rsid w:val="175A38A9"/>
    <w:rsid w:val="175B1FDD"/>
    <w:rsid w:val="175BDE8C"/>
    <w:rsid w:val="1760739D"/>
    <w:rsid w:val="17640EEA"/>
    <w:rsid w:val="1765AECD"/>
    <w:rsid w:val="1765EDD9"/>
    <w:rsid w:val="17679D11"/>
    <w:rsid w:val="1770D28D"/>
    <w:rsid w:val="1770F5CD"/>
    <w:rsid w:val="1772004D"/>
    <w:rsid w:val="1772EC82"/>
    <w:rsid w:val="1780ECD1"/>
    <w:rsid w:val="1781A93B"/>
    <w:rsid w:val="17847A18"/>
    <w:rsid w:val="1789CE48"/>
    <w:rsid w:val="178CE09F"/>
    <w:rsid w:val="178D4036"/>
    <w:rsid w:val="1790243B"/>
    <w:rsid w:val="179B11E7"/>
    <w:rsid w:val="179B4870"/>
    <w:rsid w:val="179D0E00"/>
    <w:rsid w:val="179D7B43"/>
    <w:rsid w:val="17A3C487"/>
    <w:rsid w:val="17A4190F"/>
    <w:rsid w:val="17A6467A"/>
    <w:rsid w:val="17AACFAE"/>
    <w:rsid w:val="17B4BD2D"/>
    <w:rsid w:val="17B95374"/>
    <w:rsid w:val="17BE3A43"/>
    <w:rsid w:val="17BEA662"/>
    <w:rsid w:val="17C6F7B1"/>
    <w:rsid w:val="17C796B1"/>
    <w:rsid w:val="17CA277A"/>
    <w:rsid w:val="17CCC4C6"/>
    <w:rsid w:val="17CEB6EA"/>
    <w:rsid w:val="17D378C4"/>
    <w:rsid w:val="17D42746"/>
    <w:rsid w:val="17D55061"/>
    <w:rsid w:val="17D886A8"/>
    <w:rsid w:val="17D97C47"/>
    <w:rsid w:val="17DA0C95"/>
    <w:rsid w:val="17DD96D6"/>
    <w:rsid w:val="17EDF32B"/>
    <w:rsid w:val="17EE8948"/>
    <w:rsid w:val="17EF35E2"/>
    <w:rsid w:val="17F94927"/>
    <w:rsid w:val="1808A5AE"/>
    <w:rsid w:val="1808CE2E"/>
    <w:rsid w:val="18111646"/>
    <w:rsid w:val="18125BD4"/>
    <w:rsid w:val="181ACCD0"/>
    <w:rsid w:val="1823757A"/>
    <w:rsid w:val="1823F330"/>
    <w:rsid w:val="182870FB"/>
    <w:rsid w:val="182E732F"/>
    <w:rsid w:val="1834F6B6"/>
    <w:rsid w:val="18360D2F"/>
    <w:rsid w:val="184282AF"/>
    <w:rsid w:val="184527FD"/>
    <w:rsid w:val="1847C0E0"/>
    <w:rsid w:val="1848E3C4"/>
    <w:rsid w:val="184AA7FF"/>
    <w:rsid w:val="184FD8B8"/>
    <w:rsid w:val="18510215"/>
    <w:rsid w:val="18517DAE"/>
    <w:rsid w:val="1851AF3F"/>
    <w:rsid w:val="185367BB"/>
    <w:rsid w:val="1853C859"/>
    <w:rsid w:val="18545D3B"/>
    <w:rsid w:val="1854EFD4"/>
    <w:rsid w:val="18580F4F"/>
    <w:rsid w:val="1867496D"/>
    <w:rsid w:val="1869E776"/>
    <w:rsid w:val="186B41B5"/>
    <w:rsid w:val="186E9D8B"/>
    <w:rsid w:val="186F2F92"/>
    <w:rsid w:val="1870CEB8"/>
    <w:rsid w:val="1876EF96"/>
    <w:rsid w:val="1877C1BE"/>
    <w:rsid w:val="187E1FD1"/>
    <w:rsid w:val="187F0A1D"/>
    <w:rsid w:val="18837D3B"/>
    <w:rsid w:val="1883F2A8"/>
    <w:rsid w:val="188D88B5"/>
    <w:rsid w:val="18908655"/>
    <w:rsid w:val="18966F24"/>
    <w:rsid w:val="18995284"/>
    <w:rsid w:val="189D7A4F"/>
    <w:rsid w:val="189D80C2"/>
    <w:rsid w:val="189DCEC1"/>
    <w:rsid w:val="18A354D3"/>
    <w:rsid w:val="18A83020"/>
    <w:rsid w:val="18AEBF07"/>
    <w:rsid w:val="18B3B073"/>
    <w:rsid w:val="18BA13BE"/>
    <w:rsid w:val="18BC7827"/>
    <w:rsid w:val="18C3A12B"/>
    <w:rsid w:val="18C89CF9"/>
    <w:rsid w:val="18CC5D7E"/>
    <w:rsid w:val="18D20474"/>
    <w:rsid w:val="18DD9EB3"/>
    <w:rsid w:val="18E0D6BE"/>
    <w:rsid w:val="18E694DF"/>
    <w:rsid w:val="18EC0AF4"/>
    <w:rsid w:val="18F19629"/>
    <w:rsid w:val="18F2F0DD"/>
    <w:rsid w:val="19033408"/>
    <w:rsid w:val="1904A99A"/>
    <w:rsid w:val="1908A0D4"/>
    <w:rsid w:val="190AB16E"/>
    <w:rsid w:val="190DCDF1"/>
    <w:rsid w:val="19161EBF"/>
    <w:rsid w:val="1917FE06"/>
    <w:rsid w:val="191A6B86"/>
    <w:rsid w:val="191BF04A"/>
    <w:rsid w:val="191D4F89"/>
    <w:rsid w:val="191F8C1C"/>
    <w:rsid w:val="192BFAE9"/>
    <w:rsid w:val="192C1C49"/>
    <w:rsid w:val="192F8A25"/>
    <w:rsid w:val="19338CB3"/>
    <w:rsid w:val="19397B29"/>
    <w:rsid w:val="1939F876"/>
    <w:rsid w:val="19401D0A"/>
    <w:rsid w:val="1941B3A2"/>
    <w:rsid w:val="1946387D"/>
    <w:rsid w:val="194B9A34"/>
    <w:rsid w:val="194BAA56"/>
    <w:rsid w:val="194ECFD9"/>
    <w:rsid w:val="1952BEE9"/>
    <w:rsid w:val="19581FAB"/>
    <w:rsid w:val="19598E32"/>
    <w:rsid w:val="195D83D0"/>
    <w:rsid w:val="196ACBF5"/>
    <w:rsid w:val="196DE77B"/>
    <w:rsid w:val="1970CC80"/>
    <w:rsid w:val="197D0219"/>
    <w:rsid w:val="197EAA77"/>
    <w:rsid w:val="1980F0CF"/>
    <w:rsid w:val="19819A9F"/>
    <w:rsid w:val="1983BD84"/>
    <w:rsid w:val="1986F98C"/>
    <w:rsid w:val="198DFF6E"/>
    <w:rsid w:val="198E84A3"/>
    <w:rsid w:val="199120FB"/>
    <w:rsid w:val="19967A24"/>
    <w:rsid w:val="1998702B"/>
    <w:rsid w:val="199D071A"/>
    <w:rsid w:val="19A108FE"/>
    <w:rsid w:val="19AC67C4"/>
    <w:rsid w:val="19AE1886"/>
    <w:rsid w:val="19B26D88"/>
    <w:rsid w:val="19B493F9"/>
    <w:rsid w:val="19BB0163"/>
    <w:rsid w:val="19BD5E74"/>
    <w:rsid w:val="19BDB9F9"/>
    <w:rsid w:val="19BFA76B"/>
    <w:rsid w:val="19C182E6"/>
    <w:rsid w:val="19C215A3"/>
    <w:rsid w:val="19C36652"/>
    <w:rsid w:val="19C5AF16"/>
    <w:rsid w:val="19C5FE37"/>
    <w:rsid w:val="19C90D08"/>
    <w:rsid w:val="19CE00B0"/>
    <w:rsid w:val="19D05838"/>
    <w:rsid w:val="19D0642F"/>
    <w:rsid w:val="19D11B93"/>
    <w:rsid w:val="19D285D7"/>
    <w:rsid w:val="19D67643"/>
    <w:rsid w:val="19D70529"/>
    <w:rsid w:val="19DA1457"/>
    <w:rsid w:val="19DBD6B2"/>
    <w:rsid w:val="19DBD96D"/>
    <w:rsid w:val="19E7D513"/>
    <w:rsid w:val="19E7D840"/>
    <w:rsid w:val="19E7FA9B"/>
    <w:rsid w:val="19F2385F"/>
    <w:rsid w:val="19F26DAA"/>
    <w:rsid w:val="19F5AC19"/>
    <w:rsid w:val="19FC196B"/>
    <w:rsid w:val="19FDE392"/>
    <w:rsid w:val="1A01A8A0"/>
    <w:rsid w:val="1A0BAB07"/>
    <w:rsid w:val="1A0EDF6E"/>
    <w:rsid w:val="1A0EFDF7"/>
    <w:rsid w:val="1A1525B9"/>
    <w:rsid w:val="1A18DDA6"/>
    <w:rsid w:val="1A1AD631"/>
    <w:rsid w:val="1A32B642"/>
    <w:rsid w:val="1A36D931"/>
    <w:rsid w:val="1A37253A"/>
    <w:rsid w:val="1A38E15B"/>
    <w:rsid w:val="1A3D246A"/>
    <w:rsid w:val="1A3F16B0"/>
    <w:rsid w:val="1A42DD68"/>
    <w:rsid w:val="1A4B732F"/>
    <w:rsid w:val="1A4B8868"/>
    <w:rsid w:val="1A4D62C9"/>
    <w:rsid w:val="1A4E56A7"/>
    <w:rsid w:val="1A4FC81E"/>
    <w:rsid w:val="1A521011"/>
    <w:rsid w:val="1A529A25"/>
    <w:rsid w:val="1A5ABF41"/>
    <w:rsid w:val="1A5B7A4C"/>
    <w:rsid w:val="1A5BFFF5"/>
    <w:rsid w:val="1A6173A6"/>
    <w:rsid w:val="1A619C3E"/>
    <w:rsid w:val="1A68A3FA"/>
    <w:rsid w:val="1A6A9EE1"/>
    <w:rsid w:val="1A6BEE73"/>
    <w:rsid w:val="1A6EB86D"/>
    <w:rsid w:val="1A779A2F"/>
    <w:rsid w:val="1A7C1F83"/>
    <w:rsid w:val="1A7C979B"/>
    <w:rsid w:val="1A7F0278"/>
    <w:rsid w:val="1A80E649"/>
    <w:rsid w:val="1A86C097"/>
    <w:rsid w:val="1A882122"/>
    <w:rsid w:val="1A8A73E8"/>
    <w:rsid w:val="1A8F4DA5"/>
    <w:rsid w:val="1A91B708"/>
    <w:rsid w:val="1A963033"/>
    <w:rsid w:val="1A96E0D8"/>
    <w:rsid w:val="1A983A73"/>
    <w:rsid w:val="1A9B5EB6"/>
    <w:rsid w:val="1AA158F8"/>
    <w:rsid w:val="1AA1B0D1"/>
    <w:rsid w:val="1AA890C4"/>
    <w:rsid w:val="1AAB1C57"/>
    <w:rsid w:val="1AAC923C"/>
    <w:rsid w:val="1AB7447B"/>
    <w:rsid w:val="1AB80833"/>
    <w:rsid w:val="1AB8A5BF"/>
    <w:rsid w:val="1AB97086"/>
    <w:rsid w:val="1ABB6BD7"/>
    <w:rsid w:val="1ABC5BB6"/>
    <w:rsid w:val="1AC09030"/>
    <w:rsid w:val="1ACAC6C9"/>
    <w:rsid w:val="1ACB40F1"/>
    <w:rsid w:val="1AD038A3"/>
    <w:rsid w:val="1AD49D4F"/>
    <w:rsid w:val="1AD4B725"/>
    <w:rsid w:val="1AE6E425"/>
    <w:rsid w:val="1AF00A82"/>
    <w:rsid w:val="1AF0B466"/>
    <w:rsid w:val="1AF78F9D"/>
    <w:rsid w:val="1AFB0B45"/>
    <w:rsid w:val="1B01BA2D"/>
    <w:rsid w:val="1B01D55C"/>
    <w:rsid w:val="1B01E79A"/>
    <w:rsid w:val="1B026FF8"/>
    <w:rsid w:val="1B02B177"/>
    <w:rsid w:val="1B033F15"/>
    <w:rsid w:val="1B0629B6"/>
    <w:rsid w:val="1B0919BF"/>
    <w:rsid w:val="1B0B569C"/>
    <w:rsid w:val="1B0B9C37"/>
    <w:rsid w:val="1B0BBF3E"/>
    <w:rsid w:val="1B112133"/>
    <w:rsid w:val="1B1162D2"/>
    <w:rsid w:val="1B1B1DCE"/>
    <w:rsid w:val="1B217512"/>
    <w:rsid w:val="1B26B444"/>
    <w:rsid w:val="1B279A0B"/>
    <w:rsid w:val="1B311937"/>
    <w:rsid w:val="1B316B9D"/>
    <w:rsid w:val="1B3302DE"/>
    <w:rsid w:val="1B38ACEB"/>
    <w:rsid w:val="1B3C56C4"/>
    <w:rsid w:val="1B3EDA9B"/>
    <w:rsid w:val="1B4127A0"/>
    <w:rsid w:val="1B4CEB68"/>
    <w:rsid w:val="1B513CFA"/>
    <w:rsid w:val="1B518170"/>
    <w:rsid w:val="1B583D36"/>
    <w:rsid w:val="1B5DD90E"/>
    <w:rsid w:val="1B6791CA"/>
    <w:rsid w:val="1B6AC599"/>
    <w:rsid w:val="1B738AE4"/>
    <w:rsid w:val="1B74A83A"/>
    <w:rsid w:val="1B7A4CFF"/>
    <w:rsid w:val="1B7B24D8"/>
    <w:rsid w:val="1B7C060D"/>
    <w:rsid w:val="1B7D16A5"/>
    <w:rsid w:val="1B7D2635"/>
    <w:rsid w:val="1B7F1E41"/>
    <w:rsid w:val="1B81A1A3"/>
    <w:rsid w:val="1B81DD9A"/>
    <w:rsid w:val="1B821CB8"/>
    <w:rsid w:val="1B8B3A32"/>
    <w:rsid w:val="1B911525"/>
    <w:rsid w:val="1B9396A9"/>
    <w:rsid w:val="1B95B0C0"/>
    <w:rsid w:val="1B97D4FC"/>
    <w:rsid w:val="1B9B0E6D"/>
    <w:rsid w:val="1B9D76A4"/>
    <w:rsid w:val="1BA0D59E"/>
    <w:rsid w:val="1BA2226F"/>
    <w:rsid w:val="1BA3700E"/>
    <w:rsid w:val="1BA45C0E"/>
    <w:rsid w:val="1BA4A281"/>
    <w:rsid w:val="1BA5DCD2"/>
    <w:rsid w:val="1BABE6BC"/>
    <w:rsid w:val="1BADA4CA"/>
    <w:rsid w:val="1BAF51E9"/>
    <w:rsid w:val="1BB3043A"/>
    <w:rsid w:val="1BB31527"/>
    <w:rsid w:val="1BB43EAB"/>
    <w:rsid w:val="1BB49994"/>
    <w:rsid w:val="1BB5B392"/>
    <w:rsid w:val="1BB9827B"/>
    <w:rsid w:val="1BBBC837"/>
    <w:rsid w:val="1BBDCEC5"/>
    <w:rsid w:val="1BBE19DA"/>
    <w:rsid w:val="1BC22631"/>
    <w:rsid w:val="1BC56953"/>
    <w:rsid w:val="1BC9B63A"/>
    <w:rsid w:val="1BCB9EB0"/>
    <w:rsid w:val="1BCFB05B"/>
    <w:rsid w:val="1BD42CB0"/>
    <w:rsid w:val="1BD467F0"/>
    <w:rsid w:val="1BD4783E"/>
    <w:rsid w:val="1BD54743"/>
    <w:rsid w:val="1BD6D6E4"/>
    <w:rsid w:val="1BDD56B7"/>
    <w:rsid w:val="1BE0638F"/>
    <w:rsid w:val="1BE421FC"/>
    <w:rsid w:val="1BE61F14"/>
    <w:rsid w:val="1BE79141"/>
    <w:rsid w:val="1BE9BF18"/>
    <w:rsid w:val="1BEACCE4"/>
    <w:rsid w:val="1BF29718"/>
    <w:rsid w:val="1BF7C650"/>
    <w:rsid w:val="1BF9B48A"/>
    <w:rsid w:val="1BFC3B95"/>
    <w:rsid w:val="1C05B84D"/>
    <w:rsid w:val="1C06C0EB"/>
    <w:rsid w:val="1C0CAA24"/>
    <w:rsid w:val="1C0D1733"/>
    <w:rsid w:val="1C120ECB"/>
    <w:rsid w:val="1C15D0DF"/>
    <w:rsid w:val="1C18F1E7"/>
    <w:rsid w:val="1C1AF09B"/>
    <w:rsid w:val="1C1B3DC4"/>
    <w:rsid w:val="1C1C7760"/>
    <w:rsid w:val="1C2035DD"/>
    <w:rsid w:val="1C21121B"/>
    <w:rsid w:val="1C28C8E8"/>
    <w:rsid w:val="1C2D96AD"/>
    <w:rsid w:val="1C2EA3C6"/>
    <w:rsid w:val="1C31A1A0"/>
    <w:rsid w:val="1C32A5E1"/>
    <w:rsid w:val="1C331663"/>
    <w:rsid w:val="1C3393FF"/>
    <w:rsid w:val="1C359985"/>
    <w:rsid w:val="1C36928A"/>
    <w:rsid w:val="1C37D4DA"/>
    <w:rsid w:val="1C3981E8"/>
    <w:rsid w:val="1C3C9CFA"/>
    <w:rsid w:val="1C401EC4"/>
    <w:rsid w:val="1C424549"/>
    <w:rsid w:val="1C456937"/>
    <w:rsid w:val="1C52BF81"/>
    <w:rsid w:val="1C54C2EB"/>
    <w:rsid w:val="1C5A77B9"/>
    <w:rsid w:val="1C600290"/>
    <w:rsid w:val="1C62D8A1"/>
    <w:rsid w:val="1C63EBE9"/>
    <w:rsid w:val="1C6437A3"/>
    <w:rsid w:val="1C6D2A0E"/>
    <w:rsid w:val="1C6D5311"/>
    <w:rsid w:val="1C7098B2"/>
    <w:rsid w:val="1C70F822"/>
    <w:rsid w:val="1C7253B8"/>
    <w:rsid w:val="1C72E231"/>
    <w:rsid w:val="1C752747"/>
    <w:rsid w:val="1C7534EA"/>
    <w:rsid w:val="1C82647C"/>
    <w:rsid w:val="1C838219"/>
    <w:rsid w:val="1C86A93D"/>
    <w:rsid w:val="1C874319"/>
    <w:rsid w:val="1C8D90B3"/>
    <w:rsid w:val="1C912484"/>
    <w:rsid w:val="1C93229E"/>
    <w:rsid w:val="1C9FA224"/>
    <w:rsid w:val="1CA0C145"/>
    <w:rsid w:val="1CA1BADA"/>
    <w:rsid w:val="1CA1C85D"/>
    <w:rsid w:val="1CA2D04A"/>
    <w:rsid w:val="1CB1DA90"/>
    <w:rsid w:val="1CB446B0"/>
    <w:rsid w:val="1CB4BB42"/>
    <w:rsid w:val="1CB53780"/>
    <w:rsid w:val="1CB731EC"/>
    <w:rsid w:val="1CB81A45"/>
    <w:rsid w:val="1CB9F656"/>
    <w:rsid w:val="1CBBB2CA"/>
    <w:rsid w:val="1CBD5654"/>
    <w:rsid w:val="1CBDE6D7"/>
    <w:rsid w:val="1CBF7531"/>
    <w:rsid w:val="1CC37581"/>
    <w:rsid w:val="1CC46723"/>
    <w:rsid w:val="1CC80B5F"/>
    <w:rsid w:val="1CCA8D35"/>
    <w:rsid w:val="1CCC1070"/>
    <w:rsid w:val="1CCD13DD"/>
    <w:rsid w:val="1CCFC503"/>
    <w:rsid w:val="1CD01A2F"/>
    <w:rsid w:val="1CD04BE2"/>
    <w:rsid w:val="1CD3D37B"/>
    <w:rsid w:val="1CD7FEC8"/>
    <w:rsid w:val="1CD8AD48"/>
    <w:rsid w:val="1CE075C7"/>
    <w:rsid w:val="1CE2D2F5"/>
    <w:rsid w:val="1CE4F0E4"/>
    <w:rsid w:val="1CE59005"/>
    <w:rsid w:val="1CE6F286"/>
    <w:rsid w:val="1CE83127"/>
    <w:rsid w:val="1CE8B8C1"/>
    <w:rsid w:val="1CEA2805"/>
    <w:rsid w:val="1CEC5A54"/>
    <w:rsid w:val="1CF4EC94"/>
    <w:rsid w:val="1CF680C9"/>
    <w:rsid w:val="1CF77058"/>
    <w:rsid w:val="1CFA9310"/>
    <w:rsid w:val="1CFC6DE4"/>
    <w:rsid w:val="1CFCF760"/>
    <w:rsid w:val="1CFDB75B"/>
    <w:rsid w:val="1CFFB3C7"/>
    <w:rsid w:val="1D0C2DBC"/>
    <w:rsid w:val="1D0E5BF9"/>
    <w:rsid w:val="1D11C65A"/>
    <w:rsid w:val="1D12EDFD"/>
    <w:rsid w:val="1D158E52"/>
    <w:rsid w:val="1D1A1BA1"/>
    <w:rsid w:val="1D1A3985"/>
    <w:rsid w:val="1D1DCEC9"/>
    <w:rsid w:val="1D1F2855"/>
    <w:rsid w:val="1D200DF1"/>
    <w:rsid w:val="1D20E442"/>
    <w:rsid w:val="1D22EAD8"/>
    <w:rsid w:val="1D2B7CAC"/>
    <w:rsid w:val="1D2E3CF6"/>
    <w:rsid w:val="1D301247"/>
    <w:rsid w:val="1D33253F"/>
    <w:rsid w:val="1D3DD605"/>
    <w:rsid w:val="1D4191D0"/>
    <w:rsid w:val="1D41B081"/>
    <w:rsid w:val="1D448023"/>
    <w:rsid w:val="1D44F351"/>
    <w:rsid w:val="1D450ED7"/>
    <w:rsid w:val="1D46588B"/>
    <w:rsid w:val="1D4A8F4E"/>
    <w:rsid w:val="1D4B0A01"/>
    <w:rsid w:val="1D4BD506"/>
    <w:rsid w:val="1D4C98BF"/>
    <w:rsid w:val="1D4CC653"/>
    <w:rsid w:val="1D5496AC"/>
    <w:rsid w:val="1D58A35D"/>
    <w:rsid w:val="1D58A661"/>
    <w:rsid w:val="1D66A759"/>
    <w:rsid w:val="1D66C501"/>
    <w:rsid w:val="1D6881FA"/>
    <w:rsid w:val="1D6D4EEA"/>
    <w:rsid w:val="1D7033F8"/>
    <w:rsid w:val="1D70F180"/>
    <w:rsid w:val="1D755BDD"/>
    <w:rsid w:val="1D7608B3"/>
    <w:rsid w:val="1D76587B"/>
    <w:rsid w:val="1D79472F"/>
    <w:rsid w:val="1D7AE441"/>
    <w:rsid w:val="1D7B1770"/>
    <w:rsid w:val="1D7F55D2"/>
    <w:rsid w:val="1D832918"/>
    <w:rsid w:val="1D847349"/>
    <w:rsid w:val="1D92C4F0"/>
    <w:rsid w:val="1D93B8AE"/>
    <w:rsid w:val="1D9ABF7F"/>
    <w:rsid w:val="1D9E0669"/>
    <w:rsid w:val="1DA10B23"/>
    <w:rsid w:val="1DA22D1E"/>
    <w:rsid w:val="1DA378C4"/>
    <w:rsid w:val="1DA529C2"/>
    <w:rsid w:val="1DAB2FA1"/>
    <w:rsid w:val="1DAB86D6"/>
    <w:rsid w:val="1DAD1F36"/>
    <w:rsid w:val="1DB2F1F8"/>
    <w:rsid w:val="1DB36372"/>
    <w:rsid w:val="1DB454F3"/>
    <w:rsid w:val="1DB58E67"/>
    <w:rsid w:val="1DB632FB"/>
    <w:rsid w:val="1DB943C2"/>
    <w:rsid w:val="1DBE8F77"/>
    <w:rsid w:val="1DBED269"/>
    <w:rsid w:val="1DC62CDE"/>
    <w:rsid w:val="1DC8D6F5"/>
    <w:rsid w:val="1DD33A49"/>
    <w:rsid w:val="1DD3646A"/>
    <w:rsid w:val="1DD700D0"/>
    <w:rsid w:val="1DD7BEF0"/>
    <w:rsid w:val="1DDA79C7"/>
    <w:rsid w:val="1DDBEA4D"/>
    <w:rsid w:val="1DE65302"/>
    <w:rsid w:val="1DE7D3FE"/>
    <w:rsid w:val="1DE8EE9B"/>
    <w:rsid w:val="1DE90F36"/>
    <w:rsid w:val="1DEC08E2"/>
    <w:rsid w:val="1DEC7F0E"/>
    <w:rsid w:val="1DF1D905"/>
    <w:rsid w:val="1DF25DAC"/>
    <w:rsid w:val="1DFDAD6B"/>
    <w:rsid w:val="1E011C4B"/>
    <w:rsid w:val="1E042153"/>
    <w:rsid w:val="1E0A05BF"/>
    <w:rsid w:val="1E0DE3E9"/>
    <w:rsid w:val="1E112534"/>
    <w:rsid w:val="1E1873B0"/>
    <w:rsid w:val="1E193582"/>
    <w:rsid w:val="1E1DA750"/>
    <w:rsid w:val="1E1DDF49"/>
    <w:rsid w:val="1E25FB92"/>
    <w:rsid w:val="1E267227"/>
    <w:rsid w:val="1E26F65B"/>
    <w:rsid w:val="1E2AA470"/>
    <w:rsid w:val="1E2C270B"/>
    <w:rsid w:val="1E2CA386"/>
    <w:rsid w:val="1E2D340E"/>
    <w:rsid w:val="1E2FC2BD"/>
    <w:rsid w:val="1E3074F8"/>
    <w:rsid w:val="1E355ED4"/>
    <w:rsid w:val="1E36DC65"/>
    <w:rsid w:val="1E3C131A"/>
    <w:rsid w:val="1E452D98"/>
    <w:rsid w:val="1E470442"/>
    <w:rsid w:val="1E4AFE0C"/>
    <w:rsid w:val="1E4E8329"/>
    <w:rsid w:val="1E50EBF8"/>
    <w:rsid w:val="1E531F20"/>
    <w:rsid w:val="1E534291"/>
    <w:rsid w:val="1E5951CC"/>
    <w:rsid w:val="1E5964BD"/>
    <w:rsid w:val="1E5E0E3E"/>
    <w:rsid w:val="1E5FEB5C"/>
    <w:rsid w:val="1E60950B"/>
    <w:rsid w:val="1E631D4C"/>
    <w:rsid w:val="1E6343D4"/>
    <w:rsid w:val="1E636ED2"/>
    <w:rsid w:val="1E667C05"/>
    <w:rsid w:val="1E766CFD"/>
    <w:rsid w:val="1E7A6C7A"/>
    <w:rsid w:val="1E7CD572"/>
    <w:rsid w:val="1E81B672"/>
    <w:rsid w:val="1E83FE32"/>
    <w:rsid w:val="1E888D34"/>
    <w:rsid w:val="1E8C0FB5"/>
    <w:rsid w:val="1E8C61DC"/>
    <w:rsid w:val="1E8CACDD"/>
    <w:rsid w:val="1E92B87D"/>
    <w:rsid w:val="1E939FB6"/>
    <w:rsid w:val="1E977346"/>
    <w:rsid w:val="1EA1C5AA"/>
    <w:rsid w:val="1EA20BF1"/>
    <w:rsid w:val="1EA6D17C"/>
    <w:rsid w:val="1EB06477"/>
    <w:rsid w:val="1EBB0246"/>
    <w:rsid w:val="1EBD00D2"/>
    <w:rsid w:val="1EBDAEB5"/>
    <w:rsid w:val="1EC07EF7"/>
    <w:rsid w:val="1EC35F44"/>
    <w:rsid w:val="1EC57619"/>
    <w:rsid w:val="1ECE3873"/>
    <w:rsid w:val="1ECEFBB3"/>
    <w:rsid w:val="1ED1AF38"/>
    <w:rsid w:val="1EDBF124"/>
    <w:rsid w:val="1EDF53C0"/>
    <w:rsid w:val="1EE201F3"/>
    <w:rsid w:val="1EE26976"/>
    <w:rsid w:val="1EE28CEA"/>
    <w:rsid w:val="1EE76C43"/>
    <w:rsid w:val="1EE7D86C"/>
    <w:rsid w:val="1EE8D8FF"/>
    <w:rsid w:val="1EEBC5CF"/>
    <w:rsid w:val="1EF0DD53"/>
    <w:rsid w:val="1EF1BFF6"/>
    <w:rsid w:val="1EF34447"/>
    <w:rsid w:val="1EF3803E"/>
    <w:rsid w:val="1EF3828E"/>
    <w:rsid w:val="1EF80568"/>
    <w:rsid w:val="1EF8D51F"/>
    <w:rsid w:val="1EFDBE97"/>
    <w:rsid w:val="1F0049BB"/>
    <w:rsid w:val="1F04B16E"/>
    <w:rsid w:val="1F08240D"/>
    <w:rsid w:val="1F0ACCBC"/>
    <w:rsid w:val="1F0ED946"/>
    <w:rsid w:val="1F119487"/>
    <w:rsid w:val="1F1511A0"/>
    <w:rsid w:val="1F1B6128"/>
    <w:rsid w:val="1F1C245C"/>
    <w:rsid w:val="1F1C4938"/>
    <w:rsid w:val="1F1FF1E7"/>
    <w:rsid w:val="1F2387EA"/>
    <w:rsid w:val="1F23905E"/>
    <w:rsid w:val="1F239F40"/>
    <w:rsid w:val="1F24E43E"/>
    <w:rsid w:val="1F24EDE8"/>
    <w:rsid w:val="1F27E18A"/>
    <w:rsid w:val="1F34A12C"/>
    <w:rsid w:val="1F389486"/>
    <w:rsid w:val="1F3A38AD"/>
    <w:rsid w:val="1F3A4C49"/>
    <w:rsid w:val="1F3BCBD9"/>
    <w:rsid w:val="1F406534"/>
    <w:rsid w:val="1F41C014"/>
    <w:rsid w:val="1F4606F7"/>
    <w:rsid w:val="1F4BE401"/>
    <w:rsid w:val="1F4D6B12"/>
    <w:rsid w:val="1F4E0C33"/>
    <w:rsid w:val="1F4F8804"/>
    <w:rsid w:val="1F51D333"/>
    <w:rsid w:val="1F59236A"/>
    <w:rsid w:val="1F5C17A5"/>
    <w:rsid w:val="1F5EE43D"/>
    <w:rsid w:val="1F63750C"/>
    <w:rsid w:val="1F63CEB8"/>
    <w:rsid w:val="1F667F90"/>
    <w:rsid w:val="1F668129"/>
    <w:rsid w:val="1F6BBD3E"/>
    <w:rsid w:val="1F6D6D8E"/>
    <w:rsid w:val="1F6F3FFE"/>
    <w:rsid w:val="1F71871D"/>
    <w:rsid w:val="1F78157F"/>
    <w:rsid w:val="1F7FE24D"/>
    <w:rsid w:val="1F826888"/>
    <w:rsid w:val="1F8348DE"/>
    <w:rsid w:val="1F846CFE"/>
    <w:rsid w:val="1F84AB07"/>
    <w:rsid w:val="1F85FF1D"/>
    <w:rsid w:val="1F895FBF"/>
    <w:rsid w:val="1F8998E8"/>
    <w:rsid w:val="1F903371"/>
    <w:rsid w:val="1F904691"/>
    <w:rsid w:val="1F914FD9"/>
    <w:rsid w:val="1F91A447"/>
    <w:rsid w:val="1F933F5A"/>
    <w:rsid w:val="1F9B64B3"/>
    <w:rsid w:val="1F9BC981"/>
    <w:rsid w:val="1F9D956B"/>
    <w:rsid w:val="1F9F1573"/>
    <w:rsid w:val="1FA8AF47"/>
    <w:rsid w:val="1FAA8E45"/>
    <w:rsid w:val="1FAF7388"/>
    <w:rsid w:val="1FAFB710"/>
    <w:rsid w:val="1FB05C7A"/>
    <w:rsid w:val="1FB2AC4F"/>
    <w:rsid w:val="1FB2E45B"/>
    <w:rsid w:val="1FBC8D4A"/>
    <w:rsid w:val="1FC1C78F"/>
    <w:rsid w:val="1FC3BC6C"/>
    <w:rsid w:val="1FC46D8B"/>
    <w:rsid w:val="1FCB5737"/>
    <w:rsid w:val="1FD5B78B"/>
    <w:rsid w:val="1FDCC46C"/>
    <w:rsid w:val="1FDD319A"/>
    <w:rsid w:val="1FDECAE1"/>
    <w:rsid w:val="1FDF00B5"/>
    <w:rsid w:val="1FE176DB"/>
    <w:rsid w:val="1FE35BD2"/>
    <w:rsid w:val="1FE65EA3"/>
    <w:rsid w:val="1FEA0A26"/>
    <w:rsid w:val="1FECEC1E"/>
    <w:rsid w:val="1FF47FB8"/>
    <w:rsid w:val="1FF4A2E2"/>
    <w:rsid w:val="1FF7AE48"/>
    <w:rsid w:val="1FF8037B"/>
    <w:rsid w:val="1FF92FAA"/>
    <w:rsid w:val="1FFEF554"/>
    <w:rsid w:val="20045088"/>
    <w:rsid w:val="2013966A"/>
    <w:rsid w:val="20214DA4"/>
    <w:rsid w:val="20219414"/>
    <w:rsid w:val="2026847C"/>
    <w:rsid w:val="2026F18F"/>
    <w:rsid w:val="2036BCD0"/>
    <w:rsid w:val="203816BA"/>
    <w:rsid w:val="20420727"/>
    <w:rsid w:val="20425DEE"/>
    <w:rsid w:val="20430875"/>
    <w:rsid w:val="20447716"/>
    <w:rsid w:val="2046E5C0"/>
    <w:rsid w:val="204BDB7D"/>
    <w:rsid w:val="204E9535"/>
    <w:rsid w:val="2055E552"/>
    <w:rsid w:val="205664B0"/>
    <w:rsid w:val="2059E2B7"/>
    <w:rsid w:val="205C2F77"/>
    <w:rsid w:val="205EAB70"/>
    <w:rsid w:val="205FE3E9"/>
    <w:rsid w:val="20613435"/>
    <w:rsid w:val="2062AB1A"/>
    <w:rsid w:val="2063A5E3"/>
    <w:rsid w:val="2065FF5A"/>
    <w:rsid w:val="2066D527"/>
    <w:rsid w:val="206A2826"/>
    <w:rsid w:val="206DA2EE"/>
    <w:rsid w:val="2070E1DF"/>
    <w:rsid w:val="2079EC1B"/>
    <w:rsid w:val="207A1BFC"/>
    <w:rsid w:val="207BF00E"/>
    <w:rsid w:val="207D68DA"/>
    <w:rsid w:val="2083A87B"/>
    <w:rsid w:val="20842844"/>
    <w:rsid w:val="20847FC0"/>
    <w:rsid w:val="208E58C4"/>
    <w:rsid w:val="208F7E04"/>
    <w:rsid w:val="2095982E"/>
    <w:rsid w:val="209A8847"/>
    <w:rsid w:val="209EB947"/>
    <w:rsid w:val="20A1551A"/>
    <w:rsid w:val="20A4EC9F"/>
    <w:rsid w:val="20A7AE1D"/>
    <w:rsid w:val="20ABECBA"/>
    <w:rsid w:val="20B4E7C9"/>
    <w:rsid w:val="20BEB884"/>
    <w:rsid w:val="20BF1787"/>
    <w:rsid w:val="20C623F3"/>
    <w:rsid w:val="20C809DD"/>
    <w:rsid w:val="20CC602C"/>
    <w:rsid w:val="20CEA2F5"/>
    <w:rsid w:val="20CEDD21"/>
    <w:rsid w:val="20CF535B"/>
    <w:rsid w:val="20D12471"/>
    <w:rsid w:val="20DB2751"/>
    <w:rsid w:val="20E81CEF"/>
    <w:rsid w:val="20EB8F3E"/>
    <w:rsid w:val="20EC77E2"/>
    <w:rsid w:val="20F00485"/>
    <w:rsid w:val="20F0E8AD"/>
    <w:rsid w:val="20FB814E"/>
    <w:rsid w:val="21000F28"/>
    <w:rsid w:val="2101D691"/>
    <w:rsid w:val="210471D4"/>
    <w:rsid w:val="210C6F4A"/>
    <w:rsid w:val="21189DB3"/>
    <w:rsid w:val="2118EF6F"/>
    <w:rsid w:val="2119CC60"/>
    <w:rsid w:val="211B822E"/>
    <w:rsid w:val="2120D180"/>
    <w:rsid w:val="212885D6"/>
    <w:rsid w:val="212A0D41"/>
    <w:rsid w:val="212A9619"/>
    <w:rsid w:val="212E59BC"/>
    <w:rsid w:val="21331640"/>
    <w:rsid w:val="2134C928"/>
    <w:rsid w:val="2135E560"/>
    <w:rsid w:val="2139C86E"/>
    <w:rsid w:val="21457D14"/>
    <w:rsid w:val="2146C96A"/>
    <w:rsid w:val="214A00C7"/>
    <w:rsid w:val="214BB263"/>
    <w:rsid w:val="214C1E46"/>
    <w:rsid w:val="214D4DF0"/>
    <w:rsid w:val="2152A979"/>
    <w:rsid w:val="215A3C53"/>
    <w:rsid w:val="215D81AD"/>
    <w:rsid w:val="215D85A4"/>
    <w:rsid w:val="21624DD6"/>
    <w:rsid w:val="21626842"/>
    <w:rsid w:val="2165248C"/>
    <w:rsid w:val="216819F8"/>
    <w:rsid w:val="216A0805"/>
    <w:rsid w:val="216C9697"/>
    <w:rsid w:val="2170113A"/>
    <w:rsid w:val="21716743"/>
    <w:rsid w:val="2178F144"/>
    <w:rsid w:val="217B0F94"/>
    <w:rsid w:val="217D2676"/>
    <w:rsid w:val="218341EC"/>
    <w:rsid w:val="2188AA56"/>
    <w:rsid w:val="218B5111"/>
    <w:rsid w:val="218D0396"/>
    <w:rsid w:val="218DB4AA"/>
    <w:rsid w:val="2190ED04"/>
    <w:rsid w:val="21935880"/>
    <w:rsid w:val="21A3F69B"/>
    <w:rsid w:val="21A40625"/>
    <w:rsid w:val="21A86842"/>
    <w:rsid w:val="21AC3D9F"/>
    <w:rsid w:val="21AC9A5C"/>
    <w:rsid w:val="21AD2AEC"/>
    <w:rsid w:val="21ADA198"/>
    <w:rsid w:val="21B2C625"/>
    <w:rsid w:val="21B333A2"/>
    <w:rsid w:val="21B4151D"/>
    <w:rsid w:val="21B85CAD"/>
    <w:rsid w:val="21B93077"/>
    <w:rsid w:val="21BE848A"/>
    <w:rsid w:val="21C04285"/>
    <w:rsid w:val="21C04485"/>
    <w:rsid w:val="21C52BE4"/>
    <w:rsid w:val="21C93FF3"/>
    <w:rsid w:val="21CA05EF"/>
    <w:rsid w:val="21D04625"/>
    <w:rsid w:val="21D0C001"/>
    <w:rsid w:val="21D4E9CE"/>
    <w:rsid w:val="21D6137A"/>
    <w:rsid w:val="21D921F3"/>
    <w:rsid w:val="21DC48A4"/>
    <w:rsid w:val="21E06C12"/>
    <w:rsid w:val="21E111EE"/>
    <w:rsid w:val="21E14051"/>
    <w:rsid w:val="21E8E559"/>
    <w:rsid w:val="21EF6987"/>
    <w:rsid w:val="21F2187D"/>
    <w:rsid w:val="21F5D055"/>
    <w:rsid w:val="21F8DFF9"/>
    <w:rsid w:val="21FDF9CB"/>
    <w:rsid w:val="2200CC41"/>
    <w:rsid w:val="2202EBB8"/>
    <w:rsid w:val="2204B144"/>
    <w:rsid w:val="2209A89B"/>
    <w:rsid w:val="2209ABC0"/>
    <w:rsid w:val="220BF088"/>
    <w:rsid w:val="221B44D4"/>
    <w:rsid w:val="221D4DB1"/>
    <w:rsid w:val="221E178C"/>
    <w:rsid w:val="221E1A0F"/>
    <w:rsid w:val="221E2BE2"/>
    <w:rsid w:val="2222264D"/>
    <w:rsid w:val="22231961"/>
    <w:rsid w:val="22251A0F"/>
    <w:rsid w:val="222ACC07"/>
    <w:rsid w:val="222ACE1E"/>
    <w:rsid w:val="222CC3A8"/>
    <w:rsid w:val="223A705E"/>
    <w:rsid w:val="223D7566"/>
    <w:rsid w:val="223F55D6"/>
    <w:rsid w:val="2244D4B6"/>
    <w:rsid w:val="22486690"/>
    <w:rsid w:val="22496A44"/>
    <w:rsid w:val="224C023C"/>
    <w:rsid w:val="225545E0"/>
    <w:rsid w:val="22577E1B"/>
    <w:rsid w:val="225A72C4"/>
    <w:rsid w:val="225D5888"/>
    <w:rsid w:val="2263209E"/>
    <w:rsid w:val="2264D59C"/>
    <w:rsid w:val="2265ADDF"/>
    <w:rsid w:val="22675812"/>
    <w:rsid w:val="226B7B49"/>
    <w:rsid w:val="226ED7F4"/>
    <w:rsid w:val="22700C72"/>
    <w:rsid w:val="2273C913"/>
    <w:rsid w:val="22748452"/>
    <w:rsid w:val="22752F6C"/>
    <w:rsid w:val="2275A218"/>
    <w:rsid w:val="227BF58F"/>
    <w:rsid w:val="2280DEBD"/>
    <w:rsid w:val="2286C959"/>
    <w:rsid w:val="228913B0"/>
    <w:rsid w:val="2291A4B2"/>
    <w:rsid w:val="22926C4A"/>
    <w:rsid w:val="2292FA8B"/>
    <w:rsid w:val="229530E9"/>
    <w:rsid w:val="2295404C"/>
    <w:rsid w:val="229870B2"/>
    <w:rsid w:val="229C4498"/>
    <w:rsid w:val="229CF506"/>
    <w:rsid w:val="229DFD77"/>
    <w:rsid w:val="22A0D76C"/>
    <w:rsid w:val="22B4014E"/>
    <w:rsid w:val="22BC8916"/>
    <w:rsid w:val="22BCD82C"/>
    <w:rsid w:val="22C07F62"/>
    <w:rsid w:val="22C357D4"/>
    <w:rsid w:val="22C7825B"/>
    <w:rsid w:val="22CE0694"/>
    <w:rsid w:val="22CE8C28"/>
    <w:rsid w:val="22D01625"/>
    <w:rsid w:val="22D13457"/>
    <w:rsid w:val="22D55836"/>
    <w:rsid w:val="22EB4A0B"/>
    <w:rsid w:val="22EDEA8E"/>
    <w:rsid w:val="22F2ED84"/>
    <w:rsid w:val="22F53EF7"/>
    <w:rsid w:val="22F7DCEE"/>
    <w:rsid w:val="22FE3A35"/>
    <w:rsid w:val="22FE3AE8"/>
    <w:rsid w:val="22FE96B2"/>
    <w:rsid w:val="22FFB0C4"/>
    <w:rsid w:val="22FFCDA4"/>
    <w:rsid w:val="23018FA4"/>
    <w:rsid w:val="230D27F6"/>
    <w:rsid w:val="230E7126"/>
    <w:rsid w:val="23126684"/>
    <w:rsid w:val="23198960"/>
    <w:rsid w:val="231BABAE"/>
    <w:rsid w:val="231C266D"/>
    <w:rsid w:val="232011EC"/>
    <w:rsid w:val="2320E35C"/>
    <w:rsid w:val="2325B8F7"/>
    <w:rsid w:val="23274F86"/>
    <w:rsid w:val="2329CEFE"/>
    <w:rsid w:val="232DBD29"/>
    <w:rsid w:val="232E53CE"/>
    <w:rsid w:val="23300749"/>
    <w:rsid w:val="23344DEB"/>
    <w:rsid w:val="2336509D"/>
    <w:rsid w:val="2338AADB"/>
    <w:rsid w:val="2339BDDE"/>
    <w:rsid w:val="233B31A5"/>
    <w:rsid w:val="233E52F4"/>
    <w:rsid w:val="233EE985"/>
    <w:rsid w:val="23440E4A"/>
    <w:rsid w:val="234F4AB9"/>
    <w:rsid w:val="234F75F8"/>
    <w:rsid w:val="2351F31B"/>
    <w:rsid w:val="2351FF25"/>
    <w:rsid w:val="23520CBA"/>
    <w:rsid w:val="2352422B"/>
    <w:rsid w:val="2357CD2F"/>
    <w:rsid w:val="235992D0"/>
    <w:rsid w:val="235C2B10"/>
    <w:rsid w:val="2360FFC6"/>
    <w:rsid w:val="2363EECD"/>
    <w:rsid w:val="2369E29A"/>
    <w:rsid w:val="23701E9D"/>
    <w:rsid w:val="2372251E"/>
    <w:rsid w:val="238391A4"/>
    <w:rsid w:val="23850430"/>
    <w:rsid w:val="2388DA79"/>
    <w:rsid w:val="238DA2DA"/>
    <w:rsid w:val="238E9A46"/>
    <w:rsid w:val="23910EB7"/>
    <w:rsid w:val="23911DAC"/>
    <w:rsid w:val="239567B0"/>
    <w:rsid w:val="23957027"/>
    <w:rsid w:val="23A59C2B"/>
    <w:rsid w:val="23A9183A"/>
    <w:rsid w:val="23A93EE0"/>
    <w:rsid w:val="23AA8F4F"/>
    <w:rsid w:val="23B07A62"/>
    <w:rsid w:val="23B67199"/>
    <w:rsid w:val="23B67929"/>
    <w:rsid w:val="23B69D19"/>
    <w:rsid w:val="23BB9B9B"/>
    <w:rsid w:val="23C4A3A9"/>
    <w:rsid w:val="23C649D8"/>
    <w:rsid w:val="23CADFB1"/>
    <w:rsid w:val="23CDC6A3"/>
    <w:rsid w:val="23CEDB97"/>
    <w:rsid w:val="23CF7BD7"/>
    <w:rsid w:val="23D2D604"/>
    <w:rsid w:val="23D517CD"/>
    <w:rsid w:val="23D96282"/>
    <w:rsid w:val="23E41746"/>
    <w:rsid w:val="23E4FC8C"/>
    <w:rsid w:val="23E863AC"/>
    <w:rsid w:val="23F1D08F"/>
    <w:rsid w:val="23F6B3B1"/>
    <w:rsid w:val="23F7101E"/>
    <w:rsid w:val="23FA9DF6"/>
    <w:rsid w:val="23FC417B"/>
    <w:rsid w:val="23FDC19E"/>
    <w:rsid w:val="23FE1637"/>
    <w:rsid w:val="23FE5120"/>
    <w:rsid w:val="23FFF245"/>
    <w:rsid w:val="240139E9"/>
    <w:rsid w:val="2401BD5C"/>
    <w:rsid w:val="2402CA48"/>
    <w:rsid w:val="24053369"/>
    <w:rsid w:val="24055804"/>
    <w:rsid w:val="24057B71"/>
    <w:rsid w:val="2406A193"/>
    <w:rsid w:val="2407E6B6"/>
    <w:rsid w:val="241517C4"/>
    <w:rsid w:val="24172A4E"/>
    <w:rsid w:val="24181C06"/>
    <w:rsid w:val="241BB6AF"/>
    <w:rsid w:val="24279539"/>
    <w:rsid w:val="2428FA97"/>
    <w:rsid w:val="242C05DA"/>
    <w:rsid w:val="24300C76"/>
    <w:rsid w:val="24332D4E"/>
    <w:rsid w:val="2435CCFA"/>
    <w:rsid w:val="24393E03"/>
    <w:rsid w:val="244285CD"/>
    <w:rsid w:val="2443AE9C"/>
    <w:rsid w:val="244886AF"/>
    <w:rsid w:val="24498086"/>
    <w:rsid w:val="2457E116"/>
    <w:rsid w:val="245829B4"/>
    <w:rsid w:val="24589D5B"/>
    <w:rsid w:val="245918EE"/>
    <w:rsid w:val="245B5363"/>
    <w:rsid w:val="245CC38A"/>
    <w:rsid w:val="245CFE96"/>
    <w:rsid w:val="245D847D"/>
    <w:rsid w:val="24643B24"/>
    <w:rsid w:val="246864A2"/>
    <w:rsid w:val="24688DAD"/>
    <w:rsid w:val="246B0022"/>
    <w:rsid w:val="246DB245"/>
    <w:rsid w:val="246F3549"/>
    <w:rsid w:val="2470CABA"/>
    <w:rsid w:val="24790F56"/>
    <w:rsid w:val="2479BDF0"/>
    <w:rsid w:val="247F16BA"/>
    <w:rsid w:val="248232F7"/>
    <w:rsid w:val="24839F9D"/>
    <w:rsid w:val="24857CB3"/>
    <w:rsid w:val="2487C0E6"/>
    <w:rsid w:val="248B018A"/>
    <w:rsid w:val="248CD74C"/>
    <w:rsid w:val="248EE832"/>
    <w:rsid w:val="24927769"/>
    <w:rsid w:val="249438E2"/>
    <w:rsid w:val="249A3AAC"/>
    <w:rsid w:val="24A3445D"/>
    <w:rsid w:val="24A396D8"/>
    <w:rsid w:val="24A6E62B"/>
    <w:rsid w:val="24AAFB8B"/>
    <w:rsid w:val="24AF7DDD"/>
    <w:rsid w:val="24B0077C"/>
    <w:rsid w:val="24B4ABE0"/>
    <w:rsid w:val="24B86DE1"/>
    <w:rsid w:val="24B8BBF2"/>
    <w:rsid w:val="24BDC5BC"/>
    <w:rsid w:val="24C681A4"/>
    <w:rsid w:val="24CE9369"/>
    <w:rsid w:val="24CF956F"/>
    <w:rsid w:val="24D138EE"/>
    <w:rsid w:val="24D3B5C8"/>
    <w:rsid w:val="24D3EC65"/>
    <w:rsid w:val="24D43369"/>
    <w:rsid w:val="24D7F189"/>
    <w:rsid w:val="24D8FF43"/>
    <w:rsid w:val="24E303E1"/>
    <w:rsid w:val="24EE9D24"/>
    <w:rsid w:val="24EEAF23"/>
    <w:rsid w:val="24F891EC"/>
    <w:rsid w:val="24F8EE40"/>
    <w:rsid w:val="24FA3D8A"/>
    <w:rsid w:val="24FDD4F9"/>
    <w:rsid w:val="25015D66"/>
    <w:rsid w:val="2501D70A"/>
    <w:rsid w:val="25087F74"/>
    <w:rsid w:val="250C5A40"/>
    <w:rsid w:val="250CDE41"/>
    <w:rsid w:val="250F10D7"/>
    <w:rsid w:val="251153F1"/>
    <w:rsid w:val="2511C99A"/>
    <w:rsid w:val="2519CFA8"/>
    <w:rsid w:val="251E1E21"/>
    <w:rsid w:val="2521D86B"/>
    <w:rsid w:val="2528CFA0"/>
    <w:rsid w:val="252DD72E"/>
    <w:rsid w:val="25304CBD"/>
    <w:rsid w:val="2535398E"/>
    <w:rsid w:val="253B01AC"/>
    <w:rsid w:val="253BA195"/>
    <w:rsid w:val="253BC989"/>
    <w:rsid w:val="254090B9"/>
    <w:rsid w:val="25410951"/>
    <w:rsid w:val="254D5C04"/>
    <w:rsid w:val="254DCFEF"/>
    <w:rsid w:val="254EBE85"/>
    <w:rsid w:val="2555EAED"/>
    <w:rsid w:val="255688DC"/>
    <w:rsid w:val="25578CBC"/>
    <w:rsid w:val="255825C7"/>
    <w:rsid w:val="2560998D"/>
    <w:rsid w:val="256484F8"/>
    <w:rsid w:val="25671E35"/>
    <w:rsid w:val="256A09E9"/>
    <w:rsid w:val="256AD360"/>
    <w:rsid w:val="25762B1F"/>
    <w:rsid w:val="2579E267"/>
    <w:rsid w:val="257D443A"/>
    <w:rsid w:val="25806275"/>
    <w:rsid w:val="25812E90"/>
    <w:rsid w:val="25846426"/>
    <w:rsid w:val="258F7E3B"/>
    <w:rsid w:val="2591C460"/>
    <w:rsid w:val="259BC50A"/>
    <w:rsid w:val="25A699AB"/>
    <w:rsid w:val="25A89746"/>
    <w:rsid w:val="25A9270F"/>
    <w:rsid w:val="25AA942A"/>
    <w:rsid w:val="25AAEB04"/>
    <w:rsid w:val="25AF74A3"/>
    <w:rsid w:val="25B23927"/>
    <w:rsid w:val="25B57E4E"/>
    <w:rsid w:val="25C1CCEB"/>
    <w:rsid w:val="25C6FF3A"/>
    <w:rsid w:val="25C7149F"/>
    <w:rsid w:val="25C87A86"/>
    <w:rsid w:val="25C903A3"/>
    <w:rsid w:val="25C9FA89"/>
    <w:rsid w:val="25CE08CF"/>
    <w:rsid w:val="25CFD4B3"/>
    <w:rsid w:val="25CFDF94"/>
    <w:rsid w:val="25D291E1"/>
    <w:rsid w:val="25D3F3C4"/>
    <w:rsid w:val="25D5CB6F"/>
    <w:rsid w:val="25DCC9A7"/>
    <w:rsid w:val="25E4F424"/>
    <w:rsid w:val="25E5357A"/>
    <w:rsid w:val="25ECDF34"/>
    <w:rsid w:val="25F7F13F"/>
    <w:rsid w:val="25FA25D9"/>
    <w:rsid w:val="25FB2238"/>
    <w:rsid w:val="25FCE207"/>
    <w:rsid w:val="26015C3B"/>
    <w:rsid w:val="26016096"/>
    <w:rsid w:val="2608546F"/>
    <w:rsid w:val="2610498C"/>
    <w:rsid w:val="2616A2B5"/>
    <w:rsid w:val="26250146"/>
    <w:rsid w:val="262E6BC2"/>
    <w:rsid w:val="262E9202"/>
    <w:rsid w:val="262F1318"/>
    <w:rsid w:val="262FE652"/>
    <w:rsid w:val="26326136"/>
    <w:rsid w:val="2633D733"/>
    <w:rsid w:val="2639DAD8"/>
    <w:rsid w:val="263C47DC"/>
    <w:rsid w:val="2641F740"/>
    <w:rsid w:val="2642E097"/>
    <w:rsid w:val="2647369B"/>
    <w:rsid w:val="264A18DD"/>
    <w:rsid w:val="264B27AD"/>
    <w:rsid w:val="264BC007"/>
    <w:rsid w:val="264CA852"/>
    <w:rsid w:val="264DB503"/>
    <w:rsid w:val="264EB001"/>
    <w:rsid w:val="264F3517"/>
    <w:rsid w:val="26504542"/>
    <w:rsid w:val="2651971A"/>
    <w:rsid w:val="2653A584"/>
    <w:rsid w:val="2659EA62"/>
    <w:rsid w:val="265BDAA8"/>
    <w:rsid w:val="265DB572"/>
    <w:rsid w:val="265F130D"/>
    <w:rsid w:val="26635A7A"/>
    <w:rsid w:val="26638445"/>
    <w:rsid w:val="266B25C3"/>
    <w:rsid w:val="266CA122"/>
    <w:rsid w:val="266CA4C9"/>
    <w:rsid w:val="266DC93B"/>
    <w:rsid w:val="26723322"/>
    <w:rsid w:val="2672C647"/>
    <w:rsid w:val="2673ADA2"/>
    <w:rsid w:val="267E6099"/>
    <w:rsid w:val="26801D5F"/>
    <w:rsid w:val="26823213"/>
    <w:rsid w:val="2683C861"/>
    <w:rsid w:val="26847A4F"/>
    <w:rsid w:val="268BAC8F"/>
    <w:rsid w:val="268D89B7"/>
    <w:rsid w:val="2694082C"/>
    <w:rsid w:val="2696A715"/>
    <w:rsid w:val="2697ED7C"/>
    <w:rsid w:val="26A68446"/>
    <w:rsid w:val="26AA8BFE"/>
    <w:rsid w:val="26ADE0F3"/>
    <w:rsid w:val="26AFD646"/>
    <w:rsid w:val="26B2801D"/>
    <w:rsid w:val="26B56DD5"/>
    <w:rsid w:val="26C32897"/>
    <w:rsid w:val="26C6AE6F"/>
    <w:rsid w:val="26D22F76"/>
    <w:rsid w:val="26D2768F"/>
    <w:rsid w:val="26DBF190"/>
    <w:rsid w:val="26DC74F4"/>
    <w:rsid w:val="26DFD56E"/>
    <w:rsid w:val="26E4493E"/>
    <w:rsid w:val="26E9333A"/>
    <w:rsid w:val="26ECE33B"/>
    <w:rsid w:val="26ECE695"/>
    <w:rsid w:val="26EDD950"/>
    <w:rsid w:val="26F33F86"/>
    <w:rsid w:val="26F8851C"/>
    <w:rsid w:val="26F8E12C"/>
    <w:rsid w:val="26FDD5CB"/>
    <w:rsid w:val="2708D09B"/>
    <w:rsid w:val="27107312"/>
    <w:rsid w:val="27182DCC"/>
    <w:rsid w:val="271EF331"/>
    <w:rsid w:val="2726A791"/>
    <w:rsid w:val="27290E76"/>
    <w:rsid w:val="272ACCF5"/>
    <w:rsid w:val="272AF69A"/>
    <w:rsid w:val="272BB0BE"/>
    <w:rsid w:val="273040B0"/>
    <w:rsid w:val="2734E882"/>
    <w:rsid w:val="2736BBE6"/>
    <w:rsid w:val="2740F28B"/>
    <w:rsid w:val="27467386"/>
    <w:rsid w:val="27467464"/>
    <w:rsid w:val="274BC89C"/>
    <w:rsid w:val="274D2293"/>
    <w:rsid w:val="274E25F5"/>
    <w:rsid w:val="2752367A"/>
    <w:rsid w:val="27558F61"/>
    <w:rsid w:val="27565ECB"/>
    <w:rsid w:val="2757F29D"/>
    <w:rsid w:val="275A61B0"/>
    <w:rsid w:val="275E5031"/>
    <w:rsid w:val="275E7FE6"/>
    <w:rsid w:val="275F34DF"/>
    <w:rsid w:val="276037CF"/>
    <w:rsid w:val="27606158"/>
    <w:rsid w:val="2762E454"/>
    <w:rsid w:val="2763C02E"/>
    <w:rsid w:val="2766BB33"/>
    <w:rsid w:val="276C5B08"/>
    <w:rsid w:val="276F6E4C"/>
    <w:rsid w:val="27724F6B"/>
    <w:rsid w:val="2779A1C0"/>
    <w:rsid w:val="27830086"/>
    <w:rsid w:val="2784885E"/>
    <w:rsid w:val="27850382"/>
    <w:rsid w:val="27914980"/>
    <w:rsid w:val="279298BC"/>
    <w:rsid w:val="2796DCCD"/>
    <w:rsid w:val="279BB466"/>
    <w:rsid w:val="27A0F63A"/>
    <w:rsid w:val="27A31FFE"/>
    <w:rsid w:val="27A3AEF5"/>
    <w:rsid w:val="27A47B51"/>
    <w:rsid w:val="27A68E8B"/>
    <w:rsid w:val="27BA66B6"/>
    <w:rsid w:val="27BCCFEA"/>
    <w:rsid w:val="27BEB87A"/>
    <w:rsid w:val="27BF0008"/>
    <w:rsid w:val="27C16C3F"/>
    <w:rsid w:val="27C4E782"/>
    <w:rsid w:val="27C68A79"/>
    <w:rsid w:val="27C871A8"/>
    <w:rsid w:val="27CCC851"/>
    <w:rsid w:val="27D0339E"/>
    <w:rsid w:val="27D68687"/>
    <w:rsid w:val="27DA61CD"/>
    <w:rsid w:val="27DD8363"/>
    <w:rsid w:val="27E155F5"/>
    <w:rsid w:val="27E3C263"/>
    <w:rsid w:val="27E419F5"/>
    <w:rsid w:val="27EB7CE7"/>
    <w:rsid w:val="27F33374"/>
    <w:rsid w:val="27F680C2"/>
    <w:rsid w:val="27F9FA95"/>
    <w:rsid w:val="27FE5123"/>
    <w:rsid w:val="28000C40"/>
    <w:rsid w:val="2803CE5B"/>
    <w:rsid w:val="2806C7D2"/>
    <w:rsid w:val="28093A54"/>
    <w:rsid w:val="280AC0BD"/>
    <w:rsid w:val="28180E2D"/>
    <w:rsid w:val="2818D8CA"/>
    <w:rsid w:val="2819C1DE"/>
    <w:rsid w:val="282906B5"/>
    <w:rsid w:val="282A5002"/>
    <w:rsid w:val="282D98FA"/>
    <w:rsid w:val="2832977B"/>
    <w:rsid w:val="28348317"/>
    <w:rsid w:val="2835051A"/>
    <w:rsid w:val="28360475"/>
    <w:rsid w:val="283F651A"/>
    <w:rsid w:val="284491BA"/>
    <w:rsid w:val="284719DC"/>
    <w:rsid w:val="2847405F"/>
    <w:rsid w:val="28490911"/>
    <w:rsid w:val="284DA745"/>
    <w:rsid w:val="284FBF9B"/>
    <w:rsid w:val="2850F092"/>
    <w:rsid w:val="2853AA0D"/>
    <w:rsid w:val="28563A00"/>
    <w:rsid w:val="285C1126"/>
    <w:rsid w:val="28659D9A"/>
    <w:rsid w:val="286677D8"/>
    <w:rsid w:val="28669863"/>
    <w:rsid w:val="2867B66C"/>
    <w:rsid w:val="286B0C1F"/>
    <w:rsid w:val="286C0BA2"/>
    <w:rsid w:val="286C730F"/>
    <w:rsid w:val="286D3A68"/>
    <w:rsid w:val="287762F2"/>
    <w:rsid w:val="2877EF1C"/>
    <w:rsid w:val="28789790"/>
    <w:rsid w:val="287AFBFB"/>
    <w:rsid w:val="28877A01"/>
    <w:rsid w:val="2888329B"/>
    <w:rsid w:val="288A9DE9"/>
    <w:rsid w:val="288BD8C8"/>
    <w:rsid w:val="288F2E51"/>
    <w:rsid w:val="28933F3D"/>
    <w:rsid w:val="289BF1E2"/>
    <w:rsid w:val="289CD77C"/>
    <w:rsid w:val="289FE6FC"/>
    <w:rsid w:val="28A613D8"/>
    <w:rsid w:val="28AAAF33"/>
    <w:rsid w:val="28AD8594"/>
    <w:rsid w:val="28B0460A"/>
    <w:rsid w:val="28B07AA5"/>
    <w:rsid w:val="28B60B4B"/>
    <w:rsid w:val="28B6664A"/>
    <w:rsid w:val="28BAD177"/>
    <w:rsid w:val="28BE8680"/>
    <w:rsid w:val="28BF47A7"/>
    <w:rsid w:val="28C2DD61"/>
    <w:rsid w:val="28C380FF"/>
    <w:rsid w:val="28C38649"/>
    <w:rsid w:val="28C4E610"/>
    <w:rsid w:val="28C61B02"/>
    <w:rsid w:val="28C711C4"/>
    <w:rsid w:val="28C99293"/>
    <w:rsid w:val="28C9E38A"/>
    <w:rsid w:val="28CA6FF1"/>
    <w:rsid w:val="28DCB9F7"/>
    <w:rsid w:val="28DD0B51"/>
    <w:rsid w:val="28DF73E6"/>
    <w:rsid w:val="28E8BCF7"/>
    <w:rsid w:val="28EA2B7A"/>
    <w:rsid w:val="28EAF9B9"/>
    <w:rsid w:val="28EBBAF5"/>
    <w:rsid w:val="28F433F6"/>
    <w:rsid w:val="28F81FA1"/>
    <w:rsid w:val="28FAA06A"/>
    <w:rsid w:val="29014EB2"/>
    <w:rsid w:val="29018CE8"/>
    <w:rsid w:val="290287A2"/>
    <w:rsid w:val="29045BCA"/>
    <w:rsid w:val="2904671C"/>
    <w:rsid w:val="2907AE74"/>
    <w:rsid w:val="29082889"/>
    <w:rsid w:val="290C608D"/>
    <w:rsid w:val="2915B82D"/>
    <w:rsid w:val="29167E1A"/>
    <w:rsid w:val="291685D6"/>
    <w:rsid w:val="29187AD2"/>
    <w:rsid w:val="2918C7E2"/>
    <w:rsid w:val="291A4F54"/>
    <w:rsid w:val="291FE426"/>
    <w:rsid w:val="2925AB4D"/>
    <w:rsid w:val="2929CC5B"/>
    <w:rsid w:val="29308A4F"/>
    <w:rsid w:val="29330CCF"/>
    <w:rsid w:val="29333438"/>
    <w:rsid w:val="29335ECE"/>
    <w:rsid w:val="29422FC2"/>
    <w:rsid w:val="294261DD"/>
    <w:rsid w:val="29433619"/>
    <w:rsid w:val="29436DD3"/>
    <w:rsid w:val="294374C0"/>
    <w:rsid w:val="294479B4"/>
    <w:rsid w:val="2945BEC8"/>
    <w:rsid w:val="2946398E"/>
    <w:rsid w:val="294A2D27"/>
    <w:rsid w:val="295ADBE5"/>
    <w:rsid w:val="295D246F"/>
    <w:rsid w:val="2960D63E"/>
    <w:rsid w:val="2961899C"/>
    <w:rsid w:val="29676BB1"/>
    <w:rsid w:val="2969868D"/>
    <w:rsid w:val="2978481B"/>
    <w:rsid w:val="297FDE8B"/>
    <w:rsid w:val="2985656C"/>
    <w:rsid w:val="29881944"/>
    <w:rsid w:val="298B43C3"/>
    <w:rsid w:val="298D275E"/>
    <w:rsid w:val="2990DEE2"/>
    <w:rsid w:val="29947236"/>
    <w:rsid w:val="299D4767"/>
    <w:rsid w:val="29A62381"/>
    <w:rsid w:val="29A6CC5D"/>
    <w:rsid w:val="29AAFACC"/>
    <w:rsid w:val="29AD2C09"/>
    <w:rsid w:val="29AE2834"/>
    <w:rsid w:val="29AF57AE"/>
    <w:rsid w:val="29AFE4D0"/>
    <w:rsid w:val="29B4EF02"/>
    <w:rsid w:val="29B64DA9"/>
    <w:rsid w:val="29C8381A"/>
    <w:rsid w:val="29C8F721"/>
    <w:rsid w:val="29CB5425"/>
    <w:rsid w:val="29D10741"/>
    <w:rsid w:val="29D9D233"/>
    <w:rsid w:val="29E0C7EC"/>
    <w:rsid w:val="29E15127"/>
    <w:rsid w:val="29E3CE98"/>
    <w:rsid w:val="29E509AC"/>
    <w:rsid w:val="29E5E24C"/>
    <w:rsid w:val="29E6E480"/>
    <w:rsid w:val="29ED81F7"/>
    <w:rsid w:val="29F18566"/>
    <w:rsid w:val="29F4ED55"/>
    <w:rsid w:val="29F8604C"/>
    <w:rsid w:val="29F96624"/>
    <w:rsid w:val="2A0196FC"/>
    <w:rsid w:val="2A0525F9"/>
    <w:rsid w:val="2A05FA63"/>
    <w:rsid w:val="2A0840A3"/>
    <w:rsid w:val="2A086402"/>
    <w:rsid w:val="2A0951C1"/>
    <w:rsid w:val="2A0A3E25"/>
    <w:rsid w:val="2A0B22F3"/>
    <w:rsid w:val="2A0C7324"/>
    <w:rsid w:val="2A0CEF3C"/>
    <w:rsid w:val="2A103CA8"/>
    <w:rsid w:val="2A10F57B"/>
    <w:rsid w:val="2A17E32B"/>
    <w:rsid w:val="2A1983CF"/>
    <w:rsid w:val="2A1F2EA1"/>
    <w:rsid w:val="2A1F4D79"/>
    <w:rsid w:val="2A1FD2B9"/>
    <w:rsid w:val="2A1FECB1"/>
    <w:rsid w:val="2A214E37"/>
    <w:rsid w:val="2A2E36B0"/>
    <w:rsid w:val="2A3170F4"/>
    <w:rsid w:val="2A32B875"/>
    <w:rsid w:val="2A36A83A"/>
    <w:rsid w:val="2A37A8EE"/>
    <w:rsid w:val="2A3BF730"/>
    <w:rsid w:val="2A3C6747"/>
    <w:rsid w:val="2A3EDC27"/>
    <w:rsid w:val="2A4098B9"/>
    <w:rsid w:val="2A42DFB2"/>
    <w:rsid w:val="2A43EF4A"/>
    <w:rsid w:val="2A44BB47"/>
    <w:rsid w:val="2A475696"/>
    <w:rsid w:val="2A490E69"/>
    <w:rsid w:val="2A4AF4BE"/>
    <w:rsid w:val="2A4CC5E6"/>
    <w:rsid w:val="2A52FADB"/>
    <w:rsid w:val="2A56DDD8"/>
    <w:rsid w:val="2A5A1A09"/>
    <w:rsid w:val="2A5A9E4E"/>
    <w:rsid w:val="2A5BF701"/>
    <w:rsid w:val="2A5FA846"/>
    <w:rsid w:val="2A62BDCC"/>
    <w:rsid w:val="2A6995A2"/>
    <w:rsid w:val="2A6B1FB3"/>
    <w:rsid w:val="2A7464C6"/>
    <w:rsid w:val="2A754133"/>
    <w:rsid w:val="2A771024"/>
    <w:rsid w:val="2A7A59A7"/>
    <w:rsid w:val="2A7A7BDC"/>
    <w:rsid w:val="2A82D08C"/>
    <w:rsid w:val="2A841890"/>
    <w:rsid w:val="2A852419"/>
    <w:rsid w:val="2A875A9B"/>
    <w:rsid w:val="2A8B33C2"/>
    <w:rsid w:val="2A8D2AA3"/>
    <w:rsid w:val="2A95A20E"/>
    <w:rsid w:val="2A97151C"/>
    <w:rsid w:val="2A972A08"/>
    <w:rsid w:val="2A9BB983"/>
    <w:rsid w:val="2A9BEBBF"/>
    <w:rsid w:val="2A9F8861"/>
    <w:rsid w:val="2AA85247"/>
    <w:rsid w:val="2AADD955"/>
    <w:rsid w:val="2AAFDF0B"/>
    <w:rsid w:val="2AB38ED3"/>
    <w:rsid w:val="2AB3BDF9"/>
    <w:rsid w:val="2AB59694"/>
    <w:rsid w:val="2ABB2332"/>
    <w:rsid w:val="2AC0CC02"/>
    <w:rsid w:val="2AC7F97D"/>
    <w:rsid w:val="2ACC03C3"/>
    <w:rsid w:val="2ACC4D29"/>
    <w:rsid w:val="2ACCA83D"/>
    <w:rsid w:val="2AD03470"/>
    <w:rsid w:val="2AD0BC70"/>
    <w:rsid w:val="2AD1174A"/>
    <w:rsid w:val="2ADA37D0"/>
    <w:rsid w:val="2ADE7698"/>
    <w:rsid w:val="2ADF1C53"/>
    <w:rsid w:val="2AE187DE"/>
    <w:rsid w:val="2AE7B431"/>
    <w:rsid w:val="2AE84A7F"/>
    <w:rsid w:val="2AF1D8A8"/>
    <w:rsid w:val="2AF4A8AD"/>
    <w:rsid w:val="2AF7E984"/>
    <w:rsid w:val="2AFCC2B3"/>
    <w:rsid w:val="2B005E41"/>
    <w:rsid w:val="2B00E437"/>
    <w:rsid w:val="2B02577D"/>
    <w:rsid w:val="2B0790EE"/>
    <w:rsid w:val="2B0ABAB1"/>
    <w:rsid w:val="2B0B2133"/>
    <w:rsid w:val="2B0D9EA0"/>
    <w:rsid w:val="2B110CD3"/>
    <w:rsid w:val="2B13D6E2"/>
    <w:rsid w:val="2B20A6F4"/>
    <w:rsid w:val="2B20C977"/>
    <w:rsid w:val="2B2A5368"/>
    <w:rsid w:val="2B2E47B6"/>
    <w:rsid w:val="2B32A184"/>
    <w:rsid w:val="2B352365"/>
    <w:rsid w:val="2B35733D"/>
    <w:rsid w:val="2B393375"/>
    <w:rsid w:val="2B39FF4D"/>
    <w:rsid w:val="2B3B3416"/>
    <w:rsid w:val="2B3B3D63"/>
    <w:rsid w:val="2B3CA203"/>
    <w:rsid w:val="2B3CB035"/>
    <w:rsid w:val="2B3D2559"/>
    <w:rsid w:val="2B3EA174"/>
    <w:rsid w:val="2B4776FE"/>
    <w:rsid w:val="2B47D3B5"/>
    <w:rsid w:val="2B4899FC"/>
    <w:rsid w:val="2B4C1F9F"/>
    <w:rsid w:val="2B4CE7E6"/>
    <w:rsid w:val="2B50E381"/>
    <w:rsid w:val="2B524DF6"/>
    <w:rsid w:val="2B571099"/>
    <w:rsid w:val="2B59C81A"/>
    <w:rsid w:val="2B5DF1E1"/>
    <w:rsid w:val="2B5E6EF0"/>
    <w:rsid w:val="2B5ED613"/>
    <w:rsid w:val="2B60254B"/>
    <w:rsid w:val="2B6057C3"/>
    <w:rsid w:val="2B62DAA7"/>
    <w:rsid w:val="2B6777FC"/>
    <w:rsid w:val="2B67D1B3"/>
    <w:rsid w:val="2B688973"/>
    <w:rsid w:val="2B6CF996"/>
    <w:rsid w:val="2B7AC1B1"/>
    <w:rsid w:val="2B8058C2"/>
    <w:rsid w:val="2B84683C"/>
    <w:rsid w:val="2B864562"/>
    <w:rsid w:val="2B8D2738"/>
    <w:rsid w:val="2B8DD330"/>
    <w:rsid w:val="2B915478"/>
    <w:rsid w:val="2B91AAAA"/>
    <w:rsid w:val="2B94452C"/>
    <w:rsid w:val="2B9B0DE8"/>
    <w:rsid w:val="2B9D5600"/>
    <w:rsid w:val="2B9FE356"/>
    <w:rsid w:val="2BA19862"/>
    <w:rsid w:val="2BACBFDC"/>
    <w:rsid w:val="2BB3465B"/>
    <w:rsid w:val="2BB8CC6B"/>
    <w:rsid w:val="2BB95D56"/>
    <w:rsid w:val="2BBDD83E"/>
    <w:rsid w:val="2BBDF9AD"/>
    <w:rsid w:val="2BCB5D3D"/>
    <w:rsid w:val="2BCD4DB6"/>
    <w:rsid w:val="2BCF54C9"/>
    <w:rsid w:val="2BD0BCFE"/>
    <w:rsid w:val="2BD2CA08"/>
    <w:rsid w:val="2BD9B518"/>
    <w:rsid w:val="2BDE6F75"/>
    <w:rsid w:val="2BDF2670"/>
    <w:rsid w:val="2BE0C750"/>
    <w:rsid w:val="2BE501BF"/>
    <w:rsid w:val="2BE67BD7"/>
    <w:rsid w:val="2BEEF158"/>
    <w:rsid w:val="2BF66800"/>
    <w:rsid w:val="2BFBA906"/>
    <w:rsid w:val="2BFFFCD4"/>
    <w:rsid w:val="2C026A01"/>
    <w:rsid w:val="2C096C49"/>
    <w:rsid w:val="2C0E793D"/>
    <w:rsid w:val="2C140E94"/>
    <w:rsid w:val="2C16272A"/>
    <w:rsid w:val="2C169B24"/>
    <w:rsid w:val="2C1BA0A9"/>
    <w:rsid w:val="2C1EA41B"/>
    <w:rsid w:val="2C212F38"/>
    <w:rsid w:val="2C23983A"/>
    <w:rsid w:val="2C2719E3"/>
    <w:rsid w:val="2C29B355"/>
    <w:rsid w:val="2C2F4FB1"/>
    <w:rsid w:val="2C3239AA"/>
    <w:rsid w:val="2C3493BD"/>
    <w:rsid w:val="2C35CB2E"/>
    <w:rsid w:val="2C361F4E"/>
    <w:rsid w:val="2C365E0D"/>
    <w:rsid w:val="2C39D9DC"/>
    <w:rsid w:val="2C3B1FE6"/>
    <w:rsid w:val="2C3B596F"/>
    <w:rsid w:val="2C3B5CEE"/>
    <w:rsid w:val="2C3B9448"/>
    <w:rsid w:val="2C4102BF"/>
    <w:rsid w:val="2C43840C"/>
    <w:rsid w:val="2C4795E3"/>
    <w:rsid w:val="2C48A8D0"/>
    <w:rsid w:val="2C51EDF7"/>
    <w:rsid w:val="2C533246"/>
    <w:rsid w:val="2C53EB3B"/>
    <w:rsid w:val="2C58E022"/>
    <w:rsid w:val="2C5D0D9A"/>
    <w:rsid w:val="2C6DAEE4"/>
    <w:rsid w:val="2C726E89"/>
    <w:rsid w:val="2C7BFFFE"/>
    <w:rsid w:val="2C807FC6"/>
    <w:rsid w:val="2C867E55"/>
    <w:rsid w:val="2C87898B"/>
    <w:rsid w:val="2C88C2B2"/>
    <w:rsid w:val="2C88E2F5"/>
    <w:rsid w:val="2C8B2D5D"/>
    <w:rsid w:val="2C8D044B"/>
    <w:rsid w:val="2C914403"/>
    <w:rsid w:val="2C9302B5"/>
    <w:rsid w:val="2C930E1F"/>
    <w:rsid w:val="2C9424B0"/>
    <w:rsid w:val="2C957EE7"/>
    <w:rsid w:val="2CA7D18B"/>
    <w:rsid w:val="2CA81484"/>
    <w:rsid w:val="2CAD826D"/>
    <w:rsid w:val="2CB7BB87"/>
    <w:rsid w:val="2CB9FBFE"/>
    <w:rsid w:val="2CBA349C"/>
    <w:rsid w:val="2CBDB52B"/>
    <w:rsid w:val="2CC122E7"/>
    <w:rsid w:val="2CC548FE"/>
    <w:rsid w:val="2CC94A3B"/>
    <w:rsid w:val="2CD23BFD"/>
    <w:rsid w:val="2CD7DFDD"/>
    <w:rsid w:val="2CD9A0DE"/>
    <w:rsid w:val="2CDF11D8"/>
    <w:rsid w:val="2CE39EAB"/>
    <w:rsid w:val="2CE52706"/>
    <w:rsid w:val="2CE699FD"/>
    <w:rsid w:val="2CEA9CEE"/>
    <w:rsid w:val="2CEAE51B"/>
    <w:rsid w:val="2CED092F"/>
    <w:rsid w:val="2CF4FBFB"/>
    <w:rsid w:val="2CF71EB8"/>
    <w:rsid w:val="2CF89305"/>
    <w:rsid w:val="2CF8CF0D"/>
    <w:rsid w:val="2CFD72C6"/>
    <w:rsid w:val="2D0227AB"/>
    <w:rsid w:val="2D032344"/>
    <w:rsid w:val="2D05EE6F"/>
    <w:rsid w:val="2D0863FC"/>
    <w:rsid w:val="2D087D14"/>
    <w:rsid w:val="2D0FC327"/>
    <w:rsid w:val="2D14F5BA"/>
    <w:rsid w:val="2D16C34F"/>
    <w:rsid w:val="2D174380"/>
    <w:rsid w:val="2D178899"/>
    <w:rsid w:val="2D18248F"/>
    <w:rsid w:val="2D182FBC"/>
    <w:rsid w:val="2D1EE69E"/>
    <w:rsid w:val="2D20D8CD"/>
    <w:rsid w:val="2D22E67E"/>
    <w:rsid w:val="2D247EFA"/>
    <w:rsid w:val="2D24C031"/>
    <w:rsid w:val="2D2EC8BE"/>
    <w:rsid w:val="2D2EF24C"/>
    <w:rsid w:val="2D301425"/>
    <w:rsid w:val="2D3058F2"/>
    <w:rsid w:val="2D326743"/>
    <w:rsid w:val="2D340B2F"/>
    <w:rsid w:val="2D344FCA"/>
    <w:rsid w:val="2D35E21B"/>
    <w:rsid w:val="2D39D1CC"/>
    <w:rsid w:val="2D3C298D"/>
    <w:rsid w:val="2D41BA48"/>
    <w:rsid w:val="2D422D15"/>
    <w:rsid w:val="2D4752CF"/>
    <w:rsid w:val="2D4AEEBF"/>
    <w:rsid w:val="2D4B093B"/>
    <w:rsid w:val="2D4BB5B5"/>
    <w:rsid w:val="2D4CD7BA"/>
    <w:rsid w:val="2D568613"/>
    <w:rsid w:val="2D56F14D"/>
    <w:rsid w:val="2D598494"/>
    <w:rsid w:val="2D59CC05"/>
    <w:rsid w:val="2D59FD10"/>
    <w:rsid w:val="2D5C295B"/>
    <w:rsid w:val="2D5CE991"/>
    <w:rsid w:val="2D5D78C6"/>
    <w:rsid w:val="2D65ED01"/>
    <w:rsid w:val="2D6823A4"/>
    <w:rsid w:val="2D68FA4D"/>
    <w:rsid w:val="2D6AB6ED"/>
    <w:rsid w:val="2D6F4522"/>
    <w:rsid w:val="2D735EC4"/>
    <w:rsid w:val="2D74A2C0"/>
    <w:rsid w:val="2D79D8DB"/>
    <w:rsid w:val="2D7E489D"/>
    <w:rsid w:val="2D7E6316"/>
    <w:rsid w:val="2D837E0C"/>
    <w:rsid w:val="2D87D60C"/>
    <w:rsid w:val="2D8C0EFE"/>
    <w:rsid w:val="2D8DAF3F"/>
    <w:rsid w:val="2D8FA51D"/>
    <w:rsid w:val="2D8FF027"/>
    <w:rsid w:val="2D900066"/>
    <w:rsid w:val="2D90E8D5"/>
    <w:rsid w:val="2D93173A"/>
    <w:rsid w:val="2D9B4BEF"/>
    <w:rsid w:val="2D9DC84B"/>
    <w:rsid w:val="2DA4C58B"/>
    <w:rsid w:val="2DA4DDCD"/>
    <w:rsid w:val="2DA603AD"/>
    <w:rsid w:val="2DAA5518"/>
    <w:rsid w:val="2DAC11EF"/>
    <w:rsid w:val="2DADE1F7"/>
    <w:rsid w:val="2DAFC5DB"/>
    <w:rsid w:val="2DB2C199"/>
    <w:rsid w:val="2DB415D9"/>
    <w:rsid w:val="2DB42A58"/>
    <w:rsid w:val="2DB7F31F"/>
    <w:rsid w:val="2DB89F82"/>
    <w:rsid w:val="2DB8F7A2"/>
    <w:rsid w:val="2DB96162"/>
    <w:rsid w:val="2DBD790D"/>
    <w:rsid w:val="2DBE9BA4"/>
    <w:rsid w:val="2DC38DE5"/>
    <w:rsid w:val="2DC49870"/>
    <w:rsid w:val="2DC7825B"/>
    <w:rsid w:val="2DC98BCD"/>
    <w:rsid w:val="2DD51DA2"/>
    <w:rsid w:val="2DD72FA1"/>
    <w:rsid w:val="2DD8EBEA"/>
    <w:rsid w:val="2DDDBB01"/>
    <w:rsid w:val="2DE03652"/>
    <w:rsid w:val="2DE09EB5"/>
    <w:rsid w:val="2DE2DC12"/>
    <w:rsid w:val="2DE4E2AB"/>
    <w:rsid w:val="2DE56E4C"/>
    <w:rsid w:val="2DE6288A"/>
    <w:rsid w:val="2DE7F00F"/>
    <w:rsid w:val="2DE888A2"/>
    <w:rsid w:val="2DEC8C67"/>
    <w:rsid w:val="2DECFD33"/>
    <w:rsid w:val="2DF180A2"/>
    <w:rsid w:val="2DF3E817"/>
    <w:rsid w:val="2DF5C680"/>
    <w:rsid w:val="2DF74FE0"/>
    <w:rsid w:val="2DF9E011"/>
    <w:rsid w:val="2DFB1223"/>
    <w:rsid w:val="2DFDC8E1"/>
    <w:rsid w:val="2E014EDE"/>
    <w:rsid w:val="2E0A7AFD"/>
    <w:rsid w:val="2E0D5486"/>
    <w:rsid w:val="2E11416F"/>
    <w:rsid w:val="2E12CA85"/>
    <w:rsid w:val="2E134036"/>
    <w:rsid w:val="2E143677"/>
    <w:rsid w:val="2E14D968"/>
    <w:rsid w:val="2E159367"/>
    <w:rsid w:val="2E17585A"/>
    <w:rsid w:val="2E17DD37"/>
    <w:rsid w:val="2E1CE4D4"/>
    <w:rsid w:val="2E222821"/>
    <w:rsid w:val="2E25994E"/>
    <w:rsid w:val="2E25ED79"/>
    <w:rsid w:val="2E29CDDE"/>
    <w:rsid w:val="2E371E35"/>
    <w:rsid w:val="2E3AB403"/>
    <w:rsid w:val="2E3BC33D"/>
    <w:rsid w:val="2E3C8F7B"/>
    <w:rsid w:val="2E3D08FC"/>
    <w:rsid w:val="2E3D3761"/>
    <w:rsid w:val="2E410FC8"/>
    <w:rsid w:val="2E450D0B"/>
    <w:rsid w:val="2E4A850A"/>
    <w:rsid w:val="2E529064"/>
    <w:rsid w:val="2E56837C"/>
    <w:rsid w:val="2E5BEE3D"/>
    <w:rsid w:val="2E5C3080"/>
    <w:rsid w:val="2E5D321F"/>
    <w:rsid w:val="2E5DBB48"/>
    <w:rsid w:val="2E5F3B49"/>
    <w:rsid w:val="2E5FDD9E"/>
    <w:rsid w:val="2E60862C"/>
    <w:rsid w:val="2E664904"/>
    <w:rsid w:val="2E778508"/>
    <w:rsid w:val="2E7B14C0"/>
    <w:rsid w:val="2E8427AD"/>
    <w:rsid w:val="2E843748"/>
    <w:rsid w:val="2E85D3DC"/>
    <w:rsid w:val="2E8F638F"/>
    <w:rsid w:val="2E922B96"/>
    <w:rsid w:val="2E924843"/>
    <w:rsid w:val="2E92CC60"/>
    <w:rsid w:val="2E94E130"/>
    <w:rsid w:val="2E94EEC6"/>
    <w:rsid w:val="2E9CFAFB"/>
    <w:rsid w:val="2E9E6BED"/>
    <w:rsid w:val="2E9FC33E"/>
    <w:rsid w:val="2EA71E04"/>
    <w:rsid w:val="2EAA0B4A"/>
    <w:rsid w:val="2EB7C6F1"/>
    <w:rsid w:val="2EB86FBF"/>
    <w:rsid w:val="2EBBA068"/>
    <w:rsid w:val="2EC1E3A6"/>
    <w:rsid w:val="2EC740F9"/>
    <w:rsid w:val="2ECA2FBE"/>
    <w:rsid w:val="2ECBCB07"/>
    <w:rsid w:val="2ECD646F"/>
    <w:rsid w:val="2ECDA88D"/>
    <w:rsid w:val="2ECEFFB2"/>
    <w:rsid w:val="2ED08669"/>
    <w:rsid w:val="2ED121DA"/>
    <w:rsid w:val="2ED1CABA"/>
    <w:rsid w:val="2ED52A6C"/>
    <w:rsid w:val="2EDB3594"/>
    <w:rsid w:val="2EE6197B"/>
    <w:rsid w:val="2EE668E2"/>
    <w:rsid w:val="2EE8BC28"/>
    <w:rsid w:val="2EEDDD6D"/>
    <w:rsid w:val="2EEF6476"/>
    <w:rsid w:val="2EF0DE46"/>
    <w:rsid w:val="2F037CFB"/>
    <w:rsid w:val="2F04FD2B"/>
    <w:rsid w:val="2F06E5AF"/>
    <w:rsid w:val="2F06EF57"/>
    <w:rsid w:val="2F073B49"/>
    <w:rsid w:val="2F077D7D"/>
    <w:rsid w:val="2F0BC2F1"/>
    <w:rsid w:val="2F118E2B"/>
    <w:rsid w:val="2F18B99F"/>
    <w:rsid w:val="2F195ED1"/>
    <w:rsid w:val="2F1A1143"/>
    <w:rsid w:val="2F1E97EB"/>
    <w:rsid w:val="2F24B287"/>
    <w:rsid w:val="2F2E6455"/>
    <w:rsid w:val="2F2F07CF"/>
    <w:rsid w:val="2F30E837"/>
    <w:rsid w:val="2F352634"/>
    <w:rsid w:val="2F3C1202"/>
    <w:rsid w:val="2F3FCC9F"/>
    <w:rsid w:val="2F40884E"/>
    <w:rsid w:val="2F440EE8"/>
    <w:rsid w:val="2F443CBA"/>
    <w:rsid w:val="2F46ADEC"/>
    <w:rsid w:val="2F47E58B"/>
    <w:rsid w:val="2F4AED3A"/>
    <w:rsid w:val="2F4BCA9C"/>
    <w:rsid w:val="2F4D213A"/>
    <w:rsid w:val="2F557D08"/>
    <w:rsid w:val="2F5911BC"/>
    <w:rsid w:val="2F5AA184"/>
    <w:rsid w:val="2F5B758E"/>
    <w:rsid w:val="2F5D605E"/>
    <w:rsid w:val="2F61ADBC"/>
    <w:rsid w:val="2F65FC24"/>
    <w:rsid w:val="2F6ACBF5"/>
    <w:rsid w:val="2F71A732"/>
    <w:rsid w:val="2F739691"/>
    <w:rsid w:val="2F74F27F"/>
    <w:rsid w:val="2F7901F7"/>
    <w:rsid w:val="2F7B2087"/>
    <w:rsid w:val="2F7D58CC"/>
    <w:rsid w:val="2F80FD6E"/>
    <w:rsid w:val="2F8B03DE"/>
    <w:rsid w:val="2F907009"/>
    <w:rsid w:val="2F9111A8"/>
    <w:rsid w:val="2F920AA7"/>
    <w:rsid w:val="2F93B2AD"/>
    <w:rsid w:val="2F99C923"/>
    <w:rsid w:val="2F9FA42E"/>
    <w:rsid w:val="2FA0B39D"/>
    <w:rsid w:val="2FA16A89"/>
    <w:rsid w:val="2FA446E4"/>
    <w:rsid w:val="2FAAD651"/>
    <w:rsid w:val="2FAE6472"/>
    <w:rsid w:val="2FB17B7C"/>
    <w:rsid w:val="2FB42E76"/>
    <w:rsid w:val="2FC4B263"/>
    <w:rsid w:val="2FD31948"/>
    <w:rsid w:val="2FD43A20"/>
    <w:rsid w:val="2FD5233B"/>
    <w:rsid w:val="2FD940D6"/>
    <w:rsid w:val="2FE05F24"/>
    <w:rsid w:val="2FE51907"/>
    <w:rsid w:val="2FECD45B"/>
    <w:rsid w:val="2FED89B6"/>
    <w:rsid w:val="2FEE9C03"/>
    <w:rsid w:val="2FF0ABED"/>
    <w:rsid w:val="2FF12CDB"/>
    <w:rsid w:val="2FF298D7"/>
    <w:rsid w:val="2FF4A90B"/>
    <w:rsid w:val="2FF5F926"/>
    <w:rsid w:val="2FFE4BE4"/>
    <w:rsid w:val="2FFFA5A0"/>
    <w:rsid w:val="300348BA"/>
    <w:rsid w:val="30065A9A"/>
    <w:rsid w:val="3006E123"/>
    <w:rsid w:val="300A7556"/>
    <w:rsid w:val="300B524E"/>
    <w:rsid w:val="300E53B6"/>
    <w:rsid w:val="30136ADB"/>
    <w:rsid w:val="30143011"/>
    <w:rsid w:val="3015F9D8"/>
    <w:rsid w:val="301840C6"/>
    <w:rsid w:val="3019B577"/>
    <w:rsid w:val="301A47DB"/>
    <w:rsid w:val="301A8A71"/>
    <w:rsid w:val="301EC7E8"/>
    <w:rsid w:val="301EE798"/>
    <w:rsid w:val="301FB1F7"/>
    <w:rsid w:val="3022A777"/>
    <w:rsid w:val="3022F6A7"/>
    <w:rsid w:val="30272FEC"/>
    <w:rsid w:val="302B4989"/>
    <w:rsid w:val="303F4467"/>
    <w:rsid w:val="3044A710"/>
    <w:rsid w:val="304705EF"/>
    <w:rsid w:val="304B7564"/>
    <w:rsid w:val="304CE200"/>
    <w:rsid w:val="30500973"/>
    <w:rsid w:val="3052768A"/>
    <w:rsid w:val="305815B1"/>
    <w:rsid w:val="3059C27E"/>
    <w:rsid w:val="305A26FD"/>
    <w:rsid w:val="305FE561"/>
    <w:rsid w:val="3067ACBD"/>
    <w:rsid w:val="306C9799"/>
    <w:rsid w:val="306E4754"/>
    <w:rsid w:val="3078F8B3"/>
    <w:rsid w:val="3079D726"/>
    <w:rsid w:val="308912B0"/>
    <w:rsid w:val="308EB91E"/>
    <w:rsid w:val="30904569"/>
    <w:rsid w:val="3090CDA5"/>
    <w:rsid w:val="30944887"/>
    <w:rsid w:val="30979AAB"/>
    <w:rsid w:val="309ABC06"/>
    <w:rsid w:val="309E0DC1"/>
    <w:rsid w:val="30A67E0E"/>
    <w:rsid w:val="30AC9869"/>
    <w:rsid w:val="30ACC7CC"/>
    <w:rsid w:val="30B32A65"/>
    <w:rsid w:val="30B3432B"/>
    <w:rsid w:val="30B67FCD"/>
    <w:rsid w:val="30BCF200"/>
    <w:rsid w:val="30BE1517"/>
    <w:rsid w:val="30C77674"/>
    <w:rsid w:val="30C79CB7"/>
    <w:rsid w:val="30C9C977"/>
    <w:rsid w:val="30CA225D"/>
    <w:rsid w:val="30CC290B"/>
    <w:rsid w:val="30CCB930"/>
    <w:rsid w:val="30CCEA05"/>
    <w:rsid w:val="30CF92D3"/>
    <w:rsid w:val="30D66841"/>
    <w:rsid w:val="30DA41A0"/>
    <w:rsid w:val="30DE59C4"/>
    <w:rsid w:val="30DF4D48"/>
    <w:rsid w:val="30E4DDF5"/>
    <w:rsid w:val="30E61918"/>
    <w:rsid w:val="30E9C199"/>
    <w:rsid w:val="30EB3AF9"/>
    <w:rsid w:val="30ED8241"/>
    <w:rsid w:val="30EFE109"/>
    <w:rsid w:val="30F25E30"/>
    <w:rsid w:val="30F664E6"/>
    <w:rsid w:val="30FB104F"/>
    <w:rsid w:val="30FE94F9"/>
    <w:rsid w:val="30FF2B59"/>
    <w:rsid w:val="3106355F"/>
    <w:rsid w:val="310B249B"/>
    <w:rsid w:val="310CFD1F"/>
    <w:rsid w:val="310E72CE"/>
    <w:rsid w:val="31104105"/>
    <w:rsid w:val="31109851"/>
    <w:rsid w:val="3110E677"/>
    <w:rsid w:val="31138C11"/>
    <w:rsid w:val="3115BD50"/>
    <w:rsid w:val="311673AD"/>
    <w:rsid w:val="311AC74E"/>
    <w:rsid w:val="312858B3"/>
    <w:rsid w:val="3128D7F9"/>
    <w:rsid w:val="3129C3F9"/>
    <w:rsid w:val="312BF0C1"/>
    <w:rsid w:val="313632F0"/>
    <w:rsid w:val="31379CE6"/>
    <w:rsid w:val="313B3827"/>
    <w:rsid w:val="313D8AB8"/>
    <w:rsid w:val="313EC7C3"/>
    <w:rsid w:val="31419647"/>
    <w:rsid w:val="31422303"/>
    <w:rsid w:val="31456A3D"/>
    <w:rsid w:val="3150390E"/>
    <w:rsid w:val="3151F414"/>
    <w:rsid w:val="3157559A"/>
    <w:rsid w:val="3157FF8C"/>
    <w:rsid w:val="3158A978"/>
    <w:rsid w:val="315F4C55"/>
    <w:rsid w:val="31653866"/>
    <w:rsid w:val="3168C084"/>
    <w:rsid w:val="31691B04"/>
    <w:rsid w:val="316C976C"/>
    <w:rsid w:val="316CFB17"/>
    <w:rsid w:val="316DE41E"/>
    <w:rsid w:val="317099DA"/>
    <w:rsid w:val="3170BE6C"/>
    <w:rsid w:val="31716B03"/>
    <w:rsid w:val="3172EF62"/>
    <w:rsid w:val="31742F71"/>
    <w:rsid w:val="31744405"/>
    <w:rsid w:val="31767287"/>
    <w:rsid w:val="317F59B2"/>
    <w:rsid w:val="317FBD65"/>
    <w:rsid w:val="318330BB"/>
    <w:rsid w:val="3184DD94"/>
    <w:rsid w:val="3186DABF"/>
    <w:rsid w:val="31883A77"/>
    <w:rsid w:val="318AEFAC"/>
    <w:rsid w:val="318D70F6"/>
    <w:rsid w:val="3191F150"/>
    <w:rsid w:val="3194E540"/>
    <w:rsid w:val="3196A128"/>
    <w:rsid w:val="31A9EB56"/>
    <w:rsid w:val="31AF12EC"/>
    <w:rsid w:val="31B088A1"/>
    <w:rsid w:val="31B7321F"/>
    <w:rsid w:val="31B79EFA"/>
    <w:rsid w:val="31B978A3"/>
    <w:rsid w:val="31BDC1CD"/>
    <w:rsid w:val="31C13707"/>
    <w:rsid w:val="31D66C16"/>
    <w:rsid w:val="31D6C484"/>
    <w:rsid w:val="31D6EFEA"/>
    <w:rsid w:val="31D6F354"/>
    <w:rsid w:val="31DA353C"/>
    <w:rsid w:val="31DDB33B"/>
    <w:rsid w:val="31E3DAD2"/>
    <w:rsid w:val="31E62AC1"/>
    <w:rsid w:val="31E7B52E"/>
    <w:rsid w:val="31EAD0DD"/>
    <w:rsid w:val="31EAFE15"/>
    <w:rsid w:val="31EDDE41"/>
    <w:rsid w:val="31F2B10D"/>
    <w:rsid w:val="31F5A1C0"/>
    <w:rsid w:val="31FEA7F7"/>
    <w:rsid w:val="31FEB319"/>
    <w:rsid w:val="320018E9"/>
    <w:rsid w:val="32035D38"/>
    <w:rsid w:val="32057614"/>
    <w:rsid w:val="32060855"/>
    <w:rsid w:val="3206F4AB"/>
    <w:rsid w:val="3206F635"/>
    <w:rsid w:val="320A1944"/>
    <w:rsid w:val="32103B5E"/>
    <w:rsid w:val="3211AA3C"/>
    <w:rsid w:val="3212B83E"/>
    <w:rsid w:val="32140EA1"/>
    <w:rsid w:val="32173242"/>
    <w:rsid w:val="3218F25E"/>
    <w:rsid w:val="321BC045"/>
    <w:rsid w:val="321BDF93"/>
    <w:rsid w:val="3220FFD1"/>
    <w:rsid w:val="322378EC"/>
    <w:rsid w:val="3223E0E5"/>
    <w:rsid w:val="32240FF4"/>
    <w:rsid w:val="322A1E99"/>
    <w:rsid w:val="322EE92E"/>
    <w:rsid w:val="32300934"/>
    <w:rsid w:val="32348FF2"/>
    <w:rsid w:val="32377917"/>
    <w:rsid w:val="32390BB5"/>
    <w:rsid w:val="323A6EC6"/>
    <w:rsid w:val="323F3742"/>
    <w:rsid w:val="3242FBB6"/>
    <w:rsid w:val="3244031D"/>
    <w:rsid w:val="32492655"/>
    <w:rsid w:val="324B6125"/>
    <w:rsid w:val="324F11EE"/>
    <w:rsid w:val="32540456"/>
    <w:rsid w:val="3256CC92"/>
    <w:rsid w:val="3259C0B3"/>
    <w:rsid w:val="3259EAC7"/>
    <w:rsid w:val="325FAD91"/>
    <w:rsid w:val="32631A28"/>
    <w:rsid w:val="32635D13"/>
    <w:rsid w:val="32659F11"/>
    <w:rsid w:val="3265E80D"/>
    <w:rsid w:val="3268547B"/>
    <w:rsid w:val="32688624"/>
    <w:rsid w:val="3275A02E"/>
    <w:rsid w:val="3278B2A0"/>
    <w:rsid w:val="327ADB11"/>
    <w:rsid w:val="327C18C6"/>
    <w:rsid w:val="327C6B3D"/>
    <w:rsid w:val="3281F12B"/>
    <w:rsid w:val="32849E83"/>
    <w:rsid w:val="32870905"/>
    <w:rsid w:val="32880C33"/>
    <w:rsid w:val="328BDA95"/>
    <w:rsid w:val="328CCEE0"/>
    <w:rsid w:val="328DACD4"/>
    <w:rsid w:val="3290AF53"/>
    <w:rsid w:val="3290C603"/>
    <w:rsid w:val="3292F4F6"/>
    <w:rsid w:val="32938DC6"/>
    <w:rsid w:val="329CC1FD"/>
    <w:rsid w:val="329E3AE1"/>
    <w:rsid w:val="329FA171"/>
    <w:rsid w:val="329FE282"/>
    <w:rsid w:val="32A0275B"/>
    <w:rsid w:val="32A4156C"/>
    <w:rsid w:val="32A59DE2"/>
    <w:rsid w:val="32A7549C"/>
    <w:rsid w:val="32A9F140"/>
    <w:rsid w:val="32AB111B"/>
    <w:rsid w:val="32AD5EEA"/>
    <w:rsid w:val="32B19C8A"/>
    <w:rsid w:val="32B1C57A"/>
    <w:rsid w:val="32B2AE9C"/>
    <w:rsid w:val="32B879F6"/>
    <w:rsid w:val="32BB044F"/>
    <w:rsid w:val="32BCE9D3"/>
    <w:rsid w:val="32C08F8E"/>
    <w:rsid w:val="32C20B6C"/>
    <w:rsid w:val="32C3BD51"/>
    <w:rsid w:val="32C5B633"/>
    <w:rsid w:val="32C94116"/>
    <w:rsid w:val="32CB7265"/>
    <w:rsid w:val="32D08D82"/>
    <w:rsid w:val="32D95CBD"/>
    <w:rsid w:val="32E31D3C"/>
    <w:rsid w:val="32E3872C"/>
    <w:rsid w:val="32E59E8E"/>
    <w:rsid w:val="32EC418E"/>
    <w:rsid w:val="32EC8FC6"/>
    <w:rsid w:val="32FD2702"/>
    <w:rsid w:val="32FD7835"/>
    <w:rsid w:val="32FF517A"/>
    <w:rsid w:val="32FFDCE1"/>
    <w:rsid w:val="3304083A"/>
    <w:rsid w:val="3306FE0B"/>
    <w:rsid w:val="3307008E"/>
    <w:rsid w:val="3307F247"/>
    <w:rsid w:val="330BE6A8"/>
    <w:rsid w:val="330E5F65"/>
    <w:rsid w:val="3311D7DD"/>
    <w:rsid w:val="33130DFE"/>
    <w:rsid w:val="3316C80D"/>
    <w:rsid w:val="331AEA7F"/>
    <w:rsid w:val="3320E48E"/>
    <w:rsid w:val="33211C61"/>
    <w:rsid w:val="33233FE7"/>
    <w:rsid w:val="3324ACC5"/>
    <w:rsid w:val="332B2753"/>
    <w:rsid w:val="332D05E9"/>
    <w:rsid w:val="332DDFFD"/>
    <w:rsid w:val="33320B85"/>
    <w:rsid w:val="333B370E"/>
    <w:rsid w:val="333D1210"/>
    <w:rsid w:val="333F02CD"/>
    <w:rsid w:val="333FF141"/>
    <w:rsid w:val="33441E37"/>
    <w:rsid w:val="3345C166"/>
    <w:rsid w:val="334860EE"/>
    <w:rsid w:val="334B493F"/>
    <w:rsid w:val="334F4CE0"/>
    <w:rsid w:val="3351A388"/>
    <w:rsid w:val="33520DAE"/>
    <w:rsid w:val="3353F459"/>
    <w:rsid w:val="3355C130"/>
    <w:rsid w:val="3357A26C"/>
    <w:rsid w:val="3358D008"/>
    <w:rsid w:val="335BC03A"/>
    <w:rsid w:val="335EA5F6"/>
    <w:rsid w:val="335FDC8D"/>
    <w:rsid w:val="33645EC3"/>
    <w:rsid w:val="3369D641"/>
    <w:rsid w:val="336A0719"/>
    <w:rsid w:val="336EDC1A"/>
    <w:rsid w:val="33709C72"/>
    <w:rsid w:val="3371C00E"/>
    <w:rsid w:val="337653FE"/>
    <w:rsid w:val="33782C72"/>
    <w:rsid w:val="3381774A"/>
    <w:rsid w:val="3381A8C5"/>
    <w:rsid w:val="33859D90"/>
    <w:rsid w:val="338A408F"/>
    <w:rsid w:val="338B622B"/>
    <w:rsid w:val="3391BD68"/>
    <w:rsid w:val="3392E239"/>
    <w:rsid w:val="33A5F6FA"/>
    <w:rsid w:val="33A8F607"/>
    <w:rsid w:val="33AD19EA"/>
    <w:rsid w:val="33AD25CF"/>
    <w:rsid w:val="33AD3CD1"/>
    <w:rsid w:val="33B6D328"/>
    <w:rsid w:val="33BFE7F3"/>
    <w:rsid w:val="33C5AC44"/>
    <w:rsid w:val="33CADEF8"/>
    <w:rsid w:val="33CB1915"/>
    <w:rsid w:val="33CBFF24"/>
    <w:rsid w:val="33DBEC4E"/>
    <w:rsid w:val="33DD771B"/>
    <w:rsid w:val="33E1F1FD"/>
    <w:rsid w:val="33E34360"/>
    <w:rsid w:val="33E8AE5B"/>
    <w:rsid w:val="33EB9A6A"/>
    <w:rsid w:val="33F3A764"/>
    <w:rsid w:val="33FC9A4A"/>
    <w:rsid w:val="34027785"/>
    <w:rsid w:val="3409F7E4"/>
    <w:rsid w:val="340DA16E"/>
    <w:rsid w:val="34132C83"/>
    <w:rsid w:val="341674A3"/>
    <w:rsid w:val="341BF9BE"/>
    <w:rsid w:val="341EBAC6"/>
    <w:rsid w:val="341F713F"/>
    <w:rsid w:val="3422D8C5"/>
    <w:rsid w:val="34244369"/>
    <w:rsid w:val="3428E81E"/>
    <w:rsid w:val="342A116B"/>
    <w:rsid w:val="342BDB3B"/>
    <w:rsid w:val="342E6751"/>
    <w:rsid w:val="342F0B95"/>
    <w:rsid w:val="342FC6D7"/>
    <w:rsid w:val="3430CFAC"/>
    <w:rsid w:val="343A8207"/>
    <w:rsid w:val="343BD159"/>
    <w:rsid w:val="343EAD2A"/>
    <w:rsid w:val="3446ACE9"/>
    <w:rsid w:val="3447B2C0"/>
    <w:rsid w:val="3448C561"/>
    <w:rsid w:val="34555122"/>
    <w:rsid w:val="345551C9"/>
    <w:rsid w:val="3462B082"/>
    <w:rsid w:val="346C77AF"/>
    <w:rsid w:val="346CF9E8"/>
    <w:rsid w:val="346EB244"/>
    <w:rsid w:val="3470A98A"/>
    <w:rsid w:val="3475ABC1"/>
    <w:rsid w:val="34760F4F"/>
    <w:rsid w:val="3477DA1B"/>
    <w:rsid w:val="347A4D3F"/>
    <w:rsid w:val="347B3797"/>
    <w:rsid w:val="347F904A"/>
    <w:rsid w:val="3483E8F1"/>
    <w:rsid w:val="34885857"/>
    <w:rsid w:val="348C06F6"/>
    <w:rsid w:val="348DCF74"/>
    <w:rsid w:val="348E6303"/>
    <w:rsid w:val="348ED38D"/>
    <w:rsid w:val="3493F5CE"/>
    <w:rsid w:val="34950841"/>
    <w:rsid w:val="34956FB3"/>
    <w:rsid w:val="34981E63"/>
    <w:rsid w:val="34982B82"/>
    <w:rsid w:val="349DBE09"/>
    <w:rsid w:val="349F8F2E"/>
    <w:rsid w:val="34A054B5"/>
    <w:rsid w:val="34B41D60"/>
    <w:rsid w:val="34B4BF8E"/>
    <w:rsid w:val="34B64B0B"/>
    <w:rsid w:val="34B7B46D"/>
    <w:rsid w:val="34BB991E"/>
    <w:rsid w:val="34BBADBD"/>
    <w:rsid w:val="34BD2CEE"/>
    <w:rsid w:val="34C09C49"/>
    <w:rsid w:val="34C0B26D"/>
    <w:rsid w:val="34C46906"/>
    <w:rsid w:val="34C644BA"/>
    <w:rsid w:val="34CBF520"/>
    <w:rsid w:val="34CE3A82"/>
    <w:rsid w:val="34CF37E3"/>
    <w:rsid w:val="34D74FBF"/>
    <w:rsid w:val="34DC6118"/>
    <w:rsid w:val="34E1809D"/>
    <w:rsid w:val="34E38A85"/>
    <w:rsid w:val="34E5729A"/>
    <w:rsid w:val="34EB8224"/>
    <w:rsid w:val="34EC0CB6"/>
    <w:rsid w:val="34EEE035"/>
    <w:rsid w:val="34FFBA7E"/>
    <w:rsid w:val="3500C866"/>
    <w:rsid w:val="3504C1C5"/>
    <w:rsid w:val="35119F80"/>
    <w:rsid w:val="3513959C"/>
    <w:rsid w:val="3515051E"/>
    <w:rsid w:val="3515E13A"/>
    <w:rsid w:val="35197970"/>
    <w:rsid w:val="351A9660"/>
    <w:rsid w:val="351FAF7B"/>
    <w:rsid w:val="3526791E"/>
    <w:rsid w:val="3542AFD2"/>
    <w:rsid w:val="3545AB3C"/>
    <w:rsid w:val="354D998E"/>
    <w:rsid w:val="354E14D5"/>
    <w:rsid w:val="354FD9B6"/>
    <w:rsid w:val="3558D9D6"/>
    <w:rsid w:val="3559018E"/>
    <w:rsid w:val="355B4048"/>
    <w:rsid w:val="35668741"/>
    <w:rsid w:val="3567D330"/>
    <w:rsid w:val="3568AF8E"/>
    <w:rsid w:val="35696A77"/>
    <w:rsid w:val="356C4AF9"/>
    <w:rsid w:val="356D6C01"/>
    <w:rsid w:val="356E7849"/>
    <w:rsid w:val="356EBFE9"/>
    <w:rsid w:val="3579DEF4"/>
    <w:rsid w:val="3581F149"/>
    <w:rsid w:val="3585F2BD"/>
    <w:rsid w:val="3587328A"/>
    <w:rsid w:val="35873CFD"/>
    <w:rsid w:val="3589CD87"/>
    <w:rsid w:val="358B88BB"/>
    <w:rsid w:val="358EBFB9"/>
    <w:rsid w:val="359609CA"/>
    <w:rsid w:val="359DC087"/>
    <w:rsid w:val="35A255B8"/>
    <w:rsid w:val="35A5D86A"/>
    <w:rsid w:val="35A79848"/>
    <w:rsid w:val="35A88F6E"/>
    <w:rsid w:val="35AC4527"/>
    <w:rsid w:val="35AFC46B"/>
    <w:rsid w:val="35B3BD04"/>
    <w:rsid w:val="35B4FFE0"/>
    <w:rsid w:val="35B86FA3"/>
    <w:rsid w:val="35B8BD84"/>
    <w:rsid w:val="35B962C9"/>
    <w:rsid w:val="35BCA58A"/>
    <w:rsid w:val="35BE547B"/>
    <w:rsid w:val="35C6D22D"/>
    <w:rsid w:val="35CA3B57"/>
    <w:rsid w:val="35CFC639"/>
    <w:rsid w:val="35D34D7B"/>
    <w:rsid w:val="35D44F9C"/>
    <w:rsid w:val="35D47C02"/>
    <w:rsid w:val="35D4E35A"/>
    <w:rsid w:val="35D57117"/>
    <w:rsid w:val="35D6896A"/>
    <w:rsid w:val="35D9B43F"/>
    <w:rsid w:val="35DDB596"/>
    <w:rsid w:val="35DE7D6C"/>
    <w:rsid w:val="35E37A07"/>
    <w:rsid w:val="35E69562"/>
    <w:rsid w:val="35E9A45C"/>
    <w:rsid w:val="35ED5246"/>
    <w:rsid w:val="35F20EFF"/>
    <w:rsid w:val="35F37D55"/>
    <w:rsid w:val="35F5A301"/>
    <w:rsid w:val="35F60929"/>
    <w:rsid w:val="35F6FCBF"/>
    <w:rsid w:val="35F8F7AD"/>
    <w:rsid w:val="35FC59A8"/>
    <w:rsid w:val="35FE6C2C"/>
    <w:rsid w:val="35FECA2C"/>
    <w:rsid w:val="35FED0DB"/>
    <w:rsid w:val="360163A6"/>
    <w:rsid w:val="36035901"/>
    <w:rsid w:val="3603B8A2"/>
    <w:rsid w:val="360D0B1E"/>
    <w:rsid w:val="3613B7A2"/>
    <w:rsid w:val="3619E459"/>
    <w:rsid w:val="361E024F"/>
    <w:rsid w:val="36215C6A"/>
    <w:rsid w:val="3625E648"/>
    <w:rsid w:val="36262B1C"/>
    <w:rsid w:val="362CEEB6"/>
    <w:rsid w:val="362FE59B"/>
    <w:rsid w:val="362FE9EF"/>
    <w:rsid w:val="3633146D"/>
    <w:rsid w:val="3633C182"/>
    <w:rsid w:val="3634C3DC"/>
    <w:rsid w:val="363527DC"/>
    <w:rsid w:val="3636D735"/>
    <w:rsid w:val="3637E981"/>
    <w:rsid w:val="36426D5A"/>
    <w:rsid w:val="36436110"/>
    <w:rsid w:val="364696B2"/>
    <w:rsid w:val="3647215F"/>
    <w:rsid w:val="364A1E5A"/>
    <w:rsid w:val="364CF14E"/>
    <w:rsid w:val="364E867F"/>
    <w:rsid w:val="364EB28C"/>
    <w:rsid w:val="364F8F75"/>
    <w:rsid w:val="365169A1"/>
    <w:rsid w:val="36521506"/>
    <w:rsid w:val="3657B73D"/>
    <w:rsid w:val="365BBFB1"/>
    <w:rsid w:val="365F8D2F"/>
    <w:rsid w:val="36648956"/>
    <w:rsid w:val="36696951"/>
    <w:rsid w:val="366A92E4"/>
    <w:rsid w:val="366C61EE"/>
    <w:rsid w:val="366D4C88"/>
    <w:rsid w:val="366DE931"/>
    <w:rsid w:val="366E7228"/>
    <w:rsid w:val="366FD8B0"/>
    <w:rsid w:val="3670E9F9"/>
    <w:rsid w:val="367364AC"/>
    <w:rsid w:val="36743D0C"/>
    <w:rsid w:val="36745ED9"/>
    <w:rsid w:val="3681BB43"/>
    <w:rsid w:val="3683122B"/>
    <w:rsid w:val="368532A9"/>
    <w:rsid w:val="3692A4AA"/>
    <w:rsid w:val="36960FA4"/>
    <w:rsid w:val="3699A191"/>
    <w:rsid w:val="369C0A77"/>
    <w:rsid w:val="36A2D76E"/>
    <w:rsid w:val="36A36891"/>
    <w:rsid w:val="36A742ED"/>
    <w:rsid w:val="36A8546B"/>
    <w:rsid w:val="36ACF507"/>
    <w:rsid w:val="36AF59D2"/>
    <w:rsid w:val="36B03CF5"/>
    <w:rsid w:val="36B7C911"/>
    <w:rsid w:val="36BAA1E4"/>
    <w:rsid w:val="36C16312"/>
    <w:rsid w:val="36C16EED"/>
    <w:rsid w:val="36C7859F"/>
    <w:rsid w:val="36C99EE5"/>
    <w:rsid w:val="36CF259D"/>
    <w:rsid w:val="36D3F5D8"/>
    <w:rsid w:val="36D7293E"/>
    <w:rsid w:val="36DCE99C"/>
    <w:rsid w:val="36E23ED6"/>
    <w:rsid w:val="36E2C842"/>
    <w:rsid w:val="36E98481"/>
    <w:rsid w:val="36EA4BED"/>
    <w:rsid w:val="36EDBE91"/>
    <w:rsid w:val="36EE26DA"/>
    <w:rsid w:val="36F0A02C"/>
    <w:rsid w:val="36F1E9C7"/>
    <w:rsid w:val="36F5F2EE"/>
    <w:rsid w:val="36F7645B"/>
    <w:rsid w:val="36F986D0"/>
    <w:rsid w:val="370576DE"/>
    <w:rsid w:val="37079FCE"/>
    <w:rsid w:val="370FEE9A"/>
    <w:rsid w:val="37109FE2"/>
    <w:rsid w:val="3715B572"/>
    <w:rsid w:val="371AA9C9"/>
    <w:rsid w:val="371C3FB9"/>
    <w:rsid w:val="371D8590"/>
    <w:rsid w:val="371E9B7B"/>
    <w:rsid w:val="37212C08"/>
    <w:rsid w:val="3722C5EC"/>
    <w:rsid w:val="372F24D0"/>
    <w:rsid w:val="3731E8EC"/>
    <w:rsid w:val="37351BE1"/>
    <w:rsid w:val="37383A6B"/>
    <w:rsid w:val="373D4C61"/>
    <w:rsid w:val="373D65E1"/>
    <w:rsid w:val="3746E96E"/>
    <w:rsid w:val="374B58EC"/>
    <w:rsid w:val="37538685"/>
    <w:rsid w:val="37581D5E"/>
    <w:rsid w:val="3759A01D"/>
    <w:rsid w:val="375ABC7C"/>
    <w:rsid w:val="375B5F0E"/>
    <w:rsid w:val="375E9082"/>
    <w:rsid w:val="376305DB"/>
    <w:rsid w:val="37637CF6"/>
    <w:rsid w:val="376B1EE7"/>
    <w:rsid w:val="37705BFC"/>
    <w:rsid w:val="3771986D"/>
    <w:rsid w:val="37730420"/>
    <w:rsid w:val="37782094"/>
    <w:rsid w:val="3781C540"/>
    <w:rsid w:val="378658DD"/>
    <w:rsid w:val="37871226"/>
    <w:rsid w:val="3789647D"/>
    <w:rsid w:val="3789FB38"/>
    <w:rsid w:val="378A0D8C"/>
    <w:rsid w:val="378B1880"/>
    <w:rsid w:val="379038E7"/>
    <w:rsid w:val="3792A234"/>
    <w:rsid w:val="37954819"/>
    <w:rsid w:val="3795BD98"/>
    <w:rsid w:val="37969E2D"/>
    <w:rsid w:val="379D664B"/>
    <w:rsid w:val="37A1B775"/>
    <w:rsid w:val="37A23268"/>
    <w:rsid w:val="37A5BA19"/>
    <w:rsid w:val="37AD9AB2"/>
    <w:rsid w:val="37AF4B20"/>
    <w:rsid w:val="37B0FF54"/>
    <w:rsid w:val="37B27AA5"/>
    <w:rsid w:val="37B2B483"/>
    <w:rsid w:val="37B4DD87"/>
    <w:rsid w:val="37B86FEF"/>
    <w:rsid w:val="37B99654"/>
    <w:rsid w:val="37BA17D5"/>
    <w:rsid w:val="37BDBC1E"/>
    <w:rsid w:val="37C2BBF4"/>
    <w:rsid w:val="37C7F275"/>
    <w:rsid w:val="37C908A7"/>
    <w:rsid w:val="37CC9B2A"/>
    <w:rsid w:val="37D0067D"/>
    <w:rsid w:val="37D01A7F"/>
    <w:rsid w:val="37D56D67"/>
    <w:rsid w:val="37D7341C"/>
    <w:rsid w:val="37D837C5"/>
    <w:rsid w:val="37DC3138"/>
    <w:rsid w:val="37E5A193"/>
    <w:rsid w:val="37E5C296"/>
    <w:rsid w:val="37EC2C0B"/>
    <w:rsid w:val="37EE6AA5"/>
    <w:rsid w:val="37EE96A0"/>
    <w:rsid w:val="37EFC67C"/>
    <w:rsid w:val="37F69538"/>
    <w:rsid w:val="37F77DAB"/>
    <w:rsid w:val="3802BA22"/>
    <w:rsid w:val="3803B957"/>
    <w:rsid w:val="3807E5D5"/>
    <w:rsid w:val="3810E72B"/>
    <w:rsid w:val="381270ED"/>
    <w:rsid w:val="381AA5F0"/>
    <w:rsid w:val="381B4B28"/>
    <w:rsid w:val="381F27BC"/>
    <w:rsid w:val="382758A9"/>
    <w:rsid w:val="3828CDE3"/>
    <w:rsid w:val="3837755C"/>
    <w:rsid w:val="3838BA8F"/>
    <w:rsid w:val="38391B50"/>
    <w:rsid w:val="383C0E82"/>
    <w:rsid w:val="383F9104"/>
    <w:rsid w:val="38404287"/>
    <w:rsid w:val="3841D831"/>
    <w:rsid w:val="38426AA3"/>
    <w:rsid w:val="38460028"/>
    <w:rsid w:val="384690B8"/>
    <w:rsid w:val="3854DD9A"/>
    <w:rsid w:val="385AB4DA"/>
    <w:rsid w:val="385AE54B"/>
    <w:rsid w:val="385B4F18"/>
    <w:rsid w:val="385BBBF0"/>
    <w:rsid w:val="38610274"/>
    <w:rsid w:val="38649506"/>
    <w:rsid w:val="38661B76"/>
    <w:rsid w:val="386A007F"/>
    <w:rsid w:val="386A4868"/>
    <w:rsid w:val="38760AB9"/>
    <w:rsid w:val="3876EAA5"/>
    <w:rsid w:val="387C6D7B"/>
    <w:rsid w:val="387FF50B"/>
    <w:rsid w:val="3881F8FE"/>
    <w:rsid w:val="388321BA"/>
    <w:rsid w:val="38842574"/>
    <w:rsid w:val="38853D04"/>
    <w:rsid w:val="3885FC3A"/>
    <w:rsid w:val="388719EF"/>
    <w:rsid w:val="3888005D"/>
    <w:rsid w:val="38883D2B"/>
    <w:rsid w:val="3888411B"/>
    <w:rsid w:val="388D4CED"/>
    <w:rsid w:val="388F3391"/>
    <w:rsid w:val="3896EDE5"/>
    <w:rsid w:val="38991B66"/>
    <w:rsid w:val="38993FE2"/>
    <w:rsid w:val="389A22B9"/>
    <w:rsid w:val="38A1DB1E"/>
    <w:rsid w:val="38A4C37C"/>
    <w:rsid w:val="38A50BA7"/>
    <w:rsid w:val="38AC45B4"/>
    <w:rsid w:val="38B3F0E0"/>
    <w:rsid w:val="38B6CFDD"/>
    <w:rsid w:val="38BE79C0"/>
    <w:rsid w:val="38BF7C8C"/>
    <w:rsid w:val="38C2D579"/>
    <w:rsid w:val="38C3A651"/>
    <w:rsid w:val="38CAA945"/>
    <w:rsid w:val="38CC08F1"/>
    <w:rsid w:val="38D41EB0"/>
    <w:rsid w:val="38D8554F"/>
    <w:rsid w:val="38DC8D7E"/>
    <w:rsid w:val="38E03EF3"/>
    <w:rsid w:val="38E1D0E7"/>
    <w:rsid w:val="38E50AB6"/>
    <w:rsid w:val="38E99F5B"/>
    <w:rsid w:val="38E9B17F"/>
    <w:rsid w:val="38EAE3CC"/>
    <w:rsid w:val="38EBDD16"/>
    <w:rsid w:val="38EE365A"/>
    <w:rsid w:val="38F2D59B"/>
    <w:rsid w:val="38F329AB"/>
    <w:rsid w:val="38F32F70"/>
    <w:rsid w:val="38F56B7D"/>
    <w:rsid w:val="38F5CAA2"/>
    <w:rsid w:val="38FB8A44"/>
    <w:rsid w:val="3900FE85"/>
    <w:rsid w:val="390407DA"/>
    <w:rsid w:val="3908BA59"/>
    <w:rsid w:val="39092BF2"/>
    <w:rsid w:val="390A3739"/>
    <w:rsid w:val="3918C27E"/>
    <w:rsid w:val="391A9EB9"/>
    <w:rsid w:val="391CACE2"/>
    <w:rsid w:val="391D26D8"/>
    <w:rsid w:val="391EAF0C"/>
    <w:rsid w:val="391EF579"/>
    <w:rsid w:val="392049E5"/>
    <w:rsid w:val="392209BA"/>
    <w:rsid w:val="39279818"/>
    <w:rsid w:val="3928FF1F"/>
    <w:rsid w:val="392BF5DE"/>
    <w:rsid w:val="39300B24"/>
    <w:rsid w:val="3932C36F"/>
    <w:rsid w:val="39357346"/>
    <w:rsid w:val="3936BAA5"/>
    <w:rsid w:val="393CB51B"/>
    <w:rsid w:val="393DB5D4"/>
    <w:rsid w:val="394013E7"/>
    <w:rsid w:val="3947B142"/>
    <w:rsid w:val="394EF364"/>
    <w:rsid w:val="395724DC"/>
    <w:rsid w:val="3958DAF0"/>
    <w:rsid w:val="395D2C00"/>
    <w:rsid w:val="395D6DB5"/>
    <w:rsid w:val="395DE6C0"/>
    <w:rsid w:val="395E5888"/>
    <w:rsid w:val="396052C2"/>
    <w:rsid w:val="39606034"/>
    <w:rsid w:val="3963C9F9"/>
    <w:rsid w:val="39686468"/>
    <w:rsid w:val="39689C4E"/>
    <w:rsid w:val="3968CE4A"/>
    <w:rsid w:val="39709950"/>
    <w:rsid w:val="3974E974"/>
    <w:rsid w:val="3976D7C1"/>
    <w:rsid w:val="3977323F"/>
    <w:rsid w:val="397D739F"/>
    <w:rsid w:val="3983BA98"/>
    <w:rsid w:val="398BF1BD"/>
    <w:rsid w:val="39924AC7"/>
    <w:rsid w:val="3994B575"/>
    <w:rsid w:val="39991C77"/>
    <w:rsid w:val="399F5C18"/>
    <w:rsid w:val="39A67FAD"/>
    <w:rsid w:val="39A7306F"/>
    <w:rsid w:val="39AB654A"/>
    <w:rsid w:val="39B4E661"/>
    <w:rsid w:val="39B53341"/>
    <w:rsid w:val="39B6676F"/>
    <w:rsid w:val="39B8BDB1"/>
    <w:rsid w:val="39BA322E"/>
    <w:rsid w:val="39BC2ABE"/>
    <w:rsid w:val="39BE1FFD"/>
    <w:rsid w:val="39CC7CB3"/>
    <w:rsid w:val="39CF56A8"/>
    <w:rsid w:val="39D18AE5"/>
    <w:rsid w:val="39D3F845"/>
    <w:rsid w:val="39D4F220"/>
    <w:rsid w:val="39D949EF"/>
    <w:rsid w:val="39E486D1"/>
    <w:rsid w:val="39E5282F"/>
    <w:rsid w:val="39E81B2F"/>
    <w:rsid w:val="39E824E8"/>
    <w:rsid w:val="39EBE4B1"/>
    <w:rsid w:val="39EE47FB"/>
    <w:rsid w:val="39EF6EF6"/>
    <w:rsid w:val="39F1E095"/>
    <w:rsid w:val="39F25CF6"/>
    <w:rsid w:val="39F45CDA"/>
    <w:rsid w:val="39F966E5"/>
    <w:rsid w:val="39FDABD7"/>
    <w:rsid w:val="3A0063FE"/>
    <w:rsid w:val="3A01405B"/>
    <w:rsid w:val="3A05D9FA"/>
    <w:rsid w:val="3A070162"/>
    <w:rsid w:val="3A0A03F2"/>
    <w:rsid w:val="3A0D029E"/>
    <w:rsid w:val="3A0EE3EB"/>
    <w:rsid w:val="3A18B6D3"/>
    <w:rsid w:val="3A1A7F0D"/>
    <w:rsid w:val="3A1BD3EE"/>
    <w:rsid w:val="3A1EFD1A"/>
    <w:rsid w:val="3A1FF588"/>
    <w:rsid w:val="3A23D029"/>
    <w:rsid w:val="3A25ACB1"/>
    <w:rsid w:val="3A293D88"/>
    <w:rsid w:val="3A2A4F38"/>
    <w:rsid w:val="3A2CF2C5"/>
    <w:rsid w:val="3A2D5B48"/>
    <w:rsid w:val="3A2F7723"/>
    <w:rsid w:val="3A31DAD2"/>
    <w:rsid w:val="3A33A08D"/>
    <w:rsid w:val="3A34B487"/>
    <w:rsid w:val="3A46D6F8"/>
    <w:rsid w:val="3A497F70"/>
    <w:rsid w:val="3A4DA125"/>
    <w:rsid w:val="3A51C15D"/>
    <w:rsid w:val="3A59314F"/>
    <w:rsid w:val="3A5C33E6"/>
    <w:rsid w:val="3A5F33A3"/>
    <w:rsid w:val="3A6145D3"/>
    <w:rsid w:val="3A669421"/>
    <w:rsid w:val="3A67E593"/>
    <w:rsid w:val="3A69DDF7"/>
    <w:rsid w:val="3A6BF620"/>
    <w:rsid w:val="3A6FCD95"/>
    <w:rsid w:val="3A71B14C"/>
    <w:rsid w:val="3A768DF8"/>
    <w:rsid w:val="3A7E0C4E"/>
    <w:rsid w:val="3A86C5B9"/>
    <w:rsid w:val="3A872FE4"/>
    <w:rsid w:val="3A87FC09"/>
    <w:rsid w:val="3A881706"/>
    <w:rsid w:val="3A8B9C2A"/>
    <w:rsid w:val="3A8DA6C0"/>
    <w:rsid w:val="3A91BCE5"/>
    <w:rsid w:val="3A920995"/>
    <w:rsid w:val="3A937ADB"/>
    <w:rsid w:val="3A94DD96"/>
    <w:rsid w:val="3A967EA0"/>
    <w:rsid w:val="3A96B02F"/>
    <w:rsid w:val="3A980A7C"/>
    <w:rsid w:val="3A9BF42F"/>
    <w:rsid w:val="3A9CE0B8"/>
    <w:rsid w:val="3AA10905"/>
    <w:rsid w:val="3AA30CC2"/>
    <w:rsid w:val="3AA63FDC"/>
    <w:rsid w:val="3AAA677E"/>
    <w:rsid w:val="3AABC2D7"/>
    <w:rsid w:val="3AABD58A"/>
    <w:rsid w:val="3AABF2BA"/>
    <w:rsid w:val="3AAEAF59"/>
    <w:rsid w:val="3AB00F80"/>
    <w:rsid w:val="3AB1DDD6"/>
    <w:rsid w:val="3AB24889"/>
    <w:rsid w:val="3AB35D28"/>
    <w:rsid w:val="3AB4942E"/>
    <w:rsid w:val="3AB6B9CF"/>
    <w:rsid w:val="3AB8EB50"/>
    <w:rsid w:val="3ABAEDCE"/>
    <w:rsid w:val="3ABFC197"/>
    <w:rsid w:val="3ABFD694"/>
    <w:rsid w:val="3AC50C43"/>
    <w:rsid w:val="3AC80980"/>
    <w:rsid w:val="3AC84049"/>
    <w:rsid w:val="3ACC3861"/>
    <w:rsid w:val="3AD37F3A"/>
    <w:rsid w:val="3AD4FA2B"/>
    <w:rsid w:val="3ADB51D6"/>
    <w:rsid w:val="3AE00EA1"/>
    <w:rsid w:val="3AE05BCE"/>
    <w:rsid w:val="3AEDBCB7"/>
    <w:rsid w:val="3AF073DC"/>
    <w:rsid w:val="3AF1707E"/>
    <w:rsid w:val="3AF52CDA"/>
    <w:rsid w:val="3AFBBE2C"/>
    <w:rsid w:val="3B04E496"/>
    <w:rsid w:val="3B096B75"/>
    <w:rsid w:val="3B0B9704"/>
    <w:rsid w:val="3B0C3463"/>
    <w:rsid w:val="3B0D59FD"/>
    <w:rsid w:val="3B0D68E2"/>
    <w:rsid w:val="3B0EBF5C"/>
    <w:rsid w:val="3B0FE48F"/>
    <w:rsid w:val="3B144C16"/>
    <w:rsid w:val="3B182F01"/>
    <w:rsid w:val="3B207F03"/>
    <w:rsid w:val="3B2250D1"/>
    <w:rsid w:val="3B2696ED"/>
    <w:rsid w:val="3B27FF6C"/>
    <w:rsid w:val="3B280508"/>
    <w:rsid w:val="3B286529"/>
    <w:rsid w:val="3B2BA789"/>
    <w:rsid w:val="3B2C560E"/>
    <w:rsid w:val="3B2D51EF"/>
    <w:rsid w:val="3B30EAF6"/>
    <w:rsid w:val="3B318C4A"/>
    <w:rsid w:val="3B319C5B"/>
    <w:rsid w:val="3B3729B0"/>
    <w:rsid w:val="3B39CBC5"/>
    <w:rsid w:val="3B3ACBFA"/>
    <w:rsid w:val="3B3FF4B1"/>
    <w:rsid w:val="3B406C38"/>
    <w:rsid w:val="3B42CE52"/>
    <w:rsid w:val="3B56B6A9"/>
    <w:rsid w:val="3B5C37B0"/>
    <w:rsid w:val="3B5DB9AF"/>
    <w:rsid w:val="3B60A7C1"/>
    <w:rsid w:val="3B6280EE"/>
    <w:rsid w:val="3B7208DB"/>
    <w:rsid w:val="3B737BD0"/>
    <w:rsid w:val="3B774B71"/>
    <w:rsid w:val="3B7D6908"/>
    <w:rsid w:val="3B80105E"/>
    <w:rsid w:val="3B80BC1F"/>
    <w:rsid w:val="3B8C47A6"/>
    <w:rsid w:val="3B8E5C6C"/>
    <w:rsid w:val="3B8E718D"/>
    <w:rsid w:val="3B8F91D1"/>
    <w:rsid w:val="3B97B268"/>
    <w:rsid w:val="3B9898B2"/>
    <w:rsid w:val="3B9B771B"/>
    <w:rsid w:val="3BA0AC23"/>
    <w:rsid w:val="3BA12C1C"/>
    <w:rsid w:val="3BA92249"/>
    <w:rsid w:val="3BAD0510"/>
    <w:rsid w:val="3BAF58A5"/>
    <w:rsid w:val="3BB31B6B"/>
    <w:rsid w:val="3BBA5168"/>
    <w:rsid w:val="3BC1937A"/>
    <w:rsid w:val="3BC1AFB7"/>
    <w:rsid w:val="3BD8612F"/>
    <w:rsid w:val="3BDB0463"/>
    <w:rsid w:val="3BDBE4F1"/>
    <w:rsid w:val="3BE100A8"/>
    <w:rsid w:val="3BE21802"/>
    <w:rsid w:val="3BEBEC0B"/>
    <w:rsid w:val="3BF97389"/>
    <w:rsid w:val="3BFEB579"/>
    <w:rsid w:val="3C011048"/>
    <w:rsid w:val="3C011FC2"/>
    <w:rsid w:val="3C0657CF"/>
    <w:rsid w:val="3C0B3EF1"/>
    <w:rsid w:val="3C0C4282"/>
    <w:rsid w:val="3C0E0104"/>
    <w:rsid w:val="3C0FA64D"/>
    <w:rsid w:val="3C11286A"/>
    <w:rsid w:val="3C119604"/>
    <w:rsid w:val="3C126877"/>
    <w:rsid w:val="3C15E618"/>
    <w:rsid w:val="3C15E9AD"/>
    <w:rsid w:val="3C163AF1"/>
    <w:rsid w:val="3C1DDD62"/>
    <w:rsid w:val="3C2149D7"/>
    <w:rsid w:val="3C247D91"/>
    <w:rsid w:val="3C2FF826"/>
    <w:rsid w:val="3C31D0FC"/>
    <w:rsid w:val="3C385A02"/>
    <w:rsid w:val="3C3DC9F0"/>
    <w:rsid w:val="3C3F8635"/>
    <w:rsid w:val="3C42691B"/>
    <w:rsid w:val="3C449A14"/>
    <w:rsid w:val="3C45E8C2"/>
    <w:rsid w:val="3C491C11"/>
    <w:rsid w:val="3C4B2445"/>
    <w:rsid w:val="3C4B78B3"/>
    <w:rsid w:val="3C4C0C42"/>
    <w:rsid w:val="3C50731E"/>
    <w:rsid w:val="3C53DCE0"/>
    <w:rsid w:val="3C54698E"/>
    <w:rsid w:val="3C556044"/>
    <w:rsid w:val="3C568086"/>
    <w:rsid w:val="3C5A5486"/>
    <w:rsid w:val="3C5C45D6"/>
    <w:rsid w:val="3C5E4214"/>
    <w:rsid w:val="3C6277ED"/>
    <w:rsid w:val="3C64B794"/>
    <w:rsid w:val="3C651E50"/>
    <w:rsid w:val="3C651EC1"/>
    <w:rsid w:val="3C652713"/>
    <w:rsid w:val="3C655A87"/>
    <w:rsid w:val="3C68984A"/>
    <w:rsid w:val="3C697D1F"/>
    <w:rsid w:val="3C6D7CA8"/>
    <w:rsid w:val="3C6F57EF"/>
    <w:rsid w:val="3C73E233"/>
    <w:rsid w:val="3C77EAFA"/>
    <w:rsid w:val="3C7C05D2"/>
    <w:rsid w:val="3C7C8E35"/>
    <w:rsid w:val="3C828718"/>
    <w:rsid w:val="3C84E1E9"/>
    <w:rsid w:val="3C85DD20"/>
    <w:rsid w:val="3C89C7B6"/>
    <w:rsid w:val="3C8A8D7D"/>
    <w:rsid w:val="3C906123"/>
    <w:rsid w:val="3C91AEE7"/>
    <w:rsid w:val="3C91FF62"/>
    <w:rsid w:val="3C938BCA"/>
    <w:rsid w:val="3C93A233"/>
    <w:rsid w:val="3C96824B"/>
    <w:rsid w:val="3C98025F"/>
    <w:rsid w:val="3C989CAE"/>
    <w:rsid w:val="3C9A701A"/>
    <w:rsid w:val="3C9B676B"/>
    <w:rsid w:val="3C9B918C"/>
    <w:rsid w:val="3C9DDF78"/>
    <w:rsid w:val="3CA05339"/>
    <w:rsid w:val="3CA1DDF1"/>
    <w:rsid w:val="3CA77FFB"/>
    <w:rsid w:val="3CB28131"/>
    <w:rsid w:val="3CB3A815"/>
    <w:rsid w:val="3CB46D5C"/>
    <w:rsid w:val="3CB6B330"/>
    <w:rsid w:val="3CBD129C"/>
    <w:rsid w:val="3CC20BC7"/>
    <w:rsid w:val="3CC45FD5"/>
    <w:rsid w:val="3CC8BBF6"/>
    <w:rsid w:val="3CCB4DD0"/>
    <w:rsid w:val="3CD0BE8A"/>
    <w:rsid w:val="3CD1F031"/>
    <w:rsid w:val="3CD4D529"/>
    <w:rsid w:val="3CDC3194"/>
    <w:rsid w:val="3CDD283B"/>
    <w:rsid w:val="3CDD3B55"/>
    <w:rsid w:val="3CDE7291"/>
    <w:rsid w:val="3CE0BD7B"/>
    <w:rsid w:val="3CE31793"/>
    <w:rsid w:val="3CE371AE"/>
    <w:rsid w:val="3CEA0F99"/>
    <w:rsid w:val="3CEA8F03"/>
    <w:rsid w:val="3CF28221"/>
    <w:rsid w:val="3CF3FEBE"/>
    <w:rsid w:val="3CF6E7C6"/>
    <w:rsid w:val="3CF745AE"/>
    <w:rsid w:val="3CF88742"/>
    <w:rsid w:val="3D067B06"/>
    <w:rsid w:val="3D0AC251"/>
    <w:rsid w:val="3D0D37D9"/>
    <w:rsid w:val="3D0DB225"/>
    <w:rsid w:val="3D1039C1"/>
    <w:rsid w:val="3D121710"/>
    <w:rsid w:val="3D13839A"/>
    <w:rsid w:val="3D18B51D"/>
    <w:rsid w:val="3D20303F"/>
    <w:rsid w:val="3D268B9B"/>
    <w:rsid w:val="3D281CF0"/>
    <w:rsid w:val="3D300A53"/>
    <w:rsid w:val="3D30AD5D"/>
    <w:rsid w:val="3D34BF75"/>
    <w:rsid w:val="3D356369"/>
    <w:rsid w:val="3D38E203"/>
    <w:rsid w:val="3D3A7D94"/>
    <w:rsid w:val="3D3EFE21"/>
    <w:rsid w:val="3D44086D"/>
    <w:rsid w:val="3D4760E8"/>
    <w:rsid w:val="3D53E926"/>
    <w:rsid w:val="3D54B89A"/>
    <w:rsid w:val="3D563E8B"/>
    <w:rsid w:val="3D5EAE13"/>
    <w:rsid w:val="3D5F8874"/>
    <w:rsid w:val="3D627DC3"/>
    <w:rsid w:val="3D6318E8"/>
    <w:rsid w:val="3D6343C3"/>
    <w:rsid w:val="3D68A1CA"/>
    <w:rsid w:val="3D6DC84D"/>
    <w:rsid w:val="3D72B38F"/>
    <w:rsid w:val="3D7EF58E"/>
    <w:rsid w:val="3D8029F6"/>
    <w:rsid w:val="3D80CAA7"/>
    <w:rsid w:val="3D895BE6"/>
    <w:rsid w:val="3D8A36F4"/>
    <w:rsid w:val="3D8D9BBD"/>
    <w:rsid w:val="3D91822F"/>
    <w:rsid w:val="3D91869C"/>
    <w:rsid w:val="3D93F553"/>
    <w:rsid w:val="3D94A005"/>
    <w:rsid w:val="3D9830E3"/>
    <w:rsid w:val="3D9995F1"/>
    <w:rsid w:val="3D9A5515"/>
    <w:rsid w:val="3D9B5AF1"/>
    <w:rsid w:val="3D9B5DD9"/>
    <w:rsid w:val="3D9B8162"/>
    <w:rsid w:val="3DA2F30A"/>
    <w:rsid w:val="3DADCAA2"/>
    <w:rsid w:val="3DB49C09"/>
    <w:rsid w:val="3DB64497"/>
    <w:rsid w:val="3DB6DB4B"/>
    <w:rsid w:val="3DB8D21F"/>
    <w:rsid w:val="3DB98CFA"/>
    <w:rsid w:val="3DB9D48C"/>
    <w:rsid w:val="3DBB4AB3"/>
    <w:rsid w:val="3DC1310C"/>
    <w:rsid w:val="3DC681FA"/>
    <w:rsid w:val="3DC7A642"/>
    <w:rsid w:val="3DC82237"/>
    <w:rsid w:val="3DC8F6CE"/>
    <w:rsid w:val="3DC990E3"/>
    <w:rsid w:val="3DCED140"/>
    <w:rsid w:val="3DD2221B"/>
    <w:rsid w:val="3DD913BB"/>
    <w:rsid w:val="3DDA955B"/>
    <w:rsid w:val="3DDE128A"/>
    <w:rsid w:val="3DE10C29"/>
    <w:rsid w:val="3DE228FC"/>
    <w:rsid w:val="3DE29B82"/>
    <w:rsid w:val="3DE659C2"/>
    <w:rsid w:val="3DE68722"/>
    <w:rsid w:val="3DEB5465"/>
    <w:rsid w:val="3DED1908"/>
    <w:rsid w:val="3DEDB101"/>
    <w:rsid w:val="3DEFA1BB"/>
    <w:rsid w:val="3DF1B5FB"/>
    <w:rsid w:val="3DF4FAE8"/>
    <w:rsid w:val="3DF5C22E"/>
    <w:rsid w:val="3DF90002"/>
    <w:rsid w:val="3DF9BFE1"/>
    <w:rsid w:val="3DFB0422"/>
    <w:rsid w:val="3DFC21FC"/>
    <w:rsid w:val="3DFC449E"/>
    <w:rsid w:val="3DFDD519"/>
    <w:rsid w:val="3DFE4D99"/>
    <w:rsid w:val="3DFE4F87"/>
    <w:rsid w:val="3DFFD8F3"/>
    <w:rsid w:val="3E0219F6"/>
    <w:rsid w:val="3E033564"/>
    <w:rsid w:val="3E097A87"/>
    <w:rsid w:val="3E0BADF4"/>
    <w:rsid w:val="3E0BB462"/>
    <w:rsid w:val="3E0C5B0F"/>
    <w:rsid w:val="3E16D26B"/>
    <w:rsid w:val="3E197828"/>
    <w:rsid w:val="3E1D32EB"/>
    <w:rsid w:val="3E1D7007"/>
    <w:rsid w:val="3E1DD1B3"/>
    <w:rsid w:val="3E20FCE1"/>
    <w:rsid w:val="3E21550C"/>
    <w:rsid w:val="3E22A855"/>
    <w:rsid w:val="3E22F967"/>
    <w:rsid w:val="3E28392B"/>
    <w:rsid w:val="3E307621"/>
    <w:rsid w:val="3E317712"/>
    <w:rsid w:val="3E38C52C"/>
    <w:rsid w:val="3E3B8298"/>
    <w:rsid w:val="3E3E36CD"/>
    <w:rsid w:val="3E42EC4A"/>
    <w:rsid w:val="3E4300AD"/>
    <w:rsid w:val="3E44DD46"/>
    <w:rsid w:val="3E4E175F"/>
    <w:rsid w:val="3E54268C"/>
    <w:rsid w:val="3E55F92F"/>
    <w:rsid w:val="3E583EB0"/>
    <w:rsid w:val="3E586E8E"/>
    <w:rsid w:val="3E5B1E8E"/>
    <w:rsid w:val="3E5FDBFD"/>
    <w:rsid w:val="3E6122AF"/>
    <w:rsid w:val="3E63F307"/>
    <w:rsid w:val="3E64E294"/>
    <w:rsid w:val="3E6C0AB5"/>
    <w:rsid w:val="3E71AC5D"/>
    <w:rsid w:val="3E73241D"/>
    <w:rsid w:val="3E79F83C"/>
    <w:rsid w:val="3E7E471B"/>
    <w:rsid w:val="3E83973D"/>
    <w:rsid w:val="3E84952B"/>
    <w:rsid w:val="3E8FB867"/>
    <w:rsid w:val="3E90A332"/>
    <w:rsid w:val="3E9A9366"/>
    <w:rsid w:val="3E9B3997"/>
    <w:rsid w:val="3E9C4272"/>
    <w:rsid w:val="3E9C6139"/>
    <w:rsid w:val="3E9E51B6"/>
    <w:rsid w:val="3E9F7C72"/>
    <w:rsid w:val="3EAA59C8"/>
    <w:rsid w:val="3EB7696B"/>
    <w:rsid w:val="3EB79715"/>
    <w:rsid w:val="3EB7D8E1"/>
    <w:rsid w:val="3EB82AE5"/>
    <w:rsid w:val="3EBA6F33"/>
    <w:rsid w:val="3EBE3D8E"/>
    <w:rsid w:val="3EC251D9"/>
    <w:rsid w:val="3EC7E8D7"/>
    <w:rsid w:val="3ECB74B0"/>
    <w:rsid w:val="3ECD5177"/>
    <w:rsid w:val="3ED00EAE"/>
    <w:rsid w:val="3ED2742F"/>
    <w:rsid w:val="3ED6A573"/>
    <w:rsid w:val="3ED981B7"/>
    <w:rsid w:val="3ED9D447"/>
    <w:rsid w:val="3EDD7C09"/>
    <w:rsid w:val="3EDE25CA"/>
    <w:rsid w:val="3EE0BA76"/>
    <w:rsid w:val="3EE0E740"/>
    <w:rsid w:val="3EE3E7C1"/>
    <w:rsid w:val="3EE92D27"/>
    <w:rsid w:val="3EE92FC5"/>
    <w:rsid w:val="3EFAE366"/>
    <w:rsid w:val="3EFC80C9"/>
    <w:rsid w:val="3F079EB9"/>
    <w:rsid w:val="3F0A92DD"/>
    <w:rsid w:val="3F0B525E"/>
    <w:rsid w:val="3F0C8828"/>
    <w:rsid w:val="3F151CC7"/>
    <w:rsid w:val="3F179B6C"/>
    <w:rsid w:val="3F17DCF6"/>
    <w:rsid w:val="3F19962C"/>
    <w:rsid w:val="3F1A6F3B"/>
    <w:rsid w:val="3F22D576"/>
    <w:rsid w:val="3F232F4E"/>
    <w:rsid w:val="3F31AA4C"/>
    <w:rsid w:val="3F3277A7"/>
    <w:rsid w:val="3F33C766"/>
    <w:rsid w:val="3F3458A9"/>
    <w:rsid w:val="3F37FDE5"/>
    <w:rsid w:val="3F38337F"/>
    <w:rsid w:val="3F3909BC"/>
    <w:rsid w:val="3F3A8875"/>
    <w:rsid w:val="3F3B7CC0"/>
    <w:rsid w:val="3F42D2AC"/>
    <w:rsid w:val="3F562D60"/>
    <w:rsid w:val="3F574122"/>
    <w:rsid w:val="3F5CB7CC"/>
    <w:rsid w:val="3F5D05AC"/>
    <w:rsid w:val="3F5F498B"/>
    <w:rsid w:val="3F60F028"/>
    <w:rsid w:val="3F657A40"/>
    <w:rsid w:val="3F694B45"/>
    <w:rsid w:val="3F6C9F1F"/>
    <w:rsid w:val="3F6F6577"/>
    <w:rsid w:val="3F6F7B97"/>
    <w:rsid w:val="3F771E9E"/>
    <w:rsid w:val="3F7AF3F7"/>
    <w:rsid w:val="3F7DAB52"/>
    <w:rsid w:val="3F850DD8"/>
    <w:rsid w:val="3F88C758"/>
    <w:rsid w:val="3F8C9C97"/>
    <w:rsid w:val="3F97EF4B"/>
    <w:rsid w:val="3F984AB9"/>
    <w:rsid w:val="3F987D60"/>
    <w:rsid w:val="3F9AA104"/>
    <w:rsid w:val="3F9B8261"/>
    <w:rsid w:val="3F9D51CD"/>
    <w:rsid w:val="3F9E361C"/>
    <w:rsid w:val="3FA1C90D"/>
    <w:rsid w:val="3FACB9F1"/>
    <w:rsid w:val="3FADDC23"/>
    <w:rsid w:val="3FAE7FE3"/>
    <w:rsid w:val="3FB17343"/>
    <w:rsid w:val="3FB39370"/>
    <w:rsid w:val="3FB4B35C"/>
    <w:rsid w:val="3FB60A7E"/>
    <w:rsid w:val="3FB6D018"/>
    <w:rsid w:val="3FB96611"/>
    <w:rsid w:val="3FBB5589"/>
    <w:rsid w:val="3FBE0A29"/>
    <w:rsid w:val="3FBFDFD8"/>
    <w:rsid w:val="3FC005DC"/>
    <w:rsid w:val="3FD1F60B"/>
    <w:rsid w:val="3FDAFDD3"/>
    <w:rsid w:val="3FDCCD9B"/>
    <w:rsid w:val="3FDE04E1"/>
    <w:rsid w:val="3FDE11E7"/>
    <w:rsid w:val="3FDE846D"/>
    <w:rsid w:val="3FE42D82"/>
    <w:rsid w:val="3FE69DF6"/>
    <w:rsid w:val="3FE8F1AE"/>
    <w:rsid w:val="3FEDCA36"/>
    <w:rsid w:val="3FF9E017"/>
    <w:rsid w:val="3FFD23AA"/>
    <w:rsid w:val="3FFD7671"/>
    <w:rsid w:val="40005A93"/>
    <w:rsid w:val="4003B784"/>
    <w:rsid w:val="40045573"/>
    <w:rsid w:val="400A74A0"/>
    <w:rsid w:val="400D2D81"/>
    <w:rsid w:val="400E20E1"/>
    <w:rsid w:val="4013EF08"/>
    <w:rsid w:val="40176FF4"/>
    <w:rsid w:val="401E73C2"/>
    <w:rsid w:val="401E8D8A"/>
    <w:rsid w:val="401ECC88"/>
    <w:rsid w:val="402167F2"/>
    <w:rsid w:val="40249BF9"/>
    <w:rsid w:val="4024C46B"/>
    <w:rsid w:val="4027CE32"/>
    <w:rsid w:val="40352A77"/>
    <w:rsid w:val="4035DAE8"/>
    <w:rsid w:val="4035DE49"/>
    <w:rsid w:val="4036C40A"/>
    <w:rsid w:val="40379B3F"/>
    <w:rsid w:val="403E47B2"/>
    <w:rsid w:val="403EE2DD"/>
    <w:rsid w:val="403F3D1C"/>
    <w:rsid w:val="40477AF1"/>
    <w:rsid w:val="404B8A44"/>
    <w:rsid w:val="40558CEF"/>
    <w:rsid w:val="405914D7"/>
    <w:rsid w:val="405C40D6"/>
    <w:rsid w:val="405CD917"/>
    <w:rsid w:val="405DEB79"/>
    <w:rsid w:val="4062E636"/>
    <w:rsid w:val="40635003"/>
    <w:rsid w:val="406F3ED7"/>
    <w:rsid w:val="406F7DEB"/>
    <w:rsid w:val="40775062"/>
    <w:rsid w:val="407BA1D4"/>
    <w:rsid w:val="407D247C"/>
    <w:rsid w:val="407EA048"/>
    <w:rsid w:val="4081D08B"/>
    <w:rsid w:val="4082C53F"/>
    <w:rsid w:val="40836018"/>
    <w:rsid w:val="408426AA"/>
    <w:rsid w:val="4087354F"/>
    <w:rsid w:val="40877A6A"/>
    <w:rsid w:val="40962E6C"/>
    <w:rsid w:val="4099FF07"/>
    <w:rsid w:val="40A8A07A"/>
    <w:rsid w:val="40A9CD32"/>
    <w:rsid w:val="40AC4AB6"/>
    <w:rsid w:val="40AE7F96"/>
    <w:rsid w:val="40B156B8"/>
    <w:rsid w:val="40B173A1"/>
    <w:rsid w:val="40B9F1BC"/>
    <w:rsid w:val="40BDDCE2"/>
    <w:rsid w:val="40C497D7"/>
    <w:rsid w:val="40C4ECD2"/>
    <w:rsid w:val="40C7B462"/>
    <w:rsid w:val="40C96A35"/>
    <w:rsid w:val="40CB2AD9"/>
    <w:rsid w:val="40D29F68"/>
    <w:rsid w:val="40D546C1"/>
    <w:rsid w:val="40DA07C4"/>
    <w:rsid w:val="40E46AE9"/>
    <w:rsid w:val="40E50566"/>
    <w:rsid w:val="40F1F1FB"/>
    <w:rsid w:val="40F2B2B4"/>
    <w:rsid w:val="40F48E66"/>
    <w:rsid w:val="40F74176"/>
    <w:rsid w:val="40FA9201"/>
    <w:rsid w:val="40FFFFB5"/>
    <w:rsid w:val="41009FE1"/>
    <w:rsid w:val="410E96F2"/>
    <w:rsid w:val="412F14D6"/>
    <w:rsid w:val="413D51C4"/>
    <w:rsid w:val="414324F1"/>
    <w:rsid w:val="41521B22"/>
    <w:rsid w:val="415A01C3"/>
    <w:rsid w:val="415F2B89"/>
    <w:rsid w:val="415FCA88"/>
    <w:rsid w:val="416541C3"/>
    <w:rsid w:val="4165A954"/>
    <w:rsid w:val="41672969"/>
    <w:rsid w:val="416EAC9D"/>
    <w:rsid w:val="41737A4E"/>
    <w:rsid w:val="4177D7BE"/>
    <w:rsid w:val="417CE314"/>
    <w:rsid w:val="418A405E"/>
    <w:rsid w:val="418B093A"/>
    <w:rsid w:val="418B2E6D"/>
    <w:rsid w:val="418F5198"/>
    <w:rsid w:val="419147F8"/>
    <w:rsid w:val="419B5632"/>
    <w:rsid w:val="419CD1D1"/>
    <w:rsid w:val="41A11A9B"/>
    <w:rsid w:val="41A162F0"/>
    <w:rsid w:val="41A5D322"/>
    <w:rsid w:val="41AE41A9"/>
    <w:rsid w:val="41B066E8"/>
    <w:rsid w:val="41B4EEFB"/>
    <w:rsid w:val="41B4FC9D"/>
    <w:rsid w:val="41BA3ED6"/>
    <w:rsid w:val="41BA6429"/>
    <w:rsid w:val="41BEF061"/>
    <w:rsid w:val="41C2F7E6"/>
    <w:rsid w:val="41C4DA71"/>
    <w:rsid w:val="41CD2A95"/>
    <w:rsid w:val="41CD61EA"/>
    <w:rsid w:val="41CE8C3A"/>
    <w:rsid w:val="41CF1833"/>
    <w:rsid w:val="41D2A759"/>
    <w:rsid w:val="41D31005"/>
    <w:rsid w:val="41D4EBB4"/>
    <w:rsid w:val="41D87745"/>
    <w:rsid w:val="41DADFF4"/>
    <w:rsid w:val="41DE9127"/>
    <w:rsid w:val="41E38A13"/>
    <w:rsid w:val="41E65920"/>
    <w:rsid w:val="41EB85B6"/>
    <w:rsid w:val="41ECB426"/>
    <w:rsid w:val="41ECD6CE"/>
    <w:rsid w:val="41EF74D7"/>
    <w:rsid w:val="41EF98E4"/>
    <w:rsid w:val="4204DDA2"/>
    <w:rsid w:val="4204E4DA"/>
    <w:rsid w:val="42090A0B"/>
    <w:rsid w:val="420C525A"/>
    <w:rsid w:val="4212114D"/>
    <w:rsid w:val="42127FFC"/>
    <w:rsid w:val="42134FA0"/>
    <w:rsid w:val="42162600"/>
    <w:rsid w:val="42163B83"/>
    <w:rsid w:val="421AB78E"/>
    <w:rsid w:val="4220C298"/>
    <w:rsid w:val="42211AD4"/>
    <w:rsid w:val="42240FA9"/>
    <w:rsid w:val="422791F6"/>
    <w:rsid w:val="4227ED64"/>
    <w:rsid w:val="4229F24C"/>
    <w:rsid w:val="422B510D"/>
    <w:rsid w:val="42321065"/>
    <w:rsid w:val="42334069"/>
    <w:rsid w:val="423C67BB"/>
    <w:rsid w:val="423C884F"/>
    <w:rsid w:val="423D81F0"/>
    <w:rsid w:val="42441B7B"/>
    <w:rsid w:val="4244564E"/>
    <w:rsid w:val="42469559"/>
    <w:rsid w:val="424C8F37"/>
    <w:rsid w:val="42533702"/>
    <w:rsid w:val="425624FB"/>
    <w:rsid w:val="425705C7"/>
    <w:rsid w:val="4257F9A9"/>
    <w:rsid w:val="426A2BB8"/>
    <w:rsid w:val="426E2AFB"/>
    <w:rsid w:val="4270DFB8"/>
    <w:rsid w:val="42735723"/>
    <w:rsid w:val="42738713"/>
    <w:rsid w:val="42759D6E"/>
    <w:rsid w:val="42795D90"/>
    <w:rsid w:val="427AE99D"/>
    <w:rsid w:val="4284E6A7"/>
    <w:rsid w:val="42869716"/>
    <w:rsid w:val="4286E3AF"/>
    <w:rsid w:val="42870CE8"/>
    <w:rsid w:val="4287743A"/>
    <w:rsid w:val="4287B6A9"/>
    <w:rsid w:val="428832DB"/>
    <w:rsid w:val="428D7E28"/>
    <w:rsid w:val="428DB9BA"/>
    <w:rsid w:val="428DCD1E"/>
    <w:rsid w:val="428F03DC"/>
    <w:rsid w:val="42909430"/>
    <w:rsid w:val="4291FB6E"/>
    <w:rsid w:val="4293111B"/>
    <w:rsid w:val="4296182B"/>
    <w:rsid w:val="4298EA02"/>
    <w:rsid w:val="429F9EFF"/>
    <w:rsid w:val="429FB560"/>
    <w:rsid w:val="42A195E3"/>
    <w:rsid w:val="42AA7CA2"/>
    <w:rsid w:val="42ABEC97"/>
    <w:rsid w:val="42AC364C"/>
    <w:rsid w:val="42AD49E8"/>
    <w:rsid w:val="42B06D8D"/>
    <w:rsid w:val="42B0F9FA"/>
    <w:rsid w:val="42B3C0E4"/>
    <w:rsid w:val="42B41D29"/>
    <w:rsid w:val="42B77CBB"/>
    <w:rsid w:val="42C00248"/>
    <w:rsid w:val="42C0B6B4"/>
    <w:rsid w:val="42C125E7"/>
    <w:rsid w:val="42C46D02"/>
    <w:rsid w:val="42C50963"/>
    <w:rsid w:val="42CD8B2E"/>
    <w:rsid w:val="42D07B6E"/>
    <w:rsid w:val="42D26F49"/>
    <w:rsid w:val="42D37E8C"/>
    <w:rsid w:val="42D41BA5"/>
    <w:rsid w:val="42D4CA7F"/>
    <w:rsid w:val="42D5E31A"/>
    <w:rsid w:val="42D76F1A"/>
    <w:rsid w:val="42DAA6DD"/>
    <w:rsid w:val="42DBF314"/>
    <w:rsid w:val="42DC5DFB"/>
    <w:rsid w:val="42DDB008"/>
    <w:rsid w:val="42DE1B92"/>
    <w:rsid w:val="42E47DE1"/>
    <w:rsid w:val="42E70BA7"/>
    <w:rsid w:val="42EB26A4"/>
    <w:rsid w:val="42EC51CE"/>
    <w:rsid w:val="42F89143"/>
    <w:rsid w:val="4300D9B1"/>
    <w:rsid w:val="43011635"/>
    <w:rsid w:val="43014266"/>
    <w:rsid w:val="430B5EF0"/>
    <w:rsid w:val="430B8A21"/>
    <w:rsid w:val="430FAFFC"/>
    <w:rsid w:val="43136936"/>
    <w:rsid w:val="431777E8"/>
    <w:rsid w:val="431809C1"/>
    <w:rsid w:val="431974D4"/>
    <w:rsid w:val="431E194C"/>
    <w:rsid w:val="43247BD9"/>
    <w:rsid w:val="43259642"/>
    <w:rsid w:val="43268EC3"/>
    <w:rsid w:val="432D0923"/>
    <w:rsid w:val="432FBD0D"/>
    <w:rsid w:val="4337003E"/>
    <w:rsid w:val="4338B6DA"/>
    <w:rsid w:val="433CC878"/>
    <w:rsid w:val="433CE0D3"/>
    <w:rsid w:val="433D3261"/>
    <w:rsid w:val="43441EEA"/>
    <w:rsid w:val="434798C2"/>
    <w:rsid w:val="434989CD"/>
    <w:rsid w:val="4353F7D0"/>
    <w:rsid w:val="4357AB47"/>
    <w:rsid w:val="435C0F8F"/>
    <w:rsid w:val="435E974C"/>
    <w:rsid w:val="435F53FC"/>
    <w:rsid w:val="4361226B"/>
    <w:rsid w:val="43635BFF"/>
    <w:rsid w:val="4363C475"/>
    <w:rsid w:val="43668E1E"/>
    <w:rsid w:val="436B8EEC"/>
    <w:rsid w:val="4372F380"/>
    <w:rsid w:val="43737EF3"/>
    <w:rsid w:val="437B0393"/>
    <w:rsid w:val="43893404"/>
    <w:rsid w:val="438D6F93"/>
    <w:rsid w:val="43909389"/>
    <w:rsid w:val="4393DDEB"/>
    <w:rsid w:val="43987CB4"/>
    <w:rsid w:val="4399EE51"/>
    <w:rsid w:val="439D81D5"/>
    <w:rsid w:val="439ED55F"/>
    <w:rsid w:val="43A59154"/>
    <w:rsid w:val="43A85AED"/>
    <w:rsid w:val="43AC58F7"/>
    <w:rsid w:val="43B21CFE"/>
    <w:rsid w:val="43B2CBAD"/>
    <w:rsid w:val="43C2D0E0"/>
    <w:rsid w:val="43C75D45"/>
    <w:rsid w:val="43CAE97E"/>
    <w:rsid w:val="43D0135F"/>
    <w:rsid w:val="43D17FB1"/>
    <w:rsid w:val="43D48CED"/>
    <w:rsid w:val="43E09556"/>
    <w:rsid w:val="43E4A471"/>
    <w:rsid w:val="43E4F051"/>
    <w:rsid w:val="43E84B48"/>
    <w:rsid w:val="43EA2AFC"/>
    <w:rsid w:val="43EE84AF"/>
    <w:rsid w:val="43F0B6E5"/>
    <w:rsid w:val="43F2F049"/>
    <w:rsid w:val="43F48F14"/>
    <w:rsid w:val="43F4BE3C"/>
    <w:rsid w:val="43FB6875"/>
    <w:rsid w:val="43FCA9C2"/>
    <w:rsid w:val="4402FC68"/>
    <w:rsid w:val="4404A1D5"/>
    <w:rsid w:val="4407B8B0"/>
    <w:rsid w:val="440BBC7A"/>
    <w:rsid w:val="440C4012"/>
    <w:rsid w:val="440F947B"/>
    <w:rsid w:val="441199AE"/>
    <w:rsid w:val="44157BA5"/>
    <w:rsid w:val="441A1118"/>
    <w:rsid w:val="441A6146"/>
    <w:rsid w:val="441A93DB"/>
    <w:rsid w:val="4426A307"/>
    <w:rsid w:val="442814E0"/>
    <w:rsid w:val="442D2625"/>
    <w:rsid w:val="4430FC07"/>
    <w:rsid w:val="4436AA57"/>
    <w:rsid w:val="4436EAD6"/>
    <w:rsid w:val="4438453C"/>
    <w:rsid w:val="4438979E"/>
    <w:rsid w:val="443C0E00"/>
    <w:rsid w:val="44433106"/>
    <w:rsid w:val="44448925"/>
    <w:rsid w:val="4452C75D"/>
    <w:rsid w:val="445641C2"/>
    <w:rsid w:val="445AB6DB"/>
    <w:rsid w:val="445B7867"/>
    <w:rsid w:val="4466232D"/>
    <w:rsid w:val="4467370C"/>
    <w:rsid w:val="4467A22A"/>
    <w:rsid w:val="446855AE"/>
    <w:rsid w:val="44692709"/>
    <w:rsid w:val="446D9177"/>
    <w:rsid w:val="4472DF0B"/>
    <w:rsid w:val="447EF8EC"/>
    <w:rsid w:val="447FEF30"/>
    <w:rsid w:val="4480A806"/>
    <w:rsid w:val="448169ED"/>
    <w:rsid w:val="448D1B98"/>
    <w:rsid w:val="448E1885"/>
    <w:rsid w:val="4490F93C"/>
    <w:rsid w:val="44922EE7"/>
    <w:rsid w:val="4494FF1D"/>
    <w:rsid w:val="449724F7"/>
    <w:rsid w:val="44A54BCC"/>
    <w:rsid w:val="44A84850"/>
    <w:rsid w:val="44AA6109"/>
    <w:rsid w:val="44ABD245"/>
    <w:rsid w:val="44B13199"/>
    <w:rsid w:val="44B1FA72"/>
    <w:rsid w:val="44B4621A"/>
    <w:rsid w:val="44B6C3F9"/>
    <w:rsid w:val="44BE0892"/>
    <w:rsid w:val="44C8CE0B"/>
    <w:rsid w:val="44D40437"/>
    <w:rsid w:val="44D5AAE9"/>
    <w:rsid w:val="44D6A70A"/>
    <w:rsid w:val="44D8DAC3"/>
    <w:rsid w:val="44DBF1F8"/>
    <w:rsid w:val="44DC9241"/>
    <w:rsid w:val="44E5791B"/>
    <w:rsid w:val="44E85776"/>
    <w:rsid w:val="44F82565"/>
    <w:rsid w:val="44F9E0E8"/>
    <w:rsid w:val="44FB806C"/>
    <w:rsid w:val="44FC56DA"/>
    <w:rsid w:val="44FC6327"/>
    <w:rsid w:val="44FCDAE9"/>
    <w:rsid w:val="44FD4A94"/>
    <w:rsid w:val="44FEE650"/>
    <w:rsid w:val="45007055"/>
    <w:rsid w:val="45070A2B"/>
    <w:rsid w:val="450D890D"/>
    <w:rsid w:val="450FEEC1"/>
    <w:rsid w:val="4516AE67"/>
    <w:rsid w:val="451A60B1"/>
    <w:rsid w:val="451CE803"/>
    <w:rsid w:val="451E59BA"/>
    <w:rsid w:val="4520C01F"/>
    <w:rsid w:val="4528CB35"/>
    <w:rsid w:val="45293C0F"/>
    <w:rsid w:val="45298A37"/>
    <w:rsid w:val="452E75BD"/>
    <w:rsid w:val="45318A9C"/>
    <w:rsid w:val="4533CE95"/>
    <w:rsid w:val="45350958"/>
    <w:rsid w:val="453A0EC3"/>
    <w:rsid w:val="453B94E7"/>
    <w:rsid w:val="453EE617"/>
    <w:rsid w:val="454FA9EC"/>
    <w:rsid w:val="4551804E"/>
    <w:rsid w:val="4551E4FB"/>
    <w:rsid w:val="45525FBE"/>
    <w:rsid w:val="4554924E"/>
    <w:rsid w:val="45557B34"/>
    <w:rsid w:val="4559D255"/>
    <w:rsid w:val="4559F6C3"/>
    <w:rsid w:val="4561B32A"/>
    <w:rsid w:val="45656128"/>
    <w:rsid w:val="4566C6D7"/>
    <w:rsid w:val="456B8D54"/>
    <w:rsid w:val="456F15E2"/>
    <w:rsid w:val="457571CD"/>
    <w:rsid w:val="45765BB6"/>
    <w:rsid w:val="457B7FC5"/>
    <w:rsid w:val="4580FF64"/>
    <w:rsid w:val="45899558"/>
    <w:rsid w:val="458AD77B"/>
    <w:rsid w:val="458AE39F"/>
    <w:rsid w:val="45910424"/>
    <w:rsid w:val="45944DED"/>
    <w:rsid w:val="45947526"/>
    <w:rsid w:val="45A2EB81"/>
    <w:rsid w:val="45A491DB"/>
    <w:rsid w:val="45A747A5"/>
    <w:rsid w:val="45B53C2E"/>
    <w:rsid w:val="45B5BBA8"/>
    <w:rsid w:val="45BC81C9"/>
    <w:rsid w:val="45BE220C"/>
    <w:rsid w:val="45BFA7A5"/>
    <w:rsid w:val="45C1D379"/>
    <w:rsid w:val="45C3BEEA"/>
    <w:rsid w:val="45C67889"/>
    <w:rsid w:val="45CF4D98"/>
    <w:rsid w:val="45D19C56"/>
    <w:rsid w:val="45D21A2B"/>
    <w:rsid w:val="45D31C36"/>
    <w:rsid w:val="45DE66E1"/>
    <w:rsid w:val="45DEBF7B"/>
    <w:rsid w:val="45DF74FA"/>
    <w:rsid w:val="45DFAC67"/>
    <w:rsid w:val="45E4FA25"/>
    <w:rsid w:val="45E54980"/>
    <w:rsid w:val="45E5BC73"/>
    <w:rsid w:val="45E66882"/>
    <w:rsid w:val="45EAE28B"/>
    <w:rsid w:val="45EBE2A3"/>
    <w:rsid w:val="45EFE7F6"/>
    <w:rsid w:val="45F15140"/>
    <w:rsid w:val="45F9A7E1"/>
    <w:rsid w:val="45FE8226"/>
    <w:rsid w:val="45FFF17B"/>
    <w:rsid w:val="4604B5D8"/>
    <w:rsid w:val="4608D67B"/>
    <w:rsid w:val="460A2856"/>
    <w:rsid w:val="4612CA37"/>
    <w:rsid w:val="4615071B"/>
    <w:rsid w:val="46159A7F"/>
    <w:rsid w:val="461BC7A4"/>
    <w:rsid w:val="461D5D60"/>
    <w:rsid w:val="461E144A"/>
    <w:rsid w:val="46204CCC"/>
    <w:rsid w:val="4621EF31"/>
    <w:rsid w:val="462412EB"/>
    <w:rsid w:val="463457CC"/>
    <w:rsid w:val="463867F1"/>
    <w:rsid w:val="463BFBBF"/>
    <w:rsid w:val="463DA98C"/>
    <w:rsid w:val="4647460F"/>
    <w:rsid w:val="464AEA75"/>
    <w:rsid w:val="464D9249"/>
    <w:rsid w:val="46507605"/>
    <w:rsid w:val="4650DA3D"/>
    <w:rsid w:val="4654DC63"/>
    <w:rsid w:val="4657C600"/>
    <w:rsid w:val="46594785"/>
    <w:rsid w:val="465F9E4E"/>
    <w:rsid w:val="4666A0B7"/>
    <w:rsid w:val="466E8271"/>
    <w:rsid w:val="467604A1"/>
    <w:rsid w:val="467FD348"/>
    <w:rsid w:val="46838114"/>
    <w:rsid w:val="4683E61C"/>
    <w:rsid w:val="46882C91"/>
    <w:rsid w:val="468939CB"/>
    <w:rsid w:val="468D96E8"/>
    <w:rsid w:val="46985E6E"/>
    <w:rsid w:val="4698C6C9"/>
    <w:rsid w:val="469DD49C"/>
    <w:rsid w:val="469F3EBF"/>
    <w:rsid w:val="469FF2A6"/>
    <w:rsid w:val="46A226BE"/>
    <w:rsid w:val="46A31A18"/>
    <w:rsid w:val="46A629A2"/>
    <w:rsid w:val="46A8B280"/>
    <w:rsid w:val="46ACE27F"/>
    <w:rsid w:val="46AD9649"/>
    <w:rsid w:val="46B101ED"/>
    <w:rsid w:val="46B13870"/>
    <w:rsid w:val="46B1F068"/>
    <w:rsid w:val="46B3E239"/>
    <w:rsid w:val="46B412DD"/>
    <w:rsid w:val="46BBE517"/>
    <w:rsid w:val="46C0C09F"/>
    <w:rsid w:val="46C3E25F"/>
    <w:rsid w:val="46C86A19"/>
    <w:rsid w:val="46CB563D"/>
    <w:rsid w:val="46D7EE1C"/>
    <w:rsid w:val="46D98A49"/>
    <w:rsid w:val="46DCD6C5"/>
    <w:rsid w:val="46DF40C4"/>
    <w:rsid w:val="46E6535C"/>
    <w:rsid w:val="46EA703A"/>
    <w:rsid w:val="46EC559E"/>
    <w:rsid w:val="46F630C8"/>
    <w:rsid w:val="46F6E9D7"/>
    <w:rsid w:val="46F87FB9"/>
    <w:rsid w:val="46FE8889"/>
    <w:rsid w:val="470117FF"/>
    <w:rsid w:val="4704B4AE"/>
    <w:rsid w:val="470525FA"/>
    <w:rsid w:val="4705CBD2"/>
    <w:rsid w:val="4707BBD4"/>
    <w:rsid w:val="470A8D90"/>
    <w:rsid w:val="470AFA25"/>
    <w:rsid w:val="470F9B69"/>
    <w:rsid w:val="4710171B"/>
    <w:rsid w:val="4717D2EF"/>
    <w:rsid w:val="4718FE01"/>
    <w:rsid w:val="471CF0C2"/>
    <w:rsid w:val="471DA467"/>
    <w:rsid w:val="471FBEE2"/>
    <w:rsid w:val="472379DF"/>
    <w:rsid w:val="47288288"/>
    <w:rsid w:val="4729C09C"/>
    <w:rsid w:val="472E5AD6"/>
    <w:rsid w:val="472F628E"/>
    <w:rsid w:val="472F9B37"/>
    <w:rsid w:val="47320171"/>
    <w:rsid w:val="47349B31"/>
    <w:rsid w:val="4736792A"/>
    <w:rsid w:val="473DEE58"/>
    <w:rsid w:val="474C45E9"/>
    <w:rsid w:val="474D0004"/>
    <w:rsid w:val="474F2FF7"/>
    <w:rsid w:val="474FD292"/>
    <w:rsid w:val="4751C086"/>
    <w:rsid w:val="4759A032"/>
    <w:rsid w:val="4766C348"/>
    <w:rsid w:val="4768C4E9"/>
    <w:rsid w:val="476A59EA"/>
    <w:rsid w:val="476DF7D0"/>
    <w:rsid w:val="477F9E32"/>
    <w:rsid w:val="47837429"/>
    <w:rsid w:val="47837E4A"/>
    <w:rsid w:val="47887982"/>
    <w:rsid w:val="4789723F"/>
    <w:rsid w:val="478C48B5"/>
    <w:rsid w:val="478F3DC8"/>
    <w:rsid w:val="478FB2F3"/>
    <w:rsid w:val="47905A53"/>
    <w:rsid w:val="47916561"/>
    <w:rsid w:val="4792CADB"/>
    <w:rsid w:val="47962C23"/>
    <w:rsid w:val="4796F934"/>
    <w:rsid w:val="479FCF7C"/>
    <w:rsid w:val="47A2CAEA"/>
    <w:rsid w:val="47A5689E"/>
    <w:rsid w:val="47A7CAF4"/>
    <w:rsid w:val="47AF9631"/>
    <w:rsid w:val="47B52F62"/>
    <w:rsid w:val="47B7A6E0"/>
    <w:rsid w:val="47B8DED8"/>
    <w:rsid w:val="47BA709D"/>
    <w:rsid w:val="47BB6FA0"/>
    <w:rsid w:val="47BBA986"/>
    <w:rsid w:val="47BDCA8C"/>
    <w:rsid w:val="47C39C4A"/>
    <w:rsid w:val="47C4907C"/>
    <w:rsid w:val="47C6FB66"/>
    <w:rsid w:val="47C76080"/>
    <w:rsid w:val="47CFA552"/>
    <w:rsid w:val="47D011B5"/>
    <w:rsid w:val="47D233A2"/>
    <w:rsid w:val="47D466C9"/>
    <w:rsid w:val="47D79CD2"/>
    <w:rsid w:val="47E1F5A7"/>
    <w:rsid w:val="47E2F692"/>
    <w:rsid w:val="47E406FF"/>
    <w:rsid w:val="47E517E3"/>
    <w:rsid w:val="47E715B5"/>
    <w:rsid w:val="47E78443"/>
    <w:rsid w:val="47E9CF54"/>
    <w:rsid w:val="47F2C650"/>
    <w:rsid w:val="47FB2B9F"/>
    <w:rsid w:val="480496F7"/>
    <w:rsid w:val="4807693F"/>
    <w:rsid w:val="480E6717"/>
    <w:rsid w:val="480F12DE"/>
    <w:rsid w:val="4810D7B1"/>
    <w:rsid w:val="48141768"/>
    <w:rsid w:val="48172E5D"/>
    <w:rsid w:val="48177022"/>
    <w:rsid w:val="481B7265"/>
    <w:rsid w:val="481EB903"/>
    <w:rsid w:val="482398EC"/>
    <w:rsid w:val="482488FF"/>
    <w:rsid w:val="48274543"/>
    <w:rsid w:val="4827AE4B"/>
    <w:rsid w:val="4829ADDF"/>
    <w:rsid w:val="482A6FEB"/>
    <w:rsid w:val="482C30B5"/>
    <w:rsid w:val="482C7C73"/>
    <w:rsid w:val="48313957"/>
    <w:rsid w:val="4832D1AC"/>
    <w:rsid w:val="4837250F"/>
    <w:rsid w:val="4837F891"/>
    <w:rsid w:val="483B1AA8"/>
    <w:rsid w:val="483DEB9C"/>
    <w:rsid w:val="48409D50"/>
    <w:rsid w:val="484BE74D"/>
    <w:rsid w:val="484FC2AD"/>
    <w:rsid w:val="4854CE81"/>
    <w:rsid w:val="48637EC3"/>
    <w:rsid w:val="486605F4"/>
    <w:rsid w:val="486B053B"/>
    <w:rsid w:val="486E32BE"/>
    <w:rsid w:val="4872D03A"/>
    <w:rsid w:val="4876794D"/>
    <w:rsid w:val="487A853B"/>
    <w:rsid w:val="48803D88"/>
    <w:rsid w:val="48811640"/>
    <w:rsid w:val="48872875"/>
    <w:rsid w:val="48883692"/>
    <w:rsid w:val="488C3826"/>
    <w:rsid w:val="488D34C2"/>
    <w:rsid w:val="488F1DC9"/>
    <w:rsid w:val="4892433A"/>
    <w:rsid w:val="4893F471"/>
    <w:rsid w:val="4895AC96"/>
    <w:rsid w:val="4899E377"/>
    <w:rsid w:val="489AF3CA"/>
    <w:rsid w:val="489B77B2"/>
    <w:rsid w:val="489C6D58"/>
    <w:rsid w:val="48A24915"/>
    <w:rsid w:val="48A6931E"/>
    <w:rsid w:val="48A771CA"/>
    <w:rsid w:val="48A8261C"/>
    <w:rsid w:val="48A864F4"/>
    <w:rsid w:val="48AF00DE"/>
    <w:rsid w:val="48AF3413"/>
    <w:rsid w:val="48B30EE9"/>
    <w:rsid w:val="48B4A550"/>
    <w:rsid w:val="48B81C96"/>
    <w:rsid w:val="48B87568"/>
    <w:rsid w:val="48B87EE8"/>
    <w:rsid w:val="48C04C01"/>
    <w:rsid w:val="48C13123"/>
    <w:rsid w:val="48C154F0"/>
    <w:rsid w:val="48C4B7D7"/>
    <w:rsid w:val="48C5244F"/>
    <w:rsid w:val="48C5B29B"/>
    <w:rsid w:val="48D3C9C5"/>
    <w:rsid w:val="48D46AAC"/>
    <w:rsid w:val="48DBC8EF"/>
    <w:rsid w:val="48DC7B6D"/>
    <w:rsid w:val="48E6F389"/>
    <w:rsid w:val="48ED9BAE"/>
    <w:rsid w:val="48EE17BE"/>
    <w:rsid w:val="48F9CD5C"/>
    <w:rsid w:val="48FD6ED9"/>
    <w:rsid w:val="48FFFF79"/>
    <w:rsid w:val="49043F54"/>
    <w:rsid w:val="490A18B8"/>
    <w:rsid w:val="490D5639"/>
    <w:rsid w:val="4910D528"/>
    <w:rsid w:val="491B1739"/>
    <w:rsid w:val="49252941"/>
    <w:rsid w:val="49258E43"/>
    <w:rsid w:val="4925AB50"/>
    <w:rsid w:val="492BF6EE"/>
    <w:rsid w:val="492DD1EC"/>
    <w:rsid w:val="492FDABA"/>
    <w:rsid w:val="49365317"/>
    <w:rsid w:val="4936F167"/>
    <w:rsid w:val="493947DC"/>
    <w:rsid w:val="493DBF33"/>
    <w:rsid w:val="493FA8BD"/>
    <w:rsid w:val="49480934"/>
    <w:rsid w:val="4949394B"/>
    <w:rsid w:val="494A4F9F"/>
    <w:rsid w:val="494A77B5"/>
    <w:rsid w:val="494B8627"/>
    <w:rsid w:val="494B936C"/>
    <w:rsid w:val="49513B52"/>
    <w:rsid w:val="4955AB3C"/>
    <w:rsid w:val="4961E011"/>
    <w:rsid w:val="4964C2D0"/>
    <w:rsid w:val="4974C7CE"/>
    <w:rsid w:val="497612A6"/>
    <w:rsid w:val="4976A9B3"/>
    <w:rsid w:val="49792A68"/>
    <w:rsid w:val="497E9B00"/>
    <w:rsid w:val="497F5FE6"/>
    <w:rsid w:val="4980D39A"/>
    <w:rsid w:val="498CFD4A"/>
    <w:rsid w:val="498E1AED"/>
    <w:rsid w:val="498F1C14"/>
    <w:rsid w:val="49A2400D"/>
    <w:rsid w:val="49A7ED44"/>
    <w:rsid w:val="49AD2BF6"/>
    <w:rsid w:val="49AD8332"/>
    <w:rsid w:val="49AF6494"/>
    <w:rsid w:val="49B3473E"/>
    <w:rsid w:val="49B446D6"/>
    <w:rsid w:val="49B9B1A7"/>
    <w:rsid w:val="49BA9485"/>
    <w:rsid w:val="49BABFCC"/>
    <w:rsid w:val="49BF8EC8"/>
    <w:rsid w:val="49C2A8C2"/>
    <w:rsid w:val="49C8B786"/>
    <w:rsid w:val="49CA66A4"/>
    <w:rsid w:val="49CC354E"/>
    <w:rsid w:val="49D0CA11"/>
    <w:rsid w:val="49D60089"/>
    <w:rsid w:val="49D7EB6E"/>
    <w:rsid w:val="49D7F126"/>
    <w:rsid w:val="49DC9264"/>
    <w:rsid w:val="49DFD6A2"/>
    <w:rsid w:val="49EB89C3"/>
    <w:rsid w:val="49F07583"/>
    <w:rsid w:val="49F1E82B"/>
    <w:rsid w:val="49F3D74B"/>
    <w:rsid w:val="49F3F4F2"/>
    <w:rsid w:val="49F4C0BA"/>
    <w:rsid w:val="49FAB26B"/>
    <w:rsid w:val="49FD4B17"/>
    <w:rsid w:val="4A0110D4"/>
    <w:rsid w:val="4A02687A"/>
    <w:rsid w:val="4A0410A3"/>
    <w:rsid w:val="4A073664"/>
    <w:rsid w:val="4A118CDA"/>
    <w:rsid w:val="4A1693D5"/>
    <w:rsid w:val="4A1B292F"/>
    <w:rsid w:val="4A1C883E"/>
    <w:rsid w:val="4A21318F"/>
    <w:rsid w:val="4A249987"/>
    <w:rsid w:val="4A268FCA"/>
    <w:rsid w:val="4A26EF42"/>
    <w:rsid w:val="4A27F204"/>
    <w:rsid w:val="4A2C0C64"/>
    <w:rsid w:val="4A2E92BF"/>
    <w:rsid w:val="4A2EDCE1"/>
    <w:rsid w:val="4A2F0FA5"/>
    <w:rsid w:val="4A3326A0"/>
    <w:rsid w:val="4A337CEA"/>
    <w:rsid w:val="4A3EB3B8"/>
    <w:rsid w:val="4A413BFB"/>
    <w:rsid w:val="4A457DD5"/>
    <w:rsid w:val="4A4A10E6"/>
    <w:rsid w:val="4A4F3C36"/>
    <w:rsid w:val="4A4F4222"/>
    <w:rsid w:val="4A4F95E7"/>
    <w:rsid w:val="4A4FBF13"/>
    <w:rsid w:val="4A50127C"/>
    <w:rsid w:val="4A502A7C"/>
    <w:rsid w:val="4A50455A"/>
    <w:rsid w:val="4A54BC74"/>
    <w:rsid w:val="4A597847"/>
    <w:rsid w:val="4A5BA0BB"/>
    <w:rsid w:val="4A5E083B"/>
    <w:rsid w:val="4A651269"/>
    <w:rsid w:val="4A68A94E"/>
    <w:rsid w:val="4A68C8CD"/>
    <w:rsid w:val="4A6A09E2"/>
    <w:rsid w:val="4A6C6141"/>
    <w:rsid w:val="4A71DF21"/>
    <w:rsid w:val="4A770AD2"/>
    <w:rsid w:val="4A7A4926"/>
    <w:rsid w:val="4A85C2C4"/>
    <w:rsid w:val="4A874F7A"/>
    <w:rsid w:val="4A8950C2"/>
    <w:rsid w:val="4A8CF1FA"/>
    <w:rsid w:val="4A924517"/>
    <w:rsid w:val="4A95566C"/>
    <w:rsid w:val="4A97EE10"/>
    <w:rsid w:val="4A990149"/>
    <w:rsid w:val="4A9D1272"/>
    <w:rsid w:val="4AA09A4B"/>
    <w:rsid w:val="4AA1356B"/>
    <w:rsid w:val="4AA19ABF"/>
    <w:rsid w:val="4AA252F7"/>
    <w:rsid w:val="4AA9652B"/>
    <w:rsid w:val="4AAFCA4E"/>
    <w:rsid w:val="4AB003DE"/>
    <w:rsid w:val="4AB3B6C2"/>
    <w:rsid w:val="4AB69E45"/>
    <w:rsid w:val="4AB8EEB4"/>
    <w:rsid w:val="4ABFDAA0"/>
    <w:rsid w:val="4AC2586C"/>
    <w:rsid w:val="4AC2F7AD"/>
    <w:rsid w:val="4AC3F186"/>
    <w:rsid w:val="4AC62C55"/>
    <w:rsid w:val="4AC800E8"/>
    <w:rsid w:val="4AC92199"/>
    <w:rsid w:val="4ACBF8A4"/>
    <w:rsid w:val="4ACCADDE"/>
    <w:rsid w:val="4ACEA38C"/>
    <w:rsid w:val="4AD6F7A5"/>
    <w:rsid w:val="4AE08DDC"/>
    <w:rsid w:val="4AE11594"/>
    <w:rsid w:val="4AE30A7E"/>
    <w:rsid w:val="4AEB56B1"/>
    <w:rsid w:val="4AED5327"/>
    <w:rsid w:val="4AF14422"/>
    <w:rsid w:val="4AF1D98D"/>
    <w:rsid w:val="4AF82149"/>
    <w:rsid w:val="4AFD216F"/>
    <w:rsid w:val="4B021C3C"/>
    <w:rsid w:val="4B17578D"/>
    <w:rsid w:val="4B19D0C8"/>
    <w:rsid w:val="4B1BCD51"/>
    <w:rsid w:val="4B208CE0"/>
    <w:rsid w:val="4B218152"/>
    <w:rsid w:val="4B28EABA"/>
    <w:rsid w:val="4B2B790D"/>
    <w:rsid w:val="4B2D29F1"/>
    <w:rsid w:val="4B2F00D7"/>
    <w:rsid w:val="4B327488"/>
    <w:rsid w:val="4B357CDD"/>
    <w:rsid w:val="4B3581C4"/>
    <w:rsid w:val="4B3AD227"/>
    <w:rsid w:val="4B3DED13"/>
    <w:rsid w:val="4B430449"/>
    <w:rsid w:val="4B47DDAD"/>
    <w:rsid w:val="4B4A3C51"/>
    <w:rsid w:val="4B4DC68F"/>
    <w:rsid w:val="4B51D9F9"/>
    <w:rsid w:val="4B544102"/>
    <w:rsid w:val="4B5DA9D8"/>
    <w:rsid w:val="4B5F2B80"/>
    <w:rsid w:val="4B5F8281"/>
    <w:rsid w:val="4B632EA3"/>
    <w:rsid w:val="4B64DD68"/>
    <w:rsid w:val="4B65F9EC"/>
    <w:rsid w:val="4B689887"/>
    <w:rsid w:val="4B699C3A"/>
    <w:rsid w:val="4B6CA318"/>
    <w:rsid w:val="4B6D1F4D"/>
    <w:rsid w:val="4B72BD53"/>
    <w:rsid w:val="4B72CBD9"/>
    <w:rsid w:val="4B7A8E47"/>
    <w:rsid w:val="4B801105"/>
    <w:rsid w:val="4B80F154"/>
    <w:rsid w:val="4B819AFF"/>
    <w:rsid w:val="4B82EC43"/>
    <w:rsid w:val="4B8515D7"/>
    <w:rsid w:val="4B893009"/>
    <w:rsid w:val="4B8AE316"/>
    <w:rsid w:val="4B8CC682"/>
    <w:rsid w:val="4B8D116A"/>
    <w:rsid w:val="4B8E97FE"/>
    <w:rsid w:val="4B8F36F6"/>
    <w:rsid w:val="4B90B0A9"/>
    <w:rsid w:val="4B96D471"/>
    <w:rsid w:val="4B9F8F27"/>
    <w:rsid w:val="4BA0B8E9"/>
    <w:rsid w:val="4BA10D6B"/>
    <w:rsid w:val="4BA6D9F5"/>
    <w:rsid w:val="4BA79160"/>
    <w:rsid w:val="4BA7CF78"/>
    <w:rsid w:val="4BAB7572"/>
    <w:rsid w:val="4BAD717A"/>
    <w:rsid w:val="4BB182A7"/>
    <w:rsid w:val="4BB6BB8D"/>
    <w:rsid w:val="4BBAECC8"/>
    <w:rsid w:val="4BBE3542"/>
    <w:rsid w:val="4BC07D7D"/>
    <w:rsid w:val="4BC0E95A"/>
    <w:rsid w:val="4BC2D35E"/>
    <w:rsid w:val="4BC2D483"/>
    <w:rsid w:val="4BC3DFAA"/>
    <w:rsid w:val="4BC45A78"/>
    <w:rsid w:val="4BC60A3D"/>
    <w:rsid w:val="4BCF2AC2"/>
    <w:rsid w:val="4BD02E37"/>
    <w:rsid w:val="4BD4E02D"/>
    <w:rsid w:val="4BD6CFA6"/>
    <w:rsid w:val="4BDA2799"/>
    <w:rsid w:val="4BDBB50D"/>
    <w:rsid w:val="4BDD7100"/>
    <w:rsid w:val="4BE01C0B"/>
    <w:rsid w:val="4BE7EAC2"/>
    <w:rsid w:val="4BEBF445"/>
    <w:rsid w:val="4BEF9174"/>
    <w:rsid w:val="4BF2D3D0"/>
    <w:rsid w:val="4BFFCD94"/>
    <w:rsid w:val="4C125EEB"/>
    <w:rsid w:val="4C1486D7"/>
    <w:rsid w:val="4C164195"/>
    <w:rsid w:val="4C1D8A08"/>
    <w:rsid w:val="4C1E0326"/>
    <w:rsid w:val="4C2993E9"/>
    <w:rsid w:val="4C2BAE6A"/>
    <w:rsid w:val="4C3053F2"/>
    <w:rsid w:val="4C31B7FD"/>
    <w:rsid w:val="4C3AC906"/>
    <w:rsid w:val="4C3CC2CD"/>
    <w:rsid w:val="4C3D69A1"/>
    <w:rsid w:val="4C3E2DD2"/>
    <w:rsid w:val="4C465DD1"/>
    <w:rsid w:val="4C48E2F0"/>
    <w:rsid w:val="4C4B136E"/>
    <w:rsid w:val="4C5344BA"/>
    <w:rsid w:val="4C539C93"/>
    <w:rsid w:val="4C5401F7"/>
    <w:rsid w:val="4C548E76"/>
    <w:rsid w:val="4C555894"/>
    <w:rsid w:val="4C55AF91"/>
    <w:rsid w:val="4C56D436"/>
    <w:rsid w:val="4C57C4BB"/>
    <w:rsid w:val="4C60A621"/>
    <w:rsid w:val="4C60DD62"/>
    <w:rsid w:val="4C61A649"/>
    <w:rsid w:val="4C62D3CE"/>
    <w:rsid w:val="4C647EDE"/>
    <w:rsid w:val="4C76C7DF"/>
    <w:rsid w:val="4C77978D"/>
    <w:rsid w:val="4C7862A2"/>
    <w:rsid w:val="4C79B9C4"/>
    <w:rsid w:val="4C836860"/>
    <w:rsid w:val="4C86DF20"/>
    <w:rsid w:val="4C86E890"/>
    <w:rsid w:val="4C8983CA"/>
    <w:rsid w:val="4C90D5AD"/>
    <w:rsid w:val="4C914FEA"/>
    <w:rsid w:val="4C990598"/>
    <w:rsid w:val="4C9AD81F"/>
    <w:rsid w:val="4CB076B8"/>
    <w:rsid w:val="4CB63259"/>
    <w:rsid w:val="4CBC411F"/>
    <w:rsid w:val="4CBC9C40"/>
    <w:rsid w:val="4CC0CB86"/>
    <w:rsid w:val="4CC7245C"/>
    <w:rsid w:val="4CC7BB8F"/>
    <w:rsid w:val="4CCCFF12"/>
    <w:rsid w:val="4CD07173"/>
    <w:rsid w:val="4CD09912"/>
    <w:rsid w:val="4CD3C943"/>
    <w:rsid w:val="4CD5B40D"/>
    <w:rsid w:val="4CD5D47D"/>
    <w:rsid w:val="4CD84001"/>
    <w:rsid w:val="4CD84BE2"/>
    <w:rsid w:val="4CDF0220"/>
    <w:rsid w:val="4CE3DE40"/>
    <w:rsid w:val="4CE3F56F"/>
    <w:rsid w:val="4CE810D8"/>
    <w:rsid w:val="4CE898F2"/>
    <w:rsid w:val="4CECCF42"/>
    <w:rsid w:val="4CEE21C4"/>
    <w:rsid w:val="4CF32E4E"/>
    <w:rsid w:val="4CF3B5C2"/>
    <w:rsid w:val="4CF59B2F"/>
    <w:rsid w:val="4CF73A8A"/>
    <w:rsid w:val="4CFAD8B2"/>
    <w:rsid w:val="4CFB8CF4"/>
    <w:rsid w:val="4D04A6F5"/>
    <w:rsid w:val="4D05B591"/>
    <w:rsid w:val="4D0C78C3"/>
    <w:rsid w:val="4D0D0253"/>
    <w:rsid w:val="4D10FFBC"/>
    <w:rsid w:val="4D126029"/>
    <w:rsid w:val="4D14D01E"/>
    <w:rsid w:val="4D16C8C8"/>
    <w:rsid w:val="4D16F09D"/>
    <w:rsid w:val="4D183975"/>
    <w:rsid w:val="4D237F47"/>
    <w:rsid w:val="4D2662D8"/>
    <w:rsid w:val="4D27BBFD"/>
    <w:rsid w:val="4D2AF168"/>
    <w:rsid w:val="4D3108BD"/>
    <w:rsid w:val="4D32D9F2"/>
    <w:rsid w:val="4D33523E"/>
    <w:rsid w:val="4D36C923"/>
    <w:rsid w:val="4D3B0D1F"/>
    <w:rsid w:val="4D3BE358"/>
    <w:rsid w:val="4D401A63"/>
    <w:rsid w:val="4D45D9AB"/>
    <w:rsid w:val="4D477093"/>
    <w:rsid w:val="4D57ACB6"/>
    <w:rsid w:val="4D58146C"/>
    <w:rsid w:val="4D5B4DD5"/>
    <w:rsid w:val="4D66303D"/>
    <w:rsid w:val="4D7D299E"/>
    <w:rsid w:val="4D7EC04E"/>
    <w:rsid w:val="4D81BEB6"/>
    <w:rsid w:val="4D8ECAF4"/>
    <w:rsid w:val="4D96C46C"/>
    <w:rsid w:val="4D9E38C8"/>
    <w:rsid w:val="4D9E7A4A"/>
    <w:rsid w:val="4D9EC98A"/>
    <w:rsid w:val="4DAD2AC1"/>
    <w:rsid w:val="4DBA1E56"/>
    <w:rsid w:val="4DC097EB"/>
    <w:rsid w:val="4DCA93FD"/>
    <w:rsid w:val="4DD43FCD"/>
    <w:rsid w:val="4DD69EAF"/>
    <w:rsid w:val="4DD85BD8"/>
    <w:rsid w:val="4DDA7153"/>
    <w:rsid w:val="4DDD190B"/>
    <w:rsid w:val="4DDF25CD"/>
    <w:rsid w:val="4DE01B2E"/>
    <w:rsid w:val="4DE292FC"/>
    <w:rsid w:val="4DE327E7"/>
    <w:rsid w:val="4DE423D5"/>
    <w:rsid w:val="4DE8CA9B"/>
    <w:rsid w:val="4DF05490"/>
    <w:rsid w:val="4DF26E16"/>
    <w:rsid w:val="4DF5EA66"/>
    <w:rsid w:val="4DF8274B"/>
    <w:rsid w:val="4DF98261"/>
    <w:rsid w:val="4E01672E"/>
    <w:rsid w:val="4E01E507"/>
    <w:rsid w:val="4E068308"/>
    <w:rsid w:val="4E08342B"/>
    <w:rsid w:val="4E0A249A"/>
    <w:rsid w:val="4E11AAA3"/>
    <w:rsid w:val="4E150F3C"/>
    <w:rsid w:val="4E166653"/>
    <w:rsid w:val="4E2024BB"/>
    <w:rsid w:val="4E25B4CD"/>
    <w:rsid w:val="4E264CC6"/>
    <w:rsid w:val="4E26ECD5"/>
    <w:rsid w:val="4E28D35B"/>
    <w:rsid w:val="4E2AF4C1"/>
    <w:rsid w:val="4E2CFED2"/>
    <w:rsid w:val="4E3264D8"/>
    <w:rsid w:val="4E332ABA"/>
    <w:rsid w:val="4E33DCC3"/>
    <w:rsid w:val="4E33E57A"/>
    <w:rsid w:val="4E37F412"/>
    <w:rsid w:val="4E3BCEC2"/>
    <w:rsid w:val="4E3D1B4D"/>
    <w:rsid w:val="4E3F7F9A"/>
    <w:rsid w:val="4E3FE2BE"/>
    <w:rsid w:val="4E422EF9"/>
    <w:rsid w:val="4E4522B1"/>
    <w:rsid w:val="4E47F51C"/>
    <w:rsid w:val="4E4BE54E"/>
    <w:rsid w:val="4E5B7F0B"/>
    <w:rsid w:val="4E5C8F21"/>
    <w:rsid w:val="4E699B24"/>
    <w:rsid w:val="4E6AA700"/>
    <w:rsid w:val="4E6AEF90"/>
    <w:rsid w:val="4E6B3DE6"/>
    <w:rsid w:val="4E6D0639"/>
    <w:rsid w:val="4E751A72"/>
    <w:rsid w:val="4E797ECC"/>
    <w:rsid w:val="4E7BE442"/>
    <w:rsid w:val="4E7D7800"/>
    <w:rsid w:val="4E7D9FCA"/>
    <w:rsid w:val="4E7EED38"/>
    <w:rsid w:val="4E7FBD03"/>
    <w:rsid w:val="4E8D8EBE"/>
    <w:rsid w:val="4E8F0A52"/>
    <w:rsid w:val="4E8F8E93"/>
    <w:rsid w:val="4E92A300"/>
    <w:rsid w:val="4E944669"/>
    <w:rsid w:val="4E98F72B"/>
    <w:rsid w:val="4E992361"/>
    <w:rsid w:val="4E99387D"/>
    <w:rsid w:val="4E99F87A"/>
    <w:rsid w:val="4EA0F025"/>
    <w:rsid w:val="4EA29BA1"/>
    <w:rsid w:val="4EA2A454"/>
    <w:rsid w:val="4EA61753"/>
    <w:rsid w:val="4EA88400"/>
    <w:rsid w:val="4EA8BE83"/>
    <w:rsid w:val="4EAD62B1"/>
    <w:rsid w:val="4EB12226"/>
    <w:rsid w:val="4EB212A4"/>
    <w:rsid w:val="4EB2B98F"/>
    <w:rsid w:val="4EB720A6"/>
    <w:rsid w:val="4EB750B9"/>
    <w:rsid w:val="4EB80A37"/>
    <w:rsid w:val="4EBB6A9D"/>
    <w:rsid w:val="4EC1812D"/>
    <w:rsid w:val="4EC2C077"/>
    <w:rsid w:val="4EC51976"/>
    <w:rsid w:val="4ECC56C0"/>
    <w:rsid w:val="4ED14AF0"/>
    <w:rsid w:val="4ED58D74"/>
    <w:rsid w:val="4ED64D5C"/>
    <w:rsid w:val="4EDE9ABE"/>
    <w:rsid w:val="4EE0D4BA"/>
    <w:rsid w:val="4EE6F9D3"/>
    <w:rsid w:val="4EE86343"/>
    <w:rsid w:val="4EE8DE1F"/>
    <w:rsid w:val="4EEBAFA0"/>
    <w:rsid w:val="4EED7752"/>
    <w:rsid w:val="4EEE4167"/>
    <w:rsid w:val="4EEF66D8"/>
    <w:rsid w:val="4EF055FA"/>
    <w:rsid w:val="4EF485EC"/>
    <w:rsid w:val="4EFA4FE3"/>
    <w:rsid w:val="4EFFBED1"/>
    <w:rsid w:val="4EFFE9A6"/>
    <w:rsid w:val="4F030A0E"/>
    <w:rsid w:val="4F0AEF5E"/>
    <w:rsid w:val="4F0DCD90"/>
    <w:rsid w:val="4F0FA60C"/>
    <w:rsid w:val="4F124FB0"/>
    <w:rsid w:val="4F12CE64"/>
    <w:rsid w:val="4F1AD6D9"/>
    <w:rsid w:val="4F1B214C"/>
    <w:rsid w:val="4F1E27B9"/>
    <w:rsid w:val="4F1E8CFD"/>
    <w:rsid w:val="4F1F5F88"/>
    <w:rsid w:val="4F25FBF2"/>
    <w:rsid w:val="4F2740AE"/>
    <w:rsid w:val="4F284BB8"/>
    <w:rsid w:val="4F2B5C6C"/>
    <w:rsid w:val="4F3034F3"/>
    <w:rsid w:val="4F345103"/>
    <w:rsid w:val="4F34C578"/>
    <w:rsid w:val="4F373437"/>
    <w:rsid w:val="4F39A8D0"/>
    <w:rsid w:val="4F3D286B"/>
    <w:rsid w:val="4F3FB809"/>
    <w:rsid w:val="4F48AB47"/>
    <w:rsid w:val="4F4E7A77"/>
    <w:rsid w:val="4F4F57B5"/>
    <w:rsid w:val="4F523151"/>
    <w:rsid w:val="4F54A4C1"/>
    <w:rsid w:val="4F577710"/>
    <w:rsid w:val="4F58E67C"/>
    <w:rsid w:val="4F5A9390"/>
    <w:rsid w:val="4F5BFB35"/>
    <w:rsid w:val="4F5C2412"/>
    <w:rsid w:val="4F5D1F90"/>
    <w:rsid w:val="4F62791A"/>
    <w:rsid w:val="4F642D82"/>
    <w:rsid w:val="4F6662ED"/>
    <w:rsid w:val="4F6721D2"/>
    <w:rsid w:val="4F674BCE"/>
    <w:rsid w:val="4F69CB9A"/>
    <w:rsid w:val="4F6E61E7"/>
    <w:rsid w:val="4F7107AE"/>
    <w:rsid w:val="4F772985"/>
    <w:rsid w:val="4F78E7EF"/>
    <w:rsid w:val="4F80A13B"/>
    <w:rsid w:val="4F85CD4C"/>
    <w:rsid w:val="4F87BBAD"/>
    <w:rsid w:val="4F880DFC"/>
    <w:rsid w:val="4F89323B"/>
    <w:rsid w:val="4F8F5BBA"/>
    <w:rsid w:val="4F9186A1"/>
    <w:rsid w:val="4F93362E"/>
    <w:rsid w:val="4F96D983"/>
    <w:rsid w:val="4F9931E8"/>
    <w:rsid w:val="4F9AC475"/>
    <w:rsid w:val="4F9C734A"/>
    <w:rsid w:val="4FA23EB2"/>
    <w:rsid w:val="4FA4DD6E"/>
    <w:rsid w:val="4FA72A9D"/>
    <w:rsid w:val="4FA8DCB2"/>
    <w:rsid w:val="4FB59E76"/>
    <w:rsid w:val="4FB78612"/>
    <w:rsid w:val="4FBD19E3"/>
    <w:rsid w:val="4FC18B62"/>
    <w:rsid w:val="4FC51CBD"/>
    <w:rsid w:val="4FDD8511"/>
    <w:rsid w:val="4FE3684B"/>
    <w:rsid w:val="4FE5D004"/>
    <w:rsid w:val="4FEBC57F"/>
    <w:rsid w:val="4FEDD516"/>
    <w:rsid w:val="4FEEA195"/>
    <w:rsid w:val="4FF2FE48"/>
    <w:rsid w:val="4FF5C270"/>
    <w:rsid w:val="4FF98F60"/>
    <w:rsid w:val="5001207E"/>
    <w:rsid w:val="500458AA"/>
    <w:rsid w:val="5006175C"/>
    <w:rsid w:val="500C097F"/>
    <w:rsid w:val="500D6D70"/>
    <w:rsid w:val="5012D088"/>
    <w:rsid w:val="5017A399"/>
    <w:rsid w:val="50192087"/>
    <w:rsid w:val="501B0C9F"/>
    <w:rsid w:val="501DE1E6"/>
    <w:rsid w:val="502A4624"/>
    <w:rsid w:val="502D3F1D"/>
    <w:rsid w:val="502EBCAD"/>
    <w:rsid w:val="502FA0F7"/>
    <w:rsid w:val="5030F0AD"/>
    <w:rsid w:val="5031443C"/>
    <w:rsid w:val="5035B001"/>
    <w:rsid w:val="50361B80"/>
    <w:rsid w:val="503B5907"/>
    <w:rsid w:val="50406A8C"/>
    <w:rsid w:val="50415877"/>
    <w:rsid w:val="5044B6FB"/>
    <w:rsid w:val="50477CAD"/>
    <w:rsid w:val="505518C0"/>
    <w:rsid w:val="5057BDA6"/>
    <w:rsid w:val="50592FA1"/>
    <w:rsid w:val="5059FBE7"/>
    <w:rsid w:val="505C1A83"/>
    <w:rsid w:val="505C826A"/>
    <w:rsid w:val="5060B7D9"/>
    <w:rsid w:val="50626D5B"/>
    <w:rsid w:val="50675CBD"/>
    <w:rsid w:val="507278E6"/>
    <w:rsid w:val="5075AE2A"/>
    <w:rsid w:val="5077995F"/>
    <w:rsid w:val="507D0C2B"/>
    <w:rsid w:val="507DDFF5"/>
    <w:rsid w:val="5083EFF0"/>
    <w:rsid w:val="508715CA"/>
    <w:rsid w:val="509082AF"/>
    <w:rsid w:val="5091157F"/>
    <w:rsid w:val="5091BFDB"/>
    <w:rsid w:val="509D569E"/>
    <w:rsid w:val="50A0AD59"/>
    <w:rsid w:val="50AF9696"/>
    <w:rsid w:val="50AFAD2B"/>
    <w:rsid w:val="50AFC170"/>
    <w:rsid w:val="50BE0C91"/>
    <w:rsid w:val="50BE7893"/>
    <w:rsid w:val="50C09EFA"/>
    <w:rsid w:val="50C17C8C"/>
    <w:rsid w:val="50C1C1ED"/>
    <w:rsid w:val="50C2E01A"/>
    <w:rsid w:val="50C3359C"/>
    <w:rsid w:val="50C4D321"/>
    <w:rsid w:val="50C5488E"/>
    <w:rsid w:val="50C5F91F"/>
    <w:rsid w:val="50C9EE1D"/>
    <w:rsid w:val="50D14BA2"/>
    <w:rsid w:val="50D97369"/>
    <w:rsid w:val="50DC072D"/>
    <w:rsid w:val="50E8D624"/>
    <w:rsid w:val="50E99C54"/>
    <w:rsid w:val="50E9C0D6"/>
    <w:rsid w:val="50EA036A"/>
    <w:rsid w:val="50EA953E"/>
    <w:rsid w:val="50F39401"/>
    <w:rsid w:val="50F3B1D9"/>
    <w:rsid w:val="50FF1978"/>
    <w:rsid w:val="51016359"/>
    <w:rsid w:val="5104931E"/>
    <w:rsid w:val="5106E860"/>
    <w:rsid w:val="510C0AC6"/>
    <w:rsid w:val="511048A3"/>
    <w:rsid w:val="51120D8A"/>
    <w:rsid w:val="51165B2D"/>
    <w:rsid w:val="5117DB88"/>
    <w:rsid w:val="511BEB7B"/>
    <w:rsid w:val="511C17C2"/>
    <w:rsid w:val="511E7C4A"/>
    <w:rsid w:val="5122D850"/>
    <w:rsid w:val="5125717A"/>
    <w:rsid w:val="5132B4C9"/>
    <w:rsid w:val="51395F8B"/>
    <w:rsid w:val="513A8D69"/>
    <w:rsid w:val="513B0FA3"/>
    <w:rsid w:val="513E83ED"/>
    <w:rsid w:val="51403A38"/>
    <w:rsid w:val="5140CEE2"/>
    <w:rsid w:val="51411836"/>
    <w:rsid w:val="5146C0E5"/>
    <w:rsid w:val="51478C54"/>
    <w:rsid w:val="51489E62"/>
    <w:rsid w:val="5148E878"/>
    <w:rsid w:val="514A160E"/>
    <w:rsid w:val="514CFF92"/>
    <w:rsid w:val="514F7622"/>
    <w:rsid w:val="514FEBA6"/>
    <w:rsid w:val="51589E3A"/>
    <w:rsid w:val="515CB2FA"/>
    <w:rsid w:val="515D36C3"/>
    <w:rsid w:val="515EDFAC"/>
    <w:rsid w:val="515FB855"/>
    <w:rsid w:val="51614336"/>
    <w:rsid w:val="51615330"/>
    <w:rsid w:val="51623FC0"/>
    <w:rsid w:val="51647251"/>
    <w:rsid w:val="51658898"/>
    <w:rsid w:val="51683A91"/>
    <w:rsid w:val="516A2A7B"/>
    <w:rsid w:val="516F8B0E"/>
    <w:rsid w:val="5173DDEB"/>
    <w:rsid w:val="51760E95"/>
    <w:rsid w:val="517642CB"/>
    <w:rsid w:val="51764986"/>
    <w:rsid w:val="51766A29"/>
    <w:rsid w:val="5176B05C"/>
    <w:rsid w:val="5177C7DE"/>
    <w:rsid w:val="51797051"/>
    <w:rsid w:val="5179BA3D"/>
    <w:rsid w:val="517A3726"/>
    <w:rsid w:val="517BBD16"/>
    <w:rsid w:val="517EE229"/>
    <w:rsid w:val="5182970E"/>
    <w:rsid w:val="51859F9B"/>
    <w:rsid w:val="51883D57"/>
    <w:rsid w:val="518CE40F"/>
    <w:rsid w:val="518D14F4"/>
    <w:rsid w:val="518D1C23"/>
    <w:rsid w:val="518D4310"/>
    <w:rsid w:val="518D43A7"/>
    <w:rsid w:val="518E801C"/>
    <w:rsid w:val="5195FC8B"/>
    <w:rsid w:val="51979458"/>
    <w:rsid w:val="51A52C54"/>
    <w:rsid w:val="51A54EAD"/>
    <w:rsid w:val="51ADA7CA"/>
    <w:rsid w:val="51B17960"/>
    <w:rsid w:val="51BB2A90"/>
    <w:rsid w:val="51BBB256"/>
    <w:rsid w:val="51C5DA53"/>
    <w:rsid w:val="51C8CD7F"/>
    <w:rsid w:val="51CC6B91"/>
    <w:rsid w:val="51CF2CF8"/>
    <w:rsid w:val="51D6D43B"/>
    <w:rsid w:val="51DC9E6C"/>
    <w:rsid w:val="51DE055A"/>
    <w:rsid w:val="51DE39DB"/>
    <w:rsid w:val="51EC4BCE"/>
    <w:rsid w:val="51F36156"/>
    <w:rsid w:val="51F851A2"/>
    <w:rsid w:val="51FB709C"/>
    <w:rsid w:val="51FDA045"/>
    <w:rsid w:val="51FE1394"/>
    <w:rsid w:val="51FED833"/>
    <w:rsid w:val="52050F2B"/>
    <w:rsid w:val="520567C4"/>
    <w:rsid w:val="5206FBC5"/>
    <w:rsid w:val="520724C5"/>
    <w:rsid w:val="520871F5"/>
    <w:rsid w:val="520A1FDB"/>
    <w:rsid w:val="520AC4DB"/>
    <w:rsid w:val="520DCFCC"/>
    <w:rsid w:val="5211F5EB"/>
    <w:rsid w:val="5212DC57"/>
    <w:rsid w:val="52131F56"/>
    <w:rsid w:val="521582A6"/>
    <w:rsid w:val="521882CB"/>
    <w:rsid w:val="52191808"/>
    <w:rsid w:val="521A061D"/>
    <w:rsid w:val="521F6960"/>
    <w:rsid w:val="5225B34A"/>
    <w:rsid w:val="5227195C"/>
    <w:rsid w:val="5227C63B"/>
    <w:rsid w:val="522BCAFA"/>
    <w:rsid w:val="5234CD5F"/>
    <w:rsid w:val="52394050"/>
    <w:rsid w:val="523A2107"/>
    <w:rsid w:val="523A30D6"/>
    <w:rsid w:val="52419D8B"/>
    <w:rsid w:val="524518F5"/>
    <w:rsid w:val="524AED87"/>
    <w:rsid w:val="524FA58E"/>
    <w:rsid w:val="524FD93E"/>
    <w:rsid w:val="5252F9A4"/>
    <w:rsid w:val="52574DA2"/>
    <w:rsid w:val="525D92B4"/>
    <w:rsid w:val="525EC76D"/>
    <w:rsid w:val="526391C1"/>
    <w:rsid w:val="526F3F91"/>
    <w:rsid w:val="527032A2"/>
    <w:rsid w:val="5271CCD4"/>
    <w:rsid w:val="5272F587"/>
    <w:rsid w:val="52780EC3"/>
    <w:rsid w:val="527D20B7"/>
    <w:rsid w:val="527E7CEF"/>
    <w:rsid w:val="5281C74F"/>
    <w:rsid w:val="5283A8A2"/>
    <w:rsid w:val="52845E3C"/>
    <w:rsid w:val="528CF20F"/>
    <w:rsid w:val="52912B56"/>
    <w:rsid w:val="52930996"/>
    <w:rsid w:val="52932921"/>
    <w:rsid w:val="5296BA98"/>
    <w:rsid w:val="529AAD6C"/>
    <w:rsid w:val="529B14B7"/>
    <w:rsid w:val="529D1FA5"/>
    <w:rsid w:val="529FB0F1"/>
    <w:rsid w:val="52A3C4E2"/>
    <w:rsid w:val="52A605BF"/>
    <w:rsid w:val="52A7209B"/>
    <w:rsid w:val="52A825F0"/>
    <w:rsid w:val="52A911A7"/>
    <w:rsid w:val="52A936D3"/>
    <w:rsid w:val="52A9A773"/>
    <w:rsid w:val="52B6C370"/>
    <w:rsid w:val="52BF112B"/>
    <w:rsid w:val="52C66BF5"/>
    <w:rsid w:val="52C8181B"/>
    <w:rsid w:val="52C92687"/>
    <w:rsid w:val="52C94625"/>
    <w:rsid w:val="52CC357C"/>
    <w:rsid w:val="52CCA7A0"/>
    <w:rsid w:val="52CE596B"/>
    <w:rsid w:val="52D064E8"/>
    <w:rsid w:val="52D0C693"/>
    <w:rsid w:val="52D492CC"/>
    <w:rsid w:val="52D79D68"/>
    <w:rsid w:val="52D80943"/>
    <w:rsid w:val="52DB9237"/>
    <w:rsid w:val="52DF7470"/>
    <w:rsid w:val="52DFFED3"/>
    <w:rsid w:val="52E1D883"/>
    <w:rsid w:val="52E1E855"/>
    <w:rsid w:val="52ED013A"/>
    <w:rsid w:val="52F19A33"/>
    <w:rsid w:val="52F2CB3A"/>
    <w:rsid w:val="52F317B2"/>
    <w:rsid w:val="52F5BC85"/>
    <w:rsid w:val="52FA14BA"/>
    <w:rsid w:val="52FB7482"/>
    <w:rsid w:val="52FF7B52"/>
    <w:rsid w:val="53059CCC"/>
    <w:rsid w:val="531231D0"/>
    <w:rsid w:val="53147180"/>
    <w:rsid w:val="5315889E"/>
    <w:rsid w:val="531616D4"/>
    <w:rsid w:val="53194995"/>
    <w:rsid w:val="531DD08E"/>
    <w:rsid w:val="53216247"/>
    <w:rsid w:val="53237881"/>
    <w:rsid w:val="532907E9"/>
    <w:rsid w:val="532953B3"/>
    <w:rsid w:val="53296E92"/>
    <w:rsid w:val="5329FD79"/>
    <w:rsid w:val="532B8257"/>
    <w:rsid w:val="532F5079"/>
    <w:rsid w:val="53363268"/>
    <w:rsid w:val="5336B8B0"/>
    <w:rsid w:val="5337231E"/>
    <w:rsid w:val="533A8A14"/>
    <w:rsid w:val="533D9FEF"/>
    <w:rsid w:val="53447EAC"/>
    <w:rsid w:val="5346FDDD"/>
    <w:rsid w:val="534A5085"/>
    <w:rsid w:val="535AD882"/>
    <w:rsid w:val="535B15FE"/>
    <w:rsid w:val="535B7B69"/>
    <w:rsid w:val="536321A0"/>
    <w:rsid w:val="536AB0AC"/>
    <w:rsid w:val="536CEB96"/>
    <w:rsid w:val="536D33C5"/>
    <w:rsid w:val="53704E99"/>
    <w:rsid w:val="53712CE0"/>
    <w:rsid w:val="5373FF6C"/>
    <w:rsid w:val="53748EBE"/>
    <w:rsid w:val="537DFDFE"/>
    <w:rsid w:val="53833DAB"/>
    <w:rsid w:val="53835534"/>
    <w:rsid w:val="53882500"/>
    <w:rsid w:val="538A19D4"/>
    <w:rsid w:val="538FF22B"/>
    <w:rsid w:val="5396A236"/>
    <w:rsid w:val="53989B9B"/>
    <w:rsid w:val="5398AE8A"/>
    <w:rsid w:val="5398C026"/>
    <w:rsid w:val="5399D5BE"/>
    <w:rsid w:val="539BB0AA"/>
    <w:rsid w:val="539BF7C6"/>
    <w:rsid w:val="539D7319"/>
    <w:rsid w:val="53AAE279"/>
    <w:rsid w:val="53AB87A0"/>
    <w:rsid w:val="53AEE228"/>
    <w:rsid w:val="53B4D2B8"/>
    <w:rsid w:val="53B9DCF8"/>
    <w:rsid w:val="53C99DF5"/>
    <w:rsid w:val="53D151EC"/>
    <w:rsid w:val="53D7CD9D"/>
    <w:rsid w:val="53D8CD2A"/>
    <w:rsid w:val="53EC74B0"/>
    <w:rsid w:val="53F9E71D"/>
    <w:rsid w:val="53FC819A"/>
    <w:rsid w:val="53FC8E34"/>
    <w:rsid w:val="53FFBAAE"/>
    <w:rsid w:val="54003312"/>
    <w:rsid w:val="5401E91F"/>
    <w:rsid w:val="54036C23"/>
    <w:rsid w:val="54043D32"/>
    <w:rsid w:val="5408D6F0"/>
    <w:rsid w:val="540ACBE5"/>
    <w:rsid w:val="540AD454"/>
    <w:rsid w:val="540DB1A3"/>
    <w:rsid w:val="540DB72A"/>
    <w:rsid w:val="54121BFD"/>
    <w:rsid w:val="541399C3"/>
    <w:rsid w:val="54153181"/>
    <w:rsid w:val="5419861D"/>
    <w:rsid w:val="541D2842"/>
    <w:rsid w:val="541D8CD4"/>
    <w:rsid w:val="542082F3"/>
    <w:rsid w:val="54250784"/>
    <w:rsid w:val="5425C8CB"/>
    <w:rsid w:val="5426D4B1"/>
    <w:rsid w:val="542830D4"/>
    <w:rsid w:val="542A75E7"/>
    <w:rsid w:val="542BB4E1"/>
    <w:rsid w:val="542D1838"/>
    <w:rsid w:val="5433D145"/>
    <w:rsid w:val="5436FFB8"/>
    <w:rsid w:val="543868F0"/>
    <w:rsid w:val="543D36D2"/>
    <w:rsid w:val="543F19CF"/>
    <w:rsid w:val="54431DD4"/>
    <w:rsid w:val="544C0228"/>
    <w:rsid w:val="5457373F"/>
    <w:rsid w:val="545744B8"/>
    <w:rsid w:val="5457DFA0"/>
    <w:rsid w:val="54595BFE"/>
    <w:rsid w:val="5460D781"/>
    <w:rsid w:val="5463A1D2"/>
    <w:rsid w:val="5464E633"/>
    <w:rsid w:val="5465C83A"/>
    <w:rsid w:val="546872B4"/>
    <w:rsid w:val="546EE30D"/>
    <w:rsid w:val="546FB6CA"/>
    <w:rsid w:val="546FF661"/>
    <w:rsid w:val="54709952"/>
    <w:rsid w:val="5473DA6F"/>
    <w:rsid w:val="547ECEBC"/>
    <w:rsid w:val="548517C1"/>
    <w:rsid w:val="5489F829"/>
    <w:rsid w:val="548DAC6B"/>
    <w:rsid w:val="548DC618"/>
    <w:rsid w:val="548F142F"/>
    <w:rsid w:val="5490FA5B"/>
    <w:rsid w:val="54934408"/>
    <w:rsid w:val="5499D430"/>
    <w:rsid w:val="549F8FAC"/>
    <w:rsid w:val="549FB240"/>
    <w:rsid w:val="54A70EA9"/>
    <w:rsid w:val="54AAB0A8"/>
    <w:rsid w:val="54AB979F"/>
    <w:rsid w:val="54AC3B88"/>
    <w:rsid w:val="54ADE609"/>
    <w:rsid w:val="54B0C1BF"/>
    <w:rsid w:val="54B0D07C"/>
    <w:rsid w:val="54B29592"/>
    <w:rsid w:val="54B465B5"/>
    <w:rsid w:val="54B59092"/>
    <w:rsid w:val="54B5E3C3"/>
    <w:rsid w:val="54BA6D70"/>
    <w:rsid w:val="54BF2432"/>
    <w:rsid w:val="54C1F728"/>
    <w:rsid w:val="54C4A75E"/>
    <w:rsid w:val="54C57AEB"/>
    <w:rsid w:val="54C9593B"/>
    <w:rsid w:val="54C9E544"/>
    <w:rsid w:val="54D16317"/>
    <w:rsid w:val="54D89BF2"/>
    <w:rsid w:val="54D93473"/>
    <w:rsid w:val="54D95FD6"/>
    <w:rsid w:val="54E218ED"/>
    <w:rsid w:val="54E5B648"/>
    <w:rsid w:val="54E8DE03"/>
    <w:rsid w:val="54EAC530"/>
    <w:rsid w:val="54F4F751"/>
    <w:rsid w:val="54F96D8D"/>
    <w:rsid w:val="54FCB137"/>
    <w:rsid w:val="54FD13FB"/>
    <w:rsid w:val="54FDBAAE"/>
    <w:rsid w:val="54FDD5AE"/>
    <w:rsid w:val="5500C71B"/>
    <w:rsid w:val="55020EE0"/>
    <w:rsid w:val="550B9E92"/>
    <w:rsid w:val="550C2DC9"/>
    <w:rsid w:val="550DCA03"/>
    <w:rsid w:val="550EB603"/>
    <w:rsid w:val="5510B813"/>
    <w:rsid w:val="5514B326"/>
    <w:rsid w:val="5515AAEB"/>
    <w:rsid w:val="5515C059"/>
    <w:rsid w:val="5519DA55"/>
    <w:rsid w:val="551AB045"/>
    <w:rsid w:val="552158A7"/>
    <w:rsid w:val="5524E116"/>
    <w:rsid w:val="5526360F"/>
    <w:rsid w:val="5527EABF"/>
    <w:rsid w:val="552ABE3C"/>
    <w:rsid w:val="552B876C"/>
    <w:rsid w:val="552BFCD4"/>
    <w:rsid w:val="552CF5C7"/>
    <w:rsid w:val="55349727"/>
    <w:rsid w:val="553E941A"/>
    <w:rsid w:val="5543933C"/>
    <w:rsid w:val="5545788B"/>
    <w:rsid w:val="554897D6"/>
    <w:rsid w:val="55526DA4"/>
    <w:rsid w:val="5553BDD0"/>
    <w:rsid w:val="55560F5E"/>
    <w:rsid w:val="5556BEE7"/>
    <w:rsid w:val="555F6872"/>
    <w:rsid w:val="555F86DE"/>
    <w:rsid w:val="55642EF9"/>
    <w:rsid w:val="5565B2D2"/>
    <w:rsid w:val="556D1661"/>
    <w:rsid w:val="556D3AB6"/>
    <w:rsid w:val="556EDD6E"/>
    <w:rsid w:val="55700E2E"/>
    <w:rsid w:val="557302AF"/>
    <w:rsid w:val="55793D87"/>
    <w:rsid w:val="557BFA5D"/>
    <w:rsid w:val="557D418E"/>
    <w:rsid w:val="558F163A"/>
    <w:rsid w:val="5590FD4C"/>
    <w:rsid w:val="5593030F"/>
    <w:rsid w:val="559694D9"/>
    <w:rsid w:val="559A2898"/>
    <w:rsid w:val="559AEC72"/>
    <w:rsid w:val="559B7996"/>
    <w:rsid w:val="55A17799"/>
    <w:rsid w:val="55A7071F"/>
    <w:rsid w:val="55AB3F15"/>
    <w:rsid w:val="55B3D748"/>
    <w:rsid w:val="55C2978A"/>
    <w:rsid w:val="55C4588C"/>
    <w:rsid w:val="55C6A649"/>
    <w:rsid w:val="55CC856E"/>
    <w:rsid w:val="55D04FF8"/>
    <w:rsid w:val="55D11CA2"/>
    <w:rsid w:val="55D6D982"/>
    <w:rsid w:val="55E368B1"/>
    <w:rsid w:val="55E74A5A"/>
    <w:rsid w:val="55EFAE86"/>
    <w:rsid w:val="55F17FDD"/>
    <w:rsid w:val="55F3B66E"/>
    <w:rsid w:val="55F874F7"/>
    <w:rsid w:val="55FA143B"/>
    <w:rsid w:val="55FC36A6"/>
    <w:rsid w:val="55FDE281"/>
    <w:rsid w:val="55FF1010"/>
    <w:rsid w:val="56095FFB"/>
    <w:rsid w:val="560F72BA"/>
    <w:rsid w:val="561071D8"/>
    <w:rsid w:val="5610FD9E"/>
    <w:rsid w:val="56118C42"/>
    <w:rsid w:val="56135BF1"/>
    <w:rsid w:val="5614BD74"/>
    <w:rsid w:val="56152189"/>
    <w:rsid w:val="5619259D"/>
    <w:rsid w:val="561FED52"/>
    <w:rsid w:val="5622A38F"/>
    <w:rsid w:val="5623B5CC"/>
    <w:rsid w:val="56343BBD"/>
    <w:rsid w:val="563C8BB1"/>
    <w:rsid w:val="563D72F9"/>
    <w:rsid w:val="563FBD61"/>
    <w:rsid w:val="56400503"/>
    <w:rsid w:val="56411D7D"/>
    <w:rsid w:val="56448B44"/>
    <w:rsid w:val="564AD9F3"/>
    <w:rsid w:val="5655B49B"/>
    <w:rsid w:val="565693D2"/>
    <w:rsid w:val="56593D02"/>
    <w:rsid w:val="565C10A5"/>
    <w:rsid w:val="565E28A3"/>
    <w:rsid w:val="56633439"/>
    <w:rsid w:val="5666284A"/>
    <w:rsid w:val="5666893E"/>
    <w:rsid w:val="5667CE4D"/>
    <w:rsid w:val="566F4743"/>
    <w:rsid w:val="566F62BC"/>
    <w:rsid w:val="56704011"/>
    <w:rsid w:val="567B57DE"/>
    <w:rsid w:val="567C5D8B"/>
    <w:rsid w:val="567C9A48"/>
    <w:rsid w:val="567ECCCB"/>
    <w:rsid w:val="567F2127"/>
    <w:rsid w:val="567FCAC0"/>
    <w:rsid w:val="567FDCBF"/>
    <w:rsid w:val="568187ED"/>
    <w:rsid w:val="56872C63"/>
    <w:rsid w:val="568A18AE"/>
    <w:rsid w:val="5693AE07"/>
    <w:rsid w:val="56947F11"/>
    <w:rsid w:val="56967778"/>
    <w:rsid w:val="5699197A"/>
    <w:rsid w:val="569AC2E0"/>
    <w:rsid w:val="569DB039"/>
    <w:rsid w:val="56A59D88"/>
    <w:rsid w:val="56A8F3E8"/>
    <w:rsid w:val="56A9F4EA"/>
    <w:rsid w:val="56AD4B32"/>
    <w:rsid w:val="56B14B8D"/>
    <w:rsid w:val="56B35480"/>
    <w:rsid w:val="56B5EC4A"/>
    <w:rsid w:val="56BAB497"/>
    <w:rsid w:val="56C467B0"/>
    <w:rsid w:val="56C4A008"/>
    <w:rsid w:val="56C99566"/>
    <w:rsid w:val="56CB2E6C"/>
    <w:rsid w:val="56CD48D8"/>
    <w:rsid w:val="56CFB4FA"/>
    <w:rsid w:val="56D307FC"/>
    <w:rsid w:val="56D98FE6"/>
    <w:rsid w:val="56D9BCF7"/>
    <w:rsid w:val="56D9F86E"/>
    <w:rsid w:val="56E4C133"/>
    <w:rsid w:val="56E8C056"/>
    <w:rsid w:val="56EAE255"/>
    <w:rsid w:val="56EB15A8"/>
    <w:rsid w:val="56EC56CA"/>
    <w:rsid w:val="56F01A18"/>
    <w:rsid w:val="56F326EC"/>
    <w:rsid w:val="56F4058E"/>
    <w:rsid w:val="56F55BD1"/>
    <w:rsid w:val="56F5CABE"/>
    <w:rsid w:val="56F60C96"/>
    <w:rsid w:val="56F764D8"/>
    <w:rsid w:val="56FAB691"/>
    <w:rsid w:val="56FCB201"/>
    <w:rsid w:val="56FD6083"/>
    <w:rsid w:val="57045FDF"/>
    <w:rsid w:val="5707782C"/>
    <w:rsid w:val="57098386"/>
    <w:rsid w:val="57112E45"/>
    <w:rsid w:val="571A3E7B"/>
    <w:rsid w:val="571AEE3D"/>
    <w:rsid w:val="571D1CD5"/>
    <w:rsid w:val="572F7619"/>
    <w:rsid w:val="573670C9"/>
    <w:rsid w:val="5739B740"/>
    <w:rsid w:val="573A72BF"/>
    <w:rsid w:val="57412142"/>
    <w:rsid w:val="5743D552"/>
    <w:rsid w:val="57458CF3"/>
    <w:rsid w:val="5748834A"/>
    <w:rsid w:val="574C6142"/>
    <w:rsid w:val="574F4227"/>
    <w:rsid w:val="57501B64"/>
    <w:rsid w:val="5756BCEE"/>
    <w:rsid w:val="575C2CB4"/>
    <w:rsid w:val="575D5A35"/>
    <w:rsid w:val="5763C8ED"/>
    <w:rsid w:val="57655463"/>
    <w:rsid w:val="5767602B"/>
    <w:rsid w:val="576B58B3"/>
    <w:rsid w:val="576F0480"/>
    <w:rsid w:val="57704AB7"/>
    <w:rsid w:val="5772BC50"/>
    <w:rsid w:val="5775105D"/>
    <w:rsid w:val="5777F78A"/>
    <w:rsid w:val="5788E188"/>
    <w:rsid w:val="578C1387"/>
    <w:rsid w:val="578E3498"/>
    <w:rsid w:val="579766D5"/>
    <w:rsid w:val="579AFFCB"/>
    <w:rsid w:val="57A20E36"/>
    <w:rsid w:val="57A4A687"/>
    <w:rsid w:val="57A4B468"/>
    <w:rsid w:val="57A941F6"/>
    <w:rsid w:val="57AADE42"/>
    <w:rsid w:val="57AAFA0E"/>
    <w:rsid w:val="57AC1EE4"/>
    <w:rsid w:val="57ACBAF1"/>
    <w:rsid w:val="57AD5347"/>
    <w:rsid w:val="57AF1263"/>
    <w:rsid w:val="57AFC1AA"/>
    <w:rsid w:val="57B1AF34"/>
    <w:rsid w:val="57B3AA98"/>
    <w:rsid w:val="57B59C4C"/>
    <w:rsid w:val="57BAF74F"/>
    <w:rsid w:val="57BBEC8E"/>
    <w:rsid w:val="57BEE041"/>
    <w:rsid w:val="57C280FC"/>
    <w:rsid w:val="57C4B6E4"/>
    <w:rsid w:val="57C4C9E8"/>
    <w:rsid w:val="57C6B0DF"/>
    <w:rsid w:val="57C6BCAC"/>
    <w:rsid w:val="57CCAF47"/>
    <w:rsid w:val="57D00BC9"/>
    <w:rsid w:val="57D2D005"/>
    <w:rsid w:val="57D34105"/>
    <w:rsid w:val="57D5603A"/>
    <w:rsid w:val="57D5EBD0"/>
    <w:rsid w:val="57DFCF79"/>
    <w:rsid w:val="57E2856D"/>
    <w:rsid w:val="57E4EBC4"/>
    <w:rsid w:val="57EA8E74"/>
    <w:rsid w:val="57EB49EB"/>
    <w:rsid w:val="57EBF652"/>
    <w:rsid w:val="57EEBCDC"/>
    <w:rsid w:val="57F0F3BC"/>
    <w:rsid w:val="57F2B9E3"/>
    <w:rsid w:val="57FA200F"/>
    <w:rsid w:val="580003A2"/>
    <w:rsid w:val="5805132A"/>
    <w:rsid w:val="58056D0D"/>
    <w:rsid w:val="58146D72"/>
    <w:rsid w:val="5819DD67"/>
    <w:rsid w:val="581A5EF6"/>
    <w:rsid w:val="581B9EE1"/>
    <w:rsid w:val="581E7F96"/>
    <w:rsid w:val="58228E83"/>
    <w:rsid w:val="5823394A"/>
    <w:rsid w:val="582BAC2A"/>
    <w:rsid w:val="582DE8FA"/>
    <w:rsid w:val="5830D549"/>
    <w:rsid w:val="58313C5E"/>
    <w:rsid w:val="58335A23"/>
    <w:rsid w:val="58381D49"/>
    <w:rsid w:val="583AEE30"/>
    <w:rsid w:val="583F0EDC"/>
    <w:rsid w:val="5846E940"/>
    <w:rsid w:val="584A7683"/>
    <w:rsid w:val="584E2AB0"/>
    <w:rsid w:val="58560128"/>
    <w:rsid w:val="5856B458"/>
    <w:rsid w:val="5856C69A"/>
    <w:rsid w:val="585A3717"/>
    <w:rsid w:val="58695F31"/>
    <w:rsid w:val="5869EFA3"/>
    <w:rsid w:val="587436C3"/>
    <w:rsid w:val="5875E000"/>
    <w:rsid w:val="58775D74"/>
    <w:rsid w:val="5883581B"/>
    <w:rsid w:val="5889488D"/>
    <w:rsid w:val="588D0354"/>
    <w:rsid w:val="588D52EB"/>
    <w:rsid w:val="588E84A0"/>
    <w:rsid w:val="58A0676E"/>
    <w:rsid w:val="58A0D3C2"/>
    <w:rsid w:val="58A18674"/>
    <w:rsid w:val="58A76E98"/>
    <w:rsid w:val="58A843AE"/>
    <w:rsid w:val="58A8C72D"/>
    <w:rsid w:val="58AFD0AE"/>
    <w:rsid w:val="58B19ED2"/>
    <w:rsid w:val="58B3879A"/>
    <w:rsid w:val="58B567F4"/>
    <w:rsid w:val="58B79593"/>
    <w:rsid w:val="58BA3883"/>
    <w:rsid w:val="58BC4AF9"/>
    <w:rsid w:val="58BD2A88"/>
    <w:rsid w:val="58C7B44A"/>
    <w:rsid w:val="58C82EA9"/>
    <w:rsid w:val="58CEBA06"/>
    <w:rsid w:val="58D120AD"/>
    <w:rsid w:val="58D1E53E"/>
    <w:rsid w:val="58DAA38E"/>
    <w:rsid w:val="58DB4509"/>
    <w:rsid w:val="58DC36A6"/>
    <w:rsid w:val="58DE5A08"/>
    <w:rsid w:val="58E97459"/>
    <w:rsid w:val="58F003ED"/>
    <w:rsid w:val="58F111A8"/>
    <w:rsid w:val="58F21758"/>
    <w:rsid w:val="5901E39E"/>
    <w:rsid w:val="59113E6B"/>
    <w:rsid w:val="5914E62E"/>
    <w:rsid w:val="591700FD"/>
    <w:rsid w:val="5917A66A"/>
    <w:rsid w:val="5918B826"/>
    <w:rsid w:val="591A452A"/>
    <w:rsid w:val="591D5E29"/>
    <w:rsid w:val="591F9388"/>
    <w:rsid w:val="59207A67"/>
    <w:rsid w:val="592402B0"/>
    <w:rsid w:val="59247755"/>
    <w:rsid w:val="59259EC0"/>
    <w:rsid w:val="592718BC"/>
    <w:rsid w:val="592805B6"/>
    <w:rsid w:val="592BD4B1"/>
    <w:rsid w:val="592E24EC"/>
    <w:rsid w:val="592E2600"/>
    <w:rsid w:val="592EBEA0"/>
    <w:rsid w:val="59375A98"/>
    <w:rsid w:val="593A8E99"/>
    <w:rsid w:val="593B6994"/>
    <w:rsid w:val="5942D506"/>
    <w:rsid w:val="594319CF"/>
    <w:rsid w:val="5947158C"/>
    <w:rsid w:val="59481037"/>
    <w:rsid w:val="5948F0DC"/>
    <w:rsid w:val="59493D99"/>
    <w:rsid w:val="594CE199"/>
    <w:rsid w:val="5958F426"/>
    <w:rsid w:val="595FD727"/>
    <w:rsid w:val="5961EA8F"/>
    <w:rsid w:val="5962615D"/>
    <w:rsid w:val="5965829F"/>
    <w:rsid w:val="5965E7EF"/>
    <w:rsid w:val="596D2CFD"/>
    <w:rsid w:val="5975CA4C"/>
    <w:rsid w:val="5976A11D"/>
    <w:rsid w:val="59847E74"/>
    <w:rsid w:val="598A59D9"/>
    <w:rsid w:val="598B55D8"/>
    <w:rsid w:val="598BB07F"/>
    <w:rsid w:val="59908866"/>
    <w:rsid w:val="59A1D35A"/>
    <w:rsid w:val="59A9178E"/>
    <w:rsid w:val="59B2B39F"/>
    <w:rsid w:val="59B30220"/>
    <w:rsid w:val="59B574E1"/>
    <w:rsid w:val="59BAB1A3"/>
    <w:rsid w:val="59BE1D85"/>
    <w:rsid w:val="59C1832B"/>
    <w:rsid w:val="59C26AF5"/>
    <w:rsid w:val="59C6139E"/>
    <w:rsid w:val="59C7F2BD"/>
    <w:rsid w:val="59C8BAC0"/>
    <w:rsid w:val="59CE5828"/>
    <w:rsid w:val="59D0E90E"/>
    <w:rsid w:val="59D61DA1"/>
    <w:rsid w:val="59D7222B"/>
    <w:rsid w:val="59E0DB91"/>
    <w:rsid w:val="59E13B03"/>
    <w:rsid w:val="59E44F73"/>
    <w:rsid w:val="59E8F7F7"/>
    <w:rsid w:val="59F2F778"/>
    <w:rsid w:val="59F36289"/>
    <w:rsid w:val="59F427AF"/>
    <w:rsid w:val="59FDD1D0"/>
    <w:rsid w:val="59FF8F5F"/>
    <w:rsid w:val="59FFA987"/>
    <w:rsid w:val="5A002EA5"/>
    <w:rsid w:val="5A01DC0D"/>
    <w:rsid w:val="5A051D9D"/>
    <w:rsid w:val="5A080734"/>
    <w:rsid w:val="5A09F2C1"/>
    <w:rsid w:val="5A0F685E"/>
    <w:rsid w:val="5A163FF7"/>
    <w:rsid w:val="5A16C4CB"/>
    <w:rsid w:val="5A19EEAA"/>
    <w:rsid w:val="5A21663C"/>
    <w:rsid w:val="5A24BED2"/>
    <w:rsid w:val="5A287242"/>
    <w:rsid w:val="5A2A1952"/>
    <w:rsid w:val="5A2DE2F2"/>
    <w:rsid w:val="5A2E40E1"/>
    <w:rsid w:val="5A363B0E"/>
    <w:rsid w:val="5A399526"/>
    <w:rsid w:val="5A3E7F18"/>
    <w:rsid w:val="5A402C99"/>
    <w:rsid w:val="5A49E399"/>
    <w:rsid w:val="5A4CE48D"/>
    <w:rsid w:val="5A4DD856"/>
    <w:rsid w:val="5A4DF595"/>
    <w:rsid w:val="5A56F045"/>
    <w:rsid w:val="5A578A90"/>
    <w:rsid w:val="5A5D9795"/>
    <w:rsid w:val="5A5E69E9"/>
    <w:rsid w:val="5A61B090"/>
    <w:rsid w:val="5A61D22C"/>
    <w:rsid w:val="5A723E11"/>
    <w:rsid w:val="5A73DED4"/>
    <w:rsid w:val="5A78084C"/>
    <w:rsid w:val="5A7F1415"/>
    <w:rsid w:val="5A7F3D59"/>
    <w:rsid w:val="5A89291B"/>
    <w:rsid w:val="5A914BD6"/>
    <w:rsid w:val="5A9C73D3"/>
    <w:rsid w:val="5AA2E052"/>
    <w:rsid w:val="5AA34073"/>
    <w:rsid w:val="5AA4689A"/>
    <w:rsid w:val="5AA693E1"/>
    <w:rsid w:val="5AA800F4"/>
    <w:rsid w:val="5AB1CECA"/>
    <w:rsid w:val="5AB22A21"/>
    <w:rsid w:val="5AB4865F"/>
    <w:rsid w:val="5AB50E8A"/>
    <w:rsid w:val="5AB68753"/>
    <w:rsid w:val="5AC19B6A"/>
    <w:rsid w:val="5AC1D12E"/>
    <w:rsid w:val="5ACA64BC"/>
    <w:rsid w:val="5ACEF93D"/>
    <w:rsid w:val="5ACFC662"/>
    <w:rsid w:val="5AD01116"/>
    <w:rsid w:val="5AD55543"/>
    <w:rsid w:val="5AD70141"/>
    <w:rsid w:val="5AD9EF5C"/>
    <w:rsid w:val="5ADE0EE0"/>
    <w:rsid w:val="5AE2981A"/>
    <w:rsid w:val="5AE36DD0"/>
    <w:rsid w:val="5AE8B895"/>
    <w:rsid w:val="5AE9B299"/>
    <w:rsid w:val="5AEA828A"/>
    <w:rsid w:val="5AECFF1B"/>
    <w:rsid w:val="5AEE00CC"/>
    <w:rsid w:val="5AF338DE"/>
    <w:rsid w:val="5AF410D3"/>
    <w:rsid w:val="5AF58C3A"/>
    <w:rsid w:val="5AF9EB1B"/>
    <w:rsid w:val="5AFEE6CC"/>
    <w:rsid w:val="5B00B236"/>
    <w:rsid w:val="5B07CA17"/>
    <w:rsid w:val="5B0AB812"/>
    <w:rsid w:val="5B0FDE89"/>
    <w:rsid w:val="5B17300C"/>
    <w:rsid w:val="5B178183"/>
    <w:rsid w:val="5B18A1BC"/>
    <w:rsid w:val="5B1AEBCE"/>
    <w:rsid w:val="5B21CC31"/>
    <w:rsid w:val="5B25AA07"/>
    <w:rsid w:val="5B31938B"/>
    <w:rsid w:val="5B33DEC6"/>
    <w:rsid w:val="5B33FC12"/>
    <w:rsid w:val="5B35C864"/>
    <w:rsid w:val="5B385FDB"/>
    <w:rsid w:val="5B3C44E3"/>
    <w:rsid w:val="5B3EED00"/>
    <w:rsid w:val="5B42E4F8"/>
    <w:rsid w:val="5B46516C"/>
    <w:rsid w:val="5B492337"/>
    <w:rsid w:val="5B49B7B9"/>
    <w:rsid w:val="5B4CD718"/>
    <w:rsid w:val="5B4CF41F"/>
    <w:rsid w:val="5B4DE765"/>
    <w:rsid w:val="5B4DE7B4"/>
    <w:rsid w:val="5B4FBC84"/>
    <w:rsid w:val="5B522984"/>
    <w:rsid w:val="5B52F787"/>
    <w:rsid w:val="5B57999E"/>
    <w:rsid w:val="5B597B1A"/>
    <w:rsid w:val="5B5A21A4"/>
    <w:rsid w:val="5B69F827"/>
    <w:rsid w:val="5B703984"/>
    <w:rsid w:val="5B7C6C99"/>
    <w:rsid w:val="5B7DA4D7"/>
    <w:rsid w:val="5B7EF3AC"/>
    <w:rsid w:val="5B810193"/>
    <w:rsid w:val="5B85DF40"/>
    <w:rsid w:val="5B8AA321"/>
    <w:rsid w:val="5B8C5CFF"/>
    <w:rsid w:val="5B927B0E"/>
    <w:rsid w:val="5B9AD2B5"/>
    <w:rsid w:val="5B9D3A2F"/>
    <w:rsid w:val="5B9FE833"/>
    <w:rsid w:val="5BA1D6D0"/>
    <w:rsid w:val="5BACD07A"/>
    <w:rsid w:val="5BAE6193"/>
    <w:rsid w:val="5BAECE6B"/>
    <w:rsid w:val="5BAFFB70"/>
    <w:rsid w:val="5BB335E5"/>
    <w:rsid w:val="5BB4182A"/>
    <w:rsid w:val="5BB4221B"/>
    <w:rsid w:val="5BB5F732"/>
    <w:rsid w:val="5BB840F9"/>
    <w:rsid w:val="5BBF0B81"/>
    <w:rsid w:val="5BC1FC40"/>
    <w:rsid w:val="5BC37522"/>
    <w:rsid w:val="5BC3CC0E"/>
    <w:rsid w:val="5BCA17BE"/>
    <w:rsid w:val="5BCAF1BA"/>
    <w:rsid w:val="5BCC4E80"/>
    <w:rsid w:val="5BCC728E"/>
    <w:rsid w:val="5BCF9E05"/>
    <w:rsid w:val="5BCFCE04"/>
    <w:rsid w:val="5BD0125A"/>
    <w:rsid w:val="5BD178EE"/>
    <w:rsid w:val="5BD4F0FF"/>
    <w:rsid w:val="5BD6F8DC"/>
    <w:rsid w:val="5BDA5341"/>
    <w:rsid w:val="5BDA7127"/>
    <w:rsid w:val="5BDFE0BB"/>
    <w:rsid w:val="5BE0B2FA"/>
    <w:rsid w:val="5BE7F309"/>
    <w:rsid w:val="5BE9C4CF"/>
    <w:rsid w:val="5BF13889"/>
    <w:rsid w:val="5BF3EC15"/>
    <w:rsid w:val="5BFA8862"/>
    <w:rsid w:val="5BFCF32A"/>
    <w:rsid w:val="5C007C0D"/>
    <w:rsid w:val="5C03302E"/>
    <w:rsid w:val="5C0472AF"/>
    <w:rsid w:val="5C0C49DD"/>
    <w:rsid w:val="5C136716"/>
    <w:rsid w:val="5C147AB2"/>
    <w:rsid w:val="5C1A66E8"/>
    <w:rsid w:val="5C1D3467"/>
    <w:rsid w:val="5C1E83CE"/>
    <w:rsid w:val="5C23B26E"/>
    <w:rsid w:val="5C25504F"/>
    <w:rsid w:val="5C273AFA"/>
    <w:rsid w:val="5C279FA9"/>
    <w:rsid w:val="5C288AE2"/>
    <w:rsid w:val="5C338E97"/>
    <w:rsid w:val="5C33F3A6"/>
    <w:rsid w:val="5C3A36EF"/>
    <w:rsid w:val="5C3D6D4C"/>
    <w:rsid w:val="5C40839D"/>
    <w:rsid w:val="5C41E7B0"/>
    <w:rsid w:val="5C436556"/>
    <w:rsid w:val="5C442D00"/>
    <w:rsid w:val="5C464F3F"/>
    <w:rsid w:val="5C46DB74"/>
    <w:rsid w:val="5C472E54"/>
    <w:rsid w:val="5C4B749C"/>
    <w:rsid w:val="5C4D3C2C"/>
    <w:rsid w:val="5C555AE5"/>
    <w:rsid w:val="5C55D633"/>
    <w:rsid w:val="5C57F569"/>
    <w:rsid w:val="5C583AAB"/>
    <w:rsid w:val="5C599A23"/>
    <w:rsid w:val="5C5B2F05"/>
    <w:rsid w:val="5C5BE74D"/>
    <w:rsid w:val="5C628FE4"/>
    <w:rsid w:val="5C631D8C"/>
    <w:rsid w:val="5C657BB9"/>
    <w:rsid w:val="5C6A41D0"/>
    <w:rsid w:val="5C779DAA"/>
    <w:rsid w:val="5C78D047"/>
    <w:rsid w:val="5C7C1C01"/>
    <w:rsid w:val="5C7C7617"/>
    <w:rsid w:val="5C7F2A14"/>
    <w:rsid w:val="5C7FC53B"/>
    <w:rsid w:val="5C823FC7"/>
    <w:rsid w:val="5C8B2D25"/>
    <w:rsid w:val="5C8EE79E"/>
    <w:rsid w:val="5C8FA002"/>
    <w:rsid w:val="5C9053DE"/>
    <w:rsid w:val="5C9536C7"/>
    <w:rsid w:val="5C99F685"/>
    <w:rsid w:val="5C9AC00B"/>
    <w:rsid w:val="5C9C56F5"/>
    <w:rsid w:val="5C9DFE61"/>
    <w:rsid w:val="5CA0DC4D"/>
    <w:rsid w:val="5CA52175"/>
    <w:rsid w:val="5CA5FB9C"/>
    <w:rsid w:val="5CA715F7"/>
    <w:rsid w:val="5CACC9C7"/>
    <w:rsid w:val="5CB184F5"/>
    <w:rsid w:val="5CB8B0A2"/>
    <w:rsid w:val="5CB99717"/>
    <w:rsid w:val="5CC21B0C"/>
    <w:rsid w:val="5CC3EEF1"/>
    <w:rsid w:val="5CC815D5"/>
    <w:rsid w:val="5CCA9567"/>
    <w:rsid w:val="5CD38A29"/>
    <w:rsid w:val="5CD47110"/>
    <w:rsid w:val="5CD5416F"/>
    <w:rsid w:val="5CDC00E3"/>
    <w:rsid w:val="5CDE77A0"/>
    <w:rsid w:val="5CDF086A"/>
    <w:rsid w:val="5CE089C7"/>
    <w:rsid w:val="5CE9C587"/>
    <w:rsid w:val="5CEC4F0E"/>
    <w:rsid w:val="5CF1D500"/>
    <w:rsid w:val="5CF349CA"/>
    <w:rsid w:val="5CFDEEE4"/>
    <w:rsid w:val="5D011DDE"/>
    <w:rsid w:val="5D04A4C1"/>
    <w:rsid w:val="5D0F0FDE"/>
    <w:rsid w:val="5D193A57"/>
    <w:rsid w:val="5D1B4A5E"/>
    <w:rsid w:val="5D1FBDE8"/>
    <w:rsid w:val="5D20402A"/>
    <w:rsid w:val="5D2258D4"/>
    <w:rsid w:val="5D231E40"/>
    <w:rsid w:val="5D27AB62"/>
    <w:rsid w:val="5D2C6A9C"/>
    <w:rsid w:val="5D30D863"/>
    <w:rsid w:val="5D316179"/>
    <w:rsid w:val="5D317DC9"/>
    <w:rsid w:val="5D33F335"/>
    <w:rsid w:val="5D3669BE"/>
    <w:rsid w:val="5D3F2B39"/>
    <w:rsid w:val="5D3F5DEA"/>
    <w:rsid w:val="5D4531E1"/>
    <w:rsid w:val="5D462A85"/>
    <w:rsid w:val="5D4A0B40"/>
    <w:rsid w:val="5D4BEE7D"/>
    <w:rsid w:val="5D4E8E39"/>
    <w:rsid w:val="5D4EA528"/>
    <w:rsid w:val="5D52F7C9"/>
    <w:rsid w:val="5D549415"/>
    <w:rsid w:val="5D5589F9"/>
    <w:rsid w:val="5D5CF4F5"/>
    <w:rsid w:val="5D5E0779"/>
    <w:rsid w:val="5D61BC99"/>
    <w:rsid w:val="5D657E6D"/>
    <w:rsid w:val="5D664A9D"/>
    <w:rsid w:val="5D7485E8"/>
    <w:rsid w:val="5D767E5C"/>
    <w:rsid w:val="5D7A7736"/>
    <w:rsid w:val="5D7B1A9A"/>
    <w:rsid w:val="5D7BABEA"/>
    <w:rsid w:val="5D8397D8"/>
    <w:rsid w:val="5D8A5BB3"/>
    <w:rsid w:val="5D8E9A2D"/>
    <w:rsid w:val="5D8F2712"/>
    <w:rsid w:val="5D92D552"/>
    <w:rsid w:val="5D968D74"/>
    <w:rsid w:val="5D973075"/>
    <w:rsid w:val="5D98D636"/>
    <w:rsid w:val="5D9B0B0F"/>
    <w:rsid w:val="5D9DFCC3"/>
    <w:rsid w:val="5D9ED08C"/>
    <w:rsid w:val="5D9F821B"/>
    <w:rsid w:val="5DA06BA9"/>
    <w:rsid w:val="5DA2B119"/>
    <w:rsid w:val="5DA31D02"/>
    <w:rsid w:val="5DAE3EF4"/>
    <w:rsid w:val="5DAF1D65"/>
    <w:rsid w:val="5DB23078"/>
    <w:rsid w:val="5DB4D353"/>
    <w:rsid w:val="5DB6982B"/>
    <w:rsid w:val="5DBB0795"/>
    <w:rsid w:val="5DBCB1D9"/>
    <w:rsid w:val="5DC958DB"/>
    <w:rsid w:val="5DCC8664"/>
    <w:rsid w:val="5DCD55B3"/>
    <w:rsid w:val="5DD43ED1"/>
    <w:rsid w:val="5DD63AE3"/>
    <w:rsid w:val="5DE04F85"/>
    <w:rsid w:val="5DE2892C"/>
    <w:rsid w:val="5DE622CD"/>
    <w:rsid w:val="5DE85548"/>
    <w:rsid w:val="5DE9A464"/>
    <w:rsid w:val="5DEA15F6"/>
    <w:rsid w:val="5DF44F2A"/>
    <w:rsid w:val="5DF83147"/>
    <w:rsid w:val="5DFE0C81"/>
    <w:rsid w:val="5E06A415"/>
    <w:rsid w:val="5E0F83BB"/>
    <w:rsid w:val="5E12F48A"/>
    <w:rsid w:val="5E1316FF"/>
    <w:rsid w:val="5E135C6F"/>
    <w:rsid w:val="5E16565C"/>
    <w:rsid w:val="5E1909CA"/>
    <w:rsid w:val="5E1953C4"/>
    <w:rsid w:val="5E20D935"/>
    <w:rsid w:val="5E30210C"/>
    <w:rsid w:val="5E35A8B6"/>
    <w:rsid w:val="5E3B42CC"/>
    <w:rsid w:val="5E44A82D"/>
    <w:rsid w:val="5E47D824"/>
    <w:rsid w:val="5E4E274F"/>
    <w:rsid w:val="5E512912"/>
    <w:rsid w:val="5E5344B2"/>
    <w:rsid w:val="5E55017F"/>
    <w:rsid w:val="5E57DDC2"/>
    <w:rsid w:val="5E5ACD37"/>
    <w:rsid w:val="5E5B04B3"/>
    <w:rsid w:val="5E6EAEB5"/>
    <w:rsid w:val="5E77AD9F"/>
    <w:rsid w:val="5E789E52"/>
    <w:rsid w:val="5E7FD7D4"/>
    <w:rsid w:val="5E80F073"/>
    <w:rsid w:val="5E897607"/>
    <w:rsid w:val="5E8A6585"/>
    <w:rsid w:val="5E8AC51D"/>
    <w:rsid w:val="5E8D59BA"/>
    <w:rsid w:val="5E939A9A"/>
    <w:rsid w:val="5E93D15F"/>
    <w:rsid w:val="5E945007"/>
    <w:rsid w:val="5E95EA48"/>
    <w:rsid w:val="5E9936B3"/>
    <w:rsid w:val="5E9FDA4F"/>
    <w:rsid w:val="5EA2B7BF"/>
    <w:rsid w:val="5EA375F1"/>
    <w:rsid w:val="5EA46A69"/>
    <w:rsid w:val="5EA7D128"/>
    <w:rsid w:val="5EA9B364"/>
    <w:rsid w:val="5EA9EFE6"/>
    <w:rsid w:val="5EB5A4B6"/>
    <w:rsid w:val="5EB66789"/>
    <w:rsid w:val="5EB9DFE3"/>
    <w:rsid w:val="5EBB8F53"/>
    <w:rsid w:val="5EBE5E2F"/>
    <w:rsid w:val="5EC15800"/>
    <w:rsid w:val="5EC2D150"/>
    <w:rsid w:val="5EC2F605"/>
    <w:rsid w:val="5EC5821D"/>
    <w:rsid w:val="5EC97003"/>
    <w:rsid w:val="5ECBD212"/>
    <w:rsid w:val="5ECE74D6"/>
    <w:rsid w:val="5EDB1094"/>
    <w:rsid w:val="5EDF68C1"/>
    <w:rsid w:val="5EECD07B"/>
    <w:rsid w:val="5EEEC706"/>
    <w:rsid w:val="5EF0F917"/>
    <w:rsid w:val="5EF8EA4C"/>
    <w:rsid w:val="5EF902D4"/>
    <w:rsid w:val="5EFBBB0C"/>
    <w:rsid w:val="5EFFA183"/>
    <w:rsid w:val="5F0117E3"/>
    <w:rsid w:val="5F049361"/>
    <w:rsid w:val="5F06342E"/>
    <w:rsid w:val="5F080719"/>
    <w:rsid w:val="5F0A293F"/>
    <w:rsid w:val="5F10A0B2"/>
    <w:rsid w:val="5F153DD2"/>
    <w:rsid w:val="5F16FC7A"/>
    <w:rsid w:val="5F1A51B0"/>
    <w:rsid w:val="5F1D5A9B"/>
    <w:rsid w:val="5F1ECEDA"/>
    <w:rsid w:val="5F205BD7"/>
    <w:rsid w:val="5F210CE7"/>
    <w:rsid w:val="5F26A639"/>
    <w:rsid w:val="5F31A5CE"/>
    <w:rsid w:val="5F321B02"/>
    <w:rsid w:val="5F384C7B"/>
    <w:rsid w:val="5F403620"/>
    <w:rsid w:val="5F439FED"/>
    <w:rsid w:val="5F4A563C"/>
    <w:rsid w:val="5F4CBF12"/>
    <w:rsid w:val="5F4DC162"/>
    <w:rsid w:val="5F515FC2"/>
    <w:rsid w:val="5F516346"/>
    <w:rsid w:val="5F5CDAC7"/>
    <w:rsid w:val="5F5D05BE"/>
    <w:rsid w:val="5F5E7E0D"/>
    <w:rsid w:val="5F67B57E"/>
    <w:rsid w:val="5F6E5B79"/>
    <w:rsid w:val="5F6E6C52"/>
    <w:rsid w:val="5F703FBB"/>
    <w:rsid w:val="5F7214D8"/>
    <w:rsid w:val="5F725CAB"/>
    <w:rsid w:val="5F7808F9"/>
    <w:rsid w:val="5F78181F"/>
    <w:rsid w:val="5F7E5C8E"/>
    <w:rsid w:val="5F82D4EC"/>
    <w:rsid w:val="5F857F20"/>
    <w:rsid w:val="5F85F932"/>
    <w:rsid w:val="5F8613B7"/>
    <w:rsid w:val="5F8A424E"/>
    <w:rsid w:val="5F8C0096"/>
    <w:rsid w:val="5F8F394E"/>
    <w:rsid w:val="5F8FD47E"/>
    <w:rsid w:val="5F908AF6"/>
    <w:rsid w:val="5F934D22"/>
    <w:rsid w:val="5F971389"/>
    <w:rsid w:val="5F99CE51"/>
    <w:rsid w:val="5F9A93B5"/>
    <w:rsid w:val="5FA3EDC6"/>
    <w:rsid w:val="5FA670B8"/>
    <w:rsid w:val="5FACD6AE"/>
    <w:rsid w:val="5FAE4507"/>
    <w:rsid w:val="5FAECE12"/>
    <w:rsid w:val="5FAF4308"/>
    <w:rsid w:val="5FB5C772"/>
    <w:rsid w:val="5FB8676B"/>
    <w:rsid w:val="5FB8DDCB"/>
    <w:rsid w:val="5FBA3D0B"/>
    <w:rsid w:val="5FC0C415"/>
    <w:rsid w:val="5FC21214"/>
    <w:rsid w:val="5FC37A5D"/>
    <w:rsid w:val="5FC6C7A9"/>
    <w:rsid w:val="5FC875D3"/>
    <w:rsid w:val="5FCA5CBF"/>
    <w:rsid w:val="5FCC8F4D"/>
    <w:rsid w:val="5FCD71D6"/>
    <w:rsid w:val="5FD2D92C"/>
    <w:rsid w:val="5FD63DE1"/>
    <w:rsid w:val="5FD8A89A"/>
    <w:rsid w:val="5FDB3353"/>
    <w:rsid w:val="5FDFE822"/>
    <w:rsid w:val="5FF31233"/>
    <w:rsid w:val="5FF493F7"/>
    <w:rsid w:val="5FF4ABD7"/>
    <w:rsid w:val="5FF56AE2"/>
    <w:rsid w:val="5FF672A8"/>
    <w:rsid w:val="5FFA37BA"/>
    <w:rsid w:val="60021491"/>
    <w:rsid w:val="6003EC04"/>
    <w:rsid w:val="600538B7"/>
    <w:rsid w:val="6008ACE0"/>
    <w:rsid w:val="601036EE"/>
    <w:rsid w:val="6011D008"/>
    <w:rsid w:val="6031385B"/>
    <w:rsid w:val="60321B0F"/>
    <w:rsid w:val="603AD6AE"/>
    <w:rsid w:val="603C9694"/>
    <w:rsid w:val="603E3E61"/>
    <w:rsid w:val="60412FF9"/>
    <w:rsid w:val="6045AE04"/>
    <w:rsid w:val="60498125"/>
    <w:rsid w:val="604D895F"/>
    <w:rsid w:val="604DE203"/>
    <w:rsid w:val="6050348C"/>
    <w:rsid w:val="6062E60E"/>
    <w:rsid w:val="606431BA"/>
    <w:rsid w:val="6064AD71"/>
    <w:rsid w:val="6065D50D"/>
    <w:rsid w:val="60692933"/>
    <w:rsid w:val="606CEEF0"/>
    <w:rsid w:val="60748863"/>
    <w:rsid w:val="60761A7D"/>
    <w:rsid w:val="6079C850"/>
    <w:rsid w:val="607D88AC"/>
    <w:rsid w:val="607EC02C"/>
    <w:rsid w:val="607F588A"/>
    <w:rsid w:val="60817397"/>
    <w:rsid w:val="6082D2AF"/>
    <w:rsid w:val="608615E2"/>
    <w:rsid w:val="6086CCDF"/>
    <w:rsid w:val="608874B4"/>
    <w:rsid w:val="6089F924"/>
    <w:rsid w:val="608B7CB3"/>
    <w:rsid w:val="608F254E"/>
    <w:rsid w:val="609396AD"/>
    <w:rsid w:val="60942B33"/>
    <w:rsid w:val="609A1DDF"/>
    <w:rsid w:val="609B2F68"/>
    <w:rsid w:val="609BFBE2"/>
    <w:rsid w:val="609E2A75"/>
    <w:rsid w:val="60A2CFBD"/>
    <w:rsid w:val="60A8B040"/>
    <w:rsid w:val="60B04090"/>
    <w:rsid w:val="60B5EA16"/>
    <w:rsid w:val="60B966D7"/>
    <w:rsid w:val="60BAB879"/>
    <w:rsid w:val="60BB2B18"/>
    <w:rsid w:val="60C00134"/>
    <w:rsid w:val="60C003EF"/>
    <w:rsid w:val="60C01E13"/>
    <w:rsid w:val="60C38D74"/>
    <w:rsid w:val="60C4A2E8"/>
    <w:rsid w:val="60C5B7CF"/>
    <w:rsid w:val="60CCDF23"/>
    <w:rsid w:val="60CFFF59"/>
    <w:rsid w:val="60D0647A"/>
    <w:rsid w:val="60D10B29"/>
    <w:rsid w:val="60D1A078"/>
    <w:rsid w:val="60D1AFD8"/>
    <w:rsid w:val="60D8339F"/>
    <w:rsid w:val="60DE487B"/>
    <w:rsid w:val="60DEBFB2"/>
    <w:rsid w:val="60E302BC"/>
    <w:rsid w:val="60E3EB50"/>
    <w:rsid w:val="60E71E85"/>
    <w:rsid w:val="60E90461"/>
    <w:rsid w:val="60ECF048"/>
    <w:rsid w:val="60F019C8"/>
    <w:rsid w:val="60F146F4"/>
    <w:rsid w:val="60F2A8F9"/>
    <w:rsid w:val="60F44221"/>
    <w:rsid w:val="60F839C2"/>
    <w:rsid w:val="60FA3A4E"/>
    <w:rsid w:val="610034E2"/>
    <w:rsid w:val="6109B5D1"/>
    <w:rsid w:val="6109FFB3"/>
    <w:rsid w:val="610A2D30"/>
    <w:rsid w:val="610CC362"/>
    <w:rsid w:val="6113B8B2"/>
    <w:rsid w:val="6115FA05"/>
    <w:rsid w:val="6117B3B0"/>
    <w:rsid w:val="611B6B74"/>
    <w:rsid w:val="611C13E0"/>
    <w:rsid w:val="611ED740"/>
    <w:rsid w:val="612B33E5"/>
    <w:rsid w:val="612CA3A4"/>
    <w:rsid w:val="612CD317"/>
    <w:rsid w:val="612D6FA5"/>
    <w:rsid w:val="6131DE9E"/>
    <w:rsid w:val="613701DF"/>
    <w:rsid w:val="61371AA3"/>
    <w:rsid w:val="613A9E3D"/>
    <w:rsid w:val="613D596F"/>
    <w:rsid w:val="61424156"/>
    <w:rsid w:val="61451B8F"/>
    <w:rsid w:val="614DC593"/>
    <w:rsid w:val="614F64C2"/>
    <w:rsid w:val="61574E0A"/>
    <w:rsid w:val="615ECEF7"/>
    <w:rsid w:val="6161E63A"/>
    <w:rsid w:val="61646314"/>
    <w:rsid w:val="616699E8"/>
    <w:rsid w:val="61679421"/>
    <w:rsid w:val="61685738"/>
    <w:rsid w:val="6169E7E6"/>
    <w:rsid w:val="61735CEB"/>
    <w:rsid w:val="617B413B"/>
    <w:rsid w:val="617D7EA9"/>
    <w:rsid w:val="6180BF14"/>
    <w:rsid w:val="618235AC"/>
    <w:rsid w:val="61866CB8"/>
    <w:rsid w:val="6186CB6D"/>
    <w:rsid w:val="6189C481"/>
    <w:rsid w:val="618D2C10"/>
    <w:rsid w:val="6199D3ED"/>
    <w:rsid w:val="619B75EE"/>
    <w:rsid w:val="619BEA3B"/>
    <w:rsid w:val="61A5E0B0"/>
    <w:rsid w:val="61A6C6AD"/>
    <w:rsid w:val="61A81DBE"/>
    <w:rsid w:val="61A8C6EE"/>
    <w:rsid w:val="61A9D1DA"/>
    <w:rsid w:val="61B93230"/>
    <w:rsid w:val="61BE4608"/>
    <w:rsid w:val="61BFC3D2"/>
    <w:rsid w:val="61C5AC8D"/>
    <w:rsid w:val="61C65DC3"/>
    <w:rsid w:val="61CF8C90"/>
    <w:rsid w:val="61D3F2E8"/>
    <w:rsid w:val="61DC83C7"/>
    <w:rsid w:val="61DE51E8"/>
    <w:rsid w:val="61E323E1"/>
    <w:rsid w:val="61E42C10"/>
    <w:rsid w:val="61E4E6F5"/>
    <w:rsid w:val="61E93625"/>
    <w:rsid w:val="61EA1D4B"/>
    <w:rsid w:val="61EC80A8"/>
    <w:rsid w:val="61F2B759"/>
    <w:rsid w:val="61F3E2B1"/>
    <w:rsid w:val="61F4890A"/>
    <w:rsid w:val="61FA367B"/>
    <w:rsid w:val="61FCBD3B"/>
    <w:rsid w:val="61FEB652"/>
    <w:rsid w:val="61FF026F"/>
    <w:rsid w:val="620059BB"/>
    <w:rsid w:val="6200BEF6"/>
    <w:rsid w:val="6201D075"/>
    <w:rsid w:val="6201D779"/>
    <w:rsid w:val="6207DA2B"/>
    <w:rsid w:val="620835A7"/>
    <w:rsid w:val="620F9C81"/>
    <w:rsid w:val="62101B00"/>
    <w:rsid w:val="62136190"/>
    <w:rsid w:val="6217EB8F"/>
    <w:rsid w:val="621CD033"/>
    <w:rsid w:val="6223E42C"/>
    <w:rsid w:val="622613D3"/>
    <w:rsid w:val="622639DF"/>
    <w:rsid w:val="6228DC62"/>
    <w:rsid w:val="6228F57C"/>
    <w:rsid w:val="6229A8EF"/>
    <w:rsid w:val="622A5D4B"/>
    <w:rsid w:val="622E896B"/>
    <w:rsid w:val="62305399"/>
    <w:rsid w:val="6231BCCB"/>
    <w:rsid w:val="6232608B"/>
    <w:rsid w:val="623824EF"/>
    <w:rsid w:val="6238F527"/>
    <w:rsid w:val="623CE9C2"/>
    <w:rsid w:val="623FDBD4"/>
    <w:rsid w:val="62406631"/>
    <w:rsid w:val="62438C7A"/>
    <w:rsid w:val="62498C96"/>
    <w:rsid w:val="624D07FC"/>
    <w:rsid w:val="625782FA"/>
    <w:rsid w:val="625B895E"/>
    <w:rsid w:val="625C7D72"/>
    <w:rsid w:val="625CC44F"/>
    <w:rsid w:val="625ED421"/>
    <w:rsid w:val="6263C201"/>
    <w:rsid w:val="62667AFB"/>
    <w:rsid w:val="626D0797"/>
    <w:rsid w:val="6271D00D"/>
    <w:rsid w:val="6273057E"/>
    <w:rsid w:val="6275B53F"/>
    <w:rsid w:val="62799DE0"/>
    <w:rsid w:val="627FC6A7"/>
    <w:rsid w:val="62805AFB"/>
    <w:rsid w:val="62811476"/>
    <w:rsid w:val="6284A76E"/>
    <w:rsid w:val="628ED09E"/>
    <w:rsid w:val="628F2ADC"/>
    <w:rsid w:val="6290C20C"/>
    <w:rsid w:val="6292A9E1"/>
    <w:rsid w:val="62962F9B"/>
    <w:rsid w:val="6297E789"/>
    <w:rsid w:val="629F913E"/>
    <w:rsid w:val="62A0EDDC"/>
    <w:rsid w:val="62A5645D"/>
    <w:rsid w:val="62ACCD14"/>
    <w:rsid w:val="62B58F5E"/>
    <w:rsid w:val="62B6690E"/>
    <w:rsid w:val="62B93671"/>
    <w:rsid w:val="62C018E8"/>
    <w:rsid w:val="62C1D27B"/>
    <w:rsid w:val="62C25CE8"/>
    <w:rsid w:val="62C409EE"/>
    <w:rsid w:val="62CB5116"/>
    <w:rsid w:val="62D05657"/>
    <w:rsid w:val="62D08DA6"/>
    <w:rsid w:val="62D298B8"/>
    <w:rsid w:val="62D3D040"/>
    <w:rsid w:val="62D845D8"/>
    <w:rsid w:val="62D8FFD4"/>
    <w:rsid w:val="62DD38D4"/>
    <w:rsid w:val="62E356D3"/>
    <w:rsid w:val="62E5A758"/>
    <w:rsid w:val="62E61A73"/>
    <w:rsid w:val="62E7C74F"/>
    <w:rsid w:val="62E8AC84"/>
    <w:rsid w:val="62E98DD0"/>
    <w:rsid w:val="62EAC69C"/>
    <w:rsid w:val="62EB85E8"/>
    <w:rsid w:val="62EF70D3"/>
    <w:rsid w:val="62F43556"/>
    <w:rsid w:val="62F5B82E"/>
    <w:rsid w:val="62F8E3BC"/>
    <w:rsid w:val="62FDB15A"/>
    <w:rsid w:val="62FED6E2"/>
    <w:rsid w:val="6307B95C"/>
    <w:rsid w:val="6308790F"/>
    <w:rsid w:val="63151426"/>
    <w:rsid w:val="6315EE17"/>
    <w:rsid w:val="6317BD06"/>
    <w:rsid w:val="6319C490"/>
    <w:rsid w:val="631DDBB0"/>
    <w:rsid w:val="6325945B"/>
    <w:rsid w:val="63299777"/>
    <w:rsid w:val="6333D371"/>
    <w:rsid w:val="6337106A"/>
    <w:rsid w:val="633D35AC"/>
    <w:rsid w:val="633ECC53"/>
    <w:rsid w:val="6341FF42"/>
    <w:rsid w:val="63430125"/>
    <w:rsid w:val="6349A86E"/>
    <w:rsid w:val="634C542D"/>
    <w:rsid w:val="634D2C19"/>
    <w:rsid w:val="63511850"/>
    <w:rsid w:val="6351EFD5"/>
    <w:rsid w:val="635AEA92"/>
    <w:rsid w:val="6362D856"/>
    <w:rsid w:val="6362DE83"/>
    <w:rsid w:val="6367F10C"/>
    <w:rsid w:val="636A462E"/>
    <w:rsid w:val="636E5A45"/>
    <w:rsid w:val="636F542E"/>
    <w:rsid w:val="637009D5"/>
    <w:rsid w:val="6373659D"/>
    <w:rsid w:val="6373FC47"/>
    <w:rsid w:val="637878FA"/>
    <w:rsid w:val="637939FA"/>
    <w:rsid w:val="637B7E06"/>
    <w:rsid w:val="638C9F23"/>
    <w:rsid w:val="6398E8FB"/>
    <w:rsid w:val="63A8E3D4"/>
    <w:rsid w:val="63AA6F73"/>
    <w:rsid w:val="63B04E92"/>
    <w:rsid w:val="63B372C6"/>
    <w:rsid w:val="63B45567"/>
    <w:rsid w:val="63B5ED41"/>
    <w:rsid w:val="63BE9F85"/>
    <w:rsid w:val="63C3B173"/>
    <w:rsid w:val="63CD6E9A"/>
    <w:rsid w:val="63CE4528"/>
    <w:rsid w:val="63CEA60C"/>
    <w:rsid w:val="63D4B1D8"/>
    <w:rsid w:val="63D76D40"/>
    <w:rsid w:val="63E7C770"/>
    <w:rsid w:val="63EBDB4E"/>
    <w:rsid w:val="63F31B82"/>
    <w:rsid w:val="63F40692"/>
    <w:rsid w:val="63F52718"/>
    <w:rsid w:val="63F566A2"/>
    <w:rsid w:val="63FC2BFC"/>
    <w:rsid w:val="63FC3122"/>
    <w:rsid w:val="63FFFD7F"/>
    <w:rsid w:val="6402DDF3"/>
    <w:rsid w:val="6403E6BD"/>
    <w:rsid w:val="6406A6B1"/>
    <w:rsid w:val="640D21B0"/>
    <w:rsid w:val="640E1C65"/>
    <w:rsid w:val="640F205E"/>
    <w:rsid w:val="640F42A8"/>
    <w:rsid w:val="640F9666"/>
    <w:rsid w:val="641011DA"/>
    <w:rsid w:val="641148BC"/>
    <w:rsid w:val="64127F72"/>
    <w:rsid w:val="6412D6DB"/>
    <w:rsid w:val="6414D203"/>
    <w:rsid w:val="6414F9C2"/>
    <w:rsid w:val="64171572"/>
    <w:rsid w:val="641753DE"/>
    <w:rsid w:val="641861DF"/>
    <w:rsid w:val="64196E34"/>
    <w:rsid w:val="641A1C6E"/>
    <w:rsid w:val="64281E1D"/>
    <w:rsid w:val="64291DB0"/>
    <w:rsid w:val="643046C8"/>
    <w:rsid w:val="64350408"/>
    <w:rsid w:val="6435817D"/>
    <w:rsid w:val="6436588C"/>
    <w:rsid w:val="64374AC9"/>
    <w:rsid w:val="643E5AD1"/>
    <w:rsid w:val="6457A2E6"/>
    <w:rsid w:val="645A628D"/>
    <w:rsid w:val="645BDA60"/>
    <w:rsid w:val="645C333C"/>
    <w:rsid w:val="645C9575"/>
    <w:rsid w:val="645F2066"/>
    <w:rsid w:val="645FE832"/>
    <w:rsid w:val="64660FEF"/>
    <w:rsid w:val="646BA16D"/>
    <w:rsid w:val="646CA50E"/>
    <w:rsid w:val="646CEE36"/>
    <w:rsid w:val="646F7565"/>
    <w:rsid w:val="64711645"/>
    <w:rsid w:val="64769DB7"/>
    <w:rsid w:val="6478029D"/>
    <w:rsid w:val="6478F98A"/>
    <w:rsid w:val="64819EDE"/>
    <w:rsid w:val="6481F079"/>
    <w:rsid w:val="6486AE1F"/>
    <w:rsid w:val="648E8453"/>
    <w:rsid w:val="649001BA"/>
    <w:rsid w:val="6491A2A7"/>
    <w:rsid w:val="6495C2F3"/>
    <w:rsid w:val="649B28BE"/>
    <w:rsid w:val="64AA4CCC"/>
    <w:rsid w:val="64AB0571"/>
    <w:rsid w:val="64AF1765"/>
    <w:rsid w:val="64B3A208"/>
    <w:rsid w:val="64B3D17C"/>
    <w:rsid w:val="64BE84B4"/>
    <w:rsid w:val="64C1DE59"/>
    <w:rsid w:val="64C53C03"/>
    <w:rsid w:val="64CF90CF"/>
    <w:rsid w:val="64D01066"/>
    <w:rsid w:val="64D20908"/>
    <w:rsid w:val="64D4E083"/>
    <w:rsid w:val="64DBB97B"/>
    <w:rsid w:val="64E1A870"/>
    <w:rsid w:val="64E1BC5E"/>
    <w:rsid w:val="64E57ECE"/>
    <w:rsid w:val="64E66D42"/>
    <w:rsid w:val="64E92E23"/>
    <w:rsid w:val="64E969B3"/>
    <w:rsid w:val="64EED4C2"/>
    <w:rsid w:val="64EF64FB"/>
    <w:rsid w:val="64F0A96D"/>
    <w:rsid w:val="64F0DBE7"/>
    <w:rsid w:val="64F386DD"/>
    <w:rsid w:val="64F9A99A"/>
    <w:rsid w:val="64FA68A5"/>
    <w:rsid w:val="65086BAB"/>
    <w:rsid w:val="650A621B"/>
    <w:rsid w:val="650BCEAD"/>
    <w:rsid w:val="650BCFB0"/>
    <w:rsid w:val="650F2071"/>
    <w:rsid w:val="650F5FDE"/>
    <w:rsid w:val="650F643E"/>
    <w:rsid w:val="65110268"/>
    <w:rsid w:val="651384C8"/>
    <w:rsid w:val="6513978D"/>
    <w:rsid w:val="65148701"/>
    <w:rsid w:val="65220B48"/>
    <w:rsid w:val="6527B40E"/>
    <w:rsid w:val="6527C4BD"/>
    <w:rsid w:val="652B2FF9"/>
    <w:rsid w:val="6530991F"/>
    <w:rsid w:val="6530AB3D"/>
    <w:rsid w:val="6531DB3B"/>
    <w:rsid w:val="6531E52A"/>
    <w:rsid w:val="65322C06"/>
    <w:rsid w:val="65327865"/>
    <w:rsid w:val="65341DBD"/>
    <w:rsid w:val="65346E27"/>
    <w:rsid w:val="65355FFB"/>
    <w:rsid w:val="65366B4F"/>
    <w:rsid w:val="653EDA5C"/>
    <w:rsid w:val="65460B6D"/>
    <w:rsid w:val="654784E5"/>
    <w:rsid w:val="6552BEED"/>
    <w:rsid w:val="655359BC"/>
    <w:rsid w:val="65560D19"/>
    <w:rsid w:val="655773AB"/>
    <w:rsid w:val="655C3EC8"/>
    <w:rsid w:val="655D50C3"/>
    <w:rsid w:val="655FA2CA"/>
    <w:rsid w:val="6564103E"/>
    <w:rsid w:val="6566A66B"/>
    <w:rsid w:val="656D7578"/>
    <w:rsid w:val="65720FBE"/>
    <w:rsid w:val="6574254A"/>
    <w:rsid w:val="65757EEA"/>
    <w:rsid w:val="657F65C4"/>
    <w:rsid w:val="65827096"/>
    <w:rsid w:val="658366A4"/>
    <w:rsid w:val="658DB56D"/>
    <w:rsid w:val="658E6A6D"/>
    <w:rsid w:val="6594B815"/>
    <w:rsid w:val="65961E12"/>
    <w:rsid w:val="6598CF46"/>
    <w:rsid w:val="659A706F"/>
    <w:rsid w:val="65A02A87"/>
    <w:rsid w:val="65A9B8CA"/>
    <w:rsid w:val="65AC6FAA"/>
    <w:rsid w:val="65B50EDF"/>
    <w:rsid w:val="65BC889A"/>
    <w:rsid w:val="65BE3149"/>
    <w:rsid w:val="65BF0569"/>
    <w:rsid w:val="65C2978D"/>
    <w:rsid w:val="65C2B621"/>
    <w:rsid w:val="65C63647"/>
    <w:rsid w:val="65C73813"/>
    <w:rsid w:val="65CCC6C0"/>
    <w:rsid w:val="65D00B5A"/>
    <w:rsid w:val="65D05DB2"/>
    <w:rsid w:val="65D11304"/>
    <w:rsid w:val="65D3BFB4"/>
    <w:rsid w:val="65D9C058"/>
    <w:rsid w:val="65DB01C3"/>
    <w:rsid w:val="65E32DF4"/>
    <w:rsid w:val="65E75C51"/>
    <w:rsid w:val="65E92658"/>
    <w:rsid w:val="65EC996B"/>
    <w:rsid w:val="65F6A529"/>
    <w:rsid w:val="65F8FD92"/>
    <w:rsid w:val="65FF4D3B"/>
    <w:rsid w:val="660835C8"/>
    <w:rsid w:val="660A2A7E"/>
    <w:rsid w:val="660DB2B6"/>
    <w:rsid w:val="6612E706"/>
    <w:rsid w:val="66142F28"/>
    <w:rsid w:val="661ADDCD"/>
    <w:rsid w:val="661FA29A"/>
    <w:rsid w:val="662010FF"/>
    <w:rsid w:val="6621547C"/>
    <w:rsid w:val="6624A3FF"/>
    <w:rsid w:val="6624A6F7"/>
    <w:rsid w:val="6627D443"/>
    <w:rsid w:val="6628E253"/>
    <w:rsid w:val="662B8F88"/>
    <w:rsid w:val="662D85DD"/>
    <w:rsid w:val="662F1CF2"/>
    <w:rsid w:val="66325B25"/>
    <w:rsid w:val="6637C1D0"/>
    <w:rsid w:val="663EB0A5"/>
    <w:rsid w:val="66454390"/>
    <w:rsid w:val="6645C55B"/>
    <w:rsid w:val="66475DC9"/>
    <w:rsid w:val="664B332F"/>
    <w:rsid w:val="66572E2B"/>
    <w:rsid w:val="665DD0FC"/>
    <w:rsid w:val="6667BD77"/>
    <w:rsid w:val="666874C6"/>
    <w:rsid w:val="666B3AEA"/>
    <w:rsid w:val="666D0D35"/>
    <w:rsid w:val="6673192B"/>
    <w:rsid w:val="6673AF72"/>
    <w:rsid w:val="6680070F"/>
    <w:rsid w:val="668097D2"/>
    <w:rsid w:val="6680F727"/>
    <w:rsid w:val="66831693"/>
    <w:rsid w:val="66836DB8"/>
    <w:rsid w:val="668C80B5"/>
    <w:rsid w:val="668E6202"/>
    <w:rsid w:val="668F9F2E"/>
    <w:rsid w:val="66A4541C"/>
    <w:rsid w:val="66B131C9"/>
    <w:rsid w:val="66B2C30F"/>
    <w:rsid w:val="66B4EF5E"/>
    <w:rsid w:val="66B584B4"/>
    <w:rsid w:val="66B73AE9"/>
    <w:rsid w:val="66B8F2C9"/>
    <w:rsid w:val="66BDA4C8"/>
    <w:rsid w:val="66C00221"/>
    <w:rsid w:val="66C0C350"/>
    <w:rsid w:val="66C767C6"/>
    <w:rsid w:val="66D927EA"/>
    <w:rsid w:val="66DD4D03"/>
    <w:rsid w:val="66DF3F9C"/>
    <w:rsid w:val="66E273C6"/>
    <w:rsid w:val="66E28D53"/>
    <w:rsid w:val="66E390CE"/>
    <w:rsid w:val="66E6AC2E"/>
    <w:rsid w:val="66EC14B4"/>
    <w:rsid w:val="66ED0AB9"/>
    <w:rsid w:val="66ED80FA"/>
    <w:rsid w:val="66F0AFBE"/>
    <w:rsid w:val="66F4D53C"/>
    <w:rsid w:val="66F76D25"/>
    <w:rsid w:val="66F77866"/>
    <w:rsid w:val="66FCB3AC"/>
    <w:rsid w:val="670352D5"/>
    <w:rsid w:val="670771C4"/>
    <w:rsid w:val="670E2332"/>
    <w:rsid w:val="67137B41"/>
    <w:rsid w:val="67141C08"/>
    <w:rsid w:val="67148C00"/>
    <w:rsid w:val="67176FAD"/>
    <w:rsid w:val="67185B1C"/>
    <w:rsid w:val="6719DF42"/>
    <w:rsid w:val="671F2B1B"/>
    <w:rsid w:val="67228872"/>
    <w:rsid w:val="67286628"/>
    <w:rsid w:val="672B058E"/>
    <w:rsid w:val="672D703B"/>
    <w:rsid w:val="672F4EED"/>
    <w:rsid w:val="672F9EDB"/>
    <w:rsid w:val="672FD9D3"/>
    <w:rsid w:val="6732F38D"/>
    <w:rsid w:val="673ABF83"/>
    <w:rsid w:val="674884C6"/>
    <w:rsid w:val="674A5459"/>
    <w:rsid w:val="674D7456"/>
    <w:rsid w:val="674F632A"/>
    <w:rsid w:val="6751CCD3"/>
    <w:rsid w:val="6751DA12"/>
    <w:rsid w:val="6754B33C"/>
    <w:rsid w:val="67574540"/>
    <w:rsid w:val="675DEE13"/>
    <w:rsid w:val="675FB162"/>
    <w:rsid w:val="675FD7C3"/>
    <w:rsid w:val="676213B6"/>
    <w:rsid w:val="6762B7A1"/>
    <w:rsid w:val="6768686D"/>
    <w:rsid w:val="676B045A"/>
    <w:rsid w:val="6771B7FD"/>
    <w:rsid w:val="67733C7F"/>
    <w:rsid w:val="677581EF"/>
    <w:rsid w:val="67787F46"/>
    <w:rsid w:val="677A247C"/>
    <w:rsid w:val="677D0EF4"/>
    <w:rsid w:val="677DCD56"/>
    <w:rsid w:val="677E7D5D"/>
    <w:rsid w:val="677F62E8"/>
    <w:rsid w:val="677FB0F8"/>
    <w:rsid w:val="67844EE4"/>
    <w:rsid w:val="6793F8AA"/>
    <w:rsid w:val="6795638A"/>
    <w:rsid w:val="67993926"/>
    <w:rsid w:val="679BCA75"/>
    <w:rsid w:val="679D6BFA"/>
    <w:rsid w:val="679EA960"/>
    <w:rsid w:val="679F4BFD"/>
    <w:rsid w:val="67A07C9F"/>
    <w:rsid w:val="67AB1F2E"/>
    <w:rsid w:val="67AB42DE"/>
    <w:rsid w:val="67AE9D87"/>
    <w:rsid w:val="67AFA779"/>
    <w:rsid w:val="67B0B4C4"/>
    <w:rsid w:val="67B83D12"/>
    <w:rsid w:val="67BD71C9"/>
    <w:rsid w:val="67BDF620"/>
    <w:rsid w:val="67BF187B"/>
    <w:rsid w:val="67C51260"/>
    <w:rsid w:val="67CB7A39"/>
    <w:rsid w:val="67D479B8"/>
    <w:rsid w:val="67D7FFF7"/>
    <w:rsid w:val="67DA7BBC"/>
    <w:rsid w:val="67DC3010"/>
    <w:rsid w:val="67DEF5FB"/>
    <w:rsid w:val="67E42D50"/>
    <w:rsid w:val="67E72129"/>
    <w:rsid w:val="67E88EA2"/>
    <w:rsid w:val="67E9127B"/>
    <w:rsid w:val="67EA175E"/>
    <w:rsid w:val="67EB2BBC"/>
    <w:rsid w:val="67FAA7CA"/>
    <w:rsid w:val="67FE394B"/>
    <w:rsid w:val="6802305E"/>
    <w:rsid w:val="6804611A"/>
    <w:rsid w:val="680A9F08"/>
    <w:rsid w:val="680CE3C8"/>
    <w:rsid w:val="680D63A4"/>
    <w:rsid w:val="680FF20F"/>
    <w:rsid w:val="68103022"/>
    <w:rsid w:val="6811396E"/>
    <w:rsid w:val="6822E007"/>
    <w:rsid w:val="682E90FF"/>
    <w:rsid w:val="6831CC6C"/>
    <w:rsid w:val="6835A391"/>
    <w:rsid w:val="6835D2AD"/>
    <w:rsid w:val="6836EAE2"/>
    <w:rsid w:val="6838B3A9"/>
    <w:rsid w:val="683AEF40"/>
    <w:rsid w:val="683FC0A6"/>
    <w:rsid w:val="684E8348"/>
    <w:rsid w:val="685496A0"/>
    <w:rsid w:val="6855CB09"/>
    <w:rsid w:val="685C7587"/>
    <w:rsid w:val="685D060F"/>
    <w:rsid w:val="685F0D97"/>
    <w:rsid w:val="6862282E"/>
    <w:rsid w:val="686228B4"/>
    <w:rsid w:val="686291F2"/>
    <w:rsid w:val="6865BA2C"/>
    <w:rsid w:val="6866688B"/>
    <w:rsid w:val="686BD1E2"/>
    <w:rsid w:val="686C532F"/>
    <w:rsid w:val="686D4FA2"/>
    <w:rsid w:val="686FFB04"/>
    <w:rsid w:val="687704A7"/>
    <w:rsid w:val="68771DB5"/>
    <w:rsid w:val="687A095A"/>
    <w:rsid w:val="687B7974"/>
    <w:rsid w:val="687D5A50"/>
    <w:rsid w:val="687FBC33"/>
    <w:rsid w:val="68820715"/>
    <w:rsid w:val="6882B8B9"/>
    <w:rsid w:val="6884A8AF"/>
    <w:rsid w:val="6888CBCE"/>
    <w:rsid w:val="688BD948"/>
    <w:rsid w:val="688CE5E2"/>
    <w:rsid w:val="688D17D2"/>
    <w:rsid w:val="688F244E"/>
    <w:rsid w:val="68903508"/>
    <w:rsid w:val="689CF18C"/>
    <w:rsid w:val="689CF70C"/>
    <w:rsid w:val="68A5B90C"/>
    <w:rsid w:val="68A7E370"/>
    <w:rsid w:val="68A852BD"/>
    <w:rsid w:val="68A9EC2C"/>
    <w:rsid w:val="68A9FBAE"/>
    <w:rsid w:val="68AAF7A9"/>
    <w:rsid w:val="68AC2BE5"/>
    <w:rsid w:val="68AEB2D9"/>
    <w:rsid w:val="68B61603"/>
    <w:rsid w:val="68B616B1"/>
    <w:rsid w:val="68B9E02D"/>
    <w:rsid w:val="68BD07EB"/>
    <w:rsid w:val="68C0AEA7"/>
    <w:rsid w:val="68C19141"/>
    <w:rsid w:val="68C1A834"/>
    <w:rsid w:val="68C8E736"/>
    <w:rsid w:val="68CEE717"/>
    <w:rsid w:val="68D0CDF0"/>
    <w:rsid w:val="68D1C18A"/>
    <w:rsid w:val="68D1C8FF"/>
    <w:rsid w:val="68D2F310"/>
    <w:rsid w:val="68D86149"/>
    <w:rsid w:val="68DC6086"/>
    <w:rsid w:val="68E39923"/>
    <w:rsid w:val="68E45694"/>
    <w:rsid w:val="68E4A3FD"/>
    <w:rsid w:val="68F1416A"/>
    <w:rsid w:val="68FBAAEA"/>
    <w:rsid w:val="69037911"/>
    <w:rsid w:val="69050622"/>
    <w:rsid w:val="690CBB99"/>
    <w:rsid w:val="690D7224"/>
    <w:rsid w:val="6910CB76"/>
    <w:rsid w:val="691696CC"/>
    <w:rsid w:val="691851FE"/>
    <w:rsid w:val="691DEDC0"/>
    <w:rsid w:val="69218A87"/>
    <w:rsid w:val="6921DA54"/>
    <w:rsid w:val="69354260"/>
    <w:rsid w:val="693F8444"/>
    <w:rsid w:val="69428784"/>
    <w:rsid w:val="694344E7"/>
    <w:rsid w:val="694FF896"/>
    <w:rsid w:val="69534A9F"/>
    <w:rsid w:val="6954F997"/>
    <w:rsid w:val="69558317"/>
    <w:rsid w:val="695CB925"/>
    <w:rsid w:val="695D847F"/>
    <w:rsid w:val="69622CEC"/>
    <w:rsid w:val="69647C53"/>
    <w:rsid w:val="696D9919"/>
    <w:rsid w:val="696F0C1B"/>
    <w:rsid w:val="69726A08"/>
    <w:rsid w:val="69728D08"/>
    <w:rsid w:val="697340AE"/>
    <w:rsid w:val="6973A039"/>
    <w:rsid w:val="6977FF04"/>
    <w:rsid w:val="69781890"/>
    <w:rsid w:val="69826C85"/>
    <w:rsid w:val="69839B9B"/>
    <w:rsid w:val="69840172"/>
    <w:rsid w:val="6985D9AD"/>
    <w:rsid w:val="6988C0D3"/>
    <w:rsid w:val="698AF653"/>
    <w:rsid w:val="698BA43E"/>
    <w:rsid w:val="698F82C2"/>
    <w:rsid w:val="69975C4D"/>
    <w:rsid w:val="69ACE629"/>
    <w:rsid w:val="69B3D3F8"/>
    <w:rsid w:val="69B7BE61"/>
    <w:rsid w:val="69B8EA5B"/>
    <w:rsid w:val="69C6257C"/>
    <w:rsid w:val="69C7C06A"/>
    <w:rsid w:val="69CC4D7A"/>
    <w:rsid w:val="69D6F272"/>
    <w:rsid w:val="69D94250"/>
    <w:rsid w:val="69DA7311"/>
    <w:rsid w:val="69DDEBA4"/>
    <w:rsid w:val="69E2A096"/>
    <w:rsid w:val="69EDDD9A"/>
    <w:rsid w:val="69F3512E"/>
    <w:rsid w:val="69F423C3"/>
    <w:rsid w:val="69F70187"/>
    <w:rsid w:val="69F9ADC2"/>
    <w:rsid w:val="69FE2968"/>
    <w:rsid w:val="69FE9A9C"/>
    <w:rsid w:val="6A03D82E"/>
    <w:rsid w:val="6A09A999"/>
    <w:rsid w:val="6A0BAC47"/>
    <w:rsid w:val="6A0D36D5"/>
    <w:rsid w:val="6A118B79"/>
    <w:rsid w:val="6A1356CA"/>
    <w:rsid w:val="6A145D23"/>
    <w:rsid w:val="6A15D912"/>
    <w:rsid w:val="6A1A63B5"/>
    <w:rsid w:val="6A1D3DC0"/>
    <w:rsid w:val="6A1FB2B1"/>
    <w:rsid w:val="6A202B1B"/>
    <w:rsid w:val="6A20F958"/>
    <w:rsid w:val="6A21C037"/>
    <w:rsid w:val="6A223A72"/>
    <w:rsid w:val="6A22CEBD"/>
    <w:rsid w:val="6A25A365"/>
    <w:rsid w:val="6A320A06"/>
    <w:rsid w:val="6A342FD2"/>
    <w:rsid w:val="6A3462E9"/>
    <w:rsid w:val="6A3692B1"/>
    <w:rsid w:val="6A503C5B"/>
    <w:rsid w:val="6A52B1D8"/>
    <w:rsid w:val="6A530230"/>
    <w:rsid w:val="6A5E387E"/>
    <w:rsid w:val="6A5F3EAA"/>
    <w:rsid w:val="6A5F5A61"/>
    <w:rsid w:val="6A6195EA"/>
    <w:rsid w:val="6A65B69B"/>
    <w:rsid w:val="6A6A9DF5"/>
    <w:rsid w:val="6A6B95DB"/>
    <w:rsid w:val="6A6EEA33"/>
    <w:rsid w:val="6A6F7EAA"/>
    <w:rsid w:val="6A73C866"/>
    <w:rsid w:val="6A756A97"/>
    <w:rsid w:val="6A7819FA"/>
    <w:rsid w:val="6A8348FA"/>
    <w:rsid w:val="6A83E4D3"/>
    <w:rsid w:val="6A86440E"/>
    <w:rsid w:val="6A903F47"/>
    <w:rsid w:val="6A94DEF9"/>
    <w:rsid w:val="6A9EAE46"/>
    <w:rsid w:val="6AA09F80"/>
    <w:rsid w:val="6AA1D151"/>
    <w:rsid w:val="6AA7AA61"/>
    <w:rsid w:val="6AA7D1DB"/>
    <w:rsid w:val="6AA9FE89"/>
    <w:rsid w:val="6AAA0A0F"/>
    <w:rsid w:val="6AAF883C"/>
    <w:rsid w:val="6AB5479E"/>
    <w:rsid w:val="6ABD0308"/>
    <w:rsid w:val="6ABFCBE8"/>
    <w:rsid w:val="6AC57EB4"/>
    <w:rsid w:val="6AC7D1EF"/>
    <w:rsid w:val="6ACA6BFD"/>
    <w:rsid w:val="6ACEC028"/>
    <w:rsid w:val="6ACFA3A2"/>
    <w:rsid w:val="6AD05246"/>
    <w:rsid w:val="6AD41BF2"/>
    <w:rsid w:val="6AD5DEE5"/>
    <w:rsid w:val="6AD86EEF"/>
    <w:rsid w:val="6ADC6471"/>
    <w:rsid w:val="6AE50010"/>
    <w:rsid w:val="6AE7F409"/>
    <w:rsid w:val="6AE8E0A1"/>
    <w:rsid w:val="6AE9E7F7"/>
    <w:rsid w:val="6AEAADB7"/>
    <w:rsid w:val="6AF04FE0"/>
    <w:rsid w:val="6AF2134F"/>
    <w:rsid w:val="6AF5F015"/>
    <w:rsid w:val="6AF8C33F"/>
    <w:rsid w:val="6AF93717"/>
    <w:rsid w:val="6AFF0E8B"/>
    <w:rsid w:val="6AFFB304"/>
    <w:rsid w:val="6AFFDE9F"/>
    <w:rsid w:val="6B023A52"/>
    <w:rsid w:val="6B028328"/>
    <w:rsid w:val="6B02DFC6"/>
    <w:rsid w:val="6B06574E"/>
    <w:rsid w:val="6B0735D9"/>
    <w:rsid w:val="6B07BAC4"/>
    <w:rsid w:val="6B0BF2E9"/>
    <w:rsid w:val="6B0D1B16"/>
    <w:rsid w:val="6B12A7CC"/>
    <w:rsid w:val="6B13877A"/>
    <w:rsid w:val="6B1647EB"/>
    <w:rsid w:val="6B1886FE"/>
    <w:rsid w:val="6B1D3176"/>
    <w:rsid w:val="6B2189FB"/>
    <w:rsid w:val="6B28EF38"/>
    <w:rsid w:val="6B2A3F92"/>
    <w:rsid w:val="6B2B4578"/>
    <w:rsid w:val="6B2B49F4"/>
    <w:rsid w:val="6B2E33E4"/>
    <w:rsid w:val="6B344AA9"/>
    <w:rsid w:val="6B385907"/>
    <w:rsid w:val="6B3B9016"/>
    <w:rsid w:val="6B414F02"/>
    <w:rsid w:val="6B43EBBC"/>
    <w:rsid w:val="6B47B381"/>
    <w:rsid w:val="6B4990EF"/>
    <w:rsid w:val="6B4BD3CC"/>
    <w:rsid w:val="6B529105"/>
    <w:rsid w:val="6B5340A1"/>
    <w:rsid w:val="6B5639C4"/>
    <w:rsid w:val="6B57C0DF"/>
    <w:rsid w:val="6B57C933"/>
    <w:rsid w:val="6B57D18D"/>
    <w:rsid w:val="6B593EBA"/>
    <w:rsid w:val="6B5958E2"/>
    <w:rsid w:val="6B5ECC55"/>
    <w:rsid w:val="6B68FD0E"/>
    <w:rsid w:val="6B69EEF6"/>
    <w:rsid w:val="6B6DBE69"/>
    <w:rsid w:val="6B6E42D5"/>
    <w:rsid w:val="6B71EFAD"/>
    <w:rsid w:val="6B745FEB"/>
    <w:rsid w:val="6B821AC0"/>
    <w:rsid w:val="6B854219"/>
    <w:rsid w:val="6B89F9C4"/>
    <w:rsid w:val="6B8B53D8"/>
    <w:rsid w:val="6B8C0915"/>
    <w:rsid w:val="6B8C3376"/>
    <w:rsid w:val="6B9681CB"/>
    <w:rsid w:val="6B9FD248"/>
    <w:rsid w:val="6BA0EFD3"/>
    <w:rsid w:val="6BA11255"/>
    <w:rsid w:val="6BA5C47A"/>
    <w:rsid w:val="6BA80F95"/>
    <w:rsid w:val="6BA87A3E"/>
    <w:rsid w:val="6BA94836"/>
    <w:rsid w:val="6BAEBDF9"/>
    <w:rsid w:val="6BB21AF7"/>
    <w:rsid w:val="6BBF34F5"/>
    <w:rsid w:val="6BBF7915"/>
    <w:rsid w:val="6BC1DAD0"/>
    <w:rsid w:val="6BC258C1"/>
    <w:rsid w:val="6BC6F693"/>
    <w:rsid w:val="6BCFF18E"/>
    <w:rsid w:val="6BD6427E"/>
    <w:rsid w:val="6BD9EE0A"/>
    <w:rsid w:val="6BDA6CC9"/>
    <w:rsid w:val="6BDAB703"/>
    <w:rsid w:val="6BE191A3"/>
    <w:rsid w:val="6BE258B1"/>
    <w:rsid w:val="6BEAA941"/>
    <w:rsid w:val="6BF315B7"/>
    <w:rsid w:val="6BF5C4D1"/>
    <w:rsid w:val="6BFABFBF"/>
    <w:rsid w:val="6BFBE014"/>
    <w:rsid w:val="6C06A96A"/>
    <w:rsid w:val="6C0928F4"/>
    <w:rsid w:val="6C093967"/>
    <w:rsid w:val="6C0D9389"/>
    <w:rsid w:val="6C0D946E"/>
    <w:rsid w:val="6C1FA681"/>
    <w:rsid w:val="6C226F27"/>
    <w:rsid w:val="6C228A1D"/>
    <w:rsid w:val="6C26669E"/>
    <w:rsid w:val="6C29E03E"/>
    <w:rsid w:val="6C2B321D"/>
    <w:rsid w:val="6C2E7D7C"/>
    <w:rsid w:val="6C2E92EA"/>
    <w:rsid w:val="6C3106C1"/>
    <w:rsid w:val="6C34CE48"/>
    <w:rsid w:val="6C352EFF"/>
    <w:rsid w:val="6C357F45"/>
    <w:rsid w:val="6C360A03"/>
    <w:rsid w:val="6C38D00D"/>
    <w:rsid w:val="6C396DCB"/>
    <w:rsid w:val="6C398CB1"/>
    <w:rsid w:val="6C39CAD5"/>
    <w:rsid w:val="6C3A7381"/>
    <w:rsid w:val="6C3AA685"/>
    <w:rsid w:val="6C3B6072"/>
    <w:rsid w:val="6C3B6A25"/>
    <w:rsid w:val="6C3C6FD3"/>
    <w:rsid w:val="6C405415"/>
    <w:rsid w:val="6C430042"/>
    <w:rsid w:val="6C4303C3"/>
    <w:rsid w:val="6C49F3B0"/>
    <w:rsid w:val="6C4CE11D"/>
    <w:rsid w:val="6C4D2766"/>
    <w:rsid w:val="6C4D8B73"/>
    <w:rsid w:val="6C4F1185"/>
    <w:rsid w:val="6C5263C3"/>
    <w:rsid w:val="6C568566"/>
    <w:rsid w:val="6C57F8C1"/>
    <w:rsid w:val="6C5F7D0A"/>
    <w:rsid w:val="6C6355F0"/>
    <w:rsid w:val="6C697C55"/>
    <w:rsid w:val="6C765412"/>
    <w:rsid w:val="6C7AFD27"/>
    <w:rsid w:val="6C802681"/>
    <w:rsid w:val="6C82E0DB"/>
    <w:rsid w:val="6C87C943"/>
    <w:rsid w:val="6C9223F0"/>
    <w:rsid w:val="6C939A51"/>
    <w:rsid w:val="6C95E32E"/>
    <w:rsid w:val="6C9714B4"/>
    <w:rsid w:val="6C972A27"/>
    <w:rsid w:val="6C9873EA"/>
    <w:rsid w:val="6C9B6685"/>
    <w:rsid w:val="6C9C1A01"/>
    <w:rsid w:val="6C9D7233"/>
    <w:rsid w:val="6CA00107"/>
    <w:rsid w:val="6CA71208"/>
    <w:rsid w:val="6CAB0269"/>
    <w:rsid w:val="6CAB6B00"/>
    <w:rsid w:val="6CAB8F83"/>
    <w:rsid w:val="6CABE093"/>
    <w:rsid w:val="6CB05B4E"/>
    <w:rsid w:val="6CBA7E14"/>
    <w:rsid w:val="6CBCF42E"/>
    <w:rsid w:val="6CBE8086"/>
    <w:rsid w:val="6CC200EA"/>
    <w:rsid w:val="6CC26285"/>
    <w:rsid w:val="6CCAFF5C"/>
    <w:rsid w:val="6CCB2795"/>
    <w:rsid w:val="6CCCBA39"/>
    <w:rsid w:val="6CCD32FE"/>
    <w:rsid w:val="6CCEF863"/>
    <w:rsid w:val="6CD247B3"/>
    <w:rsid w:val="6CD42DF2"/>
    <w:rsid w:val="6CD527BC"/>
    <w:rsid w:val="6CD67B07"/>
    <w:rsid w:val="6CD72315"/>
    <w:rsid w:val="6CDB8B2A"/>
    <w:rsid w:val="6CDD396F"/>
    <w:rsid w:val="6CDDBECD"/>
    <w:rsid w:val="6CDE04AF"/>
    <w:rsid w:val="6CE0BB2B"/>
    <w:rsid w:val="6CE46795"/>
    <w:rsid w:val="6CE9A6CE"/>
    <w:rsid w:val="6CE9FB01"/>
    <w:rsid w:val="6CEE5955"/>
    <w:rsid w:val="6CF5A0FE"/>
    <w:rsid w:val="6CF60F8B"/>
    <w:rsid w:val="6CF98C7F"/>
    <w:rsid w:val="6D0445C5"/>
    <w:rsid w:val="6D0B2CD9"/>
    <w:rsid w:val="6D0E8E6B"/>
    <w:rsid w:val="6D111628"/>
    <w:rsid w:val="6D118FAA"/>
    <w:rsid w:val="6D143393"/>
    <w:rsid w:val="6D16D067"/>
    <w:rsid w:val="6D194A57"/>
    <w:rsid w:val="6D1EF407"/>
    <w:rsid w:val="6D1F5FDC"/>
    <w:rsid w:val="6D2B4762"/>
    <w:rsid w:val="6D3089D4"/>
    <w:rsid w:val="6D3D97CD"/>
    <w:rsid w:val="6D461BE3"/>
    <w:rsid w:val="6D46B17B"/>
    <w:rsid w:val="6D473E1F"/>
    <w:rsid w:val="6D475637"/>
    <w:rsid w:val="6D4B1AC4"/>
    <w:rsid w:val="6D4D0F6C"/>
    <w:rsid w:val="6D4D5CF1"/>
    <w:rsid w:val="6D51F3A6"/>
    <w:rsid w:val="6D53FE13"/>
    <w:rsid w:val="6D549303"/>
    <w:rsid w:val="6D599596"/>
    <w:rsid w:val="6D5BD871"/>
    <w:rsid w:val="6D5BFA78"/>
    <w:rsid w:val="6D5C5EF0"/>
    <w:rsid w:val="6D5D78D6"/>
    <w:rsid w:val="6D5DD2AB"/>
    <w:rsid w:val="6D64A4F7"/>
    <w:rsid w:val="6D66EDFF"/>
    <w:rsid w:val="6D6B3506"/>
    <w:rsid w:val="6D6F452B"/>
    <w:rsid w:val="6D70D9E7"/>
    <w:rsid w:val="6D7592CC"/>
    <w:rsid w:val="6D7F3B9A"/>
    <w:rsid w:val="6D80608F"/>
    <w:rsid w:val="6D8833DC"/>
    <w:rsid w:val="6D89384A"/>
    <w:rsid w:val="6D9A8C6A"/>
    <w:rsid w:val="6D9CA678"/>
    <w:rsid w:val="6D9E81C8"/>
    <w:rsid w:val="6DA1FFC4"/>
    <w:rsid w:val="6DA6AE47"/>
    <w:rsid w:val="6DACCA61"/>
    <w:rsid w:val="6DB3BC38"/>
    <w:rsid w:val="6DBE18C6"/>
    <w:rsid w:val="6DBF1E71"/>
    <w:rsid w:val="6DBFAB9D"/>
    <w:rsid w:val="6DD01162"/>
    <w:rsid w:val="6DD2EEE1"/>
    <w:rsid w:val="6DD306B4"/>
    <w:rsid w:val="6DD7F83D"/>
    <w:rsid w:val="6DD81057"/>
    <w:rsid w:val="6DDC49EB"/>
    <w:rsid w:val="6DE47A98"/>
    <w:rsid w:val="6DEAD328"/>
    <w:rsid w:val="6DEC40A7"/>
    <w:rsid w:val="6DF1F885"/>
    <w:rsid w:val="6DF872AD"/>
    <w:rsid w:val="6DFB0F5F"/>
    <w:rsid w:val="6DFC7692"/>
    <w:rsid w:val="6DFD3B32"/>
    <w:rsid w:val="6DFF4AF8"/>
    <w:rsid w:val="6E005517"/>
    <w:rsid w:val="6E0292EB"/>
    <w:rsid w:val="6E0428EB"/>
    <w:rsid w:val="6E04A097"/>
    <w:rsid w:val="6E07408C"/>
    <w:rsid w:val="6E084F70"/>
    <w:rsid w:val="6E094E3A"/>
    <w:rsid w:val="6E0AF4F5"/>
    <w:rsid w:val="6E0FAFCD"/>
    <w:rsid w:val="6E122719"/>
    <w:rsid w:val="6E17A219"/>
    <w:rsid w:val="6E1A486B"/>
    <w:rsid w:val="6E1C00CF"/>
    <w:rsid w:val="6E1F186F"/>
    <w:rsid w:val="6E2C822B"/>
    <w:rsid w:val="6E2D44D1"/>
    <w:rsid w:val="6E2EBD8A"/>
    <w:rsid w:val="6E32EDCC"/>
    <w:rsid w:val="6E3AABCC"/>
    <w:rsid w:val="6E3C5B2B"/>
    <w:rsid w:val="6E42C0F3"/>
    <w:rsid w:val="6E43516F"/>
    <w:rsid w:val="6E45BD1E"/>
    <w:rsid w:val="6E4659A2"/>
    <w:rsid w:val="6E4CAF76"/>
    <w:rsid w:val="6E5098DC"/>
    <w:rsid w:val="6E523B9F"/>
    <w:rsid w:val="6E5342B2"/>
    <w:rsid w:val="6E54692A"/>
    <w:rsid w:val="6E56F6AB"/>
    <w:rsid w:val="6E5A6E78"/>
    <w:rsid w:val="6E5DBA6F"/>
    <w:rsid w:val="6E5E56D5"/>
    <w:rsid w:val="6E61A063"/>
    <w:rsid w:val="6E65385E"/>
    <w:rsid w:val="6E65D3A8"/>
    <w:rsid w:val="6E6A324E"/>
    <w:rsid w:val="6E6E8002"/>
    <w:rsid w:val="6E71E865"/>
    <w:rsid w:val="6E77B83A"/>
    <w:rsid w:val="6E793F03"/>
    <w:rsid w:val="6E795B03"/>
    <w:rsid w:val="6E7B3133"/>
    <w:rsid w:val="6E818BBD"/>
    <w:rsid w:val="6E8253CF"/>
    <w:rsid w:val="6E826433"/>
    <w:rsid w:val="6E870683"/>
    <w:rsid w:val="6E887597"/>
    <w:rsid w:val="6E8D7806"/>
    <w:rsid w:val="6E8E04AB"/>
    <w:rsid w:val="6E8F7947"/>
    <w:rsid w:val="6E8FF902"/>
    <w:rsid w:val="6E90A9F0"/>
    <w:rsid w:val="6E9192B6"/>
    <w:rsid w:val="6E9B315A"/>
    <w:rsid w:val="6E9E9C58"/>
    <w:rsid w:val="6E9ECA3F"/>
    <w:rsid w:val="6EA75A76"/>
    <w:rsid w:val="6EAA0305"/>
    <w:rsid w:val="6EAE3A1E"/>
    <w:rsid w:val="6EB1D2E7"/>
    <w:rsid w:val="6EB7A7D9"/>
    <w:rsid w:val="6EBA2E85"/>
    <w:rsid w:val="6EBD1B16"/>
    <w:rsid w:val="6EC78CF4"/>
    <w:rsid w:val="6ECD37D3"/>
    <w:rsid w:val="6ECFB9AB"/>
    <w:rsid w:val="6ED1E782"/>
    <w:rsid w:val="6ED47D59"/>
    <w:rsid w:val="6EDC9360"/>
    <w:rsid w:val="6EDFD94D"/>
    <w:rsid w:val="6EE07BE1"/>
    <w:rsid w:val="6EE0CE39"/>
    <w:rsid w:val="6EE22D94"/>
    <w:rsid w:val="6EE657A0"/>
    <w:rsid w:val="6EEA8B69"/>
    <w:rsid w:val="6EEB0E6E"/>
    <w:rsid w:val="6EECD27F"/>
    <w:rsid w:val="6EED3D5F"/>
    <w:rsid w:val="6EF0A22D"/>
    <w:rsid w:val="6EF134D0"/>
    <w:rsid w:val="6EF95F40"/>
    <w:rsid w:val="6F061E66"/>
    <w:rsid w:val="6F07EE91"/>
    <w:rsid w:val="6F0894CE"/>
    <w:rsid w:val="6F0D4E78"/>
    <w:rsid w:val="6F0FD6A2"/>
    <w:rsid w:val="6F10171D"/>
    <w:rsid w:val="6F18556B"/>
    <w:rsid w:val="6F1D0390"/>
    <w:rsid w:val="6F26F043"/>
    <w:rsid w:val="6F28BF12"/>
    <w:rsid w:val="6F29E535"/>
    <w:rsid w:val="6F2BEE89"/>
    <w:rsid w:val="6F2E290D"/>
    <w:rsid w:val="6F2FCBB4"/>
    <w:rsid w:val="6F334121"/>
    <w:rsid w:val="6F39EE34"/>
    <w:rsid w:val="6F40F3F1"/>
    <w:rsid w:val="6F41F3F3"/>
    <w:rsid w:val="6F493CED"/>
    <w:rsid w:val="6F4C531D"/>
    <w:rsid w:val="6F5ACA2A"/>
    <w:rsid w:val="6F5E94A4"/>
    <w:rsid w:val="6F6C4E97"/>
    <w:rsid w:val="6F7017F1"/>
    <w:rsid w:val="6F746442"/>
    <w:rsid w:val="6F753F72"/>
    <w:rsid w:val="6F7E40FB"/>
    <w:rsid w:val="6F832539"/>
    <w:rsid w:val="6F84189B"/>
    <w:rsid w:val="6F85BF87"/>
    <w:rsid w:val="6F8821BC"/>
    <w:rsid w:val="6F88E14F"/>
    <w:rsid w:val="6F8C4737"/>
    <w:rsid w:val="6F95B1A9"/>
    <w:rsid w:val="6F99DE1D"/>
    <w:rsid w:val="6F9A33A7"/>
    <w:rsid w:val="6F9BAF62"/>
    <w:rsid w:val="6F9D8160"/>
    <w:rsid w:val="6F9DF9AD"/>
    <w:rsid w:val="6F9EFDCB"/>
    <w:rsid w:val="6FA177EC"/>
    <w:rsid w:val="6FA37E47"/>
    <w:rsid w:val="6FAE145C"/>
    <w:rsid w:val="6FAEBC94"/>
    <w:rsid w:val="6FB03188"/>
    <w:rsid w:val="6FB2ABFA"/>
    <w:rsid w:val="6FB466C9"/>
    <w:rsid w:val="6FB8CFB9"/>
    <w:rsid w:val="6FBAA19E"/>
    <w:rsid w:val="6FBC4F60"/>
    <w:rsid w:val="6FC051F9"/>
    <w:rsid w:val="6FC15712"/>
    <w:rsid w:val="6FC4FEDE"/>
    <w:rsid w:val="6FC71645"/>
    <w:rsid w:val="6FC7323E"/>
    <w:rsid w:val="6FCFF05E"/>
    <w:rsid w:val="6FD45B51"/>
    <w:rsid w:val="6FD6C0E0"/>
    <w:rsid w:val="6FD89DE8"/>
    <w:rsid w:val="6FDAF0FC"/>
    <w:rsid w:val="6FDAFE38"/>
    <w:rsid w:val="6FE494B6"/>
    <w:rsid w:val="6FE51113"/>
    <w:rsid w:val="6FE52C82"/>
    <w:rsid w:val="6FE7FC84"/>
    <w:rsid w:val="6FECC902"/>
    <w:rsid w:val="6FED5E48"/>
    <w:rsid w:val="6FED6AA6"/>
    <w:rsid w:val="6FEF8425"/>
    <w:rsid w:val="6FF05573"/>
    <w:rsid w:val="6FF29999"/>
    <w:rsid w:val="70016E2D"/>
    <w:rsid w:val="70032CE7"/>
    <w:rsid w:val="7003F4DB"/>
    <w:rsid w:val="70047D98"/>
    <w:rsid w:val="700ABE27"/>
    <w:rsid w:val="700D4346"/>
    <w:rsid w:val="700DDD18"/>
    <w:rsid w:val="701431F0"/>
    <w:rsid w:val="70149D7F"/>
    <w:rsid w:val="7015357C"/>
    <w:rsid w:val="70160708"/>
    <w:rsid w:val="701828A1"/>
    <w:rsid w:val="70185C7B"/>
    <w:rsid w:val="701A8B53"/>
    <w:rsid w:val="701BB417"/>
    <w:rsid w:val="701BBF47"/>
    <w:rsid w:val="701C6476"/>
    <w:rsid w:val="7021B8CA"/>
    <w:rsid w:val="7025F00D"/>
    <w:rsid w:val="7027003D"/>
    <w:rsid w:val="702A649E"/>
    <w:rsid w:val="702B7E33"/>
    <w:rsid w:val="7037C485"/>
    <w:rsid w:val="7037ECC3"/>
    <w:rsid w:val="7038353E"/>
    <w:rsid w:val="703A258D"/>
    <w:rsid w:val="703E6A09"/>
    <w:rsid w:val="70435DBE"/>
    <w:rsid w:val="7043F8D9"/>
    <w:rsid w:val="704CA265"/>
    <w:rsid w:val="70514D50"/>
    <w:rsid w:val="7052EC81"/>
    <w:rsid w:val="705493BB"/>
    <w:rsid w:val="7056B374"/>
    <w:rsid w:val="7058D88E"/>
    <w:rsid w:val="705E7DE1"/>
    <w:rsid w:val="706B80A5"/>
    <w:rsid w:val="706BCAC2"/>
    <w:rsid w:val="70754860"/>
    <w:rsid w:val="70766032"/>
    <w:rsid w:val="7078EC63"/>
    <w:rsid w:val="707FA8E0"/>
    <w:rsid w:val="708320CA"/>
    <w:rsid w:val="708A271A"/>
    <w:rsid w:val="708AE7AD"/>
    <w:rsid w:val="708F5B1A"/>
    <w:rsid w:val="70931FA2"/>
    <w:rsid w:val="70941B74"/>
    <w:rsid w:val="709B9B30"/>
    <w:rsid w:val="709CBC3A"/>
    <w:rsid w:val="70A0972D"/>
    <w:rsid w:val="70A3AA17"/>
    <w:rsid w:val="70A95B25"/>
    <w:rsid w:val="70AC03A3"/>
    <w:rsid w:val="70AE4813"/>
    <w:rsid w:val="70B488CB"/>
    <w:rsid w:val="70B607D0"/>
    <w:rsid w:val="70B995DF"/>
    <w:rsid w:val="70BBA5C4"/>
    <w:rsid w:val="70BCEC23"/>
    <w:rsid w:val="70BE57B3"/>
    <w:rsid w:val="70C019E8"/>
    <w:rsid w:val="70C30973"/>
    <w:rsid w:val="70C34214"/>
    <w:rsid w:val="70C5C135"/>
    <w:rsid w:val="70CA0D3E"/>
    <w:rsid w:val="70D4F505"/>
    <w:rsid w:val="70D6AFCE"/>
    <w:rsid w:val="70D7C998"/>
    <w:rsid w:val="70DFACED"/>
    <w:rsid w:val="70E029A0"/>
    <w:rsid w:val="70E1CB4F"/>
    <w:rsid w:val="70E64BC5"/>
    <w:rsid w:val="70E8B3F8"/>
    <w:rsid w:val="70E8DCB6"/>
    <w:rsid w:val="70EB7151"/>
    <w:rsid w:val="70EE719D"/>
    <w:rsid w:val="70F1D1B4"/>
    <w:rsid w:val="70F3F522"/>
    <w:rsid w:val="70F46B47"/>
    <w:rsid w:val="70FA402B"/>
    <w:rsid w:val="70FD9AF6"/>
    <w:rsid w:val="70FE09C9"/>
    <w:rsid w:val="70FE9E4C"/>
    <w:rsid w:val="71050C55"/>
    <w:rsid w:val="710FCABB"/>
    <w:rsid w:val="7111D9AF"/>
    <w:rsid w:val="7115B64F"/>
    <w:rsid w:val="711893AF"/>
    <w:rsid w:val="711C02BB"/>
    <w:rsid w:val="711E298D"/>
    <w:rsid w:val="7128A268"/>
    <w:rsid w:val="7129B815"/>
    <w:rsid w:val="712EE476"/>
    <w:rsid w:val="71333EBB"/>
    <w:rsid w:val="71415962"/>
    <w:rsid w:val="7141FEDA"/>
    <w:rsid w:val="71509D8D"/>
    <w:rsid w:val="7152FFCF"/>
    <w:rsid w:val="715C4E1D"/>
    <w:rsid w:val="715EDE9B"/>
    <w:rsid w:val="7162830C"/>
    <w:rsid w:val="71650389"/>
    <w:rsid w:val="71656E5E"/>
    <w:rsid w:val="716BE550"/>
    <w:rsid w:val="716E3046"/>
    <w:rsid w:val="716E9908"/>
    <w:rsid w:val="716F7DA0"/>
    <w:rsid w:val="717110BB"/>
    <w:rsid w:val="7173403D"/>
    <w:rsid w:val="717788B3"/>
    <w:rsid w:val="7178B92F"/>
    <w:rsid w:val="717A4F6F"/>
    <w:rsid w:val="717C4D4C"/>
    <w:rsid w:val="7180C7C7"/>
    <w:rsid w:val="7180D234"/>
    <w:rsid w:val="71830F89"/>
    <w:rsid w:val="718C9823"/>
    <w:rsid w:val="718F24E5"/>
    <w:rsid w:val="71932ECF"/>
    <w:rsid w:val="71946190"/>
    <w:rsid w:val="719AB2A3"/>
    <w:rsid w:val="719EAED9"/>
    <w:rsid w:val="71A71860"/>
    <w:rsid w:val="71B4A37B"/>
    <w:rsid w:val="71B4E6D5"/>
    <w:rsid w:val="71B6026B"/>
    <w:rsid w:val="71BFE83D"/>
    <w:rsid w:val="71C2A651"/>
    <w:rsid w:val="71C96B74"/>
    <w:rsid w:val="71CB9471"/>
    <w:rsid w:val="71CF4DBD"/>
    <w:rsid w:val="71CF56C4"/>
    <w:rsid w:val="71D2D05C"/>
    <w:rsid w:val="71D3806E"/>
    <w:rsid w:val="71D63C65"/>
    <w:rsid w:val="71D66D3C"/>
    <w:rsid w:val="71D7401E"/>
    <w:rsid w:val="71DA3237"/>
    <w:rsid w:val="71DC296B"/>
    <w:rsid w:val="71E682A5"/>
    <w:rsid w:val="71E78A96"/>
    <w:rsid w:val="71EA4392"/>
    <w:rsid w:val="71EA473D"/>
    <w:rsid w:val="71EDF4BB"/>
    <w:rsid w:val="71EFB7EF"/>
    <w:rsid w:val="71F1D8B0"/>
    <w:rsid w:val="71FAC90F"/>
    <w:rsid w:val="71FD2D10"/>
    <w:rsid w:val="72039D63"/>
    <w:rsid w:val="7205D900"/>
    <w:rsid w:val="720F90A8"/>
    <w:rsid w:val="72116695"/>
    <w:rsid w:val="72135820"/>
    <w:rsid w:val="72140004"/>
    <w:rsid w:val="72150B4C"/>
    <w:rsid w:val="7217977D"/>
    <w:rsid w:val="7217AE0C"/>
    <w:rsid w:val="7219AF47"/>
    <w:rsid w:val="7219B124"/>
    <w:rsid w:val="721AA62D"/>
    <w:rsid w:val="721DD691"/>
    <w:rsid w:val="721E3C2F"/>
    <w:rsid w:val="72201553"/>
    <w:rsid w:val="72262C57"/>
    <w:rsid w:val="722EFC9F"/>
    <w:rsid w:val="7230C992"/>
    <w:rsid w:val="7231D00D"/>
    <w:rsid w:val="723976E2"/>
    <w:rsid w:val="723E73E0"/>
    <w:rsid w:val="723EB9CA"/>
    <w:rsid w:val="724159A8"/>
    <w:rsid w:val="724CE168"/>
    <w:rsid w:val="72515583"/>
    <w:rsid w:val="7254C7F1"/>
    <w:rsid w:val="725F6623"/>
    <w:rsid w:val="725F8402"/>
    <w:rsid w:val="7268F2B1"/>
    <w:rsid w:val="726CFDD4"/>
    <w:rsid w:val="72723DCB"/>
    <w:rsid w:val="7275038A"/>
    <w:rsid w:val="727586F8"/>
    <w:rsid w:val="72760DCF"/>
    <w:rsid w:val="727C5FF4"/>
    <w:rsid w:val="7280AE5E"/>
    <w:rsid w:val="728417DF"/>
    <w:rsid w:val="728454DA"/>
    <w:rsid w:val="7285073C"/>
    <w:rsid w:val="7287BB18"/>
    <w:rsid w:val="728AEB39"/>
    <w:rsid w:val="7292D85A"/>
    <w:rsid w:val="729470C0"/>
    <w:rsid w:val="729BD4B8"/>
    <w:rsid w:val="729DCEA2"/>
    <w:rsid w:val="729E214A"/>
    <w:rsid w:val="729E4CF7"/>
    <w:rsid w:val="72A55E20"/>
    <w:rsid w:val="72A5E9DD"/>
    <w:rsid w:val="72A670CB"/>
    <w:rsid w:val="72AC0F26"/>
    <w:rsid w:val="72B30307"/>
    <w:rsid w:val="72B41300"/>
    <w:rsid w:val="72B5F6C4"/>
    <w:rsid w:val="72B75B15"/>
    <w:rsid w:val="72BB861B"/>
    <w:rsid w:val="72BC0B35"/>
    <w:rsid w:val="72BE15D2"/>
    <w:rsid w:val="72BF7762"/>
    <w:rsid w:val="72C86810"/>
    <w:rsid w:val="72CA5A8B"/>
    <w:rsid w:val="72CC5529"/>
    <w:rsid w:val="72D1F601"/>
    <w:rsid w:val="72D2B8FA"/>
    <w:rsid w:val="72DA5011"/>
    <w:rsid w:val="72DB1D3B"/>
    <w:rsid w:val="72DEFA56"/>
    <w:rsid w:val="72DFEC46"/>
    <w:rsid w:val="72E116C0"/>
    <w:rsid w:val="72E19A26"/>
    <w:rsid w:val="72F0F17D"/>
    <w:rsid w:val="72F4B76C"/>
    <w:rsid w:val="72F5E58E"/>
    <w:rsid w:val="72FF209B"/>
    <w:rsid w:val="73001398"/>
    <w:rsid w:val="73029741"/>
    <w:rsid w:val="730B962C"/>
    <w:rsid w:val="730D1363"/>
    <w:rsid w:val="730FA4E0"/>
    <w:rsid w:val="730FFA53"/>
    <w:rsid w:val="7311CC7C"/>
    <w:rsid w:val="73140CA8"/>
    <w:rsid w:val="7316F363"/>
    <w:rsid w:val="73185AA2"/>
    <w:rsid w:val="731A6427"/>
    <w:rsid w:val="731C2613"/>
    <w:rsid w:val="7323E338"/>
    <w:rsid w:val="73244888"/>
    <w:rsid w:val="73296A85"/>
    <w:rsid w:val="732FDAD2"/>
    <w:rsid w:val="733066C8"/>
    <w:rsid w:val="7331D73D"/>
    <w:rsid w:val="7331DD91"/>
    <w:rsid w:val="7338EDE8"/>
    <w:rsid w:val="7344E9EA"/>
    <w:rsid w:val="73458261"/>
    <w:rsid w:val="73466C0F"/>
    <w:rsid w:val="73505775"/>
    <w:rsid w:val="7351D838"/>
    <w:rsid w:val="73531495"/>
    <w:rsid w:val="73561D35"/>
    <w:rsid w:val="7356C78B"/>
    <w:rsid w:val="7358907F"/>
    <w:rsid w:val="735ABFC1"/>
    <w:rsid w:val="735FB2BE"/>
    <w:rsid w:val="7362D18B"/>
    <w:rsid w:val="7365189F"/>
    <w:rsid w:val="736D648E"/>
    <w:rsid w:val="736D6531"/>
    <w:rsid w:val="736DBEAF"/>
    <w:rsid w:val="736EC8CB"/>
    <w:rsid w:val="736F765C"/>
    <w:rsid w:val="736FCB3B"/>
    <w:rsid w:val="737402BC"/>
    <w:rsid w:val="7379A020"/>
    <w:rsid w:val="737DC0CD"/>
    <w:rsid w:val="7387CC66"/>
    <w:rsid w:val="7388B195"/>
    <w:rsid w:val="7395A56E"/>
    <w:rsid w:val="7398F0E9"/>
    <w:rsid w:val="739A8AAE"/>
    <w:rsid w:val="739D243F"/>
    <w:rsid w:val="739F3A81"/>
    <w:rsid w:val="73A71538"/>
    <w:rsid w:val="73A94458"/>
    <w:rsid w:val="73AA8EE7"/>
    <w:rsid w:val="73B415C3"/>
    <w:rsid w:val="73B5D062"/>
    <w:rsid w:val="73B7ADDA"/>
    <w:rsid w:val="73C298BA"/>
    <w:rsid w:val="73CA21D0"/>
    <w:rsid w:val="73CE8F71"/>
    <w:rsid w:val="73D00A85"/>
    <w:rsid w:val="73D10119"/>
    <w:rsid w:val="73E5C7F7"/>
    <w:rsid w:val="73E90B1D"/>
    <w:rsid w:val="73EE32D3"/>
    <w:rsid w:val="73EEFAD9"/>
    <w:rsid w:val="73F3868D"/>
    <w:rsid w:val="73F848DE"/>
    <w:rsid w:val="73FDEBB0"/>
    <w:rsid w:val="73FE34D3"/>
    <w:rsid w:val="7403CF68"/>
    <w:rsid w:val="74085DA5"/>
    <w:rsid w:val="7408DFD9"/>
    <w:rsid w:val="740CA339"/>
    <w:rsid w:val="740FF433"/>
    <w:rsid w:val="74114536"/>
    <w:rsid w:val="7415F739"/>
    <w:rsid w:val="74172E18"/>
    <w:rsid w:val="74197CF1"/>
    <w:rsid w:val="741DD5F2"/>
    <w:rsid w:val="7420209E"/>
    <w:rsid w:val="74272928"/>
    <w:rsid w:val="74294271"/>
    <w:rsid w:val="742C8ADE"/>
    <w:rsid w:val="7435CD0D"/>
    <w:rsid w:val="74370850"/>
    <w:rsid w:val="743B5359"/>
    <w:rsid w:val="744E4D6C"/>
    <w:rsid w:val="74546CD2"/>
    <w:rsid w:val="7456F3CE"/>
    <w:rsid w:val="7458C917"/>
    <w:rsid w:val="7459C90D"/>
    <w:rsid w:val="745A198D"/>
    <w:rsid w:val="745B5F0F"/>
    <w:rsid w:val="745D7C11"/>
    <w:rsid w:val="746224F7"/>
    <w:rsid w:val="7462968F"/>
    <w:rsid w:val="7462EB51"/>
    <w:rsid w:val="74684C8A"/>
    <w:rsid w:val="74694F5A"/>
    <w:rsid w:val="746FA471"/>
    <w:rsid w:val="74735608"/>
    <w:rsid w:val="7475E710"/>
    <w:rsid w:val="74760864"/>
    <w:rsid w:val="747692F0"/>
    <w:rsid w:val="7479DC15"/>
    <w:rsid w:val="747A66C6"/>
    <w:rsid w:val="747AF626"/>
    <w:rsid w:val="747BF7DD"/>
    <w:rsid w:val="747CF9F0"/>
    <w:rsid w:val="7483754F"/>
    <w:rsid w:val="74839018"/>
    <w:rsid w:val="748C0B7B"/>
    <w:rsid w:val="7499D196"/>
    <w:rsid w:val="749D2788"/>
    <w:rsid w:val="74A17CD2"/>
    <w:rsid w:val="74A34D52"/>
    <w:rsid w:val="74A4C084"/>
    <w:rsid w:val="74A581E8"/>
    <w:rsid w:val="74A58A55"/>
    <w:rsid w:val="74AE28E1"/>
    <w:rsid w:val="74AF7F22"/>
    <w:rsid w:val="74B2F07F"/>
    <w:rsid w:val="74BA4165"/>
    <w:rsid w:val="74BC2DCD"/>
    <w:rsid w:val="74BDDDDE"/>
    <w:rsid w:val="74C66448"/>
    <w:rsid w:val="74C90234"/>
    <w:rsid w:val="74D400F1"/>
    <w:rsid w:val="74D41399"/>
    <w:rsid w:val="74D53298"/>
    <w:rsid w:val="74D744E1"/>
    <w:rsid w:val="74DC9447"/>
    <w:rsid w:val="74DD96AE"/>
    <w:rsid w:val="74E06053"/>
    <w:rsid w:val="74E0B657"/>
    <w:rsid w:val="74E2DF75"/>
    <w:rsid w:val="74E6044C"/>
    <w:rsid w:val="74E660E6"/>
    <w:rsid w:val="74E6F987"/>
    <w:rsid w:val="74EA9523"/>
    <w:rsid w:val="74ED89AB"/>
    <w:rsid w:val="74EF37FD"/>
    <w:rsid w:val="74F379C8"/>
    <w:rsid w:val="74FA1F59"/>
    <w:rsid w:val="74FAD7B3"/>
    <w:rsid w:val="74FB44A0"/>
    <w:rsid w:val="74FD2DC0"/>
    <w:rsid w:val="7504917C"/>
    <w:rsid w:val="750D9267"/>
    <w:rsid w:val="750F3024"/>
    <w:rsid w:val="75119961"/>
    <w:rsid w:val="75140479"/>
    <w:rsid w:val="751F2AB6"/>
    <w:rsid w:val="75203240"/>
    <w:rsid w:val="7520BCCE"/>
    <w:rsid w:val="752719C9"/>
    <w:rsid w:val="75306997"/>
    <w:rsid w:val="753655D3"/>
    <w:rsid w:val="7537C7D1"/>
    <w:rsid w:val="75381D95"/>
    <w:rsid w:val="753BD175"/>
    <w:rsid w:val="753F31B6"/>
    <w:rsid w:val="75459E6A"/>
    <w:rsid w:val="7548C8AA"/>
    <w:rsid w:val="7549080D"/>
    <w:rsid w:val="75496BA5"/>
    <w:rsid w:val="754A6CDD"/>
    <w:rsid w:val="754A92FC"/>
    <w:rsid w:val="754AB5E9"/>
    <w:rsid w:val="7551C2A3"/>
    <w:rsid w:val="7552B739"/>
    <w:rsid w:val="75531BD2"/>
    <w:rsid w:val="75599BBE"/>
    <w:rsid w:val="7560C354"/>
    <w:rsid w:val="7561EADC"/>
    <w:rsid w:val="7562F5DB"/>
    <w:rsid w:val="7563448D"/>
    <w:rsid w:val="75638C58"/>
    <w:rsid w:val="75654CAF"/>
    <w:rsid w:val="75664932"/>
    <w:rsid w:val="75683F18"/>
    <w:rsid w:val="7569A45F"/>
    <w:rsid w:val="756EF47D"/>
    <w:rsid w:val="7573B8B6"/>
    <w:rsid w:val="75747DD0"/>
    <w:rsid w:val="7575D5D6"/>
    <w:rsid w:val="757A6170"/>
    <w:rsid w:val="757C3D18"/>
    <w:rsid w:val="757D6DC1"/>
    <w:rsid w:val="75830179"/>
    <w:rsid w:val="7584067B"/>
    <w:rsid w:val="7585BFD7"/>
    <w:rsid w:val="75893901"/>
    <w:rsid w:val="758EA004"/>
    <w:rsid w:val="7597FC6D"/>
    <w:rsid w:val="7599C6A4"/>
    <w:rsid w:val="759B138A"/>
    <w:rsid w:val="759D0B68"/>
    <w:rsid w:val="759E5F4D"/>
    <w:rsid w:val="75A085E8"/>
    <w:rsid w:val="75A73960"/>
    <w:rsid w:val="75A862A5"/>
    <w:rsid w:val="75A9C809"/>
    <w:rsid w:val="75AB5A39"/>
    <w:rsid w:val="75AF1013"/>
    <w:rsid w:val="75AFF2CD"/>
    <w:rsid w:val="75B07F7F"/>
    <w:rsid w:val="75B2446D"/>
    <w:rsid w:val="75B7B963"/>
    <w:rsid w:val="75BC9E3D"/>
    <w:rsid w:val="75BDD8BF"/>
    <w:rsid w:val="75BEEA6D"/>
    <w:rsid w:val="75C191A9"/>
    <w:rsid w:val="75C2693F"/>
    <w:rsid w:val="75C28BA7"/>
    <w:rsid w:val="75C80689"/>
    <w:rsid w:val="75CED6D0"/>
    <w:rsid w:val="75CEE5C7"/>
    <w:rsid w:val="75CF2012"/>
    <w:rsid w:val="75D076D9"/>
    <w:rsid w:val="75D0AB68"/>
    <w:rsid w:val="75D22B20"/>
    <w:rsid w:val="75DCFDD1"/>
    <w:rsid w:val="75E1E26A"/>
    <w:rsid w:val="75E4C21E"/>
    <w:rsid w:val="75EB587D"/>
    <w:rsid w:val="75EB8D70"/>
    <w:rsid w:val="75ED0B74"/>
    <w:rsid w:val="75EF635E"/>
    <w:rsid w:val="75F0EC74"/>
    <w:rsid w:val="75F68255"/>
    <w:rsid w:val="75FA43A9"/>
    <w:rsid w:val="75FBEC3C"/>
    <w:rsid w:val="75FC200D"/>
    <w:rsid w:val="75FF6F11"/>
    <w:rsid w:val="76010D10"/>
    <w:rsid w:val="76014E12"/>
    <w:rsid w:val="7604C08E"/>
    <w:rsid w:val="7606C340"/>
    <w:rsid w:val="760B4D9F"/>
    <w:rsid w:val="760E1A37"/>
    <w:rsid w:val="7612E513"/>
    <w:rsid w:val="761665B2"/>
    <w:rsid w:val="76188965"/>
    <w:rsid w:val="76263B27"/>
    <w:rsid w:val="7627B9C7"/>
    <w:rsid w:val="76286EC8"/>
    <w:rsid w:val="76297605"/>
    <w:rsid w:val="762C296C"/>
    <w:rsid w:val="762FAACB"/>
    <w:rsid w:val="7635856E"/>
    <w:rsid w:val="763879D0"/>
    <w:rsid w:val="763905AF"/>
    <w:rsid w:val="763E87D8"/>
    <w:rsid w:val="763F2EDD"/>
    <w:rsid w:val="7644CA65"/>
    <w:rsid w:val="764649FD"/>
    <w:rsid w:val="76483E30"/>
    <w:rsid w:val="764F3F5C"/>
    <w:rsid w:val="76507AAA"/>
    <w:rsid w:val="7650DB68"/>
    <w:rsid w:val="765D681F"/>
    <w:rsid w:val="765ED791"/>
    <w:rsid w:val="765F8E83"/>
    <w:rsid w:val="7664A4BF"/>
    <w:rsid w:val="766BAFE2"/>
    <w:rsid w:val="766E29C3"/>
    <w:rsid w:val="766E8710"/>
    <w:rsid w:val="766EBEDF"/>
    <w:rsid w:val="766FE9DD"/>
    <w:rsid w:val="7677F2E3"/>
    <w:rsid w:val="767BFA06"/>
    <w:rsid w:val="767F31C2"/>
    <w:rsid w:val="767F3B5D"/>
    <w:rsid w:val="768143AC"/>
    <w:rsid w:val="7681802C"/>
    <w:rsid w:val="768847E6"/>
    <w:rsid w:val="768C42C4"/>
    <w:rsid w:val="768E9476"/>
    <w:rsid w:val="769091EB"/>
    <w:rsid w:val="76917B25"/>
    <w:rsid w:val="76939766"/>
    <w:rsid w:val="76978B46"/>
    <w:rsid w:val="769C14CA"/>
    <w:rsid w:val="76A15198"/>
    <w:rsid w:val="76A5F2EB"/>
    <w:rsid w:val="76A8DC69"/>
    <w:rsid w:val="76AFC0FE"/>
    <w:rsid w:val="76B55C7A"/>
    <w:rsid w:val="76B86323"/>
    <w:rsid w:val="76B96FA5"/>
    <w:rsid w:val="76BA32A2"/>
    <w:rsid w:val="76BBBE98"/>
    <w:rsid w:val="76BBE858"/>
    <w:rsid w:val="76C026F2"/>
    <w:rsid w:val="76C3ABD9"/>
    <w:rsid w:val="76C864A5"/>
    <w:rsid w:val="76CB445C"/>
    <w:rsid w:val="76CB8AE3"/>
    <w:rsid w:val="76CD2B26"/>
    <w:rsid w:val="76D3E4A0"/>
    <w:rsid w:val="76D44D84"/>
    <w:rsid w:val="76DDBE33"/>
    <w:rsid w:val="76E06484"/>
    <w:rsid w:val="76E29E41"/>
    <w:rsid w:val="76E421C7"/>
    <w:rsid w:val="76E7D6DD"/>
    <w:rsid w:val="76E86565"/>
    <w:rsid w:val="76EAA2C7"/>
    <w:rsid w:val="76EBA61B"/>
    <w:rsid w:val="76F3E9A5"/>
    <w:rsid w:val="76F9873A"/>
    <w:rsid w:val="76F9D2E5"/>
    <w:rsid w:val="76FF6088"/>
    <w:rsid w:val="76FF7F1B"/>
    <w:rsid w:val="7709EA47"/>
    <w:rsid w:val="770E8972"/>
    <w:rsid w:val="7716B019"/>
    <w:rsid w:val="771B318D"/>
    <w:rsid w:val="771CE541"/>
    <w:rsid w:val="771D6E48"/>
    <w:rsid w:val="772197D1"/>
    <w:rsid w:val="7721D0AB"/>
    <w:rsid w:val="772677EF"/>
    <w:rsid w:val="7726789D"/>
    <w:rsid w:val="77281344"/>
    <w:rsid w:val="7729145D"/>
    <w:rsid w:val="772A32D4"/>
    <w:rsid w:val="772F09B2"/>
    <w:rsid w:val="7730D5B5"/>
    <w:rsid w:val="77360D15"/>
    <w:rsid w:val="773DA013"/>
    <w:rsid w:val="77404F7D"/>
    <w:rsid w:val="77407845"/>
    <w:rsid w:val="774396D5"/>
    <w:rsid w:val="7744BAC6"/>
    <w:rsid w:val="774B0697"/>
    <w:rsid w:val="774BCF7F"/>
    <w:rsid w:val="774F5255"/>
    <w:rsid w:val="774F8869"/>
    <w:rsid w:val="775057E3"/>
    <w:rsid w:val="77556788"/>
    <w:rsid w:val="7757C1D8"/>
    <w:rsid w:val="775E5AF9"/>
    <w:rsid w:val="775EF6BF"/>
    <w:rsid w:val="77633B8A"/>
    <w:rsid w:val="77644962"/>
    <w:rsid w:val="7769584F"/>
    <w:rsid w:val="777E5617"/>
    <w:rsid w:val="778127B8"/>
    <w:rsid w:val="77844074"/>
    <w:rsid w:val="77875339"/>
    <w:rsid w:val="7788A6B6"/>
    <w:rsid w:val="778A3AEF"/>
    <w:rsid w:val="778D982A"/>
    <w:rsid w:val="778DE35D"/>
    <w:rsid w:val="77900FF4"/>
    <w:rsid w:val="7792C9B2"/>
    <w:rsid w:val="77930A24"/>
    <w:rsid w:val="77938E4E"/>
    <w:rsid w:val="77983FA2"/>
    <w:rsid w:val="779B682F"/>
    <w:rsid w:val="779CFE6E"/>
    <w:rsid w:val="77AC7C71"/>
    <w:rsid w:val="77B41E3A"/>
    <w:rsid w:val="77B4E7C9"/>
    <w:rsid w:val="77B62A5D"/>
    <w:rsid w:val="77BA2954"/>
    <w:rsid w:val="77BBD1CC"/>
    <w:rsid w:val="77BD0C1B"/>
    <w:rsid w:val="77C2B36E"/>
    <w:rsid w:val="77C2CEEA"/>
    <w:rsid w:val="77C50533"/>
    <w:rsid w:val="77C650D0"/>
    <w:rsid w:val="77CBC63C"/>
    <w:rsid w:val="77CEB64B"/>
    <w:rsid w:val="77CF63B5"/>
    <w:rsid w:val="77D1E38F"/>
    <w:rsid w:val="77D2E1C1"/>
    <w:rsid w:val="77D38925"/>
    <w:rsid w:val="77DD3B5C"/>
    <w:rsid w:val="77E007E1"/>
    <w:rsid w:val="77E0D482"/>
    <w:rsid w:val="77E6E4B5"/>
    <w:rsid w:val="77EA0FB9"/>
    <w:rsid w:val="77EA1241"/>
    <w:rsid w:val="77EDD1B5"/>
    <w:rsid w:val="77EE0388"/>
    <w:rsid w:val="77EF4A4A"/>
    <w:rsid w:val="77F08B1C"/>
    <w:rsid w:val="77FF6C35"/>
    <w:rsid w:val="780418A7"/>
    <w:rsid w:val="78052ED1"/>
    <w:rsid w:val="78080539"/>
    <w:rsid w:val="780F37E6"/>
    <w:rsid w:val="78121CD3"/>
    <w:rsid w:val="7812E9DD"/>
    <w:rsid w:val="7815F9BC"/>
    <w:rsid w:val="781E1AC0"/>
    <w:rsid w:val="781FE2AA"/>
    <w:rsid w:val="7821670F"/>
    <w:rsid w:val="782247EA"/>
    <w:rsid w:val="78237B69"/>
    <w:rsid w:val="782C3E9C"/>
    <w:rsid w:val="782CE1E0"/>
    <w:rsid w:val="782F75CD"/>
    <w:rsid w:val="782FFB4E"/>
    <w:rsid w:val="78314A3C"/>
    <w:rsid w:val="7837D6A4"/>
    <w:rsid w:val="7838C382"/>
    <w:rsid w:val="783FACE0"/>
    <w:rsid w:val="7841C4C2"/>
    <w:rsid w:val="78422078"/>
    <w:rsid w:val="78429323"/>
    <w:rsid w:val="784DAEA6"/>
    <w:rsid w:val="784E12C7"/>
    <w:rsid w:val="78512AC1"/>
    <w:rsid w:val="785E357A"/>
    <w:rsid w:val="7861EFC5"/>
    <w:rsid w:val="7862E29D"/>
    <w:rsid w:val="7867FB42"/>
    <w:rsid w:val="78680B0E"/>
    <w:rsid w:val="78688C7A"/>
    <w:rsid w:val="786895AC"/>
    <w:rsid w:val="786916B2"/>
    <w:rsid w:val="7872023E"/>
    <w:rsid w:val="78730C3A"/>
    <w:rsid w:val="787A4056"/>
    <w:rsid w:val="787AA3D9"/>
    <w:rsid w:val="787AB430"/>
    <w:rsid w:val="7883E838"/>
    <w:rsid w:val="78854DE2"/>
    <w:rsid w:val="788A65BE"/>
    <w:rsid w:val="788DA742"/>
    <w:rsid w:val="788DA8E4"/>
    <w:rsid w:val="788DCCDC"/>
    <w:rsid w:val="788E30D2"/>
    <w:rsid w:val="788F1FD8"/>
    <w:rsid w:val="7891F3A2"/>
    <w:rsid w:val="78931277"/>
    <w:rsid w:val="78938C72"/>
    <w:rsid w:val="7898E82E"/>
    <w:rsid w:val="789DC284"/>
    <w:rsid w:val="78A0BA4F"/>
    <w:rsid w:val="78A422E1"/>
    <w:rsid w:val="78AD9F3D"/>
    <w:rsid w:val="78B0B031"/>
    <w:rsid w:val="78B2B437"/>
    <w:rsid w:val="78B3457E"/>
    <w:rsid w:val="78B6043A"/>
    <w:rsid w:val="78BED893"/>
    <w:rsid w:val="78C03672"/>
    <w:rsid w:val="78CD1F04"/>
    <w:rsid w:val="78CD332F"/>
    <w:rsid w:val="78CD5BFF"/>
    <w:rsid w:val="78CD670A"/>
    <w:rsid w:val="78D1CB93"/>
    <w:rsid w:val="78D210EC"/>
    <w:rsid w:val="78D89183"/>
    <w:rsid w:val="78E64294"/>
    <w:rsid w:val="78E9424E"/>
    <w:rsid w:val="78EE8E1D"/>
    <w:rsid w:val="78EFC723"/>
    <w:rsid w:val="78F09495"/>
    <w:rsid w:val="78F0DA4A"/>
    <w:rsid w:val="78F5B67A"/>
    <w:rsid w:val="7905C0F6"/>
    <w:rsid w:val="790A2F55"/>
    <w:rsid w:val="790A655E"/>
    <w:rsid w:val="790B672B"/>
    <w:rsid w:val="79113675"/>
    <w:rsid w:val="791149AB"/>
    <w:rsid w:val="79114E25"/>
    <w:rsid w:val="7912C4E1"/>
    <w:rsid w:val="7914EC77"/>
    <w:rsid w:val="791C101F"/>
    <w:rsid w:val="791E9056"/>
    <w:rsid w:val="791F748E"/>
    <w:rsid w:val="792460B3"/>
    <w:rsid w:val="79282BD0"/>
    <w:rsid w:val="79285383"/>
    <w:rsid w:val="792873B4"/>
    <w:rsid w:val="792A273D"/>
    <w:rsid w:val="792DE59B"/>
    <w:rsid w:val="79332F39"/>
    <w:rsid w:val="79355DC4"/>
    <w:rsid w:val="79357755"/>
    <w:rsid w:val="79390E88"/>
    <w:rsid w:val="793BD58E"/>
    <w:rsid w:val="793D6E0E"/>
    <w:rsid w:val="7946746C"/>
    <w:rsid w:val="7946A827"/>
    <w:rsid w:val="794B249B"/>
    <w:rsid w:val="794C1835"/>
    <w:rsid w:val="794D7282"/>
    <w:rsid w:val="795572A2"/>
    <w:rsid w:val="79578509"/>
    <w:rsid w:val="795B00B8"/>
    <w:rsid w:val="795FC459"/>
    <w:rsid w:val="79617AEC"/>
    <w:rsid w:val="79620B30"/>
    <w:rsid w:val="7965DB9E"/>
    <w:rsid w:val="7969592F"/>
    <w:rsid w:val="7970CF42"/>
    <w:rsid w:val="7976BB3D"/>
    <w:rsid w:val="797E4ED6"/>
    <w:rsid w:val="79837332"/>
    <w:rsid w:val="7984A115"/>
    <w:rsid w:val="79882699"/>
    <w:rsid w:val="7988731A"/>
    <w:rsid w:val="798AC765"/>
    <w:rsid w:val="798C2822"/>
    <w:rsid w:val="798CB0FA"/>
    <w:rsid w:val="798DF755"/>
    <w:rsid w:val="798E0EE2"/>
    <w:rsid w:val="798F40B3"/>
    <w:rsid w:val="79909267"/>
    <w:rsid w:val="79972A36"/>
    <w:rsid w:val="799B3D13"/>
    <w:rsid w:val="79A1B2B0"/>
    <w:rsid w:val="79A37127"/>
    <w:rsid w:val="79A50A66"/>
    <w:rsid w:val="79A8F270"/>
    <w:rsid w:val="79A946C2"/>
    <w:rsid w:val="79A975C6"/>
    <w:rsid w:val="79B4D38A"/>
    <w:rsid w:val="79B5726A"/>
    <w:rsid w:val="79B639E1"/>
    <w:rsid w:val="79B79946"/>
    <w:rsid w:val="79C0F6EF"/>
    <w:rsid w:val="79C49C92"/>
    <w:rsid w:val="79C4C0DF"/>
    <w:rsid w:val="79CEB95D"/>
    <w:rsid w:val="79CF3B65"/>
    <w:rsid w:val="79D31863"/>
    <w:rsid w:val="79D38425"/>
    <w:rsid w:val="79D38672"/>
    <w:rsid w:val="79D46AB6"/>
    <w:rsid w:val="79D53D2F"/>
    <w:rsid w:val="79D67D5A"/>
    <w:rsid w:val="79D8A574"/>
    <w:rsid w:val="79DFD617"/>
    <w:rsid w:val="79E04A38"/>
    <w:rsid w:val="79E2CB38"/>
    <w:rsid w:val="79E4E7F9"/>
    <w:rsid w:val="79E64E04"/>
    <w:rsid w:val="79EC26C6"/>
    <w:rsid w:val="79ED9F22"/>
    <w:rsid w:val="79F15F70"/>
    <w:rsid w:val="79F911B3"/>
    <w:rsid w:val="79FA482B"/>
    <w:rsid w:val="7A001869"/>
    <w:rsid w:val="7A075E53"/>
    <w:rsid w:val="7A0F65EA"/>
    <w:rsid w:val="7A116F87"/>
    <w:rsid w:val="7A186B83"/>
    <w:rsid w:val="7A1CD5FA"/>
    <w:rsid w:val="7A1DDFA0"/>
    <w:rsid w:val="7A2188B5"/>
    <w:rsid w:val="7A293EEE"/>
    <w:rsid w:val="7A29D0F3"/>
    <w:rsid w:val="7A2B9502"/>
    <w:rsid w:val="7A2C3792"/>
    <w:rsid w:val="7A2E2103"/>
    <w:rsid w:val="7A2F9463"/>
    <w:rsid w:val="7A300608"/>
    <w:rsid w:val="7A32243E"/>
    <w:rsid w:val="7A4040EB"/>
    <w:rsid w:val="7A4091E8"/>
    <w:rsid w:val="7A4A4E98"/>
    <w:rsid w:val="7A4C4AE8"/>
    <w:rsid w:val="7A4F69EC"/>
    <w:rsid w:val="7A519D68"/>
    <w:rsid w:val="7A580BC1"/>
    <w:rsid w:val="7A599AC3"/>
    <w:rsid w:val="7A5C54E7"/>
    <w:rsid w:val="7A5FBA7E"/>
    <w:rsid w:val="7A68C8B7"/>
    <w:rsid w:val="7A6CF669"/>
    <w:rsid w:val="7A702E31"/>
    <w:rsid w:val="7A77548D"/>
    <w:rsid w:val="7A7866DF"/>
    <w:rsid w:val="7A7F18EA"/>
    <w:rsid w:val="7A823B2A"/>
    <w:rsid w:val="7A86DF9D"/>
    <w:rsid w:val="7A8730B4"/>
    <w:rsid w:val="7A90CA40"/>
    <w:rsid w:val="7A917914"/>
    <w:rsid w:val="7A9513E5"/>
    <w:rsid w:val="7A99797D"/>
    <w:rsid w:val="7A99FE08"/>
    <w:rsid w:val="7A9F542D"/>
    <w:rsid w:val="7AA080EA"/>
    <w:rsid w:val="7AA74F0D"/>
    <w:rsid w:val="7AA9EDAD"/>
    <w:rsid w:val="7AAA2BCE"/>
    <w:rsid w:val="7AACF9C5"/>
    <w:rsid w:val="7AAED07E"/>
    <w:rsid w:val="7AAF6F1A"/>
    <w:rsid w:val="7AB377DC"/>
    <w:rsid w:val="7AB6E2EA"/>
    <w:rsid w:val="7AB755E2"/>
    <w:rsid w:val="7AB79035"/>
    <w:rsid w:val="7AB82A8A"/>
    <w:rsid w:val="7ABA2686"/>
    <w:rsid w:val="7ABBE331"/>
    <w:rsid w:val="7ABD11F2"/>
    <w:rsid w:val="7ABF3A34"/>
    <w:rsid w:val="7AC13132"/>
    <w:rsid w:val="7AC15B3F"/>
    <w:rsid w:val="7ACEDD74"/>
    <w:rsid w:val="7ACF556A"/>
    <w:rsid w:val="7ACF9194"/>
    <w:rsid w:val="7AD1B602"/>
    <w:rsid w:val="7AD629E4"/>
    <w:rsid w:val="7AD9D386"/>
    <w:rsid w:val="7AE8FE93"/>
    <w:rsid w:val="7AEC5539"/>
    <w:rsid w:val="7AEF3964"/>
    <w:rsid w:val="7AEFB29B"/>
    <w:rsid w:val="7AF0DF33"/>
    <w:rsid w:val="7AF9CDA8"/>
    <w:rsid w:val="7AFADE31"/>
    <w:rsid w:val="7AFE364B"/>
    <w:rsid w:val="7B0037DA"/>
    <w:rsid w:val="7B00F5CC"/>
    <w:rsid w:val="7B0237C2"/>
    <w:rsid w:val="7B0619B3"/>
    <w:rsid w:val="7B092733"/>
    <w:rsid w:val="7B09A2B3"/>
    <w:rsid w:val="7B0A3D03"/>
    <w:rsid w:val="7B0FCD54"/>
    <w:rsid w:val="7B16109F"/>
    <w:rsid w:val="7B1634C9"/>
    <w:rsid w:val="7B19F4A9"/>
    <w:rsid w:val="7B1B8A8E"/>
    <w:rsid w:val="7B1D14D0"/>
    <w:rsid w:val="7B1E04FB"/>
    <w:rsid w:val="7B219948"/>
    <w:rsid w:val="7B230F0D"/>
    <w:rsid w:val="7B251884"/>
    <w:rsid w:val="7B2665CC"/>
    <w:rsid w:val="7B289A17"/>
    <w:rsid w:val="7B2EDA31"/>
    <w:rsid w:val="7B3271FB"/>
    <w:rsid w:val="7B347D7F"/>
    <w:rsid w:val="7B358AB6"/>
    <w:rsid w:val="7B38A266"/>
    <w:rsid w:val="7B395A2C"/>
    <w:rsid w:val="7B458111"/>
    <w:rsid w:val="7B485AD3"/>
    <w:rsid w:val="7B4F2F03"/>
    <w:rsid w:val="7B50C61A"/>
    <w:rsid w:val="7B544CB3"/>
    <w:rsid w:val="7B622EC4"/>
    <w:rsid w:val="7B625400"/>
    <w:rsid w:val="7B62773F"/>
    <w:rsid w:val="7B64AD5D"/>
    <w:rsid w:val="7B65247A"/>
    <w:rsid w:val="7B68DD6D"/>
    <w:rsid w:val="7B6C01BF"/>
    <w:rsid w:val="7B6F8BED"/>
    <w:rsid w:val="7B7609A0"/>
    <w:rsid w:val="7B7758A6"/>
    <w:rsid w:val="7B787811"/>
    <w:rsid w:val="7B7E1199"/>
    <w:rsid w:val="7B7E3BD4"/>
    <w:rsid w:val="7B7E7A9A"/>
    <w:rsid w:val="7B802048"/>
    <w:rsid w:val="7B829F82"/>
    <w:rsid w:val="7B85822F"/>
    <w:rsid w:val="7B8B0729"/>
    <w:rsid w:val="7B905500"/>
    <w:rsid w:val="7B9F0EC7"/>
    <w:rsid w:val="7BAD6A27"/>
    <w:rsid w:val="7BB03FBF"/>
    <w:rsid w:val="7BB060FE"/>
    <w:rsid w:val="7BB1A5B4"/>
    <w:rsid w:val="7BB60D23"/>
    <w:rsid w:val="7BBB2FCC"/>
    <w:rsid w:val="7BBDCEBB"/>
    <w:rsid w:val="7BBF2662"/>
    <w:rsid w:val="7BC00FE9"/>
    <w:rsid w:val="7BC2DA4C"/>
    <w:rsid w:val="7BC365E9"/>
    <w:rsid w:val="7BC83036"/>
    <w:rsid w:val="7BC94EB7"/>
    <w:rsid w:val="7BCAFB0E"/>
    <w:rsid w:val="7BCCDC25"/>
    <w:rsid w:val="7BCEBB49"/>
    <w:rsid w:val="7BD06D03"/>
    <w:rsid w:val="7BD11FD4"/>
    <w:rsid w:val="7BD20CD8"/>
    <w:rsid w:val="7BD4DC85"/>
    <w:rsid w:val="7BDB43BC"/>
    <w:rsid w:val="7BDB6D2F"/>
    <w:rsid w:val="7BE23908"/>
    <w:rsid w:val="7BE85906"/>
    <w:rsid w:val="7BE93008"/>
    <w:rsid w:val="7BE953AB"/>
    <w:rsid w:val="7BEFCE6A"/>
    <w:rsid w:val="7BF60BC8"/>
    <w:rsid w:val="7BFCB772"/>
    <w:rsid w:val="7C08960D"/>
    <w:rsid w:val="7C08C959"/>
    <w:rsid w:val="7C0CAFA8"/>
    <w:rsid w:val="7C112F98"/>
    <w:rsid w:val="7C11EA4C"/>
    <w:rsid w:val="7C1414CD"/>
    <w:rsid w:val="7C16CB1B"/>
    <w:rsid w:val="7C1E66F5"/>
    <w:rsid w:val="7C24862B"/>
    <w:rsid w:val="7C25E634"/>
    <w:rsid w:val="7C28DFA5"/>
    <w:rsid w:val="7C2C2302"/>
    <w:rsid w:val="7C2E1854"/>
    <w:rsid w:val="7C2FB0C0"/>
    <w:rsid w:val="7C340847"/>
    <w:rsid w:val="7C3465F0"/>
    <w:rsid w:val="7C353FA2"/>
    <w:rsid w:val="7C3EC239"/>
    <w:rsid w:val="7C3EDA53"/>
    <w:rsid w:val="7C4338A8"/>
    <w:rsid w:val="7C43A74E"/>
    <w:rsid w:val="7C45048A"/>
    <w:rsid w:val="7C467A69"/>
    <w:rsid w:val="7C475CBB"/>
    <w:rsid w:val="7C4A904D"/>
    <w:rsid w:val="7C4BFE23"/>
    <w:rsid w:val="7C4CE389"/>
    <w:rsid w:val="7C4CF617"/>
    <w:rsid w:val="7C4E8C37"/>
    <w:rsid w:val="7C5932F1"/>
    <w:rsid w:val="7C5D30D5"/>
    <w:rsid w:val="7C5D6C82"/>
    <w:rsid w:val="7C5EFD9A"/>
    <w:rsid w:val="7C5F3FE6"/>
    <w:rsid w:val="7C5F6DFD"/>
    <w:rsid w:val="7C61FBD9"/>
    <w:rsid w:val="7C64CBF1"/>
    <w:rsid w:val="7C657327"/>
    <w:rsid w:val="7C65E907"/>
    <w:rsid w:val="7C69A4A1"/>
    <w:rsid w:val="7C6A9ACA"/>
    <w:rsid w:val="7C712178"/>
    <w:rsid w:val="7C73764E"/>
    <w:rsid w:val="7C746D90"/>
    <w:rsid w:val="7C748E04"/>
    <w:rsid w:val="7C79FA5A"/>
    <w:rsid w:val="7C7B2F41"/>
    <w:rsid w:val="7C7E2838"/>
    <w:rsid w:val="7C817379"/>
    <w:rsid w:val="7C830407"/>
    <w:rsid w:val="7C831B21"/>
    <w:rsid w:val="7C8394BF"/>
    <w:rsid w:val="7C864104"/>
    <w:rsid w:val="7C880651"/>
    <w:rsid w:val="7C8859ED"/>
    <w:rsid w:val="7C8A79E7"/>
    <w:rsid w:val="7C95C6BF"/>
    <w:rsid w:val="7C967281"/>
    <w:rsid w:val="7C9840D0"/>
    <w:rsid w:val="7C98C416"/>
    <w:rsid w:val="7CA5E867"/>
    <w:rsid w:val="7CAA25C9"/>
    <w:rsid w:val="7CAD2900"/>
    <w:rsid w:val="7CB0BF6B"/>
    <w:rsid w:val="7CB9CEAD"/>
    <w:rsid w:val="7CBB20D7"/>
    <w:rsid w:val="7CBBFA1F"/>
    <w:rsid w:val="7CBEA3FE"/>
    <w:rsid w:val="7CC03714"/>
    <w:rsid w:val="7CC663DA"/>
    <w:rsid w:val="7CC8740B"/>
    <w:rsid w:val="7CCA41E8"/>
    <w:rsid w:val="7CCC15E0"/>
    <w:rsid w:val="7CCCDDDB"/>
    <w:rsid w:val="7CCFDB46"/>
    <w:rsid w:val="7CCFEBE5"/>
    <w:rsid w:val="7CD37F31"/>
    <w:rsid w:val="7CD39487"/>
    <w:rsid w:val="7CD3BEE5"/>
    <w:rsid w:val="7CD6D466"/>
    <w:rsid w:val="7CDA29FE"/>
    <w:rsid w:val="7CDE2B67"/>
    <w:rsid w:val="7CE31D29"/>
    <w:rsid w:val="7CE3565C"/>
    <w:rsid w:val="7CE60534"/>
    <w:rsid w:val="7CE88834"/>
    <w:rsid w:val="7CEB5B6D"/>
    <w:rsid w:val="7CECEB51"/>
    <w:rsid w:val="7CEE064C"/>
    <w:rsid w:val="7CFBD2B8"/>
    <w:rsid w:val="7CFE8ABA"/>
    <w:rsid w:val="7CFEA022"/>
    <w:rsid w:val="7CFFE9D5"/>
    <w:rsid w:val="7D021A9A"/>
    <w:rsid w:val="7D0676B1"/>
    <w:rsid w:val="7D073056"/>
    <w:rsid w:val="7D081B73"/>
    <w:rsid w:val="7D0A91F0"/>
    <w:rsid w:val="7D0C26AF"/>
    <w:rsid w:val="7D0C917F"/>
    <w:rsid w:val="7D0D440A"/>
    <w:rsid w:val="7D0EB932"/>
    <w:rsid w:val="7D110C35"/>
    <w:rsid w:val="7D1E96E1"/>
    <w:rsid w:val="7D3AB4C2"/>
    <w:rsid w:val="7D3D7ED7"/>
    <w:rsid w:val="7D40DC7E"/>
    <w:rsid w:val="7D45B0F5"/>
    <w:rsid w:val="7D46DC2C"/>
    <w:rsid w:val="7D4E8FBB"/>
    <w:rsid w:val="7D508832"/>
    <w:rsid w:val="7D50A05B"/>
    <w:rsid w:val="7D53EAF4"/>
    <w:rsid w:val="7D57068D"/>
    <w:rsid w:val="7D5A628D"/>
    <w:rsid w:val="7D5F1184"/>
    <w:rsid w:val="7D6435BA"/>
    <w:rsid w:val="7D6B0CE7"/>
    <w:rsid w:val="7D6BE689"/>
    <w:rsid w:val="7D798A98"/>
    <w:rsid w:val="7D7BF1E1"/>
    <w:rsid w:val="7D7D28F4"/>
    <w:rsid w:val="7D7E067E"/>
    <w:rsid w:val="7D7FAB47"/>
    <w:rsid w:val="7D81CB6B"/>
    <w:rsid w:val="7D85983C"/>
    <w:rsid w:val="7D87AF6E"/>
    <w:rsid w:val="7D87C60F"/>
    <w:rsid w:val="7D8C3C50"/>
    <w:rsid w:val="7D9097F1"/>
    <w:rsid w:val="7D92D007"/>
    <w:rsid w:val="7D96698E"/>
    <w:rsid w:val="7D9E6294"/>
    <w:rsid w:val="7DA09BA9"/>
    <w:rsid w:val="7DA3173D"/>
    <w:rsid w:val="7DA32E32"/>
    <w:rsid w:val="7DA3D354"/>
    <w:rsid w:val="7DADCD27"/>
    <w:rsid w:val="7DB28921"/>
    <w:rsid w:val="7DB5730F"/>
    <w:rsid w:val="7DBD6562"/>
    <w:rsid w:val="7DC004A1"/>
    <w:rsid w:val="7DC26FBF"/>
    <w:rsid w:val="7DC8F310"/>
    <w:rsid w:val="7DCA83AD"/>
    <w:rsid w:val="7DCCAABB"/>
    <w:rsid w:val="7DCF26EA"/>
    <w:rsid w:val="7DD8EACB"/>
    <w:rsid w:val="7DE070B7"/>
    <w:rsid w:val="7DE20A08"/>
    <w:rsid w:val="7DE37005"/>
    <w:rsid w:val="7DE5C643"/>
    <w:rsid w:val="7DE6345E"/>
    <w:rsid w:val="7DE73A73"/>
    <w:rsid w:val="7DEAD4C5"/>
    <w:rsid w:val="7DED8DB0"/>
    <w:rsid w:val="7DEDEECF"/>
    <w:rsid w:val="7DF129E4"/>
    <w:rsid w:val="7DF3F160"/>
    <w:rsid w:val="7DF61372"/>
    <w:rsid w:val="7DFC3827"/>
    <w:rsid w:val="7DFDE638"/>
    <w:rsid w:val="7E0059E7"/>
    <w:rsid w:val="7E016119"/>
    <w:rsid w:val="7E04961D"/>
    <w:rsid w:val="7E049D5B"/>
    <w:rsid w:val="7E05102F"/>
    <w:rsid w:val="7E059A4B"/>
    <w:rsid w:val="7E0622D9"/>
    <w:rsid w:val="7E06CDFB"/>
    <w:rsid w:val="7E092686"/>
    <w:rsid w:val="7E0A6CD7"/>
    <w:rsid w:val="7E0CC5AB"/>
    <w:rsid w:val="7E112DB7"/>
    <w:rsid w:val="7E128D75"/>
    <w:rsid w:val="7E184A9E"/>
    <w:rsid w:val="7E1D9121"/>
    <w:rsid w:val="7E1EF93B"/>
    <w:rsid w:val="7E202C4D"/>
    <w:rsid w:val="7E28985E"/>
    <w:rsid w:val="7E2947A2"/>
    <w:rsid w:val="7E375E11"/>
    <w:rsid w:val="7E38B195"/>
    <w:rsid w:val="7E39E577"/>
    <w:rsid w:val="7E3B01FE"/>
    <w:rsid w:val="7E3BF122"/>
    <w:rsid w:val="7E3CBDDB"/>
    <w:rsid w:val="7E3FF41A"/>
    <w:rsid w:val="7E41D038"/>
    <w:rsid w:val="7E420D70"/>
    <w:rsid w:val="7E4BE6BC"/>
    <w:rsid w:val="7E4DA452"/>
    <w:rsid w:val="7E5249EB"/>
    <w:rsid w:val="7E579FE6"/>
    <w:rsid w:val="7E59B4AC"/>
    <w:rsid w:val="7E5C32C9"/>
    <w:rsid w:val="7E6009F1"/>
    <w:rsid w:val="7E62D492"/>
    <w:rsid w:val="7E66CE26"/>
    <w:rsid w:val="7E66F054"/>
    <w:rsid w:val="7E6768AE"/>
    <w:rsid w:val="7E68241A"/>
    <w:rsid w:val="7E6932E3"/>
    <w:rsid w:val="7E6AFB00"/>
    <w:rsid w:val="7E6EA256"/>
    <w:rsid w:val="7E711266"/>
    <w:rsid w:val="7E738CCE"/>
    <w:rsid w:val="7E7D8768"/>
    <w:rsid w:val="7E843F6C"/>
    <w:rsid w:val="7E844E82"/>
    <w:rsid w:val="7E8B9AB2"/>
    <w:rsid w:val="7E8BDF45"/>
    <w:rsid w:val="7E8DE486"/>
    <w:rsid w:val="7E8EB1D2"/>
    <w:rsid w:val="7E8FC89A"/>
    <w:rsid w:val="7E90A5CC"/>
    <w:rsid w:val="7E90EEF0"/>
    <w:rsid w:val="7E91C70E"/>
    <w:rsid w:val="7E963B3A"/>
    <w:rsid w:val="7E983972"/>
    <w:rsid w:val="7E9939EA"/>
    <w:rsid w:val="7E99CFF8"/>
    <w:rsid w:val="7EA062C4"/>
    <w:rsid w:val="7EA18A3C"/>
    <w:rsid w:val="7EA30F5C"/>
    <w:rsid w:val="7EA7BD08"/>
    <w:rsid w:val="7EA8EBA4"/>
    <w:rsid w:val="7EA98249"/>
    <w:rsid w:val="7EAA8CA4"/>
    <w:rsid w:val="7EAAB2A7"/>
    <w:rsid w:val="7EB2FEE2"/>
    <w:rsid w:val="7EB3102F"/>
    <w:rsid w:val="7EB48526"/>
    <w:rsid w:val="7EB5E872"/>
    <w:rsid w:val="7EB83523"/>
    <w:rsid w:val="7EC67278"/>
    <w:rsid w:val="7EC823FD"/>
    <w:rsid w:val="7EC9509D"/>
    <w:rsid w:val="7EC9B212"/>
    <w:rsid w:val="7ECB23EA"/>
    <w:rsid w:val="7ECEF46B"/>
    <w:rsid w:val="7ED5143C"/>
    <w:rsid w:val="7ED6C550"/>
    <w:rsid w:val="7ED73488"/>
    <w:rsid w:val="7EDC1112"/>
    <w:rsid w:val="7EDD11E3"/>
    <w:rsid w:val="7EE16D4B"/>
    <w:rsid w:val="7EE22AED"/>
    <w:rsid w:val="7EE30F85"/>
    <w:rsid w:val="7EE48F65"/>
    <w:rsid w:val="7EE4D474"/>
    <w:rsid w:val="7EE575E6"/>
    <w:rsid w:val="7EEB0C7A"/>
    <w:rsid w:val="7EEF3FD6"/>
    <w:rsid w:val="7EF3E238"/>
    <w:rsid w:val="7EF5DAFA"/>
    <w:rsid w:val="7EFA435D"/>
    <w:rsid w:val="7EFBB6DE"/>
    <w:rsid w:val="7F0116AC"/>
    <w:rsid w:val="7F079F50"/>
    <w:rsid w:val="7F08A716"/>
    <w:rsid w:val="7F0C763D"/>
    <w:rsid w:val="7F11D017"/>
    <w:rsid w:val="7F1373AB"/>
    <w:rsid w:val="7F14E8EA"/>
    <w:rsid w:val="7F19C95B"/>
    <w:rsid w:val="7F1AF2E5"/>
    <w:rsid w:val="7F1B7FAA"/>
    <w:rsid w:val="7F1C707C"/>
    <w:rsid w:val="7F1FE084"/>
    <w:rsid w:val="7F295895"/>
    <w:rsid w:val="7F2A2EB3"/>
    <w:rsid w:val="7F2B9625"/>
    <w:rsid w:val="7F2BE8D3"/>
    <w:rsid w:val="7F302BA6"/>
    <w:rsid w:val="7F34DACB"/>
    <w:rsid w:val="7F37DAA0"/>
    <w:rsid w:val="7F37EC6C"/>
    <w:rsid w:val="7F389523"/>
    <w:rsid w:val="7F38F37D"/>
    <w:rsid w:val="7F414916"/>
    <w:rsid w:val="7F42C701"/>
    <w:rsid w:val="7F49771E"/>
    <w:rsid w:val="7F4A0ECA"/>
    <w:rsid w:val="7F4A49C9"/>
    <w:rsid w:val="7F527111"/>
    <w:rsid w:val="7F542C91"/>
    <w:rsid w:val="7F57F8C0"/>
    <w:rsid w:val="7F58660E"/>
    <w:rsid w:val="7F6156A2"/>
    <w:rsid w:val="7F644521"/>
    <w:rsid w:val="7F68C13A"/>
    <w:rsid w:val="7F6DD9BE"/>
    <w:rsid w:val="7F703B0E"/>
    <w:rsid w:val="7F74EE60"/>
    <w:rsid w:val="7F791F02"/>
    <w:rsid w:val="7F794873"/>
    <w:rsid w:val="7F7AFFA9"/>
    <w:rsid w:val="7F801DB8"/>
    <w:rsid w:val="7F820084"/>
    <w:rsid w:val="7F856B7F"/>
    <w:rsid w:val="7F940EAD"/>
    <w:rsid w:val="7F97807D"/>
    <w:rsid w:val="7F9C3F50"/>
    <w:rsid w:val="7F9EB5ED"/>
    <w:rsid w:val="7FA21A36"/>
    <w:rsid w:val="7FA611AE"/>
    <w:rsid w:val="7FAB11B3"/>
    <w:rsid w:val="7FAB6469"/>
    <w:rsid w:val="7FAFE38E"/>
    <w:rsid w:val="7FB0C8C5"/>
    <w:rsid w:val="7FB99CF2"/>
    <w:rsid w:val="7FB9FC8F"/>
    <w:rsid w:val="7FBAED1F"/>
    <w:rsid w:val="7FC1D3D0"/>
    <w:rsid w:val="7FC3ABB2"/>
    <w:rsid w:val="7FC635C2"/>
    <w:rsid w:val="7FCCE59F"/>
    <w:rsid w:val="7FCD52F9"/>
    <w:rsid w:val="7FCDF2C6"/>
    <w:rsid w:val="7FD0C5D4"/>
    <w:rsid w:val="7FD3D267"/>
    <w:rsid w:val="7FD95EED"/>
    <w:rsid w:val="7FE0E796"/>
    <w:rsid w:val="7FE3C84A"/>
    <w:rsid w:val="7FE49B9F"/>
    <w:rsid w:val="7FE6982F"/>
    <w:rsid w:val="7FE8AB56"/>
    <w:rsid w:val="7FEEBBFC"/>
    <w:rsid w:val="7FF08941"/>
    <w:rsid w:val="7FF1622D"/>
    <w:rsid w:val="7FF1A604"/>
    <w:rsid w:val="7FF1B026"/>
    <w:rsid w:val="7FF20141"/>
    <w:rsid w:val="7FF9F765"/>
    <w:rsid w:val="7FFAA020"/>
    <w:rsid w:val="7FFABF29"/>
    <w:rsid w:val="7FFC3937"/>
    <w:rsid w:val="7FFF0EE7"/>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5FE80AC"/>
  <w15:chartTrackingRefBased/>
  <w15:docId w15:val="{7C602A9C-C498-4FDC-9D0A-7F57BF318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F6A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6A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6A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6A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6A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6A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6A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6A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6A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6A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6A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6A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6A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6A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6A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6A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6A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6AA1"/>
    <w:rPr>
      <w:rFonts w:eastAsiaTheme="majorEastAsia" w:cstheme="majorBidi"/>
      <w:color w:val="272727" w:themeColor="text1" w:themeTint="D8"/>
    </w:rPr>
  </w:style>
  <w:style w:type="paragraph" w:styleId="Title">
    <w:name w:val="Title"/>
    <w:basedOn w:val="Normal"/>
    <w:next w:val="Normal"/>
    <w:link w:val="TitleChar"/>
    <w:uiPriority w:val="10"/>
    <w:qFormat/>
    <w:rsid w:val="008F6A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6A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6A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6A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6AA1"/>
    <w:pPr>
      <w:spacing w:before="160"/>
      <w:jc w:val="center"/>
    </w:pPr>
    <w:rPr>
      <w:i/>
      <w:iCs/>
      <w:color w:val="404040" w:themeColor="text1" w:themeTint="BF"/>
    </w:rPr>
  </w:style>
  <w:style w:type="character" w:customStyle="1" w:styleId="QuoteChar">
    <w:name w:val="Quote Char"/>
    <w:basedOn w:val="DefaultParagraphFont"/>
    <w:link w:val="Quote"/>
    <w:uiPriority w:val="29"/>
    <w:rsid w:val="008F6AA1"/>
    <w:rPr>
      <w:i/>
      <w:iCs/>
      <w:color w:val="404040" w:themeColor="text1" w:themeTint="BF"/>
    </w:rPr>
  </w:style>
  <w:style w:type="paragraph" w:styleId="ListParagraph">
    <w:name w:val="List Paragraph"/>
    <w:basedOn w:val="Normal"/>
    <w:link w:val="ListParagraphChar"/>
    <w:uiPriority w:val="34"/>
    <w:qFormat/>
    <w:rsid w:val="008F6AA1"/>
    <w:pPr>
      <w:ind w:left="720"/>
      <w:contextualSpacing/>
    </w:pPr>
  </w:style>
  <w:style w:type="character" w:styleId="IntenseEmphasis">
    <w:name w:val="Intense Emphasis"/>
    <w:basedOn w:val="DefaultParagraphFont"/>
    <w:uiPriority w:val="21"/>
    <w:qFormat/>
    <w:rsid w:val="008F6AA1"/>
    <w:rPr>
      <w:i/>
      <w:iCs/>
      <w:color w:val="0F4761" w:themeColor="accent1" w:themeShade="BF"/>
    </w:rPr>
  </w:style>
  <w:style w:type="paragraph" w:styleId="IntenseQuote">
    <w:name w:val="Intense Quote"/>
    <w:basedOn w:val="Normal"/>
    <w:next w:val="Normal"/>
    <w:link w:val="IntenseQuoteChar"/>
    <w:uiPriority w:val="30"/>
    <w:qFormat/>
    <w:rsid w:val="008F6A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6AA1"/>
    <w:rPr>
      <w:i/>
      <w:iCs/>
      <w:color w:val="0F4761" w:themeColor="accent1" w:themeShade="BF"/>
    </w:rPr>
  </w:style>
  <w:style w:type="character" w:styleId="IntenseReference">
    <w:name w:val="Intense Reference"/>
    <w:basedOn w:val="DefaultParagraphFont"/>
    <w:uiPriority w:val="32"/>
    <w:qFormat/>
    <w:rsid w:val="008F6AA1"/>
    <w:rPr>
      <w:b/>
      <w:bCs/>
      <w:smallCaps/>
      <w:color w:val="0F4761" w:themeColor="accent1" w:themeShade="BF"/>
      <w:spacing w:val="5"/>
    </w:rPr>
  </w:style>
  <w:style w:type="character" w:customStyle="1" w:styleId="Marker">
    <w:name w:val="Marker"/>
    <w:basedOn w:val="DefaultParagraphFont"/>
    <w:rsid w:val="008F6AA1"/>
    <w:rPr>
      <w:color w:val="0000FF"/>
      <w:shd w:val="clear" w:color="auto" w:fill="auto"/>
    </w:rPr>
  </w:style>
  <w:style w:type="paragraph" w:styleId="Header">
    <w:name w:val="header"/>
    <w:basedOn w:val="Normal"/>
    <w:link w:val="HeaderChar"/>
    <w:uiPriority w:val="99"/>
    <w:unhideWhenUsed/>
    <w:rsid w:val="008F6A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6AA1"/>
  </w:style>
  <w:style w:type="paragraph" w:styleId="Footer">
    <w:name w:val="footer"/>
    <w:basedOn w:val="Normal"/>
    <w:link w:val="FooterChar"/>
    <w:uiPriority w:val="99"/>
    <w:unhideWhenUsed/>
    <w:rsid w:val="008F6A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6AA1"/>
  </w:style>
  <w:style w:type="paragraph" w:customStyle="1" w:styleId="Pagedecouverture">
    <w:name w:val="Page de couverture"/>
    <w:basedOn w:val="Normal"/>
    <w:next w:val="Normal"/>
    <w:rsid w:val="008F6AA1"/>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8F6AA1"/>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8F6AA1"/>
    <w:rPr>
      <w:rFonts w:ascii="Times New Roman" w:hAnsi="Times New Roman" w:cs="Times New Roman"/>
      <w:sz w:val="24"/>
    </w:rPr>
  </w:style>
  <w:style w:type="paragraph" w:customStyle="1" w:styleId="FooterSensitivity">
    <w:name w:val="Footer Sensitivity"/>
    <w:basedOn w:val="Normal"/>
    <w:link w:val="FooterSensitivityChar"/>
    <w:rsid w:val="008F6AA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8F6AA1"/>
    <w:rPr>
      <w:rFonts w:ascii="Times New Roman" w:hAnsi="Times New Roman" w:cs="Times New Roman"/>
      <w:b/>
      <w:sz w:val="32"/>
    </w:rPr>
  </w:style>
  <w:style w:type="paragraph" w:customStyle="1" w:styleId="HeaderCoverPage">
    <w:name w:val="Header Cover Page"/>
    <w:basedOn w:val="Normal"/>
    <w:link w:val="HeaderCoverPageChar"/>
    <w:rsid w:val="008F6AA1"/>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8F6AA1"/>
    <w:rPr>
      <w:rFonts w:ascii="Times New Roman" w:hAnsi="Times New Roman" w:cs="Times New Roman"/>
      <w:sz w:val="24"/>
    </w:rPr>
  </w:style>
  <w:style w:type="paragraph" w:customStyle="1" w:styleId="HeaderSensitivity">
    <w:name w:val="Header Sensitivity"/>
    <w:basedOn w:val="Normal"/>
    <w:link w:val="HeaderSensitivityChar"/>
    <w:rsid w:val="008F6AA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8F6AA1"/>
    <w:rPr>
      <w:rFonts w:ascii="Times New Roman" w:hAnsi="Times New Roman" w:cs="Times New Roman"/>
      <w:b/>
      <w:sz w:val="32"/>
    </w:rPr>
  </w:style>
  <w:style w:type="paragraph" w:customStyle="1" w:styleId="HeaderSensitivityRight">
    <w:name w:val="Header Sensitivity Right"/>
    <w:basedOn w:val="Normal"/>
    <w:link w:val="HeaderSensitivityRightChar"/>
    <w:rsid w:val="008F6AA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8F6AA1"/>
    <w:rPr>
      <w:rFonts w:ascii="Times New Roman" w:hAnsi="Times New Roman" w:cs="Times New Roman"/>
      <w:sz w:val="28"/>
    </w:rPr>
  </w:style>
  <w:style w:type="paragraph" w:customStyle="1" w:styleId="Typedudocument">
    <w:name w:val="Type du document"/>
    <w:basedOn w:val="Normal"/>
    <w:next w:val="Normal"/>
    <w:rsid w:val="008F6AA1"/>
    <w:pPr>
      <w:spacing w:before="360" w:after="0" w:line="240" w:lineRule="auto"/>
      <w:jc w:val="center"/>
    </w:pPr>
    <w:rPr>
      <w:rFonts w:ascii="Times New Roman" w:hAnsi="Times New Roman" w:cs="Times New Roman"/>
      <w:b/>
      <w:sz w:val="24"/>
    </w:rPr>
  </w:style>
  <w:style w:type="paragraph" w:customStyle="1" w:styleId="Accompagnant">
    <w:name w:val="Accompagnant"/>
    <w:basedOn w:val="Normal"/>
    <w:next w:val="Normal"/>
    <w:rsid w:val="008F6AA1"/>
    <w:pPr>
      <w:spacing w:after="240" w:line="240" w:lineRule="auto"/>
      <w:jc w:val="center"/>
    </w:pPr>
    <w:rPr>
      <w:rFonts w:ascii="Times New Roman" w:hAnsi="Times New Roman" w:cs="Times New Roman"/>
      <w:b/>
      <w:i/>
      <w:sz w:val="24"/>
    </w:rPr>
  </w:style>
  <w:style w:type="paragraph" w:customStyle="1" w:styleId="Typeacteprincipal">
    <w:name w:val="Type acte principal"/>
    <w:basedOn w:val="Normal"/>
    <w:next w:val="Normal"/>
    <w:rsid w:val="008F6AA1"/>
    <w:pPr>
      <w:spacing w:after="240" w:line="240" w:lineRule="auto"/>
      <w:jc w:val="center"/>
    </w:pPr>
    <w:rPr>
      <w:rFonts w:ascii="Times New Roman" w:hAnsi="Times New Roman" w:cs="Times New Roman"/>
      <w:b/>
      <w:sz w:val="24"/>
    </w:rPr>
  </w:style>
  <w:style w:type="paragraph" w:customStyle="1" w:styleId="Objetacteprincipal">
    <w:name w:val="Objet acte principal"/>
    <w:basedOn w:val="Normal"/>
    <w:next w:val="Normal"/>
    <w:rsid w:val="008F6AA1"/>
    <w:pPr>
      <w:spacing w:after="360" w:line="240" w:lineRule="auto"/>
      <w:jc w:val="center"/>
    </w:pPr>
    <w:rPr>
      <w:rFonts w:ascii="Times New Roman" w:hAnsi="Times New Roman" w:cs="Times New Roman"/>
      <w:b/>
      <w:sz w:val="24"/>
    </w:rPr>
  </w:style>
  <w:style w:type="paragraph" w:styleId="FootnoteText">
    <w:name w:val="footnote text"/>
    <w:basedOn w:val="Normal"/>
    <w:link w:val="FootnoteTextChar"/>
    <w:uiPriority w:val="99"/>
    <w:unhideWhenUsed/>
    <w:rsid w:val="008F6AA1"/>
    <w:pPr>
      <w:spacing w:after="0" w:line="240" w:lineRule="auto"/>
    </w:pPr>
    <w:rPr>
      <w:sz w:val="20"/>
      <w:szCs w:val="20"/>
    </w:rPr>
  </w:style>
  <w:style w:type="character" w:customStyle="1" w:styleId="FootnoteTextChar">
    <w:name w:val="Footnote Text Char"/>
    <w:basedOn w:val="DefaultParagraphFont"/>
    <w:link w:val="FootnoteText"/>
    <w:uiPriority w:val="99"/>
    <w:rsid w:val="008F6AA1"/>
    <w:rPr>
      <w:sz w:val="20"/>
      <w:szCs w:val="20"/>
    </w:rPr>
  </w:style>
  <w:style w:type="character" w:styleId="Hyperlink">
    <w:name w:val="Hyperlink"/>
    <w:basedOn w:val="DefaultParagraphFont"/>
    <w:uiPriority w:val="99"/>
    <w:unhideWhenUsed/>
    <w:rsid w:val="008F6AA1"/>
    <w:rPr>
      <w:color w:val="467886"/>
      <w:u w:val="single"/>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rsid w:val="008F6AA1"/>
    <w:pPr>
      <w:spacing w:line="240" w:lineRule="exact"/>
    </w:pPr>
    <w:rPr>
      <w:vertAlign w:val="superscript"/>
    </w:rPr>
  </w:style>
  <w:style w:type="character" w:customStyle="1" w:styleId="normaltextrun">
    <w:name w:val="normaltextrun"/>
    <w:basedOn w:val="DefaultParagraphFont"/>
    <w:rsid w:val="008F6AA1"/>
  </w:style>
  <w:style w:type="character" w:styleId="FootnoteReference">
    <w:name w:val="footnote reference"/>
    <w:basedOn w:val="DefaultParagraphFont"/>
    <w:link w:val="BVIfnrChar1CharCharChar"/>
    <w:unhideWhenUsed/>
    <w:rsid w:val="008F6AA1"/>
    <w:rPr>
      <w:vertAlign w:val="superscript"/>
      <w:lang w:val="fr-FR"/>
    </w:rPr>
  </w:style>
  <w:style w:type="paragraph" w:styleId="Revision">
    <w:name w:val="Revision"/>
    <w:hidden/>
    <w:uiPriority w:val="99"/>
    <w:semiHidden/>
    <w:rsid w:val="005B5F34"/>
    <w:pPr>
      <w:spacing w:after="0" w:line="240" w:lineRule="auto"/>
    </w:pPr>
  </w:style>
  <w:style w:type="character" w:styleId="CommentReference">
    <w:name w:val="annotation reference"/>
    <w:basedOn w:val="DefaultParagraphFont"/>
    <w:unhideWhenUsed/>
    <w:rsid w:val="00420307"/>
    <w:rPr>
      <w:sz w:val="16"/>
      <w:szCs w:val="16"/>
    </w:rPr>
  </w:style>
  <w:style w:type="paragraph" w:styleId="CommentText">
    <w:name w:val="annotation text"/>
    <w:basedOn w:val="Normal"/>
    <w:link w:val="CommentTextChar"/>
    <w:unhideWhenUsed/>
    <w:rsid w:val="00420307"/>
    <w:pPr>
      <w:spacing w:line="240" w:lineRule="auto"/>
    </w:pPr>
    <w:rPr>
      <w:sz w:val="20"/>
      <w:szCs w:val="20"/>
    </w:rPr>
  </w:style>
  <w:style w:type="character" w:customStyle="1" w:styleId="CommentTextChar">
    <w:name w:val="Comment Text Char"/>
    <w:basedOn w:val="DefaultParagraphFont"/>
    <w:link w:val="CommentText"/>
    <w:rsid w:val="00420307"/>
    <w:rPr>
      <w:sz w:val="20"/>
      <w:szCs w:val="20"/>
    </w:rPr>
  </w:style>
  <w:style w:type="paragraph" w:styleId="CommentSubject">
    <w:name w:val="annotation subject"/>
    <w:basedOn w:val="CommentText"/>
    <w:next w:val="CommentText"/>
    <w:link w:val="CommentSubjectChar"/>
    <w:uiPriority w:val="99"/>
    <w:semiHidden/>
    <w:unhideWhenUsed/>
    <w:rsid w:val="00420307"/>
    <w:rPr>
      <w:b/>
      <w:bCs/>
    </w:rPr>
  </w:style>
  <w:style w:type="character" w:customStyle="1" w:styleId="CommentSubjectChar">
    <w:name w:val="Comment Subject Char"/>
    <w:basedOn w:val="CommentTextChar"/>
    <w:link w:val="CommentSubject"/>
    <w:uiPriority w:val="99"/>
    <w:semiHidden/>
    <w:rsid w:val="00420307"/>
    <w:rPr>
      <w:b/>
      <w:bCs/>
      <w:sz w:val="20"/>
      <w:szCs w:val="20"/>
    </w:rPr>
  </w:style>
  <w:style w:type="character" w:customStyle="1" w:styleId="Mention">
    <w:name w:val="Mention"/>
    <w:basedOn w:val="DefaultParagraphFont"/>
    <w:uiPriority w:val="99"/>
    <w:unhideWhenUsed/>
    <w:rsid w:val="000C2139"/>
    <w:rPr>
      <w:color w:val="2B579A"/>
      <w:shd w:val="clear" w:color="auto" w:fill="E1DFDD"/>
    </w:rPr>
  </w:style>
  <w:style w:type="character" w:customStyle="1" w:styleId="UnresolvedMention">
    <w:name w:val="Unresolved Mention"/>
    <w:basedOn w:val="DefaultParagraphFont"/>
    <w:uiPriority w:val="99"/>
    <w:semiHidden/>
    <w:unhideWhenUsed/>
    <w:rsid w:val="001D0B74"/>
    <w:rPr>
      <w:color w:val="605E5C"/>
      <w:shd w:val="clear" w:color="auto" w:fill="E1DFDD"/>
    </w:rPr>
  </w:style>
  <w:style w:type="character" w:customStyle="1" w:styleId="cf01">
    <w:name w:val="cf01"/>
    <w:basedOn w:val="DefaultParagraphFont"/>
    <w:rsid w:val="003B551E"/>
    <w:rPr>
      <w:rFonts w:ascii="Segoe UI" w:hAnsi="Segoe UI" w:cs="Segoe UI" w:hint="default"/>
      <w:sz w:val="18"/>
      <w:szCs w:val="18"/>
    </w:rPr>
  </w:style>
  <w:style w:type="character" w:customStyle="1" w:styleId="ListParagraphChar">
    <w:name w:val="List Paragraph Char"/>
    <w:link w:val="ListParagraph"/>
    <w:uiPriority w:val="34"/>
    <w:rsid w:val="0051503B"/>
  </w:style>
  <w:style w:type="paragraph" w:customStyle="1" w:styleId="ListDash1">
    <w:name w:val="List Dash 1"/>
    <w:basedOn w:val="Normal"/>
    <w:uiPriority w:val="1"/>
    <w:rsid w:val="0060779F"/>
    <w:pPr>
      <w:numPr>
        <w:numId w:val="4"/>
      </w:numPr>
      <w:spacing w:after="240" w:line="240" w:lineRule="auto"/>
      <w:jc w:val="both"/>
    </w:pPr>
    <w:rPr>
      <w:rFonts w:ascii="Times New Roman" w:eastAsia="Times New Roman" w:hAnsi="Times New Roman" w:cs="Times New Roman"/>
      <w:sz w:val="24"/>
      <w:szCs w:val="20"/>
      <w:lang w:eastAsia="en-IE"/>
    </w:rPr>
  </w:style>
  <w:style w:type="paragraph" w:customStyle="1" w:styleId="ListDash1Level2">
    <w:name w:val="List Dash 1 (Level 2)"/>
    <w:basedOn w:val="Normal"/>
    <w:uiPriority w:val="1"/>
    <w:rsid w:val="0060779F"/>
    <w:pPr>
      <w:numPr>
        <w:ilvl w:val="1"/>
        <w:numId w:val="4"/>
      </w:numPr>
      <w:spacing w:after="240" w:line="240" w:lineRule="auto"/>
      <w:jc w:val="both"/>
    </w:pPr>
    <w:rPr>
      <w:rFonts w:ascii="Times New Roman" w:eastAsia="Times New Roman" w:hAnsi="Times New Roman" w:cs="Times New Roman"/>
      <w:sz w:val="24"/>
      <w:szCs w:val="20"/>
      <w:lang w:eastAsia="en-IE"/>
    </w:rPr>
  </w:style>
  <w:style w:type="paragraph" w:customStyle="1" w:styleId="ListDash1Level3">
    <w:name w:val="List Dash 1 (Level 3)"/>
    <w:basedOn w:val="Normal"/>
    <w:uiPriority w:val="1"/>
    <w:semiHidden/>
    <w:unhideWhenUsed/>
    <w:rsid w:val="0060779F"/>
    <w:pPr>
      <w:numPr>
        <w:ilvl w:val="2"/>
        <w:numId w:val="4"/>
      </w:numPr>
      <w:spacing w:after="240" w:line="240" w:lineRule="auto"/>
      <w:jc w:val="both"/>
    </w:pPr>
    <w:rPr>
      <w:rFonts w:ascii="Times New Roman" w:eastAsia="Times New Roman" w:hAnsi="Times New Roman" w:cs="Times New Roman"/>
      <w:sz w:val="24"/>
      <w:szCs w:val="20"/>
      <w:lang w:eastAsia="en-IE"/>
    </w:rPr>
  </w:style>
  <w:style w:type="paragraph" w:customStyle="1" w:styleId="ListDash1Level4">
    <w:name w:val="List Dash 1 (Level 4)"/>
    <w:basedOn w:val="Normal"/>
    <w:uiPriority w:val="1"/>
    <w:semiHidden/>
    <w:unhideWhenUsed/>
    <w:rsid w:val="0060779F"/>
    <w:pPr>
      <w:numPr>
        <w:ilvl w:val="3"/>
        <w:numId w:val="4"/>
      </w:numPr>
      <w:spacing w:after="240" w:line="240" w:lineRule="auto"/>
      <w:jc w:val="both"/>
    </w:pPr>
    <w:rPr>
      <w:rFonts w:ascii="Times New Roman" w:eastAsia="Times New Roman" w:hAnsi="Times New Roman" w:cs="Times New Roman"/>
      <w:sz w:val="24"/>
      <w:szCs w:val="20"/>
      <w:lang w:eastAsia="en-IE"/>
    </w:rPr>
  </w:style>
  <w:style w:type="paragraph" w:customStyle="1" w:styleId="Languesfaisantfoi">
    <w:name w:val="Langues faisant foi"/>
    <w:basedOn w:val="Normal"/>
    <w:next w:val="Normal"/>
    <w:rsid w:val="00A634D9"/>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A634D9"/>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A634D9"/>
    <w:pPr>
      <w:spacing w:after="0"/>
    </w:pPr>
  </w:style>
  <w:style w:type="paragraph" w:customStyle="1" w:styleId="IntrtEEEPagedecouverture">
    <w:name w:val="Intérêt EEE (Page de couverture)"/>
    <w:basedOn w:val="IntrtEEE"/>
    <w:next w:val="Normal"/>
    <w:rsid w:val="00A634D9"/>
  </w:style>
  <w:style w:type="character" w:styleId="FollowedHyperlink">
    <w:name w:val="FollowedHyperlink"/>
    <w:basedOn w:val="DefaultParagraphFont"/>
    <w:uiPriority w:val="99"/>
    <w:semiHidden/>
    <w:unhideWhenUsed/>
    <w:rsid w:val="00F0070C"/>
    <w:rPr>
      <w:color w:val="96607D" w:themeColor="followedHyperlink"/>
      <w:u w:val="single"/>
    </w:rPr>
  </w:style>
  <w:style w:type="table" w:customStyle="1" w:styleId="EurolookClassicBlue">
    <w:name w:val="Eurolook Classic Blue"/>
    <w:basedOn w:val="TableNormal"/>
    <w:uiPriority w:val="80"/>
    <w:rsid w:val="00D94C3D"/>
    <w:pPr>
      <w:spacing w:after="240" w:line="240" w:lineRule="auto"/>
    </w:pPr>
    <w:rPr>
      <w:rFonts w:ascii="Times New Roman" w:eastAsia="Times New Roman" w:hAnsi="Times New Roman" w:cs="Times New Roman"/>
      <w:sz w:val="24"/>
      <w:szCs w:val="20"/>
      <w:lang w:eastAsia="en-I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styleId="TableGrid">
    <w:name w:val="Table Grid"/>
    <w:basedOn w:val="TableNormal"/>
    <w:uiPriority w:val="59"/>
    <w:rsid w:val="00045E0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gstkn">
    <w:name w:val="gs_tkn"/>
    <w:basedOn w:val="DefaultParagraphFont"/>
    <w:rsid w:val="004F3441"/>
  </w:style>
  <w:style w:type="paragraph" w:customStyle="1" w:styleId="CRPRIIBulletpoints">
    <w:name w:val="CRPR II/Bullet points"/>
    <w:basedOn w:val="ListBullet"/>
    <w:qFormat/>
    <w:rsid w:val="00A831C7"/>
    <w:pPr>
      <w:spacing w:before="120" w:after="120" w:line="360" w:lineRule="auto"/>
      <w:ind w:left="360" w:hanging="360"/>
      <w:contextualSpacing w:val="0"/>
      <w:jc w:val="both"/>
    </w:pPr>
    <w:rPr>
      <w:rFonts w:ascii="Times New Roman" w:eastAsia="Times New Roman" w:hAnsi="Times New Roman" w:cs="Times New Roman"/>
      <w:sz w:val="32"/>
      <w:szCs w:val="32"/>
    </w:rPr>
  </w:style>
  <w:style w:type="paragraph" w:styleId="ListBullet">
    <w:name w:val="List Bullet"/>
    <w:basedOn w:val="Normal"/>
    <w:uiPriority w:val="99"/>
    <w:semiHidden/>
    <w:unhideWhenUsed/>
    <w:rsid w:val="00A831C7"/>
    <w:pPr>
      <w:contextualSpacing/>
    </w:pPr>
  </w:style>
  <w:style w:type="paragraph" w:customStyle="1" w:styleId="5Normal">
    <w:name w:val="5 Normal"/>
    <w:basedOn w:val="Normal"/>
    <w:link w:val="5NormalChar"/>
    <w:uiPriority w:val="1"/>
    <w:qFormat/>
    <w:rsid w:val="49AD2BF6"/>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pacing w:after="120" w:line="240" w:lineRule="auto"/>
      <w:ind w:right="57"/>
      <w:jc w:val="both"/>
    </w:pPr>
    <w:rPr>
      <w:rFonts w:eastAsiaTheme="minorEastAsia"/>
      <w:sz w:val="20"/>
      <w:szCs w:val="20"/>
      <w:lang w:eastAsia="en-GB"/>
    </w:rPr>
  </w:style>
  <w:style w:type="character" w:customStyle="1" w:styleId="5NormalChar">
    <w:name w:val="5 Normal Char"/>
    <w:basedOn w:val="DefaultParagraphFont"/>
    <w:link w:val="5Normal"/>
    <w:uiPriority w:val="1"/>
    <w:rsid w:val="00C5237A"/>
    <w:rPr>
      <w:rFonts w:eastAsiaTheme="minorEastAsia"/>
      <w:sz w:val="20"/>
      <w:szCs w:val="20"/>
      <w:lang w:val="fr-FR"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8668">
      <w:bodyDiv w:val="1"/>
      <w:marLeft w:val="0"/>
      <w:marRight w:val="0"/>
      <w:marTop w:val="0"/>
      <w:marBottom w:val="0"/>
      <w:divBdr>
        <w:top w:val="none" w:sz="0" w:space="0" w:color="auto"/>
        <w:left w:val="none" w:sz="0" w:space="0" w:color="auto"/>
        <w:bottom w:val="none" w:sz="0" w:space="0" w:color="auto"/>
        <w:right w:val="none" w:sz="0" w:space="0" w:color="auto"/>
      </w:divBdr>
    </w:div>
    <w:div w:id="15229758">
      <w:bodyDiv w:val="1"/>
      <w:marLeft w:val="0"/>
      <w:marRight w:val="0"/>
      <w:marTop w:val="0"/>
      <w:marBottom w:val="0"/>
      <w:divBdr>
        <w:top w:val="none" w:sz="0" w:space="0" w:color="auto"/>
        <w:left w:val="none" w:sz="0" w:space="0" w:color="auto"/>
        <w:bottom w:val="none" w:sz="0" w:space="0" w:color="auto"/>
        <w:right w:val="none" w:sz="0" w:space="0" w:color="auto"/>
      </w:divBdr>
    </w:div>
    <w:div w:id="83456905">
      <w:bodyDiv w:val="1"/>
      <w:marLeft w:val="0"/>
      <w:marRight w:val="0"/>
      <w:marTop w:val="0"/>
      <w:marBottom w:val="0"/>
      <w:divBdr>
        <w:top w:val="none" w:sz="0" w:space="0" w:color="auto"/>
        <w:left w:val="none" w:sz="0" w:space="0" w:color="auto"/>
        <w:bottom w:val="none" w:sz="0" w:space="0" w:color="auto"/>
        <w:right w:val="none" w:sz="0" w:space="0" w:color="auto"/>
      </w:divBdr>
    </w:div>
    <w:div w:id="85153889">
      <w:bodyDiv w:val="1"/>
      <w:marLeft w:val="0"/>
      <w:marRight w:val="0"/>
      <w:marTop w:val="0"/>
      <w:marBottom w:val="0"/>
      <w:divBdr>
        <w:top w:val="none" w:sz="0" w:space="0" w:color="auto"/>
        <w:left w:val="none" w:sz="0" w:space="0" w:color="auto"/>
        <w:bottom w:val="none" w:sz="0" w:space="0" w:color="auto"/>
        <w:right w:val="none" w:sz="0" w:space="0" w:color="auto"/>
      </w:divBdr>
    </w:div>
    <w:div w:id="120852597">
      <w:bodyDiv w:val="1"/>
      <w:marLeft w:val="0"/>
      <w:marRight w:val="0"/>
      <w:marTop w:val="0"/>
      <w:marBottom w:val="0"/>
      <w:divBdr>
        <w:top w:val="none" w:sz="0" w:space="0" w:color="auto"/>
        <w:left w:val="none" w:sz="0" w:space="0" w:color="auto"/>
        <w:bottom w:val="none" w:sz="0" w:space="0" w:color="auto"/>
        <w:right w:val="none" w:sz="0" w:space="0" w:color="auto"/>
      </w:divBdr>
    </w:div>
    <w:div w:id="176892953">
      <w:bodyDiv w:val="1"/>
      <w:marLeft w:val="0"/>
      <w:marRight w:val="0"/>
      <w:marTop w:val="0"/>
      <w:marBottom w:val="0"/>
      <w:divBdr>
        <w:top w:val="none" w:sz="0" w:space="0" w:color="auto"/>
        <w:left w:val="none" w:sz="0" w:space="0" w:color="auto"/>
        <w:bottom w:val="none" w:sz="0" w:space="0" w:color="auto"/>
        <w:right w:val="none" w:sz="0" w:space="0" w:color="auto"/>
      </w:divBdr>
    </w:div>
    <w:div w:id="213199989">
      <w:bodyDiv w:val="1"/>
      <w:marLeft w:val="0"/>
      <w:marRight w:val="0"/>
      <w:marTop w:val="0"/>
      <w:marBottom w:val="0"/>
      <w:divBdr>
        <w:top w:val="none" w:sz="0" w:space="0" w:color="auto"/>
        <w:left w:val="none" w:sz="0" w:space="0" w:color="auto"/>
        <w:bottom w:val="none" w:sz="0" w:space="0" w:color="auto"/>
        <w:right w:val="none" w:sz="0" w:space="0" w:color="auto"/>
      </w:divBdr>
    </w:div>
    <w:div w:id="261844053">
      <w:bodyDiv w:val="1"/>
      <w:marLeft w:val="0"/>
      <w:marRight w:val="0"/>
      <w:marTop w:val="0"/>
      <w:marBottom w:val="0"/>
      <w:divBdr>
        <w:top w:val="none" w:sz="0" w:space="0" w:color="auto"/>
        <w:left w:val="none" w:sz="0" w:space="0" w:color="auto"/>
        <w:bottom w:val="none" w:sz="0" w:space="0" w:color="auto"/>
        <w:right w:val="none" w:sz="0" w:space="0" w:color="auto"/>
      </w:divBdr>
    </w:div>
    <w:div w:id="301932061">
      <w:bodyDiv w:val="1"/>
      <w:marLeft w:val="0"/>
      <w:marRight w:val="0"/>
      <w:marTop w:val="0"/>
      <w:marBottom w:val="0"/>
      <w:divBdr>
        <w:top w:val="none" w:sz="0" w:space="0" w:color="auto"/>
        <w:left w:val="none" w:sz="0" w:space="0" w:color="auto"/>
        <w:bottom w:val="none" w:sz="0" w:space="0" w:color="auto"/>
        <w:right w:val="none" w:sz="0" w:space="0" w:color="auto"/>
      </w:divBdr>
    </w:div>
    <w:div w:id="324742092">
      <w:bodyDiv w:val="1"/>
      <w:marLeft w:val="0"/>
      <w:marRight w:val="0"/>
      <w:marTop w:val="0"/>
      <w:marBottom w:val="0"/>
      <w:divBdr>
        <w:top w:val="none" w:sz="0" w:space="0" w:color="auto"/>
        <w:left w:val="none" w:sz="0" w:space="0" w:color="auto"/>
        <w:bottom w:val="none" w:sz="0" w:space="0" w:color="auto"/>
        <w:right w:val="none" w:sz="0" w:space="0" w:color="auto"/>
      </w:divBdr>
      <w:divsChild>
        <w:div w:id="1170099685">
          <w:marLeft w:val="0"/>
          <w:marRight w:val="0"/>
          <w:marTop w:val="0"/>
          <w:marBottom w:val="0"/>
          <w:divBdr>
            <w:top w:val="none" w:sz="0" w:space="0" w:color="auto"/>
            <w:left w:val="none" w:sz="0" w:space="0" w:color="auto"/>
            <w:bottom w:val="none" w:sz="0" w:space="0" w:color="auto"/>
            <w:right w:val="none" w:sz="0" w:space="0" w:color="auto"/>
          </w:divBdr>
        </w:div>
        <w:div w:id="1283462202">
          <w:marLeft w:val="0"/>
          <w:marRight w:val="0"/>
          <w:marTop w:val="0"/>
          <w:marBottom w:val="0"/>
          <w:divBdr>
            <w:top w:val="none" w:sz="0" w:space="0" w:color="auto"/>
            <w:left w:val="none" w:sz="0" w:space="0" w:color="auto"/>
            <w:bottom w:val="none" w:sz="0" w:space="0" w:color="auto"/>
            <w:right w:val="none" w:sz="0" w:space="0" w:color="auto"/>
          </w:divBdr>
        </w:div>
        <w:div w:id="1938098118">
          <w:marLeft w:val="0"/>
          <w:marRight w:val="0"/>
          <w:marTop w:val="0"/>
          <w:marBottom w:val="0"/>
          <w:divBdr>
            <w:top w:val="none" w:sz="0" w:space="0" w:color="auto"/>
            <w:left w:val="none" w:sz="0" w:space="0" w:color="auto"/>
            <w:bottom w:val="none" w:sz="0" w:space="0" w:color="auto"/>
            <w:right w:val="none" w:sz="0" w:space="0" w:color="auto"/>
          </w:divBdr>
        </w:div>
      </w:divsChild>
    </w:div>
    <w:div w:id="339895592">
      <w:bodyDiv w:val="1"/>
      <w:marLeft w:val="0"/>
      <w:marRight w:val="0"/>
      <w:marTop w:val="0"/>
      <w:marBottom w:val="0"/>
      <w:divBdr>
        <w:top w:val="none" w:sz="0" w:space="0" w:color="auto"/>
        <w:left w:val="none" w:sz="0" w:space="0" w:color="auto"/>
        <w:bottom w:val="none" w:sz="0" w:space="0" w:color="auto"/>
        <w:right w:val="none" w:sz="0" w:space="0" w:color="auto"/>
      </w:divBdr>
    </w:div>
    <w:div w:id="370113149">
      <w:bodyDiv w:val="1"/>
      <w:marLeft w:val="0"/>
      <w:marRight w:val="0"/>
      <w:marTop w:val="0"/>
      <w:marBottom w:val="0"/>
      <w:divBdr>
        <w:top w:val="none" w:sz="0" w:space="0" w:color="auto"/>
        <w:left w:val="none" w:sz="0" w:space="0" w:color="auto"/>
        <w:bottom w:val="none" w:sz="0" w:space="0" w:color="auto"/>
        <w:right w:val="none" w:sz="0" w:space="0" w:color="auto"/>
      </w:divBdr>
    </w:div>
    <w:div w:id="375281622">
      <w:bodyDiv w:val="1"/>
      <w:marLeft w:val="0"/>
      <w:marRight w:val="0"/>
      <w:marTop w:val="0"/>
      <w:marBottom w:val="0"/>
      <w:divBdr>
        <w:top w:val="none" w:sz="0" w:space="0" w:color="auto"/>
        <w:left w:val="none" w:sz="0" w:space="0" w:color="auto"/>
        <w:bottom w:val="none" w:sz="0" w:space="0" w:color="auto"/>
        <w:right w:val="none" w:sz="0" w:space="0" w:color="auto"/>
      </w:divBdr>
    </w:div>
    <w:div w:id="383913277">
      <w:bodyDiv w:val="1"/>
      <w:marLeft w:val="0"/>
      <w:marRight w:val="0"/>
      <w:marTop w:val="0"/>
      <w:marBottom w:val="0"/>
      <w:divBdr>
        <w:top w:val="none" w:sz="0" w:space="0" w:color="auto"/>
        <w:left w:val="none" w:sz="0" w:space="0" w:color="auto"/>
        <w:bottom w:val="none" w:sz="0" w:space="0" w:color="auto"/>
        <w:right w:val="none" w:sz="0" w:space="0" w:color="auto"/>
      </w:divBdr>
    </w:div>
    <w:div w:id="450705311">
      <w:bodyDiv w:val="1"/>
      <w:marLeft w:val="0"/>
      <w:marRight w:val="0"/>
      <w:marTop w:val="0"/>
      <w:marBottom w:val="0"/>
      <w:divBdr>
        <w:top w:val="none" w:sz="0" w:space="0" w:color="auto"/>
        <w:left w:val="none" w:sz="0" w:space="0" w:color="auto"/>
        <w:bottom w:val="none" w:sz="0" w:space="0" w:color="auto"/>
        <w:right w:val="none" w:sz="0" w:space="0" w:color="auto"/>
      </w:divBdr>
    </w:div>
    <w:div w:id="460802902">
      <w:bodyDiv w:val="1"/>
      <w:marLeft w:val="0"/>
      <w:marRight w:val="0"/>
      <w:marTop w:val="0"/>
      <w:marBottom w:val="0"/>
      <w:divBdr>
        <w:top w:val="none" w:sz="0" w:space="0" w:color="auto"/>
        <w:left w:val="none" w:sz="0" w:space="0" w:color="auto"/>
        <w:bottom w:val="none" w:sz="0" w:space="0" w:color="auto"/>
        <w:right w:val="none" w:sz="0" w:space="0" w:color="auto"/>
      </w:divBdr>
    </w:div>
    <w:div w:id="473956508">
      <w:bodyDiv w:val="1"/>
      <w:marLeft w:val="0"/>
      <w:marRight w:val="0"/>
      <w:marTop w:val="0"/>
      <w:marBottom w:val="0"/>
      <w:divBdr>
        <w:top w:val="none" w:sz="0" w:space="0" w:color="auto"/>
        <w:left w:val="none" w:sz="0" w:space="0" w:color="auto"/>
        <w:bottom w:val="none" w:sz="0" w:space="0" w:color="auto"/>
        <w:right w:val="none" w:sz="0" w:space="0" w:color="auto"/>
      </w:divBdr>
      <w:divsChild>
        <w:div w:id="1015957676">
          <w:marLeft w:val="0"/>
          <w:marRight w:val="0"/>
          <w:marTop w:val="0"/>
          <w:marBottom w:val="0"/>
          <w:divBdr>
            <w:top w:val="none" w:sz="0" w:space="0" w:color="auto"/>
            <w:left w:val="none" w:sz="0" w:space="0" w:color="auto"/>
            <w:bottom w:val="none" w:sz="0" w:space="0" w:color="auto"/>
            <w:right w:val="none" w:sz="0" w:space="0" w:color="auto"/>
          </w:divBdr>
        </w:div>
      </w:divsChild>
    </w:div>
    <w:div w:id="518546235">
      <w:bodyDiv w:val="1"/>
      <w:marLeft w:val="0"/>
      <w:marRight w:val="0"/>
      <w:marTop w:val="0"/>
      <w:marBottom w:val="0"/>
      <w:divBdr>
        <w:top w:val="none" w:sz="0" w:space="0" w:color="auto"/>
        <w:left w:val="none" w:sz="0" w:space="0" w:color="auto"/>
        <w:bottom w:val="none" w:sz="0" w:space="0" w:color="auto"/>
        <w:right w:val="none" w:sz="0" w:space="0" w:color="auto"/>
      </w:divBdr>
    </w:div>
    <w:div w:id="520313897">
      <w:bodyDiv w:val="1"/>
      <w:marLeft w:val="0"/>
      <w:marRight w:val="0"/>
      <w:marTop w:val="0"/>
      <w:marBottom w:val="0"/>
      <w:divBdr>
        <w:top w:val="none" w:sz="0" w:space="0" w:color="auto"/>
        <w:left w:val="none" w:sz="0" w:space="0" w:color="auto"/>
        <w:bottom w:val="none" w:sz="0" w:space="0" w:color="auto"/>
        <w:right w:val="none" w:sz="0" w:space="0" w:color="auto"/>
      </w:divBdr>
    </w:div>
    <w:div w:id="599725261">
      <w:bodyDiv w:val="1"/>
      <w:marLeft w:val="0"/>
      <w:marRight w:val="0"/>
      <w:marTop w:val="0"/>
      <w:marBottom w:val="0"/>
      <w:divBdr>
        <w:top w:val="none" w:sz="0" w:space="0" w:color="auto"/>
        <w:left w:val="none" w:sz="0" w:space="0" w:color="auto"/>
        <w:bottom w:val="none" w:sz="0" w:space="0" w:color="auto"/>
        <w:right w:val="none" w:sz="0" w:space="0" w:color="auto"/>
      </w:divBdr>
    </w:div>
    <w:div w:id="643310981">
      <w:bodyDiv w:val="1"/>
      <w:marLeft w:val="0"/>
      <w:marRight w:val="0"/>
      <w:marTop w:val="0"/>
      <w:marBottom w:val="0"/>
      <w:divBdr>
        <w:top w:val="none" w:sz="0" w:space="0" w:color="auto"/>
        <w:left w:val="none" w:sz="0" w:space="0" w:color="auto"/>
        <w:bottom w:val="none" w:sz="0" w:space="0" w:color="auto"/>
        <w:right w:val="none" w:sz="0" w:space="0" w:color="auto"/>
      </w:divBdr>
    </w:div>
    <w:div w:id="776486140">
      <w:bodyDiv w:val="1"/>
      <w:marLeft w:val="0"/>
      <w:marRight w:val="0"/>
      <w:marTop w:val="0"/>
      <w:marBottom w:val="0"/>
      <w:divBdr>
        <w:top w:val="none" w:sz="0" w:space="0" w:color="auto"/>
        <w:left w:val="none" w:sz="0" w:space="0" w:color="auto"/>
        <w:bottom w:val="none" w:sz="0" w:space="0" w:color="auto"/>
        <w:right w:val="none" w:sz="0" w:space="0" w:color="auto"/>
      </w:divBdr>
    </w:div>
    <w:div w:id="805242137">
      <w:bodyDiv w:val="1"/>
      <w:marLeft w:val="0"/>
      <w:marRight w:val="0"/>
      <w:marTop w:val="0"/>
      <w:marBottom w:val="0"/>
      <w:divBdr>
        <w:top w:val="none" w:sz="0" w:space="0" w:color="auto"/>
        <w:left w:val="none" w:sz="0" w:space="0" w:color="auto"/>
        <w:bottom w:val="none" w:sz="0" w:space="0" w:color="auto"/>
        <w:right w:val="none" w:sz="0" w:space="0" w:color="auto"/>
      </w:divBdr>
    </w:div>
    <w:div w:id="853156142">
      <w:bodyDiv w:val="1"/>
      <w:marLeft w:val="0"/>
      <w:marRight w:val="0"/>
      <w:marTop w:val="0"/>
      <w:marBottom w:val="0"/>
      <w:divBdr>
        <w:top w:val="none" w:sz="0" w:space="0" w:color="auto"/>
        <w:left w:val="none" w:sz="0" w:space="0" w:color="auto"/>
        <w:bottom w:val="none" w:sz="0" w:space="0" w:color="auto"/>
        <w:right w:val="none" w:sz="0" w:space="0" w:color="auto"/>
      </w:divBdr>
    </w:div>
    <w:div w:id="858815072">
      <w:bodyDiv w:val="1"/>
      <w:marLeft w:val="0"/>
      <w:marRight w:val="0"/>
      <w:marTop w:val="0"/>
      <w:marBottom w:val="0"/>
      <w:divBdr>
        <w:top w:val="none" w:sz="0" w:space="0" w:color="auto"/>
        <w:left w:val="none" w:sz="0" w:space="0" w:color="auto"/>
        <w:bottom w:val="none" w:sz="0" w:space="0" w:color="auto"/>
        <w:right w:val="none" w:sz="0" w:space="0" w:color="auto"/>
      </w:divBdr>
      <w:divsChild>
        <w:div w:id="2121996131">
          <w:marLeft w:val="0"/>
          <w:marRight w:val="0"/>
          <w:marTop w:val="0"/>
          <w:marBottom w:val="0"/>
          <w:divBdr>
            <w:top w:val="none" w:sz="0" w:space="0" w:color="auto"/>
            <w:left w:val="none" w:sz="0" w:space="0" w:color="auto"/>
            <w:bottom w:val="none" w:sz="0" w:space="0" w:color="auto"/>
            <w:right w:val="none" w:sz="0" w:space="0" w:color="auto"/>
          </w:divBdr>
        </w:div>
      </w:divsChild>
    </w:div>
    <w:div w:id="897471958">
      <w:bodyDiv w:val="1"/>
      <w:marLeft w:val="0"/>
      <w:marRight w:val="0"/>
      <w:marTop w:val="0"/>
      <w:marBottom w:val="0"/>
      <w:divBdr>
        <w:top w:val="none" w:sz="0" w:space="0" w:color="auto"/>
        <w:left w:val="none" w:sz="0" w:space="0" w:color="auto"/>
        <w:bottom w:val="none" w:sz="0" w:space="0" w:color="auto"/>
        <w:right w:val="none" w:sz="0" w:space="0" w:color="auto"/>
      </w:divBdr>
    </w:div>
    <w:div w:id="906496994">
      <w:bodyDiv w:val="1"/>
      <w:marLeft w:val="0"/>
      <w:marRight w:val="0"/>
      <w:marTop w:val="0"/>
      <w:marBottom w:val="0"/>
      <w:divBdr>
        <w:top w:val="none" w:sz="0" w:space="0" w:color="auto"/>
        <w:left w:val="none" w:sz="0" w:space="0" w:color="auto"/>
        <w:bottom w:val="none" w:sz="0" w:space="0" w:color="auto"/>
        <w:right w:val="none" w:sz="0" w:space="0" w:color="auto"/>
      </w:divBdr>
    </w:div>
    <w:div w:id="930896398">
      <w:bodyDiv w:val="1"/>
      <w:marLeft w:val="0"/>
      <w:marRight w:val="0"/>
      <w:marTop w:val="0"/>
      <w:marBottom w:val="0"/>
      <w:divBdr>
        <w:top w:val="none" w:sz="0" w:space="0" w:color="auto"/>
        <w:left w:val="none" w:sz="0" w:space="0" w:color="auto"/>
        <w:bottom w:val="none" w:sz="0" w:space="0" w:color="auto"/>
        <w:right w:val="none" w:sz="0" w:space="0" w:color="auto"/>
      </w:divBdr>
    </w:div>
    <w:div w:id="935864828">
      <w:bodyDiv w:val="1"/>
      <w:marLeft w:val="0"/>
      <w:marRight w:val="0"/>
      <w:marTop w:val="0"/>
      <w:marBottom w:val="0"/>
      <w:divBdr>
        <w:top w:val="none" w:sz="0" w:space="0" w:color="auto"/>
        <w:left w:val="none" w:sz="0" w:space="0" w:color="auto"/>
        <w:bottom w:val="none" w:sz="0" w:space="0" w:color="auto"/>
        <w:right w:val="none" w:sz="0" w:space="0" w:color="auto"/>
      </w:divBdr>
    </w:div>
    <w:div w:id="1037388622">
      <w:bodyDiv w:val="1"/>
      <w:marLeft w:val="0"/>
      <w:marRight w:val="0"/>
      <w:marTop w:val="0"/>
      <w:marBottom w:val="0"/>
      <w:divBdr>
        <w:top w:val="none" w:sz="0" w:space="0" w:color="auto"/>
        <w:left w:val="none" w:sz="0" w:space="0" w:color="auto"/>
        <w:bottom w:val="none" w:sz="0" w:space="0" w:color="auto"/>
        <w:right w:val="none" w:sz="0" w:space="0" w:color="auto"/>
      </w:divBdr>
    </w:div>
    <w:div w:id="1075787754">
      <w:bodyDiv w:val="1"/>
      <w:marLeft w:val="0"/>
      <w:marRight w:val="0"/>
      <w:marTop w:val="0"/>
      <w:marBottom w:val="0"/>
      <w:divBdr>
        <w:top w:val="none" w:sz="0" w:space="0" w:color="auto"/>
        <w:left w:val="none" w:sz="0" w:space="0" w:color="auto"/>
        <w:bottom w:val="none" w:sz="0" w:space="0" w:color="auto"/>
        <w:right w:val="none" w:sz="0" w:space="0" w:color="auto"/>
      </w:divBdr>
    </w:div>
    <w:div w:id="1098327389">
      <w:bodyDiv w:val="1"/>
      <w:marLeft w:val="0"/>
      <w:marRight w:val="0"/>
      <w:marTop w:val="0"/>
      <w:marBottom w:val="0"/>
      <w:divBdr>
        <w:top w:val="none" w:sz="0" w:space="0" w:color="auto"/>
        <w:left w:val="none" w:sz="0" w:space="0" w:color="auto"/>
        <w:bottom w:val="none" w:sz="0" w:space="0" w:color="auto"/>
        <w:right w:val="none" w:sz="0" w:space="0" w:color="auto"/>
      </w:divBdr>
    </w:div>
    <w:div w:id="1223253427">
      <w:bodyDiv w:val="1"/>
      <w:marLeft w:val="0"/>
      <w:marRight w:val="0"/>
      <w:marTop w:val="0"/>
      <w:marBottom w:val="0"/>
      <w:divBdr>
        <w:top w:val="none" w:sz="0" w:space="0" w:color="auto"/>
        <w:left w:val="none" w:sz="0" w:space="0" w:color="auto"/>
        <w:bottom w:val="none" w:sz="0" w:space="0" w:color="auto"/>
        <w:right w:val="none" w:sz="0" w:space="0" w:color="auto"/>
      </w:divBdr>
    </w:div>
    <w:div w:id="1227375814">
      <w:bodyDiv w:val="1"/>
      <w:marLeft w:val="0"/>
      <w:marRight w:val="0"/>
      <w:marTop w:val="0"/>
      <w:marBottom w:val="0"/>
      <w:divBdr>
        <w:top w:val="none" w:sz="0" w:space="0" w:color="auto"/>
        <w:left w:val="none" w:sz="0" w:space="0" w:color="auto"/>
        <w:bottom w:val="none" w:sz="0" w:space="0" w:color="auto"/>
        <w:right w:val="none" w:sz="0" w:space="0" w:color="auto"/>
      </w:divBdr>
    </w:div>
    <w:div w:id="1241017920">
      <w:bodyDiv w:val="1"/>
      <w:marLeft w:val="0"/>
      <w:marRight w:val="0"/>
      <w:marTop w:val="0"/>
      <w:marBottom w:val="0"/>
      <w:divBdr>
        <w:top w:val="none" w:sz="0" w:space="0" w:color="auto"/>
        <w:left w:val="none" w:sz="0" w:space="0" w:color="auto"/>
        <w:bottom w:val="none" w:sz="0" w:space="0" w:color="auto"/>
        <w:right w:val="none" w:sz="0" w:space="0" w:color="auto"/>
      </w:divBdr>
    </w:div>
    <w:div w:id="1261832391">
      <w:bodyDiv w:val="1"/>
      <w:marLeft w:val="0"/>
      <w:marRight w:val="0"/>
      <w:marTop w:val="0"/>
      <w:marBottom w:val="0"/>
      <w:divBdr>
        <w:top w:val="none" w:sz="0" w:space="0" w:color="auto"/>
        <w:left w:val="none" w:sz="0" w:space="0" w:color="auto"/>
        <w:bottom w:val="none" w:sz="0" w:space="0" w:color="auto"/>
        <w:right w:val="none" w:sz="0" w:space="0" w:color="auto"/>
      </w:divBdr>
    </w:div>
    <w:div w:id="1288197253">
      <w:bodyDiv w:val="1"/>
      <w:marLeft w:val="0"/>
      <w:marRight w:val="0"/>
      <w:marTop w:val="0"/>
      <w:marBottom w:val="0"/>
      <w:divBdr>
        <w:top w:val="none" w:sz="0" w:space="0" w:color="auto"/>
        <w:left w:val="none" w:sz="0" w:space="0" w:color="auto"/>
        <w:bottom w:val="none" w:sz="0" w:space="0" w:color="auto"/>
        <w:right w:val="none" w:sz="0" w:space="0" w:color="auto"/>
      </w:divBdr>
    </w:div>
    <w:div w:id="1400010609">
      <w:bodyDiv w:val="1"/>
      <w:marLeft w:val="0"/>
      <w:marRight w:val="0"/>
      <w:marTop w:val="0"/>
      <w:marBottom w:val="0"/>
      <w:divBdr>
        <w:top w:val="none" w:sz="0" w:space="0" w:color="auto"/>
        <w:left w:val="none" w:sz="0" w:space="0" w:color="auto"/>
        <w:bottom w:val="none" w:sz="0" w:space="0" w:color="auto"/>
        <w:right w:val="none" w:sz="0" w:space="0" w:color="auto"/>
      </w:divBdr>
    </w:div>
    <w:div w:id="1441678932">
      <w:bodyDiv w:val="1"/>
      <w:marLeft w:val="0"/>
      <w:marRight w:val="0"/>
      <w:marTop w:val="0"/>
      <w:marBottom w:val="0"/>
      <w:divBdr>
        <w:top w:val="none" w:sz="0" w:space="0" w:color="auto"/>
        <w:left w:val="none" w:sz="0" w:space="0" w:color="auto"/>
        <w:bottom w:val="none" w:sz="0" w:space="0" w:color="auto"/>
        <w:right w:val="none" w:sz="0" w:space="0" w:color="auto"/>
      </w:divBdr>
    </w:div>
    <w:div w:id="1456870153">
      <w:bodyDiv w:val="1"/>
      <w:marLeft w:val="0"/>
      <w:marRight w:val="0"/>
      <w:marTop w:val="0"/>
      <w:marBottom w:val="0"/>
      <w:divBdr>
        <w:top w:val="none" w:sz="0" w:space="0" w:color="auto"/>
        <w:left w:val="none" w:sz="0" w:space="0" w:color="auto"/>
        <w:bottom w:val="none" w:sz="0" w:space="0" w:color="auto"/>
        <w:right w:val="none" w:sz="0" w:space="0" w:color="auto"/>
      </w:divBdr>
    </w:div>
    <w:div w:id="1472359794">
      <w:bodyDiv w:val="1"/>
      <w:marLeft w:val="0"/>
      <w:marRight w:val="0"/>
      <w:marTop w:val="0"/>
      <w:marBottom w:val="0"/>
      <w:divBdr>
        <w:top w:val="none" w:sz="0" w:space="0" w:color="auto"/>
        <w:left w:val="none" w:sz="0" w:space="0" w:color="auto"/>
        <w:bottom w:val="none" w:sz="0" w:space="0" w:color="auto"/>
        <w:right w:val="none" w:sz="0" w:space="0" w:color="auto"/>
      </w:divBdr>
    </w:div>
    <w:div w:id="1511526932">
      <w:bodyDiv w:val="1"/>
      <w:marLeft w:val="0"/>
      <w:marRight w:val="0"/>
      <w:marTop w:val="0"/>
      <w:marBottom w:val="0"/>
      <w:divBdr>
        <w:top w:val="none" w:sz="0" w:space="0" w:color="auto"/>
        <w:left w:val="none" w:sz="0" w:space="0" w:color="auto"/>
        <w:bottom w:val="none" w:sz="0" w:space="0" w:color="auto"/>
        <w:right w:val="none" w:sz="0" w:space="0" w:color="auto"/>
      </w:divBdr>
      <w:divsChild>
        <w:div w:id="509220477">
          <w:marLeft w:val="0"/>
          <w:marRight w:val="0"/>
          <w:marTop w:val="0"/>
          <w:marBottom w:val="0"/>
          <w:divBdr>
            <w:top w:val="none" w:sz="0" w:space="0" w:color="auto"/>
            <w:left w:val="none" w:sz="0" w:space="0" w:color="auto"/>
            <w:bottom w:val="none" w:sz="0" w:space="0" w:color="auto"/>
            <w:right w:val="none" w:sz="0" w:space="0" w:color="auto"/>
          </w:divBdr>
        </w:div>
        <w:div w:id="767044657">
          <w:marLeft w:val="0"/>
          <w:marRight w:val="0"/>
          <w:marTop w:val="0"/>
          <w:marBottom w:val="0"/>
          <w:divBdr>
            <w:top w:val="none" w:sz="0" w:space="0" w:color="auto"/>
            <w:left w:val="none" w:sz="0" w:space="0" w:color="auto"/>
            <w:bottom w:val="none" w:sz="0" w:space="0" w:color="auto"/>
            <w:right w:val="none" w:sz="0" w:space="0" w:color="auto"/>
          </w:divBdr>
        </w:div>
        <w:div w:id="1725711419">
          <w:marLeft w:val="0"/>
          <w:marRight w:val="0"/>
          <w:marTop w:val="0"/>
          <w:marBottom w:val="0"/>
          <w:divBdr>
            <w:top w:val="none" w:sz="0" w:space="0" w:color="auto"/>
            <w:left w:val="none" w:sz="0" w:space="0" w:color="auto"/>
            <w:bottom w:val="none" w:sz="0" w:space="0" w:color="auto"/>
            <w:right w:val="none" w:sz="0" w:space="0" w:color="auto"/>
          </w:divBdr>
        </w:div>
      </w:divsChild>
    </w:div>
    <w:div w:id="1552771665">
      <w:bodyDiv w:val="1"/>
      <w:marLeft w:val="0"/>
      <w:marRight w:val="0"/>
      <w:marTop w:val="0"/>
      <w:marBottom w:val="0"/>
      <w:divBdr>
        <w:top w:val="none" w:sz="0" w:space="0" w:color="auto"/>
        <w:left w:val="none" w:sz="0" w:space="0" w:color="auto"/>
        <w:bottom w:val="none" w:sz="0" w:space="0" w:color="auto"/>
        <w:right w:val="none" w:sz="0" w:space="0" w:color="auto"/>
      </w:divBdr>
    </w:div>
    <w:div w:id="1590305699">
      <w:bodyDiv w:val="1"/>
      <w:marLeft w:val="0"/>
      <w:marRight w:val="0"/>
      <w:marTop w:val="0"/>
      <w:marBottom w:val="0"/>
      <w:divBdr>
        <w:top w:val="none" w:sz="0" w:space="0" w:color="auto"/>
        <w:left w:val="none" w:sz="0" w:space="0" w:color="auto"/>
        <w:bottom w:val="none" w:sz="0" w:space="0" w:color="auto"/>
        <w:right w:val="none" w:sz="0" w:space="0" w:color="auto"/>
      </w:divBdr>
    </w:div>
    <w:div w:id="1594167560">
      <w:bodyDiv w:val="1"/>
      <w:marLeft w:val="0"/>
      <w:marRight w:val="0"/>
      <w:marTop w:val="0"/>
      <w:marBottom w:val="0"/>
      <w:divBdr>
        <w:top w:val="none" w:sz="0" w:space="0" w:color="auto"/>
        <w:left w:val="none" w:sz="0" w:space="0" w:color="auto"/>
        <w:bottom w:val="none" w:sz="0" w:space="0" w:color="auto"/>
        <w:right w:val="none" w:sz="0" w:space="0" w:color="auto"/>
      </w:divBdr>
    </w:div>
    <w:div w:id="1637636089">
      <w:bodyDiv w:val="1"/>
      <w:marLeft w:val="0"/>
      <w:marRight w:val="0"/>
      <w:marTop w:val="0"/>
      <w:marBottom w:val="0"/>
      <w:divBdr>
        <w:top w:val="none" w:sz="0" w:space="0" w:color="auto"/>
        <w:left w:val="none" w:sz="0" w:space="0" w:color="auto"/>
        <w:bottom w:val="none" w:sz="0" w:space="0" w:color="auto"/>
        <w:right w:val="none" w:sz="0" w:space="0" w:color="auto"/>
      </w:divBdr>
    </w:div>
    <w:div w:id="1685089717">
      <w:bodyDiv w:val="1"/>
      <w:marLeft w:val="0"/>
      <w:marRight w:val="0"/>
      <w:marTop w:val="0"/>
      <w:marBottom w:val="0"/>
      <w:divBdr>
        <w:top w:val="none" w:sz="0" w:space="0" w:color="auto"/>
        <w:left w:val="none" w:sz="0" w:space="0" w:color="auto"/>
        <w:bottom w:val="none" w:sz="0" w:space="0" w:color="auto"/>
        <w:right w:val="none" w:sz="0" w:space="0" w:color="auto"/>
      </w:divBdr>
    </w:div>
    <w:div w:id="1726485527">
      <w:bodyDiv w:val="1"/>
      <w:marLeft w:val="0"/>
      <w:marRight w:val="0"/>
      <w:marTop w:val="0"/>
      <w:marBottom w:val="0"/>
      <w:divBdr>
        <w:top w:val="none" w:sz="0" w:space="0" w:color="auto"/>
        <w:left w:val="none" w:sz="0" w:space="0" w:color="auto"/>
        <w:bottom w:val="none" w:sz="0" w:space="0" w:color="auto"/>
        <w:right w:val="none" w:sz="0" w:space="0" w:color="auto"/>
      </w:divBdr>
      <w:divsChild>
        <w:div w:id="377701857">
          <w:marLeft w:val="0"/>
          <w:marRight w:val="0"/>
          <w:marTop w:val="0"/>
          <w:marBottom w:val="0"/>
          <w:divBdr>
            <w:top w:val="none" w:sz="0" w:space="0" w:color="auto"/>
            <w:left w:val="none" w:sz="0" w:space="0" w:color="auto"/>
            <w:bottom w:val="none" w:sz="0" w:space="0" w:color="auto"/>
            <w:right w:val="none" w:sz="0" w:space="0" w:color="auto"/>
          </w:divBdr>
        </w:div>
      </w:divsChild>
    </w:div>
    <w:div w:id="1766144955">
      <w:bodyDiv w:val="1"/>
      <w:marLeft w:val="0"/>
      <w:marRight w:val="0"/>
      <w:marTop w:val="0"/>
      <w:marBottom w:val="0"/>
      <w:divBdr>
        <w:top w:val="none" w:sz="0" w:space="0" w:color="auto"/>
        <w:left w:val="none" w:sz="0" w:space="0" w:color="auto"/>
        <w:bottom w:val="none" w:sz="0" w:space="0" w:color="auto"/>
        <w:right w:val="none" w:sz="0" w:space="0" w:color="auto"/>
      </w:divBdr>
    </w:div>
    <w:div w:id="1844200793">
      <w:bodyDiv w:val="1"/>
      <w:marLeft w:val="0"/>
      <w:marRight w:val="0"/>
      <w:marTop w:val="0"/>
      <w:marBottom w:val="0"/>
      <w:divBdr>
        <w:top w:val="none" w:sz="0" w:space="0" w:color="auto"/>
        <w:left w:val="none" w:sz="0" w:space="0" w:color="auto"/>
        <w:bottom w:val="none" w:sz="0" w:space="0" w:color="auto"/>
        <w:right w:val="none" w:sz="0" w:space="0" w:color="auto"/>
      </w:divBdr>
    </w:div>
    <w:div w:id="1866362136">
      <w:bodyDiv w:val="1"/>
      <w:marLeft w:val="0"/>
      <w:marRight w:val="0"/>
      <w:marTop w:val="0"/>
      <w:marBottom w:val="0"/>
      <w:divBdr>
        <w:top w:val="none" w:sz="0" w:space="0" w:color="auto"/>
        <w:left w:val="none" w:sz="0" w:space="0" w:color="auto"/>
        <w:bottom w:val="none" w:sz="0" w:space="0" w:color="auto"/>
        <w:right w:val="none" w:sz="0" w:space="0" w:color="auto"/>
      </w:divBdr>
    </w:div>
    <w:div w:id="1924950943">
      <w:bodyDiv w:val="1"/>
      <w:marLeft w:val="0"/>
      <w:marRight w:val="0"/>
      <w:marTop w:val="0"/>
      <w:marBottom w:val="0"/>
      <w:divBdr>
        <w:top w:val="none" w:sz="0" w:space="0" w:color="auto"/>
        <w:left w:val="none" w:sz="0" w:space="0" w:color="auto"/>
        <w:bottom w:val="none" w:sz="0" w:space="0" w:color="auto"/>
        <w:right w:val="none" w:sz="0" w:space="0" w:color="auto"/>
      </w:divBdr>
    </w:div>
    <w:div w:id="1966961795">
      <w:bodyDiv w:val="1"/>
      <w:marLeft w:val="0"/>
      <w:marRight w:val="0"/>
      <w:marTop w:val="0"/>
      <w:marBottom w:val="0"/>
      <w:divBdr>
        <w:top w:val="none" w:sz="0" w:space="0" w:color="auto"/>
        <w:left w:val="none" w:sz="0" w:space="0" w:color="auto"/>
        <w:bottom w:val="none" w:sz="0" w:space="0" w:color="auto"/>
        <w:right w:val="none" w:sz="0" w:space="0" w:color="auto"/>
      </w:divBdr>
    </w:div>
    <w:div w:id="1998999316">
      <w:bodyDiv w:val="1"/>
      <w:marLeft w:val="0"/>
      <w:marRight w:val="0"/>
      <w:marTop w:val="0"/>
      <w:marBottom w:val="0"/>
      <w:divBdr>
        <w:top w:val="none" w:sz="0" w:space="0" w:color="auto"/>
        <w:left w:val="none" w:sz="0" w:space="0" w:color="auto"/>
        <w:bottom w:val="none" w:sz="0" w:space="0" w:color="auto"/>
        <w:right w:val="none" w:sz="0" w:space="0" w:color="auto"/>
      </w:divBdr>
      <w:divsChild>
        <w:div w:id="468910771">
          <w:marLeft w:val="0"/>
          <w:marRight w:val="0"/>
          <w:marTop w:val="0"/>
          <w:marBottom w:val="0"/>
          <w:divBdr>
            <w:top w:val="none" w:sz="0" w:space="0" w:color="auto"/>
            <w:left w:val="none" w:sz="0" w:space="0" w:color="auto"/>
            <w:bottom w:val="none" w:sz="0" w:space="0" w:color="auto"/>
            <w:right w:val="none" w:sz="0" w:space="0" w:color="auto"/>
          </w:divBdr>
        </w:div>
      </w:divsChild>
    </w:div>
    <w:div w:id="2009668267">
      <w:bodyDiv w:val="1"/>
      <w:marLeft w:val="0"/>
      <w:marRight w:val="0"/>
      <w:marTop w:val="0"/>
      <w:marBottom w:val="0"/>
      <w:divBdr>
        <w:top w:val="none" w:sz="0" w:space="0" w:color="auto"/>
        <w:left w:val="none" w:sz="0" w:space="0" w:color="auto"/>
        <w:bottom w:val="none" w:sz="0" w:space="0" w:color="auto"/>
        <w:right w:val="none" w:sz="0" w:space="0" w:color="auto"/>
      </w:divBdr>
    </w:div>
    <w:div w:id="2039115326">
      <w:bodyDiv w:val="1"/>
      <w:marLeft w:val="0"/>
      <w:marRight w:val="0"/>
      <w:marTop w:val="0"/>
      <w:marBottom w:val="0"/>
      <w:divBdr>
        <w:top w:val="none" w:sz="0" w:space="0" w:color="auto"/>
        <w:left w:val="none" w:sz="0" w:space="0" w:color="auto"/>
        <w:bottom w:val="none" w:sz="0" w:space="0" w:color="auto"/>
        <w:right w:val="none" w:sz="0" w:space="0" w:color="auto"/>
      </w:divBdr>
    </w:div>
    <w:div w:id="2090105977">
      <w:bodyDiv w:val="1"/>
      <w:marLeft w:val="0"/>
      <w:marRight w:val="0"/>
      <w:marTop w:val="0"/>
      <w:marBottom w:val="0"/>
      <w:divBdr>
        <w:top w:val="none" w:sz="0" w:space="0" w:color="auto"/>
        <w:left w:val="none" w:sz="0" w:space="0" w:color="auto"/>
        <w:bottom w:val="none" w:sz="0" w:space="0" w:color="auto"/>
        <w:right w:val="none" w:sz="0" w:space="0" w:color="auto"/>
      </w:divBdr>
    </w:div>
    <w:div w:id="2120560985">
      <w:bodyDiv w:val="1"/>
      <w:marLeft w:val="0"/>
      <w:marRight w:val="0"/>
      <w:marTop w:val="0"/>
      <w:marBottom w:val="0"/>
      <w:divBdr>
        <w:top w:val="none" w:sz="0" w:space="0" w:color="auto"/>
        <w:left w:val="none" w:sz="0" w:space="0" w:color="auto"/>
        <w:bottom w:val="none" w:sz="0" w:space="0" w:color="auto"/>
        <w:right w:val="none" w:sz="0" w:space="0" w:color="auto"/>
      </w:divBdr>
    </w:div>
    <w:div w:id="2120681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microsoft.com/office/2019/05/relationships/documenttasks" Target="documenttasks/documenttasks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FR/TXT/?uri=OJ:L_202600464" TargetMode="External"/><Relationship Id="rId13" Type="http://schemas.openxmlformats.org/officeDocument/2006/relationships/hyperlink" Target="https://www.euaa.europa.eu/publications/guidance-vulnerability-operational-standards-and-indicators" TargetMode="External"/><Relationship Id="rId18" Type="http://schemas.openxmlformats.org/officeDocument/2006/relationships/hyperlink" Target="https://www.euaa.europa.eu/publications/practical-guide-solidarity-mechanism-part-i" TargetMode="External"/><Relationship Id="rId26" Type="http://schemas.openxmlformats.org/officeDocument/2006/relationships/hyperlink" Target="https://eur-lex.europa.eu/legal-content/FR/TXT/PDF/?uri=CELEX:52025SC0162" TargetMode="External"/><Relationship Id="rId3" Type="http://schemas.openxmlformats.org/officeDocument/2006/relationships/hyperlink" Target="https://eur-lex.europa.eu/legal-content/FR/TXT/?uri=CELEX%3A52025DC0319&amp;qid=1776165712928" TargetMode="External"/><Relationship Id="rId21" Type="http://schemas.openxmlformats.org/officeDocument/2006/relationships/hyperlink" Target="https://fra.europa.eu/fr/publication/2026/operationalising-pact-migration-and-asylum-hotspot" TargetMode="External"/><Relationship Id="rId7" Type="http://schemas.openxmlformats.org/officeDocument/2006/relationships/hyperlink" Target="https://eur-lex.europa.eu/legal-content/FR/TXT/?uri=celex:52026DC0045" TargetMode="External"/><Relationship Id="rId12" Type="http://schemas.openxmlformats.org/officeDocument/2006/relationships/hyperlink" Target="https://www.euaa.europa.eu/publications/guidance-reception-operational-standards-and-indicators" TargetMode="External"/><Relationship Id="rId17" Type="http://schemas.openxmlformats.org/officeDocument/2006/relationships/hyperlink" Target="https://eur-lex.europa.eu/legal-content/FR/TXT/?uri=celex:52025DC0795" TargetMode="External"/><Relationship Id="rId25" Type="http://schemas.openxmlformats.org/officeDocument/2006/relationships/hyperlink" Target="https://www.euaa.europa.eu/publications/practical-guide-best-interests-child" TargetMode="External"/><Relationship Id="rId2" Type="http://schemas.openxmlformats.org/officeDocument/2006/relationships/hyperlink" Target="https://eur-lex.europa.eu/legal-content/FR/TXT/?uri=CELEX%3A52024DC0251&amp;qid=1776165824453" TargetMode="External"/><Relationship Id="rId16" Type="http://schemas.openxmlformats.org/officeDocument/2006/relationships/hyperlink" Target="https://www.euaa.europa.eu/publications/operational-standards-indicators-asylum-migration-management-regulation" TargetMode="External"/><Relationship Id="rId20" Type="http://schemas.openxmlformats.org/officeDocument/2006/relationships/hyperlink" Target="https://fra.europa.eu/fr/publication/2024/border-rights-monitoring" TargetMode="External"/><Relationship Id="rId1" Type="http://schemas.openxmlformats.org/officeDocument/2006/relationships/hyperlink" Target="https://home-affairs.ec.europa.eu/policies/migration-and-asylum/pact-migration-and-asylum/legislative-files-nutshell_fr" TargetMode="External"/><Relationship Id="rId6" Type="http://schemas.openxmlformats.org/officeDocument/2006/relationships/hyperlink" Target="https://eur-lex.europa.eu/legal-content/FR/TXT/?uri=CELEX%3A52025PC0101" TargetMode="External"/><Relationship Id="rId11" Type="http://schemas.openxmlformats.org/officeDocument/2006/relationships/hyperlink" Target="https://www.euaa.europa.eu/publications/practical-guide-management-reception-centre-arrival" TargetMode="External"/><Relationship Id="rId24" Type="http://schemas.openxmlformats.org/officeDocument/2006/relationships/hyperlink" Target="https://www.euaa.europa.eu/publications/age-assessment-practices-eu-countries-0" TargetMode="External"/><Relationship Id="rId5" Type="http://schemas.openxmlformats.org/officeDocument/2006/relationships/hyperlink" Target="https://home-affairs.ec.europa.eu/news/european-commission-provides-additional-eur-3-billion-support-migration-and-asylum-management-2025-05-12_fr" TargetMode="External"/><Relationship Id="rId15" Type="http://schemas.openxmlformats.org/officeDocument/2006/relationships/hyperlink" Target="https://www.euaa.europa.eu/sites/default/files/2025-11/2026_Courts_Tribunals_Schedule_Activities_EN.pdf" TargetMode="External"/><Relationship Id="rId23" Type="http://schemas.openxmlformats.org/officeDocument/2006/relationships/hyperlink" Target="https://www.euaa.europa.eu/publications/practical-guide-age-assessment-0" TargetMode="External"/><Relationship Id="rId10" Type="http://schemas.openxmlformats.org/officeDocument/2006/relationships/hyperlink" Target="https://www.euaa.europa.eu/training-catalogue/introduction-screening-context-international-protection" TargetMode="External"/><Relationship Id="rId19" Type="http://schemas.openxmlformats.org/officeDocument/2006/relationships/hyperlink" Target="https://www.consilium.europa.eu/media/y1vdyhkz/fr-20260319-european-council-conclusions.pdf" TargetMode="External"/><Relationship Id="rId4" Type="http://schemas.openxmlformats.org/officeDocument/2006/relationships/hyperlink" Target="https://eur-lex.europa.eu/legal-content/FR/TXT/?uri=celex:52025DC0795" TargetMode="External"/><Relationship Id="rId9" Type="http://schemas.openxmlformats.org/officeDocument/2006/relationships/hyperlink" Target="https://www.euaa.europa.eu/publications/practical-guide-asylum-border-procedure" TargetMode="External"/><Relationship Id="rId14" Type="http://schemas.openxmlformats.org/officeDocument/2006/relationships/hyperlink" Target="https://www.euaa.europa.eu/publications/operational-standards-indicators-asylum-procedure" TargetMode="External"/><Relationship Id="rId22" Type="http://schemas.openxmlformats.org/officeDocument/2006/relationships/hyperlink" Target="https://www.euaa.europa.eu/publications/practical-guide-free-legal-counselling" TargetMode="External"/><Relationship Id="rId27" Type="http://schemas.openxmlformats.org/officeDocument/2006/relationships/hyperlink" Target="https://socialinnovationplus.eu/cop/migrant-integration/" TargetMode="External"/></Relationships>
</file>

<file path=word/documenttasks/documenttasks1.xml><?xml version="1.0" encoding="utf-8"?>
<t:Tasks xmlns:t="http://schemas.microsoft.com/office/tasks/2019/documenttasks" xmlns:oel="http://schemas.microsoft.com/office/2019/extlst">
  <t:Task id="{84222397-A41E-42FA-B709-A48F5AE23E6A}">
    <t:Anchor>
      <t:Comment id="466089031"/>
    </t:Anchor>
    <t:History>
      <t:Event time="2026-02-19T08:24:50.679Z" id="{2704C52C-DE36-4764-81FB-2FFDE8ECEF74}">
        <t:Attribution userId="S::evangelia.siska1@ec.europa.eu::a6d9e586-6fe2-4317-a1fe-728172a89d9a" userName="SISKA Lila (HOME)" userProvider="AD"/>
        <t:Anchor>
          <t:Comment id="129919412"/>
        </t:Anchor>
        <t:Create/>
      </t:Event>
      <t:Event time="2026-02-19T08:24:50.679Z" id="{15B126C9-5FD3-460A-B000-7407B1EE3CAC}">
        <t:Attribution userId="S::evangelia.siska1@ec.europa.eu::a6d9e586-6fe2-4317-a1fe-728172a89d9a" userName="SISKA Lila (HOME)" userProvider="AD"/>
        <t:Anchor>
          <t:Comment id="129919412"/>
        </t:Anchor>
        <t:Assign userId="S::France.MOCHEL@ec.europa.eu::9fe9e971-9321-4612-881a-93f0d727d958" userName="MOCHEL France (HOME)" userProvider="AD"/>
      </t:Event>
      <t:Event time="2026-02-19T08:24:50.679Z" id="{16402EF1-0861-4DA2-889E-C4A6CBB9C7EC}">
        <t:Attribution userId="S::evangelia.siska1@ec.europa.eu::a6d9e586-6fe2-4317-a1fe-728172a89d9a" userName="SISKA Lila (HOME)" userProvider="AD"/>
        <t:Anchor>
          <t:Comment id="129919412"/>
        </t:Anchor>
        <t:SetTitle title="@MOCHEL France (HOME)"/>
      </t:Event>
    </t:History>
  </t:Task>
  <t:Task id="{F42A2E3A-0A2F-4C5B-AD5D-9763C438ED44}">
    <t:Anchor>
      <t:Comment id="1591873722"/>
    </t:Anchor>
    <t:History>
      <t:Event time="2026-02-26T13:35:16.358Z" id="{D7E93E9A-4EE4-49B2-B0B2-507C0E6C5523}">
        <t:Attribution userId="S::Anna.SCHMIDT@ec.europa.eu::0f3d0431-4347-4db0-8022-ddd64ec27c7e" userName="SCHMIDT Anna (HOME)" userProvider="AD"/>
        <t:Anchor>
          <t:Comment id="1591873722"/>
        </t:Anchor>
        <t:Create/>
      </t:Event>
      <t:Event time="2026-02-26T13:35:16.358Z" id="{A18E74FE-A81A-414A-BC51-D3AEE19DC8C5}">
        <t:Attribution userId="S::Anna.SCHMIDT@ec.europa.eu::0f3d0431-4347-4db0-8022-ddd64ec27c7e" userName="SCHMIDT Anna (HOME)" userProvider="AD"/>
        <t:Anchor>
          <t:Comment id="1591873722"/>
        </t:Anchor>
        <t:Assign userId="S::Jeroen.NAUS@ec.europa.eu::527f297d-8b83-43ca-98f1-0c61cb2e158e" userName="NAUS Jeroen (HOME)" userProvider="AD"/>
      </t:Event>
      <t:Event time="2026-02-26T13:35:16.358Z" id="{120F7E39-1188-4A09-AAE2-3871EAFC1FB7}">
        <t:Attribution userId="S::Anna.SCHMIDT@ec.europa.eu::0f3d0431-4347-4db0-8022-ddd64ec27c7e" userName="SCHMIDT Anna (HOME)" userProvider="AD"/>
        <t:Anchor>
          <t:Comment id="1591873722"/>
        </t:Anchor>
        <t:SetTitle title="@NAUS Jeroen (HOME) @BUZNOSU Agnes (HOME) can you let me know what I should use here? The new testing table you sent? "/>
      </t:Event>
      <t:Event time="2026-02-26T18:01:47.764Z" id="{E0E022A4-A224-4D10-8F47-EBDFA987D965}">
        <t:Attribution userId="S::Anna.SCHMIDT@ec.europa.eu::0f3d0431-4347-4db0-8022-ddd64ec27c7e" userName="SCHMIDT Anna (HOME)" userProvider="AD"/>
        <t:Anchor>
          <t:Comment id="82804095"/>
        </t:Anchor>
        <t:UnassignAll/>
      </t:Event>
      <t:Event time="2026-02-26T18:01:47.764Z" id="{2DC3EE33-B4B8-4FC9-AD19-3A3BDBC8206F}">
        <t:Attribution userId="S::Anna.SCHMIDT@ec.europa.eu::0f3d0431-4347-4db0-8022-ddd64ec27c7e" userName="SCHMIDT Anna (HOME)" userProvider="AD"/>
        <t:Anchor>
          <t:Comment id="82804095"/>
        </t:Anchor>
        <t:Assign userId="S::Agnes.BUZNOSU@ec.europa.eu::9ae562e4-8312-47f0-86cd-7d344b42a0d4" userName="BUZNOSU Agnes (HOME)" userProvider="AD"/>
      </t:Event>
      <t:Event time="2026-02-28T00:15:05.898Z" id="{E12BBA32-E1C1-47E4-B5D3-BC5A2F6C3305}">
        <t:Attribution userId="S::Anna.SCHMIDT@ec.europa.eu::0f3d0431-4347-4db0-8022-ddd64ec27c7e" userName="SCHMIDT Anna (HOME)" userProvider="AD"/>
        <t:Progress percentComplete="100"/>
      </t:Event>
    </t:History>
  </t:Task>
  <t:Task id="{9687236D-C9B4-43E5-8C81-86827B4FCF9A}">
    <t:Anchor>
      <t:Comment id="51897448"/>
    </t:Anchor>
    <t:History>
      <t:Event time="2026-03-10T10:28:23.681Z" id="{973E5AC9-45A3-4F4E-BACB-EC2285F5CD37}">
        <t:Attribution userId="S::Anna.SCHMIDT@ec.europa.eu::0f3d0431-4347-4db0-8022-ddd64ec27c7e" userName="SCHMIDT Anna (HOME)" userProvider="AD"/>
        <t:Anchor>
          <t:Comment id="444379748"/>
        </t:Anchor>
        <t:Create/>
      </t:Event>
      <t:Event time="2026-03-10T10:28:23.681Z" id="{3D4E0060-7FE0-426D-9EFC-E27E98411D62}">
        <t:Attribution userId="S::Anna.SCHMIDT@ec.europa.eu::0f3d0431-4347-4db0-8022-ddd64ec27c7e" userName="SCHMIDT Anna (HOME)" userProvider="AD"/>
        <t:Anchor>
          <t:Comment id="444379748"/>
        </t:Anchor>
        <t:Assign userId="S::Catherine.DELACOUR@ec.europa.eu::88ee0168-e10b-4212-9deb-830690908468" userName="DELACOUR Catherine (HOME)" userProvider="AD"/>
      </t:Event>
      <t:Event time="2026-03-10T10:28:23.681Z" id="{F364FDDA-5A5D-4F0E-B5C0-2EC023DBDE77}">
        <t:Attribution userId="S::Anna.SCHMIDT@ec.europa.eu::0f3d0431-4347-4db0-8022-ddd64ec27c7e" userName="SCHMIDT Anna (HOME)" userProvider="AD"/>
        <t:Anchor>
          <t:Comment id="444379748"/>
        </t:Anchor>
        <t:SetTitle title="@DELACOUR Catherine (HOME) @BURES Sarah (HOME) can you see if we need to update here or let us know when to check in with you again? "/>
      </t:Event>
      <t:Event time="2026-03-10T13:32:39.23Z" id="{8ECFDE7A-7313-44E9-BC2A-056A4270EDFD}">
        <t:Attribution userId="S::sarah.bures@ec.europa.eu::4bae4685-0419-49e0-96f5-33dccc8caa59" userName="BURES Sarah (HOME)" userProvider="AD"/>
        <t:Anchor>
          <t:Comment id="582263102"/>
        </t:Anchor>
        <t:UnassignAll/>
      </t:Event>
      <t:Event time="2026-03-10T13:32:39.23Z" id="{0FC0B6BF-16D9-4470-AE69-D46BFB7A531A}">
        <t:Attribution userId="S::sarah.bures@ec.europa.eu::4bae4685-0419-49e0-96f5-33dccc8caa59" userName="BURES Sarah (HOME)" userProvider="AD"/>
        <t:Anchor>
          <t:Comment id="582263102"/>
        </t:Anchor>
        <t:Assign userId="S::Manon.UNDEN@ec.europa.eu::61355b93-f236-4ec9-a4a8-31372266da8c" userName="UNDEN Manon (HOME)" userProvider="AD"/>
      </t:Event>
      <t:Event time="2026-03-12T10:21:41.089Z" id="{C31BA0BB-A1B1-4199-AD9B-7324B545D9A1}">
        <t:Attribution userId="S::Anna.SCHMIDT@ec.europa.eu::0f3d0431-4347-4db0-8022-ddd64ec27c7e" userName="SCHMIDT Anna (HOME)" userProvider="AD"/>
        <t:Progress percentComplete="100"/>
      </t:Event>
      <t:Event time="2026-03-12T12:29:44.025Z" id="{7F906140-DC4C-42BC-A406-402486071951}">
        <t:Attribution userId="S::Anna.SCHMIDT@ec.europa.eu::0f3d0431-4347-4db0-8022-ddd64ec27c7e" userName="SCHMIDT Anna (HOME)" userProvider="AD"/>
        <t:Progress percentComplete="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e3b0e23-edc7-4d68-902a-f7eeae56b19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AEF338F37A4A9419D40C896D14C7EF5" ma:contentTypeVersion="10" ma:contentTypeDescription="Create a new document." ma:contentTypeScope="" ma:versionID="89f8f49266763973b1b4ca962421c2fc">
  <xsd:schema xmlns:xsd="http://www.w3.org/2001/XMLSchema" xmlns:xs="http://www.w3.org/2001/XMLSchema" xmlns:p="http://schemas.microsoft.com/office/2006/metadata/properties" xmlns:ns2="5e3b0e23-edc7-4d68-902a-f7eeae56b19b" targetNamespace="http://schemas.microsoft.com/office/2006/metadata/properties" ma:root="true" ma:fieldsID="4313a4ce9e3801f1f65aaee094b6f03e" ns2:_="">
    <xsd:import namespace="5e3b0e23-edc7-4d68-902a-f7eeae56b1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3b0e23-edc7-4d68-902a-f7eeae56b1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E39790-1435-46BE-9CFA-C8298B6A6EDB}">
  <ds:schemaRefs>
    <ds:schemaRef ds:uri="http://schemas.microsoft.com/sharepoint/v3/contenttype/forms"/>
  </ds:schemaRefs>
</ds:datastoreItem>
</file>

<file path=customXml/itemProps2.xml><?xml version="1.0" encoding="utf-8"?>
<ds:datastoreItem xmlns:ds="http://schemas.openxmlformats.org/officeDocument/2006/customXml" ds:itemID="{978EE589-7604-4542-BC2B-C87C740F850E}">
  <ds:schemaRefs>
    <ds:schemaRef ds:uri="http://schemas.microsoft.com/office/2006/metadata/properties"/>
    <ds:schemaRef ds:uri="http://schemas.microsoft.com/office/infopath/2007/PartnerControls"/>
    <ds:schemaRef ds:uri="5e3b0e23-edc7-4d68-902a-f7eeae56b19b"/>
  </ds:schemaRefs>
</ds:datastoreItem>
</file>

<file path=customXml/itemProps3.xml><?xml version="1.0" encoding="utf-8"?>
<ds:datastoreItem xmlns:ds="http://schemas.openxmlformats.org/officeDocument/2006/customXml" ds:itemID="{5918FF57-E95D-44E3-BBAE-6072C00C9D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3b0e23-edc7-4d68-902a-f7eeae56b1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6996BB-8A20-493E-93DE-EB95C6880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18</Pages>
  <Words>11025</Words>
  <Characters>62846</Characters>
  <Application>Microsoft Office Word</Application>
  <DocSecurity>0</DocSecurity>
  <Lines>523</Lines>
  <Paragraphs>147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cp:revision>
  <dcterms:created xsi:type="dcterms:W3CDTF">2026-05-04T07:09:00Z</dcterms:created>
  <dcterms:modified xsi:type="dcterms:W3CDTF">2026-06-17T06:40:00Z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CPTemplateID">
    <vt:lpwstr>CP-014</vt:lpwstr>
  </property>
  <property fmtid="{D5CDD505-2E9C-101B-9397-08002B2CF9AE}" pid="6" name="Created using">
    <vt:lpwstr>LW 9.1, Build 20240808</vt:lpwstr>
  </property>
  <property fmtid="{D5CDD505-2E9C-101B-9397-08002B2CF9AE}" pid="7" name="MSIP_Label_6bd9ddd1-4d20-43f6-abfa-fc3c07406f94_Enabled">
    <vt:lpwstr>true</vt:lpwstr>
  </property>
  <property fmtid="{D5CDD505-2E9C-101B-9397-08002B2CF9AE}" pid="8" name="MSIP_Label_6bd9ddd1-4d20-43f6-abfa-fc3c07406f94_SetDate">
    <vt:lpwstr>2025-10-02T17:02:40Z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da7d6071-9007-41a9-81ee-71b71a377940</vt:lpwstr>
  </property>
  <property fmtid="{D5CDD505-2E9C-101B-9397-08002B2CF9AE}" pid="13" name="MSIP_Label_6bd9ddd1-4d20-43f6-abfa-fc3c07406f94_ContentBits">
    <vt:lpwstr>0</vt:lpwstr>
  </property>
  <property fmtid="{D5CDD505-2E9C-101B-9397-08002B2CF9AE}" pid="14" name="MSIP_Label_6bd9ddd1-4d20-43f6-abfa-fc3c07406f94_Tag">
    <vt:lpwstr>10, 3, 0, 1</vt:lpwstr>
  </property>
  <property fmtid="{D5CDD505-2E9C-101B-9397-08002B2CF9AE}" pid="15" name="ContentTypeId">
    <vt:lpwstr>0x010100FAEF338F37A4A9419D40C896D14C7EF5</vt:lpwstr>
  </property>
  <property fmtid="{D5CDD505-2E9C-101B-9397-08002B2CF9AE}" pid="16" name="MediaServiceImageTags">
    <vt:lpwstr/>
  </property>
  <property fmtid="{D5CDD505-2E9C-101B-9397-08002B2CF9AE}" pid="17" name="Last edited using">
    <vt:lpwstr>LW 9.2, Build 20250828</vt:lpwstr>
  </property>
  <property fmtid="{D5CDD505-2E9C-101B-9397-08002B2CF9AE}" pid="18" name="DocStatus">
    <vt:lpwstr>Green</vt:lpwstr>
  </property>
</Properties>
</file>