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6F8E" w14:textId="3117FE2E" w:rsidR="00DD3858" w:rsidRPr="00336D27" w:rsidRDefault="00781E77" w:rsidP="00AD5B2F">
      <w:pPr>
        <w:pStyle w:val="Pagedecouverture"/>
        <w:rPr>
          <w:rStyle w:val="Strong"/>
          <w:rFonts w:eastAsiaTheme="majorEastAsia"/>
          <w:noProof/>
        </w:rPr>
      </w:pPr>
      <w:bookmarkStart w:id="0" w:name="LW_BM_COVERPAGE"/>
      <w:bookmarkStart w:id="1" w:name="_Hlk214898398"/>
      <w:r>
        <w:rPr>
          <w:rStyle w:val="Strong"/>
          <w:rFonts w:eastAsiaTheme="majorEastAsia"/>
          <w:noProof/>
        </w:rPr>
        <w:pict w14:anchorId="582405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9B9C6D0-E363-4347-ABC8-A290E7DAA0BA" style="width:455.25pt;height:342pt">
            <v:imagedata r:id="rId11" o:title=""/>
          </v:shape>
        </w:pict>
      </w:r>
    </w:p>
    <w:bookmarkEnd w:id="0"/>
    <w:p w14:paraId="2ED9E5E5" w14:textId="77777777" w:rsidR="00DC473C" w:rsidRPr="00336D27" w:rsidRDefault="00DC473C" w:rsidP="00DC473C">
      <w:pPr>
        <w:rPr>
          <w:rStyle w:val="Strong"/>
          <w:rFonts w:eastAsiaTheme="majorEastAsia"/>
          <w:noProof/>
        </w:rPr>
        <w:sectPr w:rsidR="00DC473C" w:rsidRPr="00336D27" w:rsidSect="00AD5B2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35985C" w14:textId="3E223A91" w:rsidR="00DE3658" w:rsidRPr="00336D27" w:rsidRDefault="00DE3658" w:rsidP="002D1C18">
      <w:pPr>
        <w:pStyle w:val="NormalWeb"/>
        <w:jc w:val="center"/>
        <w:rPr>
          <w:noProof/>
        </w:rPr>
      </w:pPr>
      <w:r>
        <w:rPr>
          <w:rStyle w:val="Strong"/>
          <w:noProof/>
        </w:rPr>
        <w:lastRenderedPageBreak/>
        <w:t>INCLUDEREA NORVEGIEI ÎN STRATEGIA UNIUNII EUROPENE PENTRU REGIUNEA MĂRII BALTICE</w:t>
      </w:r>
    </w:p>
    <w:p w14:paraId="6E473D03" w14:textId="0269E401" w:rsidR="00CC68AC" w:rsidRPr="00336D27" w:rsidRDefault="00CC68AC" w:rsidP="00C42C1B">
      <w:pPr>
        <w:pStyle w:val="ListParagraph"/>
        <w:numPr>
          <w:ilvl w:val="0"/>
          <w:numId w:val="3"/>
        </w:numPr>
        <w:spacing w:after="240"/>
        <w:ind w:left="360"/>
        <w:jc w:val="both"/>
        <w:rPr>
          <w:rStyle w:val="Strong"/>
          <w:rFonts w:ascii="Times New Roman" w:hAnsi="Times New Roman" w:cs="Times New Roman"/>
          <w:noProof/>
          <w:sz w:val="24"/>
          <w:szCs w:val="24"/>
        </w:rPr>
      </w:pPr>
      <w:r>
        <w:rPr>
          <w:rStyle w:val="Strong"/>
          <w:rFonts w:ascii="Times New Roman" w:hAnsi="Times New Roman"/>
          <w:noProof/>
          <w:sz w:val="24"/>
        </w:rPr>
        <w:t>Introducere</w:t>
      </w:r>
    </w:p>
    <w:p w14:paraId="3A1CEE27" w14:textId="02617720" w:rsidR="00351C9F" w:rsidRPr="00336D27" w:rsidRDefault="00351C9F" w:rsidP="00DE3658">
      <w:pPr>
        <w:spacing w:after="240"/>
        <w:jc w:val="both"/>
        <w:rPr>
          <w:rFonts w:ascii="Times New Roman" w:hAnsi="Times New Roman" w:cs="Times New Roman"/>
          <w:noProof/>
          <w:sz w:val="24"/>
          <w:szCs w:val="24"/>
        </w:rPr>
      </w:pPr>
      <w:r>
        <w:rPr>
          <w:rFonts w:ascii="Times New Roman" w:hAnsi="Times New Roman"/>
          <w:noProof/>
          <w:sz w:val="24"/>
        </w:rPr>
        <w:t xml:space="preserve">La 14 decembrie 2007, în concluziile președinției sale, Consiliul European a invitat Comisia să prezinte o strategie a Uniunii Europene pentru regiunea Mării Baltice. În urma acestei solicitări, Comisia a consultat pe larg părțile interesate. La 10 iunie 2009, Comisia a adoptat Comunicarea </w:t>
      </w:r>
      <w:bookmarkStart w:id="2" w:name="_Hlk214896508"/>
      <w:r>
        <w:rPr>
          <w:rFonts w:ascii="Times New Roman" w:hAnsi="Times New Roman"/>
          <w:noProof/>
          <w:sz w:val="24"/>
        </w:rPr>
        <w:t>privind Strategia UE pentru regiunea Mării Baltice</w:t>
      </w:r>
      <w:r>
        <w:rPr>
          <w:rStyle w:val="FootnoteReference"/>
          <w:rFonts w:ascii="Times New Roman" w:hAnsi="Times New Roman" w:cs="Times New Roman"/>
          <w:noProof/>
          <w:sz w:val="24"/>
          <w:szCs w:val="24"/>
        </w:rPr>
        <w:footnoteReference w:id="1"/>
      </w:r>
      <w:bookmarkEnd w:id="2"/>
      <w:r>
        <w:rPr>
          <w:rFonts w:ascii="Times New Roman" w:hAnsi="Times New Roman"/>
          <w:noProof/>
          <w:sz w:val="24"/>
        </w:rPr>
        <w:t xml:space="preserve"> (denumită în continuare „strategia”), prima strategie macroregională a UE. Consiliul European a aprobat strategia în concluziile sale din 29-30 octombrie 2009</w:t>
      </w:r>
      <w:r>
        <w:rPr>
          <w:rStyle w:val="FootnoteReference"/>
          <w:rFonts w:ascii="Times New Roman" w:hAnsi="Times New Roman" w:cs="Times New Roman"/>
          <w:noProof/>
          <w:sz w:val="24"/>
          <w:szCs w:val="24"/>
        </w:rPr>
        <w:footnoteReference w:id="2"/>
      </w:r>
      <w:r>
        <w:rPr>
          <w:rFonts w:ascii="Times New Roman" w:hAnsi="Times New Roman"/>
          <w:noProof/>
          <w:sz w:val="24"/>
        </w:rPr>
        <w:t>, solicitând „tuturor actorilor relevanți să acționeze rapid și să asigure punerea în aplicare deplină a strategiei”.</w:t>
      </w:r>
    </w:p>
    <w:p w14:paraId="43E33812" w14:textId="4420B6AE" w:rsidR="005950D0" w:rsidRPr="00336D27" w:rsidRDefault="005950D0" w:rsidP="00DE3658">
      <w:pPr>
        <w:spacing w:after="240"/>
        <w:jc w:val="both"/>
        <w:rPr>
          <w:rFonts w:ascii="Times New Roman" w:hAnsi="Times New Roman" w:cs="Times New Roman"/>
          <w:noProof/>
          <w:sz w:val="24"/>
          <w:szCs w:val="24"/>
        </w:rPr>
      </w:pPr>
      <w:r>
        <w:rPr>
          <w:rFonts w:ascii="Times New Roman" w:hAnsi="Times New Roman"/>
          <w:noProof/>
          <w:sz w:val="24"/>
        </w:rPr>
        <w:t xml:space="preserve">Ulterior, în iunie 2011, Comisia a publicat un raport privind progresele înregistrate. În concluziile sale din 15 noiembrie 2011, Consiliul Afaceri Generale a invitat Comisia să revizuiască strategia până la începutul anului 2012. </w:t>
      </w:r>
      <w:bookmarkStart w:id="3" w:name="_Hlk223713221"/>
      <w:r>
        <w:rPr>
          <w:rFonts w:ascii="Times New Roman" w:hAnsi="Times New Roman"/>
          <w:noProof/>
          <w:sz w:val="24"/>
        </w:rPr>
        <w:t>La 23 martie 2012, Comisia a adoptat o comunicare</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ca răspuns la această solicitare, propunând (i) îmbunătățiri ale orientării strategice și ale alinierii politicilor și finanțării, (ii) clarificarea responsabilităților diferiților actori implicați și (iii) îmbunătățirea comunicării.</w:t>
      </w:r>
      <w:bookmarkEnd w:id="3"/>
    </w:p>
    <w:p w14:paraId="5324ADB7" w14:textId="221C585A" w:rsidR="00DE3658" w:rsidRPr="00336D27" w:rsidRDefault="00DE3658" w:rsidP="00DE3658">
      <w:pPr>
        <w:spacing w:after="240"/>
        <w:jc w:val="both"/>
        <w:rPr>
          <w:rFonts w:ascii="Times New Roman" w:hAnsi="Times New Roman" w:cs="Times New Roman"/>
          <w:b/>
          <w:bCs/>
          <w:noProof/>
          <w:sz w:val="24"/>
          <w:szCs w:val="24"/>
        </w:rPr>
      </w:pPr>
      <w:r>
        <w:rPr>
          <w:rFonts w:ascii="Times New Roman" w:hAnsi="Times New Roman"/>
          <w:noProof/>
          <w:sz w:val="24"/>
        </w:rPr>
        <w:t xml:space="preserve">Strategia este pusă în aplicare de opt state membre (Danemarca, Estonia, Finlanda, Germania, Letonia, Lituania, Polonia și Suedia) și este structurată în jurul a trei obiective generale: </w:t>
      </w:r>
      <w:r>
        <w:rPr>
          <w:rStyle w:val="Strong"/>
          <w:rFonts w:ascii="Times New Roman" w:hAnsi="Times New Roman"/>
          <w:b w:val="0"/>
          <w:i/>
          <w:noProof/>
          <w:sz w:val="24"/>
        </w:rPr>
        <w:t>Salvarea mării</w:t>
      </w:r>
      <w:r>
        <w:rPr>
          <w:rFonts w:ascii="Times New Roman" w:hAnsi="Times New Roman"/>
          <w:noProof/>
          <w:sz w:val="24"/>
        </w:rPr>
        <w:t xml:space="preserve">, </w:t>
      </w:r>
      <w:r>
        <w:rPr>
          <w:rStyle w:val="Strong"/>
          <w:rFonts w:ascii="Times New Roman" w:hAnsi="Times New Roman"/>
          <w:b w:val="0"/>
          <w:i/>
          <w:noProof/>
          <w:sz w:val="24"/>
        </w:rPr>
        <w:t>Conectarea regiunii</w:t>
      </w:r>
      <w:r>
        <w:rPr>
          <w:rFonts w:ascii="Times New Roman" w:hAnsi="Times New Roman"/>
          <w:noProof/>
          <w:sz w:val="24"/>
        </w:rPr>
        <w:t xml:space="preserve"> și </w:t>
      </w:r>
      <w:r>
        <w:rPr>
          <w:rStyle w:val="Strong"/>
          <w:rFonts w:ascii="Times New Roman" w:hAnsi="Times New Roman"/>
          <w:b w:val="0"/>
          <w:i/>
          <w:noProof/>
          <w:sz w:val="24"/>
        </w:rPr>
        <w:t>Creșterea prosperității</w:t>
      </w:r>
      <w:r>
        <w:rPr>
          <w:rFonts w:ascii="Times New Roman" w:hAnsi="Times New Roman"/>
          <w:noProof/>
          <w:sz w:val="24"/>
        </w:rPr>
        <w:t>. Obiectivele abordează diverse provocări comune și interconectate în regiune, cum ar fi adaptarea la schimbările climatice, siguranța maritimă, energia, transporturile, conectivitatea, competitivitatea și protecția civilă.</w:t>
      </w:r>
    </w:p>
    <w:p w14:paraId="2BF446ED" w14:textId="4DEB3764" w:rsidR="000D5627" w:rsidRPr="00336D27" w:rsidRDefault="00CC68AC" w:rsidP="000D5627">
      <w:pPr>
        <w:spacing w:after="240"/>
        <w:jc w:val="both"/>
        <w:rPr>
          <w:rFonts w:ascii="Times New Roman" w:hAnsi="Times New Roman" w:cs="Times New Roman"/>
          <w:noProof/>
          <w:sz w:val="24"/>
          <w:szCs w:val="24"/>
        </w:rPr>
      </w:pPr>
      <w:r>
        <w:rPr>
          <w:rFonts w:ascii="Times New Roman" w:hAnsi="Times New Roman"/>
          <w:noProof/>
          <w:sz w:val="24"/>
        </w:rPr>
        <w:t>Pentru a atinge obiectivele strategiei, guvernele țărilor participante s-au angajat să își alinieze prioritățile naționale și regionale și să mobilizeze finanțarea UE și națională relevantă pentru punerea în aplicare a planului de acțiune. Începând din 2013, planul de acțiune al strategiei a fost actualizat de patru ori pentru a reflecta prioritățile regionale și ale UE, precum și nevoile emergente. Actualul plan de acțiune, adoptat în februarie 2021</w:t>
      </w:r>
      <w:r>
        <w:rPr>
          <w:rStyle w:val="FootnoteReference"/>
          <w:rFonts w:ascii="Times New Roman" w:hAnsi="Times New Roman" w:cs="Times New Roman"/>
          <w:noProof/>
          <w:sz w:val="24"/>
          <w:szCs w:val="24"/>
        </w:rPr>
        <w:footnoteReference w:id="4"/>
      </w:r>
      <w:r>
        <w:rPr>
          <w:rFonts w:ascii="Times New Roman" w:hAnsi="Times New Roman"/>
          <w:noProof/>
          <w:sz w:val="24"/>
        </w:rPr>
        <w:t>, a aliniat și mai mult strategia la obiectivele UE și a raționalizat structura acesteia prin reducerea numărului de acțiuni, gruparea acestora în 14 domenii de politică și crearea unei unități de sprijin specifice.</w:t>
      </w:r>
    </w:p>
    <w:p w14:paraId="6763D5C9" w14:textId="51CF28D4" w:rsidR="0060798C" w:rsidRDefault="00006E1E" w:rsidP="000D5627">
      <w:pPr>
        <w:spacing w:after="240"/>
        <w:jc w:val="both"/>
        <w:rPr>
          <w:rFonts w:ascii="Times New Roman" w:hAnsi="Times New Roman" w:cs="Times New Roman"/>
          <w:noProof/>
          <w:sz w:val="24"/>
          <w:szCs w:val="24"/>
        </w:rPr>
      </w:pPr>
      <w:r>
        <w:rPr>
          <w:rFonts w:ascii="Times New Roman" w:hAnsi="Times New Roman"/>
          <w:noProof/>
          <w:sz w:val="24"/>
        </w:rPr>
        <w:t xml:space="preserve">Strategia se axează pe statele membre care se învecinează cu Marea Baltică, dar salută cooperarea cu țările vecine care nu sunt membre ale UE, inclusiv Norvegia. </w:t>
      </w:r>
      <w:bookmarkStart w:id="4" w:name="_Hlk214956771"/>
      <w:r>
        <w:rPr>
          <w:rFonts w:ascii="Times New Roman" w:hAnsi="Times New Roman"/>
          <w:noProof/>
          <w:sz w:val="24"/>
        </w:rPr>
        <w:t xml:space="preserve">La 7 noiembrie 2025, Norvegia a prezentat președinției estoniene a strategiei o cerere oficială de aderare la strategie în calitate de membru cu drepturi depline. </w:t>
      </w:r>
      <w:bookmarkEnd w:id="4"/>
      <w:r>
        <w:rPr>
          <w:rFonts w:ascii="Times New Roman" w:hAnsi="Times New Roman"/>
          <w:noProof/>
          <w:sz w:val="24"/>
        </w:rPr>
        <w:t>La 28 noiembrie 2025, cele opt state membre care au participat la strategie și au fost reprezentate în cadrul grupului coordonatorilor naționali au aprobat această cerere. Președinția strategiei a transmis Comisiei, la 5 decembrie 2025, decizia Grupului coordonatorilor naționali de a include Norvegia în strategie.</w:t>
      </w:r>
      <w:bookmarkStart w:id="5" w:name="_Hlk214878083"/>
      <w:r>
        <w:rPr>
          <w:rFonts w:ascii="Times New Roman" w:hAnsi="Times New Roman"/>
          <w:noProof/>
          <w:sz w:val="24"/>
        </w:rPr>
        <w:t xml:space="preserve"> Ulterior, </w:t>
      </w:r>
      <w:r>
        <w:rPr>
          <w:rFonts w:ascii="Times New Roman" w:hAnsi="Times New Roman"/>
          <w:noProof/>
          <w:sz w:val="24"/>
        </w:rPr>
        <w:lastRenderedPageBreak/>
        <w:t xml:space="preserve">la 24 martie 2026, Comisia a înaintat Consiliului decizia, invitând Consiliul să ia măsurile necesare pentru a include Norvegia în strategie ca a noua țară participantă. </w:t>
      </w:r>
    </w:p>
    <w:p w14:paraId="745C852E" w14:textId="11AC5C7C" w:rsidR="00C827E7" w:rsidRPr="0060798C" w:rsidRDefault="0060798C" w:rsidP="000D5627">
      <w:pPr>
        <w:spacing w:after="240"/>
        <w:jc w:val="both"/>
        <w:rPr>
          <w:rFonts w:ascii="Times New Roman" w:hAnsi="Times New Roman" w:cs="Times New Roman"/>
          <w:noProof/>
          <w:sz w:val="24"/>
          <w:szCs w:val="24"/>
        </w:rPr>
      </w:pPr>
      <w:r>
        <w:rPr>
          <w:rFonts w:ascii="Times New Roman" w:hAnsi="Times New Roman"/>
          <w:noProof/>
          <w:sz w:val="24"/>
        </w:rPr>
        <w:t>În concluziile sale din 5 mai 2026, Consiliul a salutat și a acceptat solicitarea țărilor participante la strategie. Acesta a invitat Comisia Europeană să ia măsurile necesare pentru a include Norvegia în Strategia UE pentru regiunea Mării Baltice, să modifice strategia în consecință și să o prezinte Consiliului.</w:t>
      </w:r>
      <w:bookmarkStart w:id="6" w:name="_Hlk225512540"/>
    </w:p>
    <w:p w14:paraId="7014EDCE" w14:textId="0F365AD7" w:rsidR="00E274B0" w:rsidRDefault="00E274B0" w:rsidP="00C42C1B">
      <w:pPr>
        <w:pStyle w:val="ListParagraph"/>
        <w:numPr>
          <w:ilvl w:val="0"/>
          <w:numId w:val="3"/>
        </w:numPr>
        <w:spacing w:after="0"/>
        <w:ind w:left="360"/>
        <w:jc w:val="both"/>
        <w:rPr>
          <w:rStyle w:val="Strong"/>
          <w:rFonts w:ascii="Times New Roman" w:hAnsi="Times New Roman" w:cs="Times New Roman"/>
          <w:noProof/>
          <w:sz w:val="24"/>
          <w:szCs w:val="24"/>
        </w:rPr>
      </w:pPr>
      <w:r>
        <w:rPr>
          <w:rStyle w:val="Strong"/>
          <w:rFonts w:ascii="Times New Roman" w:hAnsi="Times New Roman"/>
          <w:noProof/>
          <w:sz w:val="24"/>
        </w:rPr>
        <w:t>Includerea Norvegiei în strategie</w:t>
      </w:r>
    </w:p>
    <w:p w14:paraId="5D07F3B7" w14:textId="77777777" w:rsidR="00C42C1B" w:rsidRPr="00336D27" w:rsidRDefault="00C42C1B" w:rsidP="00C42C1B">
      <w:pPr>
        <w:spacing w:after="0"/>
        <w:rPr>
          <w:rStyle w:val="Strong"/>
          <w:rFonts w:ascii="Times New Roman" w:hAnsi="Times New Roman" w:cs="Times New Roman"/>
          <w:noProof/>
          <w:sz w:val="24"/>
          <w:szCs w:val="24"/>
        </w:rPr>
      </w:pPr>
    </w:p>
    <w:bookmarkEnd w:id="6"/>
    <w:p w14:paraId="168A4293" w14:textId="21B41A64" w:rsidR="00DE3658" w:rsidRPr="00336D27" w:rsidRDefault="00DE3658" w:rsidP="00C42C1B">
      <w:pPr>
        <w:pStyle w:val="ListParagraph"/>
        <w:numPr>
          <w:ilvl w:val="0"/>
          <w:numId w:val="4"/>
        </w:numPr>
        <w:spacing w:after="0"/>
        <w:rPr>
          <w:rStyle w:val="Strong"/>
          <w:rFonts w:ascii="Times New Roman" w:hAnsi="Times New Roman" w:cs="Times New Roman"/>
          <w:noProof/>
          <w:sz w:val="24"/>
          <w:szCs w:val="24"/>
        </w:rPr>
      </w:pPr>
      <w:r>
        <w:rPr>
          <w:rStyle w:val="Strong"/>
          <w:rFonts w:ascii="Times New Roman" w:hAnsi="Times New Roman"/>
          <w:noProof/>
          <w:sz w:val="24"/>
        </w:rPr>
        <w:t>Context politic</w:t>
      </w:r>
    </w:p>
    <w:bookmarkEnd w:id="5"/>
    <w:p w14:paraId="4DF9FF6B" w14:textId="53A75546" w:rsidR="00272B95" w:rsidRPr="00336D27" w:rsidRDefault="00272B95" w:rsidP="00272B95">
      <w:pPr>
        <w:spacing w:after="240"/>
        <w:jc w:val="both"/>
        <w:rPr>
          <w:rFonts w:ascii="Times New Roman" w:hAnsi="Times New Roman" w:cs="Times New Roman"/>
          <w:noProof/>
          <w:sz w:val="24"/>
          <w:szCs w:val="24"/>
        </w:rPr>
      </w:pPr>
      <w:r>
        <w:rPr>
          <w:rFonts w:ascii="Times New Roman" w:hAnsi="Times New Roman"/>
          <w:noProof/>
          <w:sz w:val="24"/>
        </w:rPr>
        <w:t>Norvegia este un partener de lungă durată în regiunea Mării Baltice. De-a lungul anilor, aceasta a contribuit la activitatea din domeniile de politică și la mai multe proiecte desfășurate în cadrul strategiei. Norvegia participă în calitate de observator la Grupul coordonatorilor naționali, cel mai înalt organism decizional al strategiei, și participă la programul Interreg pentru regiunea Mării Baltice, principala sursă de finanțare. Programul și strategia sunt strâns legate, deoarece funcționează în aceeași zonă geografică și se consolidează reciproc. Strategia stabilește cadrul strategic și obiectivele, în timp ce programul Interreg oferă finanțare pentru proiecte care pun în aplicare obiectivele și sprijină guvernanța strategiei.</w:t>
      </w:r>
    </w:p>
    <w:p w14:paraId="5DF3FA12" w14:textId="6A98BB31" w:rsidR="00E316A6" w:rsidRPr="00336D27" w:rsidRDefault="00272B95" w:rsidP="00272B95">
      <w:pPr>
        <w:spacing w:after="240"/>
        <w:jc w:val="both"/>
        <w:rPr>
          <w:rFonts w:ascii="Times New Roman" w:hAnsi="Times New Roman" w:cs="Times New Roman"/>
          <w:noProof/>
          <w:sz w:val="24"/>
          <w:szCs w:val="24"/>
        </w:rPr>
      </w:pPr>
      <w:r>
        <w:rPr>
          <w:rFonts w:ascii="Times New Roman" w:hAnsi="Times New Roman"/>
          <w:noProof/>
          <w:sz w:val="24"/>
        </w:rPr>
        <w:t>În urma începerii războiului de agresiune al Rusiei împotriva Ucrainei, strategia a suspendat cooperarea cu Rusia și Belarus, ceea ce a remodelat și mai mult peisajul politic și geopolitic al regiunii. Deși această schimbare a limitat oarecum domeniul de aplicare al strategiei pentru a aborda provocările regionale comune, cum ar fi poluarea, atenuarea schimbărilor climatice, pierderea biodiversității și gestionarea riscurilor maritime, părțile interesate și-au intensificat totuși cooperarea, inclusiv în ceea ce privește contactele practice zilnice la diferite niveluri și în diferite domenii de politică.</w:t>
      </w:r>
    </w:p>
    <w:p w14:paraId="48059F03" w14:textId="238D3ECA" w:rsidR="00517AA5" w:rsidRPr="00336D27" w:rsidRDefault="00517AA5" w:rsidP="00272B95">
      <w:pPr>
        <w:spacing w:after="240"/>
        <w:jc w:val="both"/>
        <w:rPr>
          <w:rFonts w:ascii="Times New Roman" w:hAnsi="Times New Roman" w:cs="Times New Roman"/>
          <w:noProof/>
          <w:sz w:val="24"/>
          <w:szCs w:val="24"/>
        </w:rPr>
      </w:pPr>
      <w:r>
        <w:rPr>
          <w:rFonts w:ascii="Times New Roman" w:hAnsi="Times New Roman"/>
          <w:noProof/>
          <w:sz w:val="24"/>
        </w:rPr>
        <w:t>În acest context și având în vedere evoluțiile geopolitice, de mediu și economice semnificative din regiunea Mării Baltice, precum și angajamentul de lungă durată al Norvegiei în cadrul strategiei și interesul său tot mai mare pentru o cooperare mai strânsă în cadrul macroregiunii, este oportun să se oficializeze participarea Norvegiei pe picior de egalitate cu cele opt state membre care pun deja în aplicare strategia.</w:t>
      </w:r>
    </w:p>
    <w:p w14:paraId="3E200824" w14:textId="5E6BCC14" w:rsidR="00DE3658" w:rsidRPr="00336D27" w:rsidRDefault="00DE3658" w:rsidP="00781E77">
      <w:pPr>
        <w:pStyle w:val="ListParagraph"/>
        <w:numPr>
          <w:ilvl w:val="0"/>
          <w:numId w:val="4"/>
        </w:numPr>
        <w:spacing w:after="0"/>
        <w:rPr>
          <w:rStyle w:val="Strong"/>
          <w:rFonts w:ascii="Times New Roman" w:hAnsi="Times New Roman" w:cs="Times New Roman"/>
          <w:noProof/>
          <w:sz w:val="24"/>
          <w:szCs w:val="24"/>
        </w:rPr>
      </w:pPr>
      <w:r>
        <w:rPr>
          <w:rStyle w:val="Strong"/>
          <w:rFonts w:ascii="Times New Roman" w:hAnsi="Times New Roman"/>
          <w:noProof/>
          <w:sz w:val="24"/>
        </w:rPr>
        <w:t>Participarea Norvegiei la strategie</w:t>
      </w:r>
    </w:p>
    <w:p w14:paraId="58F548DC" w14:textId="66383E96" w:rsidR="00511621" w:rsidRPr="00336D27" w:rsidRDefault="00DE3658" w:rsidP="00511621">
      <w:pPr>
        <w:spacing w:after="240"/>
        <w:jc w:val="both"/>
        <w:rPr>
          <w:rFonts w:ascii="Times New Roman" w:hAnsi="Times New Roman" w:cs="Times New Roman"/>
          <w:noProof/>
          <w:sz w:val="24"/>
          <w:szCs w:val="24"/>
        </w:rPr>
      </w:pPr>
      <w:r>
        <w:rPr>
          <w:rFonts w:ascii="Times New Roman" w:hAnsi="Times New Roman"/>
          <w:noProof/>
          <w:sz w:val="24"/>
        </w:rPr>
        <w:t>Prezentul addendum la Comunicarea inițială privind Strategia UE pentru regiunea Mării Baltice din 10 iunie 2009 stabilește rolurile și responsabilitățile Norvegiei în guvernanța pe mai multe niveluri a strategiei și relația acesteia cu alte țări participante.</w:t>
      </w:r>
    </w:p>
    <w:p w14:paraId="19B8432C" w14:textId="64BCE295" w:rsidR="00C42C1B" w:rsidRDefault="00AF7883" w:rsidP="00EE31F3">
      <w:pPr>
        <w:spacing w:after="240"/>
        <w:jc w:val="both"/>
        <w:rPr>
          <w:rFonts w:ascii="Times New Roman" w:hAnsi="Times New Roman" w:cs="Times New Roman"/>
          <w:noProof/>
          <w:sz w:val="24"/>
          <w:szCs w:val="24"/>
        </w:rPr>
      </w:pPr>
      <w:r>
        <w:rPr>
          <w:rFonts w:ascii="Times New Roman" w:hAnsi="Times New Roman"/>
          <w:noProof/>
          <w:sz w:val="24"/>
        </w:rPr>
        <w:t>Prin includerea sa în strategie, Norvegia va avea dreptul de a participa la toate structurile de guvernanță ale strategiei, inclusiv la Forumul anual, la Grupul coordonatorilor naționali, la grupurile de coordonare pentru domeniile de politică și la orice alte organisme de guvernanță. De asemenea, își va asuma rolul de coordonator pentru un domeniu de politică. Norvegia va colabora cu părțile interesate de la diferite niveluri (autorități regionale și locale, societatea civilă, mediul de afaceri și mediul academic), reflectând principiile de guvernanță pe mai multe niveluri ale strategiei.</w:t>
      </w:r>
    </w:p>
    <w:p w14:paraId="3D4D6D82" w14:textId="77777777" w:rsidR="00C42C1B" w:rsidRDefault="00C42C1B">
      <w:pPr>
        <w:rPr>
          <w:rFonts w:ascii="Times New Roman" w:hAnsi="Times New Roman" w:cs="Times New Roman"/>
          <w:noProof/>
          <w:sz w:val="24"/>
          <w:szCs w:val="24"/>
        </w:rPr>
      </w:pPr>
      <w:r>
        <w:rPr>
          <w:noProof/>
        </w:rPr>
        <w:br w:type="page"/>
      </w:r>
    </w:p>
    <w:p w14:paraId="2E961869" w14:textId="3AD3DF96" w:rsidR="00E563AD" w:rsidRPr="00336D27" w:rsidRDefault="00DE3658" w:rsidP="00C42C1B">
      <w:pPr>
        <w:pStyle w:val="ListParagraph"/>
        <w:numPr>
          <w:ilvl w:val="0"/>
          <w:numId w:val="3"/>
        </w:numPr>
        <w:spacing w:before="600" w:after="240"/>
        <w:ind w:left="360"/>
        <w:jc w:val="both"/>
        <w:rPr>
          <w:rStyle w:val="Strong"/>
          <w:rFonts w:ascii="Times New Roman" w:hAnsi="Times New Roman" w:cs="Times New Roman"/>
          <w:noProof/>
          <w:sz w:val="24"/>
          <w:szCs w:val="24"/>
        </w:rPr>
      </w:pPr>
      <w:r>
        <w:rPr>
          <w:rStyle w:val="Strong"/>
          <w:rFonts w:ascii="Times New Roman" w:hAnsi="Times New Roman"/>
          <w:noProof/>
          <w:sz w:val="24"/>
        </w:rPr>
        <w:t>Concluzii</w:t>
      </w:r>
    </w:p>
    <w:p w14:paraId="4D8583E7" w14:textId="4E0ED17A" w:rsidR="0093587E" w:rsidRPr="00336D27" w:rsidRDefault="00DE3658" w:rsidP="00AF7883">
      <w:pPr>
        <w:spacing w:after="240"/>
        <w:jc w:val="both"/>
        <w:rPr>
          <w:noProof/>
        </w:rPr>
      </w:pPr>
      <w:r>
        <w:rPr>
          <w:rFonts w:ascii="Times New Roman" w:hAnsi="Times New Roman"/>
          <w:noProof/>
          <w:sz w:val="24"/>
        </w:rPr>
        <w:t>Includerea oficială a Norvegiei în Strategia UE pentru regiunea Mării Baltice va consolida și mai mult dimensiunea regională a strategiei și legătura dintre strategie și programul Interreg pentru regiunea Mării Baltice. De asemenea, aceasta va spori rezerva de expertiză și resurse, va aprofunda cooperarea interstatală în regiune și va asigura o abordare mai eficace a provocărilor comune. Participarea pe picior de egalitate cu celelalte țări participante va permite Norvegiei să își aprofundeze cooperarea într-un context macroregional și să sprijine realizarea obiectivelor strategiei în beneficiul întregii regiuni.</w:t>
      </w:r>
      <w:bookmarkEnd w:id="1"/>
    </w:p>
    <w:sectPr w:rsidR="0093587E" w:rsidRPr="00336D27" w:rsidSect="00F13A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389B" w14:textId="77777777" w:rsidR="00B03D08" w:rsidRPr="00336D27" w:rsidRDefault="00B03D08" w:rsidP="00F71F44">
      <w:pPr>
        <w:spacing w:after="0" w:line="240" w:lineRule="auto"/>
      </w:pPr>
      <w:r>
        <w:separator/>
      </w:r>
    </w:p>
  </w:endnote>
  <w:endnote w:type="continuationSeparator" w:id="0">
    <w:p w14:paraId="2096328C" w14:textId="77777777" w:rsidR="00B03D08" w:rsidRPr="00336D27" w:rsidRDefault="00B03D08" w:rsidP="00F71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5472" w14:textId="1A950B11" w:rsidR="00AD5B2F" w:rsidRPr="00AD5B2F" w:rsidRDefault="00AD5B2F" w:rsidP="00AD5B2F">
    <w:pPr>
      <w:pStyle w:val="FooterCoverPage"/>
      <w:rPr>
        <w:rFonts w:ascii="Arial" w:hAnsi="Arial" w:cs="Arial"/>
        <w:b/>
        <w:sz w:val="48"/>
      </w:rPr>
    </w:pPr>
    <w:r w:rsidRPr="00AD5B2F">
      <w:rPr>
        <w:rFonts w:ascii="Arial" w:hAnsi="Arial" w:cs="Arial"/>
        <w:b/>
        <w:sz w:val="48"/>
      </w:rPr>
      <w:t>RO</w:t>
    </w:r>
    <w:r w:rsidRPr="00AD5B2F">
      <w:rPr>
        <w:rFonts w:ascii="Arial" w:hAnsi="Arial" w:cs="Arial"/>
        <w:b/>
        <w:sz w:val="48"/>
      </w:rPr>
      <w:tab/>
    </w:r>
    <w:r w:rsidRPr="00AD5B2F">
      <w:rPr>
        <w:rFonts w:ascii="Arial" w:hAnsi="Arial" w:cs="Arial"/>
        <w:b/>
        <w:sz w:val="48"/>
      </w:rPr>
      <w:tab/>
    </w:r>
    <w:r w:rsidRPr="00AD5B2F">
      <w:tab/>
    </w:r>
    <w:r w:rsidRPr="00AD5B2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E22E" w14:textId="00DCE0FF" w:rsidR="00AD5B2F" w:rsidRPr="00AD5B2F" w:rsidRDefault="00AD5B2F" w:rsidP="00AD5B2F">
    <w:pPr>
      <w:pStyle w:val="FooterCoverPage"/>
      <w:rPr>
        <w:rFonts w:ascii="Arial" w:hAnsi="Arial" w:cs="Arial"/>
        <w:b/>
        <w:sz w:val="48"/>
      </w:rPr>
    </w:pPr>
    <w:r w:rsidRPr="00AD5B2F">
      <w:rPr>
        <w:rFonts w:ascii="Arial" w:hAnsi="Arial" w:cs="Arial"/>
        <w:b/>
        <w:sz w:val="48"/>
      </w:rPr>
      <w:t>RO</w:t>
    </w:r>
    <w:r w:rsidRPr="00AD5B2F">
      <w:rPr>
        <w:rFonts w:ascii="Arial" w:hAnsi="Arial" w:cs="Arial"/>
        <w:b/>
        <w:sz w:val="48"/>
      </w:rPr>
      <w:tab/>
    </w:r>
    <w:r w:rsidRPr="00AD5B2F">
      <w:rPr>
        <w:rFonts w:ascii="Arial" w:hAnsi="Arial" w:cs="Arial"/>
        <w:b/>
        <w:sz w:val="48"/>
      </w:rPr>
      <w:tab/>
    </w:r>
    <w:r w:rsidRPr="00AD5B2F">
      <w:tab/>
    </w:r>
    <w:r w:rsidRPr="00AD5B2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42F5" w14:textId="77777777" w:rsidR="00AD5B2F" w:rsidRPr="00AD5B2F" w:rsidRDefault="00AD5B2F" w:rsidP="00AD5B2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D2EF" w14:textId="77777777" w:rsidR="00542E4C" w:rsidRPr="00336D27" w:rsidRDefault="00542E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969270"/>
      <w:docPartObj>
        <w:docPartGallery w:val="Page Numbers (Bottom of Page)"/>
        <w:docPartUnique/>
      </w:docPartObj>
    </w:sdtPr>
    <w:sdtEndPr/>
    <w:sdtContent>
      <w:p w14:paraId="7E8EBBCB" w14:textId="1EC83933" w:rsidR="0023647B" w:rsidRPr="00336D27" w:rsidRDefault="0023647B">
        <w:pPr>
          <w:pStyle w:val="Footer"/>
          <w:jc w:val="right"/>
        </w:pPr>
        <w:r>
          <w:fldChar w:fldCharType="begin"/>
        </w:r>
        <w:r>
          <w:instrText xml:space="preserve"> PAGE   \* MERGEFORMAT </w:instrText>
        </w:r>
        <w:r>
          <w:fldChar w:fldCharType="separate"/>
        </w:r>
        <w:r w:rsidR="00AD5B2F">
          <w:rPr>
            <w:noProof/>
          </w:rPr>
          <w:t>1</w:t>
        </w:r>
        <w:r>
          <w:fldChar w:fldCharType="end"/>
        </w:r>
      </w:p>
    </w:sdtContent>
  </w:sdt>
  <w:p w14:paraId="44C76391" w14:textId="77777777" w:rsidR="0023647B" w:rsidRPr="00336D27" w:rsidRDefault="002364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1BAA0" w14:textId="77777777" w:rsidR="005747A3" w:rsidRPr="00336D27" w:rsidRDefault="00574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682C9" w14:textId="77777777" w:rsidR="00B03D08" w:rsidRPr="00336D27" w:rsidRDefault="00B03D08" w:rsidP="00F71F44">
      <w:pPr>
        <w:spacing w:after="0" w:line="240" w:lineRule="auto"/>
      </w:pPr>
      <w:r>
        <w:separator/>
      </w:r>
    </w:p>
  </w:footnote>
  <w:footnote w:type="continuationSeparator" w:id="0">
    <w:p w14:paraId="08925D3E" w14:textId="77777777" w:rsidR="00B03D08" w:rsidRPr="00336D27" w:rsidRDefault="00B03D08" w:rsidP="00F71F44">
      <w:pPr>
        <w:spacing w:after="0" w:line="240" w:lineRule="auto"/>
      </w:pPr>
      <w:r>
        <w:continuationSeparator/>
      </w:r>
    </w:p>
  </w:footnote>
  <w:footnote w:id="1">
    <w:p w14:paraId="7156664A" w14:textId="5A34686C" w:rsidR="00F71F44" w:rsidRPr="00336D27" w:rsidRDefault="00F71F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COM(2009) 248 final din 10 iunie 2009.</w:t>
      </w:r>
    </w:p>
  </w:footnote>
  <w:footnote w:id="2">
    <w:p w14:paraId="38F69647" w14:textId="6451E45C" w:rsidR="00F71F44" w:rsidRPr="00336D27" w:rsidRDefault="00F71F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Concluziile Consiliului European din 29 și 30 octombrie 2009 (EUCO 15265/1/09 REV 1).</w:t>
      </w:r>
    </w:p>
  </w:footnote>
  <w:footnote w:id="3">
    <w:p w14:paraId="33688F42" w14:textId="5540CA55" w:rsidR="005950D0" w:rsidRPr="00336D27" w:rsidRDefault="005950D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COM(2012) 128 final din 23 martie 2012.</w:t>
      </w:r>
    </w:p>
  </w:footnote>
  <w:footnote w:id="4">
    <w:p w14:paraId="3EEA8748" w14:textId="3A652044" w:rsidR="0013042E" w:rsidRPr="00336D27" w:rsidRDefault="0013042E">
      <w:pPr>
        <w:pStyle w:val="FootnoteText"/>
      </w:pPr>
      <w:r>
        <w:rPr>
          <w:rStyle w:val="FootnoteReference"/>
          <w:rFonts w:ascii="Times New Roman" w:hAnsi="Times New Roman" w:cs="Times New Roman"/>
        </w:rPr>
        <w:footnoteRef/>
      </w:r>
      <w:r>
        <w:rPr>
          <w:rFonts w:ascii="Times New Roman" w:hAnsi="Times New Roman"/>
        </w:rPr>
        <w:t>SWD(2021) 24 final din 15 februarie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5752" w14:textId="77777777" w:rsidR="00AD5B2F" w:rsidRPr="00AD5B2F" w:rsidRDefault="00AD5B2F" w:rsidP="00AD5B2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BC1B" w14:textId="77777777" w:rsidR="00AD5B2F" w:rsidRPr="00AD5B2F" w:rsidRDefault="00AD5B2F" w:rsidP="00AD5B2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3108" w14:textId="77777777" w:rsidR="00AD5B2F" w:rsidRPr="00AD5B2F" w:rsidRDefault="00AD5B2F" w:rsidP="00AD5B2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09EEB" w14:textId="77777777" w:rsidR="003E75A7" w:rsidRPr="00336D27" w:rsidRDefault="003E75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84AD" w14:textId="77777777" w:rsidR="00DC473C" w:rsidRPr="00336D27" w:rsidRDefault="00DC47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B40B" w14:textId="77777777" w:rsidR="002104F7" w:rsidRPr="00336D27" w:rsidRDefault="00210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295D"/>
    <w:multiLevelType w:val="hybridMultilevel"/>
    <w:tmpl w:val="3676DD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1169F"/>
    <w:multiLevelType w:val="multilevel"/>
    <w:tmpl w:val="E778967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4FCD2553"/>
    <w:multiLevelType w:val="multilevel"/>
    <w:tmpl w:val="1444F8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252388D"/>
    <w:multiLevelType w:val="hybridMultilevel"/>
    <w:tmpl w:val="F048B408"/>
    <w:lvl w:ilvl="0" w:tplc="1809000F">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74A07782"/>
    <w:multiLevelType w:val="hybridMultilevel"/>
    <w:tmpl w:val="3676DD0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77566333">
    <w:abstractNumId w:val="2"/>
  </w:num>
  <w:num w:numId="2" w16cid:durableId="83113370">
    <w:abstractNumId w:val="1"/>
  </w:num>
  <w:num w:numId="3" w16cid:durableId="720058536">
    <w:abstractNumId w:val="4"/>
  </w:num>
  <w:num w:numId="4" w16cid:durableId="1858615312">
    <w:abstractNumId w:val="3"/>
  </w:num>
  <w:num w:numId="5" w16cid:durableId="971250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B9B9C6D0-E363-4347-ABC8-A290E7DAA0BA"/>
    <w:docVar w:name="LW_COVERPAGE_TYPE" w:val="1"/>
    <w:docVar w:name="LW_CROSSREFERENCE" w:val="&lt;UNUSED&gt;"/>
    <w:docVar w:name="LW_DocType" w:val="NORMAL"/>
    <w:docVar w:name="LW_EMISSION" w:val="18.5.2026"/>
    <w:docVar w:name="LW_EMISSION_ISODATE" w:val="2026-05-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includerea&lt;FMT:Bold&gt; Norvegiei în Strategia Uniunii Europene pentru regiunea M\u259?rii Baltice&lt;/FMT&gt;_x000d__x000b__x000d__x000d__x000d__x000d__x000d_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 w:name="Stamp" w:val="\\net1.cec.eu.int\offline\05\cousida\My Documents\REGIO-2026-00147-00-00-EN-EDT-00.docx"/>
  </w:docVars>
  <w:rsids>
    <w:rsidRoot w:val="00DE3658"/>
    <w:rsid w:val="00005BC4"/>
    <w:rsid w:val="00006E1E"/>
    <w:rsid w:val="00011956"/>
    <w:rsid w:val="000210AE"/>
    <w:rsid w:val="000253EA"/>
    <w:rsid w:val="0005490B"/>
    <w:rsid w:val="00055650"/>
    <w:rsid w:val="00085E5A"/>
    <w:rsid w:val="000908C3"/>
    <w:rsid w:val="000A60E9"/>
    <w:rsid w:val="000B393D"/>
    <w:rsid w:val="000C4A87"/>
    <w:rsid w:val="000D5627"/>
    <w:rsid w:val="000E28E5"/>
    <w:rsid w:val="000E56CA"/>
    <w:rsid w:val="000F76F1"/>
    <w:rsid w:val="000F777C"/>
    <w:rsid w:val="00100AE8"/>
    <w:rsid w:val="00107DF9"/>
    <w:rsid w:val="0012231B"/>
    <w:rsid w:val="00122E79"/>
    <w:rsid w:val="00125EA0"/>
    <w:rsid w:val="00130145"/>
    <w:rsid w:val="0013042E"/>
    <w:rsid w:val="001332C7"/>
    <w:rsid w:val="00141F9F"/>
    <w:rsid w:val="001435F9"/>
    <w:rsid w:val="0014787F"/>
    <w:rsid w:val="0017214A"/>
    <w:rsid w:val="00180129"/>
    <w:rsid w:val="00183FC4"/>
    <w:rsid w:val="00192323"/>
    <w:rsid w:val="00192F7B"/>
    <w:rsid w:val="00195DF8"/>
    <w:rsid w:val="001A2400"/>
    <w:rsid w:val="001A3076"/>
    <w:rsid w:val="001A3C95"/>
    <w:rsid w:val="001A4245"/>
    <w:rsid w:val="001A639A"/>
    <w:rsid w:val="001C122D"/>
    <w:rsid w:val="001C1DFC"/>
    <w:rsid w:val="001C3A45"/>
    <w:rsid w:val="001D07E2"/>
    <w:rsid w:val="001D0ADE"/>
    <w:rsid w:val="001D5E10"/>
    <w:rsid w:val="001E63E8"/>
    <w:rsid w:val="001F7CAF"/>
    <w:rsid w:val="002104F7"/>
    <w:rsid w:val="002151BE"/>
    <w:rsid w:val="002207D5"/>
    <w:rsid w:val="0023647B"/>
    <w:rsid w:val="0024038F"/>
    <w:rsid w:val="00257DE9"/>
    <w:rsid w:val="00265A5A"/>
    <w:rsid w:val="00272B95"/>
    <w:rsid w:val="00291D65"/>
    <w:rsid w:val="00294B2D"/>
    <w:rsid w:val="002973B5"/>
    <w:rsid w:val="002A064F"/>
    <w:rsid w:val="002A5847"/>
    <w:rsid w:val="002A626F"/>
    <w:rsid w:val="002A6407"/>
    <w:rsid w:val="002A67BC"/>
    <w:rsid w:val="002B22C0"/>
    <w:rsid w:val="002C592E"/>
    <w:rsid w:val="002C782D"/>
    <w:rsid w:val="002D1C18"/>
    <w:rsid w:val="002E23E5"/>
    <w:rsid w:val="002E29F3"/>
    <w:rsid w:val="002F369C"/>
    <w:rsid w:val="0030660B"/>
    <w:rsid w:val="00310E08"/>
    <w:rsid w:val="00316262"/>
    <w:rsid w:val="00336D27"/>
    <w:rsid w:val="00340980"/>
    <w:rsid w:val="003434D8"/>
    <w:rsid w:val="00345FAD"/>
    <w:rsid w:val="00347DF8"/>
    <w:rsid w:val="00351C9F"/>
    <w:rsid w:val="00353A5C"/>
    <w:rsid w:val="00354ABC"/>
    <w:rsid w:val="00380713"/>
    <w:rsid w:val="003824CA"/>
    <w:rsid w:val="0039253A"/>
    <w:rsid w:val="0039780F"/>
    <w:rsid w:val="003A3E11"/>
    <w:rsid w:val="003C45A3"/>
    <w:rsid w:val="003C5DDC"/>
    <w:rsid w:val="003D2366"/>
    <w:rsid w:val="003D68E9"/>
    <w:rsid w:val="003E23D1"/>
    <w:rsid w:val="003E3DB3"/>
    <w:rsid w:val="003E5481"/>
    <w:rsid w:val="003E5790"/>
    <w:rsid w:val="003E6163"/>
    <w:rsid w:val="003E75A7"/>
    <w:rsid w:val="0042010F"/>
    <w:rsid w:val="00425D29"/>
    <w:rsid w:val="00440D87"/>
    <w:rsid w:val="00446570"/>
    <w:rsid w:val="00453836"/>
    <w:rsid w:val="00457BEC"/>
    <w:rsid w:val="00482745"/>
    <w:rsid w:val="00485435"/>
    <w:rsid w:val="00485613"/>
    <w:rsid w:val="004C397F"/>
    <w:rsid w:val="004D7A81"/>
    <w:rsid w:val="004E2DCB"/>
    <w:rsid w:val="004F591E"/>
    <w:rsid w:val="005012FF"/>
    <w:rsid w:val="00511621"/>
    <w:rsid w:val="00513F69"/>
    <w:rsid w:val="00517AA5"/>
    <w:rsid w:val="00521BD1"/>
    <w:rsid w:val="005258E2"/>
    <w:rsid w:val="00526EC6"/>
    <w:rsid w:val="00527806"/>
    <w:rsid w:val="00542E4C"/>
    <w:rsid w:val="005629CF"/>
    <w:rsid w:val="00562A31"/>
    <w:rsid w:val="00565C41"/>
    <w:rsid w:val="005747A3"/>
    <w:rsid w:val="00577B18"/>
    <w:rsid w:val="00590E21"/>
    <w:rsid w:val="005941D6"/>
    <w:rsid w:val="005950D0"/>
    <w:rsid w:val="005A2E9C"/>
    <w:rsid w:val="005A346D"/>
    <w:rsid w:val="005E3212"/>
    <w:rsid w:val="0060798C"/>
    <w:rsid w:val="0061198C"/>
    <w:rsid w:val="00623FB9"/>
    <w:rsid w:val="00657ADA"/>
    <w:rsid w:val="006605A1"/>
    <w:rsid w:val="00660F58"/>
    <w:rsid w:val="00662599"/>
    <w:rsid w:val="00672309"/>
    <w:rsid w:val="0068444D"/>
    <w:rsid w:val="006A6BFA"/>
    <w:rsid w:val="006D7753"/>
    <w:rsid w:val="006E3747"/>
    <w:rsid w:val="006E57C8"/>
    <w:rsid w:val="006F0392"/>
    <w:rsid w:val="006F319E"/>
    <w:rsid w:val="006F6D3A"/>
    <w:rsid w:val="007003C1"/>
    <w:rsid w:val="00711E30"/>
    <w:rsid w:val="0071555A"/>
    <w:rsid w:val="00725E2F"/>
    <w:rsid w:val="007312D8"/>
    <w:rsid w:val="00750406"/>
    <w:rsid w:val="007507ED"/>
    <w:rsid w:val="007513BF"/>
    <w:rsid w:val="00781E77"/>
    <w:rsid w:val="00797209"/>
    <w:rsid w:val="007A094E"/>
    <w:rsid w:val="007A2603"/>
    <w:rsid w:val="007A5570"/>
    <w:rsid w:val="007B075D"/>
    <w:rsid w:val="007B378E"/>
    <w:rsid w:val="007B61F7"/>
    <w:rsid w:val="007C03F9"/>
    <w:rsid w:val="007C1872"/>
    <w:rsid w:val="007C6DBF"/>
    <w:rsid w:val="007C703D"/>
    <w:rsid w:val="007D4624"/>
    <w:rsid w:val="007D5B2B"/>
    <w:rsid w:val="007F4C16"/>
    <w:rsid w:val="00822972"/>
    <w:rsid w:val="00826ACB"/>
    <w:rsid w:val="0083107C"/>
    <w:rsid w:val="00836F65"/>
    <w:rsid w:val="00842B7D"/>
    <w:rsid w:val="00857E58"/>
    <w:rsid w:val="00861527"/>
    <w:rsid w:val="008641D9"/>
    <w:rsid w:val="008651C7"/>
    <w:rsid w:val="00871658"/>
    <w:rsid w:val="0088057F"/>
    <w:rsid w:val="008A0A2B"/>
    <w:rsid w:val="008A6E63"/>
    <w:rsid w:val="008B07D4"/>
    <w:rsid w:val="008B4F28"/>
    <w:rsid w:val="008F062F"/>
    <w:rsid w:val="008F3E41"/>
    <w:rsid w:val="008F61B4"/>
    <w:rsid w:val="009044B9"/>
    <w:rsid w:val="009102BA"/>
    <w:rsid w:val="009235CF"/>
    <w:rsid w:val="0093587E"/>
    <w:rsid w:val="00937382"/>
    <w:rsid w:val="00941137"/>
    <w:rsid w:val="009455FF"/>
    <w:rsid w:val="00950FAC"/>
    <w:rsid w:val="009674F5"/>
    <w:rsid w:val="009713E0"/>
    <w:rsid w:val="0097208F"/>
    <w:rsid w:val="009751F7"/>
    <w:rsid w:val="0098125D"/>
    <w:rsid w:val="009822F9"/>
    <w:rsid w:val="00983136"/>
    <w:rsid w:val="00983E88"/>
    <w:rsid w:val="00995208"/>
    <w:rsid w:val="00996BD5"/>
    <w:rsid w:val="009A00B9"/>
    <w:rsid w:val="009D3DEE"/>
    <w:rsid w:val="009E3C56"/>
    <w:rsid w:val="00A04466"/>
    <w:rsid w:val="00A046F7"/>
    <w:rsid w:val="00A213CA"/>
    <w:rsid w:val="00A2417B"/>
    <w:rsid w:val="00A35FA0"/>
    <w:rsid w:val="00A45A90"/>
    <w:rsid w:val="00A505EC"/>
    <w:rsid w:val="00A50C32"/>
    <w:rsid w:val="00A602A9"/>
    <w:rsid w:val="00A630A0"/>
    <w:rsid w:val="00A72B28"/>
    <w:rsid w:val="00A8091A"/>
    <w:rsid w:val="00A870D1"/>
    <w:rsid w:val="00A90ECA"/>
    <w:rsid w:val="00A93D27"/>
    <w:rsid w:val="00AA7842"/>
    <w:rsid w:val="00AC0A30"/>
    <w:rsid w:val="00AC11CA"/>
    <w:rsid w:val="00AC761E"/>
    <w:rsid w:val="00AD5B2F"/>
    <w:rsid w:val="00AF0CB7"/>
    <w:rsid w:val="00AF63AD"/>
    <w:rsid w:val="00AF7883"/>
    <w:rsid w:val="00B03BA5"/>
    <w:rsid w:val="00B03D08"/>
    <w:rsid w:val="00B12691"/>
    <w:rsid w:val="00B155EE"/>
    <w:rsid w:val="00B278A9"/>
    <w:rsid w:val="00B30558"/>
    <w:rsid w:val="00B36630"/>
    <w:rsid w:val="00B439A2"/>
    <w:rsid w:val="00B505F6"/>
    <w:rsid w:val="00B51523"/>
    <w:rsid w:val="00B55169"/>
    <w:rsid w:val="00B67C78"/>
    <w:rsid w:val="00B90EF8"/>
    <w:rsid w:val="00BA5F27"/>
    <w:rsid w:val="00BA693C"/>
    <w:rsid w:val="00BA7C4F"/>
    <w:rsid w:val="00BC3A2B"/>
    <w:rsid w:val="00BC6750"/>
    <w:rsid w:val="00BD2507"/>
    <w:rsid w:val="00BD2D31"/>
    <w:rsid w:val="00C02DEE"/>
    <w:rsid w:val="00C06AA2"/>
    <w:rsid w:val="00C336DB"/>
    <w:rsid w:val="00C345C2"/>
    <w:rsid w:val="00C42C1B"/>
    <w:rsid w:val="00C62523"/>
    <w:rsid w:val="00C652D2"/>
    <w:rsid w:val="00C827E7"/>
    <w:rsid w:val="00C83FEF"/>
    <w:rsid w:val="00C851D3"/>
    <w:rsid w:val="00C85595"/>
    <w:rsid w:val="00CA2313"/>
    <w:rsid w:val="00CA2A97"/>
    <w:rsid w:val="00CB066D"/>
    <w:rsid w:val="00CB133F"/>
    <w:rsid w:val="00CB647A"/>
    <w:rsid w:val="00CC2501"/>
    <w:rsid w:val="00CC68AC"/>
    <w:rsid w:val="00CD0DBF"/>
    <w:rsid w:val="00CD5A17"/>
    <w:rsid w:val="00CF1DE7"/>
    <w:rsid w:val="00CF2E06"/>
    <w:rsid w:val="00D05519"/>
    <w:rsid w:val="00D17E1E"/>
    <w:rsid w:val="00D2744D"/>
    <w:rsid w:val="00D31562"/>
    <w:rsid w:val="00D56E9A"/>
    <w:rsid w:val="00D64AF1"/>
    <w:rsid w:val="00D65BAC"/>
    <w:rsid w:val="00D73B79"/>
    <w:rsid w:val="00D81A56"/>
    <w:rsid w:val="00D8685D"/>
    <w:rsid w:val="00D924DF"/>
    <w:rsid w:val="00DB31D5"/>
    <w:rsid w:val="00DB41B6"/>
    <w:rsid w:val="00DC473C"/>
    <w:rsid w:val="00DC517B"/>
    <w:rsid w:val="00DD3858"/>
    <w:rsid w:val="00DD6FA3"/>
    <w:rsid w:val="00DD79F8"/>
    <w:rsid w:val="00DE3658"/>
    <w:rsid w:val="00DE6CD7"/>
    <w:rsid w:val="00DF4460"/>
    <w:rsid w:val="00E049F8"/>
    <w:rsid w:val="00E15E0A"/>
    <w:rsid w:val="00E26E1B"/>
    <w:rsid w:val="00E274B0"/>
    <w:rsid w:val="00E316A6"/>
    <w:rsid w:val="00E34544"/>
    <w:rsid w:val="00E44E8F"/>
    <w:rsid w:val="00E53294"/>
    <w:rsid w:val="00E563AD"/>
    <w:rsid w:val="00E72FD5"/>
    <w:rsid w:val="00E86336"/>
    <w:rsid w:val="00E8640D"/>
    <w:rsid w:val="00E87ADC"/>
    <w:rsid w:val="00E93480"/>
    <w:rsid w:val="00EA3A35"/>
    <w:rsid w:val="00EB467D"/>
    <w:rsid w:val="00EB47EC"/>
    <w:rsid w:val="00EB5274"/>
    <w:rsid w:val="00ED21F8"/>
    <w:rsid w:val="00EE31F3"/>
    <w:rsid w:val="00EF1C7E"/>
    <w:rsid w:val="00EF2D83"/>
    <w:rsid w:val="00EF36E4"/>
    <w:rsid w:val="00F13AA5"/>
    <w:rsid w:val="00F2016C"/>
    <w:rsid w:val="00F31E7B"/>
    <w:rsid w:val="00F417D1"/>
    <w:rsid w:val="00F672D4"/>
    <w:rsid w:val="00F67C4D"/>
    <w:rsid w:val="00F71F44"/>
    <w:rsid w:val="00F84C43"/>
    <w:rsid w:val="00F9054F"/>
    <w:rsid w:val="00F95FF5"/>
    <w:rsid w:val="00FA0C79"/>
    <w:rsid w:val="00FA2D39"/>
    <w:rsid w:val="00FB186D"/>
    <w:rsid w:val="00FB6E10"/>
    <w:rsid w:val="00FD075C"/>
    <w:rsid w:val="00FD135C"/>
    <w:rsid w:val="00FD35EC"/>
    <w:rsid w:val="00FE0414"/>
    <w:rsid w:val="00FE0995"/>
    <w:rsid w:val="00FF7174"/>
    <w:rsid w:val="01852B4D"/>
    <w:rsid w:val="068282EF"/>
    <w:rsid w:val="10458DAB"/>
    <w:rsid w:val="114AB759"/>
    <w:rsid w:val="1738FF4C"/>
    <w:rsid w:val="18337F90"/>
    <w:rsid w:val="1C23CD8D"/>
    <w:rsid w:val="24123BBB"/>
    <w:rsid w:val="251A90BE"/>
    <w:rsid w:val="2744BFDC"/>
    <w:rsid w:val="309A7157"/>
    <w:rsid w:val="33526B7A"/>
    <w:rsid w:val="363B468C"/>
    <w:rsid w:val="3F143C5D"/>
    <w:rsid w:val="52A99B3F"/>
    <w:rsid w:val="56BF24BB"/>
    <w:rsid w:val="5CEEBA2A"/>
    <w:rsid w:val="5EA161B1"/>
    <w:rsid w:val="626DF426"/>
    <w:rsid w:val="651F791A"/>
    <w:rsid w:val="65B467F3"/>
    <w:rsid w:val="6AA34F81"/>
    <w:rsid w:val="6AD0D76D"/>
    <w:rsid w:val="7876BB47"/>
    <w:rsid w:val="7D9DE763"/>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3C599F"/>
  <w15:chartTrackingRefBased/>
  <w15:docId w15:val="{1A2010E7-0B74-4078-B3F9-4F8CEC93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70"/>
  </w:style>
  <w:style w:type="paragraph" w:styleId="Heading1">
    <w:name w:val="heading 1"/>
    <w:basedOn w:val="Normal"/>
    <w:next w:val="Normal"/>
    <w:link w:val="Heading1Char"/>
    <w:uiPriority w:val="9"/>
    <w:qFormat/>
    <w:rsid w:val="00DE3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658"/>
    <w:rPr>
      <w:rFonts w:eastAsiaTheme="majorEastAsia" w:cstheme="majorBidi"/>
      <w:color w:val="272727" w:themeColor="text1" w:themeTint="D8"/>
    </w:rPr>
  </w:style>
  <w:style w:type="paragraph" w:styleId="Title">
    <w:name w:val="Title"/>
    <w:basedOn w:val="Normal"/>
    <w:next w:val="Normal"/>
    <w:link w:val="TitleChar"/>
    <w:uiPriority w:val="10"/>
    <w:qFormat/>
    <w:rsid w:val="00DE3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658"/>
    <w:pPr>
      <w:spacing w:before="160"/>
      <w:jc w:val="center"/>
    </w:pPr>
    <w:rPr>
      <w:i/>
      <w:iCs/>
      <w:color w:val="404040" w:themeColor="text1" w:themeTint="BF"/>
    </w:rPr>
  </w:style>
  <w:style w:type="character" w:customStyle="1" w:styleId="QuoteChar">
    <w:name w:val="Quote Char"/>
    <w:basedOn w:val="DefaultParagraphFont"/>
    <w:link w:val="Quote"/>
    <w:uiPriority w:val="29"/>
    <w:rsid w:val="00DE3658"/>
    <w:rPr>
      <w:i/>
      <w:iCs/>
      <w:color w:val="404040" w:themeColor="text1" w:themeTint="BF"/>
    </w:rPr>
  </w:style>
  <w:style w:type="paragraph" w:styleId="ListParagraph">
    <w:name w:val="List Paragraph"/>
    <w:basedOn w:val="Normal"/>
    <w:uiPriority w:val="34"/>
    <w:qFormat/>
    <w:rsid w:val="00DE3658"/>
    <w:pPr>
      <w:ind w:left="720"/>
      <w:contextualSpacing/>
    </w:pPr>
  </w:style>
  <w:style w:type="character" w:styleId="IntenseEmphasis">
    <w:name w:val="Intense Emphasis"/>
    <w:basedOn w:val="DefaultParagraphFont"/>
    <w:uiPriority w:val="21"/>
    <w:qFormat/>
    <w:rsid w:val="00DE3658"/>
    <w:rPr>
      <w:i/>
      <w:iCs/>
      <w:color w:val="0F4761" w:themeColor="accent1" w:themeShade="BF"/>
    </w:rPr>
  </w:style>
  <w:style w:type="paragraph" w:styleId="IntenseQuote">
    <w:name w:val="Intense Quote"/>
    <w:basedOn w:val="Normal"/>
    <w:next w:val="Normal"/>
    <w:link w:val="IntenseQuoteChar"/>
    <w:uiPriority w:val="30"/>
    <w:qFormat/>
    <w:rsid w:val="00DE3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658"/>
    <w:rPr>
      <w:i/>
      <w:iCs/>
      <w:color w:val="0F4761" w:themeColor="accent1" w:themeShade="BF"/>
    </w:rPr>
  </w:style>
  <w:style w:type="character" w:styleId="IntenseReference">
    <w:name w:val="Intense Reference"/>
    <w:basedOn w:val="DefaultParagraphFont"/>
    <w:uiPriority w:val="32"/>
    <w:qFormat/>
    <w:rsid w:val="00DE3658"/>
    <w:rPr>
      <w:b/>
      <w:bCs/>
      <w:smallCaps/>
      <w:color w:val="0F4761" w:themeColor="accent1" w:themeShade="BF"/>
      <w:spacing w:val="5"/>
    </w:rPr>
  </w:style>
  <w:style w:type="paragraph" w:styleId="NormalWeb">
    <w:name w:val="Normal (Web)"/>
    <w:basedOn w:val="Normal"/>
    <w:uiPriority w:val="99"/>
    <w:semiHidden/>
    <w:unhideWhenUsed/>
    <w:rsid w:val="00DE365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Strong">
    <w:name w:val="Strong"/>
    <w:basedOn w:val="DefaultParagraphFont"/>
    <w:uiPriority w:val="22"/>
    <w:qFormat/>
    <w:rsid w:val="00DE3658"/>
    <w:rPr>
      <w:b/>
      <w:bCs/>
    </w:rPr>
  </w:style>
  <w:style w:type="character" w:customStyle="1" w:styleId="ms-1">
    <w:name w:val="ms-1"/>
    <w:basedOn w:val="DefaultParagraphFont"/>
    <w:rsid w:val="00DE3658"/>
  </w:style>
  <w:style w:type="character" w:customStyle="1" w:styleId="max-w-15ch">
    <w:name w:val="max-w-[15ch]"/>
    <w:basedOn w:val="DefaultParagraphFont"/>
    <w:rsid w:val="00DE3658"/>
  </w:style>
  <w:style w:type="character" w:customStyle="1" w:styleId="-me-1">
    <w:name w:val="-me-1"/>
    <w:basedOn w:val="DefaultParagraphFont"/>
    <w:rsid w:val="00DE3658"/>
  </w:style>
  <w:style w:type="paragraph" w:styleId="FootnoteText">
    <w:name w:val="footnote text"/>
    <w:basedOn w:val="Normal"/>
    <w:uiPriority w:val="99"/>
    <w:semiHidden/>
    <w:unhideWhenUsed/>
    <w:rsid w:val="00F71F44"/>
    <w:pPr>
      <w:spacing w:after="0" w:line="240" w:lineRule="auto"/>
    </w:pPr>
    <w:rPr>
      <w:sz w:val="20"/>
      <w:szCs w:val="20"/>
    </w:rPr>
  </w:style>
  <w:style w:type="character" w:customStyle="1" w:styleId="FootnoteTextChar">
    <w:name w:val="Footnote Text Char"/>
    <w:basedOn w:val="DefaultParagraphFont"/>
    <w:uiPriority w:val="99"/>
    <w:semiHidden/>
    <w:rsid w:val="00F71F44"/>
    <w:rPr>
      <w:sz w:val="20"/>
      <w:szCs w:val="20"/>
    </w:rPr>
  </w:style>
  <w:style w:type="character" w:styleId="FootnoteReference">
    <w:name w:val="footnote reference"/>
    <w:basedOn w:val="DefaultParagraphFont"/>
    <w:uiPriority w:val="99"/>
    <w:semiHidden/>
    <w:unhideWhenUsed/>
    <w:rsid w:val="00F71F44"/>
    <w:rPr>
      <w:vertAlign w:val="superscript"/>
    </w:rPr>
  </w:style>
  <w:style w:type="paragraph" w:styleId="Header">
    <w:name w:val="header"/>
    <w:basedOn w:val="Normal"/>
    <w:link w:val="HeaderChar"/>
    <w:uiPriority w:val="99"/>
    <w:unhideWhenUsed/>
    <w:rsid w:val="00A505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5EC"/>
  </w:style>
  <w:style w:type="paragraph" w:styleId="Footer">
    <w:name w:val="footer"/>
    <w:basedOn w:val="Normal"/>
    <w:link w:val="FooterChar"/>
    <w:uiPriority w:val="99"/>
    <w:unhideWhenUsed/>
    <w:rsid w:val="00A505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5EC"/>
  </w:style>
  <w:style w:type="paragraph" w:styleId="Revision">
    <w:name w:val="Revision"/>
    <w:hidden/>
    <w:uiPriority w:val="99"/>
    <w:semiHidden/>
    <w:rsid w:val="00354ABC"/>
    <w:pPr>
      <w:spacing w:after="0" w:line="240" w:lineRule="auto"/>
    </w:pPr>
  </w:style>
  <w:style w:type="character" w:styleId="CommentReference">
    <w:name w:val="annotation reference"/>
    <w:basedOn w:val="DefaultParagraphFont"/>
    <w:uiPriority w:val="99"/>
    <w:semiHidden/>
    <w:unhideWhenUsed/>
    <w:rsid w:val="00380713"/>
    <w:rPr>
      <w:sz w:val="16"/>
      <w:szCs w:val="16"/>
    </w:rPr>
  </w:style>
  <w:style w:type="paragraph" w:styleId="CommentText">
    <w:name w:val="annotation text"/>
    <w:basedOn w:val="Normal"/>
    <w:link w:val="CommentTextChar"/>
    <w:uiPriority w:val="99"/>
    <w:unhideWhenUsed/>
    <w:rsid w:val="00380713"/>
    <w:pPr>
      <w:spacing w:line="240" w:lineRule="auto"/>
    </w:pPr>
    <w:rPr>
      <w:sz w:val="20"/>
      <w:szCs w:val="20"/>
    </w:rPr>
  </w:style>
  <w:style w:type="character" w:customStyle="1" w:styleId="CommentTextChar">
    <w:name w:val="Comment Text Char"/>
    <w:basedOn w:val="DefaultParagraphFont"/>
    <w:link w:val="CommentText"/>
    <w:uiPriority w:val="99"/>
    <w:rsid w:val="00380713"/>
    <w:rPr>
      <w:sz w:val="20"/>
      <w:szCs w:val="20"/>
    </w:rPr>
  </w:style>
  <w:style w:type="paragraph" w:styleId="CommentSubject">
    <w:name w:val="annotation subject"/>
    <w:basedOn w:val="CommentText"/>
    <w:next w:val="CommentText"/>
    <w:link w:val="CommentSubjectChar"/>
    <w:uiPriority w:val="99"/>
    <w:semiHidden/>
    <w:unhideWhenUsed/>
    <w:rsid w:val="00380713"/>
    <w:rPr>
      <w:b/>
      <w:bCs/>
    </w:rPr>
  </w:style>
  <w:style w:type="character" w:customStyle="1" w:styleId="CommentSubjectChar">
    <w:name w:val="Comment Subject Char"/>
    <w:basedOn w:val="CommentTextChar"/>
    <w:link w:val="CommentSubject"/>
    <w:uiPriority w:val="99"/>
    <w:semiHidden/>
    <w:rsid w:val="00380713"/>
    <w:rPr>
      <w:b/>
      <w:bCs/>
      <w:sz w:val="20"/>
      <w:szCs w:val="20"/>
    </w:rPr>
  </w:style>
  <w:style w:type="character" w:customStyle="1" w:styleId="Marker">
    <w:name w:val="Marker"/>
    <w:basedOn w:val="DefaultParagraphFont"/>
    <w:rsid w:val="00DD3858"/>
    <w:rPr>
      <w:color w:val="0000FF"/>
      <w:shd w:val="clear" w:color="auto" w:fill="auto"/>
    </w:rPr>
  </w:style>
  <w:style w:type="paragraph" w:customStyle="1" w:styleId="Pagedecouverture">
    <w:name w:val="Page de couverture"/>
    <w:basedOn w:val="Normal"/>
    <w:next w:val="Normal"/>
    <w:link w:val="PagedecouvertureChar"/>
    <w:rsid w:val="003E75A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E2DC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4E2DCB"/>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4E2DCB"/>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4E2DC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4E2DCB"/>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4E2DC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4E2DCB"/>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4E2DC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4E2DCB"/>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4E2DC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4E2DCB"/>
    <w:rPr>
      <w:rFonts w:ascii="Times New Roman" w:hAnsi="Times New Roman" w:cs="Times New Roman"/>
      <w:kern w:val="0"/>
      <w:sz w:val="28"/>
      <w14:ligatures w14:val="none"/>
    </w:rPr>
  </w:style>
  <w:style w:type="character" w:styleId="Hyperlink">
    <w:name w:val="Hyperlink"/>
    <w:basedOn w:val="DefaultParagraphFont"/>
    <w:uiPriority w:val="99"/>
    <w:unhideWhenUsed/>
    <w:rsid w:val="00996BD5"/>
    <w:rPr>
      <w:color w:val="467886" w:themeColor="hyperlink"/>
      <w:u w:val="single"/>
    </w:rPr>
  </w:style>
  <w:style w:type="character" w:customStyle="1" w:styleId="UnresolvedMention1">
    <w:name w:val="Unresolved Mention1"/>
    <w:basedOn w:val="DefaultParagraphFont"/>
    <w:uiPriority w:val="99"/>
    <w:semiHidden/>
    <w:unhideWhenUsed/>
    <w:rsid w:val="00996B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97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20" ma:contentTypeDescription="Create a new document." ma:contentTypeScope="" ma:versionID="ee210366d2b56138b73aa1e7fe6703a3">
  <xsd:schema xmlns:xsd="http://www.w3.org/2001/XMLSchema" xmlns:xs="http://www.w3.org/2001/XMLSchema" xmlns:p="http://schemas.microsoft.com/office/2006/metadata/properties" xmlns:ns2="fb6c068c-bc2d-4620-b517-6a4d82a7e161" xmlns:ns3="604b4288-15a6-4b36-801c-a9875e40b072" targetNamespace="http://schemas.microsoft.com/office/2006/metadata/properties" ma:root="true" ma:fieldsID="87e9bdc2b75ab9af8c92990e9dc69877" ns2:_="" ns3:_="">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Author0"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uthor0" ma:index="26"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f53edf5-7438-4167-8925-e15ae9607dcc}"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fb6c068c-bc2d-4620-b517-6a4d82a7e161" xsi:nil="true"/>
    <TaxCatchAll xmlns="604b4288-15a6-4b36-801c-a9875e40b072" xsi:nil="true"/>
    <Author0 xmlns="fb6c068c-bc2d-4620-b517-6a4d82a7e161">
      <UserInfo>
        <DisplayName/>
        <AccountId xsi:nil="true"/>
        <AccountType/>
      </UserInfo>
    </Author0>
    <lcf76f155ced4ddcb4097134ff3c332f xmlns="fb6c068c-bc2d-4620-b517-6a4d82a7e16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3FFA0-744F-4058-BEBB-1C6C3EA97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04FE6-0BEB-4901-AF80-45212722DC95}">
  <ds:schemaRefs>
    <ds:schemaRef ds:uri="http://schemas.microsoft.com/sharepoint/v3/contenttype/forms"/>
  </ds:schemaRefs>
</ds:datastoreItem>
</file>

<file path=customXml/itemProps3.xml><?xml version="1.0" encoding="utf-8"?>
<ds:datastoreItem xmlns:ds="http://schemas.openxmlformats.org/officeDocument/2006/customXml" ds:itemID="{BE737DE0-86D4-4E9B-949A-B098B878C06F}">
  <ds:schemaRefs>
    <ds:schemaRef ds:uri="http://schemas.microsoft.com/office/2006/metadata/properties"/>
    <ds:schemaRef ds:uri="http://schemas.microsoft.com/office/infopath/2007/PartnerControls"/>
    <ds:schemaRef ds:uri="fb6c068c-bc2d-4620-b517-6a4d82a7e161"/>
    <ds:schemaRef ds:uri="604b4288-15a6-4b36-801c-a9875e40b072"/>
  </ds:schemaRefs>
</ds:datastoreItem>
</file>

<file path=customXml/itemProps4.xml><?xml version="1.0" encoding="utf-8"?>
<ds:datastoreItem xmlns:ds="http://schemas.openxmlformats.org/officeDocument/2006/customXml" ds:itemID="{546B8C8F-8285-4CC9-905B-1BE91407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974</Words>
  <Characters>5893</Characters>
  <Application>Microsoft Office Word</Application>
  <DocSecurity>0</DocSecurity>
  <Lines>86</Lines>
  <Paragraphs>20</Paragraphs>
  <ScaleCrop>false</ScaleCrop>
  <Manager/>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12</cp:revision>
  <dcterms:created xsi:type="dcterms:W3CDTF">2026-04-22T13:21:00Z</dcterms:created>
  <dcterms:modified xsi:type="dcterms:W3CDTF">2026-05-17T13:32:00Z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2026-03-06T17:52:03Z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df30d829-04f8-4a73-89f3-70b8ff1e2e63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0x010100D920D94BF79903409A44EFD8C6ED4DE5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