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4E329E" w:rsidRDefault="00390E7B" w:rsidP="00390E7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736F06C-BBAE-4AD6-B8E3-4BE85B6799EA" style="width:455.25pt;height:357.75pt">
            <v:imagedata r:id="rId8" o:title=""/>
          </v:shape>
        </w:pict>
      </w:r>
    </w:p>
    <w:p w:rsidR="001A62D7" w:rsidRPr="004E329E" w:rsidRDefault="001A62D7" w:rsidP="001A62D7">
      <w:pPr>
        <w:rPr>
          <w:noProof/>
        </w:rPr>
        <w:sectPr w:rsidR="001A62D7" w:rsidRPr="004E329E" w:rsidSect="00390E7B">
          <w:footerReference w:type="even" r:id="rId9"/>
          <w:footerReference w:type="default" r:id="rId10"/>
          <w:pgSz w:w="11907" w:h="16839"/>
          <w:pgMar w:top="1134" w:right="1417" w:bottom="1134" w:left="1417" w:header="709" w:footer="709" w:gutter="0"/>
          <w:pgNumType w:start="0"/>
          <w:cols w:space="720"/>
          <w:docGrid w:linePitch="360"/>
        </w:sectPr>
      </w:pPr>
    </w:p>
    <w:p w:rsidR="001A62D7" w:rsidRPr="004E329E" w:rsidRDefault="001A62D7" w:rsidP="001A62D7">
      <w:pPr>
        <w:pStyle w:val="Exposdesmotifstitre"/>
        <w:rPr>
          <w:noProof/>
        </w:rPr>
      </w:pPr>
      <w:bookmarkStart w:id="0" w:name="_GoBack"/>
      <w:bookmarkEnd w:id="0"/>
      <w:r w:rsidRPr="004E329E">
        <w:rPr>
          <w:noProof/>
        </w:rPr>
        <w:lastRenderedPageBreak/>
        <w:t>EXPOSÉ DES MOTIFS</w:t>
      </w:r>
    </w:p>
    <w:p w:rsidR="001A62D7" w:rsidRPr="004E329E" w:rsidRDefault="001A62D7" w:rsidP="001A62D7">
      <w:pPr>
        <w:pStyle w:val="ManualHeading1"/>
        <w:rPr>
          <w:noProof/>
        </w:rPr>
      </w:pPr>
      <w:r w:rsidRPr="004E329E">
        <w:rPr>
          <w:noProof/>
        </w:rPr>
        <w:t>CONTEXTE DE LA PROPOSITION</w:t>
      </w:r>
    </w:p>
    <w:p w:rsidR="001A62D7" w:rsidRPr="004E329E" w:rsidRDefault="006035E2" w:rsidP="006035E2">
      <w:pPr>
        <w:pStyle w:val="ManualNumPar1"/>
        <w:rPr>
          <w:noProof/>
        </w:rPr>
      </w:pPr>
      <w:r w:rsidRPr="006035E2">
        <w:rPr>
          <w:noProof/>
        </w:rPr>
        <w:t>1.</w:t>
      </w:r>
      <w:r w:rsidRPr="006035E2">
        <w:rPr>
          <w:noProof/>
        </w:rPr>
        <w:tab/>
      </w:r>
      <w:r w:rsidR="001A62D7" w:rsidRPr="004E329E">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001A62D7" w:rsidRPr="004E329E">
        <w:rPr>
          <w:rStyle w:val="FootnoteReference"/>
          <w:noProof/>
        </w:rPr>
        <w:footnoteReference w:id="1"/>
      </w:r>
      <w:r w:rsidR="001A62D7" w:rsidRPr="004E329E">
        <w:rPr>
          <w:noProof/>
        </w:rPr>
        <w:t>.</w:t>
      </w:r>
    </w:p>
    <w:p w:rsidR="001A62D7" w:rsidRPr="004E329E" w:rsidRDefault="006035E2" w:rsidP="006035E2">
      <w:pPr>
        <w:pStyle w:val="ManualNumPar1"/>
        <w:rPr>
          <w:noProof/>
        </w:rPr>
      </w:pPr>
      <w:r w:rsidRPr="006035E2">
        <w:rPr>
          <w:noProof/>
        </w:rPr>
        <w:t>2.</w:t>
      </w:r>
      <w:r w:rsidRPr="006035E2">
        <w:rPr>
          <w:noProof/>
        </w:rPr>
        <w:tab/>
      </w:r>
      <w:r w:rsidR="001A62D7" w:rsidRPr="004E329E">
        <w:rPr>
          <w:noProof/>
        </w:rPr>
        <w:t>Le 28 août 2025, à la suite de licenciements au sein de l’entreprise Tupperware, en Belgique, les autorités belges ont introduit la demande EGF/</w:t>
      </w:r>
      <w:bookmarkStart w:id="1" w:name="EGF_Ref_Year"/>
      <w:r w:rsidR="001A62D7" w:rsidRPr="004E329E">
        <w:rPr>
          <w:noProof/>
        </w:rPr>
        <w:t>2025</w:t>
      </w:r>
      <w:bookmarkEnd w:id="1"/>
      <w:r w:rsidR="001A62D7" w:rsidRPr="004E329E">
        <w:rPr>
          <w:noProof/>
        </w:rPr>
        <w:t>/</w:t>
      </w:r>
      <w:bookmarkStart w:id="2" w:name="EGF_Ref_CaseNumber"/>
      <w:r w:rsidR="001A62D7" w:rsidRPr="004E329E">
        <w:rPr>
          <w:noProof/>
        </w:rPr>
        <w:t>004</w:t>
      </w:r>
      <w:bookmarkEnd w:id="2"/>
      <w:r w:rsidR="001A62D7" w:rsidRPr="004E329E">
        <w:rPr>
          <w:noProof/>
        </w:rPr>
        <w:t> </w:t>
      </w:r>
      <w:bookmarkStart w:id="3" w:name="MS_Code"/>
      <w:r w:rsidR="001A62D7" w:rsidRPr="004E329E">
        <w:rPr>
          <w:noProof/>
        </w:rPr>
        <w:t>BE</w:t>
      </w:r>
      <w:bookmarkEnd w:id="3"/>
      <w:r w:rsidR="001A62D7" w:rsidRPr="004E329E">
        <w:rPr>
          <w:noProof/>
        </w:rPr>
        <w:t>/</w:t>
      </w:r>
      <w:bookmarkStart w:id="4" w:name="EGF_Ref_CaseName"/>
      <w:r w:rsidR="001A62D7" w:rsidRPr="004E329E">
        <w:rPr>
          <w:noProof/>
        </w:rPr>
        <w:t>Tupperware</w:t>
      </w:r>
      <w:bookmarkEnd w:id="4"/>
      <w:r w:rsidR="001A62D7" w:rsidRPr="004E329E">
        <w:rPr>
          <w:noProof/>
        </w:rPr>
        <w:t xml:space="preserve"> en vue d’obtenir une contribution financière du FEM, à la suite de licenciements au sein de </w:t>
      </w:r>
      <w:bookmarkStart w:id="5" w:name="PrimEnterprise_Name"/>
      <w:r w:rsidR="001A62D7" w:rsidRPr="004E329E">
        <w:rPr>
          <w:noProof/>
        </w:rPr>
        <w:t xml:space="preserve">Tupperware </w:t>
      </w:r>
      <w:bookmarkStart w:id="6" w:name="_Hlk211004330"/>
      <w:r w:rsidR="001A62D7" w:rsidRPr="004E329E">
        <w:rPr>
          <w:noProof/>
        </w:rPr>
        <w:t xml:space="preserve">General Services NV </w:t>
      </w:r>
      <w:bookmarkEnd w:id="6"/>
      <w:bookmarkEnd w:id="5"/>
      <w:r w:rsidR="001A62D7" w:rsidRPr="004E329E">
        <w:rPr>
          <w:noProof/>
        </w:rPr>
        <w:t xml:space="preserve">en </w:t>
      </w:r>
      <w:bookmarkStart w:id="7" w:name="MS_Name"/>
      <w:r w:rsidR="001A62D7" w:rsidRPr="004E329E">
        <w:rPr>
          <w:noProof/>
        </w:rPr>
        <w:t>Belgique</w:t>
      </w:r>
      <w:bookmarkEnd w:id="7"/>
      <w:r w:rsidR="001A62D7" w:rsidRPr="004E329E">
        <w:rPr>
          <w:noProof/>
        </w:rPr>
        <w:t>.</w:t>
      </w:r>
    </w:p>
    <w:p w:rsidR="001A62D7" w:rsidRPr="004E329E" w:rsidRDefault="006035E2" w:rsidP="006035E2">
      <w:pPr>
        <w:pStyle w:val="ManualNumPar1"/>
        <w:rPr>
          <w:noProof/>
        </w:rPr>
      </w:pPr>
      <w:r w:rsidRPr="006035E2">
        <w:rPr>
          <w:noProof/>
        </w:rPr>
        <w:t>3.</w:t>
      </w:r>
      <w:r w:rsidRPr="006035E2">
        <w:rPr>
          <w:noProof/>
        </w:rPr>
        <w:tab/>
      </w:r>
      <w:r w:rsidR="001A62D7" w:rsidRPr="004E329E">
        <w:rPr>
          <w:noProof/>
        </w:rPr>
        <w:t xml:space="preserve">Au terme de l’évaluation de cette demande, la Commission a conclu, conformément à l’ensemble des dispositions applicables du règlement (UE) 2021/691, que les conditions d’octroi d’une contribution financière du FEM étaient remplies. </w:t>
      </w:r>
    </w:p>
    <w:p w:rsidR="001A62D7" w:rsidRPr="004E329E" w:rsidRDefault="001A62D7" w:rsidP="001A62D7">
      <w:pPr>
        <w:pStyle w:val="ManualHeading1"/>
        <w:rPr>
          <w:noProof/>
        </w:rPr>
      </w:pPr>
      <w:r w:rsidRPr="004E329E">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4E329E" w:rsidTr="001D5990">
        <w:tc>
          <w:tcPr>
            <w:tcW w:w="4908" w:type="dxa"/>
            <w:shd w:val="clear" w:color="auto" w:fill="auto"/>
          </w:tcPr>
          <w:p w:rsidR="001A62D7" w:rsidRPr="004E329E" w:rsidRDefault="001A62D7" w:rsidP="001D5990">
            <w:pPr>
              <w:spacing w:before="60" w:after="60"/>
              <w:jc w:val="left"/>
              <w:rPr>
                <w:rFonts w:eastAsia="Calibri"/>
                <w:noProof/>
              </w:rPr>
            </w:pPr>
            <w:r w:rsidRPr="004E329E">
              <w:rPr>
                <w:noProof/>
              </w:rPr>
              <w:t>Numéro de la demande FEM</w:t>
            </w:r>
          </w:p>
        </w:tc>
        <w:tc>
          <w:tcPr>
            <w:tcW w:w="4379" w:type="dxa"/>
            <w:shd w:val="clear" w:color="auto" w:fill="auto"/>
          </w:tcPr>
          <w:p w:rsidR="001A62D7" w:rsidRPr="004E329E" w:rsidRDefault="001A62D7" w:rsidP="001D5990">
            <w:pPr>
              <w:spacing w:before="60" w:after="60"/>
              <w:ind w:rightChars="192" w:right="461"/>
              <w:jc w:val="left"/>
              <w:rPr>
                <w:rFonts w:eastAsia="Calibri"/>
                <w:noProof/>
              </w:rPr>
            </w:pPr>
            <w:r w:rsidRPr="004E329E">
              <w:rPr>
                <w:noProof/>
              </w:rPr>
              <w:t>EGF/2025/004 BE/Tupperware</w:t>
            </w:r>
          </w:p>
        </w:tc>
      </w:tr>
      <w:tr w:rsidR="001A62D7" w:rsidRPr="004E329E" w:rsidTr="001D5990">
        <w:tc>
          <w:tcPr>
            <w:tcW w:w="4908" w:type="dxa"/>
            <w:shd w:val="clear" w:color="auto" w:fill="auto"/>
          </w:tcPr>
          <w:p w:rsidR="001A62D7" w:rsidRPr="004E329E" w:rsidRDefault="001A62D7" w:rsidP="001D5990">
            <w:pPr>
              <w:spacing w:before="60" w:after="60"/>
              <w:jc w:val="left"/>
              <w:rPr>
                <w:rFonts w:eastAsia="Calibri"/>
                <w:noProof/>
              </w:rPr>
            </w:pPr>
            <w:r w:rsidRPr="004E329E">
              <w:rPr>
                <w:noProof/>
              </w:rPr>
              <w:t>État membre</w:t>
            </w:r>
          </w:p>
        </w:tc>
        <w:tc>
          <w:tcPr>
            <w:tcW w:w="4379" w:type="dxa"/>
            <w:shd w:val="clear" w:color="auto" w:fill="auto"/>
          </w:tcPr>
          <w:p w:rsidR="001A62D7" w:rsidRPr="004E329E" w:rsidRDefault="00BF1FAA" w:rsidP="001D5990">
            <w:pPr>
              <w:spacing w:before="60" w:after="60"/>
              <w:ind w:rightChars="192" w:right="461"/>
              <w:jc w:val="left"/>
              <w:rPr>
                <w:rFonts w:eastAsia="Calibri"/>
                <w:noProof/>
              </w:rPr>
            </w:pPr>
            <w:r w:rsidRPr="004E329E">
              <w:rPr>
                <w:noProof/>
              </w:rPr>
              <w:t>Belgique</w:t>
            </w:r>
          </w:p>
        </w:tc>
      </w:tr>
      <w:tr w:rsidR="001A62D7" w:rsidRPr="004E329E" w:rsidTr="001D5990">
        <w:tc>
          <w:tcPr>
            <w:tcW w:w="4908" w:type="dxa"/>
            <w:tcBorders>
              <w:bottom w:val="single"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Région(s) concernée(s) (niveau NUTS 2</w:t>
            </w:r>
            <w:r w:rsidRPr="004E329E">
              <w:rPr>
                <w:rStyle w:val="FootnoteReference"/>
                <w:noProof/>
              </w:rPr>
              <w:footnoteReference w:id="2"/>
            </w:r>
            <w:r w:rsidRPr="004E329E">
              <w:rPr>
                <w:noProof/>
              </w:rPr>
              <w:t>)</w:t>
            </w:r>
          </w:p>
        </w:tc>
        <w:tc>
          <w:tcPr>
            <w:tcW w:w="4379" w:type="dxa"/>
            <w:tcBorders>
              <w:bottom w:val="single" w:sz="4" w:space="0" w:color="auto"/>
            </w:tcBorders>
            <w:shd w:val="clear" w:color="auto" w:fill="auto"/>
          </w:tcPr>
          <w:p w:rsidR="001A62D7" w:rsidRPr="004E329E" w:rsidRDefault="00BF1FAA" w:rsidP="00BF1FAA">
            <w:pPr>
              <w:spacing w:before="0" w:after="0"/>
              <w:ind w:rightChars="192" w:right="461"/>
              <w:jc w:val="left"/>
              <w:rPr>
                <w:noProof/>
                <w:szCs w:val="24"/>
              </w:rPr>
            </w:pPr>
            <w:bookmarkStart w:id="8" w:name="Region_1_Name"/>
            <w:r w:rsidRPr="004E329E">
              <w:rPr>
                <w:noProof/>
              </w:rPr>
              <w:t>Provincie Oost-Vlaanderen</w:t>
            </w:r>
            <w:bookmarkEnd w:id="8"/>
            <w:r w:rsidRPr="004E329E">
              <w:rPr>
                <w:noProof/>
              </w:rPr>
              <w:t xml:space="preserve"> (BE23)</w:t>
            </w:r>
          </w:p>
        </w:tc>
      </w:tr>
      <w:tr w:rsidR="001A62D7" w:rsidRPr="004E329E" w:rsidTr="001D5990">
        <w:tc>
          <w:tcPr>
            <w:tcW w:w="4908" w:type="dxa"/>
            <w:tcBorders>
              <w:bottom w:val="dotted"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Date de dépôt de la demande</w:t>
            </w:r>
          </w:p>
        </w:tc>
        <w:tc>
          <w:tcPr>
            <w:tcW w:w="4379" w:type="dxa"/>
            <w:tcBorders>
              <w:bottom w:val="dotted" w:sz="4" w:space="0" w:color="auto"/>
            </w:tcBorders>
            <w:shd w:val="clear" w:color="auto" w:fill="auto"/>
          </w:tcPr>
          <w:p w:rsidR="001A62D7" w:rsidRPr="004E329E" w:rsidRDefault="00477960" w:rsidP="001D5990">
            <w:pPr>
              <w:spacing w:before="60" w:after="60"/>
              <w:ind w:rightChars="192" w:right="461"/>
              <w:jc w:val="left"/>
              <w:rPr>
                <w:rFonts w:eastAsia="Calibri"/>
                <w:noProof/>
              </w:rPr>
            </w:pPr>
            <w:r w:rsidRPr="004E329E">
              <w:rPr>
                <w:noProof/>
              </w:rPr>
              <w:t>28 août 2025</w:t>
            </w:r>
          </w:p>
        </w:tc>
      </w:tr>
      <w:tr w:rsidR="001A62D7" w:rsidRPr="004E329E" w:rsidTr="001D5990">
        <w:tc>
          <w:tcPr>
            <w:tcW w:w="4908" w:type="dxa"/>
            <w:tcBorders>
              <w:top w:val="dotted" w:sz="4" w:space="0" w:color="auto"/>
              <w:bottom w:val="dotted"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Date d’accusé de réception de la demande</w:t>
            </w:r>
          </w:p>
        </w:tc>
        <w:tc>
          <w:tcPr>
            <w:tcW w:w="4379" w:type="dxa"/>
            <w:tcBorders>
              <w:top w:val="dotted" w:sz="4" w:space="0" w:color="auto"/>
              <w:bottom w:val="dotted" w:sz="4" w:space="0" w:color="auto"/>
            </w:tcBorders>
            <w:shd w:val="clear" w:color="auto" w:fill="auto"/>
          </w:tcPr>
          <w:p w:rsidR="001A62D7" w:rsidRPr="004E329E" w:rsidRDefault="00645503" w:rsidP="001D5990">
            <w:pPr>
              <w:spacing w:before="60" w:after="60"/>
              <w:ind w:rightChars="192" w:right="461"/>
              <w:jc w:val="left"/>
              <w:rPr>
                <w:rFonts w:eastAsia="Calibri"/>
                <w:noProof/>
              </w:rPr>
            </w:pPr>
            <w:r w:rsidRPr="004E329E">
              <w:rPr>
                <w:noProof/>
              </w:rPr>
              <w:t>28 août 2025</w:t>
            </w:r>
          </w:p>
        </w:tc>
      </w:tr>
      <w:tr w:rsidR="001A62D7" w:rsidRPr="004E329E" w:rsidTr="001D5990">
        <w:tc>
          <w:tcPr>
            <w:tcW w:w="4908" w:type="dxa"/>
            <w:tcBorders>
              <w:top w:val="dotted" w:sz="4" w:space="0" w:color="auto"/>
              <w:bottom w:val="dotted"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Date de demande d’informations complémentaires</w:t>
            </w:r>
          </w:p>
        </w:tc>
        <w:tc>
          <w:tcPr>
            <w:tcW w:w="4379" w:type="dxa"/>
            <w:tcBorders>
              <w:top w:val="dotted" w:sz="4" w:space="0" w:color="auto"/>
              <w:bottom w:val="dotted" w:sz="4" w:space="0" w:color="auto"/>
            </w:tcBorders>
            <w:shd w:val="clear" w:color="auto" w:fill="auto"/>
          </w:tcPr>
          <w:p w:rsidR="001A62D7" w:rsidRPr="004E329E" w:rsidRDefault="00645503" w:rsidP="001D5990">
            <w:pPr>
              <w:spacing w:before="60" w:after="60"/>
              <w:ind w:rightChars="192" w:right="461"/>
              <w:jc w:val="left"/>
              <w:rPr>
                <w:rFonts w:eastAsia="Calibri"/>
                <w:noProof/>
              </w:rPr>
            </w:pPr>
            <w:r w:rsidRPr="004E329E">
              <w:rPr>
                <w:noProof/>
              </w:rPr>
              <w:t>10 octobre 2025</w:t>
            </w:r>
          </w:p>
        </w:tc>
      </w:tr>
      <w:tr w:rsidR="001A62D7" w:rsidRPr="004E329E" w:rsidTr="001D5990">
        <w:tc>
          <w:tcPr>
            <w:tcW w:w="4908" w:type="dxa"/>
            <w:tcBorders>
              <w:top w:val="dotted" w:sz="4" w:space="0" w:color="auto"/>
              <w:bottom w:val="dotted"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Date limite pour la communication des informations complémentaires</w:t>
            </w:r>
          </w:p>
        </w:tc>
        <w:tc>
          <w:tcPr>
            <w:tcW w:w="4379" w:type="dxa"/>
            <w:tcBorders>
              <w:top w:val="dotted" w:sz="4" w:space="0" w:color="auto"/>
              <w:bottom w:val="dotted" w:sz="4" w:space="0" w:color="auto"/>
            </w:tcBorders>
            <w:shd w:val="clear" w:color="auto" w:fill="auto"/>
          </w:tcPr>
          <w:p w:rsidR="001A62D7" w:rsidRPr="004E329E" w:rsidRDefault="00645503" w:rsidP="001D5990">
            <w:pPr>
              <w:spacing w:before="60" w:after="60"/>
              <w:ind w:rightChars="192" w:right="461"/>
              <w:jc w:val="left"/>
              <w:rPr>
                <w:rFonts w:eastAsia="Calibri"/>
                <w:noProof/>
              </w:rPr>
            </w:pPr>
            <w:r w:rsidRPr="004E329E">
              <w:rPr>
                <w:noProof/>
              </w:rPr>
              <w:t>31 octobre 2025</w:t>
            </w:r>
          </w:p>
        </w:tc>
      </w:tr>
      <w:tr w:rsidR="001A62D7" w:rsidRPr="004E329E" w:rsidTr="001D5990">
        <w:tc>
          <w:tcPr>
            <w:tcW w:w="4908" w:type="dxa"/>
            <w:tcBorders>
              <w:top w:val="dotted"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Date limite pour l’achèvement de l’évaluation</w:t>
            </w:r>
          </w:p>
        </w:tc>
        <w:tc>
          <w:tcPr>
            <w:tcW w:w="4379" w:type="dxa"/>
            <w:tcBorders>
              <w:top w:val="dotted" w:sz="4" w:space="0" w:color="auto"/>
            </w:tcBorders>
            <w:shd w:val="clear" w:color="auto" w:fill="auto"/>
          </w:tcPr>
          <w:p w:rsidR="001A62D7" w:rsidRPr="004E329E" w:rsidRDefault="00645503" w:rsidP="001D5990">
            <w:pPr>
              <w:spacing w:before="60" w:after="60"/>
              <w:ind w:rightChars="192" w:right="461"/>
              <w:jc w:val="left"/>
              <w:rPr>
                <w:rFonts w:eastAsia="Calibri"/>
                <w:noProof/>
              </w:rPr>
            </w:pPr>
            <w:r w:rsidRPr="004E329E">
              <w:rPr>
                <w:noProof/>
              </w:rPr>
              <w:t>21 janvier 2026</w:t>
            </w:r>
          </w:p>
        </w:tc>
      </w:tr>
      <w:tr w:rsidR="001A62D7" w:rsidRPr="004E329E" w:rsidTr="001D5990">
        <w:tc>
          <w:tcPr>
            <w:tcW w:w="4908" w:type="dxa"/>
            <w:shd w:val="clear" w:color="auto" w:fill="auto"/>
          </w:tcPr>
          <w:p w:rsidR="001A62D7" w:rsidRPr="004E329E" w:rsidRDefault="001A62D7" w:rsidP="001D5990">
            <w:pPr>
              <w:spacing w:before="60" w:after="60"/>
              <w:jc w:val="left"/>
              <w:rPr>
                <w:rFonts w:eastAsia="Calibri"/>
                <w:noProof/>
              </w:rPr>
            </w:pPr>
            <w:r w:rsidRPr="004E329E">
              <w:rPr>
                <w:noProof/>
              </w:rPr>
              <w:t>Critère d’intervention</w:t>
            </w:r>
          </w:p>
        </w:tc>
        <w:tc>
          <w:tcPr>
            <w:tcW w:w="4379" w:type="dxa"/>
            <w:shd w:val="clear" w:color="auto" w:fill="auto"/>
          </w:tcPr>
          <w:p w:rsidR="001A62D7" w:rsidRPr="004E329E" w:rsidRDefault="001A62D7" w:rsidP="001D5990">
            <w:pPr>
              <w:spacing w:before="60" w:after="60"/>
              <w:ind w:rightChars="192" w:right="461"/>
              <w:jc w:val="left"/>
              <w:rPr>
                <w:rFonts w:eastAsia="Calibri"/>
                <w:noProof/>
              </w:rPr>
            </w:pPr>
            <w:r w:rsidRPr="004E329E">
              <w:rPr>
                <w:noProof/>
              </w:rPr>
              <w:t>Article 4, paragraphe 2, point a), du règlement UE) 2021/691</w:t>
            </w:r>
          </w:p>
        </w:tc>
      </w:tr>
      <w:tr w:rsidR="001A62D7" w:rsidRPr="004E329E" w:rsidTr="001D5990">
        <w:tc>
          <w:tcPr>
            <w:tcW w:w="4908" w:type="dxa"/>
            <w:tcBorders>
              <w:top w:val="single" w:sz="4" w:space="0" w:color="auto"/>
              <w:bottom w:val="single" w:sz="4" w:space="0" w:color="auto"/>
              <w:right w:val="single"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br w:type="page"/>
              <w:t>Entreprise principale concernée</w:t>
            </w:r>
          </w:p>
        </w:tc>
        <w:tc>
          <w:tcPr>
            <w:tcW w:w="4379" w:type="dxa"/>
            <w:tcBorders>
              <w:top w:val="single" w:sz="4" w:space="0" w:color="auto"/>
              <w:left w:val="single" w:sz="4" w:space="0" w:color="auto"/>
              <w:bottom w:val="single" w:sz="4" w:space="0" w:color="auto"/>
            </w:tcBorders>
            <w:shd w:val="clear" w:color="auto" w:fill="auto"/>
          </w:tcPr>
          <w:p w:rsidR="001A62D7" w:rsidRPr="004E329E" w:rsidRDefault="00831DA5" w:rsidP="001D5990">
            <w:pPr>
              <w:spacing w:before="60" w:after="60"/>
              <w:ind w:rightChars="192" w:right="461"/>
              <w:jc w:val="left"/>
              <w:rPr>
                <w:noProof/>
                <w:szCs w:val="24"/>
              </w:rPr>
            </w:pPr>
            <w:r w:rsidRPr="004E329E">
              <w:rPr>
                <w:noProof/>
              </w:rPr>
              <w:t>Tupperware General Services NV</w:t>
            </w:r>
          </w:p>
        </w:tc>
      </w:tr>
      <w:tr w:rsidR="001A62D7" w:rsidRPr="004E329E" w:rsidTr="001D5990">
        <w:tc>
          <w:tcPr>
            <w:tcW w:w="4908" w:type="dxa"/>
            <w:shd w:val="clear" w:color="auto" w:fill="auto"/>
          </w:tcPr>
          <w:p w:rsidR="001A62D7" w:rsidRPr="004E329E" w:rsidRDefault="001A62D7" w:rsidP="001D5990">
            <w:pPr>
              <w:spacing w:before="60" w:after="60"/>
              <w:jc w:val="left"/>
              <w:rPr>
                <w:rFonts w:eastAsia="Calibri"/>
                <w:noProof/>
              </w:rPr>
            </w:pPr>
            <w:r w:rsidRPr="004E329E">
              <w:rPr>
                <w:noProof/>
              </w:rPr>
              <w:t>Secteur(s) d’activité économique</w:t>
            </w:r>
          </w:p>
          <w:p w:rsidR="001A62D7" w:rsidRPr="004E329E" w:rsidRDefault="001A62D7" w:rsidP="001D5990">
            <w:pPr>
              <w:spacing w:before="60" w:after="60"/>
              <w:jc w:val="left"/>
              <w:rPr>
                <w:rFonts w:eastAsia="Calibri"/>
                <w:noProof/>
              </w:rPr>
            </w:pPr>
            <w:r w:rsidRPr="004E329E">
              <w:rPr>
                <w:noProof/>
              </w:rPr>
              <w:t>(division de la NACE Rév. 2)</w:t>
            </w:r>
            <w:r w:rsidRPr="004E329E">
              <w:rPr>
                <w:rStyle w:val="FootnoteReference"/>
                <w:noProof/>
                <w:szCs w:val="24"/>
              </w:rPr>
              <w:footnoteReference w:id="3"/>
            </w:r>
          </w:p>
        </w:tc>
        <w:tc>
          <w:tcPr>
            <w:tcW w:w="4379" w:type="dxa"/>
            <w:shd w:val="clear" w:color="auto" w:fill="auto"/>
          </w:tcPr>
          <w:p w:rsidR="001A62D7" w:rsidRPr="004E329E" w:rsidRDefault="001A62D7" w:rsidP="00BF1FAA">
            <w:pPr>
              <w:spacing w:before="60" w:after="60"/>
              <w:ind w:rightChars="192" w:right="461"/>
              <w:jc w:val="left"/>
              <w:rPr>
                <w:rFonts w:eastAsia="Calibri"/>
                <w:noProof/>
              </w:rPr>
            </w:pPr>
            <w:r w:rsidRPr="004E329E">
              <w:rPr>
                <w:noProof/>
              </w:rPr>
              <w:t>Division 22 (Fabrication de produits en caoutchouc et en plastique)</w:t>
            </w:r>
          </w:p>
        </w:tc>
      </w:tr>
      <w:tr w:rsidR="001A62D7" w:rsidRPr="004E329E" w:rsidTr="001D5990">
        <w:tc>
          <w:tcPr>
            <w:tcW w:w="4908" w:type="dxa"/>
            <w:tcBorders>
              <w:bottom w:val="single"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Période de référence (quatre mois):</w:t>
            </w:r>
          </w:p>
        </w:tc>
        <w:tc>
          <w:tcPr>
            <w:tcW w:w="4379" w:type="dxa"/>
            <w:tcBorders>
              <w:bottom w:val="single" w:sz="4" w:space="0" w:color="auto"/>
            </w:tcBorders>
            <w:shd w:val="clear" w:color="auto" w:fill="auto"/>
          </w:tcPr>
          <w:p w:rsidR="001A62D7" w:rsidRPr="004E329E" w:rsidRDefault="00994992" w:rsidP="001D5990">
            <w:pPr>
              <w:spacing w:before="60" w:after="60"/>
              <w:ind w:rightChars="192" w:right="461"/>
              <w:jc w:val="left"/>
              <w:rPr>
                <w:rFonts w:eastAsia="Calibri"/>
                <w:noProof/>
              </w:rPr>
            </w:pPr>
            <w:r w:rsidRPr="004E329E">
              <w:rPr>
                <w:noProof/>
              </w:rPr>
              <w:t>17 février 2025 – 17 juin 2025</w:t>
            </w:r>
          </w:p>
        </w:tc>
      </w:tr>
      <w:tr w:rsidR="001A62D7" w:rsidRPr="004E329E" w:rsidTr="001D5990">
        <w:tc>
          <w:tcPr>
            <w:tcW w:w="4908" w:type="dxa"/>
            <w:tcBorders>
              <w:bottom w:val="dotted" w:sz="4" w:space="0" w:color="auto"/>
            </w:tcBorders>
            <w:shd w:val="clear" w:color="auto" w:fill="auto"/>
          </w:tcPr>
          <w:p w:rsidR="001A62D7" w:rsidRPr="004E329E" w:rsidRDefault="001A62D7" w:rsidP="001D5990">
            <w:pPr>
              <w:spacing w:before="60" w:after="60"/>
              <w:jc w:val="left"/>
              <w:rPr>
                <w:rFonts w:eastAsia="Calibri"/>
                <w:noProof/>
                <w:highlight w:val="magenta"/>
              </w:rPr>
            </w:pPr>
            <w:r w:rsidRPr="004E329E">
              <w:rPr>
                <w:noProof/>
              </w:rPr>
              <w:t>Nombre de licenciements pendant la période de référence a)</w:t>
            </w:r>
          </w:p>
        </w:tc>
        <w:tc>
          <w:tcPr>
            <w:tcW w:w="4379" w:type="dxa"/>
            <w:tcBorders>
              <w:bottom w:val="dotted" w:sz="4" w:space="0" w:color="auto"/>
            </w:tcBorders>
            <w:shd w:val="clear" w:color="auto" w:fill="auto"/>
          </w:tcPr>
          <w:p w:rsidR="001A62D7" w:rsidRPr="004E329E" w:rsidRDefault="00BF1FAA" w:rsidP="001D5990">
            <w:pPr>
              <w:spacing w:before="60" w:after="60"/>
              <w:ind w:rightChars="192" w:right="461"/>
              <w:jc w:val="left"/>
              <w:rPr>
                <w:rFonts w:eastAsia="Calibri"/>
                <w:noProof/>
                <w:highlight w:val="magenta"/>
              </w:rPr>
            </w:pPr>
            <w:r w:rsidRPr="004E329E">
              <w:rPr>
                <w:noProof/>
              </w:rPr>
              <w:t>267</w:t>
            </w:r>
          </w:p>
        </w:tc>
      </w:tr>
      <w:tr w:rsidR="001A62D7" w:rsidRPr="004E329E" w:rsidTr="001D5990">
        <w:tc>
          <w:tcPr>
            <w:tcW w:w="4908" w:type="dxa"/>
            <w:tcBorders>
              <w:bottom w:val="dotted"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Nombre total de bénéficiaires éligibles</w:t>
            </w:r>
          </w:p>
        </w:tc>
        <w:tc>
          <w:tcPr>
            <w:tcW w:w="4379" w:type="dxa"/>
            <w:tcBorders>
              <w:bottom w:val="dotted" w:sz="4" w:space="0" w:color="auto"/>
            </w:tcBorders>
            <w:shd w:val="clear" w:color="auto" w:fill="auto"/>
          </w:tcPr>
          <w:p w:rsidR="001A62D7" w:rsidRPr="004E329E" w:rsidRDefault="00BF1FAA" w:rsidP="001D5990">
            <w:pPr>
              <w:spacing w:before="60" w:after="60"/>
              <w:ind w:rightChars="192" w:right="461"/>
              <w:jc w:val="left"/>
              <w:rPr>
                <w:rFonts w:eastAsia="Calibri"/>
                <w:noProof/>
              </w:rPr>
            </w:pPr>
            <w:r w:rsidRPr="004E329E">
              <w:rPr>
                <w:noProof/>
              </w:rPr>
              <w:t>267</w:t>
            </w:r>
          </w:p>
        </w:tc>
      </w:tr>
      <w:tr w:rsidR="001A62D7" w:rsidRPr="004E329E" w:rsidTr="001D5990">
        <w:tc>
          <w:tcPr>
            <w:tcW w:w="4908" w:type="dxa"/>
            <w:tcBorders>
              <w:top w:val="dotted" w:sz="4" w:space="0" w:color="auto"/>
              <w:bottom w:val="dotted" w:sz="4" w:space="0" w:color="auto"/>
            </w:tcBorders>
            <w:shd w:val="clear" w:color="auto" w:fill="auto"/>
          </w:tcPr>
          <w:p w:rsidR="001A62D7" w:rsidRPr="004E329E" w:rsidRDefault="001A62D7" w:rsidP="001D5990">
            <w:pPr>
              <w:spacing w:before="60" w:after="60"/>
              <w:jc w:val="left"/>
              <w:rPr>
                <w:rFonts w:eastAsia="Calibri"/>
                <w:noProof/>
              </w:rPr>
            </w:pPr>
            <w:r w:rsidRPr="004E329E">
              <w:rPr>
                <w:noProof/>
              </w:rPr>
              <w:t>Nombre total de bénéficiaires visés</w:t>
            </w:r>
          </w:p>
        </w:tc>
        <w:tc>
          <w:tcPr>
            <w:tcW w:w="4379" w:type="dxa"/>
            <w:tcBorders>
              <w:top w:val="dotted" w:sz="4" w:space="0" w:color="auto"/>
              <w:bottom w:val="dotted" w:sz="4" w:space="0" w:color="auto"/>
            </w:tcBorders>
            <w:shd w:val="clear" w:color="auto" w:fill="auto"/>
          </w:tcPr>
          <w:p w:rsidR="001A62D7" w:rsidRPr="004E329E" w:rsidRDefault="00BF1FAA" w:rsidP="001D5990">
            <w:pPr>
              <w:spacing w:before="60" w:after="60"/>
              <w:ind w:rightChars="192" w:right="461"/>
              <w:jc w:val="left"/>
              <w:rPr>
                <w:rFonts w:eastAsia="Calibri"/>
                <w:noProof/>
              </w:rPr>
            </w:pPr>
            <w:r w:rsidRPr="004E329E">
              <w:rPr>
                <w:noProof/>
              </w:rPr>
              <w:t>267</w:t>
            </w:r>
          </w:p>
        </w:tc>
      </w:tr>
      <w:tr w:rsidR="001A62D7" w:rsidRPr="004E329E" w:rsidTr="001D5990">
        <w:tc>
          <w:tcPr>
            <w:tcW w:w="4908" w:type="dxa"/>
            <w:tcBorders>
              <w:bottom w:val="dotted" w:sz="4" w:space="0" w:color="auto"/>
            </w:tcBorders>
            <w:shd w:val="clear" w:color="auto" w:fill="auto"/>
            <w:vAlign w:val="center"/>
          </w:tcPr>
          <w:p w:rsidR="001A62D7" w:rsidRPr="004E329E" w:rsidRDefault="001A62D7" w:rsidP="001D5990">
            <w:pPr>
              <w:spacing w:before="0" w:after="0"/>
              <w:jc w:val="left"/>
              <w:rPr>
                <w:noProof/>
              </w:rPr>
            </w:pPr>
            <w:r w:rsidRPr="004E329E">
              <w:rPr>
                <w:noProof/>
              </w:rPr>
              <w:t>Budget pour les services personnalisés (en EUR)</w:t>
            </w:r>
          </w:p>
        </w:tc>
        <w:tc>
          <w:tcPr>
            <w:tcW w:w="4379" w:type="dxa"/>
            <w:tcBorders>
              <w:bottom w:val="dotted" w:sz="4" w:space="0" w:color="auto"/>
            </w:tcBorders>
            <w:shd w:val="clear" w:color="auto" w:fill="auto"/>
            <w:vAlign w:val="center"/>
          </w:tcPr>
          <w:p w:rsidR="001A62D7" w:rsidRPr="004E329E" w:rsidRDefault="00A101DD" w:rsidP="001D5990">
            <w:pPr>
              <w:spacing w:before="0" w:after="0"/>
              <w:ind w:rightChars="192" w:right="461"/>
              <w:jc w:val="left"/>
              <w:rPr>
                <w:noProof/>
              </w:rPr>
            </w:pPr>
            <w:r w:rsidRPr="004E329E">
              <w:rPr>
                <w:noProof/>
              </w:rPr>
              <w:t>1 843 500</w:t>
            </w:r>
          </w:p>
        </w:tc>
      </w:tr>
      <w:tr w:rsidR="001A62D7" w:rsidRPr="004E329E" w:rsidTr="001D5990">
        <w:tc>
          <w:tcPr>
            <w:tcW w:w="4908" w:type="dxa"/>
            <w:tcBorders>
              <w:top w:val="dotted" w:sz="4" w:space="0" w:color="auto"/>
              <w:bottom w:val="dotted" w:sz="4" w:space="0" w:color="auto"/>
            </w:tcBorders>
            <w:shd w:val="clear" w:color="auto" w:fill="auto"/>
            <w:vAlign w:val="center"/>
          </w:tcPr>
          <w:p w:rsidR="001A62D7" w:rsidRPr="004E329E" w:rsidRDefault="001A62D7" w:rsidP="001D5990">
            <w:pPr>
              <w:spacing w:before="0" w:after="0"/>
              <w:jc w:val="left"/>
              <w:rPr>
                <w:noProof/>
              </w:rPr>
            </w:pPr>
            <w:r w:rsidRPr="004E329E">
              <w:rPr>
                <w:noProof/>
              </w:rPr>
              <w:t>Budget pour la mise en œuvre du FEM</w:t>
            </w:r>
            <w:r w:rsidRPr="004E329E">
              <w:rPr>
                <w:rStyle w:val="FootnoteReference"/>
                <w:noProof/>
              </w:rPr>
              <w:footnoteReference w:id="4"/>
            </w:r>
            <w:r w:rsidRPr="004E329E">
              <w:rPr>
                <w:noProof/>
              </w:rPr>
              <w:t xml:space="preserve"> (en EUR)</w:t>
            </w:r>
          </w:p>
        </w:tc>
        <w:tc>
          <w:tcPr>
            <w:tcW w:w="4379" w:type="dxa"/>
            <w:tcBorders>
              <w:top w:val="dotted" w:sz="4" w:space="0" w:color="auto"/>
              <w:bottom w:val="dotted" w:sz="4" w:space="0" w:color="auto"/>
            </w:tcBorders>
            <w:shd w:val="clear" w:color="auto" w:fill="auto"/>
            <w:vAlign w:val="center"/>
          </w:tcPr>
          <w:p w:rsidR="001A62D7" w:rsidRPr="004E329E" w:rsidRDefault="002A5F93" w:rsidP="001D5990">
            <w:pPr>
              <w:spacing w:before="0" w:after="0"/>
              <w:ind w:rightChars="192" w:right="461"/>
              <w:jc w:val="left"/>
              <w:rPr>
                <w:noProof/>
              </w:rPr>
            </w:pPr>
            <w:r w:rsidRPr="004E329E">
              <w:rPr>
                <w:noProof/>
              </w:rPr>
              <w:t>65 500</w:t>
            </w:r>
          </w:p>
        </w:tc>
      </w:tr>
      <w:tr w:rsidR="001A62D7" w:rsidRPr="004E329E" w:rsidTr="001D5990">
        <w:tc>
          <w:tcPr>
            <w:tcW w:w="4908" w:type="dxa"/>
            <w:tcBorders>
              <w:top w:val="dotted" w:sz="4" w:space="0" w:color="auto"/>
              <w:bottom w:val="dotted" w:sz="4" w:space="0" w:color="auto"/>
            </w:tcBorders>
            <w:shd w:val="clear" w:color="auto" w:fill="auto"/>
            <w:vAlign w:val="center"/>
          </w:tcPr>
          <w:p w:rsidR="001A62D7" w:rsidRPr="004E329E" w:rsidRDefault="001A62D7" w:rsidP="001D5990">
            <w:pPr>
              <w:spacing w:before="0" w:after="0"/>
              <w:jc w:val="left"/>
              <w:rPr>
                <w:noProof/>
              </w:rPr>
            </w:pPr>
            <w:r w:rsidRPr="004E329E">
              <w:rPr>
                <w:noProof/>
              </w:rPr>
              <w:t>Budget total (en EUR)</w:t>
            </w:r>
          </w:p>
        </w:tc>
        <w:tc>
          <w:tcPr>
            <w:tcW w:w="4379" w:type="dxa"/>
            <w:tcBorders>
              <w:top w:val="dotted" w:sz="4" w:space="0" w:color="auto"/>
              <w:bottom w:val="dotted" w:sz="4" w:space="0" w:color="auto"/>
            </w:tcBorders>
            <w:shd w:val="clear" w:color="auto" w:fill="auto"/>
            <w:vAlign w:val="center"/>
          </w:tcPr>
          <w:p w:rsidR="001A62D7" w:rsidRPr="004E329E" w:rsidRDefault="00A101DD" w:rsidP="001D5990">
            <w:pPr>
              <w:spacing w:before="0" w:after="0"/>
              <w:ind w:rightChars="192" w:right="461"/>
              <w:jc w:val="left"/>
              <w:rPr>
                <w:noProof/>
              </w:rPr>
            </w:pPr>
            <w:r w:rsidRPr="004E329E">
              <w:rPr>
                <w:noProof/>
              </w:rPr>
              <w:t>1 909 000</w:t>
            </w:r>
          </w:p>
        </w:tc>
      </w:tr>
      <w:tr w:rsidR="001A62D7" w:rsidRPr="004E329E" w:rsidTr="001D5990">
        <w:tc>
          <w:tcPr>
            <w:tcW w:w="4908" w:type="dxa"/>
            <w:tcBorders>
              <w:top w:val="dotted" w:sz="4" w:space="0" w:color="auto"/>
            </w:tcBorders>
            <w:shd w:val="clear" w:color="auto" w:fill="auto"/>
            <w:vAlign w:val="center"/>
          </w:tcPr>
          <w:p w:rsidR="001A62D7" w:rsidRPr="004E329E" w:rsidRDefault="001A62D7" w:rsidP="001D5990">
            <w:pPr>
              <w:spacing w:before="0" w:after="0"/>
              <w:jc w:val="left"/>
              <w:rPr>
                <w:noProof/>
              </w:rPr>
            </w:pPr>
            <w:r w:rsidRPr="004E329E">
              <w:rPr>
                <w:noProof/>
              </w:rPr>
              <w:t>Contribution du FEM (85 %) (en EUR)</w:t>
            </w:r>
          </w:p>
        </w:tc>
        <w:tc>
          <w:tcPr>
            <w:tcW w:w="4379" w:type="dxa"/>
            <w:tcBorders>
              <w:top w:val="dotted" w:sz="4" w:space="0" w:color="auto"/>
            </w:tcBorders>
            <w:shd w:val="clear" w:color="auto" w:fill="auto"/>
            <w:vAlign w:val="center"/>
          </w:tcPr>
          <w:p w:rsidR="001A62D7" w:rsidRPr="004E329E" w:rsidRDefault="00A101DD" w:rsidP="001D5990">
            <w:pPr>
              <w:spacing w:before="0" w:after="0"/>
              <w:ind w:rightChars="192" w:right="461"/>
              <w:jc w:val="left"/>
              <w:rPr>
                <w:noProof/>
              </w:rPr>
            </w:pPr>
            <w:r w:rsidRPr="004E329E">
              <w:rPr>
                <w:noProof/>
              </w:rPr>
              <w:t>1 622 650</w:t>
            </w:r>
          </w:p>
        </w:tc>
      </w:tr>
    </w:tbl>
    <w:p w:rsidR="001A62D7" w:rsidRPr="004E329E" w:rsidRDefault="001A62D7" w:rsidP="001A62D7">
      <w:pPr>
        <w:pStyle w:val="ManualHeading1"/>
        <w:rPr>
          <w:noProof/>
        </w:rPr>
      </w:pPr>
      <w:r w:rsidRPr="004E329E">
        <w:rPr>
          <w:noProof/>
        </w:rPr>
        <w:t>ÉVALUATION DE LA DEMANDE</w:t>
      </w:r>
    </w:p>
    <w:p w:rsidR="001A62D7" w:rsidRPr="004E329E" w:rsidRDefault="001A62D7" w:rsidP="001A62D7">
      <w:pPr>
        <w:pStyle w:val="ManualHeading2"/>
        <w:rPr>
          <w:noProof/>
        </w:rPr>
      </w:pPr>
      <w:r w:rsidRPr="004E329E">
        <w:rPr>
          <w:noProof/>
        </w:rPr>
        <w:t>Procédure</w:t>
      </w:r>
    </w:p>
    <w:p w:rsidR="001A62D7" w:rsidRPr="004E329E" w:rsidRDefault="006035E2" w:rsidP="006035E2">
      <w:pPr>
        <w:pStyle w:val="ManualNumPar1"/>
        <w:rPr>
          <w:noProof/>
        </w:rPr>
      </w:pPr>
      <w:r w:rsidRPr="006035E2">
        <w:rPr>
          <w:noProof/>
        </w:rPr>
        <w:t>4.</w:t>
      </w:r>
      <w:r w:rsidRPr="006035E2">
        <w:rPr>
          <w:noProof/>
        </w:rPr>
        <w:tab/>
      </w:r>
      <w:r w:rsidR="003A2739" w:rsidRPr="004E329E">
        <w:rPr>
          <w:noProof/>
        </w:rPr>
        <w:t xml:space="preserve">La Belgique a présenté la demande EGF/2025/004 BE/Tupperware le 28 août 2025, dans le délai de 12 semaines à compter de la date à laquelle les critères d’intervention précisés à l’article 4, paragraphe 2, point a), du règlement (UE) 2021/691 ont été remplis. La Commission a accusé réception de cette demande le même jour. La Commission a obtenu la traduction de la demande le 26 septembre 2025 et a demandé des informations complémentaires à la Belgique le 10 octobre 2025. Ces informations complémentaires ont été fournies dans les 15 jours ouvrables qui ont suivi la demande. Le délai de 50 jours ouvrables à compter de la réception de la demande complète dont dispose la Commission pour achever son évaluation de la conformité de la demande avec les conditions d’octroi d’une contribution financière expire le 21 janvier 2026. </w:t>
      </w:r>
    </w:p>
    <w:p w:rsidR="001A62D7" w:rsidRPr="004E329E" w:rsidRDefault="001A62D7" w:rsidP="001A62D7">
      <w:pPr>
        <w:pStyle w:val="ManualHeading2"/>
        <w:rPr>
          <w:noProof/>
        </w:rPr>
      </w:pPr>
      <w:r w:rsidRPr="004E329E">
        <w:rPr>
          <w:noProof/>
        </w:rPr>
        <w:t>Admissibilité de la demande</w:t>
      </w:r>
    </w:p>
    <w:p w:rsidR="001A62D7" w:rsidRPr="004E329E" w:rsidRDefault="001A62D7" w:rsidP="001A62D7">
      <w:pPr>
        <w:pStyle w:val="ManualHeading3"/>
        <w:rPr>
          <w:noProof/>
        </w:rPr>
      </w:pPr>
      <w:r w:rsidRPr="004E329E">
        <w:rPr>
          <w:noProof/>
        </w:rPr>
        <w:t>Entreprises et bénéficiaires concernés</w:t>
      </w:r>
    </w:p>
    <w:p w:rsidR="001A62D7" w:rsidRPr="004E329E" w:rsidRDefault="006035E2" w:rsidP="006035E2">
      <w:pPr>
        <w:pStyle w:val="ManualNumPar1"/>
        <w:rPr>
          <w:noProof/>
          <w:szCs w:val="24"/>
        </w:rPr>
      </w:pPr>
      <w:r w:rsidRPr="006035E2">
        <w:rPr>
          <w:noProof/>
        </w:rPr>
        <w:t>5.</w:t>
      </w:r>
      <w:r w:rsidRPr="006035E2">
        <w:rPr>
          <w:noProof/>
        </w:rPr>
        <w:tab/>
      </w:r>
      <w:r w:rsidR="001A62D7" w:rsidRPr="004E329E">
        <w:rPr>
          <w:noProof/>
        </w:rPr>
        <w:t>La demande concerne 267 travailleurs licenciés dont l’activité a cessé au sein de Tupperware General Services NV. L’entreprise concernée exerçait ses activités dans le secteur économique relevant de la division 22 de la NACE Rév. 2 (Fabrication de produits en caoutchouc et en plastique). Les licenciements ont eu lieu dans la région de niveau NUTS 2 Provincie Oost-Vlaanderen (BE23).</w:t>
      </w:r>
    </w:p>
    <w:p w:rsidR="001A62D7" w:rsidRPr="004E329E" w:rsidRDefault="001A62D7" w:rsidP="001A62D7">
      <w:pPr>
        <w:pStyle w:val="ManualHeading3"/>
        <w:rPr>
          <w:noProof/>
        </w:rPr>
      </w:pPr>
      <w:r w:rsidRPr="004E329E">
        <w:rPr>
          <w:noProof/>
        </w:rPr>
        <w:t>Critères d’intervention</w:t>
      </w:r>
    </w:p>
    <w:p w:rsidR="001A62D7" w:rsidRPr="004E329E" w:rsidRDefault="006035E2" w:rsidP="006035E2">
      <w:pPr>
        <w:pStyle w:val="ManualNumPar1"/>
        <w:rPr>
          <w:noProof/>
        </w:rPr>
      </w:pPr>
      <w:r w:rsidRPr="006035E2">
        <w:rPr>
          <w:noProof/>
        </w:rPr>
        <w:t>6.</w:t>
      </w:r>
      <w:r w:rsidRPr="006035E2">
        <w:rPr>
          <w:noProof/>
        </w:rPr>
        <w:tab/>
      </w:r>
      <w:r w:rsidR="00DB30CF" w:rsidRPr="004E329E">
        <w:rPr>
          <w:noProof/>
        </w:rPr>
        <w:t>La Belgique a présenté la demande au titre du critère d’intervention énoncé à l’article 4, paragraphe 2, point a), du règlement (UE) 2021/691, qui exige la cessation d’activité d’au moins 200 travailleurs licenciés, sur une période de référence de quatre mois, dans une entreprise d’un État membre, y compris lorsque cette cessation d’activité concerne des travailleurs licenciés chez des fournisseurs ou producteurs en aval et/ou des travailleurs indépendants.</w:t>
      </w:r>
    </w:p>
    <w:p w:rsidR="001A62D7" w:rsidRPr="004E329E" w:rsidRDefault="006035E2" w:rsidP="006035E2">
      <w:pPr>
        <w:pStyle w:val="ManualNumPar1"/>
        <w:rPr>
          <w:noProof/>
        </w:rPr>
      </w:pPr>
      <w:bookmarkStart w:id="9" w:name="_Ref372189348"/>
      <w:r w:rsidRPr="006035E2">
        <w:rPr>
          <w:noProof/>
        </w:rPr>
        <w:t>7.</w:t>
      </w:r>
      <w:r w:rsidRPr="006035E2">
        <w:rPr>
          <w:noProof/>
        </w:rPr>
        <w:tab/>
      </w:r>
      <w:r w:rsidR="001A62D7" w:rsidRPr="004E329E">
        <w:rPr>
          <w:noProof/>
        </w:rPr>
        <w:t>La période de référence de quatre mois pour la demande s’étend du 17 février 2025</w:t>
      </w:r>
      <w:bookmarkEnd w:id="9"/>
      <w:r w:rsidR="001A62D7" w:rsidRPr="004E329E">
        <w:rPr>
          <w:noProof/>
        </w:rPr>
        <w:t xml:space="preserve"> au 17 juin 2025.</w:t>
      </w:r>
    </w:p>
    <w:p w:rsidR="001A62D7" w:rsidRPr="004E329E" w:rsidRDefault="006035E2" w:rsidP="006035E2">
      <w:pPr>
        <w:pStyle w:val="ManualNumPar1"/>
        <w:rPr>
          <w:noProof/>
        </w:rPr>
      </w:pPr>
      <w:r w:rsidRPr="006035E2">
        <w:rPr>
          <w:noProof/>
        </w:rPr>
        <w:t>8.</w:t>
      </w:r>
      <w:r w:rsidRPr="006035E2">
        <w:rPr>
          <w:noProof/>
        </w:rPr>
        <w:tab/>
      </w:r>
      <w:r w:rsidR="001A62D7" w:rsidRPr="004E329E">
        <w:rPr>
          <w:noProof/>
        </w:rPr>
        <w:t>Au cours de la période de référence, 267 travailleurs ont été licenciés au sein de Tupperware General Services NV.</w:t>
      </w:r>
    </w:p>
    <w:p w:rsidR="001A62D7" w:rsidRPr="004E329E" w:rsidRDefault="001A62D7" w:rsidP="001A62D7">
      <w:pPr>
        <w:pStyle w:val="ManualHeading3"/>
        <w:rPr>
          <w:noProof/>
        </w:rPr>
      </w:pPr>
      <w:r w:rsidRPr="004E329E">
        <w:rPr>
          <w:noProof/>
        </w:rPr>
        <w:t>Calcul des licenciements et de la cessation d’activité</w:t>
      </w:r>
    </w:p>
    <w:p w:rsidR="001A62D7" w:rsidRPr="004E329E" w:rsidRDefault="006035E2" w:rsidP="006035E2">
      <w:pPr>
        <w:pStyle w:val="ManualNumPar1"/>
        <w:rPr>
          <w:noProof/>
        </w:rPr>
      </w:pPr>
      <w:r w:rsidRPr="006035E2">
        <w:rPr>
          <w:noProof/>
        </w:rPr>
        <w:t>9.</w:t>
      </w:r>
      <w:r w:rsidRPr="006035E2">
        <w:rPr>
          <w:noProof/>
        </w:rPr>
        <w:tab/>
      </w:r>
      <w:r w:rsidR="001A62D7" w:rsidRPr="004E329E">
        <w:rPr>
          <w:noProof/>
        </w:rPr>
        <w:t>Conformément à l’article 6, premier alinéa, point a), en liaison avec l’article 5, premier alinéa, du règlement (UE) 2021/691, la cessation des activités des 267 travailleurs licenciés au cours de la période de référence a été calculée à partir de la date de la résiliation de fait du contrat de travail ou de son expiration.</w:t>
      </w:r>
    </w:p>
    <w:p w:rsidR="001A62D7" w:rsidRPr="004E329E" w:rsidRDefault="00DD7120" w:rsidP="001A62D7">
      <w:pPr>
        <w:pStyle w:val="ManualHeading3"/>
        <w:rPr>
          <w:noProof/>
        </w:rPr>
      </w:pPr>
      <w:r w:rsidRPr="004E329E">
        <w:rPr>
          <w:noProof/>
        </w:rPr>
        <w:t>Bénéficiaires éligibles</w:t>
      </w:r>
    </w:p>
    <w:p w:rsidR="001A62D7" w:rsidRPr="004E329E" w:rsidRDefault="006035E2" w:rsidP="006035E2">
      <w:pPr>
        <w:pStyle w:val="ManualNumPar1"/>
        <w:rPr>
          <w:noProof/>
        </w:rPr>
      </w:pPr>
      <w:r w:rsidRPr="006035E2">
        <w:rPr>
          <w:noProof/>
        </w:rPr>
        <w:t>10.</w:t>
      </w:r>
      <w:r w:rsidRPr="006035E2">
        <w:rPr>
          <w:noProof/>
        </w:rPr>
        <w:tab/>
      </w:r>
      <w:r w:rsidR="001A62D7" w:rsidRPr="004E329E">
        <w:rPr>
          <w:noProof/>
        </w:rPr>
        <w:t>Le nombre total de bénéficiaires éligibles s’élève à 267.</w:t>
      </w:r>
    </w:p>
    <w:p w:rsidR="001A62D7" w:rsidRPr="004E329E" w:rsidRDefault="001A62D7" w:rsidP="001A62D7">
      <w:pPr>
        <w:pStyle w:val="ManualHeading3"/>
        <w:rPr>
          <w:noProof/>
        </w:rPr>
      </w:pPr>
      <w:r w:rsidRPr="004E329E">
        <w:rPr>
          <w:noProof/>
        </w:rPr>
        <w:t>Description des événements ayant conduit aux licenciements et à la cessation d’activité</w:t>
      </w:r>
    </w:p>
    <w:p w:rsidR="000F7605" w:rsidRPr="004E329E" w:rsidRDefault="006035E2" w:rsidP="006035E2">
      <w:pPr>
        <w:pStyle w:val="ManualNumPar1"/>
        <w:rPr>
          <w:noProof/>
        </w:rPr>
      </w:pPr>
      <w:bookmarkStart w:id="10" w:name="_Hlk206092178"/>
      <w:r w:rsidRPr="006035E2">
        <w:rPr>
          <w:noProof/>
        </w:rPr>
        <w:t>11.</w:t>
      </w:r>
      <w:r w:rsidRPr="006035E2">
        <w:rPr>
          <w:noProof/>
        </w:rPr>
        <w:tab/>
      </w:r>
      <w:r w:rsidR="00226073" w:rsidRPr="004E329E">
        <w:rPr>
          <w:noProof/>
        </w:rPr>
        <w:t xml:space="preserve">La société américaine </w:t>
      </w:r>
      <w:bookmarkStart w:id="11" w:name="_Hlk214889213"/>
      <w:r w:rsidR="00226073" w:rsidRPr="004E329E">
        <w:rPr>
          <w:noProof/>
        </w:rPr>
        <w:t>Tupperware Brands</w:t>
      </w:r>
      <w:bookmarkEnd w:id="11"/>
      <w:r w:rsidR="00226073" w:rsidRPr="004E329E">
        <w:rPr>
          <w:noProof/>
        </w:rPr>
        <w:t>, société mère de Tupperware Belgique, a révoqué de manière inattendue les licences de fabrication et de vente accordées à Tupperware General Services NV, ce qui a rendu la filiale belge de Tupperware financièrement non viable et a entraîné sa faillite le 17 février 2025.</w:t>
      </w:r>
    </w:p>
    <w:p w:rsidR="001A62D7" w:rsidRPr="004E329E" w:rsidRDefault="006035E2" w:rsidP="006035E2">
      <w:pPr>
        <w:pStyle w:val="ManualNumPar1"/>
        <w:rPr>
          <w:noProof/>
        </w:rPr>
      </w:pPr>
      <w:r w:rsidRPr="006035E2">
        <w:rPr>
          <w:noProof/>
        </w:rPr>
        <w:t>12.</w:t>
      </w:r>
      <w:r w:rsidRPr="006035E2">
        <w:rPr>
          <w:noProof/>
        </w:rPr>
        <w:tab/>
      </w:r>
      <w:r w:rsidR="00B91565" w:rsidRPr="004E329E">
        <w:rPr>
          <w:noProof/>
        </w:rPr>
        <w:t>En octobre 2024, Tupperware Brands a été reprise par des créanciers. L’acquisition a conduit à une restructuration importante, l’entreprise se retirant de certains marchés secondaires et fermant des installations, notamment les usines européennes.</w:t>
      </w:r>
      <w:bookmarkEnd w:id="10"/>
    </w:p>
    <w:p w:rsidR="001A62D7" w:rsidRPr="004E329E" w:rsidRDefault="001A62D7" w:rsidP="001A62D7">
      <w:pPr>
        <w:pStyle w:val="ManualHeading3"/>
        <w:tabs>
          <w:tab w:val="clear" w:pos="850"/>
          <w:tab w:val="left" w:pos="0"/>
        </w:tabs>
        <w:ind w:left="0" w:firstLine="0"/>
        <w:rPr>
          <w:noProof/>
        </w:rPr>
      </w:pPr>
      <w:r w:rsidRPr="004E329E">
        <w:rPr>
          <w:noProof/>
        </w:rPr>
        <w:t>Effets attendus des licenciements sur l’économie et l’emploi au niveau local, régional ou national</w:t>
      </w:r>
    </w:p>
    <w:p w:rsidR="00CB4216" w:rsidRPr="004E329E" w:rsidRDefault="006035E2" w:rsidP="006035E2">
      <w:pPr>
        <w:pStyle w:val="ManualNumPar1"/>
        <w:rPr>
          <w:noProof/>
        </w:rPr>
      </w:pPr>
      <w:r w:rsidRPr="006035E2">
        <w:rPr>
          <w:noProof/>
        </w:rPr>
        <w:t>13.</w:t>
      </w:r>
      <w:r w:rsidRPr="006035E2">
        <w:rPr>
          <w:noProof/>
        </w:rPr>
        <w:tab/>
      </w:r>
      <w:r w:rsidR="00CF6583" w:rsidRPr="004E329E">
        <w:rPr>
          <w:noProof/>
        </w:rPr>
        <w:t>En Belgique, les faillites sont en hausse depuis 2022. En 2024, plus de 11 000 entreprises ont été déclarées en faillite, soit le chiffre le plus élevé depuis 2013</w:t>
      </w:r>
      <w:r w:rsidR="00CF6583" w:rsidRPr="004E329E">
        <w:rPr>
          <w:rStyle w:val="FootnoteReference"/>
          <w:noProof/>
        </w:rPr>
        <w:footnoteReference w:id="5"/>
      </w:r>
      <w:r w:rsidR="00CF6583" w:rsidRPr="004E329E">
        <w:rPr>
          <w:noProof/>
        </w:rPr>
        <w:t>. Cette tendance à la hausse s’est poursuivie: entre janvier et septembre 2025, 8 493 entreprises ont fait faillite, dont 4 964, soit 58 %, en Flandre</w:t>
      </w:r>
      <w:r w:rsidR="00A839AD" w:rsidRPr="004E329E">
        <w:rPr>
          <w:rStyle w:val="FootnoteReference"/>
          <w:noProof/>
        </w:rPr>
        <w:footnoteReference w:id="6"/>
      </w:r>
      <w:r w:rsidR="00CF6583" w:rsidRPr="004E329E">
        <w:rPr>
          <w:noProof/>
        </w:rPr>
        <w:t>. À la suite de faillites, 32 566 emplois ont été perdus en Belgique en 2024 et 15 351 au cours du premier semestre de 2025; les pertes d’emplois en Flandre représentent respectivement 59 % et 51 %</w:t>
      </w:r>
      <w:r w:rsidR="00A839AD" w:rsidRPr="004E329E">
        <w:rPr>
          <w:rStyle w:val="FootnoteReference"/>
          <w:noProof/>
        </w:rPr>
        <w:footnoteReference w:id="7"/>
      </w:r>
      <w:r w:rsidR="00CF6583" w:rsidRPr="004E329E">
        <w:rPr>
          <w:noProof/>
        </w:rPr>
        <w:t>. Environ 18 % de ces pertes d’emplois ont eu lieu dans le secteur industriel.</w:t>
      </w:r>
    </w:p>
    <w:p w:rsidR="00C0648B" w:rsidRPr="004E329E" w:rsidRDefault="006035E2" w:rsidP="006035E2">
      <w:pPr>
        <w:pStyle w:val="ManualNumPar1"/>
        <w:rPr>
          <w:noProof/>
        </w:rPr>
      </w:pPr>
      <w:r w:rsidRPr="006035E2">
        <w:rPr>
          <w:noProof/>
        </w:rPr>
        <w:t>14.</w:t>
      </w:r>
      <w:r w:rsidRPr="006035E2">
        <w:rPr>
          <w:noProof/>
        </w:rPr>
        <w:tab/>
      </w:r>
      <w:r w:rsidR="00CB4216" w:rsidRPr="004E329E">
        <w:rPr>
          <w:noProof/>
        </w:rPr>
        <w:t>En outre, des restructurations récentes telles que les licenciements chez Van Hool</w:t>
      </w:r>
      <w:r w:rsidR="00CB4216" w:rsidRPr="004E329E">
        <w:rPr>
          <w:rStyle w:val="FootnoteReference"/>
          <w:noProof/>
        </w:rPr>
        <w:footnoteReference w:id="8"/>
      </w:r>
      <w:r w:rsidR="00CB4216" w:rsidRPr="004E329E">
        <w:rPr>
          <w:noProof/>
        </w:rPr>
        <w:t>, Sappi et Purmo</w:t>
      </w:r>
      <w:r w:rsidR="00CB4216" w:rsidRPr="004E329E">
        <w:rPr>
          <w:rStyle w:val="FootnoteReference"/>
          <w:noProof/>
        </w:rPr>
        <w:footnoteReference w:id="9"/>
      </w:r>
      <w:r w:rsidR="00CB4216" w:rsidRPr="004E329E">
        <w:rPr>
          <w:noProof/>
        </w:rPr>
        <w:t>, BelGaN</w:t>
      </w:r>
      <w:r w:rsidR="00CB4216" w:rsidRPr="004E329E">
        <w:rPr>
          <w:rStyle w:val="FootnoteReference"/>
          <w:noProof/>
        </w:rPr>
        <w:footnoteReference w:id="10"/>
      </w:r>
      <w:r w:rsidR="00CB4216" w:rsidRPr="004E329E">
        <w:rPr>
          <w:noProof/>
        </w:rPr>
        <w:t>, Casa et Audi</w:t>
      </w:r>
      <w:r w:rsidR="00C676E6" w:rsidRPr="004E329E">
        <w:rPr>
          <w:rStyle w:val="FootnoteReference"/>
          <w:noProof/>
        </w:rPr>
        <w:footnoteReference w:id="11"/>
      </w:r>
      <w:r w:rsidR="00CB4216" w:rsidRPr="004E329E">
        <w:rPr>
          <w:noProof/>
        </w:rPr>
        <w:t>, pour lesquelles la Belgique a demandé une aide du FEM, affectent le marché du travail flamand: les offres d’emploi dans le secteur ont diminué.</w:t>
      </w:r>
    </w:p>
    <w:p w:rsidR="00BE41FC" w:rsidRPr="004E329E" w:rsidRDefault="006035E2" w:rsidP="006035E2">
      <w:pPr>
        <w:pStyle w:val="ManualNumPar1"/>
        <w:rPr>
          <w:noProof/>
        </w:rPr>
      </w:pPr>
      <w:r w:rsidRPr="006035E2">
        <w:rPr>
          <w:noProof/>
        </w:rPr>
        <w:t>15.</w:t>
      </w:r>
      <w:r w:rsidRPr="006035E2">
        <w:rPr>
          <w:noProof/>
        </w:rPr>
        <w:tab/>
      </w:r>
      <w:r w:rsidR="00C62444" w:rsidRPr="004E329E">
        <w:rPr>
          <w:noProof/>
        </w:rPr>
        <w:t>Tupperware se trouvait à Alost (Aalst), l’un des six arrondissements administratifs de la province de Flandre orientale. En Flandre orientale, le nombre d’offres d’emploi communiquées aux services publics de l’emploi a diminué de 13,8 % en mai 2 025 par rapport à l’année précédente. En outre, avant la fermeture de Tupperware, Alost était déjà confronté au taux d’emploi le plus faible de Flandre, 53,82 %</w:t>
      </w:r>
      <w:r w:rsidR="005507EE" w:rsidRPr="004E329E">
        <w:rPr>
          <w:rStyle w:val="FootnoteReference"/>
          <w:noProof/>
        </w:rPr>
        <w:footnoteReference w:id="12"/>
      </w:r>
      <w:r w:rsidR="00C62444" w:rsidRPr="004E329E">
        <w:rPr>
          <w:noProof/>
        </w:rPr>
        <w:t xml:space="preserve">, soit 20 points de pourcentage de moins que le taux d’emploi moyen de la Flandre (74,1 %). </w:t>
      </w:r>
    </w:p>
    <w:p w:rsidR="001A62D7" w:rsidRPr="004E329E" w:rsidRDefault="006035E2" w:rsidP="006035E2">
      <w:pPr>
        <w:pStyle w:val="ManualNumPar1"/>
        <w:rPr>
          <w:noProof/>
        </w:rPr>
      </w:pPr>
      <w:r w:rsidRPr="006035E2">
        <w:rPr>
          <w:noProof/>
        </w:rPr>
        <w:t>16.</w:t>
      </w:r>
      <w:r w:rsidRPr="006035E2">
        <w:rPr>
          <w:noProof/>
        </w:rPr>
        <w:tab/>
      </w:r>
      <w:r w:rsidR="00B71A14" w:rsidRPr="004E329E">
        <w:rPr>
          <w:noProof/>
        </w:rPr>
        <w:t>Le taux de chômage en Flandre est d’environ 3,8 %. Toutefois, il atteint 8,8 %</w:t>
      </w:r>
      <w:r w:rsidR="002607CC" w:rsidRPr="004E329E">
        <w:rPr>
          <w:rStyle w:val="FootnoteReference"/>
          <w:noProof/>
        </w:rPr>
        <w:footnoteReference w:id="13"/>
      </w:r>
      <w:r w:rsidR="00B71A14" w:rsidRPr="004E329E">
        <w:rPr>
          <w:noProof/>
        </w:rPr>
        <w:t xml:space="preserve"> (+ 5 points de pourcentage) chez les personnes ayant un faible niveau d’éducation. Étant donné qu’un ancien travailleur de Tupperware sur trois a un faible niveau d’éducation, un soutien spécifique adapté à ces profils est nécessaire pour aider les travailleurs à surmonter leurs lacunes et à trouver un nouvel emploi.</w:t>
      </w:r>
    </w:p>
    <w:p w:rsidR="001A62D7" w:rsidRPr="004E329E" w:rsidRDefault="001A62D7" w:rsidP="001A62D7">
      <w:pPr>
        <w:pStyle w:val="ManualHeading2"/>
        <w:rPr>
          <w:noProof/>
        </w:rPr>
      </w:pPr>
      <w:r w:rsidRPr="004E329E">
        <w:rPr>
          <w:noProof/>
        </w:rPr>
        <w:t>Mise en œuvre du cadre de qualité de l’Union européenne pour l’anticipation des changements et des restructurations</w:t>
      </w:r>
    </w:p>
    <w:p w:rsidR="001A62D7" w:rsidRPr="004E329E" w:rsidRDefault="006035E2" w:rsidP="006035E2">
      <w:pPr>
        <w:pStyle w:val="ManualNumPar1"/>
        <w:rPr>
          <w:noProof/>
        </w:rPr>
      </w:pPr>
      <w:r w:rsidRPr="006035E2">
        <w:rPr>
          <w:noProof/>
        </w:rPr>
        <w:t>17.</w:t>
      </w:r>
      <w:r w:rsidRPr="006035E2">
        <w:rPr>
          <w:noProof/>
        </w:rPr>
        <w:tab/>
      </w:r>
      <w:r w:rsidR="00545485" w:rsidRPr="004E329E">
        <w:rPr>
          <w:noProof/>
        </w:rPr>
        <w:t>La Belgique a décrit la manière dont les recommandations formulées dans le cadre de qualité de l’UE pour l’anticipation des changements et des restructurations ont été prises en considération.</w:t>
      </w:r>
    </w:p>
    <w:p w:rsidR="001A62D7" w:rsidRPr="004E329E" w:rsidRDefault="006035E2" w:rsidP="006035E2">
      <w:pPr>
        <w:pStyle w:val="ManualNumPar1"/>
        <w:rPr>
          <w:noProof/>
        </w:rPr>
      </w:pPr>
      <w:r w:rsidRPr="006035E2">
        <w:rPr>
          <w:noProof/>
        </w:rPr>
        <w:t>18.</w:t>
      </w:r>
      <w:r w:rsidRPr="006035E2">
        <w:rPr>
          <w:noProof/>
        </w:rPr>
        <w:tab/>
      </w:r>
      <w:r w:rsidR="00545485" w:rsidRPr="004E329E">
        <w:rPr>
          <w:noProof/>
        </w:rPr>
        <w:t>La Belgique a indiqué que le droit national du travail</w:t>
      </w:r>
      <w:r w:rsidR="00260B9D" w:rsidRPr="004E329E">
        <w:rPr>
          <w:rStyle w:val="FootnoteReference"/>
          <w:noProof/>
        </w:rPr>
        <w:footnoteReference w:id="14"/>
      </w:r>
      <w:r w:rsidR="00545485" w:rsidRPr="004E329E">
        <w:rPr>
          <w:noProof/>
        </w:rPr>
        <w:t xml:space="preserve"> relatif à la gestion active des restructurations exige des entreprises en cours de restructuration qu’elles créent une cellule pour l’emploi, dont l’objectif est de fournir aux travailleurs licenciés dans le cadre de licenciements collectifs 30 heures de services de reclassement sur une période de trois mois (60 heures sur six mois pour les travailleurs âgés de 45 ans et plus). Toutefois, cette exigence ne s’applique pas en cas de faillite. Par conséquent, la mesure de reclassement externe décrite ci-dessous au point 24 remplace les services de conseil et de reclassement externe que ces travailleurs licenciés ne reçoivent pas. </w:t>
      </w:r>
    </w:p>
    <w:p w:rsidR="009975E8" w:rsidRPr="004E329E" w:rsidRDefault="006035E2" w:rsidP="006035E2">
      <w:pPr>
        <w:pStyle w:val="ManualNumPar1"/>
        <w:rPr>
          <w:noProof/>
        </w:rPr>
      </w:pPr>
      <w:r w:rsidRPr="006035E2">
        <w:rPr>
          <w:noProof/>
        </w:rPr>
        <w:t>19.</w:t>
      </w:r>
      <w:r w:rsidRPr="006035E2">
        <w:rPr>
          <w:noProof/>
        </w:rPr>
        <w:tab/>
      </w:r>
      <w:r w:rsidR="009975E8" w:rsidRPr="004E329E">
        <w:rPr>
          <w:noProof/>
        </w:rPr>
        <w:t>En ce qui concerne les activités entreprises pour aider les travailleurs licenciés, la Belgique a indiqué que des séances d’information et d’enregistrement, ainsi que des services de reclassement pour soutenir les anciens travailleurs de Tupperware, ont été lancées le 19 mars 2025, un mois après la déclaration de faillite. L’événement de recherche d’emploi («bourse de l’emploi») décrit ci-dessous a eu lieu le 19 juin 2025 à Alost.</w:t>
      </w:r>
    </w:p>
    <w:p w:rsidR="001A62D7" w:rsidRPr="004E329E" w:rsidRDefault="001A62D7" w:rsidP="001A62D7">
      <w:pPr>
        <w:pStyle w:val="ManualHeading3"/>
        <w:rPr>
          <w:noProof/>
        </w:rPr>
      </w:pPr>
      <w:r w:rsidRPr="004E329E">
        <w:rPr>
          <w:noProof/>
        </w:rPr>
        <w:t>Complémentarité avec les actions financées par des fonds nationaux ou de l’Union</w:t>
      </w:r>
    </w:p>
    <w:p w:rsidR="001A62D7" w:rsidRPr="004E329E" w:rsidRDefault="006035E2" w:rsidP="006035E2">
      <w:pPr>
        <w:pStyle w:val="ManualNumPar1"/>
        <w:rPr>
          <w:noProof/>
        </w:rPr>
      </w:pPr>
      <w:r w:rsidRPr="006035E2">
        <w:rPr>
          <w:noProof/>
        </w:rPr>
        <w:t>20.</w:t>
      </w:r>
      <w:r w:rsidRPr="006035E2">
        <w:rPr>
          <w:noProof/>
        </w:rPr>
        <w:tab/>
      </w:r>
      <w:r w:rsidR="000A0C96" w:rsidRPr="004E329E">
        <w:rPr>
          <w:noProof/>
        </w:rPr>
        <w:t>La Belgique a confirmé que les mesures décrites ci-dessous bénéficiant d’une contribution financière du FEM ne recevront pas d’aide au titre d’autres instruments financiers de l’Union.</w:t>
      </w:r>
    </w:p>
    <w:p w:rsidR="001A62D7" w:rsidRPr="004E329E" w:rsidRDefault="006035E2" w:rsidP="006035E2">
      <w:pPr>
        <w:pStyle w:val="ManualNumPar1"/>
        <w:rPr>
          <w:noProof/>
        </w:rPr>
      </w:pPr>
      <w:r w:rsidRPr="006035E2">
        <w:rPr>
          <w:noProof/>
        </w:rPr>
        <w:t>21.</w:t>
      </w:r>
      <w:r w:rsidRPr="006035E2">
        <w:rPr>
          <w:noProof/>
        </w:rPr>
        <w:tab/>
      </w:r>
      <w:r w:rsidR="001A62D7" w:rsidRPr="004E329E">
        <w:rPr>
          <w:noProof/>
        </w:rPr>
        <w:t>L’ensemble coordonné de services personnalisés complète les actions financées par d’autres fonds nationaux ou de l’UE.</w:t>
      </w:r>
    </w:p>
    <w:p w:rsidR="001A62D7" w:rsidRPr="004E329E" w:rsidRDefault="001A62D7" w:rsidP="001A62D7">
      <w:pPr>
        <w:pStyle w:val="ManualHeading3"/>
        <w:tabs>
          <w:tab w:val="clear" w:pos="850"/>
          <w:tab w:val="left" w:pos="0"/>
        </w:tabs>
        <w:ind w:left="0" w:firstLine="0"/>
        <w:rPr>
          <w:noProof/>
          <w:u w:val="single"/>
        </w:rPr>
      </w:pPr>
      <w:r w:rsidRPr="004E329E">
        <w:rPr>
          <w:noProof/>
        </w:rPr>
        <w:t>Procédures suivies pour la consultation des bénéficiaires visés ou de leurs représentants, des partenaires sociaux et des collectivités locales et régionales</w:t>
      </w:r>
    </w:p>
    <w:p w:rsidR="001A62D7" w:rsidRPr="004E329E" w:rsidRDefault="006035E2" w:rsidP="006035E2">
      <w:pPr>
        <w:pStyle w:val="ManualNumPar1"/>
        <w:rPr>
          <w:noProof/>
        </w:rPr>
      </w:pPr>
      <w:r w:rsidRPr="006035E2">
        <w:rPr>
          <w:noProof/>
        </w:rPr>
        <w:t>22.</w:t>
      </w:r>
      <w:r w:rsidRPr="006035E2">
        <w:rPr>
          <w:noProof/>
        </w:rPr>
        <w:tab/>
      </w:r>
      <w:r w:rsidR="00AE6C39" w:rsidRPr="004E329E">
        <w:rPr>
          <w:noProof/>
        </w:rPr>
        <w:t>La Belgique a indiqué que l’ensemble coordonné de services personnalisés a été établi en consultation avec des experts, y compris des membres de la task force et les partenaires sociaux, conformément à l’article 7, paragraphe 4, du règlement (UE) 2021/691. Le paquet final de mesures a été convenu avec les syndicats CGSLB</w:t>
      </w:r>
      <w:r w:rsidR="001016E1" w:rsidRPr="004E329E">
        <w:rPr>
          <w:rStyle w:val="FootnoteReference"/>
          <w:noProof/>
        </w:rPr>
        <w:footnoteReference w:id="15"/>
      </w:r>
      <w:r w:rsidR="00AE6C39" w:rsidRPr="004E329E">
        <w:rPr>
          <w:noProof/>
        </w:rPr>
        <w:t>, FGTB</w:t>
      </w:r>
      <w:r w:rsidR="000D0503" w:rsidRPr="004E329E">
        <w:rPr>
          <w:rStyle w:val="FootnoteReference"/>
          <w:noProof/>
        </w:rPr>
        <w:footnoteReference w:id="16"/>
      </w:r>
      <w:r w:rsidR="00AE6C39" w:rsidRPr="004E329E">
        <w:rPr>
          <w:noProof/>
        </w:rPr>
        <w:t xml:space="preserve"> et CSC</w:t>
      </w:r>
      <w:r w:rsidR="004318A4" w:rsidRPr="004E329E">
        <w:rPr>
          <w:rStyle w:val="FootnoteReference"/>
          <w:noProof/>
        </w:rPr>
        <w:footnoteReference w:id="17"/>
      </w:r>
      <w:r w:rsidR="00AE6C39" w:rsidRPr="004E329E">
        <w:rPr>
          <w:noProof/>
        </w:rPr>
        <w:t xml:space="preserve"> le 24 juin 2025. </w:t>
      </w:r>
    </w:p>
    <w:p w:rsidR="001A62D7" w:rsidRPr="004E329E" w:rsidRDefault="001A62D7" w:rsidP="001A62D7">
      <w:pPr>
        <w:pStyle w:val="ManualHeading2"/>
        <w:rPr>
          <w:noProof/>
        </w:rPr>
      </w:pPr>
      <w:r w:rsidRPr="004E329E">
        <w:rPr>
          <w:noProof/>
        </w:rPr>
        <w:t>Bénéficiaires visés et mesures proposées</w:t>
      </w:r>
    </w:p>
    <w:p w:rsidR="001A62D7" w:rsidRPr="004E329E" w:rsidRDefault="001A62D7" w:rsidP="001A62D7">
      <w:pPr>
        <w:pStyle w:val="ManualHeading3"/>
        <w:rPr>
          <w:noProof/>
        </w:rPr>
      </w:pPr>
      <w:r w:rsidRPr="004E329E">
        <w:rPr>
          <w:noProof/>
        </w:rPr>
        <w:t>Bénéficiaires visés</w:t>
      </w:r>
    </w:p>
    <w:p w:rsidR="001A62D7" w:rsidRPr="004E329E" w:rsidRDefault="006035E2" w:rsidP="006035E2">
      <w:pPr>
        <w:pStyle w:val="ManualNumPar1"/>
        <w:rPr>
          <w:noProof/>
        </w:rPr>
      </w:pPr>
      <w:r w:rsidRPr="006035E2">
        <w:rPr>
          <w:noProof/>
        </w:rPr>
        <w:t>23.</w:t>
      </w:r>
      <w:r w:rsidRPr="006035E2">
        <w:rPr>
          <w:noProof/>
        </w:rPr>
        <w:tab/>
      </w:r>
      <w:r w:rsidR="007D7BFD" w:rsidRPr="004E329E">
        <w:rPr>
          <w:noProof/>
        </w:rPr>
        <w:t>L’ensemble des 267 travailleurs licenciés devrait être concerné. Conformément à l’article 8, paragraphe 7, point f), du règlement (UE) 2021/691, la ventilation par genre, par groupe d’âge et par niveau d’éducation qui a été fournie pour ces travailleurs est la suivante:</w:t>
      </w:r>
    </w:p>
    <w:tbl>
      <w:tblPr>
        <w:tblW w:w="0" w:type="auto"/>
        <w:jc w:val="center"/>
        <w:tblLook w:val="04A0" w:firstRow="1" w:lastRow="0" w:firstColumn="1" w:lastColumn="0" w:noHBand="0" w:noVBand="1"/>
      </w:tblPr>
      <w:tblGrid>
        <w:gridCol w:w="1496"/>
        <w:gridCol w:w="2063"/>
        <w:gridCol w:w="1176"/>
        <w:gridCol w:w="1176"/>
      </w:tblGrid>
      <w:tr w:rsidR="001A62D7" w:rsidRPr="004E329E" w:rsidTr="001D5990">
        <w:trPr>
          <w:jc w:val="center"/>
        </w:trPr>
        <w:tc>
          <w:tcPr>
            <w:tcW w:w="3559" w:type="dxa"/>
            <w:gridSpan w:val="2"/>
            <w:tcBorders>
              <w:top w:val="single" w:sz="4" w:space="0" w:color="auto"/>
              <w:left w:val="nil"/>
              <w:bottom w:val="single" w:sz="4" w:space="0" w:color="auto"/>
              <w:right w:val="nil"/>
            </w:tcBorders>
            <w:hideMark/>
          </w:tcPr>
          <w:p w:rsidR="001A62D7" w:rsidRPr="004E329E" w:rsidRDefault="001A62D7" w:rsidP="001D5990">
            <w:pPr>
              <w:spacing w:before="60" w:after="60"/>
              <w:jc w:val="center"/>
              <w:rPr>
                <w:noProof/>
              </w:rPr>
            </w:pPr>
            <w:r w:rsidRPr="004E329E">
              <w:rPr>
                <w:noProof/>
              </w:rPr>
              <w:t>Catégorie</w:t>
            </w:r>
          </w:p>
        </w:tc>
        <w:tc>
          <w:tcPr>
            <w:tcW w:w="2352" w:type="dxa"/>
            <w:gridSpan w:val="2"/>
            <w:tcBorders>
              <w:top w:val="single" w:sz="4" w:space="0" w:color="auto"/>
              <w:left w:val="nil"/>
              <w:bottom w:val="single" w:sz="4" w:space="0" w:color="auto"/>
              <w:right w:val="nil"/>
            </w:tcBorders>
            <w:hideMark/>
          </w:tcPr>
          <w:p w:rsidR="001A62D7" w:rsidRPr="004E329E" w:rsidRDefault="001A62D7" w:rsidP="001D5990">
            <w:pPr>
              <w:spacing w:before="60" w:after="60"/>
              <w:jc w:val="center"/>
              <w:rPr>
                <w:noProof/>
              </w:rPr>
            </w:pPr>
            <w:r w:rsidRPr="004E329E">
              <w:rPr>
                <w:noProof/>
              </w:rPr>
              <w:t xml:space="preserve">Nombre de </w:t>
            </w:r>
            <w:r w:rsidRPr="004E329E">
              <w:rPr>
                <w:noProof/>
              </w:rPr>
              <w:br/>
              <w:t>bénéficiaires attendus</w:t>
            </w:r>
          </w:p>
        </w:tc>
      </w:tr>
      <w:tr w:rsidR="001A62D7" w:rsidRPr="004E329E" w:rsidTr="001D5990">
        <w:trPr>
          <w:jc w:val="center"/>
        </w:trPr>
        <w:tc>
          <w:tcPr>
            <w:tcW w:w="1496" w:type="dxa"/>
            <w:tcBorders>
              <w:top w:val="single" w:sz="4" w:space="0" w:color="auto"/>
              <w:left w:val="nil"/>
              <w:right w:val="nil"/>
            </w:tcBorders>
            <w:hideMark/>
          </w:tcPr>
          <w:p w:rsidR="001A62D7" w:rsidRPr="004E329E" w:rsidRDefault="001A62D7" w:rsidP="001D5990">
            <w:pPr>
              <w:spacing w:before="60" w:after="60"/>
              <w:rPr>
                <w:noProof/>
              </w:rPr>
            </w:pPr>
            <w:r w:rsidRPr="004E329E">
              <w:rPr>
                <w:noProof/>
              </w:rPr>
              <w:t>Genre:</w:t>
            </w:r>
          </w:p>
        </w:tc>
        <w:tc>
          <w:tcPr>
            <w:tcW w:w="2063" w:type="dxa"/>
            <w:tcBorders>
              <w:top w:val="single" w:sz="4" w:space="0" w:color="auto"/>
              <w:left w:val="nil"/>
              <w:right w:val="nil"/>
            </w:tcBorders>
            <w:hideMark/>
          </w:tcPr>
          <w:p w:rsidR="001A62D7" w:rsidRPr="004E329E" w:rsidRDefault="001A62D7" w:rsidP="001D5990">
            <w:pPr>
              <w:spacing w:before="60" w:after="60"/>
              <w:rPr>
                <w:noProof/>
              </w:rPr>
            </w:pPr>
            <w:r w:rsidRPr="004E329E">
              <w:rPr>
                <w:noProof/>
              </w:rPr>
              <w:t>Hommes:</w:t>
            </w:r>
          </w:p>
        </w:tc>
        <w:tc>
          <w:tcPr>
            <w:tcW w:w="1176" w:type="dxa"/>
            <w:tcBorders>
              <w:top w:val="single" w:sz="4" w:space="0" w:color="auto"/>
              <w:left w:val="nil"/>
              <w:right w:val="nil"/>
            </w:tcBorders>
            <w:hideMark/>
          </w:tcPr>
          <w:p w:rsidR="001A62D7" w:rsidRPr="004E329E" w:rsidRDefault="008D1A3A" w:rsidP="001D5990">
            <w:pPr>
              <w:spacing w:before="60" w:after="60"/>
              <w:jc w:val="right"/>
              <w:rPr>
                <w:noProof/>
              </w:rPr>
            </w:pPr>
            <w:r w:rsidRPr="004E329E">
              <w:rPr>
                <w:noProof/>
              </w:rPr>
              <w:t>168</w:t>
            </w:r>
          </w:p>
        </w:tc>
        <w:tc>
          <w:tcPr>
            <w:tcW w:w="1176" w:type="dxa"/>
            <w:tcBorders>
              <w:top w:val="single" w:sz="4" w:space="0" w:color="auto"/>
              <w:left w:val="nil"/>
              <w:right w:val="nil"/>
            </w:tcBorders>
            <w:hideMark/>
          </w:tcPr>
          <w:p w:rsidR="001A62D7" w:rsidRPr="004E329E" w:rsidRDefault="001A62D7" w:rsidP="001D5990">
            <w:pPr>
              <w:spacing w:before="60" w:after="60"/>
              <w:jc w:val="right"/>
              <w:rPr>
                <w:noProof/>
              </w:rPr>
            </w:pPr>
            <w:r w:rsidRPr="004E329E">
              <w:rPr>
                <w:noProof/>
              </w:rPr>
              <w:t>(62,9 %)</w:t>
            </w:r>
          </w:p>
        </w:tc>
      </w:tr>
      <w:tr w:rsidR="001A62D7" w:rsidRPr="004E329E" w:rsidTr="001D5990">
        <w:trPr>
          <w:jc w:val="center"/>
        </w:trPr>
        <w:tc>
          <w:tcPr>
            <w:tcW w:w="1496" w:type="dxa"/>
            <w:tcBorders>
              <w:top w:val="nil"/>
              <w:left w:val="nil"/>
              <w:right w:val="nil"/>
            </w:tcBorders>
          </w:tcPr>
          <w:p w:rsidR="001A62D7" w:rsidRPr="004E329E" w:rsidRDefault="001A62D7" w:rsidP="001D5990">
            <w:pPr>
              <w:spacing w:before="60" w:after="60"/>
              <w:rPr>
                <w:noProof/>
              </w:rPr>
            </w:pPr>
          </w:p>
        </w:tc>
        <w:tc>
          <w:tcPr>
            <w:tcW w:w="2063" w:type="dxa"/>
            <w:tcBorders>
              <w:top w:val="nil"/>
              <w:left w:val="nil"/>
              <w:right w:val="nil"/>
            </w:tcBorders>
          </w:tcPr>
          <w:p w:rsidR="001A62D7" w:rsidRPr="004E329E" w:rsidRDefault="001A62D7" w:rsidP="001D5990">
            <w:pPr>
              <w:spacing w:before="60" w:after="60"/>
              <w:rPr>
                <w:rFonts w:eastAsia="Calibri"/>
                <w:noProof/>
              </w:rPr>
            </w:pPr>
            <w:r w:rsidRPr="004E329E">
              <w:rPr>
                <w:noProof/>
              </w:rPr>
              <w:t>Femmes:</w:t>
            </w:r>
          </w:p>
        </w:tc>
        <w:tc>
          <w:tcPr>
            <w:tcW w:w="1176" w:type="dxa"/>
          </w:tcPr>
          <w:p w:rsidR="001A62D7" w:rsidRPr="004E329E" w:rsidRDefault="008D1A3A" w:rsidP="001D5990">
            <w:pPr>
              <w:spacing w:before="60" w:after="60"/>
              <w:jc w:val="right"/>
              <w:rPr>
                <w:noProof/>
              </w:rPr>
            </w:pPr>
            <w:r w:rsidRPr="004E329E">
              <w:rPr>
                <w:noProof/>
              </w:rPr>
              <w:t>99</w:t>
            </w:r>
          </w:p>
        </w:tc>
        <w:tc>
          <w:tcPr>
            <w:tcW w:w="1176" w:type="dxa"/>
          </w:tcPr>
          <w:p w:rsidR="001A62D7" w:rsidRPr="004E329E" w:rsidRDefault="001A62D7" w:rsidP="001D5990">
            <w:pPr>
              <w:spacing w:before="60" w:after="60"/>
              <w:jc w:val="right"/>
              <w:rPr>
                <w:rFonts w:eastAsia="Calibri"/>
                <w:noProof/>
              </w:rPr>
            </w:pPr>
            <w:r w:rsidRPr="004E329E">
              <w:rPr>
                <w:noProof/>
              </w:rPr>
              <w:t>(37,1 %)</w:t>
            </w:r>
          </w:p>
        </w:tc>
      </w:tr>
      <w:tr w:rsidR="001A62D7" w:rsidRPr="004E329E" w:rsidTr="001D5990">
        <w:trPr>
          <w:jc w:val="center"/>
        </w:trPr>
        <w:tc>
          <w:tcPr>
            <w:tcW w:w="1496" w:type="dxa"/>
            <w:tcBorders>
              <w:left w:val="nil"/>
              <w:bottom w:val="single" w:sz="4" w:space="0" w:color="auto"/>
              <w:right w:val="nil"/>
            </w:tcBorders>
          </w:tcPr>
          <w:p w:rsidR="001A62D7" w:rsidRPr="004E329E" w:rsidRDefault="001A62D7" w:rsidP="001D5990">
            <w:pPr>
              <w:spacing w:before="60" w:after="60"/>
              <w:rPr>
                <w:noProof/>
              </w:rPr>
            </w:pPr>
          </w:p>
        </w:tc>
        <w:tc>
          <w:tcPr>
            <w:tcW w:w="2063" w:type="dxa"/>
            <w:tcBorders>
              <w:left w:val="nil"/>
              <w:bottom w:val="single" w:sz="4" w:space="0" w:color="auto"/>
              <w:right w:val="nil"/>
            </w:tcBorders>
          </w:tcPr>
          <w:p w:rsidR="001A62D7" w:rsidRPr="004E329E" w:rsidRDefault="001A62D7" w:rsidP="001D5990">
            <w:pPr>
              <w:spacing w:before="60" w:after="60"/>
              <w:rPr>
                <w:noProof/>
              </w:rPr>
            </w:pPr>
            <w:r w:rsidRPr="004E329E">
              <w:rPr>
                <w:noProof/>
              </w:rPr>
              <w:t>Non binaire</w:t>
            </w:r>
          </w:p>
        </w:tc>
        <w:tc>
          <w:tcPr>
            <w:tcW w:w="1176" w:type="dxa"/>
            <w:tcBorders>
              <w:bottom w:val="single" w:sz="4" w:space="0" w:color="auto"/>
            </w:tcBorders>
            <w:hideMark/>
          </w:tcPr>
          <w:p w:rsidR="001A62D7" w:rsidRPr="004E329E" w:rsidRDefault="00F81DE0" w:rsidP="001D5990">
            <w:pPr>
              <w:spacing w:before="60" w:after="60"/>
              <w:jc w:val="right"/>
              <w:rPr>
                <w:noProof/>
              </w:rPr>
            </w:pPr>
            <w:r w:rsidRPr="004E329E">
              <w:rPr>
                <w:noProof/>
              </w:rPr>
              <w:t>0</w:t>
            </w:r>
          </w:p>
        </w:tc>
        <w:tc>
          <w:tcPr>
            <w:tcW w:w="1176" w:type="dxa"/>
            <w:tcBorders>
              <w:bottom w:val="single" w:sz="4" w:space="0" w:color="auto"/>
            </w:tcBorders>
            <w:hideMark/>
          </w:tcPr>
          <w:p w:rsidR="001A62D7" w:rsidRPr="004E329E" w:rsidRDefault="001A62D7" w:rsidP="001D5990">
            <w:pPr>
              <w:spacing w:before="60" w:after="60"/>
              <w:jc w:val="right"/>
              <w:rPr>
                <w:noProof/>
              </w:rPr>
            </w:pPr>
            <w:r w:rsidRPr="004E329E">
              <w:rPr>
                <w:noProof/>
              </w:rPr>
              <w:t>(0,0 %)</w:t>
            </w:r>
          </w:p>
        </w:tc>
      </w:tr>
      <w:tr w:rsidR="001A62D7" w:rsidRPr="004E329E" w:rsidTr="001D5990">
        <w:trPr>
          <w:jc w:val="center"/>
        </w:trPr>
        <w:tc>
          <w:tcPr>
            <w:tcW w:w="1496" w:type="dxa"/>
            <w:tcBorders>
              <w:top w:val="single" w:sz="4" w:space="0" w:color="auto"/>
              <w:left w:val="nil"/>
              <w:bottom w:val="nil"/>
              <w:right w:val="nil"/>
            </w:tcBorders>
            <w:hideMark/>
          </w:tcPr>
          <w:p w:rsidR="001A62D7" w:rsidRPr="004E329E" w:rsidRDefault="001A62D7" w:rsidP="001D5990">
            <w:pPr>
              <w:spacing w:before="60" w:after="60"/>
              <w:rPr>
                <w:noProof/>
              </w:rPr>
            </w:pPr>
            <w:r w:rsidRPr="004E329E">
              <w:rPr>
                <w:noProof/>
              </w:rPr>
              <w:t>Tranche d’âge:</w:t>
            </w:r>
          </w:p>
        </w:tc>
        <w:tc>
          <w:tcPr>
            <w:tcW w:w="2063" w:type="dxa"/>
            <w:tcBorders>
              <w:top w:val="single" w:sz="4" w:space="0" w:color="auto"/>
              <w:left w:val="nil"/>
              <w:bottom w:val="nil"/>
              <w:right w:val="nil"/>
            </w:tcBorders>
            <w:hideMark/>
          </w:tcPr>
          <w:p w:rsidR="001A62D7" w:rsidRPr="004E329E" w:rsidRDefault="001A62D7" w:rsidP="001D5990">
            <w:pPr>
              <w:spacing w:before="60" w:after="60"/>
              <w:rPr>
                <w:noProof/>
              </w:rPr>
            </w:pPr>
            <w:r w:rsidRPr="004E329E">
              <w:rPr>
                <w:noProof/>
              </w:rPr>
              <w:t>Moins de 30 ans:</w:t>
            </w:r>
          </w:p>
        </w:tc>
        <w:tc>
          <w:tcPr>
            <w:tcW w:w="1176" w:type="dxa"/>
            <w:tcBorders>
              <w:top w:val="single" w:sz="4" w:space="0" w:color="auto"/>
            </w:tcBorders>
            <w:hideMark/>
          </w:tcPr>
          <w:p w:rsidR="001A62D7" w:rsidRPr="004E329E" w:rsidRDefault="008D1A3A" w:rsidP="001D5990">
            <w:pPr>
              <w:spacing w:before="60" w:after="60"/>
              <w:jc w:val="right"/>
              <w:rPr>
                <w:noProof/>
              </w:rPr>
            </w:pPr>
            <w:r w:rsidRPr="004E329E">
              <w:rPr>
                <w:noProof/>
              </w:rPr>
              <w:t>10</w:t>
            </w:r>
          </w:p>
        </w:tc>
        <w:tc>
          <w:tcPr>
            <w:tcW w:w="1176" w:type="dxa"/>
            <w:tcBorders>
              <w:top w:val="single" w:sz="4" w:space="0" w:color="auto"/>
            </w:tcBorders>
            <w:hideMark/>
          </w:tcPr>
          <w:p w:rsidR="001A62D7" w:rsidRPr="004E329E" w:rsidRDefault="001A62D7" w:rsidP="001D5990">
            <w:pPr>
              <w:spacing w:before="60" w:after="60"/>
              <w:jc w:val="right"/>
              <w:rPr>
                <w:noProof/>
              </w:rPr>
            </w:pPr>
            <w:r w:rsidRPr="004E329E">
              <w:rPr>
                <w:noProof/>
              </w:rPr>
              <w:t>(3,8 %)</w:t>
            </w:r>
          </w:p>
        </w:tc>
      </w:tr>
      <w:tr w:rsidR="001A62D7" w:rsidRPr="004E329E" w:rsidTr="001D5990">
        <w:trPr>
          <w:jc w:val="center"/>
        </w:trPr>
        <w:tc>
          <w:tcPr>
            <w:tcW w:w="1496" w:type="dxa"/>
          </w:tcPr>
          <w:p w:rsidR="001A62D7" w:rsidRPr="004E329E" w:rsidRDefault="001A62D7" w:rsidP="001D5990">
            <w:pPr>
              <w:spacing w:before="60" w:after="60"/>
              <w:rPr>
                <w:noProof/>
              </w:rPr>
            </w:pPr>
          </w:p>
        </w:tc>
        <w:tc>
          <w:tcPr>
            <w:tcW w:w="2063" w:type="dxa"/>
            <w:hideMark/>
          </w:tcPr>
          <w:p w:rsidR="001A62D7" w:rsidRPr="004E329E" w:rsidRDefault="001A62D7" w:rsidP="001D5990">
            <w:pPr>
              <w:spacing w:before="60" w:after="60"/>
              <w:rPr>
                <w:noProof/>
              </w:rPr>
            </w:pPr>
            <w:r w:rsidRPr="004E329E">
              <w:rPr>
                <w:noProof/>
              </w:rPr>
              <w:t>30-54 ans:</w:t>
            </w:r>
          </w:p>
        </w:tc>
        <w:tc>
          <w:tcPr>
            <w:tcW w:w="1176" w:type="dxa"/>
            <w:hideMark/>
          </w:tcPr>
          <w:p w:rsidR="001A62D7" w:rsidRPr="004E329E" w:rsidRDefault="008D1A3A" w:rsidP="001D5990">
            <w:pPr>
              <w:spacing w:before="60" w:after="60"/>
              <w:jc w:val="right"/>
              <w:rPr>
                <w:noProof/>
              </w:rPr>
            </w:pPr>
            <w:r w:rsidRPr="004E329E">
              <w:rPr>
                <w:noProof/>
              </w:rPr>
              <w:t>131</w:t>
            </w:r>
          </w:p>
        </w:tc>
        <w:tc>
          <w:tcPr>
            <w:tcW w:w="1176" w:type="dxa"/>
            <w:hideMark/>
          </w:tcPr>
          <w:p w:rsidR="001A62D7" w:rsidRPr="004E329E" w:rsidRDefault="001A62D7" w:rsidP="001D5990">
            <w:pPr>
              <w:spacing w:before="60" w:after="60"/>
              <w:jc w:val="right"/>
              <w:rPr>
                <w:noProof/>
              </w:rPr>
            </w:pPr>
            <w:r w:rsidRPr="004E329E">
              <w:rPr>
                <w:noProof/>
              </w:rPr>
              <w:t>(49,0 %)</w:t>
            </w:r>
          </w:p>
        </w:tc>
      </w:tr>
      <w:tr w:rsidR="001A62D7" w:rsidRPr="004E329E" w:rsidTr="001D5990">
        <w:trPr>
          <w:jc w:val="center"/>
        </w:trPr>
        <w:tc>
          <w:tcPr>
            <w:tcW w:w="1496" w:type="dxa"/>
          </w:tcPr>
          <w:p w:rsidR="001A62D7" w:rsidRPr="004E329E" w:rsidRDefault="001A62D7" w:rsidP="001D5990">
            <w:pPr>
              <w:spacing w:before="60" w:after="60"/>
              <w:rPr>
                <w:noProof/>
              </w:rPr>
            </w:pPr>
          </w:p>
        </w:tc>
        <w:tc>
          <w:tcPr>
            <w:tcW w:w="2063" w:type="dxa"/>
            <w:hideMark/>
          </w:tcPr>
          <w:p w:rsidR="001A62D7" w:rsidRPr="004E329E" w:rsidRDefault="001A62D7" w:rsidP="001D5990">
            <w:pPr>
              <w:spacing w:before="60" w:after="60"/>
              <w:jc w:val="left"/>
              <w:rPr>
                <w:noProof/>
              </w:rPr>
            </w:pPr>
            <w:r w:rsidRPr="004E329E">
              <w:rPr>
                <w:noProof/>
              </w:rPr>
              <w:t>Plus de 54 ans:</w:t>
            </w:r>
          </w:p>
        </w:tc>
        <w:tc>
          <w:tcPr>
            <w:tcW w:w="1176" w:type="dxa"/>
            <w:hideMark/>
          </w:tcPr>
          <w:p w:rsidR="001A62D7" w:rsidRPr="004E329E" w:rsidRDefault="008D1A3A" w:rsidP="001D5990">
            <w:pPr>
              <w:spacing w:before="60" w:after="60"/>
              <w:jc w:val="right"/>
              <w:rPr>
                <w:noProof/>
              </w:rPr>
            </w:pPr>
            <w:r w:rsidRPr="004E329E">
              <w:rPr>
                <w:noProof/>
              </w:rPr>
              <w:t>126</w:t>
            </w:r>
          </w:p>
        </w:tc>
        <w:tc>
          <w:tcPr>
            <w:tcW w:w="1176" w:type="dxa"/>
            <w:hideMark/>
          </w:tcPr>
          <w:p w:rsidR="001A62D7" w:rsidRPr="004E329E" w:rsidRDefault="001A62D7" w:rsidP="001D5990">
            <w:pPr>
              <w:spacing w:before="60" w:after="60"/>
              <w:jc w:val="right"/>
              <w:rPr>
                <w:noProof/>
              </w:rPr>
            </w:pPr>
            <w:r w:rsidRPr="004E329E">
              <w:rPr>
                <w:noProof/>
              </w:rPr>
              <w:t>(47,2 %)</w:t>
            </w:r>
          </w:p>
        </w:tc>
      </w:tr>
      <w:tr w:rsidR="001A62D7" w:rsidRPr="004E329E" w:rsidTr="001D5990">
        <w:trPr>
          <w:jc w:val="center"/>
        </w:trPr>
        <w:tc>
          <w:tcPr>
            <w:tcW w:w="1496" w:type="dxa"/>
            <w:tcBorders>
              <w:top w:val="single" w:sz="4" w:space="0" w:color="auto"/>
              <w:left w:val="nil"/>
              <w:bottom w:val="nil"/>
              <w:right w:val="nil"/>
            </w:tcBorders>
          </w:tcPr>
          <w:p w:rsidR="001A62D7" w:rsidRPr="004E329E" w:rsidRDefault="001A62D7" w:rsidP="001D5990">
            <w:pPr>
              <w:spacing w:before="60" w:after="60"/>
              <w:rPr>
                <w:noProof/>
              </w:rPr>
            </w:pPr>
            <w:r w:rsidRPr="004E329E">
              <w:rPr>
                <w:noProof/>
              </w:rPr>
              <w:t>Niveau d’éducation</w:t>
            </w:r>
          </w:p>
        </w:tc>
        <w:tc>
          <w:tcPr>
            <w:tcW w:w="2063" w:type="dxa"/>
            <w:tcBorders>
              <w:top w:val="single" w:sz="4" w:space="0" w:color="auto"/>
              <w:left w:val="nil"/>
              <w:bottom w:val="nil"/>
              <w:right w:val="nil"/>
            </w:tcBorders>
          </w:tcPr>
          <w:p w:rsidR="001A62D7" w:rsidRPr="004E329E" w:rsidRDefault="001A62D7" w:rsidP="001D5990">
            <w:pPr>
              <w:spacing w:before="60" w:after="60"/>
              <w:rPr>
                <w:noProof/>
              </w:rPr>
            </w:pPr>
            <w:r w:rsidRPr="004E329E">
              <w:rPr>
                <w:noProof/>
              </w:rPr>
              <w:t>Premier cycle du secondaire ou inférieur</w:t>
            </w:r>
            <w:r w:rsidRPr="004E329E">
              <w:rPr>
                <w:rStyle w:val="FootnoteReference"/>
                <w:noProof/>
              </w:rPr>
              <w:footnoteReference w:id="18"/>
            </w:r>
            <w:r w:rsidRPr="004E329E">
              <w:rPr>
                <w:noProof/>
              </w:rPr>
              <w:t xml:space="preserve"> </w:t>
            </w:r>
          </w:p>
        </w:tc>
        <w:tc>
          <w:tcPr>
            <w:tcW w:w="1176" w:type="dxa"/>
            <w:tcBorders>
              <w:top w:val="single" w:sz="4" w:space="0" w:color="auto"/>
              <w:left w:val="nil"/>
              <w:bottom w:val="nil"/>
              <w:right w:val="nil"/>
            </w:tcBorders>
          </w:tcPr>
          <w:p w:rsidR="001A62D7" w:rsidRPr="004E329E" w:rsidRDefault="008D1A3A" w:rsidP="001D5990">
            <w:pPr>
              <w:spacing w:before="60" w:after="60"/>
              <w:jc w:val="right"/>
              <w:rPr>
                <w:noProof/>
              </w:rPr>
            </w:pPr>
            <w:r w:rsidRPr="004E329E">
              <w:rPr>
                <w:noProof/>
              </w:rPr>
              <w:t>88</w:t>
            </w:r>
          </w:p>
        </w:tc>
        <w:tc>
          <w:tcPr>
            <w:tcW w:w="1176" w:type="dxa"/>
            <w:tcBorders>
              <w:top w:val="single" w:sz="4" w:space="0" w:color="auto"/>
              <w:left w:val="nil"/>
              <w:bottom w:val="nil"/>
              <w:right w:val="nil"/>
            </w:tcBorders>
          </w:tcPr>
          <w:p w:rsidR="001A62D7" w:rsidRPr="004E329E" w:rsidRDefault="001A62D7" w:rsidP="001D5990">
            <w:pPr>
              <w:spacing w:before="60" w:after="60"/>
              <w:jc w:val="right"/>
              <w:rPr>
                <w:rFonts w:eastAsia="Calibri"/>
                <w:noProof/>
              </w:rPr>
            </w:pPr>
            <w:r w:rsidRPr="004E329E">
              <w:rPr>
                <w:noProof/>
              </w:rPr>
              <w:t>(33,0 %)</w:t>
            </w:r>
          </w:p>
        </w:tc>
      </w:tr>
      <w:tr w:rsidR="001A62D7" w:rsidRPr="004E329E" w:rsidTr="001D5990">
        <w:trPr>
          <w:jc w:val="center"/>
        </w:trPr>
        <w:tc>
          <w:tcPr>
            <w:tcW w:w="1496" w:type="dxa"/>
            <w:tcBorders>
              <w:top w:val="nil"/>
              <w:left w:val="nil"/>
              <w:right w:val="nil"/>
            </w:tcBorders>
          </w:tcPr>
          <w:p w:rsidR="001A62D7" w:rsidRPr="004E329E" w:rsidRDefault="001A62D7" w:rsidP="001D5990">
            <w:pPr>
              <w:spacing w:before="60" w:after="60"/>
              <w:rPr>
                <w:noProof/>
              </w:rPr>
            </w:pPr>
          </w:p>
        </w:tc>
        <w:tc>
          <w:tcPr>
            <w:tcW w:w="2063" w:type="dxa"/>
            <w:tcBorders>
              <w:top w:val="nil"/>
              <w:left w:val="nil"/>
              <w:right w:val="nil"/>
            </w:tcBorders>
          </w:tcPr>
          <w:p w:rsidR="001A62D7" w:rsidRPr="004E329E" w:rsidRDefault="001A62D7" w:rsidP="001D5990">
            <w:pPr>
              <w:spacing w:before="60" w:after="60"/>
              <w:rPr>
                <w:noProof/>
              </w:rPr>
            </w:pPr>
            <w:r w:rsidRPr="004E329E">
              <w:rPr>
                <w:noProof/>
              </w:rPr>
              <w:t>Deuxième cycle du secondaire</w:t>
            </w:r>
            <w:r w:rsidRPr="004E329E">
              <w:rPr>
                <w:rStyle w:val="FootnoteReference"/>
                <w:noProof/>
              </w:rPr>
              <w:footnoteReference w:id="19"/>
            </w:r>
            <w:r w:rsidRPr="004E329E">
              <w:rPr>
                <w:noProof/>
              </w:rPr>
              <w:t xml:space="preserve"> ou post-secondaire non supérieur</w:t>
            </w:r>
            <w:r w:rsidRPr="004E329E">
              <w:rPr>
                <w:rStyle w:val="FootnoteReference"/>
                <w:noProof/>
              </w:rPr>
              <w:footnoteReference w:id="20"/>
            </w:r>
          </w:p>
        </w:tc>
        <w:tc>
          <w:tcPr>
            <w:tcW w:w="1176" w:type="dxa"/>
            <w:tcBorders>
              <w:top w:val="nil"/>
              <w:left w:val="nil"/>
              <w:right w:val="nil"/>
            </w:tcBorders>
          </w:tcPr>
          <w:p w:rsidR="001A62D7" w:rsidRPr="004E329E" w:rsidRDefault="008D1A3A" w:rsidP="001D5990">
            <w:pPr>
              <w:spacing w:before="60" w:after="60"/>
              <w:jc w:val="right"/>
              <w:rPr>
                <w:noProof/>
              </w:rPr>
            </w:pPr>
            <w:r w:rsidRPr="004E329E">
              <w:rPr>
                <w:noProof/>
              </w:rPr>
              <w:t>106</w:t>
            </w:r>
          </w:p>
        </w:tc>
        <w:tc>
          <w:tcPr>
            <w:tcW w:w="1176" w:type="dxa"/>
            <w:tcBorders>
              <w:top w:val="nil"/>
              <w:left w:val="nil"/>
              <w:right w:val="nil"/>
            </w:tcBorders>
          </w:tcPr>
          <w:p w:rsidR="001A62D7" w:rsidRPr="004E329E" w:rsidRDefault="001A62D7" w:rsidP="001D5990">
            <w:pPr>
              <w:spacing w:before="60" w:after="60"/>
              <w:jc w:val="right"/>
              <w:rPr>
                <w:rFonts w:eastAsia="Calibri"/>
                <w:noProof/>
              </w:rPr>
            </w:pPr>
            <w:r w:rsidRPr="004E329E">
              <w:rPr>
                <w:noProof/>
              </w:rPr>
              <w:t>(39,7 %)</w:t>
            </w:r>
          </w:p>
        </w:tc>
      </w:tr>
      <w:tr w:rsidR="001A62D7" w:rsidRPr="004E329E" w:rsidTr="001D5990">
        <w:trPr>
          <w:jc w:val="center"/>
        </w:trPr>
        <w:tc>
          <w:tcPr>
            <w:tcW w:w="1496" w:type="dxa"/>
            <w:tcBorders>
              <w:top w:val="nil"/>
              <w:left w:val="nil"/>
              <w:bottom w:val="single" w:sz="4" w:space="0" w:color="auto"/>
              <w:right w:val="nil"/>
            </w:tcBorders>
          </w:tcPr>
          <w:p w:rsidR="001A62D7" w:rsidRPr="004E329E" w:rsidRDefault="001A62D7" w:rsidP="001D5990">
            <w:pPr>
              <w:spacing w:before="60" w:after="60"/>
              <w:rPr>
                <w:noProof/>
              </w:rPr>
            </w:pPr>
          </w:p>
        </w:tc>
        <w:tc>
          <w:tcPr>
            <w:tcW w:w="2063" w:type="dxa"/>
            <w:tcBorders>
              <w:top w:val="nil"/>
              <w:left w:val="nil"/>
              <w:bottom w:val="single" w:sz="4" w:space="0" w:color="auto"/>
              <w:right w:val="nil"/>
            </w:tcBorders>
          </w:tcPr>
          <w:p w:rsidR="001A62D7" w:rsidRPr="004E329E" w:rsidRDefault="001A62D7" w:rsidP="001D5990">
            <w:pPr>
              <w:spacing w:before="60" w:after="60"/>
              <w:rPr>
                <w:noProof/>
              </w:rPr>
            </w:pPr>
            <w:r w:rsidRPr="004E329E">
              <w:rPr>
                <w:noProof/>
              </w:rPr>
              <w:t>Enseignement supérieur</w:t>
            </w:r>
            <w:r w:rsidRPr="004E329E">
              <w:rPr>
                <w:rStyle w:val="FootnoteReference"/>
                <w:noProof/>
              </w:rPr>
              <w:footnoteReference w:id="21"/>
            </w:r>
          </w:p>
        </w:tc>
        <w:tc>
          <w:tcPr>
            <w:tcW w:w="1176" w:type="dxa"/>
            <w:tcBorders>
              <w:top w:val="nil"/>
              <w:left w:val="nil"/>
              <w:bottom w:val="single" w:sz="4" w:space="0" w:color="auto"/>
              <w:right w:val="nil"/>
            </w:tcBorders>
          </w:tcPr>
          <w:p w:rsidR="001A62D7" w:rsidRPr="004E329E" w:rsidRDefault="008D1A3A" w:rsidP="001D5990">
            <w:pPr>
              <w:spacing w:before="60" w:after="60"/>
              <w:jc w:val="right"/>
              <w:rPr>
                <w:noProof/>
              </w:rPr>
            </w:pPr>
            <w:r w:rsidRPr="004E329E">
              <w:rPr>
                <w:noProof/>
              </w:rPr>
              <w:t>73</w:t>
            </w:r>
          </w:p>
        </w:tc>
        <w:tc>
          <w:tcPr>
            <w:tcW w:w="1176" w:type="dxa"/>
            <w:tcBorders>
              <w:top w:val="nil"/>
              <w:left w:val="nil"/>
              <w:bottom w:val="single" w:sz="4" w:space="0" w:color="auto"/>
              <w:right w:val="nil"/>
            </w:tcBorders>
          </w:tcPr>
          <w:p w:rsidR="001A62D7" w:rsidRPr="004E329E" w:rsidRDefault="001A62D7" w:rsidP="001D5990">
            <w:pPr>
              <w:spacing w:before="60" w:after="60"/>
              <w:jc w:val="right"/>
              <w:rPr>
                <w:rFonts w:eastAsia="Calibri"/>
                <w:noProof/>
              </w:rPr>
            </w:pPr>
            <w:r w:rsidRPr="004E329E">
              <w:rPr>
                <w:noProof/>
              </w:rPr>
              <w:t>(27,3 %)</w:t>
            </w:r>
          </w:p>
        </w:tc>
      </w:tr>
    </w:tbl>
    <w:p w:rsidR="001A62D7" w:rsidRPr="004E329E" w:rsidRDefault="001A62D7" w:rsidP="001A62D7">
      <w:pPr>
        <w:pStyle w:val="ManualHeading3"/>
        <w:rPr>
          <w:noProof/>
          <w:u w:val="single"/>
        </w:rPr>
      </w:pPr>
      <w:r w:rsidRPr="004E329E">
        <w:rPr>
          <w:noProof/>
        </w:rPr>
        <w:t>Mesures proposées</w:t>
      </w:r>
    </w:p>
    <w:p w:rsidR="001A62D7" w:rsidRPr="004E329E" w:rsidRDefault="006035E2" w:rsidP="006035E2">
      <w:pPr>
        <w:pStyle w:val="ManualNumPar1"/>
        <w:rPr>
          <w:noProof/>
        </w:rPr>
      </w:pPr>
      <w:bookmarkStart w:id="15" w:name="_Ref372214239"/>
      <w:r w:rsidRPr="006035E2">
        <w:rPr>
          <w:noProof/>
        </w:rPr>
        <w:t>24.</w:t>
      </w:r>
      <w:r w:rsidRPr="006035E2">
        <w:rPr>
          <w:noProof/>
        </w:rPr>
        <w:tab/>
      </w:r>
      <w:r w:rsidR="001A62D7" w:rsidRPr="004E329E">
        <w:rPr>
          <w:noProof/>
        </w:rPr>
        <w:t xml:space="preserve">Conformément à l’article 8, paragraphe 7, point h), du règlement (UE) 2021/691, l’ensemble coordonné personnalisé à fournir aux travailleurs licenciés comprend les mesures suivantes: </w:t>
      </w:r>
      <w:bookmarkEnd w:id="15"/>
    </w:p>
    <w:p w:rsidR="00294433" w:rsidRPr="004E329E" w:rsidRDefault="00CB770A" w:rsidP="0079691C">
      <w:pPr>
        <w:pStyle w:val="Tiret1"/>
        <w:numPr>
          <w:ilvl w:val="0"/>
          <w:numId w:val="19"/>
        </w:numPr>
        <w:rPr>
          <w:noProof/>
        </w:rPr>
      </w:pPr>
      <w:r w:rsidRPr="004E329E">
        <w:rPr>
          <w:noProof/>
          <w:u w:val="single"/>
        </w:rPr>
        <w:t>Taskforce</w:t>
      </w:r>
      <w:r w:rsidRPr="004E329E">
        <w:rPr>
          <w:noProof/>
        </w:rPr>
        <w:t>: des gestionnaires de comptes ayant une connaissance approfondie du marché du travail local et des consultants expérimentés dans le conseil dans les procédures de licenciement collectif organiseront et géreront les séances d’information, définiront avec les travailleurs des parcours personnalisés de réinsertion professionnelle et les réadapteront, le cas échéant. La task force est soutenue par une équipe d’experts dans les projets européens.</w:t>
      </w:r>
    </w:p>
    <w:p w:rsidR="007D0874" w:rsidRPr="004E329E" w:rsidRDefault="00294433" w:rsidP="00294433">
      <w:pPr>
        <w:pStyle w:val="Tiret1"/>
        <w:rPr>
          <w:noProof/>
        </w:rPr>
      </w:pPr>
      <w:r w:rsidRPr="004E329E">
        <w:rPr>
          <w:noProof/>
          <w:u w:val="single"/>
        </w:rPr>
        <w:t>Reclassement externe</w:t>
      </w:r>
      <w:r w:rsidRPr="004E329E">
        <w:rPr>
          <w:noProof/>
        </w:rPr>
        <w:t>: les services de reclassement externe fournis lors de sessions de groupe ou individuelles comprennent, entre autres, un entretien initial et des conseils individuels, la certification des compétences acquises, des conseils sur l’utilisation de la plateforme numérique «</w:t>
      </w:r>
      <w:r w:rsidRPr="004E329E">
        <w:rPr>
          <w:i/>
          <w:noProof/>
        </w:rPr>
        <w:t>Mijn Loopbaan</w:t>
      </w:r>
      <w:r w:rsidRPr="004E329E">
        <w:rPr>
          <w:noProof/>
        </w:rPr>
        <w:t xml:space="preserve">» («Ma carrière») du VDAB pour la recherche d’un emploi, ainsi que des conseils avant, pendant et après la bourse à l’emploi décrite ci-dessous. </w:t>
      </w:r>
    </w:p>
    <w:p w:rsidR="00DD57E0" w:rsidRPr="004E329E" w:rsidRDefault="00DD57E0" w:rsidP="00DD57E0">
      <w:pPr>
        <w:pStyle w:val="Text2"/>
        <w:rPr>
          <w:noProof/>
        </w:rPr>
      </w:pPr>
      <w:r w:rsidRPr="004E329E">
        <w:rPr>
          <w:noProof/>
        </w:rPr>
        <w:t>Les personnes ne maîtrisant pas les outils numériques recevront une formation de base aux TIC et un soutien complémentaire par l’intermédiaire de Digibanks, ce qui leur permettra d’emprunter un ordinateur portable, de bénéficier d’une formation sur la manière de l’utiliser et d’obtenir des réponses à leurs questions en matière de numérique. Des webinaires et d’autres outils en ligne, tels que 123digit.be, aideront ceux qui possèdent déjà certaines compétences numériques à améliorer ces compétences.</w:t>
      </w:r>
    </w:p>
    <w:p w:rsidR="00294433" w:rsidRPr="004E329E" w:rsidRDefault="00301D34" w:rsidP="00DD57E0">
      <w:pPr>
        <w:pStyle w:val="Tiret1"/>
        <w:rPr>
          <w:noProof/>
        </w:rPr>
      </w:pPr>
      <w:r w:rsidRPr="004E329E">
        <w:rPr>
          <w:noProof/>
          <w:u w:val="single"/>
        </w:rPr>
        <w:t>Aide à la recherche d’un emploi:</w:t>
      </w:r>
      <w:r w:rsidRPr="004E329E">
        <w:rPr>
          <w:noProof/>
        </w:rPr>
        <w:t xml:space="preserve"> l’assistance commence par des sessions visant à évaluer si les demandeurs d’emploi répondent aux exigences du marché du travail et si leur recherche d’emploi est réaliste. Par la suite, les travailleurs reçoivent un soutien axé sur leur préparation aux futures candidatures, qui les aide à rédiger des CV et des lettres de motivation convaincants, à renforcer leur confiance en eux et à s’exercer au passage d’entretiens d’embauche.</w:t>
      </w:r>
    </w:p>
    <w:p w:rsidR="007D7BFD" w:rsidRPr="004E329E" w:rsidRDefault="008F1670" w:rsidP="007D7BFD">
      <w:pPr>
        <w:pStyle w:val="Tiret1"/>
        <w:rPr>
          <w:noProof/>
        </w:rPr>
      </w:pPr>
      <w:r w:rsidRPr="004E329E">
        <w:rPr>
          <w:noProof/>
          <w:u w:val="single"/>
        </w:rPr>
        <w:t>Conseil/orientation</w:t>
      </w:r>
      <w:r w:rsidRPr="004E329E">
        <w:rPr>
          <w:noProof/>
        </w:rPr>
        <w:t>: les services d’orientation comprennent l’orientation, la recherche de possibilités d’emploi et le placement professionnel (c’est-à-dire la mise en relation des demandeurs d’emploi avec des possibilités d’emploi appropriées en mettant en adéquation les compétences et les objectifs des candidats avec les besoins des employeurs), l’évaluation des compétences numériques, l’aide à la recherche individuelle d’emploi à l’aide d’outils numériques et le soutien psychologique. Ces services sont fournis au moyen d’un système de bons afin de garantir la liberté de choix des travailleurs. Les conseillers du VDAB, après avoir évalué les besoins individuels des travailleurs, fixent l’intensité du service à recevoir, qui varie entre intensif et très intensif.</w:t>
      </w:r>
    </w:p>
    <w:p w:rsidR="00950D9A" w:rsidRPr="004E329E" w:rsidRDefault="00294433" w:rsidP="007D7BFD">
      <w:pPr>
        <w:pStyle w:val="Tiret1"/>
        <w:rPr>
          <w:noProof/>
        </w:rPr>
      </w:pPr>
      <w:r w:rsidRPr="004E329E">
        <w:rPr>
          <w:noProof/>
          <w:u w:val="single"/>
        </w:rPr>
        <w:t>Aide renforcée à la recherche d’emploi:</w:t>
      </w:r>
      <w:r w:rsidRPr="004E329E">
        <w:rPr>
          <w:noProof/>
        </w:rPr>
        <w:t xml:space="preserve"> il s’agit de séances de coaching individuel et collectif avec un médiateur professionnel, d’un soutien pour postuler et préparer des entretiens d’embauche, d’un coaching entre pairs et de visites dans des entreprises ayant des besoins de recrutement.</w:t>
      </w:r>
    </w:p>
    <w:p w:rsidR="00294433" w:rsidRPr="004E329E" w:rsidRDefault="00294433" w:rsidP="007D7BFD">
      <w:pPr>
        <w:pStyle w:val="Tiret1"/>
        <w:rPr>
          <w:noProof/>
        </w:rPr>
      </w:pPr>
      <w:r w:rsidRPr="004E329E">
        <w:rPr>
          <w:noProof/>
          <w:u w:val="single"/>
        </w:rPr>
        <w:t>Formation et recyclage</w:t>
      </w:r>
      <w:r w:rsidRPr="004E329E">
        <w:rPr>
          <w:noProof/>
        </w:rPr>
        <w:t>: les travailleurs sont associés à des parcours d’apprentissage spécifiques conçus pour améliorer leurs compétences techniques et numériques et pour développer des compétences liées à des domaines confrontés à des pénuries de main-d’œuvre ou à la transition écologique. Après accord des projets individuels avec le conseiller professionnel, les travailleurs se verront proposer une formation ciblée pour répondre aux besoins recensés. Ils auront également accès à un large éventail de formations, y compris celles dispensées par le VDAB ou par des prestataires de formation.</w:t>
      </w:r>
    </w:p>
    <w:p w:rsidR="007D7BFD" w:rsidRPr="004E329E" w:rsidRDefault="00E109B3" w:rsidP="007D7BFD">
      <w:pPr>
        <w:pStyle w:val="Tiret1"/>
        <w:rPr>
          <w:noProof/>
        </w:rPr>
      </w:pPr>
      <w:r w:rsidRPr="004E329E">
        <w:rPr>
          <w:noProof/>
          <w:u w:val="single"/>
        </w:rPr>
        <w:t>Formation sur le lieu de travail</w:t>
      </w:r>
      <w:r w:rsidRPr="004E329E">
        <w:rPr>
          <w:noProof/>
        </w:rPr>
        <w:t>: les travailleurs reçoivent une formation sur le lieu de travail dans l’entreprise qui les emploiera à l’issue de la formation. Le contrat de travail est un contrat de travail permanent ou à durée déterminée d’une durée au moins égale à celle de la formation.</w:t>
      </w:r>
    </w:p>
    <w:p w:rsidR="007D7BFD" w:rsidRPr="004E329E" w:rsidRDefault="00950D9A" w:rsidP="007D7BFD">
      <w:pPr>
        <w:pStyle w:val="Tiret1"/>
        <w:rPr>
          <w:noProof/>
        </w:rPr>
      </w:pPr>
      <w:r w:rsidRPr="004E329E">
        <w:rPr>
          <w:noProof/>
          <w:u w:val="single"/>
        </w:rPr>
        <w:t>Bourse de l’emploi</w:t>
      </w:r>
      <w:r w:rsidRPr="004E329E">
        <w:rPr>
          <w:noProof/>
        </w:rPr>
        <w:t>: cet événement de recrutement aide à réunir les demandeurs d’emploi et les employeurs qui cherchent à pourvoir leurs postes vacants. Avant de participer à l’événement, des séances de conseil contribuent à préparer la réunion avec les employeurs potentiels.</w:t>
      </w:r>
    </w:p>
    <w:p w:rsidR="00CB770A" w:rsidRPr="004E329E" w:rsidRDefault="00CB770A" w:rsidP="007D7BFD">
      <w:pPr>
        <w:pStyle w:val="Tiret1"/>
        <w:rPr>
          <w:noProof/>
        </w:rPr>
      </w:pPr>
      <w:r w:rsidRPr="004E329E">
        <w:rPr>
          <w:noProof/>
          <w:u w:val="single"/>
        </w:rPr>
        <w:t>Recherche d’emploi et mise en adéquation de l’offre et de la demande d’emploi</w:t>
      </w:r>
      <w:r w:rsidRPr="004E329E">
        <w:rPr>
          <w:noProof/>
        </w:rPr>
        <w:t>: une équipe spécialisée permettra d’identifier les offres d’emploi avant qu’elles soient pourvues et d’aider les candidats appropriés parmi les anciens travailleurs de Tupperware à postuler à ces postes. Des évènements de recherche d’emploi seront organisés chaque trimestre dans les locaux du VDAB. Ces événements permettent aux participants d’interagir avec les employeurs locaux et régionaux, d’explorer les possibilités d’emploi et de comprendre les parcours d’entrée.</w:t>
      </w:r>
    </w:p>
    <w:p w:rsidR="001A62D7" w:rsidRPr="004E329E" w:rsidRDefault="006035E2" w:rsidP="006035E2">
      <w:pPr>
        <w:pStyle w:val="ManualNumPar1"/>
        <w:rPr>
          <w:noProof/>
        </w:rPr>
      </w:pPr>
      <w:r w:rsidRPr="006035E2">
        <w:rPr>
          <w:noProof/>
        </w:rPr>
        <w:t>25.</w:t>
      </w:r>
      <w:r w:rsidRPr="006035E2">
        <w:rPr>
          <w:noProof/>
        </w:rPr>
        <w:tab/>
      </w:r>
      <w:r w:rsidR="00C97675" w:rsidRPr="004E329E">
        <w:rPr>
          <w:noProof/>
        </w:rPr>
        <w:t xml:space="preserve">La formation en TIC et le soutien additionnel prévus dans le cadre des services de reclassement externe permettront de diffuser les compétences requises à l’ère numérique et dans une économie efficace dans l’utilisation des ressources, conformément à l’article 7, paragraphe 2, du règlement (UE) 2021/691. </w:t>
      </w:r>
    </w:p>
    <w:p w:rsidR="001A62D7" w:rsidRPr="004E329E" w:rsidRDefault="006035E2" w:rsidP="006035E2">
      <w:pPr>
        <w:pStyle w:val="ManualNumPar1"/>
        <w:rPr>
          <w:noProof/>
        </w:rPr>
      </w:pPr>
      <w:bookmarkStart w:id="16" w:name="_Ref372214242"/>
      <w:r w:rsidRPr="006035E2">
        <w:rPr>
          <w:noProof/>
        </w:rPr>
        <w:t>26.</w:t>
      </w:r>
      <w:r w:rsidRPr="006035E2">
        <w:rPr>
          <w:noProof/>
        </w:rPr>
        <w:tab/>
      </w:r>
      <w:r w:rsidR="001A62D7" w:rsidRPr="004E329E">
        <w:rPr>
          <w:noProof/>
        </w:rPr>
        <w:t xml:space="preserve">Les actions proposées, décrites ici, constituent des mesures actives du marché du travail entrant dans le cadre des mesures éligibles prévues à l’article 7 du règlement (UE) 2021/691. Elles ne se substituent pas à des mesures passives de protection sociale. </w:t>
      </w:r>
    </w:p>
    <w:p w:rsidR="001A62D7" w:rsidRPr="004E329E" w:rsidRDefault="006035E2" w:rsidP="006035E2">
      <w:pPr>
        <w:pStyle w:val="ManualNumPar1"/>
        <w:rPr>
          <w:noProof/>
        </w:rPr>
      </w:pPr>
      <w:r w:rsidRPr="006035E2">
        <w:rPr>
          <w:noProof/>
        </w:rPr>
        <w:t>27.</w:t>
      </w:r>
      <w:r w:rsidRPr="006035E2">
        <w:rPr>
          <w:noProof/>
        </w:rPr>
        <w:tab/>
      </w:r>
      <w:r w:rsidR="000708BF" w:rsidRPr="004E329E">
        <w:rPr>
          <w:noProof/>
        </w:rPr>
        <w:t>La Belgique a fourni les informations requises sur les mesures revêtant un caractère obligatoire pour l’entreprise concernée en vertu du droit national ou de conventions collectives. Conformément à l’article 9, paragraphe 1, du règlement (UE) 2021/691, la Belgique a confirmé que la contribution financière du FEM ne se substituerait pas à ces mesures.</w:t>
      </w:r>
      <w:bookmarkEnd w:id="16"/>
    </w:p>
    <w:p w:rsidR="001A62D7" w:rsidRPr="004E329E" w:rsidRDefault="001A62D7" w:rsidP="001A62D7">
      <w:pPr>
        <w:pStyle w:val="ManualHeading3"/>
        <w:rPr>
          <w:noProof/>
        </w:rPr>
      </w:pPr>
      <w:r w:rsidRPr="004E329E">
        <w:rPr>
          <w:noProof/>
        </w:rPr>
        <w:t>Budget estimé</w:t>
      </w:r>
    </w:p>
    <w:p w:rsidR="001A62D7" w:rsidRPr="004E329E" w:rsidRDefault="006035E2" w:rsidP="006035E2">
      <w:pPr>
        <w:pStyle w:val="ManualNumPar1"/>
        <w:rPr>
          <w:noProof/>
        </w:rPr>
      </w:pPr>
      <w:r w:rsidRPr="006035E2">
        <w:rPr>
          <w:noProof/>
        </w:rPr>
        <w:t>28.</w:t>
      </w:r>
      <w:r w:rsidRPr="006035E2">
        <w:rPr>
          <w:noProof/>
        </w:rPr>
        <w:tab/>
      </w:r>
      <w:r w:rsidR="001A62D7" w:rsidRPr="004E329E">
        <w:rPr>
          <w:noProof/>
        </w:rPr>
        <w:t>Le coût total estimé s’élève à 1 909 000 EUR; il correspond aux dépenses pour les services personnalisés à hauteur de 1 843 500 EUR et aux dépenses pour financer les activités de préparation, de gestion, d’information et de publicité, ainsi que les activités de contrôle et de rapport, pour un montant de 65 500 EUR.</w:t>
      </w:r>
    </w:p>
    <w:p w:rsidR="001A62D7" w:rsidRPr="004E329E" w:rsidRDefault="006035E2" w:rsidP="006035E2">
      <w:pPr>
        <w:pStyle w:val="ManualNumPar1"/>
        <w:rPr>
          <w:noProof/>
        </w:rPr>
      </w:pPr>
      <w:bookmarkStart w:id="17" w:name="_Ref372550770"/>
      <w:r w:rsidRPr="006035E2">
        <w:rPr>
          <w:noProof/>
        </w:rPr>
        <w:t>29.</w:t>
      </w:r>
      <w:r w:rsidRPr="006035E2">
        <w:rPr>
          <w:noProof/>
        </w:rPr>
        <w:tab/>
      </w:r>
      <w:r w:rsidR="001A62D7" w:rsidRPr="004E329E">
        <w:rPr>
          <w:noProof/>
        </w:rPr>
        <w:t>La contribution financière totale demandée au FEM s’élève à 1 622 650 EUR (85 % du coût total).</w:t>
      </w:r>
      <w:bookmarkEnd w:id="17"/>
    </w:p>
    <w:p w:rsidR="001A62D7" w:rsidRPr="004E329E" w:rsidRDefault="006035E2" w:rsidP="006035E2">
      <w:pPr>
        <w:pStyle w:val="ManualNumPar1"/>
        <w:rPr>
          <w:noProof/>
        </w:rPr>
      </w:pPr>
      <w:r w:rsidRPr="006035E2">
        <w:rPr>
          <w:noProof/>
        </w:rPr>
        <w:t>30.</w:t>
      </w:r>
      <w:r w:rsidRPr="006035E2">
        <w:rPr>
          <w:noProof/>
        </w:rPr>
        <w:tab/>
      </w:r>
      <w:r w:rsidR="001A62D7" w:rsidRPr="004E329E">
        <w:rPr>
          <w:noProof/>
        </w:rPr>
        <w:t>Conformément à l’article 8, paragraphe 7, point m), du règlement (UE) 2021/691, la Belgique a précisé que le préfinancement et le cofinancement nationaux seraient assurés par le 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4E329E" w:rsidTr="001D5990">
        <w:tc>
          <w:tcPr>
            <w:tcW w:w="4644" w:type="dxa"/>
            <w:shd w:val="clear" w:color="auto" w:fill="auto"/>
            <w:vAlign w:val="center"/>
          </w:tcPr>
          <w:p w:rsidR="001A62D7" w:rsidRPr="004E329E" w:rsidRDefault="001A62D7" w:rsidP="001D5990">
            <w:pPr>
              <w:spacing w:before="60" w:after="60"/>
              <w:jc w:val="center"/>
              <w:rPr>
                <w:rFonts w:eastAsia="Times New Roman"/>
                <w:noProof/>
                <w:sz w:val="22"/>
              </w:rPr>
            </w:pPr>
            <w:r w:rsidRPr="004E329E">
              <w:rPr>
                <w:noProof/>
                <w:sz w:val="22"/>
              </w:rPr>
              <w:t>Mesures</w:t>
            </w:r>
          </w:p>
        </w:tc>
        <w:tc>
          <w:tcPr>
            <w:tcW w:w="1548" w:type="dxa"/>
            <w:shd w:val="clear" w:color="auto" w:fill="auto"/>
            <w:vAlign w:val="center"/>
          </w:tcPr>
          <w:p w:rsidR="001A62D7" w:rsidRPr="004E329E" w:rsidRDefault="001A62D7" w:rsidP="001D5990">
            <w:pPr>
              <w:spacing w:before="60" w:after="60"/>
              <w:jc w:val="center"/>
              <w:rPr>
                <w:rFonts w:eastAsia="Times New Roman"/>
                <w:noProof/>
                <w:sz w:val="22"/>
              </w:rPr>
            </w:pPr>
            <w:r w:rsidRPr="004E329E">
              <w:rPr>
                <w:noProof/>
                <w:sz w:val="22"/>
              </w:rPr>
              <w:t>Nombre estimé de participants</w:t>
            </w:r>
          </w:p>
        </w:tc>
        <w:tc>
          <w:tcPr>
            <w:tcW w:w="1548" w:type="dxa"/>
            <w:shd w:val="clear" w:color="auto" w:fill="auto"/>
            <w:vAlign w:val="center"/>
          </w:tcPr>
          <w:p w:rsidR="001A62D7" w:rsidRPr="004E329E" w:rsidRDefault="001A62D7" w:rsidP="001D5990">
            <w:pPr>
              <w:spacing w:before="60" w:after="60"/>
              <w:jc w:val="center"/>
              <w:rPr>
                <w:rFonts w:eastAsia="Times New Roman"/>
                <w:noProof/>
                <w:sz w:val="22"/>
              </w:rPr>
            </w:pPr>
            <w:r w:rsidRPr="004E329E">
              <w:rPr>
                <w:noProof/>
                <w:sz w:val="22"/>
              </w:rPr>
              <w:t>Coût estimé par participant</w:t>
            </w:r>
            <w:r w:rsidRPr="004E329E">
              <w:rPr>
                <w:noProof/>
                <w:sz w:val="22"/>
              </w:rPr>
              <w:br/>
            </w:r>
            <w:r w:rsidRPr="004E329E">
              <w:rPr>
                <w:i/>
                <w:noProof/>
                <w:sz w:val="22"/>
              </w:rPr>
              <w:t>(en EUR)</w:t>
            </w:r>
            <w:r w:rsidRPr="004E329E">
              <w:rPr>
                <w:rStyle w:val="FootnoteReference"/>
                <w:rFonts w:eastAsia="Times New Roman"/>
                <w:i/>
                <w:noProof/>
                <w:sz w:val="22"/>
              </w:rPr>
              <w:footnoteReference w:id="22"/>
            </w:r>
          </w:p>
        </w:tc>
        <w:tc>
          <w:tcPr>
            <w:tcW w:w="1548" w:type="dxa"/>
            <w:shd w:val="clear" w:color="auto" w:fill="auto"/>
            <w:vAlign w:val="center"/>
          </w:tcPr>
          <w:p w:rsidR="001A62D7" w:rsidRPr="004E329E" w:rsidRDefault="001A62D7" w:rsidP="001D5990">
            <w:pPr>
              <w:spacing w:before="60" w:after="60"/>
              <w:jc w:val="center"/>
              <w:rPr>
                <w:rFonts w:eastAsia="Times New Roman"/>
                <w:noProof/>
                <w:sz w:val="22"/>
              </w:rPr>
            </w:pPr>
            <w:r w:rsidRPr="004E329E">
              <w:rPr>
                <w:noProof/>
                <w:sz w:val="22"/>
              </w:rPr>
              <w:t>Coût total estimé</w:t>
            </w:r>
          </w:p>
          <w:p w:rsidR="001A62D7" w:rsidRPr="004E329E" w:rsidRDefault="001A62D7" w:rsidP="001D5990">
            <w:pPr>
              <w:spacing w:before="60" w:after="60"/>
              <w:jc w:val="center"/>
              <w:rPr>
                <w:rFonts w:eastAsia="Times New Roman"/>
                <w:noProof/>
                <w:sz w:val="22"/>
              </w:rPr>
            </w:pPr>
            <w:r w:rsidRPr="004E329E">
              <w:rPr>
                <w:i/>
                <w:noProof/>
                <w:sz w:val="22"/>
              </w:rPr>
              <w:t>(en EUR)</w:t>
            </w:r>
            <w:r w:rsidRPr="004E329E">
              <w:rPr>
                <w:rStyle w:val="FootnoteReference"/>
                <w:rFonts w:eastAsia="Times New Roman"/>
                <w:i/>
                <w:noProof/>
                <w:sz w:val="22"/>
              </w:rPr>
              <w:footnoteReference w:id="23"/>
            </w:r>
            <w:r w:rsidRPr="004E329E">
              <w:rPr>
                <w:i/>
                <w:noProof/>
                <w:sz w:val="22"/>
              </w:rPr>
              <w:t xml:space="preserve"> </w:t>
            </w:r>
          </w:p>
        </w:tc>
      </w:tr>
      <w:tr w:rsidR="001A62D7" w:rsidRPr="004E329E" w:rsidTr="001D5990">
        <w:tc>
          <w:tcPr>
            <w:tcW w:w="9288" w:type="dxa"/>
            <w:gridSpan w:val="4"/>
            <w:shd w:val="clear" w:color="auto" w:fill="auto"/>
          </w:tcPr>
          <w:p w:rsidR="001A62D7" w:rsidRPr="004E329E" w:rsidRDefault="001A62D7" w:rsidP="001D5990">
            <w:pPr>
              <w:spacing w:before="60" w:after="60"/>
              <w:jc w:val="left"/>
              <w:rPr>
                <w:rFonts w:eastAsia="Times New Roman"/>
                <w:noProof/>
                <w:sz w:val="22"/>
              </w:rPr>
            </w:pPr>
            <w:r w:rsidRPr="004E329E">
              <w:rPr>
                <w:noProof/>
              </w:rPr>
              <w:t>Services personnalisés [mesures au titre de l’article 7, paragraphe 2, deuxième alinéa, point a), du règlement (UE) 2021/691]</w:t>
            </w:r>
          </w:p>
        </w:tc>
      </w:tr>
      <w:tr w:rsidR="001A62D7" w:rsidRPr="004E329E"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E329E" w:rsidRDefault="00CB770A" w:rsidP="001D5990">
            <w:pPr>
              <w:spacing w:before="60" w:after="60"/>
              <w:jc w:val="left"/>
              <w:rPr>
                <w:noProof/>
              </w:rPr>
            </w:pPr>
            <w:r w:rsidRPr="004E329E">
              <w:rPr>
                <w:noProof/>
              </w:rPr>
              <w:t xml:space="preserve">task force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2F6D5B" w:rsidP="001D5990">
            <w:pPr>
              <w:spacing w:before="60" w:after="60"/>
              <w:jc w:val="center"/>
              <w:rPr>
                <w:noProof/>
              </w:rPr>
            </w:pPr>
            <w:r w:rsidRPr="004E329E">
              <w:rPr>
                <w:noProof/>
              </w:rPr>
              <w:t>267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843</w:t>
            </w:r>
          </w:p>
        </w:tc>
        <w:tc>
          <w:tcPr>
            <w:tcW w:w="1548" w:type="dxa"/>
            <w:tcBorders>
              <w:top w:val="single" w:sz="4" w:space="0" w:color="auto"/>
              <w:left w:val="single" w:sz="4" w:space="0" w:color="auto"/>
              <w:bottom w:val="single" w:sz="4" w:space="0" w:color="auto"/>
              <w:right w:val="nil"/>
            </w:tcBorders>
            <w:vAlign w:val="center"/>
            <w:hideMark/>
          </w:tcPr>
          <w:p w:rsidR="001A62D7" w:rsidRPr="004E329E" w:rsidRDefault="00B00403" w:rsidP="001D5990">
            <w:pPr>
              <w:spacing w:before="60" w:after="60"/>
              <w:jc w:val="center"/>
              <w:rPr>
                <w:noProof/>
              </w:rPr>
            </w:pPr>
            <w:r w:rsidRPr="004E329E">
              <w:rPr>
                <w:noProof/>
              </w:rPr>
              <w:t>225 000</w:t>
            </w:r>
          </w:p>
        </w:tc>
      </w:tr>
      <w:tr w:rsidR="001A62D7" w:rsidRPr="004E329E"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E329E" w:rsidRDefault="00CB770A" w:rsidP="001D5990">
            <w:pPr>
              <w:spacing w:before="60" w:after="60"/>
              <w:jc w:val="left"/>
              <w:rPr>
                <w:noProof/>
              </w:rPr>
            </w:pPr>
            <w:r w:rsidRPr="004E329E">
              <w:rPr>
                <w:noProof/>
              </w:rPr>
              <w:t>Reclassement externe</w:t>
            </w:r>
            <w:r w:rsidRPr="004E329E">
              <w:rPr>
                <w:noProof/>
              </w:rPr>
              <w:br/>
              <w:t>(</w:t>
            </w:r>
            <w:r w:rsidRPr="004E329E">
              <w:rPr>
                <w:i/>
                <w:noProof/>
              </w:rPr>
              <w:t>Outplacement begeleiding)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150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2 512</w:t>
            </w:r>
          </w:p>
        </w:tc>
        <w:tc>
          <w:tcPr>
            <w:tcW w:w="1548" w:type="dxa"/>
            <w:tcBorders>
              <w:top w:val="single" w:sz="4" w:space="0" w:color="auto"/>
              <w:left w:val="single" w:sz="4" w:space="0" w:color="auto"/>
              <w:bottom w:val="single" w:sz="4" w:space="0" w:color="auto"/>
              <w:right w:val="nil"/>
            </w:tcBorders>
            <w:vAlign w:val="center"/>
            <w:hideMark/>
          </w:tcPr>
          <w:p w:rsidR="001A62D7" w:rsidRPr="004E329E" w:rsidRDefault="00B00403" w:rsidP="001D5990">
            <w:pPr>
              <w:spacing w:before="60" w:after="60"/>
              <w:jc w:val="center"/>
              <w:rPr>
                <w:noProof/>
              </w:rPr>
            </w:pPr>
            <w:r w:rsidRPr="004E329E">
              <w:rPr>
                <w:noProof/>
              </w:rPr>
              <w:t>376 736</w:t>
            </w:r>
          </w:p>
        </w:tc>
      </w:tr>
      <w:tr w:rsidR="001A62D7" w:rsidRPr="004E329E"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E329E" w:rsidRDefault="00F84783" w:rsidP="001D5990">
            <w:pPr>
              <w:spacing w:before="60" w:after="60"/>
              <w:jc w:val="left"/>
              <w:rPr>
                <w:noProof/>
              </w:rPr>
            </w:pPr>
            <w:r w:rsidRPr="004E329E">
              <w:rPr>
                <w:noProof/>
              </w:rPr>
              <w:t>Aide à la recherche d’un emploi</w:t>
            </w:r>
            <w:r w:rsidRPr="004E329E">
              <w:rPr>
                <w:noProof/>
              </w:rPr>
              <w:br/>
              <w:t>(</w:t>
            </w:r>
            <w:r w:rsidRPr="004E329E">
              <w:rPr>
                <w:i/>
                <w:noProof/>
              </w:rPr>
              <w:t>Actieve bemiddeling en begeleiding naar werk)</w:t>
            </w:r>
            <w:r w:rsidRPr="004E329E">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100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1 550</w:t>
            </w:r>
          </w:p>
        </w:tc>
        <w:tc>
          <w:tcPr>
            <w:tcW w:w="1548" w:type="dxa"/>
            <w:tcBorders>
              <w:top w:val="single" w:sz="4" w:space="0" w:color="auto"/>
              <w:left w:val="single" w:sz="4" w:space="0" w:color="auto"/>
              <w:bottom w:val="single" w:sz="4" w:space="0" w:color="auto"/>
              <w:right w:val="nil"/>
            </w:tcBorders>
            <w:vAlign w:val="center"/>
            <w:hideMark/>
          </w:tcPr>
          <w:p w:rsidR="001A62D7" w:rsidRPr="004E329E" w:rsidRDefault="00B00403" w:rsidP="001D5990">
            <w:pPr>
              <w:spacing w:before="60" w:after="60"/>
              <w:jc w:val="center"/>
              <w:rPr>
                <w:noProof/>
              </w:rPr>
            </w:pPr>
            <w:r w:rsidRPr="004E329E">
              <w:rPr>
                <w:noProof/>
              </w:rPr>
              <w:t>155 000</w:t>
            </w:r>
          </w:p>
        </w:tc>
      </w:tr>
      <w:tr w:rsidR="001A62D7" w:rsidRPr="004E329E"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70304" w:rsidRDefault="00F84783" w:rsidP="001D5990">
            <w:pPr>
              <w:spacing w:before="60" w:after="60"/>
              <w:jc w:val="left"/>
              <w:rPr>
                <w:noProof/>
                <w:lang w:val="en-US"/>
              </w:rPr>
            </w:pPr>
            <w:r w:rsidRPr="00270304">
              <w:rPr>
                <w:noProof/>
                <w:lang w:val="en-US"/>
              </w:rPr>
              <w:t>Conseil/orientation</w:t>
            </w:r>
            <w:r w:rsidRPr="00270304">
              <w:rPr>
                <w:noProof/>
                <w:lang w:val="en-US"/>
              </w:rPr>
              <w:br/>
              <w:t>(</w:t>
            </w:r>
            <w:r w:rsidRPr="00270304">
              <w:rPr>
                <w:i/>
                <w:noProof/>
                <w:lang w:val="en-US"/>
              </w:rPr>
              <w:t xml:space="preserve">Begeleiding door partners)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30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4 500</w:t>
            </w:r>
          </w:p>
        </w:tc>
        <w:tc>
          <w:tcPr>
            <w:tcW w:w="1548" w:type="dxa"/>
            <w:tcBorders>
              <w:top w:val="single" w:sz="4" w:space="0" w:color="auto"/>
              <w:left w:val="single" w:sz="4" w:space="0" w:color="auto"/>
              <w:bottom w:val="single" w:sz="4" w:space="0" w:color="auto"/>
              <w:right w:val="nil"/>
            </w:tcBorders>
            <w:vAlign w:val="center"/>
            <w:hideMark/>
          </w:tcPr>
          <w:p w:rsidR="001A62D7" w:rsidRPr="004E329E" w:rsidRDefault="00B00403" w:rsidP="001D5990">
            <w:pPr>
              <w:spacing w:before="60" w:after="60"/>
              <w:jc w:val="center"/>
              <w:rPr>
                <w:noProof/>
              </w:rPr>
            </w:pPr>
            <w:r w:rsidRPr="004E329E">
              <w:rPr>
                <w:noProof/>
              </w:rPr>
              <w:t>135 000</w:t>
            </w:r>
          </w:p>
        </w:tc>
      </w:tr>
      <w:tr w:rsidR="00CB770A" w:rsidRPr="004E329E" w:rsidTr="00EB4E86">
        <w:trPr>
          <w:trHeight w:val="802"/>
        </w:trPr>
        <w:tc>
          <w:tcPr>
            <w:tcW w:w="4644" w:type="dxa"/>
            <w:tcBorders>
              <w:top w:val="single" w:sz="4" w:space="0" w:color="auto"/>
              <w:left w:val="nil"/>
              <w:bottom w:val="single" w:sz="4" w:space="0" w:color="auto"/>
              <w:right w:val="single" w:sz="4" w:space="0" w:color="auto"/>
            </w:tcBorders>
            <w:vAlign w:val="center"/>
            <w:hideMark/>
          </w:tcPr>
          <w:p w:rsidR="00CB770A" w:rsidRPr="004E329E" w:rsidRDefault="00F84783" w:rsidP="00EB4E86">
            <w:pPr>
              <w:spacing w:before="60" w:after="60"/>
              <w:jc w:val="left"/>
              <w:rPr>
                <w:noProof/>
              </w:rPr>
            </w:pPr>
            <w:r w:rsidRPr="004E329E">
              <w:rPr>
                <w:noProof/>
              </w:rPr>
              <w:t>Aide renforcée à la recherche d’emploi:</w:t>
            </w:r>
            <w:r w:rsidRPr="004E329E">
              <w:rPr>
                <w:noProof/>
              </w:rPr>
              <w:br/>
              <w:t>(</w:t>
            </w:r>
            <w:r w:rsidRPr="004E329E">
              <w:rPr>
                <w:i/>
                <w:noProof/>
              </w:rPr>
              <w:t>Jobhunting</w:t>
            </w:r>
            <w:r w:rsidRPr="004E329E">
              <w:rPr>
                <w:noProof/>
              </w:rPr>
              <w:t>)</w:t>
            </w:r>
            <w:r w:rsidRPr="004E329E">
              <w:rPr>
                <w:i/>
                <w:noProof/>
              </w:rPr>
              <w:t xml:space="preserve"> </w:t>
            </w:r>
            <w:r w:rsidRPr="004E329E">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4E329E" w:rsidRDefault="00B00403" w:rsidP="00EB4E86">
            <w:pPr>
              <w:spacing w:before="60" w:after="60"/>
              <w:jc w:val="center"/>
              <w:rPr>
                <w:noProof/>
              </w:rPr>
            </w:pPr>
            <w:r w:rsidRPr="004E329E">
              <w:rPr>
                <w:noProof/>
              </w:rPr>
              <w:t>60</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4E329E" w:rsidRDefault="00B00403" w:rsidP="00EB4E86">
            <w:pPr>
              <w:spacing w:before="60" w:after="60"/>
              <w:jc w:val="center"/>
              <w:rPr>
                <w:noProof/>
              </w:rPr>
            </w:pPr>
            <w:r w:rsidRPr="004E329E">
              <w:rPr>
                <w:noProof/>
              </w:rPr>
              <w:t>5 206</w:t>
            </w:r>
          </w:p>
        </w:tc>
        <w:tc>
          <w:tcPr>
            <w:tcW w:w="1548" w:type="dxa"/>
            <w:tcBorders>
              <w:top w:val="single" w:sz="4" w:space="0" w:color="auto"/>
              <w:left w:val="single" w:sz="4" w:space="0" w:color="auto"/>
              <w:bottom w:val="single" w:sz="4" w:space="0" w:color="auto"/>
              <w:right w:val="nil"/>
            </w:tcBorders>
            <w:vAlign w:val="center"/>
            <w:hideMark/>
          </w:tcPr>
          <w:p w:rsidR="00CB770A" w:rsidRPr="004E329E" w:rsidRDefault="00B00403" w:rsidP="00EB4E86">
            <w:pPr>
              <w:spacing w:before="60" w:after="60"/>
              <w:jc w:val="center"/>
              <w:rPr>
                <w:noProof/>
              </w:rPr>
            </w:pPr>
            <w:r w:rsidRPr="004E329E">
              <w:rPr>
                <w:noProof/>
              </w:rPr>
              <w:t>312 355</w:t>
            </w:r>
          </w:p>
        </w:tc>
      </w:tr>
      <w:tr w:rsidR="00CB770A" w:rsidRPr="004E329E" w:rsidTr="00EB4E86">
        <w:trPr>
          <w:trHeight w:val="802"/>
        </w:trPr>
        <w:tc>
          <w:tcPr>
            <w:tcW w:w="4644" w:type="dxa"/>
            <w:tcBorders>
              <w:top w:val="single" w:sz="4" w:space="0" w:color="auto"/>
              <w:left w:val="nil"/>
              <w:bottom w:val="single" w:sz="4" w:space="0" w:color="auto"/>
              <w:right w:val="single" w:sz="4" w:space="0" w:color="auto"/>
            </w:tcBorders>
            <w:vAlign w:val="center"/>
            <w:hideMark/>
          </w:tcPr>
          <w:p w:rsidR="00CB770A" w:rsidRPr="00270304" w:rsidRDefault="00F84783" w:rsidP="008E0467">
            <w:pPr>
              <w:spacing w:before="60" w:after="60"/>
              <w:jc w:val="left"/>
              <w:rPr>
                <w:noProof/>
                <w:lang w:val="en-US"/>
              </w:rPr>
            </w:pPr>
            <w:r w:rsidRPr="00270304">
              <w:rPr>
                <w:noProof/>
                <w:lang w:val="en-US"/>
              </w:rPr>
              <w:t>Formation et reconversion</w:t>
            </w:r>
            <w:r w:rsidRPr="00270304">
              <w:rPr>
                <w:noProof/>
                <w:lang w:val="en-US"/>
              </w:rPr>
              <w:br/>
              <w:t>(</w:t>
            </w:r>
            <w:r w:rsidRPr="00270304">
              <w:rPr>
                <w:i/>
                <w:noProof/>
                <w:lang w:val="en-US"/>
              </w:rPr>
              <w:t>Opleiding eigen beheer, opleiding SIF, opleiding bij partners)</w:t>
            </w:r>
            <w:r w:rsidRPr="00270304">
              <w:rPr>
                <w:noProof/>
                <w:lang w:val="en-US"/>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4E329E" w:rsidRDefault="00FA048A" w:rsidP="00EB4E86">
            <w:pPr>
              <w:spacing w:before="60" w:after="60"/>
              <w:jc w:val="center"/>
              <w:rPr>
                <w:noProof/>
              </w:rPr>
            </w:pPr>
            <w:r w:rsidRPr="004E329E">
              <w:rPr>
                <w:noProof/>
              </w:rPr>
              <w:t>65</w:t>
            </w:r>
          </w:p>
        </w:tc>
        <w:tc>
          <w:tcPr>
            <w:tcW w:w="1548" w:type="dxa"/>
            <w:tcBorders>
              <w:top w:val="single" w:sz="4" w:space="0" w:color="auto"/>
              <w:left w:val="single" w:sz="4" w:space="0" w:color="auto"/>
              <w:bottom w:val="single" w:sz="4" w:space="0" w:color="auto"/>
              <w:right w:val="single" w:sz="4" w:space="0" w:color="auto"/>
            </w:tcBorders>
            <w:vAlign w:val="center"/>
            <w:hideMark/>
          </w:tcPr>
          <w:p w:rsidR="00CB770A" w:rsidRPr="004E329E" w:rsidRDefault="00FA048A" w:rsidP="00EB4E86">
            <w:pPr>
              <w:spacing w:before="60" w:after="60"/>
              <w:jc w:val="center"/>
              <w:rPr>
                <w:noProof/>
              </w:rPr>
            </w:pPr>
            <w:r w:rsidRPr="004E329E">
              <w:rPr>
                <w:noProof/>
              </w:rPr>
              <w:t>6 874</w:t>
            </w:r>
          </w:p>
        </w:tc>
        <w:tc>
          <w:tcPr>
            <w:tcW w:w="1548" w:type="dxa"/>
            <w:tcBorders>
              <w:top w:val="single" w:sz="4" w:space="0" w:color="auto"/>
              <w:left w:val="single" w:sz="4" w:space="0" w:color="auto"/>
              <w:bottom w:val="single" w:sz="4" w:space="0" w:color="auto"/>
              <w:right w:val="nil"/>
            </w:tcBorders>
            <w:vAlign w:val="center"/>
            <w:hideMark/>
          </w:tcPr>
          <w:p w:rsidR="00CB770A" w:rsidRPr="004E329E" w:rsidRDefault="00FA048A" w:rsidP="00EB4E86">
            <w:pPr>
              <w:spacing w:before="60" w:after="60"/>
              <w:jc w:val="center"/>
              <w:rPr>
                <w:noProof/>
              </w:rPr>
            </w:pPr>
            <w:r w:rsidRPr="004E329E">
              <w:rPr>
                <w:noProof/>
              </w:rPr>
              <w:t>446 809</w:t>
            </w:r>
          </w:p>
        </w:tc>
      </w:tr>
      <w:tr w:rsidR="00F84783" w:rsidRPr="004E329E" w:rsidTr="00F84783">
        <w:trPr>
          <w:trHeight w:val="802"/>
        </w:trPr>
        <w:tc>
          <w:tcPr>
            <w:tcW w:w="4644" w:type="dxa"/>
            <w:tcBorders>
              <w:top w:val="single" w:sz="4" w:space="0" w:color="auto"/>
              <w:left w:val="nil"/>
              <w:bottom w:val="single" w:sz="4" w:space="0" w:color="auto"/>
              <w:right w:val="single" w:sz="4" w:space="0" w:color="auto"/>
            </w:tcBorders>
            <w:vAlign w:val="center"/>
            <w:hideMark/>
          </w:tcPr>
          <w:p w:rsidR="00F84783" w:rsidRPr="004E329E" w:rsidRDefault="00B63616" w:rsidP="00DE59FC">
            <w:pPr>
              <w:spacing w:before="60" w:after="60"/>
              <w:jc w:val="left"/>
              <w:rPr>
                <w:noProof/>
              </w:rPr>
            </w:pPr>
            <w:r w:rsidRPr="004E329E">
              <w:rPr>
                <w:noProof/>
              </w:rPr>
              <w:t>Formation sur le lieu de travail</w:t>
            </w:r>
            <w:r w:rsidRPr="004E329E">
              <w:rPr>
                <w:noProof/>
              </w:rPr>
              <w:br/>
              <w:t>(</w:t>
            </w:r>
            <w:r w:rsidRPr="004E329E">
              <w:rPr>
                <w:i/>
                <w:noProof/>
              </w:rPr>
              <w:t>Opleiding in de onderneming (IBO)</w:t>
            </w:r>
            <w:r w:rsidRPr="004E329E">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F84783" w:rsidRPr="004E329E" w:rsidRDefault="00B00403" w:rsidP="00DE59FC">
            <w:pPr>
              <w:spacing w:before="60" w:after="60"/>
              <w:jc w:val="center"/>
              <w:rPr>
                <w:noProof/>
              </w:rPr>
            </w:pPr>
            <w:r w:rsidRPr="004E329E">
              <w:rPr>
                <w:noProof/>
              </w:rPr>
              <w:t>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F84783" w:rsidRPr="004E329E" w:rsidRDefault="00B00403" w:rsidP="00DE59FC">
            <w:pPr>
              <w:spacing w:before="60" w:after="60"/>
              <w:jc w:val="center"/>
              <w:rPr>
                <w:noProof/>
              </w:rPr>
            </w:pPr>
            <w:r w:rsidRPr="004E329E">
              <w:rPr>
                <w:noProof/>
              </w:rPr>
              <w:t>960</w:t>
            </w:r>
          </w:p>
        </w:tc>
        <w:tc>
          <w:tcPr>
            <w:tcW w:w="1548" w:type="dxa"/>
            <w:tcBorders>
              <w:top w:val="single" w:sz="4" w:space="0" w:color="auto"/>
              <w:left w:val="single" w:sz="4" w:space="0" w:color="auto"/>
              <w:bottom w:val="single" w:sz="4" w:space="0" w:color="auto"/>
              <w:right w:val="nil"/>
            </w:tcBorders>
            <w:vAlign w:val="center"/>
            <w:hideMark/>
          </w:tcPr>
          <w:p w:rsidR="00F84783" w:rsidRPr="004E329E" w:rsidRDefault="00B00403" w:rsidP="00DE59FC">
            <w:pPr>
              <w:spacing w:before="60" w:after="60"/>
              <w:jc w:val="center"/>
              <w:rPr>
                <w:noProof/>
              </w:rPr>
            </w:pPr>
            <w:r w:rsidRPr="004E329E">
              <w:rPr>
                <w:noProof/>
              </w:rPr>
              <w:t>9 600</w:t>
            </w:r>
          </w:p>
        </w:tc>
      </w:tr>
      <w:tr w:rsidR="001A62D7" w:rsidRPr="004E329E" w:rsidTr="008E0467">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E329E" w:rsidRDefault="00F84783" w:rsidP="008E0467">
            <w:pPr>
              <w:spacing w:before="60" w:after="60"/>
              <w:jc w:val="left"/>
              <w:rPr>
                <w:noProof/>
              </w:rPr>
            </w:pPr>
            <w:r w:rsidRPr="004E329E">
              <w:rPr>
                <w:noProof/>
              </w:rPr>
              <w:br/>
              <w:t>Bourse de l’emploi</w:t>
            </w:r>
            <w:r w:rsidRPr="004E329E">
              <w:rPr>
                <w:noProof/>
              </w:rPr>
              <w:br/>
              <w:t>(</w:t>
            </w:r>
            <w:r w:rsidRPr="004E329E">
              <w:rPr>
                <w:i/>
                <w:noProof/>
              </w:rPr>
              <w:t>Jobbeurs)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F26AB0">
            <w:pPr>
              <w:spacing w:before="60" w:after="60"/>
              <w:jc w:val="center"/>
              <w:rPr>
                <w:noProof/>
              </w:rPr>
            </w:pPr>
            <w:r w:rsidRPr="004E329E">
              <w:rPr>
                <w:noProof/>
              </w:rPr>
              <w:t>44</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F26AB0">
            <w:pPr>
              <w:spacing w:before="60" w:after="60"/>
              <w:jc w:val="center"/>
              <w:rPr>
                <w:noProof/>
              </w:rPr>
            </w:pPr>
            <w:r w:rsidRPr="004E329E">
              <w:rPr>
                <w:noProof/>
              </w:rPr>
              <w:t>8</w:t>
            </w:r>
          </w:p>
        </w:tc>
        <w:tc>
          <w:tcPr>
            <w:tcW w:w="1548" w:type="dxa"/>
            <w:tcBorders>
              <w:top w:val="single" w:sz="4" w:space="0" w:color="auto"/>
              <w:left w:val="single" w:sz="4" w:space="0" w:color="auto"/>
              <w:bottom w:val="single" w:sz="4" w:space="0" w:color="auto"/>
              <w:right w:val="nil"/>
            </w:tcBorders>
            <w:vAlign w:val="center"/>
            <w:hideMark/>
          </w:tcPr>
          <w:p w:rsidR="001A62D7" w:rsidRPr="004E329E" w:rsidRDefault="00B00403" w:rsidP="00F26AB0">
            <w:pPr>
              <w:spacing w:before="60" w:after="60"/>
              <w:jc w:val="center"/>
              <w:rPr>
                <w:noProof/>
              </w:rPr>
            </w:pPr>
            <w:r w:rsidRPr="004E329E">
              <w:rPr>
                <w:noProof/>
              </w:rPr>
              <w:t>350</w:t>
            </w:r>
          </w:p>
        </w:tc>
      </w:tr>
      <w:tr w:rsidR="001A62D7" w:rsidRPr="004E329E" w:rsidTr="008E0467">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4E329E" w:rsidRDefault="00CB770A" w:rsidP="008E0467">
            <w:pPr>
              <w:spacing w:before="60" w:after="60"/>
              <w:jc w:val="left"/>
              <w:rPr>
                <w:noProof/>
              </w:rPr>
            </w:pPr>
            <w:r w:rsidRPr="004E329E">
              <w:rPr>
                <w:noProof/>
              </w:rPr>
              <w:t>Recherche d’emploi et mise en adéquation de l’offre et de la demande d’emploi</w:t>
            </w:r>
            <w:r w:rsidRPr="004E329E">
              <w:rPr>
                <w:noProof/>
              </w:rPr>
              <w:br/>
              <w:t>(</w:t>
            </w:r>
            <w:r w:rsidRPr="004E329E">
              <w:rPr>
                <w:i/>
                <w:noProof/>
              </w:rPr>
              <w:t>Big recruitment)</w:t>
            </w:r>
            <w:r w:rsidRPr="004E329E">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60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4E329E" w:rsidRDefault="00B00403" w:rsidP="001D5990">
            <w:pPr>
              <w:spacing w:before="60" w:after="60"/>
              <w:jc w:val="center"/>
              <w:rPr>
                <w:noProof/>
              </w:rPr>
            </w:pPr>
            <w:r w:rsidRPr="004E329E">
              <w:rPr>
                <w:noProof/>
              </w:rPr>
              <w:t>3 044</w:t>
            </w:r>
          </w:p>
        </w:tc>
        <w:tc>
          <w:tcPr>
            <w:tcW w:w="1548" w:type="dxa"/>
            <w:tcBorders>
              <w:top w:val="single" w:sz="4" w:space="0" w:color="auto"/>
              <w:left w:val="single" w:sz="4" w:space="0" w:color="auto"/>
              <w:bottom w:val="single" w:sz="4" w:space="0" w:color="auto"/>
              <w:right w:val="nil"/>
            </w:tcBorders>
            <w:vAlign w:val="center"/>
            <w:hideMark/>
          </w:tcPr>
          <w:p w:rsidR="001A62D7" w:rsidRPr="004E329E" w:rsidRDefault="00B00403" w:rsidP="001D5990">
            <w:pPr>
              <w:spacing w:before="60" w:after="60"/>
              <w:jc w:val="center"/>
              <w:rPr>
                <w:noProof/>
              </w:rPr>
            </w:pPr>
            <w:r w:rsidRPr="004E329E">
              <w:rPr>
                <w:noProof/>
              </w:rPr>
              <w:t>182 650</w:t>
            </w:r>
          </w:p>
        </w:tc>
      </w:tr>
      <w:tr w:rsidR="001A62D7" w:rsidRPr="004E329E" w:rsidTr="001D5990">
        <w:trPr>
          <w:trHeight w:val="398"/>
        </w:trPr>
        <w:tc>
          <w:tcPr>
            <w:tcW w:w="4644" w:type="dxa"/>
            <w:vMerge w:val="restart"/>
            <w:shd w:val="clear" w:color="auto" w:fill="auto"/>
            <w:vAlign w:val="center"/>
          </w:tcPr>
          <w:p w:rsidR="001A62D7" w:rsidRPr="004E329E" w:rsidRDefault="001A62D7" w:rsidP="001D5990">
            <w:pPr>
              <w:spacing w:before="60" w:after="60"/>
              <w:jc w:val="right"/>
              <w:rPr>
                <w:rFonts w:eastAsia="Times New Roman"/>
                <w:noProof/>
                <w:sz w:val="22"/>
              </w:rPr>
            </w:pPr>
            <w:r w:rsidRPr="004E329E">
              <w:rPr>
                <w:noProof/>
                <w:sz w:val="22"/>
              </w:rPr>
              <w:t>Sous-total a):</w:t>
            </w:r>
          </w:p>
          <w:p w:rsidR="001A62D7" w:rsidRPr="004E329E" w:rsidRDefault="001A62D7" w:rsidP="001D5990">
            <w:pPr>
              <w:spacing w:before="60" w:after="60"/>
              <w:jc w:val="right"/>
              <w:rPr>
                <w:rFonts w:eastAsia="Times New Roman"/>
                <w:noProof/>
                <w:sz w:val="22"/>
              </w:rPr>
            </w:pPr>
            <w:r w:rsidRPr="004E329E">
              <w:rPr>
                <w:noProof/>
                <w:sz w:val="22"/>
              </w:rPr>
              <w:t xml:space="preserve">Pourcentage de l’ensemble coordonné de services personnalisés: </w:t>
            </w:r>
          </w:p>
        </w:tc>
        <w:tc>
          <w:tcPr>
            <w:tcW w:w="3096" w:type="dxa"/>
            <w:gridSpan w:val="2"/>
            <w:vMerge w:val="restart"/>
            <w:shd w:val="clear" w:color="auto" w:fill="D9D9D9"/>
            <w:vAlign w:val="center"/>
          </w:tcPr>
          <w:p w:rsidR="001A62D7" w:rsidRPr="004E329E" w:rsidRDefault="001A62D7" w:rsidP="001D5990">
            <w:pPr>
              <w:spacing w:before="60" w:after="60"/>
              <w:jc w:val="center"/>
              <w:rPr>
                <w:rFonts w:eastAsia="Times New Roman"/>
                <w:noProof/>
                <w:sz w:val="22"/>
              </w:rPr>
            </w:pPr>
            <w:r w:rsidRPr="004E329E">
              <w:rPr>
                <w:noProof/>
                <w:sz w:val="22"/>
              </w:rPr>
              <w:t>–</w:t>
            </w:r>
          </w:p>
        </w:tc>
        <w:tc>
          <w:tcPr>
            <w:tcW w:w="1548" w:type="dxa"/>
            <w:tcBorders>
              <w:bottom w:val="nil"/>
            </w:tcBorders>
            <w:shd w:val="clear" w:color="auto" w:fill="auto"/>
            <w:vAlign w:val="center"/>
          </w:tcPr>
          <w:p w:rsidR="001A62D7" w:rsidRPr="004E329E" w:rsidRDefault="00885564" w:rsidP="001D5990">
            <w:pPr>
              <w:spacing w:before="60" w:after="60"/>
              <w:jc w:val="center"/>
              <w:rPr>
                <w:rFonts w:eastAsia="Times New Roman"/>
                <w:noProof/>
                <w:sz w:val="22"/>
              </w:rPr>
            </w:pPr>
            <w:r w:rsidRPr="004E329E">
              <w:rPr>
                <w:noProof/>
              </w:rPr>
              <w:t>1 843 500</w:t>
            </w:r>
          </w:p>
        </w:tc>
      </w:tr>
      <w:tr w:rsidR="001A62D7" w:rsidRPr="004E329E" w:rsidTr="001D5990">
        <w:trPr>
          <w:trHeight w:val="397"/>
        </w:trPr>
        <w:tc>
          <w:tcPr>
            <w:tcW w:w="4644" w:type="dxa"/>
            <w:vMerge/>
            <w:shd w:val="clear" w:color="auto" w:fill="auto"/>
            <w:vAlign w:val="center"/>
          </w:tcPr>
          <w:p w:rsidR="001A62D7" w:rsidRPr="004E329E"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4E329E"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4E329E" w:rsidRDefault="001A62D7" w:rsidP="001D5990">
            <w:pPr>
              <w:spacing w:before="60" w:after="60"/>
              <w:jc w:val="center"/>
              <w:rPr>
                <w:rFonts w:eastAsia="Times New Roman"/>
                <w:noProof/>
                <w:sz w:val="22"/>
              </w:rPr>
            </w:pPr>
            <w:r w:rsidRPr="004E329E">
              <w:rPr>
                <w:noProof/>
                <w:sz w:val="22"/>
              </w:rPr>
              <w:t>(</w:t>
            </w:r>
            <w:r w:rsidRPr="004E329E">
              <w:rPr>
                <w:noProof/>
              </w:rPr>
              <w:t>96,57 </w:t>
            </w:r>
            <w:r w:rsidRPr="004E329E">
              <w:rPr>
                <w:noProof/>
                <w:sz w:val="22"/>
              </w:rPr>
              <w:t>%)</w:t>
            </w:r>
          </w:p>
        </w:tc>
      </w:tr>
      <w:tr w:rsidR="001A62D7" w:rsidRPr="004E329E" w:rsidTr="001D5990">
        <w:tc>
          <w:tcPr>
            <w:tcW w:w="9288" w:type="dxa"/>
            <w:gridSpan w:val="4"/>
            <w:shd w:val="clear" w:color="auto" w:fill="auto"/>
            <w:vAlign w:val="center"/>
          </w:tcPr>
          <w:p w:rsidR="001A62D7" w:rsidRPr="004E329E" w:rsidRDefault="001A62D7" w:rsidP="001D5990">
            <w:pPr>
              <w:spacing w:before="60" w:after="60"/>
              <w:jc w:val="left"/>
              <w:rPr>
                <w:rFonts w:eastAsia="Times New Roman"/>
                <w:noProof/>
                <w:sz w:val="22"/>
              </w:rPr>
            </w:pPr>
            <w:r w:rsidRPr="004E329E">
              <w:rPr>
                <w:noProof/>
                <w:sz w:val="22"/>
              </w:rPr>
              <w:t>Activités relevant de l’article 7, paragraphe 5, du règlement (UE) 2021/691</w:t>
            </w:r>
          </w:p>
        </w:tc>
      </w:tr>
      <w:tr w:rsidR="001A62D7" w:rsidRPr="004E329E" w:rsidTr="001D5990">
        <w:tc>
          <w:tcPr>
            <w:tcW w:w="4644" w:type="dxa"/>
            <w:shd w:val="clear" w:color="auto" w:fill="auto"/>
          </w:tcPr>
          <w:p w:rsidR="001A62D7" w:rsidRPr="004E329E" w:rsidRDefault="001A62D7" w:rsidP="001D5990">
            <w:pPr>
              <w:spacing w:before="60" w:after="60"/>
              <w:ind w:left="284"/>
              <w:jc w:val="left"/>
              <w:rPr>
                <w:rFonts w:eastAsia="Times New Roman"/>
                <w:noProof/>
                <w:sz w:val="22"/>
              </w:rPr>
            </w:pPr>
            <w:r w:rsidRPr="004E329E">
              <w:rPr>
                <w:noProof/>
                <w:sz w:val="22"/>
              </w:rPr>
              <w:t>1. Activités de préparation</w:t>
            </w:r>
          </w:p>
        </w:tc>
        <w:tc>
          <w:tcPr>
            <w:tcW w:w="3096" w:type="dxa"/>
            <w:gridSpan w:val="2"/>
            <w:shd w:val="clear" w:color="auto" w:fill="D9D9D9"/>
            <w:vAlign w:val="center"/>
          </w:tcPr>
          <w:p w:rsidR="001A62D7" w:rsidRPr="004E329E" w:rsidRDefault="001A62D7" w:rsidP="001D5990">
            <w:pPr>
              <w:spacing w:before="60" w:after="60"/>
              <w:jc w:val="center"/>
              <w:rPr>
                <w:rFonts w:eastAsia="Times New Roman"/>
                <w:noProof/>
                <w:sz w:val="22"/>
              </w:rPr>
            </w:pPr>
            <w:r w:rsidRPr="004E329E">
              <w:rPr>
                <w:noProof/>
                <w:sz w:val="22"/>
              </w:rPr>
              <w:t>–</w:t>
            </w:r>
          </w:p>
        </w:tc>
        <w:tc>
          <w:tcPr>
            <w:tcW w:w="1548" w:type="dxa"/>
            <w:shd w:val="clear" w:color="auto" w:fill="auto"/>
          </w:tcPr>
          <w:p w:rsidR="001A62D7" w:rsidRPr="004E329E" w:rsidRDefault="00885564" w:rsidP="001D5990">
            <w:pPr>
              <w:spacing w:before="60" w:after="60"/>
              <w:jc w:val="center"/>
              <w:rPr>
                <w:rFonts w:eastAsia="Times New Roman"/>
                <w:noProof/>
                <w:sz w:val="22"/>
              </w:rPr>
            </w:pPr>
            <w:r w:rsidRPr="004E329E">
              <w:rPr>
                <w:noProof/>
              </w:rPr>
              <w:t>35 000</w:t>
            </w:r>
          </w:p>
        </w:tc>
      </w:tr>
      <w:tr w:rsidR="001A62D7" w:rsidRPr="004E329E" w:rsidTr="001D5990">
        <w:tc>
          <w:tcPr>
            <w:tcW w:w="4644" w:type="dxa"/>
            <w:shd w:val="clear" w:color="auto" w:fill="auto"/>
          </w:tcPr>
          <w:p w:rsidR="001A62D7" w:rsidRPr="004E329E" w:rsidRDefault="001A62D7" w:rsidP="001D5990">
            <w:pPr>
              <w:spacing w:before="60" w:after="60"/>
              <w:ind w:left="284"/>
              <w:jc w:val="left"/>
              <w:rPr>
                <w:rFonts w:eastAsia="Times New Roman"/>
                <w:noProof/>
                <w:sz w:val="22"/>
              </w:rPr>
            </w:pPr>
            <w:r w:rsidRPr="004E329E">
              <w:rPr>
                <w:noProof/>
                <w:sz w:val="22"/>
              </w:rPr>
              <w:t>2. Activités de gestion</w:t>
            </w:r>
          </w:p>
        </w:tc>
        <w:tc>
          <w:tcPr>
            <w:tcW w:w="3096" w:type="dxa"/>
            <w:gridSpan w:val="2"/>
            <w:shd w:val="clear" w:color="auto" w:fill="D9D9D9"/>
            <w:vAlign w:val="center"/>
          </w:tcPr>
          <w:p w:rsidR="001A62D7" w:rsidRPr="004E329E" w:rsidRDefault="001A62D7" w:rsidP="001D5990">
            <w:pPr>
              <w:spacing w:before="60" w:after="60"/>
              <w:jc w:val="center"/>
              <w:rPr>
                <w:rFonts w:eastAsia="Times New Roman"/>
                <w:noProof/>
                <w:sz w:val="22"/>
              </w:rPr>
            </w:pPr>
            <w:r w:rsidRPr="004E329E">
              <w:rPr>
                <w:noProof/>
                <w:sz w:val="22"/>
              </w:rPr>
              <w:t>–</w:t>
            </w:r>
          </w:p>
        </w:tc>
        <w:tc>
          <w:tcPr>
            <w:tcW w:w="1548" w:type="dxa"/>
            <w:shd w:val="clear" w:color="auto" w:fill="auto"/>
          </w:tcPr>
          <w:p w:rsidR="001A62D7" w:rsidRPr="004E329E" w:rsidRDefault="00885564" w:rsidP="001D5990">
            <w:pPr>
              <w:spacing w:before="60" w:after="60"/>
              <w:jc w:val="center"/>
              <w:rPr>
                <w:rFonts w:eastAsia="Times New Roman"/>
                <w:noProof/>
                <w:sz w:val="22"/>
              </w:rPr>
            </w:pPr>
            <w:r w:rsidRPr="004E329E">
              <w:rPr>
                <w:noProof/>
              </w:rPr>
              <w:t>3 000</w:t>
            </w:r>
          </w:p>
        </w:tc>
      </w:tr>
      <w:tr w:rsidR="001A62D7" w:rsidRPr="004E329E" w:rsidTr="001D5990">
        <w:tc>
          <w:tcPr>
            <w:tcW w:w="4644" w:type="dxa"/>
            <w:shd w:val="clear" w:color="auto" w:fill="auto"/>
          </w:tcPr>
          <w:p w:rsidR="001A62D7" w:rsidRPr="004E329E" w:rsidRDefault="001A62D7" w:rsidP="001D5990">
            <w:pPr>
              <w:spacing w:before="60" w:after="60"/>
              <w:ind w:left="284"/>
              <w:jc w:val="left"/>
              <w:rPr>
                <w:rFonts w:eastAsia="Times New Roman"/>
                <w:noProof/>
                <w:sz w:val="22"/>
              </w:rPr>
            </w:pPr>
            <w:r w:rsidRPr="004E329E">
              <w:rPr>
                <w:noProof/>
                <w:sz w:val="22"/>
              </w:rPr>
              <w:t>3. Activités d’information et de publicité</w:t>
            </w:r>
          </w:p>
        </w:tc>
        <w:tc>
          <w:tcPr>
            <w:tcW w:w="3096" w:type="dxa"/>
            <w:gridSpan w:val="2"/>
            <w:shd w:val="clear" w:color="auto" w:fill="D9D9D9"/>
            <w:vAlign w:val="center"/>
          </w:tcPr>
          <w:p w:rsidR="001A62D7" w:rsidRPr="004E329E" w:rsidRDefault="001A62D7" w:rsidP="001D5990">
            <w:pPr>
              <w:spacing w:before="60" w:after="60"/>
              <w:jc w:val="center"/>
              <w:rPr>
                <w:rFonts w:eastAsia="Times New Roman"/>
                <w:noProof/>
                <w:sz w:val="22"/>
              </w:rPr>
            </w:pPr>
            <w:r w:rsidRPr="004E329E">
              <w:rPr>
                <w:noProof/>
                <w:sz w:val="22"/>
              </w:rPr>
              <w:t>–</w:t>
            </w:r>
          </w:p>
        </w:tc>
        <w:tc>
          <w:tcPr>
            <w:tcW w:w="1548" w:type="dxa"/>
            <w:shd w:val="clear" w:color="auto" w:fill="auto"/>
          </w:tcPr>
          <w:p w:rsidR="001A62D7" w:rsidRPr="004E329E" w:rsidRDefault="00885564" w:rsidP="001D5990">
            <w:pPr>
              <w:spacing w:before="60" w:after="60"/>
              <w:jc w:val="center"/>
              <w:rPr>
                <w:rFonts w:eastAsia="Times New Roman"/>
                <w:noProof/>
                <w:sz w:val="22"/>
              </w:rPr>
            </w:pPr>
            <w:r w:rsidRPr="004E329E">
              <w:rPr>
                <w:noProof/>
              </w:rPr>
              <w:t>2 500</w:t>
            </w:r>
          </w:p>
        </w:tc>
      </w:tr>
      <w:tr w:rsidR="001A62D7" w:rsidRPr="004E329E" w:rsidTr="001D5990">
        <w:tc>
          <w:tcPr>
            <w:tcW w:w="4644" w:type="dxa"/>
            <w:shd w:val="clear" w:color="auto" w:fill="auto"/>
          </w:tcPr>
          <w:p w:rsidR="001A62D7" w:rsidRPr="004E329E" w:rsidRDefault="001A62D7" w:rsidP="001D5990">
            <w:pPr>
              <w:spacing w:before="60" w:after="60"/>
              <w:ind w:left="284"/>
              <w:jc w:val="left"/>
              <w:rPr>
                <w:rFonts w:eastAsia="Times New Roman"/>
                <w:noProof/>
                <w:sz w:val="22"/>
              </w:rPr>
            </w:pPr>
            <w:r w:rsidRPr="004E329E">
              <w:rPr>
                <w:noProof/>
                <w:sz w:val="22"/>
              </w:rPr>
              <w:t>4. Activités de contrôle et de rapport</w:t>
            </w:r>
          </w:p>
        </w:tc>
        <w:tc>
          <w:tcPr>
            <w:tcW w:w="3096" w:type="dxa"/>
            <w:gridSpan w:val="2"/>
            <w:shd w:val="clear" w:color="auto" w:fill="D9D9D9"/>
            <w:vAlign w:val="center"/>
          </w:tcPr>
          <w:p w:rsidR="001A62D7" w:rsidRPr="004E329E" w:rsidRDefault="001A62D7" w:rsidP="001D5990">
            <w:pPr>
              <w:spacing w:before="60" w:after="60"/>
              <w:jc w:val="center"/>
              <w:rPr>
                <w:rFonts w:eastAsia="Times New Roman"/>
                <w:noProof/>
                <w:sz w:val="22"/>
              </w:rPr>
            </w:pPr>
            <w:r w:rsidRPr="004E329E">
              <w:rPr>
                <w:noProof/>
                <w:sz w:val="22"/>
              </w:rPr>
              <w:t>–</w:t>
            </w:r>
          </w:p>
        </w:tc>
        <w:tc>
          <w:tcPr>
            <w:tcW w:w="1548" w:type="dxa"/>
            <w:tcBorders>
              <w:bottom w:val="single" w:sz="4" w:space="0" w:color="auto"/>
            </w:tcBorders>
            <w:shd w:val="clear" w:color="auto" w:fill="auto"/>
          </w:tcPr>
          <w:p w:rsidR="001A62D7" w:rsidRPr="004E329E" w:rsidRDefault="00885564" w:rsidP="001D5990">
            <w:pPr>
              <w:spacing w:before="60" w:after="60"/>
              <w:jc w:val="center"/>
              <w:rPr>
                <w:rFonts w:eastAsia="Times New Roman"/>
                <w:noProof/>
                <w:sz w:val="22"/>
              </w:rPr>
            </w:pPr>
            <w:r w:rsidRPr="004E329E">
              <w:rPr>
                <w:noProof/>
              </w:rPr>
              <w:t>25 000</w:t>
            </w:r>
          </w:p>
        </w:tc>
      </w:tr>
      <w:tr w:rsidR="001A62D7" w:rsidRPr="004E329E" w:rsidTr="001D5990">
        <w:trPr>
          <w:trHeight w:val="203"/>
        </w:trPr>
        <w:tc>
          <w:tcPr>
            <w:tcW w:w="4644" w:type="dxa"/>
            <w:vMerge w:val="restart"/>
            <w:shd w:val="clear" w:color="auto" w:fill="auto"/>
            <w:vAlign w:val="center"/>
          </w:tcPr>
          <w:p w:rsidR="001A62D7" w:rsidRPr="004E329E" w:rsidRDefault="001A62D7" w:rsidP="001D5990">
            <w:pPr>
              <w:spacing w:before="60" w:after="60"/>
              <w:jc w:val="right"/>
              <w:rPr>
                <w:rFonts w:eastAsia="Times New Roman"/>
                <w:noProof/>
                <w:sz w:val="22"/>
              </w:rPr>
            </w:pPr>
            <w:r w:rsidRPr="004E329E">
              <w:rPr>
                <w:noProof/>
                <w:sz w:val="22"/>
              </w:rPr>
              <w:t>Sous-total b):</w:t>
            </w:r>
          </w:p>
          <w:p w:rsidR="001A62D7" w:rsidRPr="004E329E" w:rsidRDefault="001A62D7" w:rsidP="001D5990">
            <w:pPr>
              <w:spacing w:before="60" w:after="60"/>
              <w:jc w:val="right"/>
              <w:rPr>
                <w:rFonts w:eastAsia="Times New Roman"/>
                <w:noProof/>
                <w:sz w:val="22"/>
              </w:rPr>
            </w:pPr>
            <w:r w:rsidRPr="004E329E">
              <w:rPr>
                <w:noProof/>
                <w:sz w:val="22"/>
              </w:rPr>
              <w:t>Pourcentage du coût total:</w:t>
            </w:r>
          </w:p>
        </w:tc>
        <w:tc>
          <w:tcPr>
            <w:tcW w:w="3096" w:type="dxa"/>
            <w:gridSpan w:val="2"/>
            <w:vMerge w:val="restart"/>
            <w:shd w:val="clear" w:color="auto" w:fill="D9D9D9"/>
            <w:vAlign w:val="center"/>
          </w:tcPr>
          <w:p w:rsidR="001A62D7" w:rsidRPr="004E329E" w:rsidRDefault="001A62D7" w:rsidP="001D5990">
            <w:pPr>
              <w:spacing w:before="0" w:after="0"/>
              <w:jc w:val="center"/>
              <w:rPr>
                <w:rFonts w:eastAsia="Times New Roman"/>
                <w:noProof/>
                <w:sz w:val="22"/>
              </w:rPr>
            </w:pPr>
            <w:r w:rsidRPr="004E329E">
              <w:rPr>
                <w:noProof/>
                <w:sz w:val="22"/>
              </w:rPr>
              <w:t>–</w:t>
            </w:r>
          </w:p>
        </w:tc>
        <w:tc>
          <w:tcPr>
            <w:tcW w:w="1548" w:type="dxa"/>
            <w:tcBorders>
              <w:bottom w:val="nil"/>
            </w:tcBorders>
            <w:shd w:val="clear" w:color="auto" w:fill="auto"/>
            <w:vAlign w:val="center"/>
          </w:tcPr>
          <w:p w:rsidR="001A62D7" w:rsidRPr="004E329E" w:rsidRDefault="00885564" w:rsidP="001D5990">
            <w:pPr>
              <w:spacing w:before="60" w:after="60"/>
              <w:jc w:val="center"/>
              <w:rPr>
                <w:rFonts w:eastAsia="Times New Roman"/>
                <w:noProof/>
                <w:sz w:val="22"/>
              </w:rPr>
            </w:pPr>
            <w:r w:rsidRPr="004E329E">
              <w:rPr>
                <w:noProof/>
              </w:rPr>
              <w:t>65 500</w:t>
            </w:r>
          </w:p>
        </w:tc>
      </w:tr>
      <w:tr w:rsidR="001A62D7" w:rsidRPr="004E329E" w:rsidTr="001D5990">
        <w:trPr>
          <w:trHeight w:val="202"/>
        </w:trPr>
        <w:tc>
          <w:tcPr>
            <w:tcW w:w="4644" w:type="dxa"/>
            <w:vMerge/>
            <w:shd w:val="clear" w:color="auto" w:fill="auto"/>
          </w:tcPr>
          <w:p w:rsidR="001A62D7" w:rsidRPr="004E329E"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4E329E"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4E329E" w:rsidRDefault="001A62D7" w:rsidP="001D5990">
            <w:pPr>
              <w:spacing w:before="60" w:after="60"/>
              <w:jc w:val="center"/>
              <w:rPr>
                <w:rFonts w:eastAsia="Times New Roman"/>
                <w:noProof/>
                <w:sz w:val="22"/>
              </w:rPr>
            </w:pPr>
            <w:r w:rsidRPr="004E329E">
              <w:rPr>
                <w:noProof/>
                <w:sz w:val="22"/>
              </w:rPr>
              <w:t>(</w:t>
            </w:r>
            <w:r w:rsidRPr="004E329E">
              <w:rPr>
                <w:noProof/>
              </w:rPr>
              <w:t>3,43 </w:t>
            </w:r>
            <w:r w:rsidRPr="004E329E">
              <w:rPr>
                <w:noProof/>
                <w:sz w:val="22"/>
              </w:rPr>
              <w:t>%)</w:t>
            </w:r>
          </w:p>
        </w:tc>
      </w:tr>
      <w:tr w:rsidR="001A62D7" w:rsidRPr="004E329E" w:rsidTr="001D5990">
        <w:tc>
          <w:tcPr>
            <w:tcW w:w="4644" w:type="dxa"/>
            <w:shd w:val="clear" w:color="auto" w:fill="auto"/>
          </w:tcPr>
          <w:p w:rsidR="001A62D7" w:rsidRPr="004E329E" w:rsidRDefault="001A62D7" w:rsidP="001D5990">
            <w:pPr>
              <w:spacing w:before="60" w:after="60"/>
              <w:jc w:val="left"/>
              <w:rPr>
                <w:rFonts w:eastAsia="Times New Roman"/>
                <w:noProof/>
                <w:sz w:val="22"/>
              </w:rPr>
            </w:pPr>
            <w:r w:rsidRPr="004E329E">
              <w:rPr>
                <w:noProof/>
                <w:sz w:val="22"/>
              </w:rPr>
              <w:t>Coût total (a + b):</w:t>
            </w:r>
          </w:p>
        </w:tc>
        <w:tc>
          <w:tcPr>
            <w:tcW w:w="3096" w:type="dxa"/>
            <w:gridSpan w:val="2"/>
            <w:shd w:val="clear" w:color="auto" w:fill="D9D9D9"/>
            <w:vAlign w:val="center"/>
          </w:tcPr>
          <w:p w:rsidR="001A62D7" w:rsidRPr="004E329E" w:rsidRDefault="001A62D7" w:rsidP="001D5990">
            <w:pPr>
              <w:spacing w:before="60" w:after="60"/>
              <w:jc w:val="center"/>
              <w:rPr>
                <w:rFonts w:eastAsia="Times New Roman"/>
                <w:noProof/>
                <w:sz w:val="22"/>
              </w:rPr>
            </w:pPr>
            <w:r w:rsidRPr="004E329E">
              <w:rPr>
                <w:noProof/>
                <w:sz w:val="22"/>
              </w:rPr>
              <w:t>–</w:t>
            </w:r>
          </w:p>
        </w:tc>
        <w:tc>
          <w:tcPr>
            <w:tcW w:w="1548" w:type="dxa"/>
            <w:shd w:val="clear" w:color="auto" w:fill="auto"/>
          </w:tcPr>
          <w:p w:rsidR="001A62D7" w:rsidRPr="004E329E" w:rsidRDefault="00885564" w:rsidP="001D5990">
            <w:pPr>
              <w:spacing w:before="60" w:after="60"/>
              <w:jc w:val="center"/>
              <w:rPr>
                <w:noProof/>
                <w:sz w:val="22"/>
              </w:rPr>
            </w:pPr>
            <w:r w:rsidRPr="004E329E">
              <w:rPr>
                <w:noProof/>
              </w:rPr>
              <w:t>1 909 000</w:t>
            </w:r>
          </w:p>
        </w:tc>
      </w:tr>
      <w:tr w:rsidR="001A62D7" w:rsidRPr="004E329E" w:rsidTr="001D5990">
        <w:tc>
          <w:tcPr>
            <w:tcW w:w="4644" w:type="dxa"/>
            <w:shd w:val="clear" w:color="auto" w:fill="auto"/>
          </w:tcPr>
          <w:p w:rsidR="001A62D7" w:rsidRPr="004E329E" w:rsidRDefault="001A62D7" w:rsidP="001D5990">
            <w:pPr>
              <w:spacing w:before="60" w:after="60"/>
              <w:jc w:val="left"/>
              <w:rPr>
                <w:rFonts w:eastAsia="Times New Roman"/>
                <w:noProof/>
                <w:sz w:val="22"/>
              </w:rPr>
            </w:pPr>
            <w:r w:rsidRPr="004E329E">
              <w:rPr>
                <w:noProof/>
                <w:sz w:val="22"/>
              </w:rPr>
              <w:t>Contribution du FEM (85 % du coût total)</w:t>
            </w:r>
          </w:p>
        </w:tc>
        <w:tc>
          <w:tcPr>
            <w:tcW w:w="3096" w:type="dxa"/>
            <w:gridSpan w:val="2"/>
            <w:shd w:val="clear" w:color="auto" w:fill="D9D9D9"/>
            <w:vAlign w:val="center"/>
          </w:tcPr>
          <w:p w:rsidR="001A62D7" w:rsidRPr="004E329E" w:rsidRDefault="001A62D7" w:rsidP="001D5990">
            <w:pPr>
              <w:spacing w:before="60" w:after="60"/>
              <w:jc w:val="center"/>
              <w:rPr>
                <w:rFonts w:eastAsia="Times New Roman"/>
                <w:noProof/>
                <w:sz w:val="22"/>
              </w:rPr>
            </w:pPr>
            <w:r w:rsidRPr="004E329E">
              <w:rPr>
                <w:noProof/>
                <w:sz w:val="22"/>
              </w:rPr>
              <w:t>–</w:t>
            </w:r>
          </w:p>
        </w:tc>
        <w:tc>
          <w:tcPr>
            <w:tcW w:w="1548" w:type="dxa"/>
            <w:shd w:val="clear" w:color="auto" w:fill="auto"/>
          </w:tcPr>
          <w:p w:rsidR="001A62D7" w:rsidRPr="004E329E" w:rsidRDefault="0023077F" w:rsidP="001D5990">
            <w:pPr>
              <w:spacing w:before="60" w:after="60"/>
              <w:jc w:val="center"/>
              <w:rPr>
                <w:rFonts w:eastAsia="Times New Roman"/>
                <w:noProof/>
                <w:sz w:val="22"/>
              </w:rPr>
            </w:pPr>
            <w:r w:rsidRPr="004E329E">
              <w:rPr>
                <w:noProof/>
              </w:rPr>
              <w:t>1 622 650</w:t>
            </w:r>
          </w:p>
        </w:tc>
      </w:tr>
    </w:tbl>
    <w:p w:rsidR="001A62D7" w:rsidRPr="004E329E" w:rsidRDefault="001A62D7" w:rsidP="001A62D7">
      <w:pPr>
        <w:pStyle w:val="ManualHeading3"/>
        <w:rPr>
          <w:noProof/>
        </w:rPr>
      </w:pPr>
      <w:r w:rsidRPr="004E329E">
        <w:rPr>
          <w:noProof/>
        </w:rPr>
        <w:t>Période d’éligibilité des dépenses</w:t>
      </w:r>
    </w:p>
    <w:p w:rsidR="001A62D7" w:rsidRPr="004E329E" w:rsidRDefault="006035E2" w:rsidP="006035E2">
      <w:pPr>
        <w:pStyle w:val="ManualNumPar1"/>
        <w:rPr>
          <w:noProof/>
        </w:rPr>
      </w:pPr>
      <w:r w:rsidRPr="006035E2">
        <w:rPr>
          <w:noProof/>
        </w:rPr>
        <w:t>31.</w:t>
      </w:r>
      <w:r w:rsidRPr="006035E2">
        <w:rPr>
          <w:noProof/>
        </w:rPr>
        <w:tab/>
      </w:r>
      <w:r w:rsidR="00EA2098" w:rsidRPr="004E329E">
        <w:rPr>
          <w:noProof/>
        </w:rPr>
        <w:t>La Belgique a commencé à fournir les services personnalisés aux bénéficiaires visés le 17 février 2025. Les dépenses relatives aux mesures seront donc éligibles à une contribution financière du FEM à partir du 17 février 2025 et pendant 24 mois après la date d’entrée en vigueur de la décision de financement.</w:t>
      </w:r>
    </w:p>
    <w:p w:rsidR="001A62D7" w:rsidRPr="004E329E" w:rsidRDefault="006035E2" w:rsidP="006035E2">
      <w:pPr>
        <w:pStyle w:val="ManualNumPar1"/>
        <w:rPr>
          <w:noProof/>
        </w:rPr>
      </w:pPr>
      <w:r w:rsidRPr="006035E2">
        <w:rPr>
          <w:noProof/>
        </w:rPr>
        <w:t>32.</w:t>
      </w:r>
      <w:r w:rsidRPr="006035E2">
        <w:rPr>
          <w:noProof/>
        </w:rPr>
        <w:tab/>
      </w:r>
      <w:r w:rsidR="00EA2098" w:rsidRPr="004E329E">
        <w:rPr>
          <w:noProof/>
        </w:rPr>
        <w:t xml:space="preserve">La Belgique a commencé à engager les dépenses administratives pour la mise en œuvre du FEM le 17 février 2025. Les dépenses relatives aux activités de préparation, de gestion, d’information et de publicité, ainsi que de contrôle et de rapport, peuvent donc faire l’objet d’une contribution financière du FEM à partir du 17 février 2025 et pendant 31 mois après la date d’entrée en vigueur de la décision de financement. </w:t>
      </w:r>
    </w:p>
    <w:p w:rsidR="001A62D7" w:rsidRPr="004E329E" w:rsidRDefault="001A62D7" w:rsidP="001A62D7">
      <w:pPr>
        <w:pStyle w:val="ManualHeading2"/>
        <w:rPr>
          <w:noProof/>
        </w:rPr>
      </w:pPr>
      <w:r w:rsidRPr="004E329E">
        <w:rPr>
          <w:noProof/>
        </w:rPr>
        <w:t>Systèmes de gestion et de contrôle</w:t>
      </w:r>
    </w:p>
    <w:p w:rsidR="001A62D7" w:rsidRPr="004E329E" w:rsidRDefault="006035E2" w:rsidP="006035E2">
      <w:pPr>
        <w:pStyle w:val="ManualNumPar1"/>
        <w:rPr>
          <w:noProof/>
        </w:rPr>
      </w:pPr>
      <w:r w:rsidRPr="006035E2">
        <w:rPr>
          <w:noProof/>
        </w:rPr>
        <w:t>33.</w:t>
      </w:r>
      <w:r w:rsidRPr="006035E2">
        <w:rPr>
          <w:noProof/>
        </w:rPr>
        <w:tab/>
      </w:r>
      <w:r w:rsidR="001A62D7" w:rsidRPr="004E329E">
        <w:rPr>
          <w:noProof/>
        </w:rPr>
        <w:t>La demande contient une description du système de gestion et de contrôle requis au titre de l’article 23 du règlement (UE) 2021/691, qui précise les responsabilités des organismes concernés. La Belgique a indiqué à la Commission que la contribution financière serait gérée par le VDAB. Les paiements seront effectués par le service financier du VDAB. L’autorité d’audit du FEM est le département des finances et du budget – unité d’audit de l’autorité d’audit flamande pour les Fonds structurels européens.</w:t>
      </w:r>
    </w:p>
    <w:p w:rsidR="001A62D7" w:rsidRPr="004E329E" w:rsidRDefault="001A62D7" w:rsidP="001A62D7">
      <w:pPr>
        <w:pStyle w:val="ManualHeading2"/>
        <w:rPr>
          <w:noProof/>
        </w:rPr>
      </w:pPr>
      <w:r w:rsidRPr="004E329E">
        <w:rPr>
          <w:noProof/>
        </w:rPr>
        <w:t>Engagements de l’État membre concerné</w:t>
      </w:r>
    </w:p>
    <w:p w:rsidR="001A62D7" w:rsidRPr="004E329E" w:rsidRDefault="006035E2" w:rsidP="006035E2">
      <w:pPr>
        <w:pStyle w:val="ManualNumPar1"/>
        <w:rPr>
          <w:noProof/>
        </w:rPr>
      </w:pPr>
      <w:r w:rsidRPr="006035E2">
        <w:rPr>
          <w:noProof/>
        </w:rPr>
        <w:t>34.</w:t>
      </w:r>
      <w:r w:rsidRPr="006035E2">
        <w:rPr>
          <w:noProof/>
        </w:rPr>
        <w:tab/>
      </w:r>
      <w:r w:rsidR="00D857B5" w:rsidRPr="004E329E">
        <w:rPr>
          <w:noProof/>
        </w:rPr>
        <w:t xml:space="preserve">La Belgique a apporté toutes les assurances nécessaires concernant les aspects suivants: </w:t>
      </w:r>
    </w:p>
    <w:p w:rsidR="001A62D7" w:rsidRPr="004E329E" w:rsidRDefault="001A62D7" w:rsidP="001A62D7">
      <w:pPr>
        <w:pStyle w:val="Tiret1"/>
        <w:rPr>
          <w:noProof/>
        </w:rPr>
      </w:pPr>
      <w:r w:rsidRPr="004E329E">
        <w:rPr>
          <w:noProof/>
        </w:rPr>
        <w:t>les principes d’égalité de traitement et de non-discrimination seront respectés pour l’accès aux mesures proposées et leur réalisation,</w:t>
      </w:r>
    </w:p>
    <w:p w:rsidR="001A62D7" w:rsidRPr="004E329E" w:rsidRDefault="001A62D7" w:rsidP="001A62D7">
      <w:pPr>
        <w:pStyle w:val="Tiret1"/>
        <w:rPr>
          <w:noProof/>
        </w:rPr>
      </w:pPr>
      <w:r w:rsidRPr="004E329E">
        <w:rPr>
          <w:noProof/>
        </w:rPr>
        <w:t>les exigences fixées dans la législation nationale et dans celle de l’UE concernant les licenciements collectifs ont été respectées,</w:t>
      </w:r>
    </w:p>
    <w:p w:rsidR="001A62D7" w:rsidRPr="004E329E" w:rsidRDefault="001A62D7" w:rsidP="001A62D7">
      <w:pPr>
        <w:pStyle w:val="Tiret1"/>
        <w:rPr>
          <w:noProof/>
        </w:rPr>
      </w:pPr>
      <w:r w:rsidRPr="004E329E">
        <w:rPr>
          <w:noProof/>
        </w:rPr>
        <w:t>tout double financement sera évité,</w:t>
      </w:r>
    </w:p>
    <w:p w:rsidR="001A62D7" w:rsidRPr="004E329E" w:rsidRDefault="001A62D7" w:rsidP="001A62D7">
      <w:pPr>
        <w:pStyle w:val="Tiret1"/>
        <w:rPr>
          <w:noProof/>
        </w:rPr>
      </w:pPr>
      <w:r w:rsidRPr="004E329E">
        <w:rPr>
          <w:noProof/>
        </w:rPr>
        <w:t>la contribution financière du FEM sera conforme aux règles procédurales et de fond de l’Union en matière d’aides d’État.</w:t>
      </w:r>
    </w:p>
    <w:p w:rsidR="001A62D7" w:rsidRPr="004E329E" w:rsidRDefault="001A62D7" w:rsidP="001A62D7">
      <w:pPr>
        <w:pStyle w:val="ManualHeading1"/>
        <w:rPr>
          <w:noProof/>
        </w:rPr>
      </w:pPr>
      <w:r w:rsidRPr="004E329E">
        <w:rPr>
          <w:noProof/>
        </w:rPr>
        <w:t>INCIDENCE BUDGÉTAIRE</w:t>
      </w:r>
    </w:p>
    <w:p w:rsidR="001A62D7" w:rsidRPr="004E329E" w:rsidRDefault="001A62D7" w:rsidP="001A62D7">
      <w:pPr>
        <w:pStyle w:val="ManualHeading2"/>
        <w:rPr>
          <w:noProof/>
        </w:rPr>
      </w:pPr>
      <w:r w:rsidRPr="004E329E">
        <w:rPr>
          <w:noProof/>
        </w:rPr>
        <w:t>Proposition budgétaire</w:t>
      </w:r>
    </w:p>
    <w:p w:rsidR="001A62D7" w:rsidRPr="004E329E" w:rsidRDefault="006035E2" w:rsidP="006035E2">
      <w:pPr>
        <w:pStyle w:val="ManualNumPar1"/>
        <w:rPr>
          <w:noProof/>
        </w:rPr>
      </w:pPr>
      <w:r w:rsidRPr="006035E2">
        <w:rPr>
          <w:noProof/>
        </w:rPr>
        <w:t>35.</w:t>
      </w:r>
      <w:r w:rsidRPr="006035E2">
        <w:rPr>
          <w:noProof/>
        </w:rPr>
        <w:tab/>
      </w:r>
      <w:r w:rsidR="001A62D7" w:rsidRPr="004E329E">
        <w:rPr>
          <w:noProof/>
        </w:rPr>
        <w:t>La dotation annuelle du FEM n’excède pas un montant maximal de 30 000 000 EUR (aux prix de 2018), comme le prévoit l’article 8 du règlement (UE, Euratom) 2020/2093 du Conseil du 17 décembre 2020 fixant le cadre financier pluriannuel pour les années 2021 à 2027</w:t>
      </w:r>
      <w:r w:rsidR="001A62D7" w:rsidRPr="004E329E">
        <w:rPr>
          <w:rStyle w:val="FootnoteReference"/>
          <w:noProof/>
        </w:rPr>
        <w:footnoteReference w:id="24"/>
      </w:r>
      <w:r w:rsidR="001A62D7" w:rsidRPr="004E329E">
        <w:rPr>
          <w:noProof/>
        </w:rPr>
        <w:t>, modifié par le règlement (UE, Euratom) 2024/765 du Conseil du 29 février 2024</w:t>
      </w:r>
      <w:r w:rsidR="001A62D7" w:rsidRPr="004E329E">
        <w:rPr>
          <w:rStyle w:val="FootnoteReference"/>
          <w:noProof/>
        </w:rPr>
        <w:footnoteReference w:id="25"/>
      </w:r>
      <w:r w:rsidR="001A62D7" w:rsidRPr="004E329E">
        <w:rPr>
          <w:noProof/>
        </w:rPr>
        <w:t>.</w:t>
      </w:r>
    </w:p>
    <w:p w:rsidR="001A62D7" w:rsidRPr="004E329E" w:rsidRDefault="006035E2" w:rsidP="006035E2">
      <w:pPr>
        <w:pStyle w:val="ManualNumPar1"/>
        <w:rPr>
          <w:rFonts w:eastAsia="Calibri"/>
          <w:noProof/>
        </w:rPr>
      </w:pPr>
      <w:r w:rsidRPr="006035E2">
        <w:rPr>
          <w:noProof/>
        </w:rPr>
        <w:t>36.</w:t>
      </w:r>
      <w:r w:rsidRPr="006035E2">
        <w:rPr>
          <w:noProof/>
        </w:rPr>
        <w:tab/>
      </w:r>
      <w:r w:rsidR="001A62D7" w:rsidRPr="004E329E">
        <w:rPr>
          <w:noProof/>
        </w:rPr>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1 622 650 EUR, soit 85 % du coût total des mesures proposées, afin d’apporter une contribution financière en réponse à la demande.</w:t>
      </w:r>
    </w:p>
    <w:p w:rsidR="001A62D7" w:rsidRPr="004E329E" w:rsidRDefault="006035E2" w:rsidP="006035E2">
      <w:pPr>
        <w:pStyle w:val="ManualNumPar1"/>
        <w:rPr>
          <w:rFonts w:eastAsia="Times New Roman"/>
          <w:noProof/>
        </w:rPr>
      </w:pPr>
      <w:r w:rsidRPr="006035E2">
        <w:rPr>
          <w:noProof/>
        </w:rPr>
        <w:t>37.</w:t>
      </w:r>
      <w:r w:rsidRPr="006035E2">
        <w:rPr>
          <w:noProof/>
        </w:rPr>
        <w:tab/>
      </w:r>
      <w:r w:rsidR="001A62D7" w:rsidRPr="004E329E">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les nouvelles ressources propres, comportant une feuille de route en vue de la mise en place de nouvelles ressources propres</w:t>
      </w:r>
      <w:r w:rsidR="001A62D7" w:rsidRPr="004E329E">
        <w:rPr>
          <w:rStyle w:val="FootnoteReference"/>
          <w:noProof/>
        </w:rPr>
        <w:footnoteReference w:id="26"/>
      </w:r>
      <w:r w:rsidR="001A62D7" w:rsidRPr="004E329E">
        <w:rPr>
          <w:noProof/>
        </w:rPr>
        <w:t>.</w:t>
      </w:r>
    </w:p>
    <w:p w:rsidR="001A62D7" w:rsidRPr="004E329E" w:rsidRDefault="001A62D7" w:rsidP="001A62D7">
      <w:pPr>
        <w:pStyle w:val="ManualHeading2"/>
        <w:rPr>
          <w:noProof/>
        </w:rPr>
      </w:pPr>
      <w:r w:rsidRPr="004E329E">
        <w:rPr>
          <w:noProof/>
        </w:rPr>
        <w:t>Actes liés</w:t>
      </w:r>
    </w:p>
    <w:p w:rsidR="001A62D7" w:rsidRPr="004E329E" w:rsidRDefault="006035E2" w:rsidP="006035E2">
      <w:pPr>
        <w:pStyle w:val="ManualNumPar1"/>
        <w:rPr>
          <w:noProof/>
        </w:rPr>
      </w:pPr>
      <w:r w:rsidRPr="006035E2">
        <w:rPr>
          <w:noProof/>
        </w:rPr>
        <w:t>38.</w:t>
      </w:r>
      <w:r w:rsidRPr="006035E2">
        <w:rPr>
          <w:noProof/>
        </w:rPr>
        <w:tab/>
      </w:r>
      <w:r w:rsidR="001A62D7" w:rsidRPr="004E329E">
        <w:rPr>
          <w:noProof/>
        </w:rPr>
        <w:t>En même temps que la présente proposition de décision de mobilisation du FEM, la Commission présentera au Parlement européen et au Conseil une proposition de virement à la ligne budgétaire concernée d’un montant de 1 622 650 EUR.</w:t>
      </w:r>
    </w:p>
    <w:p w:rsidR="001A62D7" w:rsidRPr="004E329E" w:rsidRDefault="006035E2" w:rsidP="006035E2">
      <w:pPr>
        <w:pStyle w:val="ManualNumPar1"/>
        <w:rPr>
          <w:noProof/>
        </w:rPr>
      </w:pPr>
      <w:r w:rsidRPr="006035E2">
        <w:rPr>
          <w:noProof/>
        </w:rPr>
        <w:t>39.</w:t>
      </w:r>
      <w:r w:rsidRPr="006035E2">
        <w:rPr>
          <w:noProof/>
        </w:rPr>
        <w:tab/>
      </w:r>
      <w:r w:rsidR="001A62D7" w:rsidRPr="004E329E">
        <w:rPr>
          <w:noProof/>
        </w:rPr>
        <w:t>En même temps que la présente proposition de décision de mobilisation du FEM, la Commission a adopté une décision relative à une contribution financière qui constitue une décision de financement au sens de l’article 110 du règlement (UE, Euratom) 2024/2509</w:t>
      </w:r>
      <w:r w:rsidR="001A62D7" w:rsidRPr="004E329E">
        <w:rPr>
          <w:rStyle w:val="FootnoteReference"/>
          <w:noProof/>
        </w:rPr>
        <w:footnoteReference w:id="27"/>
      </w:r>
      <w:r w:rsidR="001A62D7" w:rsidRPr="004E329E">
        <w:rPr>
          <w:noProof/>
        </w:rPr>
        <w:t>. Cette décision de financement entre en vigueur à la date à laquelle la Commission est informée de l’approbation du virement budgétaire par le Parlement européen et le Conseil conformément à l’article 15, paragraphe 2, premier alinéa, du règlement (UE) 2021/691.</w:t>
      </w:r>
    </w:p>
    <w:p w:rsidR="001A62D7" w:rsidRPr="004E329E" w:rsidRDefault="001A62D7" w:rsidP="001A62D7">
      <w:pPr>
        <w:rPr>
          <w:noProof/>
        </w:rPr>
        <w:sectPr w:rsidR="001A62D7" w:rsidRPr="004E329E" w:rsidSect="00390E7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F22A3E" w:rsidRDefault="00BD5E1C">
      <w:pPr>
        <w:pStyle w:val="Rfrenceinterinstitutionnelle"/>
        <w:rPr>
          <w:noProof/>
        </w:rPr>
      </w:pPr>
      <w:r>
        <w:rPr>
          <w:noProof/>
        </w:rPr>
        <w:t>2026/0004 (BUD)</w:t>
      </w:r>
    </w:p>
    <w:p w:rsidR="001A62D7" w:rsidRPr="004E329E" w:rsidRDefault="004E329E" w:rsidP="004E329E">
      <w:pPr>
        <w:pStyle w:val="Statut"/>
        <w:rPr>
          <w:noProof/>
        </w:rPr>
      </w:pPr>
      <w:r w:rsidRPr="004E329E">
        <w:rPr>
          <w:noProof/>
        </w:rPr>
        <w:t>Proposition de</w:t>
      </w:r>
    </w:p>
    <w:p w:rsidR="001A62D7" w:rsidRPr="004E329E" w:rsidRDefault="004E329E" w:rsidP="004E329E">
      <w:pPr>
        <w:pStyle w:val="Typedudocument"/>
        <w:rPr>
          <w:noProof/>
        </w:rPr>
      </w:pPr>
      <w:r w:rsidRPr="004E329E">
        <w:rPr>
          <w:noProof/>
        </w:rPr>
        <w:t>DÉCISION DU PARLEMENT EUROPÉEN ET DU CONSEIL</w:t>
      </w:r>
    </w:p>
    <w:p w:rsidR="001A62D7" w:rsidRPr="004E329E" w:rsidRDefault="004E329E" w:rsidP="004E329E">
      <w:pPr>
        <w:pStyle w:val="Titreobjet"/>
        <w:rPr>
          <w:noProof/>
        </w:rPr>
      </w:pPr>
      <w:r w:rsidRPr="004E329E">
        <w:rPr>
          <w:noProof/>
        </w:rPr>
        <w:t>relative à la mobilisation du Fonds européen d’ajustement à la mondialisation en faveur des travailleurs licenciés à la suite d’une demande de la Belgique (EGF/2025/004 BE/Tupperware)</w:t>
      </w:r>
    </w:p>
    <w:p w:rsidR="001A62D7" w:rsidRPr="004E329E" w:rsidRDefault="001A62D7" w:rsidP="001A62D7">
      <w:pPr>
        <w:pStyle w:val="Institutionquiagit"/>
        <w:rPr>
          <w:noProof/>
        </w:rPr>
      </w:pPr>
      <w:r w:rsidRPr="004E329E">
        <w:rPr>
          <w:noProof/>
        </w:rPr>
        <w:t>LE PARLEMENT EUROPÉEN ET LE CONSEIL DE L’UNION EUROPÉENNE,</w:t>
      </w:r>
    </w:p>
    <w:p w:rsidR="001A62D7" w:rsidRPr="004E329E" w:rsidRDefault="001A62D7" w:rsidP="001A62D7">
      <w:pPr>
        <w:rPr>
          <w:noProof/>
        </w:rPr>
      </w:pPr>
      <w:r w:rsidRPr="004E329E">
        <w:rPr>
          <w:noProof/>
        </w:rPr>
        <w:t>vu le traité sur le fonctionnement de l’Union européenne,</w:t>
      </w:r>
    </w:p>
    <w:p w:rsidR="001A62D7" w:rsidRPr="004E329E" w:rsidRDefault="001A62D7" w:rsidP="001A62D7">
      <w:pPr>
        <w:rPr>
          <w:noProof/>
        </w:rPr>
      </w:pPr>
      <w:r w:rsidRPr="004E329E">
        <w:rPr>
          <w:noProof/>
        </w:rPr>
        <w:t>vu le règlement (UE) 2021/691 du Parlement européen et du Conseil du 28 avril 2021 relatif au Fonds européen d’ajustement à la mondialisation en faveur des travailleurs licenciés (FEM) et abrogeant le règlement (UE) no 1309/2013</w:t>
      </w:r>
      <w:r w:rsidRPr="004E329E">
        <w:rPr>
          <w:rStyle w:val="FootnoteReference"/>
          <w:noProof/>
        </w:rPr>
        <w:footnoteReference w:id="28"/>
      </w:r>
      <w:r w:rsidRPr="004E329E">
        <w:rPr>
          <w:noProof/>
        </w:rPr>
        <w:t>, et notamment son article 15, paragraphe 1, premier alinéa,</w:t>
      </w:r>
    </w:p>
    <w:p w:rsidR="001A62D7" w:rsidRPr="004E329E" w:rsidRDefault="001A62D7" w:rsidP="001A62D7">
      <w:pPr>
        <w:rPr>
          <w:noProof/>
        </w:rPr>
      </w:pPr>
      <w:r w:rsidRPr="004E329E">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4E329E">
        <w:rPr>
          <w:rStyle w:val="FootnoteReference"/>
          <w:noProof/>
        </w:rPr>
        <w:footnoteReference w:id="29"/>
      </w:r>
      <w:r w:rsidRPr="004E329E">
        <w:rPr>
          <w:noProof/>
        </w:rPr>
        <w:t>, et notamment son point 9,</w:t>
      </w:r>
    </w:p>
    <w:p w:rsidR="001A62D7" w:rsidRPr="004E329E" w:rsidRDefault="001A62D7" w:rsidP="001A62D7">
      <w:pPr>
        <w:rPr>
          <w:noProof/>
        </w:rPr>
      </w:pPr>
      <w:r w:rsidRPr="004E329E">
        <w:rPr>
          <w:noProof/>
        </w:rPr>
        <w:t>vu la proposition de la Commission européenne,</w:t>
      </w:r>
    </w:p>
    <w:p w:rsidR="001A62D7" w:rsidRPr="004E329E" w:rsidRDefault="001A62D7" w:rsidP="001A62D7">
      <w:pPr>
        <w:rPr>
          <w:noProof/>
        </w:rPr>
      </w:pPr>
      <w:r w:rsidRPr="004E329E">
        <w:rPr>
          <w:noProof/>
        </w:rPr>
        <w:t>considérant ce qui suit:</w:t>
      </w:r>
    </w:p>
    <w:p w:rsidR="001A62D7" w:rsidRPr="004E329E" w:rsidRDefault="006035E2" w:rsidP="006035E2">
      <w:pPr>
        <w:pStyle w:val="ManualConsidrant"/>
        <w:rPr>
          <w:noProof/>
        </w:rPr>
      </w:pPr>
      <w:r w:rsidRPr="006035E2">
        <w:rPr>
          <w:noProof/>
        </w:rPr>
        <w:t>(1)</w:t>
      </w:r>
      <w:r w:rsidRPr="006035E2">
        <w:rPr>
          <w:noProof/>
        </w:rPr>
        <w:tab/>
      </w:r>
      <w:r w:rsidR="001A62D7" w:rsidRPr="004E329E">
        <w:rPr>
          <w:noProof/>
        </w:rPr>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rsidR="001A62D7" w:rsidRPr="004E329E" w:rsidRDefault="006035E2" w:rsidP="006035E2">
      <w:pPr>
        <w:pStyle w:val="ManualConsidrant"/>
        <w:rPr>
          <w:noProof/>
        </w:rPr>
      </w:pPr>
      <w:r w:rsidRPr="006035E2">
        <w:rPr>
          <w:noProof/>
        </w:rPr>
        <w:t>(2)</w:t>
      </w:r>
      <w:r w:rsidRPr="006035E2">
        <w:rPr>
          <w:noProof/>
        </w:rPr>
        <w:tab/>
      </w:r>
      <w:r w:rsidR="001A62D7" w:rsidRPr="004E329E">
        <w:rPr>
          <w:noProof/>
        </w:rPr>
        <w:t>La dotation annuelle du FEM n’excède pas un montant maximal de 30 000 000 EUR (aux prix de 2018), comme le prévoient l’article 8 du règlement (UE, Euratom) 2020/2093 du Conseil</w:t>
      </w:r>
      <w:r w:rsidR="001A62D7" w:rsidRPr="004E329E">
        <w:rPr>
          <w:rStyle w:val="FootnoteReference"/>
          <w:noProof/>
        </w:rPr>
        <w:footnoteReference w:id="30"/>
      </w:r>
      <w:r w:rsidR="001A62D7" w:rsidRPr="004E329E">
        <w:rPr>
          <w:noProof/>
        </w:rPr>
        <w:t>, modifié par le règlement (UE, Euratom) 2024/765 du Conseil</w:t>
      </w:r>
      <w:r w:rsidR="001A62D7" w:rsidRPr="004E329E">
        <w:rPr>
          <w:rStyle w:val="FootnoteReference"/>
          <w:noProof/>
        </w:rPr>
        <w:footnoteReference w:id="31"/>
      </w:r>
      <w:r w:rsidR="001A62D7" w:rsidRPr="004E329E">
        <w:rPr>
          <w:noProof/>
        </w:rPr>
        <w:t>, et l’article 16 du règlement (UE) 2021/691.</w:t>
      </w:r>
    </w:p>
    <w:p w:rsidR="001A62D7" w:rsidRPr="004E329E" w:rsidRDefault="006035E2" w:rsidP="006035E2">
      <w:pPr>
        <w:pStyle w:val="ManualConsidrant"/>
        <w:rPr>
          <w:noProof/>
        </w:rPr>
      </w:pPr>
      <w:r w:rsidRPr="006035E2">
        <w:rPr>
          <w:noProof/>
        </w:rPr>
        <w:t>(3)</w:t>
      </w:r>
      <w:r w:rsidRPr="006035E2">
        <w:rPr>
          <w:noProof/>
        </w:rPr>
        <w:tab/>
      </w:r>
      <w:r w:rsidR="001A62D7" w:rsidRPr="004E329E">
        <w:rPr>
          <w:noProof/>
        </w:rPr>
        <w:t>Le 28 août 2025, la Belgique a présenté, conformément à l’article 8, paragraphe 1, du règlement (UE) 2021/691, une demande d’intervention du FEM en ce qui concerne les licenciements survenus chez Tupperware General Services NV en Belgique.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effectuée par la Commission dans la proposition de décision du Parlement européen et du Conseil relative à la mobilisation du FEM</w:t>
      </w:r>
      <w:r w:rsidR="001A62D7" w:rsidRPr="004E329E">
        <w:rPr>
          <w:rStyle w:val="FootnoteReference"/>
          <w:iCs/>
          <w:noProof/>
        </w:rPr>
        <w:footnoteReference w:id="32"/>
      </w:r>
      <w:r w:rsidR="001A62D7" w:rsidRPr="004E329E">
        <w:rPr>
          <w:noProof/>
        </w:rPr>
        <w:t xml:space="preserve">. </w:t>
      </w:r>
    </w:p>
    <w:p w:rsidR="001A62D7" w:rsidRPr="004E329E" w:rsidRDefault="006035E2" w:rsidP="006035E2">
      <w:pPr>
        <w:pStyle w:val="ManualConsidrant"/>
        <w:rPr>
          <w:noProof/>
        </w:rPr>
      </w:pPr>
      <w:r w:rsidRPr="006035E2">
        <w:rPr>
          <w:noProof/>
        </w:rPr>
        <w:t>(4)</w:t>
      </w:r>
      <w:r w:rsidRPr="006035E2">
        <w:rPr>
          <w:noProof/>
        </w:rPr>
        <w:tab/>
      </w:r>
      <w:r w:rsidR="001A62D7" w:rsidRPr="004E329E">
        <w:rPr>
          <w:noProof/>
        </w:rPr>
        <w:t>Il convient, par conséquent, de mobiliser le FEM en vue d’octroyer une contribution financière d’un montant de 1 622 650 EUR en réponse à la demande présentée par la Belgique.</w:t>
      </w:r>
    </w:p>
    <w:p w:rsidR="001A62D7" w:rsidRPr="004E329E" w:rsidRDefault="006035E2" w:rsidP="006035E2">
      <w:pPr>
        <w:pStyle w:val="ManualConsidrant"/>
        <w:rPr>
          <w:noProof/>
        </w:rPr>
      </w:pPr>
      <w:r w:rsidRPr="006035E2">
        <w:rPr>
          <w:noProof/>
        </w:rPr>
        <w:t>(5)</w:t>
      </w:r>
      <w:r w:rsidRPr="006035E2">
        <w:rPr>
          <w:noProof/>
        </w:rPr>
        <w:tab/>
      </w:r>
      <w:r w:rsidR="001A62D7" w:rsidRPr="004E329E">
        <w:rPr>
          <w:noProof/>
        </w:rPr>
        <w:t>Afin de limiter au maximum le délai de mobilisation du FEM, la présente décision devrait être applicable à partir de la date de son adoption,</w:t>
      </w:r>
    </w:p>
    <w:p w:rsidR="001A62D7" w:rsidRPr="004E329E" w:rsidRDefault="001A62D7" w:rsidP="001A62D7">
      <w:pPr>
        <w:pStyle w:val="Formuledadoption"/>
        <w:rPr>
          <w:noProof/>
        </w:rPr>
      </w:pPr>
      <w:r w:rsidRPr="004E329E">
        <w:rPr>
          <w:noProof/>
        </w:rPr>
        <w:t xml:space="preserve">ONT ADOPTÉ LA PRÉSENTE DÉCISION: </w:t>
      </w:r>
    </w:p>
    <w:p w:rsidR="001A62D7" w:rsidRPr="004E329E" w:rsidRDefault="001A62D7" w:rsidP="001A62D7">
      <w:pPr>
        <w:pStyle w:val="Titrearticle"/>
        <w:rPr>
          <w:noProof/>
        </w:rPr>
      </w:pPr>
      <w:r w:rsidRPr="004E329E">
        <w:rPr>
          <w:noProof/>
        </w:rPr>
        <w:t>Article premier</w:t>
      </w:r>
    </w:p>
    <w:p w:rsidR="001A62D7" w:rsidRPr="004E329E" w:rsidRDefault="001A62D7" w:rsidP="001A62D7">
      <w:pPr>
        <w:rPr>
          <w:noProof/>
        </w:rPr>
      </w:pPr>
      <w:r w:rsidRPr="004E329E">
        <w:rPr>
          <w:noProof/>
        </w:rPr>
        <w:t>Dans le cadre du budget général de l’Union établi pour l’exercice 2026, un montant de 1 622 650 EUR en crédits d’engagement et de paiement est mobilisé au titre du Fonds européen d’ajustement à la mondialisation en faveur des travailleurs licenciés.</w:t>
      </w:r>
    </w:p>
    <w:p w:rsidR="001A62D7" w:rsidRPr="004E329E" w:rsidRDefault="001A62D7" w:rsidP="00D12FDB">
      <w:pPr>
        <w:pStyle w:val="Titrearticle"/>
        <w:rPr>
          <w:noProof/>
        </w:rPr>
      </w:pPr>
      <w:r w:rsidRPr="004E329E">
        <w:rPr>
          <w:noProof/>
        </w:rPr>
        <w:t>Article 2</w:t>
      </w:r>
    </w:p>
    <w:p w:rsidR="001A62D7" w:rsidRPr="004E329E" w:rsidRDefault="001A62D7" w:rsidP="001A62D7">
      <w:pPr>
        <w:keepNext/>
        <w:keepLines/>
        <w:rPr>
          <w:noProof/>
        </w:rPr>
      </w:pPr>
      <w:r w:rsidRPr="004E329E">
        <w:rPr>
          <w:noProof/>
        </w:rPr>
        <w:t xml:space="preserve">La présente décision entre en vigueur le jour de sa publication au </w:t>
      </w:r>
      <w:r w:rsidRPr="004E329E">
        <w:rPr>
          <w:i/>
          <w:noProof/>
        </w:rPr>
        <w:t>Journal officiel de l’Union européenne</w:t>
      </w:r>
      <w:r w:rsidRPr="004E329E">
        <w:rPr>
          <w:noProof/>
        </w:rPr>
        <w:t xml:space="preserve">. Elle est applicable à partir du </w:t>
      </w:r>
      <w:r w:rsidRPr="004E329E">
        <w:rPr>
          <w:noProof/>
          <w:color w:val="FF0000"/>
        </w:rPr>
        <w:t>[</w:t>
      </w:r>
      <w:r w:rsidRPr="004E329E">
        <w:rPr>
          <w:i/>
          <w:noProof/>
          <w:color w:val="FF0000"/>
        </w:rPr>
        <w:t>date de son adoption</w:t>
      </w:r>
      <w:r w:rsidRPr="004E329E">
        <w:rPr>
          <w:noProof/>
          <w:color w:val="FF0000"/>
        </w:rPr>
        <w:t>]</w:t>
      </w:r>
      <w:r w:rsidRPr="004E329E">
        <w:rPr>
          <w:rStyle w:val="FootnoteReference"/>
          <w:noProof/>
          <w:color w:val="FF0000"/>
        </w:rPr>
        <w:footnoteReference w:customMarkFollows="1" w:id="33"/>
        <w:t>*</w:t>
      </w:r>
      <w:r w:rsidRPr="004E329E">
        <w:rPr>
          <w:noProof/>
        </w:rPr>
        <w:t>.</w:t>
      </w:r>
    </w:p>
    <w:p w:rsidR="001A62D7" w:rsidRPr="004E329E" w:rsidRDefault="004E329E" w:rsidP="00D12FDB">
      <w:pPr>
        <w:pStyle w:val="Fait"/>
        <w:rPr>
          <w:noProof/>
        </w:rPr>
      </w:pPr>
      <w:r>
        <w:rPr>
          <w:noProof/>
        </w:rPr>
        <w:t>Fait à Bruxelles, le</w:t>
      </w:r>
    </w:p>
    <w:p w:rsidR="001A62D7" w:rsidRPr="004E329E" w:rsidRDefault="001A62D7" w:rsidP="00D12FDB">
      <w:pPr>
        <w:pStyle w:val="Institutionquisigne"/>
        <w:rPr>
          <w:noProof/>
        </w:rPr>
      </w:pPr>
      <w:r w:rsidRPr="004E329E">
        <w:rPr>
          <w:noProof/>
        </w:rPr>
        <w:t>Par le Parlement européen</w:t>
      </w:r>
      <w:r w:rsidRPr="004E329E">
        <w:rPr>
          <w:noProof/>
        </w:rPr>
        <w:tab/>
        <w:t>Par le Conseil</w:t>
      </w:r>
    </w:p>
    <w:p w:rsidR="001A62D7" w:rsidRPr="004E329E" w:rsidRDefault="001A62D7" w:rsidP="001A62D7">
      <w:pPr>
        <w:pStyle w:val="Personnequisigne"/>
        <w:rPr>
          <w:noProof/>
        </w:rPr>
      </w:pPr>
      <w:r w:rsidRPr="004E329E">
        <w:rPr>
          <w:noProof/>
        </w:rPr>
        <w:t>La présidente</w:t>
      </w:r>
      <w:r w:rsidRPr="004E329E">
        <w:rPr>
          <w:noProof/>
        </w:rPr>
        <w:tab/>
        <w:t>Le président</w:t>
      </w:r>
      <w:r w:rsidRPr="004E329E">
        <w:rPr>
          <w:noProof/>
        </w:rPr>
        <w:br/>
      </w:r>
    </w:p>
    <w:sectPr w:rsidR="001A62D7" w:rsidRPr="004E329E" w:rsidSect="00390E7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Default="001A62D7" w:rsidP="001A62D7">
      <w:pPr>
        <w:spacing w:before="0" w:after="0"/>
      </w:pPr>
      <w:r>
        <w:separator/>
      </w:r>
    </w:p>
  </w:endnote>
  <w:endnote w:type="continuationSeparator" w:id="0">
    <w:p w:rsidR="001A62D7" w:rsidRDefault="001A62D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7B" w:rsidRPr="00390E7B" w:rsidRDefault="00390E7B" w:rsidP="00390E7B">
    <w:pPr>
      <w:pStyle w:val="Footer"/>
      <w:rPr>
        <w:rFonts w:ascii="Arial" w:hAnsi="Arial" w:cs="Arial"/>
        <w:b/>
        <w:sz w:val="48"/>
      </w:rPr>
    </w:pPr>
    <w:r w:rsidRPr="00390E7B">
      <w:rPr>
        <w:rFonts w:ascii="Arial" w:hAnsi="Arial" w:cs="Arial"/>
        <w:b/>
        <w:sz w:val="48"/>
      </w:rPr>
      <w:t>FR</w:t>
    </w:r>
    <w:r w:rsidRPr="00390E7B">
      <w:rPr>
        <w:rFonts w:ascii="Arial" w:hAnsi="Arial" w:cs="Arial"/>
        <w:b/>
        <w:sz w:val="48"/>
      </w:rPr>
      <w:tab/>
    </w:r>
    <w:r w:rsidRPr="00390E7B">
      <w:rPr>
        <w:rFonts w:ascii="Arial" w:hAnsi="Arial" w:cs="Arial"/>
        <w:b/>
        <w:sz w:val="48"/>
      </w:rPr>
      <w:tab/>
    </w:r>
    <w:r w:rsidRPr="00390E7B">
      <w:tab/>
    </w:r>
    <w:r w:rsidRPr="00390E7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7B" w:rsidRPr="00390E7B" w:rsidRDefault="00390E7B" w:rsidP="00390E7B">
    <w:pPr>
      <w:pStyle w:val="Footer"/>
      <w:rPr>
        <w:rFonts w:ascii="Arial" w:hAnsi="Arial" w:cs="Arial"/>
        <w:b/>
        <w:sz w:val="48"/>
      </w:rPr>
    </w:pPr>
    <w:r w:rsidRPr="00390E7B">
      <w:rPr>
        <w:rFonts w:ascii="Arial" w:hAnsi="Arial" w:cs="Arial"/>
        <w:b/>
        <w:sz w:val="48"/>
      </w:rPr>
      <w:t>FR</w:t>
    </w:r>
    <w:r w:rsidRPr="00390E7B">
      <w:rPr>
        <w:rFonts w:ascii="Arial" w:hAnsi="Arial" w:cs="Arial"/>
        <w:b/>
        <w:sz w:val="48"/>
      </w:rPr>
      <w:tab/>
    </w:r>
    <w:r w:rsidRPr="00390E7B">
      <w:rPr>
        <w:rFonts w:ascii="Arial" w:hAnsi="Arial" w:cs="Arial"/>
        <w:b/>
        <w:sz w:val="48"/>
      </w:rPr>
      <w:tab/>
    </w:r>
    <w:r w:rsidRPr="00390E7B">
      <w:tab/>
    </w:r>
    <w:r w:rsidRPr="00390E7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7B" w:rsidRDefault="00390E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7B" w:rsidRPr="00390E7B" w:rsidRDefault="00390E7B" w:rsidP="00390E7B">
    <w:pPr>
      <w:pStyle w:val="Footer"/>
      <w:rPr>
        <w:rFonts w:ascii="Arial" w:hAnsi="Arial" w:cs="Arial"/>
        <w:b/>
        <w:sz w:val="48"/>
      </w:rPr>
    </w:pPr>
    <w:r w:rsidRPr="00390E7B">
      <w:rPr>
        <w:rFonts w:ascii="Arial" w:hAnsi="Arial" w:cs="Arial"/>
        <w:b/>
        <w:sz w:val="48"/>
      </w:rPr>
      <w:t>FR</w:t>
    </w:r>
    <w:r w:rsidRPr="00390E7B">
      <w:rPr>
        <w:rFonts w:ascii="Arial" w:hAnsi="Arial" w:cs="Arial"/>
        <w:b/>
        <w:sz w:val="48"/>
      </w:rPr>
      <w:tab/>
    </w:r>
    <w:r>
      <w:fldChar w:fldCharType="begin"/>
    </w:r>
    <w:r>
      <w:instrText xml:space="preserve"> PAGE  \* MERGEFORMAT </w:instrText>
    </w:r>
    <w:r>
      <w:fldChar w:fldCharType="separate"/>
    </w:r>
    <w:r w:rsidR="00D12FDB">
      <w:rPr>
        <w:noProof/>
      </w:rPr>
      <w:t>12</w:t>
    </w:r>
    <w:r>
      <w:fldChar w:fldCharType="end"/>
    </w:r>
    <w:r>
      <w:tab/>
    </w:r>
    <w:r w:rsidRPr="00390E7B">
      <w:tab/>
    </w:r>
    <w:r w:rsidRPr="00390E7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7B" w:rsidRDefault="00390E7B" w:rsidP="00390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Default="001A62D7" w:rsidP="001A62D7">
      <w:pPr>
        <w:spacing w:before="0" w:after="0"/>
      </w:pPr>
      <w:r>
        <w:separator/>
      </w:r>
    </w:p>
  </w:footnote>
  <w:footnote w:type="continuationSeparator" w:id="0">
    <w:p w:rsidR="001A62D7" w:rsidRDefault="001A62D7" w:rsidP="001A62D7">
      <w:pPr>
        <w:spacing w:before="0" w:after="0"/>
      </w:pPr>
      <w:r>
        <w:continuationSeparator/>
      </w:r>
    </w:p>
  </w:footnote>
  <w:footnote w:id="1">
    <w:p w:rsidR="001A62D7" w:rsidRPr="004E329E" w:rsidRDefault="001A62D7" w:rsidP="001A62D7">
      <w:pPr>
        <w:pStyle w:val="FootnoteText"/>
        <w:rPr>
          <w:lang w:val="fr-BE"/>
        </w:rPr>
      </w:pPr>
      <w:r>
        <w:rPr>
          <w:rStyle w:val="FootnoteReference"/>
        </w:rPr>
        <w:footnoteRef/>
      </w:r>
      <w:r w:rsidRPr="004E329E">
        <w:rPr>
          <w:lang w:val="fr-BE"/>
        </w:rPr>
        <w:tab/>
        <w:t>JO L 153 du 3.5.2021, p. 48.</w:t>
      </w:r>
    </w:p>
  </w:footnote>
  <w:footnote w:id="2">
    <w:p w:rsidR="001A62D7" w:rsidRPr="004E329E" w:rsidRDefault="001A62D7" w:rsidP="001A62D7">
      <w:pPr>
        <w:pStyle w:val="FootnoteText"/>
        <w:rPr>
          <w:lang w:val="fr-BE"/>
        </w:rPr>
      </w:pPr>
      <w:r>
        <w:rPr>
          <w:rStyle w:val="FootnoteReference"/>
        </w:rPr>
        <w:footnoteRef/>
      </w:r>
      <w:r w:rsidRPr="004E329E">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3">
    <w:p w:rsidR="001A62D7" w:rsidRPr="004E329E" w:rsidRDefault="001A62D7" w:rsidP="001A62D7">
      <w:pPr>
        <w:pStyle w:val="FootnoteText"/>
        <w:rPr>
          <w:lang w:val="fr-BE"/>
        </w:rPr>
      </w:pPr>
      <w:r>
        <w:rPr>
          <w:rStyle w:val="FootnoteReference"/>
        </w:rPr>
        <w:footnoteRef/>
      </w:r>
      <w:r w:rsidRPr="004E329E">
        <w:rPr>
          <w:lang w:val="fr-BE"/>
        </w:rPr>
        <w:tab/>
        <w:t>JO L 393 du 30.12.2006, p. 1.</w:t>
      </w:r>
    </w:p>
  </w:footnote>
  <w:footnote w:id="4">
    <w:p w:rsidR="001A62D7" w:rsidRPr="004E329E" w:rsidRDefault="001A62D7" w:rsidP="001A62D7">
      <w:pPr>
        <w:pStyle w:val="FootnoteText"/>
        <w:rPr>
          <w:lang w:val="fr-BE"/>
        </w:rPr>
      </w:pPr>
      <w:r>
        <w:rPr>
          <w:rStyle w:val="FootnoteReference"/>
        </w:rPr>
        <w:footnoteRef/>
      </w:r>
      <w:r w:rsidRPr="004E329E">
        <w:rPr>
          <w:lang w:val="fr-BE"/>
        </w:rPr>
        <w:tab/>
        <w:t>Conformément à l’article 7, paragraphe 5, du règlement (UE) 2021/691.</w:t>
      </w:r>
    </w:p>
  </w:footnote>
  <w:footnote w:id="5">
    <w:p w:rsidR="00CF6583" w:rsidRPr="004E329E" w:rsidRDefault="00CF6583">
      <w:pPr>
        <w:pStyle w:val="FootnoteText"/>
        <w:rPr>
          <w:lang w:val="fr-BE"/>
        </w:rPr>
      </w:pPr>
      <w:r>
        <w:rPr>
          <w:rStyle w:val="FootnoteReference"/>
        </w:rPr>
        <w:footnoteRef/>
      </w:r>
      <w:r w:rsidRPr="004E329E">
        <w:rPr>
          <w:lang w:val="fr-BE"/>
        </w:rPr>
        <w:tab/>
        <w:t xml:space="preserve">Source: </w:t>
      </w:r>
      <w:bookmarkStart w:id="12" w:name="_Hlk212740691"/>
      <w:r>
        <w:fldChar w:fldCharType="begin"/>
      </w:r>
      <w:r w:rsidRPr="004E329E">
        <w:rPr>
          <w:lang w:val="fr-BE"/>
        </w:rPr>
        <w:instrText>HYPERLINK "https://statbel.fgov.be/fr/nouvelles/11067-faillites-en-2024-resultats-regionaux-contrastes"</w:instrText>
      </w:r>
      <w:r>
        <w:fldChar w:fldCharType="separate"/>
      </w:r>
      <w:r w:rsidRPr="004E329E">
        <w:rPr>
          <w:rStyle w:val="Hyperlink"/>
          <w:lang w:val="fr-BE"/>
        </w:rPr>
        <w:t>Statbel (faillites en 2024).</w:t>
      </w:r>
      <w:r>
        <w:fldChar w:fldCharType="end"/>
      </w:r>
    </w:p>
    <w:bookmarkEnd w:id="12"/>
  </w:footnote>
  <w:footnote w:id="6">
    <w:p w:rsidR="00A839AD" w:rsidRPr="004E329E" w:rsidRDefault="00A839AD">
      <w:pPr>
        <w:pStyle w:val="FootnoteText"/>
        <w:rPr>
          <w:lang w:val="fr-BE"/>
        </w:rPr>
      </w:pPr>
      <w:r>
        <w:rPr>
          <w:rStyle w:val="FootnoteReference"/>
        </w:rPr>
        <w:footnoteRef/>
      </w:r>
      <w:r w:rsidRPr="004E329E">
        <w:rPr>
          <w:lang w:val="fr-BE"/>
        </w:rPr>
        <w:tab/>
        <w:t xml:space="preserve">Source: </w:t>
      </w:r>
      <w:bookmarkStart w:id="13" w:name="_Hlk212740746"/>
      <w:r>
        <w:fldChar w:fldCharType="begin"/>
      </w:r>
      <w:r w:rsidRPr="004E329E">
        <w:rPr>
          <w:lang w:val="fr-BE"/>
        </w:rPr>
        <w:instrText>HYPERLINK "https://statbel.fgov.be/fr/themes/entreprises/faillites/faillites-mensuelles" \l "Chiffres"</w:instrText>
      </w:r>
      <w:r>
        <w:fldChar w:fldCharType="separate"/>
      </w:r>
      <w:r w:rsidRPr="004E329E">
        <w:rPr>
          <w:rStyle w:val="Hyperlink"/>
          <w:lang w:val="fr-BE"/>
        </w:rPr>
        <w:t>Statbel (faillites mensuelles).</w:t>
      </w:r>
      <w:r>
        <w:fldChar w:fldCharType="end"/>
      </w:r>
    </w:p>
    <w:bookmarkEnd w:id="13"/>
  </w:footnote>
  <w:footnote w:id="7">
    <w:p w:rsidR="00A839AD" w:rsidRPr="004E329E" w:rsidRDefault="00A839AD">
      <w:pPr>
        <w:pStyle w:val="FootnoteText"/>
        <w:rPr>
          <w:lang w:val="fr-BE"/>
        </w:rPr>
      </w:pPr>
      <w:r>
        <w:rPr>
          <w:rStyle w:val="FootnoteReference"/>
        </w:rPr>
        <w:footnoteRef/>
      </w:r>
      <w:r w:rsidRPr="004E329E">
        <w:rPr>
          <w:lang w:val="fr-BE"/>
        </w:rPr>
        <w:tab/>
        <w:t xml:space="preserve">Source: </w:t>
      </w:r>
      <w:bookmarkStart w:id="14" w:name="_Hlk212741128"/>
      <w:r w:rsidRPr="004E329E">
        <w:rPr>
          <w:lang w:val="fr-BE"/>
        </w:rPr>
        <w:tab/>
        <w:t>Statbel (</w:t>
      </w:r>
      <w:hyperlink r:id="rId1" w:history="1">
        <w:r w:rsidRPr="004E329E">
          <w:rPr>
            <w:rStyle w:val="Hyperlink"/>
            <w:lang w:val="fr-BE"/>
          </w:rPr>
          <w:t xml:space="preserve">nombre de faillites et de pertes d’emploi en Belqique par mois </w:t>
        </w:r>
      </w:hyperlink>
      <w:r w:rsidRPr="004E329E">
        <w:rPr>
          <w:lang w:val="fr-BE"/>
        </w:rPr>
        <w:t xml:space="preserve">).  </w:t>
      </w:r>
      <w:bookmarkEnd w:id="14"/>
    </w:p>
  </w:footnote>
  <w:footnote w:id="8">
    <w:p w:rsidR="00CB4216" w:rsidRPr="00270304" w:rsidRDefault="00CB4216">
      <w:pPr>
        <w:pStyle w:val="FootnoteText"/>
        <w:rPr>
          <w:lang w:val="en-US"/>
        </w:rPr>
      </w:pPr>
      <w:r>
        <w:rPr>
          <w:rStyle w:val="FootnoteReference"/>
        </w:rPr>
        <w:footnoteRef/>
      </w:r>
      <w:r w:rsidRPr="00270304">
        <w:rPr>
          <w:lang w:val="en-US"/>
        </w:rPr>
        <w:tab/>
        <w:t>COM(2025) 1.</w:t>
      </w:r>
    </w:p>
  </w:footnote>
  <w:footnote w:id="9">
    <w:p w:rsidR="00CB4216" w:rsidRPr="00270304" w:rsidRDefault="00CB4216">
      <w:pPr>
        <w:pStyle w:val="FootnoteText"/>
        <w:rPr>
          <w:lang w:val="en-US"/>
        </w:rPr>
      </w:pPr>
      <w:r>
        <w:rPr>
          <w:rStyle w:val="FootnoteReference"/>
        </w:rPr>
        <w:footnoteRef/>
      </w:r>
      <w:r w:rsidRPr="00270304">
        <w:rPr>
          <w:lang w:val="en-US"/>
        </w:rPr>
        <w:tab/>
        <w:t>COM(2024) 370.</w:t>
      </w:r>
    </w:p>
  </w:footnote>
  <w:footnote w:id="10">
    <w:p w:rsidR="00CB4216" w:rsidRPr="00270304" w:rsidRDefault="00CB4216">
      <w:pPr>
        <w:pStyle w:val="FootnoteText"/>
        <w:rPr>
          <w:lang w:val="en-US"/>
        </w:rPr>
      </w:pPr>
      <w:r>
        <w:rPr>
          <w:rStyle w:val="FootnoteReference"/>
        </w:rPr>
        <w:footnoteRef/>
      </w:r>
      <w:r w:rsidRPr="00270304">
        <w:rPr>
          <w:lang w:val="en-US"/>
        </w:rPr>
        <w:tab/>
        <w:t>COM(2025) 157.</w:t>
      </w:r>
    </w:p>
  </w:footnote>
  <w:footnote w:id="11">
    <w:p w:rsidR="00C676E6" w:rsidRPr="00270304" w:rsidRDefault="00C676E6">
      <w:pPr>
        <w:pStyle w:val="FootnoteText"/>
        <w:rPr>
          <w:lang w:val="en-US"/>
        </w:rPr>
      </w:pPr>
      <w:r>
        <w:rPr>
          <w:rStyle w:val="FootnoteReference"/>
        </w:rPr>
        <w:footnoteRef/>
      </w:r>
      <w:r w:rsidRPr="00270304">
        <w:rPr>
          <w:lang w:val="en-US"/>
        </w:rPr>
        <w:tab/>
        <w:t>COM(2026) 2.</w:t>
      </w:r>
    </w:p>
  </w:footnote>
  <w:footnote w:id="12">
    <w:p w:rsidR="005507EE" w:rsidRPr="00270304" w:rsidRDefault="005507EE">
      <w:pPr>
        <w:pStyle w:val="FootnoteText"/>
        <w:rPr>
          <w:lang w:val="en-US"/>
        </w:rPr>
      </w:pPr>
      <w:r>
        <w:rPr>
          <w:rStyle w:val="FootnoteReference"/>
        </w:rPr>
        <w:footnoteRef/>
      </w:r>
      <w:r w:rsidRPr="00270304">
        <w:rPr>
          <w:lang w:val="en-US"/>
        </w:rPr>
        <w:tab/>
      </w:r>
      <w:hyperlink r:id="rId2" w:history="1">
        <w:r w:rsidRPr="00270304">
          <w:rPr>
            <w:rStyle w:val="Hyperlink"/>
            <w:lang w:val="en-US"/>
          </w:rPr>
          <w:t>Provincies in cijfers</w:t>
        </w:r>
      </w:hyperlink>
    </w:p>
  </w:footnote>
  <w:footnote w:id="13">
    <w:p w:rsidR="002607CC" w:rsidRPr="004E329E" w:rsidRDefault="002607CC">
      <w:pPr>
        <w:pStyle w:val="FootnoteText"/>
        <w:rPr>
          <w:lang w:val="fr-BE"/>
        </w:rPr>
      </w:pPr>
      <w:r>
        <w:rPr>
          <w:rStyle w:val="FootnoteReference"/>
        </w:rPr>
        <w:footnoteRef/>
      </w:r>
      <w:r w:rsidRPr="004E329E">
        <w:rPr>
          <w:lang w:val="fr-BE"/>
        </w:rPr>
        <w:tab/>
        <w:t xml:space="preserve">Source: </w:t>
      </w:r>
      <w:hyperlink r:id="rId3" w:history="1">
        <w:r w:rsidRPr="004E329E">
          <w:rPr>
            <w:rStyle w:val="Hyperlink"/>
            <w:lang w:val="fr-BE"/>
          </w:rPr>
          <w:t>Statbel</w:t>
        </w:r>
      </w:hyperlink>
    </w:p>
  </w:footnote>
  <w:footnote w:id="14">
    <w:p w:rsidR="00260B9D" w:rsidRPr="004E329E" w:rsidRDefault="00260B9D">
      <w:pPr>
        <w:pStyle w:val="FootnoteText"/>
        <w:rPr>
          <w:lang w:val="fr-BE"/>
        </w:rPr>
      </w:pPr>
      <w:r>
        <w:rPr>
          <w:rStyle w:val="FootnoteReference"/>
        </w:rPr>
        <w:footnoteRef/>
      </w:r>
      <w:r w:rsidRPr="004E329E">
        <w:rPr>
          <w:lang w:val="fr-BE"/>
        </w:rPr>
        <w:tab/>
        <w:t>Arrêté royal du 10 novembre 2006 modifiant l’arrêté royal du 9 mars 2006.</w:t>
      </w:r>
    </w:p>
  </w:footnote>
  <w:footnote w:id="15">
    <w:p w:rsidR="001016E1" w:rsidRPr="004E329E" w:rsidRDefault="001016E1">
      <w:pPr>
        <w:pStyle w:val="FootnoteText"/>
        <w:rPr>
          <w:lang w:val="fr-BE"/>
        </w:rPr>
      </w:pPr>
      <w:r>
        <w:rPr>
          <w:rStyle w:val="FootnoteReference"/>
        </w:rPr>
        <w:footnoteRef/>
      </w:r>
      <w:r w:rsidRPr="004E329E">
        <w:rPr>
          <w:lang w:val="fr-BE"/>
        </w:rPr>
        <w:tab/>
        <w:t xml:space="preserve">Centrale générale des syndicats libéraux de Belgique. </w:t>
      </w:r>
    </w:p>
  </w:footnote>
  <w:footnote w:id="16">
    <w:p w:rsidR="000D0503" w:rsidRPr="004E329E" w:rsidRDefault="000D0503">
      <w:pPr>
        <w:pStyle w:val="FootnoteText"/>
        <w:rPr>
          <w:lang w:val="fr-BE"/>
        </w:rPr>
      </w:pPr>
      <w:r>
        <w:rPr>
          <w:rStyle w:val="FootnoteReference"/>
        </w:rPr>
        <w:footnoteRef/>
      </w:r>
      <w:r w:rsidRPr="004E329E">
        <w:rPr>
          <w:lang w:val="fr-BE"/>
        </w:rPr>
        <w:tab/>
        <w:t xml:space="preserve">Fédération générale du travail de Belgique. </w:t>
      </w:r>
    </w:p>
  </w:footnote>
  <w:footnote w:id="17">
    <w:p w:rsidR="004318A4" w:rsidRPr="004E329E" w:rsidRDefault="004318A4">
      <w:pPr>
        <w:pStyle w:val="FootnoteText"/>
        <w:rPr>
          <w:lang w:val="fr-BE"/>
        </w:rPr>
      </w:pPr>
      <w:r>
        <w:rPr>
          <w:rStyle w:val="FootnoteReference"/>
        </w:rPr>
        <w:footnoteRef/>
      </w:r>
      <w:r w:rsidRPr="004E329E">
        <w:rPr>
          <w:lang w:val="fr-BE"/>
        </w:rPr>
        <w:tab/>
        <w:t>Confédération des syndicats chrétiens.</w:t>
      </w:r>
    </w:p>
  </w:footnote>
  <w:footnote w:id="18">
    <w:p w:rsidR="001A62D7" w:rsidRPr="004E329E" w:rsidRDefault="001A62D7" w:rsidP="001A62D7">
      <w:pPr>
        <w:pStyle w:val="FootnoteText"/>
        <w:rPr>
          <w:lang w:val="fr-BE"/>
        </w:rPr>
      </w:pPr>
      <w:r>
        <w:rPr>
          <w:rStyle w:val="FootnoteReference"/>
        </w:rPr>
        <w:footnoteRef/>
      </w:r>
      <w:r w:rsidRPr="004E329E">
        <w:rPr>
          <w:lang w:val="fr-BE"/>
        </w:rPr>
        <w:tab/>
        <w:t>CITE 0-2.</w:t>
      </w:r>
    </w:p>
  </w:footnote>
  <w:footnote w:id="19">
    <w:p w:rsidR="001A62D7" w:rsidRPr="004E329E" w:rsidRDefault="001A62D7" w:rsidP="001A62D7">
      <w:pPr>
        <w:pStyle w:val="FootnoteText"/>
        <w:rPr>
          <w:lang w:val="fr-BE"/>
        </w:rPr>
      </w:pPr>
      <w:r>
        <w:rPr>
          <w:rStyle w:val="FootnoteReference"/>
        </w:rPr>
        <w:footnoteRef/>
      </w:r>
      <w:r w:rsidRPr="004E329E">
        <w:rPr>
          <w:lang w:val="fr-BE"/>
        </w:rPr>
        <w:tab/>
        <w:t>CITE 3.</w:t>
      </w:r>
    </w:p>
  </w:footnote>
  <w:footnote w:id="20">
    <w:p w:rsidR="001A62D7" w:rsidRPr="004E329E" w:rsidRDefault="001A62D7" w:rsidP="001A62D7">
      <w:pPr>
        <w:pStyle w:val="FootnoteText"/>
        <w:rPr>
          <w:lang w:val="fr-BE"/>
        </w:rPr>
      </w:pPr>
      <w:r>
        <w:rPr>
          <w:rStyle w:val="FootnoteReference"/>
        </w:rPr>
        <w:footnoteRef/>
      </w:r>
      <w:r w:rsidRPr="004E329E">
        <w:rPr>
          <w:lang w:val="fr-BE"/>
        </w:rPr>
        <w:tab/>
        <w:t>CITE 4.</w:t>
      </w:r>
    </w:p>
  </w:footnote>
  <w:footnote w:id="21">
    <w:p w:rsidR="001A62D7" w:rsidRPr="004E329E" w:rsidRDefault="001A62D7" w:rsidP="001A62D7">
      <w:pPr>
        <w:pStyle w:val="FootnoteText"/>
        <w:rPr>
          <w:lang w:val="fr-BE"/>
        </w:rPr>
      </w:pPr>
      <w:r>
        <w:rPr>
          <w:rStyle w:val="FootnoteReference"/>
        </w:rPr>
        <w:footnoteRef/>
      </w:r>
      <w:r w:rsidRPr="004E329E">
        <w:rPr>
          <w:lang w:val="fr-BE"/>
        </w:rPr>
        <w:tab/>
        <w:t>CITE 5-8.</w:t>
      </w:r>
    </w:p>
  </w:footnote>
  <w:footnote w:id="22">
    <w:p w:rsidR="001A62D7" w:rsidRPr="004E329E" w:rsidRDefault="001A62D7" w:rsidP="001A62D7">
      <w:pPr>
        <w:pStyle w:val="FootnoteText"/>
        <w:rPr>
          <w:lang w:val="fr-BE"/>
        </w:rPr>
      </w:pPr>
      <w:r>
        <w:rPr>
          <w:rStyle w:val="FootnoteReference"/>
        </w:rPr>
        <w:footnoteRef/>
      </w:r>
      <w:r w:rsidRPr="004E329E">
        <w:rPr>
          <w:lang w:val="fr-BE"/>
        </w:rPr>
        <w:tab/>
        <w:t>Afin d’éviter les décimales, les coûts estimés par travailleur ont été arrondis. Cela n’a néanmoins aucune incidence sur le coût total de chaque mesure, qui reste identique à celui indiqué dans la demande introduite par la Belgique.</w:t>
      </w:r>
    </w:p>
  </w:footnote>
  <w:footnote w:id="23">
    <w:p w:rsidR="001A62D7" w:rsidRPr="004E329E" w:rsidRDefault="001A62D7" w:rsidP="001A62D7">
      <w:pPr>
        <w:pStyle w:val="FootnoteText"/>
        <w:rPr>
          <w:lang w:val="fr-BE"/>
        </w:rPr>
      </w:pPr>
      <w:r>
        <w:rPr>
          <w:rStyle w:val="FootnoteReference"/>
        </w:rPr>
        <w:footnoteRef/>
      </w:r>
      <w:r w:rsidRPr="004E329E">
        <w:rPr>
          <w:lang w:val="fr-BE"/>
        </w:rPr>
        <w:tab/>
        <w:t>Le total ne correspond pas à la multiplication des rubriques en raison de l’arrondi.</w:t>
      </w:r>
    </w:p>
  </w:footnote>
  <w:footnote w:id="24">
    <w:p w:rsidR="001A62D7" w:rsidRPr="004E329E" w:rsidRDefault="001A62D7" w:rsidP="001A62D7">
      <w:pPr>
        <w:pStyle w:val="FootnoteText"/>
        <w:rPr>
          <w:lang w:val="fi-FI"/>
        </w:rPr>
      </w:pPr>
      <w:r>
        <w:rPr>
          <w:rStyle w:val="FootnoteReference"/>
        </w:rPr>
        <w:footnoteRef/>
      </w:r>
      <w:r w:rsidRPr="004E329E">
        <w:rPr>
          <w:lang w:val="fi-FI"/>
        </w:rPr>
        <w:tab/>
        <w:t>JO L 433 I du 22.12.2020, p. 11.</w:t>
      </w:r>
    </w:p>
  </w:footnote>
  <w:footnote w:id="25">
    <w:p w:rsidR="001A62D7" w:rsidRPr="004E329E" w:rsidRDefault="001A62D7" w:rsidP="001A62D7">
      <w:pPr>
        <w:pStyle w:val="FootnoteText"/>
        <w:rPr>
          <w:lang w:val="fi-FI"/>
        </w:rPr>
      </w:pPr>
      <w:r>
        <w:rPr>
          <w:rStyle w:val="FootnoteReference"/>
        </w:rPr>
        <w:footnoteRef/>
      </w:r>
      <w:r w:rsidRPr="004E329E">
        <w:rPr>
          <w:lang w:val="fi-FI"/>
        </w:rPr>
        <w:tab/>
        <w:t xml:space="preserve">JO L, 2024/765, 29.2.2024, ELI: http://data.europa.eu/eli/reg/2024/765/oj. </w:t>
      </w:r>
    </w:p>
  </w:footnote>
  <w:footnote w:id="26">
    <w:p w:rsidR="001A62D7" w:rsidRPr="004E329E" w:rsidRDefault="001A62D7" w:rsidP="001A62D7">
      <w:pPr>
        <w:pStyle w:val="FootnoteText"/>
        <w:rPr>
          <w:lang w:val="fr-BE"/>
        </w:rPr>
      </w:pPr>
      <w:r>
        <w:rPr>
          <w:rStyle w:val="FootnoteReference"/>
        </w:rPr>
        <w:footnoteRef/>
      </w:r>
      <w:r w:rsidRPr="004E329E">
        <w:rPr>
          <w:lang w:val="fr-BE"/>
        </w:rPr>
        <w:tab/>
        <w:t>JO L 433 I du 22.12.2020, p. 28.</w:t>
      </w:r>
    </w:p>
  </w:footnote>
  <w:footnote w:id="27">
    <w:p w:rsidR="001A62D7" w:rsidRPr="004E329E" w:rsidRDefault="001A62D7" w:rsidP="001A62D7">
      <w:pPr>
        <w:pStyle w:val="FootnoteText"/>
        <w:rPr>
          <w:lang w:val="fr-BE"/>
        </w:rPr>
      </w:pPr>
      <w:r>
        <w:rPr>
          <w:rStyle w:val="FootnoteReference"/>
        </w:rPr>
        <w:footnoteRef/>
      </w:r>
      <w:r w:rsidRPr="004E329E">
        <w:rPr>
          <w:lang w:val="fr-BE"/>
        </w:rPr>
        <w:tab/>
        <w:t>Règlement (UE, Euratom) 2024/2509 du Parlement européen et du Conseil du 23 septembre 2024 relatif aux règles financières applicables au budget général de l’Union (refonte) (JO L, 2024/2509, 26.9.2024, ELI: http://data.europa.eu/eli/reg/2024/2509/oj.</w:t>
      </w:r>
    </w:p>
  </w:footnote>
  <w:footnote w:id="28">
    <w:p w:rsidR="001A62D7" w:rsidRPr="004E329E" w:rsidRDefault="001A62D7" w:rsidP="001A62D7">
      <w:pPr>
        <w:pStyle w:val="FootnoteText"/>
        <w:rPr>
          <w:lang w:val="fr-BE"/>
        </w:rPr>
      </w:pPr>
      <w:r>
        <w:rPr>
          <w:rStyle w:val="FootnoteReference"/>
        </w:rPr>
        <w:footnoteRef/>
      </w:r>
      <w:r w:rsidRPr="004E329E">
        <w:rPr>
          <w:lang w:val="fr-BE"/>
        </w:rPr>
        <w:tab/>
        <w:t>JO L 153 du 3.5.2021, p. 48.</w:t>
      </w:r>
    </w:p>
  </w:footnote>
  <w:footnote w:id="29">
    <w:p w:rsidR="001A62D7" w:rsidRPr="004E329E" w:rsidRDefault="001A62D7" w:rsidP="001A62D7">
      <w:pPr>
        <w:pStyle w:val="FootnoteText"/>
        <w:rPr>
          <w:lang w:val="fr-BE"/>
        </w:rPr>
      </w:pPr>
      <w:r>
        <w:rPr>
          <w:rStyle w:val="FootnoteReference"/>
        </w:rPr>
        <w:footnoteRef/>
      </w:r>
      <w:r w:rsidRPr="004E329E">
        <w:rPr>
          <w:lang w:val="fr-BE"/>
        </w:rPr>
        <w:tab/>
        <w:t>JO L 433 I du 22.12.2020, p. 28.</w:t>
      </w:r>
    </w:p>
  </w:footnote>
  <w:footnote w:id="30">
    <w:p w:rsidR="001A62D7" w:rsidRPr="004E329E" w:rsidRDefault="001A62D7" w:rsidP="001A62D7">
      <w:pPr>
        <w:pStyle w:val="FootnoteText"/>
        <w:rPr>
          <w:lang w:val="fr-BE"/>
        </w:rPr>
      </w:pPr>
      <w:r>
        <w:rPr>
          <w:rStyle w:val="FootnoteReference"/>
        </w:rPr>
        <w:footnoteRef/>
      </w:r>
      <w:r w:rsidRPr="004E329E">
        <w:rPr>
          <w:lang w:val="fr-BE"/>
        </w:rPr>
        <w:tab/>
        <w:t>Règlement (UE, Euratom) 2020/2093 du Conseil du 17 décembre 2020 fixant le cadre financier pluriannuel pour les années 2021 à 2027 (JO L 433 I du 22.12.2020, p. 11).</w:t>
      </w:r>
    </w:p>
  </w:footnote>
  <w:footnote w:id="31">
    <w:p w:rsidR="001A62D7" w:rsidRPr="004E329E" w:rsidRDefault="001A62D7" w:rsidP="001A62D7">
      <w:pPr>
        <w:pStyle w:val="FootnoteText"/>
        <w:rPr>
          <w:lang w:val="fi-FI"/>
        </w:rPr>
      </w:pPr>
      <w:r>
        <w:rPr>
          <w:rStyle w:val="FootnoteReference"/>
        </w:rPr>
        <w:footnoteRef/>
      </w:r>
      <w:r w:rsidRPr="004E329E">
        <w:rPr>
          <w:lang w:val="fi-FI"/>
        </w:rPr>
        <w:tab/>
        <w:t>JO L, 2024/765, 29.2.2024, ELI: http://data.europa.eu/eli/reg/2024/765/oj.</w:t>
      </w:r>
    </w:p>
  </w:footnote>
  <w:footnote w:id="32">
    <w:p w:rsidR="001A62D7" w:rsidRPr="004E329E" w:rsidRDefault="001A62D7" w:rsidP="001A62D7">
      <w:pPr>
        <w:pStyle w:val="FootnoteText"/>
        <w:rPr>
          <w:lang w:val="fr-BE"/>
        </w:rPr>
      </w:pPr>
      <w:r>
        <w:rPr>
          <w:rStyle w:val="FootnoteReference"/>
        </w:rPr>
        <w:footnoteRef/>
      </w:r>
      <w:r w:rsidRPr="004E329E">
        <w:rPr>
          <w:lang w:val="fr-BE"/>
        </w:rPr>
        <w:tab/>
        <w:t>COM(2026) 1.</w:t>
      </w:r>
    </w:p>
  </w:footnote>
  <w:footnote w:id="33">
    <w:p w:rsidR="0048027E" w:rsidRPr="004E329E" w:rsidRDefault="0048027E">
      <w:pPr>
        <w:pStyle w:val="FootnoteText"/>
        <w:rPr>
          <w:lang w:val="fr-BE"/>
        </w:rPr>
      </w:pPr>
      <w:r w:rsidRPr="004E329E">
        <w:rPr>
          <w:rStyle w:val="FootnoteReference"/>
          <w:lang w:val="fr-BE"/>
        </w:rPr>
        <w:t>*</w:t>
      </w:r>
      <w:r w:rsidRPr="004E329E">
        <w:rPr>
          <w:lang w:val="fr-BE"/>
        </w:rPr>
        <w:tab/>
      </w:r>
      <w:r w:rsidRPr="004E329E">
        <w:rPr>
          <w:color w:val="FF0000"/>
          <w:lang w:val="fr-BE"/>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7B" w:rsidRDefault="00390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7B" w:rsidRDefault="00390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4 12:08: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736F06C-BBAE-4AD6-B8E3-4BE85B6799EA"/>
    <w:docVar w:name="LW_COVERPAGE_TYPE" w:val="1"/>
    <w:docVar w:name="LW_CreatedUtc" w:val="2025-02-03T12:09:04.7855178Z"/>
    <w:docVar w:name="LW_CROSSREFERENCE" w:val="&lt;UNUSED&gt;"/>
    <w:docVar w:name="LW_DocType" w:val="COM"/>
    <w:docVar w:name="LW_EMISSION" w:val="20.1.2026"/>
    <w:docVar w:name="LW_EMISSION_ISODATE" w:val="2026-01-20"/>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004"/>
    <w:docVar w:name="LW_REF.II.NEW.CP_YEAR" w:val="2026"/>
    <w:docVar w:name="LW_REF.INST.NEW" w:val="COM"/>
    <w:docVar w:name="LW_REF.INST.NEW_ADOPTED" w:val="final"/>
    <w:docVar w:name="LW_REF.INST.NEW_TEXT" w:val="(2026) 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de la Belgique (EGF/2025/004 BE/Tupperware)"/>
    <w:docVar w:name="LW_TYPE.DOC.CP" w:val="DÉCISION DU PARLEMENT EUROPÉEN ET DU CONSEIL"/>
    <w:docVar w:name="LwApiVersions" w:val="LW4CoDe 1.24.5.0; LW 9.2, Build 20251112"/>
  </w:docVars>
  <w:rsids>
    <w:rsidRoot w:val="001A62D7"/>
    <w:rsid w:val="00033D92"/>
    <w:rsid w:val="00035E91"/>
    <w:rsid w:val="0006591A"/>
    <w:rsid w:val="000708BF"/>
    <w:rsid w:val="0008637C"/>
    <w:rsid w:val="000A0C96"/>
    <w:rsid w:val="000A1C4B"/>
    <w:rsid w:val="000A4083"/>
    <w:rsid w:val="000B42C4"/>
    <w:rsid w:val="000C145A"/>
    <w:rsid w:val="000C3E89"/>
    <w:rsid w:val="000D0503"/>
    <w:rsid w:val="000D5925"/>
    <w:rsid w:val="000E625A"/>
    <w:rsid w:val="000F7605"/>
    <w:rsid w:val="000F7F13"/>
    <w:rsid w:val="001016E1"/>
    <w:rsid w:val="00102F23"/>
    <w:rsid w:val="001065F5"/>
    <w:rsid w:val="001238EF"/>
    <w:rsid w:val="0013088B"/>
    <w:rsid w:val="00132C9E"/>
    <w:rsid w:val="00151057"/>
    <w:rsid w:val="00157D5E"/>
    <w:rsid w:val="001666CA"/>
    <w:rsid w:val="0017081A"/>
    <w:rsid w:val="00181CE4"/>
    <w:rsid w:val="001922FC"/>
    <w:rsid w:val="0019380B"/>
    <w:rsid w:val="00197613"/>
    <w:rsid w:val="001A62D7"/>
    <w:rsid w:val="001B5249"/>
    <w:rsid w:val="001F3782"/>
    <w:rsid w:val="001F736B"/>
    <w:rsid w:val="0021476D"/>
    <w:rsid w:val="00226073"/>
    <w:rsid w:val="0023077F"/>
    <w:rsid w:val="00233DC7"/>
    <w:rsid w:val="00247779"/>
    <w:rsid w:val="002606B6"/>
    <w:rsid w:val="002607CC"/>
    <w:rsid w:val="00260B9D"/>
    <w:rsid w:val="00260FBA"/>
    <w:rsid w:val="002668D3"/>
    <w:rsid w:val="00267F7A"/>
    <w:rsid w:val="00270304"/>
    <w:rsid w:val="00276895"/>
    <w:rsid w:val="00285BEE"/>
    <w:rsid w:val="00294433"/>
    <w:rsid w:val="0029533F"/>
    <w:rsid w:val="002A179B"/>
    <w:rsid w:val="002A5F93"/>
    <w:rsid w:val="002B2D97"/>
    <w:rsid w:val="002B30AF"/>
    <w:rsid w:val="002B5503"/>
    <w:rsid w:val="002B7DA4"/>
    <w:rsid w:val="002E37FA"/>
    <w:rsid w:val="002F031C"/>
    <w:rsid w:val="002F598B"/>
    <w:rsid w:val="002F6D5B"/>
    <w:rsid w:val="00301D34"/>
    <w:rsid w:val="00306B2C"/>
    <w:rsid w:val="00317D7E"/>
    <w:rsid w:val="00324C91"/>
    <w:rsid w:val="0033344A"/>
    <w:rsid w:val="003455E2"/>
    <w:rsid w:val="00370EEE"/>
    <w:rsid w:val="00381946"/>
    <w:rsid w:val="00382BB9"/>
    <w:rsid w:val="00390E7B"/>
    <w:rsid w:val="003A2739"/>
    <w:rsid w:val="003E5475"/>
    <w:rsid w:val="003E6C66"/>
    <w:rsid w:val="003F559C"/>
    <w:rsid w:val="003F6A27"/>
    <w:rsid w:val="0042648E"/>
    <w:rsid w:val="004318A4"/>
    <w:rsid w:val="00432F3D"/>
    <w:rsid w:val="00442679"/>
    <w:rsid w:val="00442837"/>
    <w:rsid w:val="00477960"/>
    <w:rsid w:val="0048027E"/>
    <w:rsid w:val="004936D2"/>
    <w:rsid w:val="004B5899"/>
    <w:rsid w:val="004C6A4C"/>
    <w:rsid w:val="004D1402"/>
    <w:rsid w:val="004E329E"/>
    <w:rsid w:val="004E4CCE"/>
    <w:rsid w:val="004F5528"/>
    <w:rsid w:val="00501100"/>
    <w:rsid w:val="00503B67"/>
    <w:rsid w:val="005107E7"/>
    <w:rsid w:val="00510E10"/>
    <w:rsid w:val="005311BF"/>
    <w:rsid w:val="00534BAE"/>
    <w:rsid w:val="00537BC8"/>
    <w:rsid w:val="00545485"/>
    <w:rsid w:val="005507EE"/>
    <w:rsid w:val="00566C26"/>
    <w:rsid w:val="00591E79"/>
    <w:rsid w:val="005A1AE7"/>
    <w:rsid w:val="005A2426"/>
    <w:rsid w:val="005B1EB6"/>
    <w:rsid w:val="005C0FCE"/>
    <w:rsid w:val="005C5FFF"/>
    <w:rsid w:val="005D1AB7"/>
    <w:rsid w:val="005D77CF"/>
    <w:rsid w:val="005E047F"/>
    <w:rsid w:val="005E17A8"/>
    <w:rsid w:val="006035E2"/>
    <w:rsid w:val="00605200"/>
    <w:rsid w:val="00615FD1"/>
    <w:rsid w:val="00617B44"/>
    <w:rsid w:val="00632E8C"/>
    <w:rsid w:val="00632EF7"/>
    <w:rsid w:val="00636752"/>
    <w:rsid w:val="00645503"/>
    <w:rsid w:val="0065479C"/>
    <w:rsid w:val="00676E5E"/>
    <w:rsid w:val="00680236"/>
    <w:rsid w:val="00693331"/>
    <w:rsid w:val="006A4C8D"/>
    <w:rsid w:val="006A791B"/>
    <w:rsid w:val="006C61DB"/>
    <w:rsid w:val="006F7874"/>
    <w:rsid w:val="00711A0E"/>
    <w:rsid w:val="007210E7"/>
    <w:rsid w:val="00731699"/>
    <w:rsid w:val="00773331"/>
    <w:rsid w:val="007932EF"/>
    <w:rsid w:val="0079691C"/>
    <w:rsid w:val="007B4D4B"/>
    <w:rsid w:val="007B7B88"/>
    <w:rsid w:val="007D0874"/>
    <w:rsid w:val="007D76A8"/>
    <w:rsid w:val="007D7BFD"/>
    <w:rsid w:val="007E05B0"/>
    <w:rsid w:val="0081327E"/>
    <w:rsid w:val="00816030"/>
    <w:rsid w:val="00831DA5"/>
    <w:rsid w:val="00842DE2"/>
    <w:rsid w:val="008517A2"/>
    <w:rsid w:val="00865D62"/>
    <w:rsid w:val="00867657"/>
    <w:rsid w:val="00874D22"/>
    <w:rsid w:val="00885564"/>
    <w:rsid w:val="00886144"/>
    <w:rsid w:val="008937DF"/>
    <w:rsid w:val="0089667B"/>
    <w:rsid w:val="008A2914"/>
    <w:rsid w:val="008C31EF"/>
    <w:rsid w:val="008D1A3A"/>
    <w:rsid w:val="008D2433"/>
    <w:rsid w:val="008E0467"/>
    <w:rsid w:val="008E2501"/>
    <w:rsid w:val="008E4D8E"/>
    <w:rsid w:val="008F1670"/>
    <w:rsid w:val="008F2AAF"/>
    <w:rsid w:val="0090631D"/>
    <w:rsid w:val="00906B18"/>
    <w:rsid w:val="00913B23"/>
    <w:rsid w:val="009243B3"/>
    <w:rsid w:val="00950D9A"/>
    <w:rsid w:val="00962A27"/>
    <w:rsid w:val="00982359"/>
    <w:rsid w:val="00986646"/>
    <w:rsid w:val="00994992"/>
    <w:rsid w:val="009975E8"/>
    <w:rsid w:val="009A2D29"/>
    <w:rsid w:val="009A476A"/>
    <w:rsid w:val="009C1544"/>
    <w:rsid w:val="009D2F4A"/>
    <w:rsid w:val="009D584B"/>
    <w:rsid w:val="00A01872"/>
    <w:rsid w:val="00A101DD"/>
    <w:rsid w:val="00A13A19"/>
    <w:rsid w:val="00A23AD3"/>
    <w:rsid w:val="00A40086"/>
    <w:rsid w:val="00A41071"/>
    <w:rsid w:val="00A47C32"/>
    <w:rsid w:val="00A80F5F"/>
    <w:rsid w:val="00A8186D"/>
    <w:rsid w:val="00A839AD"/>
    <w:rsid w:val="00A858E1"/>
    <w:rsid w:val="00A95B6E"/>
    <w:rsid w:val="00AA005D"/>
    <w:rsid w:val="00AA0EDE"/>
    <w:rsid w:val="00AB752B"/>
    <w:rsid w:val="00AB7DEC"/>
    <w:rsid w:val="00AC52DF"/>
    <w:rsid w:val="00AD6FD6"/>
    <w:rsid w:val="00AE118B"/>
    <w:rsid w:val="00AE6C39"/>
    <w:rsid w:val="00AF208A"/>
    <w:rsid w:val="00B00403"/>
    <w:rsid w:val="00B05AD9"/>
    <w:rsid w:val="00B3534F"/>
    <w:rsid w:val="00B4382F"/>
    <w:rsid w:val="00B63616"/>
    <w:rsid w:val="00B66F26"/>
    <w:rsid w:val="00B704E3"/>
    <w:rsid w:val="00B71A14"/>
    <w:rsid w:val="00B7490A"/>
    <w:rsid w:val="00B80B11"/>
    <w:rsid w:val="00B91565"/>
    <w:rsid w:val="00BD3852"/>
    <w:rsid w:val="00BD5E1C"/>
    <w:rsid w:val="00BE41FC"/>
    <w:rsid w:val="00BF1675"/>
    <w:rsid w:val="00BF1FAA"/>
    <w:rsid w:val="00BF345B"/>
    <w:rsid w:val="00C0648B"/>
    <w:rsid w:val="00C12301"/>
    <w:rsid w:val="00C1247E"/>
    <w:rsid w:val="00C27CA3"/>
    <w:rsid w:val="00C3134D"/>
    <w:rsid w:val="00C31C18"/>
    <w:rsid w:val="00C4369E"/>
    <w:rsid w:val="00C43A56"/>
    <w:rsid w:val="00C6179C"/>
    <w:rsid w:val="00C62444"/>
    <w:rsid w:val="00C676E6"/>
    <w:rsid w:val="00C72BBE"/>
    <w:rsid w:val="00C8145D"/>
    <w:rsid w:val="00C91B29"/>
    <w:rsid w:val="00C920E4"/>
    <w:rsid w:val="00C97675"/>
    <w:rsid w:val="00CA6106"/>
    <w:rsid w:val="00CA7506"/>
    <w:rsid w:val="00CA758A"/>
    <w:rsid w:val="00CB4216"/>
    <w:rsid w:val="00CB770A"/>
    <w:rsid w:val="00CE1368"/>
    <w:rsid w:val="00CF02C4"/>
    <w:rsid w:val="00CF0A80"/>
    <w:rsid w:val="00CF6583"/>
    <w:rsid w:val="00D0194B"/>
    <w:rsid w:val="00D01F4D"/>
    <w:rsid w:val="00D12FDB"/>
    <w:rsid w:val="00D1381A"/>
    <w:rsid w:val="00D20381"/>
    <w:rsid w:val="00D368A2"/>
    <w:rsid w:val="00D50124"/>
    <w:rsid w:val="00D5383C"/>
    <w:rsid w:val="00D54F1D"/>
    <w:rsid w:val="00D5511F"/>
    <w:rsid w:val="00D63BE7"/>
    <w:rsid w:val="00D82574"/>
    <w:rsid w:val="00D857B5"/>
    <w:rsid w:val="00D9183E"/>
    <w:rsid w:val="00D9239A"/>
    <w:rsid w:val="00DA573A"/>
    <w:rsid w:val="00DB30CF"/>
    <w:rsid w:val="00DC2EFE"/>
    <w:rsid w:val="00DD57E0"/>
    <w:rsid w:val="00DD7120"/>
    <w:rsid w:val="00DE618C"/>
    <w:rsid w:val="00DF06F7"/>
    <w:rsid w:val="00E05A43"/>
    <w:rsid w:val="00E109B3"/>
    <w:rsid w:val="00E1163B"/>
    <w:rsid w:val="00E21A98"/>
    <w:rsid w:val="00E23D1A"/>
    <w:rsid w:val="00E27ED9"/>
    <w:rsid w:val="00E346FB"/>
    <w:rsid w:val="00E36376"/>
    <w:rsid w:val="00E67727"/>
    <w:rsid w:val="00E72BC1"/>
    <w:rsid w:val="00E74598"/>
    <w:rsid w:val="00E8310A"/>
    <w:rsid w:val="00E938E4"/>
    <w:rsid w:val="00EA2098"/>
    <w:rsid w:val="00EA23D0"/>
    <w:rsid w:val="00EC0779"/>
    <w:rsid w:val="00EC5B04"/>
    <w:rsid w:val="00EE2975"/>
    <w:rsid w:val="00EF0641"/>
    <w:rsid w:val="00F22A3E"/>
    <w:rsid w:val="00F26AB0"/>
    <w:rsid w:val="00F542D2"/>
    <w:rsid w:val="00F7303A"/>
    <w:rsid w:val="00F73F14"/>
    <w:rsid w:val="00F8093C"/>
    <w:rsid w:val="00F814C4"/>
    <w:rsid w:val="00F81DE0"/>
    <w:rsid w:val="00F845B0"/>
    <w:rsid w:val="00F84783"/>
    <w:rsid w:val="00F932F8"/>
    <w:rsid w:val="00FA048A"/>
    <w:rsid w:val="00FA097A"/>
    <w:rsid w:val="00FA0D1E"/>
    <w:rsid w:val="00FA4D79"/>
    <w:rsid w:val="00FB1FD4"/>
    <w:rsid w:val="00FC38F8"/>
    <w:rsid w:val="00FD0DDA"/>
    <w:rsid w:val="00FD5FB1"/>
    <w:rsid w:val="00FE64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390E7B"/>
    <w:rPr>
      <w:rFonts w:ascii="Times New Roman" w:hAnsi="Times New Roman" w:cs="Times New Roman"/>
      <w:sz w:val="24"/>
      <w:lang w:val="fr-FR"/>
    </w:rPr>
  </w:style>
  <w:style w:type="character" w:customStyle="1" w:styleId="FooterChar">
    <w:name w:val="Footer Char"/>
    <w:basedOn w:val="DefaultParagraphFont"/>
    <w:link w:val="Footer"/>
    <w:uiPriority w:val="99"/>
    <w:rsid w:val="00390E7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90E7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90E7B"/>
    <w:pPr>
      <w:spacing w:before="0"/>
      <w:jc w:val="right"/>
    </w:pPr>
    <w:rPr>
      <w:sz w:val="28"/>
    </w:rPr>
  </w:style>
  <w:style w:type="paragraph" w:customStyle="1" w:styleId="FooterSensitivity">
    <w:name w:val="Footer Sensitivity"/>
    <w:basedOn w:val="Normal"/>
    <w:rsid w:val="00390E7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90E7B"/>
    <w:pPr>
      <w:tabs>
        <w:tab w:val="center" w:pos="4535"/>
        <w:tab w:val="right" w:pos="9071"/>
      </w:tabs>
      <w:spacing w:before="0"/>
    </w:pPr>
  </w:style>
  <w:style w:type="paragraph" w:customStyle="1" w:styleId="HeaderLandscape">
    <w:name w:val="HeaderLandscape"/>
    <w:basedOn w:val="Normal"/>
    <w:rsid w:val="00390E7B"/>
    <w:pPr>
      <w:tabs>
        <w:tab w:val="center" w:pos="7285"/>
        <w:tab w:val="right" w:pos="14003"/>
      </w:tabs>
      <w:spacing w:before="0"/>
    </w:pPr>
  </w:style>
  <w:style w:type="paragraph" w:styleId="Footer">
    <w:name w:val="footer"/>
    <w:basedOn w:val="Normal"/>
    <w:link w:val="FooterChar"/>
    <w:uiPriority w:val="99"/>
    <w:unhideWhenUsed/>
    <w:rsid w:val="00390E7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90E7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bestat.statbel.fgov.be/bestat/crosstable.xhtml?view=4beb6e55-ffd5-471e-a8ba-094d942559ac" TargetMode="External"/><Relationship Id="rId2" Type="http://schemas.openxmlformats.org/officeDocument/2006/relationships/hyperlink" Target="https://provincies.incijfers.be/databank?workspace_guid=5ab494ca-f0d6-4b99-a9fd-2595a4e67d0b" TargetMode="External"/><Relationship Id="rId1" Type="http://schemas.openxmlformats.org/officeDocument/2006/relationships/hyperlink" Target="https://bestat.statbel.fgov.be/bestat/crosstable.xhtml?view=bf348576-546f-4008-8a02-48c1736adc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E6EA6-7511-4A10-AA07-1EE8C1525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11</Pages>
  <Words>3831</Words>
  <Characters>21838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2026-01-05T15:36:00Z</dcterms:created>
  <dcterms:modified xsi:type="dcterms:W3CDTF">2026-01-14T11:08:00Z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