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403097" w:rsidRDefault="004B3AF5" w:rsidP="004B3AF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D60F64-30C1-4590-BA74-AEA8CB6D293D" style="width:455.25pt;height:342.75pt">
            <v:imagedata r:id="rId8" o:title=""/>
          </v:shape>
        </w:pict>
      </w:r>
    </w:p>
    <w:p w:rsidR="001A62D7" w:rsidRPr="00403097" w:rsidRDefault="001A62D7" w:rsidP="001A62D7">
      <w:pPr>
        <w:rPr>
          <w:noProof/>
        </w:rPr>
        <w:sectPr w:rsidR="001A62D7" w:rsidRPr="00403097" w:rsidSect="004B3AF5">
          <w:footerReference w:type="even" r:id="rId9"/>
          <w:footerReference w:type="default" r:id="rId10"/>
          <w:pgSz w:w="11907" w:h="16839"/>
          <w:pgMar w:top="1134" w:right="1417" w:bottom="1134" w:left="1417" w:header="709" w:footer="709" w:gutter="0"/>
          <w:pgNumType w:start="0"/>
          <w:cols w:space="720"/>
          <w:docGrid w:linePitch="360"/>
        </w:sectPr>
      </w:pPr>
    </w:p>
    <w:p w:rsidR="001A62D7" w:rsidRPr="00403097" w:rsidRDefault="001A62D7" w:rsidP="001A62D7">
      <w:pPr>
        <w:pStyle w:val="Exposdesmotifstitre"/>
        <w:rPr>
          <w:noProof/>
        </w:rPr>
      </w:pPr>
      <w:bookmarkStart w:id="0" w:name="_GoBack"/>
      <w:bookmarkEnd w:id="0"/>
      <w:r w:rsidRPr="00403097">
        <w:rPr>
          <w:noProof/>
        </w:rPr>
        <w:lastRenderedPageBreak/>
        <w:t>EXPUNERE DE MOTIVE</w:t>
      </w:r>
    </w:p>
    <w:p w:rsidR="001A62D7" w:rsidRPr="00403097" w:rsidRDefault="001A62D7" w:rsidP="001A62D7">
      <w:pPr>
        <w:pStyle w:val="ManualHeading1"/>
        <w:rPr>
          <w:noProof/>
        </w:rPr>
      </w:pPr>
      <w:r w:rsidRPr="00403097">
        <w:rPr>
          <w:noProof/>
        </w:rPr>
        <w:t>CONTEXTUL PROPUNERII</w:t>
      </w:r>
    </w:p>
    <w:p w:rsidR="001A62D7" w:rsidRPr="00403097" w:rsidRDefault="00BA61D1" w:rsidP="00BA61D1">
      <w:pPr>
        <w:pStyle w:val="ManualNumPar1"/>
        <w:rPr>
          <w:noProof/>
        </w:rPr>
      </w:pPr>
      <w:r w:rsidRPr="00BA61D1">
        <w:rPr>
          <w:noProof/>
        </w:rPr>
        <w:t>1.</w:t>
      </w:r>
      <w:r w:rsidRPr="00BA61D1">
        <w:rPr>
          <w:noProof/>
        </w:rPr>
        <w:tab/>
      </w:r>
      <w:r w:rsidR="001A62D7" w:rsidRPr="00403097">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001A62D7" w:rsidRPr="00403097">
        <w:rPr>
          <w:rStyle w:val="FootnoteReference"/>
          <w:noProof/>
        </w:rPr>
        <w:footnoteReference w:id="1"/>
      </w:r>
      <w:r w:rsidR="001A62D7" w:rsidRPr="00403097">
        <w:rPr>
          <w:noProof/>
        </w:rPr>
        <w:t>.</w:t>
      </w:r>
    </w:p>
    <w:p w:rsidR="001A62D7" w:rsidRPr="00403097" w:rsidRDefault="00BA61D1" w:rsidP="00BA61D1">
      <w:pPr>
        <w:pStyle w:val="ManualNumPar1"/>
        <w:rPr>
          <w:noProof/>
        </w:rPr>
      </w:pPr>
      <w:r w:rsidRPr="00BA61D1">
        <w:rPr>
          <w:noProof/>
        </w:rPr>
        <w:t>2.</w:t>
      </w:r>
      <w:r w:rsidRPr="00BA61D1">
        <w:rPr>
          <w:noProof/>
        </w:rPr>
        <w:tab/>
      </w:r>
      <w:r w:rsidR="001A62D7" w:rsidRPr="00403097">
        <w:rPr>
          <w:noProof/>
        </w:rPr>
        <w:t>La 28 august 2025, Belgia a depus cererea EGF/</w:t>
      </w:r>
      <w:bookmarkStart w:id="1" w:name="EGF_Ref_Year"/>
      <w:r w:rsidR="001A62D7" w:rsidRPr="00403097">
        <w:rPr>
          <w:noProof/>
        </w:rPr>
        <w:t>2025</w:t>
      </w:r>
      <w:bookmarkEnd w:id="1"/>
      <w:r w:rsidR="001A62D7" w:rsidRPr="00403097">
        <w:rPr>
          <w:noProof/>
        </w:rPr>
        <w:t>/</w:t>
      </w:r>
      <w:bookmarkStart w:id="2" w:name="EGF_Ref_CaseNumber"/>
      <w:r w:rsidR="001A62D7" w:rsidRPr="00403097">
        <w:rPr>
          <w:noProof/>
        </w:rPr>
        <w:t>004</w:t>
      </w:r>
      <w:bookmarkEnd w:id="2"/>
      <w:r w:rsidR="001A62D7" w:rsidRPr="00403097">
        <w:rPr>
          <w:noProof/>
        </w:rPr>
        <w:t> </w:t>
      </w:r>
      <w:bookmarkStart w:id="3" w:name="MS_Code"/>
      <w:r w:rsidR="001A62D7" w:rsidRPr="00403097">
        <w:rPr>
          <w:noProof/>
        </w:rPr>
        <w:t>BE</w:t>
      </w:r>
      <w:bookmarkEnd w:id="3"/>
      <w:r w:rsidR="001A62D7" w:rsidRPr="00403097">
        <w:rPr>
          <w:noProof/>
        </w:rPr>
        <w:t>/</w:t>
      </w:r>
      <w:bookmarkStart w:id="4" w:name="EGF_Ref_CaseName"/>
      <w:r w:rsidR="001A62D7" w:rsidRPr="00403097">
        <w:rPr>
          <w:noProof/>
        </w:rPr>
        <w:t>Tupperware</w:t>
      </w:r>
      <w:bookmarkEnd w:id="4"/>
      <w:r w:rsidR="001A62D7" w:rsidRPr="00403097">
        <w:rPr>
          <w:noProof/>
        </w:rPr>
        <w:t xml:space="preserve"> pentru a obține o contribuție financiară din partea FEG, ca urmare a disponibilizărilor de la </w:t>
      </w:r>
      <w:bookmarkStart w:id="5" w:name="PrimEnterprise_Name"/>
      <w:r w:rsidR="001A62D7" w:rsidRPr="00403097">
        <w:rPr>
          <w:noProof/>
        </w:rPr>
        <w:t xml:space="preserve">Tupperware </w:t>
      </w:r>
      <w:bookmarkStart w:id="6" w:name="_Hlk211004330"/>
      <w:r w:rsidR="001A62D7" w:rsidRPr="00403097">
        <w:rPr>
          <w:noProof/>
        </w:rPr>
        <w:t>General Services NV</w:t>
      </w:r>
      <w:bookmarkEnd w:id="6"/>
      <w:bookmarkEnd w:id="5"/>
      <w:r w:rsidR="00403097">
        <w:rPr>
          <w:noProof/>
        </w:rPr>
        <w:t xml:space="preserve"> </w:t>
      </w:r>
      <w:r w:rsidR="001A62D7" w:rsidRPr="00403097">
        <w:rPr>
          <w:noProof/>
        </w:rPr>
        <w:t xml:space="preserve">din </w:t>
      </w:r>
      <w:bookmarkStart w:id="7" w:name="MS_Name"/>
      <w:r w:rsidR="001A62D7" w:rsidRPr="00403097">
        <w:rPr>
          <w:noProof/>
        </w:rPr>
        <w:t>Belgia</w:t>
      </w:r>
      <w:bookmarkEnd w:id="7"/>
      <w:r w:rsidR="001A62D7" w:rsidRPr="00403097">
        <w:rPr>
          <w:noProof/>
        </w:rPr>
        <w:t>.</w:t>
      </w:r>
    </w:p>
    <w:p w:rsidR="001A62D7" w:rsidRPr="00403097" w:rsidRDefault="00BA61D1" w:rsidP="00BA61D1">
      <w:pPr>
        <w:pStyle w:val="ManualNumPar1"/>
        <w:rPr>
          <w:noProof/>
        </w:rPr>
      </w:pPr>
      <w:r w:rsidRPr="00BA61D1">
        <w:rPr>
          <w:noProof/>
        </w:rPr>
        <w:t>3.</w:t>
      </w:r>
      <w:r w:rsidRPr="00BA61D1">
        <w:rPr>
          <w:noProof/>
        </w:rPr>
        <w:tab/>
      </w:r>
      <w:r w:rsidR="001A62D7" w:rsidRPr="00403097">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403097" w:rsidRDefault="001A62D7" w:rsidP="001A62D7">
      <w:pPr>
        <w:pStyle w:val="ManualHeading1"/>
        <w:rPr>
          <w:noProof/>
        </w:rPr>
      </w:pPr>
      <w:r w:rsidRPr="00403097">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403097" w:rsidTr="001D5990">
        <w:tc>
          <w:tcPr>
            <w:tcW w:w="4908" w:type="dxa"/>
            <w:shd w:val="clear" w:color="auto" w:fill="auto"/>
          </w:tcPr>
          <w:p w:rsidR="001A62D7" w:rsidRPr="00403097" w:rsidRDefault="001A62D7" w:rsidP="001D5990">
            <w:pPr>
              <w:spacing w:before="60" w:after="60"/>
              <w:jc w:val="left"/>
              <w:rPr>
                <w:rFonts w:eastAsia="Calibri"/>
                <w:noProof/>
              </w:rPr>
            </w:pPr>
            <w:r w:rsidRPr="00403097">
              <w:rPr>
                <w:noProof/>
              </w:rPr>
              <w:t>Cererea FEG</w:t>
            </w:r>
          </w:p>
        </w:tc>
        <w:tc>
          <w:tcPr>
            <w:tcW w:w="4379" w:type="dxa"/>
            <w:shd w:val="clear" w:color="auto" w:fill="auto"/>
          </w:tcPr>
          <w:p w:rsidR="001A62D7" w:rsidRPr="00403097" w:rsidRDefault="001A62D7" w:rsidP="001D5990">
            <w:pPr>
              <w:spacing w:before="60" w:after="60"/>
              <w:ind w:rightChars="192" w:right="461"/>
              <w:jc w:val="left"/>
              <w:rPr>
                <w:rFonts w:eastAsia="Calibri"/>
                <w:noProof/>
              </w:rPr>
            </w:pPr>
            <w:r w:rsidRPr="00403097">
              <w:rPr>
                <w:noProof/>
              </w:rPr>
              <w:t>EGF/2025/004 BE/Tupperware</w:t>
            </w:r>
          </w:p>
        </w:tc>
      </w:tr>
      <w:tr w:rsidR="001A62D7" w:rsidRPr="00403097" w:rsidTr="001D5990">
        <w:tc>
          <w:tcPr>
            <w:tcW w:w="4908" w:type="dxa"/>
            <w:shd w:val="clear" w:color="auto" w:fill="auto"/>
          </w:tcPr>
          <w:p w:rsidR="001A62D7" w:rsidRPr="00403097" w:rsidRDefault="001A62D7" w:rsidP="001D5990">
            <w:pPr>
              <w:spacing w:before="60" w:after="60"/>
              <w:jc w:val="left"/>
              <w:rPr>
                <w:rFonts w:eastAsia="Calibri"/>
                <w:noProof/>
              </w:rPr>
            </w:pPr>
            <w:r w:rsidRPr="00403097">
              <w:rPr>
                <w:noProof/>
              </w:rPr>
              <w:t>Statul membru</w:t>
            </w:r>
          </w:p>
        </w:tc>
        <w:tc>
          <w:tcPr>
            <w:tcW w:w="4379" w:type="dxa"/>
            <w:shd w:val="clear" w:color="auto" w:fill="auto"/>
          </w:tcPr>
          <w:p w:rsidR="001A62D7" w:rsidRPr="00403097" w:rsidRDefault="00BF1FAA" w:rsidP="001D5990">
            <w:pPr>
              <w:spacing w:before="60" w:after="60"/>
              <w:ind w:rightChars="192" w:right="461"/>
              <w:jc w:val="left"/>
              <w:rPr>
                <w:rFonts w:eastAsia="Calibri"/>
                <w:noProof/>
              </w:rPr>
            </w:pPr>
            <w:r w:rsidRPr="00403097">
              <w:rPr>
                <w:noProof/>
              </w:rPr>
              <w:t>Belgia</w:t>
            </w:r>
          </w:p>
        </w:tc>
      </w:tr>
      <w:tr w:rsidR="001A62D7" w:rsidRPr="00403097" w:rsidTr="001D5990">
        <w:tc>
          <w:tcPr>
            <w:tcW w:w="4908" w:type="dxa"/>
            <w:tcBorders>
              <w:bottom w:val="single"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Regiunea sau regiunile vizate (nivel NUTS</w:t>
            </w:r>
            <w:r w:rsidRPr="00403097">
              <w:rPr>
                <w:rStyle w:val="FootnoteReference"/>
                <w:noProof/>
              </w:rPr>
              <w:footnoteReference w:id="2"/>
            </w:r>
            <w:r w:rsidRPr="00403097">
              <w:rPr>
                <w:noProof/>
              </w:rPr>
              <w:t xml:space="preserve"> 2)</w:t>
            </w:r>
          </w:p>
        </w:tc>
        <w:tc>
          <w:tcPr>
            <w:tcW w:w="4379" w:type="dxa"/>
            <w:tcBorders>
              <w:bottom w:val="single" w:sz="4" w:space="0" w:color="auto"/>
            </w:tcBorders>
            <w:shd w:val="clear" w:color="auto" w:fill="auto"/>
          </w:tcPr>
          <w:p w:rsidR="001A62D7" w:rsidRPr="00403097" w:rsidRDefault="00BF1FAA" w:rsidP="00BF1FAA">
            <w:pPr>
              <w:spacing w:before="0" w:after="0"/>
              <w:ind w:rightChars="192" w:right="461"/>
              <w:jc w:val="left"/>
              <w:rPr>
                <w:noProof/>
                <w:szCs w:val="24"/>
              </w:rPr>
            </w:pPr>
            <w:bookmarkStart w:id="8" w:name="Region_1_Name"/>
            <w:r w:rsidRPr="00403097">
              <w:rPr>
                <w:noProof/>
              </w:rPr>
              <w:t>Provincie Oost-Vlaanderen</w:t>
            </w:r>
            <w:bookmarkEnd w:id="8"/>
            <w:r w:rsidRPr="00403097">
              <w:rPr>
                <w:noProof/>
              </w:rPr>
              <w:t xml:space="preserve"> (BE23)</w:t>
            </w:r>
          </w:p>
        </w:tc>
      </w:tr>
      <w:tr w:rsidR="001A62D7" w:rsidRPr="00403097" w:rsidTr="001D5990">
        <w:tc>
          <w:tcPr>
            <w:tcW w:w="4908" w:type="dxa"/>
            <w:tcBorders>
              <w:bottom w:val="dotted"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Data depunerii cererii</w:t>
            </w:r>
          </w:p>
        </w:tc>
        <w:tc>
          <w:tcPr>
            <w:tcW w:w="4379" w:type="dxa"/>
            <w:tcBorders>
              <w:bottom w:val="dotted" w:sz="4" w:space="0" w:color="auto"/>
            </w:tcBorders>
            <w:shd w:val="clear" w:color="auto" w:fill="auto"/>
          </w:tcPr>
          <w:p w:rsidR="001A62D7" w:rsidRPr="00403097" w:rsidRDefault="00477960" w:rsidP="001D5990">
            <w:pPr>
              <w:spacing w:before="60" w:after="60"/>
              <w:ind w:rightChars="192" w:right="461"/>
              <w:jc w:val="left"/>
              <w:rPr>
                <w:rFonts w:eastAsia="Calibri"/>
                <w:noProof/>
              </w:rPr>
            </w:pPr>
            <w:r w:rsidRPr="00403097">
              <w:rPr>
                <w:noProof/>
              </w:rPr>
              <w:t>28 august 2025</w:t>
            </w:r>
          </w:p>
        </w:tc>
      </w:tr>
      <w:tr w:rsidR="001A62D7" w:rsidRPr="00403097" w:rsidTr="001D5990">
        <w:tc>
          <w:tcPr>
            <w:tcW w:w="4908" w:type="dxa"/>
            <w:tcBorders>
              <w:top w:val="dotted" w:sz="4" w:space="0" w:color="auto"/>
              <w:bottom w:val="dotted"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Data confirmării primirii cererii</w:t>
            </w:r>
          </w:p>
        </w:tc>
        <w:tc>
          <w:tcPr>
            <w:tcW w:w="4379" w:type="dxa"/>
            <w:tcBorders>
              <w:top w:val="dotted" w:sz="4" w:space="0" w:color="auto"/>
              <w:bottom w:val="dotted" w:sz="4" w:space="0" w:color="auto"/>
            </w:tcBorders>
            <w:shd w:val="clear" w:color="auto" w:fill="auto"/>
          </w:tcPr>
          <w:p w:rsidR="001A62D7" w:rsidRPr="00403097" w:rsidRDefault="00645503" w:rsidP="001D5990">
            <w:pPr>
              <w:spacing w:before="60" w:after="60"/>
              <w:ind w:rightChars="192" w:right="461"/>
              <w:jc w:val="left"/>
              <w:rPr>
                <w:rFonts w:eastAsia="Calibri"/>
                <w:noProof/>
              </w:rPr>
            </w:pPr>
            <w:r w:rsidRPr="00403097">
              <w:rPr>
                <w:noProof/>
              </w:rPr>
              <w:t>28 august 2025</w:t>
            </w:r>
          </w:p>
        </w:tc>
      </w:tr>
      <w:tr w:rsidR="001A62D7" w:rsidRPr="00403097" w:rsidTr="001D5990">
        <w:tc>
          <w:tcPr>
            <w:tcW w:w="4908" w:type="dxa"/>
            <w:tcBorders>
              <w:top w:val="dotted" w:sz="4" w:space="0" w:color="auto"/>
              <w:bottom w:val="dotted"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Data cererii de informații suplimentare</w:t>
            </w:r>
          </w:p>
        </w:tc>
        <w:tc>
          <w:tcPr>
            <w:tcW w:w="4379" w:type="dxa"/>
            <w:tcBorders>
              <w:top w:val="dotted" w:sz="4" w:space="0" w:color="auto"/>
              <w:bottom w:val="dotted" w:sz="4" w:space="0" w:color="auto"/>
            </w:tcBorders>
            <w:shd w:val="clear" w:color="auto" w:fill="auto"/>
          </w:tcPr>
          <w:p w:rsidR="001A62D7" w:rsidRPr="00403097" w:rsidRDefault="00645503" w:rsidP="001D5990">
            <w:pPr>
              <w:spacing w:before="60" w:after="60"/>
              <w:ind w:rightChars="192" w:right="461"/>
              <w:jc w:val="left"/>
              <w:rPr>
                <w:rFonts w:eastAsia="Calibri"/>
                <w:noProof/>
              </w:rPr>
            </w:pPr>
            <w:r w:rsidRPr="00403097">
              <w:rPr>
                <w:noProof/>
              </w:rPr>
              <w:t>10 octombrie 2025</w:t>
            </w:r>
          </w:p>
        </w:tc>
      </w:tr>
      <w:tr w:rsidR="001A62D7" w:rsidRPr="00403097" w:rsidTr="001D5990">
        <w:tc>
          <w:tcPr>
            <w:tcW w:w="4908" w:type="dxa"/>
            <w:tcBorders>
              <w:top w:val="dotted" w:sz="4" w:space="0" w:color="auto"/>
              <w:bottom w:val="dotted"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Termenul pentru furnizarea informațiilor suplimentare</w:t>
            </w:r>
          </w:p>
        </w:tc>
        <w:tc>
          <w:tcPr>
            <w:tcW w:w="4379" w:type="dxa"/>
            <w:tcBorders>
              <w:top w:val="dotted" w:sz="4" w:space="0" w:color="auto"/>
              <w:bottom w:val="dotted" w:sz="4" w:space="0" w:color="auto"/>
            </w:tcBorders>
            <w:shd w:val="clear" w:color="auto" w:fill="auto"/>
          </w:tcPr>
          <w:p w:rsidR="001A62D7" w:rsidRPr="00403097" w:rsidRDefault="00645503" w:rsidP="001D5990">
            <w:pPr>
              <w:spacing w:before="60" w:after="60"/>
              <w:ind w:rightChars="192" w:right="461"/>
              <w:jc w:val="left"/>
              <w:rPr>
                <w:rFonts w:eastAsia="Calibri"/>
                <w:noProof/>
              </w:rPr>
            </w:pPr>
            <w:r w:rsidRPr="00403097">
              <w:rPr>
                <w:noProof/>
              </w:rPr>
              <w:t>31 octombrie 2025</w:t>
            </w:r>
          </w:p>
        </w:tc>
      </w:tr>
      <w:tr w:rsidR="001A62D7" w:rsidRPr="00403097" w:rsidTr="001D5990">
        <w:tc>
          <w:tcPr>
            <w:tcW w:w="4908" w:type="dxa"/>
            <w:tcBorders>
              <w:top w:val="dotted"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Termenul pentru finalizarea evaluării</w:t>
            </w:r>
          </w:p>
        </w:tc>
        <w:tc>
          <w:tcPr>
            <w:tcW w:w="4379" w:type="dxa"/>
            <w:tcBorders>
              <w:top w:val="dotted" w:sz="4" w:space="0" w:color="auto"/>
            </w:tcBorders>
            <w:shd w:val="clear" w:color="auto" w:fill="auto"/>
          </w:tcPr>
          <w:p w:rsidR="001A62D7" w:rsidRPr="00403097" w:rsidRDefault="00645503" w:rsidP="001D5990">
            <w:pPr>
              <w:spacing w:before="60" w:after="60"/>
              <w:ind w:rightChars="192" w:right="461"/>
              <w:jc w:val="left"/>
              <w:rPr>
                <w:rFonts w:eastAsia="Calibri"/>
                <w:noProof/>
              </w:rPr>
            </w:pPr>
            <w:r w:rsidRPr="00403097">
              <w:rPr>
                <w:noProof/>
              </w:rPr>
              <w:t>21 ianuarie 2026</w:t>
            </w:r>
          </w:p>
        </w:tc>
      </w:tr>
      <w:tr w:rsidR="001A62D7" w:rsidRPr="00403097" w:rsidTr="001D5990">
        <w:tc>
          <w:tcPr>
            <w:tcW w:w="4908" w:type="dxa"/>
            <w:shd w:val="clear" w:color="auto" w:fill="auto"/>
          </w:tcPr>
          <w:p w:rsidR="001A62D7" w:rsidRPr="00403097" w:rsidRDefault="001A62D7" w:rsidP="001D5990">
            <w:pPr>
              <w:spacing w:before="60" w:after="60"/>
              <w:jc w:val="left"/>
              <w:rPr>
                <w:rFonts w:eastAsia="Calibri"/>
                <w:noProof/>
              </w:rPr>
            </w:pPr>
            <w:r w:rsidRPr="00403097">
              <w:rPr>
                <w:noProof/>
              </w:rPr>
              <w:t>Criteriul de intervenție</w:t>
            </w:r>
          </w:p>
        </w:tc>
        <w:tc>
          <w:tcPr>
            <w:tcW w:w="4379" w:type="dxa"/>
            <w:shd w:val="clear" w:color="auto" w:fill="auto"/>
          </w:tcPr>
          <w:p w:rsidR="001A62D7" w:rsidRPr="00403097" w:rsidRDefault="001A62D7" w:rsidP="001D5990">
            <w:pPr>
              <w:spacing w:before="60" w:after="60"/>
              <w:ind w:rightChars="192" w:right="461"/>
              <w:jc w:val="left"/>
              <w:rPr>
                <w:rFonts w:eastAsia="Calibri"/>
                <w:noProof/>
              </w:rPr>
            </w:pPr>
            <w:r w:rsidRPr="00403097">
              <w:rPr>
                <w:noProof/>
              </w:rPr>
              <w:t>Articolul 4 alineatul (2) litera (a) din Regulamentul (UE) 2021/691</w:t>
            </w:r>
          </w:p>
        </w:tc>
      </w:tr>
      <w:tr w:rsidR="001A62D7" w:rsidRPr="00403097" w:rsidTr="001D5990">
        <w:tc>
          <w:tcPr>
            <w:tcW w:w="4908" w:type="dxa"/>
            <w:tcBorders>
              <w:top w:val="single" w:sz="4" w:space="0" w:color="auto"/>
              <w:bottom w:val="single" w:sz="4" w:space="0" w:color="auto"/>
              <w:right w:val="single"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br w:type="page"/>
              <w:t>Întreprinderea principală</w:t>
            </w:r>
          </w:p>
        </w:tc>
        <w:tc>
          <w:tcPr>
            <w:tcW w:w="4379" w:type="dxa"/>
            <w:tcBorders>
              <w:top w:val="single" w:sz="4" w:space="0" w:color="auto"/>
              <w:left w:val="single" w:sz="4" w:space="0" w:color="auto"/>
              <w:bottom w:val="single" w:sz="4" w:space="0" w:color="auto"/>
            </w:tcBorders>
            <w:shd w:val="clear" w:color="auto" w:fill="auto"/>
          </w:tcPr>
          <w:p w:rsidR="001A62D7" w:rsidRPr="00403097" w:rsidRDefault="00831DA5" w:rsidP="001D5990">
            <w:pPr>
              <w:spacing w:before="60" w:after="60"/>
              <w:ind w:rightChars="192" w:right="461"/>
              <w:jc w:val="left"/>
              <w:rPr>
                <w:noProof/>
                <w:szCs w:val="24"/>
              </w:rPr>
            </w:pPr>
            <w:r w:rsidRPr="00403097">
              <w:rPr>
                <w:noProof/>
              </w:rPr>
              <w:t>Tupperware General Services NV</w:t>
            </w:r>
          </w:p>
        </w:tc>
      </w:tr>
      <w:tr w:rsidR="001A62D7" w:rsidRPr="00403097" w:rsidTr="001D5990">
        <w:tc>
          <w:tcPr>
            <w:tcW w:w="4908" w:type="dxa"/>
            <w:shd w:val="clear" w:color="auto" w:fill="auto"/>
          </w:tcPr>
          <w:p w:rsidR="001A62D7" w:rsidRPr="00403097" w:rsidRDefault="001A62D7" w:rsidP="001D5990">
            <w:pPr>
              <w:spacing w:before="60" w:after="60"/>
              <w:jc w:val="left"/>
              <w:rPr>
                <w:rFonts w:eastAsia="Calibri"/>
                <w:noProof/>
              </w:rPr>
            </w:pPr>
            <w:r w:rsidRPr="00403097">
              <w:rPr>
                <w:noProof/>
              </w:rPr>
              <w:t>Sectorul (sectoarele) de activitate economică</w:t>
            </w:r>
          </w:p>
          <w:p w:rsidR="001A62D7" w:rsidRPr="00403097" w:rsidRDefault="001A62D7" w:rsidP="001D5990">
            <w:pPr>
              <w:spacing w:before="60" w:after="60"/>
              <w:jc w:val="left"/>
              <w:rPr>
                <w:rFonts w:eastAsia="Calibri"/>
                <w:noProof/>
              </w:rPr>
            </w:pPr>
            <w:r w:rsidRPr="00403097">
              <w:rPr>
                <w:noProof/>
              </w:rPr>
              <w:t>(diviziunea NACE Rev. 2)</w:t>
            </w:r>
            <w:r w:rsidRPr="00403097">
              <w:rPr>
                <w:rStyle w:val="FootnoteReference"/>
                <w:noProof/>
                <w:szCs w:val="24"/>
              </w:rPr>
              <w:footnoteReference w:id="3"/>
            </w:r>
          </w:p>
        </w:tc>
        <w:tc>
          <w:tcPr>
            <w:tcW w:w="4379" w:type="dxa"/>
            <w:shd w:val="clear" w:color="auto" w:fill="auto"/>
          </w:tcPr>
          <w:p w:rsidR="001A62D7" w:rsidRPr="00403097" w:rsidRDefault="001A62D7" w:rsidP="00BF1FAA">
            <w:pPr>
              <w:spacing w:before="60" w:after="60"/>
              <w:ind w:rightChars="192" w:right="461"/>
              <w:jc w:val="left"/>
              <w:rPr>
                <w:rFonts w:eastAsia="Calibri"/>
                <w:noProof/>
              </w:rPr>
            </w:pPr>
            <w:r w:rsidRPr="00403097">
              <w:rPr>
                <w:noProof/>
              </w:rPr>
              <w:t>Diviziunea 22 (Fabricarea produselor din cauciuc și mase plastice)</w:t>
            </w:r>
          </w:p>
        </w:tc>
      </w:tr>
      <w:tr w:rsidR="001A62D7" w:rsidRPr="00403097" w:rsidTr="001D5990">
        <w:tc>
          <w:tcPr>
            <w:tcW w:w="4908" w:type="dxa"/>
            <w:tcBorders>
              <w:bottom w:val="single"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Perioada de referință (patru luni):</w:t>
            </w:r>
          </w:p>
        </w:tc>
        <w:tc>
          <w:tcPr>
            <w:tcW w:w="4379" w:type="dxa"/>
            <w:tcBorders>
              <w:bottom w:val="single" w:sz="4" w:space="0" w:color="auto"/>
            </w:tcBorders>
            <w:shd w:val="clear" w:color="auto" w:fill="auto"/>
          </w:tcPr>
          <w:p w:rsidR="001A62D7" w:rsidRPr="00403097" w:rsidRDefault="00994992" w:rsidP="001D5990">
            <w:pPr>
              <w:spacing w:before="60" w:after="60"/>
              <w:ind w:rightChars="192" w:right="461"/>
              <w:jc w:val="left"/>
              <w:rPr>
                <w:rFonts w:eastAsia="Calibri"/>
                <w:noProof/>
              </w:rPr>
            </w:pPr>
            <w:r w:rsidRPr="00403097">
              <w:rPr>
                <w:noProof/>
              </w:rPr>
              <w:t>17 februarie 2025 - 17 iunie 2025</w:t>
            </w:r>
          </w:p>
        </w:tc>
      </w:tr>
      <w:tr w:rsidR="001A62D7" w:rsidRPr="00403097" w:rsidTr="001D5990">
        <w:tc>
          <w:tcPr>
            <w:tcW w:w="4908" w:type="dxa"/>
            <w:tcBorders>
              <w:bottom w:val="dotted" w:sz="4" w:space="0" w:color="auto"/>
            </w:tcBorders>
            <w:shd w:val="clear" w:color="auto" w:fill="auto"/>
          </w:tcPr>
          <w:p w:rsidR="001A62D7" w:rsidRPr="00403097" w:rsidRDefault="001A62D7" w:rsidP="001D5990">
            <w:pPr>
              <w:spacing w:before="60" w:after="60"/>
              <w:jc w:val="left"/>
              <w:rPr>
                <w:rFonts w:eastAsia="Calibri"/>
                <w:noProof/>
                <w:highlight w:val="magenta"/>
              </w:rPr>
            </w:pPr>
            <w:r w:rsidRPr="00403097">
              <w:rPr>
                <w:noProof/>
              </w:rPr>
              <w:t>Numărul de disponibilizări în perioada de referință (</w:t>
            </w:r>
            <w:r w:rsidRPr="00403097">
              <w:rPr>
                <w:i/>
                <w:iCs/>
                <w:noProof/>
              </w:rPr>
              <w:t>a</w:t>
            </w:r>
            <w:r w:rsidRPr="00403097">
              <w:rPr>
                <w:noProof/>
              </w:rPr>
              <w:t>)</w:t>
            </w:r>
          </w:p>
        </w:tc>
        <w:tc>
          <w:tcPr>
            <w:tcW w:w="4379" w:type="dxa"/>
            <w:tcBorders>
              <w:bottom w:val="dotted" w:sz="4" w:space="0" w:color="auto"/>
            </w:tcBorders>
            <w:shd w:val="clear" w:color="auto" w:fill="auto"/>
          </w:tcPr>
          <w:p w:rsidR="001A62D7" w:rsidRPr="00403097" w:rsidRDefault="00BF1FAA" w:rsidP="001D5990">
            <w:pPr>
              <w:spacing w:before="60" w:after="60"/>
              <w:ind w:rightChars="192" w:right="461"/>
              <w:jc w:val="left"/>
              <w:rPr>
                <w:rFonts w:eastAsia="Calibri"/>
                <w:noProof/>
                <w:highlight w:val="magenta"/>
              </w:rPr>
            </w:pPr>
            <w:r w:rsidRPr="00403097">
              <w:rPr>
                <w:noProof/>
              </w:rPr>
              <w:t>267</w:t>
            </w:r>
          </w:p>
        </w:tc>
      </w:tr>
      <w:tr w:rsidR="001A62D7" w:rsidRPr="00403097" w:rsidTr="001D5990">
        <w:tc>
          <w:tcPr>
            <w:tcW w:w="4908" w:type="dxa"/>
            <w:tcBorders>
              <w:bottom w:val="dotted"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Numărul total de beneficiari eligibili</w:t>
            </w:r>
          </w:p>
        </w:tc>
        <w:tc>
          <w:tcPr>
            <w:tcW w:w="4379" w:type="dxa"/>
            <w:tcBorders>
              <w:bottom w:val="dotted" w:sz="4" w:space="0" w:color="auto"/>
            </w:tcBorders>
            <w:shd w:val="clear" w:color="auto" w:fill="auto"/>
          </w:tcPr>
          <w:p w:rsidR="001A62D7" w:rsidRPr="00403097" w:rsidRDefault="00BF1FAA" w:rsidP="001D5990">
            <w:pPr>
              <w:spacing w:before="60" w:after="60"/>
              <w:ind w:rightChars="192" w:right="461"/>
              <w:jc w:val="left"/>
              <w:rPr>
                <w:rFonts w:eastAsia="Calibri"/>
                <w:noProof/>
              </w:rPr>
            </w:pPr>
            <w:r w:rsidRPr="00403097">
              <w:rPr>
                <w:noProof/>
              </w:rPr>
              <w:t>267</w:t>
            </w:r>
          </w:p>
        </w:tc>
      </w:tr>
      <w:tr w:rsidR="001A62D7" w:rsidRPr="00403097" w:rsidTr="001D5990">
        <w:tc>
          <w:tcPr>
            <w:tcW w:w="4908" w:type="dxa"/>
            <w:tcBorders>
              <w:top w:val="dotted" w:sz="4" w:space="0" w:color="auto"/>
              <w:bottom w:val="dotted" w:sz="4" w:space="0" w:color="auto"/>
            </w:tcBorders>
            <w:shd w:val="clear" w:color="auto" w:fill="auto"/>
          </w:tcPr>
          <w:p w:rsidR="001A62D7" w:rsidRPr="00403097" w:rsidRDefault="001A62D7" w:rsidP="001D5990">
            <w:pPr>
              <w:spacing w:before="60" w:after="60"/>
              <w:jc w:val="left"/>
              <w:rPr>
                <w:rFonts w:eastAsia="Calibri"/>
                <w:noProof/>
              </w:rPr>
            </w:pPr>
            <w:r w:rsidRPr="00403097">
              <w:rPr>
                <w:noProof/>
              </w:rPr>
              <w:t>Numărul total de beneficiari vizați</w:t>
            </w:r>
          </w:p>
        </w:tc>
        <w:tc>
          <w:tcPr>
            <w:tcW w:w="4379" w:type="dxa"/>
            <w:tcBorders>
              <w:top w:val="dotted" w:sz="4" w:space="0" w:color="auto"/>
              <w:bottom w:val="dotted" w:sz="4" w:space="0" w:color="auto"/>
            </w:tcBorders>
            <w:shd w:val="clear" w:color="auto" w:fill="auto"/>
          </w:tcPr>
          <w:p w:rsidR="001A62D7" w:rsidRPr="00403097" w:rsidRDefault="00BF1FAA" w:rsidP="001D5990">
            <w:pPr>
              <w:spacing w:before="60" w:after="60"/>
              <w:ind w:rightChars="192" w:right="461"/>
              <w:jc w:val="left"/>
              <w:rPr>
                <w:rFonts w:eastAsia="Calibri"/>
                <w:noProof/>
              </w:rPr>
            </w:pPr>
            <w:r w:rsidRPr="00403097">
              <w:rPr>
                <w:noProof/>
              </w:rPr>
              <w:t>267</w:t>
            </w:r>
          </w:p>
        </w:tc>
      </w:tr>
      <w:tr w:rsidR="001A62D7" w:rsidRPr="00403097" w:rsidTr="001D5990">
        <w:tc>
          <w:tcPr>
            <w:tcW w:w="4908" w:type="dxa"/>
            <w:tcBorders>
              <w:bottom w:val="dotted" w:sz="4" w:space="0" w:color="auto"/>
            </w:tcBorders>
            <w:shd w:val="clear" w:color="auto" w:fill="auto"/>
            <w:vAlign w:val="center"/>
          </w:tcPr>
          <w:p w:rsidR="001A62D7" w:rsidRPr="00403097" w:rsidRDefault="001A62D7" w:rsidP="001D5990">
            <w:pPr>
              <w:spacing w:before="0" w:after="0"/>
              <w:jc w:val="left"/>
              <w:rPr>
                <w:noProof/>
              </w:rPr>
            </w:pPr>
            <w:r w:rsidRPr="00403097">
              <w:rPr>
                <w:noProof/>
              </w:rPr>
              <w:t>Bugetul pentru servicii personalizate (EUR)</w:t>
            </w:r>
          </w:p>
        </w:tc>
        <w:tc>
          <w:tcPr>
            <w:tcW w:w="4379" w:type="dxa"/>
            <w:tcBorders>
              <w:bottom w:val="dotted" w:sz="4" w:space="0" w:color="auto"/>
            </w:tcBorders>
            <w:shd w:val="clear" w:color="auto" w:fill="auto"/>
            <w:vAlign w:val="center"/>
          </w:tcPr>
          <w:p w:rsidR="001A62D7" w:rsidRPr="00403097" w:rsidRDefault="00A101DD" w:rsidP="001D5990">
            <w:pPr>
              <w:spacing w:before="0" w:after="0"/>
              <w:ind w:rightChars="192" w:right="461"/>
              <w:jc w:val="left"/>
              <w:rPr>
                <w:noProof/>
              </w:rPr>
            </w:pPr>
            <w:r w:rsidRPr="00403097">
              <w:rPr>
                <w:noProof/>
              </w:rPr>
              <w:t>1 843 500</w:t>
            </w:r>
          </w:p>
        </w:tc>
      </w:tr>
      <w:tr w:rsidR="001A62D7" w:rsidRPr="00403097" w:rsidTr="001D5990">
        <w:tc>
          <w:tcPr>
            <w:tcW w:w="4908" w:type="dxa"/>
            <w:tcBorders>
              <w:top w:val="dotted" w:sz="4" w:space="0" w:color="auto"/>
              <w:bottom w:val="dotted" w:sz="4" w:space="0" w:color="auto"/>
            </w:tcBorders>
            <w:shd w:val="clear" w:color="auto" w:fill="auto"/>
            <w:vAlign w:val="center"/>
          </w:tcPr>
          <w:p w:rsidR="001A62D7" w:rsidRPr="00403097" w:rsidRDefault="001A62D7" w:rsidP="001D5990">
            <w:pPr>
              <w:spacing w:before="0" w:after="0"/>
              <w:jc w:val="left"/>
              <w:rPr>
                <w:noProof/>
              </w:rPr>
            </w:pPr>
            <w:r w:rsidRPr="00403097">
              <w:rPr>
                <w:noProof/>
              </w:rPr>
              <w:t>Bugetul pentru implementarea FEG</w:t>
            </w:r>
            <w:r w:rsidRPr="00403097">
              <w:rPr>
                <w:rStyle w:val="FootnoteReference"/>
                <w:noProof/>
              </w:rPr>
              <w:footnoteReference w:id="4"/>
            </w:r>
            <w:r w:rsidRPr="00403097">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403097" w:rsidRDefault="002A5F93" w:rsidP="001D5990">
            <w:pPr>
              <w:spacing w:before="0" w:after="0"/>
              <w:ind w:rightChars="192" w:right="461"/>
              <w:jc w:val="left"/>
              <w:rPr>
                <w:noProof/>
              </w:rPr>
            </w:pPr>
            <w:r w:rsidRPr="00403097">
              <w:rPr>
                <w:noProof/>
              </w:rPr>
              <w:t>65 500</w:t>
            </w:r>
          </w:p>
        </w:tc>
      </w:tr>
      <w:tr w:rsidR="001A62D7" w:rsidRPr="00403097" w:rsidTr="001D5990">
        <w:tc>
          <w:tcPr>
            <w:tcW w:w="4908" w:type="dxa"/>
            <w:tcBorders>
              <w:top w:val="dotted" w:sz="4" w:space="0" w:color="auto"/>
              <w:bottom w:val="dotted" w:sz="4" w:space="0" w:color="auto"/>
            </w:tcBorders>
            <w:shd w:val="clear" w:color="auto" w:fill="auto"/>
            <w:vAlign w:val="center"/>
          </w:tcPr>
          <w:p w:rsidR="001A62D7" w:rsidRPr="00403097" w:rsidRDefault="001A62D7" w:rsidP="001D5990">
            <w:pPr>
              <w:spacing w:before="0" w:after="0"/>
              <w:jc w:val="left"/>
              <w:rPr>
                <w:noProof/>
              </w:rPr>
            </w:pPr>
            <w:r w:rsidRPr="00403097">
              <w:rPr>
                <w:noProof/>
              </w:rPr>
              <w:t>Bugetul total (EUR)</w:t>
            </w:r>
          </w:p>
        </w:tc>
        <w:tc>
          <w:tcPr>
            <w:tcW w:w="4379" w:type="dxa"/>
            <w:tcBorders>
              <w:top w:val="dotted" w:sz="4" w:space="0" w:color="auto"/>
              <w:bottom w:val="dotted" w:sz="4" w:space="0" w:color="auto"/>
            </w:tcBorders>
            <w:shd w:val="clear" w:color="auto" w:fill="auto"/>
            <w:vAlign w:val="center"/>
          </w:tcPr>
          <w:p w:rsidR="001A62D7" w:rsidRPr="00403097" w:rsidRDefault="00A101DD" w:rsidP="001D5990">
            <w:pPr>
              <w:spacing w:before="0" w:after="0"/>
              <w:ind w:rightChars="192" w:right="461"/>
              <w:jc w:val="left"/>
              <w:rPr>
                <w:noProof/>
              </w:rPr>
            </w:pPr>
            <w:r w:rsidRPr="00403097">
              <w:rPr>
                <w:noProof/>
              </w:rPr>
              <w:t>1 909 000</w:t>
            </w:r>
          </w:p>
        </w:tc>
      </w:tr>
      <w:tr w:rsidR="001A62D7" w:rsidRPr="00403097" w:rsidTr="001D5990">
        <w:tc>
          <w:tcPr>
            <w:tcW w:w="4908" w:type="dxa"/>
            <w:tcBorders>
              <w:top w:val="dotted" w:sz="4" w:space="0" w:color="auto"/>
            </w:tcBorders>
            <w:shd w:val="clear" w:color="auto" w:fill="auto"/>
            <w:vAlign w:val="center"/>
          </w:tcPr>
          <w:p w:rsidR="001A62D7" w:rsidRPr="00403097" w:rsidRDefault="001A62D7" w:rsidP="001D5990">
            <w:pPr>
              <w:spacing w:before="0" w:after="0"/>
              <w:jc w:val="left"/>
              <w:rPr>
                <w:noProof/>
              </w:rPr>
            </w:pPr>
            <w:r w:rsidRPr="00403097">
              <w:rPr>
                <w:noProof/>
              </w:rPr>
              <w:t>Contribuția FEG (85 %) (EUR)</w:t>
            </w:r>
          </w:p>
        </w:tc>
        <w:tc>
          <w:tcPr>
            <w:tcW w:w="4379" w:type="dxa"/>
            <w:tcBorders>
              <w:top w:val="dotted" w:sz="4" w:space="0" w:color="auto"/>
            </w:tcBorders>
            <w:shd w:val="clear" w:color="auto" w:fill="auto"/>
            <w:vAlign w:val="center"/>
          </w:tcPr>
          <w:p w:rsidR="001A62D7" w:rsidRPr="00403097" w:rsidRDefault="00A101DD" w:rsidP="001D5990">
            <w:pPr>
              <w:spacing w:before="0" w:after="0"/>
              <w:ind w:rightChars="192" w:right="461"/>
              <w:jc w:val="left"/>
              <w:rPr>
                <w:noProof/>
              </w:rPr>
            </w:pPr>
            <w:r w:rsidRPr="00403097">
              <w:rPr>
                <w:noProof/>
              </w:rPr>
              <w:t>1 622 650</w:t>
            </w:r>
          </w:p>
        </w:tc>
      </w:tr>
    </w:tbl>
    <w:p w:rsidR="001A62D7" w:rsidRPr="00403097" w:rsidRDefault="001A62D7" w:rsidP="001A62D7">
      <w:pPr>
        <w:pStyle w:val="ManualHeading1"/>
        <w:rPr>
          <w:noProof/>
        </w:rPr>
      </w:pPr>
      <w:r w:rsidRPr="00403097">
        <w:rPr>
          <w:noProof/>
        </w:rPr>
        <w:t>EVALUAREA CERERII</w:t>
      </w:r>
    </w:p>
    <w:p w:rsidR="001A62D7" w:rsidRPr="00403097" w:rsidRDefault="001A62D7" w:rsidP="001A62D7">
      <w:pPr>
        <w:pStyle w:val="ManualHeading2"/>
        <w:rPr>
          <w:noProof/>
        </w:rPr>
      </w:pPr>
      <w:r w:rsidRPr="00403097">
        <w:rPr>
          <w:noProof/>
        </w:rPr>
        <w:t>Procedura</w:t>
      </w:r>
    </w:p>
    <w:p w:rsidR="001A62D7" w:rsidRPr="00403097" w:rsidRDefault="00BA61D1" w:rsidP="00BA61D1">
      <w:pPr>
        <w:pStyle w:val="ManualNumPar1"/>
        <w:rPr>
          <w:noProof/>
        </w:rPr>
      </w:pPr>
      <w:r w:rsidRPr="00BA61D1">
        <w:rPr>
          <w:noProof/>
        </w:rPr>
        <w:t>4.</w:t>
      </w:r>
      <w:r w:rsidRPr="00BA61D1">
        <w:rPr>
          <w:noProof/>
        </w:rPr>
        <w:tab/>
      </w:r>
      <w:r w:rsidR="003A2739" w:rsidRPr="00403097">
        <w:rPr>
          <w:noProof/>
        </w:rPr>
        <w:t xml:space="preserve">La 28 august 2025, Belgia a depus cererea EGF/2025/004 BE/Tupperware în termen de 12 săptămâni de la data la care au fost îndeplinite criteriile de intervenție prevăzute la articolul 4 alineatul (2) litera (a) din Regulamentul (UE) 2021/691. Comisia a confirmat primirea cererii la aceeași dată. Comisia a intrat în posesia traducerii cererii la 26 septembrie 2025 și a solicitat Belgiei informații suplimentare la 10 octombrie 2025. Aceste informații suplimentare au fost furnizate în termen de 15 zile lucrătoare de la data solicitării. Termenul de 50 de zile lucrătoare de la data primirii cererii complete, în cursul căruia Comisia trebuie să finalizeze evaluarea conformității cererii cu condițiile de acordare a unei contribuții financiare, expiră la 21 ianuarie 2026. </w:t>
      </w:r>
    </w:p>
    <w:p w:rsidR="001A62D7" w:rsidRPr="00403097" w:rsidRDefault="001A62D7" w:rsidP="001A62D7">
      <w:pPr>
        <w:pStyle w:val="ManualHeading2"/>
        <w:rPr>
          <w:noProof/>
        </w:rPr>
      </w:pPr>
      <w:r w:rsidRPr="00403097">
        <w:rPr>
          <w:noProof/>
        </w:rPr>
        <w:t>Eligibilitatea cererii</w:t>
      </w:r>
    </w:p>
    <w:p w:rsidR="001A62D7" w:rsidRPr="00403097" w:rsidRDefault="001A62D7" w:rsidP="001A62D7">
      <w:pPr>
        <w:pStyle w:val="ManualHeading3"/>
        <w:rPr>
          <w:noProof/>
        </w:rPr>
      </w:pPr>
      <w:r w:rsidRPr="00403097">
        <w:rPr>
          <w:noProof/>
        </w:rPr>
        <w:t>Întreprinderile și beneficiarii în cauză</w:t>
      </w:r>
    </w:p>
    <w:p w:rsidR="001A62D7" w:rsidRPr="00403097" w:rsidRDefault="00BA61D1" w:rsidP="00BA61D1">
      <w:pPr>
        <w:pStyle w:val="ManualNumPar1"/>
        <w:rPr>
          <w:noProof/>
          <w:szCs w:val="24"/>
        </w:rPr>
      </w:pPr>
      <w:r w:rsidRPr="00BA61D1">
        <w:rPr>
          <w:noProof/>
        </w:rPr>
        <w:t>5.</w:t>
      </w:r>
      <w:r w:rsidRPr="00BA61D1">
        <w:rPr>
          <w:noProof/>
        </w:rPr>
        <w:tab/>
      </w:r>
      <w:r w:rsidR="001A62D7" w:rsidRPr="00403097">
        <w:rPr>
          <w:noProof/>
        </w:rPr>
        <w:t>Cererea se referă la 267 de lucrători disponibilizați, a căror activitate în cadrul Tupperware General Services NV a încetat. Această întreprindere funcționează în sectorul economic încadrat la diviziunea 22 a NACE Rev. 2 (Fabricarea produselor din cauciuc și mase plastice). Disponibilizările au avut loc în regiunea de nivel NUTS 2, Provincie Oost-Vlaanderen (BE23).</w:t>
      </w:r>
    </w:p>
    <w:p w:rsidR="001A62D7" w:rsidRPr="00403097" w:rsidRDefault="001A62D7" w:rsidP="001A62D7">
      <w:pPr>
        <w:pStyle w:val="ManualHeading3"/>
        <w:rPr>
          <w:noProof/>
        </w:rPr>
      </w:pPr>
      <w:r w:rsidRPr="00403097">
        <w:rPr>
          <w:noProof/>
        </w:rPr>
        <w:t>Criteriile de intervenție</w:t>
      </w:r>
    </w:p>
    <w:p w:rsidR="001A62D7" w:rsidRPr="00403097" w:rsidRDefault="00BA61D1" w:rsidP="00BA61D1">
      <w:pPr>
        <w:pStyle w:val="ManualNumPar1"/>
        <w:rPr>
          <w:noProof/>
        </w:rPr>
      </w:pPr>
      <w:r w:rsidRPr="00BA61D1">
        <w:rPr>
          <w:noProof/>
        </w:rPr>
        <w:t>6.</w:t>
      </w:r>
      <w:r w:rsidRPr="00BA61D1">
        <w:rPr>
          <w:noProof/>
        </w:rPr>
        <w:tab/>
      </w:r>
      <w:r w:rsidR="00DB30CF" w:rsidRPr="00403097">
        <w:rPr>
          <w:noProof/>
        </w:rPr>
        <w:t>Belgia a depus cererea în temeiul criteriilor de intervenție prevăzute la articolul 4 alineatul (2) litera (a) din Regulamentul (UE) 2021/691, care prevede drept condiție încetarea activității a cel puțin 200 de lucrători disponibilizați, într-o perioadă de referință de patru luni, într-o întreprindere dintr-un stat membru, inclusiv lucrători disponibilizați de furnizorii și producătorii din aval și/sau lucrători independenți a căror activitate a încetat.</w:t>
      </w:r>
    </w:p>
    <w:p w:rsidR="001A62D7" w:rsidRPr="00403097" w:rsidRDefault="00BA61D1" w:rsidP="00BA61D1">
      <w:pPr>
        <w:pStyle w:val="ManualNumPar1"/>
        <w:rPr>
          <w:noProof/>
        </w:rPr>
      </w:pPr>
      <w:bookmarkStart w:id="9" w:name="_Ref372189348"/>
      <w:r w:rsidRPr="00BA61D1">
        <w:rPr>
          <w:noProof/>
        </w:rPr>
        <w:t>7.</w:t>
      </w:r>
      <w:r w:rsidRPr="00BA61D1">
        <w:rPr>
          <w:noProof/>
        </w:rPr>
        <w:tab/>
      </w:r>
      <w:r w:rsidR="001A62D7" w:rsidRPr="00403097">
        <w:rPr>
          <w:noProof/>
        </w:rPr>
        <w:t>Perioada de referință de patru luni pentru cerere este cuprinsă între 17 februarie 2025 și</w:t>
      </w:r>
      <w:bookmarkEnd w:id="9"/>
      <w:r w:rsidR="001A62D7" w:rsidRPr="00403097">
        <w:rPr>
          <w:noProof/>
        </w:rPr>
        <w:t xml:space="preserve"> 17 iunie 2025.</w:t>
      </w:r>
    </w:p>
    <w:p w:rsidR="001A62D7" w:rsidRPr="00403097" w:rsidRDefault="00BA61D1" w:rsidP="00BA61D1">
      <w:pPr>
        <w:pStyle w:val="ManualNumPar1"/>
        <w:rPr>
          <w:noProof/>
        </w:rPr>
      </w:pPr>
      <w:r w:rsidRPr="00BA61D1">
        <w:rPr>
          <w:noProof/>
        </w:rPr>
        <w:t>8.</w:t>
      </w:r>
      <w:r w:rsidRPr="00BA61D1">
        <w:rPr>
          <w:noProof/>
        </w:rPr>
        <w:tab/>
      </w:r>
      <w:r w:rsidR="001A62D7" w:rsidRPr="00403097">
        <w:rPr>
          <w:noProof/>
        </w:rPr>
        <w:t>În perioada de referință, Tupperware General Services NV a disponibilizat 267 lucrători.</w:t>
      </w:r>
    </w:p>
    <w:p w:rsidR="001A62D7" w:rsidRPr="00403097" w:rsidRDefault="001A62D7" w:rsidP="001A62D7">
      <w:pPr>
        <w:pStyle w:val="ManualHeading3"/>
        <w:rPr>
          <w:noProof/>
        </w:rPr>
      </w:pPr>
      <w:r w:rsidRPr="00403097">
        <w:rPr>
          <w:noProof/>
        </w:rPr>
        <w:t>Calcularea disponibilizărilor și a cazurilor de încetare a activității</w:t>
      </w:r>
    </w:p>
    <w:p w:rsidR="001A62D7" w:rsidRPr="00403097" w:rsidRDefault="00BA61D1" w:rsidP="00BA61D1">
      <w:pPr>
        <w:pStyle w:val="ManualNumPar1"/>
        <w:rPr>
          <w:noProof/>
        </w:rPr>
      </w:pPr>
      <w:r w:rsidRPr="00BA61D1">
        <w:rPr>
          <w:noProof/>
        </w:rPr>
        <w:t>9.</w:t>
      </w:r>
      <w:r w:rsidRPr="00BA61D1">
        <w:rPr>
          <w:noProof/>
        </w:rPr>
        <w:tab/>
      </w:r>
      <w:r w:rsidR="001A62D7" w:rsidRPr="00403097">
        <w:rPr>
          <w:noProof/>
        </w:rPr>
        <w:t>În conformitate cu articolul 6 primul paragraf litera (a) coroborat cu articolul 5 primul paragraf litera (c) din Regulamentul (UE) 2021/691, încetarea activității celor 267 de lucrători disponibilizați în cursul perioadei de referință a fost calculată de la data încetării de facto a contractului de muncă sau de la data expirării acestuia.</w:t>
      </w:r>
    </w:p>
    <w:p w:rsidR="001A62D7" w:rsidRPr="00403097" w:rsidRDefault="00DD7120" w:rsidP="001A62D7">
      <w:pPr>
        <w:pStyle w:val="ManualHeading3"/>
        <w:rPr>
          <w:noProof/>
        </w:rPr>
      </w:pPr>
      <w:r w:rsidRPr="00403097">
        <w:rPr>
          <w:noProof/>
        </w:rPr>
        <w:t>Beneficiarii eligibili</w:t>
      </w:r>
    </w:p>
    <w:p w:rsidR="001A62D7" w:rsidRPr="00403097" w:rsidRDefault="00BA61D1" w:rsidP="00BA61D1">
      <w:pPr>
        <w:pStyle w:val="ManualNumPar1"/>
        <w:rPr>
          <w:noProof/>
        </w:rPr>
      </w:pPr>
      <w:r w:rsidRPr="00BA61D1">
        <w:rPr>
          <w:noProof/>
        </w:rPr>
        <w:t>10.</w:t>
      </w:r>
      <w:r w:rsidRPr="00BA61D1">
        <w:rPr>
          <w:noProof/>
        </w:rPr>
        <w:tab/>
      </w:r>
      <w:r w:rsidR="001A62D7" w:rsidRPr="00403097">
        <w:rPr>
          <w:noProof/>
        </w:rPr>
        <w:t>Numărul total al beneficiarilor eligibili este de 267.</w:t>
      </w:r>
    </w:p>
    <w:p w:rsidR="001A62D7" w:rsidRPr="00403097" w:rsidRDefault="001A62D7" w:rsidP="001A62D7">
      <w:pPr>
        <w:pStyle w:val="ManualHeading3"/>
        <w:rPr>
          <w:noProof/>
        </w:rPr>
      </w:pPr>
      <w:r w:rsidRPr="00403097">
        <w:rPr>
          <w:noProof/>
        </w:rPr>
        <w:t>Descrierea evenimentelor care au determinat disponibilizările și încetarea activității</w:t>
      </w:r>
    </w:p>
    <w:p w:rsidR="000F7605" w:rsidRPr="00403097" w:rsidRDefault="00BA61D1" w:rsidP="00BA61D1">
      <w:pPr>
        <w:pStyle w:val="ManualNumPar1"/>
        <w:rPr>
          <w:noProof/>
        </w:rPr>
      </w:pPr>
      <w:bookmarkStart w:id="10" w:name="_Hlk206092178"/>
      <w:r w:rsidRPr="00BA61D1">
        <w:rPr>
          <w:noProof/>
        </w:rPr>
        <w:t>11.</w:t>
      </w:r>
      <w:r w:rsidRPr="00BA61D1">
        <w:rPr>
          <w:noProof/>
        </w:rPr>
        <w:tab/>
      </w:r>
      <w:r w:rsidR="00226073" w:rsidRPr="00403097">
        <w:rPr>
          <w:noProof/>
        </w:rPr>
        <w:t xml:space="preserve">Societatea americană </w:t>
      </w:r>
      <w:bookmarkStart w:id="11" w:name="_Hlk214889213"/>
      <w:r w:rsidR="00226073" w:rsidRPr="00403097">
        <w:rPr>
          <w:noProof/>
        </w:rPr>
        <w:t>Tupperware Brands</w:t>
      </w:r>
      <w:bookmarkEnd w:id="11"/>
      <w:r w:rsidR="00226073" w:rsidRPr="00403097">
        <w:rPr>
          <w:noProof/>
        </w:rPr>
        <w:t>, societatea-mamă a Tupperware Belgium, a revocat în mod neașteptat licențele de producție și de vânzare acordate Tupperware General Services NV, făcând ca filiala belgiană a Tupperware să fie neviabilă din punct de vedere financiar și conducând la falimentul acesteia la 17 februarie 2025.</w:t>
      </w:r>
    </w:p>
    <w:p w:rsidR="001A62D7" w:rsidRPr="00403097" w:rsidRDefault="00BA61D1" w:rsidP="00BA61D1">
      <w:pPr>
        <w:pStyle w:val="ManualNumPar1"/>
        <w:rPr>
          <w:noProof/>
        </w:rPr>
      </w:pPr>
      <w:r w:rsidRPr="00BA61D1">
        <w:rPr>
          <w:noProof/>
        </w:rPr>
        <w:t>12.</w:t>
      </w:r>
      <w:r w:rsidRPr="00BA61D1">
        <w:rPr>
          <w:noProof/>
        </w:rPr>
        <w:tab/>
      </w:r>
      <w:r w:rsidR="00B91565" w:rsidRPr="00403097">
        <w:rPr>
          <w:noProof/>
        </w:rPr>
        <w:t>În octombrie 2024, Tupperware Brands a fost preluată de creditori. Achiziția a condus la o restructurare semnificativă, societatea retrăgându-se de pe unele piețe secundare și din instalațiile de închidere, cum ar fi fabricile europene.</w:t>
      </w:r>
      <w:bookmarkEnd w:id="10"/>
    </w:p>
    <w:p w:rsidR="001A62D7" w:rsidRPr="00403097" w:rsidRDefault="001A62D7" w:rsidP="001A62D7">
      <w:pPr>
        <w:pStyle w:val="ManualHeading3"/>
        <w:tabs>
          <w:tab w:val="clear" w:pos="850"/>
          <w:tab w:val="left" w:pos="0"/>
        </w:tabs>
        <w:ind w:left="0" w:firstLine="0"/>
        <w:rPr>
          <w:noProof/>
        </w:rPr>
      </w:pPr>
      <w:r w:rsidRPr="00403097">
        <w:rPr>
          <w:noProof/>
        </w:rPr>
        <w:t>Impactul preconizat al disponibilizărilor asupra economiei și a ocupării forței de muncă la nivel local, regional sau național</w:t>
      </w:r>
    </w:p>
    <w:p w:rsidR="00CB4216" w:rsidRPr="00403097" w:rsidRDefault="00BA61D1" w:rsidP="00BA61D1">
      <w:pPr>
        <w:pStyle w:val="ManualNumPar1"/>
        <w:rPr>
          <w:noProof/>
        </w:rPr>
      </w:pPr>
      <w:r w:rsidRPr="00BA61D1">
        <w:rPr>
          <w:noProof/>
        </w:rPr>
        <w:t>13.</w:t>
      </w:r>
      <w:r w:rsidRPr="00BA61D1">
        <w:rPr>
          <w:noProof/>
        </w:rPr>
        <w:tab/>
      </w:r>
      <w:r w:rsidR="00CF6583" w:rsidRPr="00403097">
        <w:rPr>
          <w:noProof/>
        </w:rPr>
        <w:t>În Belgia, falimentele sunt în creștere din 2022. În 2024, peste 11 000 de întreprinderi au fost declarate în faliment (6 323 în Flandra), cel mai mare număr din 2013</w:t>
      </w:r>
      <w:r w:rsidR="00CF6583" w:rsidRPr="00403097">
        <w:rPr>
          <w:rStyle w:val="FootnoteReference"/>
          <w:noProof/>
        </w:rPr>
        <w:footnoteReference w:id="5"/>
      </w:r>
      <w:r w:rsidR="00CF6583" w:rsidRPr="00403097">
        <w:rPr>
          <w:noProof/>
        </w:rPr>
        <w:t>. Această tendință ascendentă a continuat: în perioada ianuarie-septembrie 2025, 8 493 de întreprinderi au dat faliment, dintre care 4 964 sau 58 % în Flandra</w:t>
      </w:r>
      <w:r w:rsidR="00CF6583" w:rsidRPr="00403097">
        <w:rPr>
          <w:rStyle w:val="FootnoteReference"/>
          <w:noProof/>
        </w:rPr>
        <w:footnoteReference w:id="6"/>
      </w:r>
      <w:r w:rsidR="00CF6583" w:rsidRPr="00403097">
        <w:rPr>
          <w:noProof/>
        </w:rPr>
        <w:t>. Ca urmare a falimentelor, 32 566 de locuri de muncă au fost pierdute în Belgia în 2024 și 15 351 în prima jumătate a anului 2025, dintre care pierderile de locuri de muncă în Flandra reprezintă 59 % și, respectiv</w:t>
      </w:r>
      <w:r w:rsidR="00CF6583" w:rsidRPr="00403097">
        <w:rPr>
          <w:rStyle w:val="FootnoteReference"/>
          <w:noProof/>
        </w:rPr>
        <w:footnoteReference w:id="7"/>
      </w:r>
      <w:r w:rsidR="00CF6583" w:rsidRPr="00403097">
        <w:rPr>
          <w:noProof/>
        </w:rPr>
        <w:t>, 51 %. Aproximativ 18 % din pierderile de locuri de muncă au avut loc în industrie.</w:t>
      </w:r>
    </w:p>
    <w:p w:rsidR="00C0648B" w:rsidRPr="00403097" w:rsidRDefault="00BA61D1" w:rsidP="00BA61D1">
      <w:pPr>
        <w:pStyle w:val="ManualNumPar1"/>
        <w:rPr>
          <w:noProof/>
        </w:rPr>
      </w:pPr>
      <w:r w:rsidRPr="00BA61D1">
        <w:rPr>
          <w:noProof/>
        </w:rPr>
        <w:t>14.</w:t>
      </w:r>
      <w:r w:rsidRPr="00BA61D1">
        <w:rPr>
          <w:noProof/>
        </w:rPr>
        <w:tab/>
      </w:r>
      <w:r w:rsidR="00CB4216" w:rsidRPr="00403097">
        <w:rPr>
          <w:noProof/>
        </w:rPr>
        <w:t>În plus, recentele evenimente de restructurare, cum ar fi disponibilizările de la Van Hool</w:t>
      </w:r>
      <w:r w:rsidR="00CB4216" w:rsidRPr="00403097">
        <w:rPr>
          <w:rStyle w:val="FootnoteReference"/>
          <w:noProof/>
        </w:rPr>
        <w:footnoteReference w:id="8"/>
      </w:r>
      <w:r w:rsidR="00CB4216" w:rsidRPr="00403097">
        <w:rPr>
          <w:noProof/>
        </w:rPr>
        <w:t>, Sappi și Purmo</w:t>
      </w:r>
      <w:r w:rsidR="00CB4216" w:rsidRPr="00403097">
        <w:rPr>
          <w:rStyle w:val="FootnoteReference"/>
          <w:noProof/>
        </w:rPr>
        <w:footnoteReference w:id="9"/>
      </w:r>
      <w:r w:rsidR="00CB4216" w:rsidRPr="00403097">
        <w:rPr>
          <w:noProof/>
        </w:rPr>
        <w:t>, BelGaN</w:t>
      </w:r>
      <w:r w:rsidR="00CB4216" w:rsidRPr="00403097">
        <w:rPr>
          <w:rStyle w:val="FootnoteReference"/>
          <w:noProof/>
        </w:rPr>
        <w:footnoteReference w:id="10"/>
      </w:r>
      <w:r w:rsidR="00CB4216" w:rsidRPr="00403097">
        <w:rPr>
          <w:noProof/>
        </w:rPr>
        <w:t>, Casa și Audi</w:t>
      </w:r>
      <w:r w:rsidR="00CB4216" w:rsidRPr="00403097">
        <w:rPr>
          <w:rStyle w:val="FootnoteReference"/>
          <w:noProof/>
        </w:rPr>
        <w:footnoteReference w:id="11"/>
      </w:r>
      <w:r w:rsidR="00CB4216" w:rsidRPr="00403097">
        <w:rPr>
          <w:noProof/>
        </w:rPr>
        <w:t>, pentru care Belgia a solicitat sprijin din partea FEG, afectează piața flamandă a forței de muncă: numărul locurilor de muncă vacante în acest sector a scăzut.</w:t>
      </w:r>
    </w:p>
    <w:p w:rsidR="00BE41FC" w:rsidRPr="00403097" w:rsidRDefault="00BA61D1" w:rsidP="00BA61D1">
      <w:pPr>
        <w:pStyle w:val="ManualNumPar1"/>
        <w:rPr>
          <w:noProof/>
        </w:rPr>
      </w:pPr>
      <w:r w:rsidRPr="00BA61D1">
        <w:rPr>
          <w:noProof/>
        </w:rPr>
        <w:t>15.</w:t>
      </w:r>
      <w:r w:rsidRPr="00BA61D1">
        <w:rPr>
          <w:noProof/>
        </w:rPr>
        <w:tab/>
      </w:r>
      <w:r w:rsidR="00C62444" w:rsidRPr="00403097">
        <w:rPr>
          <w:noProof/>
        </w:rPr>
        <w:t>Tupperware se afla în Aalst, unul dintre cele șase districte administrative ale provinciei Flandra de Est. Flandra de Est a înregistrat o scădere a numărului de posturi vacante raportate serviciilor publice de ocupare a forței de muncă cu 13,8 % în mai 2025</w:t>
      </w:r>
      <w:r w:rsidR="00403097">
        <w:rPr>
          <w:noProof/>
        </w:rPr>
        <w:t xml:space="preserve"> </w:t>
      </w:r>
      <w:r w:rsidR="00C62444" w:rsidRPr="00403097">
        <w:rPr>
          <w:noProof/>
        </w:rPr>
        <w:t>față de anul precedent. În plus, înainte de închiderea Tupperware, Aalst se confrunta deja cu cea mai scăzută rată de ocupare a forței de muncă din Flandra, de 53,82 %</w:t>
      </w:r>
      <w:r w:rsidR="00C62444" w:rsidRPr="00403097">
        <w:rPr>
          <w:rStyle w:val="FootnoteReference"/>
          <w:noProof/>
        </w:rPr>
        <w:footnoteReference w:id="12"/>
      </w:r>
      <w:r w:rsidR="00C62444" w:rsidRPr="00403097">
        <w:rPr>
          <w:noProof/>
        </w:rPr>
        <w:t xml:space="preserve">, care este cu 20 de puncte procentuale mai mică decât rata medie de ocupare a forței de muncă din Flandra (74,1 %). </w:t>
      </w:r>
    </w:p>
    <w:p w:rsidR="001A62D7" w:rsidRPr="00403097" w:rsidRDefault="00BA61D1" w:rsidP="00BA61D1">
      <w:pPr>
        <w:pStyle w:val="ManualNumPar1"/>
        <w:rPr>
          <w:noProof/>
        </w:rPr>
      </w:pPr>
      <w:r w:rsidRPr="00BA61D1">
        <w:rPr>
          <w:noProof/>
        </w:rPr>
        <w:t>16.</w:t>
      </w:r>
      <w:r w:rsidRPr="00BA61D1">
        <w:rPr>
          <w:noProof/>
        </w:rPr>
        <w:tab/>
      </w:r>
      <w:r w:rsidR="00B71A14" w:rsidRPr="00403097">
        <w:rPr>
          <w:noProof/>
        </w:rPr>
        <w:t>Rata șomajului în Flandra este de aproximativ 3,8 %. Cu toate acestea, ea crește la 8,8 %</w:t>
      </w:r>
      <w:r w:rsidR="00B71A14" w:rsidRPr="00403097">
        <w:rPr>
          <w:rStyle w:val="FootnoteReference"/>
          <w:noProof/>
        </w:rPr>
        <w:footnoteReference w:id="13"/>
      </w:r>
      <w:r w:rsidR="00B71A14" w:rsidRPr="00403097">
        <w:rPr>
          <w:noProof/>
        </w:rPr>
        <w:t xml:space="preserve"> (+ 5 puncte procentuale) în rândul persoanelor cu un nivel scăzut de educație. Întrucât unul din trei foști lucrători ai Tupperware are un nivel scăzut de educație, este necesar un sprijin specific adaptat acestor profiluri pentru a-i ajuta pe lucrători să își depășească deficiențele și să își găsească noi locuri de muncă.</w:t>
      </w:r>
    </w:p>
    <w:p w:rsidR="001A62D7" w:rsidRPr="00403097" w:rsidRDefault="001A62D7" w:rsidP="001A62D7">
      <w:pPr>
        <w:pStyle w:val="ManualHeading2"/>
        <w:rPr>
          <w:noProof/>
        </w:rPr>
      </w:pPr>
      <w:r w:rsidRPr="00403097">
        <w:rPr>
          <w:noProof/>
        </w:rPr>
        <w:t>Aplicarea Cadrului de calitate al UE pentru anticiparea schimbărilor și restructurare (QFR)</w:t>
      </w:r>
    </w:p>
    <w:p w:rsidR="001A62D7" w:rsidRPr="00403097" w:rsidRDefault="00BA61D1" w:rsidP="00BA61D1">
      <w:pPr>
        <w:pStyle w:val="ManualNumPar1"/>
        <w:rPr>
          <w:noProof/>
        </w:rPr>
      </w:pPr>
      <w:r w:rsidRPr="00BA61D1">
        <w:rPr>
          <w:noProof/>
        </w:rPr>
        <w:t>17.</w:t>
      </w:r>
      <w:r w:rsidRPr="00BA61D1">
        <w:rPr>
          <w:noProof/>
        </w:rPr>
        <w:tab/>
      </w:r>
      <w:r w:rsidR="00545485" w:rsidRPr="00403097">
        <w:rPr>
          <w:noProof/>
        </w:rPr>
        <w:t>Belgia a descris modul în care au fost luate în considerare recomandările prevăzute în Cadrul de calitate al UE pentru anticiparea schimbărilor și a restructurării.</w:t>
      </w:r>
    </w:p>
    <w:p w:rsidR="001A62D7" w:rsidRPr="00403097" w:rsidRDefault="00BA61D1" w:rsidP="00BA61D1">
      <w:pPr>
        <w:pStyle w:val="ManualNumPar1"/>
        <w:rPr>
          <w:noProof/>
        </w:rPr>
      </w:pPr>
      <w:r w:rsidRPr="00BA61D1">
        <w:rPr>
          <w:noProof/>
        </w:rPr>
        <w:t>18.</w:t>
      </w:r>
      <w:r w:rsidRPr="00BA61D1">
        <w:rPr>
          <w:noProof/>
        </w:rPr>
        <w:tab/>
      </w:r>
      <w:r w:rsidR="00545485" w:rsidRPr="00403097">
        <w:rPr>
          <w:noProof/>
        </w:rPr>
        <w:t>Belgia a raportat că legislația națională a muncii</w:t>
      </w:r>
      <w:r w:rsidR="00545485" w:rsidRPr="00403097">
        <w:rPr>
          <w:rStyle w:val="FootnoteReference"/>
          <w:noProof/>
        </w:rPr>
        <w:footnoteReference w:id="14"/>
      </w:r>
      <w:r w:rsidR="00545485" w:rsidRPr="00403097">
        <w:rPr>
          <w:noProof/>
        </w:rPr>
        <w:t xml:space="preserve"> privind gestionarea activă a restructurării impune întreprinderilor care realizează restructurări să înființeze o unitate de ocupare a forței de muncă, al cărei scop este acela de a oferi lucrătorilor disponibilizați în contextul concedierilor colective 30 de ore de servicii de plasare pe piața muncii într-o perioadă de trei luni (60 de ore într-o perioadă de șase luni în cazul lucrătorilor cu vârsta mai mare de 45 de ani). Totuși, această obligație juridică nu se aplică în caz de faliment. Prin urmare, măsura de plasare pe piața muncii a personalului disponibilizat descrisă mai jos la punctul 24 înlocuiește serviciile de consiliere și de plasare pe piața muncii a personalului disponibilizat de care acești lucrători disponibilizați nu beneficiază. </w:t>
      </w:r>
    </w:p>
    <w:p w:rsidR="009975E8" w:rsidRPr="00403097" w:rsidRDefault="00BA61D1" w:rsidP="00BA61D1">
      <w:pPr>
        <w:pStyle w:val="ManualNumPar1"/>
        <w:rPr>
          <w:noProof/>
        </w:rPr>
      </w:pPr>
      <w:r w:rsidRPr="00BA61D1">
        <w:rPr>
          <w:noProof/>
        </w:rPr>
        <w:t>19.</w:t>
      </w:r>
      <w:r w:rsidRPr="00BA61D1">
        <w:rPr>
          <w:noProof/>
        </w:rPr>
        <w:tab/>
      </w:r>
      <w:r w:rsidR="009975E8" w:rsidRPr="00403097">
        <w:rPr>
          <w:noProof/>
        </w:rPr>
        <w:t>În ceea ce privește activitățile întreprinse pentru a sprijini lucrătorii disponibilizați, Belgia a raportat că la 19 martie 2025, la o lună de la declararea falimentului, au fost lansate sesiuni de informare și înregistrare, precum și servicii de plasare pe piața muncii a personalului disponibilizat pentru a sprijini foștii lucrători ai Tupperware. Evenimentul de căutare a unui loc de muncă („târgul de locuri de muncă”) descris mai jos a avut loc la 19 iunie 2025 la Aalst.</w:t>
      </w:r>
    </w:p>
    <w:p w:rsidR="001A62D7" w:rsidRPr="00403097" w:rsidRDefault="001A62D7" w:rsidP="001A62D7">
      <w:pPr>
        <w:pStyle w:val="ManualHeading3"/>
        <w:rPr>
          <w:noProof/>
        </w:rPr>
      </w:pPr>
      <w:r w:rsidRPr="00403097">
        <w:rPr>
          <w:noProof/>
        </w:rPr>
        <w:t>Complementaritatea cu acțiunile finanțate din fonduri naționale sau fonduri ale Uniunii</w:t>
      </w:r>
    </w:p>
    <w:p w:rsidR="001A62D7" w:rsidRPr="00403097" w:rsidRDefault="00BA61D1" w:rsidP="00BA61D1">
      <w:pPr>
        <w:pStyle w:val="ManualNumPar1"/>
        <w:rPr>
          <w:noProof/>
        </w:rPr>
      </w:pPr>
      <w:r w:rsidRPr="00BA61D1">
        <w:rPr>
          <w:noProof/>
        </w:rPr>
        <w:t>20.</w:t>
      </w:r>
      <w:r w:rsidRPr="00BA61D1">
        <w:rPr>
          <w:noProof/>
        </w:rPr>
        <w:tab/>
      </w:r>
      <w:r w:rsidR="000A0C96" w:rsidRPr="00403097">
        <w:rPr>
          <w:noProof/>
        </w:rPr>
        <w:t>Belgia a confirmat faptul că măsurile descrise mai jos care primesc o contribuție financiară din partea FEG nu vor beneficia și de contribuții financiare din partea altor instrumente financiare ale Uniunii.</w:t>
      </w:r>
    </w:p>
    <w:p w:rsidR="001A62D7" w:rsidRPr="00403097" w:rsidRDefault="00BA61D1" w:rsidP="00BA61D1">
      <w:pPr>
        <w:pStyle w:val="ManualNumPar1"/>
        <w:rPr>
          <w:noProof/>
        </w:rPr>
      </w:pPr>
      <w:r w:rsidRPr="00BA61D1">
        <w:rPr>
          <w:noProof/>
        </w:rPr>
        <w:t>21.</w:t>
      </w:r>
      <w:r w:rsidRPr="00BA61D1">
        <w:rPr>
          <w:noProof/>
        </w:rPr>
        <w:tab/>
      </w:r>
      <w:r w:rsidR="001A62D7" w:rsidRPr="00403097">
        <w:rPr>
          <w:noProof/>
        </w:rPr>
        <w:t>Pachetul coordonat de servicii personalizate completează acțiunile finanțate prin alte fonduri naționale sau ale UE.</w:t>
      </w:r>
    </w:p>
    <w:p w:rsidR="001A62D7" w:rsidRPr="00403097" w:rsidRDefault="001A62D7" w:rsidP="001A62D7">
      <w:pPr>
        <w:pStyle w:val="ManualHeading3"/>
        <w:tabs>
          <w:tab w:val="clear" w:pos="850"/>
          <w:tab w:val="left" w:pos="0"/>
        </w:tabs>
        <w:ind w:left="0" w:firstLine="0"/>
        <w:rPr>
          <w:noProof/>
          <w:u w:val="single"/>
        </w:rPr>
      </w:pPr>
      <w:r w:rsidRPr="00403097">
        <w:rPr>
          <w:noProof/>
        </w:rPr>
        <w:t>Proceduri de consultare a beneficiarilor vizați sau a reprezentanților acestora ori a partenerilor sociali, precum și a autorităților locale și regionale</w:t>
      </w:r>
    </w:p>
    <w:p w:rsidR="001A62D7" w:rsidRPr="00403097" w:rsidRDefault="00BA61D1" w:rsidP="00BA61D1">
      <w:pPr>
        <w:pStyle w:val="ManualNumPar1"/>
        <w:rPr>
          <w:noProof/>
        </w:rPr>
      </w:pPr>
      <w:r w:rsidRPr="00BA61D1">
        <w:rPr>
          <w:noProof/>
        </w:rPr>
        <w:t>22.</w:t>
      </w:r>
      <w:r w:rsidRPr="00BA61D1">
        <w:rPr>
          <w:noProof/>
        </w:rPr>
        <w:tab/>
      </w:r>
      <w:r w:rsidR="00AE6C39" w:rsidRPr="00403097">
        <w:rPr>
          <w:noProof/>
        </w:rPr>
        <w:t>Belgia a indicat că pachetul coordonat de servicii personalizate a fost elaborat în consultare cu experți, inclusiv unii membri ai grupului operativ, și cu partenerii sociali, în conformitate cu articolul 7 alineatul (4) din Regulamentul (UE) 2021/691. Pachetul final de măsuri a fost convenit cu sindicatele Centrala generală a sindicatelor liberale din Belgia (ACLVB)</w:t>
      </w:r>
      <w:r w:rsidR="00AE6C39" w:rsidRPr="00403097">
        <w:rPr>
          <w:rStyle w:val="FootnoteReference"/>
          <w:noProof/>
        </w:rPr>
        <w:footnoteReference w:id="15"/>
      </w:r>
      <w:r w:rsidR="00AE6C39" w:rsidRPr="00403097">
        <w:rPr>
          <w:noProof/>
        </w:rPr>
        <w:t>, Federația generală a muncii din Belgia (ACCG)</w:t>
      </w:r>
      <w:r w:rsidR="00AE6C39" w:rsidRPr="00403097">
        <w:rPr>
          <w:rStyle w:val="FootnoteReference"/>
          <w:noProof/>
        </w:rPr>
        <w:footnoteReference w:id="16"/>
      </w:r>
      <w:r w:rsidR="00AE6C39" w:rsidRPr="00403097">
        <w:rPr>
          <w:noProof/>
        </w:rPr>
        <w:t xml:space="preserve"> și Confederația sindicatelor creștine ACV</w:t>
      </w:r>
      <w:r w:rsidR="00AE6C39" w:rsidRPr="00403097">
        <w:rPr>
          <w:rStyle w:val="FootnoteReference"/>
          <w:noProof/>
        </w:rPr>
        <w:footnoteReference w:id="17"/>
      </w:r>
      <w:r w:rsidR="00AE6C39" w:rsidRPr="00403097">
        <w:rPr>
          <w:noProof/>
        </w:rPr>
        <w:t xml:space="preserve"> la 24 iunie 2025. </w:t>
      </w:r>
    </w:p>
    <w:p w:rsidR="001A62D7" w:rsidRPr="00403097" w:rsidRDefault="001A62D7" w:rsidP="001A62D7">
      <w:pPr>
        <w:pStyle w:val="ManualHeading2"/>
        <w:rPr>
          <w:noProof/>
        </w:rPr>
      </w:pPr>
      <w:r w:rsidRPr="00403097">
        <w:rPr>
          <w:noProof/>
        </w:rPr>
        <w:t>Beneficiarii vizați și măsurile propuse</w:t>
      </w:r>
    </w:p>
    <w:p w:rsidR="001A62D7" w:rsidRPr="00403097" w:rsidRDefault="001A62D7" w:rsidP="001A62D7">
      <w:pPr>
        <w:pStyle w:val="ManualHeading3"/>
        <w:rPr>
          <w:noProof/>
        </w:rPr>
      </w:pPr>
      <w:r w:rsidRPr="00403097">
        <w:rPr>
          <w:noProof/>
        </w:rPr>
        <w:t>Beneficiarii vizați</w:t>
      </w:r>
    </w:p>
    <w:p w:rsidR="001A62D7" w:rsidRPr="00403097" w:rsidRDefault="00BA61D1" w:rsidP="00BA61D1">
      <w:pPr>
        <w:pStyle w:val="ManualNumPar1"/>
        <w:rPr>
          <w:noProof/>
        </w:rPr>
      </w:pPr>
      <w:r w:rsidRPr="00BA61D1">
        <w:rPr>
          <w:noProof/>
        </w:rPr>
        <w:t>23.</w:t>
      </w:r>
      <w:r w:rsidRPr="00BA61D1">
        <w:rPr>
          <w:noProof/>
        </w:rPr>
        <w:tab/>
      </w:r>
      <w:r w:rsidR="007D7BFD" w:rsidRPr="00403097">
        <w:rPr>
          <w:noProof/>
        </w:rPr>
        <w:t>Se preconizează că vor participa la măsuri toți cei 267 de lucrători disponibilizați.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403097" w:rsidTr="001D5990">
        <w:trPr>
          <w:jc w:val="center"/>
        </w:trPr>
        <w:tc>
          <w:tcPr>
            <w:tcW w:w="3559" w:type="dxa"/>
            <w:gridSpan w:val="2"/>
            <w:tcBorders>
              <w:top w:val="single" w:sz="4" w:space="0" w:color="auto"/>
              <w:left w:val="nil"/>
              <w:bottom w:val="single" w:sz="4" w:space="0" w:color="auto"/>
              <w:right w:val="nil"/>
            </w:tcBorders>
            <w:hideMark/>
          </w:tcPr>
          <w:p w:rsidR="001A62D7" w:rsidRPr="00403097" w:rsidRDefault="001A62D7" w:rsidP="001D5990">
            <w:pPr>
              <w:spacing w:before="60" w:after="60"/>
              <w:jc w:val="center"/>
              <w:rPr>
                <w:noProof/>
              </w:rPr>
            </w:pPr>
            <w:r w:rsidRPr="00403097">
              <w:rPr>
                <w:noProof/>
              </w:rPr>
              <w:t>Categorie</w:t>
            </w:r>
          </w:p>
        </w:tc>
        <w:tc>
          <w:tcPr>
            <w:tcW w:w="2352" w:type="dxa"/>
            <w:gridSpan w:val="2"/>
            <w:tcBorders>
              <w:top w:val="single" w:sz="4" w:space="0" w:color="auto"/>
              <w:left w:val="nil"/>
              <w:bottom w:val="single" w:sz="4" w:space="0" w:color="auto"/>
              <w:right w:val="nil"/>
            </w:tcBorders>
            <w:hideMark/>
          </w:tcPr>
          <w:p w:rsidR="001A62D7" w:rsidRPr="00403097" w:rsidRDefault="001A62D7" w:rsidP="001D5990">
            <w:pPr>
              <w:spacing w:before="60" w:after="60"/>
              <w:jc w:val="center"/>
              <w:rPr>
                <w:noProof/>
              </w:rPr>
            </w:pPr>
            <w:r w:rsidRPr="00403097">
              <w:rPr>
                <w:noProof/>
              </w:rPr>
              <w:t>Numărul beneficiarilor preconizați</w:t>
            </w:r>
          </w:p>
        </w:tc>
      </w:tr>
      <w:tr w:rsidR="001A62D7" w:rsidRPr="00403097" w:rsidTr="001D5990">
        <w:trPr>
          <w:jc w:val="center"/>
        </w:trPr>
        <w:tc>
          <w:tcPr>
            <w:tcW w:w="1496" w:type="dxa"/>
            <w:tcBorders>
              <w:top w:val="single" w:sz="4" w:space="0" w:color="auto"/>
              <w:left w:val="nil"/>
              <w:right w:val="nil"/>
            </w:tcBorders>
            <w:hideMark/>
          </w:tcPr>
          <w:p w:rsidR="001A62D7" w:rsidRPr="00403097" w:rsidRDefault="001A62D7" w:rsidP="001D5990">
            <w:pPr>
              <w:spacing w:before="60" w:after="60"/>
              <w:rPr>
                <w:noProof/>
              </w:rPr>
            </w:pPr>
            <w:r w:rsidRPr="00403097">
              <w:rPr>
                <w:noProof/>
              </w:rPr>
              <w:t>Sex:</w:t>
            </w:r>
          </w:p>
        </w:tc>
        <w:tc>
          <w:tcPr>
            <w:tcW w:w="2063" w:type="dxa"/>
            <w:tcBorders>
              <w:top w:val="single" w:sz="4" w:space="0" w:color="auto"/>
              <w:left w:val="nil"/>
              <w:right w:val="nil"/>
            </w:tcBorders>
            <w:hideMark/>
          </w:tcPr>
          <w:p w:rsidR="001A62D7" w:rsidRPr="00403097" w:rsidRDefault="001A62D7" w:rsidP="001D5990">
            <w:pPr>
              <w:spacing w:before="60" w:after="60"/>
              <w:rPr>
                <w:noProof/>
              </w:rPr>
            </w:pPr>
            <w:r w:rsidRPr="00403097">
              <w:rPr>
                <w:noProof/>
              </w:rPr>
              <w:t>Bărbați:</w:t>
            </w:r>
          </w:p>
        </w:tc>
        <w:tc>
          <w:tcPr>
            <w:tcW w:w="1176" w:type="dxa"/>
            <w:tcBorders>
              <w:top w:val="single" w:sz="4" w:space="0" w:color="auto"/>
              <w:left w:val="nil"/>
              <w:right w:val="nil"/>
            </w:tcBorders>
            <w:hideMark/>
          </w:tcPr>
          <w:p w:rsidR="001A62D7" w:rsidRPr="00403097" w:rsidRDefault="008D1A3A" w:rsidP="001D5990">
            <w:pPr>
              <w:spacing w:before="60" w:after="60"/>
              <w:jc w:val="right"/>
              <w:rPr>
                <w:noProof/>
              </w:rPr>
            </w:pPr>
            <w:r w:rsidRPr="00403097">
              <w:rPr>
                <w:noProof/>
              </w:rPr>
              <w:t>168</w:t>
            </w:r>
          </w:p>
        </w:tc>
        <w:tc>
          <w:tcPr>
            <w:tcW w:w="1176" w:type="dxa"/>
            <w:tcBorders>
              <w:top w:val="single" w:sz="4" w:space="0" w:color="auto"/>
              <w:left w:val="nil"/>
              <w:right w:val="nil"/>
            </w:tcBorders>
            <w:hideMark/>
          </w:tcPr>
          <w:p w:rsidR="001A62D7" w:rsidRPr="00403097" w:rsidRDefault="001A62D7" w:rsidP="001D5990">
            <w:pPr>
              <w:spacing w:before="60" w:after="60"/>
              <w:jc w:val="right"/>
              <w:rPr>
                <w:noProof/>
              </w:rPr>
            </w:pPr>
            <w:r w:rsidRPr="00403097">
              <w:rPr>
                <w:noProof/>
              </w:rPr>
              <w:t>(62,9 %)</w:t>
            </w:r>
          </w:p>
        </w:tc>
      </w:tr>
      <w:tr w:rsidR="001A62D7" w:rsidRPr="00403097" w:rsidTr="001D5990">
        <w:trPr>
          <w:jc w:val="center"/>
        </w:trPr>
        <w:tc>
          <w:tcPr>
            <w:tcW w:w="1496" w:type="dxa"/>
            <w:tcBorders>
              <w:top w:val="nil"/>
              <w:left w:val="nil"/>
              <w:right w:val="nil"/>
            </w:tcBorders>
          </w:tcPr>
          <w:p w:rsidR="001A62D7" w:rsidRPr="00403097" w:rsidRDefault="001A62D7" w:rsidP="001D5990">
            <w:pPr>
              <w:spacing w:before="60" w:after="60"/>
              <w:rPr>
                <w:noProof/>
              </w:rPr>
            </w:pPr>
          </w:p>
        </w:tc>
        <w:tc>
          <w:tcPr>
            <w:tcW w:w="2063" w:type="dxa"/>
            <w:tcBorders>
              <w:top w:val="nil"/>
              <w:left w:val="nil"/>
              <w:right w:val="nil"/>
            </w:tcBorders>
          </w:tcPr>
          <w:p w:rsidR="001A62D7" w:rsidRPr="00403097" w:rsidRDefault="001A62D7" w:rsidP="001D5990">
            <w:pPr>
              <w:spacing w:before="60" w:after="60"/>
              <w:rPr>
                <w:rFonts w:eastAsia="Calibri"/>
                <w:noProof/>
              </w:rPr>
            </w:pPr>
            <w:r w:rsidRPr="00403097">
              <w:rPr>
                <w:noProof/>
              </w:rPr>
              <w:t>Femei:</w:t>
            </w:r>
          </w:p>
        </w:tc>
        <w:tc>
          <w:tcPr>
            <w:tcW w:w="1176" w:type="dxa"/>
          </w:tcPr>
          <w:p w:rsidR="001A62D7" w:rsidRPr="00403097" w:rsidRDefault="008D1A3A" w:rsidP="001D5990">
            <w:pPr>
              <w:spacing w:before="60" w:after="60"/>
              <w:jc w:val="right"/>
              <w:rPr>
                <w:noProof/>
              </w:rPr>
            </w:pPr>
            <w:r w:rsidRPr="00403097">
              <w:rPr>
                <w:noProof/>
              </w:rPr>
              <w:t>99</w:t>
            </w:r>
          </w:p>
        </w:tc>
        <w:tc>
          <w:tcPr>
            <w:tcW w:w="1176" w:type="dxa"/>
          </w:tcPr>
          <w:p w:rsidR="001A62D7" w:rsidRPr="00403097" w:rsidRDefault="001A62D7" w:rsidP="001D5990">
            <w:pPr>
              <w:spacing w:before="60" w:after="60"/>
              <w:jc w:val="right"/>
              <w:rPr>
                <w:rFonts w:eastAsia="Calibri"/>
                <w:noProof/>
              </w:rPr>
            </w:pPr>
            <w:r w:rsidRPr="00403097">
              <w:rPr>
                <w:noProof/>
              </w:rPr>
              <w:t>(37,1 %)</w:t>
            </w:r>
          </w:p>
        </w:tc>
      </w:tr>
      <w:tr w:rsidR="001A62D7" w:rsidRPr="00403097" w:rsidTr="001D5990">
        <w:trPr>
          <w:jc w:val="center"/>
        </w:trPr>
        <w:tc>
          <w:tcPr>
            <w:tcW w:w="1496" w:type="dxa"/>
            <w:tcBorders>
              <w:left w:val="nil"/>
              <w:bottom w:val="single" w:sz="4" w:space="0" w:color="auto"/>
              <w:right w:val="nil"/>
            </w:tcBorders>
          </w:tcPr>
          <w:p w:rsidR="001A62D7" w:rsidRPr="00403097" w:rsidRDefault="001A62D7" w:rsidP="001D5990">
            <w:pPr>
              <w:spacing w:before="60" w:after="60"/>
              <w:rPr>
                <w:noProof/>
              </w:rPr>
            </w:pPr>
          </w:p>
        </w:tc>
        <w:tc>
          <w:tcPr>
            <w:tcW w:w="2063" w:type="dxa"/>
            <w:tcBorders>
              <w:left w:val="nil"/>
              <w:bottom w:val="single" w:sz="4" w:space="0" w:color="auto"/>
              <w:right w:val="nil"/>
            </w:tcBorders>
          </w:tcPr>
          <w:p w:rsidR="001A62D7" w:rsidRPr="00403097" w:rsidRDefault="001A62D7" w:rsidP="001D5990">
            <w:pPr>
              <w:spacing w:before="60" w:after="60"/>
              <w:rPr>
                <w:noProof/>
              </w:rPr>
            </w:pPr>
            <w:r w:rsidRPr="00403097">
              <w:rPr>
                <w:noProof/>
              </w:rPr>
              <w:t>Persoane non-binare</w:t>
            </w:r>
          </w:p>
        </w:tc>
        <w:tc>
          <w:tcPr>
            <w:tcW w:w="1176" w:type="dxa"/>
            <w:tcBorders>
              <w:bottom w:val="single" w:sz="4" w:space="0" w:color="auto"/>
            </w:tcBorders>
            <w:hideMark/>
          </w:tcPr>
          <w:p w:rsidR="001A62D7" w:rsidRPr="00403097" w:rsidRDefault="00F81DE0" w:rsidP="001D5990">
            <w:pPr>
              <w:spacing w:before="60" w:after="60"/>
              <w:jc w:val="right"/>
              <w:rPr>
                <w:noProof/>
              </w:rPr>
            </w:pPr>
            <w:r w:rsidRPr="00403097">
              <w:rPr>
                <w:noProof/>
              </w:rPr>
              <w:t>0</w:t>
            </w:r>
          </w:p>
        </w:tc>
        <w:tc>
          <w:tcPr>
            <w:tcW w:w="1176" w:type="dxa"/>
            <w:tcBorders>
              <w:bottom w:val="single" w:sz="4" w:space="0" w:color="auto"/>
            </w:tcBorders>
            <w:hideMark/>
          </w:tcPr>
          <w:p w:rsidR="001A62D7" w:rsidRPr="00403097" w:rsidRDefault="001A62D7" w:rsidP="001D5990">
            <w:pPr>
              <w:spacing w:before="60" w:after="60"/>
              <w:jc w:val="right"/>
              <w:rPr>
                <w:noProof/>
              </w:rPr>
            </w:pPr>
            <w:r w:rsidRPr="00403097">
              <w:rPr>
                <w:noProof/>
              </w:rPr>
              <w:t>(0,0 %)</w:t>
            </w:r>
          </w:p>
        </w:tc>
      </w:tr>
      <w:tr w:rsidR="001A62D7" w:rsidRPr="00403097" w:rsidTr="001D5990">
        <w:trPr>
          <w:jc w:val="center"/>
        </w:trPr>
        <w:tc>
          <w:tcPr>
            <w:tcW w:w="1496" w:type="dxa"/>
            <w:tcBorders>
              <w:top w:val="single" w:sz="4" w:space="0" w:color="auto"/>
              <w:left w:val="nil"/>
              <w:bottom w:val="nil"/>
              <w:right w:val="nil"/>
            </w:tcBorders>
            <w:hideMark/>
          </w:tcPr>
          <w:p w:rsidR="001A62D7" w:rsidRPr="00403097" w:rsidRDefault="001A62D7" w:rsidP="001D5990">
            <w:pPr>
              <w:spacing w:before="60" w:after="60"/>
              <w:rPr>
                <w:noProof/>
              </w:rPr>
            </w:pPr>
            <w:r w:rsidRPr="00403097">
              <w:rPr>
                <w:noProof/>
              </w:rPr>
              <w:t>Grupa de vârstă:</w:t>
            </w:r>
          </w:p>
        </w:tc>
        <w:tc>
          <w:tcPr>
            <w:tcW w:w="2063" w:type="dxa"/>
            <w:tcBorders>
              <w:top w:val="single" w:sz="4" w:space="0" w:color="auto"/>
              <w:left w:val="nil"/>
              <w:bottom w:val="nil"/>
              <w:right w:val="nil"/>
            </w:tcBorders>
            <w:hideMark/>
          </w:tcPr>
          <w:p w:rsidR="001A62D7" w:rsidRPr="00403097" w:rsidRDefault="001A62D7" w:rsidP="001D5990">
            <w:pPr>
              <w:spacing w:before="60" w:after="60"/>
              <w:rPr>
                <w:noProof/>
              </w:rPr>
            </w:pPr>
            <w:r w:rsidRPr="00403097">
              <w:rPr>
                <w:noProof/>
              </w:rPr>
              <w:t>Sub 30 de ani:</w:t>
            </w:r>
          </w:p>
        </w:tc>
        <w:tc>
          <w:tcPr>
            <w:tcW w:w="1176" w:type="dxa"/>
            <w:tcBorders>
              <w:top w:val="single" w:sz="4" w:space="0" w:color="auto"/>
            </w:tcBorders>
            <w:hideMark/>
          </w:tcPr>
          <w:p w:rsidR="001A62D7" w:rsidRPr="00403097" w:rsidRDefault="008D1A3A" w:rsidP="001D5990">
            <w:pPr>
              <w:spacing w:before="60" w:after="60"/>
              <w:jc w:val="right"/>
              <w:rPr>
                <w:noProof/>
              </w:rPr>
            </w:pPr>
            <w:r w:rsidRPr="00403097">
              <w:rPr>
                <w:noProof/>
              </w:rPr>
              <w:t>10</w:t>
            </w:r>
          </w:p>
        </w:tc>
        <w:tc>
          <w:tcPr>
            <w:tcW w:w="1176" w:type="dxa"/>
            <w:tcBorders>
              <w:top w:val="single" w:sz="4" w:space="0" w:color="auto"/>
            </w:tcBorders>
            <w:hideMark/>
          </w:tcPr>
          <w:p w:rsidR="001A62D7" w:rsidRPr="00403097" w:rsidRDefault="001A62D7" w:rsidP="001D5990">
            <w:pPr>
              <w:spacing w:before="60" w:after="60"/>
              <w:jc w:val="right"/>
              <w:rPr>
                <w:noProof/>
              </w:rPr>
            </w:pPr>
            <w:r w:rsidRPr="00403097">
              <w:rPr>
                <w:noProof/>
              </w:rPr>
              <w:t>(3,8 %)</w:t>
            </w:r>
          </w:p>
        </w:tc>
      </w:tr>
      <w:tr w:rsidR="001A62D7" w:rsidRPr="00403097" w:rsidTr="001D5990">
        <w:trPr>
          <w:jc w:val="center"/>
        </w:trPr>
        <w:tc>
          <w:tcPr>
            <w:tcW w:w="1496" w:type="dxa"/>
          </w:tcPr>
          <w:p w:rsidR="001A62D7" w:rsidRPr="00403097" w:rsidRDefault="001A62D7" w:rsidP="001D5990">
            <w:pPr>
              <w:spacing w:before="60" w:after="60"/>
              <w:rPr>
                <w:noProof/>
              </w:rPr>
            </w:pPr>
          </w:p>
        </w:tc>
        <w:tc>
          <w:tcPr>
            <w:tcW w:w="2063" w:type="dxa"/>
            <w:hideMark/>
          </w:tcPr>
          <w:p w:rsidR="001A62D7" w:rsidRPr="00403097" w:rsidRDefault="001A62D7" w:rsidP="001D5990">
            <w:pPr>
              <w:spacing w:before="60" w:after="60"/>
              <w:rPr>
                <w:noProof/>
              </w:rPr>
            </w:pPr>
            <w:r w:rsidRPr="00403097">
              <w:rPr>
                <w:noProof/>
              </w:rPr>
              <w:t>30-54 de ani:</w:t>
            </w:r>
          </w:p>
        </w:tc>
        <w:tc>
          <w:tcPr>
            <w:tcW w:w="1176" w:type="dxa"/>
            <w:hideMark/>
          </w:tcPr>
          <w:p w:rsidR="001A62D7" w:rsidRPr="00403097" w:rsidRDefault="008D1A3A" w:rsidP="001D5990">
            <w:pPr>
              <w:spacing w:before="60" w:after="60"/>
              <w:jc w:val="right"/>
              <w:rPr>
                <w:noProof/>
              </w:rPr>
            </w:pPr>
            <w:r w:rsidRPr="00403097">
              <w:rPr>
                <w:noProof/>
              </w:rPr>
              <w:t>131</w:t>
            </w:r>
          </w:p>
        </w:tc>
        <w:tc>
          <w:tcPr>
            <w:tcW w:w="1176" w:type="dxa"/>
            <w:hideMark/>
          </w:tcPr>
          <w:p w:rsidR="001A62D7" w:rsidRPr="00403097" w:rsidRDefault="001A62D7" w:rsidP="001D5990">
            <w:pPr>
              <w:spacing w:before="60" w:after="60"/>
              <w:jc w:val="right"/>
              <w:rPr>
                <w:noProof/>
              </w:rPr>
            </w:pPr>
            <w:r w:rsidRPr="00403097">
              <w:rPr>
                <w:noProof/>
              </w:rPr>
              <w:t>(49,0 %)</w:t>
            </w:r>
          </w:p>
        </w:tc>
      </w:tr>
      <w:tr w:rsidR="001A62D7" w:rsidRPr="00403097" w:rsidTr="001D5990">
        <w:trPr>
          <w:jc w:val="center"/>
        </w:trPr>
        <w:tc>
          <w:tcPr>
            <w:tcW w:w="1496" w:type="dxa"/>
          </w:tcPr>
          <w:p w:rsidR="001A62D7" w:rsidRPr="00403097" w:rsidRDefault="001A62D7" w:rsidP="001D5990">
            <w:pPr>
              <w:spacing w:before="60" w:after="60"/>
              <w:rPr>
                <w:noProof/>
              </w:rPr>
            </w:pPr>
          </w:p>
        </w:tc>
        <w:tc>
          <w:tcPr>
            <w:tcW w:w="2063" w:type="dxa"/>
            <w:hideMark/>
          </w:tcPr>
          <w:p w:rsidR="001A62D7" w:rsidRPr="00403097" w:rsidRDefault="001A62D7" w:rsidP="001D5990">
            <w:pPr>
              <w:spacing w:before="60" w:after="60"/>
              <w:jc w:val="left"/>
              <w:rPr>
                <w:noProof/>
              </w:rPr>
            </w:pPr>
            <w:r w:rsidRPr="00403097">
              <w:rPr>
                <w:noProof/>
              </w:rPr>
              <w:t>Peste 54 de ani:</w:t>
            </w:r>
          </w:p>
        </w:tc>
        <w:tc>
          <w:tcPr>
            <w:tcW w:w="1176" w:type="dxa"/>
            <w:hideMark/>
          </w:tcPr>
          <w:p w:rsidR="001A62D7" w:rsidRPr="00403097" w:rsidRDefault="008D1A3A" w:rsidP="001D5990">
            <w:pPr>
              <w:spacing w:before="60" w:after="60"/>
              <w:jc w:val="right"/>
              <w:rPr>
                <w:noProof/>
              </w:rPr>
            </w:pPr>
            <w:r w:rsidRPr="00403097">
              <w:rPr>
                <w:noProof/>
              </w:rPr>
              <w:t>126</w:t>
            </w:r>
          </w:p>
        </w:tc>
        <w:tc>
          <w:tcPr>
            <w:tcW w:w="1176" w:type="dxa"/>
            <w:hideMark/>
          </w:tcPr>
          <w:p w:rsidR="001A62D7" w:rsidRPr="00403097" w:rsidRDefault="001A62D7" w:rsidP="001D5990">
            <w:pPr>
              <w:spacing w:before="60" w:after="60"/>
              <w:jc w:val="right"/>
              <w:rPr>
                <w:noProof/>
              </w:rPr>
            </w:pPr>
            <w:r w:rsidRPr="00403097">
              <w:rPr>
                <w:noProof/>
              </w:rPr>
              <w:t>(47,2 %)</w:t>
            </w:r>
          </w:p>
        </w:tc>
      </w:tr>
      <w:tr w:rsidR="001A62D7" w:rsidRPr="00403097" w:rsidTr="001D5990">
        <w:trPr>
          <w:jc w:val="center"/>
        </w:trPr>
        <w:tc>
          <w:tcPr>
            <w:tcW w:w="1496" w:type="dxa"/>
            <w:tcBorders>
              <w:top w:val="single" w:sz="4" w:space="0" w:color="auto"/>
              <w:left w:val="nil"/>
              <w:bottom w:val="nil"/>
              <w:right w:val="nil"/>
            </w:tcBorders>
          </w:tcPr>
          <w:p w:rsidR="001A62D7" w:rsidRPr="00403097" w:rsidRDefault="001A62D7" w:rsidP="001D5990">
            <w:pPr>
              <w:spacing w:before="60" w:after="60"/>
              <w:rPr>
                <w:noProof/>
              </w:rPr>
            </w:pPr>
            <w:r w:rsidRPr="00403097">
              <w:rPr>
                <w:noProof/>
              </w:rPr>
              <w:t>Nivel de instruire</w:t>
            </w:r>
          </w:p>
        </w:tc>
        <w:tc>
          <w:tcPr>
            <w:tcW w:w="2063" w:type="dxa"/>
            <w:tcBorders>
              <w:top w:val="single" w:sz="4" w:space="0" w:color="auto"/>
              <w:left w:val="nil"/>
              <w:bottom w:val="nil"/>
              <w:right w:val="nil"/>
            </w:tcBorders>
          </w:tcPr>
          <w:p w:rsidR="001A62D7" w:rsidRPr="00403097" w:rsidRDefault="001A62D7" w:rsidP="001D5990">
            <w:pPr>
              <w:spacing w:before="60" w:after="60"/>
              <w:rPr>
                <w:noProof/>
              </w:rPr>
            </w:pPr>
            <w:r w:rsidRPr="00403097">
              <w:rPr>
                <w:noProof/>
              </w:rPr>
              <w:t>Învățământ secundar inferior sau sub acest nivel</w:t>
            </w:r>
            <w:r w:rsidRPr="00403097">
              <w:rPr>
                <w:rStyle w:val="FootnoteReference"/>
                <w:noProof/>
              </w:rPr>
              <w:footnoteReference w:id="18"/>
            </w:r>
            <w:r w:rsidRPr="00403097">
              <w:rPr>
                <w:noProof/>
              </w:rPr>
              <w:t xml:space="preserve"> </w:t>
            </w:r>
          </w:p>
        </w:tc>
        <w:tc>
          <w:tcPr>
            <w:tcW w:w="1176" w:type="dxa"/>
            <w:tcBorders>
              <w:top w:val="single" w:sz="4" w:space="0" w:color="auto"/>
              <w:left w:val="nil"/>
              <w:bottom w:val="nil"/>
              <w:right w:val="nil"/>
            </w:tcBorders>
          </w:tcPr>
          <w:p w:rsidR="001A62D7" w:rsidRPr="00403097" w:rsidRDefault="008D1A3A" w:rsidP="001D5990">
            <w:pPr>
              <w:spacing w:before="60" w:after="60"/>
              <w:jc w:val="right"/>
              <w:rPr>
                <w:noProof/>
              </w:rPr>
            </w:pPr>
            <w:r w:rsidRPr="00403097">
              <w:rPr>
                <w:noProof/>
              </w:rPr>
              <w:t>88</w:t>
            </w:r>
          </w:p>
        </w:tc>
        <w:tc>
          <w:tcPr>
            <w:tcW w:w="1176" w:type="dxa"/>
            <w:tcBorders>
              <w:top w:val="single" w:sz="4" w:space="0" w:color="auto"/>
              <w:left w:val="nil"/>
              <w:bottom w:val="nil"/>
              <w:right w:val="nil"/>
            </w:tcBorders>
          </w:tcPr>
          <w:p w:rsidR="001A62D7" w:rsidRPr="00403097" w:rsidRDefault="001A62D7" w:rsidP="001D5990">
            <w:pPr>
              <w:spacing w:before="60" w:after="60"/>
              <w:jc w:val="right"/>
              <w:rPr>
                <w:rFonts w:eastAsia="Calibri"/>
                <w:noProof/>
              </w:rPr>
            </w:pPr>
            <w:r w:rsidRPr="00403097">
              <w:rPr>
                <w:noProof/>
              </w:rPr>
              <w:t>(33,0 %)</w:t>
            </w:r>
          </w:p>
        </w:tc>
      </w:tr>
      <w:tr w:rsidR="001A62D7" w:rsidRPr="00403097" w:rsidTr="001D5990">
        <w:trPr>
          <w:jc w:val="center"/>
        </w:trPr>
        <w:tc>
          <w:tcPr>
            <w:tcW w:w="1496" w:type="dxa"/>
            <w:tcBorders>
              <w:top w:val="nil"/>
              <w:left w:val="nil"/>
              <w:right w:val="nil"/>
            </w:tcBorders>
          </w:tcPr>
          <w:p w:rsidR="001A62D7" w:rsidRPr="00403097" w:rsidRDefault="001A62D7" w:rsidP="001D5990">
            <w:pPr>
              <w:spacing w:before="60" w:after="60"/>
              <w:rPr>
                <w:noProof/>
              </w:rPr>
            </w:pPr>
          </w:p>
        </w:tc>
        <w:tc>
          <w:tcPr>
            <w:tcW w:w="2063" w:type="dxa"/>
            <w:tcBorders>
              <w:top w:val="nil"/>
              <w:left w:val="nil"/>
              <w:right w:val="nil"/>
            </w:tcBorders>
          </w:tcPr>
          <w:p w:rsidR="001A62D7" w:rsidRPr="00403097" w:rsidRDefault="001A62D7" w:rsidP="001D5990">
            <w:pPr>
              <w:spacing w:before="60" w:after="60"/>
              <w:rPr>
                <w:noProof/>
              </w:rPr>
            </w:pPr>
            <w:r w:rsidRPr="00403097">
              <w:rPr>
                <w:noProof/>
              </w:rPr>
              <w:t>Învățământ liceal</w:t>
            </w:r>
            <w:r w:rsidRPr="00403097">
              <w:rPr>
                <w:rStyle w:val="FootnoteReference"/>
                <w:noProof/>
              </w:rPr>
              <w:footnoteReference w:id="19"/>
            </w:r>
            <w:r w:rsidRPr="00403097">
              <w:rPr>
                <w:noProof/>
              </w:rPr>
              <w:t xml:space="preserve"> sau postliceal</w:t>
            </w:r>
            <w:r w:rsidRPr="00403097">
              <w:rPr>
                <w:rStyle w:val="FootnoteReference"/>
                <w:noProof/>
              </w:rPr>
              <w:footnoteReference w:id="20"/>
            </w:r>
          </w:p>
        </w:tc>
        <w:tc>
          <w:tcPr>
            <w:tcW w:w="1176" w:type="dxa"/>
            <w:tcBorders>
              <w:top w:val="nil"/>
              <w:left w:val="nil"/>
              <w:right w:val="nil"/>
            </w:tcBorders>
          </w:tcPr>
          <w:p w:rsidR="001A62D7" w:rsidRPr="00403097" w:rsidRDefault="008D1A3A" w:rsidP="001D5990">
            <w:pPr>
              <w:spacing w:before="60" w:after="60"/>
              <w:jc w:val="right"/>
              <w:rPr>
                <w:noProof/>
              </w:rPr>
            </w:pPr>
            <w:r w:rsidRPr="00403097">
              <w:rPr>
                <w:noProof/>
              </w:rPr>
              <w:t>106</w:t>
            </w:r>
          </w:p>
        </w:tc>
        <w:tc>
          <w:tcPr>
            <w:tcW w:w="1176" w:type="dxa"/>
            <w:tcBorders>
              <w:top w:val="nil"/>
              <w:left w:val="nil"/>
              <w:right w:val="nil"/>
            </w:tcBorders>
          </w:tcPr>
          <w:p w:rsidR="001A62D7" w:rsidRPr="00403097" w:rsidRDefault="001A62D7" w:rsidP="001D5990">
            <w:pPr>
              <w:spacing w:before="60" w:after="60"/>
              <w:jc w:val="right"/>
              <w:rPr>
                <w:rFonts w:eastAsia="Calibri"/>
                <w:noProof/>
              </w:rPr>
            </w:pPr>
            <w:r w:rsidRPr="00403097">
              <w:rPr>
                <w:noProof/>
              </w:rPr>
              <w:t>(39,7 %)</w:t>
            </w:r>
          </w:p>
        </w:tc>
      </w:tr>
      <w:tr w:rsidR="001A62D7" w:rsidRPr="00403097" w:rsidTr="001D5990">
        <w:trPr>
          <w:jc w:val="center"/>
        </w:trPr>
        <w:tc>
          <w:tcPr>
            <w:tcW w:w="1496" w:type="dxa"/>
            <w:tcBorders>
              <w:top w:val="nil"/>
              <w:left w:val="nil"/>
              <w:bottom w:val="single" w:sz="4" w:space="0" w:color="auto"/>
              <w:right w:val="nil"/>
            </w:tcBorders>
          </w:tcPr>
          <w:p w:rsidR="001A62D7" w:rsidRPr="00403097" w:rsidRDefault="001A62D7" w:rsidP="001D5990">
            <w:pPr>
              <w:spacing w:before="60" w:after="60"/>
              <w:rPr>
                <w:noProof/>
              </w:rPr>
            </w:pPr>
          </w:p>
        </w:tc>
        <w:tc>
          <w:tcPr>
            <w:tcW w:w="2063" w:type="dxa"/>
            <w:tcBorders>
              <w:top w:val="nil"/>
              <w:left w:val="nil"/>
              <w:bottom w:val="single" w:sz="4" w:space="0" w:color="auto"/>
              <w:right w:val="nil"/>
            </w:tcBorders>
          </w:tcPr>
          <w:p w:rsidR="001A62D7" w:rsidRPr="00403097" w:rsidRDefault="001A62D7" w:rsidP="001D5990">
            <w:pPr>
              <w:spacing w:before="60" w:after="60"/>
              <w:rPr>
                <w:noProof/>
              </w:rPr>
            </w:pPr>
            <w:r w:rsidRPr="00403097">
              <w:rPr>
                <w:noProof/>
              </w:rPr>
              <w:t>Învățământ terțiar</w:t>
            </w:r>
            <w:r w:rsidRPr="00403097">
              <w:rPr>
                <w:rStyle w:val="FootnoteReference"/>
                <w:noProof/>
              </w:rPr>
              <w:footnoteReference w:id="21"/>
            </w:r>
          </w:p>
        </w:tc>
        <w:tc>
          <w:tcPr>
            <w:tcW w:w="1176" w:type="dxa"/>
            <w:tcBorders>
              <w:top w:val="nil"/>
              <w:left w:val="nil"/>
              <w:bottom w:val="single" w:sz="4" w:space="0" w:color="auto"/>
              <w:right w:val="nil"/>
            </w:tcBorders>
          </w:tcPr>
          <w:p w:rsidR="001A62D7" w:rsidRPr="00403097" w:rsidRDefault="008D1A3A" w:rsidP="001D5990">
            <w:pPr>
              <w:spacing w:before="60" w:after="60"/>
              <w:jc w:val="right"/>
              <w:rPr>
                <w:noProof/>
              </w:rPr>
            </w:pPr>
            <w:r w:rsidRPr="00403097">
              <w:rPr>
                <w:noProof/>
              </w:rPr>
              <w:t>73</w:t>
            </w:r>
          </w:p>
        </w:tc>
        <w:tc>
          <w:tcPr>
            <w:tcW w:w="1176" w:type="dxa"/>
            <w:tcBorders>
              <w:top w:val="nil"/>
              <w:left w:val="nil"/>
              <w:bottom w:val="single" w:sz="4" w:space="0" w:color="auto"/>
              <w:right w:val="nil"/>
            </w:tcBorders>
          </w:tcPr>
          <w:p w:rsidR="001A62D7" w:rsidRPr="00403097" w:rsidRDefault="001A62D7" w:rsidP="001D5990">
            <w:pPr>
              <w:spacing w:before="60" w:after="60"/>
              <w:jc w:val="right"/>
              <w:rPr>
                <w:rFonts w:eastAsia="Calibri"/>
                <w:noProof/>
              </w:rPr>
            </w:pPr>
            <w:r w:rsidRPr="00403097">
              <w:rPr>
                <w:noProof/>
              </w:rPr>
              <w:t>(27,3 %)</w:t>
            </w:r>
          </w:p>
        </w:tc>
      </w:tr>
    </w:tbl>
    <w:p w:rsidR="001A62D7" w:rsidRPr="00403097" w:rsidRDefault="001A62D7" w:rsidP="001A62D7">
      <w:pPr>
        <w:pStyle w:val="ManualHeading3"/>
        <w:rPr>
          <w:noProof/>
          <w:u w:val="single"/>
        </w:rPr>
      </w:pPr>
      <w:r w:rsidRPr="00403097">
        <w:rPr>
          <w:noProof/>
        </w:rPr>
        <w:t>Măsuri propuse</w:t>
      </w:r>
    </w:p>
    <w:p w:rsidR="001A62D7" w:rsidRPr="00403097" w:rsidRDefault="00BA61D1" w:rsidP="00BA61D1">
      <w:pPr>
        <w:pStyle w:val="ManualNumPar1"/>
        <w:rPr>
          <w:noProof/>
        </w:rPr>
      </w:pPr>
      <w:bookmarkStart w:id="15" w:name="_Ref372214239"/>
      <w:r w:rsidRPr="00BA61D1">
        <w:rPr>
          <w:noProof/>
        </w:rPr>
        <w:t>24.</w:t>
      </w:r>
      <w:r w:rsidRPr="00BA61D1">
        <w:rPr>
          <w:noProof/>
        </w:rPr>
        <w:tab/>
      </w:r>
      <w:r w:rsidR="001A62D7" w:rsidRPr="00403097">
        <w:rPr>
          <w:noProof/>
        </w:rPr>
        <w:t xml:space="preserve">În conformitate cu articolul 8 alineatul (7) litera (h) din Regulamentul (UE) 2021/691, pachetul coordonat personalizat care urmează să fie pus la dispoziția lucrătorilor disponibilizați constă în următoarele măsuri: </w:t>
      </w:r>
      <w:bookmarkEnd w:id="15"/>
    </w:p>
    <w:p w:rsidR="00294433" w:rsidRPr="00403097" w:rsidRDefault="00CB770A" w:rsidP="0079691C">
      <w:pPr>
        <w:pStyle w:val="Tiret1"/>
        <w:numPr>
          <w:ilvl w:val="0"/>
          <w:numId w:val="19"/>
        </w:numPr>
        <w:rPr>
          <w:noProof/>
        </w:rPr>
      </w:pPr>
      <w:r w:rsidRPr="00403097">
        <w:rPr>
          <w:noProof/>
          <w:u w:val="single"/>
        </w:rPr>
        <w:t>Grupul operativ:</w:t>
      </w:r>
      <w:r w:rsidRPr="00403097">
        <w:rPr>
          <w:noProof/>
        </w:rPr>
        <w:t xml:space="preserve"> Managerii de conturi care au cunoștințe aprofundate cu privire la piața locală a forței de muncă și consultanții cu experiență în furnizarea de orientări în procesele de concediere colectivă vor organiza și vor desfășura sesiuni de informare, vor defini împreună cu lucrătorii parcursuri personalizate de reintegrare pe piața muncii și le vor reajusta, dacă este necesar. Grupul operativ beneficiază de sprijinul unei echipe de experți în proiecte europene.</w:t>
      </w:r>
    </w:p>
    <w:p w:rsidR="007D0874" w:rsidRPr="00403097" w:rsidRDefault="00294433" w:rsidP="00294433">
      <w:pPr>
        <w:pStyle w:val="Tiret1"/>
        <w:rPr>
          <w:noProof/>
        </w:rPr>
      </w:pPr>
      <w:r w:rsidRPr="00403097">
        <w:rPr>
          <w:noProof/>
          <w:u w:val="single"/>
        </w:rPr>
        <w:t>Plasarea pe piața muncii a personalului disponibilizat:</w:t>
      </w:r>
      <w:r w:rsidRPr="00403097">
        <w:rPr>
          <w:noProof/>
        </w:rPr>
        <w:t xml:space="preserve"> Serviciile de plasare pe piața muncii a personalului disponibilizat furnizate în cadrul sesiunilor de grup sau individuale includ, printre altele, un interviu inițial și orientări individuale, certificarea competențelor dobândite, orientări privind utilizarea platformei digitale „My Career” (</w:t>
      </w:r>
      <w:r w:rsidRPr="00403097">
        <w:rPr>
          <w:i/>
          <w:noProof/>
        </w:rPr>
        <w:t>Mijn Loopbaan)</w:t>
      </w:r>
      <w:r w:rsidRPr="00403097">
        <w:rPr>
          <w:noProof/>
        </w:rPr>
        <w:t xml:space="preserve"> a VDAB pentru căutarea unui loc de muncă, precum și orientări înainte, în timpul și după târgul de locuri de muncă descris mai jos. </w:t>
      </w:r>
    </w:p>
    <w:p w:rsidR="00DD57E0" w:rsidRPr="00403097" w:rsidRDefault="00DD57E0" w:rsidP="00DD57E0">
      <w:pPr>
        <w:pStyle w:val="Text2"/>
        <w:rPr>
          <w:noProof/>
        </w:rPr>
      </w:pPr>
      <w:r w:rsidRPr="00403097">
        <w:rPr>
          <w:noProof/>
        </w:rPr>
        <w:t>Analfabeții digitali vor beneficia de formare de bază în domeniul TIC și de sprijin suplimentar prin intermediul Digibanks, prin care lucrătorii pot împrumuta un laptop, pot beneficia de formare cu privire la modul de utilizare a acestuia și pot primi răspunsuri la întrebările lor digitale. Webinarele și alte instrumente online, cum ar fi 123digit.be, îi vor ajuta pe cei care au deja unele competențe digitale să și le îmbunătățească.</w:t>
      </w:r>
    </w:p>
    <w:p w:rsidR="00294433" w:rsidRPr="00403097" w:rsidRDefault="00301D34" w:rsidP="00DD57E0">
      <w:pPr>
        <w:pStyle w:val="Tiret1"/>
        <w:rPr>
          <w:noProof/>
        </w:rPr>
      </w:pPr>
      <w:r w:rsidRPr="00403097">
        <w:rPr>
          <w:noProof/>
          <w:u w:val="single"/>
        </w:rPr>
        <w:t>Asistență pentru găsirea unui loc de muncă:</w:t>
      </w:r>
      <w:r w:rsidRPr="00403097">
        <w:rPr>
          <w:noProof/>
        </w:rPr>
        <w:t xml:space="preserve"> Asistența începe cu sesiuni pentru a evalua dacă persoanele aflate în căutarea unui loc de muncă răspund cerințelor pieței forței de muncă și dacă căutarea unui loc de muncă este realistă. Ulterior, lucrătorii primesc sprijin axat pe pregătirea lor pentru viitoarele candidaturi pentru un loc de muncă, ajutându-i să redacteze CV-uri și scrisori de intenție convingătoare, crescându-le încrederea în sine și exersând în vederea pregătirii unor interviuri de angajare reușite.</w:t>
      </w:r>
    </w:p>
    <w:p w:rsidR="007D7BFD" w:rsidRPr="00403097" w:rsidRDefault="008F1670" w:rsidP="007D7BFD">
      <w:pPr>
        <w:pStyle w:val="Tiret1"/>
        <w:rPr>
          <w:noProof/>
        </w:rPr>
      </w:pPr>
      <w:r w:rsidRPr="00403097">
        <w:rPr>
          <w:noProof/>
          <w:u w:val="single"/>
        </w:rPr>
        <w:t>Orientări:</w:t>
      </w:r>
      <w:r w:rsidRPr="00403097">
        <w:rPr>
          <w:noProof/>
        </w:rPr>
        <w:t xml:space="preserve"> Serviciile de orientare includ orientarea, căutarea locurilor de muncă vacante și plasarea forței de muncă (adică punerea în legătură a persoanelor aflate în căutarea unui loc de muncă cu oportunități adecvate de angajare prin corelarea competențelor și a obiectivelor candidaților cu nevoile angajatorilor), evaluarea competențelor digitale, asistență pentru căutarea individuală a unui loc de muncă prin utilizarea instrumentelor digitale și sprijin psihologic. Aceste servicii sunt furnizate prin intermediul unui sistem de bonuri valorice pentru a asigura libertatea de alegere a lucrătorilor. După evaluarea nevoilor individuale ale lucrătorilor, consilierii VDAB stabilesc intensitatea serviciului care urmează să fie primit, care variază între intensiv și foarte intensiv.</w:t>
      </w:r>
    </w:p>
    <w:p w:rsidR="00950D9A" w:rsidRPr="00403097" w:rsidRDefault="00294433" w:rsidP="007D7BFD">
      <w:pPr>
        <w:pStyle w:val="Tiret1"/>
        <w:rPr>
          <w:noProof/>
        </w:rPr>
      </w:pPr>
      <w:r w:rsidRPr="00403097">
        <w:rPr>
          <w:noProof/>
          <w:u w:val="single"/>
        </w:rPr>
        <w:t>Asistență consolidată pentru căutarea unui loc de muncă:</w:t>
      </w:r>
      <w:r w:rsidRPr="00403097">
        <w:rPr>
          <w:noProof/>
        </w:rPr>
        <w:t xml:space="preserve"> Aceasta include sesiuni de îndrumare individuală și colectivă cu un mediator profesional, sprijin pentru depunerea candidaturii și pregătirea interviurilor de angajare, îndrumare</w:t>
      </w:r>
      <w:r w:rsidRPr="00403097">
        <w:rPr>
          <w:i/>
          <w:iCs/>
          <w:noProof/>
        </w:rPr>
        <w:t xml:space="preserve"> inter pares</w:t>
      </w:r>
      <w:r w:rsidRPr="00403097">
        <w:rPr>
          <w:noProof/>
        </w:rPr>
        <w:t xml:space="preserve"> și vizite la întreprinderile care vor să recruteze personal.</w:t>
      </w:r>
    </w:p>
    <w:p w:rsidR="00294433" w:rsidRPr="00403097" w:rsidRDefault="00294433" w:rsidP="007D7BFD">
      <w:pPr>
        <w:pStyle w:val="Tiret1"/>
        <w:rPr>
          <w:noProof/>
        </w:rPr>
      </w:pPr>
      <w:r w:rsidRPr="00403097">
        <w:rPr>
          <w:noProof/>
          <w:u w:val="single"/>
        </w:rPr>
        <w:t>Formare și reconversie profesională:</w:t>
      </w:r>
      <w:r w:rsidRPr="00403097">
        <w:rPr>
          <w:noProof/>
        </w:rPr>
        <w:t xml:space="preserve"> Lucrătorii sunt instruiți în parcursuri de învățare specifice concepute pentru a-și îmbunătăți competențele tehnice și digitale și pentru a dezvolta competențe legate de domeniile care se confruntă cu deficite de forță de muncă sau de tranziția verde. După un acord asupra proiectelor profesionale individuale împreună cu consilierul profesional, lucrătorilor li se va oferi instruire specifică pentru a răspunde nevoilor identificate. Ei vor avea, de asemenea, acces la o gamă largă de cursuri de formare care includ formarea oferită de VDAB sau de furnizorii de formare.</w:t>
      </w:r>
    </w:p>
    <w:p w:rsidR="007D7BFD" w:rsidRPr="00403097" w:rsidRDefault="00E109B3" w:rsidP="007D7BFD">
      <w:pPr>
        <w:pStyle w:val="Tiret1"/>
        <w:rPr>
          <w:noProof/>
        </w:rPr>
      </w:pPr>
      <w:r w:rsidRPr="00403097">
        <w:rPr>
          <w:noProof/>
          <w:u w:val="single"/>
        </w:rPr>
        <w:t>Formare la locul de muncă:</w:t>
      </w:r>
      <w:r w:rsidRPr="00403097">
        <w:rPr>
          <w:noProof/>
        </w:rPr>
        <w:t xml:space="preserve"> Lucrătorii beneficiază de formare la locul de muncă în cadrul întreprinderii care îi va angaja după formare. Contractul de muncă este fie permanent, fie pe perioadă determinată, cu o durată cel puțin egală cu cea a formării.</w:t>
      </w:r>
    </w:p>
    <w:p w:rsidR="007D7BFD" w:rsidRPr="00403097" w:rsidRDefault="00950D9A" w:rsidP="007D7BFD">
      <w:pPr>
        <w:pStyle w:val="Tiret1"/>
        <w:rPr>
          <w:noProof/>
        </w:rPr>
      </w:pPr>
      <w:r w:rsidRPr="00403097">
        <w:rPr>
          <w:noProof/>
          <w:u w:val="single"/>
        </w:rPr>
        <w:t>Târgul de locuri de muncă:</w:t>
      </w:r>
      <w:r w:rsidRPr="00403097">
        <w:rPr>
          <w:noProof/>
        </w:rPr>
        <w:t xml:space="preserve"> Acest eveniment de recrutare contribuie la reunirea persoanelor aflate în căutarea unui loc de muncă și a angajatorilor care doresc să își ocupe posturile vacante. Înainte de a participa la eveniment, sesiunile de consiliere contribuie la pregătirea întâlnirii cu potențialii angajatori.</w:t>
      </w:r>
    </w:p>
    <w:p w:rsidR="00CB770A" w:rsidRPr="00403097" w:rsidRDefault="00CB770A" w:rsidP="007D7BFD">
      <w:pPr>
        <w:pStyle w:val="Tiret1"/>
        <w:rPr>
          <w:noProof/>
        </w:rPr>
      </w:pPr>
      <w:r w:rsidRPr="00403097">
        <w:rPr>
          <w:noProof/>
          <w:u w:val="single"/>
        </w:rPr>
        <w:t>Căutarea unui loc de muncă și corelarea cererii și a ofertei de locuri de muncă:</w:t>
      </w:r>
      <w:r w:rsidRPr="00403097">
        <w:rPr>
          <w:noProof/>
        </w:rPr>
        <w:t xml:space="preserve"> O echipă specializată va analiza locurile de muncă vacante înainte de publicarea lor și îi va ajuta pe candidații eligibili din rândul foștilor lucrători de la Tupperware să candideze pentru aceste posturi. Evenimentele de căutare a unui loc de muncă vor fi organizate trimestrial la sediul VDAB. Aceste evenimente le vor permite participanților să interacționeze cu angajatorii locali și regionali, să analizeze locurile de muncă vacante și să înțeleagă căile de intrare;</w:t>
      </w:r>
    </w:p>
    <w:p w:rsidR="001A62D7" w:rsidRPr="00403097" w:rsidRDefault="00BA61D1" w:rsidP="00BA61D1">
      <w:pPr>
        <w:pStyle w:val="ManualNumPar1"/>
        <w:rPr>
          <w:noProof/>
        </w:rPr>
      </w:pPr>
      <w:r w:rsidRPr="00BA61D1">
        <w:rPr>
          <w:noProof/>
        </w:rPr>
        <w:t>25.</w:t>
      </w:r>
      <w:r w:rsidRPr="00BA61D1">
        <w:rPr>
          <w:noProof/>
        </w:rPr>
        <w:tab/>
      </w:r>
      <w:r w:rsidR="00C97675" w:rsidRPr="00403097">
        <w:rPr>
          <w:noProof/>
        </w:rPr>
        <w:t xml:space="preserve">Formarea TIC și sprijinul suplimentar prevăzut în cadrul serviciilor de plasare pe piața muncii a personalului disponibilizat permit diseminarea competențelor necesare în era industrială digitală și într-o economie eficientă din punctul de vedere al utilizării resurselor, astfel cum se prevede la articolul 7 alineatul (2) din Regulamentul (UE) 2021/691. </w:t>
      </w:r>
    </w:p>
    <w:p w:rsidR="001A62D7" w:rsidRPr="00403097" w:rsidRDefault="00BA61D1" w:rsidP="00BA61D1">
      <w:pPr>
        <w:pStyle w:val="ManualNumPar1"/>
        <w:rPr>
          <w:noProof/>
        </w:rPr>
      </w:pPr>
      <w:bookmarkStart w:id="16" w:name="_Ref372214242"/>
      <w:r w:rsidRPr="00BA61D1">
        <w:rPr>
          <w:noProof/>
        </w:rPr>
        <w:t>26.</w:t>
      </w:r>
      <w:r w:rsidRPr="00BA61D1">
        <w:rPr>
          <w:noProof/>
        </w:rPr>
        <w:tab/>
      </w:r>
      <w:r w:rsidR="001A62D7" w:rsidRPr="00403097">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403097" w:rsidRDefault="00BA61D1" w:rsidP="00BA61D1">
      <w:pPr>
        <w:pStyle w:val="ManualNumPar1"/>
        <w:rPr>
          <w:noProof/>
        </w:rPr>
      </w:pPr>
      <w:r w:rsidRPr="00BA61D1">
        <w:rPr>
          <w:noProof/>
        </w:rPr>
        <w:t>27.</w:t>
      </w:r>
      <w:r w:rsidRPr="00BA61D1">
        <w:rPr>
          <w:noProof/>
        </w:rPr>
        <w:tab/>
      </w:r>
      <w:r w:rsidR="000708BF" w:rsidRPr="00403097">
        <w:rPr>
          <w:noProof/>
        </w:rPr>
        <w:t>Belgia a furnizat informațiile necesare privind măsurile de care este responsabilă întreprinderea vizată în temeiul legislației naționale sau al contractelor colective de muncă. În conformitate cu articolul 9 alineatul (1) din Regulamentul (UE) 2021/691, Belgia a confirmat că măsurile respective nu vor fi înlocuite cu o contribuție financiară din partea FEG.</w:t>
      </w:r>
      <w:bookmarkEnd w:id="16"/>
    </w:p>
    <w:p w:rsidR="001A62D7" w:rsidRPr="00403097" w:rsidRDefault="001A62D7" w:rsidP="001A62D7">
      <w:pPr>
        <w:pStyle w:val="ManualHeading3"/>
        <w:rPr>
          <w:noProof/>
        </w:rPr>
      </w:pPr>
      <w:r w:rsidRPr="00403097">
        <w:rPr>
          <w:noProof/>
        </w:rPr>
        <w:t>Bugetul estimat</w:t>
      </w:r>
    </w:p>
    <w:p w:rsidR="001A62D7" w:rsidRPr="00403097" w:rsidRDefault="00BA61D1" w:rsidP="00BA61D1">
      <w:pPr>
        <w:pStyle w:val="ManualNumPar1"/>
        <w:rPr>
          <w:noProof/>
        </w:rPr>
      </w:pPr>
      <w:r w:rsidRPr="00BA61D1">
        <w:rPr>
          <w:noProof/>
        </w:rPr>
        <w:t>28.</w:t>
      </w:r>
      <w:r w:rsidRPr="00BA61D1">
        <w:rPr>
          <w:noProof/>
        </w:rPr>
        <w:tab/>
      </w:r>
      <w:r w:rsidR="001A62D7" w:rsidRPr="00403097">
        <w:rPr>
          <w:noProof/>
        </w:rPr>
        <w:t>Costurile totale estimate sunt de 1 909 000 EUR, incluzând cheltuieli pentru servicii personalizate de 1 843 500 EUR și cheltuieli pentru activitățile de pregătire, gestionare, informare și publicitate, control și raportare de 65 500 EUR.</w:t>
      </w:r>
    </w:p>
    <w:p w:rsidR="001A62D7" w:rsidRPr="00403097" w:rsidRDefault="00BA61D1" w:rsidP="00BA61D1">
      <w:pPr>
        <w:pStyle w:val="ManualNumPar1"/>
        <w:rPr>
          <w:noProof/>
        </w:rPr>
      </w:pPr>
      <w:bookmarkStart w:id="17" w:name="_Ref372550770"/>
      <w:r w:rsidRPr="00BA61D1">
        <w:rPr>
          <w:noProof/>
        </w:rPr>
        <w:t>29.</w:t>
      </w:r>
      <w:r w:rsidRPr="00BA61D1">
        <w:rPr>
          <w:noProof/>
        </w:rPr>
        <w:tab/>
      </w:r>
      <w:r w:rsidR="001A62D7" w:rsidRPr="00403097">
        <w:rPr>
          <w:noProof/>
        </w:rPr>
        <w:t>Contribuția financiară totală solicitată din partea FEG este de 1 622 650 EUR (85 % din totalul costurilor).</w:t>
      </w:r>
      <w:bookmarkEnd w:id="17"/>
    </w:p>
    <w:p w:rsidR="001A62D7" w:rsidRPr="00403097" w:rsidRDefault="00BA61D1" w:rsidP="00BA61D1">
      <w:pPr>
        <w:pStyle w:val="ManualNumPar1"/>
        <w:rPr>
          <w:noProof/>
        </w:rPr>
      </w:pPr>
      <w:r w:rsidRPr="00BA61D1">
        <w:rPr>
          <w:noProof/>
        </w:rPr>
        <w:t>30.</w:t>
      </w:r>
      <w:r w:rsidRPr="00BA61D1">
        <w:rPr>
          <w:noProof/>
        </w:rPr>
        <w:tab/>
      </w:r>
      <w:r w:rsidR="001A62D7" w:rsidRPr="00403097">
        <w:rPr>
          <w:noProof/>
        </w:rPr>
        <w:t>În conformitate cu articolul 8 alineatul (7) litera (m) din Regulamentul (UE) 2021/691, Belgia a precizat că prefinanțarea și cofinanțarea națională sunt asigurate de 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403097" w:rsidTr="001D5990">
        <w:tc>
          <w:tcPr>
            <w:tcW w:w="4644" w:type="dxa"/>
            <w:shd w:val="clear" w:color="auto" w:fill="auto"/>
            <w:vAlign w:val="center"/>
          </w:tcPr>
          <w:p w:rsidR="001A62D7" w:rsidRPr="00403097" w:rsidRDefault="001A62D7" w:rsidP="001D5990">
            <w:pPr>
              <w:spacing w:before="60" w:after="60"/>
              <w:jc w:val="center"/>
              <w:rPr>
                <w:rFonts w:eastAsia="Times New Roman"/>
                <w:noProof/>
                <w:sz w:val="22"/>
              </w:rPr>
            </w:pPr>
            <w:r w:rsidRPr="00403097">
              <w:rPr>
                <w:noProof/>
                <w:sz w:val="22"/>
              </w:rPr>
              <w:t>Măsuri</w:t>
            </w:r>
          </w:p>
        </w:tc>
        <w:tc>
          <w:tcPr>
            <w:tcW w:w="1548" w:type="dxa"/>
            <w:shd w:val="clear" w:color="auto" w:fill="auto"/>
            <w:vAlign w:val="center"/>
          </w:tcPr>
          <w:p w:rsidR="001A62D7" w:rsidRPr="00403097" w:rsidRDefault="001A62D7" w:rsidP="001D5990">
            <w:pPr>
              <w:spacing w:before="60" w:after="60"/>
              <w:jc w:val="center"/>
              <w:rPr>
                <w:rFonts w:eastAsia="Times New Roman"/>
                <w:noProof/>
                <w:sz w:val="22"/>
              </w:rPr>
            </w:pPr>
            <w:r w:rsidRPr="00403097">
              <w:rPr>
                <w:noProof/>
                <w:sz w:val="22"/>
              </w:rPr>
              <w:t>Numărul de participanți estimat</w:t>
            </w:r>
          </w:p>
        </w:tc>
        <w:tc>
          <w:tcPr>
            <w:tcW w:w="1548" w:type="dxa"/>
            <w:shd w:val="clear" w:color="auto" w:fill="auto"/>
            <w:vAlign w:val="center"/>
          </w:tcPr>
          <w:p w:rsidR="001A62D7" w:rsidRPr="00403097" w:rsidRDefault="001A62D7" w:rsidP="001D5990">
            <w:pPr>
              <w:spacing w:before="60" w:after="60"/>
              <w:jc w:val="center"/>
              <w:rPr>
                <w:rFonts w:eastAsia="Times New Roman"/>
                <w:noProof/>
                <w:sz w:val="22"/>
              </w:rPr>
            </w:pPr>
            <w:r w:rsidRPr="00403097">
              <w:rPr>
                <w:noProof/>
                <w:sz w:val="22"/>
              </w:rPr>
              <w:t>Costul estimat per participant</w:t>
            </w:r>
            <w:r w:rsidRPr="00403097">
              <w:rPr>
                <w:noProof/>
              </w:rPr>
              <w:t xml:space="preserve"> </w:t>
            </w:r>
            <w:r w:rsidRPr="00403097">
              <w:rPr>
                <w:noProof/>
              </w:rPr>
              <w:br/>
            </w:r>
            <w:r w:rsidRPr="00403097">
              <w:rPr>
                <w:i/>
                <w:noProof/>
                <w:sz w:val="22"/>
              </w:rPr>
              <w:t>(EUR)</w:t>
            </w:r>
            <w:r w:rsidRPr="00403097">
              <w:rPr>
                <w:rStyle w:val="FootnoteReference"/>
                <w:rFonts w:eastAsia="Times New Roman"/>
                <w:i/>
                <w:noProof/>
                <w:sz w:val="22"/>
              </w:rPr>
              <w:footnoteReference w:id="22"/>
            </w:r>
          </w:p>
        </w:tc>
        <w:tc>
          <w:tcPr>
            <w:tcW w:w="1548" w:type="dxa"/>
            <w:shd w:val="clear" w:color="auto" w:fill="auto"/>
            <w:vAlign w:val="center"/>
          </w:tcPr>
          <w:p w:rsidR="001A62D7" w:rsidRPr="00403097" w:rsidRDefault="001A62D7" w:rsidP="001D5990">
            <w:pPr>
              <w:spacing w:before="60" w:after="60"/>
              <w:jc w:val="center"/>
              <w:rPr>
                <w:rFonts w:eastAsia="Times New Roman"/>
                <w:noProof/>
                <w:sz w:val="22"/>
              </w:rPr>
            </w:pPr>
            <w:r w:rsidRPr="00403097">
              <w:rPr>
                <w:noProof/>
                <w:sz w:val="22"/>
              </w:rPr>
              <w:t>Costuri totale estimate</w:t>
            </w:r>
          </w:p>
          <w:p w:rsidR="001A62D7" w:rsidRPr="00403097" w:rsidRDefault="001A62D7" w:rsidP="001D5990">
            <w:pPr>
              <w:spacing w:before="60" w:after="60"/>
              <w:jc w:val="center"/>
              <w:rPr>
                <w:rFonts w:eastAsia="Times New Roman"/>
                <w:noProof/>
                <w:sz w:val="22"/>
              </w:rPr>
            </w:pPr>
            <w:r w:rsidRPr="00403097">
              <w:rPr>
                <w:i/>
                <w:noProof/>
                <w:sz w:val="22"/>
              </w:rPr>
              <w:t>(EUR)</w:t>
            </w:r>
            <w:r w:rsidRPr="00403097">
              <w:rPr>
                <w:rStyle w:val="FootnoteReference"/>
                <w:rFonts w:eastAsia="Times New Roman"/>
                <w:i/>
                <w:noProof/>
                <w:sz w:val="22"/>
              </w:rPr>
              <w:footnoteReference w:id="23"/>
            </w:r>
            <w:r w:rsidRPr="00403097">
              <w:rPr>
                <w:i/>
                <w:noProof/>
                <w:sz w:val="22"/>
              </w:rPr>
              <w:t xml:space="preserve"> </w:t>
            </w:r>
          </w:p>
        </w:tc>
      </w:tr>
      <w:tr w:rsidR="001A62D7" w:rsidRPr="00403097" w:rsidTr="001D5990">
        <w:tc>
          <w:tcPr>
            <w:tcW w:w="9288" w:type="dxa"/>
            <w:gridSpan w:val="4"/>
            <w:shd w:val="clear" w:color="auto" w:fill="auto"/>
          </w:tcPr>
          <w:p w:rsidR="001A62D7" w:rsidRPr="00403097" w:rsidRDefault="001A62D7" w:rsidP="001D5990">
            <w:pPr>
              <w:spacing w:before="60" w:after="60"/>
              <w:jc w:val="left"/>
              <w:rPr>
                <w:rFonts w:eastAsia="Times New Roman"/>
                <w:noProof/>
                <w:sz w:val="22"/>
              </w:rPr>
            </w:pPr>
            <w:r w:rsidRPr="00403097">
              <w:rPr>
                <w:noProof/>
              </w:rPr>
              <w:t>Servicii personalizate [măsuri în temeiul articolului 7 alineatul (2) al doilea paragraf litera (a) din Regulamentul (UE) 2021/691]</w:t>
            </w:r>
          </w:p>
        </w:tc>
      </w:tr>
      <w:tr w:rsidR="001A62D7" w:rsidRPr="0040309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03097" w:rsidRDefault="00CB770A" w:rsidP="001D5990">
            <w:pPr>
              <w:spacing w:before="60" w:after="60"/>
              <w:jc w:val="left"/>
              <w:rPr>
                <w:noProof/>
              </w:rPr>
            </w:pPr>
            <w:r w:rsidRPr="00403097">
              <w:rPr>
                <w:noProof/>
              </w:rPr>
              <w:t xml:space="preserve">Grupul operativ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2F6D5B" w:rsidP="001D5990">
            <w:pPr>
              <w:spacing w:before="60" w:after="60"/>
              <w:jc w:val="center"/>
              <w:rPr>
                <w:noProof/>
              </w:rPr>
            </w:pPr>
            <w:r w:rsidRPr="00403097">
              <w:rPr>
                <w:noProof/>
              </w:rPr>
              <w:t>267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843</w:t>
            </w:r>
          </w:p>
        </w:tc>
        <w:tc>
          <w:tcPr>
            <w:tcW w:w="1548" w:type="dxa"/>
            <w:tcBorders>
              <w:top w:val="single" w:sz="4" w:space="0" w:color="auto"/>
              <w:left w:val="single" w:sz="4" w:space="0" w:color="auto"/>
              <w:bottom w:val="single" w:sz="4" w:space="0" w:color="auto"/>
              <w:right w:val="nil"/>
            </w:tcBorders>
            <w:vAlign w:val="center"/>
            <w:hideMark/>
          </w:tcPr>
          <w:p w:rsidR="001A62D7" w:rsidRPr="00403097" w:rsidRDefault="00B00403" w:rsidP="001D5990">
            <w:pPr>
              <w:spacing w:before="60" w:after="60"/>
              <w:jc w:val="center"/>
              <w:rPr>
                <w:noProof/>
              </w:rPr>
            </w:pPr>
            <w:r w:rsidRPr="00403097">
              <w:rPr>
                <w:noProof/>
              </w:rPr>
              <w:t>225 000</w:t>
            </w:r>
          </w:p>
        </w:tc>
      </w:tr>
      <w:tr w:rsidR="001A62D7" w:rsidRPr="0040309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03097" w:rsidRDefault="00CB770A" w:rsidP="001D5990">
            <w:pPr>
              <w:spacing w:before="60" w:after="60"/>
              <w:jc w:val="left"/>
              <w:rPr>
                <w:noProof/>
              </w:rPr>
            </w:pPr>
            <w:r w:rsidRPr="00403097">
              <w:rPr>
                <w:noProof/>
              </w:rPr>
              <w:t xml:space="preserve">Plasarea pe piața muncii a personalului disponibilizat </w:t>
            </w:r>
            <w:r w:rsidRPr="00403097">
              <w:rPr>
                <w:noProof/>
              </w:rPr>
              <w:br/>
              <w:t>(</w:t>
            </w:r>
            <w:r w:rsidRPr="00403097">
              <w:rPr>
                <w:i/>
                <w:noProof/>
              </w:rPr>
              <w:t>Outplacement begeleiding)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150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2 512</w:t>
            </w:r>
          </w:p>
        </w:tc>
        <w:tc>
          <w:tcPr>
            <w:tcW w:w="1548" w:type="dxa"/>
            <w:tcBorders>
              <w:top w:val="single" w:sz="4" w:space="0" w:color="auto"/>
              <w:left w:val="single" w:sz="4" w:space="0" w:color="auto"/>
              <w:bottom w:val="single" w:sz="4" w:space="0" w:color="auto"/>
              <w:right w:val="nil"/>
            </w:tcBorders>
            <w:vAlign w:val="center"/>
            <w:hideMark/>
          </w:tcPr>
          <w:p w:rsidR="001A62D7" w:rsidRPr="00403097" w:rsidRDefault="00B00403" w:rsidP="001D5990">
            <w:pPr>
              <w:spacing w:before="60" w:after="60"/>
              <w:jc w:val="center"/>
              <w:rPr>
                <w:noProof/>
              </w:rPr>
            </w:pPr>
            <w:r w:rsidRPr="00403097">
              <w:rPr>
                <w:noProof/>
              </w:rPr>
              <w:t>376 736</w:t>
            </w:r>
          </w:p>
        </w:tc>
      </w:tr>
      <w:tr w:rsidR="001A62D7" w:rsidRPr="0040309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03097" w:rsidRDefault="00F84783" w:rsidP="001D5990">
            <w:pPr>
              <w:spacing w:before="60" w:after="60"/>
              <w:jc w:val="left"/>
              <w:rPr>
                <w:noProof/>
              </w:rPr>
            </w:pPr>
            <w:r w:rsidRPr="00403097">
              <w:rPr>
                <w:noProof/>
              </w:rPr>
              <w:t xml:space="preserve">Asistență pentru găsirea unui loc de muncă </w:t>
            </w:r>
            <w:r w:rsidRPr="00403097">
              <w:rPr>
                <w:noProof/>
              </w:rPr>
              <w:br/>
              <w:t>(</w:t>
            </w:r>
            <w:r w:rsidRPr="00403097">
              <w:rPr>
                <w:i/>
                <w:noProof/>
              </w:rPr>
              <w:t>Actieve bemiddeling en begeleiding naar werk)</w:t>
            </w:r>
            <w:r w:rsidRPr="0040309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100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1 550</w:t>
            </w:r>
          </w:p>
        </w:tc>
        <w:tc>
          <w:tcPr>
            <w:tcW w:w="1548" w:type="dxa"/>
            <w:tcBorders>
              <w:top w:val="single" w:sz="4" w:space="0" w:color="auto"/>
              <w:left w:val="single" w:sz="4" w:space="0" w:color="auto"/>
              <w:bottom w:val="single" w:sz="4" w:space="0" w:color="auto"/>
              <w:right w:val="nil"/>
            </w:tcBorders>
            <w:vAlign w:val="center"/>
            <w:hideMark/>
          </w:tcPr>
          <w:p w:rsidR="001A62D7" w:rsidRPr="00403097" w:rsidRDefault="00B00403" w:rsidP="001D5990">
            <w:pPr>
              <w:spacing w:before="60" w:after="60"/>
              <w:jc w:val="center"/>
              <w:rPr>
                <w:noProof/>
              </w:rPr>
            </w:pPr>
            <w:r w:rsidRPr="00403097">
              <w:rPr>
                <w:noProof/>
              </w:rPr>
              <w:t>155 000</w:t>
            </w:r>
          </w:p>
        </w:tc>
      </w:tr>
      <w:tr w:rsidR="001A62D7" w:rsidRPr="0040309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03097" w:rsidRDefault="00F84783" w:rsidP="001D5990">
            <w:pPr>
              <w:spacing w:before="60" w:after="60"/>
              <w:jc w:val="left"/>
              <w:rPr>
                <w:noProof/>
              </w:rPr>
            </w:pPr>
            <w:r w:rsidRPr="00403097">
              <w:rPr>
                <w:noProof/>
              </w:rPr>
              <w:t xml:space="preserve">Orientare </w:t>
            </w:r>
            <w:r w:rsidRPr="00403097">
              <w:rPr>
                <w:noProof/>
              </w:rPr>
              <w:br/>
              <w:t>(</w:t>
            </w:r>
            <w:r w:rsidRPr="00403097">
              <w:rPr>
                <w:i/>
                <w:noProof/>
              </w:rPr>
              <w:t xml:space="preserve">Begeleiding door partners)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30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4 500</w:t>
            </w:r>
          </w:p>
        </w:tc>
        <w:tc>
          <w:tcPr>
            <w:tcW w:w="1548" w:type="dxa"/>
            <w:tcBorders>
              <w:top w:val="single" w:sz="4" w:space="0" w:color="auto"/>
              <w:left w:val="single" w:sz="4" w:space="0" w:color="auto"/>
              <w:bottom w:val="single" w:sz="4" w:space="0" w:color="auto"/>
              <w:right w:val="nil"/>
            </w:tcBorders>
            <w:vAlign w:val="center"/>
            <w:hideMark/>
          </w:tcPr>
          <w:p w:rsidR="001A62D7" w:rsidRPr="00403097" w:rsidRDefault="00B00403" w:rsidP="001D5990">
            <w:pPr>
              <w:spacing w:before="60" w:after="60"/>
              <w:jc w:val="center"/>
              <w:rPr>
                <w:noProof/>
              </w:rPr>
            </w:pPr>
            <w:r w:rsidRPr="00403097">
              <w:rPr>
                <w:noProof/>
              </w:rPr>
              <w:t>135 000</w:t>
            </w:r>
          </w:p>
        </w:tc>
      </w:tr>
      <w:tr w:rsidR="00CB770A" w:rsidRPr="00403097" w:rsidTr="00EB4E86">
        <w:trPr>
          <w:trHeight w:val="802"/>
        </w:trPr>
        <w:tc>
          <w:tcPr>
            <w:tcW w:w="4644" w:type="dxa"/>
            <w:tcBorders>
              <w:top w:val="single" w:sz="4" w:space="0" w:color="auto"/>
              <w:left w:val="nil"/>
              <w:bottom w:val="single" w:sz="4" w:space="0" w:color="auto"/>
              <w:right w:val="single" w:sz="4" w:space="0" w:color="auto"/>
            </w:tcBorders>
            <w:vAlign w:val="center"/>
            <w:hideMark/>
          </w:tcPr>
          <w:p w:rsidR="00CB770A" w:rsidRPr="00403097" w:rsidRDefault="00F84783" w:rsidP="00EB4E86">
            <w:pPr>
              <w:spacing w:before="60" w:after="60"/>
              <w:jc w:val="left"/>
              <w:rPr>
                <w:noProof/>
              </w:rPr>
            </w:pPr>
            <w:r w:rsidRPr="00403097">
              <w:rPr>
                <w:noProof/>
              </w:rPr>
              <w:t xml:space="preserve">Asistență consolidată pentru căutarea unui loc de muncă </w:t>
            </w:r>
            <w:r w:rsidRPr="00403097">
              <w:rPr>
                <w:noProof/>
              </w:rPr>
              <w:br/>
              <w:t>(</w:t>
            </w:r>
            <w:r w:rsidRPr="00403097">
              <w:rPr>
                <w:i/>
                <w:noProof/>
              </w:rPr>
              <w:t>Jobhunting)</w:t>
            </w:r>
            <w:r w:rsidR="00403097" w:rsidRPr="00403097">
              <w:rPr>
                <w:i/>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403097" w:rsidRDefault="00B00403" w:rsidP="00EB4E86">
            <w:pPr>
              <w:spacing w:before="60" w:after="60"/>
              <w:jc w:val="center"/>
              <w:rPr>
                <w:noProof/>
              </w:rPr>
            </w:pPr>
            <w:r w:rsidRPr="00403097">
              <w:rPr>
                <w:noProof/>
              </w:rPr>
              <w:t>60</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403097" w:rsidRDefault="00B00403" w:rsidP="00EB4E86">
            <w:pPr>
              <w:spacing w:before="60" w:after="60"/>
              <w:jc w:val="center"/>
              <w:rPr>
                <w:noProof/>
              </w:rPr>
            </w:pPr>
            <w:r w:rsidRPr="00403097">
              <w:rPr>
                <w:noProof/>
              </w:rPr>
              <w:t>5 206</w:t>
            </w:r>
          </w:p>
        </w:tc>
        <w:tc>
          <w:tcPr>
            <w:tcW w:w="1548" w:type="dxa"/>
            <w:tcBorders>
              <w:top w:val="single" w:sz="4" w:space="0" w:color="auto"/>
              <w:left w:val="single" w:sz="4" w:space="0" w:color="auto"/>
              <w:bottom w:val="single" w:sz="4" w:space="0" w:color="auto"/>
              <w:right w:val="nil"/>
            </w:tcBorders>
            <w:vAlign w:val="center"/>
            <w:hideMark/>
          </w:tcPr>
          <w:p w:rsidR="00CB770A" w:rsidRPr="00403097" w:rsidRDefault="00B00403" w:rsidP="00EB4E86">
            <w:pPr>
              <w:spacing w:before="60" w:after="60"/>
              <w:jc w:val="center"/>
              <w:rPr>
                <w:noProof/>
              </w:rPr>
            </w:pPr>
            <w:r w:rsidRPr="00403097">
              <w:rPr>
                <w:noProof/>
              </w:rPr>
              <w:t>312 355</w:t>
            </w:r>
          </w:p>
        </w:tc>
      </w:tr>
      <w:tr w:rsidR="00CB770A" w:rsidRPr="00403097" w:rsidTr="00EB4E86">
        <w:trPr>
          <w:trHeight w:val="802"/>
        </w:trPr>
        <w:tc>
          <w:tcPr>
            <w:tcW w:w="4644" w:type="dxa"/>
            <w:tcBorders>
              <w:top w:val="single" w:sz="4" w:space="0" w:color="auto"/>
              <w:left w:val="nil"/>
              <w:bottom w:val="single" w:sz="4" w:space="0" w:color="auto"/>
              <w:right w:val="single" w:sz="4" w:space="0" w:color="auto"/>
            </w:tcBorders>
            <w:vAlign w:val="center"/>
            <w:hideMark/>
          </w:tcPr>
          <w:p w:rsidR="00CB770A" w:rsidRPr="00403097" w:rsidRDefault="00F84783" w:rsidP="008E0467">
            <w:pPr>
              <w:spacing w:before="60" w:after="60"/>
              <w:jc w:val="left"/>
              <w:rPr>
                <w:noProof/>
              </w:rPr>
            </w:pPr>
            <w:r w:rsidRPr="00403097">
              <w:rPr>
                <w:noProof/>
              </w:rPr>
              <w:t xml:space="preserve">Formare și reconversie profesională </w:t>
            </w:r>
            <w:r w:rsidRPr="00403097">
              <w:rPr>
                <w:noProof/>
              </w:rPr>
              <w:br/>
              <w:t>(</w:t>
            </w:r>
            <w:r w:rsidRPr="00403097">
              <w:rPr>
                <w:i/>
                <w:noProof/>
              </w:rPr>
              <w:t>Opleiding eigen beheer, opleiding SIF, opleiding bij partners)</w:t>
            </w:r>
            <w:r w:rsidRPr="0040309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403097" w:rsidRDefault="00FA048A" w:rsidP="00EB4E86">
            <w:pPr>
              <w:spacing w:before="60" w:after="60"/>
              <w:jc w:val="center"/>
              <w:rPr>
                <w:noProof/>
              </w:rPr>
            </w:pPr>
            <w:r w:rsidRPr="00403097">
              <w:rPr>
                <w:noProof/>
              </w:rPr>
              <w:t>65</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403097" w:rsidRDefault="00FA048A" w:rsidP="00EB4E86">
            <w:pPr>
              <w:spacing w:before="60" w:after="60"/>
              <w:jc w:val="center"/>
              <w:rPr>
                <w:noProof/>
              </w:rPr>
            </w:pPr>
            <w:r w:rsidRPr="00403097">
              <w:rPr>
                <w:noProof/>
              </w:rPr>
              <w:t>6 874</w:t>
            </w:r>
          </w:p>
        </w:tc>
        <w:tc>
          <w:tcPr>
            <w:tcW w:w="1548" w:type="dxa"/>
            <w:tcBorders>
              <w:top w:val="single" w:sz="4" w:space="0" w:color="auto"/>
              <w:left w:val="single" w:sz="4" w:space="0" w:color="auto"/>
              <w:bottom w:val="single" w:sz="4" w:space="0" w:color="auto"/>
              <w:right w:val="nil"/>
            </w:tcBorders>
            <w:vAlign w:val="center"/>
            <w:hideMark/>
          </w:tcPr>
          <w:p w:rsidR="00CB770A" w:rsidRPr="00403097" w:rsidRDefault="00FA048A" w:rsidP="00EB4E86">
            <w:pPr>
              <w:spacing w:before="60" w:after="60"/>
              <w:jc w:val="center"/>
              <w:rPr>
                <w:noProof/>
              </w:rPr>
            </w:pPr>
            <w:r w:rsidRPr="00403097">
              <w:rPr>
                <w:noProof/>
              </w:rPr>
              <w:t>446 809</w:t>
            </w:r>
          </w:p>
        </w:tc>
      </w:tr>
      <w:tr w:rsidR="00F84783" w:rsidRPr="00403097" w:rsidTr="00F84783">
        <w:trPr>
          <w:trHeight w:val="802"/>
        </w:trPr>
        <w:tc>
          <w:tcPr>
            <w:tcW w:w="4644" w:type="dxa"/>
            <w:tcBorders>
              <w:top w:val="single" w:sz="4" w:space="0" w:color="auto"/>
              <w:left w:val="nil"/>
              <w:bottom w:val="single" w:sz="4" w:space="0" w:color="auto"/>
              <w:right w:val="single" w:sz="4" w:space="0" w:color="auto"/>
            </w:tcBorders>
            <w:vAlign w:val="center"/>
            <w:hideMark/>
          </w:tcPr>
          <w:p w:rsidR="00F84783" w:rsidRPr="00403097" w:rsidRDefault="00B63616" w:rsidP="00DE59FC">
            <w:pPr>
              <w:spacing w:before="60" w:after="60"/>
              <w:jc w:val="left"/>
              <w:rPr>
                <w:noProof/>
              </w:rPr>
            </w:pPr>
            <w:r w:rsidRPr="00403097">
              <w:rPr>
                <w:noProof/>
              </w:rPr>
              <w:t xml:space="preserve">Formare la locul de muncă </w:t>
            </w:r>
            <w:r w:rsidRPr="00403097">
              <w:rPr>
                <w:noProof/>
              </w:rPr>
              <w:br/>
              <w:t>(</w:t>
            </w:r>
            <w:r w:rsidRPr="00403097">
              <w:rPr>
                <w:i/>
                <w:noProof/>
              </w:rPr>
              <w:t>Opleiding in de onderneming (IBO))</w:t>
            </w:r>
            <w:r w:rsidRPr="0040309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F84783" w:rsidRPr="00403097" w:rsidRDefault="00B00403" w:rsidP="00DE59FC">
            <w:pPr>
              <w:spacing w:before="60" w:after="60"/>
              <w:jc w:val="center"/>
              <w:rPr>
                <w:noProof/>
              </w:rPr>
            </w:pPr>
            <w:r w:rsidRPr="00403097">
              <w:rPr>
                <w:noProof/>
              </w:rPr>
              <w:t>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F84783" w:rsidRPr="00403097" w:rsidRDefault="00B00403" w:rsidP="00DE59FC">
            <w:pPr>
              <w:spacing w:before="60" w:after="60"/>
              <w:jc w:val="center"/>
              <w:rPr>
                <w:noProof/>
              </w:rPr>
            </w:pPr>
            <w:r w:rsidRPr="00403097">
              <w:rPr>
                <w:noProof/>
              </w:rPr>
              <w:t>960</w:t>
            </w:r>
          </w:p>
        </w:tc>
        <w:tc>
          <w:tcPr>
            <w:tcW w:w="1548" w:type="dxa"/>
            <w:tcBorders>
              <w:top w:val="single" w:sz="4" w:space="0" w:color="auto"/>
              <w:left w:val="single" w:sz="4" w:space="0" w:color="auto"/>
              <w:bottom w:val="single" w:sz="4" w:space="0" w:color="auto"/>
              <w:right w:val="nil"/>
            </w:tcBorders>
            <w:vAlign w:val="center"/>
            <w:hideMark/>
          </w:tcPr>
          <w:p w:rsidR="00F84783" w:rsidRPr="00403097" w:rsidRDefault="00B00403" w:rsidP="00DE59FC">
            <w:pPr>
              <w:spacing w:before="60" w:after="60"/>
              <w:jc w:val="center"/>
              <w:rPr>
                <w:noProof/>
              </w:rPr>
            </w:pPr>
            <w:r w:rsidRPr="00403097">
              <w:rPr>
                <w:noProof/>
              </w:rPr>
              <w:t>9 600</w:t>
            </w:r>
          </w:p>
        </w:tc>
      </w:tr>
      <w:tr w:rsidR="001A62D7" w:rsidRPr="00403097" w:rsidTr="008E0467">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03097" w:rsidRDefault="00F84783" w:rsidP="008E0467">
            <w:pPr>
              <w:spacing w:before="60" w:after="60"/>
              <w:jc w:val="left"/>
              <w:rPr>
                <w:noProof/>
              </w:rPr>
            </w:pPr>
            <w:r w:rsidRPr="00403097">
              <w:rPr>
                <w:noProof/>
              </w:rPr>
              <w:t xml:space="preserve"> </w:t>
            </w:r>
            <w:r w:rsidRPr="00403097">
              <w:rPr>
                <w:noProof/>
              </w:rPr>
              <w:br/>
              <w:t xml:space="preserve">Târg de locuri de muncă </w:t>
            </w:r>
            <w:r w:rsidRPr="00403097">
              <w:rPr>
                <w:noProof/>
              </w:rPr>
              <w:br/>
              <w:t>(</w:t>
            </w:r>
            <w:r w:rsidRPr="00403097">
              <w:rPr>
                <w:i/>
                <w:noProof/>
              </w:rPr>
              <w:t>Jobbeurs)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F26AB0">
            <w:pPr>
              <w:spacing w:before="60" w:after="60"/>
              <w:jc w:val="center"/>
              <w:rPr>
                <w:noProof/>
              </w:rPr>
            </w:pPr>
            <w:r w:rsidRPr="00403097">
              <w:rPr>
                <w:noProof/>
              </w:rPr>
              <w:t>44</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F26AB0">
            <w:pPr>
              <w:spacing w:before="60" w:after="60"/>
              <w:jc w:val="center"/>
              <w:rPr>
                <w:noProof/>
              </w:rPr>
            </w:pPr>
            <w:r w:rsidRPr="00403097">
              <w:rPr>
                <w:noProof/>
              </w:rPr>
              <w:t>8</w:t>
            </w:r>
          </w:p>
        </w:tc>
        <w:tc>
          <w:tcPr>
            <w:tcW w:w="1548" w:type="dxa"/>
            <w:tcBorders>
              <w:top w:val="single" w:sz="4" w:space="0" w:color="auto"/>
              <w:left w:val="single" w:sz="4" w:space="0" w:color="auto"/>
              <w:bottom w:val="single" w:sz="4" w:space="0" w:color="auto"/>
              <w:right w:val="nil"/>
            </w:tcBorders>
            <w:vAlign w:val="center"/>
            <w:hideMark/>
          </w:tcPr>
          <w:p w:rsidR="001A62D7" w:rsidRPr="00403097" w:rsidRDefault="00B00403" w:rsidP="00F26AB0">
            <w:pPr>
              <w:spacing w:before="60" w:after="60"/>
              <w:jc w:val="center"/>
              <w:rPr>
                <w:noProof/>
              </w:rPr>
            </w:pPr>
            <w:r w:rsidRPr="00403097">
              <w:rPr>
                <w:noProof/>
              </w:rPr>
              <w:t>350</w:t>
            </w:r>
          </w:p>
        </w:tc>
      </w:tr>
      <w:tr w:rsidR="001A62D7" w:rsidRPr="00403097" w:rsidTr="008E0467">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03097" w:rsidRDefault="00CB770A" w:rsidP="008E0467">
            <w:pPr>
              <w:spacing w:before="60" w:after="60"/>
              <w:jc w:val="left"/>
              <w:rPr>
                <w:noProof/>
              </w:rPr>
            </w:pPr>
            <w:r w:rsidRPr="00403097">
              <w:rPr>
                <w:noProof/>
              </w:rPr>
              <w:t xml:space="preserve">Căutarea unui loc de muncă și corelarea cererii și a ofertei de locuri de muncă </w:t>
            </w:r>
            <w:r w:rsidRPr="00403097">
              <w:rPr>
                <w:noProof/>
              </w:rPr>
              <w:br/>
              <w:t>(</w:t>
            </w:r>
            <w:r w:rsidRPr="00403097">
              <w:rPr>
                <w:i/>
                <w:noProof/>
              </w:rPr>
              <w:t>Big Recruitment)</w:t>
            </w:r>
            <w:r w:rsidRPr="0040309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60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03097" w:rsidRDefault="00B00403" w:rsidP="001D5990">
            <w:pPr>
              <w:spacing w:before="60" w:after="60"/>
              <w:jc w:val="center"/>
              <w:rPr>
                <w:noProof/>
              </w:rPr>
            </w:pPr>
            <w:r w:rsidRPr="00403097">
              <w:rPr>
                <w:noProof/>
              </w:rPr>
              <w:t>3 044</w:t>
            </w:r>
          </w:p>
        </w:tc>
        <w:tc>
          <w:tcPr>
            <w:tcW w:w="1548" w:type="dxa"/>
            <w:tcBorders>
              <w:top w:val="single" w:sz="4" w:space="0" w:color="auto"/>
              <w:left w:val="single" w:sz="4" w:space="0" w:color="auto"/>
              <w:bottom w:val="single" w:sz="4" w:space="0" w:color="auto"/>
              <w:right w:val="nil"/>
            </w:tcBorders>
            <w:vAlign w:val="center"/>
            <w:hideMark/>
          </w:tcPr>
          <w:p w:rsidR="001A62D7" w:rsidRPr="00403097" w:rsidRDefault="00B00403" w:rsidP="001D5990">
            <w:pPr>
              <w:spacing w:before="60" w:after="60"/>
              <w:jc w:val="center"/>
              <w:rPr>
                <w:noProof/>
              </w:rPr>
            </w:pPr>
            <w:r w:rsidRPr="00403097">
              <w:rPr>
                <w:noProof/>
              </w:rPr>
              <w:t>182 650</w:t>
            </w:r>
          </w:p>
        </w:tc>
      </w:tr>
      <w:tr w:rsidR="001A62D7" w:rsidRPr="00403097" w:rsidTr="001D5990">
        <w:trPr>
          <w:trHeight w:val="398"/>
        </w:trPr>
        <w:tc>
          <w:tcPr>
            <w:tcW w:w="4644" w:type="dxa"/>
            <w:vMerge w:val="restart"/>
            <w:shd w:val="clear" w:color="auto" w:fill="auto"/>
            <w:vAlign w:val="center"/>
          </w:tcPr>
          <w:p w:rsidR="001A62D7" w:rsidRPr="00403097" w:rsidRDefault="001A62D7" w:rsidP="001D5990">
            <w:pPr>
              <w:spacing w:before="60" w:after="60"/>
              <w:jc w:val="right"/>
              <w:rPr>
                <w:rFonts w:eastAsia="Times New Roman"/>
                <w:noProof/>
                <w:sz w:val="22"/>
              </w:rPr>
            </w:pPr>
            <w:r w:rsidRPr="00403097">
              <w:rPr>
                <w:noProof/>
                <w:sz w:val="22"/>
              </w:rPr>
              <w:t>Subtotal (a):</w:t>
            </w:r>
          </w:p>
          <w:p w:rsidR="001A62D7" w:rsidRPr="00403097" w:rsidRDefault="001A62D7" w:rsidP="001D5990">
            <w:pPr>
              <w:spacing w:before="60" w:after="60"/>
              <w:jc w:val="right"/>
              <w:rPr>
                <w:rFonts w:eastAsia="Times New Roman"/>
                <w:noProof/>
                <w:sz w:val="22"/>
              </w:rPr>
            </w:pPr>
            <w:r w:rsidRPr="00403097">
              <w:rPr>
                <w:noProof/>
                <w:sz w:val="22"/>
              </w:rPr>
              <w:t xml:space="preserve">Procent din pachetul de servicii personalizate </w:t>
            </w:r>
          </w:p>
        </w:tc>
        <w:tc>
          <w:tcPr>
            <w:tcW w:w="3096" w:type="dxa"/>
            <w:gridSpan w:val="2"/>
            <w:vMerge w:val="restart"/>
            <w:shd w:val="clear" w:color="auto" w:fill="D9D9D9"/>
            <w:vAlign w:val="center"/>
          </w:tcPr>
          <w:p w:rsidR="001A62D7" w:rsidRPr="00403097" w:rsidRDefault="001A62D7" w:rsidP="001D5990">
            <w:pPr>
              <w:spacing w:before="60" w:after="60"/>
              <w:jc w:val="center"/>
              <w:rPr>
                <w:rFonts w:eastAsia="Times New Roman"/>
                <w:noProof/>
                <w:sz w:val="22"/>
              </w:rPr>
            </w:pPr>
            <w:r w:rsidRPr="00403097">
              <w:rPr>
                <w:noProof/>
                <w:sz w:val="22"/>
              </w:rPr>
              <w:t>–</w:t>
            </w:r>
          </w:p>
        </w:tc>
        <w:tc>
          <w:tcPr>
            <w:tcW w:w="1548" w:type="dxa"/>
            <w:tcBorders>
              <w:bottom w:val="nil"/>
            </w:tcBorders>
            <w:shd w:val="clear" w:color="auto" w:fill="auto"/>
            <w:vAlign w:val="center"/>
          </w:tcPr>
          <w:p w:rsidR="001A62D7" w:rsidRPr="00403097" w:rsidRDefault="00885564" w:rsidP="001D5990">
            <w:pPr>
              <w:spacing w:before="60" w:after="60"/>
              <w:jc w:val="center"/>
              <w:rPr>
                <w:rFonts w:eastAsia="Times New Roman"/>
                <w:noProof/>
                <w:sz w:val="22"/>
              </w:rPr>
            </w:pPr>
            <w:r w:rsidRPr="00403097">
              <w:rPr>
                <w:noProof/>
              </w:rPr>
              <w:t>1 843 500</w:t>
            </w:r>
          </w:p>
        </w:tc>
      </w:tr>
      <w:tr w:rsidR="001A62D7" w:rsidRPr="00403097" w:rsidTr="001D5990">
        <w:trPr>
          <w:trHeight w:val="397"/>
        </w:trPr>
        <w:tc>
          <w:tcPr>
            <w:tcW w:w="4644" w:type="dxa"/>
            <w:vMerge/>
            <w:shd w:val="clear" w:color="auto" w:fill="auto"/>
            <w:vAlign w:val="center"/>
          </w:tcPr>
          <w:p w:rsidR="001A62D7" w:rsidRPr="00403097"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403097"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403097" w:rsidRDefault="001A62D7" w:rsidP="001D5990">
            <w:pPr>
              <w:spacing w:before="60" w:after="60"/>
              <w:jc w:val="center"/>
              <w:rPr>
                <w:rFonts w:eastAsia="Times New Roman"/>
                <w:noProof/>
                <w:sz w:val="22"/>
              </w:rPr>
            </w:pPr>
            <w:r w:rsidRPr="00403097">
              <w:rPr>
                <w:noProof/>
                <w:sz w:val="22"/>
              </w:rPr>
              <w:t>(</w:t>
            </w:r>
            <w:r w:rsidRPr="00403097">
              <w:rPr>
                <w:noProof/>
              </w:rPr>
              <w:t xml:space="preserve">96,57 </w:t>
            </w:r>
            <w:r w:rsidRPr="00403097">
              <w:rPr>
                <w:noProof/>
                <w:sz w:val="22"/>
              </w:rPr>
              <w:t>%)</w:t>
            </w:r>
          </w:p>
        </w:tc>
      </w:tr>
      <w:tr w:rsidR="001A62D7" w:rsidRPr="00403097" w:rsidTr="001D5990">
        <w:tc>
          <w:tcPr>
            <w:tcW w:w="9288" w:type="dxa"/>
            <w:gridSpan w:val="4"/>
            <w:shd w:val="clear" w:color="auto" w:fill="auto"/>
            <w:vAlign w:val="center"/>
          </w:tcPr>
          <w:p w:rsidR="001A62D7" w:rsidRPr="00403097" w:rsidRDefault="001A62D7" w:rsidP="001D5990">
            <w:pPr>
              <w:spacing w:before="60" w:after="60"/>
              <w:jc w:val="left"/>
              <w:rPr>
                <w:rFonts w:eastAsia="Times New Roman"/>
                <w:noProof/>
                <w:sz w:val="22"/>
              </w:rPr>
            </w:pPr>
            <w:r w:rsidRPr="00403097">
              <w:rPr>
                <w:noProof/>
                <w:sz w:val="22"/>
              </w:rPr>
              <w:t>Activități în temeiul articolului 7 alineatul (5) din Regulamentul (UE) 2021/691</w:t>
            </w:r>
          </w:p>
        </w:tc>
      </w:tr>
      <w:tr w:rsidR="001A62D7" w:rsidRPr="00403097" w:rsidTr="001D5990">
        <w:tc>
          <w:tcPr>
            <w:tcW w:w="4644" w:type="dxa"/>
            <w:shd w:val="clear" w:color="auto" w:fill="auto"/>
          </w:tcPr>
          <w:p w:rsidR="001A62D7" w:rsidRPr="00403097" w:rsidRDefault="001A62D7" w:rsidP="001D5990">
            <w:pPr>
              <w:spacing w:before="60" w:after="60"/>
              <w:ind w:left="284"/>
              <w:jc w:val="left"/>
              <w:rPr>
                <w:rFonts w:eastAsia="Times New Roman"/>
                <w:noProof/>
                <w:sz w:val="22"/>
              </w:rPr>
            </w:pPr>
            <w:r w:rsidRPr="00403097">
              <w:rPr>
                <w:noProof/>
                <w:sz w:val="22"/>
              </w:rPr>
              <w:t>1. Activități de pregătire</w:t>
            </w:r>
          </w:p>
        </w:tc>
        <w:tc>
          <w:tcPr>
            <w:tcW w:w="3096" w:type="dxa"/>
            <w:gridSpan w:val="2"/>
            <w:shd w:val="clear" w:color="auto" w:fill="D9D9D9"/>
            <w:vAlign w:val="center"/>
          </w:tcPr>
          <w:p w:rsidR="001A62D7" w:rsidRPr="00403097" w:rsidRDefault="001A62D7" w:rsidP="001D5990">
            <w:pPr>
              <w:spacing w:before="60" w:after="60"/>
              <w:jc w:val="center"/>
              <w:rPr>
                <w:rFonts w:eastAsia="Times New Roman"/>
                <w:noProof/>
                <w:sz w:val="22"/>
              </w:rPr>
            </w:pPr>
            <w:r w:rsidRPr="00403097">
              <w:rPr>
                <w:noProof/>
                <w:sz w:val="22"/>
              </w:rPr>
              <w:t>–</w:t>
            </w:r>
          </w:p>
        </w:tc>
        <w:tc>
          <w:tcPr>
            <w:tcW w:w="1548" w:type="dxa"/>
            <w:shd w:val="clear" w:color="auto" w:fill="auto"/>
          </w:tcPr>
          <w:p w:rsidR="001A62D7" w:rsidRPr="00403097" w:rsidRDefault="00885564" w:rsidP="001D5990">
            <w:pPr>
              <w:spacing w:before="60" w:after="60"/>
              <w:jc w:val="center"/>
              <w:rPr>
                <w:rFonts w:eastAsia="Times New Roman"/>
                <w:noProof/>
                <w:sz w:val="22"/>
              </w:rPr>
            </w:pPr>
            <w:r w:rsidRPr="00403097">
              <w:rPr>
                <w:noProof/>
              </w:rPr>
              <w:t>35 000</w:t>
            </w:r>
          </w:p>
        </w:tc>
      </w:tr>
      <w:tr w:rsidR="001A62D7" w:rsidRPr="00403097" w:rsidTr="001D5990">
        <w:tc>
          <w:tcPr>
            <w:tcW w:w="4644" w:type="dxa"/>
            <w:shd w:val="clear" w:color="auto" w:fill="auto"/>
          </w:tcPr>
          <w:p w:rsidR="001A62D7" w:rsidRPr="00403097" w:rsidRDefault="001A62D7" w:rsidP="001D5990">
            <w:pPr>
              <w:spacing w:before="60" w:after="60"/>
              <w:ind w:left="284"/>
              <w:jc w:val="left"/>
              <w:rPr>
                <w:rFonts w:eastAsia="Times New Roman"/>
                <w:noProof/>
                <w:sz w:val="22"/>
              </w:rPr>
            </w:pPr>
            <w:r w:rsidRPr="00403097">
              <w:rPr>
                <w:noProof/>
                <w:sz w:val="22"/>
              </w:rPr>
              <w:t>2. Gestionare</w:t>
            </w:r>
          </w:p>
        </w:tc>
        <w:tc>
          <w:tcPr>
            <w:tcW w:w="3096" w:type="dxa"/>
            <w:gridSpan w:val="2"/>
            <w:shd w:val="clear" w:color="auto" w:fill="D9D9D9"/>
            <w:vAlign w:val="center"/>
          </w:tcPr>
          <w:p w:rsidR="001A62D7" w:rsidRPr="00403097" w:rsidRDefault="001A62D7" w:rsidP="001D5990">
            <w:pPr>
              <w:spacing w:before="60" w:after="60"/>
              <w:jc w:val="center"/>
              <w:rPr>
                <w:rFonts w:eastAsia="Times New Roman"/>
                <w:noProof/>
                <w:sz w:val="22"/>
              </w:rPr>
            </w:pPr>
            <w:r w:rsidRPr="00403097">
              <w:rPr>
                <w:noProof/>
                <w:sz w:val="22"/>
              </w:rPr>
              <w:t>–</w:t>
            </w:r>
          </w:p>
        </w:tc>
        <w:tc>
          <w:tcPr>
            <w:tcW w:w="1548" w:type="dxa"/>
            <w:shd w:val="clear" w:color="auto" w:fill="auto"/>
          </w:tcPr>
          <w:p w:rsidR="001A62D7" w:rsidRPr="00403097" w:rsidRDefault="00885564" w:rsidP="001D5990">
            <w:pPr>
              <w:spacing w:before="60" w:after="60"/>
              <w:jc w:val="center"/>
              <w:rPr>
                <w:rFonts w:eastAsia="Times New Roman"/>
                <w:noProof/>
                <w:sz w:val="22"/>
              </w:rPr>
            </w:pPr>
            <w:r w:rsidRPr="00403097">
              <w:rPr>
                <w:noProof/>
              </w:rPr>
              <w:t>3 000</w:t>
            </w:r>
          </w:p>
        </w:tc>
      </w:tr>
      <w:tr w:rsidR="001A62D7" w:rsidRPr="00403097" w:rsidTr="001D5990">
        <w:tc>
          <w:tcPr>
            <w:tcW w:w="4644" w:type="dxa"/>
            <w:shd w:val="clear" w:color="auto" w:fill="auto"/>
          </w:tcPr>
          <w:p w:rsidR="001A62D7" w:rsidRPr="00403097" w:rsidRDefault="001A62D7" w:rsidP="001D5990">
            <w:pPr>
              <w:spacing w:before="60" w:after="60"/>
              <w:ind w:left="284"/>
              <w:jc w:val="left"/>
              <w:rPr>
                <w:rFonts w:eastAsia="Times New Roman"/>
                <w:noProof/>
                <w:sz w:val="22"/>
              </w:rPr>
            </w:pPr>
            <w:r w:rsidRPr="00403097">
              <w:rPr>
                <w:noProof/>
                <w:sz w:val="22"/>
              </w:rPr>
              <w:t>3. Informare și publicitate</w:t>
            </w:r>
          </w:p>
        </w:tc>
        <w:tc>
          <w:tcPr>
            <w:tcW w:w="3096" w:type="dxa"/>
            <w:gridSpan w:val="2"/>
            <w:shd w:val="clear" w:color="auto" w:fill="D9D9D9"/>
            <w:vAlign w:val="center"/>
          </w:tcPr>
          <w:p w:rsidR="001A62D7" w:rsidRPr="00403097" w:rsidRDefault="001A62D7" w:rsidP="001D5990">
            <w:pPr>
              <w:spacing w:before="60" w:after="60"/>
              <w:jc w:val="center"/>
              <w:rPr>
                <w:rFonts w:eastAsia="Times New Roman"/>
                <w:noProof/>
                <w:sz w:val="22"/>
              </w:rPr>
            </w:pPr>
            <w:r w:rsidRPr="00403097">
              <w:rPr>
                <w:noProof/>
                <w:sz w:val="22"/>
              </w:rPr>
              <w:t>–</w:t>
            </w:r>
          </w:p>
        </w:tc>
        <w:tc>
          <w:tcPr>
            <w:tcW w:w="1548" w:type="dxa"/>
            <w:shd w:val="clear" w:color="auto" w:fill="auto"/>
          </w:tcPr>
          <w:p w:rsidR="001A62D7" w:rsidRPr="00403097" w:rsidRDefault="00885564" w:rsidP="001D5990">
            <w:pPr>
              <w:spacing w:before="60" w:after="60"/>
              <w:jc w:val="center"/>
              <w:rPr>
                <w:rFonts w:eastAsia="Times New Roman"/>
                <w:noProof/>
                <w:sz w:val="22"/>
              </w:rPr>
            </w:pPr>
            <w:r w:rsidRPr="00403097">
              <w:rPr>
                <w:noProof/>
              </w:rPr>
              <w:t>2 500</w:t>
            </w:r>
          </w:p>
        </w:tc>
      </w:tr>
      <w:tr w:rsidR="001A62D7" w:rsidRPr="00403097" w:rsidTr="001D5990">
        <w:tc>
          <w:tcPr>
            <w:tcW w:w="4644" w:type="dxa"/>
            <w:shd w:val="clear" w:color="auto" w:fill="auto"/>
          </w:tcPr>
          <w:p w:rsidR="001A62D7" w:rsidRPr="00403097" w:rsidRDefault="001A62D7" w:rsidP="001D5990">
            <w:pPr>
              <w:spacing w:before="60" w:after="60"/>
              <w:ind w:left="284"/>
              <w:jc w:val="left"/>
              <w:rPr>
                <w:rFonts w:eastAsia="Times New Roman"/>
                <w:noProof/>
                <w:sz w:val="22"/>
              </w:rPr>
            </w:pPr>
            <w:r w:rsidRPr="00403097">
              <w:rPr>
                <w:noProof/>
                <w:sz w:val="22"/>
              </w:rPr>
              <w:t>4. Control și raportare</w:t>
            </w:r>
          </w:p>
        </w:tc>
        <w:tc>
          <w:tcPr>
            <w:tcW w:w="3096" w:type="dxa"/>
            <w:gridSpan w:val="2"/>
            <w:shd w:val="clear" w:color="auto" w:fill="D9D9D9"/>
            <w:vAlign w:val="center"/>
          </w:tcPr>
          <w:p w:rsidR="001A62D7" w:rsidRPr="00403097" w:rsidRDefault="001A62D7" w:rsidP="001D5990">
            <w:pPr>
              <w:spacing w:before="60" w:after="60"/>
              <w:jc w:val="center"/>
              <w:rPr>
                <w:rFonts w:eastAsia="Times New Roman"/>
                <w:noProof/>
                <w:sz w:val="22"/>
              </w:rPr>
            </w:pPr>
            <w:r w:rsidRPr="00403097">
              <w:rPr>
                <w:noProof/>
                <w:sz w:val="22"/>
              </w:rPr>
              <w:t>–</w:t>
            </w:r>
          </w:p>
        </w:tc>
        <w:tc>
          <w:tcPr>
            <w:tcW w:w="1548" w:type="dxa"/>
            <w:tcBorders>
              <w:bottom w:val="single" w:sz="4" w:space="0" w:color="auto"/>
            </w:tcBorders>
            <w:shd w:val="clear" w:color="auto" w:fill="auto"/>
          </w:tcPr>
          <w:p w:rsidR="001A62D7" w:rsidRPr="00403097" w:rsidRDefault="00885564" w:rsidP="001D5990">
            <w:pPr>
              <w:spacing w:before="60" w:after="60"/>
              <w:jc w:val="center"/>
              <w:rPr>
                <w:rFonts w:eastAsia="Times New Roman"/>
                <w:noProof/>
                <w:sz w:val="22"/>
              </w:rPr>
            </w:pPr>
            <w:r w:rsidRPr="00403097">
              <w:rPr>
                <w:noProof/>
              </w:rPr>
              <w:t>25 000</w:t>
            </w:r>
          </w:p>
        </w:tc>
      </w:tr>
      <w:tr w:rsidR="001A62D7" w:rsidRPr="00403097" w:rsidTr="001D5990">
        <w:trPr>
          <w:trHeight w:val="203"/>
        </w:trPr>
        <w:tc>
          <w:tcPr>
            <w:tcW w:w="4644" w:type="dxa"/>
            <w:vMerge w:val="restart"/>
            <w:shd w:val="clear" w:color="auto" w:fill="auto"/>
            <w:vAlign w:val="center"/>
          </w:tcPr>
          <w:p w:rsidR="001A62D7" w:rsidRPr="00403097" w:rsidRDefault="001A62D7" w:rsidP="001D5990">
            <w:pPr>
              <w:spacing w:before="60" w:after="60"/>
              <w:jc w:val="right"/>
              <w:rPr>
                <w:rFonts w:eastAsia="Times New Roman"/>
                <w:noProof/>
                <w:sz w:val="22"/>
              </w:rPr>
            </w:pPr>
            <w:r w:rsidRPr="00403097">
              <w:rPr>
                <w:noProof/>
                <w:sz w:val="22"/>
              </w:rPr>
              <w:t>Subtotal (b):</w:t>
            </w:r>
          </w:p>
          <w:p w:rsidR="001A62D7" w:rsidRPr="00403097" w:rsidRDefault="001A62D7" w:rsidP="001D5990">
            <w:pPr>
              <w:spacing w:before="60" w:after="60"/>
              <w:jc w:val="right"/>
              <w:rPr>
                <w:rFonts w:eastAsia="Times New Roman"/>
                <w:noProof/>
                <w:sz w:val="22"/>
              </w:rPr>
            </w:pPr>
            <w:r w:rsidRPr="00403097">
              <w:rPr>
                <w:noProof/>
                <w:sz w:val="22"/>
              </w:rPr>
              <w:t>Procent din costurile totale:</w:t>
            </w:r>
          </w:p>
        </w:tc>
        <w:tc>
          <w:tcPr>
            <w:tcW w:w="3096" w:type="dxa"/>
            <w:gridSpan w:val="2"/>
            <w:vMerge w:val="restart"/>
            <w:shd w:val="clear" w:color="auto" w:fill="D9D9D9"/>
            <w:vAlign w:val="center"/>
          </w:tcPr>
          <w:p w:rsidR="001A62D7" w:rsidRPr="00403097" w:rsidRDefault="001A62D7" w:rsidP="001D5990">
            <w:pPr>
              <w:spacing w:before="0" w:after="0"/>
              <w:jc w:val="center"/>
              <w:rPr>
                <w:rFonts w:eastAsia="Times New Roman"/>
                <w:noProof/>
                <w:sz w:val="22"/>
              </w:rPr>
            </w:pPr>
            <w:r w:rsidRPr="00403097">
              <w:rPr>
                <w:noProof/>
                <w:sz w:val="22"/>
              </w:rPr>
              <w:t>–</w:t>
            </w:r>
          </w:p>
        </w:tc>
        <w:tc>
          <w:tcPr>
            <w:tcW w:w="1548" w:type="dxa"/>
            <w:tcBorders>
              <w:bottom w:val="nil"/>
            </w:tcBorders>
            <w:shd w:val="clear" w:color="auto" w:fill="auto"/>
            <w:vAlign w:val="center"/>
          </w:tcPr>
          <w:p w:rsidR="001A62D7" w:rsidRPr="00403097" w:rsidRDefault="00885564" w:rsidP="001D5990">
            <w:pPr>
              <w:spacing w:before="60" w:after="60"/>
              <w:jc w:val="center"/>
              <w:rPr>
                <w:rFonts w:eastAsia="Times New Roman"/>
                <w:noProof/>
                <w:sz w:val="22"/>
              </w:rPr>
            </w:pPr>
            <w:r w:rsidRPr="00403097">
              <w:rPr>
                <w:noProof/>
              </w:rPr>
              <w:t>65 500</w:t>
            </w:r>
          </w:p>
        </w:tc>
      </w:tr>
      <w:tr w:rsidR="001A62D7" w:rsidRPr="00403097" w:rsidTr="001D5990">
        <w:trPr>
          <w:trHeight w:val="202"/>
        </w:trPr>
        <w:tc>
          <w:tcPr>
            <w:tcW w:w="4644" w:type="dxa"/>
            <w:vMerge/>
            <w:shd w:val="clear" w:color="auto" w:fill="auto"/>
          </w:tcPr>
          <w:p w:rsidR="001A62D7" w:rsidRPr="00403097"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403097"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403097" w:rsidRDefault="001A62D7" w:rsidP="001D5990">
            <w:pPr>
              <w:spacing w:before="60" w:after="60"/>
              <w:jc w:val="center"/>
              <w:rPr>
                <w:rFonts w:eastAsia="Times New Roman"/>
                <w:noProof/>
                <w:sz w:val="22"/>
              </w:rPr>
            </w:pPr>
            <w:r w:rsidRPr="00403097">
              <w:rPr>
                <w:noProof/>
                <w:sz w:val="22"/>
              </w:rPr>
              <w:t>(</w:t>
            </w:r>
            <w:r w:rsidRPr="00403097">
              <w:rPr>
                <w:noProof/>
              </w:rPr>
              <w:t xml:space="preserve">3,43 </w:t>
            </w:r>
            <w:r w:rsidRPr="00403097">
              <w:rPr>
                <w:noProof/>
                <w:sz w:val="22"/>
              </w:rPr>
              <w:t>%)</w:t>
            </w:r>
          </w:p>
        </w:tc>
      </w:tr>
      <w:tr w:rsidR="001A62D7" w:rsidRPr="00403097" w:rsidTr="001D5990">
        <w:tc>
          <w:tcPr>
            <w:tcW w:w="4644" w:type="dxa"/>
            <w:shd w:val="clear" w:color="auto" w:fill="auto"/>
          </w:tcPr>
          <w:p w:rsidR="001A62D7" w:rsidRPr="00403097" w:rsidRDefault="001A62D7" w:rsidP="001D5990">
            <w:pPr>
              <w:spacing w:before="60" w:after="60"/>
              <w:jc w:val="left"/>
              <w:rPr>
                <w:rFonts w:eastAsia="Times New Roman"/>
                <w:noProof/>
                <w:sz w:val="22"/>
              </w:rPr>
            </w:pPr>
            <w:r w:rsidRPr="00403097">
              <w:rPr>
                <w:noProof/>
                <w:sz w:val="22"/>
              </w:rPr>
              <w:t>Costuri totale (a + b):</w:t>
            </w:r>
          </w:p>
        </w:tc>
        <w:tc>
          <w:tcPr>
            <w:tcW w:w="3096" w:type="dxa"/>
            <w:gridSpan w:val="2"/>
            <w:shd w:val="clear" w:color="auto" w:fill="D9D9D9"/>
            <w:vAlign w:val="center"/>
          </w:tcPr>
          <w:p w:rsidR="001A62D7" w:rsidRPr="00403097" w:rsidRDefault="001A62D7" w:rsidP="001D5990">
            <w:pPr>
              <w:spacing w:before="60" w:after="60"/>
              <w:jc w:val="center"/>
              <w:rPr>
                <w:rFonts w:eastAsia="Times New Roman"/>
                <w:noProof/>
                <w:sz w:val="22"/>
              </w:rPr>
            </w:pPr>
            <w:r w:rsidRPr="00403097">
              <w:rPr>
                <w:noProof/>
                <w:sz w:val="22"/>
              </w:rPr>
              <w:t>–</w:t>
            </w:r>
          </w:p>
        </w:tc>
        <w:tc>
          <w:tcPr>
            <w:tcW w:w="1548" w:type="dxa"/>
            <w:shd w:val="clear" w:color="auto" w:fill="auto"/>
          </w:tcPr>
          <w:p w:rsidR="001A62D7" w:rsidRPr="00403097" w:rsidRDefault="00885564" w:rsidP="001D5990">
            <w:pPr>
              <w:spacing w:before="60" w:after="60"/>
              <w:jc w:val="center"/>
              <w:rPr>
                <w:noProof/>
                <w:sz w:val="22"/>
              </w:rPr>
            </w:pPr>
            <w:r w:rsidRPr="00403097">
              <w:rPr>
                <w:noProof/>
              </w:rPr>
              <w:t>1 909 000</w:t>
            </w:r>
          </w:p>
        </w:tc>
      </w:tr>
      <w:tr w:rsidR="001A62D7" w:rsidRPr="00403097" w:rsidTr="001D5990">
        <w:tc>
          <w:tcPr>
            <w:tcW w:w="4644" w:type="dxa"/>
            <w:shd w:val="clear" w:color="auto" w:fill="auto"/>
          </w:tcPr>
          <w:p w:rsidR="001A62D7" w:rsidRPr="00403097" w:rsidRDefault="001A62D7" w:rsidP="001D5990">
            <w:pPr>
              <w:spacing w:before="60" w:after="60"/>
              <w:jc w:val="left"/>
              <w:rPr>
                <w:rFonts w:eastAsia="Times New Roman"/>
                <w:noProof/>
                <w:sz w:val="22"/>
              </w:rPr>
            </w:pPr>
            <w:r w:rsidRPr="00403097">
              <w:rPr>
                <w:noProof/>
              </w:rPr>
              <w:t>Contribuția din partea FEG (85 % din costurile totale)</w:t>
            </w:r>
          </w:p>
        </w:tc>
        <w:tc>
          <w:tcPr>
            <w:tcW w:w="3096" w:type="dxa"/>
            <w:gridSpan w:val="2"/>
            <w:shd w:val="clear" w:color="auto" w:fill="D9D9D9"/>
            <w:vAlign w:val="center"/>
          </w:tcPr>
          <w:p w:rsidR="001A62D7" w:rsidRPr="00403097" w:rsidRDefault="001A62D7" w:rsidP="001D5990">
            <w:pPr>
              <w:spacing w:before="60" w:after="60"/>
              <w:jc w:val="center"/>
              <w:rPr>
                <w:rFonts w:eastAsia="Times New Roman"/>
                <w:noProof/>
                <w:sz w:val="22"/>
              </w:rPr>
            </w:pPr>
            <w:r w:rsidRPr="00403097">
              <w:rPr>
                <w:noProof/>
                <w:sz w:val="22"/>
              </w:rPr>
              <w:t>–</w:t>
            </w:r>
          </w:p>
        </w:tc>
        <w:tc>
          <w:tcPr>
            <w:tcW w:w="1548" w:type="dxa"/>
            <w:shd w:val="clear" w:color="auto" w:fill="auto"/>
          </w:tcPr>
          <w:p w:rsidR="001A62D7" w:rsidRPr="00403097" w:rsidRDefault="0023077F" w:rsidP="001D5990">
            <w:pPr>
              <w:spacing w:before="60" w:after="60"/>
              <w:jc w:val="center"/>
              <w:rPr>
                <w:rFonts w:eastAsia="Times New Roman"/>
                <w:noProof/>
                <w:sz w:val="22"/>
              </w:rPr>
            </w:pPr>
            <w:r w:rsidRPr="00403097">
              <w:rPr>
                <w:noProof/>
              </w:rPr>
              <w:t>1 622 650</w:t>
            </w:r>
          </w:p>
        </w:tc>
      </w:tr>
    </w:tbl>
    <w:p w:rsidR="001A62D7" w:rsidRPr="00403097" w:rsidRDefault="001A62D7" w:rsidP="001A62D7">
      <w:pPr>
        <w:pStyle w:val="ManualHeading3"/>
        <w:rPr>
          <w:noProof/>
        </w:rPr>
      </w:pPr>
      <w:r w:rsidRPr="00403097">
        <w:rPr>
          <w:noProof/>
        </w:rPr>
        <w:t>Perioada de eligibilitate a cheltuielilor</w:t>
      </w:r>
    </w:p>
    <w:p w:rsidR="001A62D7" w:rsidRPr="00403097" w:rsidRDefault="00BA61D1" w:rsidP="00BA61D1">
      <w:pPr>
        <w:pStyle w:val="ManualNumPar1"/>
        <w:rPr>
          <w:noProof/>
        </w:rPr>
      </w:pPr>
      <w:r w:rsidRPr="00BA61D1">
        <w:rPr>
          <w:noProof/>
        </w:rPr>
        <w:t>31.</w:t>
      </w:r>
      <w:r w:rsidRPr="00BA61D1">
        <w:rPr>
          <w:noProof/>
        </w:rPr>
        <w:tab/>
      </w:r>
      <w:r w:rsidR="00EA2098" w:rsidRPr="00403097">
        <w:rPr>
          <w:noProof/>
        </w:rPr>
        <w:t>Belgia a început prestarea serviciilor personalizate către beneficiarii vizați la 17 februarie 2025. Prin urmare, cheltuielile aferente măsurilor vor fi eligibile pentru o contribuție financiară din FEG de la 17 februarie 2025, pentru o perioadă de 24 de luni de la data intrării în vigoare a deciziei de finanțare.</w:t>
      </w:r>
    </w:p>
    <w:p w:rsidR="001A62D7" w:rsidRPr="00403097" w:rsidRDefault="00BA61D1" w:rsidP="00BA61D1">
      <w:pPr>
        <w:pStyle w:val="ManualNumPar1"/>
        <w:rPr>
          <w:noProof/>
        </w:rPr>
      </w:pPr>
      <w:r w:rsidRPr="00BA61D1">
        <w:rPr>
          <w:noProof/>
        </w:rPr>
        <w:t>32.</w:t>
      </w:r>
      <w:r w:rsidRPr="00BA61D1">
        <w:rPr>
          <w:noProof/>
        </w:rPr>
        <w:tab/>
      </w:r>
      <w:r w:rsidR="00EA2098" w:rsidRPr="00403097">
        <w:rPr>
          <w:noProof/>
        </w:rPr>
        <w:t xml:space="preserve">Belgia a început plata cheltuielilor administrative pentru punerea în aplicare a FEG la 17 februarie 2025. Prin urmare, cheltuielile pentru activitățile de pregătire, gestionare, informare și publicitate, control și raportare sunt eligibile pentru o contribuție financiară din FEG de la 17 februarie 2025, pentru o perioadă de 31 de luni de la data intrării în vigoare a deciziei de finanțare. </w:t>
      </w:r>
    </w:p>
    <w:p w:rsidR="001A62D7" w:rsidRPr="00403097" w:rsidRDefault="001A62D7" w:rsidP="001A62D7">
      <w:pPr>
        <w:pStyle w:val="ManualHeading2"/>
        <w:rPr>
          <w:noProof/>
        </w:rPr>
      </w:pPr>
      <w:r w:rsidRPr="00403097">
        <w:rPr>
          <w:noProof/>
        </w:rPr>
        <w:t>Sistemele de gestionare și control</w:t>
      </w:r>
    </w:p>
    <w:p w:rsidR="001A62D7" w:rsidRPr="00403097" w:rsidRDefault="00BA61D1" w:rsidP="00BA61D1">
      <w:pPr>
        <w:pStyle w:val="ManualNumPar1"/>
        <w:rPr>
          <w:noProof/>
        </w:rPr>
      </w:pPr>
      <w:r w:rsidRPr="00BA61D1">
        <w:rPr>
          <w:noProof/>
        </w:rPr>
        <w:t>33.</w:t>
      </w:r>
      <w:r w:rsidRPr="00BA61D1">
        <w:rPr>
          <w:noProof/>
        </w:rPr>
        <w:tab/>
      </w:r>
      <w:r w:rsidR="001A62D7" w:rsidRPr="00403097">
        <w:rPr>
          <w:noProof/>
        </w:rPr>
        <w:t>Cererea conține o descriere a sistemului de gestionare și control prevăzut la articolul 23 din Regulamentul (UE) 2021/691, care precizează responsabilitățile organismelor implicate. Belgia a informat Comisia că de gestionarea contribuției financiare se va ocupa VDAB. Plățile vor fi efectuate de serviciul financiar al VDAB. Departamentul Finanțe și Buget – Unitatea de audit a Autorității flamande de audit pentru fondurile structurale europene este autoritatea de audit pentru FEG.</w:t>
      </w:r>
    </w:p>
    <w:p w:rsidR="001A62D7" w:rsidRPr="00403097" w:rsidRDefault="001A62D7" w:rsidP="001A62D7">
      <w:pPr>
        <w:pStyle w:val="ManualHeading2"/>
        <w:rPr>
          <w:noProof/>
        </w:rPr>
      </w:pPr>
      <w:r w:rsidRPr="00403097">
        <w:rPr>
          <w:noProof/>
        </w:rPr>
        <w:t>Angajamentele asumate de statul membru în cauză</w:t>
      </w:r>
    </w:p>
    <w:p w:rsidR="001A62D7" w:rsidRPr="00403097" w:rsidRDefault="00BA61D1" w:rsidP="00BA61D1">
      <w:pPr>
        <w:pStyle w:val="ManualNumPar1"/>
        <w:rPr>
          <w:noProof/>
        </w:rPr>
      </w:pPr>
      <w:r w:rsidRPr="00BA61D1">
        <w:rPr>
          <w:noProof/>
        </w:rPr>
        <w:t>34.</w:t>
      </w:r>
      <w:r w:rsidRPr="00BA61D1">
        <w:rPr>
          <w:noProof/>
        </w:rPr>
        <w:tab/>
      </w:r>
      <w:r w:rsidR="00D857B5" w:rsidRPr="00403097">
        <w:rPr>
          <w:noProof/>
        </w:rPr>
        <w:t xml:space="preserve">Belgia a oferit toate garanțiile necesare cu privire la următoarele: </w:t>
      </w:r>
    </w:p>
    <w:p w:rsidR="001A62D7" w:rsidRPr="00403097" w:rsidRDefault="001A62D7" w:rsidP="001A62D7">
      <w:pPr>
        <w:pStyle w:val="Tiret1"/>
        <w:rPr>
          <w:noProof/>
        </w:rPr>
      </w:pPr>
      <w:r w:rsidRPr="00403097">
        <w:rPr>
          <w:noProof/>
        </w:rPr>
        <w:t>în contextul accesului la măsurile propuse și al punerii în aplicare a acestora, vor fi respectate principiul egalității de tratament și principiul nediscriminării,</w:t>
      </w:r>
    </w:p>
    <w:p w:rsidR="001A62D7" w:rsidRPr="00403097" w:rsidRDefault="001A62D7" w:rsidP="001A62D7">
      <w:pPr>
        <w:pStyle w:val="Tiret1"/>
        <w:rPr>
          <w:noProof/>
        </w:rPr>
      </w:pPr>
      <w:r w:rsidRPr="00403097">
        <w:rPr>
          <w:noProof/>
        </w:rPr>
        <w:t>au fost îndeplinite cerințele prevăzute de legislația națională și de legislația UE în ceea ce privește concedierile colective,</w:t>
      </w:r>
    </w:p>
    <w:p w:rsidR="001A62D7" w:rsidRPr="00403097" w:rsidRDefault="001A62D7" w:rsidP="001A62D7">
      <w:pPr>
        <w:pStyle w:val="Tiret1"/>
        <w:rPr>
          <w:noProof/>
        </w:rPr>
      </w:pPr>
      <w:r w:rsidRPr="00403097">
        <w:rPr>
          <w:noProof/>
        </w:rPr>
        <w:t>se va evita orice fel de dublă finanțare,</w:t>
      </w:r>
    </w:p>
    <w:p w:rsidR="001A62D7" w:rsidRPr="00403097" w:rsidRDefault="001A62D7" w:rsidP="001A62D7">
      <w:pPr>
        <w:pStyle w:val="Tiret1"/>
        <w:rPr>
          <w:noProof/>
        </w:rPr>
      </w:pPr>
      <w:r w:rsidRPr="00403097">
        <w:rPr>
          <w:noProof/>
        </w:rPr>
        <w:t>contribuția financiară din partea FEG va respecta normele procedurale și de fond ale Uniunii privind ajutoarele de stat.</w:t>
      </w:r>
    </w:p>
    <w:p w:rsidR="001A62D7" w:rsidRPr="00403097" w:rsidRDefault="001A62D7" w:rsidP="001A62D7">
      <w:pPr>
        <w:pStyle w:val="ManualHeading1"/>
        <w:rPr>
          <w:noProof/>
        </w:rPr>
      </w:pPr>
      <w:r w:rsidRPr="00403097">
        <w:rPr>
          <w:noProof/>
        </w:rPr>
        <w:t>IMPLICAȚII BUGETARE</w:t>
      </w:r>
    </w:p>
    <w:p w:rsidR="001A62D7" w:rsidRPr="00403097" w:rsidRDefault="001A62D7" w:rsidP="001A62D7">
      <w:pPr>
        <w:pStyle w:val="ManualHeading2"/>
        <w:rPr>
          <w:noProof/>
        </w:rPr>
      </w:pPr>
      <w:r w:rsidRPr="00403097">
        <w:rPr>
          <w:noProof/>
        </w:rPr>
        <w:t>Propunerea bugetară</w:t>
      </w:r>
    </w:p>
    <w:p w:rsidR="001A62D7" w:rsidRPr="00403097" w:rsidRDefault="00BA61D1" w:rsidP="00BA61D1">
      <w:pPr>
        <w:pStyle w:val="ManualNumPar1"/>
        <w:rPr>
          <w:noProof/>
        </w:rPr>
      </w:pPr>
      <w:r w:rsidRPr="00BA61D1">
        <w:rPr>
          <w:noProof/>
        </w:rPr>
        <w:t>35.</w:t>
      </w:r>
      <w:r w:rsidRPr="00BA61D1">
        <w:rPr>
          <w:noProof/>
        </w:rPr>
        <w:tab/>
      </w:r>
      <w:r w:rsidR="001A62D7" w:rsidRPr="00403097">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001A62D7" w:rsidRPr="00403097">
        <w:rPr>
          <w:rStyle w:val="FootnoteReference"/>
          <w:noProof/>
        </w:rPr>
        <w:footnoteReference w:id="24"/>
      </w:r>
      <w:r w:rsidR="001A62D7" w:rsidRPr="00403097">
        <w:rPr>
          <w:noProof/>
        </w:rPr>
        <w:t xml:space="preserve"> modificat prin Regulamentul (UE, Euratom) 2024/765 al Consiliului din 29 februarie 2024</w:t>
      </w:r>
      <w:r w:rsidR="001A62D7" w:rsidRPr="00403097">
        <w:rPr>
          <w:rStyle w:val="FootnoteReference"/>
          <w:noProof/>
        </w:rPr>
        <w:footnoteReference w:id="25"/>
      </w:r>
      <w:r w:rsidR="001A62D7" w:rsidRPr="00403097">
        <w:rPr>
          <w:noProof/>
        </w:rPr>
        <w:t>.</w:t>
      </w:r>
    </w:p>
    <w:p w:rsidR="001A62D7" w:rsidRPr="00403097" w:rsidRDefault="00BA61D1" w:rsidP="00BA61D1">
      <w:pPr>
        <w:pStyle w:val="ManualNumPar1"/>
        <w:rPr>
          <w:rFonts w:eastAsia="Calibri"/>
          <w:noProof/>
        </w:rPr>
      </w:pPr>
      <w:r w:rsidRPr="00BA61D1">
        <w:rPr>
          <w:noProof/>
        </w:rPr>
        <w:t>36.</w:t>
      </w:r>
      <w:r w:rsidRPr="00BA61D1">
        <w:rPr>
          <w:noProof/>
        </w:rPr>
        <w:tab/>
      </w:r>
      <w:r w:rsidR="001A62D7" w:rsidRPr="00403097">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1 622 650 EUR, reprezentând 85 % din costurile totale ale măsurilor propuse, cu scopul de a furniza o contribuție financiară ca răspuns la cererea menționată.</w:t>
      </w:r>
    </w:p>
    <w:p w:rsidR="001A62D7" w:rsidRPr="00403097" w:rsidRDefault="00BA61D1" w:rsidP="00BA61D1">
      <w:pPr>
        <w:pStyle w:val="ManualNumPar1"/>
        <w:rPr>
          <w:rFonts w:eastAsia="Times New Roman"/>
          <w:noProof/>
        </w:rPr>
      </w:pPr>
      <w:r w:rsidRPr="00BA61D1">
        <w:rPr>
          <w:noProof/>
        </w:rPr>
        <w:t>37.</w:t>
      </w:r>
      <w:r w:rsidRPr="00BA61D1">
        <w:rPr>
          <w:noProof/>
        </w:rPr>
        <w:tab/>
      </w:r>
      <w:r w:rsidR="001A62D7" w:rsidRPr="00403097">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001A62D7" w:rsidRPr="00403097">
        <w:rPr>
          <w:rStyle w:val="FootnoteReference"/>
          <w:noProof/>
        </w:rPr>
        <w:footnoteReference w:id="26"/>
      </w:r>
      <w:r w:rsidR="001A62D7" w:rsidRPr="00403097">
        <w:rPr>
          <w:noProof/>
        </w:rPr>
        <w:t>.</w:t>
      </w:r>
    </w:p>
    <w:p w:rsidR="001A62D7" w:rsidRPr="00403097" w:rsidRDefault="001A62D7" w:rsidP="001A62D7">
      <w:pPr>
        <w:pStyle w:val="ManualHeading2"/>
        <w:rPr>
          <w:noProof/>
        </w:rPr>
      </w:pPr>
      <w:r w:rsidRPr="00403097">
        <w:rPr>
          <w:noProof/>
        </w:rPr>
        <w:t>Acte conexe</w:t>
      </w:r>
    </w:p>
    <w:p w:rsidR="001A62D7" w:rsidRPr="00403097" w:rsidRDefault="00BA61D1" w:rsidP="00BA61D1">
      <w:pPr>
        <w:pStyle w:val="ManualNumPar1"/>
        <w:rPr>
          <w:noProof/>
        </w:rPr>
      </w:pPr>
      <w:r w:rsidRPr="00BA61D1">
        <w:rPr>
          <w:noProof/>
        </w:rPr>
        <w:t>38.</w:t>
      </w:r>
      <w:r w:rsidRPr="00BA61D1">
        <w:rPr>
          <w:noProof/>
        </w:rPr>
        <w:tab/>
      </w:r>
      <w:r w:rsidR="001A62D7" w:rsidRPr="00403097">
        <w:rPr>
          <w:noProof/>
        </w:rPr>
        <w:t>În același timp cu prezentarea acestei propuneri de decizie privind mobilizarea FEG, Comisia va prezenta Parlamentului European și Consiliului o propunere de transfer al sumei de 1 622 650 EUR către linia bugetară relevantă.</w:t>
      </w:r>
    </w:p>
    <w:p w:rsidR="001A62D7" w:rsidRPr="00403097" w:rsidRDefault="00BA61D1" w:rsidP="00BA61D1">
      <w:pPr>
        <w:pStyle w:val="ManualNumPar1"/>
        <w:rPr>
          <w:noProof/>
        </w:rPr>
      </w:pPr>
      <w:r w:rsidRPr="00BA61D1">
        <w:rPr>
          <w:noProof/>
        </w:rPr>
        <w:t>39.</w:t>
      </w:r>
      <w:r w:rsidRPr="00BA61D1">
        <w:rPr>
          <w:noProof/>
        </w:rPr>
        <w:tab/>
      </w:r>
      <w:r w:rsidR="001A62D7" w:rsidRPr="00403097">
        <w:rPr>
          <w:noProof/>
        </w:rPr>
        <w:t>Concomitent cu adoptarea prezentei propuneri de decizie privind mobilizarea FEG, Comisia a adoptat o decizie privind o contribuție financiară, care constituie o decizie de finanțare în sensul articolului 110 din Regulamentul (UE, Euratom) 2024/2509</w:t>
      </w:r>
      <w:r w:rsidR="001A62D7" w:rsidRPr="00403097">
        <w:rPr>
          <w:rStyle w:val="FootnoteReference"/>
          <w:noProof/>
        </w:rPr>
        <w:footnoteReference w:id="27"/>
      </w:r>
      <w:r w:rsidR="001A62D7" w:rsidRPr="00403097">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403097" w:rsidRDefault="001A62D7" w:rsidP="001A62D7">
      <w:pPr>
        <w:rPr>
          <w:noProof/>
        </w:rPr>
        <w:sectPr w:rsidR="001A62D7" w:rsidRPr="00403097" w:rsidSect="004B3AF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591D7C" w:rsidRDefault="00F43492">
      <w:pPr>
        <w:pStyle w:val="Rfrenceinterinstitutionnelle"/>
        <w:rPr>
          <w:noProof/>
        </w:rPr>
      </w:pPr>
      <w:r>
        <w:rPr>
          <w:noProof/>
        </w:rPr>
        <w:t>2026/0004 (BUD)</w:t>
      </w:r>
    </w:p>
    <w:p w:rsidR="001A62D7" w:rsidRPr="00403097" w:rsidRDefault="00822DE2" w:rsidP="00822DE2">
      <w:pPr>
        <w:pStyle w:val="Statut"/>
        <w:rPr>
          <w:noProof/>
        </w:rPr>
      </w:pPr>
      <w:r w:rsidRPr="00403097">
        <w:rPr>
          <w:noProof/>
        </w:rPr>
        <w:t>Propunere de</w:t>
      </w:r>
    </w:p>
    <w:p w:rsidR="001A62D7" w:rsidRPr="00403097" w:rsidRDefault="00822DE2" w:rsidP="00822DE2">
      <w:pPr>
        <w:pStyle w:val="Typedudocument"/>
        <w:rPr>
          <w:noProof/>
        </w:rPr>
      </w:pPr>
      <w:r w:rsidRPr="00403097">
        <w:rPr>
          <w:noProof/>
        </w:rPr>
        <w:t>DECIZIE A PARLAMENTULUI EUROPEAN ȘI A CONSILIULUI</w:t>
      </w:r>
    </w:p>
    <w:p w:rsidR="001A62D7" w:rsidRPr="00403097" w:rsidRDefault="00822DE2" w:rsidP="00822DE2">
      <w:pPr>
        <w:pStyle w:val="Titreobjet"/>
        <w:rPr>
          <w:noProof/>
        </w:rPr>
      </w:pPr>
      <w:r w:rsidRPr="00403097">
        <w:rPr>
          <w:noProof/>
        </w:rPr>
        <w:t>privind mobilizarea Fondului european de ajustare la globalizare pentru lucrătorii disponibilizați în urma unei cereri din partea Belgiei – EGF/2025/004 BE/Tupperware</w:t>
      </w:r>
    </w:p>
    <w:p w:rsidR="001A62D7" w:rsidRPr="00403097" w:rsidRDefault="001A62D7" w:rsidP="001A62D7">
      <w:pPr>
        <w:pStyle w:val="Institutionquiagit"/>
        <w:rPr>
          <w:noProof/>
        </w:rPr>
      </w:pPr>
      <w:r w:rsidRPr="00403097">
        <w:rPr>
          <w:noProof/>
        </w:rPr>
        <w:t>PARLAMENTUL EUROPEAN ȘI CONSILIUL UNIUNII EUROPENE,</w:t>
      </w:r>
    </w:p>
    <w:p w:rsidR="001A62D7" w:rsidRPr="00403097" w:rsidRDefault="001A62D7" w:rsidP="001A62D7">
      <w:pPr>
        <w:rPr>
          <w:noProof/>
        </w:rPr>
      </w:pPr>
      <w:r w:rsidRPr="00403097">
        <w:rPr>
          <w:noProof/>
        </w:rPr>
        <w:t>având în vedere Tratatul privind funcționarea Uniunii Europene,</w:t>
      </w:r>
    </w:p>
    <w:p w:rsidR="001A62D7" w:rsidRPr="00403097" w:rsidRDefault="001A62D7" w:rsidP="001A62D7">
      <w:pPr>
        <w:rPr>
          <w:noProof/>
        </w:rPr>
      </w:pPr>
      <w:r w:rsidRPr="00403097">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403097">
        <w:rPr>
          <w:rStyle w:val="FootnoteReference"/>
          <w:noProof/>
        </w:rPr>
        <w:footnoteReference w:id="28"/>
      </w:r>
      <w:r w:rsidRPr="00403097">
        <w:rPr>
          <w:noProof/>
        </w:rPr>
        <w:t>, în special articolul 15 alineatul (1) primul paragraf,</w:t>
      </w:r>
    </w:p>
    <w:p w:rsidR="001A62D7" w:rsidRPr="00403097" w:rsidRDefault="001A62D7" w:rsidP="001A62D7">
      <w:pPr>
        <w:rPr>
          <w:noProof/>
        </w:rPr>
      </w:pPr>
      <w:r w:rsidRPr="00403097">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403097">
        <w:rPr>
          <w:rStyle w:val="FootnoteReference"/>
          <w:noProof/>
        </w:rPr>
        <w:footnoteReference w:id="29"/>
      </w:r>
      <w:r w:rsidRPr="00403097">
        <w:rPr>
          <w:noProof/>
        </w:rPr>
        <w:t>, în special punctul 9,</w:t>
      </w:r>
    </w:p>
    <w:p w:rsidR="001A62D7" w:rsidRPr="00403097" w:rsidRDefault="001A62D7" w:rsidP="001A62D7">
      <w:pPr>
        <w:rPr>
          <w:noProof/>
        </w:rPr>
      </w:pPr>
      <w:r w:rsidRPr="00403097">
        <w:rPr>
          <w:noProof/>
        </w:rPr>
        <w:t>având în vedere propunerea Comisiei Europene,</w:t>
      </w:r>
    </w:p>
    <w:p w:rsidR="001A62D7" w:rsidRPr="00403097" w:rsidRDefault="001A62D7" w:rsidP="001A62D7">
      <w:pPr>
        <w:rPr>
          <w:noProof/>
        </w:rPr>
      </w:pPr>
      <w:r w:rsidRPr="00403097">
        <w:rPr>
          <w:noProof/>
        </w:rPr>
        <w:t>întrucât:</w:t>
      </w:r>
    </w:p>
    <w:p w:rsidR="001A62D7" w:rsidRPr="00403097" w:rsidRDefault="00BA61D1" w:rsidP="00BA61D1">
      <w:pPr>
        <w:pStyle w:val="ManualConsidrant"/>
        <w:rPr>
          <w:noProof/>
        </w:rPr>
      </w:pPr>
      <w:r w:rsidRPr="00BA61D1">
        <w:rPr>
          <w:noProof/>
        </w:rPr>
        <w:t>(1)</w:t>
      </w:r>
      <w:r w:rsidRPr="00BA61D1">
        <w:rPr>
          <w:noProof/>
        </w:rPr>
        <w:tab/>
      </w:r>
      <w:r w:rsidR="001A62D7" w:rsidRPr="00403097">
        <w:rPr>
          <w:noProof/>
        </w:rPr>
        <w:t xml:space="preserve">Fondul european de ajustare la globalizare pentru lucrătorii disponibilizați (FEG) urmărește să dea dovadă de solidaritate și să promoveze locuri de muncă decente și durabile în Uniune, oferind sprijin lucrătorilor disponibilizați și lucrătorilor independenți a căror activitate a încetat în cazul unor evenimente majore de restructurare și ajutându-i să revină cât mai curând posibil la locuri de muncă decente și durabile. </w:t>
      </w:r>
    </w:p>
    <w:p w:rsidR="001A62D7" w:rsidRPr="00403097" w:rsidRDefault="00BA61D1" w:rsidP="00BA61D1">
      <w:pPr>
        <w:pStyle w:val="ManualConsidrant"/>
        <w:rPr>
          <w:noProof/>
        </w:rPr>
      </w:pPr>
      <w:r w:rsidRPr="00BA61D1">
        <w:rPr>
          <w:noProof/>
        </w:rPr>
        <w:t>(2)</w:t>
      </w:r>
      <w:r w:rsidRPr="00BA61D1">
        <w:rPr>
          <w:noProof/>
        </w:rPr>
        <w:tab/>
      </w:r>
      <w:r w:rsidR="001A62D7" w:rsidRPr="00403097">
        <w:rPr>
          <w:noProof/>
        </w:rPr>
        <w:t>FEG nu trebuie să depășească un cuantum anual de maximum 30 de milioane EUR (la prețurile din 2018), astfel cum se prevede la articolul 8 din Regulamentul (UE, Euratom) 2020/2093 al Consiliului</w:t>
      </w:r>
      <w:r w:rsidR="001A62D7" w:rsidRPr="00403097">
        <w:rPr>
          <w:rStyle w:val="FootnoteReference"/>
          <w:noProof/>
        </w:rPr>
        <w:footnoteReference w:id="30"/>
      </w:r>
      <w:r w:rsidR="001A62D7" w:rsidRPr="00403097">
        <w:rPr>
          <w:noProof/>
        </w:rPr>
        <w:t>, modificat prin Regulamentul (UE, Euratom) 2024/765 al Consiliului</w:t>
      </w:r>
      <w:r w:rsidR="001A62D7" w:rsidRPr="00403097">
        <w:rPr>
          <w:rStyle w:val="FootnoteReference"/>
          <w:noProof/>
        </w:rPr>
        <w:footnoteReference w:id="31"/>
      </w:r>
      <w:r w:rsidR="001A62D7" w:rsidRPr="00403097">
        <w:rPr>
          <w:noProof/>
        </w:rPr>
        <w:t>, și la articolul 16 din Regulamentul (UE) 2021/691.</w:t>
      </w:r>
    </w:p>
    <w:p w:rsidR="001A62D7" w:rsidRPr="00403097" w:rsidRDefault="00BA61D1" w:rsidP="00BA61D1">
      <w:pPr>
        <w:pStyle w:val="ManualConsidrant"/>
        <w:rPr>
          <w:noProof/>
        </w:rPr>
      </w:pPr>
      <w:r w:rsidRPr="00BA61D1">
        <w:rPr>
          <w:noProof/>
        </w:rPr>
        <w:t>(3)</w:t>
      </w:r>
      <w:r w:rsidRPr="00BA61D1">
        <w:rPr>
          <w:noProof/>
        </w:rPr>
        <w:tab/>
      </w:r>
      <w:r w:rsidR="001A62D7" w:rsidRPr="00403097">
        <w:rPr>
          <w:noProof/>
        </w:rPr>
        <w:t>La 28 august 2025, Belgia a depus o cerere de mobilizare a FEG în conformitate cu articolul 8 alineatul (1) din Regulamentul (UE) 2021/691, referitoare la disponibilizările unor lucrători de la Tupperware General Services NV din Belgia.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efectuate de Comisie în propunerea de decizie de mobilizare a Parlamentului European și a Consiliului</w:t>
      </w:r>
      <w:r w:rsidR="001A62D7" w:rsidRPr="00403097">
        <w:rPr>
          <w:rStyle w:val="FootnoteReference"/>
          <w:iCs/>
          <w:noProof/>
        </w:rPr>
        <w:footnoteReference w:id="32"/>
      </w:r>
      <w:r w:rsidR="001A62D7" w:rsidRPr="00403097">
        <w:rPr>
          <w:noProof/>
        </w:rPr>
        <w:t xml:space="preserve">. </w:t>
      </w:r>
    </w:p>
    <w:p w:rsidR="001A62D7" w:rsidRPr="00403097" w:rsidRDefault="00BA61D1" w:rsidP="00BA61D1">
      <w:pPr>
        <w:pStyle w:val="ManualConsidrant"/>
        <w:rPr>
          <w:noProof/>
        </w:rPr>
      </w:pPr>
      <w:r w:rsidRPr="00BA61D1">
        <w:rPr>
          <w:noProof/>
        </w:rPr>
        <w:t>(4)</w:t>
      </w:r>
      <w:r w:rsidRPr="00BA61D1">
        <w:rPr>
          <w:noProof/>
        </w:rPr>
        <w:tab/>
      </w:r>
      <w:r w:rsidR="001A62D7" w:rsidRPr="00403097">
        <w:rPr>
          <w:noProof/>
        </w:rPr>
        <w:t>Prin urmare, este necesară mobilizarea FEG pentru a se furniza o contribuție financiară în valoare de 1 622 650 EUR ca urmare a cererii depuse de Belgia.</w:t>
      </w:r>
    </w:p>
    <w:p w:rsidR="001A62D7" w:rsidRPr="00403097" w:rsidRDefault="00BA61D1" w:rsidP="00BA61D1">
      <w:pPr>
        <w:pStyle w:val="ManualConsidrant"/>
        <w:rPr>
          <w:noProof/>
        </w:rPr>
      </w:pPr>
      <w:r w:rsidRPr="00BA61D1">
        <w:rPr>
          <w:noProof/>
        </w:rPr>
        <w:t>(5)</w:t>
      </w:r>
      <w:r w:rsidRPr="00BA61D1">
        <w:rPr>
          <w:noProof/>
        </w:rPr>
        <w:tab/>
      </w:r>
      <w:r w:rsidR="001A62D7" w:rsidRPr="00403097">
        <w:rPr>
          <w:noProof/>
        </w:rPr>
        <w:t>Pentru a se reduce la minimum timpul necesar pentru mobilizarea FEG, prezenta decizie trebuie să se aplice de la data adoptării,</w:t>
      </w:r>
    </w:p>
    <w:p w:rsidR="001A62D7" w:rsidRPr="00403097" w:rsidRDefault="001A62D7" w:rsidP="001A62D7">
      <w:pPr>
        <w:pStyle w:val="Formuledadoption"/>
        <w:rPr>
          <w:noProof/>
        </w:rPr>
      </w:pPr>
      <w:r w:rsidRPr="00403097">
        <w:rPr>
          <w:noProof/>
        </w:rPr>
        <w:t xml:space="preserve">ADOPTĂ PREZENTA DECIZIE: </w:t>
      </w:r>
    </w:p>
    <w:p w:rsidR="001A62D7" w:rsidRPr="00403097" w:rsidRDefault="001A62D7" w:rsidP="001A62D7">
      <w:pPr>
        <w:pStyle w:val="Titrearticle"/>
        <w:rPr>
          <w:noProof/>
        </w:rPr>
      </w:pPr>
      <w:r w:rsidRPr="00403097">
        <w:rPr>
          <w:noProof/>
        </w:rPr>
        <w:t>Articolul 1</w:t>
      </w:r>
    </w:p>
    <w:p w:rsidR="001A62D7" w:rsidRPr="00403097" w:rsidRDefault="001A62D7" w:rsidP="001A62D7">
      <w:pPr>
        <w:rPr>
          <w:noProof/>
        </w:rPr>
      </w:pPr>
      <w:r w:rsidRPr="00403097">
        <w:rPr>
          <w:noProof/>
        </w:rPr>
        <w:t>În cadrul bugetului general al Uniunii aferent exercițiului financiar 2026, Fondul european de ajustare la globalizare pentru lucrătorii disponibilizați se mobilizează pentru a se furniza cuantumul de 1 622 650 EUR, sub formă de credite de angajament și de credite de plată.</w:t>
      </w:r>
    </w:p>
    <w:p w:rsidR="001A62D7" w:rsidRPr="00403097" w:rsidRDefault="001A62D7" w:rsidP="00B74F39">
      <w:pPr>
        <w:pStyle w:val="Titrearticle"/>
        <w:rPr>
          <w:noProof/>
        </w:rPr>
      </w:pPr>
      <w:r w:rsidRPr="00403097">
        <w:rPr>
          <w:noProof/>
        </w:rPr>
        <w:t>Articolul 2</w:t>
      </w:r>
    </w:p>
    <w:p w:rsidR="001A62D7" w:rsidRPr="00403097" w:rsidRDefault="001A62D7" w:rsidP="001A62D7">
      <w:pPr>
        <w:keepNext/>
        <w:keepLines/>
        <w:rPr>
          <w:noProof/>
        </w:rPr>
      </w:pPr>
      <w:r w:rsidRPr="00403097">
        <w:rPr>
          <w:noProof/>
        </w:rPr>
        <w:t xml:space="preserve">Prezenta decizie intră în vigoare la data publicării în Jurnalul Oficial al Uniunii Europene. Prezenta decizie se aplică de la </w:t>
      </w:r>
      <w:r w:rsidRPr="00403097">
        <w:rPr>
          <w:noProof/>
          <w:color w:val="FF0000"/>
        </w:rPr>
        <w:t>[</w:t>
      </w:r>
      <w:r w:rsidRPr="00403097">
        <w:rPr>
          <w:i/>
          <w:noProof/>
          <w:color w:val="FF0000"/>
        </w:rPr>
        <w:t>data adoptării</w:t>
      </w:r>
      <w:r w:rsidRPr="00403097">
        <w:rPr>
          <w:noProof/>
          <w:color w:val="FF0000"/>
        </w:rPr>
        <w:t>]</w:t>
      </w:r>
      <w:r w:rsidRPr="00403097">
        <w:rPr>
          <w:rStyle w:val="FootnoteReference"/>
          <w:noProof/>
          <w:color w:val="FF0000"/>
        </w:rPr>
        <w:footnoteReference w:customMarkFollows="1" w:id="33"/>
        <w:t>*</w:t>
      </w:r>
      <w:r w:rsidRPr="00403097">
        <w:rPr>
          <w:noProof/>
        </w:rPr>
        <w:t>.</w:t>
      </w:r>
    </w:p>
    <w:p w:rsidR="001A62D7" w:rsidRPr="00403097" w:rsidRDefault="00822DE2" w:rsidP="00B74F39">
      <w:pPr>
        <w:pStyle w:val="Fait"/>
        <w:rPr>
          <w:noProof/>
        </w:rPr>
      </w:pPr>
      <w:r>
        <w:rPr>
          <w:noProof/>
        </w:rPr>
        <w:t>Adoptată la Bruxelles,</w:t>
      </w:r>
    </w:p>
    <w:p w:rsidR="001A62D7" w:rsidRPr="00403097" w:rsidRDefault="001A62D7" w:rsidP="00B74F39">
      <w:pPr>
        <w:pStyle w:val="Institutionquisigne"/>
        <w:rPr>
          <w:noProof/>
        </w:rPr>
      </w:pPr>
      <w:r w:rsidRPr="00403097">
        <w:rPr>
          <w:noProof/>
        </w:rPr>
        <w:t>Pentru Parlamentul European</w:t>
      </w:r>
      <w:r w:rsidRPr="00403097">
        <w:rPr>
          <w:noProof/>
        </w:rPr>
        <w:tab/>
        <w:t>Pentru Consiliu</w:t>
      </w:r>
    </w:p>
    <w:p w:rsidR="001A62D7" w:rsidRPr="00403097" w:rsidRDefault="001A62D7" w:rsidP="001A62D7">
      <w:pPr>
        <w:pStyle w:val="Personnequisigne"/>
        <w:rPr>
          <w:noProof/>
        </w:rPr>
      </w:pPr>
      <w:r w:rsidRPr="00403097">
        <w:rPr>
          <w:noProof/>
        </w:rPr>
        <w:t>Președinta</w:t>
      </w:r>
      <w:r w:rsidRPr="00403097">
        <w:rPr>
          <w:noProof/>
        </w:rPr>
        <w:tab/>
        <w:t xml:space="preserve">Președintele </w:t>
      </w:r>
      <w:r w:rsidRPr="00403097">
        <w:rPr>
          <w:noProof/>
        </w:rPr>
        <w:br/>
      </w:r>
    </w:p>
    <w:sectPr w:rsidR="001A62D7" w:rsidRPr="00403097" w:rsidSect="004B3AF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Pr="00403097" w:rsidRDefault="001A62D7" w:rsidP="001A62D7">
      <w:pPr>
        <w:spacing w:before="0" w:after="0"/>
      </w:pPr>
      <w:r w:rsidRPr="00403097">
        <w:separator/>
      </w:r>
    </w:p>
  </w:endnote>
  <w:endnote w:type="continuationSeparator" w:id="0">
    <w:p w:rsidR="001A62D7" w:rsidRPr="00403097" w:rsidRDefault="001A62D7" w:rsidP="001A62D7">
      <w:pPr>
        <w:spacing w:before="0" w:after="0"/>
      </w:pPr>
      <w:r w:rsidRPr="004030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AF5" w:rsidRPr="004B3AF5" w:rsidRDefault="004B3AF5" w:rsidP="004B3AF5">
    <w:pPr>
      <w:pStyle w:val="Footer"/>
      <w:rPr>
        <w:rFonts w:ascii="Arial" w:hAnsi="Arial" w:cs="Arial"/>
        <w:b/>
        <w:sz w:val="48"/>
      </w:rPr>
    </w:pPr>
    <w:r w:rsidRPr="004B3AF5">
      <w:rPr>
        <w:rFonts w:ascii="Arial" w:hAnsi="Arial" w:cs="Arial"/>
        <w:b/>
        <w:sz w:val="48"/>
      </w:rPr>
      <w:t>RO</w:t>
    </w:r>
    <w:r w:rsidRPr="004B3AF5">
      <w:rPr>
        <w:rFonts w:ascii="Arial" w:hAnsi="Arial" w:cs="Arial"/>
        <w:b/>
        <w:sz w:val="48"/>
      </w:rPr>
      <w:tab/>
    </w:r>
    <w:r w:rsidRPr="004B3AF5">
      <w:rPr>
        <w:rFonts w:ascii="Arial" w:hAnsi="Arial" w:cs="Arial"/>
        <w:b/>
        <w:sz w:val="48"/>
      </w:rPr>
      <w:tab/>
    </w:r>
    <w:r w:rsidRPr="004B3AF5">
      <w:tab/>
    </w:r>
    <w:r w:rsidRPr="004B3AF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AF5" w:rsidRPr="004B3AF5" w:rsidRDefault="004B3AF5" w:rsidP="004B3AF5">
    <w:pPr>
      <w:pStyle w:val="Footer"/>
      <w:rPr>
        <w:rFonts w:ascii="Arial" w:hAnsi="Arial" w:cs="Arial"/>
        <w:b/>
        <w:sz w:val="48"/>
      </w:rPr>
    </w:pPr>
    <w:r w:rsidRPr="004B3AF5">
      <w:rPr>
        <w:rFonts w:ascii="Arial" w:hAnsi="Arial" w:cs="Arial"/>
        <w:b/>
        <w:sz w:val="48"/>
      </w:rPr>
      <w:t>RO</w:t>
    </w:r>
    <w:r w:rsidRPr="004B3AF5">
      <w:rPr>
        <w:rFonts w:ascii="Arial" w:hAnsi="Arial" w:cs="Arial"/>
        <w:b/>
        <w:sz w:val="48"/>
      </w:rPr>
      <w:tab/>
    </w:r>
    <w:r w:rsidRPr="004B3AF5">
      <w:rPr>
        <w:rFonts w:ascii="Arial" w:hAnsi="Arial" w:cs="Arial"/>
        <w:b/>
        <w:sz w:val="48"/>
      </w:rPr>
      <w:tab/>
    </w:r>
    <w:r w:rsidRPr="004B3AF5">
      <w:tab/>
    </w:r>
    <w:r w:rsidRPr="004B3AF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AF5" w:rsidRDefault="004B3A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AF5" w:rsidRPr="004B3AF5" w:rsidRDefault="004B3AF5" w:rsidP="004B3AF5">
    <w:pPr>
      <w:pStyle w:val="Footer"/>
      <w:rPr>
        <w:rFonts w:ascii="Arial" w:hAnsi="Arial" w:cs="Arial"/>
        <w:b/>
        <w:sz w:val="48"/>
      </w:rPr>
    </w:pPr>
    <w:r w:rsidRPr="004B3AF5">
      <w:rPr>
        <w:rFonts w:ascii="Arial" w:hAnsi="Arial" w:cs="Arial"/>
        <w:b/>
        <w:sz w:val="48"/>
      </w:rPr>
      <w:t>RO</w:t>
    </w:r>
    <w:r w:rsidRPr="004B3AF5">
      <w:rPr>
        <w:rFonts w:ascii="Arial" w:hAnsi="Arial" w:cs="Arial"/>
        <w:b/>
        <w:sz w:val="48"/>
      </w:rPr>
      <w:tab/>
    </w:r>
    <w:r>
      <w:fldChar w:fldCharType="begin"/>
    </w:r>
    <w:r>
      <w:instrText xml:space="preserve"> PAGE  \* MERGEFORMAT </w:instrText>
    </w:r>
    <w:r>
      <w:fldChar w:fldCharType="separate"/>
    </w:r>
    <w:r w:rsidR="00B74F39">
      <w:rPr>
        <w:noProof/>
      </w:rPr>
      <w:t>12</w:t>
    </w:r>
    <w:r>
      <w:fldChar w:fldCharType="end"/>
    </w:r>
    <w:r>
      <w:tab/>
    </w:r>
    <w:r w:rsidRPr="004B3AF5">
      <w:tab/>
    </w:r>
    <w:r w:rsidRPr="004B3AF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AF5" w:rsidRDefault="004B3AF5" w:rsidP="004B3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Pr="00403097" w:rsidRDefault="001A62D7" w:rsidP="001A62D7">
      <w:pPr>
        <w:spacing w:before="0" w:after="0"/>
      </w:pPr>
      <w:r w:rsidRPr="00403097">
        <w:separator/>
      </w:r>
    </w:p>
  </w:footnote>
  <w:footnote w:type="continuationSeparator" w:id="0">
    <w:p w:rsidR="001A62D7" w:rsidRPr="00403097" w:rsidRDefault="001A62D7" w:rsidP="001A62D7">
      <w:pPr>
        <w:spacing w:before="0" w:after="0"/>
      </w:pPr>
      <w:r w:rsidRPr="00403097">
        <w:continuationSeparator/>
      </w:r>
    </w:p>
  </w:footnote>
  <w:footnote w:id="1">
    <w:p w:rsidR="001A62D7" w:rsidRPr="00403097" w:rsidRDefault="001A62D7" w:rsidP="001A62D7">
      <w:pPr>
        <w:pStyle w:val="FootnoteText"/>
      </w:pPr>
      <w:r w:rsidRPr="00403097">
        <w:rPr>
          <w:rStyle w:val="FootnoteReference"/>
        </w:rPr>
        <w:footnoteRef/>
      </w:r>
      <w:r w:rsidRPr="00403097">
        <w:tab/>
        <w:t>JO</w:t>
      </w:r>
      <w:r w:rsidR="00403097">
        <w:t> </w:t>
      </w:r>
      <w:r w:rsidRPr="00403097">
        <w:t>L 153, 3.5.2021, p. 48.</w:t>
      </w:r>
    </w:p>
  </w:footnote>
  <w:footnote w:id="2">
    <w:p w:rsidR="001A62D7" w:rsidRPr="00403097" w:rsidRDefault="001A62D7" w:rsidP="001A62D7">
      <w:pPr>
        <w:pStyle w:val="FootnoteText"/>
      </w:pPr>
      <w:r w:rsidRPr="00403097">
        <w:rPr>
          <w:rStyle w:val="FootnoteReference"/>
        </w:rPr>
        <w:footnoteRef/>
      </w:r>
      <w:r w:rsidRPr="00403097">
        <w:tab/>
        <w:t>Regulamentul Delegat (UE) 2019/1755 al Comisiei din 8 august 2019 de modificare a anexelor la Regulamentul (CE) nr. 1059/2003 al Parlamentului European și al Consiliului privind instituirea unui nomenclator comun al unităților teritoriale de statistică (NUTS). JO</w:t>
      </w:r>
      <w:r w:rsidR="00403097">
        <w:t> </w:t>
      </w:r>
      <w:r w:rsidRPr="00403097">
        <w:t>L 270, 24.10.2019, p. 1–56.</w:t>
      </w:r>
    </w:p>
  </w:footnote>
  <w:footnote w:id="3">
    <w:p w:rsidR="001A62D7" w:rsidRPr="00403097" w:rsidRDefault="001A62D7" w:rsidP="001A62D7">
      <w:pPr>
        <w:pStyle w:val="FootnoteText"/>
      </w:pPr>
      <w:r w:rsidRPr="00403097">
        <w:rPr>
          <w:rStyle w:val="FootnoteReference"/>
        </w:rPr>
        <w:footnoteRef/>
      </w:r>
      <w:r w:rsidRPr="00403097">
        <w:tab/>
        <w:t>JO</w:t>
      </w:r>
      <w:r w:rsidR="00403097">
        <w:t> </w:t>
      </w:r>
      <w:r w:rsidRPr="00403097">
        <w:t>L 393, 30.12.2006, p. 1.</w:t>
      </w:r>
    </w:p>
  </w:footnote>
  <w:footnote w:id="4">
    <w:p w:rsidR="001A62D7" w:rsidRPr="00403097" w:rsidRDefault="001A62D7" w:rsidP="001A62D7">
      <w:pPr>
        <w:pStyle w:val="FootnoteText"/>
      </w:pPr>
      <w:r w:rsidRPr="00403097">
        <w:rPr>
          <w:rStyle w:val="FootnoteReference"/>
        </w:rPr>
        <w:footnoteRef/>
      </w:r>
      <w:r w:rsidR="00403097">
        <w:tab/>
      </w:r>
      <w:r w:rsidRPr="00403097">
        <w:t>În conformitate cu articolul 7 alineatul (5) din Regulamentul (UE) 2021/691.</w:t>
      </w:r>
    </w:p>
  </w:footnote>
  <w:footnote w:id="5">
    <w:p w:rsidR="00CF6583" w:rsidRPr="00403097" w:rsidRDefault="00CF6583">
      <w:pPr>
        <w:pStyle w:val="FootnoteText"/>
      </w:pPr>
      <w:r w:rsidRPr="00403097">
        <w:rPr>
          <w:rStyle w:val="FootnoteReference"/>
        </w:rPr>
        <w:footnoteRef/>
      </w:r>
      <w:r w:rsidRPr="00403097">
        <w:tab/>
        <w:t xml:space="preserve">Sursă: </w:t>
      </w:r>
      <w:bookmarkStart w:id="12" w:name="_Hlk212740691"/>
      <w:r w:rsidRPr="00403097">
        <w:fldChar w:fldCharType="begin"/>
      </w:r>
      <w:r w:rsidRPr="00403097">
        <w:instrText>HYPERLINK "https://statbel.fgov.be/en/news/11067-bankruptcies-2024-mixed-results-regional-level"</w:instrText>
      </w:r>
      <w:r w:rsidRPr="00403097">
        <w:fldChar w:fldCharType="separate"/>
      </w:r>
      <w:r w:rsidRPr="00403097">
        <w:rPr>
          <w:rStyle w:val="Hyperlink"/>
        </w:rPr>
        <w:t>Statbel (falimente în 2024)</w:t>
      </w:r>
      <w:r w:rsidRPr="00403097">
        <w:fldChar w:fldCharType="end"/>
      </w:r>
      <w:r w:rsidR="00403097">
        <w:t>.</w:t>
      </w:r>
    </w:p>
    <w:bookmarkEnd w:id="12"/>
  </w:footnote>
  <w:footnote w:id="6">
    <w:p w:rsidR="00A839AD" w:rsidRPr="00403097" w:rsidRDefault="00A839AD">
      <w:pPr>
        <w:pStyle w:val="FootnoteText"/>
      </w:pPr>
      <w:r w:rsidRPr="00403097">
        <w:rPr>
          <w:rStyle w:val="FootnoteReference"/>
        </w:rPr>
        <w:footnoteRef/>
      </w:r>
      <w:r w:rsidRPr="00403097">
        <w:tab/>
        <w:t xml:space="preserve">Sursă: </w:t>
      </w:r>
      <w:bookmarkStart w:id="13" w:name="_Hlk212740746"/>
      <w:r w:rsidRPr="00403097">
        <w:fldChar w:fldCharType="begin"/>
      </w:r>
      <w:r w:rsidRPr="00403097">
        <w:instrText>HYPERLINK "https://statbel.fgov.be/fr/themes/entreprises/faillites/faillites-mensuelles" \l "cifre"</w:instrText>
      </w:r>
      <w:r w:rsidRPr="00403097">
        <w:fldChar w:fldCharType="separate"/>
      </w:r>
      <w:r w:rsidRPr="00403097">
        <w:rPr>
          <w:rStyle w:val="Hyperlink"/>
        </w:rPr>
        <w:t>Statbel (falimente lunare)</w:t>
      </w:r>
      <w:r w:rsidRPr="00403097">
        <w:fldChar w:fldCharType="end"/>
      </w:r>
      <w:r w:rsidR="00403097">
        <w:t>.</w:t>
      </w:r>
    </w:p>
    <w:bookmarkEnd w:id="13"/>
  </w:footnote>
  <w:footnote w:id="7">
    <w:p w:rsidR="00A839AD" w:rsidRPr="00403097" w:rsidRDefault="00A839AD">
      <w:pPr>
        <w:pStyle w:val="FootnoteText"/>
      </w:pPr>
      <w:r w:rsidRPr="00403097">
        <w:rPr>
          <w:rStyle w:val="FootnoteReference"/>
        </w:rPr>
        <w:footnoteRef/>
      </w:r>
      <w:r w:rsidRPr="00403097">
        <w:tab/>
        <w:t xml:space="preserve">Sursă: </w:t>
      </w:r>
      <w:bookmarkStart w:id="14" w:name="_Hlk212741128"/>
      <w:r w:rsidRPr="00403097">
        <w:t>Statbel (</w:t>
      </w:r>
      <w:hyperlink r:id="rId1" w:history="1">
        <w:r w:rsidRPr="00403097">
          <w:rPr>
            <w:rStyle w:val="Hyperlink"/>
          </w:rPr>
          <w:t>Falimente și pierderi de locuri de muncă în Belgia per lună</w:t>
        </w:r>
      </w:hyperlink>
      <w:r w:rsidRPr="00403097">
        <w:t>)</w:t>
      </w:r>
      <w:bookmarkEnd w:id="14"/>
      <w:r w:rsidR="00403097">
        <w:t>.</w:t>
      </w:r>
    </w:p>
  </w:footnote>
  <w:footnote w:id="8">
    <w:p w:rsidR="00CB4216" w:rsidRPr="00403097" w:rsidRDefault="00CB4216">
      <w:pPr>
        <w:pStyle w:val="FootnoteText"/>
      </w:pPr>
      <w:r w:rsidRPr="00403097">
        <w:rPr>
          <w:rStyle w:val="FootnoteReference"/>
        </w:rPr>
        <w:footnoteRef/>
      </w:r>
      <w:r w:rsidRPr="00403097">
        <w:tab/>
        <w:t>COM(2025) 1</w:t>
      </w:r>
      <w:r w:rsidR="00403097">
        <w:t>.</w:t>
      </w:r>
    </w:p>
  </w:footnote>
  <w:footnote w:id="9">
    <w:p w:rsidR="00CB4216" w:rsidRPr="00403097" w:rsidRDefault="00CB4216">
      <w:pPr>
        <w:pStyle w:val="FootnoteText"/>
      </w:pPr>
      <w:r w:rsidRPr="00403097">
        <w:rPr>
          <w:rStyle w:val="FootnoteReference"/>
        </w:rPr>
        <w:footnoteRef/>
      </w:r>
      <w:r w:rsidRPr="00403097">
        <w:tab/>
        <w:t>COM(2024) 370</w:t>
      </w:r>
      <w:r w:rsidR="00403097">
        <w:t>.</w:t>
      </w:r>
    </w:p>
  </w:footnote>
  <w:footnote w:id="10">
    <w:p w:rsidR="00CB4216" w:rsidRPr="00403097" w:rsidRDefault="00CB4216">
      <w:pPr>
        <w:pStyle w:val="FootnoteText"/>
      </w:pPr>
      <w:r w:rsidRPr="00403097">
        <w:rPr>
          <w:rStyle w:val="FootnoteReference"/>
        </w:rPr>
        <w:footnoteRef/>
      </w:r>
      <w:r w:rsidRPr="00403097">
        <w:tab/>
        <w:t>COM(2025) 157</w:t>
      </w:r>
      <w:r w:rsidR="00403097">
        <w:t>.</w:t>
      </w:r>
    </w:p>
  </w:footnote>
  <w:footnote w:id="11">
    <w:p w:rsidR="00C676E6" w:rsidRPr="00403097" w:rsidRDefault="00C676E6">
      <w:pPr>
        <w:pStyle w:val="FootnoteText"/>
      </w:pPr>
      <w:r w:rsidRPr="00403097">
        <w:rPr>
          <w:rStyle w:val="FootnoteReference"/>
        </w:rPr>
        <w:footnoteRef/>
      </w:r>
      <w:r w:rsidRPr="00403097">
        <w:tab/>
        <w:t>COM(2026) 2</w:t>
      </w:r>
      <w:r w:rsidR="00403097">
        <w:t>.</w:t>
      </w:r>
    </w:p>
  </w:footnote>
  <w:footnote w:id="12">
    <w:p w:rsidR="005507EE" w:rsidRPr="00403097" w:rsidRDefault="005507EE">
      <w:pPr>
        <w:pStyle w:val="FootnoteText"/>
      </w:pPr>
      <w:r w:rsidRPr="00403097">
        <w:rPr>
          <w:rStyle w:val="FootnoteReference"/>
        </w:rPr>
        <w:footnoteRef/>
      </w:r>
      <w:r w:rsidRPr="00403097">
        <w:tab/>
      </w:r>
      <w:hyperlink r:id="rId2" w:history="1">
        <w:r w:rsidRPr="00403097">
          <w:rPr>
            <w:rStyle w:val="Hyperlink"/>
          </w:rPr>
          <w:t>Provincies in cijfers</w:t>
        </w:r>
      </w:hyperlink>
      <w:r w:rsidR="00403097">
        <w:t>.</w:t>
      </w:r>
    </w:p>
  </w:footnote>
  <w:footnote w:id="13">
    <w:p w:rsidR="002607CC" w:rsidRPr="00403097" w:rsidRDefault="002607CC">
      <w:pPr>
        <w:pStyle w:val="FootnoteText"/>
      </w:pPr>
      <w:r w:rsidRPr="00403097">
        <w:rPr>
          <w:rStyle w:val="FootnoteReference"/>
        </w:rPr>
        <w:footnoteRef/>
      </w:r>
      <w:r w:rsidRPr="00403097">
        <w:tab/>
        <w:t xml:space="preserve">Sursă: </w:t>
      </w:r>
      <w:hyperlink r:id="rId3" w:history="1">
        <w:r w:rsidRPr="00403097">
          <w:rPr>
            <w:rStyle w:val="Hyperlink"/>
          </w:rPr>
          <w:t>Statbel</w:t>
        </w:r>
      </w:hyperlink>
      <w:r w:rsidR="00403097">
        <w:t>.</w:t>
      </w:r>
    </w:p>
  </w:footnote>
  <w:footnote w:id="14">
    <w:p w:rsidR="00260B9D" w:rsidRPr="00403097" w:rsidRDefault="00260B9D">
      <w:pPr>
        <w:pStyle w:val="FootnoteText"/>
      </w:pPr>
      <w:r w:rsidRPr="00403097">
        <w:rPr>
          <w:rStyle w:val="FootnoteReference"/>
        </w:rPr>
        <w:footnoteRef/>
      </w:r>
      <w:r w:rsidRPr="00403097">
        <w:tab/>
        <w:t>Decretul regal din 10 noiembrie 2006 de modificare a Decretului regal din 9 martie 2006.</w:t>
      </w:r>
    </w:p>
  </w:footnote>
  <w:footnote w:id="15">
    <w:p w:rsidR="001016E1" w:rsidRPr="00403097" w:rsidRDefault="001016E1">
      <w:pPr>
        <w:pStyle w:val="FootnoteText"/>
      </w:pPr>
      <w:r w:rsidRPr="00403097">
        <w:rPr>
          <w:rStyle w:val="FootnoteReference"/>
        </w:rPr>
        <w:footnoteRef/>
      </w:r>
      <w:r w:rsidRPr="00403097">
        <w:tab/>
        <w:t xml:space="preserve">Algemene Centrale der Liberale Vakbonden van België. </w:t>
      </w:r>
    </w:p>
  </w:footnote>
  <w:footnote w:id="16">
    <w:p w:rsidR="000D0503" w:rsidRPr="00403097" w:rsidRDefault="000D0503">
      <w:pPr>
        <w:pStyle w:val="FootnoteText"/>
      </w:pPr>
      <w:r w:rsidRPr="00403097">
        <w:rPr>
          <w:rStyle w:val="FootnoteReference"/>
        </w:rPr>
        <w:footnoteRef/>
      </w:r>
      <w:r w:rsidRPr="00403097">
        <w:tab/>
        <w:t xml:space="preserve">De Algemene Centrale-ABVV. </w:t>
      </w:r>
    </w:p>
  </w:footnote>
  <w:footnote w:id="17">
    <w:p w:rsidR="004318A4" w:rsidRPr="00403097" w:rsidRDefault="004318A4">
      <w:pPr>
        <w:pStyle w:val="FootnoteText"/>
      </w:pPr>
      <w:r w:rsidRPr="00403097">
        <w:rPr>
          <w:rStyle w:val="FootnoteReference"/>
        </w:rPr>
        <w:footnoteRef/>
      </w:r>
      <w:r w:rsidRPr="00403097">
        <w:tab/>
        <w:t>Algemeen Christelijk Vakverbond.</w:t>
      </w:r>
    </w:p>
  </w:footnote>
  <w:footnote w:id="18">
    <w:p w:rsidR="001A62D7" w:rsidRPr="00403097" w:rsidRDefault="001A62D7" w:rsidP="001A62D7">
      <w:pPr>
        <w:pStyle w:val="FootnoteText"/>
      </w:pPr>
      <w:r w:rsidRPr="00403097">
        <w:rPr>
          <w:rStyle w:val="FootnoteReference"/>
        </w:rPr>
        <w:footnoteRef/>
      </w:r>
      <w:r w:rsidRPr="00403097">
        <w:tab/>
        <w:t>ISCED 0-2</w:t>
      </w:r>
      <w:r w:rsidR="00403097">
        <w:t>.</w:t>
      </w:r>
    </w:p>
  </w:footnote>
  <w:footnote w:id="19">
    <w:p w:rsidR="001A62D7" w:rsidRPr="00403097" w:rsidRDefault="001A62D7" w:rsidP="001A62D7">
      <w:pPr>
        <w:pStyle w:val="FootnoteText"/>
      </w:pPr>
      <w:r w:rsidRPr="00403097">
        <w:rPr>
          <w:rStyle w:val="FootnoteReference"/>
        </w:rPr>
        <w:footnoteRef/>
      </w:r>
      <w:r w:rsidRPr="00403097">
        <w:tab/>
        <w:t>ISCED 3</w:t>
      </w:r>
      <w:r w:rsidR="00403097">
        <w:t>.</w:t>
      </w:r>
    </w:p>
  </w:footnote>
  <w:footnote w:id="20">
    <w:p w:rsidR="001A62D7" w:rsidRPr="00403097" w:rsidRDefault="001A62D7" w:rsidP="001A62D7">
      <w:pPr>
        <w:pStyle w:val="FootnoteText"/>
      </w:pPr>
      <w:r w:rsidRPr="00403097">
        <w:rPr>
          <w:rStyle w:val="FootnoteReference"/>
        </w:rPr>
        <w:footnoteRef/>
      </w:r>
      <w:r w:rsidRPr="00403097">
        <w:tab/>
        <w:t>ISCED 4</w:t>
      </w:r>
      <w:r w:rsidR="00403097">
        <w:t>.</w:t>
      </w:r>
    </w:p>
  </w:footnote>
  <w:footnote w:id="21">
    <w:p w:rsidR="001A62D7" w:rsidRPr="00403097" w:rsidRDefault="001A62D7" w:rsidP="001A62D7">
      <w:pPr>
        <w:pStyle w:val="FootnoteText"/>
      </w:pPr>
      <w:r w:rsidRPr="00403097">
        <w:rPr>
          <w:rStyle w:val="FootnoteReference"/>
        </w:rPr>
        <w:footnoteRef/>
      </w:r>
      <w:r w:rsidRPr="00403097">
        <w:tab/>
        <w:t>ISCED 5-8</w:t>
      </w:r>
      <w:r w:rsidR="00403097">
        <w:t>.</w:t>
      </w:r>
    </w:p>
  </w:footnote>
  <w:footnote w:id="22">
    <w:p w:rsidR="001A62D7" w:rsidRPr="00403097" w:rsidRDefault="001A62D7" w:rsidP="001A62D7">
      <w:pPr>
        <w:pStyle w:val="FootnoteText"/>
      </w:pPr>
      <w:r w:rsidRPr="00403097">
        <w:rPr>
          <w:rStyle w:val="FootnoteReference"/>
        </w:rPr>
        <w:footnoteRef/>
      </w:r>
      <w:r w:rsidRPr="00403097">
        <w:tab/>
        <w:t>Pentru a se evita zecimalele, costurile estimate per lucrător au fost rotunjite. Totuși, rotunjirile nu afectează costul total al fiecărei măsuri, care nu diferă de cel indicat în cererea depusă de Belgia.</w:t>
      </w:r>
    </w:p>
  </w:footnote>
  <w:footnote w:id="23">
    <w:p w:rsidR="001A62D7" w:rsidRPr="00403097" w:rsidRDefault="001A62D7" w:rsidP="001A62D7">
      <w:pPr>
        <w:pStyle w:val="FootnoteText"/>
      </w:pPr>
      <w:r w:rsidRPr="00403097">
        <w:rPr>
          <w:rStyle w:val="FootnoteReference"/>
        </w:rPr>
        <w:footnoteRef/>
      </w:r>
      <w:r w:rsidRPr="00403097">
        <w:tab/>
        <w:t>Totalurile nu corespund exact din cauza rotunjirilor.</w:t>
      </w:r>
    </w:p>
  </w:footnote>
  <w:footnote w:id="24">
    <w:p w:rsidR="001A62D7" w:rsidRPr="00403097" w:rsidRDefault="001A62D7" w:rsidP="001A62D7">
      <w:pPr>
        <w:pStyle w:val="FootnoteText"/>
      </w:pPr>
      <w:r w:rsidRPr="00403097">
        <w:rPr>
          <w:rStyle w:val="FootnoteReference"/>
        </w:rPr>
        <w:footnoteRef/>
      </w:r>
      <w:r w:rsidRPr="00403097">
        <w:tab/>
      </w:r>
      <w:r w:rsidR="00403097">
        <w:t>JO </w:t>
      </w:r>
      <w:r w:rsidRPr="00403097">
        <w:t>L 433 I, 22.12.2020, p. 11.</w:t>
      </w:r>
    </w:p>
  </w:footnote>
  <w:footnote w:id="25">
    <w:p w:rsidR="001A62D7" w:rsidRPr="00403097" w:rsidRDefault="001A62D7" w:rsidP="001A62D7">
      <w:pPr>
        <w:pStyle w:val="FootnoteText"/>
      </w:pPr>
      <w:r w:rsidRPr="00403097">
        <w:rPr>
          <w:rStyle w:val="FootnoteReference"/>
        </w:rPr>
        <w:footnoteRef/>
      </w:r>
      <w:r w:rsidRPr="00403097">
        <w:tab/>
      </w:r>
      <w:r w:rsidR="00403097">
        <w:t>JO </w:t>
      </w:r>
      <w:r w:rsidRPr="00403097">
        <w:t>L, 2024/765, 29.2.2024, ELI: http://data.europa.eu/eli/reg/2024/765/oj.</w:t>
      </w:r>
    </w:p>
  </w:footnote>
  <w:footnote w:id="26">
    <w:p w:rsidR="001A62D7" w:rsidRPr="00403097" w:rsidRDefault="001A62D7" w:rsidP="001A62D7">
      <w:pPr>
        <w:pStyle w:val="FootnoteText"/>
      </w:pPr>
      <w:r w:rsidRPr="00403097">
        <w:rPr>
          <w:rStyle w:val="FootnoteReference"/>
        </w:rPr>
        <w:footnoteRef/>
      </w:r>
      <w:r w:rsidRPr="00403097">
        <w:tab/>
      </w:r>
      <w:r w:rsidR="00403097">
        <w:t>JO </w:t>
      </w:r>
      <w:r w:rsidRPr="00403097">
        <w:t>L 433 I, 22.12.2020, p. 28.</w:t>
      </w:r>
    </w:p>
  </w:footnote>
  <w:footnote w:id="27">
    <w:p w:rsidR="001A62D7" w:rsidRPr="00403097" w:rsidRDefault="001A62D7" w:rsidP="001A62D7">
      <w:pPr>
        <w:pStyle w:val="FootnoteText"/>
      </w:pPr>
      <w:r w:rsidRPr="00403097">
        <w:rPr>
          <w:rStyle w:val="FootnoteReference"/>
        </w:rPr>
        <w:footnoteRef/>
      </w:r>
      <w:r w:rsidRPr="00403097">
        <w:tab/>
        <w:t>Regulamentul (UE, Euratom) 2024/2509 al Parlamentului European și al Consiliului din 23 septembrie 2024 privind normele financiare aplicabile bugetului general al Uniunii (reformare) (JO L, 2024/2509, 26.9.2024, ELI: http://data.europa.eu/eli/reg/2024/2509/oj.</w:t>
      </w:r>
    </w:p>
  </w:footnote>
  <w:footnote w:id="28">
    <w:p w:rsidR="001A62D7" w:rsidRPr="00403097" w:rsidRDefault="001A62D7" w:rsidP="001A62D7">
      <w:pPr>
        <w:pStyle w:val="FootnoteText"/>
      </w:pPr>
      <w:r w:rsidRPr="00403097">
        <w:rPr>
          <w:rStyle w:val="FootnoteReference"/>
        </w:rPr>
        <w:footnoteRef/>
      </w:r>
      <w:r w:rsidRPr="00403097">
        <w:tab/>
        <w:t>JO</w:t>
      </w:r>
      <w:r w:rsidR="00403097">
        <w:t> </w:t>
      </w:r>
      <w:r w:rsidRPr="00403097">
        <w:t>L 153, 3.5.2021, p. 48.</w:t>
      </w:r>
    </w:p>
  </w:footnote>
  <w:footnote w:id="29">
    <w:p w:rsidR="001A62D7" w:rsidRPr="00403097" w:rsidRDefault="001A62D7" w:rsidP="001A62D7">
      <w:pPr>
        <w:pStyle w:val="FootnoteText"/>
      </w:pPr>
      <w:r w:rsidRPr="00403097">
        <w:rPr>
          <w:rStyle w:val="FootnoteReference"/>
        </w:rPr>
        <w:footnoteRef/>
      </w:r>
      <w:r w:rsidRPr="00403097">
        <w:tab/>
        <w:t>JO</w:t>
      </w:r>
      <w:r w:rsidR="00403097">
        <w:t> </w:t>
      </w:r>
      <w:r w:rsidRPr="00403097">
        <w:t>L 433 I, 22.12.2020, p. 28</w:t>
      </w:r>
    </w:p>
  </w:footnote>
  <w:footnote w:id="30">
    <w:p w:rsidR="001A62D7" w:rsidRPr="00403097" w:rsidRDefault="001A62D7" w:rsidP="001A62D7">
      <w:pPr>
        <w:pStyle w:val="FootnoteText"/>
      </w:pPr>
      <w:r w:rsidRPr="00403097">
        <w:rPr>
          <w:rStyle w:val="FootnoteReference"/>
        </w:rPr>
        <w:footnoteRef/>
      </w:r>
      <w:r w:rsidRPr="00403097">
        <w:tab/>
        <w:t>Regulamentul (UE, Euratom) 2020/2093 al Consiliului din 17 decembrie 2020 de stabilire a cadrului financiar multianual pentru perioada 2021-2027 (JO</w:t>
      </w:r>
      <w:r w:rsidR="00403097">
        <w:t> </w:t>
      </w:r>
      <w:r w:rsidRPr="00403097">
        <w:t>L 433 I, 22.12.2020, p. 11).</w:t>
      </w:r>
    </w:p>
  </w:footnote>
  <w:footnote w:id="31">
    <w:p w:rsidR="001A62D7" w:rsidRPr="00403097" w:rsidRDefault="001A62D7" w:rsidP="001A62D7">
      <w:pPr>
        <w:pStyle w:val="FootnoteText"/>
      </w:pPr>
      <w:r w:rsidRPr="00403097">
        <w:rPr>
          <w:rStyle w:val="FootnoteReference"/>
        </w:rPr>
        <w:footnoteRef/>
      </w:r>
      <w:r w:rsidRPr="00403097">
        <w:tab/>
      </w:r>
      <w:r w:rsidR="00403097">
        <w:t>JO </w:t>
      </w:r>
      <w:r w:rsidRPr="00403097">
        <w:t>L, 2024/765, 29.2.2024, ELI: http://data.europa.eu/eli/reg/2024/765/oj.</w:t>
      </w:r>
    </w:p>
  </w:footnote>
  <w:footnote w:id="32">
    <w:p w:rsidR="001A62D7" w:rsidRPr="00403097" w:rsidRDefault="001A62D7" w:rsidP="001A62D7">
      <w:pPr>
        <w:pStyle w:val="FootnoteText"/>
      </w:pPr>
      <w:r w:rsidRPr="00403097">
        <w:rPr>
          <w:rStyle w:val="FootnoteReference"/>
        </w:rPr>
        <w:footnoteRef/>
      </w:r>
      <w:r w:rsidRPr="00403097">
        <w:tab/>
        <w:t>COM(2026) 1.</w:t>
      </w:r>
    </w:p>
  </w:footnote>
  <w:footnote w:id="33">
    <w:p w:rsidR="0048027E" w:rsidRPr="00822DE2" w:rsidRDefault="0048027E">
      <w:pPr>
        <w:pStyle w:val="FootnoteText"/>
        <w:rPr>
          <w:lang w:val="fr-BE"/>
        </w:rPr>
      </w:pPr>
      <w:r w:rsidRPr="00403097">
        <w:rPr>
          <w:rStyle w:val="FootnoteReference"/>
        </w:rPr>
        <w:t>*</w:t>
      </w:r>
      <w:r w:rsidRPr="00403097">
        <w:tab/>
      </w:r>
      <w:r w:rsidRPr="00403097">
        <w:rPr>
          <w:color w:val="FF0000"/>
        </w:rPr>
        <w:t>Data urmează a fi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AF5" w:rsidRDefault="004B3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AF5" w:rsidRDefault="004B3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4 12:10: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8D60F64-30C1-4590-BA74-AEA8CB6D293D"/>
    <w:docVar w:name="LW_COVERPAGE_TYPE" w:val="1"/>
    <w:docVar w:name="LW_CreatedUtc" w:val="2025-02-03T12:09:04.7855178Z"/>
    <w:docVar w:name="LW_CROSSREFERENCE" w:val="&lt;UNUSED&gt;"/>
    <w:docVar w:name="LW_DocType" w:val="COM"/>
    <w:docVar w:name="LW_EMISSION" w:val="20.1.2026"/>
    <w:docVar w:name="LW_EMISSION_ISODATE" w:val="2026-01-20"/>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004"/>
    <w:docVar w:name="LW_REF.II.NEW.CP_YEAR" w:val="2026"/>
    <w:docVar w:name="LW_REF.INST.NEW" w:val="COM"/>
    <w:docVar w:name="LW_REF.INST.NEW_ADOPTED" w:val="final"/>
    <w:docVar w:name="LW_REF.INST.NEW_TEXT" w:val="(2026) 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Belgiei \u8211? EGF/2025/004 BE/Tupperware"/>
    <w:docVar w:name="LW_TYPE.DOC.CP" w:val="DECIZIE A PARLAMENTULUI EUROPEAN \u536?I A CONSILIULUI"/>
    <w:docVar w:name="LwApiVersions" w:val="LW4CoDe 1.24.5.0; LW 9.2, Build 20251112"/>
  </w:docVars>
  <w:rsids>
    <w:rsidRoot w:val="001A62D7"/>
    <w:rsid w:val="00033D92"/>
    <w:rsid w:val="00035E91"/>
    <w:rsid w:val="0006591A"/>
    <w:rsid w:val="000708BF"/>
    <w:rsid w:val="0008637C"/>
    <w:rsid w:val="000A0C96"/>
    <w:rsid w:val="000A1C4B"/>
    <w:rsid w:val="000A4083"/>
    <w:rsid w:val="000B42C4"/>
    <w:rsid w:val="000C145A"/>
    <w:rsid w:val="000C3E89"/>
    <w:rsid w:val="000D0503"/>
    <w:rsid w:val="000D5925"/>
    <w:rsid w:val="000E625A"/>
    <w:rsid w:val="000F7605"/>
    <w:rsid w:val="000F7F13"/>
    <w:rsid w:val="001016E1"/>
    <w:rsid w:val="00102F23"/>
    <w:rsid w:val="001065F5"/>
    <w:rsid w:val="001238EF"/>
    <w:rsid w:val="0013088B"/>
    <w:rsid w:val="00132C9E"/>
    <w:rsid w:val="00151057"/>
    <w:rsid w:val="00157D5E"/>
    <w:rsid w:val="001666CA"/>
    <w:rsid w:val="00181CE4"/>
    <w:rsid w:val="001922FC"/>
    <w:rsid w:val="0019380B"/>
    <w:rsid w:val="00197613"/>
    <w:rsid w:val="001A62D7"/>
    <w:rsid w:val="001B5249"/>
    <w:rsid w:val="001F736B"/>
    <w:rsid w:val="0021476D"/>
    <w:rsid w:val="00226073"/>
    <w:rsid w:val="0023077F"/>
    <w:rsid w:val="00233DC7"/>
    <w:rsid w:val="00247779"/>
    <w:rsid w:val="002606B6"/>
    <w:rsid w:val="002607CC"/>
    <w:rsid w:val="00260B9D"/>
    <w:rsid w:val="00260FBA"/>
    <w:rsid w:val="002668D3"/>
    <w:rsid w:val="00267F7A"/>
    <w:rsid w:val="00276895"/>
    <w:rsid w:val="00285BEE"/>
    <w:rsid w:val="00286B4D"/>
    <w:rsid w:val="00294433"/>
    <w:rsid w:val="0029533F"/>
    <w:rsid w:val="002A179B"/>
    <w:rsid w:val="002A5F93"/>
    <w:rsid w:val="002B2D97"/>
    <w:rsid w:val="002B30AF"/>
    <w:rsid w:val="002B5503"/>
    <w:rsid w:val="002B7DA4"/>
    <w:rsid w:val="002E37FA"/>
    <w:rsid w:val="002F031C"/>
    <w:rsid w:val="002F598B"/>
    <w:rsid w:val="002F6D5B"/>
    <w:rsid w:val="00301D34"/>
    <w:rsid w:val="00306B2C"/>
    <w:rsid w:val="00317D7E"/>
    <w:rsid w:val="00324C91"/>
    <w:rsid w:val="0033344A"/>
    <w:rsid w:val="003455E2"/>
    <w:rsid w:val="00370EEE"/>
    <w:rsid w:val="00381946"/>
    <w:rsid w:val="00382BB9"/>
    <w:rsid w:val="003A2739"/>
    <w:rsid w:val="003E5475"/>
    <w:rsid w:val="003E6C66"/>
    <w:rsid w:val="003E768F"/>
    <w:rsid w:val="003F559C"/>
    <w:rsid w:val="003F6A27"/>
    <w:rsid w:val="00403097"/>
    <w:rsid w:val="0042648E"/>
    <w:rsid w:val="004318A4"/>
    <w:rsid w:val="00432F3D"/>
    <w:rsid w:val="00442679"/>
    <w:rsid w:val="00442837"/>
    <w:rsid w:val="00477960"/>
    <w:rsid w:val="0048027E"/>
    <w:rsid w:val="004936D2"/>
    <w:rsid w:val="004A7A0C"/>
    <w:rsid w:val="004B3AF5"/>
    <w:rsid w:val="004B5899"/>
    <w:rsid w:val="004C6A4C"/>
    <w:rsid w:val="004E4CCE"/>
    <w:rsid w:val="004F5528"/>
    <w:rsid w:val="00501100"/>
    <w:rsid w:val="00503B67"/>
    <w:rsid w:val="005107E7"/>
    <w:rsid w:val="00510E10"/>
    <w:rsid w:val="005248D3"/>
    <w:rsid w:val="005311BF"/>
    <w:rsid w:val="00534BAE"/>
    <w:rsid w:val="00537BC8"/>
    <w:rsid w:val="00545485"/>
    <w:rsid w:val="005507EE"/>
    <w:rsid w:val="00566C26"/>
    <w:rsid w:val="00591D7C"/>
    <w:rsid w:val="00591E79"/>
    <w:rsid w:val="005A0A5E"/>
    <w:rsid w:val="005A1AE7"/>
    <w:rsid w:val="005A2426"/>
    <w:rsid w:val="005B1EB6"/>
    <w:rsid w:val="005C0FCE"/>
    <w:rsid w:val="005C5FFF"/>
    <w:rsid w:val="005D1AB7"/>
    <w:rsid w:val="005D77CF"/>
    <w:rsid w:val="005E047F"/>
    <w:rsid w:val="005E17A8"/>
    <w:rsid w:val="00605200"/>
    <w:rsid w:val="00615FD1"/>
    <w:rsid w:val="00617B44"/>
    <w:rsid w:val="00632E8C"/>
    <w:rsid w:val="00632EF7"/>
    <w:rsid w:val="00636752"/>
    <w:rsid w:val="00645503"/>
    <w:rsid w:val="0065479C"/>
    <w:rsid w:val="00680236"/>
    <w:rsid w:val="00691338"/>
    <w:rsid w:val="00693331"/>
    <w:rsid w:val="006A4C8D"/>
    <w:rsid w:val="006A791B"/>
    <w:rsid w:val="006C61DB"/>
    <w:rsid w:val="006F7874"/>
    <w:rsid w:val="00711A0E"/>
    <w:rsid w:val="007210E7"/>
    <w:rsid w:val="00731699"/>
    <w:rsid w:val="00755DE1"/>
    <w:rsid w:val="00773331"/>
    <w:rsid w:val="007932EF"/>
    <w:rsid w:val="0079691C"/>
    <w:rsid w:val="007B4D4B"/>
    <w:rsid w:val="007B7B88"/>
    <w:rsid w:val="007D0874"/>
    <w:rsid w:val="007D76A8"/>
    <w:rsid w:val="007D7BFD"/>
    <w:rsid w:val="007E05B0"/>
    <w:rsid w:val="007F6660"/>
    <w:rsid w:val="0081327E"/>
    <w:rsid w:val="00816030"/>
    <w:rsid w:val="00822DE2"/>
    <w:rsid w:val="00831DA5"/>
    <w:rsid w:val="00842DE2"/>
    <w:rsid w:val="008517A2"/>
    <w:rsid w:val="00853ADC"/>
    <w:rsid w:val="00865D62"/>
    <w:rsid w:val="00867657"/>
    <w:rsid w:val="00874D22"/>
    <w:rsid w:val="00885564"/>
    <w:rsid w:val="00886144"/>
    <w:rsid w:val="008937DF"/>
    <w:rsid w:val="0089667B"/>
    <w:rsid w:val="008A2914"/>
    <w:rsid w:val="008A578E"/>
    <w:rsid w:val="008C31EF"/>
    <w:rsid w:val="008D1A3A"/>
    <w:rsid w:val="008D2433"/>
    <w:rsid w:val="008E0467"/>
    <w:rsid w:val="008E2501"/>
    <w:rsid w:val="008E4D8E"/>
    <w:rsid w:val="008F1670"/>
    <w:rsid w:val="008F2AAF"/>
    <w:rsid w:val="0090631D"/>
    <w:rsid w:val="00906B18"/>
    <w:rsid w:val="00913B23"/>
    <w:rsid w:val="009243B3"/>
    <w:rsid w:val="00950D9A"/>
    <w:rsid w:val="00962A27"/>
    <w:rsid w:val="00982359"/>
    <w:rsid w:val="00986646"/>
    <w:rsid w:val="00994992"/>
    <w:rsid w:val="009975E8"/>
    <w:rsid w:val="009A2D29"/>
    <w:rsid w:val="009A476A"/>
    <w:rsid w:val="009C1544"/>
    <w:rsid w:val="009D584B"/>
    <w:rsid w:val="00A01872"/>
    <w:rsid w:val="00A101DD"/>
    <w:rsid w:val="00A23AD3"/>
    <w:rsid w:val="00A40086"/>
    <w:rsid w:val="00A41071"/>
    <w:rsid w:val="00A47C32"/>
    <w:rsid w:val="00A80F5F"/>
    <w:rsid w:val="00A8186D"/>
    <w:rsid w:val="00A839AD"/>
    <w:rsid w:val="00A858E1"/>
    <w:rsid w:val="00A95B6E"/>
    <w:rsid w:val="00AA0EDE"/>
    <w:rsid w:val="00AB7DEC"/>
    <w:rsid w:val="00AC52DF"/>
    <w:rsid w:val="00AD3D34"/>
    <w:rsid w:val="00AD6FD6"/>
    <w:rsid w:val="00AE118B"/>
    <w:rsid w:val="00AE6C39"/>
    <w:rsid w:val="00AF208A"/>
    <w:rsid w:val="00B00403"/>
    <w:rsid w:val="00B05AD9"/>
    <w:rsid w:val="00B3534F"/>
    <w:rsid w:val="00B4382F"/>
    <w:rsid w:val="00B63616"/>
    <w:rsid w:val="00B66F26"/>
    <w:rsid w:val="00B704E3"/>
    <w:rsid w:val="00B71A14"/>
    <w:rsid w:val="00B7490A"/>
    <w:rsid w:val="00B74F39"/>
    <w:rsid w:val="00B80B11"/>
    <w:rsid w:val="00B91565"/>
    <w:rsid w:val="00BA61D1"/>
    <w:rsid w:val="00BD3852"/>
    <w:rsid w:val="00BE41FC"/>
    <w:rsid w:val="00BF1675"/>
    <w:rsid w:val="00BF1FAA"/>
    <w:rsid w:val="00BF345B"/>
    <w:rsid w:val="00C0648B"/>
    <w:rsid w:val="00C12301"/>
    <w:rsid w:val="00C1247E"/>
    <w:rsid w:val="00C27CA3"/>
    <w:rsid w:val="00C3134D"/>
    <w:rsid w:val="00C31C18"/>
    <w:rsid w:val="00C4369E"/>
    <w:rsid w:val="00C43A56"/>
    <w:rsid w:val="00C6179C"/>
    <w:rsid w:val="00C62444"/>
    <w:rsid w:val="00C676E6"/>
    <w:rsid w:val="00C72BBE"/>
    <w:rsid w:val="00C8145D"/>
    <w:rsid w:val="00C91B29"/>
    <w:rsid w:val="00C920E4"/>
    <w:rsid w:val="00C97675"/>
    <w:rsid w:val="00CA6106"/>
    <w:rsid w:val="00CA7506"/>
    <w:rsid w:val="00CA758A"/>
    <w:rsid w:val="00CB4216"/>
    <w:rsid w:val="00CB770A"/>
    <w:rsid w:val="00CE1368"/>
    <w:rsid w:val="00CF02C4"/>
    <w:rsid w:val="00CF0A80"/>
    <w:rsid w:val="00CF6583"/>
    <w:rsid w:val="00D0194B"/>
    <w:rsid w:val="00D01F4D"/>
    <w:rsid w:val="00D1381A"/>
    <w:rsid w:val="00D20381"/>
    <w:rsid w:val="00D50124"/>
    <w:rsid w:val="00D5383C"/>
    <w:rsid w:val="00D54F1D"/>
    <w:rsid w:val="00D5511F"/>
    <w:rsid w:val="00D63BE7"/>
    <w:rsid w:val="00D82574"/>
    <w:rsid w:val="00D857B5"/>
    <w:rsid w:val="00D9183E"/>
    <w:rsid w:val="00D9239A"/>
    <w:rsid w:val="00DA573A"/>
    <w:rsid w:val="00DB30CF"/>
    <w:rsid w:val="00DC2EFE"/>
    <w:rsid w:val="00DD57E0"/>
    <w:rsid w:val="00DD7120"/>
    <w:rsid w:val="00DE618C"/>
    <w:rsid w:val="00DF06F7"/>
    <w:rsid w:val="00E05A43"/>
    <w:rsid w:val="00E109B3"/>
    <w:rsid w:val="00E1163B"/>
    <w:rsid w:val="00E27ED9"/>
    <w:rsid w:val="00E346FB"/>
    <w:rsid w:val="00E72BC1"/>
    <w:rsid w:val="00E74598"/>
    <w:rsid w:val="00E8310A"/>
    <w:rsid w:val="00E938E4"/>
    <w:rsid w:val="00EA2098"/>
    <w:rsid w:val="00EA23D0"/>
    <w:rsid w:val="00EC0779"/>
    <w:rsid w:val="00EC5B04"/>
    <w:rsid w:val="00EE2975"/>
    <w:rsid w:val="00EF0641"/>
    <w:rsid w:val="00F06518"/>
    <w:rsid w:val="00F26AB0"/>
    <w:rsid w:val="00F542D2"/>
    <w:rsid w:val="00F7303A"/>
    <w:rsid w:val="00F73F14"/>
    <w:rsid w:val="00F8093C"/>
    <w:rsid w:val="00F814C4"/>
    <w:rsid w:val="00F81DE0"/>
    <w:rsid w:val="00F845B0"/>
    <w:rsid w:val="00F84783"/>
    <w:rsid w:val="00F932F8"/>
    <w:rsid w:val="00FA048A"/>
    <w:rsid w:val="00FA097A"/>
    <w:rsid w:val="00FA0D1E"/>
    <w:rsid w:val="00FA4D79"/>
    <w:rsid w:val="00FB1FD4"/>
    <w:rsid w:val="00FC346E"/>
    <w:rsid w:val="00FC38F8"/>
    <w:rsid w:val="00FD0DDA"/>
    <w:rsid w:val="00FD5FB1"/>
    <w:rsid w:val="00FE64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4B3AF5"/>
    <w:rPr>
      <w:rFonts w:ascii="Times New Roman" w:hAnsi="Times New Roman" w:cs="Times New Roman"/>
      <w:sz w:val="24"/>
      <w:lang w:val="ro-RO"/>
    </w:rPr>
  </w:style>
  <w:style w:type="character" w:customStyle="1" w:styleId="FooterChar">
    <w:name w:val="Footer Char"/>
    <w:basedOn w:val="DefaultParagraphFont"/>
    <w:link w:val="Footer"/>
    <w:uiPriority w:val="99"/>
    <w:rsid w:val="004B3AF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B3AF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B3AF5"/>
    <w:pPr>
      <w:spacing w:before="0"/>
      <w:jc w:val="right"/>
    </w:pPr>
    <w:rPr>
      <w:sz w:val="28"/>
    </w:rPr>
  </w:style>
  <w:style w:type="paragraph" w:customStyle="1" w:styleId="FooterSensitivity">
    <w:name w:val="Footer Sensitivity"/>
    <w:basedOn w:val="Normal"/>
    <w:rsid w:val="004B3AF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B3AF5"/>
    <w:pPr>
      <w:tabs>
        <w:tab w:val="center" w:pos="4535"/>
        <w:tab w:val="right" w:pos="9071"/>
      </w:tabs>
      <w:spacing w:before="0"/>
    </w:pPr>
  </w:style>
  <w:style w:type="paragraph" w:customStyle="1" w:styleId="HeaderLandscape">
    <w:name w:val="HeaderLandscape"/>
    <w:basedOn w:val="Normal"/>
    <w:rsid w:val="004B3AF5"/>
    <w:pPr>
      <w:tabs>
        <w:tab w:val="center" w:pos="7285"/>
        <w:tab w:val="right" w:pos="14003"/>
      </w:tabs>
      <w:spacing w:before="0"/>
    </w:pPr>
  </w:style>
  <w:style w:type="paragraph" w:styleId="Footer">
    <w:name w:val="footer"/>
    <w:basedOn w:val="Normal"/>
    <w:link w:val="FooterChar"/>
    <w:uiPriority w:val="99"/>
    <w:unhideWhenUsed/>
    <w:rsid w:val="004B3AF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B3AF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bestat.statbel.fgov.be/bestat/crosstable.xhtml?view=4beb6e55-ffd5-471e-a8ba-094d942559ac" TargetMode="External"/><Relationship Id="rId2" Type="http://schemas.openxmlformats.org/officeDocument/2006/relationships/hyperlink" Target="https://provincies.incijfers.be/databank?workspace_guid=5ab494ca-f0d6-4b99-a9fd-2595a4e67d0b" TargetMode="External"/><Relationship Id="rId1" Type="http://schemas.openxmlformats.org/officeDocument/2006/relationships/hyperlink" Target="https://bestat.statbel.fgov.be/bestat/crosstable.xhtml?view=bf348576-546f-4008-8a02-48c1736adc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E5FAB-7A7E-4BCC-B195-0252BD7DD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12</Pages>
  <Words>3872</Words>
  <Characters>22077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2026-01-05T15:36:00Z</dcterms:created>
  <dcterms:modified xsi:type="dcterms:W3CDTF">2026-01-14T11:10:00Z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