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1E1988" w14:textId="4685516C" w:rsidR="001C7535" w:rsidRPr="00B956B7" w:rsidRDefault="0050757C" w:rsidP="0050757C">
      <w:pPr>
        <w:pStyle w:val="Pagedecouverture"/>
        <w:rPr>
          <w:noProof/>
        </w:rPr>
      </w:pPr>
      <w:r>
        <w:rPr>
          <w:noProof/>
        </w:rPr>
        <w:pict w14:anchorId="3C1FA2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6FE2293-6156-481E-A5FC-63DEEAB7348F" style="width:455.25pt;height:330.75pt">
            <v:imagedata r:id="rId8" o:title=""/>
          </v:shape>
        </w:pict>
      </w:r>
    </w:p>
    <w:p w14:paraId="51C65198" w14:textId="77777777" w:rsidR="001C7535" w:rsidRPr="00B956B7" w:rsidRDefault="001C7535" w:rsidP="001C7535">
      <w:pPr>
        <w:rPr>
          <w:noProof/>
        </w:rPr>
        <w:sectPr w:rsidR="001C7535" w:rsidRPr="00B956B7" w:rsidSect="0050757C">
          <w:footerReference w:type="even" r:id="rId9"/>
          <w:footerReference w:type="default" r:id="rId10"/>
          <w:pgSz w:w="11907" w:h="16839"/>
          <w:pgMar w:top="1134" w:right="1417" w:bottom="1134" w:left="1417" w:header="709" w:footer="709" w:gutter="0"/>
          <w:pgNumType w:start="0"/>
          <w:cols w:space="720"/>
          <w:docGrid w:linePitch="360"/>
        </w:sectPr>
      </w:pPr>
    </w:p>
    <w:p w14:paraId="4035103B" w14:textId="42263C5A" w:rsidR="001C7535" w:rsidRPr="00B956B7" w:rsidRDefault="00B956B7" w:rsidP="00B956B7">
      <w:pPr>
        <w:pStyle w:val="Statut"/>
        <w:rPr>
          <w:noProof/>
        </w:rPr>
      </w:pPr>
      <w:bookmarkStart w:id="0" w:name="_GoBack"/>
      <w:bookmarkEnd w:id="0"/>
      <w:r w:rsidRPr="00B956B7">
        <w:rPr>
          <w:noProof/>
        </w:rPr>
        <w:lastRenderedPageBreak/>
        <w:t>Recomandare de</w:t>
      </w:r>
    </w:p>
    <w:p w14:paraId="4EBC835F" w14:textId="4BBEE852" w:rsidR="001C7535" w:rsidRPr="00B956B7" w:rsidRDefault="00B956B7" w:rsidP="00B956B7">
      <w:pPr>
        <w:pStyle w:val="Typedudocument"/>
        <w:rPr>
          <w:noProof/>
        </w:rPr>
      </w:pPr>
      <w:r w:rsidRPr="00B956B7">
        <w:rPr>
          <w:noProof/>
        </w:rPr>
        <w:t>RECOMANDARE A CONSILIULUI</w:t>
      </w:r>
    </w:p>
    <w:p w14:paraId="3108A87B" w14:textId="2F34E1B7" w:rsidR="00906C36" w:rsidRPr="00B956B7" w:rsidRDefault="00B956B7" w:rsidP="00B956B7">
      <w:pPr>
        <w:pStyle w:val="Titreobjet"/>
        <w:rPr>
          <w:noProof/>
        </w:rPr>
      </w:pPr>
      <w:r w:rsidRPr="00B956B7">
        <w:rPr>
          <w:noProof/>
        </w:rPr>
        <w:t>privind politicile economice, sociale, de ocupare a forței de muncă, structurale și bugetare ale Danemarcei</w:t>
      </w:r>
    </w:p>
    <w:p w14:paraId="34344FC6" w14:textId="77777777" w:rsidR="001C7535" w:rsidRPr="00B956B7" w:rsidRDefault="001C7535" w:rsidP="00CE7F40">
      <w:pPr>
        <w:pStyle w:val="Institutionquiagit"/>
        <w:rPr>
          <w:noProof/>
        </w:rPr>
      </w:pPr>
      <w:bookmarkStart w:id="1" w:name="_Hlk230725309"/>
      <w:r w:rsidRPr="00B956B7">
        <w:rPr>
          <w:noProof/>
        </w:rPr>
        <w:t>CONSILIUL UNIUNII EUROPENE,</w:t>
      </w:r>
    </w:p>
    <w:bookmarkEnd w:id="1"/>
    <w:p w14:paraId="55E537A5" w14:textId="77777777" w:rsidR="001C7535" w:rsidRPr="00B956B7" w:rsidRDefault="001C7535" w:rsidP="001C7535">
      <w:pPr>
        <w:pBdr>
          <w:top w:val="nil"/>
          <w:left w:val="nil"/>
          <w:bottom w:val="nil"/>
          <w:right w:val="nil"/>
          <w:between w:val="nil"/>
          <w:bar w:val="nil"/>
        </w:pBdr>
        <w:rPr>
          <w:rFonts w:eastAsia="Arial Unicode MS" w:cs="Arial Unicode MS"/>
          <w:noProof/>
          <w:color w:val="000000"/>
          <w:szCs w:val="24"/>
          <w:u w:color="000000"/>
          <w:bdr w:val="nil"/>
          <w14:textOutline w14:w="0" w14:cap="flat" w14:cmpd="sng" w14:algn="ctr">
            <w14:noFill/>
            <w14:prstDash w14:val="solid"/>
            <w14:bevel/>
          </w14:textOutline>
        </w:rPr>
      </w:pPr>
      <w:r w:rsidRPr="00B956B7">
        <w:rPr>
          <w:noProof/>
          <w:color w:val="000000"/>
          <w:u w:color="000000"/>
          <w:bdr w:val="nil"/>
          <w14:textOutline w14:w="0" w14:cap="flat" w14:cmpd="sng" w14:algn="ctr">
            <w14:noFill/>
            <w14:prstDash w14:val="solid"/>
            <w14:bevel/>
          </w14:textOutline>
        </w:rPr>
        <w:t>având în vedere Tratatul privind funcționarea Uniunii Europene, în special articolul 121 alineatul (2) și articolul 148 alineatul (4),</w:t>
      </w:r>
    </w:p>
    <w:p w14:paraId="5594912D" w14:textId="77777777" w:rsidR="001C7535" w:rsidRPr="00B956B7" w:rsidRDefault="001C7535" w:rsidP="001C7535">
      <w:pPr>
        <w:pBdr>
          <w:top w:val="nil"/>
          <w:left w:val="nil"/>
          <w:bottom w:val="nil"/>
          <w:right w:val="nil"/>
          <w:between w:val="nil"/>
          <w:bar w:val="nil"/>
        </w:pBdr>
        <w:rPr>
          <w:rFonts w:eastAsia="Arial Unicode MS" w:cs="Arial Unicode MS"/>
          <w:noProof/>
          <w:color w:val="000000"/>
          <w:szCs w:val="24"/>
          <w:u w:color="000000"/>
          <w:bdr w:val="nil"/>
          <w14:textOutline w14:w="0" w14:cap="flat" w14:cmpd="sng" w14:algn="ctr">
            <w14:noFill/>
            <w14:prstDash w14:val="solid"/>
            <w14:bevel/>
          </w14:textOutline>
        </w:rPr>
      </w:pPr>
      <w:r w:rsidRPr="00B956B7">
        <w:rPr>
          <w:noProof/>
          <w:color w:val="000000"/>
          <w:u w:color="000000"/>
          <w:bdr w:val="nil"/>
          <w14:textOutline w14:w="0" w14:cap="flat" w14:cmpd="sng" w14:algn="ctr">
            <w14:noFill/>
            <w14:prstDash w14:val="solid"/>
            <w14:bevel/>
          </w14:textOutline>
        </w:rPr>
        <w:t>având în vedere Regulamentul (UE) 2024/1263</w:t>
      </w:r>
      <w:r w:rsidRPr="00B956B7">
        <w:rPr>
          <w:rFonts w:ascii="Segoe UI" w:hAnsi="Segoe UI"/>
          <w:noProof/>
          <w:color w:val="000000"/>
          <w:sz w:val="18"/>
          <w:u w:color="000000"/>
          <w:bdr w:val="nil"/>
          <w14:textOutline w14:w="0" w14:cap="flat" w14:cmpd="sng" w14:algn="ctr">
            <w14:noFill/>
            <w14:prstDash w14:val="solid"/>
            <w14:bevel/>
          </w14:textOutline>
        </w:rPr>
        <w:t xml:space="preserve"> </w:t>
      </w:r>
      <w:r w:rsidRPr="00B956B7">
        <w:rPr>
          <w:noProof/>
          <w:color w:val="000000"/>
          <w:u w:color="000000"/>
          <w:bdr w:val="nil"/>
          <w14:textOutline w14:w="0" w14:cap="flat" w14:cmpd="sng" w14:algn="ctr">
            <w14:noFill/>
            <w14:prstDash w14:val="solid"/>
            <w14:bevel/>
          </w14:textOutline>
        </w:rPr>
        <w:t>al Parlamentului European și al Consiliului din 29 aprilie 2024 privind coordonarea eficientă a politicilor economice și supravegherea bugetară multilaterală și de abrogare a Regulamentului (CE) nr. 1466/97 al Consiliului (</w:t>
      </w:r>
      <w:r w:rsidRPr="00B956B7">
        <w:rPr>
          <w:rStyle w:val="FootnoteReference"/>
          <w:noProof/>
        </w:rPr>
        <w:footnoteReference w:id="1"/>
      </w:r>
      <w:r w:rsidRPr="00B956B7">
        <w:rPr>
          <w:noProof/>
          <w:color w:val="000000"/>
          <w:u w:color="000000"/>
          <w:bdr w:val="nil"/>
          <w14:textOutline w14:w="0" w14:cap="flat" w14:cmpd="sng" w14:algn="ctr">
            <w14:noFill/>
            <w14:prstDash w14:val="solid"/>
            <w14:bevel/>
          </w14:textOutline>
        </w:rPr>
        <w:t>), în special articolul 3 alineatul (3),</w:t>
      </w:r>
    </w:p>
    <w:p w14:paraId="3F925C31" w14:textId="77777777" w:rsidR="001C7535" w:rsidRPr="00B956B7" w:rsidRDefault="001C7535" w:rsidP="001C7535">
      <w:pPr>
        <w:pBdr>
          <w:top w:val="nil"/>
          <w:left w:val="nil"/>
          <w:bottom w:val="nil"/>
          <w:right w:val="nil"/>
          <w:between w:val="nil"/>
          <w:bar w:val="nil"/>
        </w:pBdr>
        <w:rPr>
          <w:rFonts w:eastAsia="Arial Unicode MS" w:cs="Arial Unicode MS"/>
          <w:noProof/>
          <w:color w:val="000000"/>
          <w:szCs w:val="24"/>
          <w:u w:color="000000"/>
          <w:bdr w:val="nil"/>
          <w14:textOutline w14:w="0" w14:cap="flat" w14:cmpd="sng" w14:algn="ctr">
            <w14:noFill/>
            <w14:prstDash w14:val="solid"/>
            <w14:bevel/>
          </w14:textOutline>
        </w:rPr>
      </w:pPr>
      <w:r w:rsidRPr="00B956B7">
        <w:rPr>
          <w:noProof/>
          <w:color w:val="000000"/>
          <w:u w:color="000000"/>
          <w:bdr w:val="nil"/>
          <w14:textOutline w14:w="0" w14:cap="flat" w14:cmpd="sng" w14:algn="ctr">
            <w14:noFill/>
            <w14:prstDash w14:val="solid"/>
            <w14:bevel/>
          </w14:textOutline>
        </w:rPr>
        <w:t>având în vedere recomandarea Comisiei Europene,</w:t>
      </w:r>
    </w:p>
    <w:p w14:paraId="6CE78C67" w14:textId="77777777" w:rsidR="001C7535" w:rsidRPr="00B956B7" w:rsidRDefault="001C7535" w:rsidP="001C7535">
      <w:pPr>
        <w:pBdr>
          <w:top w:val="nil"/>
          <w:left w:val="nil"/>
          <w:bottom w:val="nil"/>
          <w:right w:val="nil"/>
          <w:between w:val="nil"/>
          <w:bar w:val="nil"/>
        </w:pBdr>
        <w:rPr>
          <w:rFonts w:eastAsia="Arial Unicode MS" w:cs="Arial Unicode MS"/>
          <w:noProof/>
          <w:color w:val="000000"/>
          <w:szCs w:val="24"/>
          <w:u w:color="000000"/>
          <w:bdr w:val="nil"/>
          <w14:textOutline w14:w="0" w14:cap="flat" w14:cmpd="sng" w14:algn="ctr">
            <w14:noFill/>
            <w14:prstDash w14:val="solid"/>
            <w14:bevel/>
          </w14:textOutline>
        </w:rPr>
      </w:pPr>
      <w:r w:rsidRPr="00B956B7">
        <w:rPr>
          <w:noProof/>
          <w:color w:val="000000"/>
          <w:u w:color="000000"/>
          <w:bdr w:val="nil"/>
          <w14:textOutline w14:w="0" w14:cap="flat" w14:cmpd="sng" w14:algn="ctr">
            <w14:noFill/>
            <w14:prstDash w14:val="solid"/>
            <w14:bevel/>
          </w14:textOutline>
        </w:rPr>
        <w:t>având în vedere rezoluțiile Parlamentului European,</w:t>
      </w:r>
    </w:p>
    <w:p w14:paraId="0A024C00" w14:textId="77777777" w:rsidR="001C7535" w:rsidRPr="00B956B7" w:rsidRDefault="001C7535" w:rsidP="001C7535">
      <w:pPr>
        <w:pBdr>
          <w:top w:val="nil"/>
          <w:left w:val="nil"/>
          <w:bottom w:val="nil"/>
          <w:right w:val="nil"/>
          <w:between w:val="nil"/>
          <w:bar w:val="nil"/>
        </w:pBdr>
        <w:outlineLvl w:val="0"/>
        <w:rPr>
          <w:rFonts w:eastAsia="Arial Unicode MS" w:cs="Arial Unicode MS"/>
          <w:noProof/>
          <w:color w:val="000000"/>
          <w:szCs w:val="24"/>
          <w:u w:color="000000"/>
          <w:bdr w:val="nil"/>
          <w14:textOutline w14:w="0" w14:cap="flat" w14:cmpd="sng" w14:algn="ctr">
            <w14:noFill/>
            <w14:prstDash w14:val="solid"/>
            <w14:bevel/>
          </w14:textOutline>
        </w:rPr>
      </w:pPr>
      <w:r w:rsidRPr="00B956B7">
        <w:rPr>
          <w:noProof/>
          <w:color w:val="000000"/>
          <w:u w:color="000000"/>
          <w:bdr w:val="nil"/>
          <w14:textOutline w14:w="0" w14:cap="flat" w14:cmpd="sng" w14:algn="ctr">
            <w14:noFill/>
            <w14:prstDash w14:val="solid"/>
            <w14:bevel/>
          </w14:textOutline>
        </w:rPr>
        <w:t>având în vedere concluziile Consiliului European,</w:t>
      </w:r>
    </w:p>
    <w:p w14:paraId="152A43CA" w14:textId="77777777" w:rsidR="001C7535" w:rsidRPr="00B956B7" w:rsidRDefault="001C7535" w:rsidP="001C7535">
      <w:pPr>
        <w:pBdr>
          <w:top w:val="nil"/>
          <w:left w:val="nil"/>
          <w:bottom w:val="nil"/>
          <w:right w:val="nil"/>
          <w:between w:val="nil"/>
          <w:bar w:val="nil"/>
        </w:pBdr>
        <w:rPr>
          <w:rFonts w:eastAsia="Arial Unicode MS" w:cs="Arial Unicode MS"/>
          <w:noProof/>
          <w:color w:val="000000"/>
          <w:szCs w:val="24"/>
          <w:u w:color="000000"/>
          <w:bdr w:val="nil"/>
          <w14:textOutline w14:w="0" w14:cap="flat" w14:cmpd="sng" w14:algn="ctr">
            <w14:noFill/>
            <w14:prstDash w14:val="solid"/>
            <w14:bevel/>
          </w14:textOutline>
        </w:rPr>
      </w:pPr>
      <w:r w:rsidRPr="00B956B7">
        <w:rPr>
          <w:noProof/>
          <w:color w:val="000000"/>
          <w:u w:color="000000"/>
          <w:bdr w:val="nil"/>
          <w14:textOutline w14:w="0" w14:cap="flat" w14:cmpd="sng" w14:algn="ctr">
            <w14:noFill/>
            <w14:prstDash w14:val="solid"/>
            <w14:bevel/>
          </w14:textOutline>
        </w:rPr>
        <w:t>având în vedere avizul Comitetului pentru ocuparea forței de muncă,</w:t>
      </w:r>
    </w:p>
    <w:p w14:paraId="1177612C" w14:textId="77777777" w:rsidR="001C7535" w:rsidRPr="00B956B7" w:rsidRDefault="001C7535" w:rsidP="001C7535">
      <w:pPr>
        <w:pBdr>
          <w:top w:val="nil"/>
          <w:left w:val="nil"/>
          <w:bottom w:val="nil"/>
          <w:right w:val="nil"/>
          <w:between w:val="nil"/>
          <w:bar w:val="nil"/>
        </w:pBdr>
        <w:rPr>
          <w:rFonts w:eastAsia="Arial Unicode MS" w:cs="Arial Unicode MS"/>
          <w:noProof/>
          <w:color w:val="000000"/>
          <w:szCs w:val="24"/>
          <w:u w:color="000000"/>
          <w:bdr w:val="nil"/>
          <w14:textOutline w14:w="0" w14:cap="flat" w14:cmpd="sng" w14:algn="ctr">
            <w14:noFill/>
            <w14:prstDash w14:val="solid"/>
            <w14:bevel/>
          </w14:textOutline>
        </w:rPr>
      </w:pPr>
      <w:r w:rsidRPr="00B956B7">
        <w:rPr>
          <w:noProof/>
          <w:color w:val="000000"/>
          <w:u w:color="000000"/>
          <w:bdr w:val="nil"/>
          <w14:textOutline w14:w="0" w14:cap="flat" w14:cmpd="sng" w14:algn="ctr">
            <w14:noFill/>
            <w14:prstDash w14:val="solid"/>
            <w14:bevel/>
          </w14:textOutline>
        </w:rPr>
        <w:t>având în vedere avizul Comitetului economic și financiar,</w:t>
      </w:r>
    </w:p>
    <w:p w14:paraId="2BD77EB9" w14:textId="77777777" w:rsidR="001C7535" w:rsidRPr="00B956B7" w:rsidRDefault="001C7535" w:rsidP="001C7535">
      <w:pPr>
        <w:pBdr>
          <w:top w:val="nil"/>
          <w:left w:val="nil"/>
          <w:bottom w:val="nil"/>
          <w:right w:val="nil"/>
          <w:between w:val="nil"/>
          <w:bar w:val="nil"/>
        </w:pBdr>
        <w:rPr>
          <w:rFonts w:eastAsia="Arial Unicode MS" w:cs="Arial Unicode MS"/>
          <w:noProof/>
          <w:color w:val="000000"/>
          <w:szCs w:val="24"/>
          <w:u w:color="000000"/>
          <w:bdr w:val="nil"/>
          <w14:textOutline w14:w="0" w14:cap="flat" w14:cmpd="sng" w14:algn="ctr">
            <w14:noFill/>
            <w14:prstDash w14:val="solid"/>
            <w14:bevel/>
          </w14:textOutline>
        </w:rPr>
      </w:pPr>
      <w:r w:rsidRPr="00B956B7">
        <w:rPr>
          <w:noProof/>
          <w:color w:val="000000"/>
          <w:u w:color="000000"/>
          <w:bdr w:val="nil"/>
          <w14:textOutline w14:w="0" w14:cap="flat" w14:cmpd="sng" w14:algn="ctr">
            <w14:noFill/>
            <w14:prstDash w14:val="solid"/>
            <w14:bevel/>
          </w14:textOutline>
        </w:rPr>
        <w:t>având în vedere avizul Comitetului pentru protecție socială,</w:t>
      </w:r>
    </w:p>
    <w:p w14:paraId="0525395B" w14:textId="77777777" w:rsidR="001C7535" w:rsidRPr="00B956B7" w:rsidRDefault="001C7535" w:rsidP="001C7535">
      <w:pPr>
        <w:pBdr>
          <w:top w:val="nil"/>
          <w:left w:val="nil"/>
          <w:bottom w:val="nil"/>
          <w:right w:val="nil"/>
          <w:between w:val="nil"/>
          <w:bar w:val="nil"/>
        </w:pBdr>
        <w:rPr>
          <w:rFonts w:eastAsia="Arial Unicode MS" w:cs="Arial Unicode MS"/>
          <w:noProof/>
          <w:color w:val="000000"/>
          <w:szCs w:val="24"/>
          <w:u w:color="000000"/>
          <w:bdr w:val="nil"/>
          <w14:textOutline w14:w="0" w14:cap="flat" w14:cmpd="sng" w14:algn="ctr">
            <w14:noFill/>
            <w14:prstDash w14:val="solid"/>
            <w14:bevel/>
          </w14:textOutline>
        </w:rPr>
      </w:pPr>
      <w:r w:rsidRPr="00B956B7">
        <w:rPr>
          <w:noProof/>
          <w:color w:val="000000"/>
          <w:u w:color="000000"/>
          <w:bdr w:val="nil"/>
          <w14:textOutline w14:w="0" w14:cap="flat" w14:cmpd="sng" w14:algn="ctr">
            <w14:noFill/>
            <w14:prstDash w14:val="solid"/>
            <w14:bevel/>
          </w14:textOutline>
        </w:rPr>
        <w:t>având în vedere avizul Comitetului pentru politică economică,</w:t>
      </w:r>
    </w:p>
    <w:p w14:paraId="001609BE" w14:textId="77777777" w:rsidR="001C7535" w:rsidRPr="00B956B7" w:rsidRDefault="001C7535" w:rsidP="001C7535">
      <w:pPr>
        <w:pBdr>
          <w:top w:val="nil"/>
          <w:left w:val="nil"/>
          <w:bottom w:val="nil"/>
          <w:right w:val="nil"/>
          <w:between w:val="nil"/>
          <w:bar w:val="nil"/>
        </w:pBdr>
        <w:rPr>
          <w:rFonts w:eastAsia="Arial Unicode MS" w:cs="Arial Unicode MS"/>
          <w:noProof/>
          <w:color w:val="000000"/>
          <w:szCs w:val="24"/>
          <w:u w:color="000000"/>
          <w:bdr w:val="nil"/>
          <w14:textOutline w14:w="0" w14:cap="flat" w14:cmpd="sng" w14:algn="ctr">
            <w14:noFill/>
            <w14:prstDash w14:val="solid"/>
            <w14:bevel/>
          </w14:textOutline>
        </w:rPr>
      </w:pPr>
      <w:r w:rsidRPr="00B956B7">
        <w:rPr>
          <w:noProof/>
          <w:color w:val="000000"/>
          <w:u w:color="000000"/>
          <w:bdr w:val="nil"/>
          <w14:textOutline w14:w="0" w14:cap="flat" w14:cmpd="sng" w14:algn="ctr">
            <w14:noFill/>
            <w14:prstDash w14:val="solid"/>
            <w14:bevel/>
          </w14:textOutline>
        </w:rPr>
        <w:t>întrucât:</w:t>
      </w:r>
    </w:p>
    <w:p w14:paraId="68805B8B" w14:textId="77777777" w:rsidR="001C7535" w:rsidRPr="00B956B7" w:rsidRDefault="001C7535" w:rsidP="0036570C">
      <w:pPr>
        <w:pStyle w:val="ManualConsidrant"/>
        <w:pBdr>
          <w:top w:val="nil"/>
          <w:left w:val="nil"/>
          <w:bottom w:val="nil"/>
          <w:right w:val="nil"/>
          <w:between w:val="nil"/>
          <w:bar w:val="nil"/>
        </w:pBdr>
        <w:tabs>
          <w:tab w:val="left" w:pos="709"/>
        </w:tabs>
        <w:rPr>
          <w:noProof/>
        </w:rPr>
      </w:pPr>
      <w:r>
        <w:rPr>
          <w:noProof/>
        </w:rPr>
        <w:t>(1)</w:t>
      </w:r>
      <w:r>
        <w:rPr>
          <w:noProof/>
        </w:rPr>
        <w:tab/>
      </w:r>
      <w:r w:rsidRPr="00B956B7">
        <w:rPr>
          <w:noProof/>
        </w:rPr>
        <w:t>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w:t>
      </w:r>
    </w:p>
    <w:p w14:paraId="1F44D311" w14:textId="77777777" w:rsidR="001C7535" w:rsidRPr="00B956B7" w:rsidRDefault="001C7535" w:rsidP="0036570C">
      <w:pPr>
        <w:pStyle w:val="ManualConsidrant"/>
        <w:pBdr>
          <w:top w:val="nil"/>
          <w:left w:val="nil"/>
          <w:bottom w:val="nil"/>
          <w:right w:val="nil"/>
          <w:between w:val="nil"/>
          <w:bar w:val="nil"/>
        </w:pBdr>
        <w:tabs>
          <w:tab w:val="left" w:pos="709"/>
        </w:tabs>
        <w:rPr>
          <w:noProof/>
        </w:rPr>
      </w:pPr>
      <w:r>
        <w:rPr>
          <w:noProof/>
        </w:rPr>
        <w:t>(2)</w:t>
      </w:r>
      <w:r>
        <w:rPr>
          <w:noProof/>
        </w:rPr>
        <w:tab/>
      </w:r>
      <w:r w:rsidRPr="00B956B7">
        <w:rPr>
          <w:noProof/>
        </w:rPr>
        <w:t>La 16 iulie 2025, Comisia a adoptat propunerea de regulament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w:t>
      </w:r>
      <w:r w:rsidRPr="00B956B7">
        <w:rPr>
          <w:rStyle w:val="FootnoteReference"/>
          <w:noProof/>
        </w:rPr>
        <w:footnoteReference w:id="2"/>
      </w:r>
      <w:r w:rsidRPr="00B956B7">
        <w:rPr>
          <w:noProof/>
        </w:rPr>
        <w:t>). Propunerea urmărește să sporească eficacitatea finanțării din partea Uniunii prin reducerea fragmentării arhitecturii financiare și să sprijine statele membre în coordonarea politicii lor economice în concordanță cu articolul 175 din TFUE.</w:t>
      </w:r>
    </w:p>
    <w:p w14:paraId="2E62060C" w14:textId="77777777" w:rsidR="001C7535" w:rsidRPr="00B956B7" w:rsidRDefault="001C7535" w:rsidP="0036570C">
      <w:pPr>
        <w:pStyle w:val="ManualConsidrant"/>
        <w:pBdr>
          <w:top w:val="nil"/>
          <w:left w:val="nil"/>
          <w:bottom w:val="nil"/>
          <w:right w:val="nil"/>
          <w:between w:val="nil"/>
          <w:bar w:val="nil"/>
        </w:pBdr>
        <w:tabs>
          <w:tab w:val="left" w:pos="709"/>
        </w:tabs>
        <w:rPr>
          <w:noProof/>
        </w:rPr>
      </w:pPr>
      <w:r>
        <w:rPr>
          <w:noProof/>
        </w:rPr>
        <w:t>(3)</w:t>
      </w:r>
      <w:r>
        <w:rPr>
          <w:noProof/>
        </w:rPr>
        <w:tab/>
      </w:r>
      <w:r w:rsidRPr="00B956B7">
        <w:rPr>
          <w:noProof/>
        </w:rPr>
        <w:t>La 25 noiembrie 2025, Comisia a adoptat, pe baza Regulamentului (UE) nr. 1176/2011, Raportul privind mecanismul de alertă 2026, în care nu a identificat Danemarca printre statele membre pentru care ar fi necesar un bilanț aprofundat. Comisia a adoptat, de asemenea, o recomandare de recomandare a Consiliului privind politica economică a zonei euro,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 (</w:t>
      </w:r>
      <w:r w:rsidRPr="00B956B7">
        <w:rPr>
          <w:rStyle w:val="FootnoteReference"/>
          <w:noProof/>
        </w:rPr>
        <w:footnoteReference w:id="3"/>
      </w:r>
      <w:r w:rsidRPr="00B956B7">
        <w:rPr>
          <w:noProof/>
        </w:rPr>
        <w:t xml:space="preserve">) la 21 aprilie 2026 și Raportul comun privind ocuparea forței de muncă și Recomandarea privind capitalul uman la 9 martie 2026. </w:t>
      </w:r>
    </w:p>
    <w:p w14:paraId="018ED028" w14:textId="77777777" w:rsidR="001C7535" w:rsidRPr="00B956B7" w:rsidRDefault="001C7535" w:rsidP="0036570C">
      <w:pPr>
        <w:pStyle w:val="ManualConsidrant"/>
        <w:pBdr>
          <w:top w:val="nil"/>
          <w:left w:val="nil"/>
          <w:bottom w:val="nil"/>
          <w:right w:val="nil"/>
          <w:between w:val="nil"/>
          <w:bar w:val="nil"/>
        </w:pBdr>
        <w:tabs>
          <w:tab w:val="left" w:pos="709"/>
        </w:tabs>
        <w:rPr>
          <w:noProof/>
        </w:rPr>
      </w:pPr>
      <w:r>
        <w:rPr>
          <w:noProof/>
        </w:rPr>
        <w:t>(4)</w:t>
      </w:r>
      <w:r>
        <w:rPr>
          <w:noProof/>
        </w:rPr>
        <w:tab/>
      </w:r>
      <w:r w:rsidRPr="00B956B7">
        <w:rPr>
          <w:noProof/>
        </w:rPr>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5ED4412E" w14:textId="77777777" w:rsidR="001C7535" w:rsidRPr="00B956B7" w:rsidRDefault="001C7535" w:rsidP="0036570C">
      <w:pPr>
        <w:pStyle w:val="ManualConsidrant"/>
        <w:pBdr>
          <w:top w:val="nil"/>
          <w:left w:val="nil"/>
          <w:bottom w:val="nil"/>
          <w:right w:val="nil"/>
          <w:between w:val="nil"/>
          <w:bar w:val="nil"/>
        </w:pBdr>
        <w:tabs>
          <w:tab w:val="left" w:pos="709"/>
        </w:tabs>
        <w:rPr>
          <w:noProof/>
        </w:rPr>
      </w:pPr>
      <w:r>
        <w:rPr>
          <w:noProof/>
        </w:rPr>
        <w:t>(5)</w:t>
      </w:r>
      <w:r>
        <w:rPr>
          <w:noProof/>
        </w:rPr>
        <w:tab/>
      </w:r>
      <w:r w:rsidRPr="00B956B7">
        <w:rPr>
          <w:noProof/>
        </w:rPr>
        <w:t>În 2026, semestrul european pentru coordonarea politicilor economice continuă să se desfășoare în paralel cu etapa finală a punerii în aplicare a Mecanismului de redresare și reziliență (MRR) (</w:t>
      </w:r>
      <w:r w:rsidRPr="00B956B7">
        <w:rPr>
          <w:rStyle w:val="FootnoteReference"/>
          <w:noProof/>
        </w:rPr>
        <w:footnoteReference w:id="4"/>
      </w:r>
      <w:r w:rsidRPr="00B956B7">
        <w:rPr>
          <w:noProof/>
        </w:rPr>
        <w:t>).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0FD579D3" w14:textId="77777777" w:rsidR="001C7535" w:rsidRPr="00B956B7" w:rsidRDefault="001C7535" w:rsidP="0036570C">
      <w:pPr>
        <w:pStyle w:val="ManualConsidrant"/>
        <w:pBdr>
          <w:top w:val="nil"/>
          <w:left w:val="nil"/>
          <w:bottom w:val="nil"/>
          <w:right w:val="nil"/>
          <w:between w:val="nil"/>
          <w:bar w:val="nil"/>
        </w:pBdr>
        <w:tabs>
          <w:tab w:val="left" w:pos="709"/>
        </w:tabs>
        <w:rPr>
          <w:noProof/>
        </w:rPr>
      </w:pPr>
      <w:r>
        <w:rPr>
          <w:noProof/>
        </w:rPr>
        <w:t>(6)</w:t>
      </w:r>
      <w:r>
        <w:rPr>
          <w:noProof/>
        </w:rPr>
        <w:tab/>
      </w:r>
      <w:r w:rsidRPr="00B956B7">
        <w:rPr>
          <w:noProof/>
        </w:rPr>
        <w:t xml:space="preserve">La 3 iunie 2026, Comisia a publicat raportul de țară din 2026 pentru Danemarca. În acesta, s-au evaluat progresele realizate de Danemarca în ceea ce privește punerea în aplicare a recomandărilor relevante specifice acestei țări și s-a făcut bilanțul implementării de către Danemarca a PNRR. Pe baza analizei respective, raportul de țară a identificat cele mai presante provocări cu care se confruntă Danemarca. De asemenea, raportul de țară a evaluat progresele realizate de Danemarca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 </w:t>
      </w:r>
    </w:p>
    <w:p w14:paraId="0BAF591D" w14:textId="5ED746B4" w:rsidR="001C7535" w:rsidRPr="00B956B7"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(7)</w:t>
      </w:r>
      <w:r>
        <w:rPr>
          <w:noProof/>
        </w:rPr>
        <w:tab/>
      </w:r>
      <w:r w:rsidRPr="00B956B7">
        <w:rPr>
          <w:noProof/>
        </w:rPr>
        <w:t>La 21 ianuarie 2025, Consiliul a adoptat, la recomandarea Comisiei, o recomandare de aprobare a planului bugetar-structural național pe termen mediu al Danemarcei (</w:t>
      </w:r>
      <w:r w:rsidRPr="00B956B7">
        <w:rPr>
          <w:rStyle w:val="FootnoteReference"/>
          <w:noProof/>
        </w:rPr>
        <w:footnoteReference w:id="5"/>
      </w:r>
      <w:r w:rsidRPr="00B956B7">
        <w:rPr>
          <w:noProof/>
        </w:rPr>
        <w:t>). Planul acoperă perioada 2025-2028 și stabilește o constrângere bugetară sub forma unei rate maxime de creștere a cheltuielilor nete pe o perioadă de patru ani. Consiliul a recomandat următoarele rate maxime de creștere a cheltuielilor nete: 5,0 % în 2025, 5,7 % în 2026, 3,8 % în 2027 și 2,9 % în 2028, ceea ce corespunde ratelor maxime de creștere cumulate calculate prin raportare la anul de bază 2023 de 12,6 % în 2025, 18,9 % în 2026, 23,5 % în 2027 și 27,1 % în 2028.</w:t>
      </w:r>
    </w:p>
    <w:p w14:paraId="60FA6F9F" w14:textId="77777777" w:rsidR="001C7535" w:rsidRPr="00B956B7"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(8)</w:t>
      </w:r>
      <w:r>
        <w:rPr>
          <w:noProof/>
        </w:rPr>
        <w:tab/>
      </w:r>
      <w:bookmarkStart w:id="2" w:name="_Hlk128507959"/>
      <w:r w:rsidRPr="00B956B7">
        <w:rPr>
          <w:noProof/>
        </w:rPr>
        <w:t>Războiul de agresiune al Rusiei împotriva Ucrainei și repercusiunile acestuia constituie o provocare existențială pentru Uniunea Europeană. Comisia a invitat statele membre să solicite activarea clauzei derogatorii naționale prevăzute în Pactul de stabilitate și de creștere într-un mod coordonat, pentru a sprijini eforturile UE de obținere a unei creșteri rapide și semnificative a cheltuielilor pentru apărare (</w:t>
      </w:r>
      <w:r w:rsidRPr="00B956B7">
        <w:rPr>
          <w:rStyle w:val="FootnoteReference"/>
          <w:noProof/>
        </w:rPr>
        <w:footnoteReference w:id="6"/>
      </w:r>
      <w:r w:rsidRPr="00B956B7">
        <w:rPr>
          <w:noProof/>
        </w:rPr>
        <w:t>), iar această propunere a fost salutată de Consiliul European reunit la 6 martie 2025. În urma solicitării Danemarcei, la 8 iulie 2025, Consiliul a adoptat, la recomandarea Comisiei, o recomandare care îi permite Danemarcei să se abată de la ratele maxime de creștere a cheltuielilor nete recomandat (</w:t>
      </w:r>
      <w:r w:rsidRPr="00B956B7">
        <w:rPr>
          <w:rStyle w:val="FootnoteReference"/>
          <w:noProof/>
        </w:rPr>
        <w:footnoteReference w:id="7"/>
      </w:r>
      <w:r w:rsidRPr="00B956B7">
        <w:rPr>
          <w:noProof/>
        </w:rPr>
        <w:t xml:space="preserve">). Perioada în care este activată clauza derogatorie națională (2025-2028) permite Danemarcei să reprioritizeze cheltuielile publice sau să crească veniturile publice, astfel încât cheltuielile pentru apărare de durată mai mari să nu pună în pericol sustenabilitatea finanțelor publice pe termen mediu. </w:t>
      </w:r>
    </w:p>
    <w:bookmarkEnd w:id="2"/>
    <w:p w14:paraId="0299088C" w14:textId="77777777" w:rsidR="001C7535" w:rsidRPr="00B956B7"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(9)</w:t>
      </w:r>
      <w:r>
        <w:rPr>
          <w:noProof/>
        </w:rPr>
        <w:tab/>
      </w:r>
      <w:r w:rsidRPr="00B956B7">
        <w:rPr>
          <w:noProof/>
        </w:rPr>
        <w:t>La 30 aprilie 2026, Danemarca și-a prezentat Raportul anual pentru 2026 privind progresele înregistrate (</w:t>
      </w:r>
      <w:r w:rsidRPr="00B956B7">
        <w:rPr>
          <w:rStyle w:val="FootnoteReference"/>
          <w:noProof/>
        </w:rPr>
        <w:footnoteReference w:id="8"/>
      </w:r>
      <w:r w:rsidRPr="00B956B7">
        <w:rPr>
          <w:noProof/>
        </w:rPr>
        <w:t>) în ceea ce privește respectarea ratelor maxime de creștere recomandate ale cheltuielilor nete.</w:t>
      </w:r>
    </w:p>
    <w:p w14:paraId="43E997E9" w14:textId="77777777" w:rsidR="001C7535" w:rsidRPr="00B956B7"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(10)</w:t>
      </w:r>
      <w:r>
        <w:rPr>
          <w:noProof/>
        </w:rPr>
        <w:tab/>
      </w:r>
      <w:r w:rsidRPr="00B956B7">
        <w:rPr>
          <w:noProof/>
        </w:rPr>
        <w:t>Creșterea PIB-ului real în anul 2025 a fost de 2,9 %, iar inflația IAPC a fost de 1,8 %. În previziunile Comisiei din primăvara anului 2026, se estimează că PIB-ul real va crește cu 1,9 % în 2026 și cu 1,8 % în 2027, iar inflația IAPC va fi de 1,8 % în 2026 și de 1,9 % în 2027.</w:t>
      </w:r>
    </w:p>
    <w:p w14:paraId="73759033" w14:textId="77777777" w:rsidR="001C7535" w:rsidRPr="00B956B7"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(11)</w:t>
      </w:r>
      <w:r>
        <w:rPr>
          <w:noProof/>
        </w:rPr>
        <w:tab/>
      </w:r>
      <w:r w:rsidRPr="00B956B7">
        <w:rPr>
          <w:noProof/>
        </w:rPr>
        <w:t>Pe baza datelor furnizate de Eurostat (</w:t>
      </w:r>
      <w:r w:rsidRPr="00B956B7">
        <w:rPr>
          <w:rStyle w:val="FootnoteReference"/>
          <w:noProof/>
        </w:rPr>
        <w:footnoteReference w:id="9"/>
      </w:r>
      <w:r w:rsidRPr="00B956B7">
        <w:rPr>
          <w:noProof/>
        </w:rPr>
        <w:t>), excedentul public al Danemarcei a scăzut de la 4,5 % din PIB în 2024 la 2,9 % din PIB în 2025. Scăderea excedentului în 2025 reflectă în principal creșterea cheltuielilor din domeniul apărării. Pe baza măsurilor de politică cunoscute până la data-limită a prezentei analize, previziunile Comisiei din primăvara anului 2026 estimează un excedent de 0,9 % din PIB în 2026 și de 0,5 % din PIB în 2027. Scăderea excedentului din 2026 reflectă în principal creșterea cheltuielilor, în special pentru apărare, precum și unele măsuri privind veniturile.</w:t>
      </w:r>
    </w:p>
    <w:p w14:paraId="60C767E8" w14:textId="77777777" w:rsidR="001C7535" w:rsidRPr="00B956B7"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(12)</w:t>
      </w:r>
      <w:r>
        <w:rPr>
          <w:noProof/>
        </w:rPr>
        <w:tab/>
      </w:r>
      <w:r w:rsidRPr="00B956B7">
        <w:rPr>
          <w:noProof/>
        </w:rPr>
        <w:t>Din datele furnizate de Eurostat (</w:t>
      </w:r>
      <w:r w:rsidRPr="00B956B7">
        <w:rPr>
          <w:rStyle w:val="FootnoteReference"/>
          <w:noProof/>
        </w:rPr>
        <w:footnoteReference w:id="10"/>
      </w:r>
      <w:r w:rsidRPr="00B956B7">
        <w:rPr>
          <w:noProof/>
        </w:rPr>
        <w:t xml:space="preserve">) reiese că deficitul public al Danemarcei a scăzut de la 30,5 % din PIB la sfârșitul anului 2024 la 27,9 % din PIB la sfârșitul anului 2025. Pe baza măsurilor de politică cunoscute la data-limită a prezentei analize, previziunile Comisiei din primăvara anului 2026 estimează că ponderea datoriei în PIB va scădea la 27,0 % până la sfârșitul anului 2026 și va continua să scadă, urmând să fie de 26,2 % până la sfârșitul anului 2027. </w:t>
      </w:r>
    </w:p>
    <w:p w14:paraId="5CEA2BF6" w14:textId="77777777" w:rsidR="001C7535" w:rsidRPr="00B956B7"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(13)</w:t>
      </w:r>
      <w:r>
        <w:rPr>
          <w:noProof/>
        </w:rPr>
        <w:tab/>
      </w:r>
      <w:r w:rsidRPr="00B956B7">
        <w:rPr>
          <w:noProof/>
        </w:rPr>
        <w:t>Conform datelor Eurostat</w:t>
      </w:r>
      <w:r w:rsidRPr="00B956B7">
        <w:rPr>
          <w:rStyle w:val="FootnoteReference"/>
          <w:noProof/>
        </w:rPr>
        <w:footnoteReference w:id="11"/>
      </w:r>
      <w:r w:rsidRPr="00B956B7">
        <w:rPr>
          <w:noProof/>
        </w:rPr>
        <w:t>, cheltuielile publice totale pentru apărare în Danemarca s-au ridicat la 2,2 % din PIB în 2025, ceea ce corespunde unei creșteri de 1,0 puncte procentuale din PIB în comparație cu anul de referință 2021. Potrivit previziunilor Comisiei din primăvara anului 2026, se preconizează că acestea vor fi de 2,6 % din PIB în 2026, ceea ce corespunde unei creșteri de 1,4 puncte procentuale din PIB comparativ cu 2021.</w:t>
      </w:r>
    </w:p>
    <w:p w14:paraId="1EA56E30" w14:textId="77777777" w:rsidR="001C7535" w:rsidRPr="00B956B7"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(14)</w:t>
      </w:r>
      <w:r>
        <w:rPr>
          <w:noProof/>
        </w:rPr>
        <w:tab/>
      </w:r>
      <w:r w:rsidRPr="00B956B7">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 De la izbucnirea războiului în Orientul Mijlociu în februarie 2026, Danemarca nu a adoptat măsuri de politică bugetară pentru a atenua impactul prețurilor ridicate la energie asupra gospodăriilor și companiilor (</w:t>
      </w:r>
      <w:r w:rsidRPr="00B956B7">
        <w:rPr>
          <w:rStyle w:val="FootnoteReference"/>
          <w:noProof/>
        </w:rPr>
        <w:footnoteReference w:id="12"/>
      </w:r>
      <w:r w:rsidRPr="00B956B7">
        <w:rPr>
          <w:noProof/>
        </w:rPr>
        <w:t>).</w:t>
      </w:r>
    </w:p>
    <w:p w14:paraId="4B80D78B" w14:textId="77777777" w:rsidR="001C7535" w:rsidRPr="00B956B7" w:rsidRDefault="001C7535" w:rsidP="0036570C">
      <w:pPr>
        <w:pStyle w:val="ManualConsidrant"/>
        <w:rPr>
          <w:noProof/>
          <w:shd w:val="clear" w:color="auto" w:fill="00FF00"/>
        </w:rPr>
      </w:pPr>
      <w:r>
        <w:rPr>
          <w:noProof/>
        </w:rPr>
        <w:t>(15)</w:t>
      </w:r>
      <w:r>
        <w:rPr>
          <w:noProof/>
        </w:rPr>
        <w:tab/>
      </w:r>
      <w:r w:rsidRPr="00B956B7">
        <w:rPr>
          <w:noProof/>
        </w:rPr>
        <w:t>Pe baza calculelor Comisiei, cheltuielile nete ale Danemarcei au crescut cu 7,3 % în 2025 și cu 10,9 %, cumulat, în 2024 și 2025. Creșterea cheltuielilor nete în 2025 depășește rata maximă de creștere recomandată, ceea ce corespunde unei abateri de 1,0 % din PIB în termeni anuali. Dacă se iau în considerare împreună anii 2024 și 2025, se preconizează că rata de creștere cumulată a cheltuielilor nete se va situa sub rata maximă de creștere recomandată (</w:t>
      </w:r>
      <w:r w:rsidRPr="00B956B7">
        <w:rPr>
          <w:rStyle w:val="FootnoteReference"/>
          <w:noProof/>
          <w:lang w:eastAsia="en-IE"/>
        </w:rPr>
        <w:footnoteReference w:id="13"/>
      </w:r>
      <w:r w:rsidRPr="00B956B7">
        <w:rPr>
          <w:noProof/>
        </w:rPr>
        <w:t>).</w:t>
      </w:r>
    </w:p>
    <w:p w14:paraId="28D9BA80" w14:textId="77777777" w:rsidR="001C7535" w:rsidRPr="00B956B7" w:rsidRDefault="001C7535" w:rsidP="0036570C">
      <w:pPr>
        <w:pStyle w:val="ManualConsidrant"/>
        <w:pBdr>
          <w:top w:val="nil"/>
          <w:left w:val="nil"/>
          <w:bottom w:val="nil"/>
          <w:right w:val="nil"/>
          <w:between w:val="nil"/>
          <w:bar w:val="nil"/>
        </w:pBdr>
        <w:tabs>
          <w:tab w:val="left" w:pos="709"/>
        </w:tabs>
        <w:rPr>
          <w:noProof/>
          <w:shd w:val="clear" w:color="auto" w:fill="00FF00"/>
        </w:rPr>
      </w:pPr>
      <w:r>
        <w:rPr>
          <w:noProof/>
        </w:rPr>
        <w:t>(16)</w:t>
      </w:r>
      <w:r>
        <w:rPr>
          <w:noProof/>
        </w:rPr>
        <w:tab/>
      </w:r>
      <w:r w:rsidRPr="00B956B7">
        <w:rPr>
          <w:noProof/>
        </w:rPr>
        <w:t>Pe baza calculelor Comisiei, se preconizează o creștere a cheltuielilor nete ale Danemarcei cu 6,7 % în 2026 și cu 18,3 %, cumulat, în 2024, 2025 și 2026. Creșterea preconizată a cheltuielilor nete în 2026 depășește rata maximă de creștere recomandată, ceea ce corespunde unei abateri de 0,4 % din PIB în termeni anuali. Dacă se iau în considerare împreună anii 2024, 2025 și 2026, rata proiectată de creștere cumulată a cheltuielilor nete este inferioară ratei maxime de creștere recomandate (</w:t>
      </w:r>
      <w:r w:rsidRPr="00B956B7">
        <w:rPr>
          <w:rStyle w:val="FootnoteReference"/>
          <w:noProof/>
        </w:rPr>
        <w:footnoteReference w:id="14"/>
      </w:r>
      <w:r w:rsidRPr="00B956B7">
        <w:rPr>
          <w:noProof/>
        </w:rPr>
        <w:t>).</w:t>
      </w:r>
    </w:p>
    <w:p w14:paraId="43D49385" w14:textId="2FFB22BB" w:rsidR="001C7535" w:rsidRPr="00B956B7" w:rsidRDefault="001C7535" w:rsidP="0036570C">
      <w:pPr>
        <w:pStyle w:val="ManualConsidrant"/>
        <w:pBdr>
          <w:top w:val="nil"/>
          <w:left w:val="nil"/>
          <w:bottom w:val="nil"/>
          <w:right w:val="nil"/>
          <w:between w:val="nil"/>
          <w:bar w:val="nil"/>
        </w:pBdr>
        <w:tabs>
          <w:tab w:val="left" w:pos="709"/>
        </w:tabs>
        <w:rPr>
          <w:noProof/>
        </w:rPr>
      </w:pPr>
      <w:r>
        <w:rPr>
          <w:noProof/>
        </w:rPr>
        <w:t>(17)</w:t>
      </w:r>
      <w:r>
        <w:rPr>
          <w:noProof/>
        </w:rPr>
        <w:tab/>
      </w:r>
      <w:r w:rsidRPr="00B956B7">
        <w:rPr>
          <w:noProof/>
        </w:rPr>
        <w:t>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w:t>
      </w:r>
      <w:r w:rsidR="00890A46">
        <w:rPr>
          <w:noProof/>
        </w:rPr>
        <w:t xml:space="preserve"> </w:t>
      </w:r>
    </w:p>
    <w:p w14:paraId="4D2C390C" w14:textId="5622F5A0" w:rsidR="001C7535" w:rsidRPr="00B956B7" w:rsidRDefault="00277BFB" w:rsidP="0036570C">
      <w:pPr>
        <w:pStyle w:val="ManualConsidrant"/>
        <w:pBdr>
          <w:top w:val="nil"/>
          <w:left w:val="nil"/>
          <w:bottom w:val="nil"/>
          <w:right w:val="nil"/>
          <w:between w:val="nil"/>
          <w:bar w:val="nil"/>
        </w:pBdr>
        <w:tabs>
          <w:tab w:val="left" w:pos="709"/>
        </w:tabs>
        <w:rPr>
          <w:noProof/>
        </w:rPr>
      </w:pPr>
      <w:r>
        <w:rPr>
          <w:noProof/>
        </w:rPr>
        <w:t>(18)</w:t>
      </w:r>
      <w:r>
        <w:rPr>
          <w:noProof/>
        </w:rPr>
        <w:tab/>
      </w:r>
      <w:r w:rsidRPr="00B956B7">
        <w:rPr>
          <w:noProof/>
        </w:rPr>
        <w:t>În Danemarca, punerea în aplicare a programelor politicii de coeziune, care includ sprijin din Fondul european de dezvoltare regională (FEDR), Fondul pentru o tranziție justă (FTJ) și Fondul social european Plus (FSE+), se situează peste ritmul mediu la nivelul UE, atât în ceea ce privește selecția proiectelor, cât și plățile. Este importantă menținerea ritmului actual și maximizarea impactului investițiilor pe teren. Danemarca ia deja măsuri în cadrul programelor sale din cadrul politicii de coeziune pentru a stimula competitivitatea și creșterea economică. Este esențial să se asigure implementarea rapidă și eficace a noilor investiții identificate de Danemarca în evaluarea sa la jumătatea perioadei a fondurilor politicii de coeziune, în special a investițiilor legate de cele cinci priorități prevăzute în Regulamentul privind evaluarea la jumătatea perioadei (</w:t>
      </w:r>
      <w:r w:rsidR="001C7535" w:rsidRPr="00B956B7">
        <w:rPr>
          <w:rStyle w:val="FootnoteReference"/>
          <w:noProof/>
        </w:rPr>
        <w:footnoteReference w:id="15"/>
      </w:r>
      <w:r w:rsidRPr="00B956B7">
        <w:rPr>
          <w:noProof/>
        </w:rPr>
        <w:t>).</w:t>
      </w:r>
    </w:p>
    <w:p w14:paraId="34955222" w14:textId="77777777" w:rsidR="001C7535" w:rsidRPr="00B956B7" w:rsidRDefault="001C7535" w:rsidP="0036570C">
      <w:pPr>
        <w:pStyle w:val="ManualConsidrant"/>
        <w:pBdr>
          <w:top w:val="nil"/>
          <w:left w:val="nil"/>
          <w:bottom w:val="nil"/>
          <w:right w:val="nil"/>
          <w:between w:val="nil"/>
          <w:bar w:val="nil"/>
        </w:pBdr>
        <w:tabs>
          <w:tab w:val="left" w:pos="709"/>
        </w:tabs>
        <w:rPr>
          <w:noProof/>
        </w:rPr>
      </w:pPr>
      <w:r>
        <w:rPr>
          <w:noProof/>
        </w:rPr>
        <w:t>(19)</w:t>
      </w:r>
      <w:r>
        <w:rPr>
          <w:noProof/>
        </w:rPr>
        <w:tab/>
      </w:r>
      <w:r w:rsidRPr="00B956B7">
        <w:rPr>
          <w:noProof/>
        </w:rPr>
        <w:t xml:space="preserve">Danemarca se confruntă cu mai multe provocări legate de inovare și productivitate, tranziția energetică, agricultura durabilă, economia circulară și gestionarea deșeurilor, competențe și locuințe. </w:t>
      </w:r>
    </w:p>
    <w:p w14:paraId="5F7CB4D9" w14:textId="77777777" w:rsidR="001C7535" w:rsidRPr="00B956B7" w:rsidRDefault="001C7535" w:rsidP="0036570C">
      <w:pPr>
        <w:pStyle w:val="ManualConsidrant"/>
        <w:pBdr>
          <w:top w:val="nil"/>
          <w:left w:val="nil"/>
          <w:bottom w:val="nil"/>
          <w:right w:val="nil"/>
          <w:between w:val="nil"/>
          <w:bar w:val="nil"/>
        </w:pBdr>
        <w:tabs>
          <w:tab w:val="left" w:pos="709"/>
        </w:tabs>
        <w:rPr>
          <w:noProof/>
        </w:rPr>
      </w:pPr>
      <w:r>
        <w:rPr>
          <w:noProof/>
        </w:rPr>
        <w:t>(20)</w:t>
      </w:r>
      <w:r>
        <w:rPr>
          <w:noProof/>
        </w:rPr>
        <w:tab/>
      </w:r>
      <w:r w:rsidRPr="00B956B7">
        <w:rPr>
          <w:noProof/>
        </w:rPr>
        <w:t>Creșterea productivității rămâne concentrată într-un număr mic de întreprinderi mari, în timp ce întreprinderile mici și mijlocii (IMM-uri) continuă să se confrunte cu obstacole în calea inovării și a adoptării de noi tehnologii, în special în regiunile din afara regiunii capitalei, ceea ce evidențiază o difuzare limitată a inovării în rândul IMM-urilor. Danemarca a înregistrat progrese în ceea ce privește promovarea inovării prin acorduri politice privind finanțarea multianuală a cercetării și inovării și privind consolidarea transferurilor de cunoștințe și tehnologie de la universități către întreprinderi. Cu toate acestea, deși măsurile de politică recente sunt pozitive, acestea nu abordează pe deplin deficiențele specifice ale sistemului de inovare. Consolidarea accesului la instrumente de sprijin pentru inovare mai bine orientate și raționalizate, reducerea fragmentării și a sarcinii administrative, îmbunătățirea difuzării cunoștințelor între instituțiile de cercetare și întreprinderi și consolidarea cadrului național privind achizițiile publice în domeniul inovării ar ajuta IMM-urile să integreze soluții de vârf și să participe mai activ la ecosistemele de cercetare și inovare.</w:t>
      </w:r>
    </w:p>
    <w:p w14:paraId="4E32C225" w14:textId="77777777" w:rsidR="001C7535" w:rsidRPr="00B956B7" w:rsidRDefault="001C7535" w:rsidP="0036570C">
      <w:pPr>
        <w:pStyle w:val="ManualConsidrant"/>
        <w:pBdr>
          <w:top w:val="nil"/>
          <w:left w:val="nil"/>
          <w:bottom w:val="nil"/>
          <w:right w:val="nil"/>
          <w:between w:val="nil"/>
          <w:bar w:val="nil"/>
        </w:pBdr>
        <w:tabs>
          <w:tab w:val="left" w:pos="709"/>
        </w:tabs>
        <w:spacing w:line="259" w:lineRule="auto"/>
        <w:rPr>
          <w:noProof/>
        </w:rPr>
      </w:pPr>
      <w:r>
        <w:rPr>
          <w:noProof/>
        </w:rPr>
        <w:t>(21)</w:t>
      </w:r>
      <w:r>
        <w:rPr>
          <w:noProof/>
        </w:rPr>
        <w:tab/>
      </w:r>
      <w:r w:rsidRPr="00B956B7">
        <w:rPr>
          <w:noProof/>
        </w:rPr>
        <w:t>Accesul la finanțarea pentru extindere este esențial pentru sprijinirea creșterii întreprinderilor inovatoare și a contribuției acestora la productivitate și la dinamismul economic. În pofida unei piețe de capital considerabile, numărul ofertelor publice inițiale este scăzut, piața fiind dominată de un număr mic de întreprinderi mari. În același timp, activitatea cu capital de risc a rămas, în linii mari, stabilă în ultimii ani, în timp ce unele întreprinderi daneze au căutat capital pentru extindere prin relocarea pe piețe internaționale mai mari, cu rezerve de capital mai profunde și cadre mai favorabile pentru extindere. Acestea indică faptul că există posibilități de dezvoltare în continuare a echității în faza de creștere și de îmbunătățire a condițiilor pentru ofertele publice inițiale în Danemarca pentru a asigura capital pentru extinderea, internaționalizarea și inovarea întreprinderilor locale dinamice. O mai mare mobilizare a economiilor gospodăriilor și instituțiilor în investiții de capital, inclusiv prin abordarea deficiențelor legate de conturile daneze de investiții și economii, ar contribui la aprofundarea și mai mare a piețelor interne de capital și la creșterea ofertei de finanțare pe termen lung.</w:t>
      </w:r>
    </w:p>
    <w:p w14:paraId="0C4EF311" w14:textId="77777777" w:rsidR="001C7535" w:rsidRPr="00B956B7" w:rsidRDefault="001C7535" w:rsidP="0036570C">
      <w:pPr>
        <w:pStyle w:val="ManualConsidrant"/>
        <w:pBdr>
          <w:top w:val="nil"/>
          <w:left w:val="nil"/>
          <w:bottom w:val="nil"/>
          <w:right w:val="nil"/>
          <w:between w:val="nil"/>
          <w:bar w:val="nil"/>
        </w:pBdr>
        <w:tabs>
          <w:tab w:val="left" w:pos="709"/>
        </w:tabs>
        <w:rPr>
          <w:noProof/>
        </w:rPr>
      </w:pPr>
      <w:r>
        <w:rPr>
          <w:noProof/>
        </w:rPr>
        <w:t>(22)</w:t>
      </w:r>
      <w:r>
        <w:rPr>
          <w:noProof/>
        </w:rPr>
        <w:tab/>
      </w:r>
      <w:r w:rsidRPr="00B956B7">
        <w:rPr>
          <w:noProof/>
        </w:rPr>
        <w:t>În 2025, 92,4 % din producția netă de energie electrică a Danemarcei a provenit din surse regenerabile, acesta fiind cel mai mare procent din UE în anul respectiv, precum și cel mai ridicat procent din istoria Danemarcei. După ce s-a confruntat cu regrese în planul său de dezvoltare a energiei eoliene offshore, la sfârșitul anului 2025 au fost anunțate noi licitații pentru parcurile eoliene offshore, oferind sprijin de stat potențialilor dezvoltatori în cadrul unui model bidirecțional de contract pentru diferență. Danemarca a utilizat Cadrul privind ajutoarele de stat în contextul Pactului pentru o industrie curată (CISAF). În 2025 au fost adoptate sau anunțate în mod credibil măsuri suplimentare de accelerare a implementării energiei din surse regenerabile produse pe plan intern, inclusiv ca răspuns la recomandările echipei naționale în caz de criză energetică (NEKST).</w:t>
      </w:r>
    </w:p>
    <w:p w14:paraId="4BCF7CB0" w14:textId="1088F9E4" w:rsidR="001C7535" w:rsidRPr="00B956B7" w:rsidRDefault="001C7535" w:rsidP="0036570C">
      <w:pPr>
        <w:pStyle w:val="ManualConsidrant"/>
        <w:pBdr>
          <w:top w:val="nil"/>
          <w:left w:val="nil"/>
          <w:bottom w:val="nil"/>
          <w:right w:val="nil"/>
          <w:between w:val="nil"/>
          <w:bar w:val="nil"/>
        </w:pBdr>
        <w:tabs>
          <w:tab w:val="left" w:pos="709"/>
        </w:tabs>
        <w:rPr>
          <w:noProof/>
        </w:rPr>
      </w:pPr>
      <w:r>
        <w:rPr>
          <w:noProof/>
        </w:rPr>
        <w:t>(23)</w:t>
      </w:r>
      <w:r>
        <w:rPr>
          <w:noProof/>
        </w:rPr>
        <w:tab/>
      </w:r>
      <w:r w:rsidRPr="00B956B7">
        <w:rPr>
          <w:noProof/>
        </w:rPr>
        <w:t>Ponderea ridicată a surselor regenerabile de energie în mixul de producție de energie electrică al Danemarcei înseamnă că electrificarea suplimentară în toate sectoarele ar putea fi o pârghie puternică de decarbonizare și de accesibilitate a prețurilor energiei, în special în contextul volatilității piețelor combustibililor fosili. Un pas important a fost făcut la 1 ianuarie 2026, când impozitul pe energie electrică pentru gospodării a fost redus de la 72,7 øre la doar 0,8 øre pe kilowatt-oră. Aceasta este o evoluție binevenită și din perspectiva accesibilității energiei, având în vedere că factura la energie electrică pentru gospodăriile daneze în 2025 a fost printre cele mai ridicate din UE, în mare parte din cauza impozitării. Cu toate acestea, reducerea impozitului pe energie electrică pentru gospodării este doar temporară (timp de doi ani). Pentru consumatorii industriali, taxele pe energia electrică sunt deja în mare măsură recuperabile. Pentru a-și valorifica întregul potențial, Danemarca ar beneficia de pe urma promovării în continuare a electrificării, inclusiv prin adoptarea unei strategii cuprinzătoare de electrificare care să stabilească mai multe măsuri structurale și obiective sectoriale cu termene precise.</w:t>
      </w:r>
    </w:p>
    <w:p w14:paraId="71EF378A" w14:textId="77777777" w:rsidR="001C7535" w:rsidRPr="00B956B7" w:rsidRDefault="001C7535" w:rsidP="0036570C">
      <w:pPr>
        <w:pStyle w:val="ManualConsidrant"/>
        <w:pBdr>
          <w:top w:val="nil"/>
          <w:left w:val="nil"/>
          <w:bottom w:val="nil"/>
          <w:right w:val="nil"/>
          <w:between w:val="nil"/>
          <w:bar w:val="nil"/>
        </w:pBdr>
        <w:tabs>
          <w:tab w:val="left" w:pos="709"/>
        </w:tabs>
        <w:rPr>
          <w:noProof/>
        </w:rPr>
      </w:pPr>
      <w:r>
        <w:rPr>
          <w:noProof/>
        </w:rPr>
        <w:t>(24)</w:t>
      </w:r>
      <w:r>
        <w:rPr>
          <w:noProof/>
        </w:rPr>
        <w:tab/>
      </w:r>
      <w:r w:rsidRPr="00B956B7">
        <w:rPr>
          <w:noProof/>
        </w:rPr>
        <w:t>În pofida investițiilor substanțiale în rețeaua de energie electrică din ultimii ani, rețeaua Danemarcei se confruntă cu o presiune puternică din cauza cererii fără precedent de noi conexiuni, în special din partea centrelor de date, a proiectelor Power-to-X și a sistemelor de stocare a energiei pe bază de baterii. Acest lucru a obligat operatorul național de transport și de sistem de energie electrică să suspende temporar încheierea de noi acorduri de racordare la rețea și să prelungească termenele de prelucrare pentru proiectele aflate în etapele de examinare și de maturitate. Deși unele măsuri au fost puse în aplicare sau anunțate în mod credibil pentru a aborda această situație și pentru a accelera extinderea rețelei, este probabil ca capacitatea rețelei să rămână limitată pe termen mediu. În acest context, Danemarca ar putea acționa pentru a reduce timpii medii de prelucrare a aprobărilor de mediu de către agențiile competente, inclusiv prin asigurarea unor niveluri adecvate de personal. Danemarca ar putea lua în considerare, de asemenea, măsuri de îmbunătățire în continuare a gestionării comenzilor în așteptare și a flexibilității rețelei, în vederea optimizării utilizării infrastructurii de rețea existente. În plus, consumatorii de energie electrică din Danemarca rămân expuși la prețuri volatile, cu creșteri bruște în perioadele de producție scăzută din surse regenerabile, când producția costisitoare de combustibili fosili este mai susceptibilă să stabilească prețuri marginale, subliniind importanța continuă a soluțiilor de flexibilitate în materie de combustibili nefosili, cum ar fi stocarea energiei și instrumentele de răspuns la cerere, pentru a echilibra cererea și oferta în toate intervalele de timp relevante și pentru a îmbunătăți flexibilitatea generală a sistemului.</w:t>
      </w:r>
    </w:p>
    <w:p w14:paraId="01328D8A" w14:textId="10642140" w:rsidR="001C7535" w:rsidRPr="00B956B7" w:rsidRDefault="001C7535" w:rsidP="0036570C">
      <w:pPr>
        <w:pStyle w:val="ManualConsidrant"/>
        <w:pBdr>
          <w:top w:val="nil"/>
          <w:left w:val="nil"/>
          <w:bottom w:val="nil"/>
          <w:right w:val="nil"/>
          <w:between w:val="nil"/>
          <w:bar w:val="nil"/>
        </w:pBdr>
        <w:tabs>
          <w:tab w:val="left" w:pos="709"/>
        </w:tabs>
        <w:rPr>
          <w:noProof/>
        </w:rPr>
      </w:pPr>
      <w:r>
        <w:rPr>
          <w:noProof/>
        </w:rPr>
        <w:t>(25)</w:t>
      </w:r>
      <w:r>
        <w:rPr>
          <w:noProof/>
        </w:rPr>
        <w:tab/>
      </w:r>
      <w:r w:rsidRPr="00B956B7">
        <w:rPr>
          <w:noProof/>
        </w:rPr>
        <w:t>Sectorul agricol reprezintă una dintre principalele surse de emisii de gaze cu efect de seră ale Danemarcei vizate de Regulamentul privind partajarea eforturilor (</w:t>
      </w:r>
      <w:r w:rsidRPr="00B956B7">
        <w:rPr>
          <w:rStyle w:val="FootnoteReference"/>
          <w:noProof/>
        </w:rPr>
        <w:footnoteReference w:id="16"/>
      </w:r>
      <w:r w:rsidRPr="00B956B7">
        <w:rPr>
          <w:noProof/>
        </w:rPr>
        <w:t>). Practicile agricole de tip intensiv cauzează și levigarea excesivă a nutrienților și deversări de pe câmpuri, cu repercusiuni grave asupra sănătății solului, asupra naturii și asupra ecosistemelor acvatice și marine. Creșterea durabilității sectorului agroalimentar este esențială pentru atingerea obiectivelor climatice și pentru asigurarea prosperității durabile. Acordul politic privind „Danemarca verde”, la care s-a ajuns la 18 noiembrie 2024, rămâne principalul cadru național de politică care orientează eforturile în acest domeniu. În 2025, fiecare dintre cele 23 de configurații locale tripartite instituite în temeiul acordului a adoptat un plan de transformare a suprafețelor agricole în natură. În plus, s-a ajuns la un acord cu privire la un nou regulament privind azotul, care prevede că, începând din 2027, fermierilor din întreaga țară li se vor aloca cote plafonate de evacuare a azotului. Se preconizează că acest nou model va reduce emisiile de azot cu 7 900 de tone. Pe baza acestor măsuri pozitive, punerea în aplicare rapidă a măsurilor convenite rămâne esențială pentru a se asigura că obiectivele climatice și de mediu stabilite în acordul „Danemarca verde” sunt îndeplinite până în 2030. Danemarca ar beneficia, de asemenea, de explorarea sinergiilor cu acțiunile care urmează să fie incluse în Legea națională privind natura și biodiversitatea și cu mai multe obligații din planul de refacere a naturii.</w:t>
      </w:r>
    </w:p>
    <w:p w14:paraId="0B6CA9E6" w14:textId="77777777" w:rsidR="001C7535" w:rsidRPr="00B956B7" w:rsidRDefault="001C7535" w:rsidP="0036570C">
      <w:pPr>
        <w:pStyle w:val="ManualConsidrant"/>
        <w:pBdr>
          <w:top w:val="nil"/>
          <w:left w:val="nil"/>
          <w:bottom w:val="nil"/>
          <w:right w:val="nil"/>
          <w:between w:val="nil"/>
          <w:bar w:val="nil"/>
        </w:pBdr>
        <w:tabs>
          <w:tab w:val="left" w:pos="709"/>
        </w:tabs>
        <w:rPr>
          <w:rFonts w:eastAsia="Times New Roman"/>
          <w:noProof/>
        </w:rPr>
      </w:pPr>
      <w:r>
        <w:rPr>
          <w:noProof/>
        </w:rPr>
        <w:t>(26)</w:t>
      </w:r>
      <w:r>
        <w:rPr>
          <w:noProof/>
        </w:rPr>
        <w:tab/>
      </w:r>
      <w:r w:rsidRPr="00B956B7">
        <w:rPr>
          <w:noProof/>
        </w:rPr>
        <w:t>În pofida eforturilor recente, Danemarca se confruntă în continuare cu provocări în ceea ce privește tranziția către o economie circulară mai puternică și îmbunătățirea politicilor sale de gestionare a deșeurilor. Economia daneză depinde în continuare în mare măsură de resursele primare și de materialele importate. Potrivit celor mai recente date Eurostat, Danemarca are unele dintre cele mai mari volume de deșeuri alimentare pe cap de locuitor (2023), de deșeuri municipale (2024) și de deșeuri de ambalaje (2023) din UE (</w:t>
      </w:r>
      <w:r w:rsidRPr="00B956B7">
        <w:rPr>
          <w:rStyle w:val="FootnoteReference"/>
          <w:noProof/>
        </w:rPr>
        <w:footnoteReference w:id="17"/>
      </w:r>
      <w:r w:rsidRPr="00B956B7">
        <w:rPr>
          <w:noProof/>
        </w:rPr>
        <w:t>). De asemenea, Danemarca incinerează (valorificare energetică) cel mai mare volum de deșeuri municipale pe cap de locuitor din UE, rata de utilizare circulară a materialelor rămâne sub media UE și nu există o tendință clară de creștere a ponderii deșeurilor municipale reciclate. Instituirea unui sistem de colectare separată pentru toate fluxurile de deșeuri în majoritatea municipalităților, norme mai stricte de gestionare a deșeurilor comerciale, reforme de liberalizare a pieței incinerării deșeurilor și un nou sistem de răspundere extinsă a producătorilor pentru ambalaje sunt pași pozitivi, dar sunt necesare acțiuni suplimentare pentru a preveni generarea de deșeuri municipale și de ambalaje, pentru a spori gradul de reutilizare și reciclare a deșeurilor municipale și pentru a deturna deșeurile municipale reutilizabile și reciclabile de la incinerare. Viitoarea reevaluare și revizuire a planului național de acțiune pentru economia circulară oferă ocazia de a identifica noi inițiative. Aceasta ar putea include stimulente pentru o proiectare mai circulară a ambalajelor și a produselor și pentru o utilizare sporită a materialelor secundare.</w:t>
      </w:r>
    </w:p>
    <w:p w14:paraId="62BE89F6" w14:textId="77777777" w:rsidR="001C7535" w:rsidRPr="00B956B7" w:rsidRDefault="001C7535" w:rsidP="0036570C">
      <w:pPr>
        <w:pStyle w:val="ManualConsidrant"/>
        <w:rPr>
          <w:noProof/>
        </w:rPr>
      </w:pPr>
      <w:r>
        <w:rPr>
          <w:noProof/>
        </w:rPr>
        <w:t>(27)</w:t>
      </w:r>
      <w:r>
        <w:rPr>
          <w:noProof/>
        </w:rPr>
        <w:tab/>
      </w:r>
      <w:bookmarkStart w:id="3" w:name="_Int_ATMzgryX"/>
      <w:r w:rsidRPr="00B956B7">
        <w:rPr>
          <w:noProof/>
        </w:rPr>
        <w:t>Având în vedere</w:t>
      </w:r>
      <w:bookmarkEnd w:id="3"/>
      <w:r w:rsidRPr="00B956B7">
        <w:rPr>
          <w:noProof/>
        </w:rPr>
        <w:t xml:space="preserv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frânează competitivitatea. Recomandările specifice adresate Danemarcei în 2026 pot contribui la punerea în aplicare a Recomandării Consiliului referitoare la capitalul uman în Uniune.</w:t>
      </w:r>
    </w:p>
    <w:p w14:paraId="42BF8A8E" w14:textId="77777777" w:rsidR="001C7535" w:rsidRPr="00B956B7" w:rsidRDefault="001C7535" w:rsidP="0036570C">
      <w:pPr>
        <w:pStyle w:val="ManualConsidrant"/>
        <w:pBdr>
          <w:top w:val="nil"/>
          <w:left w:val="nil"/>
          <w:bottom w:val="nil"/>
          <w:right w:val="nil"/>
          <w:between w:val="nil"/>
          <w:bar w:val="nil"/>
        </w:pBdr>
        <w:tabs>
          <w:tab w:val="left" w:pos="709"/>
        </w:tabs>
        <w:spacing w:line="259" w:lineRule="auto"/>
        <w:rPr>
          <w:rFonts w:eastAsia="Times New Roman"/>
          <w:noProof/>
          <w:color w:val="000000" w:themeColor="text1"/>
        </w:rPr>
      </w:pPr>
      <w:r>
        <w:rPr>
          <w:noProof/>
        </w:rPr>
        <w:t>(28)</w:t>
      </w:r>
      <w:r>
        <w:rPr>
          <w:noProof/>
        </w:rPr>
        <w:tab/>
      </w:r>
      <w:r w:rsidRPr="00B956B7">
        <w:rPr>
          <w:noProof/>
          <w:color w:val="000000" w:themeColor="text1"/>
        </w:rPr>
        <w:t xml:space="preserve">Piața forței de muncă din Danemarca rămâne tensionată, cu rate scăzute ale șomajului și o forță de muncă în creștere; cu toate acestea, se poate observa o tendință de ușoară creștere a șomajului. Numărul tot mai mare de lucrători este asigurat în principal de forța de muncă străină, de lucrători în vârstă și de lucrători foarte tineri; în același timp, lipsa de personal calificat și necorelarea competențelor ar putea frâna ocuparea forței de muncă și creșterea economică. Deficitul de competențe este larg răspândit în anumite profesii din domeniul sănătății și al îngrijirii, dar mai ales în sectoarele care sprijină tranziția verde și cea digitală. În ceea ce privește tranziția digitală, acesta se referă în special la profesioniștii din domeniul TIC, dar și la competențele digitale necesare în majoritatea sectoarelor. În ceea ce privește tranziția verde, acesta se referă la industria construcțiilor și a ingineriei civile în general, inclusiv la competențele necesare pentru construirea și renovarea locuințelor, și anume încălzire, izolare etc., dar și în ceea ce privește proiectele energetice la scară largă ale clădirilor. Deși au fost luate unele măsuri în ceea ce privește reformele pentru a asigura o asimilare relevantă a noilor elevi în școlile profesionale, numărul mare și în creștere al persoanelor care părăsesc timpuriu școala crește numărul persoanelor susceptibile de a nu dispune de competențe de bază. Deficitul de competențe este agravat și mai mult de inegalitățile persistente în ceea ce privește nivelul de instruire în educație și formare la nivel regional, după cum o demonstrează rezultatele obținute la examenele finale de absolvire a învățământului obligatoriu, în special în ceea ce privește alfabetizarea și competențele numerice. Pentru a aborda aceste provocări, Danemarca ar trebui, de asemenea, să vizeze atragerea unui număr mai mare de profesori calificați în școlile primare și secundare inferioare municipale </w:t>
      </w:r>
      <w:r w:rsidRPr="00B956B7">
        <w:rPr>
          <w:i/>
          <w:noProof/>
          <w:color w:val="000000" w:themeColor="text1"/>
        </w:rPr>
        <w:t>(folkeskole)</w:t>
      </w:r>
      <w:r w:rsidRPr="00B956B7">
        <w:rPr>
          <w:noProof/>
          <w:color w:val="000000" w:themeColor="text1"/>
        </w:rPr>
        <w:t>.</w:t>
      </w:r>
    </w:p>
    <w:p w14:paraId="49334632" w14:textId="77777777" w:rsidR="001C7535" w:rsidRPr="00B956B7" w:rsidRDefault="001C7535" w:rsidP="0036570C">
      <w:pPr>
        <w:pStyle w:val="ManualConsidrant"/>
        <w:pBdr>
          <w:top w:val="nil"/>
          <w:left w:val="nil"/>
          <w:bottom w:val="nil"/>
          <w:right w:val="nil"/>
          <w:between w:val="nil"/>
          <w:bar w:val="nil"/>
        </w:pBdr>
        <w:tabs>
          <w:tab w:val="left" w:pos="709"/>
        </w:tabs>
        <w:rPr>
          <w:noProof/>
        </w:rPr>
      </w:pPr>
      <w:r>
        <w:rPr>
          <w:noProof/>
        </w:rPr>
        <w:t>(29)</w:t>
      </w:r>
      <w:r>
        <w:rPr>
          <w:noProof/>
        </w:rPr>
        <w:tab/>
      </w:r>
      <w:r w:rsidRPr="00B956B7">
        <w:rPr>
          <w:noProof/>
        </w:rPr>
        <w:t>Deși Danemarca a luat măsuri pentru a promova accesibilitatea din punct de vedere financiar prin locuințe non-profit, construcția globală de locuințe trebuie extinsă pentru a răspunde cererii ridicate, în special în zona capitalei. Prețurile ridicate ale locuințelor ocupate de proprietari, perioadele lungi de așteptare pentru locuințele non-profit și procedurile complicate de planificare și normele de utilizare a terenurilor pentru construcțiile noi au condus la deficite persistente de locuințe accesibile gospodăriilor cu venituri mai mici. O consecință parțială a acestei situații constă în faptul că gospodăriile cu venituri mici, persoanele necăsătorite și mulți tineri care trăiesc singuri, se confruntă cu costuri suplimentare pentru locuințe. În vederea creșterii ofertei de locuințe la prețuri mai mici și, astfel, pentru a asigura accesibilitatea pentru gospodăriile cu venituri mai mici, va fi important ca măsurile deja luate pentru o mai bună aliniere a plafoanelor de preț pentru construirea de locuințe non-profit la prețurile pieței să fie completate cu acțiuni de promovare a construcției de locuințe în general, în special prin simplificarea procedurilor de planificare și revizuirea normelor de amenajare a teritoriului.</w:t>
      </w:r>
    </w:p>
    <w:p w14:paraId="075C446A" w14:textId="77777777" w:rsidR="001C7535" w:rsidRPr="00B956B7" w:rsidRDefault="001C7535" w:rsidP="001C7535">
      <w:pPr>
        <w:pStyle w:val="Formuledadoption"/>
        <w:rPr>
          <w:noProof/>
        </w:rPr>
      </w:pPr>
      <w:r w:rsidRPr="00B956B7">
        <w:rPr>
          <w:noProof/>
        </w:rPr>
        <w:t xml:space="preserve">RECOMANDĂ ca, în 2026 și în 2027, Danemarca să întreprindă acțiuni astfel încât: </w:t>
      </w:r>
    </w:p>
    <w:p w14:paraId="79B94C3A" w14:textId="117CE902" w:rsidR="001C7535" w:rsidRPr="00B956B7" w:rsidRDefault="001C7535" w:rsidP="0036570C">
      <w:pPr>
        <w:pStyle w:val="ManualNumPar1"/>
        <w:pBdr>
          <w:top w:val="nil"/>
          <w:left w:val="nil"/>
          <w:bottom w:val="nil"/>
          <w:right w:val="nil"/>
          <w:between w:val="nil"/>
          <w:bar w:val="nil"/>
        </w:pBdr>
        <w:tabs>
          <w:tab w:val="left" w:pos="850"/>
        </w:tabs>
        <w:rPr>
          <w:noProof/>
        </w:rPr>
      </w:pPr>
      <w:r>
        <w:rPr>
          <w:noProof/>
        </w:rPr>
        <w:t>1.</w:t>
      </w:r>
      <w:r>
        <w:rPr>
          <w:noProof/>
        </w:rPr>
        <w:tab/>
      </w:r>
      <w:r w:rsidRPr="00B956B7">
        <w:rPr>
          <w:noProof/>
        </w:rPr>
        <w:t>Să continue să respecte ratele maxime de creștere a cheltuielilor nete recomandate de Consiliu la 21 ianuarie 2025, utilizând în același timp flexibilitatea permisă de clauza derogatorie națională pentru a crește cheltuielile în domeniul apărării. Să consolideze cheltuielile pentru apărare și nivelul de pregătire pentru apărare, asigurând, în același timp, eficiența cheltuielilor și adaptarea treptată a bugetului pentru a susține creșterea structurală a cheltuielilor pentru apărare. 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sunt compatibile din punct de vedere al costului bugetar cu angajamentele asumate în contextul cadrului fiscal al UE.</w:t>
      </w:r>
    </w:p>
    <w:p w14:paraId="54AE5657" w14:textId="77777777" w:rsidR="001C7535" w:rsidRPr="00B956B7" w:rsidRDefault="001C7535" w:rsidP="0036570C">
      <w:pPr>
        <w:pStyle w:val="ManualNumPar1"/>
        <w:pBdr>
          <w:top w:val="nil"/>
          <w:left w:val="nil"/>
          <w:bottom w:val="nil"/>
          <w:right w:val="nil"/>
          <w:between w:val="nil"/>
          <w:bar w:val="nil"/>
        </w:pBdr>
        <w:tabs>
          <w:tab w:val="left" w:pos="850"/>
        </w:tabs>
        <w:rPr>
          <w:noProof/>
        </w:rPr>
      </w:pPr>
      <w:r>
        <w:rPr>
          <w:noProof/>
        </w:rPr>
        <w:t>2.</w:t>
      </w:r>
      <w:r>
        <w:rPr>
          <w:noProof/>
        </w:rPr>
        <w:tab/>
      </w:r>
      <w:r w:rsidRPr="00B956B7">
        <w:rPr>
          <w:noProof/>
        </w:rPr>
        <w:t xml:space="preserve">Să asigure continuitatea reformelor și a investițiilor implementate în cadrul Mecanismului de redresare și reziliență. Să mențină ritmul de implementare în cadrul programelor politicii de coeziune, bazându-se, după caz, pe realocări către prioritățile strategice și pe flexibilitățile prevăzute în evaluarea la jumătatea perioadei a cadrului politicii de coeziune. </w:t>
      </w:r>
    </w:p>
    <w:p w14:paraId="3F331874" w14:textId="039C9936" w:rsidR="001C7535" w:rsidRPr="00B956B7" w:rsidRDefault="001C7535" w:rsidP="00B802F8">
      <w:pPr>
        <w:pStyle w:val="ManualNumPar1"/>
        <w:pBdr>
          <w:top w:val="nil"/>
          <w:left w:val="nil"/>
          <w:bottom w:val="nil"/>
          <w:right w:val="nil"/>
          <w:between w:val="nil"/>
          <w:bar w:val="nil"/>
        </w:pBdr>
        <w:rPr>
          <w:noProof/>
        </w:rPr>
      </w:pPr>
      <w:r>
        <w:rPr>
          <w:noProof/>
        </w:rPr>
        <w:t>3.</w:t>
      </w:r>
      <w:r>
        <w:rPr>
          <w:noProof/>
        </w:rPr>
        <w:tab/>
      </w:r>
      <w:r w:rsidRPr="00B956B7">
        <w:rPr>
          <w:noProof/>
        </w:rPr>
        <w:t>Să sprijine IMM-urile să inoveze și să adopte noi tehnologii prin îmbunătățirea accesului la instrumentele de finanțare a inovării, prin promovarea difuzării cunoștințelor și prin consolidarea cadrului național de achiziții publice în domeniul inovării. Să îmbunătățească accesul la finanțarea pentru extindere prin intermediul capitalului propriu de creștere și al piețelor publice de capital și să mobilizeze în continuare economiile interne prin investiții de capital ale gospodăriilor și ale instituțiilor.</w:t>
      </w:r>
    </w:p>
    <w:p w14:paraId="263DF39B" w14:textId="7F5B2FB3" w:rsidR="001C7535" w:rsidRPr="00B956B7" w:rsidRDefault="001C7535" w:rsidP="0036570C">
      <w:pPr>
        <w:pStyle w:val="ManualNumPar1"/>
        <w:pBdr>
          <w:top w:val="nil"/>
          <w:left w:val="nil"/>
          <w:bottom w:val="nil"/>
          <w:right w:val="nil"/>
          <w:between w:val="nil"/>
          <w:bar w:val="nil"/>
        </w:pBdr>
        <w:tabs>
          <w:tab w:val="left" w:pos="850"/>
        </w:tabs>
        <w:rPr>
          <w:noProof/>
        </w:rPr>
      </w:pPr>
      <w:r>
        <w:rPr>
          <w:noProof/>
        </w:rPr>
        <w:t>4.</w:t>
      </w:r>
      <w:r>
        <w:rPr>
          <w:noProof/>
        </w:rPr>
        <w:tab/>
      </w:r>
      <w:r w:rsidRPr="00B956B7">
        <w:rPr>
          <w:noProof/>
        </w:rPr>
        <w:t>Să accelereze ritmul electrificării. Să sprijine modernizările rețelei de energie electrică necesare la nivel de transport și distribuție și optimizarea infrastructurii existente. Să promoveze răspunsul la cerere, stocarea energiei și alte soluții de flexibilitate în materie de combustibili nefosili. Să continue punerea în aplicare a măsurilor menite să reducă intensitatea activităților agricole și de creștere a animalelor. Să consolideze economia circulară și politicile de gestionare a deșeurilor prin promovarea în continuare a prevenirii, reutilizării și reciclării deșeurilor municipale și a altor deșeuri.</w:t>
      </w:r>
    </w:p>
    <w:p w14:paraId="31B75681" w14:textId="77777777" w:rsidR="001C7535" w:rsidRPr="00B956B7" w:rsidRDefault="001C7535" w:rsidP="0036570C">
      <w:pPr>
        <w:pStyle w:val="ManualNumPar1"/>
        <w:pBdr>
          <w:top w:val="nil"/>
          <w:left w:val="nil"/>
          <w:bottom w:val="nil"/>
          <w:right w:val="nil"/>
          <w:between w:val="nil"/>
          <w:bar w:val="nil"/>
        </w:pBdr>
        <w:tabs>
          <w:tab w:val="left" w:pos="850"/>
        </w:tabs>
        <w:rPr>
          <w:noProof/>
        </w:rPr>
      </w:pPr>
      <w:r>
        <w:rPr>
          <w:noProof/>
        </w:rPr>
        <w:t>5.</w:t>
      </w:r>
      <w:r>
        <w:rPr>
          <w:noProof/>
        </w:rPr>
        <w:tab/>
      </w:r>
      <w:bookmarkStart w:id="4" w:name="_Hlk228372215"/>
      <w:r w:rsidRPr="00B956B7">
        <w:rPr>
          <w:noProof/>
        </w:rPr>
        <w:t xml:space="preserve">Să abordeze deficitul de competențe pentru a răspunde nevoilor pieței forței de muncă. </w:t>
      </w:r>
      <w:bookmarkEnd w:id="4"/>
      <w:r w:rsidRPr="00B956B7">
        <w:rPr>
          <w:noProof/>
        </w:rPr>
        <w:t>Să intensifice acțiunile de îmbunătățire a competențelor de bază, să abordeze inegalitățile în ceea ce privește nivelul de instruire în educație și formare, să abordeze deficitul de cadre didactice calificate și să abordeze problema părăsirii timpurii a școlii.</w:t>
      </w:r>
    </w:p>
    <w:p w14:paraId="617E5A7E" w14:textId="77777777" w:rsidR="001C7535" w:rsidRPr="00B956B7" w:rsidRDefault="001C7535" w:rsidP="0036570C">
      <w:pPr>
        <w:pStyle w:val="ManualNumPar1"/>
        <w:pBdr>
          <w:top w:val="nil"/>
          <w:left w:val="nil"/>
          <w:bottom w:val="nil"/>
          <w:right w:val="nil"/>
          <w:between w:val="nil"/>
          <w:bar w:val="nil"/>
        </w:pBdr>
        <w:tabs>
          <w:tab w:val="left" w:pos="850"/>
        </w:tabs>
        <w:rPr>
          <w:noProof/>
        </w:rPr>
      </w:pPr>
      <w:r>
        <w:rPr>
          <w:noProof/>
        </w:rPr>
        <w:t>6.</w:t>
      </w:r>
      <w:r>
        <w:rPr>
          <w:noProof/>
        </w:rPr>
        <w:tab/>
      </w:r>
      <w:r w:rsidRPr="00B956B7">
        <w:rPr>
          <w:noProof/>
        </w:rPr>
        <w:t xml:space="preserve">Să sporească oferta de locuințe, în special în marile orașe, prin simplificarea procedurilor de planificare și revizuirea normelor de amenajare a teritoriului pentru a facilita construirea de noi locuințe. </w:t>
      </w:r>
    </w:p>
    <w:p w14:paraId="4762867D" w14:textId="45833B32" w:rsidR="001C7535" w:rsidRPr="00B956B7" w:rsidRDefault="00B956B7" w:rsidP="004707B7">
      <w:pPr>
        <w:pStyle w:val="Fait"/>
        <w:rPr>
          <w:noProof/>
        </w:rPr>
      </w:pPr>
      <w:r>
        <w:rPr>
          <w:noProof/>
        </w:rPr>
        <w:t>Adoptată la Bruxelles,</w:t>
      </w:r>
    </w:p>
    <w:p w14:paraId="29CE46C6" w14:textId="77777777" w:rsidR="001C7535" w:rsidRPr="00B956B7" w:rsidRDefault="001C7535" w:rsidP="004707B7">
      <w:pPr>
        <w:pStyle w:val="Institutionquisigne"/>
        <w:rPr>
          <w:noProof/>
        </w:rPr>
      </w:pPr>
      <w:r w:rsidRPr="00B956B7">
        <w:rPr>
          <w:noProof/>
        </w:rPr>
        <w:tab/>
        <w:t>Pentru Consiliu</w:t>
      </w:r>
    </w:p>
    <w:p w14:paraId="697DD9D7" w14:textId="77777777" w:rsidR="001C7535" w:rsidRPr="00B956B7" w:rsidRDefault="001C7535" w:rsidP="001C7535">
      <w:pPr>
        <w:pStyle w:val="Personnequisigne"/>
        <w:rPr>
          <w:noProof/>
        </w:rPr>
      </w:pPr>
      <w:r w:rsidRPr="00B956B7">
        <w:rPr>
          <w:noProof/>
        </w:rPr>
        <w:tab/>
        <w:t>Președintele</w:t>
      </w:r>
    </w:p>
    <w:sectPr w:rsidR="001C7535" w:rsidRPr="00B956B7" w:rsidSect="0050757C">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A084CC" w14:textId="77777777" w:rsidR="001C7535" w:rsidRDefault="001C7535" w:rsidP="001C7535">
      <w:pPr>
        <w:spacing w:before="0" w:after="0"/>
      </w:pPr>
      <w:r>
        <w:separator/>
      </w:r>
    </w:p>
  </w:endnote>
  <w:endnote w:type="continuationSeparator" w:id="0">
    <w:p w14:paraId="044CA1DF" w14:textId="77777777" w:rsidR="001C7535" w:rsidRDefault="001C7535" w:rsidP="001C75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90BD2" w14:textId="050F4BC0" w:rsidR="0050757C" w:rsidRPr="0050757C" w:rsidRDefault="0050757C" w:rsidP="0050757C">
    <w:pPr>
      <w:pStyle w:val="Footer"/>
      <w:rPr>
        <w:rFonts w:ascii="Arial" w:hAnsi="Arial" w:cs="Arial"/>
        <w:b/>
        <w:sz w:val="48"/>
      </w:rPr>
    </w:pPr>
    <w:r w:rsidRPr="0050757C">
      <w:rPr>
        <w:rFonts w:ascii="Arial" w:hAnsi="Arial" w:cs="Arial"/>
        <w:b/>
        <w:sz w:val="48"/>
      </w:rPr>
      <w:t>RO</w:t>
    </w:r>
    <w:r w:rsidRPr="0050757C">
      <w:rPr>
        <w:rFonts w:ascii="Arial" w:hAnsi="Arial" w:cs="Arial"/>
        <w:b/>
        <w:sz w:val="48"/>
      </w:rPr>
      <w:tab/>
    </w:r>
    <w:r w:rsidRPr="0050757C">
      <w:rPr>
        <w:rFonts w:ascii="Arial" w:hAnsi="Arial" w:cs="Arial"/>
        <w:b/>
        <w:sz w:val="48"/>
      </w:rPr>
      <w:tab/>
    </w:r>
    <w:r w:rsidRPr="0050757C">
      <w:tab/>
    </w:r>
    <w:r w:rsidRPr="0050757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98EDE" w14:textId="27BEABC1" w:rsidR="0050757C" w:rsidRPr="0050757C" w:rsidRDefault="0050757C" w:rsidP="0050757C">
    <w:pPr>
      <w:pStyle w:val="Footer"/>
      <w:rPr>
        <w:rFonts w:ascii="Arial" w:hAnsi="Arial" w:cs="Arial"/>
        <w:b/>
        <w:sz w:val="48"/>
      </w:rPr>
    </w:pPr>
    <w:r w:rsidRPr="0050757C">
      <w:rPr>
        <w:rFonts w:ascii="Arial" w:hAnsi="Arial" w:cs="Arial"/>
        <w:b/>
        <w:sz w:val="48"/>
      </w:rPr>
      <w:t>RO</w:t>
    </w:r>
    <w:r w:rsidRPr="0050757C">
      <w:rPr>
        <w:rFonts w:ascii="Arial" w:hAnsi="Arial" w:cs="Arial"/>
        <w:b/>
        <w:sz w:val="48"/>
      </w:rPr>
      <w:tab/>
    </w:r>
    <w:r w:rsidRPr="0050757C">
      <w:rPr>
        <w:rFonts w:ascii="Arial" w:hAnsi="Arial" w:cs="Arial"/>
        <w:b/>
        <w:sz w:val="48"/>
      </w:rPr>
      <w:tab/>
    </w:r>
    <w:r w:rsidRPr="0050757C">
      <w:tab/>
    </w:r>
    <w:r w:rsidRPr="0050757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612A3" w14:textId="77777777" w:rsidR="0050757C" w:rsidRDefault="005075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D8C86" w14:textId="1D697FAC" w:rsidR="0050757C" w:rsidRPr="0050757C" w:rsidRDefault="0050757C" w:rsidP="0050757C">
    <w:pPr>
      <w:pStyle w:val="Footer"/>
      <w:rPr>
        <w:rFonts w:ascii="Arial" w:hAnsi="Arial" w:cs="Arial"/>
        <w:b/>
        <w:sz w:val="48"/>
      </w:rPr>
    </w:pPr>
    <w:r w:rsidRPr="0050757C">
      <w:rPr>
        <w:rFonts w:ascii="Arial" w:hAnsi="Arial" w:cs="Arial"/>
        <w:b/>
        <w:sz w:val="48"/>
      </w:rPr>
      <w:t>RO</w:t>
    </w:r>
    <w:r w:rsidRPr="0050757C">
      <w:rPr>
        <w:rFonts w:ascii="Arial" w:hAnsi="Arial" w:cs="Arial"/>
        <w:b/>
        <w:sz w:val="48"/>
      </w:rPr>
      <w:tab/>
    </w:r>
    <w:r>
      <w:fldChar w:fldCharType="begin"/>
    </w:r>
    <w:r>
      <w:instrText xml:space="preserve"> PAGE  \* MERGEFORMAT </w:instrText>
    </w:r>
    <w:r>
      <w:fldChar w:fldCharType="separate"/>
    </w:r>
    <w:r w:rsidR="004707B7">
      <w:rPr>
        <w:noProof/>
      </w:rPr>
      <w:t>9</w:t>
    </w:r>
    <w:r>
      <w:fldChar w:fldCharType="end"/>
    </w:r>
    <w:r>
      <w:tab/>
    </w:r>
    <w:r w:rsidRPr="0050757C">
      <w:tab/>
    </w:r>
    <w:r w:rsidRPr="0050757C">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11BD5" w14:textId="77777777" w:rsidR="0050757C" w:rsidRDefault="0050757C" w:rsidP="005075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F0A958" w14:textId="77777777" w:rsidR="001C7535" w:rsidRDefault="001C7535" w:rsidP="001C7535">
      <w:pPr>
        <w:spacing w:before="0" w:after="0"/>
      </w:pPr>
      <w:r>
        <w:separator/>
      </w:r>
    </w:p>
  </w:footnote>
  <w:footnote w:type="continuationSeparator" w:id="0">
    <w:p w14:paraId="1035326F" w14:textId="77777777" w:rsidR="001C7535" w:rsidRDefault="001C7535" w:rsidP="001C7535">
      <w:pPr>
        <w:spacing w:before="0" w:after="0"/>
      </w:pPr>
      <w:r>
        <w:continuationSeparator/>
      </w:r>
    </w:p>
  </w:footnote>
  <w:footnote w:id="1">
    <w:p w14:paraId="18DF5416" w14:textId="670E04C5" w:rsidR="001C7535" w:rsidRPr="00890A46" w:rsidRDefault="001C7535" w:rsidP="00906C36">
      <w:pPr>
        <w:pStyle w:val="FootnoteText"/>
        <w:ind w:left="0" w:firstLine="0"/>
      </w:pPr>
      <w:r>
        <w:rPr>
          <w:rStyle w:val="FootnoteReference"/>
        </w:rPr>
        <w:footnoteRef/>
      </w:r>
      <w:r>
        <w:tab/>
      </w:r>
      <w:r w:rsidRPr="00890A46">
        <w:t xml:space="preserve">Regulamentul (UE) 2024/1263 al Parlamentului European și al Consiliului din 29 aprilie 2024 privind coordonarea eficientă a politicilor economice și supravegherea bugetară multilaterală și de abrogare a Regulamentului (CE) nr. 1466/97 al Consiliului (JO L, 2024/1263, 30.4.2024, ELI: http://data.europa.eu/eli/reg/2024/1263/oj) </w:t>
      </w:r>
    </w:p>
  </w:footnote>
  <w:footnote w:id="2">
    <w:p w14:paraId="4AA97E26" w14:textId="126C3900" w:rsidR="001C7535" w:rsidRPr="00890A46" w:rsidRDefault="001C7535" w:rsidP="00906C36">
      <w:pPr>
        <w:pStyle w:val="FootnoteText"/>
        <w:ind w:left="0" w:firstLine="0"/>
      </w:pPr>
      <w:r w:rsidRPr="00890A46">
        <w:rPr>
          <w:rStyle w:val="FootnoteReference"/>
        </w:rPr>
        <w:footnoteRef/>
      </w:r>
      <w:r w:rsidRPr="00890A46">
        <w:tab/>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Regulamentul propus face în prezent obiectul negocierilor cu colegiuitorii.</w:t>
      </w:r>
    </w:p>
  </w:footnote>
  <w:footnote w:id="3">
    <w:p w14:paraId="63594D72" w14:textId="78885F16" w:rsidR="001C7535" w:rsidRPr="00890A46" w:rsidRDefault="001C7535" w:rsidP="001C7535">
      <w:pPr>
        <w:pStyle w:val="FootnoteText"/>
      </w:pPr>
      <w:r w:rsidRPr="00890A46">
        <w:rPr>
          <w:rStyle w:val="FootnoteReference"/>
        </w:rPr>
        <w:footnoteRef/>
      </w:r>
      <w:r w:rsidRPr="00890A46">
        <w:tab/>
        <w:t>JO C, C/2026/2434, 28.4.2026, ELI:</w:t>
      </w:r>
      <w:r w:rsidR="00890A46" w:rsidRPr="00890A46">
        <w:t xml:space="preserve"> </w:t>
      </w:r>
      <w:hyperlink r:id="rId1" w:history="1">
        <w:r w:rsidRPr="00890A46">
          <w:rPr>
            <w:rStyle w:val="Hyperlink"/>
          </w:rPr>
          <w:t>http://data.europa.eu/eli/C/2026/2434/oj</w:t>
        </w:r>
      </w:hyperlink>
    </w:p>
  </w:footnote>
  <w:footnote w:id="4">
    <w:p w14:paraId="73FCFFDA" w14:textId="0003A3EF" w:rsidR="001C7535" w:rsidRPr="00890A46" w:rsidRDefault="001C7535" w:rsidP="00906C36">
      <w:pPr>
        <w:pStyle w:val="FootnoteText"/>
        <w:ind w:left="0" w:firstLine="0"/>
      </w:pPr>
      <w:r w:rsidRPr="00890A46">
        <w:rPr>
          <w:rStyle w:val="FootnoteReference"/>
        </w:rPr>
        <w:footnoteRef/>
      </w:r>
      <w:r w:rsidRPr="00890A46">
        <w:tab/>
        <w:t>Regulamentul (UE) 2021/241 al Parlamentului European și al Consiliului din 12 februarie 2021 de instituire a Mecanismului de redresare și reziliență (JO L 57, 18.2.2021, p. 17, ELI: http://data.europa.eu/eli/reg/2021/241/oj).</w:t>
      </w:r>
    </w:p>
  </w:footnote>
  <w:footnote w:id="5">
    <w:p w14:paraId="4BF04E8C" w14:textId="4CAA250E" w:rsidR="001C7535" w:rsidRPr="00890A46" w:rsidRDefault="00FB18FB" w:rsidP="001C7535">
      <w:pPr>
        <w:pStyle w:val="FootnoteText"/>
      </w:pPr>
      <w:r w:rsidRPr="00890A46">
        <w:rPr>
          <w:rStyle w:val="FootnoteReference"/>
        </w:rPr>
        <w:footnoteRef/>
      </w:r>
      <w:r w:rsidRPr="00890A46">
        <w:rPr>
          <w:vertAlign w:val="superscript"/>
        </w:rPr>
        <w:tab/>
      </w:r>
      <w:r w:rsidRPr="00890A46">
        <w:t>Recomandarea Consiliului din 21 ianuarie 2025 de aprobare a planului bugetar-structural național pe termen mediu al Danemarcei (JO C, C/2025/654, 10.2.2025, ELI: http://data.europa.eu/eli/C/2025/654/oj).</w:t>
      </w:r>
    </w:p>
  </w:footnote>
  <w:footnote w:id="6">
    <w:p w14:paraId="5D02308B" w14:textId="11AEAA0F" w:rsidR="001C7535" w:rsidRPr="00890A46" w:rsidRDefault="001C7535" w:rsidP="001C7535">
      <w:pPr>
        <w:pStyle w:val="FootnoteText"/>
        <w:spacing w:after="120"/>
      </w:pPr>
      <w:r w:rsidRPr="00890A46">
        <w:rPr>
          <w:rStyle w:val="FootnoteReference"/>
        </w:rPr>
        <w:footnoteRef/>
      </w:r>
      <w:r w:rsidRPr="00890A46">
        <w:tab/>
        <w:t>Comunicarea Comisiei intitulată „Integrarea unei creșteri a cheltuielilor pentru apărare în cadrul Pactului de stabilitate și de creștere”, Bruxelles, 19.3.2025, C(2025) 2000 final.</w:t>
      </w:r>
    </w:p>
  </w:footnote>
  <w:footnote w:id="7">
    <w:p w14:paraId="380D1C9D" w14:textId="73446CDE" w:rsidR="001C7535" w:rsidRPr="00890A46" w:rsidRDefault="001C7535" w:rsidP="001C7535">
      <w:pPr>
        <w:pStyle w:val="FootnoteText"/>
      </w:pPr>
      <w:r w:rsidRPr="00890A46">
        <w:rPr>
          <w:rStyle w:val="FootnoteReference"/>
        </w:rPr>
        <w:footnoteRef/>
      </w:r>
      <w:r w:rsidRPr="00890A46">
        <w:tab/>
        <w:t>Recomandarea Consiliului din 8 iulie 2025 care permite Danemarcei să se abată de la ratele maxime de creștere a cheltuielilor nete stabilite de Consiliu în temeiul Regulamentului (UE) 2024/1263 (Activarea clauzei derogatorii naționale) (JO C, C/2025/3963, 20.8.2025, ELI: </w:t>
      </w:r>
      <w:hyperlink r:id="rId2" w:tgtFrame="_blank" w:tooltip="Oferă acces la acest document prin identificatorul său uniform de resurse ELI." w:history="1">
        <w:r w:rsidRPr="00890A46">
          <w:rPr>
            <w:rStyle w:val="Hyperlink"/>
          </w:rPr>
          <w:t>http://data.europa.eu/eli/C/2025/3963/oj</w:t>
        </w:r>
      </w:hyperlink>
      <w:r w:rsidRPr="00890A46">
        <w:t>).</w:t>
      </w:r>
    </w:p>
  </w:footnote>
  <w:footnote w:id="8">
    <w:p w14:paraId="6A0F7DE3" w14:textId="034A7688" w:rsidR="001C7535" w:rsidRPr="00890A46" w:rsidRDefault="001C7535" w:rsidP="001C7535">
      <w:pPr>
        <w:pStyle w:val="FootnoteText"/>
      </w:pPr>
      <w:r w:rsidRPr="00890A46">
        <w:rPr>
          <w:rStyle w:val="FootnoteReference"/>
        </w:rPr>
        <w:footnoteRef/>
      </w:r>
      <w:r w:rsidRPr="00890A46">
        <w:tab/>
        <w:t xml:space="preserve">Rapoartele anuale pe 2026 privind progresele înregistrate sunt disponibile la adresa: </w:t>
      </w:r>
      <w:hyperlink r:id="rId3" w:history="1">
        <w:r w:rsidRPr="00890A46">
          <w:rPr>
            <w:rStyle w:val="Hyperlink"/>
          </w:rPr>
          <w:t>https://economy-finance.ec.europa.eu/economic-and-fiscal-governance/stability-and-growth-pact/preventive-arm/annual-progress-reports_en</w:t>
        </w:r>
      </w:hyperlink>
      <w:r w:rsidR="00A73907">
        <w:t xml:space="preserve"> </w:t>
      </w:r>
    </w:p>
  </w:footnote>
  <w:footnote w:id="9">
    <w:p w14:paraId="6F5D58E9" w14:textId="51A5EB7D" w:rsidR="001C7535" w:rsidRPr="00890A46" w:rsidRDefault="001C7535" w:rsidP="001C7535">
      <w:pPr>
        <w:pStyle w:val="FootnoteText"/>
      </w:pPr>
      <w:r w:rsidRPr="00890A46">
        <w:rPr>
          <w:rStyle w:val="FootnoteReference"/>
        </w:rPr>
        <w:footnoteRef/>
      </w:r>
      <w:r w:rsidRPr="00890A46">
        <w:tab/>
        <w:t>Euroindicatorii Eurostat, 22.4.2026.</w:t>
      </w:r>
    </w:p>
  </w:footnote>
  <w:footnote w:id="10">
    <w:p w14:paraId="178B5380" w14:textId="10833297" w:rsidR="001C7535" w:rsidRPr="00890A46" w:rsidRDefault="001C7535" w:rsidP="001C7535">
      <w:pPr>
        <w:pStyle w:val="FootnoteText"/>
      </w:pPr>
      <w:r w:rsidRPr="00890A46">
        <w:rPr>
          <w:rStyle w:val="FootnoteReference"/>
        </w:rPr>
        <w:footnoteRef/>
      </w:r>
      <w:r w:rsidRPr="00890A46">
        <w:tab/>
        <w:t>Euroindicatorii Eurostat, 22 aprilie 2026.</w:t>
      </w:r>
    </w:p>
  </w:footnote>
  <w:footnote w:id="11">
    <w:p w14:paraId="570F0FB8" w14:textId="6E775895" w:rsidR="001C7535" w:rsidRPr="00890A46" w:rsidRDefault="001C7535" w:rsidP="001C7535">
      <w:pPr>
        <w:pStyle w:val="FootnoteText"/>
      </w:pPr>
      <w:r w:rsidRPr="00890A46">
        <w:rPr>
          <w:rStyle w:val="FootnoteReference"/>
        </w:rPr>
        <w:footnoteRef/>
      </w:r>
      <w:r w:rsidRPr="00890A46">
        <w:tab/>
        <w:t>Eurostat, Cheltuielile administrațiilor publice în funcție de clasificarea funcțiilor guvernamentale (COFOG).</w:t>
      </w:r>
    </w:p>
  </w:footnote>
  <w:footnote w:id="12">
    <w:p w14:paraId="77DAE4DA" w14:textId="6547E902" w:rsidR="001C7535" w:rsidRPr="00890A46" w:rsidRDefault="001C7535" w:rsidP="001C7535">
      <w:pPr>
        <w:pStyle w:val="FootnoteText"/>
      </w:pPr>
      <w:r w:rsidRPr="00890A46">
        <w:rPr>
          <w:rStyle w:val="FootnoteReference"/>
        </w:rPr>
        <w:footnoteRef/>
      </w:r>
      <w:r w:rsidRPr="00890A46">
        <w:tab/>
        <w:t>Acest lucru reflectă situația de la data-limită a previziunilor Comisiei din primăvara anului 2026 (4 mai 2026).</w:t>
      </w:r>
    </w:p>
  </w:footnote>
  <w:footnote w:id="13">
    <w:p w14:paraId="238A6553" w14:textId="47D7A397" w:rsidR="001C7535" w:rsidRPr="00890A46" w:rsidRDefault="001C7535" w:rsidP="001C7535">
      <w:pPr>
        <w:pStyle w:val="FootnoteText"/>
      </w:pPr>
      <w:r w:rsidRPr="00890A46">
        <w:rPr>
          <w:rStyle w:val="FootnoteReference"/>
        </w:rPr>
        <w:footnoteRef/>
      </w:r>
      <w:r w:rsidRPr="00890A46">
        <w:tab/>
        <w:t>Având în vedere că Danemarca beneficiază de flexibilitate în temeiul clauzei derogatorii naționale, evaluarea conformității se axează pe această din urmă comparație.</w:t>
      </w:r>
    </w:p>
  </w:footnote>
  <w:footnote w:id="14">
    <w:p w14:paraId="0F5DEACF" w14:textId="1FBF55BE" w:rsidR="001C7535" w:rsidRPr="00890A46" w:rsidRDefault="001C7535" w:rsidP="001C7535">
      <w:pPr>
        <w:pStyle w:val="FootnoteText"/>
      </w:pPr>
      <w:r w:rsidRPr="00890A46">
        <w:rPr>
          <w:rStyle w:val="FootnoteReference"/>
        </w:rPr>
        <w:footnoteRef/>
      </w:r>
      <w:r w:rsidRPr="00890A46">
        <w:tab/>
        <w:t>Având în vedere că Danemarca beneficiază de flexibilitate în temeiul clauzei derogatorii naționale, evaluarea conformității se axează pe această din urmă comparație.</w:t>
      </w:r>
    </w:p>
  </w:footnote>
  <w:footnote w:id="15">
    <w:p w14:paraId="2105CFE2" w14:textId="77777777" w:rsidR="001C7535" w:rsidRPr="00890A46" w:rsidRDefault="001C7535" w:rsidP="00906C36">
      <w:pPr>
        <w:pStyle w:val="FootnoteText"/>
        <w:ind w:left="0" w:firstLine="0"/>
      </w:pPr>
      <w:r w:rsidRPr="00890A46">
        <w:rPr>
          <w:rStyle w:val="FootnoteReference"/>
        </w:rPr>
        <w:footnoteRef/>
      </w:r>
      <w:r w:rsidRPr="00890A46">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 w:id="16">
    <w:p w14:paraId="7704CBEB" w14:textId="6F1F5B62" w:rsidR="001C7535" w:rsidRPr="00890A46" w:rsidRDefault="001C7535" w:rsidP="00906C36">
      <w:pPr>
        <w:pStyle w:val="FootnoteText"/>
        <w:ind w:left="0" w:firstLine="0"/>
      </w:pPr>
      <w:r w:rsidRPr="00890A46">
        <w:rPr>
          <w:rStyle w:val="FootnoteReference"/>
        </w:rPr>
        <w:footnoteRef/>
      </w:r>
      <w:r w:rsidRPr="00890A46">
        <w:tab/>
        <w:t>Regulamentul (UE) 2023/857 al Parlamentului European și al Consiliului din 19 aprilie 2023 de modificare a Regulamentului (UE) 2018/842 privind reducerea anuală obligatorie a emisiilor de gaze cu efect de seră de către statele membre în perioada 2021-2030 în vederea unei contribuții la acțiunile climatice de respectare a angajamentelor asumate în temeiul Acordului de la Paris și a Regulamentului (UE) 2018/1999 (JO L 111, 26.4.2023, p. 1), ELI:</w:t>
      </w:r>
      <w:r w:rsidR="00890A46" w:rsidRPr="00890A46">
        <w:t xml:space="preserve"> </w:t>
      </w:r>
      <w:hyperlink r:id="rId4" w:history="1">
        <w:r w:rsidRPr="00890A46">
          <w:rPr>
            <w:rStyle w:val="Hyperlink"/>
          </w:rPr>
          <w:t>http://data.europa.eu/eli/reg/2023/857/oj</w:t>
        </w:r>
      </w:hyperlink>
      <w:r w:rsidRPr="00890A46">
        <w:t>).</w:t>
      </w:r>
    </w:p>
  </w:footnote>
  <w:footnote w:id="17">
    <w:p w14:paraId="0E0FE6C4" w14:textId="2D3ED1E4" w:rsidR="001C7535" w:rsidRPr="00890A46" w:rsidRDefault="001C7535" w:rsidP="00906C36">
      <w:pPr>
        <w:pStyle w:val="FootnoteText"/>
        <w:ind w:left="0" w:firstLine="0"/>
      </w:pPr>
      <w:r w:rsidRPr="00890A46">
        <w:rPr>
          <w:rStyle w:val="FootnoteReference"/>
        </w:rPr>
        <w:footnoteRef/>
      </w:r>
      <w:r w:rsidRPr="00890A46">
        <w:tab/>
        <w:t>Șapte state membre nu au raportat date pentru 2024 privind deșeurile municipale, iar patru state membre nu au raportat date pentru 2023 privind deșeurile de ambalaje.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7B6E4" w14:textId="77777777" w:rsidR="0050757C" w:rsidRDefault="005075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DADB0" w14:textId="77777777" w:rsidR="0050757C" w:rsidRDefault="005075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D6A6172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90A80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2808FE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F68D1A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EE7CCE"/>
    <w:multiLevelType w:val="hybridMultilevel"/>
    <w:tmpl w:val="6A080F6A"/>
    <w:styleLink w:val="ImportedStyle2"/>
    <w:lvl w:ilvl="0" w:tplc="D17650C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25BE4B24">
      <w:start w:val="1"/>
      <w:numFmt w:val="decimal"/>
      <w:lvlText w:val="(%2)"/>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2654D97C">
      <w:start w:val="1"/>
      <w:numFmt w:val="decimal"/>
      <w:lvlText w:val="(%3)"/>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3" w:tplc="2A067F08">
      <w:start w:val="1"/>
      <w:numFmt w:val="decimal"/>
      <w:lvlText w:val="(%4)"/>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E32CCD9A">
      <w:start w:val="1"/>
      <w:numFmt w:val="decimal"/>
      <w:lvlText w:val="(%5)"/>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484E4D98">
      <w:start w:val="1"/>
      <w:numFmt w:val="decimal"/>
      <w:lvlText w:val="(%6)"/>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6" w:tplc="276A8B82">
      <w:start w:val="1"/>
      <w:numFmt w:val="decimal"/>
      <w:lvlText w:val="(%7)"/>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7309614">
      <w:start w:val="1"/>
      <w:numFmt w:val="decimal"/>
      <w:lvlText w:val="(%8)"/>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28AE0D38">
      <w:start w:val="1"/>
      <w:numFmt w:val="decimal"/>
      <w:lvlText w:val="(%9)"/>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BAA05AA"/>
    <w:multiLevelType w:val="multilevel"/>
    <w:tmpl w:val="0A5839B4"/>
    <w:styleLink w:val="ImportedStyle3"/>
    <w:lvl w:ilvl="0">
      <w:start w:val="1"/>
      <w:numFmt w:val="decimal"/>
      <w:lvlText w:val="%1."/>
      <w:lvlJc w:val="left"/>
      <w:pPr>
        <w:ind w:left="850" w:hanging="850"/>
      </w:pPr>
      <w:rPr>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417" w:hanging="141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417" w:hanging="141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417" w:hanging="141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num>
  <w:num w:numId="2">
    <w:abstractNumId w:val="20"/>
    <w:lvlOverride w:ilvl="0">
      <w:startOverride w:val="1"/>
    </w:lvlOverride>
  </w:num>
  <w:num w:numId="3">
    <w:abstractNumId w:val="19"/>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 w:numId="7">
    <w:abstractNumId w:val="1"/>
  </w:num>
  <w:num w:numId="8">
    <w:abstractNumId w:val="0"/>
  </w:num>
  <w:num w:numId="9">
    <w:abstractNumId w:val="16"/>
  </w:num>
  <w:num w:numId="10">
    <w:abstractNumId w:val="9"/>
  </w:num>
  <w:num w:numId="11">
    <w:abstractNumId w:val="18"/>
  </w:num>
  <w:num w:numId="12">
    <w:abstractNumId w:val="8"/>
  </w:num>
  <w:num w:numId="13">
    <w:abstractNumId w:val="10"/>
  </w:num>
  <w:num w:numId="14">
    <w:abstractNumId w:val="11"/>
  </w:num>
  <w:num w:numId="15">
    <w:abstractNumId w:val="6"/>
  </w:num>
  <w:num w:numId="16">
    <w:abstractNumId w:val="17"/>
  </w:num>
  <w:num w:numId="17">
    <w:abstractNumId w:val="5"/>
  </w:num>
  <w:num w:numId="18">
    <w:abstractNumId w:val="12"/>
  </w:num>
  <w:num w:numId="19">
    <w:abstractNumId w:val="14"/>
  </w:num>
  <w:num w:numId="20">
    <w:abstractNumId w:val="15"/>
  </w:num>
  <w:num w:numId="21">
    <w:abstractNumId w:val="7"/>
  </w:num>
  <w:num w:numId="22">
    <w:abstractNumId w:val="13"/>
  </w:num>
  <w:num w:numId="23">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0 16:06: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96FE2293-6156-481E-A5FC-63DEEAB7348F"/>
    <w:docVar w:name="LW_COVERPAGE_TYPE" w:val="1"/>
    <w:docVar w:name="LW_CreatedUtc" w:val="2026-05-26T19:08:18.6378559Z"/>
    <w:docVar w:name="LW_CROSSREFERENCE" w:val="{SWD(2026) 204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STATUT" w:val="SG-002"/>
    <w:docVar w:name="LW_INSERT_EXP.MOTIFS.NEW" w:val="1"/>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Danemarcei"/>
    <w:docVar w:name="LW_TYPE.DOC.CP" w:val="RECOMANDARE A CONSILIULUI"/>
    <w:docVar w:name="LwApiVersions" w:val="LW4CoDe 1.24.5.0; LW 9.2, Build 20251112"/>
  </w:docVars>
  <w:rsids>
    <w:rsidRoot w:val="001C7535"/>
    <w:rsid w:val="000200FE"/>
    <w:rsid w:val="000236C7"/>
    <w:rsid w:val="00083719"/>
    <w:rsid w:val="000848AA"/>
    <w:rsid w:val="000A6606"/>
    <w:rsid w:val="000B6544"/>
    <w:rsid w:val="000C3D5F"/>
    <w:rsid w:val="000D69E2"/>
    <w:rsid w:val="000F77F1"/>
    <w:rsid w:val="001065F5"/>
    <w:rsid w:val="001238EF"/>
    <w:rsid w:val="00176B38"/>
    <w:rsid w:val="00176B73"/>
    <w:rsid w:val="00197613"/>
    <w:rsid w:val="001B0E66"/>
    <w:rsid w:val="001C7535"/>
    <w:rsid w:val="001E23D8"/>
    <w:rsid w:val="002143A2"/>
    <w:rsid w:val="00233DC7"/>
    <w:rsid w:val="00247779"/>
    <w:rsid w:val="00274E29"/>
    <w:rsid w:val="00275E03"/>
    <w:rsid w:val="00277BFB"/>
    <w:rsid w:val="00284776"/>
    <w:rsid w:val="00285BEE"/>
    <w:rsid w:val="0029533F"/>
    <w:rsid w:val="002A0E8E"/>
    <w:rsid w:val="002B30AF"/>
    <w:rsid w:val="002D16D2"/>
    <w:rsid w:val="002D62D8"/>
    <w:rsid w:val="002D6382"/>
    <w:rsid w:val="00314265"/>
    <w:rsid w:val="0033344A"/>
    <w:rsid w:val="00341C79"/>
    <w:rsid w:val="00362CF7"/>
    <w:rsid w:val="0036570C"/>
    <w:rsid w:val="003B25A2"/>
    <w:rsid w:val="003B75EB"/>
    <w:rsid w:val="0042648E"/>
    <w:rsid w:val="004707B7"/>
    <w:rsid w:val="004936D2"/>
    <w:rsid w:val="004C6C62"/>
    <w:rsid w:val="004D13E5"/>
    <w:rsid w:val="0050757C"/>
    <w:rsid w:val="005247EC"/>
    <w:rsid w:val="00540608"/>
    <w:rsid w:val="005522D9"/>
    <w:rsid w:val="005B1EB6"/>
    <w:rsid w:val="005B26D9"/>
    <w:rsid w:val="005D1F90"/>
    <w:rsid w:val="006240A4"/>
    <w:rsid w:val="00660239"/>
    <w:rsid w:val="00682DCB"/>
    <w:rsid w:val="006A2871"/>
    <w:rsid w:val="006D4960"/>
    <w:rsid w:val="006E0F9C"/>
    <w:rsid w:val="006F15BA"/>
    <w:rsid w:val="00757B2F"/>
    <w:rsid w:val="00773331"/>
    <w:rsid w:val="007932EF"/>
    <w:rsid w:val="00795A08"/>
    <w:rsid w:val="007D10F6"/>
    <w:rsid w:val="007E05B0"/>
    <w:rsid w:val="007E2463"/>
    <w:rsid w:val="00805C21"/>
    <w:rsid w:val="0083371A"/>
    <w:rsid w:val="00874D22"/>
    <w:rsid w:val="008758CE"/>
    <w:rsid w:val="00890A46"/>
    <w:rsid w:val="00893CEC"/>
    <w:rsid w:val="008A2914"/>
    <w:rsid w:val="008C3007"/>
    <w:rsid w:val="008D7959"/>
    <w:rsid w:val="008E2BFA"/>
    <w:rsid w:val="008E373E"/>
    <w:rsid w:val="008E4D8E"/>
    <w:rsid w:val="00906C36"/>
    <w:rsid w:val="009178E3"/>
    <w:rsid w:val="00945CAE"/>
    <w:rsid w:val="00977FA6"/>
    <w:rsid w:val="009C1307"/>
    <w:rsid w:val="00A32761"/>
    <w:rsid w:val="00A41214"/>
    <w:rsid w:val="00A72C69"/>
    <w:rsid w:val="00A73907"/>
    <w:rsid w:val="00A925DE"/>
    <w:rsid w:val="00AB1A32"/>
    <w:rsid w:val="00B34A91"/>
    <w:rsid w:val="00B42008"/>
    <w:rsid w:val="00B56037"/>
    <w:rsid w:val="00B60956"/>
    <w:rsid w:val="00B802F8"/>
    <w:rsid w:val="00B8631A"/>
    <w:rsid w:val="00B956B7"/>
    <w:rsid w:val="00BD5258"/>
    <w:rsid w:val="00BE0C83"/>
    <w:rsid w:val="00BF7734"/>
    <w:rsid w:val="00C12301"/>
    <w:rsid w:val="00C42266"/>
    <w:rsid w:val="00C4234A"/>
    <w:rsid w:val="00C563C4"/>
    <w:rsid w:val="00C629DF"/>
    <w:rsid w:val="00C84F61"/>
    <w:rsid w:val="00C870F0"/>
    <w:rsid w:val="00C9215D"/>
    <w:rsid w:val="00CF74CA"/>
    <w:rsid w:val="00D20381"/>
    <w:rsid w:val="00D47E71"/>
    <w:rsid w:val="00D67290"/>
    <w:rsid w:val="00D73539"/>
    <w:rsid w:val="00D7651F"/>
    <w:rsid w:val="00DA2622"/>
    <w:rsid w:val="00DE609E"/>
    <w:rsid w:val="00E02DE7"/>
    <w:rsid w:val="00E444F8"/>
    <w:rsid w:val="00E664ED"/>
    <w:rsid w:val="00E70E6E"/>
    <w:rsid w:val="00E82B20"/>
    <w:rsid w:val="00EA63B2"/>
    <w:rsid w:val="00EC3BC5"/>
    <w:rsid w:val="00F01A40"/>
    <w:rsid w:val="00F30181"/>
    <w:rsid w:val="00F3699E"/>
    <w:rsid w:val="00F53173"/>
    <w:rsid w:val="00FB18FB"/>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59D80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C7535"/>
    <w:pPr>
      <w:pBdr>
        <w:top w:val="nil"/>
        <w:left w:val="nil"/>
        <w:bottom w:val="nil"/>
        <w:right w:val="nil"/>
        <w:between w:val="nil"/>
        <w:bar w:val="nil"/>
      </w:pBdr>
      <w:spacing w:before="120" w:after="120" w:line="240" w:lineRule="auto"/>
      <w:jc w:val="both"/>
    </w:pPr>
    <w:rPr>
      <w:rFonts w:ascii="Times New Roman" w:eastAsia="Arial Unicode MS" w:hAnsi="Times New Roman" w:cs="Arial Unicode MS"/>
      <w:color w:val="000000"/>
      <w:sz w:val="24"/>
      <w:szCs w:val="24"/>
      <w:u w:color="000000"/>
      <w:bdr w:val="nil"/>
      <w:lang w:eastAsia="en-IE"/>
      <w14:textOutline w14:w="0" w14:cap="flat" w14:cmpd="sng" w14:algn="ctr">
        <w14:noFill/>
        <w14:prstDash w14:val="solid"/>
        <w14:bevel/>
      </w14:textOutline>
    </w:rPr>
  </w:style>
  <w:style w:type="character" w:styleId="Hyperlink">
    <w:name w:val="Hyperlink"/>
    <w:rsid w:val="001C7535"/>
    <w:rPr>
      <w:u w:val="single"/>
    </w:rPr>
  </w:style>
  <w:style w:type="numbering" w:customStyle="1" w:styleId="ImportedStyle2">
    <w:name w:val="Imported Style 2"/>
    <w:rsid w:val="001C7535"/>
    <w:pPr>
      <w:numPr>
        <w:numId w:val="1"/>
      </w:numPr>
    </w:pPr>
  </w:style>
  <w:style w:type="paragraph" w:styleId="ListParagraph">
    <w:name w:val="List Paragraph"/>
    <w:basedOn w:val="Normal"/>
    <w:uiPriority w:val="34"/>
    <w:qFormat/>
    <w:rsid w:val="001C7535"/>
    <w:pPr>
      <w:pBdr>
        <w:top w:val="nil"/>
        <w:left w:val="nil"/>
        <w:bottom w:val="nil"/>
        <w:right w:val="nil"/>
        <w:between w:val="nil"/>
        <w:bar w:val="nil"/>
      </w:pBdr>
      <w:spacing w:before="0" w:after="0"/>
      <w:ind w:left="720"/>
      <w:contextualSpacing/>
      <w:jc w:val="left"/>
    </w:pPr>
    <w:rPr>
      <w:rFonts w:eastAsia="Arial Unicode MS"/>
      <w:szCs w:val="24"/>
      <w:bdr w:val="nil"/>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C7535"/>
    <w:pPr>
      <w:spacing w:before="0" w:after="160" w:line="240" w:lineRule="exact"/>
    </w:pPr>
    <w:rPr>
      <w:rFonts w:asciiTheme="minorHAnsi" w:hAnsiTheme="minorHAnsi" w:cstheme="minorBidi"/>
      <w:sz w:val="22"/>
      <w:vertAlign w:val="superscript"/>
    </w:rPr>
  </w:style>
  <w:style w:type="numbering" w:customStyle="1" w:styleId="ImportedStyle3">
    <w:name w:val="Imported Style 3"/>
    <w:rsid w:val="001C7535"/>
    <w:pPr>
      <w:numPr>
        <w:numId w:val="3"/>
      </w:numPr>
    </w:pPr>
  </w:style>
  <w:style w:type="character" w:styleId="CommentReference">
    <w:name w:val="annotation reference"/>
    <w:basedOn w:val="DefaultParagraphFont"/>
    <w:uiPriority w:val="99"/>
    <w:semiHidden/>
    <w:unhideWhenUsed/>
    <w:rsid w:val="001B0E66"/>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ListBullet">
    <w:name w:val="List Bullet"/>
    <w:basedOn w:val="Normal"/>
    <w:uiPriority w:val="99"/>
    <w:semiHidden/>
    <w:unhideWhenUsed/>
    <w:rsid w:val="009C1307"/>
    <w:pPr>
      <w:numPr>
        <w:numId w:val="5"/>
      </w:numPr>
      <w:contextualSpacing/>
    </w:pPr>
  </w:style>
  <w:style w:type="paragraph" w:styleId="ListBullet2">
    <w:name w:val="List Bullet 2"/>
    <w:basedOn w:val="Normal"/>
    <w:uiPriority w:val="99"/>
    <w:semiHidden/>
    <w:unhideWhenUsed/>
    <w:rsid w:val="009C1307"/>
    <w:pPr>
      <w:numPr>
        <w:numId w:val="6"/>
      </w:numPr>
      <w:contextualSpacing/>
    </w:pPr>
  </w:style>
  <w:style w:type="paragraph" w:styleId="ListBullet3">
    <w:name w:val="List Bullet 3"/>
    <w:basedOn w:val="Normal"/>
    <w:uiPriority w:val="99"/>
    <w:semiHidden/>
    <w:unhideWhenUsed/>
    <w:rsid w:val="009C1307"/>
    <w:pPr>
      <w:numPr>
        <w:numId w:val="7"/>
      </w:numPr>
      <w:contextualSpacing/>
    </w:pPr>
  </w:style>
  <w:style w:type="paragraph" w:styleId="ListBullet4">
    <w:name w:val="List Bullet 4"/>
    <w:basedOn w:val="Normal"/>
    <w:uiPriority w:val="99"/>
    <w:semiHidden/>
    <w:unhideWhenUsed/>
    <w:rsid w:val="009C1307"/>
    <w:pPr>
      <w:numPr>
        <w:numId w:val="8"/>
      </w:numPr>
      <w:contextualSpacing/>
    </w:pPr>
  </w:style>
  <w:style w:type="paragraph" w:styleId="CommentSubject">
    <w:name w:val="annotation subject"/>
    <w:basedOn w:val="CommentText"/>
    <w:next w:val="CommentText"/>
    <w:link w:val="CommentSubjectChar"/>
    <w:uiPriority w:val="99"/>
    <w:semiHidden/>
    <w:unhideWhenUsed/>
    <w:rsid w:val="00B60956"/>
    <w:rPr>
      <w:b/>
      <w:bCs/>
    </w:rPr>
  </w:style>
  <w:style w:type="character" w:customStyle="1" w:styleId="CommentSubjectChar">
    <w:name w:val="Comment Subject Char"/>
    <w:basedOn w:val="CommentTextChar"/>
    <w:link w:val="CommentSubject"/>
    <w:uiPriority w:val="99"/>
    <w:semiHidden/>
    <w:rsid w:val="00B60956"/>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B60956"/>
    <w:rPr>
      <w:color w:val="605E5C"/>
      <w:shd w:val="clear" w:color="auto" w:fill="E1DFDD"/>
    </w:rPr>
  </w:style>
  <w:style w:type="paragraph" w:styleId="Revision">
    <w:name w:val="Revision"/>
    <w:hidden/>
    <w:uiPriority w:val="99"/>
    <w:semiHidden/>
    <w:rsid w:val="003B25A2"/>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sid w:val="00B802F8"/>
    <w:rPr>
      <w:color w:val="800080" w:themeColor="followedHyperlink"/>
      <w:u w:val="single"/>
    </w:rPr>
  </w:style>
  <w:style w:type="character" w:customStyle="1" w:styleId="HeaderChar">
    <w:name w:val="Header Char"/>
    <w:basedOn w:val="DefaultParagraphFont"/>
    <w:link w:val="Header"/>
    <w:uiPriority w:val="99"/>
    <w:rsid w:val="0050757C"/>
    <w:rPr>
      <w:rFonts w:ascii="Times New Roman" w:hAnsi="Times New Roman" w:cs="Times New Roman"/>
      <w:sz w:val="24"/>
      <w:lang w:val="ro-RO"/>
    </w:rPr>
  </w:style>
  <w:style w:type="character" w:customStyle="1" w:styleId="FooterChar">
    <w:name w:val="Footer Char"/>
    <w:basedOn w:val="DefaultParagraphFont"/>
    <w:link w:val="Footer"/>
    <w:uiPriority w:val="99"/>
    <w:rsid w:val="0050757C"/>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50757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0757C"/>
    <w:pPr>
      <w:spacing w:before="0"/>
      <w:jc w:val="right"/>
    </w:pPr>
    <w:rPr>
      <w:sz w:val="28"/>
    </w:rPr>
  </w:style>
  <w:style w:type="paragraph" w:customStyle="1" w:styleId="FooterSensitivity">
    <w:name w:val="Footer Sensitivity"/>
    <w:basedOn w:val="Normal"/>
    <w:rsid w:val="0050757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0757C"/>
    <w:pPr>
      <w:tabs>
        <w:tab w:val="center" w:pos="4535"/>
        <w:tab w:val="right" w:pos="9071"/>
      </w:tabs>
      <w:spacing w:before="0"/>
    </w:pPr>
  </w:style>
  <w:style w:type="paragraph" w:customStyle="1" w:styleId="HeaderLandscape">
    <w:name w:val="HeaderLandscape"/>
    <w:basedOn w:val="Normal"/>
    <w:rsid w:val="0050757C"/>
    <w:pPr>
      <w:tabs>
        <w:tab w:val="center" w:pos="7285"/>
        <w:tab w:val="right" w:pos="14003"/>
      </w:tabs>
      <w:spacing w:before="0"/>
    </w:pPr>
  </w:style>
  <w:style w:type="paragraph" w:styleId="Footer">
    <w:name w:val="footer"/>
    <w:basedOn w:val="Normal"/>
    <w:link w:val="FooterChar"/>
    <w:uiPriority w:val="99"/>
    <w:unhideWhenUsed/>
    <w:rsid w:val="0050757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0757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economic-and-fiscal-governance/stability-and-growth-pact/preventive-arm/annual-progress-reports_en" TargetMode="External"/><Relationship Id="rId2" Type="http://schemas.openxmlformats.org/officeDocument/2006/relationships/hyperlink" Target="http://data.europa.eu/eli/C/2025/3963/oj" TargetMode="External"/><Relationship Id="rId1" Type="http://schemas.openxmlformats.org/officeDocument/2006/relationships/hyperlink" Target="http://data.europa.eu/eli/C/2026/2434/oj" TargetMode="External"/><Relationship Id="rId4" Type="http://schemas.openxmlformats.org/officeDocument/2006/relationships/hyperlink" Target="http://data.europa.eu/eli/reg/2023/85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F987A-5903-482C-8CB5-E7694910A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10</Pages>
  <Words>4341</Words>
  <Characters>24746</Characters>
  <Application>Microsoft Office Word</Application>
  <DocSecurity>0</DocSecurity>
  <Lines>206</Lines>
  <Paragraphs>58</Paragraphs>
  <ScaleCrop>false</ScaleCrop>
  <Manager/>
  <Company/>
  <LinksUpToDate>false</LinksUpToDate>
  <CharactersWithSpaces>29029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2026-05-29T13:09:00Z</dcterms:created>
  <dcterms:modified xsi:type="dcterms:W3CDTF">2026-06-10T14:06:00Z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2026-05-29T13:10:04Z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47b83f71-a564-4820-8ad0-394474fbde31</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